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drawings/drawing1.xml" ContentType="application/vnd.openxmlformats-officedocument.drawingml.chartshapes+xml"/>
  <Override PartName="/word/charts/chart20.xml" ContentType="application/vnd.openxmlformats-officedocument.drawingml.chart+xml"/>
  <Override PartName="/word/theme/themeOverride19.xml" ContentType="application/vnd.openxmlformats-officedocument.themeOverride+xml"/>
  <Override PartName="/word/drawings/drawing2.xml" ContentType="application/vnd.openxmlformats-officedocument.drawingml.chartshapes+xml"/>
  <Override PartName="/word/charts/chart21.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20.xml" ContentType="application/vnd.openxmlformats-officedocument.themeOverride+xml"/>
  <Override PartName="/word/charts/chart22.xml" ContentType="application/vnd.openxmlformats-officedocument.drawingml.chart+xml"/>
  <Override PartName="/word/theme/themeOverride21.xml" ContentType="application/vnd.openxmlformats-officedocument.themeOverride+xml"/>
  <Override PartName="/word/charts/chart23.xml" ContentType="application/vnd.openxmlformats-officedocument.drawingml.chart+xml"/>
  <Override PartName="/word/theme/themeOverride22.xml" ContentType="application/vnd.openxmlformats-officedocument.themeOverride+xml"/>
  <Override PartName="/word/ink/ink1.xml" ContentType="application/inkml+xml"/>
  <Override PartName="/word/charts/chart24.xml" ContentType="application/vnd.openxmlformats-officedocument.drawingml.chart+xml"/>
  <Override PartName="/word/theme/themeOverride23.xml" ContentType="application/vnd.openxmlformats-officedocument.themeOverride+xml"/>
  <Override PartName="/word/charts/chart25.xml" ContentType="application/vnd.openxmlformats-officedocument.drawingml.chart+xml"/>
  <Override PartName="/word/theme/themeOverride24.xml" ContentType="application/vnd.openxmlformats-officedocument.themeOverride+xml"/>
  <Override PartName="/word/charts/chart26.xml" ContentType="application/vnd.openxmlformats-officedocument.drawingml.chart+xml"/>
  <Override PartName="/word/theme/themeOverride25.xml" ContentType="application/vnd.openxmlformats-officedocument.themeOverride+xml"/>
  <Override PartName="/word/charts/chart27.xml" ContentType="application/vnd.openxmlformats-officedocument.drawingml.chart+xml"/>
  <Override PartName="/word/theme/themeOverride26.xml" ContentType="application/vnd.openxmlformats-officedocument.themeOverride+xml"/>
  <Override PartName="/word/drawings/drawing3.xml" ContentType="application/vnd.openxmlformats-officedocument.drawingml.chartshapes+xml"/>
  <Override PartName="/word/charts/chart28.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9.xml" ContentType="application/vnd.openxmlformats-officedocument.drawingml.chart+xml"/>
  <Override PartName="/word/theme/themeOverride2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0A4" w:rsidRPr="00FA46AD" w:rsidRDefault="007520A4">
      <w:pPr>
        <w:pStyle w:val="Hlavikaobsahu"/>
        <w:rPr>
          <w:rFonts w:ascii="Times New Roman" w:hAnsi="Times New Roman"/>
          <w:color w:val="auto"/>
          <w:sz w:val="24"/>
          <w:szCs w:val="24"/>
        </w:rPr>
      </w:pPr>
      <w:bookmarkStart w:id="0" w:name="_Toc97700652"/>
      <w:bookmarkStart w:id="1" w:name="_Toc148255237"/>
      <w:bookmarkStart w:id="2" w:name="_Toc282686533"/>
      <w:r w:rsidRPr="00FA46AD">
        <w:rPr>
          <w:rFonts w:ascii="Times New Roman" w:hAnsi="Times New Roman"/>
          <w:color w:val="auto"/>
          <w:sz w:val="24"/>
          <w:szCs w:val="24"/>
        </w:rPr>
        <w:t>Obsah</w:t>
      </w:r>
    </w:p>
    <w:p w:rsidR="000B75A9" w:rsidRPr="007779E3" w:rsidRDefault="000B75A9" w:rsidP="00F603A5">
      <w:pPr>
        <w:rPr>
          <w:rFonts w:ascii="Times New Roman" w:hAnsi="Times New Roman" w:cs="Times New Roman"/>
          <w:color w:val="0070C0"/>
          <w:lang w:eastAsia="en-US"/>
        </w:rPr>
      </w:pPr>
    </w:p>
    <w:p w:rsidR="009A178E" w:rsidRDefault="007520A4">
      <w:pPr>
        <w:pStyle w:val="Obsah1"/>
        <w:rPr>
          <w:rFonts w:asciiTheme="minorHAnsi" w:eastAsiaTheme="minorEastAsia" w:hAnsiTheme="minorHAnsi" w:cstheme="minorBidi"/>
          <w:b w:val="0"/>
          <w:sz w:val="22"/>
          <w:szCs w:val="22"/>
          <w:lang w:eastAsia="sk-SK"/>
        </w:rPr>
      </w:pPr>
      <w:r w:rsidRPr="007779E3">
        <w:rPr>
          <w:color w:val="0070C0"/>
        </w:rPr>
        <w:fldChar w:fldCharType="begin"/>
      </w:r>
      <w:r w:rsidRPr="007779E3">
        <w:rPr>
          <w:color w:val="0070C0"/>
        </w:rPr>
        <w:instrText xml:space="preserve"> TOC \o "1-3" \h \z \u </w:instrText>
      </w:r>
      <w:r w:rsidRPr="007779E3">
        <w:rPr>
          <w:color w:val="0070C0"/>
        </w:rPr>
        <w:fldChar w:fldCharType="separate"/>
      </w:r>
      <w:hyperlink w:anchor="_Toc526273174" w:history="1">
        <w:r w:rsidR="009A178E" w:rsidRPr="00E520F6">
          <w:rPr>
            <w:rStyle w:val="Hypertextovprepojenie"/>
          </w:rPr>
          <w:t>Predkladacia správa</w:t>
        </w:r>
        <w:r w:rsidR="009A178E">
          <w:rPr>
            <w:webHidden/>
          </w:rPr>
          <w:tab/>
        </w:r>
        <w:r w:rsidR="009A178E">
          <w:rPr>
            <w:webHidden/>
          </w:rPr>
          <w:fldChar w:fldCharType="begin"/>
        </w:r>
        <w:r w:rsidR="009A178E">
          <w:rPr>
            <w:webHidden/>
          </w:rPr>
          <w:instrText xml:space="preserve"> PAGEREF _Toc526273174 \h </w:instrText>
        </w:r>
        <w:r w:rsidR="009A178E">
          <w:rPr>
            <w:webHidden/>
          </w:rPr>
        </w:r>
        <w:r w:rsidR="009A178E">
          <w:rPr>
            <w:webHidden/>
          </w:rPr>
          <w:fldChar w:fldCharType="separate"/>
        </w:r>
        <w:r w:rsidR="00E165BB">
          <w:rPr>
            <w:webHidden/>
          </w:rPr>
          <w:t>2</w:t>
        </w:r>
        <w:r w:rsidR="009A178E">
          <w:rPr>
            <w:webHidden/>
          </w:rPr>
          <w:fldChar w:fldCharType="end"/>
        </w:r>
      </w:hyperlink>
    </w:p>
    <w:p w:rsidR="009A178E" w:rsidRDefault="00A44F05">
      <w:pPr>
        <w:pStyle w:val="Obsah1"/>
        <w:rPr>
          <w:rFonts w:asciiTheme="minorHAnsi" w:eastAsiaTheme="minorEastAsia" w:hAnsiTheme="minorHAnsi" w:cstheme="minorBidi"/>
          <w:b w:val="0"/>
          <w:sz w:val="22"/>
          <w:szCs w:val="22"/>
          <w:lang w:eastAsia="sk-SK"/>
        </w:rPr>
      </w:pPr>
      <w:hyperlink w:anchor="_Toc526273175" w:history="1">
        <w:r w:rsidR="009A178E" w:rsidRPr="00E520F6">
          <w:rPr>
            <w:rStyle w:val="Hypertextovprepojenie"/>
          </w:rPr>
          <w:t>1.</w:t>
        </w:r>
        <w:r w:rsidR="009A178E">
          <w:rPr>
            <w:rFonts w:asciiTheme="minorHAnsi" w:eastAsiaTheme="minorEastAsia" w:hAnsiTheme="minorHAnsi" w:cstheme="minorBidi"/>
            <w:b w:val="0"/>
            <w:sz w:val="22"/>
            <w:szCs w:val="22"/>
            <w:lang w:eastAsia="sk-SK"/>
          </w:rPr>
          <w:tab/>
        </w:r>
        <w:r w:rsidR="009A178E" w:rsidRPr="00E520F6">
          <w:rPr>
            <w:rStyle w:val="Hypertextovprepojenie"/>
          </w:rPr>
          <w:t>Makroekonomické predpoklady rozpočtu</w:t>
        </w:r>
        <w:r w:rsidR="009A178E">
          <w:rPr>
            <w:webHidden/>
          </w:rPr>
          <w:tab/>
        </w:r>
        <w:r w:rsidR="009A178E">
          <w:rPr>
            <w:webHidden/>
          </w:rPr>
          <w:fldChar w:fldCharType="begin"/>
        </w:r>
        <w:r w:rsidR="009A178E">
          <w:rPr>
            <w:webHidden/>
          </w:rPr>
          <w:instrText xml:space="preserve"> PAGEREF _Toc526273175 \h </w:instrText>
        </w:r>
        <w:r w:rsidR="009A178E">
          <w:rPr>
            <w:webHidden/>
          </w:rPr>
        </w:r>
        <w:r w:rsidR="009A178E">
          <w:rPr>
            <w:webHidden/>
          </w:rPr>
          <w:fldChar w:fldCharType="separate"/>
        </w:r>
        <w:r w:rsidR="00E165BB">
          <w:rPr>
            <w:webHidden/>
          </w:rPr>
          <w:t>6</w:t>
        </w:r>
        <w:r w:rsidR="009A178E">
          <w:rPr>
            <w:webHidden/>
          </w:rPr>
          <w:fldChar w:fldCharType="end"/>
        </w:r>
      </w:hyperlink>
    </w:p>
    <w:p w:rsidR="009A178E" w:rsidRDefault="00A44F05">
      <w:pPr>
        <w:pStyle w:val="Obsah1"/>
        <w:rPr>
          <w:rFonts w:asciiTheme="minorHAnsi" w:eastAsiaTheme="minorEastAsia" w:hAnsiTheme="minorHAnsi" w:cstheme="minorBidi"/>
          <w:b w:val="0"/>
          <w:sz w:val="22"/>
          <w:szCs w:val="22"/>
          <w:lang w:eastAsia="sk-SK"/>
        </w:rPr>
      </w:pPr>
      <w:hyperlink w:anchor="_Toc526273176" w:history="1">
        <w:r w:rsidR="009A178E" w:rsidRPr="00E520F6">
          <w:rPr>
            <w:rStyle w:val="Hypertextovprepojenie"/>
          </w:rPr>
          <w:t>2. Východiskový rámec rozpočtu verejnej správy na roky 2019 až 2021</w:t>
        </w:r>
        <w:r w:rsidR="009A178E">
          <w:rPr>
            <w:webHidden/>
          </w:rPr>
          <w:tab/>
        </w:r>
        <w:r w:rsidR="009A178E">
          <w:rPr>
            <w:webHidden/>
          </w:rPr>
          <w:fldChar w:fldCharType="begin"/>
        </w:r>
        <w:r w:rsidR="009A178E">
          <w:rPr>
            <w:webHidden/>
          </w:rPr>
          <w:instrText xml:space="preserve"> PAGEREF _Toc526273176 \h </w:instrText>
        </w:r>
        <w:r w:rsidR="009A178E">
          <w:rPr>
            <w:webHidden/>
          </w:rPr>
        </w:r>
        <w:r w:rsidR="009A178E">
          <w:rPr>
            <w:webHidden/>
          </w:rPr>
          <w:fldChar w:fldCharType="separate"/>
        </w:r>
        <w:r w:rsidR="00E165BB">
          <w:rPr>
            <w:webHidden/>
          </w:rPr>
          <w:t>8</w:t>
        </w:r>
        <w:r w:rsidR="009A178E">
          <w:rPr>
            <w:webHidden/>
          </w:rPr>
          <w:fldChar w:fldCharType="end"/>
        </w:r>
      </w:hyperlink>
    </w:p>
    <w:p w:rsidR="009A178E" w:rsidRDefault="00A44F05">
      <w:pPr>
        <w:pStyle w:val="Obsah2"/>
        <w:rPr>
          <w:rFonts w:asciiTheme="minorHAnsi" w:eastAsiaTheme="minorEastAsia" w:hAnsiTheme="minorHAnsi" w:cstheme="minorBidi"/>
          <w:bCs w:val="0"/>
          <w:iCs w:val="0"/>
          <w:sz w:val="22"/>
          <w:szCs w:val="22"/>
          <w:lang w:eastAsia="sk-SK"/>
        </w:rPr>
      </w:pPr>
      <w:hyperlink w:anchor="_Toc526273177" w:history="1">
        <w:r w:rsidR="009A178E" w:rsidRPr="009A178E">
          <w:rPr>
            <w:rStyle w:val="Hypertextovprepojenie"/>
          </w:rPr>
          <w:t>2.1. Aktuálny vývoj rozpočtu verejnej správy v roku 2018</w:t>
        </w:r>
        <w:r w:rsidR="009A178E">
          <w:rPr>
            <w:webHidden/>
          </w:rPr>
          <w:tab/>
        </w:r>
        <w:r w:rsidR="009A178E">
          <w:rPr>
            <w:webHidden/>
          </w:rPr>
          <w:fldChar w:fldCharType="begin"/>
        </w:r>
        <w:r w:rsidR="009A178E">
          <w:rPr>
            <w:webHidden/>
          </w:rPr>
          <w:instrText xml:space="preserve"> PAGEREF _Toc526273177 \h </w:instrText>
        </w:r>
        <w:r w:rsidR="009A178E">
          <w:rPr>
            <w:webHidden/>
          </w:rPr>
        </w:r>
        <w:r w:rsidR="009A178E">
          <w:rPr>
            <w:webHidden/>
          </w:rPr>
          <w:fldChar w:fldCharType="separate"/>
        </w:r>
        <w:r w:rsidR="00E165BB">
          <w:rPr>
            <w:webHidden/>
          </w:rPr>
          <w:t>8</w:t>
        </w:r>
        <w:r w:rsidR="009A178E">
          <w:rPr>
            <w:webHidden/>
          </w:rPr>
          <w:fldChar w:fldCharType="end"/>
        </w:r>
      </w:hyperlink>
    </w:p>
    <w:p w:rsidR="009A178E" w:rsidRDefault="00A44F05">
      <w:pPr>
        <w:pStyle w:val="Obsah2"/>
        <w:rPr>
          <w:rFonts w:asciiTheme="minorHAnsi" w:eastAsiaTheme="minorEastAsia" w:hAnsiTheme="minorHAnsi" w:cstheme="minorBidi"/>
          <w:bCs w:val="0"/>
          <w:iCs w:val="0"/>
          <w:sz w:val="22"/>
          <w:szCs w:val="22"/>
          <w:lang w:eastAsia="sk-SK"/>
        </w:rPr>
      </w:pPr>
      <w:hyperlink w:anchor="_Toc526273178" w:history="1">
        <w:r w:rsidR="009A178E" w:rsidRPr="009A178E">
          <w:rPr>
            <w:rStyle w:val="Hypertextovprepojenie"/>
          </w:rPr>
          <w:t>2.2. Rámec na zostavenie rozpočtu verejnej správy na roky 2019 až 2021</w:t>
        </w:r>
        <w:r w:rsidR="009A178E">
          <w:rPr>
            <w:webHidden/>
          </w:rPr>
          <w:tab/>
        </w:r>
        <w:r w:rsidR="009A178E">
          <w:rPr>
            <w:webHidden/>
          </w:rPr>
          <w:fldChar w:fldCharType="begin"/>
        </w:r>
        <w:r w:rsidR="009A178E">
          <w:rPr>
            <w:webHidden/>
          </w:rPr>
          <w:instrText xml:space="preserve"> PAGEREF _Toc526273178 \h </w:instrText>
        </w:r>
        <w:r w:rsidR="009A178E">
          <w:rPr>
            <w:webHidden/>
          </w:rPr>
        </w:r>
        <w:r w:rsidR="009A178E">
          <w:rPr>
            <w:webHidden/>
          </w:rPr>
          <w:fldChar w:fldCharType="separate"/>
        </w:r>
        <w:r w:rsidR="00E165BB">
          <w:rPr>
            <w:webHidden/>
          </w:rPr>
          <w:t>11</w:t>
        </w:r>
        <w:r w:rsidR="009A178E">
          <w:rPr>
            <w:webHidden/>
          </w:rPr>
          <w:fldChar w:fldCharType="end"/>
        </w:r>
      </w:hyperlink>
    </w:p>
    <w:p w:rsidR="009A178E" w:rsidRDefault="00A44F05">
      <w:pPr>
        <w:pStyle w:val="Obsah2"/>
        <w:rPr>
          <w:rFonts w:asciiTheme="minorHAnsi" w:eastAsiaTheme="minorEastAsia" w:hAnsiTheme="minorHAnsi" w:cstheme="minorBidi"/>
          <w:bCs w:val="0"/>
          <w:iCs w:val="0"/>
          <w:sz w:val="22"/>
          <w:szCs w:val="22"/>
          <w:lang w:eastAsia="sk-SK"/>
        </w:rPr>
      </w:pPr>
      <w:hyperlink w:anchor="_Toc526273179" w:history="1">
        <w:r w:rsidR="009A178E" w:rsidRPr="009A178E">
          <w:rPr>
            <w:rStyle w:val="Hypertextovprepojenie"/>
          </w:rPr>
          <w:t>2.3. Štátny rozpočet v metodike ESA 2010</w:t>
        </w:r>
        <w:r w:rsidR="009A178E">
          <w:rPr>
            <w:webHidden/>
          </w:rPr>
          <w:tab/>
        </w:r>
        <w:r w:rsidR="009A178E">
          <w:rPr>
            <w:webHidden/>
          </w:rPr>
          <w:fldChar w:fldCharType="begin"/>
        </w:r>
        <w:r w:rsidR="009A178E">
          <w:rPr>
            <w:webHidden/>
          </w:rPr>
          <w:instrText xml:space="preserve"> PAGEREF _Toc526273179 \h </w:instrText>
        </w:r>
        <w:r w:rsidR="009A178E">
          <w:rPr>
            <w:webHidden/>
          </w:rPr>
        </w:r>
        <w:r w:rsidR="009A178E">
          <w:rPr>
            <w:webHidden/>
          </w:rPr>
          <w:fldChar w:fldCharType="separate"/>
        </w:r>
        <w:r w:rsidR="00E165BB">
          <w:rPr>
            <w:webHidden/>
          </w:rPr>
          <w:t>13</w:t>
        </w:r>
        <w:r w:rsidR="009A178E">
          <w:rPr>
            <w:webHidden/>
          </w:rPr>
          <w:fldChar w:fldCharType="end"/>
        </w:r>
      </w:hyperlink>
    </w:p>
    <w:p w:rsidR="009A178E" w:rsidRDefault="00A44F05">
      <w:pPr>
        <w:pStyle w:val="Obsah2"/>
        <w:rPr>
          <w:rFonts w:asciiTheme="minorHAnsi" w:eastAsiaTheme="minorEastAsia" w:hAnsiTheme="minorHAnsi" w:cstheme="minorBidi"/>
          <w:bCs w:val="0"/>
          <w:iCs w:val="0"/>
          <w:sz w:val="22"/>
          <w:szCs w:val="22"/>
          <w:lang w:eastAsia="sk-SK"/>
        </w:rPr>
      </w:pPr>
      <w:hyperlink w:anchor="_Toc526273180" w:history="1">
        <w:r w:rsidR="009A178E" w:rsidRPr="009A178E">
          <w:rPr>
            <w:rStyle w:val="Hypertextovprepojenie"/>
          </w:rPr>
          <w:t>2.4. Konsolidovaná bilancia rozpočtu verejnej správy</w:t>
        </w:r>
        <w:r w:rsidR="009A178E">
          <w:rPr>
            <w:webHidden/>
          </w:rPr>
          <w:tab/>
        </w:r>
        <w:r w:rsidR="009A178E">
          <w:rPr>
            <w:webHidden/>
          </w:rPr>
          <w:fldChar w:fldCharType="begin"/>
        </w:r>
        <w:r w:rsidR="009A178E">
          <w:rPr>
            <w:webHidden/>
          </w:rPr>
          <w:instrText xml:space="preserve"> PAGEREF _Toc526273180 \h </w:instrText>
        </w:r>
        <w:r w:rsidR="009A178E">
          <w:rPr>
            <w:webHidden/>
          </w:rPr>
        </w:r>
        <w:r w:rsidR="009A178E">
          <w:rPr>
            <w:webHidden/>
          </w:rPr>
          <w:fldChar w:fldCharType="separate"/>
        </w:r>
        <w:r w:rsidR="00E165BB">
          <w:rPr>
            <w:webHidden/>
          </w:rPr>
          <w:t>15</w:t>
        </w:r>
        <w:r w:rsidR="009A178E">
          <w:rPr>
            <w:webHidden/>
          </w:rPr>
          <w:fldChar w:fldCharType="end"/>
        </w:r>
      </w:hyperlink>
    </w:p>
    <w:p w:rsidR="009A178E" w:rsidRDefault="00A44F05">
      <w:pPr>
        <w:pStyle w:val="Obsah2"/>
        <w:rPr>
          <w:rFonts w:asciiTheme="minorHAnsi" w:eastAsiaTheme="minorEastAsia" w:hAnsiTheme="minorHAnsi" w:cstheme="minorBidi"/>
          <w:bCs w:val="0"/>
          <w:iCs w:val="0"/>
          <w:sz w:val="22"/>
          <w:szCs w:val="22"/>
          <w:lang w:eastAsia="sk-SK"/>
        </w:rPr>
      </w:pPr>
      <w:hyperlink w:anchor="_Toc526273181" w:history="1">
        <w:r w:rsidR="009A178E" w:rsidRPr="00E520F6">
          <w:rPr>
            <w:rStyle w:val="Hypertextovprepojenie"/>
          </w:rPr>
          <w:t>2.5. Dlh verejnej správy</w:t>
        </w:r>
        <w:r w:rsidR="009A178E">
          <w:rPr>
            <w:webHidden/>
          </w:rPr>
          <w:tab/>
        </w:r>
        <w:r w:rsidR="009A178E">
          <w:rPr>
            <w:webHidden/>
          </w:rPr>
          <w:fldChar w:fldCharType="begin"/>
        </w:r>
        <w:r w:rsidR="009A178E">
          <w:rPr>
            <w:webHidden/>
          </w:rPr>
          <w:instrText xml:space="preserve"> PAGEREF _Toc526273181 \h </w:instrText>
        </w:r>
        <w:r w:rsidR="009A178E">
          <w:rPr>
            <w:webHidden/>
          </w:rPr>
        </w:r>
        <w:r w:rsidR="009A178E">
          <w:rPr>
            <w:webHidden/>
          </w:rPr>
          <w:fldChar w:fldCharType="separate"/>
        </w:r>
        <w:r w:rsidR="00E165BB">
          <w:rPr>
            <w:webHidden/>
          </w:rPr>
          <w:t>16</w:t>
        </w:r>
        <w:r w:rsidR="009A178E">
          <w:rPr>
            <w:webHidden/>
          </w:rPr>
          <w:fldChar w:fldCharType="end"/>
        </w:r>
      </w:hyperlink>
    </w:p>
    <w:p w:rsidR="009A178E" w:rsidRDefault="00A44F05">
      <w:pPr>
        <w:pStyle w:val="Obsah1"/>
        <w:rPr>
          <w:rFonts w:asciiTheme="minorHAnsi" w:eastAsiaTheme="minorEastAsia" w:hAnsiTheme="minorHAnsi" w:cstheme="minorBidi"/>
          <w:b w:val="0"/>
          <w:sz w:val="22"/>
          <w:szCs w:val="22"/>
          <w:lang w:eastAsia="sk-SK"/>
        </w:rPr>
      </w:pPr>
      <w:hyperlink w:anchor="_Toc526273182" w:history="1">
        <w:r w:rsidR="009A178E" w:rsidRPr="00E520F6">
          <w:rPr>
            <w:rStyle w:val="Hypertextovprepojenie"/>
          </w:rPr>
          <w:t>3. Rozpočtovanie príjmov verejnej správy</w:t>
        </w:r>
        <w:r w:rsidR="009A178E">
          <w:rPr>
            <w:webHidden/>
          </w:rPr>
          <w:tab/>
        </w:r>
        <w:r w:rsidR="009A178E">
          <w:rPr>
            <w:webHidden/>
          </w:rPr>
          <w:fldChar w:fldCharType="begin"/>
        </w:r>
        <w:r w:rsidR="009A178E">
          <w:rPr>
            <w:webHidden/>
          </w:rPr>
          <w:instrText xml:space="preserve"> PAGEREF _Toc526273182 \h </w:instrText>
        </w:r>
        <w:r w:rsidR="009A178E">
          <w:rPr>
            <w:webHidden/>
          </w:rPr>
        </w:r>
        <w:r w:rsidR="009A178E">
          <w:rPr>
            <w:webHidden/>
          </w:rPr>
          <w:fldChar w:fldCharType="separate"/>
        </w:r>
        <w:r w:rsidR="00E165BB">
          <w:rPr>
            <w:webHidden/>
          </w:rPr>
          <w:t>18</w:t>
        </w:r>
        <w:r w:rsidR="009A178E">
          <w:rPr>
            <w:webHidden/>
          </w:rPr>
          <w:fldChar w:fldCharType="end"/>
        </w:r>
      </w:hyperlink>
    </w:p>
    <w:p w:rsidR="009A178E" w:rsidRDefault="00A44F05">
      <w:pPr>
        <w:pStyle w:val="Obsah2"/>
        <w:rPr>
          <w:rFonts w:asciiTheme="minorHAnsi" w:eastAsiaTheme="minorEastAsia" w:hAnsiTheme="minorHAnsi" w:cstheme="minorBidi"/>
          <w:bCs w:val="0"/>
          <w:iCs w:val="0"/>
          <w:sz w:val="22"/>
          <w:szCs w:val="22"/>
          <w:lang w:eastAsia="sk-SK"/>
        </w:rPr>
      </w:pPr>
      <w:hyperlink w:anchor="_Toc526273183" w:history="1">
        <w:r w:rsidR="009A178E" w:rsidRPr="00E520F6">
          <w:rPr>
            <w:rStyle w:val="Hypertextovprepojenie"/>
          </w:rPr>
          <w:t>3.1. Rozpočtovanie daňových a odvodových príjmov verejnej správy</w:t>
        </w:r>
        <w:r w:rsidR="009A178E">
          <w:rPr>
            <w:webHidden/>
          </w:rPr>
          <w:tab/>
        </w:r>
        <w:r w:rsidR="009A178E">
          <w:rPr>
            <w:webHidden/>
          </w:rPr>
          <w:fldChar w:fldCharType="begin"/>
        </w:r>
        <w:r w:rsidR="009A178E">
          <w:rPr>
            <w:webHidden/>
          </w:rPr>
          <w:instrText xml:space="preserve"> PAGEREF _Toc526273183 \h </w:instrText>
        </w:r>
        <w:r w:rsidR="009A178E">
          <w:rPr>
            <w:webHidden/>
          </w:rPr>
        </w:r>
        <w:r w:rsidR="009A178E">
          <w:rPr>
            <w:webHidden/>
          </w:rPr>
          <w:fldChar w:fldCharType="separate"/>
        </w:r>
        <w:r w:rsidR="00E165BB">
          <w:rPr>
            <w:webHidden/>
          </w:rPr>
          <w:t>18</w:t>
        </w:r>
        <w:r w:rsidR="009A178E">
          <w:rPr>
            <w:webHidden/>
          </w:rPr>
          <w:fldChar w:fldCharType="end"/>
        </w:r>
      </w:hyperlink>
    </w:p>
    <w:p w:rsidR="009A178E" w:rsidRDefault="00A44F05">
      <w:pPr>
        <w:pStyle w:val="Obsah2"/>
        <w:rPr>
          <w:rFonts w:asciiTheme="minorHAnsi" w:eastAsiaTheme="minorEastAsia" w:hAnsiTheme="minorHAnsi" w:cstheme="minorBidi"/>
          <w:bCs w:val="0"/>
          <w:iCs w:val="0"/>
          <w:sz w:val="22"/>
          <w:szCs w:val="22"/>
          <w:lang w:eastAsia="sk-SK"/>
        </w:rPr>
      </w:pPr>
      <w:hyperlink w:anchor="_Toc526273184" w:history="1">
        <w:r w:rsidR="009A178E" w:rsidRPr="00E520F6">
          <w:rPr>
            <w:rStyle w:val="Hypertextovprepojenie"/>
          </w:rPr>
          <w:t>3.2. Akruálne dane pre návrh rozpočtu verejnej správy na roky 2019 až 2021</w:t>
        </w:r>
        <w:r w:rsidR="009A178E">
          <w:rPr>
            <w:webHidden/>
          </w:rPr>
          <w:tab/>
        </w:r>
        <w:r w:rsidR="009A178E">
          <w:rPr>
            <w:webHidden/>
          </w:rPr>
          <w:fldChar w:fldCharType="begin"/>
        </w:r>
        <w:r w:rsidR="009A178E">
          <w:rPr>
            <w:webHidden/>
          </w:rPr>
          <w:instrText xml:space="preserve"> PAGEREF _Toc526273184 \h </w:instrText>
        </w:r>
        <w:r w:rsidR="009A178E">
          <w:rPr>
            <w:webHidden/>
          </w:rPr>
        </w:r>
        <w:r w:rsidR="009A178E">
          <w:rPr>
            <w:webHidden/>
          </w:rPr>
          <w:fldChar w:fldCharType="separate"/>
        </w:r>
        <w:r w:rsidR="00E165BB">
          <w:rPr>
            <w:webHidden/>
          </w:rPr>
          <w:t>26</w:t>
        </w:r>
        <w:r w:rsidR="009A178E">
          <w:rPr>
            <w:webHidden/>
          </w:rPr>
          <w:fldChar w:fldCharType="end"/>
        </w:r>
      </w:hyperlink>
    </w:p>
    <w:p w:rsidR="009A178E" w:rsidRDefault="00A44F05">
      <w:pPr>
        <w:pStyle w:val="Obsah2"/>
        <w:rPr>
          <w:rFonts w:asciiTheme="minorHAnsi" w:eastAsiaTheme="minorEastAsia" w:hAnsiTheme="minorHAnsi" w:cstheme="minorBidi"/>
          <w:bCs w:val="0"/>
          <w:iCs w:val="0"/>
          <w:sz w:val="22"/>
          <w:szCs w:val="22"/>
          <w:lang w:eastAsia="sk-SK"/>
        </w:rPr>
      </w:pPr>
      <w:hyperlink w:anchor="_Toc526273185" w:history="1">
        <w:r w:rsidR="009A178E" w:rsidRPr="00E520F6">
          <w:rPr>
            <w:rStyle w:val="Hypertextovprepojenie"/>
          </w:rPr>
          <w:t xml:space="preserve">3.3. Porovnanie aktuálneho odhadu daní s rozpočtom verejnej správy </w:t>
        </w:r>
        <w:r w:rsidR="009A178E">
          <w:rPr>
            <w:rStyle w:val="Hypertextovprepojenie"/>
          </w:rPr>
          <w:br/>
          <w:t xml:space="preserve">       </w:t>
        </w:r>
        <w:r w:rsidR="009A178E" w:rsidRPr="00E520F6">
          <w:rPr>
            <w:rStyle w:val="Hypertextovprepojenie"/>
          </w:rPr>
          <w:t>na roky 2018 až 2020</w:t>
        </w:r>
        <w:r w:rsidR="009A178E">
          <w:rPr>
            <w:webHidden/>
          </w:rPr>
          <w:tab/>
        </w:r>
        <w:r w:rsidR="009A178E">
          <w:rPr>
            <w:webHidden/>
          </w:rPr>
          <w:fldChar w:fldCharType="begin"/>
        </w:r>
        <w:r w:rsidR="009A178E">
          <w:rPr>
            <w:webHidden/>
          </w:rPr>
          <w:instrText xml:space="preserve"> PAGEREF _Toc526273185 \h </w:instrText>
        </w:r>
        <w:r w:rsidR="009A178E">
          <w:rPr>
            <w:webHidden/>
          </w:rPr>
        </w:r>
        <w:r w:rsidR="009A178E">
          <w:rPr>
            <w:webHidden/>
          </w:rPr>
          <w:fldChar w:fldCharType="separate"/>
        </w:r>
        <w:r w:rsidR="00E165BB">
          <w:rPr>
            <w:webHidden/>
          </w:rPr>
          <w:t>29</w:t>
        </w:r>
        <w:r w:rsidR="009A178E">
          <w:rPr>
            <w:webHidden/>
          </w:rPr>
          <w:fldChar w:fldCharType="end"/>
        </w:r>
      </w:hyperlink>
    </w:p>
    <w:p w:rsidR="009A178E" w:rsidRDefault="00A44F05">
      <w:pPr>
        <w:pStyle w:val="Obsah2"/>
        <w:rPr>
          <w:rFonts w:asciiTheme="minorHAnsi" w:eastAsiaTheme="minorEastAsia" w:hAnsiTheme="minorHAnsi" w:cstheme="minorBidi"/>
          <w:bCs w:val="0"/>
          <w:iCs w:val="0"/>
          <w:sz w:val="22"/>
          <w:szCs w:val="22"/>
          <w:lang w:eastAsia="sk-SK"/>
        </w:rPr>
      </w:pPr>
      <w:hyperlink w:anchor="_Toc526273186" w:history="1">
        <w:r w:rsidR="009A178E" w:rsidRPr="00E520F6">
          <w:rPr>
            <w:rStyle w:val="Hypertextovprepojenie"/>
          </w:rPr>
          <w:t>3.4. Rozpočtovanie iných ako daňových príjmov štátneho rozpočtu</w:t>
        </w:r>
        <w:r w:rsidR="009A178E">
          <w:rPr>
            <w:webHidden/>
          </w:rPr>
          <w:tab/>
        </w:r>
        <w:r w:rsidR="009A178E">
          <w:rPr>
            <w:webHidden/>
          </w:rPr>
          <w:fldChar w:fldCharType="begin"/>
        </w:r>
        <w:r w:rsidR="009A178E">
          <w:rPr>
            <w:webHidden/>
          </w:rPr>
          <w:instrText xml:space="preserve"> PAGEREF _Toc526273186 \h </w:instrText>
        </w:r>
        <w:r w:rsidR="009A178E">
          <w:rPr>
            <w:webHidden/>
          </w:rPr>
        </w:r>
        <w:r w:rsidR="009A178E">
          <w:rPr>
            <w:webHidden/>
          </w:rPr>
          <w:fldChar w:fldCharType="separate"/>
        </w:r>
        <w:r w:rsidR="00E165BB">
          <w:rPr>
            <w:webHidden/>
          </w:rPr>
          <w:t>30</w:t>
        </w:r>
        <w:r w:rsidR="009A178E">
          <w:rPr>
            <w:webHidden/>
          </w:rPr>
          <w:fldChar w:fldCharType="end"/>
        </w:r>
      </w:hyperlink>
    </w:p>
    <w:p w:rsidR="009A178E" w:rsidRDefault="00A44F05">
      <w:pPr>
        <w:pStyle w:val="Obsah2"/>
        <w:rPr>
          <w:rFonts w:asciiTheme="minorHAnsi" w:eastAsiaTheme="minorEastAsia" w:hAnsiTheme="minorHAnsi" w:cstheme="minorBidi"/>
          <w:bCs w:val="0"/>
          <w:iCs w:val="0"/>
          <w:sz w:val="22"/>
          <w:szCs w:val="22"/>
          <w:lang w:eastAsia="sk-SK"/>
        </w:rPr>
      </w:pPr>
      <w:hyperlink w:anchor="_Toc526273187" w:history="1">
        <w:r w:rsidR="009A178E" w:rsidRPr="00E520F6">
          <w:rPr>
            <w:rStyle w:val="Hypertextovprepojenie"/>
          </w:rPr>
          <w:t>3.5. Daňové výdavky</w:t>
        </w:r>
        <w:r w:rsidR="009A178E">
          <w:rPr>
            <w:webHidden/>
          </w:rPr>
          <w:tab/>
        </w:r>
        <w:r w:rsidR="009A178E">
          <w:rPr>
            <w:webHidden/>
          </w:rPr>
          <w:fldChar w:fldCharType="begin"/>
        </w:r>
        <w:r w:rsidR="009A178E">
          <w:rPr>
            <w:webHidden/>
          </w:rPr>
          <w:instrText xml:space="preserve"> PAGEREF _Toc526273187 \h </w:instrText>
        </w:r>
        <w:r w:rsidR="009A178E">
          <w:rPr>
            <w:webHidden/>
          </w:rPr>
        </w:r>
        <w:r w:rsidR="009A178E">
          <w:rPr>
            <w:webHidden/>
          </w:rPr>
          <w:fldChar w:fldCharType="separate"/>
        </w:r>
        <w:r w:rsidR="00E165BB">
          <w:rPr>
            <w:webHidden/>
          </w:rPr>
          <w:t>36</w:t>
        </w:r>
        <w:r w:rsidR="009A178E">
          <w:rPr>
            <w:webHidden/>
          </w:rPr>
          <w:fldChar w:fldCharType="end"/>
        </w:r>
      </w:hyperlink>
    </w:p>
    <w:p w:rsidR="009A178E" w:rsidRDefault="00A44F05">
      <w:pPr>
        <w:pStyle w:val="Obsah2"/>
        <w:rPr>
          <w:rFonts w:asciiTheme="minorHAnsi" w:eastAsiaTheme="minorEastAsia" w:hAnsiTheme="minorHAnsi" w:cstheme="minorBidi"/>
          <w:bCs w:val="0"/>
          <w:iCs w:val="0"/>
          <w:sz w:val="22"/>
          <w:szCs w:val="22"/>
          <w:lang w:eastAsia="sk-SK"/>
        </w:rPr>
      </w:pPr>
      <w:hyperlink w:anchor="_Toc526273188" w:history="1">
        <w:r w:rsidR="009A178E" w:rsidRPr="00E520F6">
          <w:rPr>
            <w:rStyle w:val="Hypertextovprepojenie"/>
          </w:rPr>
          <w:t>3.6. Jednorazové a dočasné opatrenia</w:t>
        </w:r>
        <w:r w:rsidR="009A178E">
          <w:rPr>
            <w:webHidden/>
          </w:rPr>
          <w:tab/>
        </w:r>
        <w:r w:rsidR="009A178E">
          <w:rPr>
            <w:webHidden/>
          </w:rPr>
          <w:fldChar w:fldCharType="begin"/>
        </w:r>
        <w:r w:rsidR="009A178E">
          <w:rPr>
            <w:webHidden/>
          </w:rPr>
          <w:instrText xml:space="preserve"> PAGEREF _Toc526273188 \h </w:instrText>
        </w:r>
        <w:r w:rsidR="009A178E">
          <w:rPr>
            <w:webHidden/>
          </w:rPr>
        </w:r>
        <w:r w:rsidR="009A178E">
          <w:rPr>
            <w:webHidden/>
          </w:rPr>
          <w:fldChar w:fldCharType="separate"/>
        </w:r>
        <w:r w:rsidR="00E165BB">
          <w:rPr>
            <w:webHidden/>
          </w:rPr>
          <w:t>40</w:t>
        </w:r>
        <w:r w:rsidR="009A178E">
          <w:rPr>
            <w:webHidden/>
          </w:rPr>
          <w:fldChar w:fldCharType="end"/>
        </w:r>
      </w:hyperlink>
    </w:p>
    <w:p w:rsidR="009A178E" w:rsidRDefault="00A44F05">
      <w:pPr>
        <w:pStyle w:val="Obsah1"/>
        <w:rPr>
          <w:rFonts w:asciiTheme="minorHAnsi" w:eastAsiaTheme="minorEastAsia" w:hAnsiTheme="minorHAnsi" w:cstheme="minorBidi"/>
          <w:b w:val="0"/>
          <w:sz w:val="22"/>
          <w:szCs w:val="22"/>
          <w:lang w:eastAsia="sk-SK"/>
        </w:rPr>
      </w:pPr>
      <w:hyperlink w:anchor="_Toc526273189" w:history="1">
        <w:r w:rsidR="009A178E" w:rsidRPr="00E520F6">
          <w:rPr>
            <w:rStyle w:val="Hypertextovprepojenie"/>
          </w:rPr>
          <w:t>4.</w:t>
        </w:r>
        <w:r w:rsidR="009A178E">
          <w:rPr>
            <w:rFonts w:asciiTheme="minorHAnsi" w:eastAsiaTheme="minorEastAsia" w:hAnsiTheme="minorHAnsi" w:cstheme="minorBidi"/>
            <w:b w:val="0"/>
            <w:sz w:val="22"/>
            <w:szCs w:val="22"/>
            <w:lang w:eastAsia="sk-SK"/>
          </w:rPr>
          <w:tab/>
        </w:r>
        <w:r w:rsidR="009A178E" w:rsidRPr="00E520F6">
          <w:rPr>
            <w:rStyle w:val="Hypertextovprepojenie"/>
          </w:rPr>
          <w:t>Rozpočtovanie výdavkov štátneho rozpočtu</w:t>
        </w:r>
        <w:r w:rsidR="009A178E">
          <w:rPr>
            <w:webHidden/>
          </w:rPr>
          <w:tab/>
        </w:r>
        <w:r w:rsidR="009A178E">
          <w:rPr>
            <w:webHidden/>
          </w:rPr>
          <w:fldChar w:fldCharType="begin"/>
        </w:r>
        <w:r w:rsidR="009A178E">
          <w:rPr>
            <w:webHidden/>
          </w:rPr>
          <w:instrText xml:space="preserve"> PAGEREF _Toc526273189 \h </w:instrText>
        </w:r>
        <w:r w:rsidR="009A178E">
          <w:rPr>
            <w:webHidden/>
          </w:rPr>
        </w:r>
        <w:r w:rsidR="009A178E">
          <w:rPr>
            <w:webHidden/>
          </w:rPr>
          <w:fldChar w:fldCharType="separate"/>
        </w:r>
        <w:r w:rsidR="00E165BB">
          <w:rPr>
            <w:webHidden/>
          </w:rPr>
          <w:t>41</w:t>
        </w:r>
        <w:r w:rsidR="009A178E">
          <w:rPr>
            <w:webHidden/>
          </w:rPr>
          <w:fldChar w:fldCharType="end"/>
        </w:r>
      </w:hyperlink>
    </w:p>
    <w:p w:rsidR="009A178E" w:rsidRDefault="00A44F05">
      <w:pPr>
        <w:pStyle w:val="Obsah2"/>
        <w:rPr>
          <w:rFonts w:asciiTheme="minorHAnsi" w:eastAsiaTheme="minorEastAsia" w:hAnsiTheme="minorHAnsi" w:cstheme="minorBidi"/>
          <w:bCs w:val="0"/>
          <w:iCs w:val="0"/>
          <w:sz w:val="22"/>
          <w:szCs w:val="22"/>
          <w:lang w:eastAsia="sk-SK"/>
        </w:rPr>
      </w:pPr>
      <w:hyperlink w:anchor="_Toc526273190" w:history="1">
        <w:r w:rsidR="009A178E" w:rsidRPr="00E520F6">
          <w:rPr>
            <w:rStyle w:val="Hypertextovprepojenie"/>
          </w:rPr>
          <w:t>4.1. Kvantifikácia výdavkov štátneho rozpočtu</w:t>
        </w:r>
        <w:r w:rsidR="009A178E">
          <w:rPr>
            <w:webHidden/>
          </w:rPr>
          <w:tab/>
        </w:r>
        <w:r w:rsidR="009A178E">
          <w:rPr>
            <w:webHidden/>
          </w:rPr>
          <w:fldChar w:fldCharType="begin"/>
        </w:r>
        <w:r w:rsidR="009A178E">
          <w:rPr>
            <w:webHidden/>
          </w:rPr>
          <w:instrText xml:space="preserve"> PAGEREF _Toc526273190 \h </w:instrText>
        </w:r>
        <w:r w:rsidR="009A178E">
          <w:rPr>
            <w:webHidden/>
          </w:rPr>
        </w:r>
        <w:r w:rsidR="009A178E">
          <w:rPr>
            <w:webHidden/>
          </w:rPr>
          <w:fldChar w:fldCharType="separate"/>
        </w:r>
        <w:r w:rsidR="00E165BB">
          <w:rPr>
            <w:webHidden/>
          </w:rPr>
          <w:t>41</w:t>
        </w:r>
        <w:r w:rsidR="009A178E">
          <w:rPr>
            <w:webHidden/>
          </w:rPr>
          <w:fldChar w:fldCharType="end"/>
        </w:r>
      </w:hyperlink>
    </w:p>
    <w:p w:rsidR="009A178E" w:rsidRDefault="00A44F05">
      <w:pPr>
        <w:pStyle w:val="Obsah2"/>
        <w:rPr>
          <w:rFonts w:asciiTheme="minorHAnsi" w:eastAsiaTheme="minorEastAsia" w:hAnsiTheme="minorHAnsi" w:cstheme="minorBidi"/>
          <w:bCs w:val="0"/>
          <w:iCs w:val="0"/>
          <w:sz w:val="22"/>
          <w:szCs w:val="22"/>
          <w:lang w:eastAsia="sk-SK"/>
        </w:rPr>
      </w:pPr>
      <w:hyperlink w:anchor="_Toc526273191" w:history="1">
        <w:r w:rsidR="009A178E" w:rsidRPr="00E520F6">
          <w:rPr>
            <w:rStyle w:val="Hypertextovprepojenie"/>
          </w:rPr>
          <w:t>4.2. Zamestnanosť vo verejnej správe</w:t>
        </w:r>
        <w:r w:rsidR="009A178E">
          <w:rPr>
            <w:webHidden/>
          </w:rPr>
          <w:tab/>
        </w:r>
        <w:r w:rsidR="009A178E">
          <w:rPr>
            <w:webHidden/>
          </w:rPr>
          <w:fldChar w:fldCharType="begin"/>
        </w:r>
        <w:r w:rsidR="009A178E">
          <w:rPr>
            <w:webHidden/>
          </w:rPr>
          <w:instrText xml:space="preserve"> PAGEREF _Toc526273191 \h </w:instrText>
        </w:r>
        <w:r w:rsidR="009A178E">
          <w:rPr>
            <w:webHidden/>
          </w:rPr>
        </w:r>
        <w:r w:rsidR="009A178E">
          <w:rPr>
            <w:webHidden/>
          </w:rPr>
          <w:fldChar w:fldCharType="separate"/>
        </w:r>
        <w:r w:rsidR="00E165BB">
          <w:rPr>
            <w:webHidden/>
          </w:rPr>
          <w:t>44</w:t>
        </w:r>
        <w:r w:rsidR="009A178E">
          <w:rPr>
            <w:webHidden/>
          </w:rPr>
          <w:fldChar w:fldCharType="end"/>
        </w:r>
      </w:hyperlink>
    </w:p>
    <w:p w:rsidR="009A178E" w:rsidRDefault="00A44F05">
      <w:pPr>
        <w:pStyle w:val="Obsah2"/>
        <w:rPr>
          <w:rFonts w:asciiTheme="minorHAnsi" w:eastAsiaTheme="minorEastAsia" w:hAnsiTheme="minorHAnsi" w:cstheme="minorBidi"/>
          <w:bCs w:val="0"/>
          <w:iCs w:val="0"/>
          <w:sz w:val="22"/>
          <w:szCs w:val="22"/>
          <w:lang w:eastAsia="sk-SK"/>
        </w:rPr>
      </w:pPr>
      <w:hyperlink w:anchor="_Toc526273192" w:history="1">
        <w:r w:rsidR="009A178E" w:rsidRPr="00E520F6">
          <w:rPr>
            <w:rStyle w:val="Hypertextovprepojenie"/>
          </w:rPr>
          <w:t>4.3. Rozpočtovanie v</w:t>
        </w:r>
        <w:r w:rsidR="009A178E" w:rsidRPr="00E520F6">
          <w:rPr>
            <w:rStyle w:val="Hypertextovprepojenie"/>
          </w:rPr>
          <w:t>ý</w:t>
        </w:r>
        <w:r w:rsidR="009A178E" w:rsidRPr="00E520F6">
          <w:rPr>
            <w:rStyle w:val="Hypertextovprepojenie"/>
          </w:rPr>
          <w:t>davkov podľa vybraných oblastí</w:t>
        </w:r>
        <w:r w:rsidR="009A178E">
          <w:rPr>
            <w:webHidden/>
          </w:rPr>
          <w:tab/>
        </w:r>
        <w:r w:rsidR="009A178E">
          <w:rPr>
            <w:webHidden/>
          </w:rPr>
          <w:fldChar w:fldCharType="begin"/>
        </w:r>
        <w:r w:rsidR="009A178E">
          <w:rPr>
            <w:webHidden/>
          </w:rPr>
          <w:instrText xml:space="preserve"> PAGEREF _Toc526273192 \h </w:instrText>
        </w:r>
        <w:r w:rsidR="009A178E">
          <w:rPr>
            <w:webHidden/>
          </w:rPr>
        </w:r>
        <w:r w:rsidR="009A178E">
          <w:rPr>
            <w:webHidden/>
          </w:rPr>
          <w:fldChar w:fldCharType="separate"/>
        </w:r>
        <w:r w:rsidR="00E165BB">
          <w:rPr>
            <w:webHidden/>
          </w:rPr>
          <w:t>50</w:t>
        </w:r>
        <w:r w:rsidR="009A178E">
          <w:rPr>
            <w:webHidden/>
          </w:rPr>
          <w:fldChar w:fldCharType="end"/>
        </w:r>
      </w:hyperlink>
    </w:p>
    <w:p w:rsidR="009A178E" w:rsidRDefault="00A44F05">
      <w:pPr>
        <w:pStyle w:val="Obsah1"/>
        <w:rPr>
          <w:rFonts w:asciiTheme="minorHAnsi" w:eastAsiaTheme="minorEastAsia" w:hAnsiTheme="minorHAnsi" w:cstheme="minorBidi"/>
          <w:b w:val="0"/>
          <w:sz w:val="22"/>
          <w:szCs w:val="22"/>
          <w:lang w:eastAsia="sk-SK"/>
        </w:rPr>
      </w:pPr>
      <w:hyperlink w:anchor="_Toc526273193" w:history="1">
        <w:r w:rsidR="009A178E" w:rsidRPr="00E520F6">
          <w:rPr>
            <w:rStyle w:val="Hypertextovprepojenie"/>
          </w:rPr>
          <w:t>5. Štátne finančné aktíva</w:t>
        </w:r>
        <w:r w:rsidR="009A178E">
          <w:rPr>
            <w:webHidden/>
          </w:rPr>
          <w:tab/>
        </w:r>
        <w:r w:rsidR="009A178E">
          <w:rPr>
            <w:webHidden/>
          </w:rPr>
          <w:fldChar w:fldCharType="begin"/>
        </w:r>
        <w:r w:rsidR="009A178E">
          <w:rPr>
            <w:webHidden/>
          </w:rPr>
          <w:instrText xml:space="preserve"> PAGEREF _Toc526273193 \h </w:instrText>
        </w:r>
        <w:r w:rsidR="009A178E">
          <w:rPr>
            <w:webHidden/>
          </w:rPr>
        </w:r>
        <w:r w:rsidR="009A178E">
          <w:rPr>
            <w:webHidden/>
          </w:rPr>
          <w:fldChar w:fldCharType="separate"/>
        </w:r>
        <w:r w:rsidR="00E165BB">
          <w:rPr>
            <w:webHidden/>
          </w:rPr>
          <w:t>172</w:t>
        </w:r>
        <w:r w:rsidR="009A178E">
          <w:rPr>
            <w:webHidden/>
          </w:rPr>
          <w:fldChar w:fldCharType="end"/>
        </w:r>
      </w:hyperlink>
    </w:p>
    <w:p w:rsidR="009A178E" w:rsidRDefault="00A44F05">
      <w:pPr>
        <w:pStyle w:val="Obsah2"/>
        <w:rPr>
          <w:rFonts w:asciiTheme="minorHAnsi" w:eastAsiaTheme="minorEastAsia" w:hAnsiTheme="minorHAnsi" w:cstheme="minorBidi"/>
          <w:bCs w:val="0"/>
          <w:iCs w:val="0"/>
          <w:sz w:val="22"/>
          <w:szCs w:val="22"/>
          <w:lang w:eastAsia="sk-SK"/>
        </w:rPr>
      </w:pPr>
      <w:hyperlink w:anchor="_Toc526273194" w:history="1">
        <w:r w:rsidR="009A178E" w:rsidRPr="009A178E">
          <w:rPr>
            <w:rStyle w:val="Hypertextovprepojenie"/>
          </w:rPr>
          <w:t>5.1. Príjmové operácie</w:t>
        </w:r>
        <w:r w:rsidR="009A178E">
          <w:rPr>
            <w:webHidden/>
          </w:rPr>
          <w:tab/>
        </w:r>
        <w:r w:rsidR="009A178E">
          <w:rPr>
            <w:webHidden/>
          </w:rPr>
          <w:fldChar w:fldCharType="begin"/>
        </w:r>
        <w:r w:rsidR="009A178E">
          <w:rPr>
            <w:webHidden/>
          </w:rPr>
          <w:instrText xml:space="preserve"> PAGEREF _Toc526273194 \h </w:instrText>
        </w:r>
        <w:r w:rsidR="009A178E">
          <w:rPr>
            <w:webHidden/>
          </w:rPr>
        </w:r>
        <w:r w:rsidR="009A178E">
          <w:rPr>
            <w:webHidden/>
          </w:rPr>
          <w:fldChar w:fldCharType="separate"/>
        </w:r>
        <w:r w:rsidR="00E165BB">
          <w:rPr>
            <w:webHidden/>
          </w:rPr>
          <w:t>173</w:t>
        </w:r>
        <w:r w:rsidR="009A178E">
          <w:rPr>
            <w:webHidden/>
          </w:rPr>
          <w:fldChar w:fldCharType="end"/>
        </w:r>
      </w:hyperlink>
    </w:p>
    <w:p w:rsidR="009A178E" w:rsidRDefault="00A44F05">
      <w:pPr>
        <w:pStyle w:val="Obsah2"/>
        <w:rPr>
          <w:rFonts w:asciiTheme="minorHAnsi" w:eastAsiaTheme="minorEastAsia" w:hAnsiTheme="minorHAnsi" w:cstheme="minorBidi"/>
          <w:bCs w:val="0"/>
          <w:iCs w:val="0"/>
          <w:sz w:val="22"/>
          <w:szCs w:val="22"/>
          <w:lang w:eastAsia="sk-SK"/>
        </w:rPr>
      </w:pPr>
      <w:hyperlink w:anchor="_Toc526273195" w:history="1">
        <w:r w:rsidR="009A178E" w:rsidRPr="009A178E">
          <w:rPr>
            <w:rStyle w:val="Hypertextovprepojenie"/>
          </w:rPr>
          <w:t>5.2. Výdavkové operácie</w:t>
        </w:r>
        <w:r w:rsidR="009A178E">
          <w:rPr>
            <w:webHidden/>
          </w:rPr>
          <w:tab/>
        </w:r>
        <w:r w:rsidR="009A178E">
          <w:rPr>
            <w:webHidden/>
          </w:rPr>
          <w:fldChar w:fldCharType="begin"/>
        </w:r>
        <w:r w:rsidR="009A178E">
          <w:rPr>
            <w:webHidden/>
          </w:rPr>
          <w:instrText xml:space="preserve"> PAGEREF _Toc526273195 \h </w:instrText>
        </w:r>
        <w:r w:rsidR="009A178E">
          <w:rPr>
            <w:webHidden/>
          </w:rPr>
        </w:r>
        <w:r w:rsidR="009A178E">
          <w:rPr>
            <w:webHidden/>
          </w:rPr>
          <w:fldChar w:fldCharType="separate"/>
        </w:r>
        <w:r w:rsidR="00E165BB">
          <w:rPr>
            <w:webHidden/>
          </w:rPr>
          <w:t>175</w:t>
        </w:r>
        <w:r w:rsidR="009A178E">
          <w:rPr>
            <w:webHidden/>
          </w:rPr>
          <w:fldChar w:fldCharType="end"/>
        </w:r>
      </w:hyperlink>
    </w:p>
    <w:p w:rsidR="007520A4" w:rsidRPr="007779E3" w:rsidRDefault="007520A4">
      <w:pPr>
        <w:rPr>
          <w:rFonts w:ascii="Times New Roman" w:hAnsi="Times New Roman" w:cs="Times New Roman"/>
          <w:color w:val="0070C0"/>
        </w:rPr>
      </w:pPr>
      <w:r w:rsidRPr="007779E3">
        <w:rPr>
          <w:color w:val="0070C0"/>
        </w:rPr>
        <w:fldChar w:fldCharType="end"/>
      </w:r>
    </w:p>
    <w:p w:rsidR="007520A4" w:rsidRPr="007779E3" w:rsidRDefault="007520A4" w:rsidP="00D05D21">
      <w:pPr>
        <w:rPr>
          <w:rFonts w:ascii="Times New Roman" w:hAnsi="Times New Roman" w:cs="Times New Roman"/>
          <w:color w:val="0070C0"/>
          <w:sz w:val="28"/>
          <w:szCs w:val="28"/>
        </w:rPr>
      </w:pPr>
    </w:p>
    <w:p w:rsidR="00CD0B3D" w:rsidRDefault="00CD0B3D" w:rsidP="00D05D21">
      <w:pPr>
        <w:rPr>
          <w:rFonts w:ascii="Times New Roman" w:hAnsi="Times New Roman" w:cs="Times New Roman"/>
          <w:color w:val="0070C0"/>
          <w:sz w:val="28"/>
          <w:szCs w:val="28"/>
        </w:rPr>
      </w:pPr>
    </w:p>
    <w:p w:rsidR="00892829" w:rsidRDefault="00892829" w:rsidP="00D05D21">
      <w:pPr>
        <w:rPr>
          <w:rFonts w:ascii="Times New Roman" w:hAnsi="Times New Roman" w:cs="Times New Roman"/>
          <w:color w:val="0070C0"/>
          <w:sz w:val="28"/>
          <w:szCs w:val="28"/>
        </w:rPr>
      </w:pPr>
    </w:p>
    <w:p w:rsidR="00425D90" w:rsidRDefault="00425D90" w:rsidP="00D05D21">
      <w:pPr>
        <w:rPr>
          <w:rFonts w:ascii="Times New Roman" w:hAnsi="Times New Roman" w:cs="Times New Roman"/>
          <w:color w:val="0070C0"/>
          <w:sz w:val="28"/>
          <w:szCs w:val="28"/>
        </w:rPr>
      </w:pPr>
    </w:p>
    <w:p w:rsidR="00425D90" w:rsidRDefault="00425D90" w:rsidP="00D05D21">
      <w:pPr>
        <w:rPr>
          <w:rFonts w:ascii="Times New Roman" w:hAnsi="Times New Roman" w:cs="Times New Roman"/>
          <w:color w:val="0070C0"/>
          <w:sz w:val="28"/>
          <w:szCs w:val="28"/>
        </w:rPr>
      </w:pPr>
    </w:p>
    <w:p w:rsidR="00A16DFF" w:rsidRDefault="00A16DFF" w:rsidP="00D05D21">
      <w:pPr>
        <w:rPr>
          <w:rFonts w:ascii="Times New Roman" w:hAnsi="Times New Roman" w:cs="Times New Roman"/>
          <w:color w:val="0070C0"/>
          <w:sz w:val="28"/>
          <w:szCs w:val="28"/>
        </w:rPr>
      </w:pPr>
    </w:p>
    <w:p w:rsidR="00A16DFF" w:rsidRDefault="00A16DFF" w:rsidP="00D05D21">
      <w:pPr>
        <w:rPr>
          <w:rFonts w:ascii="Times New Roman" w:hAnsi="Times New Roman" w:cs="Times New Roman"/>
          <w:color w:val="0070C0"/>
          <w:sz w:val="28"/>
          <w:szCs w:val="28"/>
        </w:rPr>
      </w:pPr>
    </w:p>
    <w:p w:rsidR="00425D90" w:rsidRPr="007779E3" w:rsidRDefault="00425D90" w:rsidP="00D05D21">
      <w:pPr>
        <w:rPr>
          <w:rFonts w:ascii="Times New Roman" w:hAnsi="Times New Roman" w:cs="Times New Roman"/>
          <w:color w:val="0070C0"/>
          <w:sz w:val="28"/>
          <w:szCs w:val="28"/>
        </w:rPr>
      </w:pPr>
    </w:p>
    <w:p w:rsidR="00CD0B3D" w:rsidRPr="007779E3" w:rsidRDefault="00CD0B3D" w:rsidP="00D05D21">
      <w:pPr>
        <w:rPr>
          <w:rFonts w:ascii="Times New Roman" w:hAnsi="Times New Roman" w:cs="Times New Roman"/>
          <w:color w:val="0070C0"/>
          <w:sz w:val="28"/>
          <w:szCs w:val="28"/>
        </w:rPr>
      </w:pPr>
    </w:p>
    <w:p w:rsidR="0051520B" w:rsidRPr="00C60C62" w:rsidRDefault="006A0D8F" w:rsidP="00D05D21">
      <w:pPr>
        <w:rPr>
          <w:rFonts w:ascii="Times New Roman" w:hAnsi="Times New Roman" w:cs="Times New Roman"/>
          <w:b/>
          <w:szCs w:val="28"/>
        </w:rPr>
      </w:pPr>
      <w:r w:rsidRPr="00C60C62">
        <w:rPr>
          <w:rFonts w:ascii="Times New Roman" w:hAnsi="Times New Roman" w:cs="Times New Roman"/>
          <w:b/>
          <w:szCs w:val="28"/>
        </w:rPr>
        <w:t>Prílohy</w:t>
      </w:r>
    </w:p>
    <w:p w:rsidR="0051520B" w:rsidRPr="00C60C62" w:rsidRDefault="0051520B" w:rsidP="00627C59">
      <w:pPr>
        <w:jc w:val="both"/>
        <w:rPr>
          <w:rFonts w:ascii="Times New Roman" w:hAnsi="Times New Roman" w:cs="Times New Roman"/>
          <w:sz w:val="28"/>
          <w:szCs w:val="28"/>
        </w:rPr>
      </w:pPr>
    </w:p>
    <w:p w:rsidR="0051520B" w:rsidRPr="0044132A" w:rsidRDefault="006A0D8F" w:rsidP="00627C59">
      <w:pPr>
        <w:numPr>
          <w:ilvl w:val="0"/>
          <w:numId w:val="2"/>
        </w:numPr>
        <w:ind w:left="284" w:hanging="284"/>
        <w:jc w:val="both"/>
        <w:rPr>
          <w:rFonts w:ascii="Times New Roman" w:hAnsi="Times New Roman" w:cs="Times New Roman"/>
          <w:szCs w:val="28"/>
        </w:rPr>
      </w:pPr>
      <w:r w:rsidRPr="0044132A">
        <w:rPr>
          <w:rFonts w:ascii="Times New Roman" w:hAnsi="Times New Roman" w:cs="Times New Roman"/>
          <w:szCs w:val="28"/>
        </w:rPr>
        <w:t>Rozpočtovanie príjmov a výdavkov ostatných subjektov verejnej správy v metodike ESA </w:t>
      </w:r>
      <w:r w:rsidR="00E402AE">
        <w:rPr>
          <w:rFonts w:ascii="Times New Roman" w:hAnsi="Times New Roman" w:cs="Times New Roman"/>
          <w:szCs w:val="28"/>
        </w:rPr>
        <w:t>2010</w:t>
      </w:r>
    </w:p>
    <w:p w:rsidR="006A0D8F" w:rsidRPr="0044132A" w:rsidRDefault="006A0D8F" w:rsidP="00627C59">
      <w:pPr>
        <w:numPr>
          <w:ilvl w:val="0"/>
          <w:numId w:val="2"/>
        </w:numPr>
        <w:ind w:left="284" w:hanging="284"/>
        <w:jc w:val="both"/>
        <w:rPr>
          <w:rFonts w:ascii="Times New Roman" w:hAnsi="Times New Roman" w:cs="Times New Roman"/>
          <w:szCs w:val="28"/>
        </w:rPr>
      </w:pPr>
      <w:r w:rsidRPr="0044132A">
        <w:rPr>
          <w:rFonts w:ascii="Times New Roman" w:hAnsi="Times New Roman" w:cs="Times New Roman"/>
          <w:szCs w:val="28"/>
        </w:rPr>
        <w:t>Rozpočtové vzťahy SR a</w:t>
      </w:r>
      <w:r w:rsidR="0086775F" w:rsidRPr="0044132A">
        <w:rPr>
          <w:rFonts w:ascii="Times New Roman" w:hAnsi="Times New Roman" w:cs="Times New Roman"/>
          <w:szCs w:val="28"/>
        </w:rPr>
        <w:t> </w:t>
      </w:r>
      <w:r w:rsidRPr="0044132A">
        <w:rPr>
          <w:rFonts w:ascii="Times New Roman" w:hAnsi="Times New Roman" w:cs="Times New Roman"/>
          <w:szCs w:val="28"/>
        </w:rPr>
        <w:t>EÚ</w:t>
      </w:r>
    </w:p>
    <w:p w:rsidR="0086775F" w:rsidRPr="00C60C62" w:rsidRDefault="0086775F" w:rsidP="00627C59">
      <w:pPr>
        <w:numPr>
          <w:ilvl w:val="0"/>
          <w:numId w:val="2"/>
        </w:numPr>
        <w:ind w:left="284" w:hanging="284"/>
        <w:jc w:val="both"/>
        <w:rPr>
          <w:rFonts w:ascii="Times New Roman" w:hAnsi="Times New Roman" w:cs="Times New Roman"/>
          <w:szCs w:val="28"/>
        </w:rPr>
      </w:pPr>
      <w:r w:rsidRPr="00C60C62">
        <w:rPr>
          <w:rFonts w:ascii="Times New Roman" w:hAnsi="Times New Roman" w:cs="Times New Roman"/>
          <w:szCs w:val="28"/>
        </w:rPr>
        <w:t xml:space="preserve">Prehľad hospodárenia podnikov štátnej správy </w:t>
      </w:r>
    </w:p>
    <w:p w:rsidR="00536407" w:rsidRPr="003F49DB" w:rsidRDefault="003520E8" w:rsidP="00627C59">
      <w:pPr>
        <w:numPr>
          <w:ilvl w:val="0"/>
          <w:numId w:val="2"/>
        </w:numPr>
        <w:ind w:left="284" w:hanging="284"/>
        <w:jc w:val="both"/>
        <w:rPr>
          <w:rFonts w:ascii="Times New Roman" w:hAnsi="Times New Roman" w:cs="Times New Roman"/>
          <w:szCs w:val="28"/>
        </w:rPr>
      </w:pPr>
      <w:r>
        <w:rPr>
          <w:rFonts w:ascii="Times New Roman" w:hAnsi="Times New Roman" w:cs="Times New Roman"/>
          <w:szCs w:val="28"/>
        </w:rPr>
        <w:t>Podmienené záväzky</w:t>
      </w:r>
    </w:p>
    <w:p w:rsidR="00536407" w:rsidRPr="002E41C3" w:rsidRDefault="00536407" w:rsidP="00627C59">
      <w:pPr>
        <w:numPr>
          <w:ilvl w:val="0"/>
          <w:numId w:val="2"/>
        </w:numPr>
        <w:ind w:left="284" w:hanging="284"/>
        <w:jc w:val="both"/>
        <w:rPr>
          <w:rFonts w:ascii="Times New Roman" w:hAnsi="Times New Roman" w:cs="Times New Roman"/>
          <w:szCs w:val="28"/>
        </w:rPr>
      </w:pPr>
      <w:r w:rsidRPr="002E41C3">
        <w:rPr>
          <w:rFonts w:ascii="Times New Roman" w:hAnsi="Times New Roman" w:cs="Times New Roman"/>
          <w:szCs w:val="28"/>
        </w:rPr>
        <w:t xml:space="preserve">Implicitné záväzky </w:t>
      </w:r>
    </w:p>
    <w:p w:rsidR="0086775F" w:rsidRPr="007754F9" w:rsidRDefault="00432AC8" w:rsidP="00627C59">
      <w:pPr>
        <w:numPr>
          <w:ilvl w:val="0"/>
          <w:numId w:val="2"/>
        </w:numPr>
        <w:ind w:left="284" w:hanging="284"/>
        <w:jc w:val="both"/>
        <w:rPr>
          <w:rFonts w:ascii="Times New Roman" w:hAnsi="Times New Roman" w:cs="Times New Roman"/>
          <w:szCs w:val="28"/>
        </w:rPr>
      </w:pPr>
      <w:r w:rsidRPr="007754F9">
        <w:rPr>
          <w:rFonts w:ascii="Times New Roman" w:hAnsi="Times New Roman" w:cs="Times New Roman"/>
          <w:szCs w:val="28"/>
        </w:rPr>
        <w:t xml:space="preserve">Aktualizácia </w:t>
      </w:r>
      <w:r w:rsidR="0066250E" w:rsidRPr="007754F9">
        <w:rPr>
          <w:rFonts w:ascii="Times New Roman" w:hAnsi="Times New Roman" w:cs="Times New Roman"/>
          <w:szCs w:val="28"/>
        </w:rPr>
        <w:t>S</w:t>
      </w:r>
      <w:r w:rsidRPr="007754F9">
        <w:rPr>
          <w:rFonts w:ascii="Times New Roman" w:hAnsi="Times New Roman" w:cs="Times New Roman"/>
          <w:szCs w:val="28"/>
        </w:rPr>
        <w:t>tratégie riadenia štátneho dlhu na roky 2015 až 2018</w:t>
      </w:r>
      <w:r w:rsidR="006B0B01" w:rsidRPr="007754F9">
        <w:rPr>
          <w:rFonts w:ascii="Times New Roman" w:hAnsi="Times New Roman" w:cs="Times New Roman"/>
          <w:szCs w:val="28"/>
        </w:rPr>
        <w:t xml:space="preserve"> </w:t>
      </w:r>
    </w:p>
    <w:p w:rsidR="00F06E9B" w:rsidRPr="002718FE" w:rsidRDefault="00F06E9B" w:rsidP="00F06E9B">
      <w:pPr>
        <w:numPr>
          <w:ilvl w:val="0"/>
          <w:numId w:val="2"/>
        </w:numPr>
        <w:ind w:left="284" w:hanging="284"/>
        <w:jc w:val="both"/>
        <w:rPr>
          <w:rFonts w:ascii="Times New Roman" w:hAnsi="Times New Roman" w:cs="Times New Roman"/>
          <w:szCs w:val="28"/>
        </w:rPr>
      </w:pPr>
      <w:r w:rsidRPr="002718FE">
        <w:rPr>
          <w:rFonts w:ascii="Times New Roman" w:hAnsi="Times New Roman" w:cs="Times New Roman"/>
          <w:szCs w:val="28"/>
        </w:rPr>
        <w:t>Priebežná implementačná správa: Zdravotníctvo, doprava, informatizácia, 1.1.2018 – 30.6.2018</w:t>
      </w:r>
    </w:p>
    <w:p w:rsidR="00892829" w:rsidRDefault="00892829" w:rsidP="00892829"/>
    <w:p w:rsidR="005C7DF1" w:rsidRPr="009266D0" w:rsidRDefault="005C7DF1" w:rsidP="006740BA">
      <w:pPr>
        <w:pStyle w:val="Nadpis1"/>
        <w:keepNext w:val="0"/>
        <w:widowControl w:val="0"/>
        <w:spacing w:before="0" w:after="0"/>
        <w:jc w:val="center"/>
        <w:rPr>
          <w:rFonts w:ascii="Times New Roman" w:hAnsi="Times New Roman" w:cs="Times New Roman"/>
          <w:sz w:val="28"/>
        </w:rPr>
      </w:pPr>
      <w:bookmarkStart w:id="3" w:name="_Toc526273174"/>
      <w:r w:rsidRPr="009266D0">
        <w:rPr>
          <w:rFonts w:ascii="Times New Roman" w:hAnsi="Times New Roman" w:cs="Times New Roman"/>
          <w:sz w:val="28"/>
        </w:rPr>
        <w:lastRenderedPageBreak/>
        <w:t>Predkladacia správa</w:t>
      </w:r>
      <w:bookmarkEnd w:id="3"/>
    </w:p>
    <w:p w:rsidR="00271B73" w:rsidRPr="009266D0" w:rsidRDefault="00271B73" w:rsidP="006740BA">
      <w:pPr>
        <w:widowControl w:val="0"/>
        <w:rPr>
          <w:rFonts w:ascii="Times New Roman" w:hAnsi="Times New Roman" w:cs="Times New Roman"/>
        </w:rPr>
      </w:pPr>
    </w:p>
    <w:p w:rsidR="00F159B9" w:rsidRDefault="00F159B9" w:rsidP="00F159B9">
      <w:pPr>
        <w:autoSpaceDE w:val="0"/>
        <w:autoSpaceDN w:val="0"/>
        <w:ind w:firstLine="708"/>
        <w:jc w:val="both"/>
        <w:rPr>
          <w:rFonts w:ascii="Times New Roman" w:hAnsi="Times New Roman"/>
        </w:rPr>
      </w:pPr>
      <w:r>
        <w:rPr>
          <w:rFonts w:ascii="Times New Roman" w:hAnsi="Times New Roman"/>
        </w:rPr>
        <w:t>Návrh rozpočtu verejnej správy na roky 2019 až 2021 sa na rokovanie vlády predkladá na základe § 14 ods. 3 zákona č. 523/2004 Z. z. o rozpočtových pravidlách verejnej správy a o zmene a doplnení niektorých zákonov</w:t>
      </w:r>
      <w:r w:rsidR="00DF6732">
        <w:rPr>
          <w:rFonts w:ascii="Times New Roman" w:hAnsi="Times New Roman"/>
        </w:rPr>
        <w:t xml:space="preserve"> v znení neskorších predpisov</w:t>
      </w:r>
      <w:r>
        <w:rPr>
          <w:rFonts w:ascii="Times New Roman" w:hAnsi="Times New Roman"/>
        </w:rPr>
        <w:t xml:space="preserve">. </w:t>
      </w:r>
    </w:p>
    <w:p w:rsidR="00F159B9" w:rsidRPr="00F668B3" w:rsidRDefault="00F159B9" w:rsidP="00F159B9">
      <w:pPr>
        <w:autoSpaceDE w:val="0"/>
        <w:autoSpaceDN w:val="0"/>
        <w:ind w:firstLine="708"/>
        <w:jc w:val="both"/>
        <w:rPr>
          <w:rFonts w:ascii="Times New Roman" w:hAnsi="Times New Roman"/>
          <w:highlight w:val="yellow"/>
        </w:rPr>
      </w:pPr>
    </w:p>
    <w:p w:rsidR="00F159B9" w:rsidRDefault="00F159B9" w:rsidP="00F159B9">
      <w:pPr>
        <w:autoSpaceDE w:val="0"/>
        <w:autoSpaceDN w:val="0"/>
        <w:ind w:firstLine="708"/>
        <w:jc w:val="both"/>
        <w:rPr>
          <w:rFonts w:ascii="Times New Roman" w:hAnsi="Times New Roman" w:cs="Times New Roman"/>
          <w:sz w:val="22"/>
          <w:szCs w:val="22"/>
          <w:lang w:eastAsia="en-US"/>
        </w:rPr>
      </w:pPr>
      <w:r>
        <w:rPr>
          <w:rFonts w:ascii="Times New Roman" w:hAnsi="Times New Roman"/>
        </w:rPr>
        <w:t xml:space="preserve">Rozpočtová politika v nasledujúcich rokoch vychádza z Programového vyhlásenia vlády SR, kde medzi hlavné priority patrí ozdravenie verejných financií s cieľom dosiahnuť dlhodobú udržateľnosť verejných financií.  </w:t>
      </w:r>
    </w:p>
    <w:p w:rsidR="00F159B9" w:rsidRPr="00F668B3" w:rsidRDefault="00F159B9" w:rsidP="00F159B9">
      <w:pPr>
        <w:autoSpaceDE w:val="0"/>
        <w:autoSpaceDN w:val="0"/>
        <w:ind w:firstLine="708"/>
        <w:jc w:val="both"/>
        <w:rPr>
          <w:rFonts w:ascii="Times New Roman" w:hAnsi="Times New Roman"/>
        </w:rPr>
      </w:pPr>
    </w:p>
    <w:p w:rsidR="00F159B9" w:rsidRDefault="00F159B9" w:rsidP="00F159B9">
      <w:pPr>
        <w:autoSpaceDE w:val="0"/>
        <w:autoSpaceDN w:val="0"/>
        <w:jc w:val="both"/>
        <w:rPr>
          <w:rFonts w:ascii="Times New Roman" w:hAnsi="Times New Roman"/>
        </w:rPr>
      </w:pPr>
      <w:r>
        <w:rPr>
          <w:rFonts w:ascii="Times New Roman" w:hAnsi="Times New Roman"/>
        </w:rPr>
        <w:t xml:space="preserve">           Po historicky najnižšom schodku verejnej správy v roku 2017, ktorý by mal dosiahnuť 0,78 % HDP, predpokladá aktuálny odhad </w:t>
      </w:r>
      <w:r w:rsidR="005B6C36">
        <w:rPr>
          <w:rFonts w:ascii="Times New Roman" w:hAnsi="Times New Roman"/>
        </w:rPr>
        <w:t>na</w:t>
      </w:r>
      <w:r>
        <w:rPr>
          <w:rFonts w:ascii="Times New Roman" w:hAnsi="Times New Roman"/>
        </w:rPr>
        <w:t xml:space="preserve"> rok 2018 schodok 0,6 % HDP. Pôvodný rozpočtový cieľ na 2018 vo výške 0,83 % HDP by tak mal byť zlepšený o 0,23 p.b. HDP. Po očistení o úrokové náklady na verejný dlh by mali byť verejné financie opätovne v primárnom prebytku. </w:t>
      </w:r>
    </w:p>
    <w:p w:rsidR="00F159B9" w:rsidRPr="00F668B3" w:rsidRDefault="00F159B9" w:rsidP="00F159B9">
      <w:pPr>
        <w:autoSpaceDE w:val="0"/>
        <w:autoSpaceDN w:val="0"/>
        <w:ind w:firstLine="708"/>
        <w:jc w:val="both"/>
        <w:rPr>
          <w:rFonts w:ascii="Times New Roman" w:hAnsi="Times New Roman"/>
        </w:rPr>
      </w:pPr>
    </w:p>
    <w:p w:rsidR="00F159B9" w:rsidRDefault="00F159B9" w:rsidP="00F159B9">
      <w:pPr>
        <w:autoSpaceDE w:val="0"/>
        <w:autoSpaceDN w:val="0"/>
        <w:ind w:firstLine="708"/>
        <w:jc w:val="both"/>
        <w:rPr>
          <w:rFonts w:ascii="Times New Roman" w:hAnsi="Times New Roman"/>
        </w:rPr>
      </w:pPr>
      <w:r>
        <w:rPr>
          <w:rFonts w:ascii="Times New Roman" w:hAnsi="Times New Roman"/>
        </w:rPr>
        <w:t xml:space="preserve">Návrh rozpočtu na nasledujúce roky predpokladá pokračovanie ozdravovania verejných financií v kontexte pozitívneho makroekonomického vývoja. V roku 2019 sa navrhuje </w:t>
      </w:r>
      <w:r w:rsidR="00DA4F7A">
        <w:rPr>
          <w:rFonts w:ascii="Times New Roman" w:hAnsi="Times New Roman"/>
        </w:rPr>
        <w:t xml:space="preserve">takmer vyrovnané hospodárenie s poklesom </w:t>
      </w:r>
      <w:r>
        <w:rPr>
          <w:rFonts w:ascii="Times New Roman" w:hAnsi="Times New Roman"/>
        </w:rPr>
        <w:t xml:space="preserve">deficitu až na úroveň 0,10 % HDP, čo zabezpečí dosiahnutie strednodobého rozpočtového cieľa. V roku 2020 sa predpokladá vyrovnané hospodárenie a v nasledujúcom roku po prvýkrát prebytok na úrovni 0,2 % HDP. Navrhované rozpočtové ciele vychádzajú z požiadaviek pravidiel Paktu stability a rastu a sú v súlade s konsolidačnými požiadavkami Európskej komisie. </w:t>
      </w:r>
    </w:p>
    <w:p w:rsidR="00F159B9" w:rsidRPr="00F668B3" w:rsidRDefault="00F159B9" w:rsidP="00F159B9">
      <w:pPr>
        <w:autoSpaceDE w:val="0"/>
        <w:autoSpaceDN w:val="0"/>
        <w:ind w:firstLine="708"/>
        <w:jc w:val="both"/>
        <w:rPr>
          <w:rFonts w:ascii="Times New Roman" w:hAnsi="Times New Roman"/>
        </w:rPr>
      </w:pPr>
    </w:p>
    <w:p w:rsidR="00F159B9" w:rsidRDefault="00F159B9" w:rsidP="00F159B9">
      <w:pPr>
        <w:autoSpaceDE w:val="0"/>
        <w:autoSpaceDN w:val="0"/>
        <w:jc w:val="both"/>
        <w:rPr>
          <w:rFonts w:ascii="Times New Roman" w:hAnsi="Times New Roman"/>
        </w:rPr>
      </w:pPr>
      <w:r w:rsidRPr="003D0D91">
        <w:rPr>
          <w:rFonts w:ascii="Times New Roman" w:hAnsi="Times New Roman"/>
        </w:rPr>
        <w:tab/>
      </w:r>
      <w:r>
        <w:rPr>
          <w:rFonts w:ascii="Times New Roman" w:hAnsi="Times New Roman" w:cs="Times New Roman"/>
        </w:rPr>
        <w:t xml:space="preserve">Na základe aktuálneho odhadu skutočnosti na rok </w:t>
      </w:r>
      <w:r w:rsidRPr="00C96BFD">
        <w:rPr>
          <w:rFonts w:ascii="Times New Roman" w:hAnsi="Times New Roman" w:cs="Times New Roman"/>
        </w:rPr>
        <w:t>201</w:t>
      </w:r>
      <w:r>
        <w:rPr>
          <w:rFonts w:ascii="Times New Roman" w:hAnsi="Times New Roman" w:cs="Times New Roman"/>
        </w:rPr>
        <w:t>8</w:t>
      </w:r>
      <w:r w:rsidRPr="00C96BFD">
        <w:rPr>
          <w:rFonts w:ascii="Times New Roman" w:hAnsi="Times New Roman" w:cs="Times New Roman"/>
        </w:rPr>
        <w:t xml:space="preserve"> </w:t>
      </w:r>
      <w:r>
        <w:rPr>
          <w:rFonts w:ascii="Times New Roman" w:hAnsi="Times New Roman" w:cs="Times New Roman"/>
        </w:rPr>
        <w:t>sa očakáva h</w:t>
      </w:r>
      <w:r w:rsidRPr="00023426">
        <w:rPr>
          <w:rFonts w:ascii="Times New Roman" w:hAnsi="Times New Roman" w:cs="Times New Roman"/>
          <w:szCs w:val="22"/>
        </w:rPr>
        <w:t>rubý dlh verejnej správy</w:t>
      </w:r>
      <w:r w:rsidR="00DA4F7A">
        <w:rPr>
          <w:rFonts w:ascii="Times New Roman" w:hAnsi="Times New Roman" w:cs="Times New Roman"/>
          <w:szCs w:val="22"/>
        </w:rPr>
        <w:t xml:space="preserve"> na úrovni 48,7 % HDP, čo predstavuje pokles</w:t>
      </w:r>
      <w:r w:rsidRPr="00023426">
        <w:rPr>
          <w:rFonts w:ascii="Times New Roman" w:hAnsi="Times New Roman" w:cs="Times New Roman"/>
          <w:szCs w:val="22"/>
        </w:rPr>
        <w:t xml:space="preserve"> pod </w:t>
      </w:r>
      <w:r>
        <w:rPr>
          <w:rFonts w:ascii="Times New Roman" w:hAnsi="Times New Roman" w:cs="Times New Roman"/>
          <w:szCs w:val="22"/>
        </w:rPr>
        <w:t>dolné</w:t>
      </w:r>
      <w:r w:rsidRPr="00023426">
        <w:rPr>
          <w:rFonts w:ascii="Times New Roman" w:hAnsi="Times New Roman" w:cs="Times New Roman"/>
          <w:szCs w:val="22"/>
        </w:rPr>
        <w:t xml:space="preserve"> sankčné pásm</w:t>
      </w:r>
      <w:r>
        <w:rPr>
          <w:rFonts w:ascii="Times New Roman" w:hAnsi="Times New Roman" w:cs="Times New Roman"/>
          <w:szCs w:val="22"/>
        </w:rPr>
        <w:t>o</w:t>
      </w:r>
      <w:r w:rsidR="00DA4F7A">
        <w:rPr>
          <w:rFonts w:ascii="Times New Roman" w:hAnsi="Times New Roman" w:cs="Times New Roman"/>
          <w:szCs w:val="22"/>
        </w:rPr>
        <w:t xml:space="preserve"> 49 %</w:t>
      </w:r>
      <w:r>
        <w:rPr>
          <w:rFonts w:ascii="Times New Roman" w:hAnsi="Times New Roman" w:cs="Times New Roman"/>
          <w:szCs w:val="22"/>
        </w:rPr>
        <w:t xml:space="preserve"> už v</w:t>
      </w:r>
      <w:r w:rsidR="00FE4440">
        <w:rPr>
          <w:rFonts w:ascii="Times New Roman" w:hAnsi="Times New Roman" w:cs="Times New Roman"/>
          <w:szCs w:val="22"/>
        </w:rPr>
        <w:t xml:space="preserve"> roku 2018</w:t>
      </w:r>
      <w:r w:rsidR="00201275">
        <w:rPr>
          <w:rFonts w:ascii="Times New Roman" w:hAnsi="Times New Roman" w:cs="Times New Roman"/>
          <w:szCs w:val="22"/>
        </w:rPr>
        <w:t>.</w:t>
      </w:r>
      <w:r w:rsidR="00DA4F7A">
        <w:rPr>
          <w:rFonts w:ascii="Times New Roman" w:hAnsi="Times New Roman" w:cs="Times New Roman"/>
          <w:szCs w:val="22"/>
        </w:rPr>
        <w:t xml:space="preserve"> </w:t>
      </w:r>
      <w:r w:rsidR="00201275">
        <w:rPr>
          <w:rFonts w:ascii="Times New Roman" w:hAnsi="Times New Roman" w:cs="Times New Roman"/>
          <w:szCs w:val="22"/>
        </w:rPr>
        <w:t>P</w:t>
      </w:r>
      <w:r w:rsidR="00DA4F7A">
        <w:rPr>
          <w:rFonts w:ascii="Times New Roman" w:hAnsi="Times New Roman" w:cs="Times New Roman"/>
          <w:szCs w:val="22"/>
        </w:rPr>
        <w:t>od sankčnými pásmami</w:t>
      </w:r>
      <w:r>
        <w:rPr>
          <w:rFonts w:ascii="Times New Roman" w:hAnsi="Times New Roman" w:cs="Times New Roman"/>
          <w:szCs w:val="22"/>
        </w:rPr>
        <w:t xml:space="preserve"> sa udrží</w:t>
      </w:r>
      <w:r w:rsidRPr="00023426">
        <w:rPr>
          <w:rFonts w:ascii="Times New Roman" w:hAnsi="Times New Roman" w:cs="Times New Roman"/>
          <w:szCs w:val="22"/>
        </w:rPr>
        <w:t xml:space="preserve"> na celom </w:t>
      </w:r>
      <w:r w:rsidR="00201275">
        <w:rPr>
          <w:rFonts w:ascii="Times New Roman" w:hAnsi="Times New Roman" w:cs="Times New Roman"/>
          <w:szCs w:val="22"/>
        </w:rPr>
        <w:t xml:space="preserve">trojročnom </w:t>
      </w:r>
      <w:r w:rsidRPr="00023426">
        <w:rPr>
          <w:rFonts w:ascii="Times New Roman" w:hAnsi="Times New Roman" w:cs="Times New Roman"/>
          <w:szCs w:val="22"/>
        </w:rPr>
        <w:t>horizonte rozpočtu.</w:t>
      </w:r>
      <w:r>
        <w:rPr>
          <w:rFonts w:ascii="Times New Roman" w:hAnsi="Times New Roman" w:cs="Times New Roman"/>
          <w:szCs w:val="22"/>
        </w:rPr>
        <w:t xml:space="preserve"> </w:t>
      </w:r>
      <w:r w:rsidRPr="000C687C">
        <w:rPr>
          <w:rFonts w:ascii="Times New Roman" w:hAnsi="Times New Roman"/>
        </w:rPr>
        <w:t xml:space="preserve">Hrubý dlh verejnej správy by mal v roku 2019 </w:t>
      </w:r>
      <w:r w:rsidR="00201275">
        <w:rPr>
          <w:rFonts w:ascii="Times New Roman" w:hAnsi="Times New Roman"/>
        </w:rPr>
        <w:t xml:space="preserve">naďalej klesať, pričom </w:t>
      </w:r>
      <w:r w:rsidRPr="000C687C">
        <w:rPr>
          <w:rFonts w:ascii="Times New Roman" w:hAnsi="Times New Roman"/>
        </w:rPr>
        <w:t>dosiahn</w:t>
      </w:r>
      <w:r w:rsidR="00201275">
        <w:rPr>
          <w:rFonts w:ascii="Times New Roman" w:hAnsi="Times New Roman"/>
        </w:rPr>
        <w:t>e úroveň</w:t>
      </w:r>
      <w:r w:rsidRPr="000C687C">
        <w:rPr>
          <w:rFonts w:ascii="Times New Roman" w:hAnsi="Times New Roman"/>
        </w:rPr>
        <w:t xml:space="preserve"> </w:t>
      </w:r>
      <w:r w:rsidRPr="00761A3C">
        <w:rPr>
          <w:rFonts w:ascii="Times New Roman" w:hAnsi="Times New Roman"/>
        </w:rPr>
        <w:t>47,3 % HDP.</w:t>
      </w:r>
      <w:r>
        <w:rPr>
          <w:rFonts w:ascii="Times New Roman" w:hAnsi="Times New Roman"/>
        </w:rPr>
        <w:t xml:space="preserve"> </w:t>
      </w:r>
      <w:r w:rsidRPr="000C687C">
        <w:rPr>
          <w:rFonts w:ascii="Times New Roman" w:hAnsi="Times New Roman"/>
        </w:rPr>
        <w:t xml:space="preserve">Na základe  parametrov fiškálneho rámca pre rozpočet verejnej správy na roky 2019 až 2021 sa predpokladá, že hrubý dlh verejnej správy </w:t>
      </w:r>
      <w:r w:rsidR="00201275">
        <w:rPr>
          <w:rFonts w:ascii="Times New Roman" w:hAnsi="Times New Roman"/>
        </w:rPr>
        <w:t xml:space="preserve">na konci rozpočtovaného obdobia klesne k úrovni </w:t>
      </w:r>
      <w:r w:rsidRPr="00761A3C">
        <w:rPr>
          <w:rFonts w:ascii="Times New Roman" w:hAnsi="Times New Roman"/>
        </w:rPr>
        <w:t>44,8 % HDP</w:t>
      </w:r>
      <w:r w:rsidR="00FD471D">
        <w:rPr>
          <w:rFonts w:ascii="Times New Roman" w:hAnsi="Times New Roman"/>
        </w:rPr>
        <w:t>.</w:t>
      </w:r>
      <w:r>
        <w:rPr>
          <w:rFonts w:ascii="Times New Roman" w:hAnsi="Times New Roman"/>
        </w:rPr>
        <w:t xml:space="preserve"> </w:t>
      </w:r>
      <w:r w:rsidR="00FD471D">
        <w:rPr>
          <w:rFonts w:ascii="Times New Roman" w:hAnsi="Times New Roman"/>
        </w:rPr>
        <w:t>N</w:t>
      </w:r>
      <w:r>
        <w:rPr>
          <w:rFonts w:ascii="Times New Roman" w:hAnsi="Times New Roman"/>
        </w:rPr>
        <w:t>aďalej bude dosahovaný primárny prebytok na celom trojročnom horizonte rozpočtu.</w:t>
      </w:r>
    </w:p>
    <w:p w:rsidR="00F159B9" w:rsidRPr="00F668B3" w:rsidRDefault="00F159B9" w:rsidP="00F159B9">
      <w:pPr>
        <w:autoSpaceDE w:val="0"/>
        <w:autoSpaceDN w:val="0"/>
        <w:ind w:firstLine="708"/>
        <w:jc w:val="both"/>
        <w:rPr>
          <w:rFonts w:ascii="Times New Roman" w:hAnsi="Times New Roman" w:cs="Times New Roman"/>
          <w:highlight w:val="yellow"/>
        </w:rPr>
      </w:pPr>
    </w:p>
    <w:p w:rsidR="00F159B9" w:rsidRDefault="00F159B9" w:rsidP="00F159B9">
      <w:pPr>
        <w:ind w:firstLine="708"/>
        <w:jc w:val="both"/>
        <w:rPr>
          <w:rFonts w:ascii="Times New Roman" w:hAnsi="Times New Roman" w:cs="Times New Roman"/>
        </w:rPr>
      </w:pPr>
      <w:r w:rsidRPr="00C6094E">
        <w:rPr>
          <w:rFonts w:ascii="Times New Roman" w:hAnsi="Times New Roman" w:cs="Times New Roman"/>
        </w:rPr>
        <w:t>Septembrová makroekonomická prognóza Ministerstva financií SR predpokladá, že v roku 201</w:t>
      </w:r>
      <w:r>
        <w:rPr>
          <w:rFonts w:ascii="Times New Roman" w:hAnsi="Times New Roman" w:cs="Times New Roman"/>
        </w:rPr>
        <w:t>9</w:t>
      </w:r>
      <w:r w:rsidRPr="00C6094E">
        <w:rPr>
          <w:rFonts w:ascii="Times New Roman" w:hAnsi="Times New Roman" w:cs="Times New Roman"/>
        </w:rPr>
        <w:t xml:space="preserve"> slovenská ekonomika porastie o 4,</w:t>
      </w:r>
      <w:r>
        <w:rPr>
          <w:rFonts w:ascii="Times New Roman" w:hAnsi="Times New Roman" w:cs="Times New Roman"/>
        </w:rPr>
        <w:t>5</w:t>
      </w:r>
      <w:r w:rsidRPr="00C6094E">
        <w:rPr>
          <w:rFonts w:ascii="Times New Roman" w:hAnsi="Times New Roman" w:cs="Times New Roman"/>
        </w:rPr>
        <w:t xml:space="preserve"> %.</w:t>
      </w:r>
      <w:r w:rsidRPr="002B3B35">
        <w:rPr>
          <w:rFonts w:ascii="Times New Roman" w:hAnsi="Times New Roman" w:cs="Times New Roman"/>
        </w:rPr>
        <w:t xml:space="preserve"> </w:t>
      </w:r>
      <w:r w:rsidRPr="00EE4C66">
        <w:rPr>
          <w:rFonts w:ascii="Times New Roman" w:hAnsi="Times New Roman" w:cs="Times New Roman"/>
        </w:rPr>
        <w:t xml:space="preserve">Dominovať bude export, ktorý opäť zrýchli vďaka nábehu produkcie </w:t>
      </w:r>
      <w:r>
        <w:rPr>
          <w:rFonts w:ascii="Times New Roman" w:hAnsi="Times New Roman" w:cs="Times New Roman"/>
        </w:rPr>
        <w:t>a</w:t>
      </w:r>
      <w:r w:rsidRPr="00EE4C66">
        <w:rPr>
          <w:rFonts w:ascii="Times New Roman" w:hAnsi="Times New Roman" w:cs="Times New Roman"/>
        </w:rPr>
        <w:t xml:space="preserve"> pokračujúcemu zvyšovaniu výroby </w:t>
      </w:r>
      <w:r>
        <w:rPr>
          <w:rFonts w:ascii="Times New Roman" w:hAnsi="Times New Roman" w:cs="Times New Roman"/>
        </w:rPr>
        <w:t>v automobilových závodoch</w:t>
      </w:r>
      <w:r w:rsidRPr="00EE4C66">
        <w:rPr>
          <w:rFonts w:ascii="Times New Roman" w:hAnsi="Times New Roman" w:cs="Times New Roman"/>
        </w:rPr>
        <w:t>.</w:t>
      </w:r>
      <w:r>
        <w:rPr>
          <w:rFonts w:ascii="Times New Roman" w:hAnsi="Times New Roman" w:cs="Times New Roman"/>
        </w:rPr>
        <w:t xml:space="preserve"> </w:t>
      </w:r>
      <w:r w:rsidRPr="007835DF">
        <w:rPr>
          <w:rFonts w:ascii="Times New Roman" w:hAnsi="Times New Roman" w:cs="Times New Roman"/>
        </w:rPr>
        <w:t>V roku 2018 sa očakáva vytvorenie 47 tis</w:t>
      </w:r>
      <w:r w:rsidR="002A186B" w:rsidRPr="007835DF">
        <w:rPr>
          <w:rFonts w:ascii="Times New Roman" w:hAnsi="Times New Roman" w:cs="Times New Roman"/>
        </w:rPr>
        <w:t>íc</w:t>
      </w:r>
      <w:r w:rsidRPr="007835DF">
        <w:rPr>
          <w:rFonts w:ascii="Times New Roman" w:hAnsi="Times New Roman" w:cs="Times New Roman"/>
        </w:rPr>
        <w:t xml:space="preserve"> nových pracovných miest a v roku 2019 ďalších</w:t>
      </w:r>
      <w:r w:rsidR="00EF6043" w:rsidRPr="007835DF">
        <w:rPr>
          <w:rFonts w:ascii="Times New Roman" w:hAnsi="Times New Roman" w:cs="Times New Roman"/>
        </w:rPr>
        <w:t xml:space="preserve"> </w:t>
      </w:r>
      <w:r w:rsidR="00EF6043" w:rsidRPr="007835DF">
        <w:rPr>
          <w:rFonts w:ascii="Times New Roman" w:hAnsi="Times New Roman" w:cs="Times New Roman"/>
        </w:rPr>
        <w:br/>
        <w:t>28 tis</w:t>
      </w:r>
      <w:r w:rsidR="002A186B" w:rsidRPr="007835DF">
        <w:rPr>
          <w:rFonts w:ascii="Times New Roman" w:hAnsi="Times New Roman" w:cs="Times New Roman"/>
        </w:rPr>
        <w:t>íc</w:t>
      </w:r>
      <w:r w:rsidR="00EF6043" w:rsidRPr="007835DF">
        <w:rPr>
          <w:rFonts w:ascii="Times New Roman" w:hAnsi="Times New Roman" w:cs="Times New Roman"/>
        </w:rPr>
        <w:t xml:space="preserve"> pracovných miest.</w:t>
      </w:r>
      <w:r>
        <w:rPr>
          <w:rFonts w:ascii="Times New Roman" w:hAnsi="Times New Roman" w:cs="Times New Roman"/>
        </w:rPr>
        <w:t xml:space="preserve"> M</w:t>
      </w:r>
      <w:r w:rsidRPr="00EE4C66">
        <w:rPr>
          <w:rFonts w:ascii="Times New Roman" w:hAnsi="Times New Roman" w:cs="Times New Roman"/>
        </w:rPr>
        <w:t>iera nezamestnanosti prekonáva nové minimá a </w:t>
      </w:r>
      <w:r>
        <w:rPr>
          <w:rFonts w:ascii="Times New Roman" w:hAnsi="Times New Roman" w:cs="Times New Roman"/>
        </w:rPr>
        <w:t>v </w:t>
      </w:r>
      <w:r w:rsidRPr="00EE4C66">
        <w:rPr>
          <w:rFonts w:ascii="Times New Roman" w:hAnsi="Times New Roman" w:cs="Times New Roman"/>
        </w:rPr>
        <w:t>rok</w:t>
      </w:r>
      <w:r>
        <w:rPr>
          <w:rFonts w:ascii="Times New Roman" w:hAnsi="Times New Roman" w:cs="Times New Roman"/>
        </w:rPr>
        <w:t xml:space="preserve">u 2019 klesne na úroveň </w:t>
      </w:r>
      <w:r w:rsidRPr="00EE4C66">
        <w:rPr>
          <w:rFonts w:ascii="Times New Roman" w:hAnsi="Times New Roman" w:cs="Times New Roman"/>
        </w:rPr>
        <w:t>6,</w:t>
      </w:r>
      <w:r>
        <w:rPr>
          <w:rFonts w:ascii="Times New Roman" w:hAnsi="Times New Roman" w:cs="Times New Roman"/>
        </w:rPr>
        <w:t>4</w:t>
      </w:r>
      <w:r w:rsidRPr="00EE4C66">
        <w:rPr>
          <w:rFonts w:ascii="Times New Roman" w:hAnsi="Times New Roman" w:cs="Times New Roman"/>
        </w:rPr>
        <w:t xml:space="preserve"> %. Do roku 2021 klesne pod </w:t>
      </w:r>
      <w:r>
        <w:rPr>
          <w:rFonts w:ascii="Times New Roman" w:hAnsi="Times New Roman" w:cs="Times New Roman"/>
        </w:rPr>
        <w:t>6 %</w:t>
      </w:r>
      <w:r w:rsidRPr="00EE4C66">
        <w:rPr>
          <w:rFonts w:ascii="Times New Roman" w:hAnsi="Times New Roman" w:cs="Times New Roman"/>
        </w:rPr>
        <w:t>.</w:t>
      </w:r>
      <w:r>
        <w:rPr>
          <w:rFonts w:ascii="Times New Roman" w:hAnsi="Times New Roman" w:cs="Times New Roman"/>
        </w:rPr>
        <w:t xml:space="preserve"> </w:t>
      </w:r>
      <w:r w:rsidRPr="00EE4C66">
        <w:rPr>
          <w:rFonts w:ascii="Times New Roman" w:hAnsi="Times New Roman" w:cs="Times New Roman"/>
        </w:rPr>
        <w:t xml:space="preserve">Priemerná nominálna mzda </w:t>
      </w:r>
      <w:r w:rsidR="008B752C">
        <w:rPr>
          <w:rFonts w:ascii="Times New Roman" w:hAnsi="Times New Roman" w:cs="Times New Roman"/>
        </w:rPr>
        <w:t xml:space="preserve">sa </w:t>
      </w:r>
      <w:r w:rsidRPr="00EE4C66">
        <w:rPr>
          <w:rFonts w:ascii="Times New Roman" w:hAnsi="Times New Roman" w:cs="Times New Roman"/>
        </w:rPr>
        <w:t>v</w:t>
      </w:r>
      <w:r>
        <w:rPr>
          <w:rFonts w:ascii="Times New Roman" w:hAnsi="Times New Roman" w:cs="Times New Roman"/>
        </w:rPr>
        <w:t> roku 2019</w:t>
      </w:r>
      <w:r w:rsidR="008B752C">
        <w:rPr>
          <w:rFonts w:ascii="Times New Roman" w:hAnsi="Times New Roman" w:cs="Times New Roman"/>
        </w:rPr>
        <w:t xml:space="preserve"> zvýši</w:t>
      </w:r>
      <w:r w:rsidRPr="00EE4C66">
        <w:rPr>
          <w:rFonts w:ascii="Times New Roman" w:hAnsi="Times New Roman" w:cs="Times New Roman"/>
        </w:rPr>
        <w:t xml:space="preserve"> o 6,</w:t>
      </w:r>
      <w:r>
        <w:rPr>
          <w:rFonts w:ascii="Times New Roman" w:hAnsi="Times New Roman" w:cs="Times New Roman"/>
        </w:rPr>
        <w:t>3</w:t>
      </w:r>
      <w:r w:rsidRPr="00EE4C66">
        <w:rPr>
          <w:rFonts w:ascii="Times New Roman" w:hAnsi="Times New Roman" w:cs="Times New Roman"/>
        </w:rPr>
        <w:t xml:space="preserve"> %</w:t>
      </w:r>
      <w:r w:rsidR="008B752C">
        <w:rPr>
          <w:rFonts w:ascii="Times New Roman" w:hAnsi="Times New Roman" w:cs="Times New Roman"/>
        </w:rPr>
        <w:t xml:space="preserve"> a dosiahne hodnotu 1 077 eur. Z</w:t>
      </w:r>
      <w:r w:rsidRPr="00EE4C66">
        <w:rPr>
          <w:rFonts w:ascii="Times New Roman" w:hAnsi="Times New Roman" w:cs="Times New Roman"/>
        </w:rPr>
        <w:t xml:space="preserve">rýchlenie miezd bude citeľné naprieč všetkými sektormi. </w:t>
      </w:r>
      <w:r w:rsidR="008B752C">
        <w:rPr>
          <w:rFonts w:ascii="Times New Roman" w:hAnsi="Times New Roman" w:cs="Times New Roman"/>
        </w:rPr>
        <w:t xml:space="preserve"> </w:t>
      </w:r>
    </w:p>
    <w:p w:rsidR="00F159B9" w:rsidRPr="00F668B3" w:rsidRDefault="00F159B9" w:rsidP="00F159B9">
      <w:pPr>
        <w:ind w:firstLine="708"/>
        <w:jc w:val="both"/>
        <w:rPr>
          <w:rFonts w:ascii="Times New Roman" w:hAnsi="Times New Roman" w:cs="Times New Roman"/>
        </w:rPr>
      </w:pPr>
    </w:p>
    <w:p w:rsidR="00F159B9" w:rsidRPr="00F03D9A" w:rsidRDefault="00F159B9" w:rsidP="00F159B9">
      <w:pPr>
        <w:ind w:firstLine="708"/>
        <w:jc w:val="both"/>
        <w:rPr>
          <w:rFonts w:ascii="Times New Roman" w:hAnsi="Times New Roman" w:cs="Times New Roman"/>
        </w:rPr>
      </w:pPr>
      <w:r w:rsidRPr="008F2CDB">
        <w:rPr>
          <w:rFonts w:ascii="Times New Roman" w:hAnsi="Times New Roman"/>
        </w:rPr>
        <w:t xml:space="preserve">Makroekonomické predpoklady boli základom pre vypracovanie aktuálnych prognóz </w:t>
      </w:r>
      <w:r w:rsidRPr="008F2CDB">
        <w:rPr>
          <w:rFonts w:ascii="Times New Roman" w:hAnsi="Times New Roman" w:cs="Times New Roman"/>
        </w:rPr>
        <w:t>daňových príjmov verejnej správy na roky 2019 až 2021. Aktuálna prognóza bola podrobená hodnoteniu v rámci Výboru pre daňové prognózy dňa 20. septembra 2018, pričom všetci členovia ju zhodnotili ako realistickú.</w:t>
      </w:r>
      <w:r w:rsidRPr="00F03D9A">
        <w:rPr>
          <w:rFonts w:ascii="Times New Roman" w:hAnsi="Times New Roman" w:cs="Times New Roman"/>
        </w:rPr>
        <w:t xml:space="preserve"> </w:t>
      </w:r>
    </w:p>
    <w:p w:rsidR="00F159B9" w:rsidRPr="00F668B3" w:rsidRDefault="00F159B9" w:rsidP="00F159B9">
      <w:pPr>
        <w:ind w:firstLine="708"/>
        <w:contextualSpacing/>
        <w:jc w:val="both"/>
        <w:rPr>
          <w:rFonts w:ascii="Times New Roman" w:hAnsi="Times New Roman" w:cs="Times New Roman"/>
          <w:highlight w:val="yellow"/>
          <w:lang w:eastAsia="sk-SK"/>
        </w:rPr>
      </w:pPr>
    </w:p>
    <w:p w:rsidR="00F159B9" w:rsidRDefault="00F159B9" w:rsidP="00F159B9">
      <w:pPr>
        <w:ind w:firstLine="708"/>
        <w:contextualSpacing/>
        <w:jc w:val="both"/>
        <w:rPr>
          <w:rFonts w:ascii="Times New Roman" w:hAnsi="Times New Roman" w:cs="Times New Roman"/>
          <w:lang w:eastAsia="sk-SK"/>
        </w:rPr>
      </w:pPr>
      <w:r w:rsidRPr="008F2CDB">
        <w:rPr>
          <w:rFonts w:ascii="Times New Roman" w:hAnsi="Times New Roman" w:cs="Times New Roman"/>
          <w:lang w:eastAsia="sk-SK"/>
        </w:rPr>
        <w:t>V predloženom návrhu rozpočtu sú na príjmovej ako aj výdavkovej strane zapracované zámery vlády SR realizované prostredníctvom viacerých opatrení a ďalšie tituly vyplývajúce z</w:t>
      </w:r>
      <w:r>
        <w:rPr>
          <w:rFonts w:ascii="Times New Roman" w:hAnsi="Times New Roman" w:cs="Times New Roman"/>
          <w:lang w:eastAsia="sk-SK"/>
        </w:rPr>
        <w:t>o schválených, resp. pripravovaných</w:t>
      </w:r>
      <w:r w:rsidRPr="008F2CDB">
        <w:rPr>
          <w:rFonts w:ascii="Times New Roman" w:hAnsi="Times New Roman" w:cs="Times New Roman"/>
          <w:lang w:eastAsia="sk-SK"/>
        </w:rPr>
        <w:t> legislatívnych zmien.</w:t>
      </w:r>
    </w:p>
    <w:p w:rsidR="003E4A26" w:rsidRDefault="003E4A26" w:rsidP="00F159B9">
      <w:pPr>
        <w:ind w:firstLine="708"/>
        <w:contextualSpacing/>
        <w:jc w:val="both"/>
        <w:rPr>
          <w:rFonts w:ascii="Times New Roman" w:hAnsi="Times New Roman" w:cs="Times New Roman"/>
          <w:lang w:eastAsia="sk-SK"/>
        </w:rPr>
      </w:pPr>
    </w:p>
    <w:p w:rsidR="00F159B9" w:rsidRDefault="00F159B9" w:rsidP="00F159B9">
      <w:pPr>
        <w:ind w:firstLine="708"/>
        <w:contextualSpacing/>
        <w:jc w:val="both"/>
        <w:rPr>
          <w:rFonts w:ascii="Times New Roman" w:hAnsi="Times New Roman" w:cs="Times New Roman"/>
          <w:lang w:eastAsia="sk-SK"/>
        </w:rPr>
      </w:pPr>
    </w:p>
    <w:p w:rsidR="00F159B9" w:rsidRDefault="00F159B9" w:rsidP="00F159B9">
      <w:pPr>
        <w:contextualSpacing/>
        <w:jc w:val="both"/>
        <w:rPr>
          <w:rFonts w:ascii="Times New Roman" w:hAnsi="Times New Roman" w:cs="Times New Roman"/>
          <w:highlight w:val="yellow"/>
          <w:lang w:eastAsia="sk-SK"/>
        </w:rPr>
      </w:pPr>
    </w:p>
    <w:p w:rsidR="003E4A26" w:rsidRPr="00F315F9" w:rsidRDefault="003E4A26" w:rsidP="003E4A26">
      <w:pPr>
        <w:ind w:firstLine="708"/>
        <w:jc w:val="both"/>
        <w:rPr>
          <w:rFonts w:ascii="Times New Roman" w:hAnsi="Times New Roman" w:cs="Times New Roman"/>
          <w:color w:val="1F497D"/>
          <w:sz w:val="22"/>
          <w:szCs w:val="22"/>
          <w:lang w:eastAsia="en-US"/>
        </w:rPr>
      </w:pPr>
      <w:r w:rsidRPr="00F315F9">
        <w:rPr>
          <w:rFonts w:ascii="Times New Roman" w:hAnsi="Times New Roman" w:cs="Times New Roman"/>
        </w:rPr>
        <w:t xml:space="preserve">Návrh rozpočtu vychádza na príjmovej strane zo septembrovej daňovej prognózy, ktorá uvažuje s niekoľkými legislatívnymi zmenami s účinnosťou od roku 2019. Jedná sa najmä o zmeny pri domácom pálení, zmeny pri poplatkoch za uloženie odpadu a zmeny v zdaňovaní poistného. </w:t>
      </w:r>
    </w:p>
    <w:p w:rsidR="003E4A26" w:rsidRPr="00F668B3" w:rsidRDefault="003E4A26" w:rsidP="00F159B9">
      <w:pPr>
        <w:contextualSpacing/>
        <w:jc w:val="both"/>
        <w:rPr>
          <w:rFonts w:ascii="Times New Roman" w:hAnsi="Times New Roman" w:cs="Times New Roman"/>
          <w:lang w:eastAsia="sk-SK"/>
        </w:rPr>
      </w:pPr>
    </w:p>
    <w:p w:rsidR="007835DF" w:rsidRPr="00F315F9" w:rsidRDefault="007835DF" w:rsidP="007835DF">
      <w:pPr>
        <w:ind w:firstLine="708"/>
        <w:contextualSpacing/>
        <w:jc w:val="both"/>
        <w:rPr>
          <w:rFonts w:ascii="Times New Roman" w:hAnsi="Times New Roman" w:cs="Times New Roman"/>
        </w:rPr>
      </w:pPr>
      <w:r w:rsidRPr="00F315F9">
        <w:rPr>
          <w:rFonts w:ascii="Times New Roman" w:hAnsi="Times New Roman" w:cs="Times New Roman"/>
        </w:rPr>
        <w:t>Nad rámec uvedenej prognózy je v rozpočte verejnej správy zapracovaný odhadovaný príjem z osobitného odvodu obchodných reťazcov, novely zákona č. 98/2004 Z. z. o spotrebnej dani z minerálneho oleja a novely zákona č. 289/2008 Z. z. o používaní elektronickej registračnej pokladnice.</w:t>
      </w:r>
    </w:p>
    <w:p w:rsidR="007835DF" w:rsidRPr="00F668B3" w:rsidRDefault="007835DF" w:rsidP="007835DF">
      <w:pPr>
        <w:ind w:firstLine="708"/>
        <w:contextualSpacing/>
        <w:jc w:val="both"/>
        <w:rPr>
          <w:rFonts w:ascii="Times New Roman" w:hAnsi="Times New Roman" w:cs="Times New Roman"/>
          <w:highlight w:val="yellow"/>
          <w:lang w:eastAsia="sk-SK"/>
        </w:rPr>
      </w:pPr>
    </w:p>
    <w:p w:rsidR="00F159B9" w:rsidRPr="0022261D" w:rsidRDefault="00F159B9" w:rsidP="00F159B9">
      <w:pPr>
        <w:ind w:firstLine="708"/>
        <w:contextualSpacing/>
        <w:jc w:val="both"/>
        <w:rPr>
          <w:rFonts w:ascii="Times New Roman" w:hAnsi="Times New Roman" w:cs="Times New Roman"/>
          <w:lang w:eastAsia="sk-SK"/>
        </w:rPr>
      </w:pPr>
      <w:r>
        <w:rPr>
          <w:rFonts w:ascii="Times New Roman" w:hAnsi="Times New Roman" w:cs="Times New Roman"/>
          <w:lang w:eastAsia="sk-SK"/>
        </w:rPr>
        <w:t xml:space="preserve">V roku 2019 bude pre oblasť zdravotníctva alokovaný historicky najvyšší objem prostriedkov na úrovni </w:t>
      </w:r>
      <w:r w:rsidRPr="0022261D">
        <w:rPr>
          <w:rFonts w:ascii="Times New Roman" w:hAnsi="Times New Roman" w:cs="Times New Roman"/>
          <w:lang w:eastAsia="sk-SK"/>
        </w:rPr>
        <w:t xml:space="preserve">5,2 mld. </w:t>
      </w:r>
      <w:r>
        <w:rPr>
          <w:rFonts w:ascii="Times New Roman" w:hAnsi="Times New Roman" w:cs="Times New Roman"/>
          <w:lang w:eastAsia="sk-SK"/>
        </w:rPr>
        <w:t>e</w:t>
      </w:r>
      <w:r w:rsidRPr="0022261D">
        <w:rPr>
          <w:rFonts w:ascii="Times New Roman" w:hAnsi="Times New Roman" w:cs="Times New Roman"/>
          <w:lang w:eastAsia="sk-SK"/>
        </w:rPr>
        <w:t>ur</w:t>
      </w:r>
      <w:r>
        <w:rPr>
          <w:rFonts w:ascii="Times New Roman" w:hAnsi="Times New Roman" w:cs="Times New Roman"/>
          <w:lang w:eastAsia="sk-SK"/>
        </w:rPr>
        <w:t>. Táto suma predstavuje</w:t>
      </w:r>
      <w:r w:rsidRPr="0022261D">
        <w:rPr>
          <w:rFonts w:ascii="Times New Roman" w:hAnsi="Times New Roman" w:cs="Times New Roman"/>
          <w:lang w:eastAsia="sk-SK"/>
        </w:rPr>
        <w:t xml:space="preserve"> výdavky verejného zdravotného poistenia</w:t>
      </w:r>
      <w:r>
        <w:rPr>
          <w:rFonts w:ascii="Times New Roman" w:hAnsi="Times New Roman" w:cs="Times New Roman"/>
          <w:lang w:eastAsia="sk-SK"/>
        </w:rPr>
        <w:t xml:space="preserve"> a </w:t>
      </w:r>
      <w:r w:rsidRPr="0022261D">
        <w:rPr>
          <w:rFonts w:ascii="Times New Roman" w:hAnsi="Times New Roman" w:cs="Times New Roman"/>
          <w:lang w:eastAsia="sk-SK"/>
        </w:rPr>
        <w:t>výdavky M</w:t>
      </w:r>
      <w:r>
        <w:rPr>
          <w:rFonts w:ascii="Times New Roman" w:hAnsi="Times New Roman" w:cs="Times New Roman"/>
          <w:lang w:eastAsia="sk-SK"/>
        </w:rPr>
        <w:t xml:space="preserve">inisterstva zdravotníctva </w:t>
      </w:r>
      <w:r w:rsidRPr="0022261D">
        <w:rPr>
          <w:rFonts w:ascii="Times New Roman" w:hAnsi="Times New Roman" w:cs="Times New Roman"/>
          <w:lang w:eastAsia="sk-SK"/>
        </w:rPr>
        <w:t xml:space="preserve">SR. </w:t>
      </w:r>
      <w:r>
        <w:rPr>
          <w:rFonts w:ascii="Times New Roman" w:hAnsi="Times New Roman" w:cs="Times New Roman"/>
          <w:lang w:eastAsia="sk-SK"/>
        </w:rPr>
        <w:t>Zároveň i</w:t>
      </w:r>
      <w:r w:rsidRPr="0022261D">
        <w:rPr>
          <w:rFonts w:ascii="Times New Roman" w:hAnsi="Times New Roman" w:cs="Times New Roman"/>
          <w:lang w:eastAsia="sk-SK"/>
        </w:rPr>
        <w:t>de o historicky najväčší rozpočtovaný medziročný rast výdavkov pre sektor zdravotníctva</w:t>
      </w:r>
      <w:r>
        <w:rPr>
          <w:rFonts w:ascii="Times New Roman" w:hAnsi="Times New Roman" w:cs="Times New Roman"/>
          <w:lang w:eastAsia="sk-SK"/>
        </w:rPr>
        <w:t xml:space="preserve">. </w:t>
      </w:r>
      <w:r w:rsidRPr="0022261D">
        <w:rPr>
          <w:rFonts w:ascii="Times New Roman" w:hAnsi="Times New Roman" w:cs="Times New Roman"/>
          <w:lang w:eastAsia="sk-SK"/>
        </w:rPr>
        <w:t>Rast výdavkov spolu za výdavky verejného zdravotného poistenia</w:t>
      </w:r>
      <w:r>
        <w:rPr>
          <w:rFonts w:ascii="Times New Roman" w:hAnsi="Times New Roman" w:cs="Times New Roman"/>
          <w:lang w:eastAsia="sk-SK"/>
        </w:rPr>
        <w:t xml:space="preserve"> a</w:t>
      </w:r>
      <w:r w:rsidRPr="0022261D">
        <w:rPr>
          <w:rFonts w:ascii="Times New Roman" w:hAnsi="Times New Roman" w:cs="Times New Roman"/>
          <w:lang w:eastAsia="sk-SK"/>
        </w:rPr>
        <w:t xml:space="preserve"> výdavky M</w:t>
      </w:r>
      <w:r>
        <w:rPr>
          <w:rFonts w:ascii="Times New Roman" w:hAnsi="Times New Roman" w:cs="Times New Roman"/>
          <w:lang w:eastAsia="sk-SK"/>
        </w:rPr>
        <w:t>inisterstva zdravotníctva S</w:t>
      </w:r>
      <w:r w:rsidRPr="0022261D">
        <w:rPr>
          <w:rFonts w:ascii="Times New Roman" w:hAnsi="Times New Roman" w:cs="Times New Roman"/>
          <w:lang w:eastAsia="sk-SK"/>
        </w:rPr>
        <w:t xml:space="preserve">R medzi </w:t>
      </w:r>
      <w:r>
        <w:rPr>
          <w:rFonts w:ascii="Times New Roman" w:hAnsi="Times New Roman" w:cs="Times New Roman"/>
          <w:lang w:eastAsia="sk-SK"/>
        </w:rPr>
        <w:t xml:space="preserve">schváleným </w:t>
      </w:r>
      <w:r w:rsidRPr="0022261D">
        <w:rPr>
          <w:rFonts w:ascii="Times New Roman" w:hAnsi="Times New Roman" w:cs="Times New Roman"/>
          <w:lang w:eastAsia="sk-SK"/>
        </w:rPr>
        <w:t xml:space="preserve">rozpočtom </w:t>
      </w:r>
      <w:r>
        <w:rPr>
          <w:rFonts w:ascii="Times New Roman" w:hAnsi="Times New Roman" w:cs="Times New Roman"/>
          <w:lang w:eastAsia="sk-SK"/>
        </w:rPr>
        <w:t xml:space="preserve">na rok </w:t>
      </w:r>
      <w:r w:rsidRPr="0022261D">
        <w:rPr>
          <w:rFonts w:ascii="Times New Roman" w:hAnsi="Times New Roman" w:cs="Times New Roman"/>
          <w:lang w:eastAsia="sk-SK"/>
        </w:rPr>
        <w:t xml:space="preserve">2018 a návrhom </w:t>
      </w:r>
      <w:r>
        <w:rPr>
          <w:rFonts w:ascii="Times New Roman" w:hAnsi="Times New Roman" w:cs="Times New Roman"/>
          <w:lang w:eastAsia="sk-SK"/>
        </w:rPr>
        <w:t xml:space="preserve">rozpočtu na rok </w:t>
      </w:r>
      <w:r w:rsidRPr="0022261D">
        <w:rPr>
          <w:rFonts w:ascii="Times New Roman" w:hAnsi="Times New Roman" w:cs="Times New Roman"/>
          <w:lang w:eastAsia="sk-SK"/>
        </w:rPr>
        <w:t xml:space="preserve">2019 je 302 mil. eur, čo predstavuje nárast o </w:t>
      </w:r>
      <w:r>
        <w:rPr>
          <w:rFonts w:ascii="Times New Roman" w:hAnsi="Times New Roman" w:cs="Times New Roman"/>
          <w:lang w:eastAsia="sk-SK"/>
        </w:rPr>
        <w:t>6,22</w:t>
      </w:r>
      <w:r w:rsidR="000E0952">
        <w:rPr>
          <w:rFonts w:ascii="Times New Roman" w:hAnsi="Times New Roman" w:cs="Times New Roman"/>
          <w:lang w:eastAsia="sk-SK"/>
        </w:rPr>
        <w:t xml:space="preserve"> </w:t>
      </w:r>
      <w:r>
        <w:rPr>
          <w:rFonts w:ascii="Times New Roman" w:hAnsi="Times New Roman" w:cs="Times New Roman"/>
          <w:lang w:eastAsia="sk-SK"/>
        </w:rPr>
        <w:t xml:space="preserve">%. </w:t>
      </w:r>
      <w:r w:rsidRPr="0022261D">
        <w:rPr>
          <w:rFonts w:ascii="Times New Roman" w:hAnsi="Times New Roman" w:cs="Times New Roman"/>
          <w:lang w:eastAsia="sk-SK"/>
        </w:rPr>
        <w:t xml:space="preserve">Za účelom rekonštrukcie budov a obnovy technického vybavenia nemocníc sú rozpočtované kapitálové výdavky v roku 2019 na úrovni až 100 mil. eur, čo je historicky najvyšší objem štátnych investícií. </w:t>
      </w:r>
    </w:p>
    <w:p w:rsidR="00F159B9" w:rsidRPr="00F668B3" w:rsidRDefault="00F159B9" w:rsidP="00F159B9">
      <w:pPr>
        <w:ind w:firstLine="708"/>
        <w:jc w:val="both"/>
        <w:rPr>
          <w:rFonts w:ascii="Times New Roman" w:hAnsi="Times New Roman"/>
        </w:rPr>
      </w:pPr>
    </w:p>
    <w:p w:rsidR="00F159B9" w:rsidRDefault="00F159B9" w:rsidP="00F159B9">
      <w:pPr>
        <w:ind w:firstLine="708"/>
        <w:contextualSpacing/>
        <w:jc w:val="both"/>
        <w:rPr>
          <w:rFonts w:ascii="Times New Roman" w:hAnsi="Times New Roman"/>
          <w:bCs/>
          <w:szCs w:val="22"/>
        </w:rPr>
      </w:pPr>
      <w:r>
        <w:rPr>
          <w:rFonts w:ascii="Times New Roman" w:hAnsi="Times New Roman"/>
        </w:rPr>
        <w:t>Výdavková strana rozpočtu verejnej správy je významne ovplyvnená opatreniami v oblasti odmeňovania vo verejnej správe. V</w:t>
      </w:r>
      <w:r w:rsidRPr="008E2B77">
        <w:rPr>
          <w:rFonts w:ascii="Times New Roman" w:hAnsi="Times New Roman"/>
          <w:bCs/>
          <w:szCs w:val="22"/>
        </w:rPr>
        <w:t> zmysle vyhlásenia zástupcov sociálnych partnerov k dohode o kolektívnych zmluvách vyššieho stupňa v štátnej službe a vo verejnej službe na roky 2019 a</w:t>
      </w:r>
      <w:r>
        <w:rPr>
          <w:rFonts w:ascii="Times New Roman" w:hAnsi="Times New Roman"/>
          <w:bCs/>
          <w:szCs w:val="22"/>
        </w:rPr>
        <w:t> </w:t>
      </w:r>
      <w:r w:rsidRPr="008E2B77">
        <w:rPr>
          <w:rFonts w:ascii="Times New Roman" w:hAnsi="Times New Roman"/>
          <w:bCs/>
          <w:szCs w:val="22"/>
        </w:rPr>
        <w:t>2020</w:t>
      </w:r>
      <w:r>
        <w:rPr>
          <w:rFonts w:ascii="Times New Roman" w:hAnsi="Times New Roman"/>
          <w:bCs/>
          <w:szCs w:val="22"/>
        </w:rPr>
        <w:t xml:space="preserve"> sú v rozpočte alokované prostriedky na </w:t>
      </w:r>
      <w:r w:rsidRPr="008E2B77">
        <w:rPr>
          <w:rFonts w:ascii="Times New Roman" w:hAnsi="Times New Roman"/>
          <w:bCs/>
          <w:szCs w:val="22"/>
        </w:rPr>
        <w:t xml:space="preserve">valorizáciu platov zamestnancov </w:t>
      </w:r>
      <w:r w:rsidR="00B53FDF">
        <w:rPr>
          <w:rFonts w:ascii="Times New Roman" w:hAnsi="Times New Roman"/>
          <w:bCs/>
          <w:szCs w:val="22"/>
        </w:rPr>
        <w:br/>
      </w:r>
      <w:r w:rsidRPr="008E2B77">
        <w:rPr>
          <w:rFonts w:ascii="Times New Roman" w:hAnsi="Times New Roman"/>
          <w:bCs/>
          <w:szCs w:val="22"/>
        </w:rPr>
        <w:t>od 1. januára 2019 na úrovni 10 %</w:t>
      </w:r>
      <w:r>
        <w:rPr>
          <w:rFonts w:ascii="Times New Roman" w:hAnsi="Times New Roman"/>
          <w:bCs/>
          <w:szCs w:val="22"/>
        </w:rPr>
        <w:t xml:space="preserve">. Súčasťou vyhlásenia je aj dohoda na valorizácii </w:t>
      </w:r>
      <w:r w:rsidR="00B53FDF">
        <w:rPr>
          <w:rFonts w:ascii="Times New Roman" w:hAnsi="Times New Roman"/>
          <w:bCs/>
          <w:szCs w:val="22"/>
        </w:rPr>
        <w:br/>
      </w:r>
      <w:r>
        <w:rPr>
          <w:rFonts w:ascii="Times New Roman" w:hAnsi="Times New Roman"/>
          <w:bCs/>
          <w:szCs w:val="22"/>
        </w:rPr>
        <w:t xml:space="preserve">od 1. januára 2020 taktiež vo výške 10 %. </w:t>
      </w:r>
    </w:p>
    <w:p w:rsidR="00F159B9" w:rsidRPr="00F668B3" w:rsidRDefault="00F159B9" w:rsidP="00F159B9">
      <w:pPr>
        <w:ind w:firstLine="708"/>
        <w:contextualSpacing/>
        <w:jc w:val="both"/>
        <w:rPr>
          <w:rFonts w:ascii="Times New Roman" w:hAnsi="Times New Roman"/>
          <w:bCs/>
          <w:szCs w:val="22"/>
        </w:rPr>
      </w:pPr>
    </w:p>
    <w:p w:rsidR="00F159B9" w:rsidRPr="008E2B77" w:rsidRDefault="00F159B9" w:rsidP="00F159B9">
      <w:pPr>
        <w:ind w:firstLine="708"/>
        <w:contextualSpacing/>
        <w:jc w:val="both"/>
        <w:rPr>
          <w:rFonts w:ascii="Times New Roman" w:hAnsi="Times New Roman"/>
          <w:bCs/>
          <w:szCs w:val="22"/>
        </w:rPr>
      </w:pPr>
      <w:r>
        <w:rPr>
          <w:rFonts w:ascii="Times New Roman" w:hAnsi="Times New Roman"/>
          <w:bCs/>
          <w:szCs w:val="22"/>
        </w:rPr>
        <w:t xml:space="preserve">V návrhu rozpočtu verejnej správy sa premietajú aj dopady novely </w:t>
      </w:r>
      <w:r w:rsidRPr="008E2B77">
        <w:rPr>
          <w:rFonts w:ascii="Times New Roman" w:hAnsi="Times New Roman"/>
          <w:bCs/>
          <w:szCs w:val="22"/>
        </w:rPr>
        <w:t>zákona, ktorým sa mení a dopĺňa zákon č. 553/2003 Z. z. o odmeňovaní niektorých zamestnancov pri výkone práce vo verejnom záujme</w:t>
      </w:r>
      <w:r>
        <w:rPr>
          <w:rFonts w:ascii="Times New Roman" w:hAnsi="Times New Roman"/>
          <w:bCs/>
          <w:szCs w:val="22"/>
        </w:rPr>
        <w:t>. Odstraňuje sa tak dlhoročný problém nesúladu medzi úrovňou minimálnej mzdy a</w:t>
      </w:r>
      <w:r w:rsidR="001D23D5">
        <w:rPr>
          <w:rFonts w:ascii="Times New Roman" w:hAnsi="Times New Roman"/>
          <w:bCs/>
          <w:szCs w:val="22"/>
        </w:rPr>
        <w:t> platovou tarifou</w:t>
      </w:r>
      <w:r>
        <w:rPr>
          <w:rFonts w:ascii="Times New Roman" w:hAnsi="Times New Roman"/>
          <w:bCs/>
          <w:szCs w:val="22"/>
        </w:rPr>
        <w:t xml:space="preserve"> pri odmeňovaní vo verejnej službe, k riešeniu ktorého sa  </w:t>
      </w:r>
      <w:r w:rsidRPr="008E2B77">
        <w:rPr>
          <w:rFonts w:ascii="Times New Roman" w:hAnsi="Times New Roman"/>
          <w:bCs/>
          <w:szCs w:val="22"/>
        </w:rPr>
        <w:t>zaviazala vláda Slovenskej republiky vo svojom Programovo</w:t>
      </w:r>
      <w:r>
        <w:rPr>
          <w:rFonts w:ascii="Times New Roman" w:hAnsi="Times New Roman"/>
          <w:bCs/>
          <w:szCs w:val="22"/>
        </w:rPr>
        <w:t>m vyhlásení na roky 2016 – 2020.</w:t>
      </w:r>
    </w:p>
    <w:p w:rsidR="00F159B9" w:rsidRPr="00F668B3" w:rsidRDefault="00F159B9" w:rsidP="00F159B9">
      <w:pPr>
        <w:ind w:firstLine="708"/>
        <w:contextualSpacing/>
        <w:jc w:val="both"/>
        <w:rPr>
          <w:rFonts w:ascii="Times New Roman" w:hAnsi="Times New Roman"/>
          <w:bCs/>
          <w:szCs w:val="22"/>
        </w:rPr>
      </w:pPr>
    </w:p>
    <w:p w:rsidR="00F159B9" w:rsidRPr="008E2B77" w:rsidRDefault="00F159B9" w:rsidP="00F159B9">
      <w:pPr>
        <w:ind w:firstLine="708"/>
        <w:contextualSpacing/>
        <w:jc w:val="both"/>
        <w:rPr>
          <w:rFonts w:ascii="Times New Roman" w:hAnsi="Times New Roman" w:cs="Times New Roman"/>
          <w:b/>
          <w:bCs/>
          <w:iCs/>
          <w:szCs w:val="28"/>
        </w:rPr>
      </w:pPr>
      <w:r>
        <w:rPr>
          <w:rFonts w:ascii="Times New Roman" w:hAnsi="Times New Roman"/>
          <w:bCs/>
          <w:szCs w:val="22"/>
        </w:rPr>
        <w:t xml:space="preserve">Okrem valorizácie platov, ktorá sa týka rovnako aj </w:t>
      </w:r>
      <w:r w:rsidR="0042475B">
        <w:rPr>
          <w:rFonts w:ascii="Times New Roman" w:hAnsi="Times New Roman"/>
          <w:bCs/>
          <w:szCs w:val="22"/>
        </w:rPr>
        <w:t>učiteľov</w:t>
      </w:r>
      <w:r>
        <w:rPr>
          <w:rFonts w:ascii="Times New Roman" w:hAnsi="Times New Roman"/>
          <w:bCs/>
          <w:szCs w:val="22"/>
        </w:rPr>
        <w:t xml:space="preserve"> sú v  návrhu rozpočtu zabezpečené </w:t>
      </w:r>
      <w:r w:rsidRPr="008E2B77">
        <w:rPr>
          <w:rFonts w:ascii="Times New Roman" w:hAnsi="Times New Roman"/>
          <w:bCs/>
          <w:szCs w:val="22"/>
        </w:rPr>
        <w:t>finančn</w:t>
      </w:r>
      <w:r>
        <w:rPr>
          <w:rFonts w:ascii="Times New Roman" w:hAnsi="Times New Roman"/>
          <w:bCs/>
          <w:szCs w:val="22"/>
        </w:rPr>
        <w:t>é</w:t>
      </w:r>
      <w:r w:rsidRPr="008E2B77">
        <w:rPr>
          <w:rFonts w:ascii="Times New Roman" w:hAnsi="Times New Roman"/>
          <w:bCs/>
          <w:szCs w:val="22"/>
        </w:rPr>
        <w:t xml:space="preserve"> prostriedkov </w:t>
      </w:r>
      <w:r>
        <w:rPr>
          <w:rFonts w:ascii="Times New Roman" w:hAnsi="Times New Roman"/>
          <w:bCs/>
          <w:szCs w:val="22"/>
        </w:rPr>
        <w:t xml:space="preserve">v sume 10,0 mil. eur </w:t>
      </w:r>
      <w:r w:rsidRPr="008E2B77">
        <w:rPr>
          <w:rFonts w:ascii="Times New Roman" w:hAnsi="Times New Roman"/>
          <w:bCs/>
          <w:szCs w:val="22"/>
        </w:rPr>
        <w:t>pre pedagogických zamestnancov a odborných zamestnancov a učiteľov vysokých škôl na realizáciu zvýhodneného odmeňovania začínajúcich učiteľov od 1. septembra 2019 v súlade s Národným programom rozvoja výchovy a vzdelávania schvále</w:t>
      </w:r>
      <w:r>
        <w:rPr>
          <w:rFonts w:ascii="Times New Roman" w:hAnsi="Times New Roman"/>
          <w:bCs/>
          <w:szCs w:val="22"/>
        </w:rPr>
        <w:t>ným vládou Slovenskej republiky.</w:t>
      </w:r>
    </w:p>
    <w:p w:rsidR="002C1E1D" w:rsidRDefault="002C1E1D" w:rsidP="002C1E1D">
      <w:pPr>
        <w:ind w:firstLine="708"/>
        <w:jc w:val="both"/>
        <w:rPr>
          <w:rFonts w:ascii="Times New Roman" w:hAnsi="Times New Roman"/>
        </w:rPr>
      </w:pPr>
    </w:p>
    <w:p w:rsidR="002C1E1D" w:rsidRPr="00F668B3" w:rsidRDefault="002C1E1D" w:rsidP="002C1E1D">
      <w:pPr>
        <w:ind w:firstLine="708"/>
        <w:jc w:val="both"/>
        <w:rPr>
          <w:rFonts w:ascii="Times New Roman" w:hAnsi="Times New Roman"/>
        </w:rPr>
      </w:pPr>
      <w:r w:rsidRPr="00F668B3">
        <w:rPr>
          <w:rFonts w:ascii="Times New Roman" w:hAnsi="Times New Roman"/>
        </w:rPr>
        <w:t xml:space="preserve">Na oblasť vzdelávania sú v rozpočte verejnej správy na rok 2019 vyčlenené zdroje v objeme 4,0 mld. eur, čo oproti roku 2018 predstavuje nárast o 466 mil. eur. Do roku 2020 by mali výdavky na túto oblasť dosiahnuť 4,3 mld. eur a </w:t>
      </w:r>
      <w:r w:rsidR="00F2528D">
        <w:rPr>
          <w:rFonts w:ascii="Times New Roman" w:hAnsi="Times New Roman"/>
        </w:rPr>
        <w:t>na</w:t>
      </w:r>
      <w:r w:rsidRPr="00F668B3">
        <w:rPr>
          <w:rFonts w:ascii="Times New Roman" w:hAnsi="Times New Roman"/>
        </w:rPr>
        <w:t xml:space="preserve"> rok 2021 sa rozpočtuje ďalší nárast až na úroveň 4,5 mld. eur. Počas volebného obdobia tejto vlády tak dôjde ku kumulatívnemu nárastu zdrojov z verejných financií do oblasti vzdelávania o viac ako 2,9 mld. eur.</w:t>
      </w:r>
    </w:p>
    <w:p w:rsidR="00F159B9" w:rsidRPr="00F668B3" w:rsidRDefault="00F159B9" w:rsidP="00F159B9">
      <w:pPr>
        <w:ind w:firstLine="708"/>
        <w:jc w:val="both"/>
        <w:rPr>
          <w:rFonts w:ascii="Times New Roman" w:hAnsi="Times New Roman"/>
        </w:rPr>
      </w:pPr>
    </w:p>
    <w:p w:rsidR="00F159B9" w:rsidRPr="003E25D3" w:rsidRDefault="00F159B9" w:rsidP="00F159B9">
      <w:pPr>
        <w:ind w:firstLine="708"/>
        <w:jc w:val="both"/>
        <w:rPr>
          <w:rFonts w:ascii="Times New Roman" w:hAnsi="Times New Roman"/>
        </w:rPr>
      </w:pPr>
      <w:r w:rsidRPr="003E25D3">
        <w:rPr>
          <w:rFonts w:ascii="Times New Roman" w:hAnsi="Times New Roman"/>
        </w:rPr>
        <w:t xml:space="preserve">Výdavky rezortu </w:t>
      </w:r>
      <w:r w:rsidRPr="008E2B77">
        <w:rPr>
          <w:rFonts w:ascii="Times New Roman" w:hAnsi="Times New Roman"/>
        </w:rPr>
        <w:t xml:space="preserve">Ministerstva pôdohospodárstva a rozvoja vidieka SR </w:t>
      </w:r>
      <w:r w:rsidRPr="003E25D3">
        <w:rPr>
          <w:rFonts w:ascii="Times New Roman" w:hAnsi="Times New Roman"/>
        </w:rPr>
        <w:t xml:space="preserve">zo štátneho rozpočtu v porovnaní so schváleným rozpočtom roku 2018 rastú o </w:t>
      </w:r>
      <w:r>
        <w:rPr>
          <w:rFonts w:ascii="Times New Roman" w:hAnsi="Times New Roman"/>
        </w:rPr>
        <w:t>159</w:t>
      </w:r>
      <w:r w:rsidRPr="003E25D3">
        <w:rPr>
          <w:rFonts w:ascii="Times New Roman" w:hAnsi="Times New Roman"/>
        </w:rPr>
        <w:t xml:space="preserve"> mil. eur</w:t>
      </w:r>
      <w:r>
        <w:rPr>
          <w:rFonts w:ascii="Times New Roman" w:hAnsi="Times New Roman"/>
        </w:rPr>
        <w:t xml:space="preserve"> predovšetkým</w:t>
      </w:r>
      <w:r w:rsidRPr="003E25D3">
        <w:rPr>
          <w:rFonts w:ascii="Times New Roman" w:hAnsi="Times New Roman"/>
        </w:rPr>
        <w:t xml:space="preserve"> z dôvodu zapracovania výdavkov kapitoly súvisiacich s pripravovanou legislatívnou zmenou, ktorou sa zakotví povinnosť platenia osobitného odvodu obchodnými reťazcami. Na základe </w:t>
      </w:r>
      <w:r w:rsidRPr="003E25D3">
        <w:rPr>
          <w:rFonts w:ascii="Times New Roman" w:hAnsi="Times New Roman"/>
        </w:rPr>
        <w:lastRenderedPageBreak/>
        <w:t>zvýšenia rozpočtových zdrojov kapitoly bude možné v oblasti poľnohospodárstva a potravinárstva najmä podporovať odbyt poľnohospodárskych produktov a potravinárskych výrobkov vyrobených v Slovenskej republike, podporiť zvyšovanie ich spotreby a predaja s dôrazom najmä na kvalitu a bezpečnosť, kompenzovať negatívne vplyvy globálnej zmeny počasia na poľnohospodársku prvovýrobu,  a tiež zriadiť a zabezpečiť pravidelné financovanie fondu ťažko poistiteľných a nepoistiteľných rizík v poľnohospodárstve.</w:t>
      </w:r>
    </w:p>
    <w:p w:rsidR="00F159B9" w:rsidRPr="009123C5" w:rsidRDefault="00F159B9" w:rsidP="00F159B9">
      <w:pPr>
        <w:ind w:firstLine="708"/>
        <w:jc w:val="both"/>
        <w:rPr>
          <w:rFonts w:ascii="Times New Roman" w:hAnsi="Times New Roman"/>
          <w:sz w:val="20"/>
        </w:rPr>
      </w:pPr>
    </w:p>
    <w:p w:rsidR="00F159B9" w:rsidRDefault="00F159B9" w:rsidP="00F159B9">
      <w:pPr>
        <w:ind w:firstLine="708"/>
        <w:jc w:val="both"/>
        <w:rPr>
          <w:rFonts w:ascii="Times New Roman" w:hAnsi="Times New Roman"/>
        </w:rPr>
      </w:pPr>
      <w:r w:rsidRPr="00F07841">
        <w:rPr>
          <w:rFonts w:ascii="Times New Roman" w:hAnsi="Times New Roman"/>
        </w:rPr>
        <w:t>Celkové obranné výdavky sú na rok 2019 rozpočtované vo výške 1,7</w:t>
      </w:r>
      <w:r>
        <w:rPr>
          <w:rFonts w:ascii="Times New Roman" w:hAnsi="Times New Roman"/>
        </w:rPr>
        <w:t>3</w:t>
      </w:r>
      <w:r w:rsidRPr="00F07841">
        <w:rPr>
          <w:rFonts w:ascii="Times New Roman" w:hAnsi="Times New Roman"/>
        </w:rPr>
        <w:t xml:space="preserve"> % HDP, čo predstavuje oproti schválenému rozpočtu roku 2018 nárast o</w:t>
      </w:r>
      <w:r>
        <w:rPr>
          <w:rFonts w:ascii="Times New Roman" w:hAnsi="Times New Roman"/>
        </w:rPr>
        <w:t> </w:t>
      </w:r>
      <w:r w:rsidRPr="009E7B6C">
        <w:rPr>
          <w:rFonts w:ascii="Times New Roman" w:hAnsi="Times New Roman"/>
        </w:rPr>
        <w:t>581 mil. eur</w:t>
      </w:r>
      <w:r w:rsidRPr="00F07841">
        <w:rPr>
          <w:rFonts w:ascii="Times New Roman" w:hAnsi="Times New Roman"/>
        </w:rPr>
        <w:t xml:space="preserve">. </w:t>
      </w:r>
      <w:r>
        <w:rPr>
          <w:rFonts w:ascii="Times New Roman" w:hAnsi="Times New Roman"/>
        </w:rPr>
        <w:t xml:space="preserve">Nárast je zaznamenaný najmä pri výdavkoch Ministerstva obrany SR na rozvoj obrany, ktoré </w:t>
      </w:r>
      <w:r w:rsidRPr="00F07841">
        <w:rPr>
          <w:rFonts w:ascii="Times New Roman" w:hAnsi="Times New Roman"/>
        </w:rPr>
        <w:t xml:space="preserve">sú určené najmä na nákup dopravných prostriedkov a modernizáciu leteckej techniky, vrátane nákupu vrtuľníkov a taktických stíhacích lietadiel. </w:t>
      </w:r>
      <w:r>
        <w:rPr>
          <w:rFonts w:ascii="Times New Roman" w:hAnsi="Times New Roman"/>
        </w:rPr>
        <w:t>V ďalších rokoch sú rozpočtované výdavky na obranu vo výške 1,81 % v roku 2020 a 1,91 % v roku 2021.</w:t>
      </w:r>
    </w:p>
    <w:p w:rsidR="00F159B9" w:rsidRPr="00F668B3" w:rsidRDefault="00F159B9" w:rsidP="00F159B9">
      <w:pPr>
        <w:ind w:firstLine="708"/>
        <w:jc w:val="both"/>
        <w:rPr>
          <w:rFonts w:ascii="Times New Roman" w:hAnsi="Times New Roman"/>
        </w:rPr>
      </w:pPr>
    </w:p>
    <w:p w:rsidR="00F159B9" w:rsidRDefault="00F159B9" w:rsidP="00F159B9">
      <w:pPr>
        <w:ind w:firstLine="708"/>
        <w:jc w:val="both"/>
        <w:rPr>
          <w:rFonts w:ascii="Times New Roman" w:hAnsi="Times New Roman"/>
        </w:rPr>
      </w:pPr>
      <w:r>
        <w:rPr>
          <w:rFonts w:ascii="Times New Roman" w:hAnsi="Times New Roman"/>
        </w:rPr>
        <w:t xml:space="preserve">Návrh rozpočtu reflektuje aj </w:t>
      </w:r>
      <w:r w:rsidRPr="008E2B77">
        <w:rPr>
          <w:rFonts w:ascii="Times New Roman" w:hAnsi="Times New Roman"/>
        </w:rPr>
        <w:t>na novelu zákona č. 309/2009 Z. z. o podpore obnoviteľných zdrojov energie a vysoko účinnej kombinovanej výroby</w:t>
      </w:r>
      <w:r>
        <w:rPr>
          <w:rFonts w:ascii="Times New Roman" w:hAnsi="Times New Roman"/>
        </w:rPr>
        <w:t>. V</w:t>
      </w:r>
      <w:r w:rsidRPr="008E2B77">
        <w:rPr>
          <w:rFonts w:ascii="Times New Roman" w:hAnsi="Times New Roman"/>
        </w:rPr>
        <w:t xml:space="preserve"> kapitole Ministerstva hospodárstva SR </w:t>
      </w:r>
      <w:r>
        <w:rPr>
          <w:rFonts w:ascii="Times New Roman" w:hAnsi="Times New Roman"/>
        </w:rPr>
        <w:t xml:space="preserve">sa </w:t>
      </w:r>
      <w:r w:rsidRPr="008E2B77">
        <w:rPr>
          <w:rFonts w:ascii="Times New Roman" w:hAnsi="Times New Roman"/>
        </w:rPr>
        <w:t>rozpočtujú výdavky v sume 40 mil. eur na podporu zníženia koncovej ceny elektriny pre podniky na rok 2019.</w:t>
      </w:r>
    </w:p>
    <w:p w:rsidR="00F159B9" w:rsidRPr="00F668B3" w:rsidRDefault="00F159B9" w:rsidP="00F159B9">
      <w:pPr>
        <w:ind w:firstLine="708"/>
        <w:jc w:val="both"/>
        <w:rPr>
          <w:rFonts w:ascii="Times New Roman" w:hAnsi="Times New Roman"/>
        </w:rPr>
      </w:pPr>
    </w:p>
    <w:p w:rsidR="00F159B9" w:rsidRDefault="00F159B9" w:rsidP="00F159B9">
      <w:pPr>
        <w:ind w:firstLine="708"/>
        <w:jc w:val="both"/>
        <w:rPr>
          <w:rFonts w:ascii="Times New Roman" w:hAnsi="Times New Roman"/>
        </w:rPr>
      </w:pPr>
      <w:r>
        <w:rPr>
          <w:rFonts w:ascii="Times New Roman" w:hAnsi="Times New Roman"/>
        </w:rPr>
        <w:t xml:space="preserve">Výdavky Ministerstva práce, sociálnych vecí a rodiny SR zo zdrojov štátneho rozpočtu rastú v porovnaní s rokom 2018 o 101 mil. eur, a to najmä vo výdavkoch na sociálnu inklúziu. Dôvodom nárastu je predovšetkým novelizácia zákonov o peňažných príspevkoch na kompenzáciu ťažkého zdravotného postihnutia a o sociálnoprávnej ochrane detí a o sociálnej kuratele, sociálnej ekonomike a sociálnych podnikoch. Finančné prostriedky vytvárajú podmienky na zvýšenie peňažného príspevku na opatrovanie </w:t>
      </w:r>
      <w:r w:rsidR="008D222B">
        <w:rPr>
          <w:rFonts w:ascii="Times New Roman" w:hAnsi="Times New Roman"/>
        </w:rPr>
        <w:t xml:space="preserve">pre </w:t>
      </w:r>
      <w:r>
        <w:rPr>
          <w:rFonts w:ascii="Times New Roman" w:hAnsi="Times New Roman"/>
        </w:rPr>
        <w:t>opatrovateľov v produktívnom veku a</w:t>
      </w:r>
      <w:r w:rsidR="008D222B">
        <w:rPr>
          <w:rFonts w:ascii="Times New Roman" w:hAnsi="Times New Roman"/>
        </w:rPr>
        <w:t xml:space="preserve"> pre </w:t>
      </w:r>
      <w:r>
        <w:rPr>
          <w:rFonts w:ascii="Times New Roman" w:hAnsi="Times New Roman"/>
        </w:rPr>
        <w:t xml:space="preserve">opatrovateľov poberajúcich dôchodkovú dávku a na zvýšenie hodinovej sadzby osobnej asistencie. Súčasťou výdavkov sociálnej inklúzie sú aj výdavky na sociálne služby s nárastom o takmer 10 mil. eur z dôvodu úpravy výšky finančného príspevku na poskytovanie sociálnej služby v zariadeniach s  podmienenou odkázanosťou. </w:t>
      </w:r>
    </w:p>
    <w:p w:rsidR="00F668B3" w:rsidRPr="00F668B3" w:rsidRDefault="00F668B3" w:rsidP="00F159B9">
      <w:pPr>
        <w:ind w:firstLine="708"/>
        <w:jc w:val="both"/>
        <w:rPr>
          <w:rFonts w:ascii="Times New Roman" w:hAnsi="Times New Roman"/>
        </w:rPr>
      </w:pPr>
    </w:p>
    <w:p w:rsidR="00F159B9" w:rsidRPr="0047431A" w:rsidRDefault="00F159B9" w:rsidP="00F159B9">
      <w:pPr>
        <w:ind w:firstLine="708"/>
        <w:jc w:val="both"/>
        <w:rPr>
          <w:rFonts w:ascii="Times New Roman" w:hAnsi="Times New Roman"/>
        </w:rPr>
      </w:pPr>
      <w:r w:rsidRPr="0047431A">
        <w:rPr>
          <w:rFonts w:ascii="Times New Roman" w:hAnsi="Times New Roman"/>
        </w:rPr>
        <w:t xml:space="preserve">Výdavky Environmentálneho fondu sú na rok 2019 rozpočtované v celkovej výške </w:t>
      </w:r>
      <w:r w:rsidR="000E0952">
        <w:rPr>
          <w:rFonts w:ascii="Times New Roman" w:hAnsi="Times New Roman"/>
        </w:rPr>
        <w:br/>
      </w:r>
      <w:r w:rsidRPr="0047431A">
        <w:rPr>
          <w:rFonts w:ascii="Times New Roman" w:hAnsi="Times New Roman"/>
        </w:rPr>
        <w:t xml:space="preserve">81,9 mil. eur, čím rastú v porovnaní so schváleným rozpočtom na rok 2018 o 54,8 mil. eur, teda o 203 %. Prostriedky fondu budú slúžiť na podporu zníženia znečistenia odpadových vôd, zásobovanie obyvateľstva pitnou vodou z obecných vodovodov, zlepšenie kvality ovzdušia, rozvoj odpadového hospodárstva, ochranu prírody, ako aj odstraňovanie následkov havárií. </w:t>
      </w:r>
    </w:p>
    <w:p w:rsidR="00F159B9" w:rsidRPr="00F668B3" w:rsidRDefault="00F159B9" w:rsidP="00F159B9">
      <w:pPr>
        <w:ind w:firstLine="708"/>
        <w:jc w:val="both"/>
        <w:rPr>
          <w:rFonts w:ascii="Times New Roman" w:hAnsi="Times New Roman" w:cs="Times New Roman"/>
          <w:szCs w:val="22"/>
          <w:lang w:eastAsia="en-US"/>
        </w:rPr>
      </w:pPr>
    </w:p>
    <w:p w:rsidR="00F159B9" w:rsidRPr="00F315F9" w:rsidRDefault="00F159B9" w:rsidP="00F159B9">
      <w:pPr>
        <w:ind w:firstLine="708"/>
        <w:contextualSpacing/>
        <w:jc w:val="both"/>
        <w:rPr>
          <w:rFonts w:ascii="Times New Roman" w:hAnsi="Times New Roman" w:cs="Times New Roman"/>
          <w:lang w:eastAsia="sk-SK"/>
        </w:rPr>
      </w:pPr>
      <w:r w:rsidRPr="00F315F9">
        <w:rPr>
          <w:rFonts w:ascii="Times New Roman" w:hAnsi="Times New Roman" w:cs="Times New Roman"/>
          <w:lang w:eastAsia="sk-SK"/>
        </w:rPr>
        <w:t xml:space="preserve">Vzhľadom na skutočnosť, že v čase prípravy rozpočtu verejnej správy nebola známa definitívna legislatívna podoba viacerých opatrení, rozpočtuje sa v kapitole Všeobecná pokladničná správa Rezerva na </w:t>
      </w:r>
      <w:r w:rsidR="000E0952" w:rsidRPr="00F315F9">
        <w:rPr>
          <w:rFonts w:ascii="Times New Roman" w:hAnsi="Times New Roman" w:cs="Times New Roman"/>
          <w:lang w:eastAsia="sk-SK"/>
        </w:rPr>
        <w:t>riešenie vplyvov nových zákonných úprav a iných vplyvov</w:t>
      </w:r>
      <w:r w:rsidRPr="00F315F9">
        <w:rPr>
          <w:rFonts w:ascii="Times New Roman" w:hAnsi="Times New Roman" w:cs="Times New Roman"/>
          <w:lang w:eastAsia="sk-SK"/>
        </w:rPr>
        <w:t xml:space="preserve"> v objeme 400 mil. eur. Účelom tejto rezervy je kryť </w:t>
      </w:r>
      <w:r w:rsidR="000E0952" w:rsidRPr="00F315F9">
        <w:rPr>
          <w:rFonts w:ascii="Times New Roman" w:hAnsi="Times New Roman" w:cs="Times New Roman"/>
          <w:lang w:eastAsia="sk-SK"/>
        </w:rPr>
        <w:t xml:space="preserve">vplyvy </w:t>
      </w:r>
      <w:r w:rsidRPr="00F315F9">
        <w:rPr>
          <w:rFonts w:ascii="Times New Roman" w:hAnsi="Times New Roman" w:cs="Times New Roman"/>
          <w:lang w:eastAsia="sk-SK"/>
        </w:rPr>
        <w:t>vyplývajúce najmä z titulu zavedenia bezplatného stravovania na školách a rekreačných šekov. Ďalej sa v rámci tejto rezervy uvažuje s krytím zvýšeného vianočného príspevku, zvýšeného daňového bonusu a zníženej sadzby DPH na ubytovanie.</w:t>
      </w:r>
    </w:p>
    <w:p w:rsidR="00F159B9" w:rsidRPr="00F668B3" w:rsidRDefault="00F159B9" w:rsidP="00F159B9">
      <w:pPr>
        <w:ind w:firstLine="708"/>
        <w:contextualSpacing/>
        <w:jc w:val="both"/>
        <w:rPr>
          <w:rFonts w:ascii="Times New Roman" w:hAnsi="Times New Roman" w:cs="Times New Roman"/>
          <w:lang w:eastAsia="sk-SK"/>
        </w:rPr>
      </w:pPr>
    </w:p>
    <w:p w:rsidR="00F159B9" w:rsidRPr="00F315F9" w:rsidRDefault="00F159B9" w:rsidP="00F159B9">
      <w:pPr>
        <w:ind w:firstLine="708"/>
        <w:jc w:val="both"/>
        <w:rPr>
          <w:rFonts w:ascii="Times New Roman" w:hAnsi="Times New Roman"/>
        </w:rPr>
      </w:pPr>
      <w:r w:rsidRPr="00F315F9">
        <w:rPr>
          <w:rFonts w:ascii="Times New Roman" w:hAnsi="Times New Roman"/>
        </w:rPr>
        <w:t xml:space="preserve">Ďalšou rezervou v kapitole Všeobecná pokladničná správa je Rezerva na rok 2019 vo výške 150 mil. eur, ktorá v prípade potreby môže byť využitá na investície a infraštruktúrne projekty. </w:t>
      </w:r>
    </w:p>
    <w:p w:rsidR="00F159B9" w:rsidRPr="00F668B3" w:rsidRDefault="00F159B9" w:rsidP="00F159B9">
      <w:pPr>
        <w:ind w:firstLine="708"/>
        <w:jc w:val="both"/>
        <w:rPr>
          <w:rFonts w:ascii="Times New Roman" w:hAnsi="Times New Roman"/>
        </w:rPr>
      </w:pPr>
    </w:p>
    <w:p w:rsidR="00F668B3" w:rsidRDefault="00F668B3" w:rsidP="00F159B9">
      <w:pPr>
        <w:ind w:firstLine="708"/>
        <w:jc w:val="both"/>
        <w:rPr>
          <w:rFonts w:ascii="Times New Roman" w:hAnsi="Times New Roman"/>
        </w:rPr>
      </w:pPr>
    </w:p>
    <w:p w:rsidR="00F668B3" w:rsidRDefault="00F668B3" w:rsidP="00F159B9">
      <w:pPr>
        <w:ind w:firstLine="708"/>
        <w:jc w:val="both"/>
        <w:rPr>
          <w:rFonts w:ascii="Times New Roman" w:hAnsi="Times New Roman"/>
        </w:rPr>
      </w:pPr>
    </w:p>
    <w:p w:rsidR="00F668B3" w:rsidRDefault="00F668B3" w:rsidP="00F159B9">
      <w:pPr>
        <w:ind w:firstLine="708"/>
        <w:jc w:val="both"/>
        <w:rPr>
          <w:rFonts w:ascii="Times New Roman" w:hAnsi="Times New Roman"/>
        </w:rPr>
      </w:pPr>
    </w:p>
    <w:p w:rsidR="00F159B9" w:rsidRDefault="00F159B9" w:rsidP="00F159B9">
      <w:pPr>
        <w:ind w:firstLine="708"/>
        <w:jc w:val="both"/>
        <w:rPr>
          <w:rFonts w:ascii="Times New Roman" w:hAnsi="Times New Roman"/>
        </w:rPr>
      </w:pPr>
      <w:r w:rsidRPr="00F315F9">
        <w:rPr>
          <w:rFonts w:ascii="Times New Roman" w:hAnsi="Times New Roman"/>
        </w:rPr>
        <w:lastRenderedPageBreak/>
        <w:t>Okrem skutočnosti, že rozpočet verejnej správy uvažuje v roku 2020 s vyrovnaným hospodárením a v roku 2021 dokonca s prebytkom na úrovni 0,2</w:t>
      </w:r>
      <w:r w:rsidR="000E0952" w:rsidRPr="00F315F9">
        <w:rPr>
          <w:rFonts w:ascii="Times New Roman" w:hAnsi="Times New Roman"/>
        </w:rPr>
        <w:t xml:space="preserve"> </w:t>
      </w:r>
      <w:r w:rsidRPr="00F315F9">
        <w:rPr>
          <w:rFonts w:ascii="Times New Roman" w:hAnsi="Times New Roman"/>
        </w:rPr>
        <w:t xml:space="preserve">% HDP, je v kapitole Všeobecná pokladničná správa alokovaná Rezerva na vývoj ekonomického cyklu v sume </w:t>
      </w:r>
      <w:r w:rsidR="00B53FDF" w:rsidRPr="00F315F9">
        <w:rPr>
          <w:rFonts w:ascii="Times New Roman" w:hAnsi="Times New Roman"/>
        </w:rPr>
        <w:br/>
      </w:r>
      <w:r w:rsidRPr="00F315F9">
        <w:rPr>
          <w:rFonts w:ascii="Times New Roman" w:hAnsi="Times New Roman"/>
        </w:rPr>
        <w:t>180 mil. eur v roku 2020 a</w:t>
      </w:r>
      <w:r w:rsidR="00B53FDF" w:rsidRPr="00F315F9">
        <w:rPr>
          <w:rFonts w:ascii="Times New Roman" w:hAnsi="Times New Roman"/>
        </w:rPr>
        <w:t> </w:t>
      </w:r>
      <w:r w:rsidRPr="00F315F9">
        <w:rPr>
          <w:rFonts w:ascii="Times New Roman" w:hAnsi="Times New Roman"/>
        </w:rPr>
        <w:t>0</w:t>
      </w:r>
      <w:r w:rsidR="00B53FDF" w:rsidRPr="00F315F9">
        <w:rPr>
          <w:rFonts w:ascii="Times New Roman" w:hAnsi="Times New Roman"/>
        </w:rPr>
        <w:t>,50</w:t>
      </w:r>
      <w:r w:rsidRPr="00F315F9">
        <w:rPr>
          <w:rFonts w:ascii="Times New Roman" w:hAnsi="Times New Roman"/>
        </w:rPr>
        <w:t xml:space="preserve"> </w:t>
      </w:r>
      <w:r w:rsidR="00B53FDF" w:rsidRPr="00F315F9">
        <w:rPr>
          <w:rFonts w:ascii="Times New Roman" w:hAnsi="Times New Roman"/>
        </w:rPr>
        <w:t>mld</w:t>
      </w:r>
      <w:r w:rsidRPr="00F315F9">
        <w:rPr>
          <w:rFonts w:ascii="Times New Roman" w:hAnsi="Times New Roman"/>
        </w:rPr>
        <w:t>. eur v roku 2021.</w:t>
      </w:r>
      <w:r w:rsidR="00B53FDF" w:rsidRPr="00F315F9">
        <w:rPr>
          <w:rFonts w:ascii="Times New Roman" w:hAnsi="Times New Roman"/>
        </w:rPr>
        <w:t xml:space="preserve"> Tieto prostriedky predstavujú </w:t>
      </w:r>
      <w:r w:rsidR="008C0E75" w:rsidRPr="00F315F9">
        <w:rPr>
          <w:rFonts w:ascii="Times New Roman" w:hAnsi="Times New Roman"/>
        </w:rPr>
        <w:t xml:space="preserve">nealokované </w:t>
      </w:r>
      <w:r w:rsidR="00B53FDF" w:rsidRPr="00F315F9">
        <w:rPr>
          <w:rFonts w:ascii="Times New Roman" w:hAnsi="Times New Roman"/>
        </w:rPr>
        <w:t>zdroje v rámci priestoru, ktorý vytvára fiškálny rámec.</w:t>
      </w:r>
      <w:r w:rsidR="00B53FDF">
        <w:rPr>
          <w:rFonts w:ascii="Times New Roman" w:hAnsi="Times New Roman"/>
        </w:rPr>
        <w:t xml:space="preserve"> </w:t>
      </w:r>
    </w:p>
    <w:p w:rsidR="00F159B9" w:rsidRPr="00F668B3" w:rsidRDefault="00F159B9" w:rsidP="00F159B9">
      <w:pPr>
        <w:ind w:firstLine="708"/>
        <w:jc w:val="both"/>
        <w:rPr>
          <w:rFonts w:ascii="Times New Roman" w:hAnsi="Times New Roman"/>
        </w:rPr>
      </w:pPr>
    </w:p>
    <w:p w:rsidR="00F159B9" w:rsidRPr="00556D93" w:rsidRDefault="00F159B9" w:rsidP="00F159B9">
      <w:pPr>
        <w:ind w:firstLine="708"/>
        <w:contextualSpacing/>
        <w:jc w:val="both"/>
        <w:rPr>
          <w:rFonts w:ascii="Times New Roman" w:hAnsi="Times New Roman" w:cs="Times New Roman"/>
          <w:lang w:eastAsia="sk-SK"/>
        </w:rPr>
      </w:pPr>
      <w:r w:rsidRPr="00556D93">
        <w:rPr>
          <w:rFonts w:ascii="Times New Roman" w:hAnsi="Times New Roman" w:cs="Times New Roman"/>
          <w:lang w:eastAsia="sk-SK"/>
        </w:rPr>
        <w:t>Návrh rozpočtu verejnej správy na roky 2019 až 2021 rešpektuje platnú legislatívu a je v súlade so zákonmi Slovenskej republiky.</w:t>
      </w:r>
    </w:p>
    <w:p w:rsidR="00F159B9" w:rsidRPr="007835DF" w:rsidRDefault="00F159B9" w:rsidP="00F159B9">
      <w:pPr>
        <w:contextualSpacing/>
        <w:jc w:val="both"/>
        <w:rPr>
          <w:rFonts w:ascii="Times New Roman" w:hAnsi="Times New Roman" w:cs="Times New Roman"/>
          <w:sz w:val="18"/>
          <w:highlight w:val="yellow"/>
          <w:lang w:eastAsia="sk-SK"/>
        </w:rPr>
      </w:pPr>
      <w:r w:rsidRPr="00890E67">
        <w:rPr>
          <w:rFonts w:ascii="Times New Roman" w:hAnsi="Times New Roman" w:cs="Times New Roman"/>
          <w:highlight w:val="yellow"/>
          <w:lang w:eastAsia="sk-SK"/>
        </w:rPr>
        <w:t xml:space="preserve"> </w:t>
      </w:r>
    </w:p>
    <w:p w:rsidR="00F159B9" w:rsidRDefault="00F159B9" w:rsidP="00F159B9">
      <w:pPr>
        <w:ind w:firstLine="708"/>
        <w:contextualSpacing/>
        <w:jc w:val="both"/>
        <w:rPr>
          <w:rFonts w:ascii="Times New Roman" w:hAnsi="Times New Roman" w:cs="Times New Roman"/>
          <w:lang w:eastAsia="sk-SK"/>
        </w:rPr>
      </w:pPr>
      <w:r w:rsidRPr="00556D93">
        <w:rPr>
          <w:rFonts w:ascii="Times New Roman" w:hAnsi="Times New Roman" w:cs="Times New Roman"/>
          <w:lang w:eastAsia="sk-SK"/>
        </w:rPr>
        <w:t xml:space="preserve">V súlade s § 14 ods. 3 zákona č. 523/2004 Z. z. o rozpočtových pravidlách verejnej správy a o zmene a doplnení niektorých zákonov </w:t>
      </w:r>
      <w:r w:rsidR="00DF6732">
        <w:rPr>
          <w:rFonts w:ascii="Times New Roman" w:hAnsi="Times New Roman" w:cs="Times New Roman"/>
          <w:lang w:eastAsia="sk-SK"/>
        </w:rPr>
        <w:t xml:space="preserve">v znení neskorších predpisov </w:t>
      </w:r>
      <w:r w:rsidRPr="00556D93">
        <w:rPr>
          <w:rFonts w:ascii="Times New Roman" w:hAnsi="Times New Roman" w:cs="Times New Roman"/>
          <w:lang w:eastAsia="sk-SK"/>
        </w:rPr>
        <w:t>materiál nebol predmetom medzirezortného pripomienkového konania a na predložený návrh rozpočtu sa nevzťahuje Jednotná metodika na posudzovanie vybraných vplyvov.</w:t>
      </w:r>
      <w:r>
        <w:rPr>
          <w:rFonts w:ascii="Times New Roman" w:hAnsi="Times New Roman" w:cs="Times New Roman"/>
          <w:lang w:eastAsia="sk-SK"/>
        </w:rPr>
        <w:t xml:space="preserve"> </w:t>
      </w: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Default="00F668B3" w:rsidP="00F159B9">
      <w:pPr>
        <w:ind w:firstLine="708"/>
        <w:contextualSpacing/>
        <w:jc w:val="both"/>
        <w:rPr>
          <w:rFonts w:ascii="Times New Roman" w:hAnsi="Times New Roman" w:cs="Times New Roman"/>
          <w:lang w:eastAsia="sk-SK"/>
        </w:rPr>
      </w:pPr>
    </w:p>
    <w:p w:rsidR="00F668B3" w:rsidRPr="0013757F" w:rsidRDefault="00F668B3" w:rsidP="00F159B9">
      <w:pPr>
        <w:ind w:firstLine="708"/>
        <w:contextualSpacing/>
        <w:jc w:val="both"/>
        <w:rPr>
          <w:rFonts w:ascii="Times New Roman" w:hAnsi="Times New Roman" w:cs="Times New Roman"/>
          <w:lang w:eastAsia="sk-SK"/>
        </w:rPr>
      </w:pPr>
    </w:p>
    <w:p w:rsidR="005D1A7E" w:rsidRPr="00C14CF2" w:rsidRDefault="005D1A7E" w:rsidP="0089184B">
      <w:pPr>
        <w:pStyle w:val="Nadpis1"/>
        <w:numPr>
          <w:ilvl w:val="0"/>
          <w:numId w:val="1"/>
        </w:numPr>
        <w:spacing w:before="0" w:after="0"/>
        <w:ind w:left="284" w:hanging="284"/>
        <w:rPr>
          <w:rFonts w:ascii="Times New Roman" w:hAnsi="Times New Roman" w:cs="Times New Roman"/>
          <w:sz w:val="28"/>
          <w:szCs w:val="28"/>
        </w:rPr>
      </w:pPr>
      <w:bookmarkStart w:id="4" w:name="_Toc526273175"/>
      <w:r w:rsidRPr="00C14CF2">
        <w:rPr>
          <w:rFonts w:ascii="Times New Roman" w:hAnsi="Times New Roman" w:cs="Times New Roman"/>
          <w:sz w:val="28"/>
          <w:szCs w:val="28"/>
        </w:rPr>
        <w:lastRenderedPageBreak/>
        <w:t>Makroekonomické predpoklady rozpočtu</w:t>
      </w:r>
      <w:bookmarkEnd w:id="0"/>
      <w:bookmarkEnd w:id="1"/>
      <w:bookmarkEnd w:id="4"/>
      <w:r w:rsidRPr="00C14CF2">
        <w:rPr>
          <w:rFonts w:ascii="Times New Roman" w:hAnsi="Times New Roman" w:cs="Times New Roman"/>
          <w:sz w:val="28"/>
          <w:szCs w:val="28"/>
        </w:rPr>
        <w:t xml:space="preserve"> </w:t>
      </w:r>
    </w:p>
    <w:p w:rsidR="005408A2" w:rsidRDefault="005408A2" w:rsidP="005408A2">
      <w:pPr>
        <w:keepNext/>
        <w:keepLines/>
        <w:widowControl w:val="0"/>
        <w:jc w:val="both"/>
        <w:rPr>
          <w:rFonts w:ascii="Times New Roman" w:hAnsi="Times New Roman" w:cs="Times New Roman"/>
          <w:color w:val="0070C0"/>
          <w:szCs w:val="28"/>
          <w:highlight w:val="yellow"/>
        </w:rPr>
      </w:pPr>
    </w:p>
    <w:p w:rsidR="005408A2" w:rsidRDefault="005408A2" w:rsidP="005408A2">
      <w:pPr>
        <w:ind w:firstLine="708"/>
        <w:jc w:val="both"/>
        <w:rPr>
          <w:rFonts w:ascii="Times New Roman" w:hAnsi="Times New Roman" w:cs="Times New Roman"/>
        </w:rPr>
      </w:pPr>
      <w:r w:rsidRPr="00EE4C66">
        <w:rPr>
          <w:rFonts w:ascii="Times New Roman" w:hAnsi="Times New Roman" w:cs="Times New Roman"/>
        </w:rPr>
        <w:t xml:space="preserve">Slovenská ekonomika vzrastie v aktuálnom roku o 4,1 %. Spotrebu domácností, ktorá bola ťahúňom v uplynulom období, vystrieda oživený export, ale najmä investície. Export zrýchľuje vďaka automobilovému priemyslu, kde sa prejavuje nábeh novej produkcie vo Volkswagene (VW). Prudkému nárastu investícií výrazne napomáha investícia v Jaguar Land Rover (JLR) ako aj akcelerácia verejných investícií,  najmä samospráv. </w:t>
      </w:r>
    </w:p>
    <w:p w:rsidR="005408A2" w:rsidRPr="00EE4C66" w:rsidRDefault="005408A2" w:rsidP="005408A2">
      <w:pPr>
        <w:ind w:firstLine="708"/>
        <w:jc w:val="both"/>
        <w:rPr>
          <w:rFonts w:ascii="Times New Roman" w:hAnsi="Times New Roman" w:cs="Times New Roman"/>
        </w:rPr>
      </w:pPr>
    </w:p>
    <w:p w:rsidR="005408A2" w:rsidRDefault="005408A2" w:rsidP="005408A2">
      <w:pPr>
        <w:ind w:firstLine="708"/>
        <w:jc w:val="both"/>
        <w:rPr>
          <w:rFonts w:ascii="Times New Roman" w:hAnsi="Times New Roman" w:cs="Times New Roman"/>
        </w:rPr>
      </w:pPr>
      <w:r w:rsidRPr="00EE4C66">
        <w:rPr>
          <w:rFonts w:ascii="Times New Roman" w:hAnsi="Times New Roman" w:cs="Times New Roman"/>
        </w:rPr>
        <w:t>V roku 2019 pridá ekonomika do kroku ešte výraznejšie a posilní o 4,5 %. Spotreba domácností si vďaka prudkému zvyšovaniu miezd udrží dynamiku porovnateľnú s predchádzajúcimi rokmi. Väčšiemu vplyvu na reálnu spotrebu domácností bude však brániť cyklická pozícia ekonomiky, takže vyššie mzdy sa prejavia najmä v raste cien. Navyše, ostatné zložky disponibilného príjmu domácností sa budú zvyšovať pomalšie ako mzdová báza. Dominovať bude export, ktorý opäť zrýchli vďaka nábehu produkcie v JLR a tiež vďaka pokračujúcemu zvyšovaniu výroby vo VW. Investície naopak spomalia z dôvodu dokončenia nových kapacít v automobilkách, no tvorba jadrových investícií</w:t>
      </w:r>
      <w:r w:rsidRPr="000C11DC">
        <w:rPr>
          <w:rFonts w:ascii="Times New Roman" w:hAnsi="Times New Roman" w:cs="Times New Roman"/>
          <w:vertAlign w:val="superscript"/>
        </w:rPr>
        <w:footnoteReference w:id="1"/>
      </w:r>
      <w:r w:rsidRPr="00EE4C66">
        <w:rPr>
          <w:rFonts w:ascii="Times New Roman" w:hAnsi="Times New Roman" w:cs="Times New Roman"/>
        </w:rPr>
        <w:t xml:space="preserve"> v súkromnom sektore si zachová vysoké tempo. </w:t>
      </w:r>
    </w:p>
    <w:p w:rsidR="005408A2" w:rsidRPr="00EE4C66" w:rsidRDefault="005408A2" w:rsidP="005408A2">
      <w:pPr>
        <w:ind w:firstLine="708"/>
        <w:jc w:val="both"/>
        <w:rPr>
          <w:rFonts w:ascii="Times New Roman" w:hAnsi="Times New Roman" w:cs="Times New Roman"/>
        </w:rPr>
      </w:pPr>
    </w:p>
    <w:p w:rsidR="005408A2" w:rsidRDefault="0057315E" w:rsidP="005408A2">
      <w:pPr>
        <w:ind w:firstLine="708"/>
        <w:jc w:val="both"/>
        <w:rPr>
          <w:rFonts w:ascii="Times New Roman" w:hAnsi="Times New Roman" w:cs="Times New Roman"/>
        </w:rPr>
      </w:pPr>
      <w:r>
        <w:rPr>
          <w:rFonts w:ascii="Times New Roman" w:hAnsi="Times New Roman" w:cs="Times New Roman"/>
        </w:rPr>
        <w:t>V</w:t>
      </w:r>
      <w:r w:rsidR="005408A2" w:rsidRPr="00EE4C66">
        <w:rPr>
          <w:rFonts w:ascii="Times New Roman" w:hAnsi="Times New Roman" w:cs="Times New Roman"/>
        </w:rPr>
        <w:t xml:space="preserve"> rok</w:t>
      </w:r>
      <w:r>
        <w:rPr>
          <w:rFonts w:ascii="Times New Roman" w:hAnsi="Times New Roman" w:cs="Times New Roman"/>
        </w:rPr>
        <w:t>u</w:t>
      </w:r>
      <w:r w:rsidR="005408A2" w:rsidRPr="00EE4C66">
        <w:rPr>
          <w:rFonts w:ascii="Times New Roman" w:hAnsi="Times New Roman" w:cs="Times New Roman"/>
        </w:rPr>
        <w:t xml:space="preserve"> 2020 možno očakávať zvoľnenie ekonomického rastu pod štyri percentá. Efekt nabiehania automobilovej výroby bude postupne odznievať. V tomto období ešte možno očakávať zvyšovanie výroby v JLR nábehom druhého modelu, no rast exportu bude brzdiť cyklické spomaľovanie ekonomík našich hlavných obchodných partnerov. Podobne aj tvorba investícií bude odzrkadľovať cyklické zvoľnenie ekonomiky a porastie len mierne. Spotreba domácností však bude ďalej ťažiť zo silného trhu práce. Razantné zvyšovanie miezd vo verejnom sektore sa opäť prejaví najmä v spotrebiteľských cenách.</w:t>
      </w:r>
    </w:p>
    <w:p w:rsidR="005408A2" w:rsidRPr="00EE4C66" w:rsidRDefault="005408A2" w:rsidP="005408A2">
      <w:pPr>
        <w:ind w:firstLine="708"/>
        <w:jc w:val="both"/>
        <w:rPr>
          <w:rFonts w:ascii="Times New Roman" w:hAnsi="Times New Roman" w:cs="Times New Roman"/>
        </w:rPr>
      </w:pPr>
    </w:p>
    <w:p w:rsidR="005408A2" w:rsidRDefault="005408A2" w:rsidP="005408A2">
      <w:pPr>
        <w:ind w:firstLine="708"/>
        <w:jc w:val="both"/>
        <w:rPr>
          <w:rFonts w:ascii="Times New Roman" w:hAnsi="Times New Roman" w:cs="Times New Roman"/>
        </w:rPr>
      </w:pPr>
      <w:r w:rsidRPr="00EE4C66">
        <w:rPr>
          <w:rFonts w:ascii="Times New Roman" w:hAnsi="Times New Roman" w:cs="Times New Roman"/>
        </w:rPr>
        <w:t xml:space="preserve">Na konci strednodobého horizontu ekonomika zvoľní ešte výraznejšie k 3,3 %, pričom možno očakávať začiatok uzatvárania produkčnej </w:t>
      </w:r>
      <w:r>
        <w:rPr>
          <w:rFonts w:ascii="Times New Roman" w:hAnsi="Times New Roman" w:cs="Times New Roman"/>
        </w:rPr>
        <w:t>medzery</w:t>
      </w:r>
      <w:r w:rsidRPr="00EE4C66">
        <w:rPr>
          <w:rFonts w:ascii="Times New Roman" w:hAnsi="Times New Roman" w:cs="Times New Roman"/>
        </w:rPr>
        <w:t>. Zahraničný dopyt pribrzdí k hranici svojho dlhodobého potenciálu, čo ovplyvní výkon exportu. Bez výrazného impulzu do miezd príde k spomaleniu rastu spotreby domácností. Spomaľujúce súkromné investície budú aj vzhľadom na blížiaci sa záver tretieho programového obdobia EÚ fondov kompenzované miernym nárastom verejných investícií. Výraznejšiu tvorbu verejných investícií financovaných z fondov EÚ však očakávame až za horizontom prognózy.</w:t>
      </w:r>
    </w:p>
    <w:p w:rsidR="005408A2" w:rsidRDefault="005408A2" w:rsidP="005408A2">
      <w:pPr>
        <w:ind w:firstLine="708"/>
        <w:jc w:val="both"/>
        <w:rPr>
          <w:rFonts w:ascii="Times New Roman" w:hAnsi="Times New Roman" w:cs="Times New Roman"/>
        </w:rPr>
      </w:pPr>
    </w:p>
    <w:p w:rsidR="005408A2" w:rsidRDefault="005408A2" w:rsidP="005408A2">
      <w:pPr>
        <w:ind w:firstLine="708"/>
        <w:jc w:val="both"/>
        <w:rPr>
          <w:rFonts w:ascii="Times New Roman" w:hAnsi="Times New Roman" w:cs="Times New Roman"/>
        </w:rPr>
      </w:pPr>
      <w:r w:rsidRPr="00EE4C66">
        <w:rPr>
          <w:rFonts w:ascii="Times New Roman" w:hAnsi="Times New Roman" w:cs="Times New Roman"/>
        </w:rPr>
        <w:t xml:space="preserve">Zamestnanosť sa v tomto roku zvýši o 2 %, čo predstavuje 47 tisíc nových pracovných miest. Takmer polovicu vygeneruje sektor služieb, zamestnanosť však stúpne aj v priemysle a stavebníctve. Najrýchlejšia dynamika tvorby pracovných miest nastane práve v stavebníctve, ktoré má našliapnuté na najlepší rok od krízy. V nasledovných rokoch sa rast zamestnanosti zmierni pod 1 </w:t>
      </w:r>
      <w:r w:rsidRPr="00CC7CDF">
        <w:rPr>
          <w:rFonts w:ascii="Times New Roman" w:hAnsi="Times New Roman" w:cs="Times New Roman"/>
        </w:rPr>
        <w:t>%. Nedostatok pracovnej sily bude čiastočne tlmiť nižší počet pracujúcich Slovákov v zahraničí a pokračujúci nárast počtu zahran</w:t>
      </w:r>
      <w:r w:rsidR="00290CB6">
        <w:rPr>
          <w:rFonts w:ascii="Times New Roman" w:hAnsi="Times New Roman" w:cs="Times New Roman"/>
        </w:rPr>
        <w:t>ičných pracovníkov na Slovensku</w:t>
      </w:r>
      <w:r w:rsidRPr="00CC7CDF">
        <w:rPr>
          <w:rFonts w:ascii="Times New Roman" w:hAnsi="Times New Roman" w:cs="Times New Roman"/>
        </w:rPr>
        <w:t>. Kvôli</w:t>
      </w:r>
      <w:r w:rsidRPr="00EE4C66">
        <w:rPr>
          <w:rFonts w:ascii="Times New Roman" w:hAnsi="Times New Roman" w:cs="Times New Roman"/>
        </w:rPr>
        <w:t xml:space="preserve"> týmto faktorom bude celková zamestnanosť v slovenskej ekonomike rásť dvojnásobne rýchlejším tempom ako zamestnanosť podľa národného konceptu (VZPS)</w:t>
      </w:r>
      <w:r w:rsidRPr="00CC7CDF">
        <w:rPr>
          <w:rFonts w:ascii="Times New Roman" w:hAnsi="Times New Roman" w:cs="Times New Roman"/>
          <w:vertAlign w:val="superscript"/>
        </w:rPr>
        <w:footnoteReference w:id="2"/>
      </w:r>
      <w:r w:rsidRPr="00EE4C66">
        <w:rPr>
          <w:rFonts w:ascii="Times New Roman" w:hAnsi="Times New Roman" w:cs="Times New Roman"/>
        </w:rPr>
        <w:t xml:space="preserve">. Miera nezamestnanosti prekonáva nové minimá a tento rok dosiahne 6,9 %. Do roku 2021 klesne pod šesť percent. </w:t>
      </w:r>
    </w:p>
    <w:p w:rsidR="005408A2" w:rsidRPr="00EE4C66" w:rsidRDefault="005408A2" w:rsidP="005408A2">
      <w:pPr>
        <w:ind w:firstLine="708"/>
        <w:jc w:val="both"/>
        <w:rPr>
          <w:rFonts w:ascii="Times New Roman" w:hAnsi="Times New Roman" w:cs="Times New Roman"/>
        </w:rPr>
      </w:pPr>
    </w:p>
    <w:p w:rsidR="005408A2" w:rsidRDefault="005408A2" w:rsidP="005408A2">
      <w:pPr>
        <w:ind w:firstLine="708"/>
        <w:jc w:val="both"/>
        <w:rPr>
          <w:rFonts w:ascii="Times New Roman" w:hAnsi="Times New Roman" w:cs="Times New Roman"/>
        </w:rPr>
      </w:pPr>
      <w:r w:rsidRPr="00EE4C66">
        <w:rPr>
          <w:rFonts w:ascii="Times New Roman" w:hAnsi="Times New Roman" w:cs="Times New Roman"/>
        </w:rPr>
        <w:t xml:space="preserve">Priemerná nominálna mzda sa v tomto roku zvýši o 6,2 %. Zrýchlenie miezd bude citeľné naprieč všetkými sektormi. Najviac si polepšia zamestnanci vo verejnej správe a v priemysle, ktorý pociťuje najvýraznejší nedostatok pracovnej sily. Aj v rokoch 2019 a 2020 sa </w:t>
      </w:r>
      <w:r w:rsidRPr="00EE4C66">
        <w:rPr>
          <w:rFonts w:ascii="Times New Roman" w:hAnsi="Times New Roman" w:cs="Times New Roman"/>
        </w:rPr>
        <w:lastRenderedPageBreak/>
        <w:t>tempo rastu miezd udrží nad 6 %. Novým impulzom bude valorizácia platových taríf vo verejnom sektore</w:t>
      </w:r>
      <w:r w:rsidRPr="0057315E">
        <w:rPr>
          <w:rFonts w:ascii="Times New Roman" w:hAnsi="Times New Roman" w:cs="Times New Roman"/>
          <w:vertAlign w:val="superscript"/>
        </w:rPr>
        <w:footnoteReference w:id="3"/>
      </w:r>
      <w:r w:rsidRPr="00EE4C66">
        <w:rPr>
          <w:rFonts w:ascii="Times New Roman" w:hAnsi="Times New Roman" w:cs="Times New Roman"/>
        </w:rPr>
        <w:t>. V súkromnom sektore bude lídrom opäť priemysel. Reálna mzda  si udrží dynamiku nad 3 % až do roku 2020.</w:t>
      </w:r>
    </w:p>
    <w:p w:rsidR="005408A2" w:rsidRPr="00EE4C66" w:rsidRDefault="005408A2" w:rsidP="005408A2">
      <w:pPr>
        <w:ind w:firstLine="708"/>
        <w:jc w:val="both"/>
        <w:rPr>
          <w:rFonts w:ascii="Times New Roman" w:hAnsi="Times New Roman" w:cs="Times New Roman"/>
        </w:rPr>
      </w:pPr>
    </w:p>
    <w:p w:rsidR="005408A2" w:rsidRDefault="005408A2" w:rsidP="005408A2">
      <w:pPr>
        <w:ind w:firstLine="708"/>
        <w:jc w:val="both"/>
        <w:rPr>
          <w:rFonts w:ascii="Times New Roman" w:hAnsi="Times New Roman" w:cs="Times New Roman"/>
        </w:rPr>
      </w:pPr>
      <w:r w:rsidRPr="00EE4C66">
        <w:rPr>
          <w:rFonts w:ascii="Times New Roman" w:hAnsi="Times New Roman" w:cs="Times New Roman"/>
        </w:rPr>
        <w:t>Ceny v tomto roku stúpnu o 2,5 %. Hlavným príspevkom k celkovej inflácii sú ceny služieb, ktoré rastú v reakcii na pnutie na trhu práce. Skokový rast cien potravín, ktorý ťahal infláciu v prvej polovici roka, postupne vyprcháva. Regulované ceny v reakcii na rozhodnutie regulačného úradu zo začiatku roka rastú len mierne. Vyššie ceny ropy sa premietajú do vyšších cien pohonných hmôt. Ceny obchodovateľných tovarov porastú len pozvoľne a budú tlmené vývojom cien v zahraničí.</w:t>
      </w:r>
    </w:p>
    <w:p w:rsidR="005408A2" w:rsidRPr="00EE4C66" w:rsidRDefault="005408A2" w:rsidP="005408A2">
      <w:pPr>
        <w:ind w:firstLine="708"/>
        <w:jc w:val="both"/>
        <w:rPr>
          <w:rFonts w:ascii="Times New Roman" w:hAnsi="Times New Roman" w:cs="Times New Roman"/>
        </w:rPr>
      </w:pPr>
    </w:p>
    <w:p w:rsidR="005408A2" w:rsidRPr="00EE4C66" w:rsidRDefault="005408A2" w:rsidP="005408A2">
      <w:pPr>
        <w:ind w:firstLine="708"/>
        <w:jc w:val="both"/>
        <w:rPr>
          <w:rFonts w:ascii="Times New Roman" w:hAnsi="Times New Roman" w:cs="Times New Roman"/>
        </w:rPr>
      </w:pPr>
      <w:r w:rsidRPr="00EE4C66">
        <w:rPr>
          <w:rFonts w:ascii="Times New Roman" w:hAnsi="Times New Roman" w:cs="Times New Roman"/>
        </w:rPr>
        <w:t xml:space="preserve">Inflácia bude pokračovať rovnakým tempom aj v ďalších rokoch. Regulované ceny energií by sa mali v budúcom roku zvýšiť na základe vývoja cien energetických komodít na svetových trhoch a vývoja </w:t>
      </w:r>
      <w:r w:rsidRPr="00290CB6">
        <w:rPr>
          <w:rFonts w:ascii="Times New Roman" w:hAnsi="Times New Roman" w:cs="Times New Roman"/>
        </w:rPr>
        <w:t>future</w:t>
      </w:r>
      <w:r w:rsidRPr="00EE4C66">
        <w:rPr>
          <w:rFonts w:ascii="Times New Roman" w:hAnsi="Times New Roman" w:cs="Times New Roman"/>
        </w:rPr>
        <w:t xml:space="preserve"> kontraktov. Vyprchanie impulzu z cien potravín bude v roku 2019 kompenzované rýchlejším rastom cien obchodovateľných tovarov a najmä služieb. To bude odrážať pokračujúce prehrievanie trhu práce a s ním spojený rast miezd. Dynamika cien služieb udrží celkovú infláciu na strednodobom horizonte na úrovni 2,5 %.</w:t>
      </w:r>
    </w:p>
    <w:p w:rsidR="005408A2" w:rsidRPr="00A4379A" w:rsidRDefault="005408A2" w:rsidP="005408A2">
      <w:pPr>
        <w:ind w:firstLine="708"/>
        <w:jc w:val="both"/>
        <w:rPr>
          <w:rFonts w:ascii="Times New Roman" w:hAnsi="Times New Roman" w:cs="Times New Roman"/>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73"/>
        <w:gridCol w:w="785"/>
        <w:gridCol w:w="785"/>
        <w:gridCol w:w="730"/>
        <w:gridCol w:w="709"/>
        <w:gridCol w:w="739"/>
        <w:gridCol w:w="741"/>
      </w:tblGrid>
      <w:tr w:rsidR="005408A2" w:rsidRPr="008F4B35" w:rsidTr="00DF0EF9">
        <w:trPr>
          <w:trHeight w:val="227"/>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5408A2" w:rsidRPr="008F4B35" w:rsidRDefault="005408A2" w:rsidP="00DF0EF9">
            <w:pPr>
              <w:rPr>
                <w:rFonts w:ascii="Times New Roman" w:hAnsi="Times New Roman" w:cs="Times New Roman"/>
                <w:b/>
                <w:bCs/>
                <w:sz w:val="14"/>
                <w:szCs w:val="14"/>
                <w:lang w:eastAsia="sk-SK"/>
              </w:rPr>
            </w:pPr>
            <w:r w:rsidRPr="008F4B35">
              <w:rPr>
                <w:rFonts w:ascii="Times New Roman" w:hAnsi="Times New Roman" w:cs="Times New Roman"/>
                <w:b/>
                <w:color w:val="000000"/>
                <w:sz w:val="14"/>
                <w:szCs w:val="14"/>
              </w:rPr>
              <w:t>Prognóza vybraných ukazovateľov ekonomiky (september 201</w:t>
            </w:r>
            <w:r>
              <w:rPr>
                <w:rFonts w:ascii="Times New Roman" w:hAnsi="Times New Roman" w:cs="Times New Roman"/>
                <w:b/>
                <w:color w:val="000000"/>
                <w:sz w:val="14"/>
                <w:szCs w:val="14"/>
              </w:rPr>
              <w:t>8</w:t>
            </w:r>
            <w:r w:rsidRPr="008F4B35">
              <w:rPr>
                <w:rFonts w:ascii="Times New Roman" w:hAnsi="Times New Roman" w:cs="Times New Roman"/>
                <w:b/>
                <w:color w:val="000000"/>
                <w:sz w:val="14"/>
                <w:szCs w:val="14"/>
              </w:rPr>
              <w:t>)</w:t>
            </w:r>
          </w:p>
        </w:tc>
      </w:tr>
      <w:tr w:rsidR="005408A2" w:rsidRPr="008F4B35" w:rsidTr="00DF0EF9">
        <w:trPr>
          <w:trHeight w:val="227"/>
          <w:jc w:val="center"/>
        </w:trPr>
        <w:tc>
          <w:tcPr>
            <w:tcW w:w="2523" w:type="pct"/>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408A2" w:rsidRPr="008F4B35" w:rsidRDefault="005408A2" w:rsidP="00DF0EF9">
            <w:pPr>
              <w:jc w:val="center"/>
              <w:rPr>
                <w:rFonts w:ascii="Times New Roman" w:hAnsi="Times New Roman" w:cs="Times New Roman"/>
                <w:b/>
                <w:bCs/>
                <w:sz w:val="14"/>
                <w:szCs w:val="14"/>
                <w:lang w:eastAsia="sk-SK"/>
              </w:rPr>
            </w:pPr>
            <w:r w:rsidRPr="008F4B35">
              <w:rPr>
                <w:rFonts w:ascii="Times New Roman" w:hAnsi="Times New Roman" w:cs="Times New Roman"/>
                <w:b/>
                <w:bCs/>
                <w:sz w:val="14"/>
                <w:szCs w:val="14"/>
                <w:lang w:eastAsia="sk-SK"/>
              </w:rPr>
              <w:t xml:space="preserve">Ukazovateľ </w:t>
            </w:r>
            <w:r w:rsidRPr="008F4B35">
              <w:rPr>
                <w:rFonts w:ascii="Times New Roman" w:hAnsi="Times New Roman" w:cs="Times New Roman"/>
                <w:b/>
                <w:sz w:val="14"/>
                <w:szCs w:val="14"/>
                <w:lang w:eastAsia="sk-SK"/>
              </w:rPr>
              <w:t>(rast v % ak nie je uvedené inak)</w:t>
            </w:r>
          </w:p>
        </w:tc>
        <w:tc>
          <w:tcPr>
            <w:tcW w:w="866" w:type="pct"/>
            <w:gridSpan w:val="2"/>
            <w:tcBorders>
              <w:top w:val="single" w:sz="4" w:space="0" w:color="auto"/>
              <w:left w:val="single" w:sz="4" w:space="0" w:color="auto"/>
              <w:bottom w:val="single" w:sz="4" w:space="0" w:color="auto"/>
              <w:right w:val="single" w:sz="4" w:space="0" w:color="auto"/>
            </w:tcBorders>
            <w:shd w:val="clear" w:color="auto" w:fill="BFBFBF"/>
            <w:noWrap/>
            <w:vAlign w:val="center"/>
          </w:tcPr>
          <w:p w:rsidR="005408A2" w:rsidRPr="008F4B35" w:rsidRDefault="005408A2" w:rsidP="00DF0EF9">
            <w:pPr>
              <w:jc w:val="center"/>
              <w:rPr>
                <w:rFonts w:ascii="Times New Roman" w:hAnsi="Times New Roman" w:cs="Times New Roman"/>
                <w:b/>
                <w:bCs/>
                <w:sz w:val="14"/>
                <w:szCs w:val="14"/>
                <w:lang w:eastAsia="sk-SK"/>
              </w:rPr>
            </w:pPr>
            <w:r w:rsidRPr="008F4B35">
              <w:rPr>
                <w:rFonts w:ascii="Times New Roman" w:hAnsi="Times New Roman" w:cs="Times New Roman"/>
                <w:b/>
                <w:bCs/>
                <w:sz w:val="14"/>
                <w:szCs w:val="14"/>
                <w:lang w:eastAsia="sk-SK"/>
              </w:rPr>
              <w:t>Skutočnosť</w:t>
            </w:r>
          </w:p>
        </w:tc>
        <w:tc>
          <w:tcPr>
            <w:tcW w:w="1611" w:type="pct"/>
            <w:gridSpan w:val="4"/>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408A2" w:rsidRPr="008F4B35" w:rsidRDefault="005408A2" w:rsidP="00DF0EF9">
            <w:pPr>
              <w:jc w:val="center"/>
              <w:rPr>
                <w:rFonts w:ascii="Times New Roman" w:hAnsi="Times New Roman" w:cs="Times New Roman"/>
                <w:b/>
                <w:bCs/>
                <w:sz w:val="14"/>
                <w:szCs w:val="14"/>
                <w:lang w:eastAsia="sk-SK"/>
              </w:rPr>
            </w:pPr>
            <w:r w:rsidRPr="008F4B35">
              <w:rPr>
                <w:rFonts w:ascii="Times New Roman" w:hAnsi="Times New Roman" w:cs="Times New Roman"/>
                <w:b/>
                <w:bCs/>
                <w:sz w:val="14"/>
                <w:szCs w:val="14"/>
                <w:lang w:eastAsia="sk-SK"/>
              </w:rPr>
              <w:t>Prognóza</w:t>
            </w:r>
          </w:p>
        </w:tc>
      </w:tr>
      <w:tr w:rsidR="005408A2" w:rsidRPr="008F4B35" w:rsidTr="00DF0EF9">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08A2" w:rsidRPr="008F4B35" w:rsidRDefault="005408A2" w:rsidP="00DF0EF9">
            <w:pPr>
              <w:rPr>
                <w:rFonts w:ascii="Times New Roman" w:hAnsi="Times New Roman" w:cs="Times New Roman"/>
                <w:b/>
                <w:bCs/>
                <w:sz w:val="14"/>
                <w:szCs w:val="14"/>
                <w:lang w:eastAsia="sk-SK"/>
              </w:rPr>
            </w:pPr>
          </w:p>
        </w:tc>
        <w:tc>
          <w:tcPr>
            <w:tcW w:w="433"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5408A2" w:rsidRPr="008F4B35" w:rsidRDefault="005408A2" w:rsidP="00DF0EF9">
            <w:pPr>
              <w:jc w:val="center"/>
              <w:rPr>
                <w:rFonts w:ascii="Times New Roman" w:hAnsi="Times New Roman" w:cs="Times New Roman"/>
                <w:b/>
                <w:sz w:val="14"/>
                <w:szCs w:val="14"/>
                <w:lang w:eastAsia="sk-SK"/>
              </w:rPr>
            </w:pPr>
            <w:r w:rsidRPr="008F4B35">
              <w:rPr>
                <w:rFonts w:ascii="Times New Roman" w:hAnsi="Times New Roman" w:cs="Times New Roman"/>
                <w:b/>
                <w:sz w:val="14"/>
                <w:szCs w:val="14"/>
                <w:lang w:eastAsia="sk-SK"/>
              </w:rPr>
              <w:t>2016</w:t>
            </w:r>
          </w:p>
        </w:tc>
        <w:tc>
          <w:tcPr>
            <w:tcW w:w="433" w:type="pct"/>
            <w:tcBorders>
              <w:top w:val="single" w:sz="4" w:space="0" w:color="auto"/>
              <w:left w:val="single" w:sz="4" w:space="0" w:color="auto"/>
              <w:bottom w:val="single" w:sz="4" w:space="0" w:color="auto"/>
              <w:right w:val="single" w:sz="4" w:space="0" w:color="auto"/>
            </w:tcBorders>
            <w:shd w:val="clear" w:color="auto" w:fill="BFBFBF"/>
            <w:vAlign w:val="center"/>
          </w:tcPr>
          <w:p w:rsidR="005408A2" w:rsidRPr="008F4B35" w:rsidRDefault="005408A2" w:rsidP="00DF0EF9">
            <w:pPr>
              <w:jc w:val="center"/>
              <w:rPr>
                <w:rFonts w:ascii="Times New Roman" w:hAnsi="Times New Roman" w:cs="Times New Roman"/>
                <w:b/>
                <w:sz w:val="14"/>
                <w:szCs w:val="14"/>
                <w:lang w:eastAsia="sk-SK"/>
              </w:rPr>
            </w:pPr>
            <w:r w:rsidRPr="008F4B35">
              <w:rPr>
                <w:rFonts w:ascii="Times New Roman" w:hAnsi="Times New Roman" w:cs="Times New Roman"/>
                <w:b/>
                <w:sz w:val="14"/>
                <w:szCs w:val="14"/>
                <w:lang w:eastAsia="sk-SK"/>
              </w:rPr>
              <w:t>2017</w:t>
            </w:r>
          </w:p>
        </w:tc>
        <w:tc>
          <w:tcPr>
            <w:tcW w:w="40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408A2" w:rsidRPr="008F4B35" w:rsidRDefault="005408A2" w:rsidP="00DF0EF9">
            <w:pPr>
              <w:jc w:val="center"/>
              <w:rPr>
                <w:rFonts w:ascii="Times New Roman" w:hAnsi="Times New Roman" w:cs="Times New Roman"/>
                <w:b/>
                <w:sz w:val="14"/>
                <w:szCs w:val="14"/>
                <w:lang w:eastAsia="sk-SK"/>
              </w:rPr>
            </w:pPr>
            <w:r w:rsidRPr="008F4B35">
              <w:rPr>
                <w:rFonts w:ascii="Times New Roman" w:hAnsi="Times New Roman" w:cs="Times New Roman"/>
                <w:b/>
                <w:sz w:val="14"/>
                <w:szCs w:val="14"/>
                <w:lang w:eastAsia="sk-SK"/>
              </w:rPr>
              <w:t>2018</w:t>
            </w:r>
          </w:p>
        </w:tc>
        <w:tc>
          <w:tcPr>
            <w:tcW w:w="39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408A2" w:rsidRPr="008F4B35" w:rsidRDefault="005408A2" w:rsidP="00DF0EF9">
            <w:pPr>
              <w:jc w:val="center"/>
              <w:rPr>
                <w:rFonts w:ascii="Times New Roman" w:hAnsi="Times New Roman" w:cs="Times New Roman"/>
                <w:b/>
                <w:sz w:val="14"/>
                <w:szCs w:val="14"/>
                <w:lang w:eastAsia="sk-SK"/>
              </w:rPr>
            </w:pPr>
            <w:r w:rsidRPr="008F4B35">
              <w:rPr>
                <w:rFonts w:ascii="Times New Roman" w:hAnsi="Times New Roman" w:cs="Times New Roman"/>
                <w:b/>
                <w:sz w:val="14"/>
                <w:szCs w:val="14"/>
                <w:lang w:eastAsia="sk-SK"/>
              </w:rPr>
              <w:t>2019</w:t>
            </w:r>
          </w:p>
        </w:tc>
        <w:tc>
          <w:tcPr>
            <w:tcW w:w="408"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408A2" w:rsidRPr="008F4B35" w:rsidRDefault="005408A2" w:rsidP="00DF0EF9">
            <w:pPr>
              <w:jc w:val="center"/>
              <w:rPr>
                <w:rFonts w:ascii="Times New Roman" w:hAnsi="Times New Roman" w:cs="Times New Roman"/>
                <w:b/>
                <w:sz w:val="14"/>
                <w:szCs w:val="14"/>
                <w:lang w:eastAsia="sk-SK"/>
              </w:rPr>
            </w:pPr>
            <w:r w:rsidRPr="008F4B35">
              <w:rPr>
                <w:rFonts w:ascii="Times New Roman" w:hAnsi="Times New Roman" w:cs="Times New Roman"/>
                <w:b/>
                <w:sz w:val="14"/>
                <w:szCs w:val="14"/>
                <w:lang w:eastAsia="sk-SK"/>
              </w:rPr>
              <w:t>2020</w:t>
            </w:r>
          </w:p>
        </w:tc>
        <w:tc>
          <w:tcPr>
            <w:tcW w:w="409"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408A2" w:rsidRPr="008F4B35" w:rsidRDefault="005408A2" w:rsidP="00DF0EF9">
            <w:pPr>
              <w:jc w:val="center"/>
              <w:rPr>
                <w:rFonts w:ascii="Times New Roman" w:hAnsi="Times New Roman" w:cs="Times New Roman"/>
                <w:b/>
                <w:sz w:val="14"/>
                <w:szCs w:val="14"/>
                <w:lang w:eastAsia="sk-SK"/>
              </w:rPr>
            </w:pPr>
            <w:r w:rsidRPr="008F4B35">
              <w:rPr>
                <w:rFonts w:ascii="Times New Roman" w:hAnsi="Times New Roman" w:cs="Times New Roman"/>
                <w:b/>
                <w:sz w:val="14"/>
                <w:szCs w:val="14"/>
                <w:lang w:eastAsia="sk-SK"/>
              </w:rPr>
              <w:t>202</w:t>
            </w:r>
            <w:r>
              <w:rPr>
                <w:rFonts w:ascii="Times New Roman" w:hAnsi="Times New Roman" w:cs="Times New Roman"/>
                <w:b/>
                <w:sz w:val="14"/>
                <w:szCs w:val="14"/>
                <w:lang w:eastAsia="sk-SK"/>
              </w:rPr>
              <w:t>1</w:t>
            </w:r>
          </w:p>
        </w:tc>
      </w:tr>
      <w:tr w:rsidR="005408A2" w:rsidRPr="008F4B35" w:rsidTr="00DF0EF9">
        <w:trPr>
          <w:trHeight w:val="227"/>
          <w:jc w:val="center"/>
        </w:trPr>
        <w:tc>
          <w:tcPr>
            <w:tcW w:w="5000" w:type="pct"/>
            <w:gridSpan w:val="7"/>
            <w:tcBorders>
              <w:top w:val="single" w:sz="4" w:space="0" w:color="auto"/>
              <w:left w:val="single" w:sz="4" w:space="0" w:color="auto"/>
              <w:bottom w:val="single" w:sz="4" w:space="0" w:color="auto"/>
              <w:right w:val="single" w:sz="4" w:space="0" w:color="auto"/>
            </w:tcBorders>
            <w:noWrap/>
            <w:vAlign w:val="center"/>
            <w:hideMark/>
          </w:tcPr>
          <w:p w:rsidR="005408A2" w:rsidRPr="008F4B35" w:rsidRDefault="005408A2" w:rsidP="00DF0EF9">
            <w:pPr>
              <w:rPr>
                <w:rFonts w:ascii="Times New Roman" w:hAnsi="Times New Roman" w:cs="Times New Roman"/>
                <w:b/>
                <w:bCs/>
                <w:sz w:val="14"/>
                <w:szCs w:val="14"/>
                <w:lang w:eastAsia="sk-SK"/>
              </w:rPr>
            </w:pPr>
            <w:r w:rsidRPr="008F4B35">
              <w:rPr>
                <w:rFonts w:ascii="Times New Roman" w:hAnsi="Times New Roman" w:cs="Times New Roman"/>
                <w:b/>
                <w:bCs/>
                <w:sz w:val="14"/>
                <w:szCs w:val="14"/>
                <w:lang w:eastAsia="sk-SK"/>
              </w:rPr>
              <w:t>Hrubý domáci produkt</w:t>
            </w:r>
            <w:r w:rsidRPr="008F4B35">
              <w:rPr>
                <w:rFonts w:ascii="Times New Roman" w:hAnsi="Times New Roman" w:cs="Times New Roman"/>
                <w:sz w:val="14"/>
                <w:szCs w:val="14"/>
                <w:lang w:eastAsia="sk-SK"/>
              </w:rPr>
              <w:t> </w:t>
            </w:r>
          </w:p>
        </w:tc>
      </w:tr>
      <w:tr w:rsidR="005408A2" w:rsidRPr="008F4B35" w:rsidTr="00DF0EF9">
        <w:trPr>
          <w:trHeight w:val="227"/>
          <w:jc w:val="center"/>
        </w:trPr>
        <w:tc>
          <w:tcPr>
            <w:tcW w:w="2523" w:type="pct"/>
            <w:tcBorders>
              <w:top w:val="single" w:sz="4" w:space="0" w:color="auto"/>
              <w:left w:val="single" w:sz="4" w:space="0" w:color="auto"/>
              <w:bottom w:val="single" w:sz="4" w:space="0" w:color="auto"/>
              <w:right w:val="single" w:sz="4" w:space="0" w:color="auto"/>
            </w:tcBorders>
            <w:noWrap/>
            <w:vAlign w:val="center"/>
            <w:hideMark/>
          </w:tcPr>
          <w:p w:rsidR="005408A2" w:rsidRPr="008F4B35" w:rsidRDefault="005408A2" w:rsidP="00DF0EF9">
            <w:pPr>
              <w:rPr>
                <w:rFonts w:ascii="Times New Roman" w:hAnsi="Times New Roman" w:cs="Times New Roman"/>
                <w:sz w:val="14"/>
                <w:szCs w:val="14"/>
                <w:lang w:eastAsia="sk-SK"/>
              </w:rPr>
            </w:pPr>
            <w:r w:rsidRPr="008F4B35">
              <w:rPr>
                <w:rFonts w:ascii="Times New Roman" w:hAnsi="Times New Roman" w:cs="Times New Roman"/>
                <w:sz w:val="14"/>
                <w:szCs w:val="14"/>
                <w:lang w:eastAsia="sk-SK"/>
              </w:rPr>
              <w:t>HDP, s.c.</w:t>
            </w:r>
          </w:p>
        </w:tc>
        <w:tc>
          <w:tcPr>
            <w:tcW w:w="433" w:type="pct"/>
            <w:tcBorders>
              <w:top w:val="single" w:sz="4" w:space="0" w:color="auto"/>
              <w:left w:val="single" w:sz="4" w:space="0" w:color="auto"/>
              <w:bottom w:val="single" w:sz="4" w:space="0" w:color="auto"/>
              <w:right w:val="single" w:sz="4" w:space="0" w:color="auto"/>
            </w:tcBorders>
            <w:noWrap/>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3,3</w:t>
            </w:r>
          </w:p>
        </w:tc>
        <w:tc>
          <w:tcPr>
            <w:tcW w:w="433" w:type="pct"/>
            <w:tcBorders>
              <w:top w:val="single" w:sz="4" w:space="0" w:color="auto"/>
              <w:left w:val="single" w:sz="4" w:space="0" w:color="auto"/>
              <w:bottom w:val="single" w:sz="4" w:space="0" w:color="auto"/>
              <w:right w:val="single" w:sz="4" w:space="0" w:color="auto"/>
            </w:tcBorders>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3,4</w:t>
            </w:r>
          </w:p>
        </w:tc>
        <w:tc>
          <w:tcPr>
            <w:tcW w:w="403"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4,1</w:t>
            </w:r>
          </w:p>
        </w:tc>
        <w:tc>
          <w:tcPr>
            <w:tcW w:w="391"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4,5</w:t>
            </w:r>
          </w:p>
        </w:tc>
        <w:tc>
          <w:tcPr>
            <w:tcW w:w="408"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3,9</w:t>
            </w:r>
          </w:p>
        </w:tc>
        <w:tc>
          <w:tcPr>
            <w:tcW w:w="409"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3,3</w:t>
            </w:r>
          </w:p>
        </w:tc>
      </w:tr>
      <w:tr w:rsidR="005408A2" w:rsidRPr="008F4B35" w:rsidTr="00DF0EF9">
        <w:trPr>
          <w:trHeight w:val="227"/>
          <w:jc w:val="center"/>
        </w:trPr>
        <w:tc>
          <w:tcPr>
            <w:tcW w:w="2523" w:type="pct"/>
            <w:tcBorders>
              <w:top w:val="single" w:sz="4" w:space="0" w:color="auto"/>
              <w:left w:val="single" w:sz="4" w:space="0" w:color="auto"/>
              <w:bottom w:val="single" w:sz="4" w:space="0" w:color="auto"/>
              <w:right w:val="single" w:sz="4" w:space="0" w:color="auto"/>
            </w:tcBorders>
            <w:noWrap/>
            <w:vAlign w:val="center"/>
            <w:hideMark/>
          </w:tcPr>
          <w:p w:rsidR="005408A2" w:rsidRPr="008F4B35" w:rsidRDefault="005408A2" w:rsidP="00DF0EF9">
            <w:pPr>
              <w:rPr>
                <w:rFonts w:ascii="Times New Roman" w:hAnsi="Times New Roman" w:cs="Times New Roman"/>
                <w:sz w:val="14"/>
                <w:szCs w:val="14"/>
                <w:lang w:eastAsia="sk-SK"/>
              </w:rPr>
            </w:pPr>
            <w:r w:rsidRPr="008F4B35">
              <w:rPr>
                <w:rFonts w:ascii="Times New Roman" w:hAnsi="Times New Roman" w:cs="Times New Roman"/>
                <w:sz w:val="14"/>
                <w:szCs w:val="14"/>
                <w:lang w:eastAsia="sk-SK"/>
              </w:rPr>
              <w:t>HDP, b.c. (mld. eur)</w:t>
            </w:r>
          </w:p>
        </w:tc>
        <w:tc>
          <w:tcPr>
            <w:tcW w:w="433" w:type="pct"/>
            <w:tcBorders>
              <w:top w:val="single" w:sz="4" w:space="0" w:color="auto"/>
              <w:left w:val="single" w:sz="4" w:space="0" w:color="auto"/>
              <w:bottom w:val="single" w:sz="4" w:space="0" w:color="auto"/>
              <w:right w:val="single" w:sz="4" w:space="0" w:color="auto"/>
            </w:tcBorders>
            <w:noWrap/>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81,2</w:t>
            </w:r>
          </w:p>
        </w:tc>
        <w:tc>
          <w:tcPr>
            <w:tcW w:w="433" w:type="pct"/>
            <w:tcBorders>
              <w:top w:val="single" w:sz="4" w:space="0" w:color="auto"/>
              <w:left w:val="single" w:sz="4" w:space="0" w:color="auto"/>
              <w:bottom w:val="single" w:sz="4" w:space="0" w:color="auto"/>
              <w:right w:val="single" w:sz="4" w:space="0" w:color="auto"/>
            </w:tcBorders>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85,0</w:t>
            </w:r>
          </w:p>
        </w:tc>
        <w:tc>
          <w:tcPr>
            <w:tcW w:w="403"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90,5</w:t>
            </w:r>
          </w:p>
        </w:tc>
        <w:tc>
          <w:tcPr>
            <w:tcW w:w="391"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96,9</w:t>
            </w:r>
          </w:p>
        </w:tc>
        <w:tc>
          <w:tcPr>
            <w:tcW w:w="408"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103,2</w:t>
            </w:r>
          </w:p>
        </w:tc>
        <w:tc>
          <w:tcPr>
            <w:tcW w:w="409"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109,3</w:t>
            </w:r>
          </w:p>
        </w:tc>
      </w:tr>
      <w:tr w:rsidR="005408A2" w:rsidRPr="008F4B35" w:rsidTr="00DF0EF9">
        <w:trPr>
          <w:trHeight w:val="227"/>
          <w:jc w:val="center"/>
        </w:trPr>
        <w:tc>
          <w:tcPr>
            <w:tcW w:w="2523" w:type="pct"/>
            <w:tcBorders>
              <w:top w:val="single" w:sz="4" w:space="0" w:color="auto"/>
              <w:left w:val="single" w:sz="4" w:space="0" w:color="auto"/>
              <w:bottom w:val="single" w:sz="4" w:space="0" w:color="auto"/>
              <w:right w:val="single" w:sz="4" w:space="0" w:color="auto"/>
            </w:tcBorders>
            <w:noWrap/>
            <w:vAlign w:val="center"/>
            <w:hideMark/>
          </w:tcPr>
          <w:p w:rsidR="005408A2" w:rsidRPr="008F4B35" w:rsidRDefault="005408A2" w:rsidP="00DF0EF9">
            <w:pPr>
              <w:rPr>
                <w:rFonts w:ascii="Times New Roman" w:hAnsi="Times New Roman" w:cs="Times New Roman"/>
                <w:sz w:val="14"/>
                <w:szCs w:val="14"/>
                <w:lang w:eastAsia="sk-SK"/>
              </w:rPr>
            </w:pPr>
            <w:r w:rsidRPr="008F4B35">
              <w:rPr>
                <w:rFonts w:ascii="Times New Roman" w:hAnsi="Times New Roman" w:cs="Times New Roman"/>
                <w:sz w:val="14"/>
                <w:szCs w:val="14"/>
                <w:lang w:eastAsia="sk-SK"/>
              </w:rPr>
              <w:t>Súkromná spotreba, s.c.</w:t>
            </w:r>
          </w:p>
        </w:tc>
        <w:tc>
          <w:tcPr>
            <w:tcW w:w="433" w:type="pct"/>
            <w:tcBorders>
              <w:top w:val="single" w:sz="4" w:space="0" w:color="auto"/>
              <w:left w:val="single" w:sz="4" w:space="0" w:color="auto"/>
              <w:bottom w:val="single" w:sz="4" w:space="0" w:color="auto"/>
              <w:right w:val="single" w:sz="4" w:space="0" w:color="auto"/>
            </w:tcBorders>
            <w:noWrap/>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2,6</w:t>
            </w:r>
          </w:p>
        </w:tc>
        <w:tc>
          <w:tcPr>
            <w:tcW w:w="433" w:type="pct"/>
            <w:tcBorders>
              <w:top w:val="single" w:sz="4" w:space="0" w:color="auto"/>
              <w:left w:val="single" w:sz="4" w:space="0" w:color="auto"/>
              <w:bottom w:val="single" w:sz="4" w:space="0" w:color="auto"/>
              <w:right w:val="single" w:sz="4" w:space="0" w:color="auto"/>
            </w:tcBorders>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3,7</w:t>
            </w:r>
          </w:p>
        </w:tc>
        <w:tc>
          <w:tcPr>
            <w:tcW w:w="403"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3,0</w:t>
            </w:r>
          </w:p>
        </w:tc>
        <w:tc>
          <w:tcPr>
            <w:tcW w:w="391"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3,2</w:t>
            </w:r>
          </w:p>
        </w:tc>
        <w:tc>
          <w:tcPr>
            <w:tcW w:w="408"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2,8</w:t>
            </w:r>
          </w:p>
        </w:tc>
        <w:tc>
          <w:tcPr>
            <w:tcW w:w="409"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2,4</w:t>
            </w:r>
          </w:p>
        </w:tc>
      </w:tr>
      <w:tr w:rsidR="005408A2" w:rsidRPr="008F4B35" w:rsidTr="00DF0EF9">
        <w:trPr>
          <w:trHeight w:val="227"/>
          <w:jc w:val="center"/>
        </w:trPr>
        <w:tc>
          <w:tcPr>
            <w:tcW w:w="2523" w:type="pct"/>
            <w:tcBorders>
              <w:top w:val="single" w:sz="4" w:space="0" w:color="auto"/>
              <w:left w:val="single" w:sz="4" w:space="0" w:color="auto"/>
              <w:bottom w:val="single" w:sz="4" w:space="0" w:color="auto"/>
              <w:right w:val="single" w:sz="4" w:space="0" w:color="auto"/>
            </w:tcBorders>
            <w:noWrap/>
            <w:vAlign w:val="center"/>
            <w:hideMark/>
          </w:tcPr>
          <w:p w:rsidR="005408A2" w:rsidRPr="008F4B35" w:rsidRDefault="005408A2" w:rsidP="00DF0EF9">
            <w:pPr>
              <w:rPr>
                <w:rFonts w:ascii="Times New Roman" w:hAnsi="Times New Roman" w:cs="Times New Roman"/>
                <w:sz w:val="14"/>
                <w:szCs w:val="14"/>
                <w:lang w:eastAsia="sk-SK"/>
              </w:rPr>
            </w:pPr>
            <w:r w:rsidRPr="008F4B35">
              <w:rPr>
                <w:rFonts w:ascii="Times New Roman" w:hAnsi="Times New Roman" w:cs="Times New Roman"/>
                <w:sz w:val="14"/>
                <w:szCs w:val="14"/>
                <w:lang w:eastAsia="sk-SK"/>
              </w:rPr>
              <w:t>Súkromná spotreba, b.c.</w:t>
            </w:r>
          </w:p>
        </w:tc>
        <w:tc>
          <w:tcPr>
            <w:tcW w:w="433" w:type="pct"/>
            <w:tcBorders>
              <w:top w:val="single" w:sz="4" w:space="0" w:color="auto"/>
              <w:left w:val="single" w:sz="4" w:space="0" w:color="auto"/>
              <w:bottom w:val="single" w:sz="4" w:space="0" w:color="auto"/>
              <w:right w:val="single" w:sz="4" w:space="0" w:color="auto"/>
            </w:tcBorders>
            <w:noWrap/>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2,3</w:t>
            </w:r>
          </w:p>
        </w:tc>
        <w:tc>
          <w:tcPr>
            <w:tcW w:w="433" w:type="pct"/>
            <w:tcBorders>
              <w:top w:val="single" w:sz="4" w:space="0" w:color="auto"/>
              <w:left w:val="single" w:sz="4" w:space="0" w:color="auto"/>
              <w:bottom w:val="single" w:sz="4" w:space="0" w:color="auto"/>
              <w:right w:val="single" w:sz="4" w:space="0" w:color="auto"/>
            </w:tcBorders>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5,1</w:t>
            </w:r>
          </w:p>
        </w:tc>
        <w:tc>
          <w:tcPr>
            <w:tcW w:w="403"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5,6</w:t>
            </w:r>
          </w:p>
        </w:tc>
        <w:tc>
          <w:tcPr>
            <w:tcW w:w="391"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5,8</w:t>
            </w:r>
          </w:p>
        </w:tc>
        <w:tc>
          <w:tcPr>
            <w:tcW w:w="408"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5,4</w:t>
            </w:r>
          </w:p>
        </w:tc>
        <w:tc>
          <w:tcPr>
            <w:tcW w:w="409"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5,0</w:t>
            </w:r>
          </w:p>
        </w:tc>
      </w:tr>
      <w:tr w:rsidR="005408A2" w:rsidRPr="008F4B35" w:rsidTr="00DF0EF9">
        <w:trPr>
          <w:trHeight w:val="227"/>
          <w:jc w:val="center"/>
        </w:trPr>
        <w:tc>
          <w:tcPr>
            <w:tcW w:w="2523" w:type="pct"/>
            <w:tcBorders>
              <w:top w:val="single" w:sz="4" w:space="0" w:color="auto"/>
              <w:left w:val="single" w:sz="4" w:space="0" w:color="auto"/>
              <w:bottom w:val="single" w:sz="4" w:space="0" w:color="auto"/>
              <w:right w:val="single" w:sz="4" w:space="0" w:color="auto"/>
            </w:tcBorders>
            <w:noWrap/>
            <w:vAlign w:val="center"/>
            <w:hideMark/>
          </w:tcPr>
          <w:p w:rsidR="005408A2" w:rsidRPr="008F4B35" w:rsidRDefault="005408A2" w:rsidP="00DF0EF9">
            <w:pPr>
              <w:rPr>
                <w:rFonts w:ascii="Times New Roman" w:hAnsi="Times New Roman" w:cs="Times New Roman"/>
                <w:sz w:val="14"/>
                <w:szCs w:val="14"/>
                <w:lang w:eastAsia="sk-SK"/>
              </w:rPr>
            </w:pPr>
            <w:r w:rsidRPr="008F4B35">
              <w:rPr>
                <w:rFonts w:ascii="Times New Roman" w:hAnsi="Times New Roman" w:cs="Times New Roman"/>
                <w:sz w:val="14"/>
                <w:szCs w:val="14"/>
                <w:lang w:eastAsia="sk-SK"/>
              </w:rPr>
              <w:t>Vládna spotreba</w:t>
            </w:r>
          </w:p>
        </w:tc>
        <w:tc>
          <w:tcPr>
            <w:tcW w:w="433" w:type="pct"/>
            <w:tcBorders>
              <w:top w:val="single" w:sz="4" w:space="0" w:color="auto"/>
              <w:left w:val="single" w:sz="4" w:space="0" w:color="auto"/>
              <w:bottom w:val="single" w:sz="4" w:space="0" w:color="auto"/>
              <w:right w:val="single" w:sz="4" w:space="0" w:color="auto"/>
            </w:tcBorders>
            <w:noWrap/>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1,6</w:t>
            </w:r>
          </w:p>
        </w:tc>
        <w:tc>
          <w:tcPr>
            <w:tcW w:w="433" w:type="pct"/>
            <w:tcBorders>
              <w:top w:val="single" w:sz="4" w:space="0" w:color="auto"/>
              <w:left w:val="single" w:sz="4" w:space="0" w:color="auto"/>
              <w:bottom w:val="single" w:sz="4" w:space="0" w:color="auto"/>
              <w:right w:val="single" w:sz="4" w:space="0" w:color="auto"/>
            </w:tcBorders>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0,2</w:t>
            </w:r>
          </w:p>
        </w:tc>
        <w:tc>
          <w:tcPr>
            <w:tcW w:w="403"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1,8</w:t>
            </w:r>
          </w:p>
        </w:tc>
        <w:tc>
          <w:tcPr>
            <w:tcW w:w="391"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1,5</w:t>
            </w:r>
          </w:p>
        </w:tc>
        <w:tc>
          <w:tcPr>
            <w:tcW w:w="408"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1,7</w:t>
            </w:r>
          </w:p>
        </w:tc>
        <w:tc>
          <w:tcPr>
            <w:tcW w:w="409"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1,2</w:t>
            </w:r>
          </w:p>
        </w:tc>
      </w:tr>
      <w:tr w:rsidR="005408A2" w:rsidRPr="008F4B35" w:rsidTr="00DF0EF9">
        <w:trPr>
          <w:trHeight w:val="227"/>
          <w:jc w:val="center"/>
        </w:trPr>
        <w:tc>
          <w:tcPr>
            <w:tcW w:w="2523" w:type="pct"/>
            <w:tcBorders>
              <w:top w:val="single" w:sz="4" w:space="0" w:color="auto"/>
              <w:left w:val="single" w:sz="4" w:space="0" w:color="auto"/>
              <w:bottom w:val="single" w:sz="4" w:space="0" w:color="auto"/>
              <w:right w:val="single" w:sz="4" w:space="0" w:color="auto"/>
            </w:tcBorders>
            <w:noWrap/>
            <w:vAlign w:val="center"/>
            <w:hideMark/>
          </w:tcPr>
          <w:p w:rsidR="005408A2" w:rsidRPr="008F4B35" w:rsidRDefault="005408A2" w:rsidP="00DF0EF9">
            <w:pPr>
              <w:rPr>
                <w:rFonts w:ascii="Times New Roman" w:hAnsi="Times New Roman" w:cs="Times New Roman"/>
                <w:sz w:val="14"/>
                <w:szCs w:val="14"/>
                <w:lang w:eastAsia="sk-SK"/>
              </w:rPr>
            </w:pPr>
            <w:r w:rsidRPr="008F4B35">
              <w:rPr>
                <w:rFonts w:ascii="Times New Roman" w:hAnsi="Times New Roman" w:cs="Times New Roman"/>
                <w:sz w:val="14"/>
                <w:szCs w:val="14"/>
                <w:lang w:eastAsia="sk-SK"/>
              </w:rPr>
              <w:t>Fixné investície</w:t>
            </w:r>
          </w:p>
        </w:tc>
        <w:tc>
          <w:tcPr>
            <w:tcW w:w="433" w:type="pct"/>
            <w:tcBorders>
              <w:top w:val="single" w:sz="4" w:space="0" w:color="auto"/>
              <w:left w:val="single" w:sz="4" w:space="0" w:color="auto"/>
              <w:bottom w:val="single" w:sz="4" w:space="0" w:color="auto"/>
              <w:right w:val="single" w:sz="4" w:space="0" w:color="auto"/>
            </w:tcBorders>
            <w:noWrap/>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-8,3</w:t>
            </w:r>
          </w:p>
        </w:tc>
        <w:tc>
          <w:tcPr>
            <w:tcW w:w="433" w:type="pct"/>
            <w:tcBorders>
              <w:top w:val="single" w:sz="4" w:space="0" w:color="auto"/>
              <w:left w:val="single" w:sz="4" w:space="0" w:color="auto"/>
              <w:bottom w:val="single" w:sz="4" w:space="0" w:color="auto"/>
              <w:right w:val="single" w:sz="4" w:space="0" w:color="auto"/>
            </w:tcBorders>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3,2</w:t>
            </w:r>
          </w:p>
        </w:tc>
        <w:tc>
          <w:tcPr>
            <w:tcW w:w="403"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9,6</w:t>
            </w:r>
          </w:p>
        </w:tc>
        <w:tc>
          <w:tcPr>
            <w:tcW w:w="391"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3,1</w:t>
            </w:r>
          </w:p>
        </w:tc>
        <w:tc>
          <w:tcPr>
            <w:tcW w:w="408"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3,0</w:t>
            </w:r>
          </w:p>
        </w:tc>
        <w:tc>
          <w:tcPr>
            <w:tcW w:w="409"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3,0</w:t>
            </w:r>
          </w:p>
        </w:tc>
      </w:tr>
      <w:tr w:rsidR="005408A2" w:rsidRPr="008F4B35" w:rsidTr="00DF0EF9">
        <w:trPr>
          <w:trHeight w:val="227"/>
          <w:jc w:val="center"/>
        </w:trPr>
        <w:tc>
          <w:tcPr>
            <w:tcW w:w="2523" w:type="pct"/>
            <w:tcBorders>
              <w:top w:val="single" w:sz="4" w:space="0" w:color="auto"/>
              <w:left w:val="single" w:sz="4" w:space="0" w:color="auto"/>
              <w:bottom w:val="single" w:sz="4" w:space="0" w:color="auto"/>
              <w:right w:val="single" w:sz="4" w:space="0" w:color="auto"/>
            </w:tcBorders>
            <w:noWrap/>
            <w:vAlign w:val="center"/>
            <w:hideMark/>
          </w:tcPr>
          <w:p w:rsidR="005408A2" w:rsidRPr="008F4B35" w:rsidRDefault="005408A2" w:rsidP="00DF0EF9">
            <w:pPr>
              <w:rPr>
                <w:rFonts w:ascii="Times New Roman" w:hAnsi="Times New Roman" w:cs="Times New Roman"/>
                <w:sz w:val="14"/>
                <w:szCs w:val="14"/>
                <w:lang w:eastAsia="sk-SK"/>
              </w:rPr>
            </w:pPr>
            <w:r w:rsidRPr="008F4B35">
              <w:rPr>
                <w:rFonts w:ascii="Times New Roman" w:hAnsi="Times New Roman" w:cs="Times New Roman"/>
                <w:sz w:val="14"/>
                <w:szCs w:val="14"/>
                <w:lang w:eastAsia="sk-SK"/>
              </w:rPr>
              <w:t>Export tovarov a služieb</w:t>
            </w:r>
          </w:p>
        </w:tc>
        <w:tc>
          <w:tcPr>
            <w:tcW w:w="433" w:type="pct"/>
            <w:tcBorders>
              <w:top w:val="single" w:sz="4" w:space="0" w:color="auto"/>
              <w:left w:val="single" w:sz="4" w:space="0" w:color="auto"/>
              <w:bottom w:val="single" w:sz="4" w:space="0" w:color="auto"/>
              <w:right w:val="single" w:sz="4" w:space="0" w:color="auto"/>
            </w:tcBorders>
            <w:noWrap/>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6,2</w:t>
            </w:r>
          </w:p>
        </w:tc>
        <w:tc>
          <w:tcPr>
            <w:tcW w:w="433" w:type="pct"/>
            <w:tcBorders>
              <w:top w:val="single" w:sz="4" w:space="0" w:color="auto"/>
              <w:left w:val="single" w:sz="4" w:space="0" w:color="auto"/>
              <w:bottom w:val="single" w:sz="4" w:space="0" w:color="auto"/>
              <w:right w:val="single" w:sz="4" w:space="0" w:color="auto"/>
            </w:tcBorders>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4,3</w:t>
            </w:r>
          </w:p>
        </w:tc>
        <w:tc>
          <w:tcPr>
            <w:tcW w:w="403"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6,8</w:t>
            </w:r>
          </w:p>
        </w:tc>
        <w:tc>
          <w:tcPr>
            <w:tcW w:w="391"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7,9</w:t>
            </w:r>
          </w:p>
        </w:tc>
        <w:tc>
          <w:tcPr>
            <w:tcW w:w="408"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6,6</w:t>
            </w:r>
          </w:p>
        </w:tc>
        <w:tc>
          <w:tcPr>
            <w:tcW w:w="409"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5,7</w:t>
            </w:r>
          </w:p>
        </w:tc>
      </w:tr>
      <w:tr w:rsidR="005408A2" w:rsidRPr="008F4B35" w:rsidTr="00DF0EF9">
        <w:trPr>
          <w:trHeight w:val="227"/>
          <w:jc w:val="center"/>
        </w:trPr>
        <w:tc>
          <w:tcPr>
            <w:tcW w:w="2523" w:type="pct"/>
            <w:tcBorders>
              <w:top w:val="single" w:sz="4" w:space="0" w:color="auto"/>
              <w:left w:val="single" w:sz="4" w:space="0" w:color="auto"/>
              <w:bottom w:val="single" w:sz="4" w:space="0" w:color="auto"/>
              <w:right w:val="single" w:sz="4" w:space="0" w:color="auto"/>
            </w:tcBorders>
            <w:noWrap/>
            <w:vAlign w:val="center"/>
            <w:hideMark/>
          </w:tcPr>
          <w:p w:rsidR="005408A2" w:rsidRPr="008F4B35" w:rsidRDefault="005408A2" w:rsidP="00DF0EF9">
            <w:pPr>
              <w:rPr>
                <w:rFonts w:ascii="Times New Roman" w:hAnsi="Times New Roman" w:cs="Times New Roman"/>
                <w:sz w:val="14"/>
                <w:szCs w:val="14"/>
                <w:lang w:eastAsia="sk-SK"/>
              </w:rPr>
            </w:pPr>
            <w:r w:rsidRPr="008F4B35">
              <w:rPr>
                <w:rFonts w:ascii="Times New Roman" w:hAnsi="Times New Roman" w:cs="Times New Roman"/>
                <w:sz w:val="14"/>
                <w:szCs w:val="14"/>
                <w:lang w:eastAsia="sk-SK"/>
              </w:rPr>
              <w:t>Import tovarov a služieb</w:t>
            </w:r>
          </w:p>
        </w:tc>
        <w:tc>
          <w:tcPr>
            <w:tcW w:w="433" w:type="pct"/>
            <w:tcBorders>
              <w:top w:val="single" w:sz="4" w:space="0" w:color="auto"/>
              <w:left w:val="single" w:sz="4" w:space="0" w:color="auto"/>
              <w:bottom w:val="single" w:sz="4" w:space="0" w:color="auto"/>
              <w:right w:val="single" w:sz="4" w:space="0" w:color="auto"/>
            </w:tcBorders>
            <w:noWrap/>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3,7</w:t>
            </w:r>
          </w:p>
        </w:tc>
        <w:tc>
          <w:tcPr>
            <w:tcW w:w="433" w:type="pct"/>
            <w:tcBorders>
              <w:top w:val="single" w:sz="4" w:space="0" w:color="auto"/>
              <w:left w:val="single" w:sz="4" w:space="0" w:color="auto"/>
              <w:bottom w:val="single" w:sz="4" w:space="0" w:color="auto"/>
              <w:right w:val="single" w:sz="4" w:space="0" w:color="auto"/>
            </w:tcBorders>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3,9</w:t>
            </w:r>
          </w:p>
        </w:tc>
        <w:tc>
          <w:tcPr>
            <w:tcW w:w="403"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6,6</w:t>
            </w:r>
          </w:p>
        </w:tc>
        <w:tc>
          <w:tcPr>
            <w:tcW w:w="391"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6,8</w:t>
            </w:r>
          </w:p>
        </w:tc>
        <w:tc>
          <w:tcPr>
            <w:tcW w:w="408"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5,7</w:t>
            </w:r>
          </w:p>
        </w:tc>
        <w:tc>
          <w:tcPr>
            <w:tcW w:w="409"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5,1</w:t>
            </w:r>
          </w:p>
        </w:tc>
      </w:tr>
      <w:tr w:rsidR="005408A2" w:rsidRPr="008F4B35" w:rsidTr="00DF0EF9">
        <w:trPr>
          <w:trHeight w:val="227"/>
          <w:jc w:val="center"/>
        </w:trPr>
        <w:tc>
          <w:tcPr>
            <w:tcW w:w="5000" w:type="pct"/>
            <w:gridSpan w:val="7"/>
            <w:tcBorders>
              <w:top w:val="single" w:sz="4" w:space="0" w:color="auto"/>
              <w:left w:val="single" w:sz="4" w:space="0" w:color="auto"/>
              <w:bottom w:val="single" w:sz="4" w:space="0" w:color="auto"/>
              <w:right w:val="single" w:sz="4" w:space="0" w:color="auto"/>
            </w:tcBorders>
            <w:noWrap/>
            <w:vAlign w:val="center"/>
            <w:hideMark/>
          </w:tcPr>
          <w:p w:rsidR="005408A2" w:rsidRPr="008F4B35" w:rsidRDefault="005408A2" w:rsidP="00DF0EF9">
            <w:pPr>
              <w:rPr>
                <w:rFonts w:ascii="Times New Roman" w:hAnsi="Times New Roman" w:cs="Times New Roman"/>
                <w:b/>
                <w:bCs/>
                <w:sz w:val="14"/>
                <w:szCs w:val="14"/>
                <w:lang w:eastAsia="sk-SK"/>
              </w:rPr>
            </w:pPr>
            <w:r w:rsidRPr="008F4B35">
              <w:rPr>
                <w:rFonts w:ascii="Times New Roman" w:hAnsi="Times New Roman" w:cs="Times New Roman"/>
                <w:b/>
                <w:bCs/>
                <w:sz w:val="14"/>
                <w:szCs w:val="14"/>
                <w:lang w:eastAsia="sk-SK"/>
              </w:rPr>
              <w:t>Trh práce</w:t>
            </w:r>
          </w:p>
        </w:tc>
      </w:tr>
      <w:tr w:rsidR="005408A2" w:rsidRPr="008F4B35" w:rsidTr="00DF0EF9">
        <w:trPr>
          <w:trHeight w:val="227"/>
          <w:jc w:val="center"/>
        </w:trPr>
        <w:tc>
          <w:tcPr>
            <w:tcW w:w="2523" w:type="pct"/>
            <w:tcBorders>
              <w:top w:val="single" w:sz="4" w:space="0" w:color="auto"/>
              <w:left w:val="single" w:sz="4" w:space="0" w:color="auto"/>
              <w:bottom w:val="single" w:sz="4" w:space="0" w:color="auto"/>
              <w:right w:val="single" w:sz="4" w:space="0" w:color="auto"/>
            </w:tcBorders>
            <w:noWrap/>
            <w:vAlign w:val="center"/>
            <w:hideMark/>
          </w:tcPr>
          <w:p w:rsidR="005408A2" w:rsidRPr="008F4B35" w:rsidRDefault="005408A2" w:rsidP="00DF0EF9">
            <w:pPr>
              <w:rPr>
                <w:rFonts w:ascii="Times New Roman" w:hAnsi="Times New Roman" w:cs="Times New Roman"/>
                <w:sz w:val="14"/>
                <w:szCs w:val="14"/>
                <w:lang w:eastAsia="sk-SK"/>
              </w:rPr>
            </w:pPr>
            <w:r w:rsidRPr="008F4B35">
              <w:rPr>
                <w:rFonts w:ascii="Times New Roman" w:hAnsi="Times New Roman" w:cs="Times New Roman"/>
                <w:sz w:val="14"/>
                <w:szCs w:val="14"/>
                <w:lang w:eastAsia="sk-SK"/>
              </w:rPr>
              <w:t>Zamestnanosť (registrovaná)</w:t>
            </w:r>
          </w:p>
        </w:tc>
        <w:tc>
          <w:tcPr>
            <w:tcW w:w="433" w:type="pct"/>
            <w:tcBorders>
              <w:top w:val="single" w:sz="4" w:space="0" w:color="auto"/>
              <w:left w:val="single" w:sz="4" w:space="0" w:color="auto"/>
              <w:bottom w:val="single" w:sz="4" w:space="0" w:color="auto"/>
              <w:right w:val="single" w:sz="4" w:space="0" w:color="auto"/>
            </w:tcBorders>
            <w:noWrap/>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2,5</w:t>
            </w:r>
          </w:p>
        </w:tc>
        <w:tc>
          <w:tcPr>
            <w:tcW w:w="433" w:type="pct"/>
            <w:tcBorders>
              <w:top w:val="single" w:sz="4" w:space="0" w:color="auto"/>
              <w:left w:val="single" w:sz="4" w:space="0" w:color="auto"/>
              <w:bottom w:val="single" w:sz="4" w:space="0" w:color="auto"/>
              <w:right w:val="single" w:sz="4" w:space="0" w:color="auto"/>
            </w:tcBorders>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1,8</w:t>
            </w:r>
          </w:p>
        </w:tc>
        <w:tc>
          <w:tcPr>
            <w:tcW w:w="403"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1,9</w:t>
            </w:r>
          </w:p>
        </w:tc>
        <w:tc>
          <w:tcPr>
            <w:tcW w:w="391"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1,1</w:t>
            </w:r>
          </w:p>
        </w:tc>
        <w:tc>
          <w:tcPr>
            <w:tcW w:w="408"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0,9</w:t>
            </w:r>
          </w:p>
        </w:tc>
        <w:tc>
          <w:tcPr>
            <w:tcW w:w="409"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0,7</w:t>
            </w:r>
          </w:p>
        </w:tc>
      </w:tr>
      <w:tr w:rsidR="005408A2" w:rsidRPr="008F4B35" w:rsidTr="00DF0EF9">
        <w:trPr>
          <w:trHeight w:val="227"/>
          <w:jc w:val="center"/>
        </w:trPr>
        <w:tc>
          <w:tcPr>
            <w:tcW w:w="2523" w:type="pct"/>
            <w:tcBorders>
              <w:top w:val="single" w:sz="4" w:space="0" w:color="auto"/>
              <w:left w:val="single" w:sz="4" w:space="0" w:color="auto"/>
              <w:bottom w:val="single" w:sz="4" w:space="0" w:color="auto"/>
              <w:right w:val="single" w:sz="4" w:space="0" w:color="auto"/>
            </w:tcBorders>
            <w:noWrap/>
            <w:vAlign w:val="center"/>
            <w:hideMark/>
          </w:tcPr>
          <w:p w:rsidR="005408A2" w:rsidRPr="008F4B35" w:rsidRDefault="005408A2" w:rsidP="00DF0EF9">
            <w:pPr>
              <w:rPr>
                <w:rFonts w:ascii="Times New Roman" w:hAnsi="Times New Roman" w:cs="Times New Roman"/>
                <w:sz w:val="14"/>
                <w:szCs w:val="14"/>
                <w:lang w:eastAsia="sk-SK"/>
              </w:rPr>
            </w:pPr>
            <w:r w:rsidRPr="008F4B35">
              <w:rPr>
                <w:rFonts w:ascii="Times New Roman" w:hAnsi="Times New Roman" w:cs="Times New Roman"/>
                <w:sz w:val="14"/>
                <w:szCs w:val="14"/>
                <w:lang w:eastAsia="sk-SK"/>
              </w:rPr>
              <w:t>Mzdy, nominálne</w:t>
            </w:r>
          </w:p>
        </w:tc>
        <w:tc>
          <w:tcPr>
            <w:tcW w:w="433" w:type="pct"/>
            <w:tcBorders>
              <w:top w:val="single" w:sz="4" w:space="0" w:color="auto"/>
              <w:left w:val="single" w:sz="4" w:space="0" w:color="auto"/>
              <w:bottom w:val="single" w:sz="4" w:space="0" w:color="auto"/>
              <w:right w:val="single" w:sz="4" w:space="0" w:color="auto"/>
            </w:tcBorders>
            <w:noWrap/>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3,3</w:t>
            </w:r>
          </w:p>
        </w:tc>
        <w:tc>
          <w:tcPr>
            <w:tcW w:w="433" w:type="pct"/>
            <w:tcBorders>
              <w:top w:val="single" w:sz="4" w:space="0" w:color="auto"/>
              <w:left w:val="single" w:sz="4" w:space="0" w:color="auto"/>
              <w:bottom w:val="single" w:sz="4" w:space="0" w:color="auto"/>
              <w:right w:val="single" w:sz="4" w:space="0" w:color="auto"/>
            </w:tcBorders>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4,6</w:t>
            </w:r>
          </w:p>
        </w:tc>
        <w:tc>
          <w:tcPr>
            <w:tcW w:w="403"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6,2</w:t>
            </w:r>
          </w:p>
        </w:tc>
        <w:tc>
          <w:tcPr>
            <w:tcW w:w="391"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6,3</w:t>
            </w:r>
          </w:p>
        </w:tc>
        <w:tc>
          <w:tcPr>
            <w:tcW w:w="408"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6,2</w:t>
            </w:r>
          </w:p>
        </w:tc>
        <w:tc>
          <w:tcPr>
            <w:tcW w:w="409"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5,4</w:t>
            </w:r>
          </w:p>
        </w:tc>
      </w:tr>
      <w:tr w:rsidR="005408A2" w:rsidRPr="008F4B35" w:rsidTr="00DF0EF9">
        <w:trPr>
          <w:trHeight w:val="227"/>
          <w:jc w:val="center"/>
        </w:trPr>
        <w:tc>
          <w:tcPr>
            <w:tcW w:w="2523" w:type="pct"/>
            <w:tcBorders>
              <w:top w:val="single" w:sz="4" w:space="0" w:color="auto"/>
              <w:left w:val="single" w:sz="4" w:space="0" w:color="auto"/>
              <w:bottom w:val="single" w:sz="4" w:space="0" w:color="auto"/>
              <w:right w:val="single" w:sz="4" w:space="0" w:color="auto"/>
            </w:tcBorders>
            <w:noWrap/>
            <w:vAlign w:val="center"/>
            <w:hideMark/>
          </w:tcPr>
          <w:p w:rsidR="005408A2" w:rsidRPr="008F4B35" w:rsidRDefault="005408A2" w:rsidP="00DF0EF9">
            <w:pPr>
              <w:rPr>
                <w:rFonts w:ascii="Times New Roman" w:hAnsi="Times New Roman" w:cs="Times New Roman"/>
                <w:sz w:val="14"/>
                <w:szCs w:val="14"/>
                <w:lang w:eastAsia="sk-SK"/>
              </w:rPr>
            </w:pPr>
            <w:r w:rsidRPr="008F4B35">
              <w:rPr>
                <w:rFonts w:ascii="Times New Roman" w:hAnsi="Times New Roman" w:cs="Times New Roman"/>
                <w:sz w:val="14"/>
                <w:szCs w:val="14"/>
                <w:lang w:eastAsia="sk-SK"/>
              </w:rPr>
              <w:t>Mzdy, reálne</w:t>
            </w:r>
          </w:p>
        </w:tc>
        <w:tc>
          <w:tcPr>
            <w:tcW w:w="433" w:type="pct"/>
            <w:tcBorders>
              <w:top w:val="single" w:sz="4" w:space="0" w:color="auto"/>
              <w:left w:val="single" w:sz="4" w:space="0" w:color="auto"/>
              <w:bottom w:val="single" w:sz="4" w:space="0" w:color="auto"/>
              <w:right w:val="single" w:sz="4" w:space="0" w:color="auto"/>
            </w:tcBorders>
            <w:noWrap/>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3,8</w:t>
            </w:r>
          </w:p>
        </w:tc>
        <w:tc>
          <w:tcPr>
            <w:tcW w:w="433" w:type="pct"/>
            <w:tcBorders>
              <w:top w:val="single" w:sz="4" w:space="0" w:color="auto"/>
              <w:left w:val="single" w:sz="4" w:space="0" w:color="auto"/>
              <w:bottom w:val="single" w:sz="4" w:space="0" w:color="auto"/>
              <w:right w:val="single" w:sz="4" w:space="0" w:color="auto"/>
            </w:tcBorders>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3,3</w:t>
            </w:r>
          </w:p>
        </w:tc>
        <w:tc>
          <w:tcPr>
            <w:tcW w:w="403"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3,6</w:t>
            </w:r>
          </w:p>
        </w:tc>
        <w:tc>
          <w:tcPr>
            <w:tcW w:w="391"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3,7</w:t>
            </w:r>
          </w:p>
        </w:tc>
        <w:tc>
          <w:tcPr>
            <w:tcW w:w="408"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3,6</w:t>
            </w:r>
          </w:p>
        </w:tc>
        <w:tc>
          <w:tcPr>
            <w:tcW w:w="409"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2,9</w:t>
            </w:r>
          </w:p>
        </w:tc>
      </w:tr>
      <w:tr w:rsidR="005408A2" w:rsidRPr="008F4B35" w:rsidTr="00DF0EF9">
        <w:trPr>
          <w:trHeight w:val="227"/>
          <w:jc w:val="center"/>
        </w:trPr>
        <w:tc>
          <w:tcPr>
            <w:tcW w:w="2523" w:type="pct"/>
            <w:tcBorders>
              <w:top w:val="single" w:sz="4" w:space="0" w:color="auto"/>
              <w:left w:val="single" w:sz="4" w:space="0" w:color="auto"/>
              <w:bottom w:val="single" w:sz="4" w:space="0" w:color="auto"/>
              <w:right w:val="single" w:sz="4" w:space="0" w:color="auto"/>
            </w:tcBorders>
            <w:noWrap/>
            <w:vAlign w:val="center"/>
            <w:hideMark/>
          </w:tcPr>
          <w:p w:rsidR="005408A2" w:rsidRPr="008F4B35" w:rsidRDefault="005408A2" w:rsidP="00DF0EF9">
            <w:pPr>
              <w:rPr>
                <w:rFonts w:ascii="Times New Roman" w:hAnsi="Times New Roman" w:cs="Times New Roman"/>
                <w:sz w:val="14"/>
                <w:szCs w:val="14"/>
                <w:lang w:eastAsia="sk-SK"/>
              </w:rPr>
            </w:pPr>
            <w:r w:rsidRPr="008F4B35">
              <w:rPr>
                <w:rFonts w:ascii="Times New Roman" w:hAnsi="Times New Roman" w:cs="Times New Roman"/>
                <w:sz w:val="14"/>
                <w:szCs w:val="14"/>
                <w:lang w:eastAsia="sk-SK"/>
              </w:rPr>
              <w:t>Miera nezamestnanosti</w:t>
            </w:r>
          </w:p>
        </w:tc>
        <w:tc>
          <w:tcPr>
            <w:tcW w:w="433" w:type="pct"/>
            <w:tcBorders>
              <w:top w:val="single" w:sz="4" w:space="0" w:color="auto"/>
              <w:left w:val="single" w:sz="4" w:space="0" w:color="auto"/>
              <w:bottom w:val="single" w:sz="4" w:space="0" w:color="auto"/>
              <w:right w:val="single" w:sz="4" w:space="0" w:color="auto"/>
            </w:tcBorders>
            <w:noWrap/>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9,6</w:t>
            </w:r>
          </w:p>
        </w:tc>
        <w:tc>
          <w:tcPr>
            <w:tcW w:w="433" w:type="pct"/>
            <w:tcBorders>
              <w:top w:val="single" w:sz="4" w:space="0" w:color="auto"/>
              <w:left w:val="single" w:sz="4" w:space="0" w:color="auto"/>
              <w:bottom w:val="single" w:sz="4" w:space="0" w:color="auto"/>
              <w:right w:val="single" w:sz="4" w:space="0" w:color="auto"/>
            </w:tcBorders>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8,1</w:t>
            </w:r>
          </w:p>
        </w:tc>
        <w:tc>
          <w:tcPr>
            <w:tcW w:w="403"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6,9</w:t>
            </w:r>
          </w:p>
        </w:tc>
        <w:tc>
          <w:tcPr>
            <w:tcW w:w="391"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6,4</w:t>
            </w:r>
          </w:p>
        </w:tc>
        <w:tc>
          <w:tcPr>
            <w:tcW w:w="408"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5,9</w:t>
            </w:r>
          </w:p>
        </w:tc>
        <w:tc>
          <w:tcPr>
            <w:tcW w:w="409"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5,7</w:t>
            </w:r>
          </w:p>
        </w:tc>
      </w:tr>
      <w:tr w:rsidR="005408A2" w:rsidRPr="008F4B35" w:rsidTr="00DF0EF9">
        <w:trPr>
          <w:trHeight w:val="227"/>
          <w:jc w:val="center"/>
        </w:trPr>
        <w:tc>
          <w:tcPr>
            <w:tcW w:w="5000" w:type="pct"/>
            <w:gridSpan w:val="7"/>
            <w:tcBorders>
              <w:top w:val="single" w:sz="4" w:space="0" w:color="auto"/>
              <w:left w:val="single" w:sz="4" w:space="0" w:color="auto"/>
              <w:bottom w:val="single" w:sz="4" w:space="0" w:color="auto"/>
              <w:right w:val="single" w:sz="4" w:space="0" w:color="auto"/>
            </w:tcBorders>
            <w:noWrap/>
            <w:vAlign w:val="center"/>
            <w:hideMark/>
          </w:tcPr>
          <w:p w:rsidR="005408A2" w:rsidRPr="008F4B35" w:rsidRDefault="005408A2" w:rsidP="00DF0EF9">
            <w:pPr>
              <w:rPr>
                <w:rFonts w:ascii="Times New Roman" w:hAnsi="Times New Roman" w:cs="Times New Roman"/>
                <w:b/>
                <w:bCs/>
                <w:sz w:val="14"/>
                <w:szCs w:val="14"/>
                <w:lang w:eastAsia="sk-SK"/>
              </w:rPr>
            </w:pPr>
            <w:r w:rsidRPr="008F4B35">
              <w:rPr>
                <w:rFonts w:ascii="Times New Roman" w:hAnsi="Times New Roman" w:cs="Times New Roman"/>
                <w:b/>
                <w:bCs/>
                <w:sz w:val="14"/>
                <w:szCs w:val="14"/>
                <w:lang w:eastAsia="sk-SK"/>
              </w:rPr>
              <w:t>Inflácia</w:t>
            </w:r>
            <w:r w:rsidRPr="008F4B35">
              <w:rPr>
                <w:rFonts w:ascii="Times New Roman" w:hAnsi="Times New Roman" w:cs="Times New Roman"/>
                <w:sz w:val="14"/>
                <w:szCs w:val="14"/>
              </w:rPr>
              <w:t> </w:t>
            </w:r>
          </w:p>
        </w:tc>
      </w:tr>
      <w:tr w:rsidR="005408A2" w:rsidRPr="008F4B35" w:rsidTr="00DF0EF9">
        <w:trPr>
          <w:trHeight w:val="227"/>
          <w:jc w:val="center"/>
        </w:trPr>
        <w:tc>
          <w:tcPr>
            <w:tcW w:w="2523" w:type="pct"/>
            <w:tcBorders>
              <w:top w:val="single" w:sz="4" w:space="0" w:color="auto"/>
              <w:left w:val="single" w:sz="4" w:space="0" w:color="auto"/>
              <w:bottom w:val="single" w:sz="4" w:space="0" w:color="auto"/>
              <w:right w:val="single" w:sz="4" w:space="0" w:color="auto"/>
            </w:tcBorders>
            <w:noWrap/>
            <w:vAlign w:val="center"/>
            <w:hideMark/>
          </w:tcPr>
          <w:p w:rsidR="005408A2" w:rsidRPr="008F4B35" w:rsidRDefault="005408A2" w:rsidP="00DF0EF9">
            <w:pPr>
              <w:rPr>
                <w:rFonts w:ascii="Times New Roman" w:hAnsi="Times New Roman" w:cs="Times New Roman"/>
                <w:sz w:val="14"/>
                <w:szCs w:val="14"/>
                <w:lang w:eastAsia="sk-SK"/>
              </w:rPr>
            </w:pPr>
            <w:r w:rsidRPr="008F4B35">
              <w:rPr>
                <w:rFonts w:ascii="Times New Roman" w:hAnsi="Times New Roman" w:cs="Times New Roman"/>
                <w:sz w:val="14"/>
                <w:szCs w:val="14"/>
                <w:lang w:eastAsia="sk-SK"/>
              </w:rPr>
              <w:t>Index spotrebiteľských cien</w:t>
            </w:r>
          </w:p>
        </w:tc>
        <w:tc>
          <w:tcPr>
            <w:tcW w:w="433"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-0,5</w:t>
            </w:r>
          </w:p>
        </w:tc>
        <w:tc>
          <w:tcPr>
            <w:tcW w:w="433" w:type="pct"/>
            <w:tcBorders>
              <w:top w:val="single" w:sz="4" w:space="0" w:color="auto"/>
              <w:left w:val="single" w:sz="4" w:space="0" w:color="auto"/>
              <w:bottom w:val="single" w:sz="4" w:space="0" w:color="auto"/>
              <w:right w:val="single" w:sz="4" w:space="0" w:color="auto"/>
            </w:tcBorders>
            <w:vAlign w:val="bottom"/>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1,3</w:t>
            </w:r>
          </w:p>
        </w:tc>
        <w:tc>
          <w:tcPr>
            <w:tcW w:w="403"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2,5</w:t>
            </w:r>
          </w:p>
        </w:tc>
        <w:tc>
          <w:tcPr>
            <w:tcW w:w="391"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2,5</w:t>
            </w:r>
          </w:p>
        </w:tc>
        <w:tc>
          <w:tcPr>
            <w:tcW w:w="408"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2,5</w:t>
            </w:r>
          </w:p>
        </w:tc>
        <w:tc>
          <w:tcPr>
            <w:tcW w:w="409" w:type="pct"/>
            <w:tcBorders>
              <w:top w:val="single" w:sz="4" w:space="0" w:color="auto"/>
              <w:left w:val="single" w:sz="4" w:space="0" w:color="auto"/>
              <w:bottom w:val="single" w:sz="4" w:space="0" w:color="auto"/>
              <w:right w:val="single" w:sz="4" w:space="0" w:color="auto"/>
            </w:tcBorders>
            <w:noWrap/>
            <w:vAlign w:val="bottom"/>
            <w:hideMark/>
          </w:tcPr>
          <w:p w:rsidR="005408A2" w:rsidRPr="00C720B7" w:rsidRDefault="005408A2" w:rsidP="00DF0EF9">
            <w:pPr>
              <w:jc w:val="center"/>
              <w:rPr>
                <w:rFonts w:ascii="Times New Roman" w:hAnsi="Times New Roman" w:cs="Times New Roman"/>
                <w:sz w:val="14"/>
                <w:szCs w:val="14"/>
                <w:lang w:eastAsia="sk-SK"/>
              </w:rPr>
            </w:pPr>
            <w:r w:rsidRPr="00C720B7">
              <w:rPr>
                <w:rFonts w:ascii="Times New Roman" w:hAnsi="Times New Roman" w:cs="Times New Roman"/>
                <w:sz w:val="14"/>
                <w:szCs w:val="14"/>
                <w:lang w:eastAsia="sk-SK"/>
              </w:rPr>
              <w:t>2,5</w:t>
            </w:r>
          </w:p>
        </w:tc>
      </w:tr>
    </w:tbl>
    <w:p w:rsidR="005408A2" w:rsidRPr="00224E2F" w:rsidRDefault="005408A2" w:rsidP="005408A2">
      <w:pPr>
        <w:ind w:firstLine="708"/>
        <w:jc w:val="both"/>
        <w:rPr>
          <w:rFonts w:ascii="Times New Roman" w:hAnsi="Times New Roman" w:cs="Times New Roman"/>
          <w:sz w:val="14"/>
          <w:szCs w:val="14"/>
        </w:rPr>
      </w:pPr>
      <w:r w:rsidRPr="000B1C83">
        <w:rPr>
          <w:rFonts w:ascii="Times New Roman" w:hAnsi="Times New Roman" w:cs="Times New Roman"/>
          <w:sz w:val="14"/>
          <w:szCs w:val="14"/>
        </w:rPr>
        <w:tab/>
      </w:r>
      <w:r w:rsidRPr="000B1C83">
        <w:rPr>
          <w:rFonts w:ascii="Times New Roman" w:hAnsi="Times New Roman" w:cs="Times New Roman"/>
          <w:sz w:val="14"/>
          <w:szCs w:val="14"/>
        </w:rPr>
        <w:tab/>
      </w:r>
      <w:r w:rsidRPr="000B1C83">
        <w:rPr>
          <w:rFonts w:ascii="Times New Roman" w:hAnsi="Times New Roman" w:cs="Times New Roman"/>
          <w:sz w:val="14"/>
          <w:szCs w:val="14"/>
        </w:rPr>
        <w:tab/>
      </w:r>
      <w:r w:rsidRPr="000B1C83">
        <w:rPr>
          <w:rFonts w:ascii="Times New Roman" w:hAnsi="Times New Roman" w:cs="Times New Roman"/>
          <w:sz w:val="14"/>
          <w:szCs w:val="14"/>
        </w:rPr>
        <w:tab/>
      </w:r>
      <w:r w:rsidRPr="000B1C83">
        <w:rPr>
          <w:rFonts w:ascii="Times New Roman" w:hAnsi="Times New Roman" w:cs="Times New Roman"/>
          <w:sz w:val="14"/>
          <w:szCs w:val="14"/>
        </w:rPr>
        <w:tab/>
      </w:r>
      <w:r w:rsidRPr="000B1C83">
        <w:rPr>
          <w:rFonts w:ascii="Times New Roman" w:hAnsi="Times New Roman" w:cs="Times New Roman"/>
          <w:sz w:val="14"/>
          <w:szCs w:val="14"/>
        </w:rPr>
        <w:tab/>
      </w:r>
      <w:r w:rsidRPr="000B1C83">
        <w:rPr>
          <w:rFonts w:ascii="Times New Roman" w:hAnsi="Times New Roman" w:cs="Times New Roman"/>
          <w:sz w:val="14"/>
          <w:szCs w:val="14"/>
        </w:rPr>
        <w:tab/>
      </w:r>
      <w:r w:rsidRPr="000B1C83">
        <w:rPr>
          <w:rFonts w:ascii="Times New Roman" w:hAnsi="Times New Roman" w:cs="Times New Roman"/>
          <w:sz w:val="14"/>
          <w:szCs w:val="14"/>
        </w:rPr>
        <w:tab/>
      </w:r>
      <w:r>
        <w:rPr>
          <w:rFonts w:ascii="Times New Roman" w:hAnsi="Times New Roman" w:cs="Times New Roman"/>
          <w:sz w:val="14"/>
          <w:szCs w:val="14"/>
        </w:rPr>
        <w:t xml:space="preserve">     </w:t>
      </w:r>
      <w:r>
        <w:rPr>
          <w:rFonts w:ascii="Times New Roman" w:hAnsi="Times New Roman" w:cs="Times New Roman"/>
          <w:sz w:val="14"/>
          <w:szCs w:val="14"/>
        </w:rPr>
        <w:tab/>
      </w:r>
      <w:r>
        <w:rPr>
          <w:rFonts w:ascii="Times New Roman" w:hAnsi="Times New Roman" w:cs="Times New Roman"/>
          <w:sz w:val="14"/>
          <w:szCs w:val="14"/>
        </w:rPr>
        <w:tab/>
        <w:t xml:space="preserve">     </w:t>
      </w:r>
      <w:r w:rsidRPr="000B1C83">
        <w:rPr>
          <w:rFonts w:ascii="Times New Roman" w:hAnsi="Times New Roman" w:cs="Times New Roman"/>
          <w:sz w:val="14"/>
          <w:szCs w:val="14"/>
        </w:rPr>
        <w:t>Zdroj: ŠÚ</w:t>
      </w:r>
      <w:r>
        <w:rPr>
          <w:rFonts w:ascii="Times New Roman" w:hAnsi="Times New Roman" w:cs="Times New Roman"/>
          <w:sz w:val="14"/>
          <w:szCs w:val="14"/>
        </w:rPr>
        <w:t xml:space="preserve"> </w:t>
      </w:r>
      <w:r w:rsidRPr="000B1C83">
        <w:rPr>
          <w:rFonts w:ascii="Times New Roman" w:hAnsi="Times New Roman" w:cs="Times New Roman"/>
          <w:sz w:val="14"/>
          <w:szCs w:val="14"/>
        </w:rPr>
        <w:t xml:space="preserve">SR, </w:t>
      </w:r>
      <w:r w:rsidRPr="00CC7CDF">
        <w:rPr>
          <w:rFonts w:ascii="Times New Roman" w:hAnsi="Times New Roman" w:cs="Times New Roman"/>
          <w:sz w:val="14"/>
          <w:szCs w:val="14"/>
        </w:rPr>
        <w:t>IFP</w:t>
      </w:r>
    </w:p>
    <w:p w:rsidR="005408A2" w:rsidRDefault="005408A2" w:rsidP="005408A2">
      <w:pPr>
        <w:jc w:val="both"/>
        <w:rPr>
          <w:rFonts w:ascii="Times New Roman" w:hAnsi="Times New Roman" w:cs="Times New Roman"/>
        </w:rPr>
      </w:pPr>
    </w:p>
    <w:p w:rsidR="005408A2" w:rsidRDefault="005408A2" w:rsidP="005408A2">
      <w:pPr>
        <w:rPr>
          <w:highlight w:val="yellow"/>
        </w:rPr>
      </w:pPr>
    </w:p>
    <w:p w:rsidR="00577641" w:rsidRDefault="00577641" w:rsidP="00577641">
      <w:pPr>
        <w:rPr>
          <w:highlight w:val="yellow"/>
        </w:rPr>
      </w:pPr>
    </w:p>
    <w:p w:rsidR="005408A2" w:rsidRDefault="005408A2" w:rsidP="00577641">
      <w:pPr>
        <w:rPr>
          <w:highlight w:val="yellow"/>
        </w:rPr>
      </w:pPr>
    </w:p>
    <w:p w:rsidR="005408A2" w:rsidRDefault="005408A2" w:rsidP="00577641">
      <w:pPr>
        <w:rPr>
          <w:highlight w:val="yellow"/>
        </w:rPr>
      </w:pPr>
    </w:p>
    <w:p w:rsidR="005408A2" w:rsidRDefault="005408A2" w:rsidP="00577641">
      <w:pPr>
        <w:rPr>
          <w:highlight w:val="yellow"/>
        </w:rPr>
      </w:pPr>
    </w:p>
    <w:p w:rsidR="005408A2" w:rsidRDefault="005408A2" w:rsidP="00577641">
      <w:pPr>
        <w:rPr>
          <w:highlight w:val="yellow"/>
        </w:rPr>
      </w:pPr>
    </w:p>
    <w:p w:rsidR="005408A2" w:rsidRDefault="005408A2" w:rsidP="00577641">
      <w:pPr>
        <w:rPr>
          <w:highlight w:val="yellow"/>
        </w:rPr>
      </w:pPr>
    </w:p>
    <w:p w:rsidR="005408A2" w:rsidRDefault="005408A2" w:rsidP="00577641">
      <w:pPr>
        <w:rPr>
          <w:highlight w:val="yellow"/>
        </w:rPr>
      </w:pPr>
    </w:p>
    <w:p w:rsidR="005408A2" w:rsidRDefault="005408A2" w:rsidP="00577641">
      <w:pPr>
        <w:rPr>
          <w:highlight w:val="yellow"/>
        </w:rPr>
      </w:pPr>
    </w:p>
    <w:p w:rsidR="005408A2" w:rsidRDefault="005408A2" w:rsidP="00577641">
      <w:pPr>
        <w:rPr>
          <w:highlight w:val="yellow"/>
        </w:rPr>
      </w:pPr>
    </w:p>
    <w:p w:rsidR="009C536E" w:rsidRPr="0008689E" w:rsidRDefault="00044D70" w:rsidP="009C536E">
      <w:pPr>
        <w:pStyle w:val="Nadpis1"/>
        <w:spacing w:before="0" w:after="0"/>
        <w:ind w:left="284" w:hanging="284"/>
        <w:rPr>
          <w:rFonts w:ascii="Times New Roman" w:hAnsi="Times New Roman" w:cs="Times New Roman"/>
          <w:b w:val="0"/>
          <w:bCs w:val="0"/>
        </w:rPr>
      </w:pPr>
      <w:bookmarkStart w:id="5" w:name="_Toc526273176"/>
      <w:r w:rsidRPr="0008689E">
        <w:rPr>
          <w:rFonts w:ascii="Times New Roman" w:hAnsi="Times New Roman" w:cs="Times New Roman"/>
          <w:sz w:val="28"/>
          <w:szCs w:val="28"/>
        </w:rPr>
        <w:lastRenderedPageBreak/>
        <w:t>2</w:t>
      </w:r>
      <w:r w:rsidR="009C536E" w:rsidRPr="0008689E">
        <w:rPr>
          <w:rFonts w:ascii="Times New Roman" w:hAnsi="Times New Roman" w:cs="Times New Roman"/>
          <w:sz w:val="28"/>
          <w:szCs w:val="28"/>
        </w:rPr>
        <w:t>. Východiskový rámec rozpočtu verejnej správy na roky 20</w:t>
      </w:r>
      <w:r w:rsidR="00075B17">
        <w:rPr>
          <w:rFonts w:ascii="Times New Roman" w:hAnsi="Times New Roman" w:cs="Times New Roman"/>
          <w:sz w:val="28"/>
          <w:szCs w:val="28"/>
        </w:rPr>
        <w:t>1</w:t>
      </w:r>
      <w:r w:rsidR="00890E67">
        <w:rPr>
          <w:rFonts w:ascii="Times New Roman" w:hAnsi="Times New Roman" w:cs="Times New Roman"/>
          <w:sz w:val="28"/>
          <w:szCs w:val="28"/>
        </w:rPr>
        <w:t>9</w:t>
      </w:r>
      <w:r w:rsidR="009C536E" w:rsidRPr="0008689E">
        <w:rPr>
          <w:rFonts w:ascii="Times New Roman" w:hAnsi="Times New Roman" w:cs="Times New Roman"/>
          <w:sz w:val="28"/>
          <w:szCs w:val="28"/>
        </w:rPr>
        <w:t xml:space="preserve"> až 20</w:t>
      </w:r>
      <w:r w:rsidR="00075B17">
        <w:rPr>
          <w:rFonts w:ascii="Times New Roman" w:hAnsi="Times New Roman" w:cs="Times New Roman"/>
          <w:sz w:val="28"/>
          <w:szCs w:val="28"/>
        </w:rPr>
        <w:t>2</w:t>
      </w:r>
      <w:r w:rsidR="00890E67">
        <w:rPr>
          <w:rFonts w:ascii="Times New Roman" w:hAnsi="Times New Roman" w:cs="Times New Roman"/>
          <w:sz w:val="28"/>
          <w:szCs w:val="28"/>
        </w:rPr>
        <w:t>1</w:t>
      </w:r>
      <w:bookmarkEnd w:id="5"/>
    </w:p>
    <w:p w:rsidR="00FA233D" w:rsidRPr="00A66CF6" w:rsidRDefault="00FA233D" w:rsidP="00FA233D">
      <w:pPr>
        <w:pStyle w:val="Nadpis2"/>
        <w:spacing w:before="0" w:after="0"/>
        <w:rPr>
          <w:rFonts w:ascii="Times New Roman" w:hAnsi="Times New Roman"/>
          <w:i w:val="0"/>
          <w:iCs w:val="0"/>
          <w:color w:val="0070C0"/>
          <w:sz w:val="24"/>
          <w:szCs w:val="24"/>
          <w:highlight w:val="yellow"/>
        </w:rPr>
      </w:pPr>
      <w:bookmarkStart w:id="6" w:name="_Toc332008096"/>
      <w:bookmarkStart w:id="7" w:name="_Toc211592391"/>
      <w:bookmarkStart w:id="8" w:name="_Toc206478400"/>
      <w:bookmarkStart w:id="9" w:name="_Toc174871966"/>
      <w:bookmarkStart w:id="10" w:name="_Toc148255241"/>
      <w:bookmarkStart w:id="11" w:name="_Toc143348593"/>
      <w:bookmarkStart w:id="12" w:name="_Toc273474197"/>
      <w:bookmarkStart w:id="13" w:name="_Toc282686534"/>
      <w:bookmarkStart w:id="14" w:name="_Toc300912251"/>
      <w:bookmarkStart w:id="15" w:name="_Toc364185029"/>
      <w:bookmarkStart w:id="16" w:name="_Toc273148229"/>
      <w:bookmarkStart w:id="17" w:name="_Toc424890786"/>
      <w:bookmarkStart w:id="18" w:name="_Toc369020084"/>
      <w:bookmarkStart w:id="19" w:name="_Toc211592393"/>
      <w:bookmarkStart w:id="20" w:name="_Toc206478402"/>
      <w:bookmarkStart w:id="21" w:name="_Toc273950832"/>
    </w:p>
    <w:p w:rsidR="00655B0D" w:rsidRPr="00E66AE9" w:rsidRDefault="00655B0D" w:rsidP="00655B0D">
      <w:pPr>
        <w:keepNext/>
        <w:outlineLvl w:val="1"/>
        <w:rPr>
          <w:rFonts w:ascii="Times New Roman" w:hAnsi="Times New Roman"/>
          <w:b/>
          <w:bCs/>
        </w:rPr>
      </w:pPr>
      <w:bookmarkStart w:id="22" w:name="_Toc494463958"/>
      <w:bookmarkStart w:id="23" w:name="_Toc52627317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E66AE9">
        <w:rPr>
          <w:rFonts w:ascii="Times New Roman" w:hAnsi="Times New Roman"/>
          <w:b/>
          <w:bCs/>
        </w:rPr>
        <w:t>2.</w:t>
      </w:r>
      <w:r>
        <w:rPr>
          <w:rFonts w:ascii="Times New Roman" w:hAnsi="Times New Roman"/>
          <w:b/>
          <w:bCs/>
        </w:rPr>
        <w:t>1</w:t>
      </w:r>
      <w:r w:rsidRPr="00E66AE9">
        <w:rPr>
          <w:rFonts w:ascii="Times New Roman" w:hAnsi="Times New Roman"/>
          <w:b/>
          <w:bCs/>
        </w:rPr>
        <w:t xml:space="preserve">. </w:t>
      </w:r>
      <w:r>
        <w:rPr>
          <w:rFonts w:ascii="Times New Roman" w:hAnsi="Times New Roman"/>
          <w:b/>
          <w:bCs/>
        </w:rPr>
        <w:t xml:space="preserve">Aktuálny vývoj </w:t>
      </w:r>
      <w:r w:rsidRPr="00E66AE9">
        <w:rPr>
          <w:rFonts w:ascii="Times New Roman" w:hAnsi="Times New Roman"/>
          <w:b/>
          <w:bCs/>
        </w:rPr>
        <w:t xml:space="preserve">rozpočtu verejnej správy </w:t>
      </w:r>
      <w:r>
        <w:rPr>
          <w:rFonts w:ascii="Times New Roman" w:hAnsi="Times New Roman"/>
          <w:b/>
          <w:bCs/>
        </w:rPr>
        <w:t>v roku 201</w:t>
      </w:r>
      <w:bookmarkEnd w:id="22"/>
      <w:r>
        <w:rPr>
          <w:rFonts w:ascii="Times New Roman" w:hAnsi="Times New Roman"/>
          <w:b/>
          <w:bCs/>
        </w:rPr>
        <w:t>8</w:t>
      </w:r>
      <w:bookmarkEnd w:id="23"/>
    </w:p>
    <w:p w:rsidR="00655B0D" w:rsidRPr="00E66AE9" w:rsidRDefault="00655B0D" w:rsidP="00655B0D"/>
    <w:p w:rsidR="00655B0D" w:rsidRPr="002744D6" w:rsidRDefault="00655B0D" w:rsidP="00655B0D">
      <w:pPr>
        <w:ind w:firstLine="708"/>
        <w:jc w:val="both"/>
        <w:rPr>
          <w:rFonts w:ascii="Times New Roman" w:hAnsi="Times New Roman" w:cs="Times New Roman"/>
        </w:rPr>
      </w:pPr>
      <w:r w:rsidRPr="002744D6">
        <w:rPr>
          <w:rFonts w:ascii="Times New Roman" w:hAnsi="Times New Roman" w:cs="Times New Roman"/>
        </w:rPr>
        <w:t>Schválený rozpočet verejnej správy na rok 2018 bol zostavený so schodk</w:t>
      </w:r>
      <w:r>
        <w:rPr>
          <w:rFonts w:ascii="Times New Roman" w:hAnsi="Times New Roman" w:cs="Times New Roman"/>
        </w:rPr>
        <w:t>om</w:t>
      </w:r>
      <w:r w:rsidRPr="002744D6">
        <w:rPr>
          <w:rFonts w:ascii="Times New Roman" w:hAnsi="Times New Roman" w:cs="Times New Roman"/>
        </w:rPr>
        <w:t xml:space="preserve"> rozpočtu verejnej správy na úrovni 0,83 % HDP.</w:t>
      </w:r>
    </w:p>
    <w:p w:rsidR="00655B0D" w:rsidRDefault="00655B0D" w:rsidP="00655B0D">
      <w:pPr>
        <w:jc w:val="both"/>
        <w:rPr>
          <w:rFonts w:ascii="Times New Roman" w:hAnsi="Times New Roman" w:cs="Times New Roman"/>
        </w:rPr>
      </w:pPr>
    </w:p>
    <w:p w:rsidR="00655B0D" w:rsidRDefault="00655B0D" w:rsidP="00655B0D">
      <w:pPr>
        <w:ind w:firstLine="708"/>
        <w:jc w:val="both"/>
        <w:rPr>
          <w:rFonts w:ascii="Times New Roman" w:hAnsi="Times New Roman" w:cs="Times New Roman"/>
        </w:rPr>
      </w:pPr>
      <w:r w:rsidRPr="002744D6">
        <w:rPr>
          <w:rFonts w:ascii="Times New Roman" w:hAnsi="Times New Roman" w:cs="Times New Roman"/>
        </w:rPr>
        <w:t>Aktuálny odhad vývoja verejných financií v roku 2018 vychádza z aktuálnej makroekonomickej a daňovej prognózy z</w:t>
      </w:r>
      <w:r>
        <w:rPr>
          <w:rFonts w:ascii="Times New Roman" w:hAnsi="Times New Roman" w:cs="Times New Roman"/>
        </w:rPr>
        <w:t>o</w:t>
      </w:r>
      <w:r w:rsidRPr="002744D6">
        <w:rPr>
          <w:rFonts w:ascii="Times New Roman" w:hAnsi="Times New Roman" w:cs="Times New Roman"/>
        </w:rPr>
        <w:t> </w:t>
      </w:r>
      <w:r>
        <w:rPr>
          <w:rFonts w:ascii="Times New Roman" w:hAnsi="Times New Roman" w:cs="Times New Roman"/>
        </w:rPr>
        <w:t>septembra</w:t>
      </w:r>
      <w:r w:rsidRPr="002744D6">
        <w:rPr>
          <w:rFonts w:ascii="Times New Roman" w:hAnsi="Times New Roman" w:cs="Times New Roman"/>
        </w:rPr>
        <w:t xml:space="preserve"> 2018 a aktuálneho vývoja ostatných príjmových a výdavkových položiek rozpočtu verejnej správy. Podľa aktuálneho odhadu by schodok rozpočtu verejnej správy mohol dosiahnuť 0,</w:t>
      </w:r>
      <w:r>
        <w:rPr>
          <w:rFonts w:ascii="Times New Roman" w:hAnsi="Times New Roman" w:cs="Times New Roman"/>
        </w:rPr>
        <w:t>60</w:t>
      </w:r>
      <w:r w:rsidRPr="002744D6">
        <w:rPr>
          <w:rFonts w:ascii="Times New Roman" w:hAnsi="Times New Roman" w:cs="Times New Roman"/>
        </w:rPr>
        <w:t xml:space="preserve"> % HDP.</w:t>
      </w:r>
    </w:p>
    <w:p w:rsidR="00655B0D" w:rsidRPr="002744D6" w:rsidRDefault="00655B0D" w:rsidP="00655B0D">
      <w:pPr>
        <w:jc w:val="both"/>
        <w:rPr>
          <w:rFonts w:ascii="Times New Roman" w:hAnsi="Times New Roman" w:cs="Times New Roman"/>
        </w:rPr>
      </w:pPr>
    </w:p>
    <w:tbl>
      <w:tblPr>
        <w:tblW w:w="5000" w:type="pct"/>
        <w:jc w:val="center"/>
        <w:tblCellMar>
          <w:left w:w="70" w:type="dxa"/>
          <w:right w:w="70" w:type="dxa"/>
        </w:tblCellMar>
        <w:tblLook w:val="04A0" w:firstRow="1" w:lastRow="0" w:firstColumn="1" w:lastColumn="0" w:noHBand="0" w:noVBand="1"/>
      </w:tblPr>
      <w:tblGrid>
        <w:gridCol w:w="6486"/>
        <w:gridCol w:w="1289"/>
        <w:gridCol w:w="1287"/>
      </w:tblGrid>
      <w:tr w:rsidR="00655B0D" w:rsidRPr="00963F86" w:rsidTr="004650BC">
        <w:trPr>
          <w:trHeight w:val="300"/>
          <w:jc w:val="center"/>
        </w:trPr>
        <w:tc>
          <w:tcPr>
            <w:tcW w:w="3579" w:type="pct"/>
            <w:tcBorders>
              <w:top w:val="single" w:sz="4" w:space="0" w:color="auto"/>
              <w:left w:val="single" w:sz="4" w:space="0" w:color="auto"/>
              <w:bottom w:val="single" w:sz="4" w:space="0" w:color="auto"/>
              <w:right w:val="nil"/>
            </w:tcBorders>
            <w:shd w:val="clear" w:color="auto" w:fill="auto"/>
            <w:noWrap/>
            <w:vAlign w:val="center"/>
            <w:hideMark/>
          </w:tcPr>
          <w:p w:rsidR="00655B0D" w:rsidRPr="00963F86" w:rsidRDefault="00655B0D" w:rsidP="004650BC">
            <w:pPr>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Schodok rozpočtu verejnej správy (ESA 2010)</w:t>
            </w:r>
          </w:p>
        </w:tc>
        <w:tc>
          <w:tcPr>
            <w:tcW w:w="711" w:type="pct"/>
            <w:tcBorders>
              <w:top w:val="single" w:sz="4" w:space="0" w:color="auto"/>
              <w:left w:val="nil"/>
              <w:bottom w:val="single" w:sz="4" w:space="0" w:color="auto"/>
              <w:right w:val="nil"/>
            </w:tcBorders>
            <w:shd w:val="clear" w:color="auto" w:fill="auto"/>
            <w:noWrap/>
            <w:vAlign w:val="center"/>
            <w:hideMark/>
          </w:tcPr>
          <w:p w:rsidR="00655B0D" w:rsidRPr="00963F86" w:rsidRDefault="00655B0D" w:rsidP="004650BC">
            <w:pPr>
              <w:jc w:val="center"/>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 xml:space="preserve">          </w:t>
            </w:r>
            <w:r>
              <w:rPr>
                <w:rFonts w:ascii="Times New Roman" w:hAnsi="Times New Roman" w:cs="Times New Roman"/>
                <w:color w:val="000000"/>
                <w:sz w:val="16"/>
                <w:szCs w:val="18"/>
                <w:lang w:eastAsia="sk-SK"/>
              </w:rPr>
              <w:t xml:space="preserve">  </w:t>
            </w:r>
            <w:r w:rsidRPr="00963F86">
              <w:rPr>
                <w:rFonts w:ascii="Times New Roman" w:hAnsi="Times New Roman" w:cs="Times New Roman"/>
                <w:color w:val="000000"/>
                <w:sz w:val="16"/>
                <w:szCs w:val="18"/>
                <w:lang w:eastAsia="sk-SK"/>
              </w:rPr>
              <w:t>v mil. eur</w:t>
            </w: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rsidR="00655B0D" w:rsidRPr="00963F86" w:rsidRDefault="00655B0D" w:rsidP="004650BC">
            <w:pPr>
              <w:jc w:val="center"/>
              <w:rPr>
                <w:rFonts w:ascii="Times New Roman" w:hAnsi="Times New Roman" w:cs="Times New Roman"/>
                <w:color w:val="000000"/>
                <w:sz w:val="16"/>
                <w:szCs w:val="18"/>
                <w:lang w:eastAsia="sk-SK"/>
              </w:rPr>
            </w:pPr>
            <w:r>
              <w:rPr>
                <w:rFonts w:ascii="Times New Roman" w:hAnsi="Times New Roman" w:cs="Times New Roman"/>
                <w:color w:val="000000"/>
                <w:sz w:val="16"/>
                <w:szCs w:val="18"/>
                <w:lang w:eastAsia="sk-SK"/>
              </w:rPr>
              <w:t xml:space="preserve">            </w:t>
            </w:r>
            <w:r w:rsidRPr="00963F86">
              <w:rPr>
                <w:rFonts w:ascii="Times New Roman" w:hAnsi="Times New Roman" w:cs="Times New Roman"/>
                <w:color w:val="000000"/>
                <w:sz w:val="16"/>
                <w:szCs w:val="18"/>
                <w:lang w:eastAsia="sk-SK"/>
              </w:rPr>
              <w:t>v % HDP</w:t>
            </w:r>
          </w:p>
        </w:tc>
      </w:tr>
      <w:tr w:rsidR="00655B0D" w:rsidRPr="00963F86" w:rsidTr="004650BC">
        <w:trPr>
          <w:trHeight w:val="300"/>
          <w:jc w:val="center"/>
        </w:trPr>
        <w:tc>
          <w:tcPr>
            <w:tcW w:w="3579" w:type="pct"/>
            <w:tcBorders>
              <w:top w:val="nil"/>
              <w:left w:val="single" w:sz="4" w:space="0" w:color="auto"/>
              <w:bottom w:val="nil"/>
              <w:right w:val="nil"/>
            </w:tcBorders>
            <w:shd w:val="clear" w:color="auto" w:fill="BFBFBF" w:themeFill="background1" w:themeFillShade="BF"/>
            <w:noWrap/>
            <w:vAlign w:val="center"/>
            <w:hideMark/>
          </w:tcPr>
          <w:p w:rsidR="00655B0D" w:rsidRPr="00963F86" w:rsidRDefault="00655B0D" w:rsidP="004650BC">
            <w:pPr>
              <w:rPr>
                <w:rFonts w:ascii="Times New Roman" w:hAnsi="Times New Roman" w:cs="Times New Roman"/>
                <w:b/>
                <w:bCs/>
                <w:color w:val="000000"/>
                <w:sz w:val="16"/>
                <w:szCs w:val="18"/>
                <w:lang w:eastAsia="sk-SK"/>
              </w:rPr>
            </w:pPr>
            <w:r w:rsidRPr="00963F86">
              <w:rPr>
                <w:rFonts w:ascii="Times New Roman" w:hAnsi="Times New Roman" w:cs="Times New Roman"/>
                <w:b/>
                <w:bCs/>
                <w:color w:val="000000"/>
                <w:sz w:val="16"/>
                <w:szCs w:val="18"/>
                <w:lang w:eastAsia="sk-SK"/>
              </w:rPr>
              <w:t>Schválený rozpočet 2018</w:t>
            </w:r>
          </w:p>
        </w:tc>
        <w:tc>
          <w:tcPr>
            <w:tcW w:w="711" w:type="pct"/>
            <w:tcBorders>
              <w:top w:val="nil"/>
              <w:left w:val="nil"/>
              <w:bottom w:val="nil"/>
              <w:right w:val="nil"/>
            </w:tcBorders>
            <w:shd w:val="clear" w:color="auto" w:fill="BFBFBF" w:themeFill="background1" w:themeFillShade="BF"/>
            <w:noWrap/>
            <w:vAlign w:val="center"/>
            <w:hideMark/>
          </w:tcPr>
          <w:p w:rsidR="00655B0D" w:rsidRPr="00963F86" w:rsidRDefault="00655B0D" w:rsidP="004650BC">
            <w:pPr>
              <w:jc w:val="right"/>
              <w:rPr>
                <w:rFonts w:ascii="Times New Roman" w:hAnsi="Times New Roman" w:cs="Times New Roman"/>
                <w:b/>
                <w:bCs/>
                <w:color w:val="000000"/>
                <w:sz w:val="16"/>
                <w:szCs w:val="18"/>
                <w:lang w:eastAsia="sk-SK"/>
              </w:rPr>
            </w:pPr>
            <w:r w:rsidRPr="00963F86">
              <w:rPr>
                <w:rFonts w:ascii="Times New Roman" w:hAnsi="Times New Roman" w:cs="Times New Roman"/>
                <w:b/>
                <w:bCs/>
                <w:color w:val="000000"/>
                <w:sz w:val="16"/>
                <w:szCs w:val="18"/>
                <w:lang w:eastAsia="sk-SK"/>
              </w:rPr>
              <w:t>-742,811</w:t>
            </w:r>
          </w:p>
        </w:tc>
        <w:tc>
          <w:tcPr>
            <w:tcW w:w="711" w:type="pct"/>
            <w:tcBorders>
              <w:top w:val="nil"/>
              <w:left w:val="nil"/>
              <w:bottom w:val="nil"/>
              <w:right w:val="single" w:sz="4" w:space="0" w:color="auto"/>
            </w:tcBorders>
            <w:shd w:val="clear" w:color="auto" w:fill="BFBFBF" w:themeFill="background1" w:themeFillShade="BF"/>
            <w:noWrap/>
            <w:vAlign w:val="center"/>
            <w:hideMark/>
          </w:tcPr>
          <w:p w:rsidR="00655B0D" w:rsidRPr="00963F86" w:rsidRDefault="00655B0D" w:rsidP="004650BC">
            <w:pPr>
              <w:jc w:val="right"/>
              <w:rPr>
                <w:rFonts w:ascii="Times New Roman" w:hAnsi="Times New Roman" w:cs="Times New Roman"/>
                <w:b/>
                <w:bCs/>
                <w:color w:val="000000"/>
                <w:sz w:val="16"/>
                <w:szCs w:val="18"/>
                <w:lang w:eastAsia="sk-SK"/>
              </w:rPr>
            </w:pPr>
            <w:r w:rsidRPr="00963F86">
              <w:rPr>
                <w:rFonts w:ascii="Times New Roman" w:hAnsi="Times New Roman" w:cs="Times New Roman"/>
                <w:b/>
                <w:bCs/>
                <w:color w:val="000000"/>
                <w:sz w:val="16"/>
                <w:szCs w:val="18"/>
                <w:lang w:eastAsia="sk-SK"/>
              </w:rPr>
              <w:t>-0,83</w:t>
            </w:r>
          </w:p>
        </w:tc>
      </w:tr>
      <w:tr w:rsidR="00655B0D" w:rsidRPr="00963F86" w:rsidTr="004650BC">
        <w:trPr>
          <w:trHeight w:val="300"/>
          <w:jc w:val="center"/>
        </w:trPr>
        <w:tc>
          <w:tcPr>
            <w:tcW w:w="3579" w:type="pct"/>
            <w:tcBorders>
              <w:top w:val="single" w:sz="4" w:space="0" w:color="auto"/>
              <w:left w:val="single" w:sz="4" w:space="0" w:color="auto"/>
              <w:bottom w:val="nil"/>
              <w:right w:val="nil"/>
            </w:tcBorders>
            <w:shd w:val="clear" w:color="auto" w:fill="auto"/>
            <w:noWrap/>
            <w:vAlign w:val="center"/>
            <w:hideMark/>
          </w:tcPr>
          <w:p w:rsidR="00655B0D" w:rsidRPr="00963F86" w:rsidRDefault="00655B0D" w:rsidP="004650BC">
            <w:pPr>
              <w:rPr>
                <w:rFonts w:ascii="Times New Roman" w:hAnsi="Times New Roman" w:cs="Times New Roman"/>
                <w:b/>
                <w:bCs/>
                <w:color w:val="000000"/>
                <w:sz w:val="16"/>
                <w:szCs w:val="18"/>
                <w:lang w:eastAsia="sk-SK"/>
              </w:rPr>
            </w:pPr>
            <w:r w:rsidRPr="00963F86">
              <w:rPr>
                <w:rFonts w:ascii="Times New Roman" w:hAnsi="Times New Roman" w:cs="Times New Roman"/>
                <w:b/>
                <w:bCs/>
                <w:color w:val="000000"/>
                <w:sz w:val="16"/>
                <w:szCs w:val="18"/>
                <w:lang w:eastAsia="sk-SK"/>
              </w:rPr>
              <w:t>Zmena príjmov rozpočtu verejnej správy</w:t>
            </w:r>
          </w:p>
        </w:tc>
        <w:tc>
          <w:tcPr>
            <w:tcW w:w="711" w:type="pct"/>
            <w:tcBorders>
              <w:top w:val="single" w:sz="4" w:space="0" w:color="auto"/>
              <w:left w:val="nil"/>
              <w:bottom w:val="nil"/>
              <w:right w:val="nil"/>
            </w:tcBorders>
            <w:shd w:val="clear" w:color="auto" w:fill="auto"/>
            <w:noWrap/>
            <w:vAlign w:val="center"/>
            <w:hideMark/>
          </w:tcPr>
          <w:p w:rsidR="00655B0D" w:rsidRPr="00963F86" w:rsidRDefault="00655B0D" w:rsidP="004650BC">
            <w:pPr>
              <w:jc w:val="right"/>
              <w:rPr>
                <w:rFonts w:ascii="Times New Roman" w:hAnsi="Times New Roman" w:cs="Times New Roman"/>
                <w:b/>
                <w:bCs/>
                <w:color w:val="000000"/>
                <w:sz w:val="16"/>
                <w:szCs w:val="18"/>
                <w:lang w:eastAsia="sk-SK"/>
              </w:rPr>
            </w:pPr>
            <w:r w:rsidRPr="00963F86">
              <w:rPr>
                <w:rFonts w:ascii="Times New Roman" w:hAnsi="Times New Roman" w:cs="Times New Roman"/>
                <w:b/>
                <w:bCs/>
                <w:color w:val="000000"/>
                <w:sz w:val="16"/>
                <w:szCs w:val="18"/>
                <w:lang w:eastAsia="sk-SK"/>
              </w:rPr>
              <w:t>955,777</w:t>
            </w:r>
          </w:p>
        </w:tc>
        <w:tc>
          <w:tcPr>
            <w:tcW w:w="711" w:type="pct"/>
            <w:tcBorders>
              <w:top w:val="single" w:sz="4" w:space="0" w:color="auto"/>
              <w:left w:val="nil"/>
              <w:bottom w:val="nil"/>
              <w:right w:val="single" w:sz="4" w:space="0" w:color="auto"/>
            </w:tcBorders>
            <w:shd w:val="clear" w:color="auto" w:fill="auto"/>
            <w:noWrap/>
            <w:vAlign w:val="center"/>
            <w:hideMark/>
          </w:tcPr>
          <w:p w:rsidR="00655B0D" w:rsidRPr="00963F86" w:rsidRDefault="00655B0D" w:rsidP="004650BC">
            <w:pPr>
              <w:jc w:val="right"/>
              <w:rPr>
                <w:rFonts w:ascii="Times New Roman" w:hAnsi="Times New Roman" w:cs="Times New Roman"/>
                <w:b/>
                <w:bCs/>
                <w:color w:val="000000"/>
                <w:sz w:val="16"/>
                <w:szCs w:val="18"/>
                <w:lang w:eastAsia="sk-SK"/>
              </w:rPr>
            </w:pPr>
            <w:r w:rsidRPr="00963F86">
              <w:rPr>
                <w:rFonts w:ascii="Times New Roman" w:hAnsi="Times New Roman" w:cs="Times New Roman"/>
                <w:b/>
                <w:bCs/>
                <w:color w:val="000000"/>
                <w:sz w:val="16"/>
                <w:szCs w:val="18"/>
                <w:lang w:eastAsia="sk-SK"/>
              </w:rPr>
              <w:t>1,06</w:t>
            </w:r>
          </w:p>
        </w:tc>
      </w:tr>
      <w:tr w:rsidR="00655B0D" w:rsidRPr="00963F86" w:rsidTr="004650BC">
        <w:trPr>
          <w:trHeight w:val="300"/>
          <w:jc w:val="center"/>
        </w:trPr>
        <w:tc>
          <w:tcPr>
            <w:tcW w:w="3579" w:type="pct"/>
            <w:tcBorders>
              <w:top w:val="nil"/>
              <w:left w:val="single" w:sz="4" w:space="0" w:color="auto"/>
              <w:bottom w:val="nil"/>
              <w:right w:val="nil"/>
            </w:tcBorders>
            <w:shd w:val="clear" w:color="auto" w:fill="auto"/>
            <w:noWrap/>
            <w:vAlign w:val="center"/>
            <w:hideMark/>
          </w:tcPr>
          <w:p w:rsidR="00655B0D" w:rsidRPr="00963F86" w:rsidRDefault="00655B0D" w:rsidP="004650BC">
            <w:pPr>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Daňové príjmy</w:t>
            </w:r>
          </w:p>
        </w:tc>
        <w:tc>
          <w:tcPr>
            <w:tcW w:w="711" w:type="pct"/>
            <w:tcBorders>
              <w:top w:val="nil"/>
              <w:left w:val="nil"/>
              <w:bottom w:val="nil"/>
              <w:right w:val="nil"/>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392,635</w:t>
            </w:r>
          </w:p>
        </w:tc>
        <w:tc>
          <w:tcPr>
            <w:tcW w:w="711" w:type="pct"/>
            <w:tcBorders>
              <w:top w:val="nil"/>
              <w:left w:val="nil"/>
              <w:bottom w:val="nil"/>
              <w:right w:val="single" w:sz="4" w:space="0" w:color="auto"/>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0,43</w:t>
            </w:r>
          </w:p>
        </w:tc>
      </w:tr>
      <w:tr w:rsidR="00655B0D" w:rsidRPr="00963F86" w:rsidTr="004650BC">
        <w:trPr>
          <w:trHeight w:val="300"/>
          <w:jc w:val="center"/>
        </w:trPr>
        <w:tc>
          <w:tcPr>
            <w:tcW w:w="3579" w:type="pct"/>
            <w:tcBorders>
              <w:top w:val="nil"/>
              <w:left w:val="single" w:sz="4" w:space="0" w:color="auto"/>
              <w:bottom w:val="nil"/>
              <w:right w:val="nil"/>
            </w:tcBorders>
            <w:shd w:val="clear" w:color="auto" w:fill="auto"/>
            <w:noWrap/>
            <w:vAlign w:val="center"/>
            <w:hideMark/>
          </w:tcPr>
          <w:p w:rsidR="00655B0D" w:rsidRPr="00963F86" w:rsidRDefault="00655B0D" w:rsidP="004650BC">
            <w:pPr>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Príspevky na sociálne zabezpečenie</w:t>
            </w:r>
          </w:p>
        </w:tc>
        <w:tc>
          <w:tcPr>
            <w:tcW w:w="711" w:type="pct"/>
            <w:tcBorders>
              <w:top w:val="nil"/>
              <w:left w:val="nil"/>
              <w:bottom w:val="nil"/>
              <w:right w:val="nil"/>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399,996</w:t>
            </w:r>
          </w:p>
        </w:tc>
        <w:tc>
          <w:tcPr>
            <w:tcW w:w="711" w:type="pct"/>
            <w:tcBorders>
              <w:top w:val="nil"/>
              <w:left w:val="nil"/>
              <w:bottom w:val="nil"/>
              <w:right w:val="single" w:sz="4" w:space="0" w:color="auto"/>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0,44</w:t>
            </w:r>
          </w:p>
        </w:tc>
      </w:tr>
      <w:tr w:rsidR="00655B0D" w:rsidRPr="00963F86" w:rsidTr="004650BC">
        <w:trPr>
          <w:trHeight w:val="300"/>
          <w:jc w:val="center"/>
        </w:trPr>
        <w:tc>
          <w:tcPr>
            <w:tcW w:w="3579" w:type="pct"/>
            <w:tcBorders>
              <w:top w:val="nil"/>
              <w:left w:val="single" w:sz="4" w:space="0" w:color="auto"/>
              <w:bottom w:val="nil"/>
              <w:right w:val="nil"/>
            </w:tcBorders>
            <w:shd w:val="clear" w:color="auto" w:fill="auto"/>
            <w:noWrap/>
            <w:vAlign w:val="center"/>
            <w:hideMark/>
          </w:tcPr>
          <w:p w:rsidR="00655B0D" w:rsidRPr="00963F86" w:rsidRDefault="00655B0D" w:rsidP="004650BC">
            <w:pPr>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Tržby</w:t>
            </w:r>
          </w:p>
        </w:tc>
        <w:tc>
          <w:tcPr>
            <w:tcW w:w="711" w:type="pct"/>
            <w:tcBorders>
              <w:top w:val="nil"/>
              <w:left w:val="nil"/>
              <w:bottom w:val="nil"/>
              <w:right w:val="nil"/>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-85,677</w:t>
            </w:r>
          </w:p>
        </w:tc>
        <w:tc>
          <w:tcPr>
            <w:tcW w:w="711" w:type="pct"/>
            <w:tcBorders>
              <w:top w:val="nil"/>
              <w:left w:val="nil"/>
              <w:bottom w:val="nil"/>
              <w:right w:val="single" w:sz="4" w:space="0" w:color="auto"/>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-0,09</w:t>
            </w:r>
          </w:p>
        </w:tc>
      </w:tr>
      <w:tr w:rsidR="00655B0D" w:rsidRPr="00963F86" w:rsidTr="004650BC">
        <w:trPr>
          <w:trHeight w:val="300"/>
          <w:jc w:val="center"/>
        </w:trPr>
        <w:tc>
          <w:tcPr>
            <w:tcW w:w="3579" w:type="pct"/>
            <w:tcBorders>
              <w:top w:val="nil"/>
              <w:left w:val="single" w:sz="4" w:space="0" w:color="auto"/>
              <w:bottom w:val="nil"/>
              <w:right w:val="nil"/>
            </w:tcBorders>
            <w:shd w:val="clear" w:color="auto" w:fill="auto"/>
            <w:noWrap/>
            <w:vAlign w:val="center"/>
            <w:hideMark/>
          </w:tcPr>
          <w:p w:rsidR="00655B0D" w:rsidRPr="00963F86" w:rsidRDefault="00655B0D" w:rsidP="004650BC">
            <w:pPr>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Príjmy z podnikania</w:t>
            </w:r>
          </w:p>
        </w:tc>
        <w:tc>
          <w:tcPr>
            <w:tcW w:w="711" w:type="pct"/>
            <w:tcBorders>
              <w:top w:val="nil"/>
              <w:left w:val="nil"/>
              <w:bottom w:val="nil"/>
              <w:right w:val="nil"/>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-135,000</w:t>
            </w:r>
          </w:p>
        </w:tc>
        <w:tc>
          <w:tcPr>
            <w:tcW w:w="711" w:type="pct"/>
            <w:tcBorders>
              <w:top w:val="nil"/>
              <w:left w:val="nil"/>
              <w:bottom w:val="nil"/>
              <w:right w:val="single" w:sz="4" w:space="0" w:color="auto"/>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-0,15</w:t>
            </w:r>
          </w:p>
        </w:tc>
      </w:tr>
      <w:tr w:rsidR="00655B0D" w:rsidRPr="00963F86" w:rsidTr="004650BC">
        <w:trPr>
          <w:trHeight w:val="300"/>
          <w:jc w:val="center"/>
        </w:trPr>
        <w:tc>
          <w:tcPr>
            <w:tcW w:w="3579" w:type="pct"/>
            <w:tcBorders>
              <w:top w:val="nil"/>
              <w:left w:val="single" w:sz="4" w:space="0" w:color="auto"/>
              <w:bottom w:val="nil"/>
              <w:right w:val="nil"/>
            </w:tcBorders>
            <w:shd w:val="clear" w:color="auto" w:fill="auto"/>
            <w:noWrap/>
            <w:vAlign w:val="center"/>
            <w:hideMark/>
          </w:tcPr>
          <w:p w:rsidR="00655B0D" w:rsidRPr="00963F86" w:rsidRDefault="00655B0D" w:rsidP="004650BC">
            <w:pPr>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Úroky</w:t>
            </w:r>
          </w:p>
        </w:tc>
        <w:tc>
          <w:tcPr>
            <w:tcW w:w="711" w:type="pct"/>
            <w:tcBorders>
              <w:top w:val="nil"/>
              <w:left w:val="nil"/>
              <w:bottom w:val="nil"/>
              <w:right w:val="nil"/>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0,021</w:t>
            </w:r>
          </w:p>
        </w:tc>
        <w:tc>
          <w:tcPr>
            <w:tcW w:w="711" w:type="pct"/>
            <w:tcBorders>
              <w:top w:val="nil"/>
              <w:left w:val="nil"/>
              <w:bottom w:val="nil"/>
              <w:right w:val="single" w:sz="4" w:space="0" w:color="auto"/>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0,00</w:t>
            </w:r>
          </w:p>
        </w:tc>
      </w:tr>
      <w:tr w:rsidR="00655B0D" w:rsidRPr="00963F86" w:rsidTr="004650BC">
        <w:trPr>
          <w:trHeight w:val="300"/>
          <w:jc w:val="center"/>
        </w:trPr>
        <w:tc>
          <w:tcPr>
            <w:tcW w:w="3579" w:type="pct"/>
            <w:tcBorders>
              <w:top w:val="nil"/>
              <w:left w:val="single" w:sz="4" w:space="0" w:color="auto"/>
              <w:bottom w:val="nil"/>
              <w:right w:val="nil"/>
            </w:tcBorders>
            <w:shd w:val="clear" w:color="auto" w:fill="auto"/>
            <w:noWrap/>
            <w:vAlign w:val="center"/>
            <w:hideMark/>
          </w:tcPr>
          <w:p w:rsidR="00655B0D" w:rsidRPr="00963F86" w:rsidRDefault="00655B0D" w:rsidP="004650BC">
            <w:pPr>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Granty a transfery</w:t>
            </w:r>
          </w:p>
        </w:tc>
        <w:tc>
          <w:tcPr>
            <w:tcW w:w="711" w:type="pct"/>
            <w:tcBorders>
              <w:top w:val="nil"/>
              <w:left w:val="nil"/>
              <w:bottom w:val="nil"/>
              <w:right w:val="nil"/>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383,802</w:t>
            </w:r>
          </w:p>
        </w:tc>
        <w:tc>
          <w:tcPr>
            <w:tcW w:w="711" w:type="pct"/>
            <w:tcBorders>
              <w:top w:val="nil"/>
              <w:left w:val="nil"/>
              <w:bottom w:val="nil"/>
              <w:right w:val="single" w:sz="4" w:space="0" w:color="auto"/>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0,42</w:t>
            </w:r>
          </w:p>
        </w:tc>
      </w:tr>
      <w:tr w:rsidR="00655B0D" w:rsidRPr="00963F86" w:rsidTr="004650BC">
        <w:trPr>
          <w:trHeight w:val="300"/>
          <w:jc w:val="center"/>
        </w:trPr>
        <w:tc>
          <w:tcPr>
            <w:tcW w:w="3579" w:type="pct"/>
            <w:tcBorders>
              <w:top w:val="single" w:sz="4" w:space="0" w:color="auto"/>
              <w:left w:val="single" w:sz="4" w:space="0" w:color="auto"/>
              <w:bottom w:val="nil"/>
              <w:right w:val="nil"/>
            </w:tcBorders>
            <w:shd w:val="clear" w:color="auto" w:fill="auto"/>
            <w:noWrap/>
            <w:vAlign w:val="center"/>
            <w:hideMark/>
          </w:tcPr>
          <w:p w:rsidR="00655B0D" w:rsidRPr="00963F86" w:rsidRDefault="00655B0D" w:rsidP="004650BC">
            <w:pPr>
              <w:rPr>
                <w:rFonts w:ascii="Times New Roman" w:hAnsi="Times New Roman" w:cs="Times New Roman"/>
                <w:b/>
                <w:bCs/>
                <w:color w:val="000000"/>
                <w:sz w:val="16"/>
                <w:szCs w:val="18"/>
                <w:lang w:eastAsia="sk-SK"/>
              </w:rPr>
            </w:pPr>
            <w:r w:rsidRPr="00963F86">
              <w:rPr>
                <w:rFonts w:ascii="Times New Roman" w:hAnsi="Times New Roman" w:cs="Times New Roman"/>
                <w:b/>
                <w:bCs/>
                <w:color w:val="000000"/>
                <w:sz w:val="16"/>
                <w:szCs w:val="18"/>
                <w:lang w:eastAsia="sk-SK"/>
              </w:rPr>
              <w:t>Zmena výdavkov rozpočtu verejnej správy</w:t>
            </w:r>
          </w:p>
        </w:tc>
        <w:tc>
          <w:tcPr>
            <w:tcW w:w="711" w:type="pct"/>
            <w:tcBorders>
              <w:top w:val="single" w:sz="4" w:space="0" w:color="auto"/>
              <w:left w:val="nil"/>
              <w:bottom w:val="nil"/>
              <w:right w:val="nil"/>
            </w:tcBorders>
            <w:shd w:val="clear" w:color="auto" w:fill="auto"/>
            <w:noWrap/>
            <w:vAlign w:val="center"/>
            <w:hideMark/>
          </w:tcPr>
          <w:p w:rsidR="00655B0D" w:rsidRPr="00963F86" w:rsidRDefault="00655B0D" w:rsidP="004650BC">
            <w:pPr>
              <w:jc w:val="right"/>
              <w:rPr>
                <w:rFonts w:ascii="Times New Roman" w:hAnsi="Times New Roman" w:cs="Times New Roman"/>
                <w:b/>
                <w:bCs/>
                <w:color w:val="000000"/>
                <w:sz w:val="16"/>
                <w:szCs w:val="18"/>
                <w:lang w:eastAsia="sk-SK"/>
              </w:rPr>
            </w:pPr>
            <w:r w:rsidRPr="00963F86">
              <w:rPr>
                <w:rFonts w:ascii="Times New Roman" w:hAnsi="Times New Roman" w:cs="Times New Roman"/>
                <w:b/>
                <w:bCs/>
                <w:color w:val="000000"/>
                <w:sz w:val="16"/>
                <w:szCs w:val="18"/>
                <w:lang w:eastAsia="sk-SK"/>
              </w:rPr>
              <w:t>-755,933</w:t>
            </w:r>
          </w:p>
        </w:tc>
        <w:tc>
          <w:tcPr>
            <w:tcW w:w="711" w:type="pct"/>
            <w:tcBorders>
              <w:top w:val="single" w:sz="4" w:space="0" w:color="auto"/>
              <w:left w:val="nil"/>
              <w:bottom w:val="nil"/>
              <w:right w:val="single" w:sz="4" w:space="0" w:color="auto"/>
            </w:tcBorders>
            <w:shd w:val="clear" w:color="auto" w:fill="auto"/>
            <w:noWrap/>
            <w:vAlign w:val="center"/>
            <w:hideMark/>
          </w:tcPr>
          <w:p w:rsidR="00655B0D" w:rsidRPr="00963F86" w:rsidRDefault="00655B0D" w:rsidP="004650BC">
            <w:pPr>
              <w:jc w:val="right"/>
              <w:rPr>
                <w:rFonts w:ascii="Times New Roman" w:hAnsi="Times New Roman" w:cs="Times New Roman"/>
                <w:b/>
                <w:bCs/>
                <w:color w:val="000000"/>
                <w:sz w:val="16"/>
                <w:szCs w:val="18"/>
                <w:lang w:eastAsia="sk-SK"/>
              </w:rPr>
            </w:pPr>
            <w:r w:rsidRPr="00963F86">
              <w:rPr>
                <w:rFonts w:ascii="Times New Roman" w:hAnsi="Times New Roman" w:cs="Times New Roman"/>
                <w:b/>
                <w:bCs/>
                <w:color w:val="000000"/>
                <w:sz w:val="16"/>
                <w:szCs w:val="18"/>
                <w:lang w:eastAsia="sk-SK"/>
              </w:rPr>
              <w:t>-0,84</w:t>
            </w:r>
          </w:p>
        </w:tc>
      </w:tr>
      <w:tr w:rsidR="00655B0D" w:rsidRPr="00963F86" w:rsidTr="004650BC">
        <w:trPr>
          <w:trHeight w:val="300"/>
          <w:jc w:val="center"/>
        </w:trPr>
        <w:tc>
          <w:tcPr>
            <w:tcW w:w="3579" w:type="pct"/>
            <w:tcBorders>
              <w:top w:val="nil"/>
              <w:left w:val="single" w:sz="4" w:space="0" w:color="auto"/>
              <w:bottom w:val="nil"/>
              <w:right w:val="nil"/>
            </w:tcBorders>
            <w:shd w:val="clear" w:color="auto" w:fill="auto"/>
            <w:noWrap/>
            <w:vAlign w:val="center"/>
            <w:hideMark/>
          </w:tcPr>
          <w:p w:rsidR="00655B0D" w:rsidRPr="00963F86" w:rsidRDefault="00655B0D" w:rsidP="004650BC">
            <w:pPr>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Kompenzácie zamestnancov</w:t>
            </w:r>
          </w:p>
        </w:tc>
        <w:tc>
          <w:tcPr>
            <w:tcW w:w="711" w:type="pct"/>
            <w:tcBorders>
              <w:top w:val="nil"/>
              <w:left w:val="nil"/>
              <w:bottom w:val="nil"/>
              <w:right w:val="nil"/>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-120,510</w:t>
            </w:r>
          </w:p>
        </w:tc>
        <w:tc>
          <w:tcPr>
            <w:tcW w:w="711" w:type="pct"/>
            <w:tcBorders>
              <w:top w:val="nil"/>
              <w:left w:val="nil"/>
              <w:bottom w:val="nil"/>
              <w:right w:val="single" w:sz="4" w:space="0" w:color="auto"/>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-0,13</w:t>
            </w:r>
          </w:p>
        </w:tc>
      </w:tr>
      <w:tr w:rsidR="00655B0D" w:rsidRPr="00963F86" w:rsidTr="004650BC">
        <w:trPr>
          <w:trHeight w:val="300"/>
          <w:jc w:val="center"/>
        </w:trPr>
        <w:tc>
          <w:tcPr>
            <w:tcW w:w="3579" w:type="pct"/>
            <w:tcBorders>
              <w:top w:val="nil"/>
              <w:left w:val="single" w:sz="4" w:space="0" w:color="auto"/>
              <w:bottom w:val="nil"/>
              <w:right w:val="nil"/>
            </w:tcBorders>
            <w:shd w:val="clear" w:color="auto" w:fill="auto"/>
            <w:noWrap/>
            <w:vAlign w:val="center"/>
            <w:hideMark/>
          </w:tcPr>
          <w:p w:rsidR="00655B0D" w:rsidRPr="00963F86" w:rsidRDefault="00655B0D" w:rsidP="004650BC">
            <w:pPr>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Medzispotreba</w:t>
            </w:r>
          </w:p>
        </w:tc>
        <w:tc>
          <w:tcPr>
            <w:tcW w:w="711" w:type="pct"/>
            <w:tcBorders>
              <w:top w:val="nil"/>
              <w:left w:val="nil"/>
              <w:bottom w:val="nil"/>
              <w:right w:val="nil"/>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-53,218</w:t>
            </w:r>
          </w:p>
        </w:tc>
        <w:tc>
          <w:tcPr>
            <w:tcW w:w="711" w:type="pct"/>
            <w:tcBorders>
              <w:top w:val="nil"/>
              <w:left w:val="nil"/>
              <w:bottom w:val="nil"/>
              <w:right w:val="single" w:sz="4" w:space="0" w:color="auto"/>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-0,06</w:t>
            </w:r>
          </w:p>
        </w:tc>
      </w:tr>
      <w:tr w:rsidR="00655B0D" w:rsidRPr="00963F86" w:rsidTr="004650BC">
        <w:trPr>
          <w:trHeight w:val="300"/>
          <w:jc w:val="center"/>
        </w:trPr>
        <w:tc>
          <w:tcPr>
            <w:tcW w:w="3579" w:type="pct"/>
            <w:tcBorders>
              <w:top w:val="nil"/>
              <w:left w:val="single" w:sz="4" w:space="0" w:color="auto"/>
              <w:bottom w:val="nil"/>
              <w:right w:val="nil"/>
            </w:tcBorders>
            <w:shd w:val="clear" w:color="auto" w:fill="auto"/>
            <w:noWrap/>
            <w:vAlign w:val="center"/>
            <w:hideMark/>
          </w:tcPr>
          <w:p w:rsidR="00655B0D" w:rsidRPr="00963F86" w:rsidRDefault="00655B0D" w:rsidP="004650BC">
            <w:pPr>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Subvencie</w:t>
            </w:r>
          </w:p>
        </w:tc>
        <w:tc>
          <w:tcPr>
            <w:tcW w:w="711" w:type="pct"/>
            <w:tcBorders>
              <w:top w:val="nil"/>
              <w:left w:val="nil"/>
              <w:bottom w:val="nil"/>
              <w:right w:val="nil"/>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42,491</w:t>
            </w:r>
          </w:p>
        </w:tc>
        <w:tc>
          <w:tcPr>
            <w:tcW w:w="711" w:type="pct"/>
            <w:tcBorders>
              <w:top w:val="nil"/>
              <w:left w:val="nil"/>
              <w:bottom w:val="nil"/>
              <w:right w:val="single" w:sz="4" w:space="0" w:color="auto"/>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0,05</w:t>
            </w:r>
          </w:p>
        </w:tc>
      </w:tr>
      <w:tr w:rsidR="00655B0D" w:rsidRPr="00963F86" w:rsidTr="004650BC">
        <w:trPr>
          <w:trHeight w:val="300"/>
          <w:jc w:val="center"/>
        </w:trPr>
        <w:tc>
          <w:tcPr>
            <w:tcW w:w="3579" w:type="pct"/>
            <w:tcBorders>
              <w:top w:val="nil"/>
              <w:left w:val="single" w:sz="4" w:space="0" w:color="auto"/>
              <w:bottom w:val="nil"/>
              <w:right w:val="nil"/>
            </w:tcBorders>
            <w:shd w:val="clear" w:color="auto" w:fill="auto"/>
            <w:noWrap/>
            <w:vAlign w:val="center"/>
            <w:hideMark/>
          </w:tcPr>
          <w:p w:rsidR="00655B0D" w:rsidRPr="00963F86" w:rsidRDefault="00655B0D" w:rsidP="004650BC">
            <w:pPr>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Úrokové náklady</w:t>
            </w:r>
          </w:p>
        </w:tc>
        <w:tc>
          <w:tcPr>
            <w:tcW w:w="711" w:type="pct"/>
            <w:tcBorders>
              <w:top w:val="nil"/>
              <w:left w:val="nil"/>
              <w:bottom w:val="nil"/>
              <w:right w:val="nil"/>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6,630</w:t>
            </w:r>
          </w:p>
        </w:tc>
        <w:tc>
          <w:tcPr>
            <w:tcW w:w="711" w:type="pct"/>
            <w:tcBorders>
              <w:top w:val="nil"/>
              <w:left w:val="nil"/>
              <w:bottom w:val="nil"/>
              <w:right w:val="single" w:sz="4" w:space="0" w:color="auto"/>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0,01</w:t>
            </w:r>
          </w:p>
        </w:tc>
      </w:tr>
      <w:tr w:rsidR="00655B0D" w:rsidRPr="00963F86" w:rsidTr="004650BC">
        <w:trPr>
          <w:trHeight w:val="300"/>
          <w:jc w:val="center"/>
        </w:trPr>
        <w:tc>
          <w:tcPr>
            <w:tcW w:w="3579" w:type="pct"/>
            <w:tcBorders>
              <w:top w:val="nil"/>
              <w:left w:val="single" w:sz="4" w:space="0" w:color="auto"/>
              <w:bottom w:val="nil"/>
              <w:right w:val="nil"/>
            </w:tcBorders>
            <w:shd w:val="clear" w:color="auto" w:fill="auto"/>
            <w:noWrap/>
            <w:vAlign w:val="center"/>
            <w:hideMark/>
          </w:tcPr>
          <w:p w:rsidR="00655B0D" w:rsidRPr="00963F86" w:rsidRDefault="00655B0D" w:rsidP="004650BC">
            <w:pPr>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Sociálne dávky okrem naturálnych soc. transferov</w:t>
            </w:r>
          </w:p>
        </w:tc>
        <w:tc>
          <w:tcPr>
            <w:tcW w:w="711" w:type="pct"/>
            <w:tcBorders>
              <w:top w:val="nil"/>
              <w:left w:val="nil"/>
              <w:bottom w:val="nil"/>
              <w:right w:val="nil"/>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25,839</w:t>
            </w:r>
          </w:p>
        </w:tc>
        <w:tc>
          <w:tcPr>
            <w:tcW w:w="711" w:type="pct"/>
            <w:tcBorders>
              <w:top w:val="nil"/>
              <w:left w:val="nil"/>
              <w:bottom w:val="nil"/>
              <w:right w:val="single" w:sz="4" w:space="0" w:color="auto"/>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0,03</w:t>
            </w:r>
          </w:p>
        </w:tc>
      </w:tr>
      <w:tr w:rsidR="00655B0D" w:rsidRPr="00963F86" w:rsidTr="004650BC">
        <w:trPr>
          <w:trHeight w:val="300"/>
          <w:jc w:val="center"/>
        </w:trPr>
        <w:tc>
          <w:tcPr>
            <w:tcW w:w="3579" w:type="pct"/>
            <w:tcBorders>
              <w:top w:val="nil"/>
              <w:left w:val="single" w:sz="4" w:space="0" w:color="auto"/>
              <w:bottom w:val="nil"/>
              <w:right w:val="nil"/>
            </w:tcBorders>
            <w:shd w:val="clear" w:color="auto" w:fill="auto"/>
            <w:noWrap/>
            <w:vAlign w:val="center"/>
            <w:hideMark/>
          </w:tcPr>
          <w:p w:rsidR="00655B0D" w:rsidRPr="00963F86" w:rsidRDefault="00655B0D" w:rsidP="004650BC">
            <w:pPr>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Naturálne sociálne transfery (výdavky poistenia VZP)</w:t>
            </w:r>
          </w:p>
        </w:tc>
        <w:tc>
          <w:tcPr>
            <w:tcW w:w="711" w:type="pct"/>
            <w:tcBorders>
              <w:top w:val="nil"/>
              <w:left w:val="nil"/>
              <w:bottom w:val="nil"/>
              <w:right w:val="nil"/>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-27,225</w:t>
            </w:r>
          </w:p>
        </w:tc>
        <w:tc>
          <w:tcPr>
            <w:tcW w:w="711" w:type="pct"/>
            <w:tcBorders>
              <w:top w:val="nil"/>
              <w:left w:val="nil"/>
              <w:bottom w:val="nil"/>
              <w:right w:val="single" w:sz="4" w:space="0" w:color="auto"/>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-0,03</w:t>
            </w:r>
          </w:p>
        </w:tc>
      </w:tr>
      <w:tr w:rsidR="00655B0D" w:rsidRPr="00963F86" w:rsidTr="004650BC">
        <w:trPr>
          <w:trHeight w:val="300"/>
          <w:jc w:val="center"/>
        </w:trPr>
        <w:tc>
          <w:tcPr>
            <w:tcW w:w="3579" w:type="pct"/>
            <w:tcBorders>
              <w:top w:val="nil"/>
              <w:left w:val="single" w:sz="4" w:space="0" w:color="auto"/>
              <w:bottom w:val="nil"/>
              <w:right w:val="nil"/>
            </w:tcBorders>
            <w:shd w:val="clear" w:color="auto" w:fill="auto"/>
            <w:noWrap/>
            <w:vAlign w:val="center"/>
            <w:hideMark/>
          </w:tcPr>
          <w:p w:rsidR="00655B0D" w:rsidRPr="00963F86" w:rsidRDefault="00655B0D" w:rsidP="004650BC">
            <w:pPr>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Ostatné bežné transfery</w:t>
            </w:r>
          </w:p>
        </w:tc>
        <w:tc>
          <w:tcPr>
            <w:tcW w:w="711" w:type="pct"/>
            <w:tcBorders>
              <w:top w:val="nil"/>
              <w:left w:val="nil"/>
              <w:bottom w:val="nil"/>
              <w:right w:val="nil"/>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295,789</w:t>
            </w:r>
          </w:p>
        </w:tc>
        <w:tc>
          <w:tcPr>
            <w:tcW w:w="711" w:type="pct"/>
            <w:tcBorders>
              <w:top w:val="nil"/>
              <w:left w:val="nil"/>
              <w:bottom w:val="nil"/>
              <w:right w:val="single" w:sz="4" w:space="0" w:color="auto"/>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0,33</w:t>
            </w:r>
          </w:p>
        </w:tc>
      </w:tr>
      <w:tr w:rsidR="00655B0D" w:rsidRPr="00963F86" w:rsidTr="004650BC">
        <w:trPr>
          <w:trHeight w:val="300"/>
          <w:jc w:val="center"/>
        </w:trPr>
        <w:tc>
          <w:tcPr>
            <w:tcW w:w="3579" w:type="pct"/>
            <w:tcBorders>
              <w:top w:val="nil"/>
              <w:left w:val="single" w:sz="4" w:space="0" w:color="auto"/>
              <w:bottom w:val="nil"/>
              <w:right w:val="nil"/>
            </w:tcBorders>
            <w:shd w:val="clear" w:color="auto" w:fill="auto"/>
            <w:noWrap/>
            <w:vAlign w:val="center"/>
            <w:hideMark/>
          </w:tcPr>
          <w:p w:rsidR="00655B0D" w:rsidRPr="00963F86" w:rsidRDefault="00655B0D" w:rsidP="004650BC">
            <w:pPr>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Tvorba hrubého fixného kapitálu</w:t>
            </w:r>
          </w:p>
        </w:tc>
        <w:tc>
          <w:tcPr>
            <w:tcW w:w="711" w:type="pct"/>
            <w:tcBorders>
              <w:top w:val="nil"/>
              <w:left w:val="nil"/>
              <w:bottom w:val="nil"/>
              <w:right w:val="nil"/>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-648,951</w:t>
            </w:r>
          </w:p>
        </w:tc>
        <w:tc>
          <w:tcPr>
            <w:tcW w:w="711" w:type="pct"/>
            <w:tcBorders>
              <w:top w:val="nil"/>
              <w:left w:val="nil"/>
              <w:bottom w:val="nil"/>
              <w:right w:val="single" w:sz="4" w:space="0" w:color="auto"/>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-0,72</w:t>
            </w:r>
          </w:p>
        </w:tc>
      </w:tr>
      <w:tr w:rsidR="00655B0D" w:rsidRPr="00963F86" w:rsidTr="004650BC">
        <w:trPr>
          <w:trHeight w:val="300"/>
          <w:jc w:val="center"/>
        </w:trPr>
        <w:tc>
          <w:tcPr>
            <w:tcW w:w="3579" w:type="pct"/>
            <w:tcBorders>
              <w:top w:val="nil"/>
              <w:left w:val="single" w:sz="4" w:space="0" w:color="auto"/>
              <w:bottom w:val="single" w:sz="4" w:space="0" w:color="auto"/>
              <w:right w:val="nil"/>
            </w:tcBorders>
            <w:shd w:val="clear" w:color="auto" w:fill="auto"/>
            <w:noWrap/>
            <w:vAlign w:val="center"/>
            <w:hideMark/>
          </w:tcPr>
          <w:p w:rsidR="00655B0D" w:rsidRPr="00963F86" w:rsidRDefault="00655B0D" w:rsidP="004650BC">
            <w:pPr>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Investičné granty a ostatné kapitálové transfery</w:t>
            </w:r>
          </w:p>
        </w:tc>
        <w:tc>
          <w:tcPr>
            <w:tcW w:w="711" w:type="pct"/>
            <w:tcBorders>
              <w:top w:val="nil"/>
              <w:left w:val="nil"/>
              <w:bottom w:val="single" w:sz="4" w:space="0" w:color="auto"/>
              <w:right w:val="nil"/>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-276,778</w:t>
            </w:r>
          </w:p>
        </w:tc>
        <w:tc>
          <w:tcPr>
            <w:tcW w:w="711" w:type="pct"/>
            <w:tcBorders>
              <w:top w:val="nil"/>
              <w:left w:val="nil"/>
              <w:bottom w:val="single" w:sz="4" w:space="0" w:color="auto"/>
              <w:right w:val="single" w:sz="4" w:space="0" w:color="auto"/>
            </w:tcBorders>
            <w:shd w:val="clear" w:color="auto" w:fill="auto"/>
            <w:noWrap/>
            <w:vAlign w:val="center"/>
            <w:hideMark/>
          </w:tcPr>
          <w:p w:rsidR="00655B0D" w:rsidRPr="00963F86" w:rsidRDefault="00655B0D" w:rsidP="004650BC">
            <w:pPr>
              <w:jc w:val="right"/>
              <w:rPr>
                <w:rFonts w:ascii="Times New Roman" w:hAnsi="Times New Roman" w:cs="Times New Roman"/>
                <w:color w:val="000000"/>
                <w:sz w:val="16"/>
                <w:szCs w:val="18"/>
                <w:lang w:eastAsia="sk-SK"/>
              </w:rPr>
            </w:pPr>
            <w:r w:rsidRPr="00963F86">
              <w:rPr>
                <w:rFonts w:ascii="Times New Roman" w:hAnsi="Times New Roman" w:cs="Times New Roman"/>
                <w:color w:val="000000"/>
                <w:sz w:val="16"/>
                <w:szCs w:val="18"/>
                <w:lang w:eastAsia="sk-SK"/>
              </w:rPr>
              <w:t>-0,31</w:t>
            </w:r>
          </w:p>
        </w:tc>
      </w:tr>
      <w:tr w:rsidR="00655B0D" w:rsidRPr="00963F86" w:rsidTr="004650BC">
        <w:trPr>
          <w:trHeight w:val="300"/>
          <w:jc w:val="center"/>
        </w:trPr>
        <w:tc>
          <w:tcPr>
            <w:tcW w:w="3579" w:type="pct"/>
            <w:tcBorders>
              <w:top w:val="nil"/>
              <w:left w:val="single" w:sz="4" w:space="0" w:color="auto"/>
              <w:bottom w:val="single" w:sz="4" w:space="0" w:color="auto"/>
              <w:right w:val="nil"/>
            </w:tcBorders>
            <w:shd w:val="clear" w:color="auto" w:fill="BFBFBF" w:themeFill="background1" w:themeFillShade="BF"/>
            <w:noWrap/>
            <w:vAlign w:val="center"/>
            <w:hideMark/>
          </w:tcPr>
          <w:p w:rsidR="00655B0D" w:rsidRPr="00963F86" w:rsidRDefault="00655B0D" w:rsidP="004650BC">
            <w:pPr>
              <w:rPr>
                <w:rFonts w:ascii="Times New Roman" w:hAnsi="Times New Roman" w:cs="Times New Roman"/>
                <w:b/>
                <w:bCs/>
                <w:color w:val="000000"/>
                <w:sz w:val="16"/>
                <w:szCs w:val="18"/>
                <w:lang w:eastAsia="sk-SK"/>
              </w:rPr>
            </w:pPr>
            <w:r w:rsidRPr="00963F86">
              <w:rPr>
                <w:rFonts w:ascii="Times New Roman" w:hAnsi="Times New Roman" w:cs="Times New Roman"/>
                <w:b/>
                <w:bCs/>
                <w:color w:val="000000"/>
                <w:sz w:val="16"/>
                <w:szCs w:val="18"/>
                <w:lang w:eastAsia="sk-SK"/>
              </w:rPr>
              <w:t>Očakávaná skutočnosť 2018</w:t>
            </w:r>
          </w:p>
        </w:tc>
        <w:tc>
          <w:tcPr>
            <w:tcW w:w="711" w:type="pct"/>
            <w:tcBorders>
              <w:top w:val="nil"/>
              <w:left w:val="nil"/>
              <w:bottom w:val="single" w:sz="4" w:space="0" w:color="auto"/>
              <w:right w:val="nil"/>
            </w:tcBorders>
            <w:shd w:val="clear" w:color="auto" w:fill="BFBFBF" w:themeFill="background1" w:themeFillShade="BF"/>
            <w:noWrap/>
            <w:vAlign w:val="center"/>
            <w:hideMark/>
          </w:tcPr>
          <w:p w:rsidR="00655B0D" w:rsidRPr="00963F86" w:rsidRDefault="00655B0D" w:rsidP="004650BC">
            <w:pPr>
              <w:jc w:val="right"/>
              <w:rPr>
                <w:rFonts w:ascii="Times New Roman" w:hAnsi="Times New Roman" w:cs="Times New Roman"/>
                <w:b/>
                <w:bCs/>
                <w:color w:val="000000"/>
                <w:sz w:val="16"/>
                <w:szCs w:val="18"/>
                <w:lang w:eastAsia="sk-SK"/>
              </w:rPr>
            </w:pPr>
            <w:r w:rsidRPr="00963F86">
              <w:rPr>
                <w:rFonts w:ascii="Times New Roman" w:hAnsi="Times New Roman" w:cs="Times New Roman"/>
                <w:b/>
                <w:bCs/>
                <w:color w:val="000000"/>
                <w:sz w:val="16"/>
                <w:szCs w:val="18"/>
                <w:lang w:eastAsia="sk-SK"/>
              </w:rPr>
              <w:t>-542,967</w:t>
            </w:r>
          </w:p>
        </w:tc>
        <w:tc>
          <w:tcPr>
            <w:tcW w:w="711"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963F86" w:rsidRDefault="00655B0D" w:rsidP="004650BC">
            <w:pPr>
              <w:jc w:val="right"/>
              <w:rPr>
                <w:rFonts w:ascii="Times New Roman" w:hAnsi="Times New Roman" w:cs="Times New Roman"/>
                <w:b/>
                <w:bCs/>
                <w:color w:val="000000"/>
                <w:sz w:val="16"/>
                <w:szCs w:val="18"/>
                <w:lang w:eastAsia="sk-SK"/>
              </w:rPr>
            </w:pPr>
            <w:r w:rsidRPr="00963F86">
              <w:rPr>
                <w:rFonts w:ascii="Times New Roman" w:hAnsi="Times New Roman" w:cs="Times New Roman"/>
                <w:b/>
                <w:bCs/>
                <w:color w:val="000000"/>
                <w:sz w:val="16"/>
                <w:szCs w:val="18"/>
                <w:lang w:eastAsia="sk-SK"/>
              </w:rPr>
              <w:t>-0,60</w:t>
            </w:r>
          </w:p>
        </w:tc>
      </w:tr>
      <w:tr w:rsidR="00655B0D" w:rsidRPr="00963F86" w:rsidTr="004650BC">
        <w:trPr>
          <w:trHeight w:val="300"/>
          <w:jc w:val="center"/>
        </w:trPr>
        <w:tc>
          <w:tcPr>
            <w:tcW w:w="5000" w:type="pct"/>
            <w:gridSpan w:val="3"/>
            <w:tcBorders>
              <w:top w:val="single" w:sz="4" w:space="0" w:color="auto"/>
              <w:left w:val="nil"/>
              <w:bottom w:val="nil"/>
              <w:right w:val="nil"/>
            </w:tcBorders>
            <w:shd w:val="clear" w:color="auto" w:fill="auto"/>
            <w:noWrap/>
            <w:vAlign w:val="center"/>
            <w:hideMark/>
          </w:tcPr>
          <w:p w:rsidR="00655B0D" w:rsidRPr="00963F86" w:rsidRDefault="00655B0D" w:rsidP="004650BC">
            <w:pPr>
              <w:rPr>
                <w:rFonts w:ascii="Times New Roman" w:hAnsi="Times New Roman" w:cs="Times New Roman"/>
                <w:i/>
                <w:iCs/>
                <w:color w:val="000000"/>
                <w:sz w:val="16"/>
                <w:szCs w:val="18"/>
                <w:lang w:eastAsia="sk-SK"/>
              </w:rPr>
            </w:pPr>
            <w:r w:rsidRPr="00963F86">
              <w:rPr>
                <w:rFonts w:ascii="Times New Roman" w:hAnsi="Times New Roman" w:cs="Times New Roman"/>
                <w:i/>
                <w:iCs/>
                <w:color w:val="000000"/>
                <w:sz w:val="16"/>
                <w:szCs w:val="18"/>
                <w:lang w:eastAsia="sk-SK"/>
              </w:rPr>
              <w:t>Pozn. znamienko (+) znamená zníženie, resp. znamienko (-) zvýšenie schodku rozpočtu verejnej správy</w:t>
            </w:r>
          </w:p>
        </w:tc>
      </w:tr>
    </w:tbl>
    <w:p w:rsidR="00655B0D" w:rsidRDefault="00655B0D" w:rsidP="00655B0D">
      <w:pPr>
        <w:jc w:val="both"/>
        <w:rPr>
          <w:rFonts w:ascii="Times New Roman" w:hAnsi="Times New Roman" w:cs="Times New Roman"/>
        </w:rPr>
      </w:pPr>
    </w:p>
    <w:p w:rsidR="00655B0D" w:rsidRPr="002744D6" w:rsidRDefault="00655B0D" w:rsidP="00655B0D">
      <w:pPr>
        <w:ind w:firstLine="708"/>
        <w:jc w:val="both"/>
        <w:rPr>
          <w:rFonts w:ascii="Times New Roman" w:hAnsi="Times New Roman" w:cs="Times New Roman"/>
          <w:b/>
        </w:rPr>
      </w:pPr>
      <w:r>
        <w:rPr>
          <w:rFonts w:ascii="Times New Roman" w:hAnsi="Times New Roman" w:cs="Times New Roman"/>
          <w:b/>
        </w:rPr>
        <w:t xml:space="preserve">V súčasnosti sa </w:t>
      </w:r>
      <w:r w:rsidRPr="002744D6">
        <w:rPr>
          <w:rFonts w:ascii="Times New Roman" w:hAnsi="Times New Roman" w:cs="Times New Roman"/>
          <w:b/>
        </w:rPr>
        <w:t xml:space="preserve">očakáva, že príjmy rozpočtu verejnej správy prekročia rozpočtovanú úroveň </w:t>
      </w:r>
      <w:r>
        <w:rPr>
          <w:rFonts w:ascii="Times New Roman" w:hAnsi="Times New Roman" w:cs="Times New Roman"/>
          <w:b/>
        </w:rPr>
        <w:t xml:space="preserve">takmer </w:t>
      </w:r>
      <w:r w:rsidRPr="002744D6">
        <w:rPr>
          <w:rFonts w:ascii="Times New Roman" w:hAnsi="Times New Roman" w:cs="Times New Roman"/>
          <w:b/>
        </w:rPr>
        <w:t>o</w:t>
      </w:r>
      <w:r>
        <w:rPr>
          <w:rFonts w:ascii="Times New Roman" w:hAnsi="Times New Roman" w:cs="Times New Roman"/>
          <w:b/>
        </w:rPr>
        <w:t> 9</w:t>
      </w:r>
      <w:r w:rsidRPr="002744D6">
        <w:rPr>
          <w:rFonts w:ascii="Times New Roman" w:hAnsi="Times New Roman" w:cs="Times New Roman"/>
          <w:b/>
        </w:rPr>
        <w:t>5</w:t>
      </w:r>
      <w:r>
        <w:rPr>
          <w:rFonts w:ascii="Times New Roman" w:hAnsi="Times New Roman" w:cs="Times New Roman"/>
          <w:b/>
        </w:rPr>
        <w:t>5,8</w:t>
      </w:r>
      <w:r w:rsidRPr="002744D6">
        <w:rPr>
          <w:rFonts w:ascii="Times New Roman" w:hAnsi="Times New Roman" w:cs="Times New Roman"/>
          <w:b/>
        </w:rPr>
        <w:t xml:space="preserve"> mil. eur.</w:t>
      </w:r>
    </w:p>
    <w:p w:rsidR="00655B0D" w:rsidRDefault="00655B0D" w:rsidP="00655B0D">
      <w:pPr>
        <w:jc w:val="both"/>
        <w:rPr>
          <w:rFonts w:ascii="Times New Roman" w:hAnsi="Times New Roman" w:cs="Times New Roman"/>
          <w:b/>
        </w:rPr>
      </w:pPr>
    </w:p>
    <w:p w:rsidR="00655B0D" w:rsidRPr="002744D6" w:rsidRDefault="00655B0D" w:rsidP="00655B0D">
      <w:pPr>
        <w:ind w:firstLine="708"/>
        <w:jc w:val="both"/>
        <w:rPr>
          <w:rFonts w:ascii="Times New Roman" w:hAnsi="Times New Roman" w:cs="Times New Roman"/>
        </w:rPr>
      </w:pPr>
      <w:r>
        <w:rPr>
          <w:rFonts w:ascii="Times New Roman" w:hAnsi="Times New Roman" w:cs="Times New Roman"/>
          <w:b/>
        </w:rPr>
        <w:t>D</w:t>
      </w:r>
      <w:r w:rsidRPr="002744D6">
        <w:rPr>
          <w:rFonts w:ascii="Times New Roman" w:hAnsi="Times New Roman" w:cs="Times New Roman"/>
          <w:b/>
        </w:rPr>
        <w:t>aňov</w:t>
      </w:r>
      <w:r>
        <w:rPr>
          <w:rFonts w:ascii="Times New Roman" w:hAnsi="Times New Roman" w:cs="Times New Roman"/>
          <w:b/>
        </w:rPr>
        <w:t>é</w:t>
      </w:r>
      <w:r w:rsidRPr="002744D6">
        <w:rPr>
          <w:rFonts w:ascii="Times New Roman" w:hAnsi="Times New Roman" w:cs="Times New Roman"/>
          <w:b/>
        </w:rPr>
        <w:t xml:space="preserve"> príjm</w:t>
      </w:r>
      <w:r>
        <w:rPr>
          <w:rFonts w:ascii="Times New Roman" w:hAnsi="Times New Roman" w:cs="Times New Roman"/>
          <w:b/>
        </w:rPr>
        <w:t xml:space="preserve">y verejnej správy </w:t>
      </w:r>
      <w:r>
        <w:rPr>
          <w:rFonts w:ascii="Times New Roman" w:hAnsi="Times New Roman" w:cs="Times New Roman"/>
        </w:rPr>
        <w:t xml:space="preserve">prekročia rozpočtovanú úroveň vo výške </w:t>
      </w:r>
      <w:r>
        <w:rPr>
          <w:rFonts w:ascii="Times New Roman" w:hAnsi="Times New Roman" w:cs="Times New Roman"/>
        </w:rPr>
        <w:br/>
        <w:t>392,6 mil. eur. Najväčší podiel predstavuje nárast daňových príjmov štátneho rozpočtu, vrátane presmerovaných</w:t>
      </w:r>
      <w:r>
        <w:rPr>
          <w:rStyle w:val="Odkaznapoznmkupodiarou"/>
          <w:rFonts w:ascii="Times New Roman" w:hAnsi="Times New Roman"/>
        </w:rPr>
        <w:footnoteReference w:id="4"/>
      </w:r>
      <w:r>
        <w:rPr>
          <w:rFonts w:ascii="Times New Roman" w:hAnsi="Times New Roman" w:cs="Times New Roman"/>
        </w:rPr>
        <w:t xml:space="preserve"> príjmov samosprávy v zmysle metodiky ESA 2010, vo</w:t>
      </w:r>
      <w:r w:rsidRPr="002744D6">
        <w:rPr>
          <w:rFonts w:ascii="Times New Roman" w:hAnsi="Times New Roman" w:cs="Times New Roman"/>
        </w:rPr>
        <w:t xml:space="preserve"> výške </w:t>
      </w:r>
      <w:r>
        <w:rPr>
          <w:rFonts w:ascii="Times New Roman" w:hAnsi="Times New Roman" w:cs="Times New Roman"/>
        </w:rPr>
        <w:t xml:space="preserve">391,0 mil. eur. </w:t>
      </w:r>
      <w:r w:rsidRPr="008A1546">
        <w:rPr>
          <w:rFonts w:ascii="Times New Roman" w:hAnsi="Times New Roman" w:cs="Times New Roman"/>
        </w:rPr>
        <w:t xml:space="preserve">Samotné daňové príjmy štátneho rozpočtu zaznamenávajú </w:t>
      </w:r>
      <w:r>
        <w:rPr>
          <w:rFonts w:ascii="Times New Roman" w:hAnsi="Times New Roman" w:cs="Times New Roman"/>
        </w:rPr>
        <w:t>nárast</w:t>
      </w:r>
      <w:r w:rsidRPr="008A1546">
        <w:rPr>
          <w:rFonts w:ascii="Times New Roman" w:hAnsi="Times New Roman" w:cs="Times New Roman"/>
        </w:rPr>
        <w:t xml:space="preserve"> na úrovni </w:t>
      </w:r>
      <w:r>
        <w:rPr>
          <w:rFonts w:ascii="Times New Roman" w:hAnsi="Times New Roman" w:cs="Times New Roman"/>
        </w:rPr>
        <w:t>292,6 mil. Ide najmä o zlepšený výber DPH vo výške 245,1 mil. eur a DPPO vo výške 122,6 mil. eur, ktoré kompenzujú výpadok na spotrebných daniach vo výške 13,8 mil. eur, dani z príjmov vyberanej zrážkou vo výške 12,9 mil. eur a príjmov z hazardných hier</w:t>
      </w:r>
      <w:r w:rsidRPr="002744D6">
        <w:rPr>
          <w:rFonts w:ascii="Times New Roman" w:hAnsi="Times New Roman" w:cs="Times New Roman"/>
        </w:rPr>
        <w:t xml:space="preserve"> </w:t>
      </w:r>
      <w:r>
        <w:rPr>
          <w:rFonts w:ascii="Times New Roman" w:hAnsi="Times New Roman" w:cs="Times New Roman"/>
        </w:rPr>
        <w:t xml:space="preserve">vo výške 55 mil. eur (súvisí s posunom účinnosti novely </w:t>
      </w:r>
      <w:r w:rsidRPr="008A1546">
        <w:rPr>
          <w:rFonts w:ascii="Times New Roman" w:hAnsi="Times New Roman" w:cs="Times New Roman"/>
        </w:rPr>
        <w:t>zákona</w:t>
      </w:r>
      <w:r>
        <w:rPr>
          <w:rFonts w:ascii="Times New Roman" w:hAnsi="Times New Roman" w:cs="Times New Roman"/>
        </w:rPr>
        <w:t>)</w:t>
      </w:r>
      <w:r w:rsidRPr="008A1546">
        <w:rPr>
          <w:rFonts w:ascii="Times New Roman" w:hAnsi="Times New Roman" w:cs="Times New Roman"/>
        </w:rPr>
        <w:t xml:space="preserve">. </w:t>
      </w:r>
      <w:r>
        <w:rPr>
          <w:rFonts w:ascii="Times New Roman" w:hAnsi="Times New Roman" w:cs="Times New Roman"/>
        </w:rPr>
        <w:t>Daňové príjmy samosprávy rastú oproti schválenému rozpočtu o 98,4 mil. eur. Naopak príjmy z miestnych daní predpokladajú výpadok na úrovni </w:t>
      </w:r>
      <w:r>
        <w:rPr>
          <w:rFonts w:ascii="Times New Roman" w:hAnsi="Times New Roman" w:cs="Times New Roman"/>
        </w:rPr>
        <w:br/>
      </w:r>
      <w:r>
        <w:rPr>
          <w:rFonts w:ascii="Times New Roman" w:hAnsi="Times New Roman" w:cs="Times New Roman"/>
        </w:rPr>
        <w:lastRenderedPageBreak/>
        <w:t xml:space="preserve">4,8 mil. eur. </w:t>
      </w:r>
      <w:r w:rsidRPr="002744D6">
        <w:rPr>
          <w:rFonts w:ascii="Times New Roman" w:hAnsi="Times New Roman" w:cs="Times New Roman"/>
        </w:rPr>
        <w:t>Daňové príjmy z osobitn</w:t>
      </w:r>
      <w:r>
        <w:rPr>
          <w:rFonts w:ascii="Times New Roman" w:hAnsi="Times New Roman" w:cs="Times New Roman"/>
        </w:rPr>
        <w:t>ého</w:t>
      </w:r>
      <w:r w:rsidRPr="002744D6">
        <w:rPr>
          <w:rFonts w:ascii="Times New Roman" w:hAnsi="Times New Roman" w:cs="Times New Roman"/>
        </w:rPr>
        <w:t xml:space="preserve"> odvod</w:t>
      </w:r>
      <w:r>
        <w:rPr>
          <w:rFonts w:ascii="Times New Roman" w:hAnsi="Times New Roman" w:cs="Times New Roman"/>
        </w:rPr>
        <w:t>u</w:t>
      </w:r>
      <w:r w:rsidRPr="002744D6">
        <w:rPr>
          <w:rFonts w:ascii="Times New Roman" w:hAnsi="Times New Roman" w:cs="Times New Roman"/>
        </w:rPr>
        <w:t xml:space="preserve"> z podnikania v regulovaných odvetviach</w:t>
      </w:r>
      <w:r>
        <w:rPr>
          <w:rFonts w:ascii="Times New Roman" w:hAnsi="Times New Roman" w:cs="Times New Roman"/>
        </w:rPr>
        <w:t xml:space="preserve"> klesajú o 13,9 mil. eur</w:t>
      </w:r>
      <w:r w:rsidRPr="002744D6">
        <w:rPr>
          <w:rFonts w:ascii="Times New Roman" w:hAnsi="Times New Roman" w:cs="Times New Roman"/>
        </w:rPr>
        <w:t xml:space="preserve">, </w:t>
      </w:r>
      <w:r>
        <w:rPr>
          <w:rFonts w:ascii="Times New Roman" w:hAnsi="Times New Roman" w:cs="Times New Roman"/>
        </w:rPr>
        <w:t xml:space="preserve">čo je čiastočne kompenzované nárastom osobitného odvodu vybraných finančných inštitúcií vo výške 0,6 mil. eur. </w:t>
      </w:r>
      <w:r w:rsidRPr="001908F5">
        <w:rPr>
          <w:rFonts w:ascii="Times New Roman" w:hAnsi="Times New Roman" w:cs="Times New Roman"/>
        </w:rPr>
        <w:t>Nenaplnenie rozpočtovanej úrovne sa predpokladá v rámci daňových príjmov Agentúry pre núdzové zásoby ropy a ropných výrobkov vo výške 31,5 mil. eur.</w:t>
      </w:r>
      <w:r>
        <w:rPr>
          <w:rFonts w:ascii="Times New Roman" w:hAnsi="Times New Roman" w:cs="Times New Roman"/>
        </w:rPr>
        <w:t xml:space="preserve"> V rámci Environmentálneho fondu sa očakáva nárast príjmov z predaja emisných kvót vo výške 46,8 mil. eur. Príjmy RTVS z výberu úhrad za služby verejnosti rastú </w:t>
      </w:r>
      <w:r>
        <w:rPr>
          <w:rFonts w:ascii="Times New Roman" w:hAnsi="Times New Roman" w:cs="Times New Roman"/>
        </w:rPr>
        <w:br/>
        <w:t xml:space="preserve">o 0,8 mil. eur. V rámci príjmov z povinného zmluvného poistenia sa očakáva zvýšený príjem vo výške 3,6 mil. eur. </w:t>
      </w:r>
    </w:p>
    <w:p w:rsidR="00655B0D" w:rsidRDefault="00655B0D" w:rsidP="00655B0D">
      <w:pPr>
        <w:jc w:val="both"/>
        <w:rPr>
          <w:rFonts w:ascii="Times New Roman" w:hAnsi="Times New Roman" w:cs="Times New Roman"/>
        </w:rPr>
      </w:pPr>
    </w:p>
    <w:p w:rsidR="00655B0D" w:rsidRPr="002744D6" w:rsidRDefault="00655B0D" w:rsidP="00655B0D">
      <w:pPr>
        <w:ind w:firstLine="708"/>
        <w:jc w:val="both"/>
        <w:rPr>
          <w:rFonts w:ascii="Times New Roman" w:hAnsi="Times New Roman" w:cs="Times New Roman"/>
        </w:rPr>
      </w:pPr>
      <w:r w:rsidRPr="002744D6">
        <w:rPr>
          <w:rFonts w:ascii="Times New Roman" w:hAnsi="Times New Roman" w:cs="Times New Roman"/>
        </w:rPr>
        <w:t xml:space="preserve">Výrazné prekročenie rozpočtovanej úrovne sa očakáva v rámci </w:t>
      </w:r>
      <w:r w:rsidRPr="002744D6">
        <w:rPr>
          <w:rFonts w:ascii="Times New Roman" w:hAnsi="Times New Roman" w:cs="Times New Roman"/>
          <w:b/>
        </w:rPr>
        <w:t>príspevkov na sociálne zabezpečenie</w:t>
      </w:r>
      <w:r w:rsidRPr="002744D6">
        <w:rPr>
          <w:rFonts w:ascii="Times New Roman" w:hAnsi="Times New Roman" w:cs="Times New Roman"/>
        </w:rPr>
        <w:t>, kde sa predpokladá prekročenie rozpočtovanej úrovne o</w:t>
      </w:r>
      <w:r>
        <w:rPr>
          <w:rFonts w:ascii="Times New Roman" w:hAnsi="Times New Roman" w:cs="Times New Roman"/>
        </w:rPr>
        <w:t> 400,0</w:t>
      </w:r>
      <w:r w:rsidRPr="002744D6">
        <w:rPr>
          <w:rFonts w:ascii="Times New Roman" w:hAnsi="Times New Roman" w:cs="Times New Roman"/>
        </w:rPr>
        <w:t xml:space="preserve"> mil. eur. V rámci Sociálnej poisťovne sa predpokladá zlepšenie na úrovni </w:t>
      </w:r>
      <w:r>
        <w:rPr>
          <w:rFonts w:ascii="Times New Roman" w:hAnsi="Times New Roman" w:cs="Times New Roman"/>
        </w:rPr>
        <w:t>321,6</w:t>
      </w:r>
      <w:r w:rsidRPr="002744D6">
        <w:rPr>
          <w:rFonts w:ascii="Times New Roman" w:hAnsi="Times New Roman" w:cs="Times New Roman"/>
        </w:rPr>
        <w:t xml:space="preserve"> mil. eur a v rámci príjmov verejného zdravotného poistenia na úrovni </w:t>
      </w:r>
      <w:r>
        <w:rPr>
          <w:rFonts w:ascii="Times New Roman" w:hAnsi="Times New Roman" w:cs="Times New Roman"/>
        </w:rPr>
        <w:t>78,4</w:t>
      </w:r>
      <w:r w:rsidRPr="002744D6">
        <w:rPr>
          <w:rFonts w:ascii="Times New Roman" w:hAnsi="Times New Roman" w:cs="Times New Roman"/>
        </w:rPr>
        <w:t xml:space="preserve"> mil. eur. </w:t>
      </w:r>
    </w:p>
    <w:p w:rsidR="00655B0D" w:rsidRDefault="00655B0D" w:rsidP="00655B0D">
      <w:pPr>
        <w:jc w:val="both"/>
        <w:rPr>
          <w:rFonts w:ascii="Times New Roman" w:hAnsi="Times New Roman" w:cs="Times New Roman"/>
        </w:rPr>
      </w:pPr>
    </w:p>
    <w:p w:rsidR="00655B0D" w:rsidRPr="002744D6" w:rsidRDefault="00655B0D" w:rsidP="00655B0D">
      <w:pPr>
        <w:ind w:firstLine="708"/>
        <w:jc w:val="both"/>
        <w:rPr>
          <w:rFonts w:ascii="Times New Roman" w:hAnsi="Times New Roman" w:cs="Times New Roman"/>
        </w:rPr>
      </w:pPr>
      <w:r w:rsidRPr="002744D6">
        <w:rPr>
          <w:rFonts w:ascii="Times New Roman" w:hAnsi="Times New Roman" w:cs="Times New Roman"/>
        </w:rPr>
        <w:t xml:space="preserve">V rámci </w:t>
      </w:r>
      <w:r w:rsidRPr="002744D6">
        <w:rPr>
          <w:rFonts w:ascii="Times New Roman" w:hAnsi="Times New Roman" w:cs="Times New Roman"/>
          <w:b/>
        </w:rPr>
        <w:t>tržieb</w:t>
      </w:r>
      <w:r w:rsidRPr="002744D6">
        <w:rPr>
          <w:rFonts w:ascii="Times New Roman" w:hAnsi="Times New Roman" w:cs="Times New Roman"/>
        </w:rPr>
        <w:t xml:space="preserve"> dochádza k prekročeniu rozpočtovanej úrovne o príjmy z podnikateľskej činnosti verejných vysokých škôl (ďalej „VVŠ“) vo výške 26,5 mil. eur. Tieto sa v zmysle zákona o vysokých školách nerozpočtujú. V rámci Národnej diaľničnej spoločnosti, a. s. (ďalej „NDS“) sa predpokladá prekročenie rozpočtovanej úrovne príjmov z mýta a diaľničných známok o</w:t>
      </w:r>
      <w:r>
        <w:rPr>
          <w:rFonts w:ascii="Times New Roman" w:hAnsi="Times New Roman" w:cs="Times New Roman"/>
        </w:rPr>
        <w:t> 21,7</w:t>
      </w:r>
      <w:r w:rsidRPr="002744D6">
        <w:rPr>
          <w:rFonts w:ascii="Times New Roman" w:hAnsi="Times New Roman" w:cs="Times New Roman"/>
        </w:rPr>
        <w:t xml:space="preserve"> mil. eur. Obdobne </w:t>
      </w:r>
      <w:r>
        <w:rPr>
          <w:rFonts w:ascii="Times New Roman" w:hAnsi="Times New Roman" w:cs="Times New Roman"/>
        </w:rPr>
        <w:t xml:space="preserve">sa predpokladá </w:t>
      </w:r>
      <w:r w:rsidRPr="002744D6">
        <w:rPr>
          <w:rFonts w:ascii="Times New Roman" w:hAnsi="Times New Roman" w:cs="Times New Roman"/>
        </w:rPr>
        <w:t>v rámci Železničnej spoločnosti Slovensko, a. s. (ďalej „ŽSSK“) prekročenie rozpočtu z príjmov za poskytované služby, a to o</w:t>
      </w:r>
      <w:r>
        <w:rPr>
          <w:rFonts w:ascii="Times New Roman" w:hAnsi="Times New Roman" w:cs="Times New Roman"/>
        </w:rPr>
        <w:t> </w:t>
      </w:r>
      <w:r w:rsidRPr="002744D6">
        <w:rPr>
          <w:rFonts w:ascii="Times New Roman" w:hAnsi="Times New Roman" w:cs="Times New Roman"/>
        </w:rPr>
        <w:t>1</w:t>
      </w:r>
      <w:r>
        <w:rPr>
          <w:rFonts w:ascii="Times New Roman" w:hAnsi="Times New Roman" w:cs="Times New Roman"/>
        </w:rPr>
        <w:t>,0</w:t>
      </w:r>
      <w:r w:rsidRPr="002744D6">
        <w:rPr>
          <w:rFonts w:ascii="Times New Roman" w:hAnsi="Times New Roman" w:cs="Times New Roman"/>
        </w:rPr>
        <w:t xml:space="preserve"> mil. eur. Opačná situácia sa predpokladá v rámci Železníc Slovenskej republiky (ďalej „ŽSR“), kde sa odhaduje výpadok príjmov na úrovni 7 mil. eur.</w:t>
      </w:r>
      <w:r>
        <w:rPr>
          <w:rFonts w:ascii="Times New Roman" w:hAnsi="Times New Roman" w:cs="Times New Roman"/>
        </w:rPr>
        <w:t xml:space="preserve"> V rámci štátneho rozpočtu sa predpokladá výpadok na úrovni 8,9 mil. eur, pri obciach na úrovni </w:t>
      </w:r>
      <w:r>
        <w:rPr>
          <w:rFonts w:ascii="Times New Roman" w:hAnsi="Times New Roman" w:cs="Times New Roman"/>
        </w:rPr>
        <w:br/>
        <w:t xml:space="preserve">10,0 mil. eur a pri </w:t>
      </w:r>
      <w:r w:rsidRPr="002B02EA">
        <w:rPr>
          <w:rFonts w:ascii="Times New Roman" w:hAnsi="Times New Roman" w:cs="Times New Roman"/>
        </w:rPr>
        <w:t>zdravotníckych zariadeniach na úrovni 72,5 mil. eur.</w:t>
      </w:r>
      <w:r>
        <w:rPr>
          <w:rFonts w:ascii="Times New Roman" w:hAnsi="Times New Roman" w:cs="Times New Roman"/>
        </w:rPr>
        <w:t xml:space="preserve"> V MH Investe došlo k poklesu tržieb vo výške 37,2 mil. eur, a to z dôvodu splatenia pohľadávky, ktorá nebola zahrnutá v návrhu rozpočtu. Pri ostatných subjektoch dochádza sumárne k nárastu tržieb </w:t>
      </w:r>
      <w:r>
        <w:rPr>
          <w:rFonts w:ascii="Times New Roman" w:hAnsi="Times New Roman" w:cs="Times New Roman"/>
        </w:rPr>
        <w:br/>
        <w:t>o 0,7 mil. eur.</w:t>
      </w:r>
    </w:p>
    <w:p w:rsidR="00655B0D" w:rsidRDefault="00655B0D" w:rsidP="00655B0D">
      <w:pPr>
        <w:jc w:val="both"/>
        <w:rPr>
          <w:rFonts w:ascii="Times New Roman" w:hAnsi="Times New Roman" w:cs="Times New Roman"/>
        </w:rPr>
      </w:pPr>
    </w:p>
    <w:p w:rsidR="00655B0D" w:rsidRPr="002744D6" w:rsidRDefault="00655B0D" w:rsidP="00655B0D">
      <w:pPr>
        <w:ind w:firstLine="708"/>
        <w:jc w:val="both"/>
        <w:rPr>
          <w:rFonts w:ascii="Times New Roman" w:hAnsi="Times New Roman" w:cs="Times New Roman"/>
        </w:rPr>
      </w:pPr>
      <w:r w:rsidRPr="002744D6">
        <w:rPr>
          <w:rFonts w:ascii="Times New Roman" w:hAnsi="Times New Roman" w:cs="Times New Roman"/>
        </w:rPr>
        <w:t xml:space="preserve">V súčasti sa predpokladá neplnenie rozpočtu </w:t>
      </w:r>
      <w:r w:rsidRPr="008A1546">
        <w:rPr>
          <w:rFonts w:ascii="Times New Roman" w:hAnsi="Times New Roman" w:cs="Times New Roman"/>
          <w:b/>
        </w:rPr>
        <w:t>príjmov z podnikania</w:t>
      </w:r>
      <w:r w:rsidRPr="002744D6">
        <w:rPr>
          <w:rFonts w:ascii="Times New Roman" w:hAnsi="Times New Roman" w:cs="Times New Roman"/>
        </w:rPr>
        <w:t xml:space="preserve"> vo výške </w:t>
      </w:r>
      <w:r>
        <w:rPr>
          <w:rFonts w:ascii="Times New Roman" w:hAnsi="Times New Roman" w:cs="Times New Roman"/>
        </w:rPr>
        <w:br/>
        <w:t>135,0</w:t>
      </w:r>
      <w:r w:rsidRPr="002744D6">
        <w:rPr>
          <w:rFonts w:ascii="Times New Roman" w:hAnsi="Times New Roman" w:cs="Times New Roman"/>
        </w:rPr>
        <w:t xml:space="preserve"> mil. eur, z čoho príjmy z dividend predstavujú </w:t>
      </w:r>
      <w:r>
        <w:rPr>
          <w:rFonts w:ascii="Times New Roman" w:hAnsi="Times New Roman" w:cs="Times New Roman"/>
        </w:rPr>
        <w:t>144,2</w:t>
      </w:r>
      <w:r w:rsidRPr="002744D6">
        <w:rPr>
          <w:rFonts w:ascii="Times New Roman" w:hAnsi="Times New Roman" w:cs="Times New Roman"/>
        </w:rPr>
        <w:t xml:space="preserve"> mil. eur. Aktuálne sa </w:t>
      </w:r>
      <w:r>
        <w:rPr>
          <w:rFonts w:ascii="Times New Roman" w:hAnsi="Times New Roman" w:cs="Times New Roman"/>
        </w:rPr>
        <w:t xml:space="preserve">v metodike ESA 2010 </w:t>
      </w:r>
      <w:r w:rsidRPr="002744D6">
        <w:rPr>
          <w:rFonts w:ascii="Times New Roman" w:hAnsi="Times New Roman" w:cs="Times New Roman"/>
        </w:rPr>
        <w:t xml:space="preserve">predpokladá výpadok príjmov z dividend Slovenského plynárenského priemyslu, a. s. vo výške </w:t>
      </w:r>
      <w:r>
        <w:rPr>
          <w:rFonts w:ascii="Times New Roman" w:hAnsi="Times New Roman" w:cs="Times New Roman"/>
        </w:rPr>
        <w:t>131,0</w:t>
      </w:r>
      <w:r w:rsidRPr="002744D6">
        <w:rPr>
          <w:rFonts w:ascii="Times New Roman" w:hAnsi="Times New Roman" w:cs="Times New Roman"/>
        </w:rPr>
        <w:t xml:space="preserve"> mil. eur, Stredoslovenskej energetiky, a. s. vo výške 27,</w:t>
      </w:r>
      <w:r>
        <w:rPr>
          <w:rFonts w:ascii="Times New Roman" w:hAnsi="Times New Roman" w:cs="Times New Roman"/>
        </w:rPr>
        <w:t xml:space="preserve">2 mil. eur, </w:t>
      </w:r>
      <w:r w:rsidRPr="002744D6">
        <w:rPr>
          <w:rFonts w:ascii="Times New Roman" w:hAnsi="Times New Roman" w:cs="Times New Roman"/>
        </w:rPr>
        <w:t xml:space="preserve">Východoslovenskej energetiky, a. s. vo výške </w:t>
      </w:r>
      <w:r>
        <w:rPr>
          <w:rFonts w:ascii="Times New Roman" w:hAnsi="Times New Roman" w:cs="Times New Roman"/>
        </w:rPr>
        <w:t>23,6</w:t>
      </w:r>
      <w:r w:rsidRPr="002744D6">
        <w:rPr>
          <w:rFonts w:ascii="Times New Roman" w:hAnsi="Times New Roman" w:cs="Times New Roman"/>
        </w:rPr>
        <w:t xml:space="preserve"> mil. eur</w:t>
      </w:r>
      <w:r>
        <w:rPr>
          <w:rFonts w:ascii="Times New Roman" w:hAnsi="Times New Roman" w:cs="Times New Roman"/>
        </w:rPr>
        <w:t xml:space="preserve"> a Transpetrol, a. s. vo výške </w:t>
      </w:r>
      <w:r>
        <w:rPr>
          <w:rFonts w:ascii="Times New Roman" w:hAnsi="Times New Roman" w:cs="Times New Roman"/>
        </w:rPr>
        <w:br/>
        <w:t>7,0 mil. eur</w:t>
      </w:r>
      <w:r w:rsidRPr="002744D6">
        <w:rPr>
          <w:rFonts w:ascii="Times New Roman" w:hAnsi="Times New Roman" w:cs="Times New Roman"/>
        </w:rPr>
        <w:t>. Naopak prekročenie rozpočtovanej úrovne sa predpokladá pri spoločnosti</w:t>
      </w:r>
      <w:r>
        <w:rPr>
          <w:rFonts w:ascii="Times New Roman" w:hAnsi="Times New Roman" w:cs="Times New Roman"/>
        </w:rPr>
        <w:t>ach</w:t>
      </w:r>
      <w:r w:rsidRPr="002744D6">
        <w:rPr>
          <w:rFonts w:ascii="Times New Roman" w:hAnsi="Times New Roman" w:cs="Times New Roman"/>
        </w:rPr>
        <w:t xml:space="preserve"> Slovenská elektrizačná a prenosová sústava, a. s. vo výške 33,6</w:t>
      </w:r>
      <w:r>
        <w:rPr>
          <w:rFonts w:ascii="Times New Roman" w:hAnsi="Times New Roman" w:cs="Times New Roman"/>
        </w:rPr>
        <w:t xml:space="preserve"> mil. eur, </w:t>
      </w:r>
      <w:r w:rsidRPr="002744D6">
        <w:rPr>
          <w:rFonts w:ascii="Times New Roman" w:hAnsi="Times New Roman" w:cs="Times New Roman"/>
        </w:rPr>
        <w:t>Západoslovensk</w:t>
      </w:r>
      <w:r>
        <w:rPr>
          <w:rFonts w:ascii="Times New Roman" w:hAnsi="Times New Roman" w:cs="Times New Roman"/>
        </w:rPr>
        <w:t>á</w:t>
      </w:r>
      <w:r w:rsidRPr="002744D6">
        <w:rPr>
          <w:rFonts w:ascii="Times New Roman" w:hAnsi="Times New Roman" w:cs="Times New Roman"/>
        </w:rPr>
        <w:t xml:space="preserve"> energetik</w:t>
      </w:r>
      <w:r>
        <w:rPr>
          <w:rFonts w:ascii="Times New Roman" w:hAnsi="Times New Roman" w:cs="Times New Roman"/>
        </w:rPr>
        <w:t>a</w:t>
      </w:r>
      <w:r w:rsidRPr="002744D6">
        <w:rPr>
          <w:rFonts w:ascii="Times New Roman" w:hAnsi="Times New Roman" w:cs="Times New Roman"/>
        </w:rPr>
        <w:t>, a. s. vo výške 2,0 mil. eur</w:t>
      </w:r>
      <w:r>
        <w:rPr>
          <w:rFonts w:ascii="Times New Roman" w:hAnsi="Times New Roman" w:cs="Times New Roman"/>
        </w:rPr>
        <w:t>, Javys, a. s. vo výške 3,3 mil. eur, Tipos, a. s. vo výške 3,0 mil. eur a Slovenská záručná a rozvojová banka, a. s. vo výške 1,4 mil. eur.</w:t>
      </w:r>
      <w:r w:rsidRPr="002744D6">
        <w:rPr>
          <w:rFonts w:ascii="Times New Roman" w:hAnsi="Times New Roman" w:cs="Times New Roman"/>
        </w:rPr>
        <w:t xml:space="preserve"> </w:t>
      </w:r>
      <w:r>
        <w:rPr>
          <w:rFonts w:ascii="Times New Roman" w:hAnsi="Times New Roman" w:cs="Times New Roman"/>
        </w:rPr>
        <w:t xml:space="preserve">Ostatné dividendy prekročia rozpočet o 1,4 mil. eur. </w:t>
      </w:r>
      <w:r w:rsidRPr="002744D6">
        <w:rPr>
          <w:rFonts w:ascii="Times New Roman" w:hAnsi="Times New Roman" w:cs="Times New Roman"/>
        </w:rPr>
        <w:t>Do tejto kategórie príjmov patrí aj zisk z podnikateľskej činnosti VVŠ, ktorý sa predpokladá na úrovni 8,9 mil. eur.</w:t>
      </w:r>
      <w:r>
        <w:rPr>
          <w:rFonts w:ascii="Times New Roman" w:hAnsi="Times New Roman" w:cs="Times New Roman"/>
        </w:rPr>
        <w:t xml:space="preserve"> V rámci ostatných subjektov verejnej správy dôjde k nárastu o 0,2 mil. eur.</w:t>
      </w:r>
    </w:p>
    <w:p w:rsidR="00655B0D" w:rsidRDefault="00655B0D" w:rsidP="00655B0D">
      <w:pPr>
        <w:jc w:val="both"/>
        <w:rPr>
          <w:rFonts w:ascii="Times New Roman" w:hAnsi="Times New Roman" w:cs="Times New Roman"/>
        </w:rPr>
      </w:pPr>
    </w:p>
    <w:p w:rsidR="00655B0D" w:rsidRPr="002744D6" w:rsidRDefault="00655B0D" w:rsidP="00655B0D">
      <w:pPr>
        <w:ind w:firstLine="708"/>
        <w:jc w:val="both"/>
        <w:rPr>
          <w:rFonts w:ascii="Times New Roman" w:hAnsi="Times New Roman" w:cs="Times New Roman"/>
        </w:rPr>
      </w:pPr>
      <w:r w:rsidRPr="002744D6">
        <w:rPr>
          <w:rFonts w:ascii="Times New Roman" w:hAnsi="Times New Roman" w:cs="Times New Roman"/>
        </w:rPr>
        <w:t>Príjmy z </w:t>
      </w:r>
      <w:r w:rsidRPr="002744D6">
        <w:rPr>
          <w:rFonts w:ascii="Times New Roman" w:hAnsi="Times New Roman" w:cs="Times New Roman"/>
          <w:b/>
        </w:rPr>
        <w:t xml:space="preserve">úrokov </w:t>
      </w:r>
      <w:r w:rsidRPr="002744D6">
        <w:rPr>
          <w:rFonts w:ascii="Times New Roman" w:hAnsi="Times New Roman" w:cs="Times New Roman"/>
        </w:rPr>
        <w:t>sa predpokladajú takmer na úrovni schváleného rozpočtu.</w:t>
      </w:r>
    </w:p>
    <w:p w:rsidR="00655B0D" w:rsidRDefault="00655B0D" w:rsidP="00655B0D">
      <w:pPr>
        <w:jc w:val="both"/>
        <w:rPr>
          <w:rFonts w:ascii="Times New Roman" w:hAnsi="Times New Roman" w:cs="Times New Roman"/>
        </w:rPr>
      </w:pPr>
    </w:p>
    <w:p w:rsidR="00655B0D" w:rsidRDefault="00655B0D" w:rsidP="00655B0D">
      <w:pPr>
        <w:ind w:firstLine="708"/>
        <w:jc w:val="both"/>
        <w:rPr>
          <w:rFonts w:ascii="Times New Roman" w:hAnsi="Times New Roman" w:cs="Times New Roman"/>
        </w:rPr>
      </w:pPr>
      <w:r w:rsidRPr="002744D6">
        <w:rPr>
          <w:rFonts w:ascii="Times New Roman" w:hAnsi="Times New Roman" w:cs="Times New Roman"/>
        </w:rPr>
        <w:t xml:space="preserve">V rámci kategórie </w:t>
      </w:r>
      <w:r w:rsidRPr="002744D6">
        <w:rPr>
          <w:rFonts w:ascii="Times New Roman" w:hAnsi="Times New Roman" w:cs="Times New Roman"/>
          <w:b/>
        </w:rPr>
        <w:t>grantov a transferov</w:t>
      </w:r>
      <w:r w:rsidRPr="002744D6">
        <w:rPr>
          <w:rFonts w:ascii="Times New Roman" w:hAnsi="Times New Roman" w:cs="Times New Roman"/>
        </w:rPr>
        <w:t xml:space="preserve"> sa </w:t>
      </w:r>
      <w:r>
        <w:rPr>
          <w:rFonts w:ascii="Times New Roman" w:hAnsi="Times New Roman" w:cs="Times New Roman"/>
        </w:rPr>
        <w:t>predpokladá</w:t>
      </w:r>
      <w:r w:rsidRPr="002744D6">
        <w:rPr>
          <w:rFonts w:ascii="Times New Roman" w:hAnsi="Times New Roman" w:cs="Times New Roman"/>
        </w:rPr>
        <w:t xml:space="preserve"> prekročenie rozpočtovanej úrovne o</w:t>
      </w:r>
      <w:r>
        <w:rPr>
          <w:rFonts w:ascii="Times New Roman" w:hAnsi="Times New Roman" w:cs="Times New Roman"/>
        </w:rPr>
        <w:t> 383,8</w:t>
      </w:r>
      <w:r w:rsidRPr="002744D6">
        <w:rPr>
          <w:rFonts w:ascii="Times New Roman" w:hAnsi="Times New Roman" w:cs="Times New Roman"/>
        </w:rPr>
        <w:t xml:space="preserve"> mil. eur</w:t>
      </w:r>
      <w:r>
        <w:rPr>
          <w:rFonts w:ascii="Times New Roman" w:hAnsi="Times New Roman" w:cs="Times New Roman"/>
        </w:rPr>
        <w:t>, z toho štátny rozpočet vo výške 350,7 mil. eur. Ide najmä o vyššiu absorpciu zdrojov EÚ verejnej správy prostredníctvom štátneho</w:t>
      </w:r>
      <w:r w:rsidRPr="002744D6">
        <w:rPr>
          <w:rFonts w:ascii="Times New Roman" w:hAnsi="Times New Roman" w:cs="Times New Roman"/>
        </w:rPr>
        <w:t xml:space="preserve"> rozpočt</w:t>
      </w:r>
      <w:r>
        <w:rPr>
          <w:rFonts w:ascii="Times New Roman" w:hAnsi="Times New Roman" w:cs="Times New Roman"/>
        </w:rPr>
        <w:t>u, a to</w:t>
      </w:r>
      <w:r w:rsidRPr="002744D6">
        <w:rPr>
          <w:rFonts w:ascii="Times New Roman" w:hAnsi="Times New Roman" w:cs="Times New Roman"/>
        </w:rPr>
        <w:t xml:space="preserve"> vo výške </w:t>
      </w:r>
      <w:r>
        <w:rPr>
          <w:rFonts w:ascii="Times New Roman" w:hAnsi="Times New Roman" w:cs="Times New Roman"/>
        </w:rPr>
        <w:br/>
        <w:t>325,0</w:t>
      </w:r>
      <w:r w:rsidRPr="002744D6">
        <w:rPr>
          <w:rFonts w:ascii="Times New Roman" w:hAnsi="Times New Roman" w:cs="Times New Roman"/>
        </w:rPr>
        <w:t xml:space="preserve"> mil. eur</w:t>
      </w:r>
      <w:r>
        <w:rPr>
          <w:rFonts w:ascii="Times New Roman" w:hAnsi="Times New Roman" w:cs="Times New Roman"/>
        </w:rPr>
        <w:t>. VVŠ predpokladajú prekročenie rozpočtu o 23,6 mil. eur, zdravotnícke zariadenia o 31,8 mil. eur a v rámci ostatných subjektov dôjde k poklesu o 22,3 mil. eur.</w:t>
      </w:r>
    </w:p>
    <w:p w:rsidR="00655B0D" w:rsidRDefault="00655B0D" w:rsidP="00655B0D">
      <w:pPr>
        <w:jc w:val="both"/>
        <w:rPr>
          <w:rFonts w:ascii="Times New Roman" w:hAnsi="Times New Roman" w:cs="Times New Roman"/>
          <w:b/>
        </w:rPr>
      </w:pPr>
    </w:p>
    <w:p w:rsidR="00655B0D" w:rsidRPr="002744D6" w:rsidRDefault="00655B0D" w:rsidP="00655B0D">
      <w:pPr>
        <w:ind w:firstLine="708"/>
        <w:jc w:val="both"/>
        <w:rPr>
          <w:rFonts w:ascii="Times New Roman" w:hAnsi="Times New Roman" w:cs="Times New Roman"/>
        </w:rPr>
      </w:pPr>
      <w:r w:rsidRPr="002744D6">
        <w:rPr>
          <w:rFonts w:ascii="Times New Roman" w:hAnsi="Times New Roman" w:cs="Times New Roman"/>
          <w:b/>
        </w:rPr>
        <w:t>V rámci výdavkov rozpočtu verejnej správy sa očakáva prekročenie rozpočtovanej úrovne o</w:t>
      </w:r>
      <w:r>
        <w:rPr>
          <w:rFonts w:ascii="Times New Roman" w:hAnsi="Times New Roman" w:cs="Times New Roman"/>
          <w:b/>
        </w:rPr>
        <w:t> 755,9</w:t>
      </w:r>
      <w:r w:rsidRPr="002744D6">
        <w:rPr>
          <w:rFonts w:ascii="Times New Roman" w:hAnsi="Times New Roman" w:cs="Times New Roman"/>
          <w:b/>
        </w:rPr>
        <w:t xml:space="preserve"> mil. eur. </w:t>
      </w:r>
      <w:r w:rsidRPr="002744D6">
        <w:rPr>
          <w:rFonts w:ascii="Times New Roman" w:hAnsi="Times New Roman" w:cs="Times New Roman"/>
        </w:rPr>
        <w:t>Dôvody sú nasledovné.</w:t>
      </w:r>
    </w:p>
    <w:p w:rsidR="00655B0D" w:rsidRDefault="00655B0D" w:rsidP="00655B0D">
      <w:pPr>
        <w:jc w:val="both"/>
        <w:rPr>
          <w:rFonts w:ascii="Times New Roman" w:hAnsi="Times New Roman" w:cs="Times New Roman"/>
        </w:rPr>
      </w:pPr>
    </w:p>
    <w:p w:rsidR="00655B0D" w:rsidRPr="002744D6" w:rsidRDefault="00655B0D" w:rsidP="00655B0D">
      <w:pPr>
        <w:ind w:firstLine="708"/>
        <w:jc w:val="both"/>
        <w:rPr>
          <w:rFonts w:ascii="Times New Roman" w:hAnsi="Times New Roman" w:cs="Times New Roman"/>
        </w:rPr>
      </w:pPr>
      <w:r>
        <w:rPr>
          <w:rFonts w:ascii="Times New Roman" w:hAnsi="Times New Roman" w:cs="Times New Roman"/>
        </w:rPr>
        <w:t>Pri</w:t>
      </w:r>
      <w:r w:rsidRPr="002744D6">
        <w:rPr>
          <w:rFonts w:ascii="Times New Roman" w:hAnsi="Times New Roman" w:cs="Times New Roman"/>
        </w:rPr>
        <w:t xml:space="preserve"> </w:t>
      </w:r>
      <w:r w:rsidRPr="002744D6">
        <w:rPr>
          <w:rFonts w:ascii="Times New Roman" w:hAnsi="Times New Roman" w:cs="Times New Roman"/>
          <w:b/>
        </w:rPr>
        <w:t>kompenzáci</w:t>
      </w:r>
      <w:r>
        <w:rPr>
          <w:rFonts w:ascii="Times New Roman" w:hAnsi="Times New Roman" w:cs="Times New Roman"/>
          <w:b/>
        </w:rPr>
        <w:t>ách</w:t>
      </w:r>
      <w:r w:rsidRPr="002744D6">
        <w:rPr>
          <w:rFonts w:ascii="Times New Roman" w:hAnsi="Times New Roman" w:cs="Times New Roman"/>
          <w:b/>
        </w:rPr>
        <w:t xml:space="preserve"> zamestnanco</w:t>
      </w:r>
      <w:r>
        <w:rPr>
          <w:rFonts w:ascii="Times New Roman" w:hAnsi="Times New Roman" w:cs="Times New Roman"/>
          <w:b/>
        </w:rPr>
        <w:t>m</w:t>
      </w:r>
      <w:r>
        <w:rPr>
          <w:rFonts w:ascii="Times New Roman" w:hAnsi="Times New Roman" w:cs="Times New Roman"/>
        </w:rPr>
        <w:t xml:space="preserve"> sa predpokladá prekročenie</w:t>
      </w:r>
      <w:r w:rsidRPr="002744D6">
        <w:rPr>
          <w:rFonts w:ascii="Times New Roman" w:hAnsi="Times New Roman" w:cs="Times New Roman"/>
        </w:rPr>
        <w:t xml:space="preserve"> rozpočtovan</w:t>
      </w:r>
      <w:r>
        <w:rPr>
          <w:rFonts w:ascii="Times New Roman" w:hAnsi="Times New Roman" w:cs="Times New Roman"/>
        </w:rPr>
        <w:t>ej</w:t>
      </w:r>
      <w:r w:rsidRPr="002744D6">
        <w:rPr>
          <w:rFonts w:ascii="Times New Roman" w:hAnsi="Times New Roman" w:cs="Times New Roman"/>
        </w:rPr>
        <w:t xml:space="preserve"> úrov</w:t>
      </w:r>
      <w:r>
        <w:rPr>
          <w:rFonts w:ascii="Times New Roman" w:hAnsi="Times New Roman" w:cs="Times New Roman"/>
        </w:rPr>
        <w:t>ne</w:t>
      </w:r>
      <w:r w:rsidRPr="002744D6">
        <w:rPr>
          <w:rFonts w:ascii="Times New Roman" w:hAnsi="Times New Roman" w:cs="Times New Roman"/>
        </w:rPr>
        <w:t xml:space="preserve"> o</w:t>
      </w:r>
      <w:r>
        <w:rPr>
          <w:rFonts w:ascii="Times New Roman" w:hAnsi="Times New Roman" w:cs="Times New Roman"/>
        </w:rPr>
        <w:t> 120,5</w:t>
      </w:r>
      <w:r w:rsidRPr="002744D6">
        <w:rPr>
          <w:rFonts w:ascii="Times New Roman" w:hAnsi="Times New Roman" w:cs="Times New Roman"/>
        </w:rPr>
        <w:t xml:space="preserve"> mil. eur. V rámci </w:t>
      </w:r>
      <w:r>
        <w:rPr>
          <w:rFonts w:ascii="Times New Roman" w:hAnsi="Times New Roman" w:cs="Times New Roman"/>
        </w:rPr>
        <w:t xml:space="preserve">štátneho </w:t>
      </w:r>
      <w:r w:rsidRPr="002744D6">
        <w:rPr>
          <w:rFonts w:ascii="Times New Roman" w:hAnsi="Times New Roman" w:cs="Times New Roman"/>
        </w:rPr>
        <w:t xml:space="preserve">rozpočtu </w:t>
      </w:r>
      <w:r>
        <w:rPr>
          <w:rFonts w:ascii="Times New Roman" w:hAnsi="Times New Roman" w:cs="Times New Roman"/>
        </w:rPr>
        <w:t xml:space="preserve">sa predpokladá prekročiť schválený rozpočet </w:t>
      </w:r>
      <w:r>
        <w:rPr>
          <w:rFonts w:ascii="Times New Roman" w:hAnsi="Times New Roman" w:cs="Times New Roman"/>
        </w:rPr>
        <w:br/>
        <w:t xml:space="preserve">o 65,4 mil. eur. </w:t>
      </w:r>
      <w:r w:rsidRPr="002B02EA">
        <w:rPr>
          <w:rFonts w:ascii="Times New Roman" w:hAnsi="Times New Roman" w:cs="Times New Roman"/>
        </w:rPr>
        <w:t>Pri VVŠ sa predpokladá prekročenie na úrovni 51,8 mil. eur.</w:t>
      </w:r>
      <w:r>
        <w:rPr>
          <w:rFonts w:ascii="Times New Roman" w:hAnsi="Times New Roman" w:cs="Times New Roman"/>
        </w:rPr>
        <w:t xml:space="preserve"> Príspevkové organizácie prekročia rozpočtovanú úroveň o 34,7 mil. eur. Taktiež Sociálna poisťovňa predpokladá vyššie kompenzácie zamestnancom, a to  na úrovni 22,3 mil. eur. Pri ŽSSK by malo ísť o prekročenia na úrovni 10,7 mil. eur. </w:t>
      </w:r>
      <w:r w:rsidR="005316B0" w:rsidRPr="005316B0">
        <w:rPr>
          <w:rFonts w:ascii="Times New Roman" w:hAnsi="Times New Roman" w:cs="Times New Roman"/>
        </w:rPr>
        <w:t>V rámci územnej samosprávy sa oproti predpokladu očakáva zníženie o 64,7 mil. eur z dôvodu pôvodne vyššie rozpočtovaných EÚ zdrojov.</w:t>
      </w:r>
      <w:r w:rsidR="005316B0">
        <w:rPr>
          <w:rFonts w:ascii="Times New Roman" w:hAnsi="Times New Roman" w:cs="Times New Roman"/>
        </w:rPr>
        <w:t xml:space="preserve"> </w:t>
      </w:r>
      <w:r>
        <w:rPr>
          <w:rFonts w:ascii="Times New Roman" w:hAnsi="Times New Roman" w:cs="Times New Roman"/>
        </w:rPr>
        <w:t>Ostatné subjekty zvýšia kompenzácie o 0,3 mil. eur.</w:t>
      </w:r>
    </w:p>
    <w:p w:rsidR="00655B0D" w:rsidRDefault="00655B0D" w:rsidP="00655B0D">
      <w:pPr>
        <w:jc w:val="both"/>
        <w:rPr>
          <w:rFonts w:ascii="Times New Roman" w:hAnsi="Times New Roman" w:cs="Times New Roman"/>
        </w:rPr>
      </w:pPr>
    </w:p>
    <w:p w:rsidR="00655B0D" w:rsidRPr="002744D6" w:rsidRDefault="00655B0D" w:rsidP="00655B0D">
      <w:pPr>
        <w:ind w:firstLine="708"/>
        <w:jc w:val="both"/>
        <w:rPr>
          <w:rFonts w:ascii="Times New Roman" w:hAnsi="Times New Roman" w:cs="Times New Roman"/>
        </w:rPr>
      </w:pPr>
      <w:r w:rsidRPr="002744D6">
        <w:rPr>
          <w:rFonts w:ascii="Times New Roman" w:hAnsi="Times New Roman" w:cs="Times New Roman"/>
        </w:rPr>
        <w:t xml:space="preserve">V rámci kategórii </w:t>
      </w:r>
      <w:r w:rsidRPr="002744D6">
        <w:rPr>
          <w:rFonts w:ascii="Times New Roman" w:hAnsi="Times New Roman" w:cs="Times New Roman"/>
          <w:b/>
        </w:rPr>
        <w:t>medzispotreba</w:t>
      </w:r>
      <w:r w:rsidRPr="002744D6">
        <w:rPr>
          <w:rFonts w:ascii="Times New Roman" w:hAnsi="Times New Roman" w:cs="Times New Roman"/>
        </w:rPr>
        <w:t xml:space="preserve"> sa aktuálne predpokladá </w:t>
      </w:r>
      <w:r>
        <w:rPr>
          <w:rFonts w:ascii="Times New Roman" w:hAnsi="Times New Roman" w:cs="Times New Roman"/>
        </w:rPr>
        <w:t>prekročenie rozpočtu</w:t>
      </w:r>
      <w:r w:rsidRPr="002744D6">
        <w:rPr>
          <w:rFonts w:ascii="Times New Roman" w:hAnsi="Times New Roman" w:cs="Times New Roman"/>
        </w:rPr>
        <w:t xml:space="preserve"> </w:t>
      </w:r>
      <w:r>
        <w:rPr>
          <w:rFonts w:ascii="Times New Roman" w:hAnsi="Times New Roman" w:cs="Times New Roman"/>
        </w:rPr>
        <w:br/>
      </w:r>
      <w:r w:rsidRPr="002744D6">
        <w:rPr>
          <w:rFonts w:ascii="Times New Roman" w:hAnsi="Times New Roman" w:cs="Times New Roman"/>
        </w:rPr>
        <w:t>o</w:t>
      </w:r>
      <w:r>
        <w:rPr>
          <w:rFonts w:ascii="Times New Roman" w:hAnsi="Times New Roman" w:cs="Times New Roman"/>
        </w:rPr>
        <w:t> 53,2</w:t>
      </w:r>
      <w:r w:rsidRPr="002744D6">
        <w:rPr>
          <w:rFonts w:ascii="Times New Roman" w:hAnsi="Times New Roman" w:cs="Times New Roman"/>
        </w:rPr>
        <w:t xml:space="preserve"> mil. eur. </w:t>
      </w:r>
      <w:r>
        <w:rPr>
          <w:rFonts w:ascii="Times New Roman" w:hAnsi="Times New Roman" w:cs="Times New Roman"/>
        </w:rPr>
        <w:t xml:space="preserve">Územná samospráva zaznamenáva prekročenie rozpočtu o 149,8 mil. eur (z toho zdroje ŠR rastú o 155,6 mil. eur pri poklese EÚ a spolufinancovania o 5,8 mil. eur). Ďalej sa predpokladá prekročenie u príspevkových organizácií na úrovni 59,1 mil. eur, VVŠ </w:t>
      </w:r>
      <w:r>
        <w:rPr>
          <w:rFonts w:ascii="Times New Roman" w:hAnsi="Times New Roman" w:cs="Times New Roman"/>
        </w:rPr>
        <w:br/>
        <w:t xml:space="preserve">o 32,0 mil. eur, ŽSSK o 21,6 mil. eur, Sociálna poisťovňa o 21,4 mil. eur, ŽSR o 15,9 a NDS o 15,6 mil. eur. Uvedené je kompenzované úsporami v štátneho rozpočtu na úrovni </w:t>
      </w:r>
      <w:r>
        <w:rPr>
          <w:rFonts w:ascii="Times New Roman" w:hAnsi="Times New Roman" w:cs="Times New Roman"/>
        </w:rPr>
        <w:br/>
        <w:t>167,3 mil. eur (r</w:t>
      </w:r>
      <w:r w:rsidRPr="00A849C2">
        <w:rPr>
          <w:rFonts w:ascii="Times New Roman" w:hAnsi="Times New Roman" w:cs="Times New Roman"/>
        </w:rPr>
        <w:t>ezerva na zhoršenie daňových a nedaňových príjmov</w:t>
      </w:r>
      <w:r>
        <w:rPr>
          <w:rFonts w:ascii="Times New Roman" w:hAnsi="Times New Roman" w:cs="Times New Roman"/>
        </w:rPr>
        <w:t xml:space="preserve"> 100,1 mil. eur a r</w:t>
      </w:r>
      <w:r w:rsidRPr="00A849C2">
        <w:rPr>
          <w:rFonts w:ascii="Times New Roman" w:hAnsi="Times New Roman" w:cs="Times New Roman"/>
        </w:rPr>
        <w:t>ezerva na riešenie vplyvov nových zákonných úprav</w:t>
      </w:r>
      <w:r>
        <w:rPr>
          <w:rFonts w:ascii="Times New Roman" w:hAnsi="Times New Roman" w:cs="Times New Roman"/>
        </w:rPr>
        <w:t xml:space="preserve"> 30,0 mil. eur) a zdravotníckych zariadení na úrovni 93,8 mil. eur (z toho pokles záväzkov na úrovni 40 mil. eur). </w:t>
      </w:r>
      <w:r w:rsidRPr="00B23854">
        <w:rPr>
          <w:rFonts w:ascii="Times New Roman" w:hAnsi="Times New Roman" w:cs="Times New Roman"/>
        </w:rPr>
        <w:t>Ďalej sa na úspore podieľa Agentúra pre</w:t>
      </w:r>
      <w:r w:rsidRPr="002744D6">
        <w:rPr>
          <w:rFonts w:ascii="Times New Roman" w:hAnsi="Times New Roman" w:cs="Times New Roman"/>
        </w:rPr>
        <w:t xml:space="preserve"> núdzové zásoby ropy a ropných výrobkov vo výške 9,3 mil. eur, ide najmä o výdavky súvisiace s platením DPH. </w:t>
      </w:r>
      <w:r>
        <w:rPr>
          <w:rFonts w:ascii="Times New Roman" w:hAnsi="Times New Roman" w:cs="Times New Roman"/>
        </w:rPr>
        <w:t>Ostatné subjekty predpokladajú sumárne prekročenie rozpočtu o 8,2 mil. eur.</w:t>
      </w:r>
    </w:p>
    <w:p w:rsidR="00655B0D" w:rsidRDefault="00655B0D" w:rsidP="00655B0D">
      <w:pPr>
        <w:jc w:val="both"/>
        <w:rPr>
          <w:rFonts w:ascii="Times New Roman" w:hAnsi="Times New Roman" w:cs="Times New Roman"/>
        </w:rPr>
      </w:pPr>
    </w:p>
    <w:p w:rsidR="00655B0D" w:rsidRPr="002744D6" w:rsidRDefault="00655B0D" w:rsidP="00655B0D">
      <w:pPr>
        <w:ind w:firstLine="708"/>
        <w:jc w:val="both"/>
        <w:rPr>
          <w:rFonts w:ascii="Times New Roman" w:hAnsi="Times New Roman" w:cs="Times New Roman"/>
        </w:rPr>
      </w:pPr>
      <w:r w:rsidRPr="002744D6">
        <w:rPr>
          <w:rFonts w:ascii="Times New Roman" w:hAnsi="Times New Roman" w:cs="Times New Roman"/>
        </w:rPr>
        <w:t xml:space="preserve">V rámci správy štátneho dlhu sa očakáva úspora </w:t>
      </w:r>
      <w:r w:rsidRPr="002744D6">
        <w:rPr>
          <w:rFonts w:ascii="Times New Roman" w:hAnsi="Times New Roman" w:cs="Times New Roman"/>
          <w:b/>
        </w:rPr>
        <w:t>úrokových nákladov</w:t>
      </w:r>
      <w:r w:rsidRPr="002744D6">
        <w:rPr>
          <w:rFonts w:ascii="Times New Roman" w:hAnsi="Times New Roman" w:cs="Times New Roman"/>
        </w:rPr>
        <w:t xml:space="preserve"> vo výške </w:t>
      </w:r>
      <w:r>
        <w:rPr>
          <w:rFonts w:ascii="Times New Roman" w:hAnsi="Times New Roman" w:cs="Times New Roman"/>
        </w:rPr>
        <w:br/>
        <w:t>5,5</w:t>
      </w:r>
      <w:r w:rsidRPr="002744D6">
        <w:rPr>
          <w:rFonts w:ascii="Times New Roman" w:hAnsi="Times New Roman" w:cs="Times New Roman"/>
        </w:rPr>
        <w:t xml:space="preserve"> mil. eur.</w:t>
      </w:r>
    </w:p>
    <w:p w:rsidR="00655B0D" w:rsidRDefault="00655B0D" w:rsidP="00655B0D">
      <w:pPr>
        <w:jc w:val="both"/>
        <w:rPr>
          <w:rFonts w:ascii="Times New Roman" w:hAnsi="Times New Roman" w:cs="Times New Roman"/>
          <w:b/>
        </w:rPr>
      </w:pPr>
    </w:p>
    <w:p w:rsidR="00655B0D" w:rsidRPr="002744D6" w:rsidRDefault="00655B0D" w:rsidP="00655B0D">
      <w:pPr>
        <w:ind w:firstLine="708"/>
        <w:jc w:val="both"/>
        <w:rPr>
          <w:rFonts w:ascii="Times New Roman" w:hAnsi="Times New Roman" w:cs="Times New Roman"/>
        </w:rPr>
      </w:pPr>
      <w:r w:rsidRPr="002744D6">
        <w:rPr>
          <w:rFonts w:ascii="Times New Roman" w:hAnsi="Times New Roman" w:cs="Times New Roman"/>
          <w:b/>
        </w:rPr>
        <w:t>Sociálne dávky</w:t>
      </w:r>
      <w:r w:rsidRPr="002744D6">
        <w:rPr>
          <w:rFonts w:ascii="Times New Roman" w:hAnsi="Times New Roman" w:cs="Times New Roman"/>
        </w:rPr>
        <w:t xml:space="preserve"> predpokladajú úsporu oproti schválenému rozpočtu na úrovni </w:t>
      </w:r>
      <w:r>
        <w:rPr>
          <w:rFonts w:ascii="Times New Roman" w:hAnsi="Times New Roman" w:cs="Times New Roman"/>
        </w:rPr>
        <w:br/>
        <w:t>25,8</w:t>
      </w:r>
      <w:r w:rsidRPr="002744D6">
        <w:rPr>
          <w:rFonts w:ascii="Times New Roman" w:hAnsi="Times New Roman" w:cs="Times New Roman"/>
        </w:rPr>
        <w:t xml:space="preserve"> mil. eur, z toho štátny rozpočet predstavuje </w:t>
      </w:r>
      <w:r>
        <w:rPr>
          <w:rFonts w:ascii="Times New Roman" w:hAnsi="Times New Roman" w:cs="Times New Roman"/>
        </w:rPr>
        <w:t>75,2</w:t>
      </w:r>
      <w:r w:rsidRPr="002744D6">
        <w:rPr>
          <w:rFonts w:ascii="Times New Roman" w:hAnsi="Times New Roman" w:cs="Times New Roman"/>
        </w:rPr>
        <w:t xml:space="preserve"> mil. eur. Výdavky sociálneho poistenia predpokladajú </w:t>
      </w:r>
      <w:r>
        <w:rPr>
          <w:rFonts w:ascii="Times New Roman" w:hAnsi="Times New Roman" w:cs="Times New Roman"/>
        </w:rPr>
        <w:t>prekročenie rozpočtu o 49,4</w:t>
      </w:r>
      <w:r w:rsidRPr="002744D6">
        <w:rPr>
          <w:rFonts w:ascii="Times New Roman" w:hAnsi="Times New Roman" w:cs="Times New Roman"/>
        </w:rPr>
        <w:t xml:space="preserve"> mil. eur. </w:t>
      </w:r>
    </w:p>
    <w:p w:rsidR="00655B0D" w:rsidRDefault="00655B0D" w:rsidP="00655B0D">
      <w:pPr>
        <w:jc w:val="both"/>
        <w:rPr>
          <w:rFonts w:ascii="Times New Roman" w:hAnsi="Times New Roman" w:cs="Times New Roman"/>
          <w:b/>
        </w:rPr>
      </w:pPr>
    </w:p>
    <w:p w:rsidR="00655B0D" w:rsidRPr="002744D6" w:rsidRDefault="00655B0D" w:rsidP="00655B0D">
      <w:pPr>
        <w:ind w:firstLine="708"/>
        <w:jc w:val="both"/>
        <w:rPr>
          <w:rFonts w:ascii="Times New Roman" w:hAnsi="Times New Roman" w:cs="Times New Roman"/>
        </w:rPr>
      </w:pPr>
      <w:r w:rsidRPr="002744D6">
        <w:rPr>
          <w:rFonts w:ascii="Times New Roman" w:hAnsi="Times New Roman" w:cs="Times New Roman"/>
          <w:b/>
        </w:rPr>
        <w:t>Naturálne sociálne transfery</w:t>
      </w:r>
      <w:r w:rsidRPr="002744D6">
        <w:rPr>
          <w:rFonts w:ascii="Times New Roman" w:hAnsi="Times New Roman" w:cs="Times New Roman"/>
        </w:rPr>
        <w:t>, ktoré predstavujú výdavky poistenia verejného zdravotného poistenia, rastú o</w:t>
      </w:r>
      <w:r>
        <w:rPr>
          <w:rFonts w:ascii="Times New Roman" w:hAnsi="Times New Roman" w:cs="Times New Roman"/>
        </w:rPr>
        <w:t> 27,2</w:t>
      </w:r>
      <w:r w:rsidRPr="002744D6">
        <w:rPr>
          <w:rFonts w:ascii="Times New Roman" w:hAnsi="Times New Roman" w:cs="Times New Roman"/>
        </w:rPr>
        <w:t xml:space="preserve"> mil. eur. </w:t>
      </w:r>
    </w:p>
    <w:p w:rsidR="00655B0D" w:rsidRDefault="00655B0D" w:rsidP="00655B0D">
      <w:pPr>
        <w:jc w:val="both"/>
        <w:rPr>
          <w:rFonts w:ascii="Times New Roman" w:hAnsi="Times New Roman" w:cs="Times New Roman"/>
        </w:rPr>
      </w:pPr>
    </w:p>
    <w:p w:rsidR="00655B0D" w:rsidRPr="002744D6" w:rsidRDefault="00655B0D" w:rsidP="00655B0D">
      <w:pPr>
        <w:ind w:firstLine="708"/>
        <w:jc w:val="both"/>
        <w:rPr>
          <w:rFonts w:ascii="Times New Roman" w:hAnsi="Times New Roman" w:cs="Times New Roman"/>
        </w:rPr>
      </w:pPr>
      <w:r w:rsidRPr="002744D6">
        <w:rPr>
          <w:rFonts w:ascii="Times New Roman" w:hAnsi="Times New Roman" w:cs="Times New Roman"/>
        </w:rPr>
        <w:t xml:space="preserve">V rámci </w:t>
      </w:r>
      <w:r w:rsidRPr="002744D6">
        <w:rPr>
          <w:rFonts w:ascii="Times New Roman" w:hAnsi="Times New Roman" w:cs="Times New Roman"/>
          <w:b/>
        </w:rPr>
        <w:t>ostatných bežných transferov</w:t>
      </w:r>
      <w:r w:rsidRPr="002744D6">
        <w:rPr>
          <w:rFonts w:ascii="Times New Roman" w:hAnsi="Times New Roman" w:cs="Times New Roman"/>
        </w:rPr>
        <w:t xml:space="preserve"> sa očakáva úspora na úrovni </w:t>
      </w:r>
      <w:r>
        <w:rPr>
          <w:rFonts w:ascii="Times New Roman" w:hAnsi="Times New Roman" w:cs="Times New Roman"/>
        </w:rPr>
        <w:t>295,8</w:t>
      </w:r>
      <w:r w:rsidRPr="002744D6">
        <w:rPr>
          <w:rFonts w:ascii="Times New Roman" w:hAnsi="Times New Roman" w:cs="Times New Roman"/>
        </w:rPr>
        <w:t xml:space="preserve"> mil. eur. </w:t>
      </w:r>
      <w:r>
        <w:rPr>
          <w:rFonts w:ascii="Times New Roman" w:hAnsi="Times New Roman" w:cs="Times New Roman"/>
        </w:rPr>
        <w:t>V</w:t>
      </w:r>
      <w:r w:rsidRPr="002744D6">
        <w:rPr>
          <w:rFonts w:ascii="Times New Roman" w:hAnsi="Times New Roman" w:cs="Times New Roman"/>
        </w:rPr>
        <w:t> štátnom rozpočte</w:t>
      </w:r>
      <w:r>
        <w:rPr>
          <w:rFonts w:ascii="Times New Roman" w:hAnsi="Times New Roman" w:cs="Times New Roman"/>
        </w:rPr>
        <w:t xml:space="preserve"> sa očakáva </w:t>
      </w:r>
      <w:r w:rsidRPr="002744D6">
        <w:rPr>
          <w:rFonts w:ascii="Times New Roman" w:hAnsi="Times New Roman" w:cs="Times New Roman"/>
        </w:rPr>
        <w:t>úspor</w:t>
      </w:r>
      <w:r>
        <w:rPr>
          <w:rFonts w:ascii="Times New Roman" w:hAnsi="Times New Roman" w:cs="Times New Roman"/>
        </w:rPr>
        <w:t>a</w:t>
      </w:r>
      <w:r w:rsidRPr="002744D6">
        <w:rPr>
          <w:rFonts w:ascii="Times New Roman" w:hAnsi="Times New Roman" w:cs="Times New Roman"/>
        </w:rPr>
        <w:t xml:space="preserve"> na úrovni </w:t>
      </w:r>
      <w:r>
        <w:rPr>
          <w:rFonts w:ascii="Times New Roman" w:hAnsi="Times New Roman" w:cs="Times New Roman"/>
        </w:rPr>
        <w:t>299,9</w:t>
      </w:r>
      <w:r w:rsidRPr="002744D6">
        <w:rPr>
          <w:rFonts w:ascii="Times New Roman" w:hAnsi="Times New Roman" w:cs="Times New Roman"/>
        </w:rPr>
        <w:t xml:space="preserve"> mil. eur</w:t>
      </w:r>
      <w:r>
        <w:rPr>
          <w:rFonts w:ascii="Times New Roman" w:hAnsi="Times New Roman" w:cs="Times New Roman"/>
        </w:rPr>
        <w:t xml:space="preserve"> (z toho najmä úspora zdrojov EÚ a spolufinancovania na úrovni 143,4 mil. eur a ostatných bežných transferov kapitol ŠR na úrovni 157,3 mil. eur, úspora na odvode do EÚ 3,1 mil. eur a zvýšenie VPÚ o 2,2 mil. eur)</w:t>
      </w:r>
      <w:r w:rsidRPr="002744D6">
        <w:rPr>
          <w:rFonts w:ascii="Times New Roman" w:hAnsi="Times New Roman" w:cs="Times New Roman"/>
        </w:rPr>
        <w:t>. V rámci Environmentálneho fondu sa očakáva zvýšená podpora formou dotácie  v zmysle zákona vo výške 10,0 mil. eur</w:t>
      </w:r>
      <w:r w:rsidRPr="00B23854">
        <w:rPr>
          <w:rFonts w:ascii="Times New Roman" w:hAnsi="Times New Roman" w:cs="Times New Roman"/>
        </w:rPr>
        <w:t xml:space="preserve"> na účely kompenzácií v rámci schémy štátnej pomoci (emisie) pre ostatné právnické</w:t>
      </w:r>
      <w:r>
        <w:rPr>
          <w:rFonts w:ascii="Times New Roman" w:hAnsi="Times New Roman" w:cs="Times New Roman"/>
        </w:rPr>
        <w:t xml:space="preserve"> osoby (podnikateľské subjekty), pri celkovej zmene rozpočtu EF v roku 2018 vo výške 37 mil. eur. Zvyšných 27 mil. eur smerovalo najmä do kapitálových výdavkov obcí. Pri VVŠ sa očakáva úspora na úrovni 8,6 mil. eur. Ostatné subjekty sumárne prekročia rozpočet o 2,7 mil. eur.</w:t>
      </w:r>
    </w:p>
    <w:p w:rsidR="00655B0D" w:rsidRDefault="00655B0D" w:rsidP="00655B0D">
      <w:pPr>
        <w:jc w:val="both"/>
        <w:rPr>
          <w:rFonts w:ascii="Times New Roman" w:hAnsi="Times New Roman" w:cs="Times New Roman"/>
          <w:b/>
        </w:rPr>
      </w:pPr>
      <w:r>
        <w:rPr>
          <w:rFonts w:ascii="Times New Roman" w:hAnsi="Times New Roman" w:cs="Times New Roman"/>
          <w:b/>
        </w:rPr>
        <w:tab/>
      </w:r>
    </w:p>
    <w:p w:rsidR="00655B0D" w:rsidRPr="002744D6" w:rsidRDefault="00655B0D" w:rsidP="00655B0D">
      <w:pPr>
        <w:ind w:firstLine="708"/>
        <w:jc w:val="both"/>
        <w:rPr>
          <w:rFonts w:ascii="Times New Roman" w:hAnsi="Times New Roman" w:cs="Times New Roman"/>
        </w:rPr>
      </w:pPr>
      <w:r w:rsidRPr="002744D6">
        <w:rPr>
          <w:rFonts w:ascii="Times New Roman" w:hAnsi="Times New Roman" w:cs="Times New Roman"/>
          <w:b/>
        </w:rPr>
        <w:t>Tvorba hrubého fixného kapitálu</w:t>
      </w:r>
      <w:r w:rsidRPr="002744D6">
        <w:rPr>
          <w:rFonts w:ascii="Times New Roman" w:hAnsi="Times New Roman" w:cs="Times New Roman"/>
        </w:rPr>
        <w:t xml:space="preserve"> očakáva prekročenie rozpočtu na úrovni </w:t>
      </w:r>
      <w:r>
        <w:rPr>
          <w:rFonts w:ascii="Times New Roman" w:hAnsi="Times New Roman" w:cs="Times New Roman"/>
        </w:rPr>
        <w:br/>
        <w:t>649,0</w:t>
      </w:r>
      <w:r w:rsidRPr="002744D6">
        <w:rPr>
          <w:rFonts w:ascii="Times New Roman" w:hAnsi="Times New Roman" w:cs="Times New Roman"/>
        </w:rPr>
        <w:t xml:space="preserve"> mil. eur. Najväčšou mierou sa podieľa</w:t>
      </w:r>
      <w:r>
        <w:rPr>
          <w:rFonts w:ascii="Times New Roman" w:hAnsi="Times New Roman" w:cs="Times New Roman"/>
        </w:rPr>
        <w:t xml:space="preserve">jú ŽSR na úrovni 183,5 mil. eur (z toho zdroje EÚ a spolufinancovanie na úrovni 155,0 mil. eur), NDS na úrovni 175,7 mil. eur (z toho zdroje EÚ a spolufinancovanie na úrovni 158,5 mil. eur) a </w:t>
      </w:r>
      <w:r w:rsidRPr="002744D6">
        <w:rPr>
          <w:rFonts w:ascii="Times New Roman" w:hAnsi="Times New Roman" w:cs="Times New Roman"/>
        </w:rPr>
        <w:t>územná samospráva</w:t>
      </w:r>
      <w:r>
        <w:rPr>
          <w:rFonts w:ascii="Times New Roman" w:hAnsi="Times New Roman" w:cs="Times New Roman"/>
        </w:rPr>
        <w:t xml:space="preserve"> na úrovni 147,0 mil. eur (z toho zdroje ŠR 110,3 mil. eur a zdroje EÚ a spolufinancovanie na úrovni 36,7 mil. eur).</w:t>
      </w:r>
      <w:r w:rsidRPr="002744D6">
        <w:rPr>
          <w:rFonts w:ascii="Times New Roman" w:hAnsi="Times New Roman" w:cs="Times New Roman"/>
        </w:rPr>
        <w:t xml:space="preserve"> Ďalej nasledujú príspevkové organizácie štátu, ktoré predpokladajú zvýšenie kapitálových výdavkov vo výške </w:t>
      </w:r>
      <w:r>
        <w:rPr>
          <w:rFonts w:ascii="Times New Roman" w:hAnsi="Times New Roman" w:cs="Times New Roman"/>
        </w:rPr>
        <w:t>54,1</w:t>
      </w:r>
      <w:r w:rsidRPr="002744D6">
        <w:rPr>
          <w:rFonts w:ascii="Times New Roman" w:hAnsi="Times New Roman" w:cs="Times New Roman"/>
        </w:rPr>
        <w:t xml:space="preserve"> mil. eur. V rámci VVŠ ide o</w:t>
      </w:r>
      <w:r>
        <w:rPr>
          <w:rFonts w:ascii="Times New Roman" w:hAnsi="Times New Roman" w:cs="Times New Roman"/>
        </w:rPr>
        <w:t> 36,0 mil. eur a</w:t>
      </w:r>
      <w:r w:rsidRPr="002744D6">
        <w:rPr>
          <w:rFonts w:ascii="Times New Roman" w:hAnsi="Times New Roman" w:cs="Times New Roman"/>
        </w:rPr>
        <w:t xml:space="preserve"> </w:t>
      </w:r>
      <w:r>
        <w:rPr>
          <w:rFonts w:ascii="Times New Roman" w:hAnsi="Times New Roman" w:cs="Times New Roman"/>
        </w:rPr>
        <w:t xml:space="preserve">zdravotníckych zariadení </w:t>
      </w:r>
      <w:r>
        <w:rPr>
          <w:rFonts w:ascii="Times New Roman" w:hAnsi="Times New Roman" w:cs="Times New Roman"/>
        </w:rPr>
        <w:br/>
      </w:r>
      <w:r>
        <w:rPr>
          <w:rFonts w:ascii="Times New Roman" w:hAnsi="Times New Roman" w:cs="Times New Roman"/>
        </w:rPr>
        <w:lastRenderedPageBreak/>
        <w:t>o 20,5 mil. eur. Štátny rozpočet predpokladá</w:t>
      </w:r>
      <w:r w:rsidRPr="002744D6">
        <w:rPr>
          <w:rFonts w:ascii="Times New Roman" w:hAnsi="Times New Roman" w:cs="Times New Roman"/>
        </w:rPr>
        <w:t xml:space="preserve"> prekročenie </w:t>
      </w:r>
      <w:r>
        <w:rPr>
          <w:rFonts w:ascii="Times New Roman" w:hAnsi="Times New Roman" w:cs="Times New Roman"/>
        </w:rPr>
        <w:t>na úrovni 30,6 mil. eur. Ostatné subjekty sumárne prekročia rozpočet o 1,6 mil. eur.</w:t>
      </w:r>
    </w:p>
    <w:p w:rsidR="00655B0D" w:rsidRDefault="00655B0D" w:rsidP="00655B0D">
      <w:pPr>
        <w:jc w:val="both"/>
        <w:rPr>
          <w:rFonts w:ascii="Times New Roman" w:hAnsi="Times New Roman" w:cs="Times New Roman"/>
        </w:rPr>
      </w:pPr>
    </w:p>
    <w:p w:rsidR="00655B0D" w:rsidRDefault="00655B0D" w:rsidP="00655B0D">
      <w:pPr>
        <w:ind w:firstLine="708"/>
        <w:jc w:val="both"/>
        <w:rPr>
          <w:rFonts w:ascii="Times New Roman" w:hAnsi="Times New Roman" w:cs="Times New Roman"/>
        </w:rPr>
      </w:pPr>
      <w:r w:rsidRPr="002744D6">
        <w:rPr>
          <w:rFonts w:ascii="Times New Roman" w:hAnsi="Times New Roman" w:cs="Times New Roman"/>
        </w:rPr>
        <w:t xml:space="preserve">V rámci </w:t>
      </w:r>
      <w:r w:rsidRPr="002744D6">
        <w:rPr>
          <w:rFonts w:ascii="Times New Roman" w:hAnsi="Times New Roman" w:cs="Times New Roman"/>
          <w:b/>
        </w:rPr>
        <w:t>investičných grantov a ostatných kapitálových transferov</w:t>
      </w:r>
      <w:r w:rsidRPr="002744D6">
        <w:rPr>
          <w:rFonts w:ascii="Times New Roman" w:hAnsi="Times New Roman" w:cs="Times New Roman"/>
        </w:rPr>
        <w:t xml:space="preserve"> sa očakáva prekročenie </w:t>
      </w:r>
      <w:r>
        <w:rPr>
          <w:rFonts w:ascii="Times New Roman" w:hAnsi="Times New Roman" w:cs="Times New Roman"/>
        </w:rPr>
        <w:t>vo výške 276,8 mil. eur, z čoho 296,8 mil. eur predstavujú prostriedky štátnych finančných aktív použité na oddlženie zdravotníckych zariadení. Uvedené výdavky sú kompenzované zvýšenými príjmami Sociálnej poisťovne na dlžnom poistnom a znížením záväzkov zdravotníckych zariadení voči dodávateľom. Štátny rozpočet predpokladá úsporu na kapitálových transferoch vo výške 39,8 mil. eur, pričom naopak obce počítajú s prekročením rozpočtu o 17,9 mil. eur.</w:t>
      </w:r>
      <w:r w:rsidRPr="001920F8">
        <w:rPr>
          <w:rFonts w:ascii="Times New Roman" w:hAnsi="Times New Roman" w:cs="Times New Roman"/>
        </w:rPr>
        <w:t xml:space="preserve"> </w:t>
      </w:r>
      <w:r>
        <w:rPr>
          <w:rFonts w:ascii="Times New Roman" w:hAnsi="Times New Roman" w:cs="Times New Roman"/>
        </w:rPr>
        <w:t>Ostatné subjekty sumárne prekročia rozpočet o 1,9 mil. eur.</w:t>
      </w:r>
    </w:p>
    <w:p w:rsidR="00655B0D" w:rsidRDefault="00655B0D" w:rsidP="00655B0D">
      <w:pPr>
        <w:autoSpaceDE w:val="0"/>
        <w:autoSpaceDN w:val="0"/>
        <w:adjustRightInd w:val="0"/>
        <w:ind w:firstLine="708"/>
        <w:jc w:val="both"/>
        <w:rPr>
          <w:rFonts w:ascii="Times New Roman" w:hAnsi="Times New Roman"/>
        </w:rPr>
      </w:pPr>
    </w:p>
    <w:p w:rsidR="00655B0D" w:rsidRPr="00E66AE9" w:rsidRDefault="00655B0D" w:rsidP="00655B0D">
      <w:pPr>
        <w:keepNext/>
        <w:outlineLvl w:val="1"/>
        <w:rPr>
          <w:rFonts w:ascii="Times New Roman" w:hAnsi="Times New Roman"/>
          <w:b/>
          <w:bCs/>
        </w:rPr>
      </w:pPr>
      <w:bookmarkStart w:id="24" w:name="_Toc494463959"/>
      <w:bookmarkStart w:id="25" w:name="_Toc526273178"/>
      <w:r w:rsidRPr="00F1229A">
        <w:rPr>
          <w:rFonts w:ascii="Times New Roman" w:hAnsi="Times New Roman"/>
          <w:b/>
          <w:bCs/>
        </w:rPr>
        <w:t>2.2. Rámec na zostavenie rozpočtu verejnej správy na roky 201</w:t>
      </w:r>
      <w:r>
        <w:rPr>
          <w:rFonts w:ascii="Times New Roman" w:hAnsi="Times New Roman"/>
          <w:b/>
          <w:bCs/>
        </w:rPr>
        <w:t>9</w:t>
      </w:r>
      <w:r w:rsidRPr="00F1229A">
        <w:rPr>
          <w:rFonts w:ascii="Times New Roman" w:hAnsi="Times New Roman"/>
          <w:b/>
          <w:bCs/>
        </w:rPr>
        <w:t xml:space="preserve"> až 202</w:t>
      </w:r>
      <w:bookmarkEnd w:id="24"/>
      <w:r>
        <w:rPr>
          <w:rFonts w:ascii="Times New Roman" w:hAnsi="Times New Roman"/>
          <w:b/>
          <w:bCs/>
        </w:rPr>
        <w:t>1</w:t>
      </w:r>
      <w:bookmarkEnd w:id="25"/>
    </w:p>
    <w:p w:rsidR="00655B0D" w:rsidRPr="00E66AE9" w:rsidRDefault="00655B0D" w:rsidP="00655B0D"/>
    <w:p w:rsidR="00655B0D" w:rsidRDefault="00655B0D" w:rsidP="00655B0D">
      <w:pPr>
        <w:autoSpaceDE w:val="0"/>
        <w:autoSpaceDN w:val="0"/>
        <w:ind w:firstLine="708"/>
        <w:jc w:val="both"/>
        <w:rPr>
          <w:rFonts w:ascii="Times New Roman" w:hAnsi="Times New Roman"/>
        </w:rPr>
      </w:pPr>
      <w:r w:rsidRPr="00EE4B3F">
        <w:rPr>
          <w:rFonts w:ascii="Times New Roman" w:hAnsi="Times New Roman"/>
        </w:rPr>
        <w:t xml:space="preserve">Stratégia rozpočtovej politiky v nasledujúcich rozpočtových rokoch je zameraná na ďalšie zlepšovanie rozpočtovej pozície verejnej správy s cieľom </w:t>
      </w:r>
      <w:r>
        <w:rPr>
          <w:rFonts w:ascii="Times New Roman" w:hAnsi="Times New Roman"/>
        </w:rPr>
        <w:t>dosiahnuť</w:t>
      </w:r>
      <w:r w:rsidRPr="00EE4B3F">
        <w:rPr>
          <w:rFonts w:ascii="Times New Roman" w:hAnsi="Times New Roman"/>
        </w:rPr>
        <w:t xml:space="preserve"> dlhodobú udržateľnosť verejných financií. </w:t>
      </w:r>
      <w:r w:rsidRPr="005F6AF1">
        <w:rPr>
          <w:rFonts w:ascii="Times New Roman" w:hAnsi="Times New Roman"/>
        </w:rPr>
        <w:t xml:space="preserve">Návrh rozpočtu verejnej správy vytvára základné predpoklady pre zabezpečenie pokračovania v konsolidácii verejných financií. </w:t>
      </w:r>
      <w:r w:rsidRPr="00F315F9">
        <w:rPr>
          <w:rFonts w:ascii="Times New Roman" w:hAnsi="Times New Roman"/>
        </w:rPr>
        <w:t>V roku 2019 sa navrhuje takmer vyrovnané hospodárenie s poklesom deficitu až na úroveň 0,10 % HDP, čo zabezpečí dosiahnutie strednodobého rozpočtového cieľa. V roku 2020 sa predpokladá vyrovnané hospodárenie a v nasledujúcom roku po prvýkrát prebytok na úrovni 0,2 % HDP. Zároveň je v kapitole Všeobecná pokladničná správa alokovaná Rezerva na vývoj ekonomického cyklu v sume 180 mil. eur v roku 2020 a 0,50 mld. eur v roku 2021. Tieto prostriedky predstavujú nealokované zdroje v rámci priestoru, ktorý vytvára fiškálny rámec.</w:t>
      </w:r>
      <w:r>
        <w:rPr>
          <w:rFonts w:ascii="Times New Roman" w:hAnsi="Times New Roman"/>
        </w:rPr>
        <w:t xml:space="preserve"> </w:t>
      </w:r>
      <w:r w:rsidRPr="00F315F9">
        <w:rPr>
          <w:rFonts w:ascii="Times New Roman" w:hAnsi="Times New Roman"/>
        </w:rPr>
        <w:t>Stanovené ciele by mali prispieť ku každoročnému znižovaniu dlhu verejnej správy v rozpočtovom období, čím sa zohľadňujú aj požiadavky ústavného zákona o rozpočtovej zodpovednosti.</w:t>
      </w:r>
      <w:r>
        <w:rPr>
          <w:rFonts w:ascii="Times New Roman" w:hAnsi="Times New Roman"/>
        </w:rPr>
        <w:t xml:space="preserve"> </w:t>
      </w:r>
    </w:p>
    <w:p w:rsidR="00655B0D" w:rsidRDefault="00655B0D" w:rsidP="00655B0D">
      <w:pPr>
        <w:autoSpaceDE w:val="0"/>
        <w:autoSpaceDN w:val="0"/>
        <w:adjustRightInd w:val="0"/>
        <w:jc w:val="both"/>
        <w:rPr>
          <w:rFonts w:ascii="Times New Roman" w:hAnsi="Times New Roman"/>
        </w:rPr>
      </w:pPr>
    </w:p>
    <w:p w:rsidR="00655B0D" w:rsidRDefault="00655B0D" w:rsidP="00655B0D">
      <w:pPr>
        <w:autoSpaceDE w:val="0"/>
        <w:autoSpaceDN w:val="0"/>
        <w:adjustRightInd w:val="0"/>
        <w:ind w:firstLine="708"/>
        <w:jc w:val="both"/>
        <w:rPr>
          <w:rFonts w:ascii="Times New Roman" w:hAnsi="Times New Roman"/>
        </w:rPr>
      </w:pPr>
      <w:r w:rsidRPr="00E66AE9">
        <w:rPr>
          <w:rFonts w:ascii="Times New Roman" w:hAnsi="Times New Roman"/>
        </w:rPr>
        <w:t>Nasledujúca tabuľka poskytuje prehľad o základných parametroch fiškálneho rámca na roky 201</w:t>
      </w:r>
      <w:r>
        <w:rPr>
          <w:rFonts w:ascii="Times New Roman" w:hAnsi="Times New Roman"/>
        </w:rPr>
        <w:t>9</w:t>
      </w:r>
      <w:r w:rsidRPr="00E66AE9">
        <w:rPr>
          <w:rFonts w:ascii="Times New Roman" w:hAnsi="Times New Roman"/>
        </w:rPr>
        <w:t xml:space="preserve"> až 20</w:t>
      </w:r>
      <w:r>
        <w:rPr>
          <w:rFonts w:ascii="Times New Roman" w:hAnsi="Times New Roman"/>
        </w:rPr>
        <w:t>21</w:t>
      </w:r>
      <w:r w:rsidRPr="00E66AE9">
        <w:rPr>
          <w:rFonts w:ascii="Times New Roman" w:hAnsi="Times New Roman"/>
        </w:rPr>
        <w:t xml:space="preserve">, a to o konkrétnych výškach schodku štátneho rozpočtu v metodike </w:t>
      </w:r>
      <w:r>
        <w:rPr>
          <w:rFonts w:ascii="Times New Roman" w:hAnsi="Times New Roman"/>
        </w:rPr>
        <w:br/>
      </w:r>
      <w:r w:rsidRPr="00E66AE9">
        <w:rPr>
          <w:rFonts w:ascii="Times New Roman" w:hAnsi="Times New Roman"/>
        </w:rPr>
        <w:t xml:space="preserve">ESA 2010 v jednotlivých rokoch zostavovaného rozpočtu a predpokladanom vývoji hospodárenia ostatných subjektov verejnej správy. </w:t>
      </w:r>
    </w:p>
    <w:p w:rsidR="00655B0D" w:rsidRPr="00E66AE9" w:rsidRDefault="00655B0D" w:rsidP="00655B0D">
      <w:pPr>
        <w:autoSpaceDE w:val="0"/>
        <w:autoSpaceDN w:val="0"/>
        <w:adjustRightInd w:val="0"/>
        <w:jc w:val="both"/>
        <w:rPr>
          <w:rFonts w:ascii="Times New Roman" w:hAnsi="Times New Roman"/>
          <w:color w:val="0070C0"/>
        </w:rPr>
      </w:pPr>
    </w:p>
    <w:tbl>
      <w:tblPr>
        <w:tblW w:w="5006" w:type="pct"/>
        <w:jc w:val="center"/>
        <w:tblCellMar>
          <w:left w:w="70" w:type="dxa"/>
          <w:right w:w="70" w:type="dxa"/>
        </w:tblCellMar>
        <w:tblLook w:val="04A0" w:firstRow="1" w:lastRow="0" w:firstColumn="1" w:lastColumn="0" w:noHBand="0" w:noVBand="1"/>
      </w:tblPr>
      <w:tblGrid>
        <w:gridCol w:w="2605"/>
        <w:gridCol w:w="721"/>
        <w:gridCol w:w="823"/>
        <w:gridCol w:w="822"/>
        <w:gridCol w:w="822"/>
        <w:gridCol w:w="820"/>
        <w:gridCol w:w="820"/>
        <w:gridCol w:w="820"/>
        <w:gridCol w:w="820"/>
      </w:tblGrid>
      <w:tr w:rsidR="00655B0D" w:rsidRPr="004D295E" w:rsidTr="004650BC">
        <w:trPr>
          <w:trHeight w:val="255"/>
          <w:jc w:val="center"/>
        </w:trPr>
        <w:tc>
          <w:tcPr>
            <w:tcW w:w="1434" w:type="pct"/>
            <w:tcBorders>
              <w:top w:val="single" w:sz="4" w:space="0" w:color="auto"/>
              <w:left w:val="single" w:sz="4" w:space="0" w:color="auto"/>
              <w:bottom w:val="single" w:sz="4" w:space="0" w:color="auto"/>
              <w:right w:val="single" w:sz="4" w:space="0" w:color="auto"/>
            </w:tcBorders>
            <w:shd w:val="clear" w:color="000000" w:fill="A6A6A6"/>
            <w:vAlign w:val="center"/>
            <w:hideMark/>
          </w:tcPr>
          <w:p w:rsidR="00655B0D" w:rsidRPr="004D295E" w:rsidRDefault="00655B0D" w:rsidP="004650BC">
            <w:pPr>
              <w:jc w:val="center"/>
              <w:rPr>
                <w:rFonts w:ascii="Arial Narrow" w:hAnsi="Arial Narrow" w:cs="Times New Roman"/>
                <w:color w:val="000000"/>
                <w:sz w:val="22"/>
                <w:szCs w:val="22"/>
                <w:lang w:eastAsia="sk-SK"/>
              </w:rPr>
            </w:pPr>
            <w:r w:rsidRPr="004D295E">
              <w:rPr>
                <w:rFonts w:ascii="Arial Narrow" w:hAnsi="Arial Narrow" w:cs="Times New Roman"/>
                <w:color w:val="000000"/>
                <w:sz w:val="22"/>
                <w:szCs w:val="22"/>
                <w:lang w:eastAsia="sk-SK"/>
              </w:rPr>
              <w:t> </w:t>
            </w:r>
          </w:p>
        </w:tc>
        <w:tc>
          <w:tcPr>
            <w:tcW w:w="397" w:type="pct"/>
            <w:tcBorders>
              <w:top w:val="single" w:sz="4" w:space="0" w:color="auto"/>
              <w:left w:val="nil"/>
              <w:bottom w:val="single" w:sz="4" w:space="0" w:color="auto"/>
              <w:right w:val="single" w:sz="4" w:space="0" w:color="auto"/>
            </w:tcBorders>
            <w:shd w:val="clear" w:color="000000" w:fill="A6A6A6"/>
            <w:vAlign w:val="center"/>
            <w:hideMark/>
          </w:tcPr>
          <w:p w:rsidR="00655B0D" w:rsidRPr="004D295E" w:rsidRDefault="00655B0D" w:rsidP="004650BC">
            <w:pPr>
              <w:jc w:val="cente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m. j.</w:t>
            </w:r>
          </w:p>
        </w:tc>
        <w:tc>
          <w:tcPr>
            <w:tcW w:w="453"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2016 S</w:t>
            </w:r>
          </w:p>
        </w:tc>
        <w:tc>
          <w:tcPr>
            <w:tcW w:w="453"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2017 S</w:t>
            </w:r>
          </w:p>
        </w:tc>
        <w:tc>
          <w:tcPr>
            <w:tcW w:w="453"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2018 R</w:t>
            </w:r>
          </w:p>
        </w:tc>
        <w:tc>
          <w:tcPr>
            <w:tcW w:w="452"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2018 OS</w:t>
            </w:r>
          </w:p>
        </w:tc>
        <w:tc>
          <w:tcPr>
            <w:tcW w:w="452"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2019 N</w:t>
            </w:r>
          </w:p>
        </w:tc>
        <w:tc>
          <w:tcPr>
            <w:tcW w:w="452"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2020 N</w:t>
            </w:r>
          </w:p>
        </w:tc>
        <w:tc>
          <w:tcPr>
            <w:tcW w:w="452"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2021 N</w:t>
            </w:r>
          </w:p>
        </w:tc>
      </w:tr>
      <w:tr w:rsidR="00655B0D" w:rsidRPr="004D295E" w:rsidTr="004650BC">
        <w:trPr>
          <w:trHeight w:val="255"/>
          <w:jc w:val="center"/>
        </w:trPr>
        <w:tc>
          <w:tcPr>
            <w:tcW w:w="1434" w:type="pct"/>
            <w:tcBorders>
              <w:top w:val="nil"/>
              <w:left w:val="single" w:sz="4" w:space="0" w:color="auto"/>
              <w:bottom w:val="single" w:sz="4" w:space="0" w:color="auto"/>
              <w:right w:val="single" w:sz="4" w:space="0" w:color="auto"/>
            </w:tcBorders>
            <w:shd w:val="clear" w:color="000000" w:fill="BFBFBF"/>
            <w:vAlign w:val="center"/>
            <w:hideMark/>
          </w:tcPr>
          <w:p w:rsidR="00655B0D" w:rsidRPr="004D295E" w:rsidRDefault="00655B0D" w:rsidP="004650BC">
            <w:pP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Cielený podiel schodku RVS na HDP</w:t>
            </w:r>
          </w:p>
        </w:tc>
        <w:tc>
          <w:tcPr>
            <w:tcW w:w="397"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cente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w:t>
            </w:r>
          </w:p>
        </w:tc>
        <w:tc>
          <w:tcPr>
            <w:tcW w:w="453"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-1,93</w:t>
            </w:r>
          </w:p>
        </w:tc>
        <w:tc>
          <w:tcPr>
            <w:tcW w:w="453"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-1,29</w:t>
            </w:r>
          </w:p>
        </w:tc>
        <w:tc>
          <w:tcPr>
            <w:tcW w:w="453"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-0,83</w:t>
            </w:r>
          </w:p>
        </w:tc>
        <w:tc>
          <w:tcPr>
            <w:tcW w:w="452"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-0,83</w:t>
            </w:r>
          </w:p>
        </w:tc>
        <w:tc>
          <w:tcPr>
            <w:tcW w:w="452"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-0,10</w:t>
            </w:r>
          </w:p>
        </w:tc>
        <w:tc>
          <w:tcPr>
            <w:tcW w:w="452"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0,00</w:t>
            </w:r>
          </w:p>
        </w:tc>
        <w:tc>
          <w:tcPr>
            <w:tcW w:w="452"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0,20</w:t>
            </w:r>
          </w:p>
        </w:tc>
      </w:tr>
      <w:tr w:rsidR="00655B0D" w:rsidRPr="004D295E" w:rsidTr="004650BC">
        <w:trPr>
          <w:trHeight w:val="255"/>
          <w:jc w:val="center"/>
        </w:trPr>
        <w:tc>
          <w:tcPr>
            <w:tcW w:w="1434" w:type="pct"/>
            <w:tcBorders>
              <w:top w:val="nil"/>
              <w:left w:val="single" w:sz="4" w:space="0" w:color="auto"/>
              <w:bottom w:val="single" w:sz="4" w:space="0" w:color="auto"/>
              <w:right w:val="single" w:sz="4" w:space="0" w:color="auto"/>
            </w:tcBorders>
            <w:shd w:val="clear" w:color="auto" w:fill="auto"/>
            <w:vAlign w:val="center"/>
            <w:hideMark/>
          </w:tcPr>
          <w:p w:rsidR="00655B0D" w:rsidRPr="004D295E" w:rsidRDefault="00655B0D" w:rsidP="004650BC">
            <w:pP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Cielený schodok RVS</w:t>
            </w:r>
          </w:p>
        </w:tc>
        <w:tc>
          <w:tcPr>
            <w:tcW w:w="397"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mil. eur</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-1 556,5</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-1 083,5</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-742,8</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-750,8</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-96,9</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218,5</w:t>
            </w:r>
          </w:p>
        </w:tc>
      </w:tr>
      <w:tr w:rsidR="00655B0D" w:rsidRPr="004D295E" w:rsidTr="004650BC">
        <w:trPr>
          <w:trHeight w:val="255"/>
          <w:jc w:val="center"/>
        </w:trPr>
        <w:tc>
          <w:tcPr>
            <w:tcW w:w="1434" w:type="pct"/>
            <w:tcBorders>
              <w:top w:val="nil"/>
              <w:left w:val="single" w:sz="4" w:space="0" w:color="auto"/>
              <w:bottom w:val="single" w:sz="4" w:space="0" w:color="auto"/>
              <w:right w:val="single" w:sz="4" w:space="0" w:color="auto"/>
            </w:tcBorders>
            <w:shd w:val="clear" w:color="000000" w:fill="BFBFBF"/>
            <w:noWrap/>
            <w:vAlign w:val="center"/>
            <w:hideMark/>
          </w:tcPr>
          <w:p w:rsidR="00655B0D" w:rsidRPr="004D295E" w:rsidRDefault="00655B0D" w:rsidP="004650BC">
            <w:pP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Schodok rozpočtu VS na HDP</w:t>
            </w:r>
          </w:p>
        </w:tc>
        <w:tc>
          <w:tcPr>
            <w:tcW w:w="397"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cente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w:t>
            </w:r>
          </w:p>
        </w:tc>
        <w:tc>
          <w:tcPr>
            <w:tcW w:w="453"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-2,22</w:t>
            </w:r>
          </w:p>
        </w:tc>
        <w:tc>
          <w:tcPr>
            <w:tcW w:w="453"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-0,78</w:t>
            </w:r>
          </w:p>
        </w:tc>
        <w:tc>
          <w:tcPr>
            <w:tcW w:w="453"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-0,83</w:t>
            </w:r>
          </w:p>
        </w:tc>
        <w:tc>
          <w:tcPr>
            <w:tcW w:w="452"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-0,60</w:t>
            </w:r>
          </w:p>
        </w:tc>
        <w:tc>
          <w:tcPr>
            <w:tcW w:w="452"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-0,10</w:t>
            </w:r>
          </w:p>
        </w:tc>
        <w:tc>
          <w:tcPr>
            <w:tcW w:w="452"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0,00</w:t>
            </w:r>
          </w:p>
        </w:tc>
        <w:tc>
          <w:tcPr>
            <w:tcW w:w="452"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0,20</w:t>
            </w:r>
          </w:p>
        </w:tc>
      </w:tr>
      <w:tr w:rsidR="00655B0D" w:rsidRPr="004D295E" w:rsidTr="004650BC">
        <w:trPr>
          <w:trHeight w:val="255"/>
          <w:jc w:val="center"/>
        </w:trPr>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Schodok rozpočtu VS spolu</w:t>
            </w:r>
          </w:p>
        </w:tc>
        <w:tc>
          <w:tcPr>
            <w:tcW w:w="397"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mil. eur</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-1 804,7</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-659,3</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-742,8</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-542,9</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-96,9</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218,5</w:t>
            </w:r>
          </w:p>
        </w:tc>
      </w:tr>
      <w:tr w:rsidR="00655B0D" w:rsidRPr="004D295E" w:rsidTr="004650BC">
        <w:trPr>
          <w:trHeight w:val="255"/>
          <w:jc w:val="center"/>
        </w:trPr>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Ostatné subjekty rozpočtu VS</w:t>
            </w:r>
          </w:p>
        </w:tc>
        <w:tc>
          <w:tcPr>
            <w:tcW w:w="397"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mil. eur</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460,4</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426,3</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812,9</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810,4</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988,4</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1 239,6</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1 370,3</w:t>
            </w:r>
          </w:p>
        </w:tc>
      </w:tr>
      <w:tr w:rsidR="00655B0D" w:rsidRPr="004D295E" w:rsidTr="004650BC">
        <w:trPr>
          <w:trHeight w:val="255"/>
          <w:jc w:val="center"/>
        </w:trPr>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Štátny rozpočet</w:t>
            </w:r>
          </w:p>
        </w:tc>
        <w:tc>
          <w:tcPr>
            <w:tcW w:w="397"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mil. eur</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-2 265,1</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-1 085,6</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-1 555,7</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-1 353,3</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-1 085,3</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-1 239,6</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-1 151,8</w:t>
            </w:r>
          </w:p>
        </w:tc>
      </w:tr>
      <w:tr w:rsidR="00655B0D" w:rsidRPr="004D295E" w:rsidTr="004650BC">
        <w:trPr>
          <w:trHeight w:val="255"/>
          <w:jc w:val="center"/>
        </w:trPr>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HDP v b. c.</w:t>
            </w:r>
          </w:p>
        </w:tc>
        <w:tc>
          <w:tcPr>
            <w:tcW w:w="397"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mil. eur</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81 226,1</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84 850,9</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89 495,3</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90 463,6</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96 890,4</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103 188,6</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109 272,9</w:t>
            </w:r>
          </w:p>
        </w:tc>
      </w:tr>
    </w:tbl>
    <w:p w:rsidR="00655B0D" w:rsidRPr="00832237" w:rsidRDefault="00655B0D" w:rsidP="00655B0D">
      <w:pPr>
        <w:tabs>
          <w:tab w:val="left" w:pos="0"/>
        </w:tabs>
        <w:jc w:val="both"/>
        <w:rPr>
          <w:rFonts w:ascii="Times New Roman" w:hAnsi="Times New Roman"/>
        </w:rPr>
      </w:pPr>
      <w:r w:rsidRPr="00832237">
        <w:rPr>
          <w:rFonts w:ascii="Times New Roman" w:hAnsi="Times New Roman"/>
        </w:rPr>
        <w:tab/>
      </w:r>
    </w:p>
    <w:p w:rsidR="00655B0D" w:rsidRDefault="00655B0D" w:rsidP="00655B0D">
      <w:pPr>
        <w:tabs>
          <w:tab w:val="left" w:pos="0"/>
        </w:tabs>
        <w:jc w:val="both"/>
        <w:rPr>
          <w:rFonts w:ascii="Times New Roman" w:hAnsi="Times New Roman"/>
          <w:szCs w:val="22"/>
        </w:rPr>
      </w:pPr>
      <w:r w:rsidRPr="00832237">
        <w:rPr>
          <w:rFonts w:ascii="Times New Roman" w:hAnsi="Times New Roman"/>
          <w:color w:val="0070C0"/>
          <w:szCs w:val="22"/>
        </w:rPr>
        <w:tab/>
      </w:r>
      <w:r>
        <w:rPr>
          <w:rFonts w:ascii="Times New Roman" w:hAnsi="Times New Roman"/>
          <w:szCs w:val="22"/>
        </w:rPr>
        <w:t>V roku 2019</w:t>
      </w:r>
      <w:r w:rsidRPr="00832237">
        <w:rPr>
          <w:rFonts w:ascii="Times New Roman" w:hAnsi="Times New Roman"/>
          <w:szCs w:val="22"/>
        </w:rPr>
        <w:t xml:space="preserve"> sa predpokladá prebytkové hospodárenie ostatných subjektov verejnej správy vo výške </w:t>
      </w:r>
      <w:r>
        <w:rPr>
          <w:rFonts w:ascii="Times New Roman" w:hAnsi="Times New Roman"/>
          <w:szCs w:val="22"/>
        </w:rPr>
        <w:t>988,4</w:t>
      </w:r>
      <w:r w:rsidRPr="00832237">
        <w:rPr>
          <w:rFonts w:ascii="Times New Roman" w:hAnsi="Times New Roman"/>
          <w:szCs w:val="22"/>
        </w:rPr>
        <w:t xml:space="preserve"> mil. eur. </w:t>
      </w:r>
    </w:p>
    <w:p w:rsidR="00655B0D" w:rsidRDefault="00655B0D" w:rsidP="00655B0D">
      <w:pPr>
        <w:tabs>
          <w:tab w:val="left" w:pos="0"/>
        </w:tabs>
        <w:jc w:val="both"/>
        <w:rPr>
          <w:rFonts w:ascii="Times New Roman" w:hAnsi="Times New Roman"/>
        </w:rPr>
      </w:pPr>
    </w:p>
    <w:p w:rsidR="00655B0D" w:rsidRDefault="00655B0D" w:rsidP="00655B0D">
      <w:pPr>
        <w:tabs>
          <w:tab w:val="left" w:pos="0"/>
        </w:tabs>
        <w:jc w:val="both"/>
        <w:rPr>
          <w:rFonts w:ascii="Times New Roman" w:hAnsi="Times New Roman"/>
        </w:rPr>
      </w:pPr>
    </w:p>
    <w:p w:rsidR="00655B0D" w:rsidRDefault="00655B0D" w:rsidP="00655B0D">
      <w:pPr>
        <w:tabs>
          <w:tab w:val="left" w:pos="0"/>
        </w:tabs>
        <w:jc w:val="both"/>
        <w:rPr>
          <w:rFonts w:ascii="Times New Roman" w:hAnsi="Times New Roman"/>
        </w:rPr>
      </w:pPr>
    </w:p>
    <w:p w:rsidR="00655B0D" w:rsidRDefault="00655B0D" w:rsidP="00655B0D">
      <w:pPr>
        <w:tabs>
          <w:tab w:val="left" w:pos="0"/>
        </w:tabs>
        <w:jc w:val="both"/>
        <w:rPr>
          <w:rFonts w:ascii="Times New Roman" w:hAnsi="Times New Roman"/>
        </w:rPr>
      </w:pPr>
    </w:p>
    <w:p w:rsidR="00655B0D" w:rsidRDefault="00655B0D" w:rsidP="00655B0D">
      <w:pPr>
        <w:tabs>
          <w:tab w:val="left" w:pos="0"/>
        </w:tabs>
        <w:jc w:val="both"/>
        <w:rPr>
          <w:rFonts w:ascii="Times New Roman" w:hAnsi="Times New Roman"/>
        </w:rPr>
      </w:pPr>
    </w:p>
    <w:p w:rsidR="00655B0D" w:rsidRDefault="00655B0D" w:rsidP="00655B0D">
      <w:pPr>
        <w:tabs>
          <w:tab w:val="left" w:pos="0"/>
        </w:tabs>
        <w:jc w:val="both"/>
        <w:rPr>
          <w:rFonts w:ascii="Times New Roman" w:hAnsi="Times New Roman"/>
        </w:rPr>
      </w:pPr>
    </w:p>
    <w:p w:rsidR="00655B0D" w:rsidRDefault="00655B0D" w:rsidP="00655B0D">
      <w:pPr>
        <w:tabs>
          <w:tab w:val="left" w:pos="0"/>
        </w:tabs>
        <w:jc w:val="both"/>
        <w:rPr>
          <w:rFonts w:ascii="Times New Roman" w:hAnsi="Times New Roman"/>
        </w:rPr>
      </w:pPr>
    </w:p>
    <w:p w:rsidR="00655B0D" w:rsidRDefault="00655B0D" w:rsidP="00655B0D">
      <w:pPr>
        <w:tabs>
          <w:tab w:val="left" w:pos="0"/>
        </w:tabs>
        <w:jc w:val="both"/>
        <w:rPr>
          <w:rFonts w:ascii="Times New Roman" w:hAnsi="Times New Roman"/>
        </w:rPr>
      </w:pPr>
    </w:p>
    <w:p w:rsidR="00655B0D" w:rsidRDefault="00655B0D" w:rsidP="00655B0D">
      <w:pPr>
        <w:tabs>
          <w:tab w:val="left" w:pos="0"/>
        </w:tabs>
        <w:jc w:val="both"/>
        <w:rPr>
          <w:rFonts w:ascii="Times New Roman" w:hAnsi="Times New Roman"/>
        </w:rPr>
      </w:pPr>
    </w:p>
    <w:p w:rsidR="00655B0D" w:rsidRDefault="00655B0D" w:rsidP="00655B0D">
      <w:pPr>
        <w:tabs>
          <w:tab w:val="left" w:pos="0"/>
        </w:tabs>
        <w:jc w:val="both"/>
        <w:rPr>
          <w:rFonts w:ascii="Times New Roman" w:hAnsi="Times New Roman"/>
        </w:rPr>
      </w:pPr>
      <w:r>
        <w:rPr>
          <w:rFonts w:ascii="Times New Roman" w:hAnsi="Times New Roman"/>
        </w:rPr>
        <w:lastRenderedPageBreak/>
        <w:tab/>
      </w:r>
      <w:r w:rsidRPr="00832237">
        <w:rPr>
          <w:rFonts w:ascii="Times New Roman" w:hAnsi="Times New Roman"/>
        </w:rPr>
        <w:t>Predpokladaný vývoj hospodárenia ostatných subjektov verejnej správy je nasledovný</w:t>
      </w:r>
      <w:r>
        <w:rPr>
          <w:rFonts w:ascii="Times New Roman" w:hAnsi="Times New Roman"/>
        </w:rPr>
        <w:t>.</w:t>
      </w:r>
    </w:p>
    <w:p w:rsidR="00655B0D" w:rsidRPr="00832237" w:rsidRDefault="00655B0D" w:rsidP="00655B0D">
      <w:pPr>
        <w:tabs>
          <w:tab w:val="left" w:pos="0"/>
        </w:tabs>
        <w:jc w:val="both"/>
        <w:rPr>
          <w:rFonts w:ascii="Times New Roman" w:hAnsi="Times New Roman"/>
        </w:rPr>
      </w:pPr>
    </w:p>
    <w:tbl>
      <w:tblPr>
        <w:tblW w:w="5014" w:type="pct"/>
        <w:jc w:val="center"/>
        <w:tblCellMar>
          <w:left w:w="70" w:type="dxa"/>
          <w:right w:w="70" w:type="dxa"/>
        </w:tblCellMar>
        <w:tblLook w:val="04A0" w:firstRow="1" w:lastRow="0" w:firstColumn="1" w:lastColumn="0" w:noHBand="0" w:noVBand="1"/>
      </w:tblPr>
      <w:tblGrid>
        <w:gridCol w:w="3336"/>
        <w:gridCol w:w="822"/>
        <w:gridCol w:w="822"/>
        <w:gridCol w:w="822"/>
        <w:gridCol w:w="822"/>
        <w:gridCol w:w="821"/>
        <w:gridCol w:w="821"/>
        <w:gridCol w:w="821"/>
      </w:tblGrid>
      <w:tr w:rsidR="00655B0D" w:rsidRPr="00624EE9" w:rsidTr="004650BC">
        <w:trPr>
          <w:trHeight w:val="240"/>
          <w:jc w:val="center"/>
        </w:trPr>
        <w:tc>
          <w:tcPr>
            <w:tcW w:w="1834" w:type="pct"/>
            <w:tcBorders>
              <w:top w:val="single" w:sz="4" w:space="0" w:color="auto"/>
              <w:left w:val="single" w:sz="4" w:space="0" w:color="auto"/>
              <w:bottom w:val="single" w:sz="4" w:space="0" w:color="auto"/>
              <w:right w:val="single" w:sz="4" w:space="0" w:color="auto"/>
            </w:tcBorders>
            <w:shd w:val="clear" w:color="000000" w:fill="A6A6A6"/>
            <w:vAlign w:val="center"/>
            <w:hideMark/>
          </w:tcPr>
          <w:p w:rsidR="00655B0D" w:rsidRPr="00624EE9" w:rsidRDefault="00655B0D" w:rsidP="004650BC">
            <w:pPr>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(v mil. eur; ESA 2010 na nekonsolidovanej báze)</w:t>
            </w:r>
          </w:p>
        </w:tc>
        <w:tc>
          <w:tcPr>
            <w:tcW w:w="452"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624EE9" w:rsidRDefault="00655B0D" w:rsidP="004650BC">
            <w:pPr>
              <w:jc w:val="center"/>
              <w:rPr>
                <w:rFonts w:ascii="Times New Roman" w:hAnsi="Times New Roman" w:cs="Times New Roman"/>
                <w:b/>
                <w:bCs/>
                <w:sz w:val="14"/>
                <w:szCs w:val="14"/>
                <w:lang w:eastAsia="sk-SK"/>
              </w:rPr>
            </w:pPr>
            <w:r w:rsidRPr="00624EE9">
              <w:rPr>
                <w:rFonts w:ascii="Times New Roman" w:hAnsi="Times New Roman" w:cs="Times New Roman"/>
                <w:b/>
                <w:bCs/>
                <w:sz w:val="14"/>
                <w:szCs w:val="14"/>
                <w:lang w:eastAsia="sk-SK"/>
              </w:rPr>
              <w:t>2016 S</w:t>
            </w:r>
          </w:p>
        </w:tc>
        <w:tc>
          <w:tcPr>
            <w:tcW w:w="452"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624EE9" w:rsidRDefault="00655B0D" w:rsidP="004650BC">
            <w:pPr>
              <w:jc w:val="center"/>
              <w:rPr>
                <w:rFonts w:ascii="Times New Roman" w:hAnsi="Times New Roman" w:cs="Times New Roman"/>
                <w:b/>
                <w:bCs/>
                <w:color w:val="000000"/>
                <w:sz w:val="14"/>
                <w:szCs w:val="14"/>
                <w:lang w:eastAsia="sk-SK"/>
              </w:rPr>
            </w:pPr>
            <w:r w:rsidRPr="00624EE9">
              <w:rPr>
                <w:rFonts w:ascii="Times New Roman" w:hAnsi="Times New Roman" w:cs="Times New Roman"/>
                <w:b/>
                <w:bCs/>
                <w:color w:val="000000"/>
                <w:sz w:val="14"/>
                <w:szCs w:val="14"/>
                <w:lang w:eastAsia="sk-SK"/>
              </w:rPr>
              <w:t>2017 S</w:t>
            </w:r>
          </w:p>
        </w:tc>
        <w:tc>
          <w:tcPr>
            <w:tcW w:w="452"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624EE9" w:rsidRDefault="00655B0D" w:rsidP="004650BC">
            <w:pPr>
              <w:jc w:val="center"/>
              <w:rPr>
                <w:rFonts w:ascii="Times New Roman" w:hAnsi="Times New Roman" w:cs="Times New Roman"/>
                <w:b/>
                <w:bCs/>
                <w:color w:val="000000"/>
                <w:sz w:val="14"/>
                <w:szCs w:val="14"/>
                <w:lang w:eastAsia="sk-SK"/>
              </w:rPr>
            </w:pPr>
            <w:r w:rsidRPr="00624EE9">
              <w:rPr>
                <w:rFonts w:ascii="Times New Roman" w:hAnsi="Times New Roman" w:cs="Times New Roman"/>
                <w:b/>
                <w:bCs/>
                <w:color w:val="000000"/>
                <w:sz w:val="14"/>
                <w:szCs w:val="14"/>
                <w:lang w:eastAsia="sk-SK"/>
              </w:rPr>
              <w:t>2018 R</w:t>
            </w:r>
          </w:p>
        </w:tc>
        <w:tc>
          <w:tcPr>
            <w:tcW w:w="452"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624EE9" w:rsidRDefault="00655B0D" w:rsidP="004650BC">
            <w:pPr>
              <w:jc w:val="center"/>
              <w:rPr>
                <w:rFonts w:ascii="Times New Roman" w:hAnsi="Times New Roman" w:cs="Times New Roman"/>
                <w:b/>
                <w:bCs/>
                <w:color w:val="000000"/>
                <w:sz w:val="14"/>
                <w:szCs w:val="14"/>
                <w:lang w:eastAsia="sk-SK"/>
              </w:rPr>
            </w:pPr>
            <w:r w:rsidRPr="00624EE9">
              <w:rPr>
                <w:rFonts w:ascii="Times New Roman" w:hAnsi="Times New Roman" w:cs="Times New Roman"/>
                <w:b/>
                <w:bCs/>
                <w:color w:val="000000"/>
                <w:sz w:val="14"/>
                <w:szCs w:val="14"/>
                <w:lang w:eastAsia="sk-SK"/>
              </w:rPr>
              <w:t>2018 OS</w:t>
            </w:r>
          </w:p>
        </w:tc>
        <w:tc>
          <w:tcPr>
            <w:tcW w:w="452"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624EE9" w:rsidRDefault="00655B0D" w:rsidP="004650BC">
            <w:pPr>
              <w:jc w:val="center"/>
              <w:rPr>
                <w:rFonts w:ascii="Times New Roman" w:hAnsi="Times New Roman" w:cs="Times New Roman"/>
                <w:b/>
                <w:bCs/>
                <w:color w:val="000000"/>
                <w:sz w:val="14"/>
                <w:szCs w:val="14"/>
                <w:lang w:eastAsia="sk-SK"/>
              </w:rPr>
            </w:pPr>
            <w:r w:rsidRPr="00624EE9">
              <w:rPr>
                <w:rFonts w:ascii="Times New Roman" w:hAnsi="Times New Roman" w:cs="Times New Roman"/>
                <w:b/>
                <w:bCs/>
                <w:color w:val="000000"/>
                <w:sz w:val="14"/>
                <w:szCs w:val="14"/>
                <w:lang w:eastAsia="sk-SK"/>
              </w:rPr>
              <w:t>2019 N</w:t>
            </w:r>
          </w:p>
        </w:tc>
        <w:tc>
          <w:tcPr>
            <w:tcW w:w="452"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624EE9" w:rsidRDefault="00655B0D" w:rsidP="004650BC">
            <w:pPr>
              <w:jc w:val="center"/>
              <w:rPr>
                <w:rFonts w:ascii="Times New Roman" w:hAnsi="Times New Roman" w:cs="Times New Roman"/>
                <w:b/>
                <w:bCs/>
                <w:color w:val="000000"/>
                <w:sz w:val="14"/>
                <w:szCs w:val="14"/>
                <w:lang w:eastAsia="sk-SK"/>
              </w:rPr>
            </w:pPr>
            <w:r w:rsidRPr="00624EE9">
              <w:rPr>
                <w:rFonts w:ascii="Times New Roman" w:hAnsi="Times New Roman" w:cs="Times New Roman"/>
                <w:b/>
                <w:bCs/>
                <w:color w:val="000000"/>
                <w:sz w:val="14"/>
                <w:szCs w:val="14"/>
                <w:lang w:eastAsia="sk-SK"/>
              </w:rPr>
              <w:t>2020 N</w:t>
            </w:r>
          </w:p>
        </w:tc>
        <w:tc>
          <w:tcPr>
            <w:tcW w:w="452"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624EE9" w:rsidRDefault="00655B0D" w:rsidP="004650BC">
            <w:pPr>
              <w:jc w:val="center"/>
              <w:rPr>
                <w:rFonts w:ascii="Times New Roman" w:hAnsi="Times New Roman" w:cs="Times New Roman"/>
                <w:b/>
                <w:bCs/>
                <w:color w:val="000000"/>
                <w:sz w:val="14"/>
                <w:szCs w:val="14"/>
                <w:lang w:eastAsia="sk-SK"/>
              </w:rPr>
            </w:pPr>
            <w:r w:rsidRPr="00624EE9">
              <w:rPr>
                <w:rFonts w:ascii="Times New Roman" w:hAnsi="Times New Roman" w:cs="Times New Roman"/>
                <w:b/>
                <w:bCs/>
                <w:color w:val="000000"/>
                <w:sz w:val="14"/>
                <w:szCs w:val="14"/>
                <w:lang w:eastAsia="sk-SK"/>
              </w:rPr>
              <w:t>2021 N</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000000" w:fill="BFBFBF"/>
            <w:noWrap/>
            <w:vAlign w:val="center"/>
            <w:hideMark/>
          </w:tcPr>
          <w:p w:rsidR="00655B0D" w:rsidRPr="00624EE9" w:rsidRDefault="00655B0D" w:rsidP="004650BC">
            <w:pPr>
              <w:rPr>
                <w:rFonts w:ascii="Times New Roman" w:hAnsi="Times New Roman" w:cs="Times New Roman"/>
                <w:b/>
                <w:bCs/>
                <w:color w:val="000000"/>
                <w:sz w:val="14"/>
                <w:szCs w:val="14"/>
                <w:lang w:eastAsia="sk-SK"/>
              </w:rPr>
            </w:pPr>
            <w:r w:rsidRPr="00624EE9">
              <w:rPr>
                <w:rFonts w:ascii="Times New Roman" w:hAnsi="Times New Roman" w:cs="Times New Roman"/>
                <w:b/>
                <w:bCs/>
                <w:color w:val="000000"/>
                <w:sz w:val="14"/>
                <w:szCs w:val="14"/>
                <w:lang w:eastAsia="sk-SK"/>
              </w:rPr>
              <w:t>Ostatné subjekty rozpočtu VS spolu</w:t>
            </w:r>
          </w:p>
        </w:tc>
        <w:tc>
          <w:tcPr>
            <w:tcW w:w="452" w:type="pct"/>
            <w:tcBorders>
              <w:top w:val="nil"/>
              <w:left w:val="nil"/>
              <w:bottom w:val="single" w:sz="4" w:space="0" w:color="auto"/>
              <w:right w:val="single" w:sz="4" w:space="0" w:color="auto"/>
            </w:tcBorders>
            <w:shd w:val="clear" w:color="000000" w:fill="BFBFBF"/>
            <w:noWrap/>
            <w:vAlign w:val="center"/>
            <w:hideMark/>
          </w:tcPr>
          <w:p w:rsidR="00655B0D" w:rsidRPr="00624EE9" w:rsidRDefault="00655B0D" w:rsidP="004650BC">
            <w:pPr>
              <w:jc w:val="right"/>
              <w:rPr>
                <w:rFonts w:ascii="Times New Roman" w:hAnsi="Times New Roman" w:cs="Times New Roman"/>
                <w:b/>
                <w:bCs/>
                <w:color w:val="000000"/>
                <w:sz w:val="14"/>
                <w:szCs w:val="14"/>
                <w:lang w:eastAsia="sk-SK"/>
              </w:rPr>
            </w:pPr>
            <w:r w:rsidRPr="00624EE9">
              <w:rPr>
                <w:rFonts w:ascii="Times New Roman" w:hAnsi="Times New Roman" w:cs="Times New Roman"/>
                <w:b/>
                <w:bCs/>
                <w:color w:val="000000"/>
                <w:sz w:val="14"/>
                <w:szCs w:val="14"/>
                <w:lang w:eastAsia="sk-SK"/>
              </w:rPr>
              <w:t>460,4</w:t>
            </w:r>
          </w:p>
        </w:tc>
        <w:tc>
          <w:tcPr>
            <w:tcW w:w="452" w:type="pct"/>
            <w:tcBorders>
              <w:top w:val="nil"/>
              <w:left w:val="nil"/>
              <w:bottom w:val="single" w:sz="4" w:space="0" w:color="auto"/>
              <w:right w:val="single" w:sz="4" w:space="0" w:color="auto"/>
            </w:tcBorders>
            <w:shd w:val="clear" w:color="000000" w:fill="BFBFBF"/>
            <w:noWrap/>
            <w:vAlign w:val="center"/>
            <w:hideMark/>
          </w:tcPr>
          <w:p w:rsidR="00655B0D" w:rsidRPr="00624EE9" w:rsidRDefault="00655B0D" w:rsidP="004650BC">
            <w:pPr>
              <w:jc w:val="right"/>
              <w:rPr>
                <w:rFonts w:ascii="Times New Roman" w:hAnsi="Times New Roman" w:cs="Times New Roman"/>
                <w:b/>
                <w:bCs/>
                <w:color w:val="000000"/>
                <w:sz w:val="14"/>
                <w:szCs w:val="14"/>
                <w:lang w:eastAsia="sk-SK"/>
              </w:rPr>
            </w:pPr>
            <w:r w:rsidRPr="00624EE9">
              <w:rPr>
                <w:rFonts w:ascii="Times New Roman" w:hAnsi="Times New Roman" w:cs="Times New Roman"/>
                <w:b/>
                <w:bCs/>
                <w:color w:val="000000"/>
                <w:sz w:val="14"/>
                <w:szCs w:val="14"/>
                <w:lang w:eastAsia="sk-SK"/>
              </w:rPr>
              <w:t>426,3</w:t>
            </w:r>
          </w:p>
        </w:tc>
        <w:tc>
          <w:tcPr>
            <w:tcW w:w="452" w:type="pct"/>
            <w:tcBorders>
              <w:top w:val="nil"/>
              <w:left w:val="nil"/>
              <w:bottom w:val="single" w:sz="4" w:space="0" w:color="auto"/>
              <w:right w:val="single" w:sz="4" w:space="0" w:color="auto"/>
            </w:tcBorders>
            <w:shd w:val="clear" w:color="000000" w:fill="BFBFBF"/>
            <w:noWrap/>
            <w:vAlign w:val="center"/>
            <w:hideMark/>
          </w:tcPr>
          <w:p w:rsidR="00655B0D" w:rsidRPr="00624EE9" w:rsidRDefault="00655B0D" w:rsidP="004650BC">
            <w:pPr>
              <w:jc w:val="right"/>
              <w:rPr>
                <w:rFonts w:ascii="Times New Roman" w:hAnsi="Times New Roman" w:cs="Times New Roman"/>
                <w:b/>
                <w:bCs/>
                <w:color w:val="000000"/>
                <w:sz w:val="14"/>
                <w:szCs w:val="14"/>
                <w:lang w:eastAsia="sk-SK"/>
              </w:rPr>
            </w:pPr>
            <w:r w:rsidRPr="00624EE9">
              <w:rPr>
                <w:rFonts w:ascii="Times New Roman" w:hAnsi="Times New Roman" w:cs="Times New Roman"/>
                <w:b/>
                <w:bCs/>
                <w:color w:val="000000"/>
                <w:sz w:val="14"/>
                <w:szCs w:val="14"/>
                <w:lang w:eastAsia="sk-SK"/>
              </w:rPr>
              <w:t>812,9</w:t>
            </w:r>
          </w:p>
        </w:tc>
        <w:tc>
          <w:tcPr>
            <w:tcW w:w="452" w:type="pct"/>
            <w:tcBorders>
              <w:top w:val="nil"/>
              <w:left w:val="nil"/>
              <w:bottom w:val="single" w:sz="4" w:space="0" w:color="auto"/>
              <w:right w:val="single" w:sz="4" w:space="0" w:color="auto"/>
            </w:tcBorders>
            <w:shd w:val="clear" w:color="000000" w:fill="BFBFBF"/>
            <w:noWrap/>
            <w:vAlign w:val="center"/>
            <w:hideMark/>
          </w:tcPr>
          <w:p w:rsidR="00655B0D" w:rsidRPr="00624EE9" w:rsidRDefault="00655B0D" w:rsidP="004650BC">
            <w:pPr>
              <w:jc w:val="right"/>
              <w:rPr>
                <w:rFonts w:ascii="Times New Roman" w:hAnsi="Times New Roman" w:cs="Times New Roman"/>
                <w:b/>
                <w:bCs/>
                <w:color w:val="000000"/>
                <w:sz w:val="14"/>
                <w:szCs w:val="14"/>
                <w:lang w:eastAsia="sk-SK"/>
              </w:rPr>
            </w:pPr>
            <w:r w:rsidRPr="00624EE9">
              <w:rPr>
                <w:rFonts w:ascii="Times New Roman" w:hAnsi="Times New Roman" w:cs="Times New Roman"/>
                <w:b/>
                <w:bCs/>
                <w:color w:val="000000"/>
                <w:sz w:val="14"/>
                <w:szCs w:val="14"/>
                <w:lang w:eastAsia="sk-SK"/>
              </w:rPr>
              <w:t>810,4</w:t>
            </w:r>
          </w:p>
        </w:tc>
        <w:tc>
          <w:tcPr>
            <w:tcW w:w="452" w:type="pct"/>
            <w:tcBorders>
              <w:top w:val="nil"/>
              <w:left w:val="nil"/>
              <w:bottom w:val="single" w:sz="4" w:space="0" w:color="auto"/>
              <w:right w:val="single" w:sz="4" w:space="0" w:color="auto"/>
            </w:tcBorders>
            <w:shd w:val="clear" w:color="000000" w:fill="BFBFBF"/>
            <w:noWrap/>
            <w:vAlign w:val="center"/>
            <w:hideMark/>
          </w:tcPr>
          <w:p w:rsidR="00655B0D" w:rsidRPr="00624EE9" w:rsidRDefault="00655B0D" w:rsidP="004650BC">
            <w:pPr>
              <w:jc w:val="right"/>
              <w:rPr>
                <w:rFonts w:ascii="Times New Roman" w:hAnsi="Times New Roman" w:cs="Times New Roman"/>
                <w:b/>
                <w:bCs/>
                <w:color w:val="000000"/>
                <w:sz w:val="14"/>
                <w:szCs w:val="14"/>
                <w:lang w:eastAsia="sk-SK"/>
              </w:rPr>
            </w:pPr>
            <w:r w:rsidRPr="00624EE9">
              <w:rPr>
                <w:rFonts w:ascii="Times New Roman" w:hAnsi="Times New Roman" w:cs="Times New Roman"/>
                <w:b/>
                <w:bCs/>
                <w:color w:val="000000"/>
                <w:sz w:val="14"/>
                <w:szCs w:val="14"/>
                <w:lang w:eastAsia="sk-SK"/>
              </w:rPr>
              <w:t>988,4</w:t>
            </w:r>
          </w:p>
        </w:tc>
        <w:tc>
          <w:tcPr>
            <w:tcW w:w="452" w:type="pct"/>
            <w:tcBorders>
              <w:top w:val="nil"/>
              <w:left w:val="nil"/>
              <w:bottom w:val="single" w:sz="4" w:space="0" w:color="auto"/>
              <w:right w:val="single" w:sz="4" w:space="0" w:color="auto"/>
            </w:tcBorders>
            <w:shd w:val="clear" w:color="000000" w:fill="BFBFBF"/>
            <w:noWrap/>
            <w:vAlign w:val="center"/>
            <w:hideMark/>
          </w:tcPr>
          <w:p w:rsidR="00655B0D" w:rsidRPr="00624EE9" w:rsidRDefault="00655B0D" w:rsidP="004650BC">
            <w:pPr>
              <w:jc w:val="right"/>
              <w:rPr>
                <w:rFonts w:ascii="Times New Roman" w:hAnsi="Times New Roman" w:cs="Times New Roman"/>
                <w:b/>
                <w:bCs/>
                <w:color w:val="000000"/>
                <w:sz w:val="14"/>
                <w:szCs w:val="14"/>
                <w:lang w:eastAsia="sk-SK"/>
              </w:rPr>
            </w:pPr>
            <w:r w:rsidRPr="00624EE9">
              <w:rPr>
                <w:rFonts w:ascii="Times New Roman" w:hAnsi="Times New Roman" w:cs="Times New Roman"/>
                <w:b/>
                <w:bCs/>
                <w:color w:val="000000"/>
                <w:sz w:val="14"/>
                <w:szCs w:val="14"/>
                <w:lang w:eastAsia="sk-SK"/>
              </w:rPr>
              <w:t>1 239,6</w:t>
            </w:r>
          </w:p>
        </w:tc>
        <w:tc>
          <w:tcPr>
            <w:tcW w:w="452" w:type="pct"/>
            <w:tcBorders>
              <w:top w:val="nil"/>
              <w:left w:val="nil"/>
              <w:bottom w:val="single" w:sz="4" w:space="0" w:color="auto"/>
              <w:right w:val="single" w:sz="4" w:space="0" w:color="auto"/>
            </w:tcBorders>
            <w:shd w:val="clear" w:color="000000" w:fill="BFBFBF"/>
            <w:noWrap/>
            <w:vAlign w:val="center"/>
            <w:hideMark/>
          </w:tcPr>
          <w:p w:rsidR="00655B0D" w:rsidRPr="00624EE9" w:rsidRDefault="00655B0D" w:rsidP="004650BC">
            <w:pPr>
              <w:jc w:val="right"/>
              <w:rPr>
                <w:rFonts w:ascii="Times New Roman" w:hAnsi="Times New Roman" w:cs="Times New Roman"/>
                <w:b/>
                <w:bCs/>
                <w:color w:val="000000"/>
                <w:sz w:val="14"/>
                <w:szCs w:val="14"/>
                <w:lang w:eastAsia="sk-SK"/>
              </w:rPr>
            </w:pPr>
            <w:r w:rsidRPr="00624EE9">
              <w:rPr>
                <w:rFonts w:ascii="Times New Roman" w:hAnsi="Times New Roman" w:cs="Times New Roman"/>
                <w:b/>
                <w:bCs/>
                <w:color w:val="000000"/>
                <w:sz w:val="14"/>
                <w:szCs w:val="14"/>
                <w:lang w:eastAsia="sk-SK"/>
              </w:rPr>
              <w:t>1 370,3</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Obce </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348,3</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-7,7</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170,1</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106,3</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234,5</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228,3</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197,4</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Dopravné podniky miest (BA, ZA, KE, PO) </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12,6</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8,5</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9,3</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9,3</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11,8</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14,6</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14,6</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Vyššie územné celky</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84,3</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-15,7</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90,1</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82,7</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122,1</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147,5</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141,5</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Sociálna poisťovňa </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-180,4</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75,9</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40,9</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111,1</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64,9</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288,6</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481,4</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Verejné zdravotné poistenie</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-72,7</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167,0</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130,0</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190,2</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135,0</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98,9</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40,1</w:t>
            </w:r>
          </w:p>
        </w:tc>
      </w:tr>
      <w:tr w:rsidR="00655B0D" w:rsidRPr="00624EE9" w:rsidTr="004650BC">
        <w:trPr>
          <w:trHeight w:val="255"/>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Národný jadrový fond </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102,2</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92,3</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122,5</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86,7</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145,6</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142,9</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135,5</w:t>
            </w:r>
          </w:p>
        </w:tc>
      </w:tr>
      <w:tr w:rsidR="00655B0D" w:rsidRPr="00624EE9" w:rsidTr="004650BC">
        <w:trPr>
          <w:trHeight w:val="240"/>
          <w:jc w:val="center"/>
        </w:trPr>
        <w:tc>
          <w:tcPr>
            <w:tcW w:w="1834" w:type="pct"/>
            <w:tcBorders>
              <w:top w:val="nil"/>
              <w:left w:val="single" w:sz="4" w:space="0" w:color="auto"/>
              <w:bottom w:val="nil"/>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MH Manažment, a.s.</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-47,0</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-27,6</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-4,0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-9,4</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-2,0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-2,0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-2,0</w:t>
            </w:r>
          </w:p>
        </w:tc>
      </w:tr>
      <w:tr w:rsidR="00655B0D" w:rsidRPr="00624EE9" w:rsidTr="004650BC">
        <w:trPr>
          <w:trHeight w:val="240"/>
          <w:jc w:val="center"/>
        </w:trPr>
        <w:tc>
          <w:tcPr>
            <w:tcW w:w="18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Environmentálny fond </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41,3</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48,9</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130,0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140,5</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123,4</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146,9</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152,8</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Štátny fond rozvoja bývania</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44,8</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52,9</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45,3</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46,5</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45,8</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45,6</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45,6</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Úrad pre dohľad nad ZS</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1,4</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0,2</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0,3</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0,2</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0,5</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0,5</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Slovenský pozemkový fond</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0,1</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19,9</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8,4</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7,4</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8,5</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8,4</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8,4</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Slovenská konsolidačná, a. s.</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-5,0</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0,1</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-1,3</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-0,4</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-0,5</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Verejné vysoké školy</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47,3</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20,3</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0,2</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-3,4</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0,2</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0,2</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0,2</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Rozhlas a televízia Slovenska</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2,7</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0,5</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0,1</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-5,1</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0,1</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0,1</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0,1</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TASR</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0,2</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0,5</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-0,4</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Úrad pre dohľad nad výkonom auditu</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0,1</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0,4</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-0,1</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-0,1</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-0,1</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-0,1</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-0,1</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Audiovizuálny fond </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-0,9</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2,6</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Kancelária Rady pre rozpočtovú zodpovednosť</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0,1</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-0,1</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-0,1</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-0,1</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-0,1</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Železnice Slovenskej republiky</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47,7</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-94,8</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9,5</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Železničná spoločnosť Slovensko, a.s.</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-17,0</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7,3</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-6,7</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4,9</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0,4</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1,7</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26,8</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Národná diaľničná spoločnosť, a. s.</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98,5</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-35,1</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37,0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-11,8</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37,0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35,8</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35,8</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Agentúra pre núdzové zásoby ropy a ropn. výrobkov</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5,7</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54,4</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71,1</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49,2</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64,7</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59,1</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53,3</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Fond na podporu vzdelávania</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0,4</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0,5</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0,2</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0,3</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0,2</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0,2</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0,2</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Fond na podporu umenia</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0,3</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0,1</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-0,2</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Eximbanka</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9,3</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0,6</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0,1</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7,5</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0,8</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0,7</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0,7</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Recyklačný fond</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-38,6</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-10,9</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Zdravotnícke zariadenia</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-70,7</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-35,9</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-16,6</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41,9</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-0,7</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28,0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28,6</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MH Invest, s.r.o.</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10,4</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25,3</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-0,2</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-28,9</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0,1</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1,1</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1,1</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MH Invest II., s.r.o.</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-20,5</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23,4</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-0,7</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-0,6</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-0,4</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-0,4</w:t>
            </w:r>
          </w:p>
        </w:tc>
      </w:tr>
      <w:tr w:rsidR="00655B0D" w:rsidRPr="00624EE9" w:rsidTr="004650BC">
        <w:trPr>
          <w:trHeight w:val="240"/>
          <w:jc w:val="center"/>
        </w:trPr>
        <w:tc>
          <w:tcPr>
            <w:tcW w:w="18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Javys, a.s.</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12,1</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7,0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-5,0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-5,5</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0,9</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-7,3</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10,1</w:t>
            </w:r>
          </w:p>
        </w:tc>
      </w:tr>
      <w:tr w:rsidR="00655B0D" w:rsidRPr="00624EE9" w:rsidTr="004650BC">
        <w:trPr>
          <w:trHeight w:val="240"/>
          <w:jc w:val="center"/>
        </w:trPr>
        <w:tc>
          <w:tcPr>
            <w:tcW w:w="1834" w:type="pct"/>
            <w:tcBorders>
              <w:top w:val="nil"/>
              <w:left w:val="single" w:sz="4" w:space="0" w:color="auto"/>
              <w:bottom w:val="nil"/>
              <w:right w:val="single" w:sz="4" w:space="0" w:color="auto"/>
            </w:tcBorders>
            <w:shd w:val="clear" w:color="auto" w:fill="auto"/>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Fond na podporu kultúry národnostných menšín</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0,1</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0,0</w:t>
            </w:r>
          </w:p>
        </w:tc>
      </w:tr>
      <w:tr w:rsidR="00655B0D" w:rsidRPr="00624EE9" w:rsidTr="004650BC">
        <w:trPr>
          <w:trHeight w:val="240"/>
          <w:jc w:val="center"/>
        </w:trPr>
        <w:tc>
          <w:tcPr>
            <w:tcW w:w="183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5B0D" w:rsidRPr="00624EE9" w:rsidRDefault="00655B0D" w:rsidP="004650BC">
            <w:pPr>
              <w:jc w:val="both"/>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 xml:space="preserve">    Príspevkové organizácie a iné spolu </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43,4</w:t>
            </w:r>
          </w:p>
        </w:tc>
        <w:tc>
          <w:tcPr>
            <w:tcW w:w="452" w:type="pct"/>
            <w:tcBorders>
              <w:top w:val="nil"/>
              <w:left w:val="nil"/>
              <w:bottom w:val="single" w:sz="4" w:space="0" w:color="auto"/>
              <w:right w:val="single" w:sz="4" w:space="0" w:color="auto"/>
            </w:tcBorders>
            <w:shd w:val="clear" w:color="000000" w:fill="FFFFFF"/>
            <w:noWrap/>
            <w:vAlign w:val="center"/>
            <w:hideMark/>
          </w:tcPr>
          <w:p w:rsidR="00655B0D" w:rsidRPr="00624EE9" w:rsidRDefault="00655B0D" w:rsidP="004650BC">
            <w:pPr>
              <w:jc w:val="right"/>
              <w:rPr>
                <w:rFonts w:ascii="Times New Roman" w:hAnsi="Times New Roman" w:cs="Times New Roman"/>
                <w:color w:val="000000"/>
                <w:sz w:val="14"/>
                <w:szCs w:val="14"/>
                <w:lang w:eastAsia="sk-SK"/>
              </w:rPr>
            </w:pPr>
            <w:r w:rsidRPr="00624EE9">
              <w:rPr>
                <w:rFonts w:ascii="Times New Roman" w:hAnsi="Times New Roman" w:cs="Times New Roman"/>
                <w:color w:val="000000"/>
                <w:sz w:val="14"/>
                <w:szCs w:val="14"/>
                <w:lang w:eastAsia="sk-SK"/>
              </w:rPr>
              <w:t>43,6</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-9,2</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-9,2</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-3,0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0,8</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624EE9" w:rsidRDefault="00655B0D" w:rsidP="004650BC">
            <w:pPr>
              <w:jc w:val="right"/>
              <w:rPr>
                <w:rFonts w:ascii="Times New Roman" w:hAnsi="Times New Roman" w:cs="Times New Roman"/>
                <w:sz w:val="14"/>
                <w:szCs w:val="14"/>
                <w:lang w:eastAsia="sk-SK"/>
              </w:rPr>
            </w:pPr>
            <w:r w:rsidRPr="00624EE9">
              <w:rPr>
                <w:rFonts w:ascii="Times New Roman" w:hAnsi="Times New Roman" w:cs="Times New Roman"/>
                <w:sz w:val="14"/>
                <w:szCs w:val="14"/>
                <w:lang w:eastAsia="sk-SK"/>
              </w:rPr>
              <w:t>-1,3</w:t>
            </w:r>
          </w:p>
        </w:tc>
      </w:tr>
    </w:tbl>
    <w:p w:rsidR="00655B0D" w:rsidRDefault="00655B0D" w:rsidP="00655B0D">
      <w:pPr>
        <w:tabs>
          <w:tab w:val="left" w:pos="0"/>
        </w:tabs>
        <w:jc w:val="both"/>
        <w:rPr>
          <w:rFonts w:ascii="Times New Roman" w:hAnsi="Times New Roman"/>
          <w:b/>
          <w:bCs/>
          <w:color w:val="0070C0"/>
          <w:sz w:val="28"/>
        </w:rPr>
      </w:pPr>
      <w:r w:rsidRPr="00832237">
        <w:rPr>
          <w:rFonts w:ascii="Times New Roman" w:hAnsi="Times New Roman"/>
          <w:b/>
          <w:bCs/>
          <w:color w:val="0070C0"/>
          <w:sz w:val="28"/>
        </w:rPr>
        <w:tab/>
      </w:r>
      <w:r>
        <w:rPr>
          <w:rFonts w:ascii="Times New Roman" w:hAnsi="Times New Roman"/>
          <w:b/>
          <w:bCs/>
          <w:color w:val="0070C0"/>
          <w:sz w:val="28"/>
        </w:rPr>
        <w:t xml:space="preserve"> </w:t>
      </w:r>
      <w:r>
        <w:rPr>
          <w:rFonts w:ascii="Times New Roman" w:hAnsi="Times New Roman"/>
          <w:b/>
          <w:bCs/>
          <w:color w:val="0070C0"/>
          <w:sz w:val="28"/>
        </w:rPr>
        <w:tab/>
      </w:r>
    </w:p>
    <w:p w:rsidR="00655B0D" w:rsidRDefault="00655B0D" w:rsidP="00655B0D">
      <w:pPr>
        <w:tabs>
          <w:tab w:val="left" w:pos="0"/>
        </w:tabs>
        <w:jc w:val="both"/>
        <w:rPr>
          <w:rFonts w:ascii="Times New Roman" w:hAnsi="Times New Roman"/>
          <w:szCs w:val="22"/>
        </w:rPr>
      </w:pPr>
      <w:r>
        <w:rPr>
          <w:rFonts w:ascii="Times New Roman" w:hAnsi="Times New Roman"/>
          <w:b/>
          <w:bCs/>
          <w:color w:val="0070C0"/>
          <w:sz w:val="28"/>
        </w:rPr>
        <w:tab/>
      </w:r>
      <w:r w:rsidRPr="00832237">
        <w:rPr>
          <w:rFonts w:ascii="Times New Roman" w:hAnsi="Times New Roman"/>
          <w:szCs w:val="22"/>
        </w:rPr>
        <w:t xml:space="preserve">Schodok štátneho rozpočtu podľa metodiky ESA 2010 je pretransformovaný pomocou modifikujúcich faktorov na hotovostné saldo. Takto získaný schodok štátneho rozpočtu na hotovostnom princípe spolu s prognózovanými hotovostnými príjmami štátneho rozpočtu vytvárajú priestor </w:t>
      </w:r>
      <w:r>
        <w:rPr>
          <w:rFonts w:ascii="Times New Roman" w:hAnsi="Times New Roman"/>
          <w:szCs w:val="22"/>
        </w:rPr>
        <w:t>na</w:t>
      </w:r>
      <w:r w:rsidRPr="00832237">
        <w:rPr>
          <w:rFonts w:ascii="Times New Roman" w:hAnsi="Times New Roman"/>
          <w:szCs w:val="22"/>
        </w:rPr>
        <w:t xml:space="preserve"> realizáciu výdavkov štátneho rozpočtu. </w:t>
      </w:r>
    </w:p>
    <w:p w:rsidR="00655B0D" w:rsidRPr="00832237" w:rsidRDefault="00655B0D" w:rsidP="00655B0D">
      <w:pPr>
        <w:tabs>
          <w:tab w:val="left" w:pos="0"/>
        </w:tabs>
        <w:jc w:val="both"/>
        <w:rPr>
          <w:rFonts w:ascii="Times New Roman" w:hAnsi="Times New Roman"/>
          <w:szCs w:val="22"/>
        </w:rPr>
      </w:pPr>
    </w:p>
    <w:tbl>
      <w:tblPr>
        <w:tblW w:w="5006" w:type="pct"/>
        <w:jc w:val="center"/>
        <w:tblCellMar>
          <w:left w:w="70" w:type="dxa"/>
          <w:right w:w="70" w:type="dxa"/>
        </w:tblCellMar>
        <w:tblLook w:val="04A0" w:firstRow="1" w:lastRow="0" w:firstColumn="1" w:lastColumn="0" w:noHBand="0" w:noVBand="1"/>
      </w:tblPr>
      <w:tblGrid>
        <w:gridCol w:w="2605"/>
        <w:gridCol w:w="721"/>
        <w:gridCol w:w="823"/>
        <w:gridCol w:w="822"/>
        <w:gridCol w:w="822"/>
        <w:gridCol w:w="820"/>
        <w:gridCol w:w="820"/>
        <w:gridCol w:w="820"/>
        <w:gridCol w:w="820"/>
      </w:tblGrid>
      <w:tr w:rsidR="00655B0D" w:rsidRPr="004D295E" w:rsidTr="004650BC">
        <w:trPr>
          <w:trHeight w:val="240"/>
          <w:jc w:val="center"/>
        </w:trPr>
        <w:tc>
          <w:tcPr>
            <w:tcW w:w="1434" w:type="pct"/>
            <w:tcBorders>
              <w:top w:val="single" w:sz="4" w:space="0" w:color="auto"/>
              <w:left w:val="single" w:sz="4" w:space="0" w:color="auto"/>
              <w:bottom w:val="single" w:sz="4" w:space="0" w:color="auto"/>
              <w:right w:val="single" w:sz="4" w:space="0" w:color="auto"/>
            </w:tcBorders>
            <w:shd w:val="clear" w:color="000000" w:fill="A6A6A6"/>
            <w:vAlign w:val="center"/>
            <w:hideMark/>
          </w:tcPr>
          <w:p w:rsidR="00655B0D" w:rsidRPr="004D295E" w:rsidRDefault="00655B0D" w:rsidP="004650BC">
            <w:pP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 </w:t>
            </w:r>
          </w:p>
        </w:tc>
        <w:tc>
          <w:tcPr>
            <w:tcW w:w="397" w:type="pct"/>
            <w:tcBorders>
              <w:top w:val="single" w:sz="4" w:space="0" w:color="auto"/>
              <w:left w:val="nil"/>
              <w:bottom w:val="single" w:sz="4" w:space="0" w:color="auto"/>
              <w:right w:val="single" w:sz="4" w:space="0" w:color="auto"/>
            </w:tcBorders>
            <w:shd w:val="clear" w:color="000000" w:fill="A6A6A6"/>
            <w:vAlign w:val="center"/>
            <w:hideMark/>
          </w:tcPr>
          <w:p w:rsidR="00655B0D" w:rsidRPr="004D295E" w:rsidRDefault="00655B0D" w:rsidP="004650BC">
            <w:pPr>
              <w:jc w:val="cente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 xml:space="preserve">m. j. </w:t>
            </w:r>
          </w:p>
        </w:tc>
        <w:tc>
          <w:tcPr>
            <w:tcW w:w="453"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2016 S</w:t>
            </w:r>
          </w:p>
        </w:tc>
        <w:tc>
          <w:tcPr>
            <w:tcW w:w="453"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2017 S</w:t>
            </w:r>
          </w:p>
        </w:tc>
        <w:tc>
          <w:tcPr>
            <w:tcW w:w="453"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2018 R</w:t>
            </w:r>
          </w:p>
        </w:tc>
        <w:tc>
          <w:tcPr>
            <w:tcW w:w="452"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2018 OS</w:t>
            </w:r>
          </w:p>
        </w:tc>
        <w:tc>
          <w:tcPr>
            <w:tcW w:w="452"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2019 N</w:t>
            </w:r>
          </w:p>
        </w:tc>
        <w:tc>
          <w:tcPr>
            <w:tcW w:w="452"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2020 N</w:t>
            </w:r>
          </w:p>
        </w:tc>
        <w:tc>
          <w:tcPr>
            <w:tcW w:w="452"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2021 N</w:t>
            </w:r>
          </w:p>
        </w:tc>
      </w:tr>
      <w:tr w:rsidR="00655B0D" w:rsidRPr="004D295E" w:rsidTr="004650BC">
        <w:trPr>
          <w:trHeight w:val="435"/>
          <w:jc w:val="center"/>
        </w:trPr>
        <w:tc>
          <w:tcPr>
            <w:tcW w:w="1434" w:type="pct"/>
            <w:tcBorders>
              <w:top w:val="nil"/>
              <w:left w:val="single" w:sz="4" w:space="0" w:color="auto"/>
              <w:bottom w:val="single" w:sz="4" w:space="0" w:color="auto"/>
              <w:right w:val="single" w:sz="4" w:space="0" w:color="auto"/>
            </w:tcBorders>
            <w:shd w:val="clear" w:color="auto" w:fill="auto"/>
            <w:vAlign w:val="center"/>
            <w:hideMark/>
          </w:tcPr>
          <w:p w:rsidR="00655B0D" w:rsidRPr="004D295E" w:rsidRDefault="00655B0D" w:rsidP="004650BC">
            <w:pP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Schodok štátneho rozpočtu</w:t>
            </w:r>
            <w:r w:rsidRPr="004D295E">
              <w:rPr>
                <w:rFonts w:ascii="Times New Roman" w:hAnsi="Times New Roman" w:cs="Times New Roman"/>
                <w:color w:val="000000"/>
                <w:sz w:val="14"/>
                <w:szCs w:val="14"/>
                <w:lang w:eastAsia="sk-SK"/>
              </w:rPr>
              <w:br/>
              <w:t>v metodike ESA 2010</w:t>
            </w:r>
          </w:p>
        </w:tc>
        <w:tc>
          <w:tcPr>
            <w:tcW w:w="397"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mil. eur</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-2 265,1</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-1 085,6</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-1 555,7</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-1 353,3</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-1 085,3</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-1 239,6</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-1 151,8</w:t>
            </w:r>
          </w:p>
        </w:tc>
      </w:tr>
      <w:tr w:rsidR="00655B0D" w:rsidRPr="004D295E" w:rsidTr="004650BC">
        <w:trPr>
          <w:trHeight w:val="435"/>
          <w:jc w:val="center"/>
        </w:trPr>
        <w:tc>
          <w:tcPr>
            <w:tcW w:w="1434" w:type="pct"/>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Modifikujúce faktory</w:t>
            </w:r>
          </w:p>
        </w:tc>
        <w:tc>
          <w:tcPr>
            <w:tcW w:w="397"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mil. eur</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-1 284,8</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134,5</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417,2</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-219,6</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1 052,8</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971,0</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747,0</w:t>
            </w:r>
          </w:p>
        </w:tc>
      </w:tr>
      <w:tr w:rsidR="00655B0D" w:rsidRPr="004D295E" w:rsidTr="004650BC">
        <w:trPr>
          <w:trHeight w:val="435"/>
          <w:jc w:val="center"/>
        </w:trPr>
        <w:tc>
          <w:tcPr>
            <w:tcW w:w="1434" w:type="pct"/>
            <w:tcBorders>
              <w:top w:val="nil"/>
              <w:left w:val="single" w:sz="4" w:space="0" w:color="auto"/>
              <w:bottom w:val="single" w:sz="4" w:space="0" w:color="auto"/>
              <w:right w:val="single" w:sz="4" w:space="0" w:color="auto"/>
            </w:tcBorders>
            <w:shd w:val="clear" w:color="000000" w:fill="BFBFBF"/>
            <w:vAlign w:val="center"/>
            <w:hideMark/>
          </w:tcPr>
          <w:p w:rsidR="00655B0D" w:rsidRPr="004D295E" w:rsidRDefault="00655B0D" w:rsidP="004650BC">
            <w:pP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Schodok štátneho rozpočtu</w:t>
            </w:r>
            <w:r w:rsidRPr="004D295E">
              <w:rPr>
                <w:rFonts w:ascii="Times New Roman" w:hAnsi="Times New Roman" w:cs="Times New Roman"/>
                <w:color w:val="000000"/>
                <w:sz w:val="14"/>
                <w:szCs w:val="14"/>
                <w:lang w:eastAsia="sk-SK"/>
              </w:rPr>
              <w:br/>
              <w:t>na hotovostnom princípe</w:t>
            </w:r>
          </w:p>
        </w:tc>
        <w:tc>
          <w:tcPr>
            <w:tcW w:w="397"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cente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mil. eur</w:t>
            </w:r>
          </w:p>
        </w:tc>
        <w:tc>
          <w:tcPr>
            <w:tcW w:w="453"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-980,3</w:t>
            </w:r>
          </w:p>
        </w:tc>
        <w:tc>
          <w:tcPr>
            <w:tcW w:w="453"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-1 220,1</w:t>
            </w:r>
          </w:p>
        </w:tc>
        <w:tc>
          <w:tcPr>
            <w:tcW w:w="453"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-1 972,9</w:t>
            </w:r>
          </w:p>
        </w:tc>
        <w:tc>
          <w:tcPr>
            <w:tcW w:w="452"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-1 133,7</w:t>
            </w:r>
          </w:p>
        </w:tc>
        <w:tc>
          <w:tcPr>
            <w:tcW w:w="452"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-2 138,1</w:t>
            </w:r>
          </w:p>
        </w:tc>
        <w:tc>
          <w:tcPr>
            <w:tcW w:w="452"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-2 210,6</w:t>
            </w:r>
          </w:p>
        </w:tc>
        <w:tc>
          <w:tcPr>
            <w:tcW w:w="452" w:type="pct"/>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-1 898,8</w:t>
            </w:r>
          </w:p>
        </w:tc>
      </w:tr>
      <w:tr w:rsidR="00655B0D" w:rsidRPr="004D295E" w:rsidTr="004650BC">
        <w:trPr>
          <w:trHeight w:val="435"/>
          <w:jc w:val="center"/>
        </w:trPr>
        <w:tc>
          <w:tcPr>
            <w:tcW w:w="1434" w:type="pct"/>
            <w:tcBorders>
              <w:top w:val="nil"/>
              <w:left w:val="single" w:sz="4" w:space="0" w:color="auto"/>
              <w:bottom w:val="single" w:sz="4" w:space="0" w:color="auto"/>
              <w:right w:val="single" w:sz="4" w:space="0" w:color="auto"/>
            </w:tcBorders>
            <w:shd w:val="clear" w:color="auto" w:fill="auto"/>
            <w:vAlign w:val="center"/>
            <w:hideMark/>
          </w:tcPr>
          <w:p w:rsidR="00655B0D" w:rsidRPr="004D295E" w:rsidRDefault="00655B0D" w:rsidP="004650BC">
            <w:pP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Príjmy štátneho rozpočtu</w:t>
            </w:r>
            <w:r w:rsidRPr="004D295E">
              <w:rPr>
                <w:rFonts w:ascii="Times New Roman" w:hAnsi="Times New Roman" w:cs="Times New Roman"/>
                <w:color w:val="000000"/>
                <w:sz w:val="14"/>
                <w:szCs w:val="14"/>
                <w:lang w:eastAsia="sk-SK"/>
              </w:rPr>
              <w:br/>
              <w:t>na hotovostnom princípe</w:t>
            </w:r>
          </w:p>
        </w:tc>
        <w:tc>
          <w:tcPr>
            <w:tcW w:w="397"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mil. eur</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14 275,9</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14 014,1</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13 982,8</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14 564,2</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15 497,7</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17 440,1</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17 321,1</w:t>
            </w:r>
          </w:p>
        </w:tc>
      </w:tr>
      <w:tr w:rsidR="00655B0D" w:rsidRPr="004D295E" w:rsidTr="004650BC">
        <w:trPr>
          <w:trHeight w:val="435"/>
          <w:jc w:val="center"/>
        </w:trPr>
        <w:tc>
          <w:tcPr>
            <w:tcW w:w="1434" w:type="pct"/>
            <w:tcBorders>
              <w:top w:val="nil"/>
              <w:left w:val="single" w:sz="4" w:space="0" w:color="auto"/>
              <w:bottom w:val="single" w:sz="4" w:space="0" w:color="auto"/>
              <w:right w:val="single" w:sz="4" w:space="0" w:color="auto"/>
            </w:tcBorders>
            <w:shd w:val="clear" w:color="auto" w:fill="auto"/>
            <w:vAlign w:val="center"/>
            <w:hideMark/>
          </w:tcPr>
          <w:p w:rsidR="00655B0D" w:rsidRPr="004D295E" w:rsidRDefault="00655B0D" w:rsidP="004650BC">
            <w:pP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Výdavky štátneho rozpočtu</w:t>
            </w:r>
            <w:r w:rsidRPr="004D295E">
              <w:rPr>
                <w:rFonts w:ascii="Times New Roman" w:hAnsi="Times New Roman" w:cs="Times New Roman"/>
                <w:color w:val="000000"/>
                <w:sz w:val="14"/>
                <w:szCs w:val="14"/>
                <w:lang w:eastAsia="sk-SK"/>
              </w:rPr>
              <w:br/>
              <w:t>na hotovostnom princípe</w:t>
            </w:r>
          </w:p>
        </w:tc>
        <w:tc>
          <w:tcPr>
            <w:tcW w:w="397"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mil. eur</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15 256,2</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15 234,2</w:t>
            </w:r>
          </w:p>
        </w:tc>
        <w:tc>
          <w:tcPr>
            <w:tcW w:w="453"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15 955,7</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15 697,9</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17 635,8</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19 650,7</w:t>
            </w:r>
          </w:p>
        </w:tc>
        <w:tc>
          <w:tcPr>
            <w:tcW w:w="452"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19 219,9</w:t>
            </w:r>
          </w:p>
        </w:tc>
      </w:tr>
    </w:tbl>
    <w:p w:rsidR="00655B0D" w:rsidRDefault="00655B0D" w:rsidP="00655B0D">
      <w:pPr>
        <w:jc w:val="both"/>
        <w:rPr>
          <w:rFonts w:ascii="Times New Roman" w:hAnsi="Times New Roman"/>
          <w:color w:val="0070C0"/>
          <w:szCs w:val="22"/>
        </w:rPr>
      </w:pPr>
      <w:r w:rsidRPr="00832237">
        <w:rPr>
          <w:rFonts w:ascii="Times New Roman" w:hAnsi="Times New Roman"/>
          <w:color w:val="0070C0"/>
          <w:szCs w:val="22"/>
        </w:rPr>
        <w:tab/>
      </w:r>
    </w:p>
    <w:p w:rsidR="00655B0D" w:rsidRPr="00832237" w:rsidRDefault="00655B0D" w:rsidP="00655B0D">
      <w:pPr>
        <w:jc w:val="both"/>
        <w:rPr>
          <w:rFonts w:ascii="Times New Roman" w:hAnsi="Times New Roman"/>
          <w:color w:val="0070C0"/>
          <w:szCs w:val="22"/>
        </w:rPr>
      </w:pPr>
      <w:r w:rsidRPr="00832237">
        <w:rPr>
          <w:rFonts w:ascii="Times New Roman" w:hAnsi="Times New Roman"/>
          <w:szCs w:val="22"/>
        </w:rPr>
        <w:t xml:space="preserve">Podrobnú identifikáciu modifikujúcich faktorov štátneho rozpočtu obsahuje nasledujúca časť. </w:t>
      </w:r>
    </w:p>
    <w:p w:rsidR="00655B0D" w:rsidRPr="00832237" w:rsidRDefault="00655B0D" w:rsidP="00655B0D">
      <w:pPr>
        <w:jc w:val="both"/>
        <w:rPr>
          <w:rFonts w:ascii="Times New Roman" w:hAnsi="Times New Roman"/>
          <w:szCs w:val="22"/>
        </w:rPr>
      </w:pPr>
    </w:p>
    <w:p w:rsidR="00655B0D" w:rsidRPr="00832237" w:rsidRDefault="00655B0D" w:rsidP="00655B0D">
      <w:pPr>
        <w:keepNext/>
        <w:outlineLvl w:val="1"/>
        <w:rPr>
          <w:rFonts w:ascii="Times New Roman" w:hAnsi="Times New Roman"/>
          <w:b/>
          <w:bCs/>
        </w:rPr>
      </w:pPr>
      <w:bookmarkStart w:id="26" w:name="_Toc494463960"/>
      <w:bookmarkStart w:id="27" w:name="_Toc526273179"/>
      <w:r w:rsidRPr="00F1229A">
        <w:rPr>
          <w:rFonts w:ascii="Times New Roman" w:hAnsi="Times New Roman"/>
          <w:b/>
          <w:bCs/>
        </w:rPr>
        <w:lastRenderedPageBreak/>
        <w:t>2.3. Štátny rozpočet v metodike ESA 2010</w:t>
      </w:r>
      <w:bookmarkEnd w:id="26"/>
      <w:bookmarkEnd w:id="27"/>
    </w:p>
    <w:p w:rsidR="00655B0D" w:rsidRPr="00832237" w:rsidRDefault="00655B0D" w:rsidP="00655B0D">
      <w:pPr>
        <w:ind w:firstLine="708"/>
        <w:jc w:val="both"/>
        <w:rPr>
          <w:rFonts w:ascii="Times New Roman" w:hAnsi="Times New Roman"/>
        </w:rPr>
      </w:pPr>
    </w:p>
    <w:p w:rsidR="00655B0D" w:rsidRDefault="00655B0D" w:rsidP="00655B0D">
      <w:pPr>
        <w:ind w:firstLine="708"/>
        <w:jc w:val="both"/>
        <w:rPr>
          <w:rFonts w:ascii="Times New Roman" w:hAnsi="Times New Roman"/>
        </w:rPr>
      </w:pPr>
      <w:r w:rsidRPr="00832237">
        <w:rPr>
          <w:rFonts w:ascii="Times New Roman" w:hAnsi="Times New Roman"/>
        </w:rPr>
        <w:t xml:space="preserve">Na schodok štátneho rozpočtu na hotovostnom princípe majú vplyv modifikujúce faktory, ktoré predstavujú najmä rozdiel medzi rozpočtovaním na hotovostnom a na akruálnom princípe (metodika ESA 2010). Modifikujúce faktory tvoria hlavne saldo rozpočtových operácií štátnych finančných aktív bez finančných operácií a zahrnutie položiek časového rozlíšenia daňových príjmov a úrokov súvisiacich s obsluhou štátneho dlhu. </w:t>
      </w:r>
    </w:p>
    <w:p w:rsidR="00655B0D" w:rsidRPr="00832237" w:rsidRDefault="00655B0D" w:rsidP="00655B0D">
      <w:pPr>
        <w:ind w:firstLine="708"/>
        <w:jc w:val="both"/>
        <w:rPr>
          <w:rFonts w:ascii="Times New Roman" w:hAnsi="Times New Roman"/>
        </w:rPr>
      </w:pPr>
    </w:p>
    <w:tbl>
      <w:tblPr>
        <w:tblW w:w="9079" w:type="dxa"/>
        <w:jc w:val="center"/>
        <w:tblCellMar>
          <w:left w:w="70" w:type="dxa"/>
          <w:right w:w="70" w:type="dxa"/>
        </w:tblCellMar>
        <w:tblLook w:val="04A0" w:firstRow="1" w:lastRow="0" w:firstColumn="1" w:lastColumn="0" w:noHBand="0" w:noVBand="1"/>
      </w:tblPr>
      <w:tblGrid>
        <w:gridCol w:w="3339"/>
        <w:gridCol w:w="820"/>
        <w:gridCol w:w="820"/>
        <w:gridCol w:w="820"/>
        <w:gridCol w:w="820"/>
        <w:gridCol w:w="820"/>
        <w:gridCol w:w="820"/>
        <w:gridCol w:w="820"/>
      </w:tblGrid>
      <w:tr w:rsidR="00655B0D" w:rsidRPr="004D295E" w:rsidTr="004650BC">
        <w:trPr>
          <w:trHeight w:val="255"/>
          <w:jc w:val="center"/>
        </w:trPr>
        <w:tc>
          <w:tcPr>
            <w:tcW w:w="3339" w:type="dxa"/>
            <w:tcBorders>
              <w:top w:val="single" w:sz="4" w:space="0" w:color="auto"/>
              <w:left w:val="single" w:sz="4" w:space="0" w:color="auto"/>
              <w:bottom w:val="single" w:sz="4" w:space="0" w:color="auto"/>
              <w:right w:val="single" w:sz="4" w:space="0" w:color="auto"/>
            </w:tcBorders>
            <w:shd w:val="clear" w:color="000000" w:fill="A6A6A6"/>
            <w:noWrap/>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(v tis. eur)</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2016 S</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2017 S</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2018 R</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2018 OS</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2019 N</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2020 N</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2021 N</w:t>
            </w:r>
          </w:p>
        </w:tc>
      </w:tr>
      <w:tr w:rsidR="00655B0D" w:rsidRPr="004D295E" w:rsidTr="004650BC">
        <w:trPr>
          <w:trHeight w:val="255"/>
          <w:jc w:val="center"/>
        </w:trPr>
        <w:tc>
          <w:tcPr>
            <w:tcW w:w="3339" w:type="dxa"/>
            <w:tcBorders>
              <w:top w:val="nil"/>
              <w:left w:val="single" w:sz="4" w:space="0" w:color="auto"/>
              <w:bottom w:val="single" w:sz="4" w:space="0" w:color="auto"/>
              <w:right w:val="single" w:sz="4" w:space="0" w:color="auto"/>
            </w:tcBorders>
            <w:shd w:val="clear" w:color="000000" w:fill="BFBFBF"/>
            <w:noWrap/>
            <w:vAlign w:val="center"/>
            <w:hideMark/>
          </w:tcPr>
          <w:p w:rsidR="00655B0D" w:rsidRPr="004D295E" w:rsidRDefault="00655B0D" w:rsidP="004650BC">
            <w:pP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Modifikujúce faktory</w:t>
            </w:r>
            <w:r w:rsidRPr="004D295E">
              <w:rPr>
                <w:rFonts w:ascii="Times New Roman" w:hAnsi="Times New Roman" w:cs="Times New Roman"/>
                <w:sz w:val="14"/>
                <w:szCs w:val="14"/>
                <w:lang w:eastAsia="sk-SK"/>
              </w:rPr>
              <w:t>, z toho:</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-1 284 861</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134 486</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417 178</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-219 649</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1 052 845</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971 022</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746 970</w:t>
            </w:r>
          </w:p>
        </w:tc>
      </w:tr>
      <w:tr w:rsidR="00655B0D" w:rsidRPr="004D295E" w:rsidTr="004650BC">
        <w:trPr>
          <w:trHeight w:val="255"/>
          <w:jc w:val="center"/>
        </w:trPr>
        <w:tc>
          <w:tcPr>
            <w:tcW w:w="3339"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1. Saldo rozpočtových operácií ŠFA bez FO</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-142 984</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98 113</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243 226</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-5 565</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252 672</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277 487</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81 531</w:t>
            </w:r>
          </w:p>
        </w:tc>
      </w:tr>
      <w:tr w:rsidR="00655B0D" w:rsidRPr="004D295E" w:rsidTr="004650BC">
        <w:trPr>
          <w:trHeight w:val="255"/>
          <w:jc w:val="center"/>
        </w:trPr>
        <w:tc>
          <w:tcPr>
            <w:tcW w:w="3339"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2. Vplyv čas. rozlíšenia operácií štátneho dlhu</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-50 781</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40 798</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3 547</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-1 875</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42 649</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156 228</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56 180</w:t>
            </w:r>
          </w:p>
        </w:tc>
      </w:tr>
      <w:tr w:rsidR="00655B0D" w:rsidRPr="004D295E" w:rsidTr="004650BC">
        <w:trPr>
          <w:trHeight w:val="255"/>
          <w:jc w:val="center"/>
        </w:trPr>
        <w:tc>
          <w:tcPr>
            <w:tcW w:w="3339"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3. Časové rozlíšenie daňových príjmov (vrátane VPÚ)</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-173 416</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396 300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445 219</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206 410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493 704</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324 214</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415 903</w:t>
            </w:r>
          </w:p>
        </w:tc>
      </w:tr>
      <w:tr w:rsidR="00655B0D" w:rsidRPr="004D295E" w:rsidTr="004650BC">
        <w:trPr>
          <w:trHeight w:val="255"/>
          <w:jc w:val="center"/>
        </w:trPr>
        <w:tc>
          <w:tcPr>
            <w:tcW w:w="3339"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4. Daňové kredity</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-263 371</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-266 312</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-269 457</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-269 989</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-279 831</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-292 380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-305 450</w:t>
            </w:r>
          </w:p>
        </w:tc>
      </w:tr>
      <w:tr w:rsidR="00655B0D" w:rsidRPr="004D295E" w:rsidTr="004650BC">
        <w:trPr>
          <w:trHeight w:val="255"/>
          <w:jc w:val="center"/>
        </w:trPr>
        <w:tc>
          <w:tcPr>
            <w:tcW w:w="3339"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5. Samostatné účty rozpočtových organizácií štátu</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-6 501</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34 437</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6 222</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7 261</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7 916</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6 145</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4 853</w:t>
            </w:r>
          </w:p>
        </w:tc>
      </w:tr>
      <w:tr w:rsidR="00655B0D" w:rsidRPr="004D295E" w:rsidTr="004650BC">
        <w:trPr>
          <w:trHeight w:val="255"/>
          <w:jc w:val="center"/>
        </w:trPr>
        <w:tc>
          <w:tcPr>
            <w:tcW w:w="3339"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6. Hazardné hry - licencie</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-49 110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-4 510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11 490</w:t>
            </w:r>
          </w:p>
        </w:tc>
      </w:tr>
      <w:tr w:rsidR="00655B0D" w:rsidRPr="004D295E" w:rsidTr="004650BC">
        <w:trPr>
          <w:trHeight w:val="255"/>
          <w:jc w:val="center"/>
        </w:trPr>
        <w:tc>
          <w:tcPr>
            <w:tcW w:w="3339"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7. Akruálna alikvótna časť úhrady DPH v rámci PPP R1</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-5 788</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-5 788</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-5 788</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-5 788</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-5 788</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-5 788</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-5 788</w:t>
            </w:r>
          </w:p>
        </w:tc>
      </w:tr>
      <w:tr w:rsidR="00655B0D" w:rsidRPr="004D295E" w:rsidTr="004650BC">
        <w:trPr>
          <w:trHeight w:val="255"/>
          <w:jc w:val="center"/>
        </w:trPr>
        <w:tc>
          <w:tcPr>
            <w:tcW w:w="3339"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8. Časové rozlíšenie odvodu do rozpočtu EÚ</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-49 400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32 213</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-32 213</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r>
      <w:tr w:rsidR="00655B0D" w:rsidRPr="004D295E" w:rsidTr="004650BC">
        <w:trPr>
          <w:trHeight w:val="255"/>
          <w:jc w:val="center"/>
        </w:trPr>
        <w:tc>
          <w:tcPr>
            <w:tcW w:w="3339"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9. Medziročná zmena stavu pohľadávok EÚ</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-209 810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7 741</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47 920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r>
      <w:tr w:rsidR="00655B0D" w:rsidRPr="004D295E" w:rsidTr="004650BC">
        <w:trPr>
          <w:trHeight w:val="255"/>
          <w:jc w:val="center"/>
        </w:trPr>
        <w:tc>
          <w:tcPr>
            <w:tcW w:w="3339"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 xml:space="preserve">10. Korekcie EÚ vrát. príjm. plat. jedn. z uhrad. korekcií </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-149 049</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2 876</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-13 400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r>
      <w:tr w:rsidR="00655B0D" w:rsidRPr="004D295E" w:rsidTr="004650BC">
        <w:trPr>
          <w:trHeight w:val="255"/>
          <w:jc w:val="center"/>
        </w:trPr>
        <w:tc>
          <w:tcPr>
            <w:tcW w:w="3339"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11. Superdividendy</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-207 038</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-242 788</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-146 619</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r>
      <w:tr w:rsidR="00655B0D" w:rsidRPr="004D295E" w:rsidTr="004650BC">
        <w:trPr>
          <w:trHeight w:val="255"/>
          <w:jc w:val="center"/>
        </w:trPr>
        <w:tc>
          <w:tcPr>
            <w:tcW w:w="3339"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12. Časové rozlíšenie dividend</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11 531</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-11 596</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w:t>
            </w:r>
          </w:p>
        </w:tc>
      </w:tr>
      <w:tr w:rsidR="00655B0D" w:rsidRPr="004D295E" w:rsidTr="004650BC">
        <w:trPr>
          <w:trHeight w:val="255"/>
          <w:jc w:val="center"/>
        </w:trPr>
        <w:tc>
          <w:tcPr>
            <w:tcW w:w="3339"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13. Ostatné úpravy</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-38 254</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48 492</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-5 791</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-5 791</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590 633</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509 626</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488 251</w:t>
            </w:r>
          </w:p>
        </w:tc>
      </w:tr>
    </w:tbl>
    <w:p w:rsidR="00655B0D" w:rsidRPr="00832237" w:rsidRDefault="00655B0D" w:rsidP="00655B0D">
      <w:pPr>
        <w:jc w:val="both"/>
        <w:rPr>
          <w:rFonts w:ascii="Times New Roman" w:hAnsi="Times New Roman"/>
        </w:rPr>
      </w:pPr>
    </w:p>
    <w:p w:rsidR="00655B0D" w:rsidRPr="00832237" w:rsidRDefault="00655B0D" w:rsidP="00655B0D">
      <w:pPr>
        <w:jc w:val="both"/>
        <w:rPr>
          <w:rFonts w:ascii="Times New Roman" w:hAnsi="Times New Roman"/>
        </w:rPr>
      </w:pPr>
      <w:r w:rsidRPr="00832237">
        <w:rPr>
          <w:rFonts w:ascii="Times New Roman" w:hAnsi="Times New Roman"/>
        </w:rPr>
        <w:t>2.3.1.</w:t>
      </w:r>
      <w:r w:rsidRPr="00832237">
        <w:rPr>
          <w:rFonts w:ascii="Times New Roman" w:hAnsi="Times New Roman"/>
        </w:rPr>
        <w:tab/>
        <w:t>Saldo rozpočtových operácií štátnych finančných aktív bez finančných operácií je uvedené v časti 5. Štátne finančné aktíva.</w:t>
      </w:r>
    </w:p>
    <w:p w:rsidR="00655B0D" w:rsidRPr="00832237" w:rsidRDefault="00655B0D" w:rsidP="00655B0D">
      <w:pPr>
        <w:ind w:firstLine="708"/>
        <w:jc w:val="both"/>
        <w:rPr>
          <w:rFonts w:ascii="Times New Roman" w:hAnsi="Times New Roman"/>
          <w:szCs w:val="16"/>
        </w:rPr>
      </w:pPr>
    </w:p>
    <w:p w:rsidR="00655B0D" w:rsidRPr="00AF6457" w:rsidRDefault="00655B0D" w:rsidP="00655B0D">
      <w:pPr>
        <w:jc w:val="both"/>
        <w:rPr>
          <w:rFonts w:ascii="Times New Roman" w:hAnsi="Times New Roman"/>
        </w:rPr>
      </w:pPr>
      <w:r w:rsidRPr="00AF6457">
        <w:rPr>
          <w:rFonts w:ascii="Times New Roman" w:hAnsi="Times New Roman"/>
        </w:rPr>
        <w:t>2.3.2.</w:t>
      </w:r>
      <w:r w:rsidRPr="00AF6457">
        <w:rPr>
          <w:rFonts w:ascii="Times New Roman" w:hAnsi="Times New Roman"/>
        </w:rPr>
        <w:tab/>
        <w:t xml:space="preserve">V roku 2012 sa v zmysle zákona č. 291/2002 Z. z. o Štátnej pokladnici a o zmene a doplnení niektorých zákonov v znení neskorších predpisov pre efektívne fungovanie obsluhy Štátneho dlhu zriadil samostatný účet  (tzv. saldo účet Štátneho dlhu). Uvedený účet slúži pre príjmové aj výdavkové transakcie vykonávané ARDALom v mene MF SR. Stav </w:t>
      </w:r>
      <w:r>
        <w:rPr>
          <w:rFonts w:ascii="Times New Roman" w:hAnsi="Times New Roman"/>
        </w:rPr>
        <w:t>samostatného</w:t>
      </w:r>
      <w:r w:rsidRPr="00AF6457">
        <w:rPr>
          <w:rFonts w:ascii="Times New Roman" w:hAnsi="Times New Roman"/>
        </w:rPr>
        <w:t xml:space="preserve"> účtu sa ku koncu mesiaca vyrovnáva transferom z výdavkového účtu </w:t>
      </w:r>
      <w:r>
        <w:rPr>
          <w:rFonts w:ascii="Times New Roman" w:hAnsi="Times New Roman"/>
        </w:rPr>
        <w:t>štátneho rozpočtu (kapitola Všeobecná pokladničná správa)</w:t>
      </w:r>
      <w:r w:rsidRPr="00AF6457">
        <w:rPr>
          <w:rFonts w:ascii="Times New Roman" w:hAnsi="Times New Roman"/>
        </w:rPr>
        <w:t xml:space="preserve"> tak, aby koncom roka </w:t>
      </w:r>
      <w:r>
        <w:rPr>
          <w:rFonts w:ascii="Times New Roman" w:hAnsi="Times New Roman"/>
        </w:rPr>
        <w:t xml:space="preserve">účet na hotovostnej báze </w:t>
      </w:r>
      <w:r w:rsidRPr="00AF6457">
        <w:rPr>
          <w:rFonts w:ascii="Times New Roman" w:hAnsi="Times New Roman"/>
        </w:rPr>
        <w:t>vykazoval nulový zostatok.</w:t>
      </w:r>
      <w:r>
        <w:rPr>
          <w:rFonts w:ascii="Times New Roman" w:hAnsi="Times New Roman"/>
        </w:rPr>
        <w:t xml:space="preserve"> </w:t>
      </w:r>
      <w:r w:rsidRPr="00AF6457">
        <w:rPr>
          <w:rFonts w:ascii="Times New Roman" w:hAnsi="Times New Roman"/>
        </w:rPr>
        <w:t>Očakávaný vývoj zobrazuje nasledovná tabuľka.</w:t>
      </w:r>
    </w:p>
    <w:p w:rsidR="00655B0D" w:rsidRPr="00001DBE" w:rsidRDefault="00655B0D" w:rsidP="00655B0D">
      <w:pPr>
        <w:jc w:val="both"/>
        <w:rPr>
          <w:rFonts w:ascii="Times New Roman" w:hAnsi="Times New Roman"/>
          <w:sz w:val="16"/>
          <w:szCs w:val="16"/>
          <w:highlight w:val="yellow"/>
        </w:rPr>
      </w:pPr>
    </w:p>
    <w:tbl>
      <w:tblPr>
        <w:tblW w:w="4999" w:type="pct"/>
        <w:jc w:val="center"/>
        <w:tblCellMar>
          <w:left w:w="70" w:type="dxa"/>
          <w:right w:w="70" w:type="dxa"/>
        </w:tblCellMar>
        <w:tblLook w:val="04A0" w:firstRow="1" w:lastRow="0" w:firstColumn="1" w:lastColumn="0" w:noHBand="0" w:noVBand="1"/>
      </w:tblPr>
      <w:tblGrid>
        <w:gridCol w:w="3306"/>
        <w:gridCol w:w="822"/>
        <w:gridCol w:w="823"/>
        <w:gridCol w:w="823"/>
        <w:gridCol w:w="823"/>
        <w:gridCol w:w="823"/>
        <w:gridCol w:w="823"/>
        <w:gridCol w:w="817"/>
      </w:tblGrid>
      <w:tr w:rsidR="00655B0D" w:rsidRPr="008167F3" w:rsidTr="004650BC">
        <w:trPr>
          <w:trHeight w:val="360"/>
          <w:jc w:val="center"/>
        </w:trPr>
        <w:tc>
          <w:tcPr>
            <w:tcW w:w="1825" w:type="pct"/>
            <w:tcBorders>
              <w:top w:val="single" w:sz="4" w:space="0" w:color="auto"/>
              <w:left w:val="single" w:sz="4" w:space="0" w:color="auto"/>
              <w:bottom w:val="single" w:sz="4" w:space="0" w:color="auto"/>
              <w:right w:val="single" w:sz="4" w:space="0" w:color="auto"/>
            </w:tcBorders>
            <w:shd w:val="clear" w:color="000000" w:fill="A6A6A6"/>
            <w:vAlign w:val="center"/>
            <w:hideMark/>
          </w:tcPr>
          <w:p w:rsidR="00655B0D" w:rsidRPr="008167F3" w:rsidRDefault="00655B0D" w:rsidP="004650BC">
            <w:pPr>
              <w:rPr>
                <w:rFonts w:ascii="Times New Roman" w:hAnsi="Times New Roman" w:cs="Times New Roman"/>
                <w:b/>
                <w:bCs/>
                <w:sz w:val="14"/>
                <w:szCs w:val="14"/>
                <w:lang w:eastAsia="sk-SK"/>
              </w:rPr>
            </w:pPr>
            <w:r w:rsidRPr="008167F3">
              <w:rPr>
                <w:rFonts w:ascii="Times New Roman" w:hAnsi="Times New Roman" w:cs="Times New Roman"/>
                <w:b/>
                <w:bCs/>
                <w:sz w:val="14"/>
                <w:szCs w:val="14"/>
                <w:lang w:eastAsia="sk-SK"/>
              </w:rPr>
              <w:t>Štátny dlh - saldo účet</w:t>
            </w:r>
            <w:r w:rsidRPr="008167F3">
              <w:rPr>
                <w:rFonts w:ascii="Times New Roman" w:hAnsi="Times New Roman" w:cs="Times New Roman"/>
                <w:b/>
                <w:bCs/>
                <w:sz w:val="14"/>
                <w:szCs w:val="14"/>
                <w:lang w:eastAsia="sk-SK"/>
              </w:rPr>
              <w:br/>
            </w:r>
            <w:r w:rsidRPr="008167F3">
              <w:rPr>
                <w:rFonts w:ascii="Times New Roman" w:hAnsi="Times New Roman" w:cs="Times New Roman"/>
                <w:sz w:val="14"/>
                <w:szCs w:val="14"/>
                <w:lang w:eastAsia="sk-SK"/>
              </w:rPr>
              <w:t>(ESA 2010; v tis. eur)</w:t>
            </w:r>
          </w:p>
        </w:tc>
        <w:tc>
          <w:tcPr>
            <w:tcW w:w="454"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8167F3" w:rsidRDefault="00655B0D" w:rsidP="004650BC">
            <w:pPr>
              <w:jc w:val="center"/>
              <w:rPr>
                <w:rFonts w:ascii="Times New Roman" w:hAnsi="Times New Roman" w:cs="Times New Roman"/>
                <w:b/>
                <w:bCs/>
                <w:sz w:val="14"/>
                <w:szCs w:val="14"/>
                <w:lang w:eastAsia="sk-SK"/>
              </w:rPr>
            </w:pPr>
            <w:r w:rsidRPr="008167F3">
              <w:rPr>
                <w:rFonts w:ascii="Times New Roman" w:hAnsi="Times New Roman" w:cs="Times New Roman"/>
                <w:b/>
                <w:bCs/>
                <w:sz w:val="14"/>
                <w:szCs w:val="14"/>
                <w:lang w:eastAsia="sk-SK"/>
              </w:rPr>
              <w:t>2016 S</w:t>
            </w:r>
          </w:p>
        </w:tc>
        <w:tc>
          <w:tcPr>
            <w:tcW w:w="454"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8167F3" w:rsidRDefault="00655B0D" w:rsidP="004650BC">
            <w:pPr>
              <w:jc w:val="center"/>
              <w:rPr>
                <w:rFonts w:ascii="Times New Roman" w:hAnsi="Times New Roman" w:cs="Times New Roman"/>
                <w:b/>
                <w:bCs/>
                <w:sz w:val="14"/>
                <w:szCs w:val="14"/>
                <w:lang w:eastAsia="sk-SK"/>
              </w:rPr>
            </w:pPr>
            <w:r w:rsidRPr="008167F3">
              <w:rPr>
                <w:rFonts w:ascii="Times New Roman" w:hAnsi="Times New Roman" w:cs="Times New Roman"/>
                <w:b/>
                <w:bCs/>
                <w:sz w:val="14"/>
                <w:szCs w:val="14"/>
                <w:lang w:eastAsia="sk-SK"/>
              </w:rPr>
              <w:t>2017 S</w:t>
            </w:r>
          </w:p>
        </w:tc>
        <w:tc>
          <w:tcPr>
            <w:tcW w:w="454"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8167F3" w:rsidRDefault="00655B0D" w:rsidP="004650BC">
            <w:pPr>
              <w:jc w:val="center"/>
              <w:rPr>
                <w:rFonts w:ascii="Times New Roman" w:hAnsi="Times New Roman" w:cs="Times New Roman"/>
                <w:b/>
                <w:bCs/>
                <w:sz w:val="14"/>
                <w:szCs w:val="14"/>
                <w:lang w:eastAsia="sk-SK"/>
              </w:rPr>
            </w:pPr>
            <w:r w:rsidRPr="008167F3">
              <w:rPr>
                <w:rFonts w:ascii="Times New Roman" w:hAnsi="Times New Roman" w:cs="Times New Roman"/>
                <w:b/>
                <w:bCs/>
                <w:sz w:val="14"/>
                <w:szCs w:val="14"/>
                <w:lang w:eastAsia="sk-SK"/>
              </w:rPr>
              <w:t>2018 R</w:t>
            </w:r>
          </w:p>
        </w:tc>
        <w:tc>
          <w:tcPr>
            <w:tcW w:w="454"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8167F3" w:rsidRDefault="00655B0D" w:rsidP="004650BC">
            <w:pPr>
              <w:jc w:val="center"/>
              <w:rPr>
                <w:rFonts w:ascii="Times New Roman" w:hAnsi="Times New Roman" w:cs="Times New Roman"/>
                <w:b/>
                <w:bCs/>
                <w:sz w:val="14"/>
                <w:szCs w:val="14"/>
                <w:lang w:eastAsia="sk-SK"/>
              </w:rPr>
            </w:pPr>
            <w:r w:rsidRPr="008167F3">
              <w:rPr>
                <w:rFonts w:ascii="Times New Roman" w:hAnsi="Times New Roman" w:cs="Times New Roman"/>
                <w:b/>
                <w:bCs/>
                <w:sz w:val="14"/>
                <w:szCs w:val="14"/>
                <w:lang w:eastAsia="sk-SK"/>
              </w:rPr>
              <w:t>2018 OS</w:t>
            </w:r>
          </w:p>
        </w:tc>
        <w:tc>
          <w:tcPr>
            <w:tcW w:w="454"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8167F3" w:rsidRDefault="00655B0D" w:rsidP="004650BC">
            <w:pPr>
              <w:jc w:val="center"/>
              <w:rPr>
                <w:rFonts w:ascii="Times New Roman" w:hAnsi="Times New Roman" w:cs="Times New Roman"/>
                <w:b/>
                <w:bCs/>
                <w:sz w:val="14"/>
                <w:szCs w:val="14"/>
                <w:lang w:eastAsia="sk-SK"/>
              </w:rPr>
            </w:pPr>
            <w:r w:rsidRPr="008167F3">
              <w:rPr>
                <w:rFonts w:ascii="Times New Roman" w:hAnsi="Times New Roman" w:cs="Times New Roman"/>
                <w:b/>
                <w:bCs/>
                <w:sz w:val="14"/>
                <w:szCs w:val="14"/>
                <w:lang w:eastAsia="sk-SK"/>
              </w:rPr>
              <w:t>2019 N</w:t>
            </w:r>
          </w:p>
        </w:tc>
        <w:tc>
          <w:tcPr>
            <w:tcW w:w="454"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8167F3" w:rsidRDefault="00655B0D" w:rsidP="004650BC">
            <w:pPr>
              <w:jc w:val="center"/>
              <w:rPr>
                <w:rFonts w:ascii="Times New Roman" w:hAnsi="Times New Roman" w:cs="Times New Roman"/>
                <w:b/>
                <w:bCs/>
                <w:sz w:val="14"/>
                <w:szCs w:val="14"/>
                <w:lang w:eastAsia="sk-SK"/>
              </w:rPr>
            </w:pPr>
            <w:r w:rsidRPr="008167F3">
              <w:rPr>
                <w:rFonts w:ascii="Times New Roman" w:hAnsi="Times New Roman" w:cs="Times New Roman"/>
                <w:b/>
                <w:bCs/>
                <w:sz w:val="14"/>
                <w:szCs w:val="14"/>
                <w:lang w:eastAsia="sk-SK"/>
              </w:rPr>
              <w:t>2020 N</w:t>
            </w:r>
          </w:p>
        </w:tc>
        <w:tc>
          <w:tcPr>
            <w:tcW w:w="454"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8167F3" w:rsidRDefault="00655B0D" w:rsidP="004650BC">
            <w:pPr>
              <w:jc w:val="center"/>
              <w:rPr>
                <w:rFonts w:ascii="Times New Roman" w:hAnsi="Times New Roman" w:cs="Times New Roman"/>
                <w:b/>
                <w:bCs/>
                <w:sz w:val="14"/>
                <w:szCs w:val="14"/>
                <w:lang w:eastAsia="sk-SK"/>
              </w:rPr>
            </w:pPr>
            <w:r w:rsidRPr="008167F3">
              <w:rPr>
                <w:rFonts w:ascii="Times New Roman" w:hAnsi="Times New Roman" w:cs="Times New Roman"/>
                <w:b/>
                <w:bCs/>
                <w:sz w:val="14"/>
                <w:szCs w:val="14"/>
                <w:lang w:eastAsia="sk-SK"/>
              </w:rPr>
              <w:t>2021 N</w:t>
            </w:r>
          </w:p>
        </w:tc>
      </w:tr>
      <w:tr w:rsidR="00655B0D" w:rsidRPr="008167F3" w:rsidTr="004650BC">
        <w:trPr>
          <w:trHeight w:val="255"/>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655B0D" w:rsidRPr="008167F3" w:rsidRDefault="00655B0D" w:rsidP="004650BC">
            <w:pPr>
              <w:rPr>
                <w:rFonts w:ascii="Times New Roman" w:hAnsi="Times New Roman" w:cs="Times New Roman"/>
                <w:sz w:val="14"/>
                <w:szCs w:val="14"/>
                <w:lang w:eastAsia="sk-SK"/>
              </w:rPr>
            </w:pPr>
            <w:r w:rsidRPr="008167F3">
              <w:rPr>
                <w:rFonts w:ascii="Times New Roman" w:hAnsi="Times New Roman" w:cs="Times New Roman"/>
                <w:sz w:val="14"/>
                <w:szCs w:val="14"/>
                <w:lang w:eastAsia="sk-SK"/>
              </w:rPr>
              <w:t>Príjmy</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8167F3" w:rsidRDefault="00655B0D" w:rsidP="004650BC">
            <w:pPr>
              <w:jc w:val="right"/>
              <w:rPr>
                <w:rFonts w:ascii="Times New Roman" w:hAnsi="Times New Roman" w:cs="Times New Roman"/>
                <w:sz w:val="14"/>
                <w:szCs w:val="14"/>
                <w:lang w:eastAsia="sk-SK"/>
              </w:rPr>
            </w:pPr>
            <w:r w:rsidRPr="008167F3">
              <w:rPr>
                <w:rFonts w:ascii="Times New Roman" w:hAnsi="Times New Roman" w:cs="Times New Roman"/>
                <w:sz w:val="14"/>
                <w:szCs w:val="14"/>
                <w:lang w:eastAsia="sk-SK"/>
              </w:rPr>
              <w:t>1 336 851</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8167F3" w:rsidRDefault="00655B0D" w:rsidP="004650BC">
            <w:pPr>
              <w:jc w:val="right"/>
              <w:rPr>
                <w:rFonts w:ascii="Times New Roman" w:hAnsi="Times New Roman" w:cs="Times New Roman"/>
                <w:sz w:val="14"/>
                <w:szCs w:val="14"/>
                <w:lang w:eastAsia="sk-SK"/>
              </w:rPr>
            </w:pPr>
            <w:r w:rsidRPr="008167F3">
              <w:rPr>
                <w:rFonts w:ascii="Times New Roman" w:hAnsi="Times New Roman" w:cs="Times New Roman"/>
                <w:sz w:val="14"/>
                <w:szCs w:val="14"/>
                <w:lang w:eastAsia="sk-SK"/>
              </w:rPr>
              <w:t>1 290 394</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8167F3" w:rsidRDefault="00655B0D" w:rsidP="004650BC">
            <w:pPr>
              <w:jc w:val="right"/>
              <w:rPr>
                <w:rFonts w:ascii="Times New Roman" w:hAnsi="Times New Roman" w:cs="Times New Roman"/>
                <w:sz w:val="14"/>
                <w:szCs w:val="14"/>
                <w:lang w:eastAsia="sk-SK"/>
              </w:rPr>
            </w:pPr>
            <w:r w:rsidRPr="008167F3">
              <w:rPr>
                <w:rFonts w:ascii="Times New Roman" w:hAnsi="Times New Roman" w:cs="Times New Roman"/>
                <w:sz w:val="14"/>
                <w:szCs w:val="14"/>
                <w:lang w:eastAsia="sk-SK"/>
              </w:rPr>
              <w:t>1 150 919</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8167F3" w:rsidRDefault="00655B0D" w:rsidP="004650BC">
            <w:pPr>
              <w:jc w:val="right"/>
              <w:rPr>
                <w:rFonts w:ascii="Times New Roman" w:hAnsi="Times New Roman" w:cs="Times New Roman"/>
                <w:sz w:val="14"/>
                <w:szCs w:val="14"/>
                <w:lang w:eastAsia="sk-SK"/>
              </w:rPr>
            </w:pPr>
            <w:r w:rsidRPr="008167F3">
              <w:rPr>
                <w:rFonts w:ascii="Times New Roman" w:hAnsi="Times New Roman" w:cs="Times New Roman"/>
                <w:sz w:val="14"/>
                <w:szCs w:val="14"/>
                <w:lang w:eastAsia="sk-SK"/>
              </w:rPr>
              <w:t>1 140 352</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8167F3" w:rsidRDefault="00655B0D" w:rsidP="004650BC">
            <w:pPr>
              <w:jc w:val="right"/>
              <w:rPr>
                <w:rFonts w:ascii="Times New Roman" w:hAnsi="Times New Roman" w:cs="Times New Roman"/>
                <w:sz w:val="14"/>
                <w:szCs w:val="14"/>
                <w:lang w:eastAsia="sk-SK"/>
              </w:rPr>
            </w:pPr>
            <w:r w:rsidRPr="008167F3">
              <w:rPr>
                <w:rFonts w:ascii="Times New Roman" w:hAnsi="Times New Roman" w:cs="Times New Roman"/>
                <w:sz w:val="14"/>
                <w:szCs w:val="14"/>
                <w:lang w:eastAsia="sk-SK"/>
              </w:rPr>
              <w:t>1 178 327</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8167F3" w:rsidRDefault="00655B0D" w:rsidP="004650BC">
            <w:pPr>
              <w:jc w:val="right"/>
              <w:rPr>
                <w:rFonts w:ascii="Times New Roman" w:hAnsi="Times New Roman" w:cs="Times New Roman"/>
                <w:sz w:val="14"/>
                <w:szCs w:val="14"/>
                <w:lang w:eastAsia="sk-SK"/>
              </w:rPr>
            </w:pPr>
            <w:r w:rsidRPr="008167F3">
              <w:rPr>
                <w:rFonts w:ascii="Times New Roman" w:hAnsi="Times New Roman" w:cs="Times New Roman"/>
                <w:sz w:val="14"/>
                <w:szCs w:val="14"/>
                <w:lang w:eastAsia="sk-SK"/>
              </w:rPr>
              <w:t>1 257 095</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8167F3" w:rsidRDefault="00655B0D" w:rsidP="004650BC">
            <w:pPr>
              <w:jc w:val="right"/>
              <w:rPr>
                <w:rFonts w:ascii="Times New Roman" w:hAnsi="Times New Roman" w:cs="Times New Roman"/>
                <w:sz w:val="14"/>
                <w:szCs w:val="14"/>
                <w:lang w:eastAsia="sk-SK"/>
              </w:rPr>
            </w:pPr>
            <w:r w:rsidRPr="008167F3">
              <w:rPr>
                <w:rFonts w:ascii="Times New Roman" w:hAnsi="Times New Roman" w:cs="Times New Roman"/>
                <w:sz w:val="14"/>
                <w:szCs w:val="14"/>
                <w:lang w:eastAsia="sk-SK"/>
              </w:rPr>
              <w:t>1 179 391</w:t>
            </w:r>
          </w:p>
        </w:tc>
      </w:tr>
      <w:tr w:rsidR="00655B0D" w:rsidRPr="008167F3" w:rsidTr="004650BC">
        <w:trPr>
          <w:trHeight w:val="255"/>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655B0D" w:rsidRPr="008167F3" w:rsidRDefault="00655B0D" w:rsidP="004650BC">
            <w:pPr>
              <w:rPr>
                <w:rFonts w:ascii="Times New Roman" w:hAnsi="Times New Roman" w:cs="Times New Roman"/>
                <w:sz w:val="14"/>
                <w:szCs w:val="14"/>
                <w:lang w:eastAsia="sk-SK"/>
              </w:rPr>
            </w:pPr>
            <w:r w:rsidRPr="008167F3">
              <w:rPr>
                <w:rFonts w:ascii="Times New Roman" w:hAnsi="Times New Roman" w:cs="Times New Roman"/>
                <w:sz w:val="14"/>
                <w:szCs w:val="14"/>
                <w:lang w:eastAsia="sk-SK"/>
              </w:rPr>
              <w:t>Výdavky</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8167F3" w:rsidRDefault="00655B0D" w:rsidP="004650BC">
            <w:pPr>
              <w:jc w:val="right"/>
              <w:rPr>
                <w:rFonts w:ascii="Times New Roman" w:hAnsi="Times New Roman" w:cs="Times New Roman"/>
                <w:sz w:val="14"/>
                <w:szCs w:val="14"/>
                <w:lang w:eastAsia="sk-SK"/>
              </w:rPr>
            </w:pPr>
            <w:r w:rsidRPr="008167F3">
              <w:rPr>
                <w:rFonts w:ascii="Times New Roman" w:hAnsi="Times New Roman" w:cs="Times New Roman"/>
                <w:sz w:val="14"/>
                <w:szCs w:val="14"/>
                <w:lang w:eastAsia="sk-SK"/>
              </w:rPr>
              <w:t>1 387 632</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8167F3" w:rsidRDefault="00655B0D" w:rsidP="004650BC">
            <w:pPr>
              <w:jc w:val="right"/>
              <w:rPr>
                <w:rFonts w:ascii="Times New Roman" w:hAnsi="Times New Roman" w:cs="Times New Roman"/>
                <w:sz w:val="14"/>
                <w:szCs w:val="14"/>
                <w:lang w:eastAsia="sk-SK"/>
              </w:rPr>
            </w:pPr>
            <w:r w:rsidRPr="008167F3">
              <w:rPr>
                <w:rFonts w:ascii="Times New Roman" w:hAnsi="Times New Roman" w:cs="Times New Roman"/>
                <w:sz w:val="14"/>
                <w:szCs w:val="14"/>
                <w:lang w:eastAsia="sk-SK"/>
              </w:rPr>
              <w:t>1 249 596</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8167F3" w:rsidRDefault="00655B0D" w:rsidP="004650BC">
            <w:pPr>
              <w:jc w:val="right"/>
              <w:rPr>
                <w:rFonts w:ascii="Times New Roman" w:hAnsi="Times New Roman" w:cs="Times New Roman"/>
                <w:sz w:val="14"/>
                <w:szCs w:val="14"/>
                <w:lang w:eastAsia="sk-SK"/>
              </w:rPr>
            </w:pPr>
            <w:r w:rsidRPr="008167F3">
              <w:rPr>
                <w:rFonts w:ascii="Times New Roman" w:hAnsi="Times New Roman" w:cs="Times New Roman"/>
                <w:sz w:val="14"/>
                <w:szCs w:val="14"/>
                <w:lang w:eastAsia="sk-SK"/>
              </w:rPr>
              <w:t>1 147 372</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8167F3" w:rsidRDefault="00655B0D" w:rsidP="004650BC">
            <w:pPr>
              <w:jc w:val="right"/>
              <w:rPr>
                <w:rFonts w:ascii="Times New Roman" w:hAnsi="Times New Roman" w:cs="Times New Roman"/>
                <w:sz w:val="14"/>
                <w:szCs w:val="14"/>
                <w:lang w:eastAsia="sk-SK"/>
              </w:rPr>
            </w:pPr>
            <w:r w:rsidRPr="008167F3">
              <w:rPr>
                <w:rFonts w:ascii="Times New Roman" w:hAnsi="Times New Roman" w:cs="Times New Roman"/>
                <w:sz w:val="14"/>
                <w:szCs w:val="14"/>
                <w:lang w:eastAsia="sk-SK"/>
              </w:rPr>
              <w:t>1 142 227</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8167F3" w:rsidRDefault="00655B0D" w:rsidP="004650BC">
            <w:pPr>
              <w:jc w:val="right"/>
              <w:rPr>
                <w:rFonts w:ascii="Times New Roman" w:hAnsi="Times New Roman" w:cs="Times New Roman"/>
                <w:sz w:val="14"/>
                <w:szCs w:val="14"/>
                <w:lang w:eastAsia="sk-SK"/>
              </w:rPr>
            </w:pPr>
            <w:r w:rsidRPr="008167F3">
              <w:rPr>
                <w:rFonts w:ascii="Times New Roman" w:hAnsi="Times New Roman" w:cs="Times New Roman"/>
                <w:sz w:val="14"/>
                <w:szCs w:val="14"/>
                <w:lang w:eastAsia="sk-SK"/>
              </w:rPr>
              <w:t>1 135 678</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8167F3" w:rsidRDefault="00655B0D" w:rsidP="004650BC">
            <w:pPr>
              <w:jc w:val="right"/>
              <w:rPr>
                <w:rFonts w:ascii="Times New Roman" w:hAnsi="Times New Roman" w:cs="Times New Roman"/>
                <w:sz w:val="14"/>
                <w:szCs w:val="14"/>
                <w:lang w:eastAsia="sk-SK"/>
              </w:rPr>
            </w:pPr>
            <w:r w:rsidRPr="008167F3">
              <w:rPr>
                <w:rFonts w:ascii="Times New Roman" w:hAnsi="Times New Roman" w:cs="Times New Roman"/>
                <w:sz w:val="14"/>
                <w:szCs w:val="14"/>
                <w:lang w:eastAsia="sk-SK"/>
              </w:rPr>
              <w:t>1 100 867</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8167F3" w:rsidRDefault="00655B0D" w:rsidP="004650BC">
            <w:pPr>
              <w:jc w:val="right"/>
              <w:rPr>
                <w:rFonts w:ascii="Times New Roman" w:hAnsi="Times New Roman" w:cs="Times New Roman"/>
                <w:sz w:val="14"/>
                <w:szCs w:val="14"/>
                <w:lang w:eastAsia="sk-SK"/>
              </w:rPr>
            </w:pPr>
            <w:r w:rsidRPr="008167F3">
              <w:rPr>
                <w:rFonts w:ascii="Times New Roman" w:hAnsi="Times New Roman" w:cs="Times New Roman"/>
                <w:sz w:val="14"/>
                <w:szCs w:val="14"/>
                <w:lang w:eastAsia="sk-SK"/>
              </w:rPr>
              <w:t>1 123 211</w:t>
            </w:r>
          </w:p>
        </w:tc>
      </w:tr>
      <w:tr w:rsidR="00655B0D" w:rsidRPr="008167F3" w:rsidTr="004650BC">
        <w:trPr>
          <w:trHeight w:val="270"/>
          <w:jc w:val="center"/>
        </w:trPr>
        <w:tc>
          <w:tcPr>
            <w:tcW w:w="1825" w:type="pct"/>
            <w:tcBorders>
              <w:top w:val="nil"/>
              <w:left w:val="single" w:sz="4" w:space="0" w:color="auto"/>
              <w:bottom w:val="single" w:sz="4" w:space="0" w:color="auto"/>
              <w:right w:val="single" w:sz="4" w:space="0" w:color="auto"/>
            </w:tcBorders>
            <w:shd w:val="clear" w:color="000000" w:fill="BFBFBF"/>
            <w:noWrap/>
            <w:vAlign w:val="center"/>
            <w:hideMark/>
          </w:tcPr>
          <w:p w:rsidR="00655B0D" w:rsidRPr="008167F3" w:rsidRDefault="00655B0D" w:rsidP="004650BC">
            <w:pPr>
              <w:rPr>
                <w:rFonts w:ascii="Times New Roman" w:hAnsi="Times New Roman" w:cs="Times New Roman"/>
                <w:b/>
                <w:bCs/>
                <w:sz w:val="14"/>
                <w:szCs w:val="14"/>
                <w:lang w:eastAsia="sk-SK"/>
              </w:rPr>
            </w:pPr>
            <w:r w:rsidRPr="008167F3">
              <w:rPr>
                <w:rFonts w:ascii="Times New Roman" w:hAnsi="Times New Roman" w:cs="Times New Roman"/>
                <w:b/>
                <w:bCs/>
                <w:sz w:val="14"/>
                <w:szCs w:val="14"/>
                <w:lang w:eastAsia="sk-SK"/>
              </w:rPr>
              <w:t>Prebytok / Schodok</w:t>
            </w:r>
          </w:p>
        </w:tc>
        <w:tc>
          <w:tcPr>
            <w:tcW w:w="454" w:type="pct"/>
            <w:tcBorders>
              <w:top w:val="nil"/>
              <w:left w:val="nil"/>
              <w:bottom w:val="single" w:sz="4" w:space="0" w:color="auto"/>
              <w:right w:val="single" w:sz="4" w:space="0" w:color="auto"/>
            </w:tcBorders>
            <w:shd w:val="clear" w:color="000000" w:fill="BFBFBF"/>
            <w:noWrap/>
            <w:vAlign w:val="center"/>
            <w:hideMark/>
          </w:tcPr>
          <w:p w:rsidR="00655B0D" w:rsidRPr="008167F3" w:rsidRDefault="00655B0D" w:rsidP="004650BC">
            <w:pPr>
              <w:jc w:val="right"/>
              <w:rPr>
                <w:rFonts w:ascii="Times New Roman" w:hAnsi="Times New Roman" w:cs="Times New Roman"/>
                <w:b/>
                <w:bCs/>
                <w:sz w:val="14"/>
                <w:szCs w:val="14"/>
                <w:lang w:eastAsia="sk-SK"/>
              </w:rPr>
            </w:pPr>
            <w:r w:rsidRPr="008167F3">
              <w:rPr>
                <w:rFonts w:ascii="Times New Roman" w:hAnsi="Times New Roman" w:cs="Times New Roman"/>
                <w:b/>
                <w:bCs/>
                <w:sz w:val="14"/>
                <w:szCs w:val="14"/>
                <w:lang w:eastAsia="sk-SK"/>
              </w:rPr>
              <w:t>-50 781</w:t>
            </w:r>
          </w:p>
        </w:tc>
        <w:tc>
          <w:tcPr>
            <w:tcW w:w="454" w:type="pct"/>
            <w:tcBorders>
              <w:top w:val="nil"/>
              <w:left w:val="nil"/>
              <w:bottom w:val="single" w:sz="4" w:space="0" w:color="auto"/>
              <w:right w:val="single" w:sz="4" w:space="0" w:color="auto"/>
            </w:tcBorders>
            <w:shd w:val="clear" w:color="000000" w:fill="BFBFBF"/>
            <w:noWrap/>
            <w:vAlign w:val="center"/>
            <w:hideMark/>
          </w:tcPr>
          <w:p w:rsidR="00655B0D" w:rsidRPr="008167F3" w:rsidRDefault="00655B0D" w:rsidP="004650BC">
            <w:pPr>
              <w:jc w:val="right"/>
              <w:rPr>
                <w:rFonts w:ascii="Times New Roman" w:hAnsi="Times New Roman" w:cs="Times New Roman"/>
                <w:b/>
                <w:bCs/>
                <w:sz w:val="14"/>
                <w:szCs w:val="14"/>
                <w:lang w:eastAsia="sk-SK"/>
              </w:rPr>
            </w:pPr>
            <w:r w:rsidRPr="008167F3">
              <w:rPr>
                <w:rFonts w:ascii="Times New Roman" w:hAnsi="Times New Roman" w:cs="Times New Roman"/>
                <w:b/>
                <w:bCs/>
                <w:sz w:val="14"/>
                <w:szCs w:val="14"/>
                <w:lang w:eastAsia="sk-SK"/>
              </w:rPr>
              <w:t>40 798</w:t>
            </w:r>
          </w:p>
        </w:tc>
        <w:tc>
          <w:tcPr>
            <w:tcW w:w="454" w:type="pct"/>
            <w:tcBorders>
              <w:top w:val="nil"/>
              <w:left w:val="nil"/>
              <w:bottom w:val="single" w:sz="4" w:space="0" w:color="auto"/>
              <w:right w:val="single" w:sz="4" w:space="0" w:color="auto"/>
            </w:tcBorders>
            <w:shd w:val="clear" w:color="000000" w:fill="BFBFBF"/>
            <w:noWrap/>
            <w:vAlign w:val="center"/>
            <w:hideMark/>
          </w:tcPr>
          <w:p w:rsidR="00655B0D" w:rsidRPr="008167F3" w:rsidRDefault="00655B0D" w:rsidP="004650BC">
            <w:pPr>
              <w:jc w:val="right"/>
              <w:rPr>
                <w:rFonts w:ascii="Times New Roman" w:hAnsi="Times New Roman" w:cs="Times New Roman"/>
                <w:b/>
                <w:bCs/>
                <w:sz w:val="14"/>
                <w:szCs w:val="14"/>
                <w:lang w:eastAsia="sk-SK"/>
              </w:rPr>
            </w:pPr>
            <w:r w:rsidRPr="008167F3">
              <w:rPr>
                <w:rFonts w:ascii="Times New Roman" w:hAnsi="Times New Roman" w:cs="Times New Roman"/>
                <w:b/>
                <w:bCs/>
                <w:sz w:val="14"/>
                <w:szCs w:val="14"/>
                <w:lang w:eastAsia="sk-SK"/>
              </w:rPr>
              <w:t>3 547</w:t>
            </w:r>
          </w:p>
        </w:tc>
        <w:tc>
          <w:tcPr>
            <w:tcW w:w="454" w:type="pct"/>
            <w:tcBorders>
              <w:top w:val="nil"/>
              <w:left w:val="nil"/>
              <w:bottom w:val="single" w:sz="4" w:space="0" w:color="auto"/>
              <w:right w:val="single" w:sz="4" w:space="0" w:color="auto"/>
            </w:tcBorders>
            <w:shd w:val="clear" w:color="000000" w:fill="BFBFBF"/>
            <w:noWrap/>
            <w:vAlign w:val="center"/>
            <w:hideMark/>
          </w:tcPr>
          <w:p w:rsidR="00655B0D" w:rsidRPr="008167F3" w:rsidRDefault="00655B0D" w:rsidP="004650BC">
            <w:pPr>
              <w:jc w:val="right"/>
              <w:rPr>
                <w:rFonts w:ascii="Times New Roman" w:hAnsi="Times New Roman" w:cs="Times New Roman"/>
                <w:b/>
                <w:bCs/>
                <w:sz w:val="14"/>
                <w:szCs w:val="14"/>
                <w:lang w:eastAsia="sk-SK"/>
              </w:rPr>
            </w:pPr>
            <w:r w:rsidRPr="008167F3">
              <w:rPr>
                <w:rFonts w:ascii="Times New Roman" w:hAnsi="Times New Roman" w:cs="Times New Roman"/>
                <w:b/>
                <w:bCs/>
                <w:sz w:val="14"/>
                <w:szCs w:val="14"/>
                <w:lang w:eastAsia="sk-SK"/>
              </w:rPr>
              <w:t>-1 875</w:t>
            </w:r>
          </w:p>
        </w:tc>
        <w:tc>
          <w:tcPr>
            <w:tcW w:w="454" w:type="pct"/>
            <w:tcBorders>
              <w:top w:val="nil"/>
              <w:left w:val="nil"/>
              <w:bottom w:val="single" w:sz="4" w:space="0" w:color="auto"/>
              <w:right w:val="single" w:sz="4" w:space="0" w:color="auto"/>
            </w:tcBorders>
            <w:shd w:val="clear" w:color="000000" w:fill="BFBFBF"/>
            <w:noWrap/>
            <w:vAlign w:val="center"/>
            <w:hideMark/>
          </w:tcPr>
          <w:p w:rsidR="00655B0D" w:rsidRPr="008167F3" w:rsidRDefault="00655B0D" w:rsidP="004650BC">
            <w:pPr>
              <w:jc w:val="right"/>
              <w:rPr>
                <w:rFonts w:ascii="Times New Roman" w:hAnsi="Times New Roman" w:cs="Times New Roman"/>
                <w:b/>
                <w:bCs/>
                <w:sz w:val="14"/>
                <w:szCs w:val="14"/>
                <w:lang w:eastAsia="sk-SK"/>
              </w:rPr>
            </w:pPr>
            <w:r w:rsidRPr="008167F3">
              <w:rPr>
                <w:rFonts w:ascii="Times New Roman" w:hAnsi="Times New Roman" w:cs="Times New Roman"/>
                <w:b/>
                <w:bCs/>
                <w:sz w:val="14"/>
                <w:szCs w:val="14"/>
                <w:lang w:eastAsia="sk-SK"/>
              </w:rPr>
              <w:t>42 649</w:t>
            </w:r>
          </w:p>
        </w:tc>
        <w:tc>
          <w:tcPr>
            <w:tcW w:w="454" w:type="pct"/>
            <w:tcBorders>
              <w:top w:val="nil"/>
              <w:left w:val="nil"/>
              <w:bottom w:val="single" w:sz="4" w:space="0" w:color="auto"/>
              <w:right w:val="single" w:sz="4" w:space="0" w:color="auto"/>
            </w:tcBorders>
            <w:shd w:val="clear" w:color="000000" w:fill="BFBFBF"/>
            <w:noWrap/>
            <w:vAlign w:val="center"/>
            <w:hideMark/>
          </w:tcPr>
          <w:p w:rsidR="00655B0D" w:rsidRPr="008167F3" w:rsidRDefault="00655B0D" w:rsidP="004650BC">
            <w:pPr>
              <w:jc w:val="right"/>
              <w:rPr>
                <w:rFonts w:ascii="Times New Roman" w:hAnsi="Times New Roman" w:cs="Times New Roman"/>
                <w:b/>
                <w:bCs/>
                <w:sz w:val="14"/>
                <w:szCs w:val="14"/>
                <w:lang w:eastAsia="sk-SK"/>
              </w:rPr>
            </w:pPr>
            <w:r w:rsidRPr="008167F3">
              <w:rPr>
                <w:rFonts w:ascii="Times New Roman" w:hAnsi="Times New Roman" w:cs="Times New Roman"/>
                <w:b/>
                <w:bCs/>
                <w:sz w:val="14"/>
                <w:szCs w:val="14"/>
                <w:lang w:eastAsia="sk-SK"/>
              </w:rPr>
              <w:t>156 228</w:t>
            </w:r>
          </w:p>
        </w:tc>
        <w:tc>
          <w:tcPr>
            <w:tcW w:w="454" w:type="pct"/>
            <w:tcBorders>
              <w:top w:val="nil"/>
              <w:left w:val="nil"/>
              <w:bottom w:val="single" w:sz="4" w:space="0" w:color="auto"/>
              <w:right w:val="single" w:sz="4" w:space="0" w:color="auto"/>
            </w:tcBorders>
            <w:shd w:val="clear" w:color="000000" w:fill="BFBFBF"/>
            <w:noWrap/>
            <w:vAlign w:val="center"/>
            <w:hideMark/>
          </w:tcPr>
          <w:p w:rsidR="00655B0D" w:rsidRPr="008167F3" w:rsidRDefault="00655B0D" w:rsidP="004650BC">
            <w:pPr>
              <w:jc w:val="right"/>
              <w:rPr>
                <w:rFonts w:ascii="Times New Roman" w:hAnsi="Times New Roman" w:cs="Times New Roman"/>
                <w:b/>
                <w:bCs/>
                <w:sz w:val="14"/>
                <w:szCs w:val="14"/>
                <w:lang w:eastAsia="sk-SK"/>
              </w:rPr>
            </w:pPr>
            <w:r w:rsidRPr="008167F3">
              <w:rPr>
                <w:rFonts w:ascii="Times New Roman" w:hAnsi="Times New Roman" w:cs="Times New Roman"/>
                <w:b/>
                <w:bCs/>
                <w:sz w:val="14"/>
                <w:szCs w:val="14"/>
                <w:lang w:eastAsia="sk-SK"/>
              </w:rPr>
              <w:t>56 180</w:t>
            </w:r>
          </w:p>
        </w:tc>
      </w:tr>
    </w:tbl>
    <w:p w:rsidR="00655B0D" w:rsidRDefault="00655B0D" w:rsidP="00655B0D">
      <w:pPr>
        <w:jc w:val="both"/>
        <w:rPr>
          <w:rFonts w:ascii="Times New Roman" w:hAnsi="Times New Roman"/>
        </w:rPr>
      </w:pPr>
    </w:p>
    <w:p w:rsidR="00655B0D" w:rsidRPr="006C7080" w:rsidRDefault="00655B0D" w:rsidP="00655B0D">
      <w:pPr>
        <w:ind w:firstLine="708"/>
        <w:jc w:val="both"/>
        <w:rPr>
          <w:rFonts w:ascii="Times New Roman" w:hAnsi="Times New Roman"/>
        </w:rPr>
      </w:pPr>
      <w:r w:rsidRPr="006C7080">
        <w:rPr>
          <w:rFonts w:ascii="Times New Roman" w:hAnsi="Times New Roman"/>
        </w:rPr>
        <w:t>Ministerstvo financií SR, ako správca vládnych pohľadávok a záväzkov Slovenskej republiky v zahraničí, je v zmluvnom vzťahu s Československou obchodnou bankou, a.</w:t>
      </w:r>
      <w:r>
        <w:rPr>
          <w:rFonts w:ascii="Times New Roman" w:hAnsi="Times New Roman"/>
        </w:rPr>
        <w:t xml:space="preserve"> </w:t>
      </w:r>
      <w:r w:rsidRPr="006C7080">
        <w:rPr>
          <w:rFonts w:ascii="Times New Roman" w:hAnsi="Times New Roman"/>
        </w:rPr>
        <w:t>s. Praha a Národnou bankou Slovenska, ktoré pre Ministerstvo financií SR poskytujú bankovo-technické služby v súvislosti s administráciou a vedením účtov pohľadávok a záväzkov Slovenskej republiky v zahraničí a vykonávajú činnosti spojené s ich vysporiadaním. V rámci výdavkov „štátneho dlhu“ sa zo štátneho rozpočtu hradia poplatky týmto bankám, ktoré sa v celom rozpočtovom rámci uvažujú na úrovni 270 tis. eur ročne.</w:t>
      </w:r>
    </w:p>
    <w:p w:rsidR="00655B0D" w:rsidRPr="00832237" w:rsidRDefault="00655B0D" w:rsidP="00655B0D">
      <w:pPr>
        <w:jc w:val="both"/>
        <w:rPr>
          <w:rFonts w:ascii="Times New Roman" w:hAnsi="Times New Roman"/>
          <w:szCs w:val="16"/>
        </w:rPr>
      </w:pPr>
    </w:p>
    <w:p w:rsidR="00655B0D" w:rsidRDefault="00655B0D" w:rsidP="00655B0D">
      <w:pPr>
        <w:jc w:val="both"/>
        <w:rPr>
          <w:rFonts w:ascii="Times New Roman" w:hAnsi="Times New Roman"/>
        </w:rPr>
      </w:pPr>
      <w:r w:rsidRPr="00832237">
        <w:rPr>
          <w:rFonts w:ascii="Times New Roman" w:hAnsi="Times New Roman"/>
        </w:rPr>
        <w:t>2.3.3.</w:t>
      </w:r>
      <w:r w:rsidRPr="00832237">
        <w:rPr>
          <w:rFonts w:ascii="Times New Roman" w:hAnsi="Times New Roman"/>
        </w:rPr>
        <w:tab/>
        <w:t xml:space="preserve">Časové rozlíšenie daňových príjmov štátneho rozpočtu </w:t>
      </w:r>
      <w:r w:rsidRPr="00C630E3">
        <w:rPr>
          <w:rFonts w:ascii="Times New Roman" w:hAnsi="Times New Roman"/>
        </w:rPr>
        <w:t>(časť 3.2. Akruálne dane pre návrh rozpo</w:t>
      </w:r>
      <w:r>
        <w:rPr>
          <w:rFonts w:ascii="Times New Roman" w:hAnsi="Times New Roman"/>
        </w:rPr>
        <w:t>čtu verejnej správy na roky 2019</w:t>
      </w:r>
      <w:r w:rsidRPr="00C630E3">
        <w:rPr>
          <w:rFonts w:ascii="Times New Roman" w:hAnsi="Times New Roman"/>
        </w:rPr>
        <w:t xml:space="preserve"> až 20</w:t>
      </w:r>
      <w:r>
        <w:rPr>
          <w:rFonts w:ascii="Times New Roman" w:hAnsi="Times New Roman"/>
        </w:rPr>
        <w:t>21</w:t>
      </w:r>
      <w:r w:rsidRPr="00C630E3">
        <w:rPr>
          <w:rFonts w:ascii="Times New Roman" w:hAnsi="Times New Roman"/>
        </w:rPr>
        <w:t>) je ďalším faktorom</w:t>
      </w:r>
      <w:r w:rsidRPr="00832237">
        <w:rPr>
          <w:rFonts w:ascii="Times New Roman" w:hAnsi="Times New Roman"/>
        </w:rPr>
        <w:t xml:space="preserve">, ktorý ovplyvňuje </w:t>
      </w:r>
      <w:r w:rsidRPr="00832237">
        <w:rPr>
          <w:rFonts w:ascii="Times New Roman" w:hAnsi="Times New Roman"/>
        </w:rPr>
        <w:lastRenderedPageBreak/>
        <w:t>schodok štátneho rozpočtu. Ide o rozdiel hotovostných a akruálnych daní, ako aj výdavkov určenýc</w:t>
      </w:r>
      <w:r>
        <w:rPr>
          <w:rFonts w:ascii="Times New Roman" w:hAnsi="Times New Roman"/>
        </w:rPr>
        <w:t>h na verejnoprospešný účel</w:t>
      </w:r>
      <w:r w:rsidRPr="00832237">
        <w:rPr>
          <w:rFonts w:ascii="Times New Roman" w:hAnsi="Times New Roman"/>
        </w:rPr>
        <w:t>.</w:t>
      </w:r>
    </w:p>
    <w:p w:rsidR="00655B0D" w:rsidRPr="00832237" w:rsidRDefault="00655B0D" w:rsidP="00655B0D">
      <w:pPr>
        <w:jc w:val="both"/>
        <w:rPr>
          <w:rFonts w:ascii="Times New Roman" w:hAnsi="Times New Roman"/>
          <w:sz w:val="16"/>
          <w:szCs w:val="16"/>
        </w:rPr>
      </w:pPr>
    </w:p>
    <w:tbl>
      <w:tblPr>
        <w:tblW w:w="9079" w:type="dxa"/>
        <w:jc w:val="center"/>
        <w:tblCellMar>
          <w:left w:w="70" w:type="dxa"/>
          <w:right w:w="70" w:type="dxa"/>
        </w:tblCellMar>
        <w:tblLook w:val="04A0" w:firstRow="1" w:lastRow="0" w:firstColumn="1" w:lastColumn="0" w:noHBand="0" w:noVBand="1"/>
      </w:tblPr>
      <w:tblGrid>
        <w:gridCol w:w="3339"/>
        <w:gridCol w:w="820"/>
        <w:gridCol w:w="820"/>
        <w:gridCol w:w="820"/>
        <w:gridCol w:w="820"/>
        <w:gridCol w:w="820"/>
        <w:gridCol w:w="820"/>
        <w:gridCol w:w="820"/>
      </w:tblGrid>
      <w:tr w:rsidR="00655B0D" w:rsidRPr="004D295E" w:rsidTr="004650BC">
        <w:trPr>
          <w:trHeight w:val="435"/>
          <w:jc w:val="center"/>
        </w:trPr>
        <w:tc>
          <w:tcPr>
            <w:tcW w:w="3339" w:type="dxa"/>
            <w:tcBorders>
              <w:top w:val="single" w:sz="4" w:space="0" w:color="auto"/>
              <w:left w:val="single" w:sz="4" w:space="0" w:color="auto"/>
              <w:bottom w:val="single" w:sz="4" w:space="0" w:color="auto"/>
              <w:right w:val="nil"/>
            </w:tcBorders>
            <w:shd w:val="clear" w:color="000000" w:fill="A6A6A6"/>
            <w:vAlign w:val="center"/>
            <w:hideMark/>
          </w:tcPr>
          <w:p w:rsidR="00655B0D" w:rsidRPr="004D295E" w:rsidRDefault="00655B0D" w:rsidP="004650BC">
            <w:pP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Daňové príjmy štátneho rozpočtu</w:t>
            </w:r>
            <w:r w:rsidRPr="004D295E">
              <w:rPr>
                <w:rFonts w:ascii="Times New Roman" w:hAnsi="Times New Roman" w:cs="Times New Roman"/>
                <w:b/>
                <w:bCs/>
                <w:sz w:val="14"/>
                <w:szCs w:val="14"/>
                <w:lang w:eastAsia="sk-SK"/>
              </w:rPr>
              <w:br/>
            </w:r>
            <w:r w:rsidRPr="004D295E">
              <w:rPr>
                <w:rFonts w:ascii="Times New Roman" w:hAnsi="Times New Roman" w:cs="Times New Roman"/>
                <w:sz w:val="14"/>
                <w:szCs w:val="14"/>
                <w:lang w:eastAsia="sk-SK"/>
              </w:rPr>
              <w:t>(v tis. eur)</w:t>
            </w:r>
          </w:p>
        </w:tc>
        <w:tc>
          <w:tcPr>
            <w:tcW w:w="82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2016 S</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2017 S</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2018 R</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2018 OS</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2019 N</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2020 N</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2021 N</w:t>
            </w:r>
          </w:p>
        </w:tc>
      </w:tr>
      <w:tr w:rsidR="00655B0D" w:rsidRPr="004D295E" w:rsidTr="004650BC">
        <w:trPr>
          <w:trHeight w:val="255"/>
          <w:jc w:val="center"/>
        </w:trPr>
        <w:tc>
          <w:tcPr>
            <w:tcW w:w="3339" w:type="dxa"/>
            <w:tcBorders>
              <w:top w:val="nil"/>
              <w:left w:val="single" w:sz="4" w:space="0" w:color="auto"/>
              <w:bottom w:val="single" w:sz="4" w:space="0" w:color="auto"/>
              <w:right w:val="nil"/>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Akruálny princíp</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10 956 371</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11 612 039</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11 871 322</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12 216 743</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13 030 222</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13 735 512</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14 351 542</w:t>
            </w:r>
          </w:p>
        </w:tc>
      </w:tr>
      <w:tr w:rsidR="00655B0D" w:rsidRPr="004D295E" w:rsidTr="004650BC">
        <w:trPr>
          <w:trHeight w:val="255"/>
          <w:jc w:val="center"/>
        </w:trPr>
        <w:tc>
          <w:tcPr>
            <w:tcW w:w="3339" w:type="dxa"/>
            <w:tcBorders>
              <w:top w:val="nil"/>
              <w:left w:val="single" w:sz="4" w:space="0" w:color="auto"/>
              <w:bottom w:val="single" w:sz="4" w:space="0" w:color="auto"/>
              <w:right w:val="nil"/>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Hotovostný princíp</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11 068 156</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11 152 310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11 361 518</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11 943 588</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12 464 557</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13 333 763</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13 852 261</w:t>
            </w:r>
          </w:p>
        </w:tc>
      </w:tr>
      <w:tr w:rsidR="00655B0D" w:rsidRPr="004D295E" w:rsidTr="004650BC">
        <w:trPr>
          <w:trHeight w:val="255"/>
          <w:jc w:val="center"/>
        </w:trPr>
        <w:tc>
          <w:tcPr>
            <w:tcW w:w="3339" w:type="dxa"/>
            <w:tcBorders>
              <w:top w:val="nil"/>
              <w:left w:val="single" w:sz="4" w:space="0" w:color="auto"/>
              <w:bottom w:val="single" w:sz="4" w:space="0" w:color="auto"/>
              <w:right w:val="nil"/>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Výdavky na verejnoprospešný účel</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61 631</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63 429</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64 585</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66 745</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71 961</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77 535</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83 378</w:t>
            </w:r>
          </w:p>
        </w:tc>
      </w:tr>
      <w:tr w:rsidR="00655B0D" w:rsidRPr="004D295E" w:rsidTr="004650BC">
        <w:trPr>
          <w:trHeight w:val="270"/>
          <w:jc w:val="center"/>
        </w:trPr>
        <w:tc>
          <w:tcPr>
            <w:tcW w:w="3339" w:type="dxa"/>
            <w:tcBorders>
              <w:top w:val="nil"/>
              <w:left w:val="single" w:sz="4" w:space="0" w:color="auto"/>
              <w:bottom w:val="single" w:sz="4" w:space="0" w:color="auto"/>
              <w:right w:val="nil"/>
            </w:tcBorders>
            <w:shd w:val="clear" w:color="000000" w:fill="BFBFBF"/>
            <w:noWrap/>
            <w:vAlign w:val="center"/>
            <w:hideMark/>
          </w:tcPr>
          <w:p w:rsidR="00655B0D" w:rsidRPr="004D295E" w:rsidRDefault="00655B0D" w:rsidP="004650BC">
            <w:pP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Rozdiel</w:t>
            </w:r>
          </w:p>
        </w:tc>
        <w:tc>
          <w:tcPr>
            <w:tcW w:w="820" w:type="dxa"/>
            <w:tcBorders>
              <w:top w:val="nil"/>
              <w:left w:val="single" w:sz="4" w:space="0" w:color="auto"/>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-173 416</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396 300</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445 219</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206 410</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493 704</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324 214</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415 903</w:t>
            </w:r>
          </w:p>
        </w:tc>
      </w:tr>
      <w:tr w:rsidR="00655B0D" w:rsidRPr="004D295E" w:rsidTr="004650BC">
        <w:trPr>
          <w:trHeight w:val="270"/>
          <w:jc w:val="center"/>
        </w:trPr>
        <w:tc>
          <w:tcPr>
            <w:tcW w:w="7439" w:type="dxa"/>
            <w:gridSpan w:val="6"/>
            <w:tcBorders>
              <w:top w:val="single" w:sz="4" w:space="0" w:color="auto"/>
              <w:left w:val="nil"/>
              <w:bottom w:val="nil"/>
              <w:right w:val="nil"/>
            </w:tcBorders>
            <w:shd w:val="clear" w:color="auto" w:fill="auto"/>
            <w:hideMark/>
          </w:tcPr>
          <w:p w:rsidR="00655B0D" w:rsidRPr="004D295E" w:rsidRDefault="00655B0D" w:rsidP="004650BC">
            <w:pPr>
              <w:rPr>
                <w:rFonts w:ascii="Times New Roman" w:hAnsi="Times New Roman" w:cs="Times New Roman"/>
                <w:i/>
                <w:iCs/>
                <w:sz w:val="14"/>
                <w:szCs w:val="14"/>
                <w:lang w:eastAsia="sk-SK"/>
              </w:rPr>
            </w:pPr>
            <w:r w:rsidRPr="004D295E">
              <w:rPr>
                <w:rFonts w:ascii="Times New Roman" w:hAnsi="Times New Roman" w:cs="Times New Roman"/>
                <w:i/>
                <w:iCs/>
                <w:sz w:val="14"/>
                <w:szCs w:val="14"/>
                <w:lang w:eastAsia="sk-SK"/>
              </w:rPr>
              <w:t>Poznámka : Z hľadiska konzistentnosti materiálu sú údaje na akruálnom aj hotovostnom princípe uvedené vrátane sankcií.</w:t>
            </w:r>
          </w:p>
        </w:tc>
        <w:tc>
          <w:tcPr>
            <w:tcW w:w="820" w:type="dxa"/>
            <w:tcBorders>
              <w:top w:val="nil"/>
              <w:left w:val="nil"/>
              <w:bottom w:val="nil"/>
              <w:right w:val="nil"/>
            </w:tcBorders>
            <w:shd w:val="clear" w:color="auto" w:fill="auto"/>
            <w:hideMark/>
          </w:tcPr>
          <w:p w:rsidR="00655B0D" w:rsidRPr="004D295E" w:rsidRDefault="00655B0D" w:rsidP="004650BC">
            <w:pPr>
              <w:rPr>
                <w:rFonts w:ascii="Times New Roman" w:hAnsi="Times New Roman" w:cs="Times New Roman"/>
                <w:i/>
                <w:iCs/>
                <w:sz w:val="14"/>
                <w:szCs w:val="14"/>
                <w:lang w:eastAsia="sk-SK"/>
              </w:rPr>
            </w:pPr>
          </w:p>
        </w:tc>
        <w:tc>
          <w:tcPr>
            <w:tcW w:w="820" w:type="dxa"/>
            <w:tcBorders>
              <w:top w:val="nil"/>
              <w:left w:val="nil"/>
              <w:bottom w:val="nil"/>
              <w:right w:val="nil"/>
            </w:tcBorders>
            <w:shd w:val="clear" w:color="auto" w:fill="auto"/>
            <w:hideMark/>
          </w:tcPr>
          <w:p w:rsidR="00655B0D" w:rsidRPr="004D295E" w:rsidRDefault="00655B0D" w:rsidP="004650BC">
            <w:pPr>
              <w:rPr>
                <w:rFonts w:ascii="Times New Roman" w:hAnsi="Times New Roman" w:cs="Times New Roman"/>
                <w:sz w:val="20"/>
                <w:szCs w:val="20"/>
                <w:lang w:eastAsia="sk-SK"/>
              </w:rPr>
            </w:pPr>
          </w:p>
        </w:tc>
      </w:tr>
    </w:tbl>
    <w:p w:rsidR="00655B0D" w:rsidRDefault="00655B0D" w:rsidP="00655B0D">
      <w:pPr>
        <w:jc w:val="both"/>
        <w:rPr>
          <w:rFonts w:ascii="Times New Roman" w:hAnsi="Times New Roman"/>
        </w:rPr>
      </w:pPr>
      <w:r w:rsidRPr="00832237">
        <w:rPr>
          <w:rFonts w:ascii="Times New Roman" w:hAnsi="Times New Roman"/>
          <w:bCs/>
          <w:szCs w:val="16"/>
        </w:rPr>
        <w:t>2.3.4.</w:t>
      </w:r>
      <w:r w:rsidRPr="00832237">
        <w:rPr>
          <w:rFonts w:ascii="Times New Roman" w:hAnsi="Times New Roman"/>
          <w:bCs/>
          <w:szCs w:val="16"/>
        </w:rPr>
        <w:tab/>
      </w:r>
      <w:r>
        <w:rPr>
          <w:rFonts w:ascii="Times New Roman" w:hAnsi="Times New Roman"/>
          <w:bCs/>
          <w:szCs w:val="16"/>
        </w:rPr>
        <w:t>M</w:t>
      </w:r>
      <w:r w:rsidRPr="00832237">
        <w:rPr>
          <w:rFonts w:ascii="Times New Roman" w:hAnsi="Times New Roman"/>
        </w:rPr>
        <w:t>etodika ESA 2010 rozlišuje medzi zaznamenávaním daňových kreditov, ktoré znižujú len daňovú povinnosť („non-payable tax credits“) a daňových kreditov, ktoré sa uplatňujú nad rámec daňovej povinnosti („payable tax credit“ - v podmienkach SR spĺňa túto definíciu daňový bonus a zamestnanecká prémia). „Non-payable tax credits“ sa podľa ESA 2010 zaznamenávajú ako zníženie daňových príjmov, naopak „payable tax credits“ neznižujú daňové príjmy a súčasne sa zaznamenávajú v rámci výdavkov štátneho rozpočtu – daňové výdavky.</w:t>
      </w:r>
      <w:r w:rsidRPr="00832237">
        <w:t xml:space="preserve"> </w:t>
      </w:r>
      <w:r w:rsidRPr="00832237">
        <w:rPr>
          <w:rFonts w:ascii="Times New Roman" w:hAnsi="Times New Roman"/>
        </w:rPr>
        <w:t>Na rok 201</w:t>
      </w:r>
      <w:r>
        <w:rPr>
          <w:rFonts w:ascii="Times New Roman" w:hAnsi="Times New Roman"/>
        </w:rPr>
        <w:t>9</w:t>
      </w:r>
      <w:r w:rsidRPr="00832237">
        <w:rPr>
          <w:rFonts w:ascii="Times New Roman" w:hAnsi="Times New Roman"/>
        </w:rPr>
        <w:t xml:space="preserve"> sa predpokladajú daňové kredity vo výške </w:t>
      </w:r>
      <w:r>
        <w:rPr>
          <w:rFonts w:ascii="Times New Roman" w:hAnsi="Times New Roman"/>
        </w:rPr>
        <w:t>takmer 279,8</w:t>
      </w:r>
      <w:r w:rsidRPr="00832237">
        <w:rPr>
          <w:rFonts w:ascii="Times New Roman" w:hAnsi="Times New Roman"/>
        </w:rPr>
        <w:t xml:space="preserve"> mil. eur.</w:t>
      </w:r>
    </w:p>
    <w:p w:rsidR="00655B0D" w:rsidRDefault="00655B0D" w:rsidP="00655B0D">
      <w:pPr>
        <w:jc w:val="both"/>
        <w:rPr>
          <w:rFonts w:ascii="Times New Roman" w:hAnsi="Times New Roman"/>
        </w:rPr>
      </w:pPr>
    </w:p>
    <w:p w:rsidR="00655B0D" w:rsidRPr="00054FDE" w:rsidRDefault="00655B0D" w:rsidP="00655B0D">
      <w:pPr>
        <w:jc w:val="both"/>
        <w:rPr>
          <w:rFonts w:ascii="Times New Roman" w:hAnsi="Times New Roman"/>
          <w:bCs/>
          <w:szCs w:val="16"/>
        </w:rPr>
      </w:pPr>
      <w:r w:rsidRPr="00054FDE">
        <w:rPr>
          <w:rFonts w:ascii="Times New Roman" w:hAnsi="Times New Roman"/>
          <w:bCs/>
          <w:szCs w:val="16"/>
        </w:rPr>
        <w:t>2.3.5.</w:t>
      </w:r>
      <w:r w:rsidRPr="00054FDE">
        <w:rPr>
          <w:rFonts w:ascii="Times New Roman" w:hAnsi="Times New Roman"/>
          <w:bCs/>
          <w:szCs w:val="16"/>
        </w:rPr>
        <w:tab/>
      </w:r>
      <w:r>
        <w:rPr>
          <w:rFonts w:ascii="Times New Roman" w:hAnsi="Times New Roman"/>
          <w:bCs/>
          <w:szCs w:val="16"/>
        </w:rPr>
        <w:t>R</w:t>
      </w:r>
      <w:r w:rsidRPr="00054FDE">
        <w:rPr>
          <w:rFonts w:ascii="Times New Roman" w:hAnsi="Times New Roman"/>
          <w:bCs/>
          <w:szCs w:val="16"/>
        </w:rPr>
        <w:t xml:space="preserve">ozpočtová organizácia rozpočtuje príjmy a výdavky na všetkých účtoch organizácie </w:t>
      </w:r>
      <w:r>
        <w:rPr>
          <w:rFonts w:ascii="Times New Roman" w:hAnsi="Times New Roman"/>
          <w:bCs/>
          <w:szCs w:val="16"/>
        </w:rPr>
        <w:t xml:space="preserve">   </w:t>
      </w:r>
      <w:r w:rsidRPr="00054FDE">
        <w:rPr>
          <w:rFonts w:ascii="Times New Roman" w:hAnsi="Times New Roman"/>
          <w:bCs/>
          <w:szCs w:val="16"/>
        </w:rPr>
        <w:t>t. j. súčasťou rozpočtu rozpočtovej organizácie sú všetky prostriedky s ktorými hospodári, vrátane prostriedkov na samostatných účtoch. V rámci aktuálneho rozpočtového rámca je možné predpokladať nasledovné hospodárenie na samostatných účtoch.</w:t>
      </w:r>
    </w:p>
    <w:p w:rsidR="00655B0D" w:rsidRDefault="00655B0D" w:rsidP="00655B0D">
      <w:pPr>
        <w:jc w:val="both"/>
        <w:rPr>
          <w:rFonts w:ascii="Times New Roman" w:hAnsi="Times New Roman"/>
        </w:rPr>
      </w:pPr>
    </w:p>
    <w:tbl>
      <w:tblPr>
        <w:tblW w:w="4999" w:type="pct"/>
        <w:jc w:val="center"/>
        <w:tblCellMar>
          <w:left w:w="70" w:type="dxa"/>
          <w:right w:w="70" w:type="dxa"/>
        </w:tblCellMar>
        <w:tblLook w:val="04A0" w:firstRow="1" w:lastRow="0" w:firstColumn="1" w:lastColumn="0" w:noHBand="0" w:noVBand="1"/>
      </w:tblPr>
      <w:tblGrid>
        <w:gridCol w:w="3306"/>
        <w:gridCol w:w="822"/>
        <w:gridCol w:w="823"/>
        <w:gridCol w:w="823"/>
        <w:gridCol w:w="823"/>
        <w:gridCol w:w="823"/>
        <w:gridCol w:w="823"/>
        <w:gridCol w:w="817"/>
      </w:tblGrid>
      <w:tr w:rsidR="00655B0D" w:rsidRPr="00F370D6" w:rsidTr="004650BC">
        <w:trPr>
          <w:trHeight w:val="360"/>
          <w:jc w:val="center"/>
        </w:trPr>
        <w:tc>
          <w:tcPr>
            <w:tcW w:w="1825" w:type="pct"/>
            <w:tcBorders>
              <w:top w:val="single" w:sz="4" w:space="0" w:color="auto"/>
              <w:left w:val="single" w:sz="4" w:space="0" w:color="auto"/>
              <w:bottom w:val="single" w:sz="4" w:space="0" w:color="auto"/>
              <w:right w:val="single" w:sz="4" w:space="0" w:color="auto"/>
            </w:tcBorders>
            <w:shd w:val="clear" w:color="000000" w:fill="A6A6A6"/>
            <w:vAlign w:val="center"/>
            <w:hideMark/>
          </w:tcPr>
          <w:p w:rsidR="00655B0D" w:rsidRPr="00F370D6" w:rsidRDefault="00655B0D" w:rsidP="004650BC">
            <w:pPr>
              <w:rPr>
                <w:rFonts w:ascii="Times New Roman" w:hAnsi="Times New Roman" w:cs="Times New Roman"/>
                <w:b/>
                <w:bCs/>
                <w:sz w:val="14"/>
                <w:szCs w:val="14"/>
                <w:lang w:eastAsia="sk-SK"/>
              </w:rPr>
            </w:pPr>
            <w:r w:rsidRPr="00F370D6">
              <w:rPr>
                <w:rFonts w:ascii="Times New Roman" w:hAnsi="Times New Roman" w:cs="Times New Roman"/>
                <w:b/>
                <w:bCs/>
                <w:sz w:val="14"/>
                <w:szCs w:val="14"/>
                <w:lang w:eastAsia="sk-SK"/>
              </w:rPr>
              <w:t>Samostatné účty rozpočtových organizácií štátu</w:t>
            </w:r>
            <w:r w:rsidRPr="00F370D6">
              <w:rPr>
                <w:rFonts w:ascii="Times New Roman" w:hAnsi="Times New Roman" w:cs="Times New Roman"/>
                <w:b/>
                <w:bCs/>
                <w:sz w:val="14"/>
                <w:szCs w:val="14"/>
                <w:lang w:eastAsia="sk-SK"/>
              </w:rPr>
              <w:br/>
            </w:r>
            <w:r w:rsidRPr="00F370D6">
              <w:rPr>
                <w:rFonts w:ascii="Times New Roman" w:hAnsi="Times New Roman" w:cs="Times New Roman"/>
                <w:sz w:val="14"/>
                <w:szCs w:val="14"/>
                <w:lang w:eastAsia="sk-SK"/>
              </w:rPr>
              <w:t>(v tis. eur)</w:t>
            </w:r>
          </w:p>
        </w:tc>
        <w:tc>
          <w:tcPr>
            <w:tcW w:w="454"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F370D6" w:rsidRDefault="00655B0D" w:rsidP="004650BC">
            <w:pPr>
              <w:jc w:val="center"/>
              <w:rPr>
                <w:rFonts w:ascii="Times New Roman" w:hAnsi="Times New Roman" w:cs="Times New Roman"/>
                <w:b/>
                <w:bCs/>
                <w:sz w:val="14"/>
                <w:szCs w:val="14"/>
                <w:lang w:eastAsia="sk-SK"/>
              </w:rPr>
            </w:pPr>
            <w:r w:rsidRPr="00F370D6">
              <w:rPr>
                <w:rFonts w:ascii="Times New Roman" w:hAnsi="Times New Roman" w:cs="Times New Roman"/>
                <w:b/>
                <w:bCs/>
                <w:sz w:val="14"/>
                <w:szCs w:val="14"/>
                <w:lang w:eastAsia="sk-SK"/>
              </w:rPr>
              <w:t>2016 S</w:t>
            </w:r>
          </w:p>
        </w:tc>
        <w:tc>
          <w:tcPr>
            <w:tcW w:w="454"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F370D6" w:rsidRDefault="00655B0D" w:rsidP="004650BC">
            <w:pPr>
              <w:jc w:val="center"/>
              <w:rPr>
                <w:rFonts w:ascii="Times New Roman" w:hAnsi="Times New Roman" w:cs="Times New Roman"/>
                <w:b/>
                <w:bCs/>
                <w:sz w:val="14"/>
                <w:szCs w:val="14"/>
                <w:lang w:eastAsia="sk-SK"/>
              </w:rPr>
            </w:pPr>
            <w:r w:rsidRPr="00F370D6">
              <w:rPr>
                <w:rFonts w:ascii="Times New Roman" w:hAnsi="Times New Roman" w:cs="Times New Roman"/>
                <w:b/>
                <w:bCs/>
                <w:sz w:val="14"/>
                <w:szCs w:val="14"/>
                <w:lang w:eastAsia="sk-SK"/>
              </w:rPr>
              <w:t>2017 S</w:t>
            </w:r>
          </w:p>
        </w:tc>
        <w:tc>
          <w:tcPr>
            <w:tcW w:w="454"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F370D6" w:rsidRDefault="00655B0D" w:rsidP="004650BC">
            <w:pPr>
              <w:jc w:val="center"/>
              <w:rPr>
                <w:rFonts w:ascii="Times New Roman" w:hAnsi="Times New Roman" w:cs="Times New Roman"/>
                <w:b/>
                <w:bCs/>
                <w:sz w:val="14"/>
                <w:szCs w:val="14"/>
                <w:lang w:eastAsia="sk-SK"/>
              </w:rPr>
            </w:pPr>
            <w:r w:rsidRPr="00F370D6">
              <w:rPr>
                <w:rFonts w:ascii="Times New Roman" w:hAnsi="Times New Roman" w:cs="Times New Roman"/>
                <w:b/>
                <w:bCs/>
                <w:sz w:val="14"/>
                <w:szCs w:val="14"/>
                <w:lang w:eastAsia="sk-SK"/>
              </w:rPr>
              <w:t>2018 R</w:t>
            </w:r>
          </w:p>
        </w:tc>
        <w:tc>
          <w:tcPr>
            <w:tcW w:w="454"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F370D6" w:rsidRDefault="00655B0D" w:rsidP="004650BC">
            <w:pPr>
              <w:jc w:val="center"/>
              <w:rPr>
                <w:rFonts w:ascii="Times New Roman" w:hAnsi="Times New Roman" w:cs="Times New Roman"/>
                <w:b/>
                <w:bCs/>
                <w:sz w:val="14"/>
                <w:szCs w:val="14"/>
                <w:lang w:eastAsia="sk-SK"/>
              </w:rPr>
            </w:pPr>
            <w:r w:rsidRPr="00F370D6">
              <w:rPr>
                <w:rFonts w:ascii="Times New Roman" w:hAnsi="Times New Roman" w:cs="Times New Roman"/>
                <w:b/>
                <w:bCs/>
                <w:sz w:val="14"/>
                <w:szCs w:val="14"/>
                <w:lang w:eastAsia="sk-SK"/>
              </w:rPr>
              <w:t>2018 OS</w:t>
            </w:r>
          </w:p>
        </w:tc>
        <w:tc>
          <w:tcPr>
            <w:tcW w:w="454"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F370D6" w:rsidRDefault="00655B0D" w:rsidP="004650BC">
            <w:pPr>
              <w:jc w:val="center"/>
              <w:rPr>
                <w:rFonts w:ascii="Times New Roman" w:hAnsi="Times New Roman" w:cs="Times New Roman"/>
                <w:b/>
                <w:bCs/>
                <w:sz w:val="14"/>
                <w:szCs w:val="14"/>
                <w:lang w:eastAsia="sk-SK"/>
              </w:rPr>
            </w:pPr>
            <w:r w:rsidRPr="00F370D6">
              <w:rPr>
                <w:rFonts w:ascii="Times New Roman" w:hAnsi="Times New Roman" w:cs="Times New Roman"/>
                <w:b/>
                <w:bCs/>
                <w:sz w:val="14"/>
                <w:szCs w:val="14"/>
                <w:lang w:eastAsia="sk-SK"/>
              </w:rPr>
              <w:t>2019 N</w:t>
            </w:r>
          </w:p>
        </w:tc>
        <w:tc>
          <w:tcPr>
            <w:tcW w:w="454"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F370D6" w:rsidRDefault="00655B0D" w:rsidP="004650BC">
            <w:pPr>
              <w:jc w:val="center"/>
              <w:rPr>
                <w:rFonts w:ascii="Times New Roman" w:hAnsi="Times New Roman" w:cs="Times New Roman"/>
                <w:b/>
                <w:bCs/>
                <w:sz w:val="14"/>
                <w:szCs w:val="14"/>
                <w:lang w:eastAsia="sk-SK"/>
              </w:rPr>
            </w:pPr>
            <w:r w:rsidRPr="00F370D6">
              <w:rPr>
                <w:rFonts w:ascii="Times New Roman" w:hAnsi="Times New Roman" w:cs="Times New Roman"/>
                <w:b/>
                <w:bCs/>
                <w:sz w:val="14"/>
                <w:szCs w:val="14"/>
                <w:lang w:eastAsia="sk-SK"/>
              </w:rPr>
              <w:t>2020 N</w:t>
            </w:r>
          </w:p>
        </w:tc>
        <w:tc>
          <w:tcPr>
            <w:tcW w:w="451" w:type="pct"/>
            <w:tcBorders>
              <w:top w:val="single" w:sz="4" w:space="0" w:color="auto"/>
              <w:left w:val="nil"/>
              <w:bottom w:val="single" w:sz="4" w:space="0" w:color="auto"/>
              <w:right w:val="single" w:sz="4" w:space="0" w:color="auto"/>
            </w:tcBorders>
            <w:shd w:val="clear" w:color="000000" w:fill="A6A6A6"/>
            <w:noWrap/>
            <w:vAlign w:val="center"/>
            <w:hideMark/>
          </w:tcPr>
          <w:p w:rsidR="00655B0D" w:rsidRPr="00F370D6" w:rsidRDefault="00655B0D" w:rsidP="004650BC">
            <w:pPr>
              <w:jc w:val="center"/>
              <w:rPr>
                <w:rFonts w:ascii="Times New Roman" w:hAnsi="Times New Roman" w:cs="Times New Roman"/>
                <w:b/>
                <w:bCs/>
                <w:sz w:val="14"/>
                <w:szCs w:val="14"/>
                <w:lang w:eastAsia="sk-SK"/>
              </w:rPr>
            </w:pPr>
            <w:r w:rsidRPr="00F370D6">
              <w:rPr>
                <w:rFonts w:ascii="Times New Roman" w:hAnsi="Times New Roman" w:cs="Times New Roman"/>
                <w:b/>
                <w:bCs/>
                <w:sz w:val="14"/>
                <w:szCs w:val="14"/>
                <w:lang w:eastAsia="sk-SK"/>
              </w:rPr>
              <w:t>2021 N</w:t>
            </w:r>
          </w:p>
        </w:tc>
      </w:tr>
      <w:tr w:rsidR="00655B0D" w:rsidRPr="00F370D6" w:rsidTr="004650BC">
        <w:trPr>
          <w:trHeight w:val="255"/>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655B0D" w:rsidRPr="00F370D6" w:rsidRDefault="00655B0D" w:rsidP="004650BC">
            <w:pPr>
              <w:rPr>
                <w:rFonts w:ascii="Times New Roman" w:hAnsi="Times New Roman" w:cs="Times New Roman"/>
                <w:sz w:val="14"/>
                <w:szCs w:val="14"/>
                <w:lang w:eastAsia="sk-SK"/>
              </w:rPr>
            </w:pPr>
            <w:r w:rsidRPr="00F370D6">
              <w:rPr>
                <w:rFonts w:ascii="Times New Roman" w:hAnsi="Times New Roman" w:cs="Times New Roman"/>
                <w:sz w:val="14"/>
                <w:szCs w:val="14"/>
                <w:lang w:eastAsia="sk-SK"/>
              </w:rPr>
              <w:t>Príjmy</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F370D6" w:rsidRDefault="00655B0D" w:rsidP="004650BC">
            <w:pPr>
              <w:jc w:val="right"/>
              <w:rPr>
                <w:rFonts w:ascii="Times New Roman" w:hAnsi="Times New Roman" w:cs="Times New Roman"/>
                <w:sz w:val="14"/>
                <w:szCs w:val="14"/>
                <w:lang w:eastAsia="sk-SK"/>
              </w:rPr>
            </w:pPr>
            <w:r w:rsidRPr="00F370D6">
              <w:rPr>
                <w:rFonts w:ascii="Times New Roman" w:hAnsi="Times New Roman" w:cs="Times New Roman"/>
                <w:sz w:val="14"/>
                <w:szCs w:val="14"/>
                <w:lang w:eastAsia="sk-SK"/>
              </w:rPr>
              <w:t>510 989</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F370D6" w:rsidRDefault="00655B0D" w:rsidP="004650BC">
            <w:pPr>
              <w:jc w:val="right"/>
              <w:rPr>
                <w:rFonts w:ascii="Times New Roman" w:hAnsi="Times New Roman" w:cs="Times New Roman"/>
                <w:sz w:val="14"/>
                <w:szCs w:val="14"/>
                <w:lang w:eastAsia="sk-SK"/>
              </w:rPr>
            </w:pPr>
            <w:r w:rsidRPr="00F370D6">
              <w:rPr>
                <w:rFonts w:ascii="Times New Roman" w:hAnsi="Times New Roman" w:cs="Times New Roman"/>
                <w:sz w:val="14"/>
                <w:szCs w:val="14"/>
                <w:lang w:eastAsia="sk-SK"/>
              </w:rPr>
              <w:t>532 251</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F370D6" w:rsidRDefault="00655B0D" w:rsidP="004650BC">
            <w:pPr>
              <w:jc w:val="right"/>
              <w:rPr>
                <w:rFonts w:ascii="Times New Roman" w:hAnsi="Times New Roman" w:cs="Times New Roman"/>
                <w:sz w:val="14"/>
                <w:szCs w:val="14"/>
                <w:lang w:eastAsia="sk-SK"/>
              </w:rPr>
            </w:pPr>
            <w:r w:rsidRPr="00F370D6">
              <w:rPr>
                <w:rFonts w:ascii="Times New Roman" w:hAnsi="Times New Roman" w:cs="Times New Roman"/>
                <w:sz w:val="14"/>
                <w:szCs w:val="14"/>
                <w:lang w:eastAsia="sk-SK"/>
              </w:rPr>
              <w:t>488 784</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F370D6" w:rsidRDefault="00655B0D" w:rsidP="004650BC">
            <w:pPr>
              <w:jc w:val="right"/>
              <w:rPr>
                <w:rFonts w:ascii="Times New Roman" w:hAnsi="Times New Roman" w:cs="Times New Roman"/>
                <w:sz w:val="14"/>
                <w:szCs w:val="14"/>
                <w:lang w:eastAsia="sk-SK"/>
              </w:rPr>
            </w:pPr>
            <w:r w:rsidRPr="00F370D6">
              <w:rPr>
                <w:rFonts w:ascii="Times New Roman" w:hAnsi="Times New Roman" w:cs="Times New Roman"/>
                <w:sz w:val="14"/>
                <w:szCs w:val="14"/>
                <w:lang w:eastAsia="sk-SK"/>
              </w:rPr>
              <w:t>489 823</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EF63ED" w:rsidRDefault="00655B0D" w:rsidP="004650BC">
            <w:pPr>
              <w:jc w:val="right"/>
              <w:rPr>
                <w:rFonts w:ascii="Times New Roman" w:hAnsi="Times New Roman" w:cs="Times New Roman"/>
                <w:sz w:val="14"/>
                <w:szCs w:val="14"/>
                <w:lang w:eastAsia="sk-SK"/>
              </w:rPr>
            </w:pPr>
            <w:r w:rsidRPr="00EF63ED">
              <w:rPr>
                <w:rFonts w:ascii="Times New Roman" w:hAnsi="Times New Roman" w:cs="Times New Roman"/>
                <w:sz w:val="14"/>
                <w:szCs w:val="14"/>
                <w:lang w:eastAsia="sk-SK"/>
              </w:rPr>
              <w:t>522 560</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EF63ED" w:rsidRDefault="00655B0D" w:rsidP="004650BC">
            <w:pPr>
              <w:jc w:val="right"/>
              <w:rPr>
                <w:rFonts w:ascii="Times New Roman" w:hAnsi="Times New Roman" w:cs="Times New Roman"/>
                <w:sz w:val="14"/>
                <w:szCs w:val="14"/>
                <w:lang w:eastAsia="sk-SK"/>
              </w:rPr>
            </w:pPr>
            <w:r w:rsidRPr="00EF63ED">
              <w:rPr>
                <w:rFonts w:ascii="Times New Roman" w:hAnsi="Times New Roman" w:cs="Times New Roman"/>
                <w:sz w:val="14"/>
                <w:szCs w:val="14"/>
                <w:lang w:eastAsia="sk-SK"/>
              </w:rPr>
              <w:t>522 252</w:t>
            </w:r>
          </w:p>
        </w:tc>
        <w:tc>
          <w:tcPr>
            <w:tcW w:w="451" w:type="pct"/>
            <w:tcBorders>
              <w:top w:val="nil"/>
              <w:left w:val="nil"/>
              <w:bottom w:val="single" w:sz="4" w:space="0" w:color="auto"/>
              <w:right w:val="single" w:sz="4" w:space="0" w:color="auto"/>
            </w:tcBorders>
            <w:shd w:val="clear" w:color="auto" w:fill="auto"/>
            <w:noWrap/>
            <w:vAlign w:val="center"/>
            <w:hideMark/>
          </w:tcPr>
          <w:p w:rsidR="00655B0D" w:rsidRPr="00EF63ED" w:rsidRDefault="00655B0D" w:rsidP="004650BC">
            <w:pPr>
              <w:jc w:val="right"/>
              <w:rPr>
                <w:rFonts w:ascii="Times New Roman" w:hAnsi="Times New Roman" w:cs="Times New Roman"/>
                <w:sz w:val="14"/>
                <w:szCs w:val="14"/>
                <w:lang w:eastAsia="sk-SK"/>
              </w:rPr>
            </w:pPr>
            <w:r w:rsidRPr="00EF63ED">
              <w:rPr>
                <w:rFonts w:ascii="Times New Roman" w:hAnsi="Times New Roman" w:cs="Times New Roman"/>
                <w:sz w:val="14"/>
                <w:szCs w:val="14"/>
                <w:lang w:eastAsia="sk-SK"/>
              </w:rPr>
              <w:t>521 263</w:t>
            </w:r>
          </w:p>
        </w:tc>
      </w:tr>
      <w:tr w:rsidR="00655B0D" w:rsidRPr="00F370D6" w:rsidTr="004650BC">
        <w:trPr>
          <w:trHeight w:val="255"/>
          <w:jc w:val="center"/>
        </w:trPr>
        <w:tc>
          <w:tcPr>
            <w:tcW w:w="1825" w:type="pct"/>
            <w:tcBorders>
              <w:top w:val="nil"/>
              <w:left w:val="single" w:sz="4" w:space="0" w:color="auto"/>
              <w:bottom w:val="single" w:sz="4" w:space="0" w:color="auto"/>
              <w:right w:val="single" w:sz="4" w:space="0" w:color="auto"/>
            </w:tcBorders>
            <w:shd w:val="clear" w:color="auto" w:fill="auto"/>
            <w:noWrap/>
            <w:vAlign w:val="center"/>
            <w:hideMark/>
          </w:tcPr>
          <w:p w:rsidR="00655B0D" w:rsidRPr="00F370D6" w:rsidRDefault="00655B0D" w:rsidP="004650BC">
            <w:pPr>
              <w:rPr>
                <w:rFonts w:ascii="Times New Roman" w:hAnsi="Times New Roman" w:cs="Times New Roman"/>
                <w:sz w:val="14"/>
                <w:szCs w:val="14"/>
                <w:lang w:eastAsia="sk-SK"/>
              </w:rPr>
            </w:pPr>
            <w:r w:rsidRPr="00F370D6">
              <w:rPr>
                <w:rFonts w:ascii="Times New Roman" w:hAnsi="Times New Roman" w:cs="Times New Roman"/>
                <w:sz w:val="14"/>
                <w:szCs w:val="14"/>
                <w:lang w:eastAsia="sk-SK"/>
              </w:rPr>
              <w:t>Výdavky</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F370D6" w:rsidRDefault="00655B0D" w:rsidP="004650BC">
            <w:pPr>
              <w:jc w:val="right"/>
              <w:rPr>
                <w:rFonts w:ascii="Times New Roman" w:hAnsi="Times New Roman" w:cs="Times New Roman"/>
                <w:sz w:val="14"/>
                <w:szCs w:val="14"/>
                <w:lang w:eastAsia="sk-SK"/>
              </w:rPr>
            </w:pPr>
            <w:r w:rsidRPr="00F370D6">
              <w:rPr>
                <w:rFonts w:ascii="Times New Roman" w:hAnsi="Times New Roman" w:cs="Times New Roman"/>
                <w:sz w:val="14"/>
                <w:szCs w:val="14"/>
                <w:lang w:eastAsia="sk-SK"/>
              </w:rPr>
              <w:t>517 490</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F370D6" w:rsidRDefault="00655B0D" w:rsidP="004650BC">
            <w:pPr>
              <w:jc w:val="right"/>
              <w:rPr>
                <w:rFonts w:ascii="Times New Roman" w:hAnsi="Times New Roman" w:cs="Times New Roman"/>
                <w:sz w:val="14"/>
                <w:szCs w:val="14"/>
                <w:lang w:eastAsia="sk-SK"/>
              </w:rPr>
            </w:pPr>
            <w:r w:rsidRPr="00F370D6">
              <w:rPr>
                <w:rFonts w:ascii="Times New Roman" w:hAnsi="Times New Roman" w:cs="Times New Roman"/>
                <w:sz w:val="14"/>
                <w:szCs w:val="14"/>
                <w:lang w:eastAsia="sk-SK"/>
              </w:rPr>
              <w:t>497 814</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F370D6" w:rsidRDefault="00655B0D" w:rsidP="004650BC">
            <w:pPr>
              <w:jc w:val="right"/>
              <w:rPr>
                <w:rFonts w:ascii="Times New Roman" w:hAnsi="Times New Roman" w:cs="Times New Roman"/>
                <w:sz w:val="14"/>
                <w:szCs w:val="14"/>
                <w:lang w:eastAsia="sk-SK"/>
              </w:rPr>
            </w:pPr>
            <w:r w:rsidRPr="00F370D6">
              <w:rPr>
                <w:rFonts w:ascii="Times New Roman" w:hAnsi="Times New Roman" w:cs="Times New Roman"/>
                <w:sz w:val="14"/>
                <w:szCs w:val="14"/>
                <w:lang w:eastAsia="sk-SK"/>
              </w:rPr>
              <w:t>482 562</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F370D6" w:rsidRDefault="00655B0D" w:rsidP="004650BC">
            <w:pPr>
              <w:jc w:val="right"/>
              <w:rPr>
                <w:rFonts w:ascii="Times New Roman" w:hAnsi="Times New Roman" w:cs="Times New Roman"/>
                <w:sz w:val="14"/>
                <w:szCs w:val="14"/>
                <w:lang w:eastAsia="sk-SK"/>
              </w:rPr>
            </w:pPr>
            <w:r w:rsidRPr="00F370D6">
              <w:rPr>
                <w:rFonts w:ascii="Times New Roman" w:hAnsi="Times New Roman" w:cs="Times New Roman"/>
                <w:sz w:val="14"/>
                <w:szCs w:val="14"/>
                <w:lang w:eastAsia="sk-SK"/>
              </w:rPr>
              <w:t>482 562</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EF63ED" w:rsidRDefault="00655B0D" w:rsidP="004650BC">
            <w:pPr>
              <w:jc w:val="right"/>
              <w:rPr>
                <w:rFonts w:ascii="Times New Roman" w:hAnsi="Times New Roman" w:cs="Times New Roman"/>
                <w:sz w:val="14"/>
                <w:szCs w:val="14"/>
                <w:lang w:eastAsia="sk-SK"/>
              </w:rPr>
            </w:pPr>
            <w:r w:rsidRPr="00EF63ED">
              <w:rPr>
                <w:rFonts w:ascii="Times New Roman" w:hAnsi="Times New Roman" w:cs="Times New Roman"/>
                <w:sz w:val="14"/>
                <w:szCs w:val="14"/>
                <w:lang w:eastAsia="sk-SK"/>
              </w:rPr>
              <w:t>514 644</w:t>
            </w:r>
          </w:p>
        </w:tc>
        <w:tc>
          <w:tcPr>
            <w:tcW w:w="454" w:type="pct"/>
            <w:tcBorders>
              <w:top w:val="nil"/>
              <w:left w:val="nil"/>
              <w:bottom w:val="single" w:sz="4" w:space="0" w:color="auto"/>
              <w:right w:val="single" w:sz="4" w:space="0" w:color="auto"/>
            </w:tcBorders>
            <w:shd w:val="clear" w:color="auto" w:fill="auto"/>
            <w:noWrap/>
            <w:vAlign w:val="center"/>
            <w:hideMark/>
          </w:tcPr>
          <w:p w:rsidR="00655B0D" w:rsidRPr="00EF63ED" w:rsidRDefault="00655B0D" w:rsidP="004650BC">
            <w:pPr>
              <w:jc w:val="right"/>
              <w:rPr>
                <w:rFonts w:ascii="Times New Roman" w:hAnsi="Times New Roman" w:cs="Times New Roman"/>
                <w:sz w:val="14"/>
                <w:szCs w:val="14"/>
                <w:lang w:eastAsia="sk-SK"/>
              </w:rPr>
            </w:pPr>
            <w:r w:rsidRPr="00EF63ED">
              <w:rPr>
                <w:rFonts w:ascii="Times New Roman" w:hAnsi="Times New Roman" w:cs="Times New Roman"/>
                <w:sz w:val="14"/>
                <w:szCs w:val="14"/>
                <w:lang w:eastAsia="sk-SK"/>
              </w:rPr>
              <w:t>516 107</w:t>
            </w:r>
          </w:p>
        </w:tc>
        <w:tc>
          <w:tcPr>
            <w:tcW w:w="451" w:type="pct"/>
            <w:tcBorders>
              <w:top w:val="nil"/>
              <w:left w:val="nil"/>
              <w:bottom w:val="single" w:sz="4" w:space="0" w:color="auto"/>
              <w:right w:val="single" w:sz="4" w:space="0" w:color="auto"/>
            </w:tcBorders>
            <w:shd w:val="clear" w:color="auto" w:fill="auto"/>
            <w:noWrap/>
            <w:vAlign w:val="center"/>
            <w:hideMark/>
          </w:tcPr>
          <w:p w:rsidR="00655B0D" w:rsidRPr="00EF63ED" w:rsidRDefault="00655B0D" w:rsidP="004650BC">
            <w:pPr>
              <w:jc w:val="right"/>
              <w:rPr>
                <w:rFonts w:ascii="Times New Roman" w:hAnsi="Times New Roman" w:cs="Times New Roman"/>
                <w:sz w:val="14"/>
                <w:szCs w:val="14"/>
                <w:lang w:eastAsia="sk-SK"/>
              </w:rPr>
            </w:pPr>
            <w:r w:rsidRPr="00EF63ED">
              <w:rPr>
                <w:rFonts w:ascii="Times New Roman" w:hAnsi="Times New Roman" w:cs="Times New Roman"/>
                <w:sz w:val="14"/>
                <w:szCs w:val="14"/>
                <w:lang w:eastAsia="sk-SK"/>
              </w:rPr>
              <w:t>516 410</w:t>
            </w:r>
          </w:p>
        </w:tc>
      </w:tr>
      <w:tr w:rsidR="00655B0D" w:rsidRPr="00F370D6" w:rsidTr="004650BC">
        <w:trPr>
          <w:trHeight w:val="270"/>
          <w:jc w:val="center"/>
        </w:trPr>
        <w:tc>
          <w:tcPr>
            <w:tcW w:w="1825" w:type="pct"/>
            <w:tcBorders>
              <w:top w:val="nil"/>
              <w:left w:val="single" w:sz="4" w:space="0" w:color="auto"/>
              <w:bottom w:val="single" w:sz="4" w:space="0" w:color="auto"/>
              <w:right w:val="single" w:sz="4" w:space="0" w:color="auto"/>
            </w:tcBorders>
            <w:shd w:val="clear" w:color="000000" w:fill="BFBFBF"/>
            <w:noWrap/>
            <w:vAlign w:val="center"/>
            <w:hideMark/>
          </w:tcPr>
          <w:p w:rsidR="00655B0D" w:rsidRPr="00F370D6" w:rsidRDefault="00655B0D" w:rsidP="004650BC">
            <w:pPr>
              <w:rPr>
                <w:rFonts w:ascii="Times New Roman" w:hAnsi="Times New Roman" w:cs="Times New Roman"/>
                <w:b/>
                <w:bCs/>
                <w:sz w:val="14"/>
                <w:szCs w:val="14"/>
                <w:lang w:eastAsia="sk-SK"/>
              </w:rPr>
            </w:pPr>
            <w:r w:rsidRPr="00F370D6">
              <w:rPr>
                <w:rFonts w:ascii="Times New Roman" w:hAnsi="Times New Roman" w:cs="Times New Roman"/>
                <w:b/>
                <w:bCs/>
                <w:sz w:val="14"/>
                <w:szCs w:val="14"/>
                <w:lang w:eastAsia="sk-SK"/>
              </w:rPr>
              <w:t>Prebytok / Schodok</w:t>
            </w:r>
          </w:p>
        </w:tc>
        <w:tc>
          <w:tcPr>
            <w:tcW w:w="454" w:type="pct"/>
            <w:tcBorders>
              <w:top w:val="nil"/>
              <w:left w:val="nil"/>
              <w:bottom w:val="single" w:sz="4" w:space="0" w:color="auto"/>
              <w:right w:val="single" w:sz="4" w:space="0" w:color="auto"/>
            </w:tcBorders>
            <w:shd w:val="clear" w:color="000000" w:fill="BFBFBF"/>
            <w:noWrap/>
            <w:vAlign w:val="center"/>
            <w:hideMark/>
          </w:tcPr>
          <w:p w:rsidR="00655B0D" w:rsidRPr="00F370D6" w:rsidRDefault="00655B0D" w:rsidP="004650BC">
            <w:pPr>
              <w:jc w:val="right"/>
              <w:rPr>
                <w:rFonts w:ascii="Times New Roman" w:hAnsi="Times New Roman" w:cs="Times New Roman"/>
                <w:b/>
                <w:bCs/>
                <w:sz w:val="14"/>
                <w:szCs w:val="14"/>
                <w:lang w:eastAsia="sk-SK"/>
              </w:rPr>
            </w:pPr>
            <w:r w:rsidRPr="00F370D6">
              <w:rPr>
                <w:rFonts w:ascii="Times New Roman" w:hAnsi="Times New Roman" w:cs="Times New Roman"/>
                <w:b/>
                <w:bCs/>
                <w:sz w:val="14"/>
                <w:szCs w:val="14"/>
                <w:lang w:eastAsia="sk-SK"/>
              </w:rPr>
              <w:t>-6 501</w:t>
            </w:r>
          </w:p>
        </w:tc>
        <w:tc>
          <w:tcPr>
            <w:tcW w:w="454" w:type="pct"/>
            <w:tcBorders>
              <w:top w:val="nil"/>
              <w:left w:val="nil"/>
              <w:bottom w:val="single" w:sz="4" w:space="0" w:color="auto"/>
              <w:right w:val="single" w:sz="4" w:space="0" w:color="auto"/>
            </w:tcBorders>
            <w:shd w:val="clear" w:color="000000" w:fill="BFBFBF"/>
            <w:noWrap/>
            <w:vAlign w:val="center"/>
            <w:hideMark/>
          </w:tcPr>
          <w:p w:rsidR="00655B0D" w:rsidRPr="00F370D6" w:rsidRDefault="00655B0D" w:rsidP="004650BC">
            <w:pPr>
              <w:jc w:val="right"/>
              <w:rPr>
                <w:rFonts w:ascii="Times New Roman" w:hAnsi="Times New Roman" w:cs="Times New Roman"/>
                <w:b/>
                <w:bCs/>
                <w:sz w:val="14"/>
                <w:szCs w:val="14"/>
                <w:lang w:eastAsia="sk-SK"/>
              </w:rPr>
            </w:pPr>
            <w:r w:rsidRPr="00F370D6">
              <w:rPr>
                <w:rFonts w:ascii="Times New Roman" w:hAnsi="Times New Roman" w:cs="Times New Roman"/>
                <w:b/>
                <w:bCs/>
                <w:sz w:val="14"/>
                <w:szCs w:val="14"/>
                <w:lang w:eastAsia="sk-SK"/>
              </w:rPr>
              <w:t>34 437</w:t>
            </w:r>
          </w:p>
        </w:tc>
        <w:tc>
          <w:tcPr>
            <w:tcW w:w="454" w:type="pct"/>
            <w:tcBorders>
              <w:top w:val="nil"/>
              <w:left w:val="nil"/>
              <w:bottom w:val="single" w:sz="4" w:space="0" w:color="auto"/>
              <w:right w:val="single" w:sz="4" w:space="0" w:color="auto"/>
            </w:tcBorders>
            <w:shd w:val="clear" w:color="000000" w:fill="BFBFBF"/>
            <w:noWrap/>
            <w:vAlign w:val="center"/>
            <w:hideMark/>
          </w:tcPr>
          <w:p w:rsidR="00655B0D" w:rsidRPr="00F370D6" w:rsidRDefault="00655B0D" w:rsidP="004650BC">
            <w:pPr>
              <w:jc w:val="right"/>
              <w:rPr>
                <w:rFonts w:ascii="Times New Roman" w:hAnsi="Times New Roman" w:cs="Times New Roman"/>
                <w:b/>
                <w:bCs/>
                <w:sz w:val="14"/>
                <w:szCs w:val="14"/>
                <w:lang w:eastAsia="sk-SK"/>
              </w:rPr>
            </w:pPr>
            <w:r w:rsidRPr="00F370D6">
              <w:rPr>
                <w:rFonts w:ascii="Times New Roman" w:hAnsi="Times New Roman" w:cs="Times New Roman"/>
                <w:b/>
                <w:bCs/>
                <w:sz w:val="14"/>
                <w:szCs w:val="14"/>
                <w:lang w:eastAsia="sk-SK"/>
              </w:rPr>
              <w:t>6 222</w:t>
            </w:r>
          </w:p>
        </w:tc>
        <w:tc>
          <w:tcPr>
            <w:tcW w:w="454" w:type="pct"/>
            <w:tcBorders>
              <w:top w:val="nil"/>
              <w:left w:val="nil"/>
              <w:bottom w:val="single" w:sz="4" w:space="0" w:color="auto"/>
              <w:right w:val="single" w:sz="4" w:space="0" w:color="auto"/>
            </w:tcBorders>
            <w:shd w:val="clear" w:color="000000" w:fill="BFBFBF"/>
            <w:noWrap/>
            <w:vAlign w:val="center"/>
            <w:hideMark/>
          </w:tcPr>
          <w:p w:rsidR="00655B0D" w:rsidRPr="00F370D6" w:rsidRDefault="00655B0D" w:rsidP="004650BC">
            <w:pPr>
              <w:jc w:val="right"/>
              <w:rPr>
                <w:rFonts w:ascii="Times New Roman" w:hAnsi="Times New Roman" w:cs="Times New Roman"/>
                <w:b/>
                <w:bCs/>
                <w:sz w:val="14"/>
                <w:szCs w:val="14"/>
                <w:lang w:eastAsia="sk-SK"/>
              </w:rPr>
            </w:pPr>
            <w:r w:rsidRPr="00F370D6">
              <w:rPr>
                <w:rFonts w:ascii="Times New Roman" w:hAnsi="Times New Roman" w:cs="Times New Roman"/>
                <w:b/>
                <w:bCs/>
                <w:sz w:val="14"/>
                <w:szCs w:val="14"/>
                <w:lang w:eastAsia="sk-SK"/>
              </w:rPr>
              <w:t>7 261</w:t>
            </w:r>
          </w:p>
        </w:tc>
        <w:tc>
          <w:tcPr>
            <w:tcW w:w="454" w:type="pct"/>
            <w:tcBorders>
              <w:top w:val="nil"/>
              <w:left w:val="nil"/>
              <w:bottom w:val="single" w:sz="4" w:space="0" w:color="auto"/>
              <w:right w:val="single" w:sz="4" w:space="0" w:color="auto"/>
            </w:tcBorders>
            <w:shd w:val="clear" w:color="000000" w:fill="BFBFBF"/>
            <w:noWrap/>
            <w:vAlign w:val="center"/>
            <w:hideMark/>
          </w:tcPr>
          <w:p w:rsidR="00655B0D" w:rsidRPr="00F370D6" w:rsidRDefault="00655B0D" w:rsidP="004650BC">
            <w:pPr>
              <w:jc w:val="right"/>
              <w:rPr>
                <w:rFonts w:ascii="Times New Roman" w:hAnsi="Times New Roman" w:cs="Times New Roman"/>
                <w:b/>
                <w:bCs/>
                <w:sz w:val="14"/>
                <w:szCs w:val="14"/>
                <w:lang w:eastAsia="sk-SK"/>
              </w:rPr>
            </w:pPr>
            <w:r w:rsidRPr="00F370D6">
              <w:rPr>
                <w:rFonts w:ascii="Times New Roman" w:hAnsi="Times New Roman" w:cs="Times New Roman"/>
                <w:b/>
                <w:bCs/>
                <w:sz w:val="14"/>
                <w:szCs w:val="14"/>
                <w:lang w:eastAsia="sk-SK"/>
              </w:rPr>
              <w:t>7 916</w:t>
            </w:r>
          </w:p>
        </w:tc>
        <w:tc>
          <w:tcPr>
            <w:tcW w:w="454" w:type="pct"/>
            <w:tcBorders>
              <w:top w:val="nil"/>
              <w:left w:val="nil"/>
              <w:bottom w:val="single" w:sz="4" w:space="0" w:color="auto"/>
              <w:right w:val="single" w:sz="4" w:space="0" w:color="auto"/>
            </w:tcBorders>
            <w:shd w:val="clear" w:color="000000" w:fill="BFBFBF"/>
            <w:noWrap/>
            <w:vAlign w:val="center"/>
            <w:hideMark/>
          </w:tcPr>
          <w:p w:rsidR="00655B0D" w:rsidRPr="00F370D6" w:rsidRDefault="00655B0D" w:rsidP="004650BC">
            <w:pPr>
              <w:jc w:val="right"/>
              <w:rPr>
                <w:rFonts w:ascii="Times New Roman" w:hAnsi="Times New Roman" w:cs="Times New Roman"/>
                <w:b/>
                <w:bCs/>
                <w:sz w:val="14"/>
                <w:szCs w:val="14"/>
                <w:lang w:eastAsia="sk-SK"/>
              </w:rPr>
            </w:pPr>
            <w:r w:rsidRPr="00F370D6">
              <w:rPr>
                <w:rFonts w:ascii="Times New Roman" w:hAnsi="Times New Roman" w:cs="Times New Roman"/>
                <w:b/>
                <w:bCs/>
                <w:sz w:val="14"/>
                <w:szCs w:val="14"/>
                <w:lang w:eastAsia="sk-SK"/>
              </w:rPr>
              <w:t>6 145</w:t>
            </w:r>
          </w:p>
        </w:tc>
        <w:tc>
          <w:tcPr>
            <w:tcW w:w="451" w:type="pct"/>
            <w:tcBorders>
              <w:top w:val="nil"/>
              <w:left w:val="nil"/>
              <w:bottom w:val="single" w:sz="4" w:space="0" w:color="auto"/>
              <w:right w:val="single" w:sz="4" w:space="0" w:color="auto"/>
            </w:tcBorders>
            <w:shd w:val="clear" w:color="000000" w:fill="BFBFBF"/>
            <w:noWrap/>
            <w:vAlign w:val="center"/>
            <w:hideMark/>
          </w:tcPr>
          <w:p w:rsidR="00655B0D" w:rsidRPr="00F370D6" w:rsidRDefault="00655B0D" w:rsidP="004650BC">
            <w:pPr>
              <w:jc w:val="right"/>
              <w:rPr>
                <w:rFonts w:ascii="Times New Roman" w:hAnsi="Times New Roman" w:cs="Times New Roman"/>
                <w:b/>
                <w:bCs/>
                <w:sz w:val="14"/>
                <w:szCs w:val="14"/>
                <w:lang w:eastAsia="sk-SK"/>
              </w:rPr>
            </w:pPr>
            <w:r w:rsidRPr="00F370D6">
              <w:rPr>
                <w:rFonts w:ascii="Times New Roman" w:hAnsi="Times New Roman" w:cs="Times New Roman"/>
                <w:b/>
                <w:bCs/>
                <w:sz w:val="14"/>
                <w:szCs w:val="14"/>
                <w:lang w:eastAsia="sk-SK"/>
              </w:rPr>
              <w:t>4 853</w:t>
            </w:r>
          </w:p>
        </w:tc>
      </w:tr>
    </w:tbl>
    <w:p w:rsidR="00655B0D" w:rsidRDefault="00655B0D" w:rsidP="00655B0D">
      <w:pPr>
        <w:jc w:val="center"/>
        <w:rPr>
          <w:rFonts w:ascii="Times New Roman" w:hAnsi="Times New Roman"/>
        </w:rPr>
      </w:pPr>
    </w:p>
    <w:p w:rsidR="00655B0D" w:rsidRPr="00CC0B6E" w:rsidRDefault="00655B0D" w:rsidP="00655B0D">
      <w:pPr>
        <w:ind w:firstLine="708"/>
        <w:jc w:val="both"/>
        <w:rPr>
          <w:rFonts w:ascii="Times New Roman" w:hAnsi="Times New Roman"/>
        </w:rPr>
      </w:pPr>
      <w:r>
        <w:rPr>
          <w:rFonts w:ascii="Times New Roman" w:hAnsi="Times New Roman"/>
        </w:rPr>
        <w:t>Najvýraznejší podiel na príjmoch a výdavkoch samostatných účtov, na úrovni viac ako dvoch tretín, majú účty sociálneho zabezpečenia ozbrojených zložiek.</w:t>
      </w:r>
    </w:p>
    <w:p w:rsidR="00655B0D" w:rsidRDefault="00655B0D" w:rsidP="00655B0D">
      <w:pPr>
        <w:jc w:val="both"/>
        <w:rPr>
          <w:rFonts w:ascii="Times New Roman" w:hAnsi="Times New Roman"/>
        </w:rPr>
      </w:pPr>
    </w:p>
    <w:p w:rsidR="00655B0D" w:rsidRDefault="00655B0D" w:rsidP="00655B0D">
      <w:pPr>
        <w:jc w:val="both"/>
        <w:rPr>
          <w:rFonts w:ascii="Times New Roman" w:hAnsi="Times New Roman"/>
          <w:bCs/>
          <w:szCs w:val="16"/>
        </w:rPr>
      </w:pPr>
      <w:r w:rsidRPr="00C4282C">
        <w:rPr>
          <w:rFonts w:ascii="Times New Roman" w:hAnsi="Times New Roman"/>
          <w:bCs/>
          <w:szCs w:val="16"/>
        </w:rPr>
        <w:t>2.3.6.</w:t>
      </w:r>
      <w:r w:rsidRPr="00C4282C">
        <w:rPr>
          <w:rFonts w:ascii="Times New Roman" w:hAnsi="Times New Roman"/>
          <w:bCs/>
          <w:szCs w:val="16"/>
        </w:rPr>
        <w:tab/>
      </w:r>
      <w:r>
        <w:rPr>
          <w:rFonts w:ascii="Times New Roman" w:hAnsi="Times New Roman"/>
          <w:bCs/>
          <w:szCs w:val="16"/>
        </w:rPr>
        <w:t xml:space="preserve">V rozpočte sa predpokladá, že </w:t>
      </w:r>
      <w:r w:rsidRPr="00C4282C">
        <w:rPr>
          <w:rFonts w:ascii="Times New Roman" w:hAnsi="Times New Roman"/>
          <w:bCs/>
          <w:szCs w:val="16"/>
        </w:rPr>
        <w:t>nový zákon o hazardných hrách nadobudne účinnosť od 1. marca 2019</w:t>
      </w:r>
      <w:r>
        <w:rPr>
          <w:rFonts w:ascii="Times New Roman" w:hAnsi="Times New Roman"/>
          <w:bCs/>
          <w:szCs w:val="16"/>
        </w:rPr>
        <w:t>. Tento</w:t>
      </w:r>
      <w:r w:rsidRPr="00C4282C">
        <w:rPr>
          <w:rFonts w:ascii="Times New Roman" w:hAnsi="Times New Roman"/>
          <w:bCs/>
          <w:szCs w:val="16"/>
        </w:rPr>
        <w:t xml:space="preserve"> mení podmienky a reguláciu internetových hier, zo strany súčasných prevádzkovateľov, ako aj prevádzkovateľov pôsobiacich v zahraničí sa očakáva záujem o udele</w:t>
      </w:r>
      <w:r>
        <w:rPr>
          <w:rFonts w:ascii="Times New Roman" w:hAnsi="Times New Roman"/>
          <w:bCs/>
          <w:szCs w:val="16"/>
        </w:rPr>
        <w:t>nie licencií v online prostredí</w:t>
      </w:r>
      <w:r w:rsidRPr="00C4282C">
        <w:rPr>
          <w:rFonts w:ascii="Times New Roman" w:hAnsi="Times New Roman"/>
          <w:bCs/>
          <w:szCs w:val="16"/>
        </w:rPr>
        <w:t>.</w:t>
      </w:r>
    </w:p>
    <w:p w:rsidR="00655B0D" w:rsidRDefault="00655B0D" w:rsidP="00655B0D">
      <w:pPr>
        <w:jc w:val="both"/>
        <w:rPr>
          <w:rFonts w:ascii="Times New Roman" w:hAnsi="Times New Roman"/>
          <w:bCs/>
          <w:szCs w:val="16"/>
        </w:rPr>
      </w:pPr>
      <w:r>
        <w:rPr>
          <w:rFonts w:ascii="Times New Roman" w:hAnsi="Times New Roman"/>
          <w:bCs/>
          <w:szCs w:val="16"/>
        </w:rPr>
        <w:t xml:space="preserve"> </w:t>
      </w:r>
    </w:p>
    <w:p w:rsidR="00655B0D" w:rsidRPr="00C4282C" w:rsidRDefault="00655B0D" w:rsidP="00655B0D">
      <w:pPr>
        <w:jc w:val="both"/>
        <w:rPr>
          <w:rFonts w:ascii="Times New Roman" w:hAnsi="Times New Roman"/>
          <w:bCs/>
          <w:szCs w:val="16"/>
        </w:rPr>
      </w:pPr>
      <w:r>
        <w:rPr>
          <w:rFonts w:ascii="Times New Roman" w:hAnsi="Times New Roman"/>
          <w:bCs/>
          <w:szCs w:val="16"/>
        </w:rPr>
        <w:t>2.3.7.</w:t>
      </w:r>
      <w:r>
        <w:rPr>
          <w:rFonts w:ascii="Times New Roman" w:hAnsi="Times New Roman"/>
          <w:bCs/>
          <w:szCs w:val="16"/>
        </w:rPr>
        <w:tab/>
      </w:r>
      <w:r w:rsidRPr="00906F24">
        <w:rPr>
          <w:rFonts w:ascii="Times New Roman" w:hAnsi="Times New Roman"/>
          <w:bCs/>
          <w:szCs w:val="16"/>
        </w:rPr>
        <w:t>V roku 2011 bol schodok rozpočtu verejnej správy jednorazovo pozitívne ovplyvnený imputáciou pohľadávky voči spoločnosti Granvia v dôsledku zaplatenia DPH spojenou s PPP projektom rýchlostnej cesty R1 vo výške 173 639 tis. eur, pričom nasledujúcich 30 rokov bude pomerná časť z tejto hodnoty znižovať stav poskytnutých preddavkov súvisiacich s projektom. Alikvotná ročná čiastka predstavuje 5 788 tis. eur.</w:t>
      </w:r>
    </w:p>
    <w:p w:rsidR="00655B0D" w:rsidRPr="00690A8C" w:rsidRDefault="00655B0D" w:rsidP="00655B0D">
      <w:pPr>
        <w:ind w:firstLine="709"/>
        <w:jc w:val="both"/>
        <w:rPr>
          <w:rFonts w:ascii="Times New Roman" w:hAnsi="Times New Roman"/>
          <w:bCs/>
          <w:sz w:val="22"/>
        </w:rPr>
      </w:pPr>
    </w:p>
    <w:p w:rsidR="00655B0D" w:rsidRDefault="00655B0D" w:rsidP="00655B0D">
      <w:pPr>
        <w:ind w:firstLine="709"/>
        <w:jc w:val="both"/>
        <w:rPr>
          <w:rFonts w:ascii="Times New Roman" w:hAnsi="Times New Roman"/>
        </w:rPr>
      </w:pPr>
      <w:r w:rsidRPr="00832237">
        <w:rPr>
          <w:rFonts w:ascii="Times New Roman" w:hAnsi="Times New Roman"/>
          <w:bCs/>
        </w:rPr>
        <w:t>Schodok štátneho rozpočtu na hotovostnom princípe upravený o modifikujúce faktory predstavuje schodok štátneho rozpočtu v metodike ESA 2010</w:t>
      </w:r>
      <w:r w:rsidRPr="00832237">
        <w:rPr>
          <w:rFonts w:ascii="Times New Roman" w:hAnsi="Times New Roman"/>
        </w:rPr>
        <w:t xml:space="preserve"> a v rokoch 201</w:t>
      </w:r>
      <w:r>
        <w:rPr>
          <w:rFonts w:ascii="Times New Roman" w:hAnsi="Times New Roman"/>
        </w:rPr>
        <w:t>9</w:t>
      </w:r>
      <w:r w:rsidRPr="00832237">
        <w:rPr>
          <w:rFonts w:ascii="Times New Roman" w:hAnsi="Times New Roman"/>
        </w:rPr>
        <w:t xml:space="preserve"> až 20</w:t>
      </w:r>
      <w:r>
        <w:rPr>
          <w:rFonts w:ascii="Times New Roman" w:hAnsi="Times New Roman"/>
        </w:rPr>
        <w:t>21</w:t>
      </w:r>
      <w:r w:rsidRPr="00832237">
        <w:rPr>
          <w:rFonts w:ascii="Times New Roman" w:hAnsi="Times New Roman"/>
        </w:rPr>
        <w:t xml:space="preserve"> sa predpokladá nasledovne.</w:t>
      </w:r>
    </w:p>
    <w:p w:rsidR="00655B0D" w:rsidRDefault="00655B0D" w:rsidP="00655B0D">
      <w:pPr>
        <w:ind w:firstLine="709"/>
        <w:jc w:val="both"/>
        <w:rPr>
          <w:rFonts w:ascii="Times New Roman" w:hAnsi="Times New Roman"/>
        </w:rPr>
      </w:pPr>
    </w:p>
    <w:tbl>
      <w:tblPr>
        <w:tblW w:w="9079" w:type="dxa"/>
        <w:jc w:val="center"/>
        <w:tblCellMar>
          <w:left w:w="70" w:type="dxa"/>
          <w:right w:w="70" w:type="dxa"/>
        </w:tblCellMar>
        <w:tblLook w:val="04A0" w:firstRow="1" w:lastRow="0" w:firstColumn="1" w:lastColumn="0" w:noHBand="0" w:noVBand="1"/>
      </w:tblPr>
      <w:tblGrid>
        <w:gridCol w:w="3339"/>
        <w:gridCol w:w="820"/>
        <w:gridCol w:w="820"/>
        <w:gridCol w:w="820"/>
        <w:gridCol w:w="820"/>
        <w:gridCol w:w="820"/>
        <w:gridCol w:w="820"/>
        <w:gridCol w:w="820"/>
      </w:tblGrid>
      <w:tr w:rsidR="00655B0D" w:rsidRPr="004D295E" w:rsidTr="004650BC">
        <w:trPr>
          <w:trHeight w:val="255"/>
          <w:jc w:val="center"/>
        </w:trPr>
        <w:tc>
          <w:tcPr>
            <w:tcW w:w="3339" w:type="dxa"/>
            <w:tcBorders>
              <w:top w:val="single" w:sz="4" w:space="0" w:color="auto"/>
              <w:left w:val="single" w:sz="4" w:space="0" w:color="auto"/>
              <w:bottom w:val="single" w:sz="4" w:space="0" w:color="auto"/>
              <w:right w:val="nil"/>
            </w:tcBorders>
            <w:shd w:val="clear" w:color="000000" w:fill="A6A6A6"/>
            <w:noWrap/>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(v tis. eur)</w:t>
            </w:r>
          </w:p>
        </w:tc>
        <w:tc>
          <w:tcPr>
            <w:tcW w:w="82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2016 S</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2017 S</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2018 R</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2018 OS</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2019 N</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2020 N</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2021 N</w:t>
            </w:r>
          </w:p>
        </w:tc>
      </w:tr>
      <w:tr w:rsidR="00655B0D" w:rsidRPr="004D295E" w:rsidTr="004650BC">
        <w:trPr>
          <w:trHeight w:val="255"/>
          <w:jc w:val="center"/>
        </w:trPr>
        <w:tc>
          <w:tcPr>
            <w:tcW w:w="3339" w:type="dxa"/>
            <w:tcBorders>
              <w:top w:val="nil"/>
              <w:left w:val="single" w:sz="4" w:space="0" w:color="auto"/>
              <w:bottom w:val="single" w:sz="4" w:space="0" w:color="auto"/>
              <w:right w:val="nil"/>
            </w:tcBorders>
            <w:shd w:val="clear" w:color="auto" w:fill="auto"/>
            <w:noWrap/>
            <w:vAlign w:val="center"/>
            <w:hideMark/>
          </w:tcPr>
          <w:p w:rsidR="00655B0D" w:rsidRPr="004D295E" w:rsidRDefault="00655B0D" w:rsidP="004650BC">
            <w:pP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Schodok ŠR na hotovostnom princípe</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-980 255</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-1 220 132</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-1 972 905</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-1 133 677</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-2 138 137</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-2 210 685</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-1 898 776</w:t>
            </w:r>
          </w:p>
        </w:tc>
      </w:tr>
      <w:tr w:rsidR="00655B0D" w:rsidRPr="004D295E" w:rsidTr="004650BC">
        <w:trPr>
          <w:trHeight w:val="255"/>
          <w:jc w:val="center"/>
        </w:trPr>
        <w:tc>
          <w:tcPr>
            <w:tcW w:w="3339" w:type="dxa"/>
            <w:tcBorders>
              <w:top w:val="nil"/>
              <w:left w:val="single" w:sz="4" w:space="0" w:color="auto"/>
              <w:bottom w:val="single" w:sz="4" w:space="0" w:color="auto"/>
              <w:right w:val="nil"/>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Modifikujúce faktory</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-1 284 861</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134 486</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417 178</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-219 649</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1 052 845</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971 022</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746 970</w:t>
            </w:r>
          </w:p>
        </w:tc>
      </w:tr>
      <w:tr w:rsidR="00655B0D" w:rsidRPr="004D295E" w:rsidTr="004650BC">
        <w:trPr>
          <w:trHeight w:val="255"/>
          <w:jc w:val="center"/>
        </w:trPr>
        <w:tc>
          <w:tcPr>
            <w:tcW w:w="3339" w:type="dxa"/>
            <w:tcBorders>
              <w:top w:val="nil"/>
              <w:left w:val="single" w:sz="4" w:space="0" w:color="auto"/>
              <w:bottom w:val="single" w:sz="4" w:space="0" w:color="auto"/>
              <w:right w:val="nil"/>
            </w:tcBorders>
            <w:shd w:val="clear" w:color="000000" w:fill="BFBFBF"/>
            <w:noWrap/>
            <w:vAlign w:val="center"/>
            <w:hideMark/>
          </w:tcPr>
          <w:p w:rsidR="00655B0D" w:rsidRPr="004D295E" w:rsidRDefault="00655B0D" w:rsidP="004650BC">
            <w:pP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Schodok ŠR (ESA 2010)</w:t>
            </w:r>
          </w:p>
        </w:tc>
        <w:tc>
          <w:tcPr>
            <w:tcW w:w="820" w:type="dxa"/>
            <w:tcBorders>
              <w:top w:val="nil"/>
              <w:left w:val="single" w:sz="4" w:space="0" w:color="auto"/>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-2 265 116</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-1 085 646</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-1 555 727</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-1 353 326</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-1 085 292</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-1 239 663</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-1 151 806</w:t>
            </w:r>
          </w:p>
        </w:tc>
      </w:tr>
    </w:tbl>
    <w:p w:rsidR="00655B0D" w:rsidRDefault="00655B0D" w:rsidP="00655B0D">
      <w:pPr>
        <w:ind w:firstLine="709"/>
        <w:jc w:val="both"/>
        <w:rPr>
          <w:rFonts w:ascii="Times New Roman" w:hAnsi="Times New Roman"/>
        </w:rPr>
      </w:pPr>
    </w:p>
    <w:p w:rsidR="00655B0D" w:rsidRPr="00690A8C" w:rsidRDefault="00655B0D" w:rsidP="00655B0D">
      <w:pPr>
        <w:ind w:firstLine="709"/>
        <w:jc w:val="both"/>
        <w:rPr>
          <w:rFonts w:ascii="Times New Roman" w:hAnsi="Times New Roman"/>
          <w:sz w:val="20"/>
        </w:rPr>
      </w:pPr>
    </w:p>
    <w:p w:rsidR="00655B0D" w:rsidRPr="00FA71B0" w:rsidRDefault="00655B0D" w:rsidP="00655B0D">
      <w:pPr>
        <w:keepNext/>
        <w:outlineLvl w:val="1"/>
        <w:rPr>
          <w:rFonts w:ascii="Times New Roman" w:hAnsi="Times New Roman"/>
          <w:b/>
          <w:bCs/>
        </w:rPr>
      </w:pPr>
      <w:bookmarkStart w:id="28" w:name="_Toc494463961"/>
      <w:bookmarkStart w:id="29" w:name="_Toc526273180"/>
      <w:r w:rsidRPr="00273EF3">
        <w:rPr>
          <w:rFonts w:ascii="Times New Roman" w:hAnsi="Times New Roman"/>
          <w:b/>
          <w:bCs/>
        </w:rPr>
        <w:lastRenderedPageBreak/>
        <w:t>2.4. Konsolidovaná bilancia rozpočtu verejnej správy</w:t>
      </w:r>
      <w:bookmarkEnd w:id="28"/>
      <w:bookmarkEnd w:id="29"/>
    </w:p>
    <w:p w:rsidR="00655B0D" w:rsidRPr="00FA71B0" w:rsidRDefault="00655B0D" w:rsidP="00655B0D">
      <w:pPr>
        <w:tabs>
          <w:tab w:val="left" w:pos="0"/>
        </w:tabs>
        <w:jc w:val="both"/>
        <w:rPr>
          <w:rFonts w:ascii="Times New Roman" w:hAnsi="Times New Roman"/>
          <w:b/>
          <w:bCs/>
          <w:color w:val="0070C0"/>
        </w:rPr>
      </w:pPr>
    </w:p>
    <w:tbl>
      <w:tblPr>
        <w:tblW w:w="9096" w:type="dxa"/>
        <w:jc w:val="center"/>
        <w:tblCellMar>
          <w:left w:w="70" w:type="dxa"/>
          <w:right w:w="70" w:type="dxa"/>
        </w:tblCellMar>
        <w:tblLook w:val="04A0" w:firstRow="1" w:lastRow="0" w:firstColumn="1" w:lastColumn="0" w:noHBand="0" w:noVBand="1"/>
      </w:tblPr>
      <w:tblGrid>
        <w:gridCol w:w="2547"/>
        <w:gridCol w:w="809"/>
        <w:gridCol w:w="820"/>
        <w:gridCol w:w="820"/>
        <w:gridCol w:w="820"/>
        <w:gridCol w:w="820"/>
        <w:gridCol w:w="820"/>
        <w:gridCol w:w="820"/>
        <w:gridCol w:w="820"/>
      </w:tblGrid>
      <w:tr w:rsidR="00655B0D" w:rsidRPr="004D295E" w:rsidTr="004650BC">
        <w:trPr>
          <w:trHeight w:val="255"/>
          <w:jc w:val="center"/>
        </w:trPr>
        <w:tc>
          <w:tcPr>
            <w:tcW w:w="254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(v metodike ESA 2010 na konsolid. báze)</w:t>
            </w:r>
          </w:p>
        </w:tc>
        <w:tc>
          <w:tcPr>
            <w:tcW w:w="809" w:type="dxa"/>
            <w:tcBorders>
              <w:top w:val="single" w:sz="4" w:space="0" w:color="auto"/>
              <w:left w:val="nil"/>
              <w:bottom w:val="single" w:sz="4" w:space="0" w:color="auto"/>
              <w:right w:val="single" w:sz="4" w:space="0" w:color="auto"/>
            </w:tcBorders>
            <w:shd w:val="clear" w:color="000000" w:fill="BFBFBF"/>
            <w:noWrap/>
            <w:vAlign w:val="center"/>
            <w:hideMark/>
          </w:tcPr>
          <w:p w:rsidR="00655B0D" w:rsidRPr="004D295E" w:rsidRDefault="00655B0D" w:rsidP="004650BC">
            <w:pPr>
              <w:jc w:val="cente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 xml:space="preserve">m. j. </w:t>
            </w:r>
          </w:p>
        </w:tc>
        <w:tc>
          <w:tcPr>
            <w:tcW w:w="820" w:type="dxa"/>
            <w:tcBorders>
              <w:top w:val="single" w:sz="4" w:space="0" w:color="auto"/>
              <w:left w:val="nil"/>
              <w:bottom w:val="single" w:sz="4" w:space="0" w:color="auto"/>
              <w:right w:val="single" w:sz="4" w:space="0" w:color="auto"/>
            </w:tcBorders>
            <w:shd w:val="clear" w:color="000000" w:fill="BFBFBF"/>
            <w:noWrap/>
            <w:vAlign w:val="center"/>
            <w:hideMark/>
          </w:tcPr>
          <w:p w:rsidR="00655B0D" w:rsidRPr="004D295E" w:rsidRDefault="00655B0D" w:rsidP="004650BC">
            <w:pPr>
              <w:jc w:val="cente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2016 S</w:t>
            </w:r>
          </w:p>
        </w:tc>
        <w:tc>
          <w:tcPr>
            <w:tcW w:w="820" w:type="dxa"/>
            <w:tcBorders>
              <w:top w:val="single" w:sz="4" w:space="0" w:color="auto"/>
              <w:left w:val="nil"/>
              <w:bottom w:val="single" w:sz="4" w:space="0" w:color="auto"/>
              <w:right w:val="single" w:sz="4" w:space="0" w:color="auto"/>
            </w:tcBorders>
            <w:shd w:val="clear" w:color="000000" w:fill="BFBFBF"/>
            <w:noWrap/>
            <w:vAlign w:val="center"/>
            <w:hideMark/>
          </w:tcPr>
          <w:p w:rsidR="00655B0D" w:rsidRPr="004D295E" w:rsidRDefault="00655B0D" w:rsidP="004650BC">
            <w:pPr>
              <w:jc w:val="cente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2017 S</w:t>
            </w:r>
          </w:p>
        </w:tc>
        <w:tc>
          <w:tcPr>
            <w:tcW w:w="820" w:type="dxa"/>
            <w:tcBorders>
              <w:top w:val="single" w:sz="4" w:space="0" w:color="auto"/>
              <w:left w:val="nil"/>
              <w:bottom w:val="single" w:sz="4" w:space="0" w:color="auto"/>
              <w:right w:val="single" w:sz="4" w:space="0" w:color="auto"/>
            </w:tcBorders>
            <w:shd w:val="clear" w:color="000000" w:fill="BFBFBF"/>
            <w:noWrap/>
            <w:vAlign w:val="center"/>
            <w:hideMark/>
          </w:tcPr>
          <w:p w:rsidR="00655B0D" w:rsidRPr="004D295E" w:rsidRDefault="00655B0D" w:rsidP="004650BC">
            <w:pPr>
              <w:jc w:val="cente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2018 R</w:t>
            </w:r>
          </w:p>
        </w:tc>
        <w:tc>
          <w:tcPr>
            <w:tcW w:w="820" w:type="dxa"/>
            <w:tcBorders>
              <w:top w:val="single" w:sz="4" w:space="0" w:color="auto"/>
              <w:left w:val="nil"/>
              <w:bottom w:val="single" w:sz="4" w:space="0" w:color="auto"/>
              <w:right w:val="single" w:sz="4" w:space="0" w:color="auto"/>
            </w:tcBorders>
            <w:shd w:val="clear" w:color="000000" w:fill="BFBFBF"/>
            <w:noWrap/>
            <w:vAlign w:val="center"/>
            <w:hideMark/>
          </w:tcPr>
          <w:p w:rsidR="00655B0D" w:rsidRPr="004D295E" w:rsidRDefault="00655B0D" w:rsidP="004650BC">
            <w:pPr>
              <w:jc w:val="cente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2018 OS</w:t>
            </w:r>
          </w:p>
        </w:tc>
        <w:tc>
          <w:tcPr>
            <w:tcW w:w="820" w:type="dxa"/>
            <w:tcBorders>
              <w:top w:val="single" w:sz="4" w:space="0" w:color="auto"/>
              <w:left w:val="nil"/>
              <w:bottom w:val="single" w:sz="4" w:space="0" w:color="auto"/>
              <w:right w:val="single" w:sz="4" w:space="0" w:color="auto"/>
            </w:tcBorders>
            <w:shd w:val="clear" w:color="000000" w:fill="BFBFBF"/>
            <w:noWrap/>
            <w:vAlign w:val="center"/>
            <w:hideMark/>
          </w:tcPr>
          <w:p w:rsidR="00655B0D" w:rsidRPr="004D295E" w:rsidRDefault="00655B0D" w:rsidP="004650BC">
            <w:pPr>
              <w:jc w:val="cente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2019 N</w:t>
            </w:r>
          </w:p>
        </w:tc>
        <w:tc>
          <w:tcPr>
            <w:tcW w:w="820" w:type="dxa"/>
            <w:tcBorders>
              <w:top w:val="single" w:sz="4" w:space="0" w:color="auto"/>
              <w:left w:val="nil"/>
              <w:bottom w:val="single" w:sz="4" w:space="0" w:color="auto"/>
              <w:right w:val="single" w:sz="4" w:space="0" w:color="auto"/>
            </w:tcBorders>
            <w:shd w:val="clear" w:color="000000" w:fill="BFBFBF"/>
            <w:noWrap/>
            <w:vAlign w:val="center"/>
            <w:hideMark/>
          </w:tcPr>
          <w:p w:rsidR="00655B0D" w:rsidRPr="004D295E" w:rsidRDefault="00655B0D" w:rsidP="004650BC">
            <w:pPr>
              <w:jc w:val="cente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2020 N</w:t>
            </w:r>
          </w:p>
        </w:tc>
        <w:tc>
          <w:tcPr>
            <w:tcW w:w="820" w:type="dxa"/>
            <w:tcBorders>
              <w:top w:val="single" w:sz="4" w:space="0" w:color="auto"/>
              <w:left w:val="nil"/>
              <w:bottom w:val="single" w:sz="4" w:space="0" w:color="auto"/>
              <w:right w:val="single" w:sz="4" w:space="0" w:color="auto"/>
            </w:tcBorders>
            <w:shd w:val="clear" w:color="000000" w:fill="BFBFBF"/>
            <w:noWrap/>
            <w:vAlign w:val="center"/>
            <w:hideMark/>
          </w:tcPr>
          <w:p w:rsidR="00655B0D" w:rsidRPr="004D295E" w:rsidRDefault="00655B0D" w:rsidP="004650BC">
            <w:pPr>
              <w:jc w:val="cente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2021 N</w:t>
            </w:r>
          </w:p>
        </w:tc>
      </w:tr>
      <w:tr w:rsidR="00655B0D" w:rsidRPr="004D295E" w:rsidTr="004650BC">
        <w:trPr>
          <w:trHeight w:val="255"/>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Príjmy verejnej správy</w:t>
            </w:r>
          </w:p>
        </w:tc>
        <w:tc>
          <w:tcPr>
            <w:tcW w:w="809"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sz w:val="14"/>
                <w:szCs w:val="14"/>
                <w:lang w:eastAsia="sk-SK"/>
              </w:rPr>
            </w:pPr>
            <w:r w:rsidRPr="004D295E">
              <w:rPr>
                <w:rFonts w:ascii="Times New Roman" w:hAnsi="Times New Roman" w:cs="Times New Roman"/>
                <w:sz w:val="14"/>
                <w:szCs w:val="14"/>
                <w:lang w:eastAsia="sk-SK"/>
              </w:rPr>
              <w:t>mil. eur</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31 863,9</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33 443,8</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34 432,3</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35 388,1</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37 161,3</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39 744,8</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41 076,8</w:t>
            </w:r>
          </w:p>
        </w:tc>
      </w:tr>
      <w:tr w:rsidR="00655B0D" w:rsidRPr="004D295E" w:rsidTr="004650BC">
        <w:trPr>
          <w:trHeight w:val="255"/>
          <w:jc w:val="center"/>
        </w:trPr>
        <w:tc>
          <w:tcPr>
            <w:tcW w:w="2547" w:type="dxa"/>
            <w:tcBorders>
              <w:top w:val="nil"/>
              <w:left w:val="single" w:sz="4" w:space="0" w:color="auto"/>
              <w:bottom w:val="single" w:sz="4" w:space="0" w:color="auto"/>
              <w:right w:val="single" w:sz="4" w:space="0" w:color="auto"/>
            </w:tcBorders>
            <w:shd w:val="clear" w:color="000000" w:fill="BFBFBF"/>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 xml:space="preserve">Príjmy verejnej správy </w:t>
            </w:r>
          </w:p>
        </w:tc>
        <w:tc>
          <w:tcPr>
            <w:tcW w:w="809"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center"/>
              <w:rPr>
                <w:rFonts w:ascii="Times New Roman" w:hAnsi="Times New Roman" w:cs="Times New Roman"/>
                <w:sz w:val="14"/>
                <w:szCs w:val="14"/>
                <w:lang w:eastAsia="sk-SK"/>
              </w:rPr>
            </w:pPr>
            <w:r w:rsidRPr="004D295E">
              <w:rPr>
                <w:rFonts w:ascii="Times New Roman" w:hAnsi="Times New Roman" w:cs="Times New Roman"/>
                <w:sz w:val="14"/>
                <w:szCs w:val="14"/>
                <w:lang w:eastAsia="sk-SK"/>
              </w:rPr>
              <w:t>%</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39,23</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39,41</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38,47</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39,12</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38,35</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38,52</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37,59</w:t>
            </w:r>
          </w:p>
        </w:tc>
      </w:tr>
      <w:tr w:rsidR="00655B0D" w:rsidRPr="004D295E" w:rsidTr="004650BC">
        <w:trPr>
          <w:trHeight w:val="255"/>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Výdavky verejnej správy</w:t>
            </w:r>
          </w:p>
        </w:tc>
        <w:tc>
          <w:tcPr>
            <w:tcW w:w="809"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sz w:val="14"/>
                <w:szCs w:val="14"/>
                <w:lang w:eastAsia="sk-SK"/>
              </w:rPr>
            </w:pPr>
            <w:r w:rsidRPr="004D295E">
              <w:rPr>
                <w:rFonts w:ascii="Times New Roman" w:hAnsi="Times New Roman" w:cs="Times New Roman"/>
                <w:sz w:val="14"/>
                <w:szCs w:val="14"/>
                <w:lang w:eastAsia="sk-SK"/>
              </w:rPr>
              <w:t>mil. eur</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33 668,6</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34 103,1</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35 175,1</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35 931,0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37 258,2</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39 744,8</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40 858,3</w:t>
            </w:r>
          </w:p>
        </w:tc>
      </w:tr>
      <w:tr w:rsidR="00655B0D" w:rsidRPr="004D295E" w:rsidTr="004650BC">
        <w:trPr>
          <w:trHeight w:val="255"/>
          <w:jc w:val="center"/>
        </w:trPr>
        <w:tc>
          <w:tcPr>
            <w:tcW w:w="2547" w:type="dxa"/>
            <w:tcBorders>
              <w:top w:val="nil"/>
              <w:left w:val="single" w:sz="4" w:space="0" w:color="auto"/>
              <w:bottom w:val="single" w:sz="4" w:space="0" w:color="auto"/>
              <w:right w:val="single" w:sz="4" w:space="0" w:color="auto"/>
            </w:tcBorders>
            <w:shd w:val="clear" w:color="000000" w:fill="BFBFBF"/>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 xml:space="preserve">Výdavky verejnej správy </w:t>
            </w:r>
          </w:p>
        </w:tc>
        <w:tc>
          <w:tcPr>
            <w:tcW w:w="809"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center"/>
              <w:rPr>
                <w:rFonts w:ascii="Times New Roman" w:hAnsi="Times New Roman" w:cs="Times New Roman"/>
                <w:sz w:val="14"/>
                <w:szCs w:val="14"/>
                <w:lang w:eastAsia="sk-SK"/>
              </w:rPr>
            </w:pPr>
            <w:r w:rsidRPr="004D295E">
              <w:rPr>
                <w:rFonts w:ascii="Times New Roman" w:hAnsi="Times New Roman" w:cs="Times New Roman"/>
                <w:sz w:val="14"/>
                <w:szCs w:val="14"/>
                <w:lang w:eastAsia="sk-SK"/>
              </w:rPr>
              <w:t>%</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41,45</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40,19</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39,30</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39,72</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38,45</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38,52</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37,39</w:t>
            </w:r>
          </w:p>
        </w:tc>
      </w:tr>
      <w:tr w:rsidR="00655B0D" w:rsidRPr="004D295E" w:rsidTr="004650BC">
        <w:trPr>
          <w:trHeight w:val="255"/>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Schodok verejnej správy</w:t>
            </w:r>
          </w:p>
        </w:tc>
        <w:tc>
          <w:tcPr>
            <w:tcW w:w="809"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sz w:val="14"/>
                <w:szCs w:val="14"/>
                <w:lang w:eastAsia="sk-SK"/>
              </w:rPr>
            </w:pPr>
            <w:r w:rsidRPr="004D295E">
              <w:rPr>
                <w:rFonts w:ascii="Times New Roman" w:hAnsi="Times New Roman" w:cs="Times New Roman"/>
                <w:sz w:val="14"/>
                <w:szCs w:val="14"/>
                <w:lang w:eastAsia="sk-SK"/>
              </w:rPr>
              <w:t>mil. eur</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-1 804,7</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-659,3</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-742,8</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-543,0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-96,9</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218,5</w:t>
            </w:r>
          </w:p>
        </w:tc>
      </w:tr>
      <w:tr w:rsidR="00655B0D" w:rsidRPr="004D295E" w:rsidTr="004650BC">
        <w:trPr>
          <w:trHeight w:val="255"/>
          <w:jc w:val="center"/>
        </w:trPr>
        <w:tc>
          <w:tcPr>
            <w:tcW w:w="2547" w:type="dxa"/>
            <w:tcBorders>
              <w:top w:val="nil"/>
              <w:left w:val="single" w:sz="4" w:space="0" w:color="auto"/>
              <w:bottom w:val="single" w:sz="4" w:space="0" w:color="auto"/>
              <w:right w:val="single" w:sz="4" w:space="0" w:color="auto"/>
            </w:tcBorders>
            <w:shd w:val="clear" w:color="000000" w:fill="BFBFBF"/>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 xml:space="preserve">Schodok verejnej správy </w:t>
            </w:r>
          </w:p>
        </w:tc>
        <w:tc>
          <w:tcPr>
            <w:tcW w:w="809"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center"/>
              <w:rPr>
                <w:rFonts w:ascii="Times New Roman" w:hAnsi="Times New Roman" w:cs="Times New Roman"/>
                <w:sz w:val="14"/>
                <w:szCs w:val="14"/>
                <w:lang w:eastAsia="sk-SK"/>
              </w:rPr>
            </w:pPr>
            <w:r w:rsidRPr="004D295E">
              <w:rPr>
                <w:rFonts w:ascii="Times New Roman" w:hAnsi="Times New Roman" w:cs="Times New Roman"/>
                <w:sz w:val="14"/>
                <w:szCs w:val="14"/>
                <w:lang w:eastAsia="sk-SK"/>
              </w:rPr>
              <w:t>%</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-2,22</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-0,78</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-0,83</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-0,60</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-0,10</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0,00</w:t>
            </w:r>
          </w:p>
        </w:tc>
        <w:tc>
          <w:tcPr>
            <w:tcW w:w="820" w:type="dxa"/>
            <w:tcBorders>
              <w:top w:val="nil"/>
              <w:left w:val="nil"/>
              <w:bottom w:val="single" w:sz="4" w:space="0" w:color="auto"/>
              <w:right w:val="single" w:sz="4" w:space="0" w:color="auto"/>
            </w:tcBorders>
            <w:shd w:val="clear" w:color="000000" w:fill="BFBFBF"/>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0,20</w:t>
            </w:r>
          </w:p>
        </w:tc>
      </w:tr>
    </w:tbl>
    <w:p w:rsidR="00655B0D" w:rsidRDefault="00655B0D" w:rsidP="00655B0D">
      <w:pPr>
        <w:ind w:firstLine="708"/>
        <w:jc w:val="both"/>
        <w:rPr>
          <w:rFonts w:ascii="Times New Roman" w:hAnsi="Times New Roman"/>
        </w:rPr>
      </w:pPr>
    </w:p>
    <w:p w:rsidR="00655B0D" w:rsidRDefault="002E547E" w:rsidP="00655B0D">
      <w:pPr>
        <w:ind w:firstLine="708"/>
        <w:jc w:val="both"/>
        <w:rPr>
          <w:rFonts w:ascii="Times New Roman" w:hAnsi="Times New Roman"/>
        </w:rPr>
      </w:pPr>
      <w:r>
        <w:rPr>
          <w:rFonts w:ascii="Times New Roman" w:hAnsi="Times New Roman"/>
        </w:rPr>
        <w:t xml:space="preserve">Podiel celkových verejných príjmov na HDP klesá v roku 2019 oproti minuloročnému schválenému rozpočtu o 0,12 p. b., verejné výdavky sú v rovnakom pomere nižšie o 0,85 p. b., čo znamená medziročné zníženie schodku verejnej správy o 0,73 p. b. </w:t>
      </w:r>
    </w:p>
    <w:p w:rsidR="002E547E" w:rsidRDefault="002E547E" w:rsidP="00655B0D">
      <w:pPr>
        <w:ind w:firstLine="708"/>
        <w:jc w:val="both"/>
        <w:rPr>
          <w:rFonts w:ascii="Times New Roman" w:hAnsi="Times New Roman"/>
        </w:rPr>
      </w:pPr>
    </w:p>
    <w:p w:rsidR="00655B0D" w:rsidRPr="00F370D6" w:rsidRDefault="00655B0D" w:rsidP="00655B0D">
      <w:pPr>
        <w:ind w:firstLine="708"/>
        <w:jc w:val="both"/>
        <w:rPr>
          <w:rFonts w:ascii="Times New Roman" w:hAnsi="Times New Roman"/>
        </w:rPr>
      </w:pPr>
      <w:r w:rsidRPr="00F370D6">
        <w:rPr>
          <w:rFonts w:ascii="Times New Roman" w:hAnsi="Times New Roman"/>
        </w:rPr>
        <w:t>Tieto čísla sú ešte čiastočne skreslené čerpaním eurofondov, ktoré „navyšujú“ úroveň verejných príjmov aj výdavkov (podľa metodiky ESA 2010 sú eurofondy, ktoré využijú verejné subjekty súčasťou verejných príjmov aj výdavkov). Ak by sme od eurofondov abstrahovali, príjmy verejných financií dosiahnu v roku 2019 úroveň 38,</w:t>
      </w:r>
      <w:r>
        <w:rPr>
          <w:rFonts w:ascii="Times New Roman" w:hAnsi="Times New Roman"/>
        </w:rPr>
        <w:t>0</w:t>
      </w:r>
      <w:r w:rsidRPr="00F370D6">
        <w:rPr>
          <w:rFonts w:ascii="Times New Roman" w:hAnsi="Times New Roman"/>
        </w:rPr>
        <w:t xml:space="preserve">5 % HDP a oproti schválenému rozpočtu na rok 2018 </w:t>
      </w:r>
      <w:r>
        <w:rPr>
          <w:rFonts w:ascii="Times New Roman" w:hAnsi="Times New Roman"/>
        </w:rPr>
        <w:t>klesnú</w:t>
      </w:r>
      <w:r w:rsidRPr="00F370D6">
        <w:rPr>
          <w:rFonts w:ascii="Times New Roman" w:hAnsi="Times New Roman"/>
        </w:rPr>
        <w:t xml:space="preserve"> o 0,</w:t>
      </w:r>
      <w:r>
        <w:rPr>
          <w:rFonts w:ascii="Times New Roman" w:hAnsi="Times New Roman"/>
        </w:rPr>
        <w:t>04</w:t>
      </w:r>
      <w:r w:rsidRPr="00F370D6">
        <w:rPr>
          <w:rFonts w:ascii="Times New Roman" w:hAnsi="Times New Roman"/>
        </w:rPr>
        <w:t xml:space="preserve"> % HDP. Výdavky verejných financií bez EÚ fondov v roku 2019 dosiahnu úroveň 38,</w:t>
      </w:r>
      <w:r>
        <w:rPr>
          <w:rFonts w:ascii="Times New Roman" w:hAnsi="Times New Roman"/>
        </w:rPr>
        <w:t>15</w:t>
      </w:r>
      <w:r w:rsidRPr="00F370D6">
        <w:rPr>
          <w:rFonts w:ascii="Times New Roman" w:hAnsi="Times New Roman"/>
        </w:rPr>
        <w:t xml:space="preserve"> % HDP, čo oproti roku 2018 predstavuje pokles o 0,</w:t>
      </w:r>
      <w:r>
        <w:rPr>
          <w:rFonts w:ascii="Times New Roman" w:hAnsi="Times New Roman"/>
        </w:rPr>
        <w:t>77</w:t>
      </w:r>
      <w:r w:rsidRPr="00F370D6">
        <w:rPr>
          <w:rFonts w:ascii="Times New Roman" w:hAnsi="Times New Roman"/>
        </w:rPr>
        <w:t xml:space="preserve"> % HDP.</w:t>
      </w:r>
    </w:p>
    <w:p w:rsidR="00655B0D" w:rsidRPr="00F370D6" w:rsidRDefault="00655B0D" w:rsidP="00655B0D">
      <w:pPr>
        <w:ind w:firstLine="708"/>
        <w:jc w:val="both"/>
        <w:rPr>
          <w:rFonts w:ascii="Times New Roman" w:hAnsi="Times New Roman"/>
        </w:rPr>
      </w:pPr>
    </w:p>
    <w:p w:rsidR="00655B0D" w:rsidRPr="00F370D6" w:rsidRDefault="00655B0D" w:rsidP="00655B0D">
      <w:pPr>
        <w:ind w:firstLine="708"/>
        <w:jc w:val="both"/>
        <w:rPr>
          <w:rFonts w:ascii="Times New Roman" w:hAnsi="Times New Roman"/>
        </w:rPr>
      </w:pPr>
      <w:r w:rsidRPr="00F370D6">
        <w:rPr>
          <w:rFonts w:ascii="Times New Roman" w:hAnsi="Times New Roman"/>
        </w:rPr>
        <w:t xml:space="preserve">Nasledujúca tabuľka prezentuje ESA klasifikáciu príjmov a výdavkov sektora verejnej správy. </w:t>
      </w:r>
    </w:p>
    <w:p w:rsidR="00655B0D" w:rsidRPr="00F370D6" w:rsidRDefault="00655B0D" w:rsidP="00655B0D">
      <w:pPr>
        <w:ind w:firstLine="708"/>
        <w:jc w:val="both"/>
        <w:rPr>
          <w:rFonts w:ascii="Times New Roman" w:hAnsi="Times New Roman"/>
        </w:rPr>
      </w:pPr>
    </w:p>
    <w:tbl>
      <w:tblPr>
        <w:tblW w:w="4975" w:type="pct"/>
        <w:jc w:val="center"/>
        <w:tblLayout w:type="fixed"/>
        <w:tblCellMar>
          <w:left w:w="70" w:type="dxa"/>
          <w:right w:w="70" w:type="dxa"/>
        </w:tblCellMar>
        <w:tblLook w:val="04A0" w:firstRow="1" w:lastRow="0" w:firstColumn="1" w:lastColumn="0" w:noHBand="0" w:noVBand="1"/>
      </w:tblPr>
      <w:tblGrid>
        <w:gridCol w:w="2263"/>
        <w:gridCol w:w="1003"/>
        <w:gridCol w:w="822"/>
        <w:gridCol w:w="822"/>
        <w:gridCol w:w="822"/>
        <w:gridCol w:w="822"/>
        <w:gridCol w:w="821"/>
        <w:gridCol w:w="821"/>
        <w:gridCol w:w="821"/>
      </w:tblGrid>
      <w:tr w:rsidR="00655B0D" w:rsidRPr="004D295E" w:rsidTr="005A1FF1">
        <w:trPr>
          <w:trHeight w:val="255"/>
          <w:jc w:val="center"/>
        </w:trPr>
        <w:tc>
          <w:tcPr>
            <w:tcW w:w="125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655B0D" w:rsidRPr="004D295E" w:rsidRDefault="00655B0D" w:rsidP="004650BC">
            <w:pP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(v metodike ESA 2010, v mil. eur)</w:t>
            </w:r>
          </w:p>
        </w:tc>
        <w:tc>
          <w:tcPr>
            <w:tcW w:w="556"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55B0D" w:rsidRPr="004D295E" w:rsidRDefault="00655B0D" w:rsidP="004650BC">
            <w:pPr>
              <w:jc w:val="cente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ESA kódy</w:t>
            </w:r>
          </w:p>
        </w:tc>
        <w:tc>
          <w:tcPr>
            <w:tcW w:w="456"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55B0D" w:rsidRPr="004D295E" w:rsidRDefault="00655B0D" w:rsidP="004650BC">
            <w:pPr>
              <w:jc w:val="cente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2016 S</w:t>
            </w:r>
          </w:p>
        </w:tc>
        <w:tc>
          <w:tcPr>
            <w:tcW w:w="456"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55B0D" w:rsidRPr="004D295E" w:rsidRDefault="00655B0D" w:rsidP="004650BC">
            <w:pPr>
              <w:jc w:val="cente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2017 S</w:t>
            </w:r>
          </w:p>
        </w:tc>
        <w:tc>
          <w:tcPr>
            <w:tcW w:w="456"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55B0D" w:rsidRPr="004D295E" w:rsidRDefault="00655B0D" w:rsidP="004650BC">
            <w:pPr>
              <w:jc w:val="cente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2018 R</w:t>
            </w:r>
          </w:p>
        </w:tc>
        <w:tc>
          <w:tcPr>
            <w:tcW w:w="456"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55B0D" w:rsidRPr="004D295E" w:rsidRDefault="00655B0D" w:rsidP="004650BC">
            <w:pPr>
              <w:jc w:val="cente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2018 OS</w:t>
            </w:r>
          </w:p>
        </w:tc>
        <w:tc>
          <w:tcPr>
            <w:tcW w:w="455"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55B0D" w:rsidRPr="004D295E" w:rsidRDefault="00655B0D" w:rsidP="004650BC">
            <w:pPr>
              <w:jc w:val="cente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2019 N</w:t>
            </w:r>
          </w:p>
        </w:tc>
        <w:tc>
          <w:tcPr>
            <w:tcW w:w="455"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55B0D" w:rsidRPr="004D295E" w:rsidRDefault="00655B0D" w:rsidP="004650BC">
            <w:pPr>
              <w:jc w:val="cente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2020 N</w:t>
            </w:r>
          </w:p>
        </w:tc>
        <w:tc>
          <w:tcPr>
            <w:tcW w:w="455"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655B0D" w:rsidRPr="004D295E" w:rsidRDefault="00655B0D" w:rsidP="004650BC">
            <w:pPr>
              <w:jc w:val="cente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2021 N</w:t>
            </w:r>
          </w:p>
        </w:tc>
      </w:tr>
      <w:tr w:rsidR="00655B0D" w:rsidRPr="004D295E" w:rsidTr="005A1FF1">
        <w:trPr>
          <w:trHeight w:val="255"/>
          <w:jc w:val="center"/>
        </w:trPr>
        <w:tc>
          <w:tcPr>
            <w:tcW w:w="1255"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Príjmy spolu</w:t>
            </w:r>
          </w:p>
        </w:tc>
        <w:tc>
          <w:tcPr>
            <w:tcW w:w="5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cente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TR</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31 863,9</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33 443,8</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34 432,3</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35 388,1</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37 161,3</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39 744,8</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41 076,8</w:t>
            </w:r>
          </w:p>
        </w:tc>
      </w:tr>
      <w:tr w:rsidR="00655B0D" w:rsidRPr="004D295E" w:rsidTr="005A1FF1">
        <w:trPr>
          <w:trHeight w:val="255"/>
          <w:jc w:val="center"/>
        </w:trPr>
        <w:tc>
          <w:tcPr>
            <w:tcW w:w="1255"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 xml:space="preserve">  - v % HDP</w:t>
            </w:r>
          </w:p>
        </w:tc>
        <w:tc>
          <w:tcPr>
            <w:tcW w:w="5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cente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 </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39,23</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39,41</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38,47</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39,12</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38,35</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38,52</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37,59</w:t>
            </w:r>
          </w:p>
        </w:tc>
      </w:tr>
      <w:tr w:rsidR="00655B0D" w:rsidRPr="004D295E" w:rsidTr="004650BC">
        <w:trPr>
          <w:trHeight w:val="255"/>
          <w:jc w:val="center"/>
        </w:trPr>
        <w:tc>
          <w:tcPr>
            <w:tcW w:w="1255" w:type="pct"/>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Dane z výroby a dovozov</w:t>
            </w:r>
          </w:p>
        </w:tc>
        <w:tc>
          <w:tcPr>
            <w:tcW w:w="5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sz w:val="12"/>
                <w:szCs w:val="12"/>
                <w:lang w:eastAsia="sk-SK"/>
              </w:rPr>
            </w:pPr>
            <w:r w:rsidRPr="004D295E">
              <w:rPr>
                <w:rFonts w:ascii="Times New Roman" w:hAnsi="Times New Roman" w:cs="Times New Roman"/>
                <w:sz w:val="12"/>
                <w:szCs w:val="12"/>
                <w:lang w:eastAsia="sk-SK"/>
              </w:rPr>
              <w:t>D.2R</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8 630,3</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9 250,9</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9 831,3</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10 020,4</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10 666,1</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11 208,2</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11 499,6</w:t>
            </w:r>
          </w:p>
        </w:tc>
      </w:tr>
      <w:tr w:rsidR="00655B0D" w:rsidRPr="004D295E" w:rsidTr="004650BC">
        <w:trPr>
          <w:trHeight w:val="255"/>
          <w:jc w:val="center"/>
        </w:trPr>
        <w:tc>
          <w:tcPr>
            <w:tcW w:w="1255" w:type="pct"/>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Bežné dane z príjmu, majetku</w:t>
            </w:r>
            <w:r w:rsidR="00907A05">
              <w:rPr>
                <w:rFonts w:ascii="Times New Roman" w:hAnsi="Times New Roman" w:cs="Times New Roman"/>
                <w:sz w:val="14"/>
                <w:szCs w:val="14"/>
                <w:lang w:eastAsia="sk-SK"/>
              </w:rPr>
              <w:t>,</w:t>
            </w:r>
            <w:r w:rsidRPr="004D295E">
              <w:rPr>
                <w:rFonts w:ascii="Times New Roman" w:hAnsi="Times New Roman" w:cs="Times New Roman"/>
                <w:sz w:val="14"/>
                <w:szCs w:val="14"/>
                <w:lang w:eastAsia="sk-SK"/>
              </w:rPr>
              <w:t xml:space="preserve"> atď</w:t>
            </w:r>
            <w:r w:rsidR="00907A05">
              <w:rPr>
                <w:rFonts w:ascii="Times New Roman" w:hAnsi="Times New Roman" w:cs="Times New Roman"/>
                <w:sz w:val="14"/>
                <w:szCs w:val="14"/>
                <w:lang w:eastAsia="sk-SK"/>
              </w:rPr>
              <w:t>.</w:t>
            </w:r>
          </w:p>
        </w:tc>
        <w:tc>
          <w:tcPr>
            <w:tcW w:w="5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sz w:val="12"/>
                <w:szCs w:val="12"/>
                <w:lang w:eastAsia="sk-SK"/>
              </w:rPr>
            </w:pPr>
            <w:r w:rsidRPr="004D295E">
              <w:rPr>
                <w:rFonts w:ascii="Times New Roman" w:hAnsi="Times New Roman" w:cs="Times New Roman"/>
                <w:sz w:val="12"/>
                <w:szCs w:val="12"/>
                <w:lang w:eastAsia="sk-SK"/>
              </w:rPr>
              <w:t>D.5R</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5 942,8</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6 238,5</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6 391,9</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6 595,4</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7 116,2</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7 525,8</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7 912,3</w:t>
            </w:r>
          </w:p>
        </w:tc>
      </w:tr>
      <w:tr w:rsidR="00655B0D" w:rsidRPr="004D295E" w:rsidTr="004650BC">
        <w:trPr>
          <w:trHeight w:val="255"/>
          <w:jc w:val="center"/>
        </w:trPr>
        <w:tc>
          <w:tcPr>
            <w:tcW w:w="1255" w:type="pct"/>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Kapitálové dane</w:t>
            </w:r>
          </w:p>
        </w:tc>
        <w:tc>
          <w:tcPr>
            <w:tcW w:w="5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sz w:val="12"/>
                <w:szCs w:val="12"/>
                <w:lang w:eastAsia="sk-SK"/>
              </w:rPr>
            </w:pPr>
            <w:r w:rsidRPr="004D295E">
              <w:rPr>
                <w:rFonts w:ascii="Times New Roman" w:hAnsi="Times New Roman" w:cs="Times New Roman"/>
                <w:sz w:val="12"/>
                <w:szCs w:val="12"/>
                <w:lang w:eastAsia="sk-SK"/>
              </w:rPr>
              <w:t>D.91R</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0,0</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0,0</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0,0</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0,0</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0,0</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0,0</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0,0</w:t>
            </w:r>
          </w:p>
        </w:tc>
      </w:tr>
      <w:tr w:rsidR="00655B0D" w:rsidRPr="004D295E" w:rsidTr="004650BC">
        <w:trPr>
          <w:trHeight w:val="255"/>
          <w:jc w:val="center"/>
        </w:trPr>
        <w:tc>
          <w:tcPr>
            <w:tcW w:w="1255" w:type="pct"/>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Sociálne príspevky</w:t>
            </w:r>
          </w:p>
        </w:tc>
        <w:tc>
          <w:tcPr>
            <w:tcW w:w="5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sz w:val="12"/>
                <w:szCs w:val="12"/>
                <w:lang w:eastAsia="sk-SK"/>
              </w:rPr>
            </w:pPr>
            <w:r w:rsidRPr="004D295E">
              <w:rPr>
                <w:rFonts w:ascii="Times New Roman" w:hAnsi="Times New Roman" w:cs="Times New Roman"/>
                <w:sz w:val="12"/>
                <w:szCs w:val="12"/>
                <w:lang w:eastAsia="sk-SK"/>
              </w:rPr>
              <w:t>D.61R</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11 617,1</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12 524,6</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13 107,9</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13 507,9</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13 998,3</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14 615,5</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15 211,7</w:t>
            </w:r>
          </w:p>
        </w:tc>
      </w:tr>
      <w:tr w:rsidR="00655B0D" w:rsidRPr="004D295E" w:rsidTr="004650BC">
        <w:trPr>
          <w:trHeight w:val="255"/>
          <w:jc w:val="center"/>
        </w:trPr>
        <w:tc>
          <w:tcPr>
            <w:tcW w:w="1255" w:type="pct"/>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Príjmy z majetku</w:t>
            </w:r>
          </w:p>
        </w:tc>
        <w:tc>
          <w:tcPr>
            <w:tcW w:w="5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sz w:val="12"/>
                <w:szCs w:val="12"/>
                <w:lang w:eastAsia="sk-SK"/>
              </w:rPr>
            </w:pPr>
            <w:r w:rsidRPr="004D295E">
              <w:rPr>
                <w:rFonts w:ascii="Times New Roman" w:hAnsi="Times New Roman" w:cs="Times New Roman"/>
                <w:sz w:val="12"/>
                <w:szCs w:val="12"/>
                <w:lang w:eastAsia="sk-SK"/>
              </w:rPr>
              <w:t>D.4R</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605,8</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641,3</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561,3</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426,3</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585,2</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584,1</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596,5</w:t>
            </w:r>
          </w:p>
        </w:tc>
      </w:tr>
      <w:tr w:rsidR="00655B0D" w:rsidRPr="004D295E" w:rsidTr="004650BC">
        <w:trPr>
          <w:trHeight w:val="255"/>
          <w:jc w:val="center"/>
        </w:trPr>
        <w:tc>
          <w:tcPr>
            <w:tcW w:w="1255" w:type="pct"/>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 xml:space="preserve">Iné </w:t>
            </w:r>
          </w:p>
        </w:tc>
        <w:tc>
          <w:tcPr>
            <w:tcW w:w="556" w:type="pct"/>
            <w:tcBorders>
              <w:top w:val="nil"/>
              <w:left w:val="nil"/>
              <w:bottom w:val="single" w:sz="4" w:space="0" w:color="auto"/>
              <w:right w:val="single" w:sz="4" w:space="0" w:color="auto"/>
            </w:tcBorders>
            <w:shd w:val="clear" w:color="auto" w:fill="auto"/>
            <w:vAlign w:val="center"/>
            <w:hideMark/>
          </w:tcPr>
          <w:p w:rsidR="00655B0D" w:rsidRPr="004D295E" w:rsidRDefault="00655B0D" w:rsidP="004650BC">
            <w:pPr>
              <w:jc w:val="center"/>
              <w:rPr>
                <w:rFonts w:ascii="Times New Roman" w:hAnsi="Times New Roman" w:cs="Times New Roman"/>
                <w:sz w:val="12"/>
                <w:szCs w:val="12"/>
                <w:lang w:eastAsia="sk-SK"/>
              </w:rPr>
            </w:pPr>
            <w:r w:rsidRPr="004D295E">
              <w:rPr>
                <w:rFonts w:ascii="Times New Roman" w:hAnsi="Times New Roman" w:cs="Times New Roman"/>
                <w:sz w:val="12"/>
                <w:szCs w:val="12"/>
                <w:lang w:eastAsia="sk-SK"/>
              </w:rPr>
              <w:t>P11+P12 +P131+D.39R+D.7R+D.9R</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5 067,9</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4 788,6</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4 539,9</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4 838,1</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4 795,5</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5 811,1</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5 856,7</w:t>
            </w:r>
          </w:p>
        </w:tc>
      </w:tr>
      <w:tr w:rsidR="00655B0D" w:rsidRPr="004D295E" w:rsidTr="004650BC">
        <w:trPr>
          <w:trHeight w:val="255"/>
          <w:jc w:val="center"/>
        </w:trPr>
        <w:tc>
          <w:tcPr>
            <w:tcW w:w="1255" w:type="pct"/>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Daňové zaťaženie</w:t>
            </w:r>
          </w:p>
        </w:tc>
        <w:tc>
          <w:tcPr>
            <w:tcW w:w="556" w:type="pct"/>
            <w:tcBorders>
              <w:top w:val="nil"/>
              <w:left w:val="nil"/>
              <w:bottom w:val="single" w:sz="4" w:space="0" w:color="auto"/>
              <w:right w:val="single" w:sz="4" w:space="0" w:color="auto"/>
            </w:tcBorders>
            <w:shd w:val="clear" w:color="auto" w:fill="auto"/>
            <w:vAlign w:val="center"/>
            <w:hideMark/>
          </w:tcPr>
          <w:p w:rsidR="00655B0D" w:rsidRPr="004D295E" w:rsidRDefault="00655B0D" w:rsidP="004650BC">
            <w:pPr>
              <w:jc w:val="center"/>
              <w:rPr>
                <w:rFonts w:ascii="Times New Roman" w:hAnsi="Times New Roman" w:cs="Times New Roman"/>
                <w:sz w:val="12"/>
                <w:szCs w:val="12"/>
                <w:lang w:eastAsia="sk-SK"/>
              </w:rPr>
            </w:pPr>
            <w:r w:rsidRPr="004D295E">
              <w:rPr>
                <w:rFonts w:ascii="Times New Roman" w:hAnsi="Times New Roman" w:cs="Times New Roman"/>
                <w:sz w:val="12"/>
                <w:szCs w:val="12"/>
                <w:lang w:eastAsia="sk-SK"/>
              </w:rPr>
              <w:t>D.2+D.5+D.61+D.91-D.995</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26 190,2</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28 013,9</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29 331,1</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30 550,0</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31 780,6</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33 349,5</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34 623,5</w:t>
            </w:r>
          </w:p>
        </w:tc>
      </w:tr>
      <w:tr w:rsidR="00655B0D" w:rsidRPr="004D295E" w:rsidTr="005A1FF1">
        <w:trPr>
          <w:trHeight w:val="255"/>
          <w:jc w:val="center"/>
        </w:trPr>
        <w:tc>
          <w:tcPr>
            <w:tcW w:w="1255"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Výdavky spolu</w:t>
            </w:r>
          </w:p>
        </w:tc>
        <w:tc>
          <w:tcPr>
            <w:tcW w:w="5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center"/>
              <w:rPr>
                <w:rFonts w:ascii="Times New Roman" w:hAnsi="Times New Roman" w:cs="Times New Roman"/>
                <w:b/>
                <w:bCs/>
                <w:color w:val="000000"/>
                <w:sz w:val="12"/>
                <w:szCs w:val="12"/>
                <w:lang w:eastAsia="sk-SK"/>
              </w:rPr>
            </w:pPr>
            <w:r w:rsidRPr="004D295E">
              <w:rPr>
                <w:rFonts w:ascii="Times New Roman" w:hAnsi="Times New Roman" w:cs="Times New Roman"/>
                <w:b/>
                <w:bCs/>
                <w:color w:val="000000"/>
                <w:sz w:val="12"/>
                <w:szCs w:val="12"/>
                <w:lang w:eastAsia="sk-SK"/>
              </w:rPr>
              <w:t>TE</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33 668,6</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34 103,1</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35 175,1</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35 931,0</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37 258,2</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39 744,8</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40 858,3</w:t>
            </w:r>
          </w:p>
        </w:tc>
      </w:tr>
      <w:tr w:rsidR="00655B0D" w:rsidRPr="004D295E" w:rsidTr="005A1FF1">
        <w:trPr>
          <w:trHeight w:val="255"/>
          <w:jc w:val="center"/>
        </w:trPr>
        <w:tc>
          <w:tcPr>
            <w:tcW w:w="1255"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 xml:space="preserve">  - v % HDP</w:t>
            </w:r>
          </w:p>
        </w:tc>
        <w:tc>
          <w:tcPr>
            <w:tcW w:w="5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center"/>
              <w:rPr>
                <w:rFonts w:ascii="Times New Roman" w:hAnsi="Times New Roman" w:cs="Times New Roman"/>
                <w:b/>
                <w:bCs/>
                <w:color w:val="000000"/>
                <w:sz w:val="12"/>
                <w:szCs w:val="12"/>
                <w:lang w:eastAsia="sk-SK"/>
              </w:rPr>
            </w:pPr>
            <w:r w:rsidRPr="004D295E">
              <w:rPr>
                <w:rFonts w:ascii="Times New Roman" w:hAnsi="Times New Roman" w:cs="Times New Roman"/>
                <w:b/>
                <w:bCs/>
                <w:color w:val="000000"/>
                <w:sz w:val="12"/>
                <w:szCs w:val="12"/>
                <w:lang w:eastAsia="sk-SK"/>
              </w:rPr>
              <w:t> </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41,45</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40,19</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39,30</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39,72</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38,45</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38,52</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37,39</w:t>
            </w:r>
          </w:p>
        </w:tc>
      </w:tr>
      <w:tr w:rsidR="00655B0D" w:rsidRPr="004D295E" w:rsidTr="004650BC">
        <w:trPr>
          <w:trHeight w:val="255"/>
          <w:jc w:val="center"/>
        </w:trPr>
        <w:tc>
          <w:tcPr>
            <w:tcW w:w="1255" w:type="pct"/>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Kompenzácie zamestnancov</w:t>
            </w:r>
          </w:p>
        </w:tc>
        <w:tc>
          <w:tcPr>
            <w:tcW w:w="5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sz w:val="12"/>
                <w:szCs w:val="12"/>
                <w:lang w:eastAsia="sk-SK"/>
              </w:rPr>
            </w:pPr>
            <w:r w:rsidRPr="004D295E">
              <w:rPr>
                <w:rFonts w:ascii="Times New Roman" w:hAnsi="Times New Roman" w:cs="Times New Roman"/>
                <w:sz w:val="12"/>
                <w:szCs w:val="12"/>
                <w:lang w:eastAsia="sk-SK"/>
              </w:rPr>
              <w:t>D.1P</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7 400,5</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7 803,6</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8 105,2</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8 225,7</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8 900,1</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9 773,3</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10 093,2</w:t>
            </w:r>
          </w:p>
        </w:tc>
      </w:tr>
      <w:tr w:rsidR="00655B0D" w:rsidRPr="004D295E" w:rsidTr="004650BC">
        <w:trPr>
          <w:trHeight w:val="255"/>
          <w:jc w:val="center"/>
        </w:trPr>
        <w:tc>
          <w:tcPr>
            <w:tcW w:w="1255" w:type="pct"/>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Medzispotreba</w:t>
            </w:r>
          </w:p>
        </w:tc>
        <w:tc>
          <w:tcPr>
            <w:tcW w:w="5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sz w:val="12"/>
                <w:szCs w:val="12"/>
                <w:lang w:eastAsia="sk-SK"/>
              </w:rPr>
            </w:pPr>
            <w:r w:rsidRPr="004D295E">
              <w:rPr>
                <w:rFonts w:ascii="Times New Roman" w:hAnsi="Times New Roman" w:cs="Times New Roman"/>
                <w:sz w:val="12"/>
                <w:szCs w:val="12"/>
                <w:lang w:eastAsia="sk-SK"/>
              </w:rPr>
              <w:t>P.2</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4 459,1</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4 802,0</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4 888,0</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4 941,2</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5 434,9</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6 008,1</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6 082,9</w:t>
            </w:r>
          </w:p>
        </w:tc>
      </w:tr>
      <w:tr w:rsidR="00655B0D" w:rsidRPr="004D295E" w:rsidTr="004650BC">
        <w:trPr>
          <w:trHeight w:val="255"/>
          <w:jc w:val="center"/>
        </w:trPr>
        <w:tc>
          <w:tcPr>
            <w:tcW w:w="1255" w:type="pct"/>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Sociálne platby</w:t>
            </w:r>
          </w:p>
        </w:tc>
        <w:tc>
          <w:tcPr>
            <w:tcW w:w="5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sz w:val="12"/>
                <w:szCs w:val="12"/>
                <w:lang w:eastAsia="sk-SK"/>
              </w:rPr>
            </w:pPr>
            <w:r w:rsidRPr="004D295E">
              <w:rPr>
                <w:rFonts w:ascii="Times New Roman" w:hAnsi="Times New Roman" w:cs="Times New Roman"/>
                <w:sz w:val="12"/>
                <w:szCs w:val="12"/>
                <w:lang w:eastAsia="sk-SK"/>
              </w:rPr>
              <w:t>D.62P+D.632P</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15 520,0</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15 715,3</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16 402,8</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16 404,2</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5316B0">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16 84</w:t>
            </w:r>
            <w:r w:rsidR="005316B0">
              <w:rPr>
                <w:rFonts w:ascii="Times New Roman" w:hAnsi="Times New Roman" w:cs="Times New Roman"/>
                <w:color w:val="000000"/>
                <w:sz w:val="14"/>
                <w:szCs w:val="14"/>
                <w:lang w:eastAsia="sk-SK"/>
              </w:rPr>
              <w:t>9</w:t>
            </w:r>
            <w:r w:rsidRPr="004D295E">
              <w:rPr>
                <w:rFonts w:ascii="Times New Roman" w:hAnsi="Times New Roman" w:cs="Times New Roman"/>
                <w:color w:val="000000"/>
                <w:sz w:val="14"/>
                <w:szCs w:val="14"/>
                <w:lang w:eastAsia="sk-SK"/>
              </w:rPr>
              <w:t>,</w:t>
            </w:r>
            <w:r w:rsidR="005316B0">
              <w:rPr>
                <w:rFonts w:ascii="Times New Roman" w:hAnsi="Times New Roman" w:cs="Times New Roman"/>
                <w:color w:val="000000"/>
                <w:sz w:val="14"/>
                <w:szCs w:val="14"/>
                <w:lang w:eastAsia="sk-SK"/>
              </w:rPr>
              <w:t>1</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17 124,1</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17 458,2</w:t>
            </w:r>
          </w:p>
        </w:tc>
      </w:tr>
      <w:tr w:rsidR="00655B0D" w:rsidRPr="004D295E" w:rsidTr="004650BC">
        <w:trPr>
          <w:trHeight w:val="255"/>
          <w:jc w:val="center"/>
        </w:trPr>
        <w:tc>
          <w:tcPr>
            <w:tcW w:w="1255" w:type="pct"/>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z toho dávky v nezamestnanosti</w:t>
            </w:r>
          </w:p>
        </w:tc>
        <w:tc>
          <w:tcPr>
            <w:tcW w:w="5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sz w:val="12"/>
                <w:szCs w:val="12"/>
                <w:lang w:eastAsia="sk-SK"/>
              </w:rPr>
            </w:pPr>
            <w:r w:rsidRPr="004D295E">
              <w:rPr>
                <w:rFonts w:ascii="Times New Roman" w:hAnsi="Times New Roman" w:cs="Times New Roman"/>
                <w:sz w:val="12"/>
                <w:szCs w:val="12"/>
                <w:lang w:eastAsia="sk-SK"/>
              </w:rPr>
              <w:t> </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171,6</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167,7</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162,9</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170,1</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165,2</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167,0</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sz w:val="14"/>
                <w:szCs w:val="14"/>
                <w:lang w:eastAsia="sk-SK"/>
              </w:rPr>
            </w:pPr>
            <w:r w:rsidRPr="004D295E">
              <w:rPr>
                <w:rFonts w:ascii="Times New Roman" w:hAnsi="Times New Roman" w:cs="Times New Roman"/>
                <w:sz w:val="14"/>
                <w:szCs w:val="14"/>
                <w:lang w:eastAsia="sk-SK"/>
              </w:rPr>
              <w:t>168,6</w:t>
            </w:r>
          </w:p>
        </w:tc>
      </w:tr>
      <w:tr w:rsidR="00655B0D" w:rsidRPr="004D295E" w:rsidTr="004650BC">
        <w:trPr>
          <w:trHeight w:val="255"/>
          <w:jc w:val="center"/>
        </w:trPr>
        <w:tc>
          <w:tcPr>
            <w:tcW w:w="1255" w:type="pct"/>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Úrokové výdavky</w:t>
            </w:r>
          </w:p>
        </w:tc>
        <w:tc>
          <w:tcPr>
            <w:tcW w:w="5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sz w:val="12"/>
                <w:szCs w:val="12"/>
                <w:lang w:eastAsia="sk-SK"/>
              </w:rPr>
            </w:pPr>
            <w:r w:rsidRPr="004D295E">
              <w:rPr>
                <w:rFonts w:ascii="Times New Roman" w:hAnsi="Times New Roman" w:cs="Times New Roman"/>
                <w:sz w:val="12"/>
                <w:szCs w:val="12"/>
                <w:lang w:eastAsia="sk-SK"/>
              </w:rPr>
              <w:t>D.41P</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1 335,8</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1 179,4</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1 135,8</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1 129,2</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1 124,8</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1 094,9</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1 111,7</w:t>
            </w:r>
          </w:p>
        </w:tc>
      </w:tr>
      <w:tr w:rsidR="00655B0D" w:rsidRPr="004D295E" w:rsidTr="004650BC">
        <w:trPr>
          <w:trHeight w:val="255"/>
          <w:jc w:val="center"/>
        </w:trPr>
        <w:tc>
          <w:tcPr>
            <w:tcW w:w="1255" w:type="pct"/>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Dotácie</w:t>
            </w:r>
          </w:p>
        </w:tc>
        <w:tc>
          <w:tcPr>
            <w:tcW w:w="5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sz w:val="12"/>
                <w:szCs w:val="12"/>
                <w:lang w:eastAsia="sk-SK"/>
              </w:rPr>
            </w:pPr>
            <w:r w:rsidRPr="004D295E">
              <w:rPr>
                <w:rFonts w:ascii="Times New Roman" w:hAnsi="Times New Roman" w:cs="Times New Roman"/>
                <w:sz w:val="12"/>
                <w:szCs w:val="12"/>
                <w:lang w:eastAsia="sk-SK"/>
              </w:rPr>
              <w:t xml:space="preserve">D.3P </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376,4</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362,7</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394,2</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351,7</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455,0</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456,7</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345,5</w:t>
            </w:r>
          </w:p>
        </w:tc>
      </w:tr>
      <w:tr w:rsidR="00655B0D" w:rsidRPr="004D295E" w:rsidTr="004650BC">
        <w:trPr>
          <w:trHeight w:val="255"/>
          <w:jc w:val="center"/>
        </w:trPr>
        <w:tc>
          <w:tcPr>
            <w:tcW w:w="1255" w:type="pct"/>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Tvorba hrubého fixného kapitálu</w:t>
            </w:r>
          </w:p>
        </w:tc>
        <w:tc>
          <w:tcPr>
            <w:tcW w:w="5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sz w:val="12"/>
                <w:szCs w:val="12"/>
                <w:lang w:eastAsia="sk-SK"/>
              </w:rPr>
            </w:pPr>
            <w:r w:rsidRPr="004D295E">
              <w:rPr>
                <w:rFonts w:ascii="Times New Roman" w:hAnsi="Times New Roman" w:cs="Times New Roman"/>
                <w:sz w:val="12"/>
                <w:szCs w:val="12"/>
                <w:lang w:eastAsia="sk-SK"/>
              </w:rPr>
              <w:t>P.51G</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2 599,6</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2 699,0</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2 163,3</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2 854,7</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2 311,7</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2 566,0</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2 926,8</w:t>
            </w:r>
          </w:p>
        </w:tc>
      </w:tr>
      <w:tr w:rsidR="00655B0D" w:rsidRPr="004D295E" w:rsidTr="004650BC">
        <w:trPr>
          <w:trHeight w:val="255"/>
          <w:jc w:val="center"/>
        </w:trPr>
        <w:tc>
          <w:tcPr>
            <w:tcW w:w="1255" w:type="pct"/>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Kapitálové transfery</w:t>
            </w:r>
          </w:p>
        </w:tc>
        <w:tc>
          <w:tcPr>
            <w:tcW w:w="5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center"/>
              <w:rPr>
                <w:rFonts w:ascii="Times New Roman" w:hAnsi="Times New Roman" w:cs="Times New Roman"/>
                <w:sz w:val="12"/>
                <w:szCs w:val="12"/>
                <w:lang w:eastAsia="sk-SK"/>
              </w:rPr>
            </w:pPr>
            <w:r w:rsidRPr="004D295E">
              <w:rPr>
                <w:rFonts w:ascii="Times New Roman" w:hAnsi="Times New Roman" w:cs="Times New Roman"/>
                <w:sz w:val="12"/>
                <w:szCs w:val="12"/>
                <w:lang w:eastAsia="sk-SK"/>
              </w:rPr>
              <w:t>D.9P</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343,5</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173,1</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229,0</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505,7</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194,1</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200,9</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155,5</w:t>
            </w:r>
          </w:p>
        </w:tc>
      </w:tr>
      <w:tr w:rsidR="00655B0D" w:rsidRPr="004D295E" w:rsidTr="004650BC">
        <w:trPr>
          <w:trHeight w:val="255"/>
          <w:jc w:val="center"/>
        </w:trPr>
        <w:tc>
          <w:tcPr>
            <w:tcW w:w="1255" w:type="pct"/>
            <w:tcBorders>
              <w:top w:val="nil"/>
              <w:left w:val="single" w:sz="4" w:space="0" w:color="auto"/>
              <w:bottom w:val="single" w:sz="4" w:space="0" w:color="auto"/>
              <w:right w:val="single" w:sz="4" w:space="0" w:color="auto"/>
            </w:tcBorders>
            <w:shd w:val="clear" w:color="auto" w:fill="auto"/>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Iné</w:t>
            </w:r>
          </w:p>
        </w:tc>
        <w:tc>
          <w:tcPr>
            <w:tcW w:w="556" w:type="pct"/>
            <w:tcBorders>
              <w:top w:val="nil"/>
              <w:left w:val="nil"/>
              <w:bottom w:val="single" w:sz="4" w:space="0" w:color="auto"/>
              <w:right w:val="single" w:sz="4" w:space="0" w:color="auto"/>
            </w:tcBorders>
            <w:shd w:val="clear" w:color="auto" w:fill="auto"/>
            <w:vAlign w:val="center"/>
            <w:hideMark/>
          </w:tcPr>
          <w:p w:rsidR="00655B0D" w:rsidRPr="004D295E" w:rsidRDefault="00655B0D" w:rsidP="004650BC">
            <w:pPr>
              <w:jc w:val="center"/>
              <w:rPr>
                <w:rFonts w:ascii="Times New Roman" w:hAnsi="Times New Roman" w:cs="Times New Roman"/>
                <w:sz w:val="12"/>
                <w:szCs w:val="12"/>
                <w:lang w:eastAsia="sk-SK"/>
              </w:rPr>
            </w:pPr>
            <w:r w:rsidRPr="004D295E">
              <w:rPr>
                <w:rFonts w:ascii="Times New Roman" w:hAnsi="Times New Roman" w:cs="Times New Roman"/>
                <w:sz w:val="12"/>
                <w:szCs w:val="12"/>
                <w:lang w:eastAsia="sk-SK"/>
              </w:rPr>
              <w:t>D.2P+(D.4-D.41)+D.5P+D.7+P.5M+NP+D.8</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1 633,6</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1 368,1</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1 856,8</w:t>
            </w:r>
          </w:p>
        </w:tc>
        <w:tc>
          <w:tcPr>
            <w:tcW w:w="456"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1 518,5</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5316B0">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1 9</w:t>
            </w:r>
            <w:r w:rsidR="005316B0">
              <w:rPr>
                <w:rFonts w:ascii="Times New Roman" w:hAnsi="Times New Roman" w:cs="Times New Roman"/>
                <w:color w:val="000000"/>
                <w:sz w:val="14"/>
                <w:szCs w:val="14"/>
                <w:lang w:eastAsia="sk-SK"/>
              </w:rPr>
              <w:t>88</w:t>
            </w:r>
            <w:r w:rsidRPr="004D295E">
              <w:rPr>
                <w:rFonts w:ascii="Times New Roman" w:hAnsi="Times New Roman" w:cs="Times New Roman"/>
                <w:color w:val="000000"/>
                <w:sz w:val="14"/>
                <w:szCs w:val="14"/>
                <w:lang w:eastAsia="sk-SK"/>
              </w:rPr>
              <w:t>,</w:t>
            </w:r>
            <w:r w:rsidR="005316B0">
              <w:rPr>
                <w:rFonts w:ascii="Times New Roman" w:hAnsi="Times New Roman" w:cs="Times New Roman"/>
                <w:color w:val="000000"/>
                <w:sz w:val="14"/>
                <w:szCs w:val="14"/>
                <w:lang w:eastAsia="sk-SK"/>
              </w:rPr>
              <w:t>5</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2 520,8</w:t>
            </w:r>
          </w:p>
        </w:tc>
        <w:tc>
          <w:tcPr>
            <w:tcW w:w="455" w:type="pct"/>
            <w:tcBorders>
              <w:top w:val="nil"/>
              <w:left w:val="nil"/>
              <w:bottom w:val="single" w:sz="4" w:space="0" w:color="auto"/>
              <w:right w:val="single" w:sz="4" w:space="0" w:color="auto"/>
            </w:tcBorders>
            <w:shd w:val="clear" w:color="auto" w:fill="auto"/>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2 684,5</w:t>
            </w:r>
          </w:p>
        </w:tc>
      </w:tr>
      <w:tr w:rsidR="00655B0D" w:rsidRPr="004D295E" w:rsidTr="005A1FF1">
        <w:trPr>
          <w:trHeight w:val="255"/>
          <w:jc w:val="center"/>
        </w:trPr>
        <w:tc>
          <w:tcPr>
            <w:tcW w:w="1255"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Čisté pôžičky poskytnuté / prijaté</w:t>
            </w:r>
          </w:p>
        </w:tc>
        <w:tc>
          <w:tcPr>
            <w:tcW w:w="5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center"/>
              <w:rPr>
                <w:rFonts w:ascii="Times New Roman" w:hAnsi="Times New Roman" w:cs="Times New Roman"/>
                <w:b/>
                <w:bCs/>
                <w:sz w:val="12"/>
                <w:szCs w:val="12"/>
                <w:lang w:eastAsia="sk-SK"/>
              </w:rPr>
            </w:pPr>
            <w:r w:rsidRPr="004D295E">
              <w:rPr>
                <w:rFonts w:ascii="Times New Roman" w:hAnsi="Times New Roman" w:cs="Times New Roman"/>
                <w:b/>
                <w:bCs/>
                <w:sz w:val="12"/>
                <w:szCs w:val="12"/>
                <w:lang w:eastAsia="sk-SK"/>
              </w:rPr>
              <w:t>B.9</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-1 804,7</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-659,3</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-742,8</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-543,0</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-96,9</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0,0</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218,5</w:t>
            </w:r>
          </w:p>
        </w:tc>
      </w:tr>
      <w:tr w:rsidR="00655B0D" w:rsidRPr="004D295E" w:rsidTr="005A1FF1">
        <w:trPr>
          <w:trHeight w:val="255"/>
          <w:jc w:val="center"/>
        </w:trPr>
        <w:tc>
          <w:tcPr>
            <w:tcW w:w="1255"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rPr>
                <w:rFonts w:ascii="Times New Roman" w:hAnsi="Times New Roman" w:cs="Times New Roman"/>
                <w:b/>
                <w:bCs/>
                <w:sz w:val="14"/>
                <w:szCs w:val="14"/>
                <w:lang w:eastAsia="sk-SK"/>
              </w:rPr>
            </w:pPr>
            <w:r w:rsidRPr="004D295E">
              <w:rPr>
                <w:rFonts w:ascii="Times New Roman" w:hAnsi="Times New Roman" w:cs="Times New Roman"/>
                <w:b/>
                <w:bCs/>
                <w:sz w:val="14"/>
                <w:szCs w:val="14"/>
                <w:lang w:eastAsia="sk-SK"/>
              </w:rPr>
              <w:t xml:space="preserve"> - v % HDP</w:t>
            </w:r>
          </w:p>
        </w:tc>
        <w:tc>
          <w:tcPr>
            <w:tcW w:w="5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center"/>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 </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-2,22</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-0,78</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-0,83</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-0,60</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-0,10</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0,00</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b/>
                <w:bCs/>
                <w:color w:val="000000"/>
                <w:sz w:val="14"/>
                <w:szCs w:val="14"/>
                <w:lang w:eastAsia="sk-SK"/>
              </w:rPr>
            </w:pPr>
            <w:r w:rsidRPr="004D295E">
              <w:rPr>
                <w:rFonts w:ascii="Times New Roman" w:hAnsi="Times New Roman" w:cs="Times New Roman"/>
                <w:b/>
                <w:bCs/>
                <w:color w:val="000000"/>
                <w:sz w:val="14"/>
                <w:szCs w:val="14"/>
                <w:lang w:eastAsia="sk-SK"/>
              </w:rPr>
              <w:t>0,20</w:t>
            </w:r>
          </w:p>
        </w:tc>
      </w:tr>
      <w:tr w:rsidR="00655B0D" w:rsidRPr="004D295E" w:rsidTr="005A1FF1">
        <w:trPr>
          <w:trHeight w:val="255"/>
          <w:jc w:val="center"/>
        </w:trPr>
        <w:tc>
          <w:tcPr>
            <w:tcW w:w="1255"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rPr>
                <w:rFonts w:ascii="Times New Roman" w:hAnsi="Times New Roman" w:cs="Times New Roman"/>
                <w:sz w:val="14"/>
                <w:szCs w:val="14"/>
                <w:lang w:eastAsia="sk-SK"/>
              </w:rPr>
            </w:pPr>
            <w:r w:rsidRPr="004D295E">
              <w:rPr>
                <w:rFonts w:ascii="Times New Roman" w:hAnsi="Times New Roman" w:cs="Times New Roman"/>
                <w:sz w:val="14"/>
                <w:szCs w:val="14"/>
                <w:lang w:eastAsia="sk-SK"/>
              </w:rPr>
              <w:t>HDP (v b. c. v mil. eur)</w:t>
            </w:r>
          </w:p>
        </w:tc>
        <w:tc>
          <w:tcPr>
            <w:tcW w:w="5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center"/>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 </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81 226,1</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84 850,9</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89 495,3</w:t>
            </w:r>
          </w:p>
        </w:tc>
        <w:tc>
          <w:tcPr>
            <w:tcW w:w="456"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90 463,6</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96 890,4</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103 188,6</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655B0D" w:rsidRPr="004D295E" w:rsidRDefault="00655B0D" w:rsidP="004650BC">
            <w:pPr>
              <w:jc w:val="right"/>
              <w:rPr>
                <w:rFonts w:ascii="Times New Roman" w:hAnsi="Times New Roman" w:cs="Times New Roman"/>
                <w:color w:val="000000"/>
                <w:sz w:val="14"/>
                <w:szCs w:val="14"/>
                <w:lang w:eastAsia="sk-SK"/>
              </w:rPr>
            </w:pPr>
            <w:r w:rsidRPr="004D295E">
              <w:rPr>
                <w:rFonts w:ascii="Times New Roman" w:hAnsi="Times New Roman" w:cs="Times New Roman"/>
                <w:color w:val="000000"/>
                <w:sz w:val="14"/>
                <w:szCs w:val="14"/>
                <w:lang w:eastAsia="sk-SK"/>
              </w:rPr>
              <w:t>109 272,9</w:t>
            </w:r>
          </w:p>
        </w:tc>
      </w:tr>
    </w:tbl>
    <w:p w:rsidR="00655B0D" w:rsidRPr="00416F16" w:rsidRDefault="00655B0D" w:rsidP="00655B0D">
      <w:pPr>
        <w:jc w:val="both"/>
        <w:rPr>
          <w:rFonts w:ascii="Times New Roman" w:hAnsi="Times New Roman"/>
          <w:color w:val="0070C0"/>
          <w:sz w:val="16"/>
          <w:szCs w:val="16"/>
          <w:highlight w:val="red"/>
        </w:rPr>
      </w:pPr>
    </w:p>
    <w:p w:rsidR="00655B0D" w:rsidRDefault="00655B0D" w:rsidP="00655B0D"/>
    <w:p w:rsidR="006426C8" w:rsidRDefault="006426C8" w:rsidP="005D6597">
      <w:pPr>
        <w:tabs>
          <w:tab w:val="left" w:pos="0"/>
        </w:tabs>
        <w:jc w:val="both"/>
        <w:rPr>
          <w:rFonts w:ascii="Times New Roman" w:hAnsi="Times New Roman"/>
          <w:b/>
          <w:bCs/>
          <w:color w:val="0070C0"/>
        </w:rPr>
      </w:pPr>
    </w:p>
    <w:p w:rsidR="00CB38CE" w:rsidRPr="00AE239D" w:rsidRDefault="00CB38CE" w:rsidP="00CB38CE">
      <w:pPr>
        <w:pStyle w:val="Nadpis2"/>
        <w:spacing w:before="0" w:after="0"/>
        <w:rPr>
          <w:rFonts w:ascii="Times New Roman" w:hAnsi="Times New Roman"/>
          <w:i w:val="0"/>
          <w:iCs w:val="0"/>
          <w:sz w:val="24"/>
          <w:szCs w:val="24"/>
        </w:rPr>
      </w:pPr>
      <w:bookmarkStart w:id="30" w:name="_Toc526273181"/>
      <w:r w:rsidRPr="00AE239D">
        <w:rPr>
          <w:rFonts w:ascii="Times New Roman" w:hAnsi="Times New Roman"/>
          <w:i w:val="0"/>
          <w:iCs w:val="0"/>
          <w:sz w:val="24"/>
          <w:szCs w:val="24"/>
        </w:rPr>
        <w:lastRenderedPageBreak/>
        <w:t>2.5. Dlh verejnej správy</w:t>
      </w:r>
      <w:bookmarkEnd w:id="30"/>
      <w:r w:rsidRPr="00AE239D">
        <w:rPr>
          <w:rFonts w:ascii="Times New Roman" w:hAnsi="Times New Roman"/>
          <w:i w:val="0"/>
          <w:iCs w:val="0"/>
          <w:sz w:val="24"/>
          <w:szCs w:val="24"/>
        </w:rPr>
        <w:t xml:space="preserve">       </w:t>
      </w:r>
    </w:p>
    <w:bookmarkEnd w:id="21"/>
    <w:p w:rsidR="00033975" w:rsidRDefault="00033975" w:rsidP="00033975">
      <w:pPr>
        <w:spacing w:before="240" w:after="240"/>
        <w:ind w:firstLine="708"/>
        <w:jc w:val="both"/>
        <w:rPr>
          <w:szCs w:val="22"/>
        </w:rPr>
      </w:pPr>
      <w:r w:rsidRPr="002B3C31">
        <w:rPr>
          <w:rFonts w:ascii="Times New Roman" w:hAnsi="Times New Roman" w:cs="Times New Roman"/>
        </w:rPr>
        <w:t>Hrubý dlh verejnej správy</w:t>
      </w:r>
      <w:r w:rsidRPr="002B3C31">
        <w:rPr>
          <w:rFonts w:ascii="Times New Roman" w:hAnsi="Times New Roman" w:cs="Times New Roman"/>
          <w:vertAlign w:val="superscript"/>
        </w:rPr>
        <w:footnoteReference w:id="5"/>
      </w:r>
      <w:r w:rsidRPr="002B3C31">
        <w:rPr>
          <w:rFonts w:ascii="Times New Roman" w:hAnsi="Times New Roman" w:cs="Times New Roman"/>
        </w:rPr>
        <w:t xml:space="preserve"> dosiahol ku koncu roka 201</w:t>
      </w:r>
      <w:r>
        <w:rPr>
          <w:rFonts w:ascii="Times New Roman" w:hAnsi="Times New Roman" w:cs="Times New Roman"/>
        </w:rPr>
        <w:t>7 úroveň 50</w:t>
      </w:r>
      <w:r w:rsidRPr="002B3C31">
        <w:rPr>
          <w:rFonts w:ascii="Times New Roman" w:hAnsi="Times New Roman" w:cs="Times New Roman"/>
        </w:rPr>
        <w:t>,</w:t>
      </w:r>
      <w:r>
        <w:rPr>
          <w:rFonts w:ascii="Times New Roman" w:hAnsi="Times New Roman" w:cs="Times New Roman"/>
        </w:rPr>
        <w:t>9</w:t>
      </w:r>
      <w:r w:rsidRPr="002B3C31">
        <w:rPr>
          <w:rFonts w:ascii="Times New Roman" w:hAnsi="Times New Roman" w:cs="Times New Roman"/>
        </w:rPr>
        <w:t xml:space="preserve"> % HDP. </w:t>
      </w:r>
      <w:r>
        <w:rPr>
          <w:rFonts w:ascii="Times New Roman" w:hAnsi="Times New Roman" w:cs="Times New Roman"/>
        </w:rPr>
        <w:t>Oproti roku 2016</w:t>
      </w:r>
      <w:r w:rsidRPr="002B3C31">
        <w:rPr>
          <w:rFonts w:ascii="Times New Roman" w:hAnsi="Times New Roman" w:cs="Times New Roman"/>
        </w:rPr>
        <w:t xml:space="preserve"> </w:t>
      </w:r>
      <w:r w:rsidRPr="00023426">
        <w:rPr>
          <w:rFonts w:ascii="Times New Roman" w:hAnsi="Times New Roman" w:cs="Times New Roman"/>
        </w:rPr>
        <w:t xml:space="preserve">došlo k medziročnému zníženiu dlhu v pomere k HDP o 0,8 p.b. </w:t>
      </w:r>
      <w:r w:rsidRPr="00023426">
        <w:rPr>
          <w:rFonts w:ascii="Times New Roman" w:hAnsi="Times New Roman" w:cs="Times New Roman"/>
          <w:szCs w:val="22"/>
        </w:rPr>
        <w:t>Na pokles dlhu v pomere k HDP v roku 2017 pozitívne vplývali najmä dosiahnutie historicky prvého prebytku primárneho salda</w:t>
      </w:r>
      <w:r w:rsidRPr="00F25112">
        <w:rPr>
          <w:rStyle w:val="Odkaznapoznmkupodiarou"/>
          <w:rFonts w:ascii="Times New Roman" w:hAnsi="Times New Roman"/>
          <w:szCs w:val="22"/>
        </w:rPr>
        <w:footnoteReference w:id="6"/>
      </w:r>
      <w:r w:rsidRPr="00023426">
        <w:rPr>
          <w:rFonts w:ascii="Times New Roman" w:hAnsi="Times New Roman" w:cs="Times New Roman"/>
          <w:szCs w:val="22"/>
        </w:rPr>
        <w:t xml:space="preserve"> a pokračovanie rastu ekonomiky Slovenska, aj za pomoci obnovenia inflačného vývoja.</w:t>
      </w:r>
      <w:r w:rsidRPr="008B7B8B">
        <w:rPr>
          <w:szCs w:val="22"/>
        </w:rPr>
        <w:t xml:space="preserve"> </w:t>
      </w:r>
    </w:p>
    <w:p w:rsidR="00033975" w:rsidRPr="00023426" w:rsidRDefault="00033975" w:rsidP="00033975">
      <w:pPr>
        <w:spacing w:before="240" w:after="240"/>
        <w:ind w:firstLine="708"/>
        <w:jc w:val="both"/>
        <w:rPr>
          <w:rFonts w:ascii="Times New Roman" w:hAnsi="Times New Roman" w:cs="Times New Roman"/>
          <w:szCs w:val="22"/>
        </w:rPr>
      </w:pPr>
      <w:r w:rsidRPr="00C96BFD">
        <w:rPr>
          <w:rFonts w:ascii="Times New Roman" w:hAnsi="Times New Roman" w:cs="Times New Roman"/>
        </w:rPr>
        <w:t>Predpokladaná výška hrubého dlhu na rok 201</w:t>
      </w:r>
      <w:r>
        <w:rPr>
          <w:rFonts w:ascii="Times New Roman" w:hAnsi="Times New Roman" w:cs="Times New Roman"/>
        </w:rPr>
        <w:t>8</w:t>
      </w:r>
      <w:r w:rsidRPr="00C96BFD">
        <w:rPr>
          <w:rFonts w:ascii="Times New Roman" w:hAnsi="Times New Roman" w:cs="Times New Roman"/>
        </w:rPr>
        <w:t xml:space="preserve"> sa na základe aktuálnych predpokladov  </w:t>
      </w:r>
      <w:r>
        <w:rPr>
          <w:rFonts w:ascii="Times New Roman" w:hAnsi="Times New Roman" w:cs="Times New Roman"/>
        </w:rPr>
        <w:t>nachádza na úrovni 48</w:t>
      </w:r>
      <w:r w:rsidRPr="00C96BFD">
        <w:rPr>
          <w:rFonts w:ascii="Times New Roman" w:hAnsi="Times New Roman" w:cs="Times New Roman"/>
        </w:rPr>
        <w:t>,</w:t>
      </w:r>
      <w:r>
        <w:rPr>
          <w:rFonts w:ascii="Times New Roman" w:hAnsi="Times New Roman" w:cs="Times New Roman"/>
        </w:rPr>
        <w:t>7</w:t>
      </w:r>
      <w:r w:rsidRPr="00C96BFD">
        <w:rPr>
          <w:rFonts w:ascii="Times New Roman" w:hAnsi="Times New Roman" w:cs="Times New Roman"/>
        </w:rPr>
        <w:t xml:space="preserve"> % HDP. </w:t>
      </w:r>
      <w:r w:rsidRPr="00023426">
        <w:rPr>
          <w:rFonts w:ascii="Times New Roman" w:hAnsi="Times New Roman" w:cs="Times New Roman"/>
          <w:szCs w:val="22"/>
        </w:rPr>
        <w:t xml:space="preserve">Hrubý dlh verejnej správy by </w:t>
      </w:r>
      <w:r>
        <w:rPr>
          <w:rFonts w:ascii="Times New Roman" w:hAnsi="Times New Roman" w:cs="Times New Roman"/>
          <w:szCs w:val="22"/>
        </w:rPr>
        <w:t xml:space="preserve">tak </w:t>
      </w:r>
      <w:r w:rsidRPr="00023426">
        <w:rPr>
          <w:rFonts w:ascii="Times New Roman" w:hAnsi="Times New Roman" w:cs="Times New Roman"/>
          <w:szCs w:val="22"/>
        </w:rPr>
        <w:t xml:space="preserve">mohol klesnúť pod </w:t>
      </w:r>
      <w:r>
        <w:rPr>
          <w:rFonts w:ascii="Times New Roman" w:hAnsi="Times New Roman" w:cs="Times New Roman"/>
          <w:szCs w:val="22"/>
        </w:rPr>
        <w:t>dolné</w:t>
      </w:r>
      <w:r w:rsidRPr="00023426">
        <w:rPr>
          <w:rFonts w:ascii="Times New Roman" w:hAnsi="Times New Roman" w:cs="Times New Roman"/>
          <w:szCs w:val="22"/>
        </w:rPr>
        <w:t xml:space="preserve"> sankčné pásm</w:t>
      </w:r>
      <w:r>
        <w:rPr>
          <w:rFonts w:ascii="Times New Roman" w:hAnsi="Times New Roman" w:cs="Times New Roman"/>
          <w:szCs w:val="22"/>
        </w:rPr>
        <w:t>o u</w:t>
      </w:r>
      <w:r w:rsidR="000C11DC">
        <w:rPr>
          <w:rFonts w:ascii="Times New Roman" w:hAnsi="Times New Roman" w:cs="Times New Roman"/>
          <w:szCs w:val="22"/>
        </w:rPr>
        <w:t>ž v roku 2018 a udržať sa pod ní</w:t>
      </w:r>
      <w:r>
        <w:rPr>
          <w:rFonts w:ascii="Times New Roman" w:hAnsi="Times New Roman" w:cs="Times New Roman"/>
          <w:szCs w:val="22"/>
        </w:rPr>
        <w:t>m</w:t>
      </w:r>
      <w:r w:rsidRPr="00023426">
        <w:rPr>
          <w:rFonts w:ascii="Times New Roman" w:hAnsi="Times New Roman" w:cs="Times New Roman"/>
          <w:szCs w:val="22"/>
        </w:rPr>
        <w:t xml:space="preserve"> na celom horizonte rozpočtu.</w:t>
      </w:r>
      <w:r>
        <w:rPr>
          <w:rFonts w:ascii="Times New Roman" w:hAnsi="Times New Roman" w:cs="Times New Roman"/>
          <w:szCs w:val="22"/>
        </w:rPr>
        <w:t xml:space="preserve"> Hlavným</w:t>
      </w:r>
      <w:r w:rsidRPr="00023426">
        <w:rPr>
          <w:rFonts w:ascii="Times New Roman" w:hAnsi="Times New Roman" w:cs="Times New Roman"/>
          <w:szCs w:val="22"/>
        </w:rPr>
        <w:t xml:space="preserve"> dôvodom medziročného poklesu hrubého dlhu je ďalej zrýchľujúci sa rast HDP a</w:t>
      </w:r>
      <w:r>
        <w:rPr>
          <w:rFonts w:ascii="Times New Roman" w:hAnsi="Times New Roman" w:cs="Times New Roman"/>
          <w:szCs w:val="22"/>
        </w:rPr>
        <w:t> pokračujúci primárny prebytok hospodárenia verejnej správy.</w:t>
      </w:r>
    </w:p>
    <w:p w:rsidR="00033975" w:rsidRPr="00F25112" w:rsidRDefault="00033975" w:rsidP="00033975">
      <w:pPr>
        <w:spacing w:before="240" w:after="240"/>
        <w:ind w:firstLine="708"/>
        <w:jc w:val="both"/>
        <w:rPr>
          <w:rFonts w:ascii="Times New Roman" w:hAnsi="Times New Roman" w:cs="Times New Roman"/>
          <w:szCs w:val="22"/>
        </w:rPr>
      </w:pPr>
      <w:r>
        <w:rPr>
          <w:rFonts w:ascii="Times New Roman" w:hAnsi="Times New Roman" w:cs="Times New Roman"/>
        </w:rPr>
        <w:t>Návrh rozpočtu verejnej správy</w:t>
      </w:r>
      <w:r w:rsidRPr="00F25112">
        <w:rPr>
          <w:rFonts w:ascii="Times New Roman" w:hAnsi="Times New Roman" w:cs="Times New Roman"/>
        </w:rPr>
        <w:t xml:space="preserve"> na roky 2019 až 2021 predpokladá, že hrubý dlh verejnej správy bude </w:t>
      </w:r>
      <w:r>
        <w:rPr>
          <w:rFonts w:ascii="Times New Roman" w:hAnsi="Times New Roman" w:cs="Times New Roman"/>
        </w:rPr>
        <w:t>klesať o ďalšie takmer 4 p.b. HDP. P</w:t>
      </w:r>
      <w:r w:rsidRPr="00F25112">
        <w:rPr>
          <w:rFonts w:ascii="Times New Roman" w:hAnsi="Times New Roman" w:cs="Times New Roman"/>
          <w:szCs w:val="22"/>
        </w:rPr>
        <w:t xml:space="preserve">redpokladá </w:t>
      </w:r>
      <w:r>
        <w:rPr>
          <w:rFonts w:ascii="Times New Roman" w:hAnsi="Times New Roman" w:cs="Times New Roman"/>
          <w:szCs w:val="22"/>
        </w:rPr>
        <w:t>sa nárast</w:t>
      </w:r>
      <w:r w:rsidRPr="00F25112">
        <w:rPr>
          <w:rFonts w:ascii="Times New Roman" w:hAnsi="Times New Roman" w:cs="Times New Roman"/>
          <w:szCs w:val="22"/>
        </w:rPr>
        <w:t xml:space="preserve"> primárneho prebytku</w:t>
      </w:r>
      <w:r>
        <w:rPr>
          <w:rFonts w:ascii="Times New Roman" w:hAnsi="Times New Roman" w:cs="Times New Roman"/>
          <w:szCs w:val="22"/>
        </w:rPr>
        <w:t xml:space="preserve"> a dosiahnutie celkovo vyrovnaných verejných financií po roku 2019</w:t>
      </w:r>
      <w:r w:rsidRPr="00F25112">
        <w:rPr>
          <w:rFonts w:ascii="Times New Roman" w:hAnsi="Times New Roman" w:cs="Times New Roman"/>
          <w:szCs w:val="22"/>
        </w:rPr>
        <w:t xml:space="preserve">. </w:t>
      </w:r>
      <w:r>
        <w:rPr>
          <w:rFonts w:ascii="Times New Roman" w:hAnsi="Times New Roman" w:cs="Times New Roman"/>
          <w:szCs w:val="22"/>
        </w:rPr>
        <w:t>K</w:t>
      </w:r>
      <w:r w:rsidRPr="00F25112">
        <w:rPr>
          <w:rFonts w:ascii="Times New Roman" w:hAnsi="Times New Roman" w:cs="Times New Roman"/>
          <w:szCs w:val="22"/>
        </w:rPr>
        <w:t xml:space="preserve"> poklesu dlhu </w:t>
      </w:r>
      <w:r>
        <w:rPr>
          <w:rFonts w:ascii="Times New Roman" w:hAnsi="Times New Roman" w:cs="Times New Roman"/>
          <w:szCs w:val="22"/>
        </w:rPr>
        <w:t>prispeje aj</w:t>
      </w:r>
      <w:r w:rsidRPr="00F25112">
        <w:rPr>
          <w:rFonts w:ascii="Times New Roman" w:hAnsi="Times New Roman" w:cs="Times New Roman"/>
          <w:szCs w:val="22"/>
        </w:rPr>
        <w:t xml:space="preserve"> akcelerujúc</w:t>
      </w:r>
      <w:r>
        <w:rPr>
          <w:rFonts w:ascii="Times New Roman" w:hAnsi="Times New Roman" w:cs="Times New Roman"/>
          <w:szCs w:val="22"/>
        </w:rPr>
        <w:t>i</w:t>
      </w:r>
      <w:r w:rsidRPr="00F25112">
        <w:rPr>
          <w:rFonts w:ascii="Times New Roman" w:hAnsi="Times New Roman" w:cs="Times New Roman"/>
          <w:szCs w:val="22"/>
        </w:rPr>
        <w:t xml:space="preserve"> reáln</w:t>
      </w:r>
      <w:r>
        <w:rPr>
          <w:rFonts w:ascii="Times New Roman" w:hAnsi="Times New Roman" w:cs="Times New Roman"/>
          <w:szCs w:val="22"/>
        </w:rPr>
        <w:t>y</w:t>
      </w:r>
      <w:r w:rsidRPr="00F25112">
        <w:rPr>
          <w:rFonts w:ascii="Times New Roman" w:hAnsi="Times New Roman" w:cs="Times New Roman"/>
          <w:szCs w:val="22"/>
        </w:rPr>
        <w:t xml:space="preserve"> rast</w:t>
      </w:r>
      <w:r>
        <w:rPr>
          <w:rFonts w:ascii="Times New Roman" w:hAnsi="Times New Roman" w:cs="Times New Roman"/>
          <w:szCs w:val="22"/>
        </w:rPr>
        <w:t xml:space="preserve"> HDP nad 4 % a rast cenovej hladiny nad inflačný</w:t>
      </w:r>
      <w:r w:rsidRPr="00F25112">
        <w:rPr>
          <w:rFonts w:ascii="Times New Roman" w:hAnsi="Times New Roman" w:cs="Times New Roman"/>
          <w:szCs w:val="22"/>
        </w:rPr>
        <w:t xml:space="preserve"> cieľ Európskej centrálnej banky. V roku 2021 sa prognózuje hrubý dlh verejnej správy vo výške 44,8 % HDP (1,2 p.b. pod </w:t>
      </w:r>
      <w:r>
        <w:rPr>
          <w:rFonts w:ascii="Times New Roman" w:hAnsi="Times New Roman" w:cs="Times New Roman"/>
          <w:szCs w:val="22"/>
        </w:rPr>
        <w:t>dolným</w:t>
      </w:r>
      <w:r w:rsidRPr="00F25112">
        <w:rPr>
          <w:rFonts w:ascii="Times New Roman" w:hAnsi="Times New Roman" w:cs="Times New Roman"/>
          <w:szCs w:val="22"/>
        </w:rPr>
        <w:t xml:space="preserve"> sankčným pásmom). </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2"/>
        <w:gridCol w:w="950"/>
        <w:gridCol w:w="951"/>
        <w:gridCol w:w="929"/>
        <w:gridCol w:w="973"/>
        <w:gridCol w:w="951"/>
        <w:gridCol w:w="951"/>
      </w:tblGrid>
      <w:tr w:rsidR="00033975" w:rsidRPr="00722209" w:rsidTr="00B53FDF">
        <w:trPr>
          <w:trHeight w:val="227"/>
          <w:jc w:val="center"/>
        </w:trPr>
        <w:tc>
          <w:tcPr>
            <w:tcW w:w="9107" w:type="dxa"/>
            <w:gridSpan w:val="7"/>
            <w:tcBorders>
              <w:bottom w:val="single" w:sz="4" w:space="0" w:color="auto"/>
            </w:tcBorders>
            <w:shd w:val="clear" w:color="auto" w:fill="A6A6A6"/>
            <w:vAlign w:val="center"/>
            <w:hideMark/>
          </w:tcPr>
          <w:p w:rsidR="00033975" w:rsidRPr="00B74217" w:rsidRDefault="00033975" w:rsidP="00B53FDF">
            <w:pPr>
              <w:rPr>
                <w:rFonts w:ascii="Times New Roman" w:hAnsi="Times New Roman" w:cs="Times New Roman"/>
                <w:b/>
                <w:bCs/>
                <w:sz w:val="14"/>
                <w:szCs w:val="14"/>
              </w:rPr>
            </w:pPr>
            <w:r w:rsidRPr="004F1189">
              <w:rPr>
                <w:rFonts w:ascii="Times New Roman" w:hAnsi="Times New Roman" w:cs="Times New Roman"/>
                <w:b/>
                <w:bCs/>
                <w:sz w:val="14"/>
                <w:szCs w:val="14"/>
              </w:rPr>
              <w:t>Hrubý dlh verejnej správy (% HDP, stav k 31.12.)</w:t>
            </w:r>
            <w:r w:rsidRPr="00B74217">
              <w:rPr>
                <w:rFonts w:ascii="Times New Roman" w:hAnsi="Times New Roman" w:cs="Times New Roman"/>
                <w:b/>
                <w:bCs/>
                <w:sz w:val="14"/>
                <w:szCs w:val="14"/>
              </w:rPr>
              <w:t> </w:t>
            </w:r>
          </w:p>
        </w:tc>
      </w:tr>
      <w:tr w:rsidR="00033975" w:rsidRPr="00722209" w:rsidTr="00B53FDF">
        <w:trPr>
          <w:trHeight w:val="227"/>
          <w:jc w:val="center"/>
        </w:trPr>
        <w:tc>
          <w:tcPr>
            <w:tcW w:w="3402" w:type="dxa"/>
            <w:shd w:val="clear" w:color="auto" w:fill="BFBFBF"/>
            <w:noWrap/>
            <w:vAlign w:val="center"/>
            <w:hideMark/>
          </w:tcPr>
          <w:p w:rsidR="00033975" w:rsidRPr="00B74217" w:rsidRDefault="00033975" w:rsidP="00B53FDF">
            <w:pPr>
              <w:jc w:val="center"/>
              <w:rPr>
                <w:rFonts w:ascii="Times New Roman" w:hAnsi="Times New Roman" w:cs="Times New Roman"/>
                <w:b/>
                <w:bCs/>
                <w:sz w:val="14"/>
                <w:szCs w:val="14"/>
              </w:rPr>
            </w:pPr>
          </w:p>
        </w:tc>
        <w:tc>
          <w:tcPr>
            <w:tcW w:w="95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33975" w:rsidRPr="00E7390B" w:rsidRDefault="00033975" w:rsidP="00B53FDF">
            <w:pPr>
              <w:jc w:val="center"/>
              <w:rPr>
                <w:rFonts w:ascii="Times New Roman" w:hAnsi="Times New Roman" w:cs="Times New Roman"/>
                <w:b/>
                <w:bCs/>
                <w:sz w:val="14"/>
                <w:szCs w:val="14"/>
                <w:lang w:eastAsia="sk-SK"/>
              </w:rPr>
            </w:pPr>
            <w:r w:rsidRPr="00E7390B">
              <w:rPr>
                <w:rFonts w:ascii="Times New Roman" w:hAnsi="Times New Roman" w:cs="Times New Roman"/>
                <w:b/>
                <w:bCs/>
                <w:sz w:val="14"/>
                <w:szCs w:val="14"/>
              </w:rPr>
              <w:t>2016 S</w:t>
            </w:r>
          </w:p>
        </w:tc>
        <w:tc>
          <w:tcPr>
            <w:tcW w:w="951" w:type="dxa"/>
            <w:tcBorders>
              <w:top w:val="single" w:sz="4" w:space="0" w:color="auto"/>
              <w:left w:val="nil"/>
              <w:bottom w:val="single" w:sz="4" w:space="0" w:color="auto"/>
              <w:right w:val="single" w:sz="4" w:space="0" w:color="auto"/>
            </w:tcBorders>
            <w:shd w:val="clear" w:color="000000" w:fill="BFBFBF"/>
            <w:noWrap/>
            <w:vAlign w:val="center"/>
          </w:tcPr>
          <w:p w:rsidR="00033975" w:rsidRPr="00E7390B" w:rsidRDefault="00033975" w:rsidP="00B53FDF">
            <w:pPr>
              <w:jc w:val="center"/>
              <w:rPr>
                <w:rFonts w:ascii="Times New Roman" w:hAnsi="Times New Roman" w:cs="Times New Roman"/>
                <w:b/>
                <w:bCs/>
                <w:sz w:val="14"/>
                <w:szCs w:val="14"/>
              </w:rPr>
            </w:pPr>
            <w:r w:rsidRPr="00E7390B">
              <w:rPr>
                <w:rFonts w:ascii="Times New Roman" w:hAnsi="Times New Roman" w:cs="Times New Roman"/>
                <w:b/>
                <w:bCs/>
                <w:sz w:val="14"/>
                <w:szCs w:val="14"/>
              </w:rPr>
              <w:t>2017 S</w:t>
            </w:r>
          </w:p>
        </w:tc>
        <w:tc>
          <w:tcPr>
            <w:tcW w:w="929" w:type="dxa"/>
            <w:tcBorders>
              <w:top w:val="single" w:sz="4" w:space="0" w:color="auto"/>
              <w:left w:val="nil"/>
              <w:bottom w:val="single" w:sz="4" w:space="0" w:color="auto"/>
              <w:right w:val="single" w:sz="4" w:space="0" w:color="auto"/>
            </w:tcBorders>
            <w:shd w:val="clear" w:color="000000" w:fill="BFBFBF"/>
            <w:noWrap/>
            <w:vAlign w:val="center"/>
          </w:tcPr>
          <w:p w:rsidR="00033975" w:rsidRPr="00E7390B" w:rsidRDefault="00033975" w:rsidP="00B53FDF">
            <w:pPr>
              <w:jc w:val="center"/>
              <w:rPr>
                <w:rFonts w:ascii="Times New Roman" w:hAnsi="Times New Roman" w:cs="Times New Roman"/>
                <w:b/>
                <w:bCs/>
                <w:sz w:val="14"/>
                <w:szCs w:val="14"/>
              </w:rPr>
            </w:pPr>
            <w:r w:rsidRPr="00E7390B">
              <w:rPr>
                <w:rFonts w:ascii="Times New Roman" w:hAnsi="Times New Roman" w:cs="Times New Roman"/>
                <w:b/>
                <w:bCs/>
                <w:sz w:val="14"/>
                <w:szCs w:val="14"/>
              </w:rPr>
              <w:t>2018 OS</w:t>
            </w:r>
          </w:p>
        </w:tc>
        <w:tc>
          <w:tcPr>
            <w:tcW w:w="973" w:type="dxa"/>
            <w:tcBorders>
              <w:top w:val="single" w:sz="4" w:space="0" w:color="auto"/>
              <w:left w:val="nil"/>
              <w:bottom w:val="single" w:sz="4" w:space="0" w:color="auto"/>
              <w:right w:val="single" w:sz="4" w:space="0" w:color="auto"/>
            </w:tcBorders>
            <w:shd w:val="clear" w:color="000000" w:fill="BFBFBF"/>
            <w:noWrap/>
            <w:vAlign w:val="center"/>
          </w:tcPr>
          <w:p w:rsidR="00033975" w:rsidRPr="00E7390B" w:rsidRDefault="00033975" w:rsidP="00B53FDF">
            <w:pPr>
              <w:jc w:val="center"/>
              <w:rPr>
                <w:rFonts w:ascii="Times New Roman" w:hAnsi="Times New Roman" w:cs="Times New Roman"/>
                <w:b/>
                <w:bCs/>
                <w:sz w:val="14"/>
                <w:szCs w:val="14"/>
              </w:rPr>
            </w:pPr>
            <w:r w:rsidRPr="00E7390B">
              <w:rPr>
                <w:rFonts w:ascii="Times New Roman" w:hAnsi="Times New Roman" w:cs="Times New Roman"/>
                <w:b/>
                <w:bCs/>
                <w:sz w:val="14"/>
                <w:szCs w:val="14"/>
              </w:rPr>
              <w:t>2019 N</w:t>
            </w:r>
          </w:p>
        </w:tc>
        <w:tc>
          <w:tcPr>
            <w:tcW w:w="951" w:type="dxa"/>
            <w:tcBorders>
              <w:top w:val="single" w:sz="4" w:space="0" w:color="auto"/>
              <w:left w:val="nil"/>
              <w:bottom w:val="single" w:sz="4" w:space="0" w:color="auto"/>
              <w:right w:val="single" w:sz="4" w:space="0" w:color="auto"/>
            </w:tcBorders>
            <w:shd w:val="clear" w:color="000000" w:fill="BFBFBF"/>
            <w:noWrap/>
            <w:vAlign w:val="center"/>
          </w:tcPr>
          <w:p w:rsidR="00033975" w:rsidRPr="00E7390B" w:rsidRDefault="00033975" w:rsidP="00B53FDF">
            <w:pPr>
              <w:jc w:val="center"/>
              <w:rPr>
                <w:rFonts w:ascii="Times New Roman" w:hAnsi="Times New Roman" w:cs="Times New Roman"/>
                <w:b/>
                <w:bCs/>
                <w:sz w:val="14"/>
                <w:szCs w:val="14"/>
              </w:rPr>
            </w:pPr>
            <w:r w:rsidRPr="00E7390B">
              <w:rPr>
                <w:rFonts w:ascii="Times New Roman" w:hAnsi="Times New Roman" w:cs="Times New Roman"/>
                <w:b/>
                <w:bCs/>
                <w:sz w:val="14"/>
                <w:szCs w:val="14"/>
              </w:rPr>
              <w:t>2020 N</w:t>
            </w:r>
          </w:p>
        </w:tc>
        <w:tc>
          <w:tcPr>
            <w:tcW w:w="951" w:type="dxa"/>
            <w:tcBorders>
              <w:top w:val="single" w:sz="4" w:space="0" w:color="auto"/>
              <w:left w:val="nil"/>
              <w:bottom w:val="single" w:sz="4" w:space="0" w:color="auto"/>
              <w:right w:val="single" w:sz="4" w:space="0" w:color="auto"/>
            </w:tcBorders>
            <w:shd w:val="clear" w:color="000000" w:fill="BFBFBF"/>
            <w:noWrap/>
            <w:vAlign w:val="center"/>
          </w:tcPr>
          <w:p w:rsidR="00033975" w:rsidRPr="00E7390B" w:rsidRDefault="00033975" w:rsidP="00B53FDF">
            <w:pPr>
              <w:jc w:val="center"/>
              <w:rPr>
                <w:rFonts w:ascii="Times New Roman" w:hAnsi="Times New Roman" w:cs="Times New Roman"/>
                <w:b/>
                <w:bCs/>
                <w:sz w:val="14"/>
                <w:szCs w:val="14"/>
              </w:rPr>
            </w:pPr>
            <w:r w:rsidRPr="00E7390B">
              <w:rPr>
                <w:rFonts w:ascii="Times New Roman" w:hAnsi="Times New Roman" w:cs="Times New Roman"/>
                <w:b/>
                <w:bCs/>
                <w:sz w:val="14"/>
                <w:szCs w:val="14"/>
              </w:rPr>
              <w:t>2021 N</w:t>
            </w:r>
          </w:p>
        </w:tc>
      </w:tr>
      <w:tr w:rsidR="00033975" w:rsidRPr="00722209" w:rsidTr="00B53FDF">
        <w:trPr>
          <w:trHeight w:val="227"/>
          <w:jc w:val="center"/>
        </w:trPr>
        <w:tc>
          <w:tcPr>
            <w:tcW w:w="3402" w:type="dxa"/>
            <w:shd w:val="clear" w:color="auto" w:fill="auto"/>
            <w:noWrap/>
            <w:vAlign w:val="center"/>
            <w:hideMark/>
          </w:tcPr>
          <w:p w:rsidR="00033975" w:rsidRPr="00B74217" w:rsidRDefault="00033975" w:rsidP="00B53FDF">
            <w:pPr>
              <w:rPr>
                <w:rFonts w:ascii="Times New Roman" w:hAnsi="Times New Roman" w:cs="Times New Roman"/>
                <w:b/>
                <w:bCs/>
                <w:sz w:val="14"/>
                <w:szCs w:val="14"/>
              </w:rPr>
            </w:pPr>
            <w:r w:rsidRPr="00B74217">
              <w:rPr>
                <w:rFonts w:ascii="Times New Roman" w:hAnsi="Times New Roman" w:cs="Times New Roman"/>
                <w:b/>
                <w:bCs/>
                <w:sz w:val="14"/>
                <w:szCs w:val="14"/>
              </w:rPr>
              <w:t>Hrubý dlh verejnej správy</w:t>
            </w:r>
          </w:p>
        </w:tc>
        <w:tc>
          <w:tcPr>
            <w:tcW w:w="950" w:type="dxa"/>
            <w:tcBorders>
              <w:top w:val="nil"/>
              <w:left w:val="single" w:sz="4" w:space="0" w:color="auto"/>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b/>
                <w:bCs/>
                <w:sz w:val="14"/>
                <w:szCs w:val="14"/>
                <w:lang w:eastAsia="sk-SK"/>
              </w:rPr>
            </w:pPr>
            <w:r w:rsidRPr="00E7390B">
              <w:rPr>
                <w:rFonts w:ascii="Times New Roman" w:hAnsi="Times New Roman" w:cs="Times New Roman"/>
                <w:b/>
                <w:bCs/>
                <w:sz w:val="14"/>
                <w:szCs w:val="14"/>
              </w:rPr>
              <w:t>51,8</w:t>
            </w:r>
          </w:p>
        </w:tc>
        <w:tc>
          <w:tcPr>
            <w:tcW w:w="951"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b/>
                <w:bCs/>
                <w:sz w:val="14"/>
                <w:szCs w:val="14"/>
              </w:rPr>
            </w:pPr>
            <w:r w:rsidRPr="00E7390B">
              <w:rPr>
                <w:rFonts w:ascii="Times New Roman" w:hAnsi="Times New Roman" w:cs="Times New Roman"/>
                <w:b/>
                <w:bCs/>
                <w:sz w:val="14"/>
                <w:szCs w:val="14"/>
              </w:rPr>
              <w:t>50,9</w:t>
            </w:r>
          </w:p>
        </w:tc>
        <w:tc>
          <w:tcPr>
            <w:tcW w:w="929"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b/>
                <w:bCs/>
                <w:sz w:val="14"/>
                <w:szCs w:val="14"/>
              </w:rPr>
            </w:pPr>
            <w:r w:rsidRPr="00E7390B">
              <w:rPr>
                <w:rFonts w:ascii="Times New Roman" w:hAnsi="Times New Roman" w:cs="Times New Roman"/>
                <w:b/>
                <w:bCs/>
                <w:sz w:val="14"/>
                <w:szCs w:val="14"/>
              </w:rPr>
              <w:t>48,7</w:t>
            </w:r>
          </w:p>
        </w:tc>
        <w:tc>
          <w:tcPr>
            <w:tcW w:w="973"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b/>
                <w:bCs/>
                <w:sz w:val="14"/>
                <w:szCs w:val="14"/>
              </w:rPr>
            </w:pPr>
            <w:r w:rsidRPr="00E7390B">
              <w:rPr>
                <w:rFonts w:ascii="Times New Roman" w:hAnsi="Times New Roman" w:cs="Times New Roman"/>
                <w:b/>
                <w:bCs/>
                <w:sz w:val="14"/>
                <w:szCs w:val="14"/>
              </w:rPr>
              <w:t>47,3</w:t>
            </w:r>
          </w:p>
        </w:tc>
        <w:tc>
          <w:tcPr>
            <w:tcW w:w="951"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b/>
                <w:bCs/>
                <w:sz w:val="14"/>
                <w:szCs w:val="14"/>
              </w:rPr>
            </w:pPr>
            <w:r w:rsidRPr="00E7390B">
              <w:rPr>
                <w:rFonts w:ascii="Times New Roman" w:hAnsi="Times New Roman" w:cs="Times New Roman"/>
                <w:b/>
                <w:bCs/>
                <w:sz w:val="14"/>
                <w:szCs w:val="14"/>
              </w:rPr>
              <w:t>46,0</w:t>
            </w:r>
          </w:p>
        </w:tc>
        <w:tc>
          <w:tcPr>
            <w:tcW w:w="951"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b/>
                <w:bCs/>
                <w:sz w:val="14"/>
                <w:szCs w:val="14"/>
              </w:rPr>
            </w:pPr>
            <w:r w:rsidRPr="00E7390B">
              <w:rPr>
                <w:rFonts w:ascii="Times New Roman" w:hAnsi="Times New Roman" w:cs="Times New Roman"/>
                <w:b/>
                <w:bCs/>
                <w:sz w:val="14"/>
                <w:szCs w:val="14"/>
              </w:rPr>
              <w:t>44,8</w:t>
            </w:r>
          </w:p>
        </w:tc>
      </w:tr>
      <w:tr w:rsidR="00033975" w:rsidRPr="00722209" w:rsidTr="00B53FDF">
        <w:trPr>
          <w:trHeight w:val="227"/>
          <w:jc w:val="center"/>
        </w:trPr>
        <w:tc>
          <w:tcPr>
            <w:tcW w:w="3402" w:type="dxa"/>
            <w:shd w:val="clear" w:color="auto" w:fill="auto"/>
            <w:noWrap/>
            <w:vAlign w:val="center"/>
            <w:hideMark/>
          </w:tcPr>
          <w:p w:rsidR="00033975" w:rsidRPr="00B74217" w:rsidRDefault="00033975" w:rsidP="00B53FDF">
            <w:pPr>
              <w:rPr>
                <w:rFonts w:ascii="Times New Roman" w:hAnsi="Times New Roman" w:cs="Times New Roman"/>
                <w:sz w:val="14"/>
                <w:szCs w:val="14"/>
              </w:rPr>
            </w:pPr>
            <w:r w:rsidRPr="00B74217">
              <w:rPr>
                <w:rFonts w:ascii="Times New Roman" w:hAnsi="Times New Roman" w:cs="Times New Roman"/>
                <w:sz w:val="14"/>
                <w:szCs w:val="14"/>
              </w:rPr>
              <w:t xml:space="preserve">  - štátny dlh (bez vplyvu medzinár. záväzkov)</w:t>
            </w:r>
          </w:p>
        </w:tc>
        <w:tc>
          <w:tcPr>
            <w:tcW w:w="950" w:type="dxa"/>
            <w:tcBorders>
              <w:top w:val="nil"/>
              <w:left w:val="single" w:sz="4" w:space="0" w:color="auto"/>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color w:val="000000"/>
                <w:sz w:val="14"/>
                <w:szCs w:val="14"/>
              </w:rPr>
            </w:pPr>
            <w:r w:rsidRPr="00E7390B">
              <w:rPr>
                <w:rFonts w:ascii="Times New Roman" w:hAnsi="Times New Roman" w:cs="Times New Roman"/>
                <w:color w:val="000000"/>
                <w:sz w:val="14"/>
                <w:szCs w:val="14"/>
              </w:rPr>
              <w:t>47,0</w:t>
            </w:r>
          </w:p>
        </w:tc>
        <w:tc>
          <w:tcPr>
            <w:tcW w:w="951"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46,4</w:t>
            </w:r>
          </w:p>
        </w:tc>
        <w:tc>
          <w:tcPr>
            <w:tcW w:w="929"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44,4</w:t>
            </w:r>
          </w:p>
        </w:tc>
        <w:tc>
          <w:tcPr>
            <w:tcW w:w="973"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43,4</w:t>
            </w:r>
          </w:p>
        </w:tc>
        <w:tc>
          <w:tcPr>
            <w:tcW w:w="951"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42,5</w:t>
            </w:r>
          </w:p>
        </w:tc>
        <w:tc>
          <w:tcPr>
            <w:tcW w:w="951"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41,6</w:t>
            </w:r>
          </w:p>
        </w:tc>
      </w:tr>
      <w:tr w:rsidR="00033975" w:rsidRPr="00722209" w:rsidTr="00B53FDF">
        <w:trPr>
          <w:trHeight w:val="227"/>
          <w:jc w:val="center"/>
        </w:trPr>
        <w:tc>
          <w:tcPr>
            <w:tcW w:w="3402" w:type="dxa"/>
            <w:shd w:val="clear" w:color="auto" w:fill="auto"/>
            <w:noWrap/>
            <w:vAlign w:val="center"/>
            <w:hideMark/>
          </w:tcPr>
          <w:p w:rsidR="00033975" w:rsidRPr="00B74217" w:rsidRDefault="00033975" w:rsidP="00B53FDF">
            <w:pPr>
              <w:rPr>
                <w:rFonts w:ascii="Times New Roman" w:hAnsi="Times New Roman" w:cs="Times New Roman"/>
                <w:sz w:val="14"/>
                <w:szCs w:val="14"/>
              </w:rPr>
            </w:pPr>
            <w:r w:rsidRPr="00B74217">
              <w:rPr>
                <w:rFonts w:ascii="Times New Roman" w:hAnsi="Times New Roman" w:cs="Times New Roman"/>
                <w:sz w:val="14"/>
                <w:szCs w:val="14"/>
              </w:rPr>
              <w:t xml:space="preserve">  - podiel SR na dlhu EFSF</w:t>
            </w:r>
          </w:p>
        </w:tc>
        <w:tc>
          <w:tcPr>
            <w:tcW w:w="950" w:type="dxa"/>
            <w:tcBorders>
              <w:top w:val="nil"/>
              <w:left w:val="single" w:sz="4" w:space="0" w:color="auto"/>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color w:val="000000"/>
                <w:sz w:val="14"/>
                <w:szCs w:val="14"/>
              </w:rPr>
            </w:pPr>
            <w:r w:rsidRPr="00E7390B">
              <w:rPr>
                <w:rFonts w:ascii="Times New Roman" w:hAnsi="Times New Roman" w:cs="Times New Roman"/>
                <w:color w:val="000000"/>
                <w:sz w:val="14"/>
                <w:szCs w:val="14"/>
              </w:rPr>
              <w:t>2,3</w:t>
            </w:r>
          </w:p>
        </w:tc>
        <w:tc>
          <w:tcPr>
            <w:tcW w:w="951"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2,2</w:t>
            </w:r>
          </w:p>
        </w:tc>
        <w:tc>
          <w:tcPr>
            <w:tcW w:w="929"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2,1</w:t>
            </w:r>
          </w:p>
        </w:tc>
        <w:tc>
          <w:tcPr>
            <w:tcW w:w="973"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1,9</w:t>
            </w:r>
          </w:p>
        </w:tc>
        <w:tc>
          <w:tcPr>
            <w:tcW w:w="951"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1,8</w:t>
            </w:r>
          </w:p>
        </w:tc>
        <w:tc>
          <w:tcPr>
            <w:tcW w:w="951"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1,7</w:t>
            </w:r>
          </w:p>
        </w:tc>
      </w:tr>
      <w:tr w:rsidR="00033975" w:rsidRPr="00722209" w:rsidTr="00B53FDF">
        <w:trPr>
          <w:trHeight w:val="227"/>
          <w:jc w:val="center"/>
        </w:trPr>
        <w:tc>
          <w:tcPr>
            <w:tcW w:w="3402" w:type="dxa"/>
            <w:shd w:val="clear" w:color="auto" w:fill="auto"/>
            <w:noWrap/>
            <w:vAlign w:val="center"/>
            <w:hideMark/>
          </w:tcPr>
          <w:p w:rsidR="00033975" w:rsidRPr="00B74217" w:rsidRDefault="00033975" w:rsidP="00B53FDF">
            <w:pPr>
              <w:rPr>
                <w:rFonts w:ascii="Times New Roman" w:hAnsi="Times New Roman" w:cs="Times New Roman"/>
                <w:sz w:val="14"/>
                <w:szCs w:val="14"/>
              </w:rPr>
            </w:pPr>
            <w:r w:rsidRPr="00B74217">
              <w:rPr>
                <w:rFonts w:ascii="Times New Roman" w:hAnsi="Times New Roman" w:cs="Times New Roman"/>
                <w:sz w:val="14"/>
                <w:szCs w:val="14"/>
              </w:rPr>
              <w:t xml:space="preserve">  - vklad do ESM</w:t>
            </w:r>
          </w:p>
        </w:tc>
        <w:tc>
          <w:tcPr>
            <w:tcW w:w="950" w:type="dxa"/>
            <w:tcBorders>
              <w:top w:val="nil"/>
              <w:left w:val="single" w:sz="4" w:space="0" w:color="auto"/>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color w:val="000000"/>
                <w:sz w:val="14"/>
                <w:szCs w:val="14"/>
              </w:rPr>
            </w:pPr>
            <w:r w:rsidRPr="00E7390B">
              <w:rPr>
                <w:rFonts w:ascii="Times New Roman" w:hAnsi="Times New Roman" w:cs="Times New Roman"/>
                <w:color w:val="000000"/>
                <w:sz w:val="14"/>
                <w:szCs w:val="14"/>
              </w:rPr>
              <w:t>0,8</w:t>
            </w:r>
          </w:p>
        </w:tc>
        <w:tc>
          <w:tcPr>
            <w:tcW w:w="951"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0,8</w:t>
            </w:r>
          </w:p>
        </w:tc>
        <w:tc>
          <w:tcPr>
            <w:tcW w:w="929"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0,7</w:t>
            </w:r>
          </w:p>
        </w:tc>
        <w:tc>
          <w:tcPr>
            <w:tcW w:w="973"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0,7</w:t>
            </w:r>
          </w:p>
        </w:tc>
        <w:tc>
          <w:tcPr>
            <w:tcW w:w="951"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0,6</w:t>
            </w:r>
          </w:p>
        </w:tc>
        <w:tc>
          <w:tcPr>
            <w:tcW w:w="951"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0,6</w:t>
            </w:r>
          </w:p>
        </w:tc>
      </w:tr>
      <w:tr w:rsidR="00033975" w:rsidRPr="00722209" w:rsidTr="00B53FDF">
        <w:trPr>
          <w:trHeight w:val="227"/>
          <w:jc w:val="center"/>
        </w:trPr>
        <w:tc>
          <w:tcPr>
            <w:tcW w:w="3402" w:type="dxa"/>
            <w:shd w:val="clear" w:color="auto" w:fill="auto"/>
            <w:noWrap/>
            <w:vAlign w:val="center"/>
            <w:hideMark/>
          </w:tcPr>
          <w:p w:rsidR="00033975" w:rsidRPr="00B74217" w:rsidRDefault="00033975" w:rsidP="00B53FDF">
            <w:pPr>
              <w:rPr>
                <w:rFonts w:ascii="Times New Roman" w:hAnsi="Times New Roman" w:cs="Times New Roman"/>
                <w:sz w:val="14"/>
                <w:szCs w:val="14"/>
              </w:rPr>
            </w:pPr>
            <w:r w:rsidRPr="00B74217">
              <w:rPr>
                <w:rFonts w:ascii="Times New Roman" w:hAnsi="Times New Roman" w:cs="Times New Roman"/>
                <w:sz w:val="14"/>
                <w:szCs w:val="14"/>
              </w:rPr>
              <w:t xml:space="preserve">  - dlh ostatných </w:t>
            </w:r>
            <w:r>
              <w:rPr>
                <w:rFonts w:ascii="Times New Roman" w:hAnsi="Times New Roman" w:cs="Times New Roman"/>
                <w:sz w:val="14"/>
                <w:szCs w:val="14"/>
              </w:rPr>
              <w:t>subjektov</w:t>
            </w:r>
            <w:r w:rsidRPr="00B74217">
              <w:rPr>
                <w:rFonts w:ascii="Times New Roman" w:hAnsi="Times New Roman" w:cs="Times New Roman"/>
                <w:sz w:val="14"/>
                <w:szCs w:val="14"/>
              </w:rPr>
              <w:t xml:space="preserve"> verejnej správy</w:t>
            </w:r>
          </w:p>
        </w:tc>
        <w:tc>
          <w:tcPr>
            <w:tcW w:w="950" w:type="dxa"/>
            <w:tcBorders>
              <w:top w:val="nil"/>
              <w:left w:val="single" w:sz="4" w:space="0" w:color="auto"/>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color w:val="000000"/>
                <w:sz w:val="14"/>
                <w:szCs w:val="14"/>
              </w:rPr>
            </w:pPr>
            <w:r w:rsidRPr="00E7390B">
              <w:rPr>
                <w:rFonts w:ascii="Times New Roman" w:hAnsi="Times New Roman" w:cs="Times New Roman"/>
                <w:color w:val="000000"/>
                <w:sz w:val="14"/>
                <w:szCs w:val="14"/>
              </w:rPr>
              <w:t>1,7</w:t>
            </w:r>
          </w:p>
        </w:tc>
        <w:tc>
          <w:tcPr>
            <w:tcW w:w="951"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1,6</w:t>
            </w:r>
          </w:p>
        </w:tc>
        <w:tc>
          <w:tcPr>
            <w:tcW w:w="929"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1,4</w:t>
            </w:r>
          </w:p>
        </w:tc>
        <w:tc>
          <w:tcPr>
            <w:tcW w:w="973"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1,2</w:t>
            </w:r>
          </w:p>
        </w:tc>
        <w:tc>
          <w:tcPr>
            <w:tcW w:w="951"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1,0</w:t>
            </w:r>
          </w:p>
        </w:tc>
        <w:tc>
          <w:tcPr>
            <w:tcW w:w="951"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0,9</w:t>
            </w:r>
          </w:p>
        </w:tc>
      </w:tr>
      <w:tr w:rsidR="00033975" w:rsidRPr="00722209" w:rsidTr="00B53FDF">
        <w:trPr>
          <w:trHeight w:val="227"/>
          <w:jc w:val="center"/>
        </w:trPr>
        <w:tc>
          <w:tcPr>
            <w:tcW w:w="3402" w:type="dxa"/>
            <w:shd w:val="clear" w:color="auto" w:fill="auto"/>
            <w:noWrap/>
            <w:vAlign w:val="center"/>
            <w:hideMark/>
          </w:tcPr>
          <w:p w:rsidR="00033975" w:rsidRPr="00B74217" w:rsidRDefault="00033975" w:rsidP="00B53FDF">
            <w:pPr>
              <w:rPr>
                <w:rFonts w:ascii="Times New Roman" w:hAnsi="Times New Roman" w:cs="Times New Roman"/>
                <w:b/>
                <w:sz w:val="14"/>
                <w:szCs w:val="14"/>
              </w:rPr>
            </w:pPr>
            <w:r>
              <w:rPr>
                <w:rFonts w:ascii="Times New Roman" w:hAnsi="Times New Roman" w:cs="Times New Roman"/>
                <w:b/>
                <w:sz w:val="14"/>
                <w:szCs w:val="14"/>
              </w:rPr>
              <w:t xml:space="preserve">Medziročná </w:t>
            </w:r>
            <w:r w:rsidRPr="00B74217">
              <w:rPr>
                <w:rFonts w:ascii="Times New Roman" w:hAnsi="Times New Roman" w:cs="Times New Roman"/>
                <w:b/>
                <w:sz w:val="14"/>
                <w:szCs w:val="14"/>
              </w:rPr>
              <w:t>zmena hrubého dlhu</w:t>
            </w:r>
          </w:p>
        </w:tc>
        <w:tc>
          <w:tcPr>
            <w:tcW w:w="950" w:type="dxa"/>
            <w:tcBorders>
              <w:top w:val="nil"/>
              <w:left w:val="single" w:sz="4" w:space="0" w:color="auto"/>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-0,4</w:t>
            </w:r>
          </w:p>
        </w:tc>
        <w:tc>
          <w:tcPr>
            <w:tcW w:w="951"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-0,8</w:t>
            </w:r>
          </w:p>
        </w:tc>
        <w:tc>
          <w:tcPr>
            <w:tcW w:w="929"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-2,3</w:t>
            </w:r>
          </w:p>
        </w:tc>
        <w:tc>
          <w:tcPr>
            <w:tcW w:w="973"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-1,4</w:t>
            </w:r>
          </w:p>
        </w:tc>
        <w:tc>
          <w:tcPr>
            <w:tcW w:w="951"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-1,3</w:t>
            </w:r>
          </w:p>
        </w:tc>
        <w:tc>
          <w:tcPr>
            <w:tcW w:w="951" w:type="dxa"/>
            <w:tcBorders>
              <w:top w:val="nil"/>
              <w:left w:val="nil"/>
              <w:bottom w:val="single" w:sz="4" w:space="0" w:color="auto"/>
              <w:right w:val="single" w:sz="4" w:space="0" w:color="auto"/>
            </w:tcBorders>
            <w:shd w:val="clear" w:color="auto" w:fill="auto"/>
            <w:vAlign w:val="center"/>
          </w:tcPr>
          <w:p w:rsidR="00033975" w:rsidRPr="00E7390B" w:rsidRDefault="00033975" w:rsidP="00B53FDF">
            <w:pPr>
              <w:jc w:val="right"/>
              <w:rPr>
                <w:rFonts w:ascii="Times New Roman" w:hAnsi="Times New Roman" w:cs="Times New Roman"/>
                <w:sz w:val="14"/>
                <w:szCs w:val="14"/>
              </w:rPr>
            </w:pPr>
            <w:r w:rsidRPr="00E7390B">
              <w:rPr>
                <w:rFonts w:ascii="Times New Roman" w:hAnsi="Times New Roman" w:cs="Times New Roman"/>
                <w:sz w:val="14"/>
                <w:szCs w:val="14"/>
              </w:rPr>
              <w:t>-1,2</w:t>
            </w:r>
          </w:p>
        </w:tc>
      </w:tr>
      <w:tr w:rsidR="00033975" w:rsidRPr="00722209" w:rsidTr="00B53FDF">
        <w:trPr>
          <w:trHeight w:val="227"/>
          <w:jc w:val="center"/>
        </w:trPr>
        <w:tc>
          <w:tcPr>
            <w:tcW w:w="9107" w:type="dxa"/>
            <w:gridSpan w:val="7"/>
            <w:tcBorders>
              <w:top w:val="single" w:sz="4" w:space="0" w:color="auto"/>
              <w:left w:val="nil"/>
              <w:bottom w:val="nil"/>
              <w:right w:val="nil"/>
            </w:tcBorders>
            <w:shd w:val="clear" w:color="auto" w:fill="auto"/>
            <w:noWrap/>
            <w:vAlign w:val="center"/>
          </w:tcPr>
          <w:p w:rsidR="00033975" w:rsidRDefault="00033975" w:rsidP="00B53FDF">
            <w:pPr>
              <w:jc w:val="right"/>
              <w:rPr>
                <w:rFonts w:ascii="Times New Roman" w:hAnsi="Times New Roman" w:cs="Times New Roman"/>
                <w:sz w:val="14"/>
                <w:szCs w:val="14"/>
              </w:rPr>
            </w:pPr>
            <w:r w:rsidRPr="002B3C31">
              <w:rPr>
                <w:rFonts w:ascii="Times New Roman" w:hAnsi="Times New Roman" w:cs="Times New Roman"/>
                <w:i/>
                <w:sz w:val="14"/>
                <w:szCs w:val="14"/>
              </w:rPr>
              <w:t>Zdroj: MF SR</w:t>
            </w:r>
          </w:p>
          <w:p w:rsidR="00033975" w:rsidRPr="002969CC" w:rsidRDefault="00033975" w:rsidP="00B53FDF">
            <w:pPr>
              <w:jc w:val="both"/>
              <w:rPr>
                <w:rFonts w:ascii="Times New Roman" w:hAnsi="Times New Roman" w:cs="Times New Roman"/>
                <w:sz w:val="14"/>
                <w:szCs w:val="14"/>
              </w:rPr>
            </w:pPr>
            <w:r>
              <w:rPr>
                <w:rFonts w:ascii="Times New Roman" w:hAnsi="Times New Roman" w:cs="Times New Roman"/>
                <w:sz w:val="14"/>
                <w:szCs w:val="14"/>
              </w:rPr>
              <w:t xml:space="preserve">Pozn.: Prezentovaná prognóza hrubého dlhu uvažuje v prípade odhadov budúcich úrovní HDP aj so </w:t>
            </w:r>
            <w:r w:rsidRPr="002969CC">
              <w:rPr>
                <w:rFonts w:ascii="Times New Roman" w:hAnsi="Times New Roman" w:cs="Times New Roman"/>
                <w:sz w:val="14"/>
                <w:szCs w:val="14"/>
              </w:rPr>
              <w:t>spätn</w:t>
            </w:r>
            <w:r>
              <w:rPr>
                <w:rFonts w:ascii="Times New Roman" w:hAnsi="Times New Roman" w:cs="Times New Roman"/>
                <w:sz w:val="14"/>
                <w:szCs w:val="14"/>
              </w:rPr>
              <w:t>ou</w:t>
            </w:r>
            <w:r w:rsidRPr="002969CC">
              <w:rPr>
                <w:rFonts w:ascii="Times New Roman" w:hAnsi="Times New Roman" w:cs="Times New Roman"/>
                <w:sz w:val="14"/>
                <w:szCs w:val="14"/>
              </w:rPr>
              <w:t xml:space="preserve"> revízi</w:t>
            </w:r>
            <w:r w:rsidR="00907A05">
              <w:rPr>
                <w:rFonts w:ascii="Times New Roman" w:hAnsi="Times New Roman" w:cs="Times New Roman"/>
                <w:sz w:val="14"/>
                <w:szCs w:val="14"/>
              </w:rPr>
              <w:t>o</w:t>
            </w:r>
            <w:r w:rsidRPr="002969CC">
              <w:rPr>
                <w:rFonts w:ascii="Times New Roman" w:hAnsi="Times New Roman" w:cs="Times New Roman"/>
                <w:sz w:val="14"/>
                <w:szCs w:val="14"/>
              </w:rPr>
              <w:t xml:space="preserve">u </w:t>
            </w:r>
            <w:r>
              <w:rPr>
                <w:rFonts w:ascii="Times New Roman" w:hAnsi="Times New Roman" w:cs="Times New Roman"/>
                <w:sz w:val="14"/>
                <w:szCs w:val="14"/>
              </w:rPr>
              <w:t>HDP za rok 2017 (podľa očakávanej jesennej notifikácie Eurostatu).</w:t>
            </w:r>
            <w:r w:rsidRPr="002969CC">
              <w:rPr>
                <w:rFonts w:ascii="Times New Roman" w:hAnsi="Times New Roman" w:cs="Times New Roman"/>
                <w:sz w:val="14"/>
                <w:szCs w:val="14"/>
              </w:rPr>
              <w:t xml:space="preserve"> </w:t>
            </w:r>
            <w:r>
              <w:rPr>
                <w:rFonts w:ascii="Times New Roman" w:hAnsi="Times New Roman" w:cs="Times New Roman"/>
                <w:sz w:val="14"/>
                <w:szCs w:val="14"/>
              </w:rPr>
              <w:t>R</w:t>
            </w:r>
            <w:r w:rsidRPr="002969CC">
              <w:rPr>
                <w:rFonts w:ascii="Times New Roman" w:hAnsi="Times New Roman" w:cs="Times New Roman"/>
                <w:sz w:val="14"/>
                <w:szCs w:val="14"/>
              </w:rPr>
              <w:t xml:space="preserve">eťazením nominálnych </w:t>
            </w:r>
            <w:r>
              <w:rPr>
                <w:rFonts w:ascii="Times New Roman" w:hAnsi="Times New Roman" w:cs="Times New Roman"/>
                <w:sz w:val="14"/>
                <w:szCs w:val="14"/>
              </w:rPr>
              <w:t xml:space="preserve">medziročných </w:t>
            </w:r>
            <w:r w:rsidRPr="002969CC">
              <w:rPr>
                <w:rFonts w:ascii="Times New Roman" w:hAnsi="Times New Roman" w:cs="Times New Roman"/>
                <w:sz w:val="14"/>
                <w:szCs w:val="14"/>
              </w:rPr>
              <w:t xml:space="preserve">rastov HDP </w:t>
            </w:r>
            <w:r w:rsidR="007B240D">
              <w:rPr>
                <w:rFonts w:ascii="Times New Roman" w:hAnsi="Times New Roman" w:cs="Times New Roman"/>
                <w:sz w:val="14"/>
                <w:szCs w:val="14"/>
              </w:rPr>
              <w:t>na</w:t>
            </w:r>
            <w:r w:rsidRPr="002969CC">
              <w:rPr>
                <w:rFonts w:ascii="Times New Roman" w:hAnsi="Times New Roman" w:cs="Times New Roman"/>
                <w:sz w:val="14"/>
                <w:szCs w:val="14"/>
              </w:rPr>
              <w:t xml:space="preserve"> roky 201</w:t>
            </w:r>
            <w:r>
              <w:rPr>
                <w:rFonts w:ascii="Times New Roman" w:hAnsi="Times New Roman" w:cs="Times New Roman"/>
                <w:sz w:val="14"/>
                <w:szCs w:val="14"/>
              </w:rPr>
              <w:t>8 až 2021 z poslednej prognózy Výboru pre makroekonomické prognózy</w:t>
            </w:r>
            <w:r w:rsidRPr="002969CC">
              <w:rPr>
                <w:rFonts w:ascii="Times New Roman" w:hAnsi="Times New Roman" w:cs="Times New Roman"/>
                <w:sz w:val="14"/>
                <w:szCs w:val="14"/>
              </w:rPr>
              <w:t xml:space="preserve"> je </w:t>
            </w:r>
            <w:r>
              <w:rPr>
                <w:rFonts w:ascii="Times New Roman" w:hAnsi="Times New Roman" w:cs="Times New Roman"/>
                <w:sz w:val="14"/>
                <w:szCs w:val="14"/>
              </w:rPr>
              <w:t>zostavený</w:t>
            </w:r>
            <w:r w:rsidRPr="002969CC">
              <w:rPr>
                <w:rFonts w:ascii="Times New Roman" w:hAnsi="Times New Roman" w:cs="Times New Roman"/>
                <w:sz w:val="14"/>
                <w:szCs w:val="14"/>
              </w:rPr>
              <w:t xml:space="preserve"> </w:t>
            </w:r>
            <w:r>
              <w:rPr>
                <w:rFonts w:ascii="Times New Roman" w:hAnsi="Times New Roman" w:cs="Times New Roman"/>
                <w:sz w:val="14"/>
                <w:szCs w:val="14"/>
              </w:rPr>
              <w:t xml:space="preserve">revidovaný </w:t>
            </w:r>
            <w:r w:rsidRPr="002969CC">
              <w:rPr>
                <w:rFonts w:ascii="Times New Roman" w:hAnsi="Times New Roman" w:cs="Times New Roman"/>
                <w:sz w:val="14"/>
                <w:szCs w:val="14"/>
              </w:rPr>
              <w:t xml:space="preserve">časový rad </w:t>
            </w:r>
            <w:r>
              <w:rPr>
                <w:rFonts w:ascii="Times New Roman" w:hAnsi="Times New Roman" w:cs="Times New Roman"/>
                <w:sz w:val="14"/>
                <w:szCs w:val="14"/>
              </w:rPr>
              <w:t xml:space="preserve">očakávaných úrovní </w:t>
            </w:r>
            <w:r w:rsidRPr="002969CC">
              <w:rPr>
                <w:rFonts w:ascii="Times New Roman" w:hAnsi="Times New Roman" w:cs="Times New Roman"/>
                <w:sz w:val="14"/>
                <w:szCs w:val="14"/>
              </w:rPr>
              <w:t>HDP</w:t>
            </w:r>
            <w:r>
              <w:rPr>
                <w:rFonts w:ascii="Times New Roman" w:hAnsi="Times New Roman" w:cs="Times New Roman"/>
                <w:sz w:val="14"/>
                <w:szCs w:val="14"/>
              </w:rPr>
              <w:t>.</w:t>
            </w:r>
          </w:p>
          <w:p w:rsidR="00033975" w:rsidRPr="002B3C31" w:rsidRDefault="00033975" w:rsidP="00B53FDF">
            <w:pPr>
              <w:jc w:val="right"/>
              <w:rPr>
                <w:rFonts w:ascii="Times New Roman" w:hAnsi="Times New Roman" w:cs="Times New Roman"/>
                <w:i/>
                <w:sz w:val="14"/>
                <w:szCs w:val="14"/>
              </w:rPr>
            </w:pPr>
          </w:p>
        </w:tc>
      </w:tr>
    </w:tbl>
    <w:p w:rsidR="00033975" w:rsidRPr="00F023F3" w:rsidRDefault="00033975" w:rsidP="00033975">
      <w:pPr>
        <w:spacing w:after="120"/>
        <w:ind w:firstLine="708"/>
        <w:jc w:val="both"/>
        <w:rPr>
          <w:rFonts w:ascii="Times New Roman" w:hAnsi="Times New Roman" w:cs="Times New Roman"/>
          <w:highlight w:val="yellow"/>
        </w:rPr>
      </w:pPr>
      <w:r w:rsidRPr="00796B95">
        <w:rPr>
          <w:rFonts w:ascii="Times New Roman" w:hAnsi="Times New Roman" w:cs="Times New Roman"/>
        </w:rPr>
        <w:t xml:space="preserve">K poklesu hrubého dlhu verejnej správy </w:t>
      </w:r>
      <w:r>
        <w:rPr>
          <w:rFonts w:ascii="Times New Roman" w:hAnsi="Times New Roman" w:cs="Times New Roman"/>
        </w:rPr>
        <w:t xml:space="preserve">má aj naďalej </w:t>
      </w:r>
      <w:r w:rsidRPr="00796B95">
        <w:rPr>
          <w:rFonts w:ascii="Times New Roman" w:hAnsi="Times New Roman" w:cs="Times New Roman"/>
        </w:rPr>
        <w:t>prisp</w:t>
      </w:r>
      <w:r>
        <w:rPr>
          <w:rFonts w:ascii="Times New Roman" w:hAnsi="Times New Roman" w:cs="Times New Roman"/>
        </w:rPr>
        <w:t xml:space="preserve">ievať </w:t>
      </w:r>
      <w:r w:rsidRPr="00796B95">
        <w:rPr>
          <w:rFonts w:ascii="Times New Roman" w:hAnsi="Times New Roman" w:cs="Times New Roman"/>
        </w:rPr>
        <w:t>splácanie záväzkov ostatných subjektov verejnej správy z</w:t>
      </w:r>
      <w:r>
        <w:rPr>
          <w:rFonts w:ascii="Times New Roman" w:hAnsi="Times New Roman" w:cs="Times New Roman"/>
        </w:rPr>
        <w:t xml:space="preserve"> ich </w:t>
      </w:r>
      <w:r w:rsidRPr="00796B95">
        <w:rPr>
          <w:rFonts w:ascii="Times New Roman" w:hAnsi="Times New Roman" w:cs="Times New Roman"/>
        </w:rPr>
        <w:t>hotovostných prebytkov, predovšetkým</w:t>
      </w:r>
      <w:r>
        <w:rPr>
          <w:rFonts w:ascii="Times New Roman" w:hAnsi="Times New Roman" w:cs="Times New Roman"/>
        </w:rPr>
        <w:t xml:space="preserve"> </w:t>
      </w:r>
      <w:r w:rsidRPr="00796B95">
        <w:rPr>
          <w:rFonts w:ascii="Times New Roman" w:hAnsi="Times New Roman" w:cs="Times New Roman"/>
        </w:rPr>
        <w:t>zo strany samospráv a Národnej diaľničnej spoločnosti</w:t>
      </w:r>
      <w:r>
        <w:rPr>
          <w:rFonts w:ascii="Times New Roman" w:hAnsi="Times New Roman" w:cs="Times New Roman"/>
        </w:rPr>
        <w:t>.</w:t>
      </w:r>
    </w:p>
    <w:p w:rsidR="00033975" w:rsidRDefault="00033975" w:rsidP="00033975">
      <w:pPr>
        <w:spacing w:after="120"/>
        <w:ind w:firstLine="708"/>
        <w:jc w:val="both"/>
        <w:rPr>
          <w:rFonts w:ascii="Times New Roman" w:hAnsi="Times New Roman" w:cs="Times New Roman"/>
        </w:rPr>
      </w:pPr>
      <w:r w:rsidRPr="00796B95">
        <w:rPr>
          <w:rFonts w:ascii="Times New Roman" w:hAnsi="Times New Roman" w:cs="Times New Roman"/>
        </w:rPr>
        <w:t xml:space="preserve">Do výpočtu dlhu </w:t>
      </w:r>
      <w:r>
        <w:rPr>
          <w:rFonts w:ascii="Times New Roman" w:hAnsi="Times New Roman" w:cs="Times New Roman"/>
        </w:rPr>
        <w:t>vstupujú aj metodické úpravy ako sú</w:t>
      </w:r>
      <w:r w:rsidRPr="00796B95">
        <w:rPr>
          <w:rFonts w:ascii="Times New Roman" w:hAnsi="Times New Roman" w:cs="Times New Roman"/>
        </w:rPr>
        <w:t xml:space="preserve"> diskont pri emisii a splatení dlhopisov.</w:t>
      </w:r>
      <w:r w:rsidRPr="00796B95">
        <w:rPr>
          <w:rStyle w:val="Odkaznapoznmkupodiarou"/>
          <w:rFonts w:ascii="Times New Roman" w:hAnsi="Times New Roman"/>
        </w:rPr>
        <w:footnoteReference w:id="7"/>
      </w:r>
      <w:r w:rsidRPr="00796B95">
        <w:rPr>
          <w:rFonts w:ascii="Times New Roman" w:hAnsi="Times New Roman" w:cs="Times New Roman"/>
        </w:rPr>
        <w:t xml:space="preserve"> </w:t>
      </w:r>
      <w:r>
        <w:rPr>
          <w:rFonts w:ascii="Times New Roman" w:hAnsi="Times New Roman" w:cs="Times New Roman"/>
        </w:rPr>
        <w:t>Negatívny</w:t>
      </w:r>
      <w:r w:rsidRPr="00796B95">
        <w:rPr>
          <w:rFonts w:ascii="Times New Roman" w:hAnsi="Times New Roman" w:cs="Times New Roman"/>
        </w:rPr>
        <w:t xml:space="preserve"> vplyv </w:t>
      </w:r>
      <w:r>
        <w:rPr>
          <w:rFonts w:ascii="Times New Roman" w:hAnsi="Times New Roman" w:cs="Times New Roman"/>
        </w:rPr>
        <w:t xml:space="preserve">vychádza najmä z </w:t>
      </w:r>
      <w:r w:rsidRPr="00796B95">
        <w:rPr>
          <w:rFonts w:ascii="Times New Roman" w:hAnsi="Times New Roman" w:cs="Times New Roman"/>
        </w:rPr>
        <w:t>emisného diskontu</w:t>
      </w:r>
      <w:r>
        <w:rPr>
          <w:rFonts w:ascii="Times New Roman" w:hAnsi="Times New Roman" w:cs="Times New Roman"/>
        </w:rPr>
        <w:t xml:space="preserve"> na dlhopisoch s dlhšou splatnosťou</w:t>
      </w:r>
      <w:r w:rsidRPr="00796B95">
        <w:rPr>
          <w:rFonts w:ascii="Times New Roman" w:hAnsi="Times New Roman" w:cs="Times New Roman"/>
        </w:rPr>
        <w:t xml:space="preserve">. </w:t>
      </w:r>
    </w:p>
    <w:p w:rsidR="00033975" w:rsidRPr="00796B95" w:rsidRDefault="00033975" w:rsidP="00033975">
      <w:pPr>
        <w:spacing w:after="120"/>
        <w:ind w:firstLine="708"/>
        <w:jc w:val="both"/>
        <w:rPr>
          <w:rFonts w:ascii="Times New Roman" w:hAnsi="Times New Roman" w:cs="Times New Roman"/>
        </w:rPr>
      </w:pPr>
      <w:r w:rsidRPr="00F023F3">
        <w:rPr>
          <w:rFonts w:ascii="Times New Roman" w:hAnsi="Times New Roman" w:cs="Times New Roman"/>
        </w:rPr>
        <w:t xml:space="preserve">Z medzinárodných záväzkov Slovenska voči Európskemu nástroju finančnej stability (EFSF) a Európskemu mechanizmu pre stabilitu (ESM) sa </w:t>
      </w:r>
      <w:r>
        <w:rPr>
          <w:rFonts w:ascii="Times New Roman" w:hAnsi="Times New Roman" w:cs="Times New Roman"/>
        </w:rPr>
        <w:t>na</w:t>
      </w:r>
      <w:r w:rsidRPr="00F023F3">
        <w:rPr>
          <w:rFonts w:ascii="Times New Roman" w:hAnsi="Times New Roman" w:cs="Times New Roman"/>
        </w:rPr>
        <w:t xml:space="preserve"> roky 201</w:t>
      </w:r>
      <w:r>
        <w:rPr>
          <w:rFonts w:ascii="Times New Roman" w:hAnsi="Times New Roman" w:cs="Times New Roman"/>
        </w:rPr>
        <w:t xml:space="preserve">9 až 2021 </w:t>
      </w:r>
      <w:r w:rsidRPr="00F023F3">
        <w:rPr>
          <w:rFonts w:ascii="Times New Roman" w:hAnsi="Times New Roman" w:cs="Times New Roman"/>
        </w:rPr>
        <w:t xml:space="preserve">nepredpokladajú dodatočné vplyvy na verejný dlh. </w:t>
      </w:r>
      <w:r>
        <w:rPr>
          <w:rFonts w:ascii="Times New Roman" w:hAnsi="Times New Roman" w:cs="Times New Roman"/>
        </w:rPr>
        <w:t>V pomere k HDP budú záväzky voči EFSF a ESM klesať z dôvodu nominálneho rastu HDP.</w:t>
      </w:r>
    </w:p>
    <w:p w:rsidR="00033975" w:rsidRDefault="00033975" w:rsidP="00033975">
      <w:pPr>
        <w:ind w:firstLine="708"/>
        <w:jc w:val="both"/>
        <w:rPr>
          <w:rFonts w:ascii="Times New Roman" w:hAnsi="Times New Roman" w:cs="Times New Roman"/>
        </w:rPr>
      </w:pPr>
      <w:r w:rsidRPr="00796B95">
        <w:rPr>
          <w:rFonts w:ascii="Times New Roman" w:hAnsi="Times New Roman" w:cs="Times New Roman"/>
        </w:rPr>
        <w:t>Ostatné zmeny v prognóze dlhu súvisia s kurzovými rozdielmi a zmenou vkladov klientov v Štátnej pokladnici</w:t>
      </w:r>
      <w:r>
        <w:rPr>
          <w:rFonts w:ascii="Times New Roman" w:hAnsi="Times New Roman" w:cs="Times New Roman"/>
        </w:rPr>
        <w:t>,</w:t>
      </w:r>
      <w:r w:rsidRPr="00796B95">
        <w:rPr>
          <w:rFonts w:ascii="Times New Roman" w:hAnsi="Times New Roman" w:cs="Times New Roman"/>
        </w:rPr>
        <w:t xml:space="preserve"> mimo okruhu verejnej správy.</w:t>
      </w:r>
    </w:p>
    <w:p w:rsidR="00033975" w:rsidRDefault="00033975" w:rsidP="00033975">
      <w:r>
        <w:br w:type="page"/>
      </w:r>
    </w:p>
    <w:p w:rsidR="00033975" w:rsidRPr="00722209" w:rsidRDefault="00033975" w:rsidP="00033975">
      <w:pPr>
        <w:jc w:val="both"/>
        <w:rPr>
          <w:rFonts w:ascii="Times New Roman" w:hAnsi="Times New Roman" w:cs="Times New Roman"/>
          <w:highlight w:val="yellow"/>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56"/>
        <w:gridCol w:w="836"/>
        <w:gridCol w:w="836"/>
        <w:gridCol w:w="836"/>
        <w:gridCol w:w="836"/>
        <w:gridCol w:w="113"/>
        <w:gridCol w:w="723"/>
        <w:gridCol w:w="836"/>
      </w:tblGrid>
      <w:tr w:rsidR="00033975" w:rsidRPr="00033975" w:rsidTr="00B53FDF">
        <w:trPr>
          <w:trHeight w:val="210"/>
          <w:jc w:val="center"/>
        </w:trPr>
        <w:tc>
          <w:tcPr>
            <w:tcW w:w="9072" w:type="dxa"/>
            <w:gridSpan w:val="8"/>
            <w:tcBorders>
              <w:bottom w:val="single" w:sz="4" w:space="0" w:color="auto"/>
            </w:tcBorders>
            <w:shd w:val="clear" w:color="auto" w:fill="A6A6A6"/>
            <w:vAlign w:val="center"/>
            <w:hideMark/>
          </w:tcPr>
          <w:p w:rsidR="00033975" w:rsidRPr="00033975" w:rsidRDefault="00033975" w:rsidP="00B53FDF">
            <w:pPr>
              <w:rPr>
                <w:rFonts w:ascii="Times New Roman" w:hAnsi="Times New Roman" w:cs="Times New Roman"/>
                <w:b/>
                <w:bCs/>
                <w:sz w:val="14"/>
                <w:szCs w:val="14"/>
                <w:highlight w:val="yellow"/>
              </w:rPr>
            </w:pPr>
            <w:r w:rsidRPr="00033975">
              <w:rPr>
                <w:rFonts w:ascii="Times New Roman" w:hAnsi="Times New Roman" w:cs="Times New Roman"/>
                <w:b/>
                <w:bCs/>
                <w:sz w:val="14"/>
                <w:szCs w:val="14"/>
              </w:rPr>
              <w:t>Vplyv na zmenu hrubého dlhu verejnej správy (v mil. eur) </w:t>
            </w:r>
          </w:p>
        </w:tc>
      </w:tr>
      <w:tr w:rsidR="00033975" w:rsidRPr="00033975" w:rsidTr="00B53FDF">
        <w:trPr>
          <w:trHeight w:val="210"/>
          <w:jc w:val="center"/>
        </w:trPr>
        <w:tc>
          <w:tcPr>
            <w:tcW w:w="4056" w:type="dxa"/>
            <w:shd w:val="clear" w:color="auto" w:fill="BFBFBF"/>
            <w:noWrap/>
            <w:vAlign w:val="center"/>
            <w:hideMark/>
          </w:tcPr>
          <w:p w:rsidR="00033975" w:rsidRPr="00033975" w:rsidRDefault="00033975" w:rsidP="00B53FDF">
            <w:pPr>
              <w:jc w:val="center"/>
              <w:rPr>
                <w:rFonts w:ascii="Times New Roman" w:hAnsi="Times New Roman" w:cs="Times New Roman"/>
                <w:b/>
                <w:bCs/>
                <w:sz w:val="14"/>
                <w:szCs w:val="14"/>
              </w:rPr>
            </w:pPr>
            <w:r w:rsidRPr="00033975">
              <w:rPr>
                <w:rFonts w:ascii="Times New Roman" w:hAnsi="Times New Roman" w:cs="Times New Roman"/>
                <w:b/>
                <w:bCs/>
                <w:sz w:val="14"/>
                <w:szCs w:val="14"/>
              </w:rPr>
              <w:t> </w:t>
            </w:r>
          </w:p>
        </w:tc>
        <w:tc>
          <w:tcPr>
            <w:tcW w:w="83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33975" w:rsidRPr="00033975" w:rsidRDefault="00033975" w:rsidP="00B53FDF">
            <w:pPr>
              <w:jc w:val="center"/>
              <w:rPr>
                <w:rFonts w:ascii="Times New Roman" w:hAnsi="Times New Roman" w:cs="Times New Roman"/>
                <w:b/>
                <w:bCs/>
                <w:sz w:val="14"/>
                <w:szCs w:val="14"/>
                <w:lang w:eastAsia="sk-SK"/>
              </w:rPr>
            </w:pPr>
            <w:r w:rsidRPr="00033975">
              <w:rPr>
                <w:rFonts w:ascii="Times New Roman" w:hAnsi="Times New Roman" w:cs="Times New Roman"/>
                <w:b/>
                <w:bCs/>
                <w:sz w:val="14"/>
                <w:szCs w:val="14"/>
              </w:rPr>
              <w:t>2016 S</w:t>
            </w:r>
          </w:p>
        </w:tc>
        <w:tc>
          <w:tcPr>
            <w:tcW w:w="836" w:type="dxa"/>
            <w:tcBorders>
              <w:top w:val="single" w:sz="4" w:space="0" w:color="auto"/>
              <w:left w:val="nil"/>
              <w:bottom w:val="single" w:sz="4" w:space="0" w:color="auto"/>
              <w:right w:val="single" w:sz="4" w:space="0" w:color="auto"/>
            </w:tcBorders>
            <w:shd w:val="clear" w:color="000000" w:fill="BFBFBF"/>
            <w:noWrap/>
            <w:vAlign w:val="center"/>
          </w:tcPr>
          <w:p w:rsidR="00033975" w:rsidRPr="00033975" w:rsidRDefault="00033975" w:rsidP="00B53FDF">
            <w:pPr>
              <w:jc w:val="center"/>
              <w:rPr>
                <w:rFonts w:ascii="Times New Roman" w:hAnsi="Times New Roman" w:cs="Times New Roman"/>
                <w:b/>
                <w:bCs/>
                <w:sz w:val="14"/>
                <w:szCs w:val="14"/>
              </w:rPr>
            </w:pPr>
            <w:r w:rsidRPr="00033975">
              <w:rPr>
                <w:rFonts w:ascii="Times New Roman" w:hAnsi="Times New Roman" w:cs="Times New Roman"/>
                <w:b/>
                <w:bCs/>
                <w:sz w:val="14"/>
                <w:szCs w:val="14"/>
              </w:rPr>
              <w:t>2017 S</w:t>
            </w:r>
          </w:p>
        </w:tc>
        <w:tc>
          <w:tcPr>
            <w:tcW w:w="836" w:type="dxa"/>
            <w:tcBorders>
              <w:top w:val="single" w:sz="4" w:space="0" w:color="auto"/>
              <w:left w:val="nil"/>
              <w:bottom w:val="single" w:sz="4" w:space="0" w:color="auto"/>
              <w:right w:val="single" w:sz="4" w:space="0" w:color="auto"/>
            </w:tcBorders>
            <w:shd w:val="clear" w:color="000000" w:fill="BFBFBF"/>
            <w:noWrap/>
            <w:vAlign w:val="center"/>
          </w:tcPr>
          <w:p w:rsidR="00033975" w:rsidRPr="00033975" w:rsidRDefault="00033975" w:rsidP="00B53FDF">
            <w:pPr>
              <w:jc w:val="center"/>
              <w:rPr>
                <w:rFonts w:ascii="Times New Roman" w:hAnsi="Times New Roman" w:cs="Times New Roman"/>
                <w:b/>
                <w:bCs/>
                <w:sz w:val="14"/>
                <w:szCs w:val="14"/>
              </w:rPr>
            </w:pPr>
            <w:r w:rsidRPr="00033975">
              <w:rPr>
                <w:rFonts w:ascii="Times New Roman" w:hAnsi="Times New Roman" w:cs="Times New Roman"/>
                <w:b/>
                <w:bCs/>
                <w:sz w:val="14"/>
                <w:szCs w:val="14"/>
              </w:rPr>
              <w:t>2018 OS</w:t>
            </w:r>
          </w:p>
        </w:tc>
        <w:tc>
          <w:tcPr>
            <w:tcW w:w="836" w:type="dxa"/>
            <w:tcBorders>
              <w:top w:val="single" w:sz="4" w:space="0" w:color="auto"/>
              <w:left w:val="nil"/>
              <w:bottom w:val="single" w:sz="4" w:space="0" w:color="auto"/>
              <w:right w:val="single" w:sz="4" w:space="0" w:color="auto"/>
            </w:tcBorders>
            <w:shd w:val="clear" w:color="000000" w:fill="BFBFBF"/>
            <w:noWrap/>
            <w:vAlign w:val="center"/>
          </w:tcPr>
          <w:p w:rsidR="00033975" w:rsidRPr="00033975" w:rsidRDefault="00033975" w:rsidP="00B53FDF">
            <w:pPr>
              <w:jc w:val="center"/>
              <w:rPr>
                <w:rFonts w:ascii="Times New Roman" w:hAnsi="Times New Roman" w:cs="Times New Roman"/>
                <w:b/>
                <w:bCs/>
                <w:sz w:val="14"/>
                <w:szCs w:val="14"/>
              </w:rPr>
            </w:pPr>
            <w:r w:rsidRPr="00033975">
              <w:rPr>
                <w:rFonts w:ascii="Times New Roman" w:hAnsi="Times New Roman" w:cs="Times New Roman"/>
                <w:b/>
                <w:bCs/>
                <w:sz w:val="14"/>
                <w:szCs w:val="14"/>
              </w:rPr>
              <w:t>2019 N</w:t>
            </w:r>
          </w:p>
        </w:tc>
        <w:tc>
          <w:tcPr>
            <w:tcW w:w="836" w:type="dxa"/>
            <w:gridSpan w:val="2"/>
            <w:tcBorders>
              <w:top w:val="single" w:sz="4" w:space="0" w:color="auto"/>
              <w:left w:val="nil"/>
              <w:bottom w:val="single" w:sz="4" w:space="0" w:color="auto"/>
              <w:right w:val="single" w:sz="4" w:space="0" w:color="auto"/>
            </w:tcBorders>
            <w:shd w:val="clear" w:color="000000" w:fill="BFBFBF"/>
            <w:noWrap/>
            <w:vAlign w:val="center"/>
          </w:tcPr>
          <w:p w:rsidR="00033975" w:rsidRPr="00033975" w:rsidRDefault="00033975" w:rsidP="00B53FDF">
            <w:pPr>
              <w:jc w:val="center"/>
              <w:rPr>
                <w:rFonts w:ascii="Times New Roman" w:hAnsi="Times New Roman" w:cs="Times New Roman"/>
                <w:b/>
                <w:bCs/>
                <w:sz w:val="14"/>
                <w:szCs w:val="14"/>
              </w:rPr>
            </w:pPr>
            <w:r w:rsidRPr="00033975">
              <w:rPr>
                <w:rFonts w:ascii="Times New Roman" w:hAnsi="Times New Roman" w:cs="Times New Roman"/>
                <w:b/>
                <w:bCs/>
                <w:sz w:val="14"/>
                <w:szCs w:val="14"/>
              </w:rPr>
              <w:t>2020 N</w:t>
            </w:r>
          </w:p>
        </w:tc>
        <w:tc>
          <w:tcPr>
            <w:tcW w:w="836" w:type="dxa"/>
            <w:tcBorders>
              <w:top w:val="single" w:sz="4" w:space="0" w:color="auto"/>
              <w:left w:val="nil"/>
              <w:bottom w:val="single" w:sz="4" w:space="0" w:color="auto"/>
              <w:right w:val="single" w:sz="4" w:space="0" w:color="auto"/>
            </w:tcBorders>
            <w:shd w:val="clear" w:color="000000" w:fill="BFBFBF"/>
            <w:noWrap/>
            <w:vAlign w:val="center"/>
          </w:tcPr>
          <w:p w:rsidR="00033975" w:rsidRPr="00033975" w:rsidRDefault="00033975" w:rsidP="00B53FDF">
            <w:pPr>
              <w:jc w:val="center"/>
              <w:rPr>
                <w:rFonts w:ascii="Times New Roman" w:hAnsi="Times New Roman" w:cs="Times New Roman"/>
                <w:b/>
                <w:bCs/>
                <w:sz w:val="14"/>
                <w:szCs w:val="14"/>
              </w:rPr>
            </w:pPr>
            <w:r w:rsidRPr="00033975">
              <w:rPr>
                <w:rFonts w:ascii="Times New Roman" w:hAnsi="Times New Roman" w:cs="Times New Roman"/>
                <w:b/>
                <w:bCs/>
                <w:sz w:val="14"/>
                <w:szCs w:val="14"/>
              </w:rPr>
              <w:t>2021 N</w:t>
            </w:r>
          </w:p>
        </w:tc>
      </w:tr>
      <w:tr w:rsidR="00033975" w:rsidRPr="00033975" w:rsidTr="00B53FDF">
        <w:trPr>
          <w:trHeight w:val="210"/>
          <w:jc w:val="center"/>
        </w:trPr>
        <w:tc>
          <w:tcPr>
            <w:tcW w:w="40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rPr>
                <w:rFonts w:ascii="Times New Roman" w:hAnsi="Times New Roman" w:cs="Times New Roman"/>
                <w:b/>
                <w:bCs/>
                <w:sz w:val="14"/>
                <w:szCs w:val="14"/>
                <w:lang w:eastAsia="sk-SK"/>
              </w:rPr>
            </w:pPr>
            <w:r w:rsidRPr="00033975">
              <w:rPr>
                <w:rFonts w:ascii="Times New Roman" w:hAnsi="Times New Roman" w:cs="Times New Roman"/>
                <w:b/>
                <w:bCs/>
                <w:sz w:val="14"/>
                <w:szCs w:val="14"/>
              </w:rPr>
              <w:t>A. Hrubý dlh verejnej správy (k 1.1.)</w:t>
            </w:r>
          </w:p>
        </w:tc>
        <w:tc>
          <w:tcPr>
            <w:tcW w:w="83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41 295</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42 053</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43 230</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43 968</w:t>
            </w:r>
          </w:p>
        </w:tc>
        <w:tc>
          <w:tcPr>
            <w:tcW w:w="836" w:type="dxa"/>
            <w:gridSpan w:val="2"/>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45 719</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47 381</w:t>
            </w:r>
          </w:p>
        </w:tc>
      </w:tr>
      <w:tr w:rsidR="00033975" w:rsidRPr="00033975" w:rsidTr="00B53FDF">
        <w:trPr>
          <w:trHeight w:val="210"/>
          <w:jc w:val="center"/>
        </w:trPr>
        <w:tc>
          <w:tcPr>
            <w:tcW w:w="4056" w:type="dxa"/>
            <w:tcBorders>
              <w:top w:val="nil"/>
              <w:left w:val="single" w:sz="4" w:space="0" w:color="auto"/>
              <w:bottom w:val="single" w:sz="4" w:space="0" w:color="auto"/>
              <w:right w:val="single" w:sz="4" w:space="0" w:color="auto"/>
            </w:tcBorders>
            <w:shd w:val="clear" w:color="000000" w:fill="FFFFFF"/>
            <w:noWrap/>
            <w:vAlign w:val="center"/>
          </w:tcPr>
          <w:p w:rsidR="00033975" w:rsidRPr="00033975" w:rsidRDefault="00033975" w:rsidP="00B53FDF">
            <w:pPr>
              <w:rPr>
                <w:rFonts w:ascii="Times New Roman" w:hAnsi="Times New Roman" w:cs="Times New Roman"/>
                <w:b/>
                <w:bCs/>
                <w:sz w:val="14"/>
                <w:szCs w:val="14"/>
              </w:rPr>
            </w:pPr>
            <w:r w:rsidRPr="00033975">
              <w:rPr>
                <w:rFonts w:ascii="Times New Roman" w:hAnsi="Times New Roman" w:cs="Times New Roman"/>
                <w:b/>
                <w:bCs/>
                <w:sz w:val="14"/>
                <w:szCs w:val="14"/>
              </w:rPr>
              <w:t>B. Celková medziročná zmena hrubého dlhu VS</w:t>
            </w:r>
          </w:p>
        </w:tc>
        <w:tc>
          <w:tcPr>
            <w:tcW w:w="83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758</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1 177</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738</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1 752</w:t>
            </w:r>
          </w:p>
        </w:tc>
        <w:tc>
          <w:tcPr>
            <w:tcW w:w="836" w:type="dxa"/>
            <w:gridSpan w:val="2"/>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1 662</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1 512</w:t>
            </w:r>
          </w:p>
        </w:tc>
      </w:tr>
      <w:tr w:rsidR="00033975" w:rsidRPr="00033975" w:rsidTr="00B53FDF">
        <w:trPr>
          <w:trHeight w:val="210"/>
          <w:jc w:val="center"/>
        </w:trPr>
        <w:tc>
          <w:tcPr>
            <w:tcW w:w="405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ind w:firstLineChars="47" w:firstLine="66"/>
              <w:rPr>
                <w:rFonts w:ascii="Times New Roman" w:hAnsi="Times New Roman" w:cs="Times New Roman"/>
                <w:sz w:val="14"/>
                <w:szCs w:val="14"/>
              </w:rPr>
            </w:pPr>
            <w:r w:rsidRPr="00033975">
              <w:rPr>
                <w:rFonts w:ascii="Times New Roman" w:hAnsi="Times New Roman" w:cs="Times New Roman"/>
                <w:sz w:val="14"/>
                <w:szCs w:val="14"/>
              </w:rPr>
              <w:t xml:space="preserve"> - hotovostný deficit ŠR</w:t>
            </w:r>
          </w:p>
        </w:tc>
        <w:tc>
          <w:tcPr>
            <w:tcW w:w="83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980</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1 220</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1 134</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2 138</w:t>
            </w:r>
          </w:p>
        </w:tc>
        <w:tc>
          <w:tcPr>
            <w:tcW w:w="836" w:type="dxa"/>
            <w:gridSpan w:val="2"/>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2 211</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1 899</w:t>
            </w:r>
          </w:p>
        </w:tc>
      </w:tr>
      <w:tr w:rsidR="00033975" w:rsidRPr="00033975" w:rsidTr="00B53FDF">
        <w:trPr>
          <w:trHeight w:val="210"/>
          <w:jc w:val="center"/>
        </w:trPr>
        <w:tc>
          <w:tcPr>
            <w:tcW w:w="4056" w:type="dxa"/>
            <w:tcBorders>
              <w:top w:val="nil"/>
              <w:left w:val="single" w:sz="4" w:space="0" w:color="auto"/>
              <w:bottom w:val="single" w:sz="4" w:space="0" w:color="auto"/>
              <w:right w:val="single" w:sz="4" w:space="0" w:color="auto"/>
            </w:tcBorders>
            <w:shd w:val="clear" w:color="auto" w:fill="auto"/>
            <w:vAlign w:val="center"/>
          </w:tcPr>
          <w:p w:rsidR="00033975" w:rsidRPr="00033975" w:rsidRDefault="00033975" w:rsidP="00B53FDF">
            <w:pPr>
              <w:ind w:firstLineChars="47" w:firstLine="66"/>
              <w:rPr>
                <w:rFonts w:ascii="Times New Roman" w:hAnsi="Times New Roman" w:cs="Times New Roman"/>
                <w:sz w:val="14"/>
                <w:szCs w:val="14"/>
              </w:rPr>
            </w:pPr>
            <w:r w:rsidRPr="00033975">
              <w:rPr>
                <w:rFonts w:ascii="Times New Roman" w:hAnsi="Times New Roman" w:cs="Times New Roman"/>
                <w:sz w:val="14"/>
                <w:szCs w:val="14"/>
              </w:rPr>
              <w:t xml:space="preserve"> - prostriedky ŠP využité na financovanie hotovostného deficitu ŠR</w:t>
            </w:r>
          </w:p>
        </w:tc>
        <w:tc>
          <w:tcPr>
            <w:tcW w:w="83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45</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1</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-344</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-377</w:t>
            </w:r>
          </w:p>
        </w:tc>
        <w:tc>
          <w:tcPr>
            <w:tcW w:w="836" w:type="dxa"/>
            <w:gridSpan w:val="2"/>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-541</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-444</w:t>
            </w:r>
          </w:p>
        </w:tc>
      </w:tr>
      <w:tr w:rsidR="00033975" w:rsidRPr="00033975" w:rsidTr="00B53FDF">
        <w:trPr>
          <w:trHeight w:val="210"/>
          <w:jc w:val="center"/>
        </w:trPr>
        <w:tc>
          <w:tcPr>
            <w:tcW w:w="405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ind w:firstLineChars="47" w:firstLine="66"/>
              <w:rPr>
                <w:rFonts w:ascii="Times New Roman" w:hAnsi="Times New Roman" w:cs="Times New Roman"/>
                <w:sz w:val="14"/>
                <w:szCs w:val="14"/>
              </w:rPr>
            </w:pPr>
            <w:r w:rsidRPr="00033975">
              <w:rPr>
                <w:rFonts w:ascii="Times New Roman" w:hAnsi="Times New Roman" w:cs="Times New Roman"/>
                <w:sz w:val="14"/>
                <w:szCs w:val="14"/>
              </w:rPr>
              <w:t xml:space="preserve"> - zadlženie ostatných subjektov VS</w:t>
            </w:r>
          </w:p>
        </w:tc>
        <w:tc>
          <w:tcPr>
            <w:tcW w:w="83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-93</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3</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-57</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-98</w:t>
            </w:r>
          </w:p>
        </w:tc>
        <w:tc>
          <w:tcPr>
            <w:tcW w:w="836" w:type="dxa"/>
            <w:gridSpan w:val="2"/>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-122</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-148</w:t>
            </w:r>
          </w:p>
        </w:tc>
      </w:tr>
      <w:tr w:rsidR="00033975" w:rsidRPr="00033975" w:rsidTr="00B53FDF">
        <w:trPr>
          <w:trHeight w:val="210"/>
          <w:jc w:val="center"/>
        </w:trPr>
        <w:tc>
          <w:tcPr>
            <w:tcW w:w="405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ind w:firstLineChars="250" w:firstLine="350"/>
              <w:rPr>
                <w:rFonts w:ascii="Times New Roman" w:hAnsi="Times New Roman" w:cs="Times New Roman"/>
                <w:sz w:val="14"/>
                <w:szCs w:val="14"/>
              </w:rPr>
            </w:pPr>
            <w:r w:rsidRPr="00033975">
              <w:rPr>
                <w:rFonts w:ascii="Times New Roman" w:hAnsi="Times New Roman" w:cs="Times New Roman"/>
                <w:sz w:val="14"/>
                <w:szCs w:val="14"/>
              </w:rPr>
              <w:t>z toho: ŽSR + ŽSSK</w:t>
            </w:r>
          </w:p>
        </w:tc>
        <w:tc>
          <w:tcPr>
            <w:tcW w:w="83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32</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8</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-8</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0</w:t>
            </w:r>
          </w:p>
        </w:tc>
        <w:tc>
          <w:tcPr>
            <w:tcW w:w="836" w:type="dxa"/>
            <w:gridSpan w:val="2"/>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-2</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-27</w:t>
            </w:r>
          </w:p>
        </w:tc>
      </w:tr>
      <w:tr w:rsidR="00033975" w:rsidRPr="00033975" w:rsidTr="00B53FDF">
        <w:trPr>
          <w:trHeight w:val="210"/>
          <w:jc w:val="center"/>
        </w:trPr>
        <w:tc>
          <w:tcPr>
            <w:tcW w:w="405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ind w:firstLineChars="250" w:firstLine="350"/>
              <w:rPr>
                <w:rFonts w:ascii="Times New Roman" w:hAnsi="Times New Roman" w:cs="Times New Roman"/>
                <w:sz w:val="14"/>
                <w:szCs w:val="14"/>
              </w:rPr>
            </w:pPr>
            <w:r w:rsidRPr="00033975">
              <w:rPr>
                <w:rFonts w:ascii="Times New Roman" w:hAnsi="Times New Roman" w:cs="Times New Roman"/>
                <w:sz w:val="14"/>
                <w:szCs w:val="14"/>
              </w:rPr>
              <w:t>z toho: NDS</w:t>
            </w:r>
          </w:p>
        </w:tc>
        <w:tc>
          <w:tcPr>
            <w:tcW w:w="836" w:type="dxa"/>
            <w:tcBorders>
              <w:top w:val="nil"/>
              <w:left w:val="single" w:sz="4" w:space="0" w:color="auto"/>
              <w:bottom w:val="single" w:sz="4" w:space="0" w:color="auto"/>
              <w:right w:val="single" w:sz="4" w:space="0" w:color="auto"/>
            </w:tcBorders>
            <w:shd w:val="clear" w:color="auto" w:fill="auto"/>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-40</w:t>
            </w:r>
          </w:p>
        </w:tc>
        <w:tc>
          <w:tcPr>
            <w:tcW w:w="836" w:type="dxa"/>
            <w:tcBorders>
              <w:top w:val="nil"/>
              <w:left w:val="nil"/>
              <w:bottom w:val="single" w:sz="4" w:space="0" w:color="auto"/>
              <w:right w:val="single" w:sz="4" w:space="0" w:color="auto"/>
            </w:tcBorders>
            <w:shd w:val="clear" w:color="auto" w:fill="auto"/>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-36</w:t>
            </w:r>
          </w:p>
        </w:tc>
        <w:tc>
          <w:tcPr>
            <w:tcW w:w="836" w:type="dxa"/>
            <w:tcBorders>
              <w:top w:val="nil"/>
              <w:left w:val="nil"/>
              <w:bottom w:val="single" w:sz="4" w:space="0" w:color="auto"/>
              <w:right w:val="single" w:sz="4" w:space="0" w:color="auto"/>
            </w:tcBorders>
            <w:shd w:val="clear" w:color="auto" w:fill="auto"/>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2</w:t>
            </w:r>
          </w:p>
        </w:tc>
        <w:tc>
          <w:tcPr>
            <w:tcW w:w="836" w:type="dxa"/>
            <w:tcBorders>
              <w:top w:val="nil"/>
              <w:left w:val="nil"/>
              <w:bottom w:val="single" w:sz="4" w:space="0" w:color="auto"/>
              <w:right w:val="single" w:sz="4" w:space="0" w:color="auto"/>
            </w:tcBorders>
            <w:shd w:val="clear" w:color="auto" w:fill="auto"/>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-37</w:t>
            </w:r>
          </w:p>
        </w:tc>
        <w:tc>
          <w:tcPr>
            <w:tcW w:w="836" w:type="dxa"/>
            <w:gridSpan w:val="2"/>
            <w:tcBorders>
              <w:top w:val="nil"/>
              <w:left w:val="nil"/>
              <w:bottom w:val="single" w:sz="4" w:space="0" w:color="auto"/>
              <w:right w:val="single" w:sz="4" w:space="0" w:color="auto"/>
            </w:tcBorders>
            <w:shd w:val="clear" w:color="auto" w:fill="auto"/>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-37</w:t>
            </w:r>
          </w:p>
        </w:tc>
        <w:tc>
          <w:tcPr>
            <w:tcW w:w="836" w:type="dxa"/>
            <w:tcBorders>
              <w:top w:val="nil"/>
              <w:left w:val="nil"/>
              <w:bottom w:val="single" w:sz="4" w:space="0" w:color="auto"/>
              <w:right w:val="single" w:sz="4" w:space="0" w:color="auto"/>
            </w:tcBorders>
            <w:shd w:val="clear" w:color="auto" w:fill="auto"/>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-37</w:t>
            </w:r>
          </w:p>
        </w:tc>
      </w:tr>
      <w:tr w:rsidR="00033975" w:rsidRPr="00033975" w:rsidTr="00B53FDF">
        <w:trPr>
          <w:trHeight w:val="210"/>
          <w:jc w:val="center"/>
        </w:trPr>
        <w:tc>
          <w:tcPr>
            <w:tcW w:w="405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ind w:firstLineChars="250" w:firstLine="350"/>
              <w:rPr>
                <w:rFonts w:ascii="Times New Roman" w:hAnsi="Times New Roman" w:cs="Times New Roman"/>
                <w:sz w:val="14"/>
                <w:szCs w:val="14"/>
              </w:rPr>
            </w:pPr>
            <w:r w:rsidRPr="00033975">
              <w:rPr>
                <w:rFonts w:ascii="Times New Roman" w:hAnsi="Times New Roman" w:cs="Times New Roman"/>
                <w:sz w:val="14"/>
                <w:szCs w:val="14"/>
              </w:rPr>
              <w:t>z toho: Dopravné podniky obcí</w:t>
            </w:r>
          </w:p>
        </w:tc>
        <w:tc>
          <w:tcPr>
            <w:tcW w:w="83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-23</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-4</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-2</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-3</w:t>
            </w:r>
          </w:p>
        </w:tc>
        <w:tc>
          <w:tcPr>
            <w:tcW w:w="836" w:type="dxa"/>
            <w:gridSpan w:val="2"/>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-4</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-4</w:t>
            </w:r>
          </w:p>
        </w:tc>
      </w:tr>
      <w:tr w:rsidR="00033975" w:rsidRPr="00033975" w:rsidTr="00B53FDF">
        <w:trPr>
          <w:trHeight w:val="210"/>
          <w:jc w:val="center"/>
        </w:trPr>
        <w:tc>
          <w:tcPr>
            <w:tcW w:w="405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ind w:firstLineChars="250" w:firstLine="350"/>
              <w:rPr>
                <w:rFonts w:ascii="Times New Roman" w:hAnsi="Times New Roman" w:cs="Times New Roman"/>
                <w:sz w:val="14"/>
                <w:szCs w:val="14"/>
              </w:rPr>
            </w:pPr>
            <w:r w:rsidRPr="00033975">
              <w:rPr>
                <w:rFonts w:ascii="Times New Roman" w:hAnsi="Times New Roman" w:cs="Times New Roman"/>
                <w:sz w:val="14"/>
                <w:szCs w:val="14"/>
              </w:rPr>
              <w:t>z toho: Samosprávy</w:t>
            </w:r>
          </w:p>
        </w:tc>
        <w:tc>
          <w:tcPr>
            <w:tcW w:w="83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-62</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50</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-88</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-94</w:t>
            </w:r>
          </w:p>
        </w:tc>
        <w:tc>
          <w:tcPr>
            <w:tcW w:w="836" w:type="dxa"/>
            <w:gridSpan w:val="2"/>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-93</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-92</w:t>
            </w:r>
          </w:p>
        </w:tc>
      </w:tr>
      <w:tr w:rsidR="00033975" w:rsidRPr="00033975" w:rsidTr="00B53FDF">
        <w:trPr>
          <w:trHeight w:val="210"/>
          <w:jc w:val="center"/>
        </w:trPr>
        <w:tc>
          <w:tcPr>
            <w:tcW w:w="405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ind w:firstLineChars="47" w:firstLine="66"/>
              <w:rPr>
                <w:rFonts w:ascii="Times New Roman" w:hAnsi="Times New Roman" w:cs="Times New Roman"/>
                <w:sz w:val="14"/>
                <w:szCs w:val="14"/>
              </w:rPr>
            </w:pPr>
            <w:r w:rsidRPr="00033975">
              <w:rPr>
                <w:rFonts w:ascii="Times New Roman" w:hAnsi="Times New Roman" w:cs="Times New Roman"/>
                <w:sz w:val="14"/>
                <w:szCs w:val="14"/>
              </w:rPr>
              <w:t xml:space="preserve"> - príspevok SR do EFSF a ESM</w:t>
            </w:r>
          </w:p>
        </w:tc>
        <w:tc>
          <w:tcPr>
            <w:tcW w:w="83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0</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0</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0</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0</w:t>
            </w:r>
          </w:p>
        </w:tc>
        <w:tc>
          <w:tcPr>
            <w:tcW w:w="836" w:type="dxa"/>
            <w:gridSpan w:val="2"/>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0</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0</w:t>
            </w:r>
          </w:p>
        </w:tc>
      </w:tr>
      <w:tr w:rsidR="00033975" w:rsidRPr="00033975" w:rsidTr="00B53FDF">
        <w:trPr>
          <w:trHeight w:val="210"/>
          <w:jc w:val="center"/>
        </w:trPr>
        <w:tc>
          <w:tcPr>
            <w:tcW w:w="405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ind w:firstLineChars="47" w:firstLine="66"/>
              <w:rPr>
                <w:rFonts w:ascii="Times New Roman" w:hAnsi="Times New Roman" w:cs="Times New Roman"/>
                <w:sz w:val="14"/>
                <w:szCs w:val="14"/>
              </w:rPr>
            </w:pPr>
            <w:r w:rsidRPr="00033975">
              <w:rPr>
                <w:rFonts w:ascii="Times New Roman" w:hAnsi="Times New Roman" w:cs="Times New Roman"/>
                <w:sz w:val="14"/>
                <w:szCs w:val="14"/>
              </w:rPr>
              <w:t xml:space="preserve"> - emisný diskont</w:t>
            </w:r>
          </w:p>
        </w:tc>
        <w:tc>
          <w:tcPr>
            <w:tcW w:w="83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43</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68</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10</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90</w:t>
            </w:r>
          </w:p>
        </w:tc>
        <w:tc>
          <w:tcPr>
            <w:tcW w:w="836" w:type="dxa"/>
            <w:gridSpan w:val="2"/>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175</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211</w:t>
            </w:r>
          </w:p>
        </w:tc>
      </w:tr>
      <w:tr w:rsidR="00033975" w:rsidRPr="00033975" w:rsidTr="00B53FDF">
        <w:trPr>
          <w:trHeight w:val="210"/>
          <w:jc w:val="center"/>
        </w:trPr>
        <w:tc>
          <w:tcPr>
            <w:tcW w:w="405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ind w:firstLineChars="47" w:firstLine="66"/>
              <w:rPr>
                <w:rFonts w:ascii="Times New Roman" w:hAnsi="Times New Roman" w:cs="Times New Roman"/>
                <w:sz w:val="14"/>
                <w:szCs w:val="14"/>
              </w:rPr>
            </w:pPr>
            <w:r w:rsidRPr="00033975">
              <w:rPr>
                <w:rFonts w:ascii="Times New Roman" w:hAnsi="Times New Roman" w:cs="Times New Roman"/>
                <w:sz w:val="14"/>
                <w:szCs w:val="14"/>
              </w:rPr>
              <w:t xml:space="preserve"> - diskont pri splatnosti</w:t>
            </w:r>
          </w:p>
        </w:tc>
        <w:tc>
          <w:tcPr>
            <w:tcW w:w="83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-61</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-62</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-7</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2</w:t>
            </w:r>
          </w:p>
        </w:tc>
        <w:tc>
          <w:tcPr>
            <w:tcW w:w="836" w:type="dxa"/>
            <w:gridSpan w:val="2"/>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-59</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-4</w:t>
            </w:r>
          </w:p>
        </w:tc>
      </w:tr>
      <w:tr w:rsidR="00033975" w:rsidRPr="00033975" w:rsidTr="00B53FDF">
        <w:trPr>
          <w:trHeight w:val="210"/>
          <w:jc w:val="center"/>
        </w:trPr>
        <w:tc>
          <w:tcPr>
            <w:tcW w:w="405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ind w:firstLineChars="47" w:firstLine="66"/>
              <w:rPr>
                <w:rFonts w:ascii="Times New Roman" w:hAnsi="Times New Roman" w:cs="Times New Roman"/>
                <w:sz w:val="14"/>
                <w:szCs w:val="14"/>
              </w:rPr>
            </w:pPr>
            <w:r w:rsidRPr="00033975">
              <w:rPr>
                <w:rFonts w:ascii="Times New Roman" w:hAnsi="Times New Roman" w:cs="Times New Roman"/>
                <w:sz w:val="14"/>
                <w:szCs w:val="14"/>
              </w:rPr>
              <w:t xml:space="preserve"> - ostatné</w:t>
            </w:r>
          </w:p>
        </w:tc>
        <w:tc>
          <w:tcPr>
            <w:tcW w:w="83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-155</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-55</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2</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-4</w:t>
            </w:r>
          </w:p>
        </w:tc>
        <w:tc>
          <w:tcPr>
            <w:tcW w:w="836" w:type="dxa"/>
            <w:gridSpan w:val="2"/>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-2</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sz w:val="14"/>
                <w:szCs w:val="14"/>
              </w:rPr>
            </w:pPr>
            <w:r w:rsidRPr="00033975">
              <w:rPr>
                <w:rFonts w:ascii="Times New Roman" w:hAnsi="Times New Roman" w:cs="Times New Roman"/>
                <w:sz w:val="14"/>
                <w:szCs w:val="14"/>
              </w:rPr>
              <w:t>-1</w:t>
            </w:r>
          </w:p>
        </w:tc>
      </w:tr>
      <w:tr w:rsidR="00033975" w:rsidRPr="00033975" w:rsidTr="00B53FDF">
        <w:trPr>
          <w:trHeight w:val="210"/>
          <w:jc w:val="center"/>
        </w:trPr>
        <w:tc>
          <w:tcPr>
            <w:tcW w:w="405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rPr>
                <w:rFonts w:ascii="Times New Roman" w:hAnsi="Times New Roman" w:cs="Times New Roman"/>
                <w:b/>
                <w:bCs/>
                <w:sz w:val="14"/>
                <w:szCs w:val="14"/>
              </w:rPr>
            </w:pPr>
            <w:r w:rsidRPr="00033975">
              <w:rPr>
                <w:rFonts w:ascii="Times New Roman" w:hAnsi="Times New Roman" w:cs="Times New Roman"/>
                <w:b/>
                <w:bCs/>
                <w:sz w:val="14"/>
                <w:szCs w:val="14"/>
              </w:rPr>
              <w:t>C. Hrubý dlh verejnej správy (k 31.12.)</w:t>
            </w:r>
          </w:p>
        </w:tc>
        <w:tc>
          <w:tcPr>
            <w:tcW w:w="83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42 053</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43 230</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43 968</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45 719</w:t>
            </w:r>
          </w:p>
        </w:tc>
        <w:tc>
          <w:tcPr>
            <w:tcW w:w="836" w:type="dxa"/>
            <w:gridSpan w:val="2"/>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47 381</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48 894</w:t>
            </w:r>
          </w:p>
        </w:tc>
      </w:tr>
      <w:tr w:rsidR="00033975" w:rsidRPr="00033975" w:rsidTr="00B53FDF">
        <w:trPr>
          <w:trHeight w:val="210"/>
          <w:jc w:val="center"/>
        </w:trPr>
        <w:tc>
          <w:tcPr>
            <w:tcW w:w="405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ind w:firstLineChars="100" w:firstLine="141"/>
              <w:rPr>
                <w:rFonts w:ascii="Times New Roman" w:hAnsi="Times New Roman" w:cs="Times New Roman"/>
                <w:b/>
                <w:bCs/>
                <w:sz w:val="14"/>
                <w:szCs w:val="14"/>
              </w:rPr>
            </w:pPr>
            <w:r w:rsidRPr="00033975">
              <w:rPr>
                <w:rFonts w:ascii="Times New Roman" w:hAnsi="Times New Roman" w:cs="Times New Roman"/>
                <w:b/>
                <w:bCs/>
                <w:sz w:val="14"/>
                <w:szCs w:val="14"/>
              </w:rPr>
              <w:t>v % HDP</w:t>
            </w:r>
          </w:p>
        </w:tc>
        <w:tc>
          <w:tcPr>
            <w:tcW w:w="836" w:type="dxa"/>
            <w:tcBorders>
              <w:top w:val="nil"/>
              <w:left w:val="single" w:sz="4" w:space="0" w:color="auto"/>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51,8</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50,9</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48,7</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47,3</w:t>
            </w:r>
          </w:p>
        </w:tc>
        <w:tc>
          <w:tcPr>
            <w:tcW w:w="836" w:type="dxa"/>
            <w:gridSpan w:val="2"/>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46,0</w:t>
            </w:r>
          </w:p>
        </w:tc>
        <w:tc>
          <w:tcPr>
            <w:tcW w:w="836" w:type="dxa"/>
            <w:tcBorders>
              <w:top w:val="nil"/>
              <w:left w:val="nil"/>
              <w:bottom w:val="single" w:sz="4" w:space="0" w:color="auto"/>
              <w:right w:val="single" w:sz="4" w:space="0" w:color="auto"/>
            </w:tcBorders>
            <w:shd w:val="clear" w:color="auto" w:fill="auto"/>
            <w:noWrap/>
            <w:vAlign w:val="center"/>
          </w:tcPr>
          <w:p w:rsidR="00033975" w:rsidRPr="00033975" w:rsidRDefault="00033975" w:rsidP="00B53FDF">
            <w:pPr>
              <w:jc w:val="right"/>
              <w:rPr>
                <w:rFonts w:ascii="Times New Roman" w:hAnsi="Times New Roman" w:cs="Times New Roman"/>
                <w:b/>
                <w:bCs/>
                <w:sz w:val="14"/>
                <w:szCs w:val="14"/>
              </w:rPr>
            </w:pPr>
            <w:r w:rsidRPr="00033975">
              <w:rPr>
                <w:rFonts w:ascii="Times New Roman" w:hAnsi="Times New Roman" w:cs="Times New Roman"/>
                <w:b/>
                <w:bCs/>
                <w:sz w:val="14"/>
                <w:szCs w:val="14"/>
              </w:rPr>
              <w:t>44,8</w:t>
            </w:r>
          </w:p>
        </w:tc>
      </w:tr>
      <w:tr w:rsidR="00033975" w:rsidRPr="00033975" w:rsidTr="00B53FDF">
        <w:trPr>
          <w:trHeight w:val="210"/>
          <w:jc w:val="center"/>
        </w:trPr>
        <w:tc>
          <w:tcPr>
            <w:tcW w:w="7513" w:type="dxa"/>
            <w:gridSpan w:val="6"/>
            <w:tcBorders>
              <w:top w:val="single" w:sz="4" w:space="0" w:color="auto"/>
              <w:left w:val="nil"/>
              <w:bottom w:val="nil"/>
              <w:right w:val="nil"/>
            </w:tcBorders>
            <w:shd w:val="clear" w:color="auto" w:fill="auto"/>
            <w:noWrap/>
            <w:vAlign w:val="center"/>
            <w:hideMark/>
          </w:tcPr>
          <w:p w:rsidR="00033975" w:rsidRPr="00033975" w:rsidRDefault="00033975" w:rsidP="00B53FDF">
            <w:pPr>
              <w:rPr>
                <w:rFonts w:ascii="Times New Roman" w:hAnsi="Times New Roman" w:cs="Times New Roman"/>
                <w:i/>
                <w:iCs/>
                <w:sz w:val="14"/>
                <w:szCs w:val="14"/>
              </w:rPr>
            </w:pPr>
            <w:r w:rsidRPr="00033975">
              <w:rPr>
                <w:rFonts w:ascii="Times New Roman" w:hAnsi="Times New Roman" w:cs="Times New Roman"/>
                <w:i/>
                <w:iCs/>
                <w:sz w:val="14"/>
                <w:szCs w:val="14"/>
              </w:rPr>
              <w:t>Pozn.: Plusové položky zvyšujú dlh verejnej správy k 31.12. príslušného roku, mínusové položky dlh znižujú.</w:t>
            </w:r>
          </w:p>
        </w:tc>
        <w:tc>
          <w:tcPr>
            <w:tcW w:w="1559" w:type="dxa"/>
            <w:gridSpan w:val="2"/>
            <w:tcBorders>
              <w:top w:val="single" w:sz="4" w:space="0" w:color="auto"/>
              <w:left w:val="nil"/>
              <w:bottom w:val="nil"/>
              <w:right w:val="nil"/>
            </w:tcBorders>
            <w:shd w:val="clear" w:color="auto" w:fill="auto"/>
            <w:vAlign w:val="center"/>
          </w:tcPr>
          <w:p w:rsidR="00033975" w:rsidRPr="00033975" w:rsidRDefault="00033975" w:rsidP="00B53FDF">
            <w:pPr>
              <w:jc w:val="right"/>
              <w:rPr>
                <w:rFonts w:ascii="Times New Roman" w:hAnsi="Times New Roman" w:cs="Times New Roman"/>
                <w:i/>
                <w:iCs/>
                <w:sz w:val="14"/>
                <w:szCs w:val="14"/>
              </w:rPr>
            </w:pPr>
            <w:r w:rsidRPr="00033975">
              <w:rPr>
                <w:rFonts w:ascii="Times New Roman" w:hAnsi="Times New Roman" w:cs="Times New Roman"/>
                <w:i/>
                <w:iCs/>
                <w:sz w:val="14"/>
                <w:szCs w:val="14"/>
              </w:rPr>
              <w:t>Zdroj: MF SR</w:t>
            </w:r>
          </w:p>
        </w:tc>
      </w:tr>
    </w:tbl>
    <w:p w:rsidR="00033975" w:rsidRDefault="00033975" w:rsidP="00033975">
      <w:pPr>
        <w:pStyle w:val="Nadpis1"/>
        <w:keepNext w:val="0"/>
        <w:spacing w:before="0"/>
        <w:rPr>
          <w:rFonts w:ascii="Times New Roman" w:hAnsi="Times New Roman"/>
          <w:sz w:val="28"/>
          <w:szCs w:val="28"/>
        </w:rPr>
      </w:pPr>
    </w:p>
    <w:p w:rsidR="00033975" w:rsidRDefault="00033975" w:rsidP="00033975">
      <w:pPr>
        <w:pStyle w:val="Nadpis1"/>
        <w:keepNext w:val="0"/>
        <w:spacing w:before="0"/>
        <w:rPr>
          <w:rFonts w:ascii="Times New Roman" w:hAnsi="Times New Roman"/>
          <w:sz w:val="28"/>
          <w:szCs w:val="28"/>
        </w:rPr>
      </w:pPr>
    </w:p>
    <w:p w:rsidR="00033975" w:rsidRDefault="00033975" w:rsidP="00033975"/>
    <w:p w:rsidR="005F772A" w:rsidRDefault="005F772A" w:rsidP="005F772A"/>
    <w:p w:rsidR="00D25480" w:rsidRDefault="00D25480" w:rsidP="00D25480">
      <w:pPr>
        <w:pStyle w:val="Nadpis1"/>
        <w:keepNext w:val="0"/>
        <w:spacing w:before="0"/>
        <w:rPr>
          <w:rFonts w:ascii="Times New Roman" w:hAnsi="Times New Roman"/>
          <w:sz w:val="28"/>
          <w:szCs w:val="28"/>
        </w:rPr>
      </w:pPr>
    </w:p>
    <w:p w:rsidR="00013763" w:rsidRDefault="00013763" w:rsidP="00013763"/>
    <w:p w:rsidR="00013763" w:rsidRDefault="00013763" w:rsidP="00013763"/>
    <w:p w:rsidR="00013763" w:rsidRDefault="00013763" w:rsidP="00013763"/>
    <w:p w:rsidR="00013763" w:rsidRDefault="00013763" w:rsidP="00013763"/>
    <w:p w:rsidR="00013763" w:rsidRDefault="00013763" w:rsidP="00013763"/>
    <w:p w:rsidR="00013763" w:rsidRDefault="00013763" w:rsidP="00013763"/>
    <w:p w:rsidR="00013763" w:rsidRDefault="00013763" w:rsidP="00013763"/>
    <w:p w:rsidR="00013763" w:rsidRDefault="00013763" w:rsidP="00013763"/>
    <w:p w:rsidR="00013763" w:rsidRDefault="00013763" w:rsidP="00013763"/>
    <w:p w:rsidR="00013763" w:rsidRDefault="00013763" w:rsidP="00013763"/>
    <w:p w:rsidR="00013763" w:rsidRDefault="00013763" w:rsidP="00013763"/>
    <w:p w:rsidR="00013763" w:rsidRDefault="00013763" w:rsidP="00013763"/>
    <w:p w:rsidR="00013763" w:rsidRDefault="00013763" w:rsidP="00013763"/>
    <w:p w:rsidR="00013763" w:rsidRDefault="00013763" w:rsidP="00013763"/>
    <w:p w:rsidR="0041404C" w:rsidRDefault="0041404C" w:rsidP="00013763"/>
    <w:p w:rsidR="0041404C" w:rsidRDefault="0041404C" w:rsidP="00013763"/>
    <w:p w:rsidR="0041404C" w:rsidRDefault="0041404C" w:rsidP="00013763"/>
    <w:p w:rsidR="0041404C" w:rsidRDefault="0041404C" w:rsidP="00013763"/>
    <w:p w:rsidR="0041404C" w:rsidRDefault="0041404C" w:rsidP="00013763"/>
    <w:p w:rsidR="0041404C" w:rsidRDefault="0041404C" w:rsidP="00013763"/>
    <w:p w:rsidR="0041404C" w:rsidRDefault="0041404C" w:rsidP="00013763"/>
    <w:p w:rsidR="0041404C" w:rsidRDefault="0041404C" w:rsidP="00013763"/>
    <w:p w:rsidR="0041404C" w:rsidRDefault="0041404C" w:rsidP="00013763"/>
    <w:p w:rsidR="0041404C" w:rsidRDefault="0041404C" w:rsidP="00013763"/>
    <w:p w:rsidR="0041404C" w:rsidRDefault="0041404C" w:rsidP="00013763"/>
    <w:p w:rsidR="0041404C" w:rsidRDefault="0041404C" w:rsidP="00013763"/>
    <w:p w:rsidR="00013763" w:rsidRDefault="00013763" w:rsidP="00013763"/>
    <w:p w:rsidR="00013763" w:rsidRDefault="00013763" w:rsidP="00013763"/>
    <w:p w:rsidR="009C536E" w:rsidRPr="00AE239D" w:rsidRDefault="00044D70" w:rsidP="009C536E">
      <w:pPr>
        <w:pStyle w:val="Nadpis1"/>
        <w:spacing w:before="0"/>
        <w:rPr>
          <w:rFonts w:ascii="Times New Roman" w:hAnsi="Times New Roman"/>
          <w:sz w:val="28"/>
          <w:szCs w:val="28"/>
        </w:rPr>
      </w:pPr>
      <w:bookmarkStart w:id="31" w:name="_Toc526273182"/>
      <w:r w:rsidRPr="00AE239D">
        <w:rPr>
          <w:rFonts w:ascii="Times New Roman" w:hAnsi="Times New Roman"/>
          <w:sz w:val="28"/>
          <w:szCs w:val="28"/>
        </w:rPr>
        <w:lastRenderedPageBreak/>
        <w:t>3</w:t>
      </w:r>
      <w:r w:rsidR="009C536E" w:rsidRPr="00AE239D">
        <w:rPr>
          <w:rFonts w:ascii="Times New Roman" w:hAnsi="Times New Roman"/>
          <w:sz w:val="28"/>
          <w:szCs w:val="28"/>
        </w:rPr>
        <w:t xml:space="preserve">. </w:t>
      </w:r>
      <w:bookmarkStart w:id="32" w:name="_Toc273148230"/>
      <w:bookmarkStart w:id="33" w:name="_Toc273950830"/>
      <w:r w:rsidR="009C536E" w:rsidRPr="00AE239D">
        <w:rPr>
          <w:rFonts w:ascii="Times New Roman" w:hAnsi="Times New Roman"/>
          <w:sz w:val="28"/>
          <w:szCs w:val="28"/>
        </w:rPr>
        <w:t xml:space="preserve">Rozpočtovanie príjmov </w:t>
      </w:r>
      <w:bookmarkEnd w:id="32"/>
      <w:bookmarkEnd w:id="33"/>
      <w:r w:rsidR="009C536E" w:rsidRPr="00AE239D">
        <w:rPr>
          <w:rFonts w:ascii="Times New Roman" w:hAnsi="Times New Roman"/>
          <w:sz w:val="28"/>
          <w:szCs w:val="28"/>
        </w:rPr>
        <w:t>verejnej správy</w:t>
      </w:r>
      <w:bookmarkEnd w:id="31"/>
    </w:p>
    <w:p w:rsidR="00013763" w:rsidRPr="008A19F5" w:rsidRDefault="00013763" w:rsidP="00013763">
      <w:pPr>
        <w:pStyle w:val="Nadpis2"/>
        <w:rPr>
          <w:rFonts w:ascii="Times New Roman" w:hAnsi="Times New Roman"/>
          <w:i w:val="0"/>
          <w:iCs w:val="0"/>
          <w:sz w:val="24"/>
          <w:szCs w:val="24"/>
        </w:rPr>
      </w:pPr>
      <w:bookmarkStart w:id="34" w:name="_Toc526273183"/>
      <w:bookmarkStart w:id="35" w:name="_Toc463049696"/>
      <w:r w:rsidRPr="008A19F5">
        <w:rPr>
          <w:rFonts w:ascii="Times New Roman" w:hAnsi="Times New Roman"/>
          <w:i w:val="0"/>
          <w:iCs w:val="0"/>
          <w:sz w:val="24"/>
          <w:szCs w:val="24"/>
        </w:rPr>
        <w:t xml:space="preserve">3.1.  Rozpočtovanie daňových a odvodových príjmov </w:t>
      </w:r>
      <w:r w:rsidR="00A44403">
        <w:rPr>
          <w:rFonts w:ascii="Times New Roman" w:hAnsi="Times New Roman"/>
          <w:i w:val="0"/>
          <w:iCs w:val="0"/>
          <w:sz w:val="24"/>
          <w:szCs w:val="24"/>
        </w:rPr>
        <w:t>verejnej správy</w:t>
      </w:r>
      <w:bookmarkEnd w:id="34"/>
    </w:p>
    <w:p w:rsidR="002B3068" w:rsidRPr="008A19F5"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r w:rsidRPr="008A19F5">
        <w:rPr>
          <w:rFonts w:ascii="Times New Roman" w:hAnsi="Times New Roman" w:cs="Times New Roman"/>
        </w:rPr>
        <w:t xml:space="preserve">Makroekonomické predpoklady uvedené v predchádzajúcej časti tohto dokumentu boli základom pre vypracovanie aktuálnych prognóz daňových príjmov verejnej správy na roky 2019 až 2021. Aktuálna prognóza bola podrobená hodnoteniu v rámci Výboru pre daňové prognózy dňa 20. septembra 2018. Výsledkom je celkové hodnotenie charakteru prognózy </w:t>
      </w:r>
      <w:r w:rsidR="000955BD">
        <w:rPr>
          <w:rFonts w:ascii="Times New Roman" w:hAnsi="Times New Roman" w:cs="Times New Roman"/>
        </w:rPr>
        <w:br/>
      </w:r>
      <w:r w:rsidRPr="008A19F5">
        <w:rPr>
          <w:rFonts w:ascii="Times New Roman" w:hAnsi="Times New Roman" w:cs="Times New Roman"/>
        </w:rPr>
        <w:t>MF SR na základe stanoveného kritéria</w:t>
      </w:r>
      <w:r w:rsidRPr="008A19F5">
        <w:rPr>
          <w:rStyle w:val="Odkaznapoznmkupodiarou"/>
          <w:rFonts w:ascii="Times New Roman" w:hAnsi="Times New Roman"/>
        </w:rPr>
        <w:footnoteReference w:id="8"/>
      </w:r>
      <w:r w:rsidRPr="008A19F5">
        <w:rPr>
          <w:rFonts w:ascii="Times New Roman" w:hAnsi="Times New Roman" w:cs="Times New Roman"/>
        </w:rPr>
        <w:t xml:space="preserve">. Strednodobá prognóza daňových príjmov a sociálnych odvodov MF SR bola </w:t>
      </w:r>
      <w:r w:rsidRPr="001B5FC2">
        <w:rPr>
          <w:rFonts w:ascii="Times New Roman" w:hAnsi="Times New Roman" w:cs="Times New Roman"/>
        </w:rPr>
        <w:t xml:space="preserve">všetkými členmi Výboru označená ako </w:t>
      </w:r>
      <w:r w:rsidRPr="001B5FC2">
        <w:rPr>
          <w:rFonts w:ascii="Times New Roman" w:hAnsi="Times New Roman" w:cs="Times New Roman"/>
          <w:b/>
          <w:bCs/>
        </w:rPr>
        <w:t>realistická</w:t>
      </w:r>
      <w:r w:rsidRPr="001B5FC2">
        <w:rPr>
          <w:rFonts w:ascii="Times New Roman" w:hAnsi="Times New Roman" w:cs="Times New Roman"/>
        </w:rPr>
        <w:t xml:space="preserve">. </w:t>
      </w:r>
    </w:p>
    <w:p w:rsidR="002B3068" w:rsidRDefault="002B3068" w:rsidP="002B3068">
      <w:pPr>
        <w:jc w:val="both"/>
        <w:rPr>
          <w:rFonts w:ascii="Times New Roman" w:hAnsi="Times New Roman" w:cs="Times New Roman"/>
        </w:rPr>
      </w:pPr>
    </w:p>
    <w:p w:rsidR="000955BD" w:rsidRDefault="000955BD" w:rsidP="002B3068">
      <w:pPr>
        <w:jc w:val="both"/>
        <w:rPr>
          <w:rFonts w:ascii="Times New Roman" w:hAnsi="Times New Roman" w:cs="Times New Roman"/>
        </w:rPr>
      </w:pPr>
      <w:r>
        <w:rPr>
          <w:rFonts w:ascii="Times New Roman" w:hAnsi="Times New Roman" w:cs="Times New Roman"/>
        </w:rPr>
        <w:tab/>
      </w:r>
      <w:r w:rsidRPr="00DD00BE">
        <w:rPr>
          <w:rFonts w:ascii="Times New Roman" w:hAnsi="Times New Roman" w:cs="Times New Roman"/>
        </w:rPr>
        <w:t>Nad rámec vyššie uvedenej prognózy je v rozpočte verejnej správy zapracovaný odhadovaný príjem z</w:t>
      </w:r>
      <w:r w:rsidR="000B67CA" w:rsidRPr="00DD00BE">
        <w:rPr>
          <w:rFonts w:ascii="Times New Roman" w:hAnsi="Times New Roman" w:cs="Times New Roman"/>
        </w:rPr>
        <w:t xml:space="preserve"> osobitného </w:t>
      </w:r>
      <w:r w:rsidRPr="00DD00BE">
        <w:rPr>
          <w:rFonts w:ascii="Times New Roman" w:hAnsi="Times New Roman" w:cs="Times New Roman"/>
        </w:rPr>
        <w:t>odvodu obchodných reťazcov, novely zákona č. 98/2004 Z. z. o spotrebnej dani z minerálneho oleja a novely zákona č. 289/2008 Z. z. o používaní elektronickej registračnej pokladnice.</w:t>
      </w:r>
      <w:r w:rsidR="00570A08" w:rsidRPr="00DD00BE">
        <w:rPr>
          <w:rStyle w:val="Odkaznapoznmkupodiarou"/>
          <w:rFonts w:ascii="Times New Roman" w:hAnsi="Times New Roman"/>
        </w:rPr>
        <w:footnoteReference w:id="9"/>
      </w:r>
    </w:p>
    <w:p w:rsidR="002B3068" w:rsidRPr="00886A7F" w:rsidRDefault="002B3068" w:rsidP="002B3068">
      <w:pPr>
        <w:ind w:firstLine="720"/>
        <w:jc w:val="both"/>
        <w:rPr>
          <w:rFonts w:ascii="Times New Roman" w:hAnsi="Times New Roman" w:cs="Times New Roman"/>
          <w:highlight w:val="yellow"/>
        </w:rPr>
      </w:pPr>
    </w:p>
    <w:p w:rsidR="002B3068" w:rsidRDefault="002B3068" w:rsidP="002B3068">
      <w:pPr>
        <w:rPr>
          <w:rFonts w:ascii="Times New Roman" w:hAnsi="Times New Roman" w:cs="Times New Roman"/>
          <w:b/>
          <w:bCs/>
        </w:rPr>
      </w:pPr>
      <w:r w:rsidRPr="008A19F5">
        <w:rPr>
          <w:rFonts w:ascii="Times New Roman" w:hAnsi="Times New Roman" w:cs="Times New Roman"/>
          <w:b/>
          <w:bCs/>
        </w:rPr>
        <w:t>Prehľad legislatívnych zmien</w:t>
      </w:r>
    </w:p>
    <w:p w:rsidR="002B3068" w:rsidRPr="008A19F5" w:rsidRDefault="002B3068" w:rsidP="002B3068">
      <w:pPr>
        <w:ind w:firstLine="720"/>
        <w:jc w:val="both"/>
        <w:rPr>
          <w:rFonts w:ascii="Times New Roman" w:hAnsi="Times New Roman" w:cs="Times New Roman"/>
          <w:color w:val="FF0000"/>
        </w:rPr>
      </w:pPr>
    </w:p>
    <w:p w:rsidR="002B3068" w:rsidRPr="008A19F5" w:rsidRDefault="002B3068" w:rsidP="002B3068">
      <w:pPr>
        <w:ind w:firstLine="720"/>
        <w:jc w:val="both"/>
        <w:rPr>
          <w:rFonts w:ascii="Times New Roman" w:hAnsi="Times New Roman" w:cs="Times New Roman"/>
        </w:rPr>
      </w:pPr>
      <w:r w:rsidRPr="008A19F5">
        <w:rPr>
          <w:rFonts w:ascii="Times New Roman" w:hAnsi="Times New Roman" w:cs="Times New Roman"/>
        </w:rPr>
        <w:t xml:space="preserve">Oproti </w:t>
      </w:r>
      <w:r>
        <w:rPr>
          <w:rFonts w:ascii="Times New Roman" w:hAnsi="Times New Roman" w:cs="Times New Roman"/>
        </w:rPr>
        <w:t xml:space="preserve">legislatívnym zmenám zapracovaným v prognóze daňových príjmov na roky 2018 až 2020 schválenej Výborom pre daňové prognózy </w:t>
      </w:r>
      <w:r w:rsidRPr="008A19F5">
        <w:rPr>
          <w:rFonts w:ascii="Times New Roman" w:hAnsi="Times New Roman" w:cs="Times New Roman"/>
        </w:rPr>
        <w:t>dochádza k niekoľkým legislatívnym zmenám s vplyvom na daňové príjmy verejnej správy. Ich súhrn je uvedený v nasledujúcej tabuľke.</w:t>
      </w:r>
    </w:p>
    <w:p w:rsidR="002B3068" w:rsidRPr="00570A08" w:rsidRDefault="002B3068" w:rsidP="002B3068">
      <w:pPr>
        <w:ind w:firstLine="720"/>
        <w:jc w:val="both"/>
        <w:rPr>
          <w:rFonts w:ascii="Times New Roman" w:hAnsi="Times New Roman" w:cs="Times New Roman"/>
          <w:sz w:val="14"/>
          <w:highlight w:val="yellow"/>
        </w:rPr>
      </w:pPr>
    </w:p>
    <w:tbl>
      <w:tblPr>
        <w:tblW w:w="5000" w:type="pct"/>
        <w:tblLayout w:type="fixed"/>
        <w:tblCellMar>
          <w:left w:w="70" w:type="dxa"/>
          <w:right w:w="70" w:type="dxa"/>
        </w:tblCellMar>
        <w:tblLook w:val="04A0" w:firstRow="1" w:lastRow="0" w:firstColumn="1" w:lastColumn="0" w:noHBand="0" w:noVBand="1"/>
      </w:tblPr>
      <w:tblGrid>
        <w:gridCol w:w="5098"/>
        <w:gridCol w:w="991"/>
        <w:gridCol w:w="991"/>
        <w:gridCol w:w="991"/>
        <w:gridCol w:w="991"/>
      </w:tblGrid>
      <w:tr w:rsidR="002B3068" w:rsidRPr="00A9294D" w:rsidTr="00570A08">
        <w:trPr>
          <w:trHeight w:val="227"/>
        </w:trPr>
        <w:tc>
          <w:tcPr>
            <w:tcW w:w="9062"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2B3068" w:rsidRPr="00A9294D" w:rsidRDefault="002B3068" w:rsidP="00DF0EF9">
            <w:pPr>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Vplyv legislatívnych opatrení na daňové a odvodové príjmy verejnej správy (tis. eur, ESA 2010)</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 </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center"/>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2018</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center"/>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2019</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center"/>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2020</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center"/>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2021</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Zákon č. 595/2003 Z. z. o dani z príjmov</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-3 945</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-9 332</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-32 196</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-33 908</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2B3068" w:rsidRPr="00A9294D" w:rsidRDefault="002B3068" w:rsidP="00DF0EF9">
            <w:pPr>
              <w:ind w:firstLineChars="200" w:firstLine="320"/>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 xml:space="preserve">Oslobodenie príjmov z predaja akcií a obchodných podielov </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0</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-5 300</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-28 078</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-29 700</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2B3068" w:rsidRPr="00A9294D" w:rsidRDefault="002B3068" w:rsidP="00DF0EF9">
            <w:pPr>
              <w:ind w:firstLineChars="200" w:firstLine="320"/>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Skrátenie doby odpisovania zo 40 na 20 rokov</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-2 579</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-2 579</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-2 579</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-2 579</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2B3068" w:rsidRPr="00A9294D" w:rsidRDefault="002B3068" w:rsidP="00DF0EF9">
            <w:pPr>
              <w:ind w:firstLineChars="200" w:firstLine="320"/>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Oslobodenie príjmov z reklám neziskových organizácií</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-1 366</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-1 453</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-1 540</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-1 629</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 xml:space="preserve">Zákon č. 530/2011 </w:t>
            </w:r>
            <w:r>
              <w:rPr>
                <w:rFonts w:ascii="Times New Roman" w:hAnsi="Times New Roman" w:cs="Times New Roman"/>
                <w:b/>
                <w:bCs/>
                <w:color w:val="000000"/>
                <w:sz w:val="16"/>
                <w:szCs w:val="16"/>
                <w:lang w:eastAsia="sk-SK"/>
              </w:rPr>
              <w:t xml:space="preserve">Z. z. </w:t>
            </w:r>
            <w:r w:rsidRPr="00A9294D">
              <w:rPr>
                <w:rFonts w:ascii="Times New Roman" w:hAnsi="Times New Roman" w:cs="Times New Roman"/>
                <w:b/>
                <w:bCs/>
                <w:color w:val="000000"/>
                <w:sz w:val="16"/>
                <w:szCs w:val="16"/>
                <w:lang w:eastAsia="sk-SK"/>
              </w:rPr>
              <w:t>o</w:t>
            </w:r>
            <w:r>
              <w:rPr>
                <w:rFonts w:ascii="Times New Roman" w:hAnsi="Times New Roman" w:cs="Times New Roman"/>
                <w:b/>
                <w:bCs/>
                <w:color w:val="000000"/>
                <w:sz w:val="16"/>
                <w:szCs w:val="16"/>
                <w:lang w:eastAsia="sk-SK"/>
              </w:rPr>
              <w:t> spotrebnej dani</w:t>
            </w:r>
            <w:r w:rsidRPr="00A9294D">
              <w:rPr>
                <w:rFonts w:ascii="Times New Roman" w:hAnsi="Times New Roman" w:cs="Times New Roman"/>
                <w:b/>
                <w:bCs/>
                <w:color w:val="000000"/>
                <w:sz w:val="16"/>
                <w:szCs w:val="16"/>
                <w:lang w:eastAsia="sk-SK"/>
              </w:rPr>
              <w:t xml:space="preserve"> z alkoholických nápojov</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0</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-3 650</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-3 650</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-3 650</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2B3068" w:rsidRPr="00A9294D" w:rsidRDefault="002B3068" w:rsidP="00DF0EF9">
            <w:pPr>
              <w:ind w:firstLineChars="200" w:firstLine="320"/>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Domáce pálenie</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 </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-3 650</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-3 650</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-3 650</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Zákon č. 311/2001 Z.</w:t>
            </w:r>
            <w:r>
              <w:rPr>
                <w:rFonts w:ascii="Times New Roman" w:hAnsi="Times New Roman" w:cs="Times New Roman"/>
                <w:b/>
                <w:bCs/>
                <w:color w:val="000000"/>
                <w:sz w:val="16"/>
                <w:szCs w:val="16"/>
                <w:lang w:eastAsia="sk-SK"/>
              </w:rPr>
              <w:t xml:space="preserve"> </w:t>
            </w:r>
            <w:r w:rsidRPr="00A9294D">
              <w:rPr>
                <w:rFonts w:ascii="Times New Roman" w:hAnsi="Times New Roman" w:cs="Times New Roman"/>
                <w:b/>
                <w:bCs/>
                <w:color w:val="000000"/>
                <w:sz w:val="16"/>
                <w:szCs w:val="16"/>
                <w:lang w:eastAsia="sk-SK"/>
              </w:rPr>
              <w:t>z. Zákonník práce</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-2 373</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-39 168</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-54 875</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-119 170</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2B3068" w:rsidRPr="00A9294D" w:rsidRDefault="002B3068" w:rsidP="00DF0EF9">
            <w:pPr>
              <w:ind w:firstLineChars="200" w:firstLine="320"/>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Zavedenie 13</w:t>
            </w:r>
            <w:r w:rsidR="00330A2B">
              <w:rPr>
                <w:rFonts w:ascii="Times New Roman" w:hAnsi="Times New Roman" w:cs="Times New Roman"/>
                <w:color w:val="000000"/>
                <w:sz w:val="16"/>
                <w:szCs w:val="16"/>
                <w:lang w:eastAsia="sk-SK"/>
              </w:rPr>
              <w:t>.</w:t>
            </w:r>
            <w:r w:rsidRPr="00A9294D">
              <w:rPr>
                <w:rFonts w:ascii="Times New Roman" w:hAnsi="Times New Roman" w:cs="Times New Roman"/>
                <w:color w:val="000000"/>
                <w:sz w:val="16"/>
                <w:szCs w:val="16"/>
                <w:lang w:eastAsia="sk-SK"/>
              </w:rPr>
              <w:t xml:space="preserve"> a</w:t>
            </w:r>
            <w:r w:rsidR="00330A2B">
              <w:rPr>
                <w:rFonts w:ascii="Times New Roman" w:hAnsi="Times New Roman" w:cs="Times New Roman"/>
                <w:color w:val="000000"/>
                <w:sz w:val="16"/>
                <w:szCs w:val="16"/>
                <w:lang w:eastAsia="sk-SK"/>
              </w:rPr>
              <w:t> </w:t>
            </w:r>
            <w:r w:rsidRPr="00A9294D">
              <w:rPr>
                <w:rFonts w:ascii="Times New Roman" w:hAnsi="Times New Roman" w:cs="Times New Roman"/>
                <w:color w:val="000000"/>
                <w:sz w:val="16"/>
                <w:szCs w:val="16"/>
                <w:lang w:eastAsia="sk-SK"/>
              </w:rPr>
              <w:t>14</w:t>
            </w:r>
            <w:r w:rsidR="00330A2B">
              <w:rPr>
                <w:rFonts w:ascii="Times New Roman" w:hAnsi="Times New Roman" w:cs="Times New Roman"/>
                <w:color w:val="000000"/>
                <w:sz w:val="16"/>
                <w:szCs w:val="16"/>
                <w:lang w:eastAsia="sk-SK"/>
              </w:rPr>
              <w:t>.</w:t>
            </w:r>
            <w:r w:rsidRPr="00A9294D">
              <w:rPr>
                <w:rFonts w:ascii="Times New Roman" w:hAnsi="Times New Roman" w:cs="Times New Roman"/>
                <w:color w:val="000000"/>
                <w:sz w:val="16"/>
                <w:szCs w:val="16"/>
                <w:lang w:eastAsia="sk-SK"/>
              </w:rPr>
              <w:t xml:space="preserve"> platu (1.5.2018)</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-2 373</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-39 168</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-54 875</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-119 170</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Zákon č. 461/2003 Z. z. o sociálnom poistení</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-9 037</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-18 696</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-18 939</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39 419</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2B3068" w:rsidRPr="00A9294D" w:rsidRDefault="002B3068" w:rsidP="00DF0EF9">
            <w:pPr>
              <w:ind w:firstLineChars="200" w:firstLine="320"/>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Zavedenie OOP pre dôchodcov pre SO (1.7.2018)</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-9 037</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-18 696</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-18 939</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-19 185</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2B3068" w:rsidRPr="00A9294D" w:rsidRDefault="002B3068" w:rsidP="00DF0EF9">
            <w:pPr>
              <w:ind w:firstLineChars="200" w:firstLine="320"/>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Ročné zúčtovanie sociálnych odvodov</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0</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0</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0</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58 604</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Zákon č. 576/2004 Z. z. o zdravotnej starostlivosti, službách súvisiacich s poskytovaním zdravotnej starostlivosti</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20 169</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86 646</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78 277</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71 160</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2B3068" w:rsidRPr="00A9294D" w:rsidRDefault="002B3068" w:rsidP="00DF0EF9">
            <w:pPr>
              <w:ind w:firstLineChars="200" w:firstLine="320"/>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Zrušenie OOP na ZO pre zamestnávateľa</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20 169</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86 646</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78 277</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71 160</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Zákon č. xxx o poplatkoch za uloženie odpadu</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0</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9 683</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21 206</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27 522</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2B3068" w:rsidRPr="00A9294D" w:rsidRDefault="002B3068" w:rsidP="00DF0EF9">
            <w:pPr>
              <w:ind w:firstLineChars="200" w:firstLine="320"/>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Poplatok za uloženie odpadu</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 </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9 683</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21 206</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27 522</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Zákon č. 39/2015 Z. z. o poisťovníctve</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26 633</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7 837</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8 914</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9 865</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2B3068" w:rsidRPr="00A9294D" w:rsidRDefault="002B3068" w:rsidP="00DF0EF9">
            <w:pPr>
              <w:ind w:firstLineChars="200" w:firstLine="320"/>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Odvod z PZP - preklasifikovanie</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26 633</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27 837</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28 914</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29 865</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2B3068" w:rsidRPr="00A9294D" w:rsidRDefault="002B3068" w:rsidP="00DF0EF9">
            <w:pPr>
              <w:ind w:firstLineChars="200" w:firstLine="320"/>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Zrušenie odvodu z poistného</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 </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-20 000</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-20 000</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-20 000</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 xml:space="preserve">Zákon č. 213/2018 </w:t>
            </w:r>
            <w:r>
              <w:rPr>
                <w:rFonts w:ascii="Times New Roman" w:hAnsi="Times New Roman" w:cs="Times New Roman"/>
                <w:b/>
                <w:bCs/>
                <w:color w:val="000000"/>
                <w:sz w:val="16"/>
                <w:szCs w:val="16"/>
                <w:lang w:eastAsia="sk-SK"/>
              </w:rPr>
              <w:t xml:space="preserve">Z. z. </w:t>
            </w:r>
            <w:r w:rsidRPr="00A9294D">
              <w:rPr>
                <w:rFonts w:ascii="Times New Roman" w:hAnsi="Times New Roman" w:cs="Times New Roman"/>
                <w:b/>
                <w:bCs/>
                <w:color w:val="000000"/>
                <w:sz w:val="16"/>
                <w:szCs w:val="16"/>
                <w:lang w:eastAsia="sk-SK"/>
              </w:rPr>
              <w:t>o dani z poistenia</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0</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73 600</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75 800</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78 100</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2B3068" w:rsidRPr="00A9294D" w:rsidRDefault="002B3068" w:rsidP="00DF0EF9">
            <w:pPr>
              <w:ind w:firstLineChars="200" w:firstLine="320"/>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Daň z poistného</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 </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73 600</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75 800</w:t>
            </w:r>
          </w:p>
        </w:tc>
        <w:tc>
          <w:tcPr>
            <w:tcW w:w="991" w:type="dxa"/>
            <w:tcBorders>
              <w:top w:val="nil"/>
              <w:left w:val="nil"/>
              <w:bottom w:val="single" w:sz="4" w:space="0" w:color="auto"/>
              <w:right w:val="single" w:sz="4" w:space="0" w:color="auto"/>
            </w:tcBorders>
            <w:shd w:val="clear" w:color="auto" w:fill="auto"/>
            <w:noWrap/>
            <w:vAlign w:val="center"/>
            <w:hideMark/>
          </w:tcPr>
          <w:p w:rsidR="002B3068" w:rsidRPr="00A9294D" w:rsidRDefault="002B3068" w:rsidP="00DF0EF9">
            <w:pPr>
              <w:jc w:val="right"/>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78 100</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Zákon č. 61/2015 Z. z. o odbornom vzdelávaní</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 </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 </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 </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 </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2B3068" w:rsidRPr="00A9294D" w:rsidRDefault="002B3068" w:rsidP="00DF0EF9">
            <w:pPr>
              <w:ind w:firstLineChars="200" w:firstLine="320"/>
              <w:rPr>
                <w:rFonts w:ascii="Times New Roman" w:hAnsi="Times New Roman" w:cs="Times New Roman"/>
                <w:color w:val="000000"/>
                <w:sz w:val="16"/>
                <w:szCs w:val="16"/>
                <w:lang w:eastAsia="sk-SK"/>
              </w:rPr>
            </w:pPr>
            <w:r w:rsidRPr="00A9294D">
              <w:rPr>
                <w:rFonts w:ascii="Times New Roman" w:hAnsi="Times New Roman" w:cs="Times New Roman"/>
                <w:color w:val="000000"/>
                <w:sz w:val="16"/>
                <w:szCs w:val="16"/>
                <w:lang w:eastAsia="sk-SK"/>
              </w:rPr>
              <w:t>Duálne vzdelávanie</w:t>
            </w:r>
          </w:p>
        </w:tc>
        <w:tc>
          <w:tcPr>
            <w:tcW w:w="396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2B3068" w:rsidRPr="00A9294D" w:rsidRDefault="002B3068" w:rsidP="00DF0EF9">
            <w:pPr>
              <w:jc w:val="center"/>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bez kvantifikácie</w:t>
            </w:r>
          </w:p>
        </w:tc>
      </w:tr>
      <w:tr w:rsidR="002B3068" w:rsidRPr="00A9294D" w:rsidTr="00570A08">
        <w:trPr>
          <w:trHeight w:val="227"/>
        </w:trPr>
        <w:tc>
          <w:tcPr>
            <w:tcW w:w="5098"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Spolu vplyv</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31 447</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106 919</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74 536</w:t>
            </w:r>
          </w:p>
        </w:tc>
        <w:tc>
          <w:tcPr>
            <w:tcW w:w="991" w:type="dxa"/>
            <w:tcBorders>
              <w:top w:val="nil"/>
              <w:left w:val="nil"/>
              <w:bottom w:val="single" w:sz="4" w:space="0" w:color="auto"/>
              <w:right w:val="single" w:sz="4" w:space="0" w:color="auto"/>
            </w:tcBorders>
            <w:shd w:val="clear" w:color="auto" w:fill="BFBFBF" w:themeFill="background1" w:themeFillShade="BF"/>
            <w:noWrap/>
            <w:vAlign w:val="center"/>
            <w:hideMark/>
          </w:tcPr>
          <w:p w:rsidR="002B3068" w:rsidRPr="00A9294D" w:rsidRDefault="002B3068" w:rsidP="00DF0EF9">
            <w:pPr>
              <w:jc w:val="right"/>
              <w:rPr>
                <w:rFonts w:ascii="Times New Roman" w:hAnsi="Times New Roman" w:cs="Times New Roman"/>
                <w:b/>
                <w:bCs/>
                <w:color w:val="000000"/>
                <w:sz w:val="16"/>
                <w:szCs w:val="16"/>
                <w:lang w:eastAsia="sk-SK"/>
              </w:rPr>
            </w:pPr>
            <w:r w:rsidRPr="00A9294D">
              <w:rPr>
                <w:rFonts w:ascii="Times New Roman" w:hAnsi="Times New Roman" w:cs="Times New Roman"/>
                <w:b/>
                <w:bCs/>
                <w:color w:val="000000"/>
                <w:sz w:val="16"/>
                <w:szCs w:val="16"/>
                <w:lang w:eastAsia="sk-SK"/>
              </w:rPr>
              <w:t>69 338</w:t>
            </w:r>
          </w:p>
        </w:tc>
      </w:tr>
    </w:tbl>
    <w:p w:rsidR="002B3068" w:rsidRDefault="002B3068" w:rsidP="002B3068">
      <w:pPr>
        <w:ind w:firstLine="708"/>
        <w:jc w:val="both"/>
        <w:rPr>
          <w:rFonts w:ascii="Times New Roman" w:hAnsi="Times New Roman" w:cs="Times New Roman"/>
          <w:b/>
          <w:i/>
        </w:rPr>
      </w:pPr>
    </w:p>
    <w:p w:rsidR="00DD00BE" w:rsidRDefault="00DD00BE" w:rsidP="002B3068">
      <w:pPr>
        <w:ind w:firstLine="708"/>
        <w:jc w:val="both"/>
        <w:rPr>
          <w:rFonts w:ascii="Times New Roman" w:hAnsi="Times New Roman" w:cs="Times New Roman"/>
          <w:b/>
          <w:i/>
        </w:rPr>
      </w:pPr>
    </w:p>
    <w:p w:rsidR="002B3068" w:rsidRPr="001E3779" w:rsidRDefault="002B3068" w:rsidP="002B3068">
      <w:pPr>
        <w:ind w:firstLine="708"/>
        <w:jc w:val="both"/>
        <w:rPr>
          <w:rFonts w:ascii="Times New Roman" w:hAnsi="Times New Roman" w:cs="Times New Roman"/>
          <w:b/>
          <w:i/>
        </w:rPr>
      </w:pPr>
      <w:r w:rsidRPr="001E3779">
        <w:rPr>
          <w:rFonts w:ascii="Times New Roman" w:hAnsi="Times New Roman" w:cs="Times New Roman"/>
          <w:b/>
          <w:i/>
        </w:rPr>
        <w:lastRenderedPageBreak/>
        <w:t>Novela zákona č. 595/2003 Z. z. o dani z príjmov</w:t>
      </w:r>
    </w:p>
    <w:p w:rsidR="002B3068" w:rsidRPr="00886A7F" w:rsidRDefault="002B3068" w:rsidP="002B3068">
      <w:pPr>
        <w:ind w:firstLine="708"/>
        <w:jc w:val="both"/>
        <w:rPr>
          <w:rFonts w:ascii="Times New Roman" w:hAnsi="Times New Roman" w:cs="Times New Roman"/>
          <w:highlight w:val="yellow"/>
        </w:rPr>
      </w:pPr>
    </w:p>
    <w:p w:rsidR="002B3068" w:rsidRPr="00BD1886" w:rsidRDefault="002B3068" w:rsidP="002B3068">
      <w:pPr>
        <w:ind w:firstLine="708"/>
        <w:jc w:val="both"/>
        <w:rPr>
          <w:rFonts w:ascii="Times New Roman" w:hAnsi="Times New Roman" w:cs="Times New Roman"/>
        </w:rPr>
      </w:pPr>
      <w:r w:rsidRPr="00BD1886">
        <w:rPr>
          <w:rFonts w:ascii="Times New Roman" w:hAnsi="Times New Roman" w:cs="Times New Roman"/>
        </w:rPr>
        <w:t>Novela zákona č. 595/2003 Z. z. o dani z príjmov upravuje dobu odpisovania budov</w:t>
      </w:r>
      <w:r w:rsidR="00330A2B">
        <w:rPr>
          <w:rFonts w:ascii="Times New Roman" w:hAnsi="Times New Roman" w:cs="Times New Roman"/>
        </w:rPr>
        <w:t>,</w:t>
      </w:r>
      <w:r w:rsidRPr="00BD1886">
        <w:rPr>
          <w:rFonts w:ascii="Times New Roman" w:hAnsi="Times New Roman" w:cs="Times New Roman"/>
        </w:rPr>
        <w:t xml:space="preserve"> v ktorých sa poskytuje kúpeľná starostlivosť. Konkrétne, novela umožní subjektom skrátenie doby odpisovania týchto budov zo 40 rokov na minimálne 20 rokov.</w:t>
      </w:r>
    </w:p>
    <w:p w:rsidR="002B3068" w:rsidRPr="00BD1886" w:rsidRDefault="002B3068" w:rsidP="002B3068">
      <w:pPr>
        <w:ind w:firstLine="708"/>
        <w:jc w:val="both"/>
        <w:rPr>
          <w:rFonts w:ascii="Times New Roman" w:hAnsi="Times New Roman" w:cs="Times New Roman"/>
        </w:rPr>
      </w:pPr>
    </w:p>
    <w:p w:rsidR="002B3068" w:rsidRPr="00BD1886" w:rsidRDefault="002B3068" w:rsidP="002B3068">
      <w:pPr>
        <w:ind w:firstLine="708"/>
        <w:jc w:val="both"/>
        <w:rPr>
          <w:rFonts w:ascii="Times New Roman" w:hAnsi="Times New Roman" w:cs="Times New Roman"/>
        </w:rPr>
      </w:pPr>
      <w:r w:rsidRPr="00BD1886">
        <w:rPr>
          <w:rFonts w:ascii="Times New Roman" w:hAnsi="Times New Roman" w:cs="Times New Roman"/>
        </w:rPr>
        <w:t>Od roku 2018 vstupuje do platnosti tiež oslobodenie príjmov z predaja obchodných podielov na úrovni fyzických aj právnických osôb. Plný fiškálny vplyv opatrenia však očakávame až od roku 2020. Dôvodom posunu fiškálneho vplyvu je nevyhnutnosť splnenia podmienky pre dosiahnutie oslobodenia. Podmienkou je minimálna účasť na zákla</w:t>
      </w:r>
      <w:r w:rsidR="00330A2B">
        <w:rPr>
          <w:rFonts w:ascii="Times New Roman" w:hAnsi="Times New Roman" w:cs="Times New Roman"/>
        </w:rPr>
        <w:t>dnom imaní obchodnej spoločnosti</w:t>
      </w:r>
      <w:r w:rsidRPr="00BD1886">
        <w:rPr>
          <w:rFonts w:ascii="Times New Roman" w:hAnsi="Times New Roman" w:cs="Times New Roman"/>
        </w:rPr>
        <w:t xml:space="preserve"> vo výške 10 % a po dobu 24 bezprostredne po sebe nasledujúcich kalendárnych mesiacov. Časť fiškálneho vplyvu vo výške 20 % plného vplyvu za rok 2020 očakávame už v roku 2019. Predpokladáme, že časť subjektov odloží predaj obchodného podielu s cieľom splniť podmienku pre dosiahnutie oslobodenia.</w:t>
      </w:r>
    </w:p>
    <w:p w:rsidR="002B3068" w:rsidRPr="00BD1886" w:rsidRDefault="002B3068" w:rsidP="002B3068">
      <w:pPr>
        <w:ind w:firstLine="708"/>
        <w:jc w:val="both"/>
        <w:rPr>
          <w:rFonts w:ascii="Times New Roman" w:hAnsi="Times New Roman" w:cs="Times New Roman"/>
        </w:rPr>
      </w:pPr>
    </w:p>
    <w:p w:rsidR="002B3068" w:rsidRPr="00BD1886" w:rsidRDefault="002B3068" w:rsidP="002B3068">
      <w:pPr>
        <w:ind w:firstLine="708"/>
        <w:jc w:val="both"/>
        <w:rPr>
          <w:rFonts w:ascii="Times New Roman" w:hAnsi="Times New Roman" w:cs="Times New Roman"/>
        </w:rPr>
      </w:pPr>
      <w:r w:rsidRPr="00BD1886">
        <w:rPr>
          <w:rFonts w:ascii="Times New Roman" w:hAnsi="Times New Roman" w:cs="Times New Roman"/>
        </w:rPr>
        <w:t>Zmena zákona o dani z príjmov ďalej oslobodzuje príjmy z reklám maximálne do výšk</w:t>
      </w:r>
      <w:r w:rsidR="00330A2B">
        <w:rPr>
          <w:rFonts w:ascii="Times New Roman" w:hAnsi="Times New Roman" w:cs="Times New Roman"/>
        </w:rPr>
        <w:t>y</w:t>
      </w:r>
      <w:r w:rsidRPr="00BD1886">
        <w:rPr>
          <w:rFonts w:ascii="Times New Roman" w:hAnsi="Times New Roman" w:cs="Times New Roman"/>
        </w:rPr>
        <w:t xml:space="preserve"> 20 tis. eur pre vybrané právne formy neziskového sektora (</w:t>
      </w:r>
      <w:r>
        <w:rPr>
          <w:rFonts w:ascii="Times New Roman" w:hAnsi="Times New Roman" w:cs="Times New Roman"/>
        </w:rPr>
        <w:t>n</w:t>
      </w:r>
      <w:r w:rsidRPr="00BD1886">
        <w:rPr>
          <w:rFonts w:ascii="Times New Roman" w:hAnsi="Times New Roman" w:cs="Times New Roman"/>
        </w:rPr>
        <w:t>adácia, neinvestičný fond, nezisková organizácia poskytujúca všeobecne prospešné služby a občianske združenie)</w:t>
      </w:r>
      <w:r>
        <w:rPr>
          <w:rFonts w:ascii="Times New Roman" w:hAnsi="Times New Roman" w:cs="Times New Roman"/>
        </w:rPr>
        <w:t>.</w:t>
      </w:r>
      <w:r w:rsidRPr="00BD1886">
        <w:rPr>
          <w:rFonts w:ascii="Times New Roman" w:hAnsi="Times New Roman" w:cs="Times New Roman"/>
        </w:rPr>
        <w:t xml:space="preserve"> </w:t>
      </w:r>
    </w:p>
    <w:p w:rsidR="002B3068" w:rsidRPr="00886A7F" w:rsidRDefault="002B3068" w:rsidP="002B3068">
      <w:pPr>
        <w:ind w:firstLine="708"/>
        <w:jc w:val="both"/>
        <w:rPr>
          <w:rFonts w:ascii="Times New Roman" w:hAnsi="Times New Roman" w:cs="Times New Roman"/>
          <w:highlight w:val="yellow"/>
        </w:rPr>
      </w:pPr>
    </w:p>
    <w:p w:rsidR="002B3068" w:rsidRPr="0054208C" w:rsidRDefault="002B3068" w:rsidP="002B3068">
      <w:pPr>
        <w:ind w:firstLine="708"/>
        <w:jc w:val="both"/>
        <w:rPr>
          <w:rFonts w:ascii="Times New Roman" w:hAnsi="Times New Roman" w:cs="Times New Roman"/>
          <w:b/>
          <w:i/>
        </w:rPr>
      </w:pPr>
      <w:r w:rsidRPr="0054208C">
        <w:rPr>
          <w:rFonts w:ascii="Times New Roman" w:hAnsi="Times New Roman" w:cs="Times New Roman"/>
          <w:b/>
          <w:i/>
        </w:rPr>
        <w:t>Novela zákona č. 530/2011 Z. z. o spotrebnej dani z alkoholických nápojov</w:t>
      </w:r>
    </w:p>
    <w:p w:rsidR="002B3068" w:rsidRPr="0054208C" w:rsidRDefault="002B3068" w:rsidP="002B3068">
      <w:pPr>
        <w:jc w:val="both"/>
        <w:rPr>
          <w:b/>
          <w:i/>
        </w:rPr>
      </w:pPr>
    </w:p>
    <w:p w:rsidR="002B3068" w:rsidRPr="0054208C" w:rsidRDefault="002B3068" w:rsidP="002B3068">
      <w:pPr>
        <w:ind w:firstLine="708"/>
        <w:jc w:val="both"/>
        <w:rPr>
          <w:rFonts w:ascii="Times New Roman" w:hAnsi="Times New Roman" w:cs="Times New Roman"/>
        </w:rPr>
      </w:pPr>
      <w:r w:rsidRPr="0054208C">
        <w:rPr>
          <w:rFonts w:ascii="Times New Roman" w:hAnsi="Times New Roman" w:cs="Times New Roman"/>
        </w:rPr>
        <w:t>Od 1.</w:t>
      </w:r>
      <w:r>
        <w:rPr>
          <w:rFonts w:ascii="Times New Roman" w:hAnsi="Times New Roman" w:cs="Times New Roman"/>
        </w:rPr>
        <w:t xml:space="preserve"> </w:t>
      </w:r>
      <w:r w:rsidRPr="0054208C">
        <w:rPr>
          <w:rFonts w:ascii="Times New Roman" w:hAnsi="Times New Roman" w:cs="Times New Roman"/>
        </w:rPr>
        <w:t>1.</w:t>
      </w:r>
      <w:r>
        <w:rPr>
          <w:rFonts w:ascii="Times New Roman" w:hAnsi="Times New Roman" w:cs="Times New Roman"/>
        </w:rPr>
        <w:t xml:space="preserve"> </w:t>
      </w:r>
      <w:r w:rsidRPr="0054208C">
        <w:rPr>
          <w:rFonts w:ascii="Times New Roman" w:hAnsi="Times New Roman" w:cs="Times New Roman"/>
        </w:rPr>
        <w:t xml:space="preserve">2019 budú mať fyzické osoby možnosť si doma z vlastného ovocia vyrobiť destiláty pre vlastnú spotrebu (maximálne </w:t>
      </w:r>
      <w:r w:rsidRPr="00A11310">
        <w:rPr>
          <w:rFonts w:ascii="Times New Roman" w:hAnsi="Times New Roman" w:cs="Times New Roman"/>
        </w:rPr>
        <w:t xml:space="preserve">25 l </w:t>
      </w:r>
      <w:r>
        <w:rPr>
          <w:rFonts w:ascii="Times New Roman" w:hAnsi="Times New Roman" w:cs="Times New Roman"/>
        </w:rPr>
        <w:t>alkoholu</w:t>
      </w:r>
      <w:r w:rsidRPr="00A11310">
        <w:rPr>
          <w:rFonts w:ascii="Times New Roman" w:hAnsi="Times New Roman" w:cs="Times New Roman"/>
        </w:rPr>
        <w:t xml:space="preserve"> za kalendárny</w:t>
      </w:r>
      <w:r w:rsidRPr="0054208C">
        <w:rPr>
          <w:rFonts w:ascii="Times New Roman" w:hAnsi="Times New Roman" w:cs="Times New Roman"/>
        </w:rPr>
        <w:t xml:space="preserve"> rok). Na lieh vyrobený súkromným výrobcom sa aplikuje znížená (polovičná) sadzba dane z alkoholického nápoja, ktorým je lieh, t. </w:t>
      </w:r>
      <w:r w:rsidRPr="00A11310">
        <w:rPr>
          <w:rFonts w:ascii="Times New Roman" w:hAnsi="Times New Roman" w:cs="Times New Roman"/>
        </w:rPr>
        <w:t xml:space="preserve">j. 540 eur/hl </w:t>
      </w:r>
      <w:r>
        <w:rPr>
          <w:rFonts w:ascii="Times New Roman" w:hAnsi="Times New Roman" w:cs="Times New Roman"/>
        </w:rPr>
        <w:t>100% alkoholu.</w:t>
      </w:r>
      <w:r w:rsidRPr="00A11310">
        <w:rPr>
          <w:rFonts w:ascii="Times New Roman" w:hAnsi="Times New Roman" w:cs="Times New Roman"/>
        </w:rPr>
        <w:t xml:space="preserve"> Opatrenie</w:t>
      </w:r>
      <w:r w:rsidRPr="0054208C">
        <w:rPr>
          <w:rFonts w:ascii="Times New Roman" w:hAnsi="Times New Roman" w:cs="Times New Roman"/>
        </w:rPr>
        <w:t xml:space="preserve"> bude mať negatívny vplyv na výnos spotrebnej dane z liehu v odhadovanej výške 3,7 mil. eur ročne.</w:t>
      </w:r>
    </w:p>
    <w:p w:rsidR="002B3068" w:rsidRPr="0054208C" w:rsidRDefault="002B3068" w:rsidP="002B3068">
      <w:pPr>
        <w:ind w:firstLine="708"/>
        <w:jc w:val="both"/>
        <w:rPr>
          <w:color w:val="000000"/>
        </w:rPr>
      </w:pPr>
    </w:p>
    <w:p w:rsidR="002B3068" w:rsidRPr="0054208C" w:rsidRDefault="002B3068" w:rsidP="002B3068">
      <w:pPr>
        <w:ind w:firstLine="708"/>
        <w:jc w:val="both"/>
        <w:rPr>
          <w:b/>
          <w:i/>
        </w:rPr>
      </w:pPr>
      <w:r w:rsidRPr="0054208C">
        <w:rPr>
          <w:rFonts w:ascii="Times New Roman" w:hAnsi="Times New Roman" w:cs="Times New Roman"/>
          <w:b/>
          <w:i/>
        </w:rPr>
        <w:t>Zákon č. 213/2018 Z. z. o dani z poistenia</w:t>
      </w:r>
    </w:p>
    <w:p w:rsidR="002B3068" w:rsidRPr="0054208C" w:rsidRDefault="002B3068" w:rsidP="002B3068">
      <w:pPr>
        <w:jc w:val="both"/>
        <w:rPr>
          <w:b/>
          <w:i/>
        </w:rPr>
      </w:pPr>
      <w:r>
        <w:rPr>
          <w:b/>
          <w:i/>
        </w:rPr>
        <w:t xml:space="preserve"> </w:t>
      </w:r>
    </w:p>
    <w:p w:rsidR="002B3068" w:rsidRDefault="002B3068" w:rsidP="002B3068">
      <w:pPr>
        <w:ind w:firstLine="709"/>
        <w:jc w:val="both"/>
        <w:rPr>
          <w:rFonts w:ascii="Times New Roman" w:hAnsi="Times New Roman" w:cs="Times New Roman"/>
        </w:rPr>
      </w:pPr>
      <w:r w:rsidRPr="0054208C">
        <w:rPr>
          <w:rFonts w:ascii="Times New Roman" w:hAnsi="Times New Roman" w:cs="Times New Roman"/>
        </w:rPr>
        <w:t>Od 1.</w:t>
      </w:r>
      <w:r>
        <w:rPr>
          <w:rFonts w:ascii="Times New Roman" w:hAnsi="Times New Roman" w:cs="Times New Roman"/>
        </w:rPr>
        <w:t xml:space="preserve"> </w:t>
      </w:r>
      <w:r w:rsidRPr="0054208C">
        <w:rPr>
          <w:rFonts w:ascii="Times New Roman" w:hAnsi="Times New Roman" w:cs="Times New Roman"/>
        </w:rPr>
        <w:t>1.</w:t>
      </w:r>
      <w:r>
        <w:rPr>
          <w:rFonts w:ascii="Times New Roman" w:hAnsi="Times New Roman" w:cs="Times New Roman"/>
        </w:rPr>
        <w:t xml:space="preserve"> </w:t>
      </w:r>
      <w:r w:rsidRPr="0054208C">
        <w:rPr>
          <w:rFonts w:ascii="Times New Roman" w:hAnsi="Times New Roman" w:cs="Times New Roman"/>
        </w:rPr>
        <w:t>2019 sa zavádza nová daň z poistenia, ktorej bude podliehať poistenie v odvetviach neživotného poistenia. Daň z poistenia nahradí 8</w:t>
      </w:r>
      <w:r>
        <w:rPr>
          <w:rFonts w:ascii="Times New Roman" w:hAnsi="Times New Roman" w:cs="Times New Roman"/>
        </w:rPr>
        <w:t> </w:t>
      </w:r>
      <w:r w:rsidRPr="0054208C">
        <w:rPr>
          <w:rFonts w:ascii="Times New Roman" w:hAnsi="Times New Roman" w:cs="Times New Roman"/>
        </w:rPr>
        <w:t>%-ný odvod z prijatého poistného z neživotného poistenia (zákon o poisťovníctve). Daň z poistenia bude mať charakter nepriamej dane a budú ju v zásade vyberať a platiť do štátneho rozpočtu poisťovne, ktoré ju vyberú v poistnom. Sadzba dane bude vo výške 8 % zo základu dane (t. j. zo sumy prijatého poistenia zníženej o daň) okrem poistenia zodpovednosti za škodu spôsobenú prevádzkou motorového vozidla, kde je 0 %-ná sadzba. Zdaňovacím obdobím bude kalendárny štvrťrok. Povinnosť podať daňové priznanie je do konca kalendárneho mesiaca nasledujúceho po skončení štvrťroka a v tej istej lehote je daň aj splatná. Daň z poistenia prinesie do rozpočtu každoročne viac ako 70 mil. eur.</w:t>
      </w:r>
    </w:p>
    <w:p w:rsidR="002B3068" w:rsidRDefault="002B3068" w:rsidP="002B3068">
      <w:pPr>
        <w:ind w:firstLine="709"/>
        <w:jc w:val="both"/>
        <w:rPr>
          <w:rFonts w:ascii="Times New Roman" w:hAnsi="Times New Roman" w:cs="Times New Roman"/>
        </w:rPr>
      </w:pPr>
    </w:p>
    <w:p w:rsidR="002B3068" w:rsidRPr="0054208C" w:rsidRDefault="002B3068" w:rsidP="002B3068">
      <w:pPr>
        <w:ind w:firstLine="708"/>
        <w:jc w:val="both"/>
        <w:rPr>
          <w:rFonts w:ascii="Times New Roman" w:hAnsi="Times New Roman" w:cs="Times New Roman"/>
          <w:b/>
          <w:i/>
        </w:rPr>
      </w:pPr>
      <w:r w:rsidRPr="0054208C">
        <w:rPr>
          <w:rFonts w:ascii="Times New Roman" w:hAnsi="Times New Roman" w:cs="Times New Roman"/>
          <w:b/>
          <w:i/>
        </w:rPr>
        <w:t>Zákon č. 39/2015 Z. z. o poisťovníctve</w:t>
      </w:r>
    </w:p>
    <w:p w:rsidR="002B3068" w:rsidRPr="0054208C" w:rsidRDefault="002B3068" w:rsidP="002B3068">
      <w:pPr>
        <w:jc w:val="both"/>
        <w:rPr>
          <w:rFonts w:ascii="Times New Roman" w:hAnsi="Times New Roman" w:cs="Times New Roman"/>
          <w:b/>
          <w:i/>
        </w:rPr>
      </w:pPr>
    </w:p>
    <w:p w:rsidR="002B3068" w:rsidRPr="0054208C" w:rsidRDefault="002B3068" w:rsidP="002B3068">
      <w:pPr>
        <w:ind w:firstLine="708"/>
        <w:jc w:val="both"/>
        <w:rPr>
          <w:rFonts w:ascii="Times New Roman" w:hAnsi="Times New Roman" w:cs="Times New Roman"/>
        </w:rPr>
      </w:pPr>
      <w:r w:rsidRPr="0054208C">
        <w:rPr>
          <w:rFonts w:ascii="Times New Roman" w:hAnsi="Times New Roman" w:cs="Times New Roman"/>
        </w:rPr>
        <w:t>V nadväznosti na zavedenie dane z poistenia sa s účinnosťou od 1.</w:t>
      </w:r>
      <w:r>
        <w:rPr>
          <w:rFonts w:ascii="Times New Roman" w:hAnsi="Times New Roman" w:cs="Times New Roman"/>
        </w:rPr>
        <w:t xml:space="preserve"> </w:t>
      </w:r>
      <w:r w:rsidRPr="0054208C">
        <w:rPr>
          <w:rFonts w:ascii="Times New Roman" w:hAnsi="Times New Roman" w:cs="Times New Roman"/>
        </w:rPr>
        <w:t>1.</w:t>
      </w:r>
      <w:r>
        <w:rPr>
          <w:rFonts w:ascii="Times New Roman" w:hAnsi="Times New Roman" w:cs="Times New Roman"/>
        </w:rPr>
        <w:t xml:space="preserve"> </w:t>
      </w:r>
      <w:r w:rsidRPr="0054208C">
        <w:rPr>
          <w:rFonts w:ascii="Times New Roman" w:hAnsi="Times New Roman" w:cs="Times New Roman"/>
        </w:rPr>
        <w:t>2019 ruší 8 %-ný odvod z prijatého poistného z neživotného poistenia (podľa § 68a zákona). Toto opatrenie bude mať negatívny vplyv na daňové príjmy vo výške 20 mil. eur v každom roku.</w:t>
      </w:r>
    </w:p>
    <w:p w:rsidR="002B3068" w:rsidRPr="0054208C" w:rsidRDefault="002B3068" w:rsidP="002B3068">
      <w:pPr>
        <w:ind w:firstLine="708"/>
        <w:jc w:val="both"/>
        <w:rPr>
          <w:rFonts w:ascii="Times New Roman" w:hAnsi="Times New Roman" w:cs="Times New Roman"/>
        </w:rPr>
      </w:pPr>
    </w:p>
    <w:p w:rsidR="002B3068" w:rsidRPr="0054208C" w:rsidRDefault="002B3068" w:rsidP="002B3068">
      <w:pPr>
        <w:ind w:firstLine="708"/>
        <w:jc w:val="both"/>
        <w:rPr>
          <w:rFonts w:ascii="Times New Roman" w:hAnsi="Times New Roman" w:cs="Times New Roman"/>
        </w:rPr>
      </w:pPr>
      <w:r w:rsidRPr="0054208C">
        <w:rPr>
          <w:rFonts w:ascii="Times New Roman" w:hAnsi="Times New Roman" w:cs="Times New Roman"/>
        </w:rPr>
        <w:t>Poisťovne sú podľa § 68 zákona povinné odvádzať 8</w:t>
      </w:r>
      <w:r>
        <w:rPr>
          <w:rFonts w:ascii="Times New Roman" w:hAnsi="Times New Roman" w:cs="Times New Roman"/>
        </w:rPr>
        <w:t> </w:t>
      </w:r>
      <w:r w:rsidRPr="0054208C">
        <w:rPr>
          <w:rFonts w:ascii="Times New Roman" w:hAnsi="Times New Roman" w:cs="Times New Roman"/>
        </w:rPr>
        <w:t xml:space="preserve">% z prijatého poistného z povinného zmluvného poistenia zodpovednosti za škodu spôsobenú prevádzkou motorového vozidla (PZP). Odvod sa platí za predchádzajúci kalendárny rok do konca februára príslušného roka na osobitný účet Ministerstva vnútra SR. Od roku 2018 sa považuje odvod z PZP za </w:t>
      </w:r>
      <w:r w:rsidRPr="0054208C">
        <w:rPr>
          <w:rFonts w:ascii="Times New Roman" w:hAnsi="Times New Roman" w:cs="Times New Roman"/>
        </w:rPr>
        <w:lastRenderedPageBreak/>
        <w:t xml:space="preserve">daňový príjem, ktorého výška sa </w:t>
      </w:r>
      <w:r>
        <w:rPr>
          <w:rFonts w:ascii="Times New Roman" w:hAnsi="Times New Roman" w:cs="Times New Roman"/>
        </w:rPr>
        <w:t>na</w:t>
      </w:r>
      <w:r w:rsidRPr="0054208C">
        <w:rPr>
          <w:rFonts w:ascii="Times New Roman" w:hAnsi="Times New Roman" w:cs="Times New Roman"/>
        </w:rPr>
        <w:t xml:space="preserve"> roky 2019 až 2021 odhaduje v rozpätí od 27,8 do </w:t>
      </w:r>
      <w:r>
        <w:rPr>
          <w:rFonts w:ascii="Times New Roman" w:hAnsi="Times New Roman" w:cs="Times New Roman"/>
        </w:rPr>
        <w:br/>
      </w:r>
      <w:r w:rsidRPr="0054208C">
        <w:rPr>
          <w:rFonts w:ascii="Times New Roman" w:hAnsi="Times New Roman" w:cs="Times New Roman"/>
        </w:rPr>
        <w:t>29,9 mil. eur.</w:t>
      </w:r>
    </w:p>
    <w:p w:rsidR="002B3068" w:rsidRDefault="002B3068" w:rsidP="002B3068">
      <w:pPr>
        <w:ind w:firstLine="708"/>
        <w:jc w:val="both"/>
        <w:rPr>
          <w:color w:val="000000"/>
          <w:highlight w:val="yellow"/>
        </w:rPr>
      </w:pPr>
    </w:p>
    <w:p w:rsidR="002B3068" w:rsidRPr="001E3779" w:rsidRDefault="002B3068" w:rsidP="002B3068">
      <w:pPr>
        <w:ind w:firstLine="708"/>
        <w:jc w:val="both"/>
        <w:rPr>
          <w:rFonts w:ascii="Times New Roman" w:hAnsi="Times New Roman" w:cs="Times New Roman"/>
          <w:b/>
          <w:i/>
        </w:rPr>
      </w:pPr>
      <w:r w:rsidRPr="001E3779">
        <w:rPr>
          <w:rFonts w:ascii="Times New Roman" w:hAnsi="Times New Roman" w:cs="Times New Roman"/>
          <w:b/>
          <w:i/>
        </w:rPr>
        <w:t>Novela zákona č. 311/2001 Z. z. Zákonník práce</w:t>
      </w:r>
    </w:p>
    <w:p w:rsidR="002B3068" w:rsidRPr="001E3779" w:rsidRDefault="002B3068" w:rsidP="002B3068">
      <w:pPr>
        <w:ind w:firstLine="708"/>
        <w:jc w:val="both"/>
        <w:rPr>
          <w:color w:val="000000"/>
          <w:highlight w:val="yellow"/>
        </w:rPr>
      </w:pPr>
    </w:p>
    <w:p w:rsidR="002B3068" w:rsidRDefault="002B3068" w:rsidP="002B3068">
      <w:pPr>
        <w:ind w:firstLine="708"/>
        <w:jc w:val="both"/>
        <w:rPr>
          <w:rFonts w:ascii="Times New Roman" w:hAnsi="Times New Roman" w:cs="Times New Roman"/>
        </w:rPr>
      </w:pPr>
      <w:r w:rsidRPr="001E3779">
        <w:rPr>
          <w:rFonts w:ascii="Times New Roman" w:hAnsi="Times New Roman" w:cs="Times New Roman"/>
        </w:rPr>
        <w:t xml:space="preserve">Novelou Zákonníka práce bolo zavedené oslobodenie 13. a 14. platu od dane </w:t>
      </w:r>
      <w:r>
        <w:rPr>
          <w:rFonts w:ascii="Times New Roman" w:hAnsi="Times New Roman" w:cs="Times New Roman"/>
        </w:rPr>
        <w:t xml:space="preserve">z príjmov fyzických osôb (DPFO), </w:t>
      </w:r>
      <w:r w:rsidRPr="001E3779">
        <w:rPr>
          <w:rFonts w:ascii="Times New Roman" w:hAnsi="Times New Roman" w:cs="Times New Roman"/>
        </w:rPr>
        <w:t>zdravotných (ZO) a sociálnych odvodov (SO). Cieľom opatrenia je znížiť náklady práce tým zamestnávateľom, ktorí vyplácajú odmeny zamestnancom (13. a 14. plat) nad rámec bežného platu. Vyplácanie 13. a 14. platu je dobrovoľné. Oslobodenie je maximálne do výšky 500 eur na jednu vyplatenú odmenu nezá</w:t>
      </w:r>
      <w:r>
        <w:rPr>
          <w:rFonts w:ascii="Times New Roman" w:hAnsi="Times New Roman" w:cs="Times New Roman"/>
        </w:rPr>
        <w:t xml:space="preserve">visle od jej skutočnej výšky.  </w:t>
      </w:r>
    </w:p>
    <w:p w:rsidR="002B3068" w:rsidRDefault="002B3068" w:rsidP="002B3068">
      <w:pPr>
        <w:ind w:firstLine="708"/>
        <w:jc w:val="both"/>
        <w:rPr>
          <w:rFonts w:ascii="Times New Roman" w:hAnsi="Times New Roman" w:cs="Times New Roman"/>
        </w:rPr>
      </w:pPr>
    </w:p>
    <w:p w:rsidR="002B3068" w:rsidRPr="001E3779" w:rsidRDefault="002B3068" w:rsidP="002B3068">
      <w:pPr>
        <w:ind w:firstLine="708"/>
        <w:jc w:val="both"/>
        <w:rPr>
          <w:rFonts w:ascii="Times New Roman" w:hAnsi="Times New Roman" w:cs="Times New Roman"/>
        </w:rPr>
      </w:pPr>
      <w:r w:rsidRPr="001E3779">
        <w:rPr>
          <w:rFonts w:ascii="Times New Roman" w:hAnsi="Times New Roman" w:cs="Times New Roman"/>
        </w:rPr>
        <w:t>Nábeh oslobodení bude postupný do roku 2021. V roku 2019 bude 13. plat os</w:t>
      </w:r>
      <w:r>
        <w:rPr>
          <w:rFonts w:ascii="Times New Roman" w:hAnsi="Times New Roman" w:cs="Times New Roman"/>
        </w:rPr>
        <w:t>lobodený od ZO a DPFO, 14. plat</w:t>
      </w:r>
      <w:r w:rsidRPr="001E3779">
        <w:rPr>
          <w:rFonts w:ascii="Times New Roman" w:hAnsi="Times New Roman" w:cs="Times New Roman"/>
        </w:rPr>
        <w:t xml:space="preserve"> bude plne oslobodený. V roku 2021 pribudne oslobodenie 13. platu aj od SO.</w:t>
      </w:r>
      <w:r>
        <w:rPr>
          <w:rFonts w:ascii="Times New Roman" w:hAnsi="Times New Roman" w:cs="Times New Roman"/>
        </w:rPr>
        <w:t xml:space="preserve"> </w:t>
      </w:r>
      <w:r w:rsidRPr="001E3779">
        <w:rPr>
          <w:rFonts w:ascii="Times New Roman" w:hAnsi="Times New Roman" w:cs="Times New Roman"/>
        </w:rPr>
        <w:t xml:space="preserve">Podmienkou oslobodenia 13. a 14. platu je odmena minimálne vo výške jedného, resp. dvoch mesačných platov. </w:t>
      </w:r>
      <w:r>
        <w:rPr>
          <w:rFonts w:ascii="Times New Roman" w:hAnsi="Times New Roman" w:cs="Times New Roman"/>
        </w:rPr>
        <w:t>Z</w:t>
      </w:r>
      <w:r w:rsidRPr="001E3779">
        <w:rPr>
          <w:rFonts w:ascii="Times New Roman" w:hAnsi="Times New Roman" w:cs="Times New Roman"/>
        </w:rPr>
        <w:t>ároveň zamestnanec musí mať u daného zamestnávateľa odpracovaných aspoň 24, resp. 48 mesiacov.</w:t>
      </w:r>
      <w:r>
        <w:rPr>
          <w:rFonts w:ascii="Times New Roman" w:hAnsi="Times New Roman" w:cs="Times New Roman"/>
        </w:rPr>
        <w:t xml:space="preserve"> Zavedenie oslobodenia 13. a 14. platu sa prejaví negatívne na ZO a SO ako aj na DPFO, naopak mierny pozitívny vplyv bude mať opatrenie na výnose DPPO.</w:t>
      </w:r>
    </w:p>
    <w:p w:rsidR="002B3068" w:rsidRPr="00886A7F" w:rsidRDefault="002B3068" w:rsidP="002B3068">
      <w:pPr>
        <w:ind w:firstLine="708"/>
        <w:jc w:val="both"/>
        <w:rPr>
          <w:color w:val="000000"/>
          <w:highlight w:val="yellow"/>
        </w:rPr>
      </w:pPr>
    </w:p>
    <w:p w:rsidR="002B3068" w:rsidRPr="001E3779" w:rsidRDefault="002B3068" w:rsidP="002B3068">
      <w:pPr>
        <w:ind w:firstLine="708"/>
        <w:jc w:val="both"/>
        <w:rPr>
          <w:rFonts w:ascii="Times New Roman" w:hAnsi="Times New Roman" w:cs="Times New Roman"/>
          <w:b/>
          <w:i/>
        </w:rPr>
      </w:pPr>
      <w:r w:rsidRPr="001E3779">
        <w:rPr>
          <w:rFonts w:ascii="Times New Roman" w:hAnsi="Times New Roman" w:cs="Times New Roman"/>
          <w:b/>
          <w:i/>
        </w:rPr>
        <w:t>Novela zákona č. 461/2003 Z. z. o sociálnom poistení</w:t>
      </w:r>
    </w:p>
    <w:p w:rsidR="002B3068" w:rsidRPr="001E3779" w:rsidRDefault="002B3068" w:rsidP="002B3068">
      <w:pPr>
        <w:jc w:val="both"/>
        <w:rPr>
          <w:b/>
          <w:i/>
          <w:highlight w:val="yellow"/>
        </w:rPr>
      </w:pPr>
    </w:p>
    <w:p w:rsidR="002B3068" w:rsidRPr="001E3779" w:rsidRDefault="002B3068" w:rsidP="002B3068">
      <w:pPr>
        <w:ind w:firstLine="708"/>
        <w:jc w:val="both"/>
        <w:rPr>
          <w:rFonts w:ascii="Times New Roman" w:hAnsi="Times New Roman" w:cs="Times New Roman"/>
        </w:rPr>
      </w:pPr>
      <w:r w:rsidRPr="001E3779">
        <w:rPr>
          <w:rFonts w:ascii="Times New Roman" w:hAnsi="Times New Roman" w:cs="Times New Roman"/>
        </w:rPr>
        <w:t>Zákon o sociálnom poistení rozširuje zavedenie odvodovo odpočítateľnej položky (OOP) na príjmy z dohôd do výšky 200 eur aj pre dôchodcov</w:t>
      </w:r>
      <w:r w:rsidRPr="006C2FD4">
        <w:rPr>
          <w:rFonts w:ascii="Times New Roman" w:hAnsi="Times New Roman" w:cs="Times New Roman"/>
          <w:vertAlign w:val="superscript"/>
        </w:rPr>
        <w:footnoteReference w:id="10"/>
      </w:r>
      <w:r w:rsidRPr="001E3779">
        <w:rPr>
          <w:rFonts w:ascii="Times New Roman" w:hAnsi="Times New Roman" w:cs="Times New Roman"/>
        </w:rPr>
        <w:t>. Pôvodne sa týkal iba dohôd študentov stredných a vysokých škôl. Možnosť uplatniť OOP sa vzťahuje na viacero dohôd do sumy 200 eur</w:t>
      </w:r>
      <w:r>
        <w:rPr>
          <w:rFonts w:ascii="Times New Roman" w:hAnsi="Times New Roman" w:cs="Times New Roman"/>
        </w:rPr>
        <w:t xml:space="preserve"> za mesiac</w:t>
      </w:r>
      <w:r w:rsidRPr="001E3779">
        <w:rPr>
          <w:rFonts w:ascii="Times New Roman" w:hAnsi="Times New Roman" w:cs="Times New Roman"/>
        </w:rPr>
        <w:t xml:space="preserve">. </w:t>
      </w:r>
    </w:p>
    <w:p w:rsidR="002B3068" w:rsidRPr="001E3779" w:rsidRDefault="002B3068" w:rsidP="002B3068">
      <w:pPr>
        <w:jc w:val="both"/>
        <w:rPr>
          <w:rFonts w:ascii="Times New Roman" w:hAnsi="Times New Roman" w:cs="Times New Roman"/>
        </w:rPr>
      </w:pPr>
    </w:p>
    <w:p w:rsidR="002B3068" w:rsidRPr="001E3779" w:rsidRDefault="002B3068" w:rsidP="002B3068">
      <w:pPr>
        <w:ind w:firstLine="708"/>
        <w:jc w:val="both"/>
        <w:rPr>
          <w:rFonts w:ascii="Times New Roman" w:hAnsi="Times New Roman" w:cs="Times New Roman"/>
        </w:rPr>
      </w:pPr>
      <w:r w:rsidRPr="001E3779">
        <w:rPr>
          <w:rFonts w:ascii="Times New Roman" w:hAnsi="Times New Roman" w:cs="Times New Roman"/>
        </w:rPr>
        <w:t>Novela zavádza aj ročné zúčtovanie sociálneho poistenia (RZSP), ktoré sa po prvýkrát vykoná v roku 2022</w:t>
      </w:r>
      <w:r>
        <w:rPr>
          <w:rFonts w:ascii="Times New Roman" w:hAnsi="Times New Roman" w:cs="Times New Roman"/>
        </w:rPr>
        <w:t xml:space="preserve"> nad preddavkami roka 2021</w:t>
      </w:r>
      <w:r w:rsidRPr="001E3779">
        <w:rPr>
          <w:rFonts w:ascii="Times New Roman" w:hAnsi="Times New Roman" w:cs="Times New Roman"/>
        </w:rPr>
        <w:t xml:space="preserve">. </w:t>
      </w:r>
      <w:r>
        <w:rPr>
          <w:rFonts w:ascii="Times New Roman" w:hAnsi="Times New Roman" w:cs="Times New Roman"/>
        </w:rPr>
        <w:t>Z</w:t>
      </w:r>
      <w:r w:rsidRPr="001E3779">
        <w:rPr>
          <w:rFonts w:ascii="Times New Roman" w:hAnsi="Times New Roman" w:cs="Times New Roman"/>
        </w:rPr>
        <w:t xml:space="preserve">účtovanie </w:t>
      </w:r>
      <w:r>
        <w:rPr>
          <w:rFonts w:ascii="Times New Roman" w:hAnsi="Times New Roman" w:cs="Times New Roman"/>
        </w:rPr>
        <w:t>sa vykoná nad</w:t>
      </w:r>
      <w:r w:rsidRPr="001E3779">
        <w:rPr>
          <w:rFonts w:ascii="Times New Roman" w:hAnsi="Times New Roman" w:cs="Times New Roman"/>
        </w:rPr>
        <w:t xml:space="preserve"> zaplatenými preddavkami zamestnanca, zamestnávateľa, povinne nemocensky a povinne dôchodkovo poistenej SZČO. </w:t>
      </w:r>
      <w:r>
        <w:rPr>
          <w:rFonts w:ascii="Times New Roman" w:hAnsi="Times New Roman" w:cs="Times New Roman"/>
        </w:rPr>
        <w:t xml:space="preserve">V rámci RZSP sa zavádza </w:t>
      </w:r>
      <w:r w:rsidRPr="001E3779">
        <w:rPr>
          <w:rFonts w:ascii="Times New Roman" w:hAnsi="Times New Roman" w:cs="Times New Roman"/>
        </w:rPr>
        <w:t>maximálny ročný vymeriavací základ</w:t>
      </w:r>
      <w:r>
        <w:rPr>
          <w:rFonts w:ascii="Times New Roman" w:hAnsi="Times New Roman" w:cs="Times New Roman"/>
        </w:rPr>
        <w:t xml:space="preserve"> a </w:t>
      </w:r>
      <w:r w:rsidRPr="001E3779">
        <w:rPr>
          <w:rFonts w:ascii="Times New Roman" w:hAnsi="Times New Roman" w:cs="Times New Roman"/>
        </w:rPr>
        <w:t xml:space="preserve">mesačný </w:t>
      </w:r>
      <w:r>
        <w:rPr>
          <w:rFonts w:ascii="Times New Roman" w:hAnsi="Times New Roman" w:cs="Times New Roman"/>
        </w:rPr>
        <w:t xml:space="preserve">sa ruší. </w:t>
      </w:r>
      <w:r w:rsidRPr="001E3779">
        <w:rPr>
          <w:rFonts w:ascii="Times New Roman" w:hAnsi="Times New Roman" w:cs="Times New Roman"/>
        </w:rPr>
        <w:t>Poistné zaplatené zamestnancom z viacerých právnych vzťahov z vyššieho ako maximálneho ročného vymeriavacieho základu bude predmetom ročného zúčtovania.</w:t>
      </w:r>
    </w:p>
    <w:p w:rsidR="002B3068" w:rsidRDefault="002B3068" w:rsidP="002B3068">
      <w:pPr>
        <w:ind w:firstLine="360"/>
        <w:jc w:val="both"/>
        <w:rPr>
          <w:rFonts w:ascii="Times New Roman" w:hAnsi="Times New Roman" w:cs="Times New Roman"/>
        </w:rPr>
      </w:pPr>
      <w:r>
        <w:rPr>
          <w:rFonts w:ascii="Times New Roman" w:hAnsi="Times New Roman" w:cs="Times New Roman"/>
        </w:rPr>
        <w:t xml:space="preserve"> </w:t>
      </w:r>
    </w:p>
    <w:p w:rsidR="002B3068" w:rsidRPr="001E3779" w:rsidRDefault="002B3068" w:rsidP="002B3068">
      <w:pPr>
        <w:ind w:firstLine="708"/>
        <w:jc w:val="both"/>
        <w:rPr>
          <w:rFonts w:ascii="Times New Roman" w:hAnsi="Times New Roman" w:cs="Times New Roman"/>
        </w:rPr>
      </w:pPr>
      <w:r>
        <w:rPr>
          <w:rFonts w:ascii="Times New Roman" w:hAnsi="Times New Roman" w:cs="Times New Roman"/>
        </w:rPr>
        <w:t xml:space="preserve">Vďaka prechodu z mesačných na ročné maximálne vymeriavacie základy sa príjmy SP zvýšia už v roku 2021. </w:t>
      </w:r>
      <w:r w:rsidRPr="001E3779">
        <w:rPr>
          <w:rFonts w:ascii="Times New Roman" w:hAnsi="Times New Roman" w:cs="Times New Roman"/>
        </w:rPr>
        <w:t xml:space="preserve">Zavedenie </w:t>
      </w:r>
      <w:r>
        <w:rPr>
          <w:rFonts w:ascii="Times New Roman" w:hAnsi="Times New Roman" w:cs="Times New Roman"/>
        </w:rPr>
        <w:t>RZSP</w:t>
      </w:r>
      <w:r w:rsidRPr="001E3779">
        <w:rPr>
          <w:rFonts w:ascii="Times New Roman" w:hAnsi="Times New Roman" w:cs="Times New Roman"/>
        </w:rPr>
        <w:t xml:space="preserve"> zamedzí optimalizácii pri platení odvodov</w:t>
      </w:r>
      <w:r>
        <w:rPr>
          <w:rFonts w:ascii="Times New Roman" w:hAnsi="Times New Roman" w:cs="Times New Roman"/>
        </w:rPr>
        <w:t>, keď sa mzda umelo kumulovala do jedného mesiaca v roku, aby vďaka mesačným stropom neboli platené odvody z celého ročného príjmu.</w:t>
      </w:r>
    </w:p>
    <w:p w:rsidR="002B3068" w:rsidRDefault="002B3068" w:rsidP="002B3068">
      <w:pPr>
        <w:ind w:firstLine="708"/>
        <w:jc w:val="both"/>
        <w:rPr>
          <w:rFonts w:ascii="Times New Roman" w:hAnsi="Times New Roman" w:cs="Times New Roman"/>
          <w:b/>
          <w:i/>
          <w:highlight w:val="yellow"/>
        </w:rPr>
      </w:pPr>
    </w:p>
    <w:p w:rsidR="002B3068" w:rsidRPr="001E3779" w:rsidRDefault="002B3068" w:rsidP="002B3068">
      <w:pPr>
        <w:ind w:firstLine="708"/>
        <w:jc w:val="both"/>
        <w:rPr>
          <w:rFonts w:ascii="Times New Roman" w:hAnsi="Times New Roman" w:cs="Times New Roman"/>
          <w:b/>
          <w:i/>
        </w:rPr>
      </w:pPr>
      <w:r>
        <w:rPr>
          <w:rFonts w:ascii="Times New Roman" w:hAnsi="Times New Roman" w:cs="Times New Roman"/>
          <w:b/>
          <w:i/>
        </w:rPr>
        <w:t xml:space="preserve">Zákon č. 576/2004 Z. </w:t>
      </w:r>
      <w:r w:rsidRPr="001E3779">
        <w:rPr>
          <w:rFonts w:ascii="Times New Roman" w:hAnsi="Times New Roman" w:cs="Times New Roman"/>
          <w:b/>
          <w:i/>
        </w:rPr>
        <w:t>z. o zdravotnej starostlivosti, službách súvisiacich s poskytovaním zdravotnej starostlivosti</w:t>
      </w:r>
    </w:p>
    <w:p w:rsidR="002B3068" w:rsidRPr="00886A7F" w:rsidRDefault="002B3068" w:rsidP="002B3068">
      <w:pPr>
        <w:jc w:val="both"/>
        <w:rPr>
          <w:rFonts w:ascii="Times New Roman" w:hAnsi="Times New Roman" w:cs="Times New Roman"/>
          <w:b/>
          <w:i/>
          <w:highlight w:val="yellow"/>
        </w:rPr>
      </w:pPr>
    </w:p>
    <w:p w:rsidR="002B3068" w:rsidRPr="001E3779" w:rsidRDefault="002B3068" w:rsidP="002B3068">
      <w:pPr>
        <w:ind w:firstLine="708"/>
        <w:jc w:val="both"/>
        <w:rPr>
          <w:rFonts w:ascii="Times New Roman" w:hAnsi="Times New Roman" w:cs="Times New Roman"/>
        </w:rPr>
      </w:pPr>
      <w:r w:rsidRPr="001E3779">
        <w:rPr>
          <w:rFonts w:ascii="Times New Roman" w:hAnsi="Times New Roman" w:cs="Times New Roman"/>
        </w:rPr>
        <w:t>Novelou zákona účinnou od 1.</w:t>
      </w:r>
      <w:r>
        <w:rPr>
          <w:rFonts w:ascii="Times New Roman" w:hAnsi="Times New Roman" w:cs="Times New Roman"/>
        </w:rPr>
        <w:t xml:space="preserve"> </w:t>
      </w:r>
      <w:r w:rsidRPr="001E3779">
        <w:rPr>
          <w:rFonts w:ascii="Times New Roman" w:hAnsi="Times New Roman" w:cs="Times New Roman"/>
        </w:rPr>
        <w:t>1.</w:t>
      </w:r>
      <w:r>
        <w:rPr>
          <w:rFonts w:ascii="Times New Roman" w:hAnsi="Times New Roman" w:cs="Times New Roman"/>
        </w:rPr>
        <w:t xml:space="preserve"> </w:t>
      </w:r>
      <w:r w:rsidRPr="001E3779">
        <w:rPr>
          <w:rFonts w:ascii="Times New Roman" w:hAnsi="Times New Roman" w:cs="Times New Roman"/>
        </w:rPr>
        <w:t>2018 bola zrušená odvodová odpočítateľná položka na zdravotných odvodoch pre zamestnávateľa. Plný vplyv opatrenia sa prejaví až v rok</w:t>
      </w:r>
      <w:r>
        <w:rPr>
          <w:rFonts w:ascii="Times New Roman" w:hAnsi="Times New Roman" w:cs="Times New Roman"/>
        </w:rPr>
        <w:t>u 2019 kvôli slabému uplatňovaniu</w:t>
      </w:r>
      <w:r w:rsidRPr="001E3779">
        <w:rPr>
          <w:rFonts w:ascii="Times New Roman" w:hAnsi="Times New Roman" w:cs="Times New Roman"/>
        </w:rPr>
        <w:t xml:space="preserve"> OOP priebežne počas roka. Väčšina zamestnancov si OOP uplatňuje až pri ročnom zúčtovaní, ktoré bude po prvýkrát ovplyvnené až v roku 2019. Zrušenie OOP zamestnávateľov zvýši výnosy zdravotných poisťovní, naopak poklesne DPPO z dôvodu rastu mzdových nákladov na zamestnancov.</w:t>
      </w:r>
    </w:p>
    <w:p w:rsidR="002B3068" w:rsidRDefault="002B3068" w:rsidP="002B3068">
      <w:pPr>
        <w:jc w:val="both"/>
        <w:rPr>
          <w:rFonts w:ascii="Times New Roman" w:hAnsi="Times New Roman" w:cs="Times New Roman"/>
          <w:b/>
          <w:i/>
        </w:rPr>
      </w:pPr>
    </w:p>
    <w:p w:rsidR="002B3068" w:rsidRDefault="002B3068" w:rsidP="002B3068">
      <w:pPr>
        <w:ind w:firstLine="708"/>
        <w:jc w:val="both"/>
        <w:rPr>
          <w:rFonts w:ascii="Times New Roman" w:hAnsi="Times New Roman" w:cs="Times New Roman"/>
          <w:b/>
          <w:i/>
        </w:rPr>
      </w:pPr>
      <w:r>
        <w:rPr>
          <w:rFonts w:ascii="Times New Roman" w:hAnsi="Times New Roman" w:cs="Times New Roman"/>
          <w:b/>
          <w:i/>
        </w:rPr>
        <w:lastRenderedPageBreak/>
        <w:t>Zákon o poplatkoch za uloženie odpadu</w:t>
      </w:r>
    </w:p>
    <w:p w:rsidR="002B3068" w:rsidRDefault="002B3068" w:rsidP="002B3068">
      <w:pPr>
        <w:jc w:val="both"/>
        <w:rPr>
          <w:rFonts w:ascii="Times New Roman" w:hAnsi="Times New Roman" w:cs="Times New Roman"/>
          <w:b/>
          <w:i/>
        </w:rPr>
      </w:pPr>
    </w:p>
    <w:p w:rsidR="002B3068" w:rsidRPr="005E019A" w:rsidRDefault="002B3068" w:rsidP="002B3068">
      <w:pPr>
        <w:ind w:firstLine="708"/>
        <w:jc w:val="both"/>
        <w:rPr>
          <w:rFonts w:ascii="Times New Roman" w:hAnsi="Times New Roman" w:cs="Times New Roman"/>
        </w:rPr>
      </w:pPr>
      <w:r w:rsidRPr="005E019A">
        <w:rPr>
          <w:rFonts w:ascii="Times New Roman" w:hAnsi="Times New Roman" w:cs="Times New Roman"/>
        </w:rPr>
        <w:t xml:space="preserve">Návrhom nového zákona sa mení systém platenia poplatkov za odpad a menia sa poplatky za uloženie odpadov na skládkach. Podľa aktuálnej legislatívy poplatky vyberajú skládky a posielajú ich priamo obci, na území ktorej sa skládka nachádza. Podľa nového legislatívneho návrhu budú poplatky naďalej vyberať skládky, ale následne celý výnos </w:t>
      </w:r>
      <w:r w:rsidR="00FA233D">
        <w:rPr>
          <w:rFonts w:ascii="Times New Roman" w:hAnsi="Times New Roman" w:cs="Times New Roman"/>
        </w:rPr>
        <w:t>odvedú</w:t>
      </w:r>
      <w:r w:rsidRPr="005E019A">
        <w:rPr>
          <w:rFonts w:ascii="Times New Roman" w:hAnsi="Times New Roman" w:cs="Times New Roman"/>
        </w:rPr>
        <w:t xml:space="preserve"> Environmentálnemu fondu. Fond ich následne použije na financovanie projektov v obciach podľa zákonom stanovených pravidiel.</w:t>
      </w:r>
    </w:p>
    <w:p w:rsidR="002B3068" w:rsidRPr="001E3779" w:rsidRDefault="002B3068" w:rsidP="002B3068">
      <w:pPr>
        <w:jc w:val="both"/>
        <w:rPr>
          <w:rFonts w:ascii="Times New Roman" w:hAnsi="Times New Roman" w:cs="Times New Roman"/>
          <w:b/>
          <w:i/>
        </w:rPr>
      </w:pPr>
    </w:p>
    <w:p w:rsidR="002B3068" w:rsidRPr="005E019A" w:rsidRDefault="002B3068" w:rsidP="002B3068">
      <w:pPr>
        <w:ind w:firstLine="708"/>
        <w:jc w:val="both"/>
        <w:rPr>
          <w:rFonts w:ascii="Times New Roman" w:hAnsi="Times New Roman" w:cs="Times New Roman"/>
          <w:b/>
          <w:i/>
        </w:rPr>
      </w:pPr>
      <w:r w:rsidRPr="005E019A">
        <w:rPr>
          <w:rFonts w:ascii="Times New Roman" w:hAnsi="Times New Roman" w:cs="Times New Roman"/>
          <w:b/>
          <w:i/>
        </w:rPr>
        <w:t>Opatrenie MF SR č. MF/019194/2016-421, ktorým sa mení a dopĺňa opatrenie MF SR č. MF/010175/2004-42, ktorým sa ustanovuje druhová klasifikácia, organizačná klasifikácia a ekonomická klasifikácia rozpočtovej klasifikácie v znení neskorších</w:t>
      </w:r>
    </w:p>
    <w:p w:rsidR="002B3068" w:rsidRPr="005E019A" w:rsidRDefault="002B3068" w:rsidP="002B3068">
      <w:pPr>
        <w:ind w:firstLine="708"/>
        <w:jc w:val="both"/>
        <w:rPr>
          <w:rFonts w:ascii="Times New Roman" w:hAnsi="Times New Roman" w:cs="Times New Roman"/>
        </w:rPr>
      </w:pPr>
    </w:p>
    <w:p w:rsidR="002B3068" w:rsidRPr="005E019A" w:rsidRDefault="002B3068" w:rsidP="002B3068">
      <w:pPr>
        <w:ind w:firstLine="708"/>
        <w:jc w:val="both"/>
        <w:rPr>
          <w:rFonts w:ascii="Times New Roman" w:hAnsi="Times New Roman" w:cs="Times New Roman"/>
        </w:rPr>
      </w:pPr>
      <w:r w:rsidRPr="005E019A">
        <w:rPr>
          <w:rFonts w:ascii="Times New Roman" w:hAnsi="Times New Roman" w:cs="Times New Roman"/>
        </w:rPr>
        <w:t>Novelou opatrenia bol preklasifikovaný od roku 2017 odvod časti poistného z odvetví neživotného poistenia z nedaňových príjmov do daňových. Zároveň bol v rámci tejto položky preklasifikovaný aj odvod z povinného zmluvného poistenia. Avšak ten bol presunutý až od roku 2018. Vzhľadom na to, že ide len o presun v rámci ekonomickej klasifikácie, nemajú uvedené zmeny vplyv na saldo ani celkové príjmy verejnej správy. Uvedená zmena zvyšuje daňové príjmy a o rovnakú sumu znižuje nedaňové príjmy na celom časovom horizonte.</w:t>
      </w:r>
    </w:p>
    <w:p w:rsidR="002B3068" w:rsidRPr="00E458BD" w:rsidRDefault="002B3068" w:rsidP="002B3068">
      <w:pPr>
        <w:ind w:firstLine="720"/>
        <w:jc w:val="both"/>
        <w:rPr>
          <w:rFonts w:ascii="Times New Roman" w:hAnsi="Times New Roman" w:cs="Times New Roman"/>
          <w:highlight w:val="yellow"/>
        </w:rPr>
      </w:pPr>
    </w:p>
    <w:p w:rsidR="002B3068" w:rsidRPr="008A19F5" w:rsidRDefault="002B3068" w:rsidP="002B3068">
      <w:pPr>
        <w:rPr>
          <w:rFonts w:ascii="Times New Roman" w:hAnsi="Times New Roman" w:cs="Times New Roman"/>
          <w:b/>
          <w:bCs/>
        </w:rPr>
      </w:pPr>
      <w:r w:rsidRPr="008A19F5">
        <w:rPr>
          <w:rFonts w:ascii="Times New Roman" w:hAnsi="Times New Roman" w:cs="Times New Roman"/>
          <w:b/>
          <w:bCs/>
        </w:rPr>
        <w:t>Odhad jednotlivých daní</w:t>
      </w:r>
    </w:p>
    <w:p w:rsidR="002B3068" w:rsidRPr="008A19F5" w:rsidRDefault="002B3068" w:rsidP="002B3068">
      <w:pPr>
        <w:rPr>
          <w:rFonts w:ascii="Times New Roman" w:hAnsi="Times New Roman" w:cs="Times New Roman"/>
          <w:b/>
          <w:bCs/>
          <w:color w:val="FF0000"/>
        </w:rPr>
      </w:pPr>
    </w:p>
    <w:p w:rsidR="002B3068" w:rsidRPr="008A19F5" w:rsidRDefault="002B3068" w:rsidP="002B3068">
      <w:pPr>
        <w:ind w:firstLine="708"/>
        <w:jc w:val="both"/>
        <w:rPr>
          <w:rFonts w:ascii="Times New Roman" w:hAnsi="Times New Roman" w:cs="Times New Roman"/>
        </w:rPr>
      </w:pPr>
      <w:r w:rsidRPr="008A19F5">
        <w:rPr>
          <w:rFonts w:ascii="Times New Roman" w:hAnsi="Times New Roman" w:cs="Times New Roman"/>
        </w:rPr>
        <w:t>Aktuálna prognóza na roky 2019 až 2021 zohľadňuje okrem makroekonomického rámca a platnej legislatívy aj skutočné výnosy daní za rok 2017 podľa metodiky ESA 2010 (okrem DPFO z podnikania, DPPO a osobitného odvodu z regulovaných odvetví, ktoré sú odhadmi) a aktuálne hotovostné plnenie daní za január až august 2018.</w:t>
      </w:r>
    </w:p>
    <w:p w:rsidR="002B3068" w:rsidRPr="00886A7F" w:rsidRDefault="002B3068" w:rsidP="002B3068">
      <w:pPr>
        <w:rPr>
          <w:rFonts w:ascii="Times New Roman" w:hAnsi="Times New Roman" w:cs="Times New Roman"/>
          <w:b/>
          <w:bCs/>
          <w:color w:val="FF0000"/>
          <w:highlight w:val="yellow"/>
        </w:rPr>
      </w:pPr>
    </w:p>
    <w:p w:rsidR="002B3068" w:rsidRPr="00801E8E" w:rsidRDefault="002B3068" w:rsidP="002B3068">
      <w:pPr>
        <w:ind w:firstLine="720"/>
        <w:jc w:val="both"/>
        <w:rPr>
          <w:rFonts w:ascii="Times New Roman" w:hAnsi="Times New Roman" w:cs="Times New Roman"/>
        </w:rPr>
      </w:pPr>
      <w:r w:rsidRPr="00801E8E">
        <w:rPr>
          <w:rFonts w:ascii="Times New Roman" w:hAnsi="Times New Roman" w:cs="Times New Roman"/>
        </w:rPr>
        <w:t xml:space="preserve">Lepšie plnenie a priaznivý vývoj na trhu práce pozitívne vplývajú na výnos </w:t>
      </w:r>
      <w:r w:rsidRPr="00801E8E">
        <w:rPr>
          <w:rFonts w:ascii="Times New Roman" w:hAnsi="Times New Roman" w:cs="Times New Roman"/>
          <w:b/>
          <w:bCs/>
        </w:rPr>
        <w:t xml:space="preserve">dane z príjmu fyzických osôb zo závislej činnosti </w:t>
      </w:r>
      <w:r w:rsidRPr="00801E8E">
        <w:rPr>
          <w:rFonts w:ascii="Times New Roman" w:hAnsi="Times New Roman" w:cs="Times New Roman"/>
          <w:bCs/>
        </w:rPr>
        <w:t xml:space="preserve">na roky 2019 </w:t>
      </w:r>
      <w:r w:rsidRPr="00801E8E">
        <w:rPr>
          <w:rFonts w:ascii="Times New Roman" w:hAnsi="Times New Roman" w:cs="Times New Roman"/>
        </w:rPr>
        <w:t xml:space="preserve">až </w:t>
      </w:r>
      <w:r>
        <w:rPr>
          <w:rFonts w:ascii="Times New Roman" w:hAnsi="Times New Roman" w:cs="Times New Roman"/>
        </w:rPr>
        <w:t>2021</w:t>
      </w:r>
      <w:r w:rsidRPr="00801E8E">
        <w:rPr>
          <w:rFonts w:ascii="Times New Roman" w:hAnsi="Times New Roman" w:cs="Times New Roman"/>
        </w:rPr>
        <w:t>. Nezdaniteľná časť základu dane (NČZD)</w:t>
      </w:r>
      <w:r w:rsidRPr="00801E8E">
        <w:rPr>
          <w:rStyle w:val="Odkaznapoznmkupodiarou"/>
          <w:rFonts w:ascii="Times New Roman" w:hAnsi="Times New Roman"/>
        </w:rPr>
        <w:footnoteReference w:id="11"/>
      </w:r>
      <w:r w:rsidRPr="00801E8E">
        <w:rPr>
          <w:rFonts w:ascii="Times New Roman" w:hAnsi="Times New Roman" w:cs="Times New Roman"/>
        </w:rPr>
        <w:t xml:space="preserve"> sa mení vzhľadom k nárastu životného minima, ktoré je od 1.</w:t>
      </w:r>
      <w:r>
        <w:rPr>
          <w:rFonts w:ascii="Times New Roman" w:hAnsi="Times New Roman" w:cs="Times New Roman"/>
        </w:rPr>
        <w:t xml:space="preserve"> </w:t>
      </w:r>
      <w:r w:rsidRPr="00801E8E">
        <w:rPr>
          <w:rFonts w:ascii="Times New Roman" w:hAnsi="Times New Roman" w:cs="Times New Roman"/>
        </w:rPr>
        <w:t>7.</w:t>
      </w:r>
      <w:r>
        <w:rPr>
          <w:rFonts w:ascii="Times New Roman" w:hAnsi="Times New Roman" w:cs="Times New Roman"/>
        </w:rPr>
        <w:t xml:space="preserve"> </w:t>
      </w:r>
      <w:r w:rsidRPr="00801E8E">
        <w:rPr>
          <w:rFonts w:ascii="Times New Roman" w:hAnsi="Times New Roman" w:cs="Times New Roman"/>
        </w:rPr>
        <w:t xml:space="preserve">2018 vo výške 205,07 eur. Hodnota NČZD bude na rok 2019 vo výške  3 937,35 eur. </w:t>
      </w:r>
      <w:r w:rsidRPr="005C772C">
        <w:rPr>
          <w:rFonts w:ascii="Times New Roman" w:hAnsi="Times New Roman" w:cs="Times New Roman"/>
        </w:rPr>
        <w:t xml:space="preserve">Pre nárast životného minima sa mení aj hranica, od ktorej sa postupne znižuje NČZD (1 970 eur). Podobne narastá aj úroveň, od ktorej je NČZD rovná nule (3 394 eur). Od úrovne hrubej mzdy 3 490 eur za mesiac sa zároveň bude uplatňovať druhá sadzba dane z príjmu vo výške 25 %. Valorizácia daňového bonusu podlieha rovnakým pravidlám ako NČZD. V roku 2019 sa zvýši na úroveň 23,17 eur mesačne. </w:t>
      </w:r>
      <w:r w:rsidRPr="00801E8E">
        <w:rPr>
          <w:rFonts w:ascii="Times New Roman" w:hAnsi="Times New Roman" w:cs="Times New Roman"/>
        </w:rPr>
        <w:t xml:space="preserve">Nárok na zamestnaneckú prémiu vzniká, keď základ dane na úrovni minimálnej mzdy prevyšuje NČZD, a teda neumožňuje plné uplatnenie NČZD. Vzhľadom na predpokladanú výšku mesačnej minimálnej mzdy bude zamestnanecká prémia nulová. V porovnaní so schváleným rozpočtom je na roky 2018 </w:t>
      </w:r>
      <w:r>
        <w:rPr>
          <w:rFonts w:ascii="Times New Roman" w:hAnsi="Times New Roman" w:cs="Times New Roman"/>
        </w:rPr>
        <w:t xml:space="preserve">až </w:t>
      </w:r>
      <w:r w:rsidRPr="00801E8E">
        <w:rPr>
          <w:rFonts w:ascii="Times New Roman" w:hAnsi="Times New Roman" w:cs="Times New Roman"/>
        </w:rPr>
        <w:t>2020 očakávaný vyšší výnos dane o</w:t>
      </w:r>
      <w:r>
        <w:rPr>
          <w:rFonts w:ascii="Times New Roman" w:hAnsi="Times New Roman" w:cs="Times New Roman"/>
        </w:rPr>
        <w:t> 34,</w:t>
      </w:r>
      <w:r w:rsidRPr="00801E8E">
        <w:rPr>
          <w:rFonts w:ascii="Times New Roman" w:hAnsi="Times New Roman" w:cs="Times New Roman"/>
        </w:rPr>
        <w:t>6</w:t>
      </w:r>
      <w:r>
        <w:rPr>
          <w:rFonts w:ascii="Times New Roman" w:hAnsi="Times New Roman" w:cs="Times New Roman"/>
        </w:rPr>
        <w:t xml:space="preserve"> až 51,</w:t>
      </w:r>
      <w:r w:rsidRPr="00801E8E">
        <w:rPr>
          <w:rFonts w:ascii="Times New Roman" w:hAnsi="Times New Roman" w:cs="Times New Roman"/>
        </w:rPr>
        <w:t xml:space="preserve">6 mil. eur z pozitívneho vývoja na trhu práce a rýchlejšieho rastu miezd ako NČZD. Od roku 2018 vstupujú do platnosti legislatívne zmeny, </w:t>
      </w:r>
      <w:r>
        <w:rPr>
          <w:rFonts w:ascii="Times New Roman" w:hAnsi="Times New Roman" w:cs="Times New Roman"/>
        </w:rPr>
        <w:t>ktoré vplývajú na výnos dane.</w:t>
      </w:r>
      <w:r w:rsidRPr="00801E8E">
        <w:rPr>
          <w:rFonts w:ascii="Times New Roman" w:hAnsi="Times New Roman" w:cs="Times New Roman"/>
        </w:rPr>
        <w:t xml:space="preserve"> </w:t>
      </w:r>
      <w:r>
        <w:rPr>
          <w:rFonts w:ascii="Times New Roman" w:hAnsi="Times New Roman" w:cs="Times New Roman"/>
        </w:rPr>
        <w:t>Zavedenie oslobodenia 13. a 14. platu od daní a odvodov znižuje výnos dane a zavedenie odvodovej odpočítateľnej položky na sociálne odvody má mierny pozitívny vplyv na výnos dane.</w:t>
      </w:r>
    </w:p>
    <w:p w:rsidR="002B3068" w:rsidRPr="005C772C" w:rsidRDefault="002B3068" w:rsidP="002B3068">
      <w:pPr>
        <w:ind w:firstLine="708"/>
        <w:jc w:val="both"/>
        <w:rPr>
          <w:rFonts w:ascii="Times New Roman" w:hAnsi="Times New Roman" w:cs="Times New Roman"/>
          <w:color w:val="FF0000"/>
        </w:rPr>
      </w:pPr>
    </w:p>
    <w:p w:rsidR="002B3068" w:rsidRPr="005C772C" w:rsidRDefault="002B3068" w:rsidP="002B3068">
      <w:pPr>
        <w:ind w:firstLine="708"/>
        <w:jc w:val="both"/>
        <w:rPr>
          <w:rFonts w:ascii="Times New Roman" w:hAnsi="Times New Roman" w:cs="Times New Roman"/>
        </w:rPr>
      </w:pPr>
      <w:r w:rsidRPr="005C772C">
        <w:rPr>
          <w:rFonts w:ascii="Times New Roman" w:hAnsi="Times New Roman" w:cs="Times New Roman"/>
        </w:rPr>
        <w:t xml:space="preserve">V prípade </w:t>
      </w:r>
      <w:r w:rsidRPr="005C772C">
        <w:rPr>
          <w:rFonts w:ascii="Times New Roman" w:hAnsi="Times New Roman" w:cs="Times New Roman"/>
          <w:b/>
          <w:bCs/>
        </w:rPr>
        <w:t>dane z príjmov fyzických osôb z podnikania</w:t>
      </w:r>
      <w:r w:rsidRPr="005C772C">
        <w:rPr>
          <w:rFonts w:ascii="Times New Roman" w:hAnsi="Times New Roman" w:cs="Times New Roman"/>
        </w:rPr>
        <w:t xml:space="preserve">  dochádza oproti rozpočtu verejnej správy na roky 2018 až 2020 k </w:t>
      </w:r>
      <w:r>
        <w:rPr>
          <w:rFonts w:ascii="Times New Roman" w:hAnsi="Times New Roman" w:cs="Times New Roman"/>
        </w:rPr>
        <w:t>zníženiu</w:t>
      </w:r>
      <w:r w:rsidRPr="005C772C">
        <w:rPr>
          <w:rFonts w:ascii="Times New Roman" w:hAnsi="Times New Roman" w:cs="Times New Roman"/>
        </w:rPr>
        <w:t xml:space="preserve"> výnosu. Hlavným dôvodom je aktualizácia </w:t>
      </w:r>
      <w:r w:rsidRPr="005C772C">
        <w:rPr>
          <w:rFonts w:ascii="Times New Roman" w:hAnsi="Times New Roman" w:cs="Times New Roman"/>
        </w:rPr>
        <w:lastRenderedPageBreak/>
        <w:t xml:space="preserve">vplyvu paušálnych výdavkov na 34,2 mil. eur. </w:t>
      </w:r>
      <w:r>
        <w:rPr>
          <w:rFonts w:ascii="Times New Roman" w:hAnsi="Times New Roman" w:cs="Times New Roman"/>
        </w:rPr>
        <w:t>M</w:t>
      </w:r>
      <w:r w:rsidRPr="005C772C">
        <w:rPr>
          <w:rFonts w:ascii="Times New Roman" w:hAnsi="Times New Roman" w:cs="Times New Roman"/>
        </w:rPr>
        <w:t xml:space="preserve">ierne korekcie </w:t>
      </w:r>
      <w:r>
        <w:rPr>
          <w:rFonts w:ascii="Times New Roman" w:hAnsi="Times New Roman" w:cs="Times New Roman"/>
        </w:rPr>
        <w:t xml:space="preserve">na výnose sú aj </w:t>
      </w:r>
      <w:r w:rsidRPr="005C772C">
        <w:rPr>
          <w:rFonts w:ascii="Times New Roman" w:hAnsi="Times New Roman" w:cs="Times New Roman"/>
        </w:rPr>
        <w:t>z dôvodu vyrovnania.</w:t>
      </w:r>
    </w:p>
    <w:p w:rsidR="002B3068" w:rsidRPr="00886A7F" w:rsidRDefault="002B3068" w:rsidP="002B3068">
      <w:pPr>
        <w:ind w:firstLine="720"/>
        <w:jc w:val="both"/>
        <w:rPr>
          <w:rFonts w:ascii="Times New Roman" w:hAnsi="Times New Roman" w:cs="Times New Roman"/>
          <w:color w:val="FF0000"/>
          <w:highlight w:val="yellow"/>
        </w:rPr>
      </w:pPr>
    </w:p>
    <w:p w:rsidR="002B3068" w:rsidRPr="0036636F" w:rsidRDefault="002B3068" w:rsidP="002B3068">
      <w:pPr>
        <w:ind w:firstLine="708"/>
        <w:jc w:val="both"/>
        <w:rPr>
          <w:rFonts w:ascii="Times New Roman" w:hAnsi="Times New Roman" w:cs="Times New Roman"/>
        </w:rPr>
      </w:pPr>
      <w:r w:rsidRPr="0036636F">
        <w:rPr>
          <w:rFonts w:ascii="Times New Roman" w:hAnsi="Times New Roman" w:cs="Times New Roman"/>
        </w:rPr>
        <w:t>V porovnaní so schváleným rozpočtom verejnej správy na roky</w:t>
      </w:r>
      <w:r>
        <w:rPr>
          <w:rFonts w:ascii="Times New Roman" w:hAnsi="Times New Roman" w:cs="Times New Roman"/>
        </w:rPr>
        <w:t xml:space="preserve"> 2018 až 2020</w:t>
      </w:r>
      <w:r w:rsidRPr="0036636F">
        <w:rPr>
          <w:rFonts w:ascii="Times New Roman" w:hAnsi="Times New Roman" w:cs="Times New Roman"/>
        </w:rPr>
        <w:t xml:space="preserve"> dochádza k revízii </w:t>
      </w:r>
      <w:r w:rsidRPr="0036636F">
        <w:rPr>
          <w:rFonts w:ascii="Times New Roman" w:hAnsi="Times New Roman" w:cs="Times New Roman"/>
          <w:b/>
        </w:rPr>
        <w:t>dane z príjmov právnických osôb</w:t>
      </w:r>
      <w:r w:rsidRPr="0036636F">
        <w:rPr>
          <w:rFonts w:ascii="Times New Roman" w:hAnsi="Times New Roman" w:cs="Times New Roman"/>
        </w:rPr>
        <w:t xml:space="preserve"> (DPPO) na rok 2018 o 123 mil. eur nahor. Vyšší výber DPPO súvisí s lepším než očakávaným zúčtovaním firiem za rok 2017. Vyšší výber je výsledkom pokračujúceho rastu hospodárstva. Ten sa opätovne pretavil do rastu ziskovosti firiem v porovnaní s rokom 2016</w:t>
      </w:r>
      <w:r>
        <w:rPr>
          <w:rFonts w:ascii="Times New Roman" w:hAnsi="Times New Roman" w:cs="Times New Roman"/>
        </w:rPr>
        <w:t>,</w:t>
      </w:r>
      <w:r w:rsidRPr="0036636F">
        <w:rPr>
          <w:rFonts w:ascii="Times New Roman" w:hAnsi="Times New Roman" w:cs="Times New Roman"/>
        </w:rPr>
        <w:t xml:space="preserve"> keď kombinácia jednorazových faktorov viedla ku krátkodobému poklesu ziskovosti. Lepšie vyrovnanie roka 2017 prispieva k zvýšeniu predpokladaného výnosu v roku 2018 a</w:t>
      </w:r>
      <w:r>
        <w:rPr>
          <w:rFonts w:ascii="Times New Roman" w:hAnsi="Times New Roman" w:cs="Times New Roman"/>
        </w:rPr>
        <w:t xml:space="preserve"> aj </w:t>
      </w:r>
      <w:r w:rsidRPr="0036636F">
        <w:rPr>
          <w:rFonts w:ascii="Times New Roman" w:hAnsi="Times New Roman" w:cs="Times New Roman"/>
        </w:rPr>
        <w:t xml:space="preserve">na horizonte rozpočtu. </w:t>
      </w:r>
    </w:p>
    <w:p w:rsidR="002B3068" w:rsidRDefault="002B3068" w:rsidP="002B3068">
      <w:pPr>
        <w:ind w:firstLine="708"/>
        <w:jc w:val="both"/>
        <w:rPr>
          <w:rFonts w:ascii="Times New Roman" w:hAnsi="Times New Roman" w:cs="Times New Roman"/>
          <w:highlight w:val="yellow"/>
        </w:rPr>
      </w:pPr>
    </w:p>
    <w:p w:rsidR="002B3068" w:rsidRPr="006337E5" w:rsidRDefault="002B3068" w:rsidP="002B3068">
      <w:pPr>
        <w:ind w:firstLine="708"/>
        <w:jc w:val="both"/>
        <w:rPr>
          <w:rFonts w:ascii="Times New Roman" w:hAnsi="Times New Roman" w:cs="Times New Roman"/>
        </w:rPr>
      </w:pPr>
      <w:r w:rsidRPr="006337E5">
        <w:rPr>
          <w:rFonts w:ascii="Times New Roman" w:hAnsi="Times New Roman" w:cs="Times New Roman"/>
        </w:rPr>
        <w:t xml:space="preserve">Výber daní z príjmov fyzických a právnických osôb ovplyvňuje aj možnosť daňovníkov poukázať </w:t>
      </w:r>
      <w:r w:rsidRPr="006337E5">
        <w:rPr>
          <w:rFonts w:ascii="Times New Roman" w:hAnsi="Times New Roman" w:cs="Times New Roman"/>
          <w:b/>
        </w:rPr>
        <w:t>podiel zo zaplatenej dane na osobitné účely</w:t>
      </w:r>
      <w:r w:rsidRPr="006337E5">
        <w:rPr>
          <w:rFonts w:ascii="Times New Roman" w:hAnsi="Times New Roman" w:cs="Times New Roman"/>
        </w:rPr>
        <w:t xml:space="preserve"> (verejnoprospešné aktivity mimovládnych neziskových organizácií). </w:t>
      </w:r>
      <w:r w:rsidRPr="00326797">
        <w:rPr>
          <w:rFonts w:ascii="Times New Roman" w:hAnsi="Times New Roman" w:cs="Times New Roman"/>
        </w:rPr>
        <w:t xml:space="preserve">V roku 2017 dosiahla suma prostriedkov prevedených na verejnoprospešný účel 63,3 mil. eur (z toho fyzické osoby previedli 30,2 mil. eur a právnické osoby previedli 33,1 mil. eur). </w:t>
      </w:r>
      <w:r w:rsidRPr="006337E5">
        <w:rPr>
          <w:rFonts w:ascii="Times New Roman" w:hAnsi="Times New Roman" w:cs="Times New Roman"/>
        </w:rPr>
        <w:t>Predpokladá sa, že suma prostriedkov určených na osobitné účely dosiahne v roku 2018 úroveň 65,9 mil. eur a v roku 2019 hodnotu 69,3 mil. eur.</w:t>
      </w:r>
    </w:p>
    <w:p w:rsidR="002B3068" w:rsidRDefault="002B3068" w:rsidP="002B3068">
      <w:pPr>
        <w:ind w:firstLine="709"/>
        <w:jc w:val="both"/>
        <w:rPr>
          <w:rFonts w:ascii="Times New Roman" w:hAnsi="Times New Roman" w:cs="Times New Roman"/>
          <w:highlight w:val="yellow"/>
        </w:rPr>
      </w:pPr>
    </w:p>
    <w:p w:rsidR="002B3068" w:rsidRPr="002D06F5" w:rsidRDefault="002B3068" w:rsidP="002B3068">
      <w:pPr>
        <w:ind w:firstLine="709"/>
        <w:jc w:val="both"/>
        <w:rPr>
          <w:rFonts w:ascii="Times New Roman" w:hAnsi="Times New Roman" w:cs="Times New Roman"/>
        </w:rPr>
      </w:pPr>
      <w:r w:rsidRPr="002D06F5">
        <w:rPr>
          <w:rFonts w:ascii="Times New Roman" w:hAnsi="Times New Roman" w:cs="Times New Roman"/>
        </w:rPr>
        <w:t xml:space="preserve">Prognóza </w:t>
      </w:r>
      <w:r w:rsidRPr="002D06F5">
        <w:rPr>
          <w:rFonts w:ascii="Times New Roman" w:hAnsi="Times New Roman" w:cs="Times New Roman"/>
          <w:b/>
        </w:rPr>
        <w:t>dane z príjmu vyberanej zrážkou</w:t>
      </w:r>
      <w:r w:rsidRPr="002D06F5">
        <w:rPr>
          <w:rFonts w:ascii="Times New Roman" w:hAnsi="Times New Roman" w:cs="Times New Roman"/>
        </w:rPr>
        <w:t xml:space="preserve"> je v porovnaní s rozpočtom na roky 2018 až 2020 nižšia o 12,9 až 3,2 mil. eur. Výnos je na celom horizonte prognózy negatívne ovplyvnený vývojom priemernej úrokovej miery. Negatívny vplyv má aj aktualizácia vplyvu zavedenia dane z dividend. Pozitívny prínos má aktualizácia očakávaných jednorazových platieb.</w:t>
      </w:r>
    </w:p>
    <w:p w:rsidR="002B3068" w:rsidRPr="00886A7F" w:rsidRDefault="002B3068" w:rsidP="002B3068">
      <w:pPr>
        <w:ind w:firstLine="708"/>
        <w:jc w:val="both"/>
        <w:rPr>
          <w:rFonts w:ascii="Times New Roman" w:hAnsi="Times New Roman" w:cs="Times New Roman"/>
          <w:highlight w:val="yellow"/>
        </w:rPr>
      </w:pPr>
    </w:p>
    <w:p w:rsidR="002B3068" w:rsidRPr="004F49E8" w:rsidRDefault="002B3068" w:rsidP="002B3068">
      <w:pPr>
        <w:ind w:firstLine="708"/>
        <w:jc w:val="both"/>
        <w:rPr>
          <w:rFonts w:ascii="Times New Roman" w:hAnsi="Times New Roman" w:cs="Times New Roman"/>
        </w:rPr>
      </w:pPr>
      <w:r w:rsidRPr="004F49E8">
        <w:rPr>
          <w:rFonts w:ascii="Times New Roman" w:hAnsi="Times New Roman" w:cs="Times New Roman"/>
        </w:rPr>
        <w:t xml:space="preserve">Odhad výnosu </w:t>
      </w:r>
      <w:r w:rsidRPr="004F49E8">
        <w:rPr>
          <w:rFonts w:ascii="Times New Roman" w:hAnsi="Times New Roman" w:cs="Times New Roman"/>
          <w:b/>
        </w:rPr>
        <w:t>dane z pridanej hodnoty (DPH)</w:t>
      </w:r>
      <w:r w:rsidRPr="004F49E8">
        <w:rPr>
          <w:rFonts w:ascii="Times New Roman" w:hAnsi="Times New Roman" w:cs="Times New Roman"/>
        </w:rPr>
        <w:t xml:space="preserve"> na rok 2018 sa oproti rozpočtu na roky 2018 </w:t>
      </w:r>
      <w:r>
        <w:rPr>
          <w:rFonts w:ascii="Times New Roman" w:hAnsi="Times New Roman" w:cs="Times New Roman"/>
        </w:rPr>
        <w:t>až</w:t>
      </w:r>
      <w:r w:rsidRPr="004F49E8">
        <w:rPr>
          <w:rFonts w:ascii="Times New Roman" w:hAnsi="Times New Roman" w:cs="Times New Roman"/>
        </w:rPr>
        <w:t xml:space="preserve"> 2020 reviduje smerom nahor o 245 mil. eur. </w:t>
      </w:r>
      <w:r>
        <w:rPr>
          <w:rFonts w:ascii="Times New Roman" w:hAnsi="Times New Roman" w:cs="Times New Roman"/>
        </w:rPr>
        <w:t xml:space="preserve">V  rokoch 2019 a 2020 sú príjmy vyššie o 262 mil. eur a 307 mil. eur oproti rozpočtu. </w:t>
      </w:r>
      <w:r w:rsidRPr="004F49E8">
        <w:rPr>
          <w:rFonts w:ascii="Times New Roman" w:hAnsi="Times New Roman" w:cs="Times New Roman"/>
        </w:rPr>
        <w:t>Vyššie výnosy vychádzajú z vyššej efektivity výberu dane a nárastu očakávanej konečnej spotreby domácností, ktorá tvorí makroekonomickú bázu pre DPH. Nasledujúce roky 2019 až 202</w:t>
      </w:r>
      <w:r>
        <w:rPr>
          <w:rFonts w:ascii="Times New Roman" w:hAnsi="Times New Roman" w:cs="Times New Roman"/>
        </w:rPr>
        <w:t>1</w:t>
      </w:r>
      <w:r w:rsidRPr="004F49E8">
        <w:rPr>
          <w:rFonts w:ascii="Times New Roman" w:hAnsi="Times New Roman" w:cs="Times New Roman"/>
        </w:rPr>
        <w:t xml:space="preserve"> </w:t>
      </w:r>
      <w:r>
        <w:rPr>
          <w:rFonts w:ascii="Times New Roman" w:hAnsi="Times New Roman" w:cs="Times New Roman"/>
        </w:rPr>
        <w:t xml:space="preserve">sa očakáva </w:t>
      </w:r>
      <w:r w:rsidRPr="004F49E8">
        <w:rPr>
          <w:rFonts w:ascii="Times New Roman" w:hAnsi="Times New Roman" w:cs="Times New Roman"/>
        </w:rPr>
        <w:t xml:space="preserve">stabilná úspešnosť výnosu dane na úrovni posledných dostupných údajov za prvý polrok 2018. Okrem úspešnosti výberu </w:t>
      </w:r>
      <w:r>
        <w:rPr>
          <w:rFonts w:ascii="Times New Roman" w:hAnsi="Times New Roman" w:cs="Times New Roman"/>
        </w:rPr>
        <w:t>a spotreby</w:t>
      </w:r>
      <w:r w:rsidRPr="004F49E8">
        <w:rPr>
          <w:rFonts w:ascii="Times New Roman" w:hAnsi="Times New Roman" w:cs="Times New Roman"/>
        </w:rPr>
        <w:t xml:space="preserve"> domácností</w:t>
      </w:r>
      <w:r>
        <w:rPr>
          <w:rFonts w:ascii="Times New Roman" w:hAnsi="Times New Roman" w:cs="Times New Roman"/>
        </w:rPr>
        <w:t xml:space="preserve"> prispieva k nárastu výnosu </w:t>
      </w:r>
      <w:r w:rsidRPr="004F49E8">
        <w:rPr>
          <w:rFonts w:ascii="Times New Roman" w:hAnsi="Times New Roman" w:cs="Times New Roman"/>
        </w:rPr>
        <w:t xml:space="preserve">na ostatné roky </w:t>
      </w:r>
      <w:r>
        <w:rPr>
          <w:rFonts w:ascii="Times New Roman" w:hAnsi="Times New Roman" w:cs="Times New Roman"/>
        </w:rPr>
        <w:t>aj m</w:t>
      </w:r>
      <w:r w:rsidRPr="004F49E8">
        <w:rPr>
          <w:rFonts w:ascii="Times New Roman" w:hAnsi="Times New Roman" w:cs="Times New Roman"/>
        </w:rPr>
        <w:t>ierny nárast medzispotreby a vládnych investícií</w:t>
      </w:r>
      <w:r>
        <w:rPr>
          <w:rFonts w:ascii="Times New Roman" w:hAnsi="Times New Roman" w:cs="Times New Roman"/>
        </w:rPr>
        <w:t>.</w:t>
      </w:r>
      <w:r w:rsidRPr="004F49E8">
        <w:rPr>
          <w:rFonts w:ascii="Times New Roman" w:hAnsi="Times New Roman" w:cs="Times New Roman"/>
        </w:rPr>
        <w:t xml:space="preserve"> </w:t>
      </w:r>
    </w:p>
    <w:p w:rsidR="002B3068" w:rsidRPr="00886A7F" w:rsidRDefault="002B3068" w:rsidP="002B3068">
      <w:pPr>
        <w:jc w:val="both"/>
        <w:rPr>
          <w:rFonts w:ascii="Times New Roman" w:hAnsi="Times New Roman" w:cs="Times New Roman"/>
          <w:color w:val="FF0000"/>
          <w:highlight w:val="yellow"/>
        </w:rPr>
      </w:pPr>
    </w:p>
    <w:p w:rsidR="002B3068" w:rsidRPr="0054208C" w:rsidRDefault="002B3068" w:rsidP="002B3068">
      <w:pPr>
        <w:ind w:firstLine="708"/>
        <w:jc w:val="both"/>
        <w:rPr>
          <w:rFonts w:ascii="Times New Roman" w:hAnsi="Times New Roman" w:cs="Times New Roman"/>
          <w:color w:val="000000" w:themeColor="text1"/>
        </w:rPr>
      </w:pPr>
      <w:r w:rsidRPr="0054208C">
        <w:rPr>
          <w:rFonts w:ascii="Times New Roman" w:hAnsi="Times New Roman"/>
          <w:color w:val="000000" w:themeColor="text1"/>
        </w:rPr>
        <w:t xml:space="preserve">Výnos zo </w:t>
      </w:r>
      <w:r w:rsidRPr="0054208C">
        <w:rPr>
          <w:rFonts w:ascii="Times New Roman" w:hAnsi="Times New Roman"/>
          <w:b/>
          <w:bCs/>
          <w:color w:val="000000" w:themeColor="text1"/>
        </w:rPr>
        <w:t>spotrebných daní</w:t>
      </w:r>
      <w:r w:rsidRPr="0054208C">
        <w:rPr>
          <w:rFonts w:ascii="Times New Roman" w:hAnsi="Times New Roman"/>
          <w:color w:val="000000" w:themeColor="text1"/>
        </w:rPr>
        <w:t xml:space="preserve"> bude nižší než sa predpokladalo pri schvaľovaní rozpočtu verejnej správy na roky 2018 až 2020. Očakáva sa najmä negatívny vývoj v prípade</w:t>
      </w:r>
      <w:r w:rsidRPr="0054208C">
        <w:rPr>
          <w:rFonts w:ascii="Times New Roman" w:hAnsi="Times New Roman"/>
        </w:rPr>
        <w:t xml:space="preserve"> </w:t>
      </w:r>
      <w:r w:rsidRPr="0054208C">
        <w:rPr>
          <w:rFonts w:ascii="Times New Roman" w:hAnsi="Times New Roman"/>
          <w:b/>
        </w:rPr>
        <w:t>spotrebnej dane z minerálneho oleja</w:t>
      </w:r>
      <w:r w:rsidRPr="0054208C">
        <w:rPr>
          <w:rFonts w:ascii="Times New Roman" w:hAnsi="Times New Roman"/>
        </w:rPr>
        <w:t xml:space="preserve">, ku ktorému výraznou mierou prispela znížená úspešnosť výberu v prvej polovici </w:t>
      </w:r>
      <w:r w:rsidRPr="0054208C">
        <w:rPr>
          <w:rFonts w:ascii="Times New Roman" w:hAnsi="Times New Roman" w:cs="Times New Roman"/>
        </w:rPr>
        <w:t xml:space="preserve">roka 2018. </w:t>
      </w:r>
      <w:r w:rsidR="00A87886">
        <w:rPr>
          <w:rFonts w:ascii="Times New Roman" w:hAnsi="Times New Roman" w:cs="Times New Roman"/>
        </w:rPr>
        <w:t>Na</w:t>
      </w:r>
      <w:r w:rsidRPr="0054208C">
        <w:rPr>
          <w:rFonts w:ascii="Times New Roman" w:hAnsi="Times New Roman" w:cs="Times New Roman"/>
        </w:rPr>
        <w:t xml:space="preserve"> roky 2019 až 2021 sa predpokladá stabilná úspešnosť výberu dane na úrovni roka 2018. Na revíziu výnosu </w:t>
      </w:r>
      <w:r w:rsidRPr="0054208C">
        <w:rPr>
          <w:rFonts w:ascii="Times New Roman" w:hAnsi="Times New Roman" w:cs="Times New Roman"/>
          <w:b/>
        </w:rPr>
        <w:t>spotrebnej dane z tabakových výrobkov</w:t>
      </w:r>
      <w:r w:rsidRPr="0054208C">
        <w:rPr>
          <w:rFonts w:ascii="Times New Roman" w:hAnsi="Times New Roman" w:cs="Times New Roman"/>
        </w:rPr>
        <w:t xml:space="preserve"> smerom nahor bude mať pozitívny vplyv aktualizácia spotreby domácností a ku koncu prognózovaného ob</w:t>
      </w:r>
      <w:r>
        <w:rPr>
          <w:rFonts w:ascii="Times New Roman" w:hAnsi="Times New Roman" w:cs="Times New Roman"/>
        </w:rPr>
        <w:t>dobia aj úspešnosť výberu dane.</w:t>
      </w:r>
    </w:p>
    <w:p w:rsidR="002B3068" w:rsidRDefault="002B3068" w:rsidP="002B3068">
      <w:pPr>
        <w:jc w:val="both"/>
        <w:rPr>
          <w:rFonts w:ascii="Times New Roman" w:hAnsi="Times New Roman" w:cs="Times New Roman"/>
          <w:color w:val="FF0000"/>
          <w:highlight w:val="yellow"/>
        </w:rPr>
      </w:pPr>
    </w:p>
    <w:p w:rsidR="002B3068" w:rsidRPr="002D06F5" w:rsidRDefault="002B3068" w:rsidP="002B3068">
      <w:pPr>
        <w:ind w:firstLine="708"/>
        <w:jc w:val="both"/>
        <w:rPr>
          <w:rFonts w:ascii="Times New Roman" w:hAnsi="Times New Roman" w:cs="Times New Roman"/>
        </w:rPr>
      </w:pPr>
      <w:r w:rsidRPr="002D06F5">
        <w:rPr>
          <w:rFonts w:ascii="Times New Roman" w:hAnsi="Times New Roman" w:cs="Times New Roman"/>
        </w:rPr>
        <w:t xml:space="preserve">Podľa </w:t>
      </w:r>
      <w:r w:rsidRPr="002D06F5">
        <w:rPr>
          <w:rFonts w:ascii="Times New Roman" w:hAnsi="Times New Roman" w:cs="Times New Roman"/>
          <w:b/>
          <w:bCs/>
        </w:rPr>
        <w:t>zákona o miestnych daniach</w:t>
      </w:r>
      <w:r w:rsidRPr="002D06F5">
        <w:rPr>
          <w:rFonts w:ascii="Times New Roman" w:hAnsi="Times New Roman" w:cs="Times New Roman"/>
        </w:rPr>
        <w:t xml:space="preserve"> a miestnom poplatku za komunálne odpady a drobné stavebné odpady, ktorý upravuje daň z nehnuteľností a dane za špecifické služby, majú stanovenie výšky sadzieb daní v kompetencii jednotlivé obce (daň z nehnuteľností a dane za špecifické služby). Odhad MF SR pri týchto daniach je preto len indikatívny, nakoľko subjekty samosprávy si zostavujú vlastné rozpočty.</w:t>
      </w:r>
    </w:p>
    <w:p w:rsidR="002B3068" w:rsidRPr="00886A7F" w:rsidRDefault="002B3068" w:rsidP="002B3068">
      <w:pPr>
        <w:ind w:firstLine="708"/>
        <w:jc w:val="both"/>
        <w:rPr>
          <w:rFonts w:ascii="Times New Roman" w:hAnsi="Times New Roman" w:cs="Times New Roman"/>
          <w:highlight w:val="yellow"/>
        </w:rPr>
      </w:pPr>
    </w:p>
    <w:p w:rsidR="002B3068" w:rsidRPr="00FC59B1" w:rsidRDefault="002B3068" w:rsidP="002B3068">
      <w:pPr>
        <w:ind w:firstLine="708"/>
        <w:jc w:val="both"/>
        <w:rPr>
          <w:rFonts w:ascii="Times New Roman" w:hAnsi="Times New Roman" w:cs="Times New Roman"/>
        </w:rPr>
      </w:pPr>
      <w:r w:rsidRPr="00FC59B1">
        <w:rPr>
          <w:rFonts w:ascii="Times New Roman" w:hAnsi="Times New Roman" w:cs="Times New Roman"/>
        </w:rPr>
        <w:t xml:space="preserve">Výnos </w:t>
      </w:r>
      <w:r w:rsidRPr="00FC59B1">
        <w:rPr>
          <w:rFonts w:ascii="Times New Roman" w:hAnsi="Times New Roman" w:cs="Times New Roman"/>
          <w:b/>
        </w:rPr>
        <w:t>dane z motorových vozidiel</w:t>
      </w:r>
      <w:r w:rsidRPr="00FC59B1">
        <w:rPr>
          <w:rFonts w:ascii="Times New Roman" w:hAnsi="Times New Roman" w:cs="Times New Roman"/>
        </w:rPr>
        <w:t xml:space="preserve"> bude nižší o 1 mil. eur v roku 2018 a nezmenený v roku 2019 v po</w:t>
      </w:r>
      <w:r>
        <w:rPr>
          <w:rFonts w:ascii="Times New Roman" w:hAnsi="Times New Roman" w:cs="Times New Roman"/>
        </w:rPr>
        <w:t>rovnaní s rozpočtom na roky 2018 až 2020</w:t>
      </w:r>
      <w:r w:rsidRPr="00FC59B1">
        <w:rPr>
          <w:rFonts w:ascii="Times New Roman" w:hAnsi="Times New Roman" w:cs="Times New Roman"/>
        </w:rPr>
        <w:t xml:space="preserve">. Nižšia efektivitu výberu dane </w:t>
      </w:r>
      <w:r>
        <w:rPr>
          <w:rFonts w:ascii="Times New Roman" w:hAnsi="Times New Roman" w:cs="Times New Roman"/>
        </w:rPr>
        <w:t>znižuje</w:t>
      </w:r>
      <w:r w:rsidRPr="00FC59B1">
        <w:rPr>
          <w:rFonts w:ascii="Times New Roman" w:hAnsi="Times New Roman" w:cs="Times New Roman"/>
        </w:rPr>
        <w:t xml:space="preserve"> výnos dane v porovnaní s platným rozpočtom. Odhad výnosu dane z motorových</w:t>
      </w:r>
      <w:r w:rsidRPr="00FC59B1">
        <w:t xml:space="preserve"> </w:t>
      </w:r>
      <w:r w:rsidRPr="00FC59B1">
        <w:rPr>
          <w:rFonts w:ascii="Times New Roman" w:hAnsi="Times New Roman" w:cs="Times New Roman"/>
        </w:rPr>
        <w:lastRenderedPageBreak/>
        <w:t>vozidiel v nasledujúcich rokoch je založený na predpoklade stabilnej efektivity výberu dane na súčasnej úrovni.</w:t>
      </w:r>
    </w:p>
    <w:p w:rsidR="002B3068" w:rsidRPr="00886A7F" w:rsidRDefault="002B3068" w:rsidP="002B3068">
      <w:pPr>
        <w:ind w:firstLine="708"/>
        <w:jc w:val="both"/>
        <w:rPr>
          <w:rFonts w:ascii="Times New Roman" w:hAnsi="Times New Roman" w:cs="Times New Roman"/>
          <w:highlight w:val="yellow"/>
        </w:rPr>
      </w:pPr>
    </w:p>
    <w:p w:rsidR="002B3068" w:rsidRPr="00FE2D79" w:rsidRDefault="002B3068" w:rsidP="002B3068">
      <w:pPr>
        <w:ind w:firstLine="708"/>
        <w:jc w:val="both"/>
        <w:rPr>
          <w:rFonts w:ascii="Times New Roman" w:hAnsi="Times New Roman" w:cs="Times New Roman"/>
        </w:rPr>
      </w:pPr>
      <w:r w:rsidRPr="00FE2D79">
        <w:rPr>
          <w:rFonts w:ascii="Times New Roman" w:hAnsi="Times New Roman" w:cs="Times New Roman"/>
        </w:rPr>
        <w:t xml:space="preserve">Odhad výnosu </w:t>
      </w:r>
      <w:r w:rsidRPr="00FE2D79">
        <w:rPr>
          <w:rFonts w:ascii="Times New Roman" w:hAnsi="Times New Roman" w:cs="Times New Roman"/>
          <w:b/>
          <w:bCs/>
        </w:rPr>
        <w:t>ostatných daní</w:t>
      </w:r>
      <w:r w:rsidRPr="00FE2D79">
        <w:rPr>
          <w:rFonts w:ascii="Times New Roman" w:hAnsi="Times New Roman" w:cs="Times New Roman"/>
        </w:rPr>
        <w:t xml:space="preserve"> je tvorený </w:t>
      </w:r>
      <w:r>
        <w:rPr>
          <w:rFonts w:ascii="Times New Roman" w:hAnsi="Times New Roman" w:cs="Times New Roman"/>
        </w:rPr>
        <w:t>výpočtom</w:t>
      </w:r>
      <w:r w:rsidRPr="00FE2D79">
        <w:rPr>
          <w:rFonts w:ascii="Times New Roman" w:hAnsi="Times New Roman" w:cs="Times New Roman"/>
        </w:rPr>
        <w:t xml:space="preserve"> výnosov z podielu na vybratých finančných prostriedkoch EÚ, z úhrad za dobývací priestor, z úhrad za uskladňovanie plynov alebo kvapalín, z úhrady za služby verejnosti poskytované RTVS, z osobitného odvodu z podnikania v regulovaných odvetviach, z osobitného a mimoriadneho odvodu vybraných finančných inštitúcií, z odvodu časti poistného z odvetví neživotného poistenia, z dani z poistenia, odvodu z povinného zmluvného poistenia a z poplatku za uloženie odpadov, ktorý bude od roku 2019 príjmom </w:t>
      </w:r>
      <w:r>
        <w:rPr>
          <w:rFonts w:ascii="Times New Roman" w:hAnsi="Times New Roman" w:cs="Times New Roman"/>
        </w:rPr>
        <w:t>E</w:t>
      </w:r>
      <w:r w:rsidRPr="00FE2D79">
        <w:rPr>
          <w:rFonts w:ascii="Times New Roman" w:hAnsi="Times New Roman" w:cs="Times New Roman"/>
        </w:rPr>
        <w:t>nvironmentálneho fondu (do roku 2018 je príjmom obcí).</w:t>
      </w:r>
    </w:p>
    <w:p w:rsidR="002B3068" w:rsidRPr="00886A7F" w:rsidRDefault="002B3068" w:rsidP="002B3068">
      <w:pPr>
        <w:ind w:firstLine="708"/>
        <w:jc w:val="both"/>
        <w:rPr>
          <w:rFonts w:ascii="Times New Roman" w:hAnsi="Times New Roman" w:cs="Times New Roman"/>
          <w:color w:val="FF0000"/>
          <w:highlight w:val="yellow"/>
        </w:rPr>
      </w:pPr>
    </w:p>
    <w:p w:rsidR="002B3068" w:rsidRPr="008A19F5" w:rsidRDefault="002B3068" w:rsidP="002B3068">
      <w:pPr>
        <w:ind w:firstLine="708"/>
        <w:jc w:val="both"/>
        <w:rPr>
          <w:rFonts w:ascii="Times New Roman" w:hAnsi="Times New Roman" w:cs="Times New Roman"/>
        </w:rPr>
      </w:pPr>
      <w:r w:rsidRPr="008A19F5">
        <w:rPr>
          <w:rFonts w:ascii="Times New Roman" w:hAnsi="Times New Roman" w:cs="Times New Roman"/>
          <w:b/>
        </w:rPr>
        <w:t>Výnos z podielu na vybratých finančných prostriedkoch EÚ</w:t>
      </w:r>
      <w:r w:rsidRPr="008A19F5">
        <w:rPr>
          <w:rFonts w:ascii="Times New Roman" w:hAnsi="Times New Roman" w:cs="Times New Roman"/>
        </w:rPr>
        <w:t xml:space="preserve"> je tvorený 20</w:t>
      </w:r>
      <w:r>
        <w:rPr>
          <w:rFonts w:ascii="Times New Roman" w:hAnsi="Times New Roman" w:cs="Times New Roman"/>
        </w:rPr>
        <w:t> </w:t>
      </w:r>
      <w:r w:rsidRPr="008A19F5">
        <w:rPr>
          <w:rFonts w:ascii="Times New Roman" w:hAnsi="Times New Roman" w:cs="Times New Roman"/>
        </w:rPr>
        <w:t>% zo sumy vlastných tradičných zdrojov EÚ pripadajúcich na dovozné clo a poľnohospodárske poplatky, ostávajúcich 80</w:t>
      </w:r>
      <w:r>
        <w:rPr>
          <w:rFonts w:ascii="Times New Roman" w:hAnsi="Times New Roman" w:cs="Times New Roman"/>
        </w:rPr>
        <w:t> </w:t>
      </w:r>
      <w:r w:rsidRPr="008A19F5">
        <w:rPr>
          <w:rFonts w:ascii="Times New Roman" w:hAnsi="Times New Roman" w:cs="Times New Roman"/>
        </w:rPr>
        <w:t>% plynie priamo do rozpočtu EÚ. Odhad plnenia na roky 2019 až 2021 vychádza z predpokladov o vývoji dovozu tovarov, ktoré podliehajú clu.</w:t>
      </w:r>
    </w:p>
    <w:p w:rsidR="002B3068" w:rsidRPr="00886A7F" w:rsidRDefault="002B3068" w:rsidP="002B3068">
      <w:pPr>
        <w:ind w:firstLine="708"/>
        <w:jc w:val="both"/>
        <w:rPr>
          <w:rFonts w:ascii="Times New Roman" w:hAnsi="Times New Roman" w:cs="Times New Roman"/>
          <w:highlight w:val="yellow"/>
        </w:rPr>
      </w:pPr>
    </w:p>
    <w:p w:rsidR="002B3068" w:rsidRPr="00FE2D79" w:rsidRDefault="002B3068" w:rsidP="002B3068">
      <w:pPr>
        <w:ind w:firstLine="708"/>
        <w:jc w:val="both"/>
        <w:rPr>
          <w:rFonts w:ascii="Times New Roman" w:hAnsi="Times New Roman" w:cs="Times New Roman"/>
        </w:rPr>
      </w:pPr>
      <w:r w:rsidRPr="00FE2D79">
        <w:rPr>
          <w:rFonts w:ascii="Times New Roman" w:hAnsi="Times New Roman" w:cs="Times New Roman"/>
        </w:rPr>
        <w:t xml:space="preserve">Prognóza výnosu z </w:t>
      </w:r>
      <w:r w:rsidRPr="00FE2D79">
        <w:rPr>
          <w:rFonts w:ascii="Times New Roman" w:hAnsi="Times New Roman" w:cs="Times New Roman"/>
          <w:b/>
        </w:rPr>
        <w:t>úhrad za služby verejnosti poskytované RTVS</w:t>
      </w:r>
      <w:r w:rsidRPr="00FE2D79">
        <w:rPr>
          <w:rFonts w:ascii="Times New Roman" w:hAnsi="Times New Roman" w:cs="Times New Roman"/>
        </w:rPr>
        <w:t xml:space="preserve"> je v porovnaní s rozpočtom na roky 2018 až 2020 vyššia o 0,8 mil. eur z dôvodu lepšieho plnenia v roku 2018.</w:t>
      </w:r>
    </w:p>
    <w:p w:rsidR="002B3068" w:rsidRPr="00FE2D79" w:rsidRDefault="002B3068" w:rsidP="002B3068">
      <w:pPr>
        <w:ind w:firstLine="708"/>
        <w:jc w:val="both"/>
        <w:rPr>
          <w:rFonts w:ascii="Times New Roman" w:hAnsi="Times New Roman" w:cs="Times New Roman"/>
          <w:b/>
        </w:rPr>
      </w:pPr>
      <w:r w:rsidRPr="00FE2D79">
        <w:rPr>
          <w:rFonts w:ascii="Times New Roman" w:hAnsi="Times New Roman" w:cs="Times New Roman"/>
        </w:rPr>
        <w:t xml:space="preserve"> </w:t>
      </w:r>
    </w:p>
    <w:p w:rsidR="002B3068" w:rsidRPr="003D5FEC" w:rsidRDefault="002B3068" w:rsidP="002B3068">
      <w:pPr>
        <w:ind w:firstLine="708"/>
        <w:jc w:val="both"/>
        <w:rPr>
          <w:rFonts w:ascii="Times New Roman" w:hAnsi="Times New Roman" w:cs="Times New Roman"/>
        </w:rPr>
      </w:pPr>
      <w:r w:rsidRPr="003D5FEC">
        <w:rPr>
          <w:rFonts w:ascii="Times New Roman" w:hAnsi="Times New Roman" w:cs="Times New Roman"/>
          <w:b/>
        </w:rPr>
        <w:t xml:space="preserve">Osobitný odvod vybraných finančných inštitúcií </w:t>
      </w:r>
      <w:r w:rsidRPr="003D5FEC">
        <w:rPr>
          <w:rFonts w:ascii="Times New Roman" w:hAnsi="Times New Roman" w:cs="Times New Roman"/>
        </w:rPr>
        <w:t>je súčasťou štátnych finančných aktív a tvorí zdroje na krytie prípadných problémov vo finančnom sektore. Výška odvodu je  v rokoch 2018 až 2020 stanovená</w:t>
      </w:r>
      <w:r>
        <w:rPr>
          <w:rFonts w:ascii="Times New Roman" w:hAnsi="Times New Roman" w:cs="Times New Roman"/>
        </w:rPr>
        <w:t xml:space="preserve"> ako 0,2 % z hodnoty pasív bánk</w:t>
      </w:r>
      <w:r w:rsidRPr="003D5FEC">
        <w:rPr>
          <w:rFonts w:ascii="Times New Roman" w:hAnsi="Times New Roman" w:cs="Times New Roman"/>
        </w:rPr>
        <w:t xml:space="preserve"> znížených o sumu vlastného imania. V roku 2018 očakávame vyšší výnos o 0,6 mil. eur oproti rozpočtovanej hodnote. Odhad výnosu v období 2019 až 2020 negatívne ovplyvňuje vývoj príslušnej makroekonomickej bázy. Od roku 2021 bude odvod zrušený</w:t>
      </w:r>
      <w:r>
        <w:rPr>
          <w:rFonts w:ascii="Times New Roman" w:hAnsi="Times New Roman" w:cs="Times New Roman"/>
        </w:rPr>
        <w:t>,</w:t>
      </w:r>
      <w:r w:rsidRPr="003D5FEC">
        <w:rPr>
          <w:rFonts w:ascii="Times New Roman" w:hAnsi="Times New Roman" w:cs="Times New Roman"/>
        </w:rPr>
        <w:t xml:space="preserve"> </w:t>
      </w:r>
      <w:r>
        <w:rPr>
          <w:rFonts w:ascii="Times New Roman" w:hAnsi="Times New Roman" w:cs="Times New Roman"/>
        </w:rPr>
        <w:t xml:space="preserve">pretože </w:t>
      </w:r>
      <w:r w:rsidRPr="003D5FEC">
        <w:rPr>
          <w:rFonts w:ascii="Times New Roman" w:hAnsi="Times New Roman" w:cs="Times New Roman"/>
        </w:rPr>
        <w:t xml:space="preserve">podľa aktuálnej legislatívy vstupuje do platnosti </w:t>
      </w:r>
      <w:r>
        <w:rPr>
          <w:rFonts w:ascii="Times New Roman" w:hAnsi="Times New Roman" w:cs="Times New Roman"/>
        </w:rPr>
        <w:t xml:space="preserve">nulová </w:t>
      </w:r>
      <w:r w:rsidRPr="003D5FEC">
        <w:rPr>
          <w:rFonts w:ascii="Times New Roman" w:hAnsi="Times New Roman" w:cs="Times New Roman"/>
        </w:rPr>
        <w:t xml:space="preserve">sadzba. </w:t>
      </w:r>
    </w:p>
    <w:p w:rsidR="002B3068" w:rsidRDefault="002B3068" w:rsidP="002B3068">
      <w:pPr>
        <w:ind w:firstLine="708"/>
        <w:jc w:val="both"/>
        <w:rPr>
          <w:rFonts w:ascii="Times New Roman" w:hAnsi="Times New Roman" w:cs="Times New Roman"/>
          <w:highlight w:val="yellow"/>
        </w:rPr>
      </w:pPr>
    </w:p>
    <w:p w:rsidR="002B3068" w:rsidRPr="003D5FEC" w:rsidRDefault="002B3068" w:rsidP="002B3068">
      <w:pPr>
        <w:ind w:firstLine="708"/>
        <w:jc w:val="both"/>
        <w:rPr>
          <w:rFonts w:ascii="Times New Roman" w:hAnsi="Times New Roman" w:cs="Times New Roman"/>
        </w:rPr>
      </w:pPr>
      <w:r w:rsidRPr="003D5FEC">
        <w:rPr>
          <w:rFonts w:ascii="Times New Roman" w:hAnsi="Times New Roman" w:cs="Times New Roman"/>
        </w:rPr>
        <w:t xml:space="preserve">Odhad výnosu </w:t>
      </w:r>
      <w:r w:rsidRPr="003D5FEC">
        <w:rPr>
          <w:rFonts w:ascii="Times New Roman" w:hAnsi="Times New Roman" w:cs="Times New Roman"/>
          <w:b/>
        </w:rPr>
        <w:t>osobitného odvodu z podnikania v regulovaných odvetviach</w:t>
      </w:r>
      <w:r w:rsidRPr="003D5FEC">
        <w:rPr>
          <w:rFonts w:ascii="Times New Roman" w:hAnsi="Times New Roman" w:cs="Times New Roman"/>
        </w:rPr>
        <w:t xml:space="preserve"> za rok 2018 je oproti rozpočtovanej hodnote nižší o 13,9 mil. eur z dôvodu nižšieho plnenia za rok 2017. Nižšie plnenie ovplyvňuje aj roky 2019 až 2021. </w:t>
      </w:r>
    </w:p>
    <w:p w:rsidR="002B3068" w:rsidRPr="00886A7F" w:rsidRDefault="002B3068" w:rsidP="002B3068">
      <w:pPr>
        <w:jc w:val="both"/>
        <w:rPr>
          <w:rFonts w:ascii="Times New Roman" w:hAnsi="Times New Roman" w:cs="Times New Roman"/>
          <w:highlight w:val="yellow"/>
        </w:rPr>
      </w:pPr>
    </w:p>
    <w:p w:rsidR="002B3068" w:rsidRDefault="002B3068" w:rsidP="002B3068">
      <w:pPr>
        <w:ind w:firstLine="708"/>
        <w:jc w:val="both"/>
        <w:rPr>
          <w:rFonts w:ascii="Times New Roman" w:hAnsi="Times New Roman" w:cs="Times New Roman"/>
        </w:rPr>
      </w:pPr>
      <w:r>
        <w:rPr>
          <w:rFonts w:ascii="Times New Roman" w:hAnsi="Times New Roman" w:cs="Times New Roman"/>
        </w:rPr>
        <w:t xml:space="preserve">Novým zákonom sa od roku 2019 stáva súčasťou daňových príjmov Environmentálneho fondu aj </w:t>
      </w:r>
      <w:r w:rsidRPr="00222114">
        <w:rPr>
          <w:rFonts w:ascii="Times New Roman" w:hAnsi="Times New Roman" w:cs="Times New Roman"/>
          <w:b/>
        </w:rPr>
        <w:t>poplatok za uloženie odpadov</w:t>
      </w:r>
      <w:r>
        <w:rPr>
          <w:rFonts w:ascii="Times New Roman" w:hAnsi="Times New Roman" w:cs="Times New Roman"/>
        </w:rPr>
        <w:t xml:space="preserve">. Odhad výnosu zohľadňuje postupne sa zvyšujúce sadzby za uloženie odpadu. V rokoch 2019 až 2021 sa očakávajú výnosy vo výške </w:t>
      </w:r>
      <w:r>
        <w:rPr>
          <w:rFonts w:ascii="Times New Roman" w:hAnsi="Times New Roman" w:cs="Times New Roman"/>
        </w:rPr>
        <w:br/>
        <w:t>26,9 mil. eur až 44,9 mil. eur.</w:t>
      </w:r>
    </w:p>
    <w:p w:rsidR="002B3068" w:rsidRDefault="002B3068" w:rsidP="002B3068">
      <w:pPr>
        <w:ind w:firstLine="708"/>
        <w:jc w:val="both"/>
        <w:rPr>
          <w:rFonts w:ascii="Times New Roman" w:hAnsi="Times New Roman" w:cs="Times New Roman"/>
        </w:rPr>
      </w:pPr>
    </w:p>
    <w:p w:rsidR="002B3068" w:rsidRPr="00FE2D79" w:rsidRDefault="002B3068" w:rsidP="002B3068">
      <w:pPr>
        <w:ind w:firstLine="708"/>
        <w:jc w:val="both"/>
        <w:rPr>
          <w:rFonts w:ascii="Times New Roman" w:hAnsi="Times New Roman" w:cs="Times New Roman"/>
        </w:rPr>
      </w:pPr>
      <w:r w:rsidRPr="00FE2D79">
        <w:rPr>
          <w:rFonts w:ascii="Times New Roman" w:hAnsi="Times New Roman" w:cs="Times New Roman"/>
        </w:rPr>
        <w:t xml:space="preserve">Súčasťou ostatných daní sú aj </w:t>
      </w:r>
      <w:r w:rsidRPr="00FE2D79">
        <w:rPr>
          <w:rFonts w:ascii="Times New Roman" w:hAnsi="Times New Roman" w:cs="Times New Roman"/>
          <w:b/>
        </w:rPr>
        <w:t>zrušené majetkové dane</w:t>
      </w:r>
      <w:r w:rsidRPr="00FE2D79">
        <w:rPr>
          <w:rFonts w:ascii="Times New Roman" w:hAnsi="Times New Roman" w:cs="Times New Roman"/>
        </w:rPr>
        <w:t xml:space="preserve">, z ktorých naďalej plynú dobiehajúce platby do štátneho rozpočtu. Aktuálny odhad na rok 2018 je výnos v objeme </w:t>
      </w:r>
      <w:r>
        <w:rPr>
          <w:rFonts w:ascii="Times New Roman" w:hAnsi="Times New Roman" w:cs="Times New Roman"/>
        </w:rPr>
        <w:br/>
      </w:r>
      <w:r w:rsidRPr="00FE2D79">
        <w:rPr>
          <w:rFonts w:ascii="Times New Roman" w:hAnsi="Times New Roman" w:cs="Times New Roman"/>
        </w:rPr>
        <w:t xml:space="preserve">0,01 mil. eur a </w:t>
      </w:r>
      <w:r>
        <w:rPr>
          <w:rFonts w:ascii="Times New Roman" w:hAnsi="Times New Roman" w:cs="Times New Roman"/>
        </w:rPr>
        <w:t>na</w:t>
      </w:r>
      <w:r w:rsidRPr="00FE2D79">
        <w:rPr>
          <w:rFonts w:ascii="Times New Roman" w:hAnsi="Times New Roman" w:cs="Times New Roman"/>
        </w:rPr>
        <w:t xml:space="preserve"> ďalšie roky sa už tieto dane nerozpočtujú.</w:t>
      </w:r>
    </w:p>
    <w:p w:rsidR="002B3068" w:rsidRDefault="002B3068" w:rsidP="002B3068">
      <w:pPr>
        <w:ind w:firstLine="708"/>
        <w:jc w:val="both"/>
        <w:rPr>
          <w:rFonts w:ascii="Times New Roman" w:hAnsi="Times New Roman" w:cs="Times New Roman"/>
          <w:color w:val="FF0000"/>
          <w:highlight w:val="yellow"/>
        </w:rPr>
      </w:pPr>
    </w:p>
    <w:p w:rsidR="002B3068" w:rsidRPr="0054208C" w:rsidRDefault="002B3068" w:rsidP="002B3068">
      <w:pPr>
        <w:ind w:firstLine="708"/>
        <w:jc w:val="both"/>
        <w:rPr>
          <w:rFonts w:ascii="Times New Roman" w:hAnsi="Times New Roman"/>
          <w:color w:val="000000" w:themeColor="text1"/>
        </w:rPr>
      </w:pPr>
      <w:r w:rsidRPr="0054208C">
        <w:rPr>
          <w:rFonts w:ascii="Times New Roman" w:hAnsi="Times New Roman"/>
          <w:color w:val="000000" w:themeColor="text1"/>
        </w:rPr>
        <w:t xml:space="preserve">Očakáva sa, že nová </w:t>
      </w:r>
      <w:r w:rsidRPr="0054208C">
        <w:rPr>
          <w:rFonts w:ascii="Times New Roman" w:hAnsi="Times New Roman"/>
          <w:b/>
          <w:color w:val="000000" w:themeColor="text1"/>
        </w:rPr>
        <w:t>daň z poistenia</w:t>
      </w:r>
      <w:r w:rsidRPr="0054208C">
        <w:rPr>
          <w:rFonts w:ascii="Times New Roman" w:hAnsi="Times New Roman"/>
          <w:color w:val="000000" w:themeColor="text1"/>
        </w:rPr>
        <w:t xml:space="preserve"> prinesie do rozpočtu v roku 2019 sumu </w:t>
      </w:r>
      <w:r>
        <w:rPr>
          <w:rFonts w:ascii="Times New Roman" w:hAnsi="Times New Roman"/>
          <w:color w:val="000000" w:themeColor="text1"/>
        </w:rPr>
        <w:br/>
      </w:r>
      <w:r w:rsidRPr="0054208C">
        <w:rPr>
          <w:rFonts w:ascii="Times New Roman" w:hAnsi="Times New Roman"/>
          <w:color w:val="000000" w:themeColor="text1"/>
        </w:rPr>
        <w:t>73,6 mil. eur a jej výnos do roku 2021 vzrastie na 78,1 mil. eur, čo je v súlade s rastom ekonomiky. Zároveň zrušením odvodu z neživotného poistenia poklesnú daňové príjmy od roku 2019 každoročne o 20,0 mil. eur.</w:t>
      </w:r>
    </w:p>
    <w:p w:rsidR="002B3068" w:rsidRPr="0054208C" w:rsidRDefault="002B3068" w:rsidP="002B3068">
      <w:pPr>
        <w:ind w:firstLine="708"/>
        <w:jc w:val="both"/>
        <w:rPr>
          <w:rFonts w:ascii="Times New Roman" w:hAnsi="Times New Roman"/>
          <w:color w:val="000000" w:themeColor="text1"/>
        </w:rPr>
      </w:pPr>
    </w:p>
    <w:p w:rsidR="002B3068" w:rsidRPr="0054208C" w:rsidRDefault="002B3068" w:rsidP="002B3068">
      <w:pPr>
        <w:ind w:firstLine="708"/>
        <w:jc w:val="both"/>
        <w:rPr>
          <w:rFonts w:ascii="Times New Roman" w:hAnsi="Times New Roman"/>
          <w:color w:val="000000" w:themeColor="text1"/>
        </w:rPr>
      </w:pPr>
      <w:r w:rsidRPr="0054208C">
        <w:rPr>
          <w:rFonts w:ascii="Times New Roman" w:hAnsi="Times New Roman"/>
          <w:b/>
          <w:color w:val="000000" w:themeColor="text1"/>
        </w:rPr>
        <w:t>Odvod z prijatého poistného z povinného zmluvného poistenia zodpovednosti za škodu spôsobenú prevádzkou motorového vozidla</w:t>
      </w:r>
      <w:r w:rsidRPr="0054208C">
        <w:rPr>
          <w:rFonts w:ascii="Times New Roman" w:hAnsi="Times New Roman"/>
          <w:color w:val="000000" w:themeColor="text1"/>
        </w:rPr>
        <w:t>, ktorý sa od roku 2018 pretransformoval na daňový príjem, sa bude vyvíjať v súlade s rastom ekonomiky.</w:t>
      </w:r>
    </w:p>
    <w:p w:rsidR="002B3068" w:rsidRDefault="002B3068" w:rsidP="002B3068">
      <w:pPr>
        <w:ind w:firstLine="708"/>
        <w:jc w:val="both"/>
        <w:rPr>
          <w:rFonts w:ascii="Times New Roman" w:hAnsi="Times New Roman" w:cs="Times New Roman"/>
          <w:color w:val="FF0000"/>
          <w:highlight w:val="yellow"/>
        </w:rPr>
      </w:pPr>
    </w:p>
    <w:p w:rsidR="002B3068" w:rsidRPr="00886A7F" w:rsidRDefault="002B3068" w:rsidP="002B3068">
      <w:pPr>
        <w:ind w:firstLine="709"/>
        <w:jc w:val="both"/>
        <w:rPr>
          <w:rFonts w:ascii="Times New Roman" w:hAnsi="Times New Roman" w:cs="Times New Roman"/>
          <w:highlight w:val="yellow"/>
        </w:rPr>
      </w:pPr>
      <w:r w:rsidRPr="001549A5">
        <w:rPr>
          <w:rFonts w:ascii="Times New Roman" w:hAnsi="Times New Roman" w:cs="Times New Roman"/>
        </w:rPr>
        <w:t xml:space="preserve">Výnos </w:t>
      </w:r>
      <w:r w:rsidRPr="001549A5">
        <w:rPr>
          <w:rFonts w:ascii="Times New Roman" w:hAnsi="Times New Roman" w:cs="Times New Roman"/>
          <w:b/>
        </w:rPr>
        <w:t>odvodov</w:t>
      </w:r>
      <w:r w:rsidRPr="001549A5">
        <w:rPr>
          <w:rFonts w:ascii="Times New Roman" w:hAnsi="Times New Roman" w:cs="Times New Roman"/>
        </w:rPr>
        <w:t xml:space="preserve"> </w:t>
      </w:r>
      <w:r w:rsidRPr="001549A5">
        <w:rPr>
          <w:rFonts w:ascii="Times New Roman" w:hAnsi="Times New Roman" w:cs="Times New Roman"/>
          <w:b/>
        </w:rPr>
        <w:t>od ekonomicky aktívneho obyvat</w:t>
      </w:r>
      <w:r>
        <w:rPr>
          <w:rFonts w:ascii="Times New Roman" w:hAnsi="Times New Roman" w:cs="Times New Roman"/>
          <w:b/>
        </w:rPr>
        <w:t>eľstva do Sociálnej poisťovne a </w:t>
      </w:r>
      <w:r w:rsidRPr="001549A5">
        <w:rPr>
          <w:rFonts w:ascii="Times New Roman" w:hAnsi="Times New Roman" w:cs="Times New Roman"/>
          <w:b/>
        </w:rPr>
        <w:t>zdravotných poisťovní</w:t>
      </w:r>
      <w:r w:rsidRPr="001549A5">
        <w:rPr>
          <w:rFonts w:ascii="Times New Roman" w:hAnsi="Times New Roman" w:cs="Times New Roman"/>
        </w:rPr>
        <w:t xml:space="preserve"> v roku 2018 odzrkadľuje pozitívny vývoj na trhu práce a </w:t>
      </w:r>
      <w:r w:rsidRPr="00F744F7">
        <w:rPr>
          <w:rFonts w:ascii="Times New Roman" w:hAnsi="Times New Roman" w:cs="Times New Roman"/>
        </w:rPr>
        <w:t xml:space="preserve">prijaté </w:t>
      </w:r>
      <w:r w:rsidRPr="00F744F7">
        <w:rPr>
          <w:rFonts w:ascii="Times New Roman" w:hAnsi="Times New Roman" w:cs="Times New Roman"/>
        </w:rPr>
        <w:lastRenderedPageBreak/>
        <w:t>legislatívne zmeny</w:t>
      </w:r>
      <w:r>
        <w:rPr>
          <w:rFonts w:ascii="Times New Roman" w:hAnsi="Times New Roman" w:cs="Times New Roman"/>
        </w:rPr>
        <w:t xml:space="preserve">. Výnos sociálnych odvodov ovplyvnilo zavedenie </w:t>
      </w:r>
      <w:r w:rsidRPr="00F744F7">
        <w:rPr>
          <w:rFonts w:ascii="Times New Roman" w:hAnsi="Times New Roman" w:cs="Times New Roman"/>
        </w:rPr>
        <w:t xml:space="preserve">odvodovej odpočítateľnej položky </w:t>
      </w:r>
      <w:r>
        <w:rPr>
          <w:rFonts w:ascii="Times New Roman" w:hAnsi="Times New Roman" w:cs="Times New Roman"/>
        </w:rPr>
        <w:t xml:space="preserve">(OOP) pre dôchodcov. Na zdravotných odvodoch malo pozitívny vplyv na výnos zrušenie OOP pre zamestnávateľov a aj pomalší nábeh vyplácania 13. platu. </w:t>
      </w:r>
      <w:r w:rsidRPr="00F744F7">
        <w:rPr>
          <w:rFonts w:ascii="Times New Roman" w:hAnsi="Times New Roman" w:cs="Times New Roman"/>
        </w:rPr>
        <w:t>Odhad na roky 2019 až 2021 je v súlade s očakávaným rastom mzdovej bázy</w:t>
      </w:r>
      <w:r>
        <w:rPr>
          <w:rFonts w:ascii="Times New Roman" w:hAnsi="Times New Roman" w:cs="Times New Roman"/>
        </w:rPr>
        <w:t xml:space="preserve">, </w:t>
      </w:r>
      <w:r w:rsidRPr="00F744F7">
        <w:rPr>
          <w:rFonts w:ascii="Times New Roman" w:hAnsi="Times New Roman" w:cs="Times New Roman"/>
        </w:rPr>
        <w:t>základ</w:t>
      </w:r>
      <w:r>
        <w:rPr>
          <w:rFonts w:ascii="Times New Roman" w:hAnsi="Times New Roman" w:cs="Times New Roman"/>
        </w:rPr>
        <w:t>ne</w:t>
      </w:r>
      <w:r w:rsidRPr="00F744F7">
        <w:rPr>
          <w:rFonts w:ascii="Times New Roman" w:hAnsi="Times New Roman" w:cs="Times New Roman"/>
        </w:rPr>
        <w:t xml:space="preserve"> pre odhad odvodových príjmov</w:t>
      </w:r>
      <w:r>
        <w:rPr>
          <w:rFonts w:ascii="Times New Roman" w:hAnsi="Times New Roman" w:cs="Times New Roman"/>
        </w:rPr>
        <w:t>, a novelizovanou legislatívou</w:t>
      </w:r>
      <w:r w:rsidRPr="00F744F7">
        <w:rPr>
          <w:rFonts w:ascii="Times New Roman" w:hAnsi="Times New Roman" w:cs="Times New Roman"/>
        </w:rPr>
        <w:t xml:space="preserve">. </w:t>
      </w:r>
      <w:r w:rsidRPr="001549A5">
        <w:rPr>
          <w:rFonts w:ascii="Times New Roman" w:hAnsi="Times New Roman" w:cs="Times New Roman"/>
        </w:rPr>
        <w:t xml:space="preserve">Od roku 2019 prispieva k vyššiemu výnosu na zdravotných odvodoch </w:t>
      </w:r>
      <w:r w:rsidRPr="00F744F7">
        <w:rPr>
          <w:rFonts w:ascii="Times New Roman" w:hAnsi="Times New Roman" w:cs="Times New Roman"/>
        </w:rPr>
        <w:t xml:space="preserve">plný vplyv zrušenia </w:t>
      </w:r>
      <w:r>
        <w:rPr>
          <w:rFonts w:ascii="Times New Roman" w:hAnsi="Times New Roman" w:cs="Times New Roman"/>
        </w:rPr>
        <w:t>OOP</w:t>
      </w:r>
      <w:r w:rsidRPr="00F744F7">
        <w:rPr>
          <w:rFonts w:ascii="Times New Roman" w:hAnsi="Times New Roman" w:cs="Times New Roman"/>
        </w:rPr>
        <w:t xml:space="preserve"> pre zamestnávateľov. </w:t>
      </w:r>
      <w:r w:rsidRPr="001549A5">
        <w:rPr>
          <w:rFonts w:ascii="Times New Roman" w:hAnsi="Times New Roman" w:cs="Times New Roman"/>
        </w:rPr>
        <w:t>Odhad výnosu sociálnych odvodov je ovplyvnený</w:t>
      </w:r>
      <w:r w:rsidRPr="003A4592">
        <w:rPr>
          <w:rFonts w:ascii="Times New Roman" w:hAnsi="Times New Roman" w:cs="Times New Roman"/>
        </w:rPr>
        <w:t xml:space="preserve"> postupným zvyšovaním sadzby odvodu do 2. piliera </w:t>
      </w:r>
      <w:r>
        <w:rPr>
          <w:rFonts w:ascii="Times New Roman" w:hAnsi="Times New Roman" w:cs="Times New Roman"/>
        </w:rPr>
        <w:br/>
      </w:r>
      <w:r w:rsidRPr="003A4592">
        <w:rPr>
          <w:rFonts w:ascii="Times New Roman" w:hAnsi="Times New Roman" w:cs="Times New Roman"/>
        </w:rPr>
        <w:t>o 0,25 p.b. na horizonte rozpočtu ako aj zavedením ročného zúčtovania sociálneho poistenia</w:t>
      </w:r>
      <w:r>
        <w:rPr>
          <w:rFonts w:ascii="Times New Roman" w:hAnsi="Times New Roman" w:cs="Times New Roman"/>
        </w:rPr>
        <w:t>, ktoré sa prejaví</w:t>
      </w:r>
      <w:r w:rsidRPr="003A4592">
        <w:rPr>
          <w:rFonts w:ascii="Times New Roman" w:hAnsi="Times New Roman" w:cs="Times New Roman"/>
        </w:rPr>
        <w:t xml:space="preserve"> v roku 2021</w:t>
      </w:r>
      <w:r>
        <w:rPr>
          <w:rFonts w:ascii="Times New Roman" w:hAnsi="Times New Roman" w:cs="Times New Roman"/>
        </w:rPr>
        <w:t>.</w:t>
      </w:r>
      <w:r w:rsidRPr="003A4592">
        <w:rPr>
          <w:rFonts w:ascii="Times New Roman" w:hAnsi="Times New Roman" w:cs="Times New Roman"/>
        </w:rPr>
        <w:t xml:space="preserve"> </w:t>
      </w:r>
      <w:r>
        <w:rPr>
          <w:rFonts w:ascii="Times New Roman" w:hAnsi="Times New Roman" w:cs="Times New Roman"/>
        </w:rPr>
        <w:t>Výnos na odvodoch v celom horizonte rozpočtu negatívne ovplyvňuje oslobodenie 13. a 14. platu.</w:t>
      </w:r>
    </w:p>
    <w:p w:rsidR="002B3068" w:rsidRPr="008A19F5" w:rsidRDefault="002B3068" w:rsidP="002B3068">
      <w:pPr>
        <w:ind w:firstLine="708"/>
        <w:jc w:val="both"/>
        <w:rPr>
          <w:rFonts w:ascii="Times New Roman" w:hAnsi="Times New Roman" w:cs="Times New Roman"/>
          <w:color w:val="FF0000"/>
        </w:rPr>
      </w:pPr>
    </w:p>
    <w:p w:rsidR="002B3068" w:rsidRPr="008A19F5" w:rsidRDefault="002B3068" w:rsidP="002B3068">
      <w:pPr>
        <w:rPr>
          <w:rFonts w:ascii="Times New Roman" w:hAnsi="Times New Roman" w:cs="Times New Roman"/>
          <w:b/>
          <w:bCs/>
        </w:rPr>
      </w:pPr>
      <w:r w:rsidRPr="008A19F5">
        <w:rPr>
          <w:rFonts w:ascii="Times New Roman" w:hAnsi="Times New Roman" w:cs="Times New Roman"/>
          <w:b/>
          <w:bCs/>
        </w:rPr>
        <w:t>Kvantifikácia daňových a odvodových príjmov</w:t>
      </w:r>
    </w:p>
    <w:p w:rsidR="002B3068" w:rsidRPr="00886A7F" w:rsidRDefault="002B3068" w:rsidP="002B3068">
      <w:pPr>
        <w:jc w:val="both"/>
        <w:outlineLvl w:val="0"/>
        <w:rPr>
          <w:rFonts w:ascii="Times New Roman" w:hAnsi="Times New Roman" w:cs="Times New Roman"/>
          <w:color w:val="FF0000"/>
          <w:highlight w:val="yellow"/>
        </w:rPr>
      </w:pPr>
    </w:p>
    <w:p w:rsidR="002B3068" w:rsidRPr="00427315" w:rsidRDefault="002B3068" w:rsidP="002B3068">
      <w:pPr>
        <w:ind w:firstLine="708"/>
        <w:jc w:val="both"/>
        <w:rPr>
          <w:rFonts w:ascii="Times New Roman" w:hAnsi="Times New Roman" w:cs="Times New Roman"/>
        </w:rPr>
      </w:pPr>
      <w:r w:rsidRPr="00427315">
        <w:rPr>
          <w:rFonts w:ascii="Times New Roman" w:hAnsi="Times New Roman" w:cs="Times New Roman"/>
        </w:rPr>
        <w:t xml:space="preserve">Medzi </w:t>
      </w:r>
      <w:r w:rsidRPr="00427315">
        <w:rPr>
          <w:rFonts w:ascii="Times New Roman" w:hAnsi="Times New Roman" w:cs="Times New Roman"/>
          <w:b/>
          <w:bCs/>
        </w:rPr>
        <w:t>hlavné riziká prognózy</w:t>
      </w:r>
      <w:r w:rsidRPr="00427315">
        <w:rPr>
          <w:rFonts w:ascii="Times New Roman" w:hAnsi="Times New Roman" w:cs="Times New Roman"/>
        </w:rPr>
        <w:t xml:space="preserve"> patrí samotný makroekonomický vývoj. Aktuálna prognóza daňových príjmov je postavená na predpoklade rastu ekonomiky v roku 2018 na úrovni 4,</w:t>
      </w:r>
      <w:r>
        <w:rPr>
          <w:rFonts w:ascii="Times New Roman" w:hAnsi="Times New Roman" w:cs="Times New Roman"/>
        </w:rPr>
        <w:t>1</w:t>
      </w:r>
      <w:r w:rsidRPr="00427315">
        <w:rPr>
          <w:rFonts w:ascii="Times New Roman" w:hAnsi="Times New Roman" w:cs="Times New Roman"/>
        </w:rPr>
        <w:t xml:space="preserve"> % a v roku 2019 na úrovni 4,</w:t>
      </w:r>
      <w:r>
        <w:rPr>
          <w:rFonts w:ascii="Times New Roman" w:hAnsi="Times New Roman" w:cs="Times New Roman"/>
        </w:rPr>
        <w:t>5</w:t>
      </w:r>
      <w:r w:rsidRPr="00427315">
        <w:rPr>
          <w:rFonts w:ascii="Times New Roman" w:hAnsi="Times New Roman" w:cs="Times New Roman"/>
        </w:rPr>
        <w:t xml:space="preserve"> %, pričom možné nenaplnenie tohto odhadu by sa prirodzene premietlo aj do ni</w:t>
      </w:r>
      <w:r>
        <w:rPr>
          <w:rFonts w:ascii="Times New Roman" w:hAnsi="Times New Roman" w:cs="Times New Roman"/>
        </w:rPr>
        <w:t>žšieho výnosu daňových príjmov.</w:t>
      </w:r>
    </w:p>
    <w:p w:rsidR="002B3068" w:rsidRPr="008A19F5" w:rsidRDefault="002B3068" w:rsidP="002B3068">
      <w:pPr>
        <w:ind w:firstLine="708"/>
        <w:jc w:val="both"/>
        <w:rPr>
          <w:rFonts w:ascii="Times New Roman" w:hAnsi="Times New Roman" w:cs="Times New Roman"/>
          <w:color w:val="FF0000"/>
        </w:rPr>
      </w:pPr>
      <w:r w:rsidRPr="008A19F5">
        <w:rPr>
          <w:rFonts w:ascii="Times New Roman" w:hAnsi="Times New Roman" w:cs="Times New Roman"/>
          <w:color w:val="FF0000"/>
        </w:rPr>
        <w:t xml:space="preserve"> </w:t>
      </w:r>
    </w:p>
    <w:p w:rsidR="002B3068" w:rsidRDefault="002B3068" w:rsidP="002B3068">
      <w:pPr>
        <w:ind w:firstLine="708"/>
        <w:jc w:val="both"/>
        <w:rPr>
          <w:rFonts w:ascii="Times New Roman" w:hAnsi="Times New Roman" w:cs="Times New Roman"/>
        </w:rPr>
      </w:pPr>
      <w:r w:rsidRPr="008A19F5">
        <w:rPr>
          <w:rFonts w:ascii="Times New Roman" w:hAnsi="Times New Roman" w:cs="Times New Roman"/>
          <w:b/>
          <w:bCs/>
        </w:rPr>
        <w:t>Daňové príjmy na hotovostnej báze</w:t>
      </w:r>
      <w:r w:rsidRPr="008A19F5">
        <w:rPr>
          <w:rFonts w:ascii="Times New Roman" w:hAnsi="Times New Roman" w:cs="Times New Roman"/>
        </w:rPr>
        <w:t xml:space="preserve"> sú prezentované v nasledovnej tabuľke. Podľa rozpočtovej klasifikácie sa sankčné úroky (ďalej len </w:t>
      </w:r>
      <w:r w:rsidR="00A87886">
        <w:rPr>
          <w:rFonts w:ascii="Times New Roman" w:hAnsi="Times New Roman" w:cs="Times New Roman"/>
        </w:rPr>
        <w:t>„</w:t>
      </w:r>
      <w:r w:rsidRPr="008A19F5">
        <w:rPr>
          <w:rFonts w:ascii="Times New Roman" w:hAnsi="Times New Roman" w:cs="Times New Roman"/>
        </w:rPr>
        <w:t>sankcie</w:t>
      </w:r>
      <w:r w:rsidR="00A87886">
        <w:rPr>
          <w:rFonts w:ascii="Times New Roman" w:hAnsi="Times New Roman" w:cs="Times New Roman"/>
        </w:rPr>
        <w:t>“</w:t>
      </w:r>
      <w:r w:rsidRPr="008A19F5">
        <w:rPr>
          <w:rFonts w:ascii="Times New Roman" w:hAnsi="Times New Roman" w:cs="Times New Roman"/>
        </w:rPr>
        <w:t xml:space="preserve">) uložené v daňovom konaní k jednotlivým daniam rozpočtujú v rámci samostatnej kategórie. </w:t>
      </w: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tbl>
      <w:tblPr>
        <w:tblW w:w="5003" w:type="pct"/>
        <w:tblInd w:w="-5" w:type="dxa"/>
        <w:tblLayout w:type="fixed"/>
        <w:tblCellMar>
          <w:left w:w="70" w:type="dxa"/>
          <w:right w:w="70" w:type="dxa"/>
        </w:tblCellMar>
        <w:tblLook w:val="04A0" w:firstRow="1" w:lastRow="0" w:firstColumn="1" w:lastColumn="0" w:noHBand="0" w:noVBand="1"/>
      </w:tblPr>
      <w:tblGrid>
        <w:gridCol w:w="3479"/>
        <w:gridCol w:w="916"/>
        <w:gridCol w:w="992"/>
        <w:gridCol w:w="886"/>
        <w:gridCol w:w="931"/>
        <w:gridCol w:w="931"/>
        <w:gridCol w:w="932"/>
      </w:tblGrid>
      <w:tr w:rsidR="002B3068" w:rsidRPr="005665A8" w:rsidTr="00DF0EF9">
        <w:trPr>
          <w:trHeight w:val="170"/>
        </w:trPr>
        <w:tc>
          <w:tcPr>
            <w:tcW w:w="9067" w:type="dxa"/>
            <w:gridSpan w:val="7"/>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lastRenderedPageBreak/>
              <w:t>Daňové a odvodové príjmy (hotovostný princíp, v tis. eur)</w:t>
            </w:r>
          </w:p>
        </w:tc>
      </w:tr>
      <w:tr w:rsidR="002B3068" w:rsidRPr="005665A8" w:rsidTr="00DF0EF9">
        <w:trPr>
          <w:trHeight w:val="170"/>
        </w:trPr>
        <w:tc>
          <w:tcPr>
            <w:tcW w:w="3479" w:type="dxa"/>
            <w:vMerge w:val="restart"/>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 </w:t>
            </w:r>
          </w:p>
        </w:tc>
        <w:tc>
          <w:tcPr>
            <w:tcW w:w="1908" w:type="dxa"/>
            <w:gridSpan w:val="2"/>
            <w:tcBorders>
              <w:top w:val="single" w:sz="4" w:space="0" w:color="auto"/>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Skutočnosť</w:t>
            </w:r>
          </w:p>
        </w:tc>
        <w:tc>
          <w:tcPr>
            <w:tcW w:w="3680" w:type="dxa"/>
            <w:gridSpan w:val="4"/>
            <w:tcBorders>
              <w:top w:val="single" w:sz="4" w:space="0" w:color="auto"/>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Prognóza</w:t>
            </w:r>
          </w:p>
        </w:tc>
      </w:tr>
      <w:tr w:rsidR="002B3068" w:rsidRPr="005665A8" w:rsidTr="00DF0EF9">
        <w:trPr>
          <w:trHeight w:val="170"/>
        </w:trPr>
        <w:tc>
          <w:tcPr>
            <w:tcW w:w="3479" w:type="dxa"/>
            <w:vMerge/>
            <w:tcBorders>
              <w:top w:val="nil"/>
              <w:left w:val="single" w:sz="4" w:space="0" w:color="auto"/>
              <w:bottom w:val="single" w:sz="4" w:space="0" w:color="auto"/>
              <w:right w:val="single" w:sz="4" w:space="0" w:color="auto"/>
            </w:tcBorders>
            <w:vAlign w:val="center"/>
            <w:hideMark/>
          </w:tcPr>
          <w:p w:rsidR="002B3068" w:rsidRPr="005665A8" w:rsidRDefault="002B3068" w:rsidP="00DF0EF9">
            <w:pPr>
              <w:rPr>
                <w:rFonts w:ascii="Times New Roman" w:hAnsi="Times New Roman" w:cs="Times New Roman"/>
                <w:b/>
                <w:bCs/>
                <w:sz w:val="14"/>
                <w:szCs w:val="14"/>
                <w:lang w:eastAsia="sk-SK"/>
              </w:rPr>
            </w:pPr>
          </w:p>
        </w:tc>
        <w:tc>
          <w:tcPr>
            <w:tcW w:w="916" w:type="dxa"/>
            <w:tcBorders>
              <w:top w:val="nil"/>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2016</w:t>
            </w:r>
          </w:p>
        </w:tc>
        <w:tc>
          <w:tcPr>
            <w:tcW w:w="992" w:type="dxa"/>
            <w:tcBorders>
              <w:top w:val="nil"/>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2017</w:t>
            </w:r>
          </w:p>
        </w:tc>
        <w:tc>
          <w:tcPr>
            <w:tcW w:w="886" w:type="dxa"/>
            <w:tcBorders>
              <w:top w:val="nil"/>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2018</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2019</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2020</w:t>
            </w:r>
          </w:p>
        </w:tc>
        <w:tc>
          <w:tcPr>
            <w:tcW w:w="932" w:type="dxa"/>
            <w:tcBorders>
              <w:top w:val="nil"/>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2021</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Dane z príjmov, ziskov a kapitálového majetku</w:t>
            </w:r>
          </w:p>
        </w:tc>
        <w:tc>
          <w:tcPr>
            <w:tcW w:w="91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lang w:eastAsia="sk-SK"/>
              </w:rPr>
            </w:pPr>
            <w:r w:rsidRPr="00747247">
              <w:rPr>
                <w:rFonts w:ascii="Times New Roman" w:hAnsi="Times New Roman" w:cs="Times New Roman"/>
                <w:b/>
                <w:bCs/>
                <w:sz w:val="14"/>
                <w:szCs w:val="14"/>
              </w:rPr>
              <w:t>5 742 777</w:t>
            </w:r>
          </w:p>
        </w:tc>
        <w:tc>
          <w:tcPr>
            <w:tcW w:w="99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5 355 165</w:t>
            </w:r>
          </w:p>
        </w:tc>
        <w:tc>
          <w:tcPr>
            <w:tcW w:w="88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5 893 456</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6 062 467</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6 617 414</w:t>
            </w:r>
          </w:p>
        </w:tc>
        <w:tc>
          <w:tcPr>
            <w:tcW w:w="93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6 947 629</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príjmov fyzických osôb</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2 376 502</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2 574 877</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2 858 082</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3 093 537</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3 357 243</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3 592 084</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DPFO zo závislej činnosti</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2 264 609</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2 481 935</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2 796 851</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3 017 157</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3 278 188</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3 512 927</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DPFO z podnikania</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111 893</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92 942</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61 231</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76 380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79 055</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79 157</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600" w:firstLine="8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do štátneho rozpočtu </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-8 529</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6 961</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13 911</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-16 794</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8 546</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-3 063</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600" w:firstLine="8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do obcí </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1 669 553</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1 797 541</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1 990 920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2 177 231</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2 344 088</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2 516 603</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600" w:firstLine="8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do VÚC </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715 479</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770 375</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853 251</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933 100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1 004 609</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1 078 544</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príjmov právnických osôb</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3 187 063</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2 601 856</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2 805 626</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2 733 291</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3 010 955</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3 106 379</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príjmov vyberaná zrážkou</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179 211</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178 431</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229 748</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235 639</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249 216</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249 166</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Dane na tovary a služby</w:t>
            </w:r>
          </w:p>
        </w:tc>
        <w:tc>
          <w:tcPr>
            <w:tcW w:w="91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7 531 196</w:t>
            </w:r>
          </w:p>
        </w:tc>
        <w:tc>
          <w:tcPr>
            <w:tcW w:w="99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8 165 764</w:t>
            </w:r>
          </w:p>
        </w:tc>
        <w:tc>
          <w:tcPr>
            <w:tcW w:w="88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8 677 487</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9 046 653</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9 477 859</w:t>
            </w:r>
          </w:p>
        </w:tc>
        <w:tc>
          <w:tcPr>
            <w:tcW w:w="93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9 889 027</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pridanej hodnoty</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5 360 699</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5 913 368</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6 357 090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6 629 455</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6 986 573</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7 341 708</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Spotrebné dane</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2 170 497</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2 252 396</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2 320 397</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2 417 198</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2 491 286</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2 547 319</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Z minerálnych olejov</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1 189 935</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1 231 774</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1 274 733</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1 332 478</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1 385 669</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1 432 220</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Z liehu</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208 915</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212 988</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218 068</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219 892</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223 708</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227 258</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Z piva</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56 947</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57 527</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59 562</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61 058</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62 204</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63 098</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Z vína</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4 937</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4 093</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4 550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3 915</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4 694</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4 755</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Z tabaku a tabakových výrobkov</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673 156</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708 641</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727 120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762 281</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776 296</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780 373</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Z elektrickej energie</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12 052</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11 407</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11 151</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11 570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11 894</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12 147</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Zo zemného plynu</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24 144</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25 860</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24 822</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25 590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26 402</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27 040</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Z uhlia</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410</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106</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391</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414</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419</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428</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Dane z medzinárodného obchodu a transakcií</w:t>
            </w:r>
          </w:p>
        </w:tc>
        <w:tc>
          <w:tcPr>
            <w:tcW w:w="91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28 887</w:t>
            </w:r>
          </w:p>
        </w:tc>
        <w:tc>
          <w:tcPr>
            <w:tcW w:w="99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22 433</w:t>
            </w:r>
          </w:p>
        </w:tc>
        <w:tc>
          <w:tcPr>
            <w:tcW w:w="88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21 095</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21 517</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21 947</w:t>
            </w:r>
          </w:p>
        </w:tc>
        <w:tc>
          <w:tcPr>
            <w:tcW w:w="93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22 386</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Dovozné clo</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39</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9</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Dovozná prirážka</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Podiel na vybratých finančných prostriedkoch</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28 845</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22 420</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21 095</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21 517</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21 947</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22 386</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Ostatné colné príjmy</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Miestne dane</w:t>
            </w:r>
          </w:p>
        </w:tc>
        <w:tc>
          <w:tcPr>
            <w:tcW w:w="91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522 110</w:t>
            </w:r>
          </w:p>
        </w:tc>
        <w:tc>
          <w:tcPr>
            <w:tcW w:w="99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544 083</w:t>
            </w:r>
          </w:p>
        </w:tc>
        <w:tc>
          <w:tcPr>
            <w:tcW w:w="88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567 974</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573 032</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595 441</w:t>
            </w:r>
          </w:p>
        </w:tc>
        <w:tc>
          <w:tcPr>
            <w:tcW w:w="93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617 488</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nehnuteľností</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336 359</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347 899</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352 047</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358 985</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366 427</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374 018</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Dane za špecifické služby</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185 751</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196 184</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215 927</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214 047</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229 014</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243 470</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motorových vozidiel (do r.2014 príjmom VÚC)</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Ostatné dane</w:t>
            </w:r>
          </w:p>
        </w:tc>
        <w:tc>
          <w:tcPr>
            <w:tcW w:w="91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404 505</w:t>
            </w:r>
          </w:p>
        </w:tc>
        <w:tc>
          <w:tcPr>
            <w:tcW w:w="99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539 683</w:t>
            </w:r>
          </w:p>
        </w:tc>
        <w:tc>
          <w:tcPr>
            <w:tcW w:w="88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604 995</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637 735</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685 190</w:t>
            </w:r>
          </w:p>
        </w:tc>
        <w:tc>
          <w:tcPr>
            <w:tcW w:w="93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516 461</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emisných kvót</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-1 100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motorových vozidiel (od r. 2015 príjmom ŠR)</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140 109</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149 851</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155 750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167 026</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178 213</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189 074</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Osobitný odvod vybraných finančných inštitúcií</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119 772</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127 284</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134 212</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143 076</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152 316</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Osobitný odvod z podnikania v regulovaných </w:t>
            </w:r>
            <w:r>
              <w:rPr>
                <w:rFonts w:ascii="Times New Roman" w:hAnsi="Times New Roman" w:cs="Times New Roman"/>
                <w:sz w:val="14"/>
                <w:szCs w:val="14"/>
                <w:lang w:eastAsia="sk-SK"/>
              </w:rPr>
              <w:t xml:space="preserve"> </w:t>
            </w:r>
            <w:r>
              <w:rPr>
                <w:rFonts w:ascii="Times New Roman" w:hAnsi="Times New Roman" w:cs="Times New Roman"/>
                <w:sz w:val="14"/>
                <w:szCs w:val="14"/>
                <w:lang w:eastAsia="sk-SK"/>
              </w:rPr>
              <w:br/>
              <w:t xml:space="preserve">        </w:t>
            </w:r>
            <w:r w:rsidRPr="005665A8">
              <w:rPr>
                <w:rFonts w:ascii="Times New Roman" w:hAnsi="Times New Roman" w:cs="Times New Roman"/>
                <w:sz w:val="14"/>
                <w:szCs w:val="14"/>
                <w:lang w:eastAsia="sk-SK"/>
              </w:rPr>
              <w:t>odvetviach</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65 028</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166 715</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178 625</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128 475</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128 930</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92 021</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Úhrada za služby verejnosti poskytované </w:t>
            </w:r>
            <w:r>
              <w:rPr>
                <w:rFonts w:ascii="Times New Roman" w:hAnsi="Times New Roman" w:cs="Times New Roman"/>
                <w:sz w:val="14"/>
                <w:szCs w:val="14"/>
                <w:lang w:eastAsia="sk-SK"/>
              </w:rPr>
              <w:t>RTVS</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78 276</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80 982</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82 453</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82 453</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82 453</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82 453</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úhrad za dobývací priestor</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574</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558</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600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600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600</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600</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600" w:firstLine="8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do štátneho rozpočtu </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98</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98</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102</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102</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102</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102</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600" w:firstLine="8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do obcí </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476</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460</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498</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498</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498</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498</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úhrad za uskladňovanie plynov alebo kvapalín</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703</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1 215</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1 100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1 100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1 100</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1 000</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Poplatok za uloženie odpadov (príjem EF)</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26 902</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38 491</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44 874</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Majetkové dane (do ŠR)</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26</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20</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Iné dane</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17</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13 058</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53 345</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88 103</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103 087</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106 439</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600" w:firstLine="8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do štátneho rozpočtu </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-72</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12 933</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27 751</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61 470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75 250</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77 525</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600" w:firstLine="8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do obcí </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89</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122</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600" w:firstLine="8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do VÚC </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600" w:firstLine="8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na samostatný účet</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25 594</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26 633</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27 837</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28 914</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cestná daň - dobeh</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-72</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odvod z poistenia</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12 939</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27 751</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6 270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poistenia</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55 200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75 250</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77 525</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odvod z PZP</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 </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 </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25 594</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26 633</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27 837</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28 914</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Fondy sociálneho a zdravotného poistenia (FSZP)</w:t>
            </w:r>
          </w:p>
        </w:tc>
        <w:tc>
          <w:tcPr>
            <w:tcW w:w="91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9 486 270</w:t>
            </w:r>
          </w:p>
        </w:tc>
        <w:tc>
          <w:tcPr>
            <w:tcW w:w="99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10 356 276</w:t>
            </w:r>
          </w:p>
        </w:tc>
        <w:tc>
          <w:tcPr>
            <w:tcW w:w="88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11 440 505</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12 108 608</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12 908 894</w:t>
            </w:r>
          </w:p>
        </w:tc>
        <w:tc>
          <w:tcPr>
            <w:tcW w:w="93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13 653 629</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ind w:firstLineChars="200" w:firstLine="281"/>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Sociálna poisťovňa</w:t>
            </w:r>
          </w:p>
        </w:tc>
        <w:tc>
          <w:tcPr>
            <w:tcW w:w="91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6 533 610</w:t>
            </w:r>
          </w:p>
        </w:tc>
        <w:tc>
          <w:tcPr>
            <w:tcW w:w="99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7 064 118</w:t>
            </w:r>
          </w:p>
        </w:tc>
        <w:tc>
          <w:tcPr>
            <w:tcW w:w="88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7 795 498</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8 108 538</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8 628 368</w:t>
            </w:r>
          </w:p>
        </w:tc>
        <w:tc>
          <w:tcPr>
            <w:tcW w:w="93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9 115 448</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Ekonomicky aktívne obyvateľstvo + dlžné</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6 533 609</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7 064 118</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7 795 498</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8 108 538</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8 628 368</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9 115 448</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 - EAO</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6 328 017</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6 858 393</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7 397 229</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7 893 770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8 411 518</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8 897 695</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 - dlžné</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205 592</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205 725</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398 269</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214 768</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216 850</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217 753</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transfer úspor z DSS do SP- od vystúpených</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ind w:firstLineChars="200" w:firstLine="281"/>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Zdravotné poisťovne</w:t>
            </w:r>
          </w:p>
        </w:tc>
        <w:tc>
          <w:tcPr>
            <w:tcW w:w="91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2 952 660</w:t>
            </w:r>
          </w:p>
        </w:tc>
        <w:tc>
          <w:tcPr>
            <w:tcW w:w="99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3 292 158</w:t>
            </w:r>
          </w:p>
        </w:tc>
        <w:tc>
          <w:tcPr>
            <w:tcW w:w="88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3 645 007</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4 000 070</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color w:val="000000"/>
                <w:sz w:val="14"/>
                <w:szCs w:val="14"/>
              </w:rPr>
            </w:pPr>
            <w:r w:rsidRPr="00747247">
              <w:rPr>
                <w:rFonts w:ascii="Times New Roman" w:hAnsi="Times New Roman" w:cs="Times New Roman"/>
                <w:b/>
                <w:bCs/>
                <w:color w:val="000000"/>
                <w:sz w:val="14"/>
                <w:szCs w:val="14"/>
              </w:rPr>
              <w:t>4 280 526</w:t>
            </w:r>
          </w:p>
        </w:tc>
        <w:tc>
          <w:tcPr>
            <w:tcW w:w="93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color w:val="000000"/>
                <w:sz w:val="14"/>
                <w:szCs w:val="14"/>
              </w:rPr>
            </w:pPr>
            <w:r w:rsidRPr="00747247">
              <w:rPr>
                <w:rFonts w:ascii="Times New Roman" w:hAnsi="Times New Roman" w:cs="Times New Roman"/>
                <w:b/>
                <w:bCs/>
                <w:color w:val="000000"/>
                <w:sz w:val="14"/>
                <w:szCs w:val="14"/>
              </w:rPr>
              <w:t>4 538 181</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Ekonomicky aktívne obyvateľstvo + dlžné</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2 952 660</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3 292 158</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3 645 007</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4 000 070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4 280 526</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4 538 181</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600" w:firstLine="8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z toho: ročné zúčtovanie</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-67 705</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-75 621</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-51 898</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37 545</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40 882</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44 237</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Daňové príjmy VS spolu</w:t>
            </w:r>
          </w:p>
        </w:tc>
        <w:tc>
          <w:tcPr>
            <w:tcW w:w="91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14 229 475</w:t>
            </w:r>
          </w:p>
        </w:tc>
        <w:tc>
          <w:tcPr>
            <w:tcW w:w="99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14 627 127</w:t>
            </w:r>
          </w:p>
        </w:tc>
        <w:tc>
          <w:tcPr>
            <w:tcW w:w="88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15 765 007</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16 341 404</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17 397 851</w:t>
            </w:r>
          </w:p>
        </w:tc>
        <w:tc>
          <w:tcPr>
            <w:tcW w:w="93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17 992 991</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Daňové príjmy ŠR</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11 057 989</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11 138 347</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11 930 380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12 248 904</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13 022 088</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13 530 596</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747247">
              <w:rPr>
                <w:rFonts w:ascii="Times New Roman" w:hAnsi="Times New Roman" w:cs="Times New Roman"/>
                <w:sz w:val="14"/>
                <w:szCs w:val="14"/>
                <w:lang w:eastAsia="sk-SK"/>
              </w:rPr>
              <w:t>Samostatné účty</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-17 224</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7 593</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25 594</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26 633</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27 837</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28 914</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Štátne finančné aktíva</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202 024</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286 405</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312 837</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271 551</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281 246</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92 021</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Daňové príjmy obcí </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2 192 228</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2 342 206</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2 559 392</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2 750 761</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2 940 027</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3 134 589</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Daňové príjmy VÚC</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715 479</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770 378</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853 251</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933 100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1 004 609</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1 078 544</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Daňové príjmy Rozhlasu a televízie Slovenska </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78 276</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80 982</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82 453</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82 453</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82 453</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82 453</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Environmentálny fond</w:t>
            </w:r>
          </w:p>
        </w:tc>
        <w:tc>
          <w:tcPr>
            <w:tcW w:w="91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703</w:t>
            </w:r>
          </w:p>
        </w:tc>
        <w:tc>
          <w:tcPr>
            <w:tcW w:w="99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1 215</w:t>
            </w:r>
          </w:p>
        </w:tc>
        <w:tc>
          <w:tcPr>
            <w:tcW w:w="886"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1 100</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28 002</w:t>
            </w:r>
          </w:p>
        </w:tc>
        <w:tc>
          <w:tcPr>
            <w:tcW w:w="93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39 591</w:t>
            </w:r>
          </w:p>
        </w:tc>
        <w:tc>
          <w:tcPr>
            <w:tcW w:w="93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45 874</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000000" w:fill="BFBFBF"/>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FSZP spolu</w:t>
            </w:r>
          </w:p>
        </w:tc>
        <w:tc>
          <w:tcPr>
            <w:tcW w:w="91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9 486 270</w:t>
            </w:r>
          </w:p>
        </w:tc>
        <w:tc>
          <w:tcPr>
            <w:tcW w:w="99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10 356 276</w:t>
            </w:r>
          </w:p>
        </w:tc>
        <w:tc>
          <w:tcPr>
            <w:tcW w:w="88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11 440 505</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12 108 608</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12 908 894</w:t>
            </w:r>
          </w:p>
        </w:tc>
        <w:tc>
          <w:tcPr>
            <w:tcW w:w="93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13 653 629</w:t>
            </w:r>
          </w:p>
        </w:tc>
      </w:tr>
      <w:tr w:rsidR="002B3068" w:rsidRPr="005665A8" w:rsidTr="00DF0EF9">
        <w:trPr>
          <w:trHeight w:val="170"/>
        </w:trPr>
        <w:tc>
          <w:tcPr>
            <w:tcW w:w="3479" w:type="dxa"/>
            <w:tcBorders>
              <w:top w:val="nil"/>
              <w:left w:val="single" w:sz="4" w:space="0" w:color="auto"/>
              <w:bottom w:val="single" w:sz="4" w:space="0" w:color="auto"/>
              <w:right w:val="single" w:sz="4" w:space="0" w:color="auto"/>
            </w:tcBorders>
            <w:shd w:val="clear" w:color="000000" w:fill="BFBFBF"/>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Daňové príjmy a príjmy FSZP spolu</w:t>
            </w:r>
          </w:p>
        </w:tc>
        <w:tc>
          <w:tcPr>
            <w:tcW w:w="91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23 715 745</w:t>
            </w:r>
          </w:p>
        </w:tc>
        <w:tc>
          <w:tcPr>
            <w:tcW w:w="99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24 983 403</w:t>
            </w:r>
          </w:p>
        </w:tc>
        <w:tc>
          <w:tcPr>
            <w:tcW w:w="886"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27 205 512</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28 450 012</w:t>
            </w:r>
          </w:p>
        </w:tc>
        <w:tc>
          <w:tcPr>
            <w:tcW w:w="93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30 306 745</w:t>
            </w:r>
          </w:p>
        </w:tc>
        <w:tc>
          <w:tcPr>
            <w:tcW w:w="93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31 646 620</w:t>
            </w:r>
          </w:p>
        </w:tc>
      </w:tr>
    </w:tbl>
    <w:p w:rsidR="002B3068" w:rsidRPr="008A19F5" w:rsidRDefault="002B3068" w:rsidP="002B3068">
      <w:pPr>
        <w:ind w:firstLine="708"/>
        <w:jc w:val="both"/>
        <w:rPr>
          <w:rFonts w:ascii="Times New Roman" w:hAnsi="Times New Roman" w:cs="Times New Roman"/>
        </w:rPr>
      </w:pPr>
    </w:p>
    <w:p w:rsidR="002B3068" w:rsidRPr="008A19F5" w:rsidRDefault="002B3068" w:rsidP="002B3068">
      <w:pPr>
        <w:jc w:val="both"/>
        <w:rPr>
          <w:rFonts w:ascii="Times New Roman" w:hAnsi="Times New Roman" w:cs="Times New Roman"/>
          <w:color w:val="FF0000"/>
        </w:rPr>
      </w:pPr>
    </w:p>
    <w:p w:rsidR="002B3068" w:rsidRPr="008A19F5" w:rsidRDefault="002B3068" w:rsidP="002B3068">
      <w:pPr>
        <w:ind w:firstLine="708"/>
        <w:jc w:val="both"/>
        <w:rPr>
          <w:rFonts w:ascii="Times New Roman" w:hAnsi="Times New Roman" w:cs="Times New Roman"/>
        </w:rPr>
      </w:pPr>
      <w:r w:rsidRPr="008A19F5">
        <w:rPr>
          <w:rFonts w:ascii="Times New Roman" w:hAnsi="Times New Roman" w:cs="Times New Roman"/>
        </w:rPr>
        <w:lastRenderedPageBreak/>
        <w:t>V súlade s klasifikáciou je predpokladaná výška sankcií k jednotlivým daniam uvedená v osobitnej tabuľke.</w:t>
      </w:r>
    </w:p>
    <w:p w:rsidR="002B3068" w:rsidRPr="00886A7F" w:rsidRDefault="002B3068" w:rsidP="002B3068">
      <w:pPr>
        <w:jc w:val="both"/>
        <w:rPr>
          <w:rFonts w:ascii="Times New Roman" w:hAnsi="Times New Roman" w:cs="Times New Roman"/>
          <w:color w:val="FF0000"/>
          <w:highlight w:val="yellow"/>
        </w:rPr>
      </w:pPr>
    </w:p>
    <w:tbl>
      <w:tblPr>
        <w:tblW w:w="5000" w:type="pct"/>
        <w:tblCellMar>
          <w:left w:w="70" w:type="dxa"/>
          <w:right w:w="70" w:type="dxa"/>
        </w:tblCellMar>
        <w:tblLook w:val="04A0" w:firstRow="1" w:lastRow="0" w:firstColumn="1" w:lastColumn="0" w:noHBand="0" w:noVBand="1"/>
      </w:tblPr>
      <w:tblGrid>
        <w:gridCol w:w="4390"/>
        <w:gridCol w:w="778"/>
        <w:gridCol w:w="402"/>
        <w:gridCol w:w="379"/>
        <w:gridCol w:w="319"/>
        <w:gridCol w:w="460"/>
        <w:gridCol w:w="297"/>
        <w:gridCol w:w="480"/>
        <w:gridCol w:w="223"/>
        <w:gridCol w:w="556"/>
        <w:gridCol w:w="145"/>
        <w:gridCol w:w="633"/>
      </w:tblGrid>
      <w:tr w:rsidR="002B3068" w:rsidRPr="005665A8" w:rsidTr="00DF0EF9">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en-US"/>
              </w:rPr>
              <w:t>Predpokladaný vývoj sankcií * (v tis. eur) </w:t>
            </w:r>
          </w:p>
        </w:tc>
      </w:tr>
      <w:tr w:rsidR="002B3068" w:rsidRPr="005665A8" w:rsidTr="00DF0EF9">
        <w:trPr>
          <w:trHeight w:hRule="exact" w:val="255"/>
        </w:trPr>
        <w:tc>
          <w:tcPr>
            <w:tcW w:w="2422" w:type="pct"/>
            <w:vMerge w:val="restart"/>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sz w:val="14"/>
                <w:szCs w:val="14"/>
                <w:lang w:eastAsia="sk-SK"/>
              </w:rPr>
            </w:pPr>
            <w:r w:rsidRPr="005665A8">
              <w:rPr>
                <w:rFonts w:ascii="Times New Roman" w:hAnsi="Times New Roman" w:cs="Times New Roman"/>
                <w:sz w:val="14"/>
                <w:szCs w:val="14"/>
                <w:lang w:eastAsia="sk-SK"/>
              </w:rPr>
              <w:t> </w:t>
            </w:r>
          </w:p>
        </w:tc>
        <w:tc>
          <w:tcPr>
            <w:tcW w:w="860" w:type="pct"/>
            <w:gridSpan w:val="3"/>
            <w:tcBorders>
              <w:top w:val="single" w:sz="4" w:space="0" w:color="auto"/>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Skutočnosť</w:t>
            </w:r>
          </w:p>
        </w:tc>
        <w:tc>
          <w:tcPr>
            <w:tcW w:w="1718" w:type="pct"/>
            <w:gridSpan w:val="8"/>
            <w:tcBorders>
              <w:top w:val="single" w:sz="4" w:space="0" w:color="auto"/>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Prognóza</w:t>
            </w:r>
          </w:p>
        </w:tc>
      </w:tr>
      <w:tr w:rsidR="002B3068" w:rsidRPr="005665A8" w:rsidTr="00DF0EF9">
        <w:trPr>
          <w:trHeight w:val="255"/>
        </w:trPr>
        <w:tc>
          <w:tcPr>
            <w:tcW w:w="2422" w:type="pct"/>
            <w:vMerge/>
            <w:tcBorders>
              <w:top w:val="nil"/>
              <w:left w:val="single" w:sz="4" w:space="0" w:color="auto"/>
              <w:bottom w:val="single" w:sz="4" w:space="0" w:color="auto"/>
              <w:right w:val="single" w:sz="4" w:space="0" w:color="auto"/>
            </w:tcBorders>
            <w:vAlign w:val="center"/>
            <w:hideMark/>
          </w:tcPr>
          <w:p w:rsidR="002B3068" w:rsidRPr="005665A8" w:rsidRDefault="002B3068" w:rsidP="00DF0EF9">
            <w:pPr>
              <w:rPr>
                <w:rFonts w:ascii="Times New Roman" w:hAnsi="Times New Roman" w:cs="Times New Roman"/>
                <w:sz w:val="14"/>
                <w:szCs w:val="14"/>
                <w:lang w:eastAsia="sk-SK"/>
              </w:rPr>
            </w:pPr>
          </w:p>
        </w:tc>
        <w:tc>
          <w:tcPr>
            <w:tcW w:w="429" w:type="pct"/>
            <w:tcBorders>
              <w:top w:val="nil"/>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rPr>
              <w:t>2016</w:t>
            </w:r>
          </w:p>
        </w:tc>
        <w:tc>
          <w:tcPr>
            <w:tcW w:w="431" w:type="pct"/>
            <w:gridSpan w:val="2"/>
            <w:tcBorders>
              <w:top w:val="nil"/>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rPr>
              <w:t>2017</w:t>
            </w:r>
          </w:p>
        </w:tc>
        <w:tc>
          <w:tcPr>
            <w:tcW w:w="430" w:type="pct"/>
            <w:gridSpan w:val="2"/>
            <w:tcBorders>
              <w:top w:val="nil"/>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rPr>
              <w:t>2018</w:t>
            </w:r>
          </w:p>
        </w:tc>
        <w:tc>
          <w:tcPr>
            <w:tcW w:w="429" w:type="pct"/>
            <w:gridSpan w:val="2"/>
            <w:tcBorders>
              <w:top w:val="nil"/>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rPr>
              <w:t>2019</w:t>
            </w:r>
          </w:p>
        </w:tc>
        <w:tc>
          <w:tcPr>
            <w:tcW w:w="430" w:type="pct"/>
            <w:gridSpan w:val="2"/>
            <w:tcBorders>
              <w:top w:val="nil"/>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rPr>
              <w:t>2020</w:t>
            </w:r>
          </w:p>
        </w:tc>
        <w:tc>
          <w:tcPr>
            <w:tcW w:w="429" w:type="pct"/>
            <w:gridSpan w:val="2"/>
            <w:tcBorders>
              <w:top w:val="nil"/>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rPr>
              <w:t>2021</w:t>
            </w:r>
          </w:p>
        </w:tc>
      </w:tr>
      <w:tr w:rsidR="002B3068" w:rsidRPr="005665A8" w:rsidTr="00DF0EF9">
        <w:trPr>
          <w:trHeight w:hRule="exact" w:val="255"/>
        </w:trPr>
        <w:tc>
          <w:tcPr>
            <w:tcW w:w="2422" w:type="pct"/>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SANKCIE spolu</w:t>
            </w:r>
          </w:p>
        </w:tc>
        <w:tc>
          <w:tcPr>
            <w:tcW w:w="429" w:type="pct"/>
            <w:tcBorders>
              <w:top w:val="nil"/>
              <w:left w:val="nil"/>
              <w:bottom w:val="single" w:sz="4" w:space="0" w:color="auto"/>
              <w:right w:val="single" w:sz="4" w:space="0" w:color="auto"/>
            </w:tcBorders>
            <w:shd w:val="clear" w:color="000000" w:fill="BFBFBF"/>
            <w:noWrap/>
            <w:vAlign w:val="center"/>
          </w:tcPr>
          <w:p w:rsidR="002B3068" w:rsidRPr="005665A8" w:rsidRDefault="002B3068" w:rsidP="00DF0EF9">
            <w:pPr>
              <w:jc w:val="right"/>
              <w:rPr>
                <w:rFonts w:ascii="Times New Roman" w:hAnsi="Times New Roman" w:cs="Times New Roman"/>
                <w:b/>
                <w:bCs/>
                <w:sz w:val="14"/>
                <w:szCs w:val="14"/>
                <w:lang w:eastAsia="sk-SK"/>
              </w:rPr>
            </w:pPr>
            <w:r w:rsidRPr="005665A8">
              <w:rPr>
                <w:rFonts w:ascii="Times New Roman" w:hAnsi="Times New Roman" w:cs="Times New Roman"/>
                <w:b/>
                <w:bCs/>
                <w:sz w:val="14"/>
                <w:szCs w:val="14"/>
              </w:rPr>
              <w:t>29 830</w:t>
            </w:r>
          </w:p>
        </w:tc>
        <w:tc>
          <w:tcPr>
            <w:tcW w:w="431" w:type="pct"/>
            <w:gridSpan w:val="2"/>
            <w:tcBorders>
              <w:top w:val="nil"/>
              <w:left w:val="nil"/>
              <w:bottom w:val="single" w:sz="4" w:space="0" w:color="auto"/>
              <w:right w:val="single" w:sz="4" w:space="0" w:color="auto"/>
            </w:tcBorders>
            <w:shd w:val="clear" w:color="000000" w:fill="BFBFBF"/>
            <w:noWrap/>
            <w:vAlign w:val="center"/>
          </w:tcPr>
          <w:p w:rsidR="002B3068" w:rsidRPr="005665A8" w:rsidRDefault="002B3068" w:rsidP="00DF0EF9">
            <w:pPr>
              <w:jc w:val="right"/>
              <w:rPr>
                <w:rFonts w:ascii="Times New Roman" w:hAnsi="Times New Roman" w:cs="Times New Roman"/>
                <w:b/>
                <w:bCs/>
                <w:sz w:val="14"/>
                <w:szCs w:val="14"/>
              </w:rPr>
            </w:pPr>
            <w:r w:rsidRPr="005665A8">
              <w:rPr>
                <w:rFonts w:ascii="Times New Roman" w:hAnsi="Times New Roman" w:cs="Times New Roman"/>
                <w:b/>
                <w:bCs/>
                <w:sz w:val="14"/>
                <w:szCs w:val="14"/>
              </w:rPr>
              <w:t>34 741</w:t>
            </w:r>
          </w:p>
        </w:tc>
        <w:tc>
          <w:tcPr>
            <w:tcW w:w="430" w:type="pct"/>
            <w:gridSpan w:val="2"/>
            <w:tcBorders>
              <w:top w:val="nil"/>
              <w:left w:val="nil"/>
              <w:bottom w:val="single" w:sz="4" w:space="0" w:color="auto"/>
              <w:right w:val="single" w:sz="4" w:space="0" w:color="auto"/>
            </w:tcBorders>
            <w:shd w:val="clear" w:color="000000" w:fill="BFBFBF"/>
            <w:noWrap/>
            <w:vAlign w:val="center"/>
          </w:tcPr>
          <w:p w:rsidR="002B3068" w:rsidRPr="005665A8" w:rsidRDefault="002B3068" w:rsidP="00DF0EF9">
            <w:pPr>
              <w:jc w:val="right"/>
              <w:rPr>
                <w:rFonts w:ascii="Times New Roman" w:hAnsi="Times New Roman" w:cs="Times New Roman"/>
                <w:b/>
                <w:bCs/>
                <w:sz w:val="14"/>
                <w:szCs w:val="14"/>
              </w:rPr>
            </w:pPr>
            <w:r w:rsidRPr="005665A8">
              <w:rPr>
                <w:rFonts w:ascii="Times New Roman" w:hAnsi="Times New Roman" w:cs="Times New Roman"/>
                <w:b/>
                <w:bCs/>
                <w:sz w:val="14"/>
                <w:szCs w:val="14"/>
              </w:rPr>
              <w:t>33 086</w:t>
            </w:r>
          </w:p>
        </w:tc>
        <w:tc>
          <w:tcPr>
            <w:tcW w:w="429" w:type="pct"/>
            <w:gridSpan w:val="2"/>
            <w:tcBorders>
              <w:top w:val="nil"/>
              <w:left w:val="nil"/>
              <w:bottom w:val="single" w:sz="4" w:space="0" w:color="auto"/>
              <w:right w:val="single" w:sz="4" w:space="0" w:color="auto"/>
            </w:tcBorders>
            <w:shd w:val="clear" w:color="000000" w:fill="BFBFBF"/>
            <w:noWrap/>
            <w:vAlign w:val="center"/>
          </w:tcPr>
          <w:p w:rsidR="002B3068" w:rsidRPr="005665A8" w:rsidRDefault="002B3068" w:rsidP="00DF0EF9">
            <w:pPr>
              <w:jc w:val="right"/>
              <w:rPr>
                <w:rFonts w:ascii="Times New Roman" w:hAnsi="Times New Roman" w:cs="Times New Roman"/>
                <w:b/>
                <w:bCs/>
                <w:sz w:val="14"/>
                <w:szCs w:val="14"/>
              </w:rPr>
            </w:pPr>
            <w:r w:rsidRPr="005665A8">
              <w:rPr>
                <w:rFonts w:ascii="Times New Roman" w:hAnsi="Times New Roman" w:cs="Times New Roman"/>
                <w:b/>
                <w:bCs/>
                <w:sz w:val="14"/>
                <w:szCs w:val="14"/>
              </w:rPr>
              <w:t>33 055</w:t>
            </w:r>
          </w:p>
        </w:tc>
        <w:tc>
          <w:tcPr>
            <w:tcW w:w="430" w:type="pct"/>
            <w:gridSpan w:val="2"/>
            <w:tcBorders>
              <w:top w:val="nil"/>
              <w:left w:val="nil"/>
              <w:bottom w:val="single" w:sz="4" w:space="0" w:color="auto"/>
              <w:right w:val="single" w:sz="4" w:space="0" w:color="auto"/>
            </w:tcBorders>
            <w:shd w:val="clear" w:color="000000" w:fill="BFBFBF"/>
            <w:noWrap/>
            <w:vAlign w:val="center"/>
          </w:tcPr>
          <w:p w:rsidR="002B3068" w:rsidRPr="005665A8" w:rsidRDefault="002B3068" w:rsidP="00DF0EF9">
            <w:pPr>
              <w:jc w:val="right"/>
              <w:rPr>
                <w:rFonts w:ascii="Times New Roman" w:hAnsi="Times New Roman" w:cs="Times New Roman"/>
                <w:b/>
                <w:bCs/>
                <w:sz w:val="14"/>
                <w:szCs w:val="14"/>
              </w:rPr>
            </w:pPr>
            <w:r w:rsidRPr="005665A8">
              <w:rPr>
                <w:rFonts w:ascii="Times New Roman" w:hAnsi="Times New Roman" w:cs="Times New Roman"/>
                <w:b/>
                <w:bCs/>
                <w:sz w:val="14"/>
                <w:szCs w:val="14"/>
              </w:rPr>
              <w:t>33 055</w:t>
            </w:r>
          </w:p>
        </w:tc>
        <w:tc>
          <w:tcPr>
            <w:tcW w:w="429" w:type="pct"/>
            <w:gridSpan w:val="2"/>
            <w:tcBorders>
              <w:top w:val="nil"/>
              <w:left w:val="nil"/>
              <w:bottom w:val="single" w:sz="4" w:space="0" w:color="auto"/>
              <w:right w:val="single" w:sz="4" w:space="0" w:color="auto"/>
            </w:tcBorders>
            <w:shd w:val="clear" w:color="000000" w:fill="BFBFBF"/>
            <w:noWrap/>
            <w:vAlign w:val="center"/>
          </w:tcPr>
          <w:p w:rsidR="002B3068" w:rsidRPr="005665A8" w:rsidRDefault="002B3068" w:rsidP="00DF0EF9">
            <w:pPr>
              <w:jc w:val="right"/>
              <w:rPr>
                <w:rFonts w:ascii="Times New Roman" w:hAnsi="Times New Roman" w:cs="Times New Roman"/>
                <w:b/>
                <w:bCs/>
                <w:sz w:val="14"/>
                <w:szCs w:val="14"/>
              </w:rPr>
            </w:pPr>
            <w:r w:rsidRPr="005665A8">
              <w:rPr>
                <w:rFonts w:ascii="Times New Roman" w:hAnsi="Times New Roman" w:cs="Times New Roman"/>
                <w:b/>
                <w:bCs/>
                <w:sz w:val="14"/>
                <w:szCs w:val="14"/>
              </w:rPr>
              <w:t>33 055</w:t>
            </w:r>
          </w:p>
        </w:tc>
      </w:tr>
      <w:tr w:rsidR="002B3068" w:rsidRPr="005665A8" w:rsidTr="00DF0EF9">
        <w:trPr>
          <w:trHeight w:hRule="exact" w:val="255"/>
        </w:trPr>
        <w:tc>
          <w:tcPr>
            <w:tcW w:w="2422" w:type="pct"/>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100" w:firstLine="1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príjmov fyzických osôb</w:t>
            </w:r>
          </w:p>
        </w:tc>
        <w:tc>
          <w:tcPr>
            <w:tcW w:w="429" w:type="pct"/>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2 939</w:t>
            </w:r>
          </w:p>
        </w:tc>
        <w:tc>
          <w:tcPr>
            <w:tcW w:w="431"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2 786</w:t>
            </w:r>
          </w:p>
        </w:tc>
        <w:tc>
          <w:tcPr>
            <w:tcW w:w="430"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2 786</w:t>
            </w:r>
          </w:p>
        </w:tc>
        <w:tc>
          <w:tcPr>
            <w:tcW w:w="429"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2 786</w:t>
            </w:r>
          </w:p>
        </w:tc>
        <w:tc>
          <w:tcPr>
            <w:tcW w:w="430"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2 786</w:t>
            </w:r>
          </w:p>
        </w:tc>
        <w:tc>
          <w:tcPr>
            <w:tcW w:w="429"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2 786</w:t>
            </w:r>
          </w:p>
        </w:tc>
      </w:tr>
      <w:tr w:rsidR="002B3068" w:rsidRPr="005665A8" w:rsidTr="00DF0EF9">
        <w:trPr>
          <w:trHeight w:hRule="exact" w:val="255"/>
        </w:trPr>
        <w:tc>
          <w:tcPr>
            <w:tcW w:w="2422" w:type="pct"/>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100" w:firstLine="1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príjmov právnických osôb</w:t>
            </w:r>
          </w:p>
        </w:tc>
        <w:tc>
          <w:tcPr>
            <w:tcW w:w="429" w:type="pct"/>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332</w:t>
            </w:r>
          </w:p>
        </w:tc>
        <w:tc>
          <w:tcPr>
            <w:tcW w:w="431"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2 248</w:t>
            </w:r>
          </w:p>
        </w:tc>
        <w:tc>
          <w:tcPr>
            <w:tcW w:w="430"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1 611</w:t>
            </w:r>
          </w:p>
        </w:tc>
        <w:tc>
          <w:tcPr>
            <w:tcW w:w="429"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1 611</w:t>
            </w:r>
          </w:p>
        </w:tc>
        <w:tc>
          <w:tcPr>
            <w:tcW w:w="430"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1 611</w:t>
            </w:r>
          </w:p>
        </w:tc>
        <w:tc>
          <w:tcPr>
            <w:tcW w:w="429"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1 611</w:t>
            </w:r>
          </w:p>
        </w:tc>
      </w:tr>
      <w:tr w:rsidR="002B3068" w:rsidRPr="005665A8" w:rsidTr="00DF0EF9">
        <w:trPr>
          <w:trHeight w:hRule="exact" w:val="255"/>
        </w:trPr>
        <w:tc>
          <w:tcPr>
            <w:tcW w:w="2422" w:type="pct"/>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100" w:firstLine="1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príjmov vyberaná zrážkou</w:t>
            </w:r>
          </w:p>
        </w:tc>
        <w:tc>
          <w:tcPr>
            <w:tcW w:w="429" w:type="pct"/>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48</w:t>
            </w:r>
          </w:p>
        </w:tc>
        <w:tc>
          <w:tcPr>
            <w:tcW w:w="431"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79</w:t>
            </w:r>
          </w:p>
        </w:tc>
        <w:tc>
          <w:tcPr>
            <w:tcW w:w="430"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79</w:t>
            </w:r>
          </w:p>
        </w:tc>
        <w:tc>
          <w:tcPr>
            <w:tcW w:w="429"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79</w:t>
            </w:r>
          </w:p>
        </w:tc>
        <w:tc>
          <w:tcPr>
            <w:tcW w:w="430"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79</w:t>
            </w:r>
          </w:p>
        </w:tc>
        <w:tc>
          <w:tcPr>
            <w:tcW w:w="429"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79</w:t>
            </w:r>
          </w:p>
        </w:tc>
      </w:tr>
      <w:tr w:rsidR="002B3068" w:rsidRPr="005665A8" w:rsidTr="00DF0EF9">
        <w:trPr>
          <w:trHeight w:hRule="exact" w:val="255"/>
        </w:trPr>
        <w:tc>
          <w:tcPr>
            <w:tcW w:w="2422" w:type="pct"/>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100" w:firstLine="1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pridanej hodnoty</w:t>
            </w:r>
          </w:p>
        </w:tc>
        <w:tc>
          <w:tcPr>
            <w:tcW w:w="429" w:type="pct"/>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7 998</w:t>
            </w:r>
          </w:p>
        </w:tc>
        <w:tc>
          <w:tcPr>
            <w:tcW w:w="431"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9 345</w:t>
            </w:r>
          </w:p>
        </w:tc>
        <w:tc>
          <w:tcPr>
            <w:tcW w:w="430"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9 345</w:t>
            </w:r>
          </w:p>
        </w:tc>
        <w:tc>
          <w:tcPr>
            <w:tcW w:w="429"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9 345</w:t>
            </w:r>
          </w:p>
        </w:tc>
        <w:tc>
          <w:tcPr>
            <w:tcW w:w="430"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9 345</w:t>
            </w:r>
          </w:p>
        </w:tc>
        <w:tc>
          <w:tcPr>
            <w:tcW w:w="429"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9 345</w:t>
            </w:r>
          </w:p>
        </w:tc>
      </w:tr>
      <w:tr w:rsidR="002B3068" w:rsidRPr="005665A8" w:rsidTr="00DF0EF9">
        <w:trPr>
          <w:trHeight w:hRule="exact" w:val="255"/>
        </w:trPr>
        <w:tc>
          <w:tcPr>
            <w:tcW w:w="2422" w:type="pct"/>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100" w:firstLine="1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Spotrebné dane</w:t>
            </w:r>
          </w:p>
        </w:tc>
        <w:tc>
          <w:tcPr>
            <w:tcW w:w="429" w:type="pct"/>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3</w:t>
            </w:r>
          </w:p>
        </w:tc>
        <w:tc>
          <w:tcPr>
            <w:tcW w:w="431"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48</w:t>
            </w:r>
          </w:p>
        </w:tc>
        <w:tc>
          <w:tcPr>
            <w:tcW w:w="430"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429"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430"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429"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r>
      <w:tr w:rsidR="002B3068" w:rsidRPr="005665A8" w:rsidTr="00DF0EF9">
        <w:trPr>
          <w:trHeight w:hRule="exact" w:val="255"/>
        </w:trPr>
        <w:tc>
          <w:tcPr>
            <w:tcW w:w="2422" w:type="pct"/>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100" w:firstLine="1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Miestne dane</w:t>
            </w:r>
          </w:p>
        </w:tc>
        <w:tc>
          <w:tcPr>
            <w:tcW w:w="429" w:type="pct"/>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431"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430"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429"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430"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429"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r>
      <w:tr w:rsidR="002B3068" w:rsidRPr="005665A8" w:rsidTr="00DF0EF9">
        <w:trPr>
          <w:trHeight w:hRule="exact" w:val="255"/>
        </w:trPr>
        <w:tc>
          <w:tcPr>
            <w:tcW w:w="2422" w:type="pct"/>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100" w:firstLine="1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Ostatné dane + dane z medzinárodného obchodu a transakcií</w:t>
            </w:r>
          </w:p>
        </w:tc>
        <w:tc>
          <w:tcPr>
            <w:tcW w:w="429" w:type="pct"/>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672</w:t>
            </w:r>
          </w:p>
        </w:tc>
        <w:tc>
          <w:tcPr>
            <w:tcW w:w="431"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608</w:t>
            </w:r>
          </w:p>
        </w:tc>
        <w:tc>
          <w:tcPr>
            <w:tcW w:w="430"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532</w:t>
            </w:r>
          </w:p>
        </w:tc>
        <w:tc>
          <w:tcPr>
            <w:tcW w:w="429"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501</w:t>
            </w:r>
          </w:p>
        </w:tc>
        <w:tc>
          <w:tcPr>
            <w:tcW w:w="430"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501</w:t>
            </w:r>
          </w:p>
        </w:tc>
        <w:tc>
          <w:tcPr>
            <w:tcW w:w="429"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501</w:t>
            </w:r>
          </w:p>
        </w:tc>
      </w:tr>
      <w:tr w:rsidR="002B3068" w:rsidRPr="005665A8" w:rsidTr="00DF0EF9">
        <w:trPr>
          <w:trHeight w:hRule="exact" w:val="255"/>
        </w:trPr>
        <w:tc>
          <w:tcPr>
            <w:tcW w:w="2422" w:type="pct"/>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100" w:firstLine="1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Sankcie uložené v daňovom konaní</w:t>
            </w:r>
          </w:p>
        </w:tc>
        <w:tc>
          <w:tcPr>
            <w:tcW w:w="429" w:type="pct"/>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1 309</w:t>
            </w:r>
          </w:p>
        </w:tc>
        <w:tc>
          <w:tcPr>
            <w:tcW w:w="431"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1 968</w:t>
            </w:r>
          </w:p>
        </w:tc>
        <w:tc>
          <w:tcPr>
            <w:tcW w:w="430"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1 968</w:t>
            </w:r>
          </w:p>
        </w:tc>
        <w:tc>
          <w:tcPr>
            <w:tcW w:w="429"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1 968</w:t>
            </w:r>
          </w:p>
        </w:tc>
        <w:tc>
          <w:tcPr>
            <w:tcW w:w="430"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1 968</w:t>
            </w:r>
          </w:p>
        </w:tc>
        <w:tc>
          <w:tcPr>
            <w:tcW w:w="429"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1 968</w:t>
            </w:r>
          </w:p>
        </w:tc>
      </w:tr>
      <w:tr w:rsidR="002B3068" w:rsidRPr="005665A8" w:rsidTr="00DF0EF9">
        <w:trPr>
          <w:trHeight w:hRule="exact" w:val="255"/>
        </w:trPr>
        <w:tc>
          <w:tcPr>
            <w:tcW w:w="2422" w:type="pct"/>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100" w:firstLine="1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Sociálna poisťovňa</w:t>
            </w:r>
          </w:p>
        </w:tc>
        <w:tc>
          <w:tcPr>
            <w:tcW w:w="429" w:type="pct"/>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15 189</w:t>
            </w:r>
          </w:p>
        </w:tc>
        <w:tc>
          <w:tcPr>
            <w:tcW w:w="431"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16 494</w:t>
            </w:r>
          </w:p>
        </w:tc>
        <w:tc>
          <w:tcPr>
            <w:tcW w:w="430"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15 600</w:t>
            </w:r>
          </w:p>
        </w:tc>
        <w:tc>
          <w:tcPr>
            <w:tcW w:w="429"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15 600</w:t>
            </w:r>
          </w:p>
        </w:tc>
        <w:tc>
          <w:tcPr>
            <w:tcW w:w="430"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15 600</w:t>
            </w:r>
          </w:p>
        </w:tc>
        <w:tc>
          <w:tcPr>
            <w:tcW w:w="429"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15 600</w:t>
            </w:r>
          </w:p>
        </w:tc>
      </w:tr>
      <w:tr w:rsidR="002B3068" w:rsidRPr="005665A8" w:rsidTr="00DF0EF9">
        <w:trPr>
          <w:trHeight w:hRule="exact" w:val="255"/>
        </w:trPr>
        <w:tc>
          <w:tcPr>
            <w:tcW w:w="2422" w:type="pct"/>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100" w:firstLine="1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Zdravotné poisťovne</w:t>
            </w:r>
          </w:p>
        </w:tc>
        <w:tc>
          <w:tcPr>
            <w:tcW w:w="429" w:type="pct"/>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1 340</w:t>
            </w:r>
          </w:p>
        </w:tc>
        <w:tc>
          <w:tcPr>
            <w:tcW w:w="431"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1 165</w:t>
            </w:r>
          </w:p>
        </w:tc>
        <w:tc>
          <w:tcPr>
            <w:tcW w:w="430"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1 165</w:t>
            </w:r>
          </w:p>
        </w:tc>
        <w:tc>
          <w:tcPr>
            <w:tcW w:w="429"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1 165</w:t>
            </w:r>
          </w:p>
        </w:tc>
        <w:tc>
          <w:tcPr>
            <w:tcW w:w="430"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1 165</w:t>
            </w:r>
          </w:p>
        </w:tc>
        <w:tc>
          <w:tcPr>
            <w:tcW w:w="429" w:type="pct"/>
            <w:gridSpan w:val="2"/>
            <w:tcBorders>
              <w:top w:val="nil"/>
              <w:left w:val="nil"/>
              <w:bottom w:val="single" w:sz="4" w:space="0" w:color="auto"/>
              <w:right w:val="single" w:sz="4" w:space="0" w:color="auto"/>
            </w:tcBorders>
            <w:shd w:val="clear" w:color="auto" w:fill="auto"/>
            <w:noWrap/>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1 165</w:t>
            </w:r>
          </w:p>
        </w:tc>
      </w:tr>
      <w:tr w:rsidR="002B3068" w:rsidRPr="005665A8" w:rsidTr="00DF0EF9">
        <w:trPr>
          <w:trHeight w:val="255"/>
        </w:trPr>
        <w:tc>
          <w:tcPr>
            <w:tcW w:w="3073" w:type="pct"/>
            <w:gridSpan w:val="3"/>
            <w:tcBorders>
              <w:top w:val="nil"/>
              <w:left w:val="nil"/>
              <w:bottom w:val="nil"/>
              <w:right w:val="nil"/>
            </w:tcBorders>
            <w:shd w:val="clear" w:color="auto" w:fill="auto"/>
            <w:noWrap/>
            <w:vAlign w:val="center"/>
            <w:hideMark/>
          </w:tcPr>
          <w:p w:rsidR="002B3068" w:rsidRPr="005665A8" w:rsidRDefault="002B3068" w:rsidP="00DF0EF9">
            <w:pPr>
              <w:rPr>
                <w:rFonts w:ascii="Times New Roman" w:hAnsi="Times New Roman" w:cs="Times New Roman"/>
                <w:sz w:val="14"/>
                <w:szCs w:val="14"/>
                <w:lang w:eastAsia="sk-SK"/>
              </w:rPr>
            </w:pPr>
            <w:r w:rsidRPr="005665A8">
              <w:rPr>
                <w:rFonts w:ascii="Times New Roman" w:hAnsi="Times New Roman" w:cs="Times New Roman"/>
                <w:sz w:val="14"/>
                <w:szCs w:val="14"/>
                <w:lang w:eastAsia="en-US"/>
              </w:rPr>
              <w:t>* Sankcie sú identické podľa hotovostnej a akruálnej metodiky</w:t>
            </w:r>
          </w:p>
        </w:tc>
        <w:tc>
          <w:tcPr>
            <w:tcW w:w="385" w:type="pct"/>
            <w:gridSpan w:val="2"/>
            <w:tcBorders>
              <w:top w:val="nil"/>
              <w:left w:val="nil"/>
              <w:bottom w:val="nil"/>
              <w:right w:val="nil"/>
            </w:tcBorders>
            <w:shd w:val="clear" w:color="auto" w:fill="auto"/>
            <w:noWrap/>
            <w:vAlign w:val="center"/>
            <w:hideMark/>
          </w:tcPr>
          <w:p w:rsidR="002B3068" w:rsidRPr="005665A8" w:rsidRDefault="002B3068" w:rsidP="00DF0EF9">
            <w:pPr>
              <w:rPr>
                <w:rFonts w:ascii="Times New Roman" w:hAnsi="Times New Roman" w:cs="Times New Roman"/>
                <w:sz w:val="14"/>
                <w:szCs w:val="14"/>
                <w:lang w:eastAsia="sk-SK"/>
              </w:rPr>
            </w:pPr>
          </w:p>
        </w:tc>
        <w:tc>
          <w:tcPr>
            <w:tcW w:w="418" w:type="pct"/>
            <w:gridSpan w:val="2"/>
            <w:tcBorders>
              <w:top w:val="nil"/>
              <w:left w:val="nil"/>
              <w:bottom w:val="nil"/>
              <w:right w:val="nil"/>
            </w:tcBorders>
            <w:shd w:val="clear" w:color="auto" w:fill="auto"/>
            <w:noWrap/>
            <w:vAlign w:val="center"/>
            <w:hideMark/>
          </w:tcPr>
          <w:p w:rsidR="002B3068" w:rsidRPr="005665A8" w:rsidRDefault="002B3068" w:rsidP="00DF0EF9">
            <w:pPr>
              <w:rPr>
                <w:rFonts w:ascii="Times New Roman" w:hAnsi="Times New Roman" w:cs="Times New Roman"/>
                <w:sz w:val="14"/>
                <w:szCs w:val="14"/>
                <w:lang w:eastAsia="sk-SK"/>
              </w:rPr>
            </w:pPr>
          </w:p>
        </w:tc>
        <w:tc>
          <w:tcPr>
            <w:tcW w:w="388" w:type="pct"/>
            <w:gridSpan w:val="2"/>
            <w:tcBorders>
              <w:top w:val="nil"/>
              <w:left w:val="nil"/>
              <w:bottom w:val="nil"/>
              <w:right w:val="nil"/>
            </w:tcBorders>
            <w:shd w:val="clear" w:color="auto" w:fill="auto"/>
            <w:noWrap/>
            <w:vAlign w:val="center"/>
            <w:hideMark/>
          </w:tcPr>
          <w:p w:rsidR="002B3068" w:rsidRPr="005665A8" w:rsidRDefault="002B3068" w:rsidP="00DF0EF9">
            <w:pPr>
              <w:rPr>
                <w:rFonts w:ascii="Times New Roman" w:hAnsi="Times New Roman" w:cs="Times New Roman"/>
                <w:sz w:val="14"/>
                <w:szCs w:val="14"/>
                <w:lang w:eastAsia="sk-SK"/>
              </w:rPr>
            </w:pPr>
          </w:p>
        </w:tc>
        <w:tc>
          <w:tcPr>
            <w:tcW w:w="387" w:type="pct"/>
            <w:gridSpan w:val="2"/>
            <w:tcBorders>
              <w:top w:val="nil"/>
              <w:left w:val="nil"/>
              <w:bottom w:val="nil"/>
              <w:right w:val="nil"/>
            </w:tcBorders>
            <w:shd w:val="clear" w:color="auto" w:fill="auto"/>
            <w:noWrap/>
            <w:vAlign w:val="bottom"/>
            <w:hideMark/>
          </w:tcPr>
          <w:p w:rsidR="002B3068" w:rsidRPr="005665A8" w:rsidRDefault="002B3068" w:rsidP="00DF0EF9">
            <w:pPr>
              <w:rPr>
                <w:rFonts w:ascii="Times New Roman" w:hAnsi="Times New Roman" w:cs="Times New Roman"/>
                <w:sz w:val="14"/>
                <w:szCs w:val="14"/>
                <w:lang w:eastAsia="sk-SK"/>
              </w:rPr>
            </w:pPr>
          </w:p>
        </w:tc>
        <w:tc>
          <w:tcPr>
            <w:tcW w:w="349" w:type="pct"/>
            <w:tcBorders>
              <w:top w:val="nil"/>
              <w:left w:val="nil"/>
              <w:bottom w:val="nil"/>
              <w:right w:val="nil"/>
            </w:tcBorders>
            <w:shd w:val="clear" w:color="auto" w:fill="auto"/>
            <w:noWrap/>
            <w:vAlign w:val="bottom"/>
            <w:hideMark/>
          </w:tcPr>
          <w:p w:rsidR="002B3068" w:rsidRPr="005665A8" w:rsidRDefault="002B3068" w:rsidP="00DF0EF9">
            <w:pPr>
              <w:rPr>
                <w:rFonts w:ascii="Times New Roman" w:hAnsi="Times New Roman" w:cs="Times New Roman"/>
                <w:sz w:val="14"/>
                <w:szCs w:val="14"/>
                <w:lang w:eastAsia="sk-SK"/>
              </w:rPr>
            </w:pPr>
          </w:p>
        </w:tc>
      </w:tr>
    </w:tbl>
    <w:p w:rsidR="002B3068" w:rsidRPr="008A19F5" w:rsidRDefault="002B3068" w:rsidP="002B3068">
      <w:pPr>
        <w:pStyle w:val="Nadpis2"/>
        <w:rPr>
          <w:rFonts w:ascii="Times New Roman" w:hAnsi="Times New Roman"/>
          <w:i w:val="0"/>
          <w:iCs w:val="0"/>
          <w:sz w:val="24"/>
          <w:szCs w:val="24"/>
        </w:rPr>
      </w:pPr>
      <w:bookmarkStart w:id="36" w:name="_Toc273148232"/>
      <w:bookmarkStart w:id="37" w:name="_Toc273950833"/>
      <w:bookmarkStart w:id="38" w:name="_Toc526273184"/>
      <w:r w:rsidRPr="008A19F5">
        <w:rPr>
          <w:rFonts w:ascii="Times New Roman" w:hAnsi="Times New Roman"/>
          <w:i w:val="0"/>
          <w:iCs w:val="0"/>
          <w:sz w:val="24"/>
          <w:szCs w:val="24"/>
        </w:rPr>
        <w:t>3.</w:t>
      </w:r>
      <w:r>
        <w:rPr>
          <w:rFonts w:ascii="Times New Roman" w:hAnsi="Times New Roman"/>
          <w:i w:val="0"/>
          <w:iCs w:val="0"/>
          <w:sz w:val="24"/>
          <w:szCs w:val="24"/>
        </w:rPr>
        <w:t>2</w:t>
      </w:r>
      <w:r w:rsidRPr="008A19F5">
        <w:rPr>
          <w:rFonts w:ascii="Times New Roman" w:hAnsi="Times New Roman"/>
          <w:i w:val="0"/>
          <w:iCs w:val="0"/>
          <w:sz w:val="24"/>
          <w:szCs w:val="24"/>
        </w:rPr>
        <w:t>. Akruálne dane pre návrh rozpočtu verejnej správy na roky 201</w:t>
      </w:r>
      <w:r>
        <w:rPr>
          <w:rFonts w:ascii="Times New Roman" w:hAnsi="Times New Roman"/>
          <w:i w:val="0"/>
          <w:iCs w:val="0"/>
          <w:sz w:val="24"/>
          <w:szCs w:val="24"/>
        </w:rPr>
        <w:t>9</w:t>
      </w:r>
      <w:r w:rsidRPr="008A19F5">
        <w:rPr>
          <w:rFonts w:ascii="Times New Roman" w:hAnsi="Times New Roman"/>
          <w:i w:val="0"/>
          <w:iCs w:val="0"/>
          <w:sz w:val="24"/>
          <w:szCs w:val="24"/>
        </w:rPr>
        <w:t xml:space="preserve"> až 20</w:t>
      </w:r>
      <w:bookmarkEnd w:id="36"/>
      <w:bookmarkEnd w:id="37"/>
      <w:r>
        <w:rPr>
          <w:rFonts w:ascii="Times New Roman" w:hAnsi="Times New Roman"/>
          <w:i w:val="0"/>
          <w:iCs w:val="0"/>
          <w:sz w:val="24"/>
          <w:szCs w:val="24"/>
        </w:rPr>
        <w:t>21</w:t>
      </w:r>
      <w:bookmarkEnd w:id="38"/>
    </w:p>
    <w:p w:rsidR="002B3068" w:rsidRPr="00886A7F" w:rsidRDefault="002B3068" w:rsidP="002B3068">
      <w:pPr>
        <w:ind w:firstLine="708"/>
        <w:jc w:val="both"/>
        <w:rPr>
          <w:rFonts w:ascii="Times New Roman" w:hAnsi="Times New Roman" w:cs="Times New Roman"/>
          <w:color w:val="FF0000"/>
          <w:sz w:val="10"/>
          <w:highlight w:val="yellow"/>
        </w:rPr>
      </w:pPr>
    </w:p>
    <w:p w:rsidR="002B3068" w:rsidRPr="008A19F5" w:rsidRDefault="002B3068" w:rsidP="002B3068">
      <w:pPr>
        <w:ind w:firstLine="708"/>
        <w:jc w:val="both"/>
        <w:rPr>
          <w:rFonts w:ascii="Times New Roman" w:hAnsi="Times New Roman" w:cs="Times New Roman"/>
          <w:color w:val="FF0000"/>
        </w:rPr>
      </w:pPr>
      <w:r w:rsidRPr="008A19F5">
        <w:rPr>
          <w:rFonts w:ascii="Times New Roman" w:hAnsi="Times New Roman" w:cs="Times New Roman"/>
        </w:rPr>
        <w:t>V nasledujúcej tabuľke sú uvedené rozdiely medzi akruálnymi a hotovostnými odhadmi daní. Očakáva sa, že na prognózovanom období bude výnos daní na akruálnej báze vyšší ako výnos na hotovostnom princípe.</w:t>
      </w:r>
    </w:p>
    <w:p w:rsidR="002B3068" w:rsidRPr="00886A7F" w:rsidRDefault="002B3068" w:rsidP="002B3068">
      <w:pPr>
        <w:jc w:val="both"/>
        <w:rPr>
          <w:rFonts w:ascii="Times New Roman" w:hAnsi="Times New Roman" w:cs="Times New Roman"/>
          <w:color w:val="FF000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5"/>
        <w:gridCol w:w="1059"/>
        <w:gridCol w:w="1060"/>
        <w:gridCol w:w="1060"/>
        <w:gridCol w:w="1060"/>
        <w:gridCol w:w="1058"/>
      </w:tblGrid>
      <w:tr w:rsidR="002B3068" w:rsidRPr="00886A7F" w:rsidTr="00DF0EF9">
        <w:trPr>
          <w:trHeight w:val="255"/>
        </w:trPr>
        <w:tc>
          <w:tcPr>
            <w:tcW w:w="5000" w:type="pct"/>
            <w:gridSpan w:val="6"/>
            <w:shd w:val="clear" w:color="000000" w:fill="A6A6A6"/>
            <w:noWrap/>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Odhad rozdielu medzi akruálnymi a hotov</w:t>
            </w:r>
            <w:r>
              <w:rPr>
                <w:rFonts w:ascii="Times New Roman" w:hAnsi="Times New Roman" w:cs="Times New Roman"/>
                <w:b/>
                <w:bCs/>
                <w:sz w:val="14"/>
                <w:szCs w:val="14"/>
                <w:lang w:eastAsia="sk-SK"/>
              </w:rPr>
              <w:t>ostnými prognózami v rokoch 2017</w:t>
            </w:r>
            <w:r w:rsidRPr="005665A8">
              <w:rPr>
                <w:rFonts w:ascii="Times New Roman" w:hAnsi="Times New Roman" w:cs="Times New Roman"/>
                <w:b/>
                <w:bCs/>
                <w:sz w:val="14"/>
                <w:szCs w:val="14"/>
                <w:lang w:eastAsia="sk-SK"/>
              </w:rPr>
              <w:t xml:space="preserve"> až 202</w:t>
            </w:r>
            <w:r>
              <w:rPr>
                <w:rFonts w:ascii="Times New Roman" w:hAnsi="Times New Roman" w:cs="Times New Roman"/>
                <w:b/>
                <w:bCs/>
                <w:sz w:val="14"/>
                <w:szCs w:val="14"/>
                <w:lang w:eastAsia="sk-SK"/>
              </w:rPr>
              <w:t>1</w:t>
            </w:r>
            <w:r w:rsidRPr="005665A8">
              <w:rPr>
                <w:rFonts w:ascii="Times New Roman" w:hAnsi="Times New Roman" w:cs="Times New Roman"/>
                <w:b/>
                <w:bCs/>
                <w:sz w:val="14"/>
                <w:szCs w:val="14"/>
                <w:lang w:eastAsia="sk-SK"/>
              </w:rPr>
              <w:t xml:space="preserve"> (v tis. eur)</w:t>
            </w:r>
          </w:p>
        </w:tc>
      </w:tr>
      <w:tr w:rsidR="002B3068" w:rsidRPr="00886A7F" w:rsidTr="00DF0EF9">
        <w:trPr>
          <w:trHeight w:val="370"/>
        </w:trPr>
        <w:tc>
          <w:tcPr>
            <w:tcW w:w="2077" w:type="pct"/>
            <w:shd w:val="clear" w:color="000000" w:fill="BFBFBF"/>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 </w:t>
            </w:r>
          </w:p>
        </w:tc>
        <w:tc>
          <w:tcPr>
            <w:tcW w:w="584" w:type="pct"/>
            <w:shd w:val="clear" w:color="000000" w:fill="BFBFBF"/>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rPr>
              <w:t>2017 OS</w:t>
            </w:r>
          </w:p>
        </w:tc>
        <w:tc>
          <w:tcPr>
            <w:tcW w:w="585" w:type="pct"/>
            <w:shd w:val="clear" w:color="000000" w:fill="BFBFBF"/>
            <w:vAlign w:val="center"/>
            <w:hideMark/>
          </w:tcPr>
          <w:p w:rsidR="002B3068" w:rsidRPr="005665A8" w:rsidRDefault="002B3068" w:rsidP="00DF0EF9">
            <w:pPr>
              <w:jc w:val="center"/>
              <w:rPr>
                <w:rFonts w:ascii="Times New Roman" w:hAnsi="Times New Roman" w:cs="Times New Roman"/>
                <w:b/>
                <w:bCs/>
                <w:sz w:val="14"/>
                <w:szCs w:val="14"/>
              </w:rPr>
            </w:pPr>
            <w:r w:rsidRPr="005665A8">
              <w:rPr>
                <w:rFonts w:ascii="Times New Roman" w:hAnsi="Times New Roman" w:cs="Times New Roman"/>
                <w:b/>
                <w:bCs/>
                <w:sz w:val="14"/>
                <w:szCs w:val="14"/>
              </w:rPr>
              <w:t>2018</w:t>
            </w:r>
          </w:p>
        </w:tc>
        <w:tc>
          <w:tcPr>
            <w:tcW w:w="585" w:type="pct"/>
            <w:shd w:val="clear" w:color="000000" w:fill="BFBFBF"/>
            <w:vAlign w:val="center"/>
            <w:hideMark/>
          </w:tcPr>
          <w:p w:rsidR="002B3068" w:rsidRPr="005665A8" w:rsidRDefault="002B3068" w:rsidP="00DF0EF9">
            <w:pPr>
              <w:jc w:val="center"/>
              <w:rPr>
                <w:rFonts w:ascii="Times New Roman" w:hAnsi="Times New Roman" w:cs="Times New Roman"/>
                <w:b/>
                <w:bCs/>
                <w:sz w:val="14"/>
                <w:szCs w:val="14"/>
              </w:rPr>
            </w:pPr>
            <w:r w:rsidRPr="005665A8">
              <w:rPr>
                <w:rFonts w:ascii="Times New Roman" w:hAnsi="Times New Roman" w:cs="Times New Roman"/>
                <w:b/>
                <w:bCs/>
                <w:sz w:val="14"/>
                <w:szCs w:val="14"/>
              </w:rPr>
              <w:t>2019</w:t>
            </w:r>
          </w:p>
        </w:tc>
        <w:tc>
          <w:tcPr>
            <w:tcW w:w="585" w:type="pct"/>
            <w:shd w:val="clear" w:color="000000" w:fill="BFBFBF"/>
            <w:vAlign w:val="center"/>
            <w:hideMark/>
          </w:tcPr>
          <w:p w:rsidR="002B3068" w:rsidRPr="005665A8" w:rsidRDefault="002B3068" w:rsidP="00DF0EF9">
            <w:pPr>
              <w:jc w:val="center"/>
              <w:rPr>
                <w:rFonts w:ascii="Times New Roman" w:hAnsi="Times New Roman" w:cs="Times New Roman"/>
                <w:b/>
                <w:bCs/>
                <w:sz w:val="14"/>
                <w:szCs w:val="14"/>
              </w:rPr>
            </w:pPr>
            <w:r w:rsidRPr="005665A8">
              <w:rPr>
                <w:rFonts w:ascii="Times New Roman" w:hAnsi="Times New Roman" w:cs="Times New Roman"/>
                <w:b/>
                <w:bCs/>
                <w:sz w:val="14"/>
                <w:szCs w:val="14"/>
              </w:rPr>
              <w:t>2020</w:t>
            </w:r>
          </w:p>
        </w:tc>
        <w:tc>
          <w:tcPr>
            <w:tcW w:w="584" w:type="pct"/>
            <w:shd w:val="clear" w:color="000000" w:fill="BFBFBF"/>
            <w:vAlign w:val="center"/>
            <w:hideMark/>
          </w:tcPr>
          <w:p w:rsidR="002B3068" w:rsidRPr="005665A8" w:rsidRDefault="002B3068" w:rsidP="00DF0EF9">
            <w:pPr>
              <w:jc w:val="center"/>
              <w:rPr>
                <w:rFonts w:ascii="Times New Roman" w:hAnsi="Times New Roman" w:cs="Times New Roman"/>
                <w:b/>
                <w:bCs/>
                <w:sz w:val="14"/>
                <w:szCs w:val="14"/>
              </w:rPr>
            </w:pPr>
            <w:r w:rsidRPr="005665A8">
              <w:rPr>
                <w:rFonts w:ascii="Times New Roman" w:hAnsi="Times New Roman" w:cs="Times New Roman"/>
                <w:b/>
                <w:bCs/>
                <w:sz w:val="14"/>
                <w:szCs w:val="14"/>
              </w:rPr>
              <w:t>2021</w:t>
            </w:r>
          </w:p>
        </w:tc>
      </w:tr>
      <w:tr w:rsidR="002B3068" w:rsidRPr="00886A7F" w:rsidTr="00DF0EF9">
        <w:trPr>
          <w:trHeight w:val="255"/>
        </w:trPr>
        <w:tc>
          <w:tcPr>
            <w:tcW w:w="2077" w:type="pct"/>
            <w:shd w:val="clear" w:color="000000" w:fill="BFBFBF"/>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Daňové príjmy VS</w:t>
            </w:r>
          </w:p>
        </w:tc>
        <w:tc>
          <w:tcPr>
            <w:tcW w:w="584" w:type="pct"/>
            <w:shd w:val="clear" w:color="000000" w:fill="BFBFBF"/>
            <w:vAlign w:val="center"/>
          </w:tcPr>
          <w:p w:rsidR="002B3068" w:rsidRPr="005665A8" w:rsidRDefault="002B3068" w:rsidP="00DF0EF9">
            <w:pPr>
              <w:jc w:val="right"/>
              <w:rPr>
                <w:rFonts w:ascii="Times New Roman" w:hAnsi="Times New Roman" w:cs="Times New Roman"/>
                <w:b/>
                <w:bCs/>
                <w:sz w:val="14"/>
                <w:szCs w:val="14"/>
                <w:lang w:eastAsia="sk-SK"/>
              </w:rPr>
            </w:pPr>
            <w:r w:rsidRPr="005665A8">
              <w:rPr>
                <w:rFonts w:ascii="Times New Roman" w:hAnsi="Times New Roman" w:cs="Times New Roman"/>
                <w:b/>
                <w:bCs/>
                <w:sz w:val="14"/>
                <w:szCs w:val="14"/>
              </w:rPr>
              <w:t>525 865</w:t>
            </w:r>
          </w:p>
        </w:tc>
        <w:tc>
          <w:tcPr>
            <w:tcW w:w="585" w:type="pct"/>
            <w:shd w:val="clear" w:color="000000" w:fill="BFBFBF"/>
            <w:vAlign w:val="center"/>
          </w:tcPr>
          <w:p w:rsidR="002B3068" w:rsidRPr="005665A8" w:rsidRDefault="002B3068" w:rsidP="00DF0EF9">
            <w:pPr>
              <w:jc w:val="right"/>
              <w:rPr>
                <w:rFonts w:ascii="Times New Roman" w:hAnsi="Times New Roman" w:cs="Times New Roman"/>
                <w:b/>
                <w:bCs/>
                <w:sz w:val="14"/>
                <w:szCs w:val="14"/>
              </w:rPr>
            </w:pPr>
            <w:r w:rsidRPr="005665A8">
              <w:rPr>
                <w:rFonts w:ascii="Times New Roman" w:hAnsi="Times New Roman" w:cs="Times New Roman"/>
                <w:b/>
                <w:bCs/>
                <w:sz w:val="14"/>
                <w:szCs w:val="14"/>
              </w:rPr>
              <w:t>322 594</w:t>
            </w:r>
          </w:p>
        </w:tc>
        <w:tc>
          <w:tcPr>
            <w:tcW w:w="585" w:type="pct"/>
            <w:shd w:val="clear" w:color="000000" w:fill="BFBFBF"/>
            <w:vAlign w:val="center"/>
          </w:tcPr>
          <w:p w:rsidR="002B3068" w:rsidRPr="005665A8" w:rsidRDefault="002B3068" w:rsidP="00DF0EF9">
            <w:pPr>
              <w:jc w:val="right"/>
              <w:rPr>
                <w:rFonts w:ascii="Times New Roman" w:hAnsi="Times New Roman" w:cs="Times New Roman"/>
                <w:b/>
                <w:bCs/>
                <w:sz w:val="14"/>
                <w:szCs w:val="14"/>
              </w:rPr>
            </w:pPr>
            <w:r w:rsidRPr="005665A8">
              <w:rPr>
                <w:rFonts w:ascii="Times New Roman" w:hAnsi="Times New Roman" w:cs="Times New Roman"/>
                <w:b/>
                <w:bCs/>
                <w:sz w:val="14"/>
                <w:szCs w:val="14"/>
              </w:rPr>
              <w:t>623 755</w:t>
            </w:r>
          </w:p>
        </w:tc>
        <w:tc>
          <w:tcPr>
            <w:tcW w:w="585" w:type="pct"/>
            <w:shd w:val="clear" w:color="000000" w:fill="BFBFBF"/>
            <w:vAlign w:val="center"/>
          </w:tcPr>
          <w:p w:rsidR="002B3068" w:rsidRPr="005665A8" w:rsidRDefault="002B3068" w:rsidP="00DF0EF9">
            <w:pPr>
              <w:jc w:val="right"/>
              <w:rPr>
                <w:rFonts w:ascii="Times New Roman" w:hAnsi="Times New Roman" w:cs="Times New Roman"/>
                <w:b/>
                <w:bCs/>
                <w:sz w:val="14"/>
                <w:szCs w:val="14"/>
              </w:rPr>
            </w:pPr>
            <w:r w:rsidRPr="005665A8">
              <w:rPr>
                <w:rFonts w:ascii="Times New Roman" w:hAnsi="Times New Roman" w:cs="Times New Roman"/>
                <w:b/>
                <w:bCs/>
                <w:sz w:val="14"/>
                <w:szCs w:val="14"/>
              </w:rPr>
              <w:t>470 318</w:t>
            </w:r>
          </w:p>
        </w:tc>
        <w:tc>
          <w:tcPr>
            <w:tcW w:w="584" w:type="pct"/>
            <w:shd w:val="clear" w:color="000000" w:fill="BFBFBF"/>
            <w:vAlign w:val="center"/>
          </w:tcPr>
          <w:p w:rsidR="002B3068" w:rsidRPr="005665A8" w:rsidRDefault="002B3068" w:rsidP="00DF0EF9">
            <w:pPr>
              <w:jc w:val="right"/>
              <w:rPr>
                <w:rFonts w:ascii="Times New Roman" w:hAnsi="Times New Roman" w:cs="Times New Roman"/>
                <w:b/>
                <w:bCs/>
                <w:sz w:val="14"/>
                <w:szCs w:val="14"/>
              </w:rPr>
            </w:pPr>
            <w:r w:rsidRPr="005665A8">
              <w:rPr>
                <w:rFonts w:ascii="Times New Roman" w:hAnsi="Times New Roman" w:cs="Times New Roman"/>
                <w:b/>
                <w:bCs/>
                <w:sz w:val="14"/>
                <w:szCs w:val="14"/>
              </w:rPr>
              <w:t>562 956</w:t>
            </w:r>
          </w:p>
        </w:tc>
      </w:tr>
      <w:tr w:rsidR="002B3068" w:rsidRPr="00886A7F" w:rsidTr="00DF0EF9">
        <w:trPr>
          <w:trHeight w:val="255"/>
        </w:trPr>
        <w:tc>
          <w:tcPr>
            <w:tcW w:w="2077" w:type="pct"/>
            <w:shd w:val="clear" w:color="auto" w:fill="auto"/>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Štátny rozpočet</w:t>
            </w:r>
          </w:p>
        </w:tc>
        <w:tc>
          <w:tcPr>
            <w:tcW w:w="584"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459 729</w:t>
            </w:r>
          </w:p>
        </w:tc>
        <w:tc>
          <w:tcPr>
            <w:tcW w:w="585"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274 194</w:t>
            </w:r>
          </w:p>
        </w:tc>
        <w:tc>
          <w:tcPr>
            <w:tcW w:w="585"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560 869</w:t>
            </w:r>
          </w:p>
        </w:tc>
        <w:tc>
          <w:tcPr>
            <w:tcW w:w="585"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402 826</w:t>
            </w:r>
          </w:p>
        </w:tc>
        <w:tc>
          <w:tcPr>
            <w:tcW w:w="584"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500 232</w:t>
            </w:r>
          </w:p>
        </w:tc>
      </w:tr>
      <w:tr w:rsidR="002B3068" w:rsidRPr="00886A7F" w:rsidTr="00DF0EF9">
        <w:trPr>
          <w:trHeight w:val="255"/>
        </w:trPr>
        <w:tc>
          <w:tcPr>
            <w:tcW w:w="2077" w:type="pct"/>
            <w:shd w:val="clear" w:color="auto" w:fill="auto"/>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Štátne finančné aktíva</w:t>
            </w:r>
          </w:p>
        </w:tc>
        <w:tc>
          <w:tcPr>
            <w:tcW w:w="584"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-1 421</w:t>
            </w:r>
          </w:p>
        </w:tc>
        <w:tc>
          <w:tcPr>
            <w:tcW w:w="585"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-16 897</w:t>
            </w:r>
          </w:p>
        </w:tc>
        <w:tc>
          <w:tcPr>
            <w:tcW w:w="585"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-3 023</w:t>
            </w:r>
          </w:p>
        </w:tc>
        <w:tc>
          <w:tcPr>
            <w:tcW w:w="585"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316</w:t>
            </w:r>
          </w:p>
        </w:tc>
        <w:tc>
          <w:tcPr>
            <w:tcW w:w="584"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-3 385</w:t>
            </w:r>
          </w:p>
        </w:tc>
      </w:tr>
      <w:tr w:rsidR="002B3068" w:rsidRPr="00886A7F" w:rsidTr="00DF0EF9">
        <w:trPr>
          <w:trHeight w:val="255"/>
        </w:trPr>
        <w:tc>
          <w:tcPr>
            <w:tcW w:w="2077" w:type="pct"/>
            <w:shd w:val="clear" w:color="auto" w:fill="auto"/>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Obce</w:t>
            </w:r>
          </w:p>
        </w:tc>
        <w:tc>
          <w:tcPr>
            <w:tcW w:w="584"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585"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585"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585"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584"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r>
      <w:tr w:rsidR="002B3068" w:rsidRPr="00886A7F" w:rsidTr="00DF0EF9">
        <w:trPr>
          <w:trHeight w:val="255"/>
        </w:trPr>
        <w:tc>
          <w:tcPr>
            <w:tcW w:w="2077" w:type="pct"/>
            <w:shd w:val="clear" w:color="auto" w:fill="auto"/>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VÚC</w:t>
            </w:r>
          </w:p>
        </w:tc>
        <w:tc>
          <w:tcPr>
            <w:tcW w:w="584"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585"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585"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585"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584"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r>
      <w:tr w:rsidR="002B3068" w:rsidRPr="00886A7F" w:rsidTr="00DF0EF9">
        <w:trPr>
          <w:trHeight w:val="255"/>
        </w:trPr>
        <w:tc>
          <w:tcPr>
            <w:tcW w:w="2077" w:type="pct"/>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Rozhlas a televízia Slovenska (RT</w:t>
            </w:r>
            <w:r>
              <w:rPr>
                <w:rFonts w:ascii="Times New Roman" w:hAnsi="Times New Roman" w:cs="Times New Roman"/>
                <w:sz w:val="14"/>
                <w:szCs w:val="14"/>
                <w:lang w:eastAsia="sk-SK"/>
              </w:rPr>
              <w:t>V</w:t>
            </w:r>
            <w:r w:rsidRPr="005665A8">
              <w:rPr>
                <w:rFonts w:ascii="Times New Roman" w:hAnsi="Times New Roman" w:cs="Times New Roman"/>
                <w:sz w:val="14"/>
                <w:szCs w:val="14"/>
                <w:lang w:eastAsia="sk-SK"/>
              </w:rPr>
              <w:t>S)</w:t>
            </w:r>
          </w:p>
        </w:tc>
        <w:tc>
          <w:tcPr>
            <w:tcW w:w="584"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585"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585"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585"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584"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r>
      <w:tr w:rsidR="002B3068" w:rsidRPr="00886A7F" w:rsidTr="00DF0EF9">
        <w:trPr>
          <w:trHeight w:val="255"/>
        </w:trPr>
        <w:tc>
          <w:tcPr>
            <w:tcW w:w="2077" w:type="pct"/>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Environmentálny fond</w:t>
            </w:r>
          </w:p>
        </w:tc>
        <w:tc>
          <w:tcPr>
            <w:tcW w:w="584"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585"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585"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585"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c>
          <w:tcPr>
            <w:tcW w:w="584"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0</w:t>
            </w:r>
          </w:p>
        </w:tc>
      </w:tr>
      <w:tr w:rsidR="002B3068" w:rsidRPr="00886A7F" w:rsidTr="00DF0EF9">
        <w:trPr>
          <w:trHeight w:val="255"/>
        </w:trPr>
        <w:tc>
          <w:tcPr>
            <w:tcW w:w="2077" w:type="pct"/>
            <w:shd w:val="clear" w:color="auto" w:fill="auto"/>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Sociálna poisťovňa</w:t>
            </w:r>
          </w:p>
        </w:tc>
        <w:tc>
          <w:tcPr>
            <w:tcW w:w="584"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30 637</w:t>
            </w:r>
          </w:p>
        </w:tc>
        <w:tc>
          <w:tcPr>
            <w:tcW w:w="585"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43 105</w:t>
            </w:r>
          </w:p>
        </w:tc>
        <w:tc>
          <w:tcPr>
            <w:tcW w:w="585"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44 158</w:t>
            </w:r>
          </w:p>
        </w:tc>
        <w:tc>
          <w:tcPr>
            <w:tcW w:w="585"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45 030</w:t>
            </w:r>
          </w:p>
        </w:tc>
        <w:tc>
          <w:tcPr>
            <w:tcW w:w="584" w:type="pct"/>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44 075</w:t>
            </w:r>
          </w:p>
        </w:tc>
      </w:tr>
      <w:tr w:rsidR="002B3068" w:rsidRPr="00886A7F" w:rsidTr="00DF0EF9">
        <w:trPr>
          <w:trHeight w:val="255"/>
        </w:trPr>
        <w:tc>
          <w:tcPr>
            <w:tcW w:w="2077" w:type="pct"/>
            <w:tcBorders>
              <w:bottom w:val="single" w:sz="4" w:space="0" w:color="auto"/>
            </w:tcBorders>
            <w:shd w:val="clear" w:color="auto" w:fill="auto"/>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Zdravotné poisťovne</w:t>
            </w:r>
          </w:p>
        </w:tc>
        <w:tc>
          <w:tcPr>
            <w:tcW w:w="584" w:type="pct"/>
            <w:tcBorders>
              <w:bottom w:val="single" w:sz="4" w:space="0" w:color="auto"/>
            </w:tcBorders>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36 920</w:t>
            </w:r>
          </w:p>
        </w:tc>
        <w:tc>
          <w:tcPr>
            <w:tcW w:w="585" w:type="pct"/>
            <w:tcBorders>
              <w:bottom w:val="single" w:sz="4" w:space="0" w:color="auto"/>
            </w:tcBorders>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22 192</w:t>
            </w:r>
          </w:p>
        </w:tc>
        <w:tc>
          <w:tcPr>
            <w:tcW w:w="585" w:type="pct"/>
            <w:tcBorders>
              <w:bottom w:val="single" w:sz="4" w:space="0" w:color="auto"/>
            </w:tcBorders>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21 751</w:t>
            </w:r>
          </w:p>
        </w:tc>
        <w:tc>
          <w:tcPr>
            <w:tcW w:w="585" w:type="pct"/>
            <w:tcBorders>
              <w:bottom w:val="single" w:sz="4" w:space="0" w:color="auto"/>
            </w:tcBorders>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22 146</w:t>
            </w:r>
          </w:p>
        </w:tc>
        <w:tc>
          <w:tcPr>
            <w:tcW w:w="584" w:type="pct"/>
            <w:tcBorders>
              <w:bottom w:val="single" w:sz="4" w:space="0" w:color="auto"/>
            </w:tcBorders>
            <w:shd w:val="clear" w:color="auto" w:fill="auto"/>
            <w:vAlign w:val="center"/>
          </w:tcPr>
          <w:p w:rsidR="002B3068" w:rsidRPr="005665A8" w:rsidRDefault="002B3068" w:rsidP="00DF0EF9">
            <w:pPr>
              <w:jc w:val="right"/>
              <w:rPr>
                <w:rFonts w:ascii="Times New Roman" w:hAnsi="Times New Roman" w:cs="Times New Roman"/>
                <w:sz w:val="14"/>
                <w:szCs w:val="14"/>
              </w:rPr>
            </w:pPr>
            <w:r w:rsidRPr="005665A8">
              <w:rPr>
                <w:rFonts w:ascii="Times New Roman" w:hAnsi="Times New Roman" w:cs="Times New Roman"/>
                <w:sz w:val="14"/>
                <w:szCs w:val="14"/>
              </w:rPr>
              <w:t>22 034</w:t>
            </w:r>
          </w:p>
        </w:tc>
      </w:tr>
      <w:tr w:rsidR="002B3068" w:rsidRPr="00886A7F" w:rsidTr="00DF0EF9">
        <w:trPr>
          <w:trHeight w:val="255"/>
        </w:trPr>
        <w:tc>
          <w:tcPr>
            <w:tcW w:w="5000" w:type="pct"/>
            <w:gridSpan w:val="6"/>
            <w:tcBorders>
              <w:top w:val="single" w:sz="4" w:space="0" w:color="auto"/>
              <w:left w:val="nil"/>
              <w:bottom w:val="nil"/>
              <w:right w:val="nil"/>
            </w:tcBorders>
            <w:shd w:val="clear" w:color="auto" w:fill="auto"/>
            <w:vAlign w:val="center"/>
            <w:hideMark/>
          </w:tcPr>
          <w:p w:rsidR="002B3068" w:rsidRPr="005665A8" w:rsidRDefault="002B3068" w:rsidP="00DF0EF9">
            <w:pPr>
              <w:rPr>
                <w:rFonts w:ascii="Times New Roman" w:hAnsi="Times New Roman" w:cs="Times New Roman"/>
                <w:sz w:val="14"/>
                <w:szCs w:val="14"/>
                <w:lang w:eastAsia="sk-SK"/>
              </w:rPr>
            </w:pPr>
            <w:r w:rsidRPr="005665A8">
              <w:rPr>
                <w:rFonts w:ascii="Times New Roman" w:hAnsi="Times New Roman" w:cs="Times New Roman"/>
                <w:sz w:val="14"/>
                <w:szCs w:val="14"/>
                <w:lang w:eastAsia="sk-SK"/>
              </w:rPr>
              <w:t>(+) znamená, že výnos daní v metodike ESA95 je vyšší ako na hotovostnej báze; (-) že je nižší ako na hotovostnej báze</w:t>
            </w:r>
          </w:p>
        </w:tc>
      </w:tr>
    </w:tbl>
    <w:p w:rsidR="002B3068" w:rsidRPr="008A19F5" w:rsidRDefault="002B3068" w:rsidP="002B3068">
      <w:pPr>
        <w:ind w:firstLine="708"/>
        <w:jc w:val="both"/>
        <w:rPr>
          <w:rFonts w:ascii="Times New Roman" w:hAnsi="Times New Roman" w:cs="Times New Roman"/>
          <w:color w:val="FF0000"/>
        </w:rPr>
      </w:pPr>
    </w:p>
    <w:p w:rsidR="002B3068" w:rsidRPr="008A19F5" w:rsidRDefault="002B3068" w:rsidP="002B3068">
      <w:pPr>
        <w:ind w:firstLine="709"/>
        <w:jc w:val="both"/>
        <w:rPr>
          <w:rFonts w:ascii="Times New Roman" w:hAnsi="Times New Roman" w:cs="Times New Roman"/>
        </w:rPr>
      </w:pPr>
      <w:r w:rsidRPr="008A19F5">
        <w:rPr>
          <w:rFonts w:ascii="Times New Roman" w:hAnsi="Times New Roman" w:cs="Times New Roman"/>
        </w:rPr>
        <w:t>Rozdiel medzi akruálnym výnosom daní a hotovostným výnosom daní je spôsobený najmä samotným spôsobom výberu daní. Väčšina daňových príjmov sa platí až po ukončení obdobia, napr. daň z príjmov fyzických osôb a odvody sa platia až v nasleduj</w:t>
      </w:r>
      <w:r>
        <w:rPr>
          <w:rFonts w:ascii="Times New Roman" w:hAnsi="Times New Roman" w:cs="Times New Roman"/>
        </w:rPr>
        <w:t>úcom mesiaci. Daňové priznanie pri DPH a spotrebných daniach</w:t>
      </w:r>
      <w:r w:rsidRPr="008A19F5">
        <w:rPr>
          <w:rFonts w:ascii="Times New Roman" w:hAnsi="Times New Roman" w:cs="Times New Roman"/>
        </w:rPr>
        <w:t xml:space="preserve"> sa podáva a daň platí až v nasledujúcom mesiaci alebo kvartáli. V prípade DPPO a DPFO z podnikania sa počas roka platia preddavky na základe posledného zdaňovacieho obdobia a až v nasledujúcom roku sa zúčtovávajú.</w:t>
      </w:r>
    </w:p>
    <w:p w:rsidR="002B3068" w:rsidRPr="008A19F5" w:rsidRDefault="002B3068" w:rsidP="002B3068">
      <w:pPr>
        <w:ind w:firstLine="708"/>
        <w:jc w:val="both"/>
        <w:rPr>
          <w:rFonts w:ascii="Times New Roman" w:hAnsi="Times New Roman" w:cs="Times New Roman"/>
          <w:color w:val="FF0000"/>
        </w:rPr>
      </w:pPr>
    </w:p>
    <w:p w:rsidR="002B3068" w:rsidRPr="008A19F5" w:rsidRDefault="002B3068" w:rsidP="002B3068">
      <w:pPr>
        <w:ind w:firstLine="709"/>
        <w:jc w:val="both"/>
        <w:rPr>
          <w:rFonts w:ascii="Times New Roman" w:hAnsi="Times New Roman" w:cs="Times New Roman"/>
        </w:rPr>
      </w:pPr>
      <w:r w:rsidRPr="008A19F5">
        <w:rPr>
          <w:rFonts w:ascii="Times New Roman" w:hAnsi="Times New Roman" w:cs="Times New Roman"/>
        </w:rPr>
        <w:t xml:space="preserve">Zároveň na rozdiel medzi akruálnym a hotovostným výnosom pozitívne vplýva najmä odlišné zaznamenávanie sumy 2 % poukazovaných na osobitný účel z daní z príjmov fyzických a právnických osôb. Kým pri hotovostnom princípe suma poukázaná na osobitný účel ovplyvňuje výšku výnosu dane znížením príjmov verejnej správy, akruálne dane nie sú týmto prevodom ovplyvnené. Vyplýva to z ekonomickej podstaty transakcie, ktorá neznižuje výšku daňovej povinnosti voči verejným financiám (akruálnu daň), ale na základe zákona schváleného NR SR sa časť peňazí použije na financovanie tretieho sektora. Uvedená suma teda neznižuje </w:t>
      </w:r>
      <w:r w:rsidRPr="008A19F5">
        <w:rPr>
          <w:rFonts w:ascii="Times New Roman" w:hAnsi="Times New Roman" w:cs="Times New Roman"/>
        </w:rPr>
        <w:lastRenderedPageBreak/>
        <w:t>príjmy, ale zvyšuje verejné výdavky a týmto spôsobom negatívne ovplyvňuje hospodárenie v metodike ESA</w:t>
      </w:r>
      <w:r>
        <w:rPr>
          <w:rFonts w:ascii="Times New Roman" w:hAnsi="Times New Roman" w:cs="Times New Roman"/>
        </w:rPr>
        <w:t xml:space="preserve"> </w:t>
      </w:r>
      <w:r w:rsidRPr="008A19F5">
        <w:rPr>
          <w:rFonts w:ascii="Times New Roman" w:hAnsi="Times New Roman" w:cs="Times New Roman"/>
        </w:rPr>
        <w:t>2010.</w:t>
      </w:r>
    </w:p>
    <w:p w:rsidR="002B3068" w:rsidRPr="00886A7F" w:rsidRDefault="002B3068" w:rsidP="002B3068">
      <w:pPr>
        <w:ind w:firstLine="708"/>
        <w:jc w:val="both"/>
        <w:rPr>
          <w:rFonts w:ascii="Times New Roman" w:hAnsi="Times New Roman" w:cs="Times New Roman"/>
          <w:color w:val="FF0000"/>
          <w:highlight w:val="yellow"/>
        </w:rPr>
      </w:pPr>
    </w:p>
    <w:p w:rsidR="002B3068" w:rsidRPr="005665A8" w:rsidRDefault="002B3068" w:rsidP="002B3068">
      <w:pPr>
        <w:pStyle w:val="Default"/>
        <w:spacing w:before="3"/>
        <w:ind w:firstLine="708"/>
        <w:jc w:val="both"/>
        <w:rPr>
          <w:rFonts w:ascii="Times New Roman" w:hAnsi="Times New Roman" w:cs="Times New Roman"/>
          <w:color w:val="auto"/>
        </w:rPr>
      </w:pPr>
      <w:r w:rsidRPr="005665A8">
        <w:rPr>
          <w:rFonts w:ascii="Times New Roman" w:hAnsi="Times New Roman" w:cs="Times New Roman"/>
          <w:color w:val="auto"/>
        </w:rPr>
        <w:t xml:space="preserve">V súvislosti s prevodom prostriedkov na osobitný účel sa </w:t>
      </w:r>
      <w:r>
        <w:rPr>
          <w:rFonts w:ascii="Times New Roman" w:hAnsi="Times New Roman" w:cs="Times New Roman"/>
          <w:color w:val="auto"/>
        </w:rPr>
        <w:t>na</w:t>
      </w:r>
      <w:r w:rsidRPr="005665A8">
        <w:rPr>
          <w:rFonts w:ascii="Times New Roman" w:hAnsi="Times New Roman" w:cs="Times New Roman"/>
          <w:color w:val="auto"/>
        </w:rPr>
        <w:t xml:space="preserve"> roky 2019 až 2021 očakáva nárast objemu prostriedkov prevedených z dane za predchádzajúce zdaňovacie obdobie na verejnoprospešný účel. </w:t>
      </w:r>
    </w:p>
    <w:p w:rsidR="002B3068" w:rsidRPr="00886A7F" w:rsidRDefault="002B3068" w:rsidP="002B3068">
      <w:pPr>
        <w:pStyle w:val="Default"/>
        <w:spacing w:before="3"/>
        <w:ind w:firstLine="708"/>
        <w:jc w:val="both"/>
        <w:rPr>
          <w:rFonts w:ascii="Times New Roman" w:hAnsi="Times New Roman" w:cs="Times New Roman"/>
          <w:color w:val="FF000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937"/>
        <w:gridCol w:w="937"/>
        <w:gridCol w:w="937"/>
        <w:gridCol w:w="937"/>
        <w:gridCol w:w="937"/>
        <w:gridCol w:w="933"/>
      </w:tblGrid>
      <w:tr w:rsidR="002B3068" w:rsidRPr="00886A7F" w:rsidTr="00DF0EF9">
        <w:trPr>
          <w:trHeight w:val="340"/>
        </w:trPr>
        <w:tc>
          <w:tcPr>
            <w:tcW w:w="5000" w:type="pct"/>
            <w:gridSpan w:val="7"/>
            <w:shd w:val="clear" w:color="auto" w:fill="A6A6A6" w:themeFill="background1" w:themeFillShade="A6"/>
            <w:vAlign w:val="center"/>
            <w:hideMark/>
          </w:tcPr>
          <w:p w:rsidR="002B3068" w:rsidRPr="005665A8" w:rsidRDefault="002B3068" w:rsidP="00DF0EF9">
            <w:pPr>
              <w:rPr>
                <w:rFonts w:ascii="Times New Roman" w:hAnsi="Times New Roman" w:cs="Times New Roman"/>
                <w:b/>
                <w:bCs/>
                <w:sz w:val="14"/>
                <w:szCs w:val="14"/>
                <w:lang w:eastAsia="en-US"/>
              </w:rPr>
            </w:pPr>
            <w:r w:rsidRPr="005665A8">
              <w:rPr>
                <w:rFonts w:ascii="Times New Roman" w:hAnsi="Times New Roman" w:cs="Times New Roman"/>
                <w:b/>
                <w:bCs/>
                <w:sz w:val="14"/>
                <w:szCs w:val="14"/>
                <w:lang w:eastAsia="en-US"/>
              </w:rPr>
              <w:t>Vplyv prevodu prostriedkov na verejnoprospešný účel (VPÚ) na rozpočet (ESA 2010, v tis. eur)</w:t>
            </w:r>
            <w:r w:rsidRPr="005665A8">
              <w:rPr>
                <w:rFonts w:ascii="Times New Roman" w:hAnsi="Times New Roman" w:cs="Times New Roman"/>
                <w:sz w:val="14"/>
                <w:szCs w:val="14"/>
                <w:lang w:eastAsia="en-US"/>
              </w:rPr>
              <w:t> </w:t>
            </w:r>
          </w:p>
        </w:tc>
      </w:tr>
      <w:tr w:rsidR="002B3068" w:rsidRPr="00886A7F" w:rsidTr="00DF0EF9">
        <w:trPr>
          <w:trHeight w:val="284"/>
        </w:trPr>
        <w:tc>
          <w:tcPr>
            <w:tcW w:w="1900" w:type="pct"/>
            <w:shd w:val="clear" w:color="auto" w:fill="BFBFBF" w:themeFill="background1" w:themeFillShade="BF"/>
            <w:vAlign w:val="center"/>
            <w:hideMark/>
          </w:tcPr>
          <w:p w:rsidR="002B3068" w:rsidRPr="005665A8" w:rsidRDefault="002B3068" w:rsidP="00DF0EF9">
            <w:pPr>
              <w:rPr>
                <w:rFonts w:ascii="Times New Roman" w:hAnsi="Times New Roman" w:cs="Times New Roman"/>
                <w:b/>
                <w:bCs/>
                <w:sz w:val="14"/>
                <w:szCs w:val="14"/>
                <w:lang w:eastAsia="en-US"/>
              </w:rPr>
            </w:pPr>
            <w:r w:rsidRPr="005665A8">
              <w:rPr>
                <w:rFonts w:ascii="Times New Roman" w:hAnsi="Times New Roman" w:cs="Times New Roman"/>
                <w:b/>
                <w:bCs/>
                <w:sz w:val="14"/>
                <w:szCs w:val="14"/>
                <w:lang w:eastAsia="en-US"/>
              </w:rPr>
              <w:t> </w:t>
            </w:r>
          </w:p>
        </w:tc>
        <w:tc>
          <w:tcPr>
            <w:tcW w:w="517" w:type="pct"/>
            <w:shd w:val="clear" w:color="auto" w:fill="BFBFBF" w:themeFill="background1" w:themeFillShade="BF"/>
            <w:vAlign w:val="center"/>
            <w:hideMark/>
          </w:tcPr>
          <w:p w:rsidR="002B3068" w:rsidRPr="005665A8" w:rsidRDefault="002B3068" w:rsidP="00DF0EF9">
            <w:pPr>
              <w:jc w:val="center"/>
              <w:rPr>
                <w:rFonts w:ascii="Times New Roman" w:hAnsi="Times New Roman" w:cs="Times New Roman"/>
                <w:b/>
                <w:bCs/>
                <w:color w:val="000000"/>
                <w:sz w:val="14"/>
                <w:szCs w:val="14"/>
                <w:highlight w:val="yellow"/>
                <w:lang w:eastAsia="sk-SK"/>
              </w:rPr>
            </w:pPr>
            <w:r w:rsidRPr="005665A8">
              <w:rPr>
                <w:rFonts w:ascii="Times New Roman" w:hAnsi="Times New Roman" w:cs="Times New Roman"/>
                <w:b/>
                <w:bCs/>
                <w:color w:val="000000"/>
                <w:sz w:val="14"/>
                <w:szCs w:val="14"/>
              </w:rPr>
              <w:t>2016 S</w:t>
            </w:r>
          </w:p>
        </w:tc>
        <w:tc>
          <w:tcPr>
            <w:tcW w:w="517" w:type="pct"/>
            <w:shd w:val="clear" w:color="auto" w:fill="BFBFBF" w:themeFill="background1" w:themeFillShade="BF"/>
            <w:vAlign w:val="center"/>
            <w:hideMark/>
          </w:tcPr>
          <w:p w:rsidR="002B3068" w:rsidRPr="005665A8" w:rsidRDefault="002B3068" w:rsidP="00DF0EF9">
            <w:pPr>
              <w:jc w:val="center"/>
              <w:rPr>
                <w:rFonts w:ascii="Times New Roman" w:hAnsi="Times New Roman" w:cs="Times New Roman"/>
                <w:b/>
                <w:bCs/>
                <w:color w:val="000000"/>
                <w:sz w:val="14"/>
                <w:szCs w:val="14"/>
                <w:highlight w:val="yellow"/>
              </w:rPr>
            </w:pPr>
            <w:r w:rsidRPr="005665A8">
              <w:rPr>
                <w:rFonts w:ascii="Times New Roman" w:hAnsi="Times New Roman" w:cs="Times New Roman"/>
                <w:b/>
                <w:bCs/>
                <w:sz w:val="14"/>
                <w:szCs w:val="14"/>
              </w:rPr>
              <w:t>2017</w:t>
            </w:r>
            <w:r w:rsidR="0042475B">
              <w:rPr>
                <w:rFonts w:ascii="Times New Roman" w:hAnsi="Times New Roman" w:cs="Times New Roman"/>
                <w:b/>
                <w:bCs/>
                <w:sz w:val="14"/>
                <w:szCs w:val="14"/>
              </w:rPr>
              <w:t xml:space="preserve"> </w:t>
            </w:r>
            <w:r w:rsidRPr="005665A8">
              <w:rPr>
                <w:rFonts w:ascii="Times New Roman" w:hAnsi="Times New Roman" w:cs="Times New Roman"/>
                <w:b/>
                <w:bCs/>
                <w:sz w:val="14"/>
                <w:szCs w:val="14"/>
              </w:rPr>
              <w:t>S</w:t>
            </w:r>
          </w:p>
        </w:tc>
        <w:tc>
          <w:tcPr>
            <w:tcW w:w="517" w:type="pct"/>
            <w:shd w:val="clear" w:color="auto" w:fill="BFBFBF" w:themeFill="background1" w:themeFillShade="BF"/>
            <w:vAlign w:val="center"/>
            <w:hideMark/>
          </w:tcPr>
          <w:p w:rsidR="002B3068" w:rsidRPr="005665A8" w:rsidRDefault="002B3068" w:rsidP="00DF0EF9">
            <w:pPr>
              <w:jc w:val="center"/>
              <w:rPr>
                <w:rFonts w:ascii="Times New Roman" w:hAnsi="Times New Roman" w:cs="Times New Roman"/>
                <w:b/>
                <w:bCs/>
                <w:sz w:val="14"/>
                <w:szCs w:val="14"/>
                <w:highlight w:val="yellow"/>
              </w:rPr>
            </w:pPr>
            <w:r w:rsidRPr="005665A8">
              <w:rPr>
                <w:rFonts w:ascii="Times New Roman" w:hAnsi="Times New Roman" w:cs="Times New Roman"/>
                <w:b/>
                <w:bCs/>
                <w:sz w:val="14"/>
                <w:szCs w:val="14"/>
              </w:rPr>
              <w:t>2018</w:t>
            </w:r>
          </w:p>
        </w:tc>
        <w:tc>
          <w:tcPr>
            <w:tcW w:w="517" w:type="pct"/>
            <w:shd w:val="clear" w:color="auto" w:fill="BFBFBF" w:themeFill="background1" w:themeFillShade="BF"/>
            <w:vAlign w:val="center"/>
            <w:hideMark/>
          </w:tcPr>
          <w:p w:rsidR="002B3068" w:rsidRPr="005665A8" w:rsidRDefault="002B3068" w:rsidP="00DF0EF9">
            <w:pPr>
              <w:jc w:val="center"/>
              <w:rPr>
                <w:rFonts w:ascii="Times New Roman" w:hAnsi="Times New Roman" w:cs="Times New Roman"/>
                <w:b/>
                <w:bCs/>
                <w:sz w:val="14"/>
                <w:szCs w:val="14"/>
                <w:highlight w:val="yellow"/>
              </w:rPr>
            </w:pPr>
            <w:r w:rsidRPr="005665A8">
              <w:rPr>
                <w:rFonts w:ascii="Times New Roman" w:hAnsi="Times New Roman" w:cs="Times New Roman"/>
                <w:b/>
                <w:bCs/>
                <w:sz w:val="14"/>
                <w:szCs w:val="14"/>
              </w:rPr>
              <w:t>2019</w:t>
            </w:r>
          </w:p>
        </w:tc>
        <w:tc>
          <w:tcPr>
            <w:tcW w:w="517" w:type="pct"/>
            <w:shd w:val="clear" w:color="auto" w:fill="BFBFBF" w:themeFill="background1" w:themeFillShade="BF"/>
            <w:vAlign w:val="center"/>
            <w:hideMark/>
          </w:tcPr>
          <w:p w:rsidR="002B3068" w:rsidRPr="005665A8" w:rsidRDefault="002B3068" w:rsidP="00DF0EF9">
            <w:pPr>
              <w:jc w:val="center"/>
              <w:rPr>
                <w:rFonts w:ascii="Times New Roman" w:hAnsi="Times New Roman" w:cs="Times New Roman"/>
                <w:b/>
                <w:bCs/>
                <w:sz w:val="14"/>
                <w:szCs w:val="14"/>
                <w:highlight w:val="yellow"/>
              </w:rPr>
            </w:pPr>
            <w:r w:rsidRPr="005665A8">
              <w:rPr>
                <w:rFonts w:ascii="Times New Roman" w:hAnsi="Times New Roman" w:cs="Times New Roman"/>
                <w:b/>
                <w:bCs/>
                <w:sz w:val="14"/>
                <w:szCs w:val="14"/>
              </w:rPr>
              <w:t>2020</w:t>
            </w:r>
          </w:p>
        </w:tc>
        <w:tc>
          <w:tcPr>
            <w:tcW w:w="515" w:type="pct"/>
            <w:shd w:val="clear" w:color="auto" w:fill="BFBFBF" w:themeFill="background1" w:themeFillShade="BF"/>
            <w:vAlign w:val="center"/>
            <w:hideMark/>
          </w:tcPr>
          <w:p w:rsidR="002B3068" w:rsidRPr="005665A8" w:rsidRDefault="002B3068" w:rsidP="00DF0EF9">
            <w:pPr>
              <w:jc w:val="center"/>
              <w:rPr>
                <w:rFonts w:ascii="Times New Roman" w:hAnsi="Times New Roman" w:cs="Times New Roman"/>
                <w:b/>
                <w:bCs/>
                <w:sz w:val="14"/>
                <w:szCs w:val="14"/>
                <w:highlight w:val="yellow"/>
              </w:rPr>
            </w:pPr>
            <w:r w:rsidRPr="005665A8">
              <w:rPr>
                <w:rFonts w:ascii="Times New Roman" w:hAnsi="Times New Roman" w:cs="Times New Roman"/>
                <w:b/>
                <w:bCs/>
                <w:sz w:val="14"/>
                <w:szCs w:val="14"/>
              </w:rPr>
              <w:t>2021</w:t>
            </w:r>
          </w:p>
        </w:tc>
      </w:tr>
      <w:tr w:rsidR="002B3068" w:rsidRPr="00886A7F" w:rsidTr="00DF0EF9">
        <w:trPr>
          <w:trHeight w:val="284"/>
        </w:trPr>
        <w:tc>
          <w:tcPr>
            <w:tcW w:w="1900" w:type="pct"/>
            <w:shd w:val="clear" w:color="auto" w:fill="BFBFBF" w:themeFill="background1" w:themeFillShade="BF"/>
            <w:vAlign w:val="center"/>
            <w:hideMark/>
          </w:tcPr>
          <w:p w:rsidR="002B3068" w:rsidRPr="005665A8" w:rsidRDefault="002B3068" w:rsidP="00DF0EF9">
            <w:pPr>
              <w:rPr>
                <w:rFonts w:ascii="Times New Roman" w:hAnsi="Times New Roman" w:cs="Times New Roman"/>
                <w:b/>
                <w:bCs/>
                <w:sz w:val="14"/>
                <w:szCs w:val="14"/>
                <w:lang w:val="en-US" w:eastAsia="en-US"/>
              </w:rPr>
            </w:pPr>
            <w:r w:rsidRPr="005665A8">
              <w:rPr>
                <w:rFonts w:ascii="Times New Roman" w:hAnsi="Times New Roman" w:cs="Times New Roman"/>
                <w:b/>
                <w:bCs/>
                <w:sz w:val="14"/>
                <w:szCs w:val="14"/>
                <w:lang w:eastAsia="en-US"/>
              </w:rPr>
              <w:t xml:space="preserve">PREVOD NA VPÚ spolu </w:t>
            </w:r>
          </w:p>
        </w:tc>
        <w:tc>
          <w:tcPr>
            <w:tcW w:w="517" w:type="pct"/>
            <w:shd w:val="clear" w:color="auto" w:fill="BFBFBF" w:themeFill="background1" w:themeFillShade="BF"/>
            <w:vAlign w:val="center"/>
          </w:tcPr>
          <w:p w:rsidR="002B3068" w:rsidRPr="005665A8" w:rsidRDefault="002B3068" w:rsidP="00DF0EF9">
            <w:pPr>
              <w:jc w:val="right"/>
              <w:rPr>
                <w:rFonts w:ascii="Times New Roman" w:hAnsi="Times New Roman" w:cs="Times New Roman"/>
                <w:b/>
                <w:bCs/>
                <w:color w:val="000000"/>
                <w:sz w:val="14"/>
                <w:szCs w:val="14"/>
                <w:highlight w:val="yellow"/>
                <w:lang w:eastAsia="sk-SK"/>
              </w:rPr>
            </w:pPr>
            <w:r w:rsidRPr="005665A8">
              <w:rPr>
                <w:rFonts w:ascii="Times New Roman" w:hAnsi="Times New Roman" w:cs="Times New Roman"/>
                <w:b/>
                <w:bCs/>
                <w:color w:val="000000"/>
                <w:sz w:val="14"/>
                <w:szCs w:val="14"/>
              </w:rPr>
              <w:t>61 631</w:t>
            </w:r>
          </w:p>
        </w:tc>
        <w:tc>
          <w:tcPr>
            <w:tcW w:w="517" w:type="pct"/>
            <w:shd w:val="clear" w:color="auto" w:fill="BFBFBF" w:themeFill="background1" w:themeFillShade="BF"/>
            <w:vAlign w:val="center"/>
          </w:tcPr>
          <w:p w:rsidR="002B3068" w:rsidRPr="005665A8" w:rsidRDefault="002B3068" w:rsidP="00DF0EF9">
            <w:pPr>
              <w:jc w:val="right"/>
              <w:rPr>
                <w:rFonts w:ascii="Times New Roman" w:hAnsi="Times New Roman" w:cs="Times New Roman"/>
                <w:b/>
                <w:bCs/>
                <w:color w:val="000000"/>
                <w:sz w:val="14"/>
                <w:szCs w:val="14"/>
                <w:highlight w:val="yellow"/>
              </w:rPr>
            </w:pPr>
            <w:r w:rsidRPr="005665A8">
              <w:rPr>
                <w:rFonts w:ascii="Times New Roman" w:hAnsi="Times New Roman" w:cs="Times New Roman"/>
                <w:b/>
                <w:bCs/>
                <w:color w:val="000000"/>
                <w:sz w:val="14"/>
                <w:szCs w:val="14"/>
              </w:rPr>
              <w:t>63 276</w:t>
            </w:r>
          </w:p>
        </w:tc>
        <w:tc>
          <w:tcPr>
            <w:tcW w:w="517" w:type="pct"/>
            <w:shd w:val="clear" w:color="auto" w:fill="BFBFBF" w:themeFill="background1" w:themeFillShade="BF"/>
            <w:vAlign w:val="center"/>
          </w:tcPr>
          <w:p w:rsidR="002B3068" w:rsidRPr="005665A8" w:rsidRDefault="002B3068" w:rsidP="00DF0EF9">
            <w:pPr>
              <w:jc w:val="right"/>
              <w:rPr>
                <w:rFonts w:ascii="Times New Roman" w:hAnsi="Times New Roman" w:cs="Times New Roman"/>
                <w:b/>
                <w:bCs/>
                <w:color w:val="000000"/>
                <w:sz w:val="14"/>
                <w:szCs w:val="14"/>
                <w:highlight w:val="yellow"/>
              </w:rPr>
            </w:pPr>
            <w:r w:rsidRPr="005665A8">
              <w:rPr>
                <w:rFonts w:ascii="Times New Roman" w:hAnsi="Times New Roman" w:cs="Times New Roman"/>
                <w:b/>
                <w:bCs/>
                <w:color w:val="000000"/>
                <w:sz w:val="14"/>
                <w:szCs w:val="14"/>
              </w:rPr>
              <w:t>66 745</w:t>
            </w:r>
          </w:p>
        </w:tc>
        <w:tc>
          <w:tcPr>
            <w:tcW w:w="517" w:type="pct"/>
            <w:shd w:val="clear" w:color="auto" w:fill="BFBFBF" w:themeFill="background1" w:themeFillShade="BF"/>
            <w:vAlign w:val="center"/>
          </w:tcPr>
          <w:p w:rsidR="002B3068" w:rsidRPr="005665A8" w:rsidRDefault="002B3068" w:rsidP="00DF0EF9">
            <w:pPr>
              <w:jc w:val="right"/>
              <w:rPr>
                <w:rFonts w:ascii="Times New Roman" w:hAnsi="Times New Roman" w:cs="Times New Roman"/>
                <w:b/>
                <w:bCs/>
                <w:color w:val="000000"/>
                <w:sz w:val="14"/>
                <w:szCs w:val="14"/>
                <w:highlight w:val="yellow"/>
              </w:rPr>
            </w:pPr>
            <w:r w:rsidRPr="005665A8">
              <w:rPr>
                <w:rFonts w:ascii="Times New Roman" w:hAnsi="Times New Roman" w:cs="Times New Roman"/>
                <w:b/>
                <w:bCs/>
                <w:color w:val="000000"/>
                <w:sz w:val="14"/>
                <w:szCs w:val="14"/>
              </w:rPr>
              <w:t>71 961</w:t>
            </w:r>
          </w:p>
        </w:tc>
        <w:tc>
          <w:tcPr>
            <w:tcW w:w="517" w:type="pct"/>
            <w:shd w:val="clear" w:color="auto" w:fill="BFBFBF" w:themeFill="background1" w:themeFillShade="BF"/>
            <w:vAlign w:val="center"/>
          </w:tcPr>
          <w:p w:rsidR="002B3068" w:rsidRPr="005665A8" w:rsidRDefault="002B3068" w:rsidP="00DF0EF9">
            <w:pPr>
              <w:jc w:val="right"/>
              <w:rPr>
                <w:rFonts w:ascii="Times New Roman" w:hAnsi="Times New Roman" w:cs="Times New Roman"/>
                <w:b/>
                <w:bCs/>
                <w:color w:val="000000"/>
                <w:sz w:val="14"/>
                <w:szCs w:val="14"/>
                <w:highlight w:val="yellow"/>
              </w:rPr>
            </w:pPr>
            <w:r w:rsidRPr="005665A8">
              <w:rPr>
                <w:rFonts w:ascii="Times New Roman" w:hAnsi="Times New Roman" w:cs="Times New Roman"/>
                <w:b/>
                <w:bCs/>
                <w:color w:val="000000"/>
                <w:sz w:val="14"/>
                <w:szCs w:val="14"/>
              </w:rPr>
              <w:t>77 535</w:t>
            </w:r>
          </w:p>
        </w:tc>
        <w:tc>
          <w:tcPr>
            <w:tcW w:w="515" w:type="pct"/>
            <w:shd w:val="clear" w:color="auto" w:fill="BFBFBF" w:themeFill="background1" w:themeFillShade="BF"/>
            <w:vAlign w:val="center"/>
          </w:tcPr>
          <w:p w:rsidR="002B3068" w:rsidRPr="005665A8" w:rsidRDefault="002B3068" w:rsidP="00DF0EF9">
            <w:pPr>
              <w:jc w:val="right"/>
              <w:rPr>
                <w:rFonts w:ascii="Times New Roman" w:hAnsi="Times New Roman" w:cs="Times New Roman"/>
                <w:b/>
                <w:bCs/>
                <w:color w:val="000000"/>
                <w:sz w:val="14"/>
                <w:szCs w:val="14"/>
                <w:highlight w:val="yellow"/>
              </w:rPr>
            </w:pPr>
            <w:r w:rsidRPr="005665A8">
              <w:rPr>
                <w:rFonts w:ascii="Times New Roman" w:hAnsi="Times New Roman" w:cs="Times New Roman"/>
                <w:b/>
                <w:bCs/>
                <w:color w:val="000000"/>
                <w:sz w:val="14"/>
                <w:szCs w:val="14"/>
              </w:rPr>
              <w:t>83 378</w:t>
            </w:r>
          </w:p>
        </w:tc>
      </w:tr>
      <w:tr w:rsidR="002B3068" w:rsidRPr="00886A7F" w:rsidTr="00DF0EF9">
        <w:trPr>
          <w:trHeight w:val="284"/>
        </w:trPr>
        <w:tc>
          <w:tcPr>
            <w:tcW w:w="1900" w:type="pct"/>
            <w:shd w:val="clear" w:color="auto" w:fill="auto"/>
            <w:vAlign w:val="center"/>
            <w:hideMark/>
          </w:tcPr>
          <w:p w:rsidR="002B3068" w:rsidRPr="005665A8" w:rsidRDefault="002B3068" w:rsidP="00DF0EF9">
            <w:pPr>
              <w:rPr>
                <w:rFonts w:ascii="Times New Roman" w:hAnsi="Times New Roman" w:cs="Times New Roman"/>
                <w:sz w:val="14"/>
                <w:szCs w:val="14"/>
                <w:lang w:val="en-US" w:eastAsia="en-US"/>
              </w:rPr>
            </w:pPr>
            <w:r w:rsidRPr="005665A8">
              <w:rPr>
                <w:rFonts w:ascii="Times New Roman" w:hAnsi="Times New Roman" w:cs="Times New Roman"/>
                <w:sz w:val="14"/>
                <w:szCs w:val="14"/>
                <w:lang w:eastAsia="en-US"/>
              </w:rPr>
              <w:t xml:space="preserve">     Prevod na VPÚ z DPFO</w:t>
            </w:r>
          </w:p>
        </w:tc>
        <w:tc>
          <w:tcPr>
            <w:tcW w:w="517" w:type="pct"/>
            <w:shd w:val="clear" w:color="auto" w:fill="auto"/>
            <w:vAlign w:val="center"/>
          </w:tcPr>
          <w:p w:rsidR="002B3068" w:rsidRPr="005665A8" w:rsidRDefault="002B3068" w:rsidP="00DF0EF9">
            <w:pPr>
              <w:jc w:val="right"/>
              <w:rPr>
                <w:rFonts w:ascii="Times New Roman" w:hAnsi="Times New Roman" w:cs="Times New Roman"/>
                <w:color w:val="000000"/>
                <w:sz w:val="14"/>
                <w:szCs w:val="14"/>
                <w:highlight w:val="yellow"/>
              </w:rPr>
            </w:pPr>
            <w:r w:rsidRPr="005665A8">
              <w:rPr>
                <w:rFonts w:ascii="Times New Roman" w:hAnsi="Times New Roman" w:cs="Times New Roman"/>
                <w:color w:val="000000"/>
                <w:sz w:val="14"/>
                <w:szCs w:val="14"/>
              </w:rPr>
              <w:t>27 175</w:t>
            </w:r>
          </w:p>
        </w:tc>
        <w:tc>
          <w:tcPr>
            <w:tcW w:w="517" w:type="pct"/>
            <w:shd w:val="clear" w:color="auto" w:fill="auto"/>
            <w:vAlign w:val="center"/>
          </w:tcPr>
          <w:p w:rsidR="002B3068" w:rsidRPr="005665A8" w:rsidRDefault="002B3068" w:rsidP="00DF0EF9">
            <w:pPr>
              <w:jc w:val="right"/>
              <w:rPr>
                <w:rFonts w:ascii="Times New Roman" w:hAnsi="Times New Roman" w:cs="Times New Roman"/>
                <w:color w:val="000000"/>
                <w:sz w:val="14"/>
                <w:szCs w:val="14"/>
                <w:highlight w:val="yellow"/>
              </w:rPr>
            </w:pPr>
            <w:r w:rsidRPr="005665A8">
              <w:rPr>
                <w:rFonts w:ascii="Times New Roman" w:hAnsi="Times New Roman" w:cs="Times New Roman"/>
                <w:color w:val="000000"/>
                <w:sz w:val="14"/>
                <w:szCs w:val="14"/>
              </w:rPr>
              <w:t>30 173</w:t>
            </w:r>
          </w:p>
        </w:tc>
        <w:tc>
          <w:tcPr>
            <w:tcW w:w="517" w:type="pct"/>
            <w:shd w:val="clear" w:color="auto" w:fill="auto"/>
            <w:vAlign w:val="center"/>
          </w:tcPr>
          <w:p w:rsidR="002B3068" w:rsidRPr="005665A8" w:rsidRDefault="002B3068" w:rsidP="00DF0EF9">
            <w:pPr>
              <w:jc w:val="right"/>
              <w:rPr>
                <w:rFonts w:ascii="Times New Roman" w:hAnsi="Times New Roman" w:cs="Times New Roman"/>
                <w:color w:val="000000"/>
                <w:sz w:val="14"/>
                <w:szCs w:val="14"/>
                <w:highlight w:val="yellow"/>
              </w:rPr>
            </w:pPr>
            <w:r w:rsidRPr="005665A8">
              <w:rPr>
                <w:rFonts w:ascii="Times New Roman" w:hAnsi="Times New Roman" w:cs="Times New Roman"/>
                <w:color w:val="000000"/>
                <w:sz w:val="14"/>
                <w:szCs w:val="14"/>
              </w:rPr>
              <w:t>33 565</w:t>
            </w:r>
          </w:p>
        </w:tc>
        <w:tc>
          <w:tcPr>
            <w:tcW w:w="517" w:type="pct"/>
            <w:shd w:val="clear" w:color="auto" w:fill="auto"/>
            <w:vAlign w:val="center"/>
          </w:tcPr>
          <w:p w:rsidR="002B3068" w:rsidRPr="005665A8" w:rsidRDefault="002B3068" w:rsidP="00DF0EF9">
            <w:pPr>
              <w:jc w:val="right"/>
              <w:rPr>
                <w:rFonts w:ascii="Times New Roman" w:hAnsi="Times New Roman" w:cs="Times New Roman"/>
                <w:color w:val="000000"/>
                <w:sz w:val="14"/>
                <w:szCs w:val="14"/>
                <w:highlight w:val="yellow"/>
              </w:rPr>
            </w:pPr>
            <w:r w:rsidRPr="005665A8">
              <w:rPr>
                <w:rFonts w:ascii="Times New Roman" w:hAnsi="Times New Roman" w:cs="Times New Roman"/>
                <w:color w:val="000000"/>
                <w:sz w:val="14"/>
                <w:szCs w:val="14"/>
              </w:rPr>
              <w:t>38 384</w:t>
            </w:r>
          </w:p>
        </w:tc>
        <w:tc>
          <w:tcPr>
            <w:tcW w:w="517" w:type="pct"/>
            <w:shd w:val="clear" w:color="auto" w:fill="auto"/>
            <w:vAlign w:val="center"/>
          </w:tcPr>
          <w:p w:rsidR="002B3068" w:rsidRPr="005665A8" w:rsidRDefault="002B3068" w:rsidP="00DF0EF9">
            <w:pPr>
              <w:jc w:val="right"/>
              <w:rPr>
                <w:rFonts w:ascii="Times New Roman" w:hAnsi="Times New Roman" w:cs="Times New Roman"/>
                <w:color w:val="000000"/>
                <w:sz w:val="14"/>
                <w:szCs w:val="14"/>
                <w:highlight w:val="yellow"/>
              </w:rPr>
            </w:pPr>
            <w:r w:rsidRPr="005665A8">
              <w:rPr>
                <w:rFonts w:ascii="Times New Roman" w:hAnsi="Times New Roman" w:cs="Times New Roman"/>
                <w:color w:val="000000"/>
                <w:sz w:val="14"/>
                <w:szCs w:val="14"/>
              </w:rPr>
              <w:t>42 010</w:t>
            </w:r>
          </w:p>
        </w:tc>
        <w:tc>
          <w:tcPr>
            <w:tcW w:w="515" w:type="pct"/>
            <w:shd w:val="clear" w:color="auto" w:fill="auto"/>
            <w:vAlign w:val="center"/>
          </w:tcPr>
          <w:p w:rsidR="002B3068" w:rsidRPr="005665A8" w:rsidRDefault="002B3068" w:rsidP="00DF0EF9">
            <w:pPr>
              <w:jc w:val="right"/>
              <w:rPr>
                <w:rFonts w:ascii="Times New Roman" w:hAnsi="Times New Roman" w:cs="Times New Roman"/>
                <w:color w:val="000000"/>
                <w:sz w:val="14"/>
                <w:szCs w:val="14"/>
                <w:highlight w:val="yellow"/>
              </w:rPr>
            </w:pPr>
            <w:r w:rsidRPr="005665A8">
              <w:rPr>
                <w:rFonts w:ascii="Times New Roman" w:hAnsi="Times New Roman" w:cs="Times New Roman"/>
                <w:color w:val="000000"/>
                <w:sz w:val="14"/>
                <w:szCs w:val="14"/>
              </w:rPr>
              <w:t>46 301</w:t>
            </w:r>
          </w:p>
        </w:tc>
      </w:tr>
      <w:tr w:rsidR="002B3068" w:rsidRPr="00886A7F" w:rsidTr="00DF0EF9">
        <w:trPr>
          <w:trHeight w:val="284"/>
        </w:trPr>
        <w:tc>
          <w:tcPr>
            <w:tcW w:w="1900" w:type="pct"/>
            <w:shd w:val="clear" w:color="auto" w:fill="auto"/>
            <w:vAlign w:val="center"/>
            <w:hideMark/>
          </w:tcPr>
          <w:p w:rsidR="002B3068" w:rsidRPr="005665A8" w:rsidRDefault="002B3068" w:rsidP="00DF0EF9">
            <w:pPr>
              <w:rPr>
                <w:rFonts w:ascii="Times New Roman" w:hAnsi="Times New Roman" w:cs="Times New Roman"/>
                <w:sz w:val="14"/>
                <w:szCs w:val="14"/>
                <w:lang w:val="en-US" w:eastAsia="en-US"/>
              </w:rPr>
            </w:pPr>
            <w:r w:rsidRPr="005665A8">
              <w:rPr>
                <w:rFonts w:ascii="Times New Roman" w:hAnsi="Times New Roman" w:cs="Times New Roman"/>
                <w:sz w:val="14"/>
                <w:szCs w:val="14"/>
                <w:lang w:eastAsia="en-US"/>
              </w:rPr>
              <w:t xml:space="preserve">     Prevod na VPÚ z DPPO</w:t>
            </w:r>
          </w:p>
        </w:tc>
        <w:tc>
          <w:tcPr>
            <w:tcW w:w="517" w:type="pct"/>
            <w:shd w:val="clear" w:color="auto" w:fill="auto"/>
            <w:vAlign w:val="center"/>
          </w:tcPr>
          <w:p w:rsidR="002B3068" w:rsidRPr="005665A8" w:rsidRDefault="002B3068" w:rsidP="00DF0EF9">
            <w:pPr>
              <w:jc w:val="right"/>
              <w:rPr>
                <w:rFonts w:ascii="Times New Roman" w:hAnsi="Times New Roman" w:cs="Times New Roman"/>
                <w:color w:val="000000"/>
                <w:sz w:val="14"/>
                <w:szCs w:val="14"/>
                <w:highlight w:val="yellow"/>
              </w:rPr>
            </w:pPr>
            <w:r w:rsidRPr="005665A8">
              <w:rPr>
                <w:rFonts w:ascii="Times New Roman" w:hAnsi="Times New Roman" w:cs="Times New Roman"/>
                <w:color w:val="000000"/>
                <w:sz w:val="14"/>
                <w:szCs w:val="14"/>
              </w:rPr>
              <w:t>34 456</w:t>
            </w:r>
          </w:p>
        </w:tc>
        <w:tc>
          <w:tcPr>
            <w:tcW w:w="517" w:type="pct"/>
            <w:shd w:val="clear" w:color="auto" w:fill="auto"/>
            <w:vAlign w:val="center"/>
          </w:tcPr>
          <w:p w:rsidR="002B3068" w:rsidRPr="005665A8" w:rsidRDefault="002B3068" w:rsidP="00DF0EF9">
            <w:pPr>
              <w:jc w:val="right"/>
              <w:rPr>
                <w:rFonts w:ascii="Times New Roman" w:hAnsi="Times New Roman" w:cs="Times New Roman"/>
                <w:color w:val="000000"/>
                <w:sz w:val="14"/>
                <w:szCs w:val="14"/>
                <w:highlight w:val="yellow"/>
              </w:rPr>
            </w:pPr>
            <w:r w:rsidRPr="005665A8">
              <w:rPr>
                <w:rFonts w:ascii="Times New Roman" w:hAnsi="Times New Roman" w:cs="Times New Roman"/>
                <w:color w:val="000000"/>
                <w:sz w:val="14"/>
                <w:szCs w:val="14"/>
              </w:rPr>
              <w:t>33 103</w:t>
            </w:r>
          </w:p>
        </w:tc>
        <w:tc>
          <w:tcPr>
            <w:tcW w:w="517" w:type="pct"/>
            <w:shd w:val="clear" w:color="auto" w:fill="auto"/>
            <w:vAlign w:val="center"/>
          </w:tcPr>
          <w:p w:rsidR="002B3068" w:rsidRPr="005665A8" w:rsidRDefault="002B3068" w:rsidP="00DF0EF9">
            <w:pPr>
              <w:jc w:val="right"/>
              <w:rPr>
                <w:rFonts w:ascii="Times New Roman" w:hAnsi="Times New Roman" w:cs="Times New Roman"/>
                <w:color w:val="000000"/>
                <w:sz w:val="14"/>
                <w:szCs w:val="14"/>
                <w:highlight w:val="yellow"/>
              </w:rPr>
            </w:pPr>
            <w:r w:rsidRPr="005665A8">
              <w:rPr>
                <w:rFonts w:ascii="Times New Roman" w:hAnsi="Times New Roman" w:cs="Times New Roman"/>
                <w:color w:val="000000"/>
                <w:sz w:val="14"/>
                <w:szCs w:val="14"/>
              </w:rPr>
              <w:t>33 180</w:t>
            </w:r>
          </w:p>
        </w:tc>
        <w:tc>
          <w:tcPr>
            <w:tcW w:w="517" w:type="pct"/>
            <w:shd w:val="clear" w:color="auto" w:fill="auto"/>
            <w:vAlign w:val="center"/>
          </w:tcPr>
          <w:p w:rsidR="002B3068" w:rsidRPr="005665A8" w:rsidRDefault="002B3068" w:rsidP="00DF0EF9">
            <w:pPr>
              <w:jc w:val="right"/>
              <w:rPr>
                <w:rFonts w:ascii="Times New Roman" w:hAnsi="Times New Roman" w:cs="Times New Roman"/>
                <w:color w:val="000000"/>
                <w:sz w:val="14"/>
                <w:szCs w:val="14"/>
                <w:highlight w:val="yellow"/>
              </w:rPr>
            </w:pPr>
            <w:r w:rsidRPr="005665A8">
              <w:rPr>
                <w:rFonts w:ascii="Times New Roman" w:hAnsi="Times New Roman" w:cs="Times New Roman"/>
                <w:color w:val="000000"/>
                <w:sz w:val="14"/>
                <w:szCs w:val="14"/>
              </w:rPr>
              <w:t>33 577</w:t>
            </w:r>
          </w:p>
        </w:tc>
        <w:tc>
          <w:tcPr>
            <w:tcW w:w="517" w:type="pct"/>
            <w:shd w:val="clear" w:color="auto" w:fill="auto"/>
            <w:vAlign w:val="center"/>
          </w:tcPr>
          <w:p w:rsidR="002B3068" w:rsidRPr="005665A8" w:rsidRDefault="002B3068" w:rsidP="00DF0EF9">
            <w:pPr>
              <w:jc w:val="right"/>
              <w:rPr>
                <w:rFonts w:ascii="Times New Roman" w:hAnsi="Times New Roman" w:cs="Times New Roman"/>
                <w:color w:val="000000"/>
                <w:sz w:val="14"/>
                <w:szCs w:val="14"/>
                <w:highlight w:val="yellow"/>
              </w:rPr>
            </w:pPr>
            <w:r w:rsidRPr="005665A8">
              <w:rPr>
                <w:rFonts w:ascii="Times New Roman" w:hAnsi="Times New Roman" w:cs="Times New Roman"/>
                <w:color w:val="000000"/>
                <w:sz w:val="14"/>
                <w:szCs w:val="14"/>
              </w:rPr>
              <w:t>35 525</w:t>
            </w:r>
          </w:p>
        </w:tc>
        <w:tc>
          <w:tcPr>
            <w:tcW w:w="515" w:type="pct"/>
            <w:shd w:val="clear" w:color="auto" w:fill="auto"/>
            <w:vAlign w:val="center"/>
          </w:tcPr>
          <w:p w:rsidR="002B3068" w:rsidRPr="005665A8" w:rsidRDefault="002B3068" w:rsidP="00DF0EF9">
            <w:pPr>
              <w:jc w:val="right"/>
              <w:rPr>
                <w:rFonts w:ascii="Times New Roman" w:hAnsi="Times New Roman" w:cs="Times New Roman"/>
                <w:color w:val="000000"/>
                <w:sz w:val="14"/>
                <w:szCs w:val="14"/>
                <w:highlight w:val="yellow"/>
              </w:rPr>
            </w:pPr>
            <w:r w:rsidRPr="005665A8">
              <w:rPr>
                <w:rFonts w:ascii="Times New Roman" w:hAnsi="Times New Roman" w:cs="Times New Roman"/>
                <w:color w:val="000000"/>
                <w:sz w:val="14"/>
                <w:szCs w:val="14"/>
              </w:rPr>
              <w:t>37 077</w:t>
            </w:r>
          </w:p>
        </w:tc>
      </w:tr>
    </w:tbl>
    <w:p w:rsidR="002B3068" w:rsidRPr="00886A7F" w:rsidRDefault="002B3068" w:rsidP="002B3068">
      <w:pPr>
        <w:pStyle w:val="Default"/>
        <w:spacing w:before="3"/>
        <w:ind w:firstLine="708"/>
        <w:jc w:val="both"/>
        <w:rPr>
          <w:rFonts w:ascii="Times New Roman" w:hAnsi="Times New Roman" w:cs="Times New Roman"/>
          <w:color w:val="FF0000"/>
          <w:highlight w:val="yellow"/>
        </w:rPr>
      </w:pPr>
    </w:p>
    <w:p w:rsidR="002B3068" w:rsidRPr="008A19F5" w:rsidRDefault="002B3068" w:rsidP="002B3068">
      <w:pPr>
        <w:ind w:firstLine="708"/>
        <w:jc w:val="both"/>
        <w:rPr>
          <w:rFonts w:ascii="Times New Roman" w:hAnsi="Times New Roman" w:cs="Times New Roman"/>
          <w:bCs/>
        </w:rPr>
      </w:pPr>
      <w:r w:rsidRPr="008A19F5">
        <w:rPr>
          <w:rFonts w:ascii="Times New Roman" w:hAnsi="Times New Roman" w:cs="Times New Roman"/>
          <w:bCs/>
        </w:rPr>
        <w:t xml:space="preserve">Daňové kredity majú neutrálny vplyv na akruálny výnos dane z príjmu fyzických osôb, pričom však znižujú hotovostné plnenie. Nulový akruálny vplyv na DPFO je dôsledkom účtovania v metodike ESA 2010. </w:t>
      </w:r>
    </w:p>
    <w:p w:rsidR="002B3068" w:rsidRPr="008A19F5" w:rsidRDefault="002B3068" w:rsidP="002B3068">
      <w:pPr>
        <w:ind w:firstLine="708"/>
        <w:jc w:val="both"/>
        <w:rPr>
          <w:rFonts w:ascii="Times New Roman" w:hAnsi="Times New Roman" w:cs="Times New Roman"/>
          <w:bCs/>
        </w:rPr>
      </w:pPr>
    </w:p>
    <w:p w:rsidR="002B3068" w:rsidRPr="008A19F5" w:rsidRDefault="002B3068" w:rsidP="002B3068">
      <w:pPr>
        <w:ind w:firstLine="708"/>
        <w:jc w:val="both"/>
        <w:rPr>
          <w:rFonts w:ascii="Times New Roman" w:hAnsi="Times New Roman" w:cs="Times New Roman"/>
          <w:bCs/>
        </w:rPr>
      </w:pPr>
      <w:r w:rsidRPr="008A19F5">
        <w:rPr>
          <w:rFonts w:ascii="Times New Roman" w:hAnsi="Times New Roman" w:cs="Times New Roman"/>
          <w:bCs/>
        </w:rPr>
        <w:t>Oproti rozpočtu verejnej správy na roky 2018 až 2020 dochádza k nárastu daňových kreditov. Aktualizácia počtu detí s nárokom na daňový bonus a makroekonomické predpoklady zvyšujú daňový bonus na deti. Pozitívny vplyv na kumulatívnu sumu daňových kreditov má aj zavedenie daňového bonusu na hypotéky od roku 2018.</w:t>
      </w:r>
    </w:p>
    <w:p w:rsidR="002B3068" w:rsidRPr="00886A7F" w:rsidRDefault="002B3068" w:rsidP="002B3068">
      <w:pPr>
        <w:jc w:val="both"/>
        <w:rPr>
          <w:rFonts w:ascii="Times New Roman" w:hAnsi="Times New Roman" w:cs="Times New Roman"/>
          <w:bCs/>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88"/>
        <w:gridCol w:w="879"/>
        <w:gridCol w:w="879"/>
        <w:gridCol w:w="879"/>
        <w:gridCol w:w="879"/>
        <w:gridCol w:w="879"/>
        <w:gridCol w:w="879"/>
      </w:tblGrid>
      <w:tr w:rsidR="002B3068" w:rsidRPr="00886A7F" w:rsidTr="00DF0EF9">
        <w:trPr>
          <w:trHeight w:val="270"/>
        </w:trPr>
        <w:tc>
          <w:tcPr>
            <w:tcW w:w="5000" w:type="pct"/>
            <w:gridSpan w:val="7"/>
            <w:shd w:val="clear" w:color="auto" w:fill="A6A6A6" w:themeFill="background1" w:themeFillShade="A6"/>
            <w:noWrap/>
            <w:vAlign w:val="center"/>
          </w:tcPr>
          <w:p w:rsidR="002B3068" w:rsidRPr="005665A8" w:rsidRDefault="002B3068" w:rsidP="00DF0EF9">
            <w:pPr>
              <w:rPr>
                <w:rFonts w:ascii="Times New Roman" w:hAnsi="Times New Roman" w:cs="Times New Roman"/>
                <w:b/>
                <w:bCs/>
                <w:sz w:val="14"/>
                <w:szCs w:val="14"/>
                <w:lang w:eastAsia="en-US"/>
              </w:rPr>
            </w:pPr>
            <w:r w:rsidRPr="005665A8">
              <w:rPr>
                <w:rFonts w:ascii="Times New Roman" w:hAnsi="Times New Roman" w:cs="Times New Roman"/>
                <w:b/>
                <w:bCs/>
                <w:sz w:val="14"/>
                <w:szCs w:val="14"/>
                <w:lang w:eastAsia="en-US"/>
              </w:rPr>
              <w:t>Vplyv daňových kreditov na rozpočet (ESA 2010, v tis. eur)</w:t>
            </w:r>
          </w:p>
        </w:tc>
      </w:tr>
      <w:tr w:rsidR="002B3068" w:rsidRPr="00886A7F" w:rsidTr="00DF0EF9">
        <w:trPr>
          <w:trHeight w:val="270"/>
        </w:trPr>
        <w:tc>
          <w:tcPr>
            <w:tcW w:w="2090" w:type="pct"/>
            <w:shd w:val="clear" w:color="auto" w:fill="BFBFBF" w:themeFill="background1" w:themeFillShade="BF"/>
            <w:noWrap/>
            <w:vAlign w:val="center"/>
          </w:tcPr>
          <w:p w:rsidR="002B3068" w:rsidRPr="005665A8" w:rsidRDefault="002B3068" w:rsidP="00DF0EF9">
            <w:pPr>
              <w:ind w:firstLineChars="600" w:firstLine="843"/>
              <w:rPr>
                <w:rFonts w:ascii="Times New Roman" w:hAnsi="Times New Roman" w:cs="Times New Roman"/>
                <w:b/>
                <w:bCs/>
                <w:sz w:val="14"/>
                <w:szCs w:val="14"/>
                <w:lang w:eastAsia="sk-SK"/>
              </w:rPr>
            </w:pPr>
          </w:p>
        </w:tc>
        <w:tc>
          <w:tcPr>
            <w:tcW w:w="485" w:type="pct"/>
            <w:shd w:val="clear" w:color="auto" w:fill="BFBFBF" w:themeFill="background1" w:themeFillShade="BF"/>
            <w:noWrap/>
            <w:vAlign w:val="center"/>
          </w:tcPr>
          <w:p w:rsidR="002B3068" w:rsidRPr="005665A8" w:rsidRDefault="002B3068" w:rsidP="00DF0EF9">
            <w:pPr>
              <w:jc w:val="center"/>
              <w:rPr>
                <w:rFonts w:ascii="Times New Roman" w:hAnsi="Times New Roman" w:cs="Times New Roman"/>
                <w:b/>
                <w:bCs/>
                <w:color w:val="000000"/>
                <w:sz w:val="14"/>
                <w:szCs w:val="14"/>
                <w:highlight w:val="yellow"/>
                <w:lang w:eastAsia="sk-SK"/>
              </w:rPr>
            </w:pPr>
            <w:r w:rsidRPr="005665A8">
              <w:rPr>
                <w:rFonts w:ascii="Times New Roman" w:hAnsi="Times New Roman" w:cs="Times New Roman"/>
                <w:b/>
                <w:bCs/>
                <w:color w:val="000000"/>
                <w:sz w:val="14"/>
                <w:szCs w:val="14"/>
              </w:rPr>
              <w:t>2016 S</w:t>
            </w:r>
          </w:p>
        </w:tc>
        <w:tc>
          <w:tcPr>
            <w:tcW w:w="485" w:type="pct"/>
            <w:shd w:val="clear" w:color="auto" w:fill="BFBFBF" w:themeFill="background1" w:themeFillShade="BF"/>
            <w:noWrap/>
            <w:vAlign w:val="center"/>
          </w:tcPr>
          <w:p w:rsidR="002B3068" w:rsidRPr="005665A8" w:rsidRDefault="002B3068" w:rsidP="00DF0EF9">
            <w:pPr>
              <w:jc w:val="center"/>
              <w:rPr>
                <w:rFonts w:ascii="Times New Roman" w:hAnsi="Times New Roman" w:cs="Times New Roman"/>
                <w:b/>
                <w:bCs/>
                <w:color w:val="000000"/>
                <w:sz w:val="14"/>
                <w:szCs w:val="14"/>
                <w:highlight w:val="yellow"/>
              </w:rPr>
            </w:pPr>
            <w:r w:rsidRPr="005665A8">
              <w:rPr>
                <w:rFonts w:ascii="Times New Roman" w:hAnsi="Times New Roman" w:cs="Times New Roman"/>
                <w:b/>
                <w:bCs/>
                <w:sz w:val="14"/>
                <w:szCs w:val="14"/>
              </w:rPr>
              <w:t>2017</w:t>
            </w:r>
          </w:p>
        </w:tc>
        <w:tc>
          <w:tcPr>
            <w:tcW w:w="485" w:type="pct"/>
            <w:shd w:val="clear" w:color="auto" w:fill="BFBFBF" w:themeFill="background1" w:themeFillShade="BF"/>
            <w:noWrap/>
            <w:vAlign w:val="center"/>
          </w:tcPr>
          <w:p w:rsidR="002B3068" w:rsidRPr="005665A8" w:rsidRDefault="002B3068" w:rsidP="00DF0EF9">
            <w:pPr>
              <w:jc w:val="center"/>
              <w:rPr>
                <w:rFonts w:ascii="Times New Roman" w:hAnsi="Times New Roman" w:cs="Times New Roman"/>
                <w:b/>
                <w:bCs/>
                <w:sz w:val="14"/>
                <w:szCs w:val="14"/>
                <w:highlight w:val="yellow"/>
              </w:rPr>
            </w:pPr>
            <w:r w:rsidRPr="005665A8">
              <w:rPr>
                <w:rFonts w:ascii="Times New Roman" w:hAnsi="Times New Roman" w:cs="Times New Roman"/>
                <w:b/>
                <w:bCs/>
                <w:sz w:val="14"/>
                <w:szCs w:val="14"/>
              </w:rPr>
              <w:t>2018</w:t>
            </w:r>
          </w:p>
        </w:tc>
        <w:tc>
          <w:tcPr>
            <w:tcW w:w="485" w:type="pct"/>
            <w:shd w:val="clear" w:color="auto" w:fill="BFBFBF" w:themeFill="background1" w:themeFillShade="BF"/>
            <w:noWrap/>
            <w:vAlign w:val="center"/>
          </w:tcPr>
          <w:p w:rsidR="002B3068" w:rsidRPr="005665A8" w:rsidRDefault="002B3068" w:rsidP="00DF0EF9">
            <w:pPr>
              <w:jc w:val="center"/>
              <w:rPr>
                <w:rFonts w:ascii="Times New Roman" w:hAnsi="Times New Roman" w:cs="Times New Roman"/>
                <w:b/>
                <w:bCs/>
                <w:sz w:val="14"/>
                <w:szCs w:val="14"/>
                <w:highlight w:val="yellow"/>
              </w:rPr>
            </w:pPr>
            <w:r w:rsidRPr="005665A8">
              <w:rPr>
                <w:rFonts w:ascii="Times New Roman" w:hAnsi="Times New Roman" w:cs="Times New Roman"/>
                <w:b/>
                <w:bCs/>
                <w:sz w:val="14"/>
                <w:szCs w:val="14"/>
              </w:rPr>
              <w:t>2019</w:t>
            </w:r>
          </w:p>
        </w:tc>
        <w:tc>
          <w:tcPr>
            <w:tcW w:w="485" w:type="pct"/>
            <w:shd w:val="clear" w:color="auto" w:fill="BFBFBF" w:themeFill="background1" w:themeFillShade="BF"/>
            <w:noWrap/>
            <w:vAlign w:val="center"/>
          </w:tcPr>
          <w:p w:rsidR="002B3068" w:rsidRPr="005665A8" w:rsidRDefault="002B3068" w:rsidP="00DF0EF9">
            <w:pPr>
              <w:jc w:val="center"/>
              <w:rPr>
                <w:rFonts w:ascii="Times New Roman" w:hAnsi="Times New Roman" w:cs="Times New Roman"/>
                <w:b/>
                <w:bCs/>
                <w:sz w:val="14"/>
                <w:szCs w:val="14"/>
                <w:highlight w:val="yellow"/>
              </w:rPr>
            </w:pPr>
            <w:r w:rsidRPr="005665A8">
              <w:rPr>
                <w:rFonts w:ascii="Times New Roman" w:hAnsi="Times New Roman" w:cs="Times New Roman"/>
                <w:b/>
                <w:bCs/>
                <w:sz w:val="14"/>
                <w:szCs w:val="14"/>
              </w:rPr>
              <w:t>2020</w:t>
            </w:r>
          </w:p>
        </w:tc>
        <w:tc>
          <w:tcPr>
            <w:tcW w:w="485" w:type="pct"/>
            <w:shd w:val="clear" w:color="auto" w:fill="BFBFBF" w:themeFill="background1" w:themeFillShade="BF"/>
            <w:noWrap/>
            <w:vAlign w:val="center"/>
          </w:tcPr>
          <w:p w:rsidR="002B3068" w:rsidRPr="005665A8" w:rsidRDefault="002B3068" w:rsidP="00DF0EF9">
            <w:pPr>
              <w:jc w:val="center"/>
              <w:rPr>
                <w:rFonts w:ascii="Times New Roman" w:hAnsi="Times New Roman" w:cs="Times New Roman"/>
                <w:b/>
                <w:bCs/>
                <w:sz w:val="14"/>
                <w:szCs w:val="14"/>
                <w:highlight w:val="yellow"/>
              </w:rPr>
            </w:pPr>
            <w:r w:rsidRPr="005665A8">
              <w:rPr>
                <w:rFonts w:ascii="Times New Roman" w:hAnsi="Times New Roman" w:cs="Times New Roman"/>
                <w:b/>
                <w:bCs/>
                <w:sz w:val="14"/>
                <w:szCs w:val="14"/>
              </w:rPr>
              <w:t>2021</w:t>
            </w:r>
          </w:p>
        </w:tc>
      </w:tr>
      <w:tr w:rsidR="002B3068" w:rsidRPr="00886A7F" w:rsidTr="00DF0EF9">
        <w:trPr>
          <w:trHeight w:val="270"/>
        </w:trPr>
        <w:tc>
          <w:tcPr>
            <w:tcW w:w="2090" w:type="pct"/>
            <w:shd w:val="clear" w:color="auto" w:fill="BFBFBF" w:themeFill="background1" w:themeFillShade="BF"/>
            <w:noWrap/>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en-US"/>
              </w:rPr>
              <w:t>Daňové kredity spolu</w:t>
            </w:r>
          </w:p>
        </w:tc>
        <w:tc>
          <w:tcPr>
            <w:tcW w:w="485" w:type="pct"/>
            <w:shd w:val="clear" w:color="auto" w:fill="BFBFBF" w:themeFill="background1" w:themeFillShade="BF"/>
            <w:noWrap/>
            <w:vAlign w:val="center"/>
          </w:tcPr>
          <w:p w:rsidR="002B3068" w:rsidRPr="005665A8" w:rsidRDefault="002B3068" w:rsidP="00DF0EF9">
            <w:pPr>
              <w:jc w:val="right"/>
              <w:rPr>
                <w:rFonts w:ascii="Times New Roman" w:hAnsi="Times New Roman" w:cs="Times New Roman"/>
                <w:b/>
                <w:bCs/>
                <w:sz w:val="14"/>
                <w:szCs w:val="14"/>
                <w:highlight w:val="yellow"/>
                <w:lang w:eastAsia="sk-SK"/>
              </w:rPr>
            </w:pPr>
            <w:r w:rsidRPr="005665A8">
              <w:rPr>
                <w:rFonts w:ascii="Times New Roman" w:hAnsi="Times New Roman" w:cs="Times New Roman"/>
                <w:b/>
                <w:bCs/>
                <w:color w:val="000000"/>
                <w:sz w:val="14"/>
                <w:szCs w:val="14"/>
              </w:rPr>
              <w:t>262 515</w:t>
            </w:r>
          </w:p>
        </w:tc>
        <w:tc>
          <w:tcPr>
            <w:tcW w:w="485" w:type="pct"/>
            <w:shd w:val="clear" w:color="auto" w:fill="BFBFBF" w:themeFill="background1" w:themeFillShade="BF"/>
            <w:noWrap/>
            <w:vAlign w:val="center"/>
          </w:tcPr>
          <w:p w:rsidR="002B3068" w:rsidRPr="005665A8" w:rsidRDefault="002B3068" w:rsidP="00DF0EF9">
            <w:pPr>
              <w:jc w:val="right"/>
              <w:rPr>
                <w:rFonts w:ascii="Times New Roman" w:hAnsi="Times New Roman" w:cs="Times New Roman"/>
                <w:b/>
                <w:bCs/>
                <w:sz w:val="14"/>
                <w:szCs w:val="14"/>
                <w:highlight w:val="yellow"/>
              </w:rPr>
            </w:pPr>
            <w:r w:rsidRPr="005665A8">
              <w:rPr>
                <w:rFonts w:ascii="Times New Roman" w:hAnsi="Times New Roman" w:cs="Times New Roman"/>
                <w:b/>
                <w:bCs/>
                <w:color w:val="000000"/>
                <w:sz w:val="14"/>
                <w:szCs w:val="14"/>
              </w:rPr>
              <w:t>266 312</w:t>
            </w:r>
          </w:p>
        </w:tc>
        <w:tc>
          <w:tcPr>
            <w:tcW w:w="485" w:type="pct"/>
            <w:shd w:val="clear" w:color="auto" w:fill="BFBFBF" w:themeFill="background1" w:themeFillShade="BF"/>
            <w:noWrap/>
            <w:vAlign w:val="center"/>
          </w:tcPr>
          <w:p w:rsidR="002B3068" w:rsidRPr="005665A8" w:rsidRDefault="002B3068" w:rsidP="00DF0EF9">
            <w:pPr>
              <w:jc w:val="right"/>
              <w:rPr>
                <w:rFonts w:ascii="Times New Roman" w:hAnsi="Times New Roman" w:cs="Times New Roman"/>
                <w:b/>
                <w:bCs/>
                <w:sz w:val="14"/>
                <w:szCs w:val="14"/>
                <w:highlight w:val="yellow"/>
              </w:rPr>
            </w:pPr>
            <w:r w:rsidRPr="005665A8">
              <w:rPr>
                <w:rFonts w:ascii="Times New Roman" w:hAnsi="Times New Roman" w:cs="Times New Roman"/>
                <w:b/>
                <w:bCs/>
                <w:color w:val="000000"/>
                <w:sz w:val="14"/>
                <w:szCs w:val="14"/>
              </w:rPr>
              <w:t>269 989</w:t>
            </w:r>
          </w:p>
        </w:tc>
        <w:tc>
          <w:tcPr>
            <w:tcW w:w="485" w:type="pct"/>
            <w:shd w:val="clear" w:color="auto" w:fill="BFBFBF" w:themeFill="background1" w:themeFillShade="BF"/>
            <w:noWrap/>
            <w:vAlign w:val="center"/>
          </w:tcPr>
          <w:p w:rsidR="002B3068" w:rsidRPr="005665A8" w:rsidRDefault="002B3068" w:rsidP="00DF0EF9">
            <w:pPr>
              <w:jc w:val="right"/>
              <w:rPr>
                <w:rFonts w:ascii="Times New Roman" w:hAnsi="Times New Roman" w:cs="Times New Roman"/>
                <w:b/>
                <w:bCs/>
                <w:sz w:val="14"/>
                <w:szCs w:val="14"/>
                <w:highlight w:val="yellow"/>
              </w:rPr>
            </w:pPr>
            <w:r w:rsidRPr="005665A8">
              <w:rPr>
                <w:rFonts w:ascii="Times New Roman" w:hAnsi="Times New Roman" w:cs="Times New Roman"/>
                <w:b/>
                <w:bCs/>
                <w:color w:val="000000"/>
                <w:sz w:val="14"/>
                <w:szCs w:val="14"/>
              </w:rPr>
              <w:t>279 831</w:t>
            </w:r>
          </w:p>
        </w:tc>
        <w:tc>
          <w:tcPr>
            <w:tcW w:w="485" w:type="pct"/>
            <w:shd w:val="clear" w:color="auto" w:fill="BFBFBF" w:themeFill="background1" w:themeFillShade="BF"/>
            <w:noWrap/>
            <w:vAlign w:val="center"/>
          </w:tcPr>
          <w:p w:rsidR="002B3068" w:rsidRPr="005665A8" w:rsidRDefault="002B3068" w:rsidP="00DF0EF9">
            <w:pPr>
              <w:jc w:val="right"/>
              <w:rPr>
                <w:rFonts w:ascii="Times New Roman" w:hAnsi="Times New Roman" w:cs="Times New Roman"/>
                <w:b/>
                <w:bCs/>
                <w:sz w:val="14"/>
                <w:szCs w:val="14"/>
                <w:highlight w:val="yellow"/>
              </w:rPr>
            </w:pPr>
            <w:r w:rsidRPr="005665A8">
              <w:rPr>
                <w:rFonts w:ascii="Times New Roman" w:hAnsi="Times New Roman" w:cs="Times New Roman"/>
                <w:b/>
                <w:bCs/>
                <w:color w:val="000000"/>
                <w:sz w:val="14"/>
                <w:szCs w:val="14"/>
              </w:rPr>
              <w:t>292 380</w:t>
            </w:r>
          </w:p>
        </w:tc>
        <w:tc>
          <w:tcPr>
            <w:tcW w:w="485" w:type="pct"/>
            <w:shd w:val="clear" w:color="auto" w:fill="BFBFBF" w:themeFill="background1" w:themeFillShade="BF"/>
            <w:noWrap/>
            <w:vAlign w:val="center"/>
          </w:tcPr>
          <w:p w:rsidR="002B3068" w:rsidRPr="005665A8" w:rsidRDefault="002B3068" w:rsidP="00DF0EF9">
            <w:pPr>
              <w:jc w:val="right"/>
              <w:rPr>
                <w:rFonts w:ascii="Times New Roman" w:hAnsi="Times New Roman" w:cs="Times New Roman"/>
                <w:b/>
                <w:bCs/>
                <w:sz w:val="14"/>
                <w:szCs w:val="14"/>
                <w:highlight w:val="yellow"/>
              </w:rPr>
            </w:pPr>
            <w:r w:rsidRPr="005665A8">
              <w:rPr>
                <w:rFonts w:ascii="Times New Roman" w:hAnsi="Times New Roman" w:cs="Times New Roman"/>
                <w:b/>
                <w:bCs/>
                <w:color w:val="000000"/>
                <w:sz w:val="14"/>
                <w:szCs w:val="14"/>
              </w:rPr>
              <w:t>305 450</w:t>
            </w:r>
          </w:p>
        </w:tc>
      </w:tr>
      <w:tr w:rsidR="002B3068" w:rsidRPr="00886A7F" w:rsidTr="00DF0EF9">
        <w:trPr>
          <w:trHeight w:val="270"/>
        </w:trPr>
        <w:tc>
          <w:tcPr>
            <w:tcW w:w="2090" w:type="pct"/>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en-US"/>
              </w:rPr>
              <w:t>Zamestnanecká prémia spolu</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11</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2</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0</w:t>
            </w:r>
          </w:p>
        </w:tc>
      </w:tr>
      <w:tr w:rsidR="002B3068" w:rsidRPr="00886A7F" w:rsidTr="00DF0EF9">
        <w:trPr>
          <w:trHeight w:val="270"/>
        </w:trPr>
        <w:tc>
          <w:tcPr>
            <w:tcW w:w="2090" w:type="pct"/>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en-US"/>
              </w:rPr>
            </w:pPr>
            <w:r w:rsidRPr="005665A8">
              <w:rPr>
                <w:rFonts w:ascii="Times New Roman" w:hAnsi="Times New Roman" w:cs="Times New Roman"/>
                <w:sz w:val="14"/>
                <w:szCs w:val="14"/>
                <w:lang w:eastAsia="en-US"/>
              </w:rPr>
              <w:t>DPFO zo závislej činnosti</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11</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2</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0</w:t>
            </w:r>
          </w:p>
        </w:tc>
      </w:tr>
      <w:tr w:rsidR="002B3068" w:rsidRPr="00886A7F" w:rsidTr="00DF0EF9">
        <w:trPr>
          <w:trHeight w:val="270"/>
        </w:trPr>
        <w:tc>
          <w:tcPr>
            <w:tcW w:w="2090" w:type="pct"/>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en-US"/>
              </w:rPr>
            </w:pPr>
            <w:r w:rsidRPr="005665A8">
              <w:rPr>
                <w:rFonts w:ascii="Times New Roman" w:hAnsi="Times New Roman" w:cs="Times New Roman"/>
                <w:sz w:val="14"/>
                <w:szCs w:val="14"/>
                <w:lang w:eastAsia="en-US"/>
              </w:rPr>
              <w:t>DPFO z podnikania</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0</w:t>
            </w:r>
          </w:p>
        </w:tc>
      </w:tr>
      <w:tr w:rsidR="002B3068" w:rsidRPr="00886A7F" w:rsidTr="00DF0EF9">
        <w:trPr>
          <w:trHeight w:val="270"/>
        </w:trPr>
        <w:tc>
          <w:tcPr>
            <w:tcW w:w="2090" w:type="pct"/>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en-US"/>
              </w:rPr>
              <w:t>Daňový bonus spolu</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262 504</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266 310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269 109</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274 568</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280 182</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286 455</w:t>
            </w:r>
          </w:p>
        </w:tc>
      </w:tr>
      <w:tr w:rsidR="002B3068" w:rsidRPr="00886A7F" w:rsidTr="00DF0EF9">
        <w:trPr>
          <w:trHeight w:val="270"/>
        </w:trPr>
        <w:tc>
          <w:tcPr>
            <w:tcW w:w="2090" w:type="pct"/>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en-US"/>
              </w:rPr>
            </w:pPr>
            <w:r w:rsidRPr="005665A8">
              <w:rPr>
                <w:rFonts w:ascii="Times New Roman" w:hAnsi="Times New Roman" w:cs="Times New Roman"/>
                <w:sz w:val="14"/>
                <w:szCs w:val="14"/>
                <w:lang w:eastAsia="en-US"/>
              </w:rPr>
              <w:t>DPFO zo závislej činnosti</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223 238</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226 316</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228 695</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233 334</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238 105</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243 436</w:t>
            </w:r>
          </w:p>
        </w:tc>
      </w:tr>
      <w:tr w:rsidR="002B3068" w:rsidRPr="00886A7F" w:rsidTr="00DF0EF9">
        <w:trPr>
          <w:trHeight w:val="285"/>
        </w:trPr>
        <w:tc>
          <w:tcPr>
            <w:tcW w:w="2090" w:type="pct"/>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en-US"/>
              </w:rPr>
            </w:pPr>
            <w:r w:rsidRPr="005665A8">
              <w:rPr>
                <w:rFonts w:ascii="Times New Roman" w:hAnsi="Times New Roman" w:cs="Times New Roman"/>
                <w:sz w:val="14"/>
                <w:szCs w:val="14"/>
                <w:lang w:eastAsia="en-US"/>
              </w:rPr>
              <w:t>DPFO z podnikania</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39 266</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39 994</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40 414</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41 234</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42 077</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43 019</w:t>
            </w:r>
          </w:p>
        </w:tc>
      </w:tr>
      <w:tr w:rsidR="002B3068" w:rsidRPr="00886A7F" w:rsidTr="00DF0EF9">
        <w:trPr>
          <w:trHeight w:val="285"/>
        </w:trPr>
        <w:tc>
          <w:tcPr>
            <w:tcW w:w="2090" w:type="pct"/>
            <w:shd w:val="clear" w:color="auto" w:fill="auto"/>
            <w:noWrap/>
            <w:vAlign w:val="center"/>
          </w:tcPr>
          <w:p w:rsidR="002B3068" w:rsidRPr="005665A8" w:rsidRDefault="002B3068" w:rsidP="00DF0EF9">
            <w:pPr>
              <w:ind w:firstLineChars="200" w:firstLine="280"/>
              <w:rPr>
                <w:rFonts w:ascii="Times New Roman" w:hAnsi="Times New Roman" w:cs="Times New Roman"/>
                <w:sz w:val="14"/>
                <w:szCs w:val="14"/>
                <w:lang w:eastAsia="en-US"/>
              </w:rPr>
            </w:pPr>
            <w:r w:rsidRPr="005665A8">
              <w:rPr>
                <w:rFonts w:ascii="Times New Roman" w:hAnsi="Times New Roman" w:cs="Times New Roman"/>
                <w:sz w:val="14"/>
                <w:szCs w:val="14"/>
                <w:lang w:eastAsia="en-US"/>
              </w:rPr>
              <w:t>Daňový bonus na hypotéky</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880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5 263</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12 198</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18 995</w:t>
            </w:r>
          </w:p>
        </w:tc>
      </w:tr>
      <w:tr w:rsidR="002B3068" w:rsidRPr="00886A7F" w:rsidTr="00DF0EF9">
        <w:trPr>
          <w:trHeight w:val="285"/>
        </w:trPr>
        <w:tc>
          <w:tcPr>
            <w:tcW w:w="2090" w:type="pct"/>
            <w:shd w:val="clear" w:color="auto" w:fill="auto"/>
            <w:noWrap/>
            <w:vAlign w:val="center"/>
          </w:tcPr>
          <w:p w:rsidR="002B3068" w:rsidRPr="005665A8" w:rsidRDefault="002B3068" w:rsidP="00DF0EF9">
            <w:pPr>
              <w:ind w:firstLineChars="200" w:firstLine="280"/>
              <w:rPr>
                <w:rFonts w:ascii="Times New Roman" w:hAnsi="Times New Roman" w:cs="Times New Roman"/>
                <w:sz w:val="14"/>
                <w:szCs w:val="14"/>
                <w:lang w:eastAsia="en-US"/>
              </w:rPr>
            </w:pPr>
            <w:r w:rsidRPr="005665A8">
              <w:rPr>
                <w:rFonts w:ascii="Times New Roman" w:hAnsi="Times New Roman" w:cs="Times New Roman"/>
                <w:sz w:val="14"/>
                <w:szCs w:val="14"/>
                <w:lang w:eastAsia="en-US"/>
              </w:rPr>
              <w:t xml:space="preserve">      DPFO zo závislej činnosti</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2 640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7 868</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12 991</w:t>
            </w:r>
          </w:p>
        </w:tc>
      </w:tr>
      <w:tr w:rsidR="002B3068" w:rsidRPr="00886A7F" w:rsidTr="00DF0EF9">
        <w:trPr>
          <w:trHeight w:val="285"/>
        </w:trPr>
        <w:tc>
          <w:tcPr>
            <w:tcW w:w="2090" w:type="pct"/>
            <w:shd w:val="clear" w:color="auto" w:fill="auto"/>
            <w:noWrap/>
            <w:vAlign w:val="center"/>
          </w:tcPr>
          <w:p w:rsidR="002B3068" w:rsidRPr="005665A8" w:rsidRDefault="002B3068" w:rsidP="00DF0EF9">
            <w:pPr>
              <w:ind w:firstLineChars="200" w:firstLine="280"/>
              <w:rPr>
                <w:rFonts w:ascii="Times New Roman" w:hAnsi="Times New Roman" w:cs="Times New Roman"/>
                <w:sz w:val="14"/>
                <w:szCs w:val="14"/>
                <w:lang w:eastAsia="en-US"/>
              </w:rPr>
            </w:pPr>
            <w:r w:rsidRPr="005665A8">
              <w:rPr>
                <w:rFonts w:ascii="Times New Roman" w:hAnsi="Times New Roman" w:cs="Times New Roman"/>
                <w:sz w:val="14"/>
                <w:szCs w:val="14"/>
                <w:lang w:eastAsia="en-US"/>
              </w:rPr>
              <w:t xml:space="preserve">     DPFO z podnikania</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880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2 623</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4 330</w:t>
            </w:r>
          </w:p>
        </w:tc>
        <w:tc>
          <w:tcPr>
            <w:tcW w:w="485" w:type="pct"/>
            <w:shd w:val="clear" w:color="auto" w:fill="auto"/>
            <w:noWrap/>
            <w:vAlign w:val="center"/>
          </w:tcPr>
          <w:p w:rsidR="002B3068" w:rsidRPr="005665A8" w:rsidRDefault="002B3068" w:rsidP="00DF0EF9">
            <w:pPr>
              <w:jc w:val="right"/>
              <w:rPr>
                <w:rFonts w:ascii="Times New Roman" w:hAnsi="Times New Roman" w:cs="Times New Roman"/>
                <w:sz w:val="14"/>
                <w:szCs w:val="14"/>
                <w:highlight w:val="yellow"/>
              </w:rPr>
            </w:pPr>
            <w:r w:rsidRPr="005665A8">
              <w:rPr>
                <w:rFonts w:ascii="Times New Roman" w:hAnsi="Times New Roman" w:cs="Times New Roman"/>
                <w:sz w:val="14"/>
                <w:szCs w:val="14"/>
              </w:rPr>
              <w:t>6 004</w:t>
            </w:r>
          </w:p>
        </w:tc>
      </w:tr>
    </w:tbl>
    <w:p w:rsidR="002B3068" w:rsidRPr="008A19F5" w:rsidRDefault="002B3068" w:rsidP="002B3068">
      <w:pPr>
        <w:jc w:val="both"/>
        <w:rPr>
          <w:rFonts w:ascii="Times New Roman" w:hAnsi="Times New Roman" w:cs="Times New Roman"/>
          <w:bCs/>
        </w:rPr>
      </w:pPr>
    </w:p>
    <w:p w:rsidR="002B3068" w:rsidRDefault="002B3068" w:rsidP="002B3068">
      <w:pPr>
        <w:ind w:firstLine="708"/>
        <w:jc w:val="both"/>
        <w:rPr>
          <w:rFonts w:ascii="Times New Roman" w:hAnsi="Times New Roman" w:cs="Times New Roman"/>
        </w:rPr>
      </w:pPr>
      <w:r w:rsidRPr="008A19F5">
        <w:rPr>
          <w:rFonts w:ascii="Times New Roman" w:hAnsi="Times New Roman" w:cs="Times New Roman"/>
          <w:bCs/>
        </w:rPr>
        <w:t xml:space="preserve">Nižšie sú prezentované </w:t>
      </w:r>
      <w:r w:rsidRPr="008A19F5">
        <w:rPr>
          <w:rFonts w:ascii="Times New Roman" w:hAnsi="Times New Roman" w:cs="Times New Roman"/>
          <w:b/>
          <w:bCs/>
        </w:rPr>
        <w:t>daňové a odvodové príjmy na akruálnej báze</w:t>
      </w:r>
      <w:r w:rsidRPr="008A19F5">
        <w:rPr>
          <w:rFonts w:ascii="Times New Roman" w:hAnsi="Times New Roman" w:cs="Times New Roman"/>
        </w:rPr>
        <w:t xml:space="preserve"> (metodika ESA2010) </w:t>
      </w:r>
      <w:r w:rsidRPr="008A19F5">
        <w:rPr>
          <w:rFonts w:ascii="Times New Roman" w:hAnsi="Times New Roman" w:cs="Times New Roman"/>
          <w:bCs/>
        </w:rPr>
        <w:t>bez sankcií</w:t>
      </w:r>
      <w:r w:rsidRPr="008A19F5">
        <w:rPr>
          <w:rFonts w:ascii="Times New Roman" w:hAnsi="Times New Roman" w:cs="Times New Roman"/>
        </w:rPr>
        <w:t>.</w:t>
      </w:r>
      <w:bookmarkStart w:id="39" w:name="_Toc273148233"/>
      <w:bookmarkStart w:id="40" w:name="_Toc273950834"/>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AB54FB" w:rsidRDefault="00AB54FB"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Default="002B3068" w:rsidP="002B3068">
      <w:pPr>
        <w:ind w:firstLine="708"/>
        <w:jc w:val="both"/>
        <w:rPr>
          <w:rFonts w:ascii="Times New Roman" w:hAnsi="Times New Roman" w:cs="Times New Roman"/>
        </w:rPr>
      </w:pPr>
    </w:p>
    <w:p w:rsidR="002B3068" w:rsidRPr="008A19F5" w:rsidRDefault="002B3068" w:rsidP="002B3068">
      <w:pPr>
        <w:ind w:firstLine="708"/>
        <w:jc w:val="both"/>
        <w:rPr>
          <w:rFonts w:ascii="Times New Roman" w:hAnsi="Times New Roman" w:cs="Times New Roman"/>
        </w:rPr>
      </w:pPr>
    </w:p>
    <w:p w:rsidR="002B3068" w:rsidRDefault="002B3068" w:rsidP="002B3068">
      <w:pPr>
        <w:jc w:val="both"/>
        <w:rPr>
          <w:rFonts w:ascii="Times New Roman" w:hAnsi="Times New Roman" w:cs="Times New Roman"/>
          <w:color w:val="FF0000"/>
          <w:highlight w:val="yellow"/>
        </w:rPr>
      </w:pPr>
    </w:p>
    <w:tbl>
      <w:tblPr>
        <w:tblW w:w="5003" w:type="pct"/>
        <w:tblInd w:w="-5" w:type="dxa"/>
        <w:tblLayout w:type="fixed"/>
        <w:tblCellMar>
          <w:left w:w="70" w:type="dxa"/>
          <w:right w:w="70" w:type="dxa"/>
        </w:tblCellMar>
        <w:tblLook w:val="04A0" w:firstRow="1" w:lastRow="0" w:firstColumn="1" w:lastColumn="0" w:noHBand="0" w:noVBand="1"/>
      </w:tblPr>
      <w:tblGrid>
        <w:gridCol w:w="3521"/>
        <w:gridCol w:w="957"/>
        <w:gridCol w:w="901"/>
        <w:gridCol w:w="922"/>
        <w:gridCol w:w="922"/>
        <w:gridCol w:w="922"/>
        <w:gridCol w:w="922"/>
      </w:tblGrid>
      <w:tr w:rsidR="002B3068" w:rsidRPr="005665A8" w:rsidTr="00DF0EF9">
        <w:trPr>
          <w:trHeight w:val="170"/>
        </w:trPr>
        <w:tc>
          <w:tcPr>
            <w:tcW w:w="9067" w:type="dxa"/>
            <w:gridSpan w:val="7"/>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2B3068" w:rsidRPr="005665A8" w:rsidRDefault="002B3068" w:rsidP="00DF0EF9">
            <w:pPr>
              <w:rPr>
                <w:rFonts w:ascii="Times New Roman" w:hAnsi="Times New Roman" w:cs="Times New Roman"/>
                <w:b/>
                <w:bCs/>
                <w:sz w:val="14"/>
                <w:szCs w:val="14"/>
                <w:lang w:eastAsia="sk-SK"/>
              </w:rPr>
            </w:pPr>
            <w:r w:rsidRPr="00351023">
              <w:rPr>
                <w:rFonts w:ascii="Times New Roman" w:hAnsi="Times New Roman" w:cs="Times New Roman"/>
                <w:b/>
                <w:bCs/>
                <w:sz w:val="14"/>
                <w:szCs w:val="14"/>
                <w:lang w:eastAsia="sk-SK"/>
              </w:rPr>
              <w:lastRenderedPageBreak/>
              <w:t>Daňové a odvodové príjmy (ESA</w:t>
            </w:r>
            <w:r>
              <w:rPr>
                <w:rFonts w:ascii="Times New Roman" w:hAnsi="Times New Roman" w:cs="Times New Roman"/>
                <w:b/>
                <w:bCs/>
                <w:sz w:val="14"/>
                <w:szCs w:val="14"/>
                <w:lang w:eastAsia="sk-SK"/>
              </w:rPr>
              <w:t xml:space="preserve"> </w:t>
            </w:r>
            <w:r w:rsidRPr="00351023">
              <w:rPr>
                <w:rFonts w:ascii="Times New Roman" w:hAnsi="Times New Roman" w:cs="Times New Roman"/>
                <w:b/>
                <w:bCs/>
                <w:sz w:val="14"/>
                <w:szCs w:val="14"/>
                <w:lang w:eastAsia="sk-SK"/>
              </w:rPr>
              <w:t>2010, v tis. eur)</w:t>
            </w:r>
          </w:p>
        </w:tc>
      </w:tr>
      <w:tr w:rsidR="002B3068" w:rsidRPr="005665A8" w:rsidTr="00DF0EF9">
        <w:trPr>
          <w:trHeight w:val="170"/>
        </w:trPr>
        <w:tc>
          <w:tcPr>
            <w:tcW w:w="3521" w:type="dxa"/>
            <w:vMerge w:val="restart"/>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 </w:t>
            </w:r>
          </w:p>
        </w:tc>
        <w:tc>
          <w:tcPr>
            <w:tcW w:w="1858" w:type="dxa"/>
            <w:gridSpan w:val="2"/>
            <w:tcBorders>
              <w:top w:val="single" w:sz="4" w:space="0" w:color="auto"/>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Skutočnosť</w:t>
            </w:r>
          </w:p>
        </w:tc>
        <w:tc>
          <w:tcPr>
            <w:tcW w:w="3688" w:type="dxa"/>
            <w:gridSpan w:val="4"/>
            <w:tcBorders>
              <w:top w:val="single" w:sz="4" w:space="0" w:color="auto"/>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Prognóza</w:t>
            </w:r>
          </w:p>
        </w:tc>
      </w:tr>
      <w:tr w:rsidR="002B3068" w:rsidRPr="005665A8" w:rsidTr="00DF0EF9">
        <w:trPr>
          <w:trHeight w:val="170"/>
        </w:trPr>
        <w:tc>
          <w:tcPr>
            <w:tcW w:w="3521" w:type="dxa"/>
            <w:vMerge/>
            <w:tcBorders>
              <w:top w:val="nil"/>
              <w:left w:val="single" w:sz="4" w:space="0" w:color="auto"/>
              <w:bottom w:val="single" w:sz="4" w:space="0" w:color="auto"/>
              <w:right w:val="single" w:sz="4" w:space="0" w:color="auto"/>
            </w:tcBorders>
            <w:vAlign w:val="center"/>
            <w:hideMark/>
          </w:tcPr>
          <w:p w:rsidR="002B3068" w:rsidRPr="005665A8" w:rsidRDefault="002B3068" w:rsidP="00DF0EF9">
            <w:pPr>
              <w:rPr>
                <w:rFonts w:ascii="Times New Roman" w:hAnsi="Times New Roman" w:cs="Times New Roman"/>
                <w:b/>
                <w:bCs/>
                <w:sz w:val="14"/>
                <w:szCs w:val="14"/>
                <w:lang w:eastAsia="sk-SK"/>
              </w:rPr>
            </w:pPr>
          </w:p>
        </w:tc>
        <w:tc>
          <w:tcPr>
            <w:tcW w:w="957" w:type="dxa"/>
            <w:tcBorders>
              <w:top w:val="nil"/>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2016</w:t>
            </w:r>
          </w:p>
        </w:tc>
        <w:tc>
          <w:tcPr>
            <w:tcW w:w="901" w:type="dxa"/>
            <w:tcBorders>
              <w:top w:val="nil"/>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2017</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2018</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2019</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2020</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5665A8" w:rsidRDefault="002B3068" w:rsidP="00DF0EF9">
            <w:pPr>
              <w:jc w:val="cente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2021</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Dane z príjmov, ziskov a kapitálového majetku</w:t>
            </w:r>
          </w:p>
        </w:tc>
        <w:tc>
          <w:tcPr>
            <w:tcW w:w="957"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lang w:eastAsia="sk-SK"/>
              </w:rPr>
            </w:pPr>
            <w:r w:rsidRPr="00747247">
              <w:rPr>
                <w:rFonts w:ascii="Times New Roman" w:hAnsi="Times New Roman" w:cs="Times New Roman"/>
                <w:b/>
                <w:bCs/>
                <w:sz w:val="14"/>
                <w:szCs w:val="14"/>
              </w:rPr>
              <w:t>5 564 280</w:t>
            </w:r>
          </w:p>
        </w:tc>
        <w:tc>
          <w:tcPr>
            <w:tcW w:w="90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5 809 893</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6 160 472</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6 562 689</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6 980 199</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7 410 164</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príjmov fyzických osôb</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2 678 999</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2 855 910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3 189 633</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3 426 902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3 704 112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3 958 065</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DPFO zo závislej činnosti</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2 541 925</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2 746 625</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3 075 325</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3 307 288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3 582 060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3 830 046</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DPFO z podnikania</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137 074</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109 285</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114 308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119 614</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122 052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128 019</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600" w:firstLine="8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do štátneho rozpočtu </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293 967</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287 994</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345 462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316 571</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355 415</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362 918</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600" w:firstLine="8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do obcí </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1 669 553</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1 797 541</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1 990 920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2 177 231</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2 344 088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2 516 603</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600" w:firstLine="8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do VÚC </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715 479</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770 375</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853 251</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933 100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1 004 609</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1 078 544</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príjmov právnických osôb</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2 706 070</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2 775 552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2 741 091</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2 900 148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3 026 871</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3 202 933</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príjmov vyberaná zrážkou</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179 211</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178 431</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229 748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235 639</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249 216</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249 166</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Dane na tovary a služby</w:t>
            </w:r>
          </w:p>
        </w:tc>
        <w:tc>
          <w:tcPr>
            <w:tcW w:w="957"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7 592 761</w:t>
            </w:r>
          </w:p>
        </w:tc>
        <w:tc>
          <w:tcPr>
            <w:tcW w:w="90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8 167 391</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8 676 860</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9 090 089</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9 512 474</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9 921 528</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pridanej hodnoty</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5 418 876</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5 916 502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6 349 511</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6 663 664</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7 016 087</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7 370 059</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Spotrebné dane</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2 173 885</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2 250 888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2 327 349</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2 426 425</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2 496 387</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2 551 469</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Z minerálnych olejov</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1 194 246</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1 229 542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1 279 642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1 337 220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1 389 571</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1 435 778</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Z liehu</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209 461</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212 301</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218 582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219 979</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224 202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227 597</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Z piva</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56 718</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57 291</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59 840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61 173</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62 277</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63 154</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Z vína</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4 595</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4 148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4 557</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4 646</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4 718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4 772</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Z tabaku a tabakových výrobkov</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672 081</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710 688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728 048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765 590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776 788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780 453</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Z elektrickej energie</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11 855</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11 175</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11 303</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11 632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11 921</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12 170</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Zo zemného plynu</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24 518</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25 638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24 980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25 776</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26 490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27 116</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Z uhlia</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411</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105</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397</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409</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420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429</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Dane z medzinárodného obchodu a transakcií</w:t>
            </w:r>
          </w:p>
        </w:tc>
        <w:tc>
          <w:tcPr>
            <w:tcW w:w="957"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28 887</w:t>
            </w:r>
          </w:p>
        </w:tc>
        <w:tc>
          <w:tcPr>
            <w:tcW w:w="90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22 433</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21 095</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21 517</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21 947</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22 386</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Dovozné clo</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39</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9</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Dovozná prirážka</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Podiel na vybratých finančných prostriedkoch</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28 845</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22 420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21 095</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21 517</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21 947</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22 386</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Ostatné colné príjmy</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Miestne dane</w:t>
            </w:r>
          </w:p>
        </w:tc>
        <w:tc>
          <w:tcPr>
            <w:tcW w:w="957"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522 110</w:t>
            </w:r>
          </w:p>
        </w:tc>
        <w:tc>
          <w:tcPr>
            <w:tcW w:w="90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544 083</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567 974</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573 032</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595 441</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617 488</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nehnuteľností</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336 359</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347 899</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352 047</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358 985</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366 427</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374 018</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Dane za špecifické služby</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185 751</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196 184</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215 927</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214 047</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229 014</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243 470</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motorových vozidiel (do r.2014 príjmom VÚC)</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Ostatné dane</w:t>
            </w:r>
          </w:p>
        </w:tc>
        <w:tc>
          <w:tcPr>
            <w:tcW w:w="957"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438 888</w:t>
            </w:r>
          </w:p>
        </w:tc>
        <w:tc>
          <w:tcPr>
            <w:tcW w:w="90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541 636</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595 903</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651 923</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690 932</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518 272</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emisných kvót</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-1 100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motorových vozidiel (od r. 2015 príjmom ŠR)</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145 256</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149 904</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159 567</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170 903</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182 012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192 744</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Osobitný odvod vybraných finančných inštitúcií</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119 772</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127 284</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134 212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143 076</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152 316</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Osobitný odvod z podnikania v regulovaných </w:t>
            </w:r>
            <w:r>
              <w:rPr>
                <w:rFonts w:ascii="Times New Roman" w:hAnsi="Times New Roman" w:cs="Times New Roman"/>
                <w:sz w:val="14"/>
                <w:szCs w:val="14"/>
                <w:lang w:eastAsia="sk-SK"/>
              </w:rPr>
              <w:br/>
              <w:t xml:space="preserve">        </w:t>
            </w:r>
            <w:r w:rsidRPr="005665A8">
              <w:rPr>
                <w:rFonts w:ascii="Times New Roman" w:hAnsi="Times New Roman" w:cs="Times New Roman"/>
                <w:sz w:val="14"/>
                <w:szCs w:val="14"/>
                <w:lang w:eastAsia="sk-SK"/>
              </w:rPr>
              <w:t>odvetviach</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94 265</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165 294</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161 728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125 452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129 246</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88 636</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Úhrada za služby verejnosti poskytované </w:t>
            </w:r>
            <w:r>
              <w:rPr>
                <w:rFonts w:ascii="Times New Roman" w:hAnsi="Times New Roman" w:cs="Times New Roman"/>
                <w:sz w:val="14"/>
                <w:szCs w:val="14"/>
                <w:lang w:eastAsia="sk-SK"/>
              </w:rPr>
              <w:t>RTVS</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78 276</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80 982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82 453</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82 453</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82 453</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82 453</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úhrad za dobývací priestor</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574</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558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600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600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600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600</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600" w:firstLine="8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do štátneho rozpočtu </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98</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98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102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102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102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102</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600" w:firstLine="8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do obcí </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476</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460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498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498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498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498</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úhrad za uskladňovanie plynov alebo kvapalín</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703</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1 215</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1 100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1 100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1 100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1 000</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Poplatok za uloženie odpadov (príjem EF)</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26 902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38 491</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44 874</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Majetkové dane (do ŠR)</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26</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Iné dane</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17</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16 379</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57 333</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101 437</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104 714</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107 965</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600" w:firstLine="8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do štátneho rozpočtu </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-72</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16 253</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30 700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73 600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75 800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78 100</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600" w:firstLine="8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do obcí </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89</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122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600" w:firstLine="8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do VÚC </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600" w:firstLine="8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na samostatný účet</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 </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 </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26 633</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27 837</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28 914</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29 865</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cestná daň - dobeh</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-72</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odvod z poistenia</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16 259</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30 700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 z poistenia</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73 600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75 800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78 100</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odvod z PZP</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 </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 </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26 633</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27 837</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28 914</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29 865</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Fondy sociálneho a zdravotného poistenia (FSZP)</w:t>
            </w:r>
          </w:p>
        </w:tc>
        <w:tc>
          <w:tcPr>
            <w:tcW w:w="957"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9 563 513</w:t>
            </w:r>
          </w:p>
        </w:tc>
        <w:tc>
          <w:tcPr>
            <w:tcW w:w="90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10 423 833</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11 505 802</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12 174 517</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12 976 070</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13 719 738</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ind w:firstLineChars="200" w:firstLine="281"/>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Sociálna poisťovňa</w:t>
            </w:r>
          </w:p>
        </w:tc>
        <w:tc>
          <w:tcPr>
            <w:tcW w:w="957"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6 582 270</w:t>
            </w:r>
          </w:p>
        </w:tc>
        <w:tc>
          <w:tcPr>
            <w:tcW w:w="90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7 094 755</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7 838 603</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8 152 696</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8 673 398</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9 159 523</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Ekonomicky aktívne obyvateľstvo + dlžné</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6 582 270</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7 094 755</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7 838 603</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8 152 696</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8 673 398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9 159 523</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 - EAO</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6 376 678</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6 889 030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7 440 334</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7 937 928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8 456 548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8 941 770</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 - dlžné</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205 592</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205 725</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398 269</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214 768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216 850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217 753</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ind w:firstLineChars="200" w:firstLine="281"/>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Zdravotné poisťovne</w:t>
            </w:r>
          </w:p>
        </w:tc>
        <w:tc>
          <w:tcPr>
            <w:tcW w:w="957"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2 981 243</w:t>
            </w:r>
          </w:p>
        </w:tc>
        <w:tc>
          <w:tcPr>
            <w:tcW w:w="90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3 329 078</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3 667 199</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4 021 821</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color w:val="000000"/>
                <w:sz w:val="14"/>
                <w:szCs w:val="14"/>
              </w:rPr>
            </w:pPr>
            <w:r w:rsidRPr="00747247">
              <w:rPr>
                <w:rFonts w:ascii="Times New Roman" w:hAnsi="Times New Roman" w:cs="Times New Roman"/>
                <w:b/>
                <w:bCs/>
                <w:color w:val="000000"/>
                <w:sz w:val="14"/>
                <w:szCs w:val="14"/>
              </w:rPr>
              <w:t>4 302 672</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color w:val="000000"/>
                <w:sz w:val="14"/>
                <w:szCs w:val="14"/>
              </w:rPr>
            </w:pPr>
            <w:r w:rsidRPr="00747247">
              <w:rPr>
                <w:rFonts w:ascii="Times New Roman" w:hAnsi="Times New Roman" w:cs="Times New Roman"/>
                <w:b/>
                <w:bCs/>
                <w:color w:val="000000"/>
                <w:sz w:val="14"/>
                <w:szCs w:val="14"/>
              </w:rPr>
              <w:t>4 560 215</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400" w:firstLine="560"/>
              <w:rPr>
                <w:rFonts w:ascii="Times New Roman" w:hAnsi="Times New Roman" w:cs="Times New Roman"/>
                <w:sz w:val="14"/>
                <w:szCs w:val="14"/>
                <w:lang w:eastAsia="sk-SK"/>
              </w:rPr>
            </w:pPr>
            <w:r w:rsidRPr="005665A8">
              <w:rPr>
                <w:rFonts w:ascii="Times New Roman" w:hAnsi="Times New Roman" w:cs="Times New Roman"/>
                <w:sz w:val="14"/>
                <w:szCs w:val="14"/>
                <w:lang w:eastAsia="sk-SK"/>
              </w:rPr>
              <w:t>Ekonomicky aktívne obyvateľstvo + dlžné</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2 981 243</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3 329 078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3 667 199</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4 021 821</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4 302 672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4 560 215</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600" w:firstLine="840"/>
              <w:rPr>
                <w:rFonts w:ascii="Times New Roman" w:hAnsi="Times New Roman" w:cs="Times New Roman"/>
                <w:sz w:val="14"/>
                <w:szCs w:val="14"/>
                <w:lang w:eastAsia="sk-SK"/>
              </w:rPr>
            </w:pPr>
            <w:r w:rsidRPr="005665A8">
              <w:rPr>
                <w:rFonts w:ascii="Times New Roman" w:hAnsi="Times New Roman" w:cs="Times New Roman"/>
                <w:sz w:val="14"/>
                <w:szCs w:val="14"/>
                <w:lang w:eastAsia="sk-SK"/>
              </w:rPr>
              <w:t>z toho: ročné zúčtovanie</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-69 361</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-75 914</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-52 213</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37 207</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40 523</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color w:val="000000"/>
                <w:sz w:val="14"/>
                <w:szCs w:val="14"/>
              </w:rPr>
            </w:pPr>
            <w:r w:rsidRPr="00747247">
              <w:rPr>
                <w:rFonts w:ascii="Times New Roman" w:hAnsi="Times New Roman" w:cs="Times New Roman"/>
                <w:color w:val="000000"/>
                <w:sz w:val="14"/>
                <w:szCs w:val="14"/>
              </w:rPr>
              <w:t>43 856</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000000" w:fill="BFBFBF"/>
            <w:noWrap/>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Daňové príjmy VS spolu</w:t>
            </w:r>
          </w:p>
        </w:tc>
        <w:tc>
          <w:tcPr>
            <w:tcW w:w="957"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14 146 927</w:t>
            </w:r>
          </w:p>
        </w:tc>
        <w:tc>
          <w:tcPr>
            <w:tcW w:w="90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15 085 435</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16 022 304</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16 899 250</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17 800 993</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18 489 838</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Daňové príjmy ŠR</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10 946 204</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11 598 076</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12 203 535</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12 808 569</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13 423 837</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14 029 877</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747247">
              <w:rPr>
                <w:rFonts w:ascii="Times New Roman" w:hAnsi="Times New Roman" w:cs="Times New Roman"/>
                <w:sz w:val="14"/>
                <w:szCs w:val="14"/>
                <w:lang w:eastAsia="sk-SK"/>
              </w:rPr>
              <w:t>Samostatné účty</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-17 224</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7 593</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26 633</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27 837</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28 914</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29 865</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Štátne finančné aktíva</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231 260</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284 985</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295 940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268 528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281 562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88 636</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Daňové príjmy obcí </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2 192 228</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2 342 206</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2 559 392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2 750 761</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2 940 027</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3 134 589</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Daňové príjmy VÚC</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715 479</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770 378</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853 251</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933 100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1 004 609</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1 078 544</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 xml:space="preserve">Daňové príjmy Rozhlasu a televízie Slovenska </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78 276</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80 982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82 453</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82 453</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82 453</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82 453</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auto" w:fill="auto"/>
            <w:noWrap/>
            <w:vAlign w:val="center"/>
            <w:hideMark/>
          </w:tcPr>
          <w:p w:rsidR="002B3068" w:rsidRPr="005665A8" w:rsidRDefault="002B3068" w:rsidP="00DF0EF9">
            <w:pPr>
              <w:ind w:firstLineChars="200" w:firstLine="280"/>
              <w:rPr>
                <w:rFonts w:ascii="Times New Roman" w:hAnsi="Times New Roman" w:cs="Times New Roman"/>
                <w:sz w:val="14"/>
                <w:szCs w:val="14"/>
                <w:lang w:eastAsia="sk-SK"/>
              </w:rPr>
            </w:pPr>
            <w:r w:rsidRPr="005665A8">
              <w:rPr>
                <w:rFonts w:ascii="Times New Roman" w:hAnsi="Times New Roman" w:cs="Times New Roman"/>
                <w:sz w:val="14"/>
                <w:szCs w:val="14"/>
                <w:lang w:eastAsia="sk-SK"/>
              </w:rPr>
              <w:t>Environmentálny fond</w:t>
            </w:r>
          </w:p>
        </w:tc>
        <w:tc>
          <w:tcPr>
            <w:tcW w:w="957"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703</w:t>
            </w:r>
          </w:p>
        </w:tc>
        <w:tc>
          <w:tcPr>
            <w:tcW w:w="901"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1 215</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1 100</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28 002</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39 591</w:t>
            </w:r>
          </w:p>
        </w:tc>
        <w:tc>
          <w:tcPr>
            <w:tcW w:w="922" w:type="dxa"/>
            <w:tcBorders>
              <w:top w:val="nil"/>
              <w:left w:val="nil"/>
              <w:bottom w:val="single" w:sz="4" w:space="0" w:color="auto"/>
              <w:right w:val="single" w:sz="4" w:space="0" w:color="auto"/>
            </w:tcBorders>
            <w:shd w:val="clear" w:color="auto" w:fill="auto"/>
            <w:noWrap/>
            <w:vAlign w:val="center"/>
            <w:hideMark/>
          </w:tcPr>
          <w:p w:rsidR="002B3068" w:rsidRPr="00747247" w:rsidRDefault="002B3068" w:rsidP="00DF0EF9">
            <w:pPr>
              <w:jc w:val="right"/>
              <w:rPr>
                <w:rFonts w:ascii="Times New Roman" w:hAnsi="Times New Roman" w:cs="Times New Roman"/>
                <w:sz w:val="14"/>
                <w:szCs w:val="14"/>
              </w:rPr>
            </w:pPr>
            <w:r w:rsidRPr="00747247">
              <w:rPr>
                <w:rFonts w:ascii="Times New Roman" w:hAnsi="Times New Roman" w:cs="Times New Roman"/>
                <w:sz w:val="14"/>
                <w:szCs w:val="14"/>
              </w:rPr>
              <w:t>45 874</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000000" w:fill="BFBFBF"/>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FSZP spolu</w:t>
            </w:r>
          </w:p>
        </w:tc>
        <w:tc>
          <w:tcPr>
            <w:tcW w:w="957"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9 563 513</w:t>
            </w:r>
          </w:p>
        </w:tc>
        <w:tc>
          <w:tcPr>
            <w:tcW w:w="90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10 423 833</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11 505 802</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12 174 517</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12 976 070</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13 719 738</w:t>
            </w:r>
          </w:p>
        </w:tc>
      </w:tr>
      <w:tr w:rsidR="002B3068" w:rsidRPr="005665A8" w:rsidTr="00DF0EF9">
        <w:trPr>
          <w:trHeight w:val="170"/>
        </w:trPr>
        <w:tc>
          <w:tcPr>
            <w:tcW w:w="3521" w:type="dxa"/>
            <w:tcBorders>
              <w:top w:val="nil"/>
              <w:left w:val="single" w:sz="4" w:space="0" w:color="auto"/>
              <w:bottom w:val="single" w:sz="4" w:space="0" w:color="auto"/>
              <w:right w:val="single" w:sz="4" w:space="0" w:color="auto"/>
            </w:tcBorders>
            <w:shd w:val="clear" w:color="000000" w:fill="BFBFBF"/>
            <w:vAlign w:val="center"/>
            <w:hideMark/>
          </w:tcPr>
          <w:p w:rsidR="002B3068" w:rsidRPr="005665A8" w:rsidRDefault="002B3068" w:rsidP="00DF0EF9">
            <w:pPr>
              <w:rPr>
                <w:rFonts w:ascii="Times New Roman" w:hAnsi="Times New Roman" w:cs="Times New Roman"/>
                <w:b/>
                <w:bCs/>
                <w:sz w:val="14"/>
                <w:szCs w:val="14"/>
                <w:lang w:eastAsia="sk-SK"/>
              </w:rPr>
            </w:pPr>
            <w:r w:rsidRPr="005665A8">
              <w:rPr>
                <w:rFonts w:ascii="Times New Roman" w:hAnsi="Times New Roman" w:cs="Times New Roman"/>
                <w:b/>
                <w:bCs/>
                <w:sz w:val="14"/>
                <w:szCs w:val="14"/>
                <w:lang w:eastAsia="sk-SK"/>
              </w:rPr>
              <w:t>Daňové príjmy a príjmy FSZP spolu</w:t>
            </w:r>
          </w:p>
        </w:tc>
        <w:tc>
          <w:tcPr>
            <w:tcW w:w="957"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23 710 440</w:t>
            </w:r>
          </w:p>
        </w:tc>
        <w:tc>
          <w:tcPr>
            <w:tcW w:w="901"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25 509 268</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27 528 106</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29 073 767</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30 777 063</w:t>
            </w:r>
          </w:p>
        </w:tc>
        <w:tc>
          <w:tcPr>
            <w:tcW w:w="922" w:type="dxa"/>
            <w:tcBorders>
              <w:top w:val="nil"/>
              <w:left w:val="nil"/>
              <w:bottom w:val="single" w:sz="4" w:space="0" w:color="auto"/>
              <w:right w:val="single" w:sz="4" w:space="0" w:color="auto"/>
            </w:tcBorders>
            <w:shd w:val="clear" w:color="000000" w:fill="BFBFBF"/>
            <w:noWrap/>
            <w:vAlign w:val="center"/>
            <w:hideMark/>
          </w:tcPr>
          <w:p w:rsidR="002B3068" w:rsidRPr="00747247" w:rsidRDefault="002B3068" w:rsidP="00DF0EF9">
            <w:pPr>
              <w:jc w:val="right"/>
              <w:rPr>
                <w:rFonts w:ascii="Times New Roman" w:hAnsi="Times New Roman" w:cs="Times New Roman"/>
                <w:b/>
                <w:bCs/>
                <w:sz w:val="14"/>
                <w:szCs w:val="14"/>
              </w:rPr>
            </w:pPr>
            <w:r w:rsidRPr="00747247">
              <w:rPr>
                <w:rFonts w:ascii="Times New Roman" w:hAnsi="Times New Roman" w:cs="Times New Roman"/>
                <w:b/>
                <w:bCs/>
                <w:sz w:val="14"/>
                <w:szCs w:val="14"/>
              </w:rPr>
              <w:t>32 209 576</w:t>
            </w:r>
          </w:p>
        </w:tc>
      </w:tr>
    </w:tbl>
    <w:p w:rsidR="002B3068" w:rsidRDefault="002B3068" w:rsidP="002B3068">
      <w:pPr>
        <w:jc w:val="both"/>
        <w:rPr>
          <w:rFonts w:ascii="Times New Roman" w:hAnsi="Times New Roman" w:cs="Times New Roman"/>
          <w:color w:val="FF0000"/>
          <w:highlight w:val="yellow"/>
        </w:rPr>
      </w:pPr>
    </w:p>
    <w:p w:rsidR="002B3068" w:rsidRPr="00351023" w:rsidRDefault="002B3068" w:rsidP="002B3068">
      <w:pPr>
        <w:jc w:val="both"/>
        <w:rPr>
          <w:rFonts w:ascii="Times New Roman" w:hAnsi="Times New Roman" w:cs="Times New Roman"/>
          <w:color w:val="FF0000"/>
        </w:rPr>
      </w:pPr>
    </w:p>
    <w:p w:rsidR="002B3068" w:rsidRPr="008A19F5" w:rsidRDefault="002B3068" w:rsidP="002B3068">
      <w:pPr>
        <w:pStyle w:val="Nadpis2"/>
        <w:jc w:val="both"/>
        <w:rPr>
          <w:rFonts w:ascii="Times New Roman" w:hAnsi="Times New Roman"/>
          <w:i w:val="0"/>
          <w:iCs w:val="0"/>
          <w:sz w:val="24"/>
          <w:szCs w:val="24"/>
        </w:rPr>
      </w:pPr>
      <w:bookmarkStart w:id="41" w:name="_Toc526273185"/>
      <w:r w:rsidRPr="00351023">
        <w:rPr>
          <w:rFonts w:ascii="Times New Roman" w:hAnsi="Times New Roman"/>
          <w:i w:val="0"/>
          <w:iCs w:val="0"/>
          <w:sz w:val="24"/>
          <w:szCs w:val="24"/>
        </w:rPr>
        <w:lastRenderedPageBreak/>
        <w:t>3.</w:t>
      </w:r>
      <w:r>
        <w:rPr>
          <w:rFonts w:ascii="Times New Roman" w:hAnsi="Times New Roman"/>
          <w:i w:val="0"/>
          <w:iCs w:val="0"/>
          <w:sz w:val="24"/>
          <w:szCs w:val="24"/>
        </w:rPr>
        <w:t>3</w:t>
      </w:r>
      <w:r w:rsidRPr="00351023">
        <w:rPr>
          <w:rFonts w:ascii="Times New Roman" w:hAnsi="Times New Roman"/>
          <w:i w:val="0"/>
          <w:iCs w:val="0"/>
          <w:sz w:val="24"/>
          <w:szCs w:val="24"/>
        </w:rPr>
        <w:t xml:space="preserve">. Porovnanie aktuálneho odhadu daní s rozpočtom verejnej správy na roky </w:t>
      </w:r>
      <w:r>
        <w:rPr>
          <w:rFonts w:ascii="Times New Roman" w:hAnsi="Times New Roman"/>
          <w:i w:val="0"/>
          <w:iCs w:val="0"/>
          <w:sz w:val="24"/>
          <w:szCs w:val="24"/>
        </w:rPr>
        <w:br/>
        <w:t xml:space="preserve">         </w:t>
      </w:r>
      <w:r w:rsidRPr="00351023">
        <w:rPr>
          <w:rFonts w:ascii="Times New Roman" w:hAnsi="Times New Roman"/>
          <w:i w:val="0"/>
          <w:iCs w:val="0"/>
          <w:sz w:val="24"/>
          <w:szCs w:val="24"/>
        </w:rPr>
        <w:t>2018 až 20</w:t>
      </w:r>
      <w:bookmarkEnd w:id="39"/>
      <w:bookmarkEnd w:id="40"/>
      <w:r w:rsidRPr="00351023">
        <w:rPr>
          <w:rFonts w:ascii="Times New Roman" w:hAnsi="Times New Roman"/>
          <w:i w:val="0"/>
          <w:iCs w:val="0"/>
          <w:sz w:val="24"/>
          <w:szCs w:val="24"/>
        </w:rPr>
        <w:t>20</w:t>
      </w:r>
      <w:bookmarkEnd w:id="41"/>
    </w:p>
    <w:p w:rsidR="002B3068" w:rsidRPr="008A19F5" w:rsidRDefault="002B3068" w:rsidP="002B3068">
      <w:pPr>
        <w:rPr>
          <w:rFonts w:ascii="Times New Roman" w:hAnsi="Times New Roman" w:cs="Times New Roman"/>
        </w:rPr>
      </w:pPr>
    </w:p>
    <w:p w:rsidR="002B3068" w:rsidRPr="00EE16AF" w:rsidRDefault="002B3068" w:rsidP="002B3068">
      <w:pPr>
        <w:ind w:firstLine="708"/>
        <w:jc w:val="both"/>
        <w:rPr>
          <w:rFonts w:ascii="Times New Roman" w:hAnsi="Times New Roman" w:cs="Times New Roman"/>
        </w:rPr>
      </w:pPr>
      <w:r w:rsidRPr="008A19F5">
        <w:rPr>
          <w:rFonts w:ascii="Times New Roman" w:hAnsi="Times New Roman" w:cs="Times New Roman"/>
        </w:rPr>
        <w:t>Nižšie uvedená tabuľka prezentuje rozdiely aktuálnej prognózy daní a odvodov v metodike ESA 2010 oproti rozpočtu verejnej správy na roky 201</w:t>
      </w:r>
      <w:r>
        <w:rPr>
          <w:rFonts w:ascii="Times New Roman" w:hAnsi="Times New Roman" w:cs="Times New Roman"/>
        </w:rPr>
        <w:t>8</w:t>
      </w:r>
      <w:r w:rsidRPr="008A19F5">
        <w:rPr>
          <w:rFonts w:ascii="Times New Roman" w:hAnsi="Times New Roman" w:cs="Times New Roman"/>
        </w:rPr>
        <w:t xml:space="preserve"> až</w:t>
      </w:r>
      <w:r>
        <w:rPr>
          <w:rFonts w:ascii="Times New Roman" w:hAnsi="Times New Roman" w:cs="Times New Roman"/>
        </w:rPr>
        <w:t xml:space="preserve"> 2020</w:t>
      </w:r>
      <w:r w:rsidRPr="008A19F5">
        <w:rPr>
          <w:rFonts w:ascii="Times New Roman" w:hAnsi="Times New Roman" w:cs="Times New Roman"/>
        </w:rPr>
        <w:t xml:space="preserve">. Aktuálna </w:t>
      </w:r>
      <w:r w:rsidRPr="00351023">
        <w:rPr>
          <w:rFonts w:ascii="Times New Roman" w:hAnsi="Times New Roman" w:cs="Times New Roman"/>
        </w:rPr>
        <w:t xml:space="preserve">prognóza daňových príjmov verejnej správy je v porovnaní so schváleným rozpočtom v roku 2018 vyššia o 946,0 mil. eur, v roku 2019 o 1 009,3 mil. eur a v roku 2020 o 1 148,3 mil. eur. Nárast prognózy daňových príjmov v rokoch 2018 až 2020 </w:t>
      </w:r>
      <w:r>
        <w:rPr>
          <w:rFonts w:ascii="Times New Roman" w:hAnsi="Times New Roman" w:cs="Times New Roman"/>
        </w:rPr>
        <w:t>je spôsobený</w:t>
      </w:r>
      <w:r w:rsidRPr="00351023">
        <w:rPr>
          <w:rFonts w:ascii="Times New Roman" w:hAnsi="Times New Roman" w:cs="Times New Roman"/>
        </w:rPr>
        <w:t xml:space="preserve"> </w:t>
      </w:r>
      <w:r>
        <w:rPr>
          <w:rFonts w:ascii="Times New Roman" w:hAnsi="Times New Roman" w:cs="Times New Roman"/>
        </w:rPr>
        <w:t xml:space="preserve">vyšším očakávaným príjmom za takmer všetky dane. Za aktualizáciu príjmov v roku 2018 je približne z polovice zodpovedné makroekonomické prostredie, pričom v roku 2020 tvorí lepší výkon ekonomiky výraznú časť z celkovej aktualizácie oproti rozpočtu </w:t>
      </w:r>
      <w:r w:rsidRPr="008A19F5">
        <w:rPr>
          <w:rFonts w:ascii="Times New Roman" w:hAnsi="Times New Roman" w:cs="Times New Roman"/>
        </w:rPr>
        <w:t>verejnej správy na roky 201</w:t>
      </w:r>
      <w:r>
        <w:rPr>
          <w:rFonts w:ascii="Times New Roman" w:hAnsi="Times New Roman" w:cs="Times New Roman"/>
        </w:rPr>
        <w:t>8</w:t>
      </w:r>
      <w:r w:rsidRPr="008A19F5">
        <w:rPr>
          <w:rFonts w:ascii="Times New Roman" w:hAnsi="Times New Roman" w:cs="Times New Roman"/>
        </w:rPr>
        <w:t xml:space="preserve"> až</w:t>
      </w:r>
      <w:r>
        <w:rPr>
          <w:rFonts w:ascii="Times New Roman" w:hAnsi="Times New Roman" w:cs="Times New Roman"/>
        </w:rPr>
        <w:t xml:space="preserve"> 2020. Najvýraznejší vplyv majú </w:t>
      </w:r>
      <w:r w:rsidRPr="00351023">
        <w:rPr>
          <w:rFonts w:ascii="Times New Roman" w:hAnsi="Times New Roman" w:cs="Times New Roman"/>
        </w:rPr>
        <w:t>vyšš</w:t>
      </w:r>
      <w:r>
        <w:rPr>
          <w:rFonts w:ascii="Times New Roman" w:hAnsi="Times New Roman" w:cs="Times New Roman"/>
        </w:rPr>
        <w:t>ie</w:t>
      </w:r>
      <w:r w:rsidRPr="00351023">
        <w:rPr>
          <w:rFonts w:ascii="Times New Roman" w:hAnsi="Times New Roman" w:cs="Times New Roman"/>
        </w:rPr>
        <w:t xml:space="preserve"> očakávan</w:t>
      </w:r>
      <w:r>
        <w:rPr>
          <w:rFonts w:ascii="Times New Roman" w:hAnsi="Times New Roman" w:cs="Times New Roman"/>
        </w:rPr>
        <w:t>é</w:t>
      </w:r>
      <w:r w:rsidRPr="00351023">
        <w:rPr>
          <w:rFonts w:ascii="Times New Roman" w:hAnsi="Times New Roman" w:cs="Times New Roman"/>
        </w:rPr>
        <w:t xml:space="preserve"> výnos</w:t>
      </w:r>
      <w:r>
        <w:rPr>
          <w:rFonts w:ascii="Times New Roman" w:hAnsi="Times New Roman" w:cs="Times New Roman"/>
        </w:rPr>
        <w:t>y</w:t>
      </w:r>
      <w:r w:rsidRPr="00351023">
        <w:rPr>
          <w:rFonts w:ascii="Times New Roman" w:hAnsi="Times New Roman" w:cs="Times New Roman"/>
        </w:rPr>
        <w:t xml:space="preserve"> zo sociálnych a zdravotných odvodov, DPPO, DPFO aj DPH.</w:t>
      </w:r>
      <w:r>
        <w:rPr>
          <w:rFonts w:ascii="Times New Roman" w:hAnsi="Times New Roman" w:cs="Times New Roman"/>
        </w:rPr>
        <w:t xml:space="preserve"> </w:t>
      </w:r>
    </w:p>
    <w:p w:rsidR="002B3068" w:rsidRPr="008A19F5" w:rsidRDefault="002B3068" w:rsidP="002B3068">
      <w:pPr>
        <w:ind w:firstLine="708"/>
        <w:jc w:val="both"/>
        <w:rPr>
          <w:color w:val="FF0000"/>
          <w:highlight w:val="yellow"/>
        </w:rPr>
      </w:pPr>
    </w:p>
    <w:tbl>
      <w:tblPr>
        <w:tblW w:w="5000" w:type="pct"/>
        <w:jc w:val="center"/>
        <w:tblCellMar>
          <w:left w:w="70" w:type="dxa"/>
          <w:right w:w="70" w:type="dxa"/>
        </w:tblCellMar>
        <w:tblLook w:val="04A0" w:firstRow="1" w:lastRow="0" w:firstColumn="1" w:lastColumn="0" w:noHBand="0" w:noVBand="1"/>
      </w:tblPr>
      <w:tblGrid>
        <w:gridCol w:w="4818"/>
        <w:gridCol w:w="1415"/>
        <w:gridCol w:w="1415"/>
        <w:gridCol w:w="1414"/>
      </w:tblGrid>
      <w:tr w:rsidR="002B3068" w:rsidRPr="00886A7F" w:rsidTr="00DF0EF9">
        <w:trPr>
          <w:trHeight w:val="255"/>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2B3068" w:rsidRPr="00351023" w:rsidRDefault="002B3068" w:rsidP="00DF0EF9">
            <w:pPr>
              <w:rPr>
                <w:rFonts w:ascii="Times New Roman" w:hAnsi="Times New Roman" w:cs="Times New Roman"/>
                <w:b/>
                <w:bCs/>
                <w:color w:val="000000"/>
                <w:sz w:val="14"/>
                <w:szCs w:val="14"/>
                <w:lang w:eastAsia="sk-SK"/>
              </w:rPr>
            </w:pPr>
            <w:r w:rsidRPr="00351023">
              <w:rPr>
                <w:rFonts w:ascii="Times New Roman" w:hAnsi="Times New Roman" w:cs="Times New Roman"/>
                <w:b/>
                <w:bCs/>
                <w:color w:val="000000"/>
                <w:sz w:val="14"/>
                <w:szCs w:val="14"/>
                <w:lang w:eastAsia="sk-SK"/>
              </w:rPr>
              <w:t xml:space="preserve">Rozdiely aktuálneho odhadu </w:t>
            </w:r>
            <w:r>
              <w:rPr>
                <w:rFonts w:ascii="Times New Roman" w:hAnsi="Times New Roman" w:cs="Times New Roman"/>
                <w:b/>
                <w:bCs/>
                <w:color w:val="000000"/>
                <w:sz w:val="14"/>
                <w:szCs w:val="14"/>
                <w:lang w:eastAsia="sk-SK"/>
              </w:rPr>
              <w:t>daní s rozpočtom VS na roky 2018 až 2020</w:t>
            </w:r>
            <w:r w:rsidRPr="00351023">
              <w:rPr>
                <w:rFonts w:ascii="Times New Roman" w:hAnsi="Times New Roman" w:cs="Times New Roman"/>
                <w:b/>
                <w:bCs/>
                <w:color w:val="000000"/>
                <w:sz w:val="14"/>
                <w:szCs w:val="14"/>
                <w:lang w:eastAsia="sk-SK"/>
              </w:rPr>
              <w:t xml:space="preserve"> (ESA</w:t>
            </w:r>
            <w:r w:rsidR="00A87886">
              <w:rPr>
                <w:rFonts w:ascii="Times New Roman" w:hAnsi="Times New Roman" w:cs="Times New Roman"/>
                <w:b/>
                <w:bCs/>
                <w:color w:val="000000"/>
                <w:sz w:val="14"/>
                <w:szCs w:val="14"/>
                <w:lang w:eastAsia="sk-SK"/>
              </w:rPr>
              <w:t xml:space="preserve"> </w:t>
            </w:r>
            <w:r w:rsidRPr="00351023">
              <w:rPr>
                <w:rFonts w:ascii="Times New Roman" w:hAnsi="Times New Roman" w:cs="Times New Roman"/>
                <w:b/>
                <w:bCs/>
                <w:color w:val="000000"/>
                <w:sz w:val="14"/>
                <w:szCs w:val="14"/>
                <w:lang w:eastAsia="sk-SK"/>
              </w:rPr>
              <w:t>2010, v tis. eur)</w:t>
            </w:r>
          </w:p>
        </w:tc>
      </w:tr>
      <w:tr w:rsidR="002B3068" w:rsidRPr="00886A7F" w:rsidTr="00DF0EF9">
        <w:trPr>
          <w:trHeight w:val="255"/>
          <w:jc w:val="center"/>
        </w:trPr>
        <w:tc>
          <w:tcPr>
            <w:tcW w:w="2658" w:type="pct"/>
            <w:tcBorders>
              <w:top w:val="nil"/>
              <w:left w:val="single" w:sz="4" w:space="0" w:color="auto"/>
              <w:bottom w:val="single" w:sz="4" w:space="0" w:color="auto"/>
              <w:right w:val="single" w:sz="4" w:space="0" w:color="auto"/>
            </w:tcBorders>
            <w:shd w:val="clear" w:color="000000" w:fill="BFBFBF"/>
            <w:noWrap/>
            <w:vAlign w:val="center"/>
            <w:hideMark/>
          </w:tcPr>
          <w:p w:rsidR="002B3068" w:rsidRPr="00351023" w:rsidRDefault="002B3068" w:rsidP="00DF0EF9">
            <w:pPr>
              <w:rPr>
                <w:rFonts w:ascii="Times New Roman" w:hAnsi="Times New Roman" w:cs="Times New Roman"/>
                <w:b/>
                <w:bCs/>
                <w:color w:val="000000"/>
                <w:sz w:val="14"/>
                <w:szCs w:val="14"/>
                <w:lang w:eastAsia="sk-SK"/>
              </w:rPr>
            </w:pPr>
            <w:r w:rsidRPr="00351023">
              <w:rPr>
                <w:rFonts w:ascii="Times New Roman" w:hAnsi="Times New Roman" w:cs="Times New Roman"/>
                <w:b/>
                <w:bCs/>
                <w:color w:val="000000"/>
                <w:sz w:val="14"/>
                <w:szCs w:val="14"/>
                <w:lang w:eastAsia="sk-SK"/>
              </w:rPr>
              <w:t> </w:t>
            </w:r>
          </w:p>
        </w:tc>
        <w:tc>
          <w:tcPr>
            <w:tcW w:w="781" w:type="pct"/>
            <w:tcBorders>
              <w:top w:val="nil"/>
              <w:left w:val="nil"/>
              <w:bottom w:val="single" w:sz="4" w:space="0" w:color="auto"/>
              <w:right w:val="single" w:sz="4" w:space="0" w:color="auto"/>
            </w:tcBorders>
            <w:shd w:val="clear" w:color="000000" w:fill="BFBFBF"/>
            <w:noWrap/>
            <w:vAlign w:val="center"/>
            <w:hideMark/>
          </w:tcPr>
          <w:p w:rsidR="002B3068" w:rsidRPr="00351023" w:rsidRDefault="002B3068" w:rsidP="00DF0EF9">
            <w:pPr>
              <w:jc w:val="center"/>
              <w:rPr>
                <w:rFonts w:ascii="Times New Roman" w:hAnsi="Times New Roman" w:cs="Times New Roman"/>
                <w:b/>
                <w:bCs/>
                <w:color w:val="000000"/>
                <w:sz w:val="14"/>
                <w:szCs w:val="14"/>
                <w:lang w:eastAsia="sk-SK"/>
              </w:rPr>
            </w:pPr>
            <w:r w:rsidRPr="00351023">
              <w:rPr>
                <w:rFonts w:ascii="Times New Roman" w:hAnsi="Times New Roman" w:cs="Times New Roman"/>
                <w:b/>
                <w:bCs/>
                <w:color w:val="000000"/>
                <w:sz w:val="14"/>
                <w:szCs w:val="14"/>
              </w:rPr>
              <w:t>2018</w:t>
            </w:r>
          </w:p>
        </w:tc>
        <w:tc>
          <w:tcPr>
            <w:tcW w:w="781" w:type="pct"/>
            <w:tcBorders>
              <w:top w:val="nil"/>
              <w:left w:val="nil"/>
              <w:bottom w:val="single" w:sz="4" w:space="0" w:color="auto"/>
              <w:right w:val="single" w:sz="4" w:space="0" w:color="auto"/>
            </w:tcBorders>
            <w:shd w:val="clear" w:color="000000" w:fill="BFBFBF"/>
            <w:noWrap/>
            <w:vAlign w:val="center"/>
            <w:hideMark/>
          </w:tcPr>
          <w:p w:rsidR="002B3068" w:rsidRPr="00351023" w:rsidRDefault="002B3068" w:rsidP="00DF0EF9">
            <w:pPr>
              <w:jc w:val="center"/>
              <w:rPr>
                <w:rFonts w:ascii="Times New Roman" w:hAnsi="Times New Roman" w:cs="Times New Roman"/>
                <w:b/>
                <w:bCs/>
                <w:color w:val="000000"/>
                <w:sz w:val="14"/>
                <w:szCs w:val="14"/>
                <w:lang w:eastAsia="sk-SK"/>
              </w:rPr>
            </w:pPr>
            <w:r w:rsidRPr="00351023">
              <w:rPr>
                <w:rFonts w:ascii="Times New Roman" w:hAnsi="Times New Roman" w:cs="Times New Roman"/>
                <w:b/>
                <w:bCs/>
                <w:color w:val="000000"/>
                <w:sz w:val="14"/>
                <w:szCs w:val="14"/>
              </w:rPr>
              <w:t>2019</w:t>
            </w:r>
          </w:p>
        </w:tc>
        <w:tc>
          <w:tcPr>
            <w:tcW w:w="780" w:type="pct"/>
            <w:tcBorders>
              <w:top w:val="nil"/>
              <w:left w:val="nil"/>
              <w:bottom w:val="single" w:sz="4" w:space="0" w:color="auto"/>
              <w:right w:val="single" w:sz="4" w:space="0" w:color="auto"/>
            </w:tcBorders>
            <w:shd w:val="clear" w:color="000000" w:fill="BFBFBF"/>
            <w:noWrap/>
            <w:vAlign w:val="center"/>
            <w:hideMark/>
          </w:tcPr>
          <w:p w:rsidR="002B3068" w:rsidRPr="00351023" w:rsidRDefault="002B3068" w:rsidP="00DF0EF9">
            <w:pPr>
              <w:jc w:val="center"/>
              <w:rPr>
                <w:rFonts w:ascii="Times New Roman" w:hAnsi="Times New Roman" w:cs="Times New Roman"/>
                <w:b/>
                <w:bCs/>
                <w:color w:val="000000"/>
                <w:sz w:val="14"/>
                <w:szCs w:val="14"/>
                <w:lang w:eastAsia="sk-SK"/>
              </w:rPr>
            </w:pPr>
            <w:r w:rsidRPr="00351023">
              <w:rPr>
                <w:rFonts w:ascii="Times New Roman" w:hAnsi="Times New Roman" w:cs="Times New Roman"/>
                <w:b/>
                <w:bCs/>
                <w:color w:val="000000"/>
                <w:sz w:val="14"/>
                <w:szCs w:val="14"/>
              </w:rPr>
              <w:t>2020</w:t>
            </w:r>
          </w:p>
        </w:tc>
      </w:tr>
      <w:tr w:rsidR="002B3068" w:rsidRPr="00886A7F" w:rsidTr="00DF0EF9">
        <w:trPr>
          <w:trHeight w:val="255"/>
          <w:jc w:val="center"/>
        </w:trPr>
        <w:tc>
          <w:tcPr>
            <w:tcW w:w="2658" w:type="pct"/>
            <w:tcBorders>
              <w:top w:val="nil"/>
              <w:left w:val="single" w:sz="4" w:space="0" w:color="auto"/>
              <w:bottom w:val="single" w:sz="4" w:space="0" w:color="auto"/>
              <w:right w:val="single" w:sz="4" w:space="0" w:color="auto"/>
            </w:tcBorders>
            <w:shd w:val="clear" w:color="000000" w:fill="BFBFBF"/>
            <w:noWrap/>
            <w:vAlign w:val="center"/>
            <w:hideMark/>
          </w:tcPr>
          <w:p w:rsidR="002B3068" w:rsidRPr="00351023" w:rsidRDefault="002B3068" w:rsidP="00DF0EF9">
            <w:pPr>
              <w:rPr>
                <w:rFonts w:ascii="Times New Roman" w:hAnsi="Times New Roman" w:cs="Times New Roman"/>
                <w:b/>
                <w:bCs/>
                <w:color w:val="000000"/>
                <w:sz w:val="14"/>
                <w:szCs w:val="14"/>
                <w:lang w:eastAsia="sk-SK"/>
              </w:rPr>
            </w:pPr>
            <w:r w:rsidRPr="00351023">
              <w:rPr>
                <w:rFonts w:ascii="Times New Roman" w:hAnsi="Times New Roman" w:cs="Times New Roman"/>
                <w:b/>
                <w:bCs/>
                <w:color w:val="000000"/>
                <w:sz w:val="14"/>
                <w:szCs w:val="14"/>
                <w:lang w:eastAsia="sk-SK"/>
              </w:rPr>
              <w:t>Daňové príjmy VS spolu</w:t>
            </w:r>
          </w:p>
        </w:tc>
        <w:tc>
          <w:tcPr>
            <w:tcW w:w="781" w:type="pct"/>
            <w:tcBorders>
              <w:top w:val="nil"/>
              <w:left w:val="nil"/>
              <w:bottom w:val="single" w:sz="4" w:space="0" w:color="auto"/>
              <w:right w:val="single" w:sz="4" w:space="0" w:color="auto"/>
            </w:tcBorders>
            <w:shd w:val="clear" w:color="000000" w:fill="BFBFBF"/>
            <w:noWrap/>
            <w:vAlign w:val="center"/>
          </w:tcPr>
          <w:p w:rsidR="002B3068" w:rsidRPr="00351023" w:rsidRDefault="002B3068" w:rsidP="00DF0EF9">
            <w:pPr>
              <w:jc w:val="right"/>
              <w:rPr>
                <w:rFonts w:ascii="Times New Roman" w:hAnsi="Times New Roman" w:cs="Times New Roman"/>
                <w:b/>
                <w:bCs/>
                <w:sz w:val="14"/>
                <w:szCs w:val="14"/>
                <w:lang w:eastAsia="sk-SK"/>
              </w:rPr>
            </w:pPr>
            <w:r w:rsidRPr="00351023">
              <w:rPr>
                <w:rFonts w:ascii="Times New Roman" w:hAnsi="Times New Roman" w:cs="Times New Roman"/>
                <w:b/>
                <w:bCs/>
                <w:sz w:val="14"/>
                <w:szCs w:val="14"/>
              </w:rPr>
              <w:t>451 440</w:t>
            </w:r>
          </w:p>
        </w:tc>
        <w:tc>
          <w:tcPr>
            <w:tcW w:w="781" w:type="pct"/>
            <w:tcBorders>
              <w:top w:val="nil"/>
              <w:left w:val="nil"/>
              <w:bottom w:val="single" w:sz="4" w:space="0" w:color="auto"/>
              <w:right w:val="single" w:sz="4" w:space="0" w:color="auto"/>
            </w:tcBorders>
            <w:shd w:val="clear" w:color="000000" w:fill="BFBFBF"/>
            <w:noWrap/>
            <w:vAlign w:val="center"/>
          </w:tcPr>
          <w:p w:rsidR="002B3068" w:rsidRPr="00351023" w:rsidRDefault="002B3068" w:rsidP="00DF0EF9">
            <w:pPr>
              <w:jc w:val="right"/>
              <w:rPr>
                <w:rFonts w:ascii="Times New Roman" w:hAnsi="Times New Roman" w:cs="Times New Roman"/>
                <w:b/>
                <w:bCs/>
                <w:sz w:val="14"/>
                <w:szCs w:val="14"/>
              </w:rPr>
            </w:pPr>
            <w:r w:rsidRPr="00351023">
              <w:rPr>
                <w:rFonts w:ascii="Times New Roman" w:hAnsi="Times New Roman" w:cs="Times New Roman"/>
                <w:b/>
                <w:bCs/>
                <w:sz w:val="14"/>
                <w:szCs w:val="14"/>
              </w:rPr>
              <w:t>495 623</w:t>
            </w:r>
          </w:p>
        </w:tc>
        <w:tc>
          <w:tcPr>
            <w:tcW w:w="780" w:type="pct"/>
            <w:tcBorders>
              <w:top w:val="nil"/>
              <w:left w:val="nil"/>
              <w:bottom w:val="single" w:sz="4" w:space="0" w:color="auto"/>
              <w:right w:val="single" w:sz="4" w:space="0" w:color="auto"/>
            </w:tcBorders>
            <w:shd w:val="clear" w:color="000000" w:fill="BFBFBF"/>
            <w:noWrap/>
            <w:vAlign w:val="center"/>
          </w:tcPr>
          <w:p w:rsidR="002B3068" w:rsidRPr="00351023" w:rsidRDefault="002B3068" w:rsidP="00DF0EF9">
            <w:pPr>
              <w:jc w:val="right"/>
              <w:rPr>
                <w:rFonts w:ascii="Times New Roman" w:hAnsi="Times New Roman" w:cs="Times New Roman"/>
                <w:b/>
                <w:bCs/>
                <w:sz w:val="14"/>
                <w:szCs w:val="14"/>
              </w:rPr>
            </w:pPr>
            <w:r w:rsidRPr="00351023">
              <w:rPr>
                <w:rFonts w:ascii="Times New Roman" w:hAnsi="Times New Roman" w:cs="Times New Roman"/>
                <w:b/>
                <w:bCs/>
                <w:sz w:val="14"/>
                <w:szCs w:val="14"/>
              </w:rPr>
              <w:t>552 423</w:t>
            </w:r>
          </w:p>
        </w:tc>
      </w:tr>
      <w:tr w:rsidR="002B3068" w:rsidRPr="00886A7F" w:rsidTr="00DF0EF9">
        <w:trPr>
          <w:trHeight w:val="255"/>
          <w:jc w:val="center"/>
        </w:trPr>
        <w:tc>
          <w:tcPr>
            <w:tcW w:w="2658" w:type="pct"/>
            <w:tcBorders>
              <w:top w:val="nil"/>
              <w:left w:val="single" w:sz="4" w:space="0" w:color="auto"/>
              <w:bottom w:val="single" w:sz="4" w:space="0" w:color="auto"/>
              <w:right w:val="single" w:sz="4" w:space="0" w:color="auto"/>
            </w:tcBorders>
            <w:shd w:val="clear" w:color="000000" w:fill="BFBFBF"/>
            <w:noWrap/>
            <w:vAlign w:val="center"/>
            <w:hideMark/>
          </w:tcPr>
          <w:p w:rsidR="002B3068" w:rsidRPr="00351023" w:rsidRDefault="002B3068" w:rsidP="00DF0EF9">
            <w:pPr>
              <w:ind w:firstLineChars="100" w:firstLine="141"/>
              <w:rPr>
                <w:rFonts w:ascii="Times New Roman" w:hAnsi="Times New Roman" w:cs="Times New Roman"/>
                <w:b/>
                <w:bCs/>
                <w:i/>
                <w:iCs/>
                <w:color w:val="000000"/>
                <w:sz w:val="14"/>
                <w:szCs w:val="14"/>
                <w:lang w:eastAsia="sk-SK"/>
              </w:rPr>
            </w:pPr>
            <w:r w:rsidRPr="00351023">
              <w:rPr>
                <w:rFonts w:ascii="Times New Roman" w:hAnsi="Times New Roman" w:cs="Times New Roman"/>
                <w:b/>
                <w:bCs/>
                <w:i/>
                <w:iCs/>
                <w:color w:val="000000"/>
                <w:sz w:val="14"/>
                <w:szCs w:val="14"/>
                <w:lang w:eastAsia="sk-SK"/>
              </w:rPr>
              <w:t>v % HDP</w:t>
            </w:r>
          </w:p>
        </w:tc>
        <w:tc>
          <w:tcPr>
            <w:tcW w:w="781" w:type="pct"/>
            <w:tcBorders>
              <w:top w:val="nil"/>
              <w:left w:val="nil"/>
              <w:bottom w:val="single" w:sz="4" w:space="0" w:color="auto"/>
              <w:right w:val="single" w:sz="4" w:space="0" w:color="auto"/>
            </w:tcBorders>
            <w:shd w:val="clear" w:color="000000" w:fill="BFBFBF"/>
            <w:noWrap/>
            <w:vAlign w:val="center"/>
          </w:tcPr>
          <w:p w:rsidR="002B3068" w:rsidRPr="00351023" w:rsidRDefault="002B3068" w:rsidP="00DF0EF9">
            <w:pPr>
              <w:jc w:val="right"/>
              <w:rPr>
                <w:rFonts w:ascii="Times New Roman" w:hAnsi="Times New Roman" w:cs="Times New Roman"/>
                <w:b/>
                <w:bCs/>
                <w:i/>
                <w:iCs/>
                <w:sz w:val="14"/>
                <w:szCs w:val="14"/>
              </w:rPr>
            </w:pPr>
            <w:r w:rsidRPr="00351023">
              <w:rPr>
                <w:rFonts w:ascii="Times New Roman" w:hAnsi="Times New Roman" w:cs="Times New Roman"/>
                <w:b/>
                <w:bCs/>
                <w:i/>
                <w:iCs/>
                <w:sz w:val="14"/>
                <w:szCs w:val="14"/>
              </w:rPr>
              <w:t>0,50</w:t>
            </w:r>
          </w:p>
        </w:tc>
        <w:tc>
          <w:tcPr>
            <w:tcW w:w="781" w:type="pct"/>
            <w:tcBorders>
              <w:top w:val="nil"/>
              <w:left w:val="nil"/>
              <w:bottom w:val="single" w:sz="4" w:space="0" w:color="auto"/>
              <w:right w:val="single" w:sz="4" w:space="0" w:color="auto"/>
            </w:tcBorders>
            <w:shd w:val="clear" w:color="000000" w:fill="BFBFBF"/>
            <w:noWrap/>
            <w:vAlign w:val="center"/>
          </w:tcPr>
          <w:p w:rsidR="002B3068" w:rsidRPr="00351023" w:rsidRDefault="002B3068" w:rsidP="00DF0EF9">
            <w:pPr>
              <w:jc w:val="right"/>
              <w:rPr>
                <w:rFonts w:ascii="Times New Roman" w:hAnsi="Times New Roman" w:cs="Times New Roman"/>
                <w:b/>
                <w:bCs/>
                <w:i/>
                <w:iCs/>
                <w:sz w:val="14"/>
                <w:szCs w:val="14"/>
              </w:rPr>
            </w:pPr>
            <w:r w:rsidRPr="00351023">
              <w:rPr>
                <w:rFonts w:ascii="Times New Roman" w:hAnsi="Times New Roman" w:cs="Times New Roman"/>
                <w:b/>
                <w:bCs/>
                <w:i/>
                <w:iCs/>
                <w:sz w:val="14"/>
                <w:szCs w:val="14"/>
              </w:rPr>
              <w:t>0,51</w:t>
            </w:r>
          </w:p>
        </w:tc>
        <w:tc>
          <w:tcPr>
            <w:tcW w:w="780" w:type="pct"/>
            <w:tcBorders>
              <w:top w:val="nil"/>
              <w:left w:val="nil"/>
              <w:bottom w:val="single" w:sz="4" w:space="0" w:color="auto"/>
              <w:right w:val="single" w:sz="4" w:space="0" w:color="auto"/>
            </w:tcBorders>
            <w:shd w:val="clear" w:color="000000" w:fill="BFBFBF"/>
            <w:noWrap/>
            <w:vAlign w:val="center"/>
          </w:tcPr>
          <w:p w:rsidR="002B3068" w:rsidRPr="00351023" w:rsidRDefault="002B3068" w:rsidP="00DF0EF9">
            <w:pPr>
              <w:jc w:val="right"/>
              <w:rPr>
                <w:rFonts w:ascii="Times New Roman" w:hAnsi="Times New Roman" w:cs="Times New Roman"/>
                <w:b/>
                <w:bCs/>
                <w:i/>
                <w:iCs/>
                <w:sz w:val="14"/>
                <w:szCs w:val="14"/>
              </w:rPr>
            </w:pPr>
            <w:r w:rsidRPr="00351023">
              <w:rPr>
                <w:rFonts w:ascii="Times New Roman" w:hAnsi="Times New Roman" w:cs="Times New Roman"/>
                <w:b/>
                <w:bCs/>
                <w:i/>
                <w:iCs/>
                <w:sz w:val="14"/>
                <w:szCs w:val="14"/>
              </w:rPr>
              <w:t>0,54</w:t>
            </w:r>
          </w:p>
        </w:tc>
      </w:tr>
      <w:tr w:rsidR="002B3068" w:rsidRPr="00886A7F" w:rsidTr="00DF0EF9">
        <w:trPr>
          <w:trHeight w:val="255"/>
          <w:jc w:val="center"/>
        </w:trPr>
        <w:tc>
          <w:tcPr>
            <w:tcW w:w="2658" w:type="pct"/>
            <w:tcBorders>
              <w:top w:val="nil"/>
              <w:left w:val="single" w:sz="4" w:space="0" w:color="auto"/>
              <w:bottom w:val="single" w:sz="4" w:space="0" w:color="auto"/>
              <w:right w:val="single" w:sz="4" w:space="0" w:color="auto"/>
            </w:tcBorders>
            <w:shd w:val="clear" w:color="auto" w:fill="auto"/>
            <w:noWrap/>
            <w:vAlign w:val="center"/>
            <w:hideMark/>
          </w:tcPr>
          <w:p w:rsidR="002B3068" w:rsidRPr="00351023" w:rsidRDefault="002B3068" w:rsidP="00DF0EF9">
            <w:pPr>
              <w:ind w:firstLineChars="100" w:firstLine="140"/>
              <w:rPr>
                <w:rFonts w:ascii="Times New Roman" w:hAnsi="Times New Roman" w:cs="Times New Roman"/>
                <w:color w:val="000000"/>
                <w:sz w:val="14"/>
                <w:szCs w:val="14"/>
                <w:lang w:eastAsia="sk-SK"/>
              </w:rPr>
            </w:pPr>
            <w:r w:rsidRPr="00351023">
              <w:rPr>
                <w:rFonts w:ascii="Times New Roman" w:hAnsi="Times New Roman" w:cs="Times New Roman"/>
                <w:color w:val="000000"/>
                <w:sz w:val="14"/>
                <w:szCs w:val="14"/>
                <w:lang w:eastAsia="sk-SK"/>
              </w:rPr>
              <w:t>Dane z príjmov, ziskov a kapitálového majetku</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222 270</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203 953</w:t>
            </w:r>
          </w:p>
        </w:tc>
        <w:tc>
          <w:tcPr>
            <w:tcW w:w="780"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194 453</w:t>
            </w:r>
          </w:p>
        </w:tc>
      </w:tr>
      <w:tr w:rsidR="002B3068" w:rsidRPr="00886A7F" w:rsidTr="00DF0EF9">
        <w:trPr>
          <w:trHeight w:val="255"/>
          <w:jc w:val="center"/>
        </w:trPr>
        <w:tc>
          <w:tcPr>
            <w:tcW w:w="2658" w:type="pct"/>
            <w:tcBorders>
              <w:top w:val="nil"/>
              <w:left w:val="single" w:sz="4" w:space="0" w:color="auto"/>
              <w:bottom w:val="single" w:sz="4" w:space="0" w:color="auto"/>
              <w:right w:val="single" w:sz="4" w:space="0" w:color="auto"/>
            </w:tcBorders>
            <w:shd w:val="clear" w:color="auto" w:fill="auto"/>
            <w:noWrap/>
            <w:vAlign w:val="center"/>
            <w:hideMark/>
          </w:tcPr>
          <w:p w:rsidR="002B3068" w:rsidRPr="00351023" w:rsidRDefault="002B3068" w:rsidP="00DF0EF9">
            <w:pPr>
              <w:ind w:firstLineChars="200" w:firstLine="280"/>
              <w:rPr>
                <w:rFonts w:ascii="Times New Roman" w:hAnsi="Times New Roman" w:cs="Times New Roman"/>
                <w:color w:val="000000"/>
                <w:sz w:val="14"/>
                <w:szCs w:val="14"/>
                <w:lang w:eastAsia="sk-SK"/>
              </w:rPr>
            </w:pPr>
            <w:r w:rsidRPr="00351023">
              <w:rPr>
                <w:rFonts w:ascii="Times New Roman" w:hAnsi="Times New Roman" w:cs="Times New Roman"/>
                <w:color w:val="000000"/>
                <w:sz w:val="14"/>
                <w:szCs w:val="14"/>
                <w:lang w:eastAsia="sk-SK"/>
              </w:rPr>
              <w:t>Daň z príjmov fyzických osôb</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112 541</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130 605</w:t>
            </w:r>
          </w:p>
        </w:tc>
        <w:tc>
          <w:tcPr>
            <w:tcW w:w="780"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161 984</w:t>
            </w:r>
          </w:p>
        </w:tc>
      </w:tr>
      <w:tr w:rsidR="002B3068" w:rsidRPr="00886A7F" w:rsidTr="00DF0EF9">
        <w:trPr>
          <w:trHeight w:val="255"/>
          <w:jc w:val="center"/>
        </w:trPr>
        <w:tc>
          <w:tcPr>
            <w:tcW w:w="2658" w:type="pct"/>
            <w:tcBorders>
              <w:top w:val="nil"/>
              <w:left w:val="single" w:sz="4" w:space="0" w:color="auto"/>
              <w:bottom w:val="single" w:sz="4" w:space="0" w:color="auto"/>
              <w:right w:val="single" w:sz="4" w:space="0" w:color="auto"/>
            </w:tcBorders>
            <w:shd w:val="clear" w:color="auto" w:fill="auto"/>
            <w:noWrap/>
            <w:vAlign w:val="center"/>
            <w:hideMark/>
          </w:tcPr>
          <w:p w:rsidR="002B3068" w:rsidRPr="00351023" w:rsidRDefault="002B3068" w:rsidP="00DF0EF9">
            <w:pPr>
              <w:ind w:firstLineChars="200" w:firstLine="280"/>
              <w:rPr>
                <w:rFonts w:ascii="Times New Roman" w:hAnsi="Times New Roman" w:cs="Times New Roman"/>
                <w:color w:val="000000"/>
                <w:sz w:val="14"/>
                <w:szCs w:val="14"/>
                <w:lang w:eastAsia="sk-SK"/>
              </w:rPr>
            </w:pPr>
            <w:r w:rsidRPr="00351023">
              <w:rPr>
                <w:rFonts w:ascii="Times New Roman" w:hAnsi="Times New Roman" w:cs="Times New Roman"/>
                <w:color w:val="000000"/>
                <w:sz w:val="14"/>
                <w:szCs w:val="14"/>
                <w:lang w:eastAsia="sk-SK"/>
              </w:rPr>
              <w:t>Daň z príjmov právnických osôb</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122 619</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79 399</w:t>
            </w:r>
          </w:p>
        </w:tc>
        <w:tc>
          <w:tcPr>
            <w:tcW w:w="780"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35 719</w:t>
            </w:r>
          </w:p>
        </w:tc>
      </w:tr>
      <w:tr w:rsidR="002B3068" w:rsidRPr="00886A7F" w:rsidTr="00DF0EF9">
        <w:trPr>
          <w:trHeight w:val="255"/>
          <w:jc w:val="center"/>
        </w:trPr>
        <w:tc>
          <w:tcPr>
            <w:tcW w:w="2658" w:type="pct"/>
            <w:tcBorders>
              <w:top w:val="nil"/>
              <w:left w:val="single" w:sz="4" w:space="0" w:color="auto"/>
              <w:bottom w:val="single" w:sz="4" w:space="0" w:color="auto"/>
              <w:right w:val="single" w:sz="4" w:space="0" w:color="auto"/>
            </w:tcBorders>
            <w:shd w:val="clear" w:color="auto" w:fill="auto"/>
            <w:noWrap/>
            <w:vAlign w:val="center"/>
            <w:hideMark/>
          </w:tcPr>
          <w:p w:rsidR="002B3068" w:rsidRPr="00351023" w:rsidRDefault="002B3068" w:rsidP="00DF0EF9">
            <w:pPr>
              <w:ind w:firstLineChars="200" w:firstLine="280"/>
              <w:rPr>
                <w:rFonts w:ascii="Times New Roman" w:hAnsi="Times New Roman" w:cs="Times New Roman"/>
                <w:color w:val="000000"/>
                <w:sz w:val="14"/>
                <w:szCs w:val="14"/>
                <w:lang w:eastAsia="sk-SK"/>
              </w:rPr>
            </w:pPr>
            <w:r w:rsidRPr="00351023">
              <w:rPr>
                <w:rFonts w:ascii="Times New Roman" w:hAnsi="Times New Roman" w:cs="Times New Roman"/>
                <w:color w:val="000000"/>
                <w:sz w:val="14"/>
                <w:szCs w:val="14"/>
                <w:lang w:eastAsia="sk-SK"/>
              </w:rPr>
              <w:t>Daň z príjmov vyberaná zrážkou</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-12 890</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-6 051</w:t>
            </w:r>
          </w:p>
        </w:tc>
        <w:tc>
          <w:tcPr>
            <w:tcW w:w="780"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-3 250</w:t>
            </w:r>
          </w:p>
        </w:tc>
      </w:tr>
      <w:tr w:rsidR="002B3068" w:rsidRPr="00886A7F" w:rsidTr="00DF0EF9">
        <w:trPr>
          <w:trHeight w:val="255"/>
          <w:jc w:val="center"/>
        </w:trPr>
        <w:tc>
          <w:tcPr>
            <w:tcW w:w="2658" w:type="pct"/>
            <w:tcBorders>
              <w:top w:val="nil"/>
              <w:left w:val="single" w:sz="4" w:space="0" w:color="auto"/>
              <w:bottom w:val="single" w:sz="4" w:space="0" w:color="auto"/>
              <w:right w:val="single" w:sz="4" w:space="0" w:color="auto"/>
            </w:tcBorders>
            <w:shd w:val="clear" w:color="auto" w:fill="auto"/>
            <w:noWrap/>
            <w:vAlign w:val="center"/>
            <w:hideMark/>
          </w:tcPr>
          <w:p w:rsidR="002B3068" w:rsidRPr="00351023" w:rsidRDefault="002B3068" w:rsidP="00DF0EF9">
            <w:pPr>
              <w:ind w:firstLineChars="100" w:firstLine="140"/>
              <w:rPr>
                <w:rFonts w:ascii="Times New Roman" w:hAnsi="Times New Roman" w:cs="Times New Roman"/>
                <w:color w:val="000000"/>
                <w:sz w:val="14"/>
                <w:szCs w:val="14"/>
                <w:lang w:eastAsia="sk-SK"/>
              </w:rPr>
            </w:pPr>
            <w:r w:rsidRPr="00351023">
              <w:rPr>
                <w:rFonts w:ascii="Times New Roman" w:hAnsi="Times New Roman" w:cs="Times New Roman"/>
                <w:color w:val="000000"/>
                <w:sz w:val="14"/>
                <w:szCs w:val="14"/>
                <w:lang w:eastAsia="sk-SK"/>
              </w:rPr>
              <w:t>Daň z pridanej hodnoty</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245 094</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261 637</w:t>
            </w:r>
          </w:p>
        </w:tc>
        <w:tc>
          <w:tcPr>
            <w:tcW w:w="780"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306 530</w:t>
            </w:r>
          </w:p>
        </w:tc>
      </w:tr>
      <w:tr w:rsidR="002B3068" w:rsidRPr="00886A7F" w:rsidTr="00DF0EF9">
        <w:trPr>
          <w:trHeight w:val="255"/>
          <w:jc w:val="center"/>
        </w:trPr>
        <w:tc>
          <w:tcPr>
            <w:tcW w:w="2658" w:type="pct"/>
            <w:tcBorders>
              <w:top w:val="nil"/>
              <w:left w:val="single" w:sz="4" w:space="0" w:color="auto"/>
              <w:bottom w:val="single" w:sz="4" w:space="0" w:color="auto"/>
              <w:right w:val="single" w:sz="4" w:space="0" w:color="auto"/>
            </w:tcBorders>
            <w:shd w:val="clear" w:color="auto" w:fill="auto"/>
            <w:noWrap/>
            <w:vAlign w:val="center"/>
            <w:hideMark/>
          </w:tcPr>
          <w:p w:rsidR="002B3068" w:rsidRPr="00351023" w:rsidRDefault="002B3068" w:rsidP="00DF0EF9">
            <w:pPr>
              <w:ind w:firstLineChars="100" w:firstLine="140"/>
              <w:rPr>
                <w:rFonts w:ascii="Times New Roman" w:hAnsi="Times New Roman" w:cs="Times New Roman"/>
                <w:color w:val="000000"/>
                <w:sz w:val="14"/>
                <w:szCs w:val="14"/>
                <w:lang w:eastAsia="sk-SK"/>
              </w:rPr>
            </w:pPr>
            <w:r w:rsidRPr="00351023">
              <w:rPr>
                <w:rFonts w:ascii="Times New Roman" w:hAnsi="Times New Roman" w:cs="Times New Roman"/>
                <w:color w:val="000000"/>
                <w:sz w:val="14"/>
                <w:szCs w:val="14"/>
                <w:lang w:eastAsia="sk-SK"/>
              </w:rPr>
              <w:t>Spotrebné dane</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-13 780</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-13 439</w:t>
            </w:r>
          </w:p>
        </w:tc>
        <w:tc>
          <w:tcPr>
            <w:tcW w:w="780"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-9 143</w:t>
            </w:r>
          </w:p>
        </w:tc>
      </w:tr>
      <w:tr w:rsidR="002B3068" w:rsidRPr="00886A7F" w:rsidTr="00DF0EF9">
        <w:trPr>
          <w:trHeight w:val="255"/>
          <w:jc w:val="center"/>
        </w:trPr>
        <w:tc>
          <w:tcPr>
            <w:tcW w:w="2658" w:type="pct"/>
            <w:tcBorders>
              <w:top w:val="nil"/>
              <w:left w:val="single" w:sz="4" w:space="0" w:color="auto"/>
              <w:bottom w:val="single" w:sz="4" w:space="0" w:color="auto"/>
              <w:right w:val="single" w:sz="4" w:space="0" w:color="auto"/>
            </w:tcBorders>
            <w:shd w:val="clear" w:color="auto" w:fill="auto"/>
            <w:noWrap/>
            <w:vAlign w:val="center"/>
            <w:hideMark/>
          </w:tcPr>
          <w:p w:rsidR="002B3068" w:rsidRPr="00351023" w:rsidRDefault="002B3068" w:rsidP="00DF0EF9">
            <w:pPr>
              <w:ind w:firstLineChars="100" w:firstLine="140"/>
              <w:rPr>
                <w:rFonts w:ascii="Times New Roman" w:hAnsi="Times New Roman" w:cs="Times New Roman"/>
                <w:color w:val="000000"/>
                <w:sz w:val="14"/>
                <w:szCs w:val="14"/>
                <w:lang w:eastAsia="sk-SK"/>
              </w:rPr>
            </w:pPr>
            <w:r w:rsidRPr="00351023">
              <w:rPr>
                <w:rFonts w:ascii="Times New Roman" w:hAnsi="Times New Roman" w:cs="Times New Roman"/>
                <w:color w:val="000000"/>
                <w:sz w:val="14"/>
                <w:szCs w:val="14"/>
                <w:lang w:eastAsia="sk-SK"/>
              </w:rPr>
              <w:t>Dane z medzinárodného obchodu a transakcií</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-4 164</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-4 248</w:t>
            </w:r>
          </w:p>
        </w:tc>
        <w:tc>
          <w:tcPr>
            <w:tcW w:w="780"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-4 333</w:t>
            </w:r>
          </w:p>
        </w:tc>
      </w:tr>
      <w:tr w:rsidR="002B3068" w:rsidRPr="00886A7F" w:rsidTr="00DF0EF9">
        <w:trPr>
          <w:trHeight w:val="255"/>
          <w:jc w:val="center"/>
        </w:trPr>
        <w:tc>
          <w:tcPr>
            <w:tcW w:w="2658" w:type="pct"/>
            <w:tcBorders>
              <w:top w:val="nil"/>
              <w:left w:val="single" w:sz="4" w:space="0" w:color="auto"/>
              <w:bottom w:val="single" w:sz="4" w:space="0" w:color="auto"/>
              <w:right w:val="single" w:sz="4" w:space="0" w:color="auto"/>
            </w:tcBorders>
            <w:shd w:val="clear" w:color="auto" w:fill="auto"/>
            <w:noWrap/>
            <w:vAlign w:val="center"/>
            <w:hideMark/>
          </w:tcPr>
          <w:p w:rsidR="002B3068" w:rsidRPr="00351023" w:rsidRDefault="002B3068" w:rsidP="00DF0EF9">
            <w:pPr>
              <w:ind w:firstLineChars="100" w:firstLine="140"/>
              <w:rPr>
                <w:rFonts w:ascii="Times New Roman" w:hAnsi="Times New Roman" w:cs="Times New Roman"/>
                <w:color w:val="000000"/>
                <w:sz w:val="14"/>
                <w:szCs w:val="14"/>
                <w:lang w:eastAsia="sk-SK"/>
              </w:rPr>
            </w:pPr>
            <w:r w:rsidRPr="00351023">
              <w:rPr>
                <w:rFonts w:ascii="Times New Roman" w:hAnsi="Times New Roman" w:cs="Times New Roman"/>
                <w:color w:val="000000"/>
                <w:sz w:val="14"/>
                <w:szCs w:val="14"/>
                <w:lang w:eastAsia="sk-SK"/>
              </w:rPr>
              <w:t>Miestne dane</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-4 771</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-20 023</w:t>
            </w:r>
          </w:p>
        </w:tc>
        <w:tc>
          <w:tcPr>
            <w:tcW w:w="780"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-18 385</w:t>
            </w:r>
          </w:p>
        </w:tc>
      </w:tr>
      <w:tr w:rsidR="002B3068" w:rsidRPr="00886A7F" w:rsidTr="00DF0EF9">
        <w:trPr>
          <w:trHeight w:val="255"/>
          <w:jc w:val="center"/>
        </w:trPr>
        <w:tc>
          <w:tcPr>
            <w:tcW w:w="2658" w:type="pct"/>
            <w:tcBorders>
              <w:top w:val="nil"/>
              <w:left w:val="single" w:sz="4" w:space="0" w:color="auto"/>
              <w:bottom w:val="single" w:sz="4" w:space="0" w:color="auto"/>
              <w:right w:val="single" w:sz="4" w:space="0" w:color="auto"/>
            </w:tcBorders>
            <w:shd w:val="clear" w:color="auto" w:fill="auto"/>
            <w:noWrap/>
            <w:vAlign w:val="center"/>
            <w:hideMark/>
          </w:tcPr>
          <w:p w:rsidR="002B3068" w:rsidRPr="00351023" w:rsidRDefault="002B3068" w:rsidP="00DF0EF9">
            <w:pPr>
              <w:ind w:firstLineChars="100" w:firstLine="140"/>
              <w:rPr>
                <w:rFonts w:ascii="Times New Roman" w:hAnsi="Times New Roman" w:cs="Times New Roman"/>
                <w:color w:val="000000"/>
                <w:sz w:val="14"/>
                <w:szCs w:val="14"/>
                <w:lang w:eastAsia="sk-SK"/>
              </w:rPr>
            </w:pPr>
            <w:r w:rsidRPr="00351023">
              <w:rPr>
                <w:rFonts w:ascii="Times New Roman" w:hAnsi="Times New Roman" w:cs="Times New Roman"/>
                <w:color w:val="000000"/>
                <w:sz w:val="14"/>
                <w:szCs w:val="14"/>
                <w:lang w:eastAsia="sk-SK"/>
              </w:rPr>
              <w:t>Ostatné dane</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6 791</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67 743</w:t>
            </w:r>
          </w:p>
        </w:tc>
        <w:tc>
          <w:tcPr>
            <w:tcW w:w="780"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83 301</w:t>
            </w:r>
          </w:p>
        </w:tc>
      </w:tr>
      <w:tr w:rsidR="002B3068" w:rsidRPr="00886A7F" w:rsidTr="00DF0EF9">
        <w:trPr>
          <w:trHeight w:val="270"/>
          <w:jc w:val="center"/>
        </w:trPr>
        <w:tc>
          <w:tcPr>
            <w:tcW w:w="2658" w:type="pct"/>
            <w:tcBorders>
              <w:top w:val="nil"/>
              <w:left w:val="single" w:sz="4" w:space="0" w:color="auto"/>
              <w:bottom w:val="single" w:sz="4" w:space="0" w:color="auto"/>
              <w:right w:val="single" w:sz="4" w:space="0" w:color="auto"/>
            </w:tcBorders>
            <w:shd w:val="clear" w:color="auto" w:fill="auto"/>
            <w:noWrap/>
            <w:vAlign w:val="center"/>
            <w:hideMark/>
          </w:tcPr>
          <w:p w:rsidR="002B3068" w:rsidRPr="00351023" w:rsidRDefault="002B3068" w:rsidP="00DF0EF9">
            <w:pPr>
              <w:ind w:firstLineChars="100" w:firstLine="140"/>
              <w:rPr>
                <w:rFonts w:ascii="Times New Roman" w:hAnsi="Times New Roman" w:cs="Times New Roman"/>
                <w:color w:val="000000"/>
                <w:sz w:val="14"/>
                <w:szCs w:val="14"/>
                <w:lang w:eastAsia="sk-SK"/>
              </w:rPr>
            </w:pPr>
            <w:r w:rsidRPr="00351023">
              <w:rPr>
                <w:rFonts w:ascii="Times New Roman" w:hAnsi="Times New Roman" w:cs="Times New Roman"/>
                <w:color w:val="000000"/>
                <w:sz w:val="14"/>
                <w:szCs w:val="14"/>
                <w:lang w:eastAsia="sk-SK"/>
              </w:rPr>
              <w:t>Sociálna poisťovňa (EAO + dlžné)</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380 371</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290 269</w:t>
            </w:r>
          </w:p>
        </w:tc>
        <w:tc>
          <w:tcPr>
            <w:tcW w:w="780"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357 927</w:t>
            </w:r>
          </w:p>
        </w:tc>
      </w:tr>
      <w:tr w:rsidR="002B3068" w:rsidRPr="00886A7F" w:rsidTr="00DF0EF9">
        <w:trPr>
          <w:trHeight w:val="255"/>
          <w:jc w:val="center"/>
        </w:trPr>
        <w:tc>
          <w:tcPr>
            <w:tcW w:w="2658" w:type="pct"/>
            <w:tcBorders>
              <w:top w:val="nil"/>
              <w:left w:val="single" w:sz="4" w:space="0" w:color="auto"/>
              <w:bottom w:val="single" w:sz="4" w:space="0" w:color="auto"/>
              <w:right w:val="single" w:sz="4" w:space="0" w:color="auto"/>
            </w:tcBorders>
            <w:shd w:val="clear" w:color="auto" w:fill="auto"/>
            <w:noWrap/>
            <w:vAlign w:val="center"/>
            <w:hideMark/>
          </w:tcPr>
          <w:p w:rsidR="002B3068" w:rsidRPr="00351023" w:rsidRDefault="002B3068" w:rsidP="00DF0EF9">
            <w:pPr>
              <w:ind w:firstLineChars="100" w:firstLine="140"/>
              <w:rPr>
                <w:rFonts w:ascii="Times New Roman" w:hAnsi="Times New Roman" w:cs="Times New Roman"/>
                <w:color w:val="000000"/>
                <w:sz w:val="14"/>
                <w:szCs w:val="14"/>
                <w:lang w:eastAsia="sk-SK"/>
              </w:rPr>
            </w:pPr>
            <w:r w:rsidRPr="00351023">
              <w:rPr>
                <w:rFonts w:ascii="Times New Roman" w:hAnsi="Times New Roman" w:cs="Times New Roman"/>
                <w:color w:val="000000"/>
                <w:sz w:val="14"/>
                <w:szCs w:val="14"/>
                <w:lang w:eastAsia="sk-SK"/>
              </w:rPr>
              <w:t>Zdravotné poisťovne (EAO + dlžné)</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114 195</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223 432</w:t>
            </w:r>
          </w:p>
        </w:tc>
        <w:tc>
          <w:tcPr>
            <w:tcW w:w="780"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237 944</w:t>
            </w:r>
          </w:p>
        </w:tc>
      </w:tr>
      <w:tr w:rsidR="002B3068" w:rsidRPr="00886A7F" w:rsidTr="00DF0EF9">
        <w:trPr>
          <w:trHeight w:val="255"/>
          <w:jc w:val="center"/>
        </w:trPr>
        <w:tc>
          <w:tcPr>
            <w:tcW w:w="2658" w:type="pct"/>
            <w:tcBorders>
              <w:top w:val="nil"/>
              <w:left w:val="single" w:sz="4" w:space="0" w:color="auto"/>
              <w:bottom w:val="single" w:sz="4" w:space="0" w:color="auto"/>
              <w:right w:val="single" w:sz="4" w:space="0" w:color="auto"/>
            </w:tcBorders>
            <w:shd w:val="clear" w:color="000000" w:fill="BFBFBF"/>
            <w:noWrap/>
            <w:vAlign w:val="center"/>
            <w:hideMark/>
          </w:tcPr>
          <w:p w:rsidR="002B3068" w:rsidRPr="00351023" w:rsidRDefault="002B3068" w:rsidP="00DF0EF9">
            <w:pPr>
              <w:rPr>
                <w:rFonts w:ascii="Times New Roman" w:hAnsi="Times New Roman" w:cs="Times New Roman"/>
                <w:b/>
                <w:bCs/>
                <w:color w:val="000000"/>
                <w:sz w:val="14"/>
                <w:szCs w:val="14"/>
                <w:lang w:eastAsia="sk-SK"/>
              </w:rPr>
            </w:pPr>
            <w:r w:rsidRPr="00351023">
              <w:rPr>
                <w:rFonts w:ascii="Times New Roman" w:hAnsi="Times New Roman" w:cs="Times New Roman"/>
                <w:b/>
                <w:bCs/>
                <w:color w:val="000000"/>
                <w:sz w:val="14"/>
                <w:szCs w:val="14"/>
                <w:lang w:eastAsia="sk-SK"/>
              </w:rPr>
              <w:t>Daňové príjmy a príjmy FSZP spolu</w:t>
            </w:r>
          </w:p>
        </w:tc>
        <w:tc>
          <w:tcPr>
            <w:tcW w:w="781" w:type="pct"/>
            <w:tcBorders>
              <w:top w:val="nil"/>
              <w:left w:val="nil"/>
              <w:bottom w:val="single" w:sz="4" w:space="0" w:color="auto"/>
              <w:right w:val="single" w:sz="4" w:space="0" w:color="auto"/>
            </w:tcBorders>
            <w:shd w:val="clear" w:color="000000" w:fill="BFBFBF"/>
            <w:noWrap/>
            <w:vAlign w:val="center"/>
          </w:tcPr>
          <w:p w:rsidR="002B3068" w:rsidRPr="00351023" w:rsidRDefault="002B3068" w:rsidP="00DF0EF9">
            <w:pPr>
              <w:jc w:val="right"/>
              <w:rPr>
                <w:rFonts w:ascii="Times New Roman" w:hAnsi="Times New Roman" w:cs="Times New Roman"/>
                <w:b/>
                <w:bCs/>
                <w:sz w:val="14"/>
                <w:szCs w:val="14"/>
              </w:rPr>
            </w:pPr>
            <w:r w:rsidRPr="00351023">
              <w:rPr>
                <w:rFonts w:ascii="Times New Roman" w:hAnsi="Times New Roman" w:cs="Times New Roman"/>
                <w:b/>
                <w:bCs/>
                <w:sz w:val="14"/>
                <w:szCs w:val="14"/>
              </w:rPr>
              <w:t>946 006</w:t>
            </w:r>
          </w:p>
        </w:tc>
        <w:tc>
          <w:tcPr>
            <w:tcW w:w="781" w:type="pct"/>
            <w:tcBorders>
              <w:top w:val="nil"/>
              <w:left w:val="nil"/>
              <w:bottom w:val="single" w:sz="4" w:space="0" w:color="auto"/>
              <w:right w:val="single" w:sz="4" w:space="0" w:color="auto"/>
            </w:tcBorders>
            <w:shd w:val="clear" w:color="000000" w:fill="BFBFBF"/>
            <w:noWrap/>
            <w:vAlign w:val="center"/>
          </w:tcPr>
          <w:p w:rsidR="002B3068" w:rsidRPr="00351023" w:rsidRDefault="002B3068" w:rsidP="00DF0EF9">
            <w:pPr>
              <w:jc w:val="right"/>
              <w:rPr>
                <w:rFonts w:ascii="Times New Roman" w:hAnsi="Times New Roman" w:cs="Times New Roman"/>
                <w:b/>
                <w:bCs/>
                <w:sz w:val="14"/>
                <w:szCs w:val="14"/>
              </w:rPr>
            </w:pPr>
            <w:r w:rsidRPr="00351023">
              <w:rPr>
                <w:rFonts w:ascii="Times New Roman" w:hAnsi="Times New Roman" w:cs="Times New Roman"/>
                <w:b/>
                <w:bCs/>
                <w:sz w:val="14"/>
                <w:szCs w:val="14"/>
              </w:rPr>
              <w:t>1 009 324</w:t>
            </w:r>
          </w:p>
        </w:tc>
        <w:tc>
          <w:tcPr>
            <w:tcW w:w="780" w:type="pct"/>
            <w:tcBorders>
              <w:top w:val="nil"/>
              <w:left w:val="nil"/>
              <w:bottom w:val="single" w:sz="4" w:space="0" w:color="auto"/>
              <w:right w:val="single" w:sz="4" w:space="0" w:color="auto"/>
            </w:tcBorders>
            <w:shd w:val="clear" w:color="000000" w:fill="BFBFBF"/>
            <w:noWrap/>
            <w:vAlign w:val="center"/>
          </w:tcPr>
          <w:p w:rsidR="002B3068" w:rsidRPr="00351023" w:rsidRDefault="002B3068" w:rsidP="00DF0EF9">
            <w:pPr>
              <w:jc w:val="right"/>
              <w:rPr>
                <w:rFonts w:ascii="Times New Roman" w:hAnsi="Times New Roman" w:cs="Times New Roman"/>
                <w:b/>
                <w:bCs/>
                <w:sz w:val="14"/>
                <w:szCs w:val="14"/>
              </w:rPr>
            </w:pPr>
            <w:r w:rsidRPr="00351023">
              <w:rPr>
                <w:rFonts w:ascii="Times New Roman" w:hAnsi="Times New Roman" w:cs="Times New Roman"/>
                <w:b/>
                <w:bCs/>
                <w:sz w:val="14"/>
                <w:szCs w:val="14"/>
              </w:rPr>
              <w:t>1 148 294</w:t>
            </w:r>
          </w:p>
        </w:tc>
      </w:tr>
      <w:tr w:rsidR="002B3068" w:rsidRPr="00886A7F" w:rsidTr="00DF0EF9">
        <w:trPr>
          <w:trHeight w:val="255"/>
          <w:jc w:val="center"/>
        </w:trPr>
        <w:tc>
          <w:tcPr>
            <w:tcW w:w="2658" w:type="pct"/>
            <w:tcBorders>
              <w:top w:val="nil"/>
              <w:left w:val="single" w:sz="4" w:space="0" w:color="auto"/>
              <w:bottom w:val="single" w:sz="4" w:space="0" w:color="auto"/>
              <w:right w:val="single" w:sz="4" w:space="0" w:color="auto"/>
            </w:tcBorders>
            <w:shd w:val="clear" w:color="auto" w:fill="auto"/>
            <w:noWrap/>
            <w:vAlign w:val="center"/>
            <w:hideMark/>
          </w:tcPr>
          <w:p w:rsidR="002B3068" w:rsidRPr="00351023" w:rsidRDefault="002B3068" w:rsidP="00DF0EF9">
            <w:pPr>
              <w:rPr>
                <w:rFonts w:ascii="Times New Roman" w:hAnsi="Times New Roman" w:cs="Times New Roman"/>
                <w:color w:val="000000"/>
                <w:sz w:val="14"/>
                <w:szCs w:val="14"/>
                <w:lang w:eastAsia="sk-SK"/>
              </w:rPr>
            </w:pPr>
            <w:r w:rsidRPr="00351023">
              <w:rPr>
                <w:rFonts w:ascii="Times New Roman" w:hAnsi="Times New Roman" w:cs="Times New Roman"/>
                <w:color w:val="000000"/>
                <w:sz w:val="14"/>
                <w:szCs w:val="14"/>
                <w:lang w:eastAsia="sk-SK"/>
              </w:rPr>
              <w:t>Sankcie</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1 898</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1 867</w:t>
            </w:r>
          </w:p>
        </w:tc>
        <w:tc>
          <w:tcPr>
            <w:tcW w:w="780"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1 867</w:t>
            </w:r>
          </w:p>
        </w:tc>
      </w:tr>
      <w:tr w:rsidR="002B3068" w:rsidRPr="00886A7F" w:rsidTr="00DF0EF9">
        <w:trPr>
          <w:trHeight w:val="255"/>
          <w:jc w:val="center"/>
        </w:trPr>
        <w:tc>
          <w:tcPr>
            <w:tcW w:w="2658" w:type="pct"/>
            <w:tcBorders>
              <w:top w:val="nil"/>
              <w:left w:val="single" w:sz="4" w:space="0" w:color="auto"/>
              <w:bottom w:val="single" w:sz="4" w:space="0" w:color="auto"/>
              <w:right w:val="single" w:sz="4" w:space="0" w:color="auto"/>
            </w:tcBorders>
            <w:shd w:val="clear" w:color="auto" w:fill="auto"/>
            <w:noWrap/>
            <w:vAlign w:val="center"/>
            <w:hideMark/>
          </w:tcPr>
          <w:p w:rsidR="002B3068" w:rsidRPr="00351023" w:rsidRDefault="002B3068" w:rsidP="00DF0EF9">
            <w:pPr>
              <w:rPr>
                <w:rFonts w:ascii="Times New Roman" w:hAnsi="Times New Roman" w:cs="Times New Roman"/>
                <w:color w:val="000000"/>
                <w:sz w:val="14"/>
                <w:szCs w:val="14"/>
                <w:lang w:eastAsia="sk-SK"/>
              </w:rPr>
            </w:pPr>
            <w:r w:rsidRPr="00351023">
              <w:rPr>
                <w:rFonts w:ascii="Times New Roman" w:hAnsi="Times New Roman" w:cs="Times New Roman"/>
                <w:color w:val="000000"/>
                <w:sz w:val="14"/>
                <w:szCs w:val="14"/>
                <w:lang w:eastAsia="sk-SK"/>
              </w:rPr>
              <w:t>Daňové príjmy a príjmy FSZP vrátane sankcií</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947 904</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1 011 191</w:t>
            </w:r>
          </w:p>
        </w:tc>
        <w:tc>
          <w:tcPr>
            <w:tcW w:w="780"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1 150 161</w:t>
            </w:r>
          </w:p>
        </w:tc>
      </w:tr>
      <w:tr w:rsidR="002B3068" w:rsidRPr="00886A7F" w:rsidTr="00DF0EF9">
        <w:trPr>
          <w:trHeight w:val="255"/>
          <w:jc w:val="center"/>
        </w:trPr>
        <w:tc>
          <w:tcPr>
            <w:tcW w:w="2658" w:type="pct"/>
            <w:tcBorders>
              <w:top w:val="nil"/>
              <w:left w:val="single" w:sz="4" w:space="0" w:color="auto"/>
              <w:bottom w:val="single" w:sz="4" w:space="0" w:color="auto"/>
              <w:right w:val="single" w:sz="4" w:space="0" w:color="auto"/>
            </w:tcBorders>
            <w:shd w:val="clear" w:color="000000" w:fill="BFBFBF"/>
            <w:noWrap/>
            <w:vAlign w:val="center"/>
            <w:hideMark/>
          </w:tcPr>
          <w:p w:rsidR="002B3068" w:rsidRPr="00351023" w:rsidRDefault="002B3068" w:rsidP="00DF0EF9">
            <w:pPr>
              <w:rPr>
                <w:rFonts w:ascii="Times New Roman" w:hAnsi="Times New Roman" w:cs="Times New Roman"/>
                <w:b/>
                <w:bCs/>
                <w:color w:val="000000"/>
                <w:sz w:val="14"/>
                <w:szCs w:val="14"/>
                <w:lang w:eastAsia="sk-SK"/>
              </w:rPr>
            </w:pPr>
            <w:r w:rsidRPr="00351023">
              <w:rPr>
                <w:rFonts w:ascii="Times New Roman" w:hAnsi="Times New Roman" w:cs="Times New Roman"/>
                <w:b/>
                <w:bCs/>
                <w:color w:val="000000"/>
                <w:sz w:val="14"/>
                <w:szCs w:val="14"/>
                <w:lang w:eastAsia="sk-SK"/>
              </w:rPr>
              <w:t>Výdavky na VPÚ</w:t>
            </w:r>
          </w:p>
        </w:tc>
        <w:tc>
          <w:tcPr>
            <w:tcW w:w="781" w:type="pct"/>
            <w:tcBorders>
              <w:top w:val="nil"/>
              <w:left w:val="nil"/>
              <w:bottom w:val="single" w:sz="4" w:space="0" w:color="auto"/>
              <w:right w:val="single" w:sz="4" w:space="0" w:color="auto"/>
            </w:tcBorders>
            <w:shd w:val="clear" w:color="000000" w:fill="BFBFBF"/>
            <w:noWrap/>
            <w:vAlign w:val="center"/>
          </w:tcPr>
          <w:p w:rsidR="002B3068" w:rsidRPr="00351023" w:rsidRDefault="002B3068" w:rsidP="00DF0EF9">
            <w:pPr>
              <w:jc w:val="right"/>
              <w:rPr>
                <w:rFonts w:ascii="Times New Roman" w:hAnsi="Times New Roman" w:cs="Times New Roman"/>
                <w:b/>
                <w:bCs/>
                <w:sz w:val="14"/>
                <w:szCs w:val="14"/>
              </w:rPr>
            </w:pPr>
            <w:r w:rsidRPr="00351023">
              <w:rPr>
                <w:rFonts w:ascii="Times New Roman" w:hAnsi="Times New Roman" w:cs="Times New Roman"/>
                <w:b/>
                <w:bCs/>
                <w:sz w:val="14"/>
                <w:szCs w:val="14"/>
              </w:rPr>
              <w:t>2 160</w:t>
            </w:r>
          </w:p>
        </w:tc>
        <w:tc>
          <w:tcPr>
            <w:tcW w:w="781" w:type="pct"/>
            <w:tcBorders>
              <w:top w:val="nil"/>
              <w:left w:val="nil"/>
              <w:bottom w:val="single" w:sz="4" w:space="0" w:color="auto"/>
              <w:right w:val="single" w:sz="4" w:space="0" w:color="auto"/>
            </w:tcBorders>
            <w:shd w:val="clear" w:color="000000" w:fill="BFBFBF"/>
            <w:noWrap/>
            <w:vAlign w:val="center"/>
          </w:tcPr>
          <w:p w:rsidR="002B3068" w:rsidRPr="00351023" w:rsidRDefault="002B3068" w:rsidP="00DF0EF9">
            <w:pPr>
              <w:jc w:val="right"/>
              <w:rPr>
                <w:rFonts w:ascii="Times New Roman" w:hAnsi="Times New Roman" w:cs="Times New Roman"/>
                <w:b/>
                <w:bCs/>
                <w:sz w:val="14"/>
                <w:szCs w:val="14"/>
              </w:rPr>
            </w:pPr>
            <w:r w:rsidRPr="00351023">
              <w:rPr>
                <w:rFonts w:ascii="Times New Roman" w:hAnsi="Times New Roman" w:cs="Times New Roman"/>
                <w:b/>
                <w:bCs/>
                <w:sz w:val="14"/>
                <w:szCs w:val="14"/>
              </w:rPr>
              <w:t>3 536</w:t>
            </w:r>
          </w:p>
        </w:tc>
        <w:tc>
          <w:tcPr>
            <w:tcW w:w="780" w:type="pct"/>
            <w:tcBorders>
              <w:top w:val="nil"/>
              <w:left w:val="nil"/>
              <w:bottom w:val="single" w:sz="4" w:space="0" w:color="auto"/>
              <w:right w:val="single" w:sz="4" w:space="0" w:color="auto"/>
            </w:tcBorders>
            <w:shd w:val="clear" w:color="000000" w:fill="BFBFBF"/>
            <w:noWrap/>
            <w:vAlign w:val="center"/>
          </w:tcPr>
          <w:p w:rsidR="002B3068" w:rsidRPr="00351023" w:rsidRDefault="002B3068" w:rsidP="00DF0EF9">
            <w:pPr>
              <w:jc w:val="right"/>
              <w:rPr>
                <w:rFonts w:ascii="Times New Roman" w:hAnsi="Times New Roman" w:cs="Times New Roman"/>
                <w:b/>
                <w:bCs/>
                <w:sz w:val="14"/>
                <w:szCs w:val="14"/>
              </w:rPr>
            </w:pPr>
            <w:r w:rsidRPr="00351023">
              <w:rPr>
                <w:rFonts w:ascii="Times New Roman" w:hAnsi="Times New Roman" w:cs="Times New Roman"/>
                <w:b/>
                <w:bCs/>
                <w:sz w:val="14"/>
                <w:szCs w:val="14"/>
              </w:rPr>
              <w:t>3 313</w:t>
            </w:r>
          </w:p>
        </w:tc>
      </w:tr>
      <w:tr w:rsidR="002B3068" w:rsidRPr="00886A7F" w:rsidTr="00DF0EF9">
        <w:trPr>
          <w:trHeight w:val="255"/>
          <w:jc w:val="center"/>
        </w:trPr>
        <w:tc>
          <w:tcPr>
            <w:tcW w:w="2658" w:type="pct"/>
            <w:tcBorders>
              <w:top w:val="nil"/>
              <w:left w:val="single" w:sz="4" w:space="0" w:color="auto"/>
              <w:bottom w:val="single" w:sz="4" w:space="0" w:color="auto"/>
              <w:right w:val="single" w:sz="4" w:space="0" w:color="auto"/>
            </w:tcBorders>
            <w:shd w:val="clear" w:color="auto" w:fill="auto"/>
            <w:noWrap/>
            <w:vAlign w:val="center"/>
            <w:hideMark/>
          </w:tcPr>
          <w:p w:rsidR="002B3068" w:rsidRPr="00351023" w:rsidRDefault="002B3068" w:rsidP="00DF0EF9">
            <w:pPr>
              <w:ind w:firstLineChars="100" w:firstLine="140"/>
              <w:rPr>
                <w:rFonts w:ascii="Times New Roman" w:hAnsi="Times New Roman" w:cs="Times New Roman"/>
                <w:color w:val="000000"/>
                <w:sz w:val="14"/>
                <w:szCs w:val="14"/>
                <w:lang w:eastAsia="sk-SK"/>
              </w:rPr>
            </w:pPr>
            <w:r w:rsidRPr="00351023">
              <w:rPr>
                <w:rFonts w:ascii="Times New Roman" w:hAnsi="Times New Roman" w:cs="Times New Roman"/>
                <w:color w:val="000000"/>
                <w:sz w:val="14"/>
                <w:szCs w:val="14"/>
                <w:lang w:eastAsia="sk-SK"/>
              </w:rPr>
              <w:t>Daň z príjmov fyzických osôb</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494</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2 155</w:t>
            </w:r>
          </w:p>
        </w:tc>
        <w:tc>
          <w:tcPr>
            <w:tcW w:w="780"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2 471</w:t>
            </w:r>
          </w:p>
        </w:tc>
      </w:tr>
      <w:tr w:rsidR="002B3068" w:rsidRPr="00886A7F" w:rsidTr="00DF0EF9">
        <w:trPr>
          <w:trHeight w:val="255"/>
          <w:jc w:val="center"/>
        </w:trPr>
        <w:tc>
          <w:tcPr>
            <w:tcW w:w="2658" w:type="pct"/>
            <w:tcBorders>
              <w:top w:val="nil"/>
              <w:left w:val="single" w:sz="4" w:space="0" w:color="auto"/>
              <w:bottom w:val="single" w:sz="4" w:space="0" w:color="auto"/>
              <w:right w:val="single" w:sz="4" w:space="0" w:color="auto"/>
            </w:tcBorders>
            <w:shd w:val="clear" w:color="auto" w:fill="auto"/>
            <w:noWrap/>
            <w:vAlign w:val="center"/>
            <w:hideMark/>
          </w:tcPr>
          <w:p w:rsidR="002B3068" w:rsidRPr="00351023" w:rsidRDefault="002B3068" w:rsidP="00DF0EF9">
            <w:pPr>
              <w:ind w:firstLineChars="100" w:firstLine="140"/>
              <w:rPr>
                <w:rFonts w:ascii="Times New Roman" w:hAnsi="Times New Roman" w:cs="Times New Roman"/>
                <w:color w:val="000000"/>
                <w:sz w:val="14"/>
                <w:szCs w:val="14"/>
                <w:lang w:eastAsia="sk-SK"/>
              </w:rPr>
            </w:pPr>
            <w:r w:rsidRPr="00351023">
              <w:rPr>
                <w:rFonts w:ascii="Times New Roman" w:hAnsi="Times New Roman" w:cs="Times New Roman"/>
                <w:color w:val="000000"/>
                <w:sz w:val="14"/>
                <w:szCs w:val="14"/>
                <w:lang w:eastAsia="sk-SK"/>
              </w:rPr>
              <w:t>Daň z príjmov právnických osôb</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1 666</w:t>
            </w:r>
          </w:p>
        </w:tc>
        <w:tc>
          <w:tcPr>
            <w:tcW w:w="781"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1 381</w:t>
            </w:r>
          </w:p>
        </w:tc>
        <w:tc>
          <w:tcPr>
            <w:tcW w:w="780" w:type="pct"/>
            <w:tcBorders>
              <w:top w:val="nil"/>
              <w:left w:val="nil"/>
              <w:bottom w:val="single" w:sz="4" w:space="0" w:color="auto"/>
              <w:right w:val="single" w:sz="4" w:space="0" w:color="auto"/>
            </w:tcBorders>
            <w:shd w:val="clear" w:color="auto" w:fill="auto"/>
            <w:noWrap/>
            <w:vAlign w:val="center"/>
          </w:tcPr>
          <w:p w:rsidR="002B3068" w:rsidRPr="00351023" w:rsidRDefault="002B3068" w:rsidP="00DF0EF9">
            <w:pPr>
              <w:jc w:val="right"/>
              <w:rPr>
                <w:rFonts w:ascii="Times New Roman" w:hAnsi="Times New Roman" w:cs="Times New Roman"/>
                <w:sz w:val="14"/>
                <w:szCs w:val="14"/>
              </w:rPr>
            </w:pPr>
            <w:r w:rsidRPr="00351023">
              <w:rPr>
                <w:rFonts w:ascii="Times New Roman" w:hAnsi="Times New Roman" w:cs="Times New Roman"/>
                <w:sz w:val="14"/>
                <w:szCs w:val="14"/>
              </w:rPr>
              <w:t>842</w:t>
            </w:r>
          </w:p>
        </w:tc>
      </w:tr>
      <w:tr w:rsidR="002B3068" w:rsidRPr="00886A7F" w:rsidTr="00DF0EF9">
        <w:trPr>
          <w:trHeight w:val="255"/>
          <w:jc w:val="center"/>
        </w:trPr>
        <w:tc>
          <w:tcPr>
            <w:tcW w:w="5000" w:type="pct"/>
            <w:gridSpan w:val="4"/>
            <w:tcBorders>
              <w:top w:val="nil"/>
              <w:left w:val="nil"/>
              <w:bottom w:val="nil"/>
              <w:right w:val="nil"/>
            </w:tcBorders>
            <w:shd w:val="clear" w:color="auto" w:fill="auto"/>
            <w:noWrap/>
            <w:vAlign w:val="center"/>
            <w:hideMark/>
          </w:tcPr>
          <w:p w:rsidR="002B3068" w:rsidRPr="00351023" w:rsidRDefault="002B3068" w:rsidP="00DF0EF9">
            <w:pPr>
              <w:rPr>
                <w:rFonts w:ascii="Times New Roman" w:hAnsi="Times New Roman" w:cs="Times New Roman"/>
                <w:i/>
                <w:iCs/>
                <w:color w:val="000000"/>
                <w:sz w:val="14"/>
                <w:szCs w:val="14"/>
                <w:lang w:eastAsia="sk-SK"/>
              </w:rPr>
            </w:pPr>
            <w:r w:rsidRPr="00351023">
              <w:rPr>
                <w:rFonts w:ascii="Times New Roman" w:hAnsi="Times New Roman" w:cs="Times New Roman"/>
                <w:i/>
                <w:iCs/>
                <w:color w:val="000000"/>
                <w:sz w:val="14"/>
                <w:szCs w:val="14"/>
                <w:lang w:eastAsia="sk-SK"/>
              </w:rPr>
              <w:t>* (+) indikuje aktuálny odhad vyšší ako rozpočet, (-) indikuje aktuálny odhad nižší ako rozpočet</w:t>
            </w:r>
          </w:p>
        </w:tc>
      </w:tr>
    </w:tbl>
    <w:p w:rsidR="002B3068" w:rsidRPr="008A19F5" w:rsidRDefault="002B3068" w:rsidP="002B3068">
      <w:pPr>
        <w:rPr>
          <w:rFonts w:ascii="Times New Roman" w:hAnsi="Times New Roman" w:cs="Times New Roman"/>
          <w:color w:val="FF0000"/>
        </w:rPr>
      </w:pPr>
    </w:p>
    <w:p w:rsidR="002B3068" w:rsidRPr="008A19F5" w:rsidRDefault="002B3068" w:rsidP="002B3068">
      <w:pPr>
        <w:rPr>
          <w:rFonts w:ascii="Times New Roman" w:hAnsi="Times New Roman" w:cs="Times New Roman"/>
          <w:b/>
          <w:bCs/>
        </w:rPr>
      </w:pPr>
    </w:p>
    <w:p w:rsidR="002B3068" w:rsidRDefault="002B3068" w:rsidP="002B3068">
      <w:pPr>
        <w:rPr>
          <w:rFonts w:ascii="Times New Roman" w:hAnsi="Times New Roman" w:cs="Times New Roman"/>
          <w:color w:val="FF0000"/>
        </w:rPr>
      </w:pPr>
    </w:p>
    <w:p w:rsidR="002B3068" w:rsidRDefault="002B3068" w:rsidP="002B3068">
      <w:pPr>
        <w:rPr>
          <w:rFonts w:ascii="Times New Roman" w:hAnsi="Times New Roman" w:cs="Times New Roman"/>
          <w:color w:val="FF0000"/>
        </w:rPr>
      </w:pPr>
    </w:p>
    <w:p w:rsidR="002B3068" w:rsidRDefault="002B3068" w:rsidP="002B3068">
      <w:pPr>
        <w:rPr>
          <w:rFonts w:ascii="Times New Roman" w:hAnsi="Times New Roman" w:cs="Times New Roman"/>
          <w:color w:val="FF0000"/>
        </w:rPr>
      </w:pPr>
    </w:p>
    <w:p w:rsidR="000F73F6" w:rsidRDefault="000F73F6" w:rsidP="00F8741E">
      <w:pPr>
        <w:rPr>
          <w:rFonts w:ascii="Times New Roman" w:hAnsi="Times New Roman" w:cs="Times New Roman"/>
          <w:color w:val="FF0000"/>
        </w:rPr>
      </w:pPr>
    </w:p>
    <w:p w:rsidR="000F73F6" w:rsidRDefault="000F73F6" w:rsidP="000059D8">
      <w:pPr>
        <w:rPr>
          <w:rFonts w:ascii="Times New Roman" w:hAnsi="Times New Roman" w:cs="Times New Roman"/>
          <w:color w:val="FF0000"/>
        </w:rPr>
      </w:pPr>
    </w:p>
    <w:p w:rsidR="0083667D" w:rsidRDefault="0083667D" w:rsidP="000059D8">
      <w:pPr>
        <w:rPr>
          <w:rFonts w:ascii="Times New Roman" w:hAnsi="Times New Roman" w:cs="Times New Roman"/>
          <w:color w:val="FF0000"/>
        </w:rPr>
      </w:pPr>
    </w:p>
    <w:p w:rsidR="0083667D" w:rsidRDefault="0083667D" w:rsidP="000059D8">
      <w:pPr>
        <w:rPr>
          <w:rFonts w:ascii="Times New Roman" w:hAnsi="Times New Roman" w:cs="Times New Roman"/>
          <w:color w:val="FF0000"/>
        </w:rPr>
      </w:pPr>
    </w:p>
    <w:p w:rsidR="0083667D" w:rsidRDefault="0083667D" w:rsidP="000059D8">
      <w:pPr>
        <w:rPr>
          <w:rFonts w:ascii="Times New Roman" w:hAnsi="Times New Roman" w:cs="Times New Roman"/>
          <w:color w:val="FF0000"/>
        </w:rPr>
      </w:pPr>
    </w:p>
    <w:p w:rsidR="000059D8" w:rsidRDefault="000059D8" w:rsidP="000059D8">
      <w:pPr>
        <w:rPr>
          <w:rFonts w:ascii="Times New Roman" w:hAnsi="Times New Roman" w:cs="Times New Roman"/>
          <w:color w:val="FF0000"/>
        </w:rPr>
      </w:pPr>
    </w:p>
    <w:p w:rsidR="000059D8" w:rsidRDefault="000059D8" w:rsidP="000059D8">
      <w:pPr>
        <w:rPr>
          <w:rFonts w:ascii="Times New Roman" w:hAnsi="Times New Roman" w:cs="Times New Roman"/>
          <w:color w:val="FF0000"/>
        </w:rPr>
      </w:pPr>
    </w:p>
    <w:p w:rsidR="000059D8" w:rsidRPr="008A19F5" w:rsidRDefault="000059D8" w:rsidP="000059D8">
      <w:pPr>
        <w:rPr>
          <w:rFonts w:ascii="Times New Roman" w:hAnsi="Times New Roman" w:cs="Times New Roman"/>
          <w:color w:val="FF0000"/>
        </w:rPr>
      </w:pPr>
    </w:p>
    <w:bookmarkEnd w:id="35"/>
    <w:p w:rsidR="004F01E4" w:rsidRPr="00D2436A" w:rsidRDefault="004F01E4" w:rsidP="000059D8">
      <w:pPr>
        <w:rPr>
          <w:rFonts w:ascii="Times New Roman" w:hAnsi="Times New Roman" w:cs="Times New Roman"/>
        </w:rPr>
      </w:pPr>
    </w:p>
    <w:p w:rsidR="0083667D" w:rsidRDefault="00FA4300" w:rsidP="0083667D">
      <w:pPr>
        <w:pStyle w:val="Nadpis2"/>
        <w:spacing w:before="0" w:after="0"/>
        <w:rPr>
          <w:rFonts w:ascii="Times New Roman" w:hAnsi="Times New Roman"/>
          <w:i w:val="0"/>
          <w:sz w:val="24"/>
          <w:szCs w:val="24"/>
        </w:rPr>
      </w:pPr>
      <w:bookmarkStart w:id="42" w:name="_Toc210700501"/>
      <w:bookmarkStart w:id="43" w:name="_Toc314471177"/>
      <w:bookmarkStart w:id="44" w:name="_Toc526273186"/>
      <w:r w:rsidRPr="002A0245">
        <w:rPr>
          <w:rFonts w:ascii="Times New Roman" w:hAnsi="Times New Roman"/>
          <w:i w:val="0"/>
          <w:sz w:val="24"/>
          <w:szCs w:val="24"/>
        </w:rPr>
        <w:lastRenderedPageBreak/>
        <w:t>3</w:t>
      </w:r>
      <w:r w:rsidR="00DD719C" w:rsidRPr="002A0245">
        <w:rPr>
          <w:rFonts w:ascii="Times New Roman" w:hAnsi="Times New Roman"/>
          <w:i w:val="0"/>
          <w:sz w:val="24"/>
          <w:szCs w:val="24"/>
        </w:rPr>
        <w:t>.</w:t>
      </w:r>
      <w:r w:rsidR="004E44EF" w:rsidRPr="002A0245">
        <w:rPr>
          <w:rFonts w:ascii="Times New Roman" w:hAnsi="Times New Roman"/>
          <w:i w:val="0"/>
          <w:sz w:val="24"/>
          <w:szCs w:val="24"/>
        </w:rPr>
        <w:t>4</w:t>
      </w:r>
      <w:r w:rsidR="00DD719C" w:rsidRPr="002A0245">
        <w:rPr>
          <w:rFonts w:ascii="Times New Roman" w:hAnsi="Times New Roman"/>
          <w:i w:val="0"/>
          <w:sz w:val="24"/>
          <w:szCs w:val="24"/>
        </w:rPr>
        <w:t>. Rozpočtovanie iných ako daňových príjmov</w:t>
      </w:r>
      <w:bookmarkEnd w:id="42"/>
      <w:r w:rsidR="00DD719C" w:rsidRPr="002A0245">
        <w:rPr>
          <w:rFonts w:ascii="Times New Roman" w:hAnsi="Times New Roman"/>
          <w:i w:val="0"/>
          <w:sz w:val="24"/>
          <w:szCs w:val="24"/>
        </w:rPr>
        <w:t xml:space="preserve"> štátneho rozpočtu</w:t>
      </w:r>
      <w:bookmarkEnd w:id="43"/>
      <w:bookmarkEnd w:id="44"/>
    </w:p>
    <w:p w:rsidR="0083667D" w:rsidRPr="0083667D" w:rsidRDefault="0083667D" w:rsidP="0083667D"/>
    <w:p w:rsidR="0083667D" w:rsidRPr="004018DE" w:rsidRDefault="0083667D" w:rsidP="0083667D">
      <w:pPr>
        <w:jc w:val="both"/>
        <w:rPr>
          <w:rFonts w:ascii="Times New Roman" w:hAnsi="Times New Roman" w:cs="Times New Roman"/>
        </w:rPr>
      </w:pPr>
      <w:r>
        <w:rPr>
          <w:rFonts w:ascii="Times New Roman" w:hAnsi="Times New Roman" w:cs="Times New Roman"/>
        </w:rPr>
        <w:tab/>
        <w:t>Okrem daňových príjmov sú výdavkové politiky vlády financované aj z iných ako daňových príjmov, ktoré sú uvedené v nasledujúcej tabuľke.</w:t>
      </w:r>
    </w:p>
    <w:p w:rsidR="0083667D" w:rsidRPr="004018DE" w:rsidRDefault="0083667D" w:rsidP="0083667D">
      <w:pPr>
        <w:rPr>
          <w:rFonts w:ascii="Times New Roman" w:hAnsi="Times New Roman" w:cs="Times New Roman"/>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2"/>
        <w:gridCol w:w="1057"/>
        <w:gridCol w:w="1055"/>
        <w:gridCol w:w="1054"/>
        <w:gridCol w:w="1054"/>
        <w:gridCol w:w="1054"/>
        <w:gridCol w:w="1051"/>
        <w:gridCol w:w="1051"/>
      </w:tblGrid>
      <w:tr w:rsidR="0083667D" w:rsidRPr="00502053" w:rsidTr="00DF0EF9">
        <w:trPr>
          <w:trHeight w:val="345"/>
        </w:trPr>
        <w:tc>
          <w:tcPr>
            <w:tcW w:w="928" w:type="pct"/>
            <w:shd w:val="clear" w:color="000000" w:fill="A6A6A6"/>
            <w:vAlign w:val="center"/>
            <w:hideMark/>
          </w:tcPr>
          <w:p w:rsidR="0083667D" w:rsidRPr="00502053" w:rsidRDefault="0083667D" w:rsidP="00DF0EF9">
            <w:pP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v tis. eur</w:t>
            </w:r>
          </w:p>
        </w:tc>
        <w:tc>
          <w:tcPr>
            <w:tcW w:w="583"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w:t>
            </w:r>
            <w:r w:rsidRPr="00502053">
              <w:rPr>
                <w:rFonts w:ascii="Times New Roman" w:hAnsi="Times New Roman" w:cs="Times New Roman"/>
                <w:b/>
                <w:bCs/>
                <w:color w:val="000000"/>
                <w:sz w:val="14"/>
                <w:szCs w:val="14"/>
                <w:lang w:eastAsia="sk-SK"/>
              </w:rPr>
              <w:t xml:space="preserve"> S</w:t>
            </w:r>
          </w:p>
        </w:tc>
        <w:tc>
          <w:tcPr>
            <w:tcW w:w="582"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 xml:space="preserve">7 </w:t>
            </w:r>
            <w:r w:rsidRPr="00502053">
              <w:rPr>
                <w:rFonts w:ascii="Times New Roman" w:hAnsi="Times New Roman" w:cs="Times New Roman"/>
                <w:b/>
                <w:bCs/>
                <w:color w:val="000000"/>
                <w:sz w:val="14"/>
                <w:szCs w:val="14"/>
                <w:lang w:eastAsia="sk-SK"/>
              </w:rPr>
              <w:t>S</w:t>
            </w:r>
          </w:p>
        </w:tc>
        <w:tc>
          <w:tcPr>
            <w:tcW w:w="582"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 R</w:t>
            </w:r>
          </w:p>
        </w:tc>
        <w:tc>
          <w:tcPr>
            <w:tcW w:w="582"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502053">
              <w:rPr>
                <w:rFonts w:ascii="Times New Roman" w:hAnsi="Times New Roman" w:cs="Times New Roman"/>
                <w:b/>
                <w:bCs/>
                <w:color w:val="000000"/>
                <w:sz w:val="14"/>
                <w:szCs w:val="14"/>
                <w:lang w:eastAsia="sk-SK"/>
              </w:rPr>
              <w:t xml:space="preserve"> </w:t>
            </w:r>
            <w:r>
              <w:rPr>
                <w:rFonts w:ascii="Times New Roman" w:hAnsi="Times New Roman" w:cs="Times New Roman"/>
                <w:b/>
                <w:bCs/>
                <w:color w:val="000000"/>
                <w:sz w:val="14"/>
                <w:szCs w:val="14"/>
                <w:lang w:eastAsia="sk-SK"/>
              </w:rPr>
              <w:t>OS</w:t>
            </w:r>
          </w:p>
        </w:tc>
        <w:tc>
          <w:tcPr>
            <w:tcW w:w="582"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2019</w:t>
            </w:r>
            <w:r w:rsidRPr="00502053">
              <w:rPr>
                <w:rFonts w:ascii="Times New Roman" w:hAnsi="Times New Roman" w:cs="Times New Roman"/>
                <w:b/>
                <w:bCs/>
                <w:color w:val="000000"/>
                <w:sz w:val="14"/>
                <w:szCs w:val="14"/>
                <w:lang w:eastAsia="sk-SK"/>
              </w:rPr>
              <w:t xml:space="preserve"> N</w:t>
            </w:r>
          </w:p>
        </w:tc>
        <w:tc>
          <w:tcPr>
            <w:tcW w:w="580"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2020</w:t>
            </w:r>
            <w:r w:rsidRPr="00502053">
              <w:rPr>
                <w:rFonts w:ascii="Times New Roman" w:hAnsi="Times New Roman" w:cs="Times New Roman"/>
                <w:b/>
                <w:bCs/>
                <w:color w:val="000000"/>
                <w:sz w:val="14"/>
                <w:szCs w:val="14"/>
                <w:lang w:eastAsia="sk-SK"/>
              </w:rPr>
              <w:t xml:space="preserve"> N</w:t>
            </w:r>
          </w:p>
        </w:tc>
        <w:tc>
          <w:tcPr>
            <w:tcW w:w="580"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2021</w:t>
            </w:r>
            <w:r w:rsidRPr="00502053">
              <w:rPr>
                <w:rFonts w:ascii="Times New Roman" w:hAnsi="Times New Roman" w:cs="Times New Roman"/>
                <w:b/>
                <w:bCs/>
                <w:color w:val="000000"/>
                <w:sz w:val="14"/>
                <w:szCs w:val="14"/>
                <w:lang w:eastAsia="sk-SK"/>
              </w:rPr>
              <w:t xml:space="preserve"> N</w:t>
            </w:r>
          </w:p>
        </w:tc>
      </w:tr>
      <w:tr w:rsidR="0083667D" w:rsidRPr="004F1396" w:rsidTr="00DF0EF9">
        <w:trPr>
          <w:trHeight w:val="345"/>
        </w:trPr>
        <w:tc>
          <w:tcPr>
            <w:tcW w:w="928" w:type="pct"/>
            <w:shd w:val="clear" w:color="000000" w:fill="BFBFBF"/>
            <w:vAlign w:val="center"/>
            <w:hideMark/>
          </w:tcPr>
          <w:p w:rsidR="0083667D" w:rsidRPr="00E6041E" w:rsidRDefault="0083667D" w:rsidP="00DF0EF9">
            <w:pPr>
              <w:rPr>
                <w:rFonts w:ascii="Times New Roman" w:hAnsi="Times New Roman" w:cs="Times New Roman"/>
                <w:b/>
                <w:bCs/>
                <w:color w:val="000000"/>
                <w:sz w:val="14"/>
                <w:szCs w:val="14"/>
              </w:rPr>
            </w:pPr>
            <w:r w:rsidRPr="00E6041E">
              <w:rPr>
                <w:rFonts w:ascii="Times New Roman" w:hAnsi="Times New Roman" w:cs="Times New Roman"/>
                <w:b/>
                <w:bCs/>
                <w:color w:val="000000"/>
                <w:sz w:val="14"/>
                <w:szCs w:val="14"/>
              </w:rPr>
              <w:t>Spolu</w:t>
            </w:r>
          </w:p>
        </w:tc>
        <w:tc>
          <w:tcPr>
            <w:tcW w:w="583" w:type="pct"/>
            <w:shd w:val="clear" w:color="000000" w:fill="BFBFBF"/>
            <w:vAlign w:val="center"/>
          </w:tcPr>
          <w:p w:rsidR="0083667D" w:rsidRPr="0030562B"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3 194 346</w:t>
            </w:r>
          </w:p>
        </w:tc>
        <w:tc>
          <w:tcPr>
            <w:tcW w:w="582" w:type="pct"/>
            <w:shd w:val="clear" w:color="000000" w:fill="BFBFBF"/>
            <w:vAlign w:val="center"/>
          </w:tcPr>
          <w:p w:rsidR="0083667D" w:rsidRPr="00AA0D14" w:rsidRDefault="0083667D" w:rsidP="00DF0EF9">
            <w:pPr>
              <w:jc w:val="right"/>
              <w:rPr>
                <w:rFonts w:ascii="Times New Roman" w:hAnsi="Times New Roman" w:cs="Times New Roman"/>
                <w:b/>
                <w:bCs/>
                <w:color w:val="000000"/>
                <w:sz w:val="14"/>
                <w:szCs w:val="14"/>
                <w:highlight w:val="yellow"/>
                <w:lang w:eastAsia="sk-SK"/>
              </w:rPr>
            </w:pPr>
            <w:r>
              <w:rPr>
                <w:rFonts w:ascii="Times New Roman" w:hAnsi="Times New Roman" w:cs="Times New Roman"/>
                <w:b/>
                <w:bCs/>
                <w:color w:val="000000"/>
                <w:sz w:val="14"/>
                <w:szCs w:val="14"/>
                <w:lang w:eastAsia="sk-SK"/>
              </w:rPr>
              <w:t>2 853 78</w:t>
            </w:r>
            <w:r w:rsidRPr="00994EFE">
              <w:rPr>
                <w:rFonts w:ascii="Times New Roman" w:hAnsi="Times New Roman" w:cs="Times New Roman"/>
                <w:b/>
                <w:bCs/>
                <w:color w:val="000000"/>
                <w:sz w:val="14"/>
                <w:szCs w:val="14"/>
                <w:lang w:eastAsia="sk-SK"/>
              </w:rPr>
              <w:t>7</w:t>
            </w:r>
          </w:p>
        </w:tc>
        <w:tc>
          <w:tcPr>
            <w:tcW w:w="582" w:type="pct"/>
            <w:shd w:val="clear" w:color="000000" w:fill="BFBFBF"/>
            <w:vAlign w:val="center"/>
          </w:tcPr>
          <w:p w:rsidR="0083667D" w:rsidRPr="0067250B"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2 621 292</w:t>
            </w:r>
          </w:p>
        </w:tc>
        <w:tc>
          <w:tcPr>
            <w:tcW w:w="582" w:type="pct"/>
            <w:shd w:val="clear" w:color="000000" w:fill="BFBFBF"/>
            <w:vAlign w:val="center"/>
          </w:tcPr>
          <w:p w:rsidR="0083667D" w:rsidRPr="0067250B"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2 610 076</w:t>
            </w:r>
          </w:p>
        </w:tc>
        <w:tc>
          <w:tcPr>
            <w:tcW w:w="582" w:type="pct"/>
            <w:shd w:val="clear" w:color="000000" w:fill="BFBFBF"/>
            <w:vAlign w:val="center"/>
          </w:tcPr>
          <w:p w:rsidR="0083667D" w:rsidRPr="0067250B"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3 033 096</w:t>
            </w:r>
          </w:p>
        </w:tc>
        <w:tc>
          <w:tcPr>
            <w:tcW w:w="580" w:type="pct"/>
            <w:shd w:val="clear" w:color="000000" w:fill="BFBFBF"/>
            <w:vAlign w:val="center"/>
          </w:tcPr>
          <w:p w:rsidR="0083667D" w:rsidRPr="0067250B"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4 106 271</w:t>
            </w:r>
          </w:p>
        </w:tc>
        <w:tc>
          <w:tcPr>
            <w:tcW w:w="580" w:type="pct"/>
            <w:shd w:val="clear" w:color="000000" w:fill="BFBFBF"/>
            <w:vAlign w:val="center"/>
          </w:tcPr>
          <w:p w:rsidR="0083667D" w:rsidRPr="0067250B"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3 468 848</w:t>
            </w:r>
          </w:p>
        </w:tc>
      </w:tr>
      <w:tr w:rsidR="0083667D" w:rsidRPr="004F1396" w:rsidTr="00DF0EF9">
        <w:trPr>
          <w:trHeight w:val="345"/>
        </w:trPr>
        <w:tc>
          <w:tcPr>
            <w:tcW w:w="928" w:type="pct"/>
            <w:shd w:val="clear" w:color="000000" w:fill="FFFFFF"/>
            <w:vAlign w:val="center"/>
            <w:hideMark/>
          </w:tcPr>
          <w:p w:rsidR="0083667D" w:rsidRPr="00E6041E" w:rsidRDefault="0083667D" w:rsidP="00DF0EF9">
            <w:pPr>
              <w:rPr>
                <w:rFonts w:ascii="Times New Roman" w:hAnsi="Times New Roman" w:cs="Times New Roman"/>
                <w:color w:val="000000"/>
                <w:sz w:val="14"/>
                <w:szCs w:val="14"/>
              </w:rPr>
            </w:pPr>
            <w:r w:rsidRPr="00E6041E">
              <w:rPr>
                <w:rFonts w:ascii="Times New Roman" w:hAnsi="Times New Roman" w:cs="Times New Roman"/>
                <w:color w:val="000000"/>
                <w:sz w:val="14"/>
                <w:szCs w:val="14"/>
              </w:rPr>
              <w:t>Zahraničné transfery</w:t>
            </w:r>
          </w:p>
        </w:tc>
        <w:tc>
          <w:tcPr>
            <w:tcW w:w="583" w:type="pct"/>
            <w:shd w:val="clear" w:color="000000" w:fill="FFFFFF"/>
            <w:vAlign w:val="center"/>
          </w:tcPr>
          <w:p w:rsidR="0083667D" w:rsidRPr="0030562B" w:rsidRDefault="0083667D" w:rsidP="00DF0EF9">
            <w:pPr>
              <w:jc w:val="right"/>
              <w:rPr>
                <w:rFonts w:ascii="Times New Roman" w:hAnsi="Times New Roman" w:cs="Times New Roman"/>
                <w:color w:val="000000"/>
                <w:sz w:val="14"/>
                <w:szCs w:val="14"/>
              </w:rPr>
            </w:pPr>
            <w:r w:rsidRPr="009F5FC1">
              <w:rPr>
                <w:rFonts w:ascii="Times New Roman" w:hAnsi="Times New Roman" w:cs="Times New Roman"/>
                <w:color w:val="000000"/>
                <w:sz w:val="14"/>
                <w:szCs w:val="14"/>
              </w:rPr>
              <w:t>1 939 785</w:t>
            </w:r>
          </w:p>
        </w:tc>
        <w:tc>
          <w:tcPr>
            <w:tcW w:w="582" w:type="pct"/>
            <w:shd w:val="clear" w:color="000000" w:fill="FFFFFF"/>
            <w:vAlign w:val="center"/>
          </w:tcPr>
          <w:p w:rsidR="0083667D" w:rsidRPr="00AA0D14" w:rsidRDefault="0083667D" w:rsidP="00DF0EF9">
            <w:pPr>
              <w:jc w:val="right"/>
              <w:rPr>
                <w:rFonts w:ascii="Times New Roman" w:hAnsi="Times New Roman" w:cs="Times New Roman"/>
                <w:color w:val="000000"/>
                <w:sz w:val="14"/>
                <w:szCs w:val="14"/>
                <w:highlight w:val="yellow"/>
              </w:rPr>
            </w:pPr>
            <w:r w:rsidRPr="009F5FC1">
              <w:rPr>
                <w:rFonts w:ascii="Times New Roman" w:hAnsi="Times New Roman" w:cs="Times New Roman"/>
                <w:color w:val="000000"/>
                <w:sz w:val="14"/>
                <w:szCs w:val="14"/>
              </w:rPr>
              <w:t>1 422 488</w:t>
            </w:r>
          </w:p>
        </w:tc>
        <w:tc>
          <w:tcPr>
            <w:tcW w:w="582" w:type="pct"/>
            <w:shd w:val="clear" w:color="000000"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1 378</w:t>
            </w:r>
            <w:r w:rsidRPr="00EA3A22">
              <w:rPr>
                <w:rFonts w:ascii="Times New Roman" w:hAnsi="Times New Roman" w:cs="Times New Roman"/>
                <w:color w:val="000000"/>
                <w:sz w:val="14"/>
                <w:szCs w:val="14"/>
              </w:rPr>
              <w:t xml:space="preserve"> 41</w:t>
            </w:r>
            <w:r>
              <w:rPr>
                <w:rFonts w:ascii="Times New Roman" w:hAnsi="Times New Roman" w:cs="Times New Roman"/>
                <w:color w:val="000000"/>
                <w:sz w:val="14"/>
                <w:szCs w:val="14"/>
              </w:rPr>
              <w:t>9</w:t>
            </w:r>
          </w:p>
        </w:tc>
        <w:tc>
          <w:tcPr>
            <w:tcW w:w="582" w:type="pct"/>
            <w:shd w:val="clear" w:color="000000" w:fill="FFFFFF"/>
            <w:vAlign w:val="center"/>
          </w:tcPr>
          <w:p w:rsidR="0083667D" w:rsidRPr="00022A83" w:rsidRDefault="0083667D" w:rsidP="00DF0EF9">
            <w:pPr>
              <w:jc w:val="right"/>
              <w:rPr>
                <w:rFonts w:ascii="Times New Roman" w:hAnsi="Times New Roman" w:cs="Times New Roman"/>
                <w:color w:val="000000"/>
                <w:sz w:val="14"/>
                <w:szCs w:val="14"/>
              </w:rPr>
            </w:pPr>
            <w:r w:rsidRPr="009F5FC1">
              <w:rPr>
                <w:rFonts w:ascii="Times New Roman" w:hAnsi="Times New Roman" w:cs="Times New Roman"/>
                <w:color w:val="000000"/>
                <w:sz w:val="14"/>
                <w:szCs w:val="14"/>
              </w:rPr>
              <w:t>1 419 499</w:t>
            </w:r>
          </w:p>
        </w:tc>
        <w:tc>
          <w:tcPr>
            <w:tcW w:w="582" w:type="pct"/>
            <w:shd w:val="clear" w:color="000000" w:fill="FFFFFF"/>
            <w:vAlign w:val="center"/>
          </w:tcPr>
          <w:p w:rsidR="0083667D" w:rsidRPr="00022A83" w:rsidRDefault="0083667D" w:rsidP="00DF0EF9">
            <w:pPr>
              <w:jc w:val="right"/>
              <w:rPr>
                <w:rFonts w:ascii="Times New Roman" w:hAnsi="Times New Roman" w:cs="Times New Roman"/>
                <w:color w:val="000000"/>
                <w:sz w:val="14"/>
                <w:szCs w:val="14"/>
              </w:rPr>
            </w:pPr>
            <w:r w:rsidRPr="00BA25AC">
              <w:rPr>
                <w:rFonts w:ascii="Times New Roman" w:hAnsi="Times New Roman" w:cs="Times New Roman"/>
                <w:color w:val="000000"/>
                <w:sz w:val="14"/>
                <w:szCs w:val="14"/>
              </w:rPr>
              <w:t>1 665 041</w:t>
            </w:r>
          </w:p>
        </w:tc>
        <w:tc>
          <w:tcPr>
            <w:tcW w:w="580" w:type="pct"/>
            <w:shd w:val="clear" w:color="000000" w:fill="FFFFFF"/>
            <w:vAlign w:val="center"/>
          </w:tcPr>
          <w:p w:rsidR="0083667D" w:rsidRPr="00022A83" w:rsidRDefault="0083667D" w:rsidP="00DF0EF9">
            <w:pPr>
              <w:jc w:val="right"/>
              <w:rPr>
                <w:rFonts w:ascii="Times New Roman" w:hAnsi="Times New Roman" w:cs="Times New Roman"/>
                <w:color w:val="000000"/>
                <w:sz w:val="14"/>
                <w:szCs w:val="14"/>
              </w:rPr>
            </w:pPr>
            <w:r w:rsidRPr="00BA25AC">
              <w:rPr>
                <w:rFonts w:ascii="Times New Roman" w:hAnsi="Times New Roman" w:cs="Times New Roman"/>
                <w:color w:val="000000"/>
                <w:sz w:val="14"/>
                <w:szCs w:val="14"/>
              </w:rPr>
              <w:t>2 820 996</w:t>
            </w:r>
          </w:p>
        </w:tc>
        <w:tc>
          <w:tcPr>
            <w:tcW w:w="580" w:type="pct"/>
            <w:shd w:val="clear" w:color="000000" w:fill="FFFFFF"/>
            <w:vAlign w:val="center"/>
          </w:tcPr>
          <w:p w:rsidR="0083667D" w:rsidRPr="00022A83" w:rsidRDefault="0083667D" w:rsidP="00DF0EF9">
            <w:pPr>
              <w:jc w:val="right"/>
              <w:rPr>
                <w:rFonts w:ascii="Times New Roman" w:hAnsi="Times New Roman" w:cs="Times New Roman"/>
                <w:color w:val="000000"/>
                <w:sz w:val="14"/>
                <w:szCs w:val="14"/>
              </w:rPr>
            </w:pPr>
            <w:r w:rsidRPr="00BA25AC">
              <w:rPr>
                <w:rFonts w:ascii="Times New Roman" w:hAnsi="Times New Roman" w:cs="Times New Roman"/>
                <w:color w:val="000000"/>
                <w:sz w:val="14"/>
                <w:szCs w:val="14"/>
              </w:rPr>
              <w:t>2 187 231</w:t>
            </w:r>
          </w:p>
        </w:tc>
      </w:tr>
      <w:tr w:rsidR="0083667D" w:rsidRPr="004F1396" w:rsidTr="00DF0EF9">
        <w:trPr>
          <w:trHeight w:val="345"/>
        </w:trPr>
        <w:tc>
          <w:tcPr>
            <w:tcW w:w="928" w:type="pct"/>
            <w:shd w:val="clear" w:color="000000" w:fill="FFFFFF"/>
            <w:vAlign w:val="center"/>
            <w:hideMark/>
          </w:tcPr>
          <w:p w:rsidR="0083667D" w:rsidRPr="00E6041E" w:rsidRDefault="0083667D" w:rsidP="00DF0EF9">
            <w:pPr>
              <w:rPr>
                <w:rFonts w:ascii="Times New Roman" w:hAnsi="Times New Roman" w:cs="Times New Roman"/>
                <w:color w:val="000000"/>
                <w:sz w:val="14"/>
                <w:szCs w:val="14"/>
              </w:rPr>
            </w:pPr>
            <w:r w:rsidRPr="00E6041E">
              <w:rPr>
                <w:rFonts w:ascii="Times New Roman" w:hAnsi="Times New Roman" w:cs="Times New Roman"/>
                <w:color w:val="000000"/>
                <w:sz w:val="14"/>
                <w:szCs w:val="14"/>
              </w:rPr>
              <w:t>Dividendy</w:t>
            </w:r>
          </w:p>
        </w:tc>
        <w:tc>
          <w:tcPr>
            <w:tcW w:w="583" w:type="pct"/>
            <w:shd w:val="clear" w:color="000000" w:fill="FFFFFF"/>
            <w:vAlign w:val="center"/>
          </w:tcPr>
          <w:p w:rsidR="0083667D" w:rsidRPr="0002298F" w:rsidRDefault="0083667D" w:rsidP="00DF0EF9">
            <w:pPr>
              <w:jc w:val="right"/>
              <w:rPr>
                <w:rFonts w:ascii="Times New Roman" w:hAnsi="Times New Roman" w:cs="Times New Roman"/>
                <w:color w:val="000000"/>
                <w:sz w:val="14"/>
                <w:szCs w:val="14"/>
              </w:rPr>
            </w:pPr>
            <w:r w:rsidRPr="0002298F">
              <w:rPr>
                <w:rFonts w:ascii="Times New Roman" w:hAnsi="Times New Roman" w:cs="Times New Roman"/>
                <w:color w:val="000000"/>
                <w:sz w:val="14"/>
                <w:szCs w:val="14"/>
              </w:rPr>
              <w:t>477 486</w:t>
            </w:r>
          </w:p>
        </w:tc>
        <w:tc>
          <w:tcPr>
            <w:tcW w:w="582" w:type="pct"/>
            <w:shd w:val="clear" w:color="000000" w:fill="FFFFFF"/>
            <w:vAlign w:val="center"/>
          </w:tcPr>
          <w:p w:rsidR="0083667D" w:rsidRPr="00AA0D14" w:rsidRDefault="0083667D" w:rsidP="00DF0EF9">
            <w:pPr>
              <w:jc w:val="right"/>
              <w:rPr>
                <w:rFonts w:ascii="Times New Roman" w:hAnsi="Times New Roman" w:cs="Times New Roman"/>
                <w:color w:val="000000"/>
                <w:sz w:val="14"/>
                <w:szCs w:val="14"/>
                <w:highlight w:val="yellow"/>
              </w:rPr>
            </w:pPr>
            <w:r w:rsidRPr="00403B2E">
              <w:rPr>
                <w:rFonts w:ascii="Times New Roman" w:hAnsi="Times New Roman" w:cs="Times New Roman"/>
                <w:color w:val="000000"/>
                <w:sz w:val="14"/>
                <w:szCs w:val="14"/>
              </w:rPr>
              <w:t>599 085</w:t>
            </w:r>
          </w:p>
        </w:tc>
        <w:tc>
          <w:tcPr>
            <w:tcW w:w="582" w:type="pct"/>
            <w:shd w:val="clear" w:color="000000"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425 009</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95587" w:rsidRDefault="0083667D" w:rsidP="00DF0EF9">
            <w:pPr>
              <w:jc w:val="right"/>
              <w:rPr>
                <w:rFonts w:ascii="Times New Roman" w:hAnsi="Times New Roman" w:cs="Times New Roman"/>
                <w:bCs/>
                <w:color w:val="000000"/>
                <w:sz w:val="14"/>
                <w:szCs w:val="14"/>
              </w:rPr>
            </w:pPr>
            <w:r w:rsidRPr="00095587">
              <w:rPr>
                <w:rFonts w:ascii="Times New Roman" w:hAnsi="Times New Roman" w:cs="Times New Roman"/>
                <w:bCs/>
                <w:color w:val="000000"/>
                <w:sz w:val="14"/>
                <w:szCs w:val="14"/>
              </w:rPr>
              <w:t>426 920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95587" w:rsidRDefault="0083667D" w:rsidP="00DF0EF9">
            <w:pPr>
              <w:jc w:val="right"/>
              <w:rPr>
                <w:rFonts w:ascii="Times New Roman" w:hAnsi="Times New Roman" w:cs="Times New Roman"/>
                <w:bCs/>
                <w:color w:val="000000"/>
                <w:sz w:val="14"/>
                <w:szCs w:val="14"/>
              </w:rPr>
            </w:pPr>
            <w:r w:rsidRPr="00095587">
              <w:rPr>
                <w:rFonts w:ascii="Times New Roman" w:hAnsi="Times New Roman" w:cs="Times New Roman"/>
                <w:bCs/>
                <w:color w:val="000000"/>
                <w:sz w:val="14"/>
                <w:szCs w:val="14"/>
              </w:rPr>
              <w:t>432 711</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95587" w:rsidRDefault="0083667D" w:rsidP="00DF0EF9">
            <w:pPr>
              <w:jc w:val="right"/>
              <w:rPr>
                <w:rFonts w:ascii="Times New Roman" w:hAnsi="Times New Roman" w:cs="Times New Roman"/>
                <w:bCs/>
                <w:color w:val="000000"/>
                <w:sz w:val="14"/>
                <w:szCs w:val="14"/>
              </w:rPr>
            </w:pPr>
            <w:r w:rsidRPr="00095587">
              <w:rPr>
                <w:rFonts w:ascii="Times New Roman" w:hAnsi="Times New Roman" w:cs="Times New Roman"/>
                <w:bCs/>
                <w:color w:val="000000"/>
                <w:sz w:val="14"/>
                <w:szCs w:val="14"/>
              </w:rPr>
              <w:t>431 844</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95587" w:rsidRDefault="0083667D" w:rsidP="00DF0EF9">
            <w:pPr>
              <w:jc w:val="right"/>
              <w:rPr>
                <w:rFonts w:ascii="Times New Roman" w:hAnsi="Times New Roman" w:cs="Times New Roman"/>
                <w:bCs/>
                <w:color w:val="000000"/>
                <w:sz w:val="14"/>
                <w:szCs w:val="14"/>
              </w:rPr>
            </w:pPr>
            <w:r w:rsidRPr="00095587">
              <w:rPr>
                <w:rFonts w:ascii="Times New Roman" w:hAnsi="Times New Roman" w:cs="Times New Roman"/>
                <w:bCs/>
                <w:color w:val="000000"/>
                <w:sz w:val="14"/>
                <w:szCs w:val="14"/>
              </w:rPr>
              <w:t>431 897</w:t>
            </w:r>
          </w:p>
        </w:tc>
      </w:tr>
      <w:tr w:rsidR="0083667D" w:rsidRPr="004F1396" w:rsidTr="00DF0EF9">
        <w:trPr>
          <w:trHeight w:val="345"/>
        </w:trPr>
        <w:tc>
          <w:tcPr>
            <w:tcW w:w="928" w:type="pct"/>
            <w:shd w:val="clear" w:color="000000" w:fill="FFFFFF"/>
            <w:vAlign w:val="center"/>
          </w:tcPr>
          <w:p w:rsidR="0083667D" w:rsidRPr="00E6041E" w:rsidRDefault="0083667D" w:rsidP="00DF0EF9">
            <w:pPr>
              <w:rPr>
                <w:rFonts w:ascii="Times New Roman" w:hAnsi="Times New Roman" w:cs="Times New Roman"/>
                <w:color w:val="000000"/>
                <w:sz w:val="14"/>
                <w:szCs w:val="14"/>
              </w:rPr>
            </w:pPr>
            <w:r w:rsidRPr="00E6041E">
              <w:rPr>
                <w:rFonts w:ascii="Times New Roman" w:hAnsi="Times New Roman" w:cs="Times New Roman"/>
                <w:color w:val="000000"/>
                <w:sz w:val="14"/>
                <w:szCs w:val="14"/>
              </w:rPr>
              <w:t xml:space="preserve">     riadne dividendy</w:t>
            </w:r>
          </w:p>
        </w:tc>
        <w:tc>
          <w:tcPr>
            <w:tcW w:w="583" w:type="pct"/>
            <w:shd w:val="clear" w:color="000000" w:fill="FFFFFF"/>
            <w:vAlign w:val="center"/>
          </w:tcPr>
          <w:p w:rsidR="0083667D" w:rsidRPr="0002298F"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288 681</w:t>
            </w:r>
          </w:p>
        </w:tc>
        <w:tc>
          <w:tcPr>
            <w:tcW w:w="582" w:type="pct"/>
            <w:shd w:val="clear" w:color="000000" w:fill="FFFFFF"/>
            <w:vAlign w:val="center"/>
          </w:tcPr>
          <w:p w:rsidR="0083667D" w:rsidRPr="001A1EA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362 631</w:t>
            </w:r>
          </w:p>
        </w:tc>
        <w:tc>
          <w:tcPr>
            <w:tcW w:w="582" w:type="pct"/>
            <w:shd w:val="clear" w:color="000000"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425 009</w:t>
            </w:r>
          </w:p>
        </w:tc>
        <w:tc>
          <w:tcPr>
            <w:tcW w:w="582" w:type="pct"/>
            <w:shd w:val="clear" w:color="000000"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280 301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95587" w:rsidRDefault="0083667D" w:rsidP="00DF0EF9">
            <w:pPr>
              <w:jc w:val="right"/>
              <w:rPr>
                <w:rFonts w:ascii="Times New Roman" w:hAnsi="Times New Roman" w:cs="Times New Roman"/>
                <w:bCs/>
                <w:color w:val="000000"/>
                <w:sz w:val="14"/>
                <w:szCs w:val="14"/>
              </w:rPr>
            </w:pPr>
            <w:r w:rsidRPr="00095587">
              <w:rPr>
                <w:rFonts w:ascii="Times New Roman" w:hAnsi="Times New Roman" w:cs="Times New Roman"/>
                <w:bCs/>
                <w:color w:val="000000"/>
                <w:sz w:val="14"/>
                <w:szCs w:val="14"/>
              </w:rPr>
              <w:t>432 711</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95587" w:rsidRDefault="0083667D" w:rsidP="00DF0EF9">
            <w:pPr>
              <w:jc w:val="right"/>
              <w:rPr>
                <w:rFonts w:ascii="Times New Roman" w:hAnsi="Times New Roman" w:cs="Times New Roman"/>
                <w:bCs/>
                <w:color w:val="000000"/>
                <w:sz w:val="14"/>
                <w:szCs w:val="14"/>
              </w:rPr>
            </w:pPr>
            <w:r w:rsidRPr="00095587">
              <w:rPr>
                <w:rFonts w:ascii="Times New Roman" w:hAnsi="Times New Roman" w:cs="Times New Roman"/>
                <w:bCs/>
                <w:color w:val="000000"/>
                <w:sz w:val="14"/>
                <w:szCs w:val="14"/>
              </w:rPr>
              <w:t>431 844</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95587" w:rsidRDefault="0083667D" w:rsidP="00DF0EF9">
            <w:pPr>
              <w:jc w:val="right"/>
              <w:rPr>
                <w:rFonts w:ascii="Times New Roman" w:hAnsi="Times New Roman" w:cs="Times New Roman"/>
                <w:bCs/>
                <w:color w:val="000000"/>
                <w:sz w:val="14"/>
                <w:szCs w:val="14"/>
              </w:rPr>
            </w:pPr>
            <w:r w:rsidRPr="00095587">
              <w:rPr>
                <w:rFonts w:ascii="Times New Roman" w:hAnsi="Times New Roman" w:cs="Times New Roman"/>
                <w:bCs/>
                <w:color w:val="000000"/>
                <w:sz w:val="14"/>
                <w:szCs w:val="14"/>
              </w:rPr>
              <w:t>431 897</w:t>
            </w:r>
          </w:p>
        </w:tc>
      </w:tr>
      <w:tr w:rsidR="0083667D" w:rsidRPr="004F1396" w:rsidTr="00DF0EF9">
        <w:trPr>
          <w:trHeight w:val="345"/>
        </w:trPr>
        <w:tc>
          <w:tcPr>
            <w:tcW w:w="928" w:type="pct"/>
            <w:shd w:val="clear" w:color="000000" w:fill="FFFFFF"/>
            <w:vAlign w:val="center"/>
          </w:tcPr>
          <w:p w:rsidR="0083667D" w:rsidRPr="00E6041E" w:rsidRDefault="0083667D" w:rsidP="00DF0EF9">
            <w:pPr>
              <w:rPr>
                <w:rFonts w:ascii="Times New Roman" w:hAnsi="Times New Roman" w:cs="Times New Roman"/>
                <w:i/>
                <w:iCs/>
                <w:color w:val="000000"/>
                <w:sz w:val="14"/>
                <w:szCs w:val="14"/>
              </w:rPr>
            </w:pPr>
            <w:r w:rsidRPr="00E6041E">
              <w:rPr>
                <w:rFonts w:ascii="Times New Roman" w:hAnsi="Times New Roman" w:cs="Times New Roman"/>
                <w:i/>
                <w:iCs/>
                <w:color w:val="000000"/>
                <w:sz w:val="14"/>
                <w:szCs w:val="14"/>
              </w:rPr>
              <w:t xml:space="preserve">     superdividendy</w:t>
            </w:r>
          </w:p>
        </w:tc>
        <w:tc>
          <w:tcPr>
            <w:tcW w:w="583" w:type="pct"/>
            <w:shd w:val="clear" w:color="000000" w:fill="FFFFFF"/>
            <w:vAlign w:val="center"/>
          </w:tcPr>
          <w:p w:rsidR="0083667D" w:rsidRPr="0002298F" w:rsidRDefault="0083667D" w:rsidP="00DF0EF9">
            <w:pPr>
              <w:jc w:val="right"/>
              <w:rPr>
                <w:rFonts w:ascii="Times New Roman" w:hAnsi="Times New Roman" w:cs="Times New Roman"/>
                <w:color w:val="000000"/>
                <w:sz w:val="14"/>
                <w:szCs w:val="14"/>
              </w:rPr>
            </w:pPr>
            <w:r w:rsidRPr="00746B28">
              <w:rPr>
                <w:rFonts w:ascii="Times New Roman" w:hAnsi="Times New Roman" w:cs="Times New Roman"/>
                <w:color w:val="000000"/>
                <w:sz w:val="14"/>
                <w:szCs w:val="14"/>
              </w:rPr>
              <w:t>188 805</w:t>
            </w:r>
          </w:p>
        </w:tc>
        <w:tc>
          <w:tcPr>
            <w:tcW w:w="582" w:type="pct"/>
            <w:shd w:val="clear" w:color="000000" w:fill="FFFFFF"/>
            <w:vAlign w:val="center"/>
          </w:tcPr>
          <w:p w:rsidR="0083667D" w:rsidRPr="001A1EA6" w:rsidRDefault="0083667D" w:rsidP="00DF0EF9">
            <w:pPr>
              <w:jc w:val="right"/>
              <w:rPr>
                <w:rFonts w:ascii="Times New Roman" w:hAnsi="Times New Roman" w:cs="Times New Roman"/>
                <w:color w:val="000000"/>
                <w:sz w:val="14"/>
                <w:szCs w:val="14"/>
              </w:rPr>
            </w:pPr>
            <w:r w:rsidRPr="00071C54">
              <w:rPr>
                <w:rFonts w:ascii="Times New Roman" w:hAnsi="Times New Roman" w:cs="Times New Roman"/>
                <w:color w:val="000000"/>
                <w:sz w:val="14"/>
                <w:szCs w:val="14"/>
              </w:rPr>
              <w:t>236 454</w:t>
            </w:r>
          </w:p>
        </w:tc>
        <w:tc>
          <w:tcPr>
            <w:tcW w:w="582" w:type="pct"/>
            <w:shd w:val="clear" w:color="000000"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82" w:type="pct"/>
            <w:shd w:val="clear" w:color="000000" w:fill="FFFFFF"/>
            <w:vAlign w:val="center"/>
          </w:tcPr>
          <w:p w:rsidR="0083667D" w:rsidRPr="00022A83" w:rsidRDefault="0083667D" w:rsidP="00DF0EF9">
            <w:pPr>
              <w:jc w:val="right"/>
              <w:rPr>
                <w:rFonts w:ascii="Times New Roman" w:hAnsi="Times New Roman" w:cs="Times New Roman"/>
                <w:color w:val="000000"/>
                <w:sz w:val="14"/>
                <w:szCs w:val="14"/>
              </w:rPr>
            </w:pPr>
            <w:r w:rsidRPr="00071C54">
              <w:rPr>
                <w:rFonts w:ascii="Times New Roman" w:hAnsi="Times New Roman" w:cs="Times New Roman"/>
                <w:color w:val="000000"/>
                <w:sz w:val="14"/>
                <w:szCs w:val="14"/>
              </w:rPr>
              <w:t>146 619</w:t>
            </w:r>
          </w:p>
        </w:tc>
        <w:tc>
          <w:tcPr>
            <w:tcW w:w="582" w:type="pct"/>
            <w:shd w:val="clear" w:color="000000"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80" w:type="pct"/>
            <w:shd w:val="clear" w:color="000000"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80" w:type="pct"/>
            <w:shd w:val="clear" w:color="000000"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83667D" w:rsidRPr="00502053" w:rsidTr="00DF0EF9">
        <w:trPr>
          <w:trHeight w:val="435"/>
        </w:trPr>
        <w:tc>
          <w:tcPr>
            <w:tcW w:w="928" w:type="pct"/>
            <w:shd w:val="clear" w:color="000000" w:fill="FFFFFF"/>
            <w:vAlign w:val="center"/>
            <w:hideMark/>
          </w:tcPr>
          <w:p w:rsidR="0083667D" w:rsidRPr="00E6041E" w:rsidRDefault="0083667D" w:rsidP="00DF0EF9">
            <w:pPr>
              <w:rPr>
                <w:rFonts w:ascii="Times New Roman" w:hAnsi="Times New Roman" w:cs="Times New Roman"/>
                <w:color w:val="000000"/>
                <w:sz w:val="14"/>
                <w:szCs w:val="14"/>
              </w:rPr>
            </w:pPr>
            <w:r w:rsidRPr="00E6041E">
              <w:rPr>
                <w:rFonts w:ascii="Times New Roman" w:hAnsi="Times New Roman" w:cs="Times New Roman"/>
                <w:color w:val="000000"/>
                <w:sz w:val="14"/>
                <w:szCs w:val="14"/>
              </w:rPr>
              <w:t>Ostatné nedaňové príjmy a tuzemské transfery</w:t>
            </w:r>
          </w:p>
        </w:tc>
        <w:tc>
          <w:tcPr>
            <w:tcW w:w="583" w:type="pct"/>
            <w:shd w:val="clear" w:color="000000" w:fill="FFFFFF"/>
            <w:vAlign w:val="center"/>
          </w:tcPr>
          <w:p w:rsidR="0083667D" w:rsidRPr="0030562B" w:rsidRDefault="0083667D" w:rsidP="00DF0EF9">
            <w:pPr>
              <w:jc w:val="right"/>
              <w:rPr>
                <w:rFonts w:ascii="Times New Roman" w:hAnsi="Times New Roman" w:cs="Times New Roman"/>
                <w:color w:val="000000"/>
                <w:sz w:val="14"/>
                <w:szCs w:val="14"/>
              </w:rPr>
            </w:pPr>
            <w:r w:rsidRPr="004952C5">
              <w:rPr>
                <w:rFonts w:ascii="Times New Roman" w:hAnsi="Times New Roman" w:cs="Times New Roman"/>
                <w:color w:val="000000"/>
                <w:sz w:val="14"/>
                <w:szCs w:val="14"/>
              </w:rPr>
              <w:t>777 075</w:t>
            </w:r>
          </w:p>
        </w:tc>
        <w:tc>
          <w:tcPr>
            <w:tcW w:w="582" w:type="pct"/>
            <w:shd w:val="clear" w:color="000000" w:fill="FFFFFF"/>
            <w:vAlign w:val="center"/>
          </w:tcPr>
          <w:p w:rsidR="0083667D" w:rsidRPr="001A1EA6" w:rsidRDefault="0083667D" w:rsidP="00DF0EF9">
            <w:pPr>
              <w:jc w:val="right"/>
              <w:rPr>
                <w:rFonts w:ascii="Times New Roman" w:hAnsi="Times New Roman" w:cs="Times New Roman"/>
                <w:color w:val="000000"/>
                <w:sz w:val="14"/>
                <w:szCs w:val="14"/>
              </w:rPr>
            </w:pPr>
            <w:r w:rsidRPr="0099630C">
              <w:rPr>
                <w:rFonts w:ascii="Times New Roman" w:hAnsi="Times New Roman" w:cs="Times New Roman"/>
                <w:color w:val="000000"/>
                <w:sz w:val="14"/>
                <w:szCs w:val="14"/>
              </w:rPr>
              <w:t>832 214</w:t>
            </w:r>
          </w:p>
        </w:tc>
        <w:tc>
          <w:tcPr>
            <w:tcW w:w="582" w:type="pct"/>
            <w:shd w:val="clear" w:color="000000" w:fill="FFFFFF"/>
            <w:vAlign w:val="center"/>
          </w:tcPr>
          <w:p w:rsidR="0083667D" w:rsidRPr="00F26401" w:rsidRDefault="0083667D" w:rsidP="00DF0EF9">
            <w:pPr>
              <w:jc w:val="right"/>
              <w:rPr>
                <w:rFonts w:ascii="Times New Roman" w:hAnsi="Times New Roman" w:cs="Times New Roman"/>
                <w:color w:val="000000"/>
                <w:sz w:val="14"/>
                <w:szCs w:val="14"/>
                <w:highlight w:val="yellow"/>
              </w:rPr>
            </w:pPr>
            <w:r w:rsidRPr="001514C7">
              <w:rPr>
                <w:rFonts w:ascii="Times New Roman" w:hAnsi="Times New Roman" w:cs="Times New Roman"/>
                <w:color w:val="000000"/>
                <w:sz w:val="14"/>
                <w:szCs w:val="14"/>
              </w:rPr>
              <w:t>817 864</w:t>
            </w:r>
          </w:p>
        </w:tc>
        <w:tc>
          <w:tcPr>
            <w:tcW w:w="582" w:type="pct"/>
            <w:shd w:val="clear" w:color="000000" w:fill="FFFFFF"/>
            <w:vAlign w:val="center"/>
          </w:tcPr>
          <w:p w:rsidR="0083667D" w:rsidRPr="00F26401" w:rsidRDefault="0083667D" w:rsidP="00DF0EF9">
            <w:pPr>
              <w:jc w:val="right"/>
              <w:rPr>
                <w:rFonts w:ascii="Times New Roman" w:hAnsi="Times New Roman" w:cs="Times New Roman"/>
                <w:color w:val="000000"/>
                <w:sz w:val="14"/>
                <w:szCs w:val="14"/>
                <w:highlight w:val="yellow"/>
              </w:rPr>
            </w:pPr>
            <w:r w:rsidRPr="002E1F75">
              <w:rPr>
                <w:rFonts w:ascii="Times New Roman" w:hAnsi="Times New Roman" w:cs="Times New Roman"/>
                <w:color w:val="000000"/>
                <w:sz w:val="14"/>
                <w:szCs w:val="14"/>
              </w:rPr>
              <w:t>763 657</w:t>
            </w:r>
          </w:p>
        </w:tc>
        <w:tc>
          <w:tcPr>
            <w:tcW w:w="582" w:type="pct"/>
            <w:shd w:val="clear" w:color="000000" w:fill="FFFFFF"/>
            <w:vAlign w:val="center"/>
          </w:tcPr>
          <w:p w:rsidR="0083667D" w:rsidRPr="00F26401" w:rsidRDefault="0083667D" w:rsidP="00DF0EF9">
            <w:pPr>
              <w:jc w:val="right"/>
              <w:rPr>
                <w:rFonts w:ascii="Times New Roman" w:hAnsi="Times New Roman" w:cs="Times New Roman"/>
                <w:color w:val="000000"/>
                <w:sz w:val="14"/>
                <w:szCs w:val="14"/>
                <w:highlight w:val="yellow"/>
              </w:rPr>
            </w:pPr>
            <w:r w:rsidRPr="008731B8">
              <w:rPr>
                <w:rFonts w:ascii="Times New Roman" w:hAnsi="Times New Roman" w:cs="Times New Roman"/>
                <w:color w:val="000000"/>
                <w:sz w:val="14"/>
                <w:szCs w:val="14"/>
              </w:rPr>
              <w:t>935 344</w:t>
            </w:r>
          </w:p>
        </w:tc>
        <w:tc>
          <w:tcPr>
            <w:tcW w:w="580" w:type="pct"/>
            <w:shd w:val="clear" w:color="000000" w:fill="FFFFFF"/>
            <w:vAlign w:val="center"/>
          </w:tcPr>
          <w:p w:rsidR="0083667D" w:rsidRPr="00F26401" w:rsidRDefault="0083667D" w:rsidP="00DF0EF9">
            <w:pPr>
              <w:jc w:val="right"/>
              <w:rPr>
                <w:rFonts w:ascii="Times New Roman" w:hAnsi="Times New Roman" w:cs="Times New Roman"/>
                <w:color w:val="000000"/>
                <w:sz w:val="14"/>
                <w:szCs w:val="14"/>
                <w:highlight w:val="yellow"/>
              </w:rPr>
            </w:pPr>
            <w:r w:rsidRPr="00143F85">
              <w:rPr>
                <w:rFonts w:ascii="Times New Roman" w:hAnsi="Times New Roman" w:cs="Times New Roman"/>
                <w:color w:val="000000"/>
                <w:sz w:val="14"/>
                <w:szCs w:val="14"/>
              </w:rPr>
              <w:t>853 431</w:t>
            </w:r>
          </w:p>
        </w:tc>
        <w:tc>
          <w:tcPr>
            <w:tcW w:w="580" w:type="pct"/>
            <w:shd w:val="clear" w:color="000000" w:fill="FFFFFF"/>
            <w:vAlign w:val="center"/>
          </w:tcPr>
          <w:p w:rsidR="0083667D" w:rsidRPr="00F26401" w:rsidRDefault="0083667D" w:rsidP="00DF0EF9">
            <w:pPr>
              <w:jc w:val="right"/>
              <w:rPr>
                <w:rFonts w:ascii="Times New Roman" w:hAnsi="Times New Roman" w:cs="Times New Roman"/>
                <w:color w:val="000000"/>
                <w:sz w:val="14"/>
                <w:szCs w:val="14"/>
                <w:highlight w:val="yellow"/>
              </w:rPr>
            </w:pPr>
            <w:r w:rsidRPr="00994EFE">
              <w:rPr>
                <w:rFonts w:ascii="Times New Roman" w:hAnsi="Times New Roman" w:cs="Times New Roman"/>
                <w:color w:val="000000"/>
                <w:sz w:val="14"/>
                <w:szCs w:val="14"/>
              </w:rPr>
              <w:t>849 720</w:t>
            </w:r>
          </w:p>
        </w:tc>
      </w:tr>
      <w:tr w:rsidR="0083667D" w:rsidRPr="00502053" w:rsidTr="00DF0EF9">
        <w:trPr>
          <w:trHeight w:val="435"/>
        </w:trPr>
        <w:tc>
          <w:tcPr>
            <w:tcW w:w="928" w:type="pct"/>
            <w:shd w:val="clear" w:color="000000" w:fill="FFFFFF"/>
            <w:vAlign w:val="center"/>
          </w:tcPr>
          <w:p w:rsidR="0083667D" w:rsidRPr="00E6041E" w:rsidRDefault="0083667D" w:rsidP="00DF0EF9">
            <w:pPr>
              <w:rPr>
                <w:rFonts w:ascii="Times New Roman" w:hAnsi="Times New Roman" w:cs="Times New Roman"/>
                <w:color w:val="000000"/>
                <w:sz w:val="14"/>
                <w:szCs w:val="14"/>
              </w:rPr>
            </w:pPr>
            <w:r>
              <w:rPr>
                <w:rFonts w:ascii="Times New Roman" w:hAnsi="Times New Roman" w:cs="Times New Roman"/>
                <w:color w:val="000000"/>
                <w:sz w:val="14"/>
                <w:szCs w:val="14"/>
              </w:rPr>
              <w:t xml:space="preserve">      z toho: príjmy podľa </w:t>
            </w:r>
            <w:r>
              <w:rPr>
                <w:rFonts w:ascii="Times New Roman" w:hAnsi="Times New Roman" w:cs="Times New Roman"/>
                <w:color w:val="000000"/>
                <w:sz w:val="14"/>
                <w:szCs w:val="14"/>
              </w:rPr>
              <w:br/>
              <w:t xml:space="preserve">      § 17 ods. 4</w:t>
            </w:r>
          </w:p>
        </w:tc>
        <w:tc>
          <w:tcPr>
            <w:tcW w:w="583" w:type="pct"/>
            <w:shd w:val="clear" w:color="000000" w:fill="FFFFFF"/>
            <w:vAlign w:val="center"/>
          </w:tcPr>
          <w:p w:rsidR="0083667D" w:rsidRPr="004952C5"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82" w:type="pct"/>
            <w:shd w:val="clear" w:color="000000" w:fill="FFFFFF"/>
            <w:vAlign w:val="center"/>
          </w:tcPr>
          <w:p w:rsidR="0083667D" w:rsidRPr="00AA0D14" w:rsidRDefault="0083667D" w:rsidP="00DF0EF9">
            <w:pPr>
              <w:jc w:val="right"/>
              <w:rPr>
                <w:rFonts w:ascii="Times New Roman" w:hAnsi="Times New Roman" w:cs="Times New Roman"/>
                <w:color w:val="000000"/>
                <w:sz w:val="14"/>
                <w:szCs w:val="14"/>
                <w:highlight w:val="yellow"/>
              </w:rPr>
            </w:pPr>
            <w:r w:rsidRPr="00641210">
              <w:rPr>
                <w:rFonts w:ascii="Times New Roman" w:hAnsi="Times New Roman" w:cs="Times New Roman"/>
                <w:color w:val="000000"/>
                <w:sz w:val="14"/>
                <w:szCs w:val="14"/>
              </w:rPr>
              <w:t>-</w:t>
            </w:r>
          </w:p>
        </w:tc>
        <w:tc>
          <w:tcPr>
            <w:tcW w:w="582" w:type="pct"/>
            <w:shd w:val="clear" w:color="000000"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2 274</w:t>
            </w:r>
          </w:p>
        </w:tc>
        <w:tc>
          <w:tcPr>
            <w:tcW w:w="582" w:type="pct"/>
            <w:shd w:val="clear" w:color="000000" w:fill="FFFFFF"/>
            <w:vAlign w:val="center"/>
          </w:tcPr>
          <w:p w:rsidR="0083667D" w:rsidRPr="00022A83" w:rsidRDefault="0083667D" w:rsidP="00DF0EF9">
            <w:pPr>
              <w:jc w:val="right"/>
              <w:rPr>
                <w:rFonts w:ascii="Times New Roman" w:hAnsi="Times New Roman" w:cs="Times New Roman"/>
                <w:color w:val="000000"/>
                <w:sz w:val="14"/>
                <w:szCs w:val="14"/>
              </w:rPr>
            </w:pPr>
            <w:r w:rsidRPr="008C703A">
              <w:rPr>
                <w:rFonts w:ascii="Times New Roman" w:hAnsi="Times New Roman" w:cs="Times New Roman"/>
                <w:color w:val="000000"/>
                <w:sz w:val="14"/>
                <w:szCs w:val="14"/>
              </w:rPr>
              <w:t>2 274</w:t>
            </w:r>
          </w:p>
        </w:tc>
        <w:tc>
          <w:tcPr>
            <w:tcW w:w="582" w:type="pct"/>
            <w:shd w:val="clear" w:color="000000"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2 369</w:t>
            </w:r>
          </w:p>
        </w:tc>
        <w:tc>
          <w:tcPr>
            <w:tcW w:w="580" w:type="pct"/>
            <w:shd w:val="clear" w:color="000000"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2 370</w:t>
            </w:r>
          </w:p>
        </w:tc>
        <w:tc>
          <w:tcPr>
            <w:tcW w:w="580" w:type="pct"/>
            <w:shd w:val="clear" w:color="000000"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2 370</w:t>
            </w:r>
          </w:p>
        </w:tc>
      </w:tr>
    </w:tbl>
    <w:p w:rsidR="0083667D" w:rsidRDefault="0083667D" w:rsidP="0083667D">
      <w:pPr>
        <w:autoSpaceDE w:val="0"/>
        <w:autoSpaceDN w:val="0"/>
        <w:adjustRightInd w:val="0"/>
        <w:spacing w:line="240" w:lineRule="atLeast"/>
        <w:jc w:val="both"/>
        <w:rPr>
          <w:rFonts w:ascii="Times New Roman" w:hAnsi="Times New Roman"/>
          <w:color w:val="000000"/>
          <w:szCs w:val="22"/>
        </w:rPr>
      </w:pPr>
    </w:p>
    <w:p w:rsidR="0083667D" w:rsidRPr="0060281F" w:rsidRDefault="0083667D" w:rsidP="0083667D">
      <w:pPr>
        <w:jc w:val="both"/>
        <w:rPr>
          <w:rFonts w:ascii="Times New Roman" w:hAnsi="Times New Roman"/>
          <w:b/>
        </w:rPr>
      </w:pPr>
      <w:r>
        <w:rPr>
          <w:rFonts w:ascii="Times New Roman" w:hAnsi="Times New Roman"/>
          <w:b/>
        </w:rPr>
        <w:t>3</w:t>
      </w:r>
      <w:r w:rsidRPr="0060281F">
        <w:rPr>
          <w:rFonts w:ascii="Times New Roman" w:hAnsi="Times New Roman"/>
          <w:b/>
        </w:rPr>
        <w:t>.</w:t>
      </w:r>
      <w:r>
        <w:rPr>
          <w:rFonts w:ascii="Times New Roman" w:hAnsi="Times New Roman"/>
          <w:b/>
        </w:rPr>
        <w:t>4</w:t>
      </w:r>
      <w:r w:rsidRPr="0060281F">
        <w:rPr>
          <w:rFonts w:ascii="Times New Roman" w:hAnsi="Times New Roman"/>
          <w:b/>
        </w:rPr>
        <w:t>.1.  Zahraničné transfery</w:t>
      </w:r>
    </w:p>
    <w:p w:rsidR="0083667D" w:rsidRDefault="0083667D" w:rsidP="0083667D">
      <w:pPr>
        <w:ind w:firstLine="708"/>
        <w:jc w:val="both"/>
        <w:rPr>
          <w:rFonts w:ascii="Times New Roman" w:hAnsi="Times New Roman"/>
        </w:rPr>
      </w:pPr>
    </w:p>
    <w:p w:rsidR="0083667D" w:rsidRPr="00FB61AE" w:rsidRDefault="0083667D" w:rsidP="0083667D">
      <w:pPr>
        <w:ind w:firstLine="708"/>
        <w:jc w:val="both"/>
        <w:rPr>
          <w:rFonts w:ascii="Times New Roman" w:hAnsi="Times New Roman"/>
        </w:rPr>
      </w:pPr>
      <w:r w:rsidRPr="00A06934">
        <w:rPr>
          <w:rFonts w:ascii="Times New Roman" w:hAnsi="Times New Roman"/>
        </w:rPr>
        <w:t>Zahraničné transfery predstavujú prostriedky zo všeobecného rozpoč</w:t>
      </w:r>
      <w:r>
        <w:rPr>
          <w:rFonts w:ascii="Times New Roman" w:hAnsi="Times New Roman"/>
        </w:rPr>
        <w:t>tu Európskej únie. V rokoch 2019</w:t>
      </w:r>
      <w:r w:rsidRPr="00A06934">
        <w:rPr>
          <w:rFonts w:ascii="Times New Roman" w:hAnsi="Times New Roman"/>
        </w:rPr>
        <w:t xml:space="preserve"> až 202</w:t>
      </w:r>
      <w:r>
        <w:rPr>
          <w:rFonts w:ascii="Times New Roman" w:hAnsi="Times New Roman"/>
        </w:rPr>
        <w:t>1</w:t>
      </w:r>
      <w:r w:rsidRPr="00A06934">
        <w:rPr>
          <w:rFonts w:ascii="Times New Roman" w:hAnsi="Times New Roman"/>
        </w:rPr>
        <w:t xml:space="preserve"> sa rozpočtujú prostriedky EÚ pre programy Partnerskej dohody a pre poľnohospodárske fondy v rámci 3. programového obdobia.</w:t>
      </w:r>
      <w:r w:rsidRPr="00FB61AE">
        <w:rPr>
          <w:rFonts w:ascii="Times New Roman" w:hAnsi="Times New Roman"/>
        </w:rPr>
        <w:t xml:space="preserve">  </w:t>
      </w:r>
    </w:p>
    <w:p w:rsidR="0083667D" w:rsidRDefault="0083667D" w:rsidP="0083667D">
      <w:pPr>
        <w:ind w:firstLine="708"/>
        <w:jc w:val="both"/>
        <w:rPr>
          <w:rFonts w:ascii="Times New Roman" w:hAnsi="Times New Roman"/>
        </w:rPr>
      </w:pPr>
    </w:p>
    <w:p w:rsidR="0083667D" w:rsidRDefault="0083667D" w:rsidP="0083667D">
      <w:pPr>
        <w:ind w:firstLine="708"/>
        <w:jc w:val="both"/>
        <w:rPr>
          <w:rFonts w:ascii="Times New Roman" w:hAnsi="Times New Roman"/>
        </w:rPr>
      </w:pPr>
      <w:r w:rsidRPr="0060281F">
        <w:rPr>
          <w:rFonts w:ascii="Times New Roman" w:hAnsi="Times New Roman"/>
        </w:rPr>
        <w:t>Vývoj plnenia týchto príjmov je nasledovný</w:t>
      </w:r>
      <w:r>
        <w:rPr>
          <w:rFonts w:ascii="Times New Roman" w:hAnsi="Times New Roman"/>
        </w:rPr>
        <w:t>.</w:t>
      </w:r>
    </w:p>
    <w:p w:rsidR="0083667D" w:rsidRDefault="0083667D" w:rsidP="0083667D">
      <w:pPr>
        <w:ind w:firstLine="708"/>
        <w:jc w:val="both"/>
        <w:rPr>
          <w:rFonts w:ascii="Times New Roman" w:hAnsi="Times New Roman"/>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0"/>
        <w:gridCol w:w="1055"/>
        <w:gridCol w:w="1055"/>
        <w:gridCol w:w="1055"/>
        <w:gridCol w:w="1054"/>
        <w:gridCol w:w="1053"/>
        <w:gridCol w:w="1053"/>
        <w:gridCol w:w="1053"/>
      </w:tblGrid>
      <w:tr w:rsidR="0083667D" w:rsidRPr="00283F45" w:rsidTr="00DF0EF9">
        <w:trPr>
          <w:trHeight w:val="345"/>
        </w:trPr>
        <w:tc>
          <w:tcPr>
            <w:tcW w:w="927" w:type="pct"/>
            <w:shd w:val="clear" w:color="000000" w:fill="BFBFBF"/>
            <w:vAlign w:val="center"/>
            <w:hideMark/>
          </w:tcPr>
          <w:p w:rsidR="0083667D" w:rsidRPr="00283F45" w:rsidRDefault="0083667D" w:rsidP="00DF0EF9">
            <w:pPr>
              <w:rPr>
                <w:rFonts w:ascii="Times New Roman" w:hAnsi="Times New Roman" w:cs="Times New Roman"/>
                <w:b/>
                <w:bCs/>
                <w:color w:val="000000"/>
                <w:sz w:val="14"/>
                <w:szCs w:val="14"/>
                <w:lang w:eastAsia="sk-SK"/>
              </w:rPr>
            </w:pPr>
            <w:r w:rsidRPr="00283F45">
              <w:rPr>
                <w:rFonts w:ascii="Times New Roman" w:hAnsi="Times New Roman" w:cs="Times New Roman"/>
                <w:b/>
                <w:bCs/>
                <w:color w:val="000000"/>
                <w:sz w:val="14"/>
                <w:szCs w:val="14"/>
                <w:lang w:eastAsia="sk-SK"/>
              </w:rPr>
              <w:t>v tis. eur</w:t>
            </w:r>
          </w:p>
        </w:tc>
        <w:tc>
          <w:tcPr>
            <w:tcW w:w="582" w:type="pct"/>
            <w:shd w:val="clear" w:color="000000" w:fill="BFBFBF"/>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w:t>
            </w:r>
            <w:r w:rsidRPr="00502053">
              <w:rPr>
                <w:rFonts w:ascii="Times New Roman" w:hAnsi="Times New Roman" w:cs="Times New Roman"/>
                <w:b/>
                <w:bCs/>
                <w:color w:val="000000"/>
                <w:sz w:val="14"/>
                <w:szCs w:val="14"/>
                <w:lang w:eastAsia="sk-SK"/>
              </w:rPr>
              <w:t xml:space="preserve"> S</w:t>
            </w:r>
          </w:p>
        </w:tc>
        <w:tc>
          <w:tcPr>
            <w:tcW w:w="582" w:type="pct"/>
            <w:shd w:val="clear" w:color="000000" w:fill="BFBFBF"/>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 xml:space="preserve">7 </w:t>
            </w:r>
            <w:r w:rsidRPr="00502053">
              <w:rPr>
                <w:rFonts w:ascii="Times New Roman" w:hAnsi="Times New Roman" w:cs="Times New Roman"/>
                <w:b/>
                <w:bCs/>
                <w:color w:val="000000"/>
                <w:sz w:val="14"/>
                <w:szCs w:val="14"/>
                <w:lang w:eastAsia="sk-SK"/>
              </w:rPr>
              <w:t>S</w:t>
            </w:r>
          </w:p>
        </w:tc>
        <w:tc>
          <w:tcPr>
            <w:tcW w:w="582" w:type="pct"/>
            <w:shd w:val="clear" w:color="000000" w:fill="BFBFBF"/>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 R</w:t>
            </w:r>
          </w:p>
        </w:tc>
        <w:tc>
          <w:tcPr>
            <w:tcW w:w="582" w:type="pct"/>
            <w:shd w:val="clear" w:color="000000" w:fill="BFBFBF"/>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sidRPr="00FF3D4C">
              <w:rPr>
                <w:rFonts w:ascii="Times New Roman" w:hAnsi="Times New Roman" w:cs="Times New Roman"/>
                <w:b/>
                <w:bCs/>
                <w:color w:val="000000"/>
                <w:sz w:val="14"/>
                <w:szCs w:val="14"/>
                <w:lang w:eastAsia="sk-SK"/>
              </w:rPr>
              <w:t>2018 OS</w:t>
            </w:r>
          </w:p>
        </w:tc>
        <w:tc>
          <w:tcPr>
            <w:tcW w:w="581" w:type="pct"/>
            <w:shd w:val="clear" w:color="000000" w:fill="BFBFBF"/>
            <w:vAlign w:val="center"/>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2019</w:t>
            </w:r>
            <w:r w:rsidRPr="00502053">
              <w:rPr>
                <w:rFonts w:ascii="Times New Roman" w:hAnsi="Times New Roman" w:cs="Times New Roman"/>
                <w:b/>
                <w:bCs/>
                <w:color w:val="000000"/>
                <w:sz w:val="14"/>
                <w:szCs w:val="14"/>
                <w:lang w:eastAsia="sk-SK"/>
              </w:rPr>
              <w:t xml:space="preserve"> N</w:t>
            </w:r>
          </w:p>
        </w:tc>
        <w:tc>
          <w:tcPr>
            <w:tcW w:w="581" w:type="pct"/>
            <w:shd w:val="clear" w:color="000000" w:fill="BFBFBF"/>
            <w:vAlign w:val="center"/>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2020</w:t>
            </w:r>
            <w:r w:rsidRPr="00502053">
              <w:rPr>
                <w:rFonts w:ascii="Times New Roman" w:hAnsi="Times New Roman" w:cs="Times New Roman"/>
                <w:b/>
                <w:bCs/>
                <w:color w:val="000000"/>
                <w:sz w:val="14"/>
                <w:szCs w:val="14"/>
                <w:lang w:eastAsia="sk-SK"/>
              </w:rPr>
              <w:t xml:space="preserve"> N</w:t>
            </w:r>
          </w:p>
        </w:tc>
        <w:tc>
          <w:tcPr>
            <w:tcW w:w="581" w:type="pct"/>
            <w:shd w:val="clear" w:color="000000" w:fill="BFBFBF"/>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2021</w:t>
            </w:r>
            <w:r w:rsidRPr="00502053">
              <w:rPr>
                <w:rFonts w:ascii="Times New Roman" w:hAnsi="Times New Roman" w:cs="Times New Roman"/>
                <w:b/>
                <w:bCs/>
                <w:color w:val="000000"/>
                <w:sz w:val="14"/>
                <w:szCs w:val="14"/>
                <w:lang w:eastAsia="sk-SK"/>
              </w:rPr>
              <w:t xml:space="preserve"> N</w:t>
            </w:r>
          </w:p>
        </w:tc>
      </w:tr>
      <w:tr w:rsidR="0083667D" w:rsidRPr="00283F45" w:rsidTr="00DF0EF9">
        <w:trPr>
          <w:trHeight w:val="345"/>
        </w:trPr>
        <w:tc>
          <w:tcPr>
            <w:tcW w:w="927" w:type="pct"/>
            <w:vAlign w:val="center"/>
            <w:hideMark/>
          </w:tcPr>
          <w:p w:rsidR="0083667D" w:rsidRPr="00D45F47" w:rsidRDefault="0083667D" w:rsidP="00DF0EF9">
            <w:pPr>
              <w:rPr>
                <w:rFonts w:ascii="Times New Roman" w:hAnsi="Times New Roman" w:cs="Times New Roman"/>
                <w:bCs/>
                <w:color w:val="000000"/>
                <w:sz w:val="14"/>
                <w:szCs w:val="14"/>
                <w:lang w:eastAsia="sk-SK"/>
              </w:rPr>
            </w:pPr>
            <w:r w:rsidRPr="00D45F47">
              <w:rPr>
                <w:rFonts w:ascii="Times New Roman" w:hAnsi="Times New Roman" w:cs="Times New Roman"/>
                <w:bCs/>
                <w:color w:val="000000"/>
                <w:sz w:val="14"/>
                <w:szCs w:val="14"/>
                <w:lang w:eastAsia="sk-SK"/>
              </w:rPr>
              <w:t>Zahraničné transfery</w:t>
            </w:r>
          </w:p>
        </w:tc>
        <w:tc>
          <w:tcPr>
            <w:tcW w:w="582" w:type="pct"/>
            <w:vAlign w:val="center"/>
            <w:hideMark/>
          </w:tcPr>
          <w:p w:rsidR="0083667D" w:rsidRPr="0030562B" w:rsidRDefault="0083667D" w:rsidP="00DF0EF9">
            <w:pPr>
              <w:jc w:val="right"/>
              <w:rPr>
                <w:rFonts w:ascii="Times New Roman" w:hAnsi="Times New Roman" w:cs="Times New Roman"/>
                <w:color w:val="000000"/>
                <w:sz w:val="14"/>
                <w:szCs w:val="14"/>
              </w:rPr>
            </w:pPr>
            <w:r w:rsidRPr="007E2A41">
              <w:rPr>
                <w:rFonts w:ascii="Times New Roman" w:hAnsi="Times New Roman" w:cs="Times New Roman"/>
                <w:color w:val="000000"/>
                <w:sz w:val="14"/>
                <w:szCs w:val="14"/>
              </w:rPr>
              <w:t>1 939 78</w:t>
            </w:r>
            <w:r>
              <w:rPr>
                <w:rFonts w:ascii="Times New Roman" w:hAnsi="Times New Roman" w:cs="Times New Roman"/>
                <w:color w:val="000000"/>
                <w:sz w:val="14"/>
                <w:szCs w:val="14"/>
              </w:rPr>
              <w:t>5</w:t>
            </w:r>
          </w:p>
        </w:tc>
        <w:tc>
          <w:tcPr>
            <w:tcW w:w="582" w:type="pct"/>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1 422 48</w:t>
            </w:r>
            <w:r w:rsidRPr="00AC3127">
              <w:rPr>
                <w:rFonts w:ascii="Times New Roman" w:hAnsi="Times New Roman" w:cs="Times New Roman"/>
                <w:color w:val="000000"/>
                <w:sz w:val="14"/>
                <w:szCs w:val="14"/>
              </w:rPr>
              <w:t>8</w:t>
            </w:r>
          </w:p>
        </w:tc>
        <w:tc>
          <w:tcPr>
            <w:tcW w:w="582" w:type="pct"/>
            <w:vAlign w:val="center"/>
          </w:tcPr>
          <w:p w:rsidR="0083667D" w:rsidRPr="0030562B" w:rsidRDefault="0083667D" w:rsidP="00DF0EF9">
            <w:pPr>
              <w:jc w:val="right"/>
              <w:rPr>
                <w:rFonts w:ascii="Times New Roman" w:hAnsi="Times New Roman" w:cs="Times New Roman"/>
                <w:color w:val="000000"/>
                <w:sz w:val="14"/>
                <w:szCs w:val="14"/>
              </w:rPr>
            </w:pPr>
            <w:r w:rsidRPr="00D651AC">
              <w:rPr>
                <w:rFonts w:ascii="Times New Roman" w:hAnsi="Times New Roman" w:cs="Times New Roman"/>
                <w:color w:val="000000"/>
                <w:sz w:val="14"/>
                <w:szCs w:val="14"/>
              </w:rPr>
              <w:t>1 378 419</w:t>
            </w:r>
          </w:p>
        </w:tc>
        <w:tc>
          <w:tcPr>
            <w:tcW w:w="582" w:type="pct"/>
            <w:shd w:val="clear" w:color="000000"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1 419 499</w:t>
            </w:r>
          </w:p>
        </w:tc>
        <w:tc>
          <w:tcPr>
            <w:tcW w:w="581" w:type="pct"/>
            <w:shd w:val="clear" w:color="000000" w:fill="FFFFFF"/>
            <w:vAlign w:val="center"/>
          </w:tcPr>
          <w:p w:rsidR="0083667D" w:rsidRPr="0030562B" w:rsidRDefault="0083667D" w:rsidP="00DF0EF9">
            <w:pPr>
              <w:jc w:val="right"/>
              <w:rPr>
                <w:rFonts w:ascii="Times New Roman" w:hAnsi="Times New Roman" w:cs="Times New Roman"/>
                <w:color w:val="000000"/>
                <w:sz w:val="14"/>
                <w:szCs w:val="14"/>
              </w:rPr>
            </w:pPr>
            <w:r w:rsidRPr="00BA25AC">
              <w:rPr>
                <w:rFonts w:ascii="Times New Roman" w:hAnsi="Times New Roman" w:cs="Times New Roman"/>
                <w:color w:val="000000"/>
                <w:sz w:val="14"/>
                <w:szCs w:val="14"/>
              </w:rPr>
              <w:t>1 665 041</w:t>
            </w:r>
          </w:p>
        </w:tc>
        <w:tc>
          <w:tcPr>
            <w:tcW w:w="581" w:type="pct"/>
            <w:shd w:val="clear" w:color="000000" w:fill="FFFFFF"/>
            <w:vAlign w:val="center"/>
          </w:tcPr>
          <w:p w:rsidR="0083667D" w:rsidRPr="0030562B" w:rsidRDefault="0083667D" w:rsidP="00DF0EF9">
            <w:pPr>
              <w:jc w:val="right"/>
              <w:rPr>
                <w:rFonts w:ascii="Times New Roman" w:hAnsi="Times New Roman" w:cs="Times New Roman"/>
                <w:color w:val="000000"/>
                <w:sz w:val="14"/>
                <w:szCs w:val="14"/>
              </w:rPr>
            </w:pPr>
            <w:r w:rsidRPr="00BA25AC">
              <w:rPr>
                <w:rFonts w:ascii="Times New Roman" w:hAnsi="Times New Roman" w:cs="Times New Roman"/>
                <w:color w:val="000000"/>
                <w:sz w:val="14"/>
                <w:szCs w:val="14"/>
              </w:rPr>
              <w:t>2 820 996</w:t>
            </w:r>
          </w:p>
        </w:tc>
        <w:tc>
          <w:tcPr>
            <w:tcW w:w="581" w:type="pct"/>
            <w:shd w:val="clear" w:color="000000" w:fill="FFFFFF"/>
            <w:vAlign w:val="center"/>
          </w:tcPr>
          <w:p w:rsidR="0083667D" w:rsidRPr="0030562B" w:rsidRDefault="0083667D" w:rsidP="00DF0EF9">
            <w:pPr>
              <w:jc w:val="right"/>
              <w:rPr>
                <w:rFonts w:ascii="Times New Roman" w:hAnsi="Times New Roman" w:cs="Times New Roman"/>
                <w:color w:val="000000"/>
                <w:sz w:val="14"/>
                <w:szCs w:val="14"/>
              </w:rPr>
            </w:pPr>
            <w:r w:rsidRPr="00BA25AC">
              <w:rPr>
                <w:rFonts w:ascii="Times New Roman" w:hAnsi="Times New Roman" w:cs="Times New Roman"/>
                <w:color w:val="000000"/>
                <w:sz w:val="14"/>
                <w:szCs w:val="14"/>
              </w:rPr>
              <w:t>2 187 231</w:t>
            </w:r>
          </w:p>
        </w:tc>
      </w:tr>
    </w:tbl>
    <w:p w:rsidR="0083667D" w:rsidRDefault="0083667D" w:rsidP="0083667D">
      <w:pPr>
        <w:jc w:val="both"/>
        <w:rPr>
          <w:rFonts w:ascii="Times New Roman" w:hAnsi="Times New Roman"/>
          <w:b/>
          <w:szCs w:val="22"/>
        </w:rPr>
      </w:pPr>
    </w:p>
    <w:p w:rsidR="0083667D" w:rsidRPr="006353C5" w:rsidRDefault="0083667D" w:rsidP="0083667D">
      <w:pPr>
        <w:jc w:val="both"/>
        <w:rPr>
          <w:rFonts w:ascii="Times New Roman" w:hAnsi="Times New Roman"/>
          <w:b/>
          <w:szCs w:val="22"/>
        </w:rPr>
      </w:pPr>
      <w:r>
        <w:rPr>
          <w:rFonts w:ascii="Times New Roman" w:hAnsi="Times New Roman"/>
          <w:b/>
          <w:szCs w:val="22"/>
        </w:rPr>
        <w:t>3</w:t>
      </w:r>
      <w:r w:rsidRPr="006353C5">
        <w:rPr>
          <w:rFonts w:ascii="Times New Roman" w:hAnsi="Times New Roman"/>
          <w:b/>
          <w:szCs w:val="22"/>
        </w:rPr>
        <w:t>.</w:t>
      </w:r>
      <w:r>
        <w:rPr>
          <w:rFonts w:ascii="Times New Roman" w:hAnsi="Times New Roman"/>
          <w:b/>
          <w:szCs w:val="22"/>
        </w:rPr>
        <w:t>4</w:t>
      </w:r>
      <w:r w:rsidRPr="006353C5">
        <w:rPr>
          <w:rFonts w:ascii="Times New Roman" w:hAnsi="Times New Roman"/>
          <w:b/>
          <w:szCs w:val="22"/>
        </w:rPr>
        <w:t>.2.</w:t>
      </w:r>
      <w:r w:rsidRPr="006353C5">
        <w:rPr>
          <w:rFonts w:ascii="Times New Roman" w:hAnsi="Times New Roman"/>
          <w:b/>
          <w:szCs w:val="22"/>
        </w:rPr>
        <w:tab/>
        <w:t>Dividendy</w:t>
      </w:r>
    </w:p>
    <w:p w:rsidR="0083667D" w:rsidRDefault="0083667D" w:rsidP="0083667D">
      <w:pPr>
        <w:jc w:val="both"/>
        <w:rPr>
          <w:rFonts w:ascii="Times New Roman" w:hAnsi="Times New Roman"/>
          <w:szCs w:val="22"/>
        </w:rPr>
      </w:pPr>
      <w:r w:rsidRPr="006353C5">
        <w:rPr>
          <w:rFonts w:ascii="Times New Roman" w:hAnsi="Times New Roman"/>
          <w:szCs w:val="22"/>
        </w:rPr>
        <w:tab/>
      </w:r>
    </w:p>
    <w:p w:rsidR="0083667D" w:rsidRDefault="0083667D" w:rsidP="0083667D">
      <w:pPr>
        <w:ind w:firstLine="708"/>
        <w:jc w:val="both"/>
        <w:rPr>
          <w:rFonts w:ascii="Times New Roman" w:hAnsi="Times New Roman"/>
          <w:szCs w:val="22"/>
        </w:rPr>
      </w:pPr>
      <w:r w:rsidRPr="006353C5">
        <w:rPr>
          <w:rFonts w:ascii="Times New Roman" w:hAnsi="Times New Roman"/>
          <w:szCs w:val="22"/>
        </w:rPr>
        <w:t>Dividendy tvoria príjmy z dividend podnikov s majetkovou účasťou</w:t>
      </w:r>
      <w:r>
        <w:rPr>
          <w:rFonts w:ascii="Times New Roman" w:hAnsi="Times New Roman"/>
          <w:szCs w:val="22"/>
        </w:rPr>
        <w:t xml:space="preserve"> MH Manažment, a. s</w:t>
      </w:r>
      <w:r w:rsidRPr="007C2BA1">
        <w:rPr>
          <w:rFonts w:ascii="Times New Roman" w:hAnsi="Times New Roman"/>
          <w:szCs w:val="22"/>
        </w:rPr>
        <w:t>. (právneho nástupcu Fondu národného majetku Slovenskej republiky</w:t>
      </w:r>
      <w:r>
        <w:rPr>
          <w:rFonts w:ascii="Times New Roman" w:hAnsi="Times New Roman"/>
          <w:szCs w:val="22"/>
        </w:rPr>
        <w:t>)</w:t>
      </w:r>
      <w:r w:rsidRPr="006353C5">
        <w:rPr>
          <w:rFonts w:ascii="Times New Roman" w:hAnsi="Times New Roman"/>
          <w:szCs w:val="22"/>
        </w:rPr>
        <w:t xml:space="preserve"> a príjmy z podnikania z vlastníckeho podielu štátu, ktorý je zastúpený príslušnými </w:t>
      </w:r>
      <w:r w:rsidRPr="00F9102A">
        <w:rPr>
          <w:rFonts w:ascii="Times New Roman" w:hAnsi="Times New Roman"/>
          <w:szCs w:val="22"/>
        </w:rPr>
        <w:t>rezortnými  ministerstvami</w:t>
      </w:r>
      <w:r w:rsidRPr="006353C5">
        <w:rPr>
          <w:rFonts w:ascii="Times New Roman" w:hAnsi="Times New Roman"/>
          <w:szCs w:val="22"/>
        </w:rPr>
        <w:t xml:space="preserve"> v akciových spoločnostiach s majetkovou účasťou štátu. Ich vývoj je nasledovný</w:t>
      </w:r>
      <w:r>
        <w:rPr>
          <w:rFonts w:ascii="Times New Roman" w:hAnsi="Times New Roman"/>
          <w:szCs w:val="22"/>
        </w:rPr>
        <w:t>:</w:t>
      </w:r>
    </w:p>
    <w:p w:rsidR="0083667D" w:rsidRDefault="0083667D" w:rsidP="0083667D">
      <w:pPr>
        <w:ind w:firstLine="708"/>
        <w:jc w:val="both"/>
        <w:rPr>
          <w:rFonts w:ascii="Times New Roman" w:hAnsi="Times New Roman"/>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1"/>
        <w:gridCol w:w="1029"/>
        <w:gridCol w:w="1028"/>
        <w:gridCol w:w="1028"/>
        <w:gridCol w:w="1028"/>
        <w:gridCol w:w="1028"/>
        <w:gridCol w:w="1028"/>
        <w:gridCol w:w="1017"/>
      </w:tblGrid>
      <w:tr w:rsidR="0083667D" w:rsidRPr="005C66DA" w:rsidTr="00DF0EF9">
        <w:trPr>
          <w:trHeight w:val="345"/>
        </w:trPr>
        <w:tc>
          <w:tcPr>
            <w:tcW w:w="1037" w:type="pct"/>
            <w:shd w:val="clear" w:color="000000" w:fill="A6A6A6"/>
            <w:vAlign w:val="center"/>
            <w:hideMark/>
          </w:tcPr>
          <w:p w:rsidR="0083667D" w:rsidRPr="005C66DA" w:rsidRDefault="0083667D" w:rsidP="00DF0EF9">
            <w:pPr>
              <w:jc w:val="both"/>
              <w:rPr>
                <w:rFonts w:ascii="Times New Roman" w:hAnsi="Times New Roman" w:cs="Times New Roman"/>
                <w:b/>
                <w:bCs/>
                <w:color w:val="000000"/>
                <w:sz w:val="14"/>
                <w:szCs w:val="14"/>
                <w:lang w:eastAsia="sk-SK"/>
              </w:rPr>
            </w:pPr>
            <w:r w:rsidRPr="005C66DA">
              <w:rPr>
                <w:rFonts w:ascii="Times New Roman" w:hAnsi="Times New Roman" w:cs="Times New Roman"/>
                <w:b/>
                <w:bCs/>
                <w:color w:val="000000"/>
                <w:sz w:val="14"/>
                <w:szCs w:val="14"/>
                <w:lang w:eastAsia="sk-SK"/>
              </w:rPr>
              <w:t>v tis. eur</w:t>
            </w:r>
          </w:p>
        </w:tc>
        <w:tc>
          <w:tcPr>
            <w:tcW w:w="567"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w:t>
            </w:r>
            <w:r w:rsidRPr="00502053">
              <w:rPr>
                <w:rFonts w:ascii="Times New Roman" w:hAnsi="Times New Roman" w:cs="Times New Roman"/>
                <w:b/>
                <w:bCs/>
                <w:color w:val="000000"/>
                <w:sz w:val="14"/>
                <w:szCs w:val="14"/>
                <w:lang w:eastAsia="sk-SK"/>
              </w:rPr>
              <w:t xml:space="preserve"> S</w:t>
            </w:r>
          </w:p>
        </w:tc>
        <w:tc>
          <w:tcPr>
            <w:tcW w:w="567"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 xml:space="preserve">7 </w:t>
            </w:r>
            <w:r w:rsidRPr="00502053">
              <w:rPr>
                <w:rFonts w:ascii="Times New Roman" w:hAnsi="Times New Roman" w:cs="Times New Roman"/>
                <w:b/>
                <w:bCs/>
                <w:color w:val="000000"/>
                <w:sz w:val="14"/>
                <w:szCs w:val="14"/>
                <w:lang w:eastAsia="sk-SK"/>
              </w:rPr>
              <w:t>S</w:t>
            </w:r>
          </w:p>
        </w:tc>
        <w:tc>
          <w:tcPr>
            <w:tcW w:w="567"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 R</w:t>
            </w:r>
          </w:p>
        </w:tc>
        <w:tc>
          <w:tcPr>
            <w:tcW w:w="567"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 OS</w:t>
            </w:r>
          </w:p>
        </w:tc>
        <w:tc>
          <w:tcPr>
            <w:tcW w:w="567"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9</w:t>
            </w:r>
            <w:r w:rsidRPr="00502053">
              <w:rPr>
                <w:rFonts w:ascii="Times New Roman" w:hAnsi="Times New Roman" w:cs="Times New Roman"/>
                <w:b/>
                <w:bCs/>
                <w:color w:val="000000"/>
                <w:sz w:val="14"/>
                <w:szCs w:val="14"/>
                <w:lang w:eastAsia="sk-SK"/>
              </w:rPr>
              <w:t xml:space="preserve"> N</w:t>
            </w:r>
          </w:p>
        </w:tc>
        <w:tc>
          <w:tcPr>
            <w:tcW w:w="567"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2020</w:t>
            </w:r>
            <w:r w:rsidRPr="00502053">
              <w:rPr>
                <w:rFonts w:ascii="Times New Roman" w:hAnsi="Times New Roman" w:cs="Times New Roman"/>
                <w:b/>
                <w:bCs/>
                <w:color w:val="000000"/>
                <w:sz w:val="14"/>
                <w:szCs w:val="14"/>
                <w:lang w:eastAsia="sk-SK"/>
              </w:rPr>
              <w:t xml:space="preserve"> N</w:t>
            </w:r>
          </w:p>
        </w:tc>
        <w:tc>
          <w:tcPr>
            <w:tcW w:w="561"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2021</w:t>
            </w:r>
            <w:r w:rsidRPr="00502053">
              <w:rPr>
                <w:rFonts w:ascii="Times New Roman" w:hAnsi="Times New Roman" w:cs="Times New Roman"/>
                <w:b/>
                <w:bCs/>
                <w:color w:val="000000"/>
                <w:sz w:val="14"/>
                <w:szCs w:val="14"/>
                <w:lang w:eastAsia="sk-SK"/>
              </w:rPr>
              <w:t xml:space="preserve"> N</w:t>
            </w:r>
          </w:p>
        </w:tc>
      </w:tr>
      <w:tr w:rsidR="0083667D" w:rsidRPr="005C66DA" w:rsidTr="00DF0EF9">
        <w:trPr>
          <w:trHeight w:val="345"/>
        </w:trPr>
        <w:tc>
          <w:tcPr>
            <w:tcW w:w="1037" w:type="pct"/>
            <w:shd w:val="clear" w:color="000000" w:fill="BFBFBF"/>
            <w:vAlign w:val="center"/>
            <w:hideMark/>
          </w:tcPr>
          <w:p w:rsidR="0083667D" w:rsidRPr="00E6041E" w:rsidRDefault="0083667D" w:rsidP="00DF0EF9">
            <w:pPr>
              <w:rPr>
                <w:rFonts w:ascii="Times New Roman" w:hAnsi="Times New Roman" w:cs="Times New Roman"/>
                <w:b/>
                <w:bCs/>
                <w:color w:val="000000"/>
                <w:sz w:val="14"/>
                <w:szCs w:val="14"/>
              </w:rPr>
            </w:pPr>
            <w:r w:rsidRPr="00E6041E">
              <w:rPr>
                <w:rFonts w:ascii="Times New Roman" w:hAnsi="Times New Roman" w:cs="Times New Roman"/>
                <w:b/>
                <w:bCs/>
                <w:color w:val="000000"/>
                <w:sz w:val="14"/>
                <w:szCs w:val="14"/>
              </w:rPr>
              <w:t>Dividendy</w:t>
            </w:r>
          </w:p>
        </w:tc>
        <w:tc>
          <w:tcPr>
            <w:tcW w:w="567" w:type="pct"/>
            <w:shd w:val="clear" w:color="000000" w:fill="BFBFBF"/>
            <w:vAlign w:val="center"/>
          </w:tcPr>
          <w:p w:rsidR="0083667D" w:rsidRPr="0002298F" w:rsidRDefault="0083667D" w:rsidP="00DF0EF9">
            <w:pPr>
              <w:jc w:val="right"/>
              <w:rPr>
                <w:rFonts w:ascii="Times New Roman" w:hAnsi="Times New Roman" w:cs="Times New Roman"/>
                <w:b/>
                <w:bCs/>
                <w:color w:val="000000"/>
                <w:sz w:val="14"/>
                <w:szCs w:val="14"/>
              </w:rPr>
            </w:pPr>
            <w:r w:rsidRPr="0002298F">
              <w:rPr>
                <w:rFonts w:ascii="Times New Roman" w:hAnsi="Times New Roman" w:cs="Times New Roman"/>
                <w:b/>
                <w:bCs/>
                <w:color w:val="000000"/>
                <w:sz w:val="14"/>
                <w:szCs w:val="14"/>
              </w:rPr>
              <w:t>477 486</w:t>
            </w:r>
          </w:p>
        </w:tc>
        <w:tc>
          <w:tcPr>
            <w:tcW w:w="567" w:type="pct"/>
            <w:shd w:val="clear" w:color="000000" w:fill="BFBFBF"/>
            <w:vAlign w:val="center"/>
          </w:tcPr>
          <w:p w:rsidR="0083667D" w:rsidRPr="005E18F7" w:rsidRDefault="0083667D" w:rsidP="00DF0EF9">
            <w:pPr>
              <w:jc w:val="right"/>
              <w:rPr>
                <w:rFonts w:ascii="Times New Roman" w:hAnsi="Times New Roman" w:cs="Times New Roman"/>
                <w:b/>
                <w:bCs/>
                <w:color w:val="000000"/>
                <w:sz w:val="14"/>
                <w:szCs w:val="14"/>
                <w:highlight w:val="yellow"/>
                <w:lang w:eastAsia="sk-SK"/>
              </w:rPr>
            </w:pPr>
            <w:r w:rsidRPr="00403B2E">
              <w:rPr>
                <w:rFonts w:ascii="Times New Roman" w:hAnsi="Times New Roman" w:cs="Times New Roman"/>
                <w:b/>
                <w:bCs/>
                <w:color w:val="000000"/>
                <w:sz w:val="14"/>
                <w:szCs w:val="14"/>
                <w:lang w:eastAsia="sk-SK"/>
              </w:rPr>
              <w:t>599 085</w:t>
            </w:r>
          </w:p>
        </w:tc>
        <w:tc>
          <w:tcPr>
            <w:tcW w:w="567" w:type="pct"/>
            <w:shd w:val="clear" w:color="000000" w:fill="BFBFBF"/>
            <w:vAlign w:val="center"/>
          </w:tcPr>
          <w:p w:rsidR="0083667D" w:rsidRPr="000B49A0" w:rsidRDefault="0083667D" w:rsidP="00DF0EF9">
            <w:pPr>
              <w:jc w:val="right"/>
              <w:rPr>
                <w:rFonts w:ascii="Times New Roman" w:hAnsi="Times New Roman" w:cs="Times New Roman"/>
                <w:b/>
                <w:bCs/>
                <w:color w:val="000000"/>
                <w:sz w:val="14"/>
                <w:szCs w:val="14"/>
              </w:rPr>
            </w:pPr>
            <w:r w:rsidRPr="000B49A0">
              <w:rPr>
                <w:rFonts w:ascii="Times New Roman" w:hAnsi="Times New Roman" w:cs="Times New Roman"/>
                <w:b/>
                <w:bCs/>
                <w:color w:val="000000"/>
                <w:sz w:val="14"/>
                <w:szCs w:val="14"/>
              </w:rPr>
              <w:t>425 009</w:t>
            </w:r>
          </w:p>
        </w:tc>
        <w:tc>
          <w:tcPr>
            <w:tcW w:w="567" w:type="pct"/>
            <w:shd w:val="clear" w:color="000000" w:fill="BFBFBF"/>
            <w:vAlign w:val="center"/>
          </w:tcPr>
          <w:p w:rsidR="0083667D" w:rsidRPr="0002298F" w:rsidRDefault="0083667D" w:rsidP="00DF0EF9">
            <w:pPr>
              <w:jc w:val="right"/>
              <w:rPr>
                <w:rFonts w:ascii="Times New Roman" w:hAnsi="Times New Roman" w:cs="Times New Roman"/>
                <w:b/>
                <w:bCs/>
                <w:color w:val="000000"/>
                <w:sz w:val="14"/>
                <w:szCs w:val="14"/>
              </w:rPr>
            </w:pPr>
            <w:r w:rsidRPr="00E230D9">
              <w:rPr>
                <w:rFonts w:ascii="Times New Roman" w:hAnsi="Times New Roman" w:cs="Times New Roman"/>
                <w:b/>
                <w:bCs/>
                <w:color w:val="000000"/>
                <w:sz w:val="14"/>
                <w:szCs w:val="14"/>
              </w:rPr>
              <w:t>426 920</w:t>
            </w:r>
          </w:p>
        </w:tc>
        <w:tc>
          <w:tcPr>
            <w:tcW w:w="567" w:type="pct"/>
            <w:shd w:val="clear" w:color="000000" w:fill="BFBFBF"/>
            <w:vAlign w:val="center"/>
          </w:tcPr>
          <w:p w:rsidR="0083667D" w:rsidRPr="005E18F7" w:rsidRDefault="0083667D" w:rsidP="00DF0EF9">
            <w:pPr>
              <w:jc w:val="right"/>
              <w:rPr>
                <w:rFonts w:ascii="Times New Roman" w:hAnsi="Times New Roman" w:cs="Times New Roman"/>
                <w:b/>
                <w:bCs/>
                <w:color w:val="000000"/>
                <w:sz w:val="14"/>
                <w:szCs w:val="14"/>
                <w:highlight w:val="yellow"/>
                <w:lang w:eastAsia="sk-SK"/>
              </w:rPr>
            </w:pPr>
            <w:r w:rsidRPr="00E230D9">
              <w:rPr>
                <w:rFonts w:ascii="Times New Roman" w:hAnsi="Times New Roman" w:cs="Times New Roman"/>
                <w:b/>
                <w:bCs/>
                <w:color w:val="000000"/>
                <w:sz w:val="14"/>
                <w:szCs w:val="14"/>
                <w:lang w:eastAsia="sk-SK"/>
              </w:rPr>
              <w:t>432 711</w:t>
            </w:r>
          </w:p>
        </w:tc>
        <w:tc>
          <w:tcPr>
            <w:tcW w:w="567" w:type="pct"/>
            <w:shd w:val="clear" w:color="000000" w:fill="BFBFBF"/>
            <w:vAlign w:val="center"/>
          </w:tcPr>
          <w:p w:rsidR="0083667D" w:rsidRPr="000B49A0" w:rsidRDefault="0083667D" w:rsidP="00DF0EF9">
            <w:pPr>
              <w:jc w:val="right"/>
              <w:rPr>
                <w:rFonts w:ascii="Times New Roman" w:hAnsi="Times New Roman" w:cs="Times New Roman"/>
                <w:b/>
                <w:bCs/>
                <w:color w:val="000000"/>
                <w:sz w:val="14"/>
                <w:szCs w:val="14"/>
              </w:rPr>
            </w:pPr>
            <w:r w:rsidRPr="00E230D9">
              <w:rPr>
                <w:rFonts w:ascii="Times New Roman" w:hAnsi="Times New Roman" w:cs="Times New Roman"/>
                <w:b/>
                <w:bCs/>
                <w:color w:val="000000"/>
                <w:sz w:val="14"/>
                <w:szCs w:val="14"/>
              </w:rPr>
              <w:t>431 844</w:t>
            </w:r>
          </w:p>
        </w:tc>
        <w:tc>
          <w:tcPr>
            <w:tcW w:w="561" w:type="pct"/>
            <w:shd w:val="clear" w:color="000000" w:fill="BFBFBF"/>
            <w:vAlign w:val="center"/>
          </w:tcPr>
          <w:p w:rsidR="0083667D" w:rsidRPr="0002298F" w:rsidRDefault="0083667D" w:rsidP="00DF0EF9">
            <w:pPr>
              <w:jc w:val="right"/>
              <w:rPr>
                <w:rFonts w:ascii="Times New Roman" w:hAnsi="Times New Roman" w:cs="Times New Roman"/>
                <w:b/>
                <w:bCs/>
                <w:color w:val="000000"/>
                <w:sz w:val="14"/>
                <w:szCs w:val="14"/>
              </w:rPr>
            </w:pPr>
            <w:r w:rsidRPr="00E230D9">
              <w:rPr>
                <w:rFonts w:ascii="Times New Roman" w:hAnsi="Times New Roman" w:cs="Times New Roman"/>
                <w:b/>
                <w:bCs/>
                <w:color w:val="000000"/>
                <w:sz w:val="14"/>
                <w:szCs w:val="14"/>
              </w:rPr>
              <w:t>431 897</w:t>
            </w:r>
          </w:p>
        </w:tc>
      </w:tr>
      <w:tr w:rsidR="0083667D" w:rsidRPr="005C66DA" w:rsidTr="00DF0EF9">
        <w:trPr>
          <w:trHeight w:val="345"/>
        </w:trPr>
        <w:tc>
          <w:tcPr>
            <w:tcW w:w="1037" w:type="pct"/>
            <w:noWrap/>
            <w:vAlign w:val="center"/>
            <w:hideMark/>
          </w:tcPr>
          <w:p w:rsidR="0083667D" w:rsidRPr="00E6041E" w:rsidRDefault="0083667D" w:rsidP="00DF0EF9">
            <w:pPr>
              <w:rPr>
                <w:rFonts w:ascii="Times New Roman" w:hAnsi="Times New Roman" w:cs="Times New Roman"/>
                <w:b/>
                <w:bCs/>
                <w:color w:val="000000"/>
                <w:sz w:val="14"/>
                <w:szCs w:val="14"/>
              </w:rPr>
            </w:pPr>
            <w:r>
              <w:rPr>
                <w:rFonts w:ascii="Times New Roman" w:hAnsi="Times New Roman" w:cs="Times New Roman"/>
                <w:b/>
                <w:bCs/>
                <w:color w:val="000000"/>
                <w:sz w:val="14"/>
                <w:szCs w:val="14"/>
              </w:rPr>
              <w:t xml:space="preserve">MH Manažment, a. s. </w:t>
            </w:r>
          </w:p>
        </w:tc>
        <w:tc>
          <w:tcPr>
            <w:tcW w:w="567" w:type="pct"/>
            <w:noWrap/>
            <w:vAlign w:val="center"/>
          </w:tcPr>
          <w:p w:rsidR="0083667D" w:rsidRPr="0002298F" w:rsidRDefault="0083667D" w:rsidP="00DF0EF9">
            <w:pPr>
              <w:jc w:val="right"/>
              <w:rPr>
                <w:rFonts w:ascii="Times New Roman" w:hAnsi="Times New Roman" w:cs="Times New Roman"/>
                <w:b/>
                <w:bCs/>
                <w:color w:val="000000"/>
                <w:sz w:val="14"/>
                <w:szCs w:val="14"/>
              </w:rPr>
            </w:pPr>
            <w:r w:rsidRPr="0002298F">
              <w:rPr>
                <w:rFonts w:ascii="Times New Roman" w:hAnsi="Times New Roman" w:cs="Times New Roman"/>
                <w:b/>
                <w:bCs/>
                <w:color w:val="000000"/>
                <w:sz w:val="14"/>
                <w:szCs w:val="14"/>
              </w:rPr>
              <w:t>47</w:t>
            </w:r>
          </w:p>
        </w:tc>
        <w:tc>
          <w:tcPr>
            <w:tcW w:w="567" w:type="pct"/>
            <w:noWrap/>
            <w:vAlign w:val="center"/>
          </w:tcPr>
          <w:p w:rsidR="0083667D" w:rsidRPr="00BA7473" w:rsidRDefault="0083667D" w:rsidP="00DF0EF9">
            <w:pPr>
              <w:jc w:val="right"/>
              <w:rPr>
                <w:rFonts w:ascii="Times New Roman" w:hAnsi="Times New Roman" w:cs="Times New Roman"/>
                <w:b/>
                <w:bCs/>
                <w:color w:val="000000"/>
                <w:sz w:val="14"/>
                <w:szCs w:val="14"/>
              </w:rPr>
            </w:pPr>
            <w:r w:rsidRPr="00BA7473">
              <w:rPr>
                <w:rFonts w:ascii="Times New Roman" w:hAnsi="Times New Roman" w:cs="Times New Roman"/>
                <w:b/>
                <w:bCs/>
                <w:color w:val="000000"/>
                <w:sz w:val="14"/>
                <w:szCs w:val="14"/>
              </w:rPr>
              <w:t>17</w:t>
            </w:r>
          </w:p>
        </w:tc>
        <w:tc>
          <w:tcPr>
            <w:tcW w:w="567" w:type="pct"/>
            <w:noWrap/>
            <w:vAlign w:val="center"/>
          </w:tcPr>
          <w:p w:rsidR="0083667D" w:rsidRPr="000B49A0" w:rsidRDefault="0083667D" w:rsidP="00DF0EF9">
            <w:pPr>
              <w:jc w:val="right"/>
              <w:rPr>
                <w:rFonts w:ascii="Times New Roman" w:hAnsi="Times New Roman" w:cs="Times New Roman"/>
                <w:b/>
                <w:bCs/>
                <w:color w:val="000000"/>
                <w:sz w:val="14"/>
                <w:szCs w:val="14"/>
              </w:rPr>
            </w:pPr>
            <w:r w:rsidRPr="000B49A0">
              <w:rPr>
                <w:rFonts w:ascii="Times New Roman" w:hAnsi="Times New Roman" w:cs="Times New Roman"/>
                <w:b/>
                <w:bCs/>
                <w:color w:val="000000"/>
                <w:sz w:val="14"/>
                <w:szCs w:val="14"/>
              </w:rPr>
              <w:t>10</w:t>
            </w:r>
          </w:p>
        </w:tc>
        <w:tc>
          <w:tcPr>
            <w:tcW w:w="567" w:type="pct"/>
            <w:vAlign w:val="center"/>
          </w:tcPr>
          <w:p w:rsidR="0083667D" w:rsidRPr="000B49A0" w:rsidRDefault="0083667D" w:rsidP="00DF0EF9">
            <w:pPr>
              <w:jc w:val="right"/>
              <w:rPr>
                <w:rFonts w:ascii="Times New Roman" w:hAnsi="Times New Roman" w:cs="Times New Roman"/>
                <w:b/>
                <w:bCs/>
                <w:color w:val="000000"/>
                <w:sz w:val="14"/>
                <w:szCs w:val="14"/>
              </w:rPr>
            </w:pPr>
            <w:r w:rsidRPr="000B49A0">
              <w:rPr>
                <w:rFonts w:ascii="Times New Roman" w:hAnsi="Times New Roman" w:cs="Times New Roman"/>
                <w:b/>
                <w:bCs/>
                <w:color w:val="000000"/>
                <w:sz w:val="14"/>
                <w:szCs w:val="14"/>
              </w:rPr>
              <w:t>10</w:t>
            </w:r>
          </w:p>
        </w:tc>
        <w:tc>
          <w:tcPr>
            <w:tcW w:w="567" w:type="pct"/>
            <w:vAlign w:val="center"/>
          </w:tcPr>
          <w:p w:rsidR="0083667D" w:rsidRPr="000B49A0" w:rsidRDefault="0083667D" w:rsidP="00DF0EF9">
            <w:pPr>
              <w:jc w:val="right"/>
              <w:rPr>
                <w:rFonts w:ascii="Times New Roman" w:hAnsi="Times New Roman" w:cs="Times New Roman"/>
                <w:b/>
                <w:bCs/>
                <w:color w:val="000000"/>
                <w:sz w:val="14"/>
                <w:szCs w:val="14"/>
              </w:rPr>
            </w:pPr>
            <w:r w:rsidRPr="000B49A0">
              <w:rPr>
                <w:rFonts w:ascii="Times New Roman" w:hAnsi="Times New Roman" w:cs="Times New Roman"/>
                <w:b/>
                <w:bCs/>
                <w:color w:val="000000"/>
                <w:sz w:val="14"/>
                <w:szCs w:val="14"/>
              </w:rPr>
              <w:t>10</w:t>
            </w:r>
          </w:p>
        </w:tc>
        <w:tc>
          <w:tcPr>
            <w:tcW w:w="567" w:type="pct"/>
            <w:noWrap/>
            <w:vAlign w:val="center"/>
          </w:tcPr>
          <w:p w:rsidR="0083667D" w:rsidRPr="000B49A0" w:rsidRDefault="0083667D" w:rsidP="00DF0EF9">
            <w:pPr>
              <w:jc w:val="right"/>
              <w:rPr>
                <w:rFonts w:ascii="Times New Roman" w:hAnsi="Times New Roman" w:cs="Times New Roman"/>
                <w:b/>
                <w:bCs/>
                <w:color w:val="000000"/>
                <w:sz w:val="14"/>
                <w:szCs w:val="14"/>
              </w:rPr>
            </w:pPr>
            <w:r w:rsidRPr="000B49A0">
              <w:rPr>
                <w:rFonts w:ascii="Times New Roman" w:hAnsi="Times New Roman" w:cs="Times New Roman"/>
                <w:b/>
                <w:bCs/>
                <w:color w:val="000000"/>
                <w:sz w:val="14"/>
                <w:szCs w:val="14"/>
              </w:rPr>
              <w:t>10</w:t>
            </w:r>
          </w:p>
        </w:tc>
        <w:tc>
          <w:tcPr>
            <w:tcW w:w="561" w:type="pct"/>
            <w:noWrap/>
            <w:vAlign w:val="center"/>
          </w:tcPr>
          <w:p w:rsidR="0083667D" w:rsidRPr="000B49A0" w:rsidRDefault="0083667D" w:rsidP="00DF0EF9">
            <w:pPr>
              <w:jc w:val="right"/>
              <w:rPr>
                <w:rFonts w:ascii="Times New Roman" w:hAnsi="Times New Roman" w:cs="Times New Roman"/>
                <w:b/>
                <w:bCs/>
                <w:color w:val="000000"/>
                <w:sz w:val="14"/>
                <w:szCs w:val="14"/>
              </w:rPr>
            </w:pPr>
            <w:r w:rsidRPr="000B49A0">
              <w:rPr>
                <w:rFonts w:ascii="Times New Roman" w:hAnsi="Times New Roman" w:cs="Times New Roman"/>
                <w:b/>
                <w:bCs/>
                <w:color w:val="000000"/>
                <w:sz w:val="14"/>
                <w:szCs w:val="14"/>
              </w:rPr>
              <w:t>10</w:t>
            </w:r>
          </w:p>
        </w:tc>
      </w:tr>
      <w:tr w:rsidR="0083667D" w:rsidRPr="00376B46" w:rsidTr="00DF0EF9">
        <w:trPr>
          <w:trHeight w:val="345"/>
        </w:trPr>
        <w:tc>
          <w:tcPr>
            <w:tcW w:w="1037" w:type="pct"/>
            <w:noWrap/>
            <w:vAlign w:val="center"/>
          </w:tcPr>
          <w:p w:rsidR="0083667D" w:rsidRPr="00E6041E" w:rsidRDefault="0083667D" w:rsidP="00DF0EF9">
            <w:pPr>
              <w:rPr>
                <w:rFonts w:ascii="Times New Roman" w:hAnsi="Times New Roman" w:cs="Times New Roman"/>
                <w:color w:val="000000"/>
                <w:sz w:val="14"/>
                <w:szCs w:val="14"/>
              </w:rPr>
            </w:pPr>
            <w:r w:rsidRPr="00E6041E">
              <w:rPr>
                <w:rFonts w:ascii="Times New Roman" w:hAnsi="Times New Roman" w:cs="Times New Roman"/>
                <w:color w:val="000000"/>
                <w:sz w:val="14"/>
                <w:szCs w:val="14"/>
              </w:rPr>
              <w:t xml:space="preserve">     riadne dividendy</w:t>
            </w:r>
          </w:p>
        </w:tc>
        <w:tc>
          <w:tcPr>
            <w:tcW w:w="567" w:type="pct"/>
            <w:noWrap/>
            <w:vAlign w:val="center"/>
          </w:tcPr>
          <w:p w:rsidR="0083667D" w:rsidRPr="0002298F" w:rsidRDefault="0083667D" w:rsidP="00DF0EF9">
            <w:pPr>
              <w:jc w:val="right"/>
              <w:rPr>
                <w:rFonts w:ascii="Times New Roman" w:hAnsi="Times New Roman" w:cs="Times New Roman"/>
                <w:color w:val="000000"/>
                <w:sz w:val="14"/>
                <w:szCs w:val="14"/>
              </w:rPr>
            </w:pPr>
            <w:r w:rsidRPr="0002298F">
              <w:rPr>
                <w:rFonts w:ascii="Times New Roman" w:hAnsi="Times New Roman" w:cs="Times New Roman"/>
                <w:color w:val="000000"/>
                <w:sz w:val="14"/>
                <w:szCs w:val="14"/>
              </w:rPr>
              <w:t>47</w:t>
            </w:r>
          </w:p>
        </w:tc>
        <w:tc>
          <w:tcPr>
            <w:tcW w:w="567" w:type="pct"/>
            <w:noWrap/>
            <w:vAlign w:val="center"/>
          </w:tcPr>
          <w:p w:rsidR="0083667D" w:rsidRPr="00BA7473" w:rsidRDefault="0083667D" w:rsidP="00DF0EF9">
            <w:pPr>
              <w:jc w:val="right"/>
              <w:rPr>
                <w:rFonts w:ascii="Times New Roman" w:hAnsi="Times New Roman" w:cs="Times New Roman"/>
                <w:color w:val="000000"/>
                <w:sz w:val="14"/>
                <w:szCs w:val="14"/>
              </w:rPr>
            </w:pPr>
            <w:r w:rsidRPr="00BA7473">
              <w:rPr>
                <w:rFonts w:ascii="Times New Roman" w:hAnsi="Times New Roman" w:cs="Times New Roman"/>
                <w:color w:val="000000"/>
                <w:sz w:val="14"/>
                <w:szCs w:val="14"/>
              </w:rPr>
              <w:t>17</w:t>
            </w:r>
          </w:p>
        </w:tc>
        <w:tc>
          <w:tcPr>
            <w:tcW w:w="567" w:type="pct"/>
            <w:noWrap/>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10</w:t>
            </w:r>
          </w:p>
        </w:tc>
        <w:tc>
          <w:tcPr>
            <w:tcW w:w="567" w:type="pct"/>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10</w:t>
            </w:r>
          </w:p>
        </w:tc>
        <w:tc>
          <w:tcPr>
            <w:tcW w:w="567" w:type="pct"/>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10</w:t>
            </w:r>
          </w:p>
        </w:tc>
        <w:tc>
          <w:tcPr>
            <w:tcW w:w="567" w:type="pct"/>
            <w:noWrap/>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10</w:t>
            </w:r>
          </w:p>
        </w:tc>
        <w:tc>
          <w:tcPr>
            <w:tcW w:w="561" w:type="pct"/>
            <w:noWrap/>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10</w:t>
            </w:r>
          </w:p>
        </w:tc>
      </w:tr>
      <w:tr w:rsidR="0083667D" w:rsidRPr="005C66DA" w:rsidTr="00DF0EF9">
        <w:trPr>
          <w:trHeight w:val="345"/>
        </w:trPr>
        <w:tc>
          <w:tcPr>
            <w:tcW w:w="1037" w:type="pct"/>
            <w:noWrap/>
            <w:vAlign w:val="center"/>
          </w:tcPr>
          <w:p w:rsidR="0083667D" w:rsidRPr="00E6041E" w:rsidRDefault="0083667D" w:rsidP="00DF0EF9">
            <w:pPr>
              <w:rPr>
                <w:rFonts w:ascii="Times New Roman" w:hAnsi="Times New Roman" w:cs="Times New Roman"/>
                <w:i/>
                <w:iCs/>
                <w:color w:val="000000"/>
                <w:sz w:val="14"/>
                <w:szCs w:val="14"/>
              </w:rPr>
            </w:pPr>
            <w:r w:rsidRPr="00E6041E">
              <w:rPr>
                <w:rFonts w:ascii="Times New Roman" w:hAnsi="Times New Roman" w:cs="Times New Roman"/>
                <w:i/>
                <w:iCs/>
                <w:color w:val="000000"/>
                <w:sz w:val="14"/>
                <w:szCs w:val="14"/>
              </w:rPr>
              <w:t xml:space="preserve">     superdividendy</w:t>
            </w:r>
          </w:p>
        </w:tc>
        <w:tc>
          <w:tcPr>
            <w:tcW w:w="567" w:type="pct"/>
            <w:noWrap/>
            <w:vAlign w:val="center"/>
          </w:tcPr>
          <w:p w:rsidR="0083667D" w:rsidRPr="0002298F" w:rsidRDefault="0083667D" w:rsidP="00DF0EF9">
            <w:pPr>
              <w:jc w:val="right"/>
              <w:rPr>
                <w:rFonts w:ascii="Times New Roman" w:hAnsi="Times New Roman" w:cs="Times New Roman"/>
                <w:color w:val="000000"/>
                <w:sz w:val="14"/>
                <w:szCs w:val="14"/>
              </w:rPr>
            </w:pPr>
            <w:r w:rsidRPr="0002298F">
              <w:rPr>
                <w:rFonts w:ascii="Times New Roman" w:hAnsi="Times New Roman" w:cs="Times New Roman"/>
                <w:color w:val="000000"/>
                <w:sz w:val="14"/>
                <w:szCs w:val="14"/>
              </w:rPr>
              <w:t>0</w:t>
            </w:r>
          </w:p>
        </w:tc>
        <w:tc>
          <w:tcPr>
            <w:tcW w:w="567" w:type="pct"/>
            <w:noWrap/>
            <w:vAlign w:val="center"/>
          </w:tcPr>
          <w:p w:rsidR="0083667D" w:rsidRPr="00BA7473" w:rsidRDefault="0083667D" w:rsidP="00DF0EF9">
            <w:pPr>
              <w:jc w:val="right"/>
              <w:rPr>
                <w:rFonts w:ascii="Times New Roman" w:hAnsi="Times New Roman" w:cs="Times New Roman"/>
                <w:color w:val="000000"/>
                <w:sz w:val="14"/>
                <w:szCs w:val="14"/>
              </w:rPr>
            </w:pPr>
            <w:r w:rsidRPr="00BA7473">
              <w:rPr>
                <w:rFonts w:ascii="Times New Roman" w:hAnsi="Times New Roman" w:cs="Times New Roman"/>
                <w:color w:val="000000"/>
                <w:sz w:val="14"/>
                <w:szCs w:val="14"/>
              </w:rPr>
              <w:t>0</w:t>
            </w:r>
          </w:p>
        </w:tc>
        <w:tc>
          <w:tcPr>
            <w:tcW w:w="567" w:type="pct"/>
            <w:noWrap/>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0</w:t>
            </w:r>
          </w:p>
        </w:tc>
        <w:tc>
          <w:tcPr>
            <w:tcW w:w="567" w:type="pct"/>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0</w:t>
            </w:r>
          </w:p>
        </w:tc>
        <w:tc>
          <w:tcPr>
            <w:tcW w:w="567" w:type="pct"/>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0</w:t>
            </w:r>
          </w:p>
        </w:tc>
        <w:tc>
          <w:tcPr>
            <w:tcW w:w="567" w:type="pct"/>
            <w:noWrap/>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0</w:t>
            </w:r>
          </w:p>
        </w:tc>
        <w:tc>
          <w:tcPr>
            <w:tcW w:w="561" w:type="pct"/>
            <w:noWrap/>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0</w:t>
            </w:r>
          </w:p>
        </w:tc>
      </w:tr>
      <w:tr w:rsidR="0083667D" w:rsidRPr="005C66DA" w:rsidTr="00DF0EF9">
        <w:trPr>
          <w:trHeight w:val="254"/>
        </w:trPr>
        <w:tc>
          <w:tcPr>
            <w:tcW w:w="1037" w:type="pct"/>
            <w:noWrap/>
            <w:vAlign w:val="center"/>
            <w:hideMark/>
          </w:tcPr>
          <w:p w:rsidR="0083667D" w:rsidRPr="00E6041E" w:rsidRDefault="0083667D" w:rsidP="00DF0EF9">
            <w:pPr>
              <w:rPr>
                <w:rFonts w:ascii="Times New Roman" w:hAnsi="Times New Roman" w:cs="Times New Roman"/>
                <w:b/>
                <w:bCs/>
                <w:color w:val="000000"/>
                <w:sz w:val="14"/>
                <w:szCs w:val="14"/>
              </w:rPr>
            </w:pPr>
            <w:r w:rsidRPr="00E6041E">
              <w:rPr>
                <w:rFonts w:ascii="Times New Roman" w:hAnsi="Times New Roman" w:cs="Times New Roman"/>
                <w:b/>
                <w:bCs/>
                <w:color w:val="000000"/>
                <w:sz w:val="14"/>
                <w:szCs w:val="14"/>
              </w:rPr>
              <w:t>Kapitoly štátneho rozpočtu</w:t>
            </w:r>
          </w:p>
        </w:tc>
        <w:tc>
          <w:tcPr>
            <w:tcW w:w="567" w:type="pct"/>
            <w:noWrap/>
            <w:vAlign w:val="center"/>
          </w:tcPr>
          <w:p w:rsidR="0083667D" w:rsidRPr="0002298F" w:rsidRDefault="0083667D" w:rsidP="00DF0EF9">
            <w:pPr>
              <w:jc w:val="right"/>
              <w:rPr>
                <w:rFonts w:ascii="Times New Roman" w:hAnsi="Times New Roman" w:cs="Times New Roman"/>
                <w:b/>
                <w:bCs/>
                <w:color w:val="000000"/>
                <w:sz w:val="14"/>
                <w:szCs w:val="14"/>
              </w:rPr>
            </w:pPr>
            <w:r w:rsidRPr="0002298F">
              <w:rPr>
                <w:rFonts w:ascii="Times New Roman" w:hAnsi="Times New Roman" w:cs="Times New Roman"/>
                <w:b/>
                <w:bCs/>
                <w:color w:val="000000"/>
                <w:sz w:val="14"/>
                <w:szCs w:val="14"/>
              </w:rPr>
              <w:t>477 439</w:t>
            </w:r>
          </w:p>
        </w:tc>
        <w:tc>
          <w:tcPr>
            <w:tcW w:w="567" w:type="pct"/>
            <w:noWrap/>
            <w:vAlign w:val="center"/>
          </w:tcPr>
          <w:p w:rsidR="0083667D" w:rsidRPr="005E18F7" w:rsidRDefault="0083667D" w:rsidP="00DF0EF9">
            <w:pPr>
              <w:jc w:val="right"/>
              <w:rPr>
                <w:rFonts w:ascii="Times New Roman" w:hAnsi="Times New Roman" w:cs="Times New Roman"/>
                <w:b/>
                <w:bCs/>
                <w:color w:val="000000"/>
                <w:sz w:val="14"/>
                <w:szCs w:val="14"/>
                <w:highlight w:val="yellow"/>
              </w:rPr>
            </w:pPr>
            <w:r w:rsidRPr="00403B2E">
              <w:rPr>
                <w:rFonts w:ascii="Times New Roman" w:hAnsi="Times New Roman" w:cs="Times New Roman"/>
                <w:b/>
                <w:bCs/>
                <w:color w:val="000000"/>
                <w:sz w:val="14"/>
                <w:szCs w:val="14"/>
              </w:rPr>
              <w:t>599 068</w:t>
            </w:r>
          </w:p>
        </w:tc>
        <w:tc>
          <w:tcPr>
            <w:tcW w:w="567" w:type="pct"/>
            <w:noWrap/>
            <w:vAlign w:val="center"/>
          </w:tcPr>
          <w:p w:rsidR="0083667D" w:rsidRPr="000B49A0" w:rsidRDefault="0083667D" w:rsidP="00DF0EF9">
            <w:pPr>
              <w:jc w:val="right"/>
              <w:rPr>
                <w:rFonts w:ascii="Times New Roman" w:hAnsi="Times New Roman" w:cs="Times New Roman"/>
                <w:b/>
                <w:bCs/>
                <w:color w:val="000000"/>
                <w:sz w:val="14"/>
                <w:szCs w:val="14"/>
              </w:rPr>
            </w:pPr>
            <w:r w:rsidRPr="000B49A0">
              <w:rPr>
                <w:rFonts w:ascii="Times New Roman" w:hAnsi="Times New Roman" w:cs="Times New Roman"/>
                <w:b/>
                <w:bCs/>
                <w:color w:val="000000"/>
                <w:sz w:val="14"/>
                <w:szCs w:val="14"/>
              </w:rPr>
              <w:t>424 999</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95587" w:rsidRDefault="0083667D" w:rsidP="00DF0EF9">
            <w:pPr>
              <w:jc w:val="right"/>
              <w:rPr>
                <w:rFonts w:ascii="Times New Roman" w:hAnsi="Times New Roman" w:cs="Times New Roman"/>
                <w:b/>
                <w:bCs/>
                <w:color w:val="000000"/>
                <w:sz w:val="14"/>
                <w:szCs w:val="14"/>
              </w:rPr>
            </w:pPr>
            <w:r w:rsidRPr="00095587">
              <w:rPr>
                <w:rFonts w:ascii="Times New Roman" w:hAnsi="Times New Roman" w:cs="Times New Roman"/>
                <w:b/>
                <w:bCs/>
                <w:color w:val="000000"/>
                <w:sz w:val="14"/>
                <w:szCs w:val="14"/>
              </w:rPr>
              <w:t>426 910</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95587" w:rsidRDefault="0083667D" w:rsidP="00DF0EF9">
            <w:pPr>
              <w:jc w:val="right"/>
              <w:rPr>
                <w:rFonts w:ascii="Times New Roman" w:hAnsi="Times New Roman" w:cs="Times New Roman"/>
                <w:b/>
                <w:bCs/>
                <w:color w:val="000000"/>
                <w:sz w:val="14"/>
                <w:szCs w:val="14"/>
              </w:rPr>
            </w:pPr>
            <w:r w:rsidRPr="00095587">
              <w:rPr>
                <w:rFonts w:ascii="Times New Roman" w:hAnsi="Times New Roman" w:cs="Times New Roman"/>
                <w:b/>
                <w:bCs/>
                <w:color w:val="000000"/>
                <w:sz w:val="14"/>
                <w:szCs w:val="14"/>
              </w:rPr>
              <w:t>432 701</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95587" w:rsidRDefault="0083667D" w:rsidP="00DF0EF9">
            <w:pPr>
              <w:jc w:val="right"/>
              <w:rPr>
                <w:rFonts w:ascii="Times New Roman" w:hAnsi="Times New Roman" w:cs="Times New Roman"/>
                <w:b/>
                <w:bCs/>
                <w:color w:val="000000"/>
                <w:sz w:val="14"/>
                <w:szCs w:val="14"/>
              </w:rPr>
            </w:pPr>
            <w:r w:rsidRPr="00095587">
              <w:rPr>
                <w:rFonts w:ascii="Times New Roman" w:hAnsi="Times New Roman" w:cs="Times New Roman"/>
                <w:b/>
                <w:bCs/>
                <w:color w:val="000000"/>
                <w:sz w:val="14"/>
                <w:szCs w:val="14"/>
              </w:rPr>
              <w:t>431 834</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95587" w:rsidRDefault="0083667D" w:rsidP="00DF0EF9">
            <w:pPr>
              <w:jc w:val="right"/>
              <w:rPr>
                <w:rFonts w:ascii="Times New Roman" w:hAnsi="Times New Roman" w:cs="Times New Roman"/>
                <w:b/>
                <w:bCs/>
                <w:color w:val="000000"/>
                <w:sz w:val="14"/>
                <w:szCs w:val="14"/>
              </w:rPr>
            </w:pPr>
            <w:r w:rsidRPr="00095587">
              <w:rPr>
                <w:rFonts w:ascii="Times New Roman" w:hAnsi="Times New Roman" w:cs="Times New Roman"/>
                <w:b/>
                <w:bCs/>
                <w:color w:val="000000"/>
                <w:sz w:val="14"/>
                <w:szCs w:val="14"/>
              </w:rPr>
              <w:t>431 887</w:t>
            </w:r>
          </w:p>
        </w:tc>
      </w:tr>
      <w:tr w:rsidR="0083667D" w:rsidRPr="00376B46" w:rsidTr="00DF0EF9">
        <w:trPr>
          <w:trHeight w:val="274"/>
        </w:trPr>
        <w:tc>
          <w:tcPr>
            <w:tcW w:w="1037" w:type="pct"/>
            <w:noWrap/>
            <w:vAlign w:val="center"/>
          </w:tcPr>
          <w:p w:rsidR="0083667D" w:rsidRPr="00E6041E" w:rsidRDefault="0083667D" w:rsidP="00DF0EF9">
            <w:pPr>
              <w:rPr>
                <w:rFonts w:ascii="Times New Roman" w:hAnsi="Times New Roman" w:cs="Times New Roman"/>
                <w:color w:val="000000"/>
                <w:sz w:val="14"/>
                <w:szCs w:val="14"/>
              </w:rPr>
            </w:pPr>
            <w:r w:rsidRPr="00E6041E">
              <w:rPr>
                <w:rFonts w:ascii="Times New Roman" w:hAnsi="Times New Roman" w:cs="Times New Roman"/>
                <w:color w:val="000000"/>
                <w:sz w:val="14"/>
                <w:szCs w:val="14"/>
              </w:rPr>
              <w:t xml:space="preserve">     riadne dividendy</w:t>
            </w:r>
          </w:p>
        </w:tc>
        <w:tc>
          <w:tcPr>
            <w:tcW w:w="567" w:type="pct"/>
            <w:noWrap/>
            <w:vAlign w:val="center"/>
          </w:tcPr>
          <w:p w:rsidR="0083667D" w:rsidRPr="0002298F" w:rsidRDefault="0083667D" w:rsidP="00DF0EF9">
            <w:pPr>
              <w:jc w:val="right"/>
              <w:rPr>
                <w:rFonts w:ascii="Times New Roman" w:hAnsi="Times New Roman" w:cs="Times New Roman"/>
                <w:color w:val="000000"/>
                <w:sz w:val="14"/>
                <w:szCs w:val="14"/>
              </w:rPr>
            </w:pPr>
            <w:r w:rsidRPr="00746B28">
              <w:rPr>
                <w:rFonts w:ascii="Times New Roman" w:hAnsi="Times New Roman" w:cs="Times New Roman"/>
                <w:color w:val="000000"/>
                <w:sz w:val="14"/>
                <w:szCs w:val="14"/>
              </w:rPr>
              <w:t>288 634</w:t>
            </w:r>
          </w:p>
        </w:tc>
        <w:tc>
          <w:tcPr>
            <w:tcW w:w="567" w:type="pct"/>
            <w:noWrap/>
            <w:vAlign w:val="center"/>
          </w:tcPr>
          <w:p w:rsidR="0083667D" w:rsidRPr="0056091E"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362 614</w:t>
            </w:r>
          </w:p>
        </w:tc>
        <w:tc>
          <w:tcPr>
            <w:tcW w:w="567" w:type="pct"/>
            <w:noWrap/>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424 999</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95587" w:rsidRDefault="0083667D" w:rsidP="00DF0EF9">
            <w:pPr>
              <w:jc w:val="right"/>
              <w:rPr>
                <w:rFonts w:ascii="Times New Roman" w:hAnsi="Times New Roman" w:cs="Times New Roman"/>
                <w:bCs/>
                <w:color w:val="000000"/>
                <w:sz w:val="14"/>
                <w:szCs w:val="14"/>
              </w:rPr>
            </w:pPr>
            <w:r w:rsidRPr="00095587">
              <w:rPr>
                <w:rFonts w:ascii="Times New Roman" w:hAnsi="Times New Roman" w:cs="Times New Roman"/>
                <w:bCs/>
                <w:color w:val="000000"/>
                <w:sz w:val="14"/>
                <w:szCs w:val="14"/>
              </w:rPr>
              <w:t>280 291</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95587" w:rsidRDefault="0083667D" w:rsidP="00DF0EF9">
            <w:pPr>
              <w:jc w:val="right"/>
              <w:rPr>
                <w:rFonts w:ascii="Times New Roman" w:hAnsi="Times New Roman" w:cs="Times New Roman"/>
                <w:bCs/>
                <w:color w:val="000000"/>
                <w:sz w:val="14"/>
                <w:szCs w:val="14"/>
              </w:rPr>
            </w:pPr>
            <w:r w:rsidRPr="00095587">
              <w:rPr>
                <w:rFonts w:ascii="Times New Roman" w:hAnsi="Times New Roman" w:cs="Times New Roman"/>
                <w:bCs/>
                <w:color w:val="000000"/>
                <w:sz w:val="14"/>
                <w:szCs w:val="14"/>
              </w:rPr>
              <w:t>432 701</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95587" w:rsidRDefault="0083667D" w:rsidP="00DF0EF9">
            <w:pPr>
              <w:jc w:val="right"/>
              <w:rPr>
                <w:rFonts w:ascii="Times New Roman" w:hAnsi="Times New Roman" w:cs="Times New Roman"/>
                <w:bCs/>
                <w:color w:val="000000"/>
                <w:sz w:val="14"/>
                <w:szCs w:val="14"/>
              </w:rPr>
            </w:pPr>
            <w:r w:rsidRPr="00095587">
              <w:rPr>
                <w:rFonts w:ascii="Times New Roman" w:hAnsi="Times New Roman" w:cs="Times New Roman"/>
                <w:bCs/>
                <w:color w:val="000000"/>
                <w:sz w:val="14"/>
                <w:szCs w:val="14"/>
              </w:rPr>
              <w:t>431 834</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95587" w:rsidRDefault="0083667D" w:rsidP="00DF0EF9">
            <w:pPr>
              <w:jc w:val="right"/>
              <w:rPr>
                <w:rFonts w:ascii="Times New Roman" w:hAnsi="Times New Roman" w:cs="Times New Roman"/>
                <w:bCs/>
                <w:color w:val="000000"/>
                <w:sz w:val="14"/>
                <w:szCs w:val="14"/>
              </w:rPr>
            </w:pPr>
            <w:r w:rsidRPr="00095587">
              <w:rPr>
                <w:rFonts w:ascii="Times New Roman" w:hAnsi="Times New Roman" w:cs="Times New Roman"/>
                <w:bCs/>
                <w:color w:val="000000"/>
                <w:sz w:val="14"/>
                <w:szCs w:val="14"/>
              </w:rPr>
              <w:t>431 887</w:t>
            </w:r>
          </w:p>
        </w:tc>
      </w:tr>
      <w:tr w:rsidR="0083667D" w:rsidRPr="005C66DA" w:rsidTr="00DF0EF9">
        <w:trPr>
          <w:trHeight w:val="345"/>
        </w:trPr>
        <w:tc>
          <w:tcPr>
            <w:tcW w:w="1037" w:type="pct"/>
            <w:noWrap/>
            <w:vAlign w:val="center"/>
          </w:tcPr>
          <w:p w:rsidR="0083667D" w:rsidRPr="00E6041E" w:rsidRDefault="0083667D" w:rsidP="00DF0EF9">
            <w:pPr>
              <w:rPr>
                <w:rFonts w:ascii="Times New Roman" w:hAnsi="Times New Roman" w:cs="Times New Roman"/>
                <w:i/>
                <w:iCs/>
                <w:color w:val="000000"/>
                <w:sz w:val="14"/>
                <w:szCs w:val="14"/>
              </w:rPr>
            </w:pPr>
            <w:r w:rsidRPr="00E6041E">
              <w:rPr>
                <w:rFonts w:ascii="Times New Roman" w:hAnsi="Times New Roman" w:cs="Times New Roman"/>
                <w:i/>
                <w:iCs/>
                <w:color w:val="000000"/>
                <w:sz w:val="14"/>
                <w:szCs w:val="14"/>
              </w:rPr>
              <w:t xml:space="preserve">     superdividendy</w:t>
            </w:r>
          </w:p>
        </w:tc>
        <w:tc>
          <w:tcPr>
            <w:tcW w:w="567" w:type="pct"/>
            <w:noWrap/>
            <w:vAlign w:val="center"/>
          </w:tcPr>
          <w:p w:rsidR="0083667D" w:rsidRPr="0002298F" w:rsidRDefault="0083667D" w:rsidP="00DF0EF9">
            <w:pPr>
              <w:jc w:val="right"/>
              <w:rPr>
                <w:rFonts w:ascii="Times New Roman" w:hAnsi="Times New Roman" w:cs="Times New Roman"/>
                <w:color w:val="000000"/>
                <w:sz w:val="14"/>
                <w:szCs w:val="14"/>
              </w:rPr>
            </w:pPr>
            <w:r w:rsidRPr="00746B28">
              <w:rPr>
                <w:rFonts w:ascii="Times New Roman" w:hAnsi="Times New Roman" w:cs="Times New Roman"/>
                <w:color w:val="000000"/>
                <w:sz w:val="14"/>
                <w:szCs w:val="14"/>
              </w:rPr>
              <w:t>188 805</w:t>
            </w:r>
          </w:p>
        </w:tc>
        <w:tc>
          <w:tcPr>
            <w:tcW w:w="567" w:type="pct"/>
            <w:noWrap/>
            <w:vAlign w:val="center"/>
          </w:tcPr>
          <w:p w:rsidR="0083667D" w:rsidRPr="0056091E" w:rsidRDefault="0083667D" w:rsidP="00DF0EF9">
            <w:pPr>
              <w:jc w:val="right"/>
              <w:rPr>
                <w:rFonts w:ascii="Times New Roman" w:hAnsi="Times New Roman" w:cs="Times New Roman"/>
                <w:color w:val="000000"/>
                <w:sz w:val="14"/>
                <w:szCs w:val="14"/>
              </w:rPr>
            </w:pPr>
            <w:r w:rsidRPr="0056091E">
              <w:rPr>
                <w:rFonts w:ascii="Times New Roman" w:hAnsi="Times New Roman" w:cs="Times New Roman"/>
                <w:color w:val="000000"/>
                <w:sz w:val="14"/>
                <w:szCs w:val="14"/>
              </w:rPr>
              <w:t>236 454</w:t>
            </w:r>
          </w:p>
        </w:tc>
        <w:tc>
          <w:tcPr>
            <w:tcW w:w="567" w:type="pct"/>
            <w:noWrap/>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0</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95587" w:rsidRDefault="0083667D" w:rsidP="00DF0EF9">
            <w:pPr>
              <w:jc w:val="right"/>
              <w:rPr>
                <w:rFonts w:ascii="Times New Roman" w:hAnsi="Times New Roman" w:cs="Times New Roman"/>
                <w:bCs/>
                <w:color w:val="000000"/>
                <w:sz w:val="14"/>
                <w:szCs w:val="14"/>
              </w:rPr>
            </w:pPr>
            <w:r w:rsidRPr="00095587">
              <w:rPr>
                <w:rFonts w:ascii="Times New Roman" w:hAnsi="Times New Roman" w:cs="Times New Roman"/>
                <w:bCs/>
                <w:color w:val="000000"/>
                <w:sz w:val="14"/>
                <w:szCs w:val="14"/>
              </w:rPr>
              <w:t>146 619</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95587" w:rsidRDefault="0083667D" w:rsidP="00DF0EF9">
            <w:pPr>
              <w:jc w:val="right"/>
              <w:rPr>
                <w:rFonts w:ascii="Times New Roman" w:hAnsi="Times New Roman" w:cs="Times New Roman"/>
                <w:bCs/>
                <w:color w:val="000000"/>
                <w:sz w:val="14"/>
                <w:szCs w:val="14"/>
              </w:rPr>
            </w:pPr>
            <w:r w:rsidRPr="00095587">
              <w:rPr>
                <w:rFonts w:ascii="Times New Roman" w:hAnsi="Times New Roman" w:cs="Times New Roman"/>
                <w:bCs/>
                <w:color w:val="000000"/>
                <w:sz w:val="14"/>
                <w:szCs w:val="14"/>
              </w:rPr>
              <w:t>0</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95587" w:rsidRDefault="0083667D" w:rsidP="00DF0EF9">
            <w:pPr>
              <w:jc w:val="right"/>
              <w:rPr>
                <w:rFonts w:ascii="Times New Roman" w:hAnsi="Times New Roman" w:cs="Times New Roman"/>
                <w:bCs/>
                <w:color w:val="000000"/>
                <w:sz w:val="14"/>
                <w:szCs w:val="14"/>
              </w:rPr>
            </w:pPr>
            <w:r w:rsidRPr="00095587">
              <w:rPr>
                <w:rFonts w:ascii="Times New Roman" w:hAnsi="Times New Roman" w:cs="Times New Roman"/>
                <w:bCs/>
                <w:color w:val="000000"/>
                <w:sz w:val="14"/>
                <w:szCs w:val="14"/>
              </w:rPr>
              <w:t>0</w:t>
            </w: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95587" w:rsidRDefault="0083667D" w:rsidP="00DF0EF9">
            <w:pPr>
              <w:jc w:val="right"/>
              <w:rPr>
                <w:rFonts w:ascii="Times New Roman" w:hAnsi="Times New Roman" w:cs="Times New Roman"/>
                <w:bCs/>
                <w:color w:val="000000"/>
                <w:sz w:val="14"/>
                <w:szCs w:val="14"/>
              </w:rPr>
            </w:pPr>
            <w:r w:rsidRPr="00095587">
              <w:rPr>
                <w:rFonts w:ascii="Times New Roman" w:hAnsi="Times New Roman" w:cs="Times New Roman"/>
                <w:bCs/>
                <w:color w:val="000000"/>
                <w:sz w:val="14"/>
                <w:szCs w:val="14"/>
              </w:rPr>
              <w:t>0</w:t>
            </w:r>
          </w:p>
        </w:tc>
      </w:tr>
    </w:tbl>
    <w:p w:rsidR="0083667D" w:rsidRPr="000D4769" w:rsidRDefault="0083667D" w:rsidP="0083667D">
      <w:pPr>
        <w:jc w:val="both"/>
        <w:rPr>
          <w:rFonts w:ascii="Times New Roman" w:hAnsi="Times New Roman"/>
          <w:szCs w:val="22"/>
        </w:rPr>
      </w:pPr>
    </w:p>
    <w:p w:rsidR="000059D8" w:rsidRDefault="000059D8" w:rsidP="0083667D">
      <w:pPr>
        <w:ind w:firstLine="708"/>
        <w:jc w:val="both"/>
        <w:rPr>
          <w:rFonts w:ascii="Times New Roman" w:hAnsi="Times New Roman"/>
          <w:b/>
          <w:i/>
          <w:szCs w:val="22"/>
        </w:rPr>
      </w:pPr>
    </w:p>
    <w:p w:rsidR="000059D8" w:rsidRDefault="000059D8" w:rsidP="0083667D">
      <w:pPr>
        <w:ind w:firstLine="708"/>
        <w:jc w:val="both"/>
        <w:rPr>
          <w:rFonts w:ascii="Times New Roman" w:hAnsi="Times New Roman"/>
          <w:b/>
          <w:i/>
          <w:szCs w:val="22"/>
        </w:rPr>
      </w:pPr>
    </w:p>
    <w:p w:rsidR="000059D8" w:rsidRDefault="000059D8" w:rsidP="0083667D">
      <w:pPr>
        <w:ind w:firstLine="708"/>
        <w:jc w:val="both"/>
        <w:rPr>
          <w:rFonts w:ascii="Times New Roman" w:hAnsi="Times New Roman"/>
          <w:b/>
          <w:i/>
          <w:szCs w:val="22"/>
        </w:rPr>
      </w:pPr>
    </w:p>
    <w:p w:rsidR="0083667D" w:rsidRPr="002C2CE9" w:rsidRDefault="0083667D" w:rsidP="0083667D">
      <w:pPr>
        <w:ind w:firstLine="708"/>
        <w:jc w:val="both"/>
        <w:rPr>
          <w:rFonts w:ascii="Times New Roman" w:hAnsi="Times New Roman"/>
          <w:b/>
          <w:i/>
          <w:szCs w:val="22"/>
        </w:rPr>
      </w:pPr>
      <w:r>
        <w:rPr>
          <w:rFonts w:ascii="Times New Roman" w:hAnsi="Times New Roman"/>
          <w:b/>
          <w:i/>
          <w:szCs w:val="22"/>
        </w:rPr>
        <w:lastRenderedPageBreak/>
        <w:t>MH Manažment, a. s.</w:t>
      </w:r>
    </w:p>
    <w:p w:rsidR="0083667D" w:rsidRDefault="0083667D" w:rsidP="0083667D">
      <w:pPr>
        <w:ind w:firstLine="708"/>
        <w:jc w:val="both"/>
        <w:rPr>
          <w:rFonts w:ascii="Times New Roman" w:hAnsi="Times New Roman"/>
          <w:color w:val="FF0000"/>
          <w:szCs w:val="22"/>
        </w:rPr>
      </w:pPr>
      <w:r w:rsidRPr="005A7090">
        <w:rPr>
          <w:rFonts w:ascii="Times New Roman" w:hAnsi="Times New Roman"/>
          <w:color w:val="FF0000"/>
          <w:szCs w:val="22"/>
        </w:rPr>
        <w:t xml:space="preserve">  </w:t>
      </w:r>
    </w:p>
    <w:p w:rsidR="0083667D" w:rsidRPr="00C86C0B" w:rsidRDefault="0083667D" w:rsidP="0083667D">
      <w:pPr>
        <w:ind w:firstLine="708"/>
        <w:jc w:val="both"/>
        <w:rPr>
          <w:rFonts w:ascii="Times New Roman" w:hAnsi="Times New Roman"/>
          <w:szCs w:val="22"/>
        </w:rPr>
      </w:pPr>
      <w:r w:rsidRPr="00C86C0B">
        <w:rPr>
          <w:rFonts w:ascii="Times New Roman" w:hAnsi="Times New Roman"/>
          <w:szCs w:val="22"/>
        </w:rPr>
        <w:t>V roku 201</w:t>
      </w:r>
      <w:r>
        <w:rPr>
          <w:rFonts w:ascii="Times New Roman" w:hAnsi="Times New Roman"/>
          <w:szCs w:val="22"/>
        </w:rPr>
        <w:t>9</w:t>
      </w:r>
      <w:r w:rsidRPr="00C86C0B">
        <w:rPr>
          <w:rFonts w:ascii="Times New Roman" w:hAnsi="Times New Roman"/>
          <w:szCs w:val="22"/>
        </w:rPr>
        <w:t xml:space="preserve"> sa objem dividend</w:t>
      </w:r>
      <w:r>
        <w:rPr>
          <w:rFonts w:ascii="Times New Roman" w:hAnsi="Times New Roman"/>
          <w:szCs w:val="22"/>
        </w:rPr>
        <w:t xml:space="preserve"> od spoločnosti MH Manažment, a. s. </w:t>
      </w:r>
      <w:r w:rsidRPr="00C86C0B">
        <w:rPr>
          <w:rFonts w:ascii="Times New Roman" w:hAnsi="Times New Roman"/>
          <w:szCs w:val="22"/>
        </w:rPr>
        <w:t xml:space="preserve">predpokladá vo výške </w:t>
      </w:r>
      <w:r>
        <w:rPr>
          <w:rFonts w:ascii="Times New Roman" w:hAnsi="Times New Roman"/>
          <w:szCs w:val="22"/>
        </w:rPr>
        <w:t>9,8</w:t>
      </w:r>
      <w:r w:rsidR="003A497B">
        <w:rPr>
          <w:rFonts w:ascii="Times New Roman" w:hAnsi="Times New Roman"/>
          <w:szCs w:val="22"/>
        </w:rPr>
        <w:t>0</w:t>
      </w:r>
      <w:r w:rsidRPr="00850716">
        <w:rPr>
          <w:rFonts w:ascii="Times New Roman" w:hAnsi="Times New Roman"/>
          <w:szCs w:val="22"/>
        </w:rPr>
        <w:t xml:space="preserve"> tis. eur</w:t>
      </w:r>
      <w:r>
        <w:rPr>
          <w:rFonts w:ascii="Times New Roman" w:hAnsi="Times New Roman"/>
          <w:szCs w:val="22"/>
        </w:rPr>
        <w:t>, čo je rovnaká suma ako v</w:t>
      </w:r>
      <w:r w:rsidRPr="00C86C0B">
        <w:rPr>
          <w:rFonts w:ascii="Times New Roman" w:hAnsi="Times New Roman"/>
          <w:szCs w:val="22"/>
        </w:rPr>
        <w:t xml:space="preserve"> </w:t>
      </w:r>
      <w:r>
        <w:rPr>
          <w:rFonts w:ascii="Times New Roman" w:hAnsi="Times New Roman"/>
          <w:szCs w:val="22"/>
        </w:rPr>
        <w:t>schválenom rozpočte na rok 2018. V návrhu rozpočtu na roky 2019 až 2021</w:t>
      </w:r>
      <w:r w:rsidRPr="00C86C0B">
        <w:rPr>
          <w:rFonts w:ascii="Times New Roman" w:hAnsi="Times New Roman"/>
          <w:szCs w:val="22"/>
        </w:rPr>
        <w:t xml:space="preserve"> </w:t>
      </w:r>
      <w:r w:rsidRPr="00850716">
        <w:rPr>
          <w:rFonts w:ascii="Times New Roman" w:hAnsi="Times New Roman"/>
          <w:szCs w:val="22"/>
        </w:rPr>
        <w:t>sú rozpočtované iba riadne dividendy</w:t>
      </w:r>
      <w:r w:rsidRPr="00C86C0B">
        <w:rPr>
          <w:rFonts w:ascii="Times New Roman" w:hAnsi="Times New Roman"/>
          <w:szCs w:val="22"/>
        </w:rPr>
        <w:t xml:space="preserve">. </w:t>
      </w:r>
    </w:p>
    <w:p w:rsidR="0083667D" w:rsidRPr="005A7090" w:rsidRDefault="0083667D" w:rsidP="0083667D">
      <w:pPr>
        <w:ind w:firstLine="708"/>
        <w:jc w:val="both"/>
        <w:rPr>
          <w:rFonts w:ascii="Times New Roman" w:hAnsi="Times New Roman"/>
          <w:color w:val="FF0000"/>
          <w:szCs w:val="22"/>
        </w:rPr>
      </w:pPr>
    </w:p>
    <w:p w:rsidR="0083667D" w:rsidRPr="007C4A4A" w:rsidRDefault="0083667D" w:rsidP="0083667D">
      <w:pPr>
        <w:jc w:val="both"/>
        <w:rPr>
          <w:rFonts w:ascii="Times New Roman" w:hAnsi="Times New Roman"/>
          <w:szCs w:val="22"/>
        </w:rPr>
      </w:pPr>
      <w:r w:rsidRPr="005A7090">
        <w:rPr>
          <w:rFonts w:ascii="Times New Roman" w:hAnsi="Times New Roman"/>
          <w:color w:val="FF0000"/>
          <w:szCs w:val="22"/>
        </w:rPr>
        <w:t xml:space="preserve"> </w:t>
      </w:r>
      <w:r w:rsidRPr="005A7090">
        <w:rPr>
          <w:rFonts w:ascii="Times New Roman" w:hAnsi="Times New Roman"/>
          <w:color w:val="FF0000"/>
          <w:szCs w:val="22"/>
        </w:rPr>
        <w:tab/>
      </w:r>
      <w:r w:rsidRPr="00850716">
        <w:rPr>
          <w:rFonts w:ascii="Times New Roman" w:hAnsi="Times New Roman"/>
          <w:szCs w:val="22"/>
        </w:rPr>
        <w:t>Predpokladá sa, že všetky príjmy z dividen</w:t>
      </w:r>
      <w:r>
        <w:rPr>
          <w:rFonts w:ascii="Times New Roman" w:hAnsi="Times New Roman"/>
          <w:szCs w:val="22"/>
        </w:rPr>
        <w:t>d spoločnosti budú v rokoch 2019 až 2021</w:t>
      </w:r>
      <w:r w:rsidRPr="00850716">
        <w:rPr>
          <w:rFonts w:ascii="Times New Roman" w:hAnsi="Times New Roman"/>
          <w:szCs w:val="22"/>
        </w:rPr>
        <w:t xml:space="preserve"> transferované prostredníctvom štátnych finančných aktív do príjmov štátneho rozpočtu.</w:t>
      </w:r>
      <w:r w:rsidRPr="007C4A4A">
        <w:rPr>
          <w:rFonts w:ascii="Times New Roman" w:hAnsi="Times New Roman"/>
          <w:szCs w:val="22"/>
        </w:rPr>
        <w:t xml:space="preserve"> </w:t>
      </w:r>
    </w:p>
    <w:p w:rsidR="0083667D" w:rsidRDefault="0083667D" w:rsidP="0083667D">
      <w:pPr>
        <w:ind w:firstLine="708"/>
        <w:jc w:val="both"/>
        <w:rPr>
          <w:rFonts w:ascii="Times New Roman" w:hAnsi="Times New Roman"/>
          <w:szCs w:val="22"/>
        </w:rPr>
      </w:pPr>
    </w:p>
    <w:p w:rsidR="0083667D" w:rsidRDefault="0083667D" w:rsidP="0083667D">
      <w:pPr>
        <w:ind w:firstLine="708"/>
        <w:jc w:val="both"/>
        <w:rPr>
          <w:rFonts w:ascii="Times New Roman" w:hAnsi="Times New Roman"/>
          <w:b/>
          <w:i/>
          <w:szCs w:val="22"/>
        </w:rPr>
      </w:pPr>
      <w:r w:rsidRPr="002C2CE9">
        <w:rPr>
          <w:rFonts w:ascii="Times New Roman" w:hAnsi="Times New Roman"/>
          <w:b/>
          <w:i/>
          <w:szCs w:val="22"/>
        </w:rPr>
        <w:t>Kapitoly štátneho rozpočtu</w:t>
      </w:r>
    </w:p>
    <w:p w:rsidR="0083667D" w:rsidRPr="002C2CE9" w:rsidRDefault="0083667D" w:rsidP="0083667D">
      <w:pPr>
        <w:ind w:firstLine="708"/>
        <w:jc w:val="both"/>
        <w:rPr>
          <w:rFonts w:ascii="Times New Roman" w:hAnsi="Times New Roman"/>
          <w:b/>
          <w:i/>
          <w:szCs w:val="22"/>
        </w:rPr>
      </w:pPr>
    </w:p>
    <w:p w:rsidR="0083667D" w:rsidRPr="00C86C0B" w:rsidRDefault="0083667D" w:rsidP="0083667D">
      <w:pPr>
        <w:ind w:firstLine="708"/>
        <w:jc w:val="both"/>
        <w:rPr>
          <w:rFonts w:ascii="Times New Roman" w:hAnsi="Times New Roman"/>
          <w:szCs w:val="22"/>
        </w:rPr>
      </w:pPr>
      <w:r w:rsidRPr="0031549F">
        <w:rPr>
          <w:rFonts w:ascii="Times New Roman" w:hAnsi="Times New Roman"/>
          <w:szCs w:val="22"/>
        </w:rPr>
        <w:t>Objem dividend od spoločností, v ktorých je vlastnícky podiel štátu zastúpený príslušným ministerstvom, sa v roku 2019 navrhuje vo výške 43</w:t>
      </w:r>
      <w:r w:rsidR="003A497B">
        <w:rPr>
          <w:rFonts w:ascii="Times New Roman" w:hAnsi="Times New Roman"/>
          <w:szCs w:val="22"/>
        </w:rPr>
        <w:t>3</w:t>
      </w:r>
      <w:r w:rsidRPr="0031549F">
        <w:rPr>
          <w:rFonts w:ascii="Times New Roman" w:hAnsi="Times New Roman"/>
          <w:szCs w:val="22"/>
        </w:rPr>
        <w:t xml:space="preserve"> mil. eur, čo je v porovnaní so schváleným rozpočtom na rok 2018 viac o 7,7</w:t>
      </w:r>
      <w:r w:rsidR="000509BB">
        <w:rPr>
          <w:rFonts w:ascii="Times New Roman" w:hAnsi="Times New Roman"/>
          <w:szCs w:val="22"/>
        </w:rPr>
        <w:t>0</w:t>
      </w:r>
      <w:r w:rsidRPr="0031549F">
        <w:rPr>
          <w:rFonts w:ascii="Times New Roman" w:hAnsi="Times New Roman"/>
          <w:szCs w:val="22"/>
        </w:rPr>
        <w:t xml:space="preserve"> mil. eur. Toto zvýšenie príjmov je spôsobené hlavne rastom dividend od spoločností Stredoslovenská energetika, a. s.,  Východoslovenská energetika, a. s. a Slovenská konsolidačná, a. s. Naopak nižšie príjmy z dividend </w:t>
      </w:r>
      <w:r>
        <w:rPr>
          <w:rFonts w:ascii="Times New Roman" w:hAnsi="Times New Roman"/>
          <w:szCs w:val="22"/>
        </w:rPr>
        <w:t>pri medziročnom porovnaní</w:t>
      </w:r>
      <w:r w:rsidRPr="0031549F">
        <w:rPr>
          <w:rFonts w:ascii="Times New Roman" w:hAnsi="Times New Roman"/>
          <w:szCs w:val="22"/>
        </w:rPr>
        <w:t xml:space="preserve"> sa očakávajú </w:t>
      </w:r>
      <w:r>
        <w:rPr>
          <w:rFonts w:ascii="Times New Roman" w:hAnsi="Times New Roman"/>
          <w:szCs w:val="22"/>
        </w:rPr>
        <w:t>najmä</w:t>
      </w:r>
      <w:r w:rsidRPr="0031549F">
        <w:rPr>
          <w:rFonts w:ascii="Times New Roman" w:hAnsi="Times New Roman"/>
          <w:szCs w:val="22"/>
        </w:rPr>
        <w:t xml:space="preserve"> od spoločnosti Západoslovenská energetika, a. s.</w:t>
      </w: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jc w:val="both"/>
        <w:rPr>
          <w:rFonts w:ascii="Times New Roman" w:hAnsi="Times New Roman"/>
          <w:szCs w:val="22"/>
        </w:rPr>
      </w:pPr>
    </w:p>
    <w:p w:rsidR="0083667D" w:rsidRDefault="0083667D" w:rsidP="0083667D">
      <w:pPr>
        <w:ind w:firstLine="708"/>
        <w:jc w:val="both"/>
        <w:rPr>
          <w:rFonts w:ascii="Times New Roman" w:hAnsi="Times New Roman"/>
          <w:szCs w:val="22"/>
        </w:rPr>
      </w:pPr>
      <w:r w:rsidRPr="006353C5">
        <w:rPr>
          <w:rFonts w:ascii="Times New Roman" w:hAnsi="Times New Roman"/>
          <w:szCs w:val="22"/>
        </w:rPr>
        <w:lastRenderedPageBreak/>
        <w:t>Vývoj týchto príjmov zobrazuje nasledovná tabuľka</w:t>
      </w:r>
      <w:r>
        <w:rPr>
          <w:rFonts w:ascii="Times New Roman" w:hAnsi="Times New Roman"/>
          <w:szCs w:val="22"/>
        </w:rPr>
        <w:t xml:space="preserve">: </w:t>
      </w:r>
    </w:p>
    <w:p w:rsidR="0083667D" w:rsidRDefault="0083667D" w:rsidP="0083667D">
      <w:pPr>
        <w:ind w:firstLine="708"/>
        <w:jc w:val="both"/>
        <w:rPr>
          <w:rFonts w:ascii="Times New Roman" w:hAnsi="Times New Roman"/>
          <w:szCs w:val="22"/>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6"/>
        <w:gridCol w:w="973"/>
        <w:gridCol w:w="975"/>
        <w:gridCol w:w="975"/>
        <w:gridCol w:w="975"/>
        <w:gridCol w:w="975"/>
        <w:gridCol w:w="975"/>
        <w:gridCol w:w="966"/>
      </w:tblGrid>
      <w:tr w:rsidR="0083667D" w:rsidRPr="000B49A0" w:rsidTr="00DF0EF9">
        <w:trPr>
          <w:trHeight w:val="265"/>
        </w:trPr>
        <w:tc>
          <w:tcPr>
            <w:tcW w:w="1240" w:type="pct"/>
            <w:shd w:val="clear" w:color="000000" w:fill="A6A6A6"/>
            <w:vAlign w:val="center"/>
            <w:hideMark/>
          </w:tcPr>
          <w:p w:rsidR="0083667D" w:rsidRPr="000B49A0" w:rsidRDefault="0083667D" w:rsidP="00DF0EF9">
            <w:pPr>
              <w:jc w:val="both"/>
              <w:rPr>
                <w:rFonts w:ascii="Times New Roman" w:hAnsi="Times New Roman" w:cs="Times New Roman"/>
                <w:b/>
                <w:bCs/>
                <w:color w:val="000000"/>
                <w:sz w:val="14"/>
                <w:szCs w:val="14"/>
                <w:lang w:eastAsia="sk-SK"/>
              </w:rPr>
            </w:pPr>
            <w:r w:rsidRPr="000B49A0">
              <w:rPr>
                <w:rFonts w:ascii="Times New Roman" w:hAnsi="Times New Roman" w:cs="Times New Roman"/>
                <w:b/>
                <w:bCs/>
                <w:color w:val="000000"/>
                <w:sz w:val="14"/>
                <w:szCs w:val="14"/>
                <w:lang w:eastAsia="sk-SK"/>
              </w:rPr>
              <w:t>v tis. eur</w:t>
            </w:r>
          </w:p>
        </w:tc>
        <w:tc>
          <w:tcPr>
            <w:tcW w:w="537" w:type="pct"/>
            <w:shd w:val="clear" w:color="000000" w:fill="A6A6A6"/>
            <w:vAlign w:val="center"/>
          </w:tcPr>
          <w:p w:rsidR="0083667D" w:rsidRPr="000B49A0" w:rsidRDefault="0083667D" w:rsidP="00DF0EF9">
            <w:pPr>
              <w:jc w:val="center"/>
              <w:rPr>
                <w:rFonts w:ascii="Times New Roman" w:hAnsi="Times New Roman" w:cs="Times New Roman"/>
                <w:b/>
                <w:bCs/>
                <w:color w:val="000000"/>
                <w:sz w:val="14"/>
                <w:szCs w:val="14"/>
                <w:lang w:eastAsia="sk-SK"/>
              </w:rPr>
            </w:pPr>
            <w:r w:rsidRPr="000B49A0">
              <w:rPr>
                <w:rFonts w:ascii="Times New Roman" w:hAnsi="Times New Roman" w:cs="Times New Roman"/>
                <w:b/>
                <w:bCs/>
                <w:color w:val="000000"/>
                <w:sz w:val="14"/>
                <w:szCs w:val="14"/>
                <w:lang w:eastAsia="sk-SK"/>
              </w:rPr>
              <w:t>2016 S</w:t>
            </w:r>
          </w:p>
        </w:tc>
        <w:tc>
          <w:tcPr>
            <w:tcW w:w="538" w:type="pct"/>
            <w:shd w:val="clear" w:color="000000" w:fill="A6A6A6"/>
            <w:vAlign w:val="center"/>
          </w:tcPr>
          <w:p w:rsidR="0083667D" w:rsidRPr="000B49A0"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 xml:space="preserve">2017 </w:t>
            </w:r>
            <w:r w:rsidRPr="000B49A0">
              <w:rPr>
                <w:rFonts w:ascii="Times New Roman" w:hAnsi="Times New Roman" w:cs="Times New Roman"/>
                <w:b/>
                <w:bCs/>
                <w:color w:val="000000"/>
                <w:sz w:val="14"/>
                <w:szCs w:val="14"/>
                <w:lang w:eastAsia="sk-SK"/>
              </w:rPr>
              <w:t>S</w:t>
            </w:r>
          </w:p>
        </w:tc>
        <w:tc>
          <w:tcPr>
            <w:tcW w:w="538" w:type="pct"/>
            <w:shd w:val="clear" w:color="000000" w:fill="A6A6A6"/>
            <w:vAlign w:val="center"/>
          </w:tcPr>
          <w:p w:rsidR="0083667D" w:rsidRPr="000B49A0"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2018 R</w:t>
            </w:r>
          </w:p>
        </w:tc>
        <w:tc>
          <w:tcPr>
            <w:tcW w:w="538" w:type="pct"/>
            <w:shd w:val="clear" w:color="000000" w:fill="A6A6A6"/>
            <w:vAlign w:val="center"/>
          </w:tcPr>
          <w:p w:rsidR="0083667D" w:rsidRPr="000B49A0"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2018 OS</w:t>
            </w:r>
          </w:p>
        </w:tc>
        <w:tc>
          <w:tcPr>
            <w:tcW w:w="538" w:type="pct"/>
            <w:shd w:val="clear" w:color="000000" w:fill="A6A6A6"/>
            <w:vAlign w:val="center"/>
          </w:tcPr>
          <w:p w:rsidR="0083667D" w:rsidRPr="000B49A0"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2019 N</w:t>
            </w:r>
          </w:p>
        </w:tc>
        <w:tc>
          <w:tcPr>
            <w:tcW w:w="538" w:type="pct"/>
            <w:shd w:val="clear" w:color="000000" w:fill="A6A6A6"/>
            <w:noWrap/>
            <w:vAlign w:val="center"/>
            <w:hideMark/>
          </w:tcPr>
          <w:p w:rsidR="0083667D" w:rsidRPr="000B49A0"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2020 N</w:t>
            </w:r>
          </w:p>
        </w:tc>
        <w:tc>
          <w:tcPr>
            <w:tcW w:w="533" w:type="pct"/>
            <w:shd w:val="clear" w:color="000000" w:fill="A6A6A6"/>
            <w:noWrap/>
            <w:vAlign w:val="center"/>
            <w:hideMark/>
          </w:tcPr>
          <w:p w:rsidR="0083667D" w:rsidRPr="000B49A0"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2021</w:t>
            </w:r>
            <w:r w:rsidRPr="000B49A0">
              <w:rPr>
                <w:rFonts w:ascii="Times New Roman" w:hAnsi="Times New Roman" w:cs="Times New Roman"/>
                <w:b/>
                <w:bCs/>
                <w:color w:val="000000"/>
                <w:sz w:val="14"/>
                <w:szCs w:val="14"/>
                <w:lang w:eastAsia="sk-SK"/>
              </w:rPr>
              <w:t xml:space="preserve"> N</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3667D" w:rsidRPr="000B49A0" w:rsidRDefault="0083667D" w:rsidP="00DF0EF9">
            <w:pPr>
              <w:jc w:val="both"/>
              <w:rPr>
                <w:rFonts w:ascii="Times New Roman" w:hAnsi="Times New Roman" w:cs="Times New Roman"/>
                <w:b/>
                <w:bCs/>
                <w:color w:val="000000"/>
                <w:sz w:val="14"/>
                <w:szCs w:val="14"/>
                <w:lang w:eastAsia="sk-SK"/>
              </w:rPr>
            </w:pPr>
            <w:r w:rsidRPr="000B49A0">
              <w:rPr>
                <w:rFonts w:ascii="Times New Roman" w:hAnsi="Times New Roman" w:cs="Times New Roman"/>
                <w:b/>
                <w:bCs/>
                <w:color w:val="000000"/>
                <w:sz w:val="14"/>
                <w:szCs w:val="14"/>
                <w:lang w:eastAsia="sk-SK"/>
              </w:rPr>
              <w:t>Príjmy z podnikania - dividendy</w:t>
            </w:r>
          </w:p>
        </w:tc>
        <w:tc>
          <w:tcPr>
            <w:tcW w:w="5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3667D" w:rsidRPr="000B49A0" w:rsidRDefault="0083667D" w:rsidP="00DF0EF9">
            <w:pPr>
              <w:jc w:val="right"/>
              <w:rPr>
                <w:rFonts w:ascii="Times New Roman" w:hAnsi="Times New Roman" w:cs="Times New Roman"/>
                <w:b/>
                <w:bCs/>
                <w:color w:val="000000"/>
                <w:sz w:val="14"/>
                <w:szCs w:val="14"/>
              </w:rPr>
            </w:pPr>
            <w:r w:rsidRPr="000B49A0">
              <w:rPr>
                <w:rFonts w:ascii="Times New Roman" w:hAnsi="Times New Roman" w:cs="Times New Roman"/>
                <w:b/>
                <w:bCs/>
                <w:color w:val="000000"/>
                <w:sz w:val="14"/>
                <w:szCs w:val="14"/>
              </w:rPr>
              <w:t>477 439</w:t>
            </w:r>
          </w:p>
        </w:tc>
        <w:tc>
          <w:tcPr>
            <w:tcW w:w="5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3667D" w:rsidRPr="001B786B" w:rsidRDefault="0083667D" w:rsidP="00DF0EF9">
            <w:pPr>
              <w:jc w:val="right"/>
              <w:rPr>
                <w:rFonts w:ascii="Times New Roman" w:hAnsi="Times New Roman" w:cs="Times New Roman"/>
                <w:b/>
                <w:bCs/>
                <w:color w:val="000000"/>
                <w:sz w:val="14"/>
                <w:szCs w:val="14"/>
                <w:highlight w:val="yellow"/>
              </w:rPr>
            </w:pPr>
            <w:r w:rsidRPr="00403B2E">
              <w:rPr>
                <w:rFonts w:ascii="Times New Roman" w:hAnsi="Times New Roman" w:cs="Times New Roman"/>
                <w:b/>
                <w:bCs/>
                <w:color w:val="000000"/>
                <w:sz w:val="14"/>
                <w:szCs w:val="14"/>
              </w:rPr>
              <w:t>599 068</w:t>
            </w:r>
          </w:p>
        </w:tc>
        <w:tc>
          <w:tcPr>
            <w:tcW w:w="5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3667D" w:rsidRPr="000B49A0" w:rsidRDefault="0083667D" w:rsidP="00DF0EF9">
            <w:pPr>
              <w:jc w:val="right"/>
              <w:rPr>
                <w:rFonts w:ascii="Times New Roman" w:hAnsi="Times New Roman" w:cs="Times New Roman"/>
                <w:b/>
                <w:bCs/>
                <w:color w:val="000000"/>
                <w:sz w:val="14"/>
                <w:szCs w:val="14"/>
              </w:rPr>
            </w:pPr>
            <w:r w:rsidRPr="000B49A0">
              <w:rPr>
                <w:rFonts w:ascii="Times New Roman" w:hAnsi="Times New Roman" w:cs="Times New Roman"/>
                <w:b/>
                <w:bCs/>
                <w:color w:val="000000"/>
                <w:sz w:val="14"/>
                <w:szCs w:val="14"/>
              </w:rPr>
              <w:t>424 999</w:t>
            </w:r>
          </w:p>
        </w:tc>
        <w:tc>
          <w:tcPr>
            <w:tcW w:w="5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426 910</w:t>
            </w:r>
          </w:p>
        </w:tc>
        <w:tc>
          <w:tcPr>
            <w:tcW w:w="5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432 701</w:t>
            </w:r>
          </w:p>
        </w:tc>
        <w:tc>
          <w:tcPr>
            <w:tcW w:w="53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431 834</w:t>
            </w:r>
          </w:p>
        </w:tc>
        <w:tc>
          <w:tcPr>
            <w:tcW w:w="533"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431 887</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3667D" w:rsidRPr="000B49A0" w:rsidRDefault="0083667D" w:rsidP="00DF0EF9">
            <w:pPr>
              <w:jc w:val="both"/>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 xml:space="preserve">     riadne dividendy</w:t>
            </w:r>
          </w:p>
        </w:tc>
        <w:tc>
          <w:tcPr>
            <w:tcW w:w="5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3667D" w:rsidRPr="000B49A0" w:rsidRDefault="0083667D" w:rsidP="00DF0EF9">
            <w:pPr>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288 634</w:t>
            </w:r>
          </w:p>
        </w:tc>
        <w:tc>
          <w:tcPr>
            <w:tcW w:w="5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3667D" w:rsidRPr="001B786B" w:rsidRDefault="0083667D" w:rsidP="00DF0EF9">
            <w:pPr>
              <w:jc w:val="right"/>
              <w:rPr>
                <w:rFonts w:ascii="Times New Roman" w:hAnsi="Times New Roman" w:cs="Times New Roman"/>
                <w:bCs/>
                <w:color w:val="000000"/>
                <w:sz w:val="14"/>
                <w:szCs w:val="14"/>
                <w:highlight w:val="yellow"/>
              </w:rPr>
            </w:pPr>
            <w:r w:rsidRPr="00074FC6">
              <w:rPr>
                <w:rFonts w:ascii="Times New Roman" w:hAnsi="Times New Roman" w:cs="Times New Roman"/>
                <w:bCs/>
                <w:color w:val="000000"/>
                <w:sz w:val="14"/>
                <w:szCs w:val="14"/>
              </w:rPr>
              <w:t>362 614</w:t>
            </w:r>
          </w:p>
        </w:tc>
        <w:tc>
          <w:tcPr>
            <w:tcW w:w="5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3667D" w:rsidRPr="000B49A0" w:rsidRDefault="0083667D" w:rsidP="00DF0EF9">
            <w:pPr>
              <w:jc w:val="right"/>
              <w:rPr>
                <w:rFonts w:ascii="Times New Roman" w:hAnsi="Times New Roman" w:cs="Times New Roman"/>
                <w:bCs/>
                <w:color w:val="000000"/>
                <w:sz w:val="14"/>
                <w:szCs w:val="14"/>
              </w:rPr>
            </w:pPr>
            <w:r w:rsidRPr="000B49A0">
              <w:rPr>
                <w:rFonts w:ascii="Times New Roman" w:hAnsi="Times New Roman" w:cs="Times New Roman"/>
                <w:bCs/>
                <w:color w:val="000000"/>
                <w:sz w:val="14"/>
                <w:szCs w:val="14"/>
              </w:rPr>
              <w:t>424 999</w:t>
            </w:r>
          </w:p>
        </w:tc>
        <w:tc>
          <w:tcPr>
            <w:tcW w:w="5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3667D" w:rsidRPr="000B49A0" w:rsidRDefault="0083667D" w:rsidP="00DF0EF9">
            <w:pPr>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280 291</w:t>
            </w:r>
          </w:p>
        </w:tc>
        <w:tc>
          <w:tcPr>
            <w:tcW w:w="5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3667D" w:rsidRPr="000B49A0" w:rsidRDefault="0083667D" w:rsidP="00DF0EF9">
            <w:pPr>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432 701</w:t>
            </w:r>
          </w:p>
        </w:tc>
        <w:tc>
          <w:tcPr>
            <w:tcW w:w="53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3667D" w:rsidRPr="000B49A0" w:rsidRDefault="0083667D" w:rsidP="00DF0EF9">
            <w:pPr>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431 834</w:t>
            </w:r>
          </w:p>
        </w:tc>
        <w:tc>
          <w:tcPr>
            <w:tcW w:w="533"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3667D" w:rsidRPr="000B49A0" w:rsidRDefault="0083667D" w:rsidP="00DF0EF9">
            <w:pPr>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431 887</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3667D" w:rsidRPr="000B49A0" w:rsidRDefault="0083667D" w:rsidP="00DF0EF9">
            <w:pPr>
              <w:ind w:right="-231"/>
              <w:jc w:val="both"/>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 xml:space="preserve">     superdividendy</w:t>
            </w:r>
          </w:p>
        </w:tc>
        <w:tc>
          <w:tcPr>
            <w:tcW w:w="5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3667D" w:rsidRPr="000B49A0" w:rsidRDefault="0083667D" w:rsidP="00DF0EF9">
            <w:pPr>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188 805</w:t>
            </w:r>
          </w:p>
        </w:tc>
        <w:tc>
          <w:tcPr>
            <w:tcW w:w="5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3667D" w:rsidRPr="001B786B" w:rsidRDefault="0083667D" w:rsidP="00DF0EF9">
            <w:pPr>
              <w:jc w:val="right"/>
              <w:rPr>
                <w:rFonts w:ascii="Times New Roman" w:hAnsi="Times New Roman" w:cs="Times New Roman"/>
                <w:bCs/>
                <w:color w:val="000000"/>
                <w:sz w:val="14"/>
                <w:szCs w:val="14"/>
                <w:highlight w:val="yellow"/>
              </w:rPr>
            </w:pPr>
            <w:r w:rsidRPr="00074FC6">
              <w:rPr>
                <w:rFonts w:ascii="Times New Roman" w:hAnsi="Times New Roman" w:cs="Times New Roman"/>
                <w:bCs/>
                <w:color w:val="000000"/>
                <w:sz w:val="14"/>
                <w:szCs w:val="14"/>
              </w:rPr>
              <w:t>236 454</w:t>
            </w:r>
          </w:p>
        </w:tc>
        <w:tc>
          <w:tcPr>
            <w:tcW w:w="5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3667D" w:rsidRPr="000B49A0" w:rsidRDefault="0083667D" w:rsidP="00DF0EF9">
            <w:pPr>
              <w:jc w:val="right"/>
              <w:rPr>
                <w:rFonts w:ascii="Times New Roman" w:hAnsi="Times New Roman" w:cs="Times New Roman"/>
                <w:bCs/>
                <w:color w:val="000000"/>
                <w:sz w:val="14"/>
                <w:szCs w:val="14"/>
              </w:rPr>
            </w:pPr>
            <w:r w:rsidRPr="000B49A0">
              <w:rPr>
                <w:rFonts w:ascii="Times New Roman" w:hAnsi="Times New Roman" w:cs="Times New Roman"/>
                <w:bCs/>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3667D" w:rsidRPr="000B49A0" w:rsidRDefault="0083667D" w:rsidP="00DF0EF9">
            <w:pPr>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146 619</w:t>
            </w:r>
          </w:p>
        </w:tc>
        <w:tc>
          <w:tcPr>
            <w:tcW w:w="53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3667D" w:rsidRPr="000B49A0" w:rsidRDefault="0083667D" w:rsidP="00DF0EF9">
            <w:pPr>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3667D" w:rsidRPr="000B49A0" w:rsidRDefault="0083667D" w:rsidP="00DF0EF9">
            <w:pPr>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0</w:t>
            </w:r>
          </w:p>
        </w:tc>
        <w:tc>
          <w:tcPr>
            <w:tcW w:w="533"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3667D" w:rsidRPr="000B49A0" w:rsidRDefault="0083667D" w:rsidP="00DF0EF9">
            <w:pPr>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0</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rPr>
                <w:rFonts w:ascii="Times New Roman" w:hAnsi="Times New Roman" w:cs="Times New Roman"/>
                <w:b/>
                <w:bCs/>
                <w:color w:val="000000"/>
                <w:sz w:val="14"/>
                <w:szCs w:val="14"/>
                <w:lang w:eastAsia="sk-SK"/>
              </w:rPr>
            </w:pPr>
            <w:r w:rsidRPr="000B49A0">
              <w:rPr>
                <w:rFonts w:ascii="Times New Roman" w:hAnsi="Times New Roman" w:cs="Times New Roman"/>
                <w:b/>
                <w:bCs/>
                <w:color w:val="000000"/>
                <w:sz w:val="14"/>
                <w:szCs w:val="14"/>
                <w:lang w:eastAsia="sk-SK"/>
              </w:rPr>
              <w:t>Ministerstvo financií SR</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b/>
                <w:bCs/>
                <w:color w:val="000000"/>
                <w:sz w:val="14"/>
                <w:szCs w:val="14"/>
              </w:rPr>
            </w:pPr>
            <w:r w:rsidRPr="000B49A0">
              <w:rPr>
                <w:rFonts w:ascii="Times New Roman" w:hAnsi="Times New Roman" w:cs="Times New Roman"/>
                <w:b/>
                <w:bCs/>
                <w:color w:val="000000"/>
                <w:sz w:val="14"/>
                <w:szCs w:val="14"/>
              </w:rPr>
              <w:t>62 572</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b/>
                <w:bCs/>
                <w:color w:val="000000"/>
                <w:sz w:val="14"/>
                <w:szCs w:val="14"/>
              </w:rPr>
            </w:pPr>
            <w:r w:rsidRPr="00074FC6">
              <w:rPr>
                <w:rFonts w:ascii="Times New Roman" w:hAnsi="Times New Roman" w:cs="Times New Roman"/>
                <w:b/>
                <w:bCs/>
                <w:color w:val="000000"/>
                <w:sz w:val="14"/>
                <w:szCs w:val="14"/>
              </w:rPr>
              <w:t>69 130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b/>
                <w:bCs/>
                <w:color w:val="000000"/>
                <w:sz w:val="14"/>
                <w:szCs w:val="14"/>
              </w:rPr>
            </w:pPr>
            <w:r w:rsidRPr="000B49A0">
              <w:rPr>
                <w:rFonts w:ascii="Times New Roman" w:hAnsi="Times New Roman" w:cs="Times New Roman"/>
                <w:b/>
                <w:bCs/>
                <w:color w:val="000000"/>
                <w:sz w:val="14"/>
                <w:szCs w:val="14"/>
              </w:rPr>
              <w:t>19 560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58 406</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20 459</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19 550</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19 528</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Slovenská konsolidačná, a.s.</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2 221</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2 130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844</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1 742</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1 743</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834</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812</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B49A0" w:rsidRDefault="0083667D" w:rsidP="00DF0EF9">
            <w:pPr>
              <w:jc w:val="both"/>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 xml:space="preserve">     riadne dividendy</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2 221</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2 130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844</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1 464</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1 743</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834</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812</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B49A0" w:rsidRDefault="0083667D" w:rsidP="00DF0EF9">
            <w:pPr>
              <w:jc w:val="both"/>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 xml:space="preserve">     superdividendy</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278</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Tipos, a.s.</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5 000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8 000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3 000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6 000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3 000</w:t>
            </w:r>
          </w:p>
        </w:tc>
        <w:tc>
          <w:tcPr>
            <w:tcW w:w="538"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3 000</w:t>
            </w:r>
          </w:p>
        </w:tc>
        <w:tc>
          <w:tcPr>
            <w:tcW w:w="533"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3 000</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SEPS, a.s.</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53 351</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57 000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14 716</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48 314</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14 716</w:t>
            </w:r>
          </w:p>
        </w:tc>
        <w:tc>
          <w:tcPr>
            <w:tcW w:w="538"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14 716</w:t>
            </w:r>
          </w:p>
        </w:tc>
        <w:tc>
          <w:tcPr>
            <w:tcW w:w="533"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14 716</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jc w:val="both"/>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SZRB, a.s.</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2 000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1 000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2 350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1 000</w:t>
            </w:r>
          </w:p>
        </w:tc>
        <w:tc>
          <w:tcPr>
            <w:tcW w:w="538"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1 000</w:t>
            </w:r>
          </w:p>
        </w:tc>
        <w:tc>
          <w:tcPr>
            <w:tcW w:w="533"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1 000</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rPr>
                <w:rFonts w:ascii="Times New Roman" w:hAnsi="Times New Roman" w:cs="Times New Roman"/>
                <w:b/>
                <w:bCs/>
                <w:color w:val="000000"/>
                <w:sz w:val="14"/>
                <w:szCs w:val="14"/>
                <w:lang w:eastAsia="sk-SK"/>
              </w:rPr>
            </w:pPr>
            <w:r w:rsidRPr="000B49A0">
              <w:rPr>
                <w:rFonts w:ascii="Times New Roman" w:hAnsi="Times New Roman" w:cs="Times New Roman"/>
                <w:b/>
                <w:bCs/>
                <w:color w:val="000000"/>
                <w:sz w:val="14"/>
                <w:szCs w:val="14"/>
                <w:lang w:eastAsia="sk-SK"/>
              </w:rPr>
              <w:t xml:space="preserve">Ministerstvo zahraničných </w:t>
            </w:r>
            <w:r>
              <w:rPr>
                <w:rFonts w:ascii="Times New Roman" w:hAnsi="Times New Roman" w:cs="Times New Roman"/>
                <w:b/>
                <w:bCs/>
                <w:color w:val="000000"/>
                <w:sz w:val="14"/>
                <w:szCs w:val="14"/>
                <w:lang w:eastAsia="sk-SK"/>
              </w:rPr>
              <w:t>vecí a európskych záležitostí</w:t>
            </w:r>
            <w:r w:rsidRPr="000B49A0">
              <w:rPr>
                <w:rFonts w:ascii="Times New Roman" w:hAnsi="Times New Roman" w:cs="Times New Roman"/>
                <w:b/>
                <w:bCs/>
                <w:color w:val="000000"/>
                <w:sz w:val="14"/>
                <w:szCs w:val="14"/>
                <w:lang w:eastAsia="sk-SK"/>
              </w:rPr>
              <w:t xml:space="preserve"> SR</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b/>
                <w:bCs/>
                <w:color w:val="000000"/>
                <w:sz w:val="14"/>
                <w:szCs w:val="14"/>
              </w:rPr>
            </w:pPr>
            <w:r w:rsidRPr="000B49A0">
              <w:rPr>
                <w:rFonts w:ascii="Times New Roman" w:hAnsi="Times New Roman" w:cs="Times New Roman"/>
                <w:b/>
                <w:bCs/>
                <w:color w:val="000000"/>
                <w:sz w:val="14"/>
                <w:szCs w:val="14"/>
              </w:rPr>
              <w:t>205</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210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b/>
                <w:bCs/>
                <w:color w:val="000000"/>
                <w:sz w:val="14"/>
                <w:szCs w:val="14"/>
              </w:rPr>
            </w:pPr>
            <w:r w:rsidRPr="000B49A0">
              <w:rPr>
                <w:rFonts w:ascii="Times New Roman" w:hAnsi="Times New Roman" w:cs="Times New Roman"/>
                <w:b/>
                <w:bCs/>
                <w:color w:val="000000"/>
                <w:sz w:val="14"/>
                <w:szCs w:val="14"/>
              </w:rPr>
              <w:t>213</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213</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217</w:t>
            </w:r>
          </w:p>
        </w:tc>
        <w:tc>
          <w:tcPr>
            <w:tcW w:w="538"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217</w:t>
            </w:r>
          </w:p>
        </w:tc>
        <w:tc>
          <w:tcPr>
            <w:tcW w:w="533"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217</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Správa služieb diplomatickému zboru, a.s.</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205</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210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213</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213</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217</w:t>
            </w:r>
          </w:p>
        </w:tc>
        <w:tc>
          <w:tcPr>
            <w:tcW w:w="538"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217</w:t>
            </w:r>
          </w:p>
        </w:tc>
        <w:tc>
          <w:tcPr>
            <w:tcW w:w="533"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217</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rPr>
                <w:rFonts w:ascii="Times New Roman" w:hAnsi="Times New Roman" w:cs="Times New Roman"/>
                <w:b/>
                <w:bCs/>
                <w:color w:val="000000"/>
                <w:sz w:val="14"/>
                <w:szCs w:val="14"/>
                <w:lang w:eastAsia="sk-SK"/>
              </w:rPr>
            </w:pPr>
            <w:r w:rsidRPr="000B49A0">
              <w:rPr>
                <w:rFonts w:ascii="Times New Roman" w:hAnsi="Times New Roman" w:cs="Times New Roman"/>
                <w:b/>
                <w:bCs/>
                <w:color w:val="000000"/>
                <w:sz w:val="14"/>
                <w:szCs w:val="14"/>
                <w:lang w:eastAsia="sk-SK"/>
              </w:rPr>
              <w:t>Ministerstvo hospodárstva SR</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b/>
                <w:bCs/>
                <w:color w:val="000000"/>
                <w:sz w:val="14"/>
                <w:szCs w:val="14"/>
              </w:rPr>
            </w:pPr>
            <w:r w:rsidRPr="000B49A0">
              <w:rPr>
                <w:rFonts w:ascii="Times New Roman" w:hAnsi="Times New Roman" w:cs="Times New Roman"/>
                <w:b/>
                <w:bCs/>
                <w:color w:val="000000"/>
                <w:sz w:val="14"/>
                <w:szCs w:val="14"/>
              </w:rPr>
              <w:t>413 779</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529 244</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b/>
                <w:bCs/>
                <w:color w:val="000000"/>
                <w:sz w:val="14"/>
                <w:szCs w:val="14"/>
              </w:rPr>
            </w:pPr>
            <w:r w:rsidRPr="000B49A0">
              <w:rPr>
                <w:rFonts w:ascii="Times New Roman" w:hAnsi="Times New Roman" w:cs="Times New Roman"/>
                <w:b/>
                <w:bCs/>
                <w:color w:val="000000"/>
                <w:sz w:val="14"/>
                <w:szCs w:val="14"/>
              </w:rPr>
              <w:t>404 866</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367 631</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411 483</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411 624</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411 624</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Jadrová a vyraďovacia spoločnosť, a.s.</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5 000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1 737</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2 032</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2 173</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2 173</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B49A0" w:rsidRDefault="0083667D" w:rsidP="00DF0EF9">
            <w:pPr>
              <w:jc w:val="both"/>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 xml:space="preserve">     riadne dividendy</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1 737</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2 032</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2 173</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2 173</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B49A0" w:rsidRDefault="0083667D" w:rsidP="00DF0EF9">
            <w:pPr>
              <w:jc w:val="both"/>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 xml:space="preserve">     superdividendy</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Transpetrol, a.s.</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6 939</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7 000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7 000</w:t>
            </w:r>
          </w:p>
        </w:tc>
        <w:tc>
          <w:tcPr>
            <w:tcW w:w="538"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7 000</w:t>
            </w:r>
          </w:p>
        </w:tc>
        <w:tc>
          <w:tcPr>
            <w:tcW w:w="533"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7 000</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jc w:val="both"/>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 xml:space="preserve">     riadne dividendy</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6 823</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7 000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7 000</w:t>
            </w:r>
          </w:p>
        </w:tc>
        <w:tc>
          <w:tcPr>
            <w:tcW w:w="538"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7 000</w:t>
            </w:r>
          </w:p>
        </w:tc>
        <w:tc>
          <w:tcPr>
            <w:tcW w:w="533"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7 000</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jc w:val="both"/>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 xml:space="preserve">     superdividendy</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116</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3"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Slovenský plynárenský priemysel, a.s.</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303 000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430 000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300 000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300 000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300 000</w:t>
            </w:r>
          </w:p>
        </w:tc>
        <w:tc>
          <w:tcPr>
            <w:tcW w:w="538"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300 000</w:t>
            </w:r>
          </w:p>
        </w:tc>
        <w:tc>
          <w:tcPr>
            <w:tcW w:w="533"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300 000</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jc w:val="both"/>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 xml:space="preserve">     riadne dividendy</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140 614</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207 989</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300 000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169 000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300 000</w:t>
            </w:r>
          </w:p>
        </w:tc>
        <w:tc>
          <w:tcPr>
            <w:tcW w:w="538"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300 000</w:t>
            </w:r>
          </w:p>
        </w:tc>
        <w:tc>
          <w:tcPr>
            <w:tcW w:w="533"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300 000</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jc w:val="both"/>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 xml:space="preserve">     superdividendy</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162 386</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222 011</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131 000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3"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Západoslovenská energetika, a.s.</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29 360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25 737</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33 975</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35 950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28 781</w:t>
            </w:r>
          </w:p>
        </w:tc>
        <w:tc>
          <w:tcPr>
            <w:tcW w:w="538"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28 781</w:t>
            </w:r>
          </w:p>
        </w:tc>
        <w:tc>
          <w:tcPr>
            <w:tcW w:w="533"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28 781</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jc w:val="both"/>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 xml:space="preserve">     riadne dividendy</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29 352</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25 737</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33 975</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35 950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28 781</w:t>
            </w:r>
          </w:p>
        </w:tc>
        <w:tc>
          <w:tcPr>
            <w:tcW w:w="538"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28 781</w:t>
            </w:r>
          </w:p>
        </w:tc>
        <w:tc>
          <w:tcPr>
            <w:tcW w:w="533"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28 781</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jc w:val="both"/>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 xml:space="preserve">     superdividendy</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8</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3"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jc w:val="both"/>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Stredoslovenská energetika, a.s.</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33 480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39 785</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30 483</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3 270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35 195</w:t>
            </w:r>
          </w:p>
        </w:tc>
        <w:tc>
          <w:tcPr>
            <w:tcW w:w="538"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35 195</w:t>
            </w:r>
          </w:p>
        </w:tc>
        <w:tc>
          <w:tcPr>
            <w:tcW w:w="533"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35 195</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B49A0" w:rsidRDefault="0083667D" w:rsidP="00DF0EF9">
            <w:pPr>
              <w:jc w:val="both"/>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 xml:space="preserve">     riadne dividendy</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31 911</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39 162</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30 483</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3 270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35 195</w:t>
            </w:r>
          </w:p>
        </w:tc>
        <w:tc>
          <w:tcPr>
            <w:tcW w:w="538"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35 195</w:t>
            </w:r>
          </w:p>
        </w:tc>
        <w:tc>
          <w:tcPr>
            <w:tcW w:w="533"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35 195</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B49A0" w:rsidRDefault="0083667D" w:rsidP="00DF0EF9">
            <w:pPr>
              <w:jc w:val="both"/>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 xml:space="preserve">     superdividendy</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1 569</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623</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3"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jc w:val="both"/>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Východoslovenská energetika, a.s.</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36 000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28 722</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31 671</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23 411</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38 475</w:t>
            </w:r>
          </w:p>
        </w:tc>
        <w:tc>
          <w:tcPr>
            <w:tcW w:w="538"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38 475</w:t>
            </w:r>
          </w:p>
        </w:tc>
        <w:tc>
          <w:tcPr>
            <w:tcW w:w="533"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38 475</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jc w:val="both"/>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 xml:space="preserve">     riadne dividendy</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11 274</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20 096</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31 671</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8 070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38 475</w:t>
            </w:r>
          </w:p>
        </w:tc>
        <w:tc>
          <w:tcPr>
            <w:tcW w:w="538"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38 475</w:t>
            </w:r>
          </w:p>
        </w:tc>
        <w:tc>
          <w:tcPr>
            <w:tcW w:w="533"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38 475</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jc w:val="both"/>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 xml:space="preserve">     superdividendy</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24 726</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8 626</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15 341</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rPr>
                <w:rFonts w:ascii="Times New Roman" w:hAnsi="Times New Roman" w:cs="Times New Roman"/>
                <w:b/>
                <w:bCs/>
                <w:color w:val="000000"/>
                <w:sz w:val="14"/>
                <w:szCs w:val="14"/>
                <w:lang w:eastAsia="sk-SK"/>
              </w:rPr>
            </w:pPr>
            <w:r w:rsidRPr="000B49A0">
              <w:rPr>
                <w:rFonts w:ascii="Times New Roman" w:hAnsi="Times New Roman" w:cs="Times New Roman"/>
                <w:b/>
                <w:bCs/>
                <w:color w:val="000000"/>
                <w:sz w:val="14"/>
                <w:szCs w:val="14"/>
                <w:lang w:eastAsia="sk-SK"/>
              </w:rPr>
              <w:t>Ministerstvo práce, sociálnych vecí a rodiny SR</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b/>
                <w:bCs/>
                <w:color w:val="000000"/>
                <w:sz w:val="14"/>
                <w:szCs w:val="14"/>
              </w:rPr>
            </w:pPr>
            <w:r w:rsidRPr="000B49A0">
              <w:rPr>
                <w:rFonts w:ascii="Times New Roman" w:hAnsi="Times New Roman" w:cs="Times New Roman"/>
                <w:b/>
                <w:bCs/>
                <w:color w:val="000000"/>
                <w:sz w:val="14"/>
                <w:szCs w:val="14"/>
              </w:rPr>
              <w:t>27</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47</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b/>
                <w:bCs/>
                <w:color w:val="000000"/>
                <w:sz w:val="14"/>
                <w:szCs w:val="14"/>
              </w:rPr>
            </w:pPr>
            <w:r w:rsidRPr="000B49A0">
              <w:rPr>
                <w:rFonts w:ascii="Times New Roman" w:hAnsi="Times New Roman" w:cs="Times New Roman"/>
                <w:b/>
                <w:bCs/>
                <w:color w:val="000000"/>
                <w:sz w:val="14"/>
                <w:szCs w:val="14"/>
              </w:rPr>
              <w:t>32</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63</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32</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33</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33</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Technická inšpekcia, a.s.</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27</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47</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32</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63</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32</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33</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33</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rPr>
                <w:rFonts w:ascii="Times New Roman" w:hAnsi="Times New Roman" w:cs="Times New Roman"/>
                <w:b/>
                <w:bCs/>
                <w:color w:val="000000"/>
                <w:sz w:val="14"/>
                <w:szCs w:val="14"/>
                <w:lang w:eastAsia="sk-SK"/>
              </w:rPr>
            </w:pPr>
            <w:r w:rsidRPr="000B49A0">
              <w:rPr>
                <w:rFonts w:ascii="Times New Roman" w:hAnsi="Times New Roman" w:cs="Times New Roman"/>
                <w:b/>
                <w:bCs/>
                <w:color w:val="000000"/>
                <w:sz w:val="14"/>
                <w:szCs w:val="14"/>
                <w:lang w:eastAsia="sk-SK"/>
              </w:rPr>
              <w:t>Ministerstvo dopravy</w:t>
            </w:r>
            <w:r>
              <w:rPr>
                <w:rFonts w:ascii="Times New Roman" w:hAnsi="Times New Roman" w:cs="Times New Roman"/>
                <w:b/>
                <w:bCs/>
                <w:color w:val="000000"/>
                <w:sz w:val="14"/>
                <w:szCs w:val="14"/>
                <w:lang w:eastAsia="sk-SK"/>
              </w:rPr>
              <w:t xml:space="preserve"> a výstavby </w:t>
            </w:r>
            <w:r w:rsidRPr="000B49A0">
              <w:rPr>
                <w:rFonts w:ascii="Times New Roman" w:hAnsi="Times New Roman" w:cs="Times New Roman"/>
                <w:b/>
                <w:bCs/>
                <w:color w:val="000000"/>
                <w:sz w:val="14"/>
                <w:szCs w:val="14"/>
                <w:lang w:eastAsia="sk-SK"/>
              </w:rPr>
              <w:t>SR</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b/>
                <w:bCs/>
                <w:color w:val="000000"/>
                <w:sz w:val="14"/>
                <w:szCs w:val="14"/>
              </w:rPr>
            </w:pPr>
            <w:r w:rsidRPr="000B49A0">
              <w:rPr>
                <w:rFonts w:ascii="Times New Roman" w:hAnsi="Times New Roman" w:cs="Times New Roman"/>
                <w:b/>
                <w:bCs/>
                <w:color w:val="000000"/>
                <w:sz w:val="14"/>
                <w:szCs w:val="14"/>
              </w:rPr>
              <w:t>856</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437</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b/>
                <w:bCs/>
                <w:color w:val="000000"/>
                <w:sz w:val="14"/>
                <w:szCs w:val="14"/>
              </w:rPr>
            </w:pPr>
            <w:r w:rsidRPr="000B49A0">
              <w:rPr>
                <w:rFonts w:ascii="Times New Roman" w:hAnsi="Times New Roman" w:cs="Times New Roman"/>
                <w:b/>
                <w:bCs/>
                <w:color w:val="000000"/>
                <w:sz w:val="14"/>
                <w:szCs w:val="14"/>
              </w:rPr>
              <w:t>328</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597</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510</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410</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485</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Verejné prístavy, a.s.</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255</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Letisko Košice - Airport Košice, a.s.</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589</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433</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308</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570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510</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410</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485</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B49A0" w:rsidRDefault="0083667D" w:rsidP="00DF0EF9">
            <w:pPr>
              <w:jc w:val="both"/>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 xml:space="preserve">     riadne dividendy</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589</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239</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308</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570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510</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410</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485</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B49A0" w:rsidRDefault="0083667D" w:rsidP="00DF0EF9">
            <w:pPr>
              <w:jc w:val="both"/>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 xml:space="preserve">     superdividendy</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194</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tcPr>
          <w:p w:rsidR="0083667D" w:rsidRPr="000B49A0" w:rsidRDefault="0083667D" w:rsidP="00DF0EF9">
            <w:pPr>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Letisko Sliač, a.s.</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20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83667D" w:rsidRPr="000B49A0" w:rsidTr="00DF0EF9">
        <w:trPr>
          <w:trHeight w:val="265"/>
        </w:trPr>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667D" w:rsidRPr="000B49A0" w:rsidRDefault="0083667D" w:rsidP="00DF0EF9">
            <w:pPr>
              <w:rPr>
                <w:rFonts w:ascii="Times New Roman" w:hAnsi="Times New Roman" w:cs="Times New Roman"/>
                <w:bCs/>
                <w:color w:val="000000"/>
                <w:sz w:val="14"/>
                <w:szCs w:val="14"/>
                <w:lang w:eastAsia="sk-SK"/>
              </w:rPr>
            </w:pPr>
            <w:r w:rsidRPr="000B49A0">
              <w:rPr>
                <w:rFonts w:ascii="Times New Roman" w:hAnsi="Times New Roman" w:cs="Times New Roman"/>
                <w:bCs/>
                <w:color w:val="000000"/>
                <w:sz w:val="14"/>
                <w:szCs w:val="14"/>
                <w:lang w:eastAsia="sk-SK"/>
              </w:rPr>
              <w:t>Poštová banka, a.s.</w:t>
            </w:r>
          </w:p>
        </w:tc>
        <w:tc>
          <w:tcPr>
            <w:tcW w:w="537"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12</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74FC6"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sidRPr="000B49A0">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7</w:t>
            </w:r>
          </w:p>
        </w:tc>
        <w:tc>
          <w:tcPr>
            <w:tcW w:w="538" w:type="pct"/>
            <w:tcBorders>
              <w:top w:val="single" w:sz="4" w:space="0" w:color="auto"/>
              <w:left w:val="single" w:sz="4" w:space="0" w:color="auto"/>
              <w:bottom w:val="single" w:sz="4" w:space="0" w:color="auto"/>
              <w:right w:val="single" w:sz="4" w:space="0" w:color="auto"/>
            </w:tcBorders>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67D" w:rsidRPr="000B49A0"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r>
    </w:tbl>
    <w:p w:rsidR="0083667D" w:rsidRDefault="0083667D" w:rsidP="0083667D">
      <w:pPr>
        <w:jc w:val="both"/>
        <w:rPr>
          <w:rFonts w:ascii="Times New Roman" w:hAnsi="Times New Roman"/>
          <w:b/>
          <w:szCs w:val="22"/>
        </w:rPr>
      </w:pPr>
    </w:p>
    <w:p w:rsidR="0083667D" w:rsidRDefault="0083667D" w:rsidP="0083667D">
      <w:pPr>
        <w:jc w:val="both"/>
        <w:rPr>
          <w:rFonts w:ascii="Times New Roman" w:hAnsi="Times New Roman"/>
          <w:b/>
          <w:szCs w:val="22"/>
        </w:rPr>
      </w:pPr>
    </w:p>
    <w:p w:rsidR="0083667D" w:rsidRDefault="0083667D" w:rsidP="0083667D">
      <w:pPr>
        <w:jc w:val="both"/>
        <w:rPr>
          <w:rFonts w:ascii="Times New Roman" w:hAnsi="Times New Roman"/>
          <w:b/>
          <w:szCs w:val="22"/>
        </w:rPr>
      </w:pPr>
    </w:p>
    <w:p w:rsidR="0083667D" w:rsidRDefault="0083667D" w:rsidP="0083667D">
      <w:pPr>
        <w:jc w:val="both"/>
        <w:rPr>
          <w:rFonts w:ascii="Times New Roman" w:hAnsi="Times New Roman"/>
          <w:b/>
          <w:szCs w:val="22"/>
        </w:rPr>
      </w:pPr>
    </w:p>
    <w:p w:rsidR="0083667D" w:rsidRDefault="0083667D" w:rsidP="0083667D">
      <w:pPr>
        <w:jc w:val="both"/>
        <w:rPr>
          <w:rFonts w:ascii="Times New Roman" w:hAnsi="Times New Roman"/>
          <w:b/>
          <w:szCs w:val="22"/>
        </w:rPr>
      </w:pPr>
    </w:p>
    <w:p w:rsidR="000059D8" w:rsidRDefault="000059D8" w:rsidP="0083667D">
      <w:pPr>
        <w:jc w:val="both"/>
        <w:rPr>
          <w:rFonts w:ascii="Times New Roman" w:hAnsi="Times New Roman"/>
          <w:b/>
          <w:szCs w:val="22"/>
        </w:rPr>
      </w:pPr>
    </w:p>
    <w:p w:rsidR="0083667D" w:rsidRDefault="0083667D" w:rsidP="0083667D">
      <w:pPr>
        <w:jc w:val="both"/>
        <w:rPr>
          <w:rFonts w:ascii="Times New Roman" w:hAnsi="Times New Roman"/>
          <w:b/>
          <w:szCs w:val="22"/>
        </w:rPr>
      </w:pPr>
    </w:p>
    <w:p w:rsidR="0083667D" w:rsidRDefault="0083667D" w:rsidP="0083667D">
      <w:pPr>
        <w:jc w:val="both"/>
        <w:rPr>
          <w:rFonts w:ascii="Times New Roman" w:hAnsi="Times New Roman"/>
          <w:b/>
          <w:szCs w:val="22"/>
        </w:rPr>
      </w:pPr>
      <w:r>
        <w:rPr>
          <w:rFonts w:ascii="Times New Roman" w:hAnsi="Times New Roman"/>
          <w:b/>
          <w:szCs w:val="22"/>
        </w:rPr>
        <w:lastRenderedPageBreak/>
        <w:t xml:space="preserve">3.4.3.  Nedaňové príjmy a tuzemské transfery </w:t>
      </w:r>
    </w:p>
    <w:p w:rsidR="0083667D" w:rsidRDefault="0083667D" w:rsidP="0083667D">
      <w:pPr>
        <w:ind w:firstLine="708"/>
        <w:jc w:val="both"/>
        <w:rPr>
          <w:rFonts w:ascii="Times New Roman" w:hAnsi="Times New Roman"/>
          <w:b/>
          <w:szCs w:val="22"/>
        </w:rPr>
      </w:pPr>
    </w:p>
    <w:p w:rsidR="0083667D" w:rsidRDefault="0083667D" w:rsidP="0083667D">
      <w:pPr>
        <w:ind w:firstLine="708"/>
        <w:jc w:val="both"/>
        <w:rPr>
          <w:rFonts w:ascii="Times New Roman" w:hAnsi="Times New Roman"/>
          <w:szCs w:val="22"/>
        </w:rPr>
      </w:pPr>
      <w:r w:rsidRPr="000D4769">
        <w:rPr>
          <w:rFonts w:ascii="Times New Roman" w:hAnsi="Times New Roman"/>
          <w:szCs w:val="22"/>
        </w:rPr>
        <w:t>Nedaňové príjmy vznikajú</w:t>
      </w:r>
      <w:r>
        <w:rPr>
          <w:rFonts w:ascii="Times New Roman" w:hAnsi="Times New Roman"/>
          <w:szCs w:val="22"/>
        </w:rPr>
        <w:t xml:space="preserve"> z činnosti jednotlivých kapitol štátneho rozpočtu a môžu to byť príjmy z vlastníctva, poplatky a platby, kapitálové príjmy, úroky.</w:t>
      </w:r>
    </w:p>
    <w:p w:rsidR="0083667D" w:rsidRDefault="0083667D" w:rsidP="0083667D">
      <w:pPr>
        <w:ind w:firstLine="708"/>
        <w:jc w:val="both"/>
        <w:rPr>
          <w:rFonts w:ascii="Times New Roman" w:hAnsi="Times New Roman"/>
          <w:szCs w:val="22"/>
        </w:rPr>
      </w:pPr>
    </w:p>
    <w:p w:rsidR="0083667D" w:rsidRDefault="0083667D" w:rsidP="0083667D">
      <w:pPr>
        <w:ind w:firstLine="708"/>
        <w:jc w:val="both"/>
        <w:rPr>
          <w:rFonts w:ascii="Times New Roman" w:hAnsi="Times New Roman"/>
          <w:szCs w:val="22"/>
        </w:rPr>
      </w:pPr>
      <w:r>
        <w:rPr>
          <w:rFonts w:ascii="Times New Roman" w:hAnsi="Times New Roman"/>
          <w:szCs w:val="22"/>
        </w:rPr>
        <w:t xml:space="preserve">Vývoj týchto príjmov na roky 2019 až 2021 zobrazuje nasledovná tabuľka: </w:t>
      </w:r>
    </w:p>
    <w:p w:rsidR="0083667D" w:rsidRDefault="0083667D" w:rsidP="0083667D">
      <w:pPr>
        <w:ind w:firstLine="708"/>
        <w:jc w:val="both"/>
        <w:rPr>
          <w:rFonts w:ascii="Times New Roman" w:hAnsi="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9"/>
        <w:gridCol w:w="1057"/>
        <w:gridCol w:w="1055"/>
        <w:gridCol w:w="1055"/>
        <w:gridCol w:w="1055"/>
        <w:gridCol w:w="1055"/>
        <w:gridCol w:w="1055"/>
        <w:gridCol w:w="1051"/>
      </w:tblGrid>
      <w:tr w:rsidR="0083667D" w:rsidTr="00DF0EF9">
        <w:trPr>
          <w:trHeight w:val="345"/>
        </w:trPr>
        <w:tc>
          <w:tcPr>
            <w:tcW w:w="926" w:type="pct"/>
            <w:shd w:val="clear" w:color="auto" w:fill="A6A6A6"/>
            <w:vAlign w:val="center"/>
            <w:hideMark/>
          </w:tcPr>
          <w:p w:rsidR="0083667D" w:rsidRDefault="0083667D" w:rsidP="00DF0EF9">
            <w:pP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v tis. eur</w:t>
            </w:r>
          </w:p>
        </w:tc>
        <w:tc>
          <w:tcPr>
            <w:tcW w:w="583" w:type="pct"/>
            <w:shd w:val="clear" w:color="auto"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w:t>
            </w:r>
            <w:r w:rsidRPr="00502053">
              <w:rPr>
                <w:rFonts w:ascii="Times New Roman" w:hAnsi="Times New Roman" w:cs="Times New Roman"/>
                <w:b/>
                <w:bCs/>
                <w:color w:val="000000"/>
                <w:sz w:val="14"/>
                <w:szCs w:val="14"/>
                <w:lang w:eastAsia="sk-SK"/>
              </w:rPr>
              <w:t xml:space="preserve"> S</w:t>
            </w:r>
          </w:p>
        </w:tc>
        <w:tc>
          <w:tcPr>
            <w:tcW w:w="582" w:type="pct"/>
            <w:shd w:val="clear" w:color="auto"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 S</w:t>
            </w:r>
          </w:p>
        </w:tc>
        <w:tc>
          <w:tcPr>
            <w:tcW w:w="582"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 R</w:t>
            </w:r>
          </w:p>
        </w:tc>
        <w:tc>
          <w:tcPr>
            <w:tcW w:w="582"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 OS</w:t>
            </w:r>
          </w:p>
        </w:tc>
        <w:tc>
          <w:tcPr>
            <w:tcW w:w="582"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9</w:t>
            </w:r>
            <w:r w:rsidRPr="00502053">
              <w:rPr>
                <w:rFonts w:ascii="Times New Roman" w:hAnsi="Times New Roman" w:cs="Times New Roman"/>
                <w:b/>
                <w:bCs/>
                <w:color w:val="000000"/>
                <w:sz w:val="14"/>
                <w:szCs w:val="14"/>
                <w:lang w:eastAsia="sk-SK"/>
              </w:rPr>
              <w:t xml:space="preserve"> N</w:t>
            </w:r>
          </w:p>
        </w:tc>
        <w:tc>
          <w:tcPr>
            <w:tcW w:w="582"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2020</w:t>
            </w:r>
            <w:r w:rsidRPr="00502053">
              <w:rPr>
                <w:rFonts w:ascii="Times New Roman" w:hAnsi="Times New Roman" w:cs="Times New Roman"/>
                <w:b/>
                <w:bCs/>
                <w:color w:val="000000"/>
                <w:sz w:val="14"/>
                <w:szCs w:val="14"/>
                <w:lang w:eastAsia="sk-SK"/>
              </w:rPr>
              <w:t xml:space="preserve"> N</w:t>
            </w:r>
          </w:p>
        </w:tc>
        <w:tc>
          <w:tcPr>
            <w:tcW w:w="580"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2021</w:t>
            </w:r>
            <w:r w:rsidRPr="00502053">
              <w:rPr>
                <w:rFonts w:ascii="Times New Roman" w:hAnsi="Times New Roman" w:cs="Times New Roman"/>
                <w:b/>
                <w:bCs/>
                <w:color w:val="000000"/>
                <w:sz w:val="14"/>
                <w:szCs w:val="14"/>
                <w:lang w:eastAsia="sk-SK"/>
              </w:rPr>
              <w:t xml:space="preserve"> N</w:t>
            </w:r>
          </w:p>
        </w:tc>
      </w:tr>
      <w:tr w:rsidR="0083667D" w:rsidRPr="00CF0745" w:rsidTr="00DF0EF9">
        <w:trPr>
          <w:trHeight w:val="345"/>
        </w:trPr>
        <w:tc>
          <w:tcPr>
            <w:tcW w:w="926" w:type="pct"/>
            <w:shd w:val="clear" w:color="auto" w:fill="BFBFBF"/>
            <w:vAlign w:val="center"/>
            <w:hideMark/>
          </w:tcPr>
          <w:p w:rsidR="0083667D" w:rsidRPr="00CF0745" w:rsidRDefault="0083667D" w:rsidP="00DF0EF9">
            <w:pPr>
              <w:jc w:val="both"/>
              <w:rPr>
                <w:rFonts w:ascii="Times New Roman" w:hAnsi="Times New Roman" w:cs="Times New Roman"/>
                <w:b/>
                <w:bCs/>
                <w:color w:val="000000"/>
                <w:sz w:val="14"/>
                <w:szCs w:val="14"/>
                <w:lang w:eastAsia="sk-SK"/>
              </w:rPr>
            </w:pPr>
            <w:r w:rsidRPr="00CF0745">
              <w:rPr>
                <w:rFonts w:ascii="Times New Roman" w:hAnsi="Times New Roman" w:cs="Times New Roman"/>
                <w:b/>
                <w:bCs/>
                <w:color w:val="000000"/>
                <w:sz w:val="14"/>
                <w:szCs w:val="14"/>
                <w:lang w:eastAsia="sk-SK"/>
              </w:rPr>
              <w:t>Spolu</w:t>
            </w:r>
          </w:p>
        </w:tc>
        <w:tc>
          <w:tcPr>
            <w:tcW w:w="583" w:type="pct"/>
            <w:shd w:val="clear" w:color="auto" w:fill="BFBFBF"/>
            <w:vAlign w:val="center"/>
          </w:tcPr>
          <w:p w:rsidR="0083667D"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777 075</w:t>
            </w:r>
          </w:p>
        </w:tc>
        <w:tc>
          <w:tcPr>
            <w:tcW w:w="582" w:type="pct"/>
            <w:shd w:val="clear" w:color="auto" w:fill="BFBFBF"/>
            <w:vAlign w:val="center"/>
          </w:tcPr>
          <w:p w:rsidR="0083667D" w:rsidRPr="002C313A" w:rsidRDefault="0083667D" w:rsidP="00DF0EF9">
            <w:pPr>
              <w:jc w:val="right"/>
              <w:rPr>
                <w:rFonts w:ascii="Times New Roman" w:hAnsi="Times New Roman" w:cs="Times New Roman"/>
                <w:b/>
                <w:bCs/>
                <w:color w:val="000000"/>
                <w:sz w:val="14"/>
                <w:szCs w:val="14"/>
                <w:highlight w:val="yellow"/>
              </w:rPr>
            </w:pPr>
            <w:r>
              <w:rPr>
                <w:rFonts w:ascii="Times New Roman" w:hAnsi="Times New Roman" w:cs="Times New Roman"/>
                <w:b/>
                <w:bCs/>
                <w:color w:val="000000"/>
                <w:sz w:val="14"/>
                <w:szCs w:val="14"/>
              </w:rPr>
              <w:t>832 214</w:t>
            </w:r>
          </w:p>
        </w:tc>
        <w:tc>
          <w:tcPr>
            <w:tcW w:w="582" w:type="pct"/>
            <w:shd w:val="clear" w:color="auto" w:fill="BFBFBF"/>
            <w:vAlign w:val="center"/>
          </w:tcPr>
          <w:p w:rsidR="0083667D" w:rsidRPr="000C6F4B"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817 864</w:t>
            </w:r>
          </w:p>
        </w:tc>
        <w:tc>
          <w:tcPr>
            <w:tcW w:w="582" w:type="pct"/>
            <w:shd w:val="clear" w:color="auto" w:fill="BFBFBF"/>
            <w:vAlign w:val="center"/>
          </w:tcPr>
          <w:p w:rsidR="0083667D" w:rsidRPr="000C6F4B"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763 657</w:t>
            </w:r>
          </w:p>
        </w:tc>
        <w:tc>
          <w:tcPr>
            <w:tcW w:w="582" w:type="pct"/>
            <w:shd w:val="clear" w:color="auto" w:fill="BFBFBF"/>
            <w:vAlign w:val="center"/>
          </w:tcPr>
          <w:p w:rsidR="0083667D" w:rsidRPr="000C6F4B"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935 344</w:t>
            </w:r>
          </w:p>
        </w:tc>
        <w:tc>
          <w:tcPr>
            <w:tcW w:w="582" w:type="pct"/>
            <w:shd w:val="clear" w:color="auto" w:fill="BFBFBF"/>
            <w:vAlign w:val="center"/>
          </w:tcPr>
          <w:p w:rsidR="0083667D" w:rsidRPr="000C6F4B"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853 431</w:t>
            </w:r>
          </w:p>
        </w:tc>
        <w:tc>
          <w:tcPr>
            <w:tcW w:w="580" w:type="pct"/>
            <w:shd w:val="clear" w:color="auto" w:fill="BFBFBF"/>
            <w:vAlign w:val="center"/>
          </w:tcPr>
          <w:p w:rsidR="0083667D" w:rsidRPr="000C6F4B"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849 720</w:t>
            </w:r>
          </w:p>
        </w:tc>
      </w:tr>
      <w:tr w:rsidR="0083667D" w:rsidRPr="00CF0745" w:rsidTr="00DF0EF9">
        <w:trPr>
          <w:trHeight w:val="345"/>
        </w:trPr>
        <w:tc>
          <w:tcPr>
            <w:tcW w:w="926" w:type="pct"/>
            <w:vAlign w:val="center"/>
            <w:hideMark/>
          </w:tcPr>
          <w:p w:rsidR="0083667D" w:rsidRPr="00CF0745" w:rsidRDefault="0083667D" w:rsidP="00DF0EF9">
            <w:pPr>
              <w:rPr>
                <w:rFonts w:ascii="Times New Roman" w:hAnsi="Times New Roman" w:cs="Times New Roman"/>
                <w:color w:val="000000"/>
                <w:sz w:val="14"/>
                <w:szCs w:val="14"/>
                <w:lang w:eastAsia="sk-SK"/>
              </w:rPr>
            </w:pPr>
            <w:r w:rsidRPr="00CF0745">
              <w:rPr>
                <w:rFonts w:ascii="Times New Roman" w:hAnsi="Times New Roman" w:cs="Times New Roman"/>
                <w:color w:val="000000"/>
                <w:sz w:val="14"/>
                <w:szCs w:val="14"/>
                <w:lang w:eastAsia="sk-SK"/>
              </w:rPr>
              <w:t>Nedaňové príjmy</w:t>
            </w:r>
          </w:p>
        </w:tc>
        <w:tc>
          <w:tcPr>
            <w:tcW w:w="583" w:type="pct"/>
            <w:vAlign w:val="center"/>
          </w:tcPr>
          <w:p w:rsidR="0083667D" w:rsidRDefault="0083667D" w:rsidP="00DF0EF9">
            <w:pPr>
              <w:jc w:val="right"/>
              <w:rPr>
                <w:rFonts w:ascii="Times New Roman" w:hAnsi="Times New Roman" w:cs="Times New Roman"/>
                <w:color w:val="000000"/>
                <w:sz w:val="14"/>
                <w:szCs w:val="14"/>
              </w:rPr>
            </w:pPr>
            <w:r w:rsidRPr="004952C5">
              <w:rPr>
                <w:rFonts w:ascii="Times New Roman" w:hAnsi="Times New Roman" w:cs="Times New Roman"/>
                <w:color w:val="000000"/>
                <w:sz w:val="14"/>
                <w:szCs w:val="14"/>
              </w:rPr>
              <w:t>745 533</w:t>
            </w:r>
          </w:p>
        </w:tc>
        <w:tc>
          <w:tcPr>
            <w:tcW w:w="582" w:type="pct"/>
            <w:vAlign w:val="center"/>
          </w:tcPr>
          <w:p w:rsidR="0083667D" w:rsidRPr="002C313A" w:rsidRDefault="0083667D" w:rsidP="00DF0EF9">
            <w:pPr>
              <w:jc w:val="right"/>
              <w:rPr>
                <w:rFonts w:ascii="Times New Roman" w:hAnsi="Times New Roman" w:cs="Times New Roman"/>
                <w:color w:val="000000"/>
                <w:sz w:val="14"/>
                <w:szCs w:val="14"/>
                <w:highlight w:val="yellow"/>
              </w:rPr>
            </w:pPr>
            <w:r w:rsidRPr="00A75D65">
              <w:rPr>
                <w:rFonts w:ascii="Times New Roman" w:hAnsi="Times New Roman" w:cs="Times New Roman"/>
                <w:color w:val="000000"/>
                <w:sz w:val="14"/>
                <w:szCs w:val="14"/>
              </w:rPr>
              <w:t>786 389</w:t>
            </w:r>
          </w:p>
        </w:tc>
        <w:tc>
          <w:tcPr>
            <w:tcW w:w="582" w:type="pct"/>
            <w:vAlign w:val="center"/>
          </w:tcPr>
          <w:p w:rsidR="0083667D" w:rsidRPr="005B41B4" w:rsidRDefault="0083667D" w:rsidP="00DF0EF9">
            <w:pPr>
              <w:jc w:val="right"/>
              <w:rPr>
                <w:rFonts w:ascii="Times New Roman" w:hAnsi="Times New Roman" w:cs="Times New Roman"/>
                <w:color w:val="000000"/>
                <w:sz w:val="14"/>
                <w:szCs w:val="14"/>
                <w:highlight w:val="yellow"/>
              </w:rPr>
            </w:pPr>
            <w:r w:rsidRPr="000C6F4B">
              <w:rPr>
                <w:rFonts w:ascii="Times New Roman" w:hAnsi="Times New Roman" w:cs="Times New Roman"/>
                <w:color w:val="000000"/>
                <w:sz w:val="14"/>
                <w:szCs w:val="14"/>
              </w:rPr>
              <w:t>783 820</w:t>
            </w:r>
          </w:p>
        </w:tc>
        <w:tc>
          <w:tcPr>
            <w:tcW w:w="582" w:type="pct"/>
            <w:vAlign w:val="center"/>
          </w:tcPr>
          <w:p w:rsidR="0083667D" w:rsidRPr="005B41B4" w:rsidRDefault="0083667D" w:rsidP="00DF0EF9">
            <w:pPr>
              <w:jc w:val="right"/>
              <w:rPr>
                <w:rFonts w:ascii="Times New Roman" w:hAnsi="Times New Roman" w:cs="Times New Roman"/>
                <w:color w:val="000000"/>
                <w:sz w:val="14"/>
                <w:szCs w:val="14"/>
                <w:highlight w:val="yellow"/>
              </w:rPr>
            </w:pPr>
            <w:r w:rsidRPr="00DA722E">
              <w:rPr>
                <w:rFonts w:ascii="Times New Roman" w:hAnsi="Times New Roman" w:cs="Times New Roman"/>
                <w:color w:val="000000"/>
                <w:sz w:val="14"/>
                <w:szCs w:val="14"/>
              </w:rPr>
              <w:t>732 141</w:t>
            </w:r>
          </w:p>
        </w:tc>
        <w:tc>
          <w:tcPr>
            <w:tcW w:w="582" w:type="pct"/>
            <w:vAlign w:val="center"/>
          </w:tcPr>
          <w:p w:rsidR="0083667D" w:rsidRPr="005B41B4" w:rsidRDefault="0083667D" w:rsidP="00DF0EF9">
            <w:pPr>
              <w:jc w:val="right"/>
              <w:rPr>
                <w:rFonts w:ascii="Times New Roman" w:hAnsi="Times New Roman" w:cs="Times New Roman"/>
                <w:color w:val="000000"/>
                <w:sz w:val="14"/>
                <w:szCs w:val="14"/>
                <w:highlight w:val="yellow"/>
              </w:rPr>
            </w:pPr>
            <w:r w:rsidRPr="00CB4F85">
              <w:rPr>
                <w:rFonts w:ascii="Times New Roman" w:hAnsi="Times New Roman" w:cs="Times New Roman"/>
                <w:color w:val="000000"/>
                <w:sz w:val="14"/>
                <w:szCs w:val="14"/>
              </w:rPr>
              <w:t>898 643</w:t>
            </w:r>
          </w:p>
        </w:tc>
        <w:tc>
          <w:tcPr>
            <w:tcW w:w="582" w:type="pct"/>
            <w:vAlign w:val="center"/>
          </w:tcPr>
          <w:p w:rsidR="0083667D" w:rsidRPr="005B41B4" w:rsidRDefault="0083667D" w:rsidP="00DF0EF9">
            <w:pPr>
              <w:jc w:val="right"/>
              <w:rPr>
                <w:rFonts w:ascii="Times New Roman" w:hAnsi="Times New Roman" w:cs="Times New Roman"/>
                <w:color w:val="000000"/>
                <w:sz w:val="14"/>
                <w:szCs w:val="14"/>
                <w:highlight w:val="yellow"/>
              </w:rPr>
            </w:pPr>
            <w:r w:rsidRPr="00143F85">
              <w:rPr>
                <w:rFonts w:ascii="Times New Roman" w:hAnsi="Times New Roman" w:cs="Times New Roman"/>
                <w:color w:val="000000"/>
                <w:sz w:val="14"/>
                <w:szCs w:val="14"/>
              </w:rPr>
              <w:t>815 707</w:t>
            </w:r>
          </w:p>
        </w:tc>
        <w:tc>
          <w:tcPr>
            <w:tcW w:w="580" w:type="pct"/>
            <w:vAlign w:val="center"/>
          </w:tcPr>
          <w:p w:rsidR="0083667D" w:rsidRPr="005B41B4" w:rsidRDefault="0083667D" w:rsidP="00DF0EF9">
            <w:pPr>
              <w:jc w:val="right"/>
              <w:rPr>
                <w:rFonts w:ascii="Times New Roman" w:hAnsi="Times New Roman" w:cs="Times New Roman"/>
                <w:color w:val="000000"/>
                <w:sz w:val="14"/>
                <w:szCs w:val="14"/>
                <w:highlight w:val="yellow"/>
              </w:rPr>
            </w:pPr>
            <w:r w:rsidRPr="0020634B">
              <w:rPr>
                <w:rFonts w:ascii="Times New Roman" w:hAnsi="Times New Roman" w:cs="Times New Roman"/>
                <w:color w:val="000000"/>
                <w:sz w:val="14"/>
                <w:szCs w:val="14"/>
              </w:rPr>
              <w:t>811 447</w:t>
            </w:r>
          </w:p>
        </w:tc>
      </w:tr>
      <w:tr w:rsidR="0083667D" w:rsidTr="00DF0EF9">
        <w:trPr>
          <w:trHeight w:val="345"/>
        </w:trPr>
        <w:tc>
          <w:tcPr>
            <w:tcW w:w="926" w:type="pct"/>
            <w:vAlign w:val="center"/>
            <w:hideMark/>
          </w:tcPr>
          <w:p w:rsidR="0083667D" w:rsidRPr="00CF0745" w:rsidRDefault="0083667D" w:rsidP="00DF0EF9">
            <w:pPr>
              <w:rPr>
                <w:rFonts w:ascii="Times New Roman" w:hAnsi="Times New Roman" w:cs="Times New Roman"/>
                <w:color w:val="000000"/>
                <w:sz w:val="14"/>
                <w:szCs w:val="14"/>
                <w:lang w:eastAsia="sk-SK"/>
              </w:rPr>
            </w:pPr>
            <w:r w:rsidRPr="00CF0745">
              <w:rPr>
                <w:rFonts w:ascii="Times New Roman" w:hAnsi="Times New Roman" w:cs="Times New Roman"/>
                <w:color w:val="000000"/>
                <w:sz w:val="14"/>
                <w:szCs w:val="14"/>
                <w:lang w:eastAsia="sk-SK"/>
              </w:rPr>
              <w:t>Tuzemské transfery</w:t>
            </w:r>
          </w:p>
        </w:tc>
        <w:tc>
          <w:tcPr>
            <w:tcW w:w="583" w:type="pct"/>
            <w:vAlign w:val="center"/>
          </w:tcPr>
          <w:p w:rsidR="0083667D" w:rsidRPr="00022A83" w:rsidRDefault="0083667D" w:rsidP="00DF0EF9">
            <w:pPr>
              <w:jc w:val="right"/>
              <w:rPr>
                <w:rFonts w:ascii="Times New Roman" w:hAnsi="Times New Roman" w:cs="Times New Roman"/>
                <w:sz w:val="14"/>
                <w:szCs w:val="14"/>
              </w:rPr>
            </w:pPr>
            <w:r w:rsidRPr="003F2E21">
              <w:rPr>
                <w:rFonts w:ascii="Times New Roman" w:hAnsi="Times New Roman" w:cs="Times New Roman"/>
                <w:sz w:val="14"/>
                <w:szCs w:val="14"/>
              </w:rPr>
              <w:t>31 542</w:t>
            </w:r>
          </w:p>
        </w:tc>
        <w:tc>
          <w:tcPr>
            <w:tcW w:w="582" w:type="pct"/>
            <w:vAlign w:val="center"/>
          </w:tcPr>
          <w:p w:rsidR="0083667D" w:rsidRPr="002C313A" w:rsidRDefault="0083667D" w:rsidP="00DF0EF9">
            <w:pPr>
              <w:jc w:val="right"/>
              <w:rPr>
                <w:rFonts w:ascii="Times New Roman" w:hAnsi="Times New Roman" w:cs="Times New Roman"/>
                <w:sz w:val="14"/>
                <w:szCs w:val="14"/>
                <w:highlight w:val="yellow"/>
              </w:rPr>
            </w:pPr>
            <w:r w:rsidRPr="0099630C">
              <w:rPr>
                <w:rFonts w:ascii="Times New Roman" w:hAnsi="Times New Roman" w:cs="Times New Roman"/>
                <w:sz w:val="14"/>
                <w:szCs w:val="14"/>
              </w:rPr>
              <w:t>45 825</w:t>
            </w:r>
          </w:p>
        </w:tc>
        <w:tc>
          <w:tcPr>
            <w:tcW w:w="582" w:type="pct"/>
            <w:vAlign w:val="center"/>
          </w:tcPr>
          <w:p w:rsidR="0083667D" w:rsidRPr="00022A83" w:rsidRDefault="0083667D" w:rsidP="00DF0EF9">
            <w:pPr>
              <w:jc w:val="right"/>
              <w:rPr>
                <w:rFonts w:ascii="Times New Roman" w:hAnsi="Times New Roman" w:cs="Times New Roman"/>
                <w:sz w:val="14"/>
                <w:szCs w:val="14"/>
              </w:rPr>
            </w:pPr>
            <w:r w:rsidRPr="001514C7">
              <w:rPr>
                <w:rFonts w:ascii="Times New Roman" w:hAnsi="Times New Roman" w:cs="Times New Roman"/>
                <w:sz w:val="14"/>
                <w:szCs w:val="14"/>
              </w:rPr>
              <w:t>34 044</w:t>
            </w:r>
          </w:p>
        </w:tc>
        <w:tc>
          <w:tcPr>
            <w:tcW w:w="582" w:type="pct"/>
            <w:vAlign w:val="center"/>
          </w:tcPr>
          <w:p w:rsidR="0083667D" w:rsidRPr="00022A83" w:rsidRDefault="0083667D" w:rsidP="00DF0EF9">
            <w:pPr>
              <w:jc w:val="right"/>
              <w:rPr>
                <w:rFonts w:ascii="Times New Roman" w:hAnsi="Times New Roman" w:cs="Times New Roman"/>
                <w:sz w:val="14"/>
                <w:szCs w:val="14"/>
              </w:rPr>
            </w:pPr>
            <w:r w:rsidRPr="005C7316">
              <w:rPr>
                <w:rFonts w:ascii="Times New Roman" w:hAnsi="Times New Roman" w:cs="Times New Roman"/>
                <w:sz w:val="14"/>
                <w:szCs w:val="14"/>
              </w:rPr>
              <w:t>31 516</w:t>
            </w:r>
          </w:p>
        </w:tc>
        <w:tc>
          <w:tcPr>
            <w:tcW w:w="582" w:type="pct"/>
            <w:vAlign w:val="center"/>
          </w:tcPr>
          <w:p w:rsidR="0083667D" w:rsidRPr="00022A83" w:rsidRDefault="0083667D" w:rsidP="00DF0EF9">
            <w:pPr>
              <w:jc w:val="right"/>
              <w:rPr>
                <w:rFonts w:ascii="Times New Roman" w:hAnsi="Times New Roman" w:cs="Times New Roman"/>
                <w:sz w:val="14"/>
                <w:szCs w:val="14"/>
              </w:rPr>
            </w:pPr>
            <w:r w:rsidRPr="008731B8">
              <w:rPr>
                <w:rFonts w:ascii="Times New Roman" w:hAnsi="Times New Roman" w:cs="Times New Roman"/>
                <w:sz w:val="14"/>
                <w:szCs w:val="14"/>
              </w:rPr>
              <w:t>36 701</w:t>
            </w:r>
          </w:p>
        </w:tc>
        <w:tc>
          <w:tcPr>
            <w:tcW w:w="582" w:type="pct"/>
            <w:vAlign w:val="center"/>
          </w:tcPr>
          <w:p w:rsidR="0083667D" w:rsidRPr="00022A83" w:rsidRDefault="0083667D" w:rsidP="00DF0EF9">
            <w:pPr>
              <w:jc w:val="right"/>
              <w:rPr>
                <w:rFonts w:ascii="Times New Roman" w:hAnsi="Times New Roman" w:cs="Times New Roman"/>
                <w:sz w:val="14"/>
                <w:szCs w:val="14"/>
              </w:rPr>
            </w:pPr>
            <w:r w:rsidRPr="00143F85">
              <w:rPr>
                <w:rFonts w:ascii="Times New Roman" w:hAnsi="Times New Roman" w:cs="Times New Roman"/>
                <w:sz w:val="14"/>
                <w:szCs w:val="14"/>
              </w:rPr>
              <w:t>37 724</w:t>
            </w:r>
          </w:p>
        </w:tc>
        <w:tc>
          <w:tcPr>
            <w:tcW w:w="580" w:type="pct"/>
            <w:vAlign w:val="center"/>
          </w:tcPr>
          <w:p w:rsidR="0083667D" w:rsidRPr="00022A83" w:rsidRDefault="0083667D" w:rsidP="00DF0EF9">
            <w:pPr>
              <w:jc w:val="right"/>
              <w:rPr>
                <w:rFonts w:ascii="Times New Roman" w:hAnsi="Times New Roman" w:cs="Times New Roman"/>
                <w:sz w:val="14"/>
                <w:szCs w:val="14"/>
              </w:rPr>
            </w:pPr>
            <w:r w:rsidRPr="00F508DD">
              <w:rPr>
                <w:rFonts w:ascii="Times New Roman" w:hAnsi="Times New Roman" w:cs="Times New Roman"/>
                <w:sz w:val="14"/>
                <w:szCs w:val="14"/>
              </w:rPr>
              <w:t>38 273</w:t>
            </w:r>
          </w:p>
        </w:tc>
      </w:tr>
    </w:tbl>
    <w:p w:rsidR="0083667D" w:rsidRDefault="0083667D" w:rsidP="0083667D">
      <w:pPr>
        <w:ind w:firstLine="708"/>
        <w:jc w:val="both"/>
        <w:rPr>
          <w:rFonts w:ascii="Times New Roman" w:hAnsi="Times New Roman"/>
          <w:szCs w:val="22"/>
        </w:rPr>
      </w:pPr>
    </w:p>
    <w:p w:rsidR="0083667D" w:rsidRPr="00AC4C69" w:rsidRDefault="0083667D" w:rsidP="0083667D">
      <w:pPr>
        <w:jc w:val="both"/>
        <w:rPr>
          <w:rFonts w:ascii="Times New Roman" w:hAnsi="Times New Roman"/>
          <w:b/>
          <w:szCs w:val="22"/>
        </w:rPr>
      </w:pPr>
      <w:r w:rsidRPr="00AC4C69">
        <w:rPr>
          <w:rFonts w:ascii="Times New Roman" w:hAnsi="Times New Roman"/>
          <w:b/>
          <w:szCs w:val="22"/>
        </w:rPr>
        <w:t>Rozpočtovanie nedaňových príjmov</w:t>
      </w:r>
    </w:p>
    <w:p w:rsidR="0083667D" w:rsidRDefault="0083667D" w:rsidP="0083667D">
      <w:pPr>
        <w:ind w:firstLine="708"/>
        <w:jc w:val="both"/>
        <w:rPr>
          <w:rFonts w:ascii="Times New Roman" w:hAnsi="Times New Roman"/>
          <w:b/>
          <w:i/>
          <w:szCs w:val="22"/>
        </w:rPr>
      </w:pPr>
      <w:r>
        <w:rPr>
          <w:rFonts w:ascii="Times New Roman" w:hAnsi="Times New Roman"/>
          <w:b/>
          <w:i/>
          <w:szCs w:val="22"/>
        </w:rPr>
        <w:t xml:space="preserve">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1"/>
        <w:gridCol w:w="1055"/>
        <w:gridCol w:w="1055"/>
        <w:gridCol w:w="1055"/>
        <w:gridCol w:w="1055"/>
        <w:gridCol w:w="1055"/>
        <w:gridCol w:w="1055"/>
        <w:gridCol w:w="1049"/>
      </w:tblGrid>
      <w:tr w:rsidR="0083667D" w:rsidTr="00DF0EF9">
        <w:trPr>
          <w:trHeight w:val="345"/>
        </w:trPr>
        <w:tc>
          <w:tcPr>
            <w:tcW w:w="928" w:type="pct"/>
            <w:shd w:val="clear" w:color="auto" w:fill="A6A6A6"/>
            <w:vAlign w:val="center"/>
            <w:hideMark/>
          </w:tcPr>
          <w:p w:rsidR="0083667D" w:rsidRDefault="0083667D" w:rsidP="00DF0EF9">
            <w:pP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v tis. eur</w:t>
            </w:r>
          </w:p>
        </w:tc>
        <w:tc>
          <w:tcPr>
            <w:tcW w:w="582" w:type="pct"/>
            <w:shd w:val="clear" w:color="auto"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 xml:space="preserve">6 </w:t>
            </w:r>
            <w:r w:rsidRPr="00502053">
              <w:rPr>
                <w:rFonts w:ascii="Times New Roman" w:hAnsi="Times New Roman" w:cs="Times New Roman"/>
                <w:b/>
                <w:bCs/>
                <w:color w:val="000000"/>
                <w:sz w:val="14"/>
                <w:szCs w:val="14"/>
                <w:lang w:eastAsia="sk-SK"/>
              </w:rPr>
              <w:t>S</w:t>
            </w:r>
          </w:p>
        </w:tc>
        <w:tc>
          <w:tcPr>
            <w:tcW w:w="582" w:type="pct"/>
            <w:shd w:val="clear" w:color="auto"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 S</w:t>
            </w:r>
          </w:p>
        </w:tc>
        <w:tc>
          <w:tcPr>
            <w:tcW w:w="582"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 R</w:t>
            </w:r>
          </w:p>
        </w:tc>
        <w:tc>
          <w:tcPr>
            <w:tcW w:w="582"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 OS</w:t>
            </w:r>
          </w:p>
        </w:tc>
        <w:tc>
          <w:tcPr>
            <w:tcW w:w="582"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9</w:t>
            </w:r>
            <w:r w:rsidRPr="00502053">
              <w:rPr>
                <w:rFonts w:ascii="Times New Roman" w:hAnsi="Times New Roman" w:cs="Times New Roman"/>
                <w:b/>
                <w:bCs/>
                <w:color w:val="000000"/>
                <w:sz w:val="14"/>
                <w:szCs w:val="14"/>
                <w:lang w:eastAsia="sk-SK"/>
              </w:rPr>
              <w:t xml:space="preserve"> N</w:t>
            </w:r>
          </w:p>
        </w:tc>
        <w:tc>
          <w:tcPr>
            <w:tcW w:w="582"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2020</w:t>
            </w:r>
            <w:r w:rsidRPr="00502053">
              <w:rPr>
                <w:rFonts w:ascii="Times New Roman" w:hAnsi="Times New Roman" w:cs="Times New Roman"/>
                <w:b/>
                <w:bCs/>
                <w:color w:val="000000"/>
                <w:sz w:val="14"/>
                <w:szCs w:val="14"/>
                <w:lang w:eastAsia="sk-SK"/>
              </w:rPr>
              <w:t xml:space="preserve"> N</w:t>
            </w:r>
          </w:p>
        </w:tc>
        <w:tc>
          <w:tcPr>
            <w:tcW w:w="579"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2021</w:t>
            </w:r>
            <w:r w:rsidRPr="00502053">
              <w:rPr>
                <w:rFonts w:ascii="Times New Roman" w:hAnsi="Times New Roman" w:cs="Times New Roman"/>
                <w:b/>
                <w:bCs/>
                <w:color w:val="000000"/>
                <w:sz w:val="14"/>
                <w:szCs w:val="14"/>
                <w:lang w:eastAsia="sk-SK"/>
              </w:rPr>
              <w:t xml:space="preserve"> N</w:t>
            </w:r>
          </w:p>
        </w:tc>
      </w:tr>
      <w:tr w:rsidR="0083667D" w:rsidRPr="004F1396" w:rsidTr="00DF0EF9">
        <w:trPr>
          <w:trHeight w:val="345"/>
        </w:trPr>
        <w:tc>
          <w:tcPr>
            <w:tcW w:w="928" w:type="pct"/>
            <w:shd w:val="clear" w:color="auto" w:fill="BFBFBF"/>
            <w:vAlign w:val="center"/>
            <w:hideMark/>
          </w:tcPr>
          <w:p w:rsidR="0083667D" w:rsidRPr="004F1396" w:rsidRDefault="0083667D" w:rsidP="00DF0EF9">
            <w:pPr>
              <w:rPr>
                <w:rFonts w:ascii="Times New Roman" w:hAnsi="Times New Roman" w:cs="Times New Roman"/>
                <w:b/>
                <w:bCs/>
                <w:color w:val="000000"/>
                <w:sz w:val="14"/>
                <w:szCs w:val="14"/>
                <w:lang w:eastAsia="sk-SK"/>
              </w:rPr>
            </w:pPr>
            <w:r w:rsidRPr="004F1396">
              <w:rPr>
                <w:rFonts w:ascii="Times New Roman" w:hAnsi="Times New Roman" w:cs="Times New Roman"/>
                <w:b/>
                <w:bCs/>
                <w:color w:val="000000"/>
                <w:sz w:val="14"/>
                <w:szCs w:val="14"/>
                <w:lang w:eastAsia="sk-SK"/>
              </w:rPr>
              <w:t>Nedaňové príjmy</w:t>
            </w:r>
          </w:p>
        </w:tc>
        <w:tc>
          <w:tcPr>
            <w:tcW w:w="582" w:type="pct"/>
            <w:shd w:val="clear" w:color="auto" w:fill="BFBFBF"/>
            <w:vAlign w:val="center"/>
          </w:tcPr>
          <w:p w:rsidR="0083667D" w:rsidRPr="00022A83" w:rsidRDefault="0083667D" w:rsidP="00DF0EF9">
            <w:pPr>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745 533</w:t>
            </w:r>
          </w:p>
        </w:tc>
        <w:tc>
          <w:tcPr>
            <w:tcW w:w="582" w:type="pct"/>
            <w:shd w:val="clear" w:color="auto" w:fill="BFBFBF"/>
            <w:vAlign w:val="center"/>
          </w:tcPr>
          <w:p w:rsidR="0083667D" w:rsidRPr="00612BDA" w:rsidRDefault="0083667D" w:rsidP="00DF0EF9">
            <w:pPr>
              <w:jc w:val="right"/>
              <w:rPr>
                <w:rFonts w:ascii="Times New Roman" w:hAnsi="Times New Roman" w:cs="Times New Roman"/>
                <w:b/>
                <w:bCs/>
                <w:color w:val="000000"/>
                <w:sz w:val="14"/>
                <w:szCs w:val="14"/>
                <w:highlight w:val="yellow"/>
              </w:rPr>
            </w:pPr>
            <w:r w:rsidRPr="00A75D65">
              <w:rPr>
                <w:rFonts w:ascii="Times New Roman" w:hAnsi="Times New Roman" w:cs="Times New Roman"/>
                <w:b/>
                <w:bCs/>
                <w:color w:val="000000"/>
                <w:sz w:val="14"/>
                <w:szCs w:val="14"/>
              </w:rPr>
              <w:t>786 389</w:t>
            </w:r>
          </w:p>
        </w:tc>
        <w:tc>
          <w:tcPr>
            <w:tcW w:w="582" w:type="pct"/>
            <w:shd w:val="clear" w:color="auto" w:fill="BFBFBF"/>
            <w:vAlign w:val="center"/>
          </w:tcPr>
          <w:p w:rsidR="0083667D" w:rsidRPr="000A6E88"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783 820</w:t>
            </w:r>
          </w:p>
        </w:tc>
        <w:tc>
          <w:tcPr>
            <w:tcW w:w="582" w:type="pct"/>
            <w:shd w:val="clear" w:color="auto" w:fill="BFBFBF"/>
            <w:vAlign w:val="center"/>
          </w:tcPr>
          <w:p w:rsidR="0083667D" w:rsidRPr="000A6E88"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732 141</w:t>
            </w:r>
          </w:p>
        </w:tc>
        <w:tc>
          <w:tcPr>
            <w:tcW w:w="582" w:type="pct"/>
            <w:shd w:val="clear" w:color="auto" w:fill="BFBFBF"/>
            <w:vAlign w:val="center"/>
          </w:tcPr>
          <w:p w:rsidR="0083667D" w:rsidRPr="000A6E88"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898 643</w:t>
            </w:r>
          </w:p>
        </w:tc>
        <w:tc>
          <w:tcPr>
            <w:tcW w:w="582" w:type="pct"/>
            <w:shd w:val="clear" w:color="auto" w:fill="BFBFBF"/>
            <w:vAlign w:val="center"/>
          </w:tcPr>
          <w:p w:rsidR="0083667D" w:rsidRPr="000A6E88"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815 707</w:t>
            </w:r>
          </w:p>
        </w:tc>
        <w:tc>
          <w:tcPr>
            <w:tcW w:w="579" w:type="pct"/>
            <w:shd w:val="clear" w:color="auto" w:fill="BFBFBF"/>
            <w:vAlign w:val="center"/>
          </w:tcPr>
          <w:p w:rsidR="0083667D" w:rsidRPr="000136AF"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811 447</w:t>
            </w:r>
          </w:p>
        </w:tc>
      </w:tr>
      <w:tr w:rsidR="0083667D" w:rsidRPr="004F1396" w:rsidTr="00DF0EF9">
        <w:trPr>
          <w:trHeight w:val="435"/>
        </w:trPr>
        <w:tc>
          <w:tcPr>
            <w:tcW w:w="928" w:type="pct"/>
            <w:vAlign w:val="center"/>
          </w:tcPr>
          <w:p w:rsidR="0083667D" w:rsidRPr="004F1396" w:rsidRDefault="0083667D" w:rsidP="00DF0EF9">
            <w:pPr>
              <w:rPr>
                <w:rFonts w:ascii="Times New Roman" w:hAnsi="Times New Roman" w:cs="Times New Roman"/>
                <w:color w:val="000000"/>
                <w:sz w:val="14"/>
                <w:szCs w:val="14"/>
                <w:lang w:eastAsia="sk-SK"/>
              </w:rPr>
            </w:pPr>
            <w:r w:rsidRPr="004F1396">
              <w:rPr>
                <w:rFonts w:ascii="Times New Roman" w:hAnsi="Times New Roman" w:cs="Times New Roman"/>
                <w:color w:val="000000"/>
                <w:sz w:val="14"/>
                <w:szCs w:val="14"/>
                <w:lang w:eastAsia="sk-SK"/>
              </w:rPr>
              <w:t>Iné príjmy z podnikania</w:t>
            </w:r>
          </w:p>
        </w:tc>
        <w:tc>
          <w:tcPr>
            <w:tcW w:w="582" w:type="pct"/>
            <w:vAlign w:val="center"/>
          </w:tcPr>
          <w:p w:rsidR="0083667D" w:rsidRPr="00022A83" w:rsidRDefault="0083667D" w:rsidP="00DF0EF9">
            <w:pPr>
              <w:jc w:val="right"/>
              <w:rPr>
                <w:rFonts w:ascii="Times New Roman" w:hAnsi="Times New Roman" w:cs="Times New Roman"/>
                <w:color w:val="000000"/>
                <w:sz w:val="14"/>
                <w:szCs w:val="14"/>
              </w:rPr>
            </w:pPr>
            <w:r w:rsidRPr="00493548">
              <w:rPr>
                <w:rFonts w:ascii="Times New Roman" w:hAnsi="Times New Roman" w:cs="Times New Roman"/>
                <w:sz w:val="14"/>
                <w:szCs w:val="14"/>
              </w:rPr>
              <w:t>12 699</w:t>
            </w:r>
          </w:p>
        </w:tc>
        <w:tc>
          <w:tcPr>
            <w:tcW w:w="582" w:type="pct"/>
            <w:vAlign w:val="center"/>
          </w:tcPr>
          <w:p w:rsidR="0083667D" w:rsidRPr="00612BDA" w:rsidRDefault="0083667D" w:rsidP="00DF0EF9">
            <w:pPr>
              <w:jc w:val="right"/>
              <w:rPr>
                <w:rFonts w:ascii="Times New Roman" w:hAnsi="Times New Roman" w:cs="Times New Roman"/>
                <w:color w:val="000000"/>
                <w:sz w:val="14"/>
                <w:szCs w:val="14"/>
                <w:highlight w:val="yellow"/>
              </w:rPr>
            </w:pPr>
            <w:r w:rsidRPr="00456004">
              <w:rPr>
                <w:rFonts w:ascii="Times New Roman" w:hAnsi="Times New Roman" w:cs="Times New Roman"/>
                <w:color w:val="000000"/>
                <w:sz w:val="14"/>
                <w:szCs w:val="14"/>
              </w:rPr>
              <w:t>7 131</w:t>
            </w:r>
          </w:p>
        </w:tc>
        <w:tc>
          <w:tcPr>
            <w:tcW w:w="582" w:type="pct"/>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5 509</w:t>
            </w:r>
          </w:p>
        </w:tc>
        <w:tc>
          <w:tcPr>
            <w:tcW w:w="582" w:type="pct"/>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5 520</w:t>
            </w:r>
          </w:p>
        </w:tc>
        <w:tc>
          <w:tcPr>
            <w:tcW w:w="582" w:type="pct"/>
            <w:vAlign w:val="center"/>
          </w:tcPr>
          <w:p w:rsidR="0083667D" w:rsidRPr="00022A83" w:rsidRDefault="0083667D" w:rsidP="00DF0EF9">
            <w:pPr>
              <w:jc w:val="right"/>
              <w:rPr>
                <w:rFonts w:ascii="Times New Roman" w:hAnsi="Times New Roman" w:cs="Times New Roman"/>
                <w:color w:val="000000"/>
                <w:sz w:val="14"/>
                <w:szCs w:val="14"/>
              </w:rPr>
            </w:pPr>
            <w:r w:rsidRPr="005F73C3">
              <w:rPr>
                <w:rFonts w:ascii="Times New Roman" w:hAnsi="Times New Roman" w:cs="Times New Roman"/>
                <w:color w:val="000000"/>
                <w:sz w:val="14"/>
                <w:szCs w:val="14"/>
              </w:rPr>
              <w:t>5 509</w:t>
            </w:r>
          </w:p>
        </w:tc>
        <w:tc>
          <w:tcPr>
            <w:tcW w:w="582" w:type="pct"/>
            <w:vAlign w:val="center"/>
          </w:tcPr>
          <w:p w:rsidR="0083667D" w:rsidRPr="00022A83" w:rsidRDefault="0083667D" w:rsidP="00DF0EF9">
            <w:pPr>
              <w:jc w:val="right"/>
              <w:rPr>
                <w:rFonts w:ascii="Times New Roman" w:hAnsi="Times New Roman" w:cs="Times New Roman"/>
                <w:color w:val="000000"/>
                <w:sz w:val="14"/>
                <w:szCs w:val="14"/>
              </w:rPr>
            </w:pPr>
            <w:r w:rsidRPr="005A56EA">
              <w:rPr>
                <w:rFonts w:ascii="Times New Roman" w:hAnsi="Times New Roman" w:cs="Times New Roman"/>
                <w:color w:val="000000"/>
                <w:sz w:val="14"/>
                <w:szCs w:val="14"/>
              </w:rPr>
              <w:t>5 509</w:t>
            </w:r>
          </w:p>
        </w:tc>
        <w:tc>
          <w:tcPr>
            <w:tcW w:w="579" w:type="pct"/>
            <w:vAlign w:val="center"/>
          </w:tcPr>
          <w:p w:rsidR="0083667D" w:rsidRPr="00022A83" w:rsidRDefault="0083667D" w:rsidP="00DF0EF9">
            <w:pPr>
              <w:jc w:val="right"/>
              <w:rPr>
                <w:rFonts w:ascii="Times New Roman" w:hAnsi="Times New Roman" w:cs="Times New Roman"/>
                <w:color w:val="000000"/>
                <w:sz w:val="14"/>
                <w:szCs w:val="14"/>
              </w:rPr>
            </w:pPr>
            <w:r w:rsidRPr="00E21DFB">
              <w:rPr>
                <w:rFonts w:ascii="Times New Roman" w:hAnsi="Times New Roman" w:cs="Times New Roman"/>
                <w:color w:val="000000"/>
                <w:sz w:val="14"/>
                <w:szCs w:val="14"/>
              </w:rPr>
              <w:t>5 509</w:t>
            </w:r>
          </w:p>
        </w:tc>
      </w:tr>
      <w:tr w:rsidR="0083667D" w:rsidRPr="004F1396" w:rsidTr="00DF0EF9">
        <w:trPr>
          <w:trHeight w:val="435"/>
        </w:trPr>
        <w:tc>
          <w:tcPr>
            <w:tcW w:w="928" w:type="pct"/>
            <w:vAlign w:val="center"/>
            <w:hideMark/>
          </w:tcPr>
          <w:p w:rsidR="0083667D" w:rsidRPr="004F1396" w:rsidRDefault="0083667D" w:rsidP="00DF0EF9">
            <w:pPr>
              <w:rPr>
                <w:rFonts w:ascii="Times New Roman" w:hAnsi="Times New Roman" w:cs="Times New Roman"/>
                <w:color w:val="000000"/>
                <w:sz w:val="14"/>
                <w:szCs w:val="14"/>
                <w:lang w:eastAsia="sk-SK"/>
              </w:rPr>
            </w:pPr>
            <w:r w:rsidRPr="004F1396">
              <w:rPr>
                <w:rFonts w:ascii="Times New Roman" w:hAnsi="Times New Roman" w:cs="Times New Roman"/>
                <w:color w:val="000000"/>
                <w:sz w:val="14"/>
                <w:szCs w:val="14"/>
                <w:lang w:eastAsia="sk-SK"/>
              </w:rPr>
              <w:t xml:space="preserve">Príjmy z vlastníctva </w:t>
            </w:r>
          </w:p>
        </w:tc>
        <w:tc>
          <w:tcPr>
            <w:tcW w:w="582" w:type="pct"/>
            <w:vAlign w:val="center"/>
          </w:tcPr>
          <w:p w:rsidR="0083667D" w:rsidRPr="00022A83" w:rsidRDefault="0083667D" w:rsidP="00DF0EF9">
            <w:pPr>
              <w:jc w:val="right"/>
              <w:rPr>
                <w:rFonts w:ascii="Times New Roman" w:hAnsi="Times New Roman" w:cs="Times New Roman"/>
                <w:color w:val="000000"/>
                <w:sz w:val="14"/>
                <w:szCs w:val="14"/>
              </w:rPr>
            </w:pPr>
            <w:r w:rsidRPr="00493548">
              <w:rPr>
                <w:rFonts w:ascii="Times New Roman" w:hAnsi="Times New Roman" w:cs="Times New Roman"/>
                <w:sz w:val="14"/>
                <w:szCs w:val="14"/>
              </w:rPr>
              <w:t>6 229</w:t>
            </w:r>
          </w:p>
        </w:tc>
        <w:tc>
          <w:tcPr>
            <w:tcW w:w="582" w:type="pct"/>
            <w:vAlign w:val="center"/>
          </w:tcPr>
          <w:p w:rsidR="0083667D" w:rsidRPr="00612BDA" w:rsidRDefault="0083667D" w:rsidP="00DF0EF9">
            <w:pPr>
              <w:jc w:val="right"/>
              <w:rPr>
                <w:rFonts w:ascii="Times New Roman" w:hAnsi="Times New Roman" w:cs="Times New Roman"/>
                <w:color w:val="000000"/>
                <w:sz w:val="14"/>
                <w:szCs w:val="14"/>
                <w:highlight w:val="yellow"/>
              </w:rPr>
            </w:pPr>
            <w:r w:rsidRPr="00456004">
              <w:rPr>
                <w:rFonts w:ascii="Times New Roman" w:hAnsi="Times New Roman" w:cs="Times New Roman"/>
                <w:color w:val="000000"/>
                <w:sz w:val="14"/>
                <w:szCs w:val="14"/>
              </w:rPr>
              <w:t>5 83</w:t>
            </w:r>
            <w:r>
              <w:rPr>
                <w:rFonts w:ascii="Times New Roman" w:hAnsi="Times New Roman" w:cs="Times New Roman"/>
                <w:color w:val="000000"/>
                <w:sz w:val="14"/>
                <w:szCs w:val="14"/>
              </w:rPr>
              <w:t>1</w:t>
            </w:r>
          </w:p>
        </w:tc>
        <w:tc>
          <w:tcPr>
            <w:tcW w:w="582" w:type="pct"/>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5 531</w:t>
            </w:r>
          </w:p>
        </w:tc>
        <w:tc>
          <w:tcPr>
            <w:tcW w:w="582" w:type="pct"/>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5 186</w:t>
            </w:r>
          </w:p>
        </w:tc>
        <w:tc>
          <w:tcPr>
            <w:tcW w:w="582" w:type="pct"/>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5 449</w:t>
            </w:r>
          </w:p>
        </w:tc>
        <w:tc>
          <w:tcPr>
            <w:tcW w:w="582" w:type="pct"/>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5 447</w:t>
            </w:r>
          </w:p>
        </w:tc>
        <w:tc>
          <w:tcPr>
            <w:tcW w:w="579" w:type="pct"/>
            <w:vAlign w:val="center"/>
          </w:tcPr>
          <w:p w:rsidR="0083667D" w:rsidRPr="00022A83" w:rsidRDefault="0083667D" w:rsidP="00DF0EF9">
            <w:pPr>
              <w:jc w:val="right"/>
              <w:rPr>
                <w:rFonts w:ascii="Times New Roman" w:hAnsi="Times New Roman" w:cs="Times New Roman"/>
                <w:color w:val="000000"/>
                <w:sz w:val="14"/>
                <w:szCs w:val="14"/>
              </w:rPr>
            </w:pPr>
            <w:r w:rsidRPr="00E21DFB">
              <w:rPr>
                <w:rFonts w:ascii="Times New Roman" w:hAnsi="Times New Roman" w:cs="Times New Roman"/>
                <w:color w:val="000000"/>
                <w:sz w:val="14"/>
                <w:szCs w:val="14"/>
              </w:rPr>
              <w:t>5 447</w:t>
            </w:r>
          </w:p>
        </w:tc>
      </w:tr>
      <w:tr w:rsidR="0083667D" w:rsidRPr="004F1396" w:rsidTr="00DF0EF9">
        <w:trPr>
          <w:trHeight w:val="435"/>
        </w:trPr>
        <w:tc>
          <w:tcPr>
            <w:tcW w:w="928" w:type="pct"/>
            <w:vAlign w:val="center"/>
            <w:hideMark/>
          </w:tcPr>
          <w:p w:rsidR="0083667D" w:rsidRPr="004F1396" w:rsidRDefault="0083667D" w:rsidP="00DF0EF9">
            <w:pPr>
              <w:rPr>
                <w:rFonts w:ascii="Times New Roman" w:hAnsi="Times New Roman" w:cs="Times New Roman"/>
                <w:color w:val="000000"/>
                <w:sz w:val="14"/>
                <w:szCs w:val="14"/>
                <w:lang w:eastAsia="sk-SK"/>
              </w:rPr>
            </w:pPr>
            <w:r w:rsidRPr="004F1396">
              <w:rPr>
                <w:rFonts w:ascii="Times New Roman" w:hAnsi="Times New Roman" w:cs="Times New Roman"/>
                <w:color w:val="000000"/>
                <w:sz w:val="14"/>
                <w:szCs w:val="14"/>
                <w:lang w:eastAsia="sk-SK"/>
              </w:rPr>
              <w:t>Administratívne a iné poplatky a platby</w:t>
            </w:r>
          </w:p>
        </w:tc>
        <w:tc>
          <w:tcPr>
            <w:tcW w:w="582" w:type="pct"/>
            <w:vAlign w:val="center"/>
          </w:tcPr>
          <w:p w:rsidR="0083667D" w:rsidRPr="00022A83" w:rsidRDefault="0083667D" w:rsidP="00DF0EF9">
            <w:pPr>
              <w:jc w:val="right"/>
              <w:rPr>
                <w:rFonts w:ascii="Times New Roman" w:hAnsi="Times New Roman" w:cs="Times New Roman"/>
                <w:color w:val="000000"/>
                <w:sz w:val="14"/>
                <w:szCs w:val="14"/>
              </w:rPr>
            </w:pPr>
            <w:r w:rsidRPr="007E2A41">
              <w:rPr>
                <w:rFonts w:ascii="Times New Roman" w:hAnsi="Times New Roman" w:cs="Times New Roman"/>
                <w:color w:val="000000"/>
                <w:sz w:val="14"/>
                <w:szCs w:val="14"/>
              </w:rPr>
              <w:t>337 394</w:t>
            </w:r>
          </w:p>
        </w:tc>
        <w:tc>
          <w:tcPr>
            <w:tcW w:w="582" w:type="pct"/>
            <w:vAlign w:val="center"/>
          </w:tcPr>
          <w:p w:rsidR="0083667D" w:rsidRPr="00612BDA" w:rsidRDefault="0083667D" w:rsidP="00DF0EF9">
            <w:pPr>
              <w:jc w:val="right"/>
              <w:rPr>
                <w:rFonts w:ascii="Times New Roman" w:hAnsi="Times New Roman" w:cs="Times New Roman"/>
                <w:color w:val="000000"/>
                <w:sz w:val="14"/>
                <w:szCs w:val="14"/>
                <w:highlight w:val="yellow"/>
              </w:rPr>
            </w:pPr>
            <w:r w:rsidRPr="00BD49DD">
              <w:rPr>
                <w:rFonts w:ascii="Times New Roman" w:hAnsi="Times New Roman" w:cs="Times New Roman"/>
                <w:color w:val="000000"/>
                <w:sz w:val="14"/>
                <w:szCs w:val="14"/>
              </w:rPr>
              <w:t>365 88</w:t>
            </w:r>
            <w:r>
              <w:rPr>
                <w:rFonts w:ascii="Times New Roman" w:hAnsi="Times New Roman" w:cs="Times New Roman"/>
                <w:color w:val="000000"/>
                <w:sz w:val="14"/>
                <w:szCs w:val="14"/>
              </w:rPr>
              <w:t>4</w:t>
            </w:r>
          </w:p>
        </w:tc>
        <w:tc>
          <w:tcPr>
            <w:tcW w:w="582" w:type="pct"/>
            <w:vAlign w:val="center"/>
          </w:tcPr>
          <w:p w:rsidR="0083667D" w:rsidRPr="00F26401" w:rsidRDefault="0083667D" w:rsidP="00DF0EF9">
            <w:pPr>
              <w:jc w:val="right"/>
              <w:rPr>
                <w:rFonts w:ascii="Times New Roman" w:hAnsi="Times New Roman" w:cs="Times New Roman"/>
                <w:color w:val="000000"/>
                <w:sz w:val="14"/>
                <w:szCs w:val="14"/>
                <w:highlight w:val="yellow"/>
              </w:rPr>
            </w:pPr>
            <w:r w:rsidRPr="00D54D34">
              <w:rPr>
                <w:rFonts w:ascii="Times New Roman" w:hAnsi="Times New Roman" w:cs="Times New Roman"/>
                <w:color w:val="000000"/>
                <w:sz w:val="14"/>
                <w:szCs w:val="14"/>
              </w:rPr>
              <w:t>338 616</w:t>
            </w:r>
          </w:p>
        </w:tc>
        <w:tc>
          <w:tcPr>
            <w:tcW w:w="582" w:type="pct"/>
            <w:vAlign w:val="center"/>
          </w:tcPr>
          <w:p w:rsidR="0083667D" w:rsidRPr="00F26401" w:rsidRDefault="0083667D" w:rsidP="00DF0EF9">
            <w:pPr>
              <w:jc w:val="right"/>
              <w:rPr>
                <w:rFonts w:ascii="Times New Roman" w:hAnsi="Times New Roman" w:cs="Times New Roman"/>
                <w:color w:val="000000"/>
                <w:sz w:val="14"/>
                <w:szCs w:val="14"/>
                <w:highlight w:val="yellow"/>
              </w:rPr>
            </w:pPr>
            <w:r w:rsidRPr="003639EB">
              <w:rPr>
                <w:rFonts w:ascii="Times New Roman" w:hAnsi="Times New Roman" w:cs="Times New Roman"/>
                <w:color w:val="000000"/>
                <w:sz w:val="14"/>
                <w:szCs w:val="14"/>
              </w:rPr>
              <w:t>336 274</w:t>
            </w:r>
          </w:p>
        </w:tc>
        <w:tc>
          <w:tcPr>
            <w:tcW w:w="582" w:type="pct"/>
            <w:vAlign w:val="center"/>
          </w:tcPr>
          <w:p w:rsidR="0083667D" w:rsidRPr="00CB4F85" w:rsidRDefault="0083667D" w:rsidP="00DF0EF9">
            <w:pPr>
              <w:jc w:val="right"/>
              <w:rPr>
                <w:rFonts w:ascii="Times New Roman" w:hAnsi="Times New Roman" w:cs="Times New Roman"/>
                <w:color w:val="000000"/>
                <w:sz w:val="14"/>
                <w:szCs w:val="14"/>
              </w:rPr>
            </w:pPr>
            <w:r w:rsidRPr="00CB4F85">
              <w:rPr>
                <w:rFonts w:ascii="Times New Roman" w:hAnsi="Times New Roman" w:cs="Times New Roman"/>
                <w:color w:val="000000"/>
                <w:sz w:val="14"/>
                <w:szCs w:val="14"/>
              </w:rPr>
              <w:t>416 716</w:t>
            </w:r>
          </w:p>
        </w:tc>
        <w:tc>
          <w:tcPr>
            <w:tcW w:w="582" w:type="pct"/>
            <w:vAlign w:val="center"/>
          </w:tcPr>
          <w:p w:rsidR="0083667D" w:rsidRPr="005A56EA" w:rsidRDefault="0083667D" w:rsidP="00DF0EF9">
            <w:pPr>
              <w:jc w:val="right"/>
              <w:rPr>
                <w:rFonts w:ascii="Times New Roman" w:hAnsi="Times New Roman" w:cs="Times New Roman"/>
                <w:color w:val="000000"/>
                <w:sz w:val="14"/>
                <w:szCs w:val="14"/>
              </w:rPr>
            </w:pPr>
            <w:r w:rsidRPr="005A56EA">
              <w:rPr>
                <w:rFonts w:ascii="Times New Roman" w:hAnsi="Times New Roman" w:cs="Times New Roman"/>
                <w:color w:val="000000"/>
                <w:sz w:val="14"/>
                <w:szCs w:val="14"/>
              </w:rPr>
              <w:t>373 028</w:t>
            </w:r>
          </w:p>
        </w:tc>
        <w:tc>
          <w:tcPr>
            <w:tcW w:w="579" w:type="pct"/>
            <w:vAlign w:val="center"/>
          </w:tcPr>
          <w:p w:rsidR="0083667D" w:rsidRPr="00E21DFB" w:rsidRDefault="0083667D" w:rsidP="00DF0EF9">
            <w:pPr>
              <w:jc w:val="right"/>
              <w:rPr>
                <w:rFonts w:ascii="Times New Roman" w:hAnsi="Times New Roman" w:cs="Times New Roman"/>
                <w:color w:val="000000"/>
                <w:sz w:val="14"/>
                <w:szCs w:val="14"/>
              </w:rPr>
            </w:pPr>
            <w:r w:rsidRPr="00E21DFB">
              <w:rPr>
                <w:rFonts w:ascii="Times New Roman" w:hAnsi="Times New Roman" w:cs="Times New Roman"/>
                <w:color w:val="000000"/>
                <w:sz w:val="14"/>
                <w:szCs w:val="14"/>
              </w:rPr>
              <w:t>356 525</w:t>
            </w:r>
          </w:p>
        </w:tc>
      </w:tr>
      <w:tr w:rsidR="0083667D" w:rsidRPr="004F1396" w:rsidTr="00DF0EF9">
        <w:trPr>
          <w:trHeight w:val="345"/>
        </w:trPr>
        <w:tc>
          <w:tcPr>
            <w:tcW w:w="928" w:type="pct"/>
            <w:vAlign w:val="center"/>
            <w:hideMark/>
          </w:tcPr>
          <w:p w:rsidR="0083667D" w:rsidRPr="004F1396" w:rsidRDefault="0083667D" w:rsidP="00DF0EF9">
            <w:pPr>
              <w:rPr>
                <w:rFonts w:ascii="Times New Roman" w:hAnsi="Times New Roman" w:cs="Times New Roman"/>
                <w:color w:val="000000"/>
                <w:sz w:val="14"/>
                <w:szCs w:val="14"/>
                <w:lang w:eastAsia="sk-SK"/>
              </w:rPr>
            </w:pPr>
            <w:r w:rsidRPr="004F1396">
              <w:rPr>
                <w:rFonts w:ascii="Times New Roman" w:hAnsi="Times New Roman" w:cs="Times New Roman"/>
                <w:color w:val="000000"/>
                <w:sz w:val="14"/>
                <w:szCs w:val="14"/>
                <w:lang w:eastAsia="sk-SK"/>
              </w:rPr>
              <w:t>Kapitálové príjmy</w:t>
            </w:r>
          </w:p>
        </w:tc>
        <w:tc>
          <w:tcPr>
            <w:tcW w:w="582" w:type="pct"/>
            <w:vAlign w:val="center"/>
          </w:tcPr>
          <w:p w:rsidR="0083667D" w:rsidRPr="00022A83" w:rsidRDefault="0083667D" w:rsidP="00DF0EF9">
            <w:pPr>
              <w:jc w:val="right"/>
              <w:rPr>
                <w:rFonts w:ascii="Times New Roman" w:hAnsi="Times New Roman" w:cs="Times New Roman"/>
                <w:color w:val="000000"/>
                <w:sz w:val="14"/>
                <w:szCs w:val="14"/>
              </w:rPr>
            </w:pPr>
            <w:r w:rsidRPr="00ED31EE">
              <w:rPr>
                <w:rFonts w:ascii="Times New Roman" w:hAnsi="Times New Roman" w:cs="Times New Roman"/>
                <w:color w:val="000000"/>
                <w:sz w:val="14"/>
                <w:szCs w:val="14"/>
              </w:rPr>
              <w:t>19 692</w:t>
            </w:r>
          </w:p>
        </w:tc>
        <w:tc>
          <w:tcPr>
            <w:tcW w:w="582" w:type="pct"/>
            <w:vAlign w:val="center"/>
          </w:tcPr>
          <w:p w:rsidR="0083667D" w:rsidRPr="00612BDA" w:rsidRDefault="0083667D" w:rsidP="00DF0EF9">
            <w:pPr>
              <w:jc w:val="right"/>
              <w:rPr>
                <w:rFonts w:ascii="Times New Roman" w:hAnsi="Times New Roman" w:cs="Times New Roman"/>
                <w:color w:val="000000"/>
                <w:sz w:val="14"/>
                <w:szCs w:val="14"/>
                <w:highlight w:val="yellow"/>
              </w:rPr>
            </w:pPr>
            <w:r w:rsidRPr="00F33507">
              <w:rPr>
                <w:rFonts w:ascii="Times New Roman" w:hAnsi="Times New Roman" w:cs="Times New Roman"/>
                <w:color w:val="000000"/>
                <w:sz w:val="14"/>
                <w:szCs w:val="14"/>
              </w:rPr>
              <w:t>11 748</w:t>
            </w:r>
          </w:p>
        </w:tc>
        <w:tc>
          <w:tcPr>
            <w:tcW w:w="582" w:type="pct"/>
            <w:vAlign w:val="center"/>
          </w:tcPr>
          <w:p w:rsidR="0083667D" w:rsidRPr="00022A83" w:rsidRDefault="0083667D" w:rsidP="00DF0EF9">
            <w:pPr>
              <w:jc w:val="right"/>
              <w:rPr>
                <w:rFonts w:ascii="Times New Roman" w:hAnsi="Times New Roman" w:cs="Times New Roman"/>
                <w:color w:val="000000"/>
                <w:sz w:val="14"/>
                <w:szCs w:val="14"/>
              </w:rPr>
            </w:pPr>
            <w:r w:rsidRPr="00D54D34">
              <w:rPr>
                <w:rFonts w:ascii="Times New Roman" w:hAnsi="Times New Roman" w:cs="Times New Roman"/>
                <w:color w:val="000000"/>
                <w:sz w:val="14"/>
                <w:szCs w:val="14"/>
              </w:rPr>
              <w:t>44 488</w:t>
            </w:r>
          </w:p>
        </w:tc>
        <w:tc>
          <w:tcPr>
            <w:tcW w:w="582" w:type="pct"/>
            <w:vAlign w:val="center"/>
          </w:tcPr>
          <w:p w:rsidR="0083667D" w:rsidRPr="00022A83" w:rsidRDefault="0083667D" w:rsidP="00DF0EF9">
            <w:pPr>
              <w:jc w:val="right"/>
              <w:rPr>
                <w:rFonts w:ascii="Times New Roman" w:hAnsi="Times New Roman" w:cs="Times New Roman"/>
                <w:color w:val="000000"/>
                <w:sz w:val="14"/>
                <w:szCs w:val="14"/>
              </w:rPr>
            </w:pPr>
            <w:r w:rsidRPr="003639EB">
              <w:rPr>
                <w:rFonts w:ascii="Times New Roman" w:hAnsi="Times New Roman" w:cs="Times New Roman"/>
                <w:color w:val="000000"/>
                <w:sz w:val="14"/>
                <w:szCs w:val="14"/>
              </w:rPr>
              <w:t>45 641</w:t>
            </w:r>
          </w:p>
        </w:tc>
        <w:tc>
          <w:tcPr>
            <w:tcW w:w="582" w:type="pct"/>
            <w:vAlign w:val="center"/>
          </w:tcPr>
          <w:p w:rsidR="0083667D" w:rsidRPr="00CB4F85"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52 691</w:t>
            </w:r>
          </w:p>
        </w:tc>
        <w:tc>
          <w:tcPr>
            <w:tcW w:w="582" w:type="pct"/>
            <w:vAlign w:val="center"/>
          </w:tcPr>
          <w:p w:rsidR="0083667D" w:rsidRPr="005A56EA"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45 191</w:t>
            </w:r>
          </w:p>
        </w:tc>
        <w:tc>
          <w:tcPr>
            <w:tcW w:w="579" w:type="pct"/>
            <w:vAlign w:val="center"/>
          </w:tcPr>
          <w:p w:rsidR="0083667D" w:rsidRPr="00E21DFB" w:rsidRDefault="0083667D" w:rsidP="00DF0EF9">
            <w:pPr>
              <w:jc w:val="right"/>
              <w:rPr>
                <w:rFonts w:ascii="Times New Roman" w:hAnsi="Times New Roman" w:cs="Times New Roman"/>
                <w:color w:val="000000"/>
                <w:sz w:val="14"/>
                <w:szCs w:val="14"/>
              </w:rPr>
            </w:pPr>
            <w:r w:rsidRPr="00E21DFB">
              <w:rPr>
                <w:rFonts w:ascii="Times New Roman" w:hAnsi="Times New Roman" w:cs="Times New Roman"/>
                <w:color w:val="000000"/>
                <w:sz w:val="14"/>
                <w:szCs w:val="14"/>
              </w:rPr>
              <w:t>45 191</w:t>
            </w:r>
          </w:p>
        </w:tc>
      </w:tr>
      <w:tr w:rsidR="0083667D" w:rsidRPr="004F1396" w:rsidTr="00DF0EF9">
        <w:trPr>
          <w:trHeight w:val="585"/>
        </w:trPr>
        <w:tc>
          <w:tcPr>
            <w:tcW w:w="928" w:type="pct"/>
            <w:vAlign w:val="center"/>
            <w:hideMark/>
          </w:tcPr>
          <w:p w:rsidR="0083667D" w:rsidRPr="004F1396" w:rsidRDefault="0083667D" w:rsidP="00DF0EF9">
            <w:pPr>
              <w:rPr>
                <w:rFonts w:ascii="Times New Roman" w:hAnsi="Times New Roman" w:cs="Times New Roman"/>
                <w:color w:val="000000"/>
                <w:sz w:val="14"/>
                <w:szCs w:val="14"/>
                <w:lang w:eastAsia="sk-SK"/>
              </w:rPr>
            </w:pPr>
            <w:r w:rsidRPr="004F1396">
              <w:rPr>
                <w:rFonts w:ascii="Times New Roman" w:hAnsi="Times New Roman" w:cs="Times New Roman"/>
                <w:color w:val="000000"/>
                <w:sz w:val="14"/>
                <w:szCs w:val="14"/>
                <w:lang w:eastAsia="sk-SK"/>
              </w:rPr>
              <w:t>Úroky z tuzem. a zahr. úverov, pôžičiek a vkladov</w:t>
            </w:r>
          </w:p>
        </w:tc>
        <w:tc>
          <w:tcPr>
            <w:tcW w:w="582" w:type="pct"/>
            <w:vAlign w:val="center"/>
          </w:tcPr>
          <w:p w:rsidR="0083667D" w:rsidRPr="00022A83" w:rsidRDefault="0083667D" w:rsidP="00DF0EF9">
            <w:pPr>
              <w:jc w:val="right"/>
              <w:rPr>
                <w:rFonts w:ascii="Times New Roman" w:hAnsi="Times New Roman" w:cs="Times New Roman"/>
                <w:color w:val="000000"/>
                <w:sz w:val="14"/>
                <w:szCs w:val="14"/>
              </w:rPr>
            </w:pPr>
            <w:r w:rsidRPr="00ED31EE">
              <w:rPr>
                <w:rFonts w:ascii="Times New Roman" w:hAnsi="Times New Roman" w:cs="Times New Roman"/>
                <w:color w:val="000000"/>
                <w:sz w:val="14"/>
                <w:szCs w:val="14"/>
              </w:rPr>
              <w:t>9 05</w:t>
            </w:r>
            <w:r>
              <w:rPr>
                <w:rFonts w:ascii="Times New Roman" w:hAnsi="Times New Roman" w:cs="Times New Roman"/>
                <w:color w:val="000000"/>
                <w:sz w:val="14"/>
                <w:szCs w:val="14"/>
              </w:rPr>
              <w:t>2</w:t>
            </w:r>
          </w:p>
        </w:tc>
        <w:tc>
          <w:tcPr>
            <w:tcW w:w="582" w:type="pct"/>
            <w:vAlign w:val="center"/>
          </w:tcPr>
          <w:p w:rsidR="0083667D" w:rsidRPr="00612BDA" w:rsidRDefault="0083667D" w:rsidP="00DF0EF9">
            <w:pPr>
              <w:jc w:val="right"/>
              <w:rPr>
                <w:rFonts w:ascii="Times New Roman" w:hAnsi="Times New Roman" w:cs="Times New Roman"/>
                <w:color w:val="000000"/>
                <w:sz w:val="14"/>
                <w:szCs w:val="14"/>
                <w:highlight w:val="yellow"/>
              </w:rPr>
            </w:pPr>
            <w:r w:rsidRPr="00F5106F">
              <w:rPr>
                <w:rFonts w:ascii="Times New Roman" w:hAnsi="Times New Roman" w:cs="Times New Roman"/>
                <w:color w:val="000000"/>
                <w:sz w:val="14"/>
                <w:szCs w:val="14"/>
              </w:rPr>
              <w:t>28 619</w:t>
            </w:r>
          </w:p>
        </w:tc>
        <w:tc>
          <w:tcPr>
            <w:tcW w:w="582" w:type="pct"/>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7 125</w:t>
            </w:r>
          </w:p>
        </w:tc>
        <w:tc>
          <w:tcPr>
            <w:tcW w:w="582" w:type="pct"/>
            <w:vAlign w:val="center"/>
          </w:tcPr>
          <w:p w:rsidR="0083667D" w:rsidRPr="00022A83" w:rsidRDefault="0083667D" w:rsidP="00DF0EF9">
            <w:pPr>
              <w:jc w:val="right"/>
              <w:rPr>
                <w:rFonts w:ascii="Times New Roman" w:hAnsi="Times New Roman" w:cs="Times New Roman"/>
                <w:color w:val="000000"/>
                <w:sz w:val="14"/>
                <w:szCs w:val="14"/>
              </w:rPr>
            </w:pPr>
            <w:r w:rsidRPr="001E332A">
              <w:rPr>
                <w:rFonts w:ascii="Times New Roman" w:hAnsi="Times New Roman" w:cs="Times New Roman"/>
                <w:color w:val="000000"/>
                <w:sz w:val="14"/>
                <w:szCs w:val="14"/>
              </w:rPr>
              <w:t>7 578</w:t>
            </w:r>
          </w:p>
        </w:tc>
        <w:tc>
          <w:tcPr>
            <w:tcW w:w="582" w:type="pct"/>
            <w:vAlign w:val="center"/>
          </w:tcPr>
          <w:p w:rsidR="0083667D" w:rsidRPr="00CB4F85"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6 754</w:t>
            </w:r>
          </w:p>
        </w:tc>
        <w:tc>
          <w:tcPr>
            <w:tcW w:w="582" w:type="pct"/>
            <w:vAlign w:val="center"/>
          </w:tcPr>
          <w:p w:rsidR="0083667D" w:rsidRPr="005A56EA"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6 963</w:t>
            </w:r>
          </w:p>
        </w:tc>
        <w:tc>
          <w:tcPr>
            <w:tcW w:w="579" w:type="pct"/>
            <w:vAlign w:val="center"/>
          </w:tcPr>
          <w:p w:rsidR="0083667D" w:rsidRPr="00E21DF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19 172</w:t>
            </w:r>
          </w:p>
        </w:tc>
      </w:tr>
      <w:tr w:rsidR="0083667D" w:rsidTr="00DF0EF9">
        <w:trPr>
          <w:trHeight w:val="345"/>
        </w:trPr>
        <w:tc>
          <w:tcPr>
            <w:tcW w:w="928" w:type="pct"/>
            <w:vAlign w:val="center"/>
            <w:hideMark/>
          </w:tcPr>
          <w:p w:rsidR="0083667D" w:rsidRPr="004F1396" w:rsidRDefault="0083667D" w:rsidP="00DF0EF9">
            <w:pPr>
              <w:rPr>
                <w:rFonts w:ascii="Times New Roman" w:hAnsi="Times New Roman" w:cs="Times New Roman"/>
                <w:color w:val="000000"/>
                <w:sz w:val="14"/>
                <w:szCs w:val="14"/>
                <w:lang w:eastAsia="sk-SK"/>
              </w:rPr>
            </w:pPr>
            <w:r w:rsidRPr="004F1396">
              <w:rPr>
                <w:rFonts w:ascii="Times New Roman" w:hAnsi="Times New Roman" w:cs="Times New Roman"/>
                <w:color w:val="000000"/>
                <w:sz w:val="14"/>
                <w:szCs w:val="14"/>
                <w:lang w:eastAsia="sk-SK"/>
              </w:rPr>
              <w:t>Iné nedaňové príjmy</w:t>
            </w:r>
          </w:p>
        </w:tc>
        <w:tc>
          <w:tcPr>
            <w:tcW w:w="582" w:type="pct"/>
            <w:vAlign w:val="center"/>
          </w:tcPr>
          <w:p w:rsidR="0083667D" w:rsidRPr="00022A83" w:rsidRDefault="0083667D" w:rsidP="00DF0EF9">
            <w:pPr>
              <w:jc w:val="right"/>
              <w:rPr>
                <w:rFonts w:ascii="Times New Roman" w:hAnsi="Times New Roman" w:cs="Times New Roman"/>
                <w:color w:val="000000"/>
                <w:sz w:val="14"/>
                <w:szCs w:val="14"/>
              </w:rPr>
            </w:pPr>
            <w:r w:rsidRPr="00ED31EE">
              <w:rPr>
                <w:rFonts w:ascii="Times New Roman" w:hAnsi="Times New Roman" w:cs="Times New Roman"/>
                <w:color w:val="000000"/>
                <w:sz w:val="14"/>
                <w:szCs w:val="14"/>
              </w:rPr>
              <w:t>360 467</w:t>
            </w:r>
          </w:p>
        </w:tc>
        <w:tc>
          <w:tcPr>
            <w:tcW w:w="582" w:type="pct"/>
            <w:vAlign w:val="center"/>
          </w:tcPr>
          <w:p w:rsidR="0083667D" w:rsidRPr="00612BDA" w:rsidRDefault="0083667D" w:rsidP="00DF0EF9">
            <w:pPr>
              <w:jc w:val="right"/>
              <w:rPr>
                <w:rFonts w:ascii="Times New Roman" w:hAnsi="Times New Roman" w:cs="Times New Roman"/>
                <w:color w:val="000000"/>
                <w:sz w:val="14"/>
                <w:szCs w:val="14"/>
                <w:highlight w:val="yellow"/>
              </w:rPr>
            </w:pPr>
            <w:r w:rsidRPr="00F33507">
              <w:rPr>
                <w:rFonts w:ascii="Times New Roman" w:hAnsi="Times New Roman" w:cs="Times New Roman"/>
                <w:color w:val="000000"/>
                <w:sz w:val="14"/>
                <w:szCs w:val="14"/>
              </w:rPr>
              <w:t>367 176</w:t>
            </w:r>
          </w:p>
        </w:tc>
        <w:tc>
          <w:tcPr>
            <w:tcW w:w="582" w:type="pct"/>
            <w:vAlign w:val="center"/>
          </w:tcPr>
          <w:p w:rsidR="0083667D" w:rsidRPr="00C50A5C" w:rsidRDefault="0083667D" w:rsidP="00DF0EF9">
            <w:pPr>
              <w:jc w:val="right"/>
              <w:rPr>
                <w:rFonts w:ascii="Times New Roman" w:hAnsi="Times New Roman" w:cs="Times New Roman"/>
                <w:color w:val="000000"/>
                <w:sz w:val="14"/>
                <w:szCs w:val="14"/>
              </w:rPr>
            </w:pPr>
            <w:r w:rsidRPr="00D54D34">
              <w:rPr>
                <w:rFonts w:ascii="Times New Roman" w:hAnsi="Times New Roman" w:cs="Times New Roman"/>
                <w:color w:val="000000"/>
                <w:sz w:val="14"/>
                <w:szCs w:val="14"/>
              </w:rPr>
              <w:t>382 551</w:t>
            </w:r>
          </w:p>
        </w:tc>
        <w:tc>
          <w:tcPr>
            <w:tcW w:w="582" w:type="pct"/>
            <w:vAlign w:val="center"/>
          </w:tcPr>
          <w:p w:rsidR="0083667D" w:rsidRPr="00C50A5C" w:rsidRDefault="0083667D" w:rsidP="00DF0EF9">
            <w:pPr>
              <w:jc w:val="right"/>
              <w:rPr>
                <w:rFonts w:ascii="Times New Roman" w:hAnsi="Times New Roman" w:cs="Times New Roman"/>
                <w:color w:val="000000"/>
                <w:sz w:val="14"/>
                <w:szCs w:val="14"/>
              </w:rPr>
            </w:pPr>
            <w:r w:rsidRPr="003639EB">
              <w:rPr>
                <w:rFonts w:ascii="Times New Roman" w:hAnsi="Times New Roman" w:cs="Times New Roman"/>
                <w:color w:val="000000"/>
                <w:sz w:val="14"/>
                <w:szCs w:val="14"/>
              </w:rPr>
              <w:t>331 942</w:t>
            </w:r>
          </w:p>
        </w:tc>
        <w:tc>
          <w:tcPr>
            <w:tcW w:w="582" w:type="pct"/>
            <w:vAlign w:val="center"/>
          </w:tcPr>
          <w:p w:rsidR="0083667D" w:rsidRPr="00CB4F85"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411 524</w:t>
            </w:r>
          </w:p>
        </w:tc>
        <w:tc>
          <w:tcPr>
            <w:tcW w:w="582" w:type="pct"/>
            <w:vAlign w:val="center"/>
          </w:tcPr>
          <w:p w:rsidR="0083667D" w:rsidRPr="005A56EA"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379 569</w:t>
            </w:r>
          </w:p>
        </w:tc>
        <w:tc>
          <w:tcPr>
            <w:tcW w:w="579" w:type="pct"/>
            <w:vAlign w:val="center"/>
          </w:tcPr>
          <w:p w:rsidR="0083667D" w:rsidRPr="00E21DF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379 603</w:t>
            </w:r>
          </w:p>
        </w:tc>
      </w:tr>
    </w:tbl>
    <w:p w:rsidR="0083667D" w:rsidRDefault="0083667D" w:rsidP="0083667D">
      <w:pPr>
        <w:ind w:firstLine="708"/>
        <w:jc w:val="both"/>
        <w:rPr>
          <w:rFonts w:ascii="Times New Roman" w:hAnsi="Times New Roman"/>
          <w:i/>
          <w:szCs w:val="22"/>
        </w:rPr>
      </w:pPr>
    </w:p>
    <w:p w:rsidR="0083667D" w:rsidRDefault="0083667D" w:rsidP="0083667D">
      <w:pPr>
        <w:ind w:firstLine="708"/>
        <w:jc w:val="both"/>
        <w:rPr>
          <w:rFonts w:ascii="Times New Roman" w:hAnsi="Times New Roman"/>
          <w:b/>
          <w:i/>
          <w:szCs w:val="22"/>
        </w:rPr>
      </w:pPr>
      <w:r>
        <w:rPr>
          <w:rFonts w:ascii="Times New Roman" w:hAnsi="Times New Roman"/>
          <w:b/>
          <w:i/>
          <w:szCs w:val="22"/>
        </w:rPr>
        <w:t>Iné príjmy z podnikania</w:t>
      </w:r>
    </w:p>
    <w:p w:rsidR="0083667D" w:rsidRDefault="0083667D" w:rsidP="0083667D">
      <w:pPr>
        <w:ind w:firstLine="708"/>
        <w:jc w:val="both"/>
        <w:rPr>
          <w:rFonts w:ascii="Times New Roman" w:hAnsi="Times New Roman"/>
          <w:b/>
          <w:i/>
          <w:szCs w:val="22"/>
        </w:rPr>
      </w:pPr>
    </w:p>
    <w:p w:rsidR="0083667D" w:rsidRDefault="0083667D" w:rsidP="0083667D">
      <w:pPr>
        <w:ind w:firstLine="708"/>
        <w:jc w:val="both"/>
        <w:rPr>
          <w:rFonts w:ascii="Times New Roman" w:hAnsi="Times New Roman"/>
          <w:szCs w:val="22"/>
        </w:rPr>
      </w:pPr>
      <w:r w:rsidRPr="001A1EA6">
        <w:rPr>
          <w:rFonts w:ascii="Times New Roman" w:hAnsi="Times New Roman"/>
          <w:szCs w:val="22"/>
        </w:rPr>
        <w:t xml:space="preserve">Tieto príjmy zahŕňajú najmä osobitný odvod zo zisku po zdanení, ktorý odvedú Lesy Slovenskej republiky, š. p., </w:t>
      </w:r>
      <w:r w:rsidRPr="00D831E8">
        <w:rPr>
          <w:rFonts w:ascii="Times New Roman" w:hAnsi="Times New Roman"/>
          <w:szCs w:val="22"/>
        </w:rPr>
        <w:t>Eximbanka SR</w:t>
      </w:r>
      <w:r w:rsidRPr="001A1EA6">
        <w:rPr>
          <w:rFonts w:ascii="Times New Roman" w:hAnsi="Times New Roman"/>
          <w:szCs w:val="22"/>
        </w:rPr>
        <w:t xml:space="preserve"> a Vodohospodárska výstavba, š. p.</w:t>
      </w:r>
    </w:p>
    <w:p w:rsidR="0083667D" w:rsidRPr="00606AC6" w:rsidRDefault="0083667D" w:rsidP="0083667D">
      <w:pPr>
        <w:ind w:firstLine="708"/>
        <w:jc w:val="both"/>
        <w:rPr>
          <w:rFonts w:ascii="Times New Roman" w:hAnsi="Times New Roman"/>
          <w:szCs w:val="22"/>
        </w:rPr>
      </w:pPr>
    </w:p>
    <w:p w:rsidR="0083667D" w:rsidRDefault="0083667D" w:rsidP="0083667D">
      <w:pPr>
        <w:ind w:firstLine="708"/>
        <w:jc w:val="both"/>
        <w:rPr>
          <w:rFonts w:ascii="Times New Roman" w:hAnsi="Times New Roman"/>
          <w:b/>
          <w:i/>
          <w:szCs w:val="22"/>
        </w:rPr>
      </w:pPr>
      <w:r>
        <w:rPr>
          <w:rFonts w:ascii="Times New Roman" w:hAnsi="Times New Roman"/>
          <w:b/>
          <w:i/>
          <w:szCs w:val="22"/>
        </w:rPr>
        <w:t>Príjmy z vlastníctva</w:t>
      </w:r>
    </w:p>
    <w:p w:rsidR="0083667D" w:rsidRDefault="0083667D" w:rsidP="0083667D">
      <w:pPr>
        <w:ind w:firstLine="708"/>
        <w:jc w:val="both"/>
        <w:rPr>
          <w:rFonts w:ascii="Times New Roman" w:hAnsi="Times New Roman"/>
          <w:b/>
          <w:i/>
          <w:szCs w:val="22"/>
        </w:rPr>
      </w:pPr>
    </w:p>
    <w:p w:rsidR="0083667D" w:rsidRDefault="0083667D" w:rsidP="0083667D">
      <w:pPr>
        <w:ind w:firstLine="708"/>
        <w:jc w:val="both"/>
        <w:rPr>
          <w:rFonts w:ascii="Times New Roman" w:hAnsi="Times New Roman"/>
          <w:szCs w:val="22"/>
        </w:rPr>
      </w:pPr>
      <w:r>
        <w:rPr>
          <w:rFonts w:ascii="Times New Roman" w:hAnsi="Times New Roman"/>
          <w:szCs w:val="22"/>
        </w:rPr>
        <w:t xml:space="preserve">Uvedené príjmy sa na rok 2019 rozpočtujú vo výške </w:t>
      </w:r>
      <w:r w:rsidRPr="00CB4F85">
        <w:rPr>
          <w:rFonts w:ascii="Times New Roman" w:hAnsi="Times New Roman"/>
          <w:szCs w:val="22"/>
        </w:rPr>
        <w:t>5,4</w:t>
      </w:r>
      <w:r w:rsidR="000509BB">
        <w:rPr>
          <w:rFonts w:ascii="Times New Roman" w:hAnsi="Times New Roman"/>
          <w:szCs w:val="22"/>
        </w:rPr>
        <w:t>5</w:t>
      </w:r>
      <w:r w:rsidRPr="00850716">
        <w:rPr>
          <w:rFonts w:ascii="Times New Roman" w:hAnsi="Times New Roman"/>
          <w:szCs w:val="22"/>
        </w:rPr>
        <w:t xml:space="preserve"> mil. eur</w:t>
      </w:r>
      <w:r>
        <w:rPr>
          <w:rFonts w:ascii="Times New Roman" w:hAnsi="Times New Roman"/>
          <w:szCs w:val="22"/>
        </w:rPr>
        <w:t>. Ide predovšetkým o príjmy z prenajatých pozemkov, budov, strojov a pod.</w:t>
      </w:r>
    </w:p>
    <w:p w:rsidR="0083667D" w:rsidRDefault="0083667D" w:rsidP="0083667D">
      <w:pPr>
        <w:ind w:firstLine="708"/>
        <w:jc w:val="both"/>
        <w:rPr>
          <w:rFonts w:ascii="Times New Roman" w:hAnsi="Times New Roman"/>
          <w:b/>
          <w:i/>
          <w:szCs w:val="22"/>
        </w:rPr>
      </w:pPr>
    </w:p>
    <w:p w:rsidR="0083667D" w:rsidRDefault="0083667D" w:rsidP="0083667D">
      <w:pPr>
        <w:ind w:firstLine="708"/>
        <w:jc w:val="both"/>
        <w:rPr>
          <w:rFonts w:ascii="Times New Roman" w:hAnsi="Times New Roman"/>
          <w:b/>
          <w:i/>
          <w:szCs w:val="22"/>
        </w:rPr>
      </w:pPr>
      <w:r w:rsidRPr="00D85DA6">
        <w:rPr>
          <w:rFonts w:ascii="Times New Roman" w:hAnsi="Times New Roman"/>
          <w:b/>
          <w:i/>
          <w:szCs w:val="22"/>
        </w:rPr>
        <w:t>Administratívne poplatky a iné poplatky a</w:t>
      </w:r>
      <w:r>
        <w:rPr>
          <w:rFonts w:ascii="Times New Roman" w:hAnsi="Times New Roman"/>
          <w:b/>
          <w:i/>
          <w:szCs w:val="22"/>
        </w:rPr>
        <w:t> </w:t>
      </w:r>
      <w:r w:rsidRPr="00D85DA6">
        <w:rPr>
          <w:rFonts w:ascii="Times New Roman" w:hAnsi="Times New Roman"/>
          <w:b/>
          <w:i/>
          <w:szCs w:val="22"/>
        </w:rPr>
        <w:t>platby</w:t>
      </w:r>
    </w:p>
    <w:p w:rsidR="0083667D" w:rsidRDefault="0083667D" w:rsidP="0083667D">
      <w:pPr>
        <w:ind w:firstLine="708"/>
        <w:jc w:val="both"/>
        <w:rPr>
          <w:rFonts w:ascii="Times New Roman" w:hAnsi="Times New Roman"/>
          <w:b/>
          <w:i/>
          <w:szCs w:val="22"/>
        </w:rPr>
      </w:pPr>
    </w:p>
    <w:p w:rsidR="0083667D" w:rsidRPr="00413384" w:rsidRDefault="0083667D" w:rsidP="0083667D">
      <w:pPr>
        <w:ind w:firstLine="708"/>
        <w:jc w:val="both"/>
        <w:rPr>
          <w:rFonts w:ascii="Times New Roman" w:hAnsi="Times New Roman" w:cs="Times New Roman"/>
          <w:szCs w:val="22"/>
        </w:rPr>
      </w:pPr>
      <w:r>
        <w:rPr>
          <w:rFonts w:ascii="Times New Roman" w:hAnsi="Times New Roman"/>
          <w:szCs w:val="22"/>
        </w:rPr>
        <w:t>Výška príjmov z administratívnych poplatkov a iných poplatkov a platieb</w:t>
      </w:r>
      <w:r>
        <w:rPr>
          <w:rFonts w:ascii="Times New Roman" w:hAnsi="Times New Roman"/>
          <w:b/>
          <w:szCs w:val="22"/>
        </w:rPr>
        <w:t xml:space="preserve"> </w:t>
      </w:r>
      <w:r>
        <w:rPr>
          <w:rFonts w:ascii="Times New Roman" w:hAnsi="Times New Roman"/>
          <w:szCs w:val="22"/>
        </w:rPr>
        <w:t xml:space="preserve">závisí od počtu jednotlivých aktov konania v priebehu roka. </w:t>
      </w:r>
      <w:r w:rsidRPr="00A34693">
        <w:rPr>
          <w:rFonts w:ascii="Times New Roman" w:hAnsi="Times New Roman" w:cs="Times New Roman"/>
        </w:rPr>
        <w:t>Vzhľadom na to, že o</w:t>
      </w:r>
      <w:r w:rsidRPr="00A34693">
        <w:rPr>
          <w:rFonts w:ascii="Times New Roman" w:hAnsi="Times New Roman" w:cs="Times New Roman"/>
          <w:szCs w:val="22"/>
        </w:rPr>
        <w:t>d 1. marca 2019 nadobudne účinnosť nový zákon o hazardných hrách, ktorý mení podmienky a reguláciu internetových hier, sa zo strany súčasných prevádzkovateľov, ako aj prevádzkovateľov pôsobiacich v zahraničí očakáva záujem o udelenie licencií v online prostredí, ktorý je zahrnutý vo zvýšení hotovostných príjmov v roku 2019 v sume 59,0 mil. eur.</w:t>
      </w:r>
    </w:p>
    <w:p w:rsidR="0083667D" w:rsidRDefault="0083667D" w:rsidP="0083667D">
      <w:pPr>
        <w:ind w:firstLine="708"/>
        <w:jc w:val="both"/>
        <w:rPr>
          <w:rFonts w:ascii="Times New Roman" w:hAnsi="Times New Roman"/>
          <w:szCs w:val="22"/>
        </w:rPr>
      </w:pPr>
    </w:p>
    <w:p w:rsidR="0083667D" w:rsidRDefault="0083667D" w:rsidP="0083667D">
      <w:pPr>
        <w:ind w:firstLine="708"/>
        <w:jc w:val="both"/>
        <w:rPr>
          <w:rFonts w:ascii="Times New Roman" w:hAnsi="Times New Roman"/>
          <w:szCs w:val="22"/>
        </w:rPr>
      </w:pPr>
    </w:p>
    <w:p w:rsidR="0083667D" w:rsidRDefault="0083667D" w:rsidP="0083667D">
      <w:pPr>
        <w:ind w:firstLine="708"/>
        <w:jc w:val="both"/>
        <w:rPr>
          <w:rFonts w:ascii="Times New Roman" w:hAnsi="Times New Roman"/>
          <w:szCs w:val="22"/>
        </w:rPr>
      </w:pPr>
    </w:p>
    <w:p w:rsidR="0083667D" w:rsidRDefault="0083667D" w:rsidP="0083667D">
      <w:pPr>
        <w:ind w:firstLine="708"/>
        <w:jc w:val="both"/>
        <w:rPr>
          <w:rFonts w:ascii="Times New Roman" w:hAnsi="Times New Roman"/>
          <w:szCs w:val="22"/>
        </w:rPr>
      </w:pPr>
    </w:p>
    <w:p w:rsidR="0083667D" w:rsidRDefault="0083667D" w:rsidP="0083667D">
      <w:pPr>
        <w:ind w:firstLine="708"/>
        <w:jc w:val="both"/>
        <w:rPr>
          <w:rFonts w:ascii="Times New Roman" w:hAnsi="Times New Roman"/>
          <w:szCs w:val="22"/>
        </w:rPr>
      </w:pPr>
      <w:r>
        <w:rPr>
          <w:rFonts w:ascii="Times New Roman" w:hAnsi="Times New Roman"/>
          <w:szCs w:val="22"/>
        </w:rPr>
        <w:lastRenderedPageBreak/>
        <w:t>Vývoj týchto príjmov v jednotlivých rokoch zobrazuje nasledovná tabuľka:</w:t>
      </w:r>
    </w:p>
    <w:p w:rsidR="0083667D" w:rsidRDefault="0083667D" w:rsidP="0083667D">
      <w:pPr>
        <w:ind w:firstLine="708"/>
        <w:jc w:val="both"/>
        <w:rPr>
          <w:rFonts w:ascii="Times New Roman" w:hAnsi="Times New Roman"/>
          <w:szCs w:val="22"/>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1"/>
        <w:gridCol w:w="1055"/>
        <w:gridCol w:w="1055"/>
        <w:gridCol w:w="1055"/>
        <w:gridCol w:w="1055"/>
        <w:gridCol w:w="1055"/>
        <w:gridCol w:w="1055"/>
        <w:gridCol w:w="1049"/>
      </w:tblGrid>
      <w:tr w:rsidR="0083667D" w:rsidTr="00DF0EF9">
        <w:trPr>
          <w:trHeight w:val="351"/>
        </w:trPr>
        <w:tc>
          <w:tcPr>
            <w:tcW w:w="928" w:type="pct"/>
            <w:shd w:val="clear" w:color="auto" w:fill="A6A6A6"/>
            <w:vAlign w:val="center"/>
            <w:hideMark/>
          </w:tcPr>
          <w:p w:rsidR="0083667D" w:rsidRDefault="0083667D" w:rsidP="00DF0EF9">
            <w:pPr>
              <w:jc w:val="both"/>
              <w:rPr>
                <w:rFonts w:ascii="Times New Roman" w:hAnsi="Times New Roman" w:cs="Times New Roman"/>
                <w:b/>
                <w:bCs/>
                <w:color w:val="000000"/>
                <w:sz w:val="14"/>
                <w:szCs w:val="14"/>
                <w:lang w:eastAsia="sk-SK"/>
              </w:rPr>
            </w:pPr>
            <w:r>
              <w:rPr>
                <w:rFonts w:ascii="Times New Roman" w:hAnsi="Times New Roman"/>
                <w:szCs w:val="22"/>
              </w:rPr>
              <w:t xml:space="preserve"> </w:t>
            </w:r>
            <w:r>
              <w:rPr>
                <w:rFonts w:ascii="Times New Roman" w:hAnsi="Times New Roman" w:cs="Times New Roman"/>
                <w:b/>
                <w:bCs/>
                <w:color w:val="000000"/>
                <w:sz w:val="14"/>
                <w:szCs w:val="14"/>
                <w:lang w:eastAsia="sk-SK"/>
              </w:rPr>
              <w:t>v tis. eur</w:t>
            </w:r>
          </w:p>
        </w:tc>
        <w:tc>
          <w:tcPr>
            <w:tcW w:w="582" w:type="pct"/>
            <w:shd w:val="clear" w:color="auto"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 xml:space="preserve">6 </w:t>
            </w:r>
            <w:r w:rsidRPr="00502053">
              <w:rPr>
                <w:rFonts w:ascii="Times New Roman" w:hAnsi="Times New Roman" w:cs="Times New Roman"/>
                <w:b/>
                <w:bCs/>
                <w:color w:val="000000"/>
                <w:sz w:val="14"/>
                <w:szCs w:val="14"/>
                <w:lang w:eastAsia="sk-SK"/>
              </w:rPr>
              <w:t>S</w:t>
            </w:r>
          </w:p>
        </w:tc>
        <w:tc>
          <w:tcPr>
            <w:tcW w:w="582" w:type="pct"/>
            <w:shd w:val="clear" w:color="auto"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 S</w:t>
            </w:r>
          </w:p>
        </w:tc>
        <w:tc>
          <w:tcPr>
            <w:tcW w:w="582"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 R</w:t>
            </w:r>
          </w:p>
        </w:tc>
        <w:tc>
          <w:tcPr>
            <w:tcW w:w="582"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 OS</w:t>
            </w:r>
          </w:p>
        </w:tc>
        <w:tc>
          <w:tcPr>
            <w:tcW w:w="582"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9</w:t>
            </w:r>
            <w:r w:rsidRPr="00502053">
              <w:rPr>
                <w:rFonts w:ascii="Times New Roman" w:hAnsi="Times New Roman" w:cs="Times New Roman"/>
                <w:b/>
                <w:bCs/>
                <w:color w:val="000000"/>
                <w:sz w:val="14"/>
                <w:szCs w:val="14"/>
                <w:lang w:eastAsia="sk-SK"/>
              </w:rPr>
              <w:t xml:space="preserve"> N</w:t>
            </w:r>
          </w:p>
        </w:tc>
        <w:tc>
          <w:tcPr>
            <w:tcW w:w="582"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2020</w:t>
            </w:r>
            <w:r w:rsidRPr="00502053">
              <w:rPr>
                <w:rFonts w:ascii="Times New Roman" w:hAnsi="Times New Roman" w:cs="Times New Roman"/>
                <w:b/>
                <w:bCs/>
                <w:color w:val="000000"/>
                <w:sz w:val="14"/>
                <w:szCs w:val="14"/>
                <w:lang w:eastAsia="sk-SK"/>
              </w:rPr>
              <w:t xml:space="preserve"> N</w:t>
            </w:r>
          </w:p>
        </w:tc>
        <w:tc>
          <w:tcPr>
            <w:tcW w:w="579"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2021</w:t>
            </w:r>
            <w:r w:rsidRPr="00502053">
              <w:rPr>
                <w:rFonts w:ascii="Times New Roman" w:hAnsi="Times New Roman" w:cs="Times New Roman"/>
                <w:b/>
                <w:bCs/>
                <w:color w:val="000000"/>
                <w:sz w:val="14"/>
                <w:szCs w:val="14"/>
                <w:lang w:eastAsia="sk-SK"/>
              </w:rPr>
              <w:t xml:space="preserve"> N</w:t>
            </w:r>
          </w:p>
        </w:tc>
      </w:tr>
      <w:tr w:rsidR="0083667D" w:rsidTr="00DF0EF9">
        <w:trPr>
          <w:trHeight w:val="311"/>
        </w:trPr>
        <w:tc>
          <w:tcPr>
            <w:tcW w:w="928" w:type="pct"/>
            <w:shd w:val="clear" w:color="auto" w:fill="BFBFBF"/>
            <w:vAlign w:val="center"/>
            <w:hideMark/>
          </w:tcPr>
          <w:p w:rsidR="0083667D" w:rsidRDefault="0083667D" w:rsidP="00DF0EF9">
            <w:pPr>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Spolu</w:t>
            </w:r>
          </w:p>
        </w:tc>
        <w:tc>
          <w:tcPr>
            <w:tcW w:w="582" w:type="pct"/>
            <w:shd w:val="clear" w:color="auto" w:fill="BFBFBF"/>
            <w:vAlign w:val="center"/>
          </w:tcPr>
          <w:p w:rsidR="0083667D" w:rsidRPr="00022A83" w:rsidRDefault="0083667D" w:rsidP="00DF0EF9">
            <w:pPr>
              <w:jc w:val="right"/>
              <w:rPr>
                <w:rFonts w:ascii="Times New Roman" w:hAnsi="Times New Roman" w:cs="Times New Roman"/>
                <w:b/>
                <w:bCs/>
                <w:color w:val="000000"/>
                <w:sz w:val="14"/>
                <w:szCs w:val="14"/>
                <w:lang w:eastAsia="sk-SK"/>
              </w:rPr>
            </w:pPr>
            <w:r w:rsidRPr="00253C5D">
              <w:rPr>
                <w:rFonts w:ascii="Times New Roman" w:hAnsi="Times New Roman" w:cs="Times New Roman"/>
                <w:b/>
                <w:bCs/>
                <w:color w:val="000000"/>
                <w:sz w:val="14"/>
                <w:szCs w:val="14"/>
                <w:lang w:eastAsia="sk-SK"/>
              </w:rPr>
              <w:t>337 394</w:t>
            </w:r>
          </w:p>
        </w:tc>
        <w:tc>
          <w:tcPr>
            <w:tcW w:w="582" w:type="pct"/>
            <w:shd w:val="clear" w:color="auto" w:fill="BFBFBF"/>
            <w:vAlign w:val="center"/>
          </w:tcPr>
          <w:p w:rsidR="0083667D" w:rsidRPr="009402DD" w:rsidRDefault="0083667D" w:rsidP="00DF0EF9">
            <w:pPr>
              <w:jc w:val="right"/>
              <w:rPr>
                <w:rFonts w:ascii="Times New Roman" w:hAnsi="Times New Roman" w:cs="Times New Roman"/>
                <w:b/>
                <w:bCs/>
                <w:color w:val="000000"/>
                <w:sz w:val="14"/>
                <w:szCs w:val="14"/>
                <w:highlight w:val="yellow"/>
              </w:rPr>
            </w:pPr>
            <w:r w:rsidRPr="00AE121A">
              <w:rPr>
                <w:rFonts w:ascii="Times New Roman" w:hAnsi="Times New Roman" w:cs="Times New Roman"/>
                <w:b/>
                <w:bCs/>
                <w:color w:val="000000"/>
                <w:sz w:val="14"/>
                <w:szCs w:val="14"/>
              </w:rPr>
              <w:t>365 884</w:t>
            </w:r>
          </w:p>
        </w:tc>
        <w:tc>
          <w:tcPr>
            <w:tcW w:w="582" w:type="pct"/>
            <w:shd w:val="clear" w:color="auto" w:fill="BFBFBF"/>
            <w:vAlign w:val="center"/>
          </w:tcPr>
          <w:p w:rsidR="0083667D" w:rsidRPr="00F26401" w:rsidRDefault="0083667D" w:rsidP="00DF0EF9">
            <w:pPr>
              <w:jc w:val="right"/>
              <w:rPr>
                <w:rFonts w:ascii="Times New Roman" w:hAnsi="Times New Roman" w:cs="Times New Roman"/>
                <w:b/>
                <w:bCs/>
                <w:color w:val="000000"/>
                <w:sz w:val="14"/>
                <w:szCs w:val="14"/>
                <w:highlight w:val="yellow"/>
              </w:rPr>
            </w:pPr>
            <w:r>
              <w:rPr>
                <w:rFonts w:ascii="Times New Roman" w:hAnsi="Times New Roman" w:cs="Times New Roman"/>
                <w:b/>
                <w:bCs/>
                <w:color w:val="000000"/>
                <w:sz w:val="14"/>
                <w:szCs w:val="14"/>
              </w:rPr>
              <w:t>338 616</w:t>
            </w:r>
          </w:p>
        </w:tc>
        <w:tc>
          <w:tcPr>
            <w:tcW w:w="582" w:type="pct"/>
            <w:shd w:val="clear" w:color="auto" w:fill="BFBFBF"/>
            <w:vAlign w:val="center"/>
          </w:tcPr>
          <w:p w:rsidR="0083667D" w:rsidRPr="00DD41FB"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336 274</w:t>
            </w:r>
          </w:p>
        </w:tc>
        <w:tc>
          <w:tcPr>
            <w:tcW w:w="582" w:type="pct"/>
            <w:shd w:val="clear" w:color="auto" w:fill="BFBFBF"/>
            <w:vAlign w:val="center"/>
          </w:tcPr>
          <w:p w:rsidR="0083667D" w:rsidRPr="00DD41FB" w:rsidRDefault="0083667D" w:rsidP="00DF0EF9">
            <w:pPr>
              <w:jc w:val="right"/>
              <w:rPr>
                <w:rFonts w:ascii="Times New Roman" w:hAnsi="Times New Roman" w:cs="Times New Roman"/>
                <w:b/>
                <w:bCs/>
                <w:color w:val="000000"/>
                <w:sz w:val="14"/>
                <w:szCs w:val="14"/>
              </w:rPr>
            </w:pPr>
            <w:r w:rsidRPr="0065780B">
              <w:rPr>
                <w:rFonts w:ascii="Times New Roman" w:hAnsi="Times New Roman" w:cs="Times New Roman"/>
                <w:b/>
                <w:bCs/>
                <w:color w:val="000000"/>
                <w:sz w:val="14"/>
                <w:szCs w:val="14"/>
              </w:rPr>
              <w:t>416 716</w:t>
            </w:r>
          </w:p>
        </w:tc>
        <w:tc>
          <w:tcPr>
            <w:tcW w:w="582" w:type="pct"/>
            <w:shd w:val="clear" w:color="auto" w:fill="BFBFBF"/>
            <w:vAlign w:val="center"/>
          </w:tcPr>
          <w:p w:rsidR="0083667D" w:rsidRPr="00DD41FB" w:rsidRDefault="0083667D" w:rsidP="00DF0EF9">
            <w:pPr>
              <w:jc w:val="right"/>
              <w:rPr>
                <w:rFonts w:ascii="Times New Roman" w:hAnsi="Times New Roman" w:cs="Times New Roman"/>
                <w:b/>
                <w:bCs/>
                <w:color w:val="000000"/>
                <w:sz w:val="14"/>
                <w:szCs w:val="14"/>
              </w:rPr>
            </w:pPr>
            <w:r w:rsidRPr="00E45E0A">
              <w:rPr>
                <w:rFonts w:ascii="Times New Roman" w:hAnsi="Times New Roman" w:cs="Times New Roman"/>
                <w:b/>
                <w:bCs/>
                <w:color w:val="000000"/>
                <w:sz w:val="14"/>
                <w:szCs w:val="14"/>
              </w:rPr>
              <w:t>373 028</w:t>
            </w:r>
          </w:p>
        </w:tc>
        <w:tc>
          <w:tcPr>
            <w:tcW w:w="579" w:type="pct"/>
            <w:shd w:val="clear" w:color="auto" w:fill="BFBFBF"/>
            <w:vAlign w:val="center"/>
          </w:tcPr>
          <w:p w:rsidR="0083667D" w:rsidRPr="00DD41FB" w:rsidRDefault="0083667D" w:rsidP="00DF0EF9">
            <w:pPr>
              <w:jc w:val="right"/>
              <w:rPr>
                <w:rFonts w:ascii="Times New Roman" w:hAnsi="Times New Roman" w:cs="Times New Roman"/>
                <w:b/>
                <w:bCs/>
                <w:color w:val="000000"/>
                <w:sz w:val="14"/>
                <w:szCs w:val="14"/>
              </w:rPr>
            </w:pPr>
            <w:r w:rsidRPr="00E21DFB">
              <w:rPr>
                <w:rFonts w:ascii="Times New Roman" w:hAnsi="Times New Roman" w:cs="Times New Roman"/>
                <w:b/>
                <w:bCs/>
                <w:color w:val="000000"/>
                <w:sz w:val="14"/>
                <w:szCs w:val="14"/>
              </w:rPr>
              <w:t>356 525</w:t>
            </w:r>
          </w:p>
        </w:tc>
      </w:tr>
      <w:tr w:rsidR="0083667D" w:rsidTr="00DF0EF9">
        <w:trPr>
          <w:trHeight w:val="273"/>
        </w:trPr>
        <w:tc>
          <w:tcPr>
            <w:tcW w:w="928" w:type="pct"/>
            <w:shd w:val="clear" w:color="auto" w:fill="FFFFFF"/>
            <w:vAlign w:val="center"/>
            <w:hideMark/>
          </w:tcPr>
          <w:p w:rsidR="0083667D" w:rsidRDefault="0083667D" w:rsidP="00DF0EF9">
            <w:pPr>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Administratívne poplatky</w:t>
            </w:r>
          </w:p>
        </w:tc>
        <w:tc>
          <w:tcPr>
            <w:tcW w:w="582" w:type="pct"/>
            <w:shd w:val="clear" w:color="auto" w:fill="FFFFFF"/>
            <w:vAlign w:val="center"/>
          </w:tcPr>
          <w:p w:rsidR="0083667D" w:rsidRPr="00022A83" w:rsidRDefault="0083667D" w:rsidP="00DF0EF9">
            <w:pPr>
              <w:jc w:val="right"/>
              <w:rPr>
                <w:rFonts w:ascii="Times New Roman" w:hAnsi="Times New Roman" w:cs="Times New Roman"/>
                <w:b/>
                <w:bCs/>
                <w:color w:val="000000"/>
                <w:sz w:val="14"/>
                <w:szCs w:val="14"/>
              </w:rPr>
            </w:pPr>
            <w:r w:rsidRPr="00253C5D">
              <w:rPr>
                <w:rFonts w:ascii="Times New Roman" w:hAnsi="Times New Roman" w:cs="Times New Roman"/>
                <w:b/>
                <w:bCs/>
                <w:color w:val="000000"/>
                <w:sz w:val="14"/>
                <w:szCs w:val="14"/>
              </w:rPr>
              <w:t>219 894</w:t>
            </w:r>
          </w:p>
        </w:tc>
        <w:tc>
          <w:tcPr>
            <w:tcW w:w="582" w:type="pct"/>
            <w:shd w:val="clear" w:color="auto" w:fill="FFFFFF"/>
            <w:vAlign w:val="center"/>
          </w:tcPr>
          <w:p w:rsidR="0083667D" w:rsidRPr="009402DD" w:rsidRDefault="0083667D" w:rsidP="00DF0EF9">
            <w:pPr>
              <w:jc w:val="right"/>
              <w:rPr>
                <w:rFonts w:ascii="Times New Roman" w:hAnsi="Times New Roman" w:cs="Times New Roman"/>
                <w:b/>
                <w:bCs/>
                <w:color w:val="000000"/>
                <w:sz w:val="14"/>
                <w:szCs w:val="14"/>
                <w:highlight w:val="yellow"/>
              </w:rPr>
            </w:pPr>
            <w:r w:rsidRPr="00C602E1">
              <w:rPr>
                <w:rFonts w:ascii="Times New Roman" w:hAnsi="Times New Roman" w:cs="Times New Roman"/>
                <w:b/>
                <w:bCs/>
                <w:color w:val="000000"/>
                <w:sz w:val="14"/>
                <w:szCs w:val="14"/>
              </w:rPr>
              <w:t>217 37</w:t>
            </w:r>
            <w:r>
              <w:rPr>
                <w:rFonts w:ascii="Times New Roman" w:hAnsi="Times New Roman" w:cs="Times New Roman"/>
                <w:b/>
                <w:bCs/>
                <w:color w:val="000000"/>
                <w:sz w:val="14"/>
                <w:szCs w:val="14"/>
              </w:rPr>
              <w:t>5</w:t>
            </w:r>
          </w:p>
        </w:tc>
        <w:tc>
          <w:tcPr>
            <w:tcW w:w="582" w:type="pct"/>
            <w:shd w:val="clear" w:color="auto" w:fill="FFFFFF"/>
            <w:vAlign w:val="center"/>
          </w:tcPr>
          <w:p w:rsidR="0083667D" w:rsidRPr="00022A83"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217 817</w:t>
            </w:r>
          </w:p>
        </w:tc>
        <w:tc>
          <w:tcPr>
            <w:tcW w:w="582" w:type="pct"/>
            <w:shd w:val="clear" w:color="auto" w:fill="FFFFFF"/>
            <w:vAlign w:val="center"/>
          </w:tcPr>
          <w:p w:rsidR="0083667D" w:rsidRPr="00022A83"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217 817</w:t>
            </w:r>
          </w:p>
        </w:tc>
        <w:tc>
          <w:tcPr>
            <w:tcW w:w="582" w:type="pct"/>
            <w:shd w:val="clear" w:color="auto" w:fill="FFFFFF"/>
            <w:vAlign w:val="center"/>
          </w:tcPr>
          <w:p w:rsidR="0083667D" w:rsidRPr="00022A83"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284 365</w:t>
            </w:r>
          </w:p>
        </w:tc>
        <w:tc>
          <w:tcPr>
            <w:tcW w:w="582" w:type="pct"/>
            <w:shd w:val="clear" w:color="auto" w:fill="FFFFFF"/>
            <w:vAlign w:val="center"/>
          </w:tcPr>
          <w:p w:rsidR="0083667D" w:rsidRPr="00022A83"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240 968</w:t>
            </w:r>
          </w:p>
        </w:tc>
        <w:tc>
          <w:tcPr>
            <w:tcW w:w="579" w:type="pct"/>
            <w:shd w:val="clear" w:color="auto" w:fill="FFFFFF"/>
            <w:vAlign w:val="center"/>
          </w:tcPr>
          <w:p w:rsidR="0083667D" w:rsidRPr="00022A83"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224 519</w:t>
            </w:r>
          </w:p>
        </w:tc>
      </w:tr>
      <w:tr w:rsidR="0083667D" w:rsidTr="00DF0EF9">
        <w:trPr>
          <w:trHeight w:val="277"/>
        </w:trPr>
        <w:tc>
          <w:tcPr>
            <w:tcW w:w="928" w:type="pct"/>
            <w:shd w:val="clear" w:color="auto" w:fill="FFFFFF"/>
            <w:vAlign w:val="center"/>
            <w:hideMark/>
          </w:tcPr>
          <w:p w:rsidR="0083667D" w:rsidRDefault="0083667D" w:rsidP="00DF0EF9">
            <w:pPr>
              <w:ind w:left="366"/>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v tom: súdne a </w:t>
            </w:r>
            <w:r w:rsidRPr="00C602E1">
              <w:rPr>
                <w:rFonts w:ascii="Times New Roman" w:hAnsi="Times New Roman" w:cs="Times New Roman"/>
                <w:color w:val="000000"/>
                <w:sz w:val="14"/>
                <w:szCs w:val="14"/>
                <w:lang w:eastAsia="sk-SK"/>
              </w:rPr>
              <w:t>ostatné poplatky</w:t>
            </w:r>
          </w:p>
        </w:tc>
        <w:tc>
          <w:tcPr>
            <w:tcW w:w="582"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219 145</w:t>
            </w:r>
          </w:p>
        </w:tc>
        <w:tc>
          <w:tcPr>
            <w:tcW w:w="582" w:type="pct"/>
            <w:shd w:val="clear" w:color="auto" w:fill="FFFFFF"/>
            <w:vAlign w:val="center"/>
          </w:tcPr>
          <w:p w:rsidR="0083667D" w:rsidRPr="009402DD" w:rsidRDefault="0083667D" w:rsidP="00DF0EF9">
            <w:pPr>
              <w:jc w:val="right"/>
              <w:rPr>
                <w:rFonts w:ascii="Times New Roman" w:hAnsi="Times New Roman" w:cs="Times New Roman"/>
                <w:color w:val="000000"/>
                <w:sz w:val="14"/>
                <w:szCs w:val="14"/>
                <w:highlight w:val="yellow"/>
              </w:rPr>
            </w:pPr>
            <w:r>
              <w:rPr>
                <w:rFonts w:ascii="Times New Roman" w:hAnsi="Times New Roman" w:cs="Times New Roman"/>
                <w:color w:val="000000"/>
                <w:sz w:val="14"/>
                <w:szCs w:val="14"/>
              </w:rPr>
              <w:t>216 5</w:t>
            </w:r>
            <w:r w:rsidRPr="00C602E1">
              <w:rPr>
                <w:rFonts w:ascii="Times New Roman" w:hAnsi="Times New Roman" w:cs="Times New Roman"/>
                <w:color w:val="000000"/>
                <w:sz w:val="14"/>
                <w:szCs w:val="14"/>
              </w:rPr>
              <w:t>8</w:t>
            </w:r>
            <w:r>
              <w:rPr>
                <w:rFonts w:ascii="Times New Roman" w:hAnsi="Times New Roman" w:cs="Times New Roman"/>
                <w:color w:val="000000"/>
                <w:sz w:val="14"/>
                <w:szCs w:val="14"/>
              </w:rPr>
              <w:t>8</w:t>
            </w:r>
          </w:p>
        </w:tc>
        <w:tc>
          <w:tcPr>
            <w:tcW w:w="582"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217 117</w:t>
            </w:r>
          </w:p>
        </w:tc>
        <w:tc>
          <w:tcPr>
            <w:tcW w:w="582"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217 117</w:t>
            </w:r>
          </w:p>
        </w:tc>
        <w:tc>
          <w:tcPr>
            <w:tcW w:w="582"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283 665</w:t>
            </w:r>
          </w:p>
        </w:tc>
        <w:tc>
          <w:tcPr>
            <w:tcW w:w="582"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240 268</w:t>
            </w:r>
          </w:p>
        </w:tc>
        <w:tc>
          <w:tcPr>
            <w:tcW w:w="579"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223 819</w:t>
            </w:r>
          </w:p>
        </w:tc>
      </w:tr>
      <w:tr w:rsidR="0083667D" w:rsidTr="00DF0EF9">
        <w:trPr>
          <w:trHeight w:val="274"/>
        </w:trPr>
        <w:tc>
          <w:tcPr>
            <w:tcW w:w="928" w:type="pct"/>
            <w:shd w:val="clear" w:color="auto" w:fill="FFFFFF"/>
            <w:vAlign w:val="center"/>
            <w:hideMark/>
          </w:tcPr>
          <w:p w:rsidR="0083667D" w:rsidRDefault="0083667D" w:rsidP="00DF0EF9">
            <w:pPr>
              <w:ind w:left="366"/>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puncové poplatky</w:t>
            </w:r>
          </w:p>
        </w:tc>
        <w:tc>
          <w:tcPr>
            <w:tcW w:w="582"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sidRPr="00250B3E">
              <w:rPr>
                <w:rFonts w:ascii="Times New Roman" w:hAnsi="Times New Roman" w:cs="Times New Roman"/>
                <w:color w:val="000000"/>
                <w:sz w:val="14"/>
                <w:szCs w:val="14"/>
              </w:rPr>
              <w:t>622</w:t>
            </w:r>
          </w:p>
        </w:tc>
        <w:tc>
          <w:tcPr>
            <w:tcW w:w="582" w:type="pct"/>
            <w:shd w:val="clear" w:color="auto" w:fill="FFFFFF"/>
            <w:vAlign w:val="center"/>
          </w:tcPr>
          <w:p w:rsidR="0083667D" w:rsidRPr="009402DD" w:rsidRDefault="0083667D" w:rsidP="00DF0EF9">
            <w:pPr>
              <w:jc w:val="right"/>
              <w:rPr>
                <w:rFonts w:ascii="Times New Roman" w:hAnsi="Times New Roman" w:cs="Times New Roman"/>
                <w:color w:val="000000"/>
                <w:sz w:val="14"/>
                <w:szCs w:val="14"/>
                <w:highlight w:val="yellow"/>
              </w:rPr>
            </w:pPr>
            <w:r w:rsidRPr="00C602E1">
              <w:rPr>
                <w:rFonts w:ascii="Times New Roman" w:hAnsi="Times New Roman" w:cs="Times New Roman"/>
                <w:color w:val="000000"/>
                <w:sz w:val="14"/>
                <w:szCs w:val="14"/>
              </w:rPr>
              <w:t>640</w:t>
            </w:r>
          </w:p>
        </w:tc>
        <w:tc>
          <w:tcPr>
            <w:tcW w:w="582"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sidRPr="00022A83">
              <w:rPr>
                <w:rFonts w:ascii="Times New Roman" w:hAnsi="Times New Roman" w:cs="Times New Roman"/>
                <w:color w:val="000000"/>
                <w:sz w:val="14"/>
                <w:szCs w:val="14"/>
              </w:rPr>
              <w:t>600</w:t>
            </w:r>
          </w:p>
        </w:tc>
        <w:tc>
          <w:tcPr>
            <w:tcW w:w="582"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sidRPr="00760315">
              <w:rPr>
                <w:rFonts w:ascii="Times New Roman" w:hAnsi="Times New Roman" w:cs="Times New Roman"/>
                <w:color w:val="000000"/>
                <w:sz w:val="14"/>
                <w:szCs w:val="14"/>
              </w:rPr>
              <w:t>600</w:t>
            </w:r>
          </w:p>
        </w:tc>
        <w:tc>
          <w:tcPr>
            <w:tcW w:w="582"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600</w:t>
            </w:r>
          </w:p>
        </w:tc>
        <w:tc>
          <w:tcPr>
            <w:tcW w:w="582"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600</w:t>
            </w:r>
          </w:p>
        </w:tc>
        <w:tc>
          <w:tcPr>
            <w:tcW w:w="579"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600</w:t>
            </w:r>
          </w:p>
        </w:tc>
      </w:tr>
      <w:tr w:rsidR="0083667D" w:rsidTr="00DF0EF9">
        <w:trPr>
          <w:trHeight w:val="268"/>
        </w:trPr>
        <w:tc>
          <w:tcPr>
            <w:tcW w:w="928" w:type="pct"/>
            <w:shd w:val="clear" w:color="auto" w:fill="FFFFFF"/>
            <w:vAlign w:val="center"/>
            <w:hideMark/>
          </w:tcPr>
          <w:p w:rsidR="0083667D" w:rsidRDefault="0083667D" w:rsidP="00DF0EF9">
            <w:pPr>
              <w:ind w:left="366"/>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licencie</w:t>
            </w:r>
          </w:p>
        </w:tc>
        <w:tc>
          <w:tcPr>
            <w:tcW w:w="582"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sidRPr="00250B3E">
              <w:rPr>
                <w:rFonts w:ascii="Times New Roman" w:hAnsi="Times New Roman" w:cs="Times New Roman"/>
                <w:color w:val="000000"/>
                <w:sz w:val="14"/>
                <w:szCs w:val="14"/>
              </w:rPr>
              <w:t>127</w:t>
            </w:r>
          </w:p>
        </w:tc>
        <w:tc>
          <w:tcPr>
            <w:tcW w:w="582" w:type="pct"/>
            <w:shd w:val="clear" w:color="auto" w:fill="FFFFFF"/>
            <w:vAlign w:val="center"/>
          </w:tcPr>
          <w:p w:rsidR="0083667D" w:rsidRPr="009402DD" w:rsidRDefault="0083667D" w:rsidP="00DF0EF9">
            <w:pPr>
              <w:jc w:val="right"/>
              <w:rPr>
                <w:rFonts w:ascii="Times New Roman" w:hAnsi="Times New Roman" w:cs="Times New Roman"/>
                <w:color w:val="000000"/>
                <w:sz w:val="14"/>
                <w:szCs w:val="14"/>
                <w:highlight w:val="yellow"/>
              </w:rPr>
            </w:pPr>
            <w:r w:rsidRPr="00C602E1">
              <w:rPr>
                <w:rFonts w:ascii="Times New Roman" w:hAnsi="Times New Roman" w:cs="Times New Roman"/>
                <w:color w:val="000000"/>
                <w:sz w:val="14"/>
                <w:szCs w:val="14"/>
              </w:rPr>
              <w:t>147</w:t>
            </w:r>
          </w:p>
        </w:tc>
        <w:tc>
          <w:tcPr>
            <w:tcW w:w="582"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sidRPr="00022A83">
              <w:rPr>
                <w:rFonts w:ascii="Times New Roman" w:hAnsi="Times New Roman" w:cs="Times New Roman"/>
                <w:color w:val="000000"/>
                <w:sz w:val="14"/>
                <w:szCs w:val="14"/>
              </w:rPr>
              <w:t>100</w:t>
            </w:r>
          </w:p>
        </w:tc>
        <w:tc>
          <w:tcPr>
            <w:tcW w:w="582"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sidRPr="00760315">
              <w:rPr>
                <w:rFonts w:ascii="Times New Roman" w:hAnsi="Times New Roman" w:cs="Times New Roman"/>
                <w:color w:val="000000"/>
                <w:sz w:val="14"/>
                <w:szCs w:val="14"/>
              </w:rPr>
              <w:t>100</w:t>
            </w:r>
          </w:p>
        </w:tc>
        <w:tc>
          <w:tcPr>
            <w:tcW w:w="582"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100</w:t>
            </w:r>
          </w:p>
        </w:tc>
        <w:tc>
          <w:tcPr>
            <w:tcW w:w="582"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100</w:t>
            </w:r>
          </w:p>
        </w:tc>
        <w:tc>
          <w:tcPr>
            <w:tcW w:w="579"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100</w:t>
            </w:r>
          </w:p>
        </w:tc>
      </w:tr>
      <w:tr w:rsidR="0083667D" w:rsidTr="00DF0EF9">
        <w:trPr>
          <w:trHeight w:val="427"/>
        </w:trPr>
        <w:tc>
          <w:tcPr>
            <w:tcW w:w="928" w:type="pct"/>
            <w:shd w:val="clear" w:color="auto" w:fill="FFFFFF"/>
            <w:vAlign w:val="center"/>
            <w:hideMark/>
          </w:tcPr>
          <w:p w:rsidR="0083667D" w:rsidRDefault="0083667D" w:rsidP="00DF0EF9">
            <w:pPr>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Pokuty, penále a iné sankcie</w:t>
            </w:r>
          </w:p>
        </w:tc>
        <w:tc>
          <w:tcPr>
            <w:tcW w:w="582" w:type="pct"/>
            <w:shd w:val="clear" w:color="auto" w:fill="FFFFFF"/>
            <w:vAlign w:val="center"/>
          </w:tcPr>
          <w:p w:rsidR="0083667D" w:rsidRPr="00022A83" w:rsidRDefault="0083667D" w:rsidP="00DF0EF9">
            <w:pPr>
              <w:jc w:val="right"/>
              <w:rPr>
                <w:rFonts w:ascii="Times New Roman" w:hAnsi="Times New Roman" w:cs="Times New Roman"/>
                <w:b/>
                <w:bCs/>
                <w:color w:val="000000"/>
                <w:sz w:val="14"/>
                <w:szCs w:val="14"/>
              </w:rPr>
            </w:pPr>
            <w:r w:rsidRPr="00250B3E">
              <w:rPr>
                <w:rFonts w:ascii="Times New Roman" w:hAnsi="Times New Roman" w:cs="Times New Roman"/>
                <w:b/>
                <w:bCs/>
                <w:color w:val="000000"/>
                <w:sz w:val="14"/>
                <w:szCs w:val="14"/>
              </w:rPr>
              <w:t>51 862</w:t>
            </w:r>
          </w:p>
        </w:tc>
        <w:tc>
          <w:tcPr>
            <w:tcW w:w="582" w:type="pct"/>
            <w:shd w:val="clear" w:color="auto" w:fill="FFFFFF"/>
            <w:vAlign w:val="center"/>
          </w:tcPr>
          <w:p w:rsidR="0083667D" w:rsidRPr="009402DD" w:rsidRDefault="0083667D" w:rsidP="00DF0EF9">
            <w:pPr>
              <w:jc w:val="right"/>
              <w:rPr>
                <w:rFonts w:ascii="Times New Roman" w:hAnsi="Times New Roman" w:cs="Times New Roman"/>
                <w:b/>
                <w:bCs/>
                <w:color w:val="000000"/>
                <w:sz w:val="14"/>
                <w:szCs w:val="14"/>
                <w:highlight w:val="yellow"/>
              </w:rPr>
            </w:pPr>
            <w:r w:rsidRPr="00C602E1">
              <w:rPr>
                <w:rFonts w:ascii="Times New Roman" w:hAnsi="Times New Roman" w:cs="Times New Roman"/>
                <w:b/>
                <w:bCs/>
                <w:color w:val="000000"/>
                <w:sz w:val="14"/>
                <w:szCs w:val="14"/>
              </w:rPr>
              <w:t>81 535</w:t>
            </w:r>
          </w:p>
        </w:tc>
        <w:tc>
          <w:tcPr>
            <w:tcW w:w="582" w:type="pct"/>
            <w:shd w:val="clear" w:color="auto" w:fill="FFFFFF"/>
            <w:vAlign w:val="center"/>
          </w:tcPr>
          <w:p w:rsidR="0083667D" w:rsidRPr="00022A83"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64 437</w:t>
            </w:r>
          </w:p>
        </w:tc>
        <w:tc>
          <w:tcPr>
            <w:tcW w:w="582" w:type="pct"/>
            <w:shd w:val="clear" w:color="auto" w:fill="FFFFFF"/>
            <w:vAlign w:val="center"/>
          </w:tcPr>
          <w:p w:rsidR="0083667D" w:rsidRPr="00022A83"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63 281</w:t>
            </w:r>
          </w:p>
        </w:tc>
        <w:tc>
          <w:tcPr>
            <w:tcW w:w="582" w:type="pct"/>
            <w:shd w:val="clear" w:color="auto" w:fill="FFFFFF"/>
            <w:vAlign w:val="center"/>
          </w:tcPr>
          <w:p w:rsidR="0083667D" w:rsidRPr="00022A83"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74 368</w:t>
            </w:r>
          </w:p>
        </w:tc>
        <w:tc>
          <w:tcPr>
            <w:tcW w:w="582" w:type="pct"/>
            <w:shd w:val="clear" w:color="auto" w:fill="FFFFFF"/>
            <w:vAlign w:val="center"/>
          </w:tcPr>
          <w:p w:rsidR="0083667D" w:rsidRPr="00022A83"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74 355</w:t>
            </w:r>
          </w:p>
        </w:tc>
        <w:tc>
          <w:tcPr>
            <w:tcW w:w="579" w:type="pct"/>
            <w:shd w:val="clear" w:color="auto" w:fill="FFFFFF"/>
            <w:vAlign w:val="center"/>
          </w:tcPr>
          <w:p w:rsidR="0083667D" w:rsidRPr="00022A83"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74 356</w:t>
            </w:r>
          </w:p>
        </w:tc>
      </w:tr>
      <w:tr w:rsidR="0083667D" w:rsidTr="00DF0EF9">
        <w:trPr>
          <w:trHeight w:val="703"/>
        </w:trPr>
        <w:tc>
          <w:tcPr>
            <w:tcW w:w="928" w:type="pct"/>
            <w:shd w:val="clear" w:color="auto" w:fill="FFFFFF"/>
            <w:vAlign w:val="center"/>
            <w:hideMark/>
          </w:tcPr>
          <w:p w:rsidR="0083667D" w:rsidRDefault="0083667D" w:rsidP="00DF0EF9">
            <w:pPr>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Poplatky a platby z nepriemyselného a náhodného predaja a služieb</w:t>
            </w:r>
          </w:p>
        </w:tc>
        <w:tc>
          <w:tcPr>
            <w:tcW w:w="582" w:type="pct"/>
            <w:shd w:val="clear" w:color="auto" w:fill="FFFFFF"/>
            <w:vAlign w:val="center"/>
          </w:tcPr>
          <w:p w:rsidR="0083667D" w:rsidRPr="00022A83" w:rsidRDefault="0083667D" w:rsidP="00DF0EF9">
            <w:pPr>
              <w:jc w:val="right"/>
              <w:rPr>
                <w:rFonts w:ascii="Times New Roman" w:hAnsi="Times New Roman" w:cs="Times New Roman"/>
                <w:b/>
                <w:bCs/>
                <w:color w:val="000000"/>
                <w:sz w:val="14"/>
                <w:szCs w:val="14"/>
              </w:rPr>
            </w:pPr>
            <w:r w:rsidRPr="00250B3E">
              <w:rPr>
                <w:rFonts w:ascii="Times New Roman" w:hAnsi="Times New Roman" w:cs="Times New Roman"/>
                <w:b/>
                <w:bCs/>
                <w:color w:val="000000"/>
                <w:sz w:val="14"/>
                <w:szCs w:val="14"/>
              </w:rPr>
              <w:t>65 638</w:t>
            </w:r>
          </w:p>
        </w:tc>
        <w:tc>
          <w:tcPr>
            <w:tcW w:w="582" w:type="pct"/>
            <w:shd w:val="clear" w:color="auto" w:fill="FFFFFF"/>
            <w:vAlign w:val="center"/>
          </w:tcPr>
          <w:p w:rsidR="0083667D" w:rsidRPr="009402DD" w:rsidRDefault="0083667D" w:rsidP="00DF0EF9">
            <w:pPr>
              <w:jc w:val="right"/>
              <w:rPr>
                <w:rFonts w:ascii="Times New Roman" w:hAnsi="Times New Roman" w:cs="Times New Roman"/>
                <w:b/>
                <w:bCs/>
                <w:color w:val="000000"/>
                <w:sz w:val="14"/>
                <w:szCs w:val="14"/>
                <w:highlight w:val="yellow"/>
              </w:rPr>
            </w:pPr>
            <w:r w:rsidRPr="00C602E1">
              <w:rPr>
                <w:rFonts w:ascii="Times New Roman" w:hAnsi="Times New Roman" w:cs="Times New Roman"/>
                <w:b/>
                <w:bCs/>
                <w:color w:val="000000"/>
                <w:sz w:val="14"/>
                <w:szCs w:val="14"/>
              </w:rPr>
              <w:t>66 974</w:t>
            </w:r>
          </w:p>
        </w:tc>
        <w:tc>
          <w:tcPr>
            <w:tcW w:w="582" w:type="pct"/>
            <w:shd w:val="clear" w:color="auto" w:fill="FFFFFF"/>
            <w:vAlign w:val="center"/>
          </w:tcPr>
          <w:p w:rsidR="0083667D" w:rsidRPr="00022A83"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56 362</w:t>
            </w:r>
          </w:p>
        </w:tc>
        <w:tc>
          <w:tcPr>
            <w:tcW w:w="582" w:type="pct"/>
            <w:shd w:val="clear" w:color="auto" w:fill="FFFFFF"/>
            <w:vAlign w:val="center"/>
          </w:tcPr>
          <w:p w:rsidR="0083667D" w:rsidRPr="00022A83"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55 176</w:t>
            </w:r>
          </w:p>
        </w:tc>
        <w:tc>
          <w:tcPr>
            <w:tcW w:w="582" w:type="pct"/>
            <w:shd w:val="clear" w:color="auto" w:fill="FFFFFF"/>
            <w:vAlign w:val="center"/>
          </w:tcPr>
          <w:p w:rsidR="0083667D" w:rsidRPr="00022A83"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57 983</w:t>
            </w:r>
          </w:p>
        </w:tc>
        <w:tc>
          <w:tcPr>
            <w:tcW w:w="582" w:type="pct"/>
            <w:shd w:val="clear" w:color="auto" w:fill="FFFFFF"/>
            <w:vAlign w:val="center"/>
          </w:tcPr>
          <w:p w:rsidR="0083667D" w:rsidRPr="00022A83"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57 705</w:t>
            </w:r>
          </w:p>
        </w:tc>
        <w:tc>
          <w:tcPr>
            <w:tcW w:w="579" w:type="pct"/>
            <w:shd w:val="clear" w:color="auto" w:fill="FFFFFF"/>
            <w:vAlign w:val="center"/>
          </w:tcPr>
          <w:p w:rsidR="0083667D" w:rsidRPr="00022A83"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57 650</w:t>
            </w:r>
          </w:p>
        </w:tc>
      </w:tr>
    </w:tbl>
    <w:p w:rsidR="0083667D" w:rsidRDefault="0083667D" w:rsidP="0083667D">
      <w:pPr>
        <w:ind w:firstLine="708"/>
        <w:jc w:val="both"/>
        <w:rPr>
          <w:rFonts w:ascii="Times New Roman" w:hAnsi="Times New Roman"/>
          <w:szCs w:val="22"/>
        </w:rPr>
      </w:pPr>
    </w:p>
    <w:p w:rsidR="0083667D" w:rsidRPr="00FE2466" w:rsidRDefault="0083667D" w:rsidP="0083667D">
      <w:pPr>
        <w:ind w:firstLine="708"/>
        <w:jc w:val="both"/>
        <w:rPr>
          <w:rFonts w:ascii="Times New Roman" w:hAnsi="Times New Roman"/>
          <w:szCs w:val="22"/>
        </w:rPr>
      </w:pPr>
      <w:r>
        <w:rPr>
          <w:rFonts w:ascii="Times New Roman" w:hAnsi="Times New Roman"/>
          <w:szCs w:val="22"/>
        </w:rPr>
        <w:t xml:space="preserve">Uvedené príjmy sa na rok 2019 rozpočtujú </w:t>
      </w:r>
      <w:r w:rsidRPr="002665F3">
        <w:rPr>
          <w:rFonts w:ascii="Times New Roman" w:hAnsi="Times New Roman"/>
          <w:szCs w:val="22"/>
        </w:rPr>
        <w:t xml:space="preserve">vo výške </w:t>
      </w:r>
      <w:r w:rsidRPr="00F2027B">
        <w:rPr>
          <w:rFonts w:ascii="Times New Roman" w:hAnsi="Times New Roman"/>
          <w:szCs w:val="22"/>
        </w:rPr>
        <w:t>417</w:t>
      </w:r>
      <w:r w:rsidRPr="007101B6">
        <w:rPr>
          <w:rFonts w:ascii="Times New Roman" w:hAnsi="Times New Roman"/>
          <w:szCs w:val="22"/>
        </w:rPr>
        <w:t xml:space="preserve"> mil. eur</w:t>
      </w:r>
      <w:r w:rsidRPr="002665F3">
        <w:rPr>
          <w:rFonts w:ascii="Times New Roman" w:hAnsi="Times New Roman"/>
          <w:szCs w:val="22"/>
        </w:rPr>
        <w:t>.</w:t>
      </w:r>
      <w:r>
        <w:rPr>
          <w:rFonts w:ascii="Times New Roman" w:hAnsi="Times New Roman"/>
          <w:szCs w:val="22"/>
        </w:rPr>
        <w:t xml:space="preserve"> Najvyšší objem v rámci týchto príjmov predstavujú ostatné poplatky, kam </w:t>
      </w:r>
      <w:r w:rsidRPr="008820C5">
        <w:rPr>
          <w:rFonts w:ascii="Times New Roman" w:hAnsi="Times New Roman"/>
          <w:szCs w:val="22"/>
        </w:rPr>
        <w:t>patria napr. správne poplatky, paušálne náhrady za udeľovanie víz, udržiavacie poplatky za patent a pod.</w:t>
      </w:r>
      <w:r w:rsidRPr="00FE2466">
        <w:rPr>
          <w:rFonts w:ascii="Times New Roman" w:hAnsi="Times New Roman"/>
          <w:szCs w:val="22"/>
        </w:rPr>
        <w:t xml:space="preserve"> </w:t>
      </w:r>
    </w:p>
    <w:p w:rsidR="0083667D" w:rsidRPr="0077553B" w:rsidRDefault="0083667D" w:rsidP="0083667D">
      <w:pPr>
        <w:ind w:firstLine="708"/>
        <w:jc w:val="both"/>
        <w:rPr>
          <w:rFonts w:ascii="Times New Roman" w:hAnsi="Times New Roman"/>
          <w:color w:val="FF0000"/>
          <w:szCs w:val="22"/>
        </w:rPr>
      </w:pPr>
    </w:p>
    <w:p w:rsidR="0083667D" w:rsidRDefault="0083667D" w:rsidP="0083667D">
      <w:pPr>
        <w:ind w:firstLine="708"/>
        <w:jc w:val="both"/>
        <w:rPr>
          <w:rFonts w:ascii="Times New Roman" w:hAnsi="Times New Roman"/>
          <w:b/>
          <w:i/>
          <w:szCs w:val="22"/>
        </w:rPr>
      </w:pPr>
      <w:r w:rsidRPr="00EC34C2">
        <w:rPr>
          <w:rFonts w:ascii="Times New Roman" w:hAnsi="Times New Roman"/>
          <w:b/>
          <w:i/>
          <w:szCs w:val="22"/>
        </w:rPr>
        <w:t>Kapitálové príjmy</w:t>
      </w:r>
    </w:p>
    <w:p w:rsidR="0083667D" w:rsidRPr="00EC34C2" w:rsidRDefault="0083667D" w:rsidP="0083667D">
      <w:pPr>
        <w:ind w:firstLine="708"/>
        <w:jc w:val="both"/>
        <w:rPr>
          <w:rFonts w:ascii="Times New Roman" w:hAnsi="Times New Roman"/>
          <w:b/>
          <w:i/>
          <w:szCs w:val="22"/>
        </w:rPr>
      </w:pPr>
    </w:p>
    <w:p w:rsidR="0083667D" w:rsidRDefault="0083667D" w:rsidP="0083667D">
      <w:pPr>
        <w:jc w:val="both"/>
        <w:rPr>
          <w:rFonts w:ascii="Times New Roman" w:hAnsi="Times New Roman"/>
          <w:szCs w:val="22"/>
        </w:rPr>
      </w:pPr>
      <w:r w:rsidRPr="00EC34C2">
        <w:rPr>
          <w:rFonts w:ascii="Times New Roman" w:hAnsi="Times New Roman"/>
          <w:szCs w:val="22"/>
        </w:rPr>
        <w:tab/>
      </w:r>
      <w:r>
        <w:rPr>
          <w:rFonts w:ascii="Times New Roman" w:hAnsi="Times New Roman"/>
          <w:szCs w:val="22"/>
        </w:rPr>
        <w:t>Uvedené príjmy sa na rok 2019</w:t>
      </w:r>
      <w:r w:rsidRPr="006D1BED">
        <w:rPr>
          <w:rFonts w:ascii="Times New Roman" w:hAnsi="Times New Roman"/>
          <w:szCs w:val="22"/>
        </w:rPr>
        <w:t xml:space="preserve"> rozpočtujú vo výške </w:t>
      </w:r>
      <w:r w:rsidRPr="00E45E0A">
        <w:rPr>
          <w:rFonts w:ascii="Times New Roman" w:hAnsi="Times New Roman"/>
          <w:szCs w:val="22"/>
        </w:rPr>
        <w:t>5</w:t>
      </w:r>
      <w:r>
        <w:rPr>
          <w:rFonts w:ascii="Times New Roman" w:hAnsi="Times New Roman"/>
          <w:szCs w:val="22"/>
        </w:rPr>
        <w:t>2,7</w:t>
      </w:r>
      <w:r w:rsidRPr="006D1BED">
        <w:rPr>
          <w:rFonts w:ascii="Times New Roman" w:hAnsi="Times New Roman"/>
          <w:szCs w:val="22"/>
        </w:rPr>
        <w:t xml:space="preserve"> mil. eur. </w:t>
      </w:r>
      <w:r>
        <w:rPr>
          <w:rFonts w:ascii="Times New Roman" w:hAnsi="Times New Roman"/>
          <w:szCs w:val="22"/>
        </w:rPr>
        <w:t>V</w:t>
      </w:r>
      <w:r w:rsidRPr="002F3D96">
        <w:rPr>
          <w:rFonts w:ascii="Times New Roman" w:hAnsi="Times New Roman"/>
          <w:szCs w:val="22"/>
        </w:rPr>
        <w:t xml:space="preserve">yšší objem rozpočtovaných kapitálových príjmov v porovnaní s rozpočtom na rok 2018 súvisí predovšetkým s očakávanými vyššími výnosmi z predaja prebytočného majetku </w:t>
      </w:r>
      <w:r>
        <w:rPr>
          <w:rFonts w:ascii="Times New Roman" w:hAnsi="Times New Roman"/>
          <w:szCs w:val="22"/>
        </w:rPr>
        <w:t xml:space="preserve">a </w:t>
      </w:r>
      <w:r w:rsidRPr="002F3D96">
        <w:rPr>
          <w:rFonts w:ascii="Times New Roman" w:hAnsi="Times New Roman"/>
          <w:szCs w:val="22"/>
        </w:rPr>
        <w:t>pozemkov štátu v správe kapitol štátneho rozpočtu.</w:t>
      </w:r>
    </w:p>
    <w:p w:rsidR="0083667D" w:rsidRPr="007A3007" w:rsidRDefault="0083667D" w:rsidP="0083667D">
      <w:pPr>
        <w:jc w:val="both"/>
        <w:rPr>
          <w:rFonts w:ascii="Times New Roman" w:hAnsi="Times New Roman"/>
          <w:b/>
          <w:szCs w:val="22"/>
          <w:u w:val="single"/>
        </w:rPr>
      </w:pPr>
      <w:r w:rsidRPr="007A3007">
        <w:rPr>
          <w:rFonts w:ascii="Times New Roman" w:hAnsi="Times New Roman"/>
          <w:b/>
          <w:szCs w:val="22"/>
          <w:u w:val="single"/>
        </w:rPr>
        <w:t xml:space="preserve"> </w:t>
      </w:r>
    </w:p>
    <w:p w:rsidR="0083667D" w:rsidRDefault="0083667D" w:rsidP="0083667D">
      <w:pPr>
        <w:ind w:firstLine="708"/>
        <w:jc w:val="both"/>
        <w:rPr>
          <w:rFonts w:ascii="Times New Roman" w:hAnsi="Times New Roman"/>
          <w:szCs w:val="22"/>
        </w:rPr>
      </w:pPr>
      <w:r w:rsidRPr="007A3007">
        <w:rPr>
          <w:rFonts w:ascii="Times New Roman" w:hAnsi="Times New Roman"/>
          <w:szCs w:val="22"/>
        </w:rPr>
        <w:t xml:space="preserve"> </w:t>
      </w:r>
      <w:r>
        <w:rPr>
          <w:rFonts w:ascii="Times New Roman" w:hAnsi="Times New Roman"/>
          <w:szCs w:val="22"/>
        </w:rPr>
        <w:t>Vývoj týchto príjmov je nasledovný:</w:t>
      </w:r>
    </w:p>
    <w:p w:rsidR="0083667D" w:rsidRDefault="0083667D" w:rsidP="0083667D">
      <w:pPr>
        <w:ind w:firstLine="708"/>
        <w:jc w:val="both"/>
        <w:rPr>
          <w:rFonts w:ascii="Times New Roman" w:hAnsi="Times New Roman"/>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1"/>
        <w:gridCol w:w="1034"/>
        <w:gridCol w:w="1033"/>
        <w:gridCol w:w="1033"/>
        <w:gridCol w:w="1033"/>
        <w:gridCol w:w="1033"/>
        <w:gridCol w:w="1033"/>
        <w:gridCol w:w="1024"/>
      </w:tblGrid>
      <w:tr w:rsidR="0083667D" w:rsidTr="00DF0EF9">
        <w:trPr>
          <w:trHeight w:val="284"/>
        </w:trPr>
        <w:tc>
          <w:tcPr>
            <w:tcW w:w="1015" w:type="pct"/>
            <w:shd w:val="clear" w:color="auto" w:fill="A6A6A6"/>
            <w:vAlign w:val="center"/>
            <w:hideMark/>
          </w:tcPr>
          <w:p w:rsidR="0083667D" w:rsidRDefault="0083667D" w:rsidP="00DF0EF9">
            <w:pPr>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v tis. eur</w:t>
            </w:r>
          </w:p>
        </w:tc>
        <w:tc>
          <w:tcPr>
            <w:tcW w:w="570" w:type="pct"/>
            <w:shd w:val="clear" w:color="auto"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 xml:space="preserve">6 </w:t>
            </w:r>
            <w:r w:rsidRPr="00502053">
              <w:rPr>
                <w:rFonts w:ascii="Times New Roman" w:hAnsi="Times New Roman" w:cs="Times New Roman"/>
                <w:b/>
                <w:bCs/>
                <w:color w:val="000000"/>
                <w:sz w:val="14"/>
                <w:szCs w:val="14"/>
                <w:lang w:eastAsia="sk-SK"/>
              </w:rPr>
              <w:t>S</w:t>
            </w:r>
          </w:p>
        </w:tc>
        <w:tc>
          <w:tcPr>
            <w:tcW w:w="570" w:type="pct"/>
            <w:shd w:val="clear" w:color="auto"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 S</w:t>
            </w:r>
          </w:p>
        </w:tc>
        <w:tc>
          <w:tcPr>
            <w:tcW w:w="570"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 R</w:t>
            </w:r>
          </w:p>
        </w:tc>
        <w:tc>
          <w:tcPr>
            <w:tcW w:w="570"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 OS</w:t>
            </w:r>
          </w:p>
        </w:tc>
        <w:tc>
          <w:tcPr>
            <w:tcW w:w="570"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9</w:t>
            </w:r>
            <w:r w:rsidRPr="00502053">
              <w:rPr>
                <w:rFonts w:ascii="Times New Roman" w:hAnsi="Times New Roman" w:cs="Times New Roman"/>
                <w:b/>
                <w:bCs/>
                <w:color w:val="000000"/>
                <w:sz w:val="14"/>
                <w:szCs w:val="14"/>
                <w:lang w:eastAsia="sk-SK"/>
              </w:rPr>
              <w:t xml:space="preserve"> N</w:t>
            </w:r>
          </w:p>
        </w:tc>
        <w:tc>
          <w:tcPr>
            <w:tcW w:w="570"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2020</w:t>
            </w:r>
            <w:r w:rsidRPr="00502053">
              <w:rPr>
                <w:rFonts w:ascii="Times New Roman" w:hAnsi="Times New Roman" w:cs="Times New Roman"/>
                <w:b/>
                <w:bCs/>
                <w:color w:val="000000"/>
                <w:sz w:val="14"/>
                <w:szCs w:val="14"/>
                <w:lang w:eastAsia="sk-SK"/>
              </w:rPr>
              <w:t xml:space="preserve"> N</w:t>
            </w:r>
          </w:p>
        </w:tc>
        <w:tc>
          <w:tcPr>
            <w:tcW w:w="566"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2021</w:t>
            </w:r>
            <w:r w:rsidRPr="00502053">
              <w:rPr>
                <w:rFonts w:ascii="Times New Roman" w:hAnsi="Times New Roman" w:cs="Times New Roman"/>
                <w:b/>
                <w:bCs/>
                <w:color w:val="000000"/>
                <w:sz w:val="14"/>
                <w:szCs w:val="14"/>
                <w:lang w:eastAsia="sk-SK"/>
              </w:rPr>
              <w:t xml:space="preserve"> N</w:t>
            </w:r>
          </w:p>
        </w:tc>
      </w:tr>
      <w:tr w:rsidR="0083667D" w:rsidTr="00DF0EF9">
        <w:trPr>
          <w:trHeight w:val="284"/>
        </w:trPr>
        <w:tc>
          <w:tcPr>
            <w:tcW w:w="1015" w:type="pct"/>
            <w:shd w:val="clear" w:color="auto" w:fill="BFBFBF"/>
            <w:vAlign w:val="center"/>
            <w:hideMark/>
          </w:tcPr>
          <w:p w:rsidR="0083667D" w:rsidRDefault="0083667D" w:rsidP="00DF0EF9">
            <w:pPr>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Kapitálové príjmy</w:t>
            </w:r>
          </w:p>
        </w:tc>
        <w:tc>
          <w:tcPr>
            <w:tcW w:w="570" w:type="pct"/>
            <w:shd w:val="clear" w:color="auto" w:fill="BFBFBF"/>
            <w:vAlign w:val="center"/>
          </w:tcPr>
          <w:p w:rsidR="0083667D" w:rsidRDefault="0083667D" w:rsidP="00DF0EF9">
            <w:pPr>
              <w:jc w:val="right"/>
              <w:rPr>
                <w:rFonts w:ascii="Times New Roman" w:hAnsi="Times New Roman" w:cs="Times New Roman"/>
                <w:b/>
                <w:bCs/>
                <w:color w:val="000000"/>
                <w:sz w:val="14"/>
                <w:szCs w:val="14"/>
              </w:rPr>
            </w:pPr>
            <w:r w:rsidRPr="00053647">
              <w:rPr>
                <w:rFonts w:ascii="Times New Roman" w:hAnsi="Times New Roman" w:cs="Times New Roman"/>
                <w:b/>
                <w:bCs/>
                <w:color w:val="000000"/>
                <w:sz w:val="14"/>
                <w:szCs w:val="14"/>
              </w:rPr>
              <w:t>19 692</w:t>
            </w:r>
          </w:p>
        </w:tc>
        <w:tc>
          <w:tcPr>
            <w:tcW w:w="570" w:type="pct"/>
            <w:shd w:val="clear" w:color="auto" w:fill="BFBFBF"/>
            <w:vAlign w:val="center"/>
          </w:tcPr>
          <w:p w:rsidR="0083667D" w:rsidRPr="009402DD" w:rsidRDefault="0083667D" w:rsidP="00DF0EF9">
            <w:pPr>
              <w:jc w:val="right"/>
              <w:rPr>
                <w:rFonts w:ascii="Times New Roman" w:hAnsi="Times New Roman" w:cs="Times New Roman"/>
                <w:b/>
                <w:bCs/>
                <w:color w:val="000000"/>
                <w:sz w:val="14"/>
                <w:szCs w:val="14"/>
                <w:highlight w:val="yellow"/>
              </w:rPr>
            </w:pPr>
            <w:r w:rsidRPr="00636983">
              <w:rPr>
                <w:rFonts w:ascii="Times New Roman" w:hAnsi="Times New Roman" w:cs="Times New Roman"/>
                <w:b/>
                <w:bCs/>
                <w:color w:val="000000"/>
                <w:sz w:val="14"/>
                <w:szCs w:val="14"/>
              </w:rPr>
              <w:t>11 748</w:t>
            </w:r>
          </w:p>
        </w:tc>
        <w:tc>
          <w:tcPr>
            <w:tcW w:w="570" w:type="pct"/>
            <w:shd w:val="clear" w:color="auto" w:fill="BFBFBF"/>
            <w:vAlign w:val="center"/>
          </w:tcPr>
          <w:p w:rsidR="0083667D" w:rsidRPr="00022A83" w:rsidRDefault="0083667D" w:rsidP="00DF0EF9">
            <w:pPr>
              <w:jc w:val="right"/>
              <w:rPr>
                <w:rFonts w:ascii="Times New Roman" w:hAnsi="Times New Roman" w:cs="Times New Roman"/>
                <w:b/>
                <w:bCs/>
                <w:color w:val="000000"/>
                <w:sz w:val="14"/>
                <w:szCs w:val="14"/>
              </w:rPr>
            </w:pPr>
            <w:r w:rsidRPr="00B342B6">
              <w:rPr>
                <w:rFonts w:ascii="Times New Roman" w:hAnsi="Times New Roman" w:cs="Times New Roman"/>
                <w:b/>
                <w:bCs/>
                <w:color w:val="000000"/>
                <w:sz w:val="14"/>
                <w:szCs w:val="14"/>
              </w:rPr>
              <w:t>44 488</w:t>
            </w:r>
          </w:p>
        </w:tc>
        <w:tc>
          <w:tcPr>
            <w:tcW w:w="570" w:type="pct"/>
            <w:shd w:val="clear" w:color="auto" w:fill="BFBFBF"/>
            <w:vAlign w:val="center"/>
          </w:tcPr>
          <w:p w:rsidR="0083667D" w:rsidRPr="00022A83"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45 641</w:t>
            </w:r>
          </w:p>
        </w:tc>
        <w:tc>
          <w:tcPr>
            <w:tcW w:w="570" w:type="pct"/>
            <w:shd w:val="clear" w:color="auto" w:fill="BFBFBF"/>
            <w:vAlign w:val="center"/>
          </w:tcPr>
          <w:p w:rsidR="0083667D" w:rsidRPr="00022A83" w:rsidRDefault="0083667D" w:rsidP="00DF0EF9">
            <w:pPr>
              <w:jc w:val="right"/>
              <w:rPr>
                <w:rFonts w:ascii="Times New Roman" w:hAnsi="Times New Roman" w:cs="Times New Roman"/>
                <w:b/>
                <w:bCs/>
                <w:color w:val="000000"/>
                <w:sz w:val="14"/>
                <w:szCs w:val="14"/>
              </w:rPr>
            </w:pPr>
            <w:r w:rsidRPr="0065780B">
              <w:rPr>
                <w:rFonts w:ascii="Times New Roman" w:hAnsi="Times New Roman" w:cs="Times New Roman"/>
                <w:b/>
                <w:bCs/>
                <w:color w:val="000000"/>
                <w:sz w:val="14"/>
                <w:szCs w:val="14"/>
              </w:rPr>
              <w:t>52 691</w:t>
            </w:r>
          </w:p>
        </w:tc>
        <w:tc>
          <w:tcPr>
            <w:tcW w:w="570" w:type="pct"/>
            <w:shd w:val="clear" w:color="auto" w:fill="BFBFBF"/>
            <w:vAlign w:val="center"/>
          </w:tcPr>
          <w:p w:rsidR="0083667D" w:rsidRPr="00022A83" w:rsidRDefault="0083667D" w:rsidP="00DF0EF9">
            <w:pPr>
              <w:jc w:val="right"/>
              <w:rPr>
                <w:rFonts w:ascii="Times New Roman" w:hAnsi="Times New Roman" w:cs="Times New Roman"/>
                <w:b/>
                <w:bCs/>
                <w:color w:val="000000"/>
                <w:sz w:val="14"/>
                <w:szCs w:val="14"/>
              </w:rPr>
            </w:pPr>
            <w:r w:rsidRPr="00E45E0A">
              <w:rPr>
                <w:rFonts w:ascii="Times New Roman" w:hAnsi="Times New Roman" w:cs="Times New Roman"/>
                <w:b/>
                <w:bCs/>
                <w:color w:val="000000"/>
                <w:sz w:val="14"/>
                <w:szCs w:val="14"/>
              </w:rPr>
              <w:t>45 191</w:t>
            </w:r>
          </w:p>
        </w:tc>
        <w:tc>
          <w:tcPr>
            <w:tcW w:w="566" w:type="pct"/>
            <w:shd w:val="clear" w:color="auto" w:fill="BFBFBF"/>
            <w:vAlign w:val="center"/>
          </w:tcPr>
          <w:p w:rsidR="0083667D" w:rsidRPr="00022A83" w:rsidRDefault="0083667D" w:rsidP="00DF0EF9">
            <w:pPr>
              <w:jc w:val="right"/>
              <w:rPr>
                <w:rFonts w:ascii="Times New Roman" w:hAnsi="Times New Roman" w:cs="Times New Roman"/>
                <w:b/>
                <w:bCs/>
                <w:color w:val="000000"/>
                <w:sz w:val="14"/>
                <w:szCs w:val="14"/>
              </w:rPr>
            </w:pPr>
            <w:r w:rsidRPr="00E21DFB">
              <w:rPr>
                <w:rFonts w:ascii="Times New Roman" w:hAnsi="Times New Roman" w:cs="Times New Roman"/>
                <w:b/>
                <w:bCs/>
                <w:color w:val="000000"/>
                <w:sz w:val="14"/>
                <w:szCs w:val="14"/>
              </w:rPr>
              <w:t>45 191</w:t>
            </w:r>
          </w:p>
        </w:tc>
      </w:tr>
      <w:tr w:rsidR="0083667D" w:rsidTr="00DF0EF9">
        <w:trPr>
          <w:trHeight w:val="284"/>
        </w:trPr>
        <w:tc>
          <w:tcPr>
            <w:tcW w:w="1015" w:type="pct"/>
            <w:shd w:val="clear" w:color="auto" w:fill="FFFFFF"/>
            <w:vAlign w:val="center"/>
            <w:hideMark/>
          </w:tcPr>
          <w:p w:rsidR="0083667D" w:rsidRDefault="0083667D" w:rsidP="00DF0EF9">
            <w:pPr>
              <w:ind w:left="366" w:hanging="366"/>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v tom: z predaja  kapitálových aktív</w:t>
            </w:r>
          </w:p>
        </w:tc>
        <w:tc>
          <w:tcPr>
            <w:tcW w:w="570"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8 867</w:t>
            </w:r>
          </w:p>
        </w:tc>
        <w:tc>
          <w:tcPr>
            <w:tcW w:w="570" w:type="pct"/>
            <w:shd w:val="clear" w:color="auto" w:fill="FFFFFF"/>
            <w:vAlign w:val="center"/>
          </w:tcPr>
          <w:p w:rsidR="0083667D" w:rsidRPr="009402DD" w:rsidRDefault="0083667D" w:rsidP="00DF0EF9">
            <w:pPr>
              <w:jc w:val="right"/>
              <w:rPr>
                <w:rFonts w:ascii="Times New Roman" w:hAnsi="Times New Roman" w:cs="Times New Roman"/>
                <w:color w:val="000000"/>
                <w:sz w:val="14"/>
                <w:szCs w:val="14"/>
                <w:highlight w:val="yellow"/>
              </w:rPr>
            </w:pPr>
            <w:r w:rsidRPr="00636983">
              <w:rPr>
                <w:rFonts w:ascii="Times New Roman" w:hAnsi="Times New Roman" w:cs="Times New Roman"/>
                <w:color w:val="000000"/>
                <w:sz w:val="14"/>
                <w:szCs w:val="14"/>
              </w:rPr>
              <w:t>3 595</w:t>
            </w:r>
          </w:p>
        </w:tc>
        <w:tc>
          <w:tcPr>
            <w:tcW w:w="570"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40 399</w:t>
            </w:r>
          </w:p>
        </w:tc>
        <w:tc>
          <w:tcPr>
            <w:tcW w:w="570"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41 583</w:t>
            </w:r>
          </w:p>
        </w:tc>
        <w:tc>
          <w:tcPr>
            <w:tcW w:w="570"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48 177</w:t>
            </w:r>
          </w:p>
        </w:tc>
        <w:tc>
          <w:tcPr>
            <w:tcW w:w="570"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40 677</w:t>
            </w:r>
          </w:p>
        </w:tc>
        <w:tc>
          <w:tcPr>
            <w:tcW w:w="566"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40 677</w:t>
            </w:r>
          </w:p>
        </w:tc>
      </w:tr>
      <w:tr w:rsidR="0083667D" w:rsidTr="00DF0EF9">
        <w:trPr>
          <w:trHeight w:val="284"/>
        </w:trPr>
        <w:tc>
          <w:tcPr>
            <w:tcW w:w="1015" w:type="pct"/>
            <w:shd w:val="clear" w:color="auto" w:fill="FFFFFF"/>
            <w:vAlign w:val="center"/>
            <w:hideMark/>
          </w:tcPr>
          <w:p w:rsidR="0083667D" w:rsidRDefault="0083667D" w:rsidP="00DF0EF9">
            <w:pPr>
              <w:ind w:left="366"/>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z predaja hmotných a mobilizačných rezerv</w:t>
            </w:r>
          </w:p>
        </w:tc>
        <w:tc>
          <w:tcPr>
            <w:tcW w:w="570"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70" w:type="pct"/>
            <w:shd w:val="clear" w:color="auto" w:fill="FFFFFF"/>
            <w:vAlign w:val="center"/>
          </w:tcPr>
          <w:p w:rsidR="0083667D" w:rsidRPr="009402DD" w:rsidRDefault="0083667D" w:rsidP="00DF0EF9">
            <w:pPr>
              <w:jc w:val="right"/>
              <w:rPr>
                <w:rFonts w:ascii="Times New Roman" w:hAnsi="Times New Roman" w:cs="Times New Roman"/>
                <w:color w:val="000000"/>
                <w:sz w:val="14"/>
                <w:szCs w:val="14"/>
                <w:highlight w:val="yellow"/>
              </w:rPr>
            </w:pPr>
            <w:r w:rsidRPr="00F67920">
              <w:rPr>
                <w:rFonts w:ascii="Times New Roman" w:hAnsi="Times New Roman" w:cs="Times New Roman"/>
                <w:color w:val="000000"/>
                <w:sz w:val="14"/>
                <w:szCs w:val="14"/>
              </w:rPr>
              <w:t>0</w:t>
            </w:r>
          </w:p>
        </w:tc>
        <w:tc>
          <w:tcPr>
            <w:tcW w:w="570"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20</w:t>
            </w:r>
          </w:p>
        </w:tc>
        <w:tc>
          <w:tcPr>
            <w:tcW w:w="570"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70"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70"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66"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83667D" w:rsidTr="00DF0EF9">
        <w:trPr>
          <w:trHeight w:val="349"/>
        </w:trPr>
        <w:tc>
          <w:tcPr>
            <w:tcW w:w="1015" w:type="pct"/>
            <w:shd w:val="clear" w:color="auto" w:fill="FFFFFF"/>
            <w:vAlign w:val="center"/>
            <w:hideMark/>
          </w:tcPr>
          <w:p w:rsidR="0083667D" w:rsidRDefault="0083667D" w:rsidP="00DF0EF9">
            <w:pPr>
              <w:ind w:left="366"/>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z predaja pozemkov a nehmotných aktív</w:t>
            </w:r>
          </w:p>
        </w:tc>
        <w:tc>
          <w:tcPr>
            <w:tcW w:w="570"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3 994</w:t>
            </w:r>
          </w:p>
        </w:tc>
        <w:tc>
          <w:tcPr>
            <w:tcW w:w="570" w:type="pct"/>
            <w:shd w:val="clear" w:color="auto" w:fill="FFFFFF"/>
            <w:vAlign w:val="center"/>
          </w:tcPr>
          <w:p w:rsidR="0083667D" w:rsidRPr="009402DD" w:rsidRDefault="0083667D" w:rsidP="00DF0EF9">
            <w:pPr>
              <w:jc w:val="right"/>
              <w:rPr>
                <w:rFonts w:ascii="Times New Roman" w:hAnsi="Times New Roman" w:cs="Times New Roman"/>
                <w:color w:val="000000"/>
                <w:sz w:val="14"/>
                <w:szCs w:val="14"/>
                <w:highlight w:val="yellow"/>
              </w:rPr>
            </w:pPr>
            <w:r w:rsidRPr="00636983">
              <w:rPr>
                <w:rFonts w:ascii="Times New Roman" w:hAnsi="Times New Roman" w:cs="Times New Roman"/>
                <w:color w:val="000000"/>
                <w:sz w:val="14"/>
                <w:szCs w:val="14"/>
              </w:rPr>
              <w:t>7 413</w:t>
            </w:r>
          </w:p>
        </w:tc>
        <w:tc>
          <w:tcPr>
            <w:tcW w:w="570"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3 770</w:t>
            </w:r>
          </w:p>
        </w:tc>
        <w:tc>
          <w:tcPr>
            <w:tcW w:w="570"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3 759</w:t>
            </w:r>
          </w:p>
        </w:tc>
        <w:tc>
          <w:tcPr>
            <w:tcW w:w="570"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4 215</w:t>
            </w:r>
          </w:p>
        </w:tc>
        <w:tc>
          <w:tcPr>
            <w:tcW w:w="570"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4 215</w:t>
            </w:r>
          </w:p>
        </w:tc>
        <w:tc>
          <w:tcPr>
            <w:tcW w:w="566"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4 215</w:t>
            </w:r>
          </w:p>
        </w:tc>
      </w:tr>
      <w:tr w:rsidR="0083667D" w:rsidTr="00DF0EF9">
        <w:trPr>
          <w:trHeight w:val="284"/>
        </w:trPr>
        <w:tc>
          <w:tcPr>
            <w:tcW w:w="1015" w:type="pct"/>
            <w:shd w:val="clear" w:color="auto" w:fill="FFFFFF"/>
            <w:vAlign w:val="center"/>
            <w:hideMark/>
          </w:tcPr>
          <w:p w:rsidR="0083667D" w:rsidRDefault="0083667D" w:rsidP="00DF0EF9">
            <w:pPr>
              <w:ind w:left="366"/>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ďalšie kapitálové príjmy</w:t>
            </w:r>
          </w:p>
        </w:tc>
        <w:tc>
          <w:tcPr>
            <w:tcW w:w="570"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6 831</w:t>
            </w:r>
          </w:p>
        </w:tc>
        <w:tc>
          <w:tcPr>
            <w:tcW w:w="570" w:type="pct"/>
            <w:shd w:val="clear" w:color="auto" w:fill="FFFFFF"/>
            <w:vAlign w:val="center"/>
          </w:tcPr>
          <w:p w:rsidR="0083667D" w:rsidRPr="009402DD" w:rsidRDefault="0083667D" w:rsidP="00DF0EF9">
            <w:pPr>
              <w:jc w:val="right"/>
              <w:rPr>
                <w:rFonts w:ascii="Times New Roman" w:hAnsi="Times New Roman" w:cs="Times New Roman"/>
                <w:color w:val="000000"/>
                <w:sz w:val="14"/>
                <w:szCs w:val="14"/>
                <w:highlight w:val="yellow"/>
              </w:rPr>
            </w:pPr>
            <w:r>
              <w:rPr>
                <w:rFonts w:ascii="Times New Roman" w:hAnsi="Times New Roman" w:cs="Times New Roman"/>
                <w:color w:val="000000"/>
                <w:sz w:val="14"/>
                <w:szCs w:val="14"/>
              </w:rPr>
              <w:t>740</w:t>
            </w:r>
          </w:p>
        </w:tc>
        <w:tc>
          <w:tcPr>
            <w:tcW w:w="570"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299</w:t>
            </w:r>
          </w:p>
        </w:tc>
        <w:tc>
          <w:tcPr>
            <w:tcW w:w="570"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sidRPr="00424FA8">
              <w:rPr>
                <w:rFonts w:ascii="Times New Roman" w:hAnsi="Times New Roman" w:cs="Times New Roman"/>
                <w:color w:val="000000"/>
                <w:sz w:val="14"/>
                <w:szCs w:val="14"/>
              </w:rPr>
              <w:t>299</w:t>
            </w:r>
          </w:p>
        </w:tc>
        <w:tc>
          <w:tcPr>
            <w:tcW w:w="570"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299</w:t>
            </w:r>
          </w:p>
        </w:tc>
        <w:tc>
          <w:tcPr>
            <w:tcW w:w="570"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299</w:t>
            </w:r>
          </w:p>
        </w:tc>
        <w:tc>
          <w:tcPr>
            <w:tcW w:w="566" w:type="pct"/>
            <w:shd w:val="clear" w:color="auto" w:fill="FFFFFF"/>
            <w:vAlign w:val="center"/>
          </w:tcPr>
          <w:p w:rsidR="0083667D" w:rsidRPr="00022A83"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299</w:t>
            </w:r>
          </w:p>
        </w:tc>
      </w:tr>
    </w:tbl>
    <w:p w:rsidR="0083667D" w:rsidRDefault="0083667D" w:rsidP="0083667D">
      <w:pPr>
        <w:ind w:firstLine="708"/>
        <w:rPr>
          <w:rFonts w:ascii="Times New Roman" w:hAnsi="Times New Roman"/>
          <w:szCs w:val="22"/>
        </w:rPr>
      </w:pPr>
    </w:p>
    <w:p w:rsidR="0083667D" w:rsidRDefault="0083667D" w:rsidP="0083667D">
      <w:pPr>
        <w:ind w:firstLine="708"/>
        <w:jc w:val="both"/>
        <w:rPr>
          <w:rFonts w:ascii="Times New Roman" w:hAnsi="Times New Roman"/>
          <w:b/>
          <w:i/>
          <w:szCs w:val="22"/>
        </w:rPr>
      </w:pPr>
      <w:r>
        <w:rPr>
          <w:rFonts w:ascii="Times New Roman" w:hAnsi="Times New Roman"/>
          <w:b/>
          <w:i/>
          <w:szCs w:val="22"/>
        </w:rPr>
        <w:t xml:space="preserve">Úroky z tuzemských a zahraničných úverov, pôžičiek, návratných finančných výpomocí a vkladov </w:t>
      </w:r>
    </w:p>
    <w:p w:rsidR="0083667D" w:rsidRDefault="0083667D" w:rsidP="0083667D">
      <w:pPr>
        <w:ind w:firstLine="708"/>
        <w:jc w:val="both"/>
        <w:rPr>
          <w:rFonts w:ascii="Times New Roman" w:hAnsi="Times New Roman"/>
          <w:b/>
          <w:i/>
          <w:szCs w:val="22"/>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1"/>
        <w:gridCol w:w="1001"/>
        <w:gridCol w:w="998"/>
        <w:gridCol w:w="998"/>
        <w:gridCol w:w="998"/>
        <w:gridCol w:w="998"/>
        <w:gridCol w:w="998"/>
        <w:gridCol w:w="988"/>
      </w:tblGrid>
      <w:tr w:rsidR="0083667D" w:rsidTr="00DF0EF9">
        <w:trPr>
          <w:trHeight w:val="284"/>
        </w:trPr>
        <w:tc>
          <w:tcPr>
            <w:tcW w:w="1148" w:type="pct"/>
            <w:shd w:val="clear" w:color="auto" w:fill="A6A6A6"/>
            <w:vAlign w:val="center"/>
            <w:hideMark/>
          </w:tcPr>
          <w:p w:rsidR="0083667D" w:rsidRDefault="0083667D" w:rsidP="00DF0EF9">
            <w:pPr>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v tis. eur</w:t>
            </w:r>
          </w:p>
        </w:tc>
        <w:tc>
          <w:tcPr>
            <w:tcW w:w="552" w:type="pct"/>
            <w:shd w:val="clear" w:color="auto"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 xml:space="preserve">6 </w:t>
            </w:r>
            <w:r w:rsidRPr="00502053">
              <w:rPr>
                <w:rFonts w:ascii="Times New Roman" w:hAnsi="Times New Roman" w:cs="Times New Roman"/>
                <w:b/>
                <w:bCs/>
                <w:color w:val="000000"/>
                <w:sz w:val="14"/>
                <w:szCs w:val="14"/>
                <w:lang w:eastAsia="sk-SK"/>
              </w:rPr>
              <w:t>S</w:t>
            </w:r>
          </w:p>
        </w:tc>
        <w:tc>
          <w:tcPr>
            <w:tcW w:w="551" w:type="pct"/>
            <w:shd w:val="clear" w:color="auto"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 S</w:t>
            </w:r>
          </w:p>
        </w:tc>
        <w:tc>
          <w:tcPr>
            <w:tcW w:w="551"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 R</w:t>
            </w:r>
          </w:p>
        </w:tc>
        <w:tc>
          <w:tcPr>
            <w:tcW w:w="551"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 OS</w:t>
            </w:r>
          </w:p>
        </w:tc>
        <w:tc>
          <w:tcPr>
            <w:tcW w:w="551"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9</w:t>
            </w:r>
            <w:r w:rsidRPr="00502053">
              <w:rPr>
                <w:rFonts w:ascii="Times New Roman" w:hAnsi="Times New Roman" w:cs="Times New Roman"/>
                <w:b/>
                <w:bCs/>
                <w:color w:val="000000"/>
                <w:sz w:val="14"/>
                <w:szCs w:val="14"/>
                <w:lang w:eastAsia="sk-SK"/>
              </w:rPr>
              <w:t xml:space="preserve"> N</w:t>
            </w:r>
          </w:p>
        </w:tc>
        <w:tc>
          <w:tcPr>
            <w:tcW w:w="551"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2020</w:t>
            </w:r>
            <w:r w:rsidRPr="00502053">
              <w:rPr>
                <w:rFonts w:ascii="Times New Roman" w:hAnsi="Times New Roman" w:cs="Times New Roman"/>
                <w:b/>
                <w:bCs/>
                <w:color w:val="000000"/>
                <w:sz w:val="14"/>
                <w:szCs w:val="14"/>
                <w:lang w:eastAsia="sk-SK"/>
              </w:rPr>
              <w:t xml:space="preserve"> N</w:t>
            </w:r>
          </w:p>
        </w:tc>
        <w:tc>
          <w:tcPr>
            <w:tcW w:w="546"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2021</w:t>
            </w:r>
            <w:r w:rsidRPr="00502053">
              <w:rPr>
                <w:rFonts w:ascii="Times New Roman" w:hAnsi="Times New Roman" w:cs="Times New Roman"/>
                <w:b/>
                <w:bCs/>
                <w:color w:val="000000"/>
                <w:sz w:val="14"/>
                <w:szCs w:val="14"/>
                <w:lang w:eastAsia="sk-SK"/>
              </w:rPr>
              <w:t xml:space="preserve"> N</w:t>
            </w:r>
          </w:p>
        </w:tc>
      </w:tr>
      <w:tr w:rsidR="0083667D" w:rsidTr="00DF0EF9">
        <w:trPr>
          <w:trHeight w:val="284"/>
        </w:trPr>
        <w:tc>
          <w:tcPr>
            <w:tcW w:w="1148" w:type="pct"/>
            <w:shd w:val="clear" w:color="auto" w:fill="BFBFBF"/>
            <w:vAlign w:val="center"/>
            <w:hideMark/>
          </w:tcPr>
          <w:p w:rsidR="0083667D" w:rsidRDefault="0083667D" w:rsidP="00DF0EF9">
            <w:pPr>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Spolu</w:t>
            </w:r>
          </w:p>
        </w:tc>
        <w:tc>
          <w:tcPr>
            <w:tcW w:w="552" w:type="pct"/>
            <w:shd w:val="clear" w:color="auto" w:fill="BFBFBF"/>
            <w:vAlign w:val="center"/>
          </w:tcPr>
          <w:p w:rsidR="0083667D" w:rsidRPr="00B359B0" w:rsidRDefault="0083667D" w:rsidP="00DF0EF9">
            <w:pPr>
              <w:jc w:val="right"/>
              <w:rPr>
                <w:rFonts w:ascii="Times New Roman" w:hAnsi="Times New Roman" w:cs="Times New Roman"/>
                <w:b/>
                <w:bCs/>
                <w:sz w:val="14"/>
                <w:szCs w:val="14"/>
              </w:rPr>
            </w:pPr>
            <w:r w:rsidRPr="00B359B0">
              <w:rPr>
                <w:rFonts w:ascii="Times New Roman" w:hAnsi="Times New Roman" w:cs="Times New Roman"/>
                <w:b/>
                <w:bCs/>
                <w:sz w:val="14"/>
                <w:szCs w:val="14"/>
              </w:rPr>
              <w:t>9 052</w:t>
            </w:r>
          </w:p>
        </w:tc>
        <w:tc>
          <w:tcPr>
            <w:tcW w:w="551" w:type="pct"/>
            <w:shd w:val="clear" w:color="auto" w:fill="BFBFBF"/>
            <w:vAlign w:val="center"/>
          </w:tcPr>
          <w:p w:rsidR="0083667D" w:rsidRPr="006A6B83" w:rsidRDefault="0083667D" w:rsidP="00DF0EF9">
            <w:pPr>
              <w:jc w:val="right"/>
              <w:rPr>
                <w:rFonts w:ascii="Times New Roman" w:hAnsi="Times New Roman" w:cs="Times New Roman"/>
                <w:b/>
                <w:bCs/>
                <w:color w:val="000000"/>
                <w:sz w:val="14"/>
                <w:szCs w:val="14"/>
                <w:highlight w:val="yellow"/>
              </w:rPr>
            </w:pPr>
            <w:r w:rsidRPr="004E7FC9">
              <w:rPr>
                <w:rFonts w:ascii="Times New Roman" w:hAnsi="Times New Roman" w:cs="Times New Roman"/>
                <w:b/>
                <w:bCs/>
                <w:color w:val="000000"/>
                <w:sz w:val="14"/>
                <w:szCs w:val="14"/>
              </w:rPr>
              <w:t>28 61</w:t>
            </w:r>
            <w:r>
              <w:rPr>
                <w:rFonts w:ascii="Times New Roman" w:hAnsi="Times New Roman" w:cs="Times New Roman"/>
                <w:b/>
                <w:bCs/>
                <w:color w:val="000000"/>
                <w:sz w:val="14"/>
                <w:szCs w:val="14"/>
              </w:rPr>
              <w:t>9</w:t>
            </w:r>
          </w:p>
        </w:tc>
        <w:tc>
          <w:tcPr>
            <w:tcW w:w="551" w:type="pct"/>
            <w:shd w:val="clear" w:color="auto" w:fill="BFBFBF"/>
            <w:vAlign w:val="center"/>
          </w:tcPr>
          <w:p w:rsidR="0083667D" w:rsidRPr="0030562B" w:rsidRDefault="0083667D" w:rsidP="00DF0EF9">
            <w:pPr>
              <w:jc w:val="right"/>
              <w:rPr>
                <w:rFonts w:ascii="Times New Roman" w:hAnsi="Times New Roman" w:cs="Times New Roman"/>
                <w:b/>
                <w:bCs/>
                <w:color w:val="000000"/>
                <w:sz w:val="14"/>
                <w:szCs w:val="14"/>
              </w:rPr>
            </w:pPr>
            <w:r w:rsidRPr="009A579B">
              <w:rPr>
                <w:rFonts w:ascii="Times New Roman" w:hAnsi="Times New Roman" w:cs="Times New Roman"/>
                <w:b/>
                <w:bCs/>
                <w:color w:val="000000"/>
                <w:sz w:val="14"/>
                <w:szCs w:val="14"/>
              </w:rPr>
              <w:t>7 125</w:t>
            </w:r>
          </w:p>
        </w:tc>
        <w:tc>
          <w:tcPr>
            <w:tcW w:w="551" w:type="pct"/>
            <w:shd w:val="clear" w:color="auto" w:fill="BFBFBF"/>
            <w:vAlign w:val="center"/>
          </w:tcPr>
          <w:p w:rsidR="0083667D" w:rsidRPr="0030562B"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7 578</w:t>
            </w:r>
          </w:p>
        </w:tc>
        <w:tc>
          <w:tcPr>
            <w:tcW w:w="551" w:type="pct"/>
            <w:shd w:val="clear" w:color="auto" w:fill="BFBFBF"/>
            <w:vAlign w:val="center"/>
          </w:tcPr>
          <w:p w:rsidR="0083667D" w:rsidRPr="0030562B" w:rsidRDefault="0083667D" w:rsidP="00DF0EF9">
            <w:pPr>
              <w:jc w:val="right"/>
              <w:rPr>
                <w:rFonts w:ascii="Times New Roman" w:hAnsi="Times New Roman" w:cs="Times New Roman"/>
                <w:b/>
                <w:bCs/>
                <w:color w:val="000000"/>
                <w:sz w:val="14"/>
                <w:szCs w:val="14"/>
              </w:rPr>
            </w:pPr>
            <w:r w:rsidRPr="0065780B">
              <w:rPr>
                <w:rFonts w:ascii="Times New Roman" w:hAnsi="Times New Roman" w:cs="Times New Roman"/>
                <w:b/>
                <w:bCs/>
                <w:color w:val="000000"/>
                <w:sz w:val="14"/>
                <w:szCs w:val="14"/>
              </w:rPr>
              <w:t>6 754</w:t>
            </w:r>
          </w:p>
        </w:tc>
        <w:tc>
          <w:tcPr>
            <w:tcW w:w="551" w:type="pct"/>
            <w:shd w:val="clear" w:color="auto" w:fill="BFBFBF"/>
            <w:vAlign w:val="center"/>
          </w:tcPr>
          <w:p w:rsidR="0083667D" w:rsidRPr="0030562B" w:rsidRDefault="0083667D" w:rsidP="00DF0EF9">
            <w:pPr>
              <w:jc w:val="right"/>
              <w:rPr>
                <w:rFonts w:ascii="Times New Roman" w:hAnsi="Times New Roman" w:cs="Times New Roman"/>
                <w:b/>
                <w:bCs/>
                <w:color w:val="000000"/>
                <w:sz w:val="14"/>
                <w:szCs w:val="14"/>
              </w:rPr>
            </w:pPr>
            <w:r w:rsidRPr="00295509">
              <w:rPr>
                <w:rFonts w:ascii="Times New Roman" w:hAnsi="Times New Roman" w:cs="Times New Roman"/>
                <w:b/>
                <w:bCs/>
                <w:color w:val="000000"/>
                <w:sz w:val="14"/>
                <w:szCs w:val="14"/>
              </w:rPr>
              <w:t>6 963</w:t>
            </w:r>
          </w:p>
        </w:tc>
        <w:tc>
          <w:tcPr>
            <w:tcW w:w="546" w:type="pct"/>
            <w:shd w:val="clear" w:color="auto" w:fill="BFBFBF"/>
            <w:vAlign w:val="center"/>
          </w:tcPr>
          <w:p w:rsidR="0083667D" w:rsidRPr="0030562B" w:rsidRDefault="0083667D" w:rsidP="00DF0EF9">
            <w:pPr>
              <w:jc w:val="right"/>
              <w:rPr>
                <w:rFonts w:ascii="Times New Roman" w:hAnsi="Times New Roman" w:cs="Times New Roman"/>
                <w:b/>
                <w:bCs/>
                <w:color w:val="000000"/>
                <w:sz w:val="14"/>
                <w:szCs w:val="14"/>
              </w:rPr>
            </w:pPr>
            <w:r w:rsidRPr="00E21DFB">
              <w:rPr>
                <w:rFonts w:ascii="Times New Roman" w:hAnsi="Times New Roman" w:cs="Times New Roman"/>
                <w:b/>
                <w:bCs/>
                <w:color w:val="000000"/>
                <w:sz w:val="14"/>
                <w:szCs w:val="14"/>
              </w:rPr>
              <w:t>19 172</w:t>
            </w:r>
          </w:p>
        </w:tc>
      </w:tr>
      <w:tr w:rsidR="0083667D" w:rsidTr="00DF0EF9">
        <w:trPr>
          <w:trHeight w:val="284"/>
        </w:trPr>
        <w:tc>
          <w:tcPr>
            <w:tcW w:w="1148" w:type="pct"/>
            <w:shd w:val="clear" w:color="auto" w:fill="FFFFFF"/>
            <w:vAlign w:val="center"/>
            <w:hideMark/>
          </w:tcPr>
          <w:p w:rsidR="0083667D" w:rsidRPr="001710AA" w:rsidRDefault="0083667D" w:rsidP="00DF0EF9">
            <w:pPr>
              <w:jc w:val="both"/>
              <w:rPr>
                <w:rFonts w:ascii="Times New Roman" w:hAnsi="Times New Roman" w:cs="Times New Roman"/>
                <w:color w:val="000000"/>
                <w:sz w:val="14"/>
                <w:szCs w:val="14"/>
                <w:highlight w:val="yellow"/>
                <w:lang w:eastAsia="sk-SK"/>
              </w:rPr>
            </w:pPr>
            <w:r w:rsidRPr="00E60A99">
              <w:rPr>
                <w:rFonts w:ascii="Times New Roman" w:hAnsi="Times New Roman" w:cs="Times New Roman"/>
                <w:color w:val="000000"/>
                <w:sz w:val="14"/>
                <w:szCs w:val="14"/>
                <w:lang w:eastAsia="sk-SK"/>
              </w:rPr>
              <w:t>Úroky z účtov finančného hospodárenia so ŠP</w:t>
            </w:r>
          </w:p>
        </w:tc>
        <w:tc>
          <w:tcPr>
            <w:tcW w:w="552" w:type="pct"/>
            <w:shd w:val="clear" w:color="auto" w:fill="FFFFFF"/>
            <w:vAlign w:val="center"/>
          </w:tcPr>
          <w:p w:rsidR="0083667D" w:rsidRPr="00B359B0" w:rsidRDefault="0083667D" w:rsidP="00DF0EF9">
            <w:pPr>
              <w:jc w:val="right"/>
              <w:rPr>
                <w:rFonts w:ascii="Times New Roman" w:hAnsi="Times New Roman" w:cs="Times New Roman"/>
                <w:sz w:val="14"/>
                <w:szCs w:val="14"/>
              </w:rPr>
            </w:pPr>
            <w:r w:rsidRPr="00B359B0">
              <w:rPr>
                <w:rFonts w:ascii="Times New Roman" w:hAnsi="Times New Roman" w:cs="Times New Roman"/>
                <w:sz w:val="14"/>
                <w:szCs w:val="14"/>
              </w:rPr>
              <w:t>3 060</w:t>
            </w:r>
          </w:p>
        </w:tc>
        <w:tc>
          <w:tcPr>
            <w:tcW w:w="551" w:type="pct"/>
            <w:shd w:val="clear" w:color="auto" w:fill="FFFFFF"/>
            <w:vAlign w:val="center"/>
          </w:tcPr>
          <w:p w:rsidR="0083667D" w:rsidRPr="006A6B83" w:rsidRDefault="0083667D" w:rsidP="00DF0EF9">
            <w:pPr>
              <w:jc w:val="right"/>
              <w:rPr>
                <w:rFonts w:ascii="Times New Roman" w:hAnsi="Times New Roman" w:cs="Times New Roman"/>
                <w:color w:val="000000"/>
                <w:sz w:val="14"/>
                <w:szCs w:val="14"/>
                <w:highlight w:val="yellow"/>
              </w:rPr>
            </w:pPr>
            <w:r w:rsidRPr="00636983">
              <w:rPr>
                <w:rFonts w:ascii="Times New Roman" w:hAnsi="Times New Roman" w:cs="Times New Roman"/>
                <w:color w:val="000000"/>
                <w:sz w:val="14"/>
                <w:szCs w:val="14"/>
              </w:rPr>
              <w:t>23 127</w:t>
            </w:r>
          </w:p>
        </w:tc>
        <w:tc>
          <w:tcPr>
            <w:tcW w:w="551" w:type="pct"/>
            <w:shd w:val="clear" w:color="auto"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2 520</w:t>
            </w:r>
          </w:p>
        </w:tc>
        <w:tc>
          <w:tcPr>
            <w:tcW w:w="551" w:type="pct"/>
            <w:shd w:val="clear" w:color="auto"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2 909</w:t>
            </w:r>
          </w:p>
        </w:tc>
        <w:tc>
          <w:tcPr>
            <w:tcW w:w="551" w:type="pct"/>
            <w:shd w:val="clear" w:color="auto"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2 703</w:t>
            </w:r>
          </w:p>
        </w:tc>
        <w:tc>
          <w:tcPr>
            <w:tcW w:w="551" w:type="pct"/>
            <w:shd w:val="clear" w:color="auto"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2 756</w:t>
            </w:r>
          </w:p>
        </w:tc>
        <w:tc>
          <w:tcPr>
            <w:tcW w:w="546" w:type="pct"/>
            <w:shd w:val="clear" w:color="auto"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14 794</w:t>
            </w:r>
          </w:p>
        </w:tc>
      </w:tr>
      <w:tr w:rsidR="0083667D" w:rsidTr="00DF0EF9">
        <w:trPr>
          <w:trHeight w:val="284"/>
        </w:trPr>
        <w:tc>
          <w:tcPr>
            <w:tcW w:w="1148" w:type="pct"/>
            <w:shd w:val="clear" w:color="auto" w:fill="FFFFFF"/>
            <w:vAlign w:val="center"/>
            <w:hideMark/>
          </w:tcPr>
          <w:p w:rsidR="0083667D" w:rsidRDefault="0083667D" w:rsidP="00DF0EF9">
            <w:pPr>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Úroky z návratných fin. výpomocí a štátnych záruk</w:t>
            </w:r>
          </w:p>
        </w:tc>
        <w:tc>
          <w:tcPr>
            <w:tcW w:w="552" w:type="pct"/>
            <w:shd w:val="clear" w:color="auto" w:fill="FFFFFF"/>
            <w:vAlign w:val="center"/>
          </w:tcPr>
          <w:p w:rsidR="0083667D" w:rsidRPr="00B359B0" w:rsidRDefault="0083667D" w:rsidP="00DF0EF9">
            <w:pPr>
              <w:jc w:val="right"/>
              <w:rPr>
                <w:rFonts w:ascii="Times New Roman" w:hAnsi="Times New Roman" w:cs="Times New Roman"/>
                <w:sz w:val="14"/>
                <w:szCs w:val="14"/>
              </w:rPr>
            </w:pPr>
            <w:r w:rsidRPr="00B359B0">
              <w:rPr>
                <w:rFonts w:ascii="Times New Roman" w:hAnsi="Times New Roman" w:cs="Times New Roman"/>
                <w:sz w:val="14"/>
                <w:szCs w:val="14"/>
              </w:rPr>
              <w:t>5 991</w:t>
            </w:r>
          </w:p>
        </w:tc>
        <w:tc>
          <w:tcPr>
            <w:tcW w:w="551" w:type="pct"/>
            <w:shd w:val="clear" w:color="auto" w:fill="FFFFFF"/>
            <w:vAlign w:val="center"/>
          </w:tcPr>
          <w:p w:rsidR="0083667D" w:rsidRPr="006A6B83" w:rsidRDefault="0083667D" w:rsidP="00DF0EF9">
            <w:pPr>
              <w:jc w:val="right"/>
              <w:rPr>
                <w:rFonts w:ascii="Times New Roman" w:hAnsi="Times New Roman" w:cs="Times New Roman"/>
                <w:color w:val="000000"/>
                <w:sz w:val="14"/>
                <w:szCs w:val="14"/>
                <w:highlight w:val="yellow"/>
              </w:rPr>
            </w:pPr>
            <w:r w:rsidRPr="00636983">
              <w:rPr>
                <w:rFonts w:ascii="Times New Roman" w:hAnsi="Times New Roman" w:cs="Times New Roman"/>
                <w:color w:val="000000"/>
                <w:sz w:val="14"/>
                <w:szCs w:val="14"/>
              </w:rPr>
              <w:t>5 49</w:t>
            </w:r>
            <w:r>
              <w:rPr>
                <w:rFonts w:ascii="Times New Roman" w:hAnsi="Times New Roman" w:cs="Times New Roman"/>
                <w:color w:val="000000"/>
                <w:sz w:val="14"/>
                <w:szCs w:val="14"/>
              </w:rPr>
              <w:t>1</w:t>
            </w:r>
          </w:p>
        </w:tc>
        <w:tc>
          <w:tcPr>
            <w:tcW w:w="551" w:type="pct"/>
            <w:shd w:val="clear" w:color="auto"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4 600</w:t>
            </w:r>
          </w:p>
        </w:tc>
        <w:tc>
          <w:tcPr>
            <w:tcW w:w="551" w:type="pct"/>
            <w:shd w:val="clear" w:color="auto"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4 664</w:t>
            </w:r>
          </w:p>
        </w:tc>
        <w:tc>
          <w:tcPr>
            <w:tcW w:w="551" w:type="pct"/>
            <w:shd w:val="clear" w:color="auto"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4 046</w:t>
            </w:r>
          </w:p>
        </w:tc>
        <w:tc>
          <w:tcPr>
            <w:tcW w:w="551" w:type="pct"/>
            <w:shd w:val="clear" w:color="auto"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4 202</w:t>
            </w:r>
          </w:p>
        </w:tc>
        <w:tc>
          <w:tcPr>
            <w:tcW w:w="546" w:type="pct"/>
            <w:shd w:val="clear" w:color="auto"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4 373</w:t>
            </w:r>
          </w:p>
        </w:tc>
      </w:tr>
      <w:tr w:rsidR="0083667D" w:rsidTr="00DF0EF9">
        <w:trPr>
          <w:trHeight w:val="284"/>
        </w:trPr>
        <w:tc>
          <w:tcPr>
            <w:tcW w:w="1148" w:type="pct"/>
            <w:shd w:val="clear" w:color="auto" w:fill="FFFFFF"/>
            <w:vAlign w:val="center"/>
            <w:hideMark/>
          </w:tcPr>
          <w:p w:rsidR="0083667D" w:rsidRDefault="0083667D" w:rsidP="00DF0EF9">
            <w:pPr>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Úroky zo zahraničných vkladov</w:t>
            </w:r>
          </w:p>
        </w:tc>
        <w:tc>
          <w:tcPr>
            <w:tcW w:w="552" w:type="pct"/>
            <w:shd w:val="clear" w:color="auto"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1</w:t>
            </w:r>
          </w:p>
        </w:tc>
        <w:tc>
          <w:tcPr>
            <w:tcW w:w="551" w:type="pct"/>
            <w:shd w:val="clear" w:color="auto" w:fill="FFFFFF"/>
            <w:vAlign w:val="center"/>
          </w:tcPr>
          <w:p w:rsidR="0083667D" w:rsidRPr="006A6B83" w:rsidRDefault="0083667D" w:rsidP="00DF0EF9">
            <w:pPr>
              <w:jc w:val="right"/>
              <w:rPr>
                <w:rFonts w:ascii="Times New Roman" w:hAnsi="Times New Roman" w:cs="Times New Roman"/>
                <w:color w:val="000000"/>
                <w:sz w:val="14"/>
                <w:szCs w:val="14"/>
                <w:highlight w:val="yellow"/>
              </w:rPr>
            </w:pPr>
            <w:r w:rsidRPr="001F12E1">
              <w:rPr>
                <w:rFonts w:ascii="Times New Roman" w:hAnsi="Times New Roman" w:cs="Times New Roman"/>
                <w:color w:val="000000"/>
                <w:sz w:val="14"/>
                <w:szCs w:val="14"/>
              </w:rPr>
              <w:t>1</w:t>
            </w:r>
          </w:p>
        </w:tc>
        <w:tc>
          <w:tcPr>
            <w:tcW w:w="551" w:type="pct"/>
            <w:shd w:val="clear" w:color="auto"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w:t>
            </w:r>
          </w:p>
        </w:tc>
        <w:tc>
          <w:tcPr>
            <w:tcW w:w="551" w:type="pct"/>
            <w:shd w:val="clear" w:color="auto"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w:t>
            </w:r>
          </w:p>
        </w:tc>
        <w:tc>
          <w:tcPr>
            <w:tcW w:w="551" w:type="pct"/>
            <w:shd w:val="clear" w:color="auto"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w:t>
            </w:r>
          </w:p>
        </w:tc>
        <w:tc>
          <w:tcPr>
            <w:tcW w:w="551" w:type="pct"/>
            <w:shd w:val="clear" w:color="auto"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w:t>
            </w:r>
          </w:p>
        </w:tc>
        <w:tc>
          <w:tcPr>
            <w:tcW w:w="546" w:type="pct"/>
            <w:shd w:val="clear" w:color="auto"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5</w:t>
            </w:r>
          </w:p>
        </w:tc>
      </w:tr>
    </w:tbl>
    <w:p w:rsidR="0083667D" w:rsidRDefault="0083667D" w:rsidP="0083667D">
      <w:pPr>
        <w:ind w:firstLine="708"/>
        <w:jc w:val="both"/>
        <w:rPr>
          <w:rFonts w:ascii="Times New Roman" w:hAnsi="Times New Roman"/>
          <w:szCs w:val="22"/>
        </w:rPr>
      </w:pPr>
    </w:p>
    <w:p w:rsidR="0083667D" w:rsidRDefault="0083667D" w:rsidP="0083667D">
      <w:pPr>
        <w:ind w:firstLine="708"/>
        <w:jc w:val="both"/>
        <w:rPr>
          <w:rFonts w:ascii="Times New Roman" w:hAnsi="Times New Roman"/>
          <w:szCs w:val="22"/>
        </w:rPr>
      </w:pPr>
      <w:r w:rsidRPr="008D141E">
        <w:rPr>
          <w:rFonts w:ascii="Times New Roman" w:hAnsi="Times New Roman"/>
          <w:szCs w:val="22"/>
        </w:rPr>
        <w:t xml:space="preserve">Úroky z účtov finančného hospodárenia </w:t>
      </w:r>
      <w:r>
        <w:rPr>
          <w:rFonts w:ascii="Times New Roman" w:hAnsi="Times New Roman"/>
          <w:szCs w:val="22"/>
        </w:rPr>
        <w:t>s</w:t>
      </w:r>
      <w:r w:rsidRPr="008D141E">
        <w:rPr>
          <w:rFonts w:ascii="Times New Roman" w:hAnsi="Times New Roman"/>
          <w:szCs w:val="22"/>
        </w:rPr>
        <w:t>o Š</w:t>
      </w:r>
      <w:r>
        <w:rPr>
          <w:rFonts w:ascii="Times New Roman" w:hAnsi="Times New Roman"/>
          <w:szCs w:val="22"/>
        </w:rPr>
        <w:t>tátnou pokladnicou</w:t>
      </w:r>
      <w:r w:rsidRPr="008D141E">
        <w:rPr>
          <w:rFonts w:ascii="Times New Roman" w:hAnsi="Times New Roman"/>
          <w:szCs w:val="22"/>
        </w:rPr>
        <w:t xml:space="preserve"> predstavujú úroky z kreditných zostatkov peňažných prostriedkov vedených na účtoch</w:t>
      </w:r>
      <w:r>
        <w:rPr>
          <w:rFonts w:ascii="Times New Roman" w:hAnsi="Times New Roman"/>
          <w:szCs w:val="22"/>
        </w:rPr>
        <w:t xml:space="preserve"> </w:t>
      </w:r>
      <w:r w:rsidRPr="008D141E">
        <w:rPr>
          <w:rFonts w:ascii="Times New Roman" w:hAnsi="Times New Roman"/>
          <w:szCs w:val="22"/>
        </w:rPr>
        <w:t>Š</w:t>
      </w:r>
      <w:r>
        <w:rPr>
          <w:rFonts w:ascii="Times New Roman" w:hAnsi="Times New Roman"/>
          <w:szCs w:val="22"/>
        </w:rPr>
        <w:t>tátnej pokladnice</w:t>
      </w:r>
      <w:r w:rsidRPr="008D141E">
        <w:rPr>
          <w:rFonts w:ascii="Times New Roman" w:hAnsi="Times New Roman"/>
          <w:szCs w:val="22"/>
        </w:rPr>
        <w:t xml:space="preserve"> v NBS, banke alebo pobočke zahraničnej banky, vrátane úrokov z finančných operácií vykonaných </w:t>
      </w:r>
      <w:r>
        <w:rPr>
          <w:rFonts w:ascii="Times New Roman" w:hAnsi="Times New Roman"/>
          <w:szCs w:val="22"/>
        </w:rPr>
        <w:t>Štátnou pokladnicou</w:t>
      </w:r>
      <w:r w:rsidRPr="008D141E">
        <w:rPr>
          <w:rFonts w:ascii="Times New Roman" w:hAnsi="Times New Roman"/>
          <w:szCs w:val="22"/>
        </w:rPr>
        <w:t xml:space="preserve"> a</w:t>
      </w:r>
      <w:r>
        <w:rPr>
          <w:rFonts w:ascii="Times New Roman" w:hAnsi="Times New Roman"/>
          <w:szCs w:val="22"/>
        </w:rPr>
        <w:t> </w:t>
      </w:r>
      <w:r w:rsidRPr="007C2BA1">
        <w:rPr>
          <w:rFonts w:ascii="Times New Roman" w:hAnsi="Times New Roman"/>
          <w:szCs w:val="22"/>
        </w:rPr>
        <w:t>klientom Štátny dlh znížené</w:t>
      </w:r>
      <w:r w:rsidRPr="008D141E">
        <w:rPr>
          <w:rFonts w:ascii="Times New Roman" w:hAnsi="Times New Roman"/>
          <w:szCs w:val="22"/>
        </w:rPr>
        <w:t xml:space="preserve"> o úroky platené Š</w:t>
      </w:r>
      <w:r>
        <w:rPr>
          <w:rFonts w:ascii="Times New Roman" w:hAnsi="Times New Roman"/>
          <w:szCs w:val="22"/>
        </w:rPr>
        <w:t>tátnou pokladnicou</w:t>
      </w:r>
      <w:r w:rsidRPr="008D141E">
        <w:rPr>
          <w:rFonts w:ascii="Times New Roman" w:hAnsi="Times New Roman"/>
          <w:szCs w:val="22"/>
        </w:rPr>
        <w:t xml:space="preserve"> a príjmy z poplatkov za služby poskytované </w:t>
      </w:r>
      <w:r>
        <w:rPr>
          <w:rFonts w:ascii="Times New Roman" w:hAnsi="Times New Roman"/>
          <w:szCs w:val="22"/>
        </w:rPr>
        <w:t>Štátnou pokladnicou</w:t>
      </w:r>
      <w:r w:rsidRPr="008D141E">
        <w:rPr>
          <w:rFonts w:ascii="Times New Roman" w:hAnsi="Times New Roman"/>
          <w:szCs w:val="22"/>
        </w:rPr>
        <w:t xml:space="preserve"> znížené o náklady súvisiace s ich poskytnutím. </w:t>
      </w:r>
    </w:p>
    <w:p w:rsidR="000509BB" w:rsidRDefault="000509BB" w:rsidP="0083667D">
      <w:pPr>
        <w:ind w:firstLine="708"/>
        <w:jc w:val="both"/>
        <w:rPr>
          <w:rFonts w:ascii="Times New Roman" w:hAnsi="Times New Roman"/>
          <w:szCs w:val="22"/>
        </w:rPr>
      </w:pPr>
    </w:p>
    <w:p w:rsidR="0083667D" w:rsidRDefault="0083667D" w:rsidP="0083667D">
      <w:pPr>
        <w:ind w:firstLine="708"/>
        <w:jc w:val="both"/>
        <w:rPr>
          <w:rFonts w:ascii="Times New Roman" w:hAnsi="Times New Roman"/>
          <w:szCs w:val="22"/>
        </w:rPr>
      </w:pPr>
      <w:r w:rsidRPr="008D141E">
        <w:rPr>
          <w:rFonts w:ascii="Times New Roman" w:hAnsi="Times New Roman"/>
          <w:szCs w:val="22"/>
        </w:rPr>
        <w:t>Rozpočtovanie týchto príjmov vychádza z ú</w:t>
      </w:r>
      <w:r>
        <w:rPr>
          <w:rFonts w:ascii="Times New Roman" w:hAnsi="Times New Roman"/>
          <w:szCs w:val="22"/>
        </w:rPr>
        <w:t>rokových sadzieb ECB KEY RATE a </w:t>
      </w:r>
      <w:r w:rsidRPr="008D141E">
        <w:rPr>
          <w:rFonts w:ascii="Times New Roman" w:hAnsi="Times New Roman"/>
          <w:szCs w:val="22"/>
        </w:rPr>
        <w:t xml:space="preserve">EONIA a vývoja priemerných zostatkov na účtoch klientov </w:t>
      </w:r>
      <w:r>
        <w:rPr>
          <w:rFonts w:ascii="Times New Roman" w:hAnsi="Times New Roman"/>
          <w:szCs w:val="22"/>
        </w:rPr>
        <w:t>Štátnej pokladnice</w:t>
      </w:r>
      <w:r w:rsidRPr="008D141E">
        <w:rPr>
          <w:rFonts w:ascii="Times New Roman" w:hAnsi="Times New Roman"/>
          <w:szCs w:val="22"/>
        </w:rPr>
        <w:t xml:space="preserve">, najmä na účtoch </w:t>
      </w:r>
      <w:r>
        <w:rPr>
          <w:rFonts w:ascii="Times New Roman" w:hAnsi="Times New Roman"/>
          <w:szCs w:val="22"/>
        </w:rPr>
        <w:t>š</w:t>
      </w:r>
      <w:r w:rsidRPr="008D141E">
        <w:rPr>
          <w:rFonts w:ascii="Times New Roman" w:hAnsi="Times New Roman"/>
          <w:szCs w:val="22"/>
        </w:rPr>
        <w:t>tátnych finančných aktív a na účtoch prostriedkov E</w:t>
      </w:r>
      <w:r>
        <w:rPr>
          <w:rFonts w:ascii="Times New Roman" w:hAnsi="Times New Roman"/>
          <w:szCs w:val="22"/>
        </w:rPr>
        <w:t>urópskej únie</w:t>
      </w:r>
      <w:r w:rsidRPr="008D141E">
        <w:rPr>
          <w:rFonts w:ascii="Times New Roman" w:hAnsi="Times New Roman"/>
          <w:szCs w:val="22"/>
        </w:rPr>
        <w:t>.</w:t>
      </w:r>
    </w:p>
    <w:p w:rsidR="0083667D" w:rsidRDefault="0083667D" w:rsidP="0083667D">
      <w:pPr>
        <w:ind w:firstLine="708"/>
        <w:jc w:val="both"/>
        <w:rPr>
          <w:rFonts w:ascii="Times New Roman" w:hAnsi="Times New Roman"/>
          <w:szCs w:val="22"/>
        </w:rPr>
      </w:pPr>
    </w:p>
    <w:p w:rsidR="0083667D" w:rsidRPr="00C06A87" w:rsidRDefault="0083667D" w:rsidP="0083667D">
      <w:pPr>
        <w:ind w:firstLine="708"/>
        <w:jc w:val="both"/>
        <w:rPr>
          <w:rFonts w:ascii="Times New Roman" w:hAnsi="Times New Roman"/>
          <w:szCs w:val="22"/>
        </w:rPr>
      </w:pPr>
      <w:r w:rsidRPr="00D57D28">
        <w:rPr>
          <w:rFonts w:ascii="Times New Roman" w:hAnsi="Times New Roman"/>
          <w:szCs w:val="22"/>
        </w:rPr>
        <w:t>Úroky z návratných finančných výpomocí a štátnych záruk sú za obec Ľubotice a Agentúru pre núdzové zásoby ropy a ropných výrobkov v zmysle platných splátkových kalendárov.</w:t>
      </w:r>
    </w:p>
    <w:p w:rsidR="0083667D" w:rsidRDefault="0083667D" w:rsidP="0083667D">
      <w:pPr>
        <w:tabs>
          <w:tab w:val="left" w:pos="1620"/>
        </w:tabs>
        <w:ind w:firstLine="708"/>
        <w:jc w:val="both"/>
        <w:rPr>
          <w:rFonts w:ascii="Times New Roman" w:hAnsi="Times New Roman"/>
          <w:szCs w:val="22"/>
        </w:rPr>
      </w:pPr>
    </w:p>
    <w:p w:rsidR="0083667D" w:rsidRDefault="0083667D" w:rsidP="0083667D">
      <w:pPr>
        <w:tabs>
          <w:tab w:val="left" w:pos="1620"/>
        </w:tabs>
        <w:ind w:firstLine="708"/>
        <w:jc w:val="both"/>
        <w:rPr>
          <w:rFonts w:ascii="Times New Roman" w:hAnsi="Times New Roman"/>
          <w:szCs w:val="22"/>
        </w:rPr>
      </w:pPr>
      <w:r w:rsidRPr="008D141E">
        <w:rPr>
          <w:rFonts w:ascii="Times New Roman" w:hAnsi="Times New Roman"/>
          <w:szCs w:val="22"/>
        </w:rPr>
        <w:t xml:space="preserve">Úroky zo zahraničných úverov, pôžičiek, návratných finančných výpomocí a vkladov tvoria </w:t>
      </w:r>
      <w:r>
        <w:rPr>
          <w:rFonts w:ascii="Times New Roman" w:hAnsi="Times New Roman"/>
          <w:szCs w:val="22"/>
        </w:rPr>
        <w:t xml:space="preserve">úroky </w:t>
      </w:r>
      <w:r w:rsidRPr="008D141E">
        <w:rPr>
          <w:rFonts w:ascii="Times New Roman" w:hAnsi="Times New Roman"/>
          <w:szCs w:val="22"/>
        </w:rPr>
        <w:t>kapitol Ministerstva zahraničných vecí a európskych záležitostí SR a Ministerstva obrany SR</w:t>
      </w:r>
      <w:r>
        <w:rPr>
          <w:rFonts w:ascii="Times New Roman" w:hAnsi="Times New Roman"/>
          <w:szCs w:val="22"/>
        </w:rPr>
        <w:t>.</w:t>
      </w:r>
      <w:r w:rsidRPr="008D141E">
        <w:rPr>
          <w:rFonts w:ascii="Times New Roman" w:hAnsi="Times New Roman"/>
          <w:szCs w:val="22"/>
        </w:rPr>
        <w:t xml:space="preserve"> </w:t>
      </w:r>
      <w:r>
        <w:rPr>
          <w:rFonts w:ascii="Times New Roman" w:hAnsi="Times New Roman"/>
          <w:szCs w:val="22"/>
        </w:rPr>
        <w:t>I</w:t>
      </w:r>
      <w:r w:rsidRPr="008D141E">
        <w:rPr>
          <w:rFonts w:ascii="Times New Roman" w:hAnsi="Times New Roman"/>
          <w:szCs w:val="22"/>
        </w:rPr>
        <w:t xml:space="preserve">de o kreditné úroky účtov zastupiteľských úradov Slovenskej republiky v zahraničí. </w:t>
      </w:r>
    </w:p>
    <w:p w:rsidR="0083667D" w:rsidRPr="008D141E" w:rsidRDefault="0083667D" w:rsidP="0083667D">
      <w:pPr>
        <w:tabs>
          <w:tab w:val="left" w:pos="1620"/>
        </w:tabs>
        <w:ind w:firstLine="708"/>
        <w:jc w:val="both"/>
        <w:rPr>
          <w:rFonts w:ascii="Times New Roman" w:hAnsi="Times New Roman"/>
          <w:szCs w:val="22"/>
        </w:rPr>
      </w:pPr>
    </w:p>
    <w:p w:rsidR="0083667D" w:rsidRDefault="0083667D" w:rsidP="0083667D">
      <w:pPr>
        <w:tabs>
          <w:tab w:val="left" w:pos="1620"/>
        </w:tabs>
        <w:jc w:val="both"/>
        <w:rPr>
          <w:rFonts w:ascii="Times New Roman" w:hAnsi="Times New Roman"/>
          <w:b/>
          <w:i/>
          <w:szCs w:val="22"/>
        </w:rPr>
      </w:pPr>
      <w:r w:rsidRPr="008D141E">
        <w:rPr>
          <w:rFonts w:ascii="Times New Roman" w:hAnsi="Times New Roman"/>
          <w:b/>
          <w:i/>
          <w:szCs w:val="22"/>
        </w:rPr>
        <w:t xml:space="preserve">            Iné nedaňové príjmy</w:t>
      </w:r>
    </w:p>
    <w:p w:rsidR="0083667D" w:rsidRDefault="0083667D" w:rsidP="0083667D">
      <w:pPr>
        <w:ind w:firstLine="708"/>
        <w:jc w:val="both"/>
        <w:rPr>
          <w:rFonts w:ascii="Times New Roman" w:hAnsi="Times New Roman" w:cs="Times New Roman"/>
          <w:szCs w:val="22"/>
        </w:rPr>
      </w:pPr>
    </w:p>
    <w:p w:rsidR="0083667D" w:rsidRDefault="0083667D" w:rsidP="0083667D">
      <w:pPr>
        <w:ind w:firstLine="708"/>
        <w:jc w:val="both"/>
        <w:rPr>
          <w:rFonts w:ascii="Times New Roman" w:hAnsi="Times New Roman" w:cs="Times New Roman"/>
          <w:szCs w:val="22"/>
        </w:rPr>
      </w:pPr>
      <w:r w:rsidRPr="002665F3">
        <w:rPr>
          <w:rFonts w:ascii="Times New Roman" w:hAnsi="Times New Roman" w:cs="Times New Roman"/>
          <w:szCs w:val="22"/>
        </w:rPr>
        <w:t>Najväčší objem z iných nedaňových príjmov predstavujú príjmy z hazardných hier, ktoré sú rozpočtované v kapitol</w:t>
      </w:r>
      <w:r>
        <w:rPr>
          <w:rFonts w:ascii="Times New Roman" w:hAnsi="Times New Roman" w:cs="Times New Roman"/>
          <w:szCs w:val="22"/>
        </w:rPr>
        <w:t>e Všeobecná pokladničná správa.</w:t>
      </w:r>
    </w:p>
    <w:p w:rsidR="0083667D" w:rsidRPr="002665F3" w:rsidRDefault="0083667D" w:rsidP="0083667D">
      <w:pPr>
        <w:ind w:firstLine="708"/>
        <w:jc w:val="both"/>
        <w:rPr>
          <w:rFonts w:ascii="Times New Roman" w:hAnsi="Times New Roman" w:cs="Times New Roman"/>
          <w:szCs w:val="22"/>
        </w:rPr>
      </w:pPr>
    </w:p>
    <w:p w:rsidR="0083667D" w:rsidRDefault="0083667D" w:rsidP="0083667D">
      <w:pPr>
        <w:ind w:firstLine="708"/>
        <w:jc w:val="both"/>
        <w:rPr>
          <w:rFonts w:ascii="Times New Roman" w:hAnsi="Times New Roman"/>
          <w:szCs w:val="22"/>
        </w:rPr>
      </w:pPr>
      <w:r>
        <w:rPr>
          <w:rFonts w:ascii="Times New Roman" w:hAnsi="Times New Roman"/>
          <w:szCs w:val="22"/>
        </w:rPr>
        <w:t>Ďalej sem patria</w:t>
      </w:r>
      <w:r w:rsidRPr="008D141E">
        <w:rPr>
          <w:rFonts w:ascii="Times New Roman" w:hAnsi="Times New Roman"/>
          <w:szCs w:val="22"/>
        </w:rPr>
        <w:t xml:space="preserve"> vrátené neoprávnene použité alebo zadržané finančné prostriedky a ostatné príjmy. Výška týchto príjmov je v priebehu rozpočtového roka ovplyvnená najmä objemom vrátených neoprávnene použitých finančných prostriedkov od neziskových organizácií, rozpočtových organizácií, obcí a ostatných príjmov, medzi ktoré patria najmä odvody a vratky. </w:t>
      </w:r>
    </w:p>
    <w:p w:rsidR="0083667D" w:rsidRDefault="0083667D" w:rsidP="0083667D">
      <w:pPr>
        <w:jc w:val="both"/>
        <w:rPr>
          <w:rFonts w:ascii="Times New Roman" w:hAnsi="Times New Roman"/>
          <w:szCs w:val="22"/>
        </w:rPr>
      </w:pPr>
    </w:p>
    <w:p w:rsidR="0083667D" w:rsidRDefault="0083667D" w:rsidP="0083667D">
      <w:pPr>
        <w:ind w:firstLine="708"/>
        <w:jc w:val="both"/>
        <w:rPr>
          <w:rFonts w:ascii="Times New Roman" w:hAnsi="Times New Roman"/>
          <w:szCs w:val="22"/>
        </w:rPr>
      </w:pPr>
      <w:r>
        <w:rPr>
          <w:rFonts w:ascii="Times New Roman" w:hAnsi="Times New Roman"/>
          <w:szCs w:val="22"/>
        </w:rPr>
        <w:t>Vývoj týchto príjmov zobrazuje nasledovná tabuľka:</w:t>
      </w:r>
    </w:p>
    <w:p w:rsidR="0083667D" w:rsidRDefault="0083667D" w:rsidP="0083667D">
      <w:pPr>
        <w:jc w:val="both"/>
        <w:rPr>
          <w:rFonts w:ascii="Times New Roman" w:hAnsi="Times New Roman"/>
          <w:szCs w:val="22"/>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89"/>
        <w:gridCol w:w="1024"/>
        <w:gridCol w:w="942"/>
        <w:gridCol w:w="941"/>
        <w:gridCol w:w="941"/>
        <w:gridCol w:w="941"/>
        <w:gridCol w:w="941"/>
        <w:gridCol w:w="932"/>
      </w:tblGrid>
      <w:tr w:rsidR="0083667D" w:rsidTr="00DF0EF9">
        <w:trPr>
          <w:trHeight w:val="345"/>
        </w:trPr>
        <w:tc>
          <w:tcPr>
            <w:tcW w:w="1318" w:type="pct"/>
            <w:shd w:val="clear" w:color="auto" w:fill="A6A6A6"/>
            <w:vAlign w:val="center"/>
            <w:hideMark/>
          </w:tcPr>
          <w:p w:rsidR="0083667D" w:rsidRPr="004E4A7C" w:rsidRDefault="0083667D" w:rsidP="00DF0EF9">
            <w:pPr>
              <w:jc w:val="both"/>
              <w:rPr>
                <w:rFonts w:ascii="Times New Roman" w:hAnsi="Times New Roman" w:cs="Times New Roman"/>
                <w:b/>
                <w:bCs/>
                <w:sz w:val="14"/>
                <w:szCs w:val="14"/>
                <w:lang w:eastAsia="sk-SK"/>
              </w:rPr>
            </w:pPr>
            <w:r w:rsidRPr="004E4A7C">
              <w:rPr>
                <w:rFonts w:ascii="Times New Roman" w:hAnsi="Times New Roman" w:cs="Times New Roman"/>
                <w:b/>
                <w:bCs/>
                <w:sz w:val="14"/>
                <w:szCs w:val="14"/>
                <w:lang w:eastAsia="sk-SK"/>
              </w:rPr>
              <w:t>v tis. eur</w:t>
            </w:r>
          </w:p>
        </w:tc>
        <w:tc>
          <w:tcPr>
            <w:tcW w:w="565" w:type="pct"/>
            <w:shd w:val="clear" w:color="auto"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 xml:space="preserve">6 </w:t>
            </w:r>
            <w:r w:rsidRPr="00502053">
              <w:rPr>
                <w:rFonts w:ascii="Times New Roman" w:hAnsi="Times New Roman" w:cs="Times New Roman"/>
                <w:b/>
                <w:bCs/>
                <w:color w:val="000000"/>
                <w:sz w:val="14"/>
                <w:szCs w:val="14"/>
                <w:lang w:eastAsia="sk-SK"/>
              </w:rPr>
              <w:t>S</w:t>
            </w:r>
          </w:p>
        </w:tc>
        <w:tc>
          <w:tcPr>
            <w:tcW w:w="520" w:type="pct"/>
            <w:shd w:val="clear" w:color="auto"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 S</w:t>
            </w:r>
          </w:p>
        </w:tc>
        <w:tc>
          <w:tcPr>
            <w:tcW w:w="520"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 R</w:t>
            </w:r>
          </w:p>
        </w:tc>
        <w:tc>
          <w:tcPr>
            <w:tcW w:w="520"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 OS</w:t>
            </w:r>
          </w:p>
        </w:tc>
        <w:tc>
          <w:tcPr>
            <w:tcW w:w="520"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9</w:t>
            </w:r>
            <w:r w:rsidRPr="00502053">
              <w:rPr>
                <w:rFonts w:ascii="Times New Roman" w:hAnsi="Times New Roman" w:cs="Times New Roman"/>
                <w:b/>
                <w:bCs/>
                <w:color w:val="000000"/>
                <w:sz w:val="14"/>
                <w:szCs w:val="14"/>
                <w:lang w:eastAsia="sk-SK"/>
              </w:rPr>
              <w:t xml:space="preserve"> N</w:t>
            </w:r>
          </w:p>
        </w:tc>
        <w:tc>
          <w:tcPr>
            <w:tcW w:w="520"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2020</w:t>
            </w:r>
            <w:r w:rsidRPr="00502053">
              <w:rPr>
                <w:rFonts w:ascii="Times New Roman" w:hAnsi="Times New Roman" w:cs="Times New Roman"/>
                <w:b/>
                <w:bCs/>
                <w:color w:val="000000"/>
                <w:sz w:val="14"/>
                <w:szCs w:val="14"/>
                <w:lang w:eastAsia="sk-SK"/>
              </w:rPr>
              <w:t xml:space="preserve"> N</w:t>
            </w:r>
          </w:p>
        </w:tc>
        <w:tc>
          <w:tcPr>
            <w:tcW w:w="515"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2021</w:t>
            </w:r>
            <w:r w:rsidRPr="00502053">
              <w:rPr>
                <w:rFonts w:ascii="Times New Roman" w:hAnsi="Times New Roman" w:cs="Times New Roman"/>
                <w:b/>
                <w:bCs/>
                <w:color w:val="000000"/>
                <w:sz w:val="14"/>
                <w:szCs w:val="14"/>
                <w:lang w:eastAsia="sk-SK"/>
              </w:rPr>
              <w:t xml:space="preserve"> N</w:t>
            </w:r>
          </w:p>
        </w:tc>
      </w:tr>
      <w:tr w:rsidR="0083667D" w:rsidRPr="00CF0745" w:rsidTr="00DF0EF9">
        <w:trPr>
          <w:trHeight w:val="238"/>
        </w:trPr>
        <w:tc>
          <w:tcPr>
            <w:tcW w:w="1318" w:type="pct"/>
            <w:shd w:val="clear" w:color="auto" w:fill="BFBFBF"/>
            <w:vAlign w:val="center"/>
            <w:hideMark/>
          </w:tcPr>
          <w:p w:rsidR="0083667D" w:rsidRPr="00CF0745" w:rsidRDefault="0083667D" w:rsidP="00DF0EF9">
            <w:pPr>
              <w:jc w:val="both"/>
              <w:rPr>
                <w:rFonts w:ascii="Times New Roman" w:hAnsi="Times New Roman" w:cs="Times New Roman"/>
                <w:b/>
                <w:bCs/>
                <w:sz w:val="14"/>
                <w:szCs w:val="14"/>
                <w:lang w:eastAsia="sk-SK"/>
              </w:rPr>
            </w:pPr>
            <w:r w:rsidRPr="00CF0745">
              <w:rPr>
                <w:rFonts w:ascii="Times New Roman" w:hAnsi="Times New Roman" w:cs="Times New Roman"/>
                <w:b/>
                <w:bCs/>
                <w:sz w:val="14"/>
                <w:szCs w:val="14"/>
                <w:lang w:eastAsia="sk-SK"/>
              </w:rPr>
              <w:t>Iné nedaňové príjmy</w:t>
            </w:r>
          </w:p>
        </w:tc>
        <w:tc>
          <w:tcPr>
            <w:tcW w:w="565" w:type="pct"/>
            <w:shd w:val="clear" w:color="auto" w:fill="BFBFBF"/>
            <w:vAlign w:val="center"/>
          </w:tcPr>
          <w:p w:rsidR="0083667D" w:rsidRPr="0030562B" w:rsidRDefault="0083667D" w:rsidP="00DF0EF9">
            <w:pPr>
              <w:jc w:val="right"/>
              <w:rPr>
                <w:rFonts w:ascii="Times New Roman" w:hAnsi="Times New Roman" w:cs="Times New Roman"/>
                <w:b/>
                <w:bCs/>
                <w:color w:val="000000"/>
                <w:sz w:val="14"/>
                <w:szCs w:val="14"/>
              </w:rPr>
            </w:pPr>
            <w:r w:rsidRPr="001B76E0">
              <w:rPr>
                <w:rFonts w:ascii="Times New Roman" w:hAnsi="Times New Roman" w:cs="Times New Roman"/>
                <w:b/>
                <w:bCs/>
                <w:color w:val="000000"/>
                <w:sz w:val="14"/>
                <w:szCs w:val="14"/>
              </w:rPr>
              <w:t>360 467</w:t>
            </w:r>
          </w:p>
        </w:tc>
        <w:tc>
          <w:tcPr>
            <w:tcW w:w="520" w:type="pct"/>
            <w:shd w:val="clear" w:color="auto" w:fill="BFBFBF"/>
            <w:vAlign w:val="center"/>
          </w:tcPr>
          <w:p w:rsidR="0083667D" w:rsidRPr="00783D80" w:rsidRDefault="0083667D" w:rsidP="00DF0EF9">
            <w:pPr>
              <w:jc w:val="right"/>
              <w:rPr>
                <w:rFonts w:ascii="Times New Roman" w:hAnsi="Times New Roman" w:cs="Times New Roman"/>
                <w:b/>
                <w:bCs/>
                <w:color w:val="000000"/>
                <w:sz w:val="14"/>
                <w:szCs w:val="14"/>
                <w:highlight w:val="yellow"/>
              </w:rPr>
            </w:pPr>
            <w:r w:rsidRPr="00B03053">
              <w:rPr>
                <w:rFonts w:ascii="Times New Roman" w:hAnsi="Times New Roman" w:cs="Times New Roman"/>
                <w:b/>
                <w:bCs/>
                <w:color w:val="000000"/>
                <w:sz w:val="14"/>
                <w:szCs w:val="14"/>
              </w:rPr>
              <w:t>367 176</w:t>
            </w:r>
          </w:p>
        </w:tc>
        <w:tc>
          <w:tcPr>
            <w:tcW w:w="520" w:type="pct"/>
            <w:shd w:val="clear" w:color="auto" w:fill="BFBFBF"/>
            <w:vAlign w:val="center"/>
          </w:tcPr>
          <w:p w:rsidR="0083667D" w:rsidRPr="0030562B" w:rsidRDefault="0083667D" w:rsidP="00DF0EF9">
            <w:pPr>
              <w:jc w:val="right"/>
              <w:rPr>
                <w:rFonts w:ascii="Times New Roman" w:hAnsi="Times New Roman" w:cs="Times New Roman"/>
                <w:b/>
                <w:bCs/>
                <w:color w:val="000000"/>
                <w:sz w:val="14"/>
                <w:szCs w:val="14"/>
              </w:rPr>
            </w:pPr>
            <w:r w:rsidRPr="00E207C9">
              <w:rPr>
                <w:rFonts w:ascii="Times New Roman" w:hAnsi="Times New Roman" w:cs="Times New Roman"/>
                <w:b/>
                <w:bCs/>
                <w:color w:val="000000"/>
                <w:sz w:val="14"/>
                <w:szCs w:val="14"/>
              </w:rPr>
              <w:t>382 551</w:t>
            </w:r>
          </w:p>
        </w:tc>
        <w:tc>
          <w:tcPr>
            <w:tcW w:w="520" w:type="pct"/>
            <w:shd w:val="clear" w:color="auto" w:fill="BFBFBF"/>
            <w:vAlign w:val="center"/>
          </w:tcPr>
          <w:p w:rsidR="0083667D" w:rsidRPr="0030562B" w:rsidRDefault="0083667D" w:rsidP="00DF0EF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331 942</w:t>
            </w:r>
          </w:p>
        </w:tc>
        <w:tc>
          <w:tcPr>
            <w:tcW w:w="520" w:type="pct"/>
            <w:shd w:val="clear" w:color="auto" w:fill="BFBFBF"/>
            <w:vAlign w:val="center"/>
          </w:tcPr>
          <w:p w:rsidR="0083667D" w:rsidRPr="0030562B" w:rsidRDefault="0083667D" w:rsidP="00DF0EF9">
            <w:pPr>
              <w:jc w:val="right"/>
              <w:rPr>
                <w:rFonts w:ascii="Times New Roman" w:hAnsi="Times New Roman" w:cs="Times New Roman"/>
                <w:b/>
                <w:bCs/>
                <w:color w:val="000000"/>
                <w:sz w:val="14"/>
                <w:szCs w:val="14"/>
              </w:rPr>
            </w:pPr>
            <w:r w:rsidRPr="0065780B">
              <w:rPr>
                <w:rFonts w:ascii="Times New Roman" w:hAnsi="Times New Roman" w:cs="Times New Roman"/>
                <w:b/>
                <w:bCs/>
                <w:color w:val="000000"/>
                <w:sz w:val="14"/>
                <w:szCs w:val="14"/>
              </w:rPr>
              <w:t>411 524</w:t>
            </w:r>
          </w:p>
        </w:tc>
        <w:tc>
          <w:tcPr>
            <w:tcW w:w="520" w:type="pct"/>
            <w:shd w:val="clear" w:color="auto" w:fill="BFBFBF"/>
            <w:vAlign w:val="center"/>
          </w:tcPr>
          <w:p w:rsidR="0083667D" w:rsidRPr="0030562B" w:rsidRDefault="0083667D" w:rsidP="00DF0EF9">
            <w:pPr>
              <w:jc w:val="right"/>
              <w:rPr>
                <w:rFonts w:ascii="Times New Roman" w:hAnsi="Times New Roman" w:cs="Times New Roman"/>
                <w:b/>
                <w:bCs/>
                <w:color w:val="000000"/>
                <w:sz w:val="14"/>
                <w:szCs w:val="14"/>
              </w:rPr>
            </w:pPr>
            <w:r w:rsidRPr="00295509">
              <w:rPr>
                <w:rFonts w:ascii="Times New Roman" w:hAnsi="Times New Roman" w:cs="Times New Roman"/>
                <w:b/>
                <w:bCs/>
                <w:color w:val="000000"/>
                <w:sz w:val="14"/>
                <w:szCs w:val="14"/>
              </w:rPr>
              <w:t>379 569</w:t>
            </w:r>
          </w:p>
        </w:tc>
        <w:tc>
          <w:tcPr>
            <w:tcW w:w="515" w:type="pct"/>
            <w:shd w:val="clear" w:color="auto" w:fill="BFBFBF"/>
            <w:vAlign w:val="center"/>
          </w:tcPr>
          <w:p w:rsidR="0083667D" w:rsidRPr="0030562B" w:rsidRDefault="0083667D" w:rsidP="00DF0EF9">
            <w:pPr>
              <w:jc w:val="right"/>
              <w:rPr>
                <w:rFonts w:ascii="Times New Roman" w:hAnsi="Times New Roman" w:cs="Times New Roman"/>
                <w:b/>
                <w:bCs/>
                <w:color w:val="000000"/>
                <w:sz w:val="14"/>
                <w:szCs w:val="14"/>
              </w:rPr>
            </w:pPr>
            <w:r w:rsidRPr="00E21DFB">
              <w:rPr>
                <w:rFonts w:ascii="Times New Roman" w:hAnsi="Times New Roman" w:cs="Times New Roman"/>
                <w:b/>
                <w:bCs/>
                <w:color w:val="000000"/>
                <w:sz w:val="14"/>
                <w:szCs w:val="14"/>
              </w:rPr>
              <w:t>379 603</w:t>
            </w:r>
          </w:p>
        </w:tc>
      </w:tr>
      <w:tr w:rsidR="0083667D" w:rsidTr="00DF0EF9">
        <w:trPr>
          <w:trHeight w:val="248"/>
        </w:trPr>
        <w:tc>
          <w:tcPr>
            <w:tcW w:w="1318" w:type="pct"/>
            <w:shd w:val="clear" w:color="auto" w:fill="FFFFFF"/>
            <w:vAlign w:val="center"/>
            <w:hideMark/>
          </w:tcPr>
          <w:p w:rsidR="0083667D" w:rsidRPr="00CF0745" w:rsidRDefault="0083667D" w:rsidP="00DF0EF9">
            <w:pPr>
              <w:rPr>
                <w:rFonts w:ascii="Times New Roman" w:hAnsi="Times New Roman" w:cs="Times New Roman"/>
                <w:sz w:val="14"/>
                <w:szCs w:val="14"/>
                <w:lang w:eastAsia="sk-SK"/>
              </w:rPr>
            </w:pPr>
            <w:r w:rsidRPr="00CF0745">
              <w:rPr>
                <w:rFonts w:ascii="Times New Roman" w:hAnsi="Times New Roman" w:cs="Times New Roman"/>
                <w:sz w:val="14"/>
                <w:szCs w:val="14"/>
                <w:lang w:eastAsia="sk-SK"/>
              </w:rPr>
              <w:t>v tom:  z odvodu z  hazardných hier</w:t>
            </w:r>
          </w:p>
        </w:tc>
        <w:tc>
          <w:tcPr>
            <w:tcW w:w="565" w:type="pct"/>
            <w:vAlign w:val="center"/>
          </w:tcPr>
          <w:p w:rsidR="0083667D" w:rsidRPr="0030562B" w:rsidRDefault="0083667D" w:rsidP="00DF0EF9">
            <w:pPr>
              <w:jc w:val="right"/>
              <w:rPr>
                <w:rFonts w:ascii="Times New Roman" w:hAnsi="Times New Roman" w:cs="Times New Roman"/>
                <w:color w:val="000000"/>
                <w:sz w:val="14"/>
                <w:szCs w:val="14"/>
              </w:rPr>
            </w:pPr>
            <w:r w:rsidRPr="00B359B0">
              <w:rPr>
                <w:rFonts w:ascii="Times New Roman" w:hAnsi="Times New Roman" w:cs="Times New Roman"/>
                <w:sz w:val="14"/>
                <w:szCs w:val="14"/>
              </w:rPr>
              <w:t>186 616</w:t>
            </w:r>
          </w:p>
        </w:tc>
        <w:tc>
          <w:tcPr>
            <w:tcW w:w="520" w:type="pct"/>
            <w:shd w:val="clear" w:color="auto" w:fill="FFFFFF"/>
            <w:vAlign w:val="center"/>
          </w:tcPr>
          <w:p w:rsidR="0083667D" w:rsidRPr="00783D80" w:rsidRDefault="0083667D" w:rsidP="00DF0EF9">
            <w:pPr>
              <w:jc w:val="right"/>
              <w:rPr>
                <w:rFonts w:ascii="Times New Roman" w:hAnsi="Times New Roman" w:cs="Times New Roman"/>
                <w:color w:val="000000"/>
                <w:sz w:val="14"/>
                <w:szCs w:val="14"/>
                <w:highlight w:val="yellow"/>
              </w:rPr>
            </w:pPr>
            <w:r w:rsidRPr="00B03053">
              <w:rPr>
                <w:rFonts w:ascii="Times New Roman" w:hAnsi="Times New Roman" w:cs="Times New Roman"/>
                <w:color w:val="000000"/>
                <w:sz w:val="14"/>
                <w:szCs w:val="14"/>
              </w:rPr>
              <w:t>208 178</w:t>
            </w:r>
          </w:p>
        </w:tc>
        <w:tc>
          <w:tcPr>
            <w:tcW w:w="520" w:type="pct"/>
            <w:shd w:val="clear" w:color="auto"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265 000</w:t>
            </w:r>
          </w:p>
        </w:tc>
        <w:tc>
          <w:tcPr>
            <w:tcW w:w="520" w:type="pct"/>
            <w:shd w:val="clear" w:color="auto"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210 000</w:t>
            </w:r>
          </w:p>
        </w:tc>
        <w:tc>
          <w:tcPr>
            <w:tcW w:w="520" w:type="pct"/>
            <w:shd w:val="clear" w:color="auto"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259 110</w:t>
            </w:r>
          </w:p>
        </w:tc>
        <w:tc>
          <w:tcPr>
            <w:tcW w:w="520" w:type="pct"/>
            <w:shd w:val="clear" w:color="auto"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259 510</w:t>
            </w:r>
          </w:p>
        </w:tc>
        <w:tc>
          <w:tcPr>
            <w:tcW w:w="515" w:type="pct"/>
            <w:shd w:val="clear" w:color="auto" w:fill="FFFFFF"/>
            <w:vAlign w:val="center"/>
          </w:tcPr>
          <w:p w:rsidR="0083667D" w:rsidRPr="0030562B" w:rsidRDefault="0083667D" w:rsidP="00DF0EF9">
            <w:pPr>
              <w:jc w:val="right"/>
              <w:rPr>
                <w:rFonts w:ascii="Times New Roman" w:hAnsi="Times New Roman" w:cs="Times New Roman"/>
                <w:color w:val="000000"/>
                <w:sz w:val="14"/>
                <w:szCs w:val="14"/>
              </w:rPr>
            </w:pPr>
            <w:r>
              <w:rPr>
                <w:rFonts w:ascii="Times New Roman" w:hAnsi="Times New Roman" w:cs="Times New Roman"/>
                <w:color w:val="000000"/>
                <w:sz w:val="14"/>
                <w:szCs w:val="14"/>
              </w:rPr>
              <w:t>259 510</w:t>
            </w:r>
          </w:p>
        </w:tc>
      </w:tr>
    </w:tbl>
    <w:p w:rsidR="0083667D" w:rsidRPr="008D141E" w:rsidRDefault="0083667D" w:rsidP="0083667D">
      <w:pPr>
        <w:jc w:val="both"/>
        <w:rPr>
          <w:rFonts w:ascii="Times New Roman" w:hAnsi="Times New Roman"/>
          <w:szCs w:val="22"/>
        </w:rPr>
      </w:pPr>
    </w:p>
    <w:p w:rsidR="0083667D" w:rsidRDefault="0083667D" w:rsidP="0083667D">
      <w:pPr>
        <w:jc w:val="both"/>
        <w:rPr>
          <w:rFonts w:ascii="Times New Roman" w:hAnsi="Times New Roman"/>
          <w:b/>
          <w:szCs w:val="22"/>
        </w:rPr>
      </w:pPr>
      <w:r>
        <w:rPr>
          <w:rFonts w:ascii="Times New Roman" w:hAnsi="Times New Roman"/>
          <w:b/>
          <w:szCs w:val="22"/>
        </w:rPr>
        <w:t xml:space="preserve">Tuzemské transfery </w:t>
      </w:r>
    </w:p>
    <w:p w:rsidR="0083667D" w:rsidRDefault="0083667D" w:rsidP="0083667D">
      <w:pPr>
        <w:jc w:val="both"/>
        <w:rPr>
          <w:rFonts w:ascii="Times New Roman" w:hAnsi="Times New Roman"/>
          <w:b/>
          <w:szCs w:val="22"/>
        </w:rPr>
      </w:pPr>
    </w:p>
    <w:p w:rsidR="0083667D" w:rsidRDefault="0083667D" w:rsidP="0083667D">
      <w:pPr>
        <w:ind w:firstLine="708"/>
        <w:jc w:val="both"/>
        <w:rPr>
          <w:rFonts w:ascii="Times New Roman" w:hAnsi="Times New Roman"/>
          <w:szCs w:val="22"/>
        </w:rPr>
      </w:pPr>
      <w:r>
        <w:rPr>
          <w:rFonts w:ascii="Times New Roman" w:hAnsi="Times New Roman"/>
          <w:szCs w:val="22"/>
        </w:rPr>
        <w:t>V rámci tuzemských transferov zo zdravotných poisťovní sa rozpočtujú príspevky na činnosť operačných stredísk záchrannej zdravotnej služby a na činnosť Národného centra zdravotníckych informácií.</w:t>
      </w:r>
    </w:p>
    <w:p w:rsidR="0083667D" w:rsidRDefault="0083667D" w:rsidP="0083667D">
      <w:pPr>
        <w:ind w:firstLine="708"/>
        <w:jc w:val="both"/>
        <w:rPr>
          <w:rFonts w:ascii="Times New Roman" w:hAnsi="Times New Roman"/>
          <w:szCs w:val="22"/>
        </w:rPr>
      </w:pPr>
    </w:p>
    <w:p w:rsidR="0083667D" w:rsidRDefault="0083667D" w:rsidP="0083667D">
      <w:pPr>
        <w:ind w:firstLine="708"/>
        <w:jc w:val="both"/>
        <w:rPr>
          <w:rFonts w:ascii="Times New Roman" w:hAnsi="Times New Roman" w:cs="Times New Roman"/>
          <w:szCs w:val="22"/>
        </w:rPr>
      </w:pPr>
      <w:r w:rsidRPr="000B0F2A">
        <w:rPr>
          <w:rFonts w:ascii="Times New Roman" w:hAnsi="Times New Roman" w:cs="Times New Roman"/>
          <w:szCs w:val="22"/>
        </w:rPr>
        <w:t xml:space="preserve">Pri transferoch </w:t>
      </w:r>
      <w:r>
        <w:rPr>
          <w:rFonts w:ascii="Times New Roman" w:hAnsi="Times New Roman" w:cs="Times New Roman"/>
          <w:szCs w:val="22"/>
        </w:rPr>
        <w:t xml:space="preserve">od </w:t>
      </w:r>
      <w:r w:rsidRPr="000B0F2A">
        <w:rPr>
          <w:rFonts w:ascii="Times New Roman" w:hAnsi="Times New Roman" w:cs="Times New Roman"/>
          <w:szCs w:val="22"/>
        </w:rPr>
        <w:t>ostatných subjektov verejnej správy ide o príjmy z Úradu pre dohľad nad zdravotnou starostlivosťou za Multilicenčnú zmluvu s Microsoft, ktorú centrálne obstaráva Ministerstvo financií SR a transfer zo Slovenského pozemkového fondu do kapitoly Ministerstva pôdohospodárstva a rozvoja vidieka SR na zabezpečenie projektov pozemkových úprav v zmysle zákona</w:t>
      </w:r>
      <w:r>
        <w:rPr>
          <w:rFonts w:ascii="Times New Roman" w:hAnsi="Times New Roman" w:cs="Times New Roman"/>
          <w:szCs w:val="22"/>
        </w:rPr>
        <w:t xml:space="preserve"> č.</w:t>
      </w:r>
      <w:r w:rsidRPr="000B0F2A">
        <w:rPr>
          <w:rFonts w:ascii="Times New Roman" w:hAnsi="Times New Roman" w:cs="Times New Roman"/>
          <w:szCs w:val="22"/>
        </w:rPr>
        <w:t xml:space="preserve"> 330/1991 Zb. o pozemkových úpravách, usporiadaní pozemkového vlastníctva, pozemkových úradoch, pozemkovom fonde a o pozemkových spoločenstvách.</w:t>
      </w:r>
    </w:p>
    <w:p w:rsidR="0083667D" w:rsidRDefault="0083667D" w:rsidP="0083667D">
      <w:pPr>
        <w:ind w:firstLine="708"/>
        <w:jc w:val="both"/>
        <w:rPr>
          <w:rFonts w:ascii="Times New Roman" w:hAnsi="Times New Roman"/>
          <w:szCs w:val="22"/>
        </w:rPr>
      </w:pPr>
    </w:p>
    <w:p w:rsidR="0083667D" w:rsidRDefault="0083667D" w:rsidP="0083667D">
      <w:pPr>
        <w:ind w:firstLine="708"/>
        <w:jc w:val="both"/>
        <w:rPr>
          <w:rFonts w:ascii="Times New Roman" w:hAnsi="Times New Roman"/>
          <w:szCs w:val="22"/>
        </w:rPr>
      </w:pPr>
    </w:p>
    <w:p w:rsidR="0083667D" w:rsidRDefault="0083667D" w:rsidP="0083667D">
      <w:pPr>
        <w:ind w:firstLine="708"/>
        <w:jc w:val="both"/>
        <w:rPr>
          <w:rFonts w:ascii="Times New Roman" w:hAnsi="Times New Roman"/>
          <w:szCs w:val="22"/>
        </w:rPr>
      </w:pPr>
    </w:p>
    <w:p w:rsidR="001A2F0F" w:rsidRDefault="001A2F0F" w:rsidP="0083667D">
      <w:pPr>
        <w:ind w:firstLine="708"/>
        <w:jc w:val="both"/>
        <w:rPr>
          <w:rFonts w:ascii="Times New Roman" w:hAnsi="Times New Roman"/>
          <w:szCs w:val="22"/>
        </w:rPr>
      </w:pPr>
    </w:p>
    <w:p w:rsidR="001A2F0F" w:rsidRDefault="001A2F0F" w:rsidP="0083667D">
      <w:pPr>
        <w:ind w:firstLine="708"/>
        <w:jc w:val="both"/>
        <w:rPr>
          <w:rFonts w:ascii="Times New Roman" w:hAnsi="Times New Roman"/>
          <w:szCs w:val="22"/>
        </w:rPr>
      </w:pPr>
    </w:p>
    <w:p w:rsidR="001A2F0F" w:rsidRDefault="001A2F0F" w:rsidP="0083667D">
      <w:pPr>
        <w:ind w:firstLine="708"/>
        <w:jc w:val="both"/>
        <w:rPr>
          <w:rFonts w:ascii="Times New Roman" w:hAnsi="Times New Roman"/>
          <w:szCs w:val="22"/>
        </w:rPr>
      </w:pPr>
    </w:p>
    <w:p w:rsidR="0083667D" w:rsidRDefault="0083667D" w:rsidP="0083667D">
      <w:pPr>
        <w:ind w:firstLine="708"/>
        <w:jc w:val="both"/>
        <w:rPr>
          <w:rFonts w:ascii="Times New Roman" w:hAnsi="Times New Roman"/>
          <w:szCs w:val="22"/>
        </w:rPr>
      </w:pPr>
    </w:p>
    <w:p w:rsidR="0083667D" w:rsidRDefault="0083667D" w:rsidP="0083667D">
      <w:pPr>
        <w:ind w:firstLine="708"/>
        <w:jc w:val="both"/>
        <w:rPr>
          <w:rFonts w:ascii="Times New Roman" w:hAnsi="Times New Roman"/>
          <w:szCs w:val="22"/>
        </w:rPr>
      </w:pPr>
    </w:p>
    <w:p w:rsidR="0083667D" w:rsidRDefault="0083667D" w:rsidP="0083667D">
      <w:pPr>
        <w:ind w:firstLine="708"/>
        <w:jc w:val="both"/>
        <w:rPr>
          <w:rFonts w:ascii="Times New Roman" w:hAnsi="Times New Roman"/>
          <w:szCs w:val="22"/>
        </w:rPr>
      </w:pPr>
      <w:r>
        <w:rPr>
          <w:rFonts w:ascii="Times New Roman" w:hAnsi="Times New Roman"/>
          <w:szCs w:val="22"/>
        </w:rPr>
        <w:lastRenderedPageBreak/>
        <w:t>Vývoj týchto príjmov zobrazuje nasledovná tabuľka:</w:t>
      </w:r>
    </w:p>
    <w:p w:rsidR="0083667D" w:rsidRDefault="0083667D" w:rsidP="0083667D">
      <w:pPr>
        <w:jc w:val="both"/>
        <w:rPr>
          <w:rFonts w:ascii="Times New Roman" w:hAnsi="Times New Roman"/>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77"/>
        <w:gridCol w:w="979"/>
        <w:gridCol w:w="983"/>
        <w:gridCol w:w="983"/>
        <w:gridCol w:w="983"/>
        <w:gridCol w:w="983"/>
        <w:gridCol w:w="983"/>
        <w:gridCol w:w="996"/>
      </w:tblGrid>
      <w:tr w:rsidR="0083667D" w:rsidTr="00DF0EF9">
        <w:trPr>
          <w:trHeight w:val="340"/>
        </w:trPr>
        <w:tc>
          <w:tcPr>
            <w:tcW w:w="1201" w:type="pct"/>
            <w:shd w:val="clear" w:color="auto" w:fill="A6A6A6"/>
            <w:vAlign w:val="center"/>
            <w:hideMark/>
          </w:tcPr>
          <w:p w:rsidR="0083667D" w:rsidRDefault="0083667D" w:rsidP="00DF0EF9">
            <w:pPr>
              <w:jc w:val="both"/>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v tis. eur</w:t>
            </w:r>
          </w:p>
        </w:tc>
        <w:tc>
          <w:tcPr>
            <w:tcW w:w="540" w:type="pct"/>
            <w:shd w:val="clear" w:color="auto"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 xml:space="preserve">6 </w:t>
            </w:r>
            <w:r w:rsidRPr="00502053">
              <w:rPr>
                <w:rFonts w:ascii="Times New Roman" w:hAnsi="Times New Roman" w:cs="Times New Roman"/>
                <w:b/>
                <w:bCs/>
                <w:color w:val="000000"/>
                <w:sz w:val="14"/>
                <w:szCs w:val="14"/>
                <w:lang w:eastAsia="sk-SK"/>
              </w:rPr>
              <w:t>S</w:t>
            </w:r>
          </w:p>
        </w:tc>
        <w:tc>
          <w:tcPr>
            <w:tcW w:w="542" w:type="pct"/>
            <w:shd w:val="clear" w:color="auto"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 S</w:t>
            </w:r>
          </w:p>
        </w:tc>
        <w:tc>
          <w:tcPr>
            <w:tcW w:w="542"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 R</w:t>
            </w:r>
          </w:p>
        </w:tc>
        <w:tc>
          <w:tcPr>
            <w:tcW w:w="542"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 OS</w:t>
            </w:r>
          </w:p>
        </w:tc>
        <w:tc>
          <w:tcPr>
            <w:tcW w:w="542" w:type="pct"/>
            <w:shd w:val="clear" w:color="000000" w:fill="A6A6A6"/>
            <w:vAlign w:val="center"/>
          </w:tcPr>
          <w:p w:rsidR="0083667D" w:rsidRPr="00502053" w:rsidRDefault="0083667D" w:rsidP="00DF0EF9">
            <w:pPr>
              <w:jc w:val="center"/>
              <w:rPr>
                <w:rFonts w:ascii="Times New Roman" w:hAnsi="Times New Roman" w:cs="Times New Roman"/>
                <w:b/>
                <w:bCs/>
                <w:color w:val="000000"/>
                <w:sz w:val="14"/>
                <w:szCs w:val="14"/>
                <w:lang w:eastAsia="sk-SK"/>
              </w:rPr>
            </w:pPr>
            <w:r w:rsidRPr="00502053">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9</w:t>
            </w:r>
            <w:r w:rsidRPr="00502053">
              <w:rPr>
                <w:rFonts w:ascii="Times New Roman" w:hAnsi="Times New Roman" w:cs="Times New Roman"/>
                <w:b/>
                <w:bCs/>
                <w:color w:val="000000"/>
                <w:sz w:val="14"/>
                <w:szCs w:val="14"/>
                <w:lang w:eastAsia="sk-SK"/>
              </w:rPr>
              <w:t xml:space="preserve"> N</w:t>
            </w:r>
          </w:p>
        </w:tc>
        <w:tc>
          <w:tcPr>
            <w:tcW w:w="542"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2020</w:t>
            </w:r>
            <w:r w:rsidRPr="00502053">
              <w:rPr>
                <w:rFonts w:ascii="Times New Roman" w:hAnsi="Times New Roman" w:cs="Times New Roman"/>
                <w:b/>
                <w:bCs/>
                <w:color w:val="000000"/>
                <w:sz w:val="14"/>
                <w:szCs w:val="14"/>
                <w:lang w:eastAsia="sk-SK"/>
              </w:rPr>
              <w:t xml:space="preserve"> N</w:t>
            </w:r>
          </w:p>
        </w:tc>
        <w:tc>
          <w:tcPr>
            <w:tcW w:w="551" w:type="pct"/>
            <w:shd w:val="clear" w:color="000000" w:fill="A6A6A6"/>
            <w:noWrap/>
            <w:vAlign w:val="center"/>
            <w:hideMark/>
          </w:tcPr>
          <w:p w:rsidR="0083667D" w:rsidRPr="00502053" w:rsidRDefault="0083667D" w:rsidP="00DF0EF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2021</w:t>
            </w:r>
            <w:r w:rsidRPr="00502053">
              <w:rPr>
                <w:rFonts w:ascii="Times New Roman" w:hAnsi="Times New Roman" w:cs="Times New Roman"/>
                <w:b/>
                <w:bCs/>
                <w:color w:val="000000"/>
                <w:sz w:val="14"/>
                <w:szCs w:val="14"/>
                <w:lang w:eastAsia="sk-SK"/>
              </w:rPr>
              <w:t xml:space="preserve"> N</w:t>
            </w:r>
          </w:p>
        </w:tc>
      </w:tr>
      <w:tr w:rsidR="0083667D" w:rsidTr="00DF0EF9">
        <w:trPr>
          <w:trHeight w:val="340"/>
        </w:trPr>
        <w:tc>
          <w:tcPr>
            <w:tcW w:w="1201" w:type="pct"/>
            <w:shd w:val="clear" w:color="auto" w:fill="BFBFBF"/>
            <w:vAlign w:val="center"/>
            <w:hideMark/>
          </w:tcPr>
          <w:p w:rsidR="0083667D" w:rsidRDefault="0083667D" w:rsidP="00DF0EF9">
            <w:pP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 xml:space="preserve">Tuzemské transfery </w:t>
            </w:r>
          </w:p>
        </w:tc>
        <w:tc>
          <w:tcPr>
            <w:tcW w:w="540" w:type="pct"/>
            <w:shd w:val="clear" w:color="auto" w:fill="BFBFBF"/>
            <w:vAlign w:val="center"/>
          </w:tcPr>
          <w:p w:rsidR="0083667D" w:rsidRPr="00744DAC" w:rsidRDefault="0083667D" w:rsidP="00DF0EF9">
            <w:pPr>
              <w:jc w:val="right"/>
              <w:rPr>
                <w:rFonts w:ascii="Times New Roman" w:hAnsi="Times New Roman" w:cs="Times New Roman"/>
                <w:b/>
                <w:bCs/>
                <w:color w:val="000000"/>
                <w:sz w:val="14"/>
                <w:szCs w:val="14"/>
                <w:highlight w:val="yellow"/>
                <w:lang w:eastAsia="sk-SK"/>
              </w:rPr>
            </w:pPr>
            <w:r w:rsidRPr="004F2618">
              <w:rPr>
                <w:rFonts w:ascii="Times New Roman" w:hAnsi="Times New Roman" w:cs="Times New Roman"/>
                <w:b/>
                <w:bCs/>
                <w:color w:val="000000"/>
                <w:sz w:val="14"/>
                <w:szCs w:val="14"/>
                <w:lang w:eastAsia="sk-SK"/>
              </w:rPr>
              <w:t>31 542</w:t>
            </w:r>
          </w:p>
        </w:tc>
        <w:tc>
          <w:tcPr>
            <w:tcW w:w="542" w:type="pct"/>
            <w:shd w:val="clear" w:color="auto" w:fill="BFBFBF"/>
            <w:vAlign w:val="center"/>
          </w:tcPr>
          <w:p w:rsidR="0083667D" w:rsidRPr="00A36EEC" w:rsidRDefault="0083667D" w:rsidP="00DF0EF9">
            <w:pPr>
              <w:jc w:val="right"/>
              <w:rPr>
                <w:rFonts w:ascii="Times New Roman" w:hAnsi="Times New Roman" w:cs="Times New Roman"/>
                <w:b/>
                <w:bCs/>
                <w:color w:val="000000"/>
                <w:sz w:val="14"/>
                <w:szCs w:val="14"/>
                <w:highlight w:val="yellow"/>
                <w:lang w:eastAsia="sk-SK"/>
              </w:rPr>
            </w:pPr>
            <w:r w:rsidRPr="0099630C">
              <w:rPr>
                <w:rFonts w:ascii="Times New Roman" w:hAnsi="Times New Roman" w:cs="Times New Roman"/>
                <w:b/>
                <w:bCs/>
                <w:color w:val="000000"/>
                <w:sz w:val="14"/>
                <w:szCs w:val="14"/>
                <w:lang w:eastAsia="sk-SK"/>
              </w:rPr>
              <w:t>45 825</w:t>
            </w:r>
          </w:p>
        </w:tc>
        <w:tc>
          <w:tcPr>
            <w:tcW w:w="542" w:type="pct"/>
            <w:shd w:val="clear" w:color="auto" w:fill="BFBFBF"/>
            <w:vAlign w:val="center"/>
          </w:tcPr>
          <w:p w:rsidR="0083667D" w:rsidRPr="00744DAC" w:rsidRDefault="0083667D" w:rsidP="00DF0EF9">
            <w:pPr>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34 044</w:t>
            </w:r>
          </w:p>
        </w:tc>
        <w:tc>
          <w:tcPr>
            <w:tcW w:w="542" w:type="pct"/>
            <w:shd w:val="clear" w:color="auto" w:fill="BFBFBF"/>
            <w:vAlign w:val="center"/>
          </w:tcPr>
          <w:p w:rsidR="0083667D" w:rsidRPr="00744DAC" w:rsidRDefault="0083667D" w:rsidP="00DF0EF9">
            <w:pPr>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31 516</w:t>
            </w:r>
          </w:p>
        </w:tc>
        <w:tc>
          <w:tcPr>
            <w:tcW w:w="542" w:type="pct"/>
            <w:shd w:val="clear" w:color="auto" w:fill="BFBFBF"/>
            <w:vAlign w:val="center"/>
          </w:tcPr>
          <w:p w:rsidR="0083667D" w:rsidRPr="00744DAC" w:rsidRDefault="0083667D" w:rsidP="00DF0EF9">
            <w:pPr>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36 701</w:t>
            </w:r>
          </w:p>
        </w:tc>
        <w:tc>
          <w:tcPr>
            <w:tcW w:w="542" w:type="pct"/>
            <w:shd w:val="clear" w:color="auto" w:fill="BFBFBF"/>
            <w:vAlign w:val="center"/>
          </w:tcPr>
          <w:p w:rsidR="0083667D" w:rsidRPr="00744DAC" w:rsidRDefault="0083667D" w:rsidP="00DF0EF9">
            <w:pPr>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37 724</w:t>
            </w:r>
          </w:p>
        </w:tc>
        <w:tc>
          <w:tcPr>
            <w:tcW w:w="551" w:type="pct"/>
            <w:shd w:val="clear" w:color="auto" w:fill="BFBFBF"/>
            <w:vAlign w:val="center"/>
          </w:tcPr>
          <w:p w:rsidR="0083667D" w:rsidRPr="00744DAC" w:rsidRDefault="0083667D" w:rsidP="00DF0EF9">
            <w:pPr>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38 273</w:t>
            </w:r>
          </w:p>
        </w:tc>
      </w:tr>
      <w:tr w:rsidR="0083667D" w:rsidTr="00DF0EF9">
        <w:trPr>
          <w:trHeight w:val="340"/>
        </w:trPr>
        <w:tc>
          <w:tcPr>
            <w:tcW w:w="1201" w:type="pct"/>
            <w:vAlign w:val="center"/>
            <w:hideMark/>
          </w:tcPr>
          <w:p w:rsidR="0083667D" w:rsidRDefault="0083667D" w:rsidP="00DF0EF9">
            <w:pPr>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v tom: zo zdravotných poisťovní</w:t>
            </w:r>
          </w:p>
        </w:tc>
        <w:tc>
          <w:tcPr>
            <w:tcW w:w="540" w:type="pct"/>
            <w:vAlign w:val="center"/>
          </w:tcPr>
          <w:p w:rsidR="0083667D" w:rsidRPr="001C2804" w:rsidRDefault="0083667D" w:rsidP="00DF0EF9">
            <w:pPr>
              <w:jc w:val="right"/>
              <w:rPr>
                <w:rFonts w:ascii="Times New Roman" w:hAnsi="Times New Roman" w:cs="Times New Roman"/>
                <w:bCs/>
                <w:color w:val="000000"/>
                <w:sz w:val="14"/>
                <w:szCs w:val="14"/>
                <w:highlight w:val="yellow"/>
                <w:lang w:eastAsia="sk-SK"/>
              </w:rPr>
            </w:pPr>
            <w:r w:rsidRPr="00A038AA">
              <w:rPr>
                <w:rFonts w:ascii="Times New Roman" w:hAnsi="Times New Roman" w:cs="Times New Roman"/>
                <w:bCs/>
                <w:color w:val="000000"/>
                <w:sz w:val="14"/>
                <w:szCs w:val="14"/>
                <w:lang w:eastAsia="sk-SK"/>
              </w:rPr>
              <w:t>29 965</w:t>
            </w:r>
          </w:p>
        </w:tc>
        <w:tc>
          <w:tcPr>
            <w:tcW w:w="542" w:type="pct"/>
            <w:vAlign w:val="center"/>
          </w:tcPr>
          <w:p w:rsidR="0083667D" w:rsidRPr="001C2804" w:rsidRDefault="0083667D" w:rsidP="00DF0EF9">
            <w:pPr>
              <w:jc w:val="right"/>
              <w:rPr>
                <w:rFonts w:ascii="Times New Roman" w:hAnsi="Times New Roman" w:cs="Times New Roman"/>
                <w:bCs/>
                <w:color w:val="000000"/>
                <w:sz w:val="14"/>
                <w:szCs w:val="14"/>
                <w:highlight w:val="yellow"/>
                <w:lang w:eastAsia="sk-SK"/>
              </w:rPr>
            </w:pPr>
            <w:r w:rsidRPr="00A038AA">
              <w:rPr>
                <w:rFonts w:ascii="Times New Roman" w:hAnsi="Times New Roman" w:cs="Times New Roman"/>
                <w:bCs/>
                <w:color w:val="000000"/>
                <w:sz w:val="14"/>
                <w:szCs w:val="14"/>
                <w:lang w:eastAsia="sk-SK"/>
              </w:rPr>
              <w:t>30 961</w:t>
            </w:r>
          </w:p>
        </w:tc>
        <w:tc>
          <w:tcPr>
            <w:tcW w:w="542" w:type="pct"/>
            <w:vAlign w:val="center"/>
          </w:tcPr>
          <w:p w:rsidR="0083667D" w:rsidRPr="001C2804" w:rsidRDefault="0083667D" w:rsidP="00DF0EF9">
            <w:pPr>
              <w:jc w:val="right"/>
              <w:rPr>
                <w:rFonts w:ascii="Times New Roman" w:hAnsi="Times New Roman" w:cs="Times New Roman"/>
                <w:bCs/>
                <w:color w:val="000000"/>
                <w:sz w:val="14"/>
                <w:szCs w:val="14"/>
                <w:highlight w:val="yellow"/>
                <w:lang w:eastAsia="sk-SK"/>
              </w:rPr>
            </w:pPr>
            <w:r w:rsidRPr="00A038AA">
              <w:rPr>
                <w:rFonts w:ascii="Times New Roman" w:hAnsi="Times New Roman" w:cs="Times New Roman"/>
                <w:bCs/>
                <w:color w:val="000000"/>
                <w:sz w:val="14"/>
                <w:szCs w:val="14"/>
                <w:lang w:eastAsia="sk-SK"/>
              </w:rPr>
              <w:t>33 392</w:t>
            </w:r>
          </w:p>
        </w:tc>
        <w:tc>
          <w:tcPr>
            <w:tcW w:w="542" w:type="pct"/>
            <w:vAlign w:val="center"/>
          </w:tcPr>
          <w:p w:rsidR="0083667D" w:rsidRPr="001C2804" w:rsidRDefault="0083667D" w:rsidP="00DF0EF9">
            <w:pPr>
              <w:jc w:val="right"/>
              <w:rPr>
                <w:rFonts w:ascii="Times New Roman" w:hAnsi="Times New Roman" w:cs="Times New Roman"/>
                <w:bCs/>
                <w:color w:val="000000"/>
                <w:sz w:val="14"/>
                <w:szCs w:val="14"/>
                <w:highlight w:val="yellow"/>
                <w:lang w:eastAsia="sk-SK"/>
              </w:rPr>
            </w:pPr>
            <w:r w:rsidRPr="00A038AA">
              <w:rPr>
                <w:rFonts w:ascii="Times New Roman" w:hAnsi="Times New Roman" w:cs="Times New Roman"/>
                <w:bCs/>
                <w:color w:val="000000"/>
                <w:sz w:val="14"/>
                <w:szCs w:val="14"/>
                <w:lang w:eastAsia="sk-SK"/>
              </w:rPr>
              <w:t>28 352</w:t>
            </w:r>
          </w:p>
        </w:tc>
        <w:tc>
          <w:tcPr>
            <w:tcW w:w="542" w:type="pct"/>
            <w:vAlign w:val="center"/>
          </w:tcPr>
          <w:p w:rsidR="0083667D" w:rsidRPr="001C2804" w:rsidRDefault="0083667D" w:rsidP="00DF0EF9">
            <w:pPr>
              <w:jc w:val="right"/>
              <w:rPr>
                <w:rFonts w:ascii="Times New Roman" w:hAnsi="Times New Roman" w:cs="Times New Roman"/>
                <w:bCs/>
                <w:color w:val="000000"/>
                <w:sz w:val="14"/>
                <w:szCs w:val="14"/>
                <w:highlight w:val="yellow"/>
                <w:lang w:eastAsia="sk-SK"/>
              </w:rPr>
            </w:pPr>
            <w:r w:rsidRPr="00A038AA">
              <w:rPr>
                <w:rFonts w:ascii="Times New Roman" w:hAnsi="Times New Roman" w:cs="Times New Roman"/>
                <w:bCs/>
                <w:color w:val="000000"/>
                <w:sz w:val="14"/>
                <w:szCs w:val="14"/>
                <w:lang w:eastAsia="sk-SK"/>
              </w:rPr>
              <w:t>35 02</w:t>
            </w:r>
            <w:r>
              <w:rPr>
                <w:rFonts w:ascii="Times New Roman" w:hAnsi="Times New Roman" w:cs="Times New Roman"/>
                <w:bCs/>
                <w:color w:val="000000"/>
                <w:sz w:val="14"/>
                <w:szCs w:val="14"/>
                <w:lang w:eastAsia="sk-SK"/>
              </w:rPr>
              <w:t>5</w:t>
            </w:r>
          </w:p>
        </w:tc>
        <w:tc>
          <w:tcPr>
            <w:tcW w:w="542" w:type="pct"/>
            <w:vAlign w:val="center"/>
          </w:tcPr>
          <w:p w:rsidR="0083667D" w:rsidRPr="001C2804" w:rsidRDefault="0083667D" w:rsidP="00DF0EF9">
            <w:pPr>
              <w:jc w:val="right"/>
              <w:rPr>
                <w:rFonts w:ascii="Times New Roman" w:hAnsi="Times New Roman" w:cs="Times New Roman"/>
                <w:bCs/>
                <w:color w:val="000000"/>
                <w:sz w:val="14"/>
                <w:szCs w:val="14"/>
                <w:highlight w:val="yellow"/>
                <w:lang w:eastAsia="sk-SK"/>
              </w:rPr>
            </w:pPr>
            <w:r w:rsidRPr="00A038AA">
              <w:rPr>
                <w:rFonts w:ascii="Times New Roman" w:hAnsi="Times New Roman" w:cs="Times New Roman"/>
                <w:bCs/>
                <w:color w:val="000000"/>
                <w:sz w:val="14"/>
                <w:szCs w:val="14"/>
                <w:lang w:eastAsia="sk-SK"/>
              </w:rPr>
              <w:t>36 04</w:t>
            </w:r>
            <w:r>
              <w:rPr>
                <w:rFonts w:ascii="Times New Roman" w:hAnsi="Times New Roman" w:cs="Times New Roman"/>
                <w:bCs/>
                <w:color w:val="000000"/>
                <w:sz w:val="14"/>
                <w:szCs w:val="14"/>
                <w:lang w:eastAsia="sk-SK"/>
              </w:rPr>
              <w:t>7</w:t>
            </w:r>
          </w:p>
        </w:tc>
        <w:tc>
          <w:tcPr>
            <w:tcW w:w="551" w:type="pct"/>
            <w:vAlign w:val="center"/>
          </w:tcPr>
          <w:p w:rsidR="0083667D" w:rsidRPr="001C2804" w:rsidRDefault="0083667D" w:rsidP="00DF0EF9">
            <w:pPr>
              <w:jc w:val="right"/>
              <w:rPr>
                <w:rFonts w:ascii="Times New Roman" w:hAnsi="Times New Roman" w:cs="Times New Roman"/>
                <w:bCs/>
                <w:color w:val="000000"/>
                <w:sz w:val="14"/>
                <w:szCs w:val="14"/>
                <w:highlight w:val="yellow"/>
                <w:lang w:eastAsia="sk-SK"/>
              </w:rPr>
            </w:pPr>
            <w:r w:rsidRPr="00A038AA">
              <w:rPr>
                <w:rFonts w:ascii="Times New Roman" w:hAnsi="Times New Roman" w:cs="Times New Roman"/>
                <w:bCs/>
                <w:color w:val="000000"/>
                <w:sz w:val="14"/>
                <w:szCs w:val="14"/>
                <w:lang w:eastAsia="sk-SK"/>
              </w:rPr>
              <w:t>36 609</w:t>
            </w:r>
          </w:p>
        </w:tc>
      </w:tr>
      <w:tr w:rsidR="0083667D" w:rsidTr="00DF0EF9">
        <w:trPr>
          <w:trHeight w:val="340"/>
        </w:trPr>
        <w:tc>
          <w:tcPr>
            <w:tcW w:w="1201" w:type="pct"/>
            <w:shd w:val="clear" w:color="auto" w:fill="FFFFFF"/>
            <w:vAlign w:val="center"/>
            <w:hideMark/>
          </w:tcPr>
          <w:p w:rsidR="0083667D" w:rsidRDefault="0083667D" w:rsidP="00DF0EF9">
            <w:pPr>
              <w:ind w:left="366"/>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od ostatných subjektov</w:t>
            </w:r>
          </w:p>
          <w:p w:rsidR="0083667D" w:rsidRDefault="0083667D" w:rsidP="00DF0EF9">
            <w:pPr>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verejnej správy</w:t>
            </w:r>
          </w:p>
        </w:tc>
        <w:tc>
          <w:tcPr>
            <w:tcW w:w="540" w:type="pct"/>
            <w:shd w:val="clear" w:color="auto" w:fill="FFFFFF"/>
            <w:vAlign w:val="center"/>
          </w:tcPr>
          <w:p w:rsidR="0083667D" w:rsidRPr="00D37295" w:rsidRDefault="0083667D" w:rsidP="00DF0EF9">
            <w:pPr>
              <w:jc w:val="right"/>
              <w:rPr>
                <w:rFonts w:ascii="Times New Roman" w:hAnsi="Times New Roman" w:cs="Times New Roman"/>
                <w:bCs/>
                <w:color w:val="000000"/>
                <w:sz w:val="14"/>
                <w:szCs w:val="14"/>
                <w:lang w:eastAsia="sk-SK"/>
              </w:rPr>
            </w:pPr>
            <w:r w:rsidRPr="00D37295">
              <w:rPr>
                <w:rFonts w:ascii="Times New Roman" w:hAnsi="Times New Roman" w:cs="Times New Roman"/>
                <w:bCs/>
                <w:color w:val="000000"/>
                <w:sz w:val="14"/>
                <w:szCs w:val="14"/>
                <w:lang w:eastAsia="sk-SK"/>
              </w:rPr>
              <w:t>1 572</w:t>
            </w:r>
          </w:p>
        </w:tc>
        <w:tc>
          <w:tcPr>
            <w:tcW w:w="542" w:type="pct"/>
            <w:shd w:val="clear" w:color="auto" w:fill="FFFFFF"/>
            <w:vAlign w:val="center"/>
          </w:tcPr>
          <w:p w:rsidR="0083667D" w:rsidRPr="00D37295" w:rsidRDefault="0083667D" w:rsidP="00DF0EF9">
            <w:pPr>
              <w:jc w:val="right"/>
              <w:rPr>
                <w:rFonts w:ascii="Times New Roman" w:hAnsi="Times New Roman" w:cs="Times New Roman"/>
                <w:bCs/>
                <w:color w:val="000000"/>
                <w:sz w:val="14"/>
                <w:szCs w:val="14"/>
                <w:lang w:eastAsia="sk-SK"/>
              </w:rPr>
            </w:pPr>
            <w:r w:rsidRPr="00D37295">
              <w:rPr>
                <w:rFonts w:ascii="Times New Roman" w:hAnsi="Times New Roman" w:cs="Times New Roman"/>
                <w:bCs/>
                <w:color w:val="000000"/>
                <w:sz w:val="14"/>
                <w:szCs w:val="14"/>
                <w:lang w:eastAsia="sk-SK"/>
              </w:rPr>
              <w:t>11 822</w:t>
            </w:r>
          </w:p>
        </w:tc>
        <w:tc>
          <w:tcPr>
            <w:tcW w:w="542" w:type="pct"/>
            <w:shd w:val="clear" w:color="auto" w:fill="FFFFFF"/>
            <w:vAlign w:val="center"/>
          </w:tcPr>
          <w:p w:rsidR="0083667D" w:rsidRPr="00D37295" w:rsidRDefault="0083667D" w:rsidP="00DF0EF9">
            <w:pPr>
              <w:jc w:val="right"/>
              <w:rPr>
                <w:rFonts w:ascii="Times New Roman" w:hAnsi="Times New Roman" w:cs="Times New Roman"/>
                <w:bCs/>
                <w:color w:val="000000"/>
                <w:sz w:val="14"/>
                <w:szCs w:val="14"/>
                <w:lang w:eastAsia="sk-SK"/>
              </w:rPr>
            </w:pPr>
            <w:r w:rsidRPr="00D37295">
              <w:rPr>
                <w:rFonts w:ascii="Times New Roman" w:hAnsi="Times New Roman" w:cs="Times New Roman"/>
                <w:bCs/>
                <w:color w:val="000000"/>
                <w:sz w:val="14"/>
                <w:szCs w:val="14"/>
                <w:lang w:eastAsia="sk-SK"/>
              </w:rPr>
              <w:t>332</w:t>
            </w:r>
          </w:p>
        </w:tc>
        <w:tc>
          <w:tcPr>
            <w:tcW w:w="542" w:type="pct"/>
            <w:shd w:val="clear" w:color="auto" w:fill="FFFFFF"/>
            <w:vAlign w:val="center"/>
          </w:tcPr>
          <w:p w:rsidR="0083667D" w:rsidRPr="00D37295" w:rsidRDefault="0083667D" w:rsidP="00DF0EF9">
            <w:pPr>
              <w:jc w:val="right"/>
              <w:rPr>
                <w:rFonts w:ascii="Times New Roman" w:hAnsi="Times New Roman" w:cs="Times New Roman"/>
                <w:bCs/>
                <w:color w:val="000000"/>
                <w:sz w:val="14"/>
                <w:szCs w:val="14"/>
                <w:lang w:eastAsia="sk-SK"/>
              </w:rPr>
            </w:pPr>
            <w:r w:rsidRPr="00D37295">
              <w:rPr>
                <w:rFonts w:ascii="Times New Roman" w:hAnsi="Times New Roman" w:cs="Times New Roman"/>
                <w:bCs/>
                <w:color w:val="000000"/>
                <w:sz w:val="14"/>
                <w:szCs w:val="14"/>
                <w:lang w:eastAsia="sk-SK"/>
              </w:rPr>
              <w:t>3 077</w:t>
            </w:r>
          </w:p>
        </w:tc>
        <w:tc>
          <w:tcPr>
            <w:tcW w:w="542" w:type="pct"/>
            <w:shd w:val="clear" w:color="auto" w:fill="FFFFFF"/>
            <w:vAlign w:val="center"/>
          </w:tcPr>
          <w:p w:rsidR="0083667D" w:rsidRPr="00D37295" w:rsidRDefault="0083667D" w:rsidP="00DF0EF9">
            <w:pPr>
              <w:jc w:val="right"/>
              <w:rPr>
                <w:rFonts w:ascii="Times New Roman" w:hAnsi="Times New Roman" w:cs="Times New Roman"/>
                <w:bCs/>
                <w:color w:val="000000"/>
                <w:sz w:val="14"/>
                <w:szCs w:val="14"/>
                <w:lang w:eastAsia="sk-SK"/>
              </w:rPr>
            </w:pPr>
            <w:r w:rsidRPr="00D37295">
              <w:rPr>
                <w:rFonts w:ascii="Times New Roman" w:hAnsi="Times New Roman" w:cs="Times New Roman"/>
                <w:bCs/>
                <w:color w:val="000000"/>
                <w:sz w:val="14"/>
                <w:szCs w:val="14"/>
                <w:lang w:eastAsia="sk-SK"/>
              </w:rPr>
              <w:t>1 577</w:t>
            </w:r>
          </w:p>
        </w:tc>
        <w:tc>
          <w:tcPr>
            <w:tcW w:w="542" w:type="pct"/>
            <w:shd w:val="clear" w:color="auto" w:fill="FFFFFF"/>
            <w:vAlign w:val="center"/>
          </w:tcPr>
          <w:p w:rsidR="0083667D" w:rsidRPr="00D37295" w:rsidRDefault="0083667D" w:rsidP="00DF0EF9">
            <w:pPr>
              <w:jc w:val="right"/>
              <w:rPr>
                <w:rFonts w:ascii="Times New Roman" w:hAnsi="Times New Roman" w:cs="Times New Roman"/>
                <w:bCs/>
                <w:color w:val="000000"/>
                <w:sz w:val="14"/>
                <w:szCs w:val="14"/>
                <w:lang w:eastAsia="sk-SK"/>
              </w:rPr>
            </w:pPr>
            <w:r w:rsidRPr="00D37295">
              <w:rPr>
                <w:rFonts w:ascii="Times New Roman" w:hAnsi="Times New Roman" w:cs="Times New Roman"/>
                <w:bCs/>
                <w:color w:val="000000"/>
                <w:sz w:val="14"/>
                <w:szCs w:val="14"/>
                <w:lang w:eastAsia="sk-SK"/>
              </w:rPr>
              <w:t>1 577</w:t>
            </w:r>
          </w:p>
        </w:tc>
        <w:tc>
          <w:tcPr>
            <w:tcW w:w="551" w:type="pct"/>
            <w:shd w:val="clear" w:color="auto" w:fill="FFFFFF"/>
            <w:vAlign w:val="center"/>
          </w:tcPr>
          <w:p w:rsidR="0083667D" w:rsidRPr="00D37295" w:rsidRDefault="0083667D" w:rsidP="00DF0EF9">
            <w:pPr>
              <w:jc w:val="right"/>
              <w:rPr>
                <w:rFonts w:ascii="Times New Roman" w:hAnsi="Times New Roman" w:cs="Times New Roman"/>
                <w:bCs/>
                <w:color w:val="000000"/>
                <w:sz w:val="14"/>
                <w:szCs w:val="14"/>
                <w:lang w:eastAsia="sk-SK"/>
              </w:rPr>
            </w:pPr>
            <w:r w:rsidRPr="00D37295">
              <w:rPr>
                <w:rFonts w:ascii="Times New Roman" w:hAnsi="Times New Roman" w:cs="Times New Roman"/>
                <w:bCs/>
                <w:color w:val="000000"/>
                <w:sz w:val="14"/>
                <w:szCs w:val="14"/>
                <w:lang w:eastAsia="sk-SK"/>
              </w:rPr>
              <w:t>1 577</w:t>
            </w:r>
          </w:p>
        </w:tc>
      </w:tr>
    </w:tbl>
    <w:p w:rsidR="0083667D" w:rsidRDefault="0083667D" w:rsidP="0083667D">
      <w:pPr>
        <w:jc w:val="both"/>
        <w:rPr>
          <w:rFonts w:ascii="Times New Roman" w:hAnsi="Times New Roman"/>
          <w:szCs w:val="22"/>
        </w:rPr>
      </w:pPr>
    </w:p>
    <w:p w:rsidR="0083667D" w:rsidRPr="00AC4C69" w:rsidRDefault="0083667D" w:rsidP="0083667D">
      <w:pPr>
        <w:jc w:val="both"/>
        <w:rPr>
          <w:rFonts w:ascii="Times New Roman" w:hAnsi="Times New Roman"/>
          <w:b/>
          <w:szCs w:val="22"/>
        </w:rPr>
      </w:pPr>
      <w:r w:rsidRPr="00AC4C69">
        <w:rPr>
          <w:rFonts w:ascii="Times New Roman" w:hAnsi="Times New Roman"/>
          <w:b/>
          <w:szCs w:val="22"/>
        </w:rPr>
        <w:t>Príjmy podľa § 17 ods. 4</w:t>
      </w:r>
    </w:p>
    <w:p w:rsidR="0083667D" w:rsidRDefault="0083667D" w:rsidP="0083667D">
      <w:pPr>
        <w:ind w:firstLine="708"/>
        <w:jc w:val="both"/>
        <w:rPr>
          <w:rFonts w:ascii="Times New Roman" w:hAnsi="Times New Roman"/>
          <w:szCs w:val="22"/>
        </w:rPr>
      </w:pPr>
    </w:p>
    <w:p w:rsidR="0083667D" w:rsidRDefault="0083667D" w:rsidP="0083667D">
      <w:pPr>
        <w:jc w:val="both"/>
        <w:rPr>
          <w:rFonts w:ascii="Times New Roman" w:hAnsi="Times New Roman"/>
          <w:szCs w:val="22"/>
        </w:rPr>
      </w:pPr>
      <w:r>
        <w:rPr>
          <w:rFonts w:ascii="Times New Roman" w:hAnsi="Times New Roman"/>
          <w:szCs w:val="22"/>
        </w:rPr>
        <w:tab/>
        <w:t>S účinnosťou od 1. januára 2018 r</w:t>
      </w:r>
      <w:r w:rsidRPr="00782B88">
        <w:rPr>
          <w:rFonts w:ascii="Times New Roman" w:hAnsi="Times New Roman"/>
          <w:szCs w:val="22"/>
        </w:rPr>
        <w:t>ozpočtová organizácia rozpočtuje aj príjmy</w:t>
      </w:r>
      <w:r>
        <w:rPr>
          <w:rFonts w:ascii="Times New Roman" w:hAnsi="Times New Roman"/>
          <w:szCs w:val="22"/>
        </w:rPr>
        <w:t xml:space="preserve"> podľa § 17 ods. 4</w:t>
      </w:r>
      <w:r w:rsidRPr="001B7032">
        <w:rPr>
          <w:rFonts w:ascii="Times New Roman" w:hAnsi="Times New Roman"/>
          <w:szCs w:val="22"/>
        </w:rPr>
        <w:t xml:space="preserve"> </w:t>
      </w:r>
      <w:r>
        <w:rPr>
          <w:rFonts w:ascii="Times New Roman" w:hAnsi="Times New Roman"/>
          <w:szCs w:val="22"/>
        </w:rPr>
        <w:t>zákona č. 523/2004 Z. z. o rozpočtových pravidlách verejnej správy a o zmene a doplnení niektorých zákonov. Uvedené príjmy v sume 2</w:t>
      </w:r>
      <w:r w:rsidR="000509BB">
        <w:rPr>
          <w:rFonts w:ascii="Times New Roman" w:hAnsi="Times New Roman"/>
          <w:szCs w:val="22"/>
        </w:rPr>
        <w:t>,37</w:t>
      </w:r>
      <w:r>
        <w:rPr>
          <w:rFonts w:ascii="Times New Roman" w:hAnsi="Times New Roman"/>
          <w:szCs w:val="22"/>
        </w:rPr>
        <w:t xml:space="preserve"> </w:t>
      </w:r>
      <w:r w:rsidR="000509BB">
        <w:rPr>
          <w:rFonts w:ascii="Times New Roman" w:hAnsi="Times New Roman"/>
          <w:szCs w:val="22"/>
        </w:rPr>
        <w:t>mil</w:t>
      </w:r>
      <w:r>
        <w:rPr>
          <w:rFonts w:ascii="Times New Roman" w:hAnsi="Times New Roman"/>
          <w:szCs w:val="22"/>
        </w:rPr>
        <w:t xml:space="preserve">. eur </w:t>
      </w:r>
      <w:r w:rsidR="000509BB">
        <w:rPr>
          <w:rFonts w:ascii="Times New Roman" w:hAnsi="Times New Roman"/>
          <w:szCs w:val="22"/>
        </w:rPr>
        <w:t xml:space="preserve">ročne </w:t>
      </w:r>
      <w:r>
        <w:rPr>
          <w:rFonts w:ascii="Times New Roman" w:hAnsi="Times New Roman"/>
          <w:szCs w:val="22"/>
        </w:rPr>
        <w:t>sú súčasťou nedaňových príjmov a tuzemských transferov.</w:t>
      </w:r>
    </w:p>
    <w:p w:rsidR="004B7D85" w:rsidRDefault="004B7D85" w:rsidP="004B7D85"/>
    <w:p w:rsidR="00DD719C" w:rsidRPr="001434F9" w:rsidRDefault="004E44EF" w:rsidP="000A045E">
      <w:pPr>
        <w:pStyle w:val="Nadpis2"/>
        <w:spacing w:before="0" w:after="0"/>
        <w:rPr>
          <w:rFonts w:ascii="Times New Roman" w:hAnsi="Times New Roman"/>
          <w:i w:val="0"/>
          <w:sz w:val="24"/>
          <w:szCs w:val="22"/>
        </w:rPr>
      </w:pPr>
      <w:bookmarkStart w:id="45" w:name="_Toc526273187"/>
      <w:r w:rsidRPr="001434F9">
        <w:rPr>
          <w:rFonts w:ascii="Times New Roman" w:hAnsi="Times New Roman"/>
          <w:i w:val="0"/>
          <w:sz w:val="24"/>
          <w:szCs w:val="22"/>
        </w:rPr>
        <w:t>3.5. Daňové výdavky</w:t>
      </w:r>
      <w:bookmarkEnd w:id="45"/>
      <w:r w:rsidRPr="001434F9">
        <w:rPr>
          <w:rFonts w:ascii="Times New Roman" w:hAnsi="Times New Roman"/>
          <w:i w:val="0"/>
          <w:sz w:val="24"/>
          <w:szCs w:val="22"/>
        </w:rPr>
        <w:t xml:space="preserve"> </w:t>
      </w:r>
    </w:p>
    <w:p w:rsidR="001434F9" w:rsidRDefault="001434F9" w:rsidP="001434F9">
      <w:pPr>
        <w:autoSpaceDE w:val="0"/>
        <w:autoSpaceDN w:val="0"/>
        <w:adjustRightInd w:val="0"/>
        <w:ind w:firstLine="708"/>
        <w:jc w:val="both"/>
        <w:rPr>
          <w:rFonts w:ascii="Times New Roman" w:hAnsi="Times New Roman" w:cs="Times New Roman"/>
          <w:color w:val="000000"/>
        </w:rPr>
      </w:pPr>
      <w:bookmarkStart w:id="46" w:name="_Toc116476495"/>
      <w:bookmarkStart w:id="47" w:name="_Toc141529498"/>
      <w:bookmarkStart w:id="48" w:name="_Toc219860187"/>
      <w:bookmarkStart w:id="49" w:name="_Toc282686543"/>
      <w:bookmarkEnd w:id="2"/>
    </w:p>
    <w:p w:rsidR="00CA25F9" w:rsidRPr="0060215F" w:rsidRDefault="00CA25F9" w:rsidP="00CA25F9">
      <w:pPr>
        <w:autoSpaceDE w:val="0"/>
        <w:autoSpaceDN w:val="0"/>
        <w:adjustRightInd w:val="0"/>
        <w:ind w:firstLine="708"/>
        <w:jc w:val="both"/>
        <w:rPr>
          <w:rFonts w:ascii="Times New Roman" w:hAnsi="Times New Roman" w:cs="Times New Roman"/>
          <w:color w:val="000000"/>
        </w:rPr>
      </w:pPr>
      <w:r w:rsidRPr="0060215F">
        <w:rPr>
          <w:rFonts w:ascii="Times New Roman" w:hAnsi="Times New Roman" w:cs="Times New Roman"/>
          <w:color w:val="000000"/>
        </w:rPr>
        <w:t>Rovnaké ciele verejnej politiky</w:t>
      </w:r>
      <w:r w:rsidR="00A92853">
        <w:rPr>
          <w:rFonts w:ascii="Times New Roman" w:hAnsi="Times New Roman" w:cs="Times New Roman"/>
          <w:color w:val="000000"/>
        </w:rPr>
        <w:t>,</w:t>
      </w:r>
      <w:r w:rsidRPr="0060215F">
        <w:rPr>
          <w:rFonts w:ascii="Times New Roman" w:hAnsi="Times New Roman" w:cs="Times New Roman"/>
          <w:color w:val="000000"/>
        </w:rPr>
        <w:t xml:space="preserve"> z pohľadu rozpočtovej politiky a posudzovania vývoja verejných financií</w:t>
      </w:r>
      <w:r w:rsidR="00A92853">
        <w:rPr>
          <w:rFonts w:ascii="Times New Roman" w:hAnsi="Times New Roman" w:cs="Times New Roman"/>
          <w:color w:val="000000"/>
        </w:rPr>
        <w:t>, je</w:t>
      </w:r>
      <w:r w:rsidRPr="0060215F">
        <w:rPr>
          <w:rFonts w:ascii="Times New Roman" w:hAnsi="Times New Roman" w:cs="Times New Roman"/>
          <w:color w:val="000000"/>
        </w:rPr>
        <w:t xml:space="preserve"> možné dosiahnuť dvoma spôsobmi. Buď prostredníctvom výdavkovej strany rozpočtu alebo cez selektívne daňové zvýhodnenia, ktoré znižujú potenciálne daňové príjmy. Časť vládnych výdavkov je tak obsiahnutá v daňových zákonoch vo forme rôznych zvýhodnení, oslobodení, či iných preferencií. Táto časť rozpočtu poskytuje v súlade so zverejnenou metodikou M</w:t>
      </w:r>
      <w:r w:rsidR="00A92853">
        <w:rPr>
          <w:rFonts w:ascii="Times New Roman" w:hAnsi="Times New Roman" w:cs="Times New Roman"/>
          <w:color w:val="000000"/>
        </w:rPr>
        <w:t>inisterstva financií</w:t>
      </w:r>
      <w:r w:rsidRPr="0060215F">
        <w:rPr>
          <w:rFonts w:ascii="Times New Roman" w:hAnsi="Times New Roman" w:cs="Times New Roman"/>
          <w:color w:val="000000"/>
        </w:rPr>
        <w:t> SR</w:t>
      </w:r>
      <w:r w:rsidRPr="0060215F">
        <w:rPr>
          <w:rStyle w:val="Odkaznapoznmkupodiarou"/>
          <w:rFonts w:ascii="Times New Roman" w:hAnsi="Times New Roman"/>
          <w:color w:val="000000"/>
        </w:rPr>
        <w:footnoteReference w:id="12"/>
      </w:r>
      <w:r w:rsidRPr="0060215F">
        <w:rPr>
          <w:rFonts w:ascii="Times New Roman" w:hAnsi="Times New Roman" w:cs="Times New Roman"/>
          <w:color w:val="000000"/>
        </w:rPr>
        <w:t xml:space="preserve"> detailnejšie informácie o existujúcich daňových výdavkoch. </w:t>
      </w:r>
    </w:p>
    <w:p w:rsidR="00CA25F9" w:rsidRPr="0060215F" w:rsidRDefault="00CA25F9" w:rsidP="00CA25F9">
      <w:pPr>
        <w:autoSpaceDE w:val="0"/>
        <w:autoSpaceDN w:val="0"/>
        <w:adjustRightInd w:val="0"/>
        <w:ind w:firstLine="708"/>
        <w:jc w:val="both"/>
        <w:rPr>
          <w:rFonts w:ascii="Times New Roman" w:hAnsi="Times New Roman" w:cs="Times New Roman"/>
          <w:color w:val="000000"/>
        </w:rPr>
      </w:pPr>
    </w:p>
    <w:p w:rsidR="00CA25F9" w:rsidRPr="0060215F" w:rsidRDefault="00CA25F9" w:rsidP="00CA25F9">
      <w:pPr>
        <w:autoSpaceDE w:val="0"/>
        <w:autoSpaceDN w:val="0"/>
        <w:adjustRightInd w:val="0"/>
        <w:ind w:firstLine="708"/>
        <w:jc w:val="both"/>
        <w:rPr>
          <w:rFonts w:ascii="Times New Roman" w:hAnsi="Times New Roman" w:cs="Times New Roman"/>
          <w:color w:val="000000"/>
        </w:rPr>
      </w:pPr>
      <w:r w:rsidRPr="0060215F">
        <w:rPr>
          <w:rFonts w:ascii="Times New Roman" w:hAnsi="Times New Roman" w:cs="Times New Roman"/>
          <w:color w:val="000000"/>
        </w:rPr>
        <w:t>Povinnosť zverejňovať podrobné informácie o vplyve daňových výdavkov na daňové príjmy, vyplýva členským štátom z </w:t>
      </w:r>
      <w:r w:rsidRPr="00A92853">
        <w:rPr>
          <w:rStyle w:val="Hypertextovprepojenie"/>
          <w:rFonts w:ascii="Times New Roman" w:hAnsi="Times New Roman"/>
          <w:color w:val="auto"/>
          <w:u w:val="none"/>
        </w:rPr>
        <w:t>článku 14 ods. 2 Smernice Rady 2011/85/EÚ</w:t>
      </w:r>
      <w:r w:rsidRPr="00A92853">
        <w:rPr>
          <w:rFonts w:ascii="Times New Roman" w:hAnsi="Times New Roman" w:cs="Times New Roman"/>
        </w:rPr>
        <w:t xml:space="preserve"> </w:t>
      </w:r>
      <w:r w:rsidRPr="0060215F">
        <w:rPr>
          <w:rFonts w:ascii="Times New Roman" w:hAnsi="Times New Roman" w:cs="Times New Roman"/>
          <w:color w:val="000000"/>
        </w:rPr>
        <w:t xml:space="preserve">o požiadavkách na rozpočtové rámce členských štátov. Povinné reportovania údajov o daňových výdavkoch v rozpočte verejnej správy </w:t>
      </w:r>
      <w:r w:rsidRPr="00A92853">
        <w:rPr>
          <w:rFonts w:ascii="Times New Roman" w:hAnsi="Times New Roman" w:cs="Times New Roman"/>
        </w:rPr>
        <w:t xml:space="preserve">zaviedol aj </w:t>
      </w:r>
      <w:hyperlink r:id="rId8" w:history="1">
        <w:r w:rsidR="00A92853" w:rsidRPr="00A92853">
          <w:rPr>
            <w:rStyle w:val="Hypertextovprepojenie"/>
            <w:rFonts w:ascii="Times New Roman" w:hAnsi="Times New Roman"/>
            <w:color w:val="auto"/>
            <w:u w:val="none"/>
          </w:rPr>
          <w:t>ú</w:t>
        </w:r>
        <w:r w:rsidRPr="00A92853">
          <w:rPr>
            <w:rStyle w:val="Hypertextovprepojenie"/>
            <w:rFonts w:ascii="Times New Roman" w:hAnsi="Times New Roman"/>
            <w:color w:val="auto"/>
            <w:u w:val="none"/>
          </w:rPr>
          <w:t>stavný zákon č. 493/2011</w:t>
        </w:r>
        <w:r w:rsidR="00A87886">
          <w:rPr>
            <w:rStyle w:val="Hypertextovprepojenie"/>
            <w:rFonts w:ascii="Times New Roman" w:hAnsi="Times New Roman"/>
            <w:color w:val="auto"/>
            <w:u w:val="none"/>
          </w:rPr>
          <w:t xml:space="preserve"> Z. z.</w:t>
        </w:r>
        <w:r w:rsidRPr="00A92853">
          <w:rPr>
            <w:rStyle w:val="Hypertextovprepojenie"/>
            <w:rFonts w:ascii="Times New Roman" w:hAnsi="Times New Roman"/>
            <w:color w:val="auto"/>
            <w:u w:val="none"/>
          </w:rPr>
          <w:t xml:space="preserve"> o rozpočtovej zodpovednosti</w:t>
        </w:r>
      </w:hyperlink>
      <w:r w:rsidRPr="00A92853">
        <w:rPr>
          <w:rFonts w:ascii="Times New Roman" w:hAnsi="Times New Roman" w:cs="Times New Roman"/>
        </w:rPr>
        <w:t xml:space="preserve">. Motiváciou pre zavedenie tejto </w:t>
      </w:r>
      <w:r w:rsidRPr="0060215F">
        <w:rPr>
          <w:rFonts w:ascii="Times New Roman" w:hAnsi="Times New Roman" w:cs="Times New Roman"/>
          <w:color w:val="000000"/>
        </w:rPr>
        <w:t xml:space="preserve">povinnosti bolo najmä zvýšenie transparentnosti rozpočtu, ktorá by pomohla objektívnejšie posúdiť náklady politík realizovaných vládou SR. Pravidelné zverejňovanie údajov o daňových výdavkoch umožní identifikovať potenciálne oblasti na dosiahnutie fiškálnych cieľov, zefektívnenie daňového systému, či zabezpečí monitorovanie ich vývoja. </w:t>
      </w:r>
    </w:p>
    <w:p w:rsidR="00CA25F9" w:rsidRPr="0060215F" w:rsidRDefault="00CA25F9" w:rsidP="00CA25F9">
      <w:pPr>
        <w:autoSpaceDE w:val="0"/>
        <w:autoSpaceDN w:val="0"/>
        <w:adjustRightInd w:val="0"/>
        <w:jc w:val="both"/>
        <w:rPr>
          <w:rFonts w:ascii="Times New Roman" w:hAnsi="Times New Roman" w:cs="Times New Roman"/>
          <w:color w:val="000000"/>
        </w:rPr>
      </w:pPr>
    </w:p>
    <w:p w:rsidR="00CA25F9" w:rsidRPr="00A92853" w:rsidRDefault="00CA25F9" w:rsidP="00CA25F9">
      <w:pPr>
        <w:autoSpaceDE w:val="0"/>
        <w:autoSpaceDN w:val="0"/>
        <w:adjustRightInd w:val="0"/>
        <w:ind w:firstLine="708"/>
        <w:jc w:val="both"/>
        <w:rPr>
          <w:rFonts w:ascii="Times New Roman" w:hAnsi="Times New Roman" w:cs="Times New Roman"/>
        </w:rPr>
      </w:pPr>
      <w:r w:rsidRPr="00A92853">
        <w:rPr>
          <w:rFonts w:ascii="Times New Roman" w:hAnsi="Times New Roman" w:cs="Times New Roman"/>
        </w:rPr>
        <w:t>V súlade s manuálom daňových výdavkov sa pod daňovým benchmarkom okrem legislatívne stanoveného základu dane a štruktúry sadzieb dane rozumejú aj štrukturálne daňové výdavky. Typickým príkladom štrukturálnych daňových výdavkov, ktoré sú súčasťou daňového benchmarku sú účtovné konvencie, odpočítateľnosť povinných platieb, ustanovenia s cieľom uľahčenia administrácie dane ako aj iné ustanovenia vyplývajúce z medzinárodných záväzkov</w:t>
      </w:r>
      <w:r w:rsidRPr="00A92853">
        <w:rPr>
          <w:rFonts w:ascii="Times New Roman" w:hAnsi="Times New Roman" w:cs="Times New Roman"/>
          <w:vertAlign w:val="superscript"/>
        </w:rPr>
        <w:footnoteReference w:id="13"/>
      </w:r>
      <w:r w:rsidRPr="00A92853">
        <w:rPr>
          <w:rFonts w:ascii="Times New Roman" w:hAnsi="Times New Roman" w:cs="Times New Roman"/>
        </w:rPr>
        <w:t xml:space="preserve">. Za účelom zabezpečenia konzistentnosti výpočtov medzi jednotlivými rokmi a porovnateľnosti vývoja daňových výdavkov sa za benchmark v prípade jednotlivých daní považujú legislatívne normy platné v roku 2018, na ktorý sa rozpočet schvaľuje.  </w:t>
      </w:r>
    </w:p>
    <w:p w:rsidR="00CA25F9" w:rsidRPr="0060215F" w:rsidRDefault="00CA25F9" w:rsidP="00CA25F9">
      <w:pPr>
        <w:autoSpaceDE w:val="0"/>
        <w:autoSpaceDN w:val="0"/>
        <w:adjustRightInd w:val="0"/>
        <w:ind w:firstLine="708"/>
        <w:jc w:val="both"/>
        <w:rPr>
          <w:rFonts w:ascii="Times New Roman" w:hAnsi="Times New Roman" w:cs="Times New Roman"/>
        </w:rPr>
      </w:pPr>
    </w:p>
    <w:p w:rsidR="00CA25F9" w:rsidRPr="00A92853" w:rsidRDefault="00CA25F9" w:rsidP="00CA25F9">
      <w:pPr>
        <w:autoSpaceDE w:val="0"/>
        <w:autoSpaceDN w:val="0"/>
        <w:adjustRightInd w:val="0"/>
        <w:ind w:firstLine="708"/>
        <w:jc w:val="both"/>
        <w:rPr>
          <w:rFonts w:ascii="Times New Roman" w:hAnsi="Times New Roman" w:cs="Times New Roman"/>
        </w:rPr>
      </w:pPr>
      <w:r w:rsidRPr="00A92853">
        <w:rPr>
          <w:rFonts w:ascii="Times New Roman" w:hAnsi="Times New Roman" w:cs="Times New Roman"/>
        </w:rPr>
        <w:t xml:space="preserve">Daňovým výdavkom sú špeciálne daňové úľavy, ktoré využíva vláda na podporu určitých aktivít alebo daňovníkov v špeciálnych okolnostiach. Na to, aby konkrétna daňová </w:t>
      </w:r>
      <w:r w:rsidRPr="00A92853">
        <w:rPr>
          <w:rFonts w:ascii="Times New Roman" w:hAnsi="Times New Roman" w:cs="Times New Roman"/>
        </w:rPr>
        <w:lastRenderedPageBreak/>
        <w:t>úľava</w:t>
      </w:r>
      <w:r w:rsidR="00A92853">
        <w:rPr>
          <w:rFonts w:ascii="Times New Roman" w:hAnsi="Times New Roman" w:cs="Times New Roman"/>
        </w:rPr>
        <w:t>,</w:t>
      </w:r>
      <w:r w:rsidRPr="00A92853">
        <w:rPr>
          <w:rFonts w:ascii="Times New Roman" w:hAnsi="Times New Roman" w:cs="Times New Roman"/>
        </w:rPr>
        <w:t xml:space="preserve"> resp. špeciálny daňový režim bol z pohľadu M</w:t>
      </w:r>
      <w:r w:rsidR="00A92853">
        <w:rPr>
          <w:rFonts w:ascii="Times New Roman" w:hAnsi="Times New Roman" w:cs="Times New Roman"/>
        </w:rPr>
        <w:t>inisterstva financií</w:t>
      </w:r>
      <w:r w:rsidRPr="00A92853">
        <w:rPr>
          <w:rFonts w:ascii="Times New Roman" w:hAnsi="Times New Roman" w:cs="Times New Roman"/>
        </w:rPr>
        <w:t xml:space="preserve"> SR klasifikovaný ako daňový výdavok, musí súčasne spĺňať nasledujúce podmienky: </w:t>
      </w:r>
    </w:p>
    <w:p w:rsidR="00CA25F9" w:rsidRPr="0060215F" w:rsidRDefault="00CA25F9" w:rsidP="00CA25F9">
      <w:pPr>
        <w:autoSpaceDE w:val="0"/>
        <w:autoSpaceDN w:val="0"/>
        <w:adjustRightInd w:val="0"/>
        <w:ind w:firstLine="708"/>
        <w:jc w:val="both"/>
        <w:rPr>
          <w:rFonts w:ascii="Times New Roman" w:hAnsi="Times New Roman" w:cs="Times New Roman"/>
        </w:rPr>
      </w:pPr>
    </w:p>
    <w:p w:rsidR="00CA25F9" w:rsidRPr="0060215F" w:rsidRDefault="00CA25F9" w:rsidP="00CF5CAA">
      <w:pPr>
        <w:numPr>
          <w:ilvl w:val="0"/>
          <w:numId w:val="6"/>
        </w:numPr>
        <w:autoSpaceDE w:val="0"/>
        <w:autoSpaceDN w:val="0"/>
        <w:adjustRightInd w:val="0"/>
        <w:jc w:val="both"/>
        <w:rPr>
          <w:rFonts w:ascii="Times New Roman" w:hAnsi="Times New Roman" w:cs="Times New Roman"/>
          <w:b/>
        </w:rPr>
      </w:pPr>
      <w:r w:rsidRPr="0060215F">
        <w:rPr>
          <w:rFonts w:ascii="Times New Roman" w:hAnsi="Times New Roman" w:cs="Times New Roman"/>
          <w:b/>
        </w:rPr>
        <w:t xml:space="preserve">má vplyv na príjmy a saldo hospodárenia verejnej správy </w:t>
      </w:r>
      <w:r w:rsidRPr="0060215F">
        <w:rPr>
          <w:rFonts w:ascii="Times New Roman" w:hAnsi="Times New Roman" w:cs="Times New Roman"/>
        </w:rPr>
        <w:t>- daňovým výdavkom je opatrenie, ktoré znižuje (alebo zvyšuje) príjmy verejnej správy. V niektorých prípadoch je dôležité okrem vplyvu na príjmy sledovať aj vplyv na saldo verejnej správy. Typickým príkladom môžu byť napr. štátne sociálne dávky. Ich zdanenie kompenzované</w:t>
      </w:r>
      <w:r w:rsidRPr="0060215F" w:rsidDel="00971FD3">
        <w:rPr>
          <w:rFonts w:ascii="Times New Roman" w:hAnsi="Times New Roman" w:cs="Times New Roman"/>
        </w:rPr>
        <w:t xml:space="preserve"> </w:t>
      </w:r>
      <w:r w:rsidRPr="0060215F">
        <w:rPr>
          <w:rFonts w:ascii="Times New Roman" w:hAnsi="Times New Roman" w:cs="Times New Roman"/>
        </w:rPr>
        <w:t>adekvátnym zvýšením výdavkov verejnej správy, keďže z pohľadu záchrannej siete sú podstatné disponibilné príjmy obyvateľov v hmotnej núdzi, by malo neutrálny vplyv na saldo verejnej správy.</w:t>
      </w:r>
    </w:p>
    <w:p w:rsidR="00CA25F9" w:rsidRPr="0060215F" w:rsidRDefault="00CA25F9" w:rsidP="00CA25F9">
      <w:pPr>
        <w:autoSpaceDE w:val="0"/>
        <w:autoSpaceDN w:val="0"/>
        <w:adjustRightInd w:val="0"/>
        <w:jc w:val="both"/>
        <w:rPr>
          <w:rFonts w:ascii="Times New Roman" w:hAnsi="Times New Roman" w:cs="Times New Roman"/>
        </w:rPr>
      </w:pPr>
    </w:p>
    <w:p w:rsidR="00CA25F9" w:rsidRPr="0060215F" w:rsidRDefault="00CA25F9" w:rsidP="00CF5CAA">
      <w:pPr>
        <w:numPr>
          <w:ilvl w:val="0"/>
          <w:numId w:val="6"/>
        </w:numPr>
        <w:autoSpaceDE w:val="0"/>
        <w:autoSpaceDN w:val="0"/>
        <w:adjustRightInd w:val="0"/>
        <w:jc w:val="both"/>
        <w:rPr>
          <w:rFonts w:ascii="Times New Roman" w:hAnsi="Times New Roman" w:cs="Times New Roman"/>
        </w:rPr>
      </w:pPr>
      <w:r w:rsidRPr="0060215F">
        <w:rPr>
          <w:rFonts w:ascii="Times New Roman" w:hAnsi="Times New Roman" w:cs="Times New Roman"/>
          <w:b/>
        </w:rPr>
        <w:t>sleduje iný cieľ než je samotné zdanenie</w:t>
      </w:r>
      <w:r w:rsidRPr="0060215F">
        <w:rPr>
          <w:rFonts w:ascii="Times New Roman" w:hAnsi="Times New Roman" w:cs="Times New Roman"/>
        </w:rPr>
        <w:t xml:space="preserve"> - ak je cieľom podpora určitých aktivít alebo daňovníkov alebo ak existuje podobnosť s alternatívnym výdavkovým programom. </w:t>
      </w:r>
    </w:p>
    <w:p w:rsidR="00CA25F9" w:rsidRPr="0060215F" w:rsidRDefault="00CA25F9" w:rsidP="00CA25F9">
      <w:pPr>
        <w:autoSpaceDE w:val="0"/>
        <w:autoSpaceDN w:val="0"/>
        <w:adjustRightInd w:val="0"/>
        <w:ind w:left="720"/>
        <w:jc w:val="both"/>
        <w:rPr>
          <w:rFonts w:ascii="Times New Roman" w:hAnsi="Times New Roman" w:cs="Times New Roman"/>
        </w:rPr>
      </w:pPr>
    </w:p>
    <w:p w:rsidR="00CA25F9" w:rsidRPr="0060215F" w:rsidRDefault="00CA25F9" w:rsidP="00CF5CAA">
      <w:pPr>
        <w:numPr>
          <w:ilvl w:val="0"/>
          <w:numId w:val="6"/>
        </w:numPr>
        <w:autoSpaceDE w:val="0"/>
        <w:autoSpaceDN w:val="0"/>
        <w:adjustRightInd w:val="0"/>
        <w:jc w:val="both"/>
        <w:rPr>
          <w:rFonts w:ascii="Times New Roman" w:hAnsi="Times New Roman" w:cs="Times New Roman"/>
        </w:rPr>
      </w:pPr>
      <w:r w:rsidRPr="0060215F">
        <w:rPr>
          <w:rFonts w:ascii="Times New Roman" w:hAnsi="Times New Roman" w:cs="Times New Roman"/>
          <w:b/>
        </w:rPr>
        <w:t>nejde o štrukturálny daňový výdavok obsiahnutý v definícii daňového benchmarku</w:t>
      </w:r>
      <w:r w:rsidRPr="0060215F">
        <w:rPr>
          <w:rFonts w:ascii="Times New Roman" w:hAnsi="Times New Roman" w:cs="Times New Roman"/>
        </w:rPr>
        <w:t xml:space="preserve"> - sem zaraďujeme účtovné konvencie (legislatívne stanovené odpisové sadzby/doby aj v prípade, že sa nezhodujú s účtovnými odpismi), odpočítateľnosť povinných platieb (povinné platby vyplývajúce z iných zákonov sú automaticky považované za daňovo uznateľné výdavky), ustanovenia s cieľom uľahčenia administrácie dane (test príjmu na účely podávania daňového priznania, minimálna daňová povinnosť, zaokrúhľovanie a pod.).</w:t>
      </w:r>
    </w:p>
    <w:p w:rsidR="00CA25F9" w:rsidRPr="0060215F" w:rsidRDefault="00CA25F9" w:rsidP="00CA25F9">
      <w:pPr>
        <w:autoSpaceDE w:val="0"/>
        <w:autoSpaceDN w:val="0"/>
        <w:adjustRightInd w:val="0"/>
        <w:ind w:left="720"/>
        <w:jc w:val="both"/>
        <w:rPr>
          <w:rFonts w:ascii="Times New Roman" w:hAnsi="Times New Roman" w:cs="Times New Roman"/>
        </w:rPr>
      </w:pPr>
    </w:p>
    <w:p w:rsidR="00CA25F9" w:rsidRPr="0060215F" w:rsidRDefault="00CA25F9" w:rsidP="00CF5CAA">
      <w:pPr>
        <w:pStyle w:val="Odsekzoznamu"/>
        <w:numPr>
          <w:ilvl w:val="0"/>
          <w:numId w:val="6"/>
        </w:numPr>
        <w:autoSpaceDE w:val="0"/>
        <w:autoSpaceDN w:val="0"/>
        <w:adjustRightInd w:val="0"/>
        <w:spacing w:after="200" w:line="276" w:lineRule="auto"/>
        <w:contextualSpacing w:val="0"/>
        <w:jc w:val="both"/>
        <w:rPr>
          <w:rFonts w:ascii="Times New Roman" w:hAnsi="Times New Roman" w:cs="Times New Roman"/>
        </w:rPr>
      </w:pPr>
      <w:r w:rsidRPr="0060215F">
        <w:rPr>
          <w:rFonts w:ascii="Times New Roman" w:hAnsi="Times New Roman" w:cs="Times New Roman"/>
          <w:b/>
        </w:rPr>
        <w:t>je selektívny</w:t>
      </w:r>
      <w:r w:rsidRPr="0060215F">
        <w:rPr>
          <w:rFonts w:ascii="Times New Roman" w:hAnsi="Times New Roman" w:cs="Times New Roman"/>
        </w:rPr>
        <w:t xml:space="preserve"> - </w:t>
      </w:r>
      <w:r w:rsidRPr="0060215F">
        <w:rPr>
          <w:rFonts w:ascii="Times New Roman" w:hAnsi="Times New Roman" w:cs="Times New Roman"/>
          <w:color w:val="000000"/>
        </w:rPr>
        <w:t xml:space="preserve">úľava je určená iba pre vybrané osoby, príjmy alebo sektor a pod. Nezdaniteľná časť základu dane, ktorá ovplyvňuje daňové príjmy a na ktorú majú nárok všetci daňovníci sa nepovažuje za daňový výdavok. Ide tak o ďalší štrukturálny element daňového systému, ináč aj štrukturálny daňový výdavok. Uvedené kritérium však na rozdiel od prvých troch </w:t>
      </w:r>
      <w:r w:rsidRPr="0060215F">
        <w:rPr>
          <w:rFonts w:ascii="Times New Roman" w:hAnsi="Times New Roman" w:cs="Times New Roman"/>
          <w:i/>
          <w:color w:val="000000"/>
        </w:rPr>
        <w:t>nemusí byť nevyhnutne splnené.</w:t>
      </w:r>
      <w:r w:rsidRPr="0060215F">
        <w:rPr>
          <w:rStyle w:val="Odkaznapoznmkupodiarou"/>
          <w:rFonts w:ascii="Times New Roman" w:hAnsi="Times New Roman"/>
          <w:color w:val="000000"/>
        </w:rPr>
        <w:footnoteReference w:id="14"/>
      </w:r>
    </w:p>
    <w:p w:rsidR="00CA25F9" w:rsidRDefault="00CA25F9" w:rsidP="00CA25F9">
      <w:pPr>
        <w:ind w:firstLine="708"/>
        <w:jc w:val="both"/>
        <w:rPr>
          <w:rFonts w:ascii="Times New Roman" w:hAnsi="Times New Roman" w:cs="Times New Roman"/>
          <w:color w:val="000000"/>
        </w:rPr>
      </w:pPr>
      <w:r w:rsidRPr="0060215F">
        <w:rPr>
          <w:rFonts w:ascii="Times New Roman" w:hAnsi="Times New Roman" w:cs="Times New Roman"/>
          <w:color w:val="000000"/>
        </w:rPr>
        <w:t>V zmysle zverejnenej metodiky údaje za daňové výdavky sú uvedené za rovnaký časový horizont, na aký sa zostavuje rozpočet verejnej správy</w:t>
      </w:r>
      <w:r w:rsidRPr="0060215F">
        <w:rPr>
          <w:rStyle w:val="Odkaznapoznmkupodiarou"/>
          <w:rFonts w:ascii="Times New Roman" w:hAnsi="Times New Roman"/>
          <w:color w:val="000000"/>
        </w:rPr>
        <w:footnoteReference w:id="15"/>
      </w:r>
      <w:r w:rsidRPr="0060215F">
        <w:rPr>
          <w:rFonts w:ascii="Times New Roman" w:hAnsi="Times New Roman" w:cs="Times New Roman"/>
          <w:color w:val="000000"/>
        </w:rPr>
        <w:t>. Klasifikácia daňových výdavkov je založená na príslušnom daňovom základe a účel</w:t>
      </w:r>
      <w:r w:rsidR="00A92853">
        <w:rPr>
          <w:rFonts w:ascii="Times New Roman" w:hAnsi="Times New Roman" w:cs="Times New Roman"/>
          <w:color w:val="000000"/>
        </w:rPr>
        <w:t>e</w:t>
      </w:r>
      <w:r w:rsidRPr="0060215F">
        <w:rPr>
          <w:rFonts w:ascii="Times New Roman" w:hAnsi="Times New Roman" w:cs="Times New Roman"/>
          <w:color w:val="000000"/>
        </w:rPr>
        <w:t xml:space="preserve">, ktorý tieto výdavky sledujú. </w:t>
      </w:r>
    </w:p>
    <w:p w:rsidR="0083667D" w:rsidRDefault="0083667D" w:rsidP="00CA25F9">
      <w:pPr>
        <w:ind w:firstLine="708"/>
        <w:jc w:val="both"/>
        <w:rPr>
          <w:rFonts w:ascii="Times New Roman" w:hAnsi="Times New Roman" w:cs="Times New Roman"/>
          <w:color w:val="000000"/>
        </w:rPr>
      </w:pPr>
    </w:p>
    <w:p w:rsidR="0083667D" w:rsidRDefault="0083667D" w:rsidP="00CA25F9">
      <w:pPr>
        <w:ind w:firstLine="708"/>
        <w:jc w:val="both"/>
        <w:rPr>
          <w:rFonts w:ascii="Times New Roman" w:hAnsi="Times New Roman" w:cs="Times New Roman"/>
          <w:color w:val="000000"/>
        </w:rPr>
      </w:pPr>
    </w:p>
    <w:p w:rsidR="0083667D" w:rsidRDefault="0083667D" w:rsidP="00CA25F9">
      <w:pPr>
        <w:ind w:firstLine="708"/>
        <w:jc w:val="both"/>
        <w:rPr>
          <w:rFonts w:ascii="Times New Roman" w:hAnsi="Times New Roman" w:cs="Times New Roman"/>
          <w:color w:val="000000"/>
        </w:rPr>
      </w:pPr>
    </w:p>
    <w:p w:rsidR="0083667D" w:rsidRDefault="0083667D" w:rsidP="00CA25F9">
      <w:pPr>
        <w:ind w:firstLine="708"/>
        <w:jc w:val="both"/>
        <w:rPr>
          <w:rFonts w:ascii="Times New Roman" w:hAnsi="Times New Roman" w:cs="Times New Roman"/>
          <w:color w:val="000000"/>
        </w:rPr>
      </w:pPr>
    </w:p>
    <w:p w:rsidR="0083667D" w:rsidRDefault="0083667D" w:rsidP="00CA25F9">
      <w:pPr>
        <w:ind w:firstLine="708"/>
        <w:jc w:val="both"/>
        <w:rPr>
          <w:rFonts w:ascii="Times New Roman" w:hAnsi="Times New Roman" w:cs="Times New Roman"/>
          <w:color w:val="000000"/>
        </w:rPr>
      </w:pPr>
    </w:p>
    <w:p w:rsidR="0083667D" w:rsidRDefault="0083667D" w:rsidP="00CA25F9">
      <w:pPr>
        <w:ind w:firstLine="708"/>
        <w:jc w:val="both"/>
        <w:rPr>
          <w:rFonts w:ascii="Times New Roman" w:hAnsi="Times New Roman" w:cs="Times New Roman"/>
          <w:color w:val="000000"/>
        </w:rPr>
      </w:pPr>
    </w:p>
    <w:p w:rsidR="0083667D" w:rsidRDefault="0083667D" w:rsidP="00CA25F9">
      <w:pPr>
        <w:ind w:firstLine="708"/>
        <w:jc w:val="both"/>
        <w:rPr>
          <w:rFonts w:ascii="Times New Roman" w:hAnsi="Times New Roman" w:cs="Times New Roman"/>
          <w:color w:val="000000"/>
        </w:rPr>
      </w:pPr>
    </w:p>
    <w:p w:rsidR="0083667D" w:rsidRDefault="0083667D" w:rsidP="00CA25F9">
      <w:pPr>
        <w:ind w:firstLine="708"/>
        <w:jc w:val="both"/>
        <w:rPr>
          <w:rFonts w:ascii="Times New Roman" w:hAnsi="Times New Roman" w:cs="Times New Roman"/>
          <w:color w:val="000000"/>
        </w:rPr>
      </w:pPr>
    </w:p>
    <w:p w:rsidR="0083667D" w:rsidRDefault="0083667D" w:rsidP="00CA25F9">
      <w:pPr>
        <w:ind w:firstLine="708"/>
        <w:jc w:val="both"/>
        <w:rPr>
          <w:rFonts w:ascii="Times New Roman" w:hAnsi="Times New Roman" w:cs="Times New Roman"/>
          <w:color w:val="000000"/>
        </w:rPr>
      </w:pPr>
    </w:p>
    <w:p w:rsidR="0083667D" w:rsidRDefault="0083667D" w:rsidP="00CA25F9">
      <w:pPr>
        <w:ind w:firstLine="708"/>
        <w:jc w:val="both"/>
        <w:rPr>
          <w:rFonts w:ascii="Times New Roman" w:hAnsi="Times New Roman" w:cs="Times New Roman"/>
          <w:color w:val="000000"/>
        </w:rPr>
      </w:pPr>
    </w:p>
    <w:p w:rsidR="0083667D" w:rsidRDefault="0083667D" w:rsidP="00CA25F9">
      <w:pPr>
        <w:ind w:firstLine="708"/>
        <w:jc w:val="both"/>
        <w:rPr>
          <w:rFonts w:ascii="Times New Roman" w:hAnsi="Times New Roman" w:cs="Times New Roman"/>
          <w:color w:val="000000"/>
        </w:rPr>
      </w:pPr>
    </w:p>
    <w:p w:rsidR="0083667D" w:rsidRDefault="0083667D" w:rsidP="00CA25F9">
      <w:pPr>
        <w:ind w:firstLine="708"/>
        <w:jc w:val="both"/>
        <w:rPr>
          <w:rFonts w:ascii="Times New Roman" w:hAnsi="Times New Roman" w:cs="Times New Roman"/>
          <w:color w:val="000000"/>
        </w:rPr>
      </w:pPr>
    </w:p>
    <w:p w:rsidR="0083667D" w:rsidRDefault="0083667D" w:rsidP="00CA25F9">
      <w:pPr>
        <w:ind w:firstLine="708"/>
        <w:jc w:val="both"/>
        <w:rPr>
          <w:rFonts w:ascii="Times New Roman" w:hAnsi="Times New Roman" w:cs="Times New Roman"/>
          <w:color w:val="000000"/>
        </w:rPr>
      </w:pPr>
    </w:p>
    <w:p w:rsidR="00CA25F9" w:rsidRDefault="00CA25F9" w:rsidP="00CA25F9">
      <w:pPr>
        <w:ind w:firstLine="708"/>
        <w:jc w:val="both"/>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4"/>
        <w:gridCol w:w="873"/>
        <w:gridCol w:w="873"/>
        <w:gridCol w:w="873"/>
        <w:gridCol w:w="873"/>
        <w:gridCol w:w="873"/>
        <w:gridCol w:w="873"/>
      </w:tblGrid>
      <w:tr w:rsidR="00CA25F9" w:rsidRPr="0060215F" w:rsidTr="0060215F">
        <w:trPr>
          <w:trHeight w:val="345"/>
        </w:trPr>
        <w:tc>
          <w:tcPr>
            <w:tcW w:w="3828" w:type="dxa"/>
            <w:vMerge w:val="restart"/>
            <w:shd w:val="clear" w:color="auto" w:fill="A6A6A6" w:themeFill="background1" w:themeFillShade="A6"/>
            <w:vAlign w:val="center"/>
            <w:hideMark/>
          </w:tcPr>
          <w:p w:rsidR="00CA25F9" w:rsidRPr="0060215F" w:rsidRDefault="00A92853" w:rsidP="00DF0EF9">
            <w:pPr>
              <w:rPr>
                <w:rFonts w:ascii="Times New Roman" w:hAnsi="Times New Roman" w:cs="Times New Roman"/>
                <w:b/>
                <w:bCs/>
                <w:sz w:val="14"/>
                <w:szCs w:val="14"/>
              </w:rPr>
            </w:pPr>
            <w:r>
              <w:rPr>
                <w:rFonts w:ascii="Times New Roman" w:hAnsi="Times New Roman" w:cs="Times New Roman"/>
                <w:b/>
                <w:bCs/>
                <w:sz w:val="14"/>
                <w:szCs w:val="14"/>
              </w:rPr>
              <w:t>Prehľad</w:t>
            </w:r>
            <w:r w:rsidR="00CA25F9" w:rsidRPr="0060215F">
              <w:rPr>
                <w:rFonts w:ascii="Times New Roman" w:hAnsi="Times New Roman" w:cs="Times New Roman"/>
                <w:b/>
                <w:bCs/>
                <w:sz w:val="14"/>
                <w:szCs w:val="14"/>
              </w:rPr>
              <w:t xml:space="preserve"> daňových výdavkov podľa typu dane alebo poistného (ESA</w:t>
            </w:r>
            <w:r>
              <w:rPr>
                <w:rFonts w:ascii="Times New Roman" w:hAnsi="Times New Roman" w:cs="Times New Roman"/>
                <w:b/>
                <w:bCs/>
                <w:sz w:val="14"/>
                <w:szCs w:val="14"/>
              </w:rPr>
              <w:t xml:space="preserve"> </w:t>
            </w:r>
            <w:r w:rsidR="00CA25F9" w:rsidRPr="0060215F">
              <w:rPr>
                <w:rFonts w:ascii="Times New Roman" w:hAnsi="Times New Roman" w:cs="Times New Roman"/>
                <w:b/>
                <w:bCs/>
                <w:sz w:val="14"/>
                <w:szCs w:val="14"/>
              </w:rPr>
              <w:t>2010, tis.</w:t>
            </w:r>
            <w:r>
              <w:rPr>
                <w:rFonts w:ascii="Times New Roman" w:hAnsi="Times New Roman" w:cs="Times New Roman"/>
                <w:b/>
                <w:bCs/>
                <w:sz w:val="14"/>
                <w:szCs w:val="14"/>
              </w:rPr>
              <w:t xml:space="preserve"> e</w:t>
            </w:r>
            <w:r w:rsidR="00CA25F9" w:rsidRPr="0060215F">
              <w:rPr>
                <w:rFonts w:ascii="Times New Roman" w:hAnsi="Times New Roman" w:cs="Times New Roman"/>
                <w:b/>
                <w:bCs/>
                <w:sz w:val="14"/>
                <w:szCs w:val="14"/>
              </w:rPr>
              <w:t>ur)*</w:t>
            </w:r>
          </w:p>
        </w:tc>
        <w:tc>
          <w:tcPr>
            <w:tcW w:w="874" w:type="dxa"/>
            <w:vMerge w:val="restart"/>
            <w:shd w:val="clear" w:color="auto" w:fill="A6A6A6" w:themeFill="background1" w:themeFillShade="A6"/>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2016</w:t>
            </w:r>
          </w:p>
        </w:tc>
        <w:tc>
          <w:tcPr>
            <w:tcW w:w="874" w:type="dxa"/>
            <w:vMerge w:val="restart"/>
            <w:shd w:val="clear" w:color="auto" w:fill="A6A6A6" w:themeFill="background1" w:themeFillShade="A6"/>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2017</w:t>
            </w:r>
          </w:p>
        </w:tc>
        <w:tc>
          <w:tcPr>
            <w:tcW w:w="874" w:type="dxa"/>
            <w:vMerge w:val="restart"/>
            <w:shd w:val="clear" w:color="auto" w:fill="A6A6A6" w:themeFill="background1" w:themeFillShade="A6"/>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2018</w:t>
            </w:r>
          </w:p>
        </w:tc>
        <w:tc>
          <w:tcPr>
            <w:tcW w:w="874" w:type="dxa"/>
            <w:vMerge w:val="restart"/>
            <w:shd w:val="clear" w:color="auto" w:fill="A6A6A6" w:themeFill="background1" w:themeFillShade="A6"/>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2019</w:t>
            </w:r>
          </w:p>
        </w:tc>
        <w:tc>
          <w:tcPr>
            <w:tcW w:w="874" w:type="dxa"/>
            <w:vMerge w:val="restart"/>
            <w:shd w:val="clear" w:color="auto" w:fill="A6A6A6" w:themeFill="background1" w:themeFillShade="A6"/>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2020</w:t>
            </w:r>
          </w:p>
        </w:tc>
        <w:tc>
          <w:tcPr>
            <w:tcW w:w="874" w:type="dxa"/>
            <w:vMerge w:val="restart"/>
            <w:shd w:val="clear" w:color="auto" w:fill="A6A6A6" w:themeFill="background1" w:themeFillShade="A6"/>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2021</w:t>
            </w:r>
          </w:p>
        </w:tc>
      </w:tr>
      <w:tr w:rsidR="00CA25F9" w:rsidRPr="0060215F" w:rsidTr="0060215F">
        <w:trPr>
          <w:trHeight w:val="276"/>
        </w:trPr>
        <w:tc>
          <w:tcPr>
            <w:tcW w:w="3828" w:type="dxa"/>
            <w:vMerge/>
            <w:shd w:val="clear" w:color="auto" w:fill="A6A6A6" w:themeFill="background1" w:themeFillShade="A6"/>
            <w:vAlign w:val="center"/>
            <w:hideMark/>
          </w:tcPr>
          <w:p w:rsidR="00CA25F9" w:rsidRPr="0060215F" w:rsidRDefault="00CA25F9" w:rsidP="00DF0EF9">
            <w:pPr>
              <w:rPr>
                <w:rFonts w:ascii="Times New Roman" w:hAnsi="Times New Roman" w:cs="Times New Roman"/>
                <w:b/>
                <w:bCs/>
                <w:sz w:val="14"/>
                <w:szCs w:val="14"/>
              </w:rPr>
            </w:pPr>
          </w:p>
        </w:tc>
        <w:tc>
          <w:tcPr>
            <w:tcW w:w="874" w:type="dxa"/>
            <w:vMerge/>
            <w:shd w:val="clear" w:color="auto" w:fill="A6A6A6" w:themeFill="background1" w:themeFillShade="A6"/>
            <w:vAlign w:val="center"/>
            <w:hideMark/>
          </w:tcPr>
          <w:p w:rsidR="00CA25F9" w:rsidRPr="0060215F" w:rsidRDefault="00CA25F9" w:rsidP="00DF0EF9">
            <w:pPr>
              <w:rPr>
                <w:rFonts w:ascii="Times New Roman" w:hAnsi="Times New Roman" w:cs="Times New Roman"/>
                <w:b/>
                <w:bCs/>
                <w:sz w:val="14"/>
                <w:szCs w:val="14"/>
              </w:rPr>
            </w:pPr>
          </w:p>
        </w:tc>
        <w:tc>
          <w:tcPr>
            <w:tcW w:w="874" w:type="dxa"/>
            <w:vMerge/>
            <w:shd w:val="clear" w:color="auto" w:fill="A6A6A6" w:themeFill="background1" w:themeFillShade="A6"/>
            <w:vAlign w:val="center"/>
            <w:hideMark/>
          </w:tcPr>
          <w:p w:rsidR="00CA25F9" w:rsidRPr="0060215F" w:rsidRDefault="00CA25F9" w:rsidP="00DF0EF9">
            <w:pPr>
              <w:rPr>
                <w:rFonts w:ascii="Times New Roman" w:hAnsi="Times New Roman" w:cs="Times New Roman"/>
                <w:b/>
                <w:bCs/>
                <w:sz w:val="14"/>
                <w:szCs w:val="14"/>
              </w:rPr>
            </w:pPr>
          </w:p>
        </w:tc>
        <w:tc>
          <w:tcPr>
            <w:tcW w:w="874" w:type="dxa"/>
            <w:vMerge/>
            <w:shd w:val="clear" w:color="auto" w:fill="A6A6A6" w:themeFill="background1" w:themeFillShade="A6"/>
            <w:vAlign w:val="center"/>
            <w:hideMark/>
          </w:tcPr>
          <w:p w:rsidR="00CA25F9" w:rsidRPr="0060215F" w:rsidRDefault="00CA25F9" w:rsidP="00DF0EF9">
            <w:pPr>
              <w:rPr>
                <w:rFonts w:ascii="Times New Roman" w:hAnsi="Times New Roman" w:cs="Times New Roman"/>
                <w:b/>
                <w:bCs/>
                <w:sz w:val="14"/>
                <w:szCs w:val="14"/>
              </w:rPr>
            </w:pPr>
          </w:p>
        </w:tc>
        <w:tc>
          <w:tcPr>
            <w:tcW w:w="874" w:type="dxa"/>
            <w:vMerge/>
            <w:shd w:val="clear" w:color="auto" w:fill="A6A6A6" w:themeFill="background1" w:themeFillShade="A6"/>
            <w:vAlign w:val="center"/>
            <w:hideMark/>
          </w:tcPr>
          <w:p w:rsidR="00CA25F9" w:rsidRPr="0060215F" w:rsidRDefault="00CA25F9" w:rsidP="00DF0EF9">
            <w:pPr>
              <w:rPr>
                <w:rFonts w:ascii="Times New Roman" w:hAnsi="Times New Roman" w:cs="Times New Roman"/>
                <w:b/>
                <w:bCs/>
                <w:sz w:val="14"/>
                <w:szCs w:val="14"/>
              </w:rPr>
            </w:pPr>
          </w:p>
        </w:tc>
        <w:tc>
          <w:tcPr>
            <w:tcW w:w="874" w:type="dxa"/>
            <w:vMerge/>
            <w:shd w:val="clear" w:color="auto" w:fill="A6A6A6" w:themeFill="background1" w:themeFillShade="A6"/>
            <w:vAlign w:val="center"/>
            <w:hideMark/>
          </w:tcPr>
          <w:p w:rsidR="00CA25F9" w:rsidRPr="0060215F" w:rsidRDefault="00CA25F9" w:rsidP="00DF0EF9">
            <w:pPr>
              <w:rPr>
                <w:rFonts w:ascii="Times New Roman" w:hAnsi="Times New Roman" w:cs="Times New Roman"/>
                <w:b/>
                <w:bCs/>
                <w:sz w:val="14"/>
                <w:szCs w:val="14"/>
              </w:rPr>
            </w:pPr>
          </w:p>
        </w:tc>
        <w:tc>
          <w:tcPr>
            <w:tcW w:w="874" w:type="dxa"/>
            <w:vMerge/>
            <w:shd w:val="clear" w:color="auto" w:fill="A6A6A6" w:themeFill="background1" w:themeFillShade="A6"/>
            <w:vAlign w:val="center"/>
            <w:hideMark/>
          </w:tcPr>
          <w:p w:rsidR="00CA25F9" w:rsidRPr="0060215F" w:rsidRDefault="00CA25F9" w:rsidP="00DF0EF9">
            <w:pPr>
              <w:rPr>
                <w:rFonts w:ascii="Times New Roman" w:hAnsi="Times New Roman" w:cs="Times New Roman"/>
                <w:b/>
                <w:bCs/>
                <w:sz w:val="14"/>
                <w:szCs w:val="14"/>
              </w:rPr>
            </w:pPr>
          </w:p>
        </w:tc>
      </w:tr>
      <w:tr w:rsidR="00CA25F9" w:rsidRPr="0060215F" w:rsidTr="0060215F">
        <w:trPr>
          <w:trHeight w:val="270"/>
        </w:trPr>
        <w:tc>
          <w:tcPr>
            <w:tcW w:w="3828" w:type="dxa"/>
            <w:shd w:val="clear" w:color="auto" w:fill="auto"/>
            <w:noWrap/>
            <w:vAlign w:val="center"/>
            <w:hideMark/>
          </w:tcPr>
          <w:p w:rsidR="00CA25F9" w:rsidRPr="0060215F" w:rsidRDefault="00CA25F9" w:rsidP="00DF0EF9">
            <w:pPr>
              <w:rPr>
                <w:rFonts w:ascii="Times New Roman" w:hAnsi="Times New Roman" w:cs="Times New Roman"/>
                <w:color w:val="000000"/>
                <w:sz w:val="14"/>
                <w:szCs w:val="14"/>
              </w:rPr>
            </w:pPr>
            <w:r w:rsidRPr="0060215F">
              <w:rPr>
                <w:rFonts w:ascii="Times New Roman" w:hAnsi="Times New Roman" w:cs="Times New Roman"/>
                <w:color w:val="000000"/>
                <w:sz w:val="14"/>
                <w:szCs w:val="14"/>
              </w:rPr>
              <w:t>Daň z príjmov fyzických osôb</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375 778</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383 307</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384 821</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403 747</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425 567</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450 539</w:t>
            </w:r>
          </w:p>
        </w:tc>
      </w:tr>
      <w:tr w:rsidR="00CA25F9" w:rsidRPr="0060215F" w:rsidTr="0060215F">
        <w:trPr>
          <w:trHeight w:val="270"/>
        </w:trPr>
        <w:tc>
          <w:tcPr>
            <w:tcW w:w="3828" w:type="dxa"/>
            <w:shd w:val="clear" w:color="auto" w:fill="auto"/>
            <w:noWrap/>
            <w:vAlign w:val="center"/>
            <w:hideMark/>
          </w:tcPr>
          <w:p w:rsidR="00CA25F9" w:rsidRPr="0060215F" w:rsidRDefault="00CA25F9" w:rsidP="00DF0EF9">
            <w:pPr>
              <w:rPr>
                <w:rFonts w:ascii="Times New Roman" w:hAnsi="Times New Roman" w:cs="Times New Roman"/>
                <w:color w:val="000000"/>
                <w:sz w:val="14"/>
                <w:szCs w:val="14"/>
              </w:rPr>
            </w:pPr>
            <w:r w:rsidRPr="0060215F">
              <w:rPr>
                <w:rFonts w:ascii="Times New Roman" w:hAnsi="Times New Roman" w:cs="Times New Roman"/>
                <w:color w:val="000000"/>
                <w:sz w:val="14"/>
                <w:szCs w:val="14"/>
              </w:rPr>
              <w:t>Daň z príjmov právnických osôb</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43 281</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49 344</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62 052</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70 198</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92 961</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99 270</w:t>
            </w:r>
          </w:p>
        </w:tc>
      </w:tr>
      <w:tr w:rsidR="00CA25F9" w:rsidRPr="0060215F" w:rsidTr="0060215F">
        <w:trPr>
          <w:trHeight w:val="270"/>
        </w:trPr>
        <w:tc>
          <w:tcPr>
            <w:tcW w:w="3828" w:type="dxa"/>
            <w:shd w:val="clear" w:color="auto" w:fill="auto"/>
            <w:noWrap/>
            <w:vAlign w:val="center"/>
            <w:hideMark/>
          </w:tcPr>
          <w:p w:rsidR="00CA25F9" w:rsidRPr="0060215F" w:rsidRDefault="00CA25F9" w:rsidP="00DF0EF9">
            <w:pPr>
              <w:rPr>
                <w:rFonts w:ascii="Times New Roman" w:hAnsi="Times New Roman" w:cs="Times New Roman"/>
                <w:sz w:val="14"/>
                <w:szCs w:val="14"/>
              </w:rPr>
            </w:pPr>
            <w:r w:rsidRPr="0060215F">
              <w:rPr>
                <w:rFonts w:ascii="Times New Roman" w:hAnsi="Times New Roman" w:cs="Times New Roman"/>
                <w:sz w:val="14"/>
                <w:szCs w:val="14"/>
              </w:rPr>
              <w:t>Daň z príjmov vyberaná zrážkou</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49 000</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54 000</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r>
      <w:tr w:rsidR="00CA25F9" w:rsidRPr="0060215F" w:rsidTr="0060215F">
        <w:trPr>
          <w:trHeight w:val="270"/>
        </w:trPr>
        <w:tc>
          <w:tcPr>
            <w:tcW w:w="3828" w:type="dxa"/>
            <w:shd w:val="clear" w:color="auto" w:fill="auto"/>
            <w:noWrap/>
            <w:vAlign w:val="center"/>
            <w:hideMark/>
          </w:tcPr>
          <w:p w:rsidR="00CA25F9" w:rsidRPr="0060215F" w:rsidRDefault="00CA25F9" w:rsidP="00DF0EF9">
            <w:pPr>
              <w:rPr>
                <w:rFonts w:ascii="Times New Roman" w:hAnsi="Times New Roman" w:cs="Times New Roman"/>
                <w:color w:val="000000"/>
                <w:sz w:val="14"/>
                <w:szCs w:val="14"/>
              </w:rPr>
            </w:pPr>
            <w:r w:rsidRPr="0060215F">
              <w:rPr>
                <w:rFonts w:ascii="Times New Roman" w:hAnsi="Times New Roman" w:cs="Times New Roman"/>
                <w:color w:val="000000"/>
                <w:sz w:val="14"/>
                <w:szCs w:val="14"/>
              </w:rPr>
              <w:t>Daň z pridanej hodnoty</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209 495</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225 589</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240 728</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253 382</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266 880</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280 269</w:t>
            </w:r>
          </w:p>
        </w:tc>
      </w:tr>
      <w:tr w:rsidR="00CA25F9" w:rsidRPr="0060215F" w:rsidTr="0060215F">
        <w:trPr>
          <w:trHeight w:val="270"/>
        </w:trPr>
        <w:tc>
          <w:tcPr>
            <w:tcW w:w="3828" w:type="dxa"/>
            <w:shd w:val="clear" w:color="auto" w:fill="auto"/>
            <w:noWrap/>
            <w:vAlign w:val="center"/>
            <w:hideMark/>
          </w:tcPr>
          <w:p w:rsidR="00CA25F9" w:rsidRPr="0060215F" w:rsidRDefault="00CA25F9" w:rsidP="00DF0EF9">
            <w:pPr>
              <w:rPr>
                <w:rFonts w:ascii="Times New Roman" w:hAnsi="Times New Roman" w:cs="Times New Roman"/>
                <w:color w:val="000000"/>
                <w:sz w:val="14"/>
                <w:szCs w:val="14"/>
              </w:rPr>
            </w:pPr>
            <w:r w:rsidRPr="0060215F">
              <w:rPr>
                <w:rFonts w:ascii="Times New Roman" w:hAnsi="Times New Roman" w:cs="Times New Roman"/>
                <w:color w:val="000000"/>
                <w:sz w:val="14"/>
                <w:szCs w:val="14"/>
              </w:rPr>
              <w:t>Spotrebné dane</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140 489</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110 817</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110 410</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113 466</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116 261</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118 605</w:t>
            </w:r>
          </w:p>
        </w:tc>
      </w:tr>
      <w:tr w:rsidR="00CA25F9" w:rsidRPr="0060215F" w:rsidTr="0060215F">
        <w:trPr>
          <w:trHeight w:val="270"/>
        </w:trPr>
        <w:tc>
          <w:tcPr>
            <w:tcW w:w="3828" w:type="dxa"/>
            <w:shd w:val="clear" w:color="auto" w:fill="auto"/>
            <w:noWrap/>
            <w:vAlign w:val="center"/>
            <w:hideMark/>
          </w:tcPr>
          <w:p w:rsidR="00CA25F9" w:rsidRPr="0060215F" w:rsidRDefault="00CA25F9" w:rsidP="00DF0EF9">
            <w:pPr>
              <w:rPr>
                <w:rFonts w:ascii="Times New Roman" w:hAnsi="Times New Roman" w:cs="Times New Roman"/>
                <w:color w:val="000000"/>
                <w:sz w:val="14"/>
                <w:szCs w:val="14"/>
              </w:rPr>
            </w:pPr>
            <w:r w:rsidRPr="0060215F">
              <w:rPr>
                <w:rFonts w:ascii="Times New Roman" w:hAnsi="Times New Roman" w:cs="Times New Roman"/>
                <w:color w:val="000000"/>
                <w:sz w:val="14"/>
                <w:szCs w:val="14"/>
              </w:rPr>
              <w:t>Sociálne poistenie</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163 361</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100 970</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118 454</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143 268</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153 709</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144 595</w:t>
            </w:r>
          </w:p>
        </w:tc>
      </w:tr>
      <w:tr w:rsidR="00CA25F9" w:rsidRPr="0060215F" w:rsidTr="0060215F">
        <w:trPr>
          <w:trHeight w:val="270"/>
        </w:trPr>
        <w:tc>
          <w:tcPr>
            <w:tcW w:w="3828" w:type="dxa"/>
            <w:shd w:val="clear" w:color="auto" w:fill="auto"/>
            <w:noWrap/>
            <w:vAlign w:val="center"/>
            <w:hideMark/>
          </w:tcPr>
          <w:p w:rsidR="00CA25F9" w:rsidRPr="0060215F" w:rsidRDefault="00CA25F9" w:rsidP="00DF0EF9">
            <w:pPr>
              <w:rPr>
                <w:rFonts w:ascii="Times New Roman" w:hAnsi="Times New Roman" w:cs="Times New Roman"/>
                <w:color w:val="000000"/>
                <w:sz w:val="14"/>
                <w:szCs w:val="14"/>
              </w:rPr>
            </w:pPr>
            <w:r w:rsidRPr="0060215F">
              <w:rPr>
                <w:rFonts w:ascii="Times New Roman" w:hAnsi="Times New Roman" w:cs="Times New Roman"/>
                <w:color w:val="000000"/>
                <w:sz w:val="14"/>
                <w:szCs w:val="14"/>
              </w:rPr>
              <w:t xml:space="preserve">Zdravotné poistenie </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324 525</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205 239</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132 760</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60 568</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68 111</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75 911</w:t>
            </w:r>
          </w:p>
        </w:tc>
      </w:tr>
      <w:tr w:rsidR="00CA25F9" w:rsidRPr="0060215F" w:rsidTr="0060215F">
        <w:trPr>
          <w:trHeight w:val="270"/>
        </w:trPr>
        <w:tc>
          <w:tcPr>
            <w:tcW w:w="3828" w:type="dxa"/>
            <w:shd w:val="clear" w:color="auto" w:fill="auto"/>
            <w:noWrap/>
            <w:vAlign w:val="center"/>
            <w:hideMark/>
          </w:tcPr>
          <w:p w:rsidR="00CA25F9" w:rsidRPr="0060215F" w:rsidRDefault="00CA25F9" w:rsidP="00DF0EF9">
            <w:pP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Negatívne daňové výdavky</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-127 777</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-128 825</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-20 425</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-19 049</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-17 770</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-16 580</w:t>
            </w:r>
          </w:p>
        </w:tc>
      </w:tr>
      <w:tr w:rsidR="00CA25F9" w:rsidRPr="0060215F" w:rsidTr="0060215F">
        <w:trPr>
          <w:trHeight w:val="270"/>
        </w:trPr>
        <w:tc>
          <w:tcPr>
            <w:tcW w:w="3828" w:type="dxa"/>
            <w:shd w:val="clear" w:color="auto" w:fill="auto"/>
            <w:noWrap/>
            <w:vAlign w:val="center"/>
            <w:hideMark/>
          </w:tcPr>
          <w:p w:rsidR="00CA25F9" w:rsidRPr="0060215F" w:rsidRDefault="00CA25F9" w:rsidP="00DF0EF9">
            <w:pP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 xml:space="preserve">   - z toho daň z príjmov právnických osôb</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-126 726</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-127 703</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-20 162</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-18 773</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-17 480</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-16 276</w:t>
            </w:r>
          </w:p>
        </w:tc>
      </w:tr>
      <w:tr w:rsidR="00CA25F9" w:rsidRPr="0060215F" w:rsidTr="0060215F">
        <w:trPr>
          <w:trHeight w:val="270"/>
        </w:trPr>
        <w:tc>
          <w:tcPr>
            <w:tcW w:w="3828" w:type="dxa"/>
            <w:shd w:val="clear" w:color="auto" w:fill="auto"/>
            <w:noWrap/>
            <w:vAlign w:val="center"/>
            <w:hideMark/>
          </w:tcPr>
          <w:p w:rsidR="00CA25F9" w:rsidRPr="0060215F" w:rsidRDefault="00CA25F9" w:rsidP="00DF0EF9">
            <w:pP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 xml:space="preserve">   - z toho daň z príjmov fyzických osôb</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-241</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-252</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-263</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-276</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-290</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-303</w:t>
            </w:r>
          </w:p>
        </w:tc>
      </w:tr>
      <w:tr w:rsidR="00CA25F9" w:rsidRPr="0060215F" w:rsidTr="0060215F">
        <w:trPr>
          <w:trHeight w:val="270"/>
        </w:trPr>
        <w:tc>
          <w:tcPr>
            <w:tcW w:w="3828" w:type="dxa"/>
            <w:shd w:val="clear" w:color="auto" w:fill="auto"/>
            <w:noWrap/>
            <w:vAlign w:val="center"/>
            <w:hideMark/>
          </w:tcPr>
          <w:p w:rsidR="00CA25F9" w:rsidRPr="0060215F" w:rsidRDefault="00CA25F9" w:rsidP="00DF0EF9">
            <w:pP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 xml:space="preserve">   - z toho spotrebná daň z minerálneho oleja</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-810</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-870</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0</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0</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0</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i/>
                <w:iCs/>
                <w:color w:val="000000"/>
                <w:sz w:val="14"/>
                <w:szCs w:val="14"/>
              </w:rPr>
            </w:pPr>
            <w:r w:rsidRPr="0060215F">
              <w:rPr>
                <w:rFonts w:ascii="Times New Roman" w:hAnsi="Times New Roman" w:cs="Times New Roman"/>
                <w:i/>
                <w:iCs/>
                <w:color w:val="000000"/>
                <w:sz w:val="14"/>
                <w:szCs w:val="14"/>
              </w:rPr>
              <w:t>0</w:t>
            </w:r>
          </w:p>
        </w:tc>
      </w:tr>
      <w:tr w:rsidR="00CA25F9" w:rsidRPr="0060215F" w:rsidTr="0060215F">
        <w:trPr>
          <w:trHeight w:val="270"/>
        </w:trPr>
        <w:tc>
          <w:tcPr>
            <w:tcW w:w="3828"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Orientačná výška daňových výdavkov*</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1 305 930</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1 129 265</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1 049 226</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1 044 629</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1 123 488</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1 169 190</w:t>
            </w:r>
          </w:p>
        </w:tc>
      </w:tr>
      <w:tr w:rsidR="00CA25F9" w:rsidRPr="0060215F" w:rsidTr="0060215F">
        <w:trPr>
          <w:trHeight w:val="270"/>
        </w:trPr>
        <w:tc>
          <w:tcPr>
            <w:tcW w:w="3828"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Orientačná výška DV v % daňových príjmov**</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5,8</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4,7</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4,0</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3,8</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3,8</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3,8</w:t>
            </w:r>
          </w:p>
        </w:tc>
      </w:tr>
      <w:tr w:rsidR="00CA25F9" w:rsidRPr="0060215F" w:rsidTr="0060215F">
        <w:trPr>
          <w:trHeight w:val="270"/>
        </w:trPr>
        <w:tc>
          <w:tcPr>
            <w:tcW w:w="3828"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Orientačná výška daňových výdavkov v % HDP*</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1,6</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1,3</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1,2</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1,1</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1,1</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1,1</w:t>
            </w:r>
          </w:p>
        </w:tc>
      </w:tr>
      <w:tr w:rsidR="00CA25F9" w:rsidRPr="0060215F" w:rsidTr="0060215F">
        <w:trPr>
          <w:trHeight w:val="270"/>
        </w:trPr>
        <w:tc>
          <w:tcPr>
            <w:tcW w:w="3828"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Zmena výšky daňových výdavkov*</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153 831</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-176 665</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-80 039</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-4 597</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78 859</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45 701</w:t>
            </w:r>
          </w:p>
        </w:tc>
      </w:tr>
      <w:tr w:rsidR="00CA25F9" w:rsidRPr="0060215F" w:rsidTr="0060215F">
        <w:trPr>
          <w:trHeight w:val="270"/>
        </w:trPr>
        <w:tc>
          <w:tcPr>
            <w:tcW w:w="3828"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Zmena výšky DV v % daňových príjmov**</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0,5</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-1,1</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-0,6</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-0,2</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0,1</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0,0</w:t>
            </w:r>
          </w:p>
        </w:tc>
      </w:tr>
      <w:tr w:rsidR="00CA25F9" w:rsidRPr="0060215F" w:rsidTr="0060215F">
        <w:trPr>
          <w:trHeight w:val="270"/>
        </w:trPr>
        <w:tc>
          <w:tcPr>
            <w:tcW w:w="3828"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Zmena výška daňových výdavkov v % HDP*</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0,1</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-0,3</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-0,2</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-0,1</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0,0</w:t>
            </w:r>
          </w:p>
        </w:tc>
        <w:tc>
          <w:tcPr>
            <w:tcW w:w="874"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0,0</w:t>
            </w:r>
          </w:p>
        </w:tc>
      </w:tr>
    </w:tbl>
    <w:p w:rsidR="00CA25F9" w:rsidRPr="0060215F" w:rsidRDefault="00CA25F9" w:rsidP="00CA25F9">
      <w:pPr>
        <w:jc w:val="both"/>
        <w:rPr>
          <w:rFonts w:ascii="Times New Roman" w:hAnsi="Times New Roman" w:cs="Times New Roman"/>
          <w:i/>
          <w:iCs/>
          <w:color w:val="000000"/>
          <w:sz w:val="14"/>
          <w:szCs w:val="16"/>
        </w:rPr>
      </w:pPr>
      <w:r w:rsidRPr="0060215F">
        <w:rPr>
          <w:rFonts w:ascii="Times New Roman" w:hAnsi="Times New Roman" w:cs="Times New Roman"/>
          <w:i/>
          <w:iCs/>
          <w:color w:val="000000"/>
          <w:sz w:val="14"/>
          <w:szCs w:val="16"/>
        </w:rPr>
        <w:t>* Súčet samostatne kvantifikovaných daňových výdavkov, čo môže byť spojené s chybou navzájom ovplyvňujúcich sa daňových výdavkov</w:t>
      </w:r>
    </w:p>
    <w:p w:rsidR="00CA25F9" w:rsidRPr="0060215F" w:rsidRDefault="00CA25F9" w:rsidP="00CA25F9">
      <w:pPr>
        <w:jc w:val="both"/>
        <w:rPr>
          <w:rFonts w:ascii="Times New Roman" w:hAnsi="Times New Roman" w:cs="Times New Roman"/>
          <w:color w:val="000000"/>
          <w:sz w:val="14"/>
          <w:szCs w:val="16"/>
        </w:rPr>
      </w:pPr>
      <w:r w:rsidRPr="0060215F">
        <w:rPr>
          <w:rFonts w:ascii="Times New Roman" w:hAnsi="Times New Roman" w:cs="Times New Roman"/>
          <w:i/>
          <w:iCs/>
          <w:color w:val="000000"/>
          <w:sz w:val="14"/>
          <w:szCs w:val="16"/>
        </w:rPr>
        <w:t xml:space="preserve">* * Podiel na </w:t>
      </w:r>
      <w:r w:rsidR="00A92853" w:rsidRPr="0060215F">
        <w:rPr>
          <w:rFonts w:ascii="Times New Roman" w:hAnsi="Times New Roman" w:cs="Times New Roman"/>
          <w:i/>
          <w:iCs/>
          <w:color w:val="000000"/>
          <w:sz w:val="14"/>
          <w:szCs w:val="16"/>
        </w:rPr>
        <w:t>súvisiacich</w:t>
      </w:r>
      <w:r w:rsidRPr="0060215F">
        <w:rPr>
          <w:rFonts w:ascii="Times New Roman" w:hAnsi="Times New Roman" w:cs="Times New Roman"/>
          <w:i/>
          <w:iCs/>
          <w:color w:val="000000"/>
          <w:sz w:val="14"/>
          <w:szCs w:val="16"/>
        </w:rPr>
        <w:t xml:space="preserve"> daňových príjmoch</w:t>
      </w:r>
    </w:p>
    <w:p w:rsidR="00CA25F9" w:rsidRDefault="00CA25F9" w:rsidP="00CA25F9">
      <w:pPr>
        <w:jc w:val="both"/>
        <w:rPr>
          <w:color w:val="000000"/>
          <w:sz w:val="22"/>
          <w:szCs w:val="22"/>
        </w:rPr>
      </w:pPr>
    </w:p>
    <w:p w:rsidR="00CA25F9" w:rsidRPr="0060215F" w:rsidRDefault="00CA25F9" w:rsidP="00CA25F9">
      <w:pPr>
        <w:ind w:firstLine="708"/>
        <w:jc w:val="both"/>
        <w:rPr>
          <w:rFonts w:ascii="Times New Roman" w:hAnsi="Times New Roman" w:cs="Times New Roman"/>
          <w:color w:val="000000"/>
          <w:szCs w:val="22"/>
        </w:rPr>
      </w:pPr>
      <w:r w:rsidRPr="0060215F">
        <w:rPr>
          <w:rFonts w:ascii="Times New Roman" w:hAnsi="Times New Roman" w:cs="Times New Roman"/>
          <w:color w:val="000000"/>
          <w:szCs w:val="22"/>
        </w:rPr>
        <w:t xml:space="preserve">Celková výška daňových výdavkov je kvôli ich vzájomnému ovplyvňovaniu len orientačná. Pri </w:t>
      </w:r>
      <w:r w:rsidR="00A92853" w:rsidRPr="0060215F">
        <w:rPr>
          <w:rFonts w:ascii="Times New Roman" w:hAnsi="Times New Roman" w:cs="Times New Roman"/>
          <w:color w:val="000000"/>
          <w:szCs w:val="22"/>
        </w:rPr>
        <w:t>stanovenom</w:t>
      </w:r>
      <w:r w:rsidRPr="0060215F">
        <w:rPr>
          <w:rFonts w:ascii="Times New Roman" w:hAnsi="Times New Roman" w:cs="Times New Roman"/>
          <w:color w:val="000000"/>
          <w:szCs w:val="22"/>
        </w:rPr>
        <w:t xml:space="preserve"> benchmarku na úrovni </w:t>
      </w:r>
      <w:r w:rsidR="00A92853" w:rsidRPr="0060215F">
        <w:rPr>
          <w:rFonts w:ascii="Times New Roman" w:hAnsi="Times New Roman" w:cs="Times New Roman"/>
          <w:color w:val="000000"/>
          <w:szCs w:val="22"/>
        </w:rPr>
        <w:t>aktuálnej</w:t>
      </w:r>
      <w:r w:rsidRPr="0060215F">
        <w:rPr>
          <w:rFonts w:ascii="Times New Roman" w:hAnsi="Times New Roman" w:cs="Times New Roman"/>
          <w:color w:val="000000"/>
          <w:szCs w:val="22"/>
        </w:rPr>
        <w:t xml:space="preserve"> legislatívy dosiahla úroveň daňových výdavkov v roku 2018 výšku 1 049,2 mil. eur (1,1 % HDP). V roku 2018 bola zavedená 7 % daň z dividend, pričom sa rušia zdravotné odvody, ktoré boli doteraz z dividend platené. Zároveň došlo k zrušeniu daňovej licencie. V roku 2019, na ktorý sa zostavuje rozpočet</w:t>
      </w:r>
      <w:r w:rsidR="00711D59">
        <w:rPr>
          <w:rFonts w:ascii="Times New Roman" w:hAnsi="Times New Roman" w:cs="Times New Roman"/>
          <w:color w:val="000000"/>
          <w:szCs w:val="22"/>
        </w:rPr>
        <w:t>,</w:t>
      </w:r>
      <w:r w:rsidRPr="0060215F">
        <w:rPr>
          <w:rFonts w:ascii="Times New Roman" w:hAnsi="Times New Roman" w:cs="Times New Roman"/>
          <w:color w:val="000000"/>
          <w:szCs w:val="22"/>
        </w:rPr>
        <w:t xml:space="preserve"> dochádza k miernemu poklesu celkových daňových výdavkov. Pri pohľade na jednotlivé dane sa zvyšujú daňové výdavky v sociálnom poistení z dôvodu zavedenia odvodovej odpočítateľnej položky pre dôchodcov. Naopak, v prípade zdravotných odvodov dochádza k výraznejšiemu medziročnému poklesu kvôli zrušeniu odvodovej odpočítateľnej položky pre zamestnávateľov. Zmena síce platí od roku 2018, ale kvôli slabšiemu priebežnému plneniu a predpokladu, že sa využije vo väčšej miere až pri ročnom zúčtovaní ovplyvní najmä rok 2019. Zavedenie 13. a 14. platu taktiež zvyšuje medziročne daňové výdavky. V ďalších rokoch sa predpokladá nárast daňových výdavkov kvôli vplyvu oslobodenia obchodného podielu z dani z príjmu právnických osôb a postupnému nábehu daňového bonusu na hypotéky (vplyv na daň z príjmu fyzických </w:t>
      </w:r>
      <w:r w:rsidR="00711D59" w:rsidRPr="0060215F">
        <w:rPr>
          <w:rFonts w:ascii="Times New Roman" w:hAnsi="Times New Roman" w:cs="Times New Roman"/>
          <w:color w:val="000000"/>
          <w:szCs w:val="22"/>
        </w:rPr>
        <w:t>osôb</w:t>
      </w:r>
      <w:r w:rsidRPr="0060215F">
        <w:rPr>
          <w:rFonts w:ascii="Times New Roman" w:hAnsi="Times New Roman" w:cs="Times New Roman"/>
          <w:color w:val="000000"/>
          <w:szCs w:val="22"/>
        </w:rPr>
        <w:t xml:space="preserve">). </w:t>
      </w:r>
    </w:p>
    <w:p w:rsidR="00711D59" w:rsidRDefault="00711D59" w:rsidP="00CA25F9">
      <w:pPr>
        <w:ind w:firstLine="708"/>
        <w:jc w:val="both"/>
        <w:rPr>
          <w:rFonts w:ascii="Times New Roman" w:hAnsi="Times New Roman" w:cs="Times New Roman"/>
          <w:color w:val="000000"/>
          <w:szCs w:val="22"/>
        </w:rPr>
      </w:pPr>
    </w:p>
    <w:p w:rsidR="00CA25F9" w:rsidRDefault="00CA25F9" w:rsidP="00CA25F9">
      <w:pPr>
        <w:ind w:firstLine="708"/>
        <w:jc w:val="both"/>
        <w:rPr>
          <w:rFonts w:ascii="Times New Roman" w:hAnsi="Times New Roman" w:cs="Times New Roman"/>
          <w:color w:val="000000"/>
          <w:szCs w:val="22"/>
        </w:rPr>
      </w:pPr>
      <w:r w:rsidRPr="0060215F">
        <w:rPr>
          <w:rFonts w:ascii="Times New Roman" w:hAnsi="Times New Roman" w:cs="Times New Roman"/>
          <w:color w:val="000000"/>
          <w:szCs w:val="22"/>
        </w:rPr>
        <w:t xml:space="preserve">Nižšie uvedená tabuľka poskytuje detailnejší prehľad existujúcich daňových výdavkov podľa účelu ich použitia. Tabuľka zatiaľ nezohľadňuje opatrenia nad rámec daňového výboru, nakoľko neprešli legislatívnym procesom. </w:t>
      </w:r>
      <w:r w:rsidR="00711D59">
        <w:rPr>
          <w:rFonts w:ascii="Times New Roman" w:hAnsi="Times New Roman" w:cs="Times New Roman"/>
          <w:color w:val="000000"/>
          <w:szCs w:val="22"/>
        </w:rPr>
        <w:t>Ide</w:t>
      </w:r>
      <w:r w:rsidRPr="0060215F">
        <w:rPr>
          <w:rFonts w:ascii="Times New Roman" w:hAnsi="Times New Roman" w:cs="Times New Roman"/>
          <w:color w:val="000000"/>
          <w:szCs w:val="22"/>
        </w:rPr>
        <w:t xml:space="preserve"> najmä o nižšiu sadzbu DPH </w:t>
      </w:r>
      <w:r w:rsidR="00711D59">
        <w:rPr>
          <w:rFonts w:ascii="Times New Roman" w:hAnsi="Times New Roman" w:cs="Times New Roman"/>
          <w:color w:val="000000"/>
          <w:szCs w:val="22"/>
        </w:rPr>
        <w:t>na</w:t>
      </w:r>
      <w:r w:rsidRPr="0060215F">
        <w:rPr>
          <w:rFonts w:ascii="Times New Roman" w:hAnsi="Times New Roman" w:cs="Times New Roman"/>
          <w:color w:val="000000"/>
          <w:szCs w:val="22"/>
        </w:rPr>
        <w:t xml:space="preserve"> ubytovacie služby, vyšší daňový bonus na dieťa do 6 rokov a oslobodenie nepeňažného benefitu pre zamestnanca v podobe ubytovania. </w:t>
      </w:r>
    </w:p>
    <w:p w:rsidR="0060215F" w:rsidRDefault="0060215F" w:rsidP="00CA25F9">
      <w:pPr>
        <w:ind w:firstLine="708"/>
        <w:jc w:val="both"/>
        <w:rPr>
          <w:rFonts w:ascii="Times New Roman" w:hAnsi="Times New Roman" w:cs="Times New Roman"/>
          <w:color w:val="000000"/>
          <w:szCs w:val="22"/>
        </w:rPr>
      </w:pPr>
    </w:p>
    <w:p w:rsidR="0060215F" w:rsidRDefault="0060215F" w:rsidP="00CA25F9">
      <w:pPr>
        <w:ind w:firstLine="708"/>
        <w:jc w:val="both"/>
        <w:rPr>
          <w:rFonts w:ascii="Times New Roman" w:hAnsi="Times New Roman" w:cs="Times New Roman"/>
          <w:color w:val="000000"/>
          <w:szCs w:val="22"/>
        </w:rPr>
      </w:pPr>
    </w:p>
    <w:p w:rsidR="0060215F" w:rsidRDefault="0060215F" w:rsidP="00CA25F9">
      <w:pPr>
        <w:ind w:firstLine="708"/>
        <w:jc w:val="both"/>
        <w:rPr>
          <w:rFonts w:ascii="Times New Roman" w:hAnsi="Times New Roman" w:cs="Times New Roman"/>
          <w:color w:val="000000"/>
          <w:szCs w:val="22"/>
        </w:rPr>
      </w:pPr>
    </w:p>
    <w:p w:rsidR="0060215F" w:rsidRDefault="0060215F" w:rsidP="00CA25F9">
      <w:pPr>
        <w:ind w:firstLine="708"/>
        <w:jc w:val="both"/>
        <w:rPr>
          <w:rFonts w:ascii="Times New Roman" w:hAnsi="Times New Roman" w:cs="Times New Roman"/>
          <w:color w:val="000000"/>
          <w:szCs w:val="22"/>
        </w:rPr>
      </w:pPr>
    </w:p>
    <w:p w:rsidR="0060215F" w:rsidRDefault="0060215F" w:rsidP="00CA25F9">
      <w:pPr>
        <w:ind w:firstLine="708"/>
        <w:jc w:val="both"/>
        <w:rPr>
          <w:rFonts w:ascii="Times New Roman" w:hAnsi="Times New Roman" w:cs="Times New Roman"/>
          <w:color w:val="000000"/>
          <w:szCs w:val="22"/>
        </w:rPr>
      </w:pPr>
    </w:p>
    <w:p w:rsidR="0060215F" w:rsidRDefault="0060215F" w:rsidP="00CA25F9">
      <w:pPr>
        <w:ind w:firstLine="708"/>
        <w:jc w:val="both"/>
        <w:rPr>
          <w:rFonts w:ascii="Times New Roman" w:hAnsi="Times New Roman" w:cs="Times New Roman"/>
          <w:color w:val="000000"/>
          <w:szCs w:val="22"/>
        </w:rPr>
      </w:pPr>
    </w:p>
    <w:p w:rsidR="0060215F" w:rsidRDefault="0060215F" w:rsidP="00CA25F9">
      <w:pPr>
        <w:ind w:firstLine="708"/>
        <w:jc w:val="both"/>
        <w:rPr>
          <w:rFonts w:ascii="Times New Roman" w:hAnsi="Times New Roman" w:cs="Times New Roman"/>
          <w:color w:val="000000"/>
          <w:szCs w:val="22"/>
        </w:rPr>
      </w:pPr>
    </w:p>
    <w:p w:rsidR="00CA25F9" w:rsidRDefault="00CA25F9" w:rsidP="00CA25F9">
      <w:pPr>
        <w:ind w:firstLine="708"/>
        <w:jc w:val="both"/>
        <w:rPr>
          <w:color w:val="000000" w:themeColor="text1"/>
          <w:sz w:val="22"/>
          <w:szCs w:val="22"/>
        </w:rPr>
      </w:pPr>
    </w:p>
    <w:tbl>
      <w:tblPr>
        <w:tblW w:w="5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91"/>
        <w:gridCol w:w="592"/>
        <w:gridCol w:w="666"/>
        <w:gridCol w:w="666"/>
        <w:gridCol w:w="666"/>
        <w:gridCol w:w="666"/>
        <w:gridCol w:w="666"/>
        <w:gridCol w:w="666"/>
      </w:tblGrid>
      <w:tr w:rsidR="00CA25F9" w:rsidRPr="0060215F" w:rsidTr="0060215F">
        <w:trPr>
          <w:trHeight w:val="161"/>
        </w:trPr>
        <w:tc>
          <w:tcPr>
            <w:tcW w:w="4896" w:type="dxa"/>
            <w:vMerge w:val="restart"/>
            <w:shd w:val="clear" w:color="000000" w:fill="BFBFBF"/>
            <w:vAlign w:val="center"/>
            <w:hideMark/>
          </w:tcPr>
          <w:p w:rsidR="00CA25F9" w:rsidRPr="0060215F" w:rsidRDefault="00CA25F9" w:rsidP="00DF0EF9">
            <w:pPr>
              <w:rPr>
                <w:rFonts w:ascii="Times New Roman" w:hAnsi="Times New Roman" w:cs="Times New Roman"/>
                <w:b/>
                <w:bCs/>
                <w:sz w:val="14"/>
                <w:szCs w:val="14"/>
              </w:rPr>
            </w:pPr>
            <w:r w:rsidRPr="0060215F">
              <w:rPr>
                <w:rFonts w:ascii="Times New Roman" w:hAnsi="Times New Roman" w:cs="Times New Roman"/>
                <w:b/>
                <w:bCs/>
                <w:sz w:val="14"/>
                <w:szCs w:val="14"/>
              </w:rPr>
              <w:t>Prehľad daňových výdavkov podľa ich účelu (ESA</w:t>
            </w:r>
            <w:r w:rsidR="00711D59">
              <w:rPr>
                <w:rFonts w:ascii="Times New Roman" w:hAnsi="Times New Roman" w:cs="Times New Roman"/>
                <w:b/>
                <w:bCs/>
                <w:sz w:val="14"/>
                <w:szCs w:val="14"/>
              </w:rPr>
              <w:t xml:space="preserve"> </w:t>
            </w:r>
            <w:r w:rsidRPr="0060215F">
              <w:rPr>
                <w:rFonts w:ascii="Times New Roman" w:hAnsi="Times New Roman" w:cs="Times New Roman"/>
                <w:b/>
                <w:bCs/>
                <w:sz w:val="14"/>
                <w:szCs w:val="14"/>
              </w:rPr>
              <w:t>2010, tis. eur)</w:t>
            </w:r>
          </w:p>
        </w:tc>
        <w:tc>
          <w:tcPr>
            <w:tcW w:w="592" w:type="dxa"/>
            <w:vMerge w:val="restart"/>
            <w:shd w:val="clear" w:color="000000" w:fill="BFBFBF"/>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Daň</w:t>
            </w:r>
          </w:p>
        </w:tc>
        <w:tc>
          <w:tcPr>
            <w:tcW w:w="666" w:type="dxa"/>
            <w:vMerge w:val="restart"/>
            <w:shd w:val="clear" w:color="000000" w:fill="BFBFBF"/>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2016</w:t>
            </w:r>
          </w:p>
        </w:tc>
        <w:tc>
          <w:tcPr>
            <w:tcW w:w="667" w:type="dxa"/>
            <w:vMerge w:val="restart"/>
            <w:shd w:val="clear" w:color="000000" w:fill="BFBFBF"/>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2017</w:t>
            </w:r>
          </w:p>
        </w:tc>
        <w:tc>
          <w:tcPr>
            <w:tcW w:w="667" w:type="dxa"/>
            <w:vMerge w:val="restart"/>
            <w:shd w:val="clear" w:color="000000" w:fill="BFBFBF"/>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2018</w:t>
            </w:r>
          </w:p>
        </w:tc>
        <w:tc>
          <w:tcPr>
            <w:tcW w:w="667" w:type="dxa"/>
            <w:vMerge w:val="restart"/>
            <w:shd w:val="clear" w:color="000000" w:fill="BFBFBF"/>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2019</w:t>
            </w:r>
          </w:p>
        </w:tc>
        <w:tc>
          <w:tcPr>
            <w:tcW w:w="667" w:type="dxa"/>
            <w:vMerge w:val="restart"/>
            <w:shd w:val="clear" w:color="000000" w:fill="BFBFBF"/>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2020</w:t>
            </w:r>
          </w:p>
        </w:tc>
        <w:tc>
          <w:tcPr>
            <w:tcW w:w="667" w:type="dxa"/>
            <w:vMerge w:val="restart"/>
            <w:shd w:val="clear" w:color="000000" w:fill="BFBFBF"/>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2021</w:t>
            </w:r>
          </w:p>
        </w:tc>
      </w:tr>
      <w:tr w:rsidR="00CA25F9" w:rsidRPr="0060215F" w:rsidTr="0060215F">
        <w:trPr>
          <w:trHeight w:val="272"/>
        </w:trPr>
        <w:tc>
          <w:tcPr>
            <w:tcW w:w="4896" w:type="dxa"/>
            <w:vMerge/>
            <w:vAlign w:val="center"/>
            <w:hideMark/>
          </w:tcPr>
          <w:p w:rsidR="00CA25F9" w:rsidRPr="0060215F" w:rsidRDefault="00CA25F9" w:rsidP="00DF0EF9">
            <w:pPr>
              <w:rPr>
                <w:rFonts w:ascii="Times New Roman" w:hAnsi="Times New Roman" w:cs="Times New Roman"/>
                <w:b/>
                <w:bCs/>
                <w:sz w:val="14"/>
                <w:szCs w:val="14"/>
              </w:rPr>
            </w:pPr>
          </w:p>
        </w:tc>
        <w:tc>
          <w:tcPr>
            <w:tcW w:w="592" w:type="dxa"/>
            <w:vMerge/>
            <w:vAlign w:val="center"/>
            <w:hideMark/>
          </w:tcPr>
          <w:p w:rsidR="00CA25F9" w:rsidRPr="0060215F" w:rsidRDefault="00CA25F9" w:rsidP="00DF0EF9">
            <w:pPr>
              <w:rPr>
                <w:rFonts w:ascii="Times New Roman" w:hAnsi="Times New Roman" w:cs="Times New Roman"/>
                <w:b/>
                <w:bCs/>
                <w:color w:val="000000"/>
                <w:sz w:val="14"/>
                <w:szCs w:val="14"/>
              </w:rPr>
            </w:pPr>
          </w:p>
        </w:tc>
        <w:tc>
          <w:tcPr>
            <w:tcW w:w="666" w:type="dxa"/>
            <w:vMerge/>
            <w:vAlign w:val="center"/>
            <w:hideMark/>
          </w:tcPr>
          <w:p w:rsidR="00CA25F9" w:rsidRPr="0060215F" w:rsidRDefault="00CA25F9" w:rsidP="00DF0EF9">
            <w:pPr>
              <w:rPr>
                <w:rFonts w:ascii="Times New Roman" w:hAnsi="Times New Roman" w:cs="Times New Roman"/>
                <w:b/>
                <w:bCs/>
                <w:color w:val="000000"/>
                <w:sz w:val="14"/>
                <w:szCs w:val="14"/>
              </w:rPr>
            </w:pPr>
          </w:p>
        </w:tc>
        <w:tc>
          <w:tcPr>
            <w:tcW w:w="667" w:type="dxa"/>
            <w:vMerge/>
            <w:vAlign w:val="center"/>
            <w:hideMark/>
          </w:tcPr>
          <w:p w:rsidR="00CA25F9" w:rsidRPr="0060215F" w:rsidRDefault="00CA25F9" w:rsidP="00DF0EF9">
            <w:pPr>
              <w:rPr>
                <w:rFonts w:ascii="Times New Roman" w:hAnsi="Times New Roman" w:cs="Times New Roman"/>
                <w:b/>
                <w:bCs/>
                <w:color w:val="000000"/>
                <w:sz w:val="14"/>
                <w:szCs w:val="14"/>
              </w:rPr>
            </w:pPr>
          </w:p>
        </w:tc>
        <w:tc>
          <w:tcPr>
            <w:tcW w:w="667" w:type="dxa"/>
            <w:vMerge/>
            <w:vAlign w:val="center"/>
            <w:hideMark/>
          </w:tcPr>
          <w:p w:rsidR="00CA25F9" w:rsidRPr="0060215F" w:rsidRDefault="00CA25F9" w:rsidP="00DF0EF9">
            <w:pPr>
              <w:rPr>
                <w:rFonts w:ascii="Times New Roman" w:hAnsi="Times New Roman" w:cs="Times New Roman"/>
                <w:b/>
                <w:bCs/>
                <w:color w:val="000000"/>
                <w:sz w:val="14"/>
                <w:szCs w:val="14"/>
              </w:rPr>
            </w:pPr>
          </w:p>
        </w:tc>
        <w:tc>
          <w:tcPr>
            <w:tcW w:w="667" w:type="dxa"/>
            <w:vMerge/>
            <w:vAlign w:val="center"/>
            <w:hideMark/>
          </w:tcPr>
          <w:p w:rsidR="00CA25F9" w:rsidRPr="0060215F" w:rsidRDefault="00CA25F9" w:rsidP="00DF0EF9">
            <w:pPr>
              <w:rPr>
                <w:rFonts w:ascii="Times New Roman" w:hAnsi="Times New Roman" w:cs="Times New Roman"/>
                <w:b/>
                <w:bCs/>
                <w:color w:val="000000"/>
                <w:sz w:val="14"/>
                <w:szCs w:val="14"/>
              </w:rPr>
            </w:pPr>
          </w:p>
        </w:tc>
        <w:tc>
          <w:tcPr>
            <w:tcW w:w="667" w:type="dxa"/>
            <w:vMerge/>
            <w:vAlign w:val="center"/>
            <w:hideMark/>
          </w:tcPr>
          <w:p w:rsidR="00CA25F9" w:rsidRPr="0060215F" w:rsidRDefault="00CA25F9" w:rsidP="00DF0EF9">
            <w:pPr>
              <w:rPr>
                <w:rFonts w:ascii="Times New Roman" w:hAnsi="Times New Roman" w:cs="Times New Roman"/>
                <w:b/>
                <w:bCs/>
                <w:color w:val="000000"/>
                <w:sz w:val="14"/>
                <w:szCs w:val="14"/>
              </w:rPr>
            </w:pPr>
          </w:p>
        </w:tc>
        <w:tc>
          <w:tcPr>
            <w:tcW w:w="667" w:type="dxa"/>
            <w:vMerge/>
            <w:vAlign w:val="center"/>
            <w:hideMark/>
          </w:tcPr>
          <w:p w:rsidR="00CA25F9" w:rsidRPr="0060215F" w:rsidRDefault="00CA25F9" w:rsidP="00DF0EF9">
            <w:pPr>
              <w:rPr>
                <w:rFonts w:ascii="Times New Roman" w:hAnsi="Times New Roman" w:cs="Times New Roman"/>
                <w:b/>
                <w:bCs/>
                <w:color w:val="000000"/>
                <w:sz w:val="14"/>
                <w:szCs w:val="14"/>
              </w:rPr>
            </w:pP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Podpora trhu práce, zamestnanosti (prácou podmienené benefity)</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293 366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258 765</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200 228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149 413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163 936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221 573</w:t>
            </w:r>
          </w:p>
        </w:tc>
      </w:tr>
      <w:tr w:rsidR="00CA25F9" w:rsidRPr="0060215F" w:rsidTr="0060215F">
        <w:trPr>
          <w:trHeight w:val="113"/>
        </w:trPr>
        <w:tc>
          <w:tcPr>
            <w:tcW w:w="4896" w:type="dxa"/>
            <w:shd w:val="clear" w:color="auto" w:fill="auto"/>
            <w:vAlign w:val="center"/>
            <w:hideMark/>
          </w:tcPr>
          <w:p w:rsidR="00CA25F9" w:rsidRPr="0060215F" w:rsidRDefault="00CA25F9" w:rsidP="00DF0EF9">
            <w:pPr>
              <w:ind w:firstLineChars="100" w:firstLine="140"/>
              <w:rPr>
                <w:rFonts w:ascii="Times New Roman" w:hAnsi="Times New Roman" w:cs="Times New Roman"/>
                <w:sz w:val="14"/>
                <w:szCs w:val="14"/>
              </w:rPr>
            </w:pPr>
            <w:r w:rsidRPr="0060215F">
              <w:rPr>
                <w:rFonts w:ascii="Times New Roman" w:hAnsi="Times New Roman" w:cs="Times New Roman"/>
                <w:sz w:val="14"/>
                <w:szCs w:val="14"/>
              </w:rPr>
              <w:t>Odvodová úľava pre dlhodobo nezamestnaných</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DPFO, SP, ZP</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12 217</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13 771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15 525</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17 504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19 738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22 260</w:t>
            </w:r>
          </w:p>
        </w:tc>
      </w:tr>
      <w:tr w:rsidR="00CA25F9" w:rsidRPr="0060215F" w:rsidTr="0060215F">
        <w:trPr>
          <w:trHeight w:val="113"/>
        </w:trPr>
        <w:tc>
          <w:tcPr>
            <w:tcW w:w="4896" w:type="dxa"/>
            <w:shd w:val="clear" w:color="auto" w:fill="auto"/>
            <w:vAlign w:val="center"/>
            <w:hideMark/>
          </w:tcPr>
          <w:p w:rsidR="00CA25F9" w:rsidRPr="0060215F" w:rsidRDefault="00CA25F9" w:rsidP="00DF0EF9">
            <w:pPr>
              <w:ind w:firstLineChars="100" w:firstLine="140"/>
              <w:rPr>
                <w:rFonts w:ascii="Times New Roman" w:hAnsi="Times New Roman" w:cs="Times New Roman"/>
                <w:sz w:val="14"/>
                <w:szCs w:val="14"/>
              </w:rPr>
            </w:pPr>
            <w:r w:rsidRPr="0060215F">
              <w:rPr>
                <w:rFonts w:ascii="Times New Roman" w:hAnsi="Times New Roman" w:cs="Times New Roman"/>
                <w:sz w:val="14"/>
                <w:szCs w:val="14"/>
              </w:rPr>
              <w:t>Zamestnanecká prémia</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DPFO, SP, ZP</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0</w:t>
            </w:r>
          </w:p>
        </w:tc>
      </w:tr>
      <w:tr w:rsidR="00CA25F9" w:rsidRPr="0060215F" w:rsidTr="0060215F">
        <w:trPr>
          <w:trHeight w:val="113"/>
        </w:trPr>
        <w:tc>
          <w:tcPr>
            <w:tcW w:w="4896" w:type="dxa"/>
            <w:shd w:val="clear" w:color="auto" w:fill="auto"/>
            <w:vAlign w:val="center"/>
            <w:hideMark/>
          </w:tcPr>
          <w:p w:rsidR="00CA25F9" w:rsidRPr="0060215F" w:rsidRDefault="00CA25F9" w:rsidP="00DF0EF9">
            <w:pPr>
              <w:ind w:firstLineChars="100" w:firstLine="140"/>
              <w:rPr>
                <w:rFonts w:ascii="Times New Roman" w:hAnsi="Times New Roman" w:cs="Times New Roman"/>
                <w:sz w:val="14"/>
                <w:szCs w:val="14"/>
              </w:rPr>
            </w:pPr>
            <w:r w:rsidRPr="0060215F">
              <w:rPr>
                <w:rFonts w:ascii="Times New Roman" w:hAnsi="Times New Roman" w:cs="Times New Roman"/>
                <w:sz w:val="14"/>
                <w:szCs w:val="14"/>
              </w:rPr>
              <w:t>Dohody o prácach vykonávaných mimo pracovný pomer</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SP, ZP</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70 458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73 988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77 695</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81 587</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85 675</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89 967</w:t>
            </w:r>
          </w:p>
        </w:tc>
      </w:tr>
      <w:tr w:rsidR="00CA25F9" w:rsidRPr="0060215F" w:rsidTr="0060215F">
        <w:trPr>
          <w:trHeight w:val="113"/>
        </w:trPr>
        <w:tc>
          <w:tcPr>
            <w:tcW w:w="4896" w:type="dxa"/>
            <w:shd w:val="clear" w:color="auto" w:fill="auto"/>
            <w:vAlign w:val="center"/>
            <w:hideMark/>
          </w:tcPr>
          <w:p w:rsidR="00CA25F9" w:rsidRPr="0060215F" w:rsidRDefault="00CA25F9" w:rsidP="00DF0EF9">
            <w:pPr>
              <w:ind w:firstLineChars="100" w:firstLine="140"/>
              <w:rPr>
                <w:rFonts w:ascii="Times New Roman" w:hAnsi="Times New Roman" w:cs="Times New Roman"/>
                <w:sz w:val="14"/>
                <w:szCs w:val="14"/>
              </w:rPr>
            </w:pPr>
            <w:r w:rsidRPr="0060215F">
              <w:rPr>
                <w:rFonts w:ascii="Times New Roman" w:hAnsi="Times New Roman" w:cs="Times New Roman"/>
                <w:sz w:val="14"/>
                <w:szCs w:val="14"/>
              </w:rPr>
              <w:t>Odvodová odpočítateľná položka pre nízkopríjmových</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ZP</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210 676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171 006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94 996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7 724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7 163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6 687</w:t>
            </w:r>
          </w:p>
        </w:tc>
      </w:tr>
      <w:tr w:rsidR="00CA25F9" w:rsidRPr="0060215F" w:rsidTr="0060215F">
        <w:trPr>
          <w:trHeight w:val="113"/>
        </w:trPr>
        <w:tc>
          <w:tcPr>
            <w:tcW w:w="4896" w:type="dxa"/>
            <w:shd w:val="clear" w:color="auto" w:fill="auto"/>
            <w:vAlign w:val="center"/>
            <w:hideMark/>
          </w:tcPr>
          <w:p w:rsidR="00CA25F9" w:rsidRPr="0060215F" w:rsidRDefault="00CA25F9" w:rsidP="00DF0EF9">
            <w:pPr>
              <w:ind w:firstLineChars="100" w:firstLine="140"/>
              <w:rPr>
                <w:rFonts w:ascii="Times New Roman" w:hAnsi="Times New Roman" w:cs="Times New Roman"/>
                <w:sz w:val="14"/>
                <w:szCs w:val="14"/>
              </w:rPr>
            </w:pPr>
            <w:r w:rsidRPr="0060215F">
              <w:rPr>
                <w:rFonts w:ascii="Times New Roman" w:hAnsi="Times New Roman" w:cs="Times New Roman"/>
                <w:sz w:val="14"/>
                <w:szCs w:val="14"/>
              </w:rPr>
              <w:t xml:space="preserve">OOP pre dôchodcov na </w:t>
            </w:r>
            <w:r w:rsidR="0060215F" w:rsidRPr="0060215F">
              <w:rPr>
                <w:rFonts w:ascii="Times New Roman" w:hAnsi="Times New Roman" w:cs="Times New Roman"/>
                <w:sz w:val="14"/>
                <w:szCs w:val="14"/>
              </w:rPr>
              <w:t>príjmy</w:t>
            </w:r>
            <w:r w:rsidRPr="0060215F">
              <w:rPr>
                <w:rFonts w:ascii="Times New Roman" w:hAnsi="Times New Roman" w:cs="Times New Roman"/>
                <w:sz w:val="14"/>
                <w:szCs w:val="14"/>
              </w:rPr>
              <w:t xml:space="preserve"> z </w:t>
            </w:r>
            <w:r w:rsidR="00711D59" w:rsidRPr="0060215F">
              <w:rPr>
                <w:rFonts w:ascii="Times New Roman" w:hAnsi="Times New Roman" w:cs="Times New Roman"/>
                <w:sz w:val="14"/>
                <w:szCs w:val="14"/>
              </w:rPr>
              <w:t>dohôd</w:t>
            </w:r>
            <w:r w:rsidRPr="0060215F">
              <w:rPr>
                <w:rFonts w:ascii="Times New Roman" w:hAnsi="Times New Roman" w:cs="Times New Roman"/>
                <w:sz w:val="14"/>
                <w:szCs w:val="14"/>
              </w:rPr>
              <w:t xml:space="preserve"> do 200 eur</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SP</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10 496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21 275</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21 551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21 832</w:t>
            </w:r>
          </w:p>
        </w:tc>
      </w:tr>
      <w:tr w:rsidR="00CA25F9" w:rsidRPr="0060215F" w:rsidTr="0060215F">
        <w:trPr>
          <w:trHeight w:val="113"/>
        </w:trPr>
        <w:tc>
          <w:tcPr>
            <w:tcW w:w="4896" w:type="dxa"/>
            <w:shd w:val="clear" w:color="auto" w:fill="auto"/>
            <w:vAlign w:val="center"/>
            <w:hideMark/>
          </w:tcPr>
          <w:p w:rsidR="00CA25F9" w:rsidRPr="0060215F" w:rsidRDefault="00CA25F9" w:rsidP="00DF0EF9">
            <w:pPr>
              <w:ind w:firstLineChars="100" w:firstLine="140"/>
              <w:rPr>
                <w:rFonts w:ascii="Times New Roman" w:hAnsi="Times New Roman" w:cs="Times New Roman"/>
                <w:sz w:val="14"/>
                <w:szCs w:val="14"/>
              </w:rPr>
            </w:pPr>
            <w:r w:rsidRPr="0060215F">
              <w:rPr>
                <w:rFonts w:ascii="Times New Roman" w:hAnsi="Times New Roman" w:cs="Times New Roman"/>
                <w:sz w:val="14"/>
                <w:szCs w:val="14"/>
              </w:rPr>
              <w:t>13</w:t>
            </w:r>
            <w:r w:rsidR="00711D59">
              <w:rPr>
                <w:rFonts w:ascii="Times New Roman" w:hAnsi="Times New Roman" w:cs="Times New Roman"/>
                <w:sz w:val="14"/>
                <w:szCs w:val="14"/>
              </w:rPr>
              <w:t>.</w:t>
            </w:r>
            <w:r w:rsidRPr="0060215F">
              <w:rPr>
                <w:rFonts w:ascii="Times New Roman" w:hAnsi="Times New Roman" w:cs="Times New Roman"/>
                <w:sz w:val="14"/>
                <w:szCs w:val="14"/>
              </w:rPr>
              <w:t xml:space="preserve"> a</w:t>
            </w:r>
            <w:r w:rsidR="00711D59">
              <w:rPr>
                <w:rFonts w:ascii="Times New Roman" w:hAnsi="Times New Roman" w:cs="Times New Roman"/>
                <w:sz w:val="14"/>
                <w:szCs w:val="14"/>
              </w:rPr>
              <w:t> </w:t>
            </w:r>
            <w:r w:rsidRPr="0060215F">
              <w:rPr>
                <w:rFonts w:ascii="Times New Roman" w:hAnsi="Times New Roman" w:cs="Times New Roman"/>
                <w:sz w:val="14"/>
                <w:szCs w:val="14"/>
              </w:rPr>
              <w:t>14</w:t>
            </w:r>
            <w:r w:rsidR="00711D59">
              <w:rPr>
                <w:rFonts w:ascii="Times New Roman" w:hAnsi="Times New Roman" w:cs="Times New Roman"/>
                <w:sz w:val="14"/>
                <w:szCs w:val="14"/>
              </w:rPr>
              <w:t>.</w:t>
            </w:r>
            <w:r w:rsidRPr="0060215F">
              <w:rPr>
                <w:rFonts w:ascii="Times New Roman" w:hAnsi="Times New Roman" w:cs="Times New Roman"/>
                <w:sz w:val="14"/>
                <w:szCs w:val="14"/>
              </w:rPr>
              <w:t xml:space="preserve"> plat </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SP, ZP</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1 516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21 323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29 809</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80 827</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Sociálna podpora</w:t>
            </w:r>
          </w:p>
        </w:tc>
        <w:tc>
          <w:tcPr>
            <w:tcW w:w="592"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102 470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109 385</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113 219</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119 049</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124 699</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130 107</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 xml:space="preserve">Oslobodenie </w:t>
            </w:r>
            <w:r w:rsidR="00711D59" w:rsidRPr="0060215F">
              <w:rPr>
                <w:rFonts w:ascii="Times New Roman" w:hAnsi="Times New Roman" w:cs="Times New Roman"/>
                <w:color w:val="000000"/>
                <w:sz w:val="14"/>
                <w:szCs w:val="14"/>
              </w:rPr>
              <w:t>príspevku</w:t>
            </w:r>
            <w:r w:rsidRPr="0060215F">
              <w:rPr>
                <w:rFonts w:ascii="Times New Roman" w:hAnsi="Times New Roman" w:cs="Times New Roman"/>
                <w:color w:val="000000"/>
                <w:sz w:val="14"/>
                <w:szCs w:val="14"/>
              </w:rPr>
              <w:t xml:space="preserve"> zo </w:t>
            </w:r>
            <w:r w:rsidR="00711D59" w:rsidRPr="0060215F">
              <w:rPr>
                <w:rFonts w:ascii="Times New Roman" w:hAnsi="Times New Roman" w:cs="Times New Roman"/>
                <w:color w:val="000000"/>
                <w:sz w:val="14"/>
                <w:szCs w:val="14"/>
              </w:rPr>
              <w:t>sociálneho</w:t>
            </w:r>
            <w:r w:rsidRPr="0060215F">
              <w:rPr>
                <w:rFonts w:ascii="Times New Roman" w:hAnsi="Times New Roman" w:cs="Times New Roman"/>
                <w:color w:val="000000"/>
                <w:sz w:val="14"/>
                <w:szCs w:val="14"/>
              </w:rPr>
              <w:t xml:space="preserve"> fondu na </w:t>
            </w:r>
            <w:r w:rsidR="00711D59" w:rsidRPr="0060215F">
              <w:rPr>
                <w:rFonts w:ascii="Times New Roman" w:hAnsi="Times New Roman" w:cs="Times New Roman"/>
                <w:color w:val="000000"/>
                <w:sz w:val="14"/>
                <w:szCs w:val="14"/>
              </w:rPr>
              <w:t>sociálne</w:t>
            </w:r>
            <w:r w:rsidRPr="0060215F">
              <w:rPr>
                <w:rFonts w:ascii="Times New Roman" w:hAnsi="Times New Roman" w:cs="Times New Roman"/>
                <w:color w:val="000000"/>
                <w:sz w:val="14"/>
                <w:szCs w:val="14"/>
              </w:rPr>
              <w:t xml:space="preserve"> </w:t>
            </w:r>
            <w:r w:rsidR="00711D59" w:rsidRPr="0060215F">
              <w:rPr>
                <w:rFonts w:ascii="Times New Roman" w:hAnsi="Times New Roman" w:cs="Times New Roman"/>
                <w:color w:val="000000"/>
                <w:sz w:val="14"/>
                <w:szCs w:val="14"/>
              </w:rPr>
              <w:t>účely</w:t>
            </w:r>
            <w:r w:rsidRPr="0060215F">
              <w:rPr>
                <w:rFonts w:ascii="Times New Roman" w:hAnsi="Times New Roman" w:cs="Times New Roman"/>
                <w:color w:val="000000"/>
                <w:sz w:val="14"/>
                <w:szCs w:val="14"/>
              </w:rPr>
              <w:t xml:space="preserve"> do 2 000 eur</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DPFO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796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796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796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796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796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796</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Znížená sadzba DPH na vybrané potraviny</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DPH</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76 943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80 864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85 411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90 380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95 258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99 988</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Daň zo zemného plynu - fakultatívne oslobodenia</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SD</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24 730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27 724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27 012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27 873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28 645</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29 322</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Charita, dary a príspevky</w:t>
            </w:r>
          </w:p>
        </w:tc>
        <w:tc>
          <w:tcPr>
            <w:tcW w:w="592"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61 631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63 276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66 745</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71 144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76 234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81 779</w:t>
            </w:r>
          </w:p>
        </w:tc>
      </w:tr>
      <w:tr w:rsidR="00CA25F9" w:rsidRPr="0060215F" w:rsidTr="0060215F">
        <w:trPr>
          <w:trHeight w:val="113"/>
        </w:trPr>
        <w:tc>
          <w:tcPr>
            <w:tcW w:w="4896" w:type="dxa"/>
            <w:shd w:val="clear" w:color="auto" w:fill="auto"/>
            <w:vAlign w:val="center"/>
            <w:hideMark/>
          </w:tcPr>
          <w:p w:rsidR="00CA25F9" w:rsidRPr="0060215F" w:rsidRDefault="00CA25F9" w:rsidP="00DF0EF9">
            <w:pPr>
              <w:ind w:firstLineChars="100" w:firstLine="140"/>
              <w:rPr>
                <w:rFonts w:ascii="Times New Roman" w:hAnsi="Times New Roman" w:cs="Times New Roman"/>
                <w:sz w:val="14"/>
                <w:szCs w:val="14"/>
              </w:rPr>
            </w:pPr>
            <w:r w:rsidRPr="0060215F">
              <w:rPr>
                <w:rFonts w:ascii="Times New Roman" w:hAnsi="Times New Roman" w:cs="Times New Roman"/>
                <w:sz w:val="14"/>
                <w:szCs w:val="14"/>
              </w:rPr>
              <w:t>Asignácia dane - použitie podielu zaplatenej dane</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DPFO, DPPO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61 631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63 276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66 745</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71 144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76 234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81 779</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Podpora rodiny</w:t>
            </w:r>
          </w:p>
        </w:tc>
        <w:tc>
          <w:tcPr>
            <w:tcW w:w="592"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326 008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328 543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332 107</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339 217</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346 076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353 545</w:t>
            </w:r>
          </w:p>
        </w:tc>
      </w:tr>
      <w:tr w:rsidR="00CA25F9" w:rsidRPr="0060215F" w:rsidTr="0060215F">
        <w:trPr>
          <w:trHeight w:val="113"/>
        </w:trPr>
        <w:tc>
          <w:tcPr>
            <w:tcW w:w="4896" w:type="dxa"/>
            <w:shd w:val="clear" w:color="auto" w:fill="auto"/>
            <w:vAlign w:val="center"/>
            <w:hideMark/>
          </w:tcPr>
          <w:p w:rsidR="00CA25F9" w:rsidRPr="0060215F" w:rsidRDefault="00CA25F9" w:rsidP="00DF0EF9">
            <w:pPr>
              <w:ind w:firstLineChars="100" w:firstLine="140"/>
              <w:rPr>
                <w:rFonts w:ascii="Times New Roman" w:hAnsi="Times New Roman" w:cs="Times New Roman"/>
                <w:sz w:val="14"/>
                <w:szCs w:val="14"/>
              </w:rPr>
            </w:pPr>
            <w:r w:rsidRPr="0060215F">
              <w:rPr>
                <w:rFonts w:ascii="Times New Roman" w:hAnsi="Times New Roman" w:cs="Times New Roman"/>
                <w:sz w:val="14"/>
                <w:szCs w:val="14"/>
              </w:rPr>
              <w:t xml:space="preserve">Uplatňovanie nezdaniteľnej časti základu dane na manžela(ku) </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DPFO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62 411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62 233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62 998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64 649</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65 894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67 090</w:t>
            </w:r>
          </w:p>
        </w:tc>
      </w:tr>
      <w:tr w:rsidR="00CA25F9" w:rsidRPr="0060215F" w:rsidTr="0060215F">
        <w:trPr>
          <w:trHeight w:val="113"/>
        </w:trPr>
        <w:tc>
          <w:tcPr>
            <w:tcW w:w="4896" w:type="dxa"/>
            <w:shd w:val="clear" w:color="auto" w:fill="auto"/>
            <w:vAlign w:val="center"/>
            <w:hideMark/>
          </w:tcPr>
          <w:p w:rsidR="00CA25F9" w:rsidRPr="0060215F" w:rsidRDefault="00CA25F9" w:rsidP="00DF0EF9">
            <w:pPr>
              <w:ind w:firstLineChars="100" w:firstLine="140"/>
              <w:rPr>
                <w:rFonts w:ascii="Times New Roman" w:hAnsi="Times New Roman" w:cs="Times New Roman"/>
                <w:sz w:val="14"/>
                <w:szCs w:val="14"/>
              </w:rPr>
            </w:pPr>
            <w:r w:rsidRPr="0060215F">
              <w:rPr>
                <w:rFonts w:ascii="Times New Roman" w:hAnsi="Times New Roman" w:cs="Times New Roman"/>
                <w:sz w:val="14"/>
                <w:szCs w:val="14"/>
              </w:rPr>
              <w:t>Daňový bonus na deti</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DPFO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263 597</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266 310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269 109</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274 568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280 182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286 455</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Úľavy na DPPO</w:t>
            </w:r>
          </w:p>
        </w:tc>
        <w:tc>
          <w:tcPr>
            <w:tcW w:w="592"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12 968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13 878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14 176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17 249</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33 490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33 955</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Doba odpisovania budov 20 rokov</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DPPO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Vstupná cena osobných áut bez limitu</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DPPO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Zahrňovanie DPH neuplatnenej koeficientom do daňových výdavkov</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DPPO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Zmluvné pokuty daňovým výdavkom pred zaplatením</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DPPO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Zrýchlené odpisovanie</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DPPO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12 968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13 878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12 810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11 825</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10 915</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10 076</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Oslobodenie obchodného podielu</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DPPO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3 971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21 034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22 250</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 xml:space="preserve">Oslobodenie </w:t>
            </w:r>
            <w:r w:rsidR="00711D59" w:rsidRPr="0060215F">
              <w:rPr>
                <w:rFonts w:ascii="Times New Roman" w:hAnsi="Times New Roman" w:cs="Times New Roman"/>
                <w:color w:val="000000"/>
                <w:sz w:val="14"/>
                <w:szCs w:val="14"/>
              </w:rPr>
              <w:t>vybraných</w:t>
            </w:r>
            <w:r w:rsidRPr="0060215F">
              <w:rPr>
                <w:rFonts w:ascii="Times New Roman" w:hAnsi="Times New Roman" w:cs="Times New Roman"/>
                <w:color w:val="000000"/>
                <w:sz w:val="14"/>
                <w:szCs w:val="14"/>
              </w:rPr>
              <w:t xml:space="preserve"> právnych foriem neziskového sektora</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DPPO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1 366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1 453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1 540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1 629</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Podpora špecifických odvetví</w:t>
            </w:r>
          </w:p>
        </w:tc>
        <w:tc>
          <w:tcPr>
            <w:tcW w:w="592"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117 303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85 555</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90 000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96 316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98 446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100 200</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Finančný leasing a oslobodenie prenájmu obcí a VÚC</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DPFO, DPPO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9 166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9 166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9 166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9 166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9 166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9 166</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 xml:space="preserve">Zmena </w:t>
            </w:r>
            <w:r w:rsidR="00711D59" w:rsidRPr="0060215F">
              <w:rPr>
                <w:rFonts w:ascii="Times New Roman" w:hAnsi="Times New Roman" w:cs="Times New Roman"/>
                <w:color w:val="000000"/>
                <w:sz w:val="14"/>
                <w:szCs w:val="14"/>
              </w:rPr>
              <w:t>konštanty</w:t>
            </w:r>
            <w:r w:rsidRPr="0060215F">
              <w:rPr>
                <w:rFonts w:ascii="Times New Roman" w:hAnsi="Times New Roman" w:cs="Times New Roman"/>
                <w:color w:val="000000"/>
                <w:sz w:val="14"/>
                <w:szCs w:val="14"/>
              </w:rPr>
              <w:t xml:space="preserve"> na výpočet VZ SZČO a iné zmeny</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SP, ZP</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Daň z elektriny - fakultatívne oslobodenia</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SD</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11 924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13 607</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13 762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14 163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14 514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14 818</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Daň z uhlia - fakultatívne oslobodenia</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SD</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24 913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21 402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20 391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21 007</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21 572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22 035</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Daň z piva - znížená sadzba pre malé pivovary</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SD</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1 214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1 348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1 408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1 440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1 466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1 486</w:t>
            </w:r>
          </w:p>
        </w:tc>
      </w:tr>
      <w:tr w:rsidR="00CA25F9" w:rsidRPr="0060215F" w:rsidTr="0060215F">
        <w:trPr>
          <w:trHeight w:val="113"/>
        </w:trPr>
        <w:tc>
          <w:tcPr>
            <w:tcW w:w="4896" w:type="dxa"/>
            <w:shd w:val="clear" w:color="auto" w:fill="auto"/>
            <w:noWrap/>
            <w:vAlign w:val="center"/>
            <w:hideMark/>
          </w:tcPr>
          <w:p w:rsidR="00CA25F9" w:rsidRPr="0060215F" w:rsidRDefault="00CA25F9" w:rsidP="00711D5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 xml:space="preserve">Daň z vína - znížená sadzba (0 </w:t>
            </w:r>
            <w:r w:rsidR="00711D59">
              <w:rPr>
                <w:rFonts w:ascii="Times New Roman" w:hAnsi="Times New Roman" w:cs="Times New Roman"/>
                <w:color w:val="000000"/>
                <w:sz w:val="14"/>
                <w:szCs w:val="14"/>
              </w:rPr>
              <w:t>eur</w:t>
            </w:r>
            <w:r w:rsidRPr="0060215F">
              <w:rPr>
                <w:rFonts w:ascii="Times New Roman" w:hAnsi="Times New Roman" w:cs="Times New Roman"/>
                <w:color w:val="000000"/>
                <w:sz w:val="14"/>
                <w:szCs w:val="14"/>
              </w:rPr>
              <w:t>)</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SD</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28 991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26 415</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29 018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29 584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30 043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30 387</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Daň z minerálneho oleja - § 10 ods. 3</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SD</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11 122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11 450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11 917</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12 453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12 941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13 371</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 xml:space="preserve">Daň z </w:t>
            </w:r>
            <w:r w:rsidR="00711D59" w:rsidRPr="0060215F">
              <w:rPr>
                <w:rFonts w:ascii="Times New Roman" w:hAnsi="Times New Roman" w:cs="Times New Roman"/>
                <w:color w:val="000000"/>
                <w:sz w:val="14"/>
                <w:szCs w:val="14"/>
              </w:rPr>
              <w:t>tabakových</w:t>
            </w:r>
            <w:r w:rsidRPr="0060215F">
              <w:rPr>
                <w:rFonts w:ascii="Times New Roman" w:hAnsi="Times New Roman" w:cs="Times New Roman"/>
                <w:color w:val="000000"/>
                <w:sz w:val="14"/>
                <w:szCs w:val="14"/>
              </w:rPr>
              <w:t xml:space="preserve"> </w:t>
            </w:r>
            <w:r w:rsidR="00711D59" w:rsidRPr="0060215F">
              <w:rPr>
                <w:rFonts w:ascii="Times New Roman" w:hAnsi="Times New Roman" w:cs="Times New Roman"/>
                <w:color w:val="000000"/>
                <w:sz w:val="14"/>
                <w:szCs w:val="14"/>
              </w:rPr>
              <w:t>výrobkov</w:t>
            </w:r>
            <w:r w:rsidRPr="0060215F">
              <w:rPr>
                <w:rFonts w:ascii="Times New Roman" w:hAnsi="Times New Roman" w:cs="Times New Roman"/>
                <w:color w:val="000000"/>
                <w:sz w:val="14"/>
                <w:szCs w:val="14"/>
              </w:rPr>
              <w:t xml:space="preserve"> - </w:t>
            </w:r>
            <w:r w:rsidR="00711D59" w:rsidRPr="0060215F">
              <w:rPr>
                <w:rFonts w:ascii="Times New Roman" w:hAnsi="Times New Roman" w:cs="Times New Roman"/>
                <w:color w:val="000000"/>
                <w:sz w:val="14"/>
                <w:szCs w:val="14"/>
              </w:rPr>
              <w:t>zdaňovanie</w:t>
            </w:r>
            <w:r w:rsidRPr="0060215F">
              <w:rPr>
                <w:rFonts w:ascii="Times New Roman" w:hAnsi="Times New Roman" w:cs="Times New Roman"/>
                <w:color w:val="000000"/>
                <w:sz w:val="14"/>
                <w:szCs w:val="14"/>
              </w:rPr>
              <w:t xml:space="preserve"> </w:t>
            </w:r>
            <w:r w:rsidR="00711D59" w:rsidRPr="0060215F">
              <w:rPr>
                <w:rFonts w:ascii="Times New Roman" w:hAnsi="Times New Roman" w:cs="Times New Roman"/>
                <w:color w:val="000000"/>
                <w:sz w:val="14"/>
                <w:szCs w:val="14"/>
              </w:rPr>
              <w:t>cigár</w:t>
            </w:r>
            <w:r w:rsidRPr="0060215F">
              <w:rPr>
                <w:rFonts w:ascii="Times New Roman" w:hAnsi="Times New Roman" w:cs="Times New Roman"/>
                <w:color w:val="000000"/>
                <w:sz w:val="14"/>
                <w:szCs w:val="14"/>
              </w:rPr>
              <w:t xml:space="preserve"> </w:t>
            </w:r>
            <w:r w:rsidR="00711D59" w:rsidRPr="0060215F">
              <w:rPr>
                <w:rFonts w:ascii="Times New Roman" w:hAnsi="Times New Roman" w:cs="Times New Roman"/>
                <w:color w:val="000000"/>
                <w:sz w:val="14"/>
                <w:szCs w:val="14"/>
              </w:rPr>
              <w:t>podľa</w:t>
            </w:r>
            <w:r w:rsidRPr="0060215F">
              <w:rPr>
                <w:rFonts w:ascii="Times New Roman" w:hAnsi="Times New Roman" w:cs="Times New Roman"/>
                <w:color w:val="000000"/>
                <w:sz w:val="14"/>
                <w:szCs w:val="14"/>
              </w:rPr>
              <w:t xml:space="preserve"> kusov</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SD</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6 494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NČZD na kúpeľníctvo</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DPFO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1 617</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1 741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1 915</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2 056</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Samostatné odpisovanie technického zhodnotenia - kúpeľníctvo</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DPPO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2 721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3 289</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3 289</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3 289</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Daň z tabaku - zvýšenie SD na cigarety a tabak od 1.2.2017</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SD</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23 478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2 166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Daň z liehu - znížená sadzba pre domáce pálenie</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SD</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3 473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3 540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3 593</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Podpora vedy a výskumu</w:t>
            </w:r>
          </w:p>
        </w:tc>
        <w:tc>
          <w:tcPr>
            <w:tcW w:w="592"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-38 511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-38 044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-30 563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-28 186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-25 450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-23 108</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Úľava na dani pre príjemcov IP</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DPPO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-40 380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-39 976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-39 576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-39 180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-38 789</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-38 401</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Úľava na dani VaV</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DPPO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Úľava na dani (superodpočet VaV)</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DPPO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1 869</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1 932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9 013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10 994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13 339</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15 293</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Podpora vzdelávania</w:t>
            </w:r>
          </w:p>
        </w:tc>
        <w:tc>
          <w:tcPr>
            <w:tcW w:w="592"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6 381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6 967</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7 477</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7 847</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8 262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8 679</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Znížená sadzba dane na knihy</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DPH</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6 381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6 967</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7 477</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7 847</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8 262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8 679</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Podpora zdravia</w:t>
            </w:r>
          </w:p>
        </w:tc>
        <w:tc>
          <w:tcPr>
            <w:tcW w:w="592"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126 171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137 758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147 840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155 154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163 360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171 602</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Znížená sadzba DPH na lieky</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DPH</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113 410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123 825</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132 887</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139 462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146 838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154 246</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Znížená sadzba DPH na vybrané zdravotnícke pomôcky</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DPH</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12 761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13 932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14 952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15 692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16 522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17 355</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Podpora bývania</w:t>
            </w:r>
          </w:p>
        </w:tc>
        <w:tc>
          <w:tcPr>
            <w:tcW w:w="592"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3 811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4 004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5 131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9 783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16 999</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24 056</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Oslobodenie príjmu z prenájmu do 500 eur</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DPFO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3 811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4 004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4 251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4 520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4 801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5 061</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Daňový bonus na hypotéky</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DPFO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880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5 263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12 198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18 995</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Podpora kapitálu, úspor a investícii</w:t>
            </w:r>
          </w:p>
        </w:tc>
        <w:tc>
          <w:tcPr>
            <w:tcW w:w="592"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64 440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71 134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8 808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11 679</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15 926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sz w:val="14"/>
                <w:szCs w:val="14"/>
              </w:rPr>
            </w:pPr>
            <w:r w:rsidRPr="0060215F">
              <w:rPr>
                <w:rFonts w:ascii="Times New Roman" w:hAnsi="Times New Roman" w:cs="Times New Roman"/>
                <w:b/>
                <w:bCs/>
                <w:sz w:val="14"/>
                <w:szCs w:val="14"/>
              </w:rPr>
              <w:t>22 043</w:t>
            </w:r>
          </w:p>
        </w:tc>
      </w:tr>
      <w:tr w:rsidR="00CA25F9" w:rsidRPr="0060215F" w:rsidTr="0060215F">
        <w:trPr>
          <w:trHeight w:val="113"/>
        </w:trPr>
        <w:tc>
          <w:tcPr>
            <w:tcW w:w="4896" w:type="dxa"/>
            <w:shd w:val="clear" w:color="auto" w:fill="auto"/>
            <w:vAlign w:val="center"/>
            <w:hideMark/>
          </w:tcPr>
          <w:p w:rsidR="00CA25F9" w:rsidRPr="0060215F" w:rsidRDefault="00CA25F9" w:rsidP="00DF0EF9">
            <w:pPr>
              <w:ind w:firstLineChars="100" w:firstLine="140"/>
              <w:rPr>
                <w:rFonts w:ascii="Times New Roman" w:hAnsi="Times New Roman" w:cs="Times New Roman"/>
                <w:sz w:val="14"/>
                <w:szCs w:val="14"/>
              </w:rPr>
            </w:pPr>
            <w:r w:rsidRPr="0060215F">
              <w:rPr>
                <w:rFonts w:ascii="Times New Roman" w:hAnsi="Times New Roman" w:cs="Times New Roman"/>
                <w:sz w:val="14"/>
                <w:szCs w:val="14"/>
              </w:rPr>
              <w:t>Oslobodenie príjmu z prevodu opcií, cenných papierov a podielov (účastí) na s.r.o., k.s. a v družstve do výšky 500 eur</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DPFO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152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159</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169</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180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191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201</w:t>
            </w:r>
          </w:p>
        </w:tc>
      </w:tr>
      <w:tr w:rsidR="00CA25F9" w:rsidRPr="0060215F" w:rsidTr="0060215F">
        <w:trPr>
          <w:trHeight w:val="113"/>
        </w:trPr>
        <w:tc>
          <w:tcPr>
            <w:tcW w:w="4896" w:type="dxa"/>
            <w:shd w:val="clear" w:color="auto" w:fill="auto"/>
            <w:vAlign w:val="center"/>
            <w:hideMark/>
          </w:tcPr>
          <w:p w:rsidR="00CA25F9" w:rsidRPr="0060215F" w:rsidRDefault="00CA25F9" w:rsidP="00DF0EF9">
            <w:pPr>
              <w:ind w:firstLineChars="100" w:firstLine="140"/>
              <w:rPr>
                <w:rFonts w:ascii="Times New Roman" w:hAnsi="Times New Roman" w:cs="Times New Roman"/>
                <w:sz w:val="14"/>
                <w:szCs w:val="14"/>
              </w:rPr>
            </w:pPr>
            <w:r w:rsidRPr="0060215F">
              <w:rPr>
                <w:rFonts w:ascii="Times New Roman" w:hAnsi="Times New Roman" w:cs="Times New Roman"/>
                <w:sz w:val="14"/>
                <w:szCs w:val="14"/>
              </w:rPr>
              <w:t>NČZD na DDS, životné poistenie a účelové sporenie</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DPFO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1 750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2 796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4 477</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7 081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11 038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16 846</w:t>
            </w:r>
          </w:p>
        </w:tc>
      </w:tr>
      <w:tr w:rsidR="00CA25F9" w:rsidRPr="0060215F" w:rsidTr="0060215F">
        <w:trPr>
          <w:trHeight w:val="113"/>
        </w:trPr>
        <w:tc>
          <w:tcPr>
            <w:tcW w:w="4896" w:type="dxa"/>
            <w:shd w:val="clear" w:color="auto" w:fill="auto"/>
            <w:vAlign w:val="center"/>
            <w:hideMark/>
          </w:tcPr>
          <w:p w:rsidR="00CA25F9" w:rsidRPr="0060215F" w:rsidRDefault="00CA25F9" w:rsidP="00DF0EF9">
            <w:pPr>
              <w:ind w:firstLineChars="100" w:firstLine="140"/>
              <w:rPr>
                <w:rFonts w:ascii="Times New Roman" w:hAnsi="Times New Roman" w:cs="Times New Roman"/>
                <w:sz w:val="14"/>
                <w:szCs w:val="14"/>
              </w:rPr>
            </w:pPr>
            <w:r w:rsidRPr="0060215F">
              <w:rPr>
                <w:rFonts w:ascii="Times New Roman" w:hAnsi="Times New Roman" w:cs="Times New Roman"/>
                <w:sz w:val="14"/>
                <w:szCs w:val="14"/>
              </w:rPr>
              <w:t>NČZD pre dobrovoľné príspevky (2</w:t>
            </w:r>
            <w:r w:rsidR="00711D59">
              <w:rPr>
                <w:rFonts w:ascii="Times New Roman" w:hAnsi="Times New Roman" w:cs="Times New Roman"/>
                <w:sz w:val="14"/>
                <w:szCs w:val="14"/>
              </w:rPr>
              <w:t xml:space="preserve"> </w:t>
            </w:r>
            <w:r w:rsidRPr="0060215F">
              <w:rPr>
                <w:rFonts w:ascii="Times New Roman" w:hAnsi="Times New Roman" w:cs="Times New Roman"/>
                <w:sz w:val="14"/>
                <w:szCs w:val="14"/>
              </w:rPr>
              <w:t>%) do II. piliera</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DPFO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9 787</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10 234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0</w:t>
            </w:r>
          </w:p>
        </w:tc>
      </w:tr>
      <w:tr w:rsidR="00CA25F9" w:rsidRPr="0060215F" w:rsidTr="0060215F">
        <w:trPr>
          <w:trHeight w:val="113"/>
        </w:trPr>
        <w:tc>
          <w:tcPr>
            <w:tcW w:w="4896" w:type="dxa"/>
            <w:shd w:val="clear" w:color="auto" w:fill="auto"/>
            <w:vAlign w:val="center"/>
            <w:hideMark/>
          </w:tcPr>
          <w:p w:rsidR="00CA25F9" w:rsidRPr="0060215F" w:rsidRDefault="00CA25F9" w:rsidP="00DF0EF9">
            <w:pPr>
              <w:ind w:firstLineChars="100" w:firstLine="140"/>
              <w:rPr>
                <w:rFonts w:ascii="Times New Roman" w:hAnsi="Times New Roman" w:cs="Times New Roman"/>
                <w:sz w:val="14"/>
                <w:szCs w:val="14"/>
              </w:rPr>
            </w:pPr>
            <w:r w:rsidRPr="0060215F">
              <w:rPr>
                <w:rFonts w:ascii="Times New Roman" w:hAnsi="Times New Roman" w:cs="Times New Roman"/>
                <w:sz w:val="14"/>
                <w:szCs w:val="14"/>
              </w:rPr>
              <w:t xml:space="preserve">Oslobodenie príjmov z predaja CP prijatých na obchodovanie na burze </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DPFO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2 181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2 297</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2 428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2 582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2 749</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2 928</w:t>
            </w:r>
          </w:p>
        </w:tc>
      </w:tr>
      <w:tr w:rsidR="00CA25F9" w:rsidRPr="0060215F" w:rsidTr="0060215F">
        <w:trPr>
          <w:trHeight w:val="113"/>
        </w:trPr>
        <w:tc>
          <w:tcPr>
            <w:tcW w:w="4896" w:type="dxa"/>
            <w:shd w:val="clear" w:color="auto" w:fill="auto"/>
            <w:vAlign w:val="center"/>
            <w:hideMark/>
          </w:tcPr>
          <w:p w:rsidR="00CA25F9" w:rsidRPr="0060215F" w:rsidRDefault="00CA25F9" w:rsidP="00DF0EF9">
            <w:pPr>
              <w:ind w:firstLineChars="100" w:firstLine="140"/>
              <w:rPr>
                <w:rFonts w:ascii="Times New Roman" w:hAnsi="Times New Roman" w:cs="Times New Roman"/>
                <w:sz w:val="14"/>
                <w:szCs w:val="14"/>
              </w:rPr>
            </w:pPr>
            <w:r w:rsidRPr="0060215F">
              <w:rPr>
                <w:rFonts w:ascii="Times New Roman" w:hAnsi="Times New Roman" w:cs="Times New Roman"/>
                <w:sz w:val="14"/>
                <w:szCs w:val="14"/>
              </w:rPr>
              <w:t>Osobitný základ dane pre príjmy z kapitálového majetku</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DPFO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116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116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116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116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116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116</w:t>
            </w:r>
          </w:p>
        </w:tc>
      </w:tr>
      <w:tr w:rsidR="00CA25F9" w:rsidRPr="0060215F" w:rsidTr="0060215F">
        <w:trPr>
          <w:trHeight w:val="113"/>
        </w:trPr>
        <w:tc>
          <w:tcPr>
            <w:tcW w:w="4896" w:type="dxa"/>
            <w:shd w:val="clear" w:color="auto" w:fill="auto"/>
            <w:vAlign w:val="center"/>
            <w:hideMark/>
          </w:tcPr>
          <w:p w:rsidR="00CA25F9" w:rsidRPr="0060215F" w:rsidRDefault="00CA25F9" w:rsidP="00DF0EF9">
            <w:pPr>
              <w:ind w:firstLineChars="100" w:firstLine="140"/>
              <w:rPr>
                <w:rFonts w:ascii="Times New Roman" w:hAnsi="Times New Roman" w:cs="Times New Roman"/>
                <w:sz w:val="14"/>
                <w:szCs w:val="14"/>
              </w:rPr>
            </w:pPr>
            <w:r w:rsidRPr="0060215F">
              <w:rPr>
                <w:rFonts w:ascii="Times New Roman" w:hAnsi="Times New Roman" w:cs="Times New Roman"/>
                <w:sz w:val="14"/>
                <w:szCs w:val="14"/>
              </w:rPr>
              <w:t>Dlhodobé investičné sporenie</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DPFO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1 454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1 531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1 619</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1 721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1 832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1 952</w:t>
            </w:r>
          </w:p>
        </w:tc>
      </w:tr>
      <w:tr w:rsidR="00CA25F9" w:rsidRPr="0060215F" w:rsidTr="0060215F">
        <w:trPr>
          <w:trHeight w:val="113"/>
        </w:trPr>
        <w:tc>
          <w:tcPr>
            <w:tcW w:w="4896" w:type="dxa"/>
            <w:shd w:val="clear" w:color="auto" w:fill="auto"/>
            <w:vAlign w:val="center"/>
            <w:hideMark/>
          </w:tcPr>
          <w:p w:rsidR="00CA25F9" w:rsidRPr="0060215F" w:rsidRDefault="00CA25F9" w:rsidP="00DF0EF9">
            <w:pPr>
              <w:ind w:firstLineChars="100" w:firstLine="140"/>
              <w:rPr>
                <w:rFonts w:ascii="Times New Roman" w:hAnsi="Times New Roman" w:cs="Times New Roman"/>
                <w:sz w:val="14"/>
                <w:szCs w:val="14"/>
              </w:rPr>
            </w:pPr>
            <w:r w:rsidRPr="0060215F">
              <w:rPr>
                <w:rFonts w:ascii="Times New Roman" w:hAnsi="Times New Roman" w:cs="Times New Roman"/>
                <w:sz w:val="14"/>
                <w:szCs w:val="14"/>
              </w:rPr>
              <w:t>Zavedenie dane z dividend</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DvZ</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49 000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54 000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0</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Iné</w:t>
            </w:r>
          </w:p>
        </w:tc>
        <w:tc>
          <w:tcPr>
            <w:tcW w:w="592"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229 893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88 045</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94 057</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95 964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101 510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44 758</w:t>
            </w:r>
          </w:p>
        </w:tc>
      </w:tr>
      <w:tr w:rsidR="00CA25F9" w:rsidRPr="0060215F" w:rsidTr="0060215F">
        <w:trPr>
          <w:trHeight w:val="113"/>
        </w:trPr>
        <w:tc>
          <w:tcPr>
            <w:tcW w:w="4896" w:type="dxa"/>
            <w:shd w:val="clear" w:color="auto" w:fill="auto"/>
            <w:vAlign w:val="center"/>
            <w:hideMark/>
          </w:tcPr>
          <w:p w:rsidR="00CA25F9" w:rsidRPr="0060215F" w:rsidRDefault="00CA25F9" w:rsidP="00DF0EF9">
            <w:pPr>
              <w:ind w:firstLineChars="100" w:firstLine="140"/>
              <w:rPr>
                <w:rFonts w:ascii="Times New Roman" w:hAnsi="Times New Roman" w:cs="Times New Roman"/>
                <w:sz w:val="14"/>
                <w:szCs w:val="14"/>
              </w:rPr>
            </w:pPr>
            <w:r w:rsidRPr="0060215F">
              <w:rPr>
                <w:rFonts w:ascii="Times New Roman" w:hAnsi="Times New Roman" w:cs="Times New Roman"/>
                <w:sz w:val="14"/>
                <w:szCs w:val="14"/>
              </w:rPr>
              <w:t>Nezdanenie paušálnych náhrad</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DPFO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931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966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1 011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1 073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1 141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1 212</w:t>
            </w:r>
          </w:p>
        </w:tc>
      </w:tr>
      <w:tr w:rsidR="00CA25F9" w:rsidRPr="0060215F" w:rsidTr="0060215F">
        <w:trPr>
          <w:trHeight w:val="113"/>
        </w:trPr>
        <w:tc>
          <w:tcPr>
            <w:tcW w:w="4896" w:type="dxa"/>
            <w:shd w:val="clear" w:color="auto" w:fill="auto"/>
            <w:vAlign w:val="center"/>
            <w:hideMark/>
          </w:tcPr>
          <w:p w:rsidR="00CA25F9" w:rsidRPr="0060215F" w:rsidRDefault="00CA25F9" w:rsidP="00DF0EF9">
            <w:pPr>
              <w:ind w:firstLineChars="100" w:firstLine="140"/>
              <w:rPr>
                <w:rFonts w:ascii="Times New Roman" w:hAnsi="Times New Roman" w:cs="Times New Roman"/>
                <w:sz w:val="14"/>
                <w:szCs w:val="14"/>
              </w:rPr>
            </w:pPr>
            <w:r w:rsidRPr="0060215F">
              <w:rPr>
                <w:rFonts w:ascii="Times New Roman" w:hAnsi="Times New Roman" w:cs="Times New Roman"/>
                <w:sz w:val="14"/>
                <w:szCs w:val="14"/>
              </w:rPr>
              <w:t>Oslobodenie výhier do výšky 350 eur mesačne</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DPFO, SP, ZP</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894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898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902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906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910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914</w:t>
            </w:r>
          </w:p>
        </w:tc>
      </w:tr>
      <w:tr w:rsidR="00CA25F9" w:rsidRPr="0060215F" w:rsidTr="0060215F">
        <w:trPr>
          <w:trHeight w:val="113"/>
        </w:trPr>
        <w:tc>
          <w:tcPr>
            <w:tcW w:w="4896" w:type="dxa"/>
            <w:shd w:val="clear" w:color="auto" w:fill="auto"/>
            <w:vAlign w:val="center"/>
            <w:hideMark/>
          </w:tcPr>
          <w:p w:rsidR="00CA25F9" w:rsidRPr="0060215F" w:rsidRDefault="00CA25F9" w:rsidP="00DF0EF9">
            <w:pPr>
              <w:ind w:firstLineChars="100" w:firstLine="140"/>
              <w:rPr>
                <w:rFonts w:ascii="Times New Roman" w:hAnsi="Times New Roman" w:cs="Times New Roman"/>
                <w:sz w:val="14"/>
                <w:szCs w:val="14"/>
              </w:rPr>
            </w:pPr>
            <w:r w:rsidRPr="0060215F">
              <w:rPr>
                <w:rFonts w:ascii="Times New Roman" w:hAnsi="Times New Roman" w:cs="Times New Roman"/>
                <w:sz w:val="14"/>
                <w:szCs w:val="14"/>
              </w:rPr>
              <w:t>Oslobodenie príplatkov sudcov a prokurátorov od dane</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DPFO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65</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68</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71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75</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80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85</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Daň z liehu - znížená sadzba pre pestovateľské pálenie</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SD</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7 622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6 704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6 902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3 473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3 540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3 593</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 xml:space="preserve">Oslobodenie deputátov a </w:t>
            </w:r>
            <w:r w:rsidR="00711D59" w:rsidRPr="0060215F">
              <w:rPr>
                <w:rFonts w:ascii="Times New Roman" w:hAnsi="Times New Roman" w:cs="Times New Roman"/>
                <w:color w:val="000000"/>
                <w:sz w:val="14"/>
                <w:szCs w:val="14"/>
              </w:rPr>
              <w:t>iných</w:t>
            </w:r>
            <w:r w:rsidRPr="0060215F">
              <w:rPr>
                <w:rFonts w:ascii="Times New Roman" w:hAnsi="Times New Roman" w:cs="Times New Roman"/>
                <w:color w:val="000000"/>
                <w:sz w:val="14"/>
                <w:szCs w:val="14"/>
              </w:rPr>
              <w:t xml:space="preserve"> nepeňažných príjmov</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SP, ZP</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84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79</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74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70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66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62</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Znížené maximálne vymeriavacie základy na odvody</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SP, ZP</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149 654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 xml:space="preserve">Ročné zúčtovanie sociálnych odvodov </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SP</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45 440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48 089</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51 724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55 261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58 831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Pravidlá nízkej kapitalizácie</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DPPO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25 202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26 740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28 373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30 104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31 942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33 891</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Oslobodenie príjmov pre krízové situácie od DPPO</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DPPO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4 500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5 000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5 000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5 000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5 000</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Negatívne daňové výdavky</w:t>
            </w:r>
          </w:p>
        </w:tc>
        <w:tc>
          <w:tcPr>
            <w:tcW w:w="592" w:type="dxa"/>
            <w:shd w:val="clear" w:color="auto" w:fill="auto"/>
            <w:noWrap/>
            <w:vAlign w:val="bottom"/>
            <w:hideMark/>
          </w:tcPr>
          <w:p w:rsidR="00CA25F9" w:rsidRPr="0060215F" w:rsidRDefault="00CA25F9" w:rsidP="00DF0EF9">
            <w:pPr>
              <w:rPr>
                <w:rFonts w:ascii="Times New Roman" w:hAnsi="Times New Roman" w:cs="Times New Roman"/>
                <w:b/>
                <w:bCs/>
                <w:color w:val="000000"/>
                <w:sz w:val="14"/>
                <w:szCs w:val="14"/>
              </w:rPr>
            </w:pP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-127 777</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-128 825</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-20 425</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-19 049</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-17 770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b/>
                <w:bCs/>
                <w:color w:val="000000"/>
                <w:sz w:val="14"/>
                <w:szCs w:val="14"/>
              </w:rPr>
            </w:pPr>
            <w:r w:rsidRPr="0060215F">
              <w:rPr>
                <w:rFonts w:ascii="Times New Roman" w:hAnsi="Times New Roman" w:cs="Times New Roman"/>
                <w:b/>
                <w:bCs/>
                <w:color w:val="000000"/>
                <w:sz w:val="14"/>
                <w:szCs w:val="14"/>
              </w:rPr>
              <w:t>-16 580</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Osobitná sadzba dane pre vybraných ústavných činiteľov</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DPFO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-241</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-252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-263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-276</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-290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sz w:val="14"/>
                <w:szCs w:val="14"/>
              </w:rPr>
            </w:pPr>
            <w:r w:rsidRPr="0060215F">
              <w:rPr>
                <w:rFonts w:ascii="Times New Roman" w:hAnsi="Times New Roman" w:cs="Times New Roman"/>
                <w:sz w:val="14"/>
                <w:szCs w:val="14"/>
              </w:rPr>
              <w:t>-303</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Daňová licencia - negatívny daňový výdavok</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DPPO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-103 472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-106 050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Obmedzenie umorovania strát</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DPPO</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-23 254</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-21 653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-20 162</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-18 773</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-17 480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-16 276</w:t>
            </w:r>
          </w:p>
        </w:tc>
      </w:tr>
      <w:tr w:rsidR="00CA25F9" w:rsidRPr="0060215F" w:rsidTr="0060215F">
        <w:trPr>
          <w:trHeight w:val="113"/>
        </w:trPr>
        <w:tc>
          <w:tcPr>
            <w:tcW w:w="4896" w:type="dxa"/>
            <w:shd w:val="clear" w:color="auto" w:fill="auto"/>
            <w:noWrap/>
            <w:vAlign w:val="center"/>
            <w:hideMark/>
          </w:tcPr>
          <w:p w:rsidR="00CA25F9" w:rsidRPr="0060215F" w:rsidRDefault="00CA25F9" w:rsidP="00DF0EF9">
            <w:pPr>
              <w:ind w:firstLineChars="100" w:firstLine="140"/>
              <w:rPr>
                <w:rFonts w:ascii="Times New Roman" w:hAnsi="Times New Roman" w:cs="Times New Roman"/>
                <w:color w:val="000000"/>
                <w:sz w:val="14"/>
                <w:szCs w:val="14"/>
              </w:rPr>
            </w:pPr>
            <w:r w:rsidRPr="0060215F">
              <w:rPr>
                <w:rFonts w:ascii="Times New Roman" w:hAnsi="Times New Roman" w:cs="Times New Roman"/>
                <w:color w:val="000000"/>
                <w:sz w:val="14"/>
                <w:szCs w:val="14"/>
              </w:rPr>
              <w:t>Daň z minerálneho oleja - zmena sadzieb od 1.1.2018 (ich zjednotenie)</w:t>
            </w:r>
          </w:p>
        </w:tc>
        <w:tc>
          <w:tcPr>
            <w:tcW w:w="592"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SD</w:t>
            </w:r>
          </w:p>
        </w:tc>
        <w:tc>
          <w:tcPr>
            <w:tcW w:w="666"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-810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-870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c>
          <w:tcPr>
            <w:tcW w:w="667" w:type="dxa"/>
            <w:shd w:val="clear" w:color="auto" w:fill="auto"/>
            <w:noWrap/>
            <w:vAlign w:val="center"/>
            <w:hideMark/>
          </w:tcPr>
          <w:p w:rsidR="00CA25F9" w:rsidRPr="0060215F" w:rsidRDefault="00CA25F9" w:rsidP="00DF0EF9">
            <w:pPr>
              <w:jc w:val="center"/>
              <w:rPr>
                <w:rFonts w:ascii="Times New Roman" w:hAnsi="Times New Roman" w:cs="Times New Roman"/>
                <w:color w:val="000000"/>
                <w:sz w:val="14"/>
                <w:szCs w:val="14"/>
              </w:rPr>
            </w:pPr>
            <w:r w:rsidRPr="0060215F">
              <w:rPr>
                <w:rFonts w:ascii="Times New Roman" w:hAnsi="Times New Roman" w:cs="Times New Roman"/>
                <w:color w:val="000000"/>
                <w:sz w:val="14"/>
                <w:szCs w:val="14"/>
              </w:rPr>
              <w:t>0</w:t>
            </w:r>
          </w:p>
        </w:tc>
      </w:tr>
    </w:tbl>
    <w:p w:rsidR="00B21114" w:rsidRPr="00B21114" w:rsidRDefault="00B21114" w:rsidP="00B21114">
      <w:pPr>
        <w:pStyle w:val="Nadpis2"/>
        <w:rPr>
          <w:rFonts w:ascii="Times New Roman" w:hAnsi="Times New Roman"/>
          <w:i w:val="0"/>
          <w:sz w:val="24"/>
        </w:rPr>
      </w:pPr>
      <w:bookmarkStart w:id="50" w:name="_Toc526273188"/>
      <w:r w:rsidRPr="002D5B22">
        <w:rPr>
          <w:rFonts w:ascii="Times New Roman" w:hAnsi="Times New Roman"/>
          <w:i w:val="0"/>
          <w:sz w:val="24"/>
        </w:rPr>
        <w:lastRenderedPageBreak/>
        <w:t>3.6. Jednorazové</w:t>
      </w:r>
      <w:r w:rsidR="00E944E8" w:rsidRPr="002D5B22">
        <w:rPr>
          <w:rFonts w:ascii="Times New Roman" w:hAnsi="Times New Roman"/>
          <w:i w:val="0"/>
          <w:sz w:val="24"/>
        </w:rPr>
        <w:t xml:space="preserve"> a dočasné</w:t>
      </w:r>
      <w:r w:rsidRPr="002D5B22">
        <w:rPr>
          <w:rFonts w:ascii="Times New Roman" w:hAnsi="Times New Roman"/>
          <w:i w:val="0"/>
          <w:sz w:val="24"/>
        </w:rPr>
        <w:t xml:space="preserve"> opatrenia</w:t>
      </w:r>
      <w:bookmarkEnd w:id="50"/>
      <w:r w:rsidRPr="00B21114">
        <w:rPr>
          <w:rFonts w:ascii="Times New Roman" w:hAnsi="Times New Roman"/>
          <w:i w:val="0"/>
          <w:sz w:val="24"/>
        </w:rPr>
        <w:t xml:space="preserve"> </w:t>
      </w:r>
    </w:p>
    <w:p w:rsidR="00EA2CDB" w:rsidRDefault="00EA2CDB" w:rsidP="00577641">
      <w:pPr>
        <w:ind w:firstLine="708"/>
        <w:contextualSpacing/>
        <w:jc w:val="both"/>
        <w:rPr>
          <w:rFonts w:ascii="Times New Roman" w:hAnsi="Times New Roman" w:cs="Times New Roman"/>
        </w:rPr>
      </w:pPr>
    </w:p>
    <w:p w:rsidR="0011703B" w:rsidRPr="00531E3B" w:rsidRDefault="0011703B" w:rsidP="0011703B">
      <w:pPr>
        <w:ind w:firstLine="708"/>
        <w:contextualSpacing/>
        <w:jc w:val="both"/>
        <w:rPr>
          <w:rFonts w:ascii="Times New Roman" w:hAnsi="Times New Roman" w:cs="Times New Roman"/>
          <w:sz w:val="22"/>
          <w:szCs w:val="22"/>
        </w:rPr>
      </w:pPr>
      <w:r w:rsidRPr="00531E3B">
        <w:rPr>
          <w:rFonts w:ascii="Times New Roman" w:hAnsi="Times New Roman" w:cs="Times New Roman"/>
          <w:sz w:val="22"/>
          <w:szCs w:val="22"/>
        </w:rPr>
        <w:t>Na základe definície uvedenej v zákone o rozpočtových pravidlách verejnej správy sa jednorazovým vplyvom rozumie príjem alebo výdavok, ktorý nemá trvalý alebo opakujúci sa charakter a má časovo obmedzený vplyv na saldo rozpočtu verejnej správy. Všeobecná definícia neumožňuje jednoznačne určiť či ide o jednorazové opatrenia alebo nie. MF SR pripravilo podrobnejší manuál</w:t>
      </w:r>
      <w:r w:rsidRPr="00531E3B">
        <w:rPr>
          <w:rStyle w:val="Odkaznapoznmkupodiarou"/>
          <w:rFonts w:ascii="Times New Roman" w:hAnsi="Times New Roman"/>
          <w:sz w:val="22"/>
          <w:szCs w:val="22"/>
        </w:rPr>
        <w:footnoteReference w:id="16"/>
      </w:r>
      <w:r w:rsidRPr="00531E3B">
        <w:rPr>
          <w:rFonts w:ascii="Times New Roman" w:hAnsi="Times New Roman" w:cs="Times New Roman"/>
          <w:sz w:val="22"/>
          <w:szCs w:val="22"/>
        </w:rPr>
        <w:t xml:space="preserve">, ktorý sa venuje problematike jednorazových opatrení. </w:t>
      </w:r>
      <w:r>
        <w:rPr>
          <w:rFonts w:ascii="Times New Roman" w:hAnsi="Times New Roman" w:cs="Times New Roman"/>
          <w:sz w:val="22"/>
          <w:szCs w:val="22"/>
        </w:rPr>
        <w:t xml:space="preserve"> </w:t>
      </w:r>
    </w:p>
    <w:p w:rsidR="00C11562" w:rsidRPr="007425F7" w:rsidRDefault="00C11562" w:rsidP="00C11562">
      <w:pPr>
        <w:contextualSpacing/>
        <w:jc w:val="both"/>
        <w:rPr>
          <w:rFonts w:ascii="Times New Roman" w:hAnsi="Times New Roman" w:cs="Times New Roman"/>
        </w:rPr>
      </w:pPr>
    </w:p>
    <w:tbl>
      <w:tblPr>
        <w:tblW w:w="5003" w:type="pct"/>
        <w:tblInd w:w="-5" w:type="dxa"/>
        <w:tblLayout w:type="fixed"/>
        <w:tblLook w:val="04A0" w:firstRow="1" w:lastRow="0" w:firstColumn="1" w:lastColumn="0" w:noHBand="0" w:noVBand="1"/>
      </w:tblPr>
      <w:tblGrid>
        <w:gridCol w:w="2676"/>
        <w:gridCol w:w="914"/>
        <w:gridCol w:w="914"/>
        <w:gridCol w:w="914"/>
        <w:gridCol w:w="914"/>
        <w:gridCol w:w="916"/>
        <w:gridCol w:w="910"/>
        <w:gridCol w:w="909"/>
      </w:tblGrid>
      <w:tr w:rsidR="00C11562" w:rsidRPr="007425F7" w:rsidTr="00963F86">
        <w:trPr>
          <w:trHeight w:val="426"/>
        </w:trPr>
        <w:tc>
          <w:tcPr>
            <w:tcW w:w="5000" w:type="pct"/>
            <w:gridSpan w:val="8"/>
            <w:tcBorders>
              <w:top w:val="single" w:sz="4" w:space="0" w:color="auto"/>
              <w:left w:val="single" w:sz="4" w:space="0" w:color="auto"/>
              <w:bottom w:val="single" w:sz="4" w:space="0" w:color="auto"/>
              <w:right w:val="single" w:sz="4" w:space="0" w:color="auto"/>
            </w:tcBorders>
            <w:shd w:val="clear" w:color="auto" w:fill="A6A6A6"/>
            <w:vAlign w:val="center"/>
          </w:tcPr>
          <w:p w:rsidR="00C11562" w:rsidRPr="007425F7" w:rsidRDefault="00C11562" w:rsidP="00963F86">
            <w:pPr>
              <w:rPr>
                <w:rFonts w:ascii="Times New Roman" w:hAnsi="Times New Roman" w:cs="Times New Roman"/>
                <w:b/>
                <w:bCs/>
                <w:sz w:val="14"/>
                <w:szCs w:val="14"/>
                <w:lang w:eastAsia="en-US"/>
              </w:rPr>
            </w:pPr>
            <w:r w:rsidRPr="007425F7">
              <w:rPr>
                <w:rFonts w:ascii="Times New Roman" w:hAnsi="Times New Roman" w:cs="Times New Roman"/>
                <w:b/>
                <w:bCs/>
                <w:sz w:val="14"/>
                <w:szCs w:val="14"/>
                <w:lang w:eastAsia="en-US"/>
              </w:rPr>
              <w:t>Jednorazové a dočasné opatrenia (ESA 2010, v mil. eur)</w:t>
            </w:r>
          </w:p>
        </w:tc>
      </w:tr>
      <w:tr w:rsidR="00994A96" w:rsidRPr="007425F7" w:rsidTr="00963F86">
        <w:trPr>
          <w:trHeight w:val="224"/>
        </w:trPr>
        <w:tc>
          <w:tcPr>
            <w:tcW w:w="1476"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994A96" w:rsidRPr="007425F7" w:rsidRDefault="00994A96" w:rsidP="00994A96">
            <w:pPr>
              <w:rPr>
                <w:rFonts w:ascii="Times New Roman" w:hAnsi="Times New Roman" w:cs="Times New Roman"/>
                <w:sz w:val="14"/>
                <w:szCs w:val="14"/>
                <w:lang w:eastAsia="en-US"/>
              </w:rPr>
            </w:pPr>
          </w:p>
        </w:tc>
        <w:tc>
          <w:tcPr>
            <w:tcW w:w="504"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994A96" w:rsidRPr="007425F7" w:rsidRDefault="00994A96" w:rsidP="00994A96">
            <w:pPr>
              <w:jc w:val="center"/>
              <w:rPr>
                <w:rFonts w:ascii="Times New Roman" w:hAnsi="Times New Roman" w:cs="Times New Roman"/>
                <w:b/>
                <w:bCs/>
                <w:sz w:val="14"/>
                <w:szCs w:val="14"/>
                <w:lang w:eastAsia="en-US"/>
              </w:rPr>
            </w:pPr>
            <w:r>
              <w:rPr>
                <w:rFonts w:ascii="Times New Roman" w:hAnsi="Times New Roman" w:cs="Times New Roman"/>
                <w:b/>
                <w:bCs/>
                <w:sz w:val="14"/>
                <w:szCs w:val="14"/>
                <w:lang w:eastAsia="en-US"/>
              </w:rPr>
              <w:t>2016 S</w:t>
            </w:r>
          </w:p>
        </w:tc>
        <w:tc>
          <w:tcPr>
            <w:tcW w:w="504" w:type="pct"/>
            <w:tcBorders>
              <w:top w:val="single" w:sz="4" w:space="0" w:color="auto"/>
              <w:left w:val="nil"/>
              <w:bottom w:val="single" w:sz="4" w:space="0" w:color="auto"/>
              <w:right w:val="single" w:sz="4" w:space="0" w:color="auto"/>
            </w:tcBorders>
            <w:shd w:val="clear" w:color="000000" w:fill="BFBFBF"/>
            <w:noWrap/>
            <w:vAlign w:val="center"/>
            <w:hideMark/>
          </w:tcPr>
          <w:p w:rsidR="00994A96" w:rsidRPr="007425F7" w:rsidRDefault="00994A96" w:rsidP="00994A96">
            <w:pPr>
              <w:jc w:val="center"/>
              <w:rPr>
                <w:rFonts w:ascii="Times New Roman" w:hAnsi="Times New Roman" w:cs="Times New Roman"/>
                <w:b/>
                <w:bCs/>
                <w:sz w:val="14"/>
                <w:szCs w:val="14"/>
                <w:lang w:eastAsia="en-US"/>
              </w:rPr>
            </w:pPr>
            <w:r>
              <w:rPr>
                <w:rFonts w:ascii="Times New Roman" w:hAnsi="Times New Roman" w:cs="Times New Roman"/>
                <w:b/>
                <w:bCs/>
                <w:sz w:val="14"/>
                <w:szCs w:val="14"/>
                <w:lang w:eastAsia="en-US"/>
              </w:rPr>
              <w:t>2017 S</w:t>
            </w:r>
          </w:p>
        </w:tc>
        <w:tc>
          <w:tcPr>
            <w:tcW w:w="504" w:type="pct"/>
            <w:tcBorders>
              <w:top w:val="single" w:sz="4" w:space="0" w:color="auto"/>
              <w:left w:val="nil"/>
              <w:bottom w:val="single" w:sz="4" w:space="0" w:color="auto"/>
              <w:right w:val="single" w:sz="4" w:space="0" w:color="auto"/>
            </w:tcBorders>
            <w:shd w:val="clear" w:color="000000" w:fill="BFBFBF"/>
            <w:noWrap/>
            <w:vAlign w:val="center"/>
            <w:hideMark/>
          </w:tcPr>
          <w:p w:rsidR="00994A96" w:rsidRPr="007425F7" w:rsidRDefault="00994A96" w:rsidP="00994A96">
            <w:pPr>
              <w:jc w:val="center"/>
              <w:rPr>
                <w:rFonts w:ascii="Times New Roman" w:hAnsi="Times New Roman" w:cs="Times New Roman"/>
                <w:b/>
                <w:bCs/>
                <w:sz w:val="14"/>
                <w:szCs w:val="14"/>
                <w:lang w:eastAsia="en-US"/>
              </w:rPr>
            </w:pPr>
            <w:r>
              <w:rPr>
                <w:rFonts w:ascii="Times New Roman" w:hAnsi="Times New Roman" w:cs="Times New Roman"/>
                <w:b/>
                <w:bCs/>
                <w:sz w:val="14"/>
                <w:szCs w:val="14"/>
                <w:lang w:eastAsia="en-US"/>
              </w:rPr>
              <w:t>2018</w:t>
            </w:r>
            <w:r w:rsidRPr="007425F7">
              <w:rPr>
                <w:rFonts w:ascii="Times New Roman" w:hAnsi="Times New Roman" w:cs="Times New Roman"/>
                <w:b/>
                <w:bCs/>
                <w:sz w:val="14"/>
                <w:szCs w:val="14"/>
                <w:lang w:eastAsia="en-US"/>
              </w:rPr>
              <w:t xml:space="preserve"> </w:t>
            </w:r>
            <w:r>
              <w:rPr>
                <w:rFonts w:ascii="Times New Roman" w:hAnsi="Times New Roman" w:cs="Times New Roman"/>
                <w:b/>
                <w:bCs/>
                <w:sz w:val="14"/>
                <w:szCs w:val="14"/>
                <w:lang w:eastAsia="en-US"/>
              </w:rPr>
              <w:t>R</w:t>
            </w:r>
          </w:p>
        </w:tc>
        <w:tc>
          <w:tcPr>
            <w:tcW w:w="504" w:type="pct"/>
            <w:tcBorders>
              <w:top w:val="single" w:sz="4" w:space="0" w:color="auto"/>
              <w:left w:val="nil"/>
              <w:bottom w:val="single" w:sz="4" w:space="0" w:color="auto"/>
              <w:right w:val="single" w:sz="4" w:space="0" w:color="auto"/>
            </w:tcBorders>
            <w:shd w:val="clear" w:color="000000" w:fill="BFBFBF"/>
            <w:noWrap/>
            <w:vAlign w:val="center"/>
            <w:hideMark/>
          </w:tcPr>
          <w:p w:rsidR="00994A96" w:rsidRPr="007425F7" w:rsidRDefault="00994A96" w:rsidP="00994A96">
            <w:pPr>
              <w:jc w:val="center"/>
              <w:rPr>
                <w:rFonts w:ascii="Times New Roman" w:hAnsi="Times New Roman" w:cs="Times New Roman"/>
                <w:b/>
                <w:bCs/>
                <w:sz w:val="14"/>
                <w:szCs w:val="14"/>
                <w:lang w:eastAsia="en-US"/>
              </w:rPr>
            </w:pPr>
            <w:r>
              <w:rPr>
                <w:rFonts w:ascii="Times New Roman" w:hAnsi="Times New Roman" w:cs="Times New Roman"/>
                <w:b/>
                <w:bCs/>
                <w:sz w:val="14"/>
                <w:szCs w:val="14"/>
                <w:lang w:eastAsia="en-US"/>
              </w:rPr>
              <w:t>2018</w:t>
            </w:r>
            <w:r w:rsidRPr="007425F7">
              <w:rPr>
                <w:rFonts w:ascii="Times New Roman" w:hAnsi="Times New Roman" w:cs="Times New Roman"/>
                <w:b/>
                <w:bCs/>
                <w:sz w:val="14"/>
                <w:szCs w:val="14"/>
                <w:lang w:eastAsia="en-US"/>
              </w:rPr>
              <w:t xml:space="preserve"> </w:t>
            </w:r>
            <w:r>
              <w:rPr>
                <w:rFonts w:ascii="Times New Roman" w:hAnsi="Times New Roman" w:cs="Times New Roman"/>
                <w:b/>
                <w:bCs/>
                <w:sz w:val="14"/>
                <w:szCs w:val="14"/>
                <w:lang w:eastAsia="en-US"/>
              </w:rPr>
              <w:t>OS</w:t>
            </w:r>
          </w:p>
        </w:tc>
        <w:tc>
          <w:tcPr>
            <w:tcW w:w="505" w:type="pct"/>
            <w:tcBorders>
              <w:top w:val="single" w:sz="4" w:space="0" w:color="auto"/>
              <w:left w:val="nil"/>
              <w:bottom w:val="single" w:sz="4" w:space="0" w:color="auto"/>
              <w:right w:val="single" w:sz="4" w:space="0" w:color="auto"/>
            </w:tcBorders>
            <w:shd w:val="clear" w:color="000000" w:fill="BFBFBF"/>
            <w:vAlign w:val="center"/>
          </w:tcPr>
          <w:p w:rsidR="00994A96" w:rsidRPr="007425F7" w:rsidRDefault="00994A96" w:rsidP="00994A96">
            <w:pPr>
              <w:jc w:val="center"/>
              <w:rPr>
                <w:rFonts w:ascii="Times New Roman" w:hAnsi="Times New Roman" w:cs="Times New Roman"/>
                <w:b/>
                <w:bCs/>
                <w:sz w:val="14"/>
                <w:szCs w:val="14"/>
                <w:lang w:eastAsia="en-US"/>
              </w:rPr>
            </w:pPr>
            <w:r>
              <w:rPr>
                <w:rFonts w:ascii="Times New Roman" w:hAnsi="Times New Roman" w:cs="Times New Roman"/>
                <w:b/>
                <w:bCs/>
                <w:sz w:val="14"/>
                <w:szCs w:val="14"/>
                <w:lang w:eastAsia="en-US"/>
              </w:rPr>
              <w:t>2019</w:t>
            </w:r>
            <w:r w:rsidRPr="007425F7">
              <w:rPr>
                <w:rFonts w:ascii="Times New Roman" w:hAnsi="Times New Roman" w:cs="Times New Roman"/>
                <w:b/>
                <w:bCs/>
                <w:sz w:val="14"/>
                <w:szCs w:val="14"/>
                <w:lang w:eastAsia="en-US"/>
              </w:rPr>
              <w:t xml:space="preserve"> </w:t>
            </w:r>
            <w:r>
              <w:rPr>
                <w:rFonts w:ascii="Times New Roman" w:hAnsi="Times New Roman" w:cs="Times New Roman"/>
                <w:b/>
                <w:bCs/>
                <w:sz w:val="14"/>
                <w:szCs w:val="14"/>
                <w:lang w:eastAsia="en-US"/>
              </w:rPr>
              <w:t>N</w:t>
            </w:r>
          </w:p>
        </w:tc>
        <w:tc>
          <w:tcPr>
            <w:tcW w:w="502" w:type="pct"/>
            <w:tcBorders>
              <w:top w:val="single" w:sz="4" w:space="0" w:color="auto"/>
              <w:left w:val="nil"/>
              <w:bottom w:val="single" w:sz="4" w:space="0" w:color="auto"/>
              <w:right w:val="single" w:sz="4" w:space="0" w:color="auto"/>
            </w:tcBorders>
            <w:shd w:val="clear" w:color="000000" w:fill="BFBFBF"/>
            <w:vAlign w:val="center"/>
          </w:tcPr>
          <w:p w:rsidR="00994A96" w:rsidRPr="007425F7" w:rsidRDefault="00994A96" w:rsidP="00994A96">
            <w:pPr>
              <w:jc w:val="center"/>
              <w:rPr>
                <w:rFonts w:ascii="Times New Roman" w:hAnsi="Times New Roman" w:cs="Times New Roman"/>
                <w:b/>
                <w:bCs/>
                <w:sz w:val="14"/>
                <w:szCs w:val="14"/>
                <w:lang w:eastAsia="en-US"/>
              </w:rPr>
            </w:pPr>
            <w:r w:rsidRPr="007425F7">
              <w:rPr>
                <w:rFonts w:ascii="Times New Roman" w:hAnsi="Times New Roman" w:cs="Times New Roman"/>
                <w:b/>
                <w:bCs/>
                <w:sz w:val="14"/>
                <w:szCs w:val="14"/>
                <w:lang w:eastAsia="en-US"/>
              </w:rPr>
              <w:t>20</w:t>
            </w:r>
            <w:r>
              <w:rPr>
                <w:rFonts w:ascii="Times New Roman" w:hAnsi="Times New Roman" w:cs="Times New Roman"/>
                <w:b/>
                <w:bCs/>
                <w:sz w:val="14"/>
                <w:szCs w:val="14"/>
                <w:lang w:eastAsia="en-US"/>
              </w:rPr>
              <w:t>20</w:t>
            </w:r>
            <w:r w:rsidRPr="007425F7">
              <w:rPr>
                <w:rFonts w:ascii="Times New Roman" w:hAnsi="Times New Roman" w:cs="Times New Roman"/>
                <w:b/>
                <w:bCs/>
                <w:sz w:val="14"/>
                <w:szCs w:val="14"/>
                <w:lang w:eastAsia="en-US"/>
              </w:rPr>
              <w:t xml:space="preserve"> </w:t>
            </w:r>
            <w:r>
              <w:rPr>
                <w:rFonts w:ascii="Times New Roman" w:hAnsi="Times New Roman" w:cs="Times New Roman"/>
                <w:b/>
                <w:bCs/>
                <w:sz w:val="14"/>
                <w:szCs w:val="14"/>
                <w:lang w:eastAsia="en-US"/>
              </w:rPr>
              <w:t>N</w:t>
            </w:r>
          </w:p>
        </w:tc>
        <w:tc>
          <w:tcPr>
            <w:tcW w:w="501" w:type="pct"/>
            <w:tcBorders>
              <w:top w:val="single" w:sz="4" w:space="0" w:color="auto"/>
              <w:left w:val="nil"/>
              <w:bottom w:val="single" w:sz="4" w:space="0" w:color="auto"/>
              <w:right w:val="single" w:sz="4" w:space="0" w:color="auto"/>
            </w:tcBorders>
            <w:shd w:val="clear" w:color="000000" w:fill="BFBFBF"/>
            <w:vAlign w:val="center"/>
          </w:tcPr>
          <w:p w:rsidR="00994A96" w:rsidRPr="007425F7" w:rsidRDefault="00994A96" w:rsidP="00994A96">
            <w:pPr>
              <w:jc w:val="center"/>
              <w:rPr>
                <w:rFonts w:ascii="Times New Roman" w:hAnsi="Times New Roman" w:cs="Times New Roman"/>
                <w:b/>
                <w:bCs/>
                <w:sz w:val="14"/>
                <w:szCs w:val="14"/>
                <w:lang w:eastAsia="en-US"/>
              </w:rPr>
            </w:pPr>
            <w:r>
              <w:rPr>
                <w:rFonts w:ascii="Times New Roman" w:hAnsi="Times New Roman" w:cs="Times New Roman"/>
                <w:b/>
                <w:bCs/>
                <w:sz w:val="14"/>
                <w:szCs w:val="14"/>
                <w:lang w:eastAsia="en-US"/>
              </w:rPr>
              <w:t>2021</w:t>
            </w:r>
            <w:r w:rsidRPr="007425F7">
              <w:rPr>
                <w:rFonts w:ascii="Times New Roman" w:hAnsi="Times New Roman" w:cs="Times New Roman"/>
                <w:b/>
                <w:bCs/>
                <w:sz w:val="14"/>
                <w:szCs w:val="14"/>
                <w:lang w:eastAsia="en-US"/>
              </w:rPr>
              <w:t xml:space="preserve"> </w:t>
            </w:r>
            <w:r>
              <w:rPr>
                <w:rFonts w:ascii="Times New Roman" w:hAnsi="Times New Roman" w:cs="Times New Roman"/>
                <w:b/>
                <w:bCs/>
                <w:sz w:val="14"/>
                <w:szCs w:val="14"/>
                <w:lang w:eastAsia="en-US"/>
              </w:rPr>
              <w:t>N</w:t>
            </w:r>
          </w:p>
        </w:tc>
      </w:tr>
      <w:tr w:rsidR="00994A96" w:rsidRPr="007425F7" w:rsidTr="00994A96">
        <w:trPr>
          <w:trHeight w:val="224"/>
        </w:trPr>
        <w:tc>
          <w:tcPr>
            <w:tcW w:w="1476" w:type="pct"/>
            <w:tcBorders>
              <w:top w:val="nil"/>
              <w:left w:val="single" w:sz="4" w:space="0" w:color="auto"/>
              <w:bottom w:val="single" w:sz="4" w:space="0" w:color="auto"/>
              <w:right w:val="single" w:sz="4" w:space="0" w:color="auto"/>
            </w:tcBorders>
            <w:vAlign w:val="center"/>
            <w:hideMark/>
          </w:tcPr>
          <w:p w:rsidR="00994A96" w:rsidRPr="00E411A9" w:rsidRDefault="00994A96" w:rsidP="00994A96">
            <w:pPr>
              <w:rPr>
                <w:rFonts w:ascii="Times New Roman" w:hAnsi="Times New Roman" w:cs="Times New Roman"/>
                <w:sz w:val="14"/>
                <w:szCs w:val="14"/>
                <w:lang w:eastAsia="en-US"/>
              </w:rPr>
            </w:pPr>
            <w:r w:rsidRPr="006A60CA">
              <w:rPr>
                <w:rFonts w:ascii="Times New Roman" w:hAnsi="Times New Roman" w:cs="Times New Roman"/>
                <w:sz w:val="14"/>
                <w:szCs w:val="14"/>
              </w:rPr>
              <w:t>- zmena výpočtu odvodu do rozpočtu</w:t>
            </w:r>
            <w:r>
              <w:rPr>
                <w:rFonts w:ascii="Times New Roman" w:hAnsi="Times New Roman" w:cs="Times New Roman"/>
                <w:sz w:val="14"/>
                <w:szCs w:val="14"/>
              </w:rPr>
              <w:t xml:space="preserve"> EÚ</w:t>
            </w:r>
          </w:p>
        </w:tc>
        <w:tc>
          <w:tcPr>
            <w:tcW w:w="504" w:type="pct"/>
            <w:tcBorders>
              <w:top w:val="nil"/>
              <w:left w:val="single" w:sz="4" w:space="0" w:color="auto"/>
              <w:bottom w:val="single" w:sz="4" w:space="0" w:color="auto"/>
              <w:right w:val="single" w:sz="4" w:space="0" w:color="auto"/>
            </w:tcBorders>
            <w:noWrap/>
            <w:vAlign w:val="center"/>
            <w:hideMark/>
          </w:tcPr>
          <w:p w:rsidR="00994A96" w:rsidRPr="007425F7" w:rsidRDefault="00994A96" w:rsidP="00994A96">
            <w:pPr>
              <w:jc w:val="center"/>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-35</w:t>
            </w:r>
          </w:p>
        </w:tc>
        <w:tc>
          <w:tcPr>
            <w:tcW w:w="504" w:type="pct"/>
            <w:tcBorders>
              <w:top w:val="nil"/>
              <w:left w:val="nil"/>
              <w:bottom w:val="single" w:sz="4" w:space="0" w:color="auto"/>
              <w:right w:val="single" w:sz="4" w:space="0" w:color="auto"/>
            </w:tcBorders>
            <w:noWrap/>
            <w:vAlign w:val="center"/>
          </w:tcPr>
          <w:p w:rsidR="00994A96" w:rsidRPr="007425F7" w:rsidRDefault="00994A96" w:rsidP="00994A96">
            <w:pPr>
              <w:jc w:val="center"/>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w:t>
            </w:r>
          </w:p>
        </w:tc>
        <w:tc>
          <w:tcPr>
            <w:tcW w:w="504" w:type="pct"/>
            <w:tcBorders>
              <w:top w:val="nil"/>
              <w:left w:val="nil"/>
              <w:bottom w:val="single" w:sz="4" w:space="0" w:color="auto"/>
              <w:right w:val="single" w:sz="4" w:space="0" w:color="auto"/>
            </w:tcBorders>
            <w:noWrap/>
            <w:vAlign w:val="center"/>
            <w:hideMark/>
          </w:tcPr>
          <w:p w:rsidR="00994A96" w:rsidRPr="007425F7" w:rsidRDefault="00994A96" w:rsidP="00994A96">
            <w:pPr>
              <w:jc w:val="center"/>
              <w:rPr>
                <w:rFonts w:ascii="Times New Roman" w:hAnsi="Times New Roman" w:cs="Times New Roman"/>
                <w:color w:val="000000"/>
                <w:sz w:val="14"/>
                <w:szCs w:val="14"/>
                <w:lang w:eastAsia="en-US"/>
              </w:rPr>
            </w:pPr>
            <w:r w:rsidRPr="007425F7">
              <w:rPr>
                <w:rFonts w:ascii="Times New Roman" w:hAnsi="Times New Roman" w:cs="Times New Roman"/>
                <w:color w:val="000000"/>
                <w:sz w:val="14"/>
                <w:szCs w:val="14"/>
                <w:lang w:eastAsia="en-US"/>
              </w:rPr>
              <w:t>-</w:t>
            </w:r>
          </w:p>
        </w:tc>
        <w:tc>
          <w:tcPr>
            <w:tcW w:w="504" w:type="pct"/>
            <w:tcBorders>
              <w:top w:val="nil"/>
              <w:left w:val="nil"/>
              <w:bottom w:val="single" w:sz="4" w:space="0" w:color="auto"/>
              <w:right w:val="single" w:sz="4" w:space="0" w:color="auto"/>
            </w:tcBorders>
            <w:noWrap/>
            <w:vAlign w:val="center"/>
            <w:hideMark/>
          </w:tcPr>
          <w:p w:rsidR="00994A96" w:rsidRPr="007425F7" w:rsidRDefault="00994A96" w:rsidP="00994A96">
            <w:pPr>
              <w:jc w:val="center"/>
              <w:rPr>
                <w:rFonts w:ascii="Times New Roman" w:hAnsi="Times New Roman" w:cs="Times New Roman"/>
                <w:color w:val="000000"/>
                <w:sz w:val="14"/>
                <w:szCs w:val="14"/>
                <w:lang w:eastAsia="en-US"/>
              </w:rPr>
            </w:pPr>
            <w:r w:rsidRPr="007425F7">
              <w:rPr>
                <w:rFonts w:ascii="Times New Roman" w:hAnsi="Times New Roman" w:cs="Times New Roman"/>
                <w:color w:val="000000"/>
                <w:sz w:val="14"/>
                <w:szCs w:val="14"/>
                <w:lang w:eastAsia="en-US"/>
              </w:rPr>
              <w:t>-</w:t>
            </w:r>
          </w:p>
        </w:tc>
        <w:tc>
          <w:tcPr>
            <w:tcW w:w="505" w:type="pct"/>
            <w:tcBorders>
              <w:top w:val="nil"/>
              <w:left w:val="nil"/>
              <w:bottom w:val="single" w:sz="4" w:space="0" w:color="auto"/>
              <w:right w:val="single" w:sz="4" w:space="0" w:color="auto"/>
            </w:tcBorders>
            <w:vAlign w:val="center"/>
          </w:tcPr>
          <w:p w:rsidR="00994A96" w:rsidRPr="007425F7" w:rsidRDefault="00994A96" w:rsidP="00994A96">
            <w:pPr>
              <w:jc w:val="center"/>
              <w:rPr>
                <w:rFonts w:ascii="Times New Roman" w:hAnsi="Times New Roman" w:cs="Times New Roman"/>
                <w:color w:val="000000"/>
                <w:sz w:val="14"/>
                <w:szCs w:val="14"/>
                <w:lang w:eastAsia="en-US"/>
              </w:rPr>
            </w:pPr>
            <w:r w:rsidRPr="007425F7">
              <w:rPr>
                <w:rFonts w:ascii="Times New Roman" w:hAnsi="Times New Roman" w:cs="Times New Roman"/>
                <w:color w:val="000000"/>
                <w:sz w:val="14"/>
                <w:szCs w:val="14"/>
                <w:lang w:eastAsia="en-US"/>
              </w:rPr>
              <w:t>-</w:t>
            </w:r>
          </w:p>
        </w:tc>
        <w:tc>
          <w:tcPr>
            <w:tcW w:w="502" w:type="pct"/>
            <w:tcBorders>
              <w:top w:val="nil"/>
              <w:left w:val="nil"/>
              <w:bottom w:val="single" w:sz="4" w:space="0" w:color="auto"/>
              <w:right w:val="single" w:sz="4" w:space="0" w:color="auto"/>
            </w:tcBorders>
            <w:vAlign w:val="center"/>
          </w:tcPr>
          <w:p w:rsidR="00994A96" w:rsidRPr="007425F7" w:rsidRDefault="00994A96" w:rsidP="00994A96">
            <w:pPr>
              <w:jc w:val="center"/>
              <w:rPr>
                <w:rFonts w:ascii="Times New Roman" w:hAnsi="Times New Roman" w:cs="Times New Roman"/>
                <w:color w:val="000000"/>
                <w:sz w:val="14"/>
                <w:szCs w:val="14"/>
                <w:lang w:eastAsia="en-US"/>
              </w:rPr>
            </w:pPr>
            <w:r w:rsidRPr="007425F7">
              <w:rPr>
                <w:rFonts w:ascii="Times New Roman" w:hAnsi="Times New Roman" w:cs="Times New Roman"/>
                <w:color w:val="000000"/>
                <w:sz w:val="14"/>
                <w:szCs w:val="14"/>
                <w:lang w:eastAsia="en-US"/>
              </w:rPr>
              <w:t>-</w:t>
            </w:r>
          </w:p>
        </w:tc>
        <w:tc>
          <w:tcPr>
            <w:tcW w:w="501" w:type="pct"/>
            <w:tcBorders>
              <w:top w:val="nil"/>
              <w:left w:val="nil"/>
              <w:bottom w:val="single" w:sz="4" w:space="0" w:color="auto"/>
              <w:right w:val="single" w:sz="4" w:space="0" w:color="auto"/>
            </w:tcBorders>
            <w:vAlign w:val="center"/>
          </w:tcPr>
          <w:p w:rsidR="00994A96" w:rsidRPr="007425F7" w:rsidRDefault="00994A96" w:rsidP="00994A96">
            <w:pPr>
              <w:jc w:val="center"/>
              <w:rPr>
                <w:rFonts w:ascii="Times New Roman" w:hAnsi="Times New Roman" w:cs="Times New Roman"/>
                <w:color w:val="000000"/>
                <w:sz w:val="14"/>
                <w:szCs w:val="14"/>
                <w:lang w:eastAsia="en-US"/>
              </w:rPr>
            </w:pPr>
            <w:r w:rsidRPr="007425F7">
              <w:rPr>
                <w:rFonts w:ascii="Times New Roman" w:hAnsi="Times New Roman" w:cs="Times New Roman"/>
                <w:color w:val="000000"/>
                <w:sz w:val="14"/>
                <w:szCs w:val="14"/>
                <w:lang w:eastAsia="en-US"/>
              </w:rPr>
              <w:t>-</w:t>
            </w:r>
          </w:p>
        </w:tc>
      </w:tr>
      <w:tr w:rsidR="00994A96" w:rsidRPr="007425F7" w:rsidTr="00963F86">
        <w:trPr>
          <w:trHeight w:val="224"/>
        </w:trPr>
        <w:tc>
          <w:tcPr>
            <w:tcW w:w="1476" w:type="pct"/>
            <w:tcBorders>
              <w:top w:val="nil"/>
              <w:left w:val="single" w:sz="4" w:space="0" w:color="auto"/>
              <w:bottom w:val="single" w:sz="4" w:space="0" w:color="auto"/>
              <w:right w:val="single" w:sz="4" w:space="0" w:color="auto"/>
            </w:tcBorders>
            <w:vAlign w:val="center"/>
          </w:tcPr>
          <w:p w:rsidR="00994A96" w:rsidRPr="00261DE8" w:rsidRDefault="00994A96" w:rsidP="00994A96">
            <w:pPr>
              <w:rPr>
                <w:rFonts w:ascii="Times New Roman" w:hAnsi="Times New Roman" w:cs="Times New Roman"/>
                <w:sz w:val="14"/>
                <w:szCs w:val="14"/>
              </w:rPr>
            </w:pPr>
            <w:r w:rsidRPr="006A60CA">
              <w:rPr>
                <w:rFonts w:ascii="Times New Roman" w:hAnsi="Times New Roman" w:cs="Times New Roman"/>
                <w:sz w:val="14"/>
                <w:szCs w:val="14"/>
              </w:rPr>
              <w:t>- vratky domácnostiam za spotrebu plynu</w:t>
            </w:r>
          </w:p>
        </w:tc>
        <w:tc>
          <w:tcPr>
            <w:tcW w:w="504" w:type="pct"/>
            <w:tcBorders>
              <w:top w:val="nil"/>
              <w:left w:val="single" w:sz="4" w:space="0" w:color="auto"/>
              <w:bottom w:val="single" w:sz="4" w:space="0" w:color="auto"/>
              <w:right w:val="single" w:sz="4" w:space="0" w:color="auto"/>
            </w:tcBorders>
            <w:noWrap/>
            <w:vAlign w:val="center"/>
          </w:tcPr>
          <w:p w:rsidR="00994A96" w:rsidRDefault="00994A96" w:rsidP="00994A96">
            <w:pPr>
              <w:jc w:val="center"/>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-46</w:t>
            </w:r>
          </w:p>
        </w:tc>
        <w:tc>
          <w:tcPr>
            <w:tcW w:w="504" w:type="pct"/>
            <w:tcBorders>
              <w:top w:val="nil"/>
              <w:left w:val="nil"/>
              <w:bottom w:val="single" w:sz="4" w:space="0" w:color="auto"/>
              <w:right w:val="single" w:sz="4" w:space="0" w:color="auto"/>
            </w:tcBorders>
            <w:noWrap/>
            <w:vAlign w:val="center"/>
          </w:tcPr>
          <w:p w:rsidR="00994A96" w:rsidRDefault="00994A96" w:rsidP="00994A96">
            <w:pPr>
              <w:jc w:val="center"/>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w:t>
            </w:r>
          </w:p>
        </w:tc>
        <w:tc>
          <w:tcPr>
            <w:tcW w:w="504" w:type="pct"/>
            <w:tcBorders>
              <w:top w:val="nil"/>
              <w:left w:val="nil"/>
              <w:bottom w:val="single" w:sz="4" w:space="0" w:color="auto"/>
              <w:right w:val="single" w:sz="4" w:space="0" w:color="auto"/>
            </w:tcBorders>
            <w:noWrap/>
            <w:vAlign w:val="center"/>
          </w:tcPr>
          <w:p w:rsidR="00994A96" w:rsidRDefault="00994A96" w:rsidP="00994A96">
            <w:pPr>
              <w:jc w:val="center"/>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w:t>
            </w:r>
          </w:p>
        </w:tc>
        <w:tc>
          <w:tcPr>
            <w:tcW w:w="504" w:type="pct"/>
            <w:tcBorders>
              <w:top w:val="nil"/>
              <w:left w:val="nil"/>
              <w:bottom w:val="single" w:sz="4" w:space="0" w:color="auto"/>
              <w:right w:val="single" w:sz="4" w:space="0" w:color="auto"/>
            </w:tcBorders>
            <w:noWrap/>
            <w:vAlign w:val="center"/>
          </w:tcPr>
          <w:p w:rsidR="00994A96" w:rsidRDefault="00994A96" w:rsidP="00994A96">
            <w:pPr>
              <w:jc w:val="center"/>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w:t>
            </w:r>
          </w:p>
        </w:tc>
        <w:tc>
          <w:tcPr>
            <w:tcW w:w="505" w:type="pct"/>
            <w:tcBorders>
              <w:top w:val="nil"/>
              <w:left w:val="nil"/>
              <w:bottom w:val="single" w:sz="4" w:space="0" w:color="auto"/>
              <w:right w:val="single" w:sz="4" w:space="0" w:color="auto"/>
            </w:tcBorders>
            <w:vAlign w:val="center"/>
          </w:tcPr>
          <w:p w:rsidR="00994A96" w:rsidRDefault="00994A96" w:rsidP="00994A96">
            <w:pPr>
              <w:jc w:val="center"/>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w:t>
            </w:r>
          </w:p>
        </w:tc>
        <w:tc>
          <w:tcPr>
            <w:tcW w:w="502" w:type="pct"/>
            <w:tcBorders>
              <w:top w:val="nil"/>
              <w:left w:val="nil"/>
              <w:bottom w:val="single" w:sz="4" w:space="0" w:color="auto"/>
              <w:right w:val="single" w:sz="4" w:space="0" w:color="auto"/>
            </w:tcBorders>
            <w:vAlign w:val="center"/>
          </w:tcPr>
          <w:p w:rsidR="00994A96" w:rsidRDefault="00994A96" w:rsidP="00994A96">
            <w:pPr>
              <w:jc w:val="center"/>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w:t>
            </w:r>
          </w:p>
        </w:tc>
        <w:tc>
          <w:tcPr>
            <w:tcW w:w="501" w:type="pct"/>
            <w:tcBorders>
              <w:top w:val="nil"/>
              <w:left w:val="nil"/>
              <w:bottom w:val="single" w:sz="4" w:space="0" w:color="auto"/>
              <w:right w:val="single" w:sz="4" w:space="0" w:color="auto"/>
            </w:tcBorders>
            <w:vAlign w:val="center"/>
          </w:tcPr>
          <w:p w:rsidR="00994A96" w:rsidRDefault="00994A96" w:rsidP="00994A96">
            <w:pPr>
              <w:jc w:val="center"/>
              <w:rPr>
                <w:rFonts w:ascii="Times New Roman" w:hAnsi="Times New Roman" w:cs="Times New Roman"/>
                <w:color w:val="000000"/>
                <w:sz w:val="14"/>
                <w:szCs w:val="14"/>
                <w:lang w:eastAsia="en-US"/>
              </w:rPr>
            </w:pPr>
            <w:r>
              <w:rPr>
                <w:rFonts w:ascii="Times New Roman" w:hAnsi="Times New Roman" w:cs="Times New Roman"/>
                <w:color w:val="000000"/>
                <w:sz w:val="14"/>
                <w:szCs w:val="14"/>
                <w:lang w:eastAsia="en-US"/>
              </w:rPr>
              <w:t>-</w:t>
            </w:r>
          </w:p>
        </w:tc>
      </w:tr>
      <w:tr w:rsidR="00994A96" w:rsidRPr="007425F7" w:rsidTr="00963F86">
        <w:trPr>
          <w:trHeight w:val="224"/>
        </w:trPr>
        <w:tc>
          <w:tcPr>
            <w:tcW w:w="147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994A96" w:rsidRPr="007425F7" w:rsidRDefault="00994A96" w:rsidP="00994A96">
            <w:pPr>
              <w:rPr>
                <w:rFonts w:ascii="Times New Roman" w:hAnsi="Times New Roman" w:cs="Times New Roman"/>
                <w:b/>
                <w:bCs/>
                <w:sz w:val="14"/>
                <w:szCs w:val="14"/>
                <w:lang w:eastAsia="en-US"/>
              </w:rPr>
            </w:pPr>
            <w:r w:rsidRPr="007425F7">
              <w:rPr>
                <w:rFonts w:ascii="Times New Roman" w:hAnsi="Times New Roman" w:cs="Times New Roman"/>
                <w:b/>
                <w:bCs/>
                <w:sz w:val="14"/>
                <w:szCs w:val="14"/>
                <w:lang w:eastAsia="en-US"/>
              </w:rPr>
              <w:t>CELKOVO</w:t>
            </w:r>
          </w:p>
        </w:tc>
        <w:tc>
          <w:tcPr>
            <w:tcW w:w="504" w:type="pct"/>
            <w:tcBorders>
              <w:top w:val="single" w:sz="4" w:space="0" w:color="auto"/>
              <w:left w:val="single" w:sz="4" w:space="0" w:color="auto"/>
              <w:bottom w:val="single" w:sz="4" w:space="0" w:color="auto"/>
              <w:right w:val="single" w:sz="4" w:space="0" w:color="auto"/>
            </w:tcBorders>
            <w:shd w:val="clear" w:color="auto" w:fill="BFBFBF"/>
            <w:vAlign w:val="center"/>
          </w:tcPr>
          <w:p w:rsidR="00994A96" w:rsidRPr="007425F7" w:rsidRDefault="00994A96" w:rsidP="00994A96">
            <w:pPr>
              <w:jc w:val="center"/>
              <w:rPr>
                <w:rFonts w:ascii="Times New Roman" w:hAnsi="Times New Roman" w:cs="Times New Roman"/>
                <w:b/>
                <w:bCs/>
                <w:sz w:val="14"/>
                <w:szCs w:val="14"/>
                <w:lang w:eastAsia="en-US"/>
              </w:rPr>
            </w:pPr>
            <w:r>
              <w:rPr>
                <w:rFonts w:ascii="Times New Roman" w:hAnsi="Times New Roman" w:cs="Times New Roman"/>
                <w:b/>
                <w:bCs/>
                <w:sz w:val="14"/>
                <w:szCs w:val="14"/>
                <w:lang w:eastAsia="en-US"/>
              </w:rPr>
              <w:t>-81</w:t>
            </w:r>
          </w:p>
        </w:tc>
        <w:tc>
          <w:tcPr>
            <w:tcW w:w="504" w:type="pct"/>
            <w:tcBorders>
              <w:top w:val="single" w:sz="4" w:space="0" w:color="auto"/>
              <w:left w:val="nil"/>
              <w:bottom w:val="single" w:sz="4" w:space="0" w:color="auto"/>
              <w:right w:val="single" w:sz="4" w:space="0" w:color="auto"/>
            </w:tcBorders>
            <w:shd w:val="clear" w:color="auto" w:fill="BFBFBF"/>
            <w:vAlign w:val="center"/>
          </w:tcPr>
          <w:p w:rsidR="00994A96" w:rsidRPr="007425F7" w:rsidRDefault="00994A96" w:rsidP="00994A96">
            <w:pPr>
              <w:jc w:val="center"/>
              <w:rPr>
                <w:rFonts w:ascii="Times New Roman" w:hAnsi="Times New Roman" w:cs="Times New Roman"/>
                <w:b/>
                <w:bCs/>
                <w:sz w:val="14"/>
                <w:szCs w:val="14"/>
                <w:lang w:eastAsia="en-US"/>
              </w:rPr>
            </w:pPr>
            <w:r>
              <w:rPr>
                <w:rFonts w:ascii="Times New Roman" w:hAnsi="Times New Roman" w:cs="Times New Roman"/>
                <w:b/>
                <w:bCs/>
                <w:sz w:val="14"/>
                <w:szCs w:val="14"/>
                <w:lang w:eastAsia="en-US"/>
              </w:rPr>
              <w:t>-</w:t>
            </w:r>
          </w:p>
        </w:tc>
        <w:tc>
          <w:tcPr>
            <w:tcW w:w="504" w:type="pct"/>
            <w:tcBorders>
              <w:top w:val="single" w:sz="4" w:space="0" w:color="auto"/>
              <w:left w:val="nil"/>
              <w:bottom w:val="single" w:sz="4" w:space="0" w:color="auto"/>
              <w:right w:val="single" w:sz="4" w:space="0" w:color="auto"/>
            </w:tcBorders>
            <w:shd w:val="clear" w:color="auto" w:fill="BFBFBF"/>
            <w:vAlign w:val="center"/>
          </w:tcPr>
          <w:p w:rsidR="00994A96" w:rsidRPr="007425F7" w:rsidRDefault="00994A96" w:rsidP="00994A96">
            <w:pPr>
              <w:jc w:val="center"/>
              <w:rPr>
                <w:rFonts w:ascii="Times New Roman" w:hAnsi="Times New Roman" w:cs="Times New Roman"/>
                <w:b/>
                <w:bCs/>
                <w:sz w:val="14"/>
                <w:szCs w:val="14"/>
                <w:lang w:eastAsia="en-US"/>
              </w:rPr>
            </w:pPr>
            <w:r>
              <w:rPr>
                <w:rFonts w:ascii="Times New Roman" w:hAnsi="Times New Roman" w:cs="Times New Roman"/>
                <w:b/>
                <w:bCs/>
                <w:sz w:val="14"/>
                <w:szCs w:val="14"/>
                <w:lang w:eastAsia="en-US"/>
              </w:rPr>
              <w:t>-</w:t>
            </w:r>
          </w:p>
        </w:tc>
        <w:tc>
          <w:tcPr>
            <w:tcW w:w="504" w:type="pct"/>
            <w:tcBorders>
              <w:top w:val="single" w:sz="4" w:space="0" w:color="auto"/>
              <w:left w:val="nil"/>
              <w:bottom w:val="single" w:sz="4" w:space="0" w:color="auto"/>
              <w:right w:val="single" w:sz="4" w:space="0" w:color="auto"/>
            </w:tcBorders>
            <w:shd w:val="clear" w:color="auto" w:fill="BFBFBF"/>
            <w:vAlign w:val="center"/>
          </w:tcPr>
          <w:p w:rsidR="00994A96" w:rsidRPr="007425F7" w:rsidRDefault="00994A96" w:rsidP="00994A96">
            <w:pPr>
              <w:jc w:val="center"/>
              <w:rPr>
                <w:rFonts w:ascii="Times New Roman" w:hAnsi="Times New Roman" w:cs="Times New Roman"/>
                <w:b/>
                <w:bCs/>
                <w:sz w:val="14"/>
                <w:szCs w:val="14"/>
                <w:lang w:eastAsia="en-US"/>
              </w:rPr>
            </w:pPr>
            <w:r>
              <w:rPr>
                <w:rFonts w:ascii="Times New Roman" w:hAnsi="Times New Roman" w:cs="Times New Roman"/>
                <w:b/>
                <w:bCs/>
                <w:sz w:val="14"/>
                <w:szCs w:val="14"/>
                <w:lang w:eastAsia="en-US"/>
              </w:rPr>
              <w:t>-</w:t>
            </w:r>
          </w:p>
        </w:tc>
        <w:tc>
          <w:tcPr>
            <w:tcW w:w="505" w:type="pct"/>
            <w:tcBorders>
              <w:top w:val="single" w:sz="4" w:space="0" w:color="auto"/>
              <w:left w:val="nil"/>
              <w:bottom w:val="single" w:sz="4" w:space="0" w:color="auto"/>
              <w:right w:val="single" w:sz="4" w:space="0" w:color="auto"/>
            </w:tcBorders>
            <w:shd w:val="clear" w:color="auto" w:fill="BFBFBF"/>
            <w:vAlign w:val="center"/>
          </w:tcPr>
          <w:p w:rsidR="00994A96" w:rsidRPr="007425F7" w:rsidRDefault="00994A96" w:rsidP="00994A96">
            <w:pPr>
              <w:jc w:val="center"/>
              <w:rPr>
                <w:rFonts w:ascii="Times New Roman" w:hAnsi="Times New Roman" w:cs="Times New Roman"/>
                <w:b/>
                <w:bCs/>
                <w:sz w:val="14"/>
                <w:szCs w:val="14"/>
                <w:lang w:eastAsia="en-US"/>
              </w:rPr>
            </w:pPr>
            <w:r>
              <w:rPr>
                <w:rFonts w:ascii="Times New Roman" w:hAnsi="Times New Roman" w:cs="Times New Roman"/>
                <w:b/>
                <w:bCs/>
                <w:sz w:val="14"/>
                <w:szCs w:val="14"/>
                <w:lang w:eastAsia="en-US"/>
              </w:rPr>
              <w:t>-</w:t>
            </w:r>
          </w:p>
        </w:tc>
        <w:tc>
          <w:tcPr>
            <w:tcW w:w="502" w:type="pct"/>
            <w:tcBorders>
              <w:top w:val="single" w:sz="4" w:space="0" w:color="auto"/>
              <w:left w:val="nil"/>
              <w:bottom w:val="single" w:sz="4" w:space="0" w:color="auto"/>
              <w:right w:val="single" w:sz="4" w:space="0" w:color="auto"/>
            </w:tcBorders>
            <w:shd w:val="clear" w:color="auto" w:fill="BFBFBF"/>
            <w:vAlign w:val="center"/>
          </w:tcPr>
          <w:p w:rsidR="00994A96" w:rsidRPr="007425F7" w:rsidRDefault="00994A96" w:rsidP="00994A96">
            <w:pPr>
              <w:jc w:val="center"/>
              <w:rPr>
                <w:rFonts w:ascii="Times New Roman" w:hAnsi="Times New Roman" w:cs="Times New Roman"/>
                <w:b/>
                <w:bCs/>
                <w:sz w:val="14"/>
                <w:szCs w:val="14"/>
                <w:lang w:eastAsia="en-US"/>
              </w:rPr>
            </w:pPr>
            <w:r>
              <w:rPr>
                <w:rFonts w:ascii="Times New Roman" w:hAnsi="Times New Roman" w:cs="Times New Roman"/>
                <w:b/>
                <w:bCs/>
                <w:sz w:val="14"/>
                <w:szCs w:val="14"/>
                <w:lang w:eastAsia="en-US"/>
              </w:rPr>
              <w:t>-</w:t>
            </w:r>
          </w:p>
        </w:tc>
        <w:tc>
          <w:tcPr>
            <w:tcW w:w="501" w:type="pct"/>
            <w:tcBorders>
              <w:top w:val="single" w:sz="4" w:space="0" w:color="auto"/>
              <w:left w:val="nil"/>
              <w:bottom w:val="single" w:sz="4" w:space="0" w:color="auto"/>
              <w:right w:val="single" w:sz="4" w:space="0" w:color="auto"/>
            </w:tcBorders>
            <w:shd w:val="clear" w:color="auto" w:fill="BFBFBF"/>
            <w:vAlign w:val="center"/>
          </w:tcPr>
          <w:p w:rsidR="00994A96" w:rsidRPr="007425F7" w:rsidRDefault="00994A96" w:rsidP="00994A96">
            <w:pPr>
              <w:jc w:val="center"/>
              <w:rPr>
                <w:rFonts w:ascii="Times New Roman" w:hAnsi="Times New Roman" w:cs="Times New Roman"/>
                <w:b/>
                <w:bCs/>
                <w:sz w:val="14"/>
                <w:szCs w:val="14"/>
                <w:lang w:eastAsia="en-US"/>
              </w:rPr>
            </w:pPr>
            <w:r>
              <w:rPr>
                <w:rFonts w:ascii="Times New Roman" w:hAnsi="Times New Roman" w:cs="Times New Roman"/>
                <w:b/>
                <w:bCs/>
                <w:sz w:val="14"/>
                <w:szCs w:val="14"/>
                <w:lang w:eastAsia="en-US"/>
              </w:rPr>
              <w:t>-</w:t>
            </w:r>
          </w:p>
        </w:tc>
      </w:tr>
    </w:tbl>
    <w:p w:rsidR="00C11562" w:rsidRPr="007425F7" w:rsidRDefault="00C11562" w:rsidP="00C11562">
      <w:pPr>
        <w:jc w:val="center"/>
        <w:rPr>
          <w:rFonts w:ascii="Times New Roman" w:hAnsi="Times New Roman" w:cs="Times New Roman"/>
          <w:i/>
          <w:sz w:val="14"/>
          <w:szCs w:val="14"/>
        </w:rPr>
      </w:pPr>
      <w:r w:rsidRPr="007425F7">
        <w:rPr>
          <w:rFonts w:ascii="Times New Roman" w:hAnsi="Times New Roman" w:cs="Times New Roman"/>
          <w:i/>
          <w:sz w:val="14"/>
          <w:szCs w:val="14"/>
        </w:rPr>
        <w:t>(+) zlepšenie salda, (-) zhoršenie salda</w:t>
      </w:r>
      <w:r w:rsidRPr="007425F7">
        <w:rPr>
          <w:rFonts w:ascii="Times New Roman" w:hAnsi="Times New Roman" w:cs="Times New Roman"/>
          <w:i/>
          <w:sz w:val="14"/>
          <w:szCs w:val="14"/>
        </w:rPr>
        <w:tab/>
      </w:r>
      <w:r w:rsidRPr="007425F7">
        <w:rPr>
          <w:rFonts w:ascii="Times New Roman" w:hAnsi="Times New Roman" w:cs="Times New Roman"/>
          <w:i/>
          <w:sz w:val="14"/>
          <w:szCs w:val="14"/>
        </w:rPr>
        <w:tab/>
      </w:r>
      <w:r w:rsidRPr="007425F7">
        <w:rPr>
          <w:rFonts w:ascii="Times New Roman" w:hAnsi="Times New Roman" w:cs="Times New Roman"/>
          <w:i/>
          <w:sz w:val="14"/>
          <w:szCs w:val="14"/>
        </w:rPr>
        <w:tab/>
      </w:r>
      <w:r w:rsidRPr="007425F7">
        <w:rPr>
          <w:rFonts w:ascii="Times New Roman" w:hAnsi="Times New Roman" w:cs="Times New Roman"/>
          <w:i/>
          <w:sz w:val="14"/>
          <w:szCs w:val="14"/>
        </w:rPr>
        <w:tab/>
      </w:r>
      <w:r w:rsidRPr="007425F7">
        <w:rPr>
          <w:rFonts w:ascii="Times New Roman" w:hAnsi="Times New Roman" w:cs="Times New Roman"/>
          <w:i/>
          <w:sz w:val="14"/>
          <w:szCs w:val="14"/>
        </w:rPr>
        <w:tab/>
      </w:r>
      <w:r w:rsidRPr="007425F7">
        <w:rPr>
          <w:rFonts w:ascii="Times New Roman" w:hAnsi="Times New Roman" w:cs="Times New Roman"/>
          <w:i/>
          <w:sz w:val="14"/>
          <w:szCs w:val="14"/>
        </w:rPr>
        <w:tab/>
      </w:r>
      <w:r w:rsidRPr="007425F7">
        <w:rPr>
          <w:rFonts w:ascii="Times New Roman" w:hAnsi="Times New Roman" w:cs="Times New Roman"/>
          <w:i/>
          <w:sz w:val="14"/>
          <w:szCs w:val="14"/>
        </w:rPr>
        <w:tab/>
        <w:t xml:space="preserve">                           Zdroj: MF SR</w:t>
      </w:r>
    </w:p>
    <w:p w:rsidR="00C11562" w:rsidRPr="007425F7" w:rsidRDefault="00C11562" w:rsidP="00C11562">
      <w:pPr>
        <w:rPr>
          <w:rFonts w:ascii="Times New Roman" w:hAnsi="Times New Roman" w:cs="Times New Roman"/>
          <w:b/>
          <w:bCs/>
        </w:rPr>
      </w:pPr>
    </w:p>
    <w:p w:rsidR="00C11562" w:rsidRPr="002673EC" w:rsidRDefault="00C11562" w:rsidP="00C11562">
      <w:pPr>
        <w:rPr>
          <w:rFonts w:ascii="Times New Roman" w:hAnsi="Times New Roman" w:cs="Times New Roman"/>
          <w:b/>
        </w:rPr>
      </w:pPr>
      <w:r w:rsidRPr="002673EC">
        <w:rPr>
          <w:rFonts w:ascii="Times New Roman" w:hAnsi="Times New Roman" w:cs="Times New Roman"/>
          <w:b/>
        </w:rPr>
        <w:t>Jednorazové príjmové opatrenia</w:t>
      </w:r>
      <w:r w:rsidRPr="002673EC">
        <w:rPr>
          <w:rFonts w:ascii="Times New Roman" w:hAnsi="Times New Roman" w:cs="Times New Roman"/>
        </w:rPr>
        <w:t xml:space="preserve"> </w:t>
      </w:r>
    </w:p>
    <w:p w:rsidR="00C11562" w:rsidRPr="002673EC" w:rsidRDefault="00C11562" w:rsidP="00C11562">
      <w:pPr>
        <w:contextualSpacing/>
        <w:jc w:val="both"/>
        <w:rPr>
          <w:rFonts w:ascii="Times New Roman" w:hAnsi="Times New Roman" w:cs="Times New Roman"/>
        </w:rPr>
      </w:pPr>
    </w:p>
    <w:p w:rsidR="00C11562" w:rsidRPr="002673EC" w:rsidRDefault="00C11562" w:rsidP="00C11562">
      <w:pPr>
        <w:ind w:firstLine="360"/>
        <w:contextualSpacing/>
        <w:jc w:val="both"/>
        <w:rPr>
          <w:rFonts w:ascii="Times New Roman" w:hAnsi="Times New Roman" w:cs="Times New Roman"/>
        </w:rPr>
      </w:pPr>
      <w:r w:rsidRPr="002673EC">
        <w:rPr>
          <w:rFonts w:ascii="Times New Roman" w:hAnsi="Times New Roman" w:cs="Times New Roman"/>
        </w:rPr>
        <w:t xml:space="preserve">V roku 2016 boli identifikované nasledujúce jednorazové opatrenia spolu vo výške </w:t>
      </w:r>
      <w:r>
        <w:rPr>
          <w:rFonts w:ascii="Times New Roman" w:hAnsi="Times New Roman" w:cs="Times New Roman"/>
        </w:rPr>
        <w:br/>
      </w:r>
      <w:r w:rsidRPr="002673EC">
        <w:rPr>
          <w:rFonts w:ascii="Times New Roman" w:hAnsi="Times New Roman" w:cs="Times New Roman"/>
        </w:rPr>
        <w:t xml:space="preserve">-81 miliónov </w:t>
      </w:r>
      <w:r>
        <w:rPr>
          <w:rFonts w:ascii="Times New Roman" w:hAnsi="Times New Roman" w:cs="Times New Roman"/>
        </w:rPr>
        <w:t>eur</w:t>
      </w:r>
      <w:r w:rsidRPr="002673EC">
        <w:rPr>
          <w:rFonts w:ascii="Times New Roman" w:hAnsi="Times New Roman" w:cs="Times New Roman"/>
        </w:rPr>
        <w:t xml:space="preserve">. </w:t>
      </w:r>
    </w:p>
    <w:p w:rsidR="00C11562" w:rsidRPr="002673EC" w:rsidRDefault="00C11562" w:rsidP="00C11562">
      <w:pPr>
        <w:contextualSpacing/>
        <w:jc w:val="both"/>
        <w:rPr>
          <w:rFonts w:ascii="Times New Roman" w:hAnsi="Times New Roman" w:cs="Times New Roman"/>
        </w:rPr>
      </w:pPr>
    </w:p>
    <w:p w:rsidR="00C11562" w:rsidRPr="002673EC" w:rsidRDefault="00C11562" w:rsidP="00AF0B4E">
      <w:pPr>
        <w:pStyle w:val="Odsekzoznamu"/>
        <w:numPr>
          <w:ilvl w:val="0"/>
          <w:numId w:val="11"/>
        </w:numPr>
        <w:jc w:val="both"/>
        <w:rPr>
          <w:rFonts w:ascii="Times New Roman" w:hAnsi="Times New Roman" w:cs="Times New Roman"/>
          <w:lang w:eastAsia="en-US"/>
        </w:rPr>
      </w:pPr>
      <w:r w:rsidRPr="002673EC">
        <w:rPr>
          <w:rFonts w:ascii="Times New Roman" w:hAnsi="Times New Roman" w:cs="Times New Roman"/>
          <w:b/>
          <w:lang w:eastAsia="en-US"/>
        </w:rPr>
        <w:t>Odvod do rozpočtu</w:t>
      </w:r>
      <w:r w:rsidRPr="002673EC">
        <w:rPr>
          <w:rFonts w:ascii="Times New Roman" w:hAnsi="Times New Roman" w:cs="Times New Roman"/>
          <w:lang w:eastAsia="en-US"/>
        </w:rPr>
        <w:t xml:space="preserve"> </w:t>
      </w:r>
      <w:r w:rsidRPr="00FA5758">
        <w:rPr>
          <w:rFonts w:ascii="Times New Roman" w:hAnsi="Times New Roman" w:cs="Times New Roman"/>
          <w:b/>
          <w:lang w:eastAsia="en-US"/>
        </w:rPr>
        <w:t>EÚ</w:t>
      </w:r>
      <w:r>
        <w:rPr>
          <w:rFonts w:ascii="Times New Roman" w:hAnsi="Times New Roman" w:cs="Times New Roman"/>
          <w:lang w:eastAsia="en-US"/>
        </w:rPr>
        <w:t xml:space="preserve"> </w:t>
      </w:r>
      <w:r w:rsidRPr="002673EC">
        <w:rPr>
          <w:rFonts w:ascii="Times New Roman" w:hAnsi="Times New Roman" w:cs="Times New Roman"/>
          <w:lang w:eastAsia="en-US"/>
        </w:rPr>
        <w:t>– na základe rozhod</w:t>
      </w:r>
      <w:r>
        <w:rPr>
          <w:rFonts w:ascii="Times New Roman" w:hAnsi="Times New Roman" w:cs="Times New Roman"/>
          <w:lang w:eastAsia="en-US"/>
        </w:rPr>
        <w:t>nutia Európskej rady 2014/335/EÚ</w:t>
      </w:r>
      <w:r w:rsidRPr="002673EC">
        <w:rPr>
          <w:rFonts w:ascii="Times New Roman" w:hAnsi="Times New Roman" w:cs="Times New Roman"/>
          <w:lang w:eastAsia="en-US"/>
        </w:rPr>
        <w:t xml:space="preserve"> (ORD 2014) so spätnou platnosťou od 1.</w:t>
      </w:r>
      <w:r>
        <w:rPr>
          <w:rFonts w:ascii="Times New Roman" w:hAnsi="Times New Roman" w:cs="Times New Roman"/>
          <w:lang w:eastAsia="en-US"/>
        </w:rPr>
        <w:t xml:space="preserve"> </w:t>
      </w:r>
      <w:r w:rsidRPr="002673EC">
        <w:rPr>
          <w:rFonts w:ascii="Times New Roman" w:hAnsi="Times New Roman" w:cs="Times New Roman"/>
          <w:lang w:eastAsia="en-US"/>
        </w:rPr>
        <w:t>1.</w:t>
      </w:r>
      <w:r>
        <w:rPr>
          <w:rFonts w:ascii="Times New Roman" w:hAnsi="Times New Roman" w:cs="Times New Roman"/>
          <w:lang w:eastAsia="en-US"/>
        </w:rPr>
        <w:t xml:space="preserve"> </w:t>
      </w:r>
      <w:r w:rsidRPr="002673EC">
        <w:rPr>
          <w:rFonts w:ascii="Times New Roman" w:hAnsi="Times New Roman" w:cs="Times New Roman"/>
          <w:lang w:eastAsia="en-US"/>
        </w:rPr>
        <w:t>2014 došlo k revízii výpočtu vlastných príjmov Európskej únie. Z dôvodu tejto ratifikovanej úpravy došlo k dodatočnému jednorazovému príspevku Slovenska do rozpočtu EÚ vo výške 35,2 mil. eur.</w:t>
      </w:r>
    </w:p>
    <w:p w:rsidR="00C11562" w:rsidRPr="002673EC" w:rsidRDefault="00C11562" w:rsidP="00C11562">
      <w:pPr>
        <w:pStyle w:val="Odsekzoznamu"/>
        <w:rPr>
          <w:rFonts w:ascii="Times New Roman" w:hAnsi="Times New Roman" w:cs="Times New Roman"/>
          <w:lang w:eastAsia="en-US"/>
        </w:rPr>
      </w:pPr>
    </w:p>
    <w:p w:rsidR="00C11562" w:rsidRDefault="00C11562" w:rsidP="00AF0B4E">
      <w:pPr>
        <w:pStyle w:val="Odsekzoznamu"/>
        <w:numPr>
          <w:ilvl w:val="0"/>
          <w:numId w:val="11"/>
        </w:numPr>
        <w:jc w:val="both"/>
        <w:rPr>
          <w:rFonts w:ascii="Times New Roman" w:hAnsi="Times New Roman" w:cs="Times New Roman"/>
          <w:color w:val="000000"/>
        </w:rPr>
      </w:pPr>
      <w:r w:rsidRPr="002673EC">
        <w:rPr>
          <w:rFonts w:ascii="Times New Roman" w:hAnsi="Times New Roman" w:cs="Times New Roman"/>
          <w:b/>
        </w:rPr>
        <w:t>Vratky za dodávky plynu domácnostiam</w:t>
      </w:r>
      <w:r w:rsidRPr="002673EC">
        <w:rPr>
          <w:rFonts w:ascii="Times New Roman" w:hAnsi="Times New Roman" w:cs="Times New Roman"/>
        </w:rPr>
        <w:t xml:space="preserve"> - v roku 2016 došlo k jednorazovému nárastu výdavkov vo výške 46,1 mil. </w:t>
      </w:r>
      <w:r>
        <w:rPr>
          <w:rFonts w:ascii="Times New Roman" w:hAnsi="Times New Roman" w:cs="Times New Roman"/>
        </w:rPr>
        <w:t xml:space="preserve">eur </w:t>
      </w:r>
      <w:r w:rsidRPr="002673EC">
        <w:rPr>
          <w:rFonts w:ascii="Times New Roman" w:hAnsi="Times New Roman" w:cs="Times New Roman"/>
        </w:rPr>
        <w:t>z dôvodu vyplácania vratiek za dodávky plynu domácnostiam, čo má priamy dočasný dopad na výdavkovú stranu štátneho rozpočtu.</w:t>
      </w:r>
      <w:r w:rsidRPr="002673EC">
        <w:rPr>
          <w:rFonts w:ascii="Times New Roman" w:hAnsi="Times New Roman" w:cs="Times New Roman"/>
          <w:color w:val="000000"/>
        </w:rPr>
        <w:t xml:space="preserve"> </w:t>
      </w:r>
    </w:p>
    <w:p w:rsidR="00C11562" w:rsidRDefault="00C11562" w:rsidP="00C11562">
      <w:pPr>
        <w:ind w:left="360"/>
        <w:rPr>
          <w:rFonts w:ascii="Times New Roman" w:hAnsi="Times New Roman" w:cs="Times New Roman"/>
          <w:color w:val="000000"/>
        </w:rPr>
      </w:pPr>
    </w:p>
    <w:p w:rsidR="001A34BE" w:rsidRDefault="001A34BE" w:rsidP="00502318">
      <w:pPr>
        <w:ind w:firstLine="708"/>
        <w:contextualSpacing/>
        <w:jc w:val="both"/>
        <w:rPr>
          <w:rFonts w:ascii="Times New Roman" w:hAnsi="Times New Roman" w:cs="Times New Roman"/>
        </w:rPr>
      </w:pPr>
    </w:p>
    <w:p w:rsidR="001A34BE" w:rsidRDefault="001A34BE" w:rsidP="00502318">
      <w:pPr>
        <w:ind w:firstLine="708"/>
        <w:contextualSpacing/>
        <w:jc w:val="both"/>
        <w:rPr>
          <w:rFonts w:ascii="Times New Roman" w:hAnsi="Times New Roman" w:cs="Times New Roman"/>
        </w:rPr>
      </w:pPr>
    </w:p>
    <w:p w:rsidR="001A34BE" w:rsidRDefault="001A34BE" w:rsidP="00502318">
      <w:pPr>
        <w:ind w:firstLine="708"/>
        <w:contextualSpacing/>
        <w:jc w:val="both"/>
        <w:rPr>
          <w:rFonts w:ascii="Times New Roman" w:hAnsi="Times New Roman" w:cs="Times New Roman"/>
        </w:rPr>
      </w:pPr>
    </w:p>
    <w:p w:rsidR="001A34BE" w:rsidRDefault="001A34BE" w:rsidP="00502318">
      <w:pPr>
        <w:ind w:firstLine="708"/>
        <w:contextualSpacing/>
        <w:jc w:val="both"/>
        <w:rPr>
          <w:rFonts w:ascii="Times New Roman" w:hAnsi="Times New Roman" w:cs="Times New Roman"/>
        </w:rPr>
      </w:pPr>
    </w:p>
    <w:p w:rsidR="001A34BE" w:rsidRDefault="001A34BE" w:rsidP="00502318">
      <w:pPr>
        <w:ind w:firstLine="708"/>
        <w:contextualSpacing/>
        <w:jc w:val="both"/>
        <w:rPr>
          <w:rFonts w:ascii="Times New Roman" w:hAnsi="Times New Roman" w:cs="Times New Roman"/>
        </w:rPr>
      </w:pPr>
    </w:p>
    <w:p w:rsidR="001A34BE" w:rsidRDefault="001A34BE" w:rsidP="00502318">
      <w:pPr>
        <w:ind w:firstLine="708"/>
        <w:contextualSpacing/>
        <w:jc w:val="both"/>
        <w:rPr>
          <w:rFonts w:ascii="Times New Roman" w:hAnsi="Times New Roman" w:cs="Times New Roman"/>
        </w:rPr>
      </w:pPr>
    </w:p>
    <w:p w:rsidR="001A34BE" w:rsidRDefault="001A34BE" w:rsidP="00502318">
      <w:pPr>
        <w:ind w:firstLine="708"/>
        <w:contextualSpacing/>
        <w:jc w:val="both"/>
        <w:rPr>
          <w:rFonts w:ascii="Times New Roman" w:hAnsi="Times New Roman" w:cs="Times New Roman"/>
        </w:rPr>
      </w:pPr>
    </w:p>
    <w:p w:rsidR="001A34BE" w:rsidRDefault="001A34BE" w:rsidP="00502318">
      <w:pPr>
        <w:ind w:firstLine="708"/>
        <w:contextualSpacing/>
        <w:jc w:val="both"/>
        <w:rPr>
          <w:rFonts w:ascii="Times New Roman" w:hAnsi="Times New Roman" w:cs="Times New Roman"/>
        </w:rPr>
      </w:pPr>
    </w:p>
    <w:p w:rsidR="001A34BE" w:rsidRDefault="001A34BE" w:rsidP="00502318">
      <w:pPr>
        <w:ind w:firstLine="708"/>
        <w:contextualSpacing/>
        <w:jc w:val="both"/>
        <w:rPr>
          <w:rFonts w:ascii="Times New Roman" w:hAnsi="Times New Roman" w:cs="Times New Roman"/>
        </w:rPr>
      </w:pPr>
    </w:p>
    <w:p w:rsidR="001A34BE" w:rsidRDefault="001A34BE" w:rsidP="00502318">
      <w:pPr>
        <w:ind w:firstLine="708"/>
        <w:contextualSpacing/>
        <w:jc w:val="both"/>
        <w:rPr>
          <w:rFonts w:ascii="Times New Roman" w:hAnsi="Times New Roman" w:cs="Times New Roman"/>
        </w:rPr>
      </w:pPr>
    </w:p>
    <w:p w:rsidR="001A34BE" w:rsidRDefault="001A34BE" w:rsidP="00502318">
      <w:pPr>
        <w:ind w:firstLine="708"/>
        <w:contextualSpacing/>
        <w:jc w:val="both"/>
        <w:rPr>
          <w:rFonts w:ascii="Times New Roman" w:hAnsi="Times New Roman" w:cs="Times New Roman"/>
        </w:rPr>
      </w:pPr>
    </w:p>
    <w:p w:rsidR="001A34BE" w:rsidRDefault="001A34BE" w:rsidP="00502318">
      <w:pPr>
        <w:ind w:firstLine="708"/>
        <w:contextualSpacing/>
        <w:jc w:val="both"/>
        <w:rPr>
          <w:rFonts w:ascii="Times New Roman" w:hAnsi="Times New Roman" w:cs="Times New Roman"/>
        </w:rPr>
      </w:pPr>
    </w:p>
    <w:p w:rsidR="001A34BE" w:rsidRDefault="001A34BE" w:rsidP="00502318">
      <w:pPr>
        <w:ind w:firstLine="708"/>
        <w:contextualSpacing/>
        <w:jc w:val="both"/>
        <w:rPr>
          <w:rFonts w:ascii="Times New Roman" w:hAnsi="Times New Roman" w:cs="Times New Roman"/>
        </w:rPr>
      </w:pPr>
    </w:p>
    <w:p w:rsidR="001A34BE" w:rsidRDefault="001A34BE" w:rsidP="00502318">
      <w:pPr>
        <w:ind w:firstLine="708"/>
        <w:contextualSpacing/>
        <w:jc w:val="both"/>
        <w:rPr>
          <w:rFonts w:ascii="Times New Roman" w:hAnsi="Times New Roman" w:cs="Times New Roman"/>
        </w:rPr>
      </w:pPr>
    </w:p>
    <w:p w:rsidR="001A34BE" w:rsidRDefault="001A34BE" w:rsidP="00502318">
      <w:pPr>
        <w:ind w:firstLine="708"/>
        <w:contextualSpacing/>
        <w:jc w:val="both"/>
        <w:rPr>
          <w:rFonts w:ascii="Times New Roman" w:hAnsi="Times New Roman" w:cs="Times New Roman"/>
        </w:rPr>
      </w:pPr>
    </w:p>
    <w:p w:rsidR="001A34BE" w:rsidRDefault="001A34BE" w:rsidP="00502318">
      <w:pPr>
        <w:ind w:firstLine="708"/>
        <w:contextualSpacing/>
        <w:jc w:val="both"/>
        <w:rPr>
          <w:rFonts w:ascii="Times New Roman" w:hAnsi="Times New Roman" w:cs="Times New Roman"/>
        </w:rPr>
      </w:pPr>
    </w:p>
    <w:p w:rsidR="001A34BE" w:rsidRDefault="001A34BE" w:rsidP="00502318">
      <w:pPr>
        <w:ind w:firstLine="708"/>
        <w:contextualSpacing/>
        <w:jc w:val="both"/>
        <w:rPr>
          <w:rFonts w:ascii="Times New Roman" w:hAnsi="Times New Roman" w:cs="Times New Roman"/>
        </w:rPr>
      </w:pPr>
    </w:p>
    <w:p w:rsidR="001A34BE" w:rsidRDefault="001A34BE" w:rsidP="00502318">
      <w:pPr>
        <w:ind w:firstLine="708"/>
        <w:contextualSpacing/>
        <w:jc w:val="both"/>
        <w:rPr>
          <w:rFonts w:ascii="Times New Roman" w:hAnsi="Times New Roman" w:cs="Times New Roman"/>
        </w:rPr>
      </w:pPr>
    </w:p>
    <w:p w:rsidR="001A34BE" w:rsidRDefault="001A34BE" w:rsidP="00502318">
      <w:pPr>
        <w:ind w:firstLine="708"/>
        <w:contextualSpacing/>
        <w:jc w:val="both"/>
        <w:rPr>
          <w:rFonts w:ascii="Times New Roman" w:hAnsi="Times New Roman" w:cs="Times New Roman"/>
        </w:rPr>
      </w:pPr>
    </w:p>
    <w:p w:rsidR="007E3859" w:rsidRDefault="007E3859" w:rsidP="00502318">
      <w:pPr>
        <w:ind w:firstLine="708"/>
        <w:contextualSpacing/>
        <w:jc w:val="both"/>
        <w:rPr>
          <w:rFonts w:ascii="Times New Roman" w:hAnsi="Times New Roman" w:cs="Times New Roman"/>
        </w:rPr>
      </w:pPr>
    </w:p>
    <w:p w:rsidR="007E3859" w:rsidRDefault="007E3859" w:rsidP="00502318">
      <w:pPr>
        <w:ind w:firstLine="708"/>
        <w:contextualSpacing/>
        <w:jc w:val="both"/>
        <w:rPr>
          <w:rFonts w:ascii="Times New Roman" w:hAnsi="Times New Roman" w:cs="Times New Roman"/>
        </w:rPr>
      </w:pPr>
    </w:p>
    <w:p w:rsidR="009C536E" w:rsidRPr="00E7549F" w:rsidRDefault="009C536E" w:rsidP="00FE3331">
      <w:pPr>
        <w:pStyle w:val="Nadpis1"/>
        <w:numPr>
          <w:ilvl w:val="0"/>
          <w:numId w:val="3"/>
        </w:numPr>
        <w:spacing w:before="0" w:after="0"/>
        <w:ind w:left="426" w:hanging="426"/>
        <w:rPr>
          <w:rFonts w:ascii="Times New Roman" w:hAnsi="Times New Roman" w:cs="Times New Roman"/>
          <w:sz w:val="28"/>
          <w:szCs w:val="24"/>
        </w:rPr>
      </w:pPr>
      <w:bookmarkStart w:id="51" w:name="_Toc526273189"/>
      <w:r w:rsidRPr="00E7549F">
        <w:rPr>
          <w:rFonts w:ascii="Times New Roman" w:hAnsi="Times New Roman" w:cs="Times New Roman"/>
          <w:sz w:val="28"/>
          <w:szCs w:val="24"/>
        </w:rPr>
        <w:lastRenderedPageBreak/>
        <w:t>Rozpočtovanie výdavkov štátneho rozpočtu</w:t>
      </w:r>
      <w:bookmarkEnd w:id="46"/>
      <w:bookmarkEnd w:id="47"/>
      <w:bookmarkEnd w:id="48"/>
      <w:bookmarkEnd w:id="49"/>
      <w:bookmarkEnd w:id="51"/>
    </w:p>
    <w:p w:rsidR="00B5225B" w:rsidRPr="009A178E" w:rsidRDefault="00B5225B" w:rsidP="009A178E">
      <w:pPr>
        <w:pStyle w:val="Nadpis2"/>
        <w:rPr>
          <w:rFonts w:ascii="Times New Roman" w:hAnsi="Times New Roman"/>
          <w:i w:val="0"/>
          <w:sz w:val="24"/>
        </w:rPr>
      </w:pPr>
      <w:bookmarkStart w:id="52" w:name="_Toc395259577"/>
      <w:bookmarkStart w:id="53" w:name="_Toc525922384"/>
      <w:bookmarkStart w:id="54" w:name="_Toc526273190"/>
      <w:r w:rsidRPr="009A178E">
        <w:rPr>
          <w:rFonts w:ascii="Times New Roman" w:hAnsi="Times New Roman"/>
          <w:i w:val="0"/>
          <w:sz w:val="24"/>
        </w:rPr>
        <w:t>4.1. Kvantifikácia výdavkov štátneho rozpočtu</w:t>
      </w:r>
      <w:bookmarkEnd w:id="52"/>
      <w:bookmarkEnd w:id="53"/>
      <w:bookmarkEnd w:id="54"/>
      <w:r w:rsidRPr="009A178E">
        <w:rPr>
          <w:rFonts w:ascii="Times New Roman" w:hAnsi="Times New Roman"/>
          <w:i w:val="0"/>
          <w:sz w:val="24"/>
        </w:rPr>
        <w:t xml:space="preserve"> </w:t>
      </w:r>
    </w:p>
    <w:p w:rsidR="00B5225B" w:rsidRDefault="00B5225B" w:rsidP="00B5225B">
      <w:pPr>
        <w:rPr>
          <w:rFonts w:ascii="Times New Roman" w:hAnsi="Times New Roman" w:cs="Times New Roman"/>
          <w:b/>
          <w:bCs/>
          <w:iCs/>
          <w:szCs w:val="28"/>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2"/>
        <w:gridCol w:w="899"/>
        <w:gridCol w:w="899"/>
        <w:gridCol w:w="898"/>
        <w:gridCol w:w="898"/>
        <w:gridCol w:w="898"/>
        <w:gridCol w:w="898"/>
        <w:gridCol w:w="875"/>
      </w:tblGrid>
      <w:tr w:rsidR="00B5225B" w:rsidTr="009A178E">
        <w:trPr>
          <w:trHeight w:val="266"/>
        </w:trPr>
        <w:tc>
          <w:tcPr>
            <w:tcW w:w="1541"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vAlign w:val="center"/>
            <w:hideMark/>
          </w:tcPr>
          <w:p w:rsidR="00B5225B" w:rsidRDefault="00B5225B" w:rsidP="009A178E">
            <w:pPr>
              <w:rPr>
                <w:rFonts w:ascii="Times New Roman" w:hAnsi="Times New Roman"/>
                <w:b/>
                <w:bCs/>
                <w:sz w:val="14"/>
                <w:szCs w:val="14"/>
              </w:rPr>
            </w:pPr>
            <w:r>
              <w:rPr>
                <w:rFonts w:ascii="Times New Roman" w:hAnsi="Times New Roman"/>
                <w:b/>
                <w:bCs/>
                <w:sz w:val="14"/>
                <w:szCs w:val="14"/>
              </w:rPr>
              <w:t>v tis. eur</w:t>
            </w:r>
          </w:p>
        </w:tc>
        <w:tc>
          <w:tcPr>
            <w:tcW w:w="496"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B5225B" w:rsidRDefault="00B5225B" w:rsidP="009A178E">
            <w:pPr>
              <w:jc w:val="center"/>
              <w:rPr>
                <w:rFonts w:ascii="Times New Roman" w:hAnsi="Times New Roman"/>
                <w:b/>
                <w:bCs/>
                <w:sz w:val="14"/>
                <w:szCs w:val="14"/>
              </w:rPr>
            </w:pPr>
            <w:r>
              <w:rPr>
                <w:rFonts w:ascii="Times New Roman" w:hAnsi="Times New Roman"/>
                <w:b/>
                <w:bCs/>
                <w:sz w:val="14"/>
                <w:szCs w:val="14"/>
              </w:rPr>
              <w:t>2016 S</w:t>
            </w:r>
          </w:p>
        </w:tc>
        <w:tc>
          <w:tcPr>
            <w:tcW w:w="496"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B5225B" w:rsidRDefault="00B5225B" w:rsidP="007B0391">
            <w:pPr>
              <w:jc w:val="center"/>
              <w:rPr>
                <w:rFonts w:ascii="Times New Roman" w:hAnsi="Times New Roman"/>
                <w:b/>
                <w:bCs/>
                <w:sz w:val="14"/>
                <w:szCs w:val="14"/>
              </w:rPr>
            </w:pPr>
            <w:r>
              <w:rPr>
                <w:rFonts w:ascii="Times New Roman" w:hAnsi="Times New Roman"/>
                <w:b/>
                <w:bCs/>
                <w:sz w:val="14"/>
                <w:szCs w:val="14"/>
              </w:rPr>
              <w:t>201</w:t>
            </w:r>
            <w:r w:rsidR="007B0391">
              <w:rPr>
                <w:rFonts w:ascii="Times New Roman" w:hAnsi="Times New Roman"/>
                <w:b/>
                <w:bCs/>
                <w:sz w:val="14"/>
                <w:szCs w:val="14"/>
              </w:rPr>
              <w:t>7</w:t>
            </w:r>
            <w:r>
              <w:rPr>
                <w:rFonts w:ascii="Times New Roman" w:hAnsi="Times New Roman"/>
                <w:b/>
                <w:bCs/>
                <w:sz w:val="14"/>
                <w:szCs w:val="14"/>
              </w:rPr>
              <w:t xml:space="preserve"> S</w:t>
            </w:r>
          </w:p>
        </w:tc>
        <w:tc>
          <w:tcPr>
            <w:tcW w:w="496"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B5225B" w:rsidRDefault="00B5225B" w:rsidP="009A178E">
            <w:pPr>
              <w:jc w:val="center"/>
              <w:rPr>
                <w:rFonts w:ascii="Times New Roman" w:hAnsi="Times New Roman"/>
                <w:b/>
                <w:bCs/>
                <w:sz w:val="14"/>
                <w:szCs w:val="14"/>
              </w:rPr>
            </w:pPr>
            <w:r>
              <w:rPr>
                <w:rFonts w:ascii="Times New Roman" w:hAnsi="Times New Roman"/>
                <w:b/>
                <w:bCs/>
                <w:sz w:val="14"/>
                <w:szCs w:val="14"/>
              </w:rPr>
              <w:t>2018 R</w:t>
            </w:r>
          </w:p>
        </w:tc>
        <w:tc>
          <w:tcPr>
            <w:tcW w:w="496"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vAlign w:val="center"/>
            <w:hideMark/>
          </w:tcPr>
          <w:p w:rsidR="00B5225B" w:rsidRDefault="00B5225B" w:rsidP="009A178E">
            <w:pPr>
              <w:jc w:val="center"/>
              <w:rPr>
                <w:rFonts w:ascii="Times New Roman" w:hAnsi="Times New Roman"/>
                <w:b/>
                <w:bCs/>
                <w:sz w:val="14"/>
                <w:szCs w:val="14"/>
              </w:rPr>
            </w:pPr>
            <w:r>
              <w:rPr>
                <w:rFonts w:ascii="Times New Roman" w:hAnsi="Times New Roman"/>
                <w:b/>
                <w:bCs/>
                <w:sz w:val="14"/>
                <w:szCs w:val="14"/>
              </w:rPr>
              <w:t>2018 OS</w:t>
            </w:r>
          </w:p>
        </w:tc>
        <w:tc>
          <w:tcPr>
            <w:tcW w:w="496"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vAlign w:val="center"/>
            <w:hideMark/>
          </w:tcPr>
          <w:p w:rsidR="00B5225B" w:rsidRDefault="00B5225B" w:rsidP="009A178E">
            <w:pPr>
              <w:jc w:val="center"/>
              <w:rPr>
                <w:rFonts w:ascii="Times New Roman" w:hAnsi="Times New Roman"/>
                <w:b/>
                <w:bCs/>
                <w:sz w:val="14"/>
                <w:szCs w:val="14"/>
              </w:rPr>
            </w:pPr>
            <w:r>
              <w:rPr>
                <w:rFonts w:ascii="Times New Roman" w:hAnsi="Times New Roman"/>
                <w:b/>
                <w:bCs/>
                <w:sz w:val="14"/>
                <w:szCs w:val="14"/>
              </w:rPr>
              <w:t>2019 N</w:t>
            </w:r>
          </w:p>
        </w:tc>
        <w:tc>
          <w:tcPr>
            <w:tcW w:w="496" w:type="pct"/>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vAlign w:val="center"/>
            <w:hideMark/>
          </w:tcPr>
          <w:p w:rsidR="00B5225B" w:rsidRDefault="00B5225B" w:rsidP="009A178E">
            <w:pPr>
              <w:jc w:val="center"/>
              <w:rPr>
                <w:rFonts w:ascii="Times New Roman" w:hAnsi="Times New Roman"/>
                <w:b/>
                <w:bCs/>
                <w:sz w:val="14"/>
                <w:szCs w:val="14"/>
              </w:rPr>
            </w:pPr>
            <w:r>
              <w:rPr>
                <w:rFonts w:ascii="Times New Roman" w:hAnsi="Times New Roman"/>
                <w:b/>
                <w:bCs/>
                <w:sz w:val="14"/>
                <w:szCs w:val="14"/>
              </w:rPr>
              <w:t>2020 N</w:t>
            </w:r>
          </w:p>
        </w:tc>
        <w:tc>
          <w:tcPr>
            <w:tcW w:w="484"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B5225B" w:rsidRDefault="00B5225B" w:rsidP="009A178E">
            <w:pPr>
              <w:jc w:val="center"/>
              <w:rPr>
                <w:rFonts w:ascii="Times New Roman" w:hAnsi="Times New Roman"/>
                <w:b/>
                <w:bCs/>
                <w:sz w:val="14"/>
                <w:szCs w:val="14"/>
              </w:rPr>
            </w:pPr>
            <w:r>
              <w:rPr>
                <w:rFonts w:ascii="Times New Roman" w:hAnsi="Times New Roman"/>
                <w:b/>
                <w:bCs/>
                <w:sz w:val="14"/>
                <w:szCs w:val="14"/>
              </w:rPr>
              <w:t>2021 N</w:t>
            </w:r>
          </w:p>
        </w:tc>
      </w:tr>
      <w:tr w:rsidR="00B5225B" w:rsidTr="009A178E">
        <w:trPr>
          <w:trHeight w:val="392"/>
        </w:trPr>
        <w:tc>
          <w:tcPr>
            <w:tcW w:w="1541"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hideMark/>
          </w:tcPr>
          <w:p w:rsidR="00B5225B" w:rsidRDefault="00B5225B" w:rsidP="009A178E">
            <w:pPr>
              <w:rPr>
                <w:rFonts w:ascii="Times New Roman" w:hAnsi="Times New Roman"/>
                <w:b/>
                <w:bCs/>
                <w:sz w:val="14"/>
                <w:szCs w:val="14"/>
              </w:rPr>
            </w:pPr>
            <w:r>
              <w:rPr>
                <w:rFonts w:ascii="Times New Roman" w:hAnsi="Times New Roman"/>
                <w:b/>
                <w:bCs/>
                <w:sz w:val="14"/>
                <w:szCs w:val="14"/>
              </w:rPr>
              <w:t>Výdavky štátneho rozpočtu</w:t>
            </w:r>
          </w:p>
        </w:tc>
        <w:tc>
          <w:tcPr>
            <w:tcW w:w="49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B5225B" w:rsidRDefault="00B5225B" w:rsidP="009A178E">
            <w:pPr>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 xml:space="preserve">     15 256 172</w:t>
            </w:r>
          </w:p>
        </w:tc>
        <w:tc>
          <w:tcPr>
            <w:tcW w:w="496" w:type="pct"/>
            <w:tcBorders>
              <w:top w:val="single" w:sz="4" w:space="0" w:color="auto"/>
              <w:left w:val="single" w:sz="4" w:space="0" w:color="auto"/>
              <w:bottom w:val="single" w:sz="4" w:space="0" w:color="auto"/>
              <w:right w:val="single" w:sz="4" w:space="0" w:color="auto"/>
            </w:tcBorders>
            <w:shd w:val="clear" w:color="auto" w:fill="BFBFBF"/>
            <w:vAlign w:val="center"/>
          </w:tcPr>
          <w:p w:rsidR="00B5225B" w:rsidRDefault="00B5225B" w:rsidP="009A178E">
            <w:pPr>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 xml:space="preserve">      </w:t>
            </w:r>
            <w:r w:rsidRPr="00A5079E">
              <w:rPr>
                <w:rFonts w:ascii="Times New Roman" w:hAnsi="Times New Roman" w:cs="Times New Roman"/>
                <w:b/>
                <w:bCs/>
                <w:color w:val="000000"/>
                <w:sz w:val="14"/>
                <w:szCs w:val="14"/>
              </w:rPr>
              <w:t>15 234 261</w:t>
            </w:r>
          </w:p>
        </w:tc>
        <w:tc>
          <w:tcPr>
            <w:tcW w:w="496" w:type="pct"/>
            <w:tcBorders>
              <w:top w:val="single" w:sz="4" w:space="0" w:color="auto"/>
              <w:left w:val="single" w:sz="4" w:space="0" w:color="auto"/>
              <w:bottom w:val="single" w:sz="4" w:space="0" w:color="auto"/>
              <w:right w:val="single" w:sz="4" w:space="0" w:color="auto"/>
            </w:tcBorders>
            <w:shd w:val="clear" w:color="auto" w:fill="BFBFBF"/>
            <w:vAlign w:val="center"/>
          </w:tcPr>
          <w:p w:rsidR="00B5225B" w:rsidRDefault="00B5225B" w:rsidP="009A178E">
            <w:pPr>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 xml:space="preserve">     15 955 715</w:t>
            </w:r>
          </w:p>
        </w:tc>
        <w:tc>
          <w:tcPr>
            <w:tcW w:w="496"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tcPr>
          <w:p w:rsidR="00B5225B" w:rsidRDefault="00B5225B" w:rsidP="009A178E">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15 697 900</w:t>
            </w:r>
          </w:p>
        </w:tc>
        <w:tc>
          <w:tcPr>
            <w:tcW w:w="496"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tcPr>
          <w:p w:rsidR="00B5225B" w:rsidRDefault="00B5225B" w:rsidP="009A178E">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 xml:space="preserve">  17 635 792</w:t>
            </w:r>
          </w:p>
        </w:tc>
        <w:tc>
          <w:tcPr>
            <w:tcW w:w="496" w:type="pct"/>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tcPr>
          <w:p w:rsidR="00B5225B" w:rsidRDefault="00B5225B" w:rsidP="009A178E">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19 650 719</w:t>
            </w:r>
          </w:p>
        </w:tc>
        <w:tc>
          <w:tcPr>
            <w:tcW w:w="484" w:type="pct"/>
            <w:tcBorders>
              <w:top w:val="single" w:sz="4" w:space="0" w:color="auto"/>
              <w:left w:val="single" w:sz="4" w:space="0" w:color="auto"/>
              <w:bottom w:val="single" w:sz="4" w:space="0" w:color="auto"/>
              <w:right w:val="single" w:sz="4" w:space="0" w:color="auto"/>
            </w:tcBorders>
            <w:shd w:val="clear" w:color="auto" w:fill="BFBFBF"/>
            <w:vAlign w:val="center"/>
          </w:tcPr>
          <w:p w:rsidR="00B5225B" w:rsidRDefault="00B5225B" w:rsidP="009A178E">
            <w:pPr>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 xml:space="preserve">     19 219 886</w:t>
            </w:r>
          </w:p>
        </w:tc>
      </w:tr>
      <w:tr w:rsidR="00B5225B" w:rsidTr="009A178E">
        <w:trPr>
          <w:trHeight w:val="266"/>
        </w:trPr>
        <w:tc>
          <w:tcPr>
            <w:tcW w:w="154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5225B" w:rsidRDefault="00B5225B" w:rsidP="009A178E">
            <w:pPr>
              <w:rPr>
                <w:rFonts w:ascii="Times New Roman" w:hAnsi="Times New Roman"/>
                <w:sz w:val="14"/>
                <w:szCs w:val="14"/>
              </w:rPr>
            </w:pPr>
            <w:r>
              <w:rPr>
                <w:rFonts w:ascii="Times New Roman" w:hAnsi="Times New Roman"/>
                <w:sz w:val="14"/>
                <w:szCs w:val="14"/>
              </w:rPr>
              <w:t>z toho:</w:t>
            </w:r>
          </w:p>
        </w:tc>
        <w:tc>
          <w:tcPr>
            <w:tcW w:w="496" w:type="pct"/>
            <w:tcBorders>
              <w:top w:val="single" w:sz="4" w:space="0" w:color="auto"/>
              <w:left w:val="single" w:sz="4" w:space="0" w:color="auto"/>
              <w:bottom w:val="single" w:sz="4" w:space="0" w:color="auto"/>
              <w:right w:val="single" w:sz="4" w:space="0" w:color="auto"/>
            </w:tcBorders>
            <w:vAlign w:val="center"/>
          </w:tcPr>
          <w:p w:rsidR="00B5225B" w:rsidRDefault="00B5225B" w:rsidP="009A178E">
            <w:pPr>
              <w:jc w:val="right"/>
              <w:rPr>
                <w:rFonts w:ascii="Times New Roman" w:hAnsi="Times New Roman" w:cs="Times New Roman"/>
                <w:sz w:val="14"/>
                <w:szCs w:val="14"/>
              </w:rPr>
            </w:pPr>
          </w:p>
        </w:tc>
        <w:tc>
          <w:tcPr>
            <w:tcW w:w="496" w:type="pct"/>
            <w:tcBorders>
              <w:top w:val="single" w:sz="4" w:space="0" w:color="auto"/>
              <w:left w:val="single" w:sz="4" w:space="0" w:color="auto"/>
              <w:bottom w:val="single" w:sz="4" w:space="0" w:color="auto"/>
              <w:right w:val="single" w:sz="4" w:space="0" w:color="auto"/>
            </w:tcBorders>
            <w:vAlign w:val="center"/>
          </w:tcPr>
          <w:p w:rsidR="00B5225B" w:rsidRDefault="00B5225B" w:rsidP="009A178E">
            <w:pPr>
              <w:jc w:val="right"/>
              <w:rPr>
                <w:rFonts w:ascii="Times New Roman" w:hAnsi="Times New Roman" w:cs="Times New Roman"/>
                <w:sz w:val="14"/>
                <w:szCs w:val="14"/>
              </w:rPr>
            </w:pPr>
          </w:p>
        </w:tc>
        <w:tc>
          <w:tcPr>
            <w:tcW w:w="496" w:type="pct"/>
            <w:tcBorders>
              <w:top w:val="single" w:sz="4" w:space="0" w:color="auto"/>
              <w:left w:val="single" w:sz="4" w:space="0" w:color="auto"/>
              <w:bottom w:val="single" w:sz="4" w:space="0" w:color="auto"/>
              <w:right w:val="single" w:sz="4" w:space="0" w:color="auto"/>
            </w:tcBorders>
            <w:vAlign w:val="center"/>
          </w:tcPr>
          <w:p w:rsidR="00B5225B" w:rsidRDefault="00B5225B" w:rsidP="009A178E">
            <w:pPr>
              <w:jc w:val="right"/>
              <w:rPr>
                <w:rFonts w:ascii="Times New Roman" w:hAnsi="Times New Roman" w:cs="Times New Roman"/>
                <w:sz w:val="14"/>
                <w:szCs w:val="14"/>
              </w:rPr>
            </w:pPr>
          </w:p>
        </w:tc>
        <w:tc>
          <w:tcPr>
            <w:tcW w:w="49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5225B" w:rsidRDefault="00B5225B" w:rsidP="009A178E">
            <w:pPr>
              <w:jc w:val="right"/>
              <w:rPr>
                <w:rFonts w:ascii="Times New Roman" w:hAnsi="Times New Roman" w:cs="Times New Roman"/>
                <w:sz w:val="14"/>
                <w:szCs w:val="14"/>
              </w:rPr>
            </w:pPr>
          </w:p>
        </w:tc>
        <w:tc>
          <w:tcPr>
            <w:tcW w:w="49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5225B" w:rsidRDefault="00B5225B" w:rsidP="009A178E">
            <w:pPr>
              <w:jc w:val="right"/>
              <w:rPr>
                <w:rFonts w:ascii="Times New Roman" w:hAnsi="Times New Roman" w:cs="Times New Roman"/>
                <w:sz w:val="14"/>
                <w:szCs w:val="14"/>
              </w:rPr>
            </w:pPr>
          </w:p>
        </w:tc>
        <w:tc>
          <w:tcPr>
            <w:tcW w:w="49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5225B" w:rsidRDefault="00B5225B" w:rsidP="009A178E">
            <w:pPr>
              <w:jc w:val="right"/>
              <w:rPr>
                <w:rFonts w:ascii="Times New Roman" w:hAnsi="Times New Roman" w:cs="Times New Roman"/>
                <w:sz w:val="14"/>
                <w:szCs w:val="14"/>
              </w:rPr>
            </w:pPr>
          </w:p>
        </w:tc>
        <w:tc>
          <w:tcPr>
            <w:tcW w:w="484" w:type="pct"/>
            <w:tcBorders>
              <w:top w:val="single" w:sz="4" w:space="0" w:color="auto"/>
              <w:left w:val="single" w:sz="4" w:space="0" w:color="auto"/>
              <w:bottom w:val="single" w:sz="4" w:space="0" w:color="auto"/>
              <w:right w:val="single" w:sz="4" w:space="0" w:color="auto"/>
            </w:tcBorders>
            <w:vAlign w:val="center"/>
          </w:tcPr>
          <w:p w:rsidR="00B5225B" w:rsidRDefault="00B5225B" w:rsidP="009A178E">
            <w:pPr>
              <w:jc w:val="right"/>
              <w:rPr>
                <w:rFonts w:ascii="Times New Roman" w:hAnsi="Times New Roman" w:cs="Times New Roman"/>
                <w:sz w:val="14"/>
                <w:szCs w:val="14"/>
              </w:rPr>
            </w:pPr>
          </w:p>
        </w:tc>
      </w:tr>
      <w:tr w:rsidR="00B5225B" w:rsidTr="009A178E">
        <w:trPr>
          <w:trHeight w:val="266"/>
        </w:trPr>
        <w:tc>
          <w:tcPr>
            <w:tcW w:w="154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5225B" w:rsidRDefault="00B5225B" w:rsidP="009A178E">
            <w:pPr>
              <w:ind w:left="284" w:hanging="284"/>
              <w:rPr>
                <w:rFonts w:ascii="Times New Roman" w:hAnsi="Times New Roman"/>
                <w:sz w:val="14"/>
                <w:szCs w:val="14"/>
              </w:rPr>
            </w:pPr>
            <w:r>
              <w:rPr>
                <w:rFonts w:ascii="Times New Roman" w:hAnsi="Times New Roman"/>
                <w:sz w:val="14"/>
                <w:szCs w:val="14"/>
              </w:rPr>
              <w:t xml:space="preserve">        Výdavky podľa § 17 ods. 4 zákona </w:t>
            </w:r>
            <w:r>
              <w:rPr>
                <w:rFonts w:ascii="Times New Roman" w:hAnsi="Times New Roman"/>
                <w:sz w:val="14"/>
                <w:szCs w:val="14"/>
              </w:rPr>
              <w:br/>
              <w:t xml:space="preserve">č. 523/2004 Z. z. </w:t>
            </w:r>
          </w:p>
        </w:tc>
        <w:tc>
          <w:tcPr>
            <w:tcW w:w="496" w:type="pct"/>
            <w:tcBorders>
              <w:top w:val="single" w:sz="4" w:space="0" w:color="auto"/>
              <w:left w:val="single" w:sz="4" w:space="0" w:color="auto"/>
              <w:bottom w:val="single" w:sz="4" w:space="0" w:color="auto"/>
              <w:right w:val="single" w:sz="4" w:space="0" w:color="auto"/>
            </w:tcBorders>
            <w:vAlign w:val="center"/>
          </w:tcPr>
          <w:p w:rsidR="00B5225B" w:rsidRDefault="00B5225B" w:rsidP="00B5225B">
            <w:pPr>
              <w:pStyle w:val="Odsekzoznamu"/>
              <w:numPr>
                <w:ilvl w:val="0"/>
                <w:numId w:val="5"/>
              </w:numPr>
              <w:jc w:val="right"/>
              <w:rPr>
                <w:rFonts w:ascii="Times New Roman" w:hAnsi="Times New Roman" w:cs="Times New Roman"/>
                <w:color w:val="000000"/>
                <w:sz w:val="14"/>
                <w:szCs w:val="14"/>
              </w:rPr>
            </w:pPr>
          </w:p>
        </w:tc>
        <w:tc>
          <w:tcPr>
            <w:tcW w:w="496" w:type="pct"/>
            <w:tcBorders>
              <w:top w:val="single" w:sz="4" w:space="0" w:color="auto"/>
              <w:left w:val="single" w:sz="4" w:space="0" w:color="auto"/>
              <w:bottom w:val="single" w:sz="4" w:space="0" w:color="auto"/>
              <w:right w:val="single" w:sz="4" w:space="0" w:color="auto"/>
            </w:tcBorders>
            <w:vAlign w:val="center"/>
          </w:tcPr>
          <w:p w:rsidR="00B5225B" w:rsidRDefault="00B5225B" w:rsidP="00B5225B">
            <w:pPr>
              <w:pStyle w:val="Odsekzoznamu"/>
              <w:numPr>
                <w:ilvl w:val="0"/>
                <w:numId w:val="5"/>
              </w:numPr>
              <w:jc w:val="right"/>
              <w:rPr>
                <w:rFonts w:ascii="Times New Roman" w:hAnsi="Times New Roman" w:cs="Times New Roman"/>
                <w:color w:val="000000"/>
                <w:sz w:val="14"/>
                <w:szCs w:val="14"/>
              </w:rPr>
            </w:pPr>
          </w:p>
        </w:tc>
        <w:tc>
          <w:tcPr>
            <w:tcW w:w="496" w:type="pct"/>
            <w:tcBorders>
              <w:top w:val="single" w:sz="4" w:space="0" w:color="auto"/>
              <w:left w:val="single" w:sz="4" w:space="0" w:color="auto"/>
              <w:bottom w:val="single" w:sz="4" w:space="0" w:color="auto"/>
              <w:right w:val="single" w:sz="4" w:space="0" w:color="auto"/>
            </w:tcBorders>
            <w:vAlign w:val="center"/>
          </w:tcPr>
          <w:p w:rsidR="00B5225B" w:rsidRDefault="00B5225B" w:rsidP="009A178E">
            <w:pPr>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2 274</w:t>
            </w:r>
          </w:p>
        </w:tc>
        <w:tc>
          <w:tcPr>
            <w:tcW w:w="49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5225B" w:rsidRPr="00BD32C3" w:rsidRDefault="00B5225B" w:rsidP="009A178E">
            <w:pPr>
              <w:jc w:val="right"/>
              <w:rPr>
                <w:rFonts w:ascii="Times New Roman" w:hAnsi="Times New Roman" w:cs="Times New Roman"/>
                <w:color w:val="000000"/>
                <w:sz w:val="14"/>
                <w:szCs w:val="14"/>
              </w:rPr>
            </w:pPr>
            <w:r w:rsidRPr="00BD32C3">
              <w:rPr>
                <w:rFonts w:ascii="Times New Roman" w:hAnsi="Times New Roman" w:cs="Times New Roman"/>
                <w:color w:val="000000"/>
                <w:sz w:val="14"/>
                <w:szCs w:val="14"/>
              </w:rPr>
              <w:t>2 274</w:t>
            </w:r>
          </w:p>
        </w:tc>
        <w:tc>
          <w:tcPr>
            <w:tcW w:w="49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5225B" w:rsidRDefault="00B5225B" w:rsidP="009A178E">
            <w:pPr>
              <w:jc w:val="right"/>
              <w:rPr>
                <w:rFonts w:ascii="Times New Roman" w:hAnsi="Times New Roman" w:cs="Times New Roman"/>
                <w:color w:val="000000"/>
                <w:sz w:val="14"/>
                <w:szCs w:val="14"/>
              </w:rPr>
            </w:pPr>
            <w:r>
              <w:rPr>
                <w:rFonts w:ascii="Times New Roman" w:hAnsi="Times New Roman" w:cs="Times New Roman"/>
                <w:color w:val="000000"/>
                <w:sz w:val="14"/>
                <w:szCs w:val="14"/>
              </w:rPr>
              <w:t>2 369</w:t>
            </w:r>
          </w:p>
        </w:tc>
        <w:tc>
          <w:tcPr>
            <w:tcW w:w="49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5225B" w:rsidRDefault="00B5225B" w:rsidP="009A178E">
            <w:pPr>
              <w:jc w:val="right"/>
              <w:rPr>
                <w:rFonts w:ascii="Times New Roman" w:hAnsi="Times New Roman" w:cs="Times New Roman"/>
                <w:color w:val="000000"/>
                <w:sz w:val="14"/>
                <w:szCs w:val="14"/>
              </w:rPr>
            </w:pPr>
            <w:r>
              <w:rPr>
                <w:rFonts w:ascii="Times New Roman" w:hAnsi="Times New Roman" w:cs="Times New Roman"/>
                <w:color w:val="000000"/>
                <w:sz w:val="14"/>
                <w:szCs w:val="14"/>
              </w:rPr>
              <w:t>2 370</w:t>
            </w:r>
          </w:p>
        </w:tc>
        <w:tc>
          <w:tcPr>
            <w:tcW w:w="484" w:type="pct"/>
            <w:tcBorders>
              <w:top w:val="single" w:sz="4" w:space="0" w:color="auto"/>
              <w:left w:val="single" w:sz="4" w:space="0" w:color="auto"/>
              <w:bottom w:val="single" w:sz="4" w:space="0" w:color="auto"/>
              <w:right w:val="single" w:sz="4" w:space="0" w:color="auto"/>
            </w:tcBorders>
            <w:vAlign w:val="center"/>
          </w:tcPr>
          <w:p w:rsidR="00B5225B" w:rsidRDefault="00B5225B" w:rsidP="009A178E">
            <w:pPr>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2 370</w:t>
            </w:r>
          </w:p>
        </w:tc>
      </w:tr>
      <w:tr w:rsidR="00B5225B" w:rsidTr="009A178E">
        <w:trPr>
          <w:trHeight w:val="266"/>
        </w:trPr>
        <w:tc>
          <w:tcPr>
            <w:tcW w:w="154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5225B" w:rsidRDefault="00B5225B" w:rsidP="009A178E">
            <w:pPr>
              <w:ind w:left="284" w:hanging="284"/>
              <w:rPr>
                <w:rFonts w:ascii="Times New Roman" w:hAnsi="Times New Roman"/>
                <w:sz w:val="14"/>
                <w:szCs w:val="14"/>
              </w:rPr>
            </w:pPr>
            <w:r>
              <w:rPr>
                <w:rFonts w:ascii="Times New Roman" w:hAnsi="Times New Roman"/>
                <w:sz w:val="14"/>
                <w:szCs w:val="14"/>
              </w:rPr>
              <w:t xml:space="preserve">        Výdavky na obsluhu štátneho dlhu</w:t>
            </w:r>
          </w:p>
        </w:tc>
        <w:tc>
          <w:tcPr>
            <w:tcW w:w="496" w:type="pct"/>
            <w:tcBorders>
              <w:top w:val="single" w:sz="4" w:space="0" w:color="auto"/>
              <w:left w:val="single" w:sz="4" w:space="0" w:color="auto"/>
              <w:bottom w:val="single" w:sz="4" w:space="0" w:color="auto"/>
              <w:right w:val="single" w:sz="4" w:space="0" w:color="auto"/>
            </w:tcBorders>
            <w:vAlign w:val="center"/>
            <w:hideMark/>
          </w:tcPr>
          <w:p w:rsidR="00B5225B" w:rsidRDefault="00B5225B" w:rsidP="009A178E">
            <w:pPr>
              <w:jc w:val="center"/>
              <w:rPr>
                <w:rFonts w:ascii="Times New Roman" w:hAnsi="Times New Roman" w:cs="Times New Roman"/>
                <w:sz w:val="14"/>
                <w:szCs w:val="14"/>
              </w:rPr>
            </w:pPr>
            <w:r>
              <w:rPr>
                <w:rFonts w:ascii="Times New Roman" w:hAnsi="Times New Roman" w:cs="Times New Roman"/>
                <w:sz w:val="14"/>
                <w:szCs w:val="14"/>
              </w:rPr>
              <w:t xml:space="preserve">        1 174 997</w:t>
            </w:r>
          </w:p>
        </w:tc>
        <w:tc>
          <w:tcPr>
            <w:tcW w:w="496" w:type="pct"/>
            <w:tcBorders>
              <w:top w:val="single" w:sz="4" w:space="0" w:color="auto"/>
              <w:left w:val="single" w:sz="4" w:space="0" w:color="auto"/>
              <w:bottom w:val="single" w:sz="4" w:space="0" w:color="auto"/>
              <w:right w:val="single" w:sz="4" w:space="0" w:color="auto"/>
            </w:tcBorders>
            <w:vAlign w:val="center"/>
          </w:tcPr>
          <w:p w:rsidR="00B5225B" w:rsidRDefault="00B5225B" w:rsidP="009A178E">
            <w:pPr>
              <w:jc w:val="center"/>
              <w:rPr>
                <w:rFonts w:ascii="Times New Roman" w:hAnsi="Times New Roman" w:cs="Times New Roman"/>
                <w:sz w:val="14"/>
                <w:szCs w:val="14"/>
              </w:rPr>
            </w:pPr>
            <w:r>
              <w:rPr>
                <w:rFonts w:ascii="Times New Roman" w:hAnsi="Times New Roman" w:cs="Times New Roman"/>
                <w:sz w:val="14"/>
                <w:szCs w:val="14"/>
              </w:rPr>
              <w:t xml:space="preserve">        </w:t>
            </w:r>
            <w:r w:rsidRPr="00A5079E">
              <w:rPr>
                <w:rFonts w:ascii="Times New Roman" w:hAnsi="Times New Roman" w:cs="Times New Roman"/>
                <w:sz w:val="14"/>
                <w:szCs w:val="14"/>
              </w:rPr>
              <w:t>1 166 569</w:t>
            </w:r>
          </w:p>
        </w:tc>
        <w:tc>
          <w:tcPr>
            <w:tcW w:w="496" w:type="pct"/>
            <w:tcBorders>
              <w:top w:val="single" w:sz="4" w:space="0" w:color="auto"/>
              <w:left w:val="single" w:sz="4" w:space="0" w:color="auto"/>
              <w:bottom w:val="single" w:sz="4" w:space="0" w:color="auto"/>
              <w:right w:val="single" w:sz="4" w:space="0" w:color="auto"/>
            </w:tcBorders>
            <w:vAlign w:val="center"/>
          </w:tcPr>
          <w:p w:rsidR="00B5225B" w:rsidRDefault="00B5225B" w:rsidP="009A178E">
            <w:pPr>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1 151 189</w:t>
            </w:r>
          </w:p>
        </w:tc>
        <w:tc>
          <w:tcPr>
            <w:tcW w:w="49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5225B" w:rsidRDefault="00B5225B" w:rsidP="009A178E">
            <w:pPr>
              <w:jc w:val="right"/>
              <w:rPr>
                <w:rFonts w:ascii="Times New Roman" w:hAnsi="Times New Roman" w:cs="Times New Roman"/>
                <w:color w:val="000000"/>
                <w:sz w:val="14"/>
                <w:szCs w:val="14"/>
              </w:rPr>
            </w:pPr>
            <w:r>
              <w:rPr>
                <w:rFonts w:ascii="Times New Roman" w:hAnsi="Times New Roman" w:cs="Times New Roman"/>
                <w:color w:val="000000"/>
                <w:sz w:val="14"/>
                <w:szCs w:val="14"/>
              </w:rPr>
              <w:t>1 140 622</w:t>
            </w:r>
          </w:p>
        </w:tc>
        <w:tc>
          <w:tcPr>
            <w:tcW w:w="49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5225B" w:rsidRDefault="00B5225B" w:rsidP="009A178E">
            <w:pPr>
              <w:jc w:val="right"/>
              <w:rPr>
                <w:rFonts w:ascii="Times New Roman" w:hAnsi="Times New Roman" w:cs="Times New Roman"/>
                <w:color w:val="000000"/>
                <w:sz w:val="14"/>
                <w:szCs w:val="14"/>
              </w:rPr>
            </w:pPr>
            <w:r>
              <w:rPr>
                <w:rFonts w:ascii="Times New Roman" w:hAnsi="Times New Roman" w:cs="Times New Roman"/>
                <w:color w:val="000000"/>
                <w:sz w:val="14"/>
                <w:szCs w:val="14"/>
              </w:rPr>
              <w:t>1 178 597</w:t>
            </w:r>
          </w:p>
        </w:tc>
        <w:tc>
          <w:tcPr>
            <w:tcW w:w="49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5225B" w:rsidRDefault="00B5225B" w:rsidP="009A178E">
            <w:pPr>
              <w:jc w:val="right"/>
              <w:rPr>
                <w:rFonts w:ascii="Times New Roman" w:hAnsi="Times New Roman" w:cs="Times New Roman"/>
                <w:color w:val="000000"/>
                <w:sz w:val="14"/>
                <w:szCs w:val="14"/>
              </w:rPr>
            </w:pPr>
            <w:r>
              <w:rPr>
                <w:rFonts w:ascii="Times New Roman" w:hAnsi="Times New Roman" w:cs="Times New Roman"/>
                <w:color w:val="000000"/>
                <w:sz w:val="14"/>
                <w:szCs w:val="14"/>
              </w:rPr>
              <w:t>1 257 365</w:t>
            </w:r>
          </w:p>
        </w:tc>
        <w:tc>
          <w:tcPr>
            <w:tcW w:w="484" w:type="pct"/>
            <w:tcBorders>
              <w:top w:val="single" w:sz="4" w:space="0" w:color="auto"/>
              <w:left w:val="single" w:sz="4" w:space="0" w:color="auto"/>
              <w:bottom w:val="single" w:sz="4" w:space="0" w:color="auto"/>
              <w:right w:val="single" w:sz="4" w:space="0" w:color="auto"/>
            </w:tcBorders>
            <w:vAlign w:val="center"/>
          </w:tcPr>
          <w:p w:rsidR="00B5225B" w:rsidRDefault="00B5225B" w:rsidP="009A178E">
            <w:pPr>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1 179 661</w:t>
            </w:r>
          </w:p>
        </w:tc>
      </w:tr>
      <w:tr w:rsidR="00B5225B" w:rsidTr="009A178E">
        <w:trPr>
          <w:trHeight w:val="266"/>
        </w:trPr>
        <w:tc>
          <w:tcPr>
            <w:tcW w:w="154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5225B" w:rsidRDefault="00B5225B" w:rsidP="009A178E">
            <w:pPr>
              <w:ind w:firstLine="63"/>
              <w:rPr>
                <w:rFonts w:ascii="Times New Roman" w:hAnsi="Times New Roman"/>
                <w:sz w:val="14"/>
                <w:szCs w:val="14"/>
              </w:rPr>
            </w:pPr>
            <w:r>
              <w:rPr>
                <w:rFonts w:ascii="Times New Roman" w:hAnsi="Times New Roman"/>
                <w:sz w:val="14"/>
                <w:szCs w:val="14"/>
              </w:rPr>
              <w:t xml:space="preserve">      Zdroje  EÚ</w:t>
            </w:r>
          </w:p>
        </w:tc>
        <w:tc>
          <w:tcPr>
            <w:tcW w:w="496" w:type="pct"/>
            <w:tcBorders>
              <w:top w:val="single" w:sz="4" w:space="0" w:color="auto"/>
              <w:left w:val="single" w:sz="4" w:space="0" w:color="auto"/>
              <w:bottom w:val="single" w:sz="4" w:space="0" w:color="auto"/>
              <w:right w:val="single" w:sz="4" w:space="0" w:color="auto"/>
            </w:tcBorders>
            <w:vAlign w:val="center"/>
            <w:hideMark/>
          </w:tcPr>
          <w:p w:rsidR="00B5225B" w:rsidRDefault="00B5225B" w:rsidP="009A178E">
            <w:pPr>
              <w:jc w:val="center"/>
              <w:rPr>
                <w:rFonts w:ascii="Times New Roman" w:hAnsi="Times New Roman" w:cs="Times New Roman"/>
                <w:sz w:val="14"/>
                <w:szCs w:val="14"/>
              </w:rPr>
            </w:pPr>
            <w:r>
              <w:rPr>
                <w:rFonts w:ascii="Times New Roman" w:hAnsi="Times New Roman" w:cs="Times New Roman"/>
                <w:sz w:val="14"/>
                <w:szCs w:val="14"/>
              </w:rPr>
              <w:t xml:space="preserve">        1 753 284</w:t>
            </w:r>
          </w:p>
        </w:tc>
        <w:tc>
          <w:tcPr>
            <w:tcW w:w="496" w:type="pct"/>
            <w:tcBorders>
              <w:top w:val="single" w:sz="4" w:space="0" w:color="auto"/>
              <w:left w:val="single" w:sz="4" w:space="0" w:color="auto"/>
              <w:bottom w:val="single" w:sz="4" w:space="0" w:color="auto"/>
              <w:right w:val="single" w:sz="4" w:space="0" w:color="auto"/>
            </w:tcBorders>
            <w:vAlign w:val="center"/>
          </w:tcPr>
          <w:p w:rsidR="00B5225B" w:rsidRDefault="00B5225B" w:rsidP="009A178E">
            <w:pPr>
              <w:jc w:val="center"/>
              <w:rPr>
                <w:rFonts w:ascii="Times New Roman" w:hAnsi="Times New Roman" w:cs="Times New Roman"/>
                <w:sz w:val="14"/>
                <w:szCs w:val="14"/>
              </w:rPr>
            </w:pPr>
            <w:r>
              <w:rPr>
                <w:rFonts w:ascii="Times New Roman" w:hAnsi="Times New Roman" w:cs="Times New Roman"/>
                <w:sz w:val="14"/>
                <w:szCs w:val="14"/>
              </w:rPr>
              <w:t xml:space="preserve">        </w:t>
            </w:r>
            <w:r w:rsidRPr="00A5079E">
              <w:rPr>
                <w:rFonts w:ascii="Times New Roman" w:hAnsi="Times New Roman" w:cs="Times New Roman"/>
                <w:sz w:val="14"/>
                <w:szCs w:val="14"/>
              </w:rPr>
              <w:t>1 432 122</w:t>
            </w:r>
          </w:p>
        </w:tc>
        <w:tc>
          <w:tcPr>
            <w:tcW w:w="496" w:type="pct"/>
            <w:tcBorders>
              <w:top w:val="single" w:sz="4" w:space="0" w:color="auto"/>
              <w:left w:val="single" w:sz="4" w:space="0" w:color="auto"/>
              <w:bottom w:val="single" w:sz="4" w:space="0" w:color="auto"/>
              <w:right w:val="single" w:sz="4" w:space="0" w:color="auto"/>
            </w:tcBorders>
            <w:vAlign w:val="center"/>
          </w:tcPr>
          <w:p w:rsidR="00B5225B" w:rsidRDefault="00B5225B" w:rsidP="009A178E">
            <w:pPr>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1 378 419</w:t>
            </w:r>
          </w:p>
        </w:tc>
        <w:tc>
          <w:tcPr>
            <w:tcW w:w="49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5225B" w:rsidRDefault="00B5225B" w:rsidP="009A178E">
            <w:pPr>
              <w:jc w:val="right"/>
              <w:rPr>
                <w:rFonts w:ascii="Times New Roman" w:hAnsi="Times New Roman" w:cs="Times New Roman"/>
                <w:color w:val="000000"/>
                <w:sz w:val="14"/>
                <w:szCs w:val="14"/>
              </w:rPr>
            </w:pPr>
            <w:r>
              <w:rPr>
                <w:rFonts w:ascii="Times New Roman" w:hAnsi="Times New Roman" w:cs="Times New Roman"/>
                <w:color w:val="000000"/>
                <w:sz w:val="14"/>
                <w:szCs w:val="14"/>
              </w:rPr>
              <w:t>1 467 419</w:t>
            </w:r>
          </w:p>
        </w:tc>
        <w:tc>
          <w:tcPr>
            <w:tcW w:w="49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5225B" w:rsidRDefault="00B5225B" w:rsidP="009A178E">
            <w:pPr>
              <w:jc w:val="right"/>
              <w:rPr>
                <w:rFonts w:ascii="Times New Roman" w:hAnsi="Times New Roman" w:cs="Times New Roman"/>
                <w:color w:val="000000"/>
                <w:sz w:val="14"/>
                <w:szCs w:val="14"/>
              </w:rPr>
            </w:pPr>
            <w:r>
              <w:rPr>
                <w:rFonts w:ascii="Times New Roman" w:hAnsi="Times New Roman" w:cs="Times New Roman"/>
                <w:color w:val="000000"/>
                <w:sz w:val="14"/>
                <w:szCs w:val="14"/>
              </w:rPr>
              <w:t>1 665 041</w:t>
            </w:r>
          </w:p>
        </w:tc>
        <w:tc>
          <w:tcPr>
            <w:tcW w:w="49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5225B" w:rsidRDefault="00B5225B" w:rsidP="009A178E">
            <w:pPr>
              <w:jc w:val="right"/>
              <w:rPr>
                <w:rFonts w:ascii="Times New Roman" w:hAnsi="Times New Roman" w:cs="Times New Roman"/>
                <w:color w:val="000000"/>
                <w:sz w:val="14"/>
                <w:szCs w:val="14"/>
              </w:rPr>
            </w:pPr>
            <w:r>
              <w:rPr>
                <w:rFonts w:ascii="Times New Roman" w:hAnsi="Times New Roman" w:cs="Times New Roman"/>
                <w:color w:val="000000"/>
                <w:sz w:val="14"/>
                <w:szCs w:val="14"/>
              </w:rPr>
              <w:t>2 820 996</w:t>
            </w:r>
          </w:p>
        </w:tc>
        <w:tc>
          <w:tcPr>
            <w:tcW w:w="484" w:type="pct"/>
            <w:tcBorders>
              <w:top w:val="single" w:sz="4" w:space="0" w:color="auto"/>
              <w:left w:val="single" w:sz="4" w:space="0" w:color="auto"/>
              <w:bottom w:val="single" w:sz="4" w:space="0" w:color="auto"/>
              <w:right w:val="single" w:sz="4" w:space="0" w:color="auto"/>
            </w:tcBorders>
            <w:vAlign w:val="center"/>
          </w:tcPr>
          <w:p w:rsidR="00B5225B" w:rsidRDefault="00B5225B" w:rsidP="009A178E">
            <w:pPr>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2 187 231</w:t>
            </w:r>
          </w:p>
        </w:tc>
      </w:tr>
      <w:tr w:rsidR="00B5225B" w:rsidTr="009A178E">
        <w:trPr>
          <w:trHeight w:val="266"/>
        </w:trPr>
        <w:tc>
          <w:tcPr>
            <w:tcW w:w="1541"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B5225B" w:rsidRDefault="00B5225B" w:rsidP="009A178E">
            <w:pPr>
              <w:ind w:firstLine="140"/>
              <w:rPr>
                <w:rFonts w:ascii="Times New Roman" w:hAnsi="Times New Roman"/>
                <w:sz w:val="14"/>
                <w:szCs w:val="14"/>
              </w:rPr>
            </w:pPr>
            <w:r>
              <w:rPr>
                <w:rFonts w:ascii="Times New Roman" w:hAnsi="Times New Roman"/>
                <w:sz w:val="14"/>
                <w:szCs w:val="14"/>
              </w:rPr>
              <w:t>    Spolufinancovanie</w:t>
            </w:r>
          </w:p>
        </w:tc>
        <w:tc>
          <w:tcPr>
            <w:tcW w:w="496" w:type="pct"/>
            <w:tcBorders>
              <w:top w:val="single" w:sz="4" w:space="0" w:color="auto"/>
              <w:left w:val="single" w:sz="4" w:space="0" w:color="auto"/>
              <w:bottom w:val="single" w:sz="4" w:space="0" w:color="auto"/>
              <w:right w:val="single" w:sz="4" w:space="0" w:color="auto"/>
            </w:tcBorders>
            <w:vAlign w:val="center"/>
            <w:hideMark/>
          </w:tcPr>
          <w:p w:rsidR="00B5225B" w:rsidRDefault="00B5225B" w:rsidP="009A178E">
            <w:pPr>
              <w:jc w:val="center"/>
              <w:rPr>
                <w:rFonts w:ascii="Times New Roman" w:hAnsi="Times New Roman" w:cs="Times New Roman"/>
                <w:sz w:val="14"/>
                <w:szCs w:val="14"/>
              </w:rPr>
            </w:pPr>
            <w:r>
              <w:rPr>
                <w:rFonts w:ascii="Times New Roman" w:hAnsi="Times New Roman" w:cs="Times New Roman"/>
                <w:sz w:val="14"/>
                <w:szCs w:val="14"/>
              </w:rPr>
              <w:t xml:space="preserve">           276 113</w:t>
            </w:r>
          </w:p>
        </w:tc>
        <w:tc>
          <w:tcPr>
            <w:tcW w:w="496" w:type="pct"/>
            <w:tcBorders>
              <w:top w:val="single" w:sz="4" w:space="0" w:color="auto"/>
              <w:left w:val="single" w:sz="4" w:space="0" w:color="auto"/>
              <w:bottom w:val="single" w:sz="4" w:space="0" w:color="auto"/>
              <w:right w:val="single" w:sz="4" w:space="0" w:color="auto"/>
            </w:tcBorders>
            <w:vAlign w:val="center"/>
          </w:tcPr>
          <w:p w:rsidR="00B5225B" w:rsidRDefault="00B5225B" w:rsidP="009A178E">
            <w:pPr>
              <w:jc w:val="center"/>
              <w:rPr>
                <w:rFonts w:ascii="Times New Roman" w:hAnsi="Times New Roman" w:cs="Times New Roman"/>
                <w:sz w:val="14"/>
                <w:szCs w:val="14"/>
              </w:rPr>
            </w:pPr>
            <w:r>
              <w:rPr>
                <w:rFonts w:ascii="Times New Roman" w:hAnsi="Times New Roman" w:cs="Times New Roman"/>
                <w:sz w:val="14"/>
                <w:szCs w:val="14"/>
              </w:rPr>
              <w:t xml:space="preserve">           </w:t>
            </w:r>
            <w:r w:rsidRPr="00A5079E">
              <w:rPr>
                <w:rFonts w:ascii="Times New Roman" w:hAnsi="Times New Roman" w:cs="Times New Roman"/>
                <w:sz w:val="14"/>
                <w:szCs w:val="14"/>
              </w:rPr>
              <w:t>229 647</w:t>
            </w:r>
          </w:p>
        </w:tc>
        <w:tc>
          <w:tcPr>
            <w:tcW w:w="496" w:type="pct"/>
            <w:tcBorders>
              <w:top w:val="single" w:sz="4" w:space="0" w:color="auto"/>
              <w:left w:val="single" w:sz="4" w:space="0" w:color="auto"/>
              <w:bottom w:val="single" w:sz="4" w:space="0" w:color="auto"/>
              <w:right w:val="single" w:sz="4" w:space="0" w:color="auto"/>
            </w:tcBorders>
            <w:vAlign w:val="center"/>
          </w:tcPr>
          <w:p w:rsidR="00B5225B" w:rsidRDefault="00B5225B" w:rsidP="009A178E">
            <w:pPr>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220 617</w:t>
            </w:r>
          </w:p>
        </w:tc>
        <w:tc>
          <w:tcPr>
            <w:tcW w:w="49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5225B" w:rsidRDefault="00B5225B" w:rsidP="009A178E">
            <w:pPr>
              <w:jc w:val="right"/>
              <w:rPr>
                <w:rFonts w:ascii="Times New Roman" w:hAnsi="Times New Roman" w:cs="Times New Roman"/>
                <w:color w:val="000000"/>
                <w:sz w:val="14"/>
                <w:szCs w:val="14"/>
              </w:rPr>
            </w:pPr>
            <w:r>
              <w:rPr>
                <w:rFonts w:ascii="Times New Roman" w:hAnsi="Times New Roman" w:cs="Times New Roman"/>
                <w:color w:val="000000"/>
                <w:sz w:val="14"/>
                <w:szCs w:val="14"/>
              </w:rPr>
              <w:t>220 617</w:t>
            </w:r>
          </w:p>
        </w:tc>
        <w:tc>
          <w:tcPr>
            <w:tcW w:w="49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5225B" w:rsidRDefault="00B5225B" w:rsidP="009A178E">
            <w:pPr>
              <w:jc w:val="right"/>
              <w:rPr>
                <w:rFonts w:ascii="Times New Roman" w:hAnsi="Times New Roman" w:cs="Times New Roman"/>
                <w:color w:val="000000"/>
                <w:sz w:val="14"/>
                <w:szCs w:val="14"/>
              </w:rPr>
            </w:pPr>
            <w:r>
              <w:rPr>
                <w:rFonts w:ascii="Times New Roman" w:hAnsi="Times New Roman" w:cs="Times New Roman"/>
                <w:color w:val="000000"/>
                <w:sz w:val="14"/>
                <w:szCs w:val="14"/>
              </w:rPr>
              <w:t>234 149</w:t>
            </w:r>
          </w:p>
        </w:tc>
        <w:tc>
          <w:tcPr>
            <w:tcW w:w="49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5225B" w:rsidRDefault="00B5225B" w:rsidP="009A178E">
            <w:pPr>
              <w:jc w:val="right"/>
              <w:rPr>
                <w:rFonts w:ascii="Times New Roman" w:hAnsi="Times New Roman" w:cs="Times New Roman"/>
                <w:color w:val="000000"/>
                <w:sz w:val="14"/>
                <w:szCs w:val="14"/>
              </w:rPr>
            </w:pPr>
            <w:r>
              <w:rPr>
                <w:rFonts w:ascii="Times New Roman" w:hAnsi="Times New Roman" w:cs="Times New Roman"/>
                <w:color w:val="000000"/>
                <w:sz w:val="14"/>
                <w:szCs w:val="14"/>
              </w:rPr>
              <w:t>463 123</w:t>
            </w:r>
          </w:p>
        </w:tc>
        <w:tc>
          <w:tcPr>
            <w:tcW w:w="484" w:type="pct"/>
            <w:tcBorders>
              <w:top w:val="single" w:sz="4" w:space="0" w:color="auto"/>
              <w:left w:val="single" w:sz="4" w:space="0" w:color="auto"/>
              <w:bottom w:val="single" w:sz="4" w:space="0" w:color="auto"/>
              <w:right w:val="single" w:sz="4" w:space="0" w:color="auto"/>
            </w:tcBorders>
            <w:vAlign w:val="center"/>
          </w:tcPr>
          <w:p w:rsidR="00B5225B" w:rsidRDefault="00B5225B" w:rsidP="009A178E">
            <w:pPr>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359 059</w:t>
            </w:r>
          </w:p>
        </w:tc>
      </w:tr>
      <w:tr w:rsidR="00B5225B" w:rsidTr="009A178E">
        <w:trPr>
          <w:trHeight w:val="266"/>
        </w:trPr>
        <w:tc>
          <w:tcPr>
            <w:tcW w:w="1541"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B5225B" w:rsidRDefault="00B5225B" w:rsidP="009A178E">
            <w:pPr>
              <w:ind w:firstLine="140"/>
              <w:rPr>
                <w:rFonts w:ascii="Times New Roman" w:hAnsi="Times New Roman"/>
                <w:sz w:val="14"/>
                <w:szCs w:val="14"/>
              </w:rPr>
            </w:pPr>
            <w:r>
              <w:rPr>
                <w:rFonts w:ascii="Times New Roman" w:hAnsi="Times New Roman"/>
                <w:sz w:val="14"/>
                <w:szCs w:val="14"/>
              </w:rPr>
              <w:t xml:space="preserve">    Odvod do rozpočtu EÚ (vrátane rezervy)</w:t>
            </w:r>
          </w:p>
        </w:tc>
        <w:tc>
          <w:tcPr>
            <w:tcW w:w="496" w:type="pct"/>
            <w:tcBorders>
              <w:top w:val="single" w:sz="4" w:space="0" w:color="auto"/>
              <w:left w:val="single" w:sz="4" w:space="0" w:color="auto"/>
              <w:bottom w:val="single" w:sz="4" w:space="0" w:color="auto"/>
              <w:right w:val="single" w:sz="4" w:space="0" w:color="auto"/>
            </w:tcBorders>
            <w:vAlign w:val="center"/>
            <w:hideMark/>
          </w:tcPr>
          <w:p w:rsidR="00B5225B" w:rsidRDefault="00B5225B" w:rsidP="009A178E">
            <w:pPr>
              <w:jc w:val="center"/>
              <w:rPr>
                <w:rFonts w:ascii="Times New Roman" w:hAnsi="Times New Roman" w:cs="Times New Roman"/>
                <w:sz w:val="14"/>
                <w:szCs w:val="14"/>
              </w:rPr>
            </w:pPr>
            <w:r>
              <w:rPr>
                <w:rFonts w:ascii="Times New Roman" w:hAnsi="Times New Roman" w:cs="Times New Roman"/>
                <w:sz w:val="14"/>
                <w:szCs w:val="14"/>
              </w:rPr>
              <w:t xml:space="preserve">           634 796</w:t>
            </w:r>
          </w:p>
        </w:tc>
        <w:tc>
          <w:tcPr>
            <w:tcW w:w="496" w:type="pct"/>
            <w:tcBorders>
              <w:top w:val="single" w:sz="4" w:space="0" w:color="auto"/>
              <w:left w:val="single" w:sz="4" w:space="0" w:color="auto"/>
              <w:bottom w:val="single" w:sz="4" w:space="0" w:color="auto"/>
              <w:right w:val="single" w:sz="4" w:space="0" w:color="auto"/>
            </w:tcBorders>
            <w:vAlign w:val="center"/>
          </w:tcPr>
          <w:p w:rsidR="00B5225B" w:rsidRDefault="00B5225B" w:rsidP="009A178E">
            <w:pPr>
              <w:jc w:val="center"/>
              <w:rPr>
                <w:rFonts w:ascii="Times New Roman" w:hAnsi="Times New Roman" w:cs="Times New Roman"/>
                <w:sz w:val="14"/>
                <w:szCs w:val="14"/>
              </w:rPr>
            </w:pPr>
            <w:r>
              <w:rPr>
                <w:rFonts w:ascii="Times New Roman" w:hAnsi="Times New Roman" w:cs="Times New Roman"/>
                <w:sz w:val="14"/>
                <w:szCs w:val="14"/>
              </w:rPr>
              <w:t xml:space="preserve">           </w:t>
            </w:r>
            <w:r w:rsidRPr="00A5079E">
              <w:rPr>
                <w:rFonts w:ascii="Times New Roman" w:hAnsi="Times New Roman" w:cs="Times New Roman"/>
                <w:sz w:val="14"/>
                <w:szCs w:val="14"/>
              </w:rPr>
              <w:t>634 172</w:t>
            </w:r>
          </w:p>
        </w:tc>
        <w:tc>
          <w:tcPr>
            <w:tcW w:w="496" w:type="pct"/>
            <w:tcBorders>
              <w:top w:val="single" w:sz="4" w:space="0" w:color="auto"/>
              <w:left w:val="single" w:sz="4" w:space="0" w:color="auto"/>
              <w:bottom w:val="single" w:sz="4" w:space="0" w:color="auto"/>
              <w:right w:val="single" w:sz="4" w:space="0" w:color="auto"/>
            </w:tcBorders>
            <w:vAlign w:val="center"/>
          </w:tcPr>
          <w:p w:rsidR="00B5225B" w:rsidRDefault="00B5225B" w:rsidP="009A178E">
            <w:pPr>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768 122</w:t>
            </w:r>
          </w:p>
        </w:tc>
        <w:tc>
          <w:tcPr>
            <w:tcW w:w="49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5225B" w:rsidRDefault="00B5225B" w:rsidP="009A178E">
            <w:pPr>
              <w:jc w:val="right"/>
              <w:rPr>
                <w:rFonts w:ascii="Times New Roman" w:hAnsi="Times New Roman" w:cs="Times New Roman"/>
                <w:color w:val="000000"/>
                <w:sz w:val="14"/>
                <w:szCs w:val="14"/>
              </w:rPr>
            </w:pPr>
            <w:r>
              <w:rPr>
                <w:rFonts w:ascii="Times New Roman" w:hAnsi="Times New Roman" w:cs="Times New Roman"/>
                <w:color w:val="000000"/>
                <w:sz w:val="14"/>
                <w:szCs w:val="14"/>
              </w:rPr>
              <w:t>732 800</w:t>
            </w:r>
          </w:p>
        </w:tc>
        <w:tc>
          <w:tcPr>
            <w:tcW w:w="49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5225B" w:rsidRDefault="00B5225B" w:rsidP="009A178E">
            <w:pPr>
              <w:jc w:val="right"/>
              <w:rPr>
                <w:rFonts w:ascii="Times New Roman" w:hAnsi="Times New Roman" w:cs="Times New Roman"/>
                <w:color w:val="000000"/>
                <w:sz w:val="14"/>
                <w:szCs w:val="14"/>
              </w:rPr>
            </w:pPr>
            <w:r>
              <w:rPr>
                <w:rFonts w:ascii="Times New Roman" w:hAnsi="Times New Roman" w:cs="Times New Roman"/>
                <w:color w:val="000000"/>
                <w:sz w:val="14"/>
                <w:szCs w:val="14"/>
              </w:rPr>
              <w:t>839 668</w:t>
            </w:r>
          </w:p>
        </w:tc>
        <w:tc>
          <w:tcPr>
            <w:tcW w:w="49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5225B" w:rsidRDefault="00B5225B" w:rsidP="009A178E">
            <w:pPr>
              <w:jc w:val="right"/>
              <w:rPr>
                <w:rFonts w:ascii="Times New Roman" w:hAnsi="Times New Roman" w:cs="Times New Roman"/>
                <w:color w:val="000000"/>
                <w:sz w:val="14"/>
                <w:szCs w:val="14"/>
              </w:rPr>
            </w:pPr>
            <w:r>
              <w:rPr>
                <w:rFonts w:ascii="Times New Roman" w:hAnsi="Times New Roman" w:cs="Times New Roman"/>
                <w:color w:val="000000"/>
                <w:sz w:val="14"/>
                <w:szCs w:val="14"/>
              </w:rPr>
              <w:t>871 017</w:t>
            </w:r>
          </w:p>
        </w:tc>
        <w:tc>
          <w:tcPr>
            <w:tcW w:w="484" w:type="pct"/>
            <w:tcBorders>
              <w:top w:val="single" w:sz="4" w:space="0" w:color="auto"/>
              <w:left w:val="single" w:sz="4" w:space="0" w:color="auto"/>
              <w:bottom w:val="single" w:sz="4" w:space="0" w:color="auto"/>
              <w:right w:val="single" w:sz="4" w:space="0" w:color="auto"/>
            </w:tcBorders>
            <w:vAlign w:val="center"/>
          </w:tcPr>
          <w:p w:rsidR="00B5225B" w:rsidRDefault="00B5225B" w:rsidP="009A178E">
            <w:pPr>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871 599</w:t>
            </w:r>
          </w:p>
        </w:tc>
      </w:tr>
      <w:tr w:rsidR="00B5225B" w:rsidTr="009A178E">
        <w:trPr>
          <w:trHeight w:val="266"/>
        </w:trPr>
        <w:tc>
          <w:tcPr>
            <w:tcW w:w="1541"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B5225B" w:rsidRDefault="00B5225B" w:rsidP="009A178E">
            <w:pPr>
              <w:ind w:firstLine="140"/>
              <w:rPr>
                <w:rFonts w:ascii="Times New Roman" w:hAnsi="Times New Roman"/>
                <w:sz w:val="14"/>
                <w:szCs w:val="14"/>
              </w:rPr>
            </w:pPr>
            <w:r>
              <w:rPr>
                <w:rFonts w:ascii="Times New Roman" w:hAnsi="Times New Roman"/>
                <w:sz w:val="14"/>
                <w:szCs w:val="14"/>
              </w:rPr>
              <w:t xml:space="preserve">    Transfer Sociálnej poisťovni</w:t>
            </w:r>
          </w:p>
        </w:tc>
        <w:tc>
          <w:tcPr>
            <w:tcW w:w="496" w:type="pct"/>
            <w:tcBorders>
              <w:top w:val="single" w:sz="4" w:space="0" w:color="auto"/>
              <w:left w:val="single" w:sz="4" w:space="0" w:color="auto"/>
              <w:bottom w:val="single" w:sz="4" w:space="0" w:color="auto"/>
              <w:right w:val="single" w:sz="4" w:space="0" w:color="auto"/>
            </w:tcBorders>
            <w:vAlign w:val="center"/>
            <w:hideMark/>
          </w:tcPr>
          <w:p w:rsidR="00B5225B" w:rsidRDefault="00B5225B" w:rsidP="009A178E">
            <w:pPr>
              <w:jc w:val="center"/>
              <w:rPr>
                <w:rFonts w:ascii="Times New Roman" w:hAnsi="Times New Roman" w:cs="Times New Roman"/>
                <w:sz w:val="14"/>
                <w:szCs w:val="14"/>
              </w:rPr>
            </w:pPr>
            <w:r>
              <w:rPr>
                <w:rFonts w:ascii="Times New Roman" w:hAnsi="Times New Roman" w:cs="Times New Roman"/>
                <w:sz w:val="14"/>
                <w:szCs w:val="14"/>
              </w:rPr>
              <w:t xml:space="preserve">           365 324</w:t>
            </w:r>
          </w:p>
        </w:tc>
        <w:tc>
          <w:tcPr>
            <w:tcW w:w="496" w:type="pct"/>
            <w:tcBorders>
              <w:top w:val="single" w:sz="4" w:space="0" w:color="auto"/>
              <w:left w:val="single" w:sz="4" w:space="0" w:color="auto"/>
              <w:bottom w:val="single" w:sz="4" w:space="0" w:color="auto"/>
              <w:right w:val="single" w:sz="4" w:space="0" w:color="auto"/>
            </w:tcBorders>
            <w:vAlign w:val="center"/>
          </w:tcPr>
          <w:p w:rsidR="00B5225B" w:rsidRDefault="00B5225B" w:rsidP="009A178E">
            <w:pPr>
              <w:jc w:val="center"/>
              <w:rPr>
                <w:rFonts w:ascii="Times New Roman" w:hAnsi="Times New Roman" w:cs="Times New Roman"/>
                <w:sz w:val="14"/>
                <w:szCs w:val="14"/>
              </w:rPr>
            </w:pPr>
            <w:r>
              <w:rPr>
                <w:rFonts w:ascii="Times New Roman" w:hAnsi="Times New Roman" w:cs="Times New Roman"/>
                <w:sz w:val="14"/>
                <w:szCs w:val="14"/>
              </w:rPr>
              <w:t xml:space="preserve">           </w:t>
            </w:r>
            <w:r w:rsidRPr="00B02C9C">
              <w:rPr>
                <w:rFonts w:ascii="Times New Roman" w:hAnsi="Times New Roman" w:cs="Times New Roman"/>
                <w:sz w:val="14"/>
                <w:szCs w:val="14"/>
              </w:rPr>
              <w:t>415 325</w:t>
            </w:r>
          </w:p>
        </w:tc>
        <w:tc>
          <w:tcPr>
            <w:tcW w:w="496" w:type="pct"/>
            <w:tcBorders>
              <w:top w:val="single" w:sz="4" w:space="0" w:color="auto"/>
              <w:left w:val="single" w:sz="4" w:space="0" w:color="auto"/>
              <w:bottom w:val="single" w:sz="4" w:space="0" w:color="auto"/>
              <w:right w:val="single" w:sz="4" w:space="0" w:color="auto"/>
            </w:tcBorders>
            <w:vAlign w:val="center"/>
          </w:tcPr>
          <w:p w:rsidR="00B5225B" w:rsidRDefault="00B5225B" w:rsidP="009A178E">
            <w:pPr>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255 392</w:t>
            </w:r>
          </w:p>
        </w:tc>
        <w:tc>
          <w:tcPr>
            <w:tcW w:w="49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5225B" w:rsidRDefault="00B5225B" w:rsidP="009A178E">
            <w:pPr>
              <w:jc w:val="right"/>
              <w:rPr>
                <w:rFonts w:ascii="Times New Roman" w:hAnsi="Times New Roman" w:cs="Times New Roman"/>
                <w:color w:val="000000"/>
                <w:sz w:val="14"/>
                <w:szCs w:val="14"/>
              </w:rPr>
            </w:pPr>
            <w:r>
              <w:rPr>
                <w:rFonts w:ascii="Times New Roman" w:hAnsi="Times New Roman" w:cs="Times New Roman"/>
                <w:color w:val="000000"/>
                <w:sz w:val="14"/>
                <w:szCs w:val="14"/>
              </w:rPr>
              <w:t>106 413</w:t>
            </w:r>
          </w:p>
        </w:tc>
        <w:tc>
          <w:tcPr>
            <w:tcW w:w="49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5225B" w:rsidRDefault="00B5225B" w:rsidP="009A178E">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49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B5225B" w:rsidRDefault="00B5225B" w:rsidP="009A178E">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484" w:type="pct"/>
            <w:tcBorders>
              <w:top w:val="single" w:sz="4" w:space="0" w:color="auto"/>
              <w:left w:val="single" w:sz="4" w:space="0" w:color="auto"/>
              <w:bottom w:val="single" w:sz="4" w:space="0" w:color="auto"/>
              <w:right w:val="single" w:sz="4" w:space="0" w:color="auto"/>
            </w:tcBorders>
            <w:vAlign w:val="center"/>
          </w:tcPr>
          <w:p w:rsidR="00B5225B" w:rsidRDefault="00985D7B" w:rsidP="00985D7B">
            <w:pPr>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w:t>
            </w:r>
            <w:r w:rsidR="00B5225B">
              <w:rPr>
                <w:rFonts w:ascii="Times New Roman" w:hAnsi="Times New Roman" w:cs="Times New Roman"/>
                <w:color w:val="000000"/>
                <w:sz w:val="14"/>
                <w:szCs w:val="14"/>
              </w:rPr>
              <w:t>0</w:t>
            </w:r>
          </w:p>
        </w:tc>
      </w:tr>
    </w:tbl>
    <w:p w:rsidR="00B5225B" w:rsidRDefault="00B5225B" w:rsidP="00B5225B">
      <w:pPr>
        <w:rPr>
          <w:rFonts w:ascii="Times New Roman" w:hAnsi="Times New Roman" w:cs="Times New Roman"/>
          <w:b/>
          <w:bCs/>
          <w:iCs/>
          <w:szCs w:val="28"/>
        </w:rPr>
      </w:pPr>
    </w:p>
    <w:p w:rsidR="00B5225B" w:rsidRPr="003A5EFF" w:rsidRDefault="00B5225B" w:rsidP="00B5225B">
      <w:pPr>
        <w:ind w:firstLine="709"/>
        <w:jc w:val="both"/>
        <w:rPr>
          <w:rFonts w:ascii="Times New Roman" w:hAnsi="Times New Roman"/>
        </w:rPr>
      </w:pPr>
      <w:r w:rsidRPr="003A5EFF">
        <w:rPr>
          <w:rFonts w:ascii="Times New Roman" w:hAnsi="Times New Roman"/>
        </w:rPr>
        <w:t xml:space="preserve">V roku 2019 sa rozpočtujú celkové výdavky štátneho rozpočtu v sume </w:t>
      </w:r>
      <w:r w:rsidRPr="003A5EFF">
        <w:rPr>
          <w:rFonts w:ascii="Times New Roman" w:hAnsi="Times New Roman"/>
        </w:rPr>
        <w:br/>
        <w:t>17</w:t>
      </w:r>
      <w:r>
        <w:rPr>
          <w:rFonts w:ascii="Times New Roman" w:hAnsi="Times New Roman"/>
        </w:rPr>
        <w:t xml:space="preserve"> 635,8 mil. eur. </w:t>
      </w:r>
    </w:p>
    <w:p w:rsidR="00B5225B" w:rsidRPr="003A5EFF" w:rsidRDefault="00B5225B" w:rsidP="00B5225B">
      <w:pPr>
        <w:ind w:firstLine="709"/>
        <w:jc w:val="both"/>
        <w:rPr>
          <w:rFonts w:ascii="Times New Roman" w:hAnsi="Times New Roman"/>
        </w:rPr>
      </w:pPr>
    </w:p>
    <w:p w:rsidR="00B5225B" w:rsidRPr="003A5EFF" w:rsidRDefault="00B5225B" w:rsidP="00B5225B">
      <w:pPr>
        <w:ind w:firstLine="709"/>
        <w:jc w:val="both"/>
        <w:rPr>
          <w:rFonts w:ascii="Times New Roman" w:hAnsi="Times New Roman"/>
        </w:rPr>
      </w:pPr>
      <w:r w:rsidRPr="003A5EFF">
        <w:rPr>
          <w:rFonts w:ascii="Times New Roman" w:hAnsi="Times New Roman"/>
        </w:rPr>
        <w:t xml:space="preserve">Z vyššie uvedenej tabuľky vyplýva, že v porovnaní so schváleným rozpočtom na rok 2018 rastú výdavky na odvod do rozpočtu EÚ o 71,5 mil. eur. Výdavky na obsluhu štátneho dlhu medziročne rastú o 27,4 mil. eur. Výdavky zo zdrojov EÚ rastú o 286,6 mil. eur a v nadväznosti na tento nárast sa rozpočtuje rast výdavkov na spolufinancovanie </w:t>
      </w:r>
      <w:r w:rsidR="009A178E">
        <w:rPr>
          <w:rFonts w:ascii="Times New Roman" w:hAnsi="Times New Roman"/>
        </w:rPr>
        <w:br/>
      </w:r>
      <w:r w:rsidRPr="003A5EFF">
        <w:rPr>
          <w:rFonts w:ascii="Times New Roman" w:hAnsi="Times New Roman"/>
        </w:rPr>
        <w:t xml:space="preserve">o 13,5 mil. eur. Od roku 2019 nie je potrebné rozpočtovať prostriedky na transfer Sociálnej poisťovni na zabezpečenie jej platobnej schopnosti a to na celom trojročnom horizonte. </w:t>
      </w:r>
    </w:p>
    <w:p w:rsidR="00B5225B" w:rsidRPr="003A5EFF" w:rsidRDefault="00B5225B" w:rsidP="00B5225B">
      <w:pPr>
        <w:ind w:firstLine="709"/>
        <w:jc w:val="both"/>
        <w:rPr>
          <w:rFonts w:ascii="Times New Roman" w:hAnsi="Times New Roman"/>
        </w:rPr>
      </w:pPr>
    </w:p>
    <w:p w:rsidR="00B5225B" w:rsidRPr="003A5EFF" w:rsidRDefault="00B5225B" w:rsidP="00B5225B">
      <w:pPr>
        <w:ind w:firstLine="709"/>
        <w:jc w:val="both"/>
        <w:rPr>
          <w:rFonts w:ascii="Times New Roman" w:hAnsi="Times New Roman"/>
        </w:rPr>
      </w:pPr>
      <w:r w:rsidRPr="003A5EFF">
        <w:rPr>
          <w:rFonts w:ascii="Times New Roman" w:hAnsi="Times New Roman"/>
        </w:rPr>
        <w:t xml:space="preserve">Rozpočet za oblasť výdavkov z prostriedkov EÚ a spolufinancovania na roky 2019 až 2021 odráža predpokladaný stav implementácie jednotlivých operačných programov financovaných z prostriedkov EÚ a spolufinancovania zo štátneho rozpočtu, ako aj iných programov zo zahraničia. </w:t>
      </w:r>
    </w:p>
    <w:p w:rsidR="00B5225B" w:rsidRPr="003A5EFF" w:rsidRDefault="00B5225B" w:rsidP="00B5225B">
      <w:pPr>
        <w:ind w:firstLine="709"/>
        <w:jc w:val="both"/>
        <w:rPr>
          <w:rFonts w:ascii="Times New Roman" w:hAnsi="Times New Roman"/>
        </w:rPr>
      </w:pPr>
    </w:p>
    <w:p w:rsidR="00B5225B" w:rsidRDefault="00B5225B" w:rsidP="00B5225B">
      <w:pPr>
        <w:ind w:firstLine="709"/>
        <w:jc w:val="both"/>
        <w:rPr>
          <w:rFonts w:ascii="Times New Roman" w:hAnsi="Times New Roman"/>
        </w:rPr>
      </w:pPr>
      <w:r>
        <w:rPr>
          <w:rFonts w:ascii="Times New Roman" w:hAnsi="Times New Roman"/>
        </w:rPr>
        <w:t>Medzi najvýznamnejšie tituly zapracované vo výdavkoch štátneho rozpočtu patria opatrenia v oblasti odmeňovania v sektore verejnej správy, konkrétne ide o:</w:t>
      </w:r>
    </w:p>
    <w:p w:rsidR="00B5225B" w:rsidRPr="008E2B77" w:rsidRDefault="00B5225B" w:rsidP="00B5225B">
      <w:pPr>
        <w:numPr>
          <w:ilvl w:val="0"/>
          <w:numId w:val="8"/>
        </w:numPr>
        <w:contextualSpacing/>
        <w:jc w:val="both"/>
        <w:rPr>
          <w:rFonts w:ascii="Times New Roman" w:hAnsi="Times New Roman"/>
          <w:bCs/>
          <w:szCs w:val="22"/>
        </w:rPr>
      </w:pPr>
      <w:r w:rsidRPr="008E2B77">
        <w:rPr>
          <w:rFonts w:ascii="Times New Roman" w:hAnsi="Times New Roman"/>
          <w:bCs/>
          <w:szCs w:val="22"/>
        </w:rPr>
        <w:t xml:space="preserve">zabezpečenie finančných prostriedkov na valorizáciu platov zamestnancov od 1. januára 2019 na úrovni 10 % v zmysle vyhlásenia zástupcov sociálnych partnerov k dohode o kolektívnych zmluvách vyššieho stupňa v štátnej službe a vo verejnej službe na roky 2019 a 2020, vrátane zvýšenia platov štátnych zamestnancov v služobnom pomere </w:t>
      </w:r>
      <w:r>
        <w:rPr>
          <w:rFonts w:ascii="Times New Roman" w:hAnsi="Times New Roman"/>
          <w:bCs/>
          <w:szCs w:val="22"/>
        </w:rPr>
        <w:t xml:space="preserve">v sume </w:t>
      </w:r>
      <w:r w:rsidRPr="008E2B77">
        <w:rPr>
          <w:rFonts w:ascii="Times New Roman" w:hAnsi="Times New Roman"/>
          <w:bCs/>
          <w:szCs w:val="22"/>
        </w:rPr>
        <w:t>375 mil. eur,</w:t>
      </w:r>
    </w:p>
    <w:p w:rsidR="00B5225B" w:rsidRPr="008E2B77" w:rsidRDefault="00B5225B" w:rsidP="00B5225B">
      <w:pPr>
        <w:numPr>
          <w:ilvl w:val="0"/>
          <w:numId w:val="8"/>
        </w:numPr>
        <w:contextualSpacing/>
        <w:jc w:val="both"/>
        <w:rPr>
          <w:rFonts w:ascii="Times New Roman" w:hAnsi="Times New Roman"/>
          <w:bCs/>
          <w:szCs w:val="22"/>
        </w:rPr>
      </w:pPr>
      <w:r w:rsidRPr="008E2B77">
        <w:rPr>
          <w:rFonts w:ascii="Times New Roman" w:hAnsi="Times New Roman"/>
          <w:bCs/>
          <w:szCs w:val="22"/>
        </w:rPr>
        <w:t>zabezpečenie finančných prostriedkov</w:t>
      </w:r>
      <w:r>
        <w:rPr>
          <w:rFonts w:ascii="Times New Roman" w:hAnsi="Times New Roman"/>
          <w:bCs/>
          <w:szCs w:val="22"/>
        </w:rPr>
        <w:t xml:space="preserve"> v sume 125 mil. eur</w:t>
      </w:r>
      <w:r w:rsidRPr="008E2B77">
        <w:rPr>
          <w:rFonts w:ascii="Times New Roman" w:hAnsi="Times New Roman"/>
          <w:bCs/>
          <w:szCs w:val="22"/>
        </w:rPr>
        <w:t xml:space="preserve"> na </w:t>
      </w:r>
      <w:r>
        <w:rPr>
          <w:rFonts w:ascii="Times New Roman" w:hAnsi="Times New Roman"/>
          <w:bCs/>
          <w:szCs w:val="22"/>
        </w:rPr>
        <w:t xml:space="preserve">krytie </w:t>
      </w:r>
      <w:r w:rsidRPr="008E2B77">
        <w:rPr>
          <w:rFonts w:ascii="Times New Roman" w:hAnsi="Times New Roman"/>
          <w:bCs/>
          <w:szCs w:val="22"/>
        </w:rPr>
        <w:t>zákona, ktorým sa mení a dopĺňa zákon č. 553/2003 Z. z. o odmeňovaní niektorých zamestnancov pri výkone práce vo verejnom záujme a o zmene a doplnení niektorých zákonov v znení neskorších predpisov a ktorým sa menia a dopĺňajú niektoré zákony, k prijatiu ktorého sa zaviazala vláda Slovenskej republiky vo svojom Programovo</w:t>
      </w:r>
      <w:r>
        <w:rPr>
          <w:rFonts w:ascii="Times New Roman" w:hAnsi="Times New Roman"/>
          <w:bCs/>
          <w:szCs w:val="22"/>
        </w:rPr>
        <w:t>m vyhlásení na roky 2016 – 2020,</w:t>
      </w:r>
    </w:p>
    <w:p w:rsidR="00B5225B" w:rsidRPr="008E2B77" w:rsidRDefault="00B5225B" w:rsidP="00B5225B">
      <w:pPr>
        <w:numPr>
          <w:ilvl w:val="0"/>
          <w:numId w:val="8"/>
        </w:numPr>
        <w:contextualSpacing/>
        <w:jc w:val="both"/>
        <w:rPr>
          <w:rFonts w:ascii="Times New Roman" w:hAnsi="Times New Roman" w:cs="Times New Roman"/>
          <w:b/>
          <w:bCs/>
          <w:iCs/>
          <w:szCs w:val="28"/>
        </w:rPr>
      </w:pPr>
      <w:r w:rsidRPr="008E2B77">
        <w:rPr>
          <w:rFonts w:ascii="Times New Roman" w:hAnsi="Times New Roman"/>
          <w:bCs/>
          <w:szCs w:val="22"/>
        </w:rPr>
        <w:t xml:space="preserve">zabezpečenie finančných prostriedkov </w:t>
      </w:r>
      <w:r>
        <w:rPr>
          <w:rFonts w:ascii="Times New Roman" w:hAnsi="Times New Roman"/>
          <w:bCs/>
          <w:szCs w:val="22"/>
        </w:rPr>
        <w:t xml:space="preserve">v sume 10,0 mil. eur </w:t>
      </w:r>
      <w:r w:rsidRPr="008E2B77">
        <w:rPr>
          <w:rFonts w:ascii="Times New Roman" w:hAnsi="Times New Roman"/>
          <w:bCs/>
          <w:szCs w:val="22"/>
        </w:rPr>
        <w:t>pre pedagogických zamestnancov a odborných zamestnancov a učiteľov vysokých škôl na realizáciu zvýhodneného odmeňovania začínajúcich učiteľov od 1. septembra 2019 v súlade s Národným programom rozvoja výchovy a vzdelávania schvále</w:t>
      </w:r>
      <w:r>
        <w:rPr>
          <w:rFonts w:ascii="Times New Roman" w:hAnsi="Times New Roman"/>
          <w:bCs/>
          <w:szCs w:val="22"/>
        </w:rPr>
        <w:t>ným vládou Slovenskej republiky.</w:t>
      </w:r>
    </w:p>
    <w:p w:rsidR="00B5225B" w:rsidRDefault="00B5225B" w:rsidP="00B5225B">
      <w:pPr>
        <w:rPr>
          <w:rFonts w:ascii="Times New Roman" w:hAnsi="Times New Roman" w:cs="Times New Roman"/>
          <w:b/>
          <w:bCs/>
          <w:iCs/>
          <w:szCs w:val="28"/>
        </w:rPr>
      </w:pPr>
    </w:p>
    <w:p w:rsidR="00B5225B" w:rsidRPr="00F07841" w:rsidRDefault="00B5225B" w:rsidP="00B5225B">
      <w:pPr>
        <w:ind w:firstLine="708"/>
        <w:jc w:val="both"/>
        <w:rPr>
          <w:rFonts w:ascii="Times New Roman" w:hAnsi="Times New Roman"/>
        </w:rPr>
      </w:pPr>
    </w:p>
    <w:p w:rsidR="00B5225B" w:rsidRDefault="00B5225B" w:rsidP="00B5225B">
      <w:pPr>
        <w:ind w:firstLine="708"/>
        <w:jc w:val="both"/>
        <w:rPr>
          <w:rFonts w:ascii="Times New Roman" w:hAnsi="Times New Roman"/>
        </w:rPr>
      </w:pPr>
      <w:r w:rsidRPr="00F07841">
        <w:rPr>
          <w:rFonts w:ascii="Times New Roman" w:hAnsi="Times New Roman"/>
        </w:rPr>
        <w:lastRenderedPageBreak/>
        <w:t>Celkové obranné výdavky sú na rok 2019 rozpočtované vo výške 1,7</w:t>
      </w:r>
      <w:r>
        <w:rPr>
          <w:rFonts w:ascii="Times New Roman" w:hAnsi="Times New Roman"/>
        </w:rPr>
        <w:t>3</w:t>
      </w:r>
      <w:r w:rsidRPr="00F07841">
        <w:rPr>
          <w:rFonts w:ascii="Times New Roman" w:hAnsi="Times New Roman"/>
        </w:rPr>
        <w:t xml:space="preserve"> % HDP, čo predstavuje oproti schválenému rozpočtu roku 2018 nárast o</w:t>
      </w:r>
      <w:r>
        <w:rPr>
          <w:rFonts w:ascii="Times New Roman" w:hAnsi="Times New Roman"/>
        </w:rPr>
        <w:t xml:space="preserve"> 581 </w:t>
      </w:r>
      <w:r w:rsidRPr="00F07841">
        <w:rPr>
          <w:rFonts w:ascii="Times New Roman" w:hAnsi="Times New Roman"/>
        </w:rPr>
        <w:t xml:space="preserve">mil. eur. </w:t>
      </w:r>
      <w:r>
        <w:rPr>
          <w:rFonts w:ascii="Times New Roman" w:hAnsi="Times New Roman"/>
        </w:rPr>
        <w:t xml:space="preserve">Nárast je zaznamenaný najmä pri výdavkoch Ministerstva obrany SR na rozvoj obrany, ktoré </w:t>
      </w:r>
      <w:r w:rsidRPr="00F07841">
        <w:rPr>
          <w:rFonts w:ascii="Times New Roman" w:hAnsi="Times New Roman"/>
        </w:rPr>
        <w:t xml:space="preserve">sú určené najmä na nákup dopravných prostriedkov a modernizáciu leteckej techniky, vrátane nákupu vrtuľníkov a taktických stíhacích lietadiel. </w:t>
      </w:r>
    </w:p>
    <w:p w:rsidR="00B5225B" w:rsidRPr="00F07841" w:rsidRDefault="00B5225B" w:rsidP="00B5225B">
      <w:pPr>
        <w:ind w:firstLine="708"/>
        <w:jc w:val="both"/>
        <w:rPr>
          <w:rFonts w:ascii="Times New Roman" w:hAnsi="Times New Roman"/>
        </w:rPr>
      </w:pPr>
    </w:p>
    <w:p w:rsidR="00B5225B" w:rsidRDefault="00B5225B" w:rsidP="00B5225B">
      <w:pPr>
        <w:ind w:firstLine="708"/>
        <w:jc w:val="both"/>
        <w:rPr>
          <w:rFonts w:ascii="Times New Roman" w:hAnsi="Times New Roman"/>
        </w:rPr>
      </w:pPr>
      <w:r>
        <w:rPr>
          <w:rFonts w:ascii="Times New Roman" w:hAnsi="Times New Roman"/>
        </w:rPr>
        <w:t>Výdavky Ministerstva práce, sociálnych vecí a rodiny SR rastú v porovnaní so schváleným rozpočtom na rok 2018 o 101 mil. eur, a to najmä vo výdavkoch na sociálnu inklúziu. Dôvodom nárastu je predovšetkým novelizácia zákonov o peňažných príspevkoch na kompenzáciu ťažkého zdravotného postihnutia a o sociálnoprávnej ochrane detí a o sociálnej kuratele, sociálnej ekonomike a sociálnych podnikoch.</w:t>
      </w:r>
    </w:p>
    <w:p w:rsidR="00B5225B" w:rsidRDefault="00B5225B" w:rsidP="00B5225B">
      <w:pPr>
        <w:ind w:firstLine="708"/>
        <w:jc w:val="both"/>
        <w:rPr>
          <w:rFonts w:ascii="Times New Roman" w:hAnsi="Times New Roman"/>
        </w:rPr>
      </w:pPr>
    </w:p>
    <w:p w:rsidR="00385FB2" w:rsidRDefault="00D2350F" w:rsidP="00B5225B">
      <w:pPr>
        <w:ind w:firstLine="708"/>
        <w:jc w:val="both"/>
        <w:rPr>
          <w:rFonts w:ascii="Times New Roman" w:hAnsi="Times New Roman"/>
        </w:rPr>
      </w:pPr>
      <w:r w:rsidRPr="00D2350F">
        <w:rPr>
          <w:rFonts w:ascii="Times New Roman" w:hAnsi="Times New Roman"/>
        </w:rPr>
        <w:t>Okrem valorizácie platov pedagogických a nepedagogických zamestnancov sú v kapitole Ministerstva školstva, vedy, výskumu a športu SR zapracované aj výdavky na financovanie systému duálneho vzdelávania, výdavky na obstaranie učebníc a učebných textov a výdavky na stabilizačný príspevok pre študentov bakalárskeho študijného programu ošetrovateľstvo v študijnom odbore ošetrovateľstvo. Zároveň je premietnuté aj zvýšenie výdavkov na financovanie športovej infraštruktúry, výdavkov na šport v zmysle zákona č. 440/2015 Z. z., zvýšenie výdavkov súvisiacich so zriadením Slovenskej akreditačnej agentúry.</w:t>
      </w:r>
    </w:p>
    <w:p w:rsidR="00D2350F" w:rsidRDefault="00D2350F" w:rsidP="00B5225B">
      <w:pPr>
        <w:ind w:firstLine="708"/>
        <w:jc w:val="both"/>
        <w:rPr>
          <w:rFonts w:ascii="Times New Roman" w:hAnsi="Times New Roman"/>
        </w:rPr>
      </w:pPr>
    </w:p>
    <w:p w:rsidR="00B5225B" w:rsidRPr="003E25D3" w:rsidRDefault="00B5225B" w:rsidP="00B5225B">
      <w:pPr>
        <w:ind w:firstLine="708"/>
        <w:jc w:val="both"/>
        <w:rPr>
          <w:rFonts w:ascii="Times New Roman" w:hAnsi="Times New Roman"/>
        </w:rPr>
      </w:pPr>
      <w:r w:rsidRPr="003E25D3">
        <w:rPr>
          <w:rFonts w:ascii="Times New Roman" w:hAnsi="Times New Roman"/>
        </w:rPr>
        <w:t xml:space="preserve">Výdavky rezortu </w:t>
      </w:r>
      <w:r w:rsidRPr="008E2B77">
        <w:rPr>
          <w:rFonts w:ascii="Times New Roman" w:hAnsi="Times New Roman"/>
        </w:rPr>
        <w:t xml:space="preserve">Ministerstva pôdohospodárstva a rozvoja vidieka SR </w:t>
      </w:r>
      <w:r w:rsidRPr="003E25D3">
        <w:rPr>
          <w:rFonts w:ascii="Times New Roman" w:hAnsi="Times New Roman"/>
        </w:rPr>
        <w:t xml:space="preserve">zo štátneho rozpočtu v porovnaní so schváleným rozpočtom roku 2018 rastú o </w:t>
      </w:r>
      <w:r>
        <w:rPr>
          <w:rFonts w:ascii="Times New Roman" w:hAnsi="Times New Roman"/>
        </w:rPr>
        <w:t>159</w:t>
      </w:r>
      <w:r w:rsidRPr="003E25D3">
        <w:rPr>
          <w:rFonts w:ascii="Times New Roman" w:hAnsi="Times New Roman"/>
        </w:rPr>
        <w:t xml:space="preserve"> mil. eur</w:t>
      </w:r>
      <w:r>
        <w:rPr>
          <w:rFonts w:ascii="Times New Roman" w:hAnsi="Times New Roman"/>
        </w:rPr>
        <w:t xml:space="preserve"> predovšetkým</w:t>
      </w:r>
      <w:r w:rsidRPr="003E25D3">
        <w:rPr>
          <w:rFonts w:ascii="Times New Roman" w:hAnsi="Times New Roman"/>
        </w:rPr>
        <w:t xml:space="preserve"> z dôvodu zapracovania výdavkov kapitoly súvisiacich s pripravovanou legislatívnou zmenou, ktorou sa zakotví povinnosť platenia osobitného odvodu obchodnými reťazcami. Na základe zvýšenia rozpočtových zdrojov kapitoly bude možné v oblasti poľnohospodárstva a potravinárstva najmä podporovať odbyt poľnohospodárskych produktov a potravinárskych výrobkov vyrobených v Slovenskej republike, podporiť zvyšovanie ich spotreby a predaja s dôrazom najmä na kvalitu a bezpečnosť, kompenzovať negatívne vplyvy globálnej zmeny počasia na poľnohospodársku prvovýrobu,  a tiež zriadiť a zabezpečiť pravidelné financovanie fondu ťažko poistiteľných a nepoistiteľných rizík v poľnohospodárstve.</w:t>
      </w:r>
    </w:p>
    <w:p w:rsidR="00B5225B" w:rsidRDefault="00B5225B" w:rsidP="00B5225B">
      <w:pPr>
        <w:ind w:firstLine="709"/>
        <w:jc w:val="both"/>
        <w:rPr>
          <w:rFonts w:ascii="Times New Roman" w:hAnsi="Times New Roman"/>
        </w:rPr>
      </w:pPr>
    </w:p>
    <w:p w:rsidR="00B5225B" w:rsidRPr="00C059D1" w:rsidRDefault="00B5225B" w:rsidP="00B5225B">
      <w:pPr>
        <w:ind w:firstLine="708"/>
        <w:jc w:val="both"/>
        <w:rPr>
          <w:rFonts w:ascii="Times New Roman" w:hAnsi="Times New Roman"/>
        </w:rPr>
      </w:pPr>
      <w:r w:rsidRPr="00C059D1">
        <w:rPr>
          <w:rFonts w:ascii="Times New Roman" w:hAnsi="Times New Roman"/>
        </w:rPr>
        <w:t xml:space="preserve">Kapitálové výdavky Ministerstva zdravotníctva SR budú v roku 2019 na úrovni </w:t>
      </w:r>
      <w:r w:rsidR="00D97A8E">
        <w:rPr>
          <w:rFonts w:ascii="Times New Roman" w:hAnsi="Times New Roman"/>
        </w:rPr>
        <w:br/>
      </w:r>
      <w:r w:rsidRPr="00C059D1">
        <w:rPr>
          <w:rFonts w:ascii="Times New Roman" w:hAnsi="Times New Roman"/>
        </w:rPr>
        <w:t>100 mil. eur, čo je historicky najvyšší objem možných investícií do sektora zdravotníctva. Predmetné  výdavky sa investujú do obnovy zdravotníctva, hlavne na rekonštrukciu nemocníc, urgentných príjmov, na nákup modernej prístrojovej techniky a ďalšieho vybavenia nemocníc. Pokračovanie úspešného financovania rezidentského štúdia zameraného na podporu v špecializovaných odboroch všeobecné lekárstvo a pediatra dalo priestor aj na jeho rozšírenie o ďalšie špecializačné odbory pre lekárov a sestry. V rozpočte na rok 2019 je vyčlenených na rezidentský program 10 mil. eur, ide o najvyšší objem, ktorý bol doteraz na predmetný program poskytnutý. V návrhu rozpočtu verejnej správy sú zapracované aj stabilizačné príspevky pre študentov bakalárskeho študijného programu ošetrovateľstvo vo výške 2,7 mil. eur.</w:t>
      </w:r>
    </w:p>
    <w:p w:rsidR="00B5225B" w:rsidRDefault="00B5225B" w:rsidP="00B5225B">
      <w:pPr>
        <w:ind w:firstLine="709"/>
        <w:jc w:val="both"/>
        <w:rPr>
          <w:rFonts w:ascii="Times New Roman" w:hAnsi="Times New Roman"/>
        </w:rPr>
      </w:pPr>
    </w:p>
    <w:p w:rsidR="00B5225B" w:rsidRDefault="00B5225B" w:rsidP="00B5225B">
      <w:pPr>
        <w:ind w:firstLine="709"/>
        <w:jc w:val="both"/>
        <w:rPr>
          <w:rFonts w:ascii="Times New Roman" w:hAnsi="Times New Roman"/>
        </w:rPr>
      </w:pPr>
      <w:r w:rsidRPr="008E2B77">
        <w:rPr>
          <w:rFonts w:ascii="Times New Roman" w:hAnsi="Times New Roman"/>
        </w:rPr>
        <w:t xml:space="preserve">V nadväznosti na novelu zákona č. 309/2009 Z. z. o podpore obnoviteľných zdrojov energie a vysoko účinnej kombinovanej výroby sa v kapitole Ministerstva hospodárstva SR rozpočtujú výdavky v sume 40 mil. eur na podporu zníženia koncovej ceny elektriny pre podniky na rok 2019. </w:t>
      </w:r>
      <w:r>
        <w:rPr>
          <w:rFonts w:ascii="Times New Roman" w:hAnsi="Times New Roman"/>
        </w:rPr>
        <w:t>Rozpočet v</w:t>
      </w:r>
      <w:r w:rsidRPr="008E2B77">
        <w:rPr>
          <w:rFonts w:ascii="Times New Roman" w:hAnsi="Times New Roman"/>
        </w:rPr>
        <w:t>ýdavk</w:t>
      </w:r>
      <w:r>
        <w:rPr>
          <w:rFonts w:ascii="Times New Roman" w:hAnsi="Times New Roman"/>
        </w:rPr>
        <w:t>ov</w:t>
      </w:r>
      <w:r w:rsidRPr="008E2B77">
        <w:rPr>
          <w:rFonts w:ascii="Times New Roman" w:hAnsi="Times New Roman"/>
        </w:rPr>
        <w:t xml:space="preserve"> v oblasti podpory investičných projektov </w:t>
      </w:r>
      <w:r>
        <w:rPr>
          <w:rFonts w:ascii="Times New Roman" w:hAnsi="Times New Roman"/>
        </w:rPr>
        <w:t>v</w:t>
      </w:r>
      <w:r w:rsidRPr="008E2B77">
        <w:rPr>
          <w:rFonts w:ascii="Times New Roman" w:hAnsi="Times New Roman"/>
        </w:rPr>
        <w:t xml:space="preserve"> rok</w:t>
      </w:r>
      <w:r>
        <w:rPr>
          <w:rFonts w:ascii="Times New Roman" w:hAnsi="Times New Roman"/>
        </w:rPr>
        <w:t>u</w:t>
      </w:r>
      <w:r w:rsidRPr="008E2B77">
        <w:rPr>
          <w:rFonts w:ascii="Times New Roman" w:hAnsi="Times New Roman"/>
        </w:rPr>
        <w:t xml:space="preserve"> 2019 rast</w:t>
      </w:r>
      <w:r>
        <w:rPr>
          <w:rFonts w:ascii="Times New Roman" w:hAnsi="Times New Roman"/>
        </w:rPr>
        <w:t>ie</w:t>
      </w:r>
      <w:r w:rsidRPr="008E2B77">
        <w:rPr>
          <w:rFonts w:ascii="Times New Roman" w:hAnsi="Times New Roman"/>
        </w:rPr>
        <w:t xml:space="preserve"> o 35,8 mil. eur.</w:t>
      </w:r>
      <w:r w:rsidRPr="0025272C">
        <w:rPr>
          <w:rFonts w:ascii="Times New Roman" w:hAnsi="Times New Roman"/>
        </w:rPr>
        <w:t xml:space="preserve"> V oblasti rudného baníctva rastú výdavky na rok 2019 oproti schvál</w:t>
      </w:r>
      <w:r>
        <w:rPr>
          <w:rFonts w:ascii="Times New Roman" w:hAnsi="Times New Roman"/>
        </w:rPr>
        <w:t>enému rozpočtu na rok 2018 o 6,1</w:t>
      </w:r>
      <w:r w:rsidRPr="0025272C">
        <w:rPr>
          <w:rFonts w:ascii="Times New Roman" w:hAnsi="Times New Roman"/>
        </w:rPr>
        <w:t xml:space="preserve"> mil. eur a sú určené na technické práce na plnenie úloh obsiahnutých v pláne útlmového programu. </w:t>
      </w:r>
      <w:r w:rsidRPr="008E2B77">
        <w:rPr>
          <w:rFonts w:ascii="Times New Roman" w:hAnsi="Times New Roman"/>
        </w:rPr>
        <w:t xml:space="preserve"> </w:t>
      </w:r>
    </w:p>
    <w:p w:rsidR="00B5225B" w:rsidRDefault="00B5225B" w:rsidP="00B5225B">
      <w:pPr>
        <w:ind w:firstLine="709"/>
        <w:jc w:val="both"/>
        <w:rPr>
          <w:rFonts w:ascii="Times New Roman" w:hAnsi="Times New Roman"/>
        </w:rPr>
      </w:pPr>
    </w:p>
    <w:p w:rsidR="00B5225B" w:rsidRDefault="00B5225B" w:rsidP="00B5225B">
      <w:pPr>
        <w:ind w:firstLine="709"/>
        <w:jc w:val="both"/>
        <w:rPr>
          <w:rFonts w:ascii="Times New Roman" w:hAnsi="Times New Roman"/>
          <w:highlight w:val="yellow"/>
        </w:rPr>
      </w:pPr>
      <w:r>
        <w:rPr>
          <w:rFonts w:ascii="Times New Roman" w:hAnsi="Times New Roman"/>
        </w:rPr>
        <w:lastRenderedPageBreak/>
        <w:t xml:space="preserve">V rámci </w:t>
      </w:r>
      <w:r w:rsidRPr="0025272C">
        <w:rPr>
          <w:rFonts w:ascii="Times New Roman" w:hAnsi="Times New Roman"/>
        </w:rPr>
        <w:t>výdavk</w:t>
      </w:r>
      <w:r>
        <w:rPr>
          <w:rFonts w:ascii="Times New Roman" w:hAnsi="Times New Roman"/>
        </w:rPr>
        <w:t>ov</w:t>
      </w:r>
      <w:r w:rsidRPr="0025272C">
        <w:rPr>
          <w:rFonts w:ascii="Times New Roman" w:hAnsi="Times New Roman"/>
        </w:rPr>
        <w:t xml:space="preserve"> </w:t>
      </w:r>
      <w:r>
        <w:rPr>
          <w:rFonts w:ascii="Times New Roman" w:hAnsi="Times New Roman"/>
        </w:rPr>
        <w:t xml:space="preserve">Ministerstva </w:t>
      </w:r>
      <w:r w:rsidRPr="0025272C">
        <w:rPr>
          <w:rFonts w:ascii="Times New Roman" w:hAnsi="Times New Roman"/>
        </w:rPr>
        <w:t xml:space="preserve">zahraničných vecí </w:t>
      </w:r>
      <w:r w:rsidR="00230D0C">
        <w:rPr>
          <w:rFonts w:ascii="Times New Roman" w:hAnsi="Times New Roman"/>
        </w:rPr>
        <w:t xml:space="preserve">a európskych záležitostí SR </w:t>
      </w:r>
      <w:r w:rsidRPr="0025272C">
        <w:rPr>
          <w:rFonts w:ascii="Times New Roman" w:hAnsi="Times New Roman"/>
        </w:rPr>
        <w:t>na rok 2019 sú v porovnaní so schváleným rozpočtom rok</w:t>
      </w:r>
      <w:r>
        <w:rPr>
          <w:rFonts w:ascii="Times New Roman" w:hAnsi="Times New Roman"/>
        </w:rPr>
        <w:t>a</w:t>
      </w:r>
      <w:r w:rsidRPr="0025272C">
        <w:rPr>
          <w:rFonts w:ascii="Times New Roman" w:hAnsi="Times New Roman"/>
        </w:rPr>
        <w:t xml:space="preserve"> 2018 rozpočtovan</w:t>
      </w:r>
      <w:r>
        <w:rPr>
          <w:rFonts w:ascii="Times New Roman" w:hAnsi="Times New Roman"/>
        </w:rPr>
        <w:t xml:space="preserve">é vyššie výdavky </w:t>
      </w:r>
      <w:r w:rsidR="00230D0C">
        <w:rPr>
          <w:rFonts w:ascii="Times New Roman" w:hAnsi="Times New Roman"/>
        </w:rPr>
        <w:br/>
      </w:r>
      <w:r>
        <w:rPr>
          <w:rFonts w:ascii="Times New Roman" w:hAnsi="Times New Roman"/>
        </w:rPr>
        <w:t>o 17,1 mil. eur. Toto zvýšenie slúži najmä na zabezpečenie</w:t>
      </w:r>
      <w:r w:rsidRPr="0025272C">
        <w:rPr>
          <w:rFonts w:ascii="Times New Roman" w:hAnsi="Times New Roman"/>
        </w:rPr>
        <w:t xml:space="preserve"> predsedníctv</w:t>
      </w:r>
      <w:r>
        <w:rPr>
          <w:rFonts w:ascii="Times New Roman" w:hAnsi="Times New Roman"/>
        </w:rPr>
        <w:t>a</w:t>
      </w:r>
      <w:r w:rsidRPr="0025272C">
        <w:rPr>
          <w:rFonts w:ascii="Times New Roman" w:hAnsi="Times New Roman"/>
        </w:rPr>
        <w:t xml:space="preserve"> SR v Organizácii pre bezpečnosť a spoluprácu v Európe </w:t>
      </w:r>
      <w:r>
        <w:rPr>
          <w:rFonts w:ascii="Times New Roman" w:hAnsi="Times New Roman"/>
        </w:rPr>
        <w:t>a</w:t>
      </w:r>
      <w:r w:rsidRPr="0025272C">
        <w:rPr>
          <w:rFonts w:ascii="Times New Roman" w:hAnsi="Times New Roman"/>
        </w:rPr>
        <w:t xml:space="preserve"> predsedníctv</w:t>
      </w:r>
      <w:r>
        <w:rPr>
          <w:rFonts w:ascii="Times New Roman" w:hAnsi="Times New Roman"/>
        </w:rPr>
        <w:t>a</w:t>
      </w:r>
      <w:r w:rsidRPr="0025272C">
        <w:rPr>
          <w:rFonts w:ascii="Times New Roman" w:hAnsi="Times New Roman"/>
        </w:rPr>
        <w:t xml:space="preserve"> SR v Organizácii pre hospodársku spoluprácu a</w:t>
      </w:r>
      <w:r>
        <w:rPr>
          <w:rFonts w:ascii="Times New Roman" w:hAnsi="Times New Roman"/>
        </w:rPr>
        <w:t> </w:t>
      </w:r>
      <w:r w:rsidRPr="0025272C">
        <w:rPr>
          <w:rFonts w:ascii="Times New Roman" w:hAnsi="Times New Roman"/>
        </w:rPr>
        <w:t>rozvoj</w:t>
      </w:r>
      <w:r>
        <w:rPr>
          <w:rFonts w:ascii="Times New Roman" w:hAnsi="Times New Roman"/>
        </w:rPr>
        <w:t xml:space="preserve">. </w:t>
      </w:r>
    </w:p>
    <w:p w:rsidR="00B5225B" w:rsidRDefault="00B5225B" w:rsidP="00B5225B">
      <w:pPr>
        <w:ind w:firstLine="708"/>
        <w:jc w:val="both"/>
        <w:rPr>
          <w:rFonts w:ascii="Times New Roman" w:hAnsi="Times New Roman"/>
          <w:highlight w:val="yellow"/>
        </w:rPr>
      </w:pPr>
    </w:p>
    <w:p w:rsidR="00B5225B" w:rsidRPr="00625CCE" w:rsidRDefault="00B5225B" w:rsidP="00B5225B">
      <w:pPr>
        <w:ind w:firstLine="708"/>
        <w:jc w:val="both"/>
        <w:rPr>
          <w:rFonts w:ascii="Times New Roman" w:hAnsi="Times New Roman"/>
        </w:rPr>
      </w:pPr>
      <w:r>
        <w:rPr>
          <w:rFonts w:ascii="Times New Roman" w:hAnsi="Times New Roman"/>
        </w:rPr>
        <w:t>V</w:t>
      </w:r>
      <w:r w:rsidRPr="00625CCE">
        <w:rPr>
          <w:rFonts w:ascii="Times New Roman" w:hAnsi="Times New Roman"/>
        </w:rPr>
        <w:t>ýdavky Ministerstv</w:t>
      </w:r>
      <w:r>
        <w:rPr>
          <w:rFonts w:ascii="Times New Roman" w:hAnsi="Times New Roman"/>
        </w:rPr>
        <w:t>a</w:t>
      </w:r>
      <w:r w:rsidRPr="00625CCE">
        <w:rPr>
          <w:rFonts w:ascii="Times New Roman" w:hAnsi="Times New Roman"/>
        </w:rPr>
        <w:t xml:space="preserve"> spravodlivosti SR </w:t>
      </w:r>
      <w:r>
        <w:rPr>
          <w:rFonts w:ascii="Times New Roman" w:hAnsi="Times New Roman"/>
        </w:rPr>
        <w:t>rastú o</w:t>
      </w:r>
      <w:r w:rsidRPr="00625CCE">
        <w:rPr>
          <w:rFonts w:ascii="Times New Roman" w:hAnsi="Times New Roman"/>
        </w:rPr>
        <w:t>proti schválenému rozpočtu na rok 2018 o</w:t>
      </w:r>
      <w:r>
        <w:rPr>
          <w:rFonts w:ascii="Times New Roman" w:hAnsi="Times New Roman"/>
        </w:rPr>
        <w:t xml:space="preserve"> 39,5 mil. eur. V oblasti súdnictva je n</w:t>
      </w:r>
      <w:r w:rsidRPr="00625CCE">
        <w:rPr>
          <w:rFonts w:ascii="Times New Roman" w:hAnsi="Times New Roman"/>
        </w:rPr>
        <w:t xml:space="preserve">árast spôsobený hlavne rastom osobných výdavkov, ktorý zohľadňuje zvýšenie osobných výdavkov na dofinancovanie platov zamestnancov súdnictva a dopočet zákonných náležitostí sudcov v nadväznosti na rast priemernej nominálnej mesačnej mzdy v národnom hospodárstve SR za rok 2017.  Kapitálové výdavky súdnictva </w:t>
      </w:r>
      <w:r>
        <w:rPr>
          <w:rFonts w:ascii="Times New Roman" w:hAnsi="Times New Roman"/>
        </w:rPr>
        <w:t xml:space="preserve">sú o 6,29 mil. eur vyššie a </w:t>
      </w:r>
      <w:r w:rsidRPr="00625CCE">
        <w:rPr>
          <w:rFonts w:ascii="Times New Roman" w:hAnsi="Times New Roman"/>
        </w:rPr>
        <w:t xml:space="preserve">sú rozpočtované predovšetkým </w:t>
      </w:r>
      <w:r>
        <w:rPr>
          <w:rFonts w:ascii="Times New Roman" w:hAnsi="Times New Roman"/>
        </w:rPr>
        <w:t>na rekonštrukciu a</w:t>
      </w:r>
      <w:r w:rsidRPr="00625CCE">
        <w:rPr>
          <w:rFonts w:ascii="Times New Roman" w:hAnsi="Times New Roman"/>
        </w:rPr>
        <w:t xml:space="preserve"> odstraňovanie havarijných stavov </w:t>
      </w:r>
      <w:r>
        <w:rPr>
          <w:rFonts w:ascii="Times New Roman" w:hAnsi="Times New Roman"/>
        </w:rPr>
        <w:t xml:space="preserve">vybraných </w:t>
      </w:r>
      <w:r w:rsidRPr="00625CCE">
        <w:rPr>
          <w:rFonts w:ascii="Times New Roman" w:hAnsi="Times New Roman"/>
        </w:rPr>
        <w:t>budov súdov</w:t>
      </w:r>
      <w:r>
        <w:rPr>
          <w:rFonts w:ascii="Times New Roman" w:hAnsi="Times New Roman"/>
        </w:rPr>
        <w:t xml:space="preserve">. </w:t>
      </w:r>
      <w:r w:rsidRPr="00625CCE">
        <w:rPr>
          <w:rFonts w:ascii="Times New Roman" w:hAnsi="Times New Roman"/>
        </w:rPr>
        <w:t>Taktiež sú zapracované výdavky na prípravu prevádzky Detenčného ústavu Hronovce a prípravu PPP projektu ústavu Rimavská Sobota-Sabová</w:t>
      </w:r>
      <w:r>
        <w:rPr>
          <w:rFonts w:ascii="Times New Roman" w:hAnsi="Times New Roman"/>
        </w:rPr>
        <w:t>.</w:t>
      </w:r>
    </w:p>
    <w:p w:rsidR="00B5225B" w:rsidRPr="00625CCE" w:rsidRDefault="00B5225B" w:rsidP="00B5225B">
      <w:pPr>
        <w:ind w:firstLine="708"/>
        <w:jc w:val="both"/>
        <w:rPr>
          <w:rFonts w:ascii="Times New Roman" w:hAnsi="Times New Roman"/>
        </w:rPr>
      </w:pPr>
    </w:p>
    <w:p w:rsidR="00B5225B" w:rsidRDefault="00B5225B" w:rsidP="00B5225B">
      <w:pPr>
        <w:ind w:firstLine="708"/>
        <w:jc w:val="both"/>
        <w:rPr>
          <w:rFonts w:ascii="Times New Roman" w:hAnsi="Times New Roman" w:cs="Times New Roman"/>
          <w:sz w:val="22"/>
          <w:szCs w:val="22"/>
          <w:lang w:eastAsia="sk-SK"/>
        </w:rPr>
      </w:pPr>
      <w:r>
        <w:rPr>
          <w:rFonts w:ascii="Times New Roman" w:hAnsi="Times New Roman"/>
          <w:lang w:eastAsia="sk-SK"/>
        </w:rPr>
        <w:t>V roku 2019 sa v Slovenskej republike konajú voľby prezidenta a voľby do Európskeho parlamentu. V kapitolách Ministerstvo vnútra SR a Štatistický úrad SR sú na tento účel rozpočtované výdavky v celkovej sume 23,5 mil. eur.</w:t>
      </w:r>
    </w:p>
    <w:p w:rsidR="004D77CD" w:rsidRDefault="00B5225B" w:rsidP="00B5225B">
      <w:pPr>
        <w:jc w:val="both"/>
        <w:rPr>
          <w:rFonts w:ascii="Arial Narrow" w:hAnsi="Arial Narrow"/>
          <w:lang w:eastAsia="sk-SK"/>
        </w:rPr>
      </w:pPr>
      <w:r>
        <w:rPr>
          <w:rFonts w:ascii="Arial Narrow" w:hAnsi="Arial Narrow"/>
          <w:lang w:eastAsia="sk-SK"/>
        </w:rPr>
        <w:t xml:space="preserve">                </w:t>
      </w: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385FB2" w:rsidRDefault="00385FB2" w:rsidP="00B5225B">
      <w:pPr>
        <w:jc w:val="both"/>
        <w:rPr>
          <w:rFonts w:ascii="Arial Narrow" w:hAnsi="Arial Narrow"/>
          <w:lang w:eastAsia="sk-SK"/>
        </w:rPr>
      </w:pPr>
    </w:p>
    <w:p w:rsidR="00385FB2" w:rsidRDefault="00385FB2" w:rsidP="00B5225B">
      <w:pPr>
        <w:jc w:val="both"/>
        <w:rPr>
          <w:rFonts w:ascii="Arial Narrow" w:hAnsi="Arial Narrow"/>
          <w:lang w:eastAsia="sk-SK"/>
        </w:rPr>
      </w:pPr>
    </w:p>
    <w:p w:rsidR="00385FB2" w:rsidRDefault="00385FB2"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B5225B" w:rsidRDefault="00B5225B" w:rsidP="00B5225B">
      <w:pPr>
        <w:jc w:val="both"/>
        <w:rPr>
          <w:rFonts w:ascii="Arial Narrow" w:hAnsi="Arial Narrow"/>
          <w:lang w:eastAsia="sk-SK"/>
        </w:rPr>
      </w:pPr>
    </w:p>
    <w:p w:rsidR="009114C0" w:rsidRPr="00DA6562" w:rsidRDefault="009114C0" w:rsidP="009114C0">
      <w:pPr>
        <w:pStyle w:val="Nadpis2"/>
        <w:rPr>
          <w:rFonts w:ascii="Times New Roman" w:hAnsi="Times New Roman"/>
          <w:i w:val="0"/>
          <w:sz w:val="24"/>
        </w:rPr>
      </w:pPr>
      <w:bookmarkStart w:id="55" w:name="_Toc526273191"/>
      <w:r w:rsidRPr="003E1809">
        <w:rPr>
          <w:rFonts w:ascii="Times New Roman" w:hAnsi="Times New Roman"/>
          <w:i w:val="0"/>
          <w:sz w:val="24"/>
        </w:rPr>
        <w:lastRenderedPageBreak/>
        <w:t>4.</w:t>
      </w:r>
      <w:r w:rsidR="00CA7502" w:rsidRPr="003E1809">
        <w:rPr>
          <w:rFonts w:ascii="Times New Roman" w:hAnsi="Times New Roman"/>
          <w:i w:val="0"/>
          <w:sz w:val="24"/>
        </w:rPr>
        <w:t>2</w:t>
      </w:r>
      <w:r w:rsidRPr="003E1809">
        <w:rPr>
          <w:rFonts w:ascii="Times New Roman" w:hAnsi="Times New Roman"/>
          <w:i w:val="0"/>
          <w:sz w:val="24"/>
        </w:rPr>
        <w:t>. Zamestnanosť vo verejnej správe</w:t>
      </w:r>
      <w:bookmarkEnd w:id="55"/>
    </w:p>
    <w:p w:rsidR="003E1809" w:rsidRDefault="003E1809" w:rsidP="003E1809">
      <w:pPr>
        <w:jc w:val="both"/>
        <w:rPr>
          <w:rFonts w:ascii="Times New Roman" w:hAnsi="Times New Roman"/>
        </w:rPr>
      </w:pPr>
    </w:p>
    <w:p w:rsidR="003E1809" w:rsidRPr="00F072C1" w:rsidRDefault="003E1809" w:rsidP="003E1809">
      <w:pPr>
        <w:rPr>
          <w:rFonts w:ascii="Times New Roman" w:hAnsi="Times New Roman"/>
          <w:b/>
        </w:rPr>
      </w:pPr>
      <w:r w:rsidRPr="00F072C1">
        <w:rPr>
          <w:rFonts w:ascii="Times New Roman" w:hAnsi="Times New Roman"/>
          <w:b/>
        </w:rPr>
        <w:t>4.2.1.  Verejná správa</w:t>
      </w:r>
    </w:p>
    <w:p w:rsidR="003E1809" w:rsidRPr="00F072C1" w:rsidRDefault="003E1809" w:rsidP="003E1809">
      <w:pPr>
        <w:ind w:firstLine="708"/>
        <w:jc w:val="both"/>
        <w:rPr>
          <w:rFonts w:ascii="Times New Roman" w:hAnsi="Times New Roman"/>
          <w:bCs/>
          <w:szCs w:val="22"/>
        </w:rPr>
      </w:pPr>
    </w:p>
    <w:p w:rsidR="003E1809" w:rsidRDefault="003E1809" w:rsidP="003E1809">
      <w:pPr>
        <w:ind w:firstLine="708"/>
        <w:contextualSpacing/>
        <w:jc w:val="both"/>
        <w:rPr>
          <w:rFonts w:ascii="Times New Roman" w:hAnsi="Times New Roman"/>
          <w:bCs/>
          <w:szCs w:val="22"/>
        </w:rPr>
      </w:pPr>
      <w:r w:rsidRPr="00F072C1">
        <w:rPr>
          <w:rFonts w:ascii="Times New Roman" w:hAnsi="Times New Roman"/>
          <w:bCs/>
          <w:szCs w:val="22"/>
        </w:rPr>
        <w:t xml:space="preserve">Návrh rozpočtu osobných výdavkov </w:t>
      </w:r>
      <w:r>
        <w:rPr>
          <w:rFonts w:ascii="Times New Roman" w:hAnsi="Times New Roman"/>
          <w:bCs/>
          <w:szCs w:val="22"/>
        </w:rPr>
        <w:t xml:space="preserve">na roky 2019 a 2020 </w:t>
      </w:r>
      <w:r w:rsidRPr="00F072C1">
        <w:rPr>
          <w:rFonts w:ascii="Times New Roman" w:hAnsi="Times New Roman"/>
          <w:bCs/>
          <w:szCs w:val="22"/>
        </w:rPr>
        <w:t>vychádza z</w:t>
      </w:r>
      <w:r>
        <w:rPr>
          <w:rFonts w:ascii="Times New Roman" w:hAnsi="Times New Roman"/>
          <w:bCs/>
          <w:szCs w:val="22"/>
        </w:rPr>
        <w:t xml:space="preserve"> ich </w:t>
      </w:r>
      <w:r w:rsidRPr="00F072C1">
        <w:rPr>
          <w:rFonts w:ascii="Times New Roman" w:hAnsi="Times New Roman"/>
          <w:bCs/>
          <w:szCs w:val="22"/>
        </w:rPr>
        <w:t>úrovne rozpočtovan</w:t>
      </w:r>
      <w:r>
        <w:rPr>
          <w:rFonts w:ascii="Times New Roman" w:hAnsi="Times New Roman"/>
          <w:bCs/>
          <w:szCs w:val="22"/>
        </w:rPr>
        <w:t>ej</w:t>
      </w:r>
      <w:r w:rsidRPr="00F072C1">
        <w:rPr>
          <w:rFonts w:ascii="Times New Roman" w:hAnsi="Times New Roman"/>
          <w:bCs/>
          <w:szCs w:val="22"/>
        </w:rPr>
        <w:t xml:space="preserve"> </w:t>
      </w:r>
      <w:r>
        <w:rPr>
          <w:rFonts w:ascii="Times New Roman" w:hAnsi="Times New Roman"/>
          <w:bCs/>
          <w:szCs w:val="22"/>
        </w:rPr>
        <w:t>v</w:t>
      </w:r>
      <w:r w:rsidRPr="00F072C1">
        <w:rPr>
          <w:rFonts w:ascii="Times New Roman" w:hAnsi="Times New Roman"/>
          <w:bCs/>
          <w:szCs w:val="22"/>
        </w:rPr>
        <w:t xml:space="preserve"> schválen</w:t>
      </w:r>
      <w:r>
        <w:rPr>
          <w:rFonts w:ascii="Times New Roman" w:hAnsi="Times New Roman"/>
          <w:bCs/>
          <w:szCs w:val="22"/>
        </w:rPr>
        <w:t>om</w:t>
      </w:r>
      <w:r w:rsidRPr="00F072C1">
        <w:rPr>
          <w:rFonts w:ascii="Times New Roman" w:hAnsi="Times New Roman"/>
          <w:bCs/>
          <w:szCs w:val="22"/>
        </w:rPr>
        <w:t xml:space="preserve"> rozpočt</w:t>
      </w:r>
      <w:r>
        <w:rPr>
          <w:rFonts w:ascii="Times New Roman" w:hAnsi="Times New Roman"/>
          <w:bCs/>
          <w:szCs w:val="22"/>
        </w:rPr>
        <w:t>e</w:t>
      </w:r>
      <w:r w:rsidRPr="00F072C1">
        <w:rPr>
          <w:rFonts w:ascii="Times New Roman" w:hAnsi="Times New Roman"/>
          <w:bCs/>
          <w:szCs w:val="22"/>
        </w:rPr>
        <w:t xml:space="preserve"> verejnej správy na roky 2018 až 2020</w:t>
      </w:r>
      <w:r>
        <w:rPr>
          <w:rFonts w:ascii="Times New Roman" w:hAnsi="Times New Roman"/>
          <w:bCs/>
          <w:szCs w:val="22"/>
        </w:rPr>
        <w:t xml:space="preserve">, </w:t>
      </w:r>
      <w:r w:rsidRPr="00F072C1">
        <w:rPr>
          <w:rFonts w:ascii="Times New Roman" w:hAnsi="Times New Roman"/>
          <w:bCs/>
          <w:szCs w:val="22"/>
        </w:rPr>
        <w:t xml:space="preserve">rok 2021 </w:t>
      </w:r>
      <w:r>
        <w:rPr>
          <w:rFonts w:ascii="Times New Roman" w:hAnsi="Times New Roman"/>
          <w:bCs/>
          <w:szCs w:val="22"/>
        </w:rPr>
        <w:t>vychádza z úrovne</w:t>
      </w:r>
      <w:r w:rsidRPr="00F072C1">
        <w:rPr>
          <w:rFonts w:ascii="Times New Roman" w:hAnsi="Times New Roman"/>
          <w:bCs/>
          <w:szCs w:val="22"/>
        </w:rPr>
        <w:t xml:space="preserve"> roka 2020. Návrh je vo všetkých rokoch aktualizovaný o</w:t>
      </w:r>
      <w:r>
        <w:rPr>
          <w:rFonts w:ascii="Times New Roman" w:hAnsi="Times New Roman"/>
          <w:bCs/>
          <w:szCs w:val="22"/>
        </w:rPr>
        <w:t xml:space="preserve"> nové </w:t>
      </w:r>
      <w:r w:rsidRPr="00F072C1">
        <w:rPr>
          <w:rFonts w:ascii="Times New Roman" w:hAnsi="Times New Roman"/>
          <w:bCs/>
          <w:szCs w:val="22"/>
        </w:rPr>
        <w:t>zmeny a</w:t>
      </w:r>
      <w:r>
        <w:rPr>
          <w:rFonts w:ascii="Times New Roman" w:hAnsi="Times New Roman"/>
          <w:bCs/>
          <w:szCs w:val="22"/>
        </w:rPr>
        <w:t xml:space="preserve"> skutočnosti, z ktorých najdôležitejšie sú: </w:t>
      </w:r>
    </w:p>
    <w:p w:rsidR="003E1809" w:rsidRDefault="003E1809" w:rsidP="003E1809">
      <w:pPr>
        <w:ind w:firstLine="708"/>
        <w:contextualSpacing/>
        <w:jc w:val="both"/>
        <w:rPr>
          <w:rFonts w:ascii="Times New Roman" w:hAnsi="Times New Roman"/>
          <w:bCs/>
          <w:szCs w:val="22"/>
        </w:rPr>
      </w:pPr>
    </w:p>
    <w:p w:rsidR="003E1809" w:rsidRPr="00B45451" w:rsidRDefault="003E1809" w:rsidP="003E1809">
      <w:pPr>
        <w:numPr>
          <w:ilvl w:val="0"/>
          <w:numId w:val="8"/>
        </w:numPr>
        <w:contextualSpacing/>
        <w:jc w:val="both"/>
        <w:rPr>
          <w:rFonts w:ascii="Times New Roman" w:hAnsi="Times New Roman"/>
          <w:bCs/>
          <w:color w:val="000000"/>
          <w:szCs w:val="22"/>
        </w:rPr>
      </w:pPr>
      <w:r w:rsidRPr="006D37D3">
        <w:rPr>
          <w:rFonts w:ascii="Times New Roman" w:hAnsi="Times New Roman"/>
          <w:bCs/>
          <w:szCs w:val="22"/>
        </w:rPr>
        <w:t>premietnutie valorizácie platov z roku 2018</w:t>
      </w:r>
      <w:r>
        <w:rPr>
          <w:rFonts w:ascii="Times New Roman" w:hAnsi="Times New Roman"/>
          <w:bCs/>
          <w:szCs w:val="22"/>
        </w:rPr>
        <w:t xml:space="preserve"> pre zamestnancov </w:t>
      </w:r>
      <w:r w:rsidRPr="006D37D3">
        <w:rPr>
          <w:rFonts w:ascii="Times New Roman" w:hAnsi="Times New Roman"/>
          <w:bCs/>
          <w:szCs w:val="22"/>
        </w:rPr>
        <w:t>do rozpočtu príslušných kapitol</w:t>
      </w:r>
      <w:r>
        <w:rPr>
          <w:rFonts w:ascii="Times New Roman" w:hAnsi="Times New Roman"/>
          <w:bCs/>
          <w:szCs w:val="22"/>
        </w:rPr>
        <w:t xml:space="preserve"> </w:t>
      </w:r>
      <w:r w:rsidRPr="006D37D3">
        <w:rPr>
          <w:rFonts w:ascii="Times New Roman" w:hAnsi="Times New Roman"/>
          <w:bCs/>
          <w:szCs w:val="22"/>
        </w:rPr>
        <w:t xml:space="preserve">na </w:t>
      </w:r>
      <w:r w:rsidRPr="00B45451">
        <w:rPr>
          <w:rFonts w:ascii="Times New Roman" w:hAnsi="Times New Roman"/>
          <w:bCs/>
          <w:color w:val="000000"/>
          <w:szCs w:val="22"/>
        </w:rPr>
        <w:t>úrovni 4,8 %, s výnimkou pedagogických zamestnancov a odborných zamestnancov a učiteľov vysokých škôl, ktorých valorizácia na úrovni  6 % už bola v kapitolách štátneho rozpočtu premietnutá,</w:t>
      </w:r>
    </w:p>
    <w:p w:rsidR="003E1809" w:rsidRDefault="003E1809" w:rsidP="003E1809">
      <w:pPr>
        <w:numPr>
          <w:ilvl w:val="0"/>
          <w:numId w:val="8"/>
        </w:numPr>
        <w:contextualSpacing/>
        <w:jc w:val="both"/>
        <w:rPr>
          <w:rFonts w:ascii="Times New Roman" w:hAnsi="Times New Roman"/>
          <w:bCs/>
          <w:szCs w:val="22"/>
        </w:rPr>
      </w:pPr>
      <w:r>
        <w:rPr>
          <w:rFonts w:ascii="Times New Roman" w:hAnsi="Times New Roman"/>
          <w:bCs/>
          <w:szCs w:val="22"/>
        </w:rPr>
        <w:t>zabezpečenie finančných prostriedkov na valorizáciu platov zamestnancov od 1. januára 2019 na úrovni 10 % v zmysle vyhlásenia zástupcov sociálnych partnerov k dohode o kolektívnych zmluvách vyššieho stupňa v štátnej službe a vo verejnej službe na roky 2019 a 2020, vrátane zvýšenia platov štátnych zamestnancov v služobnom pomere,</w:t>
      </w:r>
    </w:p>
    <w:p w:rsidR="003E1809" w:rsidRDefault="003E1809" w:rsidP="003E1809">
      <w:pPr>
        <w:numPr>
          <w:ilvl w:val="0"/>
          <w:numId w:val="8"/>
        </w:numPr>
        <w:contextualSpacing/>
        <w:jc w:val="both"/>
        <w:rPr>
          <w:rFonts w:ascii="Times New Roman" w:hAnsi="Times New Roman"/>
          <w:bCs/>
          <w:szCs w:val="22"/>
        </w:rPr>
      </w:pPr>
      <w:r>
        <w:rPr>
          <w:rFonts w:ascii="Times New Roman" w:hAnsi="Times New Roman"/>
          <w:bCs/>
          <w:szCs w:val="22"/>
        </w:rPr>
        <w:t>zabezpečenie finančných prostriedkov pre pedagogických zamestnancov a odborných zamestnancov a učiteľov vysokých škôl na realizáciu zvýhodneného odmeňovania začínajúcich učiteľov od 1. septembra 2019 v súlade s Národným programom rozvoja výchovy a vzdelávania schváleným vládou Slovenskej republiky,</w:t>
      </w:r>
    </w:p>
    <w:p w:rsidR="003E1809" w:rsidRPr="00684759" w:rsidRDefault="003E1809" w:rsidP="003E1809">
      <w:pPr>
        <w:numPr>
          <w:ilvl w:val="0"/>
          <w:numId w:val="8"/>
        </w:numPr>
        <w:contextualSpacing/>
        <w:jc w:val="both"/>
        <w:rPr>
          <w:rFonts w:ascii="Times New Roman" w:hAnsi="Times New Roman"/>
          <w:bCs/>
          <w:szCs w:val="22"/>
        </w:rPr>
      </w:pPr>
      <w:r w:rsidRPr="00684759">
        <w:rPr>
          <w:rFonts w:ascii="Times New Roman" w:hAnsi="Times New Roman"/>
          <w:bCs/>
          <w:szCs w:val="22"/>
        </w:rPr>
        <w:t>zabezpečenie finančných prostriedkov na realizáciu zákona, ktorým sa mení a dopĺňa zákon č. 553/2003 Z.</w:t>
      </w:r>
      <w:r>
        <w:rPr>
          <w:rFonts w:ascii="Times New Roman" w:hAnsi="Times New Roman"/>
          <w:bCs/>
          <w:szCs w:val="22"/>
        </w:rPr>
        <w:t> </w:t>
      </w:r>
      <w:r w:rsidRPr="00684759">
        <w:rPr>
          <w:rFonts w:ascii="Times New Roman" w:hAnsi="Times New Roman"/>
          <w:bCs/>
          <w:szCs w:val="22"/>
        </w:rPr>
        <w:t>z. o odmeňovaní niektorých zamestnancov pri výkone práce vo verejnom záujme a o zmene a doplnení niektorých zákonov v znení neskorších predpisov a ktorým sa menia a dopĺňajú niektoré zákony, k prijatiu ktorého sa zaviazala vláda Slovenskej republiky vo svojom Programovom vyhlásení na roky 2016 – 2020</w:t>
      </w:r>
      <w:r>
        <w:rPr>
          <w:rFonts w:ascii="Times New Roman" w:hAnsi="Times New Roman"/>
          <w:bCs/>
          <w:szCs w:val="22"/>
        </w:rPr>
        <w:t>,</w:t>
      </w:r>
    </w:p>
    <w:p w:rsidR="003E1809" w:rsidRDefault="003E1809" w:rsidP="003E1809">
      <w:pPr>
        <w:numPr>
          <w:ilvl w:val="0"/>
          <w:numId w:val="8"/>
        </w:numPr>
        <w:contextualSpacing/>
        <w:jc w:val="both"/>
        <w:rPr>
          <w:rFonts w:ascii="Times New Roman" w:hAnsi="Times New Roman"/>
          <w:bCs/>
          <w:szCs w:val="22"/>
        </w:rPr>
      </w:pPr>
      <w:r w:rsidRPr="00EF50DC">
        <w:rPr>
          <w:rFonts w:ascii="Times New Roman" w:hAnsi="Times New Roman"/>
          <w:bCs/>
          <w:szCs w:val="22"/>
        </w:rPr>
        <w:t>aktualizácia subjektov verejnej správy v zmysle registra vedeného Štatistickým úradom Slovenskej republiky, resp. aktualizácia počtu zamestnancov a ich osobných výdavkov jednotlivých subjektov verejnej správy</w:t>
      </w:r>
      <w:r>
        <w:rPr>
          <w:rFonts w:ascii="Times New Roman" w:hAnsi="Times New Roman"/>
          <w:bCs/>
          <w:szCs w:val="22"/>
        </w:rPr>
        <w:t>.</w:t>
      </w:r>
    </w:p>
    <w:p w:rsidR="003E1809" w:rsidRPr="00F072C1" w:rsidRDefault="003E1809" w:rsidP="003E1809">
      <w:pPr>
        <w:jc w:val="both"/>
        <w:rPr>
          <w:rFonts w:ascii="Times New Roman" w:hAnsi="Times New Roman"/>
          <w:bCs/>
          <w:color w:val="FF0000"/>
          <w:szCs w:val="22"/>
          <w:highlight w:val="yellow"/>
        </w:rPr>
      </w:pPr>
    </w:p>
    <w:p w:rsidR="003E1809" w:rsidRDefault="003E1809" w:rsidP="003E1809">
      <w:pPr>
        <w:ind w:firstLine="708"/>
        <w:jc w:val="both"/>
        <w:rPr>
          <w:rFonts w:ascii="Times New Roman" w:hAnsi="Times New Roman"/>
          <w:bCs/>
          <w:color w:val="FF0000"/>
          <w:szCs w:val="22"/>
        </w:rPr>
      </w:pPr>
      <w:r>
        <w:rPr>
          <w:rFonts w:ascii="Times New Roman" w:hAnsi="Times New Roman"/>
          <w:bCs/>
          <w:szCs w:val="22"/>
        </w:rPr>
        <w:t>V</w:t>
      </w:r>
      <w:r w:rsidRPr="00CD141B">
        <w:rPr>
          <w:rFonts w:ascii="Times New Roman" w:hAnsi="Times New Roman"/>
          <w:bCs/>
          <w:szCs w:val="22"/>
        </w:rPr>
        <w:t xml:space="preserve"> sektore verejnej správy </w:t>
      </w:r>
      <w:r>
        <w:rPr>
          <w:rFonts w:ascii="Times New Roman" w:hAnsi="Times New Roman"/>
          <w:bCs/>
          <w:szCs w:val="22"/>
        </w:rPr>
        <w:t>sa z</w:t>
      </w:r>
      <w:r w:rsidRPr="00CD141B">
        <w:rPr>
          <w:rFonts w:ascii="Times New Roman" w:hAnsi="Times New Roman"/>
          <w:bCs/>
          <w:szCs w:val="22"/>
        </w:rPr>
        <w:t>a oblasť zamestnanosti v roku 2019 v porovnaní so</w:t>
      </w:r>
      <w:r>
        <w:rPr>
          <w:rFonts w:ascii="Times New Roman" w:hAnsi="Times New Roman"/>
          <w:bCs/>
          <w:szCs w:val="22"/>
        </w:rPr>
        <w:t> </w:t>
      </w:r>
      <w:r w:rsidRPr="00CD141B">
        <w:rPr>
          <w:rFonts w:ascii="Times New Roman" w:hAnsi="Times New Roman"/>
          <w:bCs/>
          <w:szCs w:val="22"/>
        </w:rPr>
        <w:t xml:space="preserve">schváleným počtom zamestnancov na rok 2018 očakáva </w:t>
      </w:r>
      <w:r>
        <w:rPr>
          <w:rFonts w:ascii="Times New Roman" w:hAnsi="Times New Roman"/>
          <w:bCs/>
          <w:szCs w:val="22"/>
        </w:rPr>
        <w:t>nárast</w:t>
      </w:r>
      <w:r w:rsidRPr="00CD141B">
        <w:rPr>
          <w:rFonts w:ascii="Times New Roman" w:hAnsi="Times New Roman"/>
          <w:bCs/>
          <w:szCs w:val="22"/>
        </w:rPr>
        <w:t xml:space="preserve"> zamestnanosti </w:t>
      </w:r>
      <w:r>
        <w:rPr>
          <w:rFonts w:ascii="Times New Roman" w:hAnsi="Times New Roman"/>
          <w:bCs/>
          <w:szCs w:val="22"/>
        </w:rPr>
        <w:t>o 6 846</w:t>
      </w:r>
      <w:r w:rsidRPr="00CD141B">
        <w:rPr>
          <w:rFonts w:ascii="Times New Roman" w:hAnsi="Times New Roman"/>
          <w:bCs/>
          <w:szCs w:val="22"/>
        </w:rPr>
        <w:t xml:space="preserve"> osôb</w:t>
      </w:r>
      <w:r>
        <w:rPr>
          <w:rFonts w:ascii="Times New Roman" w:hAnsi="Times New Roman"/>
          <w:bCs/>
          <w:szCs w:val="22"/>
        </w:rPr>
        <w:t xml:space="preserve"> (1,6 </w:t>
      </w:r>
      <w:r w:rsidRPr="00CD141B">
        <w:rPr>
          <w:rFonts w:ascii="Times New Roman" w:hAnsi="Times New Roman"/>
          <w:bCs/>
          <w:szCs w:val="22"/>
        </w:rPr>
        <w:t>%)</w:t>
      </w:r>
      <w:r>
        <w:rPr>
          <w:rFonts w:ascii="Times New Roman" w:hAnsi="Times New Roman"/>
          <w:bCs/>
          <w:szCs w:val="22"/>
        </w:rPr>
        <w:t>. Počet zamestnancov sa zvyšuje v ústrednej správe, v územnej samospráve aj vo fondoch sociálneho a zdravotného poistenia.</w:t>
      </w:r>
      <w:r w:rsidRPr="00F072C1">
        <w:rPr>
          <w:rFonts w:ascii="Times New Roman" w:hAnsi="Times New Roman"/>
          <w:bCs/>
          <w:color w:val="FF0000"/>
          <w:szCs w:val="22"/>
        </w:rPr>
        <w:t xml:space="preserve"> </w:t>
      </w:r>
    </w:p>
    <w:p w:rsidR="003E1809" w:rsidRDefault="003E1809" w:rsidP="003E1809">
      <w:pPr>
        <w:ind w:firstLine="708"/>
        <w:jc w:val="both"/>
        <w:rPr>
          <w:rFonts w:ascii="Times New Roman" w:hAnsi="Times New Roman"/>
          <w:bCs/>
          <w:color w:val="FF0000"/>
          <w:szCs w:val="22"/>
        </w:rPr>
      </w:pPr>
    </w:p>
    <w:p w:rsidR="003E1809" w:rsidRDefault="00BC334C" w:rsidP="003E1809">
      <w:pPr>
        <w:ind w:firstLine="708"/>
        <w:jc w:val="both"/>
        <w:rPr>
          <w:rFonts w:ascii="Times New Roman" w:hAnsi="Times New Roman"/>
          <w:bCs/>
          <w:szCs w:val="22"/>
        </w:rPr>
      </w:pPr>
      <w:r>
        <w:rPr>
          <w:rFonts w:ascii="Times New Roman" w:hAnsi="Times New Roman"/>
          <w:bCs/>
          <w:szCs w:val="22"/>
        </w:rPr>
        <w:t xml:space="preserve">Najvyšší </w:t>
      </w:r>
      <w:r w:rsidR="003E1809">
        <w:rPr>
          <w:rFonts w:ascii="Times New Roman" w:hAnsi="Times New Roman"/>
          <w:bCs/>
          <w:szCs w:val="22"/>
        </w:rPr>
        <w:t>medziročn</w:t>
      </w:r>
      <w:r>
        <w:rPr>
          <w:rFonts w:ascii="Times New Roman" w:hAnsi="Times New Roman"/>
          <w:bCs/>
          <w:szCs w:val="22"/>
        </w:rPr>
        <w:t>ý</w:t>
      </w:r>
      <w:r w:rsidR="003E1809">
        <w:rPr>
          <w:rFonts w:ascii="Times New Roman" w:hAnsi="Times New Roman"/>
          <w:bCs/>
          <w:szCs w:val="22"/>
        </w:rPr>
        <w:t xml:space="preserve"> nárast</w:t>
      </w:r>
      <w:r>
        <w:rPr>
          <w:rFonts w:ascii="Times New Roman" w:hAnsi="Times New Roman"/>
          <w:bCs/>
          <w:szCs w:val="22"/>
        </w:rPr>
        <w:t xml:space="preserve"> sa očakáva</w:t>
      </w:r>
      <w:r w:rsidR="003E1809">
        <w:rPr>
          <w:rFonts w:ascii="Times New Roman" w:hAnsi="Times New Roman"/>
          <w:bCs/>
          <w:szCs w:val="22"/>
        </w:rPr>
        <w:t xml:space="preserve"> v územnej samospráve, a to o 3 648 osôb (1,9 %), z toho v regionálnom školstve o 642 asistentov učiteľa. Návrh počtu zamestnancov územnej samosprávy na roky 2019 až 2021 vychádza z dosiahnutej skutočnosti za 1. polrok 2018 a zohľadňuje predovšetkým zvýšenie na úseku obecných služieb, verejnoprospešných prác a sociálnych služieb.</w:t>
      </w:r>
    </w:p>
    <w:p w:rsidR="003E1809" w:rsidRDefault="003E1809" w:rsidP="003E1809">
      <w:pPr>
        <w:ind w:firstLine="708"/>
        <w:jc w:val="both"/>
        <w:rPr>
          <w:rFonts w:ascii="Times New Roman" w:hAnsi="Times New Roman"/>
          <w:bCs/>
          <w:szCs w:val="22"/>
        </w:rPr>
      </w:pPr>
    </w:p>
    <w:p w:rsidR="003E1809" w:rsidRDefault="003E1809" w:rsidP="003E1809">
      <w:pPr>
        <w:ind w:firstLine="708"/>
        <w:jc w:val="both"/>
        <w:rPr>
          <w:rFonts w:ascii="Times New Roman" w:hAnsi="Times New Roman"/>
          <w:bCs/>
          <w:szCs w:val="22"/>
        </w:rPr>
      </w:pPr>
      <w:r w:rsidRPr="00784D04">
        <w:rPr>
          <w:rFonts w:ascii="Times New Roman" w:hAnsi="Times New Roman"/>
          <w:bCs/>
          <w:szCs w:val="22"/>
        </w:rPr>
        <w:t xml:space="preserve">V rámci </w:t>
      </w:r>
      <w:r>
        <w:rPr>
          <w:rFonts w:ascii="Times New Roman" w:hAnsi="Times New Roman"/>
          <w:bCs/>
          <w:szCs w:val="22"/>
        </w:rPr>
        <w:t xml:space="preserve">ústrednej správy dochádza k nárastu o 3 071 osôb (1,4 %), z toho v rozpočtových organizáciách kapitol štátneho rozpočtu vzrástol počet zamestnancov o 1 110 osôb (0,9 %) a v príspevkových organizáciách o 538 osôb (4,9 %). </w:t>
      </w:r>
    </w:p>
    <w:p w:rsidR="003E1809" w:rsidRDefault="003E1809" w:rsidP="003E1809">
      <w:pPr>
        <w:ind w:firstLine="708"/>
        <w:jc w:val="both"/>
        <w:rPr>
          <w:rFonts w:ascii="Times New Roman" w:hAnsi="Times New Roman"/>
          <w:bCs/>
          <w:szCs w:val="22"/>
        </w:rPr>
      </w:pPr>
    </w:p>
    <w:p w:rsidR="003E1809" w:rsidRDefault="003E1809" w:rsidP="003E1809">
      <w:pPr>
        <w:ind w:firstLine="708"/>
        <w:jc w:val="both"/>
        <w:rPr>
          <w:rFonts w:ascii="Times New Roman" w:hAnsi="Times New Roman"/>
          <w:bCs/>
          <w:szCs w:val="22"/>
        </w:rPr>
      </w:pPr>
      <w:r w:rsidRPr="00B45451">
        <w:rPr>
          <w:rFonts w:ascii="Times New Roman" w:hAnsi="Times New Roman"/>
          <w:bCs/>
          <w:color w:val="000000"/>
          <w:szCs w:val="22"/>
        </w:rPr>
        <w:t>Z ostatných subjektov verejnej správy zaradených do ústrednej správy sa medziročne výraznejšie mení počet</w:t>
      </w:r>
      <w:r w:rsidRPr="008C7ECF">
        <w:rPr>
          <w:rFonts w:ascii="Times New Roman" w:hAnsi="Times New Roman"/>
          <w:bCs/>
          <w:szCs w:val="22"/>
        </w:rPr>
        <w:t xml:space="preserve"> zamestnancov v štátnych zdravotníckych zariadeniach, </w:t>
      </w:r>
      <w:r>
        <w:rPr>
          <w:rFonts w:ascii="Times New Roman" w:hAnsi="Times New Roman"/>
          <w:bCs/>
          <w:szCs w:val="22"/>
        </w:rPr>
        <w:t>v ktorých</w:t>
      </w:r>
      <w:r>
        <w:rPr>
          <w:rFonts w:ascii="Times New Roman" w:hAnsi="Times New Roman"/>
          <w:bCs/>
          <w:color w:val="FF0000"/>
          <w:szCs w:val="22"/>
        </w:rPr>
        <w:t xml:space="preserve"> </w:t>
      </w:r>
      <w:r w:rsidRPr="00F072C1">
        <w:rPr>
          <w:rFonts w:ascii="Times New Roman" w:hAnsi="Times New Roman"/>
          <w:bCs/>
          <w:color w:val="FF0000"/>
          <w:szCs w:val="22"/>
        </w:rPr>
        <w:t xml:space="preserve"> </w:t>
      </w:r>
      <w:r w:rsidRPr="00B357A8">
        <w:rPr>
          <w:rFonts w:ascii="Times New Roman" w:hAnsi="Times New Roman"/>
          <w:bCs/>
          <w:szCs w:val="22"/>
        </w:rPr>
        <w:t xml:space="preserve">dochádza </w:t>
      </w:r>
      <w:r>
        <w:rPr>
          <w:rFonts w:ascii="Times New Roman" w:hAnsi="Times New Roman"/>
          <w:bCs/>
          <w:szCs w:val="22"/>
        </w:rPr>
        <w:t>k nárastu o 1 261 osôb (3,4 %). K najvýraznejšiemu poklesu (o 72 osôb, t. j. 1,2 %) dochádza v Železničnej spoločnosti Slovensko, a. s.</w:t>
      </w:r>
      <w:r w:rsidRPr="00B357A8">
        <w:rPr>
          <w:rFonts w:ascii="Times New Roman" w:hAnsi="Times New Roman"/>
          <w:bCs/>
          <w:szCs w:val="22"/>
        </w:rPr>
        <w:t xml:space="preserve"> </w:t>
      </w:r>
    </w:p>
    <w:p w:rsidR="003E1809" w:rsidRDefault="003E1809" w:rsidP="003E1809">
      <w:pPr>
        <w:ind w:firstLine="708"/>
        <w:jc w:val="both"/>
        <w:rPr>
          <w:rFonts w:ascii="Times New Roman" w:hAnsi="Times New Roman"/>
          <w:bCs/>
          <w:szCs w:val="22"/>
        </w:rPr>
      </w:pPr>
    </w:p>
    <w:p w:rsidR="003E1809" w:rsidRDefault="003E1809" w:rsidP="003E1809">
      <w:pPr>
        <w:ind w:firstLine="708"/>
        <w:jc w:val="both"/>
        <w:rPr>
          <w:rFonts w:ascii="Times New Roman" w:hAnsi="Times New Roman"/>
          <w:bCs/>
          <w:szCs w:val="22"/>
        </w:rPr>
      </w:pPr>
      <w:r>
        <w:rPr>
          <w:rFonts w:ascii="Times New Roman" w:hAnsi="Times New Roman"/>
          <w:bCs/>
          <w:szCs w:val="22"/>
        </w:rPr>
        <w:lastRenderedPageBreak/>
        <w:t>Medziročne mierne narastá aj počet zamestnancov vo fondoch sociálneho a zdravotného poistenia (o 127 osôb, t. j. 1,7 %).</w:t>
      </w:r>
    </w:p>
    <w:p w:rsidR="003E1809" w:rsidRPr="00B357A8" w:rsidRDefault="003E1809" w:rsidP="003E1809">
      <w:pPr>
        <w:ind w:firstLine="708"/>
        <w:jc w:val="both"/>
        <w:rPr>
          <w:rFonts w:ascii="Times New Roman" w:hAnsi="Times New Roman"/>
          <w:bCs/>
          <w:szCs w:val="22"/>
        </w:rPr>
      </w:pPr>
    </w:p>
    <w:p w:rsidR="003E1809" w:rsidRDefault="003E1809" w:rsidP="003E1809">
      <w:pPr>
        <w:ind w:firstLine="708"/>
        <w:jc w:val="both"/>
        <w:rPr>
          <w:rFonts w:ascii="Times New Roman" w:hAnsi="Times New Roman"/>
          <w:bCs/>
          <w:szCs w:val="22"/>
        </w:rPr>
      </w:pPr>
      <w:r w:rsidRPr="00AF7321">
        <w:rPr>
          <w:rFonts w:ascii="Times New Roman" w:hAnsi="Times New Roman"/>
          <w:bCs/>
          <w:szCs w:val="22"/>
        </w:rPr>
        <w:t>Prehľad o vývoji počtu zamestnancov verejnej správy poskytuje tabuľka.</w:t>
      </w:r>
    </w:p>
    <w:p w:rsidR="003E1809" w:rsidRDefault="003E1809" w:rsidP="003E1809">
      <w:pPr>
        <w:ind w:firstLine="708"/>
        <w:jc w:val="both"/>
        <w:rPr>
          <w:rFonts w:ascii="Times New Roman" w:hAnsi="Times New Roman"/>
          <w:bCs/>
          <w:szCs w:val="22"/>
        </w:rPr>
      </w:pPr>
    </w:p>
    <w:tbl>
      <w:tblPr>
        <w:tblW w:w="9080" w:type="dxa"/>
        <w:jc w:val="center"/>
        <w:tblCellMar>
          <w:left w:w="70" w:type="dxa"/>
          <w:right w:w="70" w:type="dxa"/>
        </w:tblCellMar>
        <w:tblLook w:val="04A0" w:firstRow="1" w:lastRow="0" w:firstColumn="1" w:lastColumn="0" w:noHBand="0" w:noVBand="1"/>
      </w:tblPr>
      <w:tblGrid>
        <w:gridCol w:w="961"/>
        <w:gridCol w:w="2519"/>
        <w:gridCol w:w="800"/>
        <w:gridCol w:w="800"/>
        <w:gridCol w:w="800"/>
        <w:gridCol w:w="800"/>
        <w:gridCol w:w="800"/>
        <w:gridCol w:w="800"/>
        <w:gridCol w:w="800"/>
      </w:tblGrid>
      <w:tr w:rsidR="003E1809" w:rsidRPr="00A245AB" w:rsidTr="003E1809">
        <w:trPr>
          <w:trHeight w:val="345"/>
          <w:jc w:val="center"/>
        </w:trPr>
        <w:tc>
          <w:tcPr>
            <w:tcW w:w="3480" w:type="dxa"/>
            <w:gridSpan w:val="2"/>
            <w:tcBorders>
              <w:top w:val="single" w:sz="4" w:space="0" w:color="auto"/>
              <w:left w:val="single" w:sz="4" w:space="0" w:color="auto"/>
              <w:bottom w:val="single" w:sz="4" w:space="0" w:color="auto"/>
              <w:right w:val="single" w:sz="4" w:space="0" w:color="auto"/>
            </w:tcBorders>
            <w:shd w:val="clear" w:color="000000" w:fill="A6A6A6"/>
            <w:vAlign w:val="center"/>
            <w:hideMark/>
          </w:tcPr>
          <w:p w:rsidR="003E1809" w:rsidRPr="00A245AB" w:rsidRDefault="003E1809" w:rsidP="003E1809">
            <w:pPr>
              <w:rPr>
                <w:rFonts w:ascii="Times New Roman" w:hAnsi="Times New Roman"/>
                <w:b/>
                <w:bCs/>
                <w:sz w:val="14"/>
                <w:szCs w:val="14"/>
                <w:lang w:eastAsia="sk-SK"/>
              </w:rPr>
            </w:pPr>
            <w:r w:rsidRPr="00A245AB">
              <w:rPr>
                <w:rFonts w:ascii="Times New Roman" w:hAnsi="Times New Roman"/>
                <w:b/>
                <w:bCs/>
                <w:sz w:val="14"/>
                <w:szCs w:val="14"/>
                <w:lang w:eastAsia="sk-SK"/>
              </w:rPr>
              <w:t>Subjekty verejnej správy</w:t>
            </w:r>
          </w:p>
        </w:tc>
        <w:tc>
          <w:tcPr>
            <w:tcW w:w="80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2016 S</w:t>
            </w:r>
          </w:p>
        </w:tc>
        <w:tc>
          <w:tcPr>
            <w:tcW w:w="80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2017 S</w:t>
            </w:r>
          </w:p>
        </w:tc>
        <w:tc>
          <w:tcPr>
            <w:tcW w:w="80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2018 R</w:t>
            </w:r>
          </w:p>
        </w:tc>
        <w:tc>
          <w:tcPr>
            <w:tcW w:w="80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2018 OS</w:t>
            </w:r>
          </w:p>
        </w:tc>
        <w:tc>
          <w:tcPr>
            <w:tcW w:w="80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2019 N</w:t>
            </w:r>
          </w:p>
        </w:tc>
        <w:tc>
          <w:tcPr>
            <w:tcW w:w="80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2020 N</w:t>
            </w:r>
          </w:p>
        </w:tc>
        <w:tc>
          <w:tcPr>
            <w:tcW w:w="80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2021 N</w:t>
            </w:r>
          </w:p>
        </w:tc>
      </w:tr>
      <w:tr w:rsidR="003E1809" w:rsidRPr="00A245AB" w:rsidTr="003E1809">
        <w:trPr>
          <w:trHeight w:val="330"/>
          <w:jc w:val="center"/>
        </w:trPr>
        <w:tc>
          <w:tcPr>
            <w:tcW w:w="348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E1809" w:rsidRPr="00A245AB" w:rsidRDefault="003E1809" w:rsidP="003E1809">
            <w:pPr>
              <w:rPr>
                <w:rFonts w:ascii="Times New Roman" w:hAnsi="Times New Roman"/>
                <w:b/>
                <w:bCs/>
                <w:sz w:val="14"/>
                <w:szCs w:val="14"/>
                <w:lang w:eastAsia="sk-SK"/>
              </w:rPr>
            </w:pPr>
            <w:r w:rsidRPr="00A245AB">
              <w:rPr>
                <w:rFonts w:ascii="Times New Roman" w:hAnsi="Times New Roman"/>
                <w:b/>
                <w:bCs/>
                <w:sz w:val="14"/>
                <w:szCs w:val="14"/>
                <w:lang w:eastAsia="sk-SK"/>
              </w:rPr>
              <w:t xml:space="preserve">SPOLU   </w:t>
            </w:r>
            <w:r w:rsidRPr="00A245AB">
              <w:rPr>
                <w:rFonts w:ascii="Times New Roman" w:hAnsi="Times New Roman"/>
                <w:sz w:val="14"/>
                <w:szCs w:val="14"/>
                <w:lang w:eastAsia="sk-SK"/>
              </w:rPr>
              <w:t>(osoby)</w:t>
            </w:r>
          </w:p>
        </w:tc>
        <w:tc>
          <w:tcPr>
            <w:tcW w:w="80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411 365</w:t>
            </w:r>
          </w:p>
        </w:tc>
        <w:tc>
          <w:tcPr>
            <w:tcW w:w="80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413 44</w:t>
            </w:r>
            <w:r>
              <w:rPr>
                <w:rFonts w:ascii="Times New Roman" w:hAnsi="Times New Roman"/>
                <w:b/>
                <w:bCs/>
                <w:sz w:val="14"/>
                <w:szCs w:val="14"/>
                <w:lang w:eastAsia="sk-SK"/>
              </w:rPr>
              <w:t>3</w:t>
            </w:r>
          </w:p>
        </w:tc>
        <w:tc>
          <w:tcPr>
            <w:tcW w:w="80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419 277</w:t>
            </w:r>
          </w:p>
        </w:tc>
        <w:tc>
          <w:tcPr>
            <w:tcW w:w="80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418 178</w:t>
            </w:r>
          </w:p>
        </w:tc>
        <w:tc>
          <w:tcPr>
            <w:tcW w:w="80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426 123</w:t>
            </w:r>
          </w:p>
        </w:tc>
        <w:tc>
          <w:tcPr>
            <w:tcW w:w="80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426 401</w:t>
            </w:r>
          </w:p>
        </w:tc>
        <w:tc>
          <w:tcPr>
            <w:tcW w:w="80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426 589</w:t>
            </w:r>
          </w:p>
        </w:tc>
      </w:tr>
      <w:tr w:rsidR="003E1809" w:rsidRPr="00A245AB" w:rsidTr="003E1809">
        <w:trPr>
          <w:trHeight w:val="285"/>
          <w:jc w:val="center"/>
        </w:trPr>
        <w:tc>
          <w:tcPr>
            <w:tcW w:w="34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b/>
                <w:bCs/>
                <w:sz w:val="14"/>
                <w:szCs w:val="14"/>
                <w:lang w:eastAsia="sk-SK"/>
              </w:rPr>
            </w:pPr>
            <w:r w:rsidRPr="00A245AB">
              <w:rPr>
                <w:rFonts w:ascii="Times New Roman" w:hAnsi="Times New Roman"/>
                <w:b/>
                <w:bCs/>
                <w:sz w:val="14"/>
                <w:szCs w:val="14"/>
                <w:lang w:eastAsia="sk-SK"/>
              </w:rPr>
              <w:t xml:space="preserve">A/  Ústredná správa spolu </w:t>
            </w:r>
            <w:r w:rsidRPr="00A245AB">
              <w:rPr>
                <w:rFonts w:ascii="Times New Roman" w:hAnsi="Times New Roman"/>
                <w:sz w:val="14"/>
                <w:szCs w:val="14"/>
                <w:lang w:eastAsia="sk-SK"/>
              </w:rPr>
              <w:t>(bez SIS)</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216 520</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217 63</w:t>
            </w:r>
            <w:r>
              <w:rPr>
                <w:rFonts w:ascii="Times New Roman" w:hAnsi="Times New Roman"/>
                <w:b/>
                <w:bCs/>
                <w:sz w:val="14"/>
                <w:szCs w:val="14"/>
                <w:lang w:eastAsia="sk-SK"/>
              </w:rPr>
              <w:t>2</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224 525</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219 652</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227 596</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227 874</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228 075</w:t>
            </w:r>
          </w:p>
        </w:tc>
      </w:tr>
      <w:tr w:rsidR="003E1809" w:rsidRPr="00A245AB" w:rsidTr="003E1809">
        <w:trPr>
          <w:trHeight w:val="285"/>
          <w:jc w:val="center"/>
        </w:trPr>
        <w:tc>
          <w:tcPr>
            <w:tcW w:w="961" w:type="dxa"/>
            <w:tcBorders>
              <w:top w:val="nil"/>
              <w:left w:val="single" w:sz="4" w:space="0" w:color="auto"/>
              <w:bottom w:val="single" w:sz="4" w:space="0" w:color="auto"/>
              <w:right w:val="nil"/>
            </w:tcBorders>
            <w:shd w:val="clear" w:color="auto" w:fill="auto"/>
            <w:noWrap/>
            <w:vAlign w:val="center"/>
            <w:hideMark/>
          </w:tcPr>
          <w:p w:rsidR="003E1809" w:rsidRPr="00A245AB" w:rsidRDefault="003E1809" w:rsidP="003E1809">
            <w:pPr>
              <w:ind w:firstLineChars="100" w:firstLine="140"/>
              <w:rPr>
                <w:rFonts w:ascii="Times New Roman" w:hAnsi="Times New Roman"/>
                <w:sz w:val="14"/>
                <w:szCs w:val="14"/>
                <w:lang w:eastAsia="sk-SK"/>
              </w:rPr>
            </w:pPr>
            <w:r w:rsidRPr="00A245AB">
              <w:rPr>
                <w:rFonts w:ascii="Times New Roman" w:hAnsi="Times New Roman"/>
                <w:sz w:val="14"/>
                <w:szCs w:val="14"/>
                <w:lang w:eastAsia="sk-SK"/>
              </w:rPr>
              <w:t>z toho:</w:t>
            </w:r>
          </w:p>
        </w:tc>
        <w:tc>
          <w:tcPr>
            <w:tcW w:w="2519" w:type="dxa"/>
            <w:tcBorders>
              <w:top w:val="nil"/>
              <w:left w:val="nil"/>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štátne rozpočtové organizácie</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123 152</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123 015</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128 980</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123 096</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130 090</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130 181</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130 317</w:t>
            </w:r>
          </w:p>
        </w:tc>
      </w:tr>
      <w:tr w:rsidR="003E1809" w:rsidRPr="00A245AB" w:rsidTr="003E1809">
        <w:trPr>
          <w:trHeight w:val="285"/>
          <w:jc w:val="center"/>
        </w:trPr>
        <w:tc>
          <w:tcPr>
            <w:tcW w:w="961" w:type="dxa"/>
            <w:tcBorders>
              <w:top w:val="nil"/>
              <w:left w:val="single" w:sz="4" w:space="0" w:color="auto"/>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w:t>
            </w:r>
          </w:p>
        </w:tc>
        <w:tc>
          <w:tcPr>
            <w:tcW w:w="2519" w:type="dxa"/>
            <w:tcBorders>
              <w:top w:val="nil"/>
              <w:left w:val="nil"/>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štátne príspevkové organizácie</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11 166</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11 617</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10 999</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11 854</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11 537</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11 542</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11 542</w:t>
            </w:r>
          </w:p>
        </w:tc>
      </w:tr>
      <w:tr w:rsidR="003E1809" w:rsidRPr="00A245AB" w:rsidTr="003E1809">
        <w:trPr>
          <w:trHeight w:val="285"/>
          <w:jc w:val="center"/>
        </w:trPr>
        <w:tc>
          <w:tcPr>
            <w:tcW w:w="961" w:type="dxa"/>
            <w:tcBorders>
              <w:top w:val="nil"/>
              <w:left w:val="single" w:sz="4" w:space="0" w:color="auto"/>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w:t>
            </w:r>
          </w:p>
        </w:tc>
        <w:tc>
          <w:tcPr>
            <w:tcW w:w="2519" w:type="dxa"/>
            <w:tcBorders>
              <w:top w:val="nil"/>
              <w:left w:val="nil"/>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štátne účelové fondy spolu</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119</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125</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134</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143</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147</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147</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147</w:t>
            </w:r>
          </w:p>
        </w:tc>
      </w:tr>
      <w:tr w:rsidR="003E1809" w:rsidRPr="00A245AB" w:rsidTr="003E1809">
        <w:trPr>
          <w:trHeight w:val="285"/>
          <w:jc w:val="center"/>
        </w:trPr>
        <w:tc>
          <w:tcPr>
            <w:tcW w:w="961" w:type="dxa"/>
            <w:tcBorders>
              <w:top w:val="nil"/>
              <w:left w:val="single" w:sz="4" w:space="0" w:color="auto"/>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w:t>
            </w:r>
          </w:p>
        </w:tc>
        <w:tc>
          <w:tcPr>
            <w:tcW w:w="2519" w:type="dxa"/>
            <w:tcBorders>
              <w:top w:val="nil"/>
              <w:left w:val="nil"/>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Slovenský pozemkový fond</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260</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276</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295</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295</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295</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295</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295</w:t>
            </w:r>
          </w:p>
        </w:tc>
      </w:tr>
      <w:tr w:rsidR="003E1809" w:rsidRPr="00A245AB" w:rsidTr="003E1809">
        <w:trPr>
          <w:trHeight w:val="285"/>
          <w:jc w:val="center"/>
        </w:trPr>
        <w:tc>
          <w:tcPr>
            <w:tcW w:w="961" w:type="dxa"/>
            <w:tcBorders>
              <w:top w:val="nil"/>
              <w:left w:val="single" w:sz="4" w:space="0" w:color="auto"/>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w:t>
            </w:r>
          </w:p>
        </w:tc>
        <w:tc>
          <w:tcPr>
            <w:tcW w:w="2519" w:type="dxa"/>
            <w:tcBorders>
              <w:top w:val="nil"/>
              <w:left w:val="nil"/>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verejné vysoké školy</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20 882</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20 648</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21 529</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20 590</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21 529</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21 529</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21 529</w:t>
            </w:r>
          </w:p>
        </w:tc>
      </w:tr>
      <w:tr w:rsidR="003E1809" w:rsidRPr="00A245AB" w:rsidTr="003E1809">
        <w:trPr>
          <w:trHeight w:val="285"/>
          <w:jc w:val="center"/>
        </w:trPr>
        <w:tc>
          <w:tcPr>
            <w:tcW w:w="961" w:type="dxa"/>
            <w:tcBorders>
              <w:top w:val="nil"/>
              <w:left w:val="single" w:sz="4" w:space="0" w:color="auto"/>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w:t>
            </w:r>
          </w:p>
        </w:tc>
        <w:tc>
          <w:tcPr>
            <w:tcW w:w="2519" w:type="dxa"/>
            <w:tcBorders>
              <w:top w:val="nil"/>
              <w:left w:val="nil"/>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ďalšie subjekty spolu</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60 941</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61 95</w:t>
            </w:r>
            <w:r>
              <w:rPr>
                <w:rFonts w:ascii="Times New Roman" w:hAnsi="Times New Roman"/>
                <w:sz w:val="14"/>
                <w:szCs w:val="14"/>
                <w:lang w:eastAsia="sk-SK"/>
              </w:rPr>
              <w:t>1</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62 588</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63 674</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63 998</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64 180</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64 245</w:t>
            </w:r>
          </w:p>
        </w:tc>
      </w:tr>
      <w:tr w:rsidR="003E1809" w:rsidRPr="00A245AB" w:rsidTr="003E1809">
        <w:trPr>
          <w:trHeight w:val="285"/>
          <w:jc w:val="center"/>
        </w:trPr>
        <w:tc>
          <w:tcPr>
            <w:tcW w:w="34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b/>
                <w:bCs/>
                <w:sz w:val="14"/>
                <w:szCs w:val="14"/>
                <w:lang w:eastAsia="sk-SK"/>
              </w:rPr>
            </w:pPr>
            <w:r w:rsidRPr="00A245AB">
              <w:rPr>
                <w:rFonts w:ascii="Times New Roman" w:hAnsi="Times New Roman"/>
                <w:b/>
                <w:bCs/>
                <w:sz w:val="14"/>
                <w:szCs w:val="14"/>
                <w:lang w:eastAsia="sk-SK"/>
              </w:rPr>
              <w:t xml:space="preserve">B/  Územná samospráva spolu </w:t>
            </w:r>
            <w:r w:rsidRPr="00A245AB">
              <w:rPr>
                <w:rFonts w:ascii="Times New Roman" w:hAnsi="Times New Roman"/>
                <w:sz w:val="14"/>
                <w:szCs w:val="14"/>
                <w:lang w:eastAsia="sk-SK"/>
              </w:rPr>
              <w:t>(vr. zdrav. zariadení a DP)</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187 695</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188 594</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187 450</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191 098</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191 098</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191 098</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191 098</w:t>
            </w:r>
          </w:p>
        </w:tc>
      </w:tr>
      <w:tr w:rsidR="003E1809" w:rsidRPr="00A245AB" w:rsidTr="003E1809">
        <w:trPr>
          <w:trHeight w:val="285"/>
          <w:jc w:val="center"/>
        </w:trPr>
        <w:tc>
          <w:tcPr>
            <w:tcW w:w="34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b/>
                <w:bCs/>
                <w:sz w:val="14"/>
                <w:szCs w:val="14"/>
                <w:lang w:eastAsia="sk-SK"/>
              </w:rPr>
            </w:pPr>
            <w:r w:rsidRPr="00A245AB">
              <w:rPr>
                <w:rFonts w:ascii="Times New Roman" w:hAnsi="Times New Roman"/>
                <w:b/>
                <w:bCs/>
                <w:sz w:val="14"/>
                <w:szCs w:val="14"/>
                <w:lang w:eastAsia="sk-SK"/>
              </w:rPr>
              <w:t>C/  Fondy sociálneho a zdravotného poistenia spolu</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7 150</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7 217</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7 302</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7 428</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7 429</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7 429</w:t>
            </w:r>
          </w:p>
        </w:tc>
        <w:tc>
          <w:tcPr>
            <w:tcW w:w="8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7 416</w:t>
            </w:r>
          </w:p>
        </w:tc>
      </w:tr>
      <w:tr w:rsidR="003E1809" w:rsidRPr="00A245AB" w:rsidTr="003E1809">
        <w:trPr>
          <w:trHeight w:val="405"/>
          <w:jc w:val="center"/>
        </w:trPr>
        <w:tc>
          <w:tcPr>
            <w:tcW w:w="9080" w:type="dxa"/>
            <w:gridSpan w:val="9"/>
            <w:tcBorders>
              <w:top w:val="single" w:sz="4" w:space="0" w:color="auto"/>
              <w:left w:val="nil"/>
              <w:bottom w:val="nil"/>
              <w:right w:val="nil"/>
            </w:tcBorders>
            <w:shd w:val="clear" w:color="auto" w:fill="auto"/>
            <w:vAlign w:val="center"/>
            <w:hideMark/>
          </w:tcPr>
          <w:p w:rsidR="003E1809" w:rsidRPr="00A245AB" w:rsidRDefault="003E1809" w:rsidP="003E1809">
            <w:pPr>
              <w:jc w:val="both"/>
              <w:rPr>
                <w:rFonts w:ascii="Times New Roman" w:hAnsi="Times New Roman"/>
                <w:sz w:val="14"/>
                <w:szCs w:val="14"/>
                <w:lang w:eastAsia="sk-SK"/>
              </w:rPr>
            </w:pPr>
            <w:r w:rsidRPr="00A245AB">
              <w:rPr>
                <w:rFonts w:ascii="Times New Roman" w:hAnsi="Times New Roman"/>
                <w:sz w:val="14"/>
                <w:szCs w:val="14"/>
                <w:lang w:eastAsia="sk-SK"/>
              </w:rPr>
              <w:t>OS 2018 v prevažnej miere zohľadňuje  údaje zo štatistiky za 1. polrok 2018. NRVS 2019 až 2021 za územnú samosprávu vychádza z dosiahnutej skutočnosti za 1. polrok 2018.</w:t>
            </w:r>
          </w:p>
        </w:tc>
      </w:tr>
    </w:tbl>
    <w:p w:rsidR="003E1809" w:rsidRDefault="003E1809" w:rsidP="003E1809">
      <w:pPr>
        <w:ind w:firstLine="708"/>
        <w:jc w:val="both"/>
        <w:rPr>
          <w:rFonts w:ascii="Times New Roman" w:hAnsi="Times New Roman"/>
          <w:bCs/>
          <w:szCs w:val="22"/>
        </w:rPr>
      </w:pPr>
      <w:r>
        <w:rPr>
          <w:rFonts w:ascii="Times New Roman" w:hAnsi="Times New Roman"/>
          <w:bCs/>
          <w:szCs w:val="22"/>
        </w:rPr>
        <w:t>V roku 2019 je z</w:t>
      </w:r>
      <w:r w:rsidRPr="00AF7321">
        <w:rPr>
          <w:rFonts w:ascii="Times New Roman" w:hAnsi="Times New Roman"/>
          <w:bCs/>
          <w:szCs w:val="22"/>
        </w:rPr>
        <w:t xml:space="preserve"> hľadiska financovania zamestnanosti </w:t>
      </w:r>
      <w:r>
        <w:rPr>
          <w:rFonts w:ascii="Times New Roman" w:hAnsi="Times New Roman"/>
          <w:bCs/>
          <w:szCs w:val="22"/>
        </w:rPr>
        <w:t>53,2 % zamestnancov napojených na štátny rozpočet. Prehľad o nich poskytuje tabuľka.</w:t>
      </w:r>
    </w:p>
    <w:p w:rsidR="003E1809" w:rsidRDefault="003E1809" w:rsidP="003E1809">
      <w:pPr>
        <w:ind w:firstLine="708"/>
        <w:jc w:val="both"/>
        <w:rPr>
          <w:rFonts w:ascii="Times New Roman" w:hAnsi="Times New Roman"/>
          <w:bCs/>
          <w:szCs w:val="22"/>
        </w:rPr>
      </w:pPr>
    </w:p>
    <w:tbl>
      <w:tblPr>
        <w:tblW w:w="9080" w:type="dxa"/>
        <w:tblInd w:w="75" w:type="dxa"/>
        <w:tblCellMar>
          <w:left w:w="70" w:type="dxa"/>
          <w:right w:w="70" w:type="dxa"/>
        </w:tblCellMar>
        <w:tblLook w:val="04A0" w:firstRow="1" w:lastRow="0" w:firstColumn="1" w:lastColumn="0" w:noHBand="0" w:noVBand="1"/>
      </w:tblPr>
      <w:tblGrid>
        <w:gridCol w:w="3340"/>
        <w:gridCol w:w="820"/>
        <w:gridCol w:w="820"/>
        <w:gridCol w:w="820"/>
        <w:gridCol w:w="820"/>
        <w:gridCol w:w="820"/>
        <w:gridCol w:w="820"/>
        <w:gridCol w:w="820"/>
      </w:tblGrid>
      <w:tr w:rsidR="003E1809" w:rsidRPr="00A245AB" w:rsidTr="003E1809">
        <w:trPr>
          <w:trHeight w:val="330"/>
        </w:trPr>
        <w:tc>
          <w:tcPr>
            <w:tcW w:w="334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E1809" w:rsidRPr="00A245AB" w:rsidRDefault="003E1809" w:rsidP="003E1809">
            <w:pPr>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Subjekty verejnej správy podľa zdroja financovania</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2016 S</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2017 S</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2018 R</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2018 OS</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2019 N</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2020 N</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2021 N</w:t>
            </w:r>
          </w:p>
        </w:tc>
      </w:tr>
      <w:tr w:rsidR="003E1809" w:rsidRPr="00A245AB" w:rsidTr="003E1809">
        <w:trPr>
          <w:trHeight w:val="330"/>
        </w:trPr>
        <w:tc>
          <w:tcPr>
            <w:tcW w:w="3340" w:type="dxa"/>
            <w:tcBorders>
              <w:top w:val="nil"/>
              <w:left w:val="single" w:sz="4" w:space="0" w:color="auto"/>
              <w:bottom w:val="single" w:sz="4" w:space="0" w:color="auto"/>
              <w:right w:val="single" w:sz="4" w:space="0" w:color="auto"/>
            </w:tcBorders>
            <w:shd w:val="clear" w:color="000000" w:fill="BFBFBF"/>
            <w:noWrap/>
            <w:vAlign w:val="center"/>
            <w:hideMark/>
          </w:tcPr>
          <w:p w:rsidR="003E1809" w:rsidRPr="00A245AB" w:rsidRDefault="003E1809" w:rsidP="003E1809">
            <w:pPr>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 xml:space="preserve">SPOLU   </w:t>
            </w:r>
            <w:r w:rsidRPr="00A245AB">
              <w:rPr>
                <w:rFonts w:ascii="Times New Roman" w:hAnsi="Times New Roman"/>
                <w:color w:val="000000"/>
                <w:sz w:val="14"/>
                <w:szCs w:val="14"/>
                <w:lang w:eastAsia="sk-SK"/>
              </w:rPr>
              <w:t>(osoby)</w:t>
            </w:r>
          </w:p>
        </w:tc>
        <w:tc>
          <w:tcPr>
            <w:tcW w:w="82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right"/>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411 365</w:t>
            </w:r>
          </w:p>
        </w:tc>
        <w:tc>
          <w:tcPr>
            <w:tcW w:w="82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right"/>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413 44</w:t>
            </w:r>
            <w:r>
              <w:rPr>
                <w:rFonts w:ascii="Times New Roman" w:hAnsi="Times New Roman"/>
                <w:b/>
                <w:bCs/>
                <w:color w:val="000000"/>
                <w:sz w:val="14"/>
                <w:szCs w:val="14"/>
                <w:lang w:eastAsia="sk-SK"/>
              </w:rPr>
              <w:t>3</w:t>
            </w:r>
          </w:p>
        </w:tc>
        <w:tc>
          <w:tcPr>
            <w:tcW w:w="82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right"/>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419 277</w:t>
            </w:r>
          </w:p>
        </w:tc>
        <w:tc>
          <w:tcPr>
            <w:tcW w:w="82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right"/>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418 178</w:t>
            </w:r>
          </w:p>
        </w:tc>
        <w:tc>
          <w:tcPr>
            <w:tcW w:w="82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right"/>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426 123</w:t>
            </w:r>
          </w:p>
        </w:tc>
        <w:tc>
          <w:tcPr>
            <w:tcW w:w="82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right"/>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426 401</w:t>
            </w:r>
          </w:p>
        </w:tc>
        <w:tc>
          <w:tcPr>
            <w:tcW w:w="82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right"/>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426 589</w:t>
            </w:r>
          </w:p>
        </w:tc>
      </w:tr>
      <w:tr w:rsidR="003E1809" w:rsidRPr="00A245AB" w:rsidTr="003E1809">
        <w:trPr>
          <w:trHeight w:val="285"/>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color w:val="000000"/>
                <w:sz w:val="14"/>
                <w:szCs w:val="14"/>
                <w:lang w:eastAsia="sk-SK"/>
              </w:rPr>
            </w:pPr>
            <w:r w:rsidRPr="00A245AB">
              <w:rPr>
                <w:rFonts w:ascii="Times New Roman" w:hAnsi="Times New Roman"/>
                <w:color w:val="000000"/>
                <w:sz w:val="14"/>
                <w:szCs w:val="14"/>
                <w:lang w:eastAsia="sk-SK"/>
              </w:rPr>
              <w:t>1) Štátny rozpočet</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217 857</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217 835</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224 429</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219 375</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226 596</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226 692</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226 828</w:t>
            </w:r>
          </w:p>
        </w:tc>
      </w:tr>
      <w:tr w:rsidR="003E1809" w:rsidRPr="00A245AB" w:rsidTr="003E1809">
        <w:trPr>
          <w:trHeight w:val="285"/>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color w:val="000000"/>
                <w:sz w:val="14"/>
                <w:szCs w:val="14"/>
                <w:lang w:eastAsia="sk-SK"/>
              </w:rPr>
            </w:pPr>
            <w:r w:rsidRPr="00A245AB">
              <w:rPr>
                <w:rFonts w:ascii="Times New Roman" w:hAnsi="Times New Roman"/>
                <w:color w:val="000000"/>
                <w:sz w:val="14"/>
                <w:szCs w:val="14"/>
                <w:lang w:eastAsia="sk-SK"/>
              </w:rPr>
              <w:t>2) Územná samospráva bez regionálneho školstva</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125 038</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126 039</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124 529</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127 263</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127 658</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127 658</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127 658</w:t>
            </w:r>
          </w:p>
        </w:tc>
      </w:tr>
      <w:tr w:rsidR="003E1809" w:rsidRPr="00A245AB" w:rsidTr="003E1809">
        <w:trPr>
          <w:trHeight w:val="285"/>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color w:val="000000"/>
                <w:sz w:val="14"/>
                <w:szCs w:val="14"/>
                <w:lang w:eastAsia="sk-SK"/>
              </w:rPr>
            </w:pPr>
            <w:r w:rsidRPr="00A245AB">
              <w:rPr>
                <w:rFonts w:ascii="Times New Roman" w:hAnsi="Times New Roman"/>
                <w:color w:val="000000"/>
                <w:sz w:val="14"/>
                <w:szCs w:val="14"/>
                <w:lang w:eastAsia="sk-SK"/>
              </w:rPr>
              <w:t>3) Fondy sociálneho a zdravotného poistenia spolu</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7 150</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7 217</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7 302</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7 428</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7 429</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7 429</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7 416</w:t>
            </w:r>
          </w:p>
        </w:tc>
      </w:tr>
      <w:tr w:rsidR="003E1809" w:rsidRPr="00A245AB" w:rsidTr="003E1809">
        <w:trPr>
          <w:trHeight w:val="285"/>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color w:val="000000"/>
                <w:sz w:val="14"/>
                <w:szCs w:val="14"/>
                <w:lang w:eastAsia="sk-SK"/>
              </w:rPr>
            </w:pPr>
            <w:r w:rsidRPr="00A245AB">
              <w:rPr>
                <w:rFonts w:ascii="Times New Roman" w:hAnsi="Times New Roman"/>
                <w:color w:val="000000"/>
                <w:sz w:val="14"/>
                <w:szCs w:val="14"/>
                <w:lang w:eastAsia="sk-SK"/>
              </w:rPr>
              <w:t>4) Ostatné</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61 320</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62 35</w:t>
            </w:r>
            <w:r>
              <w:rPr>
                <w:rFonts w:ascii="Times New Roman" w:hAnsi="Times New Roman"/>
                <w:color w:val="000000"/>
                <w:sz w:val="14"/>
                <w:szCs w:val="14"/>
                <w:lang w:eastAsia="sk-SK"/>
              </w:rPr>
              <w:t>2</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63 017</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64 112</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64 440</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64 622</w:t>
            </w:r>
          </w:p>
        </w:tc>
        <w:tc>
          <w:tcPr>
            <w:tcW w:w="8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64 687</w:t>
            </w:r>
          </w:p>
        </w:tc>
      </w:tr>
      <w:tr w:rsidR="003E1809" w:rsidRPr="00A245AB" w:rsidTr="003E1809">
        <w:trPr>
          <w:trHeight w:val="360"/>
        </w:trPr>
        <w:tc>
          <w:tcPr>
            <w:tcW w:w="9080" w:type="dxa"/>
            <w:gridSpan w:val="8"/>
            <w:tcBorders>
              <w:top w:val="single" w:sz="4" w:space="0" w:color="auto"/>
              <w:left w:val="nil"/>
              <w:bottom w:val="nil"/>
              <w:right w:val="nil"/>
            </w:tcBorders>
            <w:shd w:val="clear" w:color="auto" w:fill="auto"/>
            <w:vAlign w:val="center"/>
            <w:hideMark/>
          </w:tcPr>
          <w:p w:rsidR="003E1809" w:rsidRPr="00A245AB" w:rsidRDefault="003E1809" w:rsidP="003E1809">
            <w:pPr>
              <w:jc w:val="both"/>
              <w:rPr>
                <w:rFonts w:ascii="Times New Roman" w:hAnsi="Times New Roman"/>
                <w:color w:val="000000"/>
                <w:sz w:val="14"/>
                <w:szCs w:val="14"/>
                <w:lang w:eastAsia="sk-SK"/>
              </w:rPr>
            </w:pPr>
            <w:r w:rsidRPr="00A245AB">
              <w:rPr>
                <w:rFonts w:ascii="Times New Roman" w:hAnsi="Times New Roman"/>
                <w:color w:val="000000"/>
                <w:sz w:val="14"/>
                <w:szCs w:val="14"/>
                <w:lang w:eastAsia="sk-SK"/>
              </w:rPr>
              <w:t>OS 2018 v prevažnej miere zohľadňuje  údaje zo štatistiky za 1. polrok 2018. Medzi ostatné subjekty (bod 4) patria napr. štátne zdravotnícke zariadenia, Železnice Slovenskej republiky, Železničná spoločnosť Slovensko, a. s., RTVS, Národná diaľničná spoločnosť, fondy atď.</w:t>
            </w:r>
          </w:p>
        </w:tc>
      </w:tr>
    </w:tbl>
    <w:p w:rsidR="003E1809" w:rsidRPr="00F072C1" w:rsidRDefault="003E1809" w:rsidP="003E1809">
      <w:pPr>
        <w:jc w:val="both"/>
        <w:rPr>
          <w:rFonts w:ascii="Times New Roman" w:hAnsi="Times New Roman"/>
          <w:bCs/>
          <w:color w:val="FF0000"/>
          <w:szCs w:val="22"/>
          <w:highlight w:val="yellow"/>
        </w:rPr>
      </w:pPr>
    </w:p>
    <w:p w:rsidR="003E1809" w:rsidRPr="00FB449A" w:rsidRDefault="003E1809" w:rsidP="003E1809">
      <w:pPr>
        <w:ind w:firstLine="708"/>
        <w:jc w:val="both"/>
        <w:rPr>
          <w:rFonts w:ascii="Times New Roman" w:hAnsi="Times New Roman"/>
          <w:bCs/>
        </w:rPr>
      </w:pPr>
      <w:r w:rsidRPr="00FB449A">
        <w:rPr>
          <w:rFonts w:ascii="Times New Roman" w:hAnsi="Times New Roman"/>
          <w:bCs/>
        </w:rPr>
        <w:t>Pre</w:t>
      </w:r>
      <w:r>
        <w:rPr>
          <w:rFonts w:ascii="Times New Roman" w:hAnsi="Times New Roman"/>
          <w:bCs/>
        </w:rPr>
        <w:t xml:space="preserve"> predpokladaných</w:t>
      </w:r>
      <w:r w:rsidRPr="00FB449A">
        <w:rPr>
          <w:rFonts w:ascii="Times New Roman" w:hAnsi="Times New Roman"/>
          <w:bCs/>
        </w:rPr>
        <w:t xml:space="preserve"> 42</w:t>
      </w:r>
      <w:r>
        <w:rPr>
          <w:rFonts w:ascii="Times New Roman" w:hAnsi="Times New Roman"/>
          <w:bCs/>
        </w:rPr>
        <w:t>6 123</w:t>
      </w:r>
      <w:r w:rsidRPr="00FB449A">
        <w:rPr>
          <w:rFonts w:ascii="Times New Roman" w:hAnsi="Times New Roman"/>
          <w:bCs/>
        </w:rPr>
        <w:t xml:space="preserve"> zamestnancov verejnej správy  sa v roku 2019 rozpočtujú osobné výdavky v </w:t>
      </w:r>
      <w:r w:rsidRPr="00BA7777">
        <w:rPr>
          <w:rFonts w:ascii="Times New Roman" w:hAnsi="Times New Roman"/>
          <w:bCs/>
        </w:rPr>
        <w:t>sume 8,3</w:t>
      </w:r>
      <w:r>
        <w:rPr>
          <w:rFonts w:ascii="Times New Roman" w:hAnsi="Times New Roman"/>
          <w:bCs/>
        </w:rPr>
        <w:t>9 </w:t>
      </w:r>
      <w:r w:rsidRPr="00BA7777">
        <w:rPr>
          <w:rFonts w:ascii="Times New Roman" w:hAnsi="Times New Roman"/>
          <w:bCs/>
        </w:rPr>
        <w:t>mld. eur, z toho mzdy v sume 6,16</w:t>
      </w:r>
      <w:r>
        <w:rPr>
          <w:rFonts w:ascii="Times New Roman" w:hAnsi="Times New Roman"/>
          <w:bCs/>
        </w:rPr>
        <w:t> </w:t>
      </w:r>
      <w:r w:rsidRPr="00BA7777">
        <w:rPr>
          <w:rFonts w:ascii="Times New Roman" w:hAnsi="Times New Roman"/>
          <w:bCs/>
        </w:rPr>
        <w:t>mld. eur, čo</w:t>
      </w:r>
      <w:r w:rsidRPr="00FB449A">
        <w:rPr>
          <w:rFonts w:ascii="Times New Roman" w:hAnsi="Times New Roman"/>
          <w:bCs/>
        </w:rPr>
        <w:t xml:space="preserve"> predstavuje </w:t>
      </w:r>
      <w:r>
        <w:rPr>
          <w:rFonts w:ascii="Times New Roman" w:hAnsi="Times New Roman"/>
          <w:bCs/>
        </w:rPr>
        <w:t>22,5</w:t>
      </w:r>
      <w:r w:rsidRPr="00C91D9E">
        <w:rPr>
          <w:rFonts w:ascii="Times New Roman" w:hAnsi="Times New Roman"/>
          <w:bCs/>
          <w:color w:val="FF0000"/>
        </w:rPr>
        <w:t> </w:t>
      </w:r>
      <w:r w:rsidRPr="00C91D9E">
        <w:rPr>
          <w:rFonts w:ascii="Times New Roman" w:hAnsi="Times New Roman"/>
          <w:bCs/>
          <w:color w:val="000000" w:themeColor="text1"/>
        </w:rPr>
        <w:t xml:space="preserve">% </w:t>
      </w:r>
      <w:r w:rsidRPr="00FB449A">
        <w:rPr>
          <w:rFonts w:ascii="Times New Roman" w:hAnsi="Times New Roman"/>
          <w:bCs/>
        </w:rPr>
        <w:t>celkových verejných výdavkov.</w:t>
      </w:r>
    </w:p>
    <w:p w:rsidR="003E1809" w:rsidRPr="00FB449A" w:rsidRDefault="003E1809" w:rsidP="003E1809">
      <w:pPr>
        <w:tabs>
          <w:tab w:val="left" w:pos="3987"/>
        </w:tabs>
        <w:jc w:val="both"/>
        <w:rPr>
          <w:rFonts w:ascii="Times New Roman" w:hAnsi="Times New Roman"/>
          <w:bCs/>
          <w:color w:val="FF0000"/>
          <w:sz w:val="18"/>
        </w:rPr>
      </w:pPr>
      <w:r w:rsidRPr="00FB449A">
        <w:rPr>
          <w:rFonts w:ascii="Times New Roman" w:hAnsi="Times New Roman"/>
          <w:bCs/>
          <w:color w:val="FF0000"/>
          <w:sz w:val="18"/>
        </w:rPr>
        <w:tab/>
      </w:r>
    </w:p>
    <w:p w:rsidR="003E1809" w:rsidRDefault="003E1809" w:rsidP="003E1809">
      <w:pPr>
        <w:ind w:firstLine="708"/>
        <w:rPr>
          <w:rFonts w:ascii="Times New Roman" w:hAnsi="Times New Roman"/>
          <w:bCs/>
          <w:szCs w:val="22"/>
        </w:rPr>
      </w:pPr>
      <w:r w:rsidRPr="00FB449A">
        <w:rPr>
          <w:rFonts w:ascii="Times New Roman" w:hAnsi="Times New Roman"/>
          <w:bCs/>
          <w:szCs w:val="22"/>
        </w:rPr>
        <w:t>Prehľad o skutočne dosiahnutých ukazovateľoch zamestnanosti v rokoch 2016 a 2017, o rozpočte a očakávanej skutočnosti na rok 2018 a o návrhu rozpočtu na roky 2019 až 202</w:t>
      </w:r>
      <w:r>
        <w:rPr>
          <w:rFonts w:ascii="Times New Roman" w:hAnsi="Times New Roman"/>
          <w:bCs/>
          <w:szCs w:val="22"/>
        </w:rPr>
        <w:t>1</w:t>
      </w:r>
      <w:r w:rsidRPr="00FB449A">
        <w:rPr>
          <w:rFonts w:ascii="Times New Roman" w:hAnsi="Times New Roman"/>
          <w:bCs/>
          <w:szCs w:val="22"/>
        </w:rPr>
        <w:t xml:space="preserve"> je uvedený v tabuľke.</w:t>
      </w:r>
    </w:p>
    <w:p w:rsidR="003E1809" w:rsidRDefault="003E1809" w:rsidP="003E1809">
      <w:pPr>
        <w:ind w:firstLine="708"/>
        <w:rPr>
          <w:rFonts w:ascii="Times New Roman" w:hAnsi="Times New Roman"/>
          <w:bCs/>
          <w:szCs w:val="22"/>
        </w:rPr>
      </w:pPr>
    </w:p>
    <w:tbl>
      <w:tblPr>
        <w:tblW w:w="9062" w:type="dxa"/>
        <w:tblCellMar>
          <w:left w:w="70" w:type="dxa"/>
          <w:right w:w="70" w:type="dxa"/>
        </w:tblCellMar>
        <w:tblLook w:val="04A0" w:firstRow="1" w:lastRow="0" w:firstColumn="1" w:lastColumn="0" w:noHBand="0" w:noVBand="1"/>
      </w:tblPr>
      <w:tblGrid>
        <w:gridCol w:w="1879"/>
        <w:gridCol w:w="568"/>
        <w:gridCol w:w="988"/>
        <w:gridCol w:w="937"/>
        <w:gridCol w:w="938"/>
        <w:gridCol w:w="938"/>
        <w:gridCol w:w="938"/>
        <w:gridCol w:w="938"/>
        <w:gridCol w:w="938"/>
      </w:tblGrid>
      <w:tr w:rsidR="003E1809" w:rsidRPr="007D744D" w:rsidTr="003E1809">
        <w:trPr>
          <w:trHeight w:val="330"/>
        </w:trPr>
        <w:tc>
          <w:tcPr>
            <w:tcW w:w="187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E1809" w:rsidRPr="007D744D" w:rsidRDefault="003E1809" w:rsidP="003E1809">
            <w:pP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Verejná správa spolu</w:t>
            </w:r>
          </w:p>
        </w:tc>
        <w:tc>
          <w:tcPr>
            <w:tcW w:w="568" w:type="dxa"/>
            <w:tcBorders>
              <w:top w:val="single" w:sz="4" w:space="0" w:color="auto"/>
              <w:left w:val="nil"/>
              <w:bottom w:val="single" w:sz="4" w:space="0" w:color="auto"/>
              <w:right w:val="single" w:sz="4" w:space="0" w:color="auto"/>
            </w:tcBorders>
            <w:shd w:val="clear" w:color="000000" w:fill="BFBFBF"/>
            <w:noWrap/>
            <w:vAlign w:val="center"/>
            <w:hideMark/>
          </w:tcPr>
          <w:p w:rsidR="003E1809" w:rsidRPr="007D744D" w:rsidRDefault="003E1809" w:rsidP="003E1809">
            <w:pP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 </w:t>
            </w:r>
          </w:p>
        </w:tc>
        <w:tc>
          <w:tcPr>
            <w:tcW w:w="988" w:type="dxa"/>
            <w:tcBorders>
              <w:top w:val="single" w:sz="4" w:space="0" w:color="auto"/>
              <w:left w:val="nil"/>
              <w:bottom w:val="single" w:sz="4" w:space="0" w:color="auto"/>
              <w:right w:val="single" w:sz="4" w:space="0" w:color="auto"/>
            </w:tcBorders>
            <w:shd w:val="clear" w:color="000000" w:fill="BFBFBF"/>
            <w:noWrap/>
            <w:vAlign w:val="center"/>
            <w:hideMark/>
          </w:tcPr>
          <w:p w:rsidR="003E1809" w:rsidRPr="007D744D" w:rsidRDefault="003E1809" w:rsidP="003E1809">
            <w:pPr>
              <w:jc w:val="cente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2016 S</w:t>
            </w:r>
          </w:p>
        </w:tc>
        <w:tc>
          <w:tcPr>
            <w:tcW w:w="937" w:type="dxa"/>
            <w:tcBorders>
              <w:top w:val="single" w:sz="4" w:space="0" w:color="auto"/>
              <w:left w:val="nil"/>
              <w:bottom w:val="single" w:sz="4" w:space="0" w:color="auto"/>
              <w:right w:val="single" w:sz="4" w:space="0" w:color="auto"/>
            </w:tcBorders>
            <w:shd w:val="clear" w:color="000000" w:fill="BFBFBF"/>
            <w:noWrap/>
            <w:vAlign w:val="center"/>
            <w:hideMark/>
          </w:tcPr>
          <w:p w:rsidR="003E1809" w:rsidRPr="007D744D" w:rsidRDefault="003E1809" w:rsidP="003E1809">
            <w:pPr>
              <w:jc w:val="cente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2017 S</w:t>
            </w:r>
          </w:p>
        </w:tc>
        <w:tc>
          <w:tcPr>
            <w:tcW w:w="938" w:type="dxa"/>
            <w:tcBorders>
              <w:top w:val="single" w:sz="4" w:space="0" w:color="auto"/>
              <w:left w:val="nil"/>
              <w:bottom w:val="single" w:sz="4" w:space="0" w:color="auto"/>
              <w:right w:val="single" w:sz="4" w:space="0" w:color="auto"/>
            </w:tcBorders>
            <w:shd w:val="clear" w:color="000000" w:fill="BFBFBF"/>
            <w:noWrap/>
            <w:vAlign w:val="center"/>
            <w:hideMark/>
          </w:tcPr>
          <w:p w:rsidR="003E1809" w:rsidRPr="007D744D" w:rsidRDefault="003E1809" w:rsidP="003E1809">
            <w:pPr>
              <w:jc w:val="cente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2018 R</w:t>
            </w:r>
          </w:p>
        </w:tc>
        <w:tc>
          <w:tcPr>
            <w:tcW w:w="938" w:type="dxa"/>
            <w:tcBorders>
              <w:top w:val="single" w:sz="4" w:space="0" w:color="auto"/>
              <w:left w:val="nil"/>
              <w:bottom w:val="single" w:sz="4" w:space="0" w:color="auto"/>
              <w:right w:val="single" w:sz="4" w:space="0" w:color="auto"/>
            </w:tcBorders>
            <w:shd w:val="clear" w:color="000000" w:fill="BFBFBF"/>
            <w:noWrap/>
            <w:vAlign w:val="center"/>
            <w:hideMark/>
          </w:tcPr>
          <w:p w:rsidR="003E1809" w:rsidRPr="007D744D" w:rsidRDefault="003E1809" w:rsidP="003E1809">
            <w:pPr>
              <w:jc w:val="cente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2018 OS</w:t>
            </w:r>
          </w:p>
        </w:tc>
        <w:tc>
          <w:tcPr>
            <w:tcW w:w="938" w:type="dxa"/>
            <w:tcBorders>
              <w:top w:val="single" w:sz="4" w:space="0" w:color="auto"/>
              <w:left w:val="nil"/>
              <w:bottom w:val="single" w:sz="4" w:space="0" w:color="auto"/>
              <w:right w:val="single" w:sz="4" w:space="0" w:color="auto"/>
            </w:tcBorders>
            <w:shd w:val="clear" w:color="000000" w:fill="BFBFBF"/>
            <w:noWrap/>
            <w:vAlign w:val="center"/>
            <w:hideMark/>
          </w:tcPr>
          <w:p w:rsidR="003E1809" w:rsidRPr="007D744D" w:rsidRDefault="003E1809" w:rsidP="003E1809">
            <w:pPr>
              <w:jc w:val="cente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2019 N</w:t>
            </w:r>
          </w:p>
        </w:tc>
        <w:tc>
          <w:tcPr>
            <w:tcW w:w="938" w:type="dxa"/>
            <w:tcBorders>
              <w:top w:val="single" w:sz="4" w:space="0" w:color="auto"/>
              <w:left w:val="nil"/>
              <w:bottom w:val="single" w:sz="4" w:space="0" w:color="auto"/>
              <w:right w:val="single" w:sz="4" w:space="0" w:color="auto"/>
            </w:tcBorders>
            <w:shd w:val="clear" w:color="000000" w:fill="BFBFBF"/>
            <w:noWrap/>
            <w:vAlign w:val="center"/>
            <w:hideMark/>
          </w:tcPr>
          <w:p w:rsidR="003E1809" w:rsidRPr="007D744D" w:rsidRDefault="003E1809" w:rsidP="003E1809">
            <w:pPr>
              <w:jc w:val="cente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2020 N</w:t>
            </w:r>
          </w:p>
        </w:tc>
        <w:tc>
          <w:tcPr>
            <w:tcW w:w="938" w:type="dxa"/>
            <w:tcBorders>
              <w:top w:val="single" w:sz="4" w:space="0" w:color="auto"/>
              <w:left w:val="nil"/>
              <w:bottom w:val="single" w:sz="4" w:space="0" w:color="auto"/>
              <w:right w:val="single" w:sz="4" w:space="0" w:color="auto"/>
            </w:tcBorders>
            <w:shd w:val="clear" w:color="000000" w:fill="BFBFBF"/>
            <w:noWrap/>
            <w:vAlign w:val="center"/>
            <w:hideMark/>
          </w:tcPr>
          <w:p w:rsidR="003E1809" w:rsidRPr="007D744D" w:rsidRDefault="003E1809" w:rsidP="003E1809">
            <w:pPr>
              <w:jc w:val="cente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2021 N</w:t>
            </w:r>
          </w:p>
        </w:tc>
      </w:tr>
      <w:tr w:rsidR="003E1809" w:rsidRPr="007D744D" w:rsidTr="003E1809">
        <w:trPr>
          <w:trHeight w:val="285"/>
        </w:trPr>
        <w:tc>
          <w:tcPr>
            <w:tcW w:w="1879" w:type="dxa"/>
            <w:tcBorders>
              <w:top w:val="nil"/>
              <w:left w:val="single" w:sz="4" w:space="0" w:color="auto"/>
              <w:bottom w:val="single" w:sz="4" w:space="0" w:color="auto"/>
              <w:right w:val="single" w:sz="4" w:space="0" w:color="auto"/>
            </w:tcBorders>
            <w:shd w:val="clear" w:color="auto" w:fill="auto"/>
            <w:noWrap/>
            <w:vAlign w:val="center"/>
            <w:hideMark/>
          </w:tcPr>
          <w:p w:rsidR="003E1809" w:rsidRPr="007D744D" w:rsidRDefault="003E1809" w:rsidP="003E1809">
            <w:pPr>
              <w:rPr>
                <w:rFonts w:ascii="Times New Roman" w:hAnsi="Times New Roman" w:cs="Times New Roman"/>
                <w:sz w:val="14"/>
                <w:szCs w:val="14"/>
                <w:lang w:eastAsia="sk-SK"/>
              </w:rPr>
            </w:pPr>
            <w:r w:rsidRPr="007D744D">
              <w:rPr>
                <w:rFonts w:ascii="Times New Roman" w:hAnsi="Times New Roman" w:cs="Times New Roman"/>
                <w:sz w:val="14"/>
                <w:szCs w:val="14"/>
                <w:lang w:eastAsia="sk-SK"/>
              </w:rPr>
              <w:t>Počet zamestnancov</w:t>
            </w:r>
          </w:p>
        </w:tc>
        <w:tc>
          <w:tcPr>
            <w:tcW w:w="56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center"/>
              <w:rPr>
                <w:rFonts w:ascii="Times New Roman" w:hAnsi="Times New Roman" w:cs="Times New Roman"/>
                <w:sz w:val="14"/>
                <w:szCs w:val="14"/>
                <w:lang w:eastAsia="sk-SK"/>
              </w:rPr>
            </w:pPr>
            <w:r w:rsidRPr="007D744D">
              <w:rPr>
                <w:rFonts w:ascii="Times New Roman" w:hAnsi="Times New Roman" w:cs="Times New Roman"/>
                <w:sz w:val="14"/>
                <w:szCs w:val="14"/>
                <w:lang w:eastAsia="sk-SK"/>
              </w:rPr>
              <w:t>(osoby)</w:t>
            </w:r>
          </w:p>
        </w:tc>
        <w:tc>
          <w:tcPr>
            <w:tcW w:w="98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411 365</w:t>
            </w:r>
          </w:p>
        </w:tc>
        <w:tc>
          <w:tcPr>
            <w:tcW w:w="937"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413 44</w:t>
            </w:r>
            <w:r>
              <w:rPr>
                <w:rFonts w:ascii="Times New Roman" w:hAnsi="Times New Roman" w:cs="Times New Roman"/>
                <w:sz w:val="14"/>
                <w:szCs w:val="14"/>
                <w:lang w:eastAsia="sk-SK"/>
              </w:rPr>
              <w:t>3</w:t>
            </w:r>
          </w:p>
        </w:tc>
        <w:tc>
          <w:tcPr>
            <w:tcW w:w="93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419 277</w:t>
            </w:r>
          </w:p>
        </w:tc>
        <w:tc>
          <w:tcPr>
            <w:tcW w:w="93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418 178</w:t>
            </w:r>
          </w:p>
        </w:tc>
        <w:tc>
          <w:tcPr>
            <w:tcW w:w="93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426 123</w:t>
            </w:r>
          </w:p>
        </w:tc>
        <w:tc>
          <w:tcPr>
            <w:tcW w:w="93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426 401</w:t>
            </w:r>
          </w:p>
        </w:tc>
        <w:tc>
          <w:tcPr>
            <w:tcW w:w="93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426 589</w:t>
            </w:r>
          </w:p>
        </w:tc>
      </w:tr>
      <w:tr w:rsidR="003E1809" w:rsidRPr="007D744D" w:rsidTr="003E1809">
        <w:trPr>
          <w:trHeight w:val="285"/>
        </w:trPr>
        <w:tc>
          <w:tcPr>
            <w:tcW w:w="1879" w:type="dxa"/>
            <w:tcBorders>
              <w:top w:val="nil"/>
              <w:left w:val="single" w:sz="4" w:space="0" w:color="auto"/>
              <w:bottom w:val="single" w:sz="4" w:space="0" w:color="auto"/>
              <w:right w:val="single" w:sz="4" w:space="0" w:color="auto"/>
            </w:tcBorders>
            <w:shd w:val="clear" w:color="auto" w:fill="auto"/>
            <w:noWrap/>
            <w:vAlign w:val="center"/>
            <w:hideMark/>
          </w:tcPr>
          <w:p w:rsidR="003E1809" w:rsidRPr="007D744D" w:rsidRDefault="003E1809" w:rsidP="003E1809">
            <w:pP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Osobné výdavky</w:t>
            </w:r>
          </w:p>
        </w:tc>
        <w:tc>
          <w:tcPr>
            <w:tcW w:w="56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cente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eur</w:t>
            </w:r>
          </w:p>
        </w:tc>
        <w:tc>
          <w:tcPr>
            <w:tcW w:w="98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6 807 697 000</w:t>
            </w:r>
          </w:p>
        </w:tc>
        <w:tc>
          <w:tcPr>
            <w:tcW w:w="937"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ind w:left="-108"/>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7 217 508 000</w:t>
            </w:r>
          </w:p>
        </w:tc>
        <w:tc>
          <w:tcPr>
            <w:tcW w:w="93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ind w:left="-52"/>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7 476 611 188</w:t>
            </w:r>
          </w:p>
        </w:tc>
        <w:tc>
          <w:tcPr>
            <w:tcW w:w="93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ind w:left="-140"/>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7 637 700 000</w:t>
            </w:r>
          </w:p>
        </w:tc>
        <w:tc>
          <w:tcPr>
            <w:tcW w:w="93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ind w:left="-86"/>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8 385 420 694</w:t>
            </w:r>
          </w:p>
        </w:tc>
        <w:tc>
          <w:tcPr>
            <w:tcW w:w="93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ind w:left="-31"/>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9 192 888 039</w:t>
            </w:r>
          </w:p>
        </w:tc>
        <w:tc>
          <w:tcPr>
            <w:tcW w:w="93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ind w:left="-11"/>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9 504 247 013</w:t>
            </w:r>
          </w:p>
        </w:tc>
      </w:tr>
      <w:tr w:rsidR="003E1809" w:rsidRPr="007D744D" w:rsidTr="003E1809">
        <w:trPr>
          <w:trHeight w:val="285"/>
        </w:trPr>
        <w:tc>
          <w:tcPr>
            <w:tcW w:w="1879" w:type="dxa"/>
            <w:tcBorders>
              <w:top w:val="nil"/>
              <w:left w:val="single" w:sz="4" w:space="0" w:color="auto"/>
              <w:bottom w:val="single" w:sz="4" w:space="0" w:color="auto"/>
              <w:right w:val="single" w:sz="4" w:space="0" w:color="auto"/>
            </w:tcBorders>
            <w:shd w:val="clear" w:color="auto" w:fill="auto"/>
            <w:noWrap/>
            <w:vAlign w:val="center"/>
            <w:hideMark/>
          </w:tcPr>
          <w:p w:rsidR="003E1809" w:rsidRPr="007D744D" w:rsidRDefault="003E1809" w:rsidP="003E1809">
            <w:pPr>
              <w:ind w:firstLineChars="200" w:firstLine="280"/>
              <w:rPr>
                <w:rFonts w:ascii="Times New Roman" w:hAnsi="Times New Roman" w:cs="Times New Roman"/>
                <w:sz w:val="14"/>
                <w:szCs w:val="14"/>
                <w:lang w:eastAsia="sk-SK"/>
              </w:rPr>
            </w:pPr>
            <w:r w:rsidRPr="007D744D">
              <w:rPr>
                <w:rFonts w:ascii="Times New Roman" w:hAnsi="Times New Roman" w:cs="Times New Roman"/>
                <w:sz w:val="14"/>
                <w:szCs w:val="14"/>
                <w:lang w:eastAsia="sk-SK"/>
              </w:rPr>
              <w:t>z toho: mzdové výdavky</w:t>
            </w:r>
          </w:p>
        </w:tc>
        <w:tc>
          <w:tcPr>
            <w:tcW w:w="56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center"/>
              <w:rPr>
                <w:rFonts w:ascii="Times New Roman" w:hAnsi="Times New Roman" w:cs="Times New Roman"/>
                <w:sz w:val="14"/>
                <w:szCs w:val="14"/>
                <w:lang w:eastAsia="sk-SK"/>
              </w:rPr>
            </w:pPr>
            <w:r w:rsidRPr="007D744D">
              <w:rPr>
                <w:rFonts w:ascii="Times New Roman" w:hAnsi="Times New Roman" w:cs="Times New Roman"/>
                <w:sz w:val="14"/>
                <w:szCs w:val="14"/>
                <w:lang w:eastAsia="sk-SK"/>
              </w:rPr>
              <w:t>eur</w:t>
            </w:r>
          </w:p>
        </w:tc>
        <w:tc>
          <w:tcPr>
            <w:tcW w:w="98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5 005 199 000</w:t>
            </w:r>
          </w:p>
        </w:tc>
        <w:tc>
          <w:tcPr>
            <w:tcW w:w="937"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ind w:left="-18"/>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5 309 780 000</w:t>
            </w:r>
          </w:p>
        </w:tc>
        <w:tc>
          <w:tcPr>
            <w:tcW w:w="93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ind w:left="-52"/>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5 481 044 592</w:t>
            </w:r>
          </w:p>
        </w:tc>
        <w:tc>
          <w:tcPr>
            <w:tcW w:w="93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ind w:left="-140"/>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5 591 940 000</w:t>
            </w:r>
          </w:p>
        </w:tc>
        <w:tc>
          <w:tcPr>
            <w:tcW w:w="93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ind w:left="-86"/>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6 158 147 978</w:t>
            </w:r>
          </w:p>
        </w:tc>
        <w:tc>
          <w:tcPr>
            <w:tcW w:w="93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ind w:left="-31"/>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6 751 318 146</w:t>
            </w:r>
          </w:p>
        </w:tc>
        <w:tc>
          <w:tcPr>
            <w:tcW w:w="93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ind w:left="-22"/>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6 980 475 577</w:t>
            </w:r>
          </w:p>
        </w:tc>
      </w:tr>
      <w:tr w:rsidR="003E1809" w:rsidRPr="007D744D" w:rsidTr="003E1809">
        <w:trPr>
          <w:trHeight w:val="285"/>
        </w:trPr>
        <w:tc>
          <w:tcPr>
            <w:tcW w:w="1879" w:type="dxa"/>
            <w:tcBorders>
              <w:top w:val="nil"/>
              <w:left w:val="single" w:sz="4" w:space="0" w:color="auto"/>
              <w:bottom w:val="single" w:sz="4" w:space="0" w:color="auto"/>
              <w:right w:val="single" w:sz="4" w:space="0" w:color="auto"/>
            </w:tcBorders>
            <w:shd w:val="clear" w:color="auto" w:fill="auto"/>
            <w:noWrap/>
            <w:vAlign w:val="center"/>
            <w:hideMark/>
          </w:tcPr>
          <w:p w:rsidR="003E1809" w:rsidRPr="007D744D" w:rsidRDefault="003E1809" w:rsidP="003E1809">
            <w:pP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Priemerný mzdový výdavok</w:t>
            </w:r>
          </w:p>
        </w:tc>
        <w:tc>
          <w:tcPr>
            <w:tcW w:w="56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cente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eur</w:t>
            </w:r>
          </w:p>
        </w:tc>
        <w:tc>
          <w:tcPr>
            <w:tcW w:w="98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1 013,94</w:t>
            </w:r>
          </w:p>
        </w:tc>
        <w:tc>
          <w:tcPr>
            <w:tcW w:w="937"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1 070,2</w:t>
            </w:r>
            <w:r>
              <w:rPr>
                <w:rFonts w:ascii="Times New Roman" w:hAnsi="Times New Roman" w:cs="Times New Roman"/>
                <w:b/>
                <w:bCs/>
                <w:sz w:val="14"/>
                <w:szCs w:val="14"/>
                <w:lang w:eastAsia="sk-SK"/>
              </w:rPr>
              <w:t>4</w:t>
            </w:r>
          </w:p>
        </w:tc>
        <w:tc>
          <w:tcPr>
            <w:tcW w:w="93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1 089,38</w:t>
            </w:r>
          </w:p>
        </w:tc>
        <w:tc>
          <w:tcPr>
            <w:tcW w:w="93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1 114,35</w:t>
            </w:r>
          </w:p>
        </w:tc>
        <w:tc>
          <w:tcPr>
            <w:tcW w:w="93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1 204,30</w:t>
            </w:r>
          </w:p>
        </w:tc>
        <w:tc>
          <w:tcPr>
            <w:tcW w:w="93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1 319,44</w:t>
            </w:r>
          </w:p>
        </w:tc>
        <w:tc>
          <w:tcPr>
            <w:tcW w:w="938"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1 363,62</w:t>
            </w:r>
          </w:p>
        </w:tc>
      </w:tr>
      <w:tr w:rsidR="003E1809" w:rsidRPr="007D744D" w:rsidTr="003E1809">
        <w:trPr>
          <w:trHeight w:val="555"/>
        </w:trPr>
        <w:tc>
          <w:tcPr>
            <w:tcW w:w="9062" w:type="dxa"/>
            <w:gridSpan w:val="9"/>
            <w:tcBorders>
              <w:top w:val="nil"/>
              <w:left w:val="nil"/>
              <w:bottom w:val="nil"/>
              <w:right w:val="nil"/>
            </w:tcBorders>
            <w:shd w:val="clear" w:color="auto" w:fill="auto"/>
            <w:vAlign w:val="center"/>
            <w:hideMark/>
          </w:tcPr>
          <w:p w:rsidR="003E1809" w:rsidRPr="007D744D" w:rsidRDefault="003E1809" w:rsidP="003E1809">
            <w:pPr>
              <w:jc w:val="both"/>
              <w:rPr>
                <w:rFonts w:ascii="Times New Roman" w:hAnsi="Times New Roman" w:cs="Times New Roman"/>
                <w:sz w:val="14"/>
                <w:szCs w:val="14"/>
                <w:lang w:eastAsia="sk-SK"/>
              </w:rPr>
            </w:pPr>
            <w:r w:rsidRPr="007D744D">
              <w:rPr>
                <w:rFonts w:ascii="Times New Roman" w:hAnsi="Times New Roman" w:cs="Times New Roman"/>
                <w:sz w:val="14"/>
                <w:szCs w:val="14"/>
                <w:lang w:eastAsia="sk-SK"/>
              </w:rPr>
              <w:t>S 2016 a 2017 v osobných výdavkoch - Štátny záverečný účet SR. OS 2018 v počte zamestnancov v prevažnej miere zohľadňuje úroveň dosiahnutej skutočnosti za 1. polrok 2018, v osobných výdavkoch aj odhad čerpania EÚ zdrojov a spolufinancovania zo ŠR. NRVS  2019 až 2021 za kapitoly ŠR nezohľadňuje zdroje EÚ a spolufinancovania zo ŠR.</w:t>
            </w:r>
          </w:p>
        </w:tc>
      </w:tr>
    </w:tbl>
    <w:p w:rsidR="003E1809" w:rsidRDefault="003E1809" w:rsidP="003E1809">
      <w:pPr>
        <w:ind w:left="360" w:hanging="360"/>
        <w:jc w:val="both"/>
        <w:rPr>
          <w:rFonts w:ascii="Times New Roman" w:hAnsi="Times New Roman"/>
          <w:b/>
        </w:rPr>
      </w:pPr>
    </w:p>
    <w:p w:rsidR="003E1809" w:rsidRPr="00FB449A" w:rsidRDefault="003E1809" w:rsidP="003E1809">
      <w:pPr>
        <w:ind w:left="360" w:hanging="360"/>
        <w:jc w:val="both"/>
        <w:rPr>
          <w:rFonts w:ascii="Times New Roman" w:hAnsi="Times New Roman"/>
          <w:b/>
          <w:bCs/>
        </w:rPr>
      </w:pPr>
      <w:r w:rsidRPr="00FB449A">
        <w:rPr>
          <w:rFonts w:ascii="Times New Roman" w:hAnsi="Times New Roman"/>
          <w:b/>
        </w:rPr>
        <w:t>4.2.2.  Zamestnanosť</w:t>
      </w:r>
      <w:r w:rsidRPr="00FB449A">
        <w:rPr>
          <w:rFonts w:ascii="Times New Roman" w:hAnsi="Times New Roman"/>
          <w:b/>
          <w:bCs/>
        </w:rPr>
        <w:t xml:space="preserve"> financovaná zo štátneho rozpočtu</w:t>
      </w:r>
    </w:p>
    <w:p w:rsidR="003E1809" w:rsidRPr="00FB449A" w:rsidRDefault="003E1809" w:rsidP="003E1809">
      <w:pPr>
        <w:ind w:firstLine="360"/>
        <w:jc w:val="both"/>
        <w:rPr>
          <w:rFonts w:ascii="Times New Roman" w:hAnsi="Times New Roman"/>
          <w:bCs/>
        </w:rPr>
      </w:pPr>
      <w:r w:rsidRPr="00FB449A">
        <w:rPr>
          <w:rFonts w:ascii="Times New Roman" w:hAnsi="Times New Roman"/>
          <w:bCs/>
        </w:rPr>
        <w:t xml:space="preserve">      </w:t>
      </w:r>
    </w:p>
    <w:p w:rsidR="003E1809" w:rsidRPr="00FB449A" w:rsidRDefault="003E1809" w:rsidP="003E1809">
      <w:pPr>
        <w:ind w:firstLine="708"/>
        <w:jc w:val="both"/>
        <w:rPr>
          <w:rFonts w:ascii="Times New Roman" w:hAnsi="Times New Roman"/>
          <w:bCs/>
        </w:rPr>
      </w:pPr>
      <w:r w:rsidRPr="00FB449A">
        <w:rPr>
          <w:rFonts w:ascii="Times New Roman" w:hAnsi="Times New Roman"/>
          <w:bCs/>
        </w:rPr>
        <w:t>V návrhu rozpočtu verejnej správy na roky 201</w:t>
      </w:r>
      <w:r>
        <w:rPr>
          <w:rFonts w:ascii="Times New Roman" w:hAnsi="Times New Roman"/>
          <w:bCs/>
        </w:rPr>
        <w:t>9</w:t>
      </w:r>
      <w:r w:rsidRPr="00FB449A">
        <w:rPr>
          <w:rFonts w:ascii="Times New Roman" w:hAnsi="Times New Roman"/>
          <w:bCs/>
        </w:rPr>
        <w:t xml:space="preserve"> až 20</w:t>
      </w:r>
      <w:r>
        <w:rPr>
          <w:rFonts w:ascii="Times New Roman" w:hAnsi="Times New Roman"/>
          <w:bCs/>
        </w:rPr>
        <w:t>21</w:t>
      </w:r>
      <w:r w:rsidRPr="00FB449A">
        <w:rPr>
          <w:rFonts w:ascii="Times New Roman" w:hAnsi="Times New Roman"/>
          <w:bCs/>
        </w:rPr>
        <w:t xml:space="preserve"> sa na rok 201</w:t>
      </w:r>
      <w:r>
        <w:rPr>
          <w:rFonts w:ascii="Times New Roman" w:hAnsi="Times New Roman"/>
          <w:bCs/>
        </w:rPr>
        <w:t>9</w:t>
      </w:r>
      <w:r w:rsidRPr="00FB449A">
        <w:rPr>
          <w:rFonts w:ascii="Times New Roman" w:hAnsi="Times New Roman"/>
          <w:bCs/>
        </w:rPr>
        <w:t xml:space="preserve"> rozpočtujú osobné výdavky pre </w:t>
      </w:r>
      <w:r>
        <w:rPr>
          <w:rFonts w:ascii="Times New Roman" w:hAnsi="Times New Roman"/>
          <w:bCs/>
        </w:rPr>
        <w:t>234 925</w:t>
      </w:r>
      <w:r w:rsidRPr="00FB449A">
        <w:rPr>
          <w:rFonts w:ascii="Times New Roman" w:hAnsi="Times New Roman"/>
          <w:bCs/>
        </w:rPr>
        <w:t xml:space="preserve"> zamestnancov</w:t>
      </w:r>
      <w:r>
        <w:rPr>
          <w:rFonts w:ascii="Times New Roman" w:hAnsi="Times New Roman"/>
          <w:bCs/>
        </w:rPr>
        <w:t xml:space="preserve">, vrátane zamestnancov regionálneho školstva </w:t>
      </w:r>
      <w:r>
        <w:rPr>
          <w:rFonts w:ascii="Times New Roman" w:hAnsi="Times New Roman"/>
          <w:bCs/>
        </w:rPr>
        <w:lastRenderedPageBreak/>
        <w:t>súkromných a cirkevných zriaďovateľov,</w:t>
      </w:r>
      <w:r w:rsidRPr="00FB449A">
        <w:rPr>
          <w:rFonts w:ascii="Times New Roman" w:hAnsi="Times New Roman"/>
          <w:bCs/>
        </w:rPr>
        <w:t xml:space="preserve"> v nižšie uvedenom členení. V porovnaní s rokom 201</w:t>
      </w:r>
      <w:r>
        <w:rPr>
          <w:rFonts w:ascii="Times New Roman" w:hAnsi="Times New Roman"/>
          <w:bCs/>
        </w:rPr>
        <w:t>8</w:t>
      </w:r>
      <w:r w:rsidRPr="00FB449A">
        <w:rPr>
          <w:rFonts w:ascii="Times New Roman" w:hAnsi="Times New Roman"/>
          <w:bCs/>
        </w:rPr>
        <w:t xml:space="preserve"> zamestnanosť v roku 201</w:t>
      </w:r>
      <w:r>
        <w:rPr>
          <w:rFonts w:ascii="Times New Roman" w:hAnsi="Times New Roman"/>
          <w:bCs/>
        </w:rPr>
        <w:t>9</w:t>
      </w:r>
      <w:r w:rsidRPr="00FB449A">
        <w:rPr>
          <w:rFonts w:ascii="Times New Roman" w:hAnsi="Times New Roman"/>
          <w:bCs/>
        </w:rPr>
        <w:t xml:space="preserve"> </w:t>
      </w:r>
      <w:r>
        <w:rPr>
          <w:rFonts w:ascii="Times New Roman" w:hAnsi="Times New Roman"/>
          <w:bCs/>
        </w:rPr>
        <w:t>stúpa o 2 218 osôb</w:t>
      </w:r>
      <w:r w:rsidRPr="00FB449A">
        <w:rPr>
          <w:rFonts w:ascii="Times New Roman" w:hAnsi="Times New Roman"/>
          <w:bCs/>
        </w:rPr>
        <w:t xml:space="preserve">. </w:t>
      </w:r>
    </w:p>
    <w:p w:rsidR="003E1809" w:rsidRPr="00F072C1" w:rsidRDefault="003E1809" w:rsidP="003E1809">
      <w:pPr>
        <w:ind w:firstLine="709"/>
        <w:jc w:val="both"/>
        <w:rPr>
          <w:rFonts w:ascii="Times New Roman" w:hAnsi="Times New Roman"/>
          <w:bCs/>
          <w:color w:val="FF0000"/>
          <w:highlight w:val="yellow"/>
        </w:rPr>
      </w:pPr>
    </w:p>
    <w:p w:rsidR="003E1809" w:rsidRDefault="003E1809" w:rsidP="003E1809">
      <w:pPr>
        <w:ind w:firstLine="709"/>
        <w:jc w:val="both"/>
        <w:rPr>
          <w:rFonts w:ascii="Times New Roman" w:hAnsi="Times New Roman"/>
          <w:bCs/>
        </w:rPr>
      </w:pPr>
      <w:r w:rsidRPr="00FB449A">
        <w:rPr>
          <w:rFonts w:ascii="Times New Roman" w:hAnsi="Times New Roman"/>
          <w:bCs/>
        </w:rPr>
        <w:t>Prehľad o počte zamestnancov financovaných zo štátneho rozpočtu poskytuje tabuľka.</w:t>
      </w:r>
    </w:p>
    <w:p w:rsidR="003E1809" w:rsidRDefault="003E1809" w:rsidP="003E1809">
      <w:pPr>
        <w:ind w:firstLine="709"/>
        <w:jc w:val="both"/>
        <w:rPr>
          <w:rFonts w:ascii="Times New Roman" w:hAnsi="Times New Roman"/>
          <w:bCs/>
        </w:rPr>
      </w:pPr>
    </w:p>
    <w:tbl>
      <w:tblPr>
        <w:tblW w:w="9040" w:type="dxa"/>
        <w:tblInd w:w="75" w:type="dxa"/>
        <w:tblCellMar>
          <w:left w:w="70" w:type="dxa"/>
          <w:right w:w="70" w:type="dxa"/>
        </w:tblCellMar>
        <w:tblLook w:val="04A0" w:firstRow="1" w:lastRow="0" w:firstColumn="1" w:lastColumn="0" w:noHBand="0" w:noVBand="1"/>
      </w:tblPr>
      <w:tblGrid>
        <w:gridCol w:w="3860"/>
        <w:gridCol w:w="740"/>
        <w:gridCol w:w="740"/>
        <w:gridCol w:w="740"/>
        <w:gridCol w:w="740"/>
        <w:gridCol w:w="740"/>
        <w:gridCol w:w="740"/>
        <w:gridCol w:w="740"/>
      </w:tblGrid>
      <w:tr w:rsidR="003E1809" w:rsidRPr="00A245AB" w:rsidTr="003E1809">
        <w:trPr>
          <w:trHeight w:val="330"/>
        </w:trPr>
        <w:tc>
          <w:tcPr>
            <w:tcW w:w="386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E1809" w:rsidRPr="00A245AB" w:rsidRDefault="003E1809" w:rsidP="003E1809">
            <w:pPr>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Počet zamestnancov financovaných zo štátneho rozpočtu</w:t>
            </w:r>
          </w:p>
        </w:tc>
        <w:tc>
          <w:tcPr>
            <w:tcW w:w="74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2016 S</w:t>
            </w:r>
          </w:p>
        </w:tc>
        <w:tc>
          <w:tcPr>
            <w:tcW w:w="74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2017 S</w:t>
            </w:r>
          </w:p>
        </w:tc>
        <w:tc>
          <w:tcPr>
            <w:tcW w:w="74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2018 R</w:t>
            </w:r>
          </w:p>
        </w:tc>
        <w:tc>
          <w:tcPr>
            <w:tcW w:w="74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2018 OS</w:t>
            </w:r>
          </w:p>
        </w:tc>
        <w:tc>
          <w:tcPr>
            <w:tcW w:w="74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2019 N</w:t>
            </w:r>
          </w:p>
        </w:tc>
        <w:tc>
          <w:tcPr>
            <w:tcW w:w="74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2020 N</w:t>
            </w:r>
          </w:p>
        </w:tc>
        <w:tc>
          <w:tcPr>
            <w:tcW w:w="74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2021 N</w:t>
            </w:r>
          </w:p>
        </w:tc>
      </w:tr>
      <w:tr w:rsidR="003E1809" w:rsidRPr="00A245AB" w:rsidTr="003E1809">
        <w:trPr>
          <w:trHeight w:val="330"/>
        </w:trPr>
        <w:tc>
          <w:tcPr>
            <w:tcW w:w="3860" w:type="dxa"/>
            <w:tcBorders>
              <w:top w:val="nil"/>
              <w:left w:val="single" w:sz="4" w:space="0" w:color="auto"/>
              <w:bottom w:val="single" w:sz="4" w:space="0" w:color="auto"/>
              <w:right w:val="single" w:sz="4" w:space="0" w:color="auto"/>
            </w:tcBorders>
            <w:shd w:val="clear" w:color="000000" w:fill="BFBFBF"/>
            <w:noWrap/>
            <w:vAlign w:val="center"/>
            <w:hideMark/>
          </w:tcPr>
          <w:p w:rsidR="003E1809" w:rsidRPr="00A245AB" w:rsidRDefault="003E1809" w:rsidP="003E1809">
            <w:pPr>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 xml:space="preserve">SPOLU  </w:t>
            </w:r>
            <w:r w:rsidRPr="00A245AB">
              <w:rPr>
                <w:rFonts w:ascii="Times New Roman" w:hAnsi="Times New Roman"/>
                <w:color w:val="000000"/>
                <w:sz w:val="14"/>
                <w:szCs w:val="14"/>
                <w:lang w:eastAsia="sk-SK"/>
              </w:rPr>
              <w:t xml:space="preserve"> (osoby)</w:t>
            </w:r>
          </w:p>
        </w:tc>
        <w:tc>
          <w:tcPr>
            <w:tcW w:w="74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right"/>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226 230</w:t>
            </w:r>
          </w:p>
        </w:tc>
        <w:tc>
          <w:tcPr>
            <w:tcW w:w="74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right"/>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226 517</w:t>
            </w:r>
          </w:p>
        </w:tc>
        <w:tc>
          <w:tcPr>
            <w:tcW w:w="74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right"/>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232 707</w:t>
            </w:r>
          </w:p>
        </w:tc>
        <w:tc>
          <w:tcPr>
            <w:tcW w:w="74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right"/>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228 377</w:t>
            </w:r>
          </w:p>
        </w:tc>
        <w:tc>
          <w:tcPr>
            <w:tcW w:w="74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right"/>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234 925</w:t>
            </w:r>
          </w:p>
        </w:tc>
        <w:tc>
          <w:tcPr>
            <w:tcW w:w="74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right"/>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235 021</w:t>
            </w:r>
          </w:p>
        </w:tc>
        <w:tc>
          <w:tcPr>
            <w:tcW w:w="74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right"/>
              <w:rPr>
                <w:rFonts w:ascii="Times New Roman" w:hAnsi="Times New Roman"/>
                <w:b/>
                <w:bCs/>
                <w:color w:val="000000"/>
                <w:sz w:val="14"/>
                <w:szCs w:val="14"/>
                <w:lang w:eastAsia="sk-SK"/>
              </w:rPr>
            </w:pPr>
            <w:r w:rsidRPr="00A245AB">
              <w:rPr>
                <w:rFonts w:ascii="Times New Roman" w:hAnsi="Times New Roman"/>
                <w:b/>
                <w:bCs/>
                <w:color w:val="000000"/>
                <w:sz w:val="14"/>
                <w:szCs w:val="14"/>
                <w:lang w:eastAsia="sk-SK"/>
              </w:rPr>
              <w:t>235 157</w:t>
            </w:r>
          </w:p>
        </w:tc>
      </w:tr>
      <w:tr w:rsidR="003E1809" w:rsidRPr="00A245AB" w:rsidTr="003E1809">
        <w:trPr>
          <w:trHeight w:val="285"/>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color w:val="000000"/>
                <w:sz w:val="14"/>
                <w:szCs w:val="14"/>
                <w:lang w:eastAsia="sk-SK"/>
              </w:rPr>
            </w:pPr>
            <w:r w:rsidRPr="00A245AB">
              <w:rPr>
                <w:rFonts w:ascii="Times New Roman" w:hAnsi="Times New Roman"/>
                <w:color w:val="000000"/>
                <w:sz w:val="14"/>
                <w:szCs w:val="14"/>
                <w:lang w:eastAsia="sk-SK"/>
              </w:rPr>
              <w:t>štátne rozpočtové organizácie</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123 152</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123 015</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128 980</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123 096</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130 090</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130 181</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130 317</w:t>
            </w:r>
          </w:p>
        </w:tc>
      </w:tr>
      <w:tr w:rsidR="003E1809" w:rsidRPr="00A245AB" w:rsidTr="003E1809">
        <w:trPr>
          <w:trHeight w:val="285"/>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color w:val="000000"/>
                <w:sz w:val="14"/>
                <w:szCs w:val="14"/>
                <w:lang w:eastAsia="sk-SK"/>
              </w:rPr>
            </w:pPr>
            <w:r w:rsidRPr="00A245AB">
              <w:rPr>
                <w:rFonts w:ascii="Times New Roman" w:hAnsi="Times New Roman"/>
                <w:color w:val="000000"/>
                <w:sz w:val="14"/>
                <w:szCs w:val="14"/>
                <w:lang w:eastAsia="sk-SK"/>
              </w:rPr>
              <w:t>štátne príspevkové organizácie</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11 166</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11 617</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10 999</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11 854</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11 537</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11 542</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11 542</w:t>
            </w:r>
          </w:p>
        </w:tc>
      </w:tr>
      <w:tr w:rsidR="003E1809" w:rsidRPr="00A245AB" w:rsidTr="003E1809">
        <w:trPr>
          <w:trHeight w:val="285"/>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color w:val="000000"/>
                <w:sz w:val="14"/>
                <w:szCs w:val="14"/>
                <w:lang w:eastAsia="sk-SK"/>
              </w:rPr>
            </w:pPr>
            <w:r w:rsidRPr="00A245AB">
              <w:rPr>
                <w:rFonts w:ascii="Times New Roman" w:hAnsi="Times New Roman"/>
                <w:color w:val="000000"/>
                <w:sz w:val="14"/>
                <w:szCs w:val="14"/>
                <w:lang w:eastAsia="sk-SK"/>
              </w:rPr>
              <w:t>verejné vysoké školy</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20 882</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20 648</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21 529</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20 590</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21 529</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21 529</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color w:val="000000"/>
                <w:sz w:val="14"/>
                <w:szCs w:val="14"/>
                <w:lang w:eastAsia="sk-SK"/>
              </w:rPr>
            </w:pPr>
            <w:r w:rsidRPr="00A245AB">
              <w:rPr>
                <w:rFonts w:ascii="Times New Roman" w:hAnsi="Times New Roman"/>
                <w:color w:val="000000"/>
                <w:sz w:val="14"/>
                <w:szCs w:val="14"/>
                <w:lang w:eastAsia="sk-SK"/>
              </w:rPr>
              <w:t>21 529</w:t>
            </w:r>
          </w:p>
        </w:tc>
      </w:tr>
      <w:tr w:rsidR="003E1809" w:rsidRPr="00A245AB" w:rsidTr="003E1809">
        <w:trPr>
          <w:trHeight w:val="285"/>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color w:val="000000"/>
                <w:sz w:val="14"/>
                <w:szCs w:val="14"/>
                <w:lang w:eastAsia="sk-SK"/>
              </w:rPr>
            </w:pPr>
            <w:r w:rsidRPr="00A245AB">
              <w:rPr>
                <w:rFonts w:ascii="Times New Roman" w:hAnsi="Times New Roman"/>
                <w:color w:val="000000"/>
                <w:sz w:val="14"/>
                <w:szCs w:val="14"/>
                <w:lang w:eastAsia="sk-SK"/>
              </w:rPr>
              <w:t>regionálne školstvo v územnej samospráve</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62 657</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62 555</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62 921</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63 835</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63 440</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63 440</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63 440</w:t>
            </w:r>
          </w:p>
        </w:tc>
      </w:tr>
      <w:tr w:rsidR="003E1809" w:rsidRPr="00A245AB" w:rsidTr="003E1809">
        <w:trPr>
          <w:trHeight w:val="285"/>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color w:val="000000"/>
                <w:sz w:val="14"/>
                <w:szCs w:val="14"/>
                <w:lang w:eastAsia="sk-SK"/>
              </w:rPr>
            </w:pPr>
            <w:r w:rsidRPr="00A245AB">
              <w:rPr>
                <w:rFonts w:ascii="Times New Roman" w:hAnsi="Times New Roman"/>
                <w:color w:val="000000"/>
                <w:sz w:val="14"/>
                <w:szCs w:val="14"/>
                <w:lang w:eastAsia="sk-SK"/>
              </w:rPr>
              <w:t>regionálne školstvo súkromných a cirkevných zriaďovateľov *</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8 373</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8 682</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8 278</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9 002</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8 329</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8 329</w:t>
            </w:r>
          </w:p>
        </w:tc>
        <w:tc>
          <w:tcPr>
            <w:tcW w:w="74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8 329</w:t>
            </w:r>
          </w:p>
        </w:tc>
      </w:tr>
      <w:tr w:rsidR="003E1809" w:rsidRPr="00A245AB" w:rsidTr="003E1809">
        <w:trPr>
          <w:trHeight w:val="330"/>
        </w:trPr>
        <w:tc>
          <w:tcPr>
            <w:tcW w:w="9040" w:type="dxa"/>
            <w:gridSpan w:val="8"/>
            <w:tcBorders>
              <w:top w:val="nil"/>
              <w:left w:val="nil"/>
              <w:bottom w:val="nil"/>
              <w:right w:val="nil"/>
            </w:tcBorders>
            <w:shd w:val="clear" w:color="auto" w:fill="auto"/>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nepatrí do sektora verejnej správy, ale je financované zo štátneho rozpočtu</w:t>
            </w:r>
            <w:r w:rsidRPr="00A245AB">
              <w:rPr>
                <w:rFonts w:ascii="Times New Roman" w:hAnsi="Times New Roman"/>
                <w:sz w:val="14"/>
                <w:szCs w:val="14"/>
                <w:lang w:eastAsia="sk-SK"/>
              </w:rPr>
              <w:br/>
              <w:t>OS 2018 - štatistika za 1. polrok 2018 okrem regionálneho školstva (zdroj MŠVVŠ SR)</w:t>
            </w:r>
          </w:p>
        </w:tc>
      </w:tr>
    </w:tbl>
    <w:p w:rsidR="003E1809" w:rsidRDefault="003E1809" w:rsidP="003E1809">
      <w:pPr>
        <w:jc w:val="both"/>
        <w:rPr>
          <w:rFonts w:ascii="Times New Roman" w:hAnsi="Times New Roman"/>
          <w:bCs/>
        </w:rPr>
      </w:pPr>
    </w:p>
    <w:p w:rsidR="003E1809" w:rsidRPr="0060473C" w:rsidRDefault="003E1809" w:rsidP="003E1809">
      <w:pPr>
        <w:ind w:firstLine="708"/>
        <w:rPr>
          <w:rFonts w:ascii="Times New Roman" w:hAnsi="Times New Roman"/>
          <w:bCs/>
          <w:i/>
          <w:iCs/>
          <w:szCs w:val="22"/>
          <w:u w:val="single"/>
        </w:rPr>
      </w:pPr>
      <w:r w:rsidRPr="0060473C">
        <w:rPr>
          <w:rFonts w:ascii="Times New Roman" w:hAnsi="Times New Roman"/>
          <w:bCs/>
          <w:szCs w:val="22"/>
          <w:u w:val="single"/>
        </w:rPr>
        <w:t>Osobné výdavky štátnych rozpočtových organizácií</w:t>
      </w:r>
    </w:p>
    <w:p w:rsidR="003E1809" w:rsidRPr="0060473C" w:rsidRDefault="003E1809" w:rsidP="003E1809">
      <w:pPr>
        <w:jc w:val="both"/>
        <w:rPr>
          <w:rFonts w:ascii="Times New Roman" w:hAnsi="Times New Roman"/>
          <w:szCs w:val="22"/>
          <w:highlight w:val="yellow"/>
        </w:rPr>
      </w:pPr>
    </w:p>
    <w:p w:rsidR="003E1809" w:rsidRPr="00E749DA" w:rsidRDefault="003E1809" w:rsidP="003E1809">
      <w:pPr>
        <w:jc w:val="both"/>
        <w:rPr>
          <w:rFonts w:ascii="Times New Roman" w:hAnsi="Times New Roman"/>
          <w:bCs/>
          <w:color w:val="FF0000"/>
          <w:szCs w:val="22"/>
        </w:rPr>
      </w:pPr>
      <w:r w:rsidRPr="00F57BAE">
        <w:rPr>
          <w:rFonts w:ascii="Times New Roman" w:hAnsi="Times New Roman"/>
          <w:bCs/>
          <w:color w:val="FF0000"/>
          <w:szCs w:val="22"/>
        </w:rPr>
        <w:tab/>
      </w:r>
      <w:r w:rsidRPr="00F57BAE">
        <w:rPr>
          <w:rFonts w:ascii="Times New Roman" w:hAnsi="Times New Roman"/>
          <w:bCs/>
          <w:szCs w:val="22"/>
        </w:rPr>
        <w:t>Na rok 2019 sa rozpočtujú osobné výdavky pre 1</w:t>
      </w:r>
      <w:r>
        <w:rPr>
          <w:rFonts w:ascii="Times New Roman" w:hAnsi="Times New Roman"/>
          <w:bCs/>
          <w:szCs w:val="22"/>
        </w:rPr>
        <w:t>30 090</w:t>
      </w:r>
      <w:r w:rsidRPr="00F57BAE">
        <w:rPr>
          <w:rFonts w:ascii="Times New Roman" w:hAnsi="Times New Roman"/>
          <w:bCs/>
          <w:szCs w:val="22"/>
        </w:rPr>
        <w:t xml:space="preserve"> zamestnancov rozpočtových organizácií kapitol štátneho rozpočtu, čo </w:t>
      </w:r>
      <w:r>
        <w:rPr>
          <w:rFonts w:ascii="Times New Roman" w:hAnsi="Times New Roman"/>
          <w:bCs/>
          <w:szCs w:val="22"/>
        </w:rPr>
        <w:t>medziročne predstavuje</w:t>
      </w:r>
      <w:r w:rsidRPr="00F57BAE">
        <w:rPr>
          <w:rFonts w:ascii="Times New Roman" w:hAnsi="Times New Roman"/>
          <w:bCs/>
          <w:szCs w:val="22"/>
        </w:rPr>
        <w:t xml:space="preserve"> </w:t>
      </w:r>
      <w:r>
        <w:rPr>
          <w:rFonts w:ascii="Times New Roman" w:hAnsi="Times New Roman"/>
          <w:bCs/>
          <w:szCs w:val="22"/>
        </w:rPr>
        <w:t>zvýšenie</w:t>
      </w:r>
      <w:r w:rsidRPr="00F57BAE">
        <w:rPr>
          <w:rFonts w:ascii="Times New Roman" w:hAnsi="Times New Roman"/>
          <w:bCs/>
          <w:szCs w:val="22"/>
        </w:rPr>
        <w:t xml:space="preserve"> o</w:t>
      </w:r>
      <w:r>
        <w:rPr>
          <w:rFonts w:ascii="Times New Roman" w:hAnsi="Times New Roman"/>
          <w:bCs/>
          <w:szCs w:val="22"/>
        </w:rPr>
        <w:t> 1 110</w:t>
      </w:r>
      <w:r w:rsidRPr="00F57BAE">
        <w:rPr>
          <w:rFonts w:ascii="Times New Roman" w:hAnsi="Times New Roman"/>
          <w:bCs/>
          <w:szCs w:val="22"/>
        </w:rPr>
        <w:t> osôb</w:t>
      </w:r>
      <w:r>
        <w:rPr>
          <w:rFonts w:ascii="Times New Roman" w:hAnsi="Times New Roman"/>
          <w:bCs/>
          <w:szCs w:val="22"/>
        </w:rPr>
        <w:t>.</w:t>
      </w:r>
      <w:r w:rsidRPr="00F57BAE">
        <w:rPr>
          <w:rFonts w:ascii="Times New Roman" w:hAnsi="Times New Roman"/>
          <w:bCs/>
          <w:szCs w:val="22"/>
        </w:rPr>
        <w:t xml:space="preserve"> </w:t>
      </w:r>
      <w:r w:rsidRPr="00517630">
        <w:rPr>
          <w:rFonts w:ascii="Times New Roman" w:hAnsi="Times New Roman"/>
          <w:bCs/>
          <w:szCs w:val="22"/>
        </w:rPr>
        <w:t>Na uvedenom náraste sa v najvyššej miere podieľa zvýšenie</w:t>
      </w:r>
      <w:r>
        <w:rPr>
          <w:rFonts w:ascii="Times New Roman" w:hAnsi="Times New Roman"/>
          <w:bCs/>
          <w:szCs w:val="22"/>
        </w:rPr>
        <w:t xml:space="preserve"> počtu zamestnancov </w:t>
      </w:r>
      <w:r w:rsidRPr="00517630">
        <w:rPr>
          <w:rFonts w:ascii="Times New Roman" w:hAnsi="Times New Roman"/>
          <w:bCs/>
          <w:szCs w:val="22"/>
        </w:rPr>
        <w:t>zabezpečujú</w:t>
      </w:r>
      <w:r>
        <w:rPr>
          <w:rFonts w:ascii="Times New Roman" w:hAnsi="Times New Roman"/>
          <w:bCs/>
          <w:szCs w:val="22"/>
        </w:rPr>
        <w:t>cich</w:t>
      </w:r>
      <w:r w:rsidRPr="00517630">
        <w:rPr>
          <w:rFonts w:ascii="Times New Roman" w:hAnsi="Times New Roman"/>
          <w:bCs/>
          <w:szCs w:val="22"/>
        </w:rPr>
        <w:t xml:space="preserve"> novú legislatívu</w:t>
      </w:r>
      <w:r>
        <w:rPr>
          <w:rFonts w:ascii="Times New Roman" w:hAnsi="Times New Roman"/>
          <w:bCs/>
          <w:szCs w:val="22"/>
        </w:rPr>
        <w:t xml:space="preserve"> v počte 299 osôb, z </w:t>
      </w:r>
      <w:r w:rsidRPr="0005550D">
        <w:rPr>
          <w:rFonts w:ascii="Times New Roman" w:hAnsi="Times New Roman"/>
          <w:bCs/>
          <w:szCs w:val="22"/>
        </w:rPr>
        <w:t>toho 217</w:t>
      </w:r>
      <w:r>
        <w:rPr>
          <w:rFonts w:ascii="Times New Roman" w:hAnsi="Times New Roman"/>
          <w:bCs/>
          <w:szCs w:val="22"/>
        </w:rPr>
        <w:t> </w:t>
      </w:r>
      <w:r w:rsidRPr="0005550D">
        <w:rPr>
          <w:rFonts w:ascii="Times New Roman" w:hAnsi="Times New Roman"/>
          <w:bCs/>
          <w:szCs w:val="22"/>
        </w:rPr>
        <w:t>osôb v Ministerstve práce, sociálnych vecí a rodiny SR na realizáciu zákona o sociálnoprávnej ochrane a sociálnej kuratele a zákona o sociálnej ekonomike a sociálnych podnikoch. Posilnenie personálnych kapacít zabezpečujúcich plnenie nových úloh v súhrnnom počte 295</w:t>
      </w:r>
      <w:r>
        <w:rPr>
          <w:rFonts w:ascii="Times New Roman" w:hAnsi="Times New Roman"/>
          <w:bCs/>
          <w:szCs w:val="22"/>
        </w:rPr>
        <w:t> </w:t>
      </w:r>
      <w:r w:rsidRPr="0005550D">
        <w:rPr>
          <w:rFonts w:ascii="Times New Roman" w:hAnsi="Times New Roman"/>
          <w:bCs/>
          <w:szCs w:val="22"/>
        </w:rPr>
        <w:t>osôb sa najvýraznejšie prejavuje v kapitole Ministerstva spravodlivosti SR, kde sa zvyšuje počet zamestnancov väzenských zariadení o</w:t>
      </w:r>
      <w:r>
        <w:rPr>
          <w:rFonts w:ascii="Times New Roman" w:hAnsi="Times New Roman"/>
          <w:bCs/>
          <w:szCs w:val="22"/>
        </w:rPr>
        <w:t> </w:t>
      </w:r>
      <w:r w:rsidRPr="0005550D">
        <w:rPr>
          <w:rFonts w:ascii="Times New Roman" w:hAnsi="Times New Roman"/>
          <w:bCs/>
          <w:szCs w:val="22"/>
        </w:rPr>
        <w:t>134</w:t>
      </w:r>
      <w:r>
        <w:rPr>
          <w:rFonts w:ascii="Times New Roman" w:hAnsi="Times New Roman"/>
          <w:bCs/>
          <w:szCs w:val="22"/>
        </w:rPr>
        <w:t> </w:t>
      </w:r>
      <w:r w:rsidRPr="0005550D">
        <w:rPr>
          <w:rFonts w:ascii="Times New Roman" w:hAnsi="Times New Roman"/>
          <w:bCs/>
          <w:szCs w:val="22"/>
        </w:rPr>
        <w:t xml:space="preserve">osôb. Na realizáciu projektov </w:t>
      </w:r>
      <w:r>
        <w:rPr>
          <w:rFonts w:ascii="Times New Roman" w:hAnsi="Times New Roman"/>
          <w:bCs/>
          <w:szCs w:val="22"/>
        </w:rPr>
        <w:t xml:space="preserve">Európskej únie </w:t>
      </w:r>
      <w:r w:rsidRPr="0005550D">
        <w:rPr>
          <w:rFonts w:ascii="Times New Roman" w:hAnsi="Times New Roman"/>
          <w:bCs/>
          <w:szCs w:val="22"/>
        </w:rPr>
        <w:t>sú v šiestich kapitolách štátneho rozpočtu zvýšené počty zamestnancov o 254 osôb, z toho</w:t>
      </w:r>
      <w:r>
        <w:rPr>
          <w:rFonts w:ascii="Times New Roman" w:hAnsi="Times New Roman"/>
          <w:bCs/>
          <w:szCs w:val="22"/>
        </w:rPr>
        <w:t xml:space="preserve"> najvýraznejšie zvýšenie je premietnuté v kapitole Ministerstva vnútra SR (150 osôb). V súlade s uznesením vlády Slovenskej republiky č. 181/2017 k Analýze stavu a určeniu počtu administratívnych kapacít pre európske štrukturálne a investičné fondy v programovom období 2014 – 2020 boli v siedmich kapitolách štátneho rozpočtu zvýšené </w:t>
      </w:r>
      <w:r w:rsidRPr="003F7047">
        <w:rPr>
          <w:rFonts w:ascii="Times New Roman" w:hAnsi="Times New Roman"/>
          <w:bCs/>
          <w:szCs w:val="22"/>
        </w:rPr>
        <w:t>administratívne kapacity osobitne sledované</w:t>
      </w:r>
      <w:r>
        <w:rPr>
          <w:rFonts w:ascii="Times New Roman" w:hAnsi="Times New Roman"/>
          <w:bCs/>
          <w:color w:val="FF0000"/>
          <w:szCs w:val="22"/>
        </w:rPr>
        <w:t xml:space="preserve"> </w:t>
      </w:r>
      <w:r w:rsidRPr="003F7047">
        <w:rPr>
          <w:rFonts w:ascii="Times New Roman" w:hAnsi="Times New Roman"/>
          <w:bCs/>
          <w:szCs w:val="22"/>
        </w:rPr>
        <w:t>v súhrne o</w:t>
      </w:r>
      <w:r>
        <w:rPr>
          <w:rFonts w:ascii="Times New Roman" w:hAnsi="Times New Roman"/>
          <w:bCs/>
          <w:szCs w:val="22"/>
        </w:rPr>
        <w:t> </w:t>
      </w:r>
      <w:r w:rsidRPr="003F7047">
        <w:rPr>
          <w:rFonts w:ascii="Times New Roman" w:hAnsi="Times New Roman"/>
          <w:bCs/>
          <w:szCs w:val="22"/>
        </w:rPr>
        <w:t>250</w:t>
      </w:r>
      <w:r>
        <w:rPr>
          <w:rFonts w:ascii="Times New Roman" w:hAnsi="Times New Roman"/>
          <w:bCs/>
          <w:szCs w:val="22"/>
        </w:rPr>
        <w:t> </w:t>
      </w:r>
      <w:r w:rsidRPr="003F7047">
        <w:rPr>
          <w:rFonts w:ascii="Times New Roman" w:hAnsi="Times New Roman"/>
          <w:bCs/>
          <w:szCs w:val="22"/>
        </w:rPr>
        <w:t>osôb</w:t>
      </w:r>
      <w:r>
        <w:rPr>
          <w:rFonts w:ascii="Times New Roman" w:hAnsi="Times New Roman"/>
          <w:bCs/>
          <w:szCs w:val="22"/>
        </w:rPr>
        <w:t xml:space="preserve">, z toho najvýraznejšie v kapitole Ministerstva vnútra SR (155 osôb). </w:t>
      </w:r>
    </w:p>
    <w:p w:rsidR="003E1809" w:rsidRDefault="003E1809" w:rsidP="003E1809">
      <w:pPr>
        <w:ind w:firstLine="708"/>
        <w:jc w:val="both"/>
        <w:rPr>
          <w:rFonts w:ascii="Times New Roman" w:hAnsi="Times New Roman"/>
          <w:bCs/>
          <w:szCs w:val="22"/>
        </w:rPr>
      </w:pPr>
    </w:p>
    <w:p w:rsidR="003E1809" w:rsidRDefault="003E1809" w:rsidP="003E1809">
      <w:pPr>
        <w:ind w:firstLine="708"/>
        <w:jc w:val="both"/>
        <w:rPr>
          <w:rFonts w:ascii="Times New Roman" w:hAnsi="Times New Roman"/>
          <w:bCs/>
          <w:szCs w:val="22"/>
        </w:rPr>
      </w:pPr>
      <w:r w:rsidRPr="00FF5E81">
        <w:rPr>
          <w:rFonts w:ascii="Times New Roman" w:hAnsi="Times New Roman"/>
          <w:bCs/>
          <w:szCs w:val="22"/>
        </w:rPr>
        <w:t>Prehľad o skutočne dosiahnutých ukazovateľoch zamestnanosti v rokoch 201</w:t>
      </w:r>
      <w:r>
        <w:rPr>
          <w:rFonts w:ascii="Times New Roman" w:hAnsi="Times New Roman"/>
          <w:bCs/>
          <w:szCs w:val="22"/>
        </w:rPr>
        <w:t>6</w:t>
      </w:r>
      <w:r w:rsidRPr="00FF5E81">
        <w:rPr>
          <w:rFonts w:ascii="Times New Roman" w:hAnsi="Times New Roman"/>
          <w:bCs/>
          <w:szCs w:val="22"/>
        </w:rPr>
        <w:t xml:space="preserve"> a 201</w:t>
      </w:r>
      <w:r>
        <w:rPr>
          <w:rFonts w:ascii="Times New Roman" w:hAnsi="Times New Roman"/>
          <w:bCs/>
          <w:szCs w:val="22"/>
        </w:rPr>
        <w:t>7</w:t>
      </w:r>
      <w:r w:rsidRPr="00FF5E81">
        <w:rPr>
          <w:rFonts w:ascii="Times New Roman" w:hAnsi="Times New Roman"/>
          <w:bCs/>
          <w:szCs w:val="22"/>
        </w:rPr>
        <w:t>, o schválenom rozpočte a očakávanej skutočnosti na rok 2018</w:t>
      </w:r>
      <w:r>
        <w:rPr>
          <w:rFonts w:ascii="Times New Roman" w:hAnsi="Times New Roman"/>
          <w:bCs/>
          <w:szCs w:val="22"/>
        </w:rPr>
        <w:t xml:space="preserve"> a o</w:t>
      </w:r>
      <w:r w:rsidRPr="00FF5E81">
        <w:rPr>
          <w:rFonts w:ascii="Times New Roman" w:hAnsi="Times New Roman"/>
          <w:bCs/>
          <w:szCs w:val="22"/>
        </w:rPr>
        <w:t xml:space="preserve"> návrhu rozpočtu na roky 2019 až 2021 poskytuje priložená tabuľka.</w:t>
      </w:r>
    </w:p>
    <w:p w:rsidR="003E1809" w:rsidRDefault="003E1809" w:rsidP="003E1809">
      <w:pPr>
        <w:ind w:firstLine="708"/>
        <w:jc w:val="both"/>
        <w:rPr>
          <w:rFonts w:ascii="Times New Roman" w:hAnsi="Times New Roman"/>
          <w:bCs/>
          <w:szCs w:val="22"/>
        </w:rPr>
      </w:pPr>
    </w:p>
    <w:tbl>
      <w:tblPr>
        <w:tblW w:w="8960" w:type="dxa"/>
        <w:tblInd w:w="75" w:type="dxa"/>
        <w:tblCellMar>
          <w:left w:w="70" w:type="dxa"/>
          <w:right w:w="70" w:type="dxa"/>
        </w:tblCellMar>
        <w:tblLook w:val="04A0" w:firstRow="1" w:lastRow="0" w:firstColumn="1" w:lastColumn="0" w:noHBand="0" w:noVBand="1"/>
      </w:tblPr>
      <w:tblGrid>
        <w:gridCol w:w="1725"/>
        <w:gridCol w:w="471"/>
        <w:gridCol w:w="953"/>
        <w:gridCol w:w="973"/>
        <w:gridCol w:w="973"/>
        <w:gridCol w:w="973"/>
        <w:gridCol w:w="973"/>
        <w:gridCol w:w="973"/>
        <w:gridCol w:w="973"/>
      </w:tblGrid>
      <w:tr w:rsidR="003E1809" w:rsidRPr="00A245AB" w:rsidTr="003E1809">
        <w:trPr>
          <w:trHeight w:val="495"/>
        </w:trPr>
        <w:tc>
          <w:tcPr>
            <w:tcW w:w="2120" w:type="dxa"/>
            <w:gridSpan w:val="2"/>
            <w:tcBorders>
              <w:top w:val="single" w:sz="4" w:space="0" w:color="auto"/>
              <w:left w:val="single" w:sz="4" w:space="0" w:color="auto"/>
              <w:bottom w:val="single" w:sz="4" w:space="0" w:color="auto"/>
              <w:right w:val="single" w:sz="4" w:space="0" w:color="auto"/>
            </w:tcBorders>
            <w:shd w:val="clear" w:color="000000" w:fill="A6A6A6"/>
            <w:vAlign w:val="center"/>
            <w:hideMark/>
          </w:tcPr>
          <w:p w:rsidR="003E1809" w:rsidRPr="00A245AB" w:rsidRDefault="003E1809" w:rsidP="003E1809">
            <w:pPr>
              <w:rPr>
                <w:rFonts w:ascii="Times New Roman" w:hAnsi="Times New Roman"/>
                <w:b/>
                <w:bCs/>
                <w:sz w:val="14"/>
                <w:szCs w:val="14"/>
                <w:lang w:eastAsia="sk-SK"/>
              </w:rPr>
            </w:pPr>
            <w:r w:rsidRPr="00A245AB">
              <w:rPr>
                <w:rFonts w:ascii="Times New Roman" w:hAnsi="Times New Roman"/>
                <w:b/>
                <w:bCs/>
                <w:sz w:val="14"/>
                <w:szCs w:val="14"/>
                <w:lang w:eastAsia="sk-SK"/>
              </w:rPr>
              <w:t>Rozpočtové organizácie kapitol štátneho rozpočtu</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2016 S</w:t>
            </w:r>
          </w:p>
        </w:tc>
        <w:tc>
          <w:tcPr>
            <w:tcW w:w="98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2017 S</w:t>
            </w:r>
          </w:p>
        </w:tc>
        <w:tc>
          <w:tcPr>
            <w:tcW w:w="98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2018 R</w:t>
            </w:r>
          </w:p>
        </w:tc>
        <w:tc>
          <w:tcPr>
            <w:tcW w:w="98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2018 OS</w:t>
            </w:r>
          </w:p>
        </w:tc>
        <w:tc>
          <w:tcPr>
            <w:tcW w:w="98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2019 N</w:t>
            </w:r>
          </w:p>
        </w:tc>
        <w:tc>
          <w:tcPr>
            <w:tcW w:w="98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2020 N</w:t>
            </w:r>
          </w:p>
        </w:tc>
        <w:tc>
          <w:tcPr>
            <w:tcW w:w="98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2021 N</w:t>
            </w:r>
          </w:p>
        </w:tc>
      </w:tr>
      <w:tr w:rsidR="003E1809" w:rsidRPr="00A245AB" w:rsidTr="003E1809">
        <w:trPr>
          <w:trHeight w:val="27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Počet zamestnancov</w:t>
            </w:r>
          </w:p>
        </w:tc>
        <w:tc>
          <w:tcPr>
            <w:tcW w:w="3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center"/>
              <w:rPr>
                <w:rFonts w:ascii="Times New Roman" w:hAnsi="Times New Roman"/>
                <w:sz w:val="14"/>
                <w:szCs w:val="14"/>
                <w:lang w:eastAsia="sk-SK"/>
              </w:rPr>
            </w:pPr>
            <w:r w:rsidRPr="00A245AB">
              <w:rPr>
                <w:rFonts w:ascii="Times New Roman" w:hAnsi="Times New Roman"/>
                <w:sz w:val="14"/>
                <w:szCs w:val="14"/>
                <w:lang w:eastAsia="sk-SK"/>
              </w:rPr>
              <w:t>osoby</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123 152</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123 015</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128 980</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123 096</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130 090</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130 181</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130 317</w:t>
            </w:r>
          </w:p>
        </w:tc>
      </w:tr>
      <w:tr w:rsidR="003E1809" w:rsidRPr="00A245AB" w:rsidTr="003E1809">
        <w:trPr>
          <w:trHeight w:val="27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b/>
                <w:bCs/>
                <w:sz w:val="14"/>
                <w:szCs w:val="14"/>
                <w:lang w:eastAsia="sk-SK"/>
              </w:rPr>
            </w:pPr>
            <w:r w:rsidRPr="00A245AB">
              <w:rPr>
                <w:rFonts w:ascii="Times New Roman" w:hAnsi="Times New Roman"/>
                <w:b/>
                <w:bCs/>
                <w:sz w:val="14"/>
                <w:szCs w:val="14"/>
                <w:lang w:eastAsia="sk-SK"/>
              </w:rPr>
              <w:t>Osobné výdavky</w:t>
            </w:r>
          </w:p>
        </w:tc>
        <w:tc>
          <w:tcPr>
            <w:tcW w:w="3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eur</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2 408 565 407</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2 544 564 31</w:t>
            </w:r>
            <w:r>
              <w:rPr>
                <w:rFonts w:ascii="Times New Roman" w:hAnsi="Times New Roman"/>
                <w:b/>
                <w:bCs/>
                <w:sz w:val="14"/>
                <w:szCs w:val="14"/>
                <w:lang w:eastAsia="sk-SK"/>
              </w:rPr>
              <w:t>4</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2 641 947 126</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2 722 627 000</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3 004 566 504</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3 306 912 834</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3 381 708 108</w:t>
            </w:r>
          </w:p>
        </w:tc>
      </w:tr>
      <w:tr w:rsidR="003E1809" w:rsidRPr="00A245AB" w:rsidTr="003E1809">
        <w:trPr>
          <w:trHeight w:val="270"/>
        </w:trPr>
        <w:tc>
          <w:tcPr>
            <w:tcW w:w="1740" w:type="dxa"/>
            <w:tcBorders>
              <w:top w:val="nil"/>
              <w:left w:val="single" w:sz="4" w:space="0" w:color="auto"/>
              <w:bottom w:val="nil"/>
              <w:right w:val="single" w:sz="4" w:space="0" w:color="auto"/>
            </w:tcBorders>
            <w:shd w:val="clear" w:color="auto" w:fill="auto"/>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z toho:  mzdové výdavky</w:t>
            </w:r>
          </w:p>
        </w:tc>
        <w:tc>
          <w:tcPr>
            <w:tcW w:w="3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center"/>
              <w:rPr>
                <w:rFonts w:ascii="Times New Roman" w:hAnsi="Times New Roman"/>
                <w:sz w:val="14"/>
                <w:szCs w:val="14"/>
                <w:lang w:eastAsia="sk-SK"/>
              </w:rPr>
            </w:pPr>
            <w:r w:rsidRPr="00A245AB">
              <w:rPr>
                <w:rFonts w:ascii="Times New Roman" w:hAnsi="Times New Roman"/>
                <w:sz w:val="14"/>
                <w:szCs w:val="14"/>
                <w:lang w:eastAsia="sk-SK"/>
              </w:rPr>
              <w:t>eur</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1 776 554 807</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1 869 049 301</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1 953 532 101</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2 006 983 000</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2 221 695 094</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2 445 183 134</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2 500 791 625</w:t>
            </w:r>
          </w:p>
        </w:tc>
      </w:tr>
      <w:tr w:rsidR="003E1809" w:rsidRPr="00A245AB" w:rsidTr="003E1809">
        <w:trPr>
          <w:trHeight w:val="270"/>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b/>
                <w:bCs/>
                <w:sz w:val="14"/>
                <w:szCs w:val="14"/>
                <w:lang w:eastAsia="sk-SK"/>
              </w:rPr>
            </w:pPr>
            <w:r w:rsidRPr="00A245AB">
              <w:rPr>
                <w:rFonts w:ascii="Times New Roman" w:hAnsi="Times New Roman"/>
                <w:b/>
                <w:bCs/>
                <w:sz w:val="14"/>
                <w:szCs w:val="14"/>
                <w:lang w:eastAsia="sk-SK"/>
              </w:rPr>
              <w:t>Priemerný mzdový výdavok</w:t>
            </w:r>
          </w:p>
        </w:tc>
        <w:tc>
          <w:tcPr>
            <w:tcW w:w="3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eur</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1 202,14</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1 266,14</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1 262,17</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1 358,68</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1 423,18</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1 565,25</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1 599,17</w:t>
            </w:r>
          </w:p>
        </w:tc>
      </w:tr>
      <w:tr w:rsidR="003E1809" w:rsidRPr="00A245AB" w:rsidTr="003E1809">
        <w:trPr>
          <w:trHeight w:val="555"/>
        </w:trPr>
        <w:tc>
          <w:tcPr>
            <w:tcW w:w="8960" w:type="dxa"/>
            <w:gridSpan w:val="9"/>
            <w:tcBorders>
              <w:top w:val="nil"/>
              <w:left w:val="nil"/>
              <w:bottom w:val="nil"/>
              <w:right w:val="nil"/>
            </w:tcBorders>
            <w:shd w:val="clear" w:color="auto" w:fill="auto"/>
            <w:vAlign w:val="center"/>
            <w:hideMark/>
          </w:tcPr>
          <w:p w:rsidR="003E1809" w:rsidRPr="00A245AB" w:rsidRDefault="003E1809" w:rsidP="003E1809">
            <w:pPr>
              <w:jc w:val="both"/>
              <w:rPr>
                <w:rFonts w:ascii="Times New Roman" w:hAnsi="Times New Roman"/>
                <w:sz w:val="14"/>
                <w:szCs w:val="14"/>
                <w:lang w:eastAsia="sk-SK"/>
              </w:rPr>
            </w:pPr>
            <w:r w:rsidRPr="00A245AB">
              <w:rPr>
                <w:rFonts w:ascii="Times New Roman" w:hAnsi="Times New Roman"/>
                <w:sz w:val="14"/>
                <w:szCs w:val="14"/>
                <w:lang w:eastAsia="sk-SK"/>
              </w:rPr>
              <w:t>Skutočnosť osobných výdavkov v rokoch 2016 a 2017 - Štátny záverečný účet SR. OS 2018 v počtoch zamestnancov zohľadňuje údaje zo štatistiky za 1.</w:t>
            </w:r>
            <w:r>
              <w:rPr>
                <w:rFonts w:ascii="Times New Roman" w:hAnsi="Times New Roman"/>
                <w:sz w:val="14"/>
                <w:szCs w:val="14"/>
                <w:lang w:eastAsia="sk-SK"/>
              </w:rPr>
              <w:t> </w:t>
            </w:r>
            <w:r w:rsidRPr="00A245AB">
              <w:rPr>
                <w:rFonts w:ascii="Times New Roman" w:hAnsi="Times New Roman"/>
                <w:sz w:val="14"/>
                <w:szCs w:val="14"/>
                <w:lang w:eastAsia="sk-SK"/>
              </w:rPr>
              <w:t xml:space="preserve"> polrok 2018 a v osobných výdavkoch odhad čerpania zdrojov EÚ a spolufinancovania zo ŠR. NRVS 2019 až 2021 zohľadňuje valorizáciu vrátane zmeny systému odmeňovania, nezohľadňuje zdroje EÚ a spolufinancovania zo ŠR.</w:t>
            </w:r>
          </w:p>
        </w:tc>
      </w:tr>
    </w:tbl>
    <w:p w:rsidR="003E1809" w:rsidRDefault="003E1809" w:rsidP="003E1809">
      <w:pPr>
        <w:ind w:firstLine="708"/>
        <w:jc w:val="both"/>
        <w:rPr>
          <w:rFonts w:ascii="Times New Roman" w:hAnsi="Times New Roman"/>
          <w:bCs/>
          <w:szCs w:val="22"/>
        </w:rPr>
      </w:pPr>
    </w:p>
    <w:p w:rsidR="003E1809" w:rsidRPr="00BA7777" w:rsidRDefault="003E1809" w:rsidP="003E1809">
      <w:pPr>
        <w:ind w:firstLine="708"/>
        <w:jc w:val="both"/>
        <w:rPr>
          <w:rFonts w:ascii="Times New Roman" w:hAnsi="Times New Roman"/>
          <w:bCs/>
          <w:szCs w:val="22"/>
        </w:rPr>
      </w:pPr>
      <w:r w:rsidRPr="008E0F6C">
        <w:rPr>
          <w:rFonts w:ascii="Times New Roman" w:hAnsi="Times New Roman"/>
          <w:bCs/>
          <w:szCs w:val="22"/>
        </w:rPr>
        <w:t>V </w:t>
      </w:r>
      <w:r w:rsidRPr="00BA7777">
        <w:rPr>
          <w:rFonts w:ascii="Times New Roman" w:hAnsi="Times New Roman"/>
          <w:bCs/>
          <w:szCs w:val="22"/>
        </w:rPr>
        <w:t>roku 2019 sa pre zamestnancov rozpočtových organizácií rozpočtujú osobné výdavky v sume 3,0</w:t>
      </w:r>
      <w:r>
        <w:rPr>
          <w:rFonts w:ascii="Times New Roman" w:hAnsi="Times New Roman"/>
          <w:bCs/>
          <w:szCs w:val="22"/>
        </w:rPr>
        <w:t>0 </w:t>
      </w:r>
      <w:r w:rsidRPr="00BA7777">
        <w:rPr>
          <w:rFonts w:ascii="Times New Roman" w:hAnsi="Times New Roman"/>
          <w:bCs/>
          <w:szCs w:val="22"/>
        </w:rPr>
        <w:t>mld. eur, v tom mzdy a platy v sume 2,22</w:t>
      </w:r>
      <w:r>
        <w:rPr>
          <w:rFonts w:ascii="Times New Roman" w:hAnsi="Times New Roman"/>
          <w:bCs/>
          <w:szCs w:val="22"/>
        </w:rPr>
        <w:t> </w:t>
      </w:r>
      <w:r w:rsidRPr="00BA7777">
        <w:rPr>
          <w:rFonts w:ascii="Times New Roman" w:hAnsi="Times New Roman"/>
          <w:bCs/>
          <w:szCs w:val="22"/>
        </w:rPr>
        <w:t>mld. eur s priemerným mzdovým výdavkom na úrovni 1</w:t>
      </w:r>
      <w:r>
        <w:rPr>
          <w:rFonts w:ascii="Times New Roman" w:hAnsi="Times New Roman"/>
          <w:bCs/>
          <w:szCs w:val="22"/>
        </w:rPr>
        <w:t> </w:t>
      </w:r>
      <w:r w:rsidRPr="00BA7777">
        <w:rPr>
          <w:rFonts w:ascii="Times New Roman" w:hAnsi="Times New Roman"/>
          <w:bCs/>
          <w:szCs w:val="22"/>
        </w:rPr>
        <w:t>423,18 eur. Navrhované osobné výdavky medziročne rastú o 36</w:t>
      </w:r>
      <w:r>
        <w:rPr>
          <w:rFonts w:ascii="Times New Roman" w:hAnsi="Times New Roman"/>
          <w:bCs/>
          <w:szCs w:val="22"/>
        </w:rPr>
        <w:t>3 </w:t>
      </w:r>
      <w:r w:rsidRPr="00BA7777">
        <w:rPr>
          <w:rFonts w:ascii="Times New Roman" w:hAnsi="Times New Roman"/>
          <w:bCs/>
          <w:szCs w:val="22"/>
        </w:rPr>
        <w:t xml:space="preserve">mil. eur. </w:t>
      </w:r>
    </w:p>
    <w:p w:rsidR="003E1809" w:rsidRPr="001C2D9F" w:rsidRDefault="003E1809" w:rsidP="003E1809">
      <w:pPr>
        <w:ind w:firstLine="708"/>
        <w:rPr>
          <w:rFonts w:ascii="Times New Roman" w:hAnsi="Times New Roman"/>
          <w:bCs/>
          <w:szCs w:val="22"/>
          <w:u w:val="single"/>
        </w:rPr>
      </w:pPr>
      <w:r w:rsidRPr="001C2D9F">
        <w:rPr>
          <w:rFonts w:ascii="Times New Roman" w:hAnsi="Times New Roman"/>
          <w:bCs/>
          <w:szCs w:val="22"/>
          <w:u w:val="single"/>
        </w:rPr>
        <w:lastRenderedPageBreak/>
        <w:t xml:space="preserve">Osobné výdavky štátnych príspevkových organizácií </w:t>
      </w:r>
    </w:p>
    <w:p w:rsidR="003E1809" w:rsidRPr="00F072C1" w:rsidRDefault="003E1809" w:rsidP="003E1809">
      <w:pPr>
        <w:ind w:firstLine="708"/>
        <w:rPr>
          <w:rFonts w:ascii="Times New Roman" w:hAnsi="Times New Roman"/>
          <w:color w:val="FF0000"/>
          <w:szCs w:val="22"/>
          <w:highlight w:val="yellow"/>
        </w:rPr>
      </w:pPr>
    </w:p>
    <w:p w:rsidR="003E1809" w:rsidRDefault="003E1809" w:rsidP="003E1809">
      <w:pPr>
        <w:ind w:firstLine="709"/>
        <w:jc w:val="both"/>
        <w:rPr>
          <w:rFonts w:ascii="Times New Roman" w:hAnsi="Times New Roman"/>
          <w:color w:val="FF0000"/>
          <w:szCs w:val="22"/>
        </w:rPr>
      </w:pPr>
      <w:r w:rsidRPr="001C2D9F">
        <w:rPr>
          <w:rFonts w:ascii="Times New Roman" w:hAnsi="Times New Roman"/>
          <w:szCs w:val="22"/>
        </w:rPr>
        <w:t xml:space="preserve">Na rok 2019 </w:t>
      </w:r>
      <w:r>
        <w:rPr>
          <w:rFonts w:ascii="Times New Roman" w:hAnsi="Times New Roman"/>
          <w:szCs w:val="22"/>
        </w:rPr>
        <w:t xml:space="preserve">sa pre zamestnancov štátnych príspevkových organizácií kapitol štátneho rozpočtu zaradených do sektora verejnej správy rozpočtujú osobné výdavky pre 11 537 zamestnancov, čo je medziročne viac o 538 osôb. </w:t>
      </w:r>
      <w:r w:rsidRPr="000D1602">
        <w:rPr>
          <w:rFonts w:ascii="Times New Roman" w:hAnsi="Times New Roman"/>
          <w:szCs w:val="22"/>
        </w:rPr>
        <w:t xml:space="preserve">Na medziročnom zvýšení počtu zamestnancov má najväčší podiel aktualizácia orientačného počtu zamestnancov </w:t>
      </w:r>
      <w:r>
        <w:rPr>
          <w:rFonts w:ascii="Times New Roman" w:hAnsi="Times New Roman"/>
          <w:szCs w:val="22"/>
        </w:rPr>
        <w:t xml:space="preserve">podľa skutočného plnenia </w:t>
      </w:r>
      <w:r w:rsidRPr="000D1602">
        <w:rPr>
          <w:rFonts w:ascii="Times New Roman" w:hAnsi="Times New Roman"/>
          <w:szCs w:val="22"/>
        </w:rPr>
        <w:t>(Ministerstvo vnútra SR, Ministerstvo hospodárstva SR, Úrad vlády SR, Úrad pre normalizáciu, metrológiu a skúšobníctvo SR a Ministerstvo zdravotníctva SR).</w:t>
      </w:r>
      <w:r>
        <w:rPr>
          <w:rFonts w:ascii="Times New Roman" w:hAnsi="Times New Roman"/>
          <w:color w:val="FF0000"/>
          <w:szCs w:val="22"/>
        </w:rPr>
        <w:t xml:space="preserve"> </w:t>
      </w:r>
    </w:p>
    <w:p w:rsidR="003E1809" w:rsidRDefault="003E1809" w:rsidP="003E1809">
      <w:pPr>
        <w:ind w:firstLine="709"/>
        <w:jc w:val="both"/>
        <w:rPr>
          <w:rFonts w:ascii="Times New Roman" w:hAnsi="Times New Roman"/>
          <w:szCs w:val="22"/>
        </w:rPr>
      </w:pPr>
    </w:p>
    <w:p w:rsidR="003E1809" w:rsidRDefault="003E1809" w:rsidP="003E1809">
      <w:pPr>
        <w:ind w:firstLine="708"/>
        <w:jc w:val="both"/>
        <w:rPr>
          <w:rFonts w:ascii="Times New Roman" w:hAnsi="Times New Roman"/>
          <w:bCs/>
          <w:szCs w:val="22"/>
        </w:rPr>
      </w:pPr>
      <w:r w:rsidRPr="00FF5E81">
        <w:rPr>
          <w:rFonts w:ascii="Times New Roman" w:hAnsi="Times New Roman"/>
          <w:bCs/>
          <w:szCs w:val="22"/>
        </w:rPr>
        <w:t>Prehľad o skutočne dosiahnutých ukazovateľoch zamestnanosti v rokoch 201</w:t>
      </w:r>
      <w:r>
        <w:rPr>
          <w:rFonts w:ascii="Times New Roman" w:hAnsi="Times New Roman"/>
          <w:bCs/>
          <w:szCs w:val="22"/>
        </w:rPr>
        <w:t>6</w:t>
      </w:r>
      <w:r w:rsidRPr="00FF5E81">
        <w:rPr>
          <w:rFonts w:ascii="Times New Roman" w:hAnsi="Times New Roman"/>
          <w:bCs/>
          <w:szCs w:val="22"/>
        </w:rPr>
        <w:t xml:space="preserve"> a 201</w:t>
      </w:r>
      <w:r>
        <w:rPr>
          <w:rFonts w:ascii="Times New Roman" w:hAnsi="Times New Roman"/>
          <w:bCs/>
          <w:szCs w:val="22"/>
        </w:rPr>
        <w:t>7</w:t>
      </w:r>
      <w:r w:rsidRPr="00FF5E81">
        <w:rPr>
          <w:rFonts w:ascii="Times New Roman" w:hAnsi="Times New Roman"/>
          <w:bCs/>
          <w:szCs w:val="22"/>
        </w:rPr>
        <w:t>, o schválenom rozpočte a očakávanej skutočnosti na rok 2018</w:t>
      </w:r>
      <w:r>
        <w:rPr>
          <w:rFonts w:ascii="Times New Roman" w:hAnsi="Times New Roman"/>
          <w:bCs/>
          <w:szCs w:val="22"/>
        </w:rPr>
        <w:t xml:space="preserve"> a o</w:t>
      </w:r>
      <w:r w:rsidRPr="00FF5E81">
        <w:rPr>
          <w:rFonts w:ascii="Times New Roman" w:hAnsi="Times New Roman"/>
          <w:bCs/>
          <w:szCs w:val="22"/>
        </w:rPr>
        <w:t xml:space="preserve"> návrhu rozpočtu na roky 2019 až 2021 poskytuje priložená tabuľka.</w:t>
      </w:r>
    </w:p>
    <w:p w:rsidR="003E1809" w:rsidRDefault="003E1809" w:rsidP="003E1809">
      <w:pPr>
        <w:ind w:firstLine="708"/>
        <w:jc w:val="both"/>
        <w:rPr>
          <w:rFonts w:ascii="Times New Roman" w:hAnsi="Times New Roman"/>
          <w:bCs/>
          <w:szCs w:val="22"/>
        </w:rPr>
      </w:pPr>
    </w:p>
    <w:tbl>
      <w:tblPr>
        <w:tblW w:w="8960" w:type="dxa"/>
        <w:tblCellMar>
          <w:left w:w="70" w:type="dxa"/>
          <w:right w:w="70" w:type="dxa"/>
        </w:tblCellMar>
        <w:tblLook w:val="04A0" w:firstRow="1" w:lastRow="0" w:firstColumn="1" w:lastColumn="0" w:noHBand="0" w:noVBand="1"/>
      </w:tblPr>
      <w:tblGrid>
        <w:gridCol w:w="1740"/>
        <w:gridCol w:w="475"/>
        <w:gridCol w:w="960"/>
        <w:gridCol w:w="980"/>
        <w:gridCol w:w="980"/>
        <w:gridCol w:w="980"/>
        <w:gridCol w:w="980"/>
        <w:gridCol w:w="980"/>
        <w:gridCol w:w="980"/>
      </w:tblGrid>
      <w:tr w:rsidR="003E1809" w:rsidRPr="007D744D" w:rsidTr="003E1809">
        <w:trPr>
          <w:trHeight w:val="495"/>
        </w:trPr>
        <w:tc>
          <w:tcPr>
            <w:tcW w:w="2120" w:type="dxa"/>
            <w:gridSpan w:val="2"/>
            <w:tcBorders>
              <w:top w:val="single" w:sz="4" w:space="0" w:color="auto"/>
              <w:left w:val="single" w:sz="4" w:space="0" w:color="auto"/>
              <w:bottom w:val="single" w:sz="4" w:space="0" w:color="auto"/>
              <w:right w:val="single" w:sz="4" w:space="0" w:color="000000"/>
            </w:tcBorders>
            <w:shd w:val="clear" w:color="000000" w:fill="A6A6A6"/>
            <w:vAlign w:val="center"/>
            <w:hideMark/>
          </w:tcPr>
          <w:p w:rsidR="003E1809" w:rsidRPr="007D744D" w:rsidRDefault="003E1809" w:rsidP="003E1809">
            <w:pP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Príspevkové organizácie kapitol štátneho rozpočtu</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7D744D" w:rsidRDefault="003E1809" w:rsidP="003E1809">
            <w:pPr>
              <w:jc w:val="cente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2016 S</w:t>
            </w:r>
          </w:p>
        </w:tc>
        <w:tc>
          <w:tcPr>
            <w:tcW w:w="98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7D744D" w:rsidRDefault="003E1809" w:rsidP="003E1809">
            <w:pPr>
              <w:jc w:val="cente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2017 S</w:t>
            </w:r>
          </w:p>
        </w:tc>
        <w:tc>
          <w:tcPr>
            <w:tcW w:w="98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7D744D" w:rsidRDefault="003E1809" w:rsidP="003E1809">
            <w:pPr>
              <w:jc w:val="cente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2018 R</w:t>
            </w:r>
          </w:p>
        </w:tc>
        <w:tc>
          <w:tcPr>
            <w:tcW w:w="98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7D744D" w:rsidRDefault="003E1809" w:rsidP="003E1809">
            <w:pPr>
              <w:jc w:val="cente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2018 OS</w:t>
            </w:r>
          </w:p>
        </w:tc>
        <w:tc>
          <w:tcPr>
            <w:tcW w:w="98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7D744D" w:rsidRDefault="003E1809" w:rsidP="003E1809">
            <w:pPr>
              <w:jc w:val="cente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2019 N</w:t>
            </w:r>
          </w:p>
        </w:tc>
        <w:tc>
          <w:tcPr>
            <w:tcW w:w="98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7D744D" w:rsidRDefault="003E1809" w:rsidP="003E1809">
            <w:pPr>
              <w:jc w:val="cente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2020 N</w:t>
            </w:r>
          </w:p>
        </w:tc>
        <w:tc>
          <w:tcPr>
            <w:tcW w:w="98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7D744D" w:rsidRDefault="003E1809" w:rsidP="003E1809">
            <w:pPr>
              <w:jc w:val="cente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2021 N</w:t>
            </w:r>
          </w:p>
        </w:tc>
      </w:tr>
      <w:tr w:rsidR="003E1809" w:rsidRPr="007D744D" w:rsidTr="003E1809">
        <w:trPr>
          <w:trHeight w:val="270"/>
        </w:trPr>
        <w:tc>
          <w:tcPr>
            <w:tcW w:w="1740" w:type="dxa"/>
            <w:tcBorders>
              <w:top w:val="nil"/>
              <w:left w:val="single" w:sz="4" w:space="0" w:color="auto"/>
              <w:bottom w:val="nil"/>
              <w:right w:val="single" w:sz="4" w:space="0" w:color="auto"/>
            </w:tcBorders>
            <w:shd w:val="clear" w:color="auto" w:fill="auto"/>
            <w:noWrap/>
            <w:vAlign w:val="center"/>
            <w:hideMark/>
          </w:tcPr>
          <w:p w:rsidR="003E1809" w:rsidRPr="007D744D" w:rsidRDefault="003E1809" w:rsidP="003E1809">
            <w:pPr>
              <w:rPr>
                <w:rFonts w:ascii="Times New Roman" w:hAnsi="Times New Roman" w:cs="Times New Roman"/>
                <w:sz w:val="14"/>
                <w:szCs w:val="14"/>
                <w:lang w:eastAsia="sk-SK"/>
              </w:rPr>
            </w:pPr>
            <w:r w:rsidRPr="007D744D">
              <w:rPr>
                <w:rFonts w:ascii="Times New Roman" w:hAnsi="Times New Roman" w:cs="Times New Roman"/>
                <w:sz w:val="14"/>
                <w:szCs w:val="14"/>
                <w:lang w:eastAsia="sk-SK"/>
              </w:rPr>
              <w:t>Počet zamestnancov</w:t>
            </w:r>
          </w:p>
        </w:tc>
        <w:tc>
          <w:tcPr>
            <w:tcW w:w="380" w:type="dxa"/>
            <w:tcBorders>
              <w:top w:val="nil"/>
              <w:left w:val="nil"/>
              <w:bottom w:val="nil"/>
              <w:right w:val="single" w:sz="4" w:space="0" w:color="auto"/>
            </w:tcBorders>
            <w:shd w:val="clear" w:color="auto" w:fill="auto"/>
            <w:noWrap/>
            <w:vAlign w:val="center"/>
            <w:hideMark/>
          </w:tcPr>
          <w:p w:rsidR="003E1809" w:rsidRPr="007D744D" w:rsidRDefault="003E1809" w:rsidP="003E1809">
            <w:pPr>
              <w:jc w:val="center"/>
              <w:rPr>
                <w:rFonts w:ascii="Times New Roman" w:hAnsi="Times New Roman" w:cs="Times New Roman"/>
                <w:sz w:val="14"/>
                <w:szCs w:val="14"/>
                <w:lang w:eastAsia="sk-SK"/>
              </w:rPr>
            </w:pPr>
            <w:r w:rsidRPr="007D744D">
              <w:rPr>
                <w:rFonts w:ascii="Times New Roman" w:hAnsi="Times New Roman" w:cs="Times New Roman"/>
                <w:sz w:val="14"/>
                <w:szCs w:val="14"/>
                <w:lang w:eastAsia="sk-SK"/>
              </w:rPr>
              <w:t>osoby</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11 166</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11 617</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10 999</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11 854</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11 537</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11 542</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11 542</w:t>
            </w:r>
          </w:p>
        </w:tc>
      </w:tr>
      <w:tr w:rsidR="003E1809" w:rsidRPr="007D744D" w:rsidTr="003E1809">
        <w:trPr>
          <w:trHeight w:val="270"/>
        </w:trPr>
        <w:tc>
          <w:tcPr>
            <w:tcW w:w="1740" w:type="dxa"/>
            <w:tcBorders>
              <w:top w:val="single" w:sz="4" w:space="0" w:color="auto"/>
              <w:left w:val="single" w:sz="4" w:space="0" w:color="auto"/>
              <w:bottom w:val="nil"/>
              <w:right w:val="single" w:sz="4" w:space="0" w:color="auto"/>
            </w:tcBorders>
            <w:shd w:val="clear" w:color="auto" w:fill="auto"/>
            <w:noWrap/>
            <w:vAlign w:val="center"/>
            <w:hideMark/>
          </w:tcPr>
          <w:p w:rsidR="003E1809" w:rsidRPr="007D744D" w:rsidRDefault="003E1809" w:rsidP="003E1809">
            <w:pP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Osobné výdavky</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rsidR="003E1809" w:rsidRPr="007D744D" w:rsidRDefault="003E1809" w:rsidP="003E1809">
            <w:pPr>
              <w:jc w:val="cente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eur</w:t>
            </w:r>
          </w:p>
        </w:tc>
        <w:tc>
          <w:tcPr>
            <w:tcW w:w="960" w:type="dxa"/>
            <w:tcBorders>
              <w:top w:val="nil"/>
              <w:left w:val="nil"/>
              <w:bottom w:val="single" w:sz="4" w:space="0" w:color="auto"/>
              <w:right w:val="single" w:sz="4" w:space="0" w:color="auto"/>
            </w:tcBorders>
            <w:shd w:val="clear" w:color="000000" w:fill="FFFFFF"/>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172 657 000</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193 672 000</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181 308 758</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208 372 000</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213 618 901</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236 756 358</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242 172 234</w:t>
            </w:r>
          </w:p>
        </w:tc>
      </w:tr>
      <w:tr w:rsidR="003E1809" w:rsidRPr="007D744D" w:rsidTr="003E1809">
        <w:trPr>
          <w:trHeight w:val="270"/>
        </w:trPr>
        <w:tc>
          <w:tcPr>
            <w:tcW w:w="1740" w:type="dxa"/>
            <w:tcBorders>
              <w:top w:val="single" w:sz="4" w:space="0" w:color="auto"/>
              <w:left w:val="single" w:sz="4" w:space="0" w:color="auto"/>
              <w:bottom w:val="nil"/>
              <w:right w:val="single" w:sz="4" w:space="0" w:color="auto"/>
            </w:tcBorders>
            <w:shd w:val="clear" w:color="auto" w:fill="auto"/>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z toho:  mzdové výdavky</w:t>
            </w:r>
          </w:p>
        </w:tc>
        <w:tc>
          <w:tcPr>
            <w:tcW w:w="3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center"/>
              <w:rPr>
                <w:rFonts w:ascii="Times New Roman" w:hAnsi="Times New Roman" w:cs="Times New Roman"/>
                <w:sz w:val="14"/>
                <w:szCs w:val="14"/>
                <w:lang w:eastAsia="sk-SK"/>
              </w:rPr>
            </w:pPr>
            <w:r w:rsidRPr="007D744D">
              <w:rPr>
                <w:rFonts w:ascii="Times New Roman" w:hAnsi="Times New Roman" w:cs="Times New Roman"/>
                <w:sz w:val="14"/>
                <w:szCs w:val="14"/>
                <w:lang w:eastAsia="sk-SK"/>
              </w:rPr>
              <w:t>eur</w:t>
            </w:r>
          </w:p>
        </w:tc>
        <w:tc>
          <w:tcPr>
            <w:tcW w:w="960" w:type="dxa"/>
            <w:tcBorders>
              <w:top w:val="nil"/>
              <w:left w:val="nil"/>
              <w:bottom w:val="single" w:sz="4" w:space="0" w:color="auto"/>
              <w:right w:val="single" w:sz="4" w:space="0" w:color="auto"/>
            </w:tcBorders>
            <w:shd w:val="clear" w:color="000000" w:fill="FFFFFF"/>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126 634 000</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141 716 000</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132 793 459</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151 784 000</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156 457 419</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173 659 965</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sz w:val="14"/>
                <w:szCs w:val="14"/>
                <w:lang w:eastAsia="sk-SK"/>
              </w:rPr>
            </w:pPr>
            <w:r w:rsidRPr="007D744D">
              <w:rPr>
                <w:rFonts w:ascii="Times New Roman" w:hAnsi="Times New Roman" w:cs="Times New Roman"/>
                <w:sz w:val="14"/>
                <w:szCs w:val="14"/>
                <w:lang w:eastAsia="sk-SK"/>
              </w:rPr>
              <w:t>177 656 654</w:t>
            </w:r>
          </w:p>
        </w:tc>
      </w:tr>
      <w:tr w:rsidR="003E1809" w:rsidRPr="007D744D" w:rsidTr="003E1809">
        <w:trPr>
          <w:trHeight w:val="270"/>
        </w:trPr>
        <w:tc>
          <w:tcPr>
            <w:tcW w:w="1740" w:type="dxa"/>
            <w:tcBorders>
              <w:top w:val="single" w:sz="4" w:space="0" w:color="auto"/>
              <w:left w:val="single" w:sz="4" w:space="0" w:color="auto"/>
              <w:bottom w:val="single" w:sz="4" w:space="0" w:color="auto"/>
              <w:right w:val="nil"/>
            </w:tcBorders>
            <w:shd w:val="clear" w:color="auto" w:fill="auto"/>
            <w:noWrap/>
            <w:vAlign w:val="center"/>
            <w:hideMark/>
          </w:tcPr>
          <w:p w:rsidR="003E1809" w:rsidRPr="007D744D" w:rsidRDefault="003E1809" w:rsidP="003E1809">
            <w:pP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Priemerný mzdový výdavok</w:t>
            </w:r>
          </w:p>
        </w:tc>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3E1809" w:rsidRPr="007D744D" w:rsidRDefault="003E1809" w:rsidP="003E1809">
            <w:pPr>
              <w:jc w:val="center"/>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eur</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945,09</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1 016,58</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1 006,10</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1 067,04</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1 130,11</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1 253,83</w:t>
            </w:r>
          </w:p>
        </w:tc>
        <w:tc>
          <w:tcPr>
            <w:tcW w:w="980" w:type="dxa"/>
            <w:tcBorders>
              <w:top w:val="nil"/>
              <w:left w:val="nil"/>
              <w:bottom w:val="single" w:sz="4" w:space="0" w:color="auto"/>
              <w:right w:val="single" w:sz="4" w:space="0" w:color="auto"/>
            </w:tcBorders>
            <w:shd w:val="clear" w:color="auto" w:fill="auto"/>
            <w:noWrap/>
            <w:vAlign w:val="center"/>
            <w:hideMark/>
          </w:tcPr>
          <w:p w:rsidR="003E1809" w:rsidRPr="007D744D" w:rsidRDefault="003E1809" w:rsidP="003E1809">
            <w:pPr>
              <w:jc w:val="right"/>
              <w:rPr>
                <w:rFonts w:ascii="Times New Roman" w:hAnsi="Times New Roman" w:cs="Times New Roman"/>
                <w:b/>
                <w:bCs/>
                <w:sz w:val="14"/>
                <w:szCs w:val="14"/>
                <w:lang w:eastAsia="sk-SK"/>
              </w:rPr>
            </w:pPr>
            <w:r w:rsidRPr="007D744D">
              <w:rPr>
                <w:rFonts w:ascii="Times New Roman" w:hAnsi="Times New Roman" w:cs="Times New Roman"/>
                <w:b/>
                <w:bCs/>
                <w:sz w:val="14"/>
                <w:szCs w:val="14"/>
                <w:lang w:eastAsia="sk-SK"/>
              </w:rPr>
              <w:t>1 282,68</w:t>
            </w:r>
          </w:p>
        </w:tc>
      </w:tr>
      <w:tr w:rsidR="003E1809" w:rsidRPr="007D744D" w:rsidTr="003E1809">
        <w:trPr>
          <w:trHeight w:val="405"/>
        </w:trPr>
        <w:tc>
          <w:tcPr>
            <w:tcW w:w="8960" w:type="dxa"/>
            <w:gridSpan w:val="9"/>
            <w:tcBorders>
              <w:top w:val="single" w:sz="4" w:space="0" w:color="auto"/>
              <w:left w:val="nil"/>
              <w:bottom w:val="nil"/>
              <w:right w:val="nil"/>
            </w:tcBorders>
            <w:shd w:val="clear" w:color="auto" w:fill="auto"/>
            <w:vAlign w:val="center"/>
            <w:hideMark/>
          </w:tcPr>
          <w:p w:rsidR="003E1809" w:rsidRPr="007D744D" w:rsidRDefault="003E1809" w:rsidP="003E1809">
            <w:pPr>
              <w:jc w:val="both"/>
              <w:rPr>
                <w:rFonts w:ascii="Times New Roman" w:hAnsi="Times New Roman" w:cs="Times New Roman"/>
                <w:sz w:val="14"/>
                <w:szCs w:val="14"/>
                <w:lang w:eastAsia="sk-SK"/>
              </w:rPr>
            </w:pPr>
            <w:r w:rsidRPr="007D744D">
              <w:rPr>
                <w:rFonts w:ascii="Times New Roman" w:hAnsi="Times New Roman" w:cs="Times New Roman"/>
                <w:sz w:val="14"/>
                <w:szCs w:val="14"/>
                <w:lang w:eastAsia="sk-SK"/>
              </w:rPr>
              <w:t xml:space="preserve">S 2016 a 2017 v osobných výdavkoch - Štátny záverečný účet SR. OS 2018 v počtoch zamestnancov zohľadňuje údaje zo štatistiky za 1. polrok 2018 a v osobných výdavkoch odhad čerpania EÚ zdrojov a spolufinancovania zo ŠR. NRVS 2019 až 2021 zohľadňuje </w:t>
            </w:r>
            <w:r>
              <w:rPr>
                <w:rFonts w:ascii="Times New Roman" w:hAnsi="Times New Roman" w:cs="Times New Roman"/>
                <w:sz w:val="14"/>
                <w:szCs w:val="14"/>
                <w:lang w:eastAsia="sk-SK"/>
              </w:rPr>
              <w:t xml:space="preserve">všetky zdroje a valorizáciu </w:t>
            </w:r>
            <w:r w:rsidRPr="007D744D">
              <w:rPr>
                <w:rFonts w:ascii="Times New Roman" w:hAnsi="Times New Roman" w:cs="Times New Roman"/>
                <w:sz w:val="14"/>
                <w:szCs w:val="14"/>
                <w:lang w:eastAsia="sk-SK"/>
              </w:rPr>
              <w:t>vrátane zmeny systému odmeňovania.</w:t>
            </w:r>
          </w:p>
        </w:tc>
      </w:tr>
    </w:tbl>
    <w:p w:rsidR="003E1809" w:rsidRPr="00FF5E81" w:rsidRDefault="003E1809" w:rsidP="003E1809">
      <w:pPr>
        <w:jc w:val="both"/>
        <w:rPr>
          <w:rFonts w:ascii="Times New Roman" w:hAnsi="Times New Roman"/>
          <w:bCs/>
          <w:szCs w:val="22"/>
        </w:rPr>
      </w:pPr>
    </w:p>
    <w:p w:rsidR="003E1809" w:rsidRPr="00DB295B" w:rsidRDefault="003E1809" w:rsidP="003E1809">
      <w:pPr>
        <w:ind w:firstLine="709"/>
        <w:jc w:val="both"/>
        <w:rPr>
          <w:rFonts w:ascii="Times New Roman" w:hAnsi="Times New Roman"/>
          <w:szCs w:val="22"/>
        </w:rPr>
      </w:pPr>
      <w:bookmarkStart w:id="56" w:name="_Toc273393359"/>
      <w:r w:rsidRPr="00DB295B">
        <w:rPr>
          <w:rFonts w:ascii="Times New Roman" w:hAnsi="Times New Roman"/>
          <w:szCs w:val="22"/>
        </w:rPr>
        <w:t xml:space="preserve">V roku 2019 sa pre zamestnancov príspevkových organizácií rozpočtujú osobné výdavky v sume </w:t>
      </w:r>
      <w:r>
        <w:rPr>
          <w:rFonts w:ascii="Times New Roman" w:hAnsi="Times New Roman"/>
          <w:szCs w:val="22"/>
        </w:rPr>
        <w:t>214 </w:t>
      </w:r>
      <w:r w:rsidRPr="00DB295B">
        <w:rPr>
          <w:rFonts w:ascii="Times New Roman" w:hAnsi="Times New Roman"/>
          <w:szCs w:val="22"/>
        </w:rPr>
        <w:t>mil. eur, v tom mzdy a platy v sume 15</w:t>
      </w:r>
      <w:r>
        <w:rPr>
          <w:rFonts w:ascii="Times New Roman" w:hAnsi="Times New Roman"/>
          <w:szCs w:val="22"/>
        </w:rPr>
        <w:t>6 </w:t>
      </w:r>
      <w:r w:rsidRPr="00DB295B">
        <w:rPr>
          <w:rFonts w:ascii="Times New Roman" w:hAnsi="Times New Roman"/>
          <w:szCs w:val="22"/>
        </w:rPr>
        <w:t>mil.</w:t>
      </w:r>
      <w:r>
        <w:rPr>
          <w:rFonts w:ascii="Times New Roman" w:hAnsi="Times New Roman"/>
          <w:szCs w:val="22"/>
        </w:rPr>
        <w:t> </w:t>
      </w:r>
      <w:r w:rsidRPr="00DB295B">
        <w:rPr>
          <w:rFonts w:ascii="Times New Roman" w:hAnsi="Times New Roman"/>
          <w:szCs w:val="22"/>
        </w:rPr>
        <w:t>eur. Predpokladá sa dosiahnutie priemerného mzdového výdavku na úrovni 1</w:t>
      </w:r>
      <w:r>
        <w:rPr>
          <w:rFonts w:ascii="Times New Roman" w:hAnsi="Times New Roman"/>
          <w:szCs w:val="22"/>
        </w:rPr>
        <w:t> 130,11</w:t>
      </w:r>
      <w:r w:rsidRPr="00DB295B">
        <w:rPr>
          <w:rFonts w:ascii="Times New Roman" w:hAnsi="Times New Roman"/>
          <w:szCs w:val="22"/>
        </w:rPr>
        <w:t xml:space="preserve"> eur. </w:t>
      </w:r>
    </w:p>
    <w:p w:rsidR="00B5225B" w:rsidRDefault="00B5225B" w:rsidP="003E1809">
      <w:pPr>
        <w:ind w:left="720"/>
        <w:rPr>
          <w:rFonts w:ascii="Times New Roman" w:hAnsi="Times New Roman"/>
          <w:bCs/>
          <w:szCs w:val="22"/>
          <w:u w:val="single"/>
        </w:rPr>
      </w:pPr>
    </w:p>
    <w:p w:rsidR="003E1809" w:rsidRPr="009202CA" w:rsidRDefault="003E1809" w:rsidP="003E1809">
      <w:pPr>
        <w:ind w:left="720"/>
        <w:rPr>
          <w:rFonts w:ascii="Times New Roman" w:hAnsi="Times New Roman"/>
          <w:bCs/>
          <w:i/>
          <w:iCs/>
          <w:szCs w:val="22"/>
          <w:u w:val="single"/>
        </w:rPr>
      </w:pPr>
      <w:r w:rsidRPr="009202CA">
        <w:rPr>
          <w:rFonts w:ascii="Times New Roman" w:hAnsi="Times New Roman"/>
          <w:bCs/>
          <w:szCs w:val="22"/>
          <w:u w:val="single"/>
        </w:rPr>
        <w:t>Osobné výdavky regionálneho školstva financovaného zo štátneho rozpočtu</w:t>
      </w:r>
    </w:p>
    <w:p w:rsidR="003E1809" w:rsidRPr="009202CA" w:rsidRDefault="003E1809" w:rsidP="003E1809">
      <w:pPr>
        <w:ind w:firstLine="709"/>
        <w:jc w:val="both"/>
        <w:rPr>
          <w:rFonts w:ascii="Times New Roman" w:hAnsi="Times New Roman"/>
          <w:color w:val="FF0000"/>
          <w:szCs w:val="22"/>
        </w:rPr>
      </w:pPr>
    </w:p>
    <w:p w:rsidR="003E1809" w:rsidRDefault="003E1809" w:rsidP="003E1809">
      <w:pPr>
        <w:ind w:firstLine="709"/>
        <w:jc w:val="both"/>
        <w:rPr>
          <w:rFonts w:ascii="Times New Roman" w:hAnsi="Times New Roman"/>
          <w:szCs w:val="22"/>
        </w:rPr>
      </w:pPr>
      <w:r>
        <w:rPr>
          <w:rFonts w:ascii="Times New Roman" w:hAnsi="Times New Roman"/>
          <w:szCs w:val="22"/>
        </w:rPr>
        <w:t xml:space="preserve">Pre zamestnancov regionálneho školstva financovaného z kapitol Ministerstva vnútra </w:t>
      </w:r>
      <w:r w:rsidRPr="008451AE">
        <w:rPr>
          <w:rFonts w:ascii="Times New Roman" w:hAnsi="Times New Roman"/>
          <w:szCs w:val="22"/>
        </w:rPr>
        <w:t>SR a Ministerstva školstva, vedy, výskumu a športu SR sa na rok 2019 navrhujú osobné výdavky v sume 1,40</w:t>
      </w:r>
      <w:r>
        <w:rPr>
          <w:rFonts w:ascii="Times New Roman" w:hAnsi="Times New Roman"/>
          <w:szCs w:val="22"/>
        </w:rPr>
        <w:t> </w:t>
      </w:r>
      <w:r w:rsidRPr="008451AE">
        <w:rPr>
          <w:rFonts w:ascii="Times New Roman" w:hAnsi="Times New Roman"/>
          <w:szCs w:val="22"/>
        </w:rPr>
        <w:t>mld. eur, v tom mzdy v sume 1,03</w:t>
      </w:r>
      <w:r>
        <w:rPr>
          <w:rFonts w:ascii="Times New Roman" w:hAnsi="Times New Roman"/>
          <w:szCs w:val="22"/>
        </w:rPr>
        <w:t> </w:t>
      </w:r>
      <w:r w:rsidRPr="008451AE">
        <w:rPr>
          <w:rFonts w:ascii="Times New Roman" w:hAnsi="Times New Roman"/>
          <w:szCs w:val="22"/>
        </w:rPr>
        <w:t>ml</w:t>
      </w:r>
      <w:r>
        <w:rPr>
          <w:rFonts w:ascii="Times New Roman" w:hAnsi="Times New Roman"/>
          <w:szCs w:val="22"/>
        </w:rPr>
        <w:t>d</w:t>
      </w:r>
      <w:r w:rsidRPr="008451AE">
        <w:rPr>
          <w:rFonts w:ascii="Times New Roman" w:hAnsi="Times New Roman"/>
          <w:szCs w:val="22"/>
        </w:rPr>
        <w:t>. eur.</w:t>
      </w:r>
      <w:r w:rsidRPr="008451AE">
        <w:rPr>
          <w:rFonts w:ascii="Times New Roman" w:hAnsi="Times New Roman"/>
          <w:color w:val="FF0000"/>
          <w:szCs w:val="22"/>
        </w:rPr>
        <w:t xml:space="preserve"> </w:t>
      </w:r>
      <w:r w:rsidRPr="008451AE">
        <w:rPr>
          <w:rFonts w:ascii="Times New Roman" w:hAnsi="Times New Roman"/>
          <w:szCs w:val="22"/>
        </w:rPr>
        <w:t xml:space="preserve">Po zohľadnení rezervy </w:t>
      </w:r>
      <w:r>
        <w:rPr>
          <w:rFonts w:ascii="Times New Roman" w:hAnsi="Times New Roman"/>
          <w:szCs w:val="22"/>
        </w:rPr>
        <w:t xml:space="preserve">rozpočtovanej v kapitole VPS </w:t>
      </w:r>
      <w:r w:rsidRPr="008451AE">
        <w:rPr>
          <w:rFonts w:ascii="Times New Roman" w:hAnsi="Times New Roman"/>
          <w:szCs w:val="22"/>
        </w:rPr>
        <w:t>na zvýšenie platových taríf pedagogických zamestnancov a odborných zamestnancov o</w:t>
      </w:r>
      <w:r>
        <w:rPr>
          <w:rFonts w:ascii="Times New Roman" w:hAnsi="Times New Roman"/>
          <w:szCs w:val="22"/>
        </w:rPr>
        <w:t> </w:t>
      </w:r>
      <w:r w:rsidRPr="008451AE">
        <w:rPr>
          <w:rFonts w:ascii="Times New Roman" w:hAnsi="Times New Roman"/>
          <w:szCs w:val="22"/>
        </w:rPr>
        <w:t>10</w:t>
      </w:r>
      <w:r>
        <w:rPr>
          <w:rFonts w:ascii="Times New Roman" w:hAnsi="Times New Roman"/>
          <w:szCs w:val="22"/>
        </w:rPr>
        <w:t> </w:t>
      </w:r>
      <w:r w:rsidRPr="008451AE">
        <w:rPr>
          <w:rFonts w:ascii="Times New Roman" w:hAnsi="Times New Roman"/>
          <w:szCs w:val="22"/>
        </w:rPr>
        <w:t>%</w:t>
      </w:r>
      <w:r>
        <w:rPr>
          <w:rFonts w:ascii="Times New Roman" w:hAnsi="Times New Roman"/>
          <w:szCs w:val="22"/>
        </w:rPr>
        <w:t>,</w:t>
      </w:r>
      <w:r w:rsidRPr="008451AE">
        <w:rPr>
          <w:rFonts w:ascii="Times New Roman" w:hAnsi="Times New Roman"/>
          <w:szCs w:val="22"/>
        </w:rPr>
        <w:t xml:space="preserve"> </w:t>
      </w:r>
      <w:r>
        <w:rPr>
          <w:rFonts w:ascii="Times New Roman" w:hAnsi="Times New Roman"/>
          <w:szCs w:val="22"/>
        </w:rPr>
        <w:t>na</w:t>
      </w:r>
      <w:r w:rsidRPr="008451AE">
        <w:rPr>
          <w:rFonts w:ascii="Times New Roman" w:hAnsi="Times New Roman"/>
          <w:szCs w:val="22"/>
        </w:rPr>
        <w:t xml:space="preserve"> rozšíreni</w:t>
      </w:r>
      <w:r>
        <w:rPr>
          <w:rFonts w:ascii="Times New Roman" w:hAnsi="Times New Roman"/>
          <w:szCs w:val="22"/>
        </w:rPr>
        <w:t>e</w:t>
      </w:r>
      <w:r w:rsidRPr="008451AE">
        <w:rPr>
          <w:rFonts w:ascii="Times New Roman" w:hAnsi="Times New Roman"/>
          <w:szCs w:val="22"/>
        </w:rPr>
        <w:t xml:space="preserve"> ich </w:t>
      </w:r>
      <w:r>
        <w:rPr>
          <w:rFonts w:ascii="Times New Roman" w:hAnsi="Times New Roman"/>
          <w:szCs w:val="22"/>
        </w:rPr>
        <w:t xml:space="preserve">započítanej praxe, na </w:t>
      </w:r>
      <w:r w:rsidRPr="008451AE">
        <w:rPr>
          <w:rFonts w:ascii="Times New Roman" w:hAnsi="Times New Roman"/>
          <w:szCs w:val="22"/>
        </w:rPr>
        <w:t>realizáci</w:t>
      </w:r>
      <w:r>
        <w:rPr>
          <w:rFonts w:ascii="Times New Roman" w:hAnsi="Times New Roman"/>
          <w:szCs w:val="22"/>
        </w:rPr>
        <w:t>u</w:t>
      </w:r>
      <w:r w:rsidRPr="008451AE">
        <w:rPr>
          <w:rFonts w:ascii="Times New Roman" w:hAnsi="Times New Roman"/>
          <w:szCs w:val="22"/>
        </w:rPr>
        <w:t xml:space="preserve"> zvýhodnenia odmeňovania začínajúcich učiteľov</w:t>
      </w:r>
      <w:r>
        <w:rPr>
          <w:rFonts w:ascii="Times New Roman" w:hAnsi="Times New Roman"/>
          <w:szCs w:val="22"/>
        </w:rPr>
        <w:t xml:space="preserve"> od 1. septembra 2019 a</w:t>
      </w:r>
      <w:r w:rsidRPr="008451AE">
        <w:rPr>
          <w:rFonts w:ascii="Times New Roman" w:hAnsi="Times New Roman"/>
          <w:szCs w:val="22"/>
        </w:rPr>
        <w:t> po zohľadnení rezervy na realizáciu novely zákona č.</w:t>
      </w:r>
      <w:r>
        <w:rPr>
          <w:rFonts w:ascii="Times New Roman" w:hAnsi="Times New Roman"/>
          <w:szCs w:val="22"/>
        </w:rPr>
        <w:t> </w:t>
      </w:r>
      <w:r w:rsidRPr="008451AE">
        <w:rPr>
          <w:rFonts w:ascii="Times New Roman" w:hAnsi="Times New Roman"/>
          <w:szCs w:val="22"/>
        </w:rPr>
        <w:t>553/2003</w:t>
      </w:r>
      <w:r>
        <w:rPr>
          <w:rFonts w:ascii="Times New Roman" w:hAnsi="Times New Roman"/>
          <w:szCs w:val="22"/>
        </w:rPr>
        <w:t> </w:t>
      </w:r>
      <w:r w:rsidRPr="008451AE">
        <w:rPr>
          <w:rFonts w:ascii="Times New Roman" w:hAnsi="Times New Roman"/>
          <w:szCs w:val="22"/>
        </w:rPr>
        <w:t>Z.</w:t>
      </w:r>
      <w:r>
        <w:rPr>
          <w:rFonts w:ascii="Times New Roman" w:hAnsi="Times New Roman"/>
          <w:szCs w:val="22"/>
        </w:rPr>
        <w:t> </w:t>
      </w:r>
      <w:r w:rsidRPr="008451AE">
        <w:rPr>
          <w:rFonts w:ascii="Times New Roman" w:hAnsi="Times New Roman"/>
          <w:szCs w:val="22"/>
        </w:rPr>
        <w:t>z. o odmeňovaní niektorých zamestnancov pri výkone práce vo verejnom záujme pre ostatnýc</w:t>
      </w:r>
      <w:r>
        <w:rPr>
          <w:rFonts w:ascii="Times New Roman" w:hAnsi="Times New Roman"/>
          <w:szCs w:val="22"/>
        </w:rPr>
        <w:t xml:space="preserve">h nepedagogických zamestnancov možno predpokladať </w:t>
      </w:r>
      <w:r w:rsidRPr="001C2514">
        <w:rPr>
          <w:rFonts w:ascii="Times New Roman" w:hAnsi="Times New Roman"/>
          <w:szCs w:val="22"/>
        </w:rPr>
        <w:t xml:space="preserve">osobné výdavky </w:t>
      </w:r>
      <w:r>
        <w:rPr>
          <w:rFonts w:ascii="Times New Roman" w:hAnsi="Times New Roman"/>
          <w:szCs w:val="22"/>
        </w:rPr>
        <w:t xml:space="preserve">na </w:t>
      </w:r>
      <w:r w:rsidRPr="001C2514">
        <w:rPr>
          <w:rFonts w:ascii="Times New Roman" w:hAnsi="Times New Roman"/>
          <w:szCs w:val="22"/>
        </w:rPr>
        <w:t>úrov</w:t>
      </w:r>
      <w:r>
        <w:rPr>
          <w:rFonts w:ascii="Times New Roman" w:hAnsi="Times New Roman"/>
          <w:szCs w:val="22"/>
        </w:rPr>
        <w:t>ni</w:t>
      </w:r>
      <w:r w:rsidRPr="001C2514">
        <w:rPr>
          <w:rFonts w:ascii="Times New Roman" w:hAnsi="Times New Roman"/>
          <w:szCs w:val="22"/>
        </w:rPr>
        <w:t xml:space="preserve"> 1,57</w:t>
      </w:r>
      <w:r>
        <w:rPr>
          <w:rFonts w:ascii="Times New Roman" w:hAnsi="Times New Roman"/>
          <w:szCs w:val="22"/>
        </w:rPr>
        <w:t> </w:t>
      </w:r>
      <w:r w:rsidRPr="001C2514">
        <w:rPr>
          <w:rFonts w:ascii="Times New Roman" w:hAnsi="Times New Roman"/>
          <w:szCs w:val="22"/>
        </w:rPr>
        <w:t>mld.</w:t>
      </w:r>
      <w:r>
        <w:rPr>
          <w:rFonts w:ascii="Times New Roman" w:hAnsi="Times New Roman"/>
          <w:szCs w:val="22"/>
        </w:rPr>
        <w:t> </w:t>
      </w:r>
      <w:r w:rsidRPr="001C2514">
        <w:rPr>
          <w:rFonts w:ascii="Times New Roman" w:hAnsi="Times New Roman"/>
          <w:szCs w:val="22"/>
        </w:rPr>
        <w:t>eur, v tom výdavky na mzdy 1,16</w:t>
      </w:r>
      <w:r>
        <w:rPr>
          <w:rFonts w:ascii="Times New Roman" w:hAnsi="Times New Roman"/>
          <w:szCs w:val="22"/>
        </w:rPr>
        <w:t> </w:t>
      </w:r>
      <w:r w:rsidRPr="001C2514">
        <w:rPr>
          <w:rFonts w:ascii="Times New Roman" w:hAnsi="Times New Roman"/>
          <w:szCs w:val="22"/>
        </w:rPr>
        <w:t>mld.</w:t>
      </w:r>
      <w:r>
        <w:rPr>
          <w:rFonts w:ascii="Times New Roman" w:hAnsi="Times New Roman"/>
          <w:szCs w:val="22"/>
        </w:rPr>
        <w:t> </w:t>
      </w:r>
      <w:r w:rsidRPr="001C2514">
        <w:rPr>
          <w:rFonts w:ascii="Times New Roman" w:hAnsi="Times New Roman"/>
          <w:szCs w:val="22"/>
        </w:rPr>
        <w:t>eur</w:t>
      </w:r>
      <w:r>
        <w:rPr>
          <w:rFonts w:ascii="Times New Roman" w:hAnsi="Times New Roman"/>
          <w:szCs w:val="22"/>
        </w:rPr>
        <w:t xml:space="preserve">. Za vyššie uvedených podmienok v </w:t>
      </w:r>
      <w:r w:rsidRPr="0053604C">
        <w:rPr>
          <w:rFonts w:ascii="Times New Roman" w:hAnsi="Times New Roman"/>
          <w:szCs w:val="22"/>
        </w:rPr>
        <w:t>roku 2020</w:t>
      </w:r>
      <w:r>
        <w:rPr>
          <w:rFonts w:ascii="Times New Roman" w:hAnsi="Times New Roman"/>
          <w:szCs w:val="22"/>
        </w:rPr>
        <w:t xml:space="preserve">, po zohľadnení ďalšej 10% valorizácie je možné očakávať osobné výdavky na </w:t>
      </w:r>
      <w:r w:rsidRPr="0053604C">
        <w:rPr>
          <w:rFonts w:ascii="Times New Roman" w:hAnsi="Times New Roman"/>
          <w:szCs w:val="22"/>
        </w:rPr>
        <w:t>úrov</w:t>
      </w:r>
      <w:r>
        <w:rPr>
          <w:rFonts w:ascii="Times New Roman" w:hAnsi="Times New Roman"/>
          <w:szCs w:val="22"/>
        </w:rPr>
        <w:t>ni</w:t>
      </w:r>
      <w:r w:rsidRPr="0053604C">
        <w:rPr>
          <w:rFonts w:ascii="Times New Roman" w:hAnsi="Times New Roman"/>
          <w:szCs w:val="22"/>
        </w:rPr>
        <w:t xml:space="preserve"> 1,7</w:t>
      </w:r>
      <w:r>
        <w:rPr>
          <w:rFonts w:ascii="Times New Roman" w:hAnsi="Times New Roman"/>
          <w:szCs w:val="22"/>
        </w:rPr>
        <w:t>4 </w:t>
      </w:r>
      <w:r w:rsidRPr="0053604C">
        <w:rPr>
          <w:rFonts w:ascii="Times New Roman" w:hAnsi="Times New Roman"/>
          <w:szCs w:val="22"/>
        </w:rPr>
        <w:t>mld.</w:t>
      </w:r>
      <w:r>
        <w:rPr>
          <w:rFonts w:ascii="Times New Roman" w:hAnsi="Times New Roman"/>
          <w:szCs w:val="22"/>
        </w:rPr>
        <w:t> </w:t>
      </w:r>
      <w:r w:rsidRPr="0053604C">
        <w:rPr>
          <w:rFonts w:ascii="Times New Roman" w:hAnsi="Times New Roman"/>
          <w:szCs w:val="22"/>
        </w:rPr>
        <w:t>eur, v tom výdavky na mzdy 1,</w:t>
      </w:r>
      <w:r>
        <w:rPr>
          <w:rFonts w:ascii="Times New Roman" w:hAnsi="Times New Roman"/>
          <w:szCs w:val="22"/>
        </w:rPr>
        <w:t>29 </w:t>
      </w:r>
      <w:r w:rsidRPr="0053604C">
        <w:rPr>
          <w:rFonts w:ascii="Times New Roman" w:hAnsi="Times New Roman"/>
          <w:szCs w:val="22"/>
        </w:rPr>
        <w:t>mld.</w:t>
      </w:r>
      <w:r>
        <w:rPr>
          <w:rFonts w:ascii="Times New Roman" w:hAnsi="Times New Roman"/>
          <w:szCs w:val="22"/>
        </w:rPr>
        <w:t> </w:t>
      </w:r>
      <w:r w:rsidRPr="0053604C">
        <w:rPr>
          <w:rFonts w:ascii="Times New Roman" w:hAnsi="Times New Roman"/>
          <w:szCs w:val="22"/>
        </w:rPr>
        <w:t xml:space="preserve">eur a v roku 2021 </w:t>
      </w:r>
      <w:r>
        <w:rPr>
          <w:rFonts w:ascii="Times New Roman" w:hAnsi="Times New Roman"/>
          <w:szCs w:val="22"/>
        </w:rPr>
        <w:t>na úrovni</w:t>
      </w:r>
      <w:r w:rsidRPr="0053604C">
        <w:rPr>
          <w:rFonts w:ascii="Times New Roman" w:hAnsi="Times New Roman"/>
          <w:szCs w:val="22"/>
        </w:rPr>
        <w:t xml:space="preserve"> 1,</w:t>
      </w:r>
      <w:r>
        <w:rPr>
          <w:rFonts w:ascii="Times New Roman" w:hAnsi="Times New Roman"/>
          <w:szCs w:val="22"/>
        </w:rPr>
        <w:t>78 </w:t>
      </w:r>
      <w:r w:rsidRPr="0053604C">
        <w:rPr>
          <w:rFonts w:ascii="Times New Roman" w:hAnsi="Times New Roman"/>
          <w:szCs w:val="22"/>
        </w:rPr>
        <w:t>mld.</w:t>
      </w:r>
      <w:r>
        <w:rPr>
          <w:rFonts w:ascii="Times New Roman" w:hAnsi="Times New Roman"/>
          <w:szCs w:val="22"/>
        </w:rPr>
        <w:t> </w:t>
      </w:r>
      <w:r w:rsidRPr="0053604C">
        <w:rPr>
          <w:rFonts w:ascii="Times New Roman" w:hAnsi="Times New Roman"/>
          <w:szCs w:val="22"/>
        </w:rPr>
        <w:t>eur, v tom výdavky na mzdy 1,3</w:t>
      </w:r>
      <w:r>
        <w:rPr>
          <w:rFonts w:ascii="Times New Roman" w:hAnsi="Times New Roman"/>
          <w:szCs w:val="22"/>
        </w:rPr>
        <w:t>1 </w:t>
      </w:r>
      <w:r w:rsidRPr="0053604C">
        <w:rPr>
          <w:rFonts w:ascii="Times New Roman" w:hAnsi="Times New Roman"/>
          <w:szCs w:val="22"/>
        </w:rPr>
        <w:t>mld.</w:t>
      </w:r>
      <w:r>
        <w:rPr>
          <w:rFonts w:ascii="Times New Roman" w:hAnsi="Times New Roman"/>
          <w:szCs w:val="22"/>
        </w:rPr>
        <w:t> </w:t>
      </w:r>
      <w:r w:rsidRPr="0053604C">
        <w:rPr>
          <w:rFonts w:ascii="Times New Roman" w:hAnsi="Times New Roman"/>
          <w:szCs w:val="22"/>
        </w:rPr>
        <w:t xml:space="preserve">eur. </w:t>
      </w:r>
      <w:r>
        <w:rPr>
          <w:rFonts w:ascii="Times New Roman" w:hAnsi="Times New Roman"/>
          <w:szCs w:val="22"/>
        </w:rPr>
        <w:t>Počet p</w:t>
      </w:r>
      <w:r w:rsidRPr="001C2514">
        <w:rPr>
          <w:rFonts w:ascii="Times New Roman" w:hAnsi="Times New Roman"/>
          <w:szCs w:val="22"/>
        </w:rPr>
        <w:t xml:space="preserve">edagogických a odborných zamestnancov </w:t>
      </w:r>
      <w:r>
        <w:rPr>
          <w:rFonts w:ascii="Times New Roman" w:hAnsi="Times New Roman"/>
          <w:szCs w:val="22"/>
        </w:rPr>
        <w:t>zohľadňuje z</w:t>
      </w:r>
      <w:r w:rsidRPr="001C2514">
        <w:rPr>
          <w:rFonts w:ascii="Times New Roman" w:hAnsi="Times New Roman"/>
          <w:szCs w:val="22"/>
        </w:rPr>
        <w:t>výšenie o</w:t>
      </w:r>
      <w:r>
        <w:rPr>
          <w:rFonts w:ascii="Times New Roman" w:hAnsi="Times New Roman"/>
          <w:szCs w:val="22"/>
        </w:rPr>
        <w:t> </w:t>
      </w:r>
      <w:r w:rsidRPr="001C2514">
        <w:rPr>
          <w:rFonts w:ascii="Times New Roman" w:hAnsi="Times New Roman"/>
          <w:szCs w:val="22"/>
        </w:rPr>
        <w:t>642</w:t>
      </w:r>
      <w:r>
        <w:rPr>
          <w:rFonts w:ascii="Times New Roman" w:hAnsi="Times New Roman"/>
          <w:szCs w:val="22"/>
        </w:rPr>
        <w:t> </w:t>
      </w:r>
      <w:r w:rsidRPr="00E54B44">
        <w:rPr>
          <w:rFonts w:ascii="Times New Roman" w:hAnsi="Times New Roman"/>
          <w:szCs w:val="22"/>
        </w:rPr>
        <w:t>asistentov učiteľa s objemom osobných výdavkov v sume 8</w:t>
      </w:r>
      <w:r>
        <w:rPr>
          <w:rFonts w:ascii="Times New Roman" w:hAnsi="Times New Roman"/>
          <w:szCs w:val="22"/>
        </w:rPr>
        <w:t>,00 </w:t>
      </w:r>
      <w:r w:rsidRPr="00E54B44">
        <w:rPr>
          <w:rFonts w:ascii="Times New Roman" w:hAnsi="Times New Roman"/>
          <w:szCs w:val="22"/>
        </w:rPr>
        <w:t>mil.</w:t>
      </w:r>
      <w:r>
        <w:rPr>
          <w:rFonts w:ascii="Times New Roman" w:hAnsi="Times New Roman"/>
          <w:szCs w:val="22"/>
        </w:rPr>
        <w:t> </w:t>
      </w:r>
      <w:r w:rsidRPr="00E54B44">
        <w:rPr>
          <w:rFonts w:ascii="Times New Roman" w:hAnsi="Times New Roman"/>
          <w:szCs w:val="22"/>
        </w:rPr>
        <w:t>eur, z toho miezd o 5,92</w:t>
      </w:r>
      <w:r>
        <w:rPr>
          <w:rFonts w:ascii="Times New Roman" w:hAnsi="Times New Roman"/>
          <w:szCs w:val="22"/>
        </w:rPr>
        <w:t> </w:t>
      </w:r>
      <w:r w:rsidRPr="00E54B44">
        <w:rPr>
          <w:rFonts w:ascii="Times New Roman" w:hAnsi="Times New Roman"/>
          <w:szCs w:val="22"/>
        </w:rPr>
        <w:t>mil.</w:t>
      </w:r>
      <w:r>
        <w:rPr>
          <w:rFonts w:ascii="Times New Roman" w:hAnsi="Times New Roman"/>
          <w:szCs w:val="22"/>
        </w:rPr>
        <w:t> </w:t>
      </w:r>
      <w:r w:rsidRPr="00E54B44">
        <w:rPr>
          <w:rFonts w:ascii="Times New Roman" w:hAnsi="Times New Roman"/>
          <w:szCs w:val="22"/>
        </w:rPr>
        <w:t xml:space="preserve">eur. </w:t>
      </w:r>
    </w:p>
    <w:p w:rsidR="003E1809" w:rsidRPr="00F072C1" w:rsidRDefault="003E1809" w:rsidP="003E1809">
      <w:pPr>
        <w:ind w:firstLine="709"/>
        <w:jc w:val="both"/>
        <w:rPr>
          <w:rFonts w:ascii="Times New Roman" w:hAnsi="Times New Roman"/>
          <w:color w:val="FF0000"/>
          <w:szCs w:val="22"/>
          <w:highlight w:val="yellow"/>
        </w:rPr>
      </w:pPr>
    </w:p>
    <w:p w:rsidR="003E1809" w:rsidRPr="009202CA" w:rsidRDefault="003E1809" w:rsidP="003E1809">
      <w:pPr>
        <w:ind w:firstLine="709"/>
        <w:jc w:val="both"/>
        <w:rPr>
          <w:rFonts w:ascii="Times New Roman" w:hAnsi="Times New Roman"/>
        </w:rPr>
      </w:pPr>
      <w:r w:rsidRPr="009202CA">
        <w:rPr>
          <w:rFonts w:ascii="Times New Roman" w:hAnsi="Times New Roman"/>
          <w:szCs w:val="22"/>
        </w:rPr>
        <w:t>Z celkového počtu 82</w:t>
      </w:r>
      <w:r>
        <w:rPr>
          <w:rFonts w:ascii="Times New Roman" w:hAnsi="Times New Roman"/>
          <w:szCs w:val="22"/>
        </w:rPr>
        <w:t> </w:t>
      </w:r>
      <w:r w:rsidRPr="009202CA">
        <w:rPr>
          <w:rFonts w:ascii="Times New Roman" w:hAnsi="Times New Roman"/>
          <w:szCs w:val="22"/>
        </w:rPr>
        <w:t>213 zamestnancov regionálneho školstva sa pre pedagogických a odborných zamestnancov v predpokladanom počte  63</w:t>
      </w:r>
      <w:r>
        <w:rPr>
          <w:rFonts w:ascii="Times New Roman" w:hAnsi="Times New Roman"/>
          <w:szCs w:val="22"/>
        </w:rPr>
        <w:t> </w:t>
      </w:r>
      <w:r w:rsidRPr="009202CA">
        <w:rPr>
          <w:rFonts w:ascii="Times New Roman" w:hAnsi="Times New Roman"/>
          <w:szCs w:val="22"/>
        </w:rPr>
        <w:t xml:space="preserve">013 osôb rozpočtujú osobné výdavky </w:t>
      </w:r>
      <w:r>
        <w:rPr>
          <w:rFonts w:ascii="Times New Roman" w:hAnsi="Times New Roman"/>
          <w:szCs w:val="22"/>
        </w:rPr>
        <w:t xml:space="preserve">v kapitole Ministerstva vnútra SR a Ministerstva školstva, vedy, výskumu a športu SR </w:t>
      </w:r>
      <w:r w:rsidRPr="009202CA">
        <w:rPr>
          <w:rFonts w:ascii="Times New Roman" w:hAnsi="Times New Roman"/>
          <w:szCs w:val="22"/>
        </w:rPr>
        <w:t>v sume 1,20 mld. eur, v tom mzdy v sume 89</w:t>
      </w:r>
      <w:r>
        <w:rPr>
          <w:rFonts w:ascii="Times New Roman" w:hAnsi="Times New Roman"/>
          <w:szCs w:val="22"/>
        </w:rPr>
        <w:t>1 </w:t>
      </w:r>
      <w:r w:rsidRPr="009202CA">
        <w:rPr>
          <w:rFonts w:ascii="Times New Roman" w:hAnsi="Times New Roman"/>
          <w:szCs w:val="22"/>
        </w:rPr>
        <w:t xml:space="preserve">mil. eur. </w:t>
      </w:r>
      <w:r>
        <w:rPr>
          <w:rFonts w:ascii="Times New Roman" w:hAnsi="Times New Roman"/>
          <w:szCs w:val="22"/>
        </w:rPr>
        <w:t xml:space="preserve">Po zohľadnení rezervy súvisiacej s valorizáciou platov pedagogických zamestnancov a odborných zamestnancov, s rozšírením započítanej praxe a s </w:t>
      </w:r>
      <w:r w:rsidRPr="008451AE">
        <w:rPr>
          <w:rFonts w:ascii="Times New Roman" w:hAnsi="Times New Roman"/>
          <w:szCs w:val="22"/>
        </w:rPr>
        <w:t>realizáci</w:t>
      </w:r>
      <w:r>
        <w:rPr>
          <w:rFonts w:ascii="Times New Roman" w:hAnsi="Times New Roman"/>
          <w:szCs w:val="22"/>
        </w:rPr>
        <w:t>ou</w:t>
      </w:r>
      <w:r w:rsidRPr="008451AE">
        <w:rPr>
          <w:rFonts w:ascii="Times New Roman" w:hAnsi="Times New Roman"/>
          <w:szCs w:val="22"/>
        </w:rPr>
        <w:t xml:space="preserve"> zvýhodnenia odmeňovania začínajúcich učiteľov</w:t>
      </w:r>
      <w:r>
        <w:rPr>
          <w:rFonts w:ascii="Times New Roman" w:hAnsi="Times New Roman"/>
          <w:szCs w:val="22"/>
        </w:rPr>
        <w:t xml:space="preserve"> od 1. septembra 2019 dosiahnu rozpočtované osobné výdavky sumu 1,34 mld. eur, v tom mzdy sumu 990 mil. eur s priemerným mzdovým výdavkom na úrovni 1 309,05 eur. V roku 2020 je </w:t>
      </w:r>
      <w:r>
        <w:rPr>
          <w:rFonts w:ascii="Times New Roman" w:hAnsi="Times New Roman"/>
          <w:szCs w:val="22"/>
        </w:rPr>
        <w:lastRenderedPageBreak/>
        <w:t xml:space="preserve">možné očakávať osobné výdavky na </w:t>
      </w:r>
      <w:r w:rsidRPr="0053604C">
        <w:rPr>
          <w:rFonts w:ascii="Times New Roman" w:hAnsi="Times New Roman"/>
          <w:szCs w:val="22"/>
        </w:rPr>
        <w:t>úrov</w:t>
      </w:r>
      <w:r>
        <w:rPr>
          <w:rFonts w:ascii="Times New Roman" w:hAnsi="Times New Roman"/>
          <w:szCs w:val="22"/>
        </w:rPr>
        <w:t>ni</w:t>
      </w:r>
      <w:r w:rsidRPr="0053604C">
        <w:rPr>
          <w:rFonts w:ascii="Times New Roman" w:hAnsi="Times New Roman"/>
          <w:szCs w:val="22"/>
        </w:rPr>
        <w:t xml:space="preserve"> 1,</w:t>
      </w:r>
      <w:r>
        <w:rPr>
          <w:rFonts w:ascii="Times New Roman" w:hAnsi="Times New Roman"/>
          <w:szCs w:val="22"/>
        </w:rPr>
        <w:t>49 </w:t>
      </w:r>
      <w:r w:rsidRPr="0053604C">
        <w:rPr>
          <w:rFonts w:ascii="Times New Roman" w:hAnsi="Times New Roman"/>
          <w:szCs w:val="22"/>
        </w:rPr>
        <w:t>mld.</w:t>
      </w:r>
      <w:r>
        <w:rPr>
          <w:rFonts w:ascii="Times New Roman" w:hAnsi="Times New Roman"/>
          <w:szCs w:val="22"/>
        </w:rPr>
        <w:t> </w:t>
      </w:r>
      <w:r w:rsidRPr="0053604C">
        <w:rPr>
          <w:rFonts w:ascii="Times New Roman" w:hAnsi="Times New Roman"/>
          <w:szCs w:val="22"/>
        </w:rPr>
        <w:t>eur, v tom výdavky na mzdy 1,</w:t>
      </w:r>
      <w:r>
        <w:rPr>
          <w:rFonts w:ascii="Times New Roman" w:hAnsi="Times New Roman"/>
          <w:szCs w:val="22"/>
        </w:rPr>
        <w:t>10 </w:t>
      </w:r>
      <w:r w:rsidRPr="0053604C">
        <w:rPr>
          <w:rFonts w:ascii="Times New Roman" w:hAnsi="Times New Roman"/>
          <w:szCs w:val="22"/>
        </w:rPr>
        <w:t>mld.</w:t>
      </w:r>
      <w:r>
        <w:rPr>
          <w:rFonts w:ascii="Times New Roman" w:hAnsi="Times New Roman"/>
          <w:szCs w:val="22"/>
        </w:rPr>
        <w:t> </w:t>
      </w:r>
      <w:r w:rsidRPr="0053604C">
        <w:rPr>
          <w:rFonts w:ascii="Times New Roman" w:hAnsi="Times New Roman"/>
          <w:szCs w:val="22"/>
        </w:rPr>
        <w:t xml:space="preserve">eur </w:t>
      </w:r>
      <w:r>
        <w:rPr>
          <w:rFonts w:ascii="Times New Roman" w:hAnsi="Times New Roman"/>
          <w:szCs w:val="22"/>
        </w:rPr>
        <w:t xml:space="preserve">s očakávaným priemerným mzdovým výdavkom v sume 1 456,60 eur </w:t>
      </w:r>
      <w:r w:rsidRPr="0053604C">
        <w:rPr>
          <w:rFonts w:ascii="Times New Roman" w:hAnsi="Times New Roman"/>
          <w:szCs w:val="22"/>
        </w:rPr>
        <w:t xml:space="preserve">a v roku 2021 </w:t>
      </w:r>
      <w:r>
        <w:rPr>
          <w:rFonts w:ascii="Times New Roman" w:hAnsi="Times New Roman"/>
          <w:szCs w:val="22"/>
        </w:rPr>
        <w:t>na úrovni</w:t>
      </w:r>
      <w:r w:rsidRPr="0053604C">
        <w:rPr>
          <w:rFonts w:ascii="Times New Roman" w:hAnsi="Times New Roman"/>
          <w:szCs w:val="22"/>
        </w:rPr>
        <w:t xml:space="preserve"> </w:t>
      </w:r>
      <w:r>
        <w:rPr>
          <w:rFonts w:ascii="Times New Roman" w:hAnsi="Times New Roman"/>
          <w:szCs w:val="22"/>
        </w:rPr>
        <w:t>1,52 </w:t>
      </w:r>
      <w:r w:rsidRPr="0053604C">
        <w:rPr>
          <w:rFonts w:ascii="Times New Roman" w:hAnsi="Times New Roman"/>
          <w:szCs w:val="22"/>
        </w:rPr>
        <w:t>mld.</w:t>
      </w:r>
      <w:r>
        <w:rPr>
          <w:rFonts w:ascii="Times New Roman" w:hAnsi="Times New Roman"/>
          <w:szCs w:val="22"/>
        </w:rPr>
        <w:t> </w:t>
      </w:r>
      <w:r w:rsidRPr="0053604C">
        <w:rPr>
          <w:rFonts w:ascii="Times New Roman" w:hAnsi="Times New Roman"/>
          <w:szCs w:val="22"/>
        </w:rPr>
        <w:t xml:space="preserve">eur, v tom výdavky na mzdy </w:t>
      </w:r>
      <w:r>
        <w:rPr>
          <w:rFonts w:ascii="Times New Roman" w:hAnsi="Times New Roman"/>
          <w:szCs w:val="22"/>
        </w:rPr>
        <w:t>1,12 </w:t>
      </w:r>
      <w:r w:rsidRPr="0053604C">
        <w:rPr>
          <w:rFonts w:ascii="Times New Roman" w:hAnsi="Times New Roman"/>
          <w:szCs w:val="22"/>
        </w:rPr>
        <w:t>mld.</w:t>
      </w:r>
      <w:r>
        <w:rPr>
          <w:rFonts w:ascii="Times New Roman" w:hAnsi="Times New Roman"/>
          <w:szCs w:val="22"/>
        </w:rPr>
        <w:t> </w:t>
      </w:r>
      <w:r w:rsidRPr="0053604C">
        <w:rPr>
          <w:rFonts w:ascii="Times New Roman" w:hAnsi="Times New Roman"/>
          <w:szCs w:val="22"/>
        </w:rPr>
        <w:t>eur</w:t>
      </w:r>
      <w:r>
        <w:rPr>
          <w:rFonts w:ascii="Times New Roman" w:hAnsi="Times New Roman"/>
          <w:szCs w:val="22"/>
        </w:rPr>
        <w:t xml:space="preserve"> s očakávaným priemerným mzdovým výdavkom na úrovni 1 485,74 eur</w:t>
      </w:r>
      <w:r w:rsidRPr="0053604C">
        <w:rPr>
          <w:rFonts w:ascii="Times New Roman" w:hAnsi="Times New Roman"/>
          <w:szCs w:val="22"/>
        </w:rPr>
        <w:t xml:space="preserve">. </w:t>
      </w:r>
      <w:r w:rsidRPr="009202CA">
        <w:rPr>
          <w:rFonts w:ascii="Times New Roman" w:hAnsi="Times New Roman"/>
          <w:szCs w:val="22"/>
        </w:rPr>
        <w:t>Rozdelenie objemu finančných</w:t>
      </w:r>
      <w:r w:rsidRPr="009202CA">
        <w:rPr>
          <w:rFonts w:ascii="Times New Roman" w:hAnsi="Times New Roman"/>
        </w:rPr>
        <w:t xml:space="preserve"> prostriedkov určených na platy pedagogických a odborných zamestnancov je v kompetencii zriaďovateľov.</w:t>
      </w:r>
    </w:p>
    <w:p w:rsidR="00B5225B" w:rsidRDefault="00B5225B" w:rsidP="003E1809">
      <w:pPr>
        <w:ind w:firstLine="708"/>
        <w:jc w:val="both"/>
        <w:rPr>
          <w:rFonts w:ascii="Times New Roman" w:hAnsi="Times New Roman"/>
          <w:bCs/>
          <w:szCs w:val="22"/>
        </w:rPr>
      </w:pPr>
    </w:p>
    <w:p w:rsidR="003E1809" w:rsidRDefault="003E1809" w:rsidP="003E1809">
      <w:pPr>
        <w:ind w:firstLine="708"/>
        <w:jc w:val="both"/>
        <w:rPr>
          <w:rFonts w:ascii="Times New Roman" w:hAnsi="Times New Roman"/>
          <w:bCs/>
          <w:szCs w:val="22"/>
        </w:rPr>
      </w:pPr>
      <w:r w:rsidRPr="0035625A">
        <w:rPr>
          <w:rFonts w:ascii="Times New Roman" w:hAnsi="Times New Roman"/>
          <w:bCs/>
          <w:szCs w:val="22"/>
        </w:rPr>
        <w:t xml:space="preserve">Prehľad o skutočne dosiahnutých ukazovateľoch zamestnanosti v rokoch 2016 a 2017, </w:t>
      </w:r>
      <w:r>
        <w:rPr>
          <w:rFonts w:ascii="Times New Roman" w:hAnsi="Times New Roman"/>
          <w:bCs/>
          <w:szCs w:val="22"/>
        </w:rPr>
        <w:t>o rozpočte</w:t>
      </w:r>
      <w:r w:rsidRPr="0035625A">
        <w:rPr>
          <w:rFonts w:ascii="Times New Roman" w:hAnsi="Times New Roman"/>
          <w:bCs/>
          <w:szCs w:val="22"/>
        </w:rPr>
        <w:t xml:space="preserve"> a očakávanej skutočnosti na rok 2018 a</w:t>
      </w:r>
      <w:r>
        <w:rPr>
          <w:rFonts w:ascii="Times New Roman" w:hAnsi="Times New Roman"/>
          <w:bCs/>
          <w:szCs w:val="22"/>
        </w:rPr>
        <w:t xml:space="preserve"> o </w:t>
      </w:r>
      <w:r w:rsidRPr="0035625A">
        <w:rPr>
          <w:rFonts w:ascii="Times New Roman" w:hAnsi="Times New Roman"/>
          <w:bCs/>
          <w:szCs w:val="22"/>
        </w:rPr>
        <w:t>návrhu rozpočtu na roky 2019 až 2021 je uvedený v tabuľke.</w:t>
      </w:r>
    </w:p>
    <w:p w:rsidR="003E1809" w:rsidRDefault="003E1809" w:rsidP="003E1809">
      <w:pPr>
        <w:ind w:firstLine="708"/>
        <w:jc w:val="both"/>
        <w:rPr>
          <w:rFonts w:ascii="Times New Roman" w:hAnsi="Times New Roman"/>
          <w:bCs/>
          <w:szCs w:val="22"/>
        </w:rPr>
      </w:pPr>
    </w:p>
    <w:tbl>
      <w:tblPr>
        <w:tblW w:w="9071" w:type="dxa"/>
        <w:jc w:val="center"/>
        <w:tblCellMar>
          <w:left w:w="70" w:type="dxa"/>
          <w:right w:w="70" w:type="dxa"/>
        </w:tblCellMar>
        <w:tblLook w:val="04A0" w:firstRow="1" w:lastRow="0" w:firstColumn="1" w:lastColumn="0" w:noHBand="0" w:noVBand="1"/>
      </w:tblPr>
      <w:tblGrid>
        <w:gridCol w:w="1931"/>
        <w:gridCol w:w="475"/>
        <w:gridCol w:w="960"/>
        <w:gridCol w:w="960"/>
        <w:gridCol w:w="960"/>
        <w:gridCol w:w="960"/>
        <w:gridCol w:w="960"/>
        <w:gridCol w:w="960"/>
        <w:gridCol w:w="960"/>
      </w:tblGrid>
      <w:tr w:rsidR="003E1809" w:rsidRPr="00A245AB" w:rsidTr="003E1809">
        <w:trPr>
          <w:trHeight w:val="330"/>
          <w:jc w:val="center"/>
        </w:trPr>
        <w:tc>
          <w:tcPr>
            <w:tcW w:w="1931"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E1809" w:rsidRPr="00A245AB" w:rsidRDefault="003E1809" w:rsidP="003E1809">
            <w:pPr>
              <w:rPr>
                <w:rFonts w:ascii="Times New Roman" w:hAnsi="Times New Roman"/>
                <w:b/>
                <w:bCs/>
                <w:sz w:val="14"/>
                <w:szCs w:val="14"/>
                <w:lang w:eastAsia="sk-SK"/>
              </w:rPr>
            </w:pPr>
            <w:r w:rsidRPr="00A245AB">
              <w:rPr>
                <w:rFonts w:ascii="Times New Roman" w:hAnsi="Times New Roman"/>
                <w:b/>
                <w:bCs/>
                <w:sz w:val="14"/>
                <w:szCs w:val="14"/>
                <w:lang w:eastAsia="sk-SK"/>
              </w:rPr>
              <w:t>Regionálne školstvo</w:t>
            </w:r>
          </w:p>
        </w:tc>
        <w:tc>
          <w:tcPr>
            <w:tcW w:w="42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 </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2016 S</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2017 S</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2018 R</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2018 OS</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2019 N</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2020 N</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2021 N</w:t>
            </w:r>
          </w:p>
        </w:tc>
      </w:tr>
      <w:tr w:rsidR="003E1809" w:rsidRPr="00A245AB" w:rsidTr="003E1809">
        <w:trPr>
          <w:trHeight w:val="330"/>
          <w:jc w:val="center"/>
        </w:trPr>
        <w:tc>
          <w:tcPr>
            <w:tcW w:w="1931" w:type="dxa"/>
            <w:tcBorders>
              <w:top w:val="nil"/>
              <w:left w:val="single" w:sz="4" w:space="0" w:color="auto"/>
              <w:bottom w:val="single" w:sz="4" w:space="0" w:color="auto"/>
              <w:right w:val="single" w:sz="4" w:space="0" w:color="auto"/>
            </w:tcBorders>
            <w:shd w:val="clear" w:color="000000" w:fill="FFFFFF"/>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Počet zamestnancov</w:t>
            </w:r>
          </w:p>
        </w:tc>
        <w:tc>
          <w:tcPr>
            <w:tcW w:w="4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center"/>
              <w:rPr>
                <w:rFonts w:ascii="Times New Roman" w:hAnsi="Times New Roman"/>
                <w:sz w:val="14"/>
                <w:szCs w:val="14"/>
                <w:lang w:eastAsia="sk-SK"/>
              </w:rPr>
            </w:pPr>
            <w:r w:rsidRPr="00A245AB">
              <w:rPr>
                <w:rFonts w:ascii="Times New Roman" w:hAnsi="Times New Roman"/>
                <w:sz w:val="14"/>
                <w:szCs w:val="14"/>
                <w:lang w:eastAsia="sk-SK"/>
              </w:rPr>
              <w:t>osoby</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81 413</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81 572</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81 571</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81 472</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82 213</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82 213</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82 213</w:t>
            </w:r>
          </w:p>
        </w:tc>
      </w:tr>
      <w:tr w:rsidR="003E1809" w:rsidRPr="00A245AB" w:rsidTr="003E1809">
        <w:trPr>
          <w:trHeight w:val="330"/>
          <w:jc w:val="center"/>
        </w:trPr>
        <w:tc>
          <w:tcPr>
            <w:tcW w:w="1931"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b/>
                <w:bCs/>
                <w:sz w:val="14"/>
                <w:szCs w:val="14"/>
                <w:lang w:eastAsia="sk-SK"/>
              </w:rPr>
            </w:pPr>
            <w:r w:rsidRPr="00A245AB">
              <w:rPr>
                <w:rFonts w:ascii="Times New Roman" w:hAnsi="Times New Roman"/>
                <w:b/>
                <w:bCs/>
                <w:sz w:val="14"/>
                <w:szCs w:val="14"/>
                <w:lang w:eastAsia="sk-SK"/>
              </w:rPr>
              <w:t xml:space="preserve">Osobné výdavky </w:t>
            </w:r>
          </w:p>
        </w:tc>
        <w:tc>
          <w:tcPr>
            <w:tcW w:w="4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eur</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1 276 367 976</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1 363 934 573</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1 389 490 231</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1 397 435 438</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1 567 068 837</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1 740 765 067</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1 775 576 275</w:t>
            </w:r>
          </w:p>
        </w:tc>
      </w:tr>
      <w:tr w:rsidR="003E1809" w:rsidRPr="00A245AB" w:rsidTr="003E1809">
        <w:trPr>
          <w:trHeight w:val="330"/>
          <w:jc w:val="center"/>
        </w:trPr>
        <w:tc>
          <w:tcPr>
            <w:tcW w:w="1931"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ind w:firstLineChars="200" w:firstLine="280"/>
              <w:rPr>
                <w:rFonts w:ascii="Times New Roman" w:hAnsi="Times New Roman"/>
                <w:sz w:val="14"/>
                <w:szCs w:val="14"/>
                <w:lang w:eastAsia="sk-SK"/>
              </w:rPr>
            </w:pPr>
            <w:r w:rsidRPr="00A245AB">
              <w:rPr>
                <w:rFonts w:ascii="Times New Roman" w:hAnsi="Times New Roman"/>
                <w:sz w:val="14"/>
                <w:szCs w:val="14"/>
                <w:lang w:eastAsia="sk-SK"/>
              </w:rPr>
              <w:t>z toho: mzdové výdavky</w:t>
            </w:r>
          </w:p>
        </w:tc>
        <w:tc>
          <w:tcPr>
            <w:tcW w:w="4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center"/>
              <w:rPr>
                <w:rFonts w:ascii="Times New Roman" w:hAnsi="Times New Roman"/>
                <w:sz w:val="14"/>
                <w:szCs w:val="14"/>
                <w:lang w:eastAsia="sk-SK"/>
              </w:rPr>
            </w:pPr>
            <w:r w:rsidRPr="00A245AB">
              <w:rPr>
                <w:rFonts w:ascii="Times New Roman" w:hAnsi="Times New Roman"/>
                <w:sz w:val="14"/>
                <w:szCs w:val="14"/>
                <w:lang w:eastAsia="sk-SK"/>
              </w:rPr>
              <w:t>eur</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944 059 154</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1 008 827 347</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1 027 780 979</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1 033 846 539</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1 159 166 112</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1 287 677 677</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1 313 433 232</w:t>
            </w:r>
          </w:p>
        </w:tc>
      </w:tr>
      <w:tr w:rsidR="003E1809" w:rsidRPr="00A245AB" w:rsidTr="003E1809">
        <w:trPr>
          <w:trHeight w:val="330"/>
          <w:jc w:val="center"/>
        </w:trPr>
        <w:tc>
          <w:tcPr>
            <w:tcW w:w="1931"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b/>
                <w:bCs/>
                <w:sz w:val="14"/>
                <w:szCs w:val="14"/>
                <w:lang w:eastAsia="sk-SK"/>
              </w:rPr>
            </w:pPr>
            <w:r w:rsidRPr="00A245AB">
              <w:rPr>
                <w:rFonts w:ascii="Times New Roman" w:hAnsi="Times New Roman"/>
                <w:b/>
                <w:bCs/>
                <w:sz w:val="14"/>
                <w:szCs w:val="14"/>
                <w:lang w:eastAsia="sk-SK"/>
              </w:rPr>
              <w:t>Priemerný mzdový výdavok</w:t>
            </w:r>
          </w:p>
        </w:tc>
        <w:tc>
          <w:tcPr>
            <w:tcW w:w="4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eur</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966,32</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1 030,61</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1 049,99</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1 057,47</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1 174,96</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1 305,23</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1 331,33</w:t>
            </w:r>
          </w:p>
        </w:tc>
      </w:tr>
      <w:tr w:rsidR="003E1809" w:rsidRPr="00A245AB" w:rsidTr="003E1809">
        <w:trPr>
          <w:trHeight w:val="330"/>
          <w:jc w:val="center"/>
        </w:trPr>
        <w:tc>
          <w:tcPr>
            <w:tcW w:w="1931" w:type="dxa"/>
            <w:tcBorders>
              <w:top w:val="nil"/>
              <w:left w:val="single" w:sz="4" w:space="0" w:color="auto"/>
              <w:bottom w:val="single" w:sz="4" w:space="0" w:color="auto"/>
              <w:right w:val="nil"/>
            </w:tcBorders>
            <w:shd w:val="clear" w:color="auto" w:fill="auto"/>
            <w:noWrap/>
            <w:vAlign w:val="center"/>
            <w:hideMark/>
          </w:tcPr>
          <w:p w:rsidR="003E1809" w:rsidRPr="00A245AB" w:rsidRDefault="003E1809" w:rsidP="003E1809">
            <w:pPr>
              <w:ind w:firstLineChars="200" w:firstLine="280"/>
              <w:rPr>
                <w:rFonts w:ascii="Times New Roman" w:hAnsi="Times New Roman"/>
                <w:sz w:val="14"/>
                <w:szCs w:val="14"/>
                <w:lang w:eastAsia="sk-SK"/>
              </w:rPr>
            </w:pPr>
            <w:r w:rsidRPr="00A245AB">
              <w:rPr>
                <w:rFonts w:ascii="Times New Roman" w:hAnsi="Times New Roman"/>
                <w:sz w:val="14"/>
                <w:szCs w:val="14"/>
                <w:lang w:eastAsia="sk-SK"/>
              </w:rPr>
              <w:t>z toho:</w:t>
            </w:r>
          </w:p>
        </w:tc>
        <w:tc>
          <w:tcPr>
            <w:tcW w:w="420" w:type="dxa"/>
            <w:tcBorders>
              <w:top w:val="nil"/>
              <w:left w:val="nil"/>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w:t>
            </w:r>
          </w:p>
        </w:tc>
        <w:tc>
          <w:tcPr>
            <w:tcW w:w="960" w:type="dxa"/>
            <w:tcBorders>
              <w:top w:val="nil"/>
              <w:left w:val="nil"/>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w:t>
            </w:r>
          </w:p>
        </w:tc>
        <w:tc>
          <w:tcPr>
            <w:tcW w:w="960" w:type="dxa"/>
            <w:tcBorders>
              <w:top w:val="nil"/>
              <w:left w:val="nil"/>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w:t>
            </w:r>
          </w:p>
        </w:tc>
        <w:tc>
          <w:tcPr>
            <w:tcW w:w="960" w:type="dxa"/>
            <w:tcBorders>
              <w:top w:val="nil"/>
              <w:left w:val="nil"/>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w:t>
            </w:r>
          </w:p>
        </w:tc>
        <w:tc>
          <w:tcPr>
            <w:tcW w:w="960" w:type="dxa"/>
            <w:tcBorders>
              <w:top w:val="nil"/>
              <w:left w:val="nil"/>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w:t>
            </w:r>
          </w:p>
        </w:tc>
        <w:tc>
          <w:tcPr>
            <w:tcW w:w="960" w:type="dxa"/>
            <w:tcBorders>
              <w:top w:val="nil"/>
              <w:left w:val="nil"/>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w:t>
            </w:r>
          </w:p>
        </w:tc>
        <w:tc>
          <w:tcPr>
            <w:tcW w:w="960" w:type="dxa"/>
            <w:tcBorders>
              <w:top w:val="nil"/>
              <w:left w:val="nil"/>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w:t>
            </w:r>
          </w:p>
        </w:tc>
      </w:tr>
      <w:tr w:rsidR="003E1809" w:rsidRPr="00A245AB" w:rsidTr="003E1809">
        <w:trPr>
          <w:trHeight w:val="330"/>
          <w:jc w:val="center"/>
        </w:trPr>
        <w:tc>
          <w:tcPr>
            <w:tcW w:w="1931" w:type="dxa"/>
            <w:tcBorders>
              <w:top w:val="nil"/>
              <w:left w:val="single" w:sz="4" w:space="0" w:color="auto"/>
              <w:bottom w:val="single" w:sz="4" w:space="0" w:color="auto"/>
              <w:right w:val="single" w:sz="4" w:space="0" w:color="auto"/>
            </w:tcBorders>
            <w:shd w:val="clear" w:color="000000" w:fill="BFBFBF"/>
            <w:vAlign w:val="center"/>
            <w:hideMark/>
          </w:tcPr>
          <w:p w:rsidR="003E1809" w:rsidRPr="00A245AB" w:rsidRDefault="003E1809" w:rsidP="003E1809">
            <w:pPr>
              <w:rPr>
                <w:rFonts w:ascii="Times New Roman" w:hAnsi="Times New Roman"/>
                <w:b/>
                <w:bCs/>
                <w:sz w:val="14"/>
                <w:szCs w:val="14"/>
                <w:lang w:eastAsia="sk-SK"/>
              </w:rPr>
            </w:pPr>
            <w:r w:rsidRPr="00A245AB">
              <w:rPr>
                <w:rFonts w:ascii="Times New Roman" w:hAnsi="Times New Roman"/>
                <w:b/>
                <w:bCs/>
                <w:sz w:val="14"/>
                <w:szCs w:val="14"/>
                <w:lang w:eastAsia="sk-SK"/>
              </w:rPr>
              <w:t>Pedagogickí a odborní</w:t>
            </w:r>
            <w:r w:rsidRPr="00A245AB">
              <w:rPr>
                <w:rFonts w:ascii="Times New Roman" w:hAnsi="Times New Roman"/>
                <w:b/>
                <w:bCs/>
                <w:sz w:val="14"/>
                <w:szCs w:val="14"/>
                <w:lang w:eastAsia="sk-SK"/>
              </w:rPr>
              <w:br/>
              <w:t>zamestnanci</w:t>
            </w:r>
          </w:p>
        </w:tc>
        <w:tc>
          <w:tcPr>
            <w:tcW w:w="42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 </w:t>
            </w:r>
          </w:p>
        </w:tc>
        <w:tc>
          <w:tcPr>
            <w:tcW w:w="96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2016 S</w:t>
            </w:r>
          </w:p>
        </w:tc>
        <w:tc>
          <w:tcPr>
            <w:tcW w:w="96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2017 S</w:t>
            </w:r>
          </w:p>
        </w:tc>
        <w:tc>
          <w:tcPr>
            <w:tcW w:w="96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2018 R</w:t>
            </w:r>
          </w:p>
        </w:tc>
        <w:tc>
          <w:tcPr>
            <w:tcW w:w="96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2018 OS</w:t>
            </w:r>
          </w:p>
        </w:tc>
        <w:tc>
          <w:tcPr>
            <w:tcW w:w="96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2019 N</w:t>
            </w:r>
          </w:p>
        </w:tc>
        <w:tc>
          <w:tcPr>
            <w:tcW w:w="96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2020 N</w:t>
            </w:r>
          </w:p>
        </w:tc>
        <w:tc>
          <w:tcPr>
            <w:tcW w:w="96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2021 N</w:t>
            </w:r>
          </w:p>
        </w:tc>
      </w:tr>
      <w:tr w:rsidR="003E1809" w:rsidRPr="00A245AB" w:rsidTr="003E1809">
        <w:trPr>
          <w:trHeight w:val="330"/>
          <w:jc w:val="center"/>
        </w:trPr>
        <w:tc>
          <w:tcPr>
            <w:tcW w:w="1931" w:type="dxa"/>
            <w:tcBorders>
              <w:top w:val="nil"/>
              <w:left w:val="single" w:sz="4" w:space="0" w:color="auto"/>
              <w:bottom w:val="single" w:sz="4" w:space="0" w:color="auto"/>
              <w:right w:val="single" w:sz="4" w:space="0" w:color="auto"/>
            </w:tcBorders>
            <w:shd w:val="clear" w:color="000000" w:fill="FFFFFF"/>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Počet zamestnancov</w:t>
            </w:r>
          </w:p>
        </w:tc>
        <w:tc>
          <w:tcPr>
            <w:tcW w:w="4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center"/>
              <w:rPr>
                <w:rFonts w:ascii="Times New Roman" w:hAnsi="Times New Roman"/>
                <w:sz w:val="14"/>
                <w:szCs w:val="14"/>
                <w:lang w:eastAsia="sk-SK"/>
              </w:rPr>
            </w:pPr>
            <w:r w:rsidRPr="00A245AB">
              <w:rPr>
                <w:rFonts w:ascii="Times New Roman" w:hAnsi="Times New Roman"/>
                <w:sz w:val="14"/>
                <w:szCs w:val="14"/>
                <w:lang w:eastAsia="sk-SK"/>
              </w:rPr>
              <w:t>osoby</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62 069</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62 310</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62 371</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62 272</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63 013</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63 013</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63 013</w:t>
            </w:r>
          </w:p>
        </w:tc>
      </w:tr>
      <w:tr w:rsidR="003E1809" w:rsidRPr="00A245AB" w:rsidTr="003E1809">
        <w:trPr>
          <w:trHeight w:val="330"/>
          <w:jc w:val="center"/>
        </w:trPr>
        <w:tc>
          <w:tcPr>
            <w:tcW w:w="1931"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b/>
                <w:bCs/>
                <w:sz w:val="14"/>
                <w:szCs w:val="14"/>
                <w:lang w:eastAsia="sk-SK"/>
              </w:rPr>
            </w:pPr>
            <w:r w:rsidRPr="00A245AB">
              <w:rPr>
                <w:rFonts w:ascii="Times New Roman" w:hAnsi="Times New Roman"/>
                <w:b/>
                <w:bCs/>
                <w:sz w:val="14"/>
                <w:szCs w:val="14"/>
                <w:lang w:eastAsia="sk-SK"/>
              </w:rPr>
              <w:t>Osobné výdavky</w:t>
            </w:r>
          </w:p>
        </w:tc>
        <w:tc>
          <w:tcPr>
            <w:tcW w:w="4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eur</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1 090 348 181</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1 166 827 092</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1 196 981 535</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1 204 776 855</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1 338 163 400</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1 488 969 086</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1 518 744 374</w:t>
            </w:r>
          </w:p>
        </w:tc>
      </w:tr>
      <w:tr w:rsidR="003E1809" w:rsidRPr="00A245AB" w:rsidTr="003E1809">
        <w:trPr>
          <w:trHeight w:val="330"/>
          <w:jc w:val="center"/>
        </w:trPr>
        <w:tc>
          <w:tcPr>
            <w:tcW w:w="1931"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ind w:firstLineChars="200" w:firstLine="280"/>
              <w:rPr>
                <w:rFonts w:ascii="Times New Roman" w:hAnsi="Times New Roman"/>
                <w:sz w:val="14"/>
                <w:szCs w:val="14"/>
                <w:lang w:eastAsia="sk-SK"/>
              </w:rPr>
            </w:pPr>
            <w:r w:rsidRPr="00A245AB">
              <w:rPr>
                <w:rFonts w:ascii="Times New Roman" w:hAnsi="Times New Roman"/>
                <w:sz w:val="14"/>
                <w:szCs w:val="14"/>
                <w:lang w:eastAsia="sk-SK"/>
              </w:rPr>
              <w:t>z toho: mzdové výdavky</w:t>
            </w:r>
          </w:p>
        </w:tc>
        <w:tc>
          <w:tcPr>
            <w:tcW w:w="4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center"/>
              <w:rPr>
                <w:rFonts w:ascii="Times New Roman" w:hAnsi="Times New Roman"/>
                <w:sz w:val="14"/>
                <w:szCs w:val="14"/>
                <w:lang w:eastAsia="sk-SK"/>
              </w:rPr>
            </w:pPr>
            <w:r w:rsidRPr="00A245AB">
              <w:rPr>
                <w:rFonts w:ascii="Times New Roman" w:hAnsi="Times New Roman"/>
                <w:sz w:val="14"/>
                <w:szCs w:val="14"/>
                <w:lang w:eastAsia="sk-SK"/>
              </w:rPr>
              <w:t>eur</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806 470 548</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863 037 790</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885 386 039</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891 306 610</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989 843 059</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1 101 418 738</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1 123 448 397</w:t>
            </w:r>
          </w:p>
        </w:tc>
      </w:tr>
      <w:tr w:rsidR="003E1809" w:rsidRPr="00A245AB" w:rsidTr="003E1809">
        <w:trPr>
          <w:trHeight w:val="330"/>
          <w:jc w:val="center"/>
        </w:trPr>
        <w:tc>
          <w:tcPr>
            <w:tcW w:w="1931"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b/>
                <w:bCs/>
                <w:sz w:val="14"/>
                <w:szCs w:val="14"/>
                <w:lang w:eastAsia="sk-SK"/>
              </w:rPr>
            </w:pPr>
            <w:r w:rsidRPr="00A245AB">
              <w:rPr>
                <w:rFonts w:ascii="Times New Roman" w:hAnsi="Times New Roman"/>
                <w:b/>
                <w:bCs/>
                <w:sz w:val="14"/>
                <w:szCs w:val="14"/>
                <w:lang w:eastAsia="sk-SK"/>
              </w:rPr>
              <w:t>Priemerný mzdový výdavok</w:t>
            </w:r>
          </w:p>
        </w:tc>
        <w:tc>
          <w:tcPr>
            <w:tcW w:w="4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eur</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1 082,76</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1 154,23</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1 182,96</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1 192,76</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1 309,05</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1 456,60</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1 485,74</w:t>
            </w:r>
          </w:p>
        </w:tc>
      </w:tr>
      <w:tr w:rsidR="003E1809" w:rsidRPr="00A245AB" w:rsidTr="003E1809">
        <w:trPr>
          <w:trHeight w:val="330"/>
          <w:jc w:val="center"/>
        </w:trPr>
        <w:tc>
          <w:tcPr>
            <w:tcW w:w="1931" w:type="dxa"/>
            <w:tcBorders>
              <w:top w:val="nil"/>
              <w:left w:val="single" w:sz="4" w:space="0" w:color="auto"/>
              <w:bottom w:val="single" w:sz="4" w:space="0" w:color="auto"/>
              <w:right w:val="nil"/>
            </w:tcBorders>
            <w:shd w:val="clear" w:color="auto" w:fill="auto"/>
            <w:noWrap/>
            <w:vAlign w:val="center"/>
            <w:hideMark/>
          </w:tcPr>
          <w:p w:rsidR="003E1809" w:rsidRPr="00A245AB" w:rsidRDefault="003E1809" w:rsidP="003E1809">
            <w:pPr>
              <w:ind w:firstLineChars="100" w:firstLine="140"/>
              <w:rPr>
                <w:rFonts w:ascii="Times New Roman" w:hAnsi="Times New Roman"/>
                <w:sz w:val="14"/>
                <w:szCs w:val="14"/>
                <w:lang w:eastAsia="sk-SK"/>
              </w:rPr>
            </w:pPr>
            <w:r w:rsidRPr="00A245AB">
              <w:rPr>
                <w:rFonts w:ascii="Times New Roman" w:hAnsi="Times New Roman"/>
                <w:sz w:val="14"/>
                <w:szCs w:val="14"/>
                <w:lang w:eastAsia="sk-SK"/>
              </w:rPr>
              <w:t> </w:t>
            </w:r>
          </w:p>
        </w:tc>
        <w:tc>
          <w:tcPr>
            <w:tcW w:w="420" w:type="dxa"/>
            <w:tcBorders>
              <w:top w:val="nil"/>
              <w:left w:val="nil"/>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w:t>
            </w:r>
          </w:p>
        </w:tc>
        <w:tc>
          <w:tcPr>
            <w:tcW w:w="960" w:type="dxa"/>
            <w:tcBorders>
              <w:top w:val="nil"/>
              <w:left w:val="nil"/>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w:t>
            </w:r>
          </w:p>
        </w:tc>
        <w:tc>
          <w:tcPr>
            <w:tcW w:w="960" w:type="dxa"/>
            <w:tcBorders>
              <w:top w:val="nil"/>
              <w:left w:val="nil"/>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w:t>
            </w:r>
          </w:p>
        </w:tc>
        <w:tc>
          <w:tcPr>
            <w:tcW w:w="960" w:type="dxa"/>
            <w:tcBorders>
              <w:top w:val="nil"/>
              <w:left w:val="nil"/>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w:t>
            </w:r>
          </w:p>
        </w:tc>
        <w:tc>
          <w:tcPr>
            <w:tcW w:w="960" w:type="dxa"/>
            <w:tcBorders>
              <w:top w:val="nil"/>
              <w:left w:val="nil"/>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w:t>
            </w:r>
          </w:p>
        </w:tc>
        <w:tc>
          <w:tcPr>
            <w:tcW w:w="960" w:type="dxa"/>
            <w:tcBorders>
              <w:top w:val="nil"/>
              <w:left w:val="nil"/>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w:t>
            </w:r>
          </w:p>
        </w:tc>
        <w:tc>
          <w:tcPr>
            <w:tcW w:w="960" w:type="dxa"/>
            <w:tcBorders>
              <w:top w:val="nil"/>
              <w:left w:val="nil"/>
              <w:bottom w:val="single" w:sz="4" w:space="0" w:color="auto"/>
              <w:right w:val="nil"/>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 </w:t>
            </w:r>
          </w:p>
        </w:tc>
      </w:tr>
      <w:tr w:rsidR="003E1809" w:rsidRPr="00A245AB" w:rsidTr="003E1809">
        <w:trPr>
          <w:trHeight w:val="330"/>
          <w:jc w:val="center"/>
        </w:trPr>
        <w:tc>
          <w:tcPr>
            <w:tcW w:w="1931" w:type="dxa"/>
            <w:tcBorders>
              <w:top w:val="nil"/>
              <w:left w:val="single" w:sz="4" w:space="0" w:color="auto"/>
              <w:bottom w:val="single" w:sz="4" w:space="0" w:color="auto"/>
              <w:right w:val="single" w:sz="4" w:space="0" w:color="auto"/>
            </w:tcBorders>
            <w:shd w:val="clear" w:color="000000" w:fill="BFBFBF"/>
            <w:noWrap/>
            <w:vAlign w:val="center"/>
            <w:hideMark/>
          </w:tcPr>
          <w:p w:rsidR="003E1809" w:rsidRPr="00A245AB" w:rsidRDefault="003E1809" w:rsidP="003E1809">
            <w:pPr>
              <w:rPr>
                <w:rFonts w:ascii="Times New Roman" w:hAnsi="Times New Roman"/>
                <w:b/>
                <w:bCs/>
                <w:sz w:val="14"/>
                <w:szCs w:val="14"/>
                <w:lang w:eastAsia="sk-SK"/>
              </w:rPr>
            </w:pPr>
            <w:r w:rsidRPr="00A245AB">
              <w:rPr>
                <w:rFonts w:ascii="Times New Roman" w:hAnsi="Times New Roman"/>
                <w:b/>
                <w:bCs/>
                <w:sz w:val="14"/>
                <w:szCs w:val="14"/>
                <w:lang w:eastAsia="sk-SK"/>
              </w:rPr>
              <w:t>Nepedagogickí zamestnanci</w:t>
            </w:r>
          </w:p>
        </w:tc>
        <w:tc>
          <w:tcPr>
            <w:tcW w:w="42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 </w:t>
            </w:r>
          </w:p>
        </w:tc>
        <w:tc>
          <w:tcPr>
            <w:tcW w:w="96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2016 S</w:t>
            </w:r>
          </w:p>
        </w:tc>
        <w:tc>
          <w:tcPr>
            <w:tcW w:w="96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2017 S</w:t>
            </w:r>
          </w:p>
        </w:tc>
        <w:tc>
          <w:tcPr>
            <w:tcW w:w="96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2018 R</w:t>
            </w:r>
          </w:p>
        </w:tc>
        <w:tc>
          <w:tcPr>
            <w:tcW w:w="96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2018 OS</w:t>
            </w:r>
          </w:p>
        </w:tc>
        <w:tc>
          <w:tcPr>
            <w:tcW w:w="96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2019 N</w:t>
            </w:r>
          </w:p>
        </w:tc>
        <w:tc>
          <w:tcPr>
            <w:tcW w:w="96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2020 N</w:t>
            </w:r>
          </w:p>
        </w:tc>
        <w:tc>
          <w:tcPr>
            <w:tcW w:w="960" w:type="dxa"/>
            <w:tcBorders>
              <w:top w:val="nil"/>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2021 N</w:t>
            </w:r>
          </w:p>
        </w:tc>
      </w:tr>
      <w:tr w:rsidR="003E1809" w:rsidRPr="00A245AB" w:rsidTr="003E1809">
        <w:trPr>
          <w:trHeight w:val="330"/>
          <w:jc w:val="center"/>
        </w:trPr>
        <w:tc>
          <w:tcPr>
            <w:tcW w:w="1931" w:type="dxa"/>
            <w:tcBorders>
              <w:top w:val="nil"/>
              <w:left w:val="single" w:sz="4" w:space="0" w:color="auto"/>
              <w:bottom w:val="single" w:sz="4" w:space="0" w:color="auto"/>
              <w:right w:val="single" w:sz="4" w:space="0" w:color="auto"/>
            </w:tcBorders>
            <w:shd w:val="clear" w:color="000000" w:fill="FFFFFF"/>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Počet zamestnancov</w:t>
            </w:r>
          </w:p>
        </w:tc>
        <w:tc>
          <w:tcPr>
            <w:tcW w:w="4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center"/>
              <w:rPr>
                <w:rFonts w:ascii="Times New Roman" w:hAnsi="Times New Roman"/>
                <w:sz w:val="14"/>
                <w:szCs w:val="14"/>
                <w:lang w:eastAsia="sk-SK"/>
              </w:rPr>
            </w:pPr>
            <w:r w:rsidRPr="00A245AB">
              <w:rPr>
                <w:rFonts w:ascii="Times New Roman" w:hAnsi="Times New Roman"/>
                <w:sz w:val="14"/>
                <w:szCs w:val="14"/>
                <w:lang w:eastAsia="sk-SK"/>
              </w:rPr>
              <w:t>osoby</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19 344</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19 262</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19 200</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19 200</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19 200</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19 200</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19 200</w:t>
            </w:r>
          </w:p>
        </w:tc>
      </w:tr>
      <w:tr w:rsidR="003E1809" w:rsidRPr="00A245AB" w:rsidTr="003E1809">
        <w:trPr>
          <w:trHeight w:val="330"/>
          <w:jc w:val="center"/>
        </w:trPr>
        <w:tc>
          <w:tcPr>
            <w:tcW w:w="1931"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b/>
                <w:bCs/>
                <w:sz w:val="14"/>
                <w:szCs w:val="14"/>
                <w:lang w:eastAsia="sk-SK"/>
              </w:rPr>
            </w:pPr>
            <w:r w:rsidRPr="00A245AB">
              <w:rPr>
                <w:rFonts w:ascii="Times New Roman" w:hAnsi="Times New Roman"/>
                <w:b/>
                <w:bCs/>
                <w:sz w:val="14"/>
                <w:szCs w:val="14"/>
                <w:lang w:eastAsia="sk-SK"/>
              </w:rPr>
              <w:t>Osobné výdavky</w:t>
            </w:r>
          </w:p>
        </w:tc>
        <w:tc>
          <w:tcPr>
            <w:tcW w:w="4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eur</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186 019 795</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197 107 481</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192 508 696</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192 658 583</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228 905 437</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251 795 981</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256 831 901</w:t>
            </w:r>
          </w:p>
        </w:tc>
      </w:tr>
      <w:tr w:rsidR="003E1809" w:rsidRPr="00A245AB" w:rsidTr="003E1809">
        <w:trPr>
          <w:trHeight w:val="330"/>
          <w:jc w:val="center"/>
        </w:trPr>
        <w:tc>
          <w:tcPr>
            <w:tcW w:w="1931"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ind w:firstLineChars="200" w:firstLine="280"/>
              <w:rPr>
                <w:rFonts w:ascii="Times New Roman" w:hAnsi="Times New Roman"/>
                <w:sz w:val="14"/>
                <w:szCs w:val="14"/>
                <w:lang w:eastAsia="sk-SK"/>
              </w:rPr>
            </w:pPr>
            <w:r w:rsidRPr="00A245AB">
              <w:rPr>
                <w:rFonts w:ascii="Times New Roman" w:hAnsi="Times New Roman"/>
                <w:sz w:val="14"/>
                <w:szCs w:val="14"/>
                <w:lang w:eastAsia="sk-SK"/>
              </w:rPr>
              <w:t>z toho: mzdové výdavky</w:t>
            </w:r>
          </w:p>
        </w:tc>
        <w:tc>
          <w:tcPr>
            <w:tcW w:w="4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center"/>
              <w:rPr>
                <w:rFonts w:ascii="Times New Roman" w:hAnsi="Times New Roman"/>
                <w:sz w:val="14"/>
                <w:szCs w:val="14"/>
                <w:lang w:eastAsia="sk-SK"/>
              </w:rPr>
            </w:pPr>
            <w:r w:rsidRPr="00A245AB">
              <w:rPr>
                <w:rFonts w:ascii="Times New Roman" w:hAnsi="Times New Roman"/>
                <w:sz w:val="14"/>
                <w:szCs w:val="14"/>
                <w:lang w:eastAsia="sk-SK"/>
              </w:rPr>
              <w:t>eur</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137 588 606</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145 789 557</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142 394 940</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142 539 929</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169 323 053</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186 258 939</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189 984 835</w:t>
            </w:r>
          </w:p>
        </w:tc>
      </w:tr>
      <w:tr w:rsidR="003E1809" w:rsidRPr="00A245AB" w:rsidTr="003E1809">
        <w:trPr>
          <w:trHeight w:val="330"/>
          <w:jc w:val="center"/>
        </w:trPr>
        <w:tc>
          <w:tcPr>
            <w:tcW w:w="1931"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b/>
                <w:bCs/>
                <w:sz w:val="14"/>
                <w:szCs w:val="14"/>
                <w:lang w:eastAsia="sk-SK"/>
              </w:rPr>
            </w:pPr>
            <w:r w:rsidRPr="00A245AB">
              <w:rPr>
                <w:rFonts w:ascii="Times New Roman" w:hAnsi="Times New Roman"/>
                <w:b/>
                <w:bCs/>
                <w:sz w:val="14"/>
                <w:szCs w:val="14"/>
                <w:lang w:eastAsia="sk-SK"/>
              </w:rPr>
              <w:t>Priemerný mzdový výdavok</w:t>
            </w:r>
          </w:p>
        </w:tc>
        <w:tc>
          <w:tcPr>
            <w:tcW w:w="42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eur</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592,72</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630,73</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618,03</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618,66</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734,91</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808,42</w:t>
            </w:r>
          </w:p>
        </w:tc>
        <w:tc>
          <w:tcPr>
            <w:tcW w:w="9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824,59</w:t>
            </w:r>
          </w:p>
        </w:tc>
      </w:tr>
      <w:tr w:rsidR="003E1809" w:rsidRPr="00A245AB" w:rsidTr="003E1809">
        <w:trPr>
          <w:trHeight w:val="735"/>
          <w:jc w:val="center"/>
        </w:trPr>
        <w:tc>
          <w:tcPr>
            <w:tcW w:w="9071" w:type="dxa"/>
            <w:gridSpan w:val="9"/>
            <w:tcBorders>
              <w:top w:val="nil"/>
              <w:left w:val="nil"/>
              <w:bottom w:val="nil"/>
              <w:right w:val="nil"/>
            </w:tcBorders>
            <w:shd w:val="clear" w:color="auto" w:fill="auto"/>
            <w:vAlign w:val="center"/>
            <w:hideMark/>
          </w:tcPr>
          <w:p w:rsidR="003E1809" w:rsidRPr="00A245AB" w:rsidRDefault="003E1809" w:rsidP="003E1809">
            <w:pPr>
              <w:jc w:val="both"/>
              <w:rPr>
                <w:rFonts w:ascii="Times New Roman" w:hAnsi="Times New Roman"/>
                <w:sz w:val="14"/>
                <w:szCs w:val="14"/>
                <w:lang w:eastAsia="sk-SK"/>
              </w:rPr>
            </w:pPr>
            <w:r w:rsidRPr="00A245AB">
              <w:rPr>
                <w:rFonts w:ascii="Times New Roman" w:hAnsi="Times New Roman"/>
                <w:sz w:val="14"/>
                <w:szCs w:val="14"/>
                <w:lang w:eastAsia="sk-SK"/>
              </w:rPr>
              <w:t>S 2016 a 2017 v osobných výdavkoch je uvedená vrátane zdrojov EÚ a mimorozpočtových prostriedkov, poistné na úrovni 35,2 % (odhad).</w:t>
            </w:r>
            <w:r w:rsidRPr="00A245AB">
              <w:rPr>
                <w:rFonts w:ascii="Times New Roman" w:hAnsi="Times New Roman"/>
                <w:sz w:val="14"/>
                <w:szCs w:val="14"/>
                <w:lang w:eastAsia="sk-SK"/>
              </w:rPr>
              <w:br/>
              <w:t>R 2018 zohľadňuje závery KZVS na rok 2018. OS 2018 počet zamestnancov (zdroj MŠVVŠ SR), zohľadňujú rozpočtové opatrenia, nezohľadňujú zdroje EÚ a spolufinancovania zo ŠR. NRVS 2019 až 2021 zohľadňuje valorizáciu, vrátane zmeny systému odmeňovania, nezohľadňuje zdroje EÚ a spolufinancovania zo ŠR.</w:t>
            </w:r>
          </w:p>
        </w:tc>
      </w:tr>
    </w:tbl>
    <w:p w:rsidR="003E1809" w:rsidRDefault="003E1809" w:rsidP="003E1809">
      <w:pPr>
        <w:jc w:val="both"/>
        <w:rPr>
          <w:rFonts w:ascii="Times New Roman" w:hAnsi="Times New Roman"/>
          <w:bCs/>
          <w:szCs w:val="22"/>
        </w:rPr>
      </w:pPr>
    </w:p>
    <w:p w:rsidR="003E1809" w:rsidRPr="0098046D" w:rsidRDefault="003E1809" w:rsidP="003E1809">
      <w:pPr>
        <w:ind w:firstLine="708"/>
        <w:jc w:val="both"/>
        <w:rPr>
          <w:rFonts w:ascii="Times New Roman" w:hAnsi="Times New Roman"/>
          <w:bCs/>
          <w:color w:val="C00000"/>
        </w:rPr>
      </w:pPr>
      <w:r w:rsidRPr="0098046D">
        <w:rPr>
          <w:rFonts w:ascii="Times New Roman" w:hAnsi="Times New Roman"/>
          <w:bCs/>
        </w:rPr>
        <w:t xml:space="preserve">Priemerný mzdový výdavok zamestnancov regionálneho školstva sa v roku 2019 očakáva na úrovni </w:t>
      </w:r>
      <w:r>
        <w:rPr>
          <w:rFonts w:ascii="Times New Roman" w:hAnsi="Times New Roman"/>
          <w:bCs/>
        </w:rPr>
        <w:t>1 174,96</w:t>
      </w:r>
      <w:r w:rsidRPr="0098046D">
        <w:rPr>
          <w:rFonts w:ascii="Times New Roman" w:hAnsi="Times New Roman"/>
          <w:bCs/>
        </w:rPr>
        <w:t xml:space="preserve"> eur, u </w:t>
      </w:r>
      <w:r>
        <w:rPr>
          <w:rFonts w:ascii="Times New Roman" w:hAnsi="Times New Roman"/>
          <w:bCs/>
        </w:rPr>
        <w:t>ne</w:t>
      </w:r>
      <w:r w:rsidRPr="0098046D">
        <w:rPr>
          <w:rFonts w:ascii="Times New Roman" w:hAnsi="Times New Roman"/>
          <w:bCs/>
        </w:rPr>
        <w:t xml:space="preserve">pedagogických zamestnancov na úrovni </w:t>
      </w:r>
      <w:r>
        <w:rPr>
          <w:rFonts w:ascii="Times New Roman" w:hAnsi="Times New Roman"/>
          <w:bCs/>
        </w:rPr>
        <w:t>734,91 </w:t>
      </w:r>
      <w:r w:rsidRPr="0098046D">
        <w:rPr>
          <w:rFonts w:ascii="Times New Roman" w:hAnsi="Times New Roman"/>
          <w:bCs/>
        </w:rPr>
        <w:t>eur.</w:t>
      </w:r>
      <w:r>
        <w:rPr>
          <w:rFonts w:ascii="Times New Roman" w:hAnsi="Times New Roman"/>
          <w:bCs/>
        </w:rPr>
        <w:t xml:space="preserve">  </w:t>
      </w:r>
    </w:p>
    <w:p w:rsidR="003E1809" w:rsidRDefault="003E1809" w:rsidP="003E1809">
      <w:pPr>
        <w:ind w:firstLine="708"/>
        <w:jc w:val="both"/>
        <w:rPr>
          <w:rFonts w:ascii="Times New Roman" w:hAnsi="Times New Roman"/>
          <w:bCs/>
          <w:color w:val="FF0000"/>
          <w:highlight w:val="yellow"/>
        </w:rPr>
      </w:pPr>
    </w:p>
    <w:p w:rsidR="003E1809" w:rsidRPr="00693116" w:rsidRDefault="003E1809" w:rsidP="003E1809">
      <w:pPr>
        <w:ind w:firstLine="708"/>
        <w:jc w:val="both"/>
        <w:rPr>
          <w:rFonts w:ascii="Times New Roman" w:hAnsi="Times New Roman"/>
          <w:bCs/>
          <w:i/>
          <w:iCs/>
          <w:u w:val="single"/>
        </w:rPr>
      </w:pPr>
      <w:r w:rsidRPr="00693116">
        <w:rPr>
          <w:rFonts w:ascii="Times New Roman" w:hAnsi="Times New Roman"/>
          <w:bCs/>
          <w:u w:val="single"/>
        </w:rPr>
        <w:t>Osobné výdavky verejných vysokých škôl</w:t>
      </w:r>
    </w:p>
    <w:p w:rsidR="003E1809" w:rsidRPr="00F072C1" w:rsidRDefault="003E1809" w:rsidP="003E1809">
      <w:pPr>
        <w:ind w:firstLine="709"/>
        <w:jc w:val="both"/>
        <w:rPr>
          <w:rFonts w:ascii="Times New Roman" w:hAnsi="Times New Roman"/>
          <w:color w:val="FF0000"/>
          <w:highlight w:val="yellow"/>
        </w:rPr>
      </w:pPr>
    </w:p>
    <w:p w:rsidR="003E1809" w:rsidRPr="00920F4F" w:rsidRDefault="003E1809" w:rsidP="003E1809">
      <w:pPr>
        <w:ind w:firstLine="708"/>
        <w:jc w:val="both"/>
        <w:rPr>
          <w:rFonts w:ascii="Times New Roman" w:hAnsi="Times New Roman"/>
          <w:bCs/>
        </w:rPr>
      </w:pPr>
      <w:r w:rsidRPr="000A6B05">
        <w:rPr>
          <w:rFonts w:ascii="Times New Roman" w:hAnsi="Times New Roman"/>
          <w:bCs/>
        </w:rPr>
        <w:t>Osobné výdavky verejných vysokých škôl vychádzajú z rozpisu rozpočtovaného transferu kapitolou Ministerstva školstva, vedy, výskumu a športu SR na rok 2019 v sume 42</w:t>
      </w:r>
      <w:r>
        <w:rPr>
          <w:rFonts w:ascii="Times New Roman" w:hAnsi="Times New Roman"/>
          <w:bCs/>
        </w:rPr>
        <w:t>1 </w:t>
      </w:r>
      <w:r w:rsidRPr="000A6B05">
        <w:rPr>
          <w:rFonts w:ascii="Times New Roman" w:hAnsi="Times New Roman"/>
          <w:bCs/>
        </w:rPr>
        <w:t>mil.</w:t>
      </w:r>
      <w:r>
        <w:rPr>
          <w:rFonts w:ascii="Times New Roman" w:hAnsi="Times New Roman"/>
          <w:bCs/>
        </w:rPr>
        <w:t> </w:t>
      </w:r>
      <w:r w:rsidRPr="000A6B05">
        <w:rPr>
          <w:rFonts w:ascii="Times New Roman" w:hAnsi="Times New Roman"/>
          <w:bCs/>
        </w:rPr>
        <w:t>eur, na rok 2020 v sume 46</w:t>
      </w:r>
      <w:r>
        <w:rPr>
          <w:rFonts w:ascii="Times New Roman" w:hAnsi="Times New Roman"/>
          <w:bCs/>
        </w:rPr>
        <w:t>2 </w:t>
      </w:r>
      <w:r w:rsidRPr="000A6B05">
        <w:rPr>
          <w:rFonts w:ascii="Times New Roman" w:hAnsi="Times New Roman"/>
          <w:bCs/>
        </w:rPr>
        <w:t>mil.</w:t>
      </w:r>
      <w:r>
        <w:rPr>
          <w:rFonts w:ascii="Times New Roman" w:hAnsi="Times New Roman"/>
          <w:bCs/>
        </w:rPr>
        <w:t> </w:t>
      </w:r>
      <w:r w:rsidRPr="000A6B05">
        <w:rPr>
          <w:rFonts w:ascii="Times New Roman" w:hAnsi="Times New Roman"/>
          <w:bCs/>
        </w:rPr>
        <w:t>eur a na rok 2021 v sume 465</w:t>
      </w:r>
      <w:r>
        <w:rPr>
          <w:rFonts w:ascii="Times New Roman" w:hAnsi="Times New Roman"/>
          <w:bCs/>
        </w:rPr>
        <w:t> </w:t>
      </w:r>
      <w:r w:rsidRPr="000A6B05">
        <w:rPr>
          <w:rFonts w:ascii="Times New Roman" w:hAnsi="Times New Roman"/>
          <w:bCs/>
        </w:rPr>
        <w:t>mil.</w:t>
      </w:r>
      <w:r>
        <w:rPr>
          <w:rFonts w:ascii="Times New Roman" w:hAnsi="Times New Roman"/>
          <w:bCs/>
        </w:rPr>
        <w:t> </w:t>
      </w:r>
      <w:r w:rsidRPr="000A6B05">
        <w:rPr>
          <w:rFonts w:ascii="Times New Roman" w:hAnsi="Times New Roman"/>
          <w:bCs/>
        </w:rPr>
        <w:t>eur.</w:t>
      </w:r>
      <w:r>
        <w:rPr>
          <w:rFonts w:ascii="Times New Roman" w:hAnsi="Times New Roman"/>
          <w:bCs/>
        </w:rPr>
        <w:t xml:space="preserve"> P</w:t>
      </w:r>
      <w:r w:rsidRPr="00A83995">
        <w:rPr>
          <w:rFonts w:ascii="Times New Roman" w:hAnsi="Times New Roman"/>
          <w:bCs/>
        </w:rPr>
        <w:t>o</w:t>
      </w:r>
      <w:r>
        <w:rPr>
          <w:rFonts w:ascii="Times New Roman" w:hAnsi="Times New Roman"/>
          <w:bCs/>
        </w:rPr>
        <w:t> </w:t>
      </w:r>
      <w:r w:rsidRPr="00A83995">
        <w:rPr>
          <w:rFonts w:ascii="Times New Roman" w:hAnsi="Times New Roman"/>
          <w:bCs/>
        </w:rPr>
        <w:t>zohľadnení valorizácie platov učiteľov vysokých škôl na úrovni 10</w:t>
      </w:r>
      <w:r>
        <w:rPr>
          <w:rFonts w:ascii="Times New Roman" w:hAnsi="Times New Roman"/>
          <w:bCs/>
        </w:rPr>
        <w:t> </w:t>
      </w:r>
      <w:r w:rsidRPr="00A83995">
        <w:rPr>
          <w:rFonts w:ascii="Times New Roman" w:hAnsi="Times New Roman"/>
          <w:bCs/>
        </w:rPr>
        <w:t>%, zohľadnení rozšírenia započítanej praxe o dva platové stupne, zohľadnení zvýhodnenia odmeňovania začínajúcich učiteľov a po zohľadnení zákona, ktorým sa mení a dopĺňa zákon č.</w:t>
      </w:r>
      <w:r>
        <w:rPr>
          <w:rFonts w:ascii="Times New Roman" w:hAnsi="Times New Roman"/>
          <w:bCs/>
        </w:rPr>
        <w:t> </w:t>
      </w:r>
      <w:r w:rsidRPr="00A83995">
        <w:rPr>
          <w:rFonts w:ascii="Times New Roman" w:hAnsi="Times New Roman"/>
          <w:bCs/>
        </w:rPr>
        <w:t>553/2003</w:t>
      </w:r>
      <w:r>
        <w:rPr>
          <w:rFonts w:ascii="Times New Roman" w:hAnsi="Times New Roman"/>
          <w:bCs/>
        </w:rPr>
        <w:t> </w:t>
      </w:r>
      <w:r w:rsidRPr="00A83995">
        <w:rPr>
          <w:rFonts w:ascii="Times New Roman" w:hAnsi="Times New Roman"/>
          <w:bCs/>
        </w:rPr>
        <w:t>Z.</w:t>
      </w:r>
      <w:r>
        <w:rPr>
          <w:rFonts w:ascii="Times New Roman" w:hAnsi="Times New Roman"/>
          <w:bCs/>
        </w:rPr>
        <w:t> </w:t>
      </w:r>
      <w:r w:rsidRPr="00A83995">
        <w:rPr>
          <w:rFonts w:ascii="Times New Roman" w:hAnsi="Times New Roman"/>
          <w:bCs/>
        </w:rPr>
        <w:t>z. o odmeňovaní niektorých zamestnancov pri výkone práce vo verejnom záujme</w:t>
      </w:r>
      <w:r>
        <w:rPr>
          <w:rFonts w:ascii="Times New Roman" w:hAnsi="Times New Roman"/>
          <w:bCs/>
        </w:rPr>
        <w:t>,</w:t>
      </w:r>
      <w:r w:rsidRPr="00A83995">
        <w:rPr>
          <w:rFonts w:ascii="Times New Roman" w:hAnsi="Times New Roman"/>
          <w:bCs/>
        </w:rPr>
        <w:t xml:space="preserve"> dosiahnu osobné výdavky v roku 2019 sumu 46</w:t>
      </w:r>
      <w:r>
        <w:rPr>
          <w:rFonts w:ascii="Times New Roman" w:hAnsi="Times New Roman"/>
          <w:bCs/>
        </w:rPr>
        <w:t>5 </w:t>
      </w:r>
      <w:r w:rsidRPr="00A83995">
        <w:rPr>
          <w:rFonts w:ascii="Times New Roman" w:hAnsi="Times New Roman"/>
          <w:bCs/>
        </w:rPr>
        <w:t>mil.</w:t>
      </w:r>
      <w:r>
        <w:rPr>
          <w:rFonts w:ascii="Times New Roman" w:hAnsi="Times New Roman"/>
          <w:bCs/>
        </w:rPr>
        <w:t> </w:t>
      </w:r>
      <w:r w:rsidRPr="00A83995">
        <w:rPr>
          <w:rFonts w:ascii="Times New Roman" w:hAnsi="Times New Roman"/>
          <w:bCs/>
        </w:rPr>
        <w:t xml:space="preserve">eur, </w:t>
      </w:r>
      <w:r w:rsidRPr="00297F29">
        <w:rPr>
          <w:rFonts w:ascii="Times New Roman" w:hAnsi="Times New Roman"/>
          <w:bCs/>
        </w:rPr>
        <w:t>v tom mzdy 34</w:t>
      </w:r>
      <w:r>
        <w:rPr>
          <w:rFonts w:ascii="Times New Roman" w:hAnsi="Times New Roman"/>
          <w:bCs/>
        </w:rPr>
        <w:t>4 mil. eur s priemerným mzdovým výdavkom 1 330,38 eur,</w:t>
      </w:r>
      <w:r w:rsidRPr="00297F29">
        <w:rPr>
          <w:rFonts w:ascii="Times New Roman" w:hAnsi="Times New Roman"/>
          <w:bCs/>
        </w:rPr>
        <w:t xml:space="preserve"> v roku 2020</w:t>
      </w:r>
      <w:r w:rsidRPr="00623CAC">
        <w:rPr>
          <w:rFonts w:ascii="Times New Roman" w:hAnsi="Times New Roman"/>
          <w:bCs/>
          <w:color w:val="FF0000"/>
        </w:rPr>
        <w:t xml:space="preserve"> </w:t>
      </w:r>
      <w:r w:rsidRPr="00920F4F">
        <w:rPr>
          <w:rFonts w:ascii="Times New Roman" w:hAnsi="Times New Roman"/>
          <w:bCs/>
        </w:rPr>
        <w:t>sumu 5</w:t>
      </w:r>
      <w:r>
        <w:rPr>
          <w:rFonts w:ascii="Times New Roman" w:hAnsi="Times New Roman"/>
          <w:bCs/>
        </w:rPr>
        <w:t>49 </w:t>
      </w:r>
      <w:r w:rsidRPr="00920F4F">
        <w:rPr>
          <w:rFonts w:ascii="Times New Roman" w:hAnsi="Times New Roman"/>
          <w:bCs/>
        </w:rPr>
        <w:t>mil.</w:t>
      </w:r>
      <w:r>
        <w:rPr>
          <w:rFonts w:ascii="Times New Roman" w:hAnsi="Times New Roman"/>
          <w:bCs/>
        </w:rPr>
        <w:t> </w:t>
      </w:r>
      <w:r w:rsidRPr="00920F4F">
        <w:rPr>
          <w:rFonts w:ascii="Times New Roman" w:hAnsi="Times New Roman"/>
          <w:bCs/>
        </w:rPr>
        <w:t>eur, v tom mzdy 40</w:t>
      </w:r>
      <w:r>
        <w:rPr>
          <w:rFonts w:ascii="Times New Roman" w:hAnsi="Times New Roman"/>
          <w:bCs/>
        </w:rPr>
        <w:t>4 </w:t>
      </w:r>
      <w:r w:rsidRPr="00920F4F">
        <w:rPr>
          <w:rFonts w:ascii="Times New Roman" w:hAnsi="Times New Roman"/>
          <w:bCs/>
        </w:rPr>
        <w:t>mil.</w:t>
      </w:r>
      <w:r>
        <w:rPr>
          <w:rFonts w:ascii="Times New Roman" w:hAnsi="Times New Roman"/>
          <w:bCs/>
        </w:rPr>
        <w:t> </w:t>
      </w:r>
      <w:r w:rsidRPr="00920F4F">
        <w:rPr>
          <w:rFonts w:ascii="Times New Roman" w:hAnsi="Times New Roman"/>
          <w:bCs/>
        </w:rPr>
        <w:t>eur a v roku 2021 sumu 56</w:t>
      </w:r>
      <w:r>
        <w:rPr>
          <w:rFonts w:ascii="Times New Roman" w:hAnsi="Times New Roman"/>
          <w:bCs/>
        </w:rPr>
        <w:t>1 </w:t>
      </w:r>
      <w:r w:rsidRPr="00920F4F">
        <w:rPr>
          <w:rFonts w:ascii="Times New Roman" w:hAnsi="Times New Roman"/>
          <w:bCs/>
        </w:rPr>
        <w:t>mil.</w:t>
      </w:r>
      <w:r>
        <w:rPr>
          <w:rFonts w:ascii="Times New Roman" w:hAnsi="Times New Roman"/>
          <w:bCs/>
        </w:rPr>
        <w:t> </w:t>
      </w:r>
      <w:r w:rsidRPr="00920F4F">
        <w:rPr>
          <w:rFonts w:ascii="Times New Roman" w:hAnsi="Times New Roman"/>
          <w:bCs/>
        </w:rPr>
        <w:t>eur, v tom mzdy 41</w:t>
      </w:r>
      <w:r>
        <w:rPr>
          <w:rFonts w:ascii="Times New Roman" w:hAnsi="Times New Roman"/>
          <w:bCs/>
        </w:rPr>
        <w:t>3 </w:t>
      </w:r>
      <w:r w:rsidRPr="00920F4F">
        <w:rPr>
          <w:rFonts w:ascii="Times New Roman" w:hAnsi="Times New Roman"/>
          <w:bCs/>
        </w:rPr>
        <w:t>mil.</w:t>
      </w:r>
      <w:r>
        <w:rPr>
          <w:rFonts w:ascii="Times New Roman" w:hAnsi="Times New Roman"/>
          <w:bCs/>
        </w:rPr>
        <w:t> </w:t>
      </w:r>
      <w:r w:rsidRPr="00920F4F">
        <w:rPr>
          <w:rFonts w:ascii="Times New Roman" w:hAnsi="Times New Roman"/>
          <w:bCs/>
        </w:rPr>
        <w:t xml:space="preserve">eur. </w:t>
      </w:r>
    </w:p>
    <w:p w:rsidR="003E1809" w:rsidRPr="00A83995" w:rsidRDefault="003E1809" w:rsidP="003E1809">
      <w:pPr>
        <w:ind w:firstLine="708"/>
        <w:jc w:val="both"/>
        <w:rPr>
          <w:rFonts w:ascii="Times New Roman" w:hAnsi="Times New Roman"/>
          <w:bCs/>
          <w:color w:val="FF0000"/>
        </w:rPr>
      </w:pPr>
    </w:p>
    <w:p w:rsidR="003E1809" w:rsidRPr="00B86CD0" w:rsidRDefault="003E1809" w:rsidP="003E1809">
      <w:pPr>
        <w:ind w:firstLine="708"/>
        <w:jc w:val="both"/>
        <w:rPr>
          <w:rFonts w:ascii="Times New Roman" w:hAnsi="Times New Roman"/>
          <w:bCs/>
        </w:rPr>
      </w:pPr>
      <w:r w:rsidRPr="00B86CD0">
        <w:rPr>
          <w:rFonts w:ascii="Times New Roman" w:hAnsi="Times New Roman"/>
          <w:bCs/>
        </w:rPr>
        <w:t>Počet zamestnancov na roky 2019 až 2021 v počte 21</w:t>
      </w:r>
      <w:r>
        <w:rPr>
          <w:rFonts w:ascii="Times New Roman" w:hAnsi="Times New Roman"/>
          <w:bCs/>
        </w:rPr>
        <w:t> </w:t>
      </w:r>
      <w:r w:rsidRPr="00B86CD0">
        <w:rPr>
          <w:rFonts w:ascii="Times New Roman" w:hAnsi="Times New Roman"/>
          <w:bCs/>
        </w:rPr>
        <w:t>529</w:t>
      </w:r>
      <w:r>
        <w:rPr>
          <w:rFonts w:ascii="Times New Roman" w:hAnsi="Times New Roman"/>
          <w:bCs/>
        </w:rPr>
        <w:t> </w:t>
      </w:r>
      <w:r w:rsidRPr="00B86CD0">
        <w:rPr>
          <w:rFonts w:ascii="Times New Roman" w:hAnsi="Times New Roman"/>
          <w:bCs/>
        </w:rPr>
        <w:t>osôb vychádza z návrhu kapitoly  a zostáva zachovaný na úrovni roku 2018</w:t>
      </w:r>
      <w:r>
        <w:rPr>
          <w:rFonts w:ascii="Times New Roman" w:hAnsi="Times New Roman"/>
          <w:bCs/>
        </w:rPr>
        <w:t>.</w:t>
      </w:r>
    </w:p>
    <w:p w:rsidR="00B5225B" w:rsidRDefault="00B5225B" w:rsidP="003E1809">
      <w:pPr>
        <w:ind w:firstLine="709"/>
        <w:jc w:val="both"/>
        <w:rPr>
          <w:rFonts w:ascii="Times New Roman" w:hAnsi="Times New Roman"/>
          <w:bCs/>
        </w:rPr>
      </w:pPr>
    </w:p>
    <w:p w:rsidR="003E1809" w:rsidRDefault="003E1809" w:rsidP="003E1809">
      <w:pPr>
        <w:ind w:firstLine="709"/>
        <w:jc w:val="both"/>
        <w:rPr>
          <w:rFonts w:ascii="Times New Roman" w:hAnsi="Times New Roman"/>
          <w:bCs/>
        </w:rPr>
      </w:pPr>
      <w:r w:rsidRPr="00A07BB9">
        <w:rPr>
          <w:rFonts w:ascii="Times New Roman" w:hAnsi="Times New Roman"/>
          <w:bCs/>
        </w:rPr>
        <w:t>Prehľad o skutočne dosiahnutých ukazovateľoch zamestnanosti v rokoch 201</w:t>
      </w:r>
      <w:r>
        <w:rPr>
          <w:rFonts w:ascii="Times New Roman" w:hAnsi="Times New Roman"/>
          <w:bCs/>
        </w:rPr>
        <w:t>6</w:t>
      </w:r>
      <w:r w:rsidRPr="00A07BB9">
        <w:rPr>
          <w:rFonts w:ascii="Times New Roman" w:hAnsi="Times New Roman"/>
          <w:bCs/>
        </w:rPr>
        <w:t xml:space="preserve"> a 201</w:t>
      </w:r>
      <w:r>
        <w:rPr>
          <w:rFonts w:ascii="Times New Roman" w:hAnsi="Times New Roman"/>
          <w:bCs/>
        </w:rPr>
        <w:t>7</w:t>
      </w:r>
      <w:r w:rsidRPr="00A07BB9">
        <w:rPr>
          <w:rFonts w:ascii="Times New Roman" w:hAnsi="Times New Roman"/>
          <w:bCs/>
        </w:rPr>
        <w:t xml:space="preserve">, </w:t>
      </w:r>
      <w:r>
        <w:rPr>
          <w:rFonts w:ascii="Times New Roman" w:hAnsi="Times New Roman"/>
          <w:bCs/>
        </w:rPr>
        <w:t xml:space="preserve">o </w:t>
      </w:r>
      <w:r w:rsidRPr="00A07BB9">
        <w:rPr>
          <w:rFonts w:ascii="Times New Roman" w:hAnsi="Times New Roman"/>
          <w:bCs/>
        </w:rPr>
        <w:t>rozpočte a očakávanej skutočnosti na rok 201</w:t>
      </w:r>
      <w:r>
        <w:rPr>
          <w:rFonts w:ascii="Times New Roman" w:hAnsi="Times New Roman"/>
          <w:bCs/>
        </w:rPr>
        <w:t>8</w:t>
      </w:r>
      <w:r w:rsidRPr="00A07BB9">
        <w:rPr>
          <w:rFonts w:ascii="Times New Roman" w:hAnsi="Times New Roman"/>
          <w:bCs/>
        </w:rPr>
        <w:t xml:space="preserve"> a o návrhu rozpočtu na roky 201</w:t>
      </w:r>
      <w:r>
        <w:rPr>
          <w:rFonts w:ascii="Times New Roman" w:hAnsi="Times New Roman"/>
          <w:bCs/>
        </w:rPr>
        <w:t>9</w:t>
      </w:r>
      <w:r w:rsidRPr="00A07BB9">
        <w:rPr>
          <w:rFonts w:ascii="Times New Roman" w:hAnsi="Times New Roman"/>
          <w:bCs/>
        </w:rPr>
        <w:t xml:space="preserve"> až 20</w:t>
      </w:r>
      <w:r>
        <w:rPr>
          <w:rFonts w:ascii="Times New Roman" w:hAnsi="Times New Roman"/>
          <w:bCs/>
        </w:rPr>
        <w:t>21</w:t>
      </w:r>
      <w:r w:rsidRPr="00A07BB9">
        <w:rPr>
          <w:rFonts w:ascii="Times New Roman" w:hAnsi="Times New Roman"/>
          <w:bCs/>
        </w:rPr>
        <w:t xml:space="preserve"> je uvedený v tabuľke.</w:t>
      </w:r>
    </w:p>
    <w:p w:rsidR="003E1809" w:rsidRDefault="003E1809" w:rsidP="003E1809">
      <w:pPr>
        <w:ind w:firstLine="709"/>
        <w:jc w:val="both"/>
        <w:rPr>
          <w:rFonts w:ascii="Times New Roman" w:hAnsi="Times New Roman"/>
          <w:bCs/>
        </w:rPr>
      </w:pPr>
    </w:p>
    <w:tbl>
      <w:tblPr>
        <w:tblW w:w="9020" w:type="dxa"/>
        <w:tblInd w:w="75" w:type="dxa"/>
        <w:tblCellMar>
          <w:left w:w="70" w:type="dxa"/>
          <w:right w:w="70" w:type="dxa"/>
        </w:tblCellMar>
        <w:tblLook w:val="04A0" w:firstRow="1" w:lastRow="0" w:firstColumn="1" w:lastColumn="0" w:noHBand="0" w:noVBand="1"/>
      </w:tblPr>
      <w:tblGrid>
        <w:gridCol w:w="2260"/>
        <w:gridCol w:w="475"/>
        <w:gridCol w:w="900"/>
        <w:gridCol w:w="900"/>
        <w:gridCol w:w="900"/>
        <w:gridCol w:w="900"/>
        <w:gridCol w:w="900"/>
        <w:gridCol w:w="900"/>
        <w:gridCol w:w="900"/>
      </w:tblGrid>
      <w:tr w:rsidR="003E1809" w:rsidRPr="00A245AB" w:rsidTr="003E1809">
        <w:trPr>
          <w:trHeight w:val="330"/>
        </w:trPr>
        <w:tc>
          <w:tcPr>
            <w:tcW w:w="22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bookmarkEnd w:id="56"/>
          <w:p w:rsidR="003E1809" w:rsidRPr="00A245AB" w:rsidRDefault="003E1809" w:rsidP="003E1809">
            <w:pPr>
              <w:rPr>
                <w:rFonts w:ascii="Times New Roman" w:hAnsi="Times New Roman"/>
                <w:b/>
                <w:bCs/>
                <w:sz w:val="14"/>
                <w:szCs w:val="14"/>
                <w:lang w:eastAsia="sk-SK"/>
              </w:rPr>
            </w:pPr>
            <w:r w:rsidRPr="00A245AB">
              <w:rPr>
                <w:rFonts w:ascii="Times New Roman" w:hAnsi="Times New Roman"/>
                <w:b/>
                <w:bCs/>
                <w:sz w:val="14"/>
                <w:szCs w:val="14"/>
                <w:lang w:eastAsia="sk-SK"/>
              </w:rPr>
              <w:t>Verejné vysoké školy</w:t>
            </w:r>
          </w:p>
        </w:tc>
        <w:tc>
          <w:tcPr>
            <w:tcW w:w="460" w:type="dxa"/>
            <w:tcBorders>
              <w:top w:val="single" w:sz="4" w:space="0" w:color="auto"/>
              <w:left w:val="nil"/>
              <w:bottom w:val="single" w:sz="4" w:space="0" w:color="auto"/>
              <w:right w:val="single" w:sz="4" w:space="0" w:color="auto"/>
            </w:tcBorders>
            <w:shd w:val="clear" w:color="000000" w:fill="BFBFBF"/>
            <w:noWrap/>
            <w:vAlign w:val="center"/>
            <w:hideMark/>
          </w:tcPr>
          <w:p w:rsidR="003E1809" w:rsidRPr="00A245AB" w:rsidRDefault="003E1809" w:rsidP="003E1809">
            <w:pPr>
              <w:rPr>
                <w:rFonts w:ascii="Times New Roman" w:hAnsi="Times New Roman"/>
                <w:b/>
                <w:bCs/>
                <w:sz w:val="14"/>
                <w:szCs w:val="14"/>
                <w:lang w:eastAsia="sk-SK"/>
              </w:rPr>
            </w:pPr>
            <w:r w:rsidRPr="00A245AB">
              <w:rPr>
                <w:rFonts w:ascii="Times New Roman" w:hAnsi="Times New Roman"/>
                <w:b/>
                <w:bCs/>
                <w:sz w:val="14"/>
                <w:szCs w:val="14"/>
                <w:lang w:eastAsia="sk-SK"/>
              </w:rPr>
              <w:t> </w:t>
            </w:r>
          </w:p>
        </w:tc>
        <w:tc>
          <w:tcPr>
            <w:tcW w:w="900" w:type="dxa"/>
            <w:tcBorders>
              <w:top w:val="single" w:sz="4" w:space="0" w:color="auto"/>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2016 S</w:t>
            </w:r>
          </w:p>
        </w:tc>
        <w:tc>
          <w:tcPr>
            <w:tcW w:w="900" w:type="dxa"/>
            <w:tcBorders>
              <w:top w:val="single" w:sz="4" w:space="0" w:color="auto"/>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2017 S</w:t>
            </w:r>
          </w:p>
        </w:tc>
        <w:tc>
          <w:tcPr>
            <w:tcW w:w="900" w:type="dxa"/>
            <w:tcBorders>
              <w:top w:val="single" w:sz="4" w:space="0" w:color="auto"/>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2018 R</w:t>
            </w:r>
          </w:p>
        </w:tc>
        <w:tc>
          <w:tcPr>
            <w:tcW w:w="900" w:type="dxa"/>
            <w:tcBorders>
              <w:top w:val="single" w:sz="4" w:space="0" w:color="auto"/>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2018 OS</w:t>
            </w:r>
          </w:p>
        </w:tc>
        <w:tc>
          <w:tcPr>
            <w:tcW w:w="900" w:type="dxa"/>
            <w:tcBorders>
              <w:top w:val="single" w:sz="4" w:space="0" w:color="auto"/>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2019 N</w:t>
            </w:r>
          </w:p>
        </w:tc>
        <w:tc>
          <w:tcPr>
            <w:tcW w:w="900" w:type="dxa"/>
            <w:tcBorders>
              <w:top w:val="single" w:sz="4" w:space="0" w:color="auto"/>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2020 N</w:t>
            </w:r>
          </w:p>
        </w:tc>
        <w:tc>
          <w:tcPr>
            <w:tcW w:w="900" w:type="dxa"/>
            <w:tcBorders>
              <w:top w:val="single" w:sz="4" w:space="0" w:color="auto"/>
              <w:left w:val="nil"/>
              <w:bottom w:val="single" w:sz="4" w:space="0" w:color="auto"/>
              <w:right w:val="single" w:sz="4" w:space="0" w:color="auto"/>
            </w:tcBorders>
            <w:shd w:val="clear" w:color="000000" w:fill="BFBFBF"/>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2021 N</w:t>
            </w:r>
          </w:p>
        </w:tc>
      </w:tr>
      <w:tr w:rsidR="003E1809" w:rsidRPr="00A245AB" w:rsidTr="003E1809">
        <w:trPr>
          <w:trHeight w:val="330"/>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sz w:val="14"/>
                <w:szCs w:val="14"/>
                <w:lang w:eastAsia="sk-SK"/>
              </w:rPr>
            </w:pPr>
            <w:r w:rsidRPr="00A245AB">
              <w:rPr>
                <w:rFonts w:ascii="Times New Roman" w:hAnsi="Times New Roman"/>
                <w:sz w:val="14"/>
                <w:szCs w:val="14"/>
                <w:lang w:eastAsia="sk-SK"/>
              </w:rPr>
              <w:t>Počet zamestnancov</w:t>
            </w:r>
          </w:p>
        </w:tc>
        <w:tc>
          <w:tcPr>
            <w:tcW w:w="4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center"/>
              <w:rPr>
                <w:rFonts w:ascii="Times New Roman" w:hAnsi="Times New Roman"/>
                <w:sz w:val="14"/>
                <w:szCs w:val="14"/>
                <w:lang w:eastAsia="sk-SK"/>
              </w:rPr>
            </w:pPr>
            <w:r w:rsidRPr="00A245AB">
              <w:rPr>
                <w:rFonts w:ascii="Times New Roman" w:hAnsi="Times New Roman"/>
                <w:sz w:val="14"/>
                <w:szCs w:val="14"/>
                <w:lang w:eastAsia="sk-SK"/>
              </w:rPr>
              <w:t>osoby</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20 882</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20 648</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21 529</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20 590</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21 529</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21 529</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21 529</w:t>
            </w:r>
          </w:p>
        </w:tc>
      </w:tr>
      <w:tr w:rsidR="003E1809" w:rsidRPr="00A245AB" w:rsidTr="003E1809">
        <w:trPr>
          <w:trHeight w:val="330"/>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b/>
                <w:bCs/>
                <w:sz w:val="14"/>
                <w:szCs w:val="14"/>
                <w:lang w:eastAsia="sk-SK"/>
              </w:rPr>
            </w:pPr>
            <w:r w:rsidRPr="00A245AB">
              <w:rPr>
                <w:rFonts w:ascii="Times New Roman" w:hAnsi="Times New Roman"/>
                <w:b/>
                <w:bCs/>
                <w:sz w:val="14"/>
                <w:szCs w:val="14"/>
                <w:lang w:eastAsia="sk-SK"/>
              </w:rPr>
              <w:t>Osobné výdavky</w:t>
            </w:r>
          </w:p>
        </w:tc>
        <w:tc>
          <w:tcPr>
            <w:tcW w:w="4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eur</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388 710 741</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404 996 395</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417 564 395</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462 790 000</w:t>
            </w:r>
          </w:p>
        </w:tc>
        <w:tc>
          <w:tcPr>
            <w:tcW w:w="900" w:type="dxa"/>
            <w:tcBorders>
              <w:top w:val="nil"/>
              <w:left w:val="nil"/>
              <w:bottom w:val="single" w:sz="4" w:space="0" w:color="auto"/>
              <w:right w:val="single" w:sz="4" w:space="0" w:color="auto"/>
            </w:tcBorders>
            <w:shd w:val="clear" w:color="000000" w:fill="FFFFFF"/>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465 258 512</w:t>
            </w:r>
          </w:p>
        </w:tc>
        <w:tc>
          <w:tcPr>
            <w:tcW w:w="900" w:type="dxa"/>
            <w:tcBorders>
              <w:top w:val="nil"/>
              <w:left w:val="nil"/>
              <w:bottom w:val="single" w:sz="4" w:space="0" w:color="auto"/>
              <w:right w:val="single" w:sz="4" w:space="0" w:color="auto"/>
            </w:tcBorders>
            <w:shd w:val="clear" w:color="000000" w:fill="FFFFFF"/>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548 784 162</w:t>
            </w:r>
          </w:p>
        </w:tc>
        <w:tc>
          <w:tcPr>
            <w:tcW w:w="900" w:type="dxa"/>
            <w:tcBorders>
              <w:top w:val="nil"/>
              <w:left w:val="nil"/>
              <w:bottom w:val="single" w:sz="4" w:space="0" w:color="auto"/>
              <w:right w:val="single" w:sz="4" w:space="0" w:color="auto"/>
            </w:tcBorders>
            <w:shd w:val="clear" w:color="000000" w:fill="FFFFFF"/>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560 837 408</w:t>
            </w:r>
          </w:p>
        </w:tc>
      </w:tr>
      <w:tr w:rsidR="003E1809" w:rsidRPr="00A245AB" w:rsidTr="003E1809">
        <w:trPr>
          <w:trHeight w:val="330"/>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ind w:firstLineChars="200" w:firstLine="280"/>
              <w:rPr>
                <w:rFonts w:ascii="Times New Roman" w:hAnsi="Times New Roman"/>
                <w:sz w:val="14"/>
                <w:szCs w:val="14"/>
                <w:lang w:eastAsia="sk-SK"/>
              </w:rPr>
            </w:pPr>
            <w:r w:rsidRPr="00A245AB">
              <w:rPr>
                <w:rFonts w:ascii="Times New Roman" w:hAnsi="Times New Roman"/>
                <w:sz w:val="14"/>
                <w:szCs w:val="14"/>
                <w:lang w:eastAsia="sk-SK"/>
              </w:rPr>
              <w:t>z toho: mzdové výdavky</w:t>
            </w:r>
          </w:p>
        </w:tc>
        <w:tc>
          <w:tcPr>
            <w:tcW w:w="4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center"/>
              <w:rPr>
                <w:rFonts w:ascii="Times New Roman" w:hAnsi="Times New Roman"/>
                <w:sz w:val="14"/>
                <w:szCs w:val="14"/>
                <w:lang w:eastAsia="sk-SK"/>
              </w:rPr>
            </w:pPr>
            <w:r w:rsidRPr="00A245AB">
              <w:rPr>
                <w:rFonts w:ascii="Times New Roman" w:hAnsi="Times New Roman"/>
                <w:sz w:val="14"/>
                <w:szCs w:val="14"/>
                <w:lang w:eastAsia="sk-SK"/>
              </w:rPr>
              <w:t>eur</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287 606 718</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298 500 265</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308 525 262</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342 828 000</w:t>
            </w:r>
          </w:p>
        </w:tc>
        <w:tc>
          <w:tcPr>
            <w:tcW w:w="900" w:type="dxa"/>
            <w:tcBorders>
              <w:top w:val="nil"/>
              <w:left w:val="nil"/>
              <w:bottom w:val="single" w:sz="4" w:space="0" w:color="auto"/>
              <w:right w:val="single" w:sz="4" w:space="0" w:color="auto"/>
            </w:tcBorders>
            <w:shd w:val="clear" w:color="000000" w:fill="FFFFFF"/>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343 701 036</w:t>
            </w:r>
          </w:p>
        </w:tc>
        <w:tc>
          <w:tcPr>
            <w:tcW w:w="900" w:type="dxa"/>
            <w:tcBorders>
              <w:top w:val="nil"/>
              <w:left w:val="nil"/>
              <w:bottom w:val="single" w:sz="4" w:space="0" w:color="auto"/>
              <w:right w:val="single" w:sz="4" w:space="0" w:color="auto"/>
            </w:tcBorders>
            <w:shd w:val="clear" w:color="000000" w:fill="FFFFFF"/>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404 349 107</w:t>
            </w:r>
          </w:p>
        </w:tc>
        <w:tc>
          <w:tcPr>
            <w:tcW w:w="900" w:type="dxa"/>
            <w:tcBorders>
              <w:top w:val="nil"/>
              <w:left w:val="nil"/>
              <w:bottom w:val="single" w:sz="4" w:space="0" w:color="auto"/>
              <w:right w:val="single" w:sz="4" w:space="0" w:color="auto"/>
            </w:tcBorders>
            <w:shd w:val="clear" w:color="000000" w:fill="FFFFFF"/>
            <w:noWrap/>
            <w:vAlign w:val="center"/>
            <w:hideMark/>
          </w:tcPr>
          <w:p w:rsidR="003E1809" w:rsidRPr="00A245AB" w:rsidRDefault="003E1809" w:rsidP="003E1809">
            <w:pPr>
              <w:jc w:val="right"/>
              <w:rPr>
                <w:rFonts w:ascii="Times New Roman" w:hAnsi="Times New Roman"/>
                <w:sz w:val="14"/>
                <w:szCs w:val="14"/>
                <w:lang w:eastAsia="sk-SK"/>
              </w:rPr>
            </w:pPr>
            <w:r w:rsidRPr="00A245AB">
              <w:rPr>
                <w:rFonts w:ascii="Times New Roman" w:hAnsi="Times New Roman"/>
                <w:sz w:val="14"/>
                <w:szCs w:val="14"/>
                <w:lang w:eastAsia="sk-SK"/>
              </w:rPr>
              <w:t>413 020 749</w:t>
            </w:r>
          </w:p>
        </w:tc>
      </w:tr>
      <w:tr w:rsidR="003E1809" w:rsidRPr="00A245AB" w:rsidTr="003E1809">
        <w:trPr>
          <w:trHeight w:val="330"/>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3E1809" w:rsidRPr="00A245AB" w:rsidRDefault="003E1809" w:rsidP="003E1809">
            <w:pPr>
              <w:rPr>
                <w:rFonts w:ascii="Times New Roman" w:hAnsi="Times New Roman"/>
                <w:b/>
                <w:bCs/>
                <w:sz w:val="14"/>
                <w:szCs w:val="14"/>
                <w:lang w:eastAsia="sk-SK"/>
              </w:rPr>
            </w:pPr>
            <w:r w:rsidRPr="00A245AB">
              <w:rPr>
                <w:rFonts w:ascii="Times New Roman" w:hAnsi="Times New Roman"/>
                <w:b/>
                <w:bCs/>
                <w:sz w:val="14"/>
                <w:szCs w:val="14"/>
                <w:lang w:eastAsia="sk-SK"/>
              </w:rPr>
              <w:t>Priemerný mzdový výdavok</w:t>
            </w:r>
          </w:p>
        </w:tc>
        <w:tc>
          <w:tcPr>
            <w:tcW w:w="46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center"/>
              <w:rPr>
                <w:rFonts w:ascii="Times New Roman" w:hAnsi="Times New Roman"/>
                <w:b/>
                <w:bCs/>
                <w:sz w:val="14"/>
                <w:szCs w:val="14"/>
                <w:lang w:eastAsia="sk-SK"/>
              </w:rPr>
            </w:pPr>
            <w:r w:rsidRPr="00A245AB">
              <w:rPr>
                <w:rFonts w:ascii="Times New Roman" w:hAnsi="Times New Roman"/>
                <w:b/>
                <w:bCs/>
                <w:sz w:val="14"/>
                <w:szCs w:val="14"/>
                <w:lang w:eastAsia="sk-SK"/>
              </w:rPr>
              <w:t>eur</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1 147,75</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1 204,72</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1 194,22</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1 387,52</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1 330,38</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1 565,13</w:t>
            </w:r>
          </w:p>
        </w:tc>
        <w:tc>
          <w:tcPr>
            <w:tcW w:w="900" w:type="dxa"/>
            <w:tcBorders>
              <w:top w:val="nil"/>
              <w:left w:val="nil"/>
              <w:bottom w:val="single" w:sz="4" w:space="0" w:color="auto"/>
              <w:right w:val="single" w:sz="4" w:space="0" w:color="auto"/>
            </w:tcBorders>
            <w:shd w:val="clear" w:color="auto" w:fill="auto"/>
            <w:noWrap/>
            <w:vAlign w:val="center"/>
            <w:hideMark/>
          </w:tcPr>
          <w:p w:rsidR="003E1809" w:rsidRPr="00A245AB" w:rsidRDefault="003E1809" w:rsidP="003E1809">
            <w:pPr>
              <w:jc w:val="right"/>
              <w:rPr>
                <w:rFonts w:ascii="Times New Roman" w:hAnsi="Times New Roman"/>
                <w:b/>
                <w:bCs/>
                <w:sz w:val="14"/>
                <w:szCs w:val="14"/>
                <w:lang w:eastAsia="sk-SK"/>
              </w:rPr>
            </w:pPr>
            <w:r w:rsidRPr="00A245AB">
              <w:rPr>
                <w:rFonts w:ascii="Times New Roman" w:hAnsi="Times New Roman"/>
                <w:b/>
                <w:bCs/>
                <w:sz w:val="14"/>
                <w:szCs w:val="14"/>
                <w:lang w:eastAsia="sk-SK"/>
              </w:rPr>
              <w:t>1 598,70</w:t>
            </w:r>
          </w:p>
        </w:tc>
      </w:tr>
      <w:tr w:rsidR="003E1809" w:rsidRPr="00A245AB" w:rsidTr="003E1809">
        <w:trPr>
          <w:trHeight w:val="735"/>
        </w:trPr>
        <w:tc>
          <w:tcPr>
            <w:tcW w:w="9020" w:type="dxa"/>
            <w:gridSpan w:val="9"/>
            <w:tcBorders>
              <w:top w:val="single" w:sz="4" w:space="0" w:color="auto"/>
              <w:left w:val="nil"/>
              <w:bottom w:val="nil"/>
              <w:right w:val="nil"/>
            </w:tcBorders>
            <w:shd w:val="clear" w:color="auto" w:fill="auto"/>
            <w:vAlign w:val="center"/>
            <w:hideMark/>
          </w:tcPr>
          <w:p w:rsidR="003E1809" w:rsidRPr="00A245AB" w:rsidRDefault="003E1809" w:rsidP="003E1809">
            <w:pPr>
              <w:jc w:val="both"/>
              <w:rPr>
                <w:rFonts w:ascii="Times New Roman" w:hAnsi="Times New Roman"/>
                <w:sz w:val="14"/>
                <w:szCs w:val="14"/>
                <w:lang w:eastAsia="sk-SK"/>
              </w:rPr>
            </w:pPr>
            <w:r w:rsidRPr="00A245AB">
              <w:rPr>
                <w:rFonts w:ascii="Times New Roman" w:hAnsi="Times New Roman"/>
                <w:sz w:val="14"/>
                <w:szCs w:val="14"/>
                <w:lang w:eastAsia="sk-SK"/>
              </w:rPr>
              <w:t>S 2016 a 2017 (hlavná a podnikateľská činnosť) z výkazu FIN 1-04. OS 2018 v počtoch zamestnancov zohľadňuje údaje zo štatistiky za 1. polrok 2018. Počty zamestnancov v NRVS 2019 až 2021 (zdroj MŠVVŠ SR) sú orientačné a ich plnenie bude závisieť od čerpania zdrojov EÚ a spolufinancovania zo ŠR, čo ovplyvní výšku priemerného mzdového výdavku, v osobných výdavkoch zohľadňuje valorizáciu, vrátane zmeny systému odmeňovania, zdroje EÚ a spolufinancovania zo ŠR.</w:t>
            </w:r>
          </w:p>
        </w:tc>
      </w:tr>
    </w:tbl>
    <w:p w:rsidR="003E1809" w:rsidRPr="00F072C1" w:rsidRDefault="003E1809" w:rsidP="003E1809">
      <w:pPr>
        <w:rPr>
          <w:color w:val="FF0000"/>
        </w:rPr>
      </w:pPr>
    </w:p>
    <w:p w:rsidR="003E1809" w:rsidRDefault="003E1809" w:rsidP="003E1809"/>
    <w:p w:rsidR="00D46FFD" w:rsidRDefault="00D46FFD" w:rsidP="00D46FFD">
      <w:pPr>
        <w:jc w:val="both"/>
        <w:rPr>
          <w:rFonts w:ascii="Times New Roman" w:hAnsi="Times New Roman"/>
        </w:rPr>
      </w:pPr>
    </w:p>
    <w:p w:rsidR="00880793" w:rsidRDefault="00880793" w:rsidP="00653A95">
      <w:pPr>
        <w:rPr>
          <w:rFonts w:ascii="Times New Roman" w:hAnsi="Times New Roman"/>
        </w:rPr>
      </w:pPr>
    </w:p>
    <w:p w:rsidR="00880793" w:rsidRDefault="00880793" w:rsidP="00653A95">
      <w:pPr>
        <w:rPr>
          <w:rFonts w:ascii="Times New Roman" w:hAnsi="Times New Roman"/>
        </w:rPr>
      </w:pPr>
    </w:p>
    <w:p w:rsidR="00880793" w:rsidRDefault="00880793" w:rsidP="00653A95">
      <w:pPr>
        <w:rPr>
          <w:rFonts w:ascii="Times New Roman" w:hAnsi="Times New Roman"/>
        </w:rPr>
      </w:pPr>
    </w:p>
    <w:p w:rsidR="00880793" w:rsidRDefault="00880793" w:rsidP="00653A95">
      <w:pPr>
        <w:rPr>
          <w:rFonts w:ascii="Times New Roman" w:hAnsi="Times New Roman"/>
        </w:rPr>
      </w:pPr>
    </w:p>
    <w:p w:rsidR="00E158EA" w:rsidRDefault="00E158EA" w:rsidP="00653A95">
      <w:pPr>
        <w:rPr>
          <w:rFonts w:ascii="Times New Roman" w:hAnsi="Times New Roman"/>
        </w:rPr>
      </w:pPr>
    </w:p>
    <w:p w:rsidR="00E158EA" w:rsidRDefault="00E158EA" w:rsidP="00653A95">
      <w:pPr>
        <w:rPr>
          <w:rFonts w:ascii="Times New Roman" w:hAnsi="Times New Roman"/>
        </w:rPr>
      </w:pPr>
    </w:p>
    <w:p w:rsidR="001E2FC2" w:rsidRDefault="001E2FC2" w:rsidP="00653A95">
      <w:pPr>
        <w:rPr>
          <w:rFonts w:ascii="Times New Roman" w:hAnsi="Times New Roman"/>
        </w:rPr>
      </w:pPr>
    </w:p>
    <w:p w:rsidR="001E2FC2" w:rsidRDefault="001E2FC2" w:rsidP="00653A95">
      <w:pPr>
        <w:rPr>
          <w:rFonts w:ascii="Times New Roman" w:hAnsi="Times New Roman"/>
        </w:rPr>
      </w:pPr>
    </w:p>
    <w:p w:rsidR="001E2FC2" w:rsidRDefault="001E2FC2" w:rsidP="00653A95">
      <w:pPr>
        <w:rPr>
          <w:rFonts w:ascii="Times New Roman" w:hAnsi="Times New Roman"/>
        </w:rPr>
      </w:pPr>
    </w:p>
    <w:p w:rsidR="001E2FC2" w:rsidRDefault="001E2FC2" w:rsidP="00653A95">
      <w:pPr>
        <w:rPr>
          <w:rFonts w:ascii="Times New Roman" w:hAnsi="Times New Roman"/>
        </w:rPr>
      </w:pPr>
    </w:p>
    <w:p w:rsidR="001E2FC2" w:rsidRDefault="001E2FC2" w:rsidP="00653A95">
      <w:pPr>
        <w:rPr>
          <w:rFonts w:ascii="Times New Roman" w:hAnsi="Times New Roman"/>
        </w:rPr>
      </w:pPr>
    </w:p>
    <w:p w:rsidR="001E2FC2" w:rsidRDefault="001E2FC2" w:rsidP="00653A95">
      <w:pPr>
        <w:rPr>
          <w:rFonts w:ascii="Times New Roman" w:hAnsi="Times New Roman"/>
        </w:rPr>
      </w:pPr>
    </w:p>
    <w:p w:rsidR="001E2FC2" w:rsidRDefault="001E2FC2" w:rsidP="00653A95">
      <w:pPr>
        <w:rPr>
          <w:rFonts w:ascii="Times New Roman" w:hAnsi="Times New Roman"/>
        </w:rPr>
      </w:pPr>
    </w:p>
    <w:p w:rsidR="001E2FC2" w:rsidRDefault="001E2FC2" w:rsidP="00653A95">
      <w:pPr>
        <w:rPr>
          <w:rFonts w:ascii="Times New Roman" w:hAnsi="Times New Roman"/>
        </w:rPr>
      </w:pPr>
    </w:p>
    <w:p w:rsidR="001E2FC2" w:rsidRDefault="001E2FC2" w:rsidP="00653A95">
      <w:pPr>
        <w:rPr>
          <w:rFonts w:ascii="Times New Roman" w:hAnsi="Times New Roman"/>
        </w:rPr>
      </w:pPr>
    </w:p>
    <w:p w:rsidR="001E2FC2" w:rsidRDefault="001E2FC2" w:rsidP="00653A95">
      <w:pPr>
        <w:rPr>
          <w:rFonts w:ascii="Times New Roman" w:hAnsi="Times New Roman"/>
        </w:rPr>
      </w:pPr>
    </w:p>
    <w:p w:rsidR="001E2FC2" w:rsidRDefault="001E2FC2" w:rsidP="00653A95">
      <w:pPr>
        <w:rPr>
          <w:rFonts w:ascii="Times New Roman" w:hAnsi="Times New Roman"/>
        </w:rPr>
      </w:pPr>
    </w:p>
    <w:p w:rsidR="001E2FC2" w:rsidRDefault="001E2FC2" w:rsidP="00653A95">
      <w:pPr>
        <w:rPr>
          <w:rFonts w:ascii="Times New Roman" w:hAnsi="Times New Roman"/>
        </w:rPr>
      </w:pPr>
    </w:p>
    <w:p w:rsidR="001E2FC2" w:rsidRDefault="001E2FC2" w:rsidP="00653A95">
      <w:pPr>
        <w:rPr>
          <w:rFonts w:ascii="Times New Roman" w:hAnsi="Times New Roman"/>
        </w:rPr>
      </w:pPr>
    </w:p>
    <w:p w:rsidR="001E2FC2" w:rsidRDefault="001E2FC2" w:rsidP="00653A95">
      <w:pPr>
        <w:rPr>
          <w:rFonts w:ascii="Times New Roman" w:hAnsi="Times New Roman"/>
        </w:rPr>
      </w:pPr>
    </w:p>
    <w:p w:rsidR="001E2FC2" w:rsidRDefault="001E2FC2" w:rsidP="00653A95">
      <w:pPr>
        <w:rPr>
          <w:rFonts w:ascii="Times New Roman" w:hAnsi="Times New Roman"/>
        </w:rPr>
      </w:pPr>
    </w:p>
    <w:p w:rsidR="001E2FC2" w:rsidRDefault="001E2FC2" w:rsidP="00653A95">
      <w:pPr>
        <w:rPr>
          <w:rFonts w:ascii="Times New Roman" w:hAnsi="Times New Roman"/>
        </w:rPr>
      </w:pPr>
    </w:p>
    <w:p w:rsidR="001E2FC2" w:rsidRDefault="001E2FC2" w:rsidP="00653A95">
      <w:pPr>
        <w:rPr>
          <w:rFonts w:ascii="Times New Roman" w:hAnsi="Times New Roman"/>
        </w:rPr>
      </w:pPr>
    </w:p>
    <w:p w:rsidR="00B5225B" w:rsidRDefault="00B5225B" w:rsidP="00653A95">
      <w:pPr>
        <w:rPr>
          <w:rFonts w:ascii="Times New Roman" w:hAnsi="Times New Roman"/>
        </w:rPr>
      </w:pPr>
    </w:p>
    <w:p w:rsidR="00B5225B" w:rsidRDefault="00B5225B" w:rsidP="00653A95">
      <w:pPr>
        <w:rPr>
          <w:rFonts w:ascii="Times New Roman" w:hAnsi="Times New Roman"/>
        </w:rPr>
      </w:pPr>
    </w:p>
    <w:p w:rsidR="00B5225B" w:rsidRDefault="00B5225B" w:rsidP="00653A95">
      <w:pPr>
        <w:rPr>
          <w:rFonts w:ascii="Times New Roman" w:hAnsi="Times New Roman"/>
        </w:rPr>
      </w:pPr>
    </w:p>
    <w:p w:rsidR="00B5225B" w:rsidRDefault="00B5225B" w:rsidP="00653A95">
      <w:pPr>
        <w:rPr>
          <w:rFonts w:ascii="Times New Roman" w:hAnsi="Times New Roman"/>
        </w:rPr>
      </w:pPr>
    </w:p>
    <w:p w:rsidR="00B5225B" w:rsidRDefault="00B5225B" w:rsidP="00653A95">
      <w:pPr>
        <w:rPr>
          <w:rFonts w:ascii="Times New Roman" w:hAnsi="Times New Roman"/>
        </w:rPr>
      </w:pPr>
    </w:p>
    <w:p w:rsidR="00B5225B" w:rsidRDefault="00B5225B" w:rsidP="00653A95">
      <w:pPr>
        <w:rPr>
          <w:rFonts w:ascii="Times New Roman" w:hAnsi="Times New Roman"/>
        </w:rPr>
      </w:pPr>
    </w:p>
    <w:p w:rsidR="00B5225B" w:rsidRDefault="00B5225B" w:rsidP="00653A95">
      <w:pPr>
        <w:rPr>
          <w:rFonts w:ascii="Times New Roman" w:hAnsi="Times New Roman"/>
        </w:rPr>
      </w:pPr>
    </w:p>
    <w:p w:rsidR="001E2FC2" w:rsidRDefault="001E2FC2" w:rsidP="00653A95">
      <w:pPr>
        <w:rPr>
          <w:rFonts w:ascii="Times New Roman" w:hAnsi="Times New Roman"/>
        </w:rPr>
      </w:pPr>
    </w:p>
    <w:p w:rsidR="009114C0" w:rsidRPr="009114C0" w:rsidRDefault="009114C0" w:rsidP="009114C0">
      <w:pPr>
        <w:pStyle w:val="Nadpis2"/>
        <w:rPr>
          <w:rFonts w:ascii="Times New Roman" w:hAnsi="Times New Roman"/>
          <w:i w:val="0"/>
          <w:sz w:val="24"/>
        </w:rPr>
      </w:pPr>
      <w:bookmarkStart w:id="57" w:name="_Toc526273192"/>
      <w:r w:rsidRPr="003C06BD">
        <w:rPr>
          <w:rFonts w:ascii="Times New Roman" w:hAnsi="Times New Roman"/>
          <w:i w:val="0"/>
          <w:sz w:val="24"/>
        </w:rPr>
        <w:lastRenderedPageBreak/>
        <w:t>4.</w:t>
      </w:r>
      <w:r w:rsidR="00CA7502" w:rsidRPr="003C06BD">
        <w:rPr>
          <w:rFonts w:ascii="Times New Roman" w:hAnsi="Times New Roman"/>
          <w:i w:val="0"/>
          <w:sz w:val="24"/>
        </w:rPr>
        <w:t>3</w:t>
      </w:r>
      <w:r w:rsidRPr="003C06BD">
        <w:rPr>
          <w:rFonts w:ascii="Times New Roman" w:hAnsi="Times New Roman"/>
          <w:i w:val="0"/>
          <w:sz w:val="24"/>
        </w:rPr>
        <w:t>. Rozpočtovanie výdavkov podľa vybraných oblastí</w:t>
      </w:r>
      <w:bookmarkEnd w:id="57"/>
    </w:p>
    <w:p w:rsidR="003A497B" w:rsidRPr="003A497B" w:rsidRDefault="00905ECA" w:rsidP="003A497B">
      <w:pPr>
        <w:pStyle w:val="Zkladntext"/>
        <w:tabs>
          <w:tab w:val="left" w:pos="0"/>
        </w:tabs>
        <w:spacing w:line="276" w:lineRule="auto"/>
        <w:rPr>
          <w:noProof/>
        </w:rPr>
      </w:pPr>
      <w:r w:rsidRPr="007779E3">
        <w:rPr>
          <w:rFonts w:ascii="Times New Roman" w:hAnsi="Times New Roman"/>
          <w:color w:val="0070C0"/>
        </w:rPr>
        <w:tab/>
      </w:r>
      <w:r w:rsidR="005D2BC3" w:rsidRPr="00C10BC3">
        <w:rPr>
          <w:rFonts w:ascii="Times New Roman" w:hAnsi="Times New Roman"/>
          <w:color w:val="0070C0"/>
        </w:rPr>
        <w:fldChar w:fldCharType="begin"/>
      </w:r>
      <w:r w:rsidR="005D2BC3" w:rsidRPr="00C10BC3">
        <w:rPr>
          <w:rFonts w:ascii="Times New Roman" w:hAnsi="Times New Roman"/>
          <w:color w:val="0070C0"/>
        </w:rPr>
        <w:instrText xml:space="preserve"> TOC \h \z \u \t "Nadpis 5;1" </w:instrText>
      </w:r>
      <w:r w:rsidR="005D2BC3" w:rsidRPr="00C10BC3">
        <w:rPr>
          <w:rFonts w:ascii="Times New Roman" w:hAnsi="Times New Roman"/>
          <w:color w:val="0070C0"/>
        </w:rPr>
        <w:fldChar w:fldCharType="separate"/>
      </w:r>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691" w:history="1">
        <w:r w:rsidR="003A497B" w:rsidRPr="003A497B">
          <w:rPr>
            <w:rStyle w:val="Hypertextovprepojenie"/>
            <w:b w:val="0"/>
            <w:lang w:eastAsia="sk-SK"/>
          </w:rPr>
          <w:t>Ministerstvo vnútra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_Toc526267691 \h </w:instrText>
        </w:r>
        <w:r w:rsidR="003A497B" w:rsidRPr="003A497B">
          <w:rPr>
            <w:b w:val="0"/>
            <w:webHidden/>
          </w:rPr>
        </w:r>
        <w:r w:rsidR="003A497B" w:rsidRPr="003A497B">
          <w:rPr>
            <w:b w:val="0"/>
            <w:webHidden/>
          </w:rPr>
          <w:fldChar w:fldCharType="separate"/>
        </w:r>
        <w:r w:rsidR="00E165BB">
          <w:rPr>
            <w:b w:val="0"/>
            <w:webHidden/>
          </w:rPr>
          <w:t>51</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692" w:history="1">
        <w:r w:rsidR="003A497B" w:rsidRPr="003A497B">
          <w:rPr>
            <w:rStyle w:val="Hypertextovprepojenie"/>
            <w:b w:val="0"/>
            <w:lang w:eastAsia="sk-SK"/>
          </w:rPr>
          <w:t>Ministerstvo práce, sociálnych vecí a rodiny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_Toc526267692 \h </w:instrText>
        </w:r>
        <w:r w:rsidR="003A497B" w:rsidRPr="003A497B">
          <w:rPr>
            <w:b w:val="0"/>
            <w:webHidden/>
          </w:rPr>
        </w:r>
        <w:r w:rsidR="003A497B" w:rsidRPr="003A497B">
          <w:rPr>
            <w:b w:val="0"/>
            <w:webHidden/>
          </w:rPr>
          <w:fldChar w:fldCharType="separate"/>
        </w:r>
        <w:r w:rsidR="00E165BB">
          <w:rPr>
            <w:b w:val="0"/>
            <w:webHidden/>
          </w:rPr>
          <w:t>57</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693" w:history="1">
        <w:r w:rsidR="003A497B" w:rsidRPr="003A497B">
          <w:rPr>
            <w:rStyle w:val="Hypertextovprepojenie"/>
            <w:b w:val="0"/>
            <w:lang w:eastAsia="sk-SK"/>
          </w:rPr>
          <w:t>Ministerstvo obrany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_Toc526267693 \h </w:instrText>
        </w:r>
        <w:r w:rsidR="003A497B" w:rsidRPr="003A497B">
          <w:rPr>
            <w:b w:val="0"/>
            <w:webHidden/>
          </w:rPr>
        </w:r>
        <w:r w:rsidR="003A497B" w:rsidRPr="003A497B">
          <w:rPr>
            <w:b w:val="0"/>
            <w:webHidden/>
          </w:rPr>
          <w:fldChar w:fldCharType="separate"/>
        </w:r>
        <w:r w:rsidR="00E165BB">
          <w:rPr>
            <w:b w:val="0"/>
            <w:webHidden/>
          </w:rPr>
          <w:t>66</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694" w:history="1">
        <w:r w:rsidR="003A497B" w:rsidRPr="003A497B">
          <w:rPr>
            <w:rStyle w:val="Hypertextovprepojenie"/>
            <w:b w:val="0"/>
            <w:lang w:eastAsia="sk-SK"/>
          </w:rPr>
          <w:t>Ministerstvo školstva, vedy, výskumu a športu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_Toc526267694 \h </w:instrText>
        </w:r>
        <w:r w:rsidR="003A497B" w:rsidRPr="003A497B">
          <w:rPr>
            <w:b w:val="0"/>
            <w:webHidden/>
          </w:rPr>
        </w:r>
        <w:r w:rsidR="003A497B" w:rsidRPr="003A497B">
          <w:rPr>
            <w:b w:val="0"/>
            <w:webHidden/>
          </w:rPr>
          <w:fldChar w:fldCharType="separate"/>
        </w:r>
        <w:r w:rsidR="00E165BB">
          <w:rPr>
            <w:b w:val="0"/>
            <w:webHidden/>
          </w:rPr>
          <w:t>69</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695" w:history="1">
        <w:r w:rsidR="003A497B" w:rsidRPr="003A497B">
          <w:rPr>
            <w:rStyle w:val="Hypertextovprepojenie"/>
            <w:b w:val="0"/>
            <w:lang w:eastAsia="sk-SK"/>
          </w:rPr>
          <w:t>Ministerstvo pôdohospodárstva a rozvoja vidieka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_Toc526267695 \h </w:instrText>
        </w:r>
        <w:r w:rsidR="003A497B" w:rsidRPr="003A497B">
          <w:rPr>
            <w:b w:val="0"/>
            <w:webHidden/>
          </w:rPr>
        </w:r>
        <w:r w:rsidR="003A497B" w:rsidRPr="003A497B">
          <w:rPr>
            <w:b w:val="0"/>
            <w:webHidden/>
          </w:rPr>
          <w:fldChar w:fldCharType="separate"/>
        </w:r>
        <w:r w:rsidR="00E165BB">
          <w:rPr>
            <w:b w:val="0"/>
            <w:webHidden/>
          </w:rPr>
          <w:t>85</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696" w:history="1">
        <w:r w:rsidR="003A497B" w:rsidRPr="003A497B">
          <w:rPr>
            <w:rStyle w:val="Hypertextovprepojenie"/>
            <w:b w:val="0"/>
            <w:lang w:eastAsia="sk-SK"/>
          </w:rPr>
          <w:t>Ministerstvo zdravotníctva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_Toc526267696 \h </w:instrText>
        </w:r>
        <w:r w:rsidR="003A497B" w:rsidRPr="003A497B">
          <w:rPr>
            <w:b w:val="0"/>
            <w:webHidden/>
          </w:rPr>
        </w:r>
        <w:r w:rsidR="003A497B" w:rsidRPr="003A497B">
          <w:rPr>
            <w:b w:val="0"/>
            <w:webHidden/>
          </w:rPr>
          <w:fldChar w:fldCharType="separate"/>
        </w:r>
        <w:r w:rsidR="00E165BB">
          <w:rPr>
            <w:b w:val="0"/>
            <w:webHidden/>
          </w:rPr>
          <w:t>91</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697" w:history="1">
        <w:r w:rsidR="003A497B" w:rsidRPr="003A497B">
          <w:rPr>
            <w:rStyle w:val="Hypertextovprepojenie"/>
            <w:b w:val="0"/>
            <w:lang w:eastAsia="sk-SK"/>
          </w:rPr>
          <w:t>Ministerstvo dopravy a výstavby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_Toc526267697 \h </w:instrText>
        </w:r>
        <w:r w:rsidR="003A497B" w:rsidRPr="003A497B">
          <w:rPr>
            <w:b w:val="0"/>
            <w:webHidden/>
          </w:rPr>
        </w:r>
        <w:r w:rsidR="003A497B" w:rsidRPr="003A497B">
          <w:rPr>
            <w:b w:val="0"/>
            <w:webHidden/>
          </w:rPr>
          <w:fldChar w:fldCharType="separate"/>
        </w:r>
        <w:r w:rsidR="00E165BB">
          <w:rPr>
            <w:b w:val="0"/>
            <w:webHidden/>
          </w:rPr>
          <w:t>103</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698" w:history="1">
        <w:r w:rsidR="003A497B" w:rsidRPr="003A497B">
          <w:rPr>
            <w:rStyle w:val="Hypertextovprepojenie"/>
            <w:b w:val="0"/>
            <w:lang w:eastAsia="sk-SK"/>
          </w:rPr>
          <w:t>Ministerstvo životného prostredia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_Toc526267698 \h </w:instrText>
        </w:r>
        <w:r w:rsidR="003A497B" w:rsidRPr="003A497B">
          <w:rPr>
            <w:b w:val="0"/>
            <w:webHidden/>
          </w:rPr>
        </w:r>
        <w:r w:rsidR="003A497B" w:rsidRPr="003A497B">
          <w:rPr>
            <w:b w:val="0"/>
            <w:webHidden/>
          </w:rPr>
          <w:fldChar w:fldCharType="separate"/>
        </w:r>
        <w:r w:rsidR="00E165BB">
          <w:rPr>
            <w:b w:val="0"/>
            <w:webHidden/>
          </w:rPr>
          <w:t>110</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699" w:history="1">
        <w:r w:rsidR="003A497B" w:rsidRPr="003A497B">
          <w:rPr>
            <w:rStyle w:val="Hypertextovprepojenie"/>
            <w:b w:val="0"/>
            <w:lang w:eastAsia="sk-SK"/>
          </w:rPr>
          <w:t>Ministerstvo spravodlivosti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_Toc526267699 \h </w:instrText>
        </w:r>
        <w:r w:rsidR="003A497B" w:rsidRPr="003A497B">
          <w:rPr>
            <w:b w:val="0"/>
            <w:webHidden/>
          </w:rPr>
        </w:r>
        <w:r w:rsidR="003A497B" w:rsidRPr="003A497B">
          <w:rPr>
            <w:b w:val="0"/>
            <w:webHidden/>
          </w:rPr>
          <w:fldChar w:fldCharType="separate"/>
        </w:r>
        <w:r w:rsidR="00E165BB">
          <w:rPr>
            <w:b w:val="0"/>
            <w:webHidden/>
          </w:rPr>
          <w:t>120</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00" w:history="1">
        <w:r w:rsidR="003A497B" w:rsidRPr="003A497B">
          <w:rPr>
            <w:rStyle w:val="Hypertextovprepojenie"/>
            <w:b w:val="0"/>
            <w:lang w:eastAsia="sk-SK"/>
          </w:rPr>
          <w:t>Ministerstvo hospodárstva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_Toc526267700 \h </w:instrText>
        </w:r>
        <w:r w:rsidR="003A497B" w:rsidRPr="003A497B">
          <w:rPr>
            <w:b w:val="0"/>
            <w:webHidden/>
          </w:rPr>
        </w:r>
        <w:r w:rsidR="003A497B" w:rsidRPr="003A497B">
          <w:rPr>
            <w:b w:val="0"/>
            <w:webHidden/>
          </w:rPr>
          <w:fldChar w:fldCharType="separate"/>
        </w:r>
        <w:r w:rsidR="00E165BB">
          <w:rPr>
            <w:b w:val="0"/>
            <w:webHidden/>
          </w:rPr>
          <w:t>125</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01" w:history="1">
        <w:r w:rsidR="003A497B" w:rsidRPr="003A497B">
          <w:rPr>
            <w:rStyle w:val="Hypertextovprepojenie"/>
            <w:b w:val="0"/>
            <w:lang w:eastAsia="sk-SK"/>
          </w:rPr>
          <w:t>Ministerstvo financií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_Toc526267701 \h </w:instrText>
        </w:r>
        <w:r w:rsidR="003A497B" w:rsidRPr="003A497B">
          <w:rPr>
            <w:b w:val="0"/>
            <w:webHidden/>
          </w:rPr>
        </w:r>
        <w:r w:rsidR="003A497B" w:rsidRPr="003A497B">
          <w:rPr>
            <w:b w:val="0"/>
            <w:webHidden/>
          </w:rPr>
          <w:fldChar w:fldCharType="separate"/>
        </w:r>
        <w:r w:rsidR="00E165BB">
          <w:rPr>
            <w:b w:val="0"/>
            <w:webHidden/>
          </w:rPr>
          <w:t>129</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02" w:history="1">
        <w:r w:rsidR="003A497B" w:rsidRPr="003A497B">
          <w:rPr>
            <w:rStyle w:val="Hypertextovprepojenie"/>
            <w:b w:val="0"/>
            <w:lang w:eastAsia="sk-SK"/>
          </w:rPr>
          <w:t>Ministerstvo kultúry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_Toc526267702 \h </w:instrText>
        </w:r>
        <w:r w:rsidR="003A497B" w:rsidRPr="003A497B">
          <w:rPr>
            <w:b w:val="0"/>
            <w:webHidden/>
          </w:rPr>
        </w:r>
        <w:r w:rsidR="003A497B" w:rsidRPr="003A497B">
          <w:rPr>
            <w:b w:val="0"/>
            <w:webHidden/>
          </w:rPr>
          <w:fldChar w:fldCharType="separate"/>
        </w:r>
        <w:r w:rsidR="00E165BB">
          <w:rPr>
            <w:b w:val="0"/>
            <w:webHidden/>
          </w:rPr>
          <w:t>133</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03" w:history="1">
        <w:r w:rsidR="003A497B" w:rsidRPr="003A497B">
          <w:rPr>
            <w:rStyle w:val="Hypertextovprepojenie"/>
            <w:b w:val="0"/>
            <w:lang w:eastAsia="sk-SK"/>
          </w:rPr>
          <w:t>Ministerstvo zahraničných vecí a európskych záležitostí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_Toc526267703 \h </w:instrText>
        </w:r>
        <w:r w:rsidR="003A497B" w:rsidRPr="003A497B">
          <w:rPr>
            <w:b w:val="0"/>
            <w:webHidden/>
          </w:rPr>
        </w:r>
        <w:r w:rsidR="003A497B" w:rsidRPr="003A497B">
          <w:rPr>
            <w:b w:val="0"/>
            <w:webHidden/>
          </w:rPr>
          <w:fldChar w:fldCharType="separate"/>
        </w:r>
        <w:r w:rsidR="00E165BB">
          <w:rPr>
            <w:b w:val="0"/>
            <w:webHidden/>
          </w:rPr>
          <w:t>138</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04" w:history="1">
        <w:r w:rsidR="003A497B" w:rsidRPr="003A497B">
          <w:rPr>
            <w:rStyle w:val="Hypertextovprepojenie"/>
            <w:b w:val="0"/>
            <w:lang w:eastAsia="sk-SK"/>
          </w:rPr>
          <w:t>Kancelária Národnej rady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_Toc526267704 \h </w:instrText>
        </w:r>
        <w:r w:rsidR="003A497B" w:rsidRPr="003A497B">
          <w:rPr>
            <w:b w:val="0"/>
            <w:webHidden/>
          </w:rPr>
        </w:r>
        <w:r w:rsidR="003A497B" w:rsidRPr="003A497B">
          <w:rPr>
            <w:b w:val="0"/>
            <w:webHidden/>
          </w:rPr>
          <w:fldChar w:fldCharType="separate"/>
        </w:r>
        <w:r w:rsidR="00E165BB">
          <w:rPr>
            <w:b w:val="0"/>
            <w:webHidden/>
          </w:rPr>
          <w:t>140</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05" w:history="1">
        <w:r w:rsidR="003A497B" w:rsidRPr="003A497B">
          <w:rPr>
            <w:rStyle w:val="Hypertextovprepojenie"/>
            <w:b w:val="0"/>
            <w:lang w:eastAsia="sk-SK"/>
          </w:rPr>
          <w:t>Kancelária prezidenta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_Toc526267705 \h </w:instrText>
        </w:r>
        <w:r w:rsidR="003A497B" w:rsidRPr="003A497B">
          <w:rPr>
            <w:b w:val="0"/>
            <w:webHidden/>
          </w:rPr>
        </w:r>
        <w:r w:rsidR="003A497B" w:rsidRPr="003A497B">
          <w:rPr>
            <w:b w:val="0"/>
            <w:webHidden/>
          </w:rPr>
          <w:fldChar w:fldCharType="separate"/>
        </w:r>
        <w:r w:rsidR="00E165BB">
          <w:rPr>
            <w:b w:val="0"/>
            <w:webHidden/>
          </w:rPr>
          <w:t>141</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06" w:history="1">
        <w:r w:rsidR="003A497B" w:rsidRPr="003A497B">
          <w:rPr>
            <w:rStyle w:val="Hypertextovprepojenie"/>
            <w:b w:val="0"/>
            <w:lang w:eastAsia="sk-SK"/>
          </w:rPr>
          <w:t>Úrad vlády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_Toc526267706 \h </w:instrText>
        </w:r>
        <w:r w:rsidR="003A497B" w:rsidRPr="003A497B">
          <w:rPr>
            <w:b w:val="0"/>
            <w:webHidden/>
          </w:rPr>
        </w:r>
        <w:r w:rsidR="003A497B" w:rsidRPr="003A497B">
          <w:rPr>
            <w:b w:val="0"/>
            <w:webHidden/>
          </w:rPr>
          <w:fldChar w:fldCharType="separate"/>
        </w:r>
        <w:r w:rsidR="00E165BB">
          <w:rPr>
            <w:b w:val="0"/>
            <w:webHidden/>
          </w:rPr>
          <w:t>142</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07" w:history="1">
        <w:r w:rsidR="003A497B" w:rsidRPr="003A497B">
          <w:rPr>
            <w:rStyle w:val="Hypertextovprepojenie"/>
            <w:b w:val="0"/>
            <w:lang w:eastAsia="sk-SK"/>
          </w:rPr>
          <w:t>Úrad podpredsedu vlády SR pre investície a informatizáciu</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_Toc526267707 \h </w:instrText>
        </w:r>
        <w:r w:rsidR="003A497B" w:rsidRPr="003A497B">
          <w:rPr>
            <w:b w:val="0"/>
            <w:webHidden/>
          </w:rPr>
        </w:r>
        <w:r w:rsidR="003A497B" w:rsidRPr="003A497B">
          <w:rPr>
            <w:b w:val="0"/>
            <w:webHidden/>
          </w:rPr>
          <w:fldChar w:fldCharType="separate"/>
        </w:r>
        <w:r w:rsidR="00E165BB">
          <w:rPr>
            <w:b w:val="0"/>
            <w:webHidden/>
          </w:rPr>
          <w:t>143</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08" w:history="1">
        <w:r w:rsidR="003A497B" w:rsidRPr="003A497B">
          <w:rPr>
            <w:rStyle w:val="Hypertextovprepojenie"/>
            <w:b w:val="0"/>
            <w:lang w:eastAsia="sk-SK"/>
          </w:rPr>
          <w:t>Kancelária Ústavného súdu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_Toc526267708 \h </w:instrText>
        </w:r>
        <w:r w:rsidR="003A497B" w:rsidRPr="003A497B">
          <w:rPr>
            <w:b w:val="0"/>
            <w:webHidden/>
          </w:rPr>
        </w:r>
        <w:r w:rsidR="003A497B" w:rsidRPr="003A497B">
          <w:rPr>
            <w:b w:val="0"/>
            <w:webHidden/>
          </w:rPr>
          <w:fldChar w:fldCharType="separate"/>
        </w:r>
        <w:r w:rsidR="00E165BB">
          <w:rPr>
            <w:b w:val="0"/>
            <w:webHidden/>
          </w:rPr>
          <w:t>144</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09" w:history="1">
        <w:r w:rsidR="003A497B" w:rsidRPr="003A497B">
          <w:rPr>
            <w:rStyle w:val="Hypertextovprepojenie"/>
            <w:b w:val="0"/>
            <w:lang w:eastAsia="sk-SK"/>
          </w:rPr>
          <w:t>Kancelária Najvyššieho súdu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_Toc526267709 \h </w:instrText>
        </w:r>
        <w:r w:rsidR="003A497B" w:rsidRPr="003A497B">
          <w:rPr>
            <w:b w:val="0"/>
            <w:webHidden/>
          </w:rPr>
        </w:r>
        <w:r w:rsidR="003A497B" w:rsidRPr="003A497B">
          <w:rPr>
            <w:b w:val="0"/>
            <w:webHidden/>
          </w:rPr>
          <w:fldChar w:fldCharType="separate"/>
        </w:r>
        <w:r w:rsidR="00E165BB">
          <w:rPr>
            <w:b w:val="0"/>
            <w:webHidden/>
          </w:rPr>
          <w:t>145</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10" w:history="1">
        <w:r w:rsidR="003A497B" w:rsidRPr="003A497B">
          <w:rPr>
            <w:rStyle w:val="Hypertextovprepojenie"/>
            <w:b w:val="0"/>
            <w:lang w:eastAsia="sk-SK"/>
          </w:rPr>
          <w:t>Kancelária Súdnej rady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_Toc526267710 \h </w:instrText>
        </w:r>
        <w:r w:rsidR="003A497B" w:rsidRPr="003A497B">
          <w:rPr>
            <w:b w:val="0"/>
            <w:webHidden/>
          </w:rPr>
        </w:r>
        <w:r w:rsidR="003A497B" w:rsidRPr="003A497B">
          <w:rPr>
            <w:b w:val="0"/>
            <w:webHidden/>
          </w:rPr>
          <w:fldChar w:fldCharType="separate"/>
        </w:r>
        <w:r w:rsidR="00E165BB">
          <w:rPr>
            <w:b w:val="0"/>
            <w:webHidden/>
          </w:rPr>
          <w:t>145</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11" w:history="1">
        <w:r w:rsidR="003A497B" w:rsidRPr="003A497B">
          <w:rPr>
            <w:rStyle w:val="Hypertextovprepojenie"/>
            <w:b w:val="0"/>
            <w:lang w:eastAsia="sk-SK"/>
          </w:rPr>
          <w:t>Generálna prokuratúra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_Toc526267711 \h </w:instrText>
        </w:r>
        <w:r w:rsidR="003A497B" w:rsidRPr="003A497B">
          <w:rPr>
            <w:b w:val="0"/>
            <w:webHidden/>
          </w:rPr>
        </w:r>
        <w:r w:rsidR="003A497B" w:rsidRPr="003A497B">
          <w:rPr>
            <w:b w:val="0"/>
            <w:webHidden/>
          </w:rPr>
          <w:fldChar w:fldCharType="separate"/>
        </w:r>
        <w:r w:rsidR="00E165BB">
          <w:rPr>
            <w:b w:val="0"/>
            <w:webHidden/>
          </w:rPr>
          <w:t>146</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12" w:history="1">
        <w:r w:rsidR="003A497B" w:rsidRPr="003A497B">
          <w:rPr>
            <w:rStyle w:val="Hypertextovprepojenie"/>
            <w:b w:val="0"/>
            <w:lang w:eastAsia="sk-SK"/>
          </w:rPr>
          <w:t>Najvyšší kontrolný úrad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_Toc526267712 \h </w:instrText>
        </w:r>
        <w:r w:rsidR="003A497B" w:rsidRPr="003A497B">
          <w:rPr>
            <w:b w:val="0"/>
            <w:webHidden/>
          </w:rPr>
        </w:r>
        <w:r w:rsidR="003A497B" w:rsidRPr="003A497B">
          <w:rPr>
            <w:b w:val="0"/>
            <w:webHidden/>
          </w:rPr>
          <w:fldChar w:fldCharType="separate"/>
        </w:r>
        <w:r w:rsidR="00E165BB">
          <w:rPr>
            <w:b w:val="0"/>
            <w:webHidden/>
          </w:rPr>
          <w:t>147</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13" w:history="1">
        <w:r w:rsidR="003A497B" w:rsidRPr="003A497B">
          <w:rPr>
            <w:rStyle w:val="Hypertextovprepojenie"/>
            <w:b w:val="0"/>
            <w:lang w:eastAsia="sk-SK"/>
          </w:rPr>
          <w:t>Slovenská informačná služba</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_Toc526267713 \h </w:instrText>
        </w:r>
        <w:r w:rsidR="003A497B" w:rsidRPr="003A497B">
          <w:rPr>
            <w:b w:val="0"/>
            <w:webHidden/>
          </w:rPr>
        </w:r>
        <w:r w:rsidR="003A497B" w:rsidRPr="003A497B">
          <w:rPr>
            <w:b w:val="0"/>
            <w:webHidden/>
          </w:rPr>
          <w:fldChar w:fldCharType="separate"/>
        </w:r>
        <w:r w:rsidR="00E165BB">
          <w:rPr>
            <w:b w:val="0"/>
            <w:webHidden/>
          </w:rPr>
          <w:t>148</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14" w:history="1">
        <w:r w:rsidR="003A497B" w:rsidRPr="003A497B">
          <w:rPr>
            <w:rStyle w:val="Hypertextovprepojenie"/>
            <w:b w:val="0"/>
            <w:lang w:eastAsia="sk-SK"/>
          </w:rPr>
          <w:t>Úrad geodézie, kartografie a katastra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_Toc526267714 \h </w:instrText>
        </w:r>
        <w:r w:rsidR="003A497B" w:rsidRPr="003A497B">
          <w:rPr>
            <w:b w:val="0"/>
            <w:webHidden/>
          </w:rPr>
        </w:r>
        <w:r w:rsidR="003A497B" w:rsidRPr="003A497B">
          <w:rPr>
            <w:b w:val="0"/>
            <w:webHidden/>
          </w:rPr>
          <w:fldChar w:fldCharType="separate"/>
        </w:r>
        <w:r w:rsidR="00E165BB">
          <w:rPr>
            <w:b w:val="0"/>
            <w:webHidden/>
          </w:rPr>
          <w:t>149</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15" w:history="1">
        <w:r w:rsidR="003A497B" w:rsidRPr="003A497B">
          <w:rPr>
            <w:rStyle w:val="Hypertextovprepojenie"/>
            <w:b w:val="0"/>
            <w:lang w:eastAsia="sk-SK"/>
          </w:rPr>
          <w:t>Štatistický úrad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_Toc526267715 \h </w:instrText>
        </w:r>
        <w:r w:rsidR="003A497B" w:rsidRPr="003A497B">
          <w:rPr>
            <w:b w:val="0"/>
            <w:webHidden/>
          </w:rPr>
        </w:r>
        <w:r w:rsidR="003A497B" w:rsidRPr="003A497B">
          <w:rPr>
            <w:b w:val="0"/>
            <w:webHidden/>
          </w:rPr>
          <w:fldChar w:fldCharType="separate"/>
        </w:r>
        <w:r w:rsidR="00E165BB">
          <w:rPr>
            <w:b w:val="0"/>
            <w:webHidden/>
          </w:rPr>
          <w:t>150</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16" w:history="1">
        <w:r w:rsidR="003A497B" w:rsidRPr="003A497B">
          <w:rPr>
            <w:rStyle w:val="Hypertextovprepojenie"/>
            <w:b w:val="0"/>
            <w:lang w:eastAsia="sk-SK"/>
          </w:rPr>
          <w:t>Úrad pre verejné obstarávanie</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_Toc526267716 \h </w:instrText>
        </w:r>
        <w:r w:rsidR="003A497B" w:rsidRPr="003A497B">
          <w:rPr>
            <w:b w:val="0"/>
            <w:webHidden/>
          </w:rPr>
        </w:r>
        <w:r w:rsidR="003A497B" w:rsidRPr="003A497B">
          <w:rPr>
            <w:b w:val="0"/>
            <w:webHidden/>
          </w:rPr>
          <w:fldChar w:fldCharType="separate"/>
        </w:r>
        <w:r w:rsidR="00E165BB">
          <w:rPr>
            <w:b w:val="0"/>
            <w:webHidden/>
          </w:rPr>
          <w:t>151</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17" w:history="1">
        <w:r w:rsidR="003A497B" w:rsidRPr="003A497B">
          <w:rPr>
            <w:rStyle w:val="Hypertextovprepojenie"/>
            <w:b w:val="0"/>
            <w:lang w:eastAsia="sk-SK"/>
          </w:rPr>
          <w:t>Úrad pre reguláciu sieťových odvetví</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_Toc526267717 \h </w:instrText>
        </w:r>
        <w:r w:rsidR="003A497B" w:rsidRPr="003A497B">
          <w:rPr>
            <w:b w:val="0"/>
            <w:webHidden/>
          </w:rPr>
        </w:r>
        <w:r w:rsidR="003A497B" w:rsidRPr="003A497B">
          <w:rPr>
            <w:b w:val="0"/>
            <w:webHidden/>
          </w:rPr>
          <w:fldChar w:fldCharType="separate"/>
        </w:r>
        <w:r w:rsidR="00E165BB">
          <w:rPr>
            <w:b w:val="0"/>
            <w:webHidden/>
          </w:rPr>
          <w:t>152</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18" w:history="1">
        <w:r w:rsidR="003A497B" w:rsidRPr="003A497B">
          <w:rPr>
            <w:rStyle w:val="Hypertextovprepojenie"/>
            <w:b w:val="0"/>
            <w:lang w:eastAsia="sk-SK"/>
          </w:rPr>
          <w:t>Úrad jadrového dozoru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_Toc526267718 \h </w:instrText>
        </w:r>
        <w:r w:rsidR="003A497B" w:rsidRPr="003A497B">
          <w:rPr>
            <w:b w:val="0"/>
            <w:webHidden/>
          </w:rPr>
        </w:r>
        <w:r w:rsidR="003A497B" w:rsidRPr="003A497B">
          <w:rPr>
            <w:b w:val="0"/>
            <w:webHidden/>
          </w:rPr>
          <w:fldChar w:fldCharType="separate"/>
        </w:r>
        <w:r w:rsidR="00E165BB">
          <w:rPr>
            <w:b w:val="0"/>
            <w:webHidden/>
          </w:rPr>
          <w:t>153</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19" w:history="1">
        <w:r w:rsidR="003A497B" w:rsidRPr="003A497B">
          <w:rPr>
            <w:rStyle w:val="Hypertextovprepojenie"/>
            <w:b w:val="0"/>
            <w:lang w:eastAsia="sk-SK"/>
          </w:rPr>
          <w:t>Úrad priemyselného vlastníctva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_Toc526267719 \h </w:instrText>
        </w:r>
        <w:r w:rsidR="003A497B" w:rsidRPr="003A497B">
          <w:rPr>
            <w:b w:val="0"/>
            <w:webHidden/>
          </w:rPr>
        </w:r>
        <w:r w:rsidR="003A497B" w:rsidRPr="003A497B">
          <w:rPr>
            <w:b w:val="0"/>
            <w:webHidden/>
          </w:rPr>
          <w:fldChar w:fldCharType="separate"/>
        </w:r>
        <w:r w:rsidR="00E165BB">
          <w:rPr>
            <w:b w:val="0"/>
            <w:webHidden/>
          </w:rPr>
          <w:t>154</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20" w:history="1">
        <w:r w:rsidR="003A497B" w:rsidRPr="003A497B">
          <w:rPr>
            <w:rStyle w:val="Hypertextovprepojenie"/>
            <w:b w:val="0"/>
            <w:lang w:eastAsia="sk-SK"/>
          </w:rPr>
          <w:t>Úrad pre normalizáciu, metrológiu a skúšobníctvo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_Toc526267720 \h </w:instrText>
        </w:r>
        <w:r w:rsidR="003A497B" w:rsidRPr="003A497B">
          <w:rPr>
            <w:b w:val="0"/>
            <w:webHidden/>
          </w:rPr>
        </w:r>
        <w:r w:rsidR="003A497B" w:rsidRPr="003A497B">
          <w:rPr>
            <w:b w:val="0"/>
            <w:webHidden/>
          </w:rPr>
          <w:fldChar w:fldCharType="separate"/>
        </w:r>
        <w:r w:rsidR="00E165BB">
          <w:rPr>
            <w:b w:val="0"/>
            <w:webHidden/>
          </w:rPr>
          <w:t>154</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21" w:history="1">
        <w:r w:rsidR="003A497B" w:rsidRPr="003A497B">
          <w:rPr>
            <w:rStyle w:val="Hypertextovprepojenie"/>
            <w:b w:val="0"/>
            <w:lang w:eastAsia="sk-SK"/>
          </w:rPr>
          <w:t>Protimonopolný úrad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_Toc526267721 \h </w:instrText>
        </w:r>
        <w:r w:rsidR="003A497B" w:rsidRPr="003A497B">
          <w:rPr>
            <w:b w:val="0"/>
            <w:webHidden/>
          </w:rPr>
        </w:r>
        <w:r w:rsidR="003A497B" w:rsidRPr="003A497B">
          <w:rPr>
            <w:b w:val="0"/>
            <w:webHidden/>
          </w:rPr>
          <w:fldChar w:fldCharType="separate"/>
        </w:r>
        <w:r w:rsidR="00E165BB">
          <w:rPr>
            <w:b w:val="0"/>
            <w:webHidden/>
          </w:rPr>
          <w:t>155</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22" w:history="1">
        <w:r w:rsidR="003A497B" w:rsidRPr="003A497B">
          <w:rPr>
            <w:rStyle w:val="Hypertextovprepojenie"/>
            <w:b w:val="0"/>
            <w:lang w:eastAsia="sk-SK"/>
          </w:rPr>
          <w:t>Národný bezpečnostný úrad</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_Toc526267722 \h </w:instrText>
        </w:r>
        <w:r w:rsidR="003A497B" w:rsidRPr="003A497B">
          <w:rPr>
            <w:b w:val="0"/>
            <w:webHidden/>
          </w:rPr>
        </w:r>
        <w:r w:rsidR="003A497B" w:rsidRPr="003A497B">
          <w:rPr>
            <w:b w:val="0"/>
            <w:webHidden/>
          </w:rPr>
          <w:fldChar w:fldCharType="separate"/>
        </w:r>
        <w:r w:rsidR="00E165BB">
          <w:rPr>
            <w:b w:val="0"/>
            <w:webHidden/>
          </w:rPr>
          <w:t>156</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23" w:history="1">
        <w:r w:rsidR="003A497B" w:rsidRPr="003A497B">
          <w:rPr>
            <w:rStyle w:val="Hypertextovprepojenie"/>
            <w:b w:val="0"/>
            <w:lang w:eastAsia="sk-SK"/>
          </w:rPr>
          <w:t>Správa štátnych hmotných rezerv SR</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_Toc526267723 \h </w:instrText>
        </w:r>
        <w:r w:rsidR="003A497B" w:rsidRPr="003A497B">
          <w:rPr>
            <w:b w:val="0"/>
            <w:webHidden/>
          </w:rPr>
        </w:r>
        <w:r w:rsidR="003A497B" w:rsidRPr="003A497B">
          <w:rPr>
            <w:b w:val="0"/>
            <w:webHidden/>
          </w:rPr>
          <w:fldChar w:fldCharType="separate"/>
        </w:r>
        <w:r w:rsidR="00E165BB">
          <w:rPr>
            <w:b w:val="0"/>
            <w:webHidden/>
          </w:rPr>
          <w:t>157</w:t>
        </w:r>
        <w:r w:rsidR="003A497B" w:rsidRPr="003A497B">
          <w:rPr>
            <w:b w:val="0"/>
            <w:webHidden/>
          </w:rPr>
          <w:fldChar w:fldCharType="end"/>
        </w:r>
      </w:hyperlink>
    </w:p>
    <w:p w:rsidR="003A497B" w:rsidRP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24" w:history="1">
        <w:r w:rsidR="003A497B" w:rsidRPr="003A497B">
          <w:rPr>
            <w:rStyle w:val="Hypertextovprepojenie"/>
            <w:b w:val="0"/>
            <w:lang w:eastAsia="sk-SK"/>
          </w:rPr>
          <w:t>Slovenská akadémia vied</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_Toc526267724 \h </w:instrText>
        </w:r>
        <w:r w:rsidR="003A497B" w:rsidRPr="003A497B">
          <w:rPr>
            <w:b w:val="0"/>
            <w:webHidden/>
          </w:rPr>
        </w:r>
        <w:r w:rsidR="003A497B" w:rsidRPr="003A497B">
          <w:rPr>
            <w:b w:val="0"/>
            <w:webHidden/>
          </w:rPr>
          <w:fldChar w:fldCharType="separate"/>
        </w:r>
        <w:r w:rsidR="00E165BB">
          <w:rPr>
            <w:b w:val="0"/>
            <w:webHidden/>
          </w:rPr>
          <w:t>158</w:t>
        </w:r>
        <w:r w:rsidR="003A497B" w:rsidRPr="003A497B">
          <w:rPr>
            <w:b w:val="0"/>
            <w:webHidden/>
          </w:rPr>
          <w:fldChar w:fldCharType="end"/>
        </w:r>
      </w:hyperlink>
    </w:p>
    <w:p w:rsidR="003A497B" w:rsidRDefault="00A44F05" w:rsidP="003A497B">
      <w:pPr>
        <w:pStyle w:val="Obsah1"/>
        <w:spacing w:line="276" w:lineRule="auto"/>
        <w:rPr>
          <w:rFonts w:asciiTheme="minorHAnsi" w:eastAsiaTheme="minorEastAsia" w:hAnsiTheme="minorHAnsi" w:cstheme="minorBidi"/>
          <w:b w:val="0"/>
          <w:sz w:val="22"/>
          <w:szCs w:val="22"/>
          <w:lang w:eastAsia="sk-SK"/>
        </w:rPr>
      </w:pPr>
      <w:hyperlink w:anchor="_Toc526267725" w:history="1">
        <w:r w:rsidR="003A497B" w:rsidRPr="003A497B">
          <w:rPr>
            <w:rStyle w:val="Hypertextovprepojenie"/>
            <w:b w:val="0"/>
            <w:lang w:eastAsia="sk-SK"/>
          </w:rPr>
          <w:t>Všeobecná pokladničná správa</w:t>
        </w:r>
        <w:r w:rsidR="003A497B" w:rsidRPr="003A497B">
          <w:rPr>
            <w:b w:val="0"/>
            <w:webHidden/>
          </w:rPr>
          <w:tab/>
        </w:r>
        <w:r w:rsidR="003A497B" w:rsidRPr="003A497B">
          <w:rPr>
            <w:b w:val="0"/>
            <w:webHidden/>
          </w:rPr>
          <w:fldChar w:fldCharType="begin"/>
        </w:r>
        <w:r w:rsidR="003A497B" w:rsidRPr="003A497B">
          <w:rPr>
            <w:b w:val="0"/>
            <w:webHidden/>
          </w:rPr>
          <w:instrText xml:space="preserve"> PAGEREF _Toc526267725 \h </w:instrText>
        </w:r>
        <w:r w:rsidR="003A497B" w:rsidRPr="003A497B">
          <w:rPr>
            <w:b w:val="0"/>
            <w:webHidden/>
          </w:rPr>
        </w:r>
        <w:r w:rsidR="003A497B" w:rsidRPr="003A497B">
          <w:rPr>
            <w:b w:val="0"/>
            <w:webHidden/>
          </w:rPr>
          <w:fldChar w:fldCharType="separate"/>
        </w:r>
        <w:r w:rsidR="00E165BB">
          <w:rPr>
            <w:b w:val="0"/>
            <w:webHidden/>
          </w:rPr>
          <w:t>162</w:t>
        </w:r>
        <w:r w:rsidR="003A497B" w:rsidRPr="003A497B">
          <w:rPr>
            <w:b w:val="0"/>
            <w:webHidden/>
          </w:rPr>
          <w:fldChar w:fldCharType="end"/>
        </w:r>
      </w:hyperlink>
    </w:p>
    <w:p w:rsidR="009A5E8A" w:rsidRDefault="005D2BC3" w:rsidP="00B1492B">
      <w:pPr>
        <w:pStyle w:val="Zkladntext"/>
        <w:tabs>
          <w:tab w:val="left" w:pos="0"/>
        </w:tabs>
        <w:spacing w:line="276" w:lineRule="auto"/>
      </w:pPr>
      <w:r w:rsidRPr="00C10BC3">
        <w:rPr>
          <w:rFonts w:ascii="Times New Roman" w:hAnsi="Times New Roman"/>
          <w:color w:val="0070C0"/>
        </w:rPr>
        <w:fldChar w:fldCharType="end"/>
      </w:r>
    </w:p>
    <w:p w:rsidR="00880793" w:rsidRDefault="00880793" w:rsidP="00672D9A">
      <w:pPr>
        <w:pStyle w:val="Nadpis1"/>
        <w:spacing w:before="0" w:after="0"/>
        <w:rPr>
          <w:rFonts w:ascii="Times New Roman" w:hAnsi="Times New Roman" w:cs="Times New Roman"/>
          <w:sz w:val="28"/>
          <w:szCs w:val="28"/>
        </w:rPr>
      </w:pPr>
    </w:p>
    <w:p w:rsidR="00880793" w:rsidRPr="00880793" w:rsidRDefault="00880793" w:rsidP="00880793"/>
    <w:p w:rsidR="00880793" w:rsidRDefault="00880793" w:rsidP="00672D9A">
      <w:pPr>
        <w:pStyle w:val="Nadpis1"/>
        <w:spacing w:before="0" w:after="0"/>
        <w:rPr>
          <w:rFonts w:ascii="Times New Roman" w:hAnsi="Times New Roman" w:cs="Times New Roman"/>
          <w:sz w:val="28"/>
          <w:szCs w:val="28"/>
        </w:rPr>
      </w:pPr>
    </w:p>
    <w:p w:rsidR="00880793" w:rsidRDefault="00880793" w:rsidP="00880793"/>
    <w:p w:rsidR="003E1809" w:rsidRDefault="003E1809" w:rsidP="00880793">
      <w:bookmarkStart w:id="58" w:name="_GoBack"/>
      <w:bookmarkEnd w:id="58"/>
    </w:p>
    <w:p w:rsidR="00E158EA" w:rsidRDefault="00E158EA" w:rsidP="00880793"/>
    <w:p w:rsidR="003A497B" w:rsidRPr="004A3627" w:rsidRDefault="003A497B" w:rsidP="003A497B">
      <w:pPr>
        <w:pStyle w:val="Nadpis5"/>
        <w:pBdr>
          <w:bottom w:val="single" w:sz="4" w:space="1" w:color="auto"/>
        </w:pBdr>
        <w:ind w:left="0"/>
        <w:rPr>
          <w:i w:val="0"/>
          <w:sz w:val="24"/>
          <w:lang w:eastAsia="sk-SK"/>
        </w:rPr>
      </w:pPr>
      <w:bookmarkStart w:id="59" w:name="_Toc494470090"/>
      <w:bookmarkStart w:id="60" w:name="_Toc494472266"/>
      <w:bookmarkStart w:id="61" w:name="_Toc526267691"/>
      <w:r w:rsidRPr="004A3627">
        <w:rPr>
          <w:i w:val="0"/>
          <w:sz w:val="24"/>
          <w:lang w:eastAsia="sk-SK"/>
        </w:rPr>
        <w:lastRenderedPageBreak/>
        <w:t>Ministerstvo vnútra SR</w:t>
      </w:r>
      <w:bookmarkEnd w:id="59"/>
      <w:bookmarkEnd w:id="60"/>
      <w:bookmarkEnd w:id="61"/>
    </w:p>
    <w:p w:rsidR="003A497B" w:rsidRDefault="003A497B" w:rsidP="003A497B">
      <w:pPr>
        <w:jc w:val="both"/>
        <w:rPr>
          <w:rFonts w:ascii="Times New Roman" w:hAnsi="Times New Roman" w:cs="Times New Roman"/>
        </w:rPr>
      </w:pPr>
      <w:bookmarkStart w:id="62" w:name="_Toc409685246"/>
      <w:bookmarkStart w:id="63" w:name="_Toc494470091"/>
      <w:bookmarkStart w:id="64" w:name="_Toc494472267"/>
    </w:p>
    <w:tbl>
      <w:tblPr>
        <w:tblW w:w="5000" w:type="pct"/>
        <w:tblCellMar>
          <w:left w:w="70" w:type="dxa"/>
          <w:right w:w="70" w:type="dxa"/>
        </w:tblCellMar>
        <w:tblLook w:val="04A0" w:firstRow="1" w:lastRow="0" w:firstColumn="1" w:lastColumn="0" w:noHBand="0" w:noVBand="1"/>
      </w:tblPr>
      <w:tblGrid>
        <w:gridCol w:w="2583"/>
        <w:gridCol w:w="917"/>
        <w:gridCol w:w="917"/>
        <w:gridCol w:w="917"/>
        <w:gridCol w:w="917"/>
        <w:gridCol w:w="917"/>
        <w:gridCol w:w="917"/>
        <w:gridCol w:w="977"/>
      </w:tblGrid>
      <w:tr w:rsidR="003A497B" w:rsidRPr="00314814" w:rsidTr="003E1809">
        <w:trPr>
          <w:trHeight w:val="255"/>
        </w:trPr>
        <w:tc>
          <w:tcPr>
            <w:tcW w:w="142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314814" w:rsidRDefault="003A497B" w:rsidP="003E1809">
            <w:pPr>
              <w:rPr>
                <w:rFonts w:ascii="Times New Roman" w:hAnsi="Times New Roman" w:cs="Times New Roman"/>
                <w:b/>
                <w:bCs/>
                <w:color w:val="000000"/>
                <w:sz w:val="14"/>
                <w:szCs w:val="14"/>
                <w:lang w:eastAsia="sk-SK"/>
              </w:rPr>
            </w:pPr>
            <w:r w:rsidRPr="00314814">
              <w:rPr>
                <w:rFonts w:ascii="Times New Roman" w:hAnsi="Times New Roman" w:cs="Times New Roman"/>
                <w:b/>
                <w:bCs/>
                <w:color w:val="000000"/>
                <w:sz w:val="14"/>
                <w:szCs w:val="14"/>
                <w:lang w:eastAsia="sk-SK"/>
              </w:rPr>
              <w:t> v eurách</w:t>
            </w:r>
          </w:p>
        </w:tc>
        <w:tc>
          <w:tcPr>
            <w:tcW w:w="506" w:type="pct"/>
            <w:tcBorders>
              <w:top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2016 S</w:t>
            </w:r>
          </w:p>
        </w:tc>
        <w:tc>
          <w:tcPr>
            <w:tcW w:w="506"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highlight w:val="yellow"/>
              </w:rPr>
            </w:pPr>
            <w:r w:rsidRPr="00314814">
              <w:rPr>
                <w:rFonts w:ascii="Times New Roman" w:hAnsi="Times New Roman" w:cs="Times New Roman"/>
                <w:b/>
                <w:bCs/>
                <w:color w:val="000000"/>
                <w:sz w:val="14"/>
                <w:szCs w:val="14"/>
              </w:rPr>
              <w:t>2017 S</w:t>
            </w:r>
          </w:p>
        </w:tc>
        <w:tc>
          <w:tcPr>
            <w:tcW w:w="506"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R</w:t>
            </w:r>
          </w:p>
        </w:tc>
        <w:tc>
          <w:tcPr>
            <w:tcW w:w="506"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OS</w:t>
            </w:r>
          </w:p>
        </w:tc>
        <w:tc>
          <w:tcPr>
            <w:tcW w:w="506"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2019 N</w:t>
            </w:r>
          </w:p>
        </w:tc>
        <w:tc>
          <w:tcPr>
            <w:tcW w:w="506"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2020 N</w:t>
            </w:r>
          </w:p>
        </w:tc>
        <w:tc>
          <w:tcPr>
            <w:tcW w:w="539"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2021 N</w:t>
            </w:r>
          </w:p>
        </w:tc>
      </w:tr>
      <w:tr w:rsidR="003A497B" w:rsidRPr="00314814" w:rsidTr="003E1809">
        <w:trPr>
          <w:trHeight w:val="255"/>
        </w:trPr>
        <w:tc>
          <w:tcPr>
            <w:tcW w:w="1425" w:type="pct"/>
            <w:tcBorders>
              <w:top w:val="nil"/>
              <w:left w:val="single" w:sz="4" w:space="0" w:color="auto"/>
              <w:bottom w:val="single" w:sz="4" w:space="0" w:color="auto"/>
              <w:right w:val="single" w:sz="4" w:space="0" w:color="auto"/>
            </w:tcBorders>
            <w:shd w:val="clear" w:color="auto" w:fill="BFBFBF" w:themeFill="background1" w:themeFillShade="BF"/>
            <w:vAlign w:val="center"/>
          </w:tcPr>
          <w:p w:rsidR="003A497B" w:rsidRPr="00314814" w:rsidRDefault="003A497B" w:rsidP="003E1809">
            <w:pPr>
              <w:rPr>
                <w:rFonts w:ascii="Times New Roman" w:hAnsi="Times New Roman" w:cs="Times New Roman"/>
                <w:b/>
                <w:bCs/>
                <w:color w:val="000000"/>
                <w:sz w:val="14"/>
                <w:szCs w:val="14"/>
                <w:lang w:eastAsia="sk-SK"/>
              </w:rPr>
            </w:pPr>
            <w:r w:rsidRPr="00314814">
              <w:rPr>
                <w:rFonts w:ascii="Times New Roman" w:hAnsi="Times New Roman" w:cs="Times New Roman"/>
                <w:b/>
                <w:bCs/>
                <w:color w:val="000000"/>
                <w:sz w:val="14"/>
                <w:szCs w:val="14"/>
                <w:lang w:eastAsia="sk-SK"/>
              </w:rPr>
              <w:t>Zdroje príslušnej kapitoly vrátane 72</w:t>
            </w:r>
          </w:p>
        </w:tc>
        <w:tc>
          <w:tcPr>
            <w:tcW w:w="506" w:type="pct"/>
            <w:tcBorders>
              <w:top w:val="nil"/>
              <w:left w:val="nil"/>
              <w:bottom w:val="single" w:sz="4" w:space="0" w:color="auto"/>
              <w:right w:val="single" w:sz="4" w:space="0" w:color="auto"/>
            </w:tcBorders>
            <w:shd w:val="clear" w:color="000000" w:fill="BFBFBF"/>
            <w:vAlign w:val="bottom"/>
          </w:tcPr>
          <w:p w:rsidR="003A497B" w:rsidRPr="00314814" w:rsidRDefault="003A497B" w:rsidP="003E1809">
            <w:pPr>
              <w:jc w:val="right"/>
              <w:rPr>
                <w:rFonts w:ascii="Times New Roman" w:hAnsi="Times New Roman" w:cs="Times New Roman"/>
                <w:b/>
                <w:bCs/>
                <w:color w:val="000000"/>
                <w:sz w:val="13"/>
                <w:szCs w:val="13"/>
                <w:lang w:eastAsia="sk-SK"/>
              </w:rPr>
            </w:pPr>
            <w:r w:rsidRPr="00314814">
              <w:rPr>
                <w:rFonts w:ascii="Times New Roman" w:hAnsi="Times New Roman" w:cs="Times New Roman"/>
                <w:b/>
                <w:bCs/>
                <w:color w:val="000000"/>
                <w:sz w:val="13"/>
                <w:szCs w:val="13"/>
              </w:rPr>
              <w:t xml:space="preserve">2 460 </w:t>
            </w:r>
            <w:r w:rsidRPr="00314814">
              <w:rPr>
                <w:rFonts w:ascii="Times New Roman" w:hAnsi="Times New Roman" w:cs="Times New Roman"/>
                <w:b/>
                <w:bCs/>
                <w:noProof/>
                <w:color w:val="000000"/>
                <w:sz w:val="13"/>
                <w:szCs w:val="13"/>
                <w:lang w:eastAsia="sk-SK"/>
              </w:rPr>
              <w:t>312</w:t>
            </w:r>
            <w:r w:rsidRPr="00314814">
              <w:rPr>
                <w:rFonts w:ascii="Times New Roman" w:hAnsi="Times New Roman" w:cs="Times New Roman"/>
                <w:b/>
                <w:bCs/>
                <w:color w:val="000000"/>
                <w:sz w:val="13"/>
                <w:szCs w:val="13"/>
              </w:rPr>
              <w:t xml:space="preserve"> 181</w:t>
            </w:r>
          </w:p>
        </w:tc>
        <w:tc>
          <w:tcPr>
            <w:tcW w:w="506" w:type="pct"/>
            <w:tcBorders>
              <w:top w:val="nil"/>
              <w:left w:val="single" w:sz="4" w:space="0" w:color="auto"/>
              <w:bottom w:val="single" w:sz="4" w:space="0" w:color="auto"/>
              <w:right w:val="single" w:sz="4" w:space="0" w:color="auto"/>
            </w:tcBorders>
            <w:shd w:val="clear" w:color="000000" w:fill="BFBFBF"/>
            <w:vAlign w:val="bottom"/>
          </w:tcPr>
          <w:p w:rsidR="003A497B" w:rsidRPr="00314814" w:rsidRDefault="003A497B" w:rsidP="003E1809">
            <w:pPr>
              <w:jc w:val="right"/>
              <w:rPr>
                <w:rFonts w:ascii="Times New Roman" w:hAnsi="Times New Roman" w:cs="Times New Roman"/>
                <w:b/>
                <w:bCs/>
                <w:color w:val="000000"/>
                <w:sz w:val="13"/>
                <w:szCs w:val="13"/>
              </w:rPr>
            </w:pPr>
            <w:r w:rsidRPr="00314814">
              <w:rPr>
                <w:rFonts w:ascii="Times New Roman" w:hAnsi="Times New Roman" w:cs="Times New Roman"/>
                <w:b/>
                <w:bCs/>
                <w:color w:val="000000"/>
                <w:sz w:val="13"/>
                <w:szCs w:val="13"/>
              </w:rPr>
              <w:t>2 469 862 548</w:t>
            </w:r>
          </w:p>
        </w:tc>
        <w:tc>
          <w:tcPr>
            <w:tcW w:w="506" w:type="pct"/>
            <w:tcBorders>
              <w:top w:val="nil"/>
              <w:left w:val="single" w:sz="4" w:space="0" w:color="auto"/>
              <w:bottom w:val="single" w:sz="4" w:space="0" w:color="auto"/>
              <w:right w:val="single" w:sz="4" w:space="0" w:color="auto"/>
            </w:tcBorders>
            <w:shd w:val="clear" w:color="000000" w:fill="BFBFBF"/>
            <w:vAlign w:val="bottom"/>
          </w:tcPr>
          <w:p w:rsidR="003A497B" w:rsidRPr="00314814" w:rsidRDefault="003A497B" w:rsidP="003E1809">
            <w:pPr>
              <w:jc w:val="right"/>
              <w:rPr>
                <w:rFonts w:ascii="Times New Roman" w:hAnsi="Times New Roman" w:cs="Times New Roman"/>
                <w:b/>
                <w:bCs/>
                <w:color w:val="000000"/>
                <w:sz w:val="13"/>
                <w:szCs w:val="13"/>
              </w:rPr>
            </w:pPr>
            <w:r w:rsidRPr="00314814">
              <w:rPr>
                <w:rFonts w:ascii="Times New Roman" w:hAnsi="Times New Roman" w:cs="Times New Roman"/>
                <w:b/>
                <w:bCs/>
                <w:color w:val="000000"/>
                <w:sz w:val="13"/>
                <w:szCs w:val="13"/>
              </w:rPr>
              <w:t>2 400 901 620</w:t>
            </w:r>
          </w:p>
        </w:tc>
        <w:tc>
          <w:tcPr>
            <w:tcW w:w="5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3A497B" w:rsidRPr="00314814" w:rsidRDefault="003A497B" w:rsidP="003E1809">
            <w:pPr>
              <w:jc w:val="right"/>
              <w:rPr>
                <w:rFonts w:ascii="Times New Roman" w:hAnsi="Times New Roman" w:cs="Times New Roman"/>
                <w:b/>
                <w:bCs/>
                <w:noProof/>
                <w:color w:val="000000"/>
                <w:sz w:val="13"/>
                <w:szCs w:val="13"/>
                <w:lang w:eastAsia="sk-SK"/>
              </w:rPr>
            </w:pPr>
            <w:r w:rsidRPr="00314814">
              <w:rPr>
                <w:rFonts w:ascii="Times New Roman" w:hAnsi="Times New Roman" w:cs="Times New Roman"/>
                <w:b/>
                <w:bCs/>
                <w:noProof/>
                <w:color w:val="000000"/>
                <w:sz w:val="13"/>
                <w:szCs w:val="13"/>
                <w:lang w:eastAsia="sk-SK"/>
              </w:rPr>
              <w:t>2 575 059 485</w:t>
            </w:r>
          </w:p>
        </w:tc>
        <w:tc>
          <w:tcPr>
            <w:tcW w:w="506" w:type="pct"/>
            <w:tcBorders>
              <w:top w:val="single" w:sz="4" w:space="0" w:color="auto"/>
              <w:left w:val="nil"/>
              <w:bottom w:val="single" w:sz="4" w:space="0" w:color="auto"/>
              <w:right w:val="single" w:sz="4" w:space="0" w:color="auto"/>
            </w:tcBorders>
            <w:shd w:val="clear" w:color="auto" w:fill="BFBFBF" w:themeFill="background1" w:themeFillShade="BF"/>
            <w:vAlign w:val="bottom"/>
          </w:tcPr>
          <w:p w:rsidR="003A497B" w:rsidRPr="00314814" w:rsidRDefault="003A497B" w:rsidP="003E1809">
            <w:pPr>
              <w:jc w:val="right"/>
              <w:rPr>
                <w:rFonts w:ascii="Times New Roman" w:hAnsi="Times New Roman" w:cs="Times New Roman"/>
                <w:b/>
                <w:bCs/>
                <w:noProof/>
                <w:color w:val="000000"/>
                <w:sz w:val="13"/>
                <w:szCs w:val="13"/>
                <w:highlight w:val="yellow"/>
                <w:lang w:eastAsia="sk-SK"/>
              </w:rPr>
            </w:pPr>
            <w:r w:rsidRPr="00314814">
              <w:rPr>
                <w:rFonts w:ascii="Times New Roman" w:hAnsi="Times New Roman" w:cs="Times New Roman"/>
                <w:b/>
                <w:bCs/>
                <w:noProof/>
                <w:color w:val="000000"/>
                <w:sz w:val="13"/>
                <w:szCs w:val="13"/>
                <w:lang w:eastAsia="sk-SK"/>
              </w:rPr>
              <w:t>2 464 409 315</w:t>
            </w:r>
          </w:p>
        </w:tc>
        <w:tc>
          <w:tcPr>
            <w:tcW w:w="506" w:type="pct"/>
            <w:tcBorders>
              <w:top w:val="single" w:sz="4" w:space="0" w:color="auto"/>
              <w:left w:val="nil"/>
              <w:bottom w:val="single" w:sz="4" w:space="0" w:color="auto"/>
              <w:right w:val="single" w:sz="4" w:space="0" w:color="auto"/>
            </w:tcBorders>
            <w:shd w:val="clear" w:color="auto" w:fill="BFBFBF" w:themeFill="background1" w:themeFillShade="BF"/>
            <w:vAlign w:val="bottom"/>
          </w:tcPr>
          <w:p w:rsidR="003A497B" w:rsidRPr="00314814" w:rsidRDefault="003A497B" w:rsidP="003E1809">
            <w:pPr>
              <w:jc w:val="right"/>
              <w:rPr>
                <w:rFonts w:ascii="Times New Roman" w:hAnsi="Times New Roman" w:cs="Times New Roman"/>
                <w:b/>
                <w:bCs/>
                <w:noProof/>
                <w:color w:val="000000"/>
                <w:sz w:val="13"/>
                <w:szCs w:val="13"/>
                <w:highlight w:val="yellow"/>
                <w:lang w:eastAsia="sk-SK"/>
              </w:rPr>
            </w:pPr>
            <w:r w:rsidRPr="00314814">
              <w:rPr>
                <w:rFonts w:ascii="Times New Roman" w:hAnsi="Times New Roman" w:cs="Times New Roman"/>
                <w:b/>
                <w:bCs/>
                <w:noProof/>
                <w:color w:val="000000"/>
                <w:sz w:val="13"/>
                <w:szCs w:val="13"/>
                <w:lang w:eastAsia="sk-SK"/>
              </w:rPr>
              <w:t>2 554 838 348</w:t>
            </w:r>
          </w:p>
        </w:tc>
        <w:tc>
          <w:tcPr>
            <w:tcW w:w="539" w:type="pct"/>
            <w:tcBorders>
              <w:top w:val="single" w:sz="4" w:space="0" w:color="auto"/>
              <w:left w:val="nil"/>
              <w:bottom w:val="single" w:sz="4" w:space="0" w:color="auto"/>
              <w:right w:val="single" w:sz="4" w:space="0" w:color="auto"/>
            </w:tcBorders>
            <w:shd w:val="clear" w:color="auto" w:fill="BFBFBF" w:themeFill="background1" w:themeFillShade="BF"/>
            <w:vAlign w:val="bottom"/>
          </w:tcPr>
          <w:p w:rsidR="003A497B" w:rsidRPr="00314814" w:rsidRDefault="003A497B" w:rsidP="003E1809">
            <w:pPr>
              <w:jc w:val="right"/>
              <w:rPr>
                <w:rFonts w:ascii="Times New Roman" w:hAnsi="Times New Roman" w:cs="Times New Roman"/>
                <w:b/>
                <w:bCs/>
                <w:noProof/>
                <w:color w:val="000000"/>
                <w:sz w:val="13"/>
                <w:szCs w:val="13"/>
                <w:highlight w:val="yellow"/>
                <w:lang w:eastAsia="sk-SK"/>
              </w:rPr>
            </w:pPr>
            <w:r w:rsidRPr="00314814">
              <w:rPr>
                <w:rFonts w:ascii="Times New Roman" w:hAnsi="Times New Roman" w:cs="Times New Roman"/>
                <w:b/>
                <w:bCs/>
                <w:noProof/>
                <w:color w:val="000000"/>
                <w:sz w:val="13"/>
                <w:szCs w:val="13"/>
                <w:lang w:eastAsia="sk-SK"/>
              </w:rPr>
              <w:t>2 554 934 615</w:t>
            </w:r>
          </w:p>
        </w:tc>
      </w:tr>
      <w:tr w:rsidR="003A497B" w:rsidRPr="00314814" w:rsidTr="003E1809">
        <w:trPr>
          <w:trHeight w:val="255"/>
        </w:trPr>
        <w:tc>
          <w:tcPr>
            <w:tcW w:w="1425"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A497B" w:rsidRPr="00314814" w:rsidRDefault="003A497B" w:rsidP="003E1809">
            <w:pPr>
              <w:rPr>
                <w:rFonts w:ascii="Times New Roman" w:hAnsi="Times New Roman" w:cs="Times New Roman"/>
                <w:b/>
                <w:bCs/>
                <w:color w:val="000000"/>
                <w:sz w:val="14"/>
                <w:szCs w:val="14"/>
                <w:lang w:eastAsia="sk-SK"/>
              </w:rPr>
            </w:pPr>
            <w:r w:rsidRPr="00314814">
              <w:rPr>
                <w:rFonts w:ascii="Times New Roman" w:hAnsi="Times New Roman" w:cs="Times New Roman"/>
                <w:b/>
                <w:bCs/>
                <w:color w:val="000000"/>
                <w:sz w:val="14"/>
                <w:szCs w:val="14"/>
                <w:lang w:eastAsia="sk-SK"/>
              </w:rPr>
              <w:t>Zdroje príslušnej kapitoly</w:t>
            </w:r>
          </w:p>
        </w:tc>
        <w:tc>
          <w:tcPr>
            <w:tcW w:w="506" w:type="pct"/>
            <w:tcBorders>
              <w:top w:val="single" w:sz="4" w:space="0" w:color="auto"/>
              <w:left w:val="nil"/>
              <w:bottom w:val="single" w:sz="4" w:space="0" w:color="auto"/>
              <w:right w:val="single" w:sz="4" w:space="0" w:color="auto"/>
            </w:tcBorders>
            <w:shd w:val="clear" w:color="000000" w:fill="BFBFBF"/>
            <w:vAlign w:val="bottom"/>
          </w:tcPr>
          <w:p w:rsidR="003A497B" w:rsidRPr="00314814" w:rsidRDefault="003A497B" w:rsidP="003E1809">
            <w:pPr>
              <w:jc w:val="right"/>
              <w:rPr>
                <w:rFonts w:ascii="Times New Roman" w:hAnsi="Times New Roman" w:cs="Times New Roman"/>
                <w:b/>
                <w:bCs/>
                <w:color w:val="000000"/>
                <w:sz w:val="13"/>
                <w:szCs w:val="13"/>
              </w:rPr>
            </w:pPr>
            <w:r w:rsidRPr="00314814">
              <w:rPr>
                <w:rFonts w:ascii="Times New Roman" w:hAnsi="Times New Roman" w:cs="Times New Roman"/>
                <w:b/>
                <w:bCs/>
                <w:color w:val="000000"/>
                <w:sz w:val="13"/>
                <w:szCs w:val="13"/>
              </w:rPr>
              <w:t>2 460 312 181</w:t>
            </w:r>
          </w:p>
        </w:tc>
        <w:tc>
          <w:tcPr>
            <w:tcW w:w="506" w:type="pct"/>
            <w:tcBorders>
              <w:top w:val="single" w:sz="4" w:space="0" w:color="auto"/>
              <w:left w:val="single" w:sz="4" w:space="0" w:color="auto"/>
              <w:bottom w:val="single" w:sz="4" w:space="0" w:color="auto"/>
              <w:right w:val="single" w:sz="4" w:space="0" w:color="auto"/>
            </w:tcBorders>
            <w:shd w:val="clear" w:color="000000" w:fill="BFBFBF"/>
            <w:vAlign w:val="bottom"/>
          </w:tcPr>
          <w:p w:rsidR="003A497B" w:rsidRPr="00314814" w:rsidRDefault="003A497B" w:rsidP="003E1809">
            <w:pPr>
              <w:jc w:val="right"/>
              <w:rPr>
                <w:rFonts w:ascii="Times New Roman" w:hAnsi="Times New Roman" w:cs="Times New Roman"/>
                <w:b/>
                <w:bCs/>
                <w:color w:val="000000"/>
                <w:sz w:val="13"/>
                <w:szCs w:val="13"/>
              </w:rPr>
            </w:pPr>
            <w:r w:rsidRPr="00314814">
              <w:rPr>
                <w:rFonts w:ascii="Times New Roman" w:hAnsi="Times New Roman" w:cs="Times New Roman"/>
                <w:b/>
                <w:bCs/>
                <w:color w:val="000000"/>
                <w:sz w:val="13"/>
                <w:szCs w:val="13"/>
              </w:rPr>
              <w:t>2 457 070 245</w:t>
            </w:r>
          </w:p>
        </w:tc>
        <w:tc>
          <w:tcPr>
            <w:tcW w:w="506" w:type="pct"/>
            <w:tcBorders>
              <w:top w:val="single" w:sz="4" w:space="0" w:color="auto"/>
              <w:left w:val="single" w:sz="4" w:space="0" w:color="auto"/>
              <w:bottom w:val="single" w:sz="4" w:space="0" w:color="auto"/>
              <w:right w:val="single" w:sz="4" w:space="0" w:color="auto"/>
            </w:tcBorders>
            <w:shd w:val="clear" w:color="000000" w:fill="BFBFBF"/>
            <w:vAlign w:val="bottom"/>
          </w:tcPr>
          <w:p w:rsidR="003A497B" w:rsidRPr="00314814" w:rsidRDefault="003A497B" w:rsidP="003E1809">
            <w:pPr>
              <w:jc w:val="right"/>
              <w:rPr>
                <w:rFonts w:ascii="Times New Roman" w:hAnsi="Times New Roman" w:cs="Times New Roman"/>
                <w:b/>
                <w:bCs/>
                <w:color w:val="000000"/>
                <w:sz w:val="13"/>
                <w:szCs w:val="13"/>
              </w:rPr>
            </w:pPr>
            <w:r w:rsidRPr="00314814">
              <w:rPr>
                <w:rFonts w:ascii="Times New Roman" w:hAnsi="Times New Roman" w:cs="Times New Roman"/>
                <w:b/>
                <w:bCs/>
                <w:color w:val="000000"/>
                <w:sz w:val="13"/>
                <w:szCs w:val="13"/>
              </w:rPr>
              <w:t>2 398 882 329</w:t>
            </w:r>
          </w:p>
        </w:tc>
        <w:tc>
          <w:tcPr>
            <w:tcW w:w="506" w:type="pct"/>
            <w:tcBorders>
              <w:top w:val="nil"/>
              <w:left w:val="single" w:sz="4" w:space="0" w:color="auto"/>
              <w:bottom w:val="single" w:sz="4" w:space="0" w:color="auto"/>
              <w:right w:val="single" w:sz="4" w:space="0" w:color="auto"/>
            </w:tcBorders>
            <w:shd w:val="clear" w:color="auto" w:fill="BFBFBF" w:themeFill="background1" w:themeFillShade="BF"/>
            <w:vAlign w:val="bottom"/>
          </w:tcPr>
          <w:p w:rsidR="003A497B" w:rsidRPr="00314814" w:rsidRDefault="003A497B" w:rsidP="003E1809">
            <w:pPr>
              <w:jc w:val="right"/>
              <w:rPr>
                <w:rFonts w:ascii="Times New Roman" w:hAnsi="Times New Roman" w:cs="Times New Roman"/>
                <w:b/>
                <w:bCs/>
                <w:noProof/>
                <w:color w:val="000000"/>
                <w:sz w:val="13"/>
                <w:szCs w:val="13"/>
                <w:lang w:eastAsia="sk-SK"/>
              </w:rPr>
            </w:pPr>
            <w:r w:rsidRPr="00314814">
              <w:rPr>
                <w:rFonts w:ascii="Times New Roman" w:hAnsi="Times New Roman" w:cs="Times New Roman"/>
                <w:b/>
                <w:bCs/>
                <w:noProof/>
                <w:color w:val="000000"/>
                <w:sz w:val="13"/>
                <w:szCs w:val="13"/>
                <w:lang w:eastAsia="sk-SK"/>
              </w:rPr>
              <w:t>2 573 040 194</w:t>
            </w:r>
          </w:p>
        </w:tc>
        <w:tc>
          <w:tcPr>
            <w:tcW w:w="506" w:type="pct"/>
            <w:tcBorders>
              <w:top w:val="nil"/>
              <w:left w:val="nil"/>
              <w:bottom w:val="single" w:sz="4" w:space="0" w:color="auto"/>
              <w:right w:val="single" w:sz="4" w:space="0" w:color="auto"/>
            </w:tcBorders>
            <w:shd w:val="clear" w:color="auto" w:fill="BFBFBF" w:themeFill="background1" w:themeFillShade="BF"/>
            <w:vAlign w:val="bottom"/>
          </w:tcPr>
          <w:p w:rsidR="003A497B" w:rsidRPr="00314814" w:rsidRDefault="003A497B" w:rsidP="003E1809">
            <w:pPr>
              <w:jc w:val="right"/>
              <w:rPr>
                <w:rFonts w:ascii="Times New Roman" w:hAnsi="Times New Roman" w:cs="Times New Roman"/>
                <w:b/>
                <w:bCs/>
                <w:noProof/>
                <w:color w:val="000000"/>
                <w:sz w:val="13"/>
                <w:szCs w:val="13"/>
                <w:highlight w:val="yellow"/>
                <w:lang w:eastAsia="sk-SK"/>
              </w:rPr>
            </w:pPr>
            <w:r w:rsidRPr="00314814">
              <w:rPr>
                <w:rFonts w:ascii="Times New Roman" w:hAnsi="Times New Roman" w:cs="Times New Roman"/>
                <w:b/>
                <w:bCs/>
                <w:noProof/>
                <w:color w:val="000000"/>
                <w:sz w:val="13"/>
                <w:szCs w:val="13"/>
                <w:lang w:eastAsia="sk-SK"/>
              </w:rPr>
              <w:t>2 462 389 402</w:t>
            </w:r>
          </w:p>
        </w:tc>
        <w:tc>
          <w:tcPr>
            <w:tcW w:w="506" w:type="pct"/>
            <w:tcBorders>
              <w:top w:val="nil"/>
              <w:left w:val="nil"/>
              <w:bottom w:val="single" w:sz="4" w:space="0" w:color="auto"/>
              <w:right w:val="single" w:sz="4" w:space="0" w:color="auto"/>
            </w:tcBorders>
            <w:shd w:val="clear" w:color="auto" w:fill="BFBFBF" w:themeFill="background1" w:themeFillShade="BF"/>
            <w:vAlign w:val="bottom"/>
          </w:tcPr>
          <w:p w:rsidR="003A497B" w:rsidRPr="00314814" w:rsidRDefault="003A497B" w:rsidP="003E1809">
            <w:pPr>
              <w:jc w:val="right"/>
              <w:rPr>
                <w:rFonts w:ascii="Times New Roman" w:hAnsi="Times New Roman" w:cs="Times New Roman"/>
                <w:b/>
                <w:bCs/>
                <w:noProof/>
                <w:color w:val="000000"/>
                <w:sz w:val="13"/>
                <w:szCs w:val="13"/>
                <w:highlight w:val="yellow"/>
                <w:lang w:eastAsia="sk-SK"/>
              </w:rPr>
            </w:pPr>
            <w:r w:rsidRPr="00314814">
              <w:rPr>
                <w:rFonts w:ascii="Times New Roman" w:hAnsi="Times New Roman" w:cs="Times New Roman"/>
                <w:b/>
                <w:bCs/>
                <w:noProof/>
                <w:color w:val="000000"/>
                <w:sz w:val="13"/>
                <w:szCs w:val="13"/>
                <w:lang w:eastAsia="sk-SK"/>
              </w:rPr>
              <w:t>2 552 817 828</w:t>
            </w:r>
          </w:p>
        </w:tc>
        <w:tc>
          <w:tcPr>
            <w:tcW w:w="539" w:type="pct"/>
            <w:tcBorders>
              <w:top w:val="nil"/>
              <w:left w:val="nil"/>
              <w:bottom w:val="single" w:sz="4" w:space="0" w:color="auto"/>
              <w:right w:val="single" w:sz="4" w:space="0" w:color="auto"/>
            </w:tcBorders>
            <w:shd w:val="clear" w:color="auto" w:fill="BFBFBF" w:themeFill="background1" w:themeFillShade="BF"/>
            <w:vAlign w:val="bottom"/>
          </w:tcPr>
          <w:p w:rsidR="003A497B" w:rsidRPr="00314814" w:rsidRDefault="003A497B" w:rsidP="003E1809">
            <w:pPr>
              <w:jc w:val="right"/>
              <w:rPr>
                <w:rFonts w:ascii="Times New Roman" w:hAnsi="Times New Roman" w:cs="Times New Roman"/>
                <w:b/>
                <w:bCs/>
                <w:noProof/>
                <w:color w:val="000000"/>
                <w:sz w:val="13"/>
                <w:szCs w:val="13"/>
                <w:highlight w:val="yellow"/>
                <w:lang w:eastAsia="sk-SK"/>
              </w:rPr>
            </w:pPr>
            <w:r w:rsidRPr="00314814">
              <w:rPr>
                <w:rFonts w:ascii="Times New Roman" w:hAnsi="Times New Roman" w:cs="Times New Roman"/>
                <w:b/>
                <w:bCs/>
                <w:noProof/>
                <w:color w:val="000000"/>
                <w:sz w:val="13"/>
                <w:szCs w:val="13"/>
                <w:lang w:eastAsia="sk-SK"/>
              </w:rPr>
              <w:t>2 552 914 095</w:t>
            </w:r>
          </w:p>
        </w:tc>
      </w:tr>
      <w:tr w:rsidR="003A497B" w:rsidRPr="00314814" w:rsidTr="003E1809">
        <w:trPr>
          <w:trHeight w:val="255"/>
        </w:trPr>
        <w:tc>
          <w:tcPr>
            <w:tcW w:w="1425" w:type="pct"/>
            <w:tcBorders>
              <w:top w:val="nil"/>
              <w:left w:val="single" w:sz="4" w:space="0" w:color="auto"/>
              <w:bottom w:val="single" w:sz="4" w:space="0" w:color="auto"/>
              <w:right w:val="single" w:sz="4" w:space="0" w:color="auto"/>
            </w:tcBorders>
            <w:shd w:val="clear" w:color="auto" w:fill="auto"/>
            <w:noWrap/>
            <w:vAlign w:val="bottom"/>
            <w:hideMark/>
          </w:tcPr>
          <w:p w:rsidR="003A497B" w:rsidRPr="00314814" w:rsidRDefault="003A497B" w:rsidP="003E1809">
            <w:pPr>
              <w:rPr>
                <w:rFonts w:ascii="Times New Roman" w:hAnsi="Times New Roman" w:cs="Times New Roman"/>
                <w:sz w:val="14"/>
                <w:szCs w:val="14"/>
                <w:lang w:eastAsia="sk-SK"/>
              </w:rPr>
            </w:pPr>
            <w:r w:rsidRPr="00314814">
              <w:rPr>
                <w:rFonts w:ascii="Times New Roman" w:hAnsi="Times New Roman" w:cs="Times New Roman"/>
                <w:sz w:val="14"/>
                <w:szCs w:val="14"/>
                <w:lang w:eastAsia="sk-SK"/>
              </w:rPr>
              <w:t xml:space="preserve">rozpočtové zdroje kapitoly </w:t>
            </w:r>
          </w:p>
        </w:tc>
        <w:tc>
          <w:tcPr>
            <w:tcW w:w="506" w:type="pct"/>
            <w:tcBorders>
              <w:top w:val="single" w:sz="4" w:space="0" w:color="auto"/>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2 183 943 939</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2 343 206 115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2 368 342 291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highlight w:val="yellow"/>
              </w:rPr>
            </w:pPr>
            <w:r w:rsidRPr="00314814">
              <w:rPr>
                <w:rFonts w:ascii="Times New Roman" w:hAnsi="Times New Roman" w:cs="Times New Roman"/>
                <w:color w:val="000000"/>
                <w:sz w:val="13"/>
                <w:szCs w:val="13"/>
              </w:rPr>
              <w:t>2 478 614 321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highlight w:val="yellow"/>
              </w:rPr>
            </w:pPr>
            <w:r w:rsidRPr="00314814">
              <w:rPr>
                <w:rFonts w:ascii="Times New Roman" w:hAnsi="Times New Roman" w:cs="Times New Roman"/>
                <w:color w:val="000000"/>
                <w:sz w:val="13"/>
                <w:szCs w:val="13"/>
              </w:rPr>
              <w:t>2 437 326 036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2 426 277 088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2 417 465 601</w:t>
            </w:r>
          </w:p>
        </w:tc>
      </w:tr>
      <w:tr w:rsidR="003A497B" w:rsidRPr="00314814" w:rsidTr="003E1809">
        <w:trPr>
          <w:trHeight w:val="255"/>
        </w:trPr>
        <w:tc>
          <w:tcPr>
            <w:tcW w:w="1425" w:type="pct"/>
            <w:tcBorders>
              <w:top w:val="nil"/>
              <w:left w:val="single" w:sz="4" w:space="0" w:color="auto"/>
              <w:bottom w:val="single" w:sz="4" w:space="0" w:color="auto"/>
              <w:right w:val="single" w:sz="4" w:space="0" w:color="auto"/>
            </w:tcBorders>
            <w:shd w:val="clear" w:color="auto" w:fill="auto"/>
            <w:noWrap/>
            <w:vAlign w:val="bottom"/>
            <w:hideMark/>
          </w:tcPr>
          <w:p w:rsidR="003A497B" w:rsidRPr="00314814" w:rsidRDefault="003A497B" w:rsidP="003E1809">
            <w:pPr>
              <w:rPr>
                <w:rFonts w:ascii="Times New Roman" w:hAnsi="Times New Roman" w:cs="Times New Roman"/>
                <w:sz w:val="14"/>
                <w:szCs w:val="14"/>
                <w:lang w:eastAsia="sk-SK"/>
              </w:rPr>
            </w:pPr>
            <w:r w:rsidRPr="00314814">
              <w:rPr>
                <w:rFonts w:ascii="Times New Roman" w:hAnsi="Times New Roman" w:cs="Times New Roman"/>
                <w:sz w:val="14"/>
                <w:szCs w:val="14"/>
                <w:lang w:eastAsia="sk-SK"/>
              </w:rPr>
              <w:t xml:space="preserve">  v tom: bežné výdavky 600</w:t>
            </w:r>
          </w:p>
        </w:tc>
        <w:tc>
          <w:tcPr>
            <w:tcW w:w="506" w:type="pct"/>
            <w:tcBorders>
              <w:top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2 125 463 930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2 326 535 416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2 340 342 291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2 450 230186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highlight w:val="yellow"/>
              </w:rPr>
            </w:pPr>
            <w:r w:rsidRPr="00314814">
              <w:rPr>
                <w:rFonts w:ascii="Times New Roman" w:hAnsi="Times New Roman" w:cs="Times New Roman"/>
                <w:color w:val="000000"/>
                <w:sz w:val="13"/>
                <w:szCs w:val="13"/>
              </w:rPr>
              <w:t>2 409 326 036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2 398 277 088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2 389 465 601</w:t>
            </w:r>
          </w:p>
        </w:tc>
      </w:tr>
      <w:tr w:rsidR="003A497B" w:rsidRPr="00314814" w:rsidTr="003E1809">
        <w:trPr>
          <w:trHeight w:val="255"/>
        </w:trPr>
        <w:tc>
          <w:tcPr>
            <w:tcW w:w="1425" w:type="pct"/>
            <w:tcBorders>
              <w:top w:val="nil"/>
              <w:left w:val="single" w:sz="4" w:space="0" w:color="auto"/>
              <w:bottom w:val="single" w:sz="4" w:space="0" w:color="auto"/>
              <w:right w:val="single" w:sz="4" w:space="0" w:color="auto"/>
            </w:tcBorders>
            <w:shd w:val="clear" w:color="auto" w:fill="auto"/>
            <w:noWrap/>
            <w:vAlign w:val="bottom"/>
            <w:hideMark/>
          </w:tcPr>
          <w:p w:rsidR="003A497B" w:rsidRPr="00314814" w:rsidRDefault="003A497B" w:rsidP="003E1809">
            <w:pPr>
              <w:rPr>
                <w:rFonts w:ascii="Times New Roman" w:hAnsi="Times New Roman" w:cs="Times New Roman"/>
                <w:color w:val="000000"/>
                <w:sz w:val="14"/>
                <w:szCs w:val="14"/>
                <w:lang w:eastAsia="sk-SK"/>
              </w:rPr>
            </w:pPr>
            <w:r w:rsidRPr="00314814">
              <w:rPr>
                <w:rFonts w:ascii="Times New Roman" w:hAnsi="Times New Roman" w:cs="Times New Roman"/>
                <w:color w:val="000000"/>
                <w:sz w:val="14"/>
                <w:szCs w:val="14"/>
                <w:lang w:eastAsia="sk-SK"/>
              </w:rPr>
              <w:t xml:space="preserve">                                 610 mzdy</w:t>
            </w:r>
          </w:p>
        </w:tc>
        <w:tc>
          <w:tcPr>
            <w:tcW w:w="506" w:type="pct"/>
            <w:tcBorders>
              <w:top w:val="single" w:sz="4" w:space="0" w:color="auto"/>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sz w:val="13"/>
                <w:szCs w:val="13"/>
              </w:rPr>
            </w:pPr>
            <w:r w:rsidRPr="00314814">
              <w:rPr>
                <w:rFonts w:ascii="Times New Roman" w:hAnsi="Times New Roman" w:cs="Times New Roman"/>
                <w:sz w:val="13"/>
                <w:szCs w:val="13"/>
              </w:rPr>
              <w:t>684 507 215</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sz w:val="13"/>
                <w:szCs w:val="13"/>
              </w:rPr>
            </w:pPr>
            <w:r w:rsidRPr="00314814">
              <w:rPr>
                <w:rFonts w:ascii="Times New Roman" w:hAnsi="Times New Roman" w:cs="Times New Roman"/>
                <w:sz w:val="13"/>
                <w:szCs w:val="13"/>
              </w:rPr>
              <w:t>716 163 617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756 684 956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highlight w:val="yellow"/>
              </w:rPr>
            </w:pPr>
            <w:r w:rsidRPr="00314814">
              <w:rPr>
                <w:rFonts w:ascii="Times New Roman" w:hAnsi="Times New Roman" w:cs="Times New Roman"/>
                <w:color w:val="000000"/>
                <w:sz w:val="13"/>
                <w:szCs w:val="13"/>
              </w:rPr>
              <w:t>784 698 198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790 824 982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789 724 582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788 878 622</w:t>
            </w:r>
          </w:p>
        </w:tc>
      </w:tr>
      <w:tr w:rsidR="003A497B" w:rsidRPr="00314814" w:rsidTr="003E1809">
        <w:trPr>
          <w:trHeight w:val="255"/>
        </w:trPr>
        <w:tc>
          <w:tcPr>
            <w:tcW w:w="1425" w:type="pct"/>
            <w:tcBorders>
              <w:top w:val="nil"/>
              <w:left w:val="single" w:sz="4" w:space="0" w:color="auto"/>
              <w:bottom w:val="single" w:sz="4" w:space="0" w:color="auto"/>
              <w:right w:val="single" w:sz="4" w:space="0" w:color="auto"/>
            </w:tcBorders>
            <w:shd w:val="clear" w:color="auto" w:fill="auto"/>
            <w:noWrap/>
            <w:vAlign w:val="bottom"/>
            <w:hideMark/>
          </w:tcPr>
          <w:p w:rsidR="003A497B" w:rsidRPr="00314814" w:rsidRDefault="003A497B" w:rsidP="003E1809">
            <w:pPr>
              <w:rPr>
                <w:rFonts w:ascii="Times New Roman" w:hAnsi="Times New Roman" w:cs="Times New Roman"/>
                <w:color w:val="000000"/>
                <w:sz w:val="14"/>
                <w:szCs w:val="14"/>
                <w:lang w:eastAsia="sk-SK"/>
              </w:rPr>
            </w:pPr>
            <w:r w:rsidRPr="00314814">
              <w:rPr>
                <w:rFonts w:ascii="Times New Roman" w:hAnsi="Times New Roman" w:cs="Times New Roman"/>
                <w:color w:val="000000"/>
                <w:sz w:val="14"/>
                <w:szCs w:val="14"/>
                <w:lang w:eastAsia="sk-SK"/>
              </w:rPr>
              <w:t xml:space="preserve">                                 620 odvody</w:t>
            </w:r>
          </w:p>
        </w:tc>
        <w:tc>
          <w:tcPr>
            <w:tcW w:w="506" w:type="pct"/>
            <w:tcBorders>
              <w:top w:val="single" w:sz="4" w:space="0" w:color="auto"/>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sz w:val="13"/>
                <w:szCs w:val="13"/>
              </w:rPr>
            </w:pPr>
            <w:r w:rsidRPr="00314814">
              <w:rPr>
                <w:rFonts w:ascii="Times New Roman" w:hAnsi="Times New Roman" w:cs="Times New Roman"/>
                <w:sz w:val="13"/>
                <w:szCs w:val="13"/>
              </w:rPr>
              <w:t>245 177 746</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sz w:val="13"/>
                <w:szCs w:val="13"/>
              </w:rPr>
            </w:pPr>
            <w:r w:rsidRPr="00314814">
              <w:rPr>
                <w:rFonts w:ascii="Times New Roman" w:hAnsi="Times New Roman" w:cs="Times New Roman"/>
                <w:sz w:val="13"/>
                <w:szCs w:val="13"/>
              </w:rPr>
              <w:t>259 010 580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262 831 219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highlight w:val="yellow"/>
              </w:rPr>
            </w:pPr>
            <w:r w:rsidRPr="00314814">
              <w:rPr>
                <w:rFonts w:ascii="Times New Roman" w:hAnsi="Times New Roman" w:cs="Times New Roman"/>
                <w:color w:val="000000"/>
                <w:sz w:val="13"/>
                <w:szCs w:val="13"/>
              </w:rPr>
              <w:t>277 221 071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275 069 987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274 685 397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274 389 736</w:t>
            </w:r>
          </w:p>
        </w:tc>
      </w:tr>
      <w:tr w:rsidR="003A497B" w:rsidRPr="00314814" w:rsidTr="003E1809">
        <w:trPr>
          <w:trHeight w:val="255"/>
        </w:trPr>
        <w:tc>
          <w:tcPr>
            <w:tcW w:w="1425" w:type="pct"/>
            <w:tcBorders>
              <w:top w:val="nil"/>
              <w:left w:val="single" w:sz="4" w:space="0" w:color="auto"/>
              <w:bottom w:val="single" w:sz="4" w:space="0" w:color="auto"/>
              <w:right w:val="single" w:sz="4" w:space="0" w:color="auto"/>
            </w:tcBorders>
            <w:shd w:val="clear" w:color="auto" w:fill="auto"/>
            <w:noWrap/>
            <w:vAlign w:val="bottom"/>
            <w:hideMark/>
          </w:tcPr>
          <w:p w:rsidR="003A497B" w:rsidRPr="00314814" w:rsidRDefault="003A497B" w:rsidP="003E1809">
            <w:pPr>
              <w:rPr>
                <w:rFonts w:ascii="Times New Roman" w:hAnsi="Times New Roman" w:cs="Times New Roman"/>
                <w:color w:val="000000"/>
                <w:sz w:val="14"/>
                <w:szCs w:val="14"/>
                <w:lang w:eastAsia="sk-SK"/>
              </w:rPr>
            </w:pPr>
            <w:r w:rsidRPr="00314814">
              <w:rPr>
                <w:rFonts w:ascii="Times New Roman" w:hAnsi="Times New Roman" w:cs="Times New Roman"/>
                <w:color w:val="000000"/>
                <w:sz w:val="14"/>
                <w:szCs w:val="14"/>
                <w:lang w:eastAsia="sk-SK"/>
              </w:rPr>
              <w:t xml:space="preserve">                                 630 tovary a služby</w:t>
            </w:r>
          </w:p>
        </w:tc>
        <w:tc>
          <w:tcPr>
            <w:tcW w:w="506" w:type="pct"/>
            <w:tcBorders>
              <w:top w:val="single" w:sz="4" w:space="0" w:color="auto"/>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sz w:val="13"/>
                <w:szCs w:val="13"/>
              </w:rPr>
            </w:pPr>
            <w:r w:rsidRPr="00314814">
              <w:rPr>
                <w:rFonts w:ascii="Times New Roman" w:hAnsi="Times New Roman" w:cs="Times New Roman"/>
                <w:sz w:val="13"/>
                <w:szCs w:val="13"/>
              </w:rPr>
              <w:t>196 151 318</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sz w:val="13"/>
                <w:szCs w:val="13"/>
              </w:rPr>
            </w:pPr>
            <w:r w:rsidRPr="00314814">
              <w:rPr>
                <w:rFonts w:ascii="Times New Roman" w:hAnsi="Times New Roman" w:cs="Times New Roman"/>
                <w:sz w:val="13"/>
                <w:szCs w:val="13"/>
              </w:rPr>
              <w:t>282 304 296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282 842 048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highlight w:val="yellow"/>
              </w:rPr>
            </w:pPr>
            <w:r w:rsidRPr="00314814">
              <w:rPr>
                <w:rFonts w:ascii="Times New Roman" w:hAnsi="Times New Roman" w:cs="Times New Roman"/>
                <w:color w:val="000000"/>
                <w:sz w:val="13"/>
                <w:szCs w:val="13"/>
              </w:rPr>
              <w:t>307 822 156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282 325 271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281 865 273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279 365 273</w:t>
            </w:r>
          </w:p>
        </w:tc>
      </w:tr>
      <w:tr w:rsidR="003A497B" w:rsidRPr="00314814" w:rsidTr="003E1809">
        <w:trPr>
          <w:trHeight w:val="255"/>
        </w:trPr>
        <w:tc>
          <w:tcPr>
            <w:tcW w:w="1425" w:type="pct"/>
            <w:tcBorders>
              <w:top w:val="nil"/>
              <w:left w:val="single" w:sz="4" w:space="0" w:color="auto"/>
              <w:bottom w:val="single" w:sz="4" w:space="0" w:color="auto"/>
              <w:right w:val="single" w:sz="4" w:space="0" w:color="auto"/>
            </w:tcBorders>
            <w:shd w:val="clear" w:color="auto" w:fill="auto"/>
            <w:noWrap/>
            <w:vAlign w:val="bottom"/>
            <w:hideMark/>
          </w:tcPr>
          <w:p w:rsidR="003A497B" w:rsidRPr="00314814" w:rsidRDefault="003A497B" w:rsidP="003E1809">
            <w:pPr>
              <w:rPr>
                <w:rFonts w:ascii="Times New Roman" w:hAnsi="Times New Roman" w:cs="Times New Roman"/>
                <w:color w:val="000000"/>
                <w:sz w:val="14"/>
                <w:szCs w:val="14"/>
                <w:lang w:eastAsia="sk-SK"/>
              </w:rPr>
            </w:pPr>
            <w:r w:rsidRPr="00314814">
              <w:rPr>
                <w:rFonts w:ascii="Times New Roman" w:hAnsi="Times New Roman" w:cs="Times New Roman"/>
                <w:color w:val="000000"/>
                <w:sz w:val="14"/>
                <w:szCs w:val="14"/>
                <w:lang w:eastAsia="sk-SK"/>
              </w:rPr>
              <w:t xml:space="preserve">                                 640 bežné transfery</w:t>
            </w:r>
          </w:p>
        </w:tc>
        <w:tc>
          <w:tcPr>
            <w:tcW w:w="506" w:type="pct"/>
            <w:tcBorders>
              <w:top w:val="single" w:sz="4" w:space="0" w:color="auto"/>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sz w:val="13"/>
                <w:szCs w:val="13"/>
              </w:rPr>
            </w:pPr>
            <w:r w:rsidRPr="00314814">
              <w:rPr>
                <w:rFonts w:ascii="Times New Roman" w:hAnsi="Times New Roman" w:cs="Times New Roman"/>
                <w:sz w:val="13"/>
                <w:szCs w:val="13"/>
              </w:rPr>
              <w:t>999 627 651</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sz w:val="13"/>
                <w:szCs w:val="13"/>
              </w:rPr>
            </w:pPr>
            <w:r w:rsidRPr="00314814">
              <w:rPr>
                <w:rFonts w:ascii="Times New Roman" w:hAnsi="Times New Roman" w:cs="Times New Roman"/>
                <w:sz w:val="13"/>
                <w:szCs w:val="13"/>
              </w:rPr>
              <w:t>1 069 056 924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1 037 984 068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highlight w:val="yellow"/>
              </w:rPr>
            </w:pPr>
            <w:r w:rsidRPr="00314814">
              <w:rPr>
                <w:rFonts w:ascii="Times New Roman" w:hAnsi="Times New Roman" w:cs="Times New Roman"/>
                <w:color w:val="000000"/>
                <w:sz w:val="13"/>
                <w:szCs w:val="13"/>
              </w:rPr>
              <w:t>1 080 488 761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highlight w:val="yellow"/>
              </w:rPr>
            </w:pPr>
            <w:r w:rsidRPr="00314814">
              <w:rPr>
                <w:rFonts w:ascii="Times New Roman" w:hAnsi="Times New Roman" w:cs="Times New Roman"/>
                <w:color w:val="000000"/>
                <w:sz w:val="13"/>
                <w:szCs w:val="13"/>
              </w:rPr>
              <w:t>1 061 105 796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1 052 001 836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1 046 831 970</w:t>
            </w:r>
          </w:p>
        </w:tc>
      </w:tr>
      <w:tr w:rsidR="003A497B" w:rsidRPr="00314814" w:rsidTr="003E1809">
        <w:trPr>
          <w:trHeight w:val="255"/>
        </w:trPr>
        <w:tc>
          <w:tcPr>
            <w:tcW w:w="1425" w:type="pct"/>
            <w:tcBorders>
              <w:top w:val="nil"/>
              <w:left w:val="single" w:sz="4" w:space="0" w:color="auto"/>
              <w:bottom w:val="single" w:sz="4" w:space="0" w:color="auto"/>
              <w:right w:val="single" w:sz="4" w:space="0" w:color="auto"/>
            </w:tcBorders>
            <w:shd w:val="clear" w:color="auto" w:fill="auto"/>
            <w:noWrap/>
            <w:vAlign w:val="bottom"/>
            <w:hideMark/>
          </w:tcPr>
          <w:p w:rsidR="003A497B" w:rsidRPr="00314814" w:rsidRDefault="003A497B" w:rsidP="003E1809">
            <w:pPr>
              <w:rPr>
                <w:rFonts w:ascii="Times New Roman" w:hAnsi="Times New Roman" w:cs="Times New Roman"/>
                <w:sz w:val="14"/>
                <w:szCs w:val="14"/>
                <w:lang w:eastAsia="sk-SK"/>
              </w:rPr>
            </w:pPr>
            <w:r w:rsidRPr="00314814">
              <w:rPr>
                <w:rFonts w:ascii="Times New Roman" w:hAnsi="Times New Roman" w:cs="Times New Roman"/>
                <w:sz w:val="14"/>
                <w:szCs w:val="14"/>
                <w:lang w:eastAsia="sk-SK"/>
              </w:rPr>
              <w:t xml:space="preserve">                   kapitálové výdavky 700</w:t>
            </w:r>
          </w:p>
        </w:tc>
        <w:tc>
          <w:tcPr>
            <w:tcW w:w="506" w:type="pct"/>
            <w:tcBorders>
              <w:top w:val="single" w:sz="4" w:space="0" w:color="auto"/>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sz w:val="13"/>
                <w:szCs w:val="13"/>
              </w:rPr>
            </w:pPr>
            <w:r w:rsidRPr="00314814">
              <w:rPr>
                <w:rFonts w:ascii="Times New Roman" w:hAnsi="Times New Roman" w:cs="Times New Roman"/>
                <w:sz w:val="13"/>
                <w:szCs w:val="13"/>
              </w:rPr>
              <w:t>58 480 010</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sz w:val="13"/>
                <w:szCs w:val="13"/>
              </w:rPr>
            </w:pPr>
            <w:r w:rsidRPr="00314814">
              <w:rPr>
                <w:rFonts w:ascii="Times New Roman" w:hAnsi="Times New Roman" w:cs="Times New Roman"/>
                <w:sz w:val="13"/>
                <w:szCs w:val="13"/>
              </w:rPr>
              <w:t>16 670 699</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28 000 000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highlight w:val="yellow"/>
              </w:rPr>
            </w:pPr>
            <w:r w:rsidRPr="00314814">
              <w:rPr>
                <w:rFonts w:ascii="Times New Roman" w:hAnsi="Times New Roman" w:cs="Times New Roman"/>
                <w:color w:val="000000"/>
                <w:sz w:val="13"/>
                <w:szCs w:val="13"/>
              </w:rPr>
              <w:t>28 384 135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28 000 000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28 000 000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28 000 000</w:t>
            </w:r>
          </w:p>
        </w:tc>
      </w:tr>
      <w:tr w:rsidR="003A497B" w:rsidRPr="00314814" w:rsidTr="003E1809">
        <w:trPr>
          <w:trHeight w:val="255"/>
        </w:trPr>
        <w:tc>
          <w:tcPr>
            <w:tcW w:w="1425" w:type="pct"/>
            <w:tcBorders>
              <w:top w:val="nil"/>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rPr>
                <w:rFonts w:ascii="Times New Roman" w:hAnsi="Times New Roman" w:cs="Times New Roman"/>
                <w:sz w:val="14"/>
                <w:szCs w:val="14"/>
                <w:lang w:eastAsia="sk-SK"/>
              </w:rPr>
            </w:pPr>
            <w:r w:rsidRPr="00314814">
              <w:rPr>
                <w:rFonts w:ascii="Times New Roman" w:hAnsi="Times New Roman" w:cs="Times New Roman"/>
                <w:sz w:val="14"/>
                <w:szCs w:val="14"/>
                <w:lang w:eastAsia="sk-SK"/>
              </w:rPr>
              <w:t>2. programové obdobie</w:t>
            </w:r>
          </w:p>
        </w:tc>
        <w:tc>
          <w:tcPr>
            <w:tcW w:w="506" w:type="pct"/>
            <w:tcBorders>
              <w:top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15 997 620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r>
      <w:tr w:rsidR="003A497B" w:rsidRPr="00314814" w:rsidTr="003E1809">
        <w:trPr>
          <w:trHeight w:val="255"/>
        </w:trPr>
        <w:tc>
          <w:tcPr>
            <w:tcW w:w="1425" w:type="pct"/>
            <w:tcBorders>
              <w:top w:val="nil"/>
              <w:left w:val="single" w:sz="4" w:space="0" w:color="auto"/>
              <w:bottom w:val="single" w:sz="4" w:space="0" w:color="auto"/>
              <w:right w:val="single" w:sz="4" w:space="0" w:color="auto"/>
            </w:tcBorders>
            <w:shd w:val="clear" w:color="auto" w:fill="auto"/>
            <w:noWrap/>
            <w:vAlign w:val="bottom"/>
            <w:hideMark/>
          </w:tcPr>
          <w:p w:rsidR="003A497B" w:rsidRPr="00314814" w:rsidRDefault="003A497B" w:rsidP="003E1809">
            <w:pPr>
              <w:rPr>
                <w:rFonts w:ascii="Times New Roman" w:hAnsi="Times New Roman" w:cs="Times New Roman"/>
                <w:sz w:val="14"/>
                <w:szCs w:val="14"/>
                <w:lang w:eastAsia="sk-SK"/>
              </w:rPr>
            </w:pPr>
            <w:r w:rsidRPr="00314814">
              <w:rPr>
                <w:rFonts w:ascii="Times New Roman" w:hAnsi="Times New Roman" w:cs="Times New Roman"/>
                <w:sz w:val="14"/>
                <w:szCs w:val="14"/>
                <w:lang w:eastAsia="sk-SK"/>
              </w:rPr>
              <w:t xml:space="preserve">               v tom: EÚ prostriedky</w:t>
            </w:r>
          </w:p>
        </w:tc>
        <w:tc>
          <w:tcPr>
            <w:tcW w:w="506" w:type="pct"/>
            <w:tcBorders>
              <w:top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3 141 080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r>
      <w:tr w:rsidR="003A497B" w:rsidRPr="00314814" w:rsidTr="003E1809">
        <w:trPr>
          <w:trHeight w:val="255"/>
        </w:trPr>
        <w:tc>
          <w:tcPr>
            <w:tcW w:w="1425" w:type="pct"/>
            <w:tcBorders>
              <w:top w:val="nil"/>
              <w:left w:val="single" w:sz="4" w:space="0" w:color="auto"/>
              <w:bottom w:val="single" w:sz="4" w:space="0" w:color="auto"/>
              <w:right w:val="single" w:sz="4" w:space="0" w:color="auto"/>
            </w:tcBorders>
            <w:shd w:val="clear" w:color="auto" w:fill="auto"/>
            <w:noWrap/>
            <w:vAlign w:val="bottom"/>
            <w:hideMark/>
          </w:tcPr>
          <w:p w:rsidR="003A497B" w:rsidRPr="00314814" w:rsidRDefault="003A497B" w:rsidP="003E1809">
            <w:pPr>
              <w:rPr>
                <w:rFonts w:ascii="Times New Roman" w:hAnsi="Times New Roman" w:cs="Times New Roman"/>
                <w:sz w:val="14"/>
                <w:szCs w:val="14"/>
                <w:lang w:eastAsia="sk-SK"/>
              </w:rPr>
            </w:pPr>
            <w:r w:rsidRPr="00314814">
              <w:rPr>
                <w:rFonts w:ascii="Times New Roman" w:hAnsi="Times New Roman" w:cs="Times New Roman"/>
                <w:sz w:val="14"/>
                <w:szCs w:val="14"/>
                <w:lang w:eastAsia="sk-SK"/>
              </w:rPr>
              <w:t xml:space="preserve">                           spolufinancovanie zo ŠR</w:t>
            </w:r>
          </w:p>
        </w:tc>
        <w:tc>
          <w:tcPr>
            <w:tcW w:w="506" w:type="pct"/>
            <w:tcBorders>
              <w:top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12 856 540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r>
      <w:tr w:rsidR="003A497B" w:rsidRPr="00314814" w:rsidTr="003E1809">
        <w:trPr>
          <w:trHeight w:val="255"/>
        </w:trPr>
        <w:tc>
          <w:tcPr>
            <w:tcW w:w="1425" w:type="pct"/>
            <w:tcBorders>
              <w:top w:val="nil"/>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rPr>
                <w:rFonts w:ascii="Times New Roman" w:hAnsi="Times New Roman" w:cs="Times New Roman"/>
                <w:sz w:val="14"/>
                <w:szCs w:val="14"/>
                <w:lang w:eastAsia="sk-SK"/>
              </w:rPr>
            </w:pPr>
            <w:r w:rsidRPr="00314814">
              <w:rPr>
                <w:rFonts w:ascii="Times New Roman" w:hAnsi="Times New Roman" w:cs="Times New Roman"/>
                <w:sz w:val="14"/>
                <w:szCs w:val="14"/>
                <w:lang w:eastAsia="sk-SK"/>
              </w:rPr>
              <w:t>3. programové obdobie</w:t>
            </w:r>
          </w:p>
        </w:tc>
        <w:tc>
          <w:tcPr>
            <w:tcW w:w="506" w:type="pct"/>
            <w:tcBorders>
              <w:top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36 072 237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52 224 242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30 540 038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31 961 015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25 063 366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126 540 740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135 448 494</w:t>
            </w:r>
          </w:p>
        </w:tc>
      </w:tr>
      <w:tr w:rsidR="003A497B" w:rsidRPr="00314814" w:rsidTr="003E1809">
        <w:trPr>
          <w:trHeight w:val="255"/>
        </w:trPr>
        <w:tc>
          <w:tcPr>
            <w:tcW w:w="1425" w:type="pct"/>
            <w:tcBorders>
              <w:top w:val="nil"/>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rPr>
                <w:rFonts w:ascii="Times New Roman" w:hAnsi="Times New Roman" w:cs="Times New Roman"/>
                <w:sz w:val="14"/>
                <w:szCs w:val="14"/>
                <w:lang w:eastAsia="sk-SK"/>
              </w:rPr>
            </w:pPr>
            <w:r w:rsidRPr="00314814">
              <w:rPr>
                <w:rFonts w:ascii="Times New Roman" w:hAnsi="Times New Roman" w:cs="Times New Roman"/>
                <w:sz w:val="14"/>
                <w:szCs w:val="14"/>
                <w:lang w:eastAsia="sk-SK"/>
              </w:rPr>
              <w:t xml:space="preserve">               v tom: EÚ</w:t>
            </w:r>
          </w:p>
        </w:tc>
        <w:tc>
          <w:tcPr>
            <w:tcW w:w="506" w:type="pct"/>
            <w:tcBorders>
              <w:top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29 347 563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43 317 364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28 832 292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28 832 292</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17 178 741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106 538 296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114 071 927</w:t>
            </w:r>
          </w:p>
        </w:tc>
      </w:tr>
      <w:tr w:rsidR="003A497B" w:rsidRPr="00314814" w:rsidTr="003E1809">
        <w:trPr>
          <w:trHeight w:val="255"/>
        </w:trPr>
        <w:tc>
          <w:tcPr>
            <w:tcW w:w="1425" w:type="pct"/>
            <w:tcBorders>
              <w:top w:val="nil"/>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rPr>
                <w:rFonts w:ascii="Times New Roman" w:hAnsi="Times New Roman" w:cs="Times New Roman"/>
                <w:sz w:val="14"/>
                <w:szCs w:val="14"/>
                <w:lang w:eastAsia="sk-SK"/>
              </w:rPr>
            </w:pPr>
            <w:r w:rsidRPr="00314814">
              <w:rPr>
                <w:rFonts w:ascii="Times New Roman" w:hAnsi="Times New Roman" w:cs="Times New Roman"/>
                <w:sz w:val="14"/>
                <w:szCs w:val="14"/>
                <w:lang w:eastAsia="sk-SK"/>
              </w:rPr>
              <w:t xml:space="preserve">                           spolufinancovanie zo ŠR</w:t>
            </w:r>
          </w:p>
        </w:tc>
        <w:tc>
          <w:tcPr>
            <w:tcW w:w="506" w:type="pct"/>
            <w:tcBorders>
              <w:top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6 724 674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8 906 878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1 707 746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3 128 723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7 884 625</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20 002 444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21 376 567</w:t>
            </w:r>
          </w:p>
        </w:tc>
      </w:tr>
      <w:tr w:rsidR="003A497B" w:rsidRPr="00314814" w:rsidTr="003E1809">
        <w:trPr>
          <w:trHeight w:val="255"/>
        </w:trPr>
        <w:tc>
          <w:tcPr>
            <w:tcW w:w="1425" w:type="pct"/>
            <w:tcBorders>
              <w:top w:val="nil"/>
              <w:left w:val="single" w:sz="4" w:space="0" w:color="auto"/>
              <w:bottom w:val="single" w:sz="4" w:space="0" w:color="auto"/>
              <w:right w:val="single" w:sz="4" w:space="0" w:color="auto"/>
            </w:tcBorders>
            <w:shd w:val="clear" w:color="auto" w:fill="auto"/>
            <w:noWrap/>
            <w:vAlign w:val="bottom"/>
            <w:hideMark/>
          </w:tcPr>
          <w:p w:rsidR="003A497B" w:rsidRPr="00314814" w:rsidRDefault="003A497B" w:rsidP="003E1809">
            <w:pPr>
              <w:rPr>
                <w:rFonts w:ascii="Times New Roman" w:hAnsi="Times New Roman" w:cs="Times New Roman"/>
                <w:sz w:val="14"/>
                <w:szCs w:val="14"/>
                <w:lang w:eastAsia="sk-SK"/>
              </w:rPr>
            </w:pPr>
            <w:r w:rsidRPr="00314814">
              <w:rPr>
                <w:rFonts w:ascii="Times New Roman" w:hAnsi="Times New Roman" w:cs="Times New Roman"/>
                <w:sz w:val="14"/>
                <w:szCs w:val="14"/>
                <w:lang w:eastAsia="sk-SK"/>
              </w:rPr>
              <w:t>presun z minulých rokov § 8</w:t>
            </w:r>
          </w:p>
        </w:tc>
        <w:tc>
          <w:tcPr>
            <w:tcW w:w="506" w:type="pct"/>
            <w:tcBorders>
              <w:top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224 298 384</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61 639 887</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highlight w:val="yellow"/>
              </w:rPr>
            </w:pPr>
            <w:r w:rsidRPr="00314814">
              <w:rPr>
                <w:rFonts w:ascii="Times New Roman" w:hAnsi="Times New Roman" w:cs="Times New Roman"/>
                <w:color w:val="000000"/>
                <w:sz w:val="13"/>
                <w:szCs w:val="13"/>
              </w:rPr>
              <w:t>62 464 858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r>
      <w:tr w:rsidR="003A497B" w:rsidRPr="00314814" w:rsidTr="003E1809">
        <w:trPr>
          <w:trHeight w:val="255"/>
        </w:trPr>
        <w:tc>
          <w:tcPr>
            <w:tcW w:w="1425" w:type="pct"/>
            <w:tcBorders>
              <w:top w:val="nil"/>
              <w:left w:val="single" w:sz="4" w:space="0" w:color="auto"/>
              <w:bottom w:val="single" w:sz="4" w:space="0" w:color="auto"/>
              <w:right w:val="single" w:sz="4" w:space="0" w:color="auto"/>
            </w:tcBorders>
            <w:shd w:val="clear" w:color="auto" w:fill="auto"/>
            <w:noWrap/>
            <w:vAlign w:val="bottom"/>
            <w:hideMark/>
          </w:tcPr>
          <w:p w:rsidR="003A497B" w:rsidRPr="00314814" w:rsidRDefault="003A497B" w:rsidP="003E1809">
            <w:pPr>
              <w:rPr>
                <w:rFonts w:ascii="Times New Roman" w:hAnsi="Times New Roman" w:cs="Times New Roman"/>
                <w:color w:val="000000"/>
                <w:sz w:val="14"/>
                <w:szCs w:val="14"/>
                <w:lang w:eastAsia="sk-SK"/>
              </w:rPr>
            </w:pPr>
            <w:r w:rsidRPr="00314814">
              <w:rPr>
                <w:rFonts w:ascii="Times New Roman" w:hAnsi="Times New Roman" w:cs="Times New Roman"/>
                <w:color w:val="000000"/>
                <w:sz w:val="14"/>
                <w:szCs w:val="14"/>
                <w:lang w:eastAsia="sk-SK"/>
              </w:rPr>
              <w:t xml:space="preserve">               v tom: štátny rozpočet</w:t>
            </w:r>
          </w:p>
        </w:tc>
        <w:tc>
          <w:tcPr>
            <w:tcW w:w="506" w:type="pct"/>
            <w:tcBorders>
              <w:top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125 358 760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58 116 661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highlight w:val="yellow"/>
              </w:rPr>
            </w:pPr>
            <w:r w:rsidRPr="00314814">
              <w:rPr>
                <w:rFonts w:ascii="Times New Roman" w:hAnsi="Times New Roman" w:cs="Times New Roman"/>
                <w:color w:val="000000"/>
                <w:sz w:val="13"/>
                <w:szCs w:val="13"/>
              </w:rPr>
              <w:t>62 464 858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r>
      <w:tr w:rsidR="003A497B" w:rsidRPr="00314814" w:rsidTr="003E1809">
        <w:trPr>
          <w:trHeight w:val="255"/>
        </w:trPr>
        <w:tc>
          <w:tcPr>
            <w:tcW w:w="1425" w:type="pct"/>
            <w:tcBorders>
              <w:top w:val="nil"/>
              <w:left w:val="single" w:sz="4" w:space="0" w:color="auto"/>
              <w:bottom w:val="single" w:sz="4" w:space="0" w:color="auto"/>
              <w:right w:val="single" w:sz="4" w:space="0" w:color="auto"/>
            </w:tcBorders>
            <w:shd w:val="clear" w:color="auto" w:fill="auto"/>
            <w:noWrap/>
            <w:vAlign w:val="bottom"/>
            <w:hideMark/>
          </w:tcPr>
          <w:p w:rsidR="003A497B" w:rsidRPr="00314814" w:rsidRDefault="003A497B" w:rsidP="003E1809">
            <w:pPr>
              <w:rPr>
                <w:rFonts w:ascii="Times New Roman" w:hAnsi="Times New Roman" w:cs="Times New Roman"/>
                <w:sz w:val="14"/>
                <w:szCs w:val="14"/>
                <w:lang w:eastAsia="sk-SK"/>
              </w:rPr>
            </w:pPr>
            <w:r w:rsidRPr="00314814">
              <w:rPr>
                <w:rFonts w:ascii="Times New Roman" w:hAnsi="Times New Roman" w:cs="Times New Roman"/>
                <w:sz w:val="14"/>
                <w:szCs w:val="14"/>
                <w:lang w:eastAsia="sk-SK"/>
              </w:rPr>
              <w:t xml:space="preserve">                          EÚ prostriedky</w:t>
            </w:r>
          </w:p>
        </w:tc>
        <w:tc>
          <w:tcPr>
            <w:tcW w:w="506" w:type="pct"/>
            <w:tcBorders>
              <w:top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93 770 186</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2 492 983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r>
      <w:tr w:rsidR="003A497B" w:rsidRPr="00314814" w:rsidTr="003E1809">
        <w:trPr>
          <w:trHeight w:val="255"/>
        </w:trPr>
        <w:tc>
          <w:tcPr>
            <w:tcW w:w="1425" w:type="pct"/>
            <w:tcBorders>
              <w:top w:val="nil"/>
              <w:left w:val="single" w:sz="4" w:space="0" w:color="auto"/>
              <w:bottom w:val="single" w:sz="4" w:space="0" w:color="auto"/>
              <w:right w:val="single" w:sz="4" w:space="0" w:color="auto"/>
            </w:tcBorders>
            <w:shd w:val="clear" w:color="auto" w:fill="auto"/>
            <w:noWrap/>
            <w:vAlign w:val="bottom"/>
            <w:hideMark/>
          </w:tcPr>
          <w:p w:rsidR="003A497B" w:rsidRPr="00314814" w:rsidRDefault="003A497B" w:rsidP="003E1809">
            <w:pPr>
              <w:rPr>
                <w:rFonts w:ascii="Times New Roman" w:hAnsi="Times New Roman" w:cs="Times New Roman"/>
                <w:sz w:val="14"/>
                <w:szCs w:val="14"/>
                <w:lang w:eastAsia="sk-SK"/>
              </w:rPr>
            </w:pPr>
            <w:r w:rsidRPr="00314814">
              <w:rPr>
                <w:rFonts w:ascii="Times New Roman" w:hAnsi="Times New Roman" w:cs="Times New Roman"/>
                <w:sz w:val="14"/>
                <w:szCs w:val="14"/>
                <w:lang w:eastAsia="sk-SK"/>
              </w:rPr>
              <w:t xml:space="preserve">                          spolufinancovanie zo ŠR</w:t>
            </w:r>
          </w:p>
        </w:tc>
        <w:tc>
          <w:tcPr>
            <w:tcW w:w="506" w:type="pct"/>
            <w:tcBorders>
              <w:top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5 169 438</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1 030 243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r>
      <w:tr w:rsidR="003A497B" w:rsidRPr="00314814" w:rsidTr="003E1809">
        <w:trPr>
          <w:trHeight w:val="255"/>
        </w:trPr>
        <w:tc>
          <w:tcPr>
            <w:tcW w:w="1425" w:type="pct"/>
            <w:tcBorders>
              <w:top w:val="nil"/>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rPr>
                <w:rFonts w:ascii="Times New Roman" w:hAnsi="Times New Roman" w:cs="Times New Roman"/>
                <w:b/>
                <w:sz w:val="14"/>
                <w:szCs w:val="14"/>
                <w:lang w:eastAsia="sk-SK"/>
              </w:rPr>
            </w:pPr>
            <w:r w:rsidRPr="00314814">
              <w:rPr>
                <w:rFonts w:ascii="Times New Roman" w:hAnsi="Times New Roman" w:cs="Times New Roman"/>
                <w:b/>
                <w:sz w:val="14"/>
                <w:szCs w:val="14"/>
                <w:lang w:eastAsia="sk-SK"/>
              </w:rPr>
              <w:t>zdroj 72</w:t>
            </w:r>
          </w:p>
        </w:tc>
        <w:tc>
          <w:tcPr>
            <w:tcW w:w="506" w:type="pct"/>
            <w:tcBorders>
              <w:top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0</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12 792 303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2 019 291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highlight w:val="yellow"/>
              </w:rPr>
            </w:pPr>
            <w:r w:rsidRPr="00314814">
              <w:rPr>
                <w:rFonts w:ascii="Times New Roman" w:hAnsi="Times New Roman" w:cs="Times New Roman"/>
                <w:color w:val="000000"/>
                <w:sz w:val="13"/>
                <w:szCs w:val="13"/>
              </w:rPr>
              <w:t>2 019 291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2 019 913</w:t>
            </w:r>
          </w:p>
        </w:tc>
        <w:tc>
          <w:tcPr>
            <w:tcW w:w="506"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2 020 520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3"/>
                <w:szCs w:val="13"/>
              </w:rPr>
            </w:pPr>
            <w:r w:rsidRPr="00314814">
              <w:rPr>
                <w:rFonts w:ascii="Times New Roman" w:hAnsi="Times New Roman" w:cs="Times New Roman"/>
                <w:color w:val="000000"/>
                <w:sz w:val="13"/>
                <w:szCs w:val="13"/>
              </w:rPr>
              <w:t>2 020 520</w:t>
            </w:r>
          </w:p>
        </w:tc>
      </w:tr>
    </w:tbl>
    <w:p w:rsidR="003A497B" w:rsidRPr="00314814" w:rsidRDefault="003A497B" w:rsidP="003A497B">
      <w:pPr>
        <w:jc w:val="both"/>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580"/>
        <w:gridCol w:w="923"/>
        <w:gridCol w:w="892"/>
        <w:gridCol w:w="975"/>
        <w:gridCol w:w="975"/>
        <w:gridCol w:w="840"/>
        <w:gridCol w:w="982"/>
        <w:gridCol w:w="895"/>
      </w:tblGrid>
      <w:tr w:rsidR="003A497B" w:rsidRPr="00314814" w:rsidTr="003E1809">
        <w:trPr>
          <w:trHeight w:hRule="exact" w:val="255"/>
        </w:trPr>
        <w:tc>
          <w:tcPr>
            <w:tcW w:w="14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7B" w:rsidRPr="00314814" w:rsidRDefault="003A497B" w:rsidP="003E1809">
            <w:pPr>
              <w:rPr>
                <w:rFonts w:ascii="Times New Roman" w:hAnsi="Times New Roman" w:cs="Times New Roman"/>
                <w:b/>
                <w:bCs/>
                <w:sz w:val="14"/>
                <w:szCs w:val="14"/>
                <w:lang w:eastAsia="sk-SK"/>
              </w:rPr>
            </w:pPr>
            <w:r w:rsidRPr="00314814">
              <w:rPr>
                <w:rFonts w:ascii="Times New Roman" w:hAnsi="Times New Roman" w:cs="Times New Roman"/>
                <w:b/>
                <w:bCs/>
                <w:sz w:val="14"/>
                <w:szCs w:val="14"/>
                <w:lang w:eastAsia="sk-SK"/>
              </w:rPr>
              <w:t>Samostatné účty</w:t>
            </w:r>
          </w:p>
        </w:tc>
        <w:tc>
          <w:tcPr>
            <w:tcW w:w="510" w:type="pct"/>
            <w:tcBorders>
              <w:top w:val="single" w:sz="4" w:space="0" w:color="auto"/>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b/>
                <w:color w:val="000000"/>
                <w:sz w:val="14"/>
                <w:szCs w:val="14"/>
              </w:rPr>
            </w:pPr>
            <w:r w:rsidRPr="00314814">
              <w:rPr>
                <w:rFonts w:ascii="Times New Roman" w:hAnsi="Times New Roman" w:cs="Times New Roman"/>
                <w:b/>
                <w:color w:val="000000"/>
                <w:sz w:val="14"/>
                <w:szCs w:val="14"/>
              </w:rPr>
              <w:t>175 778 236</w:t>
            </w:r>
          </w:p>
        </w:tc>
        <w:tc>
          <w:tcPr>
            <w:tcW w:w="49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b/>
                <w:color w:val="000000"/>
                <w:sz w:val="14"/>
                <w:szCs w:val="14"/>
              </w:rPr>
            </w:pPr>
            <w:r w:rsidRPr="00314814">
              <w:rPr>
                <w:rFonts w:ascii="Times New Roman" w:hAnsi="Times New Roman" w:cs="Times New Roman"/>
                <w:b/>
                <w:color w:val="000000"/>
                <w:sz w:val="14"/>
                <w:szCs w:val="14"/>
              </w:rPr>
              <w:t>184 687 058</w:t>
            </w:r>
          </w:p>
        </w:tc>
        <w:tc>
          <w:tcPr>
            <w:tcW w:w="538"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b/>
                <w:color w:val="000000"/>
                <w:sz w:val="14"/>
                <w:szCs w:val="14"/>
              </w:rPr>
            </w:pPr>
            <w:r w:rsidRPr="00314814">
              <w:rPr>
                <w:rFonts w:ascii="Times New Roman" w:hAnsi="Times New Roman" w:cs="Times New Roman"/>
                <w:b/>
                <w:color w:val="000000"/>
                <w:sz w:val="14"/>
                <w:szCs w:val="14"/>
              </w:rPr>
              <w:t>217 657 973</w:t>
            </w:r>
          </w:p>
        </w:tc>
        <w:tc>
          <w:tcPr>
            <w:tcW w:w="538"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b/>
                <w:color w:val="000000"/>
                <w:sz w:val="14"/>
                <w:szCs w:val="14"/>
              </w:rPr>
            </w:pPr>
            <w:r w:rsidRPr="00314814">
              <w:rPr>
                <w:rFonts w:ascii="Times New Roman" w:hAnsi="Times New Roman" w:cs="Times New Roman"/>
                <w:b/>
                <w:color w:val="000000"/>
                <w:sz w:val="14"/>
                <w:szCs w:val="14"/>
              </w:rPr>
              <w:t>212 560 004</w:t>
            </w:r>
          </w:p>
        </w:tc>
        <w:tc>
          <w:tcPr>
            <w:tcW w:w="46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b/>
                <w:color w:val="000000"/>
                <w:sz w:val="14"/>
                <w:szCs w:val="14"/>
              </w:rPr>
            </w:pPr>
            <w:r w:rsidRPr="00314814">
              <w:rPr>
                <w:rFonts w:ascii="Times New Roman" w:hAnsi="Times New Roman" w:cs="Times New Roman"/>
                <w:b/>
                <w:color w:val="000000"/>
                <w:sz w:val="14"/>
                <w:szCs w:val="14"/>
              </w:rPr>
              <w:t>238 631 232</w:t>
            </w:r>
          </w:p>
        </w:tc>
        <w:tc>
          <w:tcPr>
            <w:tcW w:w="542"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b/>
                <w:color w:val="000000"/>
                <w:sz w:val="14"/>
                <w:szCs w:val="14"/>
              </w:rPr>
            </w:pPr>
            <w:r w:rsidRPr="00314814">
              <w:rPr>
                <w:rFonts w:ascii="Times New Roman" w:hAnsi="Times New Roman" w:cs="Times New Roman"/>
                <w:b/>
                <w:color w:val="000000"/>
                <w:sz w:val="14"/>
                <w:szCs w:val="14"/>
              </w:rPr>
              <w:t>247 383 690</w:t>
            </w:r>
          </w:p>
        </w:tc>
        <w:tc>
          <w:tcPr>
            <w:tcW w:w="494"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b/>
                <w:color w:val="000000"/>
                <w:sz w:val="14"/>
                <w:szCs w:val="14"/>
              </w:rPr>
            </w:pPr>
            <w:r w:rsidRPr="00314814">
              <w:rPr>
                <w:rFonts w:ascii="Times New Roman" w:hAnsi="Times New Roman" w:cs="Times New Roman"/>
                <w:b/>
                <w:color w:val="000000"/>
                <w:sz w:val="14"/>
                <w:szCs w:val="14"/>
              </w:rPr>
              <w:t>255 817 330</w:t>
            </w:r>
          </w:p>
        </w:tc>
      </w:tr>
    </w:tbl>
    <w:p w:rsidR="003A497B" w:rsidRPr="00314814" w:rsidRDefault="003A497B" w:rsidP="003A497B">
      <w:pPr>
        <w:jc w:val="both"/>
        <w:rPr>
          <w:rFonts w:ascii="Times New Roman" w:hAnsi="Times New Roman" w:cs="Times New Roman"/>
        </w:rPr>
      </w:pPr>
    </w:p>
    <w:p w:rsidR="003A497B" w:rsidRPr="00314814" w:rsidRDefault="003A497B" w:rsidP="003A497B">
      <w:pPr>
        <w:ind w:firstLine="708"/>
        <w:jc w:val="both"/>
        <w:rPr>
          <w:rFonts w:ascii="Times New Roman" w:hAnsi="Times New Roman" w:cs="Times New Roman"/>
          <w:lang w:eastAsia="sk-SK"/>
        </w:rPr>
      </w:pPr>
      <w:r w:rsidRPr="00314814">
        <w:rPr>
          <w:rFonts w:ascii="Times New Roman" w:hAnsi="Times New Roman" w:cs="Times New Roman"/>
          <w:lang w:eastAsia="sk-SK"/>
        </w:rPr>
        <w:t>Celkové výdavky kapitoly v roku 2019 oproti schválenému rozpočtu roka 2018 rastú o 68,9 mil. eur, čo predstavuje nárast o 2,91 %. Rozdiel v celkových výdavkoch je spôsobený najmä premietnutím valorizácie platov z roku 2018, vyšším rozpočtovaním výdavkov na voľby prezidenta a do Európskeho parlamentu.</w:t>
      </w:r>
    </w:p>
    <w:p w:rsidR="003A497B" w:rsidRPr="00314814" w:rsidRDefault="003A497B" w:rsidP="003A497B">
      <w:pPr>
        <w:ind w:firstLine="708"/>
        <w:jc w:val="both"/>
        <w:rPr>
          <w:rFonts w:ascii="Times New Roman" w:hAnsi="Times New Roman" w:cs="Times New Roman"/>
          <w:highlight w:val="yellow"/>
          <w:lang w:eastAsia="sk-SK"/>
        </w:rPr>
      </w:pPr>
    </w:p>
    <w:p w:rsidR="003A497B" w:rsidRPr="00314814" w:rsidRDefault="003A497B" w:rsidP="003A497B">
      <w:pPr>
        <w:ind w:firstLine="708"/>
        <w:jc w:val="both"/>
        <w:rPr>
          <w:rFonts w:ascii="Times New Roman" w:hAnsi="Times New Roman" w:cs="Times New Roman"/>
          <w:lang w:eastAsia="sk-SK"/>
        </w:rPr>
      </w:pPr>
      <w:r w:rsidRPr="00314814">
        <w:rPr>
          <w:rFonts w:ascii="Times New Roman" w:hAnsi="Times New Roman" w:cs="Times New Roman"/>
          <w:lang w:eastAsia="sk-SK"/>
        </w:rPr>
        <w:t>Osobné výdavky sú rozpočtované na rok 2019 v sume 1,06 mld. eur, čo v porovnaní so schváleným rozpočtom roku 2018 znamená nárast o 46,4 mil. eur, čo predstavuje 4,55 %. Dôvodom zvýšenia osobných výdavkov o 46,4 mil. eur je premietnutie valorizácie platov z roku 2018</w:t>
      </w:r>
      <w:r w:rsidRPr="00314814">
        <w:t xml:space="preserve"> </w:t>
      </w:r>
      <w:r w:rsidRPr="00314814">
        <w:rPr>
          <w:rFonts w:ascii="Times New Roman" w:hAnsi="Times New Roman" w:cs="Times New Roman"/>
          <w:lang w:eastAsia="sk-SK"/>
        </w:rPr>
        <w:t>do nasledujúcich rokov.</w:t>
      </w:r>
    </w:p>
    <w:p w:rsidR="003A497B" w:rsidRPr="00314814" w:rsidRDefault="003A497B" w:rsidP="003A497B">
      <w:pPr>
        <w:jc w:val="both"/>
        <w:rPr>
          <w:rFonts w:ascii="Times New Roman" w:hAnsi="Times New Roman" w:cs="Times New Roman"/>
          <w:highlight w:val="yellow"/>
          <w:lang w:eastAsia="sk-SK"/>
        </w:rPr>
      </w:pPr>
    </w:p>
    <w:p w:rsidR="003A497B" w:rsidRPr="00314814" w:rsidRDefault="003A497B" w:rsidP="003A497B">
      <w:pPr>
        <w:ind w:firstLine="708"/>
        <w:jc w:val="both"/>
        <w:rPr>
          <w:rFonts w:ascii="Times New Roman" w:hAnsi="Times New Roman" w:cs="Times New Roman"/>
          <w:lang w:eastAsia="sk-SK"/>
        </w:rPr>
      </w:pPr>
      <w:r w:rsidRPr="00314814">
        <w:rPr>
          <w:rFonts w:ascii="Times New Roman" w:hAnsi="Times New Roman" w:cs="Times New Roman"/>
          <w:lang w:eastAsia="sk-SK"/>
        </w:rPr>
        <w:t>Výdavky na tovary a služby sa rozpočtujú v sume 282 mil. eur, čo je v porovnaní so schváleným rozpočtom na rok 2018 pokles o 0,52 mil. eur, čo predstavuje 0,72 %.</w:t>
      </w:r>
    </w:p>
    <w:p w:rsidR="003A497B" w:rsidRPr="00314814" w:rsidRDefault="003A497B" w:rsidP="003A497B">
      <w:pPr>
        <w:ind w:firstLine="708"/>
        <w:jc w:val="both"/>
        <w:rPr>
          <w:rFonts w:ascii="Times New Roman" w:hAnsi="Times New Roman" w:cs="Times New Roman"/>
          <w:lang w:eastAsia="sk-SK"/>
        </w:rPr>
      </w:pPr>
    </w:p>
    <w:p w:rsidR="003A497B" w:rsidRPr="00314814" w:rsidRDefault="003A497B" w:rsidP="003A497B">
      <w:pPr>
        <w:ind w:firstLine="708"/>
        <w:jc w:val="both"/>
        <w:rPr>
          <w:rFonts w:ascii="Times New Roman" w:hAnsi="Times New Roman" w:cs="Times New Roman"/>
          <w:lang w:eastAsia="sk-SK"/>
        </w:rPr>
      </w:pPr>
      <w:r w:rsidRPr="00314814">
        <w:rPr>
          <w:rFonts w:ascii="Times New Roman" w:hAnsi="Times New Roman" w:cs="Times New Roman"/>
          <w:lang w:eastAsia="sk-SK"/>
        </w:rPr>
        <w:t>Výdavky na bežné transfery sa rozpočtujú v sume 1,06 mld. eur, čo je v porovnaní so schváleným rozpočtom na rok 2018 nárast o 23,1 mil. eur, čo predstavuje 2,23 %. Dôvodom je vyšší limit výdavkov na transfery v rámci verejnej správy, najmä na programe Výchova a vzdelávanie mládeže.</w:t>
      </w:r>
    </w:p>
    <w:p w:rsidR="003A497B" w:rsidRPr="00314814" w:rsidRDefault="003A497B" w:rsidP="003A497B">
      <w:pPr>
        <w:jc w:val="both"/>
        <w:rPr>
          <w:rFonts w:ascii="Times New Roman" w:hAnsi="Times New Roman" w:cs="Times New Roman"/>
          <w:highlight w:val="yellow"/>
          <w:lang w:eastAsia="sk-SK"/>
        </w:rPr>
      </w:pPr>
    </w:p>
    <w:p w:rsidR="003A497B" w:rsidRPr="00314814" w:rsidRDefault="003A497B" w:rsidP="003A497B">
      <w:pPr>
        <w:ind w:firstLine="708"/>
        <w:jc w:val="both"/>
        <w:rPr>
          <w:rFonts w:ascii="Times New Roman" w:hAnsi="Times New Roman" w:cs="Times New Roman"/>
          <w:lang w:eastAsia="sk-SK"/>
        </w:rPr>
      </w:pPr>
      <w:r w:rsidRPr="00314814">
        <w:rPr>
          <w:rFonts w:ascii="Times New Roman" w:hAnsi="Times New Roman" w:cs="Times New Roman"/>
          <w:lang w:eastAsia="sk-SK"/>
        </w:rPr>
        <w:t xml:space="preserve">Na kapitálové výdavky sa rozpočtuje suma 28,0 mil. eur, čo je na úrovni roka 2018. </w:t>
      </w:r>
    </w:p>
    <w:p w:rsidR="003A497B" w:rsidRPr="00314814" w:rsidRDefault="003A497B" w:rsidP="003A497B">
      <w:pPr>
        <w:ind w:firstLine="708"/>
        <w:jc w:val="both"/>
        <w:rPr>
          <w:rFonts w:ascii="Times New Roman" w:hAnsi="Times New Roman" w:cs="Times New Roman"/>
          <w:lang w:eastAsia="sk-SK"/>
        </w:rPr>
      </w:pPr>
    </w:p>
    <w:p w:rsidR="003A497B" w:rsidRPr="00314814" w:rsidRDefault="003A497B" w:rsidP="003A497B">
      <w:pPr>
        <w:ind w:firstLine="708"/>
        <w:jc w:val="both"/>
        <w:rPr>
          <w:rFonts w:ascii="Times New Roman" w:hAnsi="Times New Roman" w:cs="Times New Roman"/>
          <w:lang w:eastAsia="sk-SK"/>
        </w:rPr>
      </w:pPr>
      <w:r w:rsidRPr="00314814">
        <w:rPr>
          <w:rFonts w:ascii="Times New Roman" w:hAnsi="Times New Roman" w:cs="Times New Roman"/>
          <w:lang w:eastAsia="sk-SK"/>
        </w:rPr>
        <w:t xml:space="preserve">Kapitola v nadväznosti na § 17 ods. 4 zákona č. 523/2004 Z. z. o rozpočtových pravidlách verejnej správy v znení neskorších predpisov rozpočtuje tiež výdavky zodpovedajúce príjmom z poistného plnenia zo zmluvného poistenia alebo zo zákonného poistenia, prostriedky získané z rozdielu medzi výnosmi a nákladmi z podnikateľskej činnosti, od fyzickej osoby alebo právnickej osoby podľa osobitného predpisu, od Úradu práce, </w:t>
      </w:r>
      <w:r w:rsidRPr="00314814">
        <w:rPr>
          <w:rFonts w:ascii="Times New Roman" w:hAnsi="Times New Roman" w:cs="Times New Roman"/>
          <w:lang w:eastAsia="sk-SK"/>
        </w:rPr>
        <w:lastRenderedPageBreak/>
        <w:t xml:space="preserve">sociálnych vecí a rodiny podľa osobitného predpisu, od účastníkov konania o obnove evidencie niektorých pozemkov a právnych vzťahov k nim za výkon záchranárskej činnosti a pátrania po nezvestnej osobe (§11 ods. 3 zák. č. 544/2002 Z. z. o Horskej záchrannej službe)  v sume </w:t>
      </w:r>
      <w:r>
        <w:rPr>
          <w:rFonts w:ascii="Times New Roman" w:hAnsi="Times New Roman" w:cs="Times New Roman"/>
          <w:lang w:eastAsia="sk-SK"/>
        </w:rPr>
        <w:br/>
      </w:r>
      <w:r w:rsidRPr="00314814">
        <w:rPr>
          <w:rFonts w:ascii="Times New Roman" w:hAnsi="Times New Roman" w:cs="Times New Roman"/>
          <w:lang w:eastAsia="sk-SK"/>
        </w:rPr>
        <w:t>2,02 mil. eur. Tieto sú určené na financovanie servisu, údržby a opráv motorových vozidiel a vybrané prevádzkové výdavky.</w:t>
      </w:r>
    </w:p>
    <w:p w:rsidR="003A497B" w:rsidRPr="00314814" w:rsidRDefault="003A497B" w:rsidP="003A497B">
      <w:pPr>
        <w:ind w:firstLine="708"/>
        <w:jc w:val="both"/>
        <w:rPr>
          <w:rFonts w:ascii="Times New Roman" w:hAnsi="Times New Roman" w:cs="Times New Roman"/>
          <w:highlight w:val="yellow"/>
          <w:lang w:eastAsia="sk-SK"/>
        </w:rPr>
      </w:pPr>
    </w:p>
    <w:p w:rsidR="003A497B" w:rsidRPr="00314814" w:rsidRDefault="003A497B" w:rsidP="003A497B">
      <w:pPr>
        <w:ind w:firstLine="708"/>
        <w:jc w:val="both"/>
        <w:rPr>
          <w:rFonts w:ascii="Times New Roman" w:hAnsi="Times New Roman" w:cs="Times New Roman"/>
          <w:lang w:eastAsia="sk-SK"/>
        </w:rPr>
      </w:pPr>
      <w:r w:rsidRPr="00314814">
        <w:rPr>
          <w:rFonts w:ascii="Times New Roman" w:hAnsi="Times New Roman" w:cs="Times New Roman"/>
          <w:lang w:eastAsia="sk-SK"/>
        </w:rPr>
        <w:t>Ministerstvo vnútra SR na rok 2019 rozpočtuje výdavky na samostatných účtoch v celkovej sume 238,6 mil. eur. Uvedené prostriedky sú určené na financovanie sociálneho zabezpečenia policajtov a hasičov, na stravné lístky a na úhradu nákladov spojených s obstaraním materiálno-technického vybavenia hasičských jednotiek a policajných jednotiek.</w:t>
      </w:r>
    </w:p>
    <w:p w:rsidR="003A497B" w:rsidRPr="00314814" w:rsidRDefault="003A497B" w:rsidP="003A497B">
      <w:pPr>
        <w:ind w:firstLine="708"/>
        <w:jc w:val="both"/>
        <w:rPr>
          <w:rFonts w:ascii="Times New Roman" w:hAnsi="Times New Roman" w:cs="Times New Roman"/>
          <w:highlight w:val="yellow"/>
          <w:lang w:eastAsia="sk-SK"/>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 xml:space="preserve">Výdavky kapitoly Ministerstva vnútra SR sú smerované do nasledovných oblastí: </w:t>
      </w:r>
    </w:p>
    <w:p w:rsidR="003A497B" w:rsidRPr="00314814" w:rsidRDefault="003A497B" w:rsidP="003A497B">
      <w:pPr>
        <w:jc w:val="both"/>
        <w:rPr>
          <w:rFonts w:ascii="Times New Roman" w:hAnsi="Times New Roman" w:cs="Times New Roman"/>
        </w:rPr>
      </w:pPr>
      <w:r w:rsidRPr="00314814">
        <w:rPr>
          <w:rFonts w:ascii="Times New Roman" w:hAnsi="Times New Roman" w:cs="Times New Roman"/>
        </w:rPr>
        <w:t xml:space="preserve">- Efektívna a spoľahlivá štátna správa, </w:t>
      </w:r>
    </w:p>
    <w:p w:rsidR="003A497B" w:rsidRPr="00314814" w:rsidRDefault="003A497B" w:rsidP="003A497B">
      <w:pPr>
        <w:jc w:val="both"/>
        <w:rPr>
          <w:rFonts w:ascii="Times New Roman" w:hAnsi="Times New Roman" w:cs="Times New Roman"/>
        </w:rPr>
      </w:pPr>
      <w:r w:rsidRPr="00314814">
        <w:rPr>
          <w:rFonts w:ascii="Times New Roman" w:hAnsi="Times New Roman" w:cs="Times New Roman"/>
        </w:rPr>
        <w:t>- Výchova a vzdelávanie mládeže,</w:t>
      </w:r>
    </w:p>
    <w:p w:rsidR="003A497B" w:rsidRPr="00314814" w:rsidRDefault="003A497B" w:rsidP="003A497B">
      <w:pPr>
        <w:jc w:val="both"/>
        <w:rPr>
          <w:rFonts w:ascii="Times New Roman" w:hAnsi="Times New Roman" w:cs="Times New Roman"/>
        </w:rPr>
      </w:pPr>
      <w:r w:rsidRPr="00314814">
        <w:rPr>
          <w:rFonts w:ascii="Times New Roman" w:hAnsi="Times New Roman" w:cs="Times New Roman"/>
        </w:rPr>
        <w:t>- Medzirezortné programy</w:t>
      </w:r>
    </w:p>
    <w:p w:rsidR="003A497B" w:rsidRPr="00314814" w:rsidRDefault="003A497B" w:rsidP="003A497B">
      <w:pPr>
        <w:ind w:firstLine="708"/>
        <w:jc w:val="both"/>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1859"/>
        <w:gridCol w:w="1030"/>
        <w:gridCol w:w="1029"/>
        <w:gridCol w:w="1029"/>
        <w:gridCol w:w="1029"/>
        <w:gridCol w:w="1029"/>
        <w:gridCol w:w="1029"/>
        <w:gridCol w:w="1028"/>
      </w:tblGrid>
      <w:tr w:rsidR="003A497B" w:rsidRPr="00314814" w:rsidTr="003E1809">
        <w:trPr>
          <w:trHeight w:val="278"/>
        </w:trPr>
        <w:tc>
          <w:tcPr>
            <w:tcW w:w="102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rPr>
                <w:rFonts w:ascii="Times New Roman" w:hAnsi="Times New Roman" w:cs="Times New Roman"/>
                <w:b/>
                <w:sz w:val="14"/>
                <w:szCs w:val="14"/>
              </w:rPr>
            </w:pPr>
            <w:r w:rsidRPr="00314814">
              <w:rPr>
                <w:rFonts w:ascii="Times New Roman" w:hAnsi="Times New Roman" w:cs="Times New Roman"/>
                <w:b/>
                <w:sz w:val="14"/>
                <w:szCs w:val="14"/>
              </w:rPr>
              <w:t>v eurách</w:t>
            </w:r>
          </w:p>
        </w:tc>
        <w:tc>
          <w:tcPr>
            <w:tcW w:w="568" w:type="pct"/>
            <w:tcBorders>
              <w:top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2016 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highlight w:val="yellow"/>
              </w:rPr>
            </w:pPr>
            <w:r w:rsidRPr="00314814">
              <w:rPr>
                <w:rFonts w:ascii="Times New Roman" w:hAnsi="Times New Roman" w:cs="Times New Roman"/>
                <w:b/>
                <w:bCs/>
                <w:color w:val="000000"/>
                <w:sz w:val="14"/>
                <w:szCs w:val="14"/>
              </w:rPr>
              <w:t>2017 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R</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OS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2019 N</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2020 N</w:t>
            </w:r>
          </w:p>
        </w:tc>
        <w:tc>
          <w:tcPr>
            <w:tcW w:w="5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2021 N</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3A497B" w:rsidRPr="00314814" w:rsidRDefault="003A497B" w:rsidP="003E1809">
            <w:pPr>
              <w:rPr>
                <w:rFonts w:ascii="Times New Roman" w:hAnsi="Times New Roman" w:cs="Times New Roman"/>
                <w:b/>
                <w:bCs/>
                <w:sz w:val="14"/>
                <w:szCs w:val="14"/>
              </w:rPr>
            </w:pPr>
            <w:r w:rsidRPr="00314814">
              <w:rPr>
                <w:rFonts w:ascii="Times New Roman" w:hAnsi="Times New Roman" w:cs="Times New Roman"/>
                <w:b/>
                <w:bCs/>
                <w:sz w:val="14"/>
                <w:szCs w:val="14"/>
              </w:rPr>
              <w:t>Spolu</w:t>
            </w:r>
          </w:p>
        </w:tc>
        <w:tc>
          <w:tcPr>
            <w:tcW w:w="568" w:type="pct"/>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jc w:val="right"/>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2 460 312 181</w:t>
            </w:r>
          </w:p>
        </w:tc>
        <w:tc>
          <w:tcPr>
            <w:tcW w:w="568" w:type="pct"/>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jc w:val="right"/>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2 457 070 245</w:t>
            </w:r>
          </w:p>
        </w:tc>
        <w:tc>
          <w:tcPr>
            <w:tcW w:w="568" w:type="pct"/>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jc w:val="right"/>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2 398 882 329</w:t>
            </w:r>
          </w:p>
        </w:tc>
        <w:tc>
          <w:tcPr>
            <w:tcW w:w="568" w:type="pct"/>
            <w:tcBorders>
              <w:top w:val="nil"/>
              <w:left w:val="single" w:sz="4" w:space="0" w:color="auto"/>
              <w:bottom w:val="single" w:sz="4" w:space="0" w:color="auto"/>
              <w:right w:val="single" w:sz="4" w:space="0" w:color="auto"/>
            </w:tcBorders>
            <w:shd w:val="clear" w:color="auto" w:fill="BFBFBF" w:themeFill="background1" w:themeFillShade="BF"/>
            <w:vAlign w:val="bottom"/>
          </w:tcPr>
          <w:p w:rsidR="003A497B" w:rsidRPr="00314814" w:rsidRDefault="003A497B" w:rsidP="003E1809">
            <w:pPr>
              <w:jc w:val="right"/>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2 573 040 194</w:t>
            </w:r>
          </w:p>
        </w:tc>
        <w:tc>
          <w:tcPr>
            <w:tcW w:w="568" w:type="pct"/>
            <w:tcBorders>
              <w:top w:val="nil"/>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jc w:val="right"/>
              <w:rPr>
                <w:rFonts w:ascii="Times New Roman" w:hAnsi="Times New Roman" w:cs="Times New Roman"/>
                <w:b/>
                <w:bCs/>
                <w:noProof/>
                <w:color w:val="000000"/>
                <w:sz w:val="14"/>
                <w:szCs w:val="14"/>
                <w:highlight w:val="yellow"/>
                <w:lang w:eastAsia="sk-SK"/>
              </w:rPr>
            </w:pPr>
            <w:r w:rsidRPr="00314814">
              <w:rPr>
                <w:rFonts w:ascii="Times New Roman" w:hAnsi="Times New Roman" w:cs="Times New Roman"/>
                <w:b/>
                <w:bCs/>
                <w:noProof/>
                <w:color w:val="000000"/>
                <w:sz w:val="14"/>
                <w:szCs w:val="14"/>
                <w:lang w:eastAsia="sk-SK"/>
              </w:rPr>
              <w:t>2 462 389 402</w:t>
            </w:r>
          </w:p>
        </w:tc>
        <w:tc>
          <w:tcPr>
            <w:tcW w:w="568" w:type="pct"/>
            <w:tcBorders>
              <w:top w:val="nil"/>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jc w:val="right"/>
              <w:rPr>
                <w:rFonts w:ascii="Times New Roman" w:hAnsi="Times New Roman" w:cs="Times New Roman"/>
                <w:b/>
                <w:bCs/>
                <w:noProof/>
                <w:color w:val="000000"/>
                <w:sz w:val="14"/>
                <w:szCs w:val="14"/>
                <w:highlight w:val="yellow"/>
                <w:lang w:eastAsia="sk-SK"/>
              </w:rPr>
            </w:pPr>
            <w:r w:rsidRPr="00314814">
              <w:rPr>
                <w:rFonts w:ascii="Times New Roman" w:hAnsi="Times New Roman" w:cs="Times New Roman"/>
                <w:b/>
                <w:bCs/>
                <w:noProof/>
                <w:color w:val="000000"/>
                <w:sz w:val="14"/>
                <w:szCs w:val="14"/>
                <w:lang w:eastAsia="sk-SK"/>
              </w:rPr>
              <w:t>2 552 817 828</w:t>
            </w:r>
          </w:p>
        </w:tc>
        <w:tc>
          <w:tcPr>
            <w:tcW w:w="567" w:type="pct"/>
            <w:tcBorders>
              <w:top w:val="nil"/>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jc w:val="right"/>
              <w:rPr>
                <w:rFonts w:ascii="Times New Roman" w:hAnsi="Times New Roman" w:cs="Times New Roman"/>
                <w:b/>
                <w:bCs/>
                <w:noProof/>
                <w:color w:val="000000"/>
                <w:sz w:val="14"/>
                <w:szCs w:val="14"/>
                <w:highlight w:val="yellow"/>
                <w:lang w:eastAsia="sk-SK"/>
              </w:rPr>
            </w:pPr>
            <w:r w:rsidRPr="00314814">
              <w:rPr>
                <w:rFonts w:ascii="Times New Roman" w:hAnsi="Times New Roman" w:cs="Times New Roman"/>
                <w:b/>
                <w:bCs/>
                <w:noProof/>
                <w:color w:val="000000"/>
                <w:sz w:val="14"/>
                <w:szCs w:val="14"/>
                <w:lang w:eastAsia="sk-SK"/>
              </w:rPr>
              <w:t>2 552 914 095</w:t>
            </w:r>
          </w:p>
        </w:tc>
      </w:tr>
      <w:tr w:rsidR="003A497B" w:rsidRPr="00314814" w:rsidTr="003E1809">
        <w:trPr>
          <w:trHeight w:val="276"/>
        </w:trPr>
        <w:tc>
          <w:tcPr>
            <w:tcW w:w="1025"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Efektívna a spoľahlivá štátna správa</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1 050 381 162</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1 109 141 188</w:t>
            </w:r>
          </w:p>
        </w:tc>
        <w:tc>
          <w:tcPr>
            <w:tcW w:w="568" w:type="pct"/>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1 159 849 224</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1 231 514 212</w:t>
            </w:r>
          </w:p>
        </w:tc>
        <w:tc>
          <w:tcPr>
            <w:tcW w:w="568" w:type="pct"/>
            <w:tcBorders>
              <w:top w:val="nil"/>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1 213 815 869</w:t>
            </w:r>
          </w:p>
        </w:tc>
        <w:tc>
          <w:tcPr>
            <w:tcW w:w="568" w:type="pct"/>
            <w:tcBorders>
              <w:top w:val="nil"/>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1 202 343 170</w:t>
            </w:r>
          </w:p>
        </w:tc>
        <w:tc>
          <w:tcPr>
            <w:tcW w:w="567" w:type="pct"/>
            <w:tcBorders>
              <w:top w:val="nil"/>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1 193 201 549</w:t>
            </w:r>
          </w:p>
        </w:tc>
      </w:tr>
      <w:tr w:rsidR="003A497B" w:rsidRPr="00314814" w:rsidTr="003E1809">
        <w:trPr>
          <w:trHeight w:val="261"/>
        </w:trPr>
        <w:tc>
          <w:tcPr>
            <w:tcW w:w="1025"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Informačné technológie</w:t>
            </w:r>
          </w:p>
        </w:tc>
        <w:tc>
          <w:tcPr>
            <w:tcW w:w="568" w:type="pct"/>
            <w:tcBorders>
              <w:top w:val="nil"/>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bCs/>
                <w:sz w:val="14"/>
                <w:szCs w:val="14"/>
              </w:rPr>
            </w:pPr>
            <w:r w:rsidRPr="00314814">
              <w:rPr>
                <w:rFonts w:ascii="Times New Roman" w:hAnsi="Times New Roman" w:cs="Times New Roman"/>
                <w:bCs/>
                <w:sz w:val="14"/>
                <w:szCs w:val="14"/>
              </w:rPr>
              <w:t>0</w:t>
            </w:r>
          </w:p>
        </w:tc>
        <w:tc>
          <w:tcPr>
            <w:tcW w:w="568" w:type="pct"/>
            <w:tcBorders>
              <w:top w:val="single" w:sz="4" w:space="0" w:color="auto"/>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bCs/>
                <w:sz w:val="14"/>
                <w:szCs w:val="14"/>
              </w:rPr>
            </w:pPr>
            <w:r w:rsidRPr="00314814">
              <w:rPr>
                <w:rFonts w:ascii="Times New Roman" w:hAnsi="Times New Roman" w:cs="Times New Roman"/>
                <w:bCs/>
                <w:sz w:val="14"/>
                <w:szCs w:val="14"/>
              </w:rPr>
              <w:t>28 586 142</w:t>
            </w:r>
          </w:p>
        </w:tc>
        <w:tc>
          <w:tcPr>
            <w:tcW w:w="568" w:type="pct"/>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43 426 730</w:t>
            </w:r>
          </w:p>
        </w:tc>
        <w:tc>
          <w:tcPr>
            <w:tcW w:w="568" w:type="pct"/>
            <w:tcBorders>
              <w:top w:val="nil"/>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41 572 215</w:t>
            </w:r>
          </w:p>
        </w:tc>
        <w:tc>
          <w:tcPr>
            <w:tcW w:w="568" w:type="pct"/>
            <w:tcBorders>
              <w:top w:val="nil"/>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43 983 506</w:t>
            </w:r>
          </w:p>
        </w:tc>
        <w:tc>
          <w:tcPr>
            <w:tcW w:w="568" w:type="pct"/>
            <w:tcBorders>
              <w:top w:val="nil"/>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43 983 506</w:t>
            </w:r>
          </w:p>
        </w:tc>
        <w:tc>
          <w:tcPr>
            <w:tcW w:w="567" w:type="pct"/>
            <w:tcBorders>
              <w:top w:val="nil"/>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43 983 506</w:t>
            </w:r>
          </w:p>
        </w:tc>
      </w:tr>
      <w:tr w:rsidR="003A497B" w:rsidRPr="00314814" w:rsidTr="003E1809">
        <w:trPr>
          <w:trHeight w:val="261"/>
        </w:trPr>
        <w:tc>
          <w:tcPr>
            <w:tcW w:w="1025"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bCs/>
                <w:sz w:val="14"/>
                <w:szCs w:val="14"/>
              </w:rPr>
            </w:pPr>
            <w:r w:rsidRPr="00314814">
              <w:rPr>
                <w:rFonts w:ascii="Times New Roman" w:hAnsi="Times New Roman" w:cs="Times New Roman"/>
                <w:bCs/>
                <w:sz w:val="14"/>
                <w:szCs w:val="14"/>
              </w:rPr>
              <w:t>Výchova a vzdelávanie</w:t>
            </w:r>
          </w:p>
        </w:tc>
        <w:tc>
          <w:tcPr>
            <w:tcW w:w="568" w:type="pct"/>
            <w:tcBorders>
              <w:top w:val="nil"/>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bCs/>
                <w:sz w:val="14"/>
                <w:szCs w:val="14"/>
              </w:rPr>
            </w:pPr>
            <w:r w:rsidRPr="00314814">
              <w:rPr>
                <w:rFonts w:ascii="Times New Roman" w:hAnsi="Times New Roman" w:cs="Times New Roman"/>
                <w:bCs/>
                <w:sz w:val="14"/>
                <w:szCs w:val="14"/>
              </w:rPr>
              <w:t>1 131 981 401</w:t>
            </w:r>
          </w:p>
        </w:tc>
        <w:tc>
          <w:tcPr>
            <w:tcW w:w="568" w:type="pct"/>
            <w:tcBorders>
              <w:top w:val="single" w:sz="4" w:space="0" w:color="auto"/>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bCs/>
                <w:sz w:val="14"/>
                <w:szCs w:val="14"/>
              </w:rPr>
            </w:pPr>
            <w:r w:rsidRPr="00314814">
              <w:rPr>
                <w:rFonts w:ascii="Times New Roman" w:hAnsi="Times New Roman" w:cs="Times New Roman"/>
                <w:bCs/>
                <w:sz w:val="14"/>
                <w:szCs w:val="14"/>
              </w:rPr>
              <w:t>1 205 101 410</w:t>
            </w:r>
          </w:p>
        </w:tc>
        <w:tc>
          <w:tcPr>
            <w:tcW w:w="568" w:type="pct"/>
            <w:tcBorders>
              <w:top w:val="nil"/>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1 164 714 272</w:t>
            </w:r>
          </w:p>
        </w:tc>
        <w:tc>
          <w:tcPr>
            <w:tcW w:w="568" w:type="pct"/>
            <w:tcBorders>
              <w:top w:val="nil"/>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1 205 143 829</w:t>
            </w:r>
          </w:p>
        </w:tc>
        <w:tc>
          <w:tcPr>
            <w:tcW w:w="568" w:type="pct"/>
            <w:tcBorders>
              <w:top w:val="nil"/>
              <w:left w:val="nil"/>
              <w:bottom w:val="single" w:sz="4" w:space="0" w:color="auto"/>
              <w:right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1 179 180 596</w:t>
            </w:r>
          </w:p>
        </w:tc>
        <w:tc>
          <w:tcPr>
            <w:tcW w:w="568" w:type="pct"/>
            <w:tcBorders>
              <w:top w:val="nil"/>
              <w:left w:val="nil"/>
              <w:bottom w:val="single" w:sz="4" w:space="0" w:color="auto"/>
              <w:right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1 179 604 347</w:t>
            </w:r>
          </w:p>
        </w:tc>
        <w:tc>
          <w:tcPr>
            <w:tcW w:w="567" w:type="pct"/>
            <w:tcBorders>
              <w:top w:val="nil"/>
              <w:left w:val="nil"/>
              <w:bottom w:val="single" w:sz="4" w:space="0" w:color="auto"/>
              <w:right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1 179 934 481</w:t>
            </w:r>
          </w:p>
        </w:tc>
      </w:tr>
      <w:tr w:rsidR="003A497B" w:rsidRPr="00314814" w:rsidTr="003E1809">
        <w:trPr>
          <w:trHeight w:val="261"/>
        </w:trPr>
        <w:tc>
          <w:tcPr>
            <w:tcW w:w="1025"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bCs/>
                <w:sz w:val="14"/>
                <w:szCs w:val="14"/>
              </w:rPr>
            </w:pPr>
            <w:r w:rsidRPr="00314814">
              <w:rPr>
                <w:rFonts w:ascii="Times New Roman" w:hAnsi="Times New Roman" w:cs="Times New Roman"/>
                <w:bCs/>
                <w:sz w:val="14"/>
                <w:szCs w:val="14"/>
              </w:rPr>
              <w:t>Medzirezortné programy</w:t>
            </w:r>
          </w:p>
        </w:tc>
        <w:tc>
          <w:tcPr>
            <w:tcW w:w="568" w:type="pct"/>
            <w:tcBorders>
              <w:top w:val="nil"/>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1 581 376</w:t>
            </w:r>
          </w:p>
        </w:tc>
        <w:tc>
          <w:tcPr>
            <w:tcW w:w="568" w:type="pct"/>
            <w:tcBorders>
              <w:top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377 375</w:t>
            </w:r>
          </w:p>
        </w:tc>
        <w:tc>
          <w:tcPr>
            <w:tcW w:w="568" w:type="pct"/>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352 065</w:t>
            </w:r>
          </w:p>
        </w:tc>
        <w:tc>
          <w:tcPr>
            <w:tcW w:w="568" w:type="pct"/>
            <w:tcBorders>
              <w:top w:val="nil"/>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384 065</w:t>
            </w:r>
          </w:p>
        </w:tc>
        <w:tc>
          <w:tcPr>
            <w:tcW w:w="568" w:type="pct"/>
            <w:tcBorders>
              <w:top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346 065</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346 065</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346 065</w:t>
            </w:r>
          </w:p>
        </w:tc>
      </w:tr>
      <w:tr w:rsidR="003A497B" w:rsidRPr="00314814" w:rsidTr="003E1809">
        <w:trPr>
          <w:trHeight w:val="261"/>
        </w:trPr>
        <w:tc>
          <w:tcPr>
            <w:tcW w:w="1025"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presun z minulých rokov</w:t>
            </w:r>
          </w:p>
        </w:tc>
        <w:tc>
          <w:tcPr>
            <w:tcW w:w="568" w:type="pct"/>
            <w:tcBorders>
              <w:top w:val="nil"/>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224 298 384</w:t>
            </w:r>
          </w:p>
        </w:tc>
        <w:tc>
          <w:tcPr>
            <w:tcW w:w="568"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61 639 887</w:t>
            </w:r>
          </w:p>
        </w:tc>
        <w:tc>
          <w:tcPr>
            <w:tcW w:w="568"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568" w:type="pct"/>
            <w:tcBorders>
              <w:top w:val="nil"/>
              <w:left w:val="nil"/>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62 464 858</w:t>
            </w:r>
          </w:p>
        </w:tc>
        <w:tc>
          <w:tcPr>
            <w:tcW w:w="568"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568" w:type="pct"/>
            <w:tcBorders>
              <w:top w:val="single" w:sz="4" w:space="0" w:color="auto"/>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567" w:type="pct"/>
            <w:tcBorders>
              <w:top w:val="single" w:sz="4" w:space="0" w:color="auto"/>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2. a 3. programové obdobie</w:t>
            </w:r>
          </w:p>
        </w:tc>
        <w:tc>
          <w:tcPr>
            <w:tcW w:w="568" w:type="pct"/>
            <w:tcBorders>
              <w:top w:val="single" w:sz="4" w:space="0" w:color="auto"/>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52 069 857</w:t>
            </w:r>
          </w:p>
        </w:tc>
        <w:tc>
          <w:tcPr>
            <w:tcW w:w="568" w:type="pct"/>
            <w:tcBorders>
              <w:top w:val="single" w:sz="4" w:space="0" w:color="auto"/>
              <w:left w:val="nil"/>
              <w:bottom w:val="single" w:sz="4" w:space="0" w:color="auto"/>
              <w:right w:val="single" w:sz="4" w:space="0" w:color="auto"/>
            </w:tcBorders>
            <w:shd w:val="clear" w:color="000000" w:fill="FFFFFF"/>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52 224 242</w:t>
            </w:r>
          </w:p>
        </w:tc>
        <w:tc>
          <w:tcPr>
            <w:tcW w:w="568" w:type="pct"/>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30 540 038</w:t>
            </w:r>
          </w:p>
        </w:tc>
        <w:tc>
          <w:tcPr>
            <w:tcW w:w="568" w:type="pct"/>
            <w:tcBorders>
              <w:top w:val="nil"/>
              <w:left w:val="nil"/>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31 961 015</w:t>
            </w:r>
          </w:p>
        </w:tc>
        <w:tc>
          <w:tcPr>
            <w:tcW w:w="568" w:type="pct"/>
            <w:tcBorders>
              <w:top w:val="nil"/>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25 063 366</w:t>
            </w:r>
          </w:p>
        </w:tc>
        <w:tc>
          <w:tcPr>
            <w:tcW w:w="568" w:type="pct"/>
            <w:tcBorders>
              <w:top w:val="nil"/>
              <w:left w:val="nil"/>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126 540 740</w:t>
            </w:r>
          </w:p>
        </w:tc>
        <w:tc>
          <w:tcPr>
            <w:tcW w:w="567" w:type="pct"/>
            <w:tcBorders>
              <w:top w:val="nil"/>
              <w:left w:val="nil"/>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135 448 494</w:t>
            </w:r>
          </w:p>
        </w:tc>
      </w:tr>
    </w:tbl>
    <w:p w:rsidR="003A497B" w:rsidRPr="00314814" w:rsidRDefault="003A497B" w:rsidP="003A497B">
      <w:pPr>
        <w:jc w:val="both"/>
        <w:rPr>
          <w:rFonts w:ascii="Times New Roman" w:hAnsi="Times New Roman" w:cs="Times New Roman"/>
        </w:rPr>
      </w:pPr>
    </w:p>
    <w:p w:rsidR="003A497B" w:rsidRPr="00314814" w:rsidRDefault="003A497B" w:rsidP="003A497B">
      <w:pPr>
        <w:jc w:val="both"/>
        <w:rPr>
          <w:rFonts w:ascii="Times New Roman" w:hAnsi="Times New Roman" w:cs="Times New Roman"/>
          <w:b/>
          <w:u w:val="single"/>
        </w:rPr>
      </w:pPr>
      <w:r w:rsidRPr="00314814">
        <w:rPr>
          <w:rFonts w:ascii="Times New Roman" w:hAnsi="Times New Roman" w:cs="Times New Roman"/>
          <w:b/>
          <w:u w:val="single"/>
        </w:rPr>
        <w:t>Efektívna a spoľahlivá štátna správa</w:t>
      </w:r>
    </w:p>
    <w:p w:rsidR="003A497B" w:rsidRPr="00314814" w:rsidRDefault="003A497B" w:rsidP="003A497B">
      <w:pPr>
        <w:jc w:val="both"/>
        <w:rPr>
          <w:rFonts w:ascii="Arial Narrow" w:hAnsi="Arial Narrow"/>
          <w:sz w:val="22"/>
          <w:szCs w:val="22"/>
        </w:rPr>
      </w:pPr>
    </w:p>
    <w:p w:rsidR="003A497B" w:rsidRPr="00314814" w:rsidRDefault="003A497B" w:rsidP="003A497B">
      <w:pPr>
        <w:ind w:firstLine="708"/>
        <w:jc w:val="both"/>
        <w:rPr>
          <w:rFonts w:ascii="Times New Roman" w:hAnsi="Times New Roman" w:cs="Times New Roman"/>
          <w:color w:val="FF0000"/>
        </w:rPr>
      </w:pPr>
      <w:r w:rsidRPr="00314814">
        <w:rPr>
          <w:rFonts w:ascii="Times New Roman" w:hAnsi="Times New Roman" w:cs="Times New Roman"/>
        </w:rPr>
        <w:t>Celkové výdavky v roku 2019 oproti schválenému rozpočtu roka 2018 rastú o </w:t>
      </w:r>
      <w:r>
        <w:rPr>
          <w:rFonts w:ascii="Times New Roman" w:hAnsi="Times New Roman" w:cs="Times New Roman"/>
        </w:rPr>
        <w:br/>
      </w:r>
      <w:r w:rsidRPr="00314814">
        <w:rPr>
          <w:rFonts w:ascii="Times New Roman" w:hAnsi="Times New Roman" w:cs="Times New Roman"/>
        </w:rPr>
        <w:t>50,6 mil. eur, čo predstavuje nárast o 4,34 %. Rozdiel je spôsobený najmä vyšším rozpočtovaním výdavkov z dôvodu valorizácie platov a vyšším rozpočtovaním výdavkov na voľby prezidenta a do Európskeho parlamentu.</w:t>
      </w:r>
    </w:p>
    <w:p w:rsidR="003A497B" w:rsidRPr="00314814" w:rsidRDefault="003A497B" w:rsidP="003A497B">
      <w:pPr>
        <w:jc w:val="both"/>
        <w:rPr>
          <w:rFonts w:ascii="Times New Roman" w:hAnsi="Times New Roman" w:cs="Times New Roman"/>
          <w:sz w:val="22"/>
          <w:szCs w:val="22"/>
        </w:rPr>
      </w:pPr>
    </w:p>
    <w:tbl>
      <w:tblPr>
        <w:tblW w:w="5000" w:type="pct"/>
        <w:tblCellMar>
          <w:left w:w="70" w:type="dxa"/>
          <w:right w:w="70" w:type="dxa"/>
        </w:tblCellMar>
        <w:tblLook w:val="04A0" w:firstRow="1" w:lastRow="0" w:firstColumn="1" w:lastColumn="0" w:noHBand="0" w:noVBand="1"/>
      </w:tblPr>
      <w:tblGrid>
        <w:gridCol w:w="1859"/>
        <w:gridCol w:w="1030"/>
        <w:gridCol w:w="1029"/>
        <w:gridCol w:w="1029"/>
        <w:gridCol w:w="1029"/>
        <w:gridCol w:w="1029"/>
        <w:gridCol w:w="1029"/>
        <w:gridCol w:w="1028"/>
      </w:tblGrid>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rPr>
                <w:rFonts w:ascii="Times New Roman" w:hAnsi="Times New Roman" w:cs="Times New Roman"/>
                <w:b/>
                <w:sz w:val="14"/>
                <w:szCs w:val="14"/>
              </w:rPr>
            </w:pPr>
            <w:r w:rsidRPr="00314814">
              <w:rPr>
                <w:rFonts w:ascii="Times New Roman" w:hAnsi="Times New Roman" w:cs="Times New Roman"/>
                <w:b/>
                <w:sz w:val="14"/>
                <w:szCs w:val="14"/>
              </w:rPr>
              <w:t>v eurách</w:t>
            </w:r>
          </w:p>
        </w:tc>
        <w:tc>
          <w:tcPr>
            <w:tcW w:w="568" w:type="pct"/>
            <w:tcBorders>
              <w:top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2016 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highlight w:val="yellow"/>
              </w:rPr>
            </w:pPr>
            <w:r w:rsidRPr="00314814">
              <w:rPr>
                <w:rFonts w:ascii="Times New Roman" w:hAnsi="Times New Roman" w:cs="Times New Roman"/>
                <w:b/>
                <w:bCs/>
                <w:color w:val="000000"/>
                <w:sz w:val="14"/>
                <w:szCs w:val="14"/>
              </w:rPr>
              <w:t>2017 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R</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OS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2019 N</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2020 N</w:t>
            </w:r>
          </w:p>
        </w:tc>
        <w:tc>
          <w:tcPr>
            <w:tcW w:w="5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2021 N</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3A497B" w:rsidRPr="00314814" w:rsidRDefault="003A497B" w:rsidP="003E1809">
            <w:pPr>
              <w:rPr>
                <w:rFonts w:ascii="Times New Roman" w:hAnsi="Times New Roman" w:cs="Times New Roman"/>
                <w:b/>
                <w:bCs/>
                <w:sz w:val="14"/>
                <w:szCs w:val="14"/>
              </w:rPr>
            </w:pPr>
            <w:r w:rsidRPr="00314814">
              <w:rPr>
                <w:rFonts w:ascii="Times New Roman" w:hAnsi="Times New Roman" w:cs="Times New Roman"/>
                <w:b/>
                <w:bCs/>
                <w:sz w:val="14"/>
                <w:szCs w:val="14"/>
              </w:rPr>
              <w:t>Spolu</w:t>
            </w:r>
          </w:p>
        </w:tc>
        <w:tc>
          <w:tcPr>
            <w:tcW w:w="56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jc w:val="right"/>
              <w:rPr>
                <w:rFonts w:ascii="Times New Roman" w:hAnsi="Times New Roman" w:cs="Times New Roman"/>
                <w:b/>
                <w:bCs/>
                <w:sz w:val="14"/>
                <w:szCs w:val="14"/>
                <w:highlight w:val="yellow"/>
              </w:rPr>
            </w:pPr>
            <w:r w:rsidRPr="00314814">
              <w:rPr>
                <w:rFonts w:ascii="Times New Roman" w:hAnsi="Times New Roman" w:cs="Times New Roman"/>
                <w:b/>
                <w:bCs/>
                <w:sz w:val="14"/>
                <w:szCs w:val="14"/>
              </w:rPr>
              <w:t>1 277 931 882</w:t>
            </w:r>
          </w:p>
        </w:tc>
        <w:tc>
          <w:tcPr>
            <w:tcW w:w="56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jc w:val="right"/>
              <w:rPr>
                <w:rFonts w:ascii="Times New Roman" w:hAnsi="Times New Roman" w:cs="Times New Roman"/>
                <w:b/>
                <w:bCs/>
                <w:sz w:val="14"/>
                <w:szCs w:val="14"/>
              </w:rPr>
            </w:pPr>
            <w:r w:rsidRPr="00314814">
              <w:rPr>
                <w:rFonts w:ascii="Times New Roman" w:hAnsi="Times New Roman" w:cs="Times New Roman"/>
                <w:b/>
                <w:bCs/>
                <w:sz w:val="14"/>
                <w:szCs w:val="14"/>
              </w:rPr>
              <w:t>1 185 759 983</w:t>
            </w:r>
          </w:p>
        </w:tc>
        <w:tc>
          <w:tcPr>
            <w:tcW w:w="56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1 164 782 890</w:t>
            </w:r>
          </w:p>
        </w:tc>
        <w:tc>
          <w:tcPr>
            <w:tcW w:w="568" w:type="pct"/>
            <w:tcBorders>
              <w:top w:val="single" w:sz="4" w:space="0" w:color="auto"/>
              <w:left w:val="nil"/>
              <w:bottom w:val="single" w:sz="4" w:space="0" w:color="auto"/>
              <w:right w:val="single" w:sz="4" w:space="0" w:color="auto"/>
            </w:tcBorders>
            <w:shd w:val="clear" w:color="auto" w:fill="BFBFBF" w:themeFill="background1" w:themeFillShade="BF"/>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rPr>
            </w:pPr>
            <w:r w:rsidRPr="00314814">
              <w:rPr>
                <w:rFonts w:ascii="Times New Roman" w:hAnsi="Times New Roman" w:cs="Times New Roman"/>
                <w:b/>
                <w:sz w:val="14"/>
                <w:szCs w:val="14"/>
              </w:rPr>
              <w:t>1 547 403 401</w:t>
            </w:r>
          </w:p>
        </w:tc>
        <w:tc>
          <w:tcPr>
            <w:tcW w:w="568" w:type="pct"/>
            <w:tcBorders>
              <w:top w:val="nil"/>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rPr>
            </w:pPr>
            <w:r w:rsidRPr="00314814">
              <w:rPr>
                <w:rFonts w:ascii="Times New Roman" w:hAnsi="Times New Roman" w:cs="Times New Roman"/>
                <w:b/>
                <w:sz w:val="14"/>
                <w:szCs w:val="14"/>
              </w:rPr>
              <w:t>1 215 347 063</w:t>
            </w:r>
          </w:p>
        </w:tc>
        <w:tc>
          <w:tcPr>
            <w:tcW w:w="568" w:type="pct"/>
            <w:tcBorders>
              <w:top w:val="nil"/>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rPr>
            </w:pPr>
            <w:r w:rsidRPr="00314814">
              <w:rPr>
                <w:rFonts w:ascii="Times New Roman" w:hAnsi="Times New Roman" w:cs="Times New Roman"/>
                <w:b/>
                <w:sz w:val="14"/>
                <w:szCs w:val="14"/>
              </w:rPr>
              <w:t>1 203 874 471</w:t>
            </w:r>
          </w:p>
        </w:tc>
        <w:tc>
          <w:tcPr>
            <w:tcW w:w="567" w:type="pct"/>
            <w:tcBorders>
              <w:top w:val="nil"/>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rPr>
            </w:pPr>
            <w:r w:rsidRPr="00314814">
              <w:rPr>
                <w:rFonts w:ascii="Times New Roman" w:hAnsi="Times New Roman" w:cs="Times New Roman"/>
                <w:b/>
                <w:sz w:val="14"/>
                <w:szCs w:val="14"/>
              </w:rPr>
              <w:t>1 194 745 822</w:t>
            </w:r>
          </w:p>
        </w:tc>
      </w:tr>
      <w:tr w:rsidR="003A497B" w:rsidRPr="00314814" w:rsidTr="003E1809">
        <w:trPr>
          <w:trHeight w:val="261"/>
        </w:trPr>
        <w:tc>
          <w:tcPr>
            <w:tcW w:w="1025"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Ochrana verejného poriadku</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bCs/>
                <w:sz w:val="14"/>
                <w:szCs w:val="14"/>
                <w:highlight w:val="yellow"/>
              </w:rPr>
            </w:pPr>
            <w:r w:rsidRPr="00314814">
              <w:rPr>
                <w:rFonts w:ascii="Times New Roman" w:hAnsi="Times New Roman" w:cs="Times New Roman"/>
                <w:bCs/>
                <w:sz w:val="14"/>
                <w:szCs w:val="14"/>
              </w:rPr>
              <w:t>730 866 432</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bCs/>
                <w:sz w:val="14"/>
                <w:szCs w:val="14"/>
                <w:highlight w:val="yellow"/>
              </w:rPr>
            </w:pPr>
            <w:r w:rsidRPr="00314814">
              <w:rPr>
                <w:rFonts w:ascii="Times New Roman" w:hAnsi="Times New Roman" w:cs="Times New Roman"/>
                <w:bCs/>
                <w:sz w:val="14"/>
                <w:szCs w:val="14"/>
              </w:rPr>
              <w:t>657 495 931</w:t>
            </w:r>
          </w:p>
        </w:tc>
        <w:tc>
          <w:tcPr>
            <w:tcW w:w="568" w:type="pct"/>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714 077 509</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780 769 374</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744 107 248</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744 107 248</w:t>
            </w:r>
          </w:p>
        </w:tc>
        <w:tc>
          <w:tcPr>
            <w:tcW w:w="567"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744 107 248</w:t>
            </w:r>
          </w:p>
        </w:tc>
      </w:tr>
      <w:tr w:rsidR="003A497B" w:rsidRPr="00314814" w:rsidTr="003E1809">
        <w:trPr>
          <w:trHeight w:val="261"/>
        </w:trPr>
        <w:tc>
          <w:tcPr>
            <w:tcW w:w="1025"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Záchrana života a zdravia</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bCs/>
                <w:sz w:val="14"/>
                <w:szCs w:val="14"/>
                <w:highlight w:val="yellow"/>
              </w:rPr>
            </w:pPr>
            <w:r w:rsidRPr="00314814">
              <w:rPr>
                <w:rFonts w:ascii="Times New Roman" w:hAnsi="Times New Roman" w:cs="Times New Roman"/>
                <w:bCs/>
                <w:sz w:val="14"/>
                <w:szCs w:val="14"/>
              </w:rPr>
              <w:t>133 340 741</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bCs/>
                <w:sz w:val="14"/>
                <w:szCs w:val="14"/>
                <w:highlight w:val="yellow"/>
              </w:rPr>
            </w:pPr>
            <w:r w:rsidRPr="00314814">
              <w:rPr>
                <w:rFonts w:ascii="Times New Roman" w:hAnsi="Times New Roman" w:cs="Times New Roman"/>
                <w:bCs/>
                <w:sz w:val="14"/>
                <w:szCs w:val="14"/>
              </w:rPr>
              <w:t>126 629 800</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108 655 607</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168 447 486</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113 887 231</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113 887 231</w:t>
            </w:r>
          </w:p>
        </w:tc>
        <w:tc>
          <w:tcPr>
            <w:tcW w:w="567"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113 887 231</w:t>
            </w:r>
          </w:p>
        </w:tc>
      </w:tr>
      <w:tr w:rsidR="003A497B" w:rsidRPr="00314814" w:rsidTr="003E1809">
        <w:trPr>
          <w:trHeight w:val="261"/>
        </w:trPr>
        <w:tc>
          <w:tcPr>
            <w:tcW w:w="1025"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Okresné úrady</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bCs/>
                <w:sz w:val="14"/>
                <w:szCs w:val="14"/>
                <w:highlight w:val="yellow"/>
              </w:rPr>
            </w:pPr>
            <w:r w:rsidRPr="00314814">
              <w:rPr>
                <w:rFonts w:ascii="Times New Roman" w:hAnsi="Times New Roman" w:cs="Times New Roman"/>
                <w:bCs/>
                <w:sz w:val="14"/>
                <w:szCs w:val="14"/>
              </w:rPr>
              <w:t>116 364 171</w:t>
            </w:r>
          </w:p>
        </w:tc>
        <w:tc>
          <w:tcPr>
            <w:tcW w:w="568"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jc w:val="right"/>
              <w:rPr>
                <w:rFonts w:ascii="Times New Roman" w:hAnsi="Times New Roman" w:cs="Times New Roman"/>
                <w:bCs/>
                <w:sz w:val="14"/>
                <w:szCs w:val="14"/>
                <w:highlight w:val="yellow"/>
              </w:rPr>
            </w:pPr>
            <w:r w:rsidRPr="00314814">
              <w:rPr>
                <w:rFonts w:ascii="Times New Roman" w:hAnsi="Times New Roman" w:cs="Times New Roman"/>
                <w:bCs/>
                <w:sz w:val="14"/>
                <w:szCs w:val="14"/>
              </w:rPr>
              <w:t>122 515 872</w:t>
            </w:r>
          </w:p>
        </w:tc>
        <w:tc>
          <w:tcPr>
            <w:tcW w:w="568" w:type="pct"/>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103 039 507</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116 348 065</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107 482 391</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107 601 892</w:t>
            </w:r>
          </w:p>
        </w:tc>
        <w:tc>
          <w:tcPr>
            <w:tcW w:w="567"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107 743 931</w:t>
            </w:r>
          </w:p>
        </w:tc>
      </w:tr>
      <w:tr w:rsidR="003A497B" w:rsidRPr="00314814" w:rsidTr="003E1809">
        <w:trPr>
          <w:trHeight w:val="261"/>
        </w:trPr>
        <w:tc>
          <w:tcPr>
            <w:tcW w:w="1025"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Archívnictvo</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bCs/>
                <w:sz w:val="14"/>
                <w:szCs w:val="14"/>
                <w:highlight w:val="yellow"/>
              </w:rPr>
            </w:pPr>
            <w:r w:rsidRPr="00314814">
              <w:rPr>
                <w:rFonts w:ascii="Times New Roman" w:hAnsi="Times New Roman" w:cs="Times New Roman"/>
                <w:bCs/>
                <w:sz w:val="14"/>
                <w:szCs w:val="14"/>
              </w:rPr>
              <w:t>4 936 531</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bCs/>
                <w:sz w:val="14"/>
                <w:szCs w:val="14"/>
                <w:highlight w:val="yellow"/>
              </w:rPr>
            </w:pPr>
            <w:r w:rsidRPr="00314814">
              <w:rPr>
                <w:rFonts w:ascii="Times New Roman" w:hAnsi="Times New Roman" w:cs="Times New Roman"/>
                <w:bCs/>
                <w:sz w:val="14"/>
                <w:szCs w:val="14"/>
              </w:rPr>
              <w:t>5 503 864</w:t>
            </w:r>
          </w:p>
        </w:tc>
        <w:tc>
          <w:tcPr>
            <w:tcW w:w="568" w:type="pct"/>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4 826 633</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5 321 870</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4 974 555</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4 974 555</w:t>
            </w:r>
          </w:p>
        </w:tc>
        <w:tc>
          <w:tcPr>
            <w:tcW w:w="567"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4 974 555</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Azylová politika</w:t>
            </w:r>
          </w:p>
        </w:tc>
        <w:tc>
          <w:tcPr>
            <w:tcW w:w="568" w:type="pct"/>
            <w:tcBorders>
              <w:top w:val="single" w:sz="4" w:space="0" w:color="auto"/>
              <w:left w:val="nil"/>
              <w:bottom w:val="single" w:sz="4" w:space="0" w:color="auto"/>
              <w:right w:val="single" w:sz="4" w:space="0" w:color="auto"/>
            </w:tcBorders>
            <w:shd w:val="clear" w:color="000000" w:fill="auto"/>
            <w:noWrap/>
            <w:vAlign w:val="bottom"/>
          </w:tcPr>
          <w:p w:rsidR="003A497B" w:rsidRPr="00314814" w:rsidRDefault="003A497B" w:rsidP="003E1809">
            <w:pPr>
              <w:jc w:val="right"/>
              <w:rPr>
                <w:rFonts w:ascii="Times New Roman" w:hAnsi="Times New Roman" w:cs="Times New Roman"/>
                <w:bCs/>
                <w:sz w:val="14"/>
                <w:szCs w:val="14"/>
                <w:highlight w:val="yellow"/>
              </w:rPr>
            </w:pPr>
            <w:r w:rsidRPr="00314814">
              <w:rPr>
                <w:rFonts w:ascii="Times New Roman" w:hAnsi="Times New Roman" w:cs="Times New Roman"/>
                <w:bCs/>
                <w:sz w:val="14"/>
                <w:szCs w:val="14"/>
              </w:rPr>
              <w:t>2 692 759</w:t>
            </w:r>
          </w:p>
        </w:tc>
        <w:tc>
          <w:tcPr>
            <w:tcW w:w="568" w:type="pct"/>
            <w:tcBorders>
              <w:top w:val="single" w:sz="4" w:space="0" w:color="auto"/>
              <w:left w:val="nil"/>
              <w:bottom w:val="single" w:sz="4" w:space="0" w:color="auto"/>
              <w:right w:val="single" w:sz="4" w:space="0" w:color="auto"/>
            </w:tcBorders>
            <w:shd w:val="clear" w:color="000000" w:fill="auto"/>
            <w:noWrap/>
            <w:vAlign w:val="bottom"/>
          </w:tcPr>
          <w:p w:rsidR="003A497B" w:rsidRPr="00314814" w:rsidRDefault="003A497B" w:rsidP="003E1809">
            <w:pPr>
              <w:jc w:val="right"/>
              <w:rPr>
                <w:rFonts w:ascii="Times New Roman" w:hAnsi="Times New Roman" w:cs="Times New Roman"/>
                <w:bCs/>
                <w:sz w:val="14"/>
                <w:szCs w:val="14"/>
                <w:highlight w:val="yellow"/>
              </w:rPr>
            </w:pPr>
            <w:r w:rsidRPr="00314814">
              <w:rPr>
                <w:rFonts w:ascii="Times New Roman" w:hAnsi="Times New Roman" w:cs="Times New Roman"/>
                <w:bCs/>
                <w:sz w:val="14"/>
                <w:szCs w:val="14"/>
              </w:rPr>
              <w:t>2 372 946</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2 161 427</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1 806 351</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1 681 707</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1 681 707</w:t>
            </w:r>
          </w:p>
        </w:tc>
        <w:tc>
          <w:tcPr>
            <w:tcW w:w="567"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1 681 707</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Centrálna podpora</w:t>
            </w:r>
          </w:p>
        </w:tc>
        <w:tc>
          <w:tcPr>
            <w:tcW w:w="568" w:type="pct"/>
            <w:tcBorders>
              <w:top w:val="single" w:sz="4" w:space="0" w:color="auto"/>
              <w:left w:val="nil"/>
              <w:bottom w:val="single" w:sz="4" w:space="0" w:color="auto"/>
              <w:right w:val="single" w:sz="4" w:space="0" w:color="auto"/>
            </w:tcBorders>
            <w:shd w:val="clear" w:color="000000" w:fill="auto"/>
            <w:noWrap/>
            <w:vAlign w:val="bottom"/>
          </w:tcPr>
          <w:p w:rsidR="003A497B" w:rsidRPr="00314814" w:rsidRDefault="003A497B" w:rsidP="003E1809">
            <w:pPr>
              <w:jc w:val="right"/>
              <w:rPr>
                <w:rFonts w:ascii="Times New Roman" w:hAnsi="Times New Roman" w:cs="Times New Roman"/>
                <w:bCs/>
                <w:sz w:val="14"/>
                <w:szCs w:val="14"/>
                <w:highlight w:val="yellow"/>
              </w:rPr>
            </w:pPr>
            <w:r w:rsidRPr="00314814">
              <w:rPr>
                <w:rFonts w:ascii="Times New Roman" w:hAnsi="Times New Roman" w:cs="Times New Roman"/>
                <w:bCs/>
                <w:sz w:val="14"/>
                <w:szCs w:val="14"/>
              </w:rPr>
              <w:t>226 155 466</w:t>
            </w:r>
          </w:p>
        </w:tc>
        <w:tc>
          <w:tcPr>
            <w:tcW w:w="568" w:type="pct"/>
            <w:tcBorders>
              <w:top w:val="single" w:sz="4" w:space="0" w:color="auto"/>
              <w:left w:val="nil"/>
              <w:bottom w:val="single" w:sz="4" w:space="0" w:color="auto"/>
              <w:right w:val="single" w:sz="4" w:space="0" w:color="auto"/>
            </w:tcBorders>
            <w:shd w:val="clear" w:color="000000" w:fill="auto"/>
            <w:noWrap/>
            <w:vAlign w:val="bottom"/>
          </w:tcPr>
          <w:p w:rsidR="003A497B" w:rsidRPr="00314814" w:rsidRDefault="003A497B" w:rsidP="003E1809">
            <w:pPr>
              <w:jc w:val="right"/>
              <w:rPr>
                <w:rFonts w:ascii="Times New Roman" w:hAnsi="Times New Roman" w:cs="Times New Roman"/>
                <w:bCs/>
                <w:sz w:val="14"/>
                <w:szCs w:val="14"/>
                <w:highlight w:val="yellow"/>
              </w:rPr>
            </w:pPr>
            <w:r w:rsidRPr="00314814">
              <w:rPr>
                <w:rFonts w:ascii="Times New Roman" w:hAnsi="Times New Roman" w:cs="Times New Roman"/>
                <w:bCs/>
                <w:sz w:val="14"/>
                <w:szCs w:val="14"/>
              </w:rPr>
              <w:t>209 040 575</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165 994 924</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390 565 846</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168 374 861</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168 374 861</w:t>
            </w:r>
          </w:p>
        </w:tc>
        <w:tc>
          <w:tcPr>
            <w:tcW w:w="567"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168 374 861</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Riadenie a kontrola</w:t>
            </w:r>
          </w:p>
        </w:tc>
        <w:tc>
          <w:tcPr>
            <w:tcW w:w="568" w:type="pct"/>
            <w:tcBorders>
              <w:top w:val="single" w:sz="4" w:space="0" w:color="auto"/>
              <w:left w:val="nil"/>
              <w:bottom w:val="single" w:sz="4" w:space="0" w:color="auto"/>
              <w:right w:val="single" w:sz="4" w:space="0" w:color="auto"/>
            </w:tcBorders>
            <w:shd w:val="clear" w:color="000000" w:fill="auto"/>
            <w:noWrap/>
            <w:vAlign w:val="bottom"/>
          </w:tcPr>
          <w:p w:rsidR="003A497B" w:rsidRPr="00314814" w:rsidRDefault="003A497B" w:rsidP="003E1809">
            <w:pPr>
              <w:jc w:val="right"/>
              <w:rPr>
                <w:rFonts w:ascii="Times New Roman" w:hAnsi="Times New Roman" w:cs="Times New Roman"/>
                <w:bCs/>
                <w:sz w:val="14"/>
                <w:szCs w:val="14"/>
                <w:highlight w:val="yellow"/>
              </w:rPr>
            </w:pPr>
            <w:r w:rsidRPr="00314814">
              <w:rPr>
                <w:rFonts w:ascii="Times New Roman" w:hAnsi="Times New Roman" w:cs="Times New Roman"/>
                <w:bCs/>
                <w:sz w:val="14"/>
                <w:szCs w:val="14"/>
              </w:rPr>
              <w:t>55 671 284</w:t>
            </w:r>
          </w:p>
        </w:tc>
        <w:tc>
          <w:tcPr>
            <w:tcW w:w="568" w:type="pct"/>
            <w:tcBorders>
              <w:top w:val="single" w:sz="4" w:space="0" w:color="auto"/>
              <w:left w:val="nil"/>
              <w:bottom w:val="single" w:sz="4" w:space="0" w:color="auto"/>
              <w:right w:val="single" w:sz="4" w:space="0" w:color="auto"/>
            </w:tcBorders>
            <w:shd w:val="clear" w:color="000000" w:fill="auto"/>
            <w:noWrap/>
            <w:vAlign w:val="bottom"/>
          </w:tcPr>
          <w:p w:rsidR="003A497B" w:rsidRPr="00314814" w:rsidRDefault="003A497B" w:rsidP="003E1809">
            <w:pPr>
              <w:jc w:val="right"/>
              <w:rPr>
                <w:rFonts w:ascii="Times New Roman" w:hAnsi="Times New Roman" w:cs="Times New Roman"/>
                <w:bCs/>
                <w:sz w:val="14"/>
                <w:szCs w:val="14"/>
                <w:highlight w:val="yellow"/>
              </w:rPr>
            </w:pPr>
            <w:r w:rsidRPr="00314814">
              <w:rPr>
                <w:rFonts w:ascii="Times New Roman" w:hAnsi="Times New Roman" w:cs="Times New Roman"/>
                <w:bCs/>
                <w:sz w:val="14"/>
                <w:szCs w:val="14"/>
              </w:rPr>
              <w:t>55 022 764</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53 452 774</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68 050 589</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53 394 385</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53 206 974</w:t>
            </w:r>
          </w:p>
        </w:tc>
        <w:tc>
          <w:tcPr>
            <w:tcW w:w="567"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53 077 909</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Voľby</w:t>
            </w:r>
          </w:p>
        </w:tc>
        <w:tc>
          <w:tcPr>
            <w:tcW w:w="568" w:type="pct"/>
            <w:tcBorders>
              <w:top w:val="single" w:sz="4" w:space="0" w:color="auto"/>
              <w:left w:val="nil"/>
              <w:bottom w:val="single" w:sz="4" w:space="0" w:color="auto"/>
              <w:right w:val="single" w:sz="4" w:space="0" w:color="auto"/>
            </w:tcBorders>
            <w:shd w:val="clear" w:color="000000" w:fill="auto"/>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7 304 105</w:t>
            </w:r>
          </w:p>
        </w:tc>
        <w:tc>
          <w:tcPr>
            <w:tcW w:w="568" w:type="pct"/>
            <w:tcBorders>
              <w:top w:val="single" w:sz="4" w:space="0" w:color="auto"/>
              <w:left w:val="nil"/>
              <w:bottom w:val="single" w:sz="4" w:space="0" w:color="auto"/>
              <w:right w:val="single" w:sz="4" w:space="0" w:color="auto"/>
            </w:tcBorders>
            <w:shd w:val="clear" w:color="000000" w:fill="auto"/>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5 028 274</w:t>
            </w:r>
          </w:p>
        </w:tc>
        <w:tc>
          <w:tcPr>
            <w:tcW w:w="568" w:type="pct"/>
            <w:tcBorders>
              <w:top w:val="single" w:sz="4" w:space="0" w:color="auto"/>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8 008 634</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8 008 634</w:t>
            </w:r>
          </w:p>
        </w:tc>
        <w:tc>
          <w:tcPr>
            <w:tcW w:w="568" w:type="pct"/>
            <w:tcBorders>
              <w:top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20 496 976</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9 690 003</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548 380</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Projekty Európskej únie</w:t>
            </w:r>
          </w:p>
        </w:tc>
        <w:tc>
          <w:tcPr>
            <w:tcW w:w="568" w:type="pct"/>
            <w:tcBorders>
              <w:top w:val="single" w:sz="4" w:space="0" w:color="auto"/>
              <w:left w:val="nil"/>
              <w:bottom w:val="single" w:sz="4" w:space="0" w:color="auto"/>
              <w:right w:val="single" w:sz="4" w:space="0" w:color="auto"/>
            </w:tcBorders>
            <w:shd w:val="clear" w:color="000000" w:fill="auto"/>
            <w:noWrap/>
            <w:vAlign w:val="bottom"/>
          </w:tcPr>
          <w:p w:rsidR="003A497B" w:rsidRPr="00314814" w:rsidRDefault="003A497B" w:rsidP="003E1809">
            <w:pPr>
              <w:jc w:val="right"/>
              <w:rPr>
                <w:rFonts w:ascii="Times New Roman" w:hAnsi="Times New Roman" w:cs="Times New Roman"/>
                <w:bCs/>
                <w:sz w:val="14"/>
                <w:szCs w:val="14"/>
                <w:highlight w:val="yellow"/>
              </w:rPr>
            </w:pPr>
            <w:r w:rsidRPr="00314814">
              <w:rPr>
                <w:rFonts w:ascii="Times New Roman" w:hAnsi="Times New Roman" w:cs="Times New Roman"/>
                <w:bCs/>
                <w:sz w:val="14"/>
                <w:szCs w:val="14"/>
              </w:rPr>
              <w:t>600 393</w:t>
            </w:r>
          </w:p>
        </w:tc>
        <w:tc>
          <w:tcPr>
            <w:tcW w:w="568" w:type="pct"/>
            <w:tcBorders>
              <w:top w:val="single" w:sz="4" w:space="0" w:color="auto"/>
              <w:left w:val="nil"/>
              <w:bottom w:val="single" w:sz="4" w:space="0" w:color="auto"/>
              <w:right w:val="single" w:sz="4" w:space="0" w:color="auto"/>
            </w:tcBorders>
            <w:shd w:val="clear" w:color="000000" w:fill="auto"/>
            <w:noWrap/>
            <w:vAlign w:val="bottom"/>
          </w:tcPr>
          <w:p w:rsidR="003A497B" w:rsidRPr="00314814" w:rsidRDefault="003A497B" w:rsidP="003E1809">
            <w:pPr>
              <w:jc w:val="right"/>
              <w:rPr>
                <w:rFonts w:ascii="Times New Roman" w:hAnsi="Times New Roman" w:cs="Times New Roman"/>
                <w:bCs/>
                <w:sz w:val="14"/>
                <w:szCs w:val="14"/>
                <w:highlight w:val="yellow"/>
              </w:rPr>
            </w:pPr>
            <w:r w:rsidRPr="00314814">
              <w:rPr>
                <w:rFonts w:ascii="Times New Roman" w:hAnsi="Times New Roman" w:cs="Times New Roman"/>
                <w:bCs/>
                <w:sz w:val="14"/>
                <w:szCs w:val="14"/>
              </w:rPr>
              <w:t>2 149 957</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4 565 875</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8 085 186</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947 709</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350 000</w:t>
            </w:r>
          </w:p>
        </w:tc>
        <w:tc>
          <w:tcPr>
            <w:tcW w:w="567"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350 000</w:t>
            </w:r>
          </w:p>
        </w:tc>
      </w:tr>
    </w:tbl>
    <w:p w:rsidR="003A497B" w:rsidRPr="00314814" w:rsidRDefault="003A497B" w:rsidP="003A497B">
      <w:pPr>
        <w:jc w:val="both"/>
        <w:rPr>
          <w:rFonts w:ascii="Times New Roman" w:hAnsi="Times New Roman" w:cs="Times New Roman"/>
          <w:sz w:val="22"/>
          <w:szCs w:val="22"/>
        </w:rPr>
      </w:pPr>
    </w:p>
    <w:p w:rsidR="003A497B" w:rsidRPr="00314814" w:rsidRDefault="003A497B" w:rsidP="003A497B">
      <w:pPr>
        <w:jc w:val="both"/>
        <w:rPr>
          <w:rFonts w:ascii="Times New Roman" w:hAnsi="Times New Roman" w:cs="Times New Roman"/>
          <w:b/>
        </w:rPr>
      </w:pPr>
    </w:p>
    <w:p w:rsidR="003A497B" w:rsidRPr="00314814" w:rsidRDefault="003A497B" w:rsidP="003A497B">
      <w:pPr>
        <w:jc w:val="both"/>
        <w:rPr>
          <w:rFonts w:ascii="Times New Roman" w:hAnsi="Times New Roman" w:cs="Times New Roman"/>
          <w:b/>
        </w:rPr>
      </w:pPr>
    </w:p>
    <w:p w:rsidR="003A497B" w:rsidRPr="00314814" w:rsidRDefault="003A497B" w:rsidP="003A497B">
      <w:pPr>
        <w:jc w:val="both"/>
        <w:rPr>
          <w:rFonts w:ascii="Times New Roman" w:hAnsi="Times New Roman" w:cs="Times New Roman"/>
          <w:b/>
        </w:rPr>
      </w:pPr>
    </w:p>
    <w:p w:rsidR="003A497B" w:rsidRPr="00314814" w:rsidRDefault="003A497B" w:rsidP="003A497B">
      <w:pPr>
        <w:jc w:val="both"/>
        <w:rPr>
          <w:rFonts w:ascii="Times New Roman" w:hAnsi="Times New Roman" w:cs="Times New Roman"/>
          <w:b/>
        </w:rPr>
      </w:pPr>
    </w:p>
    <w:p w:rsidR="003A497B" w:rsidRDefault="003A497B" w:rsidP="003A497B">
      <w:pPr>
        <w:jc w:val="both"/>
        <w:rPr>
          <w:rFonts w:ascii="Times New Roman" w:hAnsi="Times New Roman" w:cs="Times New Roman"/>
          <w:b/>
        </w:rPr>
      </w:pPr>
    </w:p>
    <w:p w:rsidR="003A497B" w:rsidRPr="00314814" w:rsidRDefault="003A497B" w:rsidP="003A497B">
      <w:pPr>
        <w:jc w:val="both"/>
        <w:rPr>
          <w:rFonts w:ascii="Times New Roman" w:hAnsi="Times New Roman" w:cs="Times New Roman"/>
          <w:b/>
        </w:rPr>
      </w:pPr>
    </w:p>
    <w:p w:rsidR="003A497B" w:rsidRPr="00314814" w:rsidRDefault="003A497B" w:rsidP="003A497B">
      <w:pPr>
        <w:jc w:val="both"/>
        <w:rPr>
          <w:rFonts w:ascii="Times New Roman" w:hAnsi="Times New Roman" w:cs="Times New Roman"/>
          <w:b/>
        </w:rPr>
      </w:pPr>
    </w:p>
    <w:p w:rsidR="003A497B" w:rsidRPr="00314814" w:rsidRDefault="003A497B" w:rsidP="003A497B">
      <w:pPr>
        <w:jc w:val="both"/>
        <w:rPr>
          <w:rFonts w:ascii="Times New Roman" w:hAnsi="Times New Roman" w:cs="Times New Roman"/>
          <w:b/>
        </w:rPr>
      </w:pPr>
      <w:r w:rsidRPr="00314814">
        <w:rPr>
          <w:rFonts w:ascii="Times New Roman" w:hAnsi="Times New Roman" w:cs="Times New Roman"/>
          <w:b/>
        </w:rPr>
        <w:lastRenderedPageBreak/>
        <w:t>Ochrana verejného poriadku a bezpečnosti</w:t>
      </w:r>
      <w:r w:rsidRPr="00314814">
        <w:rPr>
          <w:rFonts w:ascii="Times New Roman" w:hAnsi="Times New Roman" w:cs="Times New Roman"/>
          <w:b/>
        </w:rPr>
        <w:tab/>
      </w:r>
      <w:r w:rsidRPr="00314814">
        <w:rPr>
          <w:rFonts w:ascii="Times New Roman" w:hAnsi="Times New Roman" w:cs="Times New Roman"/>
          <w:b/>
        </w:rPr>
        <w:tab/>
      </w:r>
      <w:r w:rsidRPr="00314814">
        <w:rPr>
          <w:rFonts w:ascii="Times New Roman" w:hAnsi="Times New Roman" w:cs="Times New Roman"/>
          <w:b/>
        </w:rPr>
        <w:tab/>
      </w:r>
      <w:r w:rsidRPr="00314814">
        <w:rPr>
          <w:rFonts w:ascii="Times New Roman" w:hAnsi="Times New Roman" w:cs="Times New Roman"/>
          <w:b/>
        </w:rPr>
        <w:tab/>
      </w:r>
      <w:r w:rsidRPr="00314814">
        <w:rPr>
          <w:rFonts w:ascii="Times New Roman" w:hAnsi="Times New Roman" w:cs="Times New Roman"/>
          <w:b/>
        </w:rPr>
        <w:tab/>
      </w:r>
      <w:r w:rsidRPr="00314814">
        <w:rPr>
          <w:rFonts w:ascii="Times New Roman" w:hAnsi="Times New Roman" w:cs="Times New Roman"/>
          <w:b/>
        </w:rPr>
        <w:tab/>
        <w:t xml:space="preserve">                                      </w:t>
      </w:r>
    </w:p>
    <w:tbl>
      <w:tblPr>
        <w:tblW w:w="5000" w:type="pct"/>
        <w:tblCellMar>
          <w:left w:w="70" w:type="dxa"/>
          <w:right w:w="70" w:type="dxa"/>
        </w:tblCellMar>
        <w:tblLook w:val="04A0" w:firstRow="1" w:lastRow="0" w:firstColumn="1" w:lastColumn="0" w:noHBand="0" w:noVBand="1"/>
      </w:tblPr>
      <w:tblGrid>
        <w:gridCol w:w="1859"/>
        <w:gridCol w:w="1030"/>
        <w:gridCol w:w="1029"/>
        <w:gridCol w:w="1029"/>
        <w:gridCol w:w="1029"/>
        <w:gridCol w:w="1029"/>
        <w:gridCol w:w="1029"/>
        <w:gridCol w:w="1028"/>
      </w:tblGrid>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rPr>
                <w:rFonts w:ascii="Times New Roman" w:hAnsi="Times New Roman" w:cs="Times New Roman"/>
                <w:b/>
                <w:sz w:val="14"/>
                <w:szCs w:val="14"/>
              </w:rPr>
            </w:pPr>
            <w:r w:rsidRPr="00314814">
              <w:rPr>
                <w:rFonts w:ascii="Times New Roman" w:hAnsi="Times New Roman" w:cs="Times New Roman"/>
                <w:b/>
                <w:sz w:val="14"/>
                <w:szCs w:val="14"/>
              </w:rPr>
              <w:t>v eurách</w:t>
            </w:r>
          </w:p>
        </w:tc>
        <w:tc>
          <w:tcPr>
            <w:tcW w:w="568" w:type="pct"/>
            <w:tcBorders>
              <w:top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2016 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highlight w:val="yellow"/>
              </w:rPr>
            </w:pPr>
            <w:r w:rsidRPr="00314814">
              <w:rPr>
                <w:rFonts w:ascii="Times New Roman" w:hAnsi="Times New Roman" w:cs="Times New Roman"/>
                <w:b/>
                <w:bCs/>
                <w:color w:val="000000"/>
                <w:sz w:val="14"/>
                <w:szCs w:val="14"/>
              </w:rPr>
              <w:t>2017 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R</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OS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2019 N</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2020 N</w:t>
            </w:r>
          </w:p>
        </w:tc>
        <w:tc>
          <w:tcPr>
            <w:tcW w:w="5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2021 N</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3A497B" w:rsidRPr="00314814" w:rsidRDefault="003A497B" w:rsidP="003E1809">
            <w:pPr>
              <w:rPr>
                <w:rFonts w:ascii="Times New Roman" w:hAnsi="Times New Roman" w:cs="Times New Roman"/>
                <w:b/>
                <w:bCs/>
                <w:sz w:val="14"/>
                <w:szCs w:val="14"/>
              </w:rPr>
            </w:pPr>
            <w:r w:rsidRPr="00314814">
              <w:rPr>
                <w:rFonts w:ascii="Times New Roman" w:hAnsi="Times New Roman" w:cs="Times New Roman"/>
                <w:b/>
                <w:bCs/>
                <w:sz w:val="14"/>
                <w:szCs w:val="14"/>
              </w:rPr>
              <w:t>Ochrana verejného poriadku</w:t>
            </w:r>
          </w:p>
        </w:tc>
        <w:tc>
          <w:tcPr>
            <w:tcW w:w="56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jc w:val="right"/>
              <w:rPr>
                <w:rFonts w:ascii="Times New Roman" w:hAnsi="Times New Roman" w:cs="Times New Roman"/>
                <w:b/>
                <w:bCs/>
                <w:sz w:val="14"/>
                <w:szCs w:val="14"/>
                <w:highlight w:val="yellow"/>
              </w:rPr>
            </w:pPr>
            <w:r w:rsidRPr="00314814">
              <w:rPr>
                <w:rFonts w:ascii="Times New Roman" w:hAnsi="Times New Roman" w:cs="Times New Roman"/>
                <w:b/>
                <w:bCs/>
                <w:sz w:val="14"/>
                <w:szCs w:val="14"/>
              </w:rPr>
              <w:t>730 866 432</w:t>
            </w:r>
          </w:p>
        </w:tc>
        <w:tc>
          <w:tcPr>
            <w:tcW w:w="56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jc w:val="right"/>
              <w:rPr>
                <w:rFonts w:ascii="Times New Roman" w:hAnsi="Times New Roman" w:cs="Times New Roman"/>
                <w:b/>
                <w:bCs/>
                <w:sz w:val="14"/>
                <w:szCs w:val="14"/>
                <w:highlight w:val="yellow"/>
              </w:rPr>
            </w:pPr>
            <w:r w:rsidRPr="00314814">
              <w:rPr>
                <w:rFonts w:ascii="Times New Roman" w:hAnsi="Times New Roman" w:cs="Times New Roman"/>
                <w:b/>
                <w:bCs/>
                <w:sz w:val="14"/>
                <w:szCs w:val="14"/>
              </w:rPr>
              <w:t>657 495 931</w:t>
            </w:r>
          </w:p>
        </w:tc>
        <w:tc>
          <w:tcPr>
            <w:tcW w:w="56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714 077 509</w:t>
            </w:r>
          </w:p>
        </w:tc>
        <w:tc>
          <w:tcPr>
            <w:tcW w:w="568" w:type="pct"/>
            <w:tcBorders>
              <w:top w:val="single" w:sz="4" w:space="0" w:color="auto"/>
              <w:left w:val="nil"/>
              <w:bottom w:val="single" w:sz="4" w:space="0" w:color="auto"/>
              <w:right w:val="single" w:sz="4" w:space="0" w:color="auto"/>
            </w:tcBorders>
            <w:shd w:val="clear" w:color="auto" w:fill="BFBFBF" w:themeFill="background1" w:themeFillShade="BF"/>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780 769 374</w:t>
            </w:r>
          </w:p>
        </w:tc>
        <w:tc>
          <w:tcPr>
            <w:tcW w:w="5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744 107 248</w:t>
            </w:r>
          </w:p>
        </w:tc>
        <w:tc>
          <w:tcPr>
            <w:tcW w:w="56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744 107 248</w:t>
            </w:r>
          </w:p>
        </w:tc>
        <w:tc>
          <w:tcPr>
            <w:tcW w:w="567"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744 107 248</w:t>
            </w:r>
          </w:p>
        </w:tc>
      </w:tr>
      <w:tr w:rsidR="003A497B" w:rsidRPr="00314814" w:rsidTr="003E1809">
        <w:trPr>
          <w:trHeight w:val="261"/>
        </w:trPr>
        <w:tc>
          <w:tcPr>
            <w:tcW w:w="1025"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Ochrana verejného poriadku</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 xml:space="preserve"> 688 577 539</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613 304 269</w:t>
            </w:r>
          </w:p>
        </w:tc>
        <w:tc>
          <w:tcPr>
            <w:tcW w:w="568"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670 580 410</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735 367 348</w:t>
            </w:r>
          </w:p>
        </w:tc>
        <w:tc>
          <w:tcPr>
            <w:tcW w:w="568"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698 938 324</w:t>
            </w:r>
          </w:p>
        </w:tc>
        <w:tc>
          <w:tcPr>
            <w:tcW w:w="568"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698 938 324</w:t>
            </w:r>
          </w:p>
        </w:tc>
        <w:tc>
          <w:tcPr>
            <w:tcW w:w="567"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698 938 324</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Bezpečnosť schengenského priestoru</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41 148 686</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41 894 811</w:t>
            </w:r>
          </w:p>
        </w:tc>
        <w:tc>
          <w:tcPr>
            <w:tcW w:w="568"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39 038 450</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40 766 671</w:t>
            </w:r>
          </w:p>
        </w:tc>
        <w:tc>
          <w:tcPr>
            <w:tcW w:w="568"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40 563 953</w:t>
            </w:r>
          </w:p>
        </w:tc>
        <w:tc>
          <w:tcPr>
            <w:tcW w:w="568"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40 563 953</w:t>
            </w:r>
          </w:p>
        </w:tc>
        <w:tc>
          <w:tcPr>
            <w:tcW w:w="567"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40 563 953</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Prevencia kriminality</w:t>
            </w:r>
          </w:p>
        </w:tc>
        <w:tc>
          <w:tcPr>
            <w:tcW w:w="568" w:type="pct"/>
            <w:tcBorders>
              <w:top w:val="single" w:sz="4" w:space="0" w:color="auto"/>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878 753</w:t>
            </w:r>
          </w:p>
        </w:tc>
        <w:tc>
          <w:tcPr>
            <w:tcW w:w="568" w:type="pct"/>
            <w:tcBorders>
              <w:top w:val="single" w:sz="4" w:space="0" w:color="auto"/>
              <w:left w:val="nil"/>
              <w:bottom w:val="single" w:sz="4" w:space="0" w:color="auto"/>
              <w:right w:val="single" w:sz="4" w:space="0" w:color="auto"/>
            </w:tcBorders>
            <w:shd w:val="clear" w:color="000000" w:fill="FFFFFF"/>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1 968 418</w:t>
            </w:r>
          </w:p>
        </w:tc>
        <w:tc>
          <w:tcPr>
            <w:tcW w:w="568" w:type="pct"/>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4 051 649</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4 173 355</w:t>
            </w:r>
          </w:p>
        </w:tc>
        <w:tc>
          <w:tcPr>
            <w:tcW w:w="568"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4 211 971</w:t>
            </w:r>
          </w:p>
        </w:tc>
        <w:tc>
          <w:tcPr>
            <w:tcW w:w="568" w:type="pct"/>
            <w:tcBorders>
              <w:top w:val="single" w:sz="4" w:space="0" w:color="auto"/>
              <w:left w:val="nil"/>
              <w:bottom w:val="single" w:sz="4" w:space="0" w:color="auto"/>
              <w:right w:val="single" w:sz="4" w:space="0" w:color="auto"/>
            </w:tcBorders>
            <w:shd w:val="clear" w:color="000000" w:fill="FFFFFF"/>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4 211 971</w:t>
            </w:r>
          </w:p>
        </w:tc>
        <w:tc>
          <w:tcPr>
            <w:tcW w:w="567" w:type="pct"/>
            <w:tcBorders>
              <w:top w:val="single" w:sz="4" w:space="0" w:color="auto"/>
              <w:left w:val="nil"/>
              <w:bottom w:val="single" w:sz="4" w:space="0" w:color="auto"/>
              <w:right w:val="single" w:sz="4" w:space="0" w:color="auto"/>
            </w:tcBorders>
            <w:shd w:val="clear" w:color="000000" w:fill="FFFFFF"/>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4 211 971</w:t>
            </w:r>
          </w:p>
        </w:tc>
      </w:tr>
      <w:tr w:rsidR="003A497B" w:rsidRPr="00314814" w:rsidTr="003E1809">
        <w:trPr>
          <w:trHeight w:val="261"/>
        </w:trPr>
        <w:tc>
          <w:tcPr>
            <w:tcW w:w="1025"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Boj proti obchodovaniu s ľuďmi</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261 455</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328 434</w:t>
            </w:r>
          </w:p>
        </w:tc>
        <w:tc>
          <w:tcPr>
            <w:tcW w:w="568"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407 000</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462 000</w:t>
            </w:r>
          </w:p>
        </w:tc>
        <w:tc>
          <w:tcPr>
            <w:tcW w:w="568"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393 000</w:t>
            </w:r>
          </w:p>
        </w:tc>
        <w:tc>
          <w:tcPr>
            <w:tcW w:w="568"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393 000</w:t>
            </w:r>
          </w:p>
        </w:tc>
        <w:tc>
          <w:tcPr>
            <w:tcW w:w="567"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393 000</w:t>
            </w:r>
          </w:p>
        </w:tc>
      </w:tr>
    </w:tbl>
    <w:p w:rsidR="003A497B" w:rsidRPr="00314814" w:rsidRDefault="003A497B" w:rsidP="003A497B">
      <w:pPr>
        <w:ind w:firstLine="708"/>
        <w:jc w:val="both"/>
        <w:rPr>
          <w:rFonts w:ascii="Times New Roman" w:hAnsi="Times New Roman" w:cs="Times New Roman"/>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Podprogram zahŕňa bežné a kapitálové výdavky na zabezpečenie činnosti kriminálnej polície, finančnej polície, poriadkovej polície, dopravnej polície, mýtnej polície, inšpekčnej služby Policajného zboru, kriminalistického a expertízneho ústavu Policajného zboru, železničnej polície, úradu pre ochranu ústavných činiteľov a diplomatických misií Ministerstva vnútra SR.</w:t>
      </w:r>
    </w:p>
    <w:p w:rsidR="003A497B" w:rsidRPr="00314814" w:rsidRDefault="003A497B" w:rsidP="003A497B">
      <w:pPr>
        <w:jc w:val="both"/>
        <w:rPr>
          <w:rFonts w:ascii="Times New Roman" w:hAnsi="Times New Roman" w:cs="Times New Roman"/>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Nárast výdavkov v porovnaní s rokom 2018 je spôsobený zvýšením osobných výdavkov z dôvodu valorizácie platov.</w:t>
      </w:r>
    </w:p>
    <w:p w:rsidR="003A497B" w:rsidRPr="00314814" w:rsidRDefault="003A497B" w:rsidP="003A497B">
      <w:pPr>
        <w:jc w:val="both"/>
        <w:rPr>
          <w:rFonts w:ascii="Times New Roman" w:hAnsi="Times New Roman" w:cs="Times New Roman"/>
        </w:rPr>
      </w:pPr>
    </w:p>
    <w:p w:rsidR="003A497B" w:rsidRPr="00314814" w:rsidRDefault="003A497B" w:rsidP="003A497B">
      <w:pPr>
        <w:jc w:val="both"/>
        <w:rPr>
          <w:rFonts w:ascii="Times New Roman" w:hAnsi="Times New Roman" w:cs="Times New Roman"/>
          <w:b/>
        </w:rPr>
      </w:pPr>
      <w:r w:rsidRPr="00314814">
        <w:rPr>
          <w:rFonts w:ascii="Times New Roman" w:hAnsi="Times New Roman" w:cs="Times New Roman"/>
          <w:b/>
        </w:rPr>
        <w:t>Záchrana života a zdravia – záchranné zložky</w:t>
      </w:r>
      <w:r w:rsidRPr="00314814">
        <w:rPr>
          <w:rFonts w:ascii="Times New Roman" w:hAnsi="Times New Roman" w:cs="Times New Roman"/>
          <w:b/>
        </w:rPr>
        <w:tab/>
      </w:r>
      <w:r w:rsidRPr="00314814">
        <w:rPr>
          <w:rFonts w:ascii="Times New Roman" w:hAnsi="Times New Roman" w:cs="Times New Roman"/>
          <w:b/>
        </w:rPr>
        <w:tab/>
      </w:r>
      <w:r w:rsidRPr="00314814">
        <w:rPr>
          <w:rFonts w:ascii="Times New Roman" w:hAnsi="Times New Roman" w:cs="Times New Roman"/>
          <w:b/>
        </w:rPr>
        <w:tab/>
      </w:r>
      <w:r w:rsidRPr="00314814">
        <w:rPr>
          <w:rFonts w:ascii="Times New Roman" w:hAnsi="Times New Roman" w:cs="Times New Roman"/>
          <w:b/>
        </w:rPr>
        <w:tab/>
      </w:r>
      <w:r w:rsidRPr="00314814">
        <w:rPr>
          <w:rFonts w:ascii="Times New Roman" w:hAnsi="Times New Roman" w:cs="Times New Roman"/>
          <w:b/>
        </w:rPr>
        <w:tab/>
      </w:r>
      <w:r w:rsidRPr="00314814">
        <w:rPr>
          <w:rFonts w:ascii="Times New Roman" w:hAnsi="Times New Roman" w:cs="Times New Roman"/>
          <w:b/>
        </w:rPr>
        <w:tab/>
        <w:t xml:space="preserve">                                      </w:t>
      </w:r>
    </w:p>
    <w:tbl>
      <w:tblPr>
        <w:tblW w:w="5000" w:type="pct"/>
        <w:tblCellMar>
          <w:left w:w="70" w:type="dxa"/>
          <w:right w:w="70" w:type="dxa"/>
        </w:tblCellMar>
        <w:tblLook w:val="04A0" w:firstRow="1" w:lastRow="0" w:firstColumn="1" w:lastColumn="0" w:noHBand="0" w:noVBand="1"/>
      </w:tblPr>
      <w:tblGrid>
        <w:gridCol w:w="1859"/>
        <w:gridCol w:w="1030"/>
        <w:gridCol w:w="1029"/>
        <w:gridCol w:w="1029"/>
        <w:gridCol w:w="1029"/>
        <w:gridCol w:w="1029"/>
        <w:gridCol w:w="1029"/>
        <w:gridCol w:w="1028"/>
      </w:tblGrid>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rPr>
                <w:rFonts w:ascii="Times New Roman" w:hAnsi="Times New Roman" w:cs="Times New Roman"/>
                <w:b/>
                <w:sz w:val="14"/>
                <w:szCs w:val="14"/>
              </w:rPr>
            </w:pPr>
            <w:r w:rsidRPr="00314814">
              <w:rPr>
                <w:rFonts w:ascii="Times New Roman" w:hAnsi="Times New Roman" w:cs="Times New Roman"/>
                <w:b/>
                <w:sz w:val="14"/>
                <w:szCs w:val="14"/>
              </w:rPr>
              <w:t>v eurách</w:t>
            </w:r>
          </w:p>
        </w:tc>
        <w:tc>
          <w:tcPr>
            <w:tcW w:w="568" w:type="pct"/>
            <w:tcBorders>
              <w:top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2016 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highlight w:val="yellow"/>
              </w:rPr>
            </w:pPr>
            <w:r w:rsidRPr="00314814">
              <w:rPr>
                <w:rFonts w:ascii="Times New Roman" w:hAnsi="Times New Roman" w:cs="Times New Roman"/>
                <w:b/>
                <w:bCs/>
                <w:color w:val="000000"/>
                <w:sz w:val="14"/>
                <w:szCs w:val="14"/>
              </w:rPr>
              <w:t>2017 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R</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OS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2019 N</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2020 N</w:t>
            </w:r>
          </w:p>
        </w:tc>
        <w:tc>
          <w:tcPr>
            <w:tcW w:w="5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2021 N</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1E3C58" w:rsidRDefault="003A497B" w:rsidP="003E1809">
            <w:pPr>
              <w:rPr>
                <w:rFonts w:ascii="Times New Roman" w:hAnsi="Times New Roman" w:cs="Times New Roman"/>
                <w:b/>
                <w:bCs/>
                <w:sz w:val="14"/>
                <w:szCs w:val="14"/>
              </w:rPr>
            </w:pPr>
            <w:r w:rsidRPr="001E3C58">
              <w:rPr>
                <w:rFonts w:ascii="Times New Roman" w:hAnsi="Times New Roman" w:cs="Times New Roman"/>
                <w:b/>
                <w:bCs/>
                <w:sz w:val="14"/>
                <w:szCs w:val="14"/>
              </w:rPr>
              <w:t>Záchrana života a zdravia</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1E3C58" w:rsidRDefault="003A497B" w:rsidP="003E1809">
            <w:pPr>
              <w:jc w:val="right"/>
              <w:rPr>
                <w:rFonts w:ascii="Times New Roman" w:hAnsi="Times New Roman" w:cs="Times New Roman"/>
                <w:b/>
                <w:bCs/>
                <w:sz w:val="14"/>
                <w:szCs w:val="14"/>
              </w:rPr>
            </w:pPr>
            <w:r w:rsidRPr="001E3C58">
              <w:rPr>
                <w:rFonts w:ascii="Times New Roman" w:hAnsi="Times New Roman" w:cs="Times New Roman"/>
                <w:b/>
                <w:bCs/>
                <w:sz w:val="14"/>
                <w:szCs w:val="14"/>
              </w:rPr>
              <w:t>133 340 741</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1E3C58" w:rsidRDefault="003A497B" w:rsidP="003E1809">
            <w:pPr>
              <w:jc w:val="right"/>
              <w:rPr>
                <w:rFonts w:ascii="Times New Roman" w:hAnsi="Times New Roman" w:cs="Times New Roman"/>
                <w:b/>
                <w:bCs/>
                <w:sz w:val="14"/>
                <w:szCs w:val="14"/>
              </w:rPr>
            </w:pPr>
            <w:r w:rsidRPr="001E3C58">
              <w:rPr>
                <w:rFonts w:ascii="Times New Roman" w:hAnsi="Times New Roman" w:cs="Times New Roman"/>
                <w:b/>
                <w:bCs/>
                <w:sz w:val="14"/>
                <w:szCs w:val="14"/>
              </w:rPr>
              <w:t>126 629 800</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1E3C58" w:rsidRDefault="003A497B" w:rsidP="003E1809">
            <w:pPr>
              <w:jc w:val="right"/>
              <w:rPr>
                <w:rFonts w:ascii="Times New Roman" w:hAnsi="Times New Roman" w:cs="Times New Roman"/>
                <w:b/>
                <w:sz w:val="14"/>
                <w:szCs w:val="14"/>
              </w:rPr>
            </w:pPr>
            <w:r w:rsidRPr="001E3C58">
              <w:rPr>
                <w:rFonts w:ascii="Times New Roman" w:hAnsi="Times New Roman" w:cs="Times New Roman"/>
                <w:b/>
                <w:sz w:val="14"/>
                <w:szCs w:val="14"/>
              </w:rPr>
              <w:t>108 655 607</w:t>
            </w:r>
          </w:p>
        </w:tc>
        <w:tc>
          <w:tcPr>
            <w:tcW w:w="568" w:type="pct"/>
            <w:tcBorders>
              <w:top w:val="single" w:sz="4" w:space="0" w:color="auto"/>
              <w:left w:val="nil"/>
              <w:bottom w:val="single" w:sz="4" w:space="0" w:color="auto"/>
              <w:right w:val="single" w:sz="4" w:space="0" w:color="auto"/>
            </w:tcBorders>
            <w:shd w:val="clear" w:color="auto" w:fill="auto"/>
            <w:vAlign w:val="bottom"/>
          </w:tcPr>
          <w:p w:rsidR="003A497B" w:rsidRPr="001E3C58" w:rsidRDefault="003A497B" w:rsidP="003E1809">
            <w:pPr>
              <w:autoSpaceDE w:val="0"/>
              <w:autoSpaceDN w:val="0"/>
              <w:adjustRightInd w:val="0"/>
              <w:jc w:val="right"/>
              <w:rPr>
                <w:rFonts w:ascii="Times New Roman" w:hAnsi="Times New Roman" w:cs="Times New Roman"/>
                <w:b/>
                <w:sz w:val="14"/>
                <w:szCs w:val="14"/>
              </w:rPr>
            </w:pPr>
            <w:r w:rsidRPr="001E3C58">
              <w:rPr>
                <w:rFonts w:ascii="Times New Roman" w:hAnsi="Times New Roman" w:cs="Times New Roman"/>
                <w:b/>
                <w:sz w:val="14"/>
                <w:szCs w:val="14"/>
              </w:rPr>
              <w:t>168 447 486</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1E3C58" w:rsidRDefault="003A497B" w:rsidP="003E1809">
            <w:pPr>
              <w:autoSpaceDE w:val="0"/>
              <w:autoSpaceDN w:val="0"/>
              <w:adjustRightInd w:val="0"/>
              <w:jc w:val="right"/>
              <w:rPr>
                <w:rFonts w:ascii="Times New Roman" w:hAnsi="Times New Roman" w:cs="Times New Roman"/>
                <w:b/>
                <w:sz w:val="14"/>
                <w:szCs w:val="14"/>
              </w:rPr>
            </w:pPr>
            <w:r w:rsidRPr="001E3C58">
              <w:rPr>
                <w:rFonts w:ascii="Times New Roman" w:hAnsi="Times New Roman" w:cs="Times New Roman"/>
                <w:b/>
                <w:sz w:val="14"/>
                <w:szCs w:val="14"/>
              </w:rPr>
              <w:t>113 887 231</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1E3C58" w:rsidRDefault="003A497B" w:rsidP="003E1809">
            <w:pPr>
              <w:autoSpaceDE w:val="0"/>
              <w:autoSpaceDN w:val="0"/>
              <w:adjustRightInd w:val="0"/>
              <w:jc w:val="right"/>
              <w:rPr>
                <w:rFonts w:ascii="Times New Roman" w:hAnsi="Times New Roman" w:cs="Times New Roman"/>
                <w:b/>
                <w:sz w:val="14"/>
                <w:szCs w:val="14"/>
              </w:rPr>
            </w:pPr>
            <w:r w:rsidRPr="001E3C58">
              <w:rPr>
                <w:rFonts w:ascii="Times New Roman" w:hAnsi="Times New Roman" w:cs="Times New Roman"/>
                <w:b/>
                <w:sz w:val="14"/>
                <w:szCs w:val="14"/>
              </w:rPr>
              <w:t>113 887 231</w:t>
            </w:r>
          </w:p>
        </w:tc>
        <w:tc>
          <w:tcPr>
            <w:tcW w:w="567" w:type="pct"/>
            <w:tcBorders>
              <w:top w:val="single" w:sz="4" w:space="0" w:color="auto"/>
              <w:left w:val="nil"/>
              <w:bottom w:val="single" w:sz="4" w:space="0" w:color="auto"/>
              <w:right w:val="single" w:sz="4" w:space="0" w:color="auto"/>
            </w:tcBorders>
            <w:shd w:val="clear" w:color="auto" w:fill="auto"/>
            <w:noWrap/>
            <w:vAlign w:val="bottom"/>
          </w:tcPr>
          <w:p w:rsidR="003A497B" w:rsidRPr="001E3C58" w:rsidRDefault="003A497B" w:rsidP="003E1809">
            <w:pPr>
              <w:autoSpaceDE w:val="0"/>
              <w:autoSpaceDN w:val="0"/>
              <w:adjustRightInd w:val="0"/>
              <w:jc w:val="right"/>
              <w:rPr>
                <w:rFonts w:ascii="Times New Roman" w:hAnsi="Times New Roman" w:cs="Times New Roman"/>
                <w:b/>
                <w:sz w:val="14"/>
                <w:szCs w:val="14"/>
              </w:rPr>
            </w:pPr>
            <w:r w:rsidRPr="001E3C58">
              <w:rPr>
                <w:rFonts w:ascii="Times New Roman" w:hAnsi="Times New Roman" w:cs="Times New Roman"/>
                <w:b/>
                <w:sz w:val="14"/>
                <w:szCs w:val="14"/>
              </w:rPr>
              <w:t>113 887 231</w:t>
            </w:r>
          </w:p>
        </w:tc>
      </w:tr>
    </w:tbl>
    <w:p w:rsidR="003A497B" w:rsidRPr="00314814" w:rsidRDefault="003A497B" w:rsidP="003A497B">
      <w:pPr>
        <w:jc w:val="both"/>
        <w:rPr>
          <w:rFonts w:ascii="Times New Roman" w:hAnsi="Times New Roman" w:cs="Times New Roman"/>
          <w:sz w:val="16"/>
          <w:szCs w:val="16"/>
          <w:highlight w:val="yellow"/>
        </w:rPr>
      </w:pPr>
    </w:p>
    <w:p w:rsidR="003A497B" w:rsidRPr="00314814" w:rsidRDefault="003A497B" w:rsidP="003A497B">
      <w:pPr>
        <w:ind w:firstLine="708"/>
        <w:jc w:val="both"/>
        <w:rPr>
          <w:rFonts w:ascii="Times New Roman" w:hAnsi="Times New Roman" w:cs="Times New Roman"/>
        </w:rPr>
      </w:pPr>
      <w:r w:rsidRPr="001E3C58">
        <w:rPr>
          <w:rFonts w:ascii="Times New Roman" w:hAnsi="Times New Roman" w:cs="Times New Roman"/>
        </w:rPr>
        <w:t>Výdavky sú určené na opakujúce sa činnosti, služby a dodávky zamerané a určené na</w:t>
      </w:r>
      <w:r w:rsidRPr="00314814">
        <w:rPr>
          <w:rFonts w:ascii="Times New Roman" w:hAnsi="Times New Roman" w:cs="Times New Roman"/>
        </w:rPr>
        <w:t xml:space="preserve"> vytváranie riadiacich, organizačných, personálnych a materiálno-technických podmienok pre účinnú ochranu života, zdravia a majetku pred požiarmi, účinkami živelných pohrôm v horských podmienkach v zmysle platnej legislatívy. </w:t>
      </w:r>
    </w:p>
    <w:p w:rsidR="003A497B" w:rsidRPr="00314814" w:rsidRDefault="003A497B" w:rsidP="003A497B">
      <w:pPr>
        <w:ind w:firstLine="708"/>
        <w:jc w:val="both"/>
        <w:rPr>
          <w:rFonts w:ascii="Times New Roman" w:hAnsi="Times New Roman" w:cs="Times New Roman"/>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 xml:space="preserve">Dôvodom nárastu výdavkov v roku 2019 je zvýšenie osobných výdavkov v porovnaní s rokom 2018 o sumu 3,95 mil. eur a zvýšenie na kategórii tovary a služby o sumu </w:t>
      </w:r>
      <w:r>
        <w:rPr>
          <w:rFonts w:ascii="Times New Roman" w:hAnsi="Times New Roman" w:cs="Times New Roman"/>
        </w:rPr>
        <w:br/>
      </w:r>
      <w:r w:rsidRPr="00314814">
        <w:rPr>
          <w:rFonts w:ascii="Times New Roman" w:hAnsi="Times New Roman" w:cs="Times New Roman"/>
        </w:rPr>
        <w:t>0,81 mil. eur.</w:t>
      </w:r>
    </w:p>
    <w:p w:rsidR="003A497B" w:rsidRPr="00314814" w:rsidRDefault="003A497B" w:rsidP="003A497B">
      <w:pPr>
        <w:ind w:firstLine="708"/>
        <w:jc w:val="both"/>
        <w:rPr>
          <w:rFonts w:ascii="Times New Roman" w:hAnsi="Times New Roman" w:cs="Times New Roman"/>
          <w:sz w:val="22"/>
          <w:szCs w:val="22"/>
          <w:highlight w:val="yellow"/>
        </w:rPr>
      </w:pPr>
    </w:p>
    <w:p w:rsidR="003A497B" w:rsidRPr="00314814" w:rsidRDefault="003A497B" w:rsidP="003A497B">
      <w:pPr>
        <w:jc w:val="both"/>
        <w:rPr>
          <w:rFonts w:ascii="Times New Roman" w:hAnsi="Times New Roman" w:cs="Times New Roman"/>
          <w:b/>
        </w:rPr>
      </w:pPr>
      <w:r w:rsidRPr="00314814">
        <w:rPr>
          <w:rFonts w:ascii="Times New Roman" w:hAnsi="Times New Roman" w:cs="Times New Roman"/>
          <w:b/>
        </w:rPr>
        <w:t>Okresné úrady</w:t>
      </w:r>
      <w:r w:rsidRPr="00314814">
        <w:rPr>
          <w:rFonts w:ascii="Times New Roman" w:hAnsi="Times New Roman" w:cs="Times New Roman"/>
          <w:b/>
        </w:rPr>
        <w:tab/>
      </w:r>
      <w:r w:rsidRPr="00314814">
        <w:rPr>
          <w:rFonts w:ascii="Times New Roman" w:hAnsi="Times New Roman" w:cs="Times New Roman"/>
          <w:b/>
        </w:rPr>
        <w:tab/>
      </w:r>
      <w:r w:rsidRPr="00314814">
        <w:rPr>
          <w:rFonts w:ascii="Times New Roman" w:hAnsi="Times New Roman" w:cs="Times New Roman"/>
          <w:b/>
        </w:rPr>
        <w:tab/>
      </w:r>
      <w:r w:rsidRPr="00314814">
        <w:rPr>
          <w:rFonts w:ascii="Times New Roman" w:hAnsi="Times New Roman" w:cs="Times New Roman"/>
          <w:b/>
        </w:rPr>
        <w:tab/>
      </w:r>
      <w:r w:rsidRPr="00314814">
        <w:rPr>
          <w:rFonts w:ascii="Times New Roman" w:hAnsi="Times New Roman" w:cs="Times New Roman"/>
          <w:b/>
        </w:rPr>
        <w:tab/>
      </w:r>
      <w:r w:rsidRPr="00314814">
        <w:rPr>
          <w:rFonts w:ascii="Times New Roman" w:hAnsi="Times New Roman" w:cs="Times New Roman"/>
          <w:b/>
        </w:rPr>
        <w:tab/>
      </w:r>
      <w:r w:rsidRPr="00314814">
        <w:rPr>
          <w:rFonts w:ascii="Times New Roman" w:hAnsi="Times New Roman" w:cs="Times New Roman"/>
          <w:b/>
        </w:rPr>
        <w:tab/>
        <w:t xml:space="preserve">                                      </w:t>
      </w:r>
    </w:p>
    <w:tbl>
      <w:tblPr>
        <w:tblW w:w="5000" w:type="pct"/>
        <w:tblCellMar>
          <w:left w:w="70" w:type="dxa"/>
          <w:right w:w="70" w:type="dxa"/>
        </w:tblCellMar>
        <w:tblLook w:val="04A0" w:firstRow="1" w:lastRow="0" w:firstColumn="1" w:lastColumn="0" w:noHBand="0" w:noVBand="1"/>
      </w:tblPr>
      <w:tblGrid>
        <w:gridCol w:w="1859"/>
        <w:gridCol w:w="1030"/>
        <w:gridCol w:w="1029"/>
        <w:gridCol w:w="1029"/>
        <w:gridCol w:w="1029"/>
        <w:gridCol w:w="1029"/>
        <w:gridCol w:w="1029"/>
        <w:gridCol w:w="1028"/>
      </w:tblGrid>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rPr>
                <w:rFonts w:ascii="Times New Roman" w:hAnsi="Times New Roman" w:cs="Times New Roman"/>
                <w:b/>
                <w:sz w:val="14"/>
                <w:szCs w:val="14"/>
              </w:rPr>
            </w:pPr>
            <w:r w:rsidRPr="00314814">
              <w:rPr>
                <w:rFonts w:ascii="Times New Roman" w:hAnsi="Times New Roman" w:cs="Times New Roman"/>
                <w:b/>
                <w:sz w:val="14"/>
                <w:szCs w:val="14"/>
              </w:rPr>
              <w:t>v eurách</w:t>
            </w:r>
          </w:p>
        </w:tc>
        <w:tc>
          <w:tcPr>
            <w:tcW w:w="568" w:type="pct"/>
            <w:tcBorders>
              <w:top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2016 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highlight w:val="yellow"/>
              </w:rPr>
            </w:pPr>
            <w:r w:rsidRPr="00314814">
              <w:rPr>
                <w:rFonts w:ascii="Times New Roman" w:hAnsi="Times New Roman" w:cs="Times New Roman"/>
                <w:b/>
                <w:bCs/>
                <w:color w:val="000000"/>
                <w:sz w:val="14"/>
                <w:szCs w:val="14"/>
              </w:rPr>
              <w:t>2017 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R</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OS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2019 N</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2020 N</w:t>
            </w:r>
          </w:p>
        </w:tc>
        <w:tc>
          <w:tcPr>
            <w:tcW w:w="5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2021 N</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3A497B" w:rsidRPr="00314814" w:rsidRDefault="003A497B" w:rsidP="003E1809">
            <w:pPr>
              <w:rPr>
                <w:rFonts w:ascii="Times New Roman" w:hAnsi="Times New Roman" w:cs="Times New Roman"/>
                <w:b/>
                <w:bCs/>
                <w:sz w:val="14"/>
                <w:szCs w:val="14"/>
              </w:rPr>
            </w:pPr>
            <w:r w:rsidRPr="00314814">
              <w:rPr>
                <w:rFonts w:ascii="Times New Roman" w:hAnsi="Times New Roman" w:cs="Times New Roman"/>
                <w:b/>
                <w:bCs/>
                <w:sz w:val="14"/>
                <w:szCs w:val="14"/>
              </w:rPr>
              <w:t>Okresné úrady</w:t>
            </w:r>
          </w:p>
        </w:tc>
        <w:tc>
          <w:tcPr>
            <w:tcW w:w="56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jc w:val="right"/>
              <w:rPr>
                <w:rFonts w:ascii="Times New Roman" w:hAnsi="Times New Roman" w:cs="Times New Roman"/>
                <w:b/>
                <w:bCs/>
                <w:sz w:val="14"/>
                <w:szCs w:val="14"/>
                <w:highlight w:val="yellow"/>
              </w:rPr>
            </w:pPr>
            <w:r w:rsidRPr="00314814">
              <w:rPr>
                <w:rFonts w:ascii="Times New Roman" w:hAnsi="Times New Roman" w:cs="Times New Roman"/>
                <w:b/>
                <w:bCs/>
                <w:sz w:val="14"/>
                <w:szCs w:val="14"/>
              </w:rPr>
              <w:t>116 364 171</w:t>
            </w:r>
          </w:p>
        </w:tc>
        <w:tc>
          <w:tcPr>
            <w:tcW w:w="56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jc w:val="right"/>
              <w:rPr>
                <w:rFonts w:ascii="Times New Roman" w:hAnsi="Times New Roman" w:cs="Times New Roman"/>
                <w:b/>
                <w:bCs/>
                <w:sz w:val="14"/>
                <w:szCs w:val="14"/>
                <w:highlight w:val="yellow"/>
              </w:rPr>
            </w:pPr>
            <w:r w:rsidRPr="00314814">
              <w:rPr>
                <w:rFonts w:ascii="Times New Roman" w:hAnsi="Times New Roman" w:cs="Times New Roman"/>
                <w:b/>
                <w:bCs/>
                <w:sz w:val="14"/>
                <w:szCs w:val="14"/>
              </w:rPr>
              <w:t>122 515 872</w:t>
            </w:r>
          </w:p>
        </w:tc>
        <w:tc>
          <w:tcPr>
            <w:tcW w:w="56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103 039 507</w:t>
            </w:r>
          </w:p>
        </w:tc>
        <w:tc>
          <w:tcPr>
            <w:tcW w:w="568" w:type="pct"/>
            <w:tcBorders>
              <w:top w:val="single" w:sz="4" w:space="0" w:color="auto"/>
              <w:left w:val="nil"/>
              <w:bottom w:val="single" w:sz="4" w:space="0" w:color="auto"/>
              <w:right w:val="single" w:sz="4" w:space="0" w:color="auto"/>
            </w:tcBorders>
            <w:shd w:val="clear" w:color="auto" w:fill="BFBFBF" w:themeFill="background1" w:themeFillShade="BF"/>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116 348 065</w:t>
            </w:r>
          </w:p>
        </w:tc>
        <w:tc>
          <w:tcPr>
            <w:tcW w:w="5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107 482 391</w:t>
            </w:r>
          </w:p>
        </w:tc>
        <w:tc>
          <w:tcPr>
            <w:tcW w:w="56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107 601 892</w:t>
            </w:r>
          </w:p>
        </w:tc>
        <w:tc>
          <w:tcPr>
            <w:tcW w:w="567"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107 743 931</w:t>
            </w:r>
          </w:p>
        </w:tc>
      </w:tr>
      <w:tr w:rsidR="003A497B" w:rsidRPr="00314814" w:rsidTr="003E1809">
        <w:trPr>
          <w:trHeight w:val="261"/>
        </w:trPr>
        <w:tc>
          <w:tcPr>
            <w:tcW w:w="1025"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Všeobecná vnútorná správa a živnostenské podnikanie</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50 591 687</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55 024 404</w:t>
            </w:r>
          </w:p>
        </w:tc>
        <w:tc>
          <w:tcPr>
            <w:tcW w:w="568"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44 370 928</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57 091 194</w:t>
            </w:r>
          </w:p>
        </w:tc>
        <w:tc>
          <w:tcPr>
            <w:tcW w:w="568"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46 174 771</w:t>
            </w:r>
          </w:p>
        </w:tc>
        <w:tc>
          <w:tcPr>
            <w:tcW w:w="568"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46 293 518</w:t>
            </w:r>
          </w:p>
        </w:tc>
        <w:tc>
          <w:tcPr>
            <w:tcW w:w="567"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46 434 715</w:t>
            </w:r>
          </w:p>
        </w:tc>
      </w:tr>
      <w:tr w:rsidR="003A497B" w:rsidRPr="00314814" w:rsidTr="003E1809">
        <w:trPr>
          <w:trHeight w:val="261"/>
        </w:trPr>
        <w:tc>
          <w:tcPr>
            <w:tcW w:w="1025"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Zabezpečenie miestnej štátnej správy v regionálnom školstve</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6 917 523</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7 738 884</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7 199 088</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7 318 859</w:t>
            </w:r>
          </w:p>
        </w:tc>
        <w:tc>
          <w:tcPr>
            <w:tcW w:w="568"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7 455 058</w:t>
            </w:r>
          </w:p>
        </w:tc>
        <w:tc>
          <w:tcPr>
            <w:tcW w:w="568"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7 455 058</w:t>
            </w:r>
          </w:p>
        </w:tc>
        <w:tc>
          <w:tcPr>
            <w:tcW w:w="567"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7 455 058</w:t>
            </w:r>
          </w:p>
        </w:tc>
      </w:tr>
      <w:tr w:rsidR="003A497B" w:rsidRPr="00314814" w:rsidTr="003E1809">
        <w:trPr>
          <w:trHeight w:val="261"/>
        </w:trPr>
        <w:tc>
          <w:tcPr>
            <w:tcW w:w="1025"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Výstavba a bytová politika</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2 647 294</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2 692 294</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2 412 387</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3 251 307</w:t>
            </w:r>
          </w:p>
        </w:tc>
        <w:tc>
          <w:tcPr>
            <w:tcW w:w="568"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2 531 385</w:t>
            </w:r>
          </w:p>
        </w:tc>
        <w:tc>
          <w:tcPr>
            <w:tcW w:w="568"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2 531 385</w:t>
            </w:r>
          </w:p>
        </w:tc>
        <w:tc>
          <w:tcPr>
            <w:tcW w:w="567"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2 531 385</w:t>
            </w:r>
          </w:p>
        </w:tc>
      </w:tr>
      <w:tr w:rsidR="003A497B" w:rsidRPr="00314814" w:rsidTr="003E1809">
        <w:trPr>
          <w:trHeight w:val="261"/>
        </w:trPr>
        <w:tc>
          <w:tcPr>
            <w:tcW w:w="1025"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Územná vojenská správa</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708 568</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730 563</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670 700</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669 084</w:t>
            </w:r>
          </w:p>
        </w:tc>
        <w:tc>
          <w:tcPr>
            <w:tcW w:w="568"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716 507</w:t>
            </w:r>
          </w:p>
        </w:tc>
        <w:tc>
          <w:tcPr>
            <w:tcW w:w="568"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716 507</w:t>
            </w:r>
          </w:p>
        </w:tc>
        <w:tc>
          <w:tcPr>
            <w:tcW w:w="567"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716 507</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Kataster</w:t>
            </w:r>
          </w:p>
        </w:tc>
        <w:tc>
          <w:tcPr>
            <w:tcW w:w="568" w:type="pct"/>
            <w:tcBorders>
              <w:top w:val="single" w:sz="4" w:space="0" w:color="auto"/>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25 827 278</w:t>
            </w:r>
          </w:p>
        </w:tc>
        <w:tc>
          <w:tcPr>
            <w:tcW w:w="568" w:type="pct"/>
            <w:tcBorders>
              <w:top w:val="single" w:sz="4" w:space="0" w:color="auto"/>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26 789 273</w:t>
            </w:r>
          </w:p>
        </w:tc>
        <w:tc>
          <w:tcPr>
            <w:tcW w:w="568" w:type="pct"/>
            <w:tcBorders>
              <w:top w:val="single" w:sz="4" w:space="0" w:color="auto"/>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23 408 677</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23 220 429</w:t>
            </w:r>
          </w:p>
        </w:tc>
        <w:tc>
          <w:tcPr>
            <w:tcW w:w="568"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24 541 394</w:t>
            </w:r>
          </w:p>
        </w:tc>
        <w:tc>
          <w:tcPr>
            <w:tcW w:w="568" w:type="pct"/>
            <w:tcBorders>
              <w:top w:val="single" w:sz="4" w:space="0" w:color="auto"/>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24 541 394</w:t>
            </w:r>
          </w:p>
        </w:tc>
        <w:tc>
          <w:tcPr>
            <w:tcW w:w="567" w:type="pct"/>
            <w:tcBorders>
              <w:top w:val="single" w:sz="4" w:space="0" w:color="auto"/>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24 541 394</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Životné prostredie</w:t>
            </w:r>
          </w:p>
        </w:tc>
        <w:tc>
          <w:tcPr>
            <w:tcW w:w="568" w:type="pct"/>
            <w:tcBorders>
              <w:top w:val="single" w:sz="4" w:space="0" w:color="auto"/>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16 940 412</w:t>
            </w:r>
          </w:p>
        </w:tc>
        <w:tc>
          <w:tcPr>
            <w:tcW w:w="568" w:type="pct"/>
            <w:tcBorders>
              <w:top w:val="single" w:sz="4" w:space="0" w:color="auto"/>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15 981 661</w:t>
            </w:r>
          </w:p>
        </w:tc>
        <w:tc>
          <w:tcPr>
            <w:tcW w:w="568" w:type="pct"/>
            <w:tcBorders>
              <w:top w:val="single" w:sz="4" w:space="0" w:color="auto"/>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13 112 562</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12 995 858</w:t>
            </w:r>
          </w:p>
        </w:tc>
        <w:tc>
          <w:tcPr>
            <w:tcW w:w="568"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13 579 633</w:t>
            </w:r>
          </w:p>
        </w:tc>
        <w:tc>
          <w:tcPr>
            <w:tcW w:w="568" w:type="pct"/>
            <w:tcBorders>
              <w:top w:val="single" w:sz="4" w:space="0" w:color="auto"/>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13 580 387</w:t>
            </w:r>
          </w:p>
        </w:tc>
        <w:tc>
          <w:tcPr>
            <w:tcW w:w="567" w:type="pct"/>
            <w:tcBorders>
              <w:top w:val="single" w:sz="4" w:space="0" w:color="auto"/>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13 581 229</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Pozemkové úpravy</w:t>
            </w:r>
          </w:p>
        </w:tc>
        <w:tc>
          <w:tcPr>
            <w:tcW w:w="568" w:type="pct"/>
            <w:tcBorders>
              <w:top w:val="single" w:sz="4" w:space="0" w:color="auto"/>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7 889 047</w:t>
            </w:r>
          </w:p>
        </w:tc>
        <w:tc>
          <w:tcPr>
            <w:tcW w:w="568" w:type="pct"/>
            <w:tcBorders>
              <w:top w:val="single" w:sz="4" w:space="0" w:color="auto"/>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8 377 467</w:t>
            </w:r>
          </w:p>
        </w:tc>
        <w:tc>
          <w:tcPr>
            <w:tcW w:w="568" w:type="pct"/>
            <w:tcBorders>
              <w:top w:val="single" w:sz="4" w:space="0" w:color="auto"/>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7 241 416</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7 204 934</w:t>
            </w:r>
          </w:p>
        </w:tc>
        <w:tc>
          <w:tcPr>
            <w:tcW w:w="568"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7 641 369</w:t>
            </w:r>
          </w:p>
        </w:tc>
        <w:tc>
          <w:tcPr>
            <w:tcW w:w="568" w:type="pct"/>
            <w:tcBorders>
              <w:top w:val="single" w:sz="4" w:space="0" w:color="auto"/>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7 641 369</w:t>
            </w:r>
          </w:p>
        </w:tc>
        <w:tc>
          <w:tcPr>
            <w:tcW w:w="567" w:type="pct"/>
            <w:tcBorders>
              <w:top w:val="single" w:sz="4" w:space="0" w:color="auto"/>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7 641 369</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Cestná doprava</w:t>
            </w:r>
          </w:p>
        </w:tc>
        <w:tc>
          <w:tcPr>
            <w:tcW w:w="568" w:type="pct"/>
            <w:tcBorders>
              <w:top w:val="single" w:sz="4" w:space="0" w:color="auto"/>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4 842 362</w:t>
            </w:r>
          </w:p>
        </w:tc>
        <w:tc>
          <w:tcPr>
            <w:tcW w:w="568" w:type="pct"/>
            <w:tcBorders>
              <w:top w:val="single" w:sz="4" w:space="0" w:color="auto"/>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5 181 326</w:t>
            </w:r>
          </w:p>
        </w:tc>
        <w:tc>
          <w:tcPr>
            <w:tcW w:w="568" w:type="pct"/>
            <w:tcBorders>
              <w:top w:val="single" w:sz="4" w:space="0" w:color="auto"/>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4 623 749</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4 596 399</w:t>
            </w:r>
          </w:p>
        </w:tc>
        <w:tc>
          <w:tcPr>
            <w:tcW w:w="568"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4 842 274</w:t>
            </w:r>
          </w:p>
        </w:tc>
        <w:tc>
          <w:tcPr>
            <w:tcW w:w="568" w:type="pct"/>
            <w:tcBorders>
              <w:top w:val="single" w:sz="4" w:space="0" w:color="auto"/>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4 842 274</w:t>
            </w:r>
          </w:p>
        </w:tc>
        <w:tc>
          <w:tcPr>
            <w:tcW w:w="567" w:type="pct"/>
            <w:tcBorders>
              <w:top w:val="single" w:sz="4" w:space="0" w:color="auto"/>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4 842 274</w:t>
            </w:r>
          </w:p>
        </w:tc>
      </w:tr>
    </w:tbl>
    <w:p w:rsidR="003A497B" w:rsidRPr="00314814" w:rsidRDefault="003A497B" w:rsidP="003A497B">
      <w:pPr>
        <w:jc w:val="both"/>
        <w:rPr>
          <w:rFonts w:ascii="Times New Roman" w:hAnsi="Times New Roman" w:cs="Times New Roman"/>
          <w:sz w:val="22"/>
          <w:szCs w:val="22"/>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 xml:space="preserve">Dôvodom nárastu výdavkov v roku 2019 je zvýšenie osobných výdavkov o sumu </w:t>
      </w:r>
      <w:r>
        <w:rPr>
          <w:rFonts w:ascii="Times New Roman" w:hAnsi="Times New Roman" w:cs="Times New Roman"/>
        </w:rPr>
        <w:br/>
      </w:r>
      <w:r w:rsidRPr="00314814">
        <w:rPr>
          <w:rFonts w:ascii="Times New Roman" w:hAnsi="Times New Roman" w:cs="Times New Roman"/>
        </w:rPr>
        <w:t>3,93</w:t>
      </w:r>
      <w:r>
        <w:rPr>
          <w:rFonts w:ascii="Times New Roman" w:hAnsi="Times New Roman" w:cs="Times New Roman"/>
        </w:rPr>
        <w:t xml:space="preserve"> </w:t>
      </w:r>
      <w:r w:rsidRPr="00314814">
        <w:rPr>
          <w:rFonts w:ascii="Times New Roman" w:hAnsi="Times New Roman" w:cs="Times New Roman"/>
        </w:rPr>
        <w:t xml:space="preserve">mil. eur, súvisiace s </w:t>
      </w:r>
      <w:r w:rsidRPr="00314814">
        <w:rPr>
          <w:rFonts w:ascii="Times New Roman" w:hAnsi="Times New Roman" w:cs="Times New Roman"/>
          <w:color w:val="000000"/>
        </w:rPr>
        <w:t>valorizáciou platov zamestnancov z roku 2018.</w:t>
      </w:r>
    </w:p>
    <w:p w:rsidR="003A497B" w:rsidRPr="00314814" w:rsidRDefault="003A497B" w:rsidP="003A497B">
      <w:pPr>
        <w:ind w:firstLine="708"/>
        <w:jc w:val="both"/>
        <w:rPr>
          <w:rFonts w:ascii="Times New Roman" w:hAnsi="Times New Roman" w:cs="Times New Roman"/>
          <w:color w:val="FF0000"/>
        </w:rPr>
      </w:pPr>
    </w:p>
    <w:p w:rsidR="003A497B" w:rsidRPr="00314814" w:rsidRDefault="003A497B" w:rsidP="003A497B">
      <w:pPr>
        <w:jc w:val="both"/>
        <w:rPr>
          <w:rFonts w:ascii="Times New Roman" w:hAnsi="Times New Roman" w:cs="Times New Roman"/>
          <w:b/>
          <w:sz w:val="22"/>
          <w:szCs w:val="22"/>
        </w:rPr>
      </w:pPr>
      <w:r w:rsidRPr="00314814">
        <w:rPr>
          <w:rFonts w:ascii="Times New Roman" w:hAnsi="Times New Roman" w:cs="Times New Roman"/>
          <w:b/>
        </w:rPr>
        <w:t>Archívnictvo</w:t>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t xml:space="preserve">                                      </w:t>
      </w:r>
    </w:p>
    <w:tbl>
      <w:tblPr>
        <w:tblW w:w="5000" w:type="pct"/>
        <w:tblCellMar>
          <w:left w:w="70" w:type="dxa"/>
          <w:right w:w="70" w:type="dxa"/>
        </w:tblCellMar>
        <w:tblLook w:val="04A0" w:firstRow="1" w:lastRow="0" w:firstColumn="1" w:lastColumn="0" w:noHBand="0" w:noVBand="1"/>
      </w:tblPr>
      <w:tblGrid>
        <w:gridCol w:w="1859"/>
        <w:gridCol w:w="1030"/>
        <w:gridCol w:w="1029"/>
        <w:gridCol w:w="1029"/>
        <w:gridCol w:w="1029"/>
        <w:gridCol w:w="1029"/>
        <w:gridCol w:w="1029"/>
        <w:gridCol w:w="1028"/>
      </w:tblGrid>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rPr>
                <w:rFonts w:ascii="Times New Roman" w:hAnsi="Times New Roman" w:cs="Times New Roman"/>
                <w:b/>
                <w:sz w:val="14"/>
                <w:szCs w:val="14"/>
              </w:rPr>
            </w:pPr>
            <w:r w:rsidRPr="00314814">
              <w:rPr>
                <w:rFonts w:ascii="Times New Roman" w:hAnsi="Times New Roman" w:cs="Times New Roman"/>
                <w:b/>
                <w:sz w:val="14"/>
                <w:szCs w:val="14"/>
              </w:rPr>
              <w:t>v eurách</w:t>
            </w:r>
          </w:p>
        </w:tc>
        <w:tc>
          <w:tcPr>
            <w:tcW w:w="568" w:type="pct"/>
            <w:tcBorders>
              <w:top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2016 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highlight w:val="yellow"/>
              </w:rPr>
            </w:pPr>
            <w:r w:rsidRPr="00314814">
              <w:rPr>
                <w:rFonts w:ascii="Times New Roman" w:hAnsi="Times New Roman" w:cs="Times New Roman"/>
                <w:b/>
                <w:bCs/>
                <w:color w:val="000000"/>
                <w:sz w:val="14"/>
                <w:szCs w:val="14"/>
              </w:rPr>
              <w:t>2017 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R</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OS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2019 N</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2020 N</w:t>
            </w:r>
          </w:p>
        </w:tc>
        <w:tc>
          <w:tcPr>
            <w:tcW w:w="5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2021 N</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rPr>
                <w:rFonts w:ascii="Times New Roman" w:hAnsi="Times New Roman" w:cs="Times New Roman"/>
                <w:b/>
                <w:bCs/>
                <w:sz w:val="14"/>
                <w:szCs w:val="14"/>
              </w:rPr>
            </w:pPr>
            <w:r w:rsidRPr="00314814">
              <w:rPr>
                <w:rFonts w:ascii="Times New Roman" w:hAnsi="Times New Roman" w:cs="Times New Roman"/>
                <w:b/>
                <w:bCs/>
                <w:sz w:val="14"/>
                <w:szCs w:val="14"/>
              </w:rPr>
              <w:t>Archívnictvo</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b/>
                <w:bCs/>
                <w:sz w:val="14"/>
                <w:szCs w:val="14"/>
                <w:highlight w:val="yellow"/>
              </w:rPr>
            </w:pPr>
            <w:r w:rsidRPr="00314814">
              <w:rPr>
                <w:rFonts w:ascii="Times New Roman" w:hAnsi="Times New Roman" w:cs="Times New Roman"/>
                <w:b/>
                <w:bCs/>
                <w:sz w:val="14"/>
                <w:szCs w:val="14"/>
              </w:rPr>
              <w:t>4 936 531</w:t>
            </w:r>
          </w:p>
        </w:tc>
        <w:tc>
          <w:tcPr>
            <w:tcW w:w="568" w:type="pct"/>
            <w:tcBorders>
              <w:top w:val="nil"/>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b/>
                <w:bCs/>
                <w:sz w:val="14"/>
                <w:szCs w:val="14"/>
                <w:highlight w:val="yellow"/>
              </w:rPr>
            </w:pPr>
            <w:r w:rsidRPr="00314814">
              <w:rPr>
                <w:rFonts w:ascii="Times New Roman" w:hAnsi="Times New Roman" w:cs="Times New Roman"/>
                <w:b/>
                <w:bCs/>
                <w:sz w:val="14"/>
                <w:szCs w:val="14"/>
              </w:rPr>
              <w:t>5 503 864</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b/>
                <w:sz w:val="14"/>
                <w:szCs w:val="14"/>
              </w:rPr>
            </w:pPr>
            <w:r w:rsidRPr="00314814">
              <w:rPr>
                <w:rFonts w:ascii="Times New Roman" w:hAnsi="Times New Roman" w:cs="Times New Roman"/>
                <w:b/>
                <w:sz w:val="14"/>
                <w:szCs w:val="14"/>
              </w:rPr>
              <w:t>4 826 633</w:t>
            </w:r>
          </w:p>
        </w:tc>
        <w:tc>
          <w:tcPr>
            <w:tcW w:w="568" w:type="pct"/>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5 321 870</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4 974 555</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4 974 555</w:t>
            </w:r>
          </w:p>
        </w:tc>
        <w:tc>
          <w:tcPr>
            <w:tcW w:w="567"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4 974 555</w:t>
            </w:r>
          </w:p>
        </w:tc>
      </w:tr>
    </w:tbl>
    <w:p w:rsidR="003A497B" w:rsidRPr="00314814" w:rsidRDefault="003A497B" w:rsidP="003A497B">
      <w:pPr>
        <w:jc w:val="both"/>
        <w:rPr>
          <w:rFonts w:ascii="Times New Roman" w:hAnsi="Times New Roman" w:cs="Times New Roman"/>
          <w:sz w:val="14"/>
          <w:szCs w:val="14"/>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Nárast výdavkov v porovnaní s predchádzajúcim rokom je spôsobený vyšším rozpočtovaním osobných výdavkov, súvisiaci s valorizáciou platov zamestnancov z roku 2018.</w:t>
      </w:r>
    </w:p>
    <w:p w:rsidR="003A497B" w:rsidRPr="00314814" w:rsidRDefault="003A497B" w:rsidP="003A497B">
      <w:pPr>
        <w:ind w:firstLine="708"/>
        <w:jc w:val="both"/>
        <w:rPr>
          <w:rFonts w:ascii="Times New Roman" w:hAnsi="Times New Roman" w:cs="Times New Roman"/>
        </w:rPr>
      </w:pPr>
    </w:p>
    <w:p w:rsidR="003A497B" w:rsidRPr="00314814" w:rsidRDefault="003A497B" w:rsidP="003A497B">
      <w:pPr>
        <w:jc w:val="both"/>
        <w:rPr>
          <w:rFonts w:ascii="Times New Roman" w:hAnsi="Times New Roman" w:cs="Times New Roman"/>
          <w:b/>
          <w:sz w:val="22"/>
          <w:szCs w:val="22"/>
        </w:rPr>
      </w:pPr>
      <w:r w:rsidRPr="00314814">
        <w:rPr>
          <w:rFonts w:ascii="Times New Roman" w:hAnsi="Times New Roman" w:cs="Times New Roman"/>
          <w:b/>
        </w:rPr>
        <w:t>Azylová politika</w:t>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t xml:space="preserve">                                      </w:t>
      </w:r>
    </w:p>
    <w:tbl>
      <w:tblPr>
        <w:tblW w:w="5000" w:type="pct"/>
        <w:tblCellMar>
          <w:left w:w="70" w:type="dxa"/>
          <w:right w:w="70" w:type="dxa"/>
        </w:tblCellMar>
        <w:tblLook w:val="04A0" w:firstRow="1" w:lastRow="0" w:firstColumn="1" w:lastColumn="0" w:noHBand="0" w:noVBand="1"/>
      </w:tblPr>
      <w:tblGrid>
        <w:gridCol w:w="1859"/>
        <w:gridCol w:w="1030"/>
        <w:gridCol w:w="1029"/>
        <w:gridCol w:w="1029"/>
        <w:gridCol w:w="1029"/>
        <w:gridCol w:w="1029"/>
        <w:gridCol w:w="1029"/>
        <w:gridCol w:w="1028"/>
      </w:tblGrid>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rPr>
                <w:rFonts w:ascii="Times New Roman" w:hAnsi="Times New Roman" w:cs="Times New Roman"/>
                <w:b/>
                <w:sz w:val="14"/>
                <w:szCs w:val="14"/>
              </w:rPr>
            </w:pPr>
            <w:r w:rsidRPr="00314814">
              <w:rPr>
                <w:rFonts w:ascii="Times New Roman" w:hAnsi="Times New Roman" w:cs="Times New Roman"/>
                <w:b/>
                <w:sz w:val="14"/>
                <w:szCs w:val="14"/>
              </w:rPr>
              <w:t>v eurách</w:t>
            </w:r>
          </w:p>
        </w:tc>
        <w:tc>
          <w:tcPr>
            <w:tcW w:w="568" w:type="pct"/>
            <w:tcBorders>
              <w:top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2016 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highlight w:val="yellow"/>
              </w:rPr>
            </w:pPr>
            <w:r w:rsidRPr="00314814">
              <w:rPr>
                <w:rFonts w:ascii="Times New Roman" w:hAnsi="Times New Roman" w:cs="Times New Roman"/>
                <w:b/>
                <w:bCs/>
                <w:color w:val="000000"/>
                <w:sz w:val="14"/>
                <w:szCs w:val="14"/>
              </w:rPr>
              <w:t>2017 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R</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OS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2019 N</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2020 N</w:t>
            </w:r>
          </w:p>
        </w:tc>
        <w:tc>
          <w:tcPr>
            <w:tcW w:w="5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2021 N</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rPr>
                <w:rFonts w:ascii="Times New Roman" w:hAnsi="Times New Roman" w:cs="Times New Roman"/>
                <w:b/>
                <w:bCs/>
                <w:sz w:val="14"/>
                <w:szCs w:val="14"/>
              </w:rPr>
            </w:pPr>
            <w:r w:rsidRPr="00314814">
              <w:rPr>
                <w:rFonts w:ascii="Times New Roman" w:hAnsi="Times New Roman" w:cs="Times New Roman"/>
                <w:b/>
                <w:bCs/>
                <w:sz w:val="14"/>
                <w:szCs w:val="14"/>
              </w:rPr>
              <w:t>Azylová politika</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b/>
                <w:bCs/>
                <w:sz w:val="14"/>
                <w:szCs w:val="14"/>
                <w:highlight w:val="yellow"/>
              </w:rPr>
            </w:pPr>
            <w:r w:rsidRPr="00314814">
              <w:rPr>
                <w:rFonts w:ascii="Times New Roman" w:hAnsi="Times New Roman" w:cs="Times New Roman"/>
                <w:b/>
                <w:bCs/>
                <w:sz w:val="14"/>
                <w:szCs w:val="14"/>
              </w:rPr>
              <w:t>2 692 759</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b/>
                <w:bCs/>
                <w:sz w:val="14"/>
                <w:szCs w:val="14"/>
                <w:highlight w:val="yellow"/>
              </w:rPr>
            </w:pPr>
            <w:r w:rsidRPr="00314814">
              <w:rPr>
                <w:rFonts w:ascii="Times New Roman" w:hAnsi="Times New Roman" w:cs="Times New Roman"/>
                <w:b/>
                <w:bCs/>
                <w:sz w:val="14"/>
                <w:szCs w:val="14"/>
              </w:rPr>
              <w:t>2 372 946</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b/>
                <w:sz w:val="14"/>
                <w:szCs w:val="14"/>
              </w:rPr>
            </w:pPr>
            <w:r w:rsidRPr="00314814">
              <w:rPr>
                <w:rFonts w:ascii="Times New Roman" w:hAnsi="Times New Roman" w:cs="Times New Roman"/>
                <w:b/>
                <w:sz w:val="14"/>
                <w:szCs w:val="14"/>
              </w:rPr>
              <w:t>2 161 427</w:t>
            </w:r>
          </w:p>
        </w:tc>
        <w:tc>
          <w:tcPr>
            <w:tcW w:w="568" w:type="pct"/>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1 806 351</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1 681 707</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1 681 707</w:t>
            </w:r>
          </w:p>
        </w:tc>
        <w:tc>
          <w:tcPr>
            <w:tcW w:w="567"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1 681 707</w:t>
            </w:r>
          </w:p>
        </w:tc>
      </w:tr>
    </w:tbl>
    <w:p w:rsidR="003A497B" w:rsidRPr="00314814" w:rsidRDefault="003A497B" w:rsidP="003A497B">
      <w:pPr>
        <w:jc w:val="both"/>
        <w:rPr>
          <w:rFonts w:ascii="Times New Roman" w:hAnsi="Times New Roman" w:cs="Times New Roman"/>
          <w:sz w:val="22"/>
          <w:szCs w:val="22"/>
          <w:highlight w:val="yellow"/>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Pokles výdavkov na Azylovú politiku je spôsobený nižším rozpočtovaním výdavkov na tovary a služby, konkrétne na podpoložke špeciálne služby o sumu 0,60 mil. eur z dôvodu, že výdavky sú rozpočtované na prierezovom programe Centrálna podpora.</w:t>
      </w:r>
    </w:p>
    <w:p w:rsidR="003A497B" w:rsidRPr="00314814" w:rsidRDefault="003A497B" w:rsidP="003A497B">
      <w:pPr>
        <w:jc w:val="both"/>
        <w:rPr>
          <w:rFonts w:ascii="Times New Roman" w:hAnsi="Times New Roman" w:cs="Times New Roman"/>
          <w:b/>
        </w:rPr>
      </w:pPr>
    </w:p>
    <w:p w:rsidR="003A497B" w:rsidRPr="00314814" w:rsidRDefault="003A497B" w:rsidP="003A497B">
      <w:pPr>
        <w:jc w:val="both"/>
        <w:rPr>
          <w:rFonts w:ascii="Times New Roman" w:hAnsi="Times New Roman" w:cs="Times New Roman"/>
          <w:b/>
          <w:sz w:val="22"/>
          <w:szCs w:val="22"/>
          <w:highlight w:val="yellow"/>
        </w:rPr>
      </w:pPr>
      <w:r w:rsidRPr="00314814">
        <w:rPr>
          <w:rFonts w:ascii="Times New Roman" w:hAnsi="Times New Roman" w:cs="Times New Roman"/>
          <w:b/>
        </w:rPr>
        <w:t>Centrálna podpora</w:t>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t xml:space="preserve">     </w:t>
      </w:r>
      <w:r w:rsidRPr="00314814">
        <w:rPr>
          <w:rFonts w:ascii="Times New Roman" w:hAnsi="Times New Roman" w:cs="Times New Roman"/>
          <w:b/>
          <w:sz w:val="22"/>
          <w:szCs w:val="22"/>
          <w:highlight w:val="yellow"/>
        </w:rPr>
        <w:t xml:space="preserve">                                 </w:t>
      </w:r>
    </w:p>
    <w:tbl>
      <w:tblPr>
        <w:tblW w:w="5000" w:type="pct"/>
        <w:tblCellMar>
          <w:left w:w="70" w:type="dxa"/>
          <w:right w:w="70" w:type="dxa"/>
        </w:tblCellMar>
        <w:tblLook w:val="04A0" w:firstRow="1" w:lastRow="0" w:firstColumn="1" w:lastColumn="0" w:noHBand="0" w:noVBand="1"/>
      </w:tblPr>
      <w:tblGrid>
        <w:gridCol w:w="1859"/>
        <w:gridCol w:w="1030"/>
        <w:gridCol w:w="1029"/>
        <w:gridCol w:w="1029"/>
        <w:gridCol w:w="1029"/>
        <w:gridCol w:w="1029"/>
        <w:gridCol w:w="1029"/>
        <w:gridCol w:w="1028"/>
      </w:tblGrid>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rPr>
                <w:rFonts w:ascii="Times New Roman" w:hAnsi="Times New Roman" w:cs="Times New Roman"/>
                <w:b/>
                <w:sz w:val="14"/>
                <w:szCs w:val="14"/>
              </w:rPr>
            </w:pPr>
            <w:r w:rsidRPr="00314814">
              <w:rPr>
                <w:rFonts w:ascii="Times New Roman" w:hAnsi="Times New Roman" w:cs="Times New Roman"/>
                <w:b/>
                <w:sz w:val="14"/>
                <w:szCs w:val="14"/>
              </w:rPr>
              <w:t>v eurách</w:t>
            </w:r>
          </w:p>
        </w:tc>
        <w:tc>
          <w:tcPr>
            <w:tcW w:w="568" w:type="pct"/>
            <w:tcBorders>
              <w:top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2016 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highlight w:val="yellow"/>
              </w:rPr>
            </w:pPr>
            <w:r w:rsidRPr="00314814">
              <w:rPr>
                <w:rFonts w:ascii="Times New Roman" w:hAnsi="Times New Roman" w:cs="Times New Roman"/>
                <w:b/>
                <w:bCs/>
                <w:color w:val="000000"/>
                <w:sz w:val="14"/>
                <w:szCs w:val="14"/>
              </w:rPr>
              <w:t>2017 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R</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OS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2019 N</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2020 N</w:t>
            </w:r>
          </w:p>
        </w:tc>
        <w:tc>
          <w:tcPr>
            <w:tcW w:w="5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2021 N</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3A497B" w:rsidRPr="00314814" w:rsidRDefault="003A497B" w:rsidP="003E1809">
            <w:pPr>
              <w:rPr>
                <w:rFonts w:ascii="Times New Roman" w:hAnsi="Times New Roman" w:cs="Times New Roman"/>
                <w:b/>
                <w:bCs/>
                <w:sz w:val="14"/>
                <w:szCs w:val="14"/>
              </w:rPr>
            </w:pPr>
            <w:r w:rsidRPr="00314814">
              <w:rPr>
                <w:rFonts w:ascii="Times New Roman" w:hAnsi="Times New Roman" w:cs="Times New Roman"/>
                <w:b/>
                <w:bCs/>
                <w:sz w:val="14"/>
                <w:szCs w:val="14"/>
              </w:rPr>
              <w:t>Centrálna podpora</w:t>
            </w:r>
          </w:p>
        </w:tc>
        <w:tc>
          <w:tcPr>
            <w:tcW w:w="56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jc w:val="right"/>
              <w:rPr>
                <w:rFonts w:ascii="Times New Roman" w:hAnsi="Times New Roman" w:cs="Times New Roman"/>
                <w:b/>
                <w:bCs/>
                <w:sz w:val="14"/>
                <w:szCs w:val="14"/>
                <w:highlight w:val="yellow"/>
              </w:rPr>
            </w:pPr>
            <w:r w:rsidRPr="00314814">
              <w:rPr>
                <w:rFonts w:ascii="Times New Roman" w:hAnsi="Times New Roman" w:cs="Times New Roman"/>
                <w:b/>
                <w:bCs/>
                <w:sz w:val="14"/>
                <w:szCs w:val="14"/>
              </w:rPr>
              <w:t>226 155 466</w:t>
            </w:r>
          </w:p>
        </w:tc>
        <w:tc>
          <w:tcPr>
            <w:tcW w:w="56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jc w:val="right"/>
              <w:rPr>
                <w:rFonts w:ascii="Times New Roman" w:hAnsi="Times New Roman" w:cs="Times New Roman"/>
                <w:b/>
                <w:bCs/>
                <w:sz w:val="14"/>
                <w:szCs w:val="14"/>
                <w:highlight w:val="yellow"/>
              </w:rPr>
            </w:pPr>
            <w:r w:rsidRPr="00314814">
              <w:rPr>
                <w:rFonts w:ascii="Times New Roman" w:hAnsi="Times New Roman" w:cs="Times New Roman"/>
                <w:b/>
                <w:bCs/>
                <w:sz w:val="14"/>
                <w:szCs w:val="14"/>
              </w:rPr>
              <w:t>209 040 575</w:t>
            </w:r>
          </w:p>
        </w:tc>
        <w:tc>
          <w:tcPr>
            <w:tcW w:w="56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165 994 924</w:t>
            </w:r>
          </w:p>
        </w:tc>
        <w:tc>
          <w:tcPr>
            <w:tcW w:w="568" w:type="pct"/>
            <w:tcBorders>
              <w:top w:val="single" w:sz="4" w:space="0" w:color="auto"/>
              <w:left w:val="nil"/>
              <w:bottom w:val="single" w:sz="4" w:space="0" w:color="auto"/>
              <w:right w:val="single" w:sz="4" w:space="0" w:color="auto"/>
            </w:tcBorders>
            <w:shd w:val="clear" w:color="auto" w:fill="BFBFBF" w:themeFill="background1" w:themeFillShade="BF"/>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390 565 846</w:t>
            </w:r>
          </w:p>
        </w:tc>
        <w:tc>
          <w:tcPr>
            <w:tcW w:w="56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168 374 861</w:t>
            </w:r>
          </w:p>
        </w:tc>
        <w:tc>
          <w:tcPr>
            <w:tcW w:w="56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168 374 861</w:t>
            </w:r>
          </w:p>
        </w:tc>
        <w:tc>
          <w:tcPr>
            <w:tcW w:w="567"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168 374 861</w:t>
            </w:r>
          </w:p>
        </w:tc>
      </w:tr>
      <w:tr w:rsidR="003A497B" w:rsidRPr="00314814" w:rsidTr="003E1809">
        <w:trPr>
          <w:trHeight w:val="261"/>
        </w:trPr>
        <w:tc>
          <w:tcPr>
            <w:tcW w:w="1025"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Centrálna podpora</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194 336 421</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173 262 097</w:t>
            </w:r>
          </w:p>
        </w:tc>
        <w:tc>
          <w:tcPr>
            <w:tcW w:w="568"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138 373 538</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214 122 863</w:t>
            </w:r>
          </w:p>
        </w:tc>
        <w:tc>
          <w:tcPr>
            <w:tcW w:w="568"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138 715 780</w:t>
            </w:r>
          </w:p>
        </w:tc>
        <w:tc>
          <w:tcPr>
            <w:tcW w:w="568"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138 715 780</w:t>
            </w:r>
          </w:p>
        </w:tc>
        <w:tc>
          <w:tcPr>
            <w:tcW w:w="567"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138 715 780</w:t>
            </w:r>
          </w:p>
        </w:tc>
      </w:tr>
      <w:tr w:rsidR="003A497B" w:rsidRPr="00314814" w:rsidTr="003E1809">
        <w:trPr>
          <w:trHeight w:val="261"/>
        </w:trPr>
        <w:tc>
          <w:tcPr>
            <w:tcW w:w="1025"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Starostlivosť o ľudské zdroje</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14 128 243</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16 514 400</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11 614 400</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157 655 810</w:t>
            </w:r>
          </w:p>
        </w:tc>
        <w:tc>
          <w:tcPr>
            <w:tcW w:w="568"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11 614 400</w:t>
            </w:r>
          </w:p>
        </w:tc>
        <w:tc>
          <w:tcPr>
            <w:tcW w:w="568"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11 614 400</w:t>
            </w:r>
          </w:p>
        </w:tc>
        <w:tc>
          <w:tcPr>
            <w:tcW w:w="567"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11 614 400</w:t>
            </w:r>
          </w:p>
        </w:tc>
      </w:tr>
      <w:tr w:rsidR="003A497B" w:rsidRPr="00314814" w:rsidTr="003E1809">
        <w:trPr>
          <w:trHeight w:val="261"/>
        </w:trPr>
        <w:tc>
          <w:tcPr>
            <w:tcW w:w="1025"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Vzdelávanie príslušníkov PZ a HaZZ</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15 110 639</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16 990 367</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14 267 702</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16 496 567</w:t>
            </w:r>
          </w:p>
        </w:tc>
        <w:tc>
          <w:tcPr>
            <w:tcW w:w="568"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16 238 037</w:t>
            </w:r>
          </w:p>
        </w:tc>
        <w:tc>
          <w:tcPr>
            <w:tcW w:w="568"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16 238 037</w:t>
            </w:r>
          </w:p>
        </w:tc>
        <w:tc>
          <w:tcPr>
            <w:tcW w:w="567"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16 238 037</w:t>
            </w:r>
          </w:p>
        </w:tc>
      </w:tr>
      <w:tr w:rsidR="003A497B" w:rsidRPr="00314814" w:rsidTr="003E1809">
        <w:trPr>
          <w:trHeight w:val="261"/>
        </w:trPr>
        <w:tc>
          <w:tcPr>
            <w:tcW w:w="1025"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Agenda splnomocnencov vlády SR</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2 580 162</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2 273 710</w:t>
            </w:r>
          </w:p>
        </w:tc>
        <w:tc>
          <w:tcPr>
            <w:tcW w:w="568"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1 739 284</w:t>
            </w:r>
          </w:p>
        </w:tc>
        <w:tc>
          <w:tcPr>
            <w:tcW w:w="568"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2 290 606</w:t>
            </w:r>
          </w:p>
        </w:tc>
        <w:tc>
          <w:tcPr>
            <w:tcW w:w="568"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1 806 644</w:t>
            </w:r>
          </w:p>
        </w:tc>
        <w:tc>
          <w:tcPr>
            <w:tcW w:w="568"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1 806 644</w:t>
            </w:r>
          </w:p>
        </w:tc>
        <w:tc>
          <w:tcPr>
            <w:tcW w:w="567"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1 806 644</w:t>
            </w:r>
          </w:p>
        </w:tc>
      </w:tr>
    </w:tbl>
    <w:p w:rsidR="003A497B" w:rsidRPr="00314814" w:rsidRDefault="003A497B" w:rsidP="003A497B">
      <w:pPr>
        <w:jc w:val="both"/>
        <w:rPr>
          <w:rFonts w:ascii="Times New Roman" w:hAnsi="Times New Roman" w:cs="Times New Roman"/>
          <w:sz w:val="22"/>
          <w:szCs w:val="22"/>
          <w:highlight w:val="yellow"/>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Výdavky sú rozpočtované na centrálne zabezpečované a centrálne hradené bežné a kapitálové výdavky, ktoré majú prierezový celorezortný charakter.</w:t>
      </w:r>
    </w:p>
    <w:p w:rsidR="003A497B" w:rsidRPr="00314814" w:rsidRDefault="003A497B" w:rsidP="003A497B">
      <w:pPr>
        <w:ind w:firstLine="708"/>
        <w:jc w:val="both"/>
        <w:rPr>
          <w:rFonts w:ascii="Times New Roman" w:hAnsi="Times New Roman" w:cs="Times New Roman"/>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Nárast výdavkov v porovnaní s rokom 2018 je spôsobený vyšším rozpočtovaním osobných výdavkov o sumu 2,91 mil. eur, súvisiaci s valorizáciou platov zamestnancov z roku 2018.</w:t>
      </w:r>
    </w:p>
    <w:p w:rsidR="003A497B" w:rsidRPr="00314814" w:rsidRDefault="003A497B" w:rsidP="003A497B">
      <w:pPr>
        <w:ind w:firstLine="708"/>
        <w:jc w:val="both"/>
        <w:rPr>
          <w:rFonts w:ascii="Times New Roman" w:hAnsi="Times New Roman" w:cs="Times New Roman"/>
          <w:highlight w:val="yellow"/>
        </w:rPr>
      </w:pPr>
    </w:p>
    <w:p w:rsidR="003A497B" w:rsidRPr="00314814" w:rsidRDefault="003A497B" w:rsidP="003A497B">
      <w:pPr>
        <w:jc w:val="both"/>
        <w:rPr>
          <w:rFonts w:ascii="Times New Roman" w:hAnsi="Times New Roman" w:cs="Times New Roman"/>
          <w:b/>
          <w:sz w:val="22"/>
          <w:szCs w:val="22"/>
          <w:highlight w:val="yellow"/>
        </w:rPr>
      </w:pPr>
      <w:r w:rsidRPr="00314814">
        <w:rPr>
          <w:rFonts w:ascii="Times New Roman" w:hAnsi="Times New Roman" w:cs="Times New Roman"/>
          <w:b/>
        </w:rPr>
        <w:t>Riadenie a kontrola</w:t>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highlight w:val="yellow"/>
        </w:rPr>
        <w:t xml:space="preserve">                                      </w:t>
      </w:r>
    </w:p>
    <w:tbl>
      <w:tblPr>
        <w:tblW w:w="0" w:type="auto"/>
        <w:tblLayout w:type="fixed"/>
        <w:tblCellMar>
          <w:left w:w="70" w:type="dxa"/>
          <w:right w:w="70" w:type="dxa"/>
        </w:tblCellMar>
        <w:tblLook w:val="04A0" w:firstRow="1" w:lastRow="0" w:firstColumn="1" w:lastColumn="0" w:noHBand="0" w:noVBand="1"/>
      </w:tblPr>
      <w:tblGrid>
        <w:gridCol w:w="1950"/>
        <w:gridCol w:w="1037"/>
        <w:gridCol w:w="1037"/>
        <w:gridCol w:w="1038"/>
        <w:gridCol w:w="1037"/>
        <w:gridCol w:w="1038"/>
        <w:gridCol w:w="1037"/>
        <w:gridCol w:w="1038"/>
      </w:tblGrid>
      <w:tr w:rsidR="003A497B" w:rsidRPr="00314814" w:rsidTr="003E1809">
        <w:trPr>
          <w:trHeight w:val="261"/>
        </w:trPr>
        <w:tc>
          <w:tcPr>
            <w:tcW w:w="195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rPr>
                <w:rFonts w:ascii="Times New Roman" w:hAnsi="Times New Roman" w:cs="Times New Roman"/>
                <w:b/>
                <w:sz w:val="14"/>
                <w:szCs w:val="14"/>
              </w:rPr>
            </w:pPr>
            <w:r w:rsidRPr="00314814">
              <w:rPr>
                <w:rFonts w:ascii="Times New Roman" w:hAnsi="Times New Roman" w:cs="Times New Roman"/>
                <w:b/>
                <w:sz w:val="14"/>
                <w:szCs w:val="14"/>
              </w:rPr>
              <w:t>v eurách</w:t>
            </w:r>
          </w:p>
        </w:tc>
        <w:tc>
          <w:tcPr>
            <w:tcW w:w="1037" w:type="dxa"/>
            <w:tcBorders>
              <w:top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2016 S</w:t>
            </w:r>
          </w:p>
        </w:tc>
        <w:tc>
          <w:tcPr>
            <w:tcW w:w="103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highlight w:val="yellow"/>
              </w:rPr>
            </w:pPr>
            <w:r w:rsidRPr="00314814">
              <w:rPr>
                <w:rFonts w:ascii="Times New Roman" w:hAnsi="Times New Roman" w:cs="Times New Roman"/>
                <w:b/>
                <w:bCs/>
                <w:color w:val="000000"/>
                <w:sz w:val="14"/>
                <w:szCs w:val="14"/>
              </w:rPr>
              <w:t>2017 S</w:t>
            </w:r>
          </w:p>
        </w:tc>
        <w:tc>
          <w:tcPr>
            <w:tcW w:w="103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R</w:t>
            </w:r>
          </w:p>
        </w:tc>
        <w:tc>
          <w:tcPr>
            <w:tcW w:w="103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OS</w:t>
            </w:r>
          </w:p>
        </w:tc>
        <w:tc>
          <w:tcPr>
            <w:tcW w:w="103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2019 N</w:t>
            </w:r>
          </w:p>
        </w:tc>
        <w:tc>
          <w:tcPr>
            <w:tcW w:w="103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2020 N</w:t>
            </w:r>
          </w:p>
        </w:tc>
        <w:tc>
          <w:tcPr>
            <w:tcW w:w="103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2021 N</w:t>
            </w:r>
          </w:p>
        </w:tc>
      </w:tr>
      <w:tr w:rsidR="003A497B" w:rsidRPr="00314814" w:rsidTr="003E1809">
        <w:trPr>
          <w:trHeight w:val="261"/>
        </w:trPr>
        <w:tc>
          <w:tcPr>
            <w:tcW w:w="1950" w:type="dxa"/>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rPr>
                <w:rFonts w:ascii="Times New Roman" w:hAnsi="Times New Roman" w:cs="Times New Roman"/>
                <w:b/>
                <w:bCs/>
                <w:sz w:val="14"/>
                <w:szCs w:val="14"/>
              </w:rPr>
            </w:pPr>
            <w:r w:rsidRPr="00314814">
              <w:rPr>
                <w:rFonts w:ascii="Times New Roman" w:hAnsi="Times New Roman" w:cs="Times New Roman"/>
                <w:b/>
                <w:bCs/>
                <w:sz w:val="14"/>
                <w:szCs w:val="14"/>
              </w:rPr>
              <w:t>Riadenie a kontrola</w:t>
            </w:r>
          </w:p>
        </w:tc>
        <w:tc>
          <w:tcPr>
            <w:tcW w:w="1037" w:type="dxa"/>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b/>
                <w:bCs/>
                <w:sz w:val="14"/>
                <w:szCs w:val="14"/>
                <w:highlight w:val="yellow"/>
              </w:rPr>
            </w:pPr>
            <w:r w:rsidRPr="00314814">
              <w:rPr>
                <w:rFonts w:ascii="Times New Roman" w:hAnsi="Times New Roman" w:cs="Times New Roman"/>
                <w:b/>
                <w:bCs/>
                <w:sz w:val="14"/>
                <w:szCs w:val="14"/>
              </w:rPr>
              <w:t>55 671 284</w:t>
            </w:r>
          </w:p>
        </w:tc>
        <w:tc>
          <w:tcPr>
            <w:tcW w:w="1037" w:type="dxa"/>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b/>
                <w:bCs/>
                <w:sz w:val="14"/>
                <w:szCs w:val="14"/>
                <w:highlight w:val="yellow"/>
              </w:rPr>
            </w:pPr>
            <w:r w:rsidRPr="00314814">
              <w:rPr>
                <w:rFonts w:ascii="Times New Roman" w:hAnsi="Times New Roman" w:cs="Times New Roman"/>
                <w:b/>
                <w:bCs/>
                <w:sz w:val="14"/>
                <w:szCs w:val="14"/>
              </w:rPr>
              <w:t>55 022 764</w:t>
            </w:r>
          </w:p>
        </w:tc>
        <w:tc>
          <w:tcPr>
            <w:tcW w:w="1038" w:type="dxa"/>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b/>
                <w:sz w:val="14"/>
                <w:szCs w:val="14"/>
              </w:rPr>
            </w:pPr>
            <w:r w:rsidRPr="00314814">
              <w:rPr>
                <w:rFonts w:ascii="Times New Roman" w:hAnsi="Times New Roman" w:cs="Times New Roman"/>
                <w:b/>
                <w:sz w:val="14"/>
                <w:szCs w:val="14"/>
              </w:rPr>
              <w:t>53 452 774</w:t>
            </w:r>
          </w:p>
        </w:tc>
        <w:tc>
          <w:tcPr>
            <w:tcW w:w="1037" w:type="dxa"/>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68 050 589</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53 394 385</w:t>
            </w:r>
          </w:p>
        </w:tc>
        <w:tc>
          <w:tcPr>
            <w:tcW w:w="1037" w:type="dxa"/>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53 206 974</w:t>
            </w:r>
          </w:p>
        </w:tc>
        <w:tc>
          <w:tcPr>
            <w:tcW w:w="1038" w:type="dxa"/>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53 077 909</w:t>
            </w:r>
          </w:p>
        </w:tc>
      </w:tr>
    </w:tbl>
    <w:p w:rsidR="003A497B" w:rsidRPr="00314814" w:rsidRDefault="003A497B" w:rsidP="003A497B">
      <w:pPr>
        <w:ind w:firstLine="708"/>
        <w:jc w:val="both"/>
        <w:rPr>
          <w:rFonts w:ascii="Times New Roman" w:hAnsi="Times New Roman" w:cs="Times New Roman"/>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Na podprogram Riadenie a kontrola sa rozpočtujú výdavky v sume 53,4 mil. eur, čo je na úrovni roka 2018.</w:t>
      </w:r>
    </w:p>
    <w:p w:rsidR="003A497B" w:rsidRPr="00314814" w:rsidRDefault="003A497B" w:rsidP="003A497B">
      <w:pPr>
        <w:tabs>
          <w:tab w:val="left" w:pos="3075"/>
        </w:tabs>
        <w:ind w:firstLine="708"/>
        <w:jc w:val="both"/>
        <w:rPr>
          <w:rFonts w:ascii="Times New Roman" w:hAnsi="Times New Roman" w:cs="Times New Roman"/>
        </w:rPr>
      </w:pPr>
      <w:r w:rsidRPr="00314814">
        <w:rPr>
          <w:rFonts w:ascii="Times New Roman" w:hAnsi="Times New Roman" w:cs="Times New Roman"/>
        </w:rPr>
        <w:tab/>
      </w:r>
    </w:p>
    <w:p w:rsidR="003A497B" w:rsidRPr="00314814" w:rsidRDefault="003A497B" w:rsidP="003A497B">
      <w:pPr>
        <w:jc w:val="both"/>
        <w:rPr>
          <w:rFonts w:ascii="Times New Roman" w:hAnsi="Times New Roman" w:cs="Times New Roman"/>
          <w:b/>
        </w:rPr>
      </w:pPr>
      <w:r w:rsidRPr="00314814">
        <w:rPr>
          <w:rFonts w:ascii="Times New Roman" w:hAnsi="Times New Roman" w:cs="Times New Roman"/>
          <w:b/>
        </w:rPr>
        <w:t>Voľby</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2"/>
        <w:gridCol w:w="992"/>
        <w:gridCol w:w="992"/>
        <w:gridCol w:w="992"/>
        <w:gridCol w:w="992"/>
        <w:gridCol w:w="992"/>
        <w:gridCol w:w="992"/>
        <w:gridCol w:w="993"/>
      </w:tblGrid>
      <w:tr w:rsidR="003A497B" w:rsidRPr="00314814" w:rsidTr="003E1809">
        <w:trPr>
          <w:trHeight w:val="241"/>
        </w:trPr>
        <w:tc>
          <w:tcPr>
            <w:tcW w:w="2142" w:type="dxa"/>
            <w:tcBorders>
              <w:top w:val="single" w:sz="4" w:space="0" w:color="auto"/>
              <w:bottom w:val="single" w:sz="4" w:space="0" w:color="auto"/>
            </w:tcBorders>
            <w:shd w:val="clear" w:color="auto" w:fill="A6A6A6" w:themeFill="background1" w:themeFillShade="A6"/>
            <w:noWrap/>
            <w:vAlign w:val="center"/>
          </w:tcPr>
          <w:p w:rsidR="003A497B" w:rsidRPr="00314814" w:rsidRDefault="003A497B" w:rsidP="003E1809">
            <w:pPr>
              <w:rPr>
                <w:rFonts w:ascii="Times New Roman" w:hAnsi="Times New Roman" w:cs="Times New Roman"/>
                <w:b/>
                <w:sz w:val="14"/>
                <w:szCs w:val="14"/>
              </w:rPr>
            </w:pPr>
            <w:r w:rsidRPr="00314814">
              <w:rPr>
                <w:rFonts w:ascii="Times New Roman" w:hAnsi="Times New Roman" w:cs="Times New Roman"/>
                <w:b/>
                <w:sz w:val="14"/>
                <w:szCs w:val="14"/>
              </w:rPr>
              <w:br w:type="page"/>
              <w:t> v eurách</w:t>
            </w:r>
          </w:p>
        </w:tc>
        <w:tc>
          <w:tcPr>
            <w:tcW w:w="992" w:type="dxa"/>
            <w:tcBorders>
              <w:top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2016 S</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highlight w:val="yellow"/>
              </w:rPr>
            </w:pPr>
            <w:r w:rsidRPr="00314814">
              <w:rPr>
                <w:rFonts w:ascii="Times New Roman" w:hAnsi="Times New Roman" w:cs="Times New Roman"/>
                <w:b/>
                <w:bCs/>
                <w:color w:val="000000"/>
                <w:sz w:val="14"/>
                <w:szCs w:val="14"/>
              </w:rPr>
              <w:t>2017 S</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R</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OS</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2019 N</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2020 N</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2021 N</w:t>
            </w:r>
          </w:p>
        </w:tc>
      </w:tr>
      <w:tr w:rsidR="003A497B" w:rsidRPr="00314814" w:rsidTr="003E1809">
        <w:trPr>
          <w:trHeight w:val="241"/>
        </w:trPr>
        <w:tc>
          <w:tcPr>
            <w:tcW w:w="2142" w:type="dxa"/>
            <w:shd w:val="clear" w:color="auto" w:fill="BFBFBF" w:themeFill="background1" w:themeFillShade="BF"/>
            <w:noWrap/>
            <w:vAlign w:val="bottom"/>
          </w:tcPr>
          <w:p w:rsidR="003A497B" w:rsidRPr="00314814" w:rsidRDefault="003A497B" w:rsidP="003E1809">
            <w:pPr>
              <w:rPr>
                <w:rFonts w:ascii="Times New Roman" w:hAnsi="Times New Roman" w:cs="Times New Roman"/>
                <w:b/>
                <w:bCs/>
                <w:sz w:val="14"/>
                <w:szCs w:val="14"/>
              </w:rPr>
            </w:pPr>
            <w:r w:rsidRPr="00314814">
              <w:rPr>
                <w:rFonts w:ascii="Times New Roman" w:hAnsi="Times New Roman" w:cs="Times New Roman"/>
                <w:b/>
                <w:bCs/>
                <w:sz w:val="14"/>
                <w:szCs w:val="14"/>
              </w:rPr>
              <w:t>Voľby</w:t>
            </w:r>
          </w:p>
        </w:tc>
        <w:tc>
          <w:tcPr>
            <w:tcW w:w="992" w:type="dxa"/>
            <w:shd w:val="clear" w:color="auto" w:fill="BFBFBF" w:themeFill="background1" w:themeFillShade="BF"/>
            <w:vAlign w:val="bottom"/>
          </w:tcPr>
          <w:p w:rsidR="003A497B" w:rsidRPr="00314814" w:rsidRDefault="003A497B" w:rsidP="003E1809">
            <w:pPr>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7 304 105</w:t>
            </w:r>
          </w:p>
        </w:tc>
        <w:tc>
          <w:tcPr>
            <w:tcW w:w="992" w:type="dxa"/>
            <w:shd w:val="clear" w:color="auto" w:fill="BFBFBF" w:themeFill="background1" w:themeFillShade="BF"/>
            <w:vAlign w:val="bottom"/>
          </w:tcPr>
          <w:p w:rsidR="003A497B" w:rsidRPr="00314814" w:rsidRDefault="003A497B" w:rsidP="003E1809">
            <w:pPr>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5 028 274</w:t>
            </w:r>
          </w:p>
        </w:tc>
        <w:tc>
          <w:tcPr>
            <w:tcW w:w="992" w:type="dxa"/>
            <w:shd w:val="clear" w:color="auto" w:fill="BFBFBF" w:themeFill="background1" w:themeFillShade="BF"/>
            <w:vAlign w:val="bottom"/>
          </w:tcPr>
          <w:p w:rsidR="003A497B" w:rsidRPr="00314814" w:rsidRDefault="003A497B" w:rsidP="003E1809">
            <w:pPr>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8 008 634</w:t>
            </w:r>
          </w:p>
        </w:tc>
        <w:tc>
          <w:tcPr>
            <w:tcW w:w="992" w:type="dxa"/>
            <w:shd w:val="clear" w:color="auto" w:fill="BFBFBF" w:themeFill="background1" w:themeFillShade="BF"/>
            <w:vAlign w:val="bottom"/>
          </w:tcPr>
          <w:p w:rsidR="003A497B" w:rsidRPr="00314814" w:rsidRDefault="003A497B" w:rsidP="003E1809">
            <w:pPr>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8 008 634</w:t>
            </w:r>
          </w:p>
        </w:tc>
        <w:tc>
          <w:tcPr>
            <w:tcW w:w="992" w:type="dxa"/>
            <w:shd w:val="clear" w:color="auto" w:fill="BFBFBF" w:themeFill="background1" w:themeFillShade="BF"/>
            <w:vAlign w:val="bottom"/>
          </w:tcPr>
          <w:p w:rsidR="003A497B" w:rsidRPr="00314814" w:rsidRDefault="003A497B" w:rsidP="003E1809">
            <w:pPr>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20 496 976</w:t>
            </w:r>
          </w:p>
        </w:tc>
        <w:tc>
          <w:tcPr>
            <w:tcW w:w="992" w:type="dxa"/>
            <w:shd w:val="clear" w:color="auto" w:fill="BFBFBF" w:themeFill="background1" w:themeFillShade="BF"/>
            <w:vAlign w:val="bottom"/>
          </w:tcPr>
          <w:p w:rsidR="003A497B" w:rsidRPr="00314814" w:rsidRDefault="003A497B" w:rsidP="003E1809">
            <w:pPr>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9 690 003</w:t>
            </w:r>
          </w:p>
        </w:tc>
        <w:tc>
          <w:tcPr>
            <w:tcW w:w="993" w:type="dxa"/>
            <w:shd w:val="clear" w:color="auto" w:fill="BFBFBF" w:themeFill="background1" w:themeFillShade="BF"/>
            <w:vAlign w:val="bottom"/>
          </w:tcPr>
          <w:p w:rsidR="003A497B" w:rsidRPr="00314814" w:rsidRDefault="003A497B" w:rsidP="003E1809">
            <w:pPr>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548 380</w:t>
            </w:r>
          </w:p>
        </w:tc>
      </w:tr>
      <w:tr w:rsidR="003A497B" w:rsidRPr="00314814" w:rsidTr="003E1809">
        <w:trPr>
          <w:trHeight w:val="241"/>
        </w:trPr>
        <w:tc>
          <w:tcPr>
            <w:tcW w:w="2142" w:type="dxa"/>
            <w:shd w:val="clear" w:color="auto" w:fill="auto"/>
            <w:noWrap/>
            <w:vAlign w:val="bottom"/>
          </w:tcPr>
          <w:p w:rsidR="003A497B" w:rsidRPr="00314814" w:rsidRDefault="003A497B" w:rsidP="003E1809">
            <w:pPr>
              <w:rPr>
                <w:rFonts w:ascii="Times New Roman" w:hAnsi="Times New Roman" w:cs="Times New Roman"/>
                <w:color w:val="000000"/>
                <w:sz w:val="14"/>
                <w:szCs w:val="14"/>
              </w:rPr>
            </w:pPr>
            <w:r w:rsidRPr="00314814">
              <w:rPr>
                <w:rFonts w:ascii="Times New Roman" w:hAnsi="Times New Roman" w:cs="Times New Roman"/>
                <w:color w:val="000000"/>
                <w:sz w:val="14"/>
                <w:szCs w:val="14"/>
              </w:rPr>
              <w:t>Kraje</w:t>
            </w:r>
          </w:p>
        </w:tc>
        <w:tc>
          <w:tcPr>
            <w:tcW w:w="992" w:type="dxa"/>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4 977 506</w:t>
            </w:r>
          </w:p>
        </w:tc>
        <w:tc>
          <w:tcPr>
            <w:tcW w:w="992" w:type="dxa"/>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3" w:type="dxa"/>
            <w:shd w:val="clear" w:color="auto" w:fill="auto"/>
            <w:noWrap/>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r>
      <w:tr w:rsidR="003A497B" w:rsidRPr="00314814" w:rsidTr="003E1809">
        <w:trPr>
          <w:trHeight w:val="241"/>
        </w:trPr>
        <w:tc>
          <w:tcPr>
            <w:tcW w:w="2142" w:type="dxa"/>
            <w:shd w:val="clear" w:color="auto" w:fill="auto"/>
            <w:noWrap/>
            <w:vAlign w:val="bottom"/>
          </w:tcPr>
          <w:p w:rsidR="003A497B" w:rsidRPr="00314814" w:rsidRDefault="003A497B" w:rsidP="003E1809">
            <w:pPr>
              <w:rPr>
                <w:rFonts w:ascii="Times New Roman" w:hAnsi="Times New Roman" w:cs="Times New Roman"/>
                <w:color w:val="000000"/>
                <w:sz w:val="14"/>
                <w:szCs w:val="14"/>
              </w:rPr>
            </w:pPr>
            <w:r w:rsidRPr="00314814">
              <w:rPr>
                <w:rFonts w:ascii="Times New Roman" w:hAnsi="Times New Roman" w:cs="Times New Roman"/>
                <w:color w:val="000000"/>
                <w:sz w:val="14"/>
                <w:szCs w:val="14"/>
              </w:rPr>
              <w:t>Nové voľby - samospráva kraje</w:t>
            </w:r>
          </w:p>
        </w:tc>
        <w:tc>
          <w:tcPr>
            <w:tcW w:w="992" w:type="dxa"/>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271 463</w:t>
            </w:r>
          </w:p>
        </w:tc>
        <w:tc>
          <w:tcPr>
            <w:tcW w:w="992" w:type="dxa"/>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271 463</w:t>
            </w:r>
          </w:p>
        </w:tc>
        <w:tc>
          <w:tcPr>
            <w:tcW w:w="992" w:type="dxa"/>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271 464</w:t>
            </w:r>
          </w:p>
        </w:tc>
        <w:tc>
          <w:tcPr>
            <w:tcW w:w="992" w:type="dxa"/>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271 464</w:t>
            </w:r>
          </w:p>
        </w:tc>
        <w:tc>
          <w:tcPr>
            <w:tcW w:w="993" w:type="dxa"/>
            <w:tcBorders>
              <w:bottom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274 190</w:t>
            </w:r>
          </w:p>
        </w:tc>
      </w:tr>
      <w:tr w:rsidR="003A497B" w:rsidRPr="00314814" w:rsidTr="003E1809">
        <w:trPr>
          <w:trHeight w:val="241"/>
        </w:trPr>
        <w:tc>
          <w:tcPr>
            <w:tcW w:w="2142" w:type="dxa"/>
            <w:shd w:val="clear" w:color="auto" w:fill="auto"/>
            <w:noWrap/>
            <w:vAlign w:val="bottom"/>
          </w:tcPr>
          <w:p w:rsidR="003A497B" w:rsidRPr="00314814" w:rsidRDefault="003A497B" w:rsidP="003E1809">
            <w:pPr>
              <w:rPr>
                <w:rFonts w:ascii="Times New Roman" w:hAnsi="Times New Roman" w:cs="Times New Roman"/>
                <w:color w:val="000000"/>
                <w:sz w:val="14"/>
                <w:szCs w:val="14"/>
              </w:rPr>
            </w:pPr>
            <w:r w:rsidRPr="00314814">
              <w:rPr>
                <w:rFonts w:ascii="Times New Roman" w:hAnsi="Times New Roman" w:cs="Times New Roman"/>
                <w:color w:val="000000"/>
                <w:sz w:val="14"/>
                <w:szCs w:val="14"/>
              </w:rPr>
              <w:t>Voľby prezidenta</w:t>
            </w:r>
          </w:p>
        </w:tc>
        <w:tc>
          <w:tcPr>
            <w:tcW w:w="992" w:type="dxa"/>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11 266 873</w:t>
            </w:r>
          </w:p>
        </w:tc>
        <w:tc>
          <w:tcPr>
            <w:tcW w:w="992" w:type="dxa"/>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3" w:type="dxa"/>
            <w:shd w:val="clear" w:color="auto" w:fill="auto"/>
            <w:noWrap/>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r>
      <w:tr w:rsidR="003A497B" w:rsidRPr="00314814" w:rsidTr="003E1809">
        <w:trPr>
          <w:trHeight w:val="241"/>
        </w:trPr>
        <w:tc>
          <w:tcPr>
            <w:tcW w:w="2142" w:type="dxa"/>
            <w:tcBorders>
              <w:bottom w:val="single" w:sz="4" w:space="0" w:color="auto"/>
            </w:tcBorders>
            <w:shd w:val="clear" w:color="auto" w:fill="auto"/>
            <w:noWrap/>
            <w:vAlign w:val="bottom"/>
          </w:tcPr>
          <w:p w:rsidR="003A497B" w:rsidRPr="00314814" w:rsidRDefault="003A497B" w:rsidP="003E1809">
            <w:pPr>
              <w:rPr>
                <w:rFonts w:ascii="Times New Roman" w:hAnsi="Times New Roman" w:cs="Times New Roman"/>
                <w:color w:val="000000"/>
                <w:sz w:val="14"/>
                <w:szCs w:val="14"/>
              </w:rPr>
            </w:pPr>
            <w:r w:rsidRPr="00314814">
              <w:rPr>
                <w:rFonts w:ascii="Times New Roman" w:hAnsi="Times New Roman" w:cs="Times New Roman"/>
                <w:color w:val="000000"/>
                <w:sz w:val="14"/>
                <w:szCs w:val="14"/>
              </w:rPr>
              <w:t>Európsky parlament</w:t>
            </w:r>
          </w:p>
        </w:tc>
        <w:tc>
          <w:tcPr>
            <w:tcW w:w="992" w:type="dxa"/>
            <w:tcBorders>
              <w:bottom w:val="single" w:sz="4" w:space="0" w:color="auto"/>
            </w:tcBorders>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tcBorders>
              <w:bottom w:val="single" w:sz="4" w:space="0" w:color="auto"/>
            </w:tcBorders>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tcBorders>
              <w:bottom w:val="single" w:sz="4" w:space="0" w:color="auto"/>
            </w:tcBorders>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tcBorders>
              <w:bottom w:val="single" w:sz="4" w:space="0" w:color="auto"/>
            </w:tcBorders>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8 687 175</w:t>
            </w:r>
          </w:p>
        </w:tc>
        <w:tc>
          <w:tcPr>
            <w:tcW w:w="992" w:type="dxa"/>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3" w:type="dxa"/>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r>
      <w:tr w:rsidR="003A497B" w:rsidRPr="00314814" w:rsidTr="003E1809">
        <w:trPr>
          <w:trHeight w:val="241"/>
        </w:trPr>
        <w:tc>
          <w:tcPr>
            <w:tcW w:w="2142" w:type="dxa"/>
            <w:tcBorders>
              <w:bottom w:val="single" w:sz="4" w:space="0" w:color="auto"/>
            </w:tcBorders>
            <w:shd w:val="clear" w:color="auto" w:fill="auto"/>
            <w:noWrap/>
            <w:vAlign w:val="bottom"/>
          </w:tcPr>
          <w:p w:rsidR="003A497B" w:rsidRPr="00314814" w:rsidRDefault="003A497B" w:rsidP="003E1809">
            <w:pPr>
              <w:rPr>
                <w:rFonts w:ascii="Times New Roman" w:hAnsi="Times New Roman" w:cs="Times New Roman"/>
                <w:color w:val="000000"/>
                <w:sz w:val="14"/>
                <w:szCs w:val="14"/>
              </w:rPr>
            </w:pPr>
            <w:r w:rsidRPr="00314814">
              <w:rPr>
                <w:rFonts w:ascii="Times New Roman" w:hAnsi="Times New Roman" w:cs="Times New Roman"/>
                <w:color w:val="000000"/>
                <w:sz w:val="14"/>
                <w:szCs w:val="14"/>
              </w:rPr>
              <w:t>Obce</w:t>
            </w:r>
          </w:p>
        </w:tc>
        <w:tc>
          <w:tcPr>
            <w:tcW w:w="992" w:type="dxa"/>
            <w:tcBorders>
              <w:bottom w:val="single" w:sz="4" w:space="0" w:color="auto"/>
            </w:tcBorders>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00</w:t>
            </w:r>
          </w:p>
        </w:tc>
        <w:tc>
          <w:tcPr>
            <w:tcW w:w="992" w:type="dxa"/>
            <w:tcBorders>
              <w:bottom w:val="single" w:sz="4" w:space="0" w:color="auto"/>
            </w:tcBorders>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tcBorders>
              <w:bottom w:val="single" w:sz="4" w:space="0" w:color="auto"/>
            </w:tcBorders>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7 465 708</w:t>
            </w:r>
          </w:p>
        </w:tc>
        <w:tc>
          <w:tcPr>
            <w:tcW w:w="992" w:type="dxa"/>
            <w:tcBorders>
              <w:bottom w:val="single" w:sz="4" w:space="0" w:color="auto"/>
            </w:tcBorders>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7 465 708</w:t>
            </w:r>
          </w:p>
        </w:tc>
        <w:tc>
          <w:tcPr>
            <w:tcW w:w="992" w:type="dxa"/>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3" w:type="dxa"/>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r>
      <w:tr w:rsidR="003A497B" w:rsidRPr="00314814" w:rsidTr="003E1809">
        <w:trPr>
          <w:trHeight w:val="241"/>
        </w:trPr>
        <w:tc>
          <w:tcPr>
            <w:tcW w:w="2142" w:type="dxa"/>
            <w:tcBorders>
              <w:bottom w:val="single" w:sz="4" w:space="0" w:color="auto"/>
            </w:tcBorders>
            <w:shd w:val="clear" w:color="auto" w:fill="auto"/>
            <w:noWrap/>
            <w:vAlign w:val="bottom"/>
          </w:tcPr>
          <w:p w:rsidR="003A497B" w:rsidRPr="00314814" w:rsidRDefault="003A497B" w:rsidP="003E1809">
            <w:pPr>
              <w:rPr>
                <w:rFonts w:ascii="Times New Roman" w:hAnsi="Times New Roman" w:cs="Times New Roman"/>
                <w:color w:val="000000"/>
                <w:sz w:val="14"/>
                <w:szCs w:val="14"/>
              </w:rPr>
            </w:pPr>
            <w:r w:rsidRPr="00314814">
              <w:rPr>
                <w:rFonts w:ascii="Times New Roman" w:hAnsi="Times New Roman" w:cs="Times New Roman"/>
                <w:color w:val="000000"/>
                <w:sz w:val="14"/>
                <w:szCs w:val="14"/>
              </w:rPr>
              <w:t>Nové voľby - samospráva obce</w:t>
            </w:r>
          </w:p>
        </w:tc>
        <w:tc>
          <w:tcPr>
            <w:tcW w:w="992" w:type="dxa"/>
            <w:tcBorders>
              <w:bottom w:val="single" w:sz="4" w:space="0" w:color="auto"/>
            </w:tcBorders>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56 788</w:t>
            </w:r>
          </w:p>
        </w:tc>
        <w:tc>
          <w:tcPr>
            <w:tcW w:w="992" w:type="dxa"/>
            <w:tcBorders>
              <w:bottom w:val="single" w:sz="4" w:space="0" w:color="auto"/>
            </w:tcBorders>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50 768</w:t>
            </w:r>
          </w:p>
        </w:tc>
        <w:tc>
          <w:tcPr>
            <w:tcW w:w="992" w:type="dxa"/>
            <w:tcBorders>
              <w:bottom w:val="single" w:sz="4" w:space="0" w:color="auto"/>
            </w:tcBorders>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271 463</w:t>
            </w:r>
          </w:p>
        </w:tc>
        <w:tc>
          <w:tcPr>
            <w:tcW w:w="992" w:type="dxa"/>
            <w:tcBorders>
              <w:bottom w:val="single" w:sz="4" w:space="0" w:color="auto"/>
            </w:tcBorders>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271 463</w:t>
            </w:r>
          </w:p>
        </w:tc>
        <w:tc>
          <w:tcPr>
            <w:tcW w:w="992" w:type="dxa"/>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271 464</w:t>
            </w:r>
          </w:p>
        </w:tc>
        <w:tc>
          <w:tcPr>
            <w:tcW w:w="992" w:type="dxa"/>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271 464</w:t>
            </w:r>
          </w:p>
        </w:tc>
        <w:tc>
          <w:tcPr>
            <w:tcW w:w="993" w:type="dxa"/>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274 190</w:t>
            </w:r>
          </w:p>
        </w:tc>
      </w:tr>
      <w:tr w:rsidR="003A497B" w:rsidRPr="00314814" w:rsidTr="003E1809">
        <w:trPr>
          <w:trHeight w:val="241"/>
        </w:trPr>
        <w:tc>
          <w:tcPr>
            <w:tcW w:w="2142" w:type="dxa"/>
            <w:shd w:val="clear" w:color="auto" w:fill="auto"/>
            <w:noWrap/>
            <w:vAlign w:val="bottom"/>
          </w:tcPr>
          <w:p w:rsidR="003A497B" w:rsidRPr="00314814" w:rsidRDefault="003A497B" w:rsidP="003E1809">
            <w:pPr>
              <w:rPr>
                <w:rFonts w:ascii="Times New Roman" w:hAnsi="Times New Roman" w:cs="Times New Roman"/>
                <w:color w:val="000000"/>
                <w:sz w:val="14"/>
                <w:szCs w:val="14"/>
              </w:rPr>
            </w:pPr>
            <w:r w:rsidRPr="00314814">
              <w:rPr>
                <w:rFonts w:ascii="Times New Roman" w:hAnsi="Times New Roman" w:cs="Times New Roman"/>
                <w:color w:val="000000"/>
                <w:sz w:val="14"/>
                <w:szCs w:val="14"/>
              </w:rPr>
              <w:t>NR SR</w:t>
            </w:r>
          </w:p>
        </w:tc>
        <w:tc>
          <w:tcPr>
            <w:tcW w:w="992" w:type="dxa"/>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7 247 317</w:t>
            </w:r>
          </w:p>
        </w:tc>
        <w:tc>
          <w:tcPr>
            <w:tcW w:w="992" w:type="dxa"/>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0</w:t>
            </w:r>
          </w:p>
        </w:tc>
        <w:tc>
          <w:tcPr>
            <w:tcW w:w="992" w:type="dxa"/>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9 147 075</w:t>
            </w:r>
          </w:p>
        </w:tc>
        <w:tc>
          <w:tcPr>
            <w:tcW w:w="993" w:type="dxa"/>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0</w:t>
            </w:r>
          </w:p>
        </w:tc>
      </w:tr>
      <w:tr w:rsidR="003A497B" w:rsidRPr="00314814" w:rsidTr="003E1809">
        <w:trPr>
          <w:trHeight w:val="241"/>
        </w:trPr>
        <w:tc>
          <w:tcPr>
            <w:tcW w:w="2142" w:type="dxa"/>
            <w:shd w:val="clear" w:color="auto" w:fill="auto"/>
            <w:noWrap/>
            <w:vAlign w:val="bottom"/>
          </w:tcPr>
          <w:p w:rsidR="003A497B" w:rsidRPr="00314814" w:rsidRDefault="003A497B" w:rsidP="003E1809">
            <w:pPr>
              <w:rPr>
                <w:rFonts w:ascii="Times New Roman" w:hAnsi="Times New Roman" w:cs="Times New Roman"/>
                <w:color w:val="000000"/>
                <w:sz w:val="14"/>
                <w:szCs w:val="14"/>
              </w:rPr>
            </w:pPr>
            <w:r w:rsidRPr="00314814">
              <w:rPr>
                <w:rFonts w:ascii="Times New Roman" w:hAnsi="Times New Roman" w:cs="Times New Roman"/>
                <w:color w:val="000000"/>
                <w:sz w:val="14"/>
                <w:szCs w:val="14"/>
              </w:rPr>
              <w:t>Referendum</w:t>
            </w:r>
          </w:p>
        </w:tc>
        <w:tc>
          <w:tcPr>
            <w:tcW w:w="992" w:type="dxa"/>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2" w:type="dxa"/>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93" w:type="dxa"/>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r>
    </w:tbl>
    <w:p w:rsidR="003A497B" w:rsidRPr="00314814" w:rsidRDefault="003A497B" w:rsidP="003A497B">
      <w:pPr>
        <w:jc w:val="both"/>
        <w:rPr>
          <w:rFonts w:ascii="Times New Roman" w:hAnsi="Times New Roman" w:cs="Times New Roman"/>
          <w:sz w:val="22"/>
          <w:szCs w:val="22"/>
          <w:highlight w:val="yellow"/>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Nárast výdavkov je spôsobený vyšším rozpočtovaním výdavkov na voľby prezidenta a voľby do Európskeho parlamentu.</w:t>
      </w:r>
    </w:p>
    <w:p w:rsidR="003A497B" w:rsidRPr="00314814" w:rsidRDefault="003A497B" w:rsidP="003A497B">
      <w:pPr>
        <w:jc w:val="both"/>
        <w:rPr>
          <w:rFonts w:ascii="Times New Roman" w:hAnsi="Times New Roman" w:cs="Times New Roman"/>
          <w:b/>
        </w:rPr>
      </w:pPr>
    </w:p>
    <w:p w:rsidR="003A497B" w:rsidRPr="00314814" w:rsidRDefault="003A497B" w:rsidP="003A497B">
      <w:pPr>
        <w:jc w:val="both"/>
        <w:rPr>
          <w:rFonts w:ascii="Times New Roman" w:hAnsi="Times New Roman" w:cs="Times New Roman"/>
          <w:b/>
          <w:sz w:val="22"/>
          <w:szCs w:val="22"/>
        </w:rPr>
      </w:pPr>
      <w:r w:rsidRPr="00314814">
        <w:rPr>
          <w:rFonts w:ascii="Times New Roman" w:hAnsi="Times New Roman" w:cs="Times New Roman"/>
          <w:b/>
        </w:rPr>
        <w:t>Projekty Európskej únie spolufinancované zo ŠR</w:t>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t xml:space="preserve">                                      </w:t>
      </w:r>
    </w:p>
    <w:tbl>
      <w:tblPr>
        <w:tblW w:w="5000" w:type="pct"/>
        <w:tblCellMar>
          <w:left w:w="70" w:type="dxa"/>
          <w:right w:w="70" w:type="dxa"/>
        </w:tblCellMar>
        <w:tblLook w:val="04A0" w:firstRow="1" w:lastRow="0" w:firstColumn="1" w:lastColumn="0" w:noHBand="0" w:noVBand="1"/>
      </w:tblPr>
      <w:tblGrid>
        <w:gridCol w:w="1859"/>
        <w:gridCol w:w="1030"/>
        <w:gridCol w:w="1029"/>
        <w:gridCol w:w="1029"/>
        <w:gridCol w:w="1029"/>
        <w:gridCol w:w="1029"/>
        <w:gridCol w:w="1029"/>
        <w:gridCol w:w="1028"/>
      </w:tblGrid>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rPr>
                <w:rFonts w:ascii="Times New Roman" w:hAnsi="Times New Roman" w:cs="Times New Roman"/>
                <w:b/>
                <w:sz w:val="14"/>
                <w:szCs w:val="14"/>
              </w:rPr>
            </w:pPr>
            <w:r w:rsidRPr="00314814">
              <w:rPr>
                <w:rFonts w:ascii="Times New Roman" w:hAnsi="Times New Roman" w:cs="Times New Roman"/>
                <w:b/>
                <w:sz w:val="14"/>
                <w:szCs w:val="14"/>
              </w:rPr>
              <w:t>v eurách</w:t>
            </w:r>
          </w:p>
        </w:tc>
        <w:tc>
          <w:tcPr>
            <w:tcW w:w="568" w:type="pct"/>
            <w:tcBorders>
              <w:top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2016 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highlight w:val="yellow"/>
              </w:rPr>
            </w:pPr>
            <w:r w:rsidRPr="00314814">
              <w:rPr>
                <w:rFonts w:ascii="Times New Roman" w:hAnsi="Times New Roman" w:cs="Times New Roman"/>
                <w:b/>
                <w:bCs/>
                <w:color w:val="000000"/>
                <w:sz w:val="14"/>
                <w:szCs w:val="14"/>
              </w:rPr>
              <w:t>2017 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R</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OS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2019 N</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2020 N</w:t>
            </w:r>
          </w:p>
        </w:tc>
        <w:tc>
          <w:tcPr>
            <w:tcW w:w="5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2021 N</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rPr>
                <w:rFonts w:ascii="Times New Roman" w:hAnsi="Times New Roman" w:cs="Times New Roman"/>
                <w:b/>
                <w:bCs/>
                <w:sz w:val="14"/>
                <w:szCs w:val="14"/>
              </w:rPr>
            </w:pPr>
            <w:r w:rsidRPr="00314814">
              <w:rPr>
                <w:rFonts w:ascii="Times New Roman" w:hAnsi="Times New Roman" w:cs="Times New Roman"/>
                <w:b/>
                <w:bCs/>
                <w:sz w:val="14"/>
                <w:szCs w:val="14"/>
              </w:rPr>
              <w:t>Projekty Európskej únie</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b/>
                <w:bCs/>
                <w:sz w:val="14"/>
                <w:szCs w:val="14"/>
                <w:highlight w:val="yellow"/>
              </w:rPr>
            </w:pPr>
            <w:r w:rsidRPr="00314814">
              <w:rPr>
                <w:rFonts w:ascii="Times New Roman" w:hAnsi="Times New Roman" w:cs="Times New Roman"/>
                <w:b/>
                <w:bCs/>
                <w:sz w:val="14"/>
                <w:szCs w:val="14"/>
              </w:rPr>
              <w:t>600 393</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b/>
                <w:bCs/>
                <w:sz w:val="14"/>
                <w:szCs w:val="14"/>
                <w:highlight w:val="yellow"/>
              </w:rPr>
            </w:pPr>
            <w:r w:rsidRPr="00314814">
              <w:rPr>
                <w:rFonts w:ascii="Times New Roman" w:hAnsi="Times New Roman" w:cs="Times New Roman"/>
                <w:b/>
                <w:bCs/>
                <w:sz w:val="14"/>
                <w:szCs w:val="14"/>
              </w:rPr>
              <w:t>2 149 957</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4 565 875</w:t>
            </w:r>
          </w:p>
        </w:tc>
        <w:tc>
          <w:tcPr>
            <w:tcW w:w="568" w:type="pct"/>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8 085 186</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947 709</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rPr>
            </w:pPr>
            <w:r w:rsidRPr="00314814">
              <w:rPr>
                <w:rFonts w:ascii="Times New Roman" w:hAnsi="Times New Roman" w:cs="Times New Roman"/>
                <w:b/>
                <w:sz w:val="14"/>
                <w:szCs w:val="14"/>
              </w:rPr>
              <w:t>350 000</w:t>
            </w:r>
          </w:p>
        </w:tc>
        <w:tc>
          <w:tcPr>
            <w:tcW w:w="567"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rPr>
            </w:pPr>
            <w:r w:rsidRPr="00314814">
              <w:rPr>
                <w:rFonts w:ascii="Times New Roman" w:hAnsi="Times New Roman" w:cs="Times New Roman"/>
                <w:b/>
                <w:sz w:val="14"/>
                <w:szCs w:val="14"/>
              </w:rPr>
              <w:t>350 000</w:t>
            </w:r>
          </w:p>
        </w:tc>
      </w:tr>
    </w:tbl>
    <w:p w:rsidR="003A497B" w:rsidRPr="00314814" w:rsidRDefault="003A497B" w:rsidP="003A497B">
      <w:pPr>
        <w:jc w:val="both"/>
        <w:rPr>
          <w:rFonts w:ascii="Times New Roman" w:hAnsi="Times New Roman" w:cs="Times New Roman"/>
          <w:sz w:val="22"/>
          <w:szCs w:val="22"/>
          <w:highlight w:val="yellow"/>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lastRenderedPageBreak/>
        <w:t>Ide o podprogram, ktorý zahŕňa projekty Európskej únie a Európske fondy. Dôvodom poklesu výdavkov je nerozpočtovanie prostriedkov z nových zahraničných grantov, ako tomu bolo v roku 2018.</w:t>
      </w:r>
    </w:p>
    <w:p w:rsidR="003A497B" w:rsidRPr="00314814" w:rsidRDefault="003A497B" w:rsidP="003A497B">
      <w:pPr>
        <w:rPr>
          <w:rFonts w:ascii="Times New Roman" w:hAnsi="Times New Roman" w:cs="Times New Roman"/>
        </w:rPr>
      </w:pPr>
    </w:p>
    <w:p w:rsidR="003A497B" w:rsidRPr="00314814" w:rsidRDefault="003A497B" w:rsidP="003A497B">
      <w:pPr>
        <w:jc w:val="both"/>
        <w:rPr>
          <w:rFonts w:ascii="Times New Roman" w:hAnsi="Times New Roman" w:cs="Times New Roman"/>
          <w:b/>
          <w:lang w:eastAsia="sk-SK"/>
        </w:rPr>
      </w:pPr>
      <w:r w:rsidRPr="00314814">
        <w:rPr>
          <w:rFonts w:ascii="Times New Roman" w:hAnsi="Times New Roman" w:cs="Times New Roman"/>
          <w:b/>
          <w:lang w:eastAsia="sk-SK"/>
        </w:rPr>
        <w:t>Informačné technológie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6"/>
        <w:gridCol w:w="989"/>
        <w:gridCol w:w="989"/>
        <w:gridCol w:w="990"/>
        <w:gridCol w:w="990"/>
        <w:gridCol w:w="990"/>
        <w:gridCol w:w="990"/>
        <w:gridCol w:w="988"/>
      </w:tblGrid>
      <w:tr w:rsidR="003A497B" w:rsidRPr="00314814" w:rsidTr="003E1809">
        <w:trPr>
          <w:trHeight w:val="241"/>
        </w:trPr>
        <w:tc>
          <w:tcPr>
            <w:tcW w:w="1179" w:type="pct"/>
            <w:tcBorders>
              <w:top w:val="single" w:sz="4" w:space="0" w:color="auto"/>
              <w:bottom w:val="single" w:sz="4" w:space="0" w:color="auto"/>
            </w:tcBorders>
            <w:shd w:val="clear" w:color="auto" w:fill="A6A6A6" w:themeFill="background1" w:themeFillShade="A6"/>
            <w:noWrap/>
            <w:vAlign w:val="center"/>
          </w:tcPr>
          <w:p w:rsidR="003A497B" w:rsidRPr="00314814" w:rsidRDefault="003A497B" w:rsidP="003E1809">
            <w:pPr>
              <w:rPr>
                <w:rFonts w:ascii="Times New Roman" w:hAnsi="Times New Roman" w:cs="Times New Roman"/>
                <w:b/>
                <w:noProof/>
                <w:sz w:val="14"/>
                <w:szCs w:val="14"/>
                <w:lang w:eastAsia="sk-SK"/>
              </w:rPr>
            </w:pPr>
            <w:r w:rsidRPr="00314814">
              <w:rPr>
                <w:rFonts w:ascii="Times New Roman" w:hAnsi="Times New Roman" w:cs="Times New Roman"/>
                <w:b/>
                <w:noProof/>
                <w:sz w:val="14"/>
                <w:szCs w:val="14"/>
                <w:lang w:eastAsia="sk-SK"/>
              </w:rPr>
              <w:br w:type="page"/>
              <w:t> v eurách</w:t>
            </w:r>
          </w:p>
        </w:tc>
        <w:tc>
          <w:tcPr>
            <w:tcW w:w="546" w:type="pct"/>
            <w:tcBorders>
              <w:top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2016 S</w:t>
            </w:r>
          </w:p>
        </w:tc>
        <w:tc>
          <w:tcPr>
            <w:tcW w:w="5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highlight w:val="yellow"/>
              </w:rPr>
            </w:pPr>
            <w:r w:rsidRPr="00314814">
              <w:rPr>
                <w:rFonts w:ascii="Times New Roman" w:hAnsi="Times New Roman" w:cs="Times New Roman"/>
                <w:b/>
                <w:bCs/>
                <w:color w:val="000000"/>
                <w:sz w:val="14"/>
                <w:szCs w:val="14"/>
              </w:rPr>
              <w:t>2017 S</w:t>
            </w:r>
          </w:p>
        </w:tc>
        <w:tc>
          <w:tcPr>
            <w:tcW w:w="5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R</w:t>
            </w:r>
          </w:p>
        </w:tc>
        <w:tc>
          <w:tcPr>
            <w:tcW w:w="5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OS</w:t>
            </w:r>
          </w:p>
        </w:tc>
        <w:tc>
          <w:tcPr>
            <w:tcW w:w="5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2019 N</w:t>
            </w:r>
          </w:p>
        </w:tc>
        <w:tc>
          <w:tcPr>
            <w:tcW w:w="5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2020 N</w:t>
            </w:r>
          </w:p>
        </w:tc>
        <w:tc>
          <w:tcPr>
            <w:tcW w:w="54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2021 N</w:t>
            </w:r>
          </w:p>
        </w:tc>
      </w:tr>
      <w:tr w:rsidR="003A497B" w:rsidRPr="00314814" w:rsidTr="003E1809">
        <w:trPr>
          <w:trHeight w:val="241"/>
        </w:trPr>
        <w:tc>
          <w:tcPr>
            <w:tcW w:w="1179" w:type="pct"/>
            <w:shd w:val="clear" w:color="auto" w:fill="BFBFBF" w:themeFill="background1" w:themeFillShade="BF"/>
            <w:noWrap/>
            <w:vAlign w:val="bottom"/>
          </w:tcPr>
          <w:p w:rsidR="003A497B" w:rsidRPr="00314814" w:rsidRDefault="003A497B" w:rsidP="003E1809">
            <w:pPr>
              <w:rPr>
                <w:rFonts w:ascii="Times New Roman" w:hAnsi="Times New Roman" w:cs="Times New Roman"/>
                <w:b/>
                <w:bCs/>
                <w:noProof/>
                <w:sz w:val="14"/>
                <w:szCs w:val="14"/>
                <w:lang w:eastAsia="sk-SK"/>
              </w:rPr>
            </w:pPr>
            <w:r w:rsidRPr="00314814">
              <w:rPr>
                <w:rFonts w:ascii="Times New Roman" w:hAnsi="Times New Roman" w:cs="Times New Roman"/>
                <w:b/>
                <w:bCs/>
                <w:noProof/>
                <w:sz w:val="14"/>
                <w:szCs w:val="14"/>
                <w:lang w:eastAsia="sk-SK"/>
              </w:rPr>
              <w:t>Informačné technológie</w:t>
            </w:r>
          </w:p>
        </w:tc>
        <w:tc>
          <w:tcPr>
            <w:tcW w:w="546" w:type="pct"/>
            <w:shd w:val="clear" w:color="auto" w:fill="BFBFBF" w:themeFill="background1" w:themeFillShade="BF"/>
            <w:vAlign w:val="bottom"/>
          </w:tcPr>
          <w:p w:rsidR="003A497B" w:rsidRPr="00314814" w:rsidRDefault="003A497B" w:rsidP="003E1809">
            <w:pPr>
              <w:jc w:val="right"/>
              <w:rPr>
                <w:rFonts w:ascii="Times New Roman" w:hAnsi="Times New Roman" w:cs="Times New Roman"/>
                <w:b/>
                <w:sz w:val="14"/>
                <w:szCs w:val="14"/>
              </w:rPr>
            </w:pPr>
            <w:r w:rsidRPr="00314814">
              <w:rPr>
                <w:rFonts w:ascii="Times New Roman" w:hAnsi="Times New Roman" w:cs="Times New Roman"/>
                <w:b/>
                <w:sz w:val="14"/>
                <w:szCs w:val="14"/>
              </w:rPr>
              <w:t>0</w:t>
            </w:r>
          </w:p>
        </w:tc>
        <w:tc>
          <w:tcPr>
            <w:tcW w:w="546" w:type="pct"/>
            <w:shd w:val="clear" w:color="auto" w:fill="BFBFBF" w:themeFill="background1" w:themeFillShade="BF"/>
            <w:vAlign w:val="bottom"/>
          </w:tcPr>
          <w:p w:rsidR="003A497B" w:rsidRPr="00314814" w:rsidRDefault="003A497B" w:rsidP="003E1809">
            <w:pPr>
              <w:jc w:val="right"/>
              <w:rPr>
                <w:rFonts w:ascii="Times New Roman" w:hAnsi="Times New Roman" w:cs="Times New Roman"/>
                <w:b/>
                <w:sz w:val="14"/>
                <w:szCs w:val="14"/>
              </w:rPr>
            </w:pPr>
            <w:r w:rsidRPr="00314814">
              <w:rPr>
                <w:rFonts w:ascii="Times New Roman" w:hAnsi="Times New Roman" w:cs="Times New Roman"/>
                <w:b/>
                <w:sz w:val="14"/>
                <w:szCs w:val="14"/>
              </w:rPr>
              <w:t>28 753 302</w:t>
            </w:r>
          </w:p>
        </w:tc>
        <w:tc>
          <w:tcPr>
            <w:tcW w:w="546" w:type="pct"/>
            <w:shd w:val="clear" w:color="auto" w:fill="BFBFBF" w:themeFill="background1" w:themeFillShade="BF"/>
            <w:vAlign w:val="bottom"/>
          </w:tcPr>
          <w:p w:rsidR="003A497B" w:rsidRPr="00314814" w:rsidRDefault="003A497B" w:rsidP="003E1809">
            <w:pPr>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43 426 730</w:t>
            </w:r>
          </w:p>
        </w:tc>
        <w:tc>
          <w:tcPr>
            <w:tcW w:w="546" w:type="pct"/>
            <w:shd w:val="clear" w:color="auto" w:fill="BFBFBF" w:themeFill="background1" w:themeFillShade="BF"/>
            <w:vAlign w:val="bottom"/>
          </w:tcPr>
          <w:p w:rsidR="003A497B" w:rsidRPr="00314814" w:rsidRDefault="003A497B" w:rsidP="003E1809">
            <w:pPr>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46 839 544</w:t>
            </w:r>
          </w:p>
        </w:tc>
        <w:tc>
          <w:tcPr>
            <w:tcW w:w="546" w:type="pct"/>
            <w:tcBorders>
              <w:top w:val="nil"/>
              <w:left w:val="nil"/>
              <w:bottom w:val="single" w:sz="4" w:space="0" w:color="auto"/>
              <w:right w:val="single" w:sz="4" w:space="0" w:color="auto"/>
            </w:tcBorders>
            <w:shd w:val="clear" w:color="auto" w:fill="BFBFBF" w:themeFill="background1" w:themeFillShade="BF"/>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43 983 506</w:t>
            </w:r>
          </w:p>
        </w:tc>
        <w:tc>
          <w:tcPr>
            <w:tcW w:w="546" w:type="pct"/>
            <w:tcBorders>
              <w:top w:val="nil"/>
              <w:left w:val="nil"/>
              <w:bottom w:val="single" w:sz="4" w:space="0" w:color="auto"/>
              <w:right w:val="single" w:sz="4" w:space="0" w:color="auto"/>
            </w:tcBorders>
            <w:shd w:val="clear" w:color="auto" w:fill="BFBFBF" w:themeFill="background1" w:themeFillShade="BF"/>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43 983 506</w:t>
            </w:r>
          </w:p>
        </w:tc>
        <w:tc>
          <w:tcPr>
            <w:tcW w:w="545" w:type="pct"/>
            <w:tcBorders>
              <w:top w:val="nil"/>
              <w:left w:val="nil"/>
              <w:bottom w:val="single" w:sz="4" w:space="0" w:color="auto"/>
              <w:right w:val="single" w:sz="4" w:space="0" w:color="auto"/>
            </w:tcBorders>
            <w:shd w:val="clear" w:color="auto" w:fill="BFBFBF" w:themeFill="background1" w:themeFillShade="BF"/>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43 983 506</w:t>
            </w:r>
          </w:p>
        </w:tc>
      </w:tr>
      <w:tr w:rsidR="003A497B" w:rsidRPr="00314814" w:rsidTr="003E1809">
        <w:trPr>
          <w:trHeight w:val="241"/>
        </w:trPr>
        <w:tc>
          <w:tcPr>
            <w:tcW w:w="1179" w:type="pct"/>
            <w:shd w:val="clear" w:color="auto" w:fill="auto"/>
            <w:noWrap/>
            <w:vAlign w:val="bottom"/>
          </w:tcPr>
          <w:p w:rsidR="003A497B" w:rsidRPr="00314814" w:rsidRDefault="003A497B" w:rsidP="003E1809">
            <w:pPr>
              <w:rPr>
                <w:rFonts w:ascii="Times New Roman" w:hAnsi="Times New Roman" w:cs="Times New Roman"/>
                <w:noProof/>
                <w:color w:val="000000"/>
                <w:sz w:val="14"/>
                <w:szCs w:val="14"/>
                <w:lang w:eastAsia="sk-SK"/>
              </w:rPr>
            </w:pPr>
            <w:r w:rsidRPr="00314814">
              <w:rPr>
                <w:rFonts w:ascii="Times New Roman" w:hAnsi="Times New Roman" w:cs="Times New Roman"/>
                <w:noProof/>
                <w:color w:val="000000"/>
                <w:sz w:val="14"/>
                <w:szCs w:val="14"/>
                <w:lang w:eastAsia="sk-SK"/>
              </w:rPr>
              <w:t>Systémy vnútornej správy</w:t>
            </w:r>
          </w:p>
        </w:tc>
        <w:tc>
          <w:tcPr>
            <w:tcW w:w="546" w:type="pct"/>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546" w:type="pct"/>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3 226 916</w:t>
            </w:r>
          </w:p>
        </w:tc>
        <w:tc>
          <w:tcPr>
            <w:tcW w:w="546" w:type="pct"/>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274 680</w:t>
            </w:r>
          </w:p>
        </w:tc>
        <w:tc>
          <w:tcPr>
            <w:tcW w:w="546" w:type="pct"/>
            <w:shd w:val="clear" w:color="auto" w:fill="FFFFFF" w:themeFill="background1"/>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3 107 739</w:t>
            </w:r>
          </w:p>
        </w:tc>
        <w:tc>
          <w:tcPr>
            <w:tcW w:w="546" w:type="pct"/>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117 400</w:t>
            </w:r>
          </w:p>
        </w:tc>
        <w:tc>
          <w:tcPr>
            <w:tcW w:w="546" w:type="pct"/>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117 400</w:t>
            </w:r>
          </w:p>
        </w:tc>
        <w:tc>
          <w:tcPr>
            <w:tcW w:w="545" w:type="pct"/>
            <w:shd w:val="clear" w:color="auto" w:fill="auto"/>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117 400</w:t>
            </w:r>
          </w:p>
        </w:tc>
      </w:tr>
      <w:tr w:rsidR="003A497B" w:rsidRPr="00314814" w:rsidTr="003E1809">
        <w:trPr>
          <w:trHeight w:val="241"/>
        </w:trPr>
        <w:tc>
          <w:tcPr>
            <w:tcW w:w="1179" w:type="pct"/>
            <w:shd w:val="clear" w:color="auto" w:fill="auto"/>
            <w:noWrap/>
            <w:vAlign w:val="bottom"/>
          </w:tcPr>
          <w:p w:rsidR="003A497B" w:rsidRPr="00314814" w:rsidRDefault="003A497B" w:rsidP="003E1809">
            <w:pPr>
              <w:rPr>
                <w:rFonts w:ascii="Times New Roman" w:hAnsi="Times New Roman" w:cs="Times New Roman"/>
                <w:noProof/>
                <w:color w:val="000000"/>
                <w:sz w:val="14"/>
                <w:szCs w:val="14"/>
                <w:lang w:eastAsia="sk-SK"/>
              </w:rPr>
            </w:pPr>
            <w:r w:rsidRPr="00314814">
              <w:rPr>
                <w:rFonts w:ascii="Times New Roman" w:hAnsi="Times New Roman" w:cs="Times New Roman"/>
                <w:noProof/>
                <w:color w:val="000000"/>
                <w:sz w:val="14"/>
                <w:szCs w:val="14"/>
                <w:lang w:eastAsia="sk-SK"/>
              </w:rPr>
              <w:t>Špecializované systémy</w:t>
            </w:r>
          </w:p>
        </w:tc>
        <w:tc>
          <w:tcPr>
            <w:tcW w:w="546" w:type="pct"/>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546" w:type="pct"/>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11 478 119</w:t>
            </w:r>
          </w:p>
        </w:tc>
        <w:tc>
          <w:tcPr>
            <w:tcW w:w="546" w:type="pct"/>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18 660 552</w:t>
            </w:r>
          </w:p>
        </w:tc>
        <w:tc>
          <w:tcPr>
            <w:tcW w:w="546" w:type="pct"/>
            <w:shd w:val="clear" w:color="auto" w:fill="FFFFFF" w:themeFill="background1"/>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9 153 549</w:t>
            </w:r>
          </w:p>
        </w:tc>
        <w:tc>
          <w:tcPr>
            <w:tcW w:w="546" w:type="pct"/>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6 700</w:t>
            </w:r>
          </w:p>
        </w:tc>
        <w:tc>
          <w:tcPr>
            <w:tcW w:w="546" w:type="pct"/>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6 700</w:t>
            </w:r>
          </w:p>
        </w:tc>
        <w:tc>
          <w:tcPr>
            <w:tcW w:w="545" w:type="pct"/>
            <w:shd w:val="clear" w:color="auto" w:fill="auto"/>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6 700</w:t>
            </w:r>
          </w:p>
        </w:tc>
      </w:tr>
      <w:tr w:rsidR="003A497B" w:rsidRPr="00314814" w:rsidTr="003E1809">
        <w:trPr>
          <w:trHeight w:val="241"/>
        </w:trPr>
        <w:tc>
          <w:tcPr>
            <w:tcW w:w="1179" w:type="pct"/>
            <w:shd w:val="clear" w:color="auto" w:fill="auto"/>
            <w:noWrap/>
            <w:vAlign w:val="bottom"/>
          </w:tcPr>
          <w:p w:rsidR="003A497B" w:rsidRPr="00314814" w:rsidRDefault="003A497B" w:rsidP="003E1809">
            <w:pPr>
              <w:rPr>
                <w:rFonts w:ascii="Times New Roman" w:hAnsi="Times New Roman" w:cs="Times New Roman"/>
                <w:noProof/>
                <w:color w:val="000000"/>
                <w:sz w:val="14"/>
                <w:szCs w:val="14"/>
                <w:lang w:eastAsia="sk-SK"/>
              </w:rPr>
            </w:pPr>
            <w:r w:rsidRPr="00314814">
              <w:rPr>
                <w:rFonts w:ascii="Times New Roman" w:hAnsi="Times New Roman" w:cs="Times New Roman"/>
                <w:noProof/>
                <w:color w:val="000000"/>
                <w:sz w:val="14"/>
                <w:szCs w:val="14"/>
                <w:lang w:eastAsia="sk-SK"/>
              </w:rPr>
              <w:t>Podporná infraštruktúra</w:t>
            </w:r>
          </w:p>
        </w:tc>
        <w:tc>
          <w:tcPr>
            <w:tcW w:w="546" w:type="pct"/>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546" w:type="pct"/>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14 048 267</w:t>
            </w:r>
          </w:p>
        </w:tc>
        <w:tc>
          <w:tcPr>
            <w:tcW w:w="546" w:type="pct"/>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24 491 498</w:t>
            </w:r>
          </w:p>
        </w:tc>
        <w:tc>
          <w:tcPr>
            <w:tcW w:w="546" w:type="pct"/>
            <w:shd w:val="clear" w:color="auto" w:fill="FFFFFF" w:themeFill="background1"/>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34 578 256</w:t>
            </w:r>
          </w:p>
        </w:tc>
        <w:tc>
          <w:tcPr>
            <w:tcW w:w="546" w:type="pct"/>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23 082 074</w:t>
            </w:r>
          </w:p>
        </w:tc>
        <w:tc>
          <w:tcPr>
            <w:tcW w:w="546" w:type="pct"/>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23 082 074</w:t>
            </w:r>
          </w:p>
        </w:tc>
        <w:tc>
          <w:tcPr>
            <w:tcW w:w="545" w:type="pct"/>
            <w:shd w:val="clear" w:color="auto" w:fill="auto"/>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23 082 074</w:t>
            </w:r>
          </w:p>
        </w:tc>
      </w:tr>
      <w:tr w:rsidR="003A497B" w:rsidRPr="00314814" w:rsidTr="003E1809">
        <w:trPr>
          <w:trHeight w:val="241"/>
        </w:trPr>
        <w:tc>
          <w:tcPr>
            <w:tcW w:w="1179" w:type="pct"/>
            <w:shd w:val="clear" w:color="auto" w:fill="auto"/>
            <w:noWrap/>
            <w:vAlign w:val="bottom"/>
          </w:tcPr>
          <w:p w:rsidR="003A497B" w:rsidRPr="00314814" w:rsidRDefault="003A497B" w:rsidP="003E1809">
            <w:pPr>
              <w:rPr>
                <w:rFonts w:ascii="Times New Roman" w:hAnsi="Times New Roman" w:cs="Times New Roman"/>
                <w:noProof/>
                <w:color w:val="000000"/>
                <w:sz w:val="14"/>
                <w:szCs w:val="14"/>
                <w:lang w:eastAsia="sk-SK"/>
              </w:rPr>
            </w:pPr>
            <w:r w:rsidRPr="00314814">
              <w:rPr>
                <w:rFonts w:ascii="Times New Roman" w:hAnsi="Times New Roman" w:cs="Times New Roman"/>
                <w:noProof/>
                <w:color w:val="000000"/>
                <w:sz w:val="14"/>
                <w:szCs w:val="14"/>
                <w:lang w:eastAsia="sk-SK"/>
              </w:rPr>
              <w:t>Národné informačné systémy</w:t>
            </w:r>
          </w:p>
        </w:tc>
        <w:tc>
          <w:tcPr>
            <w:tcW w:w="546" w:type="pct"/>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546" w:type="pct"/>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546" w:type="pct"/>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546" w:type="pct"/>
            <w:shd w:val="clear" w:color="auto" w:fill="FFFFFF" w:themeFill="background1"/>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546" w:type="pct"/>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17 288 472</w:t>
            </w:r>
          </w:p>
        </w:tc>
        <w:tc>
          <w:tcPr>
            <w:tcW w:w="546" w:type="pct"/>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17 288 472</w:t>
            </w:r>
          </w:p>
        </w:tc>
        <w:tc>
          <w:tcPr>
            <w:tcW w:w="545" w:type="pct"/>
            <w:shd w:val="clear" w:color="auto" w:fill="auto"/>
            <w:noWrap/>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17 288 472</w:t>
            </w:r>
          </w:p>
        </w:tc>
      </w:tr>
      <w:tr w:rsidR="003A497B" w:rsidRPr="00314814" w:rsidTr="003E1809">
        <w:trPr>
          <w:trHeight w:val="241"/>
        </w:trPr>
        <w:tc>
          <w:tcPr>
            <w:tcW w:w="1179" w:type="pct"/>
            <w:shd w:val="clear" w:color="auto" w:fill="auto"/>
            <w:noWrap/>
            <w:vAlign w:val="bottom"/>
          </w:tcPr>
          <w:p w:rsidR="003A497B" w:rsidRPr="00314814" w:rsidRDefault="003A497B" w:rsidP="003E1809">
            <w:pPr>
              <w:rPr>
                <w:rFonts w:ascii="Times New Roman" w:hAnsi="Times New Roman" w:cs="Times New Roman"/>
                <w:noProof/>
                <w:color w:val="000000"/>
                <w:sz w:val="14"/>
                <w:szCs w:val="14"/>
                <w:lang w:eastAsia="sk-SK"/>
              </w:rPr>
            </w:pPr>
            <w:r w:rsidRPr="00314814">
              <w:rPr>
                <w:rFonts w:ascii="Times New Roman" w:hAnsi="Times New Roman" w:cs="Times New Roman"/>
                <w:noProof/>
                <w:color w:val="000000"/>
                <w:sz w:val="14"/>
                <w:szCs w:val="14"/>
                <w:lang w:eastAsia="sk-SK"/>
              </w:rPr>
              <w:t>Medzinárodné informačné systémy</w:t>
            </w:r>
          </w:p>
        </w:tc>
        <w:tc>
          <w:tcPr>
            <w:tcW w:w="546" w:type="pct"/>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546" w:type="pct"/>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546" w:type="pct"/>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546" w:type="pct"/>
            <w:shd w:val="clear" w:color="auto" w:fill="FFFFFF" w:themeFill="background1"/>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546" w:type="pct"/>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3 488 860</w:t>
            </w:r>
          </w:p>
        </w:tc>
        <w:tc>
          <w:tcPr>
            <w:tcW w:w="546" w:type="pct"/>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3 488 860</w:t>
            </w:r>
          </w:p>
        </w:tc>
        <w:tc>
          <w:tcPr>
            <w:tcW w:w="545" w:type="pct"/>
            <w:shd w:val="clear" w:color="auto" w:fill="auto"/>
            <w:noWrap/>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3 488 860</w:t>
            </w:r>
          </w:p>
        </w:tc>
      </w:tr>
    </w:tbl>
    <w:p w:rsidR="003A497B" w:rsidRPr="00314814" w:rsidRDefault="003A497B" w:rsidP="003A497B">
      <w:pPr>
        <w:jc w:val="both"/>
        <w:rPr>
          <w:rFonts w:ascii="Arial Narrow" w:hAnsi="Arial Narrow" w:cs="Times New Roman"/>
          <w:b/>
          <w:sz w:val="22"/>
          <w:szCs w:val="22"/>
          <w:highlight w:val="yellow"/>
          <w:u w:val="single"/>
          <w:lang w:eastAsia="sk-SK"/>
        </w:rPr>
      </w:pPr>
    </w:p>
    <w:p w:rsidR="003A497B" w:rsidRPr="00314814" w:rsidRDefault="003A497B" w:rsidP="003A497B">
      <w:pPr>
        <w:ind w:firstLine="708"/>
        <w:jc w:val="both"/>
        <w:rPr>
          <w:rFonts w:ascii="Times New Roman" w:hAnsi="Times New Roman" w:cs="Times New Roman"/>
          <w:b/>
          <w:highlight w:val="yellow"/>
          <w:lang w:eastAsia="sk-SK"/>
        </w:rPr>
      </w:pPr>
      <w:r w:rsidRPr="00314814">
        <w:rPr>
          <w:rFonts w:ascii="Times New Roman" w:hAnsi="Times New Roman" w:cs="Times New Roman"/>
          <w:lang w:eastAsia="sk-SK"/>
        </w:rPr>
        <w:t xml:space="preserve">V rámci tohto programu má úrad vytvorený podprogram, pre ktorý vyčlenil z prideleného limitu výdavkov na rok 2019 sumu 38,9 mil. eur (bežné výdavky) a sumu </w:t>
      </w:r>
      <w:r>
        <w:rPr>
          <w:rFonts w:ascii="Times New Roman" w:hAnsi="Times New Roman" w:cs="Times New Roman"/>
          <w:lang w:eastAsia="sk-SK"/>
        </w:rPr>
        <w:br/>
      </w:r>
      <w:r w:rsidRPr="00314814">
        <w:rPr>
          <w:rFonts w:ascii="Times New Roman" w:hAnsi="Times New Roman" w:cs="Times New Roman"/>
          <w:lang w:eastAsia="sk-SK"/>
        </w:rPr>
        <w:t>5,0 mil. eur (kapitálové výdavky).</w:t>
      </w:r>
    </w:p>
    <w:p w:rsidR="003A497B" w:rsidRPr="00314814" w:rsidRDefault="003A497B" w:rsidP="003A497B">
      <w:pPr>
        <w:jc w:val="center"/>
        <w:rPr>
          <w:rFonts w:ascii="Times New Roman" w:hAnsi="Times New Roman" w:cs="Times New Roman"/>
          <w:b/>
        </w:rPr>
      </w:pPr>
    </w:p>
    <w:p w:rsidR="003A497B" w:rsidRPr="00314814" w:rsidRDefault="003A497B" w:rsidP="003A497B">
      <w:pPr>
        <w:jc w:val="both"/>
        <w:rPr>
          <w:rFonts w:ascii="Times New Roman" w:hAnsi="Times New Roman" w:cs="Times New Roman"/>
          <w:b/>
          <w:sz w:val="22"/>
          <w:szCs w:val="22"/>
          <w:highlight w:val="yellow"/>
        </w:rPr>
      </w:pPr>
      <w:r w:rsidRPr="00314814">
        <w:rPr>
          <w:rFonts w:ascii="Times New Roman" w:hAnsi="Times New Roman" w:cs="Times New Roman"/>
          <w:b/>
        </w:rPr>
        <w:t>Odvod časti poistného z povinného zmluvného poistenia</w:t>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t xml:space="preserve">        </w:t>
      </w:r>
      <w:r w:rsidRPr="00314814">
        <w:rPr>
          <w:rFonts w:ascii="Times New Roman" w:hAnsi="Times New Roman" w:cs="Times New Roman"/>
          <w:b/>
          <w:sz w:val="22"/>
          <w:szCs w:val="22"/>
          <w:highlight w:val="yellow"/>
        </w:rPr>
        <w:t xml:space="preserve">                              </w:t>
      </w:r>
    </w:p>
    <w:tbl>
      <w:tblPr>
        <w:tblW w:w="5000" w:type="pct"/>
        <w:tblCellMar>
          <w:left w:w="70" w:type="dxa"/>
          <w:right w:w="70" w:type="dxa"/>
        </w:tblCellMar>
        <w:tblLook w:val="04A0" w:firstRow="1" w:lastRow="0" w:firstColumn="1" w:lastColumn="0" w:noHBand="0" w:noVBand="1"/>
      </w:tblPr>
      <w:tblGrid>
        <w:gridCol w:w="1859"/>
        <w:gridCol w:w="1030"/>
        <w:gridCol w:w="1029"/>
        <w:gridCol w:w="1029"/>
        <w:gridCol w:w="1029"/>
        <w:gridCol w:w="1029"/>
        <w:gridCol w:w="1029"/>
        <w:gridCol w:w="1028"/>
      </w:tblGrid>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rPr>
                <w:rFonts w:ascii="Times New Roman" w:hAnsi="Times New Roman" w:cs="Times New Roman"/>
                <w:b/>
                <w:sz w:val="14"/>
                <w:szCs w:val="14"/>
              </w:rPr>
            </w:pPr>
            <w:r w:rsidRPr="00314814">
              <w:rPr>
                <w:rFonts w:ascii="Times New Roman" w:hAnsi="Times New Roman" w:cs="Times New Roman"/>
                <w:b/>
                <w:sz w:val="14"/>
                <w:szCs w:val="14"/>
              </w:rPr>
              <w:t>v eurách</w:t>
            </w:r>
          </w:p>
        </w:tc>
        <w:tc>
          <w:tcPr>
            <w:tcW w:w="568" w:type="pct"/>
            <w:tcBorders>
              <w:top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2016 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highlight w:val="yellow"/>
              </w:rPr>
            </w:pPr>
            <w:r w:rsidRPr="00314814">
              <w:rPr>
                <w:rFonts w:ascii="Times New Roman" w:hAnsi="Times New Roman" w:cs="Times New Roman"/>
                <w:b/>
                <w:bCs/>
                <w:color w:val="000000"/>
                <w:sz w:val="14"/>
                <w:szCs w:val="14"/>
              </w:rPr>
              <w:t>2017 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R</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OS</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2019 N</w:t>
            </w:r>
          </w:p>
        </w:tc>
        <w:tc>
          <w:tcPr>
            <w:tcW w:w="56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2020 N</w:t>
            </w:r>
          </w:p>
        </w:tc>
        <w:tc>
          <w:tcPr>
            <w:tcW w:w="5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2021 N</w:t>
            </w:r>
          </w:p>
        </w:tc>
      </w:tr>
      <w:tr w:rsidR="003A497B" w:rsidRPr="00314814" w:rsidTr="003E1809">
        <w:trPr>
          <w:trHeight w:val="261"/>
        </w:trPr>
        <w:tc>
          <w:tcPr>
            <w:tcW w:w="1025" w:type="pct"/>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rPr>
                <w:rFonts w:ascii="Times New Roman" w:hAnsi="Times New Roman" w:cs="Times New Roman"/>
                <w:b/>
                <w:sz w:val="14"/>
                <w:szCs w:val="14"/>
              </w:rPr>
            </w:pPr>
            <w:r w:rsidRPr="00314814">
              <w:rPr>
                <w:rFonts w:ascii="Times New Roman" w:hAnsi="Times New Roman" w:cs="Times New Roman"/>
                <w:b/>
                <w:sz w:val="14"/>
                <w:szCs w:val="14"/>
              </w:rPr>
              <w:t>Odvod časti poistného z PZP</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eastAsiaTheme="minorHAnsi" w:hAnsi="Times New Roman" w:cs="Times New Roman"/>
                <w:b/>
                <w:sz w:val="14"/>
                <w:szCs w:val="14"/>
              </w:rPr>
            </w:pPr>
            <w:r w:rsidRPr="00314814">
              <w:rPr>
                <w:rFonts w:ascii="Times New Roman" w:hAnsi="Times New Roman" w:cs="Times New Roman"/>
                <w:b/>
                <w:sz w:val="14"/>
                <w:szCs w:val="14"/>
              </w:rPr>
              <w:t xml:space="preserve">22 424 119   </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eastAsiaTheme="minorHAnsi" w:hAnsi="Times New Roman" w:cs="Times New Roman"/>
                <w:b/>
                <w:sz w:val="14"/>
                <w:szCs w:val="14"/>
              </w:rPr>
            </w:pPr>
            <w:r w:rsidRPr="00314814">
              <w:rPr>
                <w:rFonts w:ascii="Times New Roman" w:eastAsiaTheme="minorHAnsi" w:hAnsi="Times New Roman" w:cs="Times New Roman"/>
                <w:b/>
                <w:sz w:val="14"/>
                <w:szCs w:val="14"/>
              </w:rPr>
              <w:t>23 316 983</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jc w:val="right"/>
              <w:rPr>
                <w:rFonts w:ascii="Times New Roman" w:eastAsiaTheme="minorHAnsi" w:hAnsi="Times New Roman" w:cs="Times New Roman"/>
                <w:b/>
                <w:sz w:val="14"/>
                <w:szCs w:val="14"/>
              </w:rPr>
            </w:pPr>
            <w:r w:rsidRPr="00314814">
              <w:rPr>
                <w:rFonts w:ascii="Times New Roman" w:hAnsi="Times New Roman" w:cs="Times New Roman"/>
                <w:b/>
                <w:sz w:val="14"/>
                <w:szCs w:val="14"/>
              </w:rPr>
              <w:t>25 593 707</w:t>
            </w:r>
          </w:p>
        </w:tc>
        <w:tc>
          <w:tcPr>
            <w:tcW w:w="568" w:type="pct"/>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eastAsiaTheme="minorHAnsi" w:hAnsi="Times New Roman" w:cs="Times New Roman"/>
                <w:b/>
                <w:sz w:val="14"/>
                <w:szCs w:val="14"/>
              </w:rPr>
            </w:pPr>
            <w:r w:rsidRPr="00314814">
              <w:rPr>
                <w:rFonts w:ascii="Times New Roman" w:hAnsi="Times New Roman" w:cs="Times New Roman"/>
                <w:b/>
                <w:sz w:val="14"/>
                <w:szCs w:val="14"/>
              </w:rPr>
              <w:t>25 593 707</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rPr>
            </w:pPr>
            <w:r w:rsidRPr="00314814">
              <w:rPr>
                <w:rFonts w:ascii="Times New Roman" w:hAnsi="Times New Roman" w:cs="Times New Roman"/>
                <w:b/>
                <w:sz w:val="14"/>
                <w:szCs w:val="14"/>
              </w:rPr>
              <w:t>26 633 000</w:t>
            </w:r>
          </w:p>
        </w:tc>
        <w:tc>
          <w:tcPr>
            <w:tcW w:w="568"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rPr>
            </w:pPr>
            <w:r w:rsidRPr="00314814">
              <w:rPr>
                <w:rFonts w:ascii="Times New Roman" w:hAnsi="Times New Roman" w:cs="Times New Roman"/>
                <w:b/>
                <w:sz w:val="14"/>
                <w:szCs w:val="14"/>
              </w:rPr>
              <w:t>27 837 000</w:t>
            </w:r>
          </w:p>
        </w:tc>
        <w:tc>
          <w:tcPr>
            <w:tcW w:w="567" w:type="pct"/>
            <w:tcBorders>
              <w:top w:val="single" w:sz="4" w:space="0" w:color="auto"/>
              <w:left w:val="nil"/>
              <w:bottom w:val="single" w:sz="4" w:space="0" w:color="auto"/>
              <w:right w:val="single" w:sz="4" w:space="0" w:color="auto"/>
            </w:tcBorders>
            <w:shd w:val="clear" w:color="auto" w:fill="auto"/>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rPr>
            </w:pPr>
            <w:r w:rsidRPr="00314814">
              <w:rPr>
                <w:rFonts w:ascii="Times New Roman" w:hAnsi="Times New Roman" w:cs="Times New Roman"/>
                <w:b/>
                <w:sz w:val="14"/>
                <w:szCs w:val="14"/>
              </w:rPr>
              <w:t>28 914 000</w:t>
            </w:r>
          </w:p>
        </w:tc>
      </w:tr>
    </w:tbl>
    <w:p w:rsidR="003A497B" w:rsidRPr="00314814" w:rsidRDefault="003A497B" w:rsidP="003A497B">
      <w:pPr>
        <w:jc w:val="both"/>
        <w:rPr>
          <w:rFonts w:ascii="Times New Roman" w:hAnsi="Times New Roman" w:cs="Times New Roman"/>
          <w:sz w:val="22"/>
          <w:szCs w:val="22"/>
          <w:highlight w:val="yellow"/>
        </w:rPr>
      </w:pPr>
    </w:p>
    <w:p w:rsidR="003A497B" w:rsidRPr="00314814" w:rsidRDefault="003A497B" w:rsidP="003A497B">
      <w:pPr>
        <w:ind w:firstLine="708"/>
        <w:jc w:val="both"/>
        <w:rPr>
          <w:rFonts w:ascii="Times New Roman" w:hAnsi="Times New Roman" w:cs="Times New Roman"/>
          <w:b/>
        </w:rPr>
      </w:pPr>
      <w:r w:rsidRPr="00314814">
        <w:rPr>
          <w:rFonts w:ascii="Times New Roman" w:hAnsi="Times New Roman" w:cs="Times New Roman"/>
        </w:rPr>
        <w:t xml:space="preserve">Prostriedky získané z odvodu časti poistného z povinného zmluvného poistenia zodpovednosti za škodu spôsobenú prevádzkou motorového vozidla poisťovňami v súlade s </w:t>
      </w:r>
      <w:r>
        <w:rPr>
          <w:rFonts w:ascii="Times New Roman" w:hAnsi="Times New Roman" w:cs="Times New Roman"/>
        </w:rPr>
        <w:br/>
      </w:r>
      <w:r w:rsidRPr="00314814">
        <w:rPr>
          <w:rFonts w:ascii="Times New Roman" w:hAnsi="Times New Roman" w:cs="Times New Roman"/>
        </w:rPr>
        <w:t>§ 68 odsek 1 zákona č. 39/2015 Z. z. o poisťovníctve. Kapitola prostredníctvom nich financuje nákup, obnovu a rekonštrukcie techniky pre Policajný zbor, Hasičský a záchranný zbor, Horskú záchrannú službu a Sekciu krízového riadenia.</w:t>
      </w:r>
    </w:p>
    <w:p w:rsidR="003A497B" w:rsidRPr="00314814" w:rsidRDefault="003A497B" w:rsidP="003A497B">
      <w:pPr>
        <w:jc w:val="both"/>
        <w:rPr>
          <w:rFonts w:ascii="Times New Roman" w:hAnsi="Times New Roman" w:cs="Times New Roman"/>
          <w:b/>
          <w:highlight w:val="yellow"/>
        </w:rPr>
      </w:pPr>
    </w:p>
    <w:p w:rsidR="003A497B" w:rsidRPr="00314814" w:rsidRDefault="003A497B" w:rsidP="003A497B">
      <w:pPr>
        <w:jc w:val="both"/>
        <w:rPr>
          <w:rFonts w:ascii="Times New Roman" w:hAnsi="Times New Roman" w:cs="Times New Roman"/>
          <w:b/>
          <w:sz w:val="22"/>
          <w:szCs w:val="22"/>
        </w:rPr>
      </w:pPr>
      <w:r w:rsidRPr="00314814">
        <w:rPr>
          <w:rFonts w:ascii="Times New Roman" w:hAnsi="Times New Roman" w:cs="Times New Roman"/>
          <w:b/>
        </w:rPr>
        <w:t>Výchova a vzdelávanie mládeže</w:t>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r>
      <w:r w:rsidRPr="00314814">
        <w:rPr>
          <w:rFonts w:ascii="Times New Roman" w:hAnsi="Times New Roman" w:cs="Times New Roman"/>
          <w:b/>
          <w:sz w:val="22"/>
          <w:szCs w:val="22"/>
        </w:rPr>
        <w:tab/>
        <w:t xml:space="preserve">                                      </w:t>
      </w:r>
    </w:p>
    <w:tbl>
      <w:tblPr>
        <w:tblW w:w="5000" w:type="pct"/>
        <w:tblCellMar>
          <w:left w:w="70" w:type="dxa"/>
          <w:right w:w="70" w:type="dxa"/>
        </w:tblCellMar>
        <w:tblLook w:val="04A0" w:firstRow="1" w:lastRow="0" w:firstColumn="1" w:lastColumn="0" w:noHBand="0" w:noVBand="1"/>
      </w:tblPr>
      <w:tblGrid>
        <w:gridCol w:w="1978"/>
        <w:gridCol w:w="945"/>
        <w:gridCol w:w="1023"/>
        <w:gridCol w:w="1024"/>
        <w:gridCol w:w="1024"/>
        <w:gridCol w:w="1024"/>
        <w:gridCol w:w="1024"/>
        <w:gridCol w:w="1020"/>
      </w:tblGrid>
      <w:tr w:rsidR="003A497B" w:rsidRPr="00314814" w:rsidTr="003E1809">
        <w:trPr>
          <w:trHeight w:val="261"/>
        </w:trPr>
        <w:tc>
          <w:tcPr>
            <w:tcW w:w="1093"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rPr>
                <w:rFonts w:ascii="Times New Roman" w:hAnsi="Times New Roman" w:cs="Times New Roman"/>
                <w:b/>
                <w:sz w:val="14"/>
                <w:szCs w:val="14"/>
              </w:rPr>
            </w:pPr>
            <w:r w:rsidRPr="00314814">
              <w:rPr>
                <w:rFonts w:ascii="Times New Roman" w:hAnsi="Times New Roman" w:cs="Times New Roman"/>
                <w:b/>
                <w:sz w:val="14"/>
                <w:szCs w:val="14"/>
              </w:rPr>
              <w:t>v eurách</w:t>
            </w:r>
          </w:p>
        </w:tc>
        <w:tc>
          <w:tcPr>
            <w:tcW w:w="513" w:type="pct"/>
            <w:tcBorders>
              <w:top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2016 S</w:t>
            </w:r>
          </w:p>
        </w:tc>
        <w:tc>
          <w:tcPr>
            <w:tcW w:w="566"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highlight w:val="yellow"/>
              </w:rPr>
            </w:pPr>
            <w:r w:rsidRPr="00314814">
              <w:rPr>
                <w:rFonts w:ascii="Times New Roman" w:hAnsi="Times New Roman" w:cs="Times New Roman"/>
                <w:b/>
                <w:bCs/>
                <w:color w:val="000000"/>
                <w:sz w:val="14"/>
                <w:szCs w:val="14"/>
              </w:rPr>
              <w:t>2017 S</w:t>
            </w:r>
          </w:p>
        </w:tc>
        <w:tc>
          <w:tcPr>
            <w:tcW w:w="566"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R</w:t>
            </w:r>
          </w:p>
        </w:tc>
        <w:tc>
          <w:tcPr>
            <w:tcW w:w="56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OS</w:t>
            </w:r>
          </w:p>
        </w:tc>
        <w:tc>
          <w:tcPr>
            <w:tcW w:w="566"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2019 N</w:t>
            </w:r>
          </w:p>
        </w:tc>
        <w:tc>
          <w:tcPr>
            <w:tcW w:w="566"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2020 N</w:t>
            </w:r>
          </w:p>
        </w:tc>
        <w:tc>
          <w:tcPr>
            <w:tcW w:w="56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2021 N</w:t>
            </w:r>
          </w:p>
        </w:tc>
      </w:tr>
      <w:tr w:rsidR="003A497B" w:rsidRPr="00314814" w:rsidTr="003E1809">
        <w:trPr>
          <w:trHeight w:val="261"/>
        </w:trPr>
        <w:tc>
          <w:tcPr>
            <w:tcW w:w="109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3A497B" w:rsidRPr="00314814" w:rsidRDefault="003A497B" w:rsidP="003E1809">
            <w:pPr>
              <w:rPr>
                <w:rFonts w:ascii="Times New Roman" w:hAnsi="Times New Roman" w:cs="Times New Roman"/>
                <w:b/>
                <w:bCs/>
                <w:sz w:val="14"/>
                <w:szCs w:val="14"/>
              </w:rPr>
            </w:pPr>
            <w:r w:rsidRPr="00314814">
              <w:rPr>
                <w:rFonts w:ascii="Times New Roman" w:hAnsi="Times New Roman" w:cs="Times New Roman"/>
                <w:b/>
                <w:bCs/>
                <w:sz w:val="14"/>
                <w:szCs w:val="14"/>
              </w:rPr>
              <w:t>Výchova a vzdelávanie</w:t>
            </w:r>
          </w:p>
        </w:tc>
        <w:tc>
          <w:tcPr>
            <w:tcW w:w="513"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jc w:val="right"/>
              <w:rPr>
                <w:rFonts w:ascii="Times New Roman" w:hAnsi="Times New Roman" w:cs="Times New Roman"/>
                <w:b/>
                <w:bCs/>
                <w:sz w:val="14"/>
                <w:szCs w:val="14"/>
                <w:highlight w:val="yellow"/>
              </w:rPr>
            </w:pPr>
            <w:r w:rsidRPr="00314814">
              <w:rPr>
                <w:rFonts w:ascii="Times New Roman" w:hAnsi="Times New Roman" w:cs="Times New Roman"/>
                <w:b/>
                <w:bCs/>
                <w:sz w:val="14"/>
                <w:szCs w:val="14"/>
              </w:rPr>
              <w:t>1 137 282 379</w:t>
            </w:r>
          </w:p>
        </w:tc>
        <w:tc>
          <w:tcPr>
            <w:tcW w:w="566"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jc w:val="right"/>
              <w:rPr>
                <w:rFonts w:ascii="Times New Roman" w:hAnsi="Times New Roman" w:cs="Times New Roman"/>
                <w:b/>
                <w:bCs/>
                <w:sz w:val="14"/>
                <w:szCs w:val="14"/>
                <w:highlight w:val="yellow"/>
              </w:rPr>
            </w:pPr>
            <w:r w:rsidRPr="00314814">
              <w:rPr>
                <w:rFonts w:ascii="Times New Roman" w:hAnsi="Times New Roman" w:cs="Times New Roman"/>
                <w:b/>
                <w:bCs/>
                <w:sz w:val="14"/>
                <w:szCs w:val="14"/>
              </w:rPr>
              <w:t>1 208 003 615</w:t>
            </w:r>
          </w:p>
        </w:tc>
        <w:tc>
          <w:tcPr>
            <w:tcW w:w="566"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1 165 418 063</w:t>
            </w:r>
          </w:p>
        </w:tc>
        <w:tc>
          <w:tcPr>
            <w:tcW w:w="566" w:type="pct"/>
            <w:tcBorders>
              <w:top w:val="single" w:sz="4" w:space="0" w:color="auto"/>
              <w:left w:val="nil"/>
              <w:bottom w:val="single" w:sz="4" w:space="0" w:color="auto"/>
              <w:right w:val="single" w:sz="4" w:space="0" w:color="auto"/>
            </w:tcBorders>
            <w:shd w:val="clear" w:color="auto" w:fill="BFBFBF" w:themeFill="background1" w:themeFillShade="BF"/>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1 248 511 747</w:t>
            </w:r>
          </w:p>
        </w:tc>
        <w:tc>
          <w:tcPr>
            <w:tcW w:w="566" w:type="pct"/>
            <w:tcBorders>
              <w:top w:val="nil"/>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1 179 669 315</w:t>
            </w:r>
          </w:p>
        </w:tc>
        <w:tc>
          <w:tcPr>
            <w:tcW w:w="566" w:type="pct"/>
            <w:tcBorders>
              <w:top w:val="nil"/>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1 180 093 566</w:t>
            </w:r>
          </w:p>
        </w:tc>
        <w:tc>
          <w:tcPr>
            <w:tcW w:w="564" w:type="pct"/>
            <w:tcBorders>
              <w:top w:val="nil"/>
              <w:left w:val="nil"/>
              <w:bottom w:val="single" w:sz="4" w:space="0" w:color="auto"/>
              <w:right w:val="single" w:sz="4" w:space="0" w:color="auto"/>
            </w:tcBorders>
            <w:shd w:val="clear" w:color="auto" w:fill="BFBFBF" w:themeFill="background1" w:themeFillShade="BF"/>
            <w:noWrap/>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1 180 410 728</w:t>
            </w:r>
          </w:p>
        </w:tc>
      </w:tr>
      <w:tr w:rsidR="003A497B" w:rsidRPr="00314814" w:rsidTr="003E1809">
        <w:trPr>
          <w:trHeight w:val="261"/>
        </w:trPr>
        <w:tc>
          <w:tcPr>
            <w:tcW w:w="1093"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Poskytovanie výchovy a vzdelávania v ZŠ a SŠ</w:t>
            </w:r>
          </w:p>
        </w:tc>
        <w:tc>
          <w:tcPr>
            <w:tcW w:w="513"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1 126 754 485</w:t>
            </w:r>
          </w:p>
        </w:tc>
        <w:tc>
          <w:tcPr>
            <w:tcW w:w="566"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1 201 190 992</w:t>
            </w:r>
          </w:p>
        </w:tc>
        <w:tc>
          <w:tcPr>
            <w:tcW w:w="566"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1 164 458 662</w:t>
            </w:r>
          </w:p>
        </w:tc>
        <w:tc>
          <w:tcPr>
            <w:tcW w:w="566"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1 246 659 594</w:t>
            </w:r>
          </w:p>
        </w:tc>
        <w:tc>
          <w:tcPr>
            <w:tcW w:w="566"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1 178 709 914</w:t>
            </w:r>
          </w:p>
        </w:tc>
        <w:tc>
          <w:tcPr>
            <w:tcW w:w="566"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1 179 134 165</w:t>
            </w:r>
          </w:p>
        </w:tc>
        <w:tc>
          <w:tcPr>
            <w:tcW w:w="564"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1 179 451 327</w:t>
            </w:r>
          </w:p>
        </w:tc>
      </w:tr>
      <w:tr w:rsidR="003A497B" w:rsidRPr="00314814" w:rsidTr="003E1809">
        <w:trPr>
          <w:trHeight w:val="261"/>
        </w:trPr>
        <w:tc>
          <w:tcPr>
            <w:tcW w:w="1093"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Obvodné a krajské kolá súťaží detí a žiakov škôl</w:t>
            </w:r>
          </w:p>
        </w:tc>
        <w:tc>
          <w:tcPr>
            <w:tcW w:w="513"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1 226 037</w:t>
            </w:r>
          </w:p>
        </w:tc>
        <w:tc>
          <w:tcPr>
            <w:tcW w:w="566"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1 246 323</w:t>
            </w:r>
          </w:p>
        </w:tc>
        <w:tc>
          <w:tcPr>
            <w:tcW w:w="566"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955 523</w:t>
            </w:r>
          </w:p>
        </w:tc>
        <w:tc>
          <w:tcPr>
            <w:tcW w:w="566"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1 225 773</w:t>
            </w:r>
          </w:p>
        </w:tc>
        <w:tc>
          <w:tcPr>
            <w:tcW w:w="566"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955 523</w:t>
            </w:r>
          </w:p>
        </w:tc>
        <w:tc>
          <w:tcPr>
            <w:tcW w:w="566"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955 523</w:t>
            </w:r>
          </w:p>
        </w:tc>
        <w:tc>
          <w:tcPr>
            <w:tcW w:w="564"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955 523</w:t>
            </w:r>
          </w:p>
        </w:tc>
      </w:tr>
      <w:tr w:rsidR="003A497B" w:rsidRPr="00314814" w:rsidTr="003E1809">
        <w:trPr>
          <w:trHeight w:val="261"/>
        </w:trPr>
        <w:tc>
          <w:tcPr>
            <w:tcW w:w="1093"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Vakcíny proti hepatitíde typu A a B</w:t>
            </w:r>
          </w:p>
        </w:tc>
        <w:tc>
          <w:tcPr>
            <w:tcW w:w="513"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2 007</w:t>
            </w:r>
          </w:p>
        </w:tc>
        <w:tc>
          <w:tcPr>
            <w:tcW w:w="566"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0</w:t>
            </w:r>
          </w:p>
        </w:tc>
        <w:tc>
          <w:tcPr>
            <w:tcW w:w="566" w:type="pct"/>
            <w:tcBorders>
              <w:top w:val="nil"/>
              <w:left w:val="nil"/>
              <w:bottom w:val="single" w:sz="4" w:space="0" w:color="auto"/>
              <w:right w:val="single" w:sz="4" w:space="0" w:color="auto"/>
            </w:tcBorders>
            <w:shd w:val="clear" w:color="000000" w:fill="FFFFFF"/>
            <w:noWrap/>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3 878</w:t>
            </w:r>
          </w:p>
        </w:tc>
        <w:tc>
          <w:tcPr>
            <w:tcW w:w="566"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3 878</w:t>
            </w:r>
          </w:p>
        </w:tc>
        <w:tc>
          <w:tcPr>
            <w:tcW w:w="566" w:type="pct"/>
            <w:tcBorders>
              <w:top w:val="nil"/>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3 878</w:t>
            </w:r>
          </w:p>
        </w:tc>
        <w:tc>
          <w:tcPr>
            <w:tcW w:w="566"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3 878</w:t>
            </w:r>
          </w:p>
        </w:tc>
        <w:tc>
          <w:tcPr>
            <w:tcW w:w="564" w:type="pct"/>
            <w:tcBorders>
              <w:top w:val="nil"/>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3 878</w:t>
            </w:r>
          </w:p>
        </w:tc>
      </w:tr>
      <w:tr w:rsidR="003A497B" w:rsidRPr="00314814" w:rsidTr="003E1809">
        <w:trPr>
          <w:trHeight w:val="261"/>
        </w:trPr>
        <w:tc>
          <w:tcPr>
            <w:tcW w:w="1093"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Rozvojové projekty</w:t>
            </w:r>
          </w:p>
        </w:tc>
        <w:tc>
          <w:tcPr>
            <w:tcW w:w="513" w:type="pct"/>
            <w:tcBorders>
              <w:top w:val="single" w:sz="4" w:space="0" w:color="auto"/>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9 299 850</w:t>
            </w:r>
          </w:p>
        </w:tc>
        <w:tc>
          <w:tcPr>
            <w:tcW w:w="566" w:type="pct"/>
            <w:tcBorders>
              <w:top w:val="single" w:sz="4" w:space="0" w:color="auto"/>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5 566 299</w:t>
            </w:r>
          </w:p>
        </w:tc>
        <w:tc>
          <w:tcPr>
            <w:tcW w:w="566" w:type="pct"/>
            <w:tcBorders>
              <w:top w:val="single" w:sz="4" w:space="0" w:color="auto"/>
              <w:left w:val="nil"/>
              <w:bottom w:val="single" w:sz="4" w:space="0" w:color="auto"/>
              <w:right w:val="single" w:sz="4" w:space="0" w:color="auto"/>
            </w:tcBorders>
            <w:shd w:val="clear" w:color="000000" w:fill="FFFFFF"/>
            <w:noWrap/>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566" w:type="pct"/>
            <w:tcBorders>
              <w:top w:val="single" w:sz="4" w:space="0" w:color="auto"/>
              <w:left w:val="nil"/>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622 502</w:t>
            </w:r>
          </w:p>
        </w:tc>
        <w:tc>
          <w:tcPr>
            <w:tcW w:w="566" w:type="pct"/>
            <w:tcBorders>
              <w:top w:val="single" w:sz="4" w:space="0" w:color="auto"/>
              <w:left w:val="single" w:sz="4" w:space="0" w:color="auto"/>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566" w:type="pct"/>
            <w:tcBorders>
              <w:top w:val="single" w:sz="4" w:space="0" w:color="auto"/>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564" w:type="pct"/>
            <w:tcBorders>
              <w:top w:val="single" w:sz="4" w:space="0" w:color="auto"/>
              <w:left w:val="nil"/>
              <w:bottom w:val="single" w:sz="4" w:space="0" w:color="auto"/>
              <w:right w:val="single" w:sz="4" w:space="0" w:color="auto"/>
            </w:tcBorders>
            <w:shd w:val="clear" w:color="000000" w:fill="FFFFFF"/>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r>
    </w:tbl>
    <w:p w:rsidR="003A497B" w:rsidRPr="00314814" w:rsidRDefault="003A497B" w:rsidP="003A497B">
      <w:pPr>
        <w:jc w:val="both"/>
        <w:rPr>
          <w:rFonts w:ascii="Times New Roman" w:hAnsi="Times New Roman" w:cs="Times New Roman"/>
          <w:sz w:val="22"/>
          <w:szCs w:val="22"/>
          <w:highlight w:val="yellow"/>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Program je určený na zabezpečovanie výchovy a vzdelávania pre deti a žiakov materských škôl, základných škôl a stredných škôl, na podporu samostatnej tvorivej činnosti detí a žiakov a zvýšenie ochrany pedagogických a odborných zamestnancov pred infekčnými ochoreniami úhradou časti nákladov na vakcíny proti hepatitíde typu A a B.</w:t>
      </w:r>
    </w:p>
    <w:p w:rsidR="003A497B" w:rsidRPr="00314814" w:rsidRDefault="003A497B" w:rsidP="003A497B">
      <w:pPr>
        <w:jc w:val="both"/>
        <w:rPr>
          <w:rFonts w:ascii="Times New Roman" w:hAnsi="Times New Roman" w:cs="Times New Roman"/>
        </w:rPr>
      </w:pPr>
    </w:p>
    <w:p w:rsidR="003A497B" w:rsidRPr="00314814" w:rsidRDefault="003A497B" w:rsidP="003A497B">
      <w:pPr>
        <w:ind w:firstLine="708"/>
        <w:jc w:val="both"/>
        <w:rPr>
          <w:rFonts w:ascii="Times New Roman" w:hAnsi="Times New Roman" w:cs="Times New Roman"/>
          <w:b/>
          <w:bCs/>
        </w:rPr>
      </w:pPr>
      <w:r w:rsidRPr="00314814">
        <w:rPr>
          <w:rFonts w:ascii="Times New Roman" w:hAnsi="Times New Roman" w:cs="Times New Roman"/>
        </w:rPr>
        <w:t xml:space="preserve">Medziročný nárast výdavkov je spôsobený najmä nárastom výdavkov na bežné transfery (o sumu 12,7 mil. eur), najmä na položke transfery v rámci verejnej správy </w:t>
      </w:r>
      <w:r>
        <w:rPr>
          <w:rFonts w:ascii="Times New Roman" w:hAnsi="Times New Roman" w:cs="Times New Roman"/>
        </w:rPr>
        <w:br/>
      </w:r>
      <w:r w:rsidRPr="00314814">
        <w:rPr>
          <w:rFonts w:ascii="Times New Roman" w:hAnsi="Times New Roman" w:cs="Times New Roman"/>
        </w:rPr>
        <w:t>(o sumu 7,42 mil. eur). Dôvodom je valorizácia platov zamestnancov regionálneho školstva z roku 2018, s výnimkou pedagogických a odborných zamestnancov, príspevku na zabezpečenie systému duálneho vzdelávania a nekrátenia mzdového normatívu na žiaka v duálnom vzdelávaní.</w:t>
      </w:r>
    </w:p>
    <w:p w:rsidR="003A497B" w:rsidRDefault="003A497B" w:rsidP="003A497B">
      <w:pPr>
        <w:jc w:val="both"/>
        <w:rPr>
          <w:rFonts w:ascii="Times New Roman" w:hAnsi="Times New Roman" w:cs="Times New Roman"/>
          <w:b/>
          <w:bCs/>
        </w:rPr>
      </w:pPr>
    </w:p>
    <w:p w:rsidR="003A497B" w:rsidRDefault="003A497B" w:rsidP="003A497B">
      <w:pPr>
        <w:jc w:val="both"/>
        <w:rPr>
          <w:rFonts w:ascii="Times New Roman" w:hAnsi="Times New Roman" w:cs="Times New Roman"/>
          <w:b/>
          <w:bCs/>
        </w:rPr>
      </w:pPr>
    </w:p>
    <w:p w:rsidR="003A497B" w:rsidRDefault="003A497B" w:rsidP="003A497B">
      <w:pPr>
        <w:jc w:val="both"/>
        <w:rPr>
          <w:rFonts w:ascii="Times New Roman" w:hAnsi="Times New Roman" w:cs="Times New Roman"/>
          <w:b/>
          <w:bCs/>
        </w:rPr>
      </w:pPr>
    </w:p>
    <w:p w:rsidR="003A497B" w:rsidRDefault="003A497B" w:rsidP="003A497B">
      <w:pPr>
        <w:jc w:val="both"/>
        <w:rPr>
          <w:rFonts w:ascii="Times New Roman" w:hAnsi="Times New Roman" w:cs="Times New Roman"/>
          <w:b/>
          <w:bCs/>
        </w:rPr>
      </w:pPr>
    </w:p>
    <w:p w:rsidR="003A497B" w:rsidRPr="00314814" w:rsidRDefault="003A497B" w:rsidP="003A497B">
      <w:pPr>
        <w:jc w:val="both"/>
        <w:rPr>
          <w:rFonts w:ascii="Times New Roman" w:hAnsi="Times New Roman" w:cs="Times New Roman"/>
          <w:b/>
          <w:bCs/>
        </w:rPr>
      </w:pPr>
    </w:p>
    <w:p w:rsidR="003A497B" w:rsidRPr="00314814" w:rsidRDefault="003A497B" w:rsidP="003A497B">
      <w:pPr>
        <w:jc w:val="both"/>
        <w:rPr>
          <w:rFonts w:ascii="Times New Roman" w:hAnsi="Times New Roman" w:cs="Times New Roman"/>
          <w:b/>
          <w:bCs/>
        </w:rPr>
      </w:pPr>
      <w:r w:rsidRPr="00314814">
        <w:rPr>
          <w:rFonts w:ascii="Times New Roman" w:hAnsi="Times New Roman" w:cs="Times New Roman"/>
          <w:b/>
          <w:bCs/>
        </w:rPr>
        <w:lastRenderedPageBreak/>
        <w:t>Medzirezortné programy</w:t>
      </w:r>
    </w:p>
    <w:p w:rsidR="003A497B" w:rsidRPr="00314814" w:rsidRDefault="003A497B" w:rsidP="003A497B">
      <w:pPr>
        <w:jc w:val="both"/>
        <w:rPr>
          <w:rFonts w:ascii="Times New Roman" w:hAnsi="Times New Roman" w:cs="Times New Roman"/>
          <w:b/>
        </w:rPr>
      </w:pPr>
    </w:p>
    <w:p w:rsidR="003A497B" w:rsidRPr="00314814" w:rsidRDefault="003A497B" w:rsidP="003A497B">
      <w:pPr>
        <w:jc w:val="both"/>
        <w:rPr>
          <w:rFonts w:ascii="Times New Roman" w:hAnsi="Times New Roman" w:cs="Times New Roman"/>
        </w:rPr>
      </w:pPr>
      <w:r w:rsidRPr="00314814">
        <w:rPr>
          <w:rFonts w:ascii="Times New Roman" w:hAnsi="Times New Roman" w:cs="Times New Roman"/>
        </w:rPr>
        <w:t>V danej oblasti sú rozpočtované výdavky na medzirezortné programy.</w:t>
      </w:r>
    </w:p>
    <w:tbl>
      <w:tblPr>
        <w:tblpPr w:leftFromText="141" w:rightFromText="141" w:vertAnchor="text" w:horzAnchor="margin" w:tblpY="10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87"/>
        <w:gridCol w:w="825"/>
        <w:gridCol w:w="825"/>
        <w:gridCol w:w="825"/>
        <w:gridCol w:w="825"/>
        <w:gridCol w:w="825"/>
        <w:gridCol w:w="825"/>
        <w:gridCol w:w="825"/>
      </w:tblGrid>
      <w:tr w:rsidR="003A497B" w:rsidRPr="00314814" w:rsidTr="003E1809">
        <w:trPr>
          <w:trHeight w:val="295"/>
        </w:trPr>
        <w:tc>
          <w:tcPr>
            <w:tcW w:w="1814" w:type="pct"/>
            <w:tcBorders>
              <w:top w:val="single" w:sz="4" w:space="0" w:color="auto"/>
              <w:bottom w:val="single" w:sz="4" w:space="0" w:color="auto"/>
            </w:tcBorders>
            <w:shd w:val="clear" w:color="auto" w:fill="A6A6A6" w:themeFill="background1" w:themeFillShade="A6"/>
            <w:noWrap/>
            <w:vAlign w:val="center"/>
          </w:tcPr>
          <w:p w:rsidR="003A497B" w:rsidRPr="00314814" w:rsidRDefault="003A497B" w:rsidP="003E1809">
            <w:pPr>
              <w:rPr>
                <w:rFonts w:ascii="Times New Roman" w:hAnsi="Times New Roman" w:cs="Times New Roman"/>
                <w:b/>
                <w:sz w:val="14"/>
                <w:szCs w:val="14"/>
              </w:rPr>
            </w:pPr>
            <w:r w:rsidRPr="00314814">
              <w:rPr>
                <w:rFonts w:ascii="Times New Roman" w:hAnsi="Times New Roman" w:cs="Times New Roman"/>
                <w:b/>
                <w:sz w:val="14"/>
                <w:szCs w:val="14"/>
              </w:rPr>
              <w:br w:type="page"/>
              <w:t> v eurách</w:t>
            </w:r>
          </w:p>
        </w:tc>
        <w:tc>
          <w:tcPr>
            <w:tcW w:w="455" w:type="pct"/>
            <w:tcBorders>
              <w:top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2016 S</w:t>
            </w:r>
          </w:p>
        </w:tc>
        <w:tc>
          <w:tcPr>
            <w:tcW w:w="45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highlight w:val="yellow"/>
              </w:rPr>
            </w:pPr>
            <w:r w:rsidRPr="00314814">
              <w:rPr>
                <w:rFonts w:ascii="Times New Roman" w:hAnsi="Times New Roman" w:cs="Times New Roman"/>
                <w:b/>
                <w:bCs/>
                <w:color w:val="000000"/>
                <w:sz w:val="14"/>
                <w:szCs w:val="14"/>
              </w:rPr>
              <w:t>2017 S</w:t>
            </w:r>
          </w:p>
        </w:tc>
        <w:tc>
          <w:tcPr>
            <w:tcW w:w="45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R</w:t>
            </w:r>
          </w:p>
        </w:tc>
        <w:tc>
          <w:tcPr>
            <w:tcW w:w="45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OS</w:t>
            </w:r>
          </w:p>
        </w:tc>
        <w:tc>
          <w:tcPr>
            <w:tcW w:w="45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2019 N</w:t>
            </w:r>
          </w:p>
        </w:tc>
        <w:tc>
          <w:tcPr>
            <w:tcW w:w="45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2020 N</w:t>
            </w:r>
          </w:p>
        </w:tc>
        <w:tc>
          <w:tcPr>
            <w:tcW w:w="45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2021 N</w:t>
            </w:r>
          </w:p>
        </w:tc>
      </w:tr>
      <w:tr w:rsidR="003A497B" w:rsidRPr="00314814" w:rsidTr="003E1809">
        <w:trPr>
          <w:trHeight w:val="295"/>
        </w:trPr>
        <w:tc>
          <w:tcPr>
            <w:tcW w:w="1814" w:type="pct"/>
            <w:shd w:val="clear" w:color="auto" w:fill="BFBFBF" w:themeFill="background1" w:themeFillShade="BF"/>
            <w:noWrap/>
            <w:vAlign w:val="bottom"/>
          </w:tcPr>
          <w:p w:rsidR="003A497B" w:rsidRPr="00314814" w:rsidRDefault="003A497B" w:rsidP="003E1809">
            <w:pPr>
              <w:rPr>
                <w:rFonts w:ascii="Times New Roman" w:hAnsi="Times New Roman" w:cs="Times New Roman"/>
                <w:b/>
                <w:bCs/>
                <w:sz w:val="14"/>
                <w:szCs w:val="14"/>
              </w:rPr>
            </w:pPr>
            <w:r w:rsidRPr="00314814">
              <w:rPr>
                <w:rFonts w:ascii="Times New Roman" w:hAnsi="Times New Roman" w:cs="Times New Roman"/>
                <w:b/>
                <w:bCs/>
                <w:sz w:val="14"/>
                <w:szCs w:val="14"/>
              </w:rPr>
              <w:t>Medzirezortné programy</w:t>
            </w:r>
          </w:p>
        </w:tc>
        <w:tc>
          <w:tcPr>
            <w:tcW w:w="455" w:type="pct"/>
            <w:shd w:val="clear" w:color="auto" w:fill="BFBFBF" w:themeFill="background1" w:themeFillShade="BF"/>
            <w:vAlign w:val="bottom"/>
          </w:tcPr>
          <w:p w:rsidR="003A497B" w:rsidRPr="00314814" w:rsidRDefault="003A497B" w:rsidP="003E1809">
            <w:pPr>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1 581 376</w:t>
            </w:r>
          </w:p>
        </w:tc>
        <w:tc>
          <w:tcPr>
            <w:tcW w:w="455" w:type="pct"/>
            <w:shd w:val="clear" w:color="auto" w:fill="BFBFBF" w:themeFill="background1" w:themeFillShade="BF"/>
            <w:vAlign w:val="bottom"/>
          </w:tcPr>
          <w:p w:rsidR="003A497B" w:rsidRPr="00314814" w:rsidRDefault="003A497B" w:rsidP="003E1809">
            <w:pPr>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377 375</w:t>
            </w:r>
          </w:p>
        </w:tc>
        <w:tc>
          <w:tcPr>
            <w:tcW w:w="455" w:type="pct"/>
            <w:shd w:val="clear" w:color="auto" w:fill="BFBFBF" w:themeFill="background1" w:themeFillShade="BF"/>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352 065</w:t>
            </w:r>
          </w:p>
        </w:tc>
        <w:tc>
          <w:tcPr>
            <w:tcW w:w="455" w:type="pct"/>
            <w:shd w:val="clear" w:color="auto" w:fill="BFBFBF" w:themeFill="background1" w:themeFillShade="BF"/>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384 065</w:t>
            </w:r>
          </w:p>
        </w:tc>
        <w:tc>
          <w:tcPr>
            <w:tcW w:w="455" w:type="pct"/>
            <w:shd w:val="clear" w:color="auto" w:fill="BFBFBF" w:themeFill="background1" w:themeFillShade="BF"/>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rPr>
            </w:pPr>
            <w:r w:rsidRPr="00314814">
              <w:rPr>
                <w:rFonts w:ascii="Times New Roman" w:hAnsi="Times New Roman" w:cs="Times New Roman"/>
                <w:b/>
                <w:sz w:val="14"/>
                <w:szCs w:val="14"/>
              </w:rPr>
              <w:t>346 065</w:t>
            </w:r>
          </w:p>
        </w:tc>
        <w:tc>
          <w:tcPr>
            <w:tcW w:w="455" w:type="pct"/>
            <w:shd w:val="clear" w:color="auto" w:fill="BFBFBF" w:themeFill="background1" w:themeFillShade="BF"/>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rPr>
            </w:pPr>
            <w:r w:rsidRPr="00314814">
              <w:rPr>
                <w:rFonts w:ascii="Times New Roman" w:hAnsi="Times New Roman" w:cs="Times New Roman"/>
                <w:b/>
                <w:sz w:val="14"/>
                <w:szCs w:val="14"/>
              </w:rPr>
              <w:t>346 065</w:t>
            </w:r>
          </w:p>
        </w:tc>
        <w:tc>
          <w:tcPr>
            <w:tcW w:w="455" w:type="pct"/>
            <w:shd w:val="clear" w:color="auto" w:fill="BFBFBF" w:themeFill="background1" w:themeFillShade="BF"/>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rPr>
            </w:pPr>
            <w:r w:rsidRPr="00314814">
              <w:rPr>
                <w:rFonts w:ascii="Times New Roman" w:hAnsi="Times New Roman" w:cs="Times New Roman"/>
                <w:b/>
                <w:sz w:val="14"/>
                <w:szCs w:val="14"/>
              </w:rPr>
              <w:t>346 065</w:t>
            </w:r>
          </w:p>
        </w:tc>
      </w:tr>
      <w:tr w:rsidR="003A497B" w:rsidRPr="00314814" w:rsidTr="003E1809">
        <w:trPr>
          <w:trHeight w:val="295"/>
        </w:trPr>
        <w:tc>
          <w:tcPr>
            <w:tcW w:w="1814" w:type="pct"/>
            <w:shd w:val="clear" w:color="auto" w:fill="auto"/>
            <w:noWrap/>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z toho:</w:t>
            </w:r>
          </w:p>
        </w:tc>
        <w:tc>
          <w:tcPr>
            <w:tcW w:w="455" w:type="pct"/>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p>
        </w:tc>
        <w:tc>
          <w:tcPr>
            <w:tcW w:w="455" w:type="pct"/>
            <w:shd w:val="clear" w:color="auto" w:fill="auto"/>
            <w:noWrap/>
            <w:vAlign w:val="bottom"/>
          </w:tcPr>
          <w:p w:rsidR="003A497B" w:rsidRPr="00314814" w:rsidRDefault="003A497B" w:rsidP="003E1809">
            <w:pPr>
              <w:jc w:val="right"/>
              <w:rPr>
                <w:rFonts w:ascii="Times New Roman" w:hAnsi="Times New Roman" w:cs="Times New Roman"/>
                <w:sz w:val="14"/>
                <w:szCs w:val="14"/>
                <w:highlight w:val="yellow"/>
              </w:rPr>
            </w:pPr>
          </w:p>
        </w:tc>
        <w:tc>
          <w:tcPr>
            <w:tcW w:w="455" w:type="pct"/>
            <w:shd w:val="clear" w:color="auto" w:fill="auto"/>
            <w:noWrap/>
            <w:vAlign w:val="bottom"/>
          </w:tcPr>
          <w:p w:rsidR="003A497B" w:rsidRPr="00314814" w:rsidRDefault="003A497B" w:rsidP="003E1809">
            <w:pPr>
              <w:jc w:val="right"/>
              <w:rPr>
                <w:rFonts w:ascii="Times New Roman" w:hAnsi="Times New Roman" w:cs="Times New Roman"/>
                <w:sz w:val="14"/>
                <w:szCs w:val="14"/>
                <w:highlight w:val="yellow"/>
              </w:rPr>
            </w:pPr>
          </w:p>
        </w:tc>
        <w:tc>
          <w:tcPr>
            <w:tcW w:w="455" w:type="pct"/>
            <w:shd w:val="clear" w:color="auto" w:fill="FFFFFF" w:themeFill="background1"/>
            <w:vAlign w:val="bottom"/>
          </w:tcPr>
          <w:p w:rsidR="003A497B" w:rsidRPr="00314814" w:rsidRDefault="003A497B" w:rsidP="003E1809">
            <w:pPr>
              <w:jc w:val="right"/>
              <w:rPr>
                <w:rFonts w:ascii="Times New Roman" w:hAnsi="Times New Roman" w:cs="Times New Roman"/>
                <w:sz w:val="14"/>
                <w:szCs w:val="14"/>
                <w:highlight w:val="yellow"/>
              </w:rPr>
            </w:pPr>
          </w:p>
        </w:tc>
        <w:tc>
          <w:tcPr>
            <w:tcW w:w="455" w:type="pct"/>
            <w:shd w:val="clear" w:color="auto" w:fill="auto"/>
            <w:noWrap/>
            <w:vAlign w:val="bottom"/>
          </w:tcPr>
          <w:p w:rsidR="003A497B" w:rsidRPr="00314814" w:rsidRDefault="003A497B" w:rsidP="003E1809">
            <w:pPr>
              <w:jc w:val="right"/>
              <w:rPr>
                <w:rFonts w:ascii="Times New Roman" w:hAnsi="Times New Roman" w:cs="Times New Roman"/>
                <w:sz w:val="14"/>
                <w:szCs w:val="14"/>
                <w:highlight w:val="yellow"/>
              </w:rPr>
            </w:pPr>
          </w:p>
        </w:tc>
        <w:tc>
          <w:tcPr>
            <w:tcW w:w="455" w:type="pct"/>
            <w:vAlign w:val="bottom"/>
          </w:tcPr>
          <w:p w:rsidR="003A497B" w:rsidRPr="00314814" w:rsidRDefault="003A497B" w:rsidP="003E1809">
            <w:pPr>
              <w:jc w:val="right"/>
              <w:rPr>
                <w:rFonts w:ascii="Times New Roman" w:hAnsi="Times New Roman" w:cs="Times New Roman"/>
                <w:sz w:val="14"/>
                <w:szCs w:val="14"/>
                <w:highlight w:val="yellow"/>
              </w:rPr>
            </w:pPr>
          </w:p>
        </w:tc>
        <w:tc>
          <w:tcPr>
            <w:tcW w:w="455" w:type="pct"/>
            <w:shd w:val="clear" w:color="auto" w:fill="auto"/>
            <w:noWrap/>
            <w:vAlign w:val="bottom"/>
          </w:tcPr>
          <w:p w:rsidR="003A497B" w:rsidRPr="00314814" w:rsidRDefault="003A497B" w:rsidP="003E1809">
            <w:pPr>
              <w:jc w:val="right"/>
              <w:rPr>
                <w:rFonts w:ascii="Times New Roman" w:hAnsi="Times New Roman" w:cs="Times New Roman"/>
                <w:sz w:val="14"/>
                <w:szCs w:val="14"/>
                <w:highlight w:val="yellow"/>
              </w:rPr>
            </w:pPr>
          </w:p>
        </w:tc>
      </w:tr>
      <w:tr w:rsidR="003A497B" w:rsidRPr="00314814" w:rsidTr="003E1809">
        <w:trPr>
          <w:trHeight w:val="295"/>
        </w:trPr>
        <w:tc>
          <w:tcPr>
            <w:tcW w:w="1814" w:type="pct"/>
            <w:tcBorders>
              <w:bottom w:val="single" w:sz="4" w:space="0" w:color="auto"/>
            </w:tcBorders>
            <w:shd w:val="clear" w:color="auto" w:fill="auto"/>
            <w:noWrap/>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002 01 – Civilné núdzové plánovanie</w:t>
            </w:r>
          </w:p>
        </w:tc>
        <w:tc>
          <w:tcPr>
            <w:tcW w:w="455" w:type="pct"/>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5 400</w:t>
            </w:r>
          </w:p>
        </w:tc>
        <w:tc>
          <w:tcPr>
            <w:tcW w:w="455" w:type="pct"/>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5 400</w:t>
            </w:r>
          </w:p>
        </w:tc>
        <w:tc>
          <w:tcPr>
            <w:tcW w:w="455" w:type="pct"/>
            <w:tcBorders>
              <w:bottom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5 400</w:t>
            </w:r>
          </w:p>
        </w:tc>
        <w:tc>
          <w:tcPr>
            <w:tcW w:w="455" w:type="pct"/>
            <w:tcBorders>
              <w:bottom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5 400</w:t>
            </w:r>
          </w:p>
        </w:tc>
        <w:tc>
          <w:tcPr>
            <w:tcW w:w="455" w:type="pct"/>
            <w:tcBorders>
              <w:bottom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5 400</w:t>
            </w:r>
          </w:p>
        </w:tc>
        <w:tc>
          <w:tcPr>
            <w:tcW w:w="455" w:type="pct"/>
            <w:tcBorders>
              <w:bottom w:val="single" w:sz="4" w:space="0" w:color="auto"/>
            </w:tcBorders>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5 400</w:t>
            </w:r>
          </w:p>
        </w:tc>
        <w:tc>
          <w:tcPr>
            <w:tcW w:w="455" w:type="pct"/>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5 400</w:t>
            </w:r>
          </w:p>
        </w:tc>
      </w:tr>
      <w:tr w:rsidR="003A497B" w:rsidRPr="00314814" w:rsidTr="003E1809">
        <w:trPr>
          <w:trHeight w:val="295"/>
        </w:trPr>
        <w:tc>
          <w:tcPr>
            <w:tcW w:w="1814" w:type="pct"/>
            <w:tcBorders>
              <w:bottom w:val="single" w:sz="4" w:space="0" w:color="auto"/>
            </w:tcBorders>
            <w:shd w:val="clear" w:color="auto" w:fill="auto"/>
            <w:noWrap/>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05T 03 – Oficiálna humanitárna pomoc do zahraničia</w:t>
            </w:r>
          </w:p>
        </w:tc>
        <w:tc>
          <w:tcPr>
            <w:tcW w:w="455" w:type="pct"/>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100 000</w:t>
            </w:r>
          </w:p>
        </w:tc>
        <w:tc>
          <w:tcPr>
            <w:tcW w:w="455" w:type="pct"/>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100 000</w:t>
            </w:r>
          </w:p>
        </w:tc>
        <w:tc>
          <w:tcPr>
            <w:tcW w:w="455" w:type="pct"/>
            <w:tcBorders>
              <w:bottom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100 000</w:t>
            </w:r>
          </w:p>
        </w:tc>
        <w:tc>
          <w:tcPr>
            <w:tcW w:w="455" w:type="pct"/>
            <w:tcBorders>
              <w:bottom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100 000</w:t>
            </w:r>
          </w:p>
        </w:tc>
        <w:tc>
          <w:tcPr>
            <w:tcW w:w="455" w:type="pct"/>
            <w:tcBorders>
              <w:bottom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100 000</w:t>
            </w:r>
          </w:p>
        </w:tc>
        <w:tc>
          <w:tcPr>
            <w:tcW w:w="455" w:type="pct"/>
            <w:tcBorders>
              <w:bottom w:val="single" w:sz="4" w:space="0" w:color="auto"/>
            </w:tcBorders>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100 000</w:t>
            </w:r>
          </w:p>
        </w:tc>
        <w:tc>
          <w:tcPr>
            <w:tcW w:w="455" w:type="pct"/>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100 000</w:t>
            </w:r>
          </w:p>
        </w:tc>
      </w:tr>
      <w:tr w:rsidR="003A497B" w:rsidRPr="00314814" w:rsidTr="003E1809">
        <w:trPr>
          <w:trHeight w:val="295"/>
        </w:trPr>
        <w:tc>
          <w:tcPr>
            <w:tcW w:w="1814" w:type="pct"/>
            <w:tcBorders>
              <w:bottom w:val="single" w:sz="4" w:space="0" w:color="auto"/>
            </w:tcBorders>
            <w:shd w:val="clear" w:color="auto" w:fill="auto"/>
            <w:noWrap/>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06H 03 – Hospodárska mobilizácia</w:t>
            </w:r>
          </w:p>
        </w:tc>
        <w:tc>
          <w:tcPr>
            <w:tcW w:w="455" w:type="pct"/>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27 155</w:t>
            </w:r>
          </w:p>
        </w:tc>
        <w:tc>
          <w:tcPr>
            <w:tcW w:w="455" w:type="pct"/>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38 407</w:t>
            </w:r>
          </w:p>
        </w:tc>
        <w:tc>
          <w:tcPr>
            <w:tcW w:w="455" w:type="pct"/>
            <w:tcBorders>
              <w:bottom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38 265</w:t>
            </w:r>
          </w:p>
        </w:tc>
        <w:tc>
          <w:tcPr>
            <w:tcW w:w="455" w:type="pct"/>
            <w:tcBorders>
              <w:bottom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38 265</w:t>
            </w:r>
          </w:p>
        </w:tc>
        <w:tc>
          <w:tcPr>
            <w:tcW w:w="455" w:type="pct"/>
            <w:tcBorders>
              <w:bottom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38 265</w:t>
            </w:r>
          </w:p>
        </w:tc>
        <w:tc>
          <w:tcPr>
            <w:tcW w:w="455" w:type="pct"/>
            <w:tcBorders>
              <w:bottom w:val="single" w:sz="4" w:space="0" w:color="auto"/>
            </w:tcBorders>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38 265</w:t>
            </w:r>
          </w:p>
        </w:tc>
        <w:tc>
          <w:tcPr>
            <w:tcW w:w="455" w:type="pct"/>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38 265</w:t>
            </w:r>
          </w:p>
        </w:tc>
      </w:tr>
      <w:tr w:rsidR="003A497B" w:rsidRPr="00314814" w:rsidTr="003E1809">
        <w:trPr>
          <w:trHeight w:val="295"/>
        </w:trPr>
        <w:tc>
          <w:tcPr>
            <w:tcW w:w="1814" w:type="pct"/>
            <w:tcBorders>
              <w:bottom w:val="single" w:sz="4" w:space="0" w:color="auto"/>
            </w:tcBorders>
            <w:shd w:val="clear" w:color="auto" w:fill="auto"/>
            <w:noWrap/>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097 02 – Príspevky do MO</w:t>
            </w:r>
          </w:p>
        </w:tc>
        <w:tc>
          <w:tcPr>
            <w:tcW w:w="455" w:type="pct"/>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194 792</w:t>
            </w:r>
          </w:p>
        </w:tc>
        <w:tc>
          <w:tcPr>
            <w:tcW w:w="455" w:type="pct"/>
            <w:tcBorders>
              <w:bottom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196 204</w:t>
            </w:r>
          </w:p>
        </w:tc>
        <w:tc>
          <w:tcPr>
            <w:tcW w:w="455" w:type="pct"/>
            <w:tcBorders>
              <w:bottom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203 000</w:t>
            </w:r>
          </w:p>
        </w:tc>
        <w:tc>
          <w:tcPr>
            <w:tcW w:w="455" w:type="pct"/>
            <w:tcBorders>
              <w:bottom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203 000</w:t>
            </w:r>
          </w:p>
        </w:tc>
        <w:tc>
          <w:tcPr>
            <w:tcW w:w="455" w:type="pct"/>
            <w:tcBorders>
              <w:bottom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197 000</w:t>
            </w:r>
          </w:p>
        </w:tc>
        <w:tc>
          <w:tcPr>
            <w:tcW w:w="455" w:type="pct"/>
            <w:tcBorders>
              <w:bottom w:val="single" w:sz="4" w:space="0" w:color="auto"/>
            </w:tcBorders>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197 000</w:t>
            </w:r>
          </w:p>
        </w:tc>
        <w:tc>
          <w:tcPr>
            <w:tcW w:w="455" w:type="pct"/>
            <w:tcBorders>
              <w:bottom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197 000</w:t>
            </w:r>
          </w:p>
        </w:tc>
      </w:tr>
      <w:tr w:rsidR="003A497B" w:rsidRPr="00314814" w:rsidTr="003E1809">
        <w:trPr>
          <w:trHeight w:val="295"/>
        </w:trPr>
        <w:tc>
          <w:tcPr>
            <w:tcW w:w="1814" w:type="pct"/>
            <w:shd w:val="clear" w:color="auto" w:fill="auto"/>
            <w:noWrap/>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0AR 06 – Protidrogová politika</w:t>
            </w:r>
          </w:p>
        </w:tc>
        <w:tc>
          <w:tcPr>
            <w:tcW w:w="455" w:type="pct"/>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27 966</w:t>
            </w:r>
          </w:p>
        </w:tc>
        <w:tc>
          <w:tcPr>
            <w:tcW w:w="455" w:type="pct"/>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32 000</w:t>
            </w:r>
          </w:p>
        </w:tc>
        <w:tc>
          <w:tcPr>
            <w:tcW w:w="455" w:type="pct"/>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455" w:type="pct"/>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32 000</w:t>
            </w:r>
          </w:p>
        </w:tc>
        <w:tc>
          <w:tcPr>
            <w:tcW w:w="455" w:type="pct"/>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455" w:type="pct"/>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455" w:type="pct"/>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r>
      <w:tr w:rsidR="003A497B" w:rsidRPr="00314814" w:rsidTr="003E1809">
        <w:trPr>
          <w:trHeight w:val="295"/>
        </w:trPr>
        <w:tc>
          <w:tcPr>
            <w:tcW w:w="1814" w:type="pct"/>
            <w:shd w:val="clear" w:color="auto" w:fill="auto"/>
            <w:noWrap/>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0AS 01 – Ochrana kritickej infraštruktúry</w:t>
            </w:r>
          </w:p>
        </w:tc>
        <w:tc>
          <w:tcPr>
            <w:tcW w:w="455" w:type="pct"/>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5 400</w:t>
            </w:r>
          </w:p>
        </w:tc>
        <w:tc>
          <w:tcPr>
            <w:tcW w:w="455" w:type="pct"/>
            <w:shd w:val="clear" w:color="auto" w:fill="auto"/>
            <w:noWrap/>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5 364</w:t>
            </w:r>
          </w:p>
        </w:tc>
        <w:tc>
          <w:tcPr>
            <w:tcW w:w="455" w:type="pct"/>
            <w:shd w:val="clear" w:color="auto" w:fill="auto"/>
            <w:noWrap/>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5 400</w:t>
            </w:r>
          </w:p>
        </w:tc>
        <w:tc>
          <w:tcPr>
            <w:tcW w:w="455" w:type="pct"/>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5 400</w:t>
            </w:r>
          </w:p>
        </w:tc>
        <w:tc>
          <w:tcPr>
            <w:tcW w:w="455" w:type="pct"/>
            <w:shd w:val="clear" w:color="auto" w:fill="auto"/>
            <w:noWrap/>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5 400</w:t>
            </w:r>
          </w:p>
        </w:tc>
        <w:tc>
          <w:tcPr>
            <w:tcW w:w="455" w:type="pct"/>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5 400</w:t>
            </w:r>
          </w:p>
        </w:tc>
        <w:tc>
          <w:tcPr>
            <w:tcW w:w="455" w:type="pct"/>
            <w:shd w:val="clear" w:color="auto" w:fill="auto"/>
            <w:noWrap/>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5 400</w:t>
            </w:r>
          </w:p>
        </w:tc>
      </w:tr>
      <w:tr w:rsidR="003A497B" w:rsidRPr="00314814" w:rsidTr="003E1809">
        <w:trPr>
          <w:trHeight w:val="295"/>
        </w:trPr>
        <w:tc>
          <w:tcPr>
            <w:tcW w:w="1814" w:type="pct"/>
            <w:shd w:val="clear" w:color="auto" w:fill="auto"/>
            <w:noWrap/>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0D4 – SK PRES</w:t>
            </w:r>
          </w:p>
        </w:tc>
        <w:tc>
          <w:tcPr>
            <w:tcW w:w="455" w:type="pct"/>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1 149 815</w:t>
            </w:r>
          </w:p>
        </w:tc>
        <w:tc>
          <w:tcPr>
            <w:tcW w:w="455" w:type="pct"/>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455" w:type="pct"/>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455" w:type="pct"/>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455" w:type="pct"/>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455" w:type="pct"/>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455" w:type="pct"/>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r>
      <w:tr w:rsidR="003A497B" w:rsidRPr="00314814" w:rsidTr="003E1809">
        <w:trPr>
          <w:trHeight w:val="295"/>
        </w:trPr>
        <w:tc>
          <w:tcPr>
            <w:tcW w:w="1814" w:type="pct"/>
            <w:shd w:val="clear" w:color="auto" w:fill="auto"/>
            <w:noWrap/>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0DB - II. etapa implementácie Medzinárod. zdrav. predpisov SZO v SR</w:t>
            </w:r>
          </w:p>
        </w:tc>
        <w:tc>
          <w:tcPr>
            <w:tcW w:w="455" w:type="pct"/>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70 848</w:t>
            </w:r>
          </w:p>
        </w:tc>
        <w:tc>
          <w:tcPr>
            <w:tcW w:w="455" w:type="pct"/>
            <w:shd w:val="clear" w:color="auto" w:fill="auto"/>
            <w:vAlign w:val="bottom"/>
          </w:tcPr>
          <w:p w:rsidR="003A497B" w:rsidRPr="00314814" w:rsidRDefault="003A497B" w:rsidP="003E1809">
            <w:pPr>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455" w:type="pct"/>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455" w:type="pct"/>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455" w:type="pct"/>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455" w:type="pct"/>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455" w:type="pct"/>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r>
    </w:tbl>
    <w:p w:rsidR="003A497B" w:rsidRPr="00314814" w:rsidRDefault="003A497B" w:rsidP="003A497B">
      <w:pPr>
        <w:rPr>
          <w:rFonts w:ascii="Times New Roman" w:hAnsi="Times New Roman" w:cs="Times New Roman"/>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Ministerstvo vnútra SR je gestorom dvoch medzirezortných programov, ktorými sú Civilné núdzové plánovanie a Ochrana kritickej infraštruktúry.</w:t>
      </w:r>
    </w:p>
    <w:p w:rsidR="003A497B" w:rsidRPr="00314814" w:rsidRDefault="003A497B" w:rsidP="003A497B">
      <w:pPr>
        <w:ind w:firstLine="708"/>
        <w:jc w:val="both"/>
        <w:rPr>
          <w:rFonts w:ascii="Times New Roman" w:hAnsi="Times New Roman" w:cs="Times New Roman"/>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Medzirezortný program Civilné núdzové plánovanie je systém komplexného zabezpečenia zdrojov, síl a prostriedkov nevyhnutných na zvládnutie nevojenských krízových javov a civilnú podporu ozbrojených síl a vojenských operácií. Zabezpečuje prípravu a koordináciu opatrení uskutočňovaných orgánmi verejnej moci na zaistenie vnútorného poriadku v štáte, ochrany obyvateľstva, hospodárstva štátu, kultúrnych hodnôt a trvalej funkčnosti štátnej správy počas krízových situácií.</w:t>
      </w:r>
    </w:p>
    <w:p w:rsidR="003A497B" w:rsidRPr="00314814" w:rsidRDefault="003A497B" w:rsidP="003A497B">
      <w:pPr>
        <w:jc w:val="both"/>
        <w:rPr>
          <w:rFonts w:ascii="Times New Roman" w:hAnsi="Times New Roman" w:cs="Times New Roman"/>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 xml:space="preserve">Medzirezortný program Oficiálna humanitárna pomoc do zahraničia je zameraný na pomoc Slovenska rozvojovým krajinám.  </w:t>
      </w:r>
    </w:p>
    <w:p w:rsidR="003A497B" w:rsidRPr="00314814" w:rsidRDefault="003A497B" w:rsidP="003A497B">
      <w:pPr>
        <w:jc w:val="both"/>
        <w:rPr>
          <w:rFonts w:ascii="Times New Roman" w:hAnsi="Times New Roman" w:cs="Times New Roman"/>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Medzirezortný program Hospodárska mobilizácia je zameraný na vytváranie predpokladov na zabezpečenie potrieb nevyhnutných na prežitie obyvateľstva a na zabezpečenie činnosti ozbrojených síl, ozbrojených bezpečnostných zborov a ostatných zložiek počas krízovej situácie.</w:t>
      </w:r>
    </w:p>
    <w:p w:rsidR="003A497B" w:rsidRPr="00314814" w:rsidRDefault="003A497B" w:rsidP="003A497B">
      <w:pPr>
        <w:jc w:val="both"/>
        <w:rPr>
          <w:rFonts w:ascii="Times New Roman" w:hAnsi="Times New Roman" w:cs="Times New Roman"/>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Príspevky do medzinárodných organizácií sú rozpočtované na transfer medzinárodnej organizácii pre kriminálnu políciu (INTERPOL) a medzinárodnú organizáciu pre migráciu (IOM).</w:t>
      </w:r>
    </w:p>
    <w:p w:rsidR="003A497B" w:rsidRPr="00314814" w:rsidRDefault="003A497B" w:rsidP="003A497B">
      <w:pPr>
        <w:jc w:val="both"/>
        <w:rPr>
          <w:rFonts w:ascii="Times New Roman" w:hAnsi="Times New Roman" w:cs="Times New Roman"/>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Financovanie protidrogovej politiky prebieha prostredníctvom medzirezortného programu Protidrogová politika s účastníkmi programu, ktorými sú jednotlivé ministerstvá.</w:t>
      </w:r>
    </w:p>
    <w:p w:rsidR="003A497B" w:rsidRPr="00314814" w:rsidRDefault="003A497B" w:rsidP="003A497B">
      <w:pPr>
        <w:ind w:firstLine="708"/>
        <w:jc w:val="both"/>
        <w:rPr>
          <w:rFonts w:ascii="Times New Roman" w:hAnsi="Times New Roman" w:cs="Times New Roman"/>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Medzirezortný program Ochrana kritickej infraštruktúry je v súlade so zákonom č. 45/2011 Z. z. o kritickej infraštruktúre zameraný na organizáciu a pôsobnosť orgánov štátnej správy na úseku kritickej infraštruktúry. Súčasťou kritickej infraštruktúry je aj obranná infraštruktúra.</w:t>
      </w:r>
    </w:p>
    <w:p w:rsidR="003A497B" w:rsidRPr="00314814" w:rsidRDefault="003A497B" w:rsidP="003A497B">
      <w:pPr>
        <w:jc w:val="both"/>
        <w:rPr>
          <w:rFonts w:ascii="Times New Roman" w:hAnsi="Times New Roman" w:cs="Times New Roman"/>
        </w:rPr>
      </w:pPr>
    </w:p>
    <w:p w:rsidR="003A497B" w:rsidRPr="00314814" w:rsidRDefault="003A497B" w:rsidP="003A497B">
      <w:pPr>
        <w:jc w:val="both"/>
        <w:rPr>
          <w:rFonts w:ascii="Times New Roman" w:hAnsi="Times New Roman" w:cs="Times New Roman"/>
        </w:rPr>
      </w:pPr>
    </w:p>
    <w:p w:rsidR="003A497B" w:rsidRPr="00314814" w:rsidRDefault="003A497B" w:rsidP="003A497B">
      <w:pPr>
        <w:jc w:val="both"/>
        <w:rPr>
          <w:rFonts w:ascii="Times New Roman" w:hAnsi="Times New Roman" w:cs="Times New Roman"/>
        </w:rPr>
      </w:pPr>
    </w:p>
    <w:p w:rsidR="003A497B" w:rsidRDefault="003A497B" w:rsidP="003A497B">
      <w:pPr>
        <w:jc w:val="both"/>
        <w:rPr>
          <w:rFonts w:ascii="Times New Roman" w:hAnsi="Times New Roman" w:cs="Times New Roman"/>
        </w:rPr>
      </w:pPr>
    </w:p>
    <w:p w:rsidR="003A497B" w:rsidRDefault="003A497B" w:rsidP="003A497B">
      <w:pPr>
        <w:jc w:val="both"/>
        <w:rPr>
          <w:rFonts w:ascii="Times New Roman" w:hAnsi="Times New Roman" w:cs="Times New Roman"/>
        </w:rPr>
      </w:pPr>
    </w:p>
    <w:p w:rsidR="003A497B" w:rsidRPr="00314814" w:rsidRDefault="003A497B" w:rsidP="003A497B">
      <w:pPr>
        <w:jc w:val="both"/>
        <w:rPr>
          <w:rFonts w:ascii="Times New Roman" w:hAnsi="Times New Roman" w:cs="Times New Roman"/>
          <w:b/>
        </w:rPr>
      </w:pPr>
      <w:r w:rsidRPr="00314814">
        <w:rPr>
          <w:rFonts w:ascii="Times New Roman" w:hAnsi="Times New Roman" w:cs="Times New Roman"/>
          <w:b/>
        </w:rPr>
        <w:lastRenderedPageBreak/>
        <w:t>Prostriedky EÚ a spolufinancovania v 2. a 3. programovom období</w:t>
      </w:r>
    </w:p>
    <w:p w:rsidR="003A497B" w:rsidRPr="00314814" w:rsidRDefault="003A497B" w:rsidP="003A497B">
      <w:pPr>
        <w:jc w:val="both"/>
        <w:rPr>
          <w:rFonts w:ascii="Times New Roman" w:hAnsi="Times New Roman" w:cs="Times New Roman"/>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V rámci 3. programového obdobia prostriedky EÚ a spolufinancovania zo štátneho rozpočtu súvisia s Operačnými programami Efektívna verejná správa, Ľudské zdroje a Technická pomoc a na rok 2019 sa rozpočtujú v sume 25,1 mil. eur, z toho spolufinancovanie je vo výške 7,88 mil. eur.</w:t>
      </w:r>
    </w:p>
    <w:tbl>
      <w:tblPr>
        <w:tblW w:w="13607" w:type="dxa"/>
        <w:tblLayout w:type="fixed"/>
        <w:tblCellMar>
          <w:left w:w="70" w:type="dxa"/>
          <w:right w:w="70" w:type="dxa"/>
        </w:tblCellMar>
        <w:tblLook w:val="04A0" w:firstRow="1" w:lastRow="0" w:firstColumn="1" w:lastColumn="0" w:noHBand="0" w:noVBand="1"/>
      </w:tblPr>
      <w:tblGrid>
        <w:gridCol w:w="2622"/>
        <w:gridCol w:w="931"/>
        <w:gridCol w:w="61"/>
        <w:gridCol w:w="870"/>
        <w:gridCol w:w="122"/>
        <w:gridCol w:w="810"/>
        <w:gridCol w:w="182"/>
        <w:gridCol w:w="749"/>
        <w:gridCol w:w="243"/>
        <w:gridCol w:w="689"/>
        <w:gridCol w:w="303"/>
        <w:gridCol w:w="628"/>
        <w:gridCol w:w="364"/>
        <w:gridCol w:w="568"/>
        <w:gridCol w:w="425"/>
        <w:gridCol w:w="992"/>
        <w:gridCol w:w="992"/>
        <w:gridCol w:w="992"/>
        <w:gridCol w:w="1064"/>
      </w:tblGrid>
      <w:tr w:rsidR="003A497B" w:rsidRPr="00314814" w:rsidTr="003E1809">
        <w:trPr>
          <w:trHeight w:val="240"/>
        </w:trPr>
        <w:tc>
          <w:tcPr>
            <w:tcW w:w="2622" w:type="dxa"/>
            <w:tcBorders>
              <w:top w:val="nil"/>
              <w:left w:val="nil"/>
              <w:bottom w:val="nil"/>
              <w:right w:val="nil"/>
            </w:tcBorders>
            <w:shd w:val="clear" w:color="auto" w:fill="auto"/>
            <w:noWrap/>
            <w:vAlign w:val="bottom"/>
            <w:hideMark/>
          </w:tcPr>
          <w:p w:rsidR="003A497B" w:rsidRPr="00314814" w:rsidRDefault="003A497B" w:rsidP="003E1809">
            <w:pPr>
              <w:jc w:val="center"/>
              <w:rPr>
                <w:rFonts w:ascii="Arial Narrow" w:hAnsi="Arial Narrow"/>
                <w:color w:val="000000"/>
                <w:sz w:val="20"/>
                <w:szCs w:val="20"/>
                <w:highlight w:val="yellow"/>
              </w:rPr>
            </w:pPr>
          </w:p>
        </w:tc>
        <w:tc>
          <w:tcPr>
            <w:tcW w:w="992" w:type="dxa"/>
            <w:gridSpan w:val="2"/>
            <w:tcBorders>
              <w:top w:val="nil"/>
              <w:left w:val="nil"/>
              <w:bottom w:val="single" w:sz="4" w:space="0" w:color="auto"/>
              <w:right w:val="nil"/>
            </w:tcBorders>
            <w:vAlign w:val="bottom"/>
          </w:tcPr>
          <w:p w:rsidR="003A497B" w:rsidRPr="00314814" w:rsidRDefault="003A497B" w:rsidP="003E1809">
            <w:pPr>
              <w:jc w:val="center"/>
              <w:rPr>
                <w:rFonts w:ascii="Arial Narrow" w:hAnsi="Arial Narrow"/>
                <w:color w:val="000000"/>
                <w:sz w:val="20"/>
                <w:szCs w:val="20"/>
                <w:highlight w:val="yellow"/>
              </w:rPr>
            </w:pPr>
          </w:p>
        </w:tc>
        <w:tc>
          <w:tcPr>
            <w:tcW w:w="992" w:type="dxa"/>
            <w:gridSpan w:val="2"/>
            <w:tcBorders>
              <w:top w:val="nil"/>
              <w:left w:val="nil"/>
              <w:bottom w:val="single" w:sz="4" w:space="0" w:color="auto"/>
              <w:right w:val="nil"/>
            </w:tcBorders>
            <w:vAlign w:val="bottom"/>
          </w:tcPr>
          <w:p w:rsidR="003A497B" w:rsidRPr="00314814" w:rsidRDefault="003A497B" w:rsidP="003E1809">
            <w:pPr>
              <w:jc w:val="center"/>
              <w:rPr>
                <w:rFonts w:ascii="Arial Narrow" w:hAnsi="Arial Narrow"/>
                <w:color w:val="000000"/>
                <w:sz w:val="20"/>
                <w:szCs w:val="20"/>
                <w:highlight w:val="yellow"/>
              </w:rPr>
            </w:pPr>
          </w:p>
        </w:tc>
        <w:tc>
          <w:tcPr>
            <w:tcW w:w="992" w:type="dxa"/>
            <w:gridSpan w:val="2"/>
            <w:tcBorders>
              <w:top w:val="nil"/>
              <w:left w:val="nil"/>
              <w:bottom w:val="single" w:sz="4" w:space="0" w:color="auto"/>
              <w:right w:val="nil"/>
            </w:tcBorders>
            <w:vAlign w:val="bottom"/>
          </w:tcPr>
          <w:p w:rsidR="003A497B" w:rsidRPr="00314814" w:rsidRDefault="003A497B" w:rsidP="003E1809">
            <w:pPr>
              <w:jc w:val="center"/>
              <w:rPr>
                <w:rFonts w:ascii="Arial Narrow" w:hAnsi="Arial Narrow"/>
                <w:color w:val="000000"/>
                <w:sz w:val="20"/>
                <w:szCs w:val="20"/>
                <w:highlight w:val="yellow"/>
              </w:rPr>
            </w:pPr>
          </w:p>
        </w:tc>
        <w:tc>
          <w:tcPr>
            <w:tcW w:w="992" w:type="dxa"/>
            <w:gridSpan w:val="2"/>
            <w:tcBorders>
              <w:top w:val="nil"/>
              <w:left w:val="nil"/>
              <w:bottom w:val="nil"/>
              <w:right w:val="nil"/>
            </w:tcBorders>
            <w:vAlign w:val="bottom"/>
          </w:tcPr>
          <w:p w:rsidR="003A497B" w:rsidRPr="00314814" w:rsidRDefault="003A497B" w:rsidP="003E1809">
            <w:pPr>
              <w:jc w:val="center"/>
              <w:rPr>
                <w:rFonts w:ascii="Arial Narrow" w:hAnsi="Arial Narrow"/>
                <w:color w:val="000000"/>
                <w:sz w:val="20"/>
                <w:szCs w:val="20"/>
                <w:highlight w:val="yellow"/>
              </w:rPr>
            </w:pPr>
          </w:p>
        </w:tc>
        <w:tc>
          <w:tcPr>
            <w:tcW w:w="992" w:type="dxa"/>
            <w:gridSpan w:val="2"/>
            <w:tcBorders>
              <w:top w:val="nil"/>
              <w:left w:val="nil"/>
              <w:bottom w:val="nil"/>
              <w:right w:val="nil"/>
            </w:tcBorders>
            <w:shd w:val="clear" w:color="auto" w:fill="auto"/>
            <w:noWrap/>
            <w:vAlign w:val="bottom"/>
            <w:hideMark/>
          </w:tcPr>
          <w:p w:rsidR="003A497B" w:rsidRPr="00314814" w:rsidRDefault="003A497B" w:rsidP="003E1809">
            <w:pPr>
              <w:jc w:val="center"/>
              <w:rPr>
                <w:rFonts w:ascii="Arial Narrow" w:hAnsi="Arial Narrow"/>
                <w:color w:val="000000"/>
                <w:sz w:val="20"/>
                <w:szCs w:val="20"/>
                <w:highlight w:val="yellow"/>
              </w:rPr>
            </w:pPr>
          </w:p>
        </w:tc>
        <w:tc>
          <w:tcPr>
            <w:tcW w:w="992" w:type="dxa"/>
            <w:gridSpan w:val="2"/>
            <w:tcBorders>
              <w:top w:val="nil"/>
              <w:left w:val="nil"/>
              <w:bottom w:val="nil"/>
              <w:right w:val="nil"/>
            </w:tcBorders>
            <w:shd w:val="clear" w:color="auto" w:fill="auto"/>
            <w:noWrap/>
            <w:vAlign w:val="bottom"/>
            <w:hideMark/>
          </w:tcPr>
          <w:p w:rsidR="003A497B" w:rsidRPr="00314814" w:rsidRDefault="003A497B" w:rsidP="003E1809">
            <w:pPr>
              <w:jc w:val="center"/>
              <w:rPr>
                <w:rFonts w:ascii="Arial Narrow" w:hAnsi="Arial Narrow"/>
                <w:color w:val="000000"/>
                <w:sz w:val="20"/>
                <w:szCs w:val="20"/>
                <w:highlight w:val="yellow"/>
              </w:rPr>
            </w:pPr>
          </w:p>
        </w:tc>
        <w:tc>
          <w:tcPr>
            <w:tcW w:w="993" w:type="dxa"/>
            <w:gridSpan w:val="2"/>
            <w:tcBorders>
              <w:top w:val="nil"/>
              <w:left w:val="nil"/>
              <w:bottom w:val="nil"/>
              <w:right w:val="nil"/>
            </w:tcBorders>
            <w:shd w:val="clear" w:color="auto" w:fill="auto"/>
            <w:noWrap/>
            <w:vAlign w:val="bottom"/>
            <w:hideMark/>
          </w:tcPr>
          <w:p w:rsidR="003A497B" w:rsidRPr="00314814" w:rsidRDefault="003A497B" w:rsidP="003E1809">
            <w:pPr>
              <w:jc w:val="center"/>
              <w:rPr>
                <w:rFonts w:ascii="Arial Narrow" w:hAnsi="Arial Narrow"/>
                <w:color w:val="000000"/>
                <w:sz w:val="20"/>
                <w:szCs w:val="20"/>
                <w:highlight w:val="yellow"/>
              </w:rPr>
            </w:pPr>
          </w:p>
        </w:tc>
        <w:tc>
          <w:tcPr>
            <w:tcW w:w="992" w:type="dxa"/>
            <w:tcBorders>
              <w:top w:val="nil"/>
              <w:left w:val="nil"/>
              <w:bottom w:val="nil"/>
              <w:right w:val="nil"/>
            </w:tcBorders>
            <w:shd w:val="clear" w:color="auto" w:fill="auto"/>
            <w:noWrap/>
            <w:vAlign w:val="bottom"/>
            <w:hideMark/>
          </w:tcPr>
          <w:p w:rsidR="003A497B" w:rsidRPr="00314814" w:rsidRDefault="003A497B" w:rsidP="003E1809">
            <w:pPr>
              <w:jc w:val="center"/>
              <w:rPr>
                <w:rFonts w:ascii="Arial Narrow" w:hAnsi="Arial Narrow"/>
                <w:color w:val="000000"/>
                <w:sz w:val="20"/>
                <w:szCs w:val="20"/>
                <w:highlight w:val="yellow"/>
              </w:rPr>
            </w:pPr>
          </w:p>
        </w:tc>
        <w:tc>
          <w:tcPr>
            <w:tcW w:w="992" w:type="dxa"/>
            <w:tcBorders>
              <w:top w:val="nil"/>
              <w:left w:val="nil"/>
              <w:bottom w:val="nil"/>
              <w:right w:val="nil"/>
            </w:tcBorders>
            <w:shd w:val="clear" w:color="auto" w:fill="auto"/>
            <w:hideMark/>
          </w:tcPr>
          <w:p w:rsidR="003A497B" w:rsidRPr="00314814" w:rsidRDefault="003A497B" w:rsidP="003E1809">
            <w:pPr>
              <w:jc w:val="right"/>
              <w:rPr>
                <w:rFonts w:ascii="Arial Narrow" w:hAnsi="Arial Narrow"/>
                <w:color w:val="000000"/>
                <w:sz w:val="20"/>
                <w:szCs w:val="20"/>
                <w:highlight w:val="yellow"/>
              </w:rPr>
            </w:pPr>
          </w:p>
        </w:tc>
        <w:tc>
          <w:tcPr>
            <w:tcW w:w="992" w:type="dxa"/>
            <w:tcBorders>
              <w:top w:val="nil"/>
              <w:left w:val="nil"/>
              <w:bottom w:val="nil"/>
              <w:right w:val="nil"/>
            </w:tcBorders>
            <w:shd w:val="clear" w:color="auto" w:fill="auto"/>
            <w:vAlign w:val="bottom"/>
            <w:hideMark/>
          </w:tcPr>
          <w:p w:rsidR="003A497B" w:rsidRPr="00314814" w:rsidRDefault="003A497B" w:rsidP="003E1809">
            <w:pPr>
              <w:jc w:val="right"/>
              <w:rPr>
                <w:rFonts w:ascii="Arial Narrow" w:hAnsi="Arial Narrow"/>
                <w:color w:val="000000"/>
                <w:sz w:val="20"/>
                <w:szCs w:val="20"/>
                <w:highlight w:val="yellow"/>
              </w:rPr>
            </w:pPr>
          </w:p>
        </w:tc>
        <w:tc>
          <w:tcPr>
            <w:tcW w:w="1064" w:type="dxa"/>
            <w:tcBorders>
              <w:top w:val="nil"/>
              <w:left w:val="nil"/>
              <w:bottom w:val="nil"/>
              <w:right w:val="nil"/>
            </w:tcBorders>
            <w:shd w:val="clear" w:color="auto" w:fill="auto"/>
            <w:noWrap/>
            <w:vAlign w:val="bottom"/>
          </w:tcPr>
          <w:p w:rsidR="003A497B" w:rsidRPr="00314814" w:rsidRDefault="003A497B" w:rsidP="003E1809">
            <w:pPr>
              <w:jc w:val="right"/>
              <w:rPr>
                <w:rFonts w:ascii="Arial Narrow" w:hAnsi="Arial Narrow"/>
                <w:color w:val="000000"/>
                <w:sz w:val="16"/>
                <w:szCs w:val="16"/>
                <w:highlight w:val="yellow"/>
              </w:rPr>
            </w:pPr>
          </w:p>
        </w:tc>
      </w:tr>
      <w:tr w:rsidR="003A497B" w:rsidRPr="00314814" w:rsidTr="003E1809">
        <w:trPr>
          <w:gridAfter w:val="5"/>
          <w:wAfter w:w="4465" w:type="dxa"/>
          <w:trHeight w:val="259"/>
        </w:trPr>
        <w:tc>
          <w:tcPr>
            <w:tcW w:w="262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314814" w:rsidRDefault="003A497B" w:rsidP="003E1809">
            <w:pP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 v eurách</w:t>
            </w:r>
          </w:p>
        </w:tc>
        <w:tc>
          <w:tcPr>
            <w:tcW w:w="931" w:type="dxa"/>
            <w:tcBorders>
              <w:top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2016 S</w:t>
            </w:r>
          </w:p>
        </w:tc>
        <w:tc>
          <w:tcPr>
            <w:tcW w:w="93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highlight w:val="yellow"/>
              </w:rPr>
            </w:pPr>
            <w:r w:rsidRPr="00314814">
              <w:rPr>
                <w:rFonts w:ascii="Times New Roman" w:hAnsi="Times New Roman" w:cs="Times New Roman"/>
                <w:b/>
                <w:bCs/>
                <w:color w:val="000000"/>
                <w:sz w:val="14"/>
                <w:szCs w:val="14"/>
              </w:rPr>
              <w:t>2017 S</w:t>
            </w:r>
          </w:p>
        </w:tc>
        <w:tc>
          <w:tcPr>
            <w:tcW w:w="93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R</w:t>
            </w:r>
          </w:p>
        </w:tc>
        <w:tc>
          <w:tcPr>
            <w:tcW w:w="93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2018 OS</w:t>
            </w:r>
          </w:p>
        </w:tc>
        <w:tc>
          <w:tcPr>
            <w:tcW w:w="93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2019 N</w:t>
            </w:r>
          </w:p>
        </w:tc>
        <w:tc>
          <w:tcPr>
            <w:tcW w:w="93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2020 N</w:t>
            </w:r>
          </w:p>
        </w:tc>
        <w:tc>
          <w:tcPr>
            <w:tcW w:w="93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A497B" w:rsidRPr="00314814" w:rsidRDefault="003A497B" w:rsidP="003E1809">
            <w:pPr>
              <w:jc w:val="center"/>
              <w:rPr>
                <w:rFonts w:ascii="Times New Roman" w:hAnsi="Times New Roman" w:cs="Times New Roman"/>
                <w:b/>
                <w:bCs/>
                <w:color w:val="000000"/>
                <w:sz w:val="14"/>
                <w:szCs w:val="14"/>
              </w:rPr>
            </w:pPr>
            <w:r w:rsidRPr="00314814">
              <w:rPr>
                <w:rFonts w:ascii="Times New Roman" w:hAnsi="Times New Roman" w:cs="Times New Roman"/>
                <w:b/>
                <w:bCs/>
                <w:color w:val="000000"/>
                <w:sz w:val="14"/>
                <w:szCs w:val="14"/>
              </w:rPr>
              <w:t>2021 N</w:t>
            </w:r>
          </w:p>
        </w:tc>
      </w:tr>
      <w:tr w:rsidR="003A497B" w:rsidRPr="00314814" w:rsidTr="003E1809">
        <w:trPr>
          <w:gridAfter w:val="5"/>
          <w:wAfter w:w="4465" w:type="dxa"/>
          <w:trHeight w:val="259"/>
        </w:trPr>
        <w:tc>
          <w:tcPr>
            <w:tcW w:w="2622" w:type="dxa"/>
            <w:tcBorders>
              <w:top w:val="nil"/>
              <w:left w:val="single" w:sz="4" w:space="0" w:color="auto"/>
              <w:bottom w:val="single" w:sz="4" w:space="0" w:color="auto"/>
              <w:right w:val="single" w:sz="4" w:space="0" w:color="auto"/>
            </w:tcBorders>
            <w:shd w:val="clear" w:color="auto" w:fill="BFBFBF" w:themeFill="background1" w:themeFillShade="BF"/>
            <w:vAlign w:val="bottom"/>
          </w:tcPr>
          <w:p w:rsidR="003A497B" w:rsidRPr="00314814" w:rsidRDefault="003A497B" w:rsidP="003E1809">
            <w:pPr>
              <w:rPr>
                <w:rFonts w:ascii="Times New Roman" w:hAnsi="Times New Roman" w:cs="Times New Roman"/>
                <w:b/>
                <w:sz w:val="14"/>
                <w:szCs w:val="14"/>
              </w:rPr>
            </w:pPr>
            <w:r w:rsidRPr="00314814">
              <w:rPr>
                <w:rFonts w:ascii="Times New Roman" w:hAnsi="Times New Roman" w:cs="Times New Roman"/>
                <w:b/>
                <w:sz w:val="14"/>
                <w:szCs w:val="14"/>
              </w:rPr>
              <w:t>2. programové obdobie</w:t>
            </w:r>
          </w:p>
        </w:tc>
        <w:tc>
          <w:tcPr>
            <w:tcW w:w="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3A497B" w:rsidRPr="00314814" w:rsidRDefault="003A497B" w:rsidP="003E1809">
            <w:pPr>
              <w:jc w:val="right"/>
              <w:rPr>
                <w:rFonts w:ascii="Times New Roman" w:hAnsi="Times New Roman" w:cs="Times New Roman"/>
                <w:b/>
                <w:sz w:val="14"/>
                <w:szCs w:val="14"/>
                <w:highlight w:val="yellow"/>
              </w:rPr>
            </w:pPr>
            <w:r w:rsidRPr="00314814">
              <w:rPr>
                <w:rFonts w:ascii="Times New Roman" w:hAnsi="Times New Roman" w:cs="Times New Roman"/>
                <w:b/>
                <w:sz w:val="14"/>
                <w:szCs w:val="14"/>
              </w:rPr>
              <w:t>15 997 620</w:t>
            </w:r>
          </w:p>
        </w:tc>
        <w:tc>
          <w:tcPr>
            <w:tcW w:w="9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rPr>
            </w:pPr>
            <w:r w:rsidRPr="00314814">
              <w:rPr>
                <w:rFonts w:ascii="Times New Roman" w:hAnsi="Times New Roman" w:cs="Times New Roman"/>
                <w:b/>
                <w:sz w:val="14"/>
                <w:szCs w:val="14"/>
              </w:rPr>
              <w:t>0</w:t>
            </w:r>
          </w:p>
        </w:tc>
        <w:tc>
          <w:tcPr>
            <w:tcW w:w="93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rPr>
            </w:pPr>
            <w:r w:rsidRPr="00314814">
              <w:rPr>
                <w:rFonts w:ascii="Times New Roman" w:hAnsi="Times New Roman" w:cs="Times New Roman"/>
                <w:b/>
                <w:sz w:val="14"/>
                <w:szCs w:val="14"/>
              </w:rPr>
              <w:t>0</w:t>
            </w:r>
          </w:p>
        </w:tc>
        <w:tc>
          <w:tcPr>
            <w:tcW w:w="931" w:type="dxa"/>
            <w:gridSpan w:val="2"/>
            <w:tcBorders>
              <w:top w:val="nil"/>
              <w:left w:val="single" w:sz="4" w:space="0" w:color="auto"/>
              <w:bottom w:val="single" w:sz="4" w:space="0" w:color="auto"/>
              <w:right w:val="single" w:sz="4" w:space="0" w:color="auto"/>
            </w:tcBorders>
            <w:shd w:val="clear" w:color="auto" w:fill="BFBFBF" w:themeFill="background1" w:themeFillShade="BF"/>
            <w:vAlign w:val="bottom"/>
          </w:tcPr>
          <w:p w:rsidR="003A497B" w:rsidRPr="00314814" w:rsidRDefault="003A497B" w:rsidP="003E1809">
            <w:pPr>
              <w:autoSpaceDE w:val="0"/>
              <w:autoSpaceDN w:val="0"/>
              <w:adjustRightInd w:val="0"/>
              <w:jc w:val="right"/>
              <w:rPr>
                <w:rFonts w:ascii="Times New Roman" w:hAnsi="Times New Roman" w:cs="Times New Roman"/>
                <w:b/>
                <w:sz w:val="14"/>
                <w:szCs w:val="14"/>
              </w:rPr>
            </w:pPr>
            <w:r w:rsidRPr="00314814">
              <w:rPr>
                <w:rFonts w:ascii="Times New Roman" w:hAnsi="Times New Roman" w:cs="Times New Roman"/>
                <w:b/>
                <w:sz w:val="14"/>
                <w:szCs w:val="14"/>
              </w:rPr>
              <w:t>0</w:t>
            </w:r>
          </w:p>
        </w:tc>
        <w:tc>
          <w:tcPr>
            <w:tcW w:w="932" w:type="dxa"/>
            <w:gridSpan w:val="2"/>
            <w:tcBorders>
              <w:top w:val="nil"/>
              <w:left w:val="single" w:sz="4" w:space="0" w:color="auto"/>
              <w:bottom w:val="single" w:sz="4" w:space="0" w:color="auto"/>
              <w:right w:val="single" w:sz="4" w:space="0" w:color="auto"/>
            </w:tcBorders>
            <w:shd w:val="clear" w:color="auto" w:fill="BFBFBF" w:themeFill="background1" w:themeFillShade="BF"/>
            <w:vAlign w:val="bottom"/>
          </w:tcPr>
          <w:p w:rsidR="003A497B" w:rsidRPr="00314814" w:rsidRDefault="003A497B" w:rsidP="003E1809">
            <w:pPr>
              <w:jc w:val="right"/>
              <w:rPr>
                <w:rFonts w:ascii="Times New Roman" w:hAnsi="Times New Roman" w:cs="Times New Roman"/>
                <w:b/>
                <w:color w:val="000000"/>
                <w:sz w:val="14"/>
                <w:szCs w:val="14"/>
              </w:rPr>
            </w:pPr>
            <w:r w:rsidRPr="00314814">
              <w:rPr>
                <w:rFonts w:ascii="Times New Roman" w:hAnsi="Times New Roman" w:cs="Times New Roman"/>
                <w:b/>
                <w:color w:val="000000"/>
                <w:sz w:val="14"/>
                <w:szCs w:val="14"/>
              </w:rPr>
              <w:t>0</w:t>
            </w:r>
          </w:p>
        </w:tc>
        <w:tc>
          <w:tcPr>
            <w:tcW w:w="931" w:type="dxa"/>
            <w:gridSpan w:val="2"/>
            <w:tcBorders>
              <w:top w:val="nil"/>
              <w:left w:val="nil"/>
              <w:bottom w:val="single" w:sz="4" w:space="0" w:color="auto"/>
              <w:right w:val="single" w:sz="4" w:space="0" w:color="auto"/>
            </w:tcBorders>
            <w:shd w:val="clear" w:color="auto" w:fill="BFBFBF" w:themeFill="background1" w:themeFillShade="BF"/>
            <w:vAlign w:val="bottom"/>
          </w:tcPr>
          <w:p w:rsidR="003A497B" w:rsidRPr="00314814" w:rsidRDefault="003A497B" w:rsidP="003E1809">
            <w:pPr>
              <w:jc w:val="right"/>
              <w:rPr>
                <w:rFonts w:ascii="Times New Roman" w:hAnsi="Times New Roman" w:cs="Times New Roman"/>
                <w:b/>
                <w:color w:val="000000"/>
                <w:sz w:val="14"/>
                <w:szCs w:val="14"/>
              </w:rPr>
            </w:pPr>
            <w:r w:rsidRPr="00314814">
              <w:rPr>
                <w:rFonts w:ascii="Times New Roman" w:hAnsi="Times New Roman" w:cs="Times New Roman"/>
                <w:b/>
                <w:color w:val="000000"/>
                <w:sz w:val="14"/>
                <w:szCs w:val="14"/>
              </w:rPr>
              <w:t>0</w:t>
            </w:r>
          </w:p>
        </w:tc>
        <w:tc>
          <w:tcPr>
            <w:tcW w:w="932" w:type="dxa"/>
            <w:gridSpan w:val="2"/>
            <w:tcBorders>
              <w:top w:val="nil"/>
              <w:left w:val="nil"/>
              <w:bottom w:val="single" w:sz="4" w:space="0" w:color="auto"/>
              <w:right w:val="single" w:sz="4" w:space="0" w:color="auto"/>
            </w:tcBorders>
            <w:shd w:val="clear" w:color="auto" w:fill="BFBFBF" w:themeFill="background1" w:themeFillShade="BF"/>
            <w:vAlign w:val="bottom"/>
          </w:tcPr>
          <w:p w:rsidR="003A497B" w:rsidRPr="00314814" w:rsidRDefault="003A497B" w:rsidP="003E1809">
            <w:pPr>
              <w:jc w:val="right"/>
              <w:rPr>
                <w:rFonts w:ascii="Times New Roman" w:hAnsi="Times New Roman" w:cs="Times New Roman"/>
                <w:b/>
                <w:color w:val="000000"/>
                <w:sz w:val="14"/>
                <w:szCs w:val="14"/>
              </w:rPr>
            </w:pPr>
            <w:r w:rsidRPr="00314814">
              <w:rPr>
                <w:rFonts w:ascii="Times New Roman" w:hAnsi="Times New Roman" w:cs="Times New Roman"/>
                <w:b/>
                <w:color w:val="000000"/>
                <w:sz w:val="14"/>
                <w:szCs w:val="14"/>
              </w:rPr>
              <w:t>0</w:t>
            </w:r>
          </w:p>
        </w:tc>
      </w:tr>
      <w:tr w:rsidR="003A497B" w:rsidRPr="00314814" w:rsidTr="003E1809">
        <w:trPr>
          <w:gridAfter w:val="5"/>
          <w:wAfter w:w="4465" w:type="dxa"/>
          <w:trHeight w:val="259"/>
        </w:trPr>
        <w:tc>
          <w:tcPr>
            <w:tcW w:w="2622" w:type="dxa"/>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rPr>
                <w:rFonts w:ascii="Times New Roman" w:hAnsi="Times New Roman" w:cs="Times New Roman"/>
                <w:b/>
                <w:sz w:val="14"/>
                <w:szCs w:val="14"/>
              </w:rPr>
            </w:pPr>
            <w:r w:rsidRPr="00314814">
              <w:rPr>
                <w:rFonts w:ascii="Times New Roman" w:hAnsi="Times New Roman" w:cs="Times New Roman"/>
                <w:b/>
                <w:sz w:val="14"/>
                <w:szCs w:val="14"/>
              </w:rPr>
              <w:t>Európsky fond regionálneho rozvoja</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p>
        </w:tc>
        <w:tc>
          <w:tcPr>
            <w:tcW w:w="931"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p>
        </w:tc>
        <w:tc>
          <w:tcPr>
            <w:tcW w:w="932"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2"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r>
      <w:tr w:rsidR="003A497B" w:rsidRPr="00314814" w:rsidTr="003E1809">
        <w:trPr>
          <w:gridAfter w:val="5"/>
          <w:wAfter w:w="4465" w:type="dxa"/>
          <w:trHeight w:val="259"/>
        </w:trPr>
        <w:tc>
          <w:tcPr>
            <w:tcW w:w="2622" w:type="dxa"/>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 xml:space="preserve">                           EÚ prostriedky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2 666 199</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31"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32"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2"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r>
      <w:tr w:rsidR="003A497B" w:rsidRPr="00314814" w:rsidTr="003E1809">
        <w:trPr>
          <w:gridAfter w:val="5"/>
          <w:wAfter w:w="4465" w:type="dxa"/>
          <w:trHeight w:val="259"/>
        </w:trPr>
        <w:tc>
          <w:tcPr>
            <w:tcW w:w="2622" w:type="dxa"/>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 xml:space="preserve">                           spolufinancovanie zo ŠR</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sz w:val="14"/>
                <w:szCs w:val="14"/>
                <w:highlight w:val="yellow"/>
              </w:rPr>
            </w:pPr>
            <w:r w:rsidRPr="00314814">
              <w:rPr>
                <w:rFonts w:ascii="Times New Roman" w:hAnsi="Times New Roman" w:cs="Times New Roman"/>
                <w:sz w:val="14"/>
                <w:szCs w:val="14"/>
              </w:rPr>
              <w:t>458 656</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31"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32"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2"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r>
      <w:tr w:rsidR="003A497B" w:rsidRPr="00314814" w:rsidTr="003E1809">
        <w:trPr>
          <w:gridAfter w:val="5"/>
          <w:wAfter w:w="4465" w:type="dxa"/>
          <w:trHeight w:val="259"/>
        </w:trPr>
        <w:tc>
          <w:tcPr>
            <w:tcW w:w="2622" w:type="dxa"/>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rPr>
                <w:rFonts w:ascii="Times New Roman" w:hAnsi="Times New Roman" w:cs="Times New Roman"/>
                <w:b/>
                <w:sz w:val="14"/>
                <w:szCs w:val="14"/>
              </w:rPr>
            </w:pPr>
            <w:r w:rsidRPr="00314814">
              <w:rPr>
                <w:rFonts w:ascii="Times New Roman" w:hAnsi="Times New Roman" w:cs="Times New Roman"/>
                <w:b/>
                <w:sz w:val="14"/>
                <w:szCs w:val="14"/>
              </w:rPr>
              <w:t>Európsky sociálny fond</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p>
        </w:tc>
        <w:tc>
          <w:tcPr>
            <w:tcW w:w="931"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p>
        </w:tc>
        <w:tc>
          <w:tcPr>
            <w:tcW w:w="932"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p>
        </w:tc>
        <w:tc>
          <w:tcPr>
            <w:tcW w:w="931"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p>
        </w:tc>
        <w:tc>
          <w:tcPr>
            <w:tcW w:w="932"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p>
        </w:tc>
      </w:tr>
      <w:tr w:rsidR="003A497B" w:rsidRPr="00314814" w:rsidTr="003E1809">
        <w:trPr>
          <w:gridAfter w:val="5"/>
          <w:wAfter w:w="4465" w:type="dxa"/>
          <w:trHeight w:val="259"/>
        </w:trPr>
        <w:tc>
          <w:tcPr>
            <w:tcW w:w="2622" w:type="dxa"/>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 xml:space="preserve">                           EÚ prostriedky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474 881</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2"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2"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r>
      <w:tr w:rsidR="003A497B" w:rsidRPr="00314814" w:rsidTr="003E1809">
        <w:trPr>
          <w:gridAfter w:val="5"/>
          <w:wAfter w:w="4465" w:type="dxa"/>
          <w:trHeight w:val="259"/>
        </w:trPr>
        <w:tc>
          <w:tcPr>
            <w:tcW w:w="2622" w:type="dxa"/>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 xml:space="preserve">                           spolufinancovanie zo ŠR</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183 214</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2"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2"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r>
      <w:tr w:rsidR="003A497B" w:rsidRPr="00314814" w:rsidTr="003E1809">
        <w:trPr>
          <w:gridAfter w:val="5"/>
          <w:wAfter w:w="4465" w:type="dxa"/>
          <w:trHeight w:val="259"/>
        </w:trPr>
        <w:tc>
          <w:tcPr>
            <w:tcW w:w="2622" w:type="dxa"/>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rPr>
                <w:rFonts w:ascii="Times New Roman" w:hAnsi="Times New Roman" w:cs="Times New Roman"/>
                <w:b/>
                <w:sz w:val="14"/>
                <w:szCs w:val="14"/>
              </w:rPr>
            </w:pPr>
            <w:r w:rsidRPr="00314814">
              <w:rPr>
                <w:rFonts w:ascii="Times New Roman" w:hAnsi="Times New Roman" w:cs="Times New Roman"/>
                <w:b/>
                <w:sz w:val="14"/>
                <w:szCs w:val="14"/>
              </w:rPr>
              <w:t>Kohézny fond</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p>
        </w:tc>
        <w:tc>
          <w:tcPr>
            <w:tcW w:w="931"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p>
        </w:tc>
        <w:tc>
          <w:tcPr>
            <w:tcW w:w="932"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p>
        </w:tc>
        <w:tc>
          <w:tcPr>
            <w:tcW w:w="931"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p>
        </w:tc>
        <w:tc>
          <w:tcPr>
            <w:tcW w:w="932"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p>
        </w:tc>
      </w:tr>
      <w:tr w:rsidR="003A497B" w:rsidRPr="00314814" w:rsidTr="003E1809">
        <w:trPr>
          <w:gridAfter w:val="5"/>
          <w:wAfter w:w="4465" w:type="dxa"/>
          <w:trHeight w:val="259"/>
        </w:trPr>
        <w:tc>
          <w:tcPr>
            <w:tcW w:w="2622" w:type="dxa"/>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 xml:space="preserve">                           EÚ prostriedky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0</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2"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2"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r>
      <w:tr w:rsidR="003A497B" w:rsidRPr="00314814" w:rsidTr="003E1809">
        <w:trPr>
          <w:gridAfter w:val="5"/>
          <w:wAfter w:w="4465" w:type="dxa"/>
          <w:trHeight w:val="259"/>
        </w:trPr>
        <w:tc>
          <w:tcPr>
            <w:tcW w:w="2622" w:type="dxa"/>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 xml:space="preserve">                           spolufinancovanie zo ŠR</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12 214 670</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2"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2"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r>
      <w:tr w:rsidR="003A497B" w:rsidRPr="00314814" w:rsidTr="003E1809">
        <w:trPr>
          <w:gridAfter w:val="5"/>
          <w:wAfter w:w="4465" w:type="dxa"/>
          <w:trHeight w:val="259"/>
        </w:trPr>
        <w:tc>
          <w:tcPr>
            <w:tcW w:w="2622" w:type="dxa"/>
            <w:tcBorders>
              <w:top w:val="nil"/>
              <w:left w:val="single" w:sz="4" w:space="0" w:color="auto"/>
              <w:bottom w:val="single" w:sz="4" w:space="0" w:color="auto"/>
              <w:right w:val="single" w:sz="4" w:space="0" w:color="auto"/>
            </w:tcBorders>
            <w:shd w:val="clear" w:color="auto" w:fill="BFBFBF" w:themeFill="background1" w:themeFillShade="BF"/>
            <w:vAlign w:val="bottom"/>
          </w:tcPr>
          <w:p w:rsidR="003A497B" w:rsidRPr="00314814" w:rsidRDefault="003A497B" w:rsidP="003E1809">
            <w:pPr>
              <w:rPr>
                <w:rFonts w:ascii="Times New Roman" w:hAnsi="Times New Roman" w:cs="Times New Roman"/>
                <w:b/>
                <w:sz w:val="14"/>
                <w:szCs w:val="14"/>
              </w:rPr>
            </w:pPr>
            <w:r w:rsidRPr="00314814">
              <w:rPr>
                <w:rFonts w:ascii="Times New Roman" w:hAnsi="Times New Roman" w:cs="Times New Roman"/>
                <w:b/>
                <w:sz w:val="14"/>
                <w:szCs w:val="14"/>
              </w:rPr>
              <w:t>3. programové obdobie</w:t>
            </w:r>
          </w:p>
        </w:tc>
        <w:tc>
          <w:tcPr>
            <w:tcW w:w="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3A497B" w:rsidRPr="00314814" w:rsidRDefault="003A497B" w:rsidP="003E1809">
            <w:pPr>
              <w:jc w:val="right"/>
              <w:rPr>
                <w:rFonts w:ascii="Times New Roman" w:hAnsi="Times New Roman" w:cs="Times New Roman"/>
                <w:b/>
                <w:color w:val="000000"/>
                <w:sz w:val="14"/>
                <w:szCs w:val="14"/>
                <w:highlight w:val="yellow"/>
              </w:rPr>
            </w:pPr>
            <w:r w:rsidRPr="00314814">
              <w:rPr>
                <w:rFonts w:ascii="Times New Roman" w:hAnsi="Times New Roman" w:cs="Times New Roman"/>
                <w:b/>
                <w:color w:val="000000"/>
                <w:sz w:val="14"/>
                <w:szCs w:val="14"/>
              </w:rPr>
              <w:t>5 291 503</w:t>
            </w:r>
          </w:p>
        </w:tc>
        <w:tc>
          <w:tcPr>
            <w:tcW w:w="9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3A497B" w:rsidRPr="00314814" w:rsidRDefault="003A497B" w:rsidP="003E1809">
            <w:pPr>
              <w:jc w:val="right"/>
              <w:rPr>
                <w:rFonts w:ascii="Times New Roman" w:hAnsi="Times New Roman" w:cs="Times New Roman"/>
                <w:b/>
                <w:color w:val="000000"/>
                <w:sz w:val="14"/>
                <w:szCs w:val="14"/>
                <w:highlight w:val="yellow"/>
              </w:rPr>
            </w:pPr>
            <w:r w:rsidRPr="00314814">
              <w:rPr>
                <w:rFonts w:ascii="Times New Roman" w:hAnsi="Times New Roman" w:cs="Times New Roman"/>
                <w:b/>
                <w:color w:val="000000"/>
                <w:sz w:val="14"/>
                <w:szCs w:val="14"/>
              </w:rPr>
              <w:t>22 026 141</w:t>
            </w:r>
          </w:p>
        </w:tc>
        <w:tc>
          <w:tcPr>
            <w:tcW w:w="932" w:type="dxa"/>
            <w:gridSpan w:val="2"/>
            <w:tcBorders>
              <w:top w:val="nil"/>
              <w:left w:val="single" w:sz="4" w:space="0" w:color="auto"/>
              <w:bottom w:val="single" w:sz="4" w:space="0" w:color="auto"/>
              <w:right w:val="single" w:sz="4" w:space="0" w:color="auto"/>
            </w:tcBorders>
            <w:shd w:val="clear" w:color="auto" w:fill="BFBFBF" w:themeFill="background1" w:themeFillShade="BF"/>
            <w:vAlign w:val="bottom"/>
          </w:tcPr>
          <w:p w:rsidR="003A497B" w:rsidRPr="00314814" w:rsidRDefault="003A497B" w:rsidP="003E1809">
            <w:pPr>
              <w:jc w:val="right"/>
              <w:rPr>
                <w:rFonts w:ascii="Times New Roman" w:hAnsi="Times New Roman" w:cs="Times New Roman"/>
                <w:b/>
                <w:color w:val="000000"/>
                <w:sz w:val="14"/>
                <w:szCs w:val="14"/>
                <w:highlight w:val="yellow"/>
              </w:rPr>
            </w:pPr>
            <w:r w:rsidRPr="00314814">
              <w:rPr>
                <w:rFonts w:ascii="Times New Roman" w:hAnsi="Times New Roman" w:cs="Times New Roman"/>
                <w:b/>
                <w:color w:val="000000"/>
                <w:sz w:val="14"/>
                <w:szCs w:val="14"/>
              </w:rPr>
              <w:t>30 540 038</w:t>
            </w:r>
          </w:p>
        </w:tc>
        <w:tc>
          <w:tcPr>
            <w:tcW w:w="931" w:type="dxa"/>
            <w:gridSpan w:val="2"/>
            <w:tcBorders>
              <w:top w:val="nil"/>
              <w:left w:val="single" w:sz="4" w:space="0" w:color="auto"/>
              <w:bottom w:val="single" w:sz="4" w:space="0" w:color="auto"/>
              <w:right w:val="single" w:sz="4" w:space="0" w:color="auto"/>
            </w:tcBorders>
            <w:shd w:val="clear" w:color="auto" w:fill="BFBFBF" w:themeFill="background1" w:themeFillShade="BF"/>
            <w:vAlign w:val="bottom"/>
          </w:tcPr>
          <w:p w:rsidR="003A497B" w:rsidRPr="00314814" w:rsidRDefault="003A497B" w:rsidP="003E1809">
            <w:pPr>
              <w:jc w:val="right"/>
              <w:rPr>
                <w:rFonts w:ascii="Times New Roman" w:hAnsi="Times New Roman" w:cs="Times New Roman"/>
                <w:b/>
                <w:color w:val="000000"/>
                <w:sz w:val="14"/>
                <w:szCs w:val="14"/>
                <w:highlight w:val="yellow"/>
              </w:rPr>
            </w:pPr>
            <w:r w:rsidRPr="00314814">
              <w:rPr>
                <w:rFonts w:ascii="Times New Roman" w:hAnsi="Times New Roman" w:cs="Times New Roman"/>
                <w:b/>
                <w:color w:val="000000"/>
                <w:sz w:val="14"/>
                <w:szCs w:val="14"/>
              </w:rPr>
              <w:t>31 961 015</w:t>
            </w:r>
          </w:p>
        </w:tc>
        <w:tc>
          <w:tcPr>
            <w:tcW w:w="932" w:type="dxa"/>
            <w:gridSpan w:val="2"/>
            <w:tcBorders>
              <w:top w:val="nil"/>
              <w:left w:val="single" w:sz="4" w:space="0" w:color="auto"/>
              <w:bottom w:val="single" w:sz="4" w:space="0" w:color="auto"/>
              <w:right w:val="single" w:sz="4" w:space="0" w:color="auto"/>
            </w:tcBorders>
            <w:shd w:val="clear" w:color="auto" w:fill="BFBFBF" w:themeFill="background1" w:themeFillShade="BF"/>
            <w:vAlign w:val="bottom"/>
          </w:tcPr>
          <w:p w:rsidR="003A497B" w:rsidRPr="00314814" w:rsidRDefault="003A497B" w:rsidP="003E1809">
            <w:pPr>
              <w:jc w:val="right"/>
              <w:rPr>
                <w:rFonts w:ascii="Times New Roman" w:hAnsi="Times New Roman" w:cs="Times New Roman"/>
                <w:b/>
                <w:color w:val="000000"/>
                <w:sz w:val="14"/>
                <w:szCs w:val="14"/>
                <w:highlight w:val="yellow"/>
              </w:rPr>
            </w:pPr>
            <w:r w:rsidRPr="00314814">
              <w:rPr>
                <w:rFonts w:ascii="Times New Roman" w:hAnsi="Times New Roman" w:cs="Times New Roman"/>
                <w:b/>
                <w:color w:val="000000"/>
                <w:sz w:val="14"/>
                <w:szCs w:val="14"/>
              </w:rPr>
              <w:t>25 063 366</w:t>
            </w:r>
          </w:p>
        </w:tc>
        <w:tc>
          <w:tcPr>
            <w:tcW w:w="931" w:type="dxa"/>
            <w:gridSpan w:val="2"/>
            <w:tcBorders>
              <w:top w:val="nil"/>
              <w:left w:val="nil"/>
              <w:bottom w:val="single" w:sz="4" w:space="0" w:color="auto"/>
              <w:right w:val="single" w:sz="4" w:space="0" w:color="auto"/>
            </w:tcBorders>
            <w:shd w:val="clear" w:color="auto" w:fill="BFBFBF" w:themeFill="background1" w:themeFillShade="BF"/>
            <w:vAlign w:val="bottom"/>
          </w:tcPr>
          <w:p w:rsidR="003A497B" w:rsidRPr="00314814" w:rsidRDefault="003A497B" w:rsidP="003E1809">
            <w:pPr>
              <w:jc w:val="right"/>
              <w:rPr>
                <w:rFonts w:ascii="Times New Roman" w:hAnsi="Times New Roman" w:cs="Times New Roman"/>
                <w:b/>
                <w:color w:val="000000"/>
                <w:sz w:val="14"/>
                <w:szCs w:val="14"/>
                <w:highlight w:val="yellow"/>
              </w:rPr>
            </w:pPr>
            <w:r w:rsidRPr="00314814">
              <w:rPr>
                <w:rFonts w:ascii="Times New Roman" w:hAnsi="Times New Roman" w:cs="Times New Roman"/>
                <w:b/>
                <w:color w:val="000000"/>
                <w:sz w:val="14"/>
                <w:szCs w:val="14"/>
              </w:rPr>
              <w:t>126 540 740</w:t>
            </w:r>
          </w:p>
        </w:tc>
        <w:tc>
          <w:tcPr>
            <w:tcW w:w="932" w:type="dxa"/>
            <w:gridSpan w:val="2"/>
            <w:tcBorders>
              <w:top w:val="nil"/>
              <w:left w:val="nil"/>
              <w:bottom w:val="single" w:sz="4" w:space="0" w:color="auto"/>
              <w:right w:val="single" w:sz="4" w:space="0" w:color="auto"/>
            </w:tcBorders>
            <w:shd w:val="clear" w:color="auto" w:fill="BFBFBF" w:themeFill="background1" w:themeFillShade="BF"/>
            <w:vAlign w:val="bottom"/>
          </w:tcPr>
          <w:p w:rsidR="003A497B" w:rsidRPr="00314814" w:rsidRDefault="003A497B" w:rsidP="003E1809">
            <w:pPr>
              <w:jc w:val="right"/>
              <w:rPr>
                <w:rFonts w:ascii="Times New Roman" w:hAnsi="Times New Roman" w:cs="Times New Roman"/>
                <w:b/>
                <w:color w:val="000000"/>
                <w:sz w:val="14"/>
                <w:szCs w:val="14"/>
                <w:highlight w:val="yellow"/>
              </w:rPr>
            </w:pPr>
            <w:r w:rsidRPr="00314814">
              <w:rPr>
                <w:rFonts w:ascii="Times New Roman" w:hAnsi="Times New Roman" w:cs="Times New Roman"/>
                <w:b/>
                <w:color w:val="000000"/>
                <w:sz w:val="14"/>
                <w:szCs w:val="14"/>
              </w:rPr>
              <w:t>135 448 494</w:t>
            </w:r>
          </w:p>
        </w:tc>
      </w:tr>
      <w:tr w:rsidR="003A497B" w:rsidRPr="00314814" w:rsidTr="003E1809">
        <w:trPr>
          <w:gridAfter w:val="5"/>
          <w:wAfter w:w="4465" w:type="dxa"/>
          <w:trHeight w:val="259"/>
        </w:trPr>
        <w:tc>
          <w:tcPr>
            <w:tcW w:w="2622" w:type="dxa"/>
            <w:tcBorders>
              <w:top w:val="nil"/>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Efektívna verejná správa</w:t>
            </w:r>
          </w:p>
        </w:tc>
        <w:tc>
          <w:tcPr>
            <w:tcW w:w="931" w:type="dxa"/>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highlight w:val="yellow"/>
              </w:rPr>
            </w:pPr>
          </w:p>
        </w:tc>
        <w:tc>
          <w:tcPr>
            <w:tcW w:w="931" w:type="dxa"/>
            <w:gridSpan w:val="2"/>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highlight w:val="yellow"/>
              </w:rPr>
            </w:pPr>
          </w:p>
        </w:tc>
        <w:tc>
          <w:tcPr>
            <w:tcW w:w="932"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p>
        </w:tc>
        <w:tc>
          <w:tcPr>
            <w:tcW w:w="931" w:type="dxa"/>
            <w:gridSpan w:val="2"/>
            <w:tcBorders>
              <w:top w:val="nil"/>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color w:val="000000"/>
                <w:sz w:val="14"/>
                <w:szCs w:val="14"/>
                <w:highlight w:val="yellow"/>
              </w:rPr>
            </w:pPr>
          </w:p>
        </w:tc>
        <w:tc>
          <w:tcPr>
            <w:tcW w:w="932"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p>
        </w:tc>
        <w:tc>
          <w:tcPr>
            <w:tcW w:w="931"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p>
        </w:tc>
        <w:tc>
          <w:tcPr>
            <w:tcW w:w="932"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p>
        </w:tc>
      </w:tr>
      <w:tr w:rsidR="003A497B" w:rsidRPr="00314814" w:rsidTr="003E1809">
        <w:trPr>
          <w:gridAfter w:val="5"/>
          <w:wAfter w:w="4465" w:type="dxa"/>
          <w:trHeight w:val="259"/>
        </w:trPr>
        <w:tc>
          <w:tcPr>
            <w:tcW w:w="2622" w:type="dxa"/>
            <w:tcBorders>
              <w:top w:val="nil"/>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 xml:space="preserve">                           EÚ prostriedky</w:t>
            </w:r>
          </w:p>
        </w:tc>
        <w:tc>
          <w:tcPr>
            <w:tcW w:w="931" w:type="dxa"/>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7 851 917</w:t>
            </w:r>
          </w:p>
        </w:tc>
        <w:tc>
          <w:tcPr>
            <w:tcW w:w="932"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nil"/>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3 833 211</w:t>
            </w:r>
          </w:p>
        </w:tc>
        <w:tc>
          <w:tcPr>
            <w:tcW w:w="932"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3 929 046</w:t>
            </w:r>
          </w:p>
        </w:tc>
        <w:tc>
          <w:tcPr>
            <w:tcW w:w="931"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37 450 775</w:t>
            </w:r>
          </w:p>
        </w:tc>
        <w:tc>
          <w:tcPr>
            <w:tcW w:w="932"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39 084 406</w:t>
            </w:r>
          </w:p>
        </w:tc>
      </w:tr>
      <w:tr w:rsidR="003A497B" w:rsidRPr="00314814" w:rsidTr="003E1809">
        <w:trPr>
          <w:gridAfter w:val="5"/>
          <w:wAfter w:w="4465" w:type="dxa"/>
          <w:trHeight w:val="259"/>
        </w:trPr>
        <w:tc>
          <w:tcPr>
            <w:tcW w:w="2622" w:type="dxa"/>
            <w:tcBorders>
              <w:top w:val="nil"/>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 xml:space="preserve">                           spolufinancovanie zo ŠR</w:t>
            </w:r>
          </w:p>
        </w:tc>
        <w:tc>
          <w:tcPr>
            <w:tcW w:w="931" w:type="dxa"/>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2 153 011</w:t>
            </w:r>
          </w:p>
        </w:tc>
        <w:tc>
          <w:tcPr>
            <w:tcW w:w="932"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nil"/>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790 146</w:t>
            </w:r>
          </w:p>
        </w:tc>
        <w:tc>
          <w:tcPr>
            <w:tcW w:w="932"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6 279 462</w:t>
            </w:r>
          </w:p>
        </w:tc>
        <w:tc>
          <w:tcPr>
            <w:tcW w:w="931"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10 208 452</w:t>
            </w:r>
          </w:p>
        </w:tc>
        <w:tc>
          <w:tcPr>
            <w:tcW w:w="932"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10 653 753</w:t>
            </w:r>
          </w:p>
        </w:tc>
      </w:tr>
      <w:tr w:rsidR="003A497B" w:rsidRPr="00314814" w:rsidTr="003E1809">
        <w:trPr>
          <w:gridAfter w:val="5"/>
          <w:wAfter w:w="4465" w:type="dxa"/>
          <w:trHeight w:val="259"/>
        </w:trPr>
        <w:tc>
          <w:tcPr>
            <w:tcW w:w="2622" w:type="dxa"/>
            <w:tcBorders>
              <w:top w:val="nil"/>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Technická pomoc</w:t>
            </w:r>
          </w:p>
        </w:tc>
        <w:tc>
          <w:tcPr>
            <w:tcW w:w="931" w:type="dxa"/>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rPr>
            </w:pPr>
          </w:p>
        </w:tc>
        <w:tc>
          <w:tcPr>
            <w:tcW w:w="931" w:type="dxa"/>
            <w:gridSpan w:val="2"/>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rPr>
            </w:pPr>
          </w:p>
        </w:tc>
        <w:tc>
          <w:tcPr>
            <w:tcW w:w="932"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p>
        </w:tc>
        <w:tc>
          <w:tcPr>
            <w:tcW w:w="931" w:type="dxa"/>
            <w:gridSpan w:val="2"/>
            <w:tcBorders>
              <w:top w:val="nil"/>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color w:val="000000"/>
                <w:sz w:val="14"/>
                <w:szCs w:val="14"/>
                <w:highlight w:val="yellow"/>
              </w:rPr>
            </w:pPr>
          </w:p>
        </w:tc>
        <w:tc>
          <w:tcPr>
            <w:tcW w:w="932"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p>
        </w:tc>
        <w:tc>
          <w:tcPr>
            <w:tcW w:w="931"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p>
        </w:tc>
        <w:tc>
          <w:tcPr>
            <w:tcW w:w="932"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p>
        </w:tc>
      </w:tr>
      <w:tr w:rsidR="003A497B" w:rsidRPr="00314814" w:rsidTr="003E1809">
        <w:trPr>
          <w:gridAfter w:val="5"/>
          <w:wAfter w:w="4465" w:type="dxa"/>
          <w:trHeight w:val="259"/>
        </w:trPr>
        <w:tc>
          <w:tcPr>
            <w:tcW w:w="2622" w:type="dxa"/>
            <w:tcBorders>
              <w:top w:val="nil"/>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 xml:space="preserve">                           EÚ prostriedky</w:t>
            </w:r>
          </w:p>
        </w:tc>
        <w:tc>
          <w:tcPr>
            <w:tcW w:w="931" w:type="dxa"/>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1 575 832</w:t>
            </w:r>
          </w:p>
        </w:tc>
        <w:tc>
          <w:tcPr>
            <w:tcW w:w="931" w:type="dxa"/>
            <w:gridSpan w:val="2"/>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2 593 419</w:t>
            </w:r>
          </w:p>
        </w:tc>
        <w:tc>
          <w:tcPr>
            <w:tcW w:w="932"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nil"/>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341 399</w:t>
            </w:r>
          </w:p>
        </w:tc>
        <w:tc>
          <w:tcPr>
            <w:tcW w:w="932"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1 781 141</w:t>
            </w:r>
          </w:p>
        </w:tc>
        <w:tc>
          <w:tcPr>
            <w:tcW w:w="931"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1 087 521</w:t>
            </w:r>
          </w:p>
        </w:tc>
        <w:tc>
          <w:tcPr>
            <w:tcW w:w="932"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1 087 521</w:t>
            </w:r>
          </w:p>
        </w:tc>
      </w:tr>
      <w:tr w:rsidR="003A497B" w:rsidRPr="00314814" w:rsidTr="003E1809">
        <w:trPr>
          <w:gridAfter w:val="5"/>
          <w:wAfter w:w="4465" w:type="dxa"/>
          <w:trHeight w:val="259"/>
        </w:trPr>
        <w:tc>
          <w:tcPr>
            <w:tcW w:w="2622" w:type="dxa"/>
            <w:tcBorders>
              <w:top w:val="nil"/>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 xml:space="preserve">                           spolufinancovanie zo ŠR</w:t>
            </w:r>
          </w:p>
        </w:tc>
        <w:tc>
          <w:tcPr>
            <w:tcW w:w="931" w:type="dxa"/>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bCs/>
                <w:sz w:val="14"/>
                <w:szCs w:val="14"/>
              </w:rPr>
            </w:pPr>
            <w:r w:rsidRPr="00314814">
              <w:rPr>
                <w:rFonts w:ascii="Times New Roman" w:hAnsi="Times New Roman" w:cs="Times New Roman"/>
                <w:bCs/>
                <w:sz w:val="14"/>
                <w:szCs w:val="14"/>
              </w:rPr>
              <w:t>322 872</w:t>
            </w:r>
          </w:p>
        </w:tc>
        <w:tc>
          <w:tcPr>
            <w:tcW w:w="931" w:type="dxa"/>
            <w:gridSpan w:val="2"/>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bCs/>
                <w:sz w:val="14"/>
                <w:szCs w:val="14"/>
              </w:rPr>
            </w:pPr>
            <w:r w:rsidRPr="00314814">
              <w:rPr>
                <w:rFonts w:ascii="Times New Roman" w:hAnsi="Times New Roman" w:cs="Times New Roman"/>
                <w:bCs/>
                <w:sz w:val="14"/>
                <w:szCs w:val="14"/>
              </w:rPr>
              <w:t>531 366</w:t>
            </w:r>
          </w:p>
        </w:tc>
        <w:tc>
          <w:tcPr>
            <w:tcW w:w="932"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rPr>
            </w:pPr>
            <w:r w:rsidRPr="00314814">
              <w:rPr>
                <w:rFonts w:ascii="Times New Roman" w:hAnsi="Times New Roman" w:cs="Times New Roman"/>
                <w:sz w:val="14"/>
                <w:szCs w:val="14"/>
              </w:rPr>
              <w:t>0</w:t>
            </w:r>
          </w:p>
        </w:tc>
        <w:tc>
          <w:tcPr>
            <w:tcW w:w="931" w:type="dxa"/>
            <w:gridSpan w:val="2"/>
            <w:tcBorders>
              <w:top w:val="nil"/>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69 947</w:t>
            </w:r>
          </w:p>
        </w:tc>
        <w:tc>
          <w:tcPr>
            <w:tcW w:w="932" w:type="dxa"/>
            <w:gridSpan w:val="2"/>
            <w:tcBorders>
              <w:top w:val="nil"/>
              <w:left w:val="single" w:sz="4" w:space="0" w:color="auto"/>
              <w:bottom w:val="single" w:sz="4" w:space="0" w:color="auto"/>
              <w:right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364 724</w:t>
            </w:r>
          </w:p>
        </w:tc>
        <w:tc>
          <w:tcPr>
            <w:tcW w:w="931"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222 815</w:t>
            </w:r>
          </w:p>
        </w:tc>
        <w:tc>
          <w:tcPr>
            <w:tcW w:w="932" w:type="dxa"/>
            <w:gridSpan w:val="2"/>
            <w:tcBorders>
              <w:top w:val="nil"/>
              <w:left w:val="nil"/>
              <w:bottom w:val="single" w:sz="4" w:space="0" w:color="auto"/>
              <w:right w:val="single" w:sz="4" w:space="0" w:color="auto"/>
            </w:tcBorders>
            <w:shd w:val="clear" w:color="auto" w:fill="auto"/>
            <w:vAlign w:val="bottom"/>
          </w:tcPr>
          <w:p w:rsidR="003A497B" w:rsidRPr="00314814" w:rsidRDefault="003A497B" w:rsidP="003E1809">
            <w:pPr>
              <w:autoSpaceDE w:val="0"/>
              <w:autoSpaceDN w:val="0"/>
              <w:adjustRightInd w:val="0"/>
              <w:jc w:val="right"/>
              <w:rPr>
                <w:rFonts w:ascii="Times New Roman" w:hAnsi="Times New Roman" w:cs="Times New Roman"/>
                <w:sz w:val="14"/>
                <w:szCs w:val="14"/>
                <w:highlight w:val="yellow"/>
              </w:rPr>
            </w:pPr>
            <w:r w:rsidRPr="00314814">
              <w:rPr>
                <w:rFonts w:ascii="Times New Roman" w:hAnsi="Times New Roman" w:cs="Times New Roman"/>
                <w:sz w:val="14"/>
                <w:szCs w:val="14"/>
              </w:rPr>
              <w:t>222 815</w:t>
            </w:r>
          </w:p>
        </w:tc>
      </w:tr>
      <w:tr w:rsidR="003A497B" w:rsidRPr="00314814" w:rsidTr="003E1809">
        <w:trPr>
          <w:gridAfter w:val="5"/>
          <w:wAfter w:w="4465" w:type="dxa"/>
          <w:trHeight w:val="259"/>
        </w:trPr>
        <w:tc>
          <w:tcPr>
            <w:tcW w:w="26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Kvalita životného prostredia</w:t>
            </w:r>
          </w:p>
        </w:tc>
        <w:tc>
          <w:tcPr>
            <w:tcW w:w="931" w:type="dxa"/>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rPr>
            </w:pPr>
          </w:p>
        </w:tc>
        <w:tc>
          <w:tcPr>
            <w:tcW w:w="931" w:type="dxa"/>
            <w:gridSpan w:val="2"/>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rPr>
            </w:pP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color w:val="000000"/>
                <w:sz w:val="14"/>
                <w:szCs w:val="14"/>
                <w:highlight w:val="yellow"/>
              </w:rPr>
            </w:pP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p>
        </w:tc>
        <w:tc>
          <w:tcPr>
            <w:tcW w:w="931" w:type="dxa"/>
            <w:gridSpan w:val="2"/>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p>
        </w:tc>
        <w:tc>
          <w:tcPr>
            <w:tcW w:w="932" w:type="dxa"/>
            <w:gridSpan w:val="2"/>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p>
        </w:tc>
      </w:tr>
      <w:tr w:rsidR="003A497B" w:rsidRPr="00314814" w:rsidTr="003E1809">
        <w:trPr>
          <w:gridAfter w:val="5"/>
          <w:wAfter w:w="4465" w:type="dxa"/>
          <w:trHeight w:val="259"/>
        </w:trPr>
        <w:tc>
          <w:tcPr>
            <w:tcW w:w="26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 xml:space="preserve">                           EÚ prostriedky</w:t>
            </w:r>
          </w:p>
        </w:tc>
        <w:tc>
          <w:tcPr>
            <w:tcW w:w="931" w:type="dxa"/>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502 075</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370 926</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2" w:type="dxa"/>
            <w:gridSpan w:val="2"/>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r>
      <w:tr w:rsidR="003A497B" w:rsidRPr="00314814" w:rsidTr="003E1809">
        <w:trPr>
          <w:gridAfter w:val="5"/>
          <w:wAfter w:w="4465" w:type="dxa"/>
          <w:trHeight w:val="259"/>
        </w:trPr>
        <w:tc>
          <w:tcPr>
            <w:tcW w:w="26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 xml:space="preserve">                           spolufinancovanie zo ŠR</w:t>
            </w:r>
          </w:p>
        </w:tc>
        <w:tc>
          <w:tcPr>
            <w:tcW w:w="931" w:type="dxa"/>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95 428</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66 343</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1" w:type="dxa"/>
            <w:gridSpan w:val="2"/>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c>
          <w:tcPr>
            <w:tcW w:w="932" w:type="dxa"/>
            <w:gridSpan w:val="2"/>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0</w:t>
            </w:r>
          </w:p>
        </w:tc>
      </w:tr>
      <w:tr w:rsidR="003A497B" w:rsidRPr="00314814" w:rsidTr="003E1809">
        <w:trPr>
          <w:gridAfter w:val="5"/>
          <w:wAfter w:w="4465" w:type="dxa"/>
          <w:trHeight w:val="259"/>
        </w:trPr>
        <w:tc>
          <w:tcPr>
            <w:tcW w:w="26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Ľudské zdroje</w:t>
            </w:r>
          </w:p>
        </w:tc>
        <w:tc>
          <w:tcPr>
            <w:tcW w:w="931" w:type="dxa"/>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rPr>
            </w:pPr>
          </w:p>
        </w:tc>
        <w:tc>
          <w:tcPr>
            <w:tcW w:w="931" w:type="dxa"/>
            <w:gridSpan w:val="2"/>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rPr>
            </w:pP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color w:val="000000"/>
                <w:sz w:val="14"/>
                <w:szCs w:val="14"/>
                <w:highlight w:val="yellow"/>
              </w:rPr>
            </w:pP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p>
        </w:tc>
        <w:tc>
          <w:tcPr>
            <w:tcW w:w="931" w:type="dxa"/>
            <w:gridSpan w:val="2"/>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p>
        </w:tc>
        <w:tc>
          <w:tcPr>
            <w:tcW w:w="932" w:type="dxa"/>
            <w:gridSpan w:val="2"/>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p>
        </w:tc>
      </w:tr>
      <w:tr w:rsidR="003A497B" w:rsidRPr="00314814" w:rsidTr="003E1809">
        <w:trPr>
          <w:gridAfter w:val="5"/>
          <w:wAfter w:w="4465" w:type="dxa"/>
          <w:trHeight w:val="259"/>
        </w:trPr>
        <w:tc>
          <w:tcPr>
            <w:tcW w:w="26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 xml:space="preserve">                           EÚ prostriedky</w:t>
            </w:r>
          </w:p>
        </w:tc>
        <w:tc>
          <w:tcPr>
            <w:tcW w:w="931" w:type="dxa"/>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2 883 879</w:t>
            </w:r>
          </w:p>
        </w:tc>
        <w:tc>
          <w:tcPr>
            <w:tcW w:w="931" w:type="dxa"/>
            <w:gridSpan w:val="2"/>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7 118 655</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28 832 292</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24 552 719</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11 468 554</w:t>
            </w:r>
          </w:p>
        </w:tc>
        <w:tc>
          <w:tcPr>
            <w:tcW w:w="931" w:type="dxa"/>
            <w:gridSpan w:val="2"/>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68 000 000</w:t>
            </w:r>
          </w:p>
        </w:tc>
        <w:tc>
          <w:tcPr>
            <w:tcW w:w="932" w:type="dxa"/>
            <w:gridSpan w:val="2"/>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73 900 000</w:t>
            </w:r>
          </w:p>
        </w:tc>
      </w:tr>
      <w:tr w:rsidR="003A497B" w:rsidRPr="00314814" w:rsidTr="003E1809">
        <w:trPr>
          <w:gridAfter w:val="5"/>
          <w:wAfter w:w="4465" w:type="dxa"/>
          <w:trHeight w:val="259"/>
        </w:trPr>
        <w:tc>
          <w:tcPr>
            <w:tcW w:w="26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314814" w:rsidRDefault="003A497B" w:rsidP="003E1809">
            <w:pPr>
              <w:rPr>
                <w:rFonts w:ascii="Times New Roman" w:hAnsi="Times New Roman" w:cs="Times New Roman"/>
                <w:sz w:val="14"/>
                <w:szCs w:val="14"/>
              </w:rPr>
            </w:pPr>
            <w:r w:rsidRPr="00314814">
              <w:rPr>
                <w:rFonts w:ascii="Times New Roman" w:hAnsi="Times New Roman" w:cs="Times New Roman"/>
                <w:sz w:val="14"/>
                <w:szCs w:val="14"/>
              </w:rPr>
              <w:t xml:space="preserve">                           spolufinancovanie zo ŠR</w:t>
            </w:r>
          </w:p>
        </w:tc>
        <w:tc>
          <w:tcPr>
            <w:tcW w:w="931" w:type="dxa"/>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508 920</w:t>
            </w:r>
          </w:p>
        </w:tc>
        <w:tc>
          <w:tcPr>
            <w:tcW w:w="931" w:type="dxa"/>
            <w:gridSpan w:val="2"/>
            <w:tcBorders>
              <w:top w:val="single" w:sz="4" w:space="0" w:color="auto"/>
              <w:left w:val="single" w:sz="4" w:space="0" w:color="auto"/>
              <w:bottom w:val="single" w:sz="4" w:space="0" w:color="auto"/>
              <w:right w:val="single" w:sz="4" w:space="0" w:color="auto"/>
            </w:tcBorders>
            <w:vAlign w:val="bottom"/>
          </w:tcPr>
          <w:p w:rsidR="003A497B" w:rsidRPr="00314814" w:rsidRDefault="003A497B" w:rsidP="003E1809">
            <w:pPr>
              <w:jc w:val="right"/>
              <w:rPr>
                <w:rFonts w:ascii="Times New Roman" w:hAnsi="Times New Roman" w:cs="Times New Roman"/>
                <w:color w:val="000000"/>
                <w:sz w:val="14"/>
                <w:szCs w:val="14"/>
              </w:rPr>
            </w:pPr>
            <w:r w:rsidRPr="00314814">
              <w:rPr>
                <w:rFonts w:ascii="Times New Roman" w:hAnsi="Times New Roman" w:cs="Times New Roman"/>
                <w:color w:val="000000"/>
                <w:sz w:val="14"/>
                <w:szCs w:val="14"/>
              </w:rPr>
              <w:t>1 180 270</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1 707 746</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1 936 324</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1 240 439</w:t>
            </w:r>
          </w:p>
        </w:tc>
        <w:tc>
          <w:tcPr>
            <w:tcW w:w="931" w:type="dxa"/>
            <w:gridSpan w:val="2"/>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9 571 177</w:t>
            </w:r>
          </w:p>
        </w:tc>
        <w:tc>
          <w:tcPr>
            <w:tcW w:w="932" w:type="dxa"/>
            <w:gridSpan w:val="2"/>
            <w:tcBorders>
              <w:top w:val="single" w:sz="4" w:space="0" w:color="auto"/>
              <w:left w:val="nil"/>
              <w:bottom w:val="single" w:sz="4" w:space="0" w:color="auto"/>
              <w:right w:val="single" w:sz="4" w:space="0" w:color="auto"/>
            </w:tcBorders>
            <w:shd w:val="clear" w:color="auto" w:fill="auto"/>
            <w:vAlign w:val="bottom"/>
          </w:tcPr>
          <w:p w:rsidR="003A497B" w:rsidRPr="00314814" w:rsidRDefault="003A497B" w:rsidP="003E1809">
            <w:pPr>
              <w:jc w:val="right"/>
              <w:rPr>
                <w:rFonts w:ascii="Times New Roman" w:hAnsi="Times New Roman" w:cs="Times New Roman"/>
                <w:color w:val="000000"/>
                <w:sz w:val="14"/>
                <w:szCs w:val="14"/>
                <w:highlight w:val="yellow"/>
              </w:rPr>
            </w:pPr>
            <w:r w:rsidRPr="00314814">
              <w:rPr>
                <w:rFonts w:ascii="Times New Roman" w:hAnsi="Times New Roman" w:cs="Times New Roman"/>
                <w:color w:val="000000"/>
                <w:sz w:val="14"/>
                <w:szCs w:val="14"/>
              </w:rPr>
              <w:t>10 499 999</w:t>
            </w:r>
          </w:p>
        </w:tc>
      </w:tr>
    </w:tbl>
    <w:p w:rsidR="003A497B" w:rsidRPr="00314814" w:rsidRDefault="003A497B" w:rsidP="003A497B">
      <w:pPr>
        <w:ind w:firstLine="708"/>
        <w:jc w:val="both"/>
        <w:rPr>
          <w:rFonts w:ascii="Times New Roman" w:hAnsi="Times New Roman" w:cs="Times New Roman"/>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Na rezortný program Efektívna verejná správa sa rozpočtujú prostriedky EÚ a spolufinancovania v sume 10,2 mil. eur, z toho spolufinancovanie je vo výške 6,28 mil. eur.</w:t>
      </w:r>
    </w:p>
    <w:p w:rsidR="003A497B" w:rsidRPr="00314814" w:rsidRDefault="003A497B" w:rsidP="003A497B">
      <w:pPr>
        <w:ind w:firstLine="708"/>
        <w:jc w:val="both"/>
        <w:rPr>
          <w:rFonts w:ascii="Times New Roman" w:hAnsi="Times New Roman" w:cs="Times New Roman"/>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V rámci rezortného programu Efektívna a spoľahlivá štátna správa bol vytvorený podprogram Technická pomoc, na ktorý sa rozpočtujú prostriedky EÚ a spolufinancovania v sume 2,15 mil. eur, z toho spolufinancovanie je vo výške 365 tis. eur.</w:t>
      </w:r>
    </w:p>
    <w:p w:rsidR="003A497B" w:rsidRPr="00314814" w:rsidRDefault="003A497B" w:rsidP="003A497B">
      <w:pPr>
        <w:ind w:firstLine="708"/>
        <w:jc w:val="both"/>
        <w:rPr>
          <w:rFonts w:ascii="Times New Roman" w:hAnsi="Times New Roman" w:cs="Times New Roman"/>
        </w:rPr>
      </w:pPr>
    </w:p>
    <w:p w:rsidR="003A497B" w:rsidRPr="00314814" w:rsidRDefault="003A497B" w:rsidP="003A497B">
      <w:pPr>
        <w:ind w:firstLine="708"/>
        <w:jc w:val="both"/>
        <w:rPr>
          <w:rFonts w:ascii="Times New Roman" w:hAnsi="Times New Roman" w:cs="Times New Roman"/>
        </w:rPr>
      </w:pPr>
      <w:r w:rsidRPr="00314814">
        <w:rPr>
          <w:rFonts w:ascii="Times New Roman" w:hAnsi="Times New Roman" w:cs="Times New Roman"/>
        </w:rPr>
        <w:t xml:space="preserve">V rámci medzirezortného programu Ľudské zdroje bol vytvorený podprogram OP Ľudské zdroje, na ktorý sa rozpočtujú prostriedky EÚ a spolufinancovania v sume </w:t>
      </w:r>
      <w:r>
        <w:rPr>
          <w:rFonts w:ascii="Times New Roman" w:hAnsi="Times New Roman" w:cs="Times New Roman"/>
        </w:rPr>
        <w:br/>
      </w:r>
      <w:r w:rsidRPr="00314814">
        <w:rPr>
          <w:rFonts w:ascii="Times New Roman" w:hAnsi="Times New Roman" w:cs="Times New Roman"/>
        </w:rPr>
        <w:t>12,7 mil. eur, z toho spolufinancovanie je vo výške 1,24 mil. eur.</w:t>
      </w:r>
    </w:p>
    <w:p w:rsidR="003A497B" w:rsidRPr="00A401D6" w:rsidRDefault="003A497B" w:rsidP="003A497B">
      <w:pPr>
        <w:pStyle w:val="Nadpis5"/>
        <w:pBdr>
          <w:bottom w:val="single" w:sz="4" w:space="1" w:color="auto"/>
        </w:pBdr>
        <w:ind w:left="0"/>
        <w:rPr>
          <w:i w:val="0"/>
          <w:sz w:val="24"/>
          <w:lang w:eastAsia="sk-SK"/>
        </w:rPr>
      </w:pPr>
      <w:bookmarkStart w:id="65" w:name="_Toc526267692"/>
      <w:r w:rsidRPr="00A401D6">
        <w:rPr>
          <w:i w:val="0"/>
          <w:sz w:val="24"/>
          <w:lang w:eastAsia="sk-SK"/>
        </w:rPr>
        <w:t>Ministerstvo práce, sociálnych vecí a rodiny SR</w:t>
      </w:r>
      <w:bookmarkEnd w:id="62"/>
      <w:bookmarkEnd w:id="63"/>
      <w:bookmarkEnd w:id="64"/>
      <w:bookmarkEnd w:id="65"/>
      <w:r w:rsidRPr="00A401D6">
        <w:rPr>
          <w:i w:val="0"/>
          <w:sz w:val="24"/>
          <w:lang w:eastAsia="sk-SK"/>
        </w:rPr>
        <w:t xml:space="preserve"> </w:t>
      </w:r>
    </w:p>
    <w:p w:rsidR="003A497B" w:rsidRPr="004A3627" w:rsidRDefault="003A497B" w:rsidP="003A497B">
      <w:pPr>
        <w:contextualSpacing/>
        <w:jc w:val="both"/>
        <w:rPr>
          <w:rFonts w:ascii="Times New Roman" w:hAnsi="Times New Roman" w:cs="Times New Roman"/>
          <w:b/>
          <w:sz w:val="18"/>
          <w:szCs w:val="18"/>
          <w:highlight w:val="yellow"/>
          <w:lang w:eastAsia="sk-SK"/>
        </w:rPr>
      </w:pPr>
    </w:p>
    <w:p w:rsidR="003A497B" w:rsidRDefault="003A497B" w:rsidP="003A497B">
      <w:pPr>
        <w:contextualSpacing/>
        <w:jc w:val="both"/>
        <w:rPr>
          <w:rFonts w:ascii="Times New Roman" w:hAnsi="Times New Roman" w:cs="Times New Roman"/>
          <w:b/>
          <w:lang w:eastAsia="sk-SK"/>
        </w:rPr>
      </w:pPr>
      <w:r w:rsidRPr="003F457E">
        <w:rPr>
          <w:rFonts w:ascii="Times New Roman" w:hAnsi="Times New Roman" w:cs="Times New Roman"/>
          <w:b/>
          <w:lang w:eastAsia="sk-SK"/>
        </w:rPr>
        <w:t>Ciele a</w:t>
      </w:r>
      <w:r>
        <w:rPr>
          <w:rFonts w:ascii="Times New Roman" w:hAnsi="Times New Roman" w:cs="Times New Roman"/>
          <w:b/>
          <w:lang w:eastAsia="sk-SK"/>
        </w:rPr>
        <w:t> </w:t>
      </w:r>
      <w:r w:rsidRPr="003F457E">
        <w:rPr>
          <w:rFonts w:ascii="Times New Roman" w:hAnsi="Times New Roman" w:cs="Times New Roman"/>
          <w:b/>
          <w:lang w:eastAsia="sk-SK"/>
        </w:rPr>
        <w:t>výdavky</w:t>
      </w:r>
    </w:p>
    <w:p w:rsidR="003A497B" w:rsidRPr="003F457E" w:rsidRDefault="003A497B" w:rsidP="003A497B">
      <w:pPr>
        <w:contextualSpacing/>
        <w:jc w:val="both"/>
        <w:rPr>
          <w:rFonts w:ascii="Times New Roman" w:hAnsi="Times New Roman" w:cs="Times New Roman"/>
          <w:b/>
        </w:rPr>
      </w:pPr>
    </w:p>
    <w:p w:rsidR="003A497B" w:rsidRDefault="003A497B" w:rsidP="003A497B">
      <w:pPr>
        <w:ind w:firstLine="708"/>
        <w:jc w:val="both"/>
        <w:rPr>
          <w:rFonts w:ascii="Times New Roman" w:hAnsi="Times New Roman" w:cs="Times New Roman"/>
          <w:lang w:eastAsia="sk-SK"/>
        </w:rPr>
      </w:pPr>
      <w:r w:rsidRPr="00F82602">
        <w:rPr>
          <w:rFonts w:ascii="Times New Roman" w:hAnsi="Times New Roman" w:cs="Times New Roman"/>
          <w:lang w:eastAsia="sk-SK"/>
        </w:rPr>
        <w:t>Hlavným cieľom politík Ministerstva práce, sociálnych vecí a rodiny SR</w:t>
      </w:r>
      <w:r>
        <w:rPr>
          <w:rFonts w:ascii="Times New Roman" w:hAnsi="Times New Roman" w:cs="Times New Roman"/>
          <w:lang w:eastAsia="sk-SK"/>
        </w:rPr>
        <w:t xml:space="preserve"> (ďalej len MPSVR SR)</w:t>
      </w:r>
      <w:r w:rsidRPr="00F82602">
        <w:rPr>
          <w:rFonts w:ascii="Times New Roman" w:hAnsi="Times New Roman" w:cs="Times New Roman"/>
          <w:lang w:eastAsia="sk-SK"/>
        </w:rPr>
        <w:t xml:space="preserve"> je zvyšovanie zamestnanosti a znižovanie podielu osôb ohrozených chudobou. </w:t>
      </w:r>
      <w:r w:rsidRPr="00571888">
        <w:rPr>
          <w:rFonts w:ascii="Times New Roman" w:hAnsi="Times New Roman" w:cs="Times New Roman"/>
          <w:lang w:eastAsia="sk-SK"/>
        </w:rPr>
        <w:t xml:space="preserve">V miere zamestnanosti dosahuje Slovensko dobré výsledky, pričom cieľ 72 % zamestnanosti, ktorý si stanovilo Slovensko dosiahnuť do roku 2020, by mal byť pri súčasnom vývoji </w:t>
      </w:r>
      <w:r w:rsidRPr="00571888">
        <w:rPr>
          <w:rFonts w:ascii="Times New Roman" w:hAnsi="Times New Roman" w:cs="Times New Roman"/>
          <w:lang w:eastAsia="sk-SK"/>
        </w:rPr>
        <w:lastRenderedPageBreak/>
        <w:t>dosiahnutý v roku 2018</w:t>
      </w:r>
      <w:r>
        <w:rPr>
          <w:rStyle w:val="Odkaznapoznmkupodiarou"/>
          <w:rFonts w:ascii="Times New Roman" w:hAnsi="Times New Roman"/>
          <w:lang w:eastAsia="sk-SK"/>
        </w:rPr>
        <w:footnoteReference w:id="17"/>
      </w:r>
      <w:r w:rsidRPr="00571888">
        <w:rPr>
          <w:rFonts w:ascii="Times New Roman" w:hAnsi="Times New Roman" w:cs="Times New Roman"/>
          <w:lang w:eastAsia="sk-SK"/>
        </w:rPr>
        <w:t xml:space="preserve">. </w:t>
      </w:r>
      <w:r w:rsidRPr="00F82602">
        <w:rPr>
          <w:rFonts w:ascii="Times New Roman" w:hAnsi="Times New Roman" w:cs="Times New Roman"/>
          <w:lang w:eastAsia="sk-SK"/>
        </w:rPr>
        <w:t xml:space="preserve"> Slovensku sa darí znižovať mieru rizika chudoby, pričom dosahuje lepšie výsledky ako priemer Európskej únie.</w:t>
      </w:r>
      <w:r w:rsidRPr="003F457E">
        <w:rPr>
          <w:rFonts w:ascii="Times New Roman" w:hAnsi="Times New Roman" w:cs="Times New Roman"/>
          <w:lang w:eastAsia="sk-SK"/>
        </w:rPr>
        <w:t xml:space="preserve"> </w:t>
      </w:r>
    </w:p>
    <w:p w:rsidR="003A497B" w:rsidRDefault="003A497B" w:rsidP="003A497B">
      <w:pPr>
        <w:ind w:firstLine="708"/>
        <w:jc w:val="both"/>
        <w:rPr>
          <w:rFonts w:ascii="Times New Roman" w:hAnsi="Times New Roman" w:cs="Times New Roman"/>
          <w:lang w:eastAsia="sk-SK"/>
        </w:rPr>
      </w:pPr>
    </w:p>
    <w:p w:rsidR="003A497B" w:rsidRDefault="003A497B" w:rsidP="003A497B">
      <w:pPr>
        <w:jc w:val="both"/>
        <w:rPr>
          <w:rFonts w:ascii="Times New Roman" w:hAnsi="Times New Roman" w:cs="Times New Roman"/>
          <w:lang w:eastAsia="sk-SK"/>
        </w:rPr>
      </w:pPr>
    </w:p>
    <w:tbl>
      <w:tblPr>
        <w:tblpPr w:leftFromText="141" w:rightFromText="141" w:vertAnchor="text" w:horzAnchor="margin" w:tblpXSpec="center" w:tblpY="19"/>
        <w:tblOverlap w:val="never"/>
        <w:tblW w:w="5033"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1E0" w:firstRow="1" w:lastRow="1" w:firstColumn="1" w:lastColumn="1" w:noHBand="0" w:noVBand="0"/>
      </w:tblPr>
      <w:tblGrid>
        <w:gridCol w:w="4559"/>
        <w:gridCol w:w="146"/>
        <w:gridCol w:w="4490"/>
      </w:tblGrid>
      <w:tr w:rsidR="003A497B" w:rsidRPr="00191349" w:rsidTr="003E1809">
        <w:trPr>
          <w:trHeight w:val="170"/>
        </w:trPr>
        <w:tc>
          <w:tcPr>
            <w:tcW w:w="2492" w:type="pct"/>
            <w:tcBorders>
              <w:top w:val="nil"/>
              <w:left w:val="nil"/>
              <w:bottom w:val="single" w:sz="4" w:space="0" w:color="auto"/>
              <w:right w:val="nil"/>
            </w:tcBorders>
            <w:shd w:val="clear" w:color="auto" w:fill="auto"/>
            <w:vAlign w:val="bottom"/>
          </w:tcPr>
          <w:p w:rsidR="003A497B" w:rsidRPr="00A6654F" w:rsidRDefault="003A497B" w:rsidP="003E1809">
            <w:pPr>
              <w:jc w:val="both"/>
              <w:rPr>
                <w:rFonts w:ascii="Times New Roman" w:eastAsia="Calibri" w:hAnsi="Times New Roman" w:cs="Times New Roman"/>
                <w:b/>
                <w:szCs w:val="20"/>
              </w:rPr>
            </w:pPr>
            <w:bookmarkStart w:id="66" w:name="_Toc488075675"/>
            <w:r w:rsidRPr="00A6654F">
              <w:rPr>
                <w:rFonts w:ascii="Times New Roman" w:eastAsia="Calibri" w:hAnsi="Times New Roman" w:cs="Times New Roman"/>
                <w:b/>
                <w:iCs/>
                <w:szCs w:val="20"/>
              </w:rPr>
              <w:t>Graf: Miera zamestnanosti (% v skupine 20-64 rokov)</w:t>
            </w:r>
            <w:bookmarkEnd w:id="66"/>
          </w:p>
        </w:tc>
        <w:tc>
          <w:tcPr>
            <w:tcW w:w="79" w:type="pct"/>
            <w:tcBorders>
              <w:top w:val="nil"/>
              <w:left w:val="nil"/>
              <w:bottom w:val="nil"/>
              <w:right w:val="nil"/>
            </w:tcBorders>
            <w:shd w:val="clear" w:color="auto" w:fill="auto"/>
            <w:vAlign w:val="center"/>
          </w:tcPr>
          <w:p w:rsidR="003A497B" w:rsidRPr="00A6654F" w:rsidRDefault="003A497B" w:rsidP="003E1809">
            <w:pPr>
              <w:jc w:val="both"/>
              <w:rPr>
                <w:rFonts w:ascii="Times New Roman" w:eastAsia="Calibri" w:hAnsi="Times New Roman" w:cs="Times New Roman"/>
                <w:b/>
                <w:szCs w:val="20"/>
              </w:rPr>
            </w:pPr>
          </w:p>
        </w:tc>
        <w:tc>
          <w:tcPr>
            <w:tcW w:w="2429" w:type="pct"/>
            <w:tcBorders>
              <w:top w:val="nil"/>
              <w:left w:val="nil"/>
              <w:bottom w:val="single" w:sz="4" w:space="0" w:color="auto"/>
              <w:right w:val="nil"/>
            </w:tcBorders>
            <w:shd w:val="clear" w:color="auto" w:fill="auto"/>
            <w:vAlign w:val="center"/>
          </w:tcPr>
          <w:p w:rsidR="003A497B" w:rsidRPr="00A6654F" w:rsidRDefault="003A497B" w:rsidP="003E1809">
            <w:pPr>
              <w:jc w:val="both"/>
              <w:rPr>
                <w:rFonts w:ascii="Times New Roman" w:eastAsia="Calibri" w:hAnsi="Times New Roman" w:cs="Times New Roman"/>
                <w:b/>
                <w:color w:val="000000"/>
                <w:szCs w:val="20"/>
              </w:rPr>
            </w:pPr>
            <w:bookmarkStart w:id="67" w:name="_Toc488075676"/>
            <w:r w:rsidRPr="00A6654F">
              <w:rPr>
                <w:rFonts w:ascii="Times New Roman" w:eastAsia="Calibri" w:hAnsi="Times New Roman" w:cs="Times New Roman"/>
                <w:b/>
                <w:iCs/>
                <w:szCs w:val="20"/>
              </w:rPr>
              <w:t>Graf</w:t>
            </w:r>
            <w:r w:rsidRPr="00A6654F">
              <w:rPr>
                <w:rFonts w:ascii="Times New Roman" w:eastAsia="Arial" w:hAnsi="Times New Roman" w:cs="Times New Roman"/>
                <w:b/>
                <w:iCs/>
                <w:color w:val="000000"/>
                <w:szCs w:val="20"/>
                <w:lang w:eastAsia="fr-FR" w:bidi="fr-FR"/>
              </w:rPr>
              <w:t>:</w:t>
            </w:r>
            <w:r w:rsidRPr="00A6654F">
              <w:rPr>
                <w:rFonts w:ascii="Times New Roman" w:eastAsia="Calibri" w:hAnsi="Times New Roman" w:cs="Times New Roman"/>
                <w:szCs w:val="20"/>
              </w:rPr>
              <w:t xml:space="preserve"> </w:t>
            </w:r>
            <w:r w:rsidRPr="00A6654F">
              <w:rPr>
                <w:rFonts w:ascii="Times New Roman" w:hAnsi="Times New Roman" w:cs="Times New Roman"/>
                <w:b/>
                <w:iCs/>
                <w:szCs w:val="20"/>
                <w:lang w:eastAsia="sk-SK"/>
              </w:rPr>
              <w:t>Miera rizika chudoby po sociálnych transferoch (%)</w:t>
            </w:r>
            <w:bookmarkEnd w:id="67"/>
          </w:p>
        </w:tc>
      </w:tr>
      <w:tr w:rsidR="003A497B" w:rsidRPr="00191349" w:rsidTr="003E1809">
        <w:trPr>
          <w:trHeight w:val="170"/>
        </w:trPr>
        <w:tc>
          <w:tcPr>
            <w:tcW w:w="2492" w:type="pct"/>
            <w:tcBorders>
              <w:top w:val="single" w:sz="4" w:space="0" w:color="auto"/>
              <w:left w:val="nil"/>
              <w:bottom w:val="single" w:sz="4" w:space="0" w:color="auto"/>
              <w:right w:val="nil"/>
            </w:tcBorders>
            <w:vAlign w:val="center"/>
          </w:tcPr>
          <w:p w:rsidR="003A497B" w:rsidRPr="00191349" w:rsidRDefault="003A497B" w:rsidP="003E1809">
            <w:pPr>
              <w:jc w:val="center"/>
              <w:rPr>
                <w:rFonts w:eastAsia="Calibri" w:cs="Arial"/>
                <w:b/>
                <w:szCs w:val="20"/>
              </w:rPr>
            </w:pPr>
            <w:r w:rsidRPr="00191349">
              <w:rPr>
                <w:rFonts w:eastAsia="Calibri" w:cs="Times New Roman"/>
                <w:noProof/>
                <w:szCs w:val="20"/>
                <w:lang w:eastAsia="sk-SK"/>
              </w:rPr>
              <w:drawing>
                <wp:inline distT="0" distB="0" distL="0" distR="0" wp14:anchorId="662BF629" wp14:editId="3F8F6354">
                  <wp:extent cx="2806065" cy="2025555"/>
                  <wp:effectExtent l="0" t="0" r="0" b="0"/>
                  <wp:docPr id="12" name="Graf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79" w:type="pct"/>
            <w:tcBorders>
              <w:top w:val="nil"/>
              <w:left w:val="nil"/>
              <w:bottom w:val="nil"/>
              <w:right w:val="nil"/>
            </w:tcBorders>
            <w:vAlign w:val="center"/>
          </w:tcPr>
          <w:p w:rsidR="003A497B" w:rsidRPr="00191349" w:rsidRDefault="003A497B" w:rsidP="003E1809">
            <w:pPr>
              <w:spacing w:before="40" w:after="40"/>
              <w:jc w:val="both"/>
              <w:rPr>
                <w:rFonts w:eastAsia="Calibri" w:cs="Arial"/>
                <w:b/>
                <w:szCs w:val="20"/>
              </w:rPr>
            </w:pPr>
          </w:p>
        </w:tc>
        <w:tc>
          <w:tcPr>
            <w:tcW w:w="2429" w:type="pct"/>
            <w:tcBorders>
              <w:top w:val="single" w:sz="4" w:space="0" w:color="auto"/>
              <w:left w:val="nil"/>
              <w:bottom w:val="single" w:sz="4" w:space="0" w:color="auto"/>
              <w:right w:val="nil"/>
            </w:tcBorders>
            <w:vAlign w:val="center"/>
          </w:tcPr>
          <w:p w:rsidR="003A497B" w:rsidRPr="00191349" w:rsidRDefault="003A497B" w:rsidP="003E1809">
            <w:pPr>
              <w:jc w:val="both"/>
              <w:rPr>
                <w:rFonts w:eastAsia="Calibri" w:cs="Arial"/>
                <w:szCs w:val="20"/>
              </w:rPr>
            </w:pPr>
            <w:r>
              <w:rPr>
                <w:noProof/>
                <w:lang w:eastAsia="sk-SK"/>
              </w:rPr>
              <w:drawing>
                <wp:inline distT="0" distB="0" distL="0" distR="0" wp14:anchorId="7AE25E96" wp14:editId="59538EDC">
                  <wp:extent cx="2758699" cy="2045777"/>
                  <wp:effectExtent l="0" t="0" r="3810" b="0"/>
                  <wp:docPr id="224" name="Graf 2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3A497B" w:rsidRPr="00191349" w:rsidTr="003E1809">
        <w:trPr>
          <w:trHeight w:val="170"/>
        </w:trPr>
        <w:tc>
          <w:tcPr>
            <w:tcW w:w="2492" w:type="pct"/>
            <w:tcBorders>
              <w:top w:val="single" w:sz="4" w:space="0" w:color="auto"/>
              <w:left w:val="nil"/>
              <w:bottom w:val="nil"/>
              <w:right w:val="nil"/>
            </w:tcBorders>
          </w:tcPr>
          <w:p w:rsidR="003A497B" w:rsidRPr="00A6654F" w:rsidRDefault="003A497B" w:rsidP="003E1809">
            <w:pPr>
              <w:spacing w:before="40" w:after="40"/>
              <w:contextualSpacing/>
              <w:jc w:val="right"/>
              <w:rPr>
                <w:rFonts w:ascii="Times New Roman" w:eastAsia="Calibri" w:hAnsi="Times New Roman" w:cs="Times New Roman"/>
                <w:i/>
                <w:sz w:val="18"/>
                <w:szCs w:val="18"/>
              </w:rPr>
            </w:pPr>
            <w:r w:rsidRPr="00A6654F">
              <w:rPr>
                <w:rFonts w:ascii="Times New Roman" w:eastAsia="Calibri" w:hAnsi="Times New Roman" w:cs="Times New Roman"/>
                <w:bCs/>
                <w:i/>
                <w:sz w:val="18"/>
                <w:szCs w:val="18"/>
                <w:lang w:eastAsia="zh-TW"/>
              </w:rPr>
              <w:t>Zdroj: Eurostat</w:t>
            </w:r>
          </w:p>
        </w:tc>
        <w:tc>
          <w:tcPr>
            <w:tcW w:w="79" w:type="pct"/>
            <w:tcBorders>
              <w:top w:val="nil"/>
              <w:left w:val="nil"/>
              <w:bottom w:val="nil"/>
              <w:right w:val="nil"/>
            </w:tcBorders>
          </w:tcPr>
          <w:p w:rsidR="003A497B" w:rsidRPr="00A6654F" w:rsidRDefault="003A497B" w:rsidP="003E1809">
            <w:pPr>
              <w:spacing w:after="160"/>
              <w:contextualSpacing/>
              <w:jc w:val="center"/>
              <w:rPr>
                <w:rFonts w:ascii="Times New Roman" w:eastAsia="Calibri" w:hAnsi="Times New Roman" w:cs="Times New Roman"/>
                <w:i/>
                <w:sz w:val="16"/>
                <w:szCs w:val="14"/>
              </w:rPr>
            </w:pPr>
          </w:p>
        </w:tc>
        <w:tc>
          <w:tcPr>
            <w:tcW w:w="2429" w:type="pct"/>
            <w:tcBorders>
              <w:top w:val="single" w:sz="4" w:space="0" w:color="auto"/>
              <w:left w:val="nil"/>
              <w:bottom w:val="nil"/>
              <w:right w:val="nil"/>
            </w:tcBorders>
          </w:tcPr>
          <w:p w:rsidR="003A497B" w:rsidRPr="00A6654F" w:rsidRDefault="003A497B" w:rsidP="003E1809">
            <w:pPr>
              <w:tabs>
                <w:tab w:val="left" w:pos="213"/>
                <w:tab w:val="right" w:pos="4305"/>
              </w:tabs>
              <w:spacing w:before="40" w:after="40"/>
              <w:contextualSpacing/>
              <w:jc w:val="right"/>
              <w:rPr>
                <w:rFonts w:ascii="Times New Roman" w:eastAsia="Calibri" w:hAnsi="Times New Roman" w:cs="Times New Roman"/>
                <w:i/>
                <w:sz w:val="16"/>
                <w:szCs w:val="14"/>
              </w:rPr>
            </w:pPr>
            <w:r w:rsidRPr="00A6654F">
              <w:rPr>
                <w:rFonts w:ascii="Times New Roman" w:eastAsia="Calibri" w:hAnsi="Times New Roman" w:cs="Times New Roman"/>
                <w:bCs/>
                <w:i/>
                <w:sz w:val="18"/>
                <w:szCs w:val="20"/>
                <w:lang w:eastAsia="zh-TW"/>
              </w:rPr>
              <w:tab/>
              <w:t xml:space="preserve">Zdroj: </w:t>
            </w:r>
            <w:r w:rsidRPr="00A6654F">
              <w:rPr>
                <w:rFonts w:ascii="Times New Roman" w:eastAsia="Calibri" w:hAnsi="Times New Roman" w:cs="Times New Roman"/>
                <w:bCs/>
                <w:i/>
                <w:sz w:val="18"/>
                <w:szCs w:val="18"/>
                <w:lang w:eastAsia="zh-TW"/>
              </w:rPr>
              <w:t>Euros</w:t>
            </w:r>
            <w:r>
              <w:rPr>
                <w:rFonts w:ascii="Times New Roman" w:eastAsia="Calibri" w:hAnsi="Times New Roman" w:cs="Times New Roman"/>
                <w:bCs/>
                <w:i/>
                <w:sz w:val="18"/>
                <w:szCs w:val="18"/>
                <w:lang w:eastAsia="zh-TW"/>
              </w:rPr>
              <w:t>t</w:t>
            </w:r>
            <w:r w:rsidRPr="00A6654F">
              <w:rPr>
                <w:rFonts w:ascii="Times New Roman" w:eastAsia="Calibri" w:hAnsi="Times New Roman" w:cs="Times New Roman"/>
                <w:bCs/>
                <w:i/>
                <w:sz w:val="18"/>
                <w:szCs w:val="18"/>
                <w:lang w:eastAsia="zh-TW"/>
              </w:rPr>
              <w:t>at</w:t>
            </w:r>
          </w:p>
        </w:tc>
      </w:tr>
    </w:tbl>
    <w:p w:rsidR="003A497B" w:rsidRDefault="003A497B" w:rsidP="003A497B">
      <w:pPr>
        <w:jc w:val="both"/>
        <w:rPr>
          <w:rFonts w:ascii="Times New Roman" w:hAnsi="Times New Roman" w:cs="Times New Roman"/>
          <w:lang w:eastAsia="sk-SK"/>
        </w:rPr>
      </w:pPr>
    </w:p>
    <w:p w:rsidR="003A497B" w:rsidRDefault="003A497B" w:rsidP="003A497B">
      <w:pPr>
        <w:rPr>
          <w:rFonts w:ascii="Arial Narrow" w:hAnsi="Arial Narrow" w:cs="Times New Roman"/>
          <w:sz w:val="16"/>
          <w:szCs w:val="16"/>
          <w:lang w:eastAsia="sk-SK"/>
        </w:rPr>
      </w:pPr>
    </w:p>
    <w:p w:rsidR="003A497B" w:rsidRDefault="003A497B" w:rsidP="003A497B">
      <w:pPr>
        <w:ind w:firstLine="708"/>
        <w:jc w:val="both"/>
        <w:rPr>
          <w:rFonts w:ascii="Times New Roman" w:hAnsi="Times New Roman" w:cs="Times New Roman"/>
          <w:lang w:eastAsia="sk-SK"/>
        </w:rPr>
      </w:pPr>
      <w:r w:rsidRPr="006741E9">
        <w:rPr>
          <w:rFonts w:ascii="Times New Roman" w:hAnsi="Times New Roman" w:cs="Times New Roman"/>
          <w:lang w:eastAsia="sk-SK"/>
        </w:rPr>
        <w:t>V roku 2019 dosiahnu výdavky MPSVR SR 2,3</w:t>
      </w:r>
      <w:r>
        <w:rPr>
          <w:rFonts w:ascii="Times New Roman" w:hAnsi="Times New Roman" w:cs="Times New Roman"/>
          <w:lang w:eastAsia="sk-SK"/>
        </w:rPr>
        <w:t>0</w:t>
      </w:r>
      <w:r w:rsidRPr="006741E9">
        <w:rPr>
          <w:rFonts w:ascii="Times New Roman" w:hAnsi="Times New Roman" w:cs="Times New Roman"/>
          <w:lang w:eastAsia="sk-SK"/>
        </w:rPr>
        <w:t xml:space="preserve"> mld. eur, čo predstavuje asi 2,</w:t>
      </w:r>
      <w:r>
        <w:rPr>
          <w:rFonts w:ascii="Times New Roman" w:hAnsi="Times New Roman" w:cs="Times New Roman"/>
          <w:lang w:eastAsia="sk-SK"/>
        </w:rPr>
        <w:t>37</w:t>
      </w:r>
      <w:r w:rsidRPr="006741E9">
        <w:rPr>
          <w:rFonts w:ascii="Times New Roman" w:hAnsi="Times New Roman" w:cs="Times New Roman"/>
          <w:lang w:eastAsia="sk-SK"/>
        </w:rPr>
        <w:t xml:space="preserve"> % HDP a 6,14 % výdavkov rozpočtu verejnej správy. Tri výdavkovo najväčšie</w:t>
      </w:r>
      <w:r w:rsidRPr="002C5EA2">
        <w:rPr>
          <w:rFonts w:ascii="Times New Roman" w:hAnsi="Times New Roman" w:cs="Times New Roman"/>
          <w:lang w:eastAsia="sk-SK"/>
        </w:rPr>
        <w:t xml:space="preserve"> programy sa zameriavajú na sociálnu inklúziu (hlavne podpora rodiny, pomoc v hmotnej núdzi a kompenzácia ŤZP), aktívne opatrenia trhu práce a </w:t>
      </w:r>
      <w:r w:rsidRPr="00571888">
        <w:rPr>
          <w:rFonts w:ascii="Times New Roman" w:hAnsi="Times New Roman" w:cs="Times New Roman"/>
          <w:lang w:eastAsia="sk-SK"/>
        </w:rPr>
        <w:t>tvorbu a implementáciu politík</w:t>
      </w:r>
      <w:r w:rsidRPr="002C5EA2">
        <w:rPr>
          <w:rFonts w:ascii="Times New Roman" w:hAnsi="Times New Roman" w:cs="Times New Roman"/>
          <w:lang w:eastAsia="sk-SK"/>
        </w:rPr>
        <w:t>.</w:t>
      </w:r>
    </w:p>
    <w:p w:rsidR="003A497B" w:rsidRDefault="003A497B" w:rsidP="003A497B">
      <w:pPr>
        <w:jc w:val="right"/>
        <w:rPr>
          <w:rFonts w:ascii="Arial Narrow" w:hAnsi="Arial Narrow" w:cs="Times New Roman"/>
          <w:sz w:val="16"/>
          <w:szCs w:val="16"/>
          <w:lang w:eastAsia="sk-SK"/>
        </w:rPr>
      </w:pPr>
    </w:p>
    <w:p w:rsidR="003A497B" w:rsidRPr="00D26052" w:rsidRDefault="003A497B" w:rsidP="003A497B">
      <w:pPr>
        <w:jc w:val="right"/>
        <w:rPr>
          <w:rFonts w:ascii="Arial Narrow" w:hAnsi="Arial Narrow" w:cs="Times New Roman"/>
          <w:sz w:val="16"/>
          <w:szCs w:val="16"/>
          <w:lang w:eastAsia="sk-SK"/>
        </w:rPr>
      </w:pPr>
    </w:p>
    <w:tbl>
      <w:tblPr>
        <w:tblW w:w="9166" w:type="dxa"/>
        <w:tblCellMar>
          <w:left w:w="70" w:type="dxa"/>
          <w:right w:w="70" w:type="dxa"/>
        </w:tblCellMar>
        <w:tblLook w:val="04A0" w:firstRow="1" w:lastRow="0" w:firstColumn="1" w:lastColumn="0" w:noHBand="0" w:noVBand="1"/>
      </w:tblPr>
      <w:tblGrid>
        <w:gridCol w:w="2452"/>
        <w:gridCol w:w="960"/>
        <w:gridCol w:w="959"/>
        <w:gridCol w:w="959"/>
        <w:gridCol w:w="959"/>
        <w:gridCol w:w="959"/>
        <w:gridCol w:w="959"/>
        <w:gridCol w:w="959"/>
      </w:tblGrid>
      <w:tr w:rsidR="003A497B" w:rsidRPr="00D26052" w:rsidTr="003E1809">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D26052" w:rsidRDefault="003A497B" w:rsidP="003E1809">
            <w:pP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v eurách</w:t>
            </w:r>
          </w:p>
        </w:tc>
        <w:tc>
          <w:tcPr>
            <w:tcW w:w="0" w:type="auto"/>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w:t>
            </w:r>
            <w:r w:rsidRPr="00D26052">
              <w:rPr>
                <w:rFonts w:ascii="Times New Roman" w:hAnsi="Times New Roman" w:cs="Times New Roman"/>
                <w:b/>
                <w:bCs/>
                <w:color w:val="000000"/>
                <w:sz w:val="14"/>
                <w:szCs w:val="14"/>
                <w:lang w:eastAsia="sk-SK"/>
              </w:rPr>
              <w:t xml:space="preserve"> S</w:t>
            </w:r>
          </w:p>
        </w:tc>
        <w:tc>
          <w:tcPr>
            <w:tcW w:w="0" w:type="auto"/>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w:t>
            </w:r>
            <w:r w:rsidRPr="00D26052">
              <w:rPr>
                <w:rFonts w:ascii="Times New Roman" w:hAnsi="Times New Roman" w:cs="Times New Roman"/>
                <w:b/>
                <w:bCs/>
                <w:color w:val="000000"/>
                <w:sz w:val="14"/>
                <w:szCs w:val="14"/>
                <w:lang w:eastAsia="sk-SK"/>
              </w:rPr>
              <w:t xml:space="preserve"> S</w:t>
            </w:r>
          </w:p>
        </w:tc>
        <w:tc>
          <w:tcPr>
            <w:tcW w:w="0" w:type="auto"/>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D26052">
              <w:rPr>
                <w:rFonts w:ascii="Times New Roman" w:hAnsi="Times New Roman" w:cs="Times New Roman"/>
                <w:b/>
                <w:bCs/>
                <w:color w:val="000000"/>
                <w:sz w:val="14"/>
                <w:szCs w:val="14"/>
                <w:lang w:eastAsia="sk-SK"/>
              </w:rPr>
              <w:t xml:space="preserve"> R</w:t>
            </w:r>
          </w:p>
        </w:tc>
        <w:tc>
          <w:tcPr>
            <w:tcW w:w="0" w:type="auto"/>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D26052">
              <w:rPr>
                <w:rFonts w:ascii="Times New Roman" w:hAnsi="Times New Roman" w:cs="Times New Roman"/>
                <w:b/>
                <w:bCs/>
                <w:color w:val="000000"/>
                <w:sz w:val="14"/>
                <w:szCs w:val="14"/>
                <w:lang w:eastAsia="sk-SK"/>
              </w:rPr>
              <w:t xml:space="preserve"> OS</w:t>
            </w:r>
          </w:p>
        </w:tc>
        <w:tc>
          <w:tcPr>
            <w:tcW w:w="0" w:type="auto"/>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9</w:t>
            </w:r>
            <w:r w:rsidRPr="00D26052">
              <w:rPr>
                <w:rFonts w:ascii="Times New Roman" w:hAnsi="Times New Roman" w:cs="Times New Roman"/>
                <w:b/>
                <w:bCs/>
                <w:color w:val="000000"/>
                <w:sz w:val="14"/>
                <w:szCs w:val="14"/>
                <w:lang w:eastAsia="sk-SK"/>
              </w:rPr>
              <w:t xml:space="preserve"> N</w:t>
            </w:r>
          </w:p>
        </w:tc>
        <w:tc>
          <w:tcPr>
            <w:tcW w:w="0" w:type="auto"/>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w:t>
            </w:r>
            <w:r>
              <w:rPr>
                <w:rFonts w:ascii="Times New Roman" w:hAnsi="Times New Roman" w:cs="Times New Roman"/>
                <w:b/>
                <w:bCs/>
                <w:color w:val="000000"/>
                <w:sz w:val="14"/>
                <w:szCs w:val="14"/>
                <w:lang w:eastAsia="sk-SK"/>
              </w:rPr>
              <w:t>20</w:t>
            </w:r>
            <w:r w:rsidRPr="00D26052">
              <w:rPr>
                <w:rFonts w:ascii="Times New Roman" w:hAnsi="Times New Roman" w:cs="Times New Roman"/>
                <w:b/>
                <w:bCs/>
                <w:color w:val="000000"/>
                <w:sz w:val="14"/>
                <w:szCs w:val="14"/>
                <w:lang w:eastAsia="sk-SK"/>
              </w:rPr>
              <w:t xml:space="preserve"> N</w:t>
            </w:r>
          </w:p>
        </w:tc>
        <w:tc>
          <w:tcPr>
            <w:tcW w:w="0" w:type="auto"/>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w:t>
            </w:r>
            <w:r>
              <w:rPr>
                <w:rFonts w:ascii="Times New Roman" w:hAnsi="Times New Roman" w:cs="Times New Roman"/>
                <w:b/>
                <w:bCs/>
                <w:color w:val="000000"/>
                <w:sz w:val="14"/>
                <w:szCs w:val="14"/>
                <w:lang w:eastAsia="sk-SK"/>
              </w:rPr>
              <w:t>21</w:t>
            </w:r>
            <w:r w:rsidRPr="00D26052">
              <w:rPr>
                <w:rFonts w:ascii="Times New Roman" w:hAnsi="Times New Roman" w:cs="Times New Roman"/>
                <w:b/>
                <w:bCs/>
                <w:color w:val="000000"/>
                <w:sz w:val="14"/>
                <w:szCs w:val="14"/>
                <w:lang w:eastAsia="sk-SK"/>
              </w:rPr>
              <w:t xml:space="preserve"> N</w:t>
            </w:r>
          </w:p>
        </w:tc>
      </w:tr>
      <w:tr w:rsidR="003A497B" w:rsidRPr="00D26052" w:rsidTr="003E1809">
        <w:trPr>
          <w:trHeight w:val="255"/>
        </w:trPr>
        <w:tc>
          <w:tcPr>
            <w:tcW w:w="0" w:type="auto"/>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A497B" w:rsidRPr="00D26052" w:rsidRDefault="003A497B" w:rsidP="003E1809">
            <w:pP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z</w:t>
            </w:r>
            <w:r w:rsidRPr="00D26052">
              <w:rPr>
                <w:rFonts w:ascii="Times New Roman" w:hAnsi="Times New Roman" w:cs="Times New Roman"/>
                <w:b/>
                <w:bCs/>
                <w:color w:val="000000"/>
                <w:sz w:val="14"/>
                <w:szCs w:val="14"/>
                <w:lang w:eastAsia="sk-SK"/>
              </w:rPr>
              <w:t xml:space="preserve">droje </w:t>
            </w:r>
            <w:r>
              <w:rPr>
                <w:rFonts w:ascii="Times New Roman" w:hAnsi="Times New Roman" w:cs="Times New Roman"/>
                <w:b/>
                <w:bCs/>
                <w:color w:val="000000"/>
                <w:sz w:val="14"/>
                <w:szCs w:val="14"/>
                <w:lang w:eastAsia="sk-SK"/>
              </w:rPr>
              <w:t>kapitoly vrátane 72e* a 72h**</w:t>
            </w:r>
          </w:p>
        </w:tc>
        <w:tc>
          <w:tcPr>
            <w:tcW w:w="0" w:type="auto"/>
            <w:tcBorders>
              <w:top w:val="nil"/>
              <w:left w:val="nil"/>
              <w:bottom w:val="single" w:sz="4" w:space="0" w:color="auto"/>
              <w:right w:val="single" w:sz="4" w:space="0" w:color="auto"/>
            </w:tcBorders>
            <w:shd w:val="clear" w:color="auto" w:fill="BFBFBF" w:themeFill="background1" w:themeFillShade="BF"/>
            <w:vAlign w:val="bottom"/>
            <w:hideMark/>
          </w:tcPr>
          <w:p w:rsidR="003A497B" w:rsidRPr="005577E8"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2 163 192 565</w:t>
            </w:r>
          </w:p>
        </w:tc>
        <w:tc>
          <w:tcPr>
            <w:tcW w:w="0" w:type="auto"/>
            <w:tcBorders>
              <w:top w:val="nil"/>
              <w:left w:val="nil"/>
              <w:bottom w:val="single" w:sz="4" w:space="0" w:color="auto"/>
              <w:right w:val="single" w:sz="4" w:space="0" w:color="auto"/>
            </w:tcBorders>
            <w:shd w:val="clear" w:color="auto" w:fill="BFBFBF" w:themeFill="background1" w:themeFillShade="BF"/>
            <w:vAlign w:val="bottom"/>
            <w:hideMark/>
          </w:tcPr>
          <w:p w:rsidR="003A497B" w:rsidRPr="005577E8"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2 185 495 810</w:t>
            </w:r>
          </w:p>
        </w:tc>
        <w:tc>
          <w:tcPr>
            <w:tcW w:w="0" w:type="auto"/>
            <w:tcBorders>
              <w:top w:val="nil"/>
              <w:left w:val="nil"/>
              <w:bottom w:val="single" w:sz="4" w:space="0" w:color="auto"/>
              <w:right w:val="single" w:sz="4" w:space="0" w:color="auto"/>
            </w:tcBorders>
            <w:shd w:val="clear" w:color="auto" w:fill="BFBFBF" w:themeFill="background1" w:themeFillShade="BF"/>
            <w:vAlign w:val="bottom"/>
            <w:hideMark/>
          </w:tcPr>
          <w:p w:rsidR="003A497B" w:rsidRPr="005577E8"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2 341 250 420</w:t>
            </w:r>
          </w:p>
        </w:tc>
        <w:tc>
          <w:tcPr>
            <w:tcW w:w="0" w:type="auto"/>
            <w:tcBorders>
              <w:top w:val="nil"/>
              <w:left w:val="nil"/>
              <w:bottom w:val="single" w:sz="4" w:space="0" w:color="auto"/>
              <w:right w:val="single" w:sz="4" w:space="0" w:color="auto"/>
            </w:tcBorders>
            <w:shd w:val="clear" w:color="auto" w:fill="BFBFBF" w:themeFill="background1" w:themeFillShade="BF"/>
            <w:vAlign w:val="bottom"/>
            <w:hideMark/>
          </w:tcPr>
          <w:p w:rsidR="003A497B" w:rsidRPr="005577E8" w:rsidRDefault="003A497B" w:rsidP="003E1809">
            <w:pPr>
              <w:jc w:val="right"/>
              <w:rPr>
                <w:rFonts w:ascii="Times New Roman" w:hAnsi="Times New Roman" w:cs="Times New Roman"/>
                <w:b/>
                <w:bCs/>
                <w:color w:val="000000"/>
                <w:sz w:val="14"/>
                <w:szCs w:val="14"/>
                <w:lang w:eastAsia="sk-SK"/>
              </w:rPr>
            </w:pPr>
            <w:r w:rsidRPr="006741E9">
              <w:rPr>
                <w:rFonts w:ascii="Times New Roman" w:hAnsi="Times New Roman" w:cs="Times New Roman"/>
                <w:b/>
                <w:bCs/>
                <w:color w:val="000000"/>
                <w:sz w:val="14"/>
                <w:szCs w:val="14"/>
                <w:lang w:eastAsia="sk-SK"/>
              </w:rPr>
              <w:t>2 309 270 461</w:t>
            </w:r>
          </w:p>
        </w:tc>
        <w:tc>
          <w:tcPr>
            <w:tcW w:w="0" w:type="auto"/>
            <w:tcBorders>
              <w:top w:val="nil"/>
              <w:left w:val="nil"/>
              <w:bottom w:val="single" w:sz="4" w:space="0" w:color="auto"/>
              <w:right w:val="single" w:sz="4" w:space="0" w:color="auto"/>
            </w:tcBorders>
            <w:shd w:val="clear" w:color="auto" w:fill="BFBFBF" w:themeFill="background1" w:themeFillShade="BF"/>
            <w:vAlign w:val="bottom"/>
            <w:hideMark/>
          </w:tcPr>
          <w:p w:rsidR="003A497B" w:rsidRDefault="003A497B" w:rsidP="003E1809">
            <w:pPr>
              <w:jc w:val="right"/>
              <w:rPr>
                <w:rFonts w:ascii="Times New Roman" w:hAnsi="Times New Roman" w:cs="Times New Roman"/>
                <w:b/>
                <w:bCs/>
                <w:color w:val="000000"/>
                <w:sz w:val="14"/>
                <w:szCs w:val="14"/>
                <w:lang w:eastAsia="sk-SK"/>
              </w:rPr>
            </w:pPr>
            <w:r w:rsidRPr="002353ED">
              <w:rPr>
                <w:rFonts w:ascii="Times New Roman" w:hAnsi="Times New Roman" w:cs="Times New Roman"/>
                <w:b/>
                <w:bCs/>
                <w:color w:val="000000"/>
                <w:sz w:val="14"/>
                <w:szCs w:val="14"/>
                <w:lang w:eastAsia="sk-SK"/>
              </w:rPr>
              <w:t>2 300 897 817</w:t>
            </w:r>
          </w:p>
        </w:tc>
        <w:tc>
          <w:tcPr>
            <w:tcW w:w="0" w:type="auto"/>
            <w:tcBorders>
              <w:top w:val="nil"/>
              <w:left w:val="nil"/>
              <w:bottom w:val="single" w:sz="4" w:space="0" w:color="auto"/>
              <w:right w:val="single" w:sz="4" w:space="0" w:color="auto"/>
            </w:tcBorders>
            <w:shd w:val="clear" w:color="auto" w:fill="BFBFBF" w:themeFill="background1" w:themeFillShade="BF"/>
            <w:vAlign w:val="bottom"/>
            <w:hideMark/>
          </w:tcPr>
          <w:p w:rsidR="003A497B" w:rsidRPr="002353ED" w:rsidRDefault="003A497B" w:rsidP="003E1809">
            <w:pPr>
              <w:jc w:val="right"/>
              <w:rPr>
                <w:rFonts w:ascii="Times New Roman" w:hAnsi="Times New Roman" w:cs="Times New Roman"/>
                <w:b/>
                <w:bCs/>
                <w:color w:val="000000"/>
                <w:sz w:val="14"/>
                <w:szCs w:val="14"/>
                <w:lang w:eastAsia="sk-SK"/>
              </w:rPr>
            </w:pPr>
            <w:r w:rsidRPr="002353ED">
              <w:rPr>
                <w:rFonts w:ascii="Times New Roman" w:hAnsi="Times New Roman" w:cs="Times New Roman"/>
                <w:b/>
                <w:bCs/>
                <w:color w:val="000000"/>
                <w:sz w:val="14"/>
                <w:szCs w:val="14"/>
                <w:lang w:eastAsia="sk-SK"/>
              </w:rPr>
              <w:t>2 496 213 569</w:t>
            </w:r>
          </w:p>
        </w:tc>
        <w:tc>
          <w:tcPr>
            <w:tcW w:w="0" w:type="auto"/>
            <w:tcBorders>
              <w:top w:val="nil"/>
              <w:left w:val="nil"/>
              <w:bottom w:val="single" w:sz="4" w:space="0" w:color="auto"/>
              <w:right w:val="single" w:sz="4" w:space="0" w:color="auto"/>
            </w:tcBorders>
            <w:shd w:val="clear" w:color="auto" w:fill="BFBFBF" w:themeFill="background1" w:themeFillShade="BF"/>
            <w:vAlign w:val="bottom"/>
            <w:hideMark/>
          </w:tcPr>
          <w:p w:rsidR="003A497B" w:rsidRPr="002353ED" w:rsidRDefault="003A497B" w:rsidP="003E1809">
            <w:pPr>
              <w:jc w:val="right"/>
              <w:rPr>
                <w:rFonts w:ascii="Times New Roman" w:hAnsi="Times New Roman" w:cs="Times New Roman"/>
                <w:b/>
                <w:bCs/>
                <w:color w:val="000000"/>
                <w:sz w:val="14"/>
                <w:szCs w:val="14"/>
                <w:lang w:eastAsia="sk-SK"/>
              </w:rPr>
            </w:pPr>
            <w:r w:rsidRPr="002353ED">
              <w:rPr>
                <w:rFonts w:ascii="Times New Roman" w:hAnsi="Times New Roman" w:cs="Times New Roman"/>
                <w:b/>
                <w:bCs/>
                <w:color w:val="000000"/>
                <w:sz w:val="14"/>
                <w:szCs w:val="14"/>
                <w:lang w:eastAsia="sk-SK"/>
              </w:rPr>
              <w:t>2 523 915 722</w:t>
            </w:r>
          </w:p>
        </w:tc>
      </w:tr>
      <w:tr w:rsidR="003A497B" w:rsidRPr="00D26052" w:rsidTr="003E1809">
        <w:trPr>
          <w:trHeight w:val="255"/>
        </w:trPr>
        <w:tc>
          <w:tcPr>
            <w:tcW w:w="0" w:type="auto"/>
            <w:tcBorders>
              <w:top w:val="nil"/>
              <w:left w:val="single" w:sz="4" w:space="0" w:color="auto"/>
              <w:bottom w:val="single" w:sz="4" w:space="0" w:color="auto"/>
              <w:right w:val="single" w:sz="4" w:space="0" w:color="auto"/>
            </w:tcBorders>
            <w:shd w:val="clear" w:color="auto" w:fill="BFBFBF" w:themeFill="background1" w:themeFillShade="BF"/>
            <w:vAlign w:val="center"/>
          </w:tcPr>
          <w:p w:rsidR="003A497B" w:rsidRPr="00D26052" w:rsidRDefault="003A497B" w:rsidP="003E1809">
            <w:pP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 xml:space="preserve">zdroje príslušnej kapitoly </w:t>
            </w:r>
          </w:p>
        </w:tc>
        <w:tc>
          <w:tcPr>
            <w:tcW w:w="0" w:type="auto"/>
            <w:tcBorders>
              <w:top w:val="nil"/>
              <w:left w:val="nil"/>
              <w:bottom w:val="single" w:sz="4" w:space="0" w:color="auto"/>
              <w:right w:val="single" w:sz="4" w:space="0" w:color="auto"/>
            </w:tcBorders>
            <w:shd w:val="clear" w:color="auto" w:fill="BFBFBF" w:themeFill="background1" w:themeFillShade="BF"/>
            <w:vAlign w:val="bottom"/>
          </w:tcPr>
          <w:p w:rsidR="003A497B"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2 163 156 814</w:t>
            </w:r>
          </w:p>
        </w:tc>
        <w:tc>
          <w:tcPr>
            <w:tcW w:w="0" w:type="auto"/>
            <w:tcBorders>
              <w:top w:val="nil"/>
              <w:left w:val="nil"/>
              <w:bottom w:val="single" w:sz="4" w:space="0" w:color="auto"/>
              <w:right w:val="single" w:sz="4" w:space="0" w:color="auto"/>
            </w:tcBorders>
            <w:shd w:val="clear" w:color="auto" w:fill="BFBFBF" w:themeFill="background1" w:themeFillShade="BF"/>
            <w:vAlign w:val="bottom"/>
          </w:tcPr>
          <w:p w:rsidR="003A497B" w:rsidRPr="005577E8"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2 185 439 698</w:t>
            </w:r>
          </w:p>
        </w:tc>
        <w:tc>
          <w:tcPr>
            <w:tcW w:w="0" w:type="auto"/>
            <w:tcBorders>
              <w:top w:val="nil"/>
              <w:left w:val="nil"/>
              <w:bottom w:val="single" w:sz="4" w:space="0" w:color="auto"/>
              <w:right w:val="single" w:sz="4" w:space="0" w:color="auto"/>
            </w:tcBorders>
            <w:shd w:val="clear" w:color="auto" w:fill="BFBFBF" w:themeFill="background1" w:themeFillShade="BF"/>
            <w:vAlign w:val="bottom"/>
          </w:tcPr>
          <w:p w:rsidR="003A497B" w:rsidRPr="005577E8"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2 341 135 120</w:t>
            </w:r>
          </w:p>
        </w:tc>
        <w:tc>
          <w:tcPr>
            <w:tcW w:w="0" w:type="auto"/>
            <w:tcBorders>
              <w:top w:val="nil"/>
              <w:left w:val="nil"/>
              <w:bottom w:val="single" w:sz="4" w:space="0" w:color="auto"/>
              <w:right w:val="single" w:sz="4" w:space="0" w:color="auto"/>
            </w:tcBorders>
            <w:shd w:val="clear" w:color="auto" w:fill="BFBFBF" w:themeFill="background1" w:themeFillShade="BF"/>
            <w:vAlign w:val="bottom"/>
          </w:tcPr>
          <w:p w:rsidR="003A497B" w:rsidRPr="005577E8" w:rsidRDefault="003A497B" w:rsidP="003E1809">
            <w:pPr>
              <w:jc w:val="right"/>
              <w:rPr>
                <w:rFonts w:ascii="Times New Roman" w:hAnsi="Times New Roman" w:cs="Times New Roman"/>
                <w:b/>
                <w:bCs/>
                <w:color w:val="000000"/>
                <w:sz w:val="14"/>
                <w:szCs w:val="14"/>
                <w:lang w:eastAsia="sk-SK"/>
              </w:rPr>
            </w:pPr>
            <w:r w:rsidRPr="006741E9">
              <w:rPr>
                <w:rFonts w:ascii="Times New Roman" w:hAnsi="Times New Roman" w:cs="Times New Roman"/>
                <w:b/>
                <w:bCs/>
                <w:color w:val="000000"/>
                <w:sz w:val="14"/>
                <w:szCs w:val="14"/>
                <w:lang w:eastAsia="sk-SK"/>
              </w:rPr>
              <w:t>2 309 155 161</w:t>
            </w:r>
          </w:p>
        </w:tc>
        <w:tc>
          <w:tcPr>
            <w:tcW w:w="0" w:type="auto"/>
            <w:tcBorders>
              <w:top w:val="nil"/>
              <w:left w:val="nil"/>
              <w:bottom w:val="single" w:sz="4" w:space="0" w:color="auto"/>
              <w:right w:val="single" w:sz="4" w:space="0" w:color="auto"/>
            </w:tcBorders>
            <w:shd w:val="clear" w:color="auto" w:fill="BFBFBF" w:themeFill="background1" w:themeFillShade="BF"/>
            <w:vAlign w:val="bottom"/>
          </w:tcPr>
          <w:p w:rsidR="003A497B" w:rsidRDefault="003A497B" w:rsidP="003E1809">
            <w:pPr>
              <w:jc w:val="right"/>
              <w:rPr>
                <w:rFonts w:ascii="Times New Roman" w:hAnsi="Times New Roman" w:cs="Times New Roman"/>
                <w:b/>
                <w:bCs/>
                <w:color w:val="000000"/>
                <w:sz w:val="14"/>
                <w:szCs w:val="14"/>
                <w:lang w:eastAsia="sk-SK"/>
              </w:rPr>
            </w:pPr>
            <w:r w:rsidRPr="002353ED">
              <w:rPr>
                <w:rFonts w:ascii="Times New Roman" w:hAnsi="Times New Roman" w:cs="Times New Roman"/>
                <w:b/>
                <w:bCs/>
                <w:color w:val="000000"/>
                <w:sz w:val="14"/>
                <w:szCs w:val="14"/>
                <w:lang w:eastAsia="sk-SK"/>
              </w:rPr>
              <w:t>2 300 782 517</w:t>
            </w:r>
          </w:p>
        </w:tc>
        <w:tc>
          <w:tcPr>
            <w:tcW w:w="0" w:type="auto"/>
            <w:tcBorders>
              <w:top w:val="nil"/>
              <w:left w:val="nil"/>
              <w:bottom w:val="single" w:sz="4" w:space="0" w:color="auto"/>
              <w:right w:val="single" w:sz="4" w:space="0" w:color="auto"/>
            </w:tcBorders>
            <w:shd w:val="clear" w:color="auto" w:fill="BFBFBF" w:themeFill="background1" w:themeFillShade="BF"/>
            <w:vAlign w:val="bottom"/>
          </w:tcPr>
          <w:p w:rsidR="003A497B" w:rsidRPr="002353ED" w:rsidRDefault="003A497B" w:rsidP="003E1809">
            <w:pPr>
              <w:jc w:val="right"/>
              <w:rPr>
                <w:rFonts w:ascii="Times New Roman" w:hAnsi="Times New Roman" w:cs="Times New Roman"/>
                <w:b/>
                <w:bCs/>
                <w:color w:val="000000"/>
                <w:sz w:val="14"/>
                <w:szCs w:val="14"/>
                <w:lang w:eastAsia="sk-SK"/>
              </w:rPr>
            </w:pPr>
            <w:r w:rsidRPr="002353ED">
              <w:rPr>
                <w:rFonts w:ascii="Times New Roman" w:hAnsi="Times New Roman" w:cs="Times New Roman"/>
                <w:b/>
                <w:bCs/>
                <w:color w:val="000000"/>
                <w:sz w:val="14"/>
                <w:szCs w:val="14"/>
                <w:lang w:eastAsia="sk-SK"/>
              </w:rPr>
              <w:t>2 496 098 269</w:t>
            </w:r>
          </w:p>
        </w:tc>
        <w:tc>
          <w:tcPr>
            <w:tcW w:w="0" w:type="auto"/>
            <w:tcBorders>
              <w:top w:val="nil"/>
              <w:left w:val="nil"/>
              <w:bottom w:val="single" w:sz="4" w:space="0" w:color="auto"/>
              <w:right w:val="single" w:sz="4" w:space="0" w:color="auto"/>
            </w:tcBorders>
            <w:shd w:val="clear" w:color="auto" w:fill="BFBFBF" w:themeFill="background1" w:themeFillShade="BF"/>
            <w:vAlign w:val="bottom"/>
          </w:tcPr>
          <w:p w:rsidR="003A497B" w:rsidRPr="002353ED" w:rsidRDefault="003A497B" w:rsidP="003E1809">
            <w:pPr>
              <w:jc w:val="right"/>
              <w:rPr>
                <w:rFonts w:ascii="Times New Roman" w:hAnsi="Times New Roman" w:cs="Times New Roman"/>
                <w:b/>
                <w:bCs/>
                <w:color w:val="000000"/>
                <w:sz w:val="14"/>
                <w:szCs w:val="14"/>
                <w:lang w:eastAsia="sk-SK"/>
              </w:rPr>
            </w:pPr>
            <w:r w:rsidRPr="002353ED">
              <w:rPr>
                <w:rFonts w:ascii="Times New Roman" w:hAnsi="Times New Roman" w:cs="Times New Roman"/>
                <w:b/>
                <w:bCs/>
                <w:color w:val="000000"/>
                <w:sz w:val="14"/>
                <w:szCs w:val="14"/>
                <w:lang w:eastAsia="sk-SK"/>
              </w:rPr>
              <w:t>2 523 800 422</w:t>
            </w:r>
          </w:p>
        </w:tc>
      </w:tr>
      <w:tr w:rsidR="003A497B" w:rsidRPr="00D26052" w:rsidTr="003E1809">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7B" w:rsidRPr="00D26052" w:rsidRDefault="003A497B" w:rsidP="003E1809">
            <w:pPr>
              <w:rPr>
                <w:rFonts w:ascii="Times New Roman" w:hAnsi="Times New Roman" w:cs="Times New Roman"/>
                <w:b/>
                <w:bCs/>
                <w:sz w:val="14"/>
                <w:szCs w:val="14"/>
                <w:lang w:eastAsia="sk-SK"/>
              </w:rPr>
            </w:pPr>
            <w:r w:rsidRPr="00D26052">
              <w:rPr>
                <w:rFonts w:ascii="Times New Roman" w:hAnsi="Times New Roman" w:cs="Times New Roman"/>
                <w:b/>
                <w:bCs/>
                <w:sz w:val="14"/>
                <w:szCs w:val="14"/>
                <w:lang w:eastAsia="sk-SK"/>
              </w:rPr>
              <w:t xml:space="preserve">rozpočtové zdroje kapitoly  </w:t>
            </w:r>
          </w:p>
        </w:tc>
        <w:tc>
          <w:tcPr>
            <w:tcW w:w="0" w:type="auto"/>
            <w:tcBorders>
              <w:top w:val="nil"/>
              <w:left w:val="nil"/>
              <w:bottom w:val="single" w:sz="4" w:space="0" w:color="auto"/>
              <w:right w:val="single" w:sz="4" w:space="0" w:color="auto"/>
            </w:tcBorders>
            <w:shd w:val="clear" w:color="auto" w:fill="auto"/>
            <w:noWrap/>
            <w:vAlign w:val="bottom"/>
            <w:hideMark/>
          </w:tcPr>
          <w:p w:rsidR="003A497B"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1 964 379 551</w:t>
            </w:r>
          </w:p>
        </w:tc>
        <w:tc>
          <w:tcPr>
            <w:tcW w:w="0" w:type="auto"/>
            <w:tcBorders>
              <w:top w:val="nil"/>
              <w:left w:val="nil"/>
              <w:bottom w:val="single" w:sz="4" w:space="0" w:color="auto"/>
              <w:right w:val="single" w:sz="4" w:space="0" w:color="auto"/>
            </w:tcBorders>
            <w:shd w:val="clear" w:color="auto" w:fill="auto"/>
            <w:noWrap/>
            <w:vAlign w:val="bottom"/>
            <w:hideMark/>
          </w:tcPr>
          <w:p w:rsidR="003A497B" w:rsidRPr="005577E8"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1 970 465 801</w:t>
            </w:r>
          </w:p>
        </w:tc>
        <w:tc>
          <w:tcPr>
            <w:tcW w:w="0" w:type="auto"/>
            <w:tcBorders>
              <w:top w:val="nil"/>
              <w:left w:val="nil"/>
              <w:bottom w:val="single" w:sz="4" w:space="0" w:color="auto"/>
              <w:right w:val="single" w:sz="4" w:space="0" w:color="auto"/>
            </w:tcBorders>
            <w:shd w:val="clear" w:color="auto" w:fill="auto"/>
            <w:noWrap/>
            <w:vAlign w:val="bottom"/>
            <w:hideMark/>
          </w:tcPr>
          <w:p w:rsidR="003A497B" w:rsidRPr="005577E8"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2 104 161 840</w:t>
            </w:r>
          </w:p>
        </w:tc>
        <w:tc>
          <w:tcPr>
            <w:tcW w:w="0" w:type="auto"/>
            <w:tcBorders>
              <w:top w:val="nil"/>
              <w:left w:val="nil"/>
              <w:bottom w:val="single" w:sz="4" w:space="0" w:color="auto"/>
              <w:right w:val="single" w:sz="4" w:space="0" w:color="auto"/>
            </w:tcBorders>
            <w:shd w:val="clear" w:color="auto" w:fill="auto"/>
            <w:noWrap/>
            <w:vAlign w:val="bottom"/>
            <w:hideMark/>
          </w:tcPr>
          <w:p w:rsidR="003A497B" w:rsidRPr="005577E8" w:rsidRDefault="003A497B" w:rsidP="003E1809">
            <w:pPr>
              <w:jc w:val="right"/>
              <w:rPr>
                <w:rFonts w:ascii="Times New Roman" w:hAnsi="Times New Roman" w:cs="Times New Roman"/>
                <w:b/>
                <w:bCs/>
                <w:color w:val="000000"/>
                <w:sz w:val="14"/>
                <w:szCs w:val="14"/>
                <w:lang w:eastAsia="sk-SK"/>
              </w:rPr>
            </w:pPr>
            <w:r w:rsidRPr="006741E9">
              <w:rPr>
                <w:rFonts w:ascii="Times New Roman" w:hAnsi="Times New Roman" w:cs="Times New Roman"/>
                <w:b/>
                <w:bCs/>
                <w:color w:val="000000"/>
                <w:sz w:val="14"/>
                <w:szCs w:val="14"/>
                <w:lang w:eastAsia="sk-SK"/>
              </w:rPr>
              <w:t>2 072 181 881</w:t>
            </w:r>
          </w:p>
        </w:tc>
        <w:tc>
          <w:tcPr>
            <w:tcW w:w="0" w:type="auto"/>
            <w:tcBorders>
              <w:top w:val="nil"/>
              <w:left w:val="nil"/>
              <w:bottom w:val="single" w:sz="4" w:space="0" w:color="auto"/>
              <w:right w:val="single" w:sz="4" w:space="0" w:color="auto"/>
            </w:tcBorders>
            <w:shd w:val="clear" w:color="auto" w:fill="auto"/>
            <w:noWrap/>
            <w:vAlign w:val="bottom"/>
            <w:hideMark/>
          </w:tcPr>
          <w:p w:rsidR="003A497B" w:rsidRDefault="003A497B" w:rsidP="003E1809">
            <w:pPr>
              <w:jc w:val="right"/>
              <w:rPr>
                <w:rFonts w:ascii="Times New Roman" w:hAnsi="Times New Roman" w:cs="Times New Roman"/>
                <w:b/>
                <w:bCs/>
                <w:color w:val="000000"/>
                <w:sz w:val="14"/>
                <w:szCs w:val="14"/>
                <w:lang w:eastAsia="sk-SK"/>
              </w:rPr>
            </w:pPr>
            <w:r w:rsidRPr="002353ED">
              <w:rPr>
                <w:rFonts w:ascii="Times New Roman" w:hAnsi="Times New Roman" w:cs="Times New Roman"/>
                <w:b/>
                <w:bCs/>
                <w:color w:val="000000"/>
                <w:sz w:val="14"/>
                <w:szCs w:val="14"/>
                <w:lang w:eastAsia="sk-SK"/>
              </w:rPr>
              <w:t>2 204 867 247</w:t>
            </w:r>
          </w:p>
        </w:tc>
        <w:tc>
          <w:tcPr>
            <w:tcW w:w="0" w:type="auto"/>
            <w:tcBorders>
              <w:top w:val="nil"/>
              <w:left w:val="nil"/>
              <w:bottom w:val="single" w:sz="4" w:space="0" w:color="auto"/>
              <w:right w:val="single" w:sz="4" w:space="0" w:color="auto"/>
            </w:tcBorders>
            <w:shd w:val="clear" w:color="auto" w:fill="auto"/>
            <w:noWrap/>
            <w:vAlign w:val="bottom"/>
            <w:hideMark/>
          </w:tcPr>
          <w:p w:rsidR="003A497B" w:rsidRPr="002353ED" w:rsidRDefault="003A497B" w:rsidP="003E1809">
            <w:pPr>
              <w:jc w:val="right"/>
              <w:rPr>
                <w:rFonts w:ascii="Times New Roman" w:hAnsi="Times New Roman" w:cs="Times New Roman"/>
                <w:b/>
                <w:bCs/>
                <w:color w:val="000000"/>
                <w:sz w:val="14"/>
                <w:szCs w:val="14"/>
                <w:lang w:eastAsia="sk-SK"/>
              </w:rPr>
            </w:pPr>
            <w:r w:rsidRPr="002353ED">
              <w:rPr>
                <w:rFonts w:ascii="Times New Roman" w:hAnsi="Times New Roman" w:cs="Times New Roman"/>
                <w:b/>
                <w:bCs/>
                <w:color w:val="000000"/>
                <w:sz w:val="14"/>
                <w:szCs w:val="14"/>
                <w:lang w:eastAsia="sk-SK"/>
              </w:rPr>
              <w:t>2 250 285 231</w:t>
            </w:r>
          </w:p>
        </w:tc>
        <w:tc>
          <w:tcPr>
            <w:tcW w:w="0" w:type="auto"/>
            <w:tcBorders>
              <w:top w:val="nil"/>
              <w:left w:val="nil"/>
              <w:bottom w:val="single" w:sz="4" w:space="0" w:color="auto"/>
              <w:right w:val="single" w:sz="4" w:space="0" w:color="auto"/>
            </w:tcBorders>
            <w:shd w:val="clear" w:color="auto" w:fill="auto"/>
            <w:noWrap/>
            <w:vAlign w:val="bottom"/>
            <w:hideMark/>
          </w:tcPr>
          <w:p w:rsidR="003A497B" w:rsidRPr="002353ED" w:rsidRDefault="003A497B" w:rsidP="003E1809">
            <w:pPr>
              <w:jc w:val="right"/>
              <w:rPr>
                <w:rFonts w:ascii="Times New Roman" w:hAnsi="Times New Roman" w:cs="Times New Roman"/>
                <w:b/>
                <w:bCs/>
                <w:color w:val="000000"/>
                <w:sz w:val="14"/>
                <w:szCs w:val="14"/>
                <w:lang w:eastAsia="sk-SK"/>
              </w:rPr>
            </w:pPr>
            <w:r w:rsidRPr="002353ED">
              <w:rPr>
                <w:rFonts w:ascii="Times New Roman" w:hAnsi="Times New Roman" w:cs="Times New Roman"/>
                <w:b/>
                <w:bCs/>
                <w:color w:val="000000"/>
                <w:sz w:val="14"/>
                <w:szCs w:val="14"/>
                <w:lang w:eastAsia="sk-SK"/>
              </w:rPr>
              <w:t>2 286 503 368</w:t>
            </w:r>
          </w:p>
        </w:tc>
      </w:tr>
      <w:tr w:rsidR="003A497B" w:rsidRPr="00D26052" w:rsidTr="003E1809">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 xml:space="preserve">  v tom: bežné výdavky 600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1 962 682 905</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1 968 153 258</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2 099 109 370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6741E9">
              <w:rPr>
                <w:rFonts w:ascii="Times New Roman" w:hAnsi="Times New Roman" w:cs="Times New Roman"/>
                <w:color w:val="000000"/>
                <w:sz w:val="14"/>
                <w:szCs w:val="14"/>
                <w:lang w:eastAsia="sk-SK"/>
              </w:rPr>
              <w:t>2 066 092 058</w:t>
            </w:r>
          </w:p>
        </w:tc>
        <w:tc>
          <w:tcPr>
            <w:tcW w:w="0" w:type="auto"/>
            <w:tcBorders>
              <w:top w:val="nil"/>
              <w:left w:val="nil"/>
              <w:bottom w:val="single" w:sz="4" w:space="0" w:color="auto"/>
              <w:right w:val="single" w:sz="4" w:space="0" w:color="auto"/>
            </w:tcBorders>
            <w:shd w:val="clear" w:color="auto" w:fill="auto"/>
            <w:vAlign w:val="bottom"/>
            <w:hideMark/>
          </w:tcPr>
          <w:p w:rsidR="003A497B" w:rsidRPr="002353ED" w:rsidRDefault="003A497B" w:rsidP="003E1809">
            <w:pPr>
              <w:jc w:val="right"/>
              <w:rPr>
                <w:rFonts w:ascii="Times New Roman" w:hAnsi="Times New Roman" w:cs="Times New Roman"/>
                <w:color w:val="000000"/>
                <w:sz w:val="14"/>
                <w:szCs w:val="14"/>
                <w:lang w:eastAsia="sk-SK"/>
              </w:rPr>
            </w:pPr>
            <w:r w:rsidRPr="002353ED">
              <w:rPr>
                <w:rFonts w:ascii="Times New Roman" w:hAnsi="Times New Roman" w:cs="Times New Roman"/>
                <w:color w:val="000000"/>
                <w:sz w:val="14"/>
                <w:szCs w:val="14"/>
                <w:lang w:eastAsia="sk-SK"/>
              </w:rPr>
              <w:t>2 198 123 441</w:t>
            </w:r>
          </w:p>
        </w:tc>
        <w:tc>
          <w:tcPr>
            <w:tcW w:w="0" w:type="auto"/>
            <w:tcBorders>
              <w:top w:val="nil"/>
              <w:left w:val="nil"/>
              <w:bottom w:val="single" w:sz="4" w:space="0" w:color="auto"/>
              <w:right w:val="single" w:sz="4" w:space="0" w:color="auto"/>
            </w:tcBorders>
            <w:shd w:val="clear" w:color="auto" w:fill="auto"/>
            <w:vAlign w:val="bottom"/>
            <w:hideMark/>
          </w:tcPr>
          <w:p w:rsidR="003A497B" w:rsidRPr="002353ED" w:rsidRDefault="003A497B" w:rsidP="003E1809">
            <w:pPr>
              <w:jc w:val="right"/>
              <w:rPr>
                <w:rFonts w:ascii="Times New Roman" w:hAnsi="Times New Roman" w:cs="Times New Roman"/>
                <w:color w:val="000000"/>
                <w:sz w:val="14"/>
                <w:szCs w:val="14"/>
                <w:lang w:eastAsia="sk-SK"/>
              </w:rPr>
            </w:pPr>
            <w:r w:rsidRPr="002353ED">
              <w:rPr>
                <w:rFonts w:ascii="Times New Roman" w:hAnsi="Times New Roman" w:cs="Times New Roman"/>
                <w:color w:val="000000"/>
                <w:sz w:val="14"/>
                <w:szCs w:val="14"/>
                <w:lang w:eastAsia="sk-SK"/>
              </w:rPr>
              <w:t>2 243 931 425</w:t>
            </w:r>
          </w:p>
        </w:tc>
        <w:tc>
          <w:tcPr>
            <w:tcW w:w="0" w:type="auto"/>
            <w:tcBorders>
              <w:top w:val="nil"/>
              <w:left w:val="nil"/>
              <w:bottom w:val="single" w:sz="4" w:space="0" w:color="auto"/>
              <w:right w:val="single" w:sz="4" w:space="0" w:color="auto"/>
            </w:tcBorders>
            <w:shd w:val="clear" w:color="auto" w:fill="auto"/>
            <w:vAlign w:val="bottom"/>
            <w:hideMark/>
          </w:tcPr>
          <w:p w:rsidR="003A497B" w:rsidRPr="002353ED" w:rsidRDefault="003A497B" w:rsidP="003E1809">
            <w:pPr>
              <w:jc w:val="right"/>
              <w:rPr>
                <w:rFonts w:ascii="Times New Roman" w:hAnsi="Times New Roman" w:cs="Times New Roman"/>
                <w:color w:val="000000"/>
                <w:sz w:val="14"/>
                <w:szCs w:val="14"/>
                <w:lang w:eastAsia="sk-SK"/>
              </w:rPr>
            </w:pPr>
            <w:r w:rsidRPr="002353ED">
              <w:rPr>
                <w:rFonts w:ascii="Times New Roman" w:hAnsi="Times New Roman" w:cs="Times New Roman"/>
                <w:color w:val="000000"/>
                <w:sz w:val="14"/>
                <w:szCs w:val="14"/>
                <w:lang w:eastAsia="sk-SK"/>
              </w:rPr>
              <w:t>2 280 149 562</w:t>
            </w:r>
          </w:p>
        </w:tc>
      </w:tr>
      <w:tr w:rsidR="003A497B" w:rsidRPr="00D26052" w:rsidTr="003E1809">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D26052">
              <w:rPr>
                <w:rFonts w:ascii="Times New Roman" w:hAnsi="Times New Roman" w:cs="Times New Roman"/>
                <w:color w:val="000000"/>
                <w:sz w:val="14"/>
                <w:szCs w:val="14"/>
                <w:lang w:eastAsia="sk-SK"/>
              </w:rPr>
              <w:t>610 mzdy</w:t>
            </w:r>
          </w:p>
        </w:tc>
        <w:tc>
          <w:tcPr>
            <w:tcW w:w="0" w:type="auto"/>
            <w:tcBorders>
              <w:top w:val="nil"/>
              <w:left w:val="nil"/>
              <w:bottom w:val="single" w:sz="4" w:space="0" w:color="auto"/>
              <w:right w:val="single" w:sz="4" w:space="0" w:color="auto"/>
            </w:tcBorders>
            <w:shd w:val="clear" w:color="auto" w:fill="auto"/>
            <w:noWrap/>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132 118 782</w:t>
            </w:r>
          </w:p>
        </w:tc>
        <w:tc>
          <w:tcPr>
            <w:tcW w:w="0" w:type="auto"/>
            <w:tcBorders>
              <w:top w:val="nil"/>
              <w:left w:val="nil"/>
              <w:bottom w:val="single" w:sz="4" w:space="0" w:color="auto"/>
              <w:right w:val="single" w:sz="4" w:space="0" w:color="auto"/>
            </w:tcBorders>
            <w:shd w:val="clear" w:color="auto" w:fill="auto"/>
            <w:noWrap/>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139 189 516</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135 697 021</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6741E9">
              <w:rPr>
                <w:rFonts w:ascii="Times New Roman" w:hAnsi="Times New Roman" w:cs="Times New Roman"/>
                <w:color w:val="000000"/>
                <w:sz w:val="14"/>
                <w:szCs w:val="14"/>
                <w:lang w:eastAsia="sk-SK"/>
              </w:rPr>
              <w:t>142 676 728</w:t>
            </w:r>
          </w:p>
        </w:tc>
        <w:tc>
          <w:tcPr>
            <w:tcW w:w="0" w:type="auto"/>
            <w:tcBorders>
              <w:top w:val="nil"/>
              <w:left w:val="nil"/>
              <w:bottom w:val="single" w:sz="4" w:space="0" w:color="auto"/>
              <w:right w:val="single" w:sz="4" w:space="0" w:color="auto"/>
            </w:tcBorders>
            <w:shd w:val="clear" w:color="auto" w:fill="auto"/>
            <w:vAlign w:val="bottom"/>
            <w:hideMark/>
          </w:tcPr>
          <w:p w:rsidR="003A497B" w:rsidRPr="002353ED" w:rsidRDefault="003A497B" w:rsidP="003E1809">
            <w:pPr>
              <w:jc w:val="right"/>
              <w:rPr>
                <w:rFonts w:ascii="Times New Roman" w:hAnsi="Times New Roman" w:cs="Times New Roman"/>
                <w:color w:val="000000"/>
                <w:sz w:val="14"/>
                <w:szCs w:val="14"/>
                <w:lang w:eastAsia="sk-SK"/>
              </w:rPr>
            </w:pPr>
            <w:r w:rsidRPr="002353ED">
              <w:rPr>
                <w:rFonts w:ascii="Times New Roman" w:hAnsi="Times New Roman" w:cs="Times New Roman"/>
                <w:color w:val="000000"/>
                <w:sz w:val="14"/>
                <w:szCs w:val="14"/>
                <w:lang w:eastAsia="sk-SK"/>
              </w:rPr>
              <w:t>144 588 025</w:t>
            </w:r>
          </w:p>
        </w:tc>
        <w:tc>
          <w:tcPr>
            <w:tcW w:w="0" w:type="auto"/>
            <w:tcBorders>
              <w:top w:val="nil"/>
              <w:left w:val="nil"/>
              <w:bottom w:val="single" w:sz="4" w:space="0" w:color="auto"/>
              <w:right w:val="single" w:sz="4" w:space="0" w:color="auto"/>
            </w:tcBorders>
            <w:shd w:val="clear" w:color="auto" w:fill="auto"/>
            <w:vAlign w:val="bottom"/>
            <w:hideMark/>
          </w:tcPr>
          <w:p w:rsidR="003A497B" w:rsidRPr="002353ED" w:rsidRDefault="003A497B" w:rsidP="003E1809">
            <w:pPr>
              <w:jc w:val="right"/>
              <w:rPr>
                <w:rFonts w:ascii="Times New Roman" w:hAnsi="Times New Roman" w:cs="Times New Roman"/>
                <w:color w:val="000000"/>
                <w:sz w:val="14"/>
                <w:szCs w:val="14"/>
                <w:lang w:eastAsia="sk-SK"/>
              </w:rPr>
            </w:pPr>
            <w:r w:rsidRPr="002353ED">
              <w:rPr>
                <w:rFonts w:ascii="Times New Roman" w:hAnsi="Times New Roman" w:cs="Times New Roman"/>
                <w:color w:val="000000"/>
                <w:sz w:val="14"/>
                <w:szCs w:val="14"/>
                <w:lang w:eastAsia="sk-SK"/>
              </w:rPr>
              <w:t>144 588 025</w:t>
            </w:r>
          </w:p>
        </w:tc>
        <w:tc>
          <w:tcPr>
            <w:tcW w:w="0" w:type="auto"/>
            <w:tcBorders>
              <w:top w:val="nil"/>
              <w:left w:val="nil"/>
              <w:bottom w:val="single" w:sz="4" w:space="0" w:color="auto"/>
              <w:right w:val="single" w:sz="4" w:space="0" w:color="auto"/>
            </w:tcBorders>
            <w:shd w:val="clear" w:color="auto" w:fill="auto"/>
            <w:vAlign w:val="bottom"/>
            <w:hideMark/>
          </w:tcPr>
          <w:p w:rsidR="003A497B" w:rsidRPr="002353ED" w:rsidRDefault="003A497B" w:rsidP="003E1809">
            <w:pPr>
              <w:jc w:val="right"/>
              <w:rPr>
                <w:rFonts w:ascii="Times New Roman" w:hAnsi="Times New Roman" w:cs="Times New Roman"/>
                <w:color w:val="000000"/>
                <w:sz w:val="14"/>
                <w:szCs w:val="14"/>
                <w:lang w:eastAsia="sk-SK"/>
              </w:rPr>
            </w:pPr>
            <w:r w:rsidRPr="002353ED">
              <w:rPr>
                <w:rFonts w:ascii="Times New Roman" w:hAnsi="Times New Roman" w:cs="Times New Roman"/>
                <w:color w:val="000000"/>
                <w:sz w:val="14"/>
                <w:szCs w:val="14"/>
                <w:lang w:eastAsia="sk-SK"/>
              </w:rPr>
              <w:t>144 588 025</w:t>
            </w:r>
          </w:p>
        </w:tc>
      </w:tr>
      <w:tr w:rsidR="003A497B" w:rsidRPr="00D26052" w:rsidTr="003E1809">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D26052">
              <w:rPr>
                <w:rFonts w:ascii="Times New Roman" w:hAnsi="Times New Roman" w:cs="Times New Roman"/>
                <w:color w:val="000000"/>
                <w:sz w:val="14"/>
                <w:szCs w:val="14"/>
                <w:lang w:eastAsia="sk-SK"/>
              </w:rPr>
              <w:t>620 odvody</w:t>
            </w:r>
          </w:p>
        </w:tc>
        <w:tc>
          <w:tcPr>
            <w:tcW w:w="0" w:type="auto"/>
            <w:tcBorders>
              <w:top w:val="nil"/>
              <w:left w:val="nil"/>
              <w:bottom w:val="single" w:sz="4" w:space="0" w:color="auto"/>
              <w:right w:val="single" w:sz="4" w:space="0" w:color="auto"/>
            </w:tcBorders>
            <w:shd w:val="clear" w:color="auto" w:fill="auto"/>
            <w:noWrap/>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48 533 103</w:t>
            </w:r>
          </w:p>
        </w:tc>
        <w:tc>
          <w:tcPr>
            <w:tcW w:w="0" w:type="auto"/>
            <w:tcBorders>
              <w:top w:val="nil"/>
              <w:left w:val="nil"/>
              <w:bottom w:val="single" w:sz="4" w:space="0" w:color="auto"/>
              <w:right w:val="single" w:sz="4" w:space="0" w:color="auto"/>
            </w:tcBorders>
            <w:shd w:val="clear" w:color="auto" w:fill="auto"/>
            <w:noWrap/>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51 167 700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47 426 108</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6741E9">
              <w:rPr>
                <w:rFonts w:ascii="Times New Roman" w:hAnsi="Times New Roman" w:cs="Times New Roman"/>
                <w:color w:val="000000"/>
                <w:sz w:val="14"/>
                <w:szCs w:val="14"/>
                <w:lang w:eastAsia="sk-SK"/>
              </w:rPr>
              <w:t>52 279 816</w:t>
            </w:r>
          </w:p>
        </w:tc>
        <w:tc>
          <w:tcPr>
            <w:tcW w:w="0" w:type="auto"/>
            <w:tcBorders>
              <w:top w:val="nil"/>
              <w:left w:val="nil"/>
              <w:bottom w:val="single" w:sz="4" w:space="0" w:color="auto"/>
              <w:right w:val="single" w:sz="4" w:space="0" w:color="auto"/>
            </w:tcBorders>
            <w:shd w:val="clear" w:color="auto" w:fill="auto"/>
            <w:vAlign w:val="bottom"/>
            <w:hideMark/>
          </w:tcPr>
          <w:p w:rsidR="003A497B" w:rsidRPr="002353ED" w:rsidRDefault="003A497B" w:rsidP="003E1809">
            <w:pPr>
              <w:jc w:val="right"/>
              <w:rPr>
                <w:rFonts w:ascii="Times New Roman" w:hAnsi="Times New Roman" w:cs="Times New Roman"/>
                <w:color w:val="000000"/>
                <w:sz w:val="14"/>
                <w:szCs w:val="14"/>
                <w:lang w:eastAsia="sk-SK"/>
              </w:rPr>
            </w:pPr>
            <w:r w:rsidRPr="002353ED">
              <w:rPr>
                <w:rFonts w:ascii="Times New Roman" w:hAnsi="Times New Roman" w:cs="Times New Roman"/>
                <w:color w:val="000000"/>
                <w:sz w:val="14"/>
                <w:szCs w:val="14"/>
                <w:lang w:eastAsia="sk-SK"/>
              </w:rPr>
              <w:t>50 541 896</w:t>
            </w:r>
          </w:p>
        </w:tc>
        <w:tc>
          <w:tcPr>
            <w:tcW w:w="0" w:type="auto"/>
            <w:tcBorders>
              <w:top w:val="nil"/>
              <w:left w:val="nil"/>
              <w:bottom w:val="single" w:sz="4" w:space="0" w:color="auto"/>
              <w:right w:val="single" w:sz="4" w:space="0" w:color="auto"/>
            </w:tcBorders>
            <w:shd w:val="clear" w:color="auto" w:fill="auto"/>
            <w:vAlign w:val="bottom"/>
            <w:hideMark/>
          </w:tcPr>
          <w:p w:rsidR="003A497B" w:rsidRPr="002353ED" w:rsidRDefault="003A497B" w:rsidP="003E1809">
            <w:pPr>
              <w:jc w:val="right"/>
              <w:rPr>
                <w:rFonts w:ascii="Times New Roman" w:hAnsi="Times New Roman" w:cs="Times New Roman"/>
                <w:color w:val="000000"/>
                <w:sz w:val="14"/>
                <w:szCs w:val="14"/>
                <w:lang w:eastAsia="sk-SK"/>
              </w:rPr>
            </w:pPr>
            <w:r w:rsidRPr="002353ED">
              <w:rPr>
                <w:rFonts w:ascii="Times New Roman" w:hAnsi="Times New Roman" w:cs="Times New Roman"/>
                <w:color w:val="000000"/>
                <w:sz w:val="14"/>
                <w:szCs w:val="14"/>
                <w:lang w:eastAsia="sk-SK"/>
              </w:rPr>
              <w:t>50 541 896</w:t>
            </w:r>
          </w:p>
        </w:tc>
        <w:tc>
          <w:tcPr>
            <w:tcW w:w="0" w:type="auto"/>
            <w:tcBorders>
              <w:top w:val="nil"/>
              <w:left w:val="nil"/>
              <w:bottom w:val="single" w:sz="4" w:space="0" w:color="auto"/>
              <w:right w:val="single" w:sz="4" w:space="0" w:color="auto"/>
            </w:tcBorders>
            <w:shd w:val="clear" w:color="auto" w:fill="auto"/>
            <w:vAlign w:val="bottom"/>
            <w:hideMark/>
          </w:tcPr>
          <w:p w:rsidR="003A497B" w:rsidRPr="002353ED" w:rsidRDefault="003A497B" w:rsidP="003E1809">
            <w:pPr>
              <w:jc w:val="right"/>
              <w:rPr>
                <w:rFonts w:ascii="Times New Roman" w:hAnsi="Times New Roman" w:cs="Times New Roman"/>
                <w:color w:val="000000"/>
                <w:sz w:val="14"/>
                <w:szCs w:val="14"/>
                <w:lang w:eastAsia="sk-SK"/>
              </w:rPr>
            </w:pPr>
            <w:r w:rsidRPr="002353ED">
              <w:rPr>
                <w:rFonts w:ascii="Times New Roman" w:hAnsi="Times New Roman" w:cs="Times New Roman"/>
                <w:color w:val="000000"/>
                <w:sz w:val="14"/>
                <w:szCs w:val="14"/>
                <w:lang w:eastAsia="sk-SK"/>
              </w:rPr>
              <w:t>50 541 896</w:t>
            </w:r>
          </w:p>
        </w:tc>
      </w:tr>
      <w:tr w:rsidR="003A497B" w:rsidRPr="00D26052" w:rsidTr="003E1809">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7B" w:rsidRPr="00D26052" w:rsidRDefault="003A497B" w:rsidP="003E1809">
            <w:pPr>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w:t>
            </w:r>
            <w:r w:rsidRPr="00D26052">
              <w:rPr>
                <w:rFonts w:ascii="Times New Roman" w:hAnsi="Times New Roman" w:cs="Times New Roman"/>
                <w:color w:val="000000"/>
                <w:sz w:val="14"/>
                <w:szCs w:val="14"/>
                <w:lang w:eastAsia="sk-SK"/>
              </w:rPr>
              <w:t>630 tovary a služby</w:t>
            </w:r>
          </w:p>
        </w:tc>
        <w:tc>
          <w:tcPr>
            <w:tcW w:w="0" w:type="auto"/>
            <w:tcBorders>
              <w:top w:val="nil"/>
              <w:left w:val="nil"/>
              <w:bottom w:val="single" w:sz="4" w:space="0" w:color="auto"/>
              <w:right w:val="single" w:sz="4" w:space="0" w:color="auto"/>
            </w:tcBorders>
            <w:shd w:val="clear" w:color="auto" w:fill="auto"/>
            <w:noWrap/>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66 697 144</w:t>
            </w:r>
          </w:p>
        </w:tc>
        <w:tc>
          <w:tcPr>
            <w:tcW w:w="0" w:type="auto"/>
            <w:tcBorders>
              <w:top w:val="nil"/>
              <w:left w:val="nil"/>
              <w:bottom w:val="single" w:sz="4" w:space="0" w:color="auto"/>
              <w:right w:val="single" w:sz="4" w:space="0" w:color="auto"/>
            </w:tcBorders>
            <w:shd w:val="clear" w:color="auto" w:fill="auto"/>
            <w:noWrap/>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74 043 736</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61 660 146</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6741E9">
              <w:rPr>
                <w:rFonts w:ascii="Times New Roman" w:hAnsi="Times New Roman" w:cs="Times New Roman"/>
                <w:color w:val="000000"/>
                <w:sz w:val="14"/>
                <w:szCs w:val="14"/>
                <w:lang w:eastAsia="sk-SK"/>
              </w:rPr>
              <w:t>71 955 643</w:t>
            </w:r>
          </w:p>
        </w:tc>
        <w:tc>
          <w:tcPr>
            <w:tcW w:w="0" w:type="auto"/>
            <w:tcBorders>
              <w:top w:val="nil"/>
              <w:left w:val="nil"/>
              <w:bottom w:val="single" w:sz="4" w:space="0" w:color="auto"/>
              <w:right w:val="single" w:sz="4" w:space="0" w:color="auto"/>
            </w:tcBorders>
            <w:shd w:val="clear" w:color="auto" w:fill="auto"/>
            <w:vAlign w:val="bottom"/>
            <w:hideMark/>
          </w:tcPr>
          <w:p w:rsidR="003A497B" w:rsidRPr="002353ED" w:rsidRDefault="003A497B" w:rsidP="003E1809">
            <w:pPr>
              <w:jc w:val="right"/>
              <w:rPr>
                <w:rFonts w:ascii="Times New Roman" w:hAnsi="Times New Roman" w:cs="Times New Roman"/>
                <w:color w:val="000000"/>
                <w:sz w:val="14"/>
                <w:szCs w:val="14"/>
                <w:lang w:eastAsia="sk-SK"/>
              </w:rPr>
            </w:pPr>
            <w:r w:rsidRPr="002353ED">
              <w:rPr>
                <w:rFonts w:ascii="Times New Roman" w:hAnsi="Times New Roman" w:cs="Times New Roman"/>
                <w:color w:val="000000"/>
                <w:sz w:val="14"/>
                <w:szCs w:val="14"/>
                <w:lang w:eastAsia="sk-SK"/>
              </w:rPr>
              <w:t>62 812 577</w:t>
            </w:r>
          </w:p>
        </w:tc>
        <w:tc>
          <w:tcPr>
            <w:tcW w:w="0" w:type="auto"/>
            <w:tcBorders>
              <w:top w:val="nil"/>
              <w:left w:val="nil"/>
              <w:bottom w:val="single" w:sz="4" w:space="0" w:color="auto"/>
              <w:right w:val="single" w:sz="4" w:space="0" w:color="auto"/>
            </w:tcBorders>
            <w:shd w:val="clear" w:color="auto" w:fill="auto"/>
            <w:vAlign w:val="bottom"/>
            <w:hideMark/>
          </w:tcPr>
          <w:p w:rsidR="003A497B" w:rsidRPr="002353ED" w:rsidRDefault="003A497B" w:rsidP="003E1809">
            <w:pPr>
              <w:jc w:val="right"/>
              <w:rPr>
                <w:rFonts w:ascii="Times New Roman" w:hAnsi="Times New Roman" w:cs="Times New Roman"/>
                <w:color w:val="000000"/>
                <w:sz w:val="14"/>
                <w:szCs w:val="14"/>
                <w:lang w:eastAsia="sk-SK"/>
              </w:rPr>
            </w:pPr>
            <w:r w:rsidRPr="002353ED">
              <w:rPr>
                <w:rFonts w:ascii="Times New Roman" w:hAnsi="Times New Roman" w:cs="Times New Roman"/>
                <w:color w:val="000000"/>
                <w:sz w:val="14"/>
                <w:szCs w:val="14"/>
                <w:lang w:eastAsia="sk-SK"/>
              </w:rPr>
              <w:t>62 812 577</w:t>
            </w:r>
          </w:p>
        </w:tc>
        <w:tc>
          <w:tcPr>
            <w:tcW w:w="0" w:type="auto"/>
            <w:tcBorders>
              <w:top w:val="nil"/>
              <w:left w:val="nil"/>
              <w:bottom w:val="single" w:sz="4" w:space="0" w:color="auto"/>
              <w:right w:val="single" w:sz="4" w:space="0" w:color="auto"/>
            </w:tcBorders>
            <w:shd w:val="clear" w:color="auto" w:fill="auto"/>
            <w:vAlign w:val="bottom"/>
            <w:hideMark/>
          </w:tcPr>
          <w:p w:rsidR="003A497B" w:rsidRPr="002353ED" w:rsidRDefault="003A497B" w:rsidP="003E1809">
            <w:pPr>
              <w:jc w:val="right"/>
              <w:rPr>
                <w:rFonts w:ascii="Times New Roman" w:hAnsi="Times New Roman" w:cs="Times New Roman"/>
                <w:color w:val="000000"/>
                <w:sz w:val="14"/>
                <w:szCs w:val="14"/>
                <w:lang w:eastAsia="sk-SK"/>
              </w:rPr>
            </w:pPr>
            <w:r w:rsidRPr="002353ED">
              <w:rPr>
                <w:rFonts w:ascii="Times New Roman" w:hAnsi="Times New Roman" w:cs="Times New Roman"/>
                <w:color w:val="000000"/>
                <w:sz w:val="14"/>
                <w:szCs w:val="14"/>
                <w:lang w:eastAsia="sk-SK"/>
              </w:rPr>
              <w:t>62 812 577</w:t>
            </w:r>
          </w:p>
        </w:tc>
      </w:tr>
      <w:tr w:rsidR="003A497B" w:rsidRPr="00D26052" w:rsidTr="003E1809">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7B" w:rsidRPr="00D26052" w:rsidRDefault="003A497B" w:rsidP="003E1809">
            <w:pPr>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w:t>
            </w:r>
            <w:r w:rsidRPr="00D26052">
              <w:rPr>
                <w:rFonts w:ascii="Times New Roman" w:hAnsi="Times New Roman" w:cs="Times New Roman"/>
                <w:color w:val="000000"/>
                <w:sz w:val="14"/>
                <w:szCs w:val="14"/>
                <w:lang w:eastAsia="sk-SK"/>
              </w:rPr>
              <w:t>640 bežné transfery</w:t>
            </w:r>
          </w:p>
        </w:tc>
        <w:tc>
          <w:tcPr>
            <w:tcW w:w="0" w:type="auto"/>
            <w:tcBorders>
              <w:top w:val="nil"/>
              <w:left w:val="nil"/>
              <w:bottom w:val="single" w:sz="4" w:space="0" w:color="auto"/>
              <w:right w:val="single" w:sz="4" w:space="0" w:color="auto"/>
            </w:tcBorders>
            <w:shd w:val="clear" w:color="auto" w:fill="auto"/>
            <w:noWrap/>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1 715 333 876</w:t>
            </w:r>
          </w:p>
        </w:tc>
        <w:tc>
          <w:tcPr>
            <w:tcW w:w="0" w:type="auto"/>
            <w:tcBorders>
              <w:top w:val="nil"/>
              <w:left w:val="nil"/>
              <w:bottom w:val="single" w:sz="4" w:space="0" w:color="auto"/>
              <w:right w:val="single" w:sz="4" w:space="0" w:color="auto"/>
            </w:tcBorders>
            <w:shd w:val="clear" w:color="auto" w:fill="auto"/>
            <w:noWrap/>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1 703 752 306</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1 854 326 095</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6741E9">
              <w:rPr>
                <w:rFonts w:ascii="Times New Roman" w:hAnsi="Times New Roman" w:cs="Times New Roman"/>
                <w:color w:val="000000"/>
                <w:sz w:val="14"/>
                <w:szCs w:val="14"/>
                <w:lang w:eastAsia="sk-SK"/>
              </w:rPr>
              <w:t>1 799 179 871</w:t>
            </w:r>
          </w:p>
        </w:tc>
        <w:tc>
          <w:tcPr>
            <w:tcW w:w="0" w:type="auto"/>
            <w:tcBorders>
              <w:top w:val="nil"/>
              <w:left w:val="nil"/>
              <w:bottom w:val="single" w:sz="4" w:space="0" w:color="auto"/>
              <w:right w:val="single" w:sz="4" w:space="0" w:color="auto"/>
            </w:tcBorders>
            <w:shd w:val="clear" w:color="auto" w:fill="auto"/>
            <w:vAlign w:val="bottom"/>
            <w:hideMark/>
          </w:tcPr>
          <w:p w:rsidR="003A497B" w:rsidRPr="002353ED" w:rsidRDefault="003A497B" w:rsidP="003E1809">
            <w:pPr>
              <w:jc w:val="right"/>
              <w:rPr>
                <w:rFonts w:ascii="Times New Roman" w:hAnsi="Times New Roman" w:cs="Times New Roman"/>
                <w:color w:val="000000"/>
                <w:sz w:val="14"/>
                <w:szCs w:val="14"/>
                <w:lang w:eastAsia="sk-SK"/>
              </w:rPr>
            </w:pPr>
            <w:r w:rsidRPr="002353ED">
              <w:rPr>
                <w:rFonts w:ascii="Times New Roman" w:hAnsi="Times New Roman" w:cs="Times New Roman"/>
                <w:color w:val="000000"/>
                <w:sz w:val="14"/>
                <w:szCs w:val="14"/>
                <w:lang w:eastAsia="sk-SK"/>
              </w:rPr>
              <w:t>1 940 180 943</w:t>
            </w:r>
          </w:p>
        </w:tc>
        <w:tc>
          <w:tcPr>
            <w:tcW w:w="0" w:type="auto"/>
            <w:tcBorders>
              <w:top w:val="nil"/>
              <w:left w:val="nil"/>
              <w:bottom w:val="single" w:sz="4" w:space="0" w:color="auto"/>
              <w:right w:val="single" w:sz="4" w:space="0" w:color="auto"/>
            </w:tcBorders>
            <w:shd w:val="clear" w:color="auto" w:fill="auto"/>
            <w:vAlign w:val="bottom"/>
            <w:hideMark/>
          </w:tcPr>
          <w:p w:rsidR="003A497B" w:rsidRPr="002353ED" w:rsidRDefault="003A497B" w:rsidP="003E1809">
            <w:pPr>
              <w:jc w:val="right"/>
              <w:rPr>
                <w:rFonts w:ascii="Times New Roman" w:hAnsi="Times New Roman" w:cs="Times New Roman"/>
                <w:color w:val="000000"/>
                <w:sz w:val="14"/>
                <w:szCs w:val="14"/>
                <w:lang w:eastAsia="sk-SK"/>
              </w:rPr>
            </w:pPr>
            <w:r w:rsidRPr="002353ED">
              <w:rPr>
                <w:rFonts w:ascii="Times New Roman" w:hAnsi="Times New Roman" w:cs="Times New Roman"/>
                <w:color w:val="000000"/>
                <w:sz w:val="14"/>
                <w:szCs w:val="14"/>
                <w:lang w:eastAsia="sk-SK"/>
              </w:rPr>
              <w:t>1 985 988 927</w:t>
            </w:r>
          </w:p>
        </w:tc>
        <w:tc>
          <w:tcPr>
            <w:tcW w:w="0" w:type="auto"/>
            <w:tcBorders>
              <w:top w:val="nil"/>
              <w:left w:val="nil"/>
              <w:bottom w:val="single" w:sz="4" w:space="0" w:color="auto"/>
              <w:right w:val="single" w:sz="4" w:space="0" w:color="auto"/>
            </w:tcBorders>
            <w:shd w:val="clear" w:color="auto" w:fill="auto"/>
            <w:vAlign w:val="bottom"/>
            <w:hideMark/>
          </w:tcPr>
          <w:p w:rsidR="003A497B" w:rsidRPr="002353ED" w:rsidRDefault="003A497B" w:rsidP="003E1809">
            <w:pPr>
              <w:jc w:val="right"/>
              <w:rPr>
                <w:rFonts w:ascii="Times New Roman" w:hAnsi="Times New Roman" w:cs="Times New Roman"/>
                <w:color w:val="000000"/>
                <w:sz w:val="14"/>
                <w:szCs w:val="14"/>
                <w:lang w:eastAsia="sk-SK"/>
              </w:rPr>
            </w:pPr>
            <w:r w:rsidRPr="002353ED">
              <w:rPr>
                <w:rFonts w:ascii="Times New Roman" w:hAnsi="Times New Roman" w:cs="Times New Roman"/>
                <w:color w:val="000000"/>
                <w:sz w:val="14"/>
                <w:szCs w:val="14"/>
                <w:lang w:eastAsia="sk-SK"/>
              </w:rPr>
              <w:t>2 022 207 064</w:t>
            </w:r>
          </w:p>
        </w:tc>
      </w:tr>
      <w:tr w:rsidR="003A497B" w:rsidRPr="00D26052" w:rsidTr="003E1809">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 xml:space="preserve">       </w:t>
            </w:r>
            <w:r>
              <w:rPr>
                <w:rFonts w:ascii="Times New Roman" w:hAnsi="Times New Roman" w:cs="Times New Roman"/>
                <w:sz w:val="14"/>
                <w:szCs w:val="14"/>
                <w:lang w:eastAsia="sk-SK"/>
              </w:rPr>
              <w:t xml:space="preserve">      </w:t>
            </w:r>
            <w:r w:rsidRPr="00D26052">
              <w:rPr>
                <w:rFonts w:ascii="Times New Roman" w:hAnsi="Times New Roman" w:cs="Times New Roman"/>
                <w:sz w:val="14"/>
                <w:szCs w:val="14"/>
                <w:lang w:eastAsia="sk-SK"/>
              </w:rPr>
              <w:t>kapitálové výdavky 700</w:t>
            </w:r>
          </w:p>
        </w:tc>
        <w:tc>
          <w:tcPr>
            <w:tcW w:w="0" w:type="auto"/>
            <w:tcBorders>
              <w:top w:val="nil"/>
              <w:left w:val="nil"/>
              <w:bottom w:val="single" w:sz="4" w:space="0" w:color="auto"/>
              <w:right w:val="single" w:sz="4" w:space="0" w:color="auto"/>
            </w:tcBorders>
            <w:shd w:val="clear" w:color="auto" w:fill="auto"/>
            <w:noWrap/>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1 696 646</w:t>
            </w:r>
          </w:p>
        </w:tc>
        <w:tc>
          <w:tcPr>
            <w:tcW w:w="0" w:type="auto"/>
            <w:tcBorders>
              <w:top w:val="nil"/>
              <w:left w:val="nil"/>
              <w:bottom w:val="single" w:sz="4" w:space="0" w:color="auto"/>
              <w:right w:val="single" w:sz="4" w:space="0" w:color="auto"/>
            </w:tcBorders>
            <w:shd w:val="clear" w:color="auto" w:fill="auto"/>
            <w:noWrap/>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2 312 543</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5 052 470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6741E9">
              <w:rPr>
                <w:rFonts w:ascii="Times New Roman" w:hAnsi="Times New Roman" w:cs="Times New Roman"/>
                <w:color w:val="000000"/>
                <w:sz w:val="14"/>
                <w:szCs w:val="14"/>
                <w:lang w:eastAsia="sk-SK"/>
              </w:rPr>
              <w:t>6 089 823</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6 743 806</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6 353 806</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6 353 806</w:t>
            </w:r>
          </w:p>
        </w:tc>
      </w:tr>
      <w:tr w:rsidR="003A497B" w:rsidRPr="00D26052" w:rsidTr="003E1809">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7B" w:rsidRPr="00D26052" w:rsidRDefault="003A497B" w:rsidP="003E1809">
            <w:pPr>
              <w:rPr>
                <w:rFonts w:ascii="Times New Roman" w:hAnsi="Times New Roman" w:cs="Times New Roman"/>
                <w:b/>
                <w:bCs/>
                <w:sz w:val="14"/>
                <w:szCs w:val="14"/>
                <w:lang w:eastAsia="sk-SK"/>
              </w:rPr>
            </w:pPr>
            <w:r w:rsidRPr="00D26052">
              <w:rPr>
                <w:rFonts w:ascii="Times New Roman" w:hAnsi="Times New Roman" w:cs="Times New Roman"/>
                <w:b/>
                <w:bCs/>
                <w:sz w:val="14"/>
                <w:szCs w:val="14"/>
                <w:lang w:eastAsia="sk-SK"/>
              </w:rPr>
              <w:t xml:space="preserve">zdroje EÚ vrátane spolufinancovania: </w:t>
            </w:r>
          </w:p>
        </w:tc>
        <w:tc>
          <w:tcPr>
            <w:tcW w:w="0" w:type="auto"/>
            <w:tcBorders>
              <w:top w:val="nil"/>
              <w:left w:val="nil"/>
              <w:bottom w:val="single" w:sz="4" w:space="0" w:color="auto"/>
              <w:right w:val="single" w:sz="4" w:space="0" w:color="auto"/>
            </w:tcBorders>
            <w:shd w:val="clear" w:color="auto" w:fill="auto"/>
            <w:vAlign w:val="bottom"/>
            <w:hideMark/>
          </w:tcPr>
          <w:p w:rsidR="003A497B"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8 734 160</w:t>
            </w:r>
          </w:p>
        </w:tc>
        <w:tc>
          <w:tcPr>
            <w:tcW w:w="0" w:type="auto"/>
            <w:tcBorders>
              <w:top w:val="nil"/>
              <w:left w:val="nil"/>
              <w:bottom w:val="single" w:sz="4" w:space="0" w:color="auto"/>
              <w:right w:val="single" w:sz="4" w:space="0" w:color="auto"/>
            </w:tcBorders>
            <w:shd w:val="clear" w:color="auto" w:fill="auto"/>
            <w:vAlign w:val="bottom"/>
            <w:hideMark/>
          </w:tcPr>
          <w:p w:rsidR="003A497B"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64 825 081</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236 973 280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13 278 001</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95 915 270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245 813 038</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237 297 054</w:t>
            </w:r>
          </w:p>
        </w:tc>
      </w:tr>
      <w:tr w:rsidR="003A497B" w:rsidRPr="00D26052" w:rsidTr="003E1809">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 xml:space="preserve">        v tom:  2. programov</w:t>
            </w:r>
            <w:r>
              <w:rPr>
                <w:rFonts w:ascii="Times New Roman" w:hAnsi="Times New Roman" w:cs="Times New Roman"/>
                <w:sz w:val="14"/>
                <w:szCs w:val="14"/>
                <w:lang w:eastAsia="sk-SK"/>
              </w:rPr>
              <w:t>é</w:t>
            </w:r>
            <w:r w:rsidRPr="00D26052">
              <w:rPr>
                <w:rFonts w:ascii="Times New Roman" w:hAnsi="Times New Roman" w:cs="Times New Roman"/>
                <w:sz w:val="14"/>
                <w:szCs w:val="14"/>
                <w:lang w:eastAsia="sk-SK"/>
              </w:rPr>
              <w:t xml:space="preserve"> obdobie E</w:t>
            </w:r>
            <w:r>
              <w:rPr>
                <w:rFonts w:ascii="Times New Roman" w:hAnsi="Times New Roman" w:cs="Times New Roman"/>
                <w:sz w:val="14"/>
                <w:szCs w:val="14"/>
                <w:lang w:eastAsia="sk-SK"/>
              </w:rPr>
              <w:t>Ú</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1 837 193</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r>
      <w:tr w:rsidR="003A497B" w:rsidRPr="00D26052" w:rsidTr="003E1809">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 xml:space="preserve">                         spolufinancovanie zo ŠR</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39 272</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r>
      <w:tr w:rsidR="003A497B" w:rsidRPr="00D26052" w:rsidTr="003E1809">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 xml:space="preserve">                     3. programov</w:t>
            </w:r>
            <w:r>
              <w:rPr>
                <w:rFonts w:ascii="Times New Roman" w:hAnsi="Times New Roman" w:cs="Times New Roman"/>
                <w:sz w:val="14"/>
                <w:szCs w:val="14"/>
                <w:lang w:eastAsia="sk-SK"/>
              </w:rPr>
              <w:t>é</w:t>
            </w:r>
            <w:r w:rsidRPr="00D26052">
              <w:rPr>
                <w:rFonts w:ascii="Times New Roman" w:hAnsi="Times New Roman" w:cs="Times New Roman"/>
                <w:sz w:val="14"/>
                <w:szCs w:val="14"/>
                <w:lang w:eastAsia="sk-SK"/>
              </w:rPr>
              <w:t xml:space="preserve"> obdobie E</w:t>
            </w:r>
            <w:r>
              <w:rPr>
                <w:rFonts w:ascii="Times New Roman" w:hAnsi="Times New Roman" w:cs="Times New Roman"/>
                <w:sz w:val="14"/>
                <w:szCs w:val="14"/>
                <w:lang w:eastAsia="sk-SK"/>
              </w:rPr>
              <w:t>Ú</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4 755 728</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54 786 155</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202 451 743</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9 815 663</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79 306 552</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202 531 916</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195 164 168</w:t>
            </w:r>
          </w:p>
        </w:tc>
      </w:tr>
      <w:tr w:rsidR="003A497B" w:rsidRPr="00D26052" w:rsidTr="003E1809">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 xml:space="preserve">                         spolufinancovanie zo ŠR</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2 101 967</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10 038 926</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34 521 537</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3 462 338</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16 608 718</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43 281 122</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42 132 886</w:t>
            </w:r>
          </w:p>
        </w:tc>
      </w:tr>
      <w:tr w:rsidR="003A497B" w:rsidRPr="00D26052" w:rsidTr="003E1809">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7B" w:rsidRPr="00D26052" w:rsidRDefault="003A497B" w:rsidP="003E1809">
            <w:pPr>
              <w:rPr>
                <w:rFonts w:ascii="Times New Roman" w:hAnsi="Times New Roman" w:cs="Times New Roman"/>
                <w:b/>
                <w:bCs/>
                <w:sz w:val="14"/>
                <w:szCs w:val="14"/>
                <w:lang w:eastAsia="sk-SK"/>
              </w:rPr>
            </w:pPr>
            <w:r w:rsidRPr="00D26052">
              <w:rPr>
                <w:rFonts w:ascii="Times New Roman" w:hAnsi="Times New Roman" w:cs="Times New Roman"/>
                <w:b/>
                <w:bCs/>
                <w:sz w:val="14"/>
                <w:szCs w:val="14"/>
                <w:lang w:eastAsia="sk-SK"/>
              </w:rPr>
              <w:t>presun z minulých rokov</w:t>
            </w:r>
            <w:r>
              <w:rPr>
                <w:rFonts w:ascii="Times New Roman" w:hAnsi="Times New Roman" w:cs="Times New Roman"/>
                <w:b/>
                <w:bCs/>
                <w:sz w:val="14"/>
                <w:szCs w:val="14"/>
                <w:lang w:eastAsia="sk-SK"/>
              </w:rPr>
              <w:t xml:space="preserve"> § 8</w:t>
            </w:r>
          </w:p>
        </w:tc>
        <w:tc>
          <w:tcPr>
            <w:tcW w:w="0" w:type="auto"/>
            <w:tcBorders>
              <w:top w:val="nil"/>
              <w:left w:val="nil"/>
              <w:bottom w:val="single" w:sz="4" w:space="0" w:color="auto"/>
              <w:right w:val="single" w:sz="4" w:space="0" w:color="auto"/>
            </w:tcBorders>
            <w:shd w:val="clear" w:color="auto" w:fill="auto"/>
            <w:vAlign w:val="bottom"/>
            <w:hideMark/>
          </w:tcPr>
          <w:p w:rsidR="003A497B" w:rsidRDefault="003A497B" w:rsidP="003E1809">
            <w:pPr>
              <w:jc w:val="right"/>
              <w:rPr>
                <w:b/>
                <w:bCs/>
                <w:color w:val="000000"/>
                <w:sz w:val="14"/>
                <w:szCs w:val="14"/>
              </w:rPr>
            </w:pPr>
            <w:r w:rsidRPr="005577E8">
              <w:rPr>
                <w:rFonts w:ascii="Times New Roman" w:hAnsi="Times New Roman" w:cs="Times New Roman"/>
                <w:b/>
                <w:bCs/>
                <w:color w:val="000000"/>
                <w:sz w:val="14"/>
                <w:szCs w:val="14"/>
                <w:lang w:eastAsia="sk-SK"/>
              </w:rPr>
              <w:t>190 043 103</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150 148 816</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223 695 279</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0</w:t>
            </w:r>
          </w:p>
        </w:tc>
      </w:tr>
      <w:tr w:rsidR="003A497B" w:rsidRPr="00D26052" w:rsidTr="003E1809">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v</w:t>
            </w:r>
            <w:r w:rsidRPr="00D26052">
              <w:rPr>
                <w:rFonts w:ascii="Times New Roman" w:hAnsi="Times New Roman" w:cs="Times New Roman"/>
                <w:color w:val="000000"/>
                <w:sz w:val="14"/>
                <w:szCs w:val="14"/>
                <w:lang w:eastAsia="sk-SK"/>
              </w:rPr>
              <w:t xml:space="preserve"> to</w:t>
            </w:r>
            <w:r>
              <w:rPr>
                <w:rFonts w:ascii="Times New Roman" w:hAnsi="Times New Roman" w:cs="Times New Roman"/>
                <w:color w:val="000000"/>
                <w:sz w:val="14"/>
                <w:szCs w:val="14"/>
                <w:lang w:eastAsia="sk-SK"/>
              </w:rPr>
              <w:t>m</w:t>
            </w:r>
            <w:r w:rsidRPr="00D26052">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štátny rozpočet</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4 171 684</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3 515 285</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r>
      <w:tr w:rsidR="003A497B" w:rsidRPr="00D26052" w:rsidTr="003E1809">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 xml:space="preserve">                 </w:t>
            </w:r>
            <w:r>
              <w:rPr>
                <w:rFonts w:ascii="Times New Roman" w:hAnsi="Times New Roman" w:cs="Times New Roman"/>
                <w:sz w:val="14"/>
                <w:szCs w:val="14"/>
                <w:lang w:eastAsia="sk-SK"/>
              </w:rPr>
              <w:t xml:space="preserve">   </w:t>
            </w:r>
            <w:r w:rsidRPr="00D26052">
              <w:rPr>
                <w:rFonts w:ascii="Times New Roman" w:hAnsi="Times New Roman" w:cs="Times New Roman"/>
                <w:sz w:val="14"/>
                <w:szCs w:val="14"/>
                <w:lang w:eastAsia="sk-SK"/>
              </w:rPr>
              <w:t>E</w:t>
            </w:r>
            <w:r>
              <w:rPr>
                <w:rFonts w:ascii="Times New Roman" w:hAnsi="Times New Roman" w:cs="Times New Roman"/>
                <w:sz w:val="14"/>
                <w:szCs w:val="14"/>
                <w:lang w:eastAsia="sk-SK"/>
              </w:rPr>
              <w:t>Ú</w:t>
            </w:r>
            <w:r w:rsidRPr="00D26052">
              <w:rPr>
                <w:rFonts w:ascii="Times New Roman" w:hAnsi="Times New Roman" w:cs="Times New Roman"/>
                <w:sz w:val="14"/>
                <w:szCs w:val="14"/>
                <w:lang w:eastAsia="sk-SK"/>
              </w:rPr>
              <w:t xml:space="preserve"> prostriedky</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158 115 284</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123 640 323</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192 636 080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r>
      <w:tr w:rsidR="003A497B" w:rsidRPr="00D26052" w:rsidTr="003E1809">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 xml:space="preserve">                </w:t>
            </w:r>
            <w:r>
              <w:rPr>
                <w:rFonts w:ascii="Times New Roman" w:hAnsi="Times New Roman" w:cs="Times New Roman"/>
                <w:sz w:val="14"/>
                <w:szCs w:val="14"/>
                <w:lang w:eastAsia="sk-SK"/>
              </w:rPr>
              <w:t xml:space="preserve">    </w:t>
            </w:r>
            <w:r w:rsidRPr="00D26052">
              <w:rPr>
                <w:rFonts w:ascii="Times New Roman" w:hAnsi="Times New Roman" w:cs="Times New Roman"/>
                <w:sz w:val="14"/>
                <w:szCs w:val="14"/>
                <w:lang w:eastAsia="sk-SK"/>
              </w:rPr>
              <w:t>spolufinancovanie zo ŠR</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27 756 135</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22 993 208</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31 059 199</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c>
          <w:tcPr>
            <w:tcW w:w="0" w:type="auto"/>
            <w:tcBorders>
              <w:top w:val="nil"/>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0</w:t>
            </w:r>
          </w:p>
        </w:tc>
      </w:tr>
      <w:tr w:rsidR="003A497B" w:rsidRPr="00472B84" w:rsidTr="003E1809">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97B" w:rsidRPr="009700A0" w:rsidRDefault="003A497B" w:rsidP="003E1809">
            <w:pPr>
              <w:rPr>
                <w:rFonts w:ascii="Times New Roman" w:hAnsi="Times New Roman" w:cs="Times New Roman"/>
                <w:b/>
                <w:sz w:val="14"/>
                <w:szCs w:val="14"/>
                <w:lang w:eastAsia="sk-SK"/>
              </w:rPr>
            </w:pPr>
            <w:r w:rsidRPr="009700A0">
              <w:rPr>
                <w:rFonts w:ascii="Times New Roman" w:hAnsi="Times New Roman" w:cs="Times New Roman"/>
                <w:b/>
                <w:sz w:val="14"/>
                <w:szCs w:val="14"/>
                <w:lang w:eastAsia="sk-SK"/>
              </w:rPr>
              <w:t>zdroj 72e*</w:t>
            </w:r>
            <w:r>
              <w:rPr>
                <w:rFonts w:ascii="Times New Roman" w:hAnsi="Times New Roman" w:cs="Times New Roman"/>
                <w:b/>
                <w:sz w:val="14"/>
                <w:szCs w:val="14"/>
                <w:lang w:eastAsia="sk-SK"/>
              </w:rPr>
              <w:t xml:space="preserve"> a 72h**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35 751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56 112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115 300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115 300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115 300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115 300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color w:val="000000"/>
                <w:sz w:val="14"/>
                <w:szCs w:val="14"/>
                <w:lang w:eastAsia="sk-SK"/>
              </w:rPr>
            </w:pPr>
            <w:r w:rsidRPr="005577E8">
              <w:rPr>
                <w:rFonts w:ascii="Times New Roman" w:hAnsi="Times New Roman" w:cs="Times New Roman"/>
                <w:color w:val="000000"/>
                <w:sz w:val="14"/>
                <w:szCs w:val="14"/>
                <w:lang w:eastAsia="sk-SK"/>
              </w:rPr>
              <w:t>115 300</w:t>
            </w:r>
          </w:p>
        </w:tc>
      </w:tr>
      <w:tr w:rsidR="003A497B" w:rsidRPr="00472B84" w:rsidTr="003E1809">
        <w:trPr>
          <w:trHeight w:val="255"/>
        </w:trPr>
        <w:tc>
          <w:tcPr>
            <w:tcW w:w="0" w:type="auto"/>
            <w:gridSpan w:val="4"/>
            <w:tcBorders>
              <w:top w:val="single" w:sz="4" w:space="0" w:color="auto"/>
            </w:tcBorders>
            <w:shd w:val="clear" w:color="auto" w:fill="auto"/>
            <w:noWrap/>
            <w:vAlign w:val="bottom"/>
          </w:tcPr>
          <w:p w:rsidR="003A497B" w:rsidRDefault="003A497B" w:rsidP="003E1809">
            <w:pPr>
              <w:rPr>
                <w:rFonts w:ascii="Times New Roman" w:hAnsi="Times New Roman" w:cs="Times New Roman"/>
                <w:sz w:val="14"/>
                <w:szCs w:val="14"/>
                <w:lang w:eastAsia="sk-SK"/>
              </w:rPr>
            </w:pPr>
            <w:r w:rsidRPr="009700A0">
              <w:rPr>
                <w:rFonts w:ascii="Times New Roman" w:hAnsi="Times New Roman" w:cs="Times New Roman"/>
                <w:b/>
                <w:sz w:val="14"/>
                <w:szCs w:val="14"/>
                <w:lang w:eastAsia="sk-SK"/>
              </w:rPr>
              <w:t>*</w:t>
            </w:r>
            <w:r>
              <w:rPr>
                <w:rFonts w:ascii="Times New Roman" w:hAnsi="Times New Roman" w:cs="Times New Roman"/>
                <w:b/>
                <w:sz w:val="14"/>
                <w:szCs w:val="14"/>
                <w:lang w:eastAsia="sk-SK"/>
              </w:rPr>
              <w:t xml:space="preserve"> </w:t>
            </w:r>
            <w:r w:rsidRPr="009700A0">
              <w:rPr>
                <w:rFonts w:ascii="Times New Roman" w:hAnsi="Times New Roman" w:cs="Times New Roman"/>
                <w:sz w:val="14"/>
                <w:szCs w:val="14"/>
                <w:lang w:eastAsia="sk-SK"/>
              </w:rPr>
              <w:t>z poistného plnenia zo zmluvného poistenia alebo zo zákonného poistenia</w:t>
            </w:r>
          </w:p>
          <w:p w:rsidR="003A497B" w:rsidRPr="009700A0" w:rsidRDefault="003A497B" w:rsidP="003E1809">
            <w:pPr>
              <w:rPr>
                <w:rFonts w:ascii="Times New Roman" w:hAnsi="Times New Roman" w:cs="Times New Roman"/>
                <w:b/>
                <w:color w:val="000000"/>
                <w:sz w:val="14"/>
                <w:szCs w:val="14"/>
                <w:lang w:eastAsia="sk-SK"/>
              </w:rPr>
            </w:pPr>
            <w:r>
              <w:rPr>
                <w:rFonts w:ascii="Times New Roman" w:hAnsi="Times New Roman" w:cs="Times New Roman"/>
                <w:sz w:val="14"/>
                <w:szCs w:val="14"/>
                <w:lang w:eastAsia="sk-SK"/>
              </w:rPr>
              <w:t>** od úradu práce, sociálnych vecí a rodiny podľa osobitného predpisu</w:t>
            </w:r>
          </w:p>
        </w:tc>
        <w:tc>
          <w:tcPr>
            <w:tcW w:w="0" w:type="auto"/>
            <w:tcBorders>
              <w:top w:val="single" w:sz="4" w:space="0" w:color="auto"/>
            </w:tcBorders>
            <w:shd w:val="clear" w:color="auto" w:fill="auto"/>
            <w:vAlign w:val="bottom"/>
          </w:tcPr>
          <w:p w:rsidR="003A497B" w:rsidRPr="009700A0" w:rsidRDefault="003A497B" w:rsidP="003E1809">
            <w:pPr>
              <w:jc w:val="right"/>
              <w:rPr>
                <w:rFonts w:ascii="Times New Roman" w:hAnsi="Times New Roman" w:cs="Times New Roman"/>
                <w:b/>
                <w:color w:val="000000"/>
                <w:sz w:val="14"/>
                <w:szCs w:val="14"/>
                <w:lang w:eastAsia="sk-SK"/>
              </w:rPr>
            </w:pPr>
          </w:p>
        </w:tc>
        <w:tc>
          <w:tcPr>
            <w:tcW w:w="0" w:type="auto"/>
            <w:tcBorders>
              <w:top w:val="single" w:sz="4" w:space="0" w:color="auto"/>
            </w:tcBorders>
            <w:shd w:val="clear" w:color="auto" w:fill="auto"/>
            <w:vAlign w:val="bottom"/>
          </w:tcPr>
          <w:p w:rsidR="003A497B" w:rsidRPr="009700A0" w:rsidRDefault="003A497B" w:rsidP="003E1809">
            <w:pPr>
              <w:jc w:val="right"/>
              <w:rPr>
                <w:rFonts w:ascii="Times New Roman" w:hAnsi="Times New Roman" w:cs="Times New Roman"/>
                <w:b/>
                <w:color w:val="000000"/>
                <w:sz w:val="14"/>
                <w:szCs w:val="14"/>
                <w:lang w:eastAsia="sk-SK"/>
              </w:rPr>
            </w:pPr>
          </w:p>
        </w:tc>
        <w:tc>
          <w:tcPr>
            <w:tcW w:w="0" w:type="auto"/>
            <w:tcBorders>
              <w:top w:val="single" w:sz="4" w:space="0" w:color="auto"/>
            </w:tcBorders>
            <w:shd w:val="clear" w:color="auto" w:fill="auto"/>
            <w:vAlign w:val="bottom"/>
          </w:tcPr>
          <w:p w:rsidR="003A497B" w:rsidRPr="009700A0" w:rsidRDefault="003A497B" w:rsidP="003E1809">
            <w:pPr>
              <w:jc w:val="right"/>
              <w:rPr>
                <w:rFonts w:ascii="Times New Roman" w:hAnsi="Times New Roman" w:cs="Times New Roman"/>
                <w:b/>
                <w:color w:val="000000"/>
                <w:sz w:val="14"/>
                <w:szCs w:val="14"/>
                <w:lang w:eastAsia="sk-SK"/>
              </w:rPr>
            </w:pPr>
          </w:p>
        </w:tc>
        <w:tc>
          <w:tcPr>
            <w:tcW w:w="0" w:type="auto"/>
            <w:tcBorders>
              <w:top w:val="single" w:sz="4" w:space="0" w:color="auto"/>
            </w:tcBorders>
            <w:shd w:val="clear" w:color="auto" w:fill="auto"/>
            <w:vAlign w:val="bottom"/>
          </w:tcPr>
          <w:p w:rsidR="003A497B" w:rsidRPr="009700A0" w:rsidRDefault="003A497B" w:rsidP="003E1809">
            <w:pPr>
              <w:jc w:val="right"/>
              <w:rPr>
                <w:rFonts w:ascii="Times New Roman" w:hAnsi="Times New Roman" w:cs="Times New Roman"/>
                <w:b/>
                <w:color w:val="000000"/>
                <w:sz w:val="14"/>
                <w:szCs w:val="14"/>
                <w:lang w:eastAsia="sk-SK"/>
              </w:rPr>
            </w:pPr>
          </w:p>
        </w:tc>
      </w:tr>
      <w:tr w:rsidR="003A497B" w:rsidRPr="00472B84" w:rsidTr="003E1809">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97B" w:rsidRPr="009700A0" w:rsidRDefault="003A497B" w:rsidP="003E1809">
            <w:pPr>
              <w:rPr>
                <w:rFonts w:ascii="Times New Roman" w:hAnsi="Times New Roman" w:cs="Times New Roman"/>
                <w:b/>
                <w:sz w:val="14"/>
                <w:szCs w:val="14"/>
                <w:lang w:eastAsia="sk-SK"/>
              </w:rPr>
            </w:pPr>
            <w:r>
              <w:rPr>
                <w:rFonts w:ascii="Times New Roman" w:hAnsi="Times New Roman" w:cs="Times New Roman"/>
                <w:b/>
                <w:sz w:val="14"/>
                <w:szCs w:val="14"/>
                <w:lang w:eastAsia="sk-SK"/>
              </w:rPr>
              <w:t>s</w:t>
            </w:r>
            <w:r w:rsidRPr="009700A0">
              <w:rPr>
                <w:rFonts w:ascii="Times New Roman" w:hAnsi="Times New Roman" w:cs="Times New Roman"/>
                <w:b/>
                <w:sz w:val="14"/>
                <w:szCs w:val="14"/>
                <w:lang w:eastAsia="sk-SK"/>
              </w:rPr>
              <w:t xml:space="preserve">amostatné účty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17 720 698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A497B" w:rsidRPr="005577E8" w:rsidRDefault="003A497B" w:rsidP="003E1809">
            <w:pPr>
              <w:jc w:val="right"/>
              <w:rPr>
                <w:rFonts w:ascii="Times New Roman" w:hAnsi="Times New Roman" w:cs="Times New Roman"/>
                <w:b/>
                <w:bCs/>
                <w:color w:val="000000"/>
                <w:sz w:val="14"/>
                <w:szCs w:val="14"/>
                <w:lang w:eastAsia="sk-SK"/>
              </w:rPr>
            </w:pPr>
            <w:r w:rsidRPr="005577E8">
              <w:rPr>
                <w:rFonts w:ascii="Times New Roman" w:hAnsi="Times New Roman" w:cs="Times New Roman"/>
                <w:b/>
                <w:bCs/>
                <w:color w:val="000000"/>
                <w:sz w:val="14"/>
                <w:szCs w:val="14"/>
                <w:lang w:eastAsia="sk-SK"/>
              </w:rPr>
              <w:t>8 550 260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A497B" w:rsidRPr="009700A0" w:rsidRDefault="003A497B" w:rsidP="003E1809">
            <w:pPr>
              <w:jc w:val="right"/>
              <w:rPr>
                <w:rFonts w:ascii="Times New Roman" w:hAnsi="Times New Roman" w:cs="Times New Roman"/>
                <w:b/>
                <w:color w:val="000000"/>
                <w:sz w:val="14"/>
                <w:szCs w:val="14"/>
                <w:lang w:eastAsia="sk-SK"/>
              </w:rPr>
            </w:pPr>
            <w:r w:rsidRPr="009700A0">
              <w:rPr>
                <w:rFonts w:ascii="Times New Roman" w:hAnsi="Times New Roman" w:cs="Times New Roman"/>
                <w:b/>
                <w:color w:val="000000"/>
                <w:sz w:val="14"/>
                <w:szCs w:val="14"/>
                <w:lang w:eastAsia="sk-SK"/>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A497B" w:rsidRPr="009700A0" w:rsidRDefault="003A497B" w:rsidP="003E1809">
            <w:pPr>
              <w:jc w:val="right"/>
              <w:rPr>
                <w:rFonts w:ascii="Times New Roman" w:hAnsi="Times New Roman" w:cs="Times New Roman"/>
                <w:b/>
                <w:color w:val="000000"/>
                <w:sz w:val="14"/>
                <w:szCs w:val="14"/>
                <w:lang w:eastAsia="sk-SK"/>
              </w:rPr>
            </w:pPr>
            <w:r w:rsidRPr="009700A0">
              <w:rPr>
                <w:rFonts w:ascii="Times New Roman" w:hAnsi="Times New Roman" w:cs="Times New Roman"/>
                <w:b/>
                <w:color w:val="000000"/>
                <w:sz w:val="14"/>
                <w:szCs w:val="14"/>
                <w:lang w:eastAsia="sk-SK"/>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A497B" w:rsidRPr="009700A0" w:rsidRDefault="003A497B" w:rsidP="003E1809">
            <w:pPr>
              <w:jc w:val="right"/>
              <w:rPr>
                <w:rFonts w:ascii="Times New Roman" w:hAnsi="Times New Roman" w:cs="Times New Roman"/>
                <w:b/>
                <w:color w:val="000000"/>
                <w:sz w:val="14"/>
                <w:szCs w:val="14"/>
                <w:lang w:eastAsia="sk-SK"/>
              </w:rPr>
            </w:pPr>
            <w:r>
              <w:rPr>
                <w:rFonts w:ascii="Times New Roman" w:hAnsi="Times New Roman" w:cs="Times New Roman"/>
                <w:b/>
                <w:color w:val="000000"/>
                <w:sz w:val="14"/>
                <w:szCs w:val="14"/>
                <w:lang w:eastAsia="sk-SK"/>
              </w:rPr>
              <w:t>0</w:t>
            </w:r>
            <w:r w:rsidRPr="009700A0">
              <w:rPr>
                <w:rFonts w:ascii="Times New Roman" w:hAnsi="Times New Roman" w:cs="Times New Roman"/>
                <w:b/>
                <w:color w:val="000000"/>
                <w:sz w:val="14"/>
                <w:szCs w:val="14"/>
                <w:lang w:eastAsia="sk-SK"/>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A497B" w:rsidRPr="009700A0" w:rsidRDefault="003A497B" w:rsidP="003E1809">
            <w:pPr>
              <w:jc w:val="right"/>
              <w:rPr>
                <w:rFonts w:ascii="Times New Roman" w:hAnsi="Times New Roman" w:cs="Times New Roman"/>
                <w:b/>
                <w:color w:val="000000"/>
                <w:sz w:val="14"/>
                <w:szCs w:val="14"/>
                <w:lang w:eastAsia="sk-SK"/>
              </w:rPr>
            </w:pPr>
            <w:r w:rsidRPr="009700A0">
              <w:rPr>
                <w:rFonts w:ascii="Times New Roman" w:hAnsi="Times New Roman" w:cs="Times New Roman"/>
                <w:b/>
                <w:color w:val="000000"/>
                <w:sz w:val="14"/>
                <w:szCs w:val="14"/>
                <w:lang w:eastAsia="sk-SK"/>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3A497B" w:rsidRPr="009700A0" w:rsidRDefault="003A497B" w:rsidP="003E1809">
            <w:pPr>
              <w:jc w:val="right"/>
              <w:rPr>
                <w:rFonts w:ascii="Times New Roman" w:hAnsi="Times New Roman" w:cs="Times New Roman"/>
                <w:b/>
                <w:color w:val="000000"/>
                <w:sz w:val="14"/>
                <w:szCs w:val="14"/>
                <w:lang w:eastAsia="sk-SK"/>
              </w:rPr>
            </w:pPr>
            <w:r w:rsidRPr="009700A0">
              <w:rPr>
                <w:rFonts w:ascii="Times New Roman" w:hAnsi="Times New Roman" w:cs="Times New Roman"/>
                <w:b/>
                <w:color w:val="000000"/>
                <w:sz w:val="14"/>
                <w:szCs w:val="14"/>
                <w:lang w:eastAsia="sk-SK"/>
              </w:rPr>
              <w:t>0</w:t>
            </w:r>
          </w:p>
        </w:tc>
      </w:tr>
    </w:tbl>
    <w:p w:rsidR="003A497B" w:rsidRDefault="003A497B" w:rsidP="003A497B">
      <w:pPr>
        <w:ind w:firstLine="708"/>
        <w:jc w:val="both"/>
        <w:rPr>
          <w:rFonts w:ascii="Times New Roman" w:hAnsi="Times New Roman" w:cs="Times New Roman"/>
          <w:lang w:eastAsia="sk-SK"/>
        </w:rPr>
      </w:pPr>
    </w:p>
    <w:p w:rsidR="003A497B" w:rsidRPr="00D26052" w:rsidRDefault="003A497B" w:rsidP="003A497B">
      <w:pPr>
        <w:ind w:firstLine="708"/>
        <w:jc w:val="both"/>
        <w:rPr>
          <w:rFonts w:ascii="Times New Roman" w:hAnsi="Times New Roman" w:cs="Times New Roman"/>
          <w:lang w:eastAsia="sk-SK"/>
        </w:rPr>
      </w:pPr>
      <w:r>
        <w:rPr>
          <w:rFonts w:ascii="Times New Roman" w:hAnsi="Times New Roman" w:cs="Times New Roman"/>
          <w:lang w:eastAsia="sk-SK"/>
        </w:rPr>
        <w:lastRenderedPageBreak/>
        <w:t>C</w:t>
      </w:r>
      <w:r w:rsidRPr="00D26052">
        <w:rPr>
          <w:rFonts w:ascii="Times New Roman" w:hAnsi="Times New Roman" w:cs="Times New Roman"/>
          <w:lang w:eastAsia="sk-SK"/>
        </w:rPr>
        <w:t>elkové výdavky kapitoly</w:t>
      </w:r>
      <w:r>
        <w:rPr>
          <w:rFonts w:ascii="Times New Roman" w:hAnsi="Times New Roman" w:cs="Times New Roman"/>
          <w:lang w:eastAsia="sk-SK"/>
        </w:rPr>
        <w:t xml:space="preserve"> MPSVR SR v</w:t>
      </w:r>
      <w:r w:rsidRPr="00D26052">
        <w:rPr>
          <w:rFonts w:ascii="Times New Roman" w:hAnsi="Times New Roman" w:cs="Times New Roman"/>
          <w:lang w:eastAsia="sk-SK"/>
        </w:rPr>
        <w:t> porovnaní so schváleným rozpočtom na rok 201</w:t>
      </w:r>
      <w:r>
        <w:rPr>
          <w:rFonts w:ascii="Times New Roman" w:hAnsi="Times New Roman" w:cs="Times New Roman"/>
          <w:lang w:eastAsia="sk-SK"/>
        </w:rPr>
        <w:t>8</w:t>
      </w:r>
      <w:r w:rsidRPr="00D26052">
        <w:rPr>
          <w:rFonts w:ascii="Times New Roman" w:hAnsi="Times New Roman" w:cs="Times New Roman"/>
          <w:lang w:eastAsia="sk-SK"/>
        </w:rPr>
        <w:t xml:space="preserve"> medziročne </w:t>
      </w:r>
      <w:r>
        <w:rPr>
          <w:rFonts w:ascii="Times New Roman" w:hAnsi="Times New Roman" w:cs="Times New Roman"/>
          <w:lang w:eastAsia="sk-SK"/>
        </w:rPr>
        <w:t>klesajú</w:t>
      </w:r>
      <w:r w:rsidRPr="00D26052">
        <w:rPr>
          <w:rFonts w:ascii="Times New Roman" w:hAnsi="Times New Roman" w:cs="Times New Roman"/>
          <w:lang w:eastAsia="sk-SK"/>
        </w:rPr>
        <w:t xml:space="preserve"> o</w:t>
      </w:r>
      <w:r>
        <w:rPr>
          <w:rFonts w:ascii="Times New Roman" w:hAnsi="Times New Roman" w:cs="Times New Roman"/>
          <w:lang w:eastAsia="sk-SK"/>
        </w:rPr>
        <w:t> 40,4</w:t>
      </w:r>
      <w:r w:rsidRPr="00D26052">
        <w:rPr>
          <w:rFonts w:ascii="Times New Roman" w:hAnsi="Times New Roman" w:cs="Times New Roman"/>
          <w:lang w:eastAsia="sk-SK"/>
        </w:rPr>
        <w:t xml:space="preserve"> mil. eur,</w:t>
      </w:r>
      <w:r>
        <w:rPr>
          <w:rFonts w:ascii="Times New Roman" w:hAnsi="Times New Roman" w:cs="Times New Roman"/>
          <w:lang w:eastAsia="sk-SK"/>
        </w:rPr>
        <w:t xml:space="preserve"> </w:t>
      </w:r>
      <w:r w:rsidRPr="00D26052">
        <w:rPr>
          <w:rFonts w:ascii="Times New Roman" w:hAnsi="Times New Roman" w:cs="Times New Roman"/>
          <w:lang w:eastAsia="sk-SK"/>
        </w:rPr>
        <w:t>t. j. o</w:t>
      </w:r>
      <w:r>
        <w:rPr>
          <w:rFonts w:ascii="Times New Roman" w:hAnsi="Times New Roman" w:cs="Times New Roman"/>
          <w:lang w:eastAsia="sk-SK"/>
        </w:rPr>
        <w:t xml:space="preserve"> 1,72 </w:t>
      </w:r>
      <w:r w:rsidRPr="00D26052">
        <w:rPr>
          <w:rFonts w:ascii="Times New Roman" w:hAnsi="Times New Roman" w:cs="Times New Roman"/>
          <w:lang w:eastAsia="sk-SK"/>
        </w:rPr>
        <w:t>%. Prostriedky EÚ zdrojov vrátane spolufinancovania zaznamenajú v porovnaní so schváleným rozpočtom na rok 201</w:t>
      </w:r>
      <w:r>
        <w:rPr>
          <w:rFonts w:ascii="Times New Roman" w:hAnsi="Times New Roman" w:cs="Times New Roman"/>
          <w:lang w:eastAsia="sk-SK"/>
        </w:rPr>
        <w:t>8 pokles o 141</w:t>
      </w:r>
      <w:r w:rsidRPr="00D26052">
        <w:rPr>
          <w:rFonts w:ascii="Times New Roman" w:hAnsi="Times New Roman" w:cs="Times New Roman"/>
          <w:lang w:eastAsia="sk-SK"/>
        </w:rPr>
        <w:t xml:space="preserve"> mil. eur, t. j. o</w:t>
      </w:r>
      <w:r>
        <w:rPr>
          <w:rFonts w:ascii="Times New Roman" w:hAnsi="Times New Roman" w:cs="Times New Roman"/>
          <w:lang w:eastAsia="sk-SK"/>
        </w:rPr>
        <w:t> 59,5</w:t>
      </w:r>
      <w:r w:rsidRPr="00D26052">
        <w:rPr>
          <w:rFonts w:ascii="Times New Roman" w:hAnsi="Times New Roman" w:cs="Times New Roman"/>
          <w:lang w:eastAsia="sk-SK"/>
        </w:rPr>
        <w:t xml:space="preserve"> %.</w:t>
      </w:r>
    </w:p>
    <w:p w:rsidR="003A497B" w:rsidRPr="00D26052" w:rsidRDefault="003A497B" w:rsidP="003A497B">
      <w:pPr>
        <w:jc w:val="both"/>
        <w:rPr>
          <w:rFonts w:ascii="Times New Roman" w:hAnsi="Times New Roman" w:cs="Times New Roman"/>
          <w:lang w:eastAsia="sk-SK"/>
        </w:rPr>
      </w:pPr>
    </w:p>
    <w:p w:rsidR="003A497B" w:rsidRPr="00D26052" w:rsidRDefault="003A497B" w:rsidP="003A497B">
      <w:pPr>
        <w:ind w:firstLine="708"/>
        <w:jc w:val="both"/>
        <w:rPr>
          <w:rFonts w:ascii="Times New Roman" w:hAnsi="Times New Roman" w:cs="Times New Roman"/>
          <w:lang w:eastAsia="sk-SK"/>
        </w:rPr>
      </w:pPr>
      <w:r w:rsidRPr="00D26052">
        <w:rPr>
          <w:rFonts w:ascii="Times New Roman" w:hAnsi="Times New Roman" w:cs="Times New Roman"/>
          <w:lang w:eastAsia="sk-SK"/>
        </w:rPr>
        <w:t>Rozpočtové zdroje kapitoly</w:t>
      </w:r>
      <w:r>
        <w:rPr>
          <w:rFonts w:ascii="Times New Roman" w:hAnsi="Times New Roman" w:cs="Times New Roman"/>
          <w:lang w:eastAsia="sk-SK"/>
        </w:rPr>
        <w:t xml:space="preserve"> sa na rok 2019 navrhujú na úrovni 2,20 mld. eur. </w:t>
      </w:r>
      <w:r w:rsidRPr="00D26052">
        <w:rPr>
          <w:rFonts w:ascii="Times New Roman" w:hAnsi="Times New Roman" w:cs="Times New Roman"/>
          <w:lang w:eastAsia="sk-SK"/>
        </w:rPr>
        <w:t xml:space="preserve"> </w:t>
      </w:r>
      <w:r>
        <w:rPr>
          <w:rFonts w:ascii="Times New Roman" w:hAnsi="Times New Roman" w:cs="Times New Roman"/>
          <w:lang w:eastAsia="sk-SK"/>
        </w:rPr>
        <w:t>V</w:t>
      </w:r>
      <w:r w:rsidRPr="00D26052">
        <w:rPr>
          <w:rFonts w:ascii="Times New Roman" w:hAnsi="Times New Roman" w:cs="Times New Roman"/>
          <w:lang w:eastAsia="sk-SK"/>
        </w:rPr>
        <w:t xml:space="preserve"> porovnaní so schváleným rozpočtom </w:t>
      </w:r>
      <w:r>
        <w:rPr>
          <w:rFonts w:ascii="Times New Roman" w:hAnsi="Times New Roman" w:cs="Times New Roman"/>
          <w:lang w:eastAsia="sk-SK"/>
        </w:rPr>
        <w:t xml:space="preserve">na rok </w:t>
      </w:r>
      <w:r w:rsidRPr="00D26052">
        <w:rPr>
          <w:rFonts w:ascii="Times New Roman" w:hAnsi="Times New Roman" w:cs="Times New Roman"/>
          <w:lang w:eastAsia="sk-SK"/>
        </w:rPr>
        <w:t>201</w:t>
      </w:r>
      <w:r>
        <w:rPr>
          <w:rFonts w:ascii="Times New Roman" w:hAnsi="Times New Roman" w:cs="Times New Roman"/>
          <w:lang w:eastAsia="sk-SK"/>
        </w:rPr>
        <w:t>8</w:t>
      </w:r>
      <w:r w:rsidRPr="00D26052">
        <w:rPr>
          <w:rFonts w:ascii="Times New Roman" w:hAnsi="Times New Roman" w:cs="Times New Roman"/>
          <w:lang w:eastAsia="sk-SK"/>
        </w:rPr>
        <w:t xml:space="preserve"> rastú</w:t>
      </w:r>
      <w:r>
        <w:rPr>
          <w:rFonts w:ascii="Times New Roman" w:hAnsi="Times New Roman" w:cs="Times New Roman"/>
          <w:lang w:eastAsia="sk-SK"/>
        </w:rPr>
        <w:t xml:space="preserve"> </w:t>
      </w:r>
      <w:r w:rsidRPr="00D26052">
        <w:rPr>
          <w:rFonts w:ascii="Times New Roman" w:hAnsi="Times New Roman" w:cs="Times New Roman"/>
          <w:lang w:eastAsia="sk-SK"/>
        </w:rPr>
        <w:t>o</w:t>
      </w:r>
      <w:r>
        <w:rPr>
          <w:rFonts w:ascii="Times New Roman" w:hAnsi="Times New Roman" w:cs="Times New Roman"/>
          <w:lang w:eastAsia="sk-SK"/>
        </w:rPr>
        <w:t> 101</w:t>
      </w:r>
      <w:r w:rsidRPr="005C2D85">
        <w:rPr>
          <w:rFonts w:ascii="Times New Roman" w:hAnsi="Times New Roman" w:cs="Times New Roman"/>
          <w:color w:val="FF0000"/>
          <w:lang w:eastAsia="sk-SK"/>
        </w:rPr>
        <w:t xml:space="preserve"> </w:t>
      </w:r>
      <w:r w:rsidRPr="00D26052">
        <w:rPr>
          <w:rFonts w:ascii="Times New Roman" w:hAnsi="Times New Roman" w:cs="Times New Roman"/>
          <w:lang w:eastAsia="sk-SK"/>
        </w:rPr>
        <w:t>mil. eur, t. j. o </w:t>
      </w:r>
      <w:r>
        <w:rPr>
          <w:rFonts w:ascii="Times New Roman" w:hAnsi="Times New Roman" w:cs="Times New Roman"/>
          <w:lang w:eastAsia="sk-SK"/>
        </w:rPr>
        <w:t>4</w:t>
      </w:r>
      <w:r w:rsidRPr="00D26052">
        <w:rPr>
          <w:rFonts w:ascii="Times New Roman" w:hAnsi="Times New Roman" w:cs="Times New Roman"/>
          <w:lang w:eastAsia="sk-SK"/>
        </w:rPr>
        <w:t>,</w:t>
      </w:r>
      <w:r>
        <w:rPr>
          <w:rFonts w:ascii="Times New Roman" w:hAnsi="Times New Roman" w:cs="Times New Roman"/>
          <w:lang w:eastAsia="sk-SK"/>
        </w:rPr>
        <w:t>79</w:t>
      </w:r>
      <w:r w:rsidRPr="00D26052">
        <w:rPr>
          <w:rFonts w:ascii="Times New Roman" w:hAnsi="Times New Roman" w:cs="Times New Roman"/>
          <w:lang w:eastAsia="sk-SK"/>
        </w:rPr>
        <w:t xml:space="preserve"> %, nárast je </w:t>
      </w:r>
      <w:r>
        <w:rPr>
          <w:rFonts w:ascii="Times New Roman" w:hAnsi="Times New Roman" w:cs="Times New Roman"/>
          <w:lang w:eastAsia="sk-SK"/>
        </w:rPr>
        <w:t>spôsobený najmä vplyvom novelizácie zákonov o</w:t>
      </w:r>
      <w:r w:rsidRPr="00D26052">
        <w:rPr>
          <w:rFonts w:ascii="Times New Roman" w:hAnsi="Times New Roman" w:cs="Times New Roman"/>
          <w:lang w:eastAsia="sk-SK"/>
        </w:rPr>
        <w:t> peňažných príspevkoch na kompenzáciu ťažkého zdravotného postihnutia</w:t>
      </w:r>
      <w:r>
        <w:rPr>
          <w:rFonts w:ascii="Times New Roman" w:hAnsi="Times New Roman" w:cs="Times New Roman"/>
          <w:lang w:eastAsia="sk-SK"/>
        </w:rPr>
        <w:t xml:space="preserve"> a o sociálnoprávnej ochrane detí a o sociálnej kuratele.</w:t>
      </w:r>
    </w:p>
    <w:p w:rsidR="003A497B" w:rsidRPr="00D26052" w:rsidRDefault="003A497B" w:rsidP="003A497B">
      <w:pPr>
        <w:jc w:val="both"/>
        <w:rPr>
          <w:rFonts w:ascii="Times New Roman" w:hAnsi="Times New Roman" w:cs="Times New Roman"/>
          <w:lang w:eastAsia="sk-SK"/>
        </w:rPr>
      </w:pPr>
    </w:p>
    <w:p w:rsidR="003A497B" w:rsidRPr="00D26052" w:rsidRDefault="003A497B" w:rsidP="003A497B">
      <w:pPr>
        <w:ind w:firstLine="708"/>
        <w:jc w:val="both"/>
        <w:rPr>
          <w:rFonts w:ascii="Times New Roman" w:hAnsi="Times New Roman" w:cs="Times New Roman"/>
          <w:lang w:eastAsia="sk-SK"/>
        </w:rPr>
      </w:pPr>
      <w:r w:rsidRPr="00D26052">
        <w:rPr>
          <w:rFonts w:ascii="Times New Roman" w:hAnsi="Times New Roman" w:cs="Times New Roman"/>
          <w:lang w:eastAsia="sk-SK"/>
        </w:rPr>
        <w:t xml:space="preserve">Osobné výdavky </w:t>
      </w:r>
      <w:r>
        <w:rPr>
          <w:rFonts w:ascii="Times New Roman" w:hAnsi="Times New Roman" w:cs="Times New Roman"/>
          <w:lang w:eastAsia="sk-SK"/>
        </w:rPr>
        <w:t>na rok 2019 sa navrhujú na úrovni 195 mil. eur. M</w:t>
      </w:r>
      <w:r w:rsidRPr="00D26052">
        <w:rPr>
          <w:rFonts w:ascii="Times New Roman" w:hAnsi="Times New Roman" w:cs="Times New Roman"/>
          <w:lang w:eastAsia="sk-SK"/>
        </w:rPr>
        <w:t>edziročne rastú o</w:t>
      </w:r>
      <w:r>
        <w:rPr>
          <w:rFonts w:ascii="Times New Roman" w:hAnsi="Times New Roman" w:cs="Times New Roman"/>
          <w:lang w:eastAsia="sk-SK"/>
        </w:rPr>
        <w:t> 12,0 mil. eur, t. j. o 6,56</w:t>
      </w:r>
      <w:r w:rsidRPr="00D26052">
        <w:rPr>
          <w:rFonts w:ascii="Times New Roman" w:hAnsi="Times New Roman" w:cs="Times New Roman"/>
          <w:lang w:eastAsia="sk-SK"/>
        </w:rPr>
        <w:t xml:space="preserve"> %, najmä z dôvodu premietnutia valorizácie</w:t>
      </w:r>
      <w:r>
        <w:rPr>
          <w:rFonts w:ascii="Times New Roman" w:hAnsi="Times New Roman" w:cs="Times New Roman"/>
          <w:lang w:eastAsia="sk-SK"/>
        </w:rPr>
        <w:t xml:space="preserve"> z roku 2018 </w:t>
      </w:r>
      <w:r w:rsidRPr="00571888">
        <w:rPr>
          <w:rFonts w:ascii="Times New Roman" w:hAnsi="Times New Roman" w:cs="Times New Roman"/>
          <w:lang w:eastAsia="sk-SK"/>
        </w:rPr>
        <w:t>a personálneho zabezpečenia pracovísk rezortu súvis</w:t>
      </w:r>
      <w:r>
        <w:rPr>
          <w:rFonts w:ascii="Times New Roman" w:hAnsi="Times New Roman" w:cs="Times New Roman"/>
          <w:lang w:eastAsia="sk-SK"/>
        </w:rPr>
        <w:t>iaceho</w:t>
      </w:r>
      <w:r w:rsidRPr="00571888">
        <w:rPr>
          <w:rFonts w:ascii="Times New Roman" w:hAnsi="Times New Roman" w:cs="Times New Roman"/>
          <w:lang w:eastAsia="sk-SK"/>
        </w:rPr>
        <w:t xml:space="preserve"> s</w:t>
      </w:r>
      <w:r>
        <w:rPr>
          <w:rFonts w:ascii="Times New Roman" w:hAnsi="Times New Roman" w:cs="Times New Roman"/>
          <w:lang w:eastAsia="sk-SK"/>
        </w:rPr>
        <w:t> novou legislatívou v oblasti</w:t>
      </w:r>
      <w:r w:rsidRPr="00571888">
        <w:rPr>
          <w:rFonts w:ascii="Times New Roman" w:hAnsi="Times New Roman" w:cs="Times New Roman"/>
          <w:lang w:eastAsia="sk-SK"/>
        </w:rPr>
        <w:t xml:space="preserve"> sociálnoprávnej ochran</w:t>
      </w:r>
      <w:r>
        <w:rPr>
          <w:rFonts w:ascii="Times New Roman" w:hAnsi="Times New Roman" w:cs="Times New Roman"/>
          <w:lang w:eastAsia="sk-SK"/>
        </w:rPr>
        <w:t>y</w:t>
      </w:r>
      <w:r w:rsidRPr="00571888">
        <w:rPr>
          <w:rFonts w:ascii="Times New Roman" w:hAnsi="Times New Roman" w:cs="Times New Roman"/>
          <w:lang w:eastAsia="sk-SK"/>
        </w:rPr>
        <w:t xml:space="preserve"> detí a sociálnej kuratel</w:t>
      </w:r>
      <w:r>
        <w:rPr>
          <w:rFonts w:ascii="Times New Roman" w:hAnsi="Times New Roman" w:cs="Times New Roman"/>
          <w:lang w:eastAsia="sk-SK"/>
        </w:rPr>
        <w:t>y, sociálnej ekonomiky a sociálnych podnikov</w:t>
      </w:r>
      <w:r w:rsidRPr="00571888">
        <w:rPr>
          <w:rFonts w:ascii="Times New Roman" w:hAnsi="Times New Roman" w:cs="Times New Roman"/>
          <w:lang w:eastAsia="sk-SK"/>
        </w:rPr>
        <w:t>.</w:t>
      </w:r>
    </w:p>
    <w:p w:rsidR="003A497B" w:rsidRPr="00D26052" w:rsidRDefault="003A497B" w:rsidP="003A497B">
      <w:pPr>
        <w:jc w:val="both"/>
        <w:rPr>
          <w:rFonts w:ascii="Times New Roman" w:hAnsi="Times New Roman" w:cs="Times New Roman"/>
          <w:lang w:eastAsia="sk-SK"/>
        </w:rPr>
      </w:pPr>
    </w:p>
    <w:p w:rsidR="003A497B" w:rsidRPr="00D26052" w:rsidRDefault="003A497B" w:rsidP="003A497B">
      <w:pPr>
        <w:ind w:firstLine="708"/>
        <w:jc w:val="both"/>
        <w:rPr>
          <w:rFonts w:ascii="Times New Roman" w:hAnsi="Times New Roman" w:cs="Times New Roman"/>
          <w:lang w:eastAsia="sk-SK"/>
        </w:rPr>
      </w:pPr>
      <w:r w:rsidRPr="00D26052">
        <w:rPr>
          <w:rFonts w:ascii="Times New Roman" w:hAnsi="Times New Roman" w:cs="Times New Roman"/>
          <w:lang w:eastAsia="sk-SK"/>
        </w:rPr>
        <w:t xml:space="preserve">Výdavky na tovary a služby sa </w:t>
      </w:r>
      <w:r>
        <w:rPr>
          <w:rFonts w:ascii="Times New Roman" w:hAnsi="Times New Roman" w:cs="Times New Roman"/>
          <w:lang w:eastAsia="sk-SK"/>
        </w:rPr>
        <w:t xml:space="preserve">v roku 2019 </w:t>
      </w:r>
      <w:r w:rsidRPr="00D26052">
        <w:rPr>
          <w:rFonts w:ascii="Times New Roman" w:hAnsi="Times New Roman" w:cs="Times New Roman"/>
          <w:lang w:eastAsia="sk-SK"/>
        </w:rPr>
        <w:t>rozpočtujú v</w:t>
      </w:r>
      <w:r>
        <w:rPr>
          <w:rFonts w:ascii="Times New Roman" w:hAnsi="Times New Roman" w:cs="Times New Roman"/>
          <w:lang w:eastAsia="sk-SK"/>
        </w:rPr>
        <w:t> </w:t>
      </w:r>
      <w:r w:rsidRPr="00D26052">
        <w:rPr>
          <w:rFonts w:ascii="Times New Roman" w:hAnsi="Times New Roman" w:cs="Times New Roman"/>
          <w:lang w:eastAsia="sk-SK"/>
        </w:rPr>
        <w:t>sume</w:t>
      </w:r>
      <w:r>
        <w:rPr>
          <w:rFonts w:ascii="Times New Roman" w:hAnsi="Times New Roman" w:cs="Times New Roman"/>
          <w:lang w:eastAsia="sk-SK"/>
        </w:rPr>
        <w:t xml:space="preserve"> 62,8 mil. eur. </w:t>
      </w:r>
      <w:r>
        <w:rPr>
          <w:rFonts w:ascii="Times New Roman" w:hAnsi="Times New Roman" w:cs="Times New Roman"/>
          <w:lang w:eastAsia="sk-SK"/>
        </w:rPr>
        <w:br/>
        <w:t xml:space="preserve">V </w:t>
      </w:r>
      <w:r w:rsidRPr="00D26052">
        <w:rPr>
          <w:rFonts w:ascii="Times New Roman" w:hAnsi="Times New Roman" w:cs="Times New Roman"/>
          <w:lang w:eastAsia="sk-SK"/>
        </w:rPr>
        <w:t xml:space="preserve">porovnaní so schváleným rozpočtom </w:t>
      </w:r>
      <w:r>
        <w:rPr>
          <w:rFonts w:ascii="Times New Roman" w:hAnsi="Times New Roman" w:cs="Times New Roman"/>
          <w:lang w:eastAsia="sk-SK"/>
        </w:rPr>
        <w:t>na</w:t>
      </w:r>
      <w:r w:rsidRPr="00D26052">
        <w:rPr>
          <w:rFonts w:ascii="Times New Roman" w:hAnsi="Times New Roman" w:cs="Times New Roman"/>
          <w:lang w:eastAsia="sk-SK"/>
        </w:rPr>
        <w:t xml:space="preserve"> rok 201</w:t>
      </w:r>
      <w:r>
        <w:rPr>
          <w:rFonts w:ascii="Times New Roman" w:hAnsi="Times New Roman" w:cs="Times New Roman"/>
          <w:lang w:eastAsia="sk-SK"/>
        </w:rPr>
        <w:t>8</w:t>
      </w:r>
      <w:r w:rsidRPr="00D26052">
        <w:rPr>
          <w:rFonts w:ascii="Times New Roman" w:hAnsi="Times New Roman" w:cs="Times New Roman"/>
          <w:lang w:eastAsia="sk-SK"/>
        </w:rPr>
        <w:t xml:space="preserve"> </w:t>
      </w:r>
      <w:r>
        <w:rPr>
          <w:rFonts w:ascii="Times New Roman" w:hAnsi="Times New Roman" w:cs="Times New Roman"/>
          <w:lang w:eastAsia="sk-SK"/>
        </w:rPr>
        <w:t xml:space="preserve">rastú </w:t>
      </w:r>
      <w:r w:rsidRPr="00D26052">
        <w:rPr>
          <w:rFonts w:ascii="Times New Roman" w:hAnsi="Times New Roman" w:cs="Times New Roman"/>
          <w:lang w:eastAsia="sk-SK"/>
        </w:rPr>
        <w:t>o </w:t>
      </w:r>
      <w:r>
        <w:rPr>
          <w:rFonts w:ascii="Times New Roman" w:hAnsi="Times New Roman" w:cs="Times New Roman"/>
          <w:lang w:eastAsia="sk-SK"/>
        </w:rPr>
        <w:t>1</w:t>
      </w:r>
      <w:r w:rsidRPr="00D26052">
        <w:rPr>
          <w:rFonts w:ascii="Times New Roman" w:hAnsi="Times New Roman" w:cs="Times New Roman"/>
          <w:lang w:eastAsia="sk-SK"/>
        </w:rPr>
        <w:t>,</w:t>
      </w:r>
      <w:r>
        <w:rPr>
          <w:rFonts w:ascii="Times New Roman" w:hAnsi="Times New Roman" w:cs="Times New Roman"/>
          <w:lang w:eastAsia="sk-SK"/>
        </w:rPr>
        <w:t>15</w:t>
      </w:r>
      <w:r w:rsidRPr="00D26052">
        <w:rPr>
          <w:rFonts w:ascii="Times New Roman" w:hAnsi="Times New Roman" w:cs="Times New Roman"/>
          <w:lang w:eastAsia="sk-SK"/>
        </w:rPr>
        <w:t xml:space="preserve"> mil. eur, </w:t>
      </w:r>
      <w:r>
        <w:rPr>
          <w:rFonts w:ascii="Times New Roman" w:hAnsi="Times New Roman" w:cs="Times New Roman"/>
          <w:lang w:eastAsia="sk-SK"/>
        </w:rPr>
        <w:t>nárast</w:t>
      </w:r>
      <w:r w:rsidRPr="00D26052">
        <w:rPr>
          <w:rFonts w:ascii="Times New Roman" w:hAnsi="Times New Roman" w:cs="Times New Roman"/>
          <w:lang w:eastAsia="sk-SK"/>
        </w:rPr>
        <w:t xml:space="preserve"> predstavuje </w:t>
      </w:r>
      <w:r>
        <w:rPr>
          <w:rFonts w:ascii="Times New Roman" w:hAnsi="Times New Roman" w:cs="Times New Roman"/>
          <w:lang w:eastAsia="sk-SK"/>
        </w:rPr>
        <w:t>1,87</w:t>
      </w:r>
      <w:r w:rsidRPr="00D26052">
        <w:rPr>
          <w:rFonts w:ascii="Times New Roman" w:hAnsi="Times New Roman" w:cs="Times New Roman"/>
          <w:lang w:eastAsia="sk-SK"/>
        </w:rPr>
        <w:t xml:space="preserve"> %</w:t>
      </w:r>
      <w:r>
        <w:rPr>
          <w:rFonts w:ascii="Times New Roman" w:hAnsi="Times New Roman" w:cs="Times New Roman"/>
          <w:lang w:eastAsia="sk-SK"/>
        </w:rPr>
        <w:t xml:space="preserve"> a </w:t>
      </w:r>
      <w:r w:rsidRPr="00D26052">
        <w:rPr>
          <w:rFonts w:ascii="Times New Roman" w:hAnsi="Times New Roman" w:cs="Times New Roman"/>
          <w:lang w:eastAsia="sk-SK"/>
        </w:rPr>
        <w:t xml:space="preserve">je </w:t>
      </w:r>
      <w:r>
        <w:rPr>
          <w:rFonts w:ascii="Times New Roman" w:hAnsi="Times New Roman" w:cs="Times New Roman"/>
          <w:lang w:eastAsia="sk-SK"/>
        </w:rPr>
        <w:t>spôsobený vplyvom novelizácie zákona o sociálnoprávnej ochrane detí a o sociálnej kuratele</w:t>
      </w:r>
      <w:r w:rsidRPr="00D26052">
        <w:rPr>
          <w:rFonts w:ascii="Times New Roman" w:hAnsi="Times New Roman" w:cs="Times New Roman"/>
          <w:lang w:eastAsia="sk-SK"/>
        </w:rPr>
        <w:t xml:space="preserve">. </w:t>
      </w:r>
    </w:p>
    <w:p w:rsidR="003A497B" w:rsidRPr="00D26052" w:rsidRDefault="003A497B" w:rsidP="003A497B">
      <w:pPr>
        <w:jc w:val="both"/>
        <w:rPr>
          <w:rFonts w:ascii="Times New Roman" w:hAnsi="Times New Roman" w:cs="Times New Roman"/>
          <w:lang w:eastAsia="sk-SK"/>
        </w:rPr>
      </w:pPr>
    </w:p>
    <w:p w:rsidR="003A497B" w:rsidRDefault="003A497B" w:rsidP="003A497B">
      <w:pPr>
        <w:ind w:firstLine="708"/>
        <w:jc w:val="both"/>
        <w:rPr>
          <w:rFonts w:ascii="Times New Roman" w:hAnsi="Times New Roman" w:cs="Times New Roman"/>
          <w:lang w:eastAsia="sk-SK"/>
        </w:rPr>
      </w:pPr>
      <w:r>
        <w:rPr>
          <w:rFonts w:ascii="Times New Roman" w:hAnsi="Times New Roman" w:cs="Times New Roman"/>
          <w:lang w:eastAsia="sk-SK"/>
        </w:rPr>
        <w:t>Na b</w:t>
      </w:r>
      <w:r w:rsidRPr="00D26052">
        <w:rPr>
          <w:rFonts w:ascii="Times New Roman" w:hAnsi="Times New Roman" w:cs="Times New Roman"/>
          <w:lang w:eastAsia="sk-SK"/>
        </w:rPr>
        <w:t>ežn</w:t>
      </w:r>
      <w:r>
        <w:rPr>
          <w:rFonts w:ascii="Times New Roman" w:hAnsi="Times New Roman" w:cs="Times New Roman"/>
          <w:lang w:eastAsia="sk-SK"/>
        </w:rPr>
        <w:t>é</w:t>
      </w:r>
      <w:r w:rsidRPr="00D26052">
        <w:rPr>
          <w:rFonts w:ascii="Times New Roman" w:hAnsi="Times New Roman" w:cs="Times New Roman"/>
          <w:lang w:eastAsia="sk-SK"/>
        </w:rPr>
        <w:t xml:space="preserve"> transfer</w:t>
      </w:r>
      <w:r>
        <w:rPr>
          <w:rFonts w:ascii="Times New Roman" w:hAnsi="Times New Roman" w:cs="Times New Roman"/>
          <w:lang w:eastAsia="sk-SK"/>
        </w:rPr>
        <w:t>y</w:t>
      </w:r>
      <w:r w:rsidRPr="00D26052">
        <w:rPr>
          <w:rFonts w:ascii="Times New Roman" w:hAnsi="Times New Roman" w:cs="Times New Roman"/>
          <w:lang w:eastAsia="sk-SK"/>
        </w:rPr>
        <w:t xml:space="preserve"> </w:t>
      </w:r>
      <w:r>
        <w:rPr>
          <w:rFonts w:ascii="Times New Roman" w:hAnsi="Times New Roman" w:cs="Times New Roman"/>
          <w:lang w:eastAsia="sk-SK"/>
        </w:rPr>
        <w:t>sa v roku 2019 rozpočtujú výdavky v sume 1,94 mld. eur. M</w:t>
      </w:r>
      <w:r w:rsidRPr="00D26052">
        <w:rPr>
          <w:rFonts w:ascii="Times New Roman" w:hAnsi="Times New Roman" w:cs="Times New Roman"/>
          <w:lang w:eastAsia="sk-SK"/>
        </w:rPr>
        <w:t>edziročn</w:t>
      </w:r>
      <w:r>
        <w:rPr>
          <w:rFonts w:ascii="Times New Roman" w:hAnsi="Times New Roman" w:cs="Times New Roman"/>
          <w:lang w:eastAsia="sk-SK"/>
        </w:rPr>
        <w:t>e</w:t>
      </w:r>
      <w:r w:rsidRPr="00D26052">
        <w:rPr>
          <w:rFonts w:ascii="Times New Roman" w:hAnsi="Times New Roman" w:cs="Times New Roman"/>
          <w:lang w:eastAsia="sk-SK"/>
        </w:rPr>
        <w:t xml:space="preserve"> </w:t>
      </w:r>
      <w:r>
        <w:rPr>
          <w:rFonts w:ascii="Times New Roman" w:hAnsi="Times New Roman" w:cs="Times New Roman"/>
          <w:lang w:eastAsia="sk-SK"/>
        </w:rPr>
        <w:t xml:space="preserve">rastú </w:t>
      </w:r>
      <w:r w:rsidRPr="00D26052">
        <w:rPr>
          <w:rFonts w:ascii="Times New Roman" w:hAnsi="Times New Roman" w:cs="Times New Roman"/>
          <w:lang w:eastAsia="sk-SK"/>
        </w:rPr>
        <w:t>o</w:t>
      </w:r>
      <w:r>
        <w:rPr>
          <w:rFonts w:ascii="Times New Roman" w:hAnsi="Times New Roman" w:cs="Times New Roman"/>
          <w:lang w:eastAsia="sk-SK"/>
        </w:rPr>
        <w:t> 85,9</w:t>
      </w:r>
      <w:r w:rsidRPr="00D26052">
        <w:rPr>
          <w:rFonts w:ascii="Times New Roman" w:hAnsi="Times New Roman" w:cs="Times New Roman"/>
          <w:lang w:eastAsia="sk-SK"/>
        </w:rPr>
        <w:t xml:space="preserve"> mil. eur, čo predstavuje nárast</w:t>
      </w:r>
      <w:r>
        <w:rPr>
          <w:rFonts w:ascii="Times New Roman" w:hAnsi="Times New Roman" w:cs="Times New Roman"/>
          <w:lang w:eastAsia="sk-SK"/>
        </w:rPr>
        <w:t xml:space="preserve"> </w:t>
      </w:r>
      <w:r w:rsidRPr="00D26052">
        <w:rPr>
          <w:rFonts w:ascii="Times New Roman" w:hAnsi="Times New Roman" w:cs="Times New Roman"/>
          <w:lang w:eastAsia="sk-SK"/>
        </w:rPr>
        <w:t>o</w:t>
      </w:r>
      <w:r>
        <w:rPr>
          <w:rFonts w:ascii="Times New Roman" w:hAnsi="Times New Roman" w:cs="Times New Roman"/>
          <w:lang w:eastAsia="sk-SK"/>
        </w:rPr>
        <w:t> 4,63</w:t>
      </w:r>
      <w:r w:rsidRPr="00D26052">
        <w:rPr>
          <w:rFonts w:ascii="Times New Roman" w:hAnsi="Times New Roman" w:cs="Times New Roman"/>
          <w:lang w:eastAsia="sk-SK"/>
        </w:rPr>
        <w:t xml:space="preserve"> % oproti úrovni schváleného rozpočtu </w:t>
      </w:r>
      <w:r>
        <w:rPr>
          <w:rFonts w:ascii="Times New Roman" w:hAnsi="Times New Roman" w:cs="Times New Roman"/>
          <w:lang w:eastAsia="sk-SK"/>
        </w:rPr>
        <w:t>na</w:t>
      </w:r>
      <w:r w:rsidRPr="00D26052">
        <w:rPr>
          <w:rFonts w:ascii="Times New Roman" w:hAnsi="Times New Roman" w:cs="Times New Roman"/>
          <w:lang w:eastAsia="sk-SK"/>
        </w:rPr>
        <w:t xml:space="preserve"> rok 201</w:t>
      </w:r>
      <w:r>
        <w:rPr>
          <w:rFonts w:ascii="Times New Roman" w:hAnsi="Times New Roman" w:cs="Times New Roman"/>
          <w:lang w:eastAsia="sk-SK"/>
        </w:rPr>
        <w:t>8</w:t>
      </w:r>
      <w:r w:rsidRPr="00D26052">
        <w:rPr>
          <w:rFonts w:ascii="Times New Roman" w:hAnsi="Times New Roman" w:cs="Times New Roman"/>
          <w:lang w:eastAsia="sk-SK"/>
        </w:rPr>
        <w:t>.</w:t>
      </w:r>
      <w:r>
        <w:rPr>
          <w:rFonts w:ascii="Times New Roman" w:hAnsi="Times New Roman" w:cs="Times New Roman"/>
          <w:lang w:eastAsia="sk-SK"/>
        </w:rPr>
        <w:t xml:space="preserve"> </w:t>
      </w:r>
      <w:r w:rsidRPr="007C126B">
        <w:rPr>
          <w:rFonts w:ascii="Times New Roman" w:hAnsi="Times New Roman" w:cs="Times New Roman"/>
          <w:lang w:eastAsia="sk-SK"/>
        </w:rPr>
        <w:t xml:space="preserve">Nárast je spôsobený </w:t>
      </w:r>
      <w:r>
        <w:rPr>
          <w:rFonts w:ascii="Times New Roman" w:hAnsi="Times New Roman" w:cs="Times New Roman"/>
          <w:lang w:eastAsia="sk-SK"/>
        </w:rPr>
        <w:t>najmä vplyvom novelizácie zákonov o</w:t>
      </w:r>
      <w:r w:rsidRPr="00D26052">
        <w:rPr>
          <w:rFonts w:ascii="Times New Roman" w:hAnsi="Times New Roman" w:cs="Times New Roman"/>
          <w:lang w:eastAsia="sk-SK"/>
        </w:rPr>
        <w:t> peňažných príspevkoch na kompenzáciu ťažkého zdravotného postihnutia</w:t>
      </w:r>
      <w:r>
        <w:rPr>
          <w:rFonts w:ascii="Times New Roman" w:hAnsi="Times New Roman" w:cs="Times New Roman"/>
          <w:lang w:eastAsia="sk-SK"/>
        </w:rPr>
        <w:t xml:space="preserve"> a o sociálnoprávnej ochrane detí a o sociálnej kuratele.</w:t>
      </w:r>
    </w:p>
    <w:p w:rsidR="003A497B" w:rsidRDefault="003A497B" w:rsidP="003A497B">
      <w:pPr>
        <w:jc w:val="both"/>
        <w:rPr>
          <w:rFonts w:ascii="Times New Roman" w:hAnsi="Times New Roman" w:cs="Times New Roman"/>
          <w:lang w:eastAsia="sk-SK"/>
        </w:rPr>
      </w:pPr>
    </w:p>
    <w:p w:rsidR="003A497B" w:rsidRPr="00D26052" w:rsidRDefault="003A497B" w:rsidP="003A497B">
      <w:pPr>
        <w:ind w:firstLine="708"/>
        <w:jc w:val="both"/>
        <w:rPr>
          <w:rFonts w:ascii="Times New Roman" w:hAnsi="Times New Roman" w:cs="Times New Roman"/>
          <w:lang w:eastAsia="sk-SK"/>
        </w:rPr>
      </w:pPr>
      <w:r w:rsidRPr="00D26052">
        <w:rPr>
          <w:rFonts w:ascii="Times New Roman" w:hAnsi="Times New Roman" w:cs="Times New Roman"/>
          <w:lang w:eastAsia="sk-SK"/>
        </w:rPr>
        <w:t xml:space="preserve">Kapitálové výdavky </w:t>
      </w:r>
      <w:r>
        <w:rPr>
          <w:rFonts w:ascii="Times New Roman" w:hAnsi="Times New Roman" w:cs="Times New Roman"/>
          <w:lang w:eastAsia="sk-SK"/>
        </w:rPr>
        <w:t xml:space="preserve">na rok 2019 </w:t>
      </w:r>
      <w:r w:rsidRPr="00D26052">
        <w:rPr>
          <w:rFonts w:ascii="Times New Roman" w:hAnsi="Times New Roman" w:cs="Times New Roman"/>
          <w:lang w:eastAsia="sk-SK"/>
        </w:rPr>
        <w:t>kapitola</w:t>
      </w:r>
      <w:r>
        <w:rPr>
          <w:rFonts w:ascii="Times New Roman" w:hAnsi="Times New Roman" w:cs="Times New Roman"/>
          <w:lang w:eastAsia="sk-SK"/>
        </w:rPr>
        <w:t xml:space="preserve"> </w:t>
      </w:r>
      <w:r w:rsidRPr="00D26052">
        <w:rPr>
          <w:rFonts w:ascii="Times New Roman" w:hAnsi="Times New Roman" w:cs="Times New Roman"/>
          <w:lang w:eastAsia="sk-SK"/>
        </w:rPr>
        <w:t xml:space="preserve">rozpísala v sume </w:t>
      </w:r>
      <w:r>
        <w:rPr>
          <w:rFonts w:ascii="Times New Roman" w:hAnsi="Times New Roman" w:cs="Times New Roman"/>
          <w:lang w:eastAsia="sk-SK"/>
        </w:rPr>
        <w:t>6,74</w:t>
      </w:r>
      <w:r w:rsidRPr="00D26052">
        <w:rPr>
          <w:rFonts w:ascii="Times New Roman" w:hAnsi="Times New Roman" w:cs="Times New Roman"/>
          <w:lang w:eastAsia="sk-SK"/>
        </w:rPr>
        <w:t xml:space="preserve"> mil. eur</w:t>
      </w:r>
      <w:r>
        <w:rPr>
          <w:rFonts w:ascii="Times New Roman" w:hAnsi="Times New Roman" w:cs="Times New Roman"/>
          <w:lang w:eastAsia="sk-SK"/>
        </w:rPr>
        <w:t>.</w:t>
      </w:r>
      <w:r w:rsidRPr="00D26052">
        <w:rPr>
          <w:rFonts w:ascii="Times New Roman" w:hAnsi="Times New Roman" w:cs="Times New Roman"/>
          <w:lang w:eastAsia="sk-SK"/>
        </w:rPr>
        <w:t xml:space="preserve"> </w:t>
      </w:r>
      <w:r>
        <w:rPr>
          <w:rFonts w:ascii="Times New Roman" w:hAnsi="Times New Roman" w:cs="Times New Roman"/>
          <w:lang w:eastAsia="sk-SK"/>
        </w:rPr>
        <w:t>V porovnaní so schváleným rozpočtom na rok 2018 rastú o 1,69 mil. eur, t. j. o 33,5 %.</w:t>
      </w:r>
      <w:r w:rsidRPr="00D26052">
        <w:rPr>
          <w:rFonts w:ascii="Times New Roman" w:hAnsi="Times New Roman" w:cs="Times New Roman"/>
          <w:lang w:eastAsia="sk-SK"/>
        </w:rPr>
        <w:t xml:space="preserve"> </w:t>
      </w:r>
    </w:p>
    <w:p w:rsidR="003A497B" w:rsidRDefault="003A497B" w:rsidP="003A497B">
      <w:pPr>
        <w:ind w:firstLine="708"/>
        <w:jc w:val="both"/>
        <w:rPr>
          <w:rFonts w:ascii="Times New Roman" w:hAnsi="Times New Roman" w:cs="Times New Roman"/>
          <w:lang w:eastAsia="sk-SK"/>
        </w:rPr>
      </w:pPr>
    </w:p>
    <w:p w:rsidR="003A497B" w:rsidRDefault="003A497B" w:rsidP="003A497B">
      <w:pPr>
        <w:ind w:firstLine="708"/>
        <w:jc w:val="both"/>
        <w:rPr>
          <w:rFonts w:ascii="Times New Roman" w:hAnsi="Times New Roman" w:cs="Times New Roman"/>
          <w:lang w:eastAsia="sk-SK"/>
        </w:rPr>
      </w:pPr>
      <w:r>
        <w:rPr>
          <w:rFonts w:ascii="Times New Roman" w:hAnsi="Times New Roman" w:cs="Times New Roman"/>
          <w:lang w:eastAsia="sk-SK"/>
        </w:rPr>
        <w:t xml:space="preserve">Kapitola v nadväznosti na § 17 ods. 4 zákona č. 523/2004 Z. z. o rozpočtových pravidlách verejnej správy v znení neskorších predpisov rozpočtuje tiež výdavky zodpovedajúce príjmom z poistného plnenia zo zmluvného poistenia alebo zo zákonného poistenia a príjmom </w:t>
      </w:r>
      <w:r w:rsidRPr="000E6023">
        <w:rPr>
          <w:rFonts w:ascii="Times New Roman" w:hAnsi="Times New Roman" w:cs="Times New Roman"/>
          <w:lang w:eastAsia="sk-SK"/>
        </w:rPr>
        <w:t>od úradu práce, sociálnych vecí a rodiny podľa osobitného predpisu</w:t>
      </w:r>
      <w:r>
        <w:rPr>
          <w:rFonts w:ascii="Times New Roman" w:hAnsi="Times New Roman" w:cs="Times New Roman"/>
          <w:lang w:eastAsia="sk-SK"/>
        </w:rPr>
        <w:t xml:space="preserve"> v celkovej sume 115 tis. eur.</w:t>
      </w:r>
    </w:p>
    <w:p w:rsidR="003A497B" w:rsidRDefault="003A497B" w:rsidP="003A497B">
      <w:pPr>
        <w:ind w:firstLine="708"/>
        <w:jc w:val="both"/>
        <w:rPr>
          <w:rFonts w:ascii="Times New Roman" w:hAnsi="Times New Roman" w:cs="Times New Roman"/>
          <w:lang w:eastAsia="sk-SK"/>
        </w:rPr>
      </w:pPr>
    </w:p>
    <w:p w:rsidR="003A497B" w:rsidRDefault="003A497B" w:rsidP="003A497B">
      <w:pPr>
        <w:ind w:firstLine="708"/>
        <w:jc w:val="both"/>
        <w:rPr>
          <w:rFonts w:ascii="Times New Roman" w:hAnsi="Times New Roman" w:cs="Times New Roman"/>
          <w:lang w:eastAsia="sk-SK"/>
        </w:rPr>
      </w:pPr>
      <w:r>
        <w:rPr>
          <w:rFonts w:ascii="Times New Roman" w:hAnsi="Times New Roman" w:cs="Times New Roman"/>
          <w:lang w:eastAsia="sk-SK"/>
        </w:rPr>
        <w:t>MPSVR SR na roky 2019  až 2021 nerozpočtuje výdavky na samostatných účtoch.</w:t>
      </w:r>
    </w:p>
    <w:p w:rsidR="003A497B" w:rsidRDefault="003A497B" w:rsidP="003A497B">
      <w:pPr>
        <w:ind w:firstLine="708"/>
        <w:jc w:val="both"/>
        <w:rPr>
          <w:rFonts w:ascii="Times New Roman" w:hAnsi="Times New Roman" w:cs="Times New Roman"/>
          <w:lang w:eastAsia="sk-SK"/>
        </w:rPr>
      </w:pPr>
    </w:p>
    <w:p w:rsidR="003A497B" w:rsidRPr="00D26052" w:rsidRDefault="003A497B" w:rsidP="003A497B">
      <w:pPr>
        <w:ind w:firstLine="708"/>
        <w:jc w:val="both"/>
        <w:rPr>
          <w:rFonts w:ascii="Times New Roman" w:hAnsi="Times New Roman" w:cs="Times New Roman"/>
          <w:lang w:eastAsia="sk-SK"/>
        </w:rPr>
      </w:pPr>
      <w:r w:rsidRPr="00D26052">
        <w:rPr>
          <w:rFonts w:ascii="Times New Roman" w:hAnsi="Times New Roman" w:cs="Times New Roman"/>
          <w:lang w:eastAsia="sk-SK"/>
        </w:rPr>
        <w:t>Výdavky kapitoly MPSVR SR sú smerované do nasledovných oblastí:</w:t>
      </w:r>
    </w:p>
    <w:p w:rsidR="003A497B" w:rsidRPr="00F5748F" w:rsidRDefault="003A497B" w:rsidP="003A497B">
      <w:pPr>
        <w:jc w:val="both"/>
        <w:rPr>
          <w:rFonts w:ascii="Times New Roman" w:hAnsi="Times New Roman" w:cs="Times New Roman"/>
          <w:lang w:eastAsia="sk-SK"/>
        </w:rPr>
      </w:pPr>
    </w:p>
    <w:tbl>
      <w:tblPr>
        <w:tblW w:w="5000" w:type="pct"/>
        <w:tblCellMar>
          <w:left w:w="70" w:type="dxa"/>
          <w:right w:w="70" w:type="dxa"/>
        </w:tblCellMar>
        <w:tblLook w:val="04A0" w:firstRow="1" w:lastRow="0" w:firstColumn="1" w:lastColumn="0" w:noHBand="0" w:noVBand="1"/>
      </w:tblPr>
      <w:tblGrid>
        <w:gridCol w:w="1943"/>
        <w:gridCol w:w="1017"/>
        <w:gridCol w:w="1017"/>
        <w:gridCol w:w="1017"/>
        <w:gridCol w:w="1017"/>
        <w:gridCol w:w="1017"/>
        <w:gridCol w:w="1017"/>
        <w:gridCol w:w="1017"/>
      </w:tblGrid>
      <w:tr w:rsidR="003A497B" w:rsidRPr="00D26052" w:rsidTr="003E1809">
        <w:trPr>
          <w:trHeight w:hRule="exact" w:val="284"/>
        </w:trPr>
        <w:tc>
          <w:tcPr>
            <w:tcW w:w="107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v eurách</w:t>
            </w:r>
          </w:p>
        </w:tc>
        <w:tc>
          <w:tcPr>
            <w:tcW w:w="561"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w:t>
            </w:r>
            <w:r w:rsidRPr="00D26052">
              <w:rPr>
                <w:rFonts w:ascii="Times New Roman" w:hAnsi="Times New Roman" w:cs="Times New Roman"/>
                <w:b/>
                <w:bCs/>
                <w:color w:val="000000"/>
                <w:sz w:val="14"/>
                <w:szCs w:val="14"/>
                <w:lang w:eastAsia="sk-SK"/>
              </w:rPr>
              <w:t xml:space="preserve"> S</w:t>
            </w:r>
          </w:p>
        </w:tc>
        <w:tc>
          <w:tcPr>
            <w:tcW w:w="561"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w:t>
            </w:r>
            <w:r w:rsidRPr="00D26052">
              <w:rPr>
                <w:rFonts w:ascii="Times New Roman" w:hAnsi="Times New Roman" w:cs="Times New Roman"/>
                <w:b/>
                <w:bCs/>
                <w:color w:val="000000"/>
                <w:sz w:val="14"/>
                <w:szCs w:val="14"/>
                <w:lang w:eastAsia="sk-SK"/>
              </w:rPr>
              <w:t xml:space="preserve"> S</w:t>
            </w:r>
          </w:p>
        </w:tc>
        <w:tc>
          <w:tcPr>
            <w:tcW w:w="561"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D26052">
              <w:rPr>
                <w:rFonts w:ascii="Times New Roman" w:hAnsi="Times New Roman" w:cs="Times New Roman"/>
                <w:b/>
                <w:bCs/>
                <w:color w:val="000000"/>
                <w:sz w:val="14"/>
                <w:szCs w:val="14"/>
                <w:lang w:eastAsia="sk-SK"/>
              </w:rPr>
              <w:t xml:space="preserve"> R</w:t>
            </w:r>
          </w:p>
        </w:tc>
        <w:tc>
          <w:tcPr>
            <w:tcW w:w="561"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D26052">
              <w:rPr>
                <w:rFonts w:ascii="Times New Roman" w:hAnsi="Times New Roman" w:cs="Times New Roman"/>
                <w:b/>
                <w:bCs/>
                <w:color w:val="000000"/>
                <w:sz w:val="14"/>
                <w:szCs w:val="14"/>
                <w:lang w:eastAsia="sk-SK"/>
              </w:rPr>
              <w:t xml:space="preserve"> OS</w:t>
            </w:r>
          </w:p>
        </w:tc>
        <w:tc>
          <w:tcPr>
            <w:tcW w:w="561"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9</w:t>
            </w:r>
            <w:r w:rsidRPr="00D26052">
              <w:rPr>
                <w:rFonts w:ascii="Times New Roman" w:hAnsi="Times New Roman" w:cs="Times New Roman"/>
                <w:b/>
                <w:bCs/>
                <w:color w:val="000000"/>
                <w:sz w:val="14"/>
                <w:szCs w:val="14"/>
                <w:lang w:eastAsia="sk-SK"/>
              </w:rPr>
              <w:t xml:space="preserve"> N</w:t>
            </w:r>
          </w:p>
        </w:tc>
        <w:tc>
          <w:tcPr>
            <w:tcW w:w="561"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w:t>
            </w:r>
            <w:r>
              <w:rPr>
                <w:rFonts w:ascii="Times New Roman" w:hAnsi="Times New Roman" w:cs="Times New Roman"/>
                <w:b/>
                <w:bCs/>
                <w:color w:val="000000"/>
                <w:sz w:val="14"/>
                <w:szCs w:val="14"/>
                <w:lang w:eastAsia="sk-SK"/>
              </w:rPr>
              <w:t>20</w:t>
            </w:r>
            <w:r w:rsidRPr="00D26052">
              <w:rPr>
                <w:rFonts w:ascii="Times New Roman" w:hAnsi="Times New Roman" w:cs="Times New Roman"/>
                <w:b/>
                <w:bCs/>
                <w:color w:val="000000"/>
                <w:sz w:val="14"/>
                <w:szCs w:val="14"/>
                <w:lang w:eastAsia="sk-SK"/>
              </w:rPr>
              <w:t xml:space="preserve"> N</w:t>
            </w:r>
          </w:p>
        </w:tc>
        <w:tc>
          <w:tcPr>
            <w:tcW w:w="561"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w:t>
            </w:r>
            <w:r>
              <w:rPr>
                <w:rFonts w:ascii="Times New Roman" w:hAnsi="Times New Roman" w:cs="Times New Roman"/>
                <w:b/>
                <w:bCs/>
                <w:color w:val="000000"/>
                <w:sz w:val="14"/>
                <w:szCs w:val="14"/>
                <w:lang w:eastAsia="sk-SK"/>
              </w:rPr>
              <w:t>21</w:t>
            </w:r>
            <w:r w:rsidRPr="00D26052">
              <w:rPr>
                <w:rFonts w:ascii="Times New Roman" w:hAnsi="Times New Roman" w:cs="Times New Roman"/>
                <w:b/>
                <w:bCs/>
                <w:color w:val="000000"/>
                <w:sz w:val="14"/>
                <w:szCs w:val="14"/>
                <w:lang w:eastAsia="sk-SK"/>
              </w:rPr>
              <w:t xml:space="preserve"> N</w:t>
            </w:r>
          </w:p>
        </w:tc>
      </w:tr>
      <w:tr w:rsidR="003A497B" w:rsidRPr="00D26052" w:rsidTr="003E1809">
        <w:trPr>
          <w:trHeight w:hRule="exact" w:val="284"/>
        </w:trPr>
        <w:tc>
          <w:tcPr>
            <w:tcW w:w="107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A497B" w:rsidRPr="00D26052" w:rsidRDefault="003A497B" w:rsidP="003E1809">
            <w:pP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Zdroje príslušnej kapitoly</w:t>
            </w:r>
          </w:p>
        </w:tc>
        <w:tc>
          <w:tcPr>
            <w:tcW w:w="561"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Default="003A497B" w:rsidP="003E1809">
            <w:pPr>
              <w:jc w:val="right"/>
              <w:rPr>
                <w:rFonts w:ascii="Times New Roman" w:hAnsi="Times New Roman" w:cs="Times New Roman"/>
                <w:b/>
                <w:bCs/>
                <w:color w:val="000000"/>
                <w:sz w:val="14"/>
                <w:szCs w:val="14"/>
                <w:lang w:eastAsia="sk-SK"/>
              </w:rPr>
            </w:pPr>
            <w:r w:rsidRPr="000E6023">
              <w:rPr>
                <w:rFonts w:ascii="Times New Roman" w:hAnsi="Times New Roman" w:cs="Times New Roman"/>
                <w:b/>
                <w:bCs/>
                <w:color w:val="000000"/>
                <w:sz w:val="14"/>
                <w:szCs w:val="14"/>
                <w:lang w:eastAsia="sk-SK"/>
              </w:rPr>
              <w:t>2 163 192 565</w:t>
            </w:r>
          </w:p>
        </w:tc>
        <w:tc>
          <w:tcPr>
            <w:tcW w:w="561"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Pr="000E6023" w:rsidRDefault="003A497B" w:rsidP="003E1809">
            <w:pPr>
              <w:jc w:val="right"/>
              <w:rPr>
                <w:rFonts w:ascii="Times New Roman" w:hAnsi="Times New Roman" w:cs="Times New Roman"/>
                <w:b/>
                <w:bCs/>
                <w:color w:val="000000"/>
                <w:sz w:val="14"/>
                <w:szCs w:val="14"/>
                <w:lang w:eastAsia="sk-SK"/>
              </w:rPr>
            </w:pPr>
            <w:r w:rsidRPr="000E6023">
              <w:rPr>
                <w:rFonts w:ascii="Times New Roman" w:hAnsi="Times New Roman" w:cs="Times New Roman"/>
                <w:b/>
                <w:bCs/>
                <w:color w:val="000000"/>
                <w:sz w:val="14"/>
                <w:szCs w:val="14"/>
                <w:lang w:eastAsia="sk-SK"/>
              </w:rPr>
              <w:t>2 185 495 810</w:t>
            </w:r>
          </w:p>
        </w:tc>
        <w:tc>
          <w:tcPr>
            <w:tcW w:w="561"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Pr="000E6023" w:rsidRDefault="003A497B" w:rsidP="003E1809">
            <w:pPr>
              <w:jc w:val="right"/>
              <w:rPr>
                <w:rFonts w:ascii="Times New Roman" w:hAnsi="Times New Roman" w:cs="Times New Roman"/>
                <w:b/>
                <w:bCs/>
                <w:color w:val="000000"/>
                <w:sz w:val="14"/>
                <w:szCs w:val="14"/>
                <w:lang w:eastAsia="sk-SK"/>
              </w:rPr>
            </w:pPr>
            <w:r w:rsidRPr="000E6023">
              <w:rPr>
                <w:rFonts w:ascii="Times New Roman" w:hAnsi="Times New Roman" w:cs="Times New Roman"/>
                <w:b/>
                <w:bCs/>
                <w:color w:val="000000"/>
                <w:sz w:val="14"/>
                <w:szCs w:val="14"/>
                <w:lang w:eastAsia="sk-SK"/>
              </w:rPr>
              <w:t>2 341 250 420</w:t>
            </w:r>
          </w:p>
        </w:tc>
        <w:tc>
          <w:tcPr>
            <w:tcW w:w="561"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Pr="000E6023" w:rsidRDefault="003A497B" w:rsidP="003E1809">
            <w:pPr>
              <w:jc w:val="right"/>
              <w:rPr>
                <w:rFonts w:ascii="Times New Roman" w:hAnsi="Times New Roman" w:cs="Times New Roman"/>
                <w:b/>
                <w:bCs/>
                <w:color w:val="000000"/>
                <w:sz w:val="14"/>
                <w:szCs w:val="14"/>
                <w:lang w:eastAsia="sk-SK"/>
              </w:rPr>
            </w:pPr>
            <w:r w:rsidRPr="006741E9">
              <w:rPr>
                <w:rFonts w:ascii="Times New Roman" w:hAnsi="Times New Roman" w:cs="Times New Roman"/>
                <w:b/>
                <w:bCs/>
                <w:color w:val="000000"/>
                <w:sz w:val="14"/>
                <w:szCs w:val="14"/>
                <w:lang w:eastAsia="sk-SK"/>
              </w:rPr>
              <w:t>2 309 270 461</w:t>
            </w:r>
          </w:p>
        </w:tc>
        <w:tc>
          <w:tcPr>
            <w:tcW w:w="561"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Default="003A497B" w:rsidP="003E1809">
            <w:pPr>
              <w:jc w:val="right"/>
              <w:rPr>
                <w:rFonts w:ascii="Times New Roman" w:hAnsi="Times New Roman" w:cs="Times New Roman"/>
                <w:b/>
                <w:bCs/>
                <w:color w:val="000000"/>
                <w:sz w:val="14"/>
                <w:szCs w:val="14"/>
                <w:lang w:eastAsia="sk-SK"/>
              </w:rPr>
            </w:pPr>
            <w:r w:rsidRPr="00046299">
              <w:rPr>
                <w:rFonts w:ascii="Times New Roman" w:hAnsi="Times New Roman" w:cs="Times New Roman"/>
                <w:b/>
                <w:bCs/>
                <w:color w:val="000000"/>
                <w:sz w:val="14"/>
                <w:szCs w:val="14"/>
                <w:lang w:eastAsia="sk-SK"/>
              </w:rPr>
              <w:t>2 300 897 817</w:t>
            </w:r>
          </w:p>
        </w:tc>
        <w:tc>
          <w:tcPr>
            <w:tcW w:w="561"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Pr="00046299" w:rsidRDefault="003A497B" w:rsidP="003E1809">
            <w:pPr>
              <w:jc w:val="right"/>
              <w:rPr>
                <w:rFonts w:ascii="Times New Roman" w:hAnsi="Times New Roman" w:cs="Times New Roman"/>
                <w:b/>
                <w:bCs/>
                <w:color w:val="000000"/>
                <w:sz w:val="14"/>
                <w:szCs w:val="14"/>
                <w:lang w:eastAsia="sk-SK"/>
              </w:rPr>
            </w:pPr>
            <w:r w:rsidRPr="00046299">
              <w:rPr>
                <w:rFonts w:ascii="Times New Roman" w:hAnsi="Times New Roman" w:cs="Times New Roman"/>
                <w:b/>
                <w:bCs/>
                <w:color w:val="000000"/>
                <w:sz w:val="14"/>
                <w:szCs w:val="14"/>
                <w:lang w:eastAsia="sk-SK"/>
              </w:rPr>
              <w:t>2 496 213 569</w:t>
            </w:r>
          </w:p>
        </w:tc>
        <w:tc>
          <w:tcPr>
            <w:tcW w:w="561"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Pr="00046299" w:rsidRDefault="003A497B" w:rsidP="003E1809">
            <w:pPr>
              <w:jc w:val="right"/>
              <w:rPr>
                <w:rFonts w:ascii="Times New Roman" w:hAnsi="Times New Roman" w:cs="Times New Roman"/>
                <w:b/>
                <w:bCs/>
                <w:color w:val="000000"/>
                <w:sz w:val="14"/>
                <w:szCs w:val="14"/>
                <w:lang w:eastAsia="sk-SK"/>
              </w:rPr>
            </w:pPr>
            <w:r w:rsidRPr="00046299">
              <w:rPr>
                <w:rFonts w:ascii="Times New Roman" w:hAnsi="Times New Roman" w:cs="Times New Roman"/>
                <w:b/>
                <w:bCs/>
                <w:color w:val="000000"/>
                <w:sz w:val="14"/>
                <w:szCs w:val="14"/>
                <w:lang w:eastAsia="sk-SK"/>
              </w:rPr>
              <w:t>2 523 915 722</w:t>
            </w:r>
          </w:p>
        </w:tc>
      </w:tr>
      <w:tr w:rsidR="003A497B" w:rsidRPr="00D26052" w:rsidTr="003E1809">
        <w:trPr>
          <w:trHeight w:hRule="exact" w:val="284"/>
        </w:trPr>
        <w:tc>
          <w:tcPr>
            <w:tcW w:w="1072" w:type="pct"/>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Sociálna inklúzia</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sidRPr="000E6023">
              <w:rPr>
                <w:rFonts w:ascii="Times New Roman" w:hAnsi="Times New Roman" w:cs="Times New Roman"/>
                <w:sz w:val="14"/>
                <w:szCs w:val="14"/>
                <w:lang w:eastAsia="sk-SK"/>
              </w:rPr>
              <w:t>1 737 391 946</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sidRPr="000E6023">
              <w:rPr>
                <w:rFonts w:ascii="Times New Roman" w:hAnsi="Times New Roman" w:cs="Times New Roman"/>
                <w:sz w:val="14"/>
                <w:szCs w:val="14"/>
                <w:lang w:eastAsia="sk-SK"/>
              </w:rPr>
              <w:t>1 746 866 842</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sidRPr="000E6023">
              <w:rPr>
                <w:rFonts w:ascii="Times New Roman" w:hAnsi="Times New Roman" w:cs="Times New Roman"/>
                <w:sz w:val="14"/>
                <w:szCs w:val="14"/>
                <w:lang w:eastAsia="sk-SK"/>
              </w:rPr>
              <w:t>1 887 019 701</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1 826 285 990</w:t>
            </w:r>
          </w:p>
        </w:tc>
        <w:tc>
          <w:tcPr>
            <w:tcW w:w="561" w:type="pct"/>
            <w:tcBorders>
              <w:top w:val="nil"/>
              <w:left w:val="nil"/>
              <w:bottom w:val="single" w:sz="4" w:space="0" w:color="auto"/>
              <w:right w:val="single" w:sz="4" w:space="0" w:color="auto"/>
            </w:tcBorders>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1 972 412 655</w:t>
            </w:r>
          </w:p>
        </w:tc>
        <w:tc>
          <w:tcPr>
            <w:tcW w:w="561" w:type="pct"/>
            <w:tcBorders>
              <w:top w:val="nil"/>
              <w:left w:val="nil"/>
              <w:bottom w:val="single" w:sz="4" w:space="0" w:color="auto"/>
              <w:right w:val="single" w:sz="4" w:space="0" w:color="auto"/>
            </w:tcBorders>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2 021 254 015</w:t>
            </w:r>
          </w:p>
        </w:tc>
        <w:tc>
          <w:tcPr>
            <w:tcW w:w="561" w:type="pct"/>
            <w:tcBorders>
              <w:top w:val="nil"/>
              <w:left w:val="nil"/>
              <w:bottom w:val="single" w:sz="4" w:space="0" w:color="auto"/>
              <w:right w:val="single" w:sz="4" w:space="0" w:color="auto"/>
            </w:tcBorders>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2 050 915 218</w:t>
            </w:r>
          </w:p>
        </w:tc>
      </w:tr>
      <w:tr w:rsidR="003A497B" w:rsidRPr="00D26052" w:rsidTr="003E1809">
        <w:trPr>
          <w:trHeight w:hRule="exact" w:val="284"/>
        </w:trPr>
        <w:tc>
          <w:tcPr>
            <w:tcW w:w="1072" w:type="pct"/>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Politika zamestnanosti</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sidRPr="000E6023">
              <w:rPr>
                <w:rFonts w:ascii="Times New Roman" w:hAnsi="Times New Roman" w:cs="Times New Roman"/>
                <w:sz w:val="14"/>
                <w:szCs w:val="14"/>
                <w:lang w:eastAsia="sk-SK"/>
              </w:rPr>
              <w:t>236 310 365</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sidRPr="000E6023">
              <w:rPr>
                <w:rFonts w:ascii="Times New Roman" w:hAnsi="Times New Roman" w:cs="Times New Roman"/>
                <w:sz w:val="14"/>
                <w:szCs w:val="14"/>
                <w:lang w:eastAsia="sk-SK"/>
              </w:rPr>
              <w:t>241 437 061</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sidRPr="000E6023">
              <w:rPr>
                <w:rFonts w:ascii="Times New Roman" w:hAnsi="Times New Roman" w:cs="Times New Roman"/>
                <w:sz w:val="14"/>
                <w:szCs w:val="14"/>
                <w:lang w:eastAsia="sk-SK"/>
              </w:rPr>
              <w:t>268 424 252</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267 495 037</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sidRPr="000E6023">
              <w:rPr>
                <w:rFonts w:ascii="Times New Roman" w:hAnsi="Times New Roman" w:cs="Times New Roman"/>
                <w:sz w:val="14"/>
                <w:szCs w:val="14"/>
                <w:lang w:eastAsia="sk-SK"/>
              </w:rPr>
              <w:t>134 890 589</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sidRPr="000E6023">
              <w:rPr>
                <w:rFonts w:ascii="Times New Roman" w:hAnsi="Times New Roman" w:cs="Times New Roman"/>
                <w:sz w:val="14"/>
                <w:szCs w:val="14"/>
                <w:lang w:eastAsia="sk-SK"/>
              </w:rPr>
              <w:t>281 860 807</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sidRPr="000E6023">
              <w:rPr>
                <w:rFonts w:ascii="Times New Roman" w:hAnsi="Times New Roman" w:cs="Times New Roman"/>
                <w:sz w:val="14"/>
                <w:szCs w:val="14"/>
                <w:lang w:eastAsia="sk-SK"/>
              </w:rPr>
              <w:t>279 901 757</w:t>
            </w:r>
          </w:p>
        </w:tc>
      </w:tr>
      <w:tr w:rsidR="003A497B" w:rsidRPr="00D26052" w:rsidTr="003E1809">
        <w:trPr>
          <w:trHeight w:hRule="exact" w:val="284"/>
        </w:trPr>
        <w:tc>
          <w:tcPr>
            <w:tcW w:w="1072" w:type="pct"/>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 xml:space="preserve">Inštitucionálna podpora </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sidRPr="000E6023">
              <w:rPr>
                <w:rFonts w:ascii="Times New Roman" w:hAnsi="Times New Roman" w:cs="Times New Roman"/>
                <w:sz w:val="14"/>
                <w:szCs w:val="14"/>
                <w:lang w:eastAsia="sk-SK"/>
              </w:rPr>
              <w:t>189 490 254</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sidRPr="000E6023">
              <w:rPr>
                <w:rFonts w:ascii="Times New Roman" w:hAnsi="Times New Roman" w:cs="Times New Roman"/>
                <w:sz w:val="14"/>
                <w:szCs w:val="14"/>
                <w:lang w:eastAsia="sk-SK"/>
              </w:rPr>
              <w:t>175 394 466</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sidRPr="000E6023">
              <w:rPr>
                <w:rFonts w:ascii="Times New Roman" w:hAnsi="Times New Roman" w:cs="Times New Roman"/>
                <w:sz w:val="14"/>
                <w:szCs w:val="14"/>
                <w:lang w:eastAsia="sk-SK"/>
              </w:rPr>
              <w:t>168 601 513</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186 782 434</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sidRPr="000E6023">
              <w:rPr>
                <w:rFonts w:ascii="Times New Roman" w:hAnsi="Times New Roman" w:cs="Times New Roman"/>
                <w:sz w:val="14"/>
                <w:szCs w:val="14"/>
                <w:lang w:eastAsia="sk-SK"/>
              </w:rPr>
              <w:t>176 131 319</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sidRPr="000E6023">
              <w:rPr>
                <w:rFonts w:ascii="Times New Roman" w:hAnsi="Times New Roman" w:cs="Times New Roman"/>
                <w:sz w:val="14"/>
                <w:szCs w:val="14"/>
                <w:lang w:eastAsia="sk-SK"/>
              </w:rPr>
              <w:t>175 952 793</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sidRPr="000E6023">
              <w:rPr>
                <w:rFonts w:ascii="Times New Roman" w:hAnsi="Times New Roman" w:cs="Times New Roman"/>
                <w:sz w:val="14"/>
                <w:szCs w:val="14"/>
                <w:lang w:eastAsia="sk-SK"/>
              </w:rPr>
              <w:t>175 952 793</w:t>
            </w:r>
          </w:p>
        </w:tc>
      </w:tr>
      <w:tr w:rsidR="003A497B" w:rsidRPr="00D26052" w:rsidTr="003E1809">
        <w:trPr>
          <w:trHeight w:hRule="exact" w:val="284"/>
        </w:trPr>
        <w:tc>
          <w:tcPr>
            <w:tcW w:w="1072" w:type="pct"/>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Informačné technológie</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sidRPr="000E6023">
              <w:rPr>
                <w:rFonts w:ascii="Times New Roman" w:hAnsi="Times New Roman" w:cs="Times New Roman"/>
                <w:sz w:val="14"/>
                <w:szCs w:val="14"/>
                <w:lang w:eastAsia="sk-SK"/>
              </w:rPr>
              <w:t>0</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sidRPr="000E6023">
              <w:rPr>
                <w:rFonts w:ascii="Times New Roman" w:hAnsi="Times New Roman" w:cs="Times New Roman"/>
                <w:sz w:val="14"/>
                <w:szCs w:val="14"/>
                <w:lang w:eastAsia="sk-SK"/>
              </w:rPr>
              <w:t>21 797 441</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sidRPr="000E6023">
              <w:rPr>
                <w:rFonts w:ascii="Times New Roman" w:hAnsi="Times New Roman" w:cs="Times New Roman"/>
                <w:sz w:val="14"/>
                <w:szCs w:val="14"/>
                <w:lang w:eastAsia="sk-SK"/>
              </w:rPr>
              <w:t>17 204 954</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28 707 000</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sidRPr="000E6023">
              <w:rPr>
                <w:rFonts w:ascii="Times New Roman" w:hAnsi="Times New Roman" w:cs="Times New Roman"/>
                <w:sz w:val="14"/>
                <w:szCs w:val="14"/>
                <w:lang w:eastAsia="sk-SK"/>
              </w:rPr>
              <w:t>17 463 254</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sidRPr="000E6023">
              <w:rPr>
                <w:rFonts w:ascii="Times New Roman" w:hAnsi="Times New Roman" w:cs="Times New Roman"/>
                <w:sz w:val="14"/>
                <w:szCs w:val="14"/>
                <w:lang w:eastAsia="sk-SK"/>
              </w:rPr>
              <w:t>17 145 954</w:t>
            </w:r>
          </w:p>
        </w:tc>
        <w:tc>
          <w:tcPr>
            <w:tcW w:w="561" w:type="pct"/>
            <w:tcBorders>
              <w:top w:val="nil"/>
              <w:left w:val="nil"/>
              <w:bottom w:val="single" w:sz="4" w:space="0" w:color="auto"/>
              <w:right w:val="single" w:sz="4" w:space="0" w:color="auto"/>
            </w:tcBorders>
            <w:shd w:val="clear" w:color="auto" w:fill="auto"/>
            <w:vAlign w:val="bottom"/>
            <w:hideMark/>
          </w:tcPr>
          <w:p w:rsidR="003A497B" w:rsidRPr="000E6023" w:rsidRDefault="003A497B" w:rsidP="003E1809">
            <w:pPr>
              <w:jc w:val="right"/>
              <w:rPr>
                <w:rFonts w:ascii="Times New Roman" w:hAnsi="Times New Roman" w:cs="Times New Roman"/>
                <w:sz w:val="14"/>
                <w:szCs w:val="14"/>
                <w:lang w:eastAsia="sk-SK"/>
              </w:rPr>
            </w:pPr>
            <w:r w:rsidRPr="000E6023">
              <w:rPr>
                <w:rFonts w:ascii="Times New Roman" w:hAnsi="Times New Roman" w:cs="Times New Roman"/>
                <w:sz w:val="14"/>
                <w:szCs w:val="14"/>
                <w:lang w:eastAsia="sk-SK"/>
              </w:rPr>
              <w:t>17 145 954</w:t>
            </w:r>
          </w:p>
        </w:tc>
      </w:tr>
    </w:tbl>
    <w:p w:rsidR="003A497B" w:rsidRDefault="003A497B" w:rsidP="003A497B">
      <w:pPr>
        <w:contextualSpacing/>
        <w:jc w:val="both"/>
        <w:rPr>
          <w:rFonts w:ascii="Times New Roman" w:hAnsi="Times New Roman" w:cs="Times New Roman"/>
          <w:b/>
          <w:lang w:eastAsia="sk-SK"/>
        </w:rPr>
      </w:pPr>
    </w:p>
    <w:p w:rsidR="003A497B" w:rsidRDefault="003A497B" w:rsidP="003A497B">
      <w:pPr>
        <w:contextualSpacing/>
        <w:jc w:val="both"/>
        <w:rPr>
          <w:rFonts w:ascii="Times New Roman" w:hAnsi="Times New Roman" w:cs="Times New Roman"/>
          <w:b/>
          <w:lang w:eastAsia="sk-SK"/>
        </w:rPr>
      </w:pPr>
    </w:p>
    <w:p w:rsidR="003A497B" w:rsidRDefault="003A497B" w:rsidP="003A497B">
      <w:pPr>
        <w:contextualSpacing/>
        <w:jc w:val="both"/>
        <w:rPr>
          <w:rFonts w:ascii="Times New Roman" w:hAnsi="Times New Roman" w:cs="Times New Roman"/>
          <w:b/>
          <w:lang w:eastAsia="sk-SK"/>
        </w:rPr>
      </w:pPr>
    </w:p>
    <w:p w:rsidR="003A497B" w:rsidRDefault="003A497B" w:rsidP="003A497B">
      <w:pPr>
        <w:contextualSpacing/>
        <w:jc w:val="both"/>
        <w:rPr>
          <w:rFonts w:ascii="Times New Roman" w:hAnsi="Times New Roman" w:cs="Times New Roman"/>
          <w:b/>
          <w:lang w:eastAsia="sk-SK"/>
        </w:rPr>
      </w:pPr>
    </w:p>
    <w:p w:rsidR="003A497B" w:rsidRDefault="003A497B" w:rsidP="003A497B">
      <w:pPr>
        <w:contextualSpacing/>
        <w:jc w:val="both"/>
        <w:rPr>
          <w:rFonts w:ascii="Times New Roman" w:hAnsi="Times New Roman" w:cs="Times New Roman"/>
          <w:b/>
          <w:lang w:eastAsia="sk-SK"/>
        </w:rPr>
      </w:pPr>
    </w:p>
    <w:p w:rsidR="003A497B" w:rsidRDefault="003A497B" w:rsidP="003A497B">
      <w:pPr>
        <w:contextualSpacing/>
        <w:jc w:val="both"/>
        <w:rPr>
          <w:rFonts w:ascii="Times New Roman" w:hAnsi="Times New Roman" w:cs="Times New Roman"/>
          <w:b/>
          <w:lang w:eastAsia="sk-SK"/>
        </w:rPr>
      </w:pPr>
    </w:p>
    <w:p w:rsidR="003A497B" w:rsidRPr="00D26052" w:rsidRDefault="003A497B" w:rsidP="003A497B">
      <w:pPr>
        <w:contextualSpacing/>
        <w:jc w:val="both"/>
        <w:rPr>
          <w:rFonts w:ascii="Times New Roman" w:hAnsi="Times New Roman" w:cs="Times New Roman"/>
          <w:b/>
          <w:lang w:eastAsia="sk-SK"/>
        </w:rPr>
      </w:pPr>
      <w:r w:rsidRPr="00D26052">
        <w:rPr>
          <w:rFonts w:ascii="Times New Roman" w:hAnsi="Times New Roman" w:cs="Times New Roman"/>
          <w:b/>
          <w:lang w:eastAsia="sk-SK"/>
        </w:rPr>
        <w:lastRenderedPageBreak/>
        <w:t>Sociálna inklúzia</w:t>
      </w:r>
    </w:p>
    <w:p w:rsidR="003A497B" w:rsidRPr="00D26052" w:rsidRDefault="003A497B" w:rsidP="003A497B">
      <w:pPr>
        <w:jc w:val="both"/>
        <w:rPr>
          <w:rFonts w:ascii="Arial Narrow" w:hAnsi="Arial Narrow" w:cs="Times New Roman"/>
          <w:b/>
          <w:sz w:val="22"/>
          <w:szCs w:val="22"/>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5"/>
        <w:gridCol w:w="945"/>
        <w:gridCol w:w="945"/>
        <w:gridCol w:w="945"/>
        <w:gridCol w:w="945"/>
        <w:gridCol w:w="945"/>
        <w:gridCol w:w="945"/>
        <w:gridCol w:w="945"/>
      </w:tblGrid>
      <w:tr w:rsidR="003A497B" w:rsidRPr="00D26052" w:rsidTr="003E1809">
        <w:trPr>
          <w:trHeight w:hRule="exact" w:val="255"/>
        </w:trPr>
        <w:tc>
          <w:tcPr>
            <w:tcW w:w="0" w:type="auto"/>
            <w:shd w:val="clear" w:color="auto" w:fill="A6A6A6" w:themeFill="background1" w:themeFillShade="A6"/>
            <w:noWrap/>
            <w:vAlign w:val="center"/>
            <w:hideMark/>
          </w:tcPr>
          <w:p w:rsidR="003A497B" w:rsidRPr="00D26052" w:rsidRDefault="003A497B" w:rsidP="003E1809">
            <w:pP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v eurách</w:t>
            </w:r>
          </w:p>
        </w:tc>
        <w:tc>
          <w:tcPr>
            <w:tcW w:w="0" w:type="auto"/>
            <w:shd w:val="clear" w:color="auto" w:fill="A6A6A6" w:themeFill="background1" w:themeFillShade="A6"/>
            <w:noWrap/>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w:t>
            </w:r>
            <w:r w:rsidRPr="00D26052">
              <w:rPr>
                <w:rFonts w:ascii="Times New Roman" w:hAnsi="Times New Roman" w:cs="Times New Roman"/>
                <w:b/>
                <w:bCs/>
                <w:color w:val="000000"/>
                <w:sz w:val="14"/>
                <w:szCs w:val="14"/>
                <w:lang w:eastAsia="sk-SK"/>
              </w:rPr>
              <w:t xml:space="preserve"> S</w:t>
            </w:r>
          </w:p>
        </w:tc>
        <w:tc>
          <w:tcPr>
            <w:tcW w:w="0" w:type="auto"/>
            <w:shd w:val="clear" w:color="auto" w:fill="A6A6A6" w:themeFill="background1" w:themeFillShade="A6"/>
            <w:noWrap/>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w:t>
            </w:r>
            <w:r w:rsidRPr="00D26052">
              <w:rPr>
                <w:rFonts w:ascii="Times New Roman" w:hAnsi="Times New Roman" w:cs="Times New Roman"/>
                <w:b/>
                <w:bCs/>
                <w:color w:val="000000"/>
                <w:sz w:val="14"/>
                <w:szCs w:val="14"/>
                <w:lang w:eastAsia="sk-SK"/>
              </w:rPr>
              <w:t xml:space="preserve"> S</w:t>
            </w:r>
          </w:p>
        </w:tc>
        <w:tc>
          <w:tcPr>
            <w:tcW w:w="0" w:type="auto"/>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D26052">
              <w:rPr>
                <w:rFonts w:ascii="Times New Roman" w:hAnsi="Times New Roman" w:cs="Times New Roman"/>
                <w:b/>
                <w:bCs/>
                <w:color w:val="000000"/>
                <w:sz w:val="14"/>
                <w:szCs w:val="14"/>
                <w:lang w:eastAsia="sk-SK"/>
              </w:rPr>
              <w:t xml:space="preserve"> R</w:t>
            </w:r>
          </w:p>
        </w:tc>
        <w:tc>
          <w:tcPr>
            <w:tcW w:w="0" w:type="auto"/>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D26052">
              <w:rPr>
                <w:rFonts w:ascii="Times New Roman" w:hAnsi="Times New Roman" w:cs="Times New Roman"/>
                <w:b/>
                <w:bCs/>
                <w:color w:val="000000"/>
                <w:sz w:val="14"/>
                <w:szCs w:val="14"/>
                <w:lang w:eastAsia="sk-SK"/>
              </w:rPr>
              <w:t xml:space="preserve"> OS</w:t>
            </w:r>
          </w:p>
        </w:tc>
        <w:tc>
          <w:tcPr>
            <w:tcW w:w="0" w:type="auto"/>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9</w:t>
            </w:r>
            <w:r w:rsidRPr="00D26052">
              <w:rPr>
                <w:rFonts w:ascii="Times New Roman" w:hAnsi="Times New Roman" w:cs="Times New Roman"/>
                <w:b/>
                <w:bCs/>
                <w:color w:val="000000"/>
                <w:sz w:val="14"/>
                <w:szCs w:val="14"/>
                <w:lang w:eastAsia="sk-SK"/>
              </w:rPr>
              <w:t xml:space="preserve"> N</w:t>
            </w:r>
          </w:p>
        </w:tc>
        <w:tc>
          <w:tcPr>
            <w:tcW w:w="0" w:type="auto"/>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w:t>
            </w:r>
            <w:r>
              <w:rPr>
                <w:rFonts w:ascii="Times New Roman" w:hAnsi="Times New Roman" w:cs="Times New Roman"/>
                <w:b/>
                <w:bCs/>
                <w:color w:val="000000"/>
                <w:sz w:val="14"/>
                <w:szCs w:val="14"/>
                <w:lang w:eastAsia="sk-SK"/>
              </w:rPr>
              <w:t>20</w:t>
            </w:r>
            <w:r w:rsidRPr="00D26052">
              <w:rPr>
                <w:rFonts w:ascii="Times New Roman" w:hAnsi="Times New Roman" w:cs="Times New Roman"/>
                <w:b/>
                <w:bCs/>
                <w:color w:val="000000"/>
                <w:sz w:val="14"/>
                <w:szCs w:val="14"/>
                <w:lang w:eastAsia="sk-SK"/>
              </w:rPr>
              <w:t xml:space="preserve"> N</w:t>
            </w:r>
          </w:p>
        </w:tc>
        <w:tc>
          <w:tcPr>
            <w:tcW w:w="0" w:type="auto"/>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w:t>
            </w:r>
            <w:r>
              <w:rPr>
                <w:rFonts w:ascii="Times New Roman" w:hAnsi="Times New Roman" w:cs="Times New Roman"/>
                <w:b/>
                <w:bCs/>
                <w:color w:val="000000"/>
                <w:sz w:val="14"/>
                <w:szCs w:val="14"/>
                <w:lang w:eastAsia="sk-SK"/>
              </w:rPr>
              <w:t>21</w:t>
            </w:r>
            <w:r w:rsidRPr="00D26052">
              <w:rPr>
                <w:rFonts w:ascii="Times New Roman" w:hAnsi="Times New Roman" w:cs="Times New Roman"/>
                <w:b/>
                <w:bCs/>
                <w:color w:val="000000"/>
                <w:sz w:val="14"/>
                <w:szCs w:val="14"/>
                <w:lang w:eastAsia="sk-SK"/>
              </w:rPr>
              <w:t xml:space="preserve"> N</w:t>
            </w:r>
          </w:p>
        </w:tc>
      </w:tr>
      <w:tr w:rsidR="003A497B" w:rsidRPr="00D26052" w:rsidTr="003E1809">
        <w:trPr>
          <w:trHeight w:hRule="exact" w:val="255"/>
        </w:trPr>
        <w:tc>
          <w:tcPr>
            <w:tcW w:w="0" w:type="auto"/>
            <w:shd w:val="clear" w:color="auto" w:fill="BFBFBF" w:themeFill="background1" w:themeFillShade="BF"/>
            <w:noWrap/>
            <w:vAlign w:val="bottom"/>
            <w:hideMark/>
          </w:tcPr>
          <w:p w:rsidR="003A497B" w:rsidRPr="00D26052" w:rsidRDefault="003A497B" w:rsidP="003E1809">
            <w:pP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Sociálna inklúzia zdroje spolu</w:t>
            </w:r>
          </w:p>
        </w:tc>
        <w:tc>
          <w:tcPr>
            <w:tcW w:w="0" w:type="auto"/>
            <w:shd w:val="clear" w:color="auto" w:fill="BFBFBF" w:themeFill="background1" w:themeFillShade="BF"/>
            <w:vAlign w:val="bottom"/>
            <w:hideMark/>
          </w:tcPr>
          <w:p w:rsidR="003A497B" w:rsidRPr="0076653B" w:rsidRDefault="003A497B" w:rsidP="003E1809">
            <w:pPr>
              <w:jc w:val="right"/>
              <w:rPr>
                <w:rFonts w:ascii="Times New Roman" w:hAnsi="Times New Roman" w:cs="Times New Roman"/>
                <w:b/>
                <w:bCs/>
                <w:color w:val="000000"/>
                <w:sz w:val="14"/>
                <w:szCs w:val="14"/>
                <w:lang w:eastAsia="sk-SK"/>
              </w:rPr>
            </w:pPr>
            <w:r w:rsidRPr="0076653B">
              <w:rPr>
                <w:rFonts w:ascii="Times New Roman" w:hAnsi="Times New Roman" w:cs="Times New Roman"/>
                <w:b/>
                <w:bCs/>
                <w:color w:val="000000"/>
                <w:sz w:val="14"/>
                <w:szCs w:val="14"/>
                <w:lang w:eastAsia="sk-SK"/>
              </w:rPr>
              <w:t>1 737 391 946</w:t>
            </w:r>
          </w:p>
        </w:tc>
        <w:tc>
          <w:tcPr>
            <w:tcW w:w="0" w:type="auto"/>
            <w:shd w:val="clear" w:color="auto" w:fill="BFBFBF" w:themeFill="background1" w:themeFillShade="BF"/>
            <w:vAlign w:val="bottom"/>
            <w:hideMark/>
          </w:tcPr>
          <w:p w:rsidR="003A497B" w:rsidRPr="0076653B" w:rsidRDefault="003A497B" w:rsidP="003E1809">
            <w:pPr>
              <w:jc w:val="right"/>
              <w:rPr>
                <w:rFonts w:ascii="Times New Roman" w:hAnsi="Times New Roman" w:cs="Times New Roman"/>
                <w:b/>
                <w:bCs/>
                <w:color w:val="000000"/>
                <w:sz w:val="14"/>
                <w:szCs w:val="14"/>
                <w:lang w:eastAsia="sk-SK"/>
              </w:rPr>
            </w:pPr>
            <w:r w:rsidRPr="0076653B">
              <w:rPr>
                <w:rFonts w:ascii="Times New Roman" w:hAnsi="Times New Roman" w:cs="Times New Roman"/>
                <w:b/>
                <w:bCs/>
                <w:color w:val="000000"/>
                <w:sz w:val="14"/>
                <w:szCs w:val="14"/>
                <w:lang w:eastAsia="sk-SK"/>
              </w:rPr>
              <w:t>1 746 866 842</w:t>
            </w:r>
          </w:p>
        </w:tc>
        <w:tc>
          <w:tcPr>
            <w:tcW w:w="0" w:type="auto"/>
            <w:shd w:val="clear" w:color="auto" w:fill="BFBFBF" w:themeFill="background1" w:themeFillShade="BF"/>
            <w:vAlign w:val="bottom"/>
            <w:hideMark/>
          </w:tcPr>
          <w:p w:rsidR="003A497B" w:rsidRPr="0076653B" w:rsidRDefault="003A497B" w:rsidP="003E1809">
            <w:pPr>
              <w:jc w:val="right"/>
              <w:rPr>
                <w:rFonts w:ascii="Times New Roman" w:hAnsi="Times New Roman" w:cs="Times New Roman"/>
                <w:b/>
                <w:bCs/>
                <w:color w:val="000000"/>
                <w:sz w:val="14"/>
                <w:szCs w:val="14"/>
                <w:lang w:eastAsia="sk-SK"/>
              </w:rPr>
            </w:pPr>
            <w:r w:rsidRPr="0076653B">
              <w:rPr>
                <w:rFonts w:ascii="Times New Roman" w:hAnsi="Times New Roman" w:cs="Times New Roman"/>
                <w:b/>
                <w:bCs/>
                <w:color w:val="000000"/>
                <w:sz w:val="14"/>
                <w:szCs w:val="14"/>
                <w:lang w:eastAsia="sk-SK"/>
              </w:rPr>
              <w:t>1 887 019 701</w:t>
            </w:r>
          </w:p>
        </w:tc>
        <w:tc>
          <w:tcPr>
            <w:tcW w:w="0" w:type="auto"/>
            <w:shd w:val="clear" w:color="auto" w:fill="BFBFBF" w:themeFill="background1" w:themeFillShade="BF"/>
            <w:vAlign w:val="bottom"/>
            <w:hideMark/>
          </w:tcPr>
          <w:p w:rsidR="003A497B" w:rsidRPr="0076653B" w:rsidRDefault="003A497B" w:rsidP="003E1809">
            <w:pPr>
              <w:jc w:val="right"/>
              <w:rPr>
                <w:rFonts w:ascii="Times New Roman" w:hAnsi="Times New Roman" w:cs="Times New Roman"/>
                <w:b/>
                <w:bCs/>
                <w:color w:val="000000"/>
                <w:sz w:val="14"/>
                <w:szCs w:val="14"/>
                <w:lang w:eastAsia="sk-SK"/>
              </w:rPr>
            </w:pPr>
            <w:r w:rsidRPr="004A683F">
              <w:rPr>
                <w:rFonts w:ascii="Times New Roman" w:hAnsi="Times New Roman" w:cs="Times New Roman"/>
                <w:b/>
                <w:bCs/>
                <w:color w:val="000000"/>
                <w:sz w:val="14"/>
                <w:szCs w:val="14"/>
                <w:lang w:eastAsia="sk-SK"/>
              </w:rPr>
              <w:t>1 826 285 990</w:t>
            </w:r>
          </w:p>
        </w:tc>
        <w:tc>
          <w:tcPr>
            <w:tcW w:w="0" w:type="auto"/>
            <w:shd w:val="clear" w:color="auto" w:fill="BFBFBF" w:themeFill="background1" w:themeFillShade="BF"/>
            <w:vAlign w:val="bottom"/>
            <w:hideMark/>
          </w:tcPr>
          <w:p w:rsidR="003A497B" w:rsidRPr="00046299" w:rsidRDefault="003A497B" w:rsidP="003E1809">
            <w:pPr>
              <w:jc w:val="right"/>
              <w:rPr>
                <w:rFonts w:ascii="Times New Roman" w:hAnsi="Times New Roman" w:cs="Times New Roman"/>
                <w:b/>
                <w:bCs/>
                <w:color w:val="000000"/>
                <w:sz w:val="14"/>
                <w:szCs w:val="14"/>
                <w:lang w:eastAsia="sk-SK"/>
              </w:rPr>
            </w:pPr>
            <w:r w:rsidRPr="00046299">
              <w:rPr>
                <w:rFonts w:ascii="Times New Roman" w:hAnsi="Times New Roman" w:cs="Times New Roman"/>
                <w:b/>
                <w:bCs/>
                <w:color w:val="000000"/>
                <w:sz w:val="14"/>
                <w:szCs w:val="14"/>
                <w:lang w:eastAsia="sk-SK"/>
              </w:rPr>
              <w:t>1 972 412 655</w:t>
            </w:r>
          </w:p>
        </w:tc>
        <w:tc>
          <w:tcPr>
            <w:tcW w:w="0" w:type="auto"/>
            <w:shd w:val="clear" w:color="auto" w:fill="BFBFBF" w:themeFill="background1" w:themeFillShade="BF"/>
            <w:vAlign w:val="bottom"/>
            <w:hideMark/>
          </w:tcPr>
          <w:p w:rsidR="003A497B" w:rsidRPr="00046299" w:rsidRDefault="003A497B" w:rsidP="003E1809">
            <w:pPr>
              <w:jc w:val="right"/>
              <w:rPr>
                <w:rFonts w:ascii="Times New Roman" w:hAnsi="Times New Roman" w:cs="Times New Roman"/>
                <w:b/>
                <w:bCs/>
                <w:color w:val="000000"/>
                <w:sz w:val="14"/>
                <w:szCs w:val="14"/>
                <w:lang w:eastAsia="sk-SK"/>
              </w:rPr>
            </w:pPr>
            <w:r w:rsidRPr="00046299">
              <w:rPr>
                <w:rFonts w:ascii="Times New Roman" w:hAnsi="Times New Roman" w:cs="Times New Roman"/>
                <w:b/>
                <w:bCs/>
                <w:color w:val="000000"/>
                <w:sz w:val="14"/>
                <w:szCs w:val="14"/>
                <w:lang w:eastAsia="sk-SK"/>
              </w:rPr>
              <w:t>2 021 254 015</w:t>
            </w:r>
          </w:p>
        </w:tc>
        <w:tc>
          <w:tcPr>
            <w:tcW w:w="0" w:type="auto"/>
            <w:shd w:val="clear" w:color="auto" w:fill="BFBFBF" w:themeFill="background1" w:themeFillShade="BF"/>
            <w:vAlign w:val="bottom"/>
            <w:hideMark/>
          </w:tcPr>
          <w:p w:rsidR="003A497B" w:rsidRPr="00046299" w:rsidRDefault="003A497B" w:rsidP="003E1809">
            <w:pPr>
              <w:jc w:val="right"/>
              <w:rPr>
                <w:rFonts w:ascii="Times New Roman" w:hAnsi="Times New Roman" w:cs="Times New Roman"/>
                <w:b/>
                <w:bCs/>
                <w:color w:val="000000"/>
                <w:sz w:val="14"/>
                <w:szCs w:val="14"/>
                <w:lang w:eastAsia="sk-SK"/>
              </w:rPr>
            </w:pPr>
            <w:r w:rsidRPr="00046299">
              <w:rPr>
                <w:rFonts w:ascii="Times New Roman" w:hAnsi="Times New Roman" w:cs="Times New Roman"/>
                <w:b/>
                <w:bCs/>
                <w:color w:val="000000"/>
                <w:sz w:val="14"/>
                <w:szCs w:val="14"/>
                <w:lang w:eastAsia="sk-SK"/>
              </w:rPr>
              <w:t>2 050 915 218</w:t>
            </w:r>
          </w:p>
        </w:tc>
      </w:tr>
      <w:tr w:rsidR="003A497B" w:rsidRPr="00D26052" w:rsidTr="003E1809">
        <w:trPr>
          <w:trHeight w:hRule="exact" w:val="255"/>
        </w:trPr>
        <w:tc>
          <w:tcPr>
            <w:tcW w:w="0" w:type="auto"/>
            <w:shd w:val="clear" w:color="auto" w:fill="auto"/>
            <w:noWrap/>
            <w:vAlign w:val="bottom"/>
            <w:hideMark/>
          </w:tcPr>
          <w:p w:rsidR="003A497B" w:rsidRPr="00D26052" w:rsidRDefault="003A497B" w:rsidP="003E1809">
            <w:pPr>
              <w:rPr>
                <w:rFonts w:ascii="Times New Roman" w:hAnsi="Times New Roman" w:cs="Times New Roman"/>
                <w:b/>
                <w:bCs/>
                <w:sz w:val="14"/>
                <w:szCs w:val="14"/>
                <w:lang w:eastAsia="sk-SK"/>
              </w:rPr>
            </w:pPr>
            <w:r w:rsidRPr="00D26052">
              <w:rPr>
                <w:rFonts w:ascii="Times New Roman" w:hAnsi="Times New Roman" w:cs="Times New Roman"/>
                <w:b/>
                <w:bCs/>
                <w:sz w:val="14"/>
                <w:szCs w:val="14"/>
                <w:lang w:eastAsia="sk-SK"/>
              </w:rPr>
              <w:t>EÚ zdroje + spolufinancovanie</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b/>
                <w:bCs/>
                <w:color w:val="000000"/>
                <w:sz w:val="14"/>
                <w:szCs w:val="14"/>
                <w:lang w:eastAsia="sk-SK"/>
              </w:rPr>
            </w:pPr>
            <w:r w:rsidRPr="0076653B">
              <w:rPr>
                <w:rFonts w:ascii="Times New Roman" w:hAnsi="Times New Roman" w:cs="Times New Roman"/>
                <w:b/>
                <w:bCs/>
                <w:color w:val="000000"/>
                <w:sz w:val="14"/>
                <w:szCs w:val="14"/>
                <w:lang w:eastAsia="sk-SK"/>
              </w:rPr>
              <w:t>179 886</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b/>
                <w:bCs/>
                <w:color w:val="000000"/>
                <w:sz w:val="14"/>
                <w:szCs w:val="14"/>
                <w:lang w:eastAsia="sk-SK"/>
              </w:rPr>
            </w:pPr>
            <w:r w:rsidRPr="0076653B">
              <w:rPr>
                <w:rFonts w:ascii="Times New Roman" w:hAnsi="Times New Roman" w:cs="Times New Roman"/>
                <w:b/>
                <w:bCs/>
                <w:color w:val="000000"/>
                <w:sz w:val="14"/>
                <w:szCs w:val="14"/>
                <w:lang w:eastAsia="sk-SK"/>
              </w:rPr>
              <w:t>4 878 807</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b/>
                <w:bCs/>
                <w:color w:val="000000"/>
                <w:sz w:val="14"/>
                <w:szCs w:val="14"/>
                <w:lang w:eastAsia="sk-SK"/>
              </w:rPr>
            </w:pPr>
            <w:r w:rsidRPr="0076653B">
              <w:rPr>
                <w:rFonts w:ascii="Times New Roman" w:hAnsi="Times New Roman" w:cs="Times New Roman"/>
                <w:b/>
                <w:bCs/>
                <w:color w:val="000000"/>
                <w:sz w:val="14"/>
                <w:szCs w:val="14"/>
                <w:lang w:eastAsia="sk-SK"/>
              </w:rPr>
              <w:t>10 024 989</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b/>
                <w:bCs/>
                <w:color w:val="000000"/>
                <w:sz w:val="14"/>
                <w:szCs w:val="14"/>
                <w:lang w:eastAsia="sk-SK"/>
              </w:rPr>
            </w:pPr>
            <w:r w:rsidRPr="004A683F">
              <w:rPr>
                <w:rFonts w:ascii="Times New Roman" w:hAnsi="Times New Roman" w:cs="Times New Roman"/>
                <w:b/>
                <w:bCs/>
                <w:color w:val="000000"/>
                <w:sz w:val="14"/>
                <w:szCs w:val="14"/>
                <w:lang w:eastAsia="sk-SK"/>
              </w:rPr>
              <w:t>3 253 012</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b/>
                <w:bCs/>
                <w:color w:val="000000"/>
                <w:sz w:val="14"/>
                <w:szCs w:val="14"/>
                <w:lang w:eastAsia="sk-SK"/>
              </w:rPr>
            </w:pPr>
            <w:r w:rsidRPr="00046299">
              <w:rPr>
                <w:rFonts w:ascii="Times New Roman" w:hAnsi="Times New Roman" w:cs="Times New Roman"/>
                <w:b/>
                <w:bCs/>
                <w:color w:val="000000"/>
                <w:sz w:val="14"/>
                <w:szCs w:val="14"/>
                <w:lang w:eastAsia="sk-SK"/>
              </w:rPr>
              <w:t>6 228 939</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b/>
                <w:bCs/>
                <w:color w:val="000000"/>
                <w:sz w:val="14"/>
                <w:szCs w:val="14"/>
                <w:lang w:eastAsia="sk-SK"/>
              </w:rPr>
            </w:pPr>
            <w:r w:rsidRPr="00046299">
              <w:rPr>
                <w:rFonts w:ascii="Times New Roman" w:hAnsi="Times New Roman" w:cs="Times New Roman"/>
                <w:b/>
                <w:bCs/>
                <w:color w:val="000000"/>
                <w:sz w:val="14"/>
                <w:szCs w:val="14"/>
                <w:lang w:eastAsia="sk-SK"/>
              </w:rPr>
              <w:t>12 975 122</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b/>
                <w:bCs/>
                <w:color w:val="000000"/>
                <w:sz w:val="14"/>
                <w:szCs w:val="14"/>
                <w:lang w:eastAsia="sk-SK"/>
              </w:rPr>
            </w:pPr>
            <w:r w:rsidRPr="00046299">
              <w:rPr>
                <w:rFonts w:ascii="Times New Roman" w:hAnsi="Times New Roman" w:cs="Times New Roman"/>
                <w:b/>
                <w:bCs/>
                <w:color w:val="000000"/>
                <w:sz w:val="14"/>
                <w:szCs w:val="14"/>
                <w:lang w:eastAsia="sk-SK"/>
              </w:rPr>
              <w:t>4 646 261</w:t>
            </w:r>
          </w:p>
        </w:tc>
      </w:tr>
      <w:tr w:rsidR="003A497B" w:rsidRPr="00D26052" w:rsidTr="003E1809">
        <w:trPr>
          <w:trHeight w:hRule="exact" w:val="255"/>
        </w:trPr>
        <w:tc>
          <w:tcPr>
            <w:tcW w:w="0" w:type="auto"/>
            <w:shd w:val="clear" w:color="auto" w:fill="auto"/>
            <w:noWrap/>
            <w:vAlign w:val="bottom"/>
            <w:hideMark/>
          </w:tcPr>
          <w:p w:rsidR="003A497B" w:rsidRPr="00D26052" w:rsidRDefault="003A497B" w:rsidP="003E1809">
            <w:pPr>
              <w:rPr>
                <w:rFonts w:ascii="Times New Roman" w:hAnsi="Times New Roman" w:cs="Times New Roman"/>
                <w:b/>
                <w:bCs/>
                <w:sz w:val="14"/>
                <w:szCs w:val="14"/>
                <w:lang w:eastAsia="sk-SK"/>
              </w:rPr>
            </w:pPr>
            <w:r w:rsidRPr="00D26052">
              <w:rPr>
                <w:rFonts w:ascii="Times New Roman" w:hAnsi="Times New Roman" w:cs="Times New Roman"/>
                <w:b/>
                <w:bCs/>
                <w:sz w:val="14"/>
                <w:szCs w:val="14"/>
                <w:lang w:eastAsia="sk-SK"/>
              </w:rPr>
              <w:t>presun z minulých rokov (zdroj 13)</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b/>
                <w:bCs/>
                <w:color w:val="000000"/>
                <w:sz w:val="14"/>
                <w:szCs w:val="14"/>
                <w:lang w:eastAsia="sk-SK"/>
              </w:rPr>
            </w:pPr>
            <w:r w:rsidRPr="0076653B">
              <w:rPr>
                <w:rFonts w:ascii="Times New Roman" w:hAnsi="Times New Roman" w:cs="Times New Roman"/>
                <w:b/>
                <w:bCs/>
                <w:color w:val="000000"/>
                <w:sz w:val="14"/>
                <w:szCs w:val="14"/>
                <w:lang w:eastAsia="sk-SK"/>
              </w:rPr>
              <w:t>15 545 999</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b/>
                <w:bCs/>
                <w:color w:val="000000"/>
                <w:sz w:val="14"/>
                <w:szCs w:val="14"/>
                <w:lang w:eastAsia="sk-SK"/>
              </w:rPr>
            </w:pPr>
            <w:r w:rsidRPr="0076653B">
              <w:rPr>
                <w:rFonts w:ascii="Times New Roman" w:hAnsi="Times New Roman" w:cs="Times New Roman"/>
                <w:b/>
                <w:bCs/>
                <w:color w:val="000000"/>
                <w:sz w:val="14"/>
                <w:szCs w:val="14"/>
                <w:lang w:eastAsia="sk-SK"/>
              </w:rPr>
              <w:t>10 038 454</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b/>
                <w:bCs/>
                <w:color w:val="000000"/>
                <w:sz w:val="14"/>
                <w:szCs w:val="14"/>
                <w:lang w:eastAsia="sk-SK"/>
              </w:rPr>
            </w:pPr>
            <w:r w:rsidRPr="0076653B">
              <w:rPr>
                <w:rFonts w:ascii="Times New Roman" w:hAnsi="Times New Roman" w:cs="Times New Roman"/>
                <w:b/>
                <w:bCs/>
                <w:color w:val="000000"/>
                <w:sz w:val="14"/>
                <w:szCs w:val="14"/>
                <w:lang w:eastAsia="sk-SK"/>
              </w:rPr>
              <w:t>0</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b/>
                <w:bCs/>
                <w:color w:val="000000"/>
                <w:sz w:val="14"/>
                <w:szCs w:val="14"/>
                <w:lang w:eastAsia="sk-SK"/>
              </w:rPr>
            </w:pPr>
            <w:r w:rsidRPr="004A683F">
              <w:rPr>
                <w:rFonts w:ascii="Times New Roman" w:hAnsi="Times New Roman" w:cs="Times New Roman"/>
                <w:b/>
                <w:bCs/>
                <w:color w:val="000000"/>
                <w:sz w:val="14"/>
                <w:szCs w:val="14"/>
                <w:lang w:eastAsia="sk-SK"/>
              </w:rPr>
              <w:t>10 222 626</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b/>
                <w:bCs/>
                <w:color w:val="000000"/>
                <w:sz w:val="14"/>
                <w:szCs w:val="14"/>
                <w:lang w:eastAsia="sk-SK"/>
              </w:rPr>
            </w:pPr>
            <w:r w:rsidRPr="00046299">
              <w:rPr>
                <w:rFonts w:ascii="Times New Roman" w:hAnsi="Times New Roman" w:cs="Times New Roman"/>
                <w:b/>
                <w:bCs/>
                <w:color w:val="000000"/>
                <w:sz w:val="14"/>
                <w:szCs w:val="14"/>
                <w:lang w:eastAsia="sk-SK"/>
              </w:rPr>
              <w:t>0</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b/>
                <w:bCs/>
                <w:color w:val="000000"/>
                <w:sz w:val="14"/>
                <w:szCs w:val="14"/>
                <w:lang w:eastAsia="sk-SK"/>
              </w:rPr>
            </w:pPr>
            <w:r w:rsidRPr="00046299">
              <w:rPr>
                <w:rFonts w:ascii="Times New Roman" w:hAnsi="Times New Roman" w:cs="Times New Roman"/>
                <w:b/>
                <w:bCs/>
                <w:color w:val="000000"/>
                <w:sz w:val="14"/>
                <w:szCs w:val="14"/>
                <w:lang w:eastAsia="sk-SK"/>
              </w:rPr>
              <w:t>0</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b/>
                <w:bCs/>
                <w:color w:val="000000"/>
                <w:sz w:val="14"/>
                <w:szCs w:val="14"/>
                <w:lang w:eastAsia="sk-SK"/>
              </w:rPr>
            </w:pPr>
            <w:r w:rsidRPr="00046299">
              <w:rPr>
                <w:rFonts w:ascii="Times New Roman" w:hAnsi="Times New Roman" w:cs="Times New Roman"/>
                <w:b/>
                <w:bCs/>
                <w:color w:val="000000"/>
                <w:sz w:val="14"/>
                <w:szCs w:val="14"/>
                <w:lang w:eastAsia="sk-SK"/>
              </w:rPr>
              <w:t>0</w:t>
            </w:r>
          </w:p>
        </w:tc>
      </w:tr>
      <w:tr w:rsidR="003A497B" w:rsidRPr="00D26052" w:rsidTr="003E1809">
        <w:trPr>
          <w:trHeight w:hRule="exact" w:val="255"/>
        </w:trPr>
        <w:tc>
          <w:tcPr>
            <w:tcW w:w="0" w:type="auto"/>
            <w:shd w:val="clear" w:color="auto" w:fill="auto"/>
            <w:noWrap/>
            <w:vAlign w:val="bottom"/>
            <w:hideMark/>
          </w:tcPr>
          <w:p w:rsidR="003A497B" w:rsidRPr="00D26052" w:rsidRDefault="003A497B" w:rsidP="003E1809">
            <w:pPr>
              <w:rPr>
                <w:rFonts w:ascii="Times New Roman" w:hAnsi="Times New Roman" w:cs="Times New Roman"/>
                <w:b/>
                <w:bCs/>
                <w:sz w:val="14"/>
                <w:szCs w:val="14"/>
                <w:lang w:eastAsia="sk-SK"/>
              </w:rPr>
            </w:pPr>
            <w:r w:rsidRPr="00D26052">
              <w:rPr>
                <w:rFonts w:ascii="Times New Roman" w:hAnsi="Times New Roman" w:cs="Times New Roman"/>
                <w:b/>
                <w:bCs/>
                <w:sz w:val="14"/>
                <w:szCs w:val="14"/>
                <w:lang w:eastAsia="sk-SK"/>
              </w:rPr>
              <w:t>Sociálna inklúzia (zdroj 111), v tom:</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b/>
                <w:bCs/>
                <w:color w:val="000000"/>
                <w:sz w:val="14"/>
                <w:szCs w:val="14"/>
                <w:lang w:eastAsia="sk-SK"/>
              </w:rPr>
            </w:pPr>
            <w:r w:rsidRPr="0076653B">
              <w:rPr>
                <w:rFonts w:ascii="Times New Roman" w:hAnsi="Times New Roman" w:cs="Times New Roman"/>
                <w:b/>
                <w:bCs/>
                <w:color w:val="000000"/>
                <w:sz w:val="14"/>
                <w:szCs w:val="14"/>
                <w:lang w:eastAsia="sk-SK"/>
              </w:rPr>
              <w:t>1 721 655 004</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b/>
                <w:bCs/>
                <w:color w:val="000000"/>
                <w:sz w:val="14"/>
                <w:szCs w:val="14"/>
                <w:lang w:eastAsia="sk-SK"/>
              </w:rPr>
            </w:pPr>
            <w:r w:rsidRPr="0076653B">
              <w:rPr>
                <w:rFonts w:ascii="Times New Roman" w:hAnsi="Times New Roman" w:cs="Times New Roman"/>
                <w:b/>
                <w:bCs/>
                <w:color w:val="000000"/>
                <w:sz w:val="14"/>
                <w:szCs w:val="14"/>
                <w:lang w:eastAsia="sk-SK"/>
              </w:rPr>
              <w:t>1 731 917 759</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b/>
                <w:bCs/>
                <w:color w:val="000000"/>
                <w:sz w:val="14"/>
                <w:szCs w:val="14"/>
                <w:lang w:eastAsia="sk-SK"/>
              </w:rPr>
            </w:pPr>
            <w:r w:rsidRPr="0076653B">
              <w:rPr>
                <w:rFonts w:ascii="Times New Roman" w:hAnsi="Times New Roman" w:cs="Times New Roman"/>
                <w:b/>
                <w:bCs/>
                <w:color w:val="000000"/>
                <w:sz w:val="14"/>
                <w:szCs w:val="14"/>
                <w:lang w:eastAsia="sk-SK"/>
              </w:rPr>
              <w:t>1 876 909 412</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b/>
                <w:bCs/>
                <w:color w:val="000000"/>
                <w:sz w:val="14"/>
                <w:szCs w:val="14"/>
                <w:lang w:eastAsia="sk-SK"/>
              </w:rPr>
            </w:pPr>
            <w:r w:rsidRPr="004A683F">
              <w:rPr>
                <w:rFonts w:ascii="Times New Roman" w:hAnsi="Times New Roman" w:cs="Times New Roman"/>
                <w:b/>
                <w:bCs/>
                <w:color w:val="000000"/>
                <w:sz w:val="14"/>
                <w:szCs w:val="14"/>
                <w:lang w:eastAsia="sk-SK"/>
              </w:rPr>
              <w:t>1 812 725 052</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b/>
                <w:bCs/>
                <w:color w:val="000000"/>
                <w:sz w:val="14"/>
                <w:szCs w:val="14"/>
                <w:lang w:eastAsia="sk-SK"/>
              </w:rPr>
            </w:pPr>
            <w:r w:rsidRPr="00046299">
              <w:rPr>
                <w:rFonts w:ascii="Times New Roman" w:hAnsi="Times New Roman" w:cs="Times New Roman"/>
                <w:b/>
                <w:bCs/>
                <w:color w:val="000000"/>
                <w:sz w:val="14"/>
                <w:szCs w:val="14"/>
                <w:lang w:eastAsia="sk-SK"/>
              </w:rPr>
              <w:t>1 966 098 416</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b/>
                <w:bCs/>
                <w:color w:val="000000"/>
                <w:sz w:val="14"/>
                <w:szCs w:val="14"/>
                <w:lang w:eastAsia="sk-SK"/>
              </w:rPr>
            </w:pPr>
            <w:r w:rsidRPr="00046299">
              <w:rPr>
                <w:rFonts w:ascii="Times New Roman" w:hAnsi="Times New Roman" w:cs="Times New Roman"/>
                <w:b/>
                <w:bCs/>
                <w:color w:val="000000"/>
                <w:sz w:val="14"/>
                <w:szCs w:val="14"/>
                <w:lang w:eastAsia="sk-SK"/>
              </w:rPr>
              <w:t>2 008 193 593</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b/>
                <w:bCs/>
                <w:color w:val="000000"/>
                <w:sz w:val="14"/>
                <w:szCs w:val="14"/>
                <w:lang w:eastAsia="sk-SK"/>
              </w:rPr>
            </w:pPr>
            <w:r w:rsidRPr="00046299">
              <w:rPr>
                <w:rFonts w:ascii="Times New Roman" w:hAnsi="Times New Roman" w:cs="Times New Roman"/>
                <w:b/>
                <w:bCs/>
                <w:color w:val="000000"/>
                <w:sz w:val="14"/>
                <w:szCs w:val="14"/>
                <w:lang w:eastAsia="sk-SK"/>
              </w:rPr>
              <w:t>2 046 183 657</w:t>
            </w:r>
          </w:p>
        </w:tc>
      </w:tr>
      <w:tr w:rsidR="003A497B" w:rsidRPr="00D26052" w:rsidTr="003E1809">
        <w:trPr>
          <w:trHeight w:hRule="exact" w:val="255"/>
        </w:trPr>
        <w:tc>
          <w:tcPr>
            <w:tcW w:w="0" w:type="auto"/>
            <w:shd w:val="clear" w:color="auto" w:fill="auto"/>
            <w:noWrap/>
            <w:vAlign w:val="bottom"/>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pomoc v hmotnej núdzi</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202 687 927</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171 837 332</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173 336 906</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4A683F">
              <w:rPr>
                <w:rFonts w:ascii="Times New Roman" w:hAnsi="Times New Roman" w:cs="Times New Roman"/>
                <w:sz w:val="14"/>
                <w:szCs w:val="14"/>
                <w:lang w:eastAsia="sk-SK"/>
              </w:rPr>
              <w:t>140 567 200</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152 412 938</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154 249 267</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149 461 833</w:t>
            </w:r>
          </w:p>
        </w:tc>
      </w:tr>
      <w:tr w:rsidR="003A497B" w:rsidRPr="00D26052" w:rsidTr="003E1809">
        <w:trPr>
          <w:trHeight w:hRule="exact" w:val="255"/>
        </w:trPr>
        <w:tc>
          <w:tcPr>
            <w:tcW w:w="0" w:type="auto"/>
            <w:shd w:val="clear" w:color="auto" w:fill="auto"/>
            <w:noWrap/>
            <w:vAlign w:val="bottom"/>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podpora rodiny</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718 991 443</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722 530 702</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740 597 920</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4A683F">
              <w:rPr>
                <w:rFonts w:ascii="Times New Roman" w:hAnsi="Times New Roman" w:cs="Times New Roman"/>
                <w:sz w:val="14"/>
                <w:szCs w:val="14"/>
                <w:lang w:eastAsia="sk-SK"/>
              </w:rPr>
              <w:t>741 009 284</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756 383 703</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770 702 799</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788 670 907</w:t>
            </w:r>
          </w:p>
        </w:tc>
      </w:tr>
      <w:tr w:rsidR="003A497B" w:rsidRPr="00D26052" w:rsidTr="003E1809">
        <w:trPr>
          <w:trHeight w:hRule="exact" w:val="255"/>
        </w:trPr>
        <w:tc>
          <w:tcPr>
            <w:tcW w:w="0" w:type="auto"/>
            <w:shd w:val="clear" w:color="auto" w:fill="auto"/>
            <w:noWrap/>
            <w:vAlign w:val="bottom"/>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poistné platené štátom</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231 496 292</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242 914 934</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304 380 836</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4A683F">
              <w:rPr>
                <w:rFonts w:ascii="Times New Roman" w:hAnsi="Times New Roman" w:cs="Times New Roman"/>
                <w:sz w:val="14"/>
                <w:szCs w:val="14"/>
                <w:lang w:eastAsia="sk-SK"/>
              </w:rPr>
              <w:t>243 287 909</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259 549 056</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275 600 832</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292 004 856</w:t>
            </w:r>
          </w:p>
        </w:tc>
      </w:tr>
      <w:tr w:rsidR="003A497B" w:rsidRPr="00D26052" w:rsidTr="003E1809">
        <w:trPr>
          <w:trHeight w:hRule="exact" w:val="255"/>
        </w:trPr>
        <w:tc>
          <w:tcPr>
            <w:tcW w:w="0" w:type="auto"/>
            <w:shd w:val="clear" w:color="auto" w:fill="auto"/>
            <w:noWrap/>
            <w:vAlign w:val="bottom"/>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kompenzácia sociálnych dôsledkov ŤZP</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226 728 653</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244 160 821</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281 435 012</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4A683F">
              <w:rPr>
                <w:rFonts w:ascii="Times New Roman" w:hAnsi="Times New Roman" w:cs="Times New Roman"/>
                <w:sz w:val="14"/>
                <w:szCs w:val="14"/>
                <w:lang w:eastAsia="sk-SK"/>
              </w:rPr>
              <w:t>297 182 285</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375 485 152</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381 601 715</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388 914 164</w:t>
            </w:r>
          </w:p>
        </w:tc>
      </w:tr>
      <w:tr w:rsidR="003A497B" w:rsidRPr="00D26052" w:rsidTr="003E1809">
        <w:trPr>
          <w:trHeight w:hRule="exact" w:val="255"/>
        </w:trPr>
        <w:tc>
          <w:tcPr>
            <w:tcW w:w="0" w:type="auto"/>
            <w:shd w:val="clear" w:color="auto" w:fill="auto"/>
            <w:noWrap/>
            <w:vAlign w:val="bottom"/>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iniciatívy v oblasti sociálnej inklúzie</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2 982 508</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2 879 006</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3 109 702</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4A683F">
              <w:rPr>
                <w:rFonts w:ascii="Times New Roman" w:hAnsi="Times New Roman" w:cs="Times New Roman"/>
                <w:sz w:val="14"/>
                <w:szCs w:val="14"/>
                <w:lang w:eastAsia="sk-SK"/>
              </w:rPr>
              <w:t>3 109 702</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3 109 702</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3 109 702</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3 109 702</w:t>
            </w:r>
          </w:p>
        </w:tc>
      </w:tr>
      <w:tr w:rsidR="003A497B" w:rsidRPr="00D26052" w:rsidTr="003E1809">
        <w:trPr>
          <w:trHeight w:hRule="exact" w:val="255"/>
        </w:trPr>
        <w:tc>
          <w:tcPr>
            <w:tcW w:w="0" w:type="auto"/>
            <w:shd w:val="clear" w:color="auto" w:fill="auto"/>
            <w:noWrap/>
            <w:vAlign w:val="bottom"/>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starostlivosť o ohrozené deti</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89 440 622</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94 725 669</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97 086 497</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4A683F">
              <w:rPr>
                <w:rFonts w:ascii="Times New Roman" w:hAnsi="Times New Roman" w:cs="Times New Roman"/>
                <w:sz w:val="14"/>
                <w:szCs w:val="14"/>
                <w:lang w:eastAsia="sk-SK"/>
              </w:rPr>
              <w:t>102 296 155</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123 352 464</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127 133 564</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128 233 564</w:t>
            </w:r>
          </w:p>
        </w:tc>
      </w:tr>
      <w:tr w:rsidR="003A497B" w:rsidRPr="00D26052" w:rsidTr="003E1809">
        <w:trPr>
          <w:trHeight w:hRule="exact" w:val="255"/>
        </w:trPr>
        <w:tc>
          <w:tcPr>
            <w:tcW w:w="0" w:type="auto"/>
            <w:shd w:val="clear" w:color="auto" w:fill="auto"/>
            <w:noWrap/>
            <w:vAlign w:val="bottom"/>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nesystémové dávky sociálneho poistenia</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85 812 954</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84 562 841</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77 998 161</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4A683F">
              <w:rPr>
                <w:rFonts w:ascii="Times New Roman" w:hAnsi="Times New Roman" w:cs="Times New Roman"/>
                <w:sz w:val="14"/>
                <w:szCs w:val="14"/>
                <w:lang w:eastAsia="sk-SK"/>
              </w:rPr>
              <w:t>85 272 517</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87 417 663</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87 407 976</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87 400 893</w:t>
            </w:r>
          </w:p>
        </w:tc>
      </w:tr>
      <w:tr w:rsidR="003A497B" w:rsidRPr="00D26052" w:rsidTr="003E1809">
        <w:trPr>
          <w:trHeight w:hRule="exact" w:val="255"/>
        </w:trPr>
        <w:tc>
          <w:tcPr>
            <w:tcW w:w="0" w:type="auto"/>
            <w:shd w:val="clear" w:color="auto" w:fill="auto"/>
            <w:noWrap/>
            <w:vAlign w:val="bottom"/>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vianočný príspevok</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81 300 000</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80 070 790</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61 300 000</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4A683F">
              <w:rPr>
                <w:rFonts w:ascii="Times New Roman" w:hAnsi="Times New Roman" w:cs="Times New Roman"/>
                <w:sz w:val="14"/>
                <w:szCs w:val="14"/>
                <w:lang w:eastAsia="sk-SK"/>
              </w:rPr>
              <w:t>80 000 000</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61 300 000</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61 300 000</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61 300 000</w:t>
            </w:r>
          </w:p>
        </w:tc>
      </w:tr>
      <w:tr w:rsidR="003A497B" w:rsidRPr="00D26052" w:rsidTr="003E1809">
        <w:trPr>
          <w:trHeight w:hRule="exact" w:val="255"/>
        </w:trPr>
        <w:tc>
          <w:tcPr>
            <w:tcW w:w="0" w:type="auto"/>
            <w:shd w:val="clear" w:color="auto" w:fill="auto"/>
            <w:noWrap/>
            <w:vAlign w:val="bottom"/>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podpora sociálnych služieb</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82 214 605</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88 235 664</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137 664 378</w:t>
            </w:r>
          </w:p>
        </w:tc>
        <w:tc>
          <w:tcPr>
            <w:tcW w:w="0" w:type="auto"/>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4A683F">
              <w:rPr>
                <w:rFonts w:ascii="Times New Roman" w:hAnsi="Times New Roman" w:cs="Times New Roman"/>
                <w:sz w:val="14"/>
                <w:szCs w:val="14"/>
                <w:lang w:eastAsia="sk-SK"/>
              </w:rPr>
              <w:t>120 000 000</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147 087 738</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147 087 738</w:t>
            </w:r>
          </w:p>
        </w:tc>
        <w:tc>
          <w:tcPr>
            <w:tcW w:w="0" w:type="auto"/>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147 087 738</w:t>
            </w:r>
          </w:p>
        </w:tc>
      </w:tr>
      <w:tr w:rsidR="003A497B" w:rsidRPr="008E2254" w:rsidTr="003E1809">
        <w:trPr>
          <w:trHeight w:hRule="exac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7B" w:rsidRPr="008E2254" w:rsidRDefault="003A497B" w:rsidP="003E1809">
            <w:pPr>
              <w:rPr>
                <w:rFonts w:ascii="Times New Roman" w:hAnsi="Times New Roman" w:cs="Times New Roman"/>
                <w:sz w:val="14"/>
                <w:szCs w:val="14"/>
                <w:lang w:eastAsia="sk-SK"/>
              </w:rPr>
            </w:pPr>
            <w:r w:rsidRPr="008E2254">
              <w:rPr>
                <w:rFonts w:ascii="Times New Roman" w:hAnsi="Times New Roman" w:cs="Times New Roman"/>
                <w:sz w:val="14"/>
                <w:szCs w:val="14"/>
                <w:lang w:eastAsia="sk-SK"/>
              </w:rPr>
              <w:t>zdroj 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11 057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31 822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85 300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85 300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85 300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85 300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85 300</w:t>
            </w:r>
          </w:p>
        </w:tc>
      </w:tr>
    </w:tbl>
    <w:p w:rsidR="003A497B" w:rsidRPr="00D26052" w:rsidRDefault="003A497B" w:rsidP="003A497B">
      <w:pPr>
        <w:jc w:val="both"/>
        <w:rPr>
          <w:rFonts w:ascii="Times New Roman" w:hAnsi="Times New Roman" w:cs="Times New Roman"/>
          <w:b/>
          <w:lang w:eastAsia="sk-SK"/>
        </w:rPr>
      </w:pPr>
    </w:p>
    <w:p w:rsidR="003A497B" w:rsidRPr="00D26052"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r w:rsidRPr="00D26052">
        <w:rPr>
          <w:rFonts w:ascii="Times New Roman" w:hAnsi="Times New Roman" w:cs="Times New Roman"/>
          <w:lang w:eastAsia="sk-SK"/>
        </w:rPr>
        <w:tab/>
        <w:t>V rámci výdavkov na sociálnu inklúziu sa v roku 201</w:t>
      </w:r>
      <w:r>
        <w:rPr>
          <w:rFonts w:ascii="Times New Roman" w:hAnsi="Times New Roman" w:cs="Times New Roman"/>
          <w:lang w:eastAsia="sk-SK"/>
        </w:rPr>
        <w:t>9</w:t>
      </w:r>
      <w:r w:rsidRPr="00D26052">
        <w:rPr>
          <w:rFonts w:ascii="Times New Roman" w:hAnsi="Times New Roman" w:cs="Times New Roman"/>
          <w:lang w:eastAsia="sk-SK"/>
        </w:rPr>
        <w:t xml:space="preserve"> rozpočtujú dávky a príspevky v hmotnej núdzi, dotačné programy pre deti z nízkopríjmových skupín, dávky na podporu rodiny (prídavok na dieťa, rodičovský príspevok), peňažné príspevky na kompenzáciu ťažkého zdravotného postihnutia, vianočný príspevok dôchodcom a ďalšie dávky sociálnej pomoci a podpory.</w:t>
      </w:r>
    </w:p>
    <w:p w:rsidR="003A497B" w:rsidRPr="00D26052" w:rsidRDefault="003A497B" w:rsidP="003A497B">
      <w:pPr>
        <w:jc w:val="both"/>
        <w:rPr>
          <w:rFonts w:ascii="Times New Roman" w:hAnsi="Times New Roman" w:cs="Times New Roman"/>
          <w:b/>
          <w:lang w:eastAsia="sk-SK"/>
        </w:rPr>
      </w:pPr>
    </w:p>
    <w:p w:rsidR="003A497B" w:rsidRPr="00D26052"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r w:rsidRPr="00D26052">
        <w:rPr>
          <w:rFonts w:ascii="Times New Roman" w:hAnsi="Times New Roman" w:cs="Times New Roman"/>
          <w:lang w:eastAsia="sk-SK"/>
        </w:rPr>
        <w:tab/>
        <w:t xml:space="preserve">Rozpočtovaný objem výdavkov zohľadňuje predpokladané počty poberateľov jednotlivých dávok a príspevkov sociálnej inklúzie, ich výšku a povinnú valorizáciu vybraných dávok. </w:t>
      </w:r>
    </w:p>
    <w:p w:rsidR="003A497B" w:rsidRPr="00D26052"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p>
    <w:p w:rsidR="003A497B"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color w:val="000000"/>
          <w:lang w:eastAsia="sk-SK"/>
        </w:rPr>
      </w:pPr>
      <w:r w:rsidRPr="00D26052">
        <w:rPr>
          <w:rFonts w:ascii="Times New Roman" w:hAnsi="Times New Roman" w:cs="Times New Roman"/>
          <w:lang w:eastAsia="sk-SK"/>
        </w:rPr>
        <w:tab/>
        <w:t>Na rok 201</w:t>
      </w:r>
      <w:r>
        <w:rPr>
          <w:rFonts w:ascii="Times New Roman" w:hAnsi="Times New Roman" w:cs="Times New Roman"/>
          <w:lang w:eastAsia="sk-SK"/>
        </w:rPr>
        <w:t>9</w:t>
      </w:r>
      <w:r w:rsidRPr="00D26052">
        <w:rPr>
          <w:rFonts w:ascii="Times New Roman" w:hAnsi="Times New Roman" w:cs="Times New Roman"/>
          <w:lang w:eastAsia="sk-SK"/>
        </w:rPr>
        <w:t xml:space="preserve"> sa rozpočtuje celkovo suma 1,</w:t>
      </w:r>
      <w:r>
        <w:rPr>
          <w:rFonts w:ascii="Times New Roman" w:hAnsi="Times New Roman" w:cs="Times New Roman"/>
          <w:lang w:eastAsia="sk-SK"/>
        </w:rPr>
        <w:t>97</w:t>
      </w:r>
      <w:r w:rsidRPr="00D26052">
        <w:rPr>
          <w:rFonts w:ascii="Times New Roman" w:hAnsi="Times New Roman" w:cs="Times New Roman"/>
          <w:lang w:eastAsia="sk-SK"/>
        </w:rPr>
        <w:t xml:space="preserve"> mld. </w:t>
      </w:r>
      <w:r w:rsidRPr="00D26052">
        <w:rPr>
          <w:rFonts w:ascii="Times New Roman" w:hAnsi="Times New Roman" w:cs="Times New Roman"/>
          <w:color w:val="000000"/>
          <w:lang w:eastAsia="sk-SK"/>
        </w:rPr>
        <w:t xml:space="preserve">eur, z toho zo štátneho rozpočtu </w:t>
      </w:r>
      <w:r>
        <w:rPr>
          <w:rFonts w:ascii="Times New Roman" w:hAnsi="Times New Roman" w:cs="Times New Roman"/>
          <w:color w:val="000000"/>
          <w:lang w:eastAsia="sk-SK"/>
        </w:rPr>
        <w:br/>
        <w:t>1,96</w:t>
      </w:r>
      <w:r w:rsidRPr="00D26052">
        <w:rPr>
          <w:rFonts w:ascii="Times New Roman" w:hAnsi="Times New Roman" w:cs="Times New Roman"/>
          <w:color w:val="000000"/>
          <w:lang w:eastAsia="sk-SK"/>
        </w:rPr>
        <w:t xml:space="preserve"> mld. eur, čo je oproti úrovni schváleného rozpočtu </w:t>
      </w:r>
      <w:r>
        <w:rPr>
          <w:rFonts w:ascii="Times New Roman" w:hAnsi="Times New Roman" w:cs="Times New Roman"/>
          <w:color w:val="000000"/>
          <w:lang w:eastAsia="sk-SK"/>
        </w:rPr>
        <w:t>na</w:t>
      </w:r>
      <w:r w:rsidRPr="00D26052">
        <w:rPr>
          <w:rFonts w:ascii="Times New Roman" w:hAnsi="Times New Roman" w:cs="Times New Roman"/>
          <w:color w:val="000000"/>
          <w:lang w:eastAsia="sk-SK"/>
        </w:rPr>
        <w:t xml:space="preserve"> rok 201</w:t>
      </w:r>
      <w:r>
        <w:rPr>
          <w:rFonts w:ascii="Times New Roman" w:hAnsi="Times New Roman" w:cs="Times New Roman"/>
          <w:color w:val="000000"/>
          <w:lang w:eastAsia="sk-SK"/>
        </w:rPr>
        <w:t>8</w:t>
      </w:r>
      <w:r w:rsidRPr="00D26052">
        <w:rPr>
          <w:rFonts w:ascii="Times New Roman" w:hAnsi="Times New Roman" w:cs="Times New Roman"/>
          <w:color w:val="000000"/>
          <w:lang w:eastAsia="sk-SK"/>
        </w:rPr>
        <w:t xml:space="preserve"> </w:t>
      </w:r>
      <w:r>
        <w:rPr>
          <w:rFonts w:ascii="Times New Roman" w:hAnsi="Times New Roman" w:cs="Times New Roman"/>
          <w:color w:val="000000"/>
          <w:lang w:eastAsia="sk-SK"/>
        </w:rPr>
        <w:t>nárast</w:t>
      </w:r>
      <w:r w:rsidRPr="00D26052">
        <w:rPr>
          <w:rFonts w:ascii="Times New Roman" w:hAnsi="Times New Roman" w:cs="Times New Roman"/>
          <w:color w:val="000000"/>
          <w:lang w:eastAsia="sk-SK"/>
        </w:rPr>
        <w:t xml:space="preserve"> o</w:t>
      </w:r>
      <w:r>
        <w:rPr>
          <w:rFonts w:ascii="Times New Roman" w:hAnsi="Times New Roman" w:cs="Times New Roman"/>
          <w:color w:val="000000"/>
          <w:lang w:eastAsia="sk-SK"/>
        </w:rPr>
        <w:t xml:space="preserve"> sumu </w:t>
      </w:r>
      <w:r>
        <w:rPr>
          <w:rFonts w:ascii="Times New Roman" w:hAnsi="Times New Roman" w:cs="Times New Roman"/>
          <w:color w:val="000000"/>
          <w:lang w:eastAsia="sk-SK"/>
        </w:rPr>
        <w:br/>
        <w:t>89,2 mil. eur, t. j. o 4,75</w:t>
      </w:r>
      <w:r w:rsidRPr="00D26052">
        <w:rPr>
          <w:rFonts w:ascii="Times New Roman" w:hAnsi="Times New Roman" w:cs="Times New Roman"/>
          <w:color w:val="000000"/>
          <w:lang w:eastAsia="sk-SK"/>
        </w:rPr>
        <w:t xml:space="preserve"> %.</w:t>
      </w:r>
    </w:p>
    <w:p w:rsidR="003A497B"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color w:val="000000"/>
          <w:lang w:eastAsia="sk-SK"/>
        </w:rPr>
      </w:pPr>
    </w:p>
    <w:p w:rsidR="003A497B" w:rsidRPr="00DF0693"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r>
        <w:rPr>
          <w:rFonts w:ascii="Times New Roman" w:hAnsi="Times New Roman" w:cs="Times New Roman"/>
          <w:lang w:eastAsia="sk-SK"/>
        </w:rPr>
        <w:tab/>
        <w:t>Nárast súvisí</w:t>
      </w:r>
      <w:r w:rsidRPr="00DF0693">
        <w:rPr>
          <w:rFonts w:ascii="Times New Roman" w:hAnsi="Times New Roman" w:cs="Times New Roman"/>
          <w:lang w:eastAsia="sk-SK"/>
        </w:rPr>
        <w:t xml:space="preserve"> najmä </w:t>
      </w:r>
      <w:r>
        <w:rPr>
          <w:rFonts w:ascii="Times New Roman" w:hAnsi="Times New Roman" w:cs="Times New Roman"/>
          <w:lang w:eastAsia="sk-SK"/>
        </w:rPr>
        <w:t xml:space="preserve">so zvýšením peňažného príspevku na opatrovanie </w:t>
      </w:r>
      <w:r w:rsidR="008D222B">
        <w:rPr>
          <w:rFonts w:ascii="Times New Roman" w:hAnsi="Times New Roman" w:cs="Times New Roman"/>
          <w:lang w:eastAsia="sk-SK"/>
        </w:rPr>
        <w:t xml:space="preserve">pre </w:t>
      </w:r>
      <w:r>
        <w:rPr>
          <w:rFonts w:ascii="Times New Roman" w:hAnsi="Times New Roman" w:cs="Times New Roman"/>
          <w:lang w:eastAsia="sk-SK"/>
        </w:rPr>
        <w:t>opatrovateľov v produktívnom veku a</w:t>
      </w:r>
      <w:r w:rsidR="008D222B">
        <w:rPr>
          <w:rFonts w:ascii="Times New Roman" w:hAnsi="Times New Roman" w:cs="Times New Roman"/>
          <w:lang w:eastAsia="sk-SK"/>
        </w:rPr>
        <w:t xml:space="preserve"> pre </w:t>
      </w:r>
      <w:r>
        <w:rPr>
          <w:rFonts w:ascii="Times New Roman" w:hAnsi="Times New Roman" w:cs="Times New Roman"/>
          <w:lang w:eastAsia="sk-SK"/>
        </w:rPr>
        <w:t>opatrovateľov poberajúcich dôchodkovú dávku, hodinovej sadzby osobnej asistencie a so</w:t>
      </w:r>
      <w:r w:rsidRPr="00DF0693">
        <w:rPr>
          <w:rFonts w:ascii="Times New Roman" w:hAnsi="Times New Roman" w:cs="Times New Roman"/>
          <w:lang w:eastAsia="sk-SK"/>
        </w:rPr>
        <w:t xml:space="preserve"> zabezpečen</w:t>
      </w:r>
      <w:r>
        <w:rPr>
          <w:rFonts w:ascii="Times New Roman" w:hAnsi="Times New Roman" w:cs="Times New Roman"/>
          <w:lang w:eastAsia="sk-SK"/>
        </w:rPr>
        <w:t>ím</w:t>
      </w:r>
      <w:r w:rsidRPr="00DF0693">
        <w:rPr>
          <w:rFonts w:ascii="Times New Roman" w:hAnsi="Times New Roman" w:cs="Times New Roman"/>
          <w:lang w:eastAsia="sk-SK"/>
        </w:rPr>
        <w:t xml:space="preserve"> dobrovoľných pobytových opatrení a zavedenie výkonu opatrení ambulantnou a terénnou formou v zariadeniach sociálnoprávnej ochrany detí a sociálnej kurately. </w:t>
      </w:r>
      <w:r>
        <w:rPr>
          <w:rFonts w:ascii="Times New Roman" w:hAnsi="Times New Roman" w:cs="Times New Roman"/>
          <w:lang w:eastAsia="sk-SK"/>
        </w:rPr>
        <w:t>Posilňuje sa finančná podpora náhradnej starostlivosti o dieťa zvýšením príspevkov tak, aby čo najviac detí vyrastalo v rodinnom prostredí</w:t>
      </w:r>
      <w:r w:rsidRPr="00DF0693">
        <w:rPr>
          <w:rFonts w:ascii="Times New Roman" w:hAnsi="Times New Roman" w:cs="Times New Roman"/>
          <w:lang w:eastAsia="sk-SK"/>
        </w:rPr>
        <w:t>.</w:t>
      </w:r>
    </w:p>
    <w:p w:rsidR="003A497B" w:rsidRPr="0040652A"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color w:val="000000"/>
          <w:lang w:eastAsia="sk-SK"/>
        </w:rPr>
      </w:pPr>
    </w:p>
    <w:tbl>
      <w:tblPr>
        <w:tblW w:w="5000" w:type="pct"/>
        <w:tblCellMar>
          <w:left w:w="70" w:type="dxa"/>
          <w:right w:w="70" w:type="dxa"/>
        </w:tblCellMar>
        <w:tblLook w:val="04A0" w:firstRow="1" w:lastRow="0" w:firstColumn="1" w:lastColumn="0" w:noHBand="0" w:noVBand="1"/>
      </w:tblPr>
      <w:tblGrid>
        <w:gridCol w:w="3115"/>
        <w:gridCol w:w="850"/>
        <w:gridCol w:w="852"/>
        <w:gridCol w:w="850"/>
        <w:gridCol w:w="850"/>
        <w:gridCol w:w="852"/>
        <w:gridCol w:w="852"/>
        <w:gridCol w:w="841"/>
      </w:tblGrid>
      <w:tr w:rsidR="003A497B" w:rsidRPr="00D26052" w:rsidTr="003E1809">
        <w:trPr>
          <w:trHeight w:hRule="exact" w:val="284"/>
        </w:trPr>
        <w:tc>
          <w:tcPr>
            <w:tcW w:w="1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v eurách</w:t>
            </w:r>
          </w:p>
        </w:tc>
        <w:tc>
          <w:tcPr>
            <w:tcW w:w="46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w:t>
            </w:r>
            <w:r w:rsidRPr="00D26052">
              <w:rPr>
                <w:rFonts w:ascii="Times New Roman" w:hAnsi="Times New Roman" w:cs="Times New Roman"/>
                <w:b/>
                <w:bCs/>
                <w:color w:val="000000"/>
                <w:sz w:val="14"/>
                <w:szCs w:val="14"/>
                <w:lang w:eastAsia="sk-SK"/>
              </w:rPr>
              <w:t xml:space="preserve"> S</w:t>
            </w:r>
          </w:p>
        </w:tc>
        <w:tc>
          <w:tcPr>
            <w:tcW w:w="470"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w:t>
            </w:r>
            <w:r w:rsidRPr="00D26052">
              <w:rPr>
                <w:rFonts w:ascii="Times New Roman" w:hAnsi="Times New Roman" w:cs="Times New Roman"/>
                <w:b/>
                <w:bCs/>
                <w:color w:val="000000"/>
                <w:sz w:val="14"/>
                <w:szCs w:val="14"/>
                <w:lang w:eastAsia="sk-SK"/>
              </w:rPr>
              <w:t xml:space="preserve"> S</w:t>
            </w:r>
          </w:p>
        </w:tc>
        <w:tc>
          <w:tcPr>
            <w:tcW w:w="469"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D26052">
              <w:rPr>
                <w:rFonts w:ascii="Times New Roman" w:hAnsi="Times New Roman" w:cs="Times New Roman"/>
                <w:b/>
                <w:bCs/>
                <w:color w:val="000000"/>
                <w:sz w:val="14"/>
                <w:szCs w:val="14"/>
                <w:lang w:eastAsia="sk-SK"/>
              </w:rPr>
              <w:t xml:space="preserve"> R</w:t>
            </w:r>
          </w:p>
        </w:tc>
        <w:tc>
          <w:tcPr>
            <w:tcW w:w="469"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D26052">
              <w:rPr>
                <w:rFonts w:ascii="Times New Roman" w:hAnsi="Times New Roman" w:cs="Times New Roman"/>
                <w:b/>
                <w:bCs/>
                <w:color w:val="000000"/>
                <w:sz w:val="14"/>
                <w:szCs w:val="14"/>
                <w:lang w:eastAsia="sk-SK"/>
              </w:rPr>
              <w:t xml:space="preserve"> OS</w:t>
            </w:r>
          </w:p>
        </w:tc>
        <w:tc>
          <w:tcPr>
            <w:tcW w:w="470"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9</w:t>
            </w:r>
            <w:r w:rsidRPr="00D26052">
              <w:rPr>
                <w:rFonts w:ascii="Times New Roman" w:hAnsi="Times New Roman" w:cs="Times New Roman"/>
                <w:b/>
                <w:bCs/>
                <w:color w:val="000000"/>
                <w:sz w:val="14"/>
                <w:szCs w:val="14"/>
                <w:lang w:eastAsia="sk-SK"/>
              </w:rPr>
              <w:t xml:space="preserve"> N</w:t>
            </w:r>
          </w:p>
        </w:tc>
        <w:tc>
          <w:tcPr>
            <w:tcW w:w="470"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w:t>
            </w:r>
            <w:r>
              <w:rPr>
                <w:rFonts w:ascii="Times New Roman" w:hAnsi="Times New Roman" w:cs="Times New Roman"/>
                <w:b/>
                <w:bCs/>
                <w:color w:val="000000"/>
                <w:sz w:val="14"/>
                <w:szCs w:val="14"/>
                <w:lang w:eastAsia="sk-SK"/>
              </w:rPr>
              <w:t>20</w:t>
            </w:r>
            <w:r w:rsidRPr="00D26052">
              <w:rPr>
                <w:rFonts w:ascii="Times New Roman" w:hAnsi="Times New Roman" w:cs="Times New Roman"/>
                <w:b/>
                <w:bCs/>
                <w:color w:val="000000"/>
                <w:sz w:val="14"/>
                <w:szCs w:val="14"/>
                <w:lang w:eastAsia="sk-SK"/>
              </w:rPr>
              <w:t xml:space="preserve"> N</w:t>
            </w:r>
          </w:p>
        </w:tc>
        <w:tc>
          <w:tcPr>
            <w:tcW w:w="464"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w:t>
            </w:r>
            <w:r>
              <w:rPr>
                <w:rFonts w:ascii="Times New Roman" w:hAnsi="Times New Roman" w:cs="Times New Roman"/>
                <w:b/>
                <w:bCs/>
                <w:color w:val="000000"/>
                <w:sz w:val="14"/>
                <w:szCs w:val="14"/>
                <w:lang w:eastAsia="sk-SK"/>
              </w:rPr>
              <w:t>21</w:t>
            </w:r>
            <w:r w:rsidRPr="00D26052">
              <w:rPr>
                <w:rFonts w:ascii="Times New Roman" w:hAnsi="Times New Roman" w:cs="Times New Roman"/>
                <w:b/>
                <w:bCs/>
                <w:color w:val="000000"/>
                <w:sz w:val="14"/>
                <w:szCs w:val="14"/>
                <w:lang w:eastAsia="sk-SK"/>
              </w:rPr>
              <w:t xml:space="preserve"> N</w:t>
            </w:r>
          </w:p>
        </w:tc>
      </w:tr>
      <w:tr w:rsidR="003A497B" w:rsidRPr="00D26052" w:rsidTr="003E1809">
        <w:trPr>
          <w:trHeight w:hRule="exact" w:val="284"/>
        </w:trPr>
        <w:tc>
          <w:tcPr>
            <w:tcW w:w="171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497B" w:rsidRPr="00D26052" w:rsidRDefault="003A497B" w:rsidP="003E1809">
            <w:pP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Pomoc v hmotnej núdzi</w:t>
            </w:r>
          </w:p>
        </w:tc>
        <w:tc>
          <w:tcPr>
            <w:tcW w:w="469"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Default="003A497B" w:rsidP="003E1809">
            <w:pPr>
              <w:jc w:val="right"/>
              <w:rPr>
                <w:rFonts w:ascii="Times New Roman" w:hAnsi="Times New Roman" w:cs="Times New Roman"/>
                <w:b/>
                <w:bCs/>
                <w:color w:val="000000"/>
                <w:sz w:val="14"/>
                <w:szCs w:val="14"/>
                <w:lang w:eastAsia="sk-SK"/>
              </w:rPr>
            </w:pPr>
            <w:r w:rsidRPr="0076653B">
              <w:rPr>
                <w:rFonts w:ascii="Times New Roman" w:hAnsi="Times New Roman" w:cs="Times New Roman"/>
                <w:b/>
                <w:bCs/>
                <w:color w:val="000000"/>
                <w:sz w:val="14"/>
                <w:szCs w:val="14"/>
                <w:lang w:eastAsia="sk-SK"/>
              </w:rPr>
              <w:t>202 687 927</w:t>
            </w:r>
          </w:p>
        </w:tc>
        <w:tc>
          <w:tcPr>
            <w:tcW w:w="470"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76653B" w:rsidRDefault="003A497B" w:rsidP="003E1809">
            <w:pPr>
              <w:jc w:val="right"/>
              <w:rPr>
                <w:rFonts w:ascii="Times New Roman" w:hAnsi="Times New Roman" w:cs="Times New Roman"/>
                <w:b/>
                <w:bCs/>
                <w:color w:val="000000"/>
                <w:sz w:val="14"/>
                <w:szCs w:val="14"/>
                <w:lang w:eastAsia="sk-SK"/>
              </w:rPr>
            </w:pPr>
            <w:r w:rsidRPr="0076653B">
              <w:rPr>
                <w:rFonts w:ascii="Times New Roman" w:hAnsi="Times New Roman" w:cs="Times New Roman"/>
                <w:b/>
                <w:bCs/>
                <w:color w:val="000000"/>
                <w:sz w:val="14"/>
                <w:szCs w:val="14"/>
                <w:lang w:eastAsia="sk-SK"/>
              </w:rPr>
              <w:t>171 837 332</w:t>
            </w:r>
          </w:p>
        </w:tc>
        <w:tc>
          <w:tcPr>
            <w:tcW w:w="469"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76653B" w:rsidRDefault="003A497B" w:rsidP="003E1809">
            <w:pPr>
              <w:jc w:val="right"/>
              <w:rPr>
                <w:rFonts w:ascii="Times New Roman" w:hAnsi="Times New Roman" w:cs="Times New Roman"/>
                <w:b/>
                <w:bCs/>
                <w:color w:val="000000"/>
                <w:sz w:val="14"/>
                <w:szCs w:val="14"/>
                <w:lang w:eastAsia="sk-SK"/>
              </w:rPr>
            </w:pPr>
            <w:r w:rsidRPr="0076653B">
              <w:rPr>
                <w:rFonts w:ascii="Times New Roman" w:hAnsi="Times New Roman" w:cs="Times New Roman"/>
                <w:b/>
                <w:bCs/>
                <w:color w:val="000000"/>
                <w:sz w:val="14"/>
                <w:szCs w:val="14"/>
                <w:lang w:eastAsia="sk-SK"/>
              </w:rPr>
              <w:t>173 336 906</w:t>
            </w:r>
          </w:p>
        </w:tc>
        <w:tc>
          <w:tcPr>
            <w:tcW w:w="469"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76653B" w:rsidRDefault="003A497B" w:rsidP="003E1809">
            <w:pPr>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140 567 200</w:t>
            </w:r>
          </w:p>
        </w:tc>
        <w:tc>
          <w:tcPr>
            <w:tcW w:w="470"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Default="003A497B" w:rsidP="003E1809">
            <w:pPr>
              <w:jc w:val="right"/>
              <w:rPr>
                <w:rFonts w:ascii="Times New Roman" w:hAnsi="Times New Roman" w:cs="Times New Roman"/>
                <w:b/>
                <w:bCs/>
                <w:color w:val="000000"/>
                <w:sz w:val="14"/>
                <w:szCs w:val="14"/>
                <w:lang w:eastAsia="sk-SK"/>
              </w:rPr>
            </w:pPr>
            <w:r w:rsidRPr="00046299">
              <w:rPr>
                <w:rFonts w:ascii="Times New Roman" w:hAnsi="Times New Roman" w:cs="Times New Roman"/>
                <w:b/>
                <w:bCs/>
                <w:color w:val="000000"/>
                <w:sz w:val="14"/>
                <w:szCs w:val="14"/>
                <w:lang w:eastAsia="sk-SK"/>
              </w:rPr>
              <w:t>152 412 938</w:t>
            </w:r>
          </w:p>
        </w:tc>
        <w:tc>
          <w:tcPr>
            <w:tcW w:w="470"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046299" w:rsidRDefault="003A497B" w:rsidP="003E1809">
            <w:pPr>
              <w:jc w:val="right"/>
              <w:rPr>
                <w:rFonts w:ascii="Times New Roman" w:hAnsi="Times New Roman" w:cs="Times New Roman"/>
                <w:b/>
                <w:bCs/>
                <w:color w:val="000000"/>
                <w:sz w:val="14"/>
                <w:szCs w:val="14"/>
                <w:lang w:eastAsia="sk-SK"/>
              </w:rPr>
            </w:pPr>
            <w:r w:rsidRPr="00046299">
              <w:rPr>
                <w:rFonts w:ascii="Times New Roman" w:hAnsi="Times New Roman" w:cs="Times New Roman"/>
                <w:b/>
                <w:bCs/>
                <w:color w:val="000000"/>
                <w:sz w:val="14"/>
                <w:szCs w:val="14"/>
                <w:lang w:eastAsia="sk-SK"/>
              </w:rPr>
              <w:t>154 249 267</w:t>
            </w:r>
          </w:p>
        </w:tc>
        <w:tc>
          <w:tcPr>
            <w:tcW w:w="464"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046299" w:rsidRDefault="003A497B" w:rsidP="003E1809">
            <w:pPr>
              <w:jc w:val="right"/>
              <w:rPr>
                <w:rFonts w:ascii="Times New Roman" w:hAnsi="Times New Roman" w:cs="Times New Roman"/>
                <w:b/>
                <w:bCs/>
                <w:color w:val="000000"/>
                <w:sz w:val="14"/>
                <w:szCs w:val="14"/>
                <w:lang w:eastAsia="sk-SK"/>
              </w:rPr>
            </w:pPr>
            <w:r w:rsidRPr="00046299">
              <w:rPr>
                <w:rFonts w:ascii="Times New Roman" w:hAnsi="Times New Roman" w:cs="Times New Roman"/>
                <w:b/>
                <w:bCs/>
                <w:color w:val="000000"/>
                <w:sz w:val="14"/>
                <w:szCs w:val="14"/>
                <w:lang w:eastAsia="sk-SK"/>
              </w:rPr>
              <w:t>149 461 833</w:t>
            </w:r>
          </w:p>
        </w:tc>
      </w:tr>
      <w:tr w:rsidR="003A497B" w:rsidRPr="00D26052" w:rsidTr="003E1809">
        <w:trPr>
          <w:trHeight w:hRule="exact" w:val="284"/>
        </w:trPr>
        <w:tc>
          <w:tcPr>
            <w:tcW w:w="1719" w:type="pct"/>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Dávka v hmotnej núdzi</w:t>
            </w:r>
          </w:p>
        </w:tc>
        <w:tc>
          <w:tcPr>
            <w:tcW w:w="469" w:type="pct"/>
            <w:tcBorders>
              <w:top w:val="nil"/>
              <w:left w:val="nil"/>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183 004 863</w:t>
            </w:r>
          </w:p>
        </w:tc>
        <w:tc>
          <w:tcPr>
            <w:tcW w:w="470" w:type="pct"/>
            <w:tcBorders>
              <w:top w:val="nil"/>
              <w:left w:val="nil"/>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154 501 140</w:t>
            </w:r>
          </w:p>
        </w:tc>
        <w:tc>
          <w:tcPr>
            <w:tcW w:w="469" w:type="pct"/>
            <w:tcBorders>
              <w:top w:val="nil"/>
              <w:left w:val="nil"/>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150 596 356</w:t>
            </w:r>
          </w:p>
        </w:tc>
        <w:tc>
          <w:tcPr>
            <w:tcW w:w="469" w:type="pct"/>
            <w:tcBorders>
              <w:top w:val="nil"/>
              <w:left w:val="nil"/>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124 136 000</w:t>
            </w:r>
          </w:p>
        </w:tc>
        <w:tc>
          <w:tcPr>
            <w:tcW w:w="470" w:type="pct"/>
            <w:tcBorders>
              <w:top w:val="nil"/>
              <w:left w:val="nil"/>
              <w:bottom w:val="single" w:sz="4" w:space="0" w:color="auto"/>
              <w:right w:val="single" w:sz="4" w:space="0" w:color="auto"/>
            </w:tcBorders>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134 994 538</w:t>
            </w:r>
          </w:p>
        </w:tc>
        <w:tc>
          <w:tcPr>
            <w:tcW w:w="470" w:type="pct"/>
            <w:tcBorders>
              <w:top w:val="nil"/>
              <w:left w:val="nil"/>
              <w:bottom w:val="single" w:sz="4" w:space="0" w:color="auto"/>
              <w:right w:val="single" w:sz="4" w:space="0" w:color="auto"/>
            </w:tcBorders>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136 764 392</w:t>
            </w:r>
          </w:p>
        </w:tc>
        <w:tc>
          <w:tcPr>
            <w:tcW w:w="464" w:type="pct"/>
            <w:tcBorders>
              <w:top w:val="nil"/>
              <w:left w:val="nil"/>
              <w:bottom w:val="single" w:sz="4" w:space="0" w:color="auto"/>
              <w:right w:val="single" w:sz="4" w:space="0" w:color="auto"/>
            </w:tcBorders>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131 801 133</w:t>
            </w:r>
          </w:p>
        </w:tc>
      </w:tr>
      <w:tr w:rsidR="003A497B" w:rsidRPr="00D26052" w:rsidTr="003E1809">
        <w:trPr>
          <w:trHeight w:hRule="exact" w:val="284"/>
        </w:trPr>
        <w:tc>
          <w:tcPr>
            <w:tcW w:w="1719" w:type="pct"/>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Dotácia na výkon osobitného príjemcu</w:t>
            </w:r>
          </w:p>
        </w:tc>
        <w:tc>
          <w:tcPr>
            <w:tcW w:w="469" w:type="pct"/>
            <w:tcBorders>
              <w:top w:val="nil"/>
              <w:left w:val="nil"/>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163 247</w:t>
            </w:r>
          </w:p>
        </w:tc>
        <w:tc>
          <w:tcPr>
            <w:tcW w:w="470" w:type="pct"/>
            <w:tcBorders>
              <w:top w:val="nil"/>
              <w:left w:val="nil"/>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154 015</w:t>
            </w:r>
          </w:p>
        </w:tc>
        <w:tc>
          <w:tcPr>
            <w:tcW w:w="469" w:type="pct"/>
            <w:tcBorders>
              <w:top w:val="nil"/>
              <w:left w:val="nil"/>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205 000</w:t>
            </w:r>
          </w:p>
        </w:tc>
        <w:tc>
          <w:tcPr>
            <w:tcW w:w="469" w:type="pct"/>
            <w:tcBorders>
              <w:top w:val="nil"/>
              <w:left w:val="nil"/>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97 200</w:t>
            </w:r>
          </w:p>
        </w:tc>
        <w:tc>
          <w:tcPr>
            <w:tcW w:w="470" w:type="pct"/>
            <w:tcBorders>
              <w:top w:val="nil"/>
              <w:left w:val="nil"/>
              <w:bottom w:val="single" w:sz="4" w:space="0" w:color="auto"/>
              <w:right w:val="single" w:sz="4" w:space="0" w:color="auto"/>
            </w:tcBorders>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160 000</w:t>
            </w:r>
          </w:p>
        </w:tc>
        <w:tc>
          <w:tcPr>
            <w:tcW w:w="470" w:type="pct"/>
            <w:tcBorders>
              <w:top w:val="nil"/>
              <w:left w:val="nil"/>
              <w:bottom w:val="single" w:sz="4" w:space="0" w:color="auto"/>
              <w:right w:val="single" w:sz="4" w:space="0" w:color="auto"/>
            </w:tcBorders>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180 000</w:t>
            </w:r>
          </w:p>
        </w:tc>
        <w:tc>
          <w:tcPr>
            <w:tcW w:w="464" w:type="pct"/>
            <w:tcBorders>
              <w:top w:val="nil"/>
              <w:left w:val="nil"/>
              <w:bottom w:val="single" w:sz="4" w:space="0" w:color="auto"/>
              <w:right w:val="single" w:sz="4" w:space="0" w:color="auto"/>
            </w:tcBorders>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180 000</w:t>
            </w:r>
          </w:p>
        </w:tc>
      </w:tr>
      <w:tr w:rsidR="003A497B" w:rsidRPr="00D26052" w:rsidTr="003E1809">
        <w:trPr>
          <w:trHeight w:hRule="exact" w:val="284"/>
        </w:trPr>
        <w:tc>
          <w:tcPr>
            <w:tcW w:w="1719" w:type="pct"/>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Dotácia na stravu pre dieťa v hmotnej núdzi</w:t>
            </w:r>
          </w:p>
        </w:tc>
        <w:tc>
          <w:tcPr>
            <w:tcW w:w="469" w:type="pct"/>
            <w:tcBorders>
              <w:top w:val="nil"/>
              <w:left w:val="nil"/>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9 453 614</w:t>
            </w:r>
          </w:p>
        </w:tc>
        <w:tc>
          <w:tcPr>
            <w:tcW w:w="470" w:type="pct"/>
            <w:tcBorders>
              <w:top w:val="nil"/>
              <w:left w:val="nil"/>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8 309 554</w:t>
            </w:r>
          </w:p>
        </w:tc>
        <w:tc>
          <w:tcPr>
            <w:tcW w:w="469" w:type="pct"/>
            <w:tcBorders>
              <w:top w:val="nil"/>
              <w:left w:val="nil"/>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11 800 500</w:t>
            </w:r>
          </w:p>
        </w:tc>
        <w:tc>
          <w:tcPr>
            <w:tcW w:w="469" w:type="pct"/>
            <w:tcBorders>
              <w:top w:val="nil"/>
              <w:left w:val="nil"/>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8 208 000</w:t>
            </w:r>
          </w:p>
        </w:tc>
        <w:tc>
          <w:tcPr>
            <w:tcW w:w="470" w:type="pct"/>
            <w:tcBorders>
              <w:top w:val="nil"/>
              <w:left w:val="nil"/>
              <w:bottom w:val="single" w:sz="4" w:space="0" w:color="auto"/>
              <w:right w:val="single" w:sz="4" w:space="0" w:color="auto"/>
            </w:tcBorders>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8 310 300</w:t>
            </w:r>
          </w:p>
        </w:tc>
        <w:tc>
          <w:tcPr>
            <w:tcW w:w="470" w:type="pct"/>
            <w:tcBorders>
              <w:top w:val="nil"/>
              <w:left w:val="nil"/>
              <w:bottom w:val="single" w:sz="4" w:space="0" w:color="auto"/>
              <w:right w:val="single" w:sz="4" w:space="0" w:color="auto"/>
            </w:tcBorders>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8 120 600</w:t>
            </w:r>
          </w:p>
        </w:tc>
        <w:tc>
          <w:tcPr>
            <w:tcW w:w="464" w:type="pct"/>
            <w:tcBorders>
              <w:top w:val="nil"/>
              <w:left w:val="nil"/>
              <w:bottom w:val="single" w:sz="4" w:space="0" w:color="auto"/>
              <w:right w:val="single" w:sz="4" w:space="0" w:color="auto"/>
            </w:tcBorders>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8 130 900</w:t>
            </w:r>
          </w:p>
        </w:tc>
      </w:tr>
      <w:tr w:rsidR="003A497B" w:rsidRPr="00D26052" w:rsidTr="003E1809">
        <w:trPr>
          <w:trHeight w:hRule="exact" w:val="284"/>
        </w:trPr>
        <w:tc>
          <w:tcPr>
            <w:tcW w:w="1719" w:type="pct"/>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Dotácia na školské potreby pre dieťa v HN</w:t>
            </w:r>
          </w:p>
        </w:tc>
        <w:tc>
          <w:tcPr>
            <w:tcW w:w="469" w:type="pct"/>
            <w:tcBorders>
              <w:top w:val="nil"/>
              <w:left w:val="nil"/>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2 126 364</w:t>
            </w:r>
          </w:p>
        </w:tc>
        <w:tc>
          <w:tcPr>
            <w:tcW w:w="470" w:type="pct"/>
            <w:tcBorders>
              <w:top w:val="nil"/>
              <w:left w:val="nil"/>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1 859 545</w:t>
            </w:r>
          </w:p>
        </w:tc>
        <w:tc>
          <w:tcPr>
            <w:tcW w:w="469" w:type="pct"/>
            <w:tcBorders>
              <w:top w:val="nil"/>
              <w:left w:val="nil"/>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2 750 000</w:t>
            </w:r>
          </w:p>
        </w:tc>
        <w:tc>
          <w:tcPr>
            <w:tcW w:w="469" w:type="pct"/>
            <w:tcBorders>
              <w:top w:val="nil"/>
              <w:left w:val="nil"/>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1 743 000</w:t>
            </w:r>
          </w:p>
        </w:tc>
        <w:tc>
          <w:tcPr>
            <w:tcW w:w="470" w:type="pct"/>
            <w:tcBorders>
              <w:top w:val="nil"/>
              <w:left w:val="nil"/>
              <w:bottom w:val="single" w:sz="4" w:space="0" w:color="auto"/>
              <w:right w:val="single" w:sz="4" w:space="0" w:color="auto"/>
            </w:tcBorders>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2 008 600</w:t>
            </w:r>
          </w:p>
        </w:tc>
        <w:tc>
          <w:tcPr>
            <w:tcW w:w="470" w:type="pct"/>
            <w:tcBorders>
              <w:top w:val="nil"/>
              <w:left w:val="nil"/>
              <w:bottom w:val="single" w:sz="4" w:space="0" w:color="auto"/>
              <w:right w:val="single" w:sz="4" w:space="0" w:color="auto"/>
            </w:tcBorders>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1 992 000</w:t>
            </w:r>
          </w:p>
        </w:tc>
        <w:tc>
          <w:tcPr>
            <w:tcW w:w="464" w:type="pct"/>
            <w:tcBorders>
              <w:top w:val="nil"/>
              <w:left w:val="nil"/>
              <w:bottom w:val="single" w:sz="4" w:space="0" w:color="auto"/>
              <w:right w:val="single" w:sz="4" w:space="0" w:color="auto"/>
            </w:tcBorders>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1 975 400</w:t>
            </w:r>
          </w:p>
        </w:tc>
      </w:tr>
      <w:tr w:rsidR="003A497B" w:rsidRPr="00D26052" w:rsidTr="003E1809">
        <w:trPr>
          <w:trHeight w:hRule="exact" w:val="284"/>
        </w:trPr>
        <w:tc>
          <w:tcPr>
            <w:tcW w:w="1719" w:type="pct"/>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Náhradné výživné</w:t>
            </w:r>
          </w:p>
        </w:tc>
        <w:tc>
          <w:tcPr>
            <w:tcW w:w="469" w:type="pct"/>
            <w:tcBorders>
              <w:top w:val="nil"/>
              <w:left w:val="nil"/>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7 939 839</w:t>
            </w:r>
          </w:p>
        </w:tc>
        <w:tc>
          <w:tcPr>
            <w:tcW w:w="470" w:type="pct"/>
            <w:tcBorders>
              <w:top w:val="nil"/>
              <w:left w:val="nil"/>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7 013 078</w:t>
            </w:r>
          </w:p>
        </w:tc>
        <w:tc>
          <w:tcPr>
            <w:tcW w:w="469" w:type="pct"/>
            <w:tcBorders>
              <w:top w:val="nil"/>
              <w:left w:val="nil"/>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7 985 050</w:t>
            </w:r>
          </w:p>
        </w:tc>
        <w:tc>
          <w:tcPr>
            <w:tcW w:w="469" w:type="pct"/>
            <w:tcBorders>
              <w:top w:val="nil"/>
              <w:left w:val="nil"/>
              <w:bottom w:val="single" w:sz="4" w:space="0" w:color="auto"/>
              <w:right w:val="single" w:sz="4" w:space="0" w:color="auto"/>
            </w:tcBorders>
            <w:shd w:val="clear" w:color="auto" w:fill="auto"/>
            <w:vAlign w:val="bottom"/>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6 638 000</w:t>
            </w:r>
          </w:p>
        </w:tc>
        <w:tc>
          <w:tcPr>
            <w:tcW w:w="470" w:type="pct"/>
            <w:tcBorders>
              <w:top w:val="nil"/>
              <w:left w:val="nil"/>
              <w:bottom w:val="single" w:sz="4" w:space="0" w:color="auto"/>
              <w:right w:val="single" w:sz="4" w:space="0" w:color="auto"/>
            </w:tcBorders>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6 939 500</w:t>
            </w:r>
          </w:p>
        </w:tc>
        <w:tc>
          <w:tcPr>
            <w:tcW w:w="470" w:type="pct"/>
            <w:tcBorders>
              <w:top w:val="nil"/>
              <w:left w:val="nil"/>
              <w:bottom w:val="single" w:sz="4" w:space="0" w:color="auto"/>
              <w:right w:val="single" w:sz="4" w:space="0" w:color="auto"/>
            </w:tcBorders>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7 192 275</w:t>
            </w:r>
          </w:p>
        </w:tc>
        <w:tc>
          <w:tcPr>
            <w:tcW w:w="464" w:type="pct"/>
            <w:tcBorders>
              <w:top w:val="nil"/>
              <w:left w:val="nil"/>
              <w:bottom w:val="single" w:sz="4" w:space="0" w:color="auto"/>
              <w:right w:val="single" w:sz="4" w:space="0" w:color="auto"/>
            </w:tcBorders>
            <w:shd w:val="clear" w:color="auto" w:fill="auto"/>
            <w:vAlign w:val="bottom"/>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7 374 400</w:t>
            </w:r>
          </w:p>
        </w:tc>
      </w:tr>
    </w:tbl>
    <w:p w:rsidR="003A497B" w:rsidRPr="00F5748F"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color w:val="000000"/>
          <w:lang w:eastAsia="sk-SK"/>
        </w:rPr>
      </w:pPr>
    </w:p>
    <w:p w:rsidR="003A497B"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r w:rsidRPr="00D26052">
        <w:rPr>
          <w:rFonts w:ascii="Arial Narrow" w:hAnsi="Arial Narrow" w:cs="Times New Roman"/>
          <w:sz w:val="22"/>
          <w:szCs w:val="22"/>
          <w:lang w:eastAsia="sk-SK"/>
        </w:rPr>
        <w:tab/>
      </w:r>
      <w:r w:rsidRPr="00D26052">
        <w:rPr>
          <w:rFonts w:ascii="Times New Roman" w:hAnsi="Times New Roman" w:cs="Times New Roman"/>
          <w:lang w:eastAsia="sk-SK"/>
        </w:rPr>
        <w:t>Na program pomoci v hmotnej núdzi sa v roku 201</w:t>
      </w:r>
      <w:r>
        <w:rPr>
          <w:rFonts w:ascii="Times New Roman" w:hAnsi="Times New Roman" w:cs="Times New Roman"/>
          <w:lang w:eastAsia="sk-SK"/>
        </w:rPr>
        <w:t>9</w:t>
      </w:r>
      <w:r w:rsidRPr="00D26052">
        <w:rPr>
          <w:rFonts w:ascii="Times New Roman" w:hAnsi="Times New Roman" w:cs="Times New Roman"/>
          <w:lang w:eastAsia="sk-SK"/>
        </w:rPr>
        <w:t xml:space="preserve"> rozpočtuje </w:t>
      </w:r>
      <w:r>
        <w:rPr>
          <w:rFonts w:ascii="Times New Roman" w:hAnsi="Times New Roman" w:cs="Times New Roman"/>
          <w:lang w:eastAsia="sk-SK"/>
        </w:rPr>
        <w:t>152</w:t>
      </w:r>
      <w:r w:rsidRPr="00D26052">
        <w:rPr>
          <w:rFonts w:ascii="Times New Roman" w:hAnsi="Times New Roman" w:cs="Times New Roman"/>
          <w:lang w:eastAsia="sk-SK"/>
        </w:rPr>
        <w:t xml:space="preserve"> mil. eur, z toho na dávku v hmotnej núdzi 1</w:t>
      </w:r>
      <w:r>
        <w:rPr>
          <w:rFonts w:ascii="Times New Roman" w:hAnsi="Times New Roman" w:cs="Times New Roman"/>
          <w:lang w:eastAsia="sk-SK"/>
        </w:rPr>
        <w:t>34</w:t>
      </w:r>
      <w:r w:rsidRPr="00D26052">
        <w:rPr>
          <w:rFonts w:ascii="Times New Roman" w:hAnsi="Times New Roman" w:cs="Times New Roman"/>
          <w:lang w:eastAsia="sk-SK"/>
        </w:rPr>
        <w:t xml:space="preserve"> mil. eur. Medziročné zníženie na dávke v hmotnej núdzi oproti roku 201</w:t>
      </w:r>
      <w:r>
        <w:rPr>
          <w:rFonts w:ascii="Times New Roman" w:hAnsi="Times New Roman" w:cs="Times New Roman"/>
          <w:lang w:eastAsia="sk-SK"/>
        </w:rPr>
        <w:t>8</w:t>
      </w:r>
      <w:r w:rsidRPr="00D26052">
        <w:rPr>
          <w:rFonts w:ascii="Times New Roman" w:hAnsi="Times New Roman" w:cs="Times New Roman"/>
          <w:lang w:eastAsia="sk-SK"/>
        </w:rPr>
        <w:t xml:space="preserve"> predstavuje sumu </w:t>
      </w:r>
      <w:r>
        <w:rPr>
          <w:rFonts w:ascii="Times New Roman" w:hAnsi="Times New Roman" w:cs="Times New Roman"/>
          <w:lang w:eastAsia="sk-SK"/>
        </w:rPr>
        <w:t>15,6</w:t>
      </w:r>
      <w:r w:rsidRPr="00D26052">
        <w:rPr>
          <w:rFonts w:ascii="Times New Roman" w:hAnsi="Times New Roman" w:cs="Times New Roman"/>
          <w:lang w:eastAsia="sk-SK"/>
        </w:rPr>
        <w:t xml:space="preserve"> mil. eur a zohľadňuje vývoj v počte poberateľov.</w:t>
      </w:r>
      <w:r>
        <w:rPr>
          <w:rFonts w:ascii="Times New Roman" w:hAnsi="Times New Roman" w:cs="Times New Roman"/>
          <w:lang w:eastAsia="sk-SK"/>
        </w:rPr>
        <w:t xml:space="preserve"> Zapracovaný je vplyv uvažovanej novely zákona o hmotnej núdzi, ktorá predpokladá zvýšenie jednotlivých príspevkov.</w:t>
      </w:r>
    </w:p>
    <w:p w:rsidR="003A497B" w:rsidRPr="00D26052"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p>
    <w:p w:rsidR="003A497B"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r w:rsidRPr="00D26052">
        <w:rPr>
          <w:rFonts w:ascii="Arial Narrow" w:hAnsi="Arial Narrow" w:cs="Times New Roman"/>
          <w:sz w:val="22"/>
          <w:szCs w:val="22"/>
          <w:lang w:eastAsia="sk-SK"/>
        </w:rPr>
        <w:tab/>
      </w:r>
      <w:r w:rsidRPr="00D26052">
        <w:rPr>
          <w:rFonts w:ascii="Times New Roman" w:hAnsi="Times New Roman" w:cs="Times New Roman"/>
          <w:lang w:eastAsia="sk-SK"/>
        </w:rPr>
        <w:t>Výdavky na dotácie pre deti a náhradné výživné reagujú na doterajší vývoj v ich čerpaní v roku 201</w:t>
      </w:r>
      <w:r>
        <w:rPr>
          <w:rFonts w:ascii="Times New Roman" w:hAnsi="Times New Roman" w:cs="Times New Roman"/>
          <w:lang w:eastAsia="sk-SK"/>
        </w:rPr>
        <w:t>8</w:t>
      </w:r>
      <w:r w:rsidRPr="00D26052">
        <w:rPr>
          <w:rFonts w:ascii="Times New Roman" w:hAnsi="Times New Roman" w:cs="Times New Roman"/>
          <w:lang w:eastAsia="sk-SK"/>
        </w:rPr>
        <w:t>.</w:t>
      </w:r>
    </w:p>
    <w:p w:rsidR="003A497B"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p>
    <w:p w:rsidR="003A497B" w:rsidRPr="00060F31" w:rsidRDefault="003A497B" w:rsidP="003A497B">
      <w:pPr>
        <w:contextualSpacing/>
        <w:jc w:val="both"/>
        <w:rPr>
          <w:b/>
        </w:rPr>
      </w:pPr>
      <w:r w:rsidRPr="00C537DD">
        <w:rPr>
          <w:rFonts w:ascii="Times New Roman" w:hAnsi="Times New Roman" w:cs="Times New Roman"/>
          <w:b/>
          <w:lang w:eastAsia="sk-SK"/>
        </w:rPr>
        <w:t>Podpora rodiny</w:t>
      </w:r>
    </w:p>
    <w:p w:rsidR="003A497B"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p>
    <w:p w:rsidR="003A497B"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r>
        <w:rPr>
          <w:rFonts w:ascii="Times New Roman" w:hAnsi="Times New Roman" w:cs="Times New Roman"/>
          <w:lang w:eastAsia="sk-SK"/>
        </w:rPr>
        <w:tab/>
      </w:r>
      <w:r w:rsidRPr="004A683F">
        <w:rPr>
          <w:rFonts w:ascii="Times New Roman" w:hAnsi="Times New Roman" w:cs="Times New Roman"/>
          <w:lang w:eastAsia="sk-SK"/>
        </w:rPr>
        <w:t>Verejné výdavky na politiky podpory rodiny v pomere k HDP na Slovensku dosahujú priemer OECD. Podiel peňažných benefitov je nadpriemerný. Rozsah daňových úľav a najmä poskytnutých služieb (napr. detské jasle) sú zároveň nižšie ako v ostatných krajinách V4.</w:t>
      </w:r>
    </w:p>
    <w:p w:rsidR="003A497B"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r w:rsidRPr="00C537DD">
        <w:rPr>
          <w:rFonts w:ascii="Times New Roman" w:hAnsi="Times New Roman" w:cs="Times New Roman"/>
          <w:lang w:eastAsia="sk-SK"/>
        </w:rPr>
        <w:t xml:space="preserve"> </w:t>
      </w:r>
    </w:p>
    <w:p w:rsidR="003A497B" w:rsidRPr="00C537DD"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1E0" w:firstRow="1" w:lastRow="1" w:firstColumn="1" w:lastColumn="1" w:noHBand="0" w:noVBand="0"/>
      </w:tblPr>
      <w:tblGrid>
        <w:gridCol w:w="4334"/>
        <w:gridCol w:w="146"/>
        <w:gridCol w:w="4592"/>
      </w:tblGrid>
      <w:tr w:rsidR="003A497B" w:rsidRPr="00191349" w:rsidTr="003E1809">
        <w:trPr>
          <w:trHeight w:val="308"/>
          <w:jc w:val="center"/>
        </w:trPr>
        <w:tc>
          <w:tcPr>
            <w:tcW w:w="2419" w:type="pct"/>
            <w:tcBorders>
              <w:top w:val="nil"/>
              <w:left w:val="nil"/>
              <w:bottom w:val="single" w:sz="4" w:space="0" w:color="auto"/>
              <w:right w:val="nil"/>
            </w:tcBorders>
            <w:shd w:val="clear" w:color="auto" w:fill="auto"/>
            <w:vAlign w:val="center"/>
          </w:tcPr>
          <w:p w:rsidR="003A497B" w:rsidRPr="00A6654F" w:rsidRDefault="003A497B" w:rsidP="003E1809">
            <w:pPr>
              <w:rPr>
                <w:rFonts w:ascii="Times New Roman" w:eastAsia="Calibri" w:hAnsi="Times New Roman" w:cs="Times New Roman"/>
                <w:b/>
                <w:sz w:val="20"/>
                <w:szCs w:val="20"/>
              </w:rPr>
            </w:pPr>
            <w:r w:rsidRPr="005A57A8">
              <w:rPr>
                <w:rFonts w:ascii="Times New Roman" w:eastAsia="Calibri" w:hAnsi="Times New Roman" w:cs="Times New Roman"/>
                <w:b/>
                <w:iCs/>
                <w:sz w:val="20"/>
                <w:szCs w:val="20"/>
              </w:rPr>
              <w:t>Graf: Verejné výdavky na rodinné politiky v krajinách OECD, % HDP, 2011</w:t>
            </w:r>
          </w:p>
        </w:tc>
        <w:tc>
          <w:tcPr>
            <w:tcW w:w="80" w:type="pct"/>
            <w:tcBorders>
              <w:top w:val="nil"/>
              <w:left w:val="nil"/>
              <w:bottom w:val="nil"/>
              <w:right w:val="nil"/>
            </w:tcBorders>
            <w:shd w:val="clear" w:color="auto" w:fill="auto"/>
            <w:vAlign w:val="center"/>
          </w:tcPr>
          <w:p w:rsidR="003A497B" w:rsidRPr="00A6654F" w:rsidRDefault="003A497B" w:rsidP="003E1809">
            <w:pPr>
              <w:spacing w:before="60" w:after="60"/>
              <w:rPr>
                <w:rFonts w:ascii="Times New Roman" w:eastAsia="Calibri" w:hAnsi="Times New Roman" w:cs="Times New Roman"/>
                <w:b/>
                <w:sz w:val="20"/>
                <w:szCs w:val="20"/>
              </w:rPr>
            </w:pPr>
          </w:p>
        </w:tc>
        <w:tc>
          <w:tcPr>
            <w:tcW w:w="2501" w:type="pct"/>
            <w:tcBorders>
              <w:top w:val="nil"/>
              <w:left w:val="nil"/>
              <w:bottom w:val="single" w:sz="4" w:space="0" w:color="auto"/>
              <w:right w:val="nil"/>
            </w:tcBorders>
            <w:shd w:val="clear" w:color="auto" w:fill="auto"/>
            <w:vAlign w:val="center"/>
          </w:tcPr>
          <w:p w:rsidR="003A497B" w:rsidRPr="00A6654F" w:rsidRDefault="003A497B" w:rsidP="003E1809">
            <w:pPr>
              <w:rPr>
                <w:rFonts w:ascii="Times New Roman" w:eastAsia="Calibri" w:hAnsi="Times New Roman" w:cs="Times New Roman"/>
                <w:b/>
                <w:color w:val="000000"/>
                <w:sz w:val="20"/>
                <w:szCs w:val="20"/>
              </w:rPr>
            </w:pPr>
            <w:r w:rsidRPr="00A6654F">
              <w:rPr>
                <w:rFonts w:ascii="Times New Roman" w:eastAsia="Calibri" w:hAnsi="Times New Roman" w:cs="Times New Roman"/>
                <w:b/>
                <w:iCs/>
                <w:sz w:val="20"/>
                <w:szCs w:val="20"/>
              </w:rPr>
              <w:t>Graf</w:t>
            </w:r>
            <w:r w:rsidRPr="00A6654F">
              <w:rPr>
                <w:rFonts w:ascii="Times New Roman" w:eastAsia="Arial" w:hAnsi="Times New Roman" w:cs="Times New Roman"/>
                <w:b/>
                <w:iCs/>
                <w:color w:val="000000"/>
                <w:sz w:val="20"/>
                <w:szCs w:val="20"/>
                <w:lang w:eastAsia="fr-FR" w:bidi="fr-FR"/>
              </w:rPr>
              <w:t xml:space="preserve">: </w:t>
            </w:r>
            <w:r>
              <w:rPr>
                <w:rFonts w:ascii="Times New Roman" w:eastAsia="Calibri" w:hAnsi="Times New Roman" w:cs="Times New Roman"/>
                <w:b/>
                <w:sz w:val="20"/>
                <w:szCs w:val="20"/>
              </w:rPr>
              <w:t>Celková dĺžka platenej rodičovskej dovolenky v týždňoch 2016 (v prepočte na priemernú mzdu krajiny)</w:t>
            </w:r>
          </w:p>
        </w:tc>
      </w:tr>
      <w:tr w:rsidR="003A497B" w:rsidRPr="00191349" w:rsidTr="003E1809">
        <w:trPr>
          <w:trHeight w:val="3959"/>
          <w:jc w:val="center"/>
        </w:trPr>
        <w:tc>
          <w:tcPr>
            <w:tcW w:w="2419" w:type="pct"/>
            <w:tcBorders>
              <w:top w:val="single" w:sz="4" w:space="0" w:color="auto"/>
              <w:left w:val="nil"/>
              <w:bottom w:val="single" w:sz="4" w:space="0" w:color="auto"/>
              <w:right w:val="nil"/>
            </w:tcBorders>
            <w:vAlign w:val="center"/>
          </w:tcPr>
          <w:p w:rsidR="003A497B" w:rsidRPr="00191349" w:rsidRDefault="003A497B" w:rsidP="003E1809">
            <w:pPr>
              <w:spacing w:before="40" w:after="40"/>
              <w:rPr>
                <w:rFonts w:eastAsia="Calibri" w:cs="Arial"/>
                <w:b/>
                <w:sz w:val="20"/>
                <w:szCs w:val="20"/>
              </w:rPr>
            </w:pPr>
            <w:r w:rsidRPr="00191349">
              <w:rPr>
                <w:noProof/>
                <w:lang w:eastAsia="sk-SK"/>
              </w:rPr>
              <w:drawing>
                <wp:inline distT="0" distB="0" distL="0" distR="0" wp14:anchorId="759C7D30" wp14:editId="0F7B9087">
                  <wp:extent cx="2638425" cy="2581275"/>
                  <wp:effectExtent l="0" t="0" r="0" b="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80" w:type="pct"/>
            <w:tcBorders>
              <w:top w:val="nil"/>
              <w:left w:val="nil"/>
              <w:bottom w:val="nil"/>
              <w:right w:val="nil"/>
            </w:tcBorders>
            <w:vAlign w:val="center"/>
          </w:tcPr>
          <w:p w:rsidR="003A497B" w:rsidRPr="00191349" w:rsidRDefault="003A497B" w:rsidP="003E1809">
            <w:pPr>
              <w:spacing w:before="40" w:after="40"/>
              <w:jc w:val="center"/>
              <w:rPr>
                <w:rFonts w:eastAsia="Calibri" w:cs="Arial"/>
                <w:b/>
                <w:sz w:val="20"/>
                <w:szCs w:val="20"/>
              </w:rPr>
            </w:pPr>
          </w:p>
        </w:tc>
        <w:tc>
          <w:tcPr>
            <w:tcW w:w="2501" w:type="pct"/>
            <w:tcBorders>
              <w:top w:val="single" w:sz="4" w:space="0" w:color="auto"/>
              <w:left w:val="nil"/>
              <w:bottom w:val="single" w:sz="4" w:space="0" w:color="auto"/>
              <w:right w:val="nil"/>
            </w:tcBorders>
            <w:vAlign w:val="center"/>
          </w:tcPr>
          <w:p w:rsidR="003A497B" w:rsidRPr="00191349" w:rsidRDefault="003A497B" w:rsidP="003E1809">
            <w:pPr>
              <w:tabs>
                <w:tab w:val="left" w:pos="1719"/>
              </w:tabs>
              <w:spacing w:before="40" w:after="40"/>
              <w:jc w:val="right"/>
              <w:rPr>
                <w:rFonts w:eastAsia="Calibri" w:cs="Arial"/>
                <w:b/>
                <w:sz w:val="20"/>
                <w:szCs w:val="20"/>
              </w:rPr>
            </w:pPr>
            <w:r>
              <w:rPr>
                <w:noProof/>
                <w:lang w:eastAsia="sk-SK"/>
              </w:rPr>
              <w:drawing>
                <wp:inline distT="0" distB="0" distL="0" distR="0" wp14:anchorId="126448B6" wp14:editId="2C463467">
                  <wp:extent cx="2827347" cy="2659813"/>
                  <wp:effectExtent l="0" t="0" r="0" b="762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3A497B" w:rsidRPr="00A6654F" w:rsidTr="003E1809">
        <w:trPr>
          <w:trHeight w:val="227"/>
          <w:jc w:val="center"/>
        </w:trPr>
        <w:tc>
          <w:tcPr>
            <w:tcW w:w="2419" w:type="pct"/>
            <w:tcBorders>
              <w:top w:val="single" w:sz="4" w:space="0" w:color="auto"/>
              <w:left w:val="nil"/>
              <w:bottom w:val="nil"/>
              <w:right w:val="nil"/>
            </w:tcBorders>
            <w:vAlign w:val="center"/>
          </w:tcPr>
          <w:p w:rsidR="003A497B" w:rsidRPr="00A6654F" w:rsidRDefault="003A497B" w:rsidP="003E1809">
            <w:pPr>
              <w:tabs>
                <w:tab w:val="left" w:pos="388"/>
                <w:tab w:val="right" w:pos="4380"/>
              </w:tabs>
              <w:spacing w:before="40" w:after="40"/>
              <w:contextualSpacing/>
              <w:jc w:val="right"/>
              <w:rPr>
                <w:rFonts w:ascii="Times New Roman" w:eastAsia="Calibri" w:hAnsi="Times New Roman" w:cs="Times New Roman"/>
                <w:i/>
                <w:sz w:val="18"/>
                <w:szCs w:val="18"/>
              </w:rPr>
            </w:pPr>
            <w:r w:rsidRPr="005A57A8">
              <w:rPr>
                <w:rFonts w:ascii="Times New Roman" w:eastAsia="Calibri" w:hAnsi="Times New Roman" w:cs="Times New Roman"/>
                <w:bCs/>
                <w:i/>
                <w:sz w:val="18"/>
                <w:szCs w:val="18"/>
                <w:lang w:eastAsia="zh-TW"/>
              </w:rPr>
              <w:t>Zdroj: OECD</w:t>
            </w:r>
          </w:p>
        </w:tc>
        <w:tc>
          <w:tcPr>
            <w:tcW w:w="80" w:type="pct"/>
            <w:tcBorders>
              <w:top w:val="nil"/>
              <w:left w:val="nil"/>
              <w:bottom w:val="nil"/>
              <w:right w:val="nil"/>
            </w:tcBorders>
          </w:tcPr>
          <w:p w:rsidR="003A497B" w:rsidRPr="00A6654F" w:rsidRDefault="003A497B" w:rsidP="003E1809">
            <w:pPr>
              <w:spacing w:after="160"/>
              <w:contextualSpacing/>
              <w:jc w:val="center"/>
              <w:rPr>
                <w:rFonts w:ascii="Times New Roman" w:eastAsia="Calibri" w:hAnsi="Times New Roman" w:cs="Times New Roman"/>
                <w:i/>
                <w:sz w:val="16"/>
                <w:szCs w:val="14"/>
              </w:rPr>
            </w:pPr>
          </w:p>
        </w:tc>
        <w:tc>
          <w:tcPr>
            <w:tcW w:w="2501" w:type="pct"/>
            <w:tcBorders>
              <w:top w:val="single" w:sz="4" w:space="0" w:color="auto"/>
              <w:left w:val="nil"/>
              <w:bottom w:val="nil"/>
              <w:right w:val="nil"/>
            </w:tcBorders>
            <w:vAlign w:val="center"/>
          </w:tcPr>
          <w:p w:rsidR="003A497B" w:rsidRPr="00A6654F" w:rsidRDefault="003A497B" w:rsidP="003E1809">
            <w:pPr>
              <w:tabs>
                <w:tab w:val="left" w:pos="413"/>
                <w:tab w:val="right" w:pos="4597"/>
              </w:tabs>
              <w:spacing w:before="40" w:after="40"/>
              <w:contextualSpacing/>
              <w:jc w:val="right"/>
              <w:rPr>
                <w:rFonts w:ascii="Times New Roman" w:eastAsia="Calibri" w:hAnsi="Times New Roman" w:cs="Times New Roman"/>
                <w:i/>
                <w:sz w:val="16"/>
                <w:szCs w:val="14"/>
              </w:rPr>
            </w:pPr>
            <w:r w:rsidRPr="005A57A8">
              <w:rPr>
                <w:rFonts w:ascii="Times New Roman" w:eastAsia="Calibri" w:hAnsi="Times New Roman" w:cs="Times New Roman"/>
                <w:bCs/>
                <w:i/>
                <w:sz w:val="18"/>
                <w:szCs w:val="20"/>
                <w:lang w:eastAsia="zh-TW"/>
              </w:rPr>
              <w:t>Zdroj: OECD</w:t>
            </w:r>
          </w:p>
        </w:tc>
      </w:tr>
    </w:tbl>
    <w:p w:rsidR="003A497B" w:rsidRDefault="003A497B" w:rsidP="003A497B">
      <w:pPr>
        <w:jc w:val="both"/>
        <w:rPr>
          <w:rFonts w:ascii="Times New Roman" w:hAnsi="Times New Roman" w:cs="Times New Roman"/>
          <w:lang w:eastAsia="sk-SK"/>
        </w:rPr>
      </w:pPr>
    </w:p>
    <w:p w:rsidR="003A497B" w:rsidRPr="00571888" w:rsidRDefault="003A497B" w:rsidP="003A497B">
      <w:pPr>
        <w:ind w:firstLine="708"/>
        <w:jc w:val="both"/>
        <w:rPr>
          <w:rFonts w:ascii="Times New Roman" w:hAnsi="Times New Roman" w:cs="Times New Roman"/>
          <w:lang w:eastAsia="sk-SK"/>
        </w:rPr>
      </w:pPr>
      <w:r w:rsidRPr="00571888">
        <w:rPr>
          <w:rFonts w:ascii="Times New Roman" w:hAnsi="Times New Roman" w:cs="Times New Roman"/>
          <w:lang w:eastAsia="sk-SK"/>
        </w:rPr>
        <w:t xml:space="preserve">Priemerný rodič je na rodičovskej dovolenke takmer 24 mesiacov, podporovaná dĺžka je piata najdlhšia z porovnávaných krajín. Dĺžka rodičovskej dovolenky pritom závisí od príjmu, ekonomickej aktivity ako aj možnosti formálnej starostlivosti pre deti do troch rokov. Za účelom rozvoja starostlivosti o deti do troch rokov bol v roku 2018 spustený projekt výstavby a rekonštrukcie zariadení v hodnote 13,5 mil. eur. </w:t>
      </w:r>
    </w:p>
    <w:p w:rsidR="003A497B" w:rsidRPr="00571888" w:rsidRDefault="003A497B" w:rsidP="003A497B">
      <w:pPr>
        <w:ind w:firstLine="708"/>
        <w:jc w:val="both"/>
        <w:rPr>
          <w:rFonts w:ascii="Times New Roman" w:hAnsi="Times New Roman" w:cs="Times New Roman"/>
          <w:lang w:eastAsia="sk-SK"/>
        </w:rPr>
      </w:pPr>
    </w:p>
    <w:p w:rsidR="003A497B" w:rsidRPr="004A683F" w:rsidRDefault="003A497B" w:rsidP="003A497B">
      <w:pPr>
        <w:ind w:firstLine="708"/>
        <w:jc w:val="both"/>
        <w:rPr>
          <w:rFonts w:ascii="Times New Roman" w:hAnsi="Times New Roman" w:cs="Times New Roman"/>
          <w:lang w:eastAsia="sk-SK"/>
        </w:rPr>
      </w:pPr>
      <w:r w:rsidRPr="00571888">
        <w:rPr>
          <w:rFonts w:ascii="Times New Roman" w:hAnsi="Times New Roman" w:cs="Times New Roman"/>
          <w:lang w:eastAsia="sk-SK"/>
        </w:rPr>
        <w:t>Podpora rodiny prostredníctvom rodinných dávok je určená všetkým rodičom bez ohľadu na príjem. Potenciálom pre lepšie cielenie rodinnej politiky je podmienenie získania dávok nízkym príjmom domácnosti. Na prípadné zlepšenie podpory rodiny je možné zvážiť rozšírenie daňového bonusu.</w:t>
      </w:r>
    </w:p>
    <w:p w:rsidR="003A497B" w:rsidRDefault="003A497B" w:rsidP="003A497B">
      <w:pPr>
        <w:jc w:val="both"/>
        <w:rPr>
          <w:rFonts w:ascii="Times New Roman" w:hAnsi="Times New Roman" w:cs="Times New Roman"/>
          <w:lang w:eastAsia="sk-SK"/>
        </w:rPr>
      </w:pPr>
    </w:p>
    <w:tbl>
      <w:tblPr>
        <w:tblW w:w="5000" w:type="pct"/>
        <w:tblCellMar>
          <w:left w:w="70" w:type="dxa"/>
          <w:right w:w="70" w:type="dxa"/>
        </w:tblCellMar>
        <w:tblLook w:val="04A0" w:firstRow="1" w:lastRow="0" w:firstColumn="1" w:lastColumn="0" w:noHBand="0" w:noVBand="1"/>
      </w:tblPr>
      <w:tblGrid>
        <w:gridCol w:w="3115"/>
        <w:gridCol w:w="850"/>
        <w:gridCol w:w="852"/>
        <w:gridCol w:w="850"/>
        <w:gridCol w:w="850"/>
        <w:gridCol w:w="850"/>
        <w:gridCol w:w="852"/>
        <w:gridCol w:w="843"/>
      </w:tblGrid>
      <w:tr w:rsidR="003A497B" w:rsidRPr="00D26052" w:rsidTr="003E1809">
        <w:trPr>
          <w:trHeight w:val="210"/>
        </w:trPr>
        <w:tc>
          <w:tcPr>
            <w:tcW w:w="171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v eurách</w:t>
            </w:r>
          </w:p>
        </w:tc>
        <w:tc>
          <w:tcPr>
            <w:tcW w:w="46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w:t>
            </w:r>
            <w:r w:rsidRPr="00D26052">
              <w:rPr>
                <w:rFonts w:ascii="Times New Roman" w:hAnsi="Times New Roman" w:cs="Times New Roman"/>
                <w:b/>
                <w:bCs/>
                <w:color w:val="000000"/>
                <w:sz w:val="14"/>
                <w:szCs w:val="14"/>
                <w:lang w:eastAsia="sk-SK"/>
              </w:rPr>
              <w:t xml:space="preserve"> S</w:t>
            </w:r>
          </w:p>
        </w:tc>
        <w:tc>
          <w:tcPr>
            <w:tcW w:w="470"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w:t>
            </w:r>
            <w:r w:rsidRPr="00D26052">
              <w:rPr>
                <w:rFonts w:ascii="Times New Roman" w:hAnsi="Times New Roman" w:cs="Times New Roman"/>
                <w:b/>
                <w:bCs/>
                <w:color w:val="000000"/>
                <w:sz w:val="14"/>
                <w:szCs w:val="14"/>
                <w:lang w:eastAsia="sk-SK"/>
              </w:rPr>
              <w:t xml:space="preserve"> S</w:t>
            </w:r>
          </w:p>
        </w:tc>
        <w:tc>
          <w:tcPr>
            <w:tcW w:w="469"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D26052">
              <w:rPr>
                <w:rFonts w:ascii="Times New Roman" w:hAnsi="Times New Roman" w:cs="Times New Roman"/>
                <w:b/>
                <w:bCs/>
                <w:color w:val="000000"/>
                <w:sz w:val="14"/>
                <w:szCs w:val="14"/>
                <w:lang w:eastAsia="sk-SK"/>
              </w:rPr>
              <w:t xml:space="preserve"> R</w:t>
            </w:r>
          </w:p>
        </w:tc>
        <w:tc>
          <w:tcPr>
            <w:tcW w:w="469"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D26052">
              <w:rPr>
                <w:rFonts w:ascii="Times New Roman" w:hAnsi="Times New Roman" w:cs="Times New Roman"/>
                <w:b/>
                <w:bCs/>
                <w:color w:val="000000"/>
                <w:sz w:val="14"/>
                <w:szCs w:val="14"/>
                <w:lang w:eastAsia="sk-SK"/>
              </w:rPr>
              <w:t xml:space="preserve"> OS</w:t>
            </w:r>
          </w:p>
        </w:tc>
        <w:tc>
          <w:tcPr>
            <w:tcW w:w="469"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9</w:t>
            </w:r>
            <w:r w:rsidRPr="00D26052">
              <w:rPr>
                <w:rFonts w:ascii="Times New Roman" w:hAnsi="Times New Roman" w:cs="Times New Roman"/>
                <w:b/>
                <w:bCs/>
                <w:color w:val="000000"/>
                <w:sz w:val="14"/>
                <w:szCs w:val="14"/>
                <w:lang w:eastAsia="sk-SK"/>
              </w:rPr>
              <w:t xml:space="preserve"> N</w:t>
            </w:r>
          </w:p>
        </w:tc>
        <w:tc>
          <w:tcPr>
            <w:tcW w:w="470"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w:t>
            </w:r>
            <w:r>
              <w:rPr>
                <w:rFonts w:ascii="Times New Roman" w:hAnsi="Times New Roman" w:cs="Times New Roman"/>
                <w:b/>
                <w:bCs/>
                <w:color w:val="000000"/>
                <w:sz w:val="14"/>
                <w:szCs w:val="14"/>
                <w:lang w:eastAsia="sk-SK"/>
              </w:rPr>
              <w:t>20</w:t>
            </w:r>
            <w:r w:rsidRPr="00D26052">
              <w:rPr>
                <w:rFonts w:ascii="Times New Roman" w:hAnsi="Times New Roman" w:cs="Times New Roman"/>
                <w:b/>
                <w:bCs/>
                <w:color w:val="000000"/>
                <w:sz w:val="14"/>
                <w:szCs w:val="14"/>
                <w:lang w:eastAsia="sk-SK"/>
              </w:rPr>
              <w:t xml:space="preserve"> N</w:t>
            </w:r>
          </w:p>
        </w:tc>
        <w:tc>
          <w:tcPr>
            <w:tcW w:w="465"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w:t>
            </w:r>
            <w:r>
              <w:rPr>
                <w:rFonts w:ascii="Times New Roman" w:hAnsi="Times New Roman" w:cs="Times New Roman"/>
                <w:b/>
                <w:bCs/>
                <w:color w:val="000000"/>
                <w:sz w:val="14"/>
                <w:szCs w:val="14"/>
                <w:lang w:eastAsia="sk-SK"/>
              </w:rPr>
              <w:t>21</w:t>
            </w:r>
            <w:r w:rsidRPr="00D26052">
              <w:rPr>
                <w:rFonts w:ascii="Times New Roman" w:hAnsi="Times New Roman" w:cs="Times New Roman"/>
                <w:b/>
                <w:bCs/>
                <w:color w:val="000000"/>
                <w:sz w:val="14"/>
                <w:szCs w:val="14"/>
                <w:lang w:eastAsia="sk-SK"/>
              </w:rPr>
              <w:t xml:space="preserve"> N</w:t>
            </w:r>
          </w:p>
        </w:tc>
      </w:tr>
      <w:tr w:rsidR="003A497B" w:rsidRPr="00D26052" w:rsidTr="003E1809">
        <w:trPr>
          <w:trHeight w:val="210"/>
        </w:trPr>
        <w:tc>
          <w:tcPr>
            <w:tcW w:w="1719"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3A497B" w:rsidRPr="00D26052" w:rsidRDefault="003A497B" w:rsidP="003E1809">
            <w:pP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Podpora rodiny zo štátneho rozpočtu</w:t>
            </w:r>
          </w:p>
        </w:tc>
        <w:tc>
          <w:tcPr>
            <w:tcW w:w="469" w:type="pct"/>
            <w:tcBorders>
              <w:top w:val="single" w:sz="4" w:space="0" w:color="auto"/>
              <w:left w:val="nil"/>
              <w:bottom w:val="single" w:sz="4" w:space="0" w:color="auto"/>
              <w:right w:val="single" w:sz="4" w:space="0" w:color="auto"/>
            </w:tcBorders>
            <w:shd w:val="pct25" w:color="auto" w:fill="auto"/>
            <w:vAlign w:val="center"/>
            <w:hideMark/>
          </w:tcPr>
          <w:p w:rsidR="003A497B" w:rsidRDefault="003A497B" w:rsidP="003E1809">
            <w:pPr>
              <w:jc w:val="right"/>
              <w:rPr>
                <w:rFonts w:ascii="Times New Roman" w:hAnsi="Times New Roman" w:cs="Times New Roman"/>
                <w:b/>
                <w:bCs/>
                <w:color w:val="000000"/>
                <w:sz w:val="14"/>
                <w:szCs w:val="14"/>
                <w:lang w:eastAsia="sk-SK"/>
              </w:rPr>
            </w:pPr>
            <w:r w:rsidRPr="0076653B">
              <w:rPr>
                <w:rFonts w:ascii="Times New Roman" w:hAnsi="Times New Roman" w:cs="Times New Roman"/>
                <w:b/>
                <w:bCs/>
                <w:color w:val="000000"/>
                <w:sz w:val="14"/>
                <w:szCs w:val="14"/>
                <w:lang w:eastAsia="sk-SK"/>
              </w:rPr>
              <w:t>718 991 443</w:t>
            </w:r>
          </w:p>
        </w:tc>
        <w:tc>
          <w:tcPr>
            <w:tcW w:w="470" w:type="pct"/>
            <w:tcBorders>
              <w:top w:val="single" w:sz="4" w:space="0" w:color="auto"/>
              <w:left w:val="nil"/>
              <w:bottom w:val="single" w:sz="4" w:space="0" w:color="auto"/>
              <w:right w:val="single" w:sz="4" w:space="0" w:color="auto"/>
            </w:tcBorders>
            <w:shd w:val="pct25" w:color="auto" w:fill="auto"/>
            <w:vAlign w:val="center"/>
            <w:hideMark/>
          </w:tcPr>
          <w:p w:rsidR="003A497B" w:rsidRPr="0076653B" w:rsidRDefault="003A497B" w:rsidP="003E1809">
            <w:pPr>
              <w:jc w:val="right"/>
              <w:rPr>
                <w:rFonts w:ascii="Times New Roman" w:hAnsi="Times New Roman" w:cs="Times New Roman"/>
                <w:b/>
                <w:bCs/>
                <w:color w:val="000000"/>
                <w:sz w:val="14"/>
                <w:szCs w:val="14"/>
                <w:lang w:eastAsia="sk-SK"/>
              </w:rPr>
            </w:pPr>
            <w:r w:rsidRPr="0076653B">
              <w:rPr>
                <w:rFonts w:ascii="Times New Roman" w:hAnsi="Times New Roman" w:cs="Times New Roman"/>
                <w:b/>
                <w:bCs/>
                <w:color w:val="000000"/>
                <w:sz w:val="14"/>
                <w:szCs w:val="14"/>
                <w:lang w:eastAsia="sk-SK"/>
              </w:rPr>
              <w:t>722 530 702</w:t>
            </w:r>
          </w:p>
        </w:tc>
        <w:tc>
          <w:tcPr>
            <w:tcW w:w="469" w:type="pct"/>
            <w:tcBorders>
              <w:top w:val="single" w:sz="4" w:space="0" w:color="auto"/>
              <w:left w:val="nil"/>
              <w:bottom w:val="single" w:sz="4" w:space="0" w:color="auto"/>
              <w:right w:val="single" w:sz="4" w:space="0" w:color="auto"/>
            </w:tcBorders>
            <w:shd w:val="pct25" w:color="auto" w:fill="auto"/>
            <w:vAlign w:val="center"/>
            <w:hideMark/>
          </w:tcPr>
          <w:p w:rsidR="003A497B" w:rsidRPr="0076653B" w:rsidRDefault="003A497B" w:rsidP="003E1809">
            <w:pPr>
              <w:jc w:val="right"/>
              <w:rPr>
                <w:rFonts w:ascii="Times New Roman" w:hAnsi="Times New Roman" w:cs="Times New Roman"/>
                <w:b/>
                <w:bCs/>
                <w:color w:val="000000"/>
                <w:sz w:val="14"/>
                <w:szCs w:val="14"/>
                <w:lang w:eastAsia="sk-SK"/>
              </w:rPr>
            </w:pPr>
            <w:r w:rsidRPr="0076653B">
              <w:rPr>
                <w:rFonts w:ascii="Times New Roman" w:hAnsi="Times New Roman" w:cs="Times New Roman"/>
                <w:b/>
                <w:bCs/>
                <w:color w:val="000000"/>
                <w:sz w:val="14"/>
                <w:szCs w:val="14"/>
                <w:lang w:eastAsia="sk-SK"/>
              </w:rPr>
              <w:t>740 597 920</w:t>
            </w:r>
          </w:p>
        </w:tc>
        <w:tc>
          <w:tcPr>
            <w:tcW w:w="469" w:type="pct"/>
            <w:tcBorders>
              <w:top w:val="single" w:sz="4" w:space="0" w:color="auto"/>
              <w:left w:val="nil"/>
              <w:bottom w:val="single" w:sz="4" w:space="0" w:color="auto"/>
              <w:right w:val="single" w:sz="4" w:space="0" w:color="auto"/>
            </w:tcBorders>
            <w:shd w:val="pct25" w:color="auto" w:fill="auto"/>
            <w:vAlign w:val="center"/>
            <w:hideMark/>
          </w:tcPr>
          <w:p w:rsidR="003A497B" w:rsidRPr="0076653B" w:rsidRDefault="003A497B" w:rsidP="003E1809">
            <w:pPr>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741 009 284</w:t>
            </w:r>
          </w:p>
        </w:tc>
        <w:tc>
          <w:tcPr>
            <w:tcW w:w="469" w:type="pct"/>
            <w:tcBorders>
              <w:top w:val="single" w:sz="4" w:space="0" w:color="auto"/>
              <w:left w:val="nil"/>
              <w:bottom w:val="single" w:sz="4" w:space="0" w:color="auto"/>
              <w:right w:val="single" w:sz="4" w:space="0" w:color="auto"/>
            </w:tcBorders>
            <w:shd w:val="pct25" w:color="auto" w:fill="auto"/>
            <w:vAlign w:val="center"/>
            <w:hideMark/>
          </w:tcPr>
          <w:p w:rsidR="003A497B" w:rsidRDefault="003A497B" w:rsidP="003E1809">
            <w:pPr>
              <w:jc w:val="right"/>
              <w:rPr>
                <w:rFonts w:ascii="Times New Roman" w:hAnsi="Times New Roman" w:cs="Times New Roman"/>
                <w:b/>
                <w:bCs/>
                <w:color w:val="000000"/>
                <w:sz w:val="14"/>
                <w:szCs w:val="14"/>
                <w:lang w:eastAsia="sk-SK"/>
              </w:rPr>
            </w:pPr>
            <w:r w:rsidRPr="00046299">
              <w:rPr>
                <w:rFonts w:ascii="Times New Roman" w:hAnsi="Times New Roman" w:cs="Times New Roman"/>
                <w:b/>
                <w:bCs/>
                <w:color w:val="000000"/>
                <w:sz w:val="14"/>
                <w:szCs w:val="14"/>
                <w:lang w:eastAsia="sk-SK"/>
              </w:rPr>
              <w:t>756 383 703</w:t>
            </w:r>
          </w:p>
        </w:tc>
        <w:tc>
          <w:tcPr>
            <w:tcW w:w="470" w:type="pct"/>
            <w:tcBorders>
              <w:top w:val="single" w:sz="4" w:space="0" w:color="auto"/>
              <w:left w:val="nil"/>
              <w:bottom w:val="single" w:sz="4" w:space="0" w:color="auto"/>
              <w:right w:val="single" w:sz="4" w:space="0" w:color="auto"/>
            </w:tcBorders>
            <w:shd w:val="pct25" w:color="auto" w:fill="auto"/>
            <w:vAlign w:val="center"/>
            <w:hideMark/>
          </w:tcPr>
          <w:p w:rsidR="003A497B" w:rsidRPr="00046299" w:rsidRDefault="003A497B" w:rsidP="003E1809">
            <w:pPr>
              <w:jc w:val="right"/>
              <w:rPr>
                <w:rFonts w:ascii="Times New Roman" w:hAnsi="Times New Roman" w:cs="Times New Roman"/>
                <w:b/>
                <w:bCs/>
                <w:color w:val="000000"/>
                <w:sz w:val="14"/>
                <w:szCs w:val="14"/>
                <w:lang w:eastAsia="sk-SK"/>
              </w:rPr>
            </w:pPr>
            <w:r w:rsidRPr="00046299">
              <w:rPr>
                <w:rFonts w:ascii="Times New Roman" w:hAnsi="Times New Roman" w:cs="Times New Roman"/>
                <w:b/>
                <w:bCs/>
                <w:color w:val="000000"/>
                <w:sz w:val="14"/>
                <w:szCs w:val="14"/>
                <w:lang w:eastAsia="sk-SK"/>
              </w:rPr>
              <w:t>770 702 799</w:t>
            </w:r>
          </w:p>
        </w:tc>
        <w:tc>
          <w:tcPr>
            <w:tcW w:w="465" w:type="pct"/>
            <w:tcBorders>
              <w:top w:val="single" w:sz="4" w:space="0" w:color="auto"/>
              <w:left w:val="nil"/>
              <w:bottom w:val="single" w:sz="4" w:space="0" w:color="auto"/>
              <w:right w:val="single" w:sz="4" w:space="0" w:color="auto"/>
            </w:tcBorders>
            <w:shd w:val="pct25" w:color="auto" w:fill="auto"/>
            <w:vAlign w:val="center"/>
            <w:hideMark/>
          </w:tcPr>
          <w:p w:rsidR="003A497B" w:rsidRPr="00046299" w:rsidRDefault="003A497B" w:rsidP="003E1809">
            <w:pPr>
              <w:jc w:val="right"/>
              <w:rPr>
                <w:rFonts w:ascii="Times New Roman" w:hAnsi="Times New Roman" w:cs="Times New Roman"/>
                <w:b/>
                <w:bCs/>
                <w:color w:val="000000"/>
                <w:sz w:val="14"/>
                <w:szCs w:val="14"/>
                <w:lang w:eastAsia="sk-SK"/>
              </w:rPr>
            </w:pPr>
            <w:r w:rsidRPr="00046299">
              <w:rPr>
                <w:rFonts w:ascii="Times New Roman" w:hAnsi="Times New Roman" w:cs="Times New Roman"/>
                <w:b/>
                <w:bCs/>
                <w:color w:val="000000"/>
                <w:sz w:val="14"/>
                <w:szCs w:val="14"/>
                <w:lang w:eastAsia="sk-SK"/>
              </w:rPr>
              <w:t>788 670 907</w:t>
            </w:r>
          </w:p>
        </w:tc>
      </w:tr>
      <w:tr w:rsidR="003A497B" w:rsidRPr="00D26052" w:rsidTr="003E1809">
        <w:trPr>
          <w:trHeight w:val="210"/>
        </w:trPr>
        <w:tc>
          <w:tcPr>
            <w:tcW w:w="1719" w:type="pct"/>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 xml:space="preserve">Prídavok na dieťa </w:t>
            </w:r>
          </w:p>
        </w:tc>
        <w:tc>
          <w:tcPr>
            <w:tcW w:w="469" w:type="pct"/>
            <w:tcBorders>
              <w:top w:val="nil"/>
              <w:left w:val="nil"/>
              <w:bottom w:val="single" w:sz="4" w:space="0" w:color="auto"/>
              <w:right w:val="single" w:sz="4" w:space="0" w:color="auto"/>
            </w:tcBorders>
            <w:shd w:val="clear" w:color="auto" w:fill="auto"/>
            <w:vAlign w:val="center"/>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312 926 386</w:t>
            </w:r>
          </w:p>
        </w:tc>
        <w:tc>
          <w:tcPr>
            <w:tcW w:w="470" w:type="pct"/>
            <w:tcBorders>
              <w:top w:val="nil"/>
              <w:left w:val="nil"/>
              <w:bottom w:val="single" w:sz="4" w:space="0" w:color="auto"/>
              <w:right w:val="single" w:sz="4" w:space="0" w:color="auto"/>
            </w:tcBorders>
            <w:shd w:val="clear" w:color="auto" w:fill="auto"/>
            <w:vAlign w:val="center"/>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311 438 228</w:t>
            </w:r>
          </w:p>
        </w:tc>
        <w:tc>
          <w:tcPr>
            <w:tcW w:w="469" w:type="pct"/>
            <w:tcBorders>
              <w:top w:val="nil"/>
              <w:left w:val="nil"/>
              <w:bottom w:val="single" w:sz="4" w:space="0" w:color="auto"/>
              <w:right w:val="single" w:sz="4" w:space="0" w:color="auto"/>
            </w:tcBorders>
            <w:shd w:val="clear" w:color="auto" w:fill="auto"/>
            <w:vAlign w:val="center"/>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315 074 993</w:t>
            </w:r>
          </w:p>
        </w:tc>
        <w:tc>
          <w:tcPr>
            <w:tcW w:w="469" w:type="pct"/>
            <w:tcBorders>
              <w:top w:val="nil"/>
              <w:left w:val="nil"/>
              <w:bottom w:val="single" w:sz="4" w:space="0" w:color="auto"/>
              <w:right w:val="single" w:sz="4" w:space="0" w:color="auto"/>
            </w:tcBorders>
            <w:shd w:val="clear" w:color="auto" w:fill="auto"/>
            <w:vAlign w:val="center"/>
            <w:hideMark/>
          </w:tcPr>
          <w:p w:rsidR="003A497B" w:rsidRPr="0076653B"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315 000 800</w:t>
            </w:r>
          </w:p>
        </w:tc>
        <w:tc>
          <w:tcPr>
            <w:tcW w:w="469" w:type="pct"/>
            <w:tcBorders>
              <w:top w:val="nil"/>
              <w:left w:val="nil"/>
              <w:bottom w:val="single" w:sz="4" w:space="0" w:color="auto"/>
              <w:right w:val="single" w:sz="4" w:space="0" w:color="auto"/>
            </w:tcBorders>
            <w:shd w:val="clear" w:color="auto" w:fill="auto"/>
            <w:vAlign w:val="center"/>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320 751 600</w:t>
            </w:r>
          </w:p>
        </w:tc>
        <w:tc>
          <w:tcPr>
            <w:tcW w:w="470" w:type="pct"/>
            <w:tcBorders>
              <w:top w:val="nil"/>
              <w:left w:val="nil"/>
              <w:bottom w:val="single" w:sz="4" w:space="0" w:color="auto"/>
              <w:right w:val="single" w:sz="4" w:space="0" w:color="auto"/>
            </w:tcBorders>
            <w:shd w:val="clear" w:color="auto" w:fill="auto"/>
            <w:vAlign w:val="center"/>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327 140 594</w:t>
            </w:r>
          </w:p>
        </w:tc>
        <w:tc>
          <w:tcPr>
            <w:tcW w:w="465" w:type="pct"/>
            <w:tcBorders>
              <w:top w:val="nil"/>
              <w:left w:val="nil"/>
              <w:bottom w:val="single" w:sz="4" w:space="0" w:color="auto"/>
              <w:right w:val="single" w:sz="4" w:space="0" w:color="auto"/>
            </w:tcBorders>
            <w:shd w:val="clear" w:color="auto" w:fill="auto"/>
            <w:vAlign w:val="center"/>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335 909 658</w:t>
            </w:r>
          </w:p>
        </w:tc>
      </w:tr>
      <w:tr w:rsidR="003A497B" w:rsidRPr="00D26052" w:rsidTr="003E1809">
        <w:trPr>
          <w:trHeight w:val="210"/>
        </w:trPr>
        <w:tc>
          <w:tcPr>
            <w:tcW w:w="1719" w:type="pct"/>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 xml:space="preserve">Rodičovský príspevok </w:t>
            </w:r>
          </w:p>
        </w:tc>
        <w:tc>
          <w:tcPr>
            <w:tcW w:w="469" w:type="pct"/>
            <w:tcBorders>
              <w:top w:val="nil"/>
              <w:left w:val="nil"/>
              <w:bottom w:val="single" w:sz="4" w:space="0" w:color="auto"/>
              <w:right w:val="single" w:sz="4" w:space="0" w:color="auto"/>
            </w:tcBorders>
            <w:shd w:val="clear" w:color="auto" w:fill="auto"/>
            <w:vAlign w:val="center"/>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352 444 023</w:t>
            </w:r>
          </w:p>
        </w:tc>
        <w:tc>
          <w:tcPr>
            <w:tcW w:w="470" w:type="pct"/>
            <w:tcBorders>
              <w:top w:val="nil"/>
              <w:left w:val="nil"/>
              <w:bottom w:val="single" w:sz="4" w:space="0" w:color="auto"/>
              <w:right w:val="single" w:sz="4" w:space="0" w:color="auto"/>
            </w:tcBorders>
            <w:shd w:val="clear" w:color="auto" w:fill="auto"/>
            <w:vAlign w:val="center"/>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361 299 093</w:t>
            </w:r>
          </w:p>
        </w:tc>
        <w:tc>
          <w:tcPr>
            <w:tcW w:w="469" w:type="pct"/>
            <w:tcBorders>
              <w:top w:val="nil"/>
              <w:left w:val="nil"/>
              <w:bottom w:val="single" w:sz="4" w:space="0" w:color="auto"/>
              <w:right w:val="single" w:sz="4" w:space="0" w:color="auto"/>
            </w:tcBorders>
            <w:shd w:val="clear" w:color="auto" w:fill="auto"/>
            <w:vAlign w:val="center"/>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372 916 957</w:t>
            </w:r>
          </w:p>
        </w:tc>
        <w:tc>
          <w:tcPr>
            <w:tcW w:w="469" w:type="pct"/>
            <w:tcBorders>
              <w:top w:val="nil"/>
              <w:left w:val="nil"/>
              <w:bottom w:val="single" w:sz="4" w:space="0" w:color="auto"/>
              <w:right w:val="single" w:sz="4" w:space="0" w:color="auto"/>
            </w:tcBorders>
            <w:shd w:val="clear" w:color="auto" w:fill="auto"/>
            <w:vAlign w:val="center"/>
            <w:hideMark/>
          </w:tcPr>
          <w:p w:rsidR="003A497B" w:rsidRPr="0076653B"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372 184 200</w:t>
            </w:r>
          </w:p>
        </w:tc>
        <w:tc>
          <w:tcPr>
            <w:tcW w:w="469" w:type="pct"/>
            <w:tcBorders>
              <w:top w:val="nil"/>
              <w:left w:val="nil"/>
              <w:bottom w:val="single" w:sz="4" w:space="0" w:color="auto"/>
              <w:right w:val="single" w:sz="4" w:space="0" w:color="auto"/>
            </w:tcBorders>
            <w:shd w:val="clear" w:color="auto" w:fill="auto"/>
            <w:vAlign w:val="center"/>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382 062 000</w:t>
            </w:r>
          </w:p>
        </w:tc>
        <w:tc>
          <w:tcPr>
            <w:tcW w:w="470" w:type="pct"/>
            <w:tcBorders>
              <w:top w:val="nil"/>
              <w:left w:val="nil"/>
              <w:bottom w:val="single" w:sz="4" w:space="0" w:color="auto"/>
              <w:right w:val="single" w:sz="4" w:space="0" w:color="auto"/>
            </w:tcBorders>
            <w:shd w:val="clear" w:color="auto" w:fill="auto"/>
            <w:vAlign w:val="center"/>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388 992 098</w:t>
            </w:r>
          </w:p>
        </w:tc>
        <w:tc>
          <w:tcPr>
            <w:tcW w:w="465" w:type="pct"/>
            <w:tcBorders>
              <w:top w:val="nil"/>
              <w:left w:val="nil"/>
              <w:bottom w:val="single" w:sz="4" w:space="0" w:color="auto"/>
              <w:right w:val="single" w:sz="4" w:space="0" w:color="auto"/>
            </w:tcBorders>
            <w:shd w:val="clear" w:color="auto" w:fill="auto"/>
            <w:vAlign w:val="center"/>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398 191 142</w:t>
            </w:r>
          </w:p>
        </w:tc>
      </w:tr>
      <w:tr w:rsidR="003A497B" w:rsidRPr="00D26052" w:rsidTr="003E1809">
        <w:trPr>
          <w:trHeight w:val="210"/>
        </w:trPr>
        <w:tc>
          <w:tcPr>
            <w:tcW w:w="1719" w:type="pct"/>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Ostatné príspevky na podporu rodiny</w:t>
            </w:r>
          </w:p>
        </w:tc>
        <w:tc>
          <w:tcPr>
            <w:tcW w:w="469" w:type="pct"/>
            <w:tcBorders>
              <w:top w:val="nil"/>
              <w:left w:val="nil"/>
              <w:bottom w:val="single" w:sz="4" w:space="0" w:color="auto"/>
              <w:right w:val="single" w:sz="4" w:space="0" w:color="auto"/>
            </w:tcBorders>
            <w:shd w:val="clear" w:color="auto" w:fill="auto"/>
            <w:vAlign w:val="center"/>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47 860 930</w:t>
            </w:r>
          </w:p>
        </w:tc>
        <w:tc>
          <w:tcPr>
            <w:tcW w:w="470" w:type="pct"/>
            <w:tcBorders>
              <w:top w:val="nil"/>
              <w:left w:val="nil"/>
              <w:bottom w:val="single" w:sz="4" w:space="0" w:color="auto"/>
              <w:right w:val="single" w:sz="4" w:space="0" w:color="auto"/>
            </w:tcBorders>
            <w:shd w:val="clear" w:color="auto" w:fill="auto"/>
            <w:vAlign w:val="center"/>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48 134 330</w:t>
            </w:r>
          </w:p>
        </w:tc>
        <w:tc>
          <w:tcPr>
            <w:tcW w:w="469" w:type="pct"/>
            <w:tcBorders>
              <w:top w:val="nil"/>
              <w:left w:val="nil"/>
              <w:bottom w:val="single" w:sz="4" w:space="0" w:color="auto"/>
              <w:right w:val="single" w:sz="4" w:space="0" w:color="auto"/>
            </w:tcBorders>
            <w:shd w:val="clear" w:color="auto" w:fill="auto"/>
            <w:vAlign w:val="center"/>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47 850 120</w:t>
            </w:r>
          </w:p>
        </w:tc>
        <w:tc>
          <w:tcPr>
            <w:tcW w:w="469" w:type="pct"/>
            <w:tcBorders>
              <w:top w:val="nil"/>
              <w:left w:val="nil"/>
              <w:bottom w:val="single" w:sz="4" w:space="0" w:color="auto"/>
              <w:right w:val="single" w:sz="4" w:space="0" w:color="auto"/>
            </w:tcBorders>
            <w:shd w:val="clear" w:color="auto" w:fill="auto"/>
            <w:vAlign w:val="center"/>
            <w:hideMark/>
          </w:tcPr>
          <w:p w:rsidR="003A497B" w:rsidRPr="0076653B"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47 824 284</w:t>
            </w:r>
          </w:p>
        </w:tc>
        <w:tc>
          <w:tcPr>
            <w:tcW w:w="469" w:type="pct"/>
            <w:tcBorders>
              <w:top w:val="nil"/>
              <w:left w:val="nil"/>
              <w:bottom w:val="single" w:sz="4" w:space="0" w:color="auto"/>
              <w:right w:val="single" w:sz="4" w:space="0" w:color="auto"/>
            </w:tcBorders>
            <w:shd w:val="clear" w:color="auto" w:fill="auto"/>
            <w:vAlign w:val="center"/>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48 814 253</w:t>
            </w:r>
          </w:p>
        </w:tc>
        <w:tc>
          <w:tcPr>
            <w:tcW w:w="470" w:type="pct"/>
            <w:tcBorders>
              <w:top w:val="nil"/>
              <w:left w:val="nil"/>
              <w:bottom w:val="single" w:sz="4" w:space="0" w:color="auto"/>
              <w:right w:val="single" w:sz="4" w:space="0" w:color="auto"/>
            </w:tcBorders>
            <w:shd w:val="clear" w:color="auto" w:fill="auto"/>
            <w:vAlign w:val="center"/>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49 814 257</w:t>
            </w:r>
          </w:p>
        </w:tc>
        <w:tc>
          <w:tcPr>
            <w:tcW w:w="465" w:type="pct"/>
            <w:tcBorders>
              <w:top w:val="nil"/>
              <w:left w:val="nil"/>
              <w:bottom w:val="single" w:sz="4" w:space="0" w:color="auto"/>
              <w:right w:val="single" w:sz="4" w:space="0" w:color="auto"/>
            </w:tcBorders>
            <w:shd w:val="clear" w:color="auto" w:fill="auto"/>
            <w:vAlign w:val="center"/>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49 814 257</w:t>
            </w:r>
          </w:p>
        </w:tc>
      </w:tr>
      <w:tr w:rsidR="003A497B" w:rsidRPr="00D26052" w:rsidTr="003E1809">
        <w:trPr>
          <w:trHeight w:val="210"/>
        </w:trPr>
        <w:tc>
          <w:tcPr>
            <w:tcW w:w="1719" w:type="pct"/>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Príspevok na starostlivosť o dieťa</w:t>
            </w:r>
          </w:p>
        </w:tc>
        <w:tc>
          <w:tcPr>
            <w:tcW w:w="469" w:type="pct"/>
            <w:tcBorders>
              <w:top w:val="nil"/>
              <w:left w:val="nil"/>
              <w:bottom w:val="single" w:sz="4" w:space="0" w:color="auto"/>
              <w:right w:val="single" w:sz="4" w:space="0" w:color="auto"/>
            </w:tcBorders>
            <w:shd w:val="clear" w:color="auto" w:fill="auto"/>
            <w:vAlign w:val="center"/>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5 760 104</w:t>
            </w:r>
          </w:p>
        </w:tc>
        <w:tc>
          <w:tcPr>
            <w:tcW w:w="470" w:type="pct"/>
            <w:tcBorders>
              <w:top w:val="nil"/>
              <w:left w:val="nil"/>
              <w:bottom w:val="single" w:sz="4" w:space="0" w:color="auto"/>
              <w:right w:val="single" w:sz="4" w:space="0" w:color="auto"/>
            </w:tcBorders>
            <w:shd w:val="clear" w:color="auto" w:fill="auto"/>
            <w:vAlign w:val="center"/>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1 659 051</w:t>
            </w:r>
          </w:p>
        </w:tc>
        <w:tc>
          <w:tcPr>
            <w:tcW w:w="469" w:type="pct"/>
            <w:tcBorders>
              <w:top w:val="nil"/>
              <w:left w:val="nil"/>
              <w:bottom w:val="single" w:sz="4" w:space="0" w:color="auto"/>
              <w:right w:val="single" w:sz="4" w:space="0" w:color="auto"/>
            </w:tcBorders>
            <w:shd w:val="clear" w:color="auto" w:fill="auto"/>
            <w:vAlign w:val="center"/>
            <w:hideMark/>
          </w:tcPr>
          <w:p w:rsidR="003A497B" w:rsidRPr="0076653B" w:rsidRDefault="003A497B" w:rsidP="003E1809">
            <w:pPr>
              <w:jc w:val="right"/>
              <w:rPr>
                <w:rFonts w:ascii="Times New Roman" w:hAnsi="Times New Roman" w:cs="Times New Roman"/>
                <w:sz w:val="14"/>
                <w:szCs w:val="14"/>
                <w:lang w:eastAsia="sk-SK"/>
              </w:rPr>
            </w:pPr>
            <w:r w:rsidRPr="0076653B">
              <w:rPr>
                <w:rFonts w:ascii="Times New Roman" w:hAnsi="Times New Roman" w:cs="Times New Roman"/>
                <w:sz w:val="14"/>
                <w:szCs w:val="14"/>
                <w:lang w:eastAsia="sk-SK"/>
              </w:rPr>
              <w:t>4 755 850</w:t>
            </w:r>
          </w:p>
        </w:tc>
        <w:tc>
          <w:tcPr>
            <w:tcW w:w="469" w:type="pct"/>
            <w:tcBorders>
              <w:top w:val="nil"/>
              <w:left w:val="nil"/>
              <w:bottom w:val="single" w:sz="4" w:space="0" w:color="auto"/>
              <w:right w:val="single" w:sz="4" w:space="0" w:color="auto"/>
            </w:tcBorders>
            <w:shd w:val="clear" w:color="auto" w:fill="auto"/>
            <w:vAlign w:val="center"/>
            <w:hideMark/>
          </w:tcPr>
          <w:p w:rsidR="003A497B" w:rsidRPr="0076653B"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6 000 000</w:t>
            </w:r>
          </w:p>
        </w:tc>
        <w:tc>
          <w:tcPr>
            <w:tcW w:w="469" w:type="pct"/>
            <w:tcBorders>
              <w:top w:val="nil"/>
              <w:left w:val="nil"/>
              <w:bottom w:val="single" w:sz="4" w:space="0" w:color="auto"/>
              <w:right w:val="single" w:sz="4" w:space="0" w:color="auto"/>
            </w:tcBorders>
            <w:shd w:val="clear" w:color="auto" w:fill="auto"/>
            <w:vAlign w:val="center"/>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4 755 850</w:t>
            </w:r>
          </w:p>
        </w:tc>
        <w:tc>
          <w:tcPr>
            <w:tcW w:w="470" w:type="pct"/>
            <w:tcBorders>
              <w:top w:val="nil"/>
              <w:left w:val="nil"/>
              <w:bottom w:val="single" w:sz="4" w:space="0" w:color="auto"/>
              <w:right w:val="single" w:sz="4" w:space="0" w:color="auto"/>
            </w:tcBorders>
            <w:shd w:val="clear" w:color="auto" w:fill="auto"/>
            <w:vAlign w:val="center"/>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4 755 850</w:t>
            </w:r>
          </w:p>
        </w:tc>
        <w:tc>
          <w:tcPr>
            <w:tcW w:w="465" w:type="pct"/>
            <w:tcBorders>
              <w:top w:val="nil"/>
              <w:left w:val="nil"/>
              <w:bottom w:val="single" w:sz="4" w:space="0" w:color="auto"/>
              <w:right w:val="single" w:sz="4" w:space="0" w:color="auto"/>
            </w:tcBorders>
            <w:shd w:val="clear" w:color="auto" w:fill="auto"/>
            <w:vAlign w:val="center"/>
            <w:hideMark/>
          </w:tcPr>
          <w:p w:rsidR="003A497B" w:rsidRPr="00046299" w:rsidRDefault="003A497B" w:rsidP="003E1809">
            <w:pPr>
              <w:jc w:val="right"/>
              <w:rPr>
                <w:rFonts w:ascii="Times New Roman" w:hAnsi="Times New Roman" w:cs="Times New Roman"/>
                <w:sz w:val="14"/>
                <w:szCs w:val="14"/>
                <w:lang w:eastAsia="sk-SK"/>
              </w:rPr>
            </w:pPr>
            <w:r w:rsidRPr="00046299">
              <w:rPr>
                <w:rFonts w:ascii="Times New Roman" w:hAnsi="Times New Roman" w:cs="Times New Roman"/>
                <w:sz w:val="14"/>
                <w:szCs w:val="14"/>
                <w:lang w:eastAsia="sk-SK"/>
              </w:rPr>
              <w:t>4 755 850</w:t>
            </w:r>
          </w:p>
        </w:tc>
      </w:tr>
    </w:tbl>
    <w:p w:rsidR="003A497B" w:rsidRPr="00F5748F"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p>
    <w:p w:rsidR="003A497B" w:rsidRPr="00D26052"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r w:rsidRPr="00D26052">
        <w:rPr>
          <w:rFonts w:ascii="Arial Narrow" w:hAnsi="Arial Narrow" w:cs="Times New Roman"/>
          <w:sz w:val="22"/>
          <w:szCs w:val="22"/>
          <w:lang w:eastAsia="sk-SK"/>
        </w:rPr>
        <w:tab/>
      </w:r>
      <w:r w:rsidRPr="00D26052">
        <w:rPr>
          <w:rFonts w:ascii="Times New Roman" w:hAnsi="Times New Roman" w:cs="Times New Roman"/>
          <w:lang w:eastAsia="sk-SK"/>
        </w:rPr>
        <w:t xml:space="preserve">Celková podpora rodiny predstavuje výdavky v sume </w:t>
      </w:r>
      <w:r>
        <w:rPr>
          <w:rFonts w:ascii="Times New Roman" w:hAnsi="Times New Roman" w:cs="Times New Roman"/>
          <w:lang w:eastAsia="sk-SK"/>
        </w:rPr>
        <w:t>756</w:t>
      </w:r>
      <w:r w:rsidRPr="00D26052">
        <w:rPr>
          <w:rFonts w:ascii="Times New Roman" w:hAnsi="Times New Roman" w:cs="Times New Roman"/>
          <w:lang w:eastAsia="sk-SK"/>
        </w:rPr>
        <w:t xml:space="preserve"> mil. eur. Prevažnú časť výdavkov na podporu rodiny predstavuje prídavok na dieťa a rodičovský príspevok.</w:t>
      </w:r>
    </w:p>
    <w:p w:rsidR="003A497B" w:rsidRPr="00D26052"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p>
    <w:p w:rsidR="003A497B" w:rsidRPr="00D26052"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r w:rsidRPr="00D26052">
        <w:rPr>
          <w:rFonts w:ascii="Times New Roman" w:hAnsi="Times New Roman" w:cs="Times New Roman"/>
          <w:lang w:eastAsia="sk-SK"/>
        </w:rPr>
        <w:lastRenderedPageBreak/>
        <w:tab/>
        <w:t>Na prídavok na dieťa sa v roku 201</w:t>
      </w:r>
      <w:r>
        <w:rPr>
          <w:rFonts w:ascii="Times New Roman" w:hAnsi="Times New Roman" w:cs="Times New Roman"/>
          <w:lang w:eastAsia="sk-SK"/>
        </w:rPr>
        <w:t>9</w:t>
      </w:r>
      <w:r w:rsidRPr="00D26052">
        <w:rPr>
          <w:rFonts w:ascii="Times New Roman" w:hAnsi="Times New Roman" w:cs="Times New Roman"/>
          <w:lang w:eastAsia="sk-SK"/>
        </w:rPr>
        <w:t xml:space="preserve"> rozpočtuje </w:t>
      </w:r>
      <w:r>
        <w:rPr>
          <w:rFonts w:ascii="Times New Roman" w:hAnsi="Times New Roman" w:cs="Times New Roman"/>
          <w:lang w:eastAsia="sk-SK"/>
        </w:rPr>
        <w:t>321</w:t>
      </w:r>
      <w:r w:rsidRPr="00D26052">
        <w:rPr>
          <w:rFonts w:ascii="Times New Roman" w:hAnsi="Times New Roman" w:cs="Times New Roman"/>
          <w:lang w:eastAsia="sk-SK"/>
        </w:rPr>
        <w:t xml:space="preserve"> mil. eur, čo oproti schválenému rozpočtu roku 201</w:t>
      </w:r>
      <w:r>
        <w:rPr>
          <w:rFonts w:ascii="Times New Roman" w:hAnsi="Times New Roman" w:cs="Times New Roman"/>
          <w:lang w:eastAsia="sk-SK"/>
        </w:rPr>
        <w:t>8</w:t>
      </w:r>
      <w:r w:rsidRPr="00D26052">
        <w:rPr>
          <w:rFonts w:ascii="Times New Roman" w:hAnsi="Times New Roman" w:cs="Times New Roman"/>
          <w:lang w:eastAsia="sk-SK"/>
        </w:rPr>
        <w:t xml:space="preserve"> predstavuje </w:t>
      </w:r>
      <w:r>
        <w:rPr>
          <w:rFonts w:ascii="Times New Roman" w:hAnsi="Times New Roman" w:cs="Times New Roman"/>
          <w:lang w:eastAsia="sk-SK"/>
        </w:rPr>
        <w:t>nárast</w:t>
      </w:r>
      <w:r w:rsidRPr="00D26052">
        <w:rPr>
          <w:rFonts w:ascii="Times New Roman" w:hAnsi="Times New Roman" w:cs="Times New Roman"/>
          <w:lang w:eastAsia="sk-SK"/>
        </w:rPr>
        <w:t xml:space="preserve"> o</w:t>
      </w:r>
      <w:r>
        <w:rPr>
          <w:rFonts w:ascii="Times New Roman" w:hAnsi="Times New Roman" w:cs="Times New Roman"/>
          <w:lang w:eastAsia="sk-SK"/>
        </w:rPr>
        <w:t> 5,68 mil</w:t>
      </w:r>
      <w:r w:rsidRPr="00D26052">
        <w:rPr>
          <w:rFonts w:ascii="Times New Roman" w:hAnsi="Times New Roman" w:cs="Times New Roman"/>
          <w:lang w:eastAsia="sk-SK"/>
        </w:rPr>
        <w:t xml:space="preserve">. eur. Dôvodom je </w:t>
      </w:r>
      <w:r>
        <w:rPr>
          <w:rFonts w:ascii="Times New Roman" w:hAnsi="Times New Roman" w:cs="Times New Roman"/>
          <w:lang w:eastAsia="sk-SK"/>
        </w:rPr>
        <w:t>výraznejší rast výšky prídavku</w:t>
      </w:r>
      <w:r w:rsidRPr="00D26052">
        <w:rPr>
          <w:rFonts w:ascii="Times New Roman" w:hAnsi="Times New Roman" w:cs="Times New Roman"/>
          <w:lang w:eastAsia="sk-SK"/>
        </w:rPr>
        <w:t xml:space="preserve"> v roku 201</w:t>
      </w:r>
      <w:r>
        <w:rPr>
          <w:rFonts w:ascii="Times New Roman" w:hAnsi="Times New Roman" w:cs="Times New Roman"/>
          <w:lang w:eastAsia="sk-SK"/>
        </w:rPr>
        <w:t>9</w:t>
      </w:r>
      <w:r w:rsidRPr="00D26052">
        <w:rPr>
          <w:rFonts w:ascii="Times New Roman" w:hAnsi="Times New Roman" w:cs="Times New Roman"/>
          <w:lang w:eastAsia="sk-SK"/>
        </w:rPr>
        <w:t xml:space="preserve"> oproti </w:t>
      </w:r>
      <w:r>
        <w:rPr>
          <w:rFonts w:ascii="Times New Roman" w:hAnsi="Times New Roman" w:cs="Times New Roman"/>
          <w:lang w:eastAsia="sk-SK"/>
        </w:rPr>
        <w:t>predchádzajúcemu obdobiu</w:t>
      </w:r>
      <w:r w:rsidRPr="00D26052">
        <w:rPr>
          <w:rFonts w:ascii="Times New Roman" w:hAnsi="Times New Roman" w:cs="Times New Roman"/>
          <w:lang w:eastAsia="sk-SK"/>
        </w:rPr>
        <w:t>.</w:t>
      </w:r>
    </w:p>
    <w:p w:rsidR="003A497B" w:rsidRPr="00D26052"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p>
    <w:p w:rsidR="003A497B" w:rsidRPr="00D26052"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r w:rsidRPr="00D26052">
        <w:rPr>
          <w:rFonts w:ascii="Times New Roman" w:hAnsi="Times New Roman" w:cs="Times New Roman"/>
          <w:lang w:eastAsia="sk-SK"/>
        </w:rPr>
        <w:tab/>
        <w:t>Na rodičovský príspevok sa v roku 201</w:t>
      </w:r>
      <w:r>
        <w:rPr>
          <w:rFonts w:ascii="Times New Roman" w:hAnsi="Times New Roman" w:cs="Times New Roman"/>
          <w:lang w:eastAsia="sk-SK"/>
        </w:rPr>
        <w:t>9</w:t>
      </w:r>
      <w:r w:rsidRPr="00D26052">
        <w:rPr>
          <w:rFonts w:ascii="Times New Roman" w:hAnsi="Times New Roman" w:cs="Times New Roman"/>
          <w:lang w:eastAsia="sk-SK"/>
        </w:rPr>
        <w:t xml:space="preserve"> rozpočtuje </w:t>
      </w:r>
      <w:r>
        <w:rPr>
          <w:rFonts w:ascii="Times New Roman" w:hAnsi="Times New Roman" w:cs="Times New Roman"/>
          <w:lang w:eastAsia="sk-SK"/>
        </w:rPr>
        <w:t>382</w:t>
      </w:r>
      <w:r w:rsidRPr="00D26052">
        <w:rPr>
          <w:rFonts w:ascii="Times New Roman" w:hAnsi="Times New Roman" w:cs="Times New Roman"/>
          <w:lang w:eastAsia="sk-SK"/>
        </w:rPr>
        <w:t xml:space="preserve"> mil. eur, čo oproti schválenému rozpočtu roku 201</w:t>
      </w:r>
      <w:r>
        <w:rPr>
          <w:rFonts w:ascii="Times New Roman" w:hAnsi="Times New Roman" w:cs="Times New Roman"/>
          <w:lang w:eastAsia="sk-SK"/>
        </w:rPr>
        <w:t>8</w:t>
      </w:r>
      <w:r w:rsidRPr="00D26052">
        <w:rPr>
          <w:rFonts w:ascii="Times New Roman" w:hAnsi="Times New Roman" w:cs="Times New Roman"/>
          <w:lang w:eastAsia="sk-SK"/>
        </w:rPr>
        <w:t xml:space="preserve"> predstavuje nárast o</w:t>
      </w:r>
      <w:r>
        <w:rPr>
          <w:rFonts w:ascii="Times New Roman" w:hAnsi="Times New Roman" w:cs="Times New Roman"/>
          <w:lang w:eastAsia="sk-SK"/>
        </w:rPr>
        <w:t> 9,15</w:t>
      </w:r>
      <w:r w:rsidRPr="00D26052">
        <w:rPr>
          <w:rFonts w:ascii="Times New Roman" w:hAnsi="Times New Roman" w:cs="Times New Roman"/>
          <w:lang w:eastAsia="sk-SK"/>
        </w:rPr>
        <w:t xml:space="preserve"> mil. eur. V rozpočtovanej sume sa uvažuje s doplatkami, ktorých výška predstavuje sumár rozdielov medzi stanovenou sumou rodičovského príplatku a sumou materského alebo obdobnej dávky ako materské, ktoré sa oprávnenej osobe vyplácajú v členskom štáte.</w:t>
      </w:r>
    </w:p>
    <w:p w:rsidR="003A497B" w:rsidRPr="00D26052"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p>
    <w:p w:rsidR="003A497B" w:rsidRDefault="003A497B" w:rsidP="003A497B">
      <w:pPr>
        <w:jc w:val="both"/>
        <w:rPr>
          <w:rFonts w:ascii="Times New Roman" w:hAnsi="Times New Roman" w:cs="Times New Roman"/>
          <w:lang w:eastAsia="sk-SK"/>
        </w:rPr>
      </w:pPr>
      <w:r w:rsidRPr="00D26052">
        <w:rPr>
          <w:rFonts w:ascii="Times New Roman" w:hAnsi="Times New Roman" w:cs="Times New Roman"/>
          <w:lang w:eastAsia="sk-SK"/>
        </w:rPr>
        <w:tab/>
        <w:t>Poistné platené štátom rozpočtované na rok 201</w:t>
      </w:r>
      <w:r>
        <w:rPr>
          <w:rFonts w:ascii="Times New Roman" w:hAnsi="Times New Roman" w:cs="Times New Roman"/>
          <w:lang w:eastAsia="sk-SK"/>
        </w:rPr>
        <w:t>9</w:t>
      </w:r>
      <w:r w:rsidRPr="00D26052">
        <w:rPr>
          <w:rFonts w:ascii="Times New Roman" w:hAnsi="Times New Roman" w:cs="Times New Roman"/>
          <w:lang w:eastAsia="sk-SK"/>
        </w:rPr>
        <w:t xml:space="preserve"> v sume </w:t>
      </w:r>
      <w:r>
        <w:rPr>
          <w:rFonts w:ascii="Times New Roman" w:hAnsi="Times New Roman" w:cs="Times New Roman"/>
          <w:lang w:eastAsia="sk-SK"/>
        </w:rPr>
        <w:t>259</w:t>
      </w:r>
      <w:r w:rsidRPr="00D26052">
        <w:rPr>
          <w:rFonts w:ascii="Times New Roman" w:hAnsi="Times New Roman" w:cs="Times New Roman"/>
          <w:lang w:eastAsia="sk-SK"/>
        </w:rPr>
        <w:t xml:space="preserve"> mil. eur v porovnaní so schváleným rozpočtom roku 201</w:t>
      </w:r>
      <w:r>
        <w:rPr>
          <w:rFonts w:ascii="Times New Roman" w:hAnsi="Times New Roman" w:cs="Times New Roman"/>
          <w:lang w:eastAsia="sk-SK"/>
        </w:rPr>
        <w:t>8</w:t>
      </w:r>
      <w:r w:rsidRPr="00D26052">
        <w:rPr>
          <w:rFonts w:ascii="Times New Roman" w:hAnsi="Times New Roman" w:cs="Times New Roman"/>
          <w:lang w:eastAsia="sk-SK"/>
        </w:rPr>
        <w:t xml:space="preserve"> </w:t>
      </w:r>
      <w:r>
        <w:rPr>
          <w:rFonts w:ascii="Times New Roman" w:hAnsi="Times New Roman" w:cs="Times New Roman"/>
          <w:lang w:eastAsia="sk-SK"/>
        </w:rPr>
        <w:t>klesá</w:t>
      </w:r>
      <w:r w:rsidRPr="00D26052">
        <w:rPr>
          <w:rFonts w:ascii="Times New Roman" w:hAnsi="Times New Roman" w:cs="Times New Roman"/>
          <w:lang w:eastAsia="sk-SK"/>
        </w:rPr>
        <w:t xml:space="preserve"> </w:t>
      </w:r>
      <w:r w:rsidRPr="00C74335">
        <w:rPr>
          <w:rFonts w:ascii="Times New Roman" w:hAnsi="Times New Roman" w:cs="Times New Roman"/>
          <w:lang w:eastAsia="sk-SK"/>
        </w:rPr>
        <w:t>o</w:t>
      </w:r>
      <w:r>
        <w:rPr>
          <w:rFonts w:ascii="Times New Roman" w:hAnsi="Times New Roman" w:cs="Times New Roman"/>
          <w:lang w:eastAsia="sk-SK"/>
        </w:rPr>
        <w:t> 44,8</w:t>
      </w:r>
      <w:r w:rsidRPr="00C74335">
        <w:rPr>
          <w:rFonts w:ascii="Times New Roman" w:hAnsi="Times New Roman" w:cs="Times New Roman"/>
          <w:lang w:eastAsia="sk-SK"/>
        </w:rPr>
        <w:t xml:space="preserve"> mil. eur, t.</w:t>
      </w:r>
      <w:r>
        <w:rPr>
          <w:rFonts w:ascii="Times New Roman" w:hAnsi="Times New Roman" w:cs="Times New Roman"/>
          <w:lang w:eastAsia="sk-SK"/>
        </w:rPr>
        <w:t xml:space="preserve"> </w:t>
      </w:r>
      <w:r w:rsidRPr="00C74335">
        <w:rPr>
          <w:rFonts w:ascii="Times New Roman" w:hAnsi="Times New Roman" w:cs="Times New Roman"/>
          <w:lang w:eastAsia="sk-SK"/>
        </w:rPr>
        <w:t>j. o</w:t>
      </w:r>
      <w:r>
        <w:rPr>
          <w:rFonts w:ascii="Times New Roman" w:hAnsi="Times New Roman" w:cs="Times New Roman"/>
          <w:lang w:eastAsia="sk-SK"/>
        </w:rPr>
        <w:t> 14,7</w:t>
      </w:r>
      <w:r w:rsidRPr="00C74335">
        <w:rPr>
          <w:rFonts w:ascii="Times New Roman" w:hAnsi="Times New Roman" w:cs="Times New Roman"/>
          <w:lang w:eastAsia="sk-SK"/>
        </w:rPr>
        <w:t xml:space="preserve"> %. </w:t>
      </w:r>
      <w:r>
        <w:rPr>
          <w:rFonts w:ascii="Times New Roman" w:hAnsi="Times New Roman" w:cs="Times New Roman"/>
          <w:lang w:eastAsia="sk-SK"/>
        </w:rPr>
        <w:t>Zohľadňuje sa vývoj v počte poistencov štátu v doterajšom období roka 2018.</w:t>
      </w:r>
    </w:p>
    <w:p w:rsidR="003A497B" w:rsidRPr="00D26052"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r>
        <w:rPr>
          <w:rFonts w:ascii="Times New Roman" w:hAnsi="Times New Roman" w:cs="Times New Roman"/>
          <w:lang w:eastAsia="sk-SK"/>
        </w:rPr>
        <w:tab/>
      </w:r>
    </w:p>
    <w:p w:rsidR="003A497B" w:rsidRDefault="003A497B" w:rsidP="003A497B">
      <w:pPr>
        <w:jc w:val="both"/>
        <w:rPr>
          <w:rFonts w:ascii="Times New Roman" w:hAnsi="Times New Roman" w:cs="Times New Roman"/>
          <w:b/>
          <w:lang w:eastAsia="sk-SK"/>
        </w:rPr>
      </w:pPr>
      <w:r w:rsidRPr="009A3925">
        <w:rPr>
          <w:rFonts w:ascii="Times New Roman" w:hAnsi="Times New Roman" w:cs="Times New Roman"/>
          <w:b/>
          <w:lang w:eastAsia="sk-SK"/>
        </w:rPr>
        <w:t>Podpora osôb s ťažkým zdravotným postihnutím</w:t>
      </w:r>
    </w:p>
    <w:p w:rsidR="003A497B" w:rsidRDefault="003A497B" w:rsidP="003A497B">
      <w:pPr>
        <w:jc w:val="both"/>
        <w:rPr>
          <w:rFonts w:ascii="Times New Roman" w:hAnsi="Times New Roman" w:cs="Times New Roman"/>
          <w:b/>
          <w:lang w:eastAsia="sk-SK"/>
        </w:rPr>
      </w:pPr>
    </w:p>
    <w:p w:rsidR="003A497B" w:rsidRDefault="003A497B" w:rsidP="003A497B">
      <w:pPr>
        <w:spacing w:after="160"/>
        <w:ind w:firstLine="708"/>
        <w:jc w:val="both"/>
        <w:rPr>
          <w:rFonts w:ascii="Times New Roman" w:hAnsi="Times New Roman" w:cs="Times New Roman"/>
          <w:lang w:eastAsia="sk-SK"/>
        </w:rPr>
      </w:pPr>
      <w:r w:rsidRPr="004A683F">
        <w:rPr>
          <w:rFonts w:ascii="Times New Roman" w:hAnsi="Times New Roman" w:cs="Times New Roman"/>
          <w:lang w:eastAsia="sk-SK"/>
        </w:rPr>
        <w:t>Slovensko dosahuje dobré výsledky v oblasti ochrany osôb s ťažkým zdravotným postihnutím pred chudobou. Na druhej strane je miera zamestnanosti tejto skupiny obyvateľstva oproti priemeru Európskej únie nižšia o viac ako 15 p.</w:t>
      </w:r>
      <w:r>
        <w:rPr>
          <w:rFonts w:ascii="Times New Roman" w:hAnsi="Times New Roman" w:cs="Times New Roman"/>
          <w:lang w:eastAsia="sk-SK"/>
        </w:rPr>
        <w:t xml:space="preserve"> </w:t>
      </w:r>
      <w:r w:rsidRPr="004A683F">
        <w:rPr>
          <w:rFonts w:ascii="Times New Roman" w:hAnsi="Times New Roman" w:cs="Times New Roman"/>
          <w:lang w:eastAsia="sk-SK"/>
        </w:rPr>
        <w:t xml:space="preserve">b. Lepšie výsledky v oblasti prevencie pred chudobou je potrebné dosahovať aj v miere zamestnanosti osôb s ťažkým zdravotným postihnutím aj pomocou aktívnych politík trhu práce. </w:t>
      </w:r>
    </w:p>
    <w:p w:rsidR="003A497B" w:rsidRPr="004A683F" w:rsidRDefault="003A497B" w:rsidP="003A497B">
      <w:pPr>
        <w:spacing w:after="160"/>
        <w:ind w:firstLine="708"/>
        <w:jc w:val="both"/>
        <w:rPr>
          <w:rFonts w:ascii="Times New Roman" w:hAnsi="Times New Roman" w:cs="Times New Roman"/>
          <w:lang w:eastAsia="sk-SK"/>
        </w:rPr>
      </w:pPr>
    </w:p>
    <w:tbl>
      <w:tblPr>
        <w:tblpPr w:leftFromText="141" w:rightFromText="141" w:vertAnchor="text" w:horzAnchor="margin" w:tblpXSpec="center" w:tblpY="19"/>
        <w:tblOverlap w:val="neve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1E0" w:firstRow="1" w:lastRow="1" w:firstColumn="1" w:lastColumn="1" w:noHBand="0" w:noVBand="0"/>
      </w:tblPr>
      <w:tblGrid>
        <w:gridCol w:w="4322"/>
        <w:gridCol w:w="178"/>
        <w:gridCol w:w="4572"/>
      </w:tblGrid>
      <w:tr w:rsidR="003A497B" w:rsidRPr="00191349" w:rsidTr="003E1809">
        <w:trPr>
          <w:trHeight w:val="284"/>
        </w:trPr>
        <w:tc>
          <w:tcPr>
            <w:tcW w:w="2382" w:type="pct"/>
            <w:tcBorders>
              <w:top w:val="nil"/>
              <w:left w:val="nil"/>
              <w:bottom w:val="single" w:sz="4" w:space="0" w:color="auto"/>
              <w:right w:val="nil"/>
            </w:tcBorders>
            <w:shd w:val="clear" w:color="auto" w:fill="auto"/>
            <w:vAlign w:val="center"/>
          </w:tcPr>
          <w:p w:rsidR="003A497B" w:rsidRPr="00A6654F" w:rsidRDefault="003A497B" w:rsidP="003E1809">
            <w:pPr>
              <w:rPr>
                <w:rFonts w:ascii="Times New Roman" w:eastAsia="Calibri" w:hAnsi="Times New Roman" w:cs="Times New Roman"/>
                <w:b/>
                <w:sz w:val="20"/>
                <w:szCs w:val="20"/>
              </w:rPr>
            </w:pPr>
            <w:bookmarkStart w:id="68" w:name="_Ref480818195"/>
            <w:bookmarkStart w:id="69" w:name="_Ref480818190"/>
            <w:bookmarkStart w:id="70" w:name="_Toc488075743"/>
            <w:r w:rsidRPr="00A6654F">
              <w:rPr>
                <w:rFonts w:ascii="Times New Roman" w:eastAsia="Calibri" w:hAnsi="Times New Roman" w:cs="Times New Roman"/>
                <w:b/>
                <w:sz w:val="20"/>
                <w:szCs w:val="20"/>
              </w:rPr>
              <w:t>Gra</w:t>
            </w:r>
            <w:r>
              <w:rPr>
                <w:rFonts w:ascii="Times New Roman" w:eastAsia="Calibri" w:hAnsi="Times New Roman" w:cs="Times New Roman"/>
                <w:b/>
                <w:sz w:val="20"/>
                <w:szCs w:val="20"/>
              </w:rPr>
              <w:t>f</w:t>
            </w:r>
            <w:r w:rsidRPr="00A6654F">
              <w:rPr>
                <w:rFonts w:ascii="Times New Roman" w:eastAsia="Calibri" w:hAnsi="Times New Roman" w:cs="Times New Roman"/>
                <w:b/>
                <w:sz w:val="20"/>
                <w:szCs w:val="20"/>
              </w:rPr>
              <w:t xml:space="preserve">:  Výdavky na kompenzáciu ŤZP </w:t>
            </w:r>
            <w:r>
              <w:rPr>
                <w:rFonts w:ascii="Times New Roman" w:eastAsia="Calibri" w:hAnsi="Times New Roman" w:cs="Times New Roman"/>
                <w:b/>
                <w:sz w:val="20"/>
                <w:szCs w:val="20"/>
              </w:rPr>
              <w:t>(</w:t>
            </w:r>
            <w:r w:rsidRPr="00A6654F">
              <w:rPr>
                <w:rFonts w:ascii="Times New Roman" w:eastAsia="Calibri" w:hAnsi="Times New Roman" w:cs="Times New Roman"/>
                <w:b/>
                <w:sz w:val="20"/>
                <w:szCs w:val="20"/>
              </w:rPr>
              <w:t>201</w:t>
            </w:r>
            <w:r>
              <w:rPr>
                <w:rFonts w:ascii="Times New Roman" w:eastAsia="Calibri" w:hAnsi="Times New Roman" w:cs="Times New Roman"/>
                <w:b/>
                <w:sz w:val="20"/>
                <w:szCs w:val="20"/>
              </w:rPr>
              <w:t xml:space="preserve">7, </w:t>
            </w:r>
            <w:r w:rsidRPr="00A6654F">
              <w:rPr>
                <w:rFonts w:ascii="Times New Roman" w:eastAsia="Calibri" w:hAnsi="Times New Roman" w:cs="Times New Roman"/>
                <w:b/>
                <w:sz w:val="20"/>
                <w:szCs w:val="20"/>
              </w:rPr>
              <w:t>v</w:t>
            </w:r>
            <w:r>
              <w:rPr>
                <w:rFonts w:ascii="Times New Roman" w:eastAsia="Calibri" w:hAnsi="Times New Roman" w:cs="Times New Roman"/>
                <w:b/>
                <w:sz w:val="20"/>
                <w:szCs w:val="20"/>
              </w:rPr>
              <w:t> </w:t>
            </w:r>
            <w:r w:rsidRPr="00A6654F">
              <w:rPr>
                <w:rFonts w:ascii="Times New Roman" w:eastAsia="Calibri" w:hAnsi="Times New Roman" w:cs="Times New Roman"/>
                <w:b/>
                <w:sz w:val="20"/>
                <w:szCs w:val="20"/>
              </w:rPr>
              <w:t>mil. eur)</w:t>
            </w:r>
            <w:bookmarkEnd w:id="68"/>
            <w:bookmarkEnd w:id="69"/>
            <w:bookmarkEnd w:id="70"/>
          </w:p>
        </w:tc>
        <w:tc>
          <w:tcPr>
            <w:tcW w:w="98" w:type="pct"/>
            <w:tcBorders>
              <w:top w:val="nil"/>
              <w:left w:val="nil"/>
              <w:bottom w:val="nil"/>
              <w:right w:val="nil"/>
            </w:tcBorders>
            <w:shd w:val="clear" w:color="auto" w:fill="auto"/>
            <w:vAlign w:val="center"/>
          </w:tcPr>
          <w:p w:rsidR="003A497B" w:rsidRPr="00191349" w:rsidRDefault="003A497B" w:rsidP="003E1809">
            <w:pPr>
              <w:jc w:val="both"/>
              <w:rPr>
                <w:rFonts w:eastAsia="Calibri" w:cs="Arial"/>
                <w:sz w:val="20"/>
                <w:szCs w:val="18"/>
              </w:rPr>
            </w:pPr>
          </w:p>
        </w:tc>
        <w:tc>
          <w:tcPr>
            <w:tcW w:w="2520" w:type="pct"/>
            <w:tcBorders>
              <w:top w:val="nil"/>
              <w:left w:val="nil"/>
              <w:bottom w:val="single" w:sz="4" w:space="0" w:color="auto"/>
              <w:right w:val="nil"/>
            </w:tcBorders>
            <w:shd w:val="clear" w:color="auto" w:fill="auto"/>
            <w:vAlign w:val="center"/>
          </w:tcPr>
          <w:p w:rsidR="003A497B" w:rsidRPr="00A6654F" w:rsidRDefault="003A497B" w:rsidP="003E1809">
            <w:pPr>
              <w:rPr>
                <w:rFonts w:ascii="Times New Roman" w:eastAsia="Calibri" w:hAnsi="Times New Roman" w:cs="Times New Roman"/>
                <w:b/>
                <w:sz w:val="20"/>
                <w:szCs w:val="20"/>
              </w:rPr>
            </w:pPr>
            <w:bookmarkStart w:id="71" w:name="_Toc488075744"/>
            <w:r>
              <w:rPr>
                <w:rFonts w:ascii="Times New Roman" w:eastAsia="Calibri" w:hAnsi="Times New Roman" w:cs="Times New Roman"/>
                <w:b/>
                <w:sz w:val="20"/>
                <w:szCs w:val="20"/>
              </w:rPr>
              <w:t>Graf</w:t>
            </w:r>
            <w:r w:rsidRPr="00A6654F">
              <w:rPr>
                <w:rFonts w:ascii="Times New Roman" w:eastAsia="Calibri" w:hAnsi="Times New Roman" w:cs="Times New Roman"/>
                <w:b/>
                <w:sz w:val="20"/>
                <w:szCs w:val="20"/>
              </w:rPr>
              <w:t xml:space="preserve">: </w:t>
            </w:r>
            <w:bookmarkEnd w:id="71"/>
            <w:r w:rsidRPr="00A6654F">
              <w:rPr>
                <w:rFonts w:ascii="Times New Roman" w:eastAsia="Calibri" w:hAnsi="Times New Roman" w:cs="Times New Roman"/>
                <w:szCs w:val="20"/>
              </w:rPr>
              <w:t xml:space="preserve"> </w:t>
            </w:r>
            <w:r w:rsidRPr="00A6654F">
              <w:rPr>
                <w:rFonts w:ascii="Times New Roman" w:eastAsia="Calibri" w:hAnsi="Times New Roman" w:cs="Times New Roman"/>
                <w:b/>
                <w:sz w:val="20"/>
                <w:szCs w:val="20"/>
              </w:rPr>
              <w:t xml:space="preserve">Miera zamestnanosti (%, 2011) </w:t>
            </w:r>
          </w:p>
        </w:tc>
      </w:tr>
      <w:tr w:rsidR="003A497B" w:rsidRPr="00191349" w:rsidTr="003E1809">
        <w:trPr>
          <w:trHeight w:val="284"/>
        </w:trPr>
        <w:tc>
          <w:tcPr>
            <w:tcW w:w="2382" w:type="pct"/>
            <w:tcBorders>
              <w:top w:val="single" w:sz="4" w:space="0" w:color="auto"/>
              <w:left w:val="nil"/>
              <w:bottom w:val="single" w:sz="4" w:space="0" w:color="auto"/>
              <w:right w:val="nil"/>
            </w:tcBorders>
            <w:vAlign w:val="center"/>
          </w:tcPr>
          <w:p w:rsidR="003A497B" w:rsidRPr="00191349" w:rsidRDefault="003A497B" w:rsidP="003E1809">
            <w:pPr>
              <w:spacing w:before="40" w:after="40"/>
              <w:jc w:val="center"/>
              <w:rPr>
                <w:rFonts w:eastAsia="Calibri" w:cs="Arial"/>
                <w:b/>
                <w:sz w:val="20"/>
                <w:szCs w:val="20"/>
              </w:rPr>
            </w:pPr>
            <w:r>
              <w:rPr>
                <w:noProof/>
                <w:lang w:eastAsia="sk-SK"/>
              </w:rPr>
              <w:drawing>
                <wp:inline distT="0" distB="0" distL="0" distR="0" wp14:anchorId="1C55156F" wp14:editId="0723F7C7">
                  <wp:extent cx="2655570" cy="1888490"/>
                  <wp:effectExtent l="0" t="0" r="0"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98" w:type="pct"/>
            <w:tcBorders>
              <w:top w:val="nil"/>
              <w:left w:val="nil"/>
              <w:bottom w:val="nil"/>
              <w:right w:val="nil"/>
            </w:tcBorders>
            <w:vAlign w:val="center"/>
          </w:tcPr>
          <w:p w:rsidR="003A497B" w:rsidRPr="00191349" w:rsidRDefault="003A497B" w:rsidP="003E1809">
            <w:pPr>
              <w:spacing w:before="40" w:after="40"/>
              <w:jc w:val="center"/>
              <w:rPr>
                <w:rFonts w:eastAsia="Calibri" w:cs="Arial"/>
                <w:b/>
                <w:sz w:val="20"/>
                <w:szCs w:val="20"/>
              </w:rPr>
            </w:pPr>
          </w:p>
        </w:tc>
        <w:tc>
          <w:tcPr>
            <w:tcW w:w="2520" w:type="pct"/>
            <w:tcBorders>
              <w:top w:val="single" w:sz="4" w:space="0" w:color="auto"/>
              <w:left w:val="nil"/>
              <w:bottom w:val="single" w:sz="4" w:space="0" w:color="auto"/>
              <w:right w:val="nil"/>
            </w:tcBorders>
            <w:vAlign w:val="center"/>
          </w:tcPr>
          <w:p w:rsidR="003A497B" w:rsidRPr="00A6654F" w:rsidRDefault="003A497B" w:rsidP="003E1809">
            <w:pPr>
              <w:spacing w:before="40" w:after="40"/>
              <w:jc w:val="center"/>
              <w:rPr>
                <w:rFonts w:ascii="Times New Roman" w:eastAsia="Calibri" w:hAnsi="Times New Roman" w:cs="Times New Roman"/>
                <w:b/>
                <w:sz w:val="16"/>
                <w:szCs w:val="20"/>
              </w:rPr>
            </w:pPr>
            <w:r w:rsidRPr="00A6654F">
              <w:rPr>
                <w:rFonts w:ascii="Times New Roman" w:eastAsia="Calibri" w:hAnsi="Times New Roman" w:cs="Times New Roman"/>
                <w:noProof/>
                <w:szCs w:val="20"/>
                <w:lang w:eastAsia="sk-SK"/>
              </w:rPr>
              <w:drawing>
                <wp:inline distT="0" distB="0" distL="0" distR="0" wp14:anchorId="09E54678" wp14:editId="3BCD0D69">
                  <wp:extent cx="2862470" cy="1983740"/>
                  <wp:effectExtent l="0" t="0" r="0" b="0"/>
                  <wp:docPr id="215" name="Graf 2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3A497B" w:rsidRPr="00191349" w:rsidTr="003E1809">
        <w:trPr>
          <w:trHeight w:val="284"/>
        </w:trPr>
        <w:tc>
          <w:tcPr>
            <w:tcW w:w="2382" w:type="pct"/>
            <w:tcBorders>
              <w:top w:val="single" w:sz="4" w:space="0" w:color="auto"/>
              <w:left w:val="nil"/>
              <w:bottom w:val="nil"/>
              <w:right w:val="nil"/>
            </w:tcBorders>
          </w:tcPr>
          <w:p w:rsidR="003A497B" w:rsidRPr="00A6654F" w:rsidRDefault="003A497B" w:rsidP="003E1809">
            <w:pPr>
              <w:spacing w:before="40" w:after="40"/>
              <w:contextualSpacing/>
              <w:jc w:val="right"/>
              <w:rPr>
                <w:rFonts w:ascii="Times New Roman" w:eastAsia="Calibri" w:hAnsi="Times New Roman" w:cs="Times New Roman"/>
                <w:i/>
                <w:sz w:val="18"/>
                <w:szCs w:val="18"/>
              </w:rPr>
            </w:pPr>
            <w:r w:rsidRPr="00A6654F">
              <w:rPr>
                <w:rFonts w:ascii="Times New Roman" w:eastAsia="Calibri" w:hAnsi="Times New Roman" w:cs="Times New Roman"/>
                <w:i/>
                <w:sz w:val="18"/>
                <w:szCs w:val="18"/>
              </w:rPr>
              <w:t>Zdroj: MPSVR SR</w:t>
            </w:r>
          </w:p>
        </w:tc>
        <w:tc>
          <w:tcPr>
            <w:tcW w:w="98" w:type="pct"/>
            <w:tcBorders>
              <w:top w:val="nil"/>
              <w:left w:val="nil"/>
              <w:bottom w:val="nil"/>
              <w:right w:val="nil"/>
            </w:tcBorders>
          </w:tcPr>
          <w:p w:rsidR="003A497B" w:rsidRPr="00191349" w:rsidRDefault="003A497B" w:rsidP="003E1809">
            <w:pPr>
              <w:spacing w:after="160"/>
              <w:contextualSpacing/>
              <w:jc w:val="center"/>
              <w:rPr>
                <w:rFonts w:eastAsia="Calibri" w:cs="Arial"/>
                <w:i/>
                <w:sz w:val="18"/>
                <w:szCs w:val="18"/>
              </w:rPr>
            </w:pPr>
          </w:p>
        </w:tc>
        <w:tc>
          <w:tcPr>
            <w:tcW w:w="2520" w:type="pct"/>
            <w:tcBorders>
              <w:top w:val="single" w:sz="4" w:space="0" w:color="auto"/>
              <w:left w:val="nil"/>
              <w:bottom w:val="nil"/>
              <w:right w:val="nil"/>
            </w:tcBorders>
          </w:tcPr>
          <w:p w:rsidR="003A497B" w:rsidRPr="00A6654F" w:rsidRDefault="003A497B" w:rsidP="003E1809">
            <w:pPr>
              <w:spacing w:before="40" w:after="40"/>
              <w:contextualSpacing/>
              <w:jc w:val="right"/>
              <w:rPr>
                <w:rFonts w:ascii="Times New Roman" w:eastAsia="Calibri" w:hAnsi="Times New Roman" w:cs="Times New Roman"/>
                <w:i/>
                <w:sz w:val="18"/>
                <w:szCs w:val="18"/>
              </w:rPr>
            </w:pPr>
            <w:r w:rsidRPr="00A6654F">
              <w:rPr>
                <w:rFonts w:ascii="Times New Roman" w:eastAsia="Calibri" w:hAnsi="Times New Roman" w:cs="Times New Roman"/>
                <w:i/>
                <w:sz w:val="18"/>
                <w:szCs w:val="18"/>
              </w:rPr>
              <w:t>Zdroj: Eurostat - LFS</w:t>
            </w:r>
          </w:p>
        </w:tc>
      </w:tr>
    </w:tbl>
    <w:p w:rsidR="003A497B" w:rsidRDefault="003A497B" w:rsidP="003A497B">
      <w:pPr>
        <w:jc w:val="both"/>
        <w:rPr>
          <w:rFonts w:ascii="Times New Roman" w:hAnsi="Times New Roman" w:cs="Times New Roman"/>
          <w:b/>
          <w:lang w:eastAsia="sk-SK"/>
        </w:rPr>
      </w:pPr>
    </w:p>
    <w:p w:rsidR="003A497B"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p>
    <w:p w:rsidR="003A497B"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r>
        <w:rPr>
          <w:rFonts w:ascii="Times New Roman" w:hAnsi="Times New Roman" w:cs="Times New Roman"/>
          <w:lang w:eastAsia="sk-SK"/>
        </w:rPr>
        <w:tab/>
      </w:r>
      <w:r w:rsidRPr="00D26052">
        <w:rPr>
          <w:rFonts w:ascii="Times New Roman" w:hAnsi="Times New Roman" w:cs="Times New Roman"/>
          <w:lang w:eastAsia="sk-SK"/>
        </w:rPr>
        <w:t>Peňažné príspevky na kompenzáciu ťažkého zdravotného postihnutia sú na rok 201</w:t>
      </w:r>
      <w:r>
        <w:rPr>
          <w:rFonts w:ascii="Times New Roman" w:hAnsi="Times New Roman" w:cs="Times New Roman"/>
          <w:lang w:eastAsia="sk-SK"/>
        </w:rPr>
        <w:t>9</w:t>
      </w:r>
      <w:r w:rsidRPr="00D26052">
        <w:rPr>
          <w:rFonts w:ascii="Times New Roman" w:hAnsi="Times New Roman" w:cs="Times New Roman"/>
          <w:lang w:eastAsia="sk-SK"/>
        </w:rPr>
        <w:t xml:space="preserve"> rozpočtované v sume </w:t>
      </w:r>
      <w:r>
        <w:rPr>
          <w:rFonts w:ascii="Times New Roman" w:hAnsi="Times New Roman" w:cs="Times New Roman"/>
          <w:lang w:eastAsia="sk-SK"/>
        </w:rPr>
        <w:t>375 mil. eur, čo o</w:t>
      </w:r>
      <w:r w:rsidRPr="00D26052">
        <w:rPr>
          <w:rFonts w:ascii="Times New Roman" w:hAnsi="Times New Roman" w:cs="Times New Roman"/>
          <w:lang w:eastAsia="sk-SK"/>
        </w:rPr>
        <w:t>proti schválenému rozpočtu na rok 201</w:t>
      </w:r>
      <w:r>
        <w:rPr>
          <w:rFonts w:ascii="Times New Roman" w:hAnsi="Times New Roman" w:cs="Times New Roman"/>
          <w:lang w:eastAsia="sk-SK"/>
        </w:rPr>
        <w:t>8 predstavuje nárast o 94,1 mil. eur, t. j. o 33,4 %</w:t>
      </w:r>
      <w:r w:rsidRPr="00C74335">
        <w:rPr>
          <w:rFonts w:ascii="Times New Roman" w:hAnsi="Times New Roman" w:cs="Times New Roman"/>
          <w:color w:val="FF0000"/>
          <w:lang w:eastAsia="sk-SK"/>
        </w:rPr>
        <w:t xml:space="preserve"> </w:t>
      </w:r>
      <w:r>
        <w:rPr>
          <w:rFonts w:ascii="Times New Roman" w:hAnsi="Times New Roman" w:cs="Times New Roman"/>
          <w:lang w:eastAsia="sk-SK"/>
        </w:rPr>
        <w:t xml:space="preserve">. Nárast súvisí najmä so zvýšením peňažného príspevku na opatrovanie </w:t>
      </w:r>
      <w:r w:rsidR="00985D7B">
        <w:rPr>
          <w:rFonts w:ascii="Times New Roman" w:hAnsi="Times New Roman" w:cs="Times New Roman"/>
          <w:lang w:eastAsia="sk-SK"/>
        </w:rPr>
        <w:t xml:space="preserve">pre </w:t>
      </w:r>
      <w:r>
        <w:rPr>
          <w:rFonts w:ascii="Times New Roman" w:hAnsi="Times New Roman" w:cs="Times New Roman"/>
          <w:lang w:eastAsia="sk-SK"/>
        </w:rPr>
        <w:t>opatrovateľov v produktívnom veku a</w:t>
      </w:r>
      <w:r w:rsidR="00985D7B">
        <w:rPr>
          <w:rFonts w:ascii="Times New Roman" w:hAnsi="Times New Roman" w:cs="Times New Roman"/>
          <w:lang w:eastAsia="sk-SK"/>
        </w:rPr>
        <w:t xml:space="preserve"> pre </w:t>
      </w:r>
      <w:r>
        <w:rPr>
          <w:rFonts w:ascii="Times New Roman" w:hAnsi="Times New Roman" w:cs="Times New Roman"/>
          <w:lang w:eastAsia="sk-SK"/>
        </w:rPr>
        <w:t xml:space="preserve">opatrovateľov poberajúcich dôchodkovú dávku </w:t>
      </w:r>
      <w:r w:rsidRPr="00571888">
        <w:rPr>
          <w:rFonts w:ascii="Times New Roman" w:hAnsi="Times New Roman" w:cs="Times New Roman"/>
          <w:lang w:eastAsia="sk-SK"/>
        </w:rPr>
        <w:t>a so zvýšením hodinovej sadzby osobnej asistencie</w:t>
      </w:r>
      <w:r>
        <w:rPr>
          <w:rFonts w:ascii="Times New Roman" w:hAnsi="Times New Roman" w:cs="Times New Roman"/>
          <w:lang w:eastAsia="sk-SK"/>
        </w:rPr>
        <w:t>.</w:t>
      </w:r>
    </w:p>
    <w:p w:rsidR="003A497B"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p>
    <w:p w:rsidR="003A497B" w:rsidRPr="004A683F" w:rsidRDefault="003A497B" w:rsidP="003A497B">
      <w:pPr>
        <w:ind w:firstLine="708"/>
        <w:jc w:val="both"/>
        <w:rPr>
          <w:rFonts w:ascii="Times New Roman" w:hAnsi="Times New Roman" w:cs="Times New Roman"/>
          <w:lang w:eastAsia="sk-SK"/>
        </w:rPr>
      </w:pPr>
      <w:r w:rsidRPr="004A683F">
        <w:rPr>
          <w:rFonts w:ascii="Times New Roman" w:hAnsi="Times New Roman" w:cs="Times New Roman"/>
          <w:lang w:eastAsia="sk-SK"/>
        </w:rPr>
        <w:t xml:space="preserve">Príspevok na opatrovanie rodinným príslušníkom sa v roku 2018 zvýšil o 120 eur (rast takmer o 50 %), do roku 2020 by mal stúpnuť na úroveň čistej minimálnej mzdy. Najvyššiu hodnotu pre odkázanú osobu prináša čo najdlhší pobyt v prirodzenom domácom prostredí. Opatrovanie rodinným príslušníkom však znižuje budúce šance opatrovateľa na zamestnanie. </w:t>
      </w:r>
      <w:r w:rsidRPr="004A683F">
        <w:rPr>
          <w:rFonts w:ascii="Times New Roman" w:hAnsi="Times New Roman" w:cs="Times New Roman"/>
          <w:lang w:eastAsia="sk-SK"/>
        </w:rPr>
        <w:lastRenderedPageBreak/>
        <w:t>Náklady na stratu kvalifikácie a následne zníženie uplatnenia na trhu práce sú len ťažko kvantifikovateľné.</w:t>
      </w:r>
    </w:p>
    <w:p w:rsidR="003A497B" w:rsidRPr="003E1809" w:rsidRDefault="003A497B" w:rsidP="003A497B">
      <w:pPr>
        <w:jc w:val="both"/>
        <w:rPr>
          <w:rFonts w:ascii="Times New Roman" w:hAnsi="Times New Roman" w:cs="Times New Roman"/>
          <w:sz w:val="18"/>
          <w:lang w:eastAsia="sk-SK"/>
        </w:rPr>
      </w:pPr>
    </w:p>
    <w:p w:rsidR="003A497B" w:rsidRPr="004A683F" w:rsidRDefault="003A497B" w:rsidP="003A497B">
      <w:pPr>
        <w:ind w:firstLine="708"/>
        <w:jc w:val="both"/>
        <w:rPr>
          <w:rFonts w:ascii="Times New Roman" w:hAnsi="Times New Roman" w:cs="Times New Roman"/>
          <w:lang w:eastAsia="sk-SK"/>
        </w:rPr>
      </w:pPr>
      <w:r w:rsidRPr="004A683F">
        <w:rPr>
          <w:rFonts w:ascii="Times New Roman" w:hAnsi="Times New Roman" w:cs="Times New Roman"/>
          <w:lang w:eastAsia="sk-SK"/>
        </w:rPr>
        <w:t xml:space="preserve">V súčasnosti neexistuje v SR systematická podpora detí s neštandardným vývojom a zdravotným postihnutím, pričom počet diagnostikovaných detí neustále narastá. V roku 2017 tvorili približne 10 % školopovinnej populácie. Cieľom „NP Každé dieťa sa počíta“, realizovaného MPSVR SR, je vytvorenie vhodných podmienok pre realizáciu sociálnej inklúzie detí s neštandardným vývinom a  zdravotným postihnutím, vrátane prístupu k inkluzívnemu vzdelávaniu. Projekt sa bude realizovať od roku 2018 do 2022, pričom prvé výsledky bude možné hodnotiť koncom roka 2019. Hodnota národného projektu je 8 mil. eur. </w:t>
      </w:r>
    </w:p>
    <w:p w:rsidR="003A497B" w:rsidRPr="003E1809"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sz w:val="18"/>
          <w:lang w:eastAsia="sk-SK"/>
        </w:rPr>
      </w:pPr>
    </w:p>
    <w:p w:rsidR="003A497B"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r w:rsidRPr="00D26052">
        <w:rPr>
          <w:rFonts w:ascii="Times New Roman" w:hAnsi="Times New Roman" w:cs="Times New Roman"/>
          <w:lang w:eastAsia="sk-SK"/>
        </w:rPr>
        <w:tab/>
        <w:t xml:space="preserve">Objem výdavkov na nesystémové dávky sociálneho poistenia v sume </w:t>
      </w:r>
      <w:r>
        <w:rPr>
          <w:rFonts w:ascii="Times New Roman" w:hAnsi="Times New Roman" w:cs="Times New Roman"/>
          <w:lang w:eastAsia="sk-SK"/>
        </w:rPr>
        <w:t xml:space="preserve">87,4 mil. eur zohľadňuje </w:t>
      </w:r>
      <w:r w:rsidRPr="00D26052">
        <w:rPr>
          <w:rFonts w:ascii="Times New Roman" w:hAnsi="Times New Roman" w:cs="Times New Roman"/>
          <w:lang w:eastAsia="sk-SK"/>
        </w:rPr>
        <w:t>valorizáciu</w:t>
      </w:r>
      <w:r>
        <w:rPr>
          <w:rFonts w:ascii="Times New Roman" w:hAnsi="Times New Roman" w:cs="Times New Roman"/>
          <w:lang w:eastAsia="sk-SK"/>
        </w:rPr>
        <w:t xml:space="preserve"> sociálneho dôchodku</w:t>
      </w:r>
      <w:r w:rsidRPr="00D26052">
        <w:rPr>
          <w:rFonts w:ascii="Times New Roman" w:hAnsi="Times New Roman" w:cs="Times New Roman"/>
          <w:lang w:eastAsia="sk-SK"/>
        </w:rPr>
        <w:t xml:space="preserve"> od 1. januára 201</w:t>
      </w:r>
      <w:r>
        <w:rPr>
          <w:rFonts w:ascii="Times New Roman" w:hAnsi="Times New Roman" w:cs="Times New Roman"/>
          <w:lang w:eastAsia="sk-SK"/>
        </w:rPr>
        <w:t>9</w:t>
      </w:r>
      <w:r w:rsidRPr="00D26052">
        <w:rPr>
          <w:rFonts w:ascii="Times New Roman" w:hAnsi="Times New Roman" w:cs="Times New Roman"/>
          <w:lang w:eastAsia="sk-SK"/>
        </w:rPr>
        <w:t xml:space="preserve"> a vývoj </w:t>
      </w:r>
      <w:r w:rsidRPr="009E02E0">
        <w:rPr>
          <w:rFonts w:ascii="Times New Roman" w:hAnsi="Times New Roman" w:cs="Times New Roman"/>
          <w:lang w:eastAsia="sk-SK"/>
        </w:rPr>
        <w:t>v počte poberateľov</w:t>
      </w:r>
      <w:r>
        <w:rPr>
          <w:rFonts w:ascii="Times New Roman" w:hAnsi="Times New Roman" w:cs="Times New Roman"/>
          <w:lang w:eastAsia="sk-SK"/>
        </w:rPr>
        <w:t xml:space="preserve"> jednotlivých dávok</w:t>
      </w:r>
      <w:r w:rsidRPr="009E02E0">
        <w:rPr>
          <w:rFonts w:ascii="Times New Roman" w:hAnsi="Times New Roman" w:cs="Times New Roman"/>
          <w:lang w:eastAsia="sk-SK"/>
        </w:rPr>
        <w:t xml:space="preserve">. </w:t>
      </w:r>
      <w:r>
        <w:rPr>
          <w:rFonts w:ascii="Times New Roman" w:hAnsi="Times New Roman" w:cs="Times New Roman"/>
          <w:lang w:eastAsia="sk-SK"/>
        </w:rPr>
        <w:t>Zabezpečujú sa tiež výdavky spojené s finančným zabezpečením minimálneho dôchodku.</w:t>
      </w:r>
    </w:p>
    <w:p w:rsidR="003A497B" w:rsidRPr="003E1809"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sz w:val="20"/>
          <w:lang w:eastAsia="sk-SK"/>
        </w:rPr>
      </w:pPr>
    </w:p>
    <w:p w:rsidR="003A497B" w:rsidRPr="00D26052"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r w:rsidRPr="00D26052">
        <w:rPr>
          <w:rFonts w:ascii="Times New Roman" w:hAnsi="Times New Roman" w:cs="Times New Roman"/>
          <w:lang w:eastAsia="sk-SK"/>
        </w:rPr>
        <w:tab/>
      </w:r>
      <w:r>
        <w:rPr>
          <w:rFonts w:ascii="Times New Roman" w:hAnsi="Times New Roman" w:cs="Times New Roman"/>
          <w:lang w:eastAsia="sk-SK"/>
        </w:rPr>
        <w:t>V</w:t>
      </w:r>
      <w:r w:rsidRPr="00D26052">
        <w:rPr>
          <w:rFonts w:ascii="Times New Roman" w:hAnsi="Times New Roman" w:cs="Times New Roman"/>
          <w:lang w:eastAsia="sk-SK"/>
        </w:rPr>
        <w:t> roku 201</w:t>
      </w:r>
      <w:r>
        <w:rPr>
          <w:rFonts w:ascii="Times New Roman" w:hAnsi="Times New Roman" w:cs="Times New Roman"/>
          <w:lang w:eastAsia="sk-SK"/>
        </w:rPr>
        <w:t>9</w:t>
      </w:r>
      <w:r w:rsidRPr="00D26052">
        <w:rPr>
          <w:rFonts w:ascii="Times New Roman" w:hAnsi="Times New Roman" w:cs="Times New Roman"/>
          <w:lang w:eastAsia="sk-SK"/>
        </w:rPr>
        <w:t xml:space="preserve"> sa na zmiernenie nepriaznivej sociálnej situácie poberateľov</w:t>
      </w:r>
      <w:r>
        <w:rPr>
          <w:rFonts w:ascii="Times New Roman" w:hAnsi="Times New Roman" w:cs="Times New Roman"/>
          <w:lang w:eastAsia="sk-SK"/>
        </w:rPr>
        <w:t xml:space="preserve"> </w:t>
      </w:r>
      <w:r w:rsidRPr="00D26052">
        <w:rPr>
          <w:rFonts w:ascii="Times New Roman" w:hAnsi="Times New Roman" w:cs="Times New Roman"/>
          <w:lang w:eastAsia="sk-SK"/>
        </w:rPr>
        <w:t>dôchodkových dávok rozpočtuje vianočný príspevok dôchodcom v</w:t>
      </w:r>
      <w:r>
        <w:rPr>
          <w:rFonts w:ascii="Times New Roman" w:hAnsi="Times New Roman" w:cs="Times New Roman"/>
          <w:lang w:eastAsia="sk-SK"/>
        </w:rPr>
        <w:t> </w:t>
      </w:r>
      <w:r w:rsidRPr="00D26052">
        <w:rPr>
          <w:rFonts w:ascii="Times New Roman" w:hAnsi="Times New Roman" w:cs="Times New Roman"/>
          <w:lang w:eastAsia="sk-SK"/>
        </w:rPr>
        <w:t>sume</w:t>
      </w:r>
      <w:r>
        <w:rPr>
          <w:rFonts w:ascii="Times New Roman" w:hAnsi="Times New Roman" w:cs="Times New Roman"/>
          <w:lang w:eastAsia="sk-SK"/>
        </w:rPr>
        <w:t xml:space="preserve"> 6</w:t>
      </w:r>
      <w:r w:rsidRPr="00D26052">
        <w:rPr>
          <w:rFonts w:ascii="Times New Roman" w:hAnsi="Times New Roman" w:cs="Times New Roman"/>
          <w:lang w:eastAsia="sk-SK"/>
        </w:rPr>
        <w:t>1,3 mil. eur.</w:t>
      </w:r>
      <w:r>
        <w:rPr>
          <w:rFonts w:ascii="Times New Roman" w:hAnsi="Times New Roman" w:cs="Times New Roman"/>
          <w:lang w:eastAsia="sk-SK"/>
        </w:rPr>
        <w:t xml:space="preserve"> </w:t>
      </w:r>
      <w:r w:rsidRPr="00DD00BE">
        <w:rPr>
          <w:rFonts w:ascii="Times New Roman" w:hAnsi="Times New Roman" w:cs="Times New Roman"/>
          <w:lang w:eastAsia="sk-SK"/>
        </w:rPr>
        <w:t>Návrh rozpočtu verejnej správy na roky 2019 až 2021 vytvára priestor na jeho avizované zvýšenie.</w:t>
      </w:r>
    </w:p>
    <w:p w:rsidR="003A497B" w:rsidRPr="003E1809"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sz w:val="20"/>
          <w:lang w:eastAsia="sk-SK"/>
        </w:rPr>
      </w:pPr>
    </w:p>
    <w:p w:rsidR="003A497B"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r w:rsidRPr="00D26052">
        <w:rPr>
          <w:rFonts w:ascii="Times New Roman" w:hAnsi="Times New Roman" w:cs="Times New Roman"/>
          <w:lang w:eastAsia="sk-SK"/>
        </w:rPr>
        <w:tab/>
        <w:t xml:space="preserve">Súčasťou výdavkov sociálnej inklúzie sú aj výdavky na sociálne služby v sume </w:t>
      </w:r>
      <w:r>
        <w:rPr>
          <w:rFonts w:ascii="Times New Roman" w:hAnsi="Times New Roman" w:cs="Times New Roman"/>
          <w:lang w:eastAsia="sk-SK"/>
        </w:rPr>
        <w:br/>
        <w:t>147</w:t>
      </w:r>
      <w:r w:rsidRPr="00D26052">
        <w:rPr>
          <w:rFonts w:ascii="Times New Roman" w:hAnsi="Times New Roman" w:cs="Times New Roman"/>
          <w:lang w:eastAsia="sk-SK"/>
        </w:rPr>
        <w:t xml:space="preserve"> mil. eur.</w:t>
      </w:r>
      <w:r>
        <w:rPr>
          <w:rFonts w:ascii="Times New Roman" w:hAnsi="Times New Roman" w:cs="Times New Roman"/>
          <w:lang w:eastAsia="sk-SK"/>
        </w:rPr>
        <w:t xml:space="preserve"> O</w:t>
      </w:r>
      <w:r w:rsidRPr="0049602D">
        <w:rPr>
          <w:rFonts w:ascii="Times New Roman" w:hAnsi="Times New Roman" w:cs="Times New Roman"/>
          <w:lang w:eastAsia="sk-SK"/>
        </w:rPr>
        <w:t>proti schválenému rozpočtu na rok 201</w:t>
      </w:r>
      <w:r>
        <w:rPr>
          <w:rFonts w:ascii="Times New Roman" w:hAnsi="Times New Roman" w:cs="Times New Roman"/>
          <w:lang w:eastAsia="sk-SK"/>
        </w:rPr>
        <w:t>8</w:t>
      </w:r>
      <w:r w:rsidRPr="0049602D">
        <w:rPr>
          <w:rFonts w:ascii="Times New Roman" w:hAnsi="Times New Roman" w:cs="Times New Roman"/>
          <w:lang w:eastAsia="sk-SK"/>
        </w:rPr>
        <w:t xml:space="preserve"> dochádza k nárastu o sumu </w:t>
      </w:r>
      <w:r>
        <w:rPr>
          <w:rFonts w:ascii="Times New Roman" w:hAnsi="Times New Roman" w:cs="Times New Roman"/>
          <w:lang w:eastAsia="sk-SK"/>
        </w:rPr>
        <w:br/>
        <w:t>9,42</w:t>
      </w:r>
      <w:r w:rsidRPr="0049602D">
        <w:rPr>
          <w:rFonts w:ascii="Times New Roman" w:hAnsi="Times New Roman" w:cs="Times New Roman"/>
          <w:lang w:eastAsia="sk-SK"/>
        </w:rPr>
        <w:t xml:space="preserve"> mil. </w:t>
      </w:r>
      <w:r w:rsidRPr="009A4307">
        <w:rPr>
          <w:rFonts w:ascii="Times New Roman" w:hAnsi="Times New Roman" w:cs="Times New Roman"/>
          <w:lang w:eastAsia="sk-SK"/>
        </w:rPr>
        <w:t>eur z dôvodu úprav</w:t>
      </w:r>
      <w:r>
        <w:rPr>
          <w:rFonts w:ascii="Times New Roman" w:hAnsi="Times New Roman" w:cs="Times New Roman"/>
          <w:lang w:eastAsia="sk-SK"/>
        </w:rPr>
        <w:t>y</w:t>
      </w:r>
      <w:r w:rsidRPr="009A4307">
        <w:rPr>
          <w:rFonts w:ascii="Times New Roman" w:hAnsi="Times New Roman" w:cs="Times New Roman"/>
          <w:lang w:eastAsia="sk-SK"/>
        </w:rPr>
        <w:t xml:space="preserve"> výšky finančného príspevku na poskytovanie sociálnej služby v zariadeniach podmienených odkázanosťou</w:t>
      </w:r>
      <w:r>
        <w:rPr>
          <w:rFonts w:ascii="Times New Roman" w:hAnsi="Times New Roman" w:cs="Times New Roman"/>
          <w:lang w:eastAsia="sk-SK"/>
        </w:rPr>
        <w:t>. Cieľom je postupné zlepšovanie udržateľnosti a dostupnosti sociálnych služieb vzhľadom na neustále sa zvyšujúci dopyt po sociálnych službách, čomu zodpovedá aj tá skutočnosť, že v porovnaní s rokom 2016 sa výdavky na sociálne služby na rok 2019 navrhujú v sume vyššej o 65 mil. eur, t. j. nárast predstavuje 78 %.</w:t>
      </w:r>
    </w:p>
    <w:p w:rsidR="003A497B" w:rsidRPr="003E1809"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sz w:val="20"/>
          <w:lang w:eastAsia="sk-SK"/>
        </w:rPr>
      </w:pPr>
      <w:r w:rsidRPr="009A4307">
        <w:rPr>
          <w:rFonts w:ascii="Times New Roman" w:hAnsi="Times New Roman" w:cs="Times New Roman"/>
          <w:lang w:eastAsia="sk-SK"/>
        </w:rPr>
        <w:t xml:space="preserve">  </w:t>
      </w:r>
    </w:p>
    <w:p w:rsidR="003A497B" w:rsidRDefault="003A497B" w:rsidP="003A497B">
      <w:pPr>
        <w:tabs>
          <w:tab w:val="left" w:pos="0"/>
          <w:tab w:val="left" w:pos="720"/>
          <w:tab w:val="left" w:pos="1440"/>
          <w:tab w:val="left" w:pos="2160"/>
          <w:tab w:val="left" w:pos="2880"/>
          <w:tab w:val="left" w:pos="3600"/>
          <w:tab w:val="left" w:pos="4320"/>
        </w:tabs>
        <w:adjustRightInd w:val="0"/>
        <w:contextualSpacing/>
        <w:jc w:val="both"/>
        <w:rPr>
          <w:rFonts w:ascii="Times New Roman" w:hAnsi="Times New Roman" w:cs="Times New Roman"/>
          <w:b/>
          <w:lang w:eastAsia="sk-SK"/>
        </w:rPr>
      </w:pPr>
      <w:r w:rsidRPr="00D26052">
        <w:rPr>
          <w:rFonts w:ascii="Times New Roman" w:hAnsi="Times New Roman" w:cs="Times New Roman"/>
          <w:b/>
          <w:lang w:eastAsia="sk-SK"/>
        </w:rPr>
        <w:t xml:space="preserve">Politika zamestnanosti </w:t>
      </w:r>
    </w:p>
    <w:p w:rsidR="003A497B" w:rsidRDefault="003A497B" w:rsidP="003A497B">
      <w:pPr>
        <w:tabs>
          <w:tab w:val="left" w:pos="0"/>
          <w:tab w:val="left" w:pos="720"/>
          <w:tab w:val="left" w:pos="1440"/>
          <w:tab w:val="left" w:pos="2160"/>
          <w:tab w:val="left" w:pos="2880"/>
          <w:tab w:val="left" w:pos="3600"/>
          <w:tab w:val="left" w:pos="4320"/>
        </w:tabs>
        <w:adjustRightInd w:val="0"/>
        <w:contextualSpacing/>
        <w:jc w:val="both"/>
        <w:rPr>
          <w:rFonts w:ascii="Times New Roman" w:hAnsi="Times New Roman" w:cs="Times New Roman"/>
          <w:b/>
          <w:lang w:eastAsia="sk-SK"/>
        </w:rPr>
      </w:pPr>
    </w:p>
    <w:p w:rsidR="003A497B" w:rsidRPr="004A683F" w:rsidRDefault="003A497B" w:rsidP="003A497B">
      <w:pPr>
        <w:spacing w:after="160"/>
        <w:ind w:firstLine="708"/>
        <w:jc w:val="both"/>
        <w:rPr>
          <w:rFonts w:ascii="Times New Roman" w:hAnsi="Times New Roman" w:cs="Times New Roman"/>
          <w:lang w:eastAsia="sk-SK"/>
        </w:rPr>
      </w:pPr>
      <w:r w:rsidRPr="004A683F">
        <w:rPr>
          <w:rFonts w:ascii="Times New Roman" w:hAnsi="Times New Roman" w:cs="Times New Roman"/>
          <w:lang w:eastAsia="sk-SK"/>
        </w:rPr>
        <w:t xml:space="preserve">Pretrvávajúca vysoká miera dlhodobej nezamestnanosti patrí medzi najväčšie výzvy slovenskej ekonomiky. Samostatnú pozornosť si vyžaduje zamestnanosť nízkokvalifikovaných osôb, žien, mobilita na pracovnom trhu, nesúlad medzi trhom práce a zručnosťami a v neposlednom rade marginalizované rómske komunity. </w:t>
      </w:r>
    </w:p>
    <w:tbl>
      <w:tblPr>
        <w:tblpPr w:leftFromText="141" w:rightFromText="141" w:vertAnchor="text" w:horzAnchor="margin" w:tblpY="198"/>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1E0" w:firstRow="1" w:lastRow="1" w:firstColumn="1" w:lastColumn="1" w:noHBand="0" w:noVBand="0"/>
      </w:tblPr>
      <w:tblGrid>
        <w:gridCol w:w="4345"/>
        <w:gridCol w:w="146"/>
        <w:gridCol w:w="4581"/>
      </w:tblGrid>
      <w:tr w:rsidR="003A497B" w:rsidRPr="00191349" w:rsidTr="003E1809">
        <w:trPr>
          <w:trHeight w:val="227"/>
        </w:trPr>
        <w:tc>
          <w:tcPr>
            <w:tcW w:w="2395" w:type="pct"/>
            <w:tcBorders>
              <w:top w:val="nil"/>
              <w:left w:val="nil"/>
              <w:bottom w:val="single" w:sz="4" w:space="0" w:color="auto"/>
              <w:right w:val="nil"/>
            </w:tcBorders>
            <w:vAlign w:val="bottom"/>
            <w:hideMark/>
          </w:tcPr>
          <w:p w:rsidR="003A497B" w:rsidRPr="00A6654F" w:rsidRDefault="003A497B" w:rsidP="003E1809">
            <w:pPr>
              <w:rPr>
                <w:rFonts w:ascii="Times New Roman" w:hAnsi="Times New Roman" w:cs="Times New Roman"/>
                <w:b/>
                <w:bCs/>
                <w:sz w:val="20"/>
                <w:szCs w:val="18"/>
                <w:lang w:eastAsia="sk-SK"/>
              </w:rPr>
            </w:pPr>
            <w:bookmarkStart w:id="72" w:name="_Toc480760508"/>
            <w:bookmarkStart w:id="73" w:name="_Toc488075700"/>
            <w:r w:rsidRPr="00A6654F">
              <w:rPr>
                <w:rFonts w:ascii="Times New Roman" w:hAnsi="Times New Roman" w:cs="Times New Roman"/>
                <w:b/>
                <w:bCs/>
                <w:sz w:val="20"/>
                <w:szCs w:val="18"/>
                <w:lang w:eastAsia="sk-SK"/>
              </w:rPr>
              <w:t>Graf:</w:t>
            </w:r>
            <w:r w:rsidRPr="00A6654F">
              <w:rPr>
                <w:rFonts w:ascii="Times New Roman" w:eastAsia="Arial Narrow" w:hAnsi="Times New Roman" w:cs="Times New Roman"/>
                <w:b/>
                <w:bCs/>
                <w:sz w:val="20"/>
                <w:szCs w:val="36"/>
              </w:rPr>
              <w:t xml:space="preserve"> </w:t>
            </w:r>
            <w:bookmarkEnd w:id="72"/>
            <w:bookmarkEnd w:id="73"/>
            <w:r w:rsidRPr="00A6654F">
              <w:rPr>
                <w:rFonts w:ascii="Times New Roman" w:eastAsia="Arial Narrow" w:hAnsi="Times New Roman" w:cs="Times New Roman"/>
                <w:b/>
                <w:bCs/>
                <w:sz w:val="20"/>
                <w:szCs w:val="18"/>
              </w:rPr>
              <w:t xml:space="preserve">Dlhodobá nezamestnanosť </w:t>
            </w:r>
          </w:p>
        </w:tc>
        <w:tc>
          <w:tcPr>
            <w:tcW w:w="80" w:type="pct"/>
            <w:tcBorders>
              <w:top w:val="nil"/>
              <w:left w:val="nil"/>
              <w:bottom w:val="nil"/>
              <w:right w:val="nil"/>
            </w:tcBorders>
            <w:vAlign w:val="center"/>
          </w:tcPr>
          <w:p w:rsidR="003A497B" w:rsidRPr="00A6654F" w:rsidRDefault="003A497B" w:rsidP="003E1809">
            <w:pPr>
              <w:spacing w:before="60"/>
              <w:jc w:val="both"/>
              <w:rPr>
                <w:rFonts w:ascii="Times New Roman" w:eastAsia="Calibri" w:hAnsi="Times New Roman" w:cs="Times New Roman"/>
                <w:b/>
                <w:sz w:val="20"/>
                <w:szCs w:val="18"/>
              </w:rPr>
            </w:pPr>
          </w:p>
        </w:tc>
        <w:tc>
          <w:tcPr>
            <w:tcW w:w="2525" w:type="pct"/>
            <w:tcBorders>
              <w:top w:val="nil"/>
              <w:left w:val="nil"/>
              <w:bottom w:val="single" w:sz="4" w:space="0" w:color="auto"/>
              <w:right w:val="nil"/>
            </w:tcBorders>
            <w:vAlign w:val="center"/>
            <w:hideMark/>
          </w:tcPr>
          <w:p w:rsidR="003A497B" w:rsidRPr="00A6654F" w:rsidRDefault="003A497B" w:rsidP="003E1809">
            <w:pPr>
              <w:rPr>
                <w:rFonts w:ascii="Times New Roman" w:eastAsia="Arial Narrow" w:hAnsi="Times New Roman" w:cs="Times New Roman"/>
                <w:b/>
                <w:bCs/>
                <w:sz w:val="20"/>
                <w:szCs w:val="18"/>
              </w:rPr>
            </w:pPr>
            <w:bookmarkStart w:id="74" w:name="_Toc480760509"/>
            <w:bookmarkStart w:id="75" w:name="_Toc488075701"/>
            <w:r w:rsidRPr="00A6654F">
              <w:rPr>
                <w:rFonts w:ascii="Times New Roman" w:eastAsia="Arial Narrow" w:hAnsi="Times New Roman" w:cs="Times New Roman"/>
                <w:b/>
                <w:bCs/>
                <w:sz w:val="20"/>
                <w:szCs w:val="18"/>
              </w:rPr>
              <w:t xml:space="preserve">Graf: </w:t>
            </w:r>
            <w:r w:rsidRPr="00A6654F">
              <w:rPr>
                <w:rFonts w:ascii="Times New Roman" w:hAnsi="Times New Roman" w:cs="Times New Roman"/>
                <w:b/>
                <w:bCs/>
                <w:sz w:val="20"/>
                <w:szCs w:val="18"/>
                <w:lang w:eastAsia="sk-SK"/>
              </w:rPr>
              <w:t>Nízkokvalifikovaná pracovná sila na trhu</w:t>
            </w:r>
            <w:r>
              <w:rPr>
                <w:rFonts w:ascii="Times New Roman" w:hAnsi="Times New Roman" w:cs="Times New Roman"/>
                <w:b/>
                <w:bCs/>
                <w:sz w:val="20"/>
                <w:szCs w:val="18"/>
                <w:lang w:eastAsia="sk-SK"/>
              </w:rPr>
              <w:t xml:space="preserve"> </w:t>
            </w:r>
            <w:r w:rsidRPr="00A6654F">
              <w:rPr>
                <w:rFonts w:ascii="Times New Roman" w:hAnsi="Times New Roman" w:cs="Times New Roman"/>
                <w:b/>
                <w:bCs/>
                <w:sz w:val="20"/>
                <w:szCs w:val="18"/>
                <w:lang w:eastAsia="sk-SK"/>
              </w:rPr>
              <w:t>práce (%, 201</w:t>
            </w:r>
            <w:r>
              <w:rPr>
                <w:rFonts w:ascii="Times New Roman" w:hAnsi="Times New Roman" w:cs="Times New Roman"/>
                <w:b/>
                <w:bCs/>
                <w:sz w:val="20"/>
                <w:szCs w:val="18"/>
                <w:lang w:eastAsia="sk-SK"/>
              </w:rPr>
              <w:t>7</w:t>
            </w:r>
            <w:r w:rsidRPr="00A6654F">
              <w:rPr>
                <w:rFonts w:ascii="Times New Roman" w:hAnsi="Times New Roman" w:cs="Times New Roman"/>
                <w:b/>
                <w:bCs/>
                <w:sz w:val="20"/>
                <w:szCs w:val="18"/>
                <w:lang w:eastAsia="sk-SK"/>
              </w:rPr>
              <w:t>)</w:t>
            </w:r>
            <w:bookmarkEnd w:id="74"/>
            <w:bookmarkEnd w:id="75"/>
          </w:p>
        </w:tc>
      </w:tr>
      <w:tr w:rsidR="003A497B" w:rsidRPr="00191349" w:rsidTr="003E1809">
        <w:trPr>
          <w:trHeight w:val="3042"/>
        </w:trPr>
        <w:tc>
          <w:tcPr>
            <w:tcW w:w="2395" w:type="pct"/>
            <w:tcBorders>
              <w:top w:val="single" w:sz="4" w:space="0" w:color="auto"/>
              <w:left w:val="nil"/>
              <w:bottom w:val="single" w:sz="4" w:space="0" w:color="auto"/>
              <w:right w:val="nil"/>
            </w:tcBorders>
          </w:tcPr>
          <w:p w:rsidR="003A497B" w:rsidRPr="00191349" w:rsidRDefault="003A497B" w:rsidP="003E1809">
            <w:pPr>
              <w:spacing w:before="40"/>
              <w:jc w:val="center"/>
              <w:rPr>
                <w:rFonts w:eastAsia="Calibri" w:cs="Arial"/>
                <w:b/>
                <w:sz w:val="20"/>
                <w:szCs w:val="20"/>
              </w:rPr>
            </w:pPr>
            <w:r>
              <w:rPr>
                <w:noProof/>
                <w:lang w:eastAsia="sk-SK"/>
              </w:rPr>
              <w:drawing>
                <wp:inline distT="0" distB="0" distL="0" distR="0" wp14:anchorId="4488483D" wp14:editId="3B4836DC">
                  <wp:extent cx="2719346" cy="2329180"/>
                  <wp:effectExtent l="0" t="0" r="5080" b="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80" w:type="pct"/>
            <w:tcBorders>
              <w:top w:val="nil"/>
              <w:left w:val="nil"/>
              <w:bottom w:val="nil"/>
              <w:right w:val="nil"/>
            </w:tcBorders>
            <w:vAlign w:val="center"/>
          </w:tcPr>
          <w:p w:rsidR="003A497B" w:rsidRPr="00191349" w:rsidRDefault="003A497B" w:rsidP="003E1809">
            <w:pPr>
              <w:spacing w:before="40"/>
              <w:jc w:val="center"/>
              <w:rPr>
                <w:rFonts w:eastAsia="Calibri" w:cs="Arial"/>
                <w:b/>
                <w:sz w:val="20"/>
                <w:szCs w:val="20"/>
              </w:rPr>
            </w:pPr>
          </w:p>
        </w:tc>
        <w:tc>
          <w:tcPr>
            <w:tcW w:w="2525" w:type="pct"/>
            <w:tcBorders>
              <w:top w:val="single" w:sz="4" w:space="0" w:color="auto"/>
              <w:left w:val="nil"/>
              <w:bottom w:val="single" w:sz="4" w:space="0" w:color="auto"/>
              <w:right w:val="nil"/>
            </w:tcBorders>
            <w:hideMark/>
          </w:tcPr>
          <w:p w:rsidR="003A497B" w:rsidRPr="00191349" w:rsidRDefault="003A497B" w:rsidP="003E1809">
            <w:pPr>
              <w:spacing w:before="40"/>
              <w:jc w:val="center"/>
              <w:rPr>
                <w:rFonts w:eastAsia="Calibri" w:cs="Arial"/>
                <w:b/>
                <w:sz w:val="20"/>
                <w:szCs w:val="20"/>
              </w:rPr>
            </w:pPr>
            <w:r>
              <w:rPr>
                <w:noProof/>
                <w:lang w:eastAsia="sk-SK"/>
              </w:rPr>
              <w:drawing>
                <wp:inline distT="0" distB="0" distL="0" distR="0" wp14:anchorId="5C6D6292" wp14:editId="6B6B7445">
                  <wp:extent cx="2870421" cy="2369489"/>
                  <wp:effectExtent l="0" t="0" r="6350" b="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3A497B" w:rsidRPr="00191349" w:rsidTr="003E1809">
        <w:trPr>
          <w:trHeight w:val="170"/>
        </w:trPr>
        <w:tc>
          <w:tcPr>
            <w:tcW w:w="2395" w:type="pct"/>
            <w:tcBorders>
              <w:top w:val="single" w:sz="4" w:space="0" w:color="auto"/>
              <w:left w:val="nil"/>
              <w:bottom w:val="nil"/>
              <w:right w:val="nil"/>
            </w:tcBorders>
            <w:vAlign w:val="center"/>
          </w:tcPr>
          <w:p w:rsidR="003A497B" w:rsidRPr="00A6654F" w:rsidRDefault="003A497B" w:rsidP="003E1809">
            <w:pPr>
              <w:spacing w:after="120"/>
              <w:jc w:val="right"/>
              <w:rPr>
                <w:rFonts w:ascii="Times New Roman" w:eastAsia="Calibri" w:hAnsi="Times New Roman" w:cs="Times New Roman"/>
                <w:i/>
                <w:sz w:val="18"/>
                <w:szCs w:val="18"/>
              </w:rPr>
            </w:pPr>
            <w:r w:rsidRPr="00A6654F">
              <w:rPr>
                <w:rFonts w:ascii="Times New Roman" w:eastAsia="Calibri" w:hAnsi="Times New Roman" w:cs="Times New Roman"/>
                <w:i/>
                <w:iCs/>
                <w:color w:val="000000"/>
                <w:sz w:val="18"/>
                <w:szCs w:val="18"/>
              </w:rPr>
              <w:t>Zdroj: Eurostat</w:t>
            </w:r>
          </w:p>
        </w:tc>
        <w:tc>
          <w:tcPr>
            <w:tcW w:w="80" w:type="pct"/>
            <w:tcBorders>
              <w:top w:val="nil"/>
              <w:left w:val="nil"/>
              <w:bottom w:val="nil"/>
              <w:right w:val="nil"/>
            </w:tcBorders>
            <w:vAlign w:val="center"/>
          </w:tcPr>
          <w:p w:rsidR="003A497B" w:rsidRPr="00A6654F" w:rsidRDefault="003A497B" w:rsidP="003E1809">
            <w:pPr>
              <w:spacing w:after="120"/>
              <w:jc w:val="center"/>
              <w:rPr>
                <w:rFonts w:ascii="Times New Roman" w:eastAsia="Calibri" w:hAnsi="Times New Roman" w:cs="Times New Roman"/>
                <w:i/>
                <w:sz w:val="18"/>
                <w:szCs w:val="18"/>
              </w:rPr>
            </w:pPr>
          </w:p>
        </w:tc>
        <w:tc>
          <w:tcPr>
            <w:tcW w:w="2525" w:type="pct"/>
            <w:tcBorders>
              <w:top w:val="single" w:sz="4" w:space="0" w:color="auto"/>
              <w:left w:val="nil"/>
              <w:bottom w:val="nil"/>
              <w:right w:val="nil"/>
            </w:tcBorders>
            <w:vAlign w:val="center"/>
          </w:tcPr>
          <w:p w:rsidR="003A497B" w:rsidRPr="00A6654F" w:rsidRDefault="003A497B" w:rsidP="003E1809">
            <w:pPr>
              <w:spacing w:after="120"/>
              <w:jc w:val="right"/>
              <w:rPr>
                <w:rFonts w:ascii="Times New Roman" w:eastAsia="Calibri" w:hAnsi="Times New Roman" w:cs="Times New Roman"/>
                <w:i/>
                <w:sz w:val="18"/>
                <w:szCs w:val="18"/>
              </w:rPr>
            </w:pPr>
            <w:r w:rsidRPr="00A6654F">
              <w:rPr>
                <w:rFonts w:ascii="Times New Roman" w:eastAsia="Calibri" w:hAnsi="Times New Roman" w:cs="Times New Roman"/>
                <w:i/>
                <w:iCs/>
                <w:color w:val="000000"/>
                <w:sz w:val="18"/>
                <w:szCs w:val="18"/>
              </w:rPr>
              <w:t>Zdroj: Eurostat</w:t>
            </w:r>
          </w:p>
        </w:tc>
      </w:tr>
    </w:tbl>
    <w:p w:rsidR="003A497B" w:rsidRDefault="003A497B" w:rsidP="003A497B">
      <w:pPr>
        <w:tabs>
          <w:tab w:val="left" w:pos="0"/>
          <w:tab w:val="left" w:pos="720"/>
          <w:tab w:val="left" w:pos="1440"/>
          <w:tab w:val="left" w:pos="2160"/>
          <w:tab w:val="left" w:pos="2880"/>
          <w:tab w:val="left" w:pos="3600"/>
          <w:tab w:val="left" w:pos="4320"/>
        </w:tabs>
        <w:adjustRightInd w:val="0"/>
        <w:contextualSpacing/>
        <w:jc w:val="both"/>
        <w:rPr>
          <w:rFonts w:ascii="Times New Roman" w:hAnsi="Times New Roman" w:cs="Times New Roman"/>
          <w:b/>
          <w:lang w:eastAsia="sk-SK"/>
        </w:rPr>
      </w:pPr>
    </w:p>
    <w:p w:rsidR="003A497B" w:rsidRPr="00571888"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color w:val="000000"/>
          <w:lang w:eastAsia="sk-SK"/>
        </w:rPr>
      </w:pPr>
      <w:r w:rsidRPr="00B47A66">
        <w:rPr>
          <w:rFonts w:ascii="Times New Roman" w:hAnsi="Times New Roman" w:cs="Times New Roman"/>
          <w:color w:val="000000"/>
          <w:lang w:eastAsia="sk-SK"/>
        </w:rPr>
        <w:tab/>
      </w:r>
      <w:r w:rsidRPr="00571888">
        <w:rPr>
          <w:rFonts w:ascii="Times New Roman" w:hAnsi="Times New Roman" w:cs="Times New Roman"/>
          <w:color w:val="000000"/>
          <w:lang w:eastAsia="sk-SK"/>
        </w:rPr>
        <w:t xml:space="preserve">Výdavky na </w:t>
      </w:r>
      <w:r>
        <w:rPr>
          <w:rFonts w:ascii="Times New Roman" w:hAnsi="Times New Roman" w:cs="Times New Roman"/>
          <w:color w:val="000000"/>
          <w:lang w:eastAsia="sk-SK"/>
        </w:rPr>
        <w:t>aktívnu politiku trhu práce (</w:t>
      </w:r>
      <w:r w:rsidRPr="00571888">
        <w:rPr>
          <w:rFonts w:ascii="Times New Roman" w:hAnsi="Times New Roman" w:cs="Times New Roman"/>
          <w:color w:val="000000"/>
          <w:lang w:eastAsia="sk-SK"/>
        </w:rPr>
        <w:t>APTP</w:t>
      </w:r>
      <w:r>
        <w:rPr>
          <w:rFonts w:ascii="Times New Roman" w:hAnsi="Times New Roman" w:cs="Times New Roman"/>
          <w:color w:val="000000"/>
          <w:lang w:eastAsia="sk-SK"/>
        </w:rPr>
        <w:t>)</w:t>
      </w:r>
      <w:r w:rsidRPr="00571888">
        <w:rPr>
          <w:rFonts w:ascii="Times New Roman" w:hAnsi="Times New Roman" w:cs="Times New Roman"/>
          <w:color w:val="000000"/>
          <w:lang w:eastAsia="sk-SK"/>
        </w:rPr>
        <w:t xml:space="preserve"> patria medzi najnižšie v OECD, efektívnosť a účinnosť väčšiny opatrení je k týmto výdavkom relevantná. I keď stále ešte dominujú dopytové programy, podiel  ponukových (vzdelávacích a tréningových) programov a poradenských služieb, ktoré sa z medzinárodných skúseností ukazujú ako najúčinnejšie, sa za posledné tri roky neustále zvyšuje. </w:t>
      </w:r>
    </w:p>
    <w:p w:rsidR="003A497B" w:rsidRPr="00571888"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color w:val="000000"/>
          <w:lang w:eastAsia="sk-SK"/>
        </w:rPr>
      </w:pPr>
    </w:p>
    <w:p w:rsidR="003A497B"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color w:val="000000"/>
          <w:lang w:eastAsia="sk-SK"/>
        </w:rPr>
      </w:pPr>
      <w:r w:rsidRPr="00571888">
        <w:rPr>
          <w:rFonts w:ascii="Times New Roman" w:hAnsi="Times New Roman" w:cs="Times New Roman"/>
          <w:color w:val="000000"/>
          <w:lang w:eastAsia="sk-SK"/>
        </w:rPr>
        <w:tab/>
        <w:t xml:space="preserve">Poradenské služby pri hľadaní práce majú efekt viditeľný najmä v krátkodobom horizonte (do jedného roka). Z pohľadu zvýšenia šance </w:t>
      </w:r>
      <w:r>
        <w:rPr>
          <w:rFonts w:ascii="Times New Roman" w:hAnsi="Times New Roman" w:cs="Times New Roman"/>
          <w:color w:val="000000"/>
          <w:lang w:eastAsia="sk-SK"/>
        </w:rPr>
        <w:t xml:space="preserve">sa </w:t>
      </w:r>
      <w:r w:rsidRPr="00571888">
        <w:rPr>
          <w:rFonts w:ascii="Times New Roman" w:hAnsi="Times New Roman" w:cs="Times New Roman"/>
          <w:color w:val="000000"/>
          <w:lang w:eastAsia="sk-SK"/>
        </w:rPr>
        <w:t>zamestnať sa javí úspešne krátkodobá podpora v podobe absolventskej praxe (dostupná pre mladých do 26 rokov), podpora praxe v zamestnaní (dostupná pre mladých do 29 rokov), poskytovanie príspevku na podporu vytvorenia pracovného miesta v prvom pravidelne platenom zamestnaní (dostupná pre mladých do 29 rokov) a dobrovoľníckej činnosti. Lepšie cielenie APTP zvýši počet nezamestnaných uchádzačov úspešne umiestnených na trh práce takmer o polovicu. Rozšírenie používaných informácií o uchádzačoch získaných pri ich zaradení do evidencie spolu s históriou predchádzajúcich evidencii a pracovných úväzkov umožňujú zlepšiť výber vhodných APTP pre každého uchádzača.</w:t>
      </w:r>
    </w:p>
    <w:p w:rsidR="003A497B"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color w:val="000000"/>
          <w:lang w:eastAsia="sk-SK"/>
        </w:rPr>
      </w:pPr>
    </w:p>
    <w:tbl>
      <w:tblPr>
        <w:tblStyle w:val="UHPGRAF12"/>
        <w:tblpPr w:leftFromText="141" w:rightFromText="141" w:vertAnchor="text" w:horzAnchor="margin" w:tblpY="68"/>
        <w:tblW w:w="0" w:type="auto"/>
        <w:tblLook w:val="04E0" w:firstRow="1" w:lastRow="1" w:firstColumn="1" w:lastColumn="0" w:noHBand="0" w:noVBand="1"/>
      </w:tblPr>
      <w:tblGrid>
        <w:gridCol w:w="9072"/>
      </w:tblGrid>
      <w:tr w:rsidR="003A497B" w:rsidRPr="00191349" w:rsidTr="003E180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072" w:type="dxa"/>
          </w:tcPr>
          <w:p w:rsidR="003A497B" w:rsidRPr="00A6654F" w:rsidRDefault="003A497B" w:rsidP="003E1809">
            <w:pPr>
              <w:spacing w:line="276" w:lineRule="auto"/>
              <w:jc w:val="both"/>
              <w:rPr>
                <w:rFonts w:ascii="Times New Roman" w:hAnsi="Times New Roman"/>
                <w:sz w:val="22"/>
              </w:rPr>
            </w:pPr>
            <w:bookmarkStart w:id="76" w:name="_Toc488075708"/>
            <w:r>
              <w:rPr>
                <w:rFonts w:ascii="Times New Roman" w:hAnsi="Times New Roman"/>
                <w:sz w:val="22"/>
              </w:rPr>
              <w:t>Graf</w:t>
            </w:r>
            <w:r w:rsidRPr="00A6654F">
              <w:rPr>
                <w:rFonts w:ascii="Times New Roman" w:hAnsi="Times New Roman"/>
                <w:sz w:val="22"/>
              </w:rPr>
              <w:t xml:space="preserve">: Efekty účinnejšej alokácie financovania </w:t>
            </w:r>
            <w:bookmarkEnd w:id="76"/>
            <w:r w:rsidRPr="00A6654F">
              <w:rPr>
                <w:rFonts w:ascii="Times New Roman" w:hAnsi="Times New Roman"/>
                <w:sz w:val="22"/>
              </w:rPr>
              <w:t xml:space="preserve">APTP </w:t>
            </w:r>
            <w:r>
              <w:rPr>
                <w:rFonts w:ascii="Times New Roman" w:hAnsi="Times New Roman"/>
                <w:sz w:val="22"/>
              </w:rPr>
              <w:t>(2016)</w:t>
            </w:r>
          </w:p>
        </w:tc>
      </w:tr>
      <w:tr w:rsidR="003A497B" w:rsidRPr="00191349" w:rsidTr="003E1809">
        <w:tblPrEx>
          <w:tblCellMar>
            <w:left w:w="70" w:type="dxa"/>
            <w:right w:w="7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9072" w:type="dxa"/>
          </w:tcPr>
          <w:p w:rsidR="003A497B" w:rsidRPr="00191349" w:rsidRDefault="003A497B" w:rsidP="003E1809">
            <w:pPr>
              <w:spacing w:line="276" w:lineRule="auto"/>
            </w:pPr>
            <w:r w:rsidRPr="00191349">
              <w:rPr>
                <w:noProof/>
                <w:lang w:eastAsia="sk-SK"/>
              </w:rPr>
              <w:drawing>
                <wp:inline distT="0" distB="0" distL="0" distR="0" wp14:anchorId="1458773A" wp14:editId="20E29ECD">
                  <wp:extent cx="5685155" cy="1856510"/>
                  <wp:effectExtent l="0" t="0" r="0" b="0"/>
                  <wp:docPr id="295470" name="Graf 2954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3A497B" w:rsidRPr="00191349" w:rsidTr="003E1809">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9072" w:type="dxa"/>
          </w:tcPr>
          <w:p w:rsidR="003A497B" w:rsidRPr="00A6654F" w:rsidRDefault="003A497B" w:rsidP="003E1809">
            <w:pPr>
              <w:spacing w:line="276" w:lineRule="auto"/>
              <w:rPr>
                <w:rFonts w:ascii="Times New Roman" w:hAnsi="Times New Roman"/>
                <w:b w:val="0"/>
                <w:sz w:val="18"/>
                <w:szCs w:val="18"/>
              </w:rPr>
            </w:pPr>
            <w:r w:rsidRPr="00A6654F">
              <w:rPr>
                <w:rFonts w:ascii="Times New Roman" w:hAnsi="Times New Roman"/>
                <w:b w:val="0"/>
                <w:sz w:val="18"/>
                <w:szCs w:val="18"/>
              </w:rPr>
              <w:t>Zdroj: ÚHP</w:t>
            </w:r>
          </w:p>
        </w:tc>
      </w:tr>
    </w:tbl>
    <w:p w:rsidR="003A497B" w:rsidRDefault="003A497B" w:rsidP="003A497B">
      <w:pPr>
        <w:tabs>
          <w:tab w:val="left" w:pos="0"/>
          <w:tab w:val="left" w:pos="720"/>
          <w:tab w:val="left" w:pos="1440"/>
          <w:tab w:val="left" w:pos="2160"/>
          <w:tab w:val="left" w:pos="2880"/>
          <w:tab w:val="left" w:pos="3600"/>
          <w:tab w:val="left" w:pos="4320"/>
        </w:tabs>
        <w:adjustRightInd w:val="0"/>
        <w:contextualSpacing/>
        <w:jc w:val="both"/>
        <w:rPr>
          <w:rFonts w:ascii="Times New Roman" w:hAnsi="Times New Roman" w:cs="Times New Roman"/>
          <w:b/>
          <w:lang w:eastAsia="sk-SK"/>
        </w:rPr>
      </w:pPr>
    </w:p>
    <w:tbl>
      <w:tblPr>
        <w:tblW w:w="9072" w:type="dxa"/>
        <w:tblCellMar>
          <w:left w:w="70" w:type="dxa"/>
          <w:right w:w="70" w:type="dxa"/>
        </w:tblCellMar>
        <w:tblLook w:val="04A0" w:firstRow="1" w:lastRow="0" w:firstColumn="1" w:lastColumn="0" w:noHBand="0" w:noVBand="1"/>
      </w:tblPr>
      <w:tblGrid>
        <w:gridCol w:w="2689"/>
        <w:gridCol w:w="992"/>
        <w:gridCol w:w="992"/>
        <w:gridCol w:w="849"/>
        <w:gridCol w:w="877"/>
        <w:gridCol w:w="920"/>
        <w:gridCol w:w="859"/>
        <w:gridCol w:w="894"/>
      </w:tblGrid>
      <w:tr w:rsidR="003A497B" w:rsidRPr="00D26052" w:rsidTr="003E1809">
        <w:trPr>
          <w:trHeight w:hRule="exact" w:val="255"/>
        </w:trPr>
        <w:tc>
          <w:tcPr>
            <w:tcW w:w="2689"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rsidR="003A497B" w:rsidRPr="00D26052" w:rsidRDefault="003A497B" w:rsidP="003E1809">
            <w:pPr>
              <w:rPr>
                <w:rFonts w:ascii="Times New Roman" w:hAnsi="Times New Roman" w:cs="Times New Roman"/>
                <w:b/>
                <w:bCs/>
                <w:sz w:val="14"/>
                <w:szCs w:val="14"/>
                <w:lang w:eastAsia="sk-SK"/>
              </w:rPr>
            </w:pPr>
            <w:r w:rsidRPr="00D26052">
              <w:rPr>
                <w:rFonts w:ascii="Times New Roman" w:hAnsi="Times New Roman" w:cs="Times New Roman"/>
                <w:b/>
                <w:bCs/>
                <w:sz w:val="14"/>
                <w:szCs w:val="14"/>
                <w:lang w:eastAsia="sk-SK"/>
              </w:rPr>
              <w:t>v eurách</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w:t>
            </w:r>
            <w:r w:rsidRPr="00D26052">
              <w:rPr>
                <w:rFonts w:ascii="Times New Roman" w:hAnsi="Times New Roman" w:cs="Times New Roman"/>
                <w:b/>
                <w:bCs/>
                <w:color w:val="000000"/>
                <w:sz w:val="14"/>
                <w:szCs w:val="14"/>
                <w:lang w:eastAsia="sk-SK"/>
              </w:rPr>
              <w:t xml:space="preserve"> S</w:t>
            </w:r>
          </w:p>
        </w:tc>
        <w:tc>
          <w:tcPr>
            <w:tcW w:w="99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w:t>
            </w:r>
            <w:r w:rsidRPr="00D26052">
              <w:rPr>
                <w:rFonts w:ascii="Times New Roman" w:hAnsi="Times New Roman" w:cs="Times New Roman"/>
                <w:b/>
                <w:bCs/>
                <w:color w:val="000000"/>
                <w:sz w:val="14"/>
                <w:szCs w:val="14"/>
                <w:lang w:eastAsia="sk-SK"/>
              </w:rPr>
              <w:t xml:space="preserve"> S</w:t>
            </w:r>
          </w:p>
        </w:tc>
        <w:tc>
          <w:tcPr>
            <w:tcW w:w="849"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D26052">
              <w:rPr>
                <w:rFonts w:ascii="Times New Roman" w:hAnsi="Times New Roman" w:cs="Times New Roman"/>
                <w:b/>
                <w:bCs/>
                <w:color w:val="000000"/>
                <w:sz w:val="14"/>
                <w:szCs w:val="14"/>
                <w:lang w:eastAsia="sk-SK"/>
              </w:rPr>
              <w:t xml:space="preserve"> R</w:t>
            </w:r>
          </w:p>
        </w:tc>
        <w:tc>
          <w:tcPr>
            <w:tcW w:w="877"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D26052">
              <w:rPr>
                <w:rFonts w:ascii="Times New Roman" w:hAnsi="Times New Roman" w:cs="Times New Roman"/>
                <w:b/>
                <w:bCs/>
                <w:color w:val="000000"/>
                <w:sz w:val="14"/>
                <w:szCs w:val="14"/>
                <w:lang w:eastAsia="sk-SK"/>
              </w:rPr>
              <w:t xml:space="preserve"> OS</w:t>
            </w:r>
          </w:p>
        </w:tc>
        <w:tc>
          <w:tcPr>
            <w:tcW w:w="92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9</w:t>
            </w:r>
            <w:r w:rsidRPr="00D26052">
              <w:rPr>
                <w:rFonts w:ascii="Times New Roman" w:hAnsi="Times New Roman" w:cs="Times New Roman"/>
                <w:b/>
                <w:bCs/>
                <w:color w:val="000000"/>
                <w:sz w:val="14"/>
                <w:szCs w:val="14"/>
                <w:lang w:eastAsia="sk-SK"/>
              </w:rPr>
              <w:t xml:space="preserve"> N</w:t>
            </w:r>
          </w:p>
        </w:tc>
        <w:tc>
          <w:tcPr>
            <w:tcW w:w="859"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w:t>
            </w:r>
            <w:r>
              <w:rPr>
                <w:rFonts w:ascii="Times New Roman" w:hAnsi="Times New Roman" w:cs="Times New Roman"/>
                <w:b/>
                <w:bCs/>
                <w:color w:val="000000"/>
                <w:sz w:val="14"/>
                <w:szCs w:val="14"/>
                <w:lang w:eastAsia="sk-SK"/>
              </w:rPr>
              <w:t>20</w:t>
            </w:r>
            <w:r w:rsidRPr="00D26052">
              <w:rPr>
                <w:rFonts w:ascii="Times New Roman" w:hAnsi="Times New Roman" w:cs="Times New Roman"/>
                <w:b/>
                <w:bCs/>
                <w:color w:val="000000"/>
                <w:sz w:val="14"/>
                <w:szCs w:val="14"/>
                <w:lang w:eastAsia="sk-SK"/>
              </w:rPr>
              <w:t xml:space="preserve"> N</w:t>
            </w:r>
          </w:p>
        </w:tc>
        <w:tc>
          <w:tcPr>
            <w:tcW w:w="894"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w:t>
            </w:r>
            <w:r>
              <w:rPr>
                <w:rFonts w:ascii="Times New Roman" w:hAnsi="Times New Roman" w:cs="Times New Roman"/>
                <w:b/>
                <w:bCs/>
                <w:color w:val="000000"/>
                <w:sz w:val="14"/>
                <w:szCs w:val="14"/>
                <w:lang w:eastAsia="sk-SK"/>
              </w:rPr>
              <w:t>21</w:t>
            </w:r>
            <w:r w:rsidRPr="00D26052">
              <w:rPr>
                <w:rFonts w:ascii="Times New Roman" w:hAnsi="Times New Roman" w:cs="Times New Roman"/>
                <w:b/>
                <w:bCs/>
                <w:color w:val="000000"/>
                <w:sz w:val="14"/>
                <w:szCs w:val="14"/>
                <w:lang w:eastAsia="sk-SK"/>
              </w:rPr>
              <w:t xml:space="preserve"> N</w:t>
            </w:r>
          </w:p>
        </w:tc>
      </w:tr>
      <w:tr w:rsidR="003A497B" w:rsidRPr="00D26052" w:rsidTr="003E1809">
        <w:trPr>
          <w:trHeight w:hRule="exact" w:val="255"/>
        </w:trPr>
        <w:tc>
          <w:tcPr>
            <w:tcW w:w="2689" w:type="dxa"/>
            <w:tcBorders>
              <w:top w:val="nil"/>
              <w:left w:val="single" w:sz="4" w:space="0" w:color="auto"/>
              <w:bottom w:val="single" w:sz="4" w:space="0" w:color="auto"/>
              <w:right w:val="nil"/>
            </w:tcBorders>
            <w:shd w:val="clear" w:color="auto" w:fill="BFBFBF" w:themeFill="background1" w:themeFillShade="BF"/>
            <w:noWrap/>
            <w:vAlign w:val="bottom"/>
            <w:hideMark/>
          </w:tcPr>
          <w:p w:rsidR="003A497B" w:rsidRPr="00D26052" w:rsidRDefault="003A497B" w:rsidP="003E1809">
            <w:pPr>
              <w:rPr>
                <w:rFonts w:ascii="Times New Roman" w:hAnsi="Times New Roman" w:cs="Times New Roman"/>
                <w:b/>
                <w:bCs/>
                <w:sz w:val="14"/>
                <w:szCs w:val="14"/>
                <w:lang w:eastAsia="sk-SK"/>
              </w:rPr>
            </w:pPr>
            <w:r w:rsidRPr="00D26052">
              <w:rPr>
                <w:rFonts w:ascii="Times New Roman" w:hAnsi="Times New Roman" w:cs="Times New Roman"/>
                <w:b/>
                <w:bCs/>
                <w:sz w:val="14"/>
                <w:szCs w:val="14"/>
                <w:lang w:eastAsia="sk-SK"/>
              </w:rPr>
              <w:t>Ľudské zdroje</w:t>
            </w:r>
          </w:p>
        </w:tc>
        <w:tc>
          <w:tcPr>
            <w:tcW w:w="992"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3A497B" w:rsidRPr="003B6CA3" w:rsidRDefault="003A497B" w:rsidP="003E1809">
            <w:pPr>
              <w:jc w:val="right"/>
              <w:rPr>
                <w:rFonts w:ascii="Times New Roman" w:hAnsi="Times New Roman" w:cs="Times New Roman"/>
                <w:b/>
                <w:bCs/>
                <w:color w:val="000000"/>
                <w:sz w:val="14"/>
                <w:szCs w:val="14"/>
                <w:lang w:eastAsia="sk-SK"/>
              </w:rPr>
            </w:pPr>
            <w:r w:rsidRPr="003B6CA3">
              <w:rPr>
                <w:rFonts w:ascii="Times New Roman" w:hAnsi="Times New Roman" w:cs="Times New Roman"/>
                <w:b/>
                <w:bCs/>
                <w:color w:val="000000"/>
                <w:sz w:val="14"/>
                <w:szCs w:val="14"/>
                <w:lang w:eastAsia="sk-SK"/>
              </w:rPr>
              <w:t>236 310 365</w:t>
            </w:r>
          </w:p>
        </w:tc>
        <w:tc>
          <w:tcPr>
            <w:tcW w:w="992" w:type="dxa"/>
            <w:tcBorders>
              <w:top w:val="nil"/>
              <w:left w:val="nil"/>
              <w:bottom w:val="single" w:sz="4" w:space="0" w:color="auto"/>
              <w:right w:val="single" w:sz="4" w:space="0" w:color="auto"/>
            </w:tcBorders>
            <w:shd w:val="clear" w:color="auto" w:fill="BFBFBF" w:themeFill="background1" w:themeFillShade="BF"/>
            <w:vAlign w:val="bottom"/>
            <w:hideMark/>
          </w:tcPr>
          <w:p w:rsidR="003A497B" w:rsidRPr="003B6CA3" w:rsidRDefault="003A497B" w:rsidP="003E1809">
            <w:pPr>
              <w:jc w:val="right"/>
              <w:rPr>
                <w:rFonts w:ascii="Times New Roman" w:hAnsi="Times New Roman" w:cs="Times New Roman"/>
                <w:b/>
                <w:bCs/>
                <w:color w:val="000000"/>
                <w:sz w:val="14"/>
                <w:szCs w:val="14"/>
                <w:lang w:eastAsia="sk-SK"/>
              </w:rPr>
            </w:pPr>
            <w:r w:rsidRPr="003B6CA3">
              <w:rPr>
                <w:rFonts w:ascii="Times New Roman" w:hAnsi="Times New Roman" w:cs="Times New Roman"/>
                <w:b/>
                <w:bCs/>
                <w:color w:val="000000"/>
                <w:sz w:val="14"/>
                <w:szCs w:val="14"/>
                <w:lang w:eastAsia="sk-SK"/>
              </w:rPr>
              <w:t>241 437 061</w:t>
            </w:r>
          </w:p>
        </w:tc>
        <w:tc>
          <w:tcPr>
            <w:tcW w:w="849" w:type="dxa"/>
            <w:tcBorders>
              <w:top w:val="nil"/>
              <w:left w:val="nil"/>
              <w:bottom w:val="single" w:sz="4" w:space="0" w:color="auto"/>
              <w:right w:val="single" w:sz="4" w:space="0" w:color="auto"/>
            </w:tcBorders>
            <w:shd w:val="clear" w:color="auto" w:fill="BFBFBF" w:themeFill="background1" w:themeFillShade="BF"/>
            <w:vAlign w:val="bottom"/>
            <w:hideMark/>
          </w:tcPr>
          <w:p w:rsidR="003A497B" w:rsidRPr="003B6CA3" w:rsidRDefault="003A497B" w:rsidP="003E1809">
            <w:pPr>
              <w:jc w:val="right"/>
              <w:rPr>
                <w:rFonts w:ascii="Times New Roman" w:hAnsi="Times New Roman" w:cs="Times New Roman"/>
                <w:b/>
                <w:bCs/>
                <w:color w:val="000000"/>
                <w:sz w:val="14"/>
                <w:szCs w:val="14"/>
                <w:lang w:eastAsia="sk-SK"/>
              </w:rPr>
            </w:pPr>
            <w:r w:rsidRPr="003B6CA3">
              <w:rPr>
                <w:rFonts w:ascii="Times New Roman" w:hAnsi="Times New Roman" w:cs="Times New Roman"/>
                <w:b/>
                <w:bCs/>
                <w:color w:val="000000"/>
                <w:sz w:val="14"/>
                <w:szCs w:val="14"/>
                <w:lang w:eastAsia="sk-SK"/>
              </w:rPr>
              <w:t>268 424 252</w:t>
            </w:r>
          </w:p>
        </w:tc>
        <w:tc>
          <w:tcPr>
            <w:tcW w:w="877" w:type="dxa"/>
            <w:tcBorders>
              <w:top w:val="nil"/>
              <w:left w:val="nil"/>
              <w:bottom w:val="single" w:sz="4" w:space="0" w:color="auto"/>
              <w:right w:val="single" w:sz="4" w:space="0" w:color="auto"/>
            </w:tcBorders>
            <w:shd w:val="clear" w:color="auto" w:fill="BFBFBF" w:themeFill="background1" w:themeFillShade="BF"/>
            <w:vAlign w:val="bottom"/>
            <w:hideMark/>
          </w:tcPr>
          <w:p w:rsidR="003A497B" w:rsidRPr="003B6CA3" w:rsidRDefault="003A497B" w:rsidP="003E1809">
            <w:pPr>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267 495 037</w:t>
            </w:r>
          </w:p>
        </w:tc>
        <w:tc>
          <w:tcPr>
            <w:tcW w:w="920" w:type="dxa"/>
            <w:tcBorders>
              <w:top w:val="nil"/>
              <w:left w:val="nil"/>
              <w:bottom w:val="single" w:sz="4" w:space="0" w:color="auto"/>
              <w:right w:val="single" w:sz="4" w:space="0" w:color="auto"/>
            </w:tcBorders>
            <w:shd w:val="clear" w:color="auto" w:fill="BFBFBF" w:themeFill="background1" w:themeFillShade="BF"/>
            <w:vAlign w:val="bottom"/>
            <w:hideMark/>
          </w:tcPr>
          <w:p w:rsidR="003A497B" w:rsidRPr="003B6CA3" w:rsidRDefault="003A497B" w:rsidP="003E1809">
            <w:pPr>
              <w:jc w:val="right"/>
              <w:rPr>
                <w:rFonts w:ascii="Times New Roman" w:hAnsi="Times New Roman" w:cs="Times New Roman"/>
                <w:b/>
                <w:bCs/>
                <w:color w:val="000000"/>
                <w:sz w:val="14"/>
                <w:szCs w:val="14"/>
                <w:lang w:eastAsia="sk-SK"/>
              </w:rPr>
            </w:pPr>
            <w:r w:rsidRPr="003B6CA3">
              <w:rPr>
                <w:rFonts w:ascii="Times New Roman" w:hAnsi="Times New Roman" w:cs="Times New Roman"/>
                <w:b/>
                <w:bCs/>
                <w:color w:val="000000"/>
                <w:sz w:val="14"/>
                <w:szCs w:val="14"/>
                <w:lang w:eastAsia="sk-SK"/>
              </w:rPr>
              <w:t>134 890 589</w:t>
            </w:r>
          </w:p>
        </w:tc>
        <w:tc>
          <w:tcPr>
            <w:tcW w:w="859" w:type="dxa"/>
            <w:tcBorders>
              <w:top w:val="nil"/>
              <w:left w:val="nil"/>
              <w:bottom w:val="single" w:sz="4" w:space="0" w:color="auto"/>
              <w:right w:val="single" w:sz="4" w:space="0" w:color="auto"/>
            </w:tcBorders>
            <w:shd w:val="clear" w:color="auto" w:fill="BFBFBF" w:themeFill="background1" w:themeFillShade="BF"/>
            <w:vAlign w:val="bottom"/>
            <w:hideMark/>
          </w:tcPr>
          <w:p w:rsidR="003A497B" w:rsidRPr="003B6CA3" w:rsidRDefault="003A497B" w:rsidP="003E1809">
            <w:pPr>
              <w:jc w:val="right"/>
              <w:rPr>
                <w:rFonts w:ascii="Times New Roman" w:hAnsi="Times New Roman" w:cs="Times New Roman"/>
                <w:b/>
                <w:bCs/>
                <w:color w:val="000000"/>
                <w:sz w:val="14"/>
                <w:szCs w:val="14"/>
                <w:lang w:eastAsia="sk-SK"/>
              </w:rPr>
            </w:pPr>
            <w:r w:rsidRPr="003B6CA3">
              <w:rPr>
                <w:rFonts w:ascii="Times New Roman" w:hAnsi="Times New Roman" w:cs="Times New Roman"/>
                <w:b/>
                <w:bCs/>
                <w:color w:val="000000"/>
                <w:sz w:val="14"/>
                <w:szCs w:val="14"/>
                <w:lang w:eastAsia="sk-SK"/>
              </w:rPr>
              <w:t>281 860 807</w:t>
            </w:r>
          </w:p>
        </w:tc>
        <w:tc>
          <w:tcPr>
            <w:tcW w:w="894" w:type="dxa"/>
            <w:tcBorders>
              <w:top w:val="nil"/>
              <w:left w:val="nil"/>
              <w:bottom w:val="single" w:sz="4" w:space="0" w:color="auto"/>
              <w:right w:val="single" w:sz="4" w:space="0" w:color="auto"/>
            </w:tcBorders>
            <w:shd w:val="clear" w:color="auto" w:fill="BFBFBF" w:themeFill="background1" w:themeFillShade="BF"/>
            <w:vAlign w:val="bottom"/>
            <w:hideMark/>
          </w:tcPr>
          <w:p w:rsidR="003A497B" w:rsidRPr="003B6CA3" w:rsidRDefault="003A497B" w:rsidP="003E1809">
            <w:pPr>
              <w:jc w:val="right"/>
              <w:rPr>
                <w:rFonts w:ascii="Times New Roman" w:hAnsi="Times New Roman" w:cs="Times New Roman"/>
                <w:b/>
                <w:bCs/>
                <w:color w:val="000000"/>
                <w:sz w:val="14"/>
                <w:szCs w:val="14"/>
                <w:lang w:eastAsia="sk-SK"/>
              </w:rPr>
            </w:pPr>
            <w:r w:rsidRPr="003B6CA3">
              <w:rPr>
                <w:rFonts w:ascii="Times New Roman" w:hAnsi="Times New Roman" w:cs="Times New Roman"/>
                <w:b/>
                <w:bCs/>
                <w:color w:val="000000"/>
                <w:sz w:val="14"/>
                <w:szCs w:val="14"/>
                <w:lang w:eastAsia="sk-SK"/>
              </w:rPr>
              <w:t>279 901 757</w:t>
            </w:r>
          </w:p>
        </w:tc>
      </w:tr>
      <w:tr w:rsidR="003A497B" w:rsidRPr="00D26052" w:rsidTr="003E1809">
        <w:trPr>
          <w:trHeight w:hRule="exact" w:val="255"/>
        </w:trPr>
        <w:tc>
          <w:tcPr>
            <w:tcW w:w="2689" w:type="dxa"/>
            <w:tcBorders>
              <w:top w:val="nil"/>
              <w:left w:val="single" w:sz="4" w:space="0" w:color="auto"/>
              <w:bottom w:val="single" w:sz="4" w:space="0" w:color="auto"/>
              <w:right w:val="nil"/>
            </w:tcBorders>
            <w:shd w:val="clear" w:color="auto" w:fill="auto"/>
            <w:noWrap/>
            <w:vAlign w:val="bottom"/>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EÚ zdroje + spolufinancovanie</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7 247 514</w:t>
            </w:r>
          </w:p>
        </w:tc>
        <w:tc>
          <w:tcPr>
            <w:tcW w:w="992"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59 882 644</w:t>
            </w:r>
          </w:p>
        </w:tc>
        <w:tc>
          <w:tcPr>
            <w:tcW w:w="849"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226 948 291</w:t>
            </w:r>
          </w:p>
        </w:tc>
        <w:tc>
          <w:tcPr>
            <w:tcW w:w="877"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10 024 989</w:t>
            </w:r>
          </w:p>
        </w:tc>
        <w:tc>
          <w:tcPr>
            <w:tcW w:w="920"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89 686 331</w:t>
            </w:r>
          </w:p>
        </w:tc>
        <w:tc>
          <w:tcPr>
            <w:tcW w:w="859"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232 837 916</w:t>
            </w:r>
          </w:p>
        </w:tc>
        <w:tc>
          <w:tcPr>
            <w:tcW w:w="894"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232 650 793</w:t>
            </w:r>
          </w:p>
        </w:tc>
      </w:tr>
      <w:tr w:rsidR="003A497B" w:rsidRPr="00D26052" w:rsidTr="003E1809">
        <w:trPr>
          <w:trHeight w:hRule="exact" w:val="255"/>
        </w:trPr>
        <w:tc>
          <w:tcPr>
            <w:tcW w:w="2689" w:type="dxa"/>
            <w:tcBorders>
              <w:top w:val="nil"/>
              <w:left w:val="single" w:sz="4" w:space="0" w:color="auto"/>
              <w:bottom w:val="single" w:sz="4" w:space="0" w:color="auto"/>
              <w:right w:val="nil"/>
            </w:tcBorders>
            <w:shd w:val="clear" w:color="auto" w:fill="auto"/>
            <w:noWrap/>
            <w:vAlign w:val="bottom"/>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v tom:</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 </w:t>
            </w:r>
          </w:p>
        </w:tc>
        <w:tc>
          <w:tcPr>
            <w:tcW w:w="992"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 </w:t>
            </w:r>
          </w:p>
        </w:tc>
        <w:tc>
          <w:tcPr>
            <w:tcW w:w="849"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 </w:t>
            </w:r>
          </w:p>
        </w:tc>
        <w:tc>
          <w:tcPr>
            <w:tcW w:w="877"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 </w:t>
            </w:r>
          </w:p>
        </w:tc>
        <w:tc>
          <w:tcPr>
            <w:tcW w:w="920"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 </w:t>
            </w:r>
          </w:p>
        </w:tc>
        <w:tc>
          <w:tcPr>
            <w:tcW w:w="859"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 </w:t>
            </w:r>
          </w:p>
        </w:tc>
        <w:tc>
          <w:tcPr>
            <w:tcW w:w="894"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 </w:t>
            </w:r>
          </w:p>
        </w:tc>
      </w:tr>
      <w:tr w:rsidR="003A497B" w:rsidRPr="00D26052" w:rsidTr="003E1809">
        <w:trPr>
          <w:trHeight w:hRule="exact" w:val="255"/>
        </w:trPr>
        <w:tc>
          <w:tcPr>
            <w:tcW w:w="2689" w:type="dxa"/>
            <w:tcBorders>
              <w:top w:val="nil"/>
              <w:left w:val="single" w:sz="4" w:space="0" w:color="auto"/>
              <w:bottom w:val="single" w:sz="4" w:space="0" w:color="auto"/>
              <w:right w:val="nil"/>
            </w:tcBorders>
            <w:shd w:val="clear" w:color="auto" w:fill="auto"/>
            <w:noWrap/>
            <w:vAlign w:val="bottom"/>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2. programové obdobie</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389 819</w:t>
            </w:r>
          </w:p>
        </w:tc>
        <w:tc>
          <w:tcPr>
            <w:tcW w:w="992"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0</w:t>
            </w:r>
          </w:p>
        </w:tc>
        <w:tc>
          <w:tcPr>
            <w:tcW w:w="849"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0</w:t>
            </w:r>
          </w:p>
        </w:tc>
        <w:tc>
          <w:tcPr>
            <w:tcW w:w="877"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0</w:t>
            </w:r>
          </w:p>
        </w:tc>
        <w:tc>
          <w:tcPr>
            <w:tcW w:w="920"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0</w:t>
            </w:r>
          </w:p>
        </w:tc>
        <w:tc>
          <w:tcPr>
            <w:tcW w:w="859"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0</w:t>
            </w:r>
          </w:p>
        </w:tc>
        <w:tc>
          <w:tcPr>
            <w:tcW w:w="894"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0</w:t>
            </w:r>
          </w:p>
        </w:tc>
      </w:tr>
      <w:tr w:rsidR="003A497B" w:rsidRPr="00D26052" w:rsidTr="003E1809">
        <w:trPr>
          <w:trHeight w:hRule="exact" w:val="255"/>
        </w:trPr>
        <w:tc>
          <w:tcPr>
            <w:tcW w:w="2689" w:type="dxa"/>
            <w:tcBorders>
              <w:top w:val="nil"/>
              <w:left w:val="single" w:sz="4" w:space="0" w:color="auto"/>
              <w:bottom w:val="single" w:sz="4" w:space="0" w:color="auto"/>
              <w:right w:val="nil"/>
            </w:tcBorders>
            <w:shd w:val="clear" w:color="auto" w:fill="auto"/>
            <w:noWrap/>
            <w:vAlign w:val="bottom"/>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3. programové obdobie</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6 857 695</w:t>
            </w:r>
          </w:p>
        </w:tc>
        <w:tc>
          <w:tcPr>
            <w:tcW w:w="992"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59 882 644</w:t>
            </w:r>
          </w:p>
        </w:tc>
        <w:tc>
          <w:tcPr>
            <w:tcW w:w="849"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226 948 291</w:t>
            </w:r>
          </w:p>
        </w:tc>
        <w:tc>
          <w:tcPr>
            <w:tcW w:w="877"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10 024 989</w:t>
            </w:r>
          </w:p>
        </w:tc>
        <w:tc>
          <w:tcPr>
            <w:tcW w:w="920"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89 686 331</w:t>
            </w:r>
          </w:p>
        </w:tc>
        <w:tc>
          <w:tcPr>
            <w:tcW w:w="859"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232 837 916</w:t>
            </w:r>
          </w:p>
        </w:tc>
        <w:tc>
          <w:tcPr>
            <w:tcW w:w="894"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232 650 793</w:t>
            </w:r>
          </w:p>
        </w:tc>
      </w:tr>
      <w:tr w:rsidR="003A497B" w:rsidRPr="00D26052" w:rsidTr="003E1809">
        <w:trPr>
          <w:trHeight w:hRule="exact" w:val="255"/>
        </w:trPr>
        <w:tc>
          <w:tcPr>
            <w:tcW w:w="2689" w:type="dxa"/>
            <w:tcBorders>
              <w:top w:val="nil"/>
              <w:left w:val="single" w:sz="4" w:space="0" w:color="auto"/>
              <w:bottom w:val="single" w:sz="4" w:space="0" w:color="auto"/>
              <w:right w:val="nil"/>
            </w:tcBorders>
            <w:shd w:val="clear" w:color="auto" w:fill="auto"/>
            <w:noWrap/>
            <w:vAlign w:val="bottom"/>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presun z minulých rokov (zdroj 13)</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170 645 359</w:t>
            </w:r>
          </w:p>
        </w:tc>
        <w:tc>
          <w:tcPr>
            <w:tcW w:w="992"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137 063 767</w:t>
            </w:r>
          </w:p>
        </w:tc>
        <w:tc>
          <w:tcPr>
            <w:tcW w:w="849"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0</w:t>
            </w:r>
          </w:p>
        </w:tc>
        <w:tc>
          <w:tcPr>
            <w:tcW w:w="877"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210 340 586</w:t>
            </w:r>
          </w:p>
        </w:tc>
        <w:tc>
          <w:tcPr>
            <w:tcW w:w="920"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0</w:t>
            </w:r>
          </w:p>
        </w:tc>
        <w:tc>
          <w:tcPr>
            <w:tcW w:w="859"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0</w:t>
            </w:r>
          </w:p>
        </w:tc>
        <w:tc>
          <w:tcPr>
            <w:tcW w:w="894"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0</w:t>
            </w:r>
          </w:p>
        </w:tc>
      </w:tr>
      <w:tr w:rsidR="003A497B" w:rsidRPr="00D26052" w:rsidTr="003E1809">
        <w:trPr>
          <w:trHeight w:hRule="exact" w:val="255"/>
        </w:trPr>
        <w:tc>
          <w:tcPr>
            <w:tcW w:w="2689" w:type="dxa"/>
            <w:tcBorders>
              <w:top w:val="nil"/>
              <w:left w:val="single" w:sz="4" w:space="0" w:color="auto"/>
              <w:bottom w:val="single" w:sz="4" w:space="0" w:color="auto"/>
              <w:right w:val="nil"/>
            </w:tcBorders>
            <w:shd w:val="clear" w:color="auto" w:fill="auto"/>
            <w:noWrap/>
            <w:vAlign w:val="bottom"/>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Ľudské zdroje zo štátneho rozpočtu</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58 417 492</w:t>
            </w:r>
          </w:p>
        </w:tc>
        <w:tc>
          <w:tcPr>
            <w:tcW w:w="992"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44 490 650</w:t>
            </w:r>
          </w:p>
        </w:tc>
        <w:tc>
          <w:tcPr>
            <w:tcW w:w="849"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41 475 961</w:t>
            </w:r>
          </w:p>
        </w:tc>
        <w:tc>
          <w:tcPr>
            <w:tcW w:w="877"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47 129 462</w:t>
            </w:r>
          </w:p>
        </w:tc>
        <w:tc>
          <w:tcPr>
            <w:tcW w:w="920"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45 204 258</w:t>
            </w:r>
          </w:p>
        </w:tc>
        <w:tc>
          <w:tcPr>
            <w:tcW w:w="859"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49 022 891</w:t>
            </w:r>
          </w:p>
        </w:tc>
        <w:tc>
          <w:tcPr>
            <w:tcW w:w="894"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47 250 964</w:t>
            </w:r>
          </w:p>
        </w:tc>
      </w:tr>
      <w:tr w:rsidR="003A497B" w:rsidRPr="00D26052" w:rsidTr="003E1809">
        <w:trPr>
          <w:trHeight w:hRule="exact" w:val="25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z toho:</w:t>
            </w:r>
          </w:p>
        </w:tc>
        <w:tc>
          <w:tcPr>
            <w:tcW w:w="992"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 </w:t>
            </w:r>
          </w:p>
        </w:tc>
        <w:tc>
          <w:tcPr>
            <w:tcW w:w="992"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 </w:t>
            </w:r>
          </w:p>
        </w:tc>
        <w:tc>
          <w:tcPr>
            <w:tcW w:w="849"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 </w:t>
            </w:r>
          </w:p>
        </w:tc>
        <w:tc>
          <w:tcPr>
            <w:tcW w:w="877"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 </w:t>
            </w:r>
          </w:p>
        </w:tc>
        <w:tc>
          <w:tcPr>
            <w:tcW w:w="920"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 </w:t>
            </w:r>
          </w:p>
        </w:tc>
        <w:tc>
          <w:tcPr>
            <w:tcW w:w="859"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 </w:t>
            </w:r>
          </w:p>
        </w:tc>
        <w:tc>
          <w:tcPr>
            <w:tcW w:w="894"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 </w:t>
            </w:r>
          </w:p>
        </w:tc>
      </w:tr>
      <w:tr w:rsidR="003A497B" w:rsidRPr="00D26052" w:rsidTr="003E1809">
        <w:trPr>
          <w:trHeight w:hRule="exact" w:val="25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národné programy</w:t>
            </w:r>
          </w:p>
        </w:tc>
        <w:tc>
          <w:tcPr>
            <w:tcW w:w="992"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52 120 822</w:t>
            </w:r>
          </w:p>
        </w:tc>
        <w:tc>
          <w:tcPr>
            <w:tcW w:w="992"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36 775 109</w:t>
            </w:r>
          </w:p>
        </w:tc>
        <w:tc>
          <w:tcPr>
            <w:tcW w:w="849"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34 500 000</w:t>
            </w:r>
          </w:p>
        </w:tc>
        <w:tc>
          <w:tcPr>
            <w:tcW w:w="877"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40 153 501</w:t>
            </w:r>
          </w:p>
        </w:tc>
        <w:tc>
          <w:tcPr>
            <w:tcW w:w="920"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39 300 000</w:t>
            </w:r>
          </w:p>
        </w:tc>
        <w:tc>
          <w:tcPr>
            <w:tcW w:w="859"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41 600 000</w:t>
            </w:r>
          </w:p>
        </w:tc>
        <w:tc>
          <w:tcPr>
            <w:tcW w:w="894"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41 600 000</w:t>
            </w:r>
          </w:p>
        </w:tc>
      </w:tr>
      <w:tr w:rsidR="003A497B" w:rsidRPr="00D26052" w:rsidTr="003E1809">
        <w:trPr>
          <w:trHeight w:hRule="exact" w:val="25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financovanie dvoch RO</w:t>
            </w:r>
          </w:p>
        </w:tc>
        <w:tc>
          <w:tcPr>
            <w:tcW w:w="992"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2 915 525</w:t>
            </w:r>
          </w:p>
        </w:tc>
        <w:tc>
          <w:tcPr>
            <w:tcW w:w="992"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3 126 219</w:t>
            </w:r>
          </w:p>
        </w:tc>
        <w:tc>
          <w:tcPr>
            <w:tcW w:w="849"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2 951 857</w:t>
            </w:r>
          </w:p>
        </w:tc>
        <w:tc>
          <w:tcPr>
            <w:tcW w:w="877"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2 951 857</w:t>
            </w:r>
          </w:p>
        </w:tc>
        <w:tc>
          <w:tcPr>
            <w:tcW w:w="920"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3 152 141</w:t>
            </w:r>
          </w:p>
        </w:tc>
        <w:tc>
          <w:tcPr>
            <w:tcW w:w="859"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3 039 441</w:t>
            </w:r>
          </w:p>
        </w:tc>
        <w:tc>
          <w:tcPr>
            <w:tcW w:w="894"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3 039 441</w:t>
            </w:r>
          </w:p>
        </w:tc>
      </w:tr>
      <w:tr w:rsidR="003A497B" w:rsidRPr="00D26052" w:rsidTr="003E1809">
        <w:trPr>
          <w:trHeight w:hRule="exact" w:val="25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3A497B" w:rsidRPr="00D26052" w:rsidRDefault="003A497B" w:rsidP="003E1809">
            <w:pPr>
              <w:rPr>
                <w:rFonts w:ascii="Times New Roman" w:hAnsi="Times New Roman" w:cs="Times New Roman"/>
                <w:sz w:val="14"/>
                <w:szCs w:val="14"/>
                <w:lang w:eastAsia="sk-SK"/>
              </w:rPr>
            </w:pPr>
            <w:r w:rsidRPr="00D26052">
              <w:rPr>
                <w:rFonts w:ascii="Times New Roman" w:hAnsi="Times New Roman" w:cs="Times New Roman"/>
                <w:sz w:val="14"/>
                <w:szCs w:val="14"/>
                <w:lang w:eastAsia="sk-SK"/>
              </w:rPr>
              <w:t>investičné stimuly</w:t>
            </w:r>
          </w:p>
        </w:tc>
        <w:tc>
          <w:tcPr>
            <w:tcW w:w="992"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3 381 145</w:t>
            </w:r>
          </w:p>
        </w:tc>
        <w:tc>
          <w:tcPr>
            <w:tcW w:w="992"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4 589 322</w:t>
            </w:r>
          </w:p>
        </w:tc>
        <w:tc>
          <w:tcPr>
            <w:tcW w:w="849"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4 024 104</w:t>
            </w:r>
          </w:p>
        </w:tc>
        <w:tc>
          <w:tcPr>
            <w:tcW w:w="877"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4 024 104</w:t>
            </w:r>
          </w:p>
        </w:tc>
        <w:tc>
          <w:tcPr>
            <w:tcW w:w="920"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2 752 117</w:t>
            </w:r>
          </w:p>
        </w:tc>
        <w:tc>
          <w:tcPr>
            <w:tcW w:w="859"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4 383 450</w:t>
            </w:r>
          </w:p>
        </w:tc>
        <w:tc>
          <w:tcPr>
            <w:tcW w:w="894" w:type="dxa"/>
            <w:tcBorders>
              <w:top w:val="nil"/>
              <w:left w:val="nil"/>
              <w:bottom w:val="single" w:sz="4" w:space="0" w:color="auto"/>
              <w:right w:val="single" w:sz="4" w:space="0" w:color="auto"/>
            </w:tcBorders>
            <w:shd w:val="clear" w:color="auto" w:fill="auto"/>
            <w:vAlign w:val="bottom"/>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2 611 523</w:t>
            </w:r>
          </w:p>
        </w:tc>
      </w:tr>
    </w:tbl>
    <w:p w:rsidR="003A497B" w:rsidRPr="00F5748F"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p>
    <w:p w:rsidR="003A497B" w:rsidRPr="00D26052"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r w:rsidRPr="00D26052">
        <w:rPr>
          <w:rFonts w:ascii="Arial Narrow" w:hAnsi="Arial Narrow" w:cs="Times New Roman"/>
          <w:sz w:val="22"/>
          <w:szCs w:val="22"/>
          <w:lang w:eastAsia="sk-SK"/>
        </w:rPr>
        <w:tab/>
      </w:r>
      <w:r w:rsidRPr="00D26052">
        <w:rPr>
          <w:rFonts w:ascii="Times New Roman" w:hAnsi="Times New Roman" w:cs="Times New Roman"/>
          <w:lang w:eastAsia="sk-SK"/>
        </w:rPr>
        <w:t xml:space="preserve">Výdavky v tejto oblasti slúžia na podporu politiky zamestnanosti, financovanie nástrojov aktívnej politiky trhu práce ako </w:t>
      </w:r>
      <w:r>
        <w:rPr>
          <w:rFonts w:ascii="Times New Roman" w:hAnsi="Times New Roman" w:cs="Times New Roman"/>
          <w:lang w:eastAsia="sk-SK"/>
        </w:rPr>
        <w:t>aj</w:t>
      </w:r>
      <w:r w:rsidRPr="00D26052">
        <w:rPr>
          <w:rFonts w:ascii="Times New Roman" w:hAnsi="Times New Roman" w:cs="Times New Roman"/>
          <w:lang w:eastAsia="sk-SK"/>
        </w:rPr>
        <w:t xml:space="preserve"> na investičné stimuly pre investorov v podobe príspevku na novovytvorené pracovné miesta a vzdelávanie. </w:t>
      </w:r>
    </w:p>
    <w:p w:rsidR="003A497B" w:rsidRPr="00D26052"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p>
    <w:p w:rsidR="003A497B" w:rsidRPr="00D26052"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color w:val="000000"/>
          <w:lang w:eastAsia="sk-SK"/>
        </w:rPr>
      </w:pPr>
      <w:r w:rsidRPr="00D26052">
        <w:rPr>
          <w:rFonts w:ascii="Times New Roman" w:hAnsi="Times New Roman" w:cs="Times New Roman"/>
          <w:lang w:eastAsia="sk-SK"/>
        </w:rPr>
        <w:tab/>
        <w:t>Na rok 201</w:t>
      </w:r>
      <w:r>
        <w:rPr>
          <w:rFonts w:ascii="Times New Roman" w:hAnsi="Times New Roman" w:cs="Times New Roman"/>
          <w:lang w:eastAsia="sk-SK"/>
        </w:rPr>
        <w:t>9</w:t>
      </w:r>
      <w:r w:rsidRPr="00D26052">
        <w:rPr>
          <w:rFonts w:ascii="Times New Roman" w:hAnsi="Times New Roman" w:cs="Times New Roman"/>
          <w:lang w:eastAsia="sk-SK"/>
        </w:rPr>
        <w:t xml:space="preserve"> sa rozpočtuje celkovo suma </w:t>
      </w:r>
      <w:r>
        <w:rPr>
          <w:rFonts w:ascii="Times New Roman" w:hAnsi="Times New Roman" w:cs="Times New Roman"/>
          <w:lang w:eastAsia="sk-SK"/>
        </w:rPr>
        <w:t>135</w:t>
      </w:r>
      <w:r w:rsidRPr="00D26052">
        <w:rPr>
          <w:rFonts w:ascii="Times New Roman" w:hAnsi="Times New Roman" w:cs="Times New Roman"/>
          <w:lang w:eastAsia="sk-SK"/>
        </w:rPr>
        <w:t xml:space="preserve"> mil. </w:t>
      </w:r>
      <w:r w:rsidRPr="00D26052">
        <w:rPr>
          <w:rFonts w:ascii="Times New Roman" w:hAnsi="Times New Roman" w:cs="Times New Roman"/>
          <w:color w:val="000000"/>
          <w:lang w:eastAsia="sk-SK"/>
        </w:rPr>
        <w:t xml:space="preserve">eur, z toho zo štátneho rozpočtu </w:t>
      </w:r>
      <w:r>
        <w:rPr>
          <w:rFonts w:ascii="Times New Roman" w:hAnsi="Times New Roman" w:cs="Times New Roman"/>
          <w:color w:val="000000"/>
          <w:lang w:eastAsia="sk-SK"/>
        </w:rPr>
        <w:br/>
        <w:t>45,2</w:t>
      </w:r>
      <w:r w:rsidRPr="00D26052">
        <w:rPr>
          <w:rFonts w:ascii="Times New Roman" w:hAnsi="Times New Roman" w:cs="Times New Roman"/>
          <w:color w:val="000000"/>
          <w:lang w:eastAsia="sk-SK"/>
        </w:rPr>
        <w:t xml:space="preserve"> mil. eur, čo predstavuje </w:t>
      </w:r>
      <w:r>
        <w:rPr>
          <w:rFonts w:ascii="Times New Roman" w:hAnsi="Times New Roman" w:cs="Times New Roman"/>
          <w:color w:val="000000"/>
          <w:lang w:eastAsia="sk-SK"/>
        </w:rPr>
        <w:t>nárast</w:t>
      </w:r>
      <w:r w:rsidRPr="00D26052">
        <w:rPr>
          <w:rFonts w:ascii="Times New Roman" w:hAnsi="Times New Roman" w:cs="Times New Roman"/>
          <w:color w:val="000000"/>
          <w:lang w:eastAsia="sk-SK"/>
        </w:rPr>
        <w:t xml:space="preserve"> o</w:t>
      </w:r>
      <w:r>
        <w:rPr>
          <w:rFonts w:ascii="Times New Roman" w:hAnsi="Times New Roman" w:cs="Times New Roman"/>
          <w:color w:val="000000"/>
          <w:lang w:eastAsia="sk-SK"/>
        </w:rPr>
        <w:t xml:space="preserve"> 8,99 </w:t>
      </w:r>
      <w:r w:rsidRPr="00D26052">
        <w:rPr>
          <w:rFonts w:ascii="Times New Roman" w:hAnsi="Times New Roman" w:cs="Times New Roman"/>
          <w:color w:val="000000"/>
          <w:lang w:eastAsia="sk-SK"/>
        </w:rPr>
        <w:t xml:space="preserve">% oproti schválenému rozpočtu </w:t>
      </w:r>
      <w:r>
        <w:rPr>
          <w:rFonts w:ascii="Times New Roman" w:hAnsi="Times New Roman" w:cs="Times New Roman"/>
          <w:color w:val="000000"/>
          <w:lang w:eastAsia="sk-SK"/>
        </w:rPr>
        <w:t>na</w:t>
      </w:r>
      <w:r w:rsidRPr="00D26052">
        <w:rPr>
          <w:rFonts w:ascii="Times New Roman" w:hAnsi="Times New Roman" w:cs="Times New Roman"/>
          <w:color w:val="000000"/>
          <w:lang w:eastAsia="sk-SK"/>
        </w:rPr>
        <w:t xml:space="preserve"> rok 201</w:t>
      </w:r>
      <w:r>
        <w:rPr>
          <w:rFonts w:ascii="Times New Roman" w:hAnsi="Times New Roman" w:cs="Times New Roman"/>
          <w:color w:val="000000"/>
          <w:lang w:eastAsia="sk-SK"/>
        </w:rPr>
        <w:t>8</w:t>
      </w:r>
      <w:r w:rsidRPr="00D26052">
        <w:rPr>
          <w:rFonts w:ascii="Times New Roman" w:hAnsi="Times New Roman" w:cs="Times New Roman"/>
          <w:color w:val="000000"/>
          <w:lang w:eastAsia="sk-SK"/>
        </w:rPr>
        <w:t xml:space="preserve">. </w:t>
      </w:r>
      <w:r>
        <w:rPr>
          <w:rFonts w:ascii="Times New Roman" w:hAnsi="Times New Roman" w:cs="Times New Roman"/>
          <w:color w:val="000000"/>
          <w:lang w:eastAsia="sk-SK"/>
        </w:rPr>
        <w:lastRenderedPageBreak/>
        <w:t>Zabezpečené je financovanie obligatórnych a fakultatívnych výdavkov aktívnej politiky trhu práce súvisiacich s implementáciou zákona o službách zamestnanosti.</w:t>
      </w:r>
    </w:p>
    <w:p w:rsidR="003A497B" w:rsidRPr="00F5748F" w:rsidRDefault="003A497B" w:rsidP="003A497B">
      <w:pPr>
        <w:rPr>
          <w:rFonts w:ascii="Times New Roman" w:hAnsi="Times New Roman" w:cs="Times New Roman"/>
          <w:b/>
          <w:lang w:eastAsia="sk-SK"/>
        </w:rPr>
      </w:pPr>
    </w:p>
    <w:p w:rsidR="003A497B" w:rsidRPr="00D26052" w:rsidRDefault="003A497B" w:rsidP="003A497B">
      <w:pPr>
        <w:rPr>
          <w:rFonts w:ascii="Times New Roman" w:hAnsi="Times New Roman" w:cs="Times New Roman"/>
          <w:color w:val="000000"/>
          <w:lang w:eastAsia="sk-SK"/>
        </w:rPr>
      </w:pPr>
      <w:r w:rsidRPr="00D26052">
        <w:rPr>
          <w:rFonts w:ascii="Times New Roman" w:hAnsi="Times New Roman" w:cs="Times New Roman"/>
          <w:b/>
          <w:lang w:eastAsia="sk-SK"/>
        </w:rPr>
        <w:t>Inštitucionálna podpora</w:t>
      </w:r>
    </w:p>
    <w:p w:rsidR="003A497B" w:rsidRPr="00F5748F" w:rsidRDefault="003A497B" w:rsidP="003A497B">
      <w:pPr>
        <w:jc w:val="both"/>
        <w:outlineLvl w:val="0"/>
        <w:rPr>
          <w:rFonts w:ascii="Times New Roman" w:hAnsi="Times New Roman" w:cs="Times New Roman"/>
          <w:lang w:eastAsia="sk-SK"/>
        </w:rPr>
      </w:pPr>
    </w:p>
    <w:tbl>
      <w:tblPr>
        <w:tblW w:w="9072" w:type="dxa"/>
        <w:tblCellMar>
          <w:left w:w="70" w:type="dxa"/>
          <w:right w:w="70" w:type="dxa"/>
        </w:tblCellMar>
        <w:tblLook w:val="04A0" w:firstRow="1" w:lastRow="0" w:firstColumn="1" w:lastColumn="0" w:noHBand="0" w:noVBand="1"/>
      </w:tblPr>
      <w:tblGrid>
        <w:gridCol w:w="2547"/>
        <w:gridCol w:w="992"/>
        <w:gridCol w:w="928"/>
        <w:gridCol w:w="920"/>
        <w:gridCol w:w="922"/>
        <w:gridCol w:w="921"/>
        <w:gridCol w:w="921"/>
        <w:gridCol w:w="921"/>
      </w:tblGrid>
      <w:tr w:rsidR="003A497B" w:rsidRPr="00D26052" w:rsidTr="003E1809">
        <w:trPr>
          <w:trHeight w:hRule="exact" w:val="255"/>
        </w:trPr>
        <w:tc>
          <w:tcPr>
            <w:tcW w:w="254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v eurách</w:t>
            </w:r>
          </w:p>
        </w:tc>
        <w:tc>
          <w:tcPr>
            <w:tcW w:w="99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w:t>
            </w:r>
            <w:r w:rsidRPr="00D26052">
              <w:rPr>
                <w:rFonts w:ascii="Times New Roman" w:hAnsi="Times New Roman" w:cs="Times New Roman"/>
                <w:b/>
                <w:bCs/>
                <w:color w:val="000000"/>
                <w:sz w:val="14"/>
                <w:szCs w:val="14"/>
                <w:lang w:eastAsia="sk-SK"/>
              </w:rPr>
              <w:t xml:space="preserve"> S</w:t>
            </w:r>
          </w:p>
        </w:tc>
        <w:tc>
          <w:tcPr>
            <w:tcW w:w="928"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w:t>
            </w:r>
            <w:r w:rsidRPr="00D26052">
              <w:rPr>
                <w:rFonts w:ascii="Times New Roman" w:hAnsi="Times New Roman" w:cs="Times New Roman"/>
                <w:b/>
                <w:bCs/>
                <w:color w:val="000000"/>
                <w:sz w:val="14"/>
                <w:szCs w:val="14"/>
                <w:lang w:eastAsia="sk-SK"/>
              </w:rPr>
              <w:t xml:space="preserve"> S</w:t>
            </w:r>
          </w:p>
        </w:tc>
        <w:tc>
          <w:tcPr>
            <w:tcW w:w="92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D26052">
              <w:rPr>
                <w:rFonts w:ascii="Times New Roman" w:hAnsi="Times New Roman" w:cs="Times New Roman"/>
                <w:b/>
                <w:bCs/>
                <w:color w:val="000000"/>
                <w:sz w:val="14"/>
                <w:szCs w:val="14"/>
                <w:lang w:eastAsia="sk-SK"/>
              </w:rPr>
              <w:t xml:space="preserve"> R</w:t>
            </w:r>
          </w:p>
        </w:tc>
        <w:tc>
          <w:tcPr>
            <w:tcW w:w="92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D26052">
              <w:rPr>
                <w:rFonts w:ascii="Times New Roman" w:hAnsi="Times New Roman" w:cs="Times New Roman"/>
                <w:b/>
                <w:bCs/>
                <w:color w:val="000000"/>
                <w:sz w:val="14"/>
                <w:szCs w:val="14"/>
                <w:lang w:eastAsia="sk-SK"/>
              </w:rPr>
              <w:t xml:space="preserve"> OS</w:t>
            </w:r>
          </w:p>
        </w:tc>
        <w:tc>
          <w:tcPr>
            <w:tcW w:w="921"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9</w:t>
            </w:r>
            <w:r w:rsidRPr="00D26052">
              <w:rPr>
                <w:rFonts w:ascii="Times New Roman" w:hAnsi="Times New Roman" w:cs="Times New Roman"/>
                <w:b/>
                <w:bCs/>
                <w:color w:val="000000"/>
                <w:sz w:val="14"/>
                <w:szCs w:val="14"/>
                <w:lang w:eastAsia="sk-SK"/>
              </w:rPr>
              <w:t xml:space="preserve"> N</w:t>
            </w:r>
          </w:p>
        </w:tc>
        <w:tc>
          <w:tcPr>
            <w:tcW w:w="921"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w:t>
            </w:r>
            <w:r>
              <w:rPr>
                <w:rFonts w:ascii="Times New Roman" w:hAnsi="Times New Roman" w:cs="Times New Roman"/>
                <w:b/>
                <w:bCs/>
                <w:color w:val="000000"/>
                <w:sz w:val="14"/>
                <w:szCs w:val="14"/>
                <w:lang w:eastAsia="sk-SK"/>
              </w:rPr>
              <w:t>20</w:t>
            </w:r>
            <w:r w:rsidRPr="00D26052">
              <w:rPr>
                <w:rFonts w:ascii="Times New Roman" w:hAnsi="Times New Roman" w:cs="Times New Roman"/>
                <w:b/>
                <w:bCs/>
                <w:color w:val="000000"/>
                <w:sz w:val="14"/>
                <w:szCs w:val="14"/>
                <w:lang w:eastAsia="sk-SK"/>
              </w:rPr>
              <w:t xml:space="preserve"> N</w:t>
            </w:r>
          </w:p>
        </w:tc>
        <w:tc>
          <w:tcPr>
            <w:tcW w:w="921"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w:t>
            </w:r>
            <w:r>
              <w:rPr>
                <w:rFonts w:ascii="Times New Roman" w:hAnsi="Times New Roman" w:cs="Times New Roman"/>
                <w:b/>
                <w:bCs/>
                <w:color w:val="000000"/>
                <w:sz w:val="14"/>
                <w:szCs w:val="14"/>
                <w:lang w:eastAsia="sk-SK"/>
              </w:rPr>
              <w:t>21</w:t>
            </w:r>
            <w:r w:rsidRPr="00D26052">
              <w:rPr>
                <w:rFonts w:ascii="Times New Roman" w:hAnsi="Times New Roman" w:cs="Times New Roman"/>
                <w:b/>
                <w:bCs/>
                <w:color w:val="000000"/>
                <w:sz w:val="14"/>
                <w:szCs w:val="14"/>
                <w:lang w:eastAsia="sk-SK"/>
              </w:rPr>
              <w:t xml:space="preserve"> N</w:t>
            </w:r>
          </w:p>
        </w:tc>
      </w:tr>
      <w:tr w:rsidR="003A497B" w:rsidRPr="00D26052" w:rsidTr="003E1809">
        <w:trPr>
          <w:trHeight w:hRule="exact" w:val="255"/>
        </w:trPr>
        <w:tc>
          <w:tcPr>
            <w:tcW w:w="2547"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A497B" w:rsidRPr="00D26052" w:rsidRDefault="003A497B" w:rsidP="003E1809">
            <w:pP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Inštitucionálna podpora spolu</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3A497B" w:rsidRDefault="003A497B" w:rsidP="003E1809">
            <w:pPr>
              <w:jc w:val="right"/>
              <w:rPr>
                <w:rFonts w:ascii="Times New Roman" w:hAnsi="Times New Roman" w:cs="Times New Roman"/>
                <w:b/>
                <w:bCs/>
                <w:color w:val="000000"/>
                <w:sz w:val="14"/>
                <w:szCs w:val="14"/>
                <w:lang w:eastAsia="sk-SK"/>
              </w:rPr>
            </w:pPr>
            <w:r w:rsidRPr="003B6CA3">
              <w:rPr>
                <w:rFonts w:ascii="Times New Roman" w:hAnsi="Times New Roman" w:cs="Times New Roman"/>
                <w:b/>
                <w:bCs/>
                <w:color w:val="000000"/>
                <w:sz w:val="14"/>
                <w:szCs w:val="14"/>
                <w:lang w:eastAsia="sk-SK"/>
              </w:rPr>
              <w:t>189 490 254</w:t>
            </w:r>
          </w:p>
        </w:tc>
        <w:tc>
          <w:tcPr>
            <w:tcW w:w="928" w:type="dxa"/>
            <w:tcBorders>
              <w:top w:val="nil"/>
              <w:left w:val="nil"/>
              <w:bottom w:val="single" w:sz="4" w:space="0" w:color="auto"/>
              <w:right w:val="single" w:sz="4" w:space="0" w:color="auto"/>
            </w:tcBorders>
            <w:shd w:val="clear" w:color="auto" w:fill="BFBFBF" w:themeFill="background1" w:themeFillShade="BF"/>
            <w:vAlign w:val="center"/>
            <w:hideMark/>
          </w:tcPr>
          <w:p w:rsidR="003A497B" w:rsidRPr="003B6CA3" w:rsidRDefault="003A497B" w:rsidP="003E1809">
            <w:pPr>
              <w:jc w:val="right"/>
              <w:rPr>
                <w:rFonts w:ascii="Times New Roman" w:hAnsi="Times New Roman" w:cs="Times New Roman"/>
                <w:b/>
                <w:bCs/>
                <w:color w:val="000000"/>
                <w:sz w:val="14"/>
                <w:szCs w:val="14"/>
                <w:lang w:eastAsia="sk-SK"/>
              </w:rPr>
            </w:pPr>
            <w:r w:rsidRPr="003B6CA3">
              <w:rPr>
                <w:rFonts w:ascii="Times New Roman" w:hAnsi="Times New Roman" w:cs="Times New Roman"/>
                <w:b/>
                <w:bCs/>
                <w:color w:val="000000"/>
                <w:sz w:val="14"/>
                <w:szCs w:val="14"/>
                <w:lang w:eastAsia="sk-SK"/>
              </w:rPr>
              <w:t>175 394 466</w:t>
            </w:r>
          </w:p>
        </w:tc>
        <w:tc>
          <w:tcPr>
            <w:tcW w:w="920" w:type="dxa"/>
            <w:tcBorders>
              <w:top w:val="nil"/>
              <w:left w:val="nil"/>
              <w:bottom w:val="single" w:sz="4" w:space="0" w:color="auto"/>
              <w:right w:val="single" w:sz="4" w:space="0" w:color="auto"/>
            </w:tcBorders>
            <w:shd w:val="clear" w:color="auto" w:fill="BFBFBF" w:themeFill="background1" w:themeFillShade="BF"/>
            <w:vAlign w:val="center"/>
            <w:hideMark/>
          </w:tcPr>
          <w:p w:rsidR="003A497B" w:rsidRPr="003B6CA3" w:rsidRDefault="003A497B" w:rsidP="003E1809">
            <w:pPr>
              <w:jc w:val="right"/>
              <w:rPr>
                <w:rFonts w:ascii="Times New Roman" w:hAnsi="Times New Roman" w:cs="Times New Roman"/>
                <w:b/>
                <w:bCs/>
                <w:color w:val="000000"/>
                <w:sz w:val="14"/>
                <w:szCs w:val="14"/>
                <w:lang w:eastAsia="sk-SK"/>
              </w:rPr>
            </w:pPr>
            <w:r w:rsidRPr="003B6CA3">
              <w:rPr>
                <w:rFonts w:ascii="Times New Roman" w:hAnsi="Times New Roman" w:cs="Times New Roman"/>
                <w:b/>
                <w:bCs/>
                <w:color w:val="000000"/>
                <w:sz w:val="14"/>
                <w:szCs w:val="14"/>
                <w:lang w:eastAsia="sk-SK"/>
              </w:rPr>
              <w:t>168 601 513</w:t>
            </w:r>
          </w:p>
        </w:tc>
        <w:tc>
          <w:tcPr>
            <w:tcW w:w="922" w:type="dxa"/>
            <w:tcBorders>
              <w:top w:val="nil"/>
              <w:left w:val="nil"/>
              <w:bottom w:val="single" w:sz="4" w:space="0" w:color="auto"/>
              <w:right w:val="single" w:sz="4" w:space="0" w:color="auto"/>
            </w:tcBorders>
            <w:shd w:val="clear" w:color="auto" w:fill="BFBFBF" w:themeFill="background1" w:themeFillShade="BF"/>
            <w:vAlign w:val="center"/>
            <w:hideMark/>
          </w:tcPr>
          <w:p w:rsidR="003A497B" w:rsidRPr="003B6CA3" w:rsidRDefault="003A497B" w:rsidP="003E1809">
            <w:pPr>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186 782 434</w:t>
            </w:r>
          </w:p>
        </w:tc>
        <w:tc>
          <w:tcPr>
            <w:tcW w:w="921" w:type="dxa"/>
            <w:tcBorders>
              <w:top w:val="nil"/>
              <w:left w:val="nil"/>
              <w:bottom w:val="single" w:sz="4" w:space="0" w:color="auto"/>
              <w:right w:val="single" w:sz="4" w:space="0" w:color="auto"/>
            </w:tcBorders>
            <w:shd w:val="clear" w:color="auto" w:fill="BFBFBF" w:themeFill="background1" w:themeFillShade="BF"/>
            <w:vAlign w:val="center"/>
            <w:hideMark/>
          </w:tcPr>
          <w:p w:rsidR="003A497B" w:rsidRPr="003B6CA3" w:rsidRDefault="003A497B" w:rsidP="003E1809">
            <w:pPr>
              <w:jc w:val="right"/>
              <w:rPr>
                <w:rFonts w:ascii="Times New Roman" w:hAnsi="Times New Roman" w:cs="Times New Roman"/>
                <w:b/>
                <w:bCs/>
                <w:color w:val="000000"/>
                <w:sz w:val="14"/>
                <w:szCs w:val="14"/>
                <w:lang w:eastAsia="sk-SK"/>
              </w:rPr>
            </w:pPr>
            <w:r w:rsidRPr="003B6CA3">
              <w:rPr>
                <w:rFonts w:ascii="Times New Roman" w:hAnsi="Times New Roman" w:cs="Times New Roman"/>
                <w:b/>
                <w:bCs/>
                <w:color w:val="000000"/>
                <w:sz w:val="14"/>
                <w:szCs w:val="14"/>
                <w:lang w:eastAsia="sk-SK"/>
              </w:rPr>
              <w:t>176 131 319</w:t>
            </w:r>
          </w:p>
        </w:tc>
        <w:tc>
          <w:tcPr>
            <w:tcW w:w="921" w:type="dxa"/>
            <w:tcBorders>
              <w:top w:val="nil"/>
              <w:left w:val="nil"/>
              <w:bottom w:val="single" w:sz="4" w:space="0" w:color="auto"/>
              <w:right w:val="single" w:sz="4" w:space="0" w:color="auto"/>
            </w:tcBorders>
            <w:shd w:val="clear" w:color="auto" w:fill="BFBFBF" w:themeFill="background1" w:themeFillShade="BF"/>
            <w:vAlign w:val="center"/>
            <w:hideMark/>
          </w:tcPr>
          <w:p w:rsidR="003A497B" w:rsidRPr="003B6CA3" w:rsidRDefault="003A497B" w:rsidP="003E1809">
            <w:pPr>
              <w:jc w:val="right"/>
              <w:rPr>
                <w:rFonts w:ascii="Times New Roman" w:hAnsi="Times New Roman" w:cs="Times New Roman"/>
                <w:b/>
                <w:bCs/>
                <w:color w:val="000000"/>
                <w:sz w:val="14"/>
                <w:szCs w:val="14"/>
                <w:lang w:eastAsia="sk-SK"/>
              </w:rPr>
            </w:pPr>
            <w:r w:rsidRPr="003B6CA3">
              <w:rPr>
                <w:rFonts w:ascii="Times New Roman" w:hAnsi="Times New Roman" w:cs="Times New Roman"/>
                <w:b/>
                <w:bCs/>
                <w:color w:val="000000"/>
                <w:sz w:val="14"/>
                <w:szCs w:val="14"/>
                <w:lang w:eastAsia="sk-SK"/>
              </w:rPr>
              <w:t>175 952 793</w:t>
            </w:r>
          </w:p>
        </w:tc>
        <w:tc>
          <w:tcPr>
            <w:tcW w:w="921" w:type="dxa"/>
            <w:tcBorders>
              <w:top w:val="nil"/>
              <w:left w:val="nil"/>
              <w:bottom w:val="single" w:sz="4" w:space="0" w:color="auto"/>
              <w:right w:val="single" w:sz="4" w:space="0" w:color="auto"/>
            </w:tcBorders>
            <w:shd w:val="clear" w:color="auto" w:fill="BFBFBF" w:themeFill="background1" w:themeFillShade="BF"/>
            <w:vAlign w:val="center"/>
            <w:hideMark/>
          </w:tcPr>
          <w:p w:rsidR="003A497B" w:rsidRPr="003B6CA3" w:rsidRDefault="003A497B" w:rsidP="003E1809">
            <w:pPr>
              <w:jc w:val="right"/>
              <w:rPr>
                <w:rFonts w:ascii="Times New Roman" w:hAnsi="Times New Roman" w:cs="Times New Roman"/>
                <w:b/>
                <w:bCs/>
                <w:color w:val="000000"/>
                <w:sz w:val="14"/>
                <w:szCs w:val="14"/>
                <w:lang w:eastAsia="sk-SK"/>
              </w:rPr>
            </w:pPr>
            <w:r w:rsidRPr="003B6CA3">
              <w:rPr>
                <w:rFonts w:ascii="Times New Roman" w:hAnsi="Times New Roman" w:cs="Times New Roman"/>
                <w:b/>
                <w:bCs/>
                <w:color w:val="000000"/>
                <w:sz w:val="14"/>
                <w:szCs w:val="14"/>
                <w:lang w:eastAsia="sk-SK"/>
              </w:rPr>
              <w:t>175 952 793</w:t>
            </w:r>
          </w:p>
        </w:tc>
      </w:tr>
      <w:tr w:rsidR="003A497B" w:rsidRPr="00D26052" w:rsidTr="003E1809">
        <w:trPr>
          <w:trHeight w:hRule="exact" w:val="25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Tvorba a implementácia politík, z toho:</w:t>
            </w:r>
          </w:p>
        </w:tc>
        <w:tc>
          <w:tcPr>
            <w:tcW w:w="99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187 084 303</w:t>
            </w:r>
          </w:p>
        </w:tc>
        <w:tc>
          <w:tcPr>
            <w:tcW w:w="928"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174 701 975</w:t>
            </w:r>
          </w:p>
        </w:tc>
        <w:tc>
          <w:tcPr>
            <w:tcW w:w="920"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167 911 324</w:t>
            </w:r>
          </w:p>
        </w:tc>
        <w:tc>
          <w:tcPr>
            <w:tcW w:w="92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186 092 245</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175 441 130</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175 262 604</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175 262 604</w:t>
            </w:r>
          </w:p>
        </w:tc>
      </w:tr>
      <w:tr w:rsidR="003A497B" w:rsidRPr="00D26052" w:rsidTr="003E1809">
        <w:trPr>
          <w:trHeight w:hRule="exact" w:val="25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MPSVR</w:t>
            </w:r>
          </w:p>
        </w:tc>
        <w:tc>
          <w:tcPr>
            <w:tcW w:w="99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26 854 727</w:t>
            </w:r>
          </w:p>
        </w:tc>
        <w:tc>
          <w:tcPr>
            <w:tcW w:w="928"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15 107 719</w:t>
            </w:r>
          </w:p>
        </w:tc>
        <w:tc>
          <w:tcPr>
            <w:tcW w:w="920"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16 066 718</w:t>
            </w:r>
          </w:p>
        </w:tc>
        <w:tc>
          <w:tcPr>
            <w:tcW w:w="92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21 202 476</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17 035 174</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17 179 231</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17 179 231</w:t>
            </w:r>
          </w:p>
        </w:tc>
      </w:tr>
      <w:tr w:rsidR="003A497B" w:rsidRPr="00D26052" w:rsidTr="003E1809">
        <w:trPr>
          <w:trHeight w:hRule="exact" w:val="25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ÚPSVAR</w:t>
            </w:r>
          </w:p>
        </w:tc>
        <w:tc>
          <w:tcPr>
            <w:tcW w:w="99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147 126 545</w:t>
            </w:r>
          </w:p>
        </w:tc>
        <w:tc>
          <w:tcPr>
            <w:tcW w:w="928"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145 234 091</w:t>
            </w:r>
          </w:p>
        </w:tc>
        <w:tc>
          <w:tcPr>
            <w:tcW w:w="920"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138 489 635</w:t>
            </w:r>
          </w:p>
        </w:tc>
        <w:tc>
          <w:tcPr>
            <w:tcW w:w="92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151 492 081</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144 506 452</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144 178 869</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144 178 869</w:t>
            </w:r>
          </w:p>
        </w:tc>
      </w:tr>
      <w:tr w:rsidR="003A497B" w:rsidRPr="00D26052" w:rsidTr="003E1809">
        <w:trPr>
          <w:trHeight w:hRule="exact" w:val="25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Národný inšpektorát práce</w:t>
            </w:r>
          </w:p>
        </w:tc>
        <w:tc>
          <w:tcPr>
            <w:tcW w:w="99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11 393 928</w:t>
            </w:r>
          </w:p>
        </w:tc>
        <w:tc>
          <w:tcPr>
            <w:tcW w:w="928"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12 656 865</w:t>
            </w:r>
          </w:p>
        </w:tc>
        <w:tc>
          <w:tcPr>
            <w:tcW w:w="920"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11 961 299</w:t>
            </w:r>
          </w:p>
        </w:tc>
        <w:tc>
          <w:tcPr>
            <w:tcW w:w="92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11 974 016</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12 448 507</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12 453 507</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12 453 507</w:t>
            </w:r>
          </w:p>
        </w:tc>
      </w:tr>
      <w:tr w:rsidR="003A497B" w:rsidRPr="00D26052" w:rsidTr="003E1809">
        <w:trPr>
          <w:trHeight w:hRule="exact" w:val="25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Centrum pre medz. ochranu detí a mládeže</w:t>
            </w:r>
          </w:p>
        </w:tc>
        <w:tc>
          <w:tcPr>
            <w:tcW w:w="99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389 634</w:t>
            </w:r>
          </w:p>
        </w:tc>
        <w:tc>
          <w:tcPr>
            <w:tcW w:w="928"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502 786</w:t>
            </w:r>
          </w:p>
        </w:tc>
        <w:tc>
          <w:tcPr>
            <w:tcW w:w="920"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450 847</w:t>
            </w:r>
          </w:p>
        </w:tc>
        <w:tc>
          <w:tcPr>
            <w:tcW w:w="92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480 847</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488 172</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488 172</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488 172</w:t>
            </w:r>
          </w:p>
        </w:tc>
      </w:tr>
      <w:tr w:rsidR="003A497B" w:rsidRPr="00D26052" w:rsidTr="003E1809">
        <w:trPr>
          <w:trHeight w:hRule="exact" w:val="25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IA pre OP ZaSI</w:t>
            </w:r>
          </w:p>
        </w:tc>
        <w:tc>
          <w:tcPr>
            <w:tcW w:w="99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1 319 469</w:t>
            </w:r>
          </w:p>
        </w:tc>
        <w:tc>
          <w:tcPr>
            <w:tcW w:w="928"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1 200 514</w:t>
            </w:r>
          </w:p>
        </w:tc>
        <w:tc>
          <w:tcPr>
            <w:tcW w:w="920"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942 825</w:t>
            </w:r>
          </w:p>
        </w:tc>
        <w:tc>
          <w:tcPr>
            <w:tcW w:w="92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942 825</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962 825</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962 825</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962 825</w:t>
            </w:r>
          </w:p>
        </w:tc>
      </w:tr>
      <w:tr w:rsidR="003A497B" w:rsidRPr="00D26052" w:rsidTr="003E1809">
        <w:trPr>
          <w:trHeight w:hRule="exact" w:val="25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Príspevky do medz. organizácií </w:t>
            </w:r>
          </w:p>
        </w:tc>
        <w:tc>
          <w:tcPr>
            <w:tcW w:w="99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613 260</w:t>
            </w:r>
          </w:p>
        </w:tc>
        <w:tc>
          <w:tcPr>
            <w:tcW w:w="928"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593 925</w:t>
            </w:r>
          </w:p>
        </w:tc>
        <w:tc>
          <w:tcPr>
            <w:tcW w:w="920"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595 000</w:t>
            </w:r>
          </w:p>
        </w:tc>
        <w:tc>
          <w:tcPr>
            <w:tcW w:w="92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595 000</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595 000</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595 000</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595 000</w:t>
            </w:r>
          </w:p>
        </w:tc>
      </w:tr>
      <w:tr w:rsidR="003A497B" w:rsidRPr="00D26052" w:rsidTr="003E1809">
        <w:trPr>
          <w:trHeight w:hRule="exact" w:val="25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Hospodárska mobilizácia </w:t>
            </w:r>
          </w:p>
        </w:tc>
        <w:tc>
          <w:tcPr>
            <w:tcW w:w="99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45 136</w:t>
            </w:r>
          </w:p>
        </w:tc>
        <w:tc>
          <w:tcPr>
            <w:tcW w:w="928"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44 849</w:t>
            </w:r>
          </w:p>
        </w:tc>
        <w:tc>
          <w:tcPr>
            <w:tcW w:w="920"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45 189</w:t>
            </w:r>
          </w:p>
        </w:tc>
        <w:tc>
          <w:tcPr>
            <w:tcW w:w="92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45 189</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45 189</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45 189</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45 189</w:t>
            </w:r>
          </w:p>
        </w:tc>
      </w:tr>
      <w:tr w:rsidR="003A497B" w:rsidRPr="00D26052" w:rsidTr="003E1809">
        <w:trPr>
          <w:trHeight w:hRule="exact" w:val="25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Protidrogové opatrenia </w:t>
            </w:r>
          </w:p>
        </w:tc>
        <w:tc>
          <w:tcPr>
            <w:tcW w:w="99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62 078</w:t>
            </w:r>
          </w:p>
        </w:tc>
        <w:tc>
          <w:tcPr>
            <w:tcW w:w="928"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49 100</w:t>
            </w:r>
          </w:p>
        </w:tc>
        <w:tc>
          <w:tcPr>
            <w:tcW w:w="920"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50 000</w:t>
            </w:r>
          </w:p>
        </w:tc>
        <w:tc>
          <w:tcPr>
            <w:tcW w:w="92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50 000</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50 000</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50 000</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50 000</w:t>
            </w:r>
          </w:p>
        </w:tc>
      </w:tr>
      <w:tr w:rsidR="003A497B" w:rsidRPr="00D26052" w:rsidTr="003E1809">
        <w:trPr>
          <w:trHeight w:hRule="exact" w:val="25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 xml:space="preserve">Elektronizácia VS </w:t>
            </w:r>
          </w:p>
        </w:tc>
        <w:tc>
          <w:tcPr>
            <w:tcW w:w="99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1 389 502</w:t>
            </w:r>
          </w:p>
        </w:tc>
        <w:tc>
          <w:tcPr>
            <w:tcW w:w="928"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0</w:t>
            </w:r>
          </w:p>
        </w:tc>
        <w:tc>
          <w:tcPr>
            <w:tcW w:w="920"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0</w:t>
            </w:r>
          </w:p>
        </w:tc>
        <w:tc>
          <w:tcPr>
            <w:tcW w:w="92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0</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0</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0</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0</w:t>
            </w:r>
          </w:p>
        </w:tc>
      </w:tr>
      <w:tr w:rsidR="003A497B" w:rsidRPr="00D26052" w:rsidTr="003E1809">
        <w:trPr>
          <w:trHeight w:hRule="exact" w:val="255"/>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SK PRES 2016</w:t>
            </w:r>
          </w:p>
        </w:tc>
        <w:tc>
          <w:tcPr>
            <w:tcW w:w="99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295 975</w:t>
            </w:r>
          </w:p>
        </w:tc>
        <w:tc>
          <w:tcPr>
            <w:tcW w:w="928"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4 617</w:t>
            </w:r>
          </w:p>
        </w:tc>
        <w:tc>
          <w:tcPr>
            <w:tcW w:w="920"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0</w:t>
            </w:r>
          </w:p>
        </w:tc>
        <w:tc>
          <w:tcPr>
            <w:tcW w:w="922"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0</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0</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0</w:t>
            </w:r>
          </w:p>
        </w:tc>
        <w:tc>
          <w:tcPr>
            <w:tcW w:w="921" w:type="dxa"/>
            <w:tcBorders>
              <w:top w:val="nil"/>
              <w:left w:val="nil"/>
              <w:bottom w:val="single" w:sz="4" w:space="0" w:color="auto"/>
              <w:right w:val="single" w:sz="4" w:space="0" w:color="auto"/>
            </w:tcBorders>
            <w:shd w:val="clear" w:color="auto" w:fill="auto"/>
            <w:vAlign w:val="center"/>
            <w:hideMark/>
          </w:tcPr>
          <w:p w:rsidR="003A497B" w:rsidRPr="003B6CA3" w:rsidRDefault="003A497B" w:rsidP="003E1809">
            <w:pPr>
              <w:jc w:val="right"/>
              <w:rPr>
                <w:rFonts w:ascii="Times New Roman" w:hAnsi="Times New Roman" w:cs="Times New Roman"/>
                <w:sz w:val="14"/>
                <w:szCs w:val="14"/>
                <w:lang w:eastAsia="sk-SK"/>
              </w:rPr>
            </w:pPr>
            <w:r w:rsidRPr="003B6CA3">
              <w:rPr>
                <w:rFonts w:ascii="Times New Roman" w:hAnsi="Times New Roman" w:cs="Times New Roman"/>
                <w:sz w:val="14"/>
                <w:szCs w:val="14"/>
                <w:lang w:eastAsia="sk-SK"/>
              </w:rPr>
              <w:t>0</w:t>
            </w:r>
          </w:p>
        </w:tc>
      </w:tr>
    </w:tbl>
    <w:p w:rsidR="003A497B" w:rsidRPr="00F5748F" w:rsidRDefault="003A497B" w:rsidP="003A497B">
      <w:pPr>
        <w:jc w:val="both"/>
        <w:outlineLvl w:val="0"/>
        <w:rPr>
          <w:rFonts w:ascii="Times New Roman" w:hAnsi="Times New Roman" w:cs="Times New Roman"/>
          <w:lang w:eastAsia="sk-SK"/>
        </w:rPr>
      </w:pPr>
    </w:p>
    <w:p w:rsidR="003A497B" w:rsidRDefault="003A497B" w:rsidP="003A497B">
      <w:pPr>
        <w:ind w:firstLine="708"/>
        <w:jc w:val="both"/>
        <w:rPr>
          <w:rFonts w:ascii="Times New Roman" w:hAnsi="Times New Roman" w:cs="Times New Roman"/>
          <w:lang w:eastAsia="sk-SK"/>
        </w:rPr>
      </w:pPr>
      <w:r>
        <w:rPr>
          <w:rFonts w:ascii="Times New Roman" w:hAnsi="Times New Roman" w:cs="Times New Roman"/>
          <w:lang w:eastAsia="sk-SK"/>
        </w:rPr>
        <w:t>Na</w:t>
      </w:r>
      <w:r w:rsidRPr="00D26052">
        <w:rPr>
          <w:rFonts w:ascii="Times New Roman" w:hAnsi="Times New Roman" w:cs="Times New Roman"/>
          <w:lang w:eastAsia="sk-SK"/>
        </w:rPr>
        <w:t xml:space="preserve"> rok 201</w:t>
      </w:r>
      <w:r>
        <w:rPr>
          <w:rFonts w:ascii="Times New Roman" w:hAnsi="Times New Roman" w:cs="Times New Roman"/>
          <w:lang w:eastAsia="sk-SK"/>
        </w:rPr>
        <w:t>9</w:t>
      </w:r>
      <w:r w:rsidRPr="00D26052">
        <w:rPr>
          <w:rFonts w:ascii="Times New Roman" w:hAnsi="Times New Roman" w:cs="Times New Roman"/>
          <w:lang w:eastAsia="sk-SK"/>
        </w:rPr>
        <w:t xml:space="preserve"> je pre inštitucionálnu podporu vyčlenených o</w:t>
      </w:r>
      <w:r>
        <w:rPr>
          <w:rFonts w:ascii="Times New Roman" w:hAnsi="Times New Roman" w:cs="Times New Roman"/>
          <w:lang w:eastAsia="sk-SK"/>
        </w:rPr>
        <w:t> 7,53</w:t>
      </w:r>
      <w:r w:rsidRPr="00D26052">
        <w:rPr>
          <w:rFonts w:ascii="Times New Roman" w:hAnsi="Times New Roman" w:cs="Times New Roman"/>
          <w:lang w:eastAsia="sk-SK"/>
        </w:rPr>
        <w:t xml:space="preserve"> mil. </w:t>
      </w:r>
      <w:r w:rsidRPr="00D26052">
        <w:rPr>
          <w:rFonts w:ascii="Times New Roman" w:hAnsi="Times New Roman" w:cs="Times New Roman"/>
          <w:color w:val="000000"/>
          <w:lang w:eastAsia="sk-SK"/>
        </w:rPr>
        <w:t xml:space="preserve">eur viac oproti schválenému rozpočtu </w:t>
      </w:r>
      <w:r>
        <w:rPr>
          <w:rFonts w:ascii="Times New Roman" w:hAnsi="Times New Roman" w:cs="Times New Roman"/>
          <w:color w:val="000000"/>
          <w:lang w:eastAsia="sk-SK"/>
        </w:rPr>
        <w:t>na</w:t>
      </w:r>
      <w:r w:rsidRPr="00D26052">
        <w:rPr>
          <w:rFonts w:ascii="Times New Roman" w:hAnsi="Times New Roman" w:cs="Times New Roman"/>
          <w:color w:val="000000"/>
          <w:lang w:eastAsia="sk-SK"/>
        </w:rPr>
        <w:t xml:space="preserve"> rok 201</w:t>
      </w:r>
      <w:r>
        <w:rPr>
          <w:rFonts w:ascii="Times New Roman" w:hAnsi="Times New Roman" w:cs="Times New Roman"/>
          <w:color w:val="000000"/>
          <w:lang w:eastAsia="sk-SK"/>
        </w:rPr>
        <w:t>8</w:t>
      </w:r>
      <w:r w:rsidRPr="00D26052">
        <w:rPr>
          <w:rFonts w:ascii="Times New Roman" w:hAnsi="Times New Roman" w:cs="Times New Roman"/>
          <w:lang w:eastAsia="sk-SK"/>
        </w:rPr>
        <w:t>, nárast súvisí s premietnutím valorizácie miezd roku 201</w:t>
      </w:r>
      <w:r>
        <w:rPr>
          <w:rFonts w:ascii="Times New Roman" w:hAnsi="Times New Roman" w:cs="Times New Roman"/>
          <w:lang w:eastAsia="sk-SK"/>
        </w:rPr>
        <w:t>8</w:t>
      </w:r>
      <w:r w:rsidRPr="00D26052">
        <w:rPr>
          <w:rFonts w:ascii="Times New Roman" w:hAnsi="Times New Roman" w:cs="Times New Roman"/>
          <w:lang w:eastAsia="sk-SK"/>
        </w:rPr>
        <w:t xml:space="preserve"> a so zabezpečením činnosti úradov pr</w:t>
      </w:r>
      <w:r>
        <w:rPr>
          <w:rFonts w:ascii="Times New Roman" w:hAnsi="Times New Roman" w:cs="Times New Roman"/>
          <w:lang w:eastAsia="sk-SK"/>
        </w:rPr>
        <w:t xml:space="preserve">áce, sociálnych vecí a rodiny. </w:t>
      </w:r>
    </w:p>
    <w:p w:rsidR="003A497B" w:rsidRPr="00D26052" w:rsidRDefault="003A497B" w:rsidP="003A497B">
      <w:pPr>
        <w:ind w:firstLine="709"/>
        <w:jc w:val="both"/>
        <w:rPr>
          <w:rFonts w:ascii="Times New Roman" w:hAnsi="Times New Roman" w:cs="Times New Roman"/>
          <w:lang w:eastAsia="sk-SK"/>
        </w:rPr>
      </w:pPr>
    </w:p>
    <w:p w:rsidR="003A497B" w:rsidRDefault="003A497B" w:rsidP="003A497B">
      <w:pPr>
        <w:ind w:firstLine="708"/>
        <w:jc w:val="both"/>
        <w:rPr>
          <w:rFonts w:ascii="Times New Roman" w:hAnsi="Times New Roman" w:cs="Times New Roman"/>
          <w:lang w:eastAsia="sk-SK"/>
        </w:rPr>
      </w:pPr>
      <w:r w:rsidRPr="00D26052">
        <w:rPr>
          <w:rFonts w:ascii="Times New Roman" w:hAnsi="Times New Roman" w:cs="Times New Roman"/>
          <w:lang w:eastAsia="sk-SK"/>
        </w:rPr>
        <w:t>Prostriedky na hospodársku mobilizáciu sa rozpočtujú na úrovni schváleného rozpočtu na rok 201</w:t>
      </w:r>
      <w:r>
        <w:rPr>
          <w:rFonts w:ascii="Times New Roman" w:hAnsi="Times New Roman" w:cs="Times New Roman"/>
          <w:lang w:eastAsia="sk-SK"/>
        </w:rPr>
        <w:t>8</w:t>
      </w:r>
      <w:r w:rsidRPr="00D26052">
        <w:rPr>
          <w:rFonts w:ascii="Times New Roman" w:hAnsi="Times New Roman" w:cs="Times New Roman"/>
          <w:lang w:eastAsia="sk-SK"/>
        </w:rPr>
        <w:t>.</w:t>
      </w:r>
    </w:p>
    <w:p w:rsidR="003A497B" w:rsidRPr="00D26052" w:rsidRDefault="003A497B" w:rsidP="003A497B">
      <w:pPr>
        <w:ind w:firstLine="708"/>
        <w:jc w:val="both"/>
        <w:rPr>
          <w:rFonts w:ascii="Times New Roman" w:hAnsi="Times New Roman" w:cs="Times New Roman"/>
          <w:lang w:eastAsia="sk-SK"/>
        </w:rPr>
      </w:pPr>
    </w:p>
    <w:p w:rsidR="003A497B" w:rsidRDefault="003A497B" w:rsidP="003A497B">
      <w:pPr>
        <w:ind w:firstLine="708"/>
        <w:jc w:val="both"/>
        <w:rPr>
          <w:rFonts w:ascii="Times New Roman" w:hAnsi="Times New Roman" w:cs="Times New Roman"/>
          <w:lang w:eastAsia="sk-SK"/>
        </w:rPr>
      </w:pPr>
      <w:r w:rsidRPr="00D26052">
        <w:rPr>
          <w:rFonts w:ascii="Times New Roman" w:hAnsi="Times New Roman" w:cs="Times New Roman"/>
          <w:lang w:eastAsia="sk-SK"/>
        </w:rPr>
        <w:t>Výdavky na členské príspevky do medzinárodných organizácií (Medzinárodná asociácia práce, Medzinárodná organizácia práce, Európske centrum pre sociálnu politiku a výskum, ISSA) sa rozpočtujú na úrovni schváleného rozpočtu na rok 201</w:t>
      </w:r>
      <w:r>
        <w:rPr>
          <w:rFonts w:ascii="Times New Roman" w:hAnsi="Times New Roman" w:cs="Times New Roman"/>
          <w:lang w:eastAsia="sk-SK"/>
        </w:rPr>
        <w:t>8</w:t>
      </w:r>
      <w:r w:rsidRPr="00D26052">
        <w:rPr>
          <w:rFonts w:ascii="Times New Roman" w:hAnsi="Times New Roman" w:cs="Times New Roman"/>
          <w:lang w:eastAsia="sk-SK"/>
        </w:rPr>
        <w:t>.</w:t>
      </w:r>
    </w:p>
    <w:p w:rsidR="003A497B" w:rsidRPr="00D26052" w:rsidRDefault="003A497B" w:rsidP="003A497B">
      <w:pPr>
        <w:ind w:firstLine="708"/>
        <w:jc w:val="both"/>
        <w:rPr>
          <w:rFonts w:ascii="Times New Roman" w:hAnsi="Times New Roman" w:cs="Times New Roman"/>
          <w:lang w:eastAsia="sk-SK"/>
        </w:rPr>
      </w:pPr>
    </w:p>
    <w:p w:rsidR="003A497B" w:rsidRDefault="003A497B" w:rsidP="003A497B">
      <w:pPr>
        <w:ind w:firstLine="708"/>
        <w:jc w:val="both"/>
        <w:rPr>
          <w:rFonts w:ascii="Times New Roman" w:hAnsi="Times New Roman" w:cs="Times New Roman"/>
          <w:lang w:eastAsia="sk-SK"/>
        </w:rPr>
      </w:pPr>
      <w:r w:rsidRPr="00D26052">
        <w:rPr>
          <w:rFonts w:ascii="Times New Roman" w:hAnsi="Times New Roman" w:cs="Times New Roman"/>
          <w:lang w:eastAsia="sk-SK"/>
        </w:rPr>
        <w:t>MPSVR SR</w:t>
      </w:r>
      <w:r>
        <w:rPr>
          <w:rFonts w:ascii="Times New Roman" w:hAnsi="Times New Roman" w:cs="Times New Roman"/>
          <w:lang w:eastAsia="sk-SK"/>
        </w:rPr>
        <w:t xml:space="preserve"> je</w:t>
      </w:r>
      <w:r w:rsidRPr="00D26052">
        <w:rPr>
          <w:rFonts w:ascii="Times New Roman" w:hAnsi="Times New Roman" w:cs="Times New Roman"/>
          <w:lang w:eastAsia="sk-SK"/>
        </w:rPr>
        <w:t xml:space="preserve"> účastníkom medzirezortného programu Protidrogová politika.</w:t>
      </w:r>
      <w:r>
        <w:rPr>
          <w:rFonts w:ascii="Times New Roman" w:hAnsi="Times New Roman" w:cs="Times New Roman"/>
          <w:lang w:eastAsia="sk-SK"/>
        </w:rPr>
        <w:t xml:space="preserve"> </w:t>
      </w:r>
      <w:r w:rsidRPr="00D26052">
        <w:rPr>
          <w:rFonts w:ascii="Times New Roman" w:hAnsi="Times New Roman" w:cs="Times New Roman"/>
          <w:lang w:eastAsia="sk-SK"/>
        </w:rPr>
        <w:t>V rozpočte MPSVR SR sa v roku 201</w:t>
      </w:r>
      <w:r>
        <w:rPr>
          <w:rFonts w:ascii="Times New Roman" w:hAnsi="Times New Roman" w:cs="Times New Roman"/>
          <w:lang w:eastAsia="sk-SK"/>
        </w:rPr>
        <w:t>9</w:t>
      </w:r>
      <w:r w:rsidRPr="00D26052">
        <w:rPr>
          <w:rFonts w:ascii="Times New Roman" w:hAnsi="Times New Roman" w:cs="Times New Roman"/>
          <w:lang w:eastAsia="sk-SK"/>
        </w:rPr>
        <w:t xml:space="preserve"> na uvedenú oblasť rozpočtujú výdavky v sume </w:t>
      </w:r>
      <w:r>
        <w:rPr>
          <w:rFonts w:ascii="Times New Roman" w:hAnsi="Times New Roman" w:cs="Times New Roman"/>
          <w:lang w:eastAsia="sk-SK"/>
        </w:rPr>
        <w:br/>
      </w:r>
      <w:r w:rsidRPr="00D26052">
        <w:rPr>
          <w:rFonts w:ascii="Times New Roman" w:hAnsi="Times New Roman" w:cs="Times New Roman"/>
          <w:lang w:eastAsia="sk-SK"/>
        </w:rPr>
        <w:t>50,0 tis. eur, teda na úrovni schváleného rozpočtu na rok 201</w:t>
      </w:r>
      <w:r>
        <w:rPr>
          <w:rFonts w:ascii="Times New Roman" w:hAnsi="Times New Roman" w:cs="Times New Roman"/>
          <w:lang w:eastAsia="sk-SK"/>
        </w:rPr>
        <w:t>8</w:t>
      </w:r>
      <w:r w:rsidRPr="00D26052">
        <w:rPr>
          <w:rFonts w:ascii="Times New Roman" w:hAnsi="Times New Roman" w:cs="Times New Roman"/>
          <w:lang w:eastAsia="sk-SK"/>
        </w:rPr>
        <w:t>.</w:t>
      </w:r>
    </w:p>
    <w:p w:rsidR="003A497B" w:rsidRDefault="003A497B" w:rsidP="003A497B">
      <w:pPr>
        <w:ind w:firstLine="708"/>
        <w:jc w:val="both"/>
        <w:rPr>
          <w:rFonts w:ascii="Times New Roman" w:hAnsi="Times New Roman" w:cs="Times New Roman"/>
          <w:lang w:eastAsia="sk-SK"/>
        </w:rPr>
      </w:pPr>
    </w:p>
    <w:p w:rsidR="003A497B" w:rsidRPr="007F112F" w:rsidRDefault="003A497B" w:rsidP="003A497B">
      <w:pPr>
        <w:contextualSpacing/>
        <w:jc w:val="both"/>
        <w:rPr>
          <w:rFonts w:ascii="Times New Roman" w:hAnsi="Times New Roman" w:cs="Times New Roman"/>
          <w:b/>
          <w:lang w:eastAsia="sk-SK"/>
        </w:rPr>
      </w:pPr>
      <w:r w:rsidRPr="007F112F">
        <w:rPr>
          <w:rFonts w:ascii="Times New Roman" w:hAnsi="Times New Roman" w:cs="Times New Roman"/>
          <w:b/>
          <w:lang w:eastAsia="sk-SK"/>
        </w:rPr>
        <w:t>Informačné technológie</w:t>
      </w:r>
    </w:p>
    <w:p w:rsidR="003A497B" w:rsidRPr="00F5748F" w:rsidRDefault="003A497B" w:rsidP="003A497B">
      <w:pPr>
        <w:ind w:firstLine="708"/>
        <w:jc w:val="both"/>
        <w:rPr>
          <w:rFonts w:ascii="Times New Roman" w:hAnsi="Times New Roman" w:cs="Times New Roman"/>
          <w:b/>
        </w:rPr>
      </w:pPr>
    </w:p>
    <w:p w:rsidR="003A497B" w:rsidRPr="007F112F" w:rsidRDefault="003A497B" w:rsidP="003A497B">
      <w:pPr>
        <w:ind w:firstLine="708"/>
        <w:jc w:val="both"/>
        <w:rPr>
          <w:rFonts w:ascii="Times New Roman" w:hAnsi="Times New Roman" w:cs="Times New Roman"/>
          <w:lang w:eastAsia="sk-SK"/>
        </w:rPr>
      </w:pPr>
      <w:r w:rsidRPr="007F112F">
        <w:rPr>
          <w:rFonts w:ascii="Times New Roman" w:hAnsi="Times New Roman" w:cs="Times New Roman"/>
          <w:lang w:eastAsia="sk-SK"/>
        </w:rPr>
        <w:t>V rámci medzirezortného programu Informačné technológie sa v rokoch 201</w:t>
      </w:r>
      <w:r>
        <w:rPr>
          <w:rFonts w:ascii="Times New Roman" w:hAnsi="Times New Roman" w:cs="Times New Roman"/>
          <w:lang w:eastAsia="sk-SK"/>
        </w:rPr>
        <w:t>9</w:t>
      </w:r>
      <w:r w:rsidRPr="007F112F">
        <w:rPr>
          <w:rFonts w:ascii="Times New Roman" w:hAnsi="Times New Roman" w:cs="Times New Roman"/>
          <w:lang w:eastAsia="sk-SK"/>
        </w:rPr>
        <w:t xml:space="preserve"> až 202</w:t>
      </w:r>
      <w:r>
        <w:rPr>
          <w:rFonts w:ascii="Times New Roman" w:hAnsi="Times New Roman" w:cs="Times New Roman"/>
          <w:lang w:eastAsia="sk-SK"/>
        </w:rPr>
        <w:t>1</w:t>
      </w:r>
      <w:r w:rsidRPr="007F112F">
        <w:rPr>
          <w:rFonts w:ascii="Times New Roman" w:hAnsi="Times New Roman" w:cs="Times New Roman"/>
          <w:lang w:eastAsia="sk-SK"/>
        </w:rPr>
        <w:t xml:space="preserve"> rozpočtujú výdavky na systémy vnútornej správy, špecializované systémy a podpornú infraštruktúru.</w:t>
      </w:r>
    </w:p>
    <w:p w:rsidR="003A497B" w:rsidRPr="00F5748F" w:rsidRDefault="003A497B" w:rsidP="003A497B">
      <w:pPr>
        <w:jc w:val="both"/>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1943"/>
        <w:gridCol w:w="1017"/>
        <w:gridCol w:w="1017"/>
        <w:gridCol w:w="1017"/>
        <w:gridCol w:w="1017"/>
        <w:gridCol w:w="1017"/>
        <w:gridCol w:w="1017"/>
        <w:gridCol w:w="1017"/>
      </w:tblGrid>
      <w:tr w:rsidR="003A497B" w:rsidRPr="00D26052" w:rsidTr="003E1809">
        <w:trPr>
          <w:trHeight w:hRule="exact" w:val="284"/>
        </w:trPr>
        <w:tc>
          <w:tcPr>
            <w:tcW w:w="107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v eurách</w:t>
            </w:r>
          </w:p>
        </w:tc>
        <w:tc>
          <w:tcPr>
            <w:tcW w:w="561"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6</w:t>
            </w:r>
            <w:r w:rsidRPr="00D26052">
              <w:rPr>
                <w:rFonts w:ascii="Times New Roman" w:hAnsi="Times New Roman" w:cs="Times New Roman"/>
                <w:b/>
                <w:bCs/>
                <w:color w:val="000000"/>
                <w:sz w:val="14"/>
                <w:szCs w:val="14"/>
                <w:lang w:eastAsia="sk-SK"/>
              </w:rPr>
              <w:t xml:space="preserve"> S</w:t>
            </w:r>
          </w:p>
        </w:tc>
        <w:tc>
          <w:tcPr>
            <w:tcW w:w="561"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7</w:t>
            </w:r>
            <w:r w:rsidRPr="00D26052">
              <w:rPr>
                <w:rFonts w:ascii="Times New Roman" w:hAnsi="Times New Roman" w:cs="Times New Roman"/>
                <w:b/>
                <w:bCs/>
                <w:color w:val="000000"/>
                <w:sz w:val="14"/>
                <w:szCs w:val="14"/>
                <w:lang w:eastAsia="sk-SK"/>
              </w:rPr>
              <w:t xml:space="preserve"> S</w:t>
            </w:r>
          </w:p>
        </w:tc>
        <w:tc>
          <w:tcPr>
            <w:tcW w:w="561"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D26052">
              <w:rPr>
                <w:rFonts w:ascii="Times New Roman" w:hAnsi="Times New Roman" w:cs="Times New Roman"/>
                <w:b/>
                <w:bCs/>
                <w:color w:val="000000"/>
                <w:sz w:val="14"/>
                <w:szCs w:val="14"/>
                <w:lang w:eastAsia="sk-SK"/>
              </w:rPr>
              <w:t xml:space="preserve"> R</w:t>
            </w:r>
          </w:p>
        </w:tc>
        <w:tc>
          <w:tcPr>
            <w:tcW w:w="561"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D26052">
              <w:rPr>
                <w:rFonts w:ascii="Times New Roman" w:hAnsi="Times New Roman" w:cs="Times New Roman"/>
                <w:b/>
                <w:bCs/>
                <w:color w:val="000000"/>
                <w:sz w:val="14"/>
                <w:szCs w:val="14"/>
                <w:lang w:eastAsia="sk-SK"/>
              </w:rPr>
              <w:t xml:space="preserve"> OS</w:t>
            </w:r>
          </w:p>
        </w:tc>
        <w:tc>
          <w:tcPr>
            <w:tcW w:w="561"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9</w:t>
            </w:r>
            <w:r w:rsidRPr="00D26052">
              <w:rPr>
                <w:rFonts w:ascii="Times New Roman" w:hAnsi="Times New Roman" w:cs="Times New Roman"/>
                <w:b/>
                <w:bCs/>
                <w:color w:val="000000"/>
                <w:sz w:val="14"/>
                <w:szCs w:val="14"/>
                <w:lang w:eastAsia="sk-SK"/>
              </w:rPr>
              <w:t xml:space="preserve"> N</w:t>
            </w:r>
          </w:p>
        </w:tc>
        <w:tc>
          <w:tcPr>
            <w:tcW w:w="561"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w:t>
            </w:r>
            <w:r>
              <w:rPr>
                <w:rFonts w:ascii="Times New Roman" w:hAnsi="Times New Roman" w:cs="Times New Roman"/>
                <w:b/>
                <w:bCs/>
                <w:color w:val="000000"/>
                <w:sz w:val="14"/>
                <w:szCs w:val="14"/>
                <w:lang w:eastAsia="sk-SK"/>
              </w:rPr>
              <w:t>20</w:t>
            </w:r>
            <w:r w:rsidRPr="00D26052">
              <w:rPr>
                <w:rFonts w:ascii="Times New Roman" w:hAnsi="Times New Roman" w:cs="Times New Roman"/>
                <w:b/>
                <w:bCs/>
                <w:color w:val="000000"/>
                <w:sz w:val="14"/>
                <w:szCs w:val="14"/>
                <w:lang w:eastAsia="sk-SK"/>
              </w:rPr>
              <w:t xml:space="preserve"> N</w:t>
            </w:r>
          </w:p>
        </w:tc>
        <w:tc>
          <w:tcPr>
            <w:tcW w:w="561"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D26052" w:rsidRDefault="003A497B" w:rsidP="003E1809">
            <w:pPr>
              <w:jc w:val="center"/>
              <w:rPr>
                <w:rFonts w:ascii="Times New Roman" w:hAnsi="Times New Roman" w:cs="Times New Roman"/>
                <w:b/>
                <w:bCs/>
                <w:color w:val="000000"/>
                <w:sz w:val="14"/>
                <w:szCs w:val="14"/>
                <w:lang w:eastAsia="sk-SK"/>
              </w:rPr>
            </w:pPr>
            <w:r w:rsidRPr="00D26052">
              <w:rPr>
                <w:rFonts w:ascii="Times New Roman" w:hAnsi="Times New Roman" w:cs="Times New Roman"/>
                <w:b/>
                <w:bCs/>
                <w:color w:val="000000"/>
                <w:sz w:val="14"/>
                <w:szCs w:val="14"/>
                <w:lang w:eastAsia="sk-SK"/>
              </w:rPr>
              <w:t>20</w:t>
            </w:r>
            <w:r>
              <w:rPr>
                <w:rFonts w:ascii="Times New Roman" w:hAnsi="Times New Roman" w:cs="Times New Roman"/>
                <w:b/>
                <w:bCs/>
                <w:color w:val="000000"/>
                <w:sz w:val="14"/>
                <w:szCs w:val="14"/>
                <w:lang w:eastAsia="sk-SK"/>
              </w:rPr>
              <w:t>21</w:t>
            </w:r>
            <w:r w:rsidRPr="00D26052">
              <w:rPr>
                <w:rFonts w:ascii="Times New Roman" w:hAnsi="Times New Roman" w:cs="Times New Roman"/>
                <w:b/>
                <w:bCs/>
                <w:color w:val="000000"/>
                <w:sz w:val="14"/>
                <w:szCs w:val="14"/>
                <w:lang w:eastAsia="sk-SK"/>
              </w:rPr>
              <w:t xml:space="preserve"> N</w:t>
            </w:r>
          </w:p>
        </w:tc>
      </w:tr>
      <w:tr w:rsidR="003A497B" w:rsidRPr="00D26052" w:rsidTr="003E1809">
        <w:trPr>
          <w:trHeight w:hRule="exact" w:val="284"/>
        </w:trPr>
        <w:tc>
          <w:tcPr>
            <w:tcW w:w="107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A497B" w:rsidRPr="00D26052" w:rsidRDefault="003A497B" w:rsidP="003E1809">
            <w:pP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Informačné technológie</w:t>
            </w:r>
          </w:p>
        </w:tc>
        <w:tc>
          <w:tcPr>
            <w:tcW w:w="561" w:type="pct"/>
            <w:tcBorders>
              <w:top w:val="nil"/>
              <w:left w:val="nil"/>
              <w:bottom w:val="single" w:sz="4" w:space="0" w:color="auto"/>
              <w:right w:val="single" w:sz="4" w:space="0" w:color="auto"/>
            </w:tcBorders>
            <w:shd w:val="clear" w:color="auto" w:fill="BFBFBF" w:themeFill="background1" w:themeFillShade="BF"/>
            <w:vAlign w:val="center"/>
            <w:hideMark/>
          </w:tcPr>
          <w:p w:rsidR="003A497B" w:rsidRDefault="003A497B" w:rsidP="003E1809">
            <w:pPr>
              <w:jc w:val="right"/>
              <w:rPr>
                <w:rFonts w:ascii="Times New Roman" w:hAnsi="Times New Roman" w:cs="Times New Roman"/>
                <w:b/>
                <w:bCs/>
                <w:color w:val="000000"/>
                <w:sz w:val="14"/>
                <w:szCs w:val="14"/>
                <w:lang w:eastAsia="sk-SK"/>
              </w:rPr>
            </w:pPr>
            <w:r w:rsidRPr="006423CE">
              <w:rPr>
                <w:rFonts w:ascii="Times New Roman" w:hAnsi="Times New Roman" w:cs="Times New Roman"/>
                <w:b/>
                <w:bCs/>
                <w:color w:val="000000"/>
                <w:sz w:val="14"/>
                <w:szCs w:val="14"/>
                <w:lang w:eastAsia="sk-SK"/>
              </w:rPr>
              <w:t>0</w:t>
            </w:r>
          </w:p>
        </w:tc>
        <w:tc>
          <w:tcPr>
            <w:tcW w:w="561" w:type="pct"/>
            <w:tcBorders>
              <w:top w:val="nil"/>
              <w:left w:val="nil"/>
              <w:bottom w:val="single" w:sz="4" w:space="0" w:color="auto"/>
              <w:right w:val="single" w:sz="4" w:space="0" w:color="auto"/>
            </w:tcBorders>
            <w:shd w:val="clear" w:color="auto" w:fill="BFBFBF" w:themeFill="background1" w:themeFillShade="BF"/>
            <w:vAlign w:val="center"/>
            <w:hideMark/>
          </w:tcPr>
          <w:p w:rsidR="003A497B" w:rsidRPr="006423CE" w:rsidRDefault="003A497B" w:rsidP="003E1809">
            <w:pPr>
              <w:jc w:val="right"/>
              <w:rPr>
                <w:rFonts w:ascii="Times New Roman" w:hAnsi="Times New Roman" w:cs="Times New Roman"/>
                <w:b/>
                <w:bCs/>
                <w:color w:val="000000"/>
                <w:sz w:val="14"/>
                <w:szCs w:val="14"/>
                <w:lang w:eastAsia="sk-SK"/>
              </w:rPr>
            </w:pPr>
            <w:r w:rsidRPr="006423CE">
              <w:rPr>
                <w:rFonts w:ascii="Times New Roman" w:hAnsi="Times New Roman" w:cs="Times New Roman"/>
                <w:b/>
                <w:bCs/>
                <w:color w:val="000000"/>
                <w:sz w:val="14"/>
                <w:szCs w:val="14"/>
                <w:lang w:eastAsia="sk-SK"/>
              </w:rPr>
              <w:t>21 797 441</w:t>
            </w:r>
          </w:p>
        </w:tc>
        <w:tc>
          <w:tcPr>
            <w:tcW w:w="561" w:type="pct"/>
            <w:tcBorders>
              <w:top w:val="nil"/>
              <w:left w:val="nil"/>
              <w:bottom w:val="single" w:sz="4" w:space="0" w:color="auto"/>
              <w:right w:val="single" w:sz="4" w:space="0" w:color="auto"/>
            </w:tcBorders>
            <w:shd w:val="clear" w:color="auto" w:fill="BFBFBF" w:themeFill="background1" w:themeFillShade="BF"/>
            <w:vAlign w:val="center"/>
            <w:hideMark/>
          </w:tcPr>
          <w:p w:rsidR="003A497B" w:rsidRPr="006423CE" w:rsidRDefault="003A497B" w:rsidP="003E1809">
            <w:pPr>
              <w:jc w:val="right"/>
              <w:rPr>
                <w:rFonts w:ascii="Times New Roman" w:hAnsi="Times New Roman" w:cs="Times New Roman"/>
                <w:b/>
                <w:bCs/>
                <w:color w:val="000000"/>
                <w:sz w:val="14"/>
                <w:szCs w:val="14"/>
                <w:lang w:eastAsia="sk-SK"/>
              </w:rPr>
            </w:pPr>
            <w:r w:rsidRPr="006423CE">
              <w:rPr>
                <w:rFonts w:ascii="Times New Roman" w:hAnsi="Times New Roman" w:cs="Times New Roman"/>
                <w:b/>
                <w:bCs/>
                <w:color w:val="000000"/>
                <w:sz w:val="14"/>
                <w:szCs w:val="14"/>
                <w:lang w:eastAsia="sk-SK"/>
              </w:rPr>
              <w:t>17 204 954</w:t>
            </w:r>
          </w:p>
        </w:tc>
        <w:tc>
          <w:tcPr>
            <w:tcW w:w="561" w:type="pct"/>
            <w:tcBorders>
              <w:top w:val="nil"/>
              <w:left w:val="nil"/>
              <w:bottom w:val="single" w:sz="4" w:space="0" w:color="auto"/>
              <w:right w:val="single" w:sz="4" w:space="0" w:color="auto"/>
            </w:tcBorders>
            <w:shd w:val="clear" w:color="auto" w:fill="BFBFBF" w:themeFill="background1" w:themeFillShade="BF"/>
            <w:vAlign w:val="center"/>
            <w:hideMark/>
          </w:tcPr>
          <w:p w:rsidR="003A497B" w:rsidRPr="006423CE" w:rsidRDefault="003A497B" w:rsidP="003E1809">
            <w:pPr>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28 707 000</w:t>
            </w:r>
          </w:p>
        </w:tc>
        <w:tc>
          <w:tcPr>
            <w:tcW w:w="561" w:type="pct"/>
            <w:tcBorders>
              <w:top w:val="nil"/>
              <w:left w:val="nil"/>
              <w:bottom w:val="single" w:sz="4" w:space="0" w:color="auto"/>
              <w:right w:val="single" w:sz="4" w:space="0" w:color="auto"/>
            </w:tcBorders>
            <w:shd w:val="clear" w:color="auto" w:fill="BFBFBF" w:themeFill="background1" w:themeFillShade="BF"/>
            <w:vAlign w:val="center"/>
            <w:hideMark/>
          </w:tcPr>
          <w:p w:rsidR="003A497B" w:rsidRPr="006423CE" w:rsidRDefault="003A497B" w:rsidP="003E1809">
            <w:pPr>
              <w:jc w:val="right"/>
              <w:rPr>
                <w:rFonts w:ascii="Times New Roman" w:hAnsi="Times New Roman" w:cs="Times New Roman"/>
                <w:b/>
                <w:bCs/>
                <w:color w:val="000000"/>
                <w:sz w:val="14"/>
                <w:szCs w:val="14"/>
                <w:lang w:eastAsia="sk-SK"/>
              </w:rPr>
            </w:pPr>
            <w:r w:rsidRPr="006423CE">
              <w:rPr>
                <w:rFonts w:ascii="Times New Roman" w:hAnsi="Times New Roman" w:cs="Times New Roman"/>
                <w:b/>
                <w:bCs/>
                <w:color w:val="000000"/>
                <w:sz w:val="14"/>
                <w:szCs w:val="14"/>
                <w:lang w:eastAsia="sk-SK"/>
              </w:rPr>
              <w:t>17 463 254</w:t>
            </w:r>
          </w:p>
        </w:tc>
        <w:tc>
          <w:tcPr>
            <w:tcW w:w="561" w:type="pct"/>
            <w:tcBorders>
              <w:top w:val="nil"/>
              <w:left w:val="nil"/>
              <w:bottom w:val="single" w:sz="4" w:space="0" w:color="auto"/>
              <w:right w:val="single" w:sz="4" w:space="0" w:color="auto"/>
            </w:tcBorders>
            <w:shd w:val="clear" w:color="auto" w:fill="BFBFBF" w:themeFill="background1" w:themeFillShade="BF"/>
            <w:vAlign w:val="center"/>
            <w:hideMark/>
          </w:tcPr>
          <w:p w:rsidR="003A497B" w:rsidRPr="006423CE" w:rsidRDefault="003A497B" w:rsidP="003E1809">
            <w:pPr>
              <w:jc w:val="right"/>
              <w:rPr>
                <w:rFonts w:ascii="Times New Roman" w:hAnsi="Times New Roman" w:cs="Times New Roman"/>
                <w:b/>
                <w:bCs/>
                <w:color w:val="000000"/>
                <w:sz w:val="14"/>
                <w:szCs w:val="14"/>
                <w:lang w:eastAsia="sk-SK"/>
              </w:rPr>
            </w:pPr>
            <w:r w:rsidRPr="006423CE">
              <w:rPr>
                <w:rFonts w:ascii="Times New Roman" w:hAnsi="Times New Roman" w:cs="Times New Roman"/>
                <w:b/>
                <w:bCs/>
                <w:color w:val="000000"/>
                <w:sz w:val="14"/>
                <w:szCs w:val="14"/>
                <w:lang w:eastAsia="sk-SK"/>
              </w:rPr>
              <w:t>17 145 954</w:t>
            </w:r>
          </w:p>
        </w:tc>
        <w:tc>
          <w:tcPr>
            <w:tcW w:w="561" w:type="pct"/>
            <w:tcBorders>
              <w:top w:val="nil"/>
              <w:left w:val="nil"/>
              <w:bottom w:val="single" w:sz="4" w:space="0" w:color="auto"/>
              <w:right w:val="single" w:sz="4" w:space="0" w:color="auto"/>
            </w:tcBorders>
            <w:shd w:val="clear" w:color="auto" w:fill="BFBFBF" w:themeFill="background1" w:themeFillShade="BF"/>
            <w:vAlign w:val="center"/>
            <w:hideMark/>
          </w:tcPr>
          <w:p w:rsidR="003A497B" w:rsidRPr="006423CE" w:rsidRDefault="003A497B" w:rsidP="003E1809">
            <w:pPr>
              <w:jc w:val="right"/>
              <w:rPr>
                <w:rFonts w:ascii="Times New Roman" w:hAnsi="Times New Roman" w:cs="Times New Roman"/>
                <w:b/>
                <w:bCs/>
                <w:color w:val="000000"/>
                <w:sz w:val="14"/>
                <w:szCs w:val="14"/>
                <w:lang w:eastAsia="sk-SK"/>
              </w:rPr>
            </w:pPr>
            <w:r w:rsidRPr="006423CE">
              <w:rPr>
                <w:rFonts w:ascii="Times New Roman" w:hAnsi="Times New Roman" w:cs="Times New Roman"/>
                <w:b/>
                <w:bCs/>
                <w:color w:val="000000"/>
                <w:sz w:val="14"/>
                <w:szCs w:val="14"/>
                <w:lang w:eastAsia="sk-SK"/>
              </w:rPr>
              <w:t>17 145 954</w:t>
            </w:r>
          </w:p>
        </w:tc>
      </w:tr>
      <w:tr w:rsidR="003A497B" w:rsidRPr="00D26052" w:rsidTr="003E1809">
        <w:trPr>
          <w:trHeight w:hRule="exact" w:val="284"/>
        </w:trPr>
        <w:tc>
          <w:tcPr>
            <w:tcW w:w="1072" w:type="pct"/>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color w:val="000000"/>
                <w:sz w:val="14"/>
                <w:szCs w:val="14"/>
                <w:lang w:eastAsia="sk-SK"/>
              </w:rPr>
            </w:pPr>
            <w:r w:rsidRPr="00D26052">
              <w:rPr>
                <w:rFonts w:ascii="Times New Roman" w:hAnsi="Times New Roman" w:cs="Times New Roman"/>
                <w:color w:val="000000"/>
                <w:sz w:val="14"/>
                <w:szCs w:val="14"/>
                <w:lang w:eastAsia="sk-SK"/>
              </w:rPr>
              <w:t>S</w:t>
            </w:r>
            <w:r>
              <w:rPr>
                <w:rFonts w:ascii="Times New Roman" w:hAnsi="Times New Roman" w:cs="Times New Roman"/>
                <w:color w:val="000000"/>
                <w:sz w:val="14"/>
                <w:szCs w:val="14"/>
                <w:lang w:eastAsia="sk-SK"/>
              </w:rPr>
              <w:t>ystémy vnútornej správy</w:t>
            </w:r>
          </w:p>
        </w:tc>
        <w:tc>
          <w:tcPr>
            <w:tcW w:w="561" w:type="pct"/>
            <w:tcBorders>
              <w:top w:val="nil"/>
              <w:left w:val="nil"/>
              <w:bottom w:val="single" w:sz="4" w:space="0" w:color="auto"/>
              <w:right w:val="single" w:sz="4" w:space="0" w:color="auto"/>
            </w:tcBorders>
            <w:shd w:val="clear" w:color="auto" w:fill="auto"/>
            <w:vAlign w:val="center"/>
            <w:hideMark/>
          </w:tcPr>
          <w:p w:rsidR="003A497B" w:rsidRPr="006423CE" w:rsidRDefault="003A497B" w:rsidP="003E1809">
            <w:pPr>
              <w:jc w:val="right"/>
              <w:rPr>
                <w:rFonts w:ascii="Times New Roman" w:hAnsi="Times New Roman" w:cs="Times New Roman"/>
                <w:sz w:val="14"/>
                <w:szCs w:val="14"/>
                <w:lang w:eastAsia="sk-SK"/>
              </w:rPr>
            </w:pPr>
            <w:r w:rsidRPr="006423CE">
              <w:rPr>
                <w:rFonts w:ascii="Times New Roman" w:hAnsi="Times New Roman" w:cs="Times New Roman"/>
                <w:sz w:val="14"/>
                <w:szCs w:val="14"/>
                <w:lang w:eastAsia="sk-SK"/>
              </w:rPr>
              <w:t>0</w:t>
            </w:r>
          </w:p>
        </w:tc>
        <w:tc>
          <w:tcPr>
            <w:tcW w:w="561" w:type="pct"/>
            <w:tcBorders>
              <w:top w:val="nil"/>
              <w:left w:val="nil"/>
              <w:bottom w:val="single" w:sz="4" w:space="0" w:color="auto"/>
              <w:right w:val="single" w:sz="4" w:space="0" w:color="auto"/>
            </w:tcBorders>
            <w:shd w:val="clear" w:color="auto" w:fill="auto"/>
            <w:vAlign w:val="center"/>
            <w:hideMark/>
          </w:tcPr>
          <w:p w:rsidR="003A497B" w:rsidRPr="006423CE" w:rsidRDefault="003A497B" w:rsidP="003E1809">
            <w:pPr>
              <w:jc w:val="right"/>
              <w:rPr>
                <w:rFonts w:ascii="Times New Roman" w:hAnsi="Times New Roman" w:cs="Times New Roman"/>
                <w:sz w:val="14"/>
                <w:szCs w:val="14"/>
                <w:lang w:eastAsia="sk-SK"/>
              </w:rPr>
            </w:pPr>
            <w:r w:rsidRPr="006423CE">
              <w:rPr>
                <w:rFonts w:ascii="Times New Roman" w:hAnsi="Times New Roman" w:cs="Times New Roman"/>
                <w:sz w:val="14"/>
                <w:szCs w:val="14"/>
                <w:lang w:eastAsia="sk-SK"/>
              </w:rPr>
              <w:t>5 864 662</w:t>
            </w:r>
          </w:p>
        </w:tc>
        <w:tc>
          <w:tcPr>
            <w:tcW w:w="561" w:type="pct"/>
            <w:tcBorders>
              <w:top w:val="nil"/>
              <w:left w:val="nil"/>
              <w:bottom w:val="single" w:sz="4" w:space="0" w:color="auto"/>
              <w:right w:val="single" w:sz="4" w:space="0" w:color="auto"/>
            </w:tcBorders>
            <w:shd w:val="clear" w:color="auto" w:fill="auto"/>
            <w:vAlign w:val="center"/>
            <w:hideMark/>
          </w:tcPr>
          <w:p w:rsidR="003A497B" w:rsidRPr="006423CE" w:rsidRDefault="003A497B" w:rsidP="003E1809">
            <w:pPr>
              <w:jc w:val="right"/>
              <w:rPr>
                <w:rFonts w:ascii="Times New Roman" w:hAnsi="Times New Roman" w:cs="Times New Roman"/>
                <w:sz w:val="14"/>
                <w:szCs w:val="14"/>
                <w:lang w:eastAsia="sk-SK"/>
              </w:rPr>
            </w:pPr>
            <w:r w:rsidRPr="006423CE">
              <w:rPr>
                <w:rFonts w:ascii="Times New Roman" w:hAnsi="Times New Roman" w:cs="Times New Roman"/>
                <w:sz w:val="14"/>
                <w:szCs w:val="14"/>
                <w:lang w:eastAsia="sk-SK"/>
              </w:rPr>
              <w:t>4 429 969</w:t>
            </w:r>
          </w:p>
        </w:tc>
        <w:tc>
          <w:tcPr>
            <w:tcW w:w="561" w:type="pct"/>
            <w:tcBorders>
              <w:top w:val="nil"/>
              <w:left w:val="nil"/>
              <w:bottom w:val="single" w:sz="4" w:space="0" w:color="auto"/>
              <w:right w:val="single" w:sz="4" w:space="0" w:color="auto"/>
            </w:tcBorders>
            <w:shd w:val="clear" w:color="auto" w:fill="auto"/>
            <w:vAlign w:val="center"/>
            <w:hideMark/>
          </w:tcPr>
          <w:p w:rsidR="003A497B" w:rsidRPr="006423CE" w:rsidRDefault="003A497B" w:rsidP="003E1809">
            <w:pPr>
              <w:jc w:val="right"/>
              <w:rPr>
                <w:rFonts w:ascii="Times New Roman" w:hAnsi="Times New Roman" w:cs="Times New Roman"/>
                <w:sz w:val="14"/>
                <w:szCs w:val="14"/>
                <w:lang w:eastAsia="sk-SK"/>
              </w:rPr>
            </w:pPr>
            <w:r w:rsidRPr="006423CE">
              <w:rPr>
                <w:rFonts w:ascii="Times New Roman" w:hAnsi="Times New Roman" w:cs="Times New Roman"/>
                <w:sz w:val="14"/>
                <w:szCs w:val="14"/>
                <w:lang w:eastAsia="sk-SK"/>
              </w:rPr>
              <w:t>4 605 005</w:t>
            </w:r>
          </w:p>
        </w:tc>
        <w:tc>
          <w:tcPr>
            <w:tcW w:w="561" w:type="pct"/>
            <w:tcBorders>
              <w:top w:val="nil"/>
              <w:left w:val="nil"/>
              <w:bottom w:val="single" w:sz="4" w:space="0" w:color="auto"/>
              <w:right w:val="single" w:sz="4" w:space="0" w:color="auto"/>
            </w:tcBorders>
            <w:shd w:val="clear" w:color="auto" w:fill="auto"/>
            <w:vAlign w:val="center"/>
            <w:hideMark/>
          </w:tcPr>
          <w:p w:rsidR="003A497B" w:rsidRPr="006423CE" w:rsidRDefault="003A497B" w:rsidP="003E1809">
            <w:pPr>
              <w:jc w:val="right"/>
              <w:rPr>
                <w:rFonts w:ascii="Times New Roman" w:hAnsi="Times New Roman" w:cs="Times New Roman"/>
                <w:sz w:val="14"/>
                <w:szCs w:val="14"/>
                <w:lang w:eastAsia="sk-SK"/>
              </w:rPr>
            </w:pPr>
            <w:r w:rsidRPr="006423CE">
              <w:rPr>
                <w:rFonts w:ascii="Times New Roman" w:hAnsi="Times New Roman" w:cs="Times New Roman"/>
                <w:sz w:val="14"/>
                <w:szCs w:val="14"/>
                <w:lang w:eastAsia="sk-SK"/>
              </w:rPr>
              <w:t>4 940 104</w:t>
            </w:r>
          </w:p>
        </w:tc>
        <w:tc>
          <w:tcPr>
            <w:tcW w:w="561" w:type="pct"/>
            <w:tcBorders>
              <w:top w:val="nil"/>
              <w:left w:val="nil"/>
              <w:bottom w:val="single" w:sz="4" w:space="0" w:color="auto"/>
              <w:right w:val="single" w:sz="4" w:space="0" w:color="auto"/>
            </w:tcBorders>
            <w:shd w:val="clear" w:color="auto" w:fill="auto"/>
            <w:vAlign w:val="center"/>
            <w:hideMark/>
          </w:tcPr>
          <w:p w:rsidR="003A497B" w:rsidRPr="006423CE" w:rsidRDefault="003A497B" w:rsidP="003E1809">
            <w:pPr>
              <w:jc w:val="right"/>
              <w:rPr>
                <w:rFonts w:ascii="Times New Roman" w:hAnsi="Times New Roman" w:cs="Times New Roman"/>
                <w:sz w:val="14"/>
                <w:szCs w:val="14"/>
                <w:lang w:eastAsia="sk-SK"/>
              </w:rPr>
            </w:pPr>
            <w:r w:rsidRPr="006423CE">
              <w:rPr>
                <w:rFonts w:ascii="Times New Roman" w:hAnsi="Times New Roman" w:cs="Times New Roman"/>
                <w:sz w:val="14"/>
                <w:szCs w:val="14"/>
                <w:lang w:eastAsia="sk-SK"/>
              </w:rPr>
              <w:t>4 940 104</w:t>
            </w:r>
          </w:p>
        </w:tc>
        <w:tc>
          <w:tcPr>
            <w:tcW w:w="561" w:type="pct"/>
            <w:tcBorders>
              <w:top w:val="nil"/>
              <w:left w:val="nil"/>
              <w:bottom w:val="single" w:sz="4" w:space="0" w:color="auto"/>
              <w:right w:val="single" w:sz="4" w:space="0" w:color="auto"/>
            </w:tcBorders>
            <w:shd w:val="clear" w:color="auto" w:fill="auto"/>
            <w:vAlign w:val="center"/>
            <w:hideMark/>
          </w:tcPr>
          <w:p w:rsidR="003A497B" w:rsidRPr="006423CE" w:rsidRDefault="003A497B" w:rsidP="003E1809">
            <w:pPr>
              <w:jc w:val="right"/>
              <w:rPr>
                <w:rFonts w:ascii="Times New Roman" w:hAnsi="Times New Roman" w:cs="Times New Roman"/>
                <w:sz w:val="14"/>
                <w:szCs w:val="14"/>
                <w:lang w:eastAsia="sk-SK"/>
              </w:rPr>
            </w:pPr>
            <w:r w:rsidRPr="006423CE">
              <w:rPr>
                <w:rFonts w:ascii="Times New Roman" w:hAnsi="Times New Roman" w:cs="Times New Roman"/>
                <w:sz w:val="14"/>
                <w:szCs w:val="14"/>
                <w:lang w:eastAsia="sk-SK"/>
              </w:rPr>
              <w:t>4 940 104</w:t>
            </w:r>
          </w:p>
        </w:tc>
      </w:tr>
      <w:tr w:rsidR="003A497B" w:rsidRPr="00D26052" w:rsidTr="003E1809">
        <w:trPr>
          <w:trHeight w:hRule="exact" w:val="284"/>
        </w:trPr>
        <w:tc>
          <w:tcPr>
            <w:tcW w:w="1072" w:type="pct"/>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Špecializované systémy</w:t>
            </w:r>
          </w:p>
        </w:tc>
        <w:tc>
          <w:tcPr>
            <w:tcW w:w="561" w:type="pct"/>
            <w:tcBorders>
              <w:top w:val="nil"/>
              <w:left w:val="nil"/>
              <w:bottom w:val="single" w:sz="4" w:space="0" w:color="auto"/>
              <w:right w:val="single" w:sz="4" w:space="0" w:color="auto"/>
            </w:tcBorders>
            <w:shd w:val="clear" w:color="auto" w:fill="auto"/>
            <w:vAlign w:val="center"/>
            <w:hideMark/>
          </w:tcPr>
          <w:p w:rsidR="003A497B" w:rsidRPr="006423CE" w:rsidRDefault="003A497B" w:rsidP="003E1809">
            <w:pPr>
              <w:jc w:val="right"/>
              <w:rPr>
                <w:rFonts w:ascii="Times New Roman" w:hAnsi="Times New Roman" w:cs="Times New Roman"/>
                <w:sz w:val="14"/>
                <w:szCs w:val="14"/>
                <w:lang w:eastAsia="sk-SK"/>
              </w:rPr>
            </w:pPr>
            <w:r w:rsidRPr="006423CE">
              <w:rPr>
                <w:rFonts w:ascii="Times New Roman" w:hAnsi="Times New Roman" w:cs="Times New Roman"/>
                <w:sz w:val="14"/>
                <w:szCs w:val="14"/>
                <w:lang w:eastAsia="sk-SK"/>
              </w:rPr>
              <w:t>0</w:t>
            </w:r>
          </w:p>
        </w:tc>
        <w:tc>
          <w:tcPr>
            <w:tcW w:w="561" w:type="pct"/>
            <w:tcBorders>
              <w:top w:val="nil"/>
              <w:left w:val="nil"/>
              <w:bottom w:val="single" w:sz="4" w:space="0" w:color="auto"/>
              <w:right w:val="single" w:sz="4" w:space="0" w:color="auto"/>
            </w:tcBorders>
            <w:shd w:val="clear" w:color="auto" w:fill="auto"/>
            <w:vAlign w:val="center"/>
            <w:hideMark/>
          </w:tcPr>
          <w:p w:rsidR="003A497B" w:rsidRPr="006423CE" w:rsidRDefault="003A497B" w:rsidP="003E1809">
            <w:pPr>
              <w:jc w:val="right"/>
              <w:rPr>
                <w:rFonts w:ascii="Times New Roman" w:hAnsi="Times New Roman" w:cs="Times New Roman"/>
                <w:sz w:val="14"/>
                <w:szCs w:val="14"/>
                <w:lang w:eastAsia="sk-SK"/>
              </w:rPr>
            </w:pPr>
            <w:r w:rsidRPr="006423CE">
              <w:rPr>
                <w:rFonts w:ascii="Times New Roman" w:hAnsi="Times New Roman" w:cs="Times New Roman"/>
                <w:sz w:val="14"/>
                <w:szCs w:val="14"/>
                <w:lang w:eastAsia="sk-SK"/>
              </w:rPr>
              <w:t>8 568 264</w:t>
            </w:r>
          </w:p>
        </w:tc>
        <w:tc>
          <w:tcPr>
            <w:tcW w:w="561" w:type="pct"/>
            <w:tcBorders>
              <w:top w:val="nil"/>
              <w:left w:val="nil"/>
              <w:bottom w:val="single" w:sz="4" w:space="0" w:color="auto"/>
              <w:right w:val="single" w:sz="4" w:space="0" w:color="auto"/>
            </w:tcBorders>
            <w:shd w:val="clear" w:color="auto" w:fill="auto"/>
            <w:vAlign w:val="center"/>
            <w:hideMark/>
          </w:tcPr>
          <w:p w:rsidR="003A497B" w:rsidRPr="006423CE" w:rsidRDefault="003A497B" w:rsidP="003E1809">
            <w:pPr>
              <w:jc w:val="right"/>
              <w:rPr>
                <w:rFonts w:ascii="Times New Roman" w:hAnsi="Times New Roman" w:cs="Times New Roman"/>
                <w:sz w:val="14"/>
                <w:szCs w:val="14"/>
                <w:lang w:eastAsia="sk-SK"/>
              </w:rPr>
            </w:pPr>
            <w:r w:rsidRPr="006423CE">
              <w:rPr>
                <w:rFonts w:ascii="Times New Roman" w:hAnsi="Times New Roman" w:cs="Times New Roman"/>
                <w:sz w:val="14"/>
                <w:szCs w:val="14"/>
                <w:lang w:eastAsia="sk-SK"/>
              </w:rPr>
              <w:t>4 734 819</w:t>
            </w:r>
          </w:p>
        </w:tc>
        <w:tc>
          <w:tcPr>
            <w:tcW w:w="561" w:type="pct"/>
            <w:tcBorders>
              <w:top w:val="nil"/>
              <w:left w:val="nil"/>
              <w:bottom w:val="single" w:sz="4" w:space="0" w:color="auto"/>
              <w:right w:val="single" w:sz="4" w:space="0" w:color="auto"/>
            </w:tcBorders>
            <w:shd w:val="clear" w:color="auto" w:fill="auto"/>
            <w:vAlign w:val="center"/>
            <w:hideMark/>
          </w:tcPr>
          <w:p w:rsidR="003A497B" w:rsidRPr="006423CE"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9 734 819</w:t>
            </w:r>
          </w:p>
        </w:tc>
        <w:tc>
          <w:tcPr>
            <w:tcW w:w="561" w:type="pct"/>
            <w:tcBorders>
              <w:top w:val="nil"/>
              <w:left w:val="nil"/>
              <w:bottom w:val="single" w:sz="4" w:space="0" w:color="auto"/>
              <w:right w:val="single" w:sz="4" w:space="0" w:color="auto"/>
            </w:tcBorders>
            <w:shd w:val="clear" w:color="auto" w:fill="auto"/>
            <w:vAlign w:val="center"/>
            <w:hideMark/>
          </w:tcPr>
          <w:p w:rsidR="003A497B" w:rsidRPr="006423CE" w:rsidRDefault="003A497B" w:rsidP="003E1809">
            <w:pPr>
              <w:jc w:val="right"/>
              <w:rPr>
                <w:rFonts w:ascii="Times New Roman" w:hAnsi="Times New Roman" w:cs="Times New Roman"/>
                <w:sz w:val="14"/>
                <w:szCs w:val="14"/>
                <w:lang w:eastAsia="sk-SK"/>
              </w:rPr>
            </w:pPr>
            <w:r w:rsidRPr="006423CE">
              <w:rPr>
                <w:rFonts w:ascii="Times New Roman" w:hAnsi="Times New Roman" w:cs="Times New Roman"/>
                <w:sz w:val="14"/>
                <w:szCs w:val="14"/>
                <w:lang w:eastAsia="sk-SK"/>
              </w:rPr>
              <w:t>5 978 419</w:t>
            </w:r>
          </w:p>
        </w:tc>
        <w:tc>
          <w:tcPr>
            <w:tcW w:w="561" w:type="pct"/>
            <w:tcBorders>
              <w:top w:val="nil"/>
              <w:left w:val="nil"/>
              <w:bottom w:val="single" w:sz="4" w:space="0" w:color="auto"/>
              <w:right w:val="single" w:sz="4" w:space="0" w:color="auto"/>
            </w:tcBorders>
            <w:shd w:val="clear" w:color="auto" w:fill="auto"/>
            <w:vAlign w:val="center"/>
            <w:hideMark/>
          </w:tcPr>
          <w:p w:rsidR="003A497B" w:rsidRPr="006423CE" w:rsidRDefault="003A497B" w:rsidP="003E1809">
            <w:pPr>
              <w:jc w:val="right"/>
              <w:rPr>
                <w:rFonts w:ascii="Times New Roman" w:hAnsi="Times New Roman" w:cs="Times New Roman"/>
                <w:sz w:val="14"/>
                <w:szCs w:val="14"/>
                <w:lang w:eastAsia="sk-SK"/>
              </w:rPr>
            </w:pPr>
            <w:r w:rsidRPr="006423CE">
              <w:rPr>
                <w:rFonts w:ascii="Times New Roman" w:hAnsi="Times New Roman" w:cs="Times New Roman"/>
                <w:sz w:val="14"/>
                <w:szCs w:val="14"/>
                <w:lang w:eastAsia="sk-SK"/>
              </w:rPr>
              <w:t>5 588 419</w:t>
            </w:r>
          </w:p>
        </w:tc>
        <w:tc>
          <w:tcPr>
            <w:tcW w:w="561" w:type="pct"/>
            <w:tcBorders>
              <w:top w:val="nil"/>
              <w:left w:val="nil"/>
              <w:bottom w:val="single" w:sz="4" w:space="0" w:color="auto"/>
              <w:right w:val="single" w:sz="4" w:space="0" w:color="auto"/>
            </w:tcBorders>
            <w:shd w:val="clear" w:color="auto" w:fill="auto"/>
            <w:vAlign w:val="center"/>
            <w:hideMark/>
          </w:tcPr>
          <w:p w:rsidR="003A497B" w:rsidRPr="006423CE" w:rsidRDefault="003A497B" w:rsidP="003E1809">
            <w:pPr>
              <w:jc w:val="right"/>
              <w:rPr>
                <w:rFonts w:ascii="Times New Roman" w:hAnsi="Times New Roman" w:cs="Times New Roman"/>
                <w:sz w:val="14"/>
                <w:szCs w:val="14"/>
                <w:lang w:eastAsia="sk-SK"/>
              </w:rPr>
            </w:pPr>
            <w:r w:rsidRPr="006423CE">
              <w:rPr>
                <w:rFonts w:ascii="Times New Roman" w:hAnsi="Times New Roman" w:cs="Times New Roman"/>
                <w:sz w:val="14"/>
                <w:szCs w:val="14"/>
                <w:lang w:eastAsia="sk-SK"/>
              </w:rPr>
              <w:t>5 588 419</w:t>
            </w:r>
          </w:p>
        </w:tc>
      </w:tr>
      <w:tr w:rsidR="003A497B" w:rsidRPr="00D26052" w:rsidTr="003E1809">
        <w:trPr>
          <w:trHeight w:hRule="exact" w:val="284"/>
        </w:trPr>
        <w:tc>
          <w:tcPr>
            <w:tcW w:w="1072" w:type="pct"/>
            <w:tcBorders>
              <w:top w:val="nil"/>
              <w:left w:val="single" w:sz="4" w:space="0" w:color="auto"/>
              <w:bottom w:val="single" w:sz="4" w:space="0" w:color="auto"/>
              <w:right w:val="single" w:sz="4" w:space="0" w:color="auto"/>
            </w:tcBorders>
            <w:shd w:val="clear" w:color="auto" w:fill="auto"/>
            <w:vAlign w:val="center"/>
            <w:hideMark/>
          </w:tcPr>
          <w:p w:rsidR="003A497B" w:rsidRPr="00D26052" w:rsidRDefault="003A497B" w:rsidP="003E1809">
            <w:pPr>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Podporná infraštruktúra</w:t>
            </w:r>
            <w:r w:rsidRPr="00D26052">
              <w:rPr>
                <w:rFonts w:ascii="Times New Roman" w:hAnsi="Times New Roman" w:cs="Times New Roman"/>
                <w:color w:val="000000"/>
                <w:sz w:val="14"/>
                <w:szCs w:val="14"/>
                <w:lang w:eastAsia="sk-SK"/>
              </w:rPr>
              <w:t xml:space="preserve"> </w:t>
            </w:r>
          </w:p>
        </w:tc>
        <w:tc>
          <w:tcPr>
            <w:tcW w:w="561" w:type="pct"/>
            <w:tcBorders>
              <w:top w:val="nil"/>
              <w:left w:val="nil"/>
              <w:bottom w:val="single" w:sz="4" w:space="0" w:color="auto"/>
              <w:right w:val="single" w:sz="4" w:space="0" w:color="auto"/>
            </w:tcBorders>
            <w:shd w:val="clear" w:color="auto" w:fill="auto"/>
            <w:vAlign w:val="center"/>
            <w:hideMark/>
          </w:tcPr>
          <w:p w:rsidR="003A497B" w:rsidRPr="006423CE" w:rsidRDefault="003A497B" w:rsidP="003E1809">
            <w:pPr>
              <w:jc w:val="right"/>
              <w:rPr>
                <w:rFonts w:ascii="Times New Roman" w:hAnsi="Times New Roman" w:cs="Times New Roman"/>
                <w:sz w:val="14"/>
                <w:szCs w:val="14"/>
                <w:lang w:eastAsia="sk-SK"/>
              </w:rPr>
            </w:pPr>
            <w:r w:rsidRPr="006423CE">
              <w:rPr>
                <w:rFonts w:ascii="Times New Roman" w:hAnsi="Times New Roman" w:cs="Times New Roman"/>
                <w:sz w:val="14"/>
                <w:szCs w:val="14"/>
                <w:lang w:eastAsia="sk-SK"/>
              </w:rPr>
              <w:t>0</w:t>
            </w:r>
          </w:p>
        </w:tc>
        <w:tc>
          <w:tcPr>
            <w:tcW w:w="561" w:type="pct"/>
            <w:tcBorders>
              <w:top w:val="nil"/>
              <w:left w:val="nil"/>
              <w:bottom w:val="single" w:sz="4" w:space="0" w:color="auto"/>
              <w:right w:val="single" w:sz="4" w:space="0" w:color="auto"/>
            </w:tcBorders>
            <w:shd w:val="clear" w:color="auto" w:fill="auto"/>
            <w:vAlign w:val="center"/>
            <w:hideMark/>
          </w:tcPr>
          <w:p w:rsidR="003A497B" w:rsidRPr="006423CE" w:rsidRDefault="003A497B" w:rsidP="003E1809">
            <w:pPr>
              <w:jc w:val="right"/>
              <w:rPr>
                <w:rFonts w:ascii="Times New Roman" w:hAnsi="Times New Roman" w:cs="Times New Roman"/>
                <w:sz w:val="14"/>
                <w:szCs w:val="14"/>
                <w:lang w:eastAsia="sk-SK"/>
              </w:rPr>
            </w:pPr>
            <w:r w:rsidRPr="006423CE">
              <w:rPr>
                <w:rFonts w:ascii="Times New Roman" w:hAnsi="Times New Roman" w:cs="Times New Roman"/>
                <w:sz w:val="14"/>
                <w:szCs w:val="14"/>
                <w:lang w:eastAsia="sk-SK"/>
              </w:rPr>
              <w:t>7 364 515</w:t>
            </w:r>
          </w:p>
        </w:tc>
        <w:tc>
          <w:tcPr>
            <w:tcW w:w="561" w:type="pct"/>
            <w:tcBorders>
              <w:top w:val="nil"/>
              <w:left w:val="nil"/>
              <w:bottom w:val="single" w:sz="4" w:space="0" w:color="auto"/>
              <w:right w:val="single" w:sz="4" w:space="0" w:color="auto"/>
            </w:tcBorders>
            <w:shd w:val="clear" w:color="auto" w:fill="auto"/>
            <w:vAlign w:val="center"/>
            <w:hideMark/>
          </w:tcPr>
          <w:p w:rsidR="003A497B" w:rsidRPr="006423CE" w:rsidRDefault="003A497B" w:rsidP="003E1809">
            <w:pPr>
              <w:jc w:val="right"/>
              <w:rPr>
                <w:rFonts w:ascii="Times New Roman" w:hAnsi="Times New Roman" w:cs="Times New Roman"/>
                <w:sz w:val="14"/>
                <w:szCs w:val="14"/>
                <w:lang w:eastAsia="sk-SK"/>
              </w:rPr>
            </w:pPr>
            <w:r w:rsidRPr="006423CE">
              <w:rPr>
                <w:rFonts w:ascii="Times New Roman" w:hAnsi="Times New Roman" w:cs="Times New Roman"/>
                <w:sz w:val="14"/>
                <w:szCs w:val="14"/>
                <w:lang w:eastAsia="sk-SK"/>
              </w:rPr>
              <w:t>8 040 166</w:t>
            </w:r>
          </w:p>
        </w:tc>
        <w:tc>
          <w:tcPr>
            <w:tcW w:w="561" w:type="pct"/>
            <w:tcBorders>
              <w:top w:val="nil"/>
              <w:left w:val="nil"/>
              <w:bottom w:val="single" w:sz="4" w:space="0" w:color="auto"/>
              <w:right w:val="single" w:sz="4" w:space="0" w:color="auto"/>
            </w:tcBorders>
            <w:shd w:val="clear" w:color="auto" w:fill="auto"/>
            <w:vAlign w:val="center"/>
            <w:hideMark/>
          </w:tcPr>
          <w:p w:rsidR="003A497B" w:rsidRPr="006423CE" w:rsidRDefault="003A497B" w:rsidP="003E1809">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14 367 176</w:t>
            </w:r>
          </w:p>
        </w:tc>
        <w:tc>
          <w:tcPr>
            <w:tcW w:w="561" w:type="pct"/>
            <w:tcBorders>
              <w:top w:val="nil"/>
              <w:left w:val="nil"/>
              <w:bottom w:val="single" w:sz="4" w:space="0" w:color="auto"/>
              <w:right w:val="single" w:sz="4" w:space="0" w:color="auto"/>
            </w:tcBorders>
            <w:shd w:val="clear" w:color="auto" w:fill="auto"/>
            <w:vAlign w:val="center"/>
            <w:hideMark/>
          </w:tcPr>
          <w:p w:rsidR="003A497B" w:rsidRPr="006423CE" w:rsidRDefault="003A497B" w:rsidP="003E1809">
            <w:pPr>
              <w:jc w:val="right"/>
              <w:rPr>
                <w:rFonts w:ascii="Times New Roman" w:hAnsi="Times New Roman" w:cs="Times New Roman"/>
                <w:sz w:val="14"/>
                <w:szCs w:val="14"/>
                <w:lang w:eastAsia="sk-SK"/>
              </w:rPr>
            </w:pPr>
            <w:r w:rsidRPr="006423CE">
              <w:rPr>
                <w:rFonts w:ascii="Times New Roman" w:hAnsi="Times New Roman" w:cs="Times New Roman"/>
                <w:sz w:val="14"/>
                <w:szCs w:val="14"/>
                <w:lang w:eastAsia="sk-SK"/>
              </w:rPr>
              <w:t>6 544 731</w:t>
            </w:r>
          </w:p>
        </w:tc>
        <w:tc>
          <w:tcPr>
            <w:tcW w:w="561" w:type="pct"/>
            <w:tcBorders>
              <w:top w:val="nil"/>
              <w:left w:val="nil"/>
              <w:bottom w:val="single" w:sz="4" w:space="0" w:color="auto"/>
              <w:right w:val="single" w:sz="4" w:space="0" w:color="auto"/>
            </w:tcBorders>
            <w:shd w:val="clear" w:color="auto" w:fill="auto"/>
            <w:vAlign w:val="center"/>
            <w:hideMark/>
          </w:tcPr>
          <w:p w:rsidR="003A497B" w:rsidRPr="006423CE" w:rsidRDefault="003A497B" w:rsidP="003E1809">
            <w:pPr>
              <w:jc w:val="right"/>
              <w:rPr>
                <w:rFonts w:ascii="Times New Roman" w:hAnsi="Times New Roman" w:cs="Times New Roman"/>
                <w:sz w:val="14"/>
                <w:szCs w:val="14"/>
                <w:lang w:eastAsia="sk-SK"/>
              </w:rPr>
            </w:pPr>
            <w:r w:rsidRPr="006423CE">
              <w:rPr>
                <w:rFonts w:ascii="Times New Roman" w:hAnsi="Times New Roman" w:cs="Times New Roman"/>
                <w:sz w:val="14"/>
                <w:szCs w:val="14"/>
                <w:lang w:eastAsia="sk-SK"/>
              </w:rPr>
              <w:t>6 617 431</w:t>
            </w:r>
          </w:p>
        </w:tc>
        <w:tc>
          <w:tcPr>
            <w:tcW w:w="561" w:type="pct"/>
            <w:tcBorders>
              <w:top w:val="nil"/>
              <w:left w:val="nil"/>
              <w:bottom w:val="single" w:sz="4" w:space="0" w:color="auto"/>
              <w:right w:val="single" w:sz="4" w:space="0" w:color="auto"/>
            </w:tcBorders>
            <w:shd w:val="clear" w:color="auto" w:fill="auto"/>
            <w:vAlign w:val="center"/>
            <w:hideMark/>
          </w:tcPr>
          <w:p w:rsidR="003A497B" w:rsidRPr="006423CE" w:rsidRDefault="003A497B" w:rsidP="003E1809">
            <w:pPr>
              <w:jc w:val="right"/>
              <w:rPr>
                <w:rFonts w:ascii="Times New Roman" w:hAnsi="Times New Roman" w:cs="Times New Roman"/>
                <w:sz w:val="14"/>
                <w:szCs w:val="14"/>
                <w:lang w:eastAsia="sk-SK"/>
              </w:rPr>
            </w:pPr>
            <w:r w:rsidRPr="006423CE">
              <w:rPr>
                <w:rFonts w:ascii="Times New Roman" w:hAnsi="Times New Roman" w:cs="Times New Roman"/>
                <w:sz w:val="14"/>
                <w:szCs w:val="14"/>
                <w:lang w:eastAsia="sk-SK"/>
              </w:rPr>
              <w:t>6 617 431</w:t>
            </w:r>
          </w:p>
        </w:tc>
      </w:tr>
    </w:tbl>
    <w:p w:rsidR="003A497B" w:rsidRPr="00F5748F" w:rsidRDefault="003A497B" w:rsidP="003A497B">
      <w:pPr>
        <w:ind w:firstLine="708"/>
        <w:jc w:val="both"/>
        <w:rPr>
          <w:rFonts w:ascii="Times New Roman" w:hAnsi="Times New Roman" w:cs="Times New Roman"/>
          <w:b/>
        </w:rPr>
      </w:pPr>
    </w:p>
    <w:p w:rsidR="003A497B" w:rsidRPr="007F112F" w:rsidRDefault="003A497B" w:rsidP="003A497B">
      <w:pPr>
        <w:tabs>
          <w:tab w:val="left" w:pos="0"/>
          <w:tab w:val="left" w:pos="720"/>
          <w:tab w:val="left" w:pos="1440"/>
          <w:tab w:val="left" w:pos="2160"/>
          <w:tab w:val="left" w:pos="2880"/>
          <w:tab w:val="left" w:pos="3600"/>
          <w:tab w:val="left" w:pos="4320"/>
        </w:tabs>
        <w:adjustRightInd w:val="0"/>
        <w:jc w:val="both"/>
        <w:rPr>
          <w:rFonts w:ascii="Times New Roman" w:hAnsi="Times New Roman" w:cs="Times New Roman"/>
          <w:lang w:eastAsia="sk-SK"/>
        </w:rPr>
      </w:pPr>
      <w:r>
        <w:rPr>
          <w:rFonts w:ascii="Times New Roman" w:hAnsi="Times New Roman" w:cs="Times New Roman"/>
          <w:lang w:eastAsia="sk-SK"/>
        </w:rPr>
        <w:tab/>
      </w:r>
      <w:r w:rsidRPr="007F112F">
        <w:rPr>
          <w:rFonts w:ascii="Times New Roman" w:hAnsi="Times New Roman" w:cs="Times New Roman"/>
          <w:lang w:eastAsia="sk-SK"/>
        </w:rPr>
        <w:t>Na rok 201</w:t>
      </w:r>
      <w:r>
        <w:rPr>
          <w:rFonts w:ascii="Times New Roman" w:hAnsi="Times New Roman" w:cs="Times New Roman"/>
          <w:lang w:eastAsia="sk-SK"/>
        </w:rPr>
        <w:t>9</w:t>
      </w:r>
      <w:r w:rsidRPr="007F112F">
        <w:rPr>
          <w:rFonts w:ascii="Times New Roman" w:hAnsi="Times New Roman" w:cs="Times New Roman"/>
          <w:lang w:eastAsia="sk-SK"/>
        </w:rPr>
        <w:t xml:space="preserve"> sa rozpočtuje v rámci medzirezortného programu Informačné technológie celkovo suma 1</w:t>
      </w:r>
      <w:r>
        <w:rPr>
          <w:rFonts w:ascii="Times New Roman" w:hAnsi="Times New Roman" w:cs="Times New Roman"/>
          <w:lang w:eastAsia="sk-SK"/>
        </w:rPr>
        <w:t>7</w:t>
      </w:r>
      <w:r w:rsidRPr="007F112F">
        <w:rPr>
          <w:rFonts w:ascii="Times New Roman" w:hAnsi="Times New Roman" w:cs="Times New Roman"/>
          <w:lang w:eastAsia="sk-SK"/>
        </w:rPr>
        <w:t>,</w:t>
      </w:r>
      <w:r>
        <w:rPr>
          <w:rFonts w:ascii="Times New Roman" w:hAnsi="Times New Roman" w:cs="Times New Roman"/>
          <w:lang w:eastAsia="sk-SK"/>
        </w:rPr>
        <w:t>5</w:t>
      </w:r>
      <w:r w:rsidRPr="007F112F">
        <w:rPr>
          <w:rFonts w:ascii="Times New Roman" w:hAnsi="Times New Roman" w:cs="Times New Roman"/>
          <w:lang w:eastAsia="sk-SK"/>
        </w:rPr>
        <w:t xml:space="preserve"> mil. eur, čo predstavuje </w:t>
      </w:r>
      <w:r>
        <w:rPr>
          <w:rFonts w:ascii="Times New Roman" w:hAnsi="Times New Roman" w:cs="Times New Roman"/>
          <w:lang w:eastAsia="sk-SK"/>
        </w:rPr>
        <w:t>nárast</w:t>
      </w:r>
      <w:r w:rsidRPr="007F112F">
        <w:rPr>
          <w:rFonts w:ascii="Times New Roman" w:hAnsi="Times New Roman" w:cs="Times New Roman"/>
          <w:lang w:eastAsia="sk-SK"/>
        </w:rPr>
        <w:t xml:space="preserve"> o</w:t>
      </w:r>
      <w:r>
        <w:rPr>
          <w:rFonts w:ascii="Times New Roman" w:hAnsi="Times New Roman" w:cs="Times New Roman"/>
          <w:lang w:eastAsia="sk-SK"/>
        </w:rPr>
        <w:t> 1,50 % oproti schválenému rozpočtu na</w:t>
      </w:r>
      <w:r w:rsidRPr="007F112F">
        <w:rPr>
          <w:rFonts w:ascii="Times New Roman" w:hAnsi="Times New Roman" w:cs="Times New Roman"/>
          <w:lang w:eastAsia="sk-SK"/>
        </w:rPr>
        <w:t xml:space="preserve"> rok 201</w:t>
      </w:r>
      <w:r>
        <w:rPr>
          <w:rFonts w:ascii="Times New Roman" w:hAnsi="Times New Roman" w:cs="Times New Roman"/>
          <w:lang w:eastAsia="sk-SK"/>
        </w:rPr>
        <w:t>8</w:t>
      </w:r>
      <w:r w:rsidRPr="007F112F">
        <w:rPr>
          <w:rFonts w:ascii="Times New Roman" w:hAnsi="Times New Roman" w:cs="Times New Roman"/>
          <w:lang w:eastAsia="sk-SK"/>
        </w:rPr>
        <w:t xml:space="preserve">. </w:t>
      </w:r>
    </w:p>
    <w:p w:rsidR="003A497B" w:rsidRDefault="003A497B" w:rsidP="003A497B"/>
    <w:p w:rsidR="003E1809" w:rsidRPr="00E704E6" w:rsidRDefault="003E1809" w:rsidP="003A497B"/>
    <w:p w:rsidR="003A497B" w:rsidRDefault="003A497B" w:rsidP="003A497B">
      <w:pPr>
        <w:pStyle w:val="Nadpis5"/>
        <w:pBdr>
          <w:bottom w:val="single" w:sz="4" w:space="1" w:color="auto"/>
        </w:pBdr>
        <w:ind w:left="0"/>
        <w:rPr>
          <w:i w:val="0"/>
          <w:sz w:val="24"/>
          <w:lang w:eastAsia="sk-SK"/>
        </w:rPr>
      </w:pPr>
      <w:bookmarkStart w:id="77" w:name="_Toc526267693"/>
      <w:r w:rsidRPr="00924379">
        <w:rPr>
          <w:i w:val="0"/>
          <w:sz w:val="24"/>
          <w:lang w:eastAsia="sk-SK"/>
        </w:rPr>
        <w:lastRenderedPageBreak/>
        <w:t>Ministerstvo obrany SR</w:t>
      </w:r>
      <w:bookmarkEnd w:id="77"/>
    </w:p>
    <w:p w:rsidR="003A497B" w:rsidRDefault="003A497B" w:rsidP="003A497B">
      <w:pPr>
        <w:rPr>
          <w:lang w:eastAsia="sk-SK"/>
        </w:rPr>
      </w:pPr>
    </w:p>
    <w:p w:rsidR="003A497B" w:rsidRPr="000D79F8" w:rsidRDefault="003A497B" w:rsidP="003A497B">
      <w:pPr>
        <w:jc w:val="both"/>
        <w:rPr>
          <w:rFonts w:ascii="Times New Roman" w:hAnsi="Times New Roman" w:cs="Times New Roman"/>
          <w:b/>
          <w:bCs/>
          <w:lang w:eastAsia="sk-SK"/>
        </w:rPr>
      </w:pPr>
      <w:r w:rsidRPr="000D79F8">
        <w:rPr>
          <w:rFonts w:ascii="Times New Roman" w:hAnsi="Times New Roman" w:cs="Times New Roman"/>
          <w:b/>
          <w:bCs/>
          <w:lang w:eastAsia="sk-SK"/>
        </w:rPr>
        <w:t>Obranné výdavky</w:t>
      </w:r>
    </w:p>
    <w:p w:rsidR="003A497B" w:rsidRPr="000D79F8" w:rsidRDefault="003A497B" w:rsidP="003A497B">
      <w:pPr>
        <w:jc w:val="both"/>
        <w:rPr>
          <w:rFonts w:ascii="Times New Roman" w:hAnsi="Times New Roman" w:cs="Times New Roman"/>
          <w:b/>
          <w:bCs/>
          <w:lang w:eastAsia="sk-SK"/>
        </w:rPr>
      </w:pPr>
    </w:p>
    <w:p w:rsidR="003A497B" w:rsidRPr="000D79F8" w:rsidRDefault="003A497B" w:rsidP="003A497B">
      <w:pPr>
        <w:ind w:firstLine="708"/>
        <w:jc w:val="both"/>
        <w:rPr>
          <w:rFonts w:ascii="Times New Roman" w:hAnsi="Times New Roman" w:cs="Times New Roman"/>
        </w:rPr>
      </w:pPr>
      <w:r w:rsidRPr="000D79F8">
        <w:rPr>
          <w:rFonts w:ascii="Times New Roman" w:hAnsi="Times New Roman" w:cs="Times New Roman"/>
        </w:rPr>
        <w:t>Celkov</w:t>
      </w:r>
      <w:r>
        <w:rPr>
          <w:rFonts w:ascii="Times New Roman" w:hAnsi="Times New Roman" w:cs="Times New Roman"/>
        </w:rPr>
        <w:t>é obranné výdavky sú na rok 2019 rozpočtované vo výške 1,73</w:t>
      </w:r>
      <w:r w:rsidRPr="000D79F8">
        <w:rPr>
          <w:rFonts w:ascii="Times New Roman" w:hAnsi="Times New Roman" w:cs="Times New Roman"/>
        </w:rPr>
        <w:t xml:space="preserve"> % HDP, vrátane výdavkov ostatných kapitol </w:t>
      </w:r>
      <w:r>
        <w:rPr>
          <w:rFonts w:ascii="Times New Roman" w:hAnsi="Times New Roman" w:cs="Times New Roman"/>
        </w:rPr>
        <w:t xml:space="preserve">štátneho rozpočtu </w:t>
      </w:r>
      <w:r w:rsidRPr="000D79F8">
        <w:rPr>
          <w:rFonts w:ascii="Times New Roman" w:hAnsi="Times New Roman" w:cs="Times New Roman"/>
        </w:rPr>
        <w:t xml:space="preserve">v rámci medzirezortných programov Podpora obrany, Hospodárska mobilizácia a Vysielanie civilných expertov do aktivít krízového manažmentu mimo územia SR. </w:t>
      </w:r>
    </w:p>
    <w:p w:rsidR="003A497B" w:rsidRPr="000D79F8" w:rsidRDefault="003A497B" w:rsidP="003A497B">
      <w:pPr>
        <w:ind w:firstLine="708"/>
        <w:jc w:val="both"/>
        <w:rPr>
          <w:rFonts w:ascii="Times New Roman" w:hAnsi="Times New Roman" w:cs="Times New Roman"/>
        </w:rPr>
      </w:pPr>
    </w:p>
    <w:tbl>
      <w:tblPr>
        <w:tblW w:w="9067" w:type="dxa"/>
        <w:tblLayout w:type="fixed"/>
        <w:tblCellMar>
          <w:left w:w="70" w:type="dxa"/>
          <w:right w:w="70" w:type="dxa"/>
        </w:tblCellMar>
        <w:tblLook w:val="04A0" w:firstRow="1" w:lastRow="0" w:firstColumn="1" w:lastColumn="0" w:noHBand="0" w:noVBand="1"/>
      </w:tblPr>
      <w:tblGrid>
        <w:gridCol w:w="2405"/>
        <w:gridCol w:w="951"/>
        <w:gridCol w:w="952"/>
        <w:gridCol w:w="952"/>
        <w:gridCol w:w="951"/>
        <w:gridCol w:w="952"/>
        <w:gridCol w:w="952"/>
        <w:gridCol w:w="952"/>
      </w:tblGrid>
      <w:tr w:rsidR="003A497B" w:rsidRPr="00544A07" w:rsidTr="003E1809">
        <w:trPr>
          <w:trHeight w:val="255"/>
        </w:trPr>
        <w:tc>
          <w:tcPr>
            <w:tcW w:w="240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544A07" w:rsidRDefault="003A497B" w:rsidP="003E1809">
            <w:pPr>
              <w:rPr>
                <w:rFonts w:ascii="Times New Roman" w:hAnsi="Times New Roman" w:cs="Times New Roman"/>
                <w:b/>
                <w:bCs/>
                <w:color w:val="000000"/>
                <w:sz w:val="14"/>
                <w:szCs w:val="14"/>
                <w:lang w:eastAsia="sk-SK"/>
              </w:rPr>
            </w:pPr>
            <w:r w:rsidRPr="00544A07">
              <w:rPr>
                <w:rFonts w:ascii="Times New Roman" w:hAnsi="Times New Roman" w:cs="Times New Roman"/>
                <w:b/>
                <w:bCs/>
                <w:color w:val="000000"/>
                <w:sz w:val="14"/>
                <w:szCs w:val="14"/>
                <w:lang w:eastAsia="sk-SK"/>
              </w:rPr>
              <w:t>v eurách</w:t>
            </w:r>
          </w:p>
        </w:tc>
        <w:tc>
          <w:tcPr>
            <w:tcW w:w="951"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8D1601" w:rsidRDefault="003A497B" w:rsidP="003E1809">
            <w:pPr>
              <w:jc w:val="center"/>
              <w:rPr>
                <w:rFonts w:ascii="Times New Roman" w:hAnsi="Times New Roman" w:cs="Times New Roman"/>
                <w:b/>
                <w:bCs/>
                <w:color w:val="000000"/>
                <w:sz w:val="14"/>
                <w:szCs w:val="14"/>
                <w:lang w:eastAsia="sk-SK"/>
              </w:rPr>
            </w:pPr>
            <w:r w:rsidRPr="008D1601">
              <w:rPr>
                <w:rFonts w:ascii="Times New Roman" w:hAnsi="Times New Roman" w:cs="Times New Roman"/>
                <w:b/>
                <w:bCs/>
                <w:color w:val="000000"/>
                <w:sz w:val="14"/>
                <w:szCs w:val="14"/>
              </w:rPr>
              <w:t>2016 S</w:t>
            </w:r>
          </w:p>
        </w:tc>
        <w:tc>
          <w:tcPr>
            <w:tcW w:w="95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8D1601" w:rsidRDefault="003A497B" w:rsidP="003E1809">
            <w:pPr>
              <w:jc w:val="center"/>
              <w:rPr>
                <w:rFonts w:ascii="Times New Roman" w:hAnsi="Times New Roman" w:cs="Times New Roman"/>
                <w:b/>
                <w:bCs/>
                <w:color w:val="000000"/>
                <w:sz w:val="14"/>
                <w:szCs w:val="14"/>
              </w:rPr>
            </w:pPr>
            <w:r w:rsidRPr="008D1601">
              <w:rPr>
                <w:rFonts w:ascii="Times New Roman" w:hAnsi="Times New Roman" w:cs="Times New Roman"/>
                <w:b/>
                <w:bCs/>
                <w:color w:val="000000"/>
                <w:sz w:val="14"/>
                <w:szCs w:val="14"/>
              </w:rPr>
              <w:t>2017 S</w:t>
            </w:r>
          </w:p>
        </w:tc>
        <w:tc>
          <w:tcPr>
            <w:tcW w:w="95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8D1601" w:rsidRDefault="003A497B" w:rsidP="003E1809">
            <w:pPr>
              <w:jc w:val="center"/>
              <w:rPr>
                <w:rFonts w:ascii="Times New Roman" w:hAnsi="Times New Roman" w:cs="Times New Roman"/>
                <w:b/>
                <w:bCs/>
                <w:color w:val="000000"/>
                <w:sz w:val="14"/>
                <w:szCs w:val="14"/>
              </w:rPr>
            </w:pPr>
            <w:r w:rsidRPr="008D1601">
              <w:rPr>
                <w:rFonts w:ascii="Times New Roman" w:hAnsi="Times New Roman" w:cs="Times New Roman"/>
                <w:b/>
                <w:bCs/>
                <w:color w:val="000000"/>
                <w:sz w:val="14"/>
                <w:szCs w:val="14"/>
              </w:rPr>
              <w:t>2018 R</w:t>
            </w:r>
          </w:p>
        </w:tc>
        <w:tc>
          <w:tcPr>
            <w:tcW w:w="951"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8D1601" w:rsidRDefault="003A497B" w:rsidP="003E1809">
            <w:pPr>
              <w:jc w:val="center"/>
              <w:rPr>
                <w:rFonts w:ascii="Times New Roman" w:hAnsi="Times New Roman" w:cs="Times New Roman"/>
                <w:b/>
                <w:bCs/>
                <w:color w:val="000000"/>
                <w:sz w:val="14"/>
                <w:szCs w:val="14"/>
              </w:rPr>
            </w:pPr>
            <w:r w:rsidRPr="008D1601">
              <w:rPr>
                <w:rFonts w:ascii="Times New Roman" w:hAnsi="Times New Roman" w:cs="Times New Roman"/>
                <w:b/>
                <w:bCs/>
                <w:color w:val="000000"/>
                <w:sz w:val="14"/>
                <w:szCs w:val="14"/>
              </w:rPr>
              <w:t>2018 OS</w:t>
            </w:r>
          </w:p>
        </w:tc>
        <w:tc>
          <w:tcPr>
            <w:tcW w:w="95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8D1601" w:rsidRDefault="003A497B" w:rsidP="003E1809">
            <w:pPr>
              <w:jc w:val="center"/>
              <w:rPr>
                <w:rFonts w:ascii="Times New Roman" w:hAnsi="Times New Roman" w:cs="Times New Roman"/>
                <w:b/>
                <w:bCs/>
                <w:color w:val="000000"/>
                <w:sz w:val="14"/>
                <w:szCs w:val="14"/>
              </w:rPr>
            </w:pPr>
            <w:r w:rsidRPr="008D1601">
              <w:rPr>
                <w:rFonts w:ascii="Times New Roman" w:hAnsi="Times New Roman" w:cs="Times New Roman"/>
                <w:b/>
                <w:bCs/>
                <w:color w:val="000000"/>
                <w:sz w:val="14"/>
                <w:szCs w:val="14"/>
              </w:rPr>
              <w:t>2019 N</w:t>
            </w:r>
          </w:p>
        </w:tc>
        <w:tc>
          <w:tcPr>
            <w:tcW w:w="95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3A497B" w:rsidRPr="008D1601" w:rsidRDefault="003A497B" w:rsidP="003E1809">
            <w:pPr>
              <w:jc w:val="center"/>
              <w:rPr>
                <w:rFonts w:ascii="Times New Roman" w:hAnsi="Times New Roman" w:cs="Times New Roman"/>
                <w:b/>
                <w:bCs/>
                <w:color w:val="000000"/>
                <w:sz w:val="14"/>
                <w:szCs w:val="14"/>
              </w:rPr>
            </w:pPr>
            <w:r w:rsidRPr="008D1601">
              <w:rPr>
                <w:rFonts w:ascii="Times New Roman" w:hAnsi="Times New Roman" w:cs="Times New Roman"/>
                <w:b/>
                <w:bCs/>
                <w:color w:val="000000"/>
                <w:sz w:val="14"/>
                <w:szCs w:val="14"/>
              </w:rPr>
              <w:t>2020 N</w:t>
            </w:r>
          </w:p>
        </w:tc>
        <w:tc>
          <w:tcPr>
            <w:tcW w:w="95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8D1601" w:rsidRDefault="003A497B" w:rsidP="003E1809">
            <w:pPr>
              <w:jc w:val="center"/>
              <w:rPr>
                <w:rFonts w:ascii="Times New Roman" w:hAnsi="Times New Roman" w:cs="Times New Roman"/>
                <w:b/>
                <w:bCs/>
                <w:color w:val="000000"/>
                <w:sz w:val="14"/>
                <w:szCs w:val="14"/>
              </w:rPr>
            </w:pPr>
            <w:r w:rsidRPr="008D1601">
              <w:rPr>
                <w:rFonts w:ascii="Times New Roman" w:hAnsi="Times New Roman" w:cs="Times New Roman"/>
                <w:b/>
                <w:bCs/>
                <w:color w:val="000000"/>
                <w:sz w:val="14"/>
                <w:szCs w:val="14"/>
              </w:rPr>
              <w:t>2021 N</w:t>
            </w:r>
          </w:p>
        </w:tc>
      </w:tr>
      <w:tr w:rsidR="003A497B" w:rsidRPr="00544A07" w:rsidTr="003E1809">
        <w:trPr>
          <w:trHeight w:val="255"/>
        </w:trPr>
        <w:tc>
          <w:tcPr>
            <w:tcW w:w="2405"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A497B" w:rsidRPr="00544A07" w:rsidRDefault="003A497B" w:rsidP="003E1809">
            <w:pPr>
              <w:rPr>
                <w:rFonts w:ascii="Times New Roman" w:hAnsi="Times New Roman" w:cs="Times New Roman"/>
                <w:b/>
                <w:bCs/>
                <w:color w:val="000000"/>
                <w:sz w:val="14"/>
                <w:szCs w:val="14"/>
                <w:lang w:eastAsia="sk-SK"/>
              </w:rPr>
            </w:pPr>
            <w:r w:rsidRPr="00544A07">
              <w:rPr>
                <w:rFonts w:ascii="Times New Roman" w:hAnsi="Times New Roman" w:cs="Times New Roman"/>
                <w:b/>
                <w:bCs/>
                <w:color w:val="000000"/>
                <w:sz w:val="14"/>
                <w:szCs w:val="14"/>
                <w:lang w:eastAsia="sk-SK"/>
              </w:rPr>
              <w:t>Obranné výdavky celkom</w:t>
            </w:r>
          </w:p>
        </w:tc>
        <w:tc>
          <w:tcPr>
            <w:tcW w:w="951"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3A497B" w:rsidRPr="008D1601" w:rsidRDefault="003A497B" w:rsidP="003E1809">
            <w:pPr>
              <w:jc w:val="right"/>
              <w:rPr>
                <w:rFonts w:ascii="Times New Roman" w:hAnsi="Times New Roman" w:cs="Times New Roman"/>
                <w:b/>
                <w:bCs/>
                <w:color w:val="000000"/>
                <w:sz w:val="14"/>
                <w:szCs w:val="14"/>
              </w:rPr>
            </w:pPr>
            <w:r w:rsidRPr="008D1601">
              <w:rPr>
                <w:rFonts w:ascii="Times New Roman" w:hAnsi="Times New Roman" w:cs="Times New Roman"/>
                <w:b/>
                <w:bCs/>
                <w:color w:val="000000"/>
                <w:sz w:val="14"/>
                <w:szCs w:val="14"/>
              </w:rPr>
              <w:t>913 379 679</w:t>
            </w:r>
          </w:p>
        </w:tc>
        <w:tc>
          <w:tcPr>
            <w:tcW w:w="952" w:type="dxa"/>
            <w:tcBorders>
              <w:top w:val="nil"/>
              <w:left w:val="nil"/>
              <w:bottom w:val="single" w:sz="4" w:space="0" w:color="auto"/>
              <w:right w:val="single" w:sz="4" w:space="0" w:color="auto"/>
            </w:tcBorders>
            <w:shd w:val="clear" w:color="auto" w:fill="BFBFBF" w:themeFill="background1" w:themeFillShade="BF"/>
            <w:vAlign w:val="bottom"/>
            <w:hideMark/>
          </w:tcPr>
          <w:p w:rsidR="003A497B" w:rsidRPr="008D1601" w:rsidRDefault="003A497B" w:rsidP="003E1809">
            <w:pPr>
              <w:jc w:val="right"/>
              <w:rPr>
                <w:rFonts w:ascii="Times New Roman" w:hAnsi="Times New Roman" w:cs="Times New Roman"/>
                <w:b/>
                <w:bCs/>
                <w:color w:val="000000"/>
                <w:sz w:val="14"/>
                <w:szCs w:val="14"/>
              </w:rPr>
            </w:pPr>
            <w:r w:rsidRPr="008D1601">
              <w:rPr>
                <w:rFonts w:ascii="Times New Roman" w:hAnsi="Times New Roman" w:cs="Times New Roman"/>
                <w:b/>
                <w:bCs/>
                <w:color w:val="000000"/>
                <w:sz w:val="14"/>
                <w:szCs w:val="14"/>
              </w:rPr>
              <w:t>941 113 393</w:t>
            </w:r>
          </w:p>
        </w:tc>
        <w:tc>
          <w:tcPr>
            <w:tcW w:w="952" w:type="dxa"/>
            <w:tcBorders>
              <w:top w:val="nil"/>
              <w:left w:val="nil"/>
              <w:bottom w:val="single" w:sz="4" w:space="0" w:color="auto"/>
              <w:right w:val="single" w:sz="4" w:space="0" w:color="auto"/>
            </w:tcBorders>
            <w:shd w:val="clear" w:color="auto" w:fill="BFBFBF" w:themeFill="background1" w:themeFillShade="BF"/>
            <w:vAlign w:val="bottom"/>
            <w:hideMark/>
          </w:tcPr>
          <w:p w:rsidR="003A497B" w:rsidRPr="008D1601" w:rsidRDefault="003A497B" w:rsidP="003E1809">
            <w:pPr>
              <w:jc w:val="right"/>
              <w:rPr>
                <w:rFonts w:ascii="Times New Roman" w:hAnsi="Times New Roman" w:cs="Times New Roman"/>
                <w:b/>
                <w:bCs/>
                <w:color w:val="000000"/>
                <w:sz w:val="14"/>
                <w:szCs w:val="14"/>
              </w:rPr>
            </w:pPr>
            <w:r w:rsidRPr="008D1601">
              <w:rPr>
                <w:rFonts w:ascii="Times New Roman" w:hAnsi="Times New Roman" w:cs="Times New Roman"/>
                <w:b/>
                <w:bCs/>
                <w:color w:val="000000"/>
                <w:sz w:val="14"/>
                <w:szCs w:val="14"/>
              </w:rPr>
              <w:t>1 090 552 015</w:t>
            </w:r>
          </w:p>
        </w:tc>
        <w:tc>
          <w:tcPr>
            <w:tcW w:w="951" w:type="dxa"/>
            <w:tcBorders>
              <w:top w:val="nil"/>
              <w:left w:val="nil"/>
              <w:bottom w:val="single" w:sz="4" w:space="0" w:color="auto"/>
              <w:right w:val="single" w:sz="4" w:space="0" w:color="auto"/>
            </w:tcBorders>
            <w:shd w:val="clear" w:color="auto" w:fill="BFBFBF" w:themeFill="background1" w:themeFillShade="BF"/>
            <w:vAlign w:val="bottom"/>
            <w:hideMark/>
          </w:tcPr>
          <w:p w:rsidR="003A497B" w:rsidRPr="008D1601" w:rsidRDefault="003A497B" w:rsidP="003E1809">
            <w:pPr>
              <w:jc w:val="right"/>
              <w:rPr>
                <w:rFonts w:ascii="Times New Roman" w:hAnsi="Times New Roman" w:cs="Times New Roman"/>
                <w:b/>
                <w:bCs/>
                <w:color w:val="000000"/>
                <w:sz w:val="14"/>
                <w:szCs w:val="14"/>
              </w:rPr>
            </w:pPr>
            <w:r w:rsidRPr="008D1601">
              <w:rPr>
                <w:rFonts w:ascii="Times New Roman" w:hAnsi="Times New Roman" w:cs="Times New Roman"/>
                <w:b/>
                <w:bCs/>
                <w:color w:val="000000"/>
                <w:sz w:val="14"/>
                <w:szCs w:val="14"/>
              </w:rPr>
              <w:t>1 110 399 223</w:t>
            </w:r>
          </w:p>
        </w:tc>
        <w:tc>
          <w:tcPr>
            <w:tcW w:w="9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3A497B" w:rsidRPr="00F06A09" w:rsidRDefault="003A497B" w:rsidP="003E1809">
            <w:pPr>
              <w:jc w:val="right"/>
              <w:rPr>
                <w:rFonts w:ascii="Times New Roman" w:hAnsi="Times New Roman" w:cs="Times New Roman"/>
                <w:b/>
                <w:bCs/>
                <w:color w:val="000000"/>
                <w:sz w:val="14"/>
                <w:szCs w:val="14"/>
                <w:lang w:eastAsia="sk-SK"/>
              </w:rPr>
            </w:pPr>
            <w:r w:rsidRPr="00F06A09">
              <w:rPr>
                <w:rFonts w:ascii="Times New Roman" w:hAnsi="Times New Roman" w:cs="Times New Roman"/>
                <w:b/>
                <w:bCs/>
                <w:color w:val="000000"/>
                <w:sz w:val="14"/>
                <w:szCs w:val="14"/>
              </w:rPr>
              <w:t>1 671 387 880</w:t>
            </w:r>
          </w:p>
        </w:tc>
        <w:tc>
          <w:tcPr>
            <w:tcW w:w="95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F06A09" w:rsidRDefault="003A497B" w:rsidP="003E1809">
            <w:pPr>
              <w:jc w:val="right"/>
              <w:rPr>
                <w:rFonts w:ascii="Times New Roman" w:hAnsi="Times New Roman" w:cs="Times New Roman"/>
                <w:b/>
                <w:bCs/>
                <w:color w:val="000000"/>
                <w:sz w:val="14"/>
                <w:szCs w:val="14"/>
              </w:rPr>
            </w:pPr>
            <w:r w:rsidRPr="00F06A09">
              <w:rPr>
                <w:rFonts w:ascii="Times New Roman" w:hAnsi="Times New Roman" w:cs="Times New Roman"/>
                <w:b/>
                <w:bCs/>
                <w:color w:val="000000"/>
                <w:sz w:val="14"/>
                <w:szCs w:val="14"/>
              </w:rPr>
              <w:t>1 866 165 849</w:t>
            </w:r>
          </w:p>
        </w:tc>
        <w:tc>
          <w:tcPr>
            <w:tcW w:w="95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F06A09" w:rsidRDefault="003A497B" w:rsidP="003E1809">
            <w:pPr>
              <w:jc w:val="right"/>
              <w:rPr>
                <w:rFonts w:ascii="Times New Roman" w:hAnsi="Times New Roman" w:cs="Times New Roman"/>
                <w:b/>
                <w:bCs/>
                <w:color w:val="000000"/>
                <w:sz w:val="14"/>
                <w:szCs w:val="14"/>
              </w:rPr>
            </w:pPr>
            <w:r w:rsidRPr="00F06A09">
              <w:rPr>
                <w:rFonts w:ascii="Times New Roman" w:hAnsi="Times New Roman" w:cs="Times New Roman"/>
                <w:b/>
                <w:bCs/>
                <w:color w:val="000000"/>
                <w:sz w:val="14"/>
                <w:szCs w:val="14"/>
              </w:rPr>
              <w:t>2 084 952 114</w:t>
            </w:r>
          </w:p>
        </w:tc>
      </w:tr>
      <w:tr w:rsidR="003A497B" w:rsidRPr="00544A07" w:rsidTr="003E1809">
        <w:trPr>
          <w:trHeight w:val="255"/>
        </w:trPr>
        <w:tc>
          <w:tcPr>
            <w:tcW w:w="2405"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A497B" w:rsidRPr="00544A07" w:rsidRDefault="003A497B" w:rsidP="003E1809">
            <w:pPr>
              <w:rPr>
                <w:rFonts w:ascii="Times New Roman" w:hAnsi="Times New Roman" w:cs="Times New Roman"/>
                <w:b/>
                <w:bCs/>
                <w:color w:val="000000"/>
                <w:sz w:val="14"/>
                <w:szCs w:val="14"/>
                <w:lang w:eastAsia="sk-SK"/>
              </w:rPr>
            </w:pPr>
            <w:r w:rsidRPr="00544A07">
              <w:rPr>
                <w:rFonts w:ascii="Times New Roman" w:hAnsi="Times New Roman" w:cs="Times New Roman"/>
                <w:b/>
                <w:bCs/>
                <w:color w:val="000000"/>
                <w:sz w:val="14"/>
                <w:szCs w:val="14"/>
                <w:lang w:eastAsia="sk-SK"/>
              </w:rPr>
              <w:t>Podiel na HDP v %</w:t>
            </w:r>
          </w:p>
        </w:tc>
        <w:tc>
          <w:tcPr>
            <w:tcW w:w="951"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3A497B" w:rsidRPr="008D1601" w:rsidRDefault="003A497B" w:rsidP="003E1809">
            <w:pPr>
              <w:jc w:val="right"/>
              <w:rPr>
                <w:rFonts w:ascii="Times New Roman" w:hAnsi="Times New Roman" w:cs="Times New Roman"/>
                <w:b/>
                <w:bCs/>
                <w:color w:val="000000"/>
                <w:sz w:val="14"/>
                <w:szCs w:val="14"/>
              </w:rPr>
            </w:pPr>
            <w:r w:rsidRPr="008D1601">
              <w:rPr>
                <w:rFonts w:ascii="Times New Roman" w:hAnsi="Times New Roman" w:cs="Times New Roman"/>
                <w:b/>
                <w:bCs/>
                <w:color w:val="000000"/>
                <w:sz w:val="14"/>
                <w:szCs w:val="14"/>
              </w:rPr>
              <w:t>1,13%</w:t>
            </w:r>
          </w:p>
        </w:tc>
        <w:tc>
          <w:tcPr>
            <w:tcW w:w="952" w:type="dxa"/>
            <w:tcBorders>
              <w:top w:val="nil"/>
              <w:left w:val="nil"/>
              <w:bottom w:val="single" w:sz="4" w:space="0" w:color="auto"/>
              <w:right w:val="single" w:sz="4" w:space="0" w:color="auto"/>
            </w:tcBorders>
            <w:shd w:val="clear" w:color="auto" w:fill="BFBFBF" w:themeFill="background1" w:themeFillShade="BF"/>
            <w:vAlign w:val="bottom"/>
            <w:hideMark/>
          </w:tcPr>
          <w:p w:rsidR="003A497B" w:rsidRPr="008D1601" w:rsidRDefault="003A497B" w:rsidP="003E1809">
            <w:pPr>
              <w:jc w:val="right"/>
              <w:rPr>
                <w:rFonts w:ascii="Times New Roman" w:hAnsi="Times New Roman" w:cs="Times New Roman"/>
                <w:b/>
                <w:bCs/>
                <w:color w:val="000000"/>
                <w:sz w:val="14"/>
                <w:szCs w:val="14"/>
              </w:rPr>
            </w:pPr>
            <w:r w:rsidRPr="008D1601">
              <w:rPr>
                <w:rFonts w:ascii="Times New Roman" w:hAnsi="Times New Roman" w:cs="Times New Roman"/>
                <w:b/>
                <w:bCs/>
                <w:color w:val="000000"/>
                <w:sz w:val="14"/>
                <w:szCs w:val="14"/>
              </w:rPr>
              <w:t>1,11%</w:t>
            </w:r>
          </w:p>
        </w:tc>
        <w:tc>
          <w:tcPr>
            <w:tcW w:w="952" w:type="dxa"/>
            <w:tcBorders>
              <w:top w:val="nil"/>
              <w:left w:val="nil"/>
              <w:bottom w:val="single" w:sz="4" w:space="0" w:color="auto"/>
              <w:right w:val="single" w:sz="4" w:space="0" w:color="auto"/>
            </w:tcBorders>
            <w:shd w:val="clear" w:color="auto" w:fill="BFBFBF" w:themeFill="background1" w:themeFillShade="BF"/>
            <w:vAlign w:val="bottom"/>
            <w:hideMark/>
          </w:tcPr>
          <w:p w:rsidR="003A497B" w:rsidRPr="008D1601" w:rsidRDefault="003A497B" w:rsidP="003E1809">
            <w:pPr>
              <w:jc w:val="right"/>
              <w:rPr>
                <w:rFonts w:ascii="Times New Roman" w:hAnsi="Times New Roman" w:cs="Times New Roman"/>
                <w:b/>
                <w:bCs/>
                <w:color w:val="000000"/>
                <w:sz w:val="14"/>
                <w:szCs w:val="14"/>
              </w:rPr>
            </w:pPr>
            <w:r w:rsidRPr="008D1601">
              <w:rPr>
                <w:rFonts w:ascii="Times New Roman" w:hAnsi="Times New Roman" w:cs="Times New Roman"/>
                <w:b/>
                <w:bCs/>
                <w:color w:val="000000"/>
                <w:sz w:val="14"/>
                <w:szCs w:val="14"/>
              </w:rPr>
              <w:t>1,22%</w:t>
            </w:r>
          </w:p>
        </w:tc>
        <w:tc>
          <w:tcPr>
            <w:tcW w:w="951" w:type="dxa"/>
            <w:tcBorders>
              <w:top w:val="nil"/>
              <w:left w:val="nil"/>
              <w:bottom w:val="single" w:sz="4" w:space="0" w:color="auto"/>
              <w:right w:val="single" w:sz="4" w:space="0" w:color="auto"/>
            </w:tcBorders>
            <w:shd w:val="clear" w:color="auto" w:fill="BFBFBF" w:themeFill="background1" w:themeFillShade="BF"/>
            <w:vAlign w:val="bottom"/>
            <w:hideMark/>
          </w:tcPr>
          <w:p w:rsidR="003A497B" w:rsidRPr="008D1601" w:rsidRDefault="003A497B" w:rsidP="003E1809">
            <w:pPr>
              <w:jc w:val="right"/>
              <w:rPr>
                <w:rFonts w:ascii="Times New Roman" w:hAnsi="Times New Roman" w:cs="Times New Roman"/>
                <w:b/>
                <w:bCs/>
                <w:color w:val="000000"/>
                <w:sz w:val="14"/>
                <w:szCs w:val="14"/>
              </w:rPr>
            </w:pPr>
            <w:r w:rsidRPr="008D1601">
              <w:rPr>
                <w:rFonts w:ascii="Times New Roman" w:hAnsi="Times New Roman" w:cs="Times New Roman"/>
                <w:b/>
                <w:bCs/>
                <w:color w:val="000000"/>
                <w:sz w:val="14"/>
                <w:szCs w:val="14"/>
              </w:rPr>
              <w:t>1,23%</w:t>
            </w:r>
          </w:p>
        </w:tc>
        <w:tc>
          <w:tcPr>
            <w:tcW w:w="952"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3A497B" w:rsidRPr="00F06A09" w:rsidRDefault="003A497B" w:rsidP="003E1809">
            <w:pPr>
              <w:jc w:val="right"/>
              <w:rPr>
                <w:rFonts w:ascii="Times New Roman" w:hAnsi="Times New Roman" w:cs="Times New Roman"/>
                <w:b/>
                <w:bCs/>
                <w:color w:val="000000"/>
                <w:sz w:val="14"/>
                <w:szCs w:val="14"/>
              </w:rPr>
            </w:pPr>
            <w:r w:rsidRPr="00F06A09">
              <w:rPr>
                <w:rFonts w:ascii="Times New Roman" w:hAnsi="Times New Roman" w:cs="Times New Roman"/>
                <w:b/>
                <w:bCs/>
                <w:color w:val="000000"/>
                <w:sz w:val="14"/>
                <w:szCs w:val="14"/>
              </w:rPr>
              <w:t>1,73%</w:t>
            </w:r>
          </w:p>
        </w:tc>
        <w:tc>
          <w:tcPr>
            <w:tcW w:w="952" w:type="dxa"/>
            <w:tcBorders>
              <w:top w:val="nil"/>
              <w:left w:val="nil"/>
              <w:bottom w:val="single" w:sz="4" w:space="0" w:color="auto"/>
              <w:right w:val="single" w:sz="4" w:space="0" w:color="auto"/>
            </w:tcBorders>
            <w:shd w:val="clear" w:color="auto" w:fill="BFBFBF" w:themeFill="background1" w:themeFillShade="BF"/>
            <w:vAlign w:val="bottom"/>
            <w:hideMark/>
          </w:tcPr>
          <w:p w:rsidR="003A497B" w:rsidRPr="00F06A09" w:rsidRDefault="003A497B" w:rsidP="003E1809">
            <w:pPr>
              <w:jc w:val="right"/>
              <w:rPr>
                <w:rFonts w:ascii="Times New Roman" w:hAnsi="Times New Roman" w:cs="Times New Roman"/>
                <w:b/>
                <w:bCs/>
                <w:color w:val="000000"/>
                <w:sz w:val="14"/>
                <w:szCs w:val="14"/>
              </w:rPr>
            </w:pPr>
            <w:r w:rsidRPr="00F06A09">
              <w:rPr>
                <w:rFonts w:ascii="Times New Roman" w:hAnsi="Times New Roman" w:cs="Times New Roman"/>
                <w:b/>
                <w:bCs/>
                <w:color w:val="000000"/>
                <w:sz w:val="14"/>
                <w:szCs w:val="14"/>
              </w:rPr>
              <w:t>1,81%</w:t>
            </w:r>
          </w:p>
        </w:tc>
        <w:tc>
          <w:tcPr>
            <w:tcW w:w="952" w:type="dxa"/>
            <w:tcBorders>
              <w:top w:val="nil"/>
              <w:left w:val="nil"/>
              <w:bottom w:val="single" w:sz="4" w:space="0" w:color="auto"/>
              <w:right w:val="single" w:sz="4" w:space="0" w:color="auto"/>
            </w:tcBorders>
            <w:shd w:val="clear" w:color="auto" w:fill="BFBFBF" w:themeFill="background1" w:themeFillShade="BF"/>
            <w:vAlign w:val="bottom"/>
            <w:hideMark/>
          </w:tcPr>
          <w:p w:rsidR="003A497B" w:rsidRPr="00F06A09" w:rsidRDefault="003A497B" w:rsidP="003E1809">
            <w:pPr>
              <w:jc w:val="right"/>
              <w:rPr>
                <w:rFonts w:ascii="Times New Roman" w:hAnsi="Times New Roman" w:cs="Times New Roman"/>
                <w:b/>
                <w:bCs/>
                <w:color w:val="000000"/>
                <w:sz w:val="14"/>
                <w:szCs w:val="14"/>
              </w:rPr>
            </w:pPr>
            <w:r w:rsidRPr="00F06A09">
              <w:rPr>
                <w:rFonts w:ascii="Times New Roman" w:hAnsi="Times New Roman" w:cs="Times New Roman"/>
                <w:b/>
                <w:bCs/>
                <w:color w:val="000000"/>
                <w:sz w:val="14"/>
                <w:szCs w:val="14"/>
              </w:rPr>
              <w:t>1,91%</w:t>
            </w:r>
          </w:p>
        </w:tc>
      </w:tr>
      <w:tr w:rsidR="003A497B" w:rsidRPr="00544A07" w:rsidTr="003E1809">
        <w:trPr>
          <w:trHeight w:val="25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A497B" w:rsidRPr="00544A07" w:rsidRDefault="003A497B" w:rsidP="003E1809">
            <w:pPr>
              <w:rPr>
                <w:rFonts w:ascii="Times New Roman" w:hAnsi="Times New Roman" w:cs="Times New Roman"/>
                <w:color w:val="000000"/>
                <w:sz w:val="14"/>
                <w:szCs w:val="14"/>
                <w:lang w:eastAsia="sk-SK"/>
              </w:rPr>
            </w:pPr>
            <w:r w:rsidRPr="00544A07">
              <w:rPr>
                <w:rFonts w:ascii="Times New Roman" w:hAnsi="Times New Roman" w:cs="Times New Roman"/>
                <w:color w:val="000000"/>
                <w:sz w:val="14"/>
                <w:szCs w:val="14"/>
                <w:lang w:eastAsia="sk-SK"/>
              </w:rPr>
              <w:t>Ministerstvo obrany SR</w:t>
            </w:r>
          </w:p>
        </w:tc>
        <w:tc>
          <w:tcPr>
            <w:tcW w:w="951" w:type="dxa"/>
            <w:tcBorders>
              <w:top w:val="nil"/>
              <w:left w:val="single" w:sz="4" w:space="0" w:color="auto"/>
              <w:bottom w:val="single" w:sz="4" w:space="0" w:color="auto"/>
              <w:right w:val="single" w:sz="4" w:space="0" w:color="auto"/>
            </w:tcBorders>
            <w:shd w:val="clear" w:color="auto" w:fill="auto"/>
            <w:vAlign w:val="bottom"/>
            <w:hideMark/>
          </w:tcPr>
          <w:p w:rsidR="003A497B" w:rsidRPr="008D1601" w:rsidRDefault="003A497B" w:rsidP="003E1809">
            <w:pPr>
              <w:jc w:val="right"/>
              <w:rPr>
                <w:rFonts w:ascii="Times New Roman" w:hAnsi="Times New Roman" w:cs="Times New Roman"/>
                <w:color w:val="000000"/>
                <w:sz w:val="14"/>
                <w:szCs w:val="14"/>
              </w:rPr>
            </w:pPr>
            <w:r w:rsidRPr="008D1601">
              <w:rPr>
                <w:rFonts w:ascii="Times New Roman" w:hAnsi="Times New Roman" w:cs="Times New Roman"/>
                <w:color w:val="000000"/>
                <w:sz w:val="14"/>
                <w:szCs w:val="14"/>
              </w:rPr>
              <w:t>903 891 691</w:t>
            </w:r>
          </w:p>
        </w:tc>
        <w:tc>
          <w:tcPr>
            <w:tcW w:w="952" w:type="dxa"/>
            <w:tcBorders>
              <w:top w:val="nil"/>
              <w:left w:val="nil"/>
              <w:bottom w:val="single" w:sz="4" w:space="0" w:color="auto"/>
              <w:right w:val="single" w:sz="4" w:space="0" w:color="auto"/>
            </w:tcBorders>
            <w:shd w:val="clear" w:color="auto" w:fill="auto"/>
            <w:vAlign w:val="bottom"/>
            <w:hideMark/>
          </w:tcPr>
          <w:p w:rsidR="003A497B" w:rsidRPr="008D1601" w:rsidRDefault="003A497B" w:rsidP="003E1809">
            <w:pPr>
              <w:jc w:val="right"/>
              <w:rPr>
                <w:rFonts w:ascii="Times New Roman" w:hAnsi="Times New Roman" w:cs="Times New Roman"/>
                <w:color w:val="000000"/>
                <w:sz w:val="14"/>
                <w:szCs w:val="14"/>
              </w:rPr>
            </w:pPr>
            <w:r w:rsidRPr="008D1601">
              <w:rPr>
                <w:rFonts w:ascii="Times New Roman" w:hAnsi="Times New Roman" w:cs="Times New Roman"/>
                <w:color w:val="000000"/>
                <w:sz w:val="14"/>
                <w:szCs w:val="14"/>
              </w:rPr>
              <w:t>930 135 030</w:t>
            </w:r>
          </w:p>
        </w:tc>
        <w:tc>
          <w:tcPr>
            <w:tcW w:w="952" w:type="dxa"/>
            <w:tcBorders>
              <w:top w:val="nil"/>
              <w:left w:val="nil"/>
              <w:bottom w:val="single" w:sz="4" w:space="0" w:color="auto"/>
              <w:right w:val="single" w:sz="4" w:space="0" w:color="auto"/>
            </w:tcBorders>
            <w:shd w:val="clear" w:color="auto" w:fill="auto"/>
            <w:vAlign w:val="bottom"/>
            <w:hideMark/>
          </w:tcPr>
          <w:p w:rsidR="003A497B" w:rsidRPr="008D1601" w:rsidRDefault="003A497B" w:rsidP="003E1809">
            <w:pPr>
              <w:jc w:val="right"/>
              <w:rPr>
                <w:rFonts w:ascii="Times New Roman" w:hAnsi="Times New Roman" w:cs="Times New Roman"/>
                <w:color w:val="000000"/>
                <w:sz w:val="14"/>
                <w:szCs w:val="14"/>
              </w:rPr>
            </w:pPr>
            <w:r w:rsidRPr="008D1601">
              <w:rPr>
                <w:rFonts w:ascii="Times New Roman" w:hAnsi="Times New Roman" w:cs="Times New Roman"/>
                <w:color w:val="000000"/>
                <w:sz w:val="14"/>
                <w:szCs w:val="14"/>
              </w:rPr>
              <w:t>1 082 078 792</w:t>
            </w:r>
          </w:p>
        </w:tc>
        <w:tc>
          <w:tcPr>
            <w:tcW w:w="951" w:type="dxa"/>
            <w:tcBorders>
              <w:top w:val="nil"/>
              <w:left w:val="nil"/>
              <w:bottom w:val="single" w:sz="4" w:space="0" w:color="auto"/>
              <w:right w:val="single" w:sz="4" w:space="0" w:color="auto"/>
            </w:tcBorders>
            <w:shd w:val="clear" w:color="auto" w:fill="auto"/>
            <w:vAlign w:val="bottom"/>
            <w:hideMark/>
          </w:tcPr>
          <w:p w:rsidR="003A497B" w:rsidRPr="008D1601" w:rsidRDefault="003A497B" w:rsidP="003E1809">
            <w:pPr>
              <w:jc w:val="right"/>
              <w:rPr>
                <w:rFonts w:ascii="Times New Roman" w:hAnsi="Times New Roman" w:cs="Times New Roman"/>
                <w:color w:val="000000"/>
                <w:sz w:val="14"/>
                <w:szCs w:val="14"/>
              </w:rPr>
            </w:pPr>
            <w:r w:rsidRPr="008D1601">
              <w:rPr>
                <w:rFonts w:ascii="Times New Roman" w:hAnsi="Times New Roman" w:cs="Times New Roman"/>
                <w:color w:val="000000"/>
                <w:sz w:val="14"/>
                <w:szCs w:val="14"/>
              </w:rPr>
              <w:t>1 100 206 919</w:t>
            </w:r>
          </w:p>
        </w:tc>
        <w:tc>
          <w:tcPr>
            <w:tcW w:w="952" w:type="dxa"/>
            <w:tcBorders>
              <w:top w:val="nil"/>
              <w:left w:val="single" w:sz="4" w:space="0" w:color="auto"/>
              <w:bottom w:val="single" w:sz="4" w:space="0" w:color="auto"/>
              <w:right w:val="single" w:sz="4" w:space="0" w:color="auto"/>
            </w:tcBorders>
            <w:shd w:val="clear" w:color="auto" w:fill="auto"/>
            <w:vAlign w:val="bottom"/>
            <w:hideMark/>
          </w:tcPr>
          <w:p w:rsidR="003A497B" w:rsidRPr="00F06A09" w:rsidRDefault="003A497B" w:rsidP="003E1809">
            <w:pPr>
              <w:jc w:val="right"/>
              <w:rPr>
                <w:rFonts w:ascii="Times New Roman" w:hAnsi="Times New Roman" w:cs="Times New Roman"/>
                <w:color w:val="000000"/>
                <w:sz w:val="14"/>
                <w:szCs w:val="14"/>
              </w:rPr>
            </w:pPr>
            <w:r w:rsidRPr="00F06A09">
              <w:rPr>
                <w:rFonts w:ascii="Times New Roman" w:hAnsi="Times New Roman" w:cs="Times New Roman"/>
                <w:color w:val="000000"/>
                <w:sz w:val="14"/>
                <w:szCs w:val="14"/>
              </w:rPr>
              <w:t>1 662 684 235</w:t>
            </w:r>
          </w:p>
        </w:tc>
        <w:tc>
          <w:tcPr>
            <w:tcW w:w="952" w:type="dxa"/>
            <w:tcBorders>
              <w:top w:val="nil"/>
              <w:left w:val="nil"/>
              <w:bottom w:val="single" w:sz="4" w:space="0" w:color="auto"/>
              <w:right w:val="single" w:sz="4" w:space="0" w:color="auto"/>
            </w:tcBorders>
            <w:shd w:val="clear" w:color="auto" w:fill="auto"/>
            <w:vAlign w:val="bottom"/>
            <w:hideMark/>
          </w:tcPr>
          <w:p w:rsidR="003A497B" w:rsidRPr="00F06A09" w:rsidRDefault="003A497B" w:rsidP="003E1809">
            <w:pPr>
              <w:jc w:val="right"/>
              <w:rPr>
                <w:rFonts w:ascii="Times New Roman" w:hAnsi="Times New Roman" w:cs="Times New Roman"/>
                <w:color w:val="000000"/>
                <w:sz w:val="14"/>
                <w:szCs w:val="14"/>
              </w:rPr>
            </w:pPr>
            <w:r w:rsidRPr="00F06A09">
              <w:rPr>
                <w:rFonts w:ascii="Times New Roman" w:hAnsi="Times New Roman" w:cs="Times New Roman"/>
                <w:color w:val="000000"/>
                <w:sz w:val="14"/>
                <w:szCs w:val="14"/>
              </w:rPr>
              <w:t>1 857 395 204</w:t>
            </w:r>
          </w:p>
        </w:tc>
        <w:tc>
          <w:tcPr>
            <w:tcW w:w="952" w:type="dxa"/>
            <w:tcBorders>
              <w:top w:val="nil"/>
              <w:left w:val="nil"/>
              <w:bottom w:val="single" w:sz="4" w:space="0" w:color="auto"/>
              <w:right w:val="single" w:sz="4" w:space="0" w:color="auto"/>
            </w:tcBorders>
            <w:shd w:val="clear" w:color="auto" w:fill="auto"/>
            <w:vAlign w:val="bottom"/>
            <w:hideMark/>
          </w:tcPr>
          <w:p w:rsidR="003A497B" w:rsidRPr="00F06A09" w:rsidRDefault="003A497B" w:rsidP="003E1809">
            <w:pPr>
              <w:jc w:val="right"/>
              <w:rPr>
                <w:rFonts w:ascii="Times New Roman" w:hAnsi="Times New Roman" w:cs="Times New Roman"/>
                <w:color w:val="000000"/>
                <w:sz w:val="14"/>
                <w:szCs w:val="14"/>
              </w:rPr>
            </w:pPr>
            <w:r w:rsidRPr="00F06A09">
              <w:rPr>
                <w:rFonts w:ascii="Times New Roman" w:hAnsi="Times New Roman" w:cs="Times New Roman"/>
                <w:color w:val="000000"/>
                <w:sz w:val="14"/>
                <w:szCs w:val="14"/>
              </w:rPr>
              <w:t>2 076 184 469</w:t>
            </w:r>
          </w:p>
        </w:tc>
      </w:tr>
      <w:tr w:rsidR="003A497B" w:rsidRPr="00544A07" w:rsidTr="003E1809">
        <w:trPr>
          <w:trHeight w:val="25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A497B" w:rsidRPr="00544A07" w:rsidRDefault="003A497B" w:rsidP="003E1809">
            <w:pPr>
              <w:rPr>
                <w:rFonts w:ascii="Times New Roman" w:hAnsi="Times New Roman" w:cs="Times New Roman"/>
                <w:color w:val="000000"/>
                <w:sz w:val="14"/>
                <w:szCs w:val="14"/>
                <w:lang w:eastAsia="sk-SK"/>
              </w:rPr>
            </w:pPr>
            <w:r w:rsidRPr="00544A07">
              <w:rPr>
                <w:rFonts w:ascii="Times New Roman" w:hAnsi="Times New Roman" w:cs="Times New Roman"/>
                <w:color w:val="000000"/>
                <w:sz w:val="14"/>
                <w:szCs w:val="14"/>
                <w:lang w:eastAsia="sk-SK"/>
              </w:rPr>
              <w:t>Podpora obrany</w:t>
            </w:r>
          </w:p>
        </w:tc>
        <w:tc>
          <w:tcPr>
            <w:tcW w:w="951" w:type="dxa"/>
            <w:tcBorders>
              <w:top w:val="nil"/>
              <w:left w:val="single" w:sz="4" w:space="0" w:color="auto"/>
              <w:bottom w:val="single" w:sz="4" w:space="0" w:color="auto"/>
              <w:right w:val="single" w:sz="4" w:space="0" w:color="auto"/>
            </w:tcBorders>
            <w:shd w:val="clear" w:color="auto" w:fill="auto"/>
            <w:vAlign w:val="bottom"/>
            <w:hideMark/>
          </w:tcPr>
          <w:p w:rsidR="003A497B" w:rsidRPr="008D1601" w:rsidRDefault="003A497B" w:rsidP="003E1809">
            <w:pPr>
              <w:jc w:val="right"/>
              <w:rPr>
                <w:rFonts w:ascii="Times New Roman" w:hAnsi="Times New Roman" w:cs="Times New Roman"/>
                <w:color w:val="000000"/>
                <w:sz w:val="14"/>
                <w:szCs w:val="14"/>
              </w:rPr>
            </w:pPr>
            <w:r w:rsidRPr="008D1601">
              <w:rPr>
                <w:rFonts w:ascii="Times New Roman" w:hAnsi="Times New Roman" w:cs="Times New Roman"/>
                <w:color w:val="000000"/>
                <w:sz w:val="14"/>
                <w:szCs w:val="14"/>
              </w:rPr>
              <w:t>2 690 409</w:t>
            </w:r>
          </w:p>
        </w:tc>
        <w:tc>
          <w:tcPr>
            <w:tcW w:w="952" w:type="dxa"/>
            <w:tcBorders>
              <w:top w:val="nil"/>
              <w:left w:val="nil"/>
              <w:bottom w:val="single" w:sz="4" w:space="0" w:color="auto"/>
              <w:right w:val="single" w:sz="4" w:space="0" w:color="auto"/>
            </w:tcBorders>
            <w:shd w:val="clear" w:color="auto" w:fill="auto"/>
            <w:vAlign w:val="bottom"/>
            <w:hideMark/>
          </w:tcPr>
          <w:p w:rsidR="003A497B" w:rsidRPr="008D1601" w:rsidRDefault="003A497B" w:rsidP="003E1809">
            <w:pPr>
              <w:jc w:val="right"/>
              <w:rPr>
                <w:rFonts w:ascii="Times New Roman" w:hAnsi="Times New Roman" w:cs="Times New Roman"/>
                <w:color w:val="000000"/>
                <w:sz w:val="14"/>
                <w:szCs w:val="14"/>
              </w:rPr>
            </w:pPr>
            <w:r w:rsidRPr="008D1601">
              <w:rPr>
                <w:rFonts w:ascii="Times New Roman" w:hAnsi="Times New Roman" w:cs="Times New Roman"/>
                <w:color w:val="000000"/>
                <w:sz w:val="14"/>
                <w:szCs w:val="14"/>
              </w:rPr>
              <w:t>4 027 796</w:t>
            </w:r>
          </w:p>
        </w:tc>
        <w:tc>
          <w:tcPr>
            <w:tcW w:w="952" w:type="dxa"/>
            <w:tcBorders>
              <w:top w:val="nil"/>
              <w:left w:val="nil"/>
              <w:bottom w:val="single" w:sz="4" w:space="0" w:color="auto"/>
              <w:right w:val="single" w:sz="4" w:space="0" w:color="auto"/>
            </w:tcBorders>
            <w:shd w:val="clear" w:color="auto" w:fill="auto"/>
            <w:vAlign w:val="bottom"/>
            <w:hideMark/>
          </w:tcPr>
          <w:p w:rsidR="003A497B" w:rsidRPr="008D1601" w:rsidRDefault="003A497B" w:rsidP="003E1809">
            <w:pPr>
              <w:jc w:val="right"/>
              <w:rPr>
                <w:rFonts w:ascii="Times New Roman" w:hAnsi="Times New Roman" w:cs="Times New Roman"/>
                <w:color w:val="000000"/>
                <w:sz w:val="14"/>
                <w:szCs w:val="14"/>
              </w:rPr>
            </w:pPr>
            <w:r w:rsidRPr="008D1601">
              <w:rPr>
                <w:rFonts w:ascii="Times New Roman" w:hAnsi="Times New Roman" w:cs="Times New Roman"/>
                <w:color w:val="000000"/>
                <w:sz w:val="14"/>
                <w:szCs w:val="14"/>
              </w:rPr>
              <w:t>2 931 276</w:t>
            </w:r>
          </w:p>
        </w:tc>
        <w:tc>
          <w:tcPr>
            <w:tcW w:w="951" w:type="dxa"/>
            <w:tcBorders>
              <w:top w:val="nil"/>
              <w:left w:val="nil"/>
              <w:bottom w:val="single" w:sz="4" w:space="0" w:color="auto"/>
              <w:right w:val="single" w:sz="4" w:space="0" w:color="auto"/>
            </w:tcBorders>
            <w:shd w:val="clear" w:color="auto" w:fill="auto"/>
            <w:vAlign w:val="bottom"/>
            <w:hideMark/>
          </w:tcPr>
          <w:p w:rsidR="003A497B" w:rsidRPr="008D1601" w:rsidRDefault="003A497B" w:rsidP="003E1809">
            <w:pPr>
              <w:jc w:val="right"/>
              <w:rPr>
                <w:rFonts w:ascii="Times New Roman" w:hAnsi="Times New Roman" w:cs="Times New Roman"/>
                <w:color w:val="000000"/>
                <w:sz w:val="14"/>
                <w:szCs w:val="14"/>
              </w:rPr>
            </w:pPr>
            <w:r w:rsidRPr="008D1601">
              <w:rPr>
                <w:rFonts w:ascii="Times New Roman" w:hAnsi="Times New Roman" w:cs="Times New Roman"/>
                <w:color w:val="000000"/>
                <w:sz w:val="14"/>
                <w:szCs w:val="14"/>
              </w:rPr>
              <w:t>3 032 476</w:t>
            </w:r>
          </w:p>
        </w:tc>
        <w:tc>
          <w:tcPr>
            <w:tcW w:w="952" w:type="dxa"/>
            <w:tcBorders>
              <w:top w:val="nil"/>
              <w:left w:val="single" w:sz="4" w:space="0" w:color="auto"/>
              <w:bottom w:val="single" w:sz="4" w:space="0" w:color="auto"/>
              <w:right w:val="single" w:sz="4" w:space="0" w:color="auto"/>
            </w:tcBorders>
            <w:shd w:val="clear" w:color="auto" w:fill="auto"/>
            <w:vAlign w:val="bottom"/>
            <w:hideMark/>
          </w:tcPr>
          <w:p w:rsidR="003A497B" w:rsidRPr="00F06A09" w:rsidRDefault="003A497B" w:rsidP="003E1809">
            <w:pPr>
              <w:jc w:val="right"/>
              <w:rPr>
                <w:rFonts w:ascii="Times New Roman" w:hAnsi="Times New Roman" w:cs="Times New Roman"/>
                <w:color w:val="000000"/>
                <w:sz w:val="14"/>
                <w:szCs w:val="14"/>
              </w:rPr>
            </w:pPr>
            <w:r w:rsidRPr="00F06A09">
              <w:rPr>
                <w:rFonts w:ascii="Times New Roman" w:hAnsi="Times New Roman" w:cs="Times New Roman"/>
                <w:color w:val="000000"/>
                <w:sz w:val="14"/>
                <w:szCs w:val="14"/>
              </w:rPr>
              <w:t>3 137 653</w:t>
            </w:r>
          </w:p>
        </w:tc>
        <w:tc>
          <w:tcPr>
            <w:tcW w:w="952" w:type="dxa"/>
            <w:tcBorders>
              <w:top w:val="nil"/>
              <w:left w:val="nil"/>
              <w:bottom w:val="single" w:sz="4" w:space="0" w:color="auto"/>
              <w:right w:val="single" w:sz="4" w:space="0" w:color="auto"/>
            </w:tcBorders>
            <w:shd w:val="clear" w:color="auto" w:fill="auto"/>
            <w:vAlign w:val="bottom"/>
            <w:hideMark/>
          </w:tcPr>
          <w:p w:rsidR="003A497B" w:rsidRPr="00F06A09" w:rsidRDefault="003A497B" w:rsidP="003E1809">
            <w:pPr>
              <w:jc w:val="right"/>
              <w:rPr>
                <w:rFonts w:ascii="Times New Roman" w:hAnsi="Times New Roman" w:cs="Times New Roman"/>
                <w:color w:val="000000"/>
                <w:sz w:val="14"/>
                <w:szCs w:val="14"/>
              </w:rPr>
            </w:pPr>
            <w:r w:rsidRPr="00F06A09">
              <w:rPr>
                <w:rFonts w:ascii="Times New Roman" w:hAnsi="Times New Roman" w:cs="Times New Roman"/>
                <w:color w:val="000000"/>
                <w:sz w:val="14"/>
                <w:szCs w:val="14"/>
              </w:rPr>
              <w:t>3 200 653</w:t>
            </w:r>
          </w:p>
        </w:tc>
        <w:tc>
          <w:tcPr>
            <w:tcW w:w="952" w:type="dxa"/>
            <w:tcBorders>
              <w:top w:val="nil"/>
              <w:left w:val="nil"/>
              <w:bottom w:val="single" w:sz="4" w:space="0" w:color="auto"/>
              <w:right w:val="single" w:sz="4" w:space="0" w:color="auto"/>
            </w:tcBorders>
            <w:shd w:val="clear" w:color="auto" w:fill="auto"/>
            <w:vAlign w:val="bottom"/>
            <w:hideMark/>
          </w:tcPr>
          <w:p w:rsidR="003A497B" w:rsidRPr="00F06A09" w:rsidRDefault="003A497B" w:rsidP="003E1809">
            <w:pPr>
              <w:jc w:val="right"/>
              <w:rPr>
                <w:rFonts w:ascii="Times New Roman" w:hAnsi="Times New Roman" w:cs="Times New Roman"/>
                <w:color w:val="000000"/>
                <w:sz w:val="14"/>
                <w:szCs w:val="14"/>
              </w:rPr>
            </w:pPr>
            <w:r w:rsidRPr="00F06A09">
              <w:rPr>
                <w:rFonts w:ascii="Times New Roman" w:hAnsi="Times New Roman" w:cs="Times New Roman"/>
                <w:color w:val="000000"/>
                <w:sz w:val="14"/>
                <w:szCs w:val="14"/>
              </w:rPr>
              <w:t>3 200 653</w:t>
            </w:r>
          </w:p>
        </w:tc>
      </w:tr>
      <w:tr w:rsidR="003A497B" w:rsidRPr="00544A07" w:rsidTr="003E1809">
        <w:trPr>
          <w:trHeight w:val="25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A497B" w:rsidRPr="00544A07" w:rsidRDefault="003A497B" w:rsidP="003E1809">
            <w:pPr>
              <w:rPr>
                <w:rFonts w:ascii="Times New Roman" w:hAnsi="Times New Roman" w:cs="Times New Roman"/>
                <w:color w:val="000000"/>
                <w:sz w:val="14"/>
                <w:szCs w:val="14"/>
                <w:lang w:eastAsia="sk-SK"/>
              </w:rPr>
            </w:pPr>
            <w:r w:rsidRPr="00544A07">
              <w:rPr>
                <w:rFonts w:ascii="Times New Roman" w:hAnsi="Times New Roman" w:cs="Times New Roman"/>
                <w:color w:val="000000"/>
                <w:sz w:val="14"/>
                <w:szCs w:val="14"/>
                <w:lang w:eastAsia="sk-SK"/>
              </w:rPr>
              <w:t>Hospodárska mobilizácia</w:t>
            </w:r>
          </w:p>
        </w:tc>
        <w:tc>
          <w:tcPr>
            <w:tcW w:w="951" w:type="dxa"/>
            <w:tcBorders>
              <w:top w:val="nil"/>
              <w:left w:val="single" w:sz="4" w:space="0" w:color="auto"/>
              <w:bottom w:val="single" w:sz="4" w:space="0" w:color="auto"/>
              <w:right w:val="single" w:sz="4" w:space="0" w:color="auto"/>
            </w:tcBorders>
            <w:shd w:val="clear" w:color="auto" w:fill="auto"/>
            <w:vAlign w:val="bottom"/>
            <w:hideMark/>
          </w:tcPr>
          <w:p w:rsidR="003A497B" w:rsidRPr="008D1601" w:rsidRDefault="003A497B" w:rsidP="003E1809">
            <w:pPr>
              <w:jc w:val="right"/>
              <w:rPr>
                <w:rFonts w:ascii="Times New Roman" w:hAnsi="Times New Roman" w:cs="Times New Roman"/>
                <w:color w:val="000000"/>
                <w:sz w:val="14"/>
                <w:szCs w:val="14"/>
              </w:rPr>
            </w:pPr>
            <w:r w:rsidRPr="008D1601">
              <w:rPr>
                <w:rFonts w:ascii="Times New Roman" w:hAnsi="Times New Roman" w:cs="Times New Roman"/>
                <w:color w:val="000000"/>
                <w:sz w:val="14"/>
                <w:szCs w:val="14"/>
              </w:rPr>
              <w:t>6 797 579</w:t>
            </w:r>
          </w:p>
        </w:tc>
        <w:tc>
          <w:tcPr>
            <w:tcW w:w="952" w:type="dxa"/>
            <w:tcBorders>
              <w:top w:val="nil"/>
              <w:left w:val="nil"/>
              <w:bottom w:val="single" w:sz="4" w:space="0" w:color="auto"/>
              <w:right w:val="single" w:sz="4" w:space="0" w:color="auto"/>
            </w:tcBorders>
            <w:shd w:val="clear" w:color="auto" w:fill="auto"/>
            <w:vAlign w:val="bottom"/>
            <w:hideMark/>
          </w:tcPr>
          <w:p w:rsidR="003A497B" w:rsidRPr="008D1601" w:rsidRDefault="003A497B" w:rsidP="003E1809">
            <w:pPr>
              <w:jc w:val="right"/>
              <w:rPr>
                <w:rFonts w:ascii="Times New Roman" w:hAnsi="Times New Roman" w:cs="Times New Roman"/>
                <w:color w:val="000000"/>
                <w:sz w:val="14"/>
                <w:szCs w:val="14"/>
              </w:rPr>
            </w:pPr>
            <w:r w:rsidRPr="008D1601">
              <w:rPr>
                <w:rFonts w:ascii="Times New Roman" w:hAnsi="Times New Roman" w:cs="Times New Roman"/>
                <w:color w:val="000000"/>
                <w:sz w:val="14"/>
                <w:szCs w:val="14"/>
              </w:rPr>
              <w:t>6 913 869</w:t>
            </w:r>
          </w:p>
        </w:tc>
        <w:tc>
          <w:tcPr>
            <w:tcW w:w="952" w:type="dxa"/>
            <w:tcBorders>
              <w:top w:val="nil"/>
              <w:left w:val="nil"/>
              <w:bottom w:val="single" w:sz="4" w:space="0" w:color="auto"/>
              <w:right w:val="single" w:sz="4" w:space="0" w:color="auto"/>
            </w:tcBorders>
            <w:shd w:val="clear" w:color="auto" w:fill="auto"/>
            <w:vAlign w:val="bottom"/>
            <w:hideMark/>
          </w:tcPr>
          <w:p w:rsidR="003A497B" w:rsidRPr="008D1601" w:rsidRDefault="003A497B" w:rsidP="003E1809">
            <w:pPr>
              <w:jc w:val="right"/>
              <w:rPr>
                <w:rFonts w:ascii="Times New Roman" w:hAnsi="Times New Roman" w:cs="Times New Roman"/>
                <w:color w:val="000000"/>
                <w:sz w:val="14"/>
                <w:szCs w:val="14"/>
              </w:rPr>
            </w:pPr>
            <w:r w:rsidRPr="008D1601">
              <w:rPr>
                <w:rFonts w:ascii="Times New Roman" w:hAnsi="Times New Roman" w:cs="Times New Roman"/>
                <w:color w:val="000000"/>
                <w:sz w:val="14"/>
                <w:szCs w:val="14"/>
              </w:rPr>
              <w:t>5 391 947</w:t>
            </w:r>
          </w:p>
        </w:tc>
        <w:tc>
          <w:tcPr>
            <w:tcW w:w="951" w:type="dxa"/>
            <w:tcBorders>
              <w:top w:val="nil"/>
              <w:left w:val="nil"/>
              <w:bottom w:val="single" w:sz="4" w:space="0" w:color="auto"/>
              <w:right w:val="single" w:sz="4" w:space="0" w:color="auto"/>
            </w:tcBorders>
            <w:shd w:val="clear" w:color="auto" w:fill="auto"/>
            <w:vAlign w:val="bottom"/>
            <w:hideMark/>
          </w:tcPr>
          <w:p w:rsidR="003A497B" w:rsidRPr="008D1601" w:rsidRDefault="003A497B" w:rsidP="003E1809">
            <w:pPr>
              <w:jc w:val="right"/>
              <w:rPr>
                <w:rFonts w:ascii="Times New Roman" w:hAnsi="Times New Roman" w:cs="Times New Roman"/>
                <w:color w:val="000000"/>
                <w:sz w:val="14"/>
                <w:szCs w:val="14"/>
              </w:rPr>
            </w:pPr>
            <w:r w:rsidRPr="008D1601">
              <w:rPr>
                <w:rFonts w:ascii="Times New Roman" w:hAnsi="Times New Roman" w:cs="Times New Roman"/>
                <w:color w:val="000000"/>
                <w:sz w:val="14"/>
                <w:szCs w:val="14"/>
              </w:rPr>
              <w:t>7 009 828</w:t>
            </w:r>
          </w:p>
        </w:tc>
        <w:tc>
          <w:tcPr>
            <w:tcW w:w="952" w:type="dxa"/>
            <w:tcBorders>
              <w:top w:val="nil"/>
              <w:left w:val="single" w:sz="4" w:space="0" w:color="auto"/>
              <w:bottom w:val="single" w:sz="4" w:space="0" w:color="auto"/>
              <w:right w:val="single" w:sz="4" w:space="0" w:color="auto"/>
            </w:tcBorders>
            <w:shd w:val="clear" w:color="auto" w:fill="auto"/>
            <w:vAlign w:val="bottom"/>
            <w:hideMark/>
          </w:tcPr>
          <w:p w:rsidR="003A497B" w:rsidRPr="00F06A09" w:rsidRDefault="003A497B" w:rsidP="003E1809">
            <w:pPr>
              <w:jc w:val="right"/>
              <w:rPr>
                <w:rFonts w:ascii="Times New Roman" w:hAnsi="Times New Roman" w:cs="Times New Roman"/>
                <w:color w:val="000000"/>
                <w:sz w:val="14"/>
                <w:szCs w:val="14"/>
              </w:rPr>
            </w:pPr>
            <w:r w:rsidRPr="00F06A09">
              <w:rPr>
                <w:rFonts w:ascii="Times New Roman" w:hAnsi="Times New Roman" w:cs="Times New Roman"/>
                <w:color w:val="000000"/>
                <w:sz w:val="14"/>
                <w:szCs w:val="14"/>
              </w:rPr>
              <w:t>5 391 992</w:t>
            </w:r>
          </w:p>
        </w:tc>
        <w:tc>
          <w:tcPr>
            <w:tcW w:w="952" w:type="dxa"/>
            <w:tcBorders>
              <w:top w:val="nil"/>
              <w:left w:val="nil"/>
              <w:bottom w:val="single" w:sz="4" w:space="0" w:color="auto"/>
              <w:right w:val="single" w:sz="4" w:space="0" w:color="auto"/>
            </w:tcBorders>
            <w:shd w:val="clear" w:color="auto" w:fill="auto"/>
            <w:vAlign w:val="bottom"/>
            <w:hideMark/>
          </w:tcPr>
          <w:p w:rsidR="003A497B" w:rsidRPr="00F06A09" w:rsidRDefault="003A497B" w:rsidP="003E1809">
            <w:pPr>
              <w:jc w:val="right"/>
              <w:rPr>
                <w:rFonts w:ascii="Times New Roman" w:hAnsi="Times New Roman" w:cs="Times New Roman"/>
                <w:color w:val="000000"/>
                <w:sz w:val="14"/>
                <w:szCs w:val="14"/>
              </w:rPr>
            </w:pPr>
            <w:r w:rsidRPr="00F06A09">
              <w:rPr>
                <w:rFonts w:ascii="Times New Roman" w:hAnsi="Times New Roman" w:cs="Times New Roman"/>
                <w:color w:val="000000"/>
                <w:sz w:val="14"/>
                <w:szCs w:val="14"/>
              </w:rPr>
              <w:t>5 395 992</w:t>
            </w:r>
          </w:p>
        </w:tc>
        <w:tc>
          <w:tcPr>
            <w:tcW w:w="952" w:type="dxa"/>
            <w:tcBorders>
              <w:top w:val="nil"/>
              <w:left w:val="nil"/>
              <w:bottom w:val="single" w:sz="4" w:space="0" w:color="auto"/>
              <w:right w:val="single" w:sz="4" w:space="0" w:color="auto"/>
            </w:tcBorders>
            <w:shd w:val="clear" w:color="auto" w:fill="auto"/>
            <w:vAlign w:val="bottom"/>
            <w:hideMark/>
          </w:tcPr>
          <w:p w:rsidR="003A497B" w:rsidRPr="00F06A09" w:rsidRDefault="003A497B" w:rsidP="003E1809">
            <w:pPr>
              <w:jc w:val="right"/>
              <w:rPr>
                <w:rFonts w:ascii="Times New Roman" w:hAnsi="Times New Roman" w:cs="Times New Roman"/>
                <w:color w:val="000000"/>
                <w:sz w:val="14"/>
                <w:szCs w:val="14"/>
              </w:rPr>
            </w:pPr>
            <w:r w:rsidRPr="00F06A09">
              <w:rPr>
                <w:rFonts w:ascii="Times New Roman" w:hAnsi="Times New Roman" w:cs="Times New Roman"/>
                <w:color w:val="000000"/>
                <w:sz w:val="14"/>
                <w:szCs w:val="14"/>
              </w:rPr>
              <w:t>5 387 992</w:t>
            </w:r>
          </w:p>
        </w:tc>
      </w:tr>
      <w:tr w:rsidR="003A497B" w:rsidRPr="00544A07" w:rsidTr="003E1809">
        <w:trPr>
          <w:trHeight w:val="25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A497B" w:rsidRPr="00544A07" w:rsidRDefault="003A497B" w:rsidP="003E1809">
            <w:pPr>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Vys. civil. exp.</w:t>
            </w:r>
            <w:r w:rsidRPr="00544A07">
              <w:rPr>
                <w:rFonts w:ascii="Times New Roman" w:hAnsi="Times New Roman" w:cs="Times New Roman"/>
                <w:color w:val="000000"/>
                <w:sz w:val="14"/>
                <w:szCs w:val="14"/>
                <w:lang w:eastAsia="sk-SK"/>
              </w:rPr>
              <w:t xml:space="preserve"> do aktivít KM mimo SR</w:t>
            </w:r>
          </w:p>
        </w:tc>
        <w:tc>
          <w:tcPr>
            <w:tcW w:w="951" w:type="dxa"/>
            <w:tcBorders>
              <w:top w:val="nil"/>
              <w:left w:val="single" w:sz="4" w:space="0" w:color="auto"/>
              <w:bottom w:val="single" w:sz="4" w:space="0" w:color="auto"/>
              <w:right w:val="single" w:sz="4" w:space="0" w:color="auto"/>
            </w:tcBorders>
            <w:shd w:val="clear" w:color="auto" w:fill="auto"/>
            <w:vAlign w:val="bottom"/>
            <w:hideMark/>
          </w:tcPr>
          <w:p w:rsidR="003A497B" w:rsidRPr="008D1601" w:rsidRDefault="003A497B" w:rsidP="003E1809">
            <w:pPr>
              <w:jc w:val="right"/>
              <w:rPr>
                <w:rFonts w:ascii="Times New Roman" w:hAnsi="Times New Roman" w:cs="Times New Roman"/>
                <w:color w:val="000000"/>
                <w:sz w:val="14"/>
                <w:szCs w:val="14"/>
              </w:rPr>
            </w:pPr>
            <w:r w:rsidRPr="008D1601">
              <w:rPr>
                <w:rFonts w:ascii="Times New Roman" w:hAnsi="Times New Roman" w:cs="Times New Roman"/>
                <w:color w:val="000000"/>
                <w:sz w:val="14"/>
                <w:szCs w:val="14"/>
              </w:rPr>
              <w:t>0</w:t>
            </w:r>
          </w:p>
        </w:tc>
        <w:tc>
          <w:tcPr>
            <w:tcW w:w="952" w:type="dxa"/>
            <w:tcBorders>
              <w:top w:val="nil"/>
              <w:left w:val="nil"/>
              <w:bottom w:val="single" w:sz="4" w:space="0" w:color="auto"/>
              <w:right w:val="single" w:sz="4" w:space="0" w:color="auto"/>
            </w:tcBorders>
            <w:shd w:val="clear" w:color="auto" w:fill="auto"/>
            <w:vAlign w:val="bottom"/>
            <w:hideMark/>
          </w:tcPr>
          <w:p w:rsidR="003A497B" w:rsidRPr="008D1601" w:rsidRDefault="003A497B" w:rsidP="003E1809">
            <w:pPr>
              <w:jc w:val="right"/>
              <w:rPr>
                <w:rFonts w:ascii="Times New Roman" w:hAnsi="Times New Roman" w:cs="Times New Roman"/>
                <w:color w:val="000000"/>
                <w:sz w:val="14"/>
                <w:szCs w:val="14"/>
              </w:rPr>
            </w:pPr>
            <w:r w:rsidRPr="008D1601">
              <w:rPr>
                <w:rFonts w:ascii="Times New Roman" w:hAnsi="Times New Roman" w:cs="Times New Roman"/>
                <w:color w:val="000000"/>
                <w:sz w:val="14"/>
                <w:szCs w:val="14"/>
              </w:rPr>
              <w:t>36 698</w:t>
            </w:r>
          </w:p>
        </w:tc>
        <w:tc>
          <w:tcPr>
            <w:tcW w:w="952" w:type="dxa"/>
            <w:tcBorders>
              <w:top w:val="nil"/>
              <w:left w:val="nil"/>
              <w:bottom w:val="single" w:sz="4" w:space="0" w:color="auto"/>
              <w:right w:val="single" w:sz="4" w:space="0" w:color="auto"/>
            </w:tcBorders>
            <w:shd w:val="clear" w:color="auto" w:fill="auto"/>
            <w:vAlign w:val="bottom"/>
            <w:hideMark/>
          </w:tcPr>
          <w:p w:rsidR="003A497B" w:rsidRPr="008D1601" w:rsidRDefault="003A497B" w:rsidP="003E1809">
            <w:pPr>
              <w:jc w:val="right"/>
              <w:rPr>
                <w:rFonts w:ascii="Times New Roman" w:hAnsi="Times New Roman" w:cs="Times New Roman"/>
                <w:color w:val="000000"/>
                <w:sz w:val="14"/>
                <w:szCs w:val="14"/>
              </w:rPr>
            </w:pPr>
            <w:r w:rsidRPr="008D1601">
              <w:rPr>
                <w:rFonts w:ascii="Times New Roman" w:hAnsi="Times New Roman" w:cs="Times New Roman"/>
                <w:color w:val="000000"/>
                <w:sz w:val="14"/>
                <w:szCs w:val="14"/>
              </w:rPr>
              <w:t>150 000</w:t>
            </w:r>
          </w:p>
        </w:tc>
        <w:tc>
          <w:tcPr>
            <w:tcW w:w="951" w:type="dxa"/>
            <w:tcBorders>
              <w:top w:val="nil"/>
              <w:left w:val="nil"/>
              <w:bottom w:val="single" w:sz="4" w:space="0" w:color="auto"/>
              <w:right w:val="single" w:sz="4" w:space="0" w:color="auto"/>
            </w:tcBorders>
            <w:shd w:val="clear" w:color="auto" w:fill="auto"/>
            <w:vAlign w:val="bottom"/>
            <w:hideMark/>
          </w:tcPr>
          <w:p w:rsidR="003A497B" w:rsidRPr="008D1601" w:rsidRDefault="003A497B" w:rsidP="003E1809">
            <w:pPr>
              <w:jc w:val="right"/>
              <w:rPr>
                <w:rFonts w:ascii="Times New Roman" w:hAnsi="Times New Roman" w:cs="Times New Roman"/>
                <w:color w:val="000000"/>
                <w:sz w:val="14"/>
                <w:szCs w:val="14"/>
              </w:rPr>
            </w:pPr>
            <w:r w:rsidRPr="008D1601">
              <w:rPr>
                <w:rFonts w:ascii="Times New Roman" w:hAnsi="Times New Roman" w:cs="Times New Roman"/>
                <w:color w:val="000000"/>
                <w:sz w:val="14"/>
                <w:szCs w:val="14"/>
              </w:rPr>
              <w:t>150 000</w:t>
            </w:r>
          </w:p>
        </w:tc>
        <w:tc>
          <w:tcPr>
            <w:tcW w:w="952" w:type="dxa"/>
            <w:tcBorders>
              <w:top w:val="nil"/>
              <w:left w:val="single" w:sz="4" w:space="0" w:color="auto"/>
              <w:bottom w:val="single" w:sz="4" w:space="0" w:color="auto"/>
              <w:right w:val="single" w:sz="4" w:space="0" w:color="auto"/>
            </w:tcBorders>
            <w:shd w:val="clear" w:color="auto" w:fill="auto"/>
            <w:vAlign w:val="bottom"/>
            <w:hideMark/>
          </w:tcPr>
          <w:p w:rsidR="003A497B" w:rsidRPr="00F06A09" w:rsidRDefault="003A497B" w:rsidP="003E1809">
            <w:pPr>
              <w:jc w:val="right"/>
              <w:rPr>
                <w:rFonts w:ascii="Times New Roman" w:hAnsi="Times New Roman" w:cs="Times New Roman"/>
                <w:color w:val="000000"/>
                <w:sz w:val="14"/>
                <w:szCs w:val="14"/>
              </w:rPr>
            </w:pPr>
            <w:r w:rsidRPr="00F06A09">
              <w:rPr>
                <w:rFonts w:ascii="Times New Roman" w:hAnsi="Times New Roman" w:cs="Times New Roman"/>
                <w:color w:val="000000"/>
                <w:sz w:val="14"/>
                <w:szCs w:val="14"/>
              </w:rPr>
              <w:t>174 000</w:t>
            </w:r>
          </w:p>
        </w:tc>
        <w:tc>
          <w:tcPr>
            <w:tcW w:w="952" w:type="dxa"/>
            <w:tcBorders>
              <w:top w:val="nil"/>
              <w:left w:val="nil"/>
              <w:bottom w:val="single" w:sz="4" w:space="0" w:color="auto"/>
              <w:right w:val="single" w:sz="4" w:space="0" w:color="auto"/>
            </w:tcBorders>
            <w:shd w:val="clear" w:color="auto" w:fill="auto"/>
            <w:vAlign w:val="bottom"/>
            <w:hideMark/>
          </w:tcPr>
          <w:p w:rsidR="003A497B" w:rsidRPr="00F06A09" w:rsidRDefault="003A497B" w:rsidP="003E1809">
            <w:pPr>
              <w:jc w:val="right"/>
              <w:rPr>
                <w:rFonts w:ascii="Times New Roman" w:hAnsi="Times New Roman" w:cs="Times New Roman"/>
                <w:color w:val="000000"/>
                <w:sz w:val="14"/>
                <w:szCs w:val="14"/>
              </w:rPr>
            </w:pPr>
            <w:r w:rsidRPr="00F06A09">
              <w:rPr>
                <w:rFonts w:ascii="Times New Roman" w:hAnsi="Times New Roman" w:cs="Times New Roman"/>
                <w:color w:val="000000"/>
                <w:sz w:val="14"/>
                <w:szCs w:val="14"/>
              </w:rPr>
              <w:t>174 000</w:t>
            </w:r>
          </w:p>
        </w:tc>
        <w:tc>
          <w:tcPr>
            <w:tcW w:w="952" w:type="dxa"/>
            <w:tcBorders>
              <w:top w:val="nil"/>
              <w:left w:val="nil"/>
              <w:bottom w:val="single" w:sz="4" w:space="0" w:color="auto"/>
              <w:right w:val="single" w:sz="4" w:space="0" w:color="auto"/>
            </w:tcBorders>
            <w:shd w:val="clear" w:color="auto" w:fill="auto"/>
            <w:vAlign w:val="bottom"/>
            <w:hideMark/>
          </w:tcPr>
          <w:p w:rsidR="003A497B" w:rsidRPr="00F06A09" w:rsidRDefault="003A497B" w:rsidP="003E1809">
            <w:pPr>
              <w:jc w:val="right"/>
              <w:rPr>
                <w:rFonts w:ascii="Times New Roman" w:hAnsi="Times New Roman" w:cs="Times New Roman"/>
                <w:color w:val="000000"/>
                <w:sz w:val="14"/>
                <w:szCs w:val="14"/>
              </w:rPr>
            </w:pPr>
            <w:r w:rsidRPr="00F06A09">
              <w:rPr>
                <w:rFonts w:ascii="Times New Roman" w:hAnsi="Times New Roman" w:cs="Times New Roman"/>
                <w:color w:val="000000"/>
                <w:sz w:val="14"/>
                <w:szCs w:val="14"/>
              </w:rPr>
              <w:t>179 000</w:t>
            </w:r>
          </w:p>
        </w:tc>
      </w:tr>
    </w:tbl>
    <w:p w:rsidR="003A497B" w:rsidRPr="000D79F8" w:rsidRDefault="003A497B" w:rsidP="003A497B">
      <w:pPr>
        <w:jc w:val="both"/>
        <w:rPr>
          <w:rFonts w:ascii="Times New Roman" w:hAnsi="Times New Roman" w:cs="Times New Roman"/>
          <w:b/>
          <w:bCs/>
          <w:highlight w:val="yellow"/>
          <w:lang w:eastAsia="sk-SK"/>
        </w:rPr>
      </w:pPr>
    </w:p>
    <w:p w:rsidR="003A497B" w:rsidRDefault="003A497B" w:rsidP="003A497B">
      <w:pPr>
        <w:spacing w:after="160" w:line="259" w:lineRule="auto"/>
        <w:rPr>
          <w:rFonts w:ascii="Times New Roman" w:hAnsi="Times New Roman" w:cs="Times New Roman"/>
          <w:b/>
          <w:bCs/>
          <w:lang w:eastAsia="sk-SK"/>
        </w:rPr>
      </w:pPr>
      <w:r w:rsidRPr="000D79F8">
        <w:rPr>
          <w:rFonts w:ascii="Times New Roman" w:hAnsi="Times New Roman" w:cs="Times New Roman"/>
          <w:b/>
          <w:bCs/>
          <w:lang w:eastAsia="sk-SK"/>
        </w:rPr>
        <w:t>Ministerstvo obrany SR</w:t>
      </w:r>
    </w:p>
    <w:tbl>
      <w:tblPr>
        <w:tblW w:w="9067" w:type="dxa"/>
        <w:tblLayout w:type="fixed"/>
        <w:tblCellMar>
          <w:left w:w="70" w:type="dxa"/>
          <w:right w:w="70" w:type="dxa"/>
        </w:tblCellMar>
        <w:tblLook w:val="04A0" w:firstRow="1" w:lastRow="0" w:firstColumn="1" w:lastColumn="0" w:noHBand="0" w:noVBand="1"/>
      </w:tblPr>
      <w:tblGrid>
        <w:gridCol w:w="2830"/>
        <w:gridCol w:w="891"/>
        <w:gridCol w:w="891"/>
        <w:gridCol w:w="891"/>
        <w:gridCol w:w="891"/>
        <w:gridCol w:w="891"/>
        <w:gridCol w:w="891"/>
        <w:gridCol w:w="891"/>
      </w:tblGrid>
      <w:tr w:rsidR="003A497B" w:rsidRPr="00BF3945" w:rsidTr="003E1809">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BF3945" w:rsidRDefault="003A497B" w:rsidP="003E1809">
            <w:pPr>
              <w:rPr>
                <w:rFonts w:ascii="Times New Roman" w:hAnsi="Times New Roman" w:cs="Times New Roman"/>
                <w:b/>
                <w:bCs/>
                <w:color w:val="000000"/>
                <w:sz w:val="14"/>
                <w:szCs w:val="14"/>
                <w:lang w:eastAsia="sk-SK"/>
              </w:rPr>
            </w:pPr>
            <w:r w:rsidRPr="00BF3945">
              <w:rPr>
                <w:rFonts w:ascii="Times New Roman" w:hAnsi="Times New Roman" w:cs="Times New Roman"/>
                <w:b/>
                <w:bCs/>
                <w:color w:val="000000"/>
                <w:sz w:val="14"/>
                <w:szCs w:val="14"/>
                <w:lang w:eastAsia="sk-SK"/>
              </w:rPr>
              <w:t xml:space="preserve">v eurách </w:t>
            </w:r>
          </w:p>
        </w:tc>
        <w:tc>
          <w:tcPr>
            <w:tcW w:w="891"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lang w:eastAsia="sk-SK"/>
              </w:rPr>
            </w:pPr>
            <w:r w:rsidRPr="00D57B87">
              <w:rPr>
                <w:rFonts w:ascii="Times New Roman" w:hAnsi="Times New Roman" w:cs="Times New Roman"/>
                <w:b/>
                <w:bCs/>
                <w:color w:val="000000"/>
                <w:sz w:val="14"/>
                <w:szCs w:val="14"/>
              </w:rPr>
              <w:t>2016 S</w:t>
            </w:r>
          </w:p>
        </w:tc>
        <w:tc>
          <w:tcPr>
            <w:tcW w:w="891"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2017 S</w:t>
            </w:r>
          </w:p>
        </w:tc>
        <w:tc>
          <w:tcPr>
            <w:tcW w:w="891"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2018 R</w:t>
            </w:r>
          </w:p>
        </w:tc>
        <w:tc>
          <w:tcPr>
            <w:tcW w:w="891"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2018 OS</w:t>
            </w:r>
          </w:p>
        </w:tc>
        <w:tc>
          <w:tcPr>
            <w:tcW w:w="891"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2019</w:t>
            </w:r>
            <w:r w:rsidRPr="00D57B87">
              <w:rPr>
                <w:rFonts w:ascii="Times New Roman" w:hAnsi="Times New Roman" w:cs="Times New Roman"/>
                <w:b/>
                <w:bCs/>
                <w:color w:val="000000"/>
                <w:sz w:val="14"/>
                <w:szCs w:val="14"/>
              </w:rPr>
              <w:t xml:space="preserve"> N</w:t>
            </w:r>
          </w:p>
        </w:tc>
        <w:tc>
          <w:tcPr>
            <w:tcW w:w="891"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2020 N</w:t>
            </w:r>
          </w:p>
        </w:tc>
        <w:tc>
          <w:tcPr>
            <w:tcW w:w="891"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2021 N</w:t>
            </w:r>
          </w:p>
        </w:tc>
      </w:tr>
      <w:tr w:rsidR="003A497B" w:rsidRPr="00BF3945" w:rsidTr="003E1809">
        <w:trPr>
          <w:trHeight w:val="255"/>
        </w:trPr>
        <w:tc>
          <w:tcPr>
            <w:tcW w:w="283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3A497B" w:rsidRPr="00BF3945" w:rsidRDefault="003A497B" w:rsidP="003E1809">
            <w:pP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Zdroje prísl.</w:t>
            </w:r>
            <w:r w:rsidRPr="00BF3945">
              <w:rPr>
                <w:rFonts w:ascii="Times New Roman" w:hAnsi="Times New Roman" w:cs="Times New Roman"/>
                <w:b/>
                <w:bCs/>
                <w:color w:val="000000"/>
                <w:sz w:val="14"/>
                <w:szCs w:val="14"/>
                <w:lang w:eastAsia="sk-SK"/>
              </w:rPr>
              <w:t xml:space="preserve"> kapitoly vrátane</w:t>
            </w:r>
            <w:r>
              <w:rPr>
                <w:rFonts w:ascii="Times New Roman" w:hAnsi="Times New Roman" w:cs="Times New Roman"/>
                <w:b/>
                <w:bCs/>
                <w:color w:val="000000"/>
                <w:sz w:val="14"/>
                <w:szCs w:val="14"/>
                <w:lang w:eastAsia="sk-SK"/>
              </w:rPr>
              <w:t xml:space="preserve"> 72d,</w:t>
            </w:r>
            <w:r w:rsidRPr="00BF3945">
              <w:rPr>
                <w:rFonts w:ascii="Times New Roman" w:hAnsi="Times New Roman" w:cs="Times New Roman"/>
                <w:b/>
                <w:bCs/>
                <w:color w:val="000000"/>
                <w:sz w:val="14"/>
                <w:szCs w:val="14"/>
                <w:lang w:eastAsia="sk-SK"/>
              </w:rPr>
              <w:t xml:space="preserve"> 72e</w:t>
            </w:r>
            <w:r>
              <w:rPr>
                <w:rFonts w:ascii="Times New Roman" w:hAnsi="Times New Roman" w:cs="Times New Roman"/>
                <w:b/>
                <w:bCs/>
                <w:color w:val="000000"/>
                <w:sz w:val="14"/>
                <w:szCs w:val="14"/>
                <w:lang w:eastAsia="sk-SK"/>
              </w:rPr>
              <w:t>, 72g</w:t>
            </w:r>
            <w:r w:rsidRPr="00BF3945">
              <w:rPr>
                <w:rFonts w:ascii="Times New Roman" w:hAnsi="Times New Roman" w:cs="Times New Roman"/>
                <w:b/>
                <w:bCs/>
                <w:color w:val="000000"/>
                <w:sz w:val="14"/>
                <w:szCs w:val="14"/>
                <w:lang w:eastAsia="sk-SK"/>
              </w:rPr>
              <w:t xml:space="preserve"> </w:t>
            </w:r>
          </w:p>
        </w:tc>
        <w:tc>
          <w:tcPr>
            <w:tcW w:w="89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A497B" w:rsidRPr="00D57B87" w:rsidRDefault="003A497B" w:rsidP="003E1809">
            <w:pPr>
              <w:jc w:val="right"/>
              <w:rPr>
                <w:rFonts w:ascii="Times New Roman" w:hAnsi="Times New Roman" w:cs="Times New Roman"/>
                <w:b/>
                <w:bCs/>
                <w:color w:val="000000"/>
                <w:sz w:val="13"/>
                <w:szCs w:val="13"/>
                <w:lang w:eastAsia="sk-SK"/>
              </w:rPr>
            </w:pPr>
            <w:r w:rsidRPr="00D57B87">
              <w:rPr>
                <w:rFonts w:ascii="Times New Roman" w:hAnsi="Times New Roman" w:cs="Times New Roman"/>
                <w:b/>
                <w:bCs/>
                <w:color w:val="000000"/>
                <w:sz w:val="13"/>
                <w:szCs w:val="13"/>
              </w:rPr>
              <w:t>903 891 691</w:t>
            </w:r>
          </w:p>
        </w:tc>
        <w:tc>
          <w:tcPr>
            <w:tcW w:w="891"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D57B87" w:rsidRDefault="003A497B" w:rsidP="003E1809">
            <w:pPr>
              <w:jc w:val="right"/>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930 135 030</w:t>
            </w:r>
          </w:p>
        </w:tc>
        <w:tc>
          <w:tcPr>
            <w:tcW w:w="891"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D57B87" w:rsidRDefault="003A497B" w:rsidP="003E1809">
            <w:pPr>
              <w:jc w:val="center"/>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1 082 078 792</w:t>
            </w:r>
          </w:p>
        </w:tc>
        <w:tc>
          <w:tcPr>
            <w:tcW w:w="891"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D57B87" w:rsidRDefault="003A497B" w:rsidP="003E1809">
            <w:pPr>
              <w:jc w:val="center"/>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1 100 206 919</w:t>
            </w:r>
          </w:p>
        </w:tc>
        <w:tc>
          <w:tcPr>
            <w:tcW w:w="89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A497B" w:rsidRPr="00EE45DB" w:rsidRDefault="003A497B" w:rsidP="003E1809">
            <w:pPr>
              <w:jc w:val="right"/>
              <w:rPr>
                <w:rFonts w:ascii="Times New Roman" w:hAnsi="Times New Roman" w:cs="Times New Roman"/>
                <w:b/>
                <w:bCs/>
                <w:color w:val="000000"/>
                <w:sz w:val="13"/>
                <w:szCs w:val="13"/>
                <w:lang w:eastAsia="sk-SK"/>
              </w:rPr>
            </w:pPr>
            <w:r w:rsidRPr="00EE45DB">
              <w:rPr>
                <w:rFonts w:ascii="Times New Roman" w:hAnsi="Times New Roman" w:cs="Times New Roman"/>
                <w:b/>
                <w:bCs/>
                <w:color w:val="000000"/>
                <w:sz w:val="13"/>
                <w:szCs w:val="13"/>
              </w:rPr>
              <w:t>1 662 684 235</w:t>
            </w:r>
          </w:p>
        </w:tc>
        <w:tc>
          <w:tcPr>
            <w:tcW w:w="891"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EE45DB" w:rsidRDefault="003A497B" w:rsidP="003E1809">
            <w:pPr>
              <w:jc w:val="right"/>
              <w:rPr>
                <w:rFonts w:ascii="Times New Roman" w:hAnsi="Times New Roman" w:cs="Times New Roman"/>
                <w:b/>
                <w:bCs/>
                <w:color w:val="000000"/>
                <w:sz w:val="13"/>
                <w:szCs w:val="13"/>
              </w:rPr>
            </w:pPr>
            <w:r w:rsidRPr="00EE45DB">
              <w:rPr>
                <w:rFonts w:ascii="Times New Roman" w:hAnsi="Times New Roman" w:cs="Times New Roman"/>
                <w:b/>
                <w:bCs/>
                <w:color w:val="000000"/>
                <w:sz w:val="13"/>
                <w:szCs w:val="13"/>
              </w:rPr>
              <w:t>1 857 395 204</w:t>
            </w:r>
          </w:p>
        </w:tc>
        <w:tc>
          <w:tcPr>
            <w:tcW w:w="891"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EE45DB" w:rsidRDefault="003A497B" w:rsidP="003E1809">
            <w:pPr>
              <w:jc w:val="right"/>
              <w:rPr>
                <w:rFonts w:ascii="Times New Roman" w:hAnsi="Times New Roman" w:cs="Times New Roman"/>
                <w:b/>
                <w:bCs/>
                <w:color w:val="000000"/>
                <w:sz w:val="13"/>
                <w:szCs w:val="13"/>
              </w:rPr>
            </w:pPr>
            <w:r w:rsidRPr="00EE45DB">
              <w:rPr>
                <w:rFonts w:ascii="Times New Roman" w:hAnsi="Times New Roman" w:cs="Times New Roman"/>
                <w:b/>
                <w:bCs/>
                <w:color w:val="000000"/>
                <w:sz w:val="13"/>
                <w:szCs w:val="13"/>
              </w:rPr>
              <w:t>2 076 184 469</w:t>
            </w:r>
          </w:p>
        </w:tc>
      </w:tr>
      <w:tr w:rsidR="003A497B" w:rsidRPr="00BF3945" w:rsidTr="003E1809">
        <w:trPr>
          <w:trHeight w:val="255"/>
        </w:trPr>
        <w:tc>
          <w:tcPr>
            <w:tcW w:w="283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3A497B" w:rsidRPr="00BF3945" w:rsidRDefault="003A497B" w:rsidP="003E1809">
            <w:pPr>
              <w:rPr>
                <w:rFonts w:ascii="Times New Roman" w:hAnsi="Times New Roman" w:cs="Times New Roman"/>
                <w:b/>
                <w:bCs/>
                <w:color w:val="000000"/>
                <w:sz w:val="14"/>
                <w:szCs w:val="14"/>
                <w:lang w:eastAsia="sk-SK"/>
              </w:rPr>
            </w:pPr>
            <w:r w:rsidRPr="00BF3945">
              <w:rPr>
                <w:rFonts w:ascii="Times New Roman" w:hAnsi="Times New Roman" w:cs="Times New Roman"/>
                <w:b/>
                <w:bCs/>
                <w:color w:val="000000"/>
                <w:sz w:val="14"/>
                <w:szCs w:val="14"/>
                <w:lang w:eastAsia="sk-SK"/>
              </w:rPr>
              <w:t xml:space="preserve">zdroje príslušnej kapitoly </w:t>
            </w:r>
          </w:p>
        </w:tc>
        <w:tc>
          <w:tcPr>
            <w:tcW w:w="89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3A497B" w:rsidRPr="00D57B87" w:rsidRDefault="003A497B" w:rsidP="003E1809">
            <w:pPr>
              <w:jc w:val="right"/>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903 846 598</w:t>
            </w:r>
          </w:p>
        </w:tc>
        <w:tc>
          <w:tcPr>
            <w:tcW w:w="891" w:type="dxa"/>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D57B87" w:rsidRDefault="003A497B" w:rsidP="003E1809">
            <w:pPr>
              <w:jc w:val="right"/>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930 095 626</w:t>
            </w:r>
          </w:p>
        </w:tc>
        <w:tc>
          <w:tcPr>
            <w:tcW w:w="891" w:type="dxa"/>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D57B87" w:rsidRDefault="003A497B" w:rsidP="003E1809">
            <w:pPr>
              <w:jc w:val="center"/>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1 082 032 172</w:t>
            </w:r>
          </w:p>
        </w:tc>
        <w:tc>
          <w:tcPr>
            <w:tcW w:w="891" w:type="dxa"/>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D57B87" w:rsidRDefault="003A497B" w:rsidP="003E1809">
            <w:pPr>
              <w:jc w:val="center"/>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1 100 139 792</w:t>
            </w:r>
          </w:p>
        </w:tc>
        <w:tc>
          <w:tcPr>
            <w:tcW w:w="89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3A497B" w:rsidRPr="00EE45DB" w:rsidRDefault="003A497B" w:rsidP="003E1809">
            <w:pPr>
              <w:jc w:val="right"/>
              <w:rPr>
                <w:rFonts w:ascii="Times New Roman" w:hAnsi="Times New Roman" w:cs="Times New Roman"/>
                <w:b/>
                <w:bCs/>
                <w:color w:val="000000"/>
                <w:sz w:val="13"/>
                <w:szCs w:val="13"/>
              </w:rPr>
            </w:pPr>
            <w:r w:rsidRPr="00EE45DB">
              <w:rPr>
                <w:rFonts w:ascii="Times New Roman" w:hAnsi="Times New Roman" w:cs="Times New Roman"/>
                <w:b/>
                <w:bCs/>
                <w:color w:val="000000"/>
                <w:sz w:val="13"/>
                <w:szCs w:val="13"/>
              </w:rPr>
              <w:t>1 662 637 615</w:t>
            </w:r>
          </w:p>
        </w:tc>
        <w:tc>
          <w:tcPr>
            <w:tcW w:w="891" w:type="dxa"/>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EE45DB" w:rsidRDefault="003A497B" w:rsidP="003E1809">
            <w:pPr>
              <w:jc w:val="right"/>
              <w:rPr>
                <w:rFonts w:ascii="Times New Roman" w:hAnsi="Times New Roman" w:cs="Times New Roman"/>
                <w:b/>
                <w:bCs/>
                <w:color w:val="000000"/>
                <w:sz w:val="13"/>
                <w:szCs w:val="13"/>
              </w:rPr>
            </w:pPr>
            <w:r w:rsidRPr="00EE45DB">
              <w:rPr>
                <w:rFonts w:ascii="Times New Roman" w:hAnsi="Times New Roman" w:cs="Times New Roman"/>
                <w:b/>
                <w:bCs/>
                <w:color w:val="000000"/>
                <w:sz w:val="13"/>
                <w:szCs w:val="13"/>
              </w:rPr>
              <w:t>1 857 348 584</w:t>
            </w:r>
          </w:p>
        </w:tc>
        <w:tc>
          <w:tcPr>
            <w:tcW w:w="891" w:type="dxa"/>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EE45DB" w:rsidRDefault="003A497B" w:rsidP="003E1809">
            <w:pPr>
              <w:jc w:val="right"/>
              <w:rPr>
                <w:rFonts w:ascii="Times New Roman" w:hAnsi="Times New Roman" w:cs="Times New Roman"/>
                <w:b/>
                <w:bCs/>
                <w:color w:val="000000"/>
                <w:sz w:val="13"/>
                <w:szCs w:val="13"/>
              </w:rPr>
            </w:pPr>
            <w:r w:rsidRPr="00EE45DB">
              <w:rPr>
                <w:rFonts w:ascii="Times New Roman" w:hAnsi="Times New Roman" w:cs="Times New Roman"/>
                <w:b/>
                <w:bCs/>
                <w:color w:val="000000"/>
                <w:sz w:val="13"/>
                <w:szCs w:val="13"/>
              </w:rPr>
              <w:t>2 076 137 849</w:t>
            </w:r>
          </w:p>
        </w:tc>
      </w:tr>
      <w:tr w:rsidR="003A497B" w:rsidRPr="00BF3945" w:rsidTr="003E1809">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3A497B" w:rsidRPr="00BF3945" w:rsidRDefault="003A497B" w:rsidP="003E1809">
            <w:pPr>
              <w:rPr>
                <w:rFonts w:ascii="Times New Roman" w:hAnsi="Times New Roman" w:cs="Times New Roman"/>
                <w:b/>
                <w:bCs/>
                <w:color w:val="000000"/>
                <w:sz w:val="14"/>
                <w:szCs w:val="14"/>
                <w:lang w:eastAsia="sk-SK"/>
              </w:rPr>
            </w:pPr>
            <w:r w:rsidRPr="00BF3945">
              <w:rPr>
                <w:rFonts w:ascii="Times New Roman" w:hAnsi="Times New Roman" w:cs="Times New Roman"/>
                <w:b/>
                <w:bCs/>
                <w:color w:val="000000"/>
                <w:sz w:val="14"/>
                <w:szCs w:val="14"/>
                <w:lang w:eastAsia="sk-SK"/>
              </w:rPr>
              <w:t xml:space="preserve">rozpočtové zdroje kapitoly </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836 176 017</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920 875 014</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center"/>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1 082 032 172</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center"/>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1 100 139 792</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b/>
                <w:bCs/>
                <w:color w:val="000000"/>
                <w:sz w:val="13"/>
                <w:szCs w:val="13"/>
              </w:rPr>
            </w:pPr>
            <w:r w:rsidRPr="00EE45DB">
              <w:rPr>
                <w:rFonts w:ascii="Times New Roman" w:hAnsi="Times New Roman" w:cs="Times New Roman"/>
                <w:b/>
                <w:bCs/>
                <w:color w:val="000000"/>
                <w:sz w:val="13"/>
                <w:szCs w:val="13"/>
              </w:rPr>
              <w:t>1 662 637 615</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b/>
                <w:bCs/>
                <w:color w:val="000000"/>
                <w:sz w:val="13"/>
                <w:szCs w:val="13"/>
              </w:rPr>
            </w:pPr>
            <w:r w:rsidRPr="00EE45DB">
              <w:rPr>
                <w:rFonts w:ascii="Times New Roman" w:hAnsi="Times New Roman" w:cs="Times New Roman"/>
                <w:b/>
                <w:bCs/>
                <w:color w:val="000000"/>
                <w:sz w:val="13"/>
                <w:szCs w:val="13"/>
              </w:rPr>
              <w:t>1 857 348 584</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b/>
                <w:bCs/>
                <w:color w:val="000000"/>
                <w:sz w:val="13"/>
                <w:szCs w:val="13"/>
              </w:rPr>
            </w:pPr>
            <w:r w:rsidRPr="00EE45DB">
              <w:rPr>
                <w:rFonts w:ascii="Times New Roman" w:hAnsi="Times New Roman" w:cs="Times New Roman"/>
                <w:b/>
                <w:bCs/>
                <w:color w:val="000000"/>
                <w:sz w:val="13"/>
                <w:szCs w:val="13"/>
              </w:rPr>
              <w:t>2 076 137 849</w:t>
            </w:r>
          </w:p>
        </w:tc>
      </w:tr>
      <w:tr w:rsidR="003A497B" w:rsidRPr="00BF3945" w:rsidTr="003E1809">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3A497B" w:rsidRPr="00BF3945" w:rsidRDefault="003A497B" w:rsidP="003E1809">
            <w:pPr>
              <w:rPr>
                <w:rFonts w:ascii="Times New Roman" w:hAnsi="Times New Roman" w:cs="Times New Roman"/>
                <w:color w:val="000000"/>
                <w:sz w:val="14"/>
                <w:szCs w:val="14"/>
                <w:lang w:eastAsia="sk-SK"/>
              </w:rPr>
            </w:pPr>
            <w:r w:rsidRPr="00BF3945">
              <w:rPr>
                <w:rFonts w:ascii="Times New Roman" w:hAnsi="Times New Roman" w:cs="Times New Roman"/>
                <w:color w:val="000000"/>
                <w:sz w:val="14"/>
                <w:szCs w:val="14"/>
                <w:lang w:eastAsia="sk-SK"/>
              </w:rPr>
              <w:t xml:space="preserve">    v tom: bežné výdavky  600</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719 013 329</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779 000 320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834 878 427</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851 701 029</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color w:val="000000"/>
                <w:sz w:val="13"/>
                <w:szCs w:val="13"/>
              </w:rPr>
            </w:pPr>
            <w:r w:rsidRPr="00EE45DB">
              <w:rPr>
                <w:rFonts w:ascii="Times New Roman" w:hAnsi="Times New Roman" w:cs="Times New Roman"/>
                <w:color w:val="000000"/>
                <w:sz w:val="13"/>
                <w:szCs w:val="13"/>
              </w:rPr>
              <w:t>839 329 548</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color w:val="000000"/>
                <w:sz w:val="13"/>
                <w:szCs w:val="13"/>
              </w:rPr>
            </w:pPr>
            <w:r w:rsidRPr="00EE45DB">
              <w:rPr>
                <w:rFonts w:ascii="Times New Roman" w:hAnsi="Times New Roman" w:cs="Times New Roman"/>
                <w:color w:val="000000"/>
                <w:sz w:val="13"/>
                <w:szCs w:val="13"/>
              </w:rPr>
              <w:t>1 126 628 820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color w:val="000000"/>
                <w:sz w:val="13"/>
                <w:szCs w:val="13"/>
              </w:rPr>
            </w:pPr>
            <w:r w:rsidRPr="00EE45DB">
              <w:rPr>
                <w:rFonts w:ascii="Times New Roman" w:hAnsi="Times New Roman" w:cs="Times New Roman"/>
                <w:color w:val="000000"/>
                <w:sz w:val="13"/>
                <w:szCs w:val="13"/>
              </w:rPr>
              <w:t>1 382 475 885</w:t>
            </w:r>
          </w:p>
        </w:tc>
      </w:tr>
      <w:tr w:rsidR="003A497B" w:rsidRPr="00BF3945" w:rsidTr="003E1809">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3A497B" w:rsidRPr="00BF3945" w:rsidRDefault="003A497B" w:rsidP="003E1809">
            <w:pPr>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w:t>
            </w:r>
            <w:r w:rsidRPr="00BF3945">
              <w:rPr>
                <w:rFonts w:ascii="Times New Roman" w:hAnsi="Times New Roman" w:cs="Times New Roman"/>
                <w:color w:val="000000"/>
                <w:sz w:val="14"/>
                <w:szCs w:val="14"/>
                <w:lang w:eastAsia="sk-SK"/>
              </w:rPr>
              <w:t xml:space="preserve">  610 mzdy</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265 977 404</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276 962 596</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277 542 180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301 352 396</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color w:val="000000"/>
                <w:sz w:val="13"/>
                <w:szCs w:val="13"/>
              </w:rPr>
            </w:pPr>
            <w:r w:rsidRPr="00EE45DB">
              <w:rPr>
                <w:rFonts w:ascii="Times New Roman" w:hAnsi="Times New Roman" w:cs="Times New Roman"/>
                <w:color w:val="000000"/>
                <w:sz w:val="13"/>
                <w:szCs w:val="13"/>
              </w:rPr>
              <w:t>290 369 568</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color w:val="000000"/>
                <w:sz w:val="13"/>
                <w:szCs w:val="13"/>
              </w:rPr>
            </w:pPr>
            <w:r w:rsidRPr="00EE45DB">
              <w:rPr>
                <w:rFonts w:ascii="Times New Roman" w:hAnsi="Times New Roman" w:cs="Times New Roman"/>
                <w:color w:val="000000"/>
                <w:sz w:val="13"/>
                <w:szCs w:val="13"/>
              </w:rPr>
              <w:t>290 369 568</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color w:val="000000"/>
                <w:sz w:val="13"/>
                <w:szCs w:val="13"/>
              </w:rPr>
            </w:pPr>
            <w:r w:rsidRPr="00EE45DB">
              <w:rPr>
                <w:rFonts w:ascii="Times New Roman" w:hAnsi="Times New Roman" w:cs="Times New Roman"/>
                <w:color w:val="000000"/>
                <w:sz w:val="13"/>
                <w:szCs w:val="13"/>
              </w:rPr>
              <w:t>290 369 568</w:t>
            </w:r>
          </w:p>
        </w:tc>
      </w:tr>
      <w:tr w:rsidR="003A497B" w:rsidRPr="00BF3945" w:rsidTr="003E1809">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3A497B" w:rsidRPr="00BF3945" w:rsidRDefault="003A497B" w:rsidP="003E1809">
            <w:pPr>
              <w:rPr>
                <w:rFonts w:ascii="Times New Roman" w:hAnsi="Times New Roman" w:cs="Times New Roman"/>
                <w:color w:val="000000"/>
                <w:sz w:val="14"/>
                <w:szCs w:val="14"/>
                <w:lang w:eastAsia="sk-SK"/>
              </w:rPr>
            </w:pPr>
            <w:r w:rsidRPr="00BF3945">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BF3945">
              <w:rPr>
                <w:rFonts w:ascii="Times New Roman" w:hAnsi="Times New Roman" w:cs="Times New Roman"/>
                <w:color w:val="000000"/>
                <w:sz w:val="14"/>
                <w:szCs w:val="14"/>
                <w:lang w:eastAsia="sk-SK"/>
              </w:rPr>
              <w:t>620 odvody</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94 976 012</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98 971 253</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106 404 751</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110 808 200</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color w:val="000000"/>
                <w:sz w:val="13"/>
                <w:szCs w:val="13"/>
              </w:rPr>
            </w:pPr>
            <w:r w:rsidRPr="00EE45DB">
              <w:rPr>
                <w:rFonts w:ascii="Times New Roman" w:hAnsi="Times New Roman" w:cs="Times New Roman"/>
                <w:color w:val="000000"/>
                <w:sz w:val="13"/>
                <w:szCs w:val="13"/>
              </w:rPr>
              <w:t>107 146 371</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color w:val="000000"/>
                <w:sz w:val="13"/>
                <w:szCs w:val="13"/>
              </w:rPr>
            </w:pPr>
            <w:r w:rsidRPr="00EE45DB">
              <w:rPr>
                <w:rFonts w:ascii="Times New Roman" w:hAnsi="Times New Roman" w:cs="Times New Roman"/>
                <w:color w:val="000000"/>
                <w:sz w:val="13"/>
                <w:szCs w:val="13"/>
              </w:rPr>
              <w:t>107 146 371</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color w:val="000000"/>
                <w:sz w:val="13"/>
                <w:szCs w:val="13"/>
              </w:rPr>
            </w:pPr>
            <w:r w:rsidRPr="00EE45DB">
              <w:rPr>
                <w:rFonts w:ascii="Times New Roman" w:hAnsi="Times New Roman" w:cs="Times New Roman"/>
                <w:color w:val="000000"/>
                <w:sz w:val="13"/>
                <w:szCs w:val="13"/>
              </w:rPr>
              <w:t>107 146 371</w:t>
            </w:r>
          </w:p>
        </w:tc>
      </w:tr>
      <w:tr w:rsidR="003A497B" w:rsidRPr="00BF3945" w:rsidTr="003E1809">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3A497B" w:rsidRPr="00BF3945" w:rsidRDefault="003A497B" w:rsidP="003E1809">
            <w:pPr>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w:t>
            </w:r>
            <w:r w:rsidRPr="00BF3945">
              <w:rPr>
                <w:rFonts w:ascii="Times New Roman" w:hAnsi="Times New Roman" w:cs="Times New Roman"/>
                <w:color w:val="000000"/>
                <w:sz w:val="14"/>
                <w:szCs w:val="14"/>
                <w:lang w:eastAsia="sk-SK"/>
              </w:rPr>
              <w:t>630 tovary a služby</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197 510 296</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250 481 177</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288 732 160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276 903 667</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color w:val="000000"/>
                <w:sz w:val="13"/>
                <w:szCs w:val="13"/>
              </w:rPr>
            </w:pPr>
            <w:r w:rsidRPr="00EE45DB">
              <w:rPr>
                <w:rFonts w:ascii="Times New Roman" w:hAnsi="Times New Roman" w:cs="Times New Roman"/>
                <w:color w:val="000000"/>
                <w:sz w:val="13"/>
                <w:szCs w:val="13"/>
              </w:rPr>
              <w:t>281 668 451</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color w:val="000000"/>
                <w:sz w:val="13"/>
                <w:szCs w:val="13"/>
              </w:rPr>
            </w:pPr>
            <w:r w:rsidRPr="00EE45DB">
              <w:rPr>
                <w:rFonts w:ascii="Times New Roman" w:hAnsi="Times New Roman" w:cs="Times New Roman"/>
                <w:color w:val="000000"/>
                <w:sz w:val="13"/>
                <w:szCs w:val="13"/>
              </w:rPr>
              <w:t>559 465 482</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color w:val="000000"/>
                <w:sz w:val="13"/>
                <w:szCs w:val="13"/>
              </w:rPr>
            </w:pPr>
            <w:r w:rsidRPr="00EE45DB">
              <w:rPr>
                <w:rFonts w:ascii="Times New Roman" w:hAnsi="Times New Roman" w:cs="Times New Roman"/>
                <w:color w:val="000000"/>
                <w:sz w:val="13"/>
                <w:szCs w:val="13"/>
              </w:rPr>
              <w:t>814 375 598</w:t>
            </w:r>
          </w:p>
        </w:tc>
      </w:tr>
      <w:tr w:rsidR="003A497B" w:rsidRPr="00BF3945" w:rsidTr="003E1809">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3A497B" w:rsidRPr="00BF3945" w:rsidRDefault="003A497B" w:rsidP="003E1809">
            <w:pPr>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w:t>
            </w:r>
            <w:r w:rsidRPr="00BF3945">
              <w:rPr>
                <w:rFonts w:ascii="Times New Roman" w:hAnsi="Times New Roman" w:cs="Times New Roman"/>
                <w:color w:val="000000"/>
                <w:sz w:val="14"/>
                <w:szCs w:val="14"/>
                <w:lang w:eastAsia="sk-SK"/>
              </w:rPr>
              <w:t>640 bežné transfery</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160 549 617</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152 585 295</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162 199 336</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162 636 766</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color w:val="000000"/>
                <w:sz w:val="13"/>
                <w:szCs w:val="13"/>
              </w:rPr>
            </w:pPr>
            <w:r w:rsidRPr="00EE45DB">
              <w:rPr>
                <w:rFonts w:ascii="Times New Roman" w:hAnsi="Times New Roman" w:cs="Times New Roman"/>
                <w:color w:val="000000"/>
                <w:sz w:val="13"/>
                <w:szCs w:val="13"/>
              </w:rPr>
              <w:t>160 145 158</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color w:val="000000"/>
                <w:sz w:val="13"/>
                <w:szCs w:val="13"/>
              </w:rPr>
            </w:pPr>
            <w:r w:rsidRPr="00EE45DB">
              <w:rPr>
                <w:rFonts w:ascii="Times New Roman" w:hAnsi="Times New Roman" w:cs="Times New Roman"/>
                <w:color w:val="000000"/>
                <w:sz w:val="13"/>
                <w:szCs w:val="13"/>
              </w:rPr>
              <w:t>169 647 399</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color w:val="000000"/>
                <w:sz w:val="13"/>
                <w:szCs w:val="13"/>
              </w:rPr>
            </w:pPr>
            <w:r w:rsidRPr="00EE45DB">
              <w:rPr>
                <w:rFonts w:ascii="Times New Roman" w:hAnsi="Times New Roman" w:cs="Times New Roman"/>
                <w:color w:val="000000"/>
                <w:sz w:val="13"/>
                <w:szCs w:val="13"/>
              </w:rPr>
              <w:t>170 584 348</w:t>
            </w:r>
          </w:p>
        </w:tc>
      </w:tr>
      <w:tr w:rsidR="003A497B" w:rsidRPr="00BF3945" w:rsidTr="003E1809">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3A497B" w:rsidRPr="00BF3945" w:rsidRDefault="003A497B" w:rsidP="003E1809">
            <w:pPr>
              <w:rPr>
                <w:rFonts w:ascii="Times New Roman" w:hAnsi="Times New Roman" w:cs="Times New Roman"/>
                <w:color w:val="000000"/>
                <w:sz w:val="14"/>
                <w:szCs w:val="14"/>
                <w:lang w:eastAsia="sk-SK"/>
              </w:rPr>
            </w:pPr>
            <w:r w:rsidRPr="00BF3945">
              <w:rPr>
                <w:rFonts w:ascii="Times New Roman" w:hAnsi="Times New Roman" w:cs="Times New Roman"/>
                <w:color w:val="000000"/>
                <w:sz w:val="14"/>
                <w:szCs w:val="14"/>
                <w:lang w:eastAsia="sk-SK"/>
              </w:rPr>
              <w:t xml:space="preserve">               kapitálové výdavky 700</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117 162 688</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141 874 694</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247 153 745</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color w:val="000000"/>
                <w:sz w:val="13"/>
                <w:szCs w:val="13"/>
              </w:rPr>
            </w:pPr>
            <w:r w:rsidRPr="00D57B87">
              <w:rPr>
                <w:rFonts w:ascii="Times New Roman" w:hAnsi="Times New Roman" w:cs="Times New Roman"/>
                <w:color w:val="000000"/>
                <w:sz w:val="13"/>
                <w:szCs w:val="13"/>
              </w:rPr>
              <w:t>248 438 763</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color w:val="000000"/>
                <w:sz w:val="13"/>
                <w:szCs w:val="13"/>
              </w:rPr>
            </w:pPr>
            <w:r w:rsidRPr="00EE45DB">
              <w:rPr>
                <w:rFonts w:ascii="Times New Roman" w:hAnsi="Times New Roman" w:cs="Times New Roman"/>
                <w:color w:val="000000"/>
                <w:sz w:val="13"/>
                <w:szCs w:val="13"/>
              </w:rPr>
              <w:t>823 308 067</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color w:val="000000"/>
                <w:sz w:val="13"/>
                <w:szCs w:val="13"/>
              </w:rPr>
            </w:pPr>
            <w:r w:rsidRPr="00EE45DB">
              <w:rPr>
                <w:rFonts w:ascii="Times New Roman" w:hAnsi="Times New Roman" w:cs="Times New Roman"/>
                <w:color w:val="000000"/>
                <w:sz w:val="13"/>
                <w:szCs w:val="13"/>
              </w:rPr>
              <w:t>730 719 764</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color w:val="000000"/>
                <w:sz w:val="13"/>
                <w:szCs w:val="13"/>
              </w:rPr>
            </w:pPr>
            <w:r w:rsidRPr="00EE45DB">
              <w:rPr>
                <w:rFonts w:ascii="Times New Roman" w:hAnsi="Times New Roman" w:cs="Times New Roman"/>
                <w:color w:val="000000"/>
                <w:sz w:val="13"/>
                <w:szCs w:val="13"/>
              </w:rPr>
              <w:t>693 661 964</w:t>
            </w:r>
          </w:p>
        </w:tc>
      </w:tr>
      <w:tr w:rsidR="003A497B" w:rsidRPr="00BF3945" w:rsidTr="003E1809">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3A497B" w:rsidRPr="00BF3945" w:rsidRDefault="003A497B" w:rsidP="003E1809">
            <w:pPr>
              <w:rPr>
                <w:rFonts w:ascii="Times New Roman" w:hAnsi="Times New Roman" w:cs="Times New Roman"/>
                <w:b/>
                <w:bCs/>
                <w:color w:val="000000"/>
                <w:sz w:val="14"/>
                <w:szCs w:val="14"/>
                <w:lang w:eastAsia="sk-SK"/>
              </w:rPr>
            </w:pPr>
            <w:r w:rsidRPr="00BF3945">
              <w:rPr>
                <w:rFonts w:ascii="Times New Roman" w:hAnsi="Times New Roman" w:cs="Times New Roman"/>
                <w:b/>
                <w:bCs/>
                <w:color w:val="000000"/>
                <w:sz w:val="14"/>
                <w:szCs w:val="14"/>
                <w:lang w:eastAsia="sk-SK"/>
              </w:rPr>
              <w:t>zdroje EÚ vrátane spolufinancovania</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19 400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0</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b/>
                <w:bCs/>
                <w:color w:val="000000"/>
                <w:sz w:val="13"/>
                <w:szCs w:val="13"/>
              </w:rPr>
            </w:pPr>
            <w:r w:rsidRPr="00EE45DB">
              <w:rPr>
                <w:rFonts w:ascii="Times New Roman" w:hAnsi="Times New Roman" w:cs="Times New Roman"/>
                <w:b/>
                <w:bCs/>
                <w:color w:val="000000"/>
                <w:sz w:val="13"/>
                <w:szCs w:val="13"/>
              </w:rPr>
              <w:t>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b/>
                <w:bCs/>
                <w:color w:val="000000"/>
                <w:sz w:val="13"/>
                <w:szCs w:val="13"/>
              </w:rPr>
            </w:pPr>
            <w:r w:rsidRPr="00EE45DB">
              <w:rPr>
                <w:rFonts w:ascii="Times New Roman" w:hAnsi="Times New Roman" w:cs="Times New Roman"/>
                <w:b/>
                <w:bCs/>
                <w:color w:val="000000"/>
                <w:sz w:val="13"/>
                <w:szCs w:val="13"/>
              </w:rPr>
              <w:t>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b/>
                <w:bCs/>
                <w:color w:val="000000"/>
                <w:sz w:val="13"/>
                <w:szCs w:val="13"/>
              </w:rPr>
            </w:pPr>
            <w:r w:rsidRPr="00EE45DB">
              <w:rPr>
                <w:rFonts w:ascii="Times New Roman" w:hAnsi="Times New Roman" w:cs="Times New Roman"/>
                <w:b/>
                <w:bCs/>
                <w:color w:val="000000"/>
                <w:sz w:val="13"/>
                <w:szCs w:val="13"/>
              </w:rPr>
              <w:t>0</w:t>
            </w:r>
          </w:p>
        </w:tc>
      </w:tr>
      <w:tr w:rsidR="003A497B" w:rsidRPr="00BF3945" w:rsidTr="003E1809">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3A497B" w:rsidRPr="00BF3945" w:rsidRDefault="003A497B" w:rsidP="003E1809">
            <w:pPr>
              <w:rPr>
                <w:rFonts w:ascii="Times New Roman" w:hAnsi="Times New Roman" w:cs="Times New Roman"/>
                <w:b/>
                <w:bCs/>
                <w:color w:val="000000"/>
                <w:sz w:val="14"/>
                <w:szCs w:val="14"/>
                <w:lang w:eastAsia="sk-SK"/>
              </w:rPr>
            </w:pPr>
            <w:r w:rsidRPr="00BF3945">
              <w:rPr>
                <w:rFonts w:ascii="Times New Roman" w:hAnsi="Times New Roman" w:cs="Times New Roman"/>
                <w:b/>
                <w:bCs/>
                <w:color w:val="000000"/>
                <w:sz w:val="14"/>
                <w:szCs w:val="14"/>
                <w:lang w:eastAsia="sk-SK"/>
              </w:rPr>
              <w:t>presun z minulých rokov § 8</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67 651 181</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9 220 612</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0</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b/>
                <w:bCs/>
                <w:color w:val="000000"/>
                <w:sz w:val="13"/>
                <w:szCs w:val="13"/>
              </w:rPr>
            </w:pPr>
            <w:r w:rsidRPr="00EE45DB">
              <w:rPr>
                <w:rFonts w:ascii="Times New Roman" w:hAnsi="Times New Roman" w:cs="Times New Roman"/>
                <w:b/>
                <w:bCs/>
                <w:color w:val="000000"/>
                <w:sz w:val="13"/>
                <w:szCs w:val="13"/>
              </w:rPr>
              <w:t>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b/>
                <w:bCs/>
                <w:color w:val="000000"/>
                <w:sz w:val="13"/>
                <w:szCs w:val="13"/>
              </w:rPr>
            </w:pPr>
            <w:r w:rsidRPr="00EE45DB">
              <w:rPr>
                <w:rFonts w:ascii="Times New Roman" w:hAnsi="Times New Roman" w:cs="Times New Roman"/>
                <w:b/>
                <w:bCs/>
                <w:color w:val="000000"/>
                <w:sz w:val="13"/>
                <w:szCs w:val="13"/>
              </w:rPr>
              <w:t>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b/>
                <w:bCs/>
                <w:color w:val="000000"/>
                <w:sz w:val="13"/>
                <w:szCs w:val="13"/>
              </w:rPr>
            </w:pPr>
            <w:r w:rsidRPr="00EE45DB">
              <w:rPr>
                <w:rFonts w:ascii="Times New Roman" w:hAnsi="Times New Roman" w:cs="Times New Roman"/>
                <w:b/>
                <w:bCs/>
                <w:color w:val="000000"/>
                <w:sz w:val="13"/>
                <w:szCs w:val="13"/>
              </w:rPr>
              <w:t>0</w:t>
            </w:r>
          </w:p>
        </w:tc>
      </w:tr>
      <w:tr w:rsidR="003A497B" w:rsidRPr="00BF3945" w:rsidTr="003E1809">
        <w:trPr>
          <w:trHeight w:val="25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rsidR="003A497B" w:rsidRPr="00BF3945" w:rsidRDefault="003A497B" w:rsidP="003E1809">
            <w:pPr>
              <w:rPr>
                <w:rFonts w:ascii="Times New Roman" w:hAnsi="Times New Roman" w:cs="Times New Roman"/>
                <w:b/>
                <w:bCs/>
                <w:color w:val="000000"/>
                <w:sz w:val="14"/>
                <w:szCs w:val="14"/>
                <w:lang w:eastAsia="sk-SK"/>
              </w:rPr>
            </w:pPr>
            <w:r w:rsidRPr="00BF3945">
              <w:rPr>
                <w:rFonts w:ascii="Times New Roman" w:hAnsi="Times New Roman" w:cs="Times New Roman"/>
                <w:b/>
                <w:bCs/>
                <w:color w:val="000000"/>
                <w:sz w:val="14"/>
                <w:szCs w:val="14"/>
                <w:lang w:eastAsia="sk-SK"/>
              </w:rPr>
              <w:t>zdroj 72d, 72e, 72g*</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45 093</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39 404</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46 620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b/>
                <w:bCs/>
                <w:color w:val="000000"/>
                <w:sz w:val="13"/>
                <w:szCs w:val="13"/>
              </w:rPr>
            </w:pPr>
            <w:r w:rsidRPr="00D57B87">
              <w:rPr>
                <w:rFonts w:ascii="Times New Roman" w:hAnsi="Times New Roman" w:cs="Times New Roman"/>
                <w:b/>
                <w:bCs/>
                <w:color w:val="000000"/>
                <w:sz w:val="13"/>
                <w:szCs w:val="13"/>
              </w:rPr>
              <w:t>67 127</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b/>
                <w:bCs/>
                <w:color w:val="000000"/>
                <w:sz w:val="13"/>
                <w:szCs w:val="13"/>
              </w:rPr>
            </w:pPr>
            <w:r w:rsidRPr="00EE45DB">
              <w:rPr>
                <w:rFonts w:ascii="Times New Roman" w:hAnsi="Times New Roman" w:cs="Times New Roman"/>
                <w:b/>
                <w:bCs/>
                <w:color w:val="000000"/>
                <w:sz w:val="13"/>
                <w:szCs w:val="13"/>
              </w:rPr>
              <w:t>46 620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b/>
                <w:bCs/>
                <w:color w:val="000000"/>
                <w:sz w:val="13"/>
                <w:szCs w:val="13"/>
              </w:rPr>
            </w:pPr>
            <w:r w:rsidRPr="00EE45DB">
              <w:rPr>
                <w:rFonts w:ascii="Times New Roman" w:hAnsi="Times New Roman" w:cs="Times New Roman"/>
                <w:b/>
                <w:bCs/>
                <w:color w:val="000000"/>
                <w:sz w:val="13"/>
                <w:szCs w:val="13"/>
              </w:rPr>
              <w:t>46 620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EE45DB" w:rsidRDefault="003A497B" w:rsidP="003E1809">
            <w:pPr>
              <w:jc w:val="right"/>
              <w:rPr>
                <w:rFonts w:ascii="Times New Roman" w:hAnsi="Times New Roman" w:cs="Times New Roman"/>
                <w:b/>
                <w:bCs/>
                <w:color w:val="000000"/>
                <w:sz w:val="13"/>
                <w:szCs w:val="13"/>
              </w:rPr>
            </w:pPr>
            <w:r w:rsidRPr="00EE45DB">
              <w:rPr>
                <w:rFonts w:ascii="Times New Roman" w:hAnsi="Times New Roman" w:cs="Times New Roman"/>
                <w:b/>
                <w:bCs/>
                <w:color w:val="000000"/>
                <w:sz w:val="13"/>
                <w:szCs w:val="13"/>
              </w:rPr>
              <w:t>46 620</w:t>
            </w:r>
          </w:p>
        </w:tc>
      </w:tr>
    </w:tbl>
    <w:p w:rsidR="003A497B" w:rsidRDefault="003A497B" w:rsidP="003A497B">
      <w:pPr>
        <w:jc w:val="both"/>
        <w:rPr>
          <w:rFonts w:ascii="Times New Roman" w:hAnsi="Times New Roman" w:cs="Times New Roman"/>
          <w:sz w:val="12"/>
          <w:szCs w:val="12"/>
          <w:lang w:eastAsia="sk-SK"/>
        </w:rPr>
      </w:pPr>
      <w:r>
        <w:rPr>
          <w:rFonts w:ascii="Times New Roman" w:hAnsi="Times New Roman" w:cs="Times New Roman"/>
          <w:sz w:val="12"/>
          <w:szCs w:val="12"/>
          <w:lang w:eastAsia="sk-SK"/>
        </w:rPr>
        <w:t>* 72d – získané z rozdielu medzi výnosmi a nákladmi z podnikateľskej činnosti po zdanení</w:t>
      </w:r>
    </w:p>
    <w:p w:rsidR="003A497B" w:rsidRDefault="003A497B" w:rsidP="003A497B">
      <w:pPr>
        <w:jc w:val="both"/>
        <w:rPr>
          <w:rFonts w:ascii="Times New Roman" w:hAnsi="Times New Roman" w:cs="Times New Roman"/>
          <w:sz w:val="12"/>
          <w:szCs w:val="12"/>
          <w:lang w:eastAsia="sk-SK"/>
        </w:rPr>
      </w:pPr>
      <w:r>
        <w:rPr>
          <w:rFonts w:ascii="Times New Roman" w:hAnsi="Times New Roman" w:cs="Times New Roman"/>
          <w:sz w:val="12"/>
          <w:szCs w:val="12"/>
          <w:lang w:eastAsia="sk-SK"/>
        </w:rPr>
        <w:t xml:space="preserve">   72e – z poistného plnenia zo zmluvného poistenia alebo zo zákonného poistenia</w:t>
      </w:r>
    </w:p>
    <w:p w:rsidR="003A497B" w:rsidRDefault="003A497B" w:rsidP="003A497B">
      <w:pPr>
        <w:jc w:val="both"/>
        <w:rPr>
          <w:rFonts w:ascii="Times New Roman" w:hAnsi="Times New Roman" w:cs="Times New Roman"/>
          <w:sz w:val="12"/>
          <w:szCs w:val="12"/>
          <w:lang w:eastAsia="sk-SK"/>
        </w:rPr>
      </w:pPr>
      <w:r>
        <w:rPr>
          <w:rFonts w:ascii="Times New Roman" w:hAnsi="Times New Roman" w:cs="Times New Roman"/>
          <w:sz w:val="12"/>
          <w:szCs w:val="12"/>
          <w:lang w:eastAsia="sk-SK"/>
        </w:rPr>
        <w:t xml:space="preserve">   72g – od fyzickej osoby alebo právnickej osoby podľa osobitného predpisu</w:t>
      </w:r>
    </w:p>
    <w:p w:rsidR="003A497B" w:rsidRPr="0021519A" w:rsidRDefault="003A497B" w:rsidP="003A497B">
      <w:pPr>
        <w:jc w:val="both"/>
        <w:rPr>
          <w:rFonts w:ascii="Times New Roman" w:hAnsi="Times New Roman" w:cs="Times New Roman"/>
          <w:sz w:val="12"/>
          <w:szCs w:val="12"/>
          <w:lang w:eastAsia="sk-SK"/>
        </w:rPr>
      </w:pPr>
    </w:p>
    <w:tbl>
      <w:tblPr>
        <w:tblW w:w="9067" w:type="dxa"/>
        <w:tblLayout w:type="fixed"/>
        <w:tblCellMar>
          <w:left w:w="70" w:type="dxa"/>
          <w:right w:w="70" w:type="dxa"/>
        </w:tblCellMar>
        <w:tblLook w:val="04A0" w:firstRow="1" w:lastRow="0" w:firstColumn="1" w:lastColumn="0" w:noHBand="0" w:noVBand="1"/>
      </w:tblPr>
      <w:tblGrid>
        <w:gridCol w:w="2830"/>
        <w:gridCol w:w="851"/>
        <w:gridCol w:w="992"/>
        <w:gridCol w:w="851"/>
        <w:gridCol w:w="850"/>
        <w:gridCol w:w="992"/>
        <w:gridCol w:w="851"/>
        <w:gridCol w:w="850"/>
      </w:tblGrid>
      <w:tr w:rsidR="003A497B" w:rsidRPr="0021519A" w:rsidTr="003E1809">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7B" w:rsidRPr="0021519A" w:rsidRDefault="003A497B" w:rsidP="003E1809">
            <w:pPr>
              <w:rPr>
                <w:rFonts w:ascii="Times New Roman" w:hAnsi="Times New Roman" w:cs="Times New Roman"/>
                <w:b/>
                <w:bCs/>
                <w:color w:val="000000"/>
                <w:sz w:val="14"/>
                <w:szCs w:val="14"/>
                <w:lang w:eastAsia="sk-SK"/>
              </w:rPr>
            </w:pPr>
            <w:r w:rsidRPr="0021519A">
              <w:rPr>
                <w:rFonts w:ascii="Times New Roman" w:hAnsi="Times New Roman" w:cs="Times New Roman"/>
                <w:b/>
                <w:bCs/>
                <w:color w:val="000000"/>
                <w:sz w:val="14"/>
                <w:szCs w:val="14"/>
                <w:lang w:eastAsia="sk-SK"/>
              </w:rPr>
              <w:t>Samostatné účty</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b/>
                <w:bCs/>
                <w:color w:val="000000"/>
                <w:sz w:val="14"/>
                <w:szCs w:val="14"/>
                <w:lang w:eastAsia="sk-SK"/>
              </w:rPr>
            </w:pPr>
            <w:r w:rsidRPr="00D57B87">
              <w:rPr>
                <w:rFonts w:ascii="Times New Roman" w:hAnsi="Times New Roman" w:cs="Times New Roman"/>
                <w:b/>
                <w:bCs/>
                <w:color w:val="000000"/>
                <w:sz w:val="14"/>
                <w:szCs w:val="14"/>
              </w:rPr>
              <w:t>177 397 639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174 584 204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181 947 540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181 079 910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181 981 789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185 765 100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A497B" w:rsidRPr="00D57B87" w:rsidRDefault="003A497B" w:rsidP="003E1809">
            <w:pPr>
              <w:jc w:val="right"/>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185 765 100</w:t>
            </w:r>
          </w:p>
        </w:tc>
      </w:tr>
    </w:tbl>
    <w:p w:rsidR="003A497B" w:rsidRDefault="003A497B" w:rsidP="003A497B">
      <w:pPr>
        <w:jc w:val="both"/>
        <w:rPr>
          <w:rFonts w:ascii="Times New Roman" w:hAnsi="Times New Roman" w:cs="Times New Roman"/>
          <w:lang w:eastAsia="sk-SK"/>
        </w:rPr>
      </w:pPr>
    </w:p>
    <w:p w:rsidR="003A497B" w:rsidRDefault="003A497B" w:rsidP="003A497B">
      <w:pPr>
        <w:ind w:firstLine="708"/>
        <w:jc w:val="both"/>
        <w:rPr>
          <w:rFonts w:ascii="Times New Roman" w:hAnsi="Times New Roman" w:cs="Times New Roman"/>
        </w:rPr>
      </w:pPr>
      <w:r w:rsidRPr="00FD3AAE">
        <w:rPr>
          <w:rFonts w:ascii="Times New Roman" w:hAnsi="Times New Roman" w:cs="Times New Roman"/>
        </w:rPr>
        <w:t>Celk</w:t>
      </w:r>
      <w:r>
        <w:rPr>
          <w:rFonts w:ascii="Times New Roman" w:hAnsi="Times New Roman" w:cs="Times New Roman"/>
        </w:rPr>
        <w:t>ové výdavky kapitoly na rok 2019 sa rozpočtujú v sume 1,66</w:t>
      </w:r>
      <w:r w:rsidRPr="00FD3AAE">
        <w:rPr>
          <w:rFonts w:ascii="Times New Roman" w:hAnsi="Times New Roman" w:cs="Times New Roman"/>
        </w:rPr>
        <w:t xml:space="preserve"> mld. </w:t>
      </w:r>
      <w:r w:rsidRPr="00FD3AAE">
        <w:rPr>
          <w:rFonts w:ascii="Times New Roman" w:hAnsi="Times New Roman" w:cs="Times New Roman"/>
          <w:color w:val="000000"/>
        </w:rPr>
        <w:t>eur</w:t>
      </w:r>
      <w:r w:rsidRPr="00FD3AAE">
        <w:rPr>
          <w:rFonts w:ascii="Times New Roman" w:hAnsi="Times New Roman" w:cs="Times New Roman"/>
        </w:rPr>
        <w:t>. Rozpočt</w:t>
      </w:r>
      <w:r>
        <w:rPr>
          <w:rFonts w:ascii="Times New Roman" w:hAnsi="Times New Roman" w:cs="Times New Roman"/>
        </w:rPr>
        <w:t>ové výdavky kapitoly na rok 2019</w:t>
      </w:r>
      <w:r w:rsidRPr="00FD3AAE">
        <w:rPr>
          <w:rFonts w:ascii="Times New Roman" w:hAnsi="Times New Roman" w:cs="Times New Roman"/>
        </w:rPr>
        <w:t xml:space="preserve"> v porovnaní so </w:t>
      </w:r>
      <w:r>
        <w:rPr>
          <w:rFonts w:ascii="Times New Roman" w:hAnsi="Times New Roman" w:cs="Times New Roman"/>
        </w:rPr>
        <w:t>schváleným rozpočtom na rok 2018</w:t>
      </w:r>
      <w:r w:rsidRPr="00FD3AAE">
        <w:rPr>
          <w:rFonts w:ascii="Times New Roman" w:hAnsi="Times New Roman" w:cs="Times New Roman"/>
        </w:rPr>
        <w:t xml:space="preserve"> rastú </w:t>
      </w:r>
      <w:r>
        <w:rPr>
          <w:rFonts w:ascii="Times New Roman" w:hAnsi="Times New Roman" w:cs="Times New Roman"/>
        </w:rPr>
        <w:br/>
      </w:r>
      <w:r w:rsidRPr="00FD3AAE">
        <w:rPr>
          <w:rFonts w:ascii="Times New Roman" w:hAnsi="Times New Roman" w:cs="Times New Roman"/>
        </w:rPr>
        <w:t>o</w:t>
      </w:r>
      <w:r>
        <w:rPr>
          <w:rFonts w:ascii="Times New Roman" w:hAnsi="Times New Roman" w:cs="Times New Roman"/>
        </w:rPr>
        <w:t> 581 mil.</w:t>
      </w:r>
      <w:r w:rsidRPr="00FD3AAE">
        <w:rPr>
          <w:rFonts w:ascii="Times New Roman" w:hAnsi="Times New Roman" w:cs="Times New Roman"/>
        </w:rPr>
        <w:t xml:space="preserve"> eur, t. j. o</w:t>
      </w:r>
      <w:r>
        <w:rPr>
          <w:rFonts w:ascii="Times New Roman" w:hAnsi="Times New Roman" w:cs="Times New Roman"/>
        </w:rPr>
        <w:t> 53,7</w:t>
      </w:r>
      <w:r w:rsidRPr="00FD3AAE">
        <w:rPr>
          <w:rFonts w:ascii="Times New Roman" w:hAnsi="Times New Roman" w:cs="Times New Roman"/>
        </w:rPr>
        <w:t xml:space="preserve"> %.   </w:t>
      </w:r>
    </w:p>
    <w:p w:rsidR="003A497B" w:rsidRDefault="003A497B" w:rsidP="003A497B">
      <w:pPr>
        <w:ind w:firstLine="708"/>
        <w:jc w:val="both"/>
        <w:rPr>
          <w:rFonts w:ascii="Times New Roman" w:hAnsi="Times New Roman" w:cs="Times New Roman"/>
        </w:rPr>
      </w:pPr>
    </w:p>
    <w:p w:rsidR="003A497B" w:rsidRPr="005048B5" w:rsidRDefault="003A497B" w:rsidP="003A497B">
      <w:pPr>
        <w:ind w:firstLine="708"/>
        <w:jc w:val="both"/>
        <w:rPr>
          <w:rFonts w:ascii="Times New Roman" w:hAnsi="Times New Roman" w:cs="Times New Roman"/>
        </w:rPr>
      </w:pPr>
      <w:r w:rsidRPr="005048B5">
        <w:rPr>
          <w:rFonts w:ascii="Times New Roman" w:hAnsi="Times New Roman" w:cs="Times New Roman"/>
        </w:rPr>
        <w:t xml:space="preserve">Výdavky Ministerstva obrany SR (ďalej len „MO SR“) na roky 2019 až 2021 sú plánované v súlade s politickým záväzkom v rámci prísľubu investovania do obrany členskými štátmi NATO a závermi zo summitu NATO konaného v dňoch 11. a 12. júla 2018 v Bruseli, na ktorom bolo deklarované, že členovia NATO zastavia pokles výdavkov na obranu a do roku 2024 zvýšia svoje výdavky na obranu na 2 % svojho hrubého domáceho produktu. </w:t>
      </w:r>
    </w:p>
    <w:p w:rsidR="003A497B" w:rsidRPr="00F519FC" w:rsidRDefault="003A497B" w:rsidP="003A497B">
      <w:pPr>
        <w:ind w:firstLine="708"/>
        <w:jc w:val="both"/>
        <w:rPr>
          <w:rFonts w:ascii="Times New Roman" w:hAnsi="Times New Roman" w:cs="Times New Roman"/>
          <w:strike/>
        </w:rPr>
      </w:pPr>
    </w:p>
    <w:p w:rsidR="003A497B" w:rsidRDefault="003A497B" w:rsidP="003A497B">
      <w:pPr>
        <w:ind w:firstLine="708"/>
        <w:jc w:val="both"/>
        <w:rPr>
          <w:rFonts w:ascii="Times New Roman" w:hAnsi="Times New Roman" w:cs="Times New Roman"/>
        </w:rPr>
      </w:pPr>
      <w:r>
        <w:rPr>
          <w:rFonts w:ascii="Times New Roman" w:hAnsi="Times New Roman" w:cs="Times New Roman"/>
        </w:rPr>
        <w:t>Osobné výdavky na rok 2019</w:t>
      </w:r>
      <w:r w:rsidRPr="000D79F8">
        <w:rPr>
          <w:rFonts w:ascii="Times New Roman" w:hAnsi="Times New Roman" w:cs="Times New Roman"/>
        </w:rPr>
        <w:t xml:space="preserve"> sa rozpočtujú v sume </w:t>
      </w:r>
      <w:r>
        <w:rPr>
          <w:rFonts w:ascii="Times New Roman" w:hAnsi="Times New Roman" w:cs="Times New Roman"/>
        </w:rPr>
        <w:t>398</w:t>
      </w:r>
      <w:r w:rsidRPr="000D79F8">
        <w:rPr>
          <w:rFonts w:ascii="Times New Roman" w:hAnsi="Times New Roman" w:cs="Times New Roman"/>
        </w:rPr>
        <w:t xml:space="preserve"> mil. eur, čo predstavuje oprot</w:t>
      </w:r>
      <w:r>
        <w:rPr>
          <w:rFonts w:ascii="Times New Roman" w:hAnsi="Times New Roman" w:cs="Times New Roman"/>
        </w:rPr>
        <w:t>i schválenému rozpočtu roku 2018</w:t>
      </w:r>
      <w:r w:rsidRPr="000D79F8">
        <w:rPr>
          <w:rFonts w:ascii="Times New Roman" w:hAnsi="Times New Roman" w:cs="Times New Roman"/>
        </w:rPr>
        <w:t xml:space="preserve"> </w:t>
      </w:r>
      <w:r>
        <w:rPr>
          <w:rFonts w:ascii="Times New Roman" w:hAnsi="Times New Roman" w:cs="Times New Roman"/>
        </w:rPr>
        <w:t>nárast</w:t>
      </w:r>
      <w:r w:rsidRPr="000D79F8">
        <w:rPr>
          <w:rFonts w:ascii="Times New Roman" w:hAnsi="Times New Roman" w:cs="Times New Roman"/>
        </w:rPr>
        <w:t xml:space="preserve"> o sumu </w:t>
      </w:r>
      <w:r>
        <w:rPr>
          <w:rFonts w:ascii="Times New Roman" w:hAnsi="Times New Roman" w:cs="Times New Roman"/>
        </w:rPr>
        <w:t>13,6</w:t>
      </w:r>
      <w:r w:rsidRPr="000D79F8">
        <w:rPr>
          <w:rFonts w:ascii="Times New Roman" w:hAnsi="Times New Roman" w:cs="Times New Roman"/>
        </w:rPr>
        <w:t xml:space="preserve"> mil. eur, t. j. o</w:t>
      </w:r>
      <w:r>
        <w:rPr>
          <w:rFonts w:ascii="Times New Roman" w:hAnsi="Times New Roman" w:cs="Times New Roman"/>
        </w:rPr>
        <w:t> 3,53</w:t>
      </w:r>
      <w:r w:rsidRPr="000D79F8">
        <w:rPr>
          <w:rFonts w:ascii="Times New Roman" w:hAnsi="Times New Roman" w:cs="Times New Roman"/>
        </w:rPr>
        <w:t xml:space="preserve"> %</w:t>
      </w:r>
      <w:r>
        <w:rPr>
          <w:rFonts w:ascii="Times New Roman" w:hAnsi="Times New Roman" w:cs="Times New Roman"/>
        </w:rPr>
        <w:t>.</w:t>
      </w:r>
      <w:r w:rsidRPr="000D79F8">
        <w:rPr>
          <w:rFonts w:ascii="Times New Roman" w:hAnsi="Times New Roman" w:cs="Times New Roman"/>
        </w:rPr>
        <w:t xml:space="preserve"> </w:t>
      </w:r>
      <w:r>
        <w:rPr>
          <w:rFonts w:ascii="Times New Roman" w:hAnsi="Times New Roman" w:cs="Times New Roman"/>
        </w:rPr>
        <w:t xml:space="preserve">Tento nárast je spôsobený premietnutím valorizácie platov zamestnancov z roku 2018 do nasledujúcich rokov. </w:t>
      </w:r>
    </w:p>
    <w:p w:rsidR="003A497B" w:rsidRPr="000D79F8" w:rsidRDefault="003A497B" w:rsidP="003A497B">
      <w:pPr>
        <w:shd w:val="clear" w:color="auto" w:fill="FFFFFF"/>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Pr>
          <w:rFonts w:ascii="Times New Roman" w:hAnsi="Times New Roman" w:cs="Times New Roman"/>
        </w:rPr>
        <w:lastRenderedPageBreak/>
        <w:t>Tovary a služby na rok 2019</w:t>
      </w:r>
      <w:r w:rsidRPr="000D79F8">
        <w:rPr>
          <w:rFonts w:ascii="Times New Roman" w:hAnsi="Times New Roman" w:cs="Times New Roman"/>
        </w:rPr>
        <w:t xml:space="preserve"> sa rozpočtujú v sume </w:t>
      </w:r>
      <w:r>
        <w:rPr>
          <w:rFonts w:ascii="Times New Roman" w:hAnsi="Times New Roman" w:cs="Times New Roman"/>
        </w:rPr>
        <w:t>282</w:t>
      </w:r>
      <w:r w:rsidRPr="000D79F8">
        <w:rPr>
          <w:rFonts w:ascii="Times New Roman" w:hAnsi="Times New Roman" w:cs="Times New Roman"/>
        </w:rPr>
        <w:t xml:space="preserve"> mil. eur,  čo predstavuje oprot</w:t>
      </w:r>
      <w:r>
        <w:rPr>
          <w:rFonts w:ascii="Times New Roman" w:hAnsi="Times New Roman" w:cs="Times New Roman"/>
        </w:rPr>
        <w:t>i schválenému rozpočtu roku 2018</w:t>
      </w:r>
      <w:r w:rsidRPr="000D79F8">
        <w:rPr>
          <w:rFonts w:ascii="Times New Roman" w:hAnsi="Times New Roman" w:cs="Times New Roman"/>
        </w:rPr>
        <w:t xml:space="preserve"> </w:t>
      </w:r>
      <w:r>
        <w:rPr>
          <w:rFonts w:ascii="Times New Roman" w:hAnsi="Times New Roman" w:cs="Times New Roman"/>
        </w:rPr>
        <w:t>pokles</w:t>
      </w:r>
      <w:r w:rsidRPr="000D79F8">
        <w:rPr>
          <w:rFonts w:ascii="Times New Roman" w:hAnsi="Times New Roman" w:cs="Times New Roman"/>
        </w:rPr>
        <w:t xml:space="preserve"> o sumu </w:t>
      </w:r>
      <w:r>
        <w:rPr>
          <w:rFonts w:ascii="Times New Roman" w:hAnsi="Times New Roman" w:cs="Times New Roman"/>
        </w:rPr>
        <w:t>7,06</w:t>
      </w:r>
      <w:r w:rsidRPr="000D79F8">
        <w:rPr>
          <w:rFonts w:ascii="Times New Roman" w:hAnsi="Times New Roman" w:cs="Times New Roman"/>
        </w:rPr>
        <w:t xml:space="preserve"> mil. eur, t. j. o</w:t>
      </w:r>
      <w:r>
        <w:rPr>
          <w:rFonts w:ascii="Times New Roman" w:hAnsi="Times New Roman" w:cs="Times New Roman"/>
        </w:rPr>
        <w:t> 2,45</w:t>
      </w:r>
      <w:r w:rsidRPr="000D79F8">
        <w:rPr>
          <w:rFonts w:ascii="Times New Roman" w:hAnsi="Times New Roman" w:cs="Times New Roman"/>
        </w:rPr>
        <w:t xml:space="preserve"> %</w:t>
      </w:r>
      <w:r>
        <w:rPr>
          <w:rFonts w:ascii="Times New Roman" w:hAnsi="Times New Roman" w:cs="Times New Roman"/>
        </w:rPr>
        <w:t xml:space="preserve">. Tieto výdavky kapitola presunula do kapitálových výdavkov. </w:t>
      </w:r>
    </w:p>
    <w:p w:rsidR="003A497B"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sidRPr="000D79F8">
        <w:rPr>
          <w:rFonts w:ascii="Times New Roman" w:hAnsi="Times New Roman" w:cs="Times New Roman"/>
        </w:rPr>
        <w:t xml:space="preserve">Bežné transfery na </w:t>
      </w:r>
      <w:r>
        <w:rPr>
          <w:rFonts w:ascii="Times New Roman" w:hAnsi="Times New Roman" w:cs="Times New Roman"/>
        </w:rPr>
        <w:t>rok 2019 sa rozpočtujú v sume 160</w:t>
      </w:r>
      <w:r w:rsidRPr="000D79F8">
        <w:rPr>
          <w:rFonts w:ascii="Times New Roman" w:hAnsi="Times New Roman" w:cs="Times New Roman"/>
        </w:rPr>
        <w:t xml:space="preserve"> mil. eur, čo predstavuje oprot</w:t>
      </w:r>
      <w:r>
        <w:rPr>
          <w:rFonts w:ascii="Times New Roman" w:hAnsi="Times New Roman" w:cs="Times New Roman"/>
        </w:rPr>
        <w:t>i schválenému rozpočtu roku 2018</w:t>
      </w:r>
      <w:r w:rsidRPr="000D79F8">
        <w:rPr>
          <w:rFonts w:ascii="Times New Roman" w:hAnsi="Times New Roman" w:cs="Times New Roman"/>
        </w:rPr>
        <w:t xml:space="preserve"> </w:t>
      </w:r>
      <w:r>
        <w:rPr>
          <w:rFonts w:ascii="Times New Roman" w:hAnsi="Times New Roman" w:cs="Times New Roman"/>
        </w:rPr>
        <w:t>pokles</w:t>
      </w:r>
      <w:r w:rsidRPr="000D79F8">
        <w:rPr>
          <w:rFonts w:ascii="Times New Roman" w:hAnsi="Times New Roman" w:cs="Times New Roman"/>
        </w:rPr>
        <w:t xml:space="preserve"> o sumu </w:t>
      </w:r>
      <w:r>
        <w:rPr>
          <w:rFonts w:ascii="Times New Roman" w:hAnsi="Times New Roman" w:cs="Times New Roman"/>
        </w:rPr>
        <w:t>2,05</w:t>
      </w:r>
      <w:r w:rsidRPr="000D79F8">
        <w:rPr>
          <w:rFonts w:ascii="Times New Roman" w:hAnsi="Times New Roman" w:cs="Times New Roman"/>
        </w:rPr>
        <w:t xml:space="preserve"> mil. eur, t. j. o</w:t>
      </w:r>
      <w:r>
        <w:rPr>
          <w:rFonts w:ascii="Times New Roman" w:hAnsi="Times New Roman" w:cs="Times New Roman"/>
        </w:rPr>
        <w:t> 1,27</w:t>
      </w:r>
      <w:r w:rsidRPr="000D79F8">
        <w:rPr>
          <w:rFonts w:ascii="Times New Roman" w:hAnsi="Times New Roman" w:cs="Times New Roman"/>
        </w:rPr>
        <w:t xml:space="preserve"> %</w:t>
      </w:r>
      <w:r>
        <w:rPr>
          <w:rFonts w:ascii="Times New Roman" w:hAnsi="Times New Roman" w:cs="Times New Roman"/>
        </w:rPr>
        <w:t xml:space="preserve">. Tieto výdavky kapitola presunula do kapitálových výdavkov. </w:t>
      </w:r>
    </w:p>
    <w:p w:rsidR="003A497B" w:rsidRPr="000D79F8"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Pr>
          <w:rFonts w:ascii="Times New Roman" w:hAnsi="Times New Roman" w:cs="Times New Roman"/>
        </w:rPr>
        <w:t>Kapitálové výdavky na rok 2019</w:t>
      </w:r>
      <w:r w:rsidRPr="000D79F8">
        <w:rPr>
          <w:rFonts w:ascii="Times New Roman" w:hAnsi="Times New Roman" w:cs="Times New Roman"/>
        </w:rPr>
        <w:t xml:space="preserve"> sa rozpočtujú v sume </w:t>
      </w:r>
      <w:r>
        <w:rPr>
          <w:rFonts w:ascii="Times New Roman" w:hAnsi="Times New Roman" w:cs="Times New Roman"/>
        </w:rPr>
        <w:t>823</w:t>
      </w:r>
      <w:r w:rsidRPr="000D79F8">
        <w:rPr>
          <w:rFonts w:ascii="Times New Roman" w:hAnsi="Times New Roman" w:cs="Times New Roman"/>
        </w:rPr>
        <w:t xml:space="preserve"> mil. eur, čo predstavuje oprot</w:t>
      </w:r>
      <w:r>
        <w:rPr>
          <w:rFonts w:ascii="Times New Roman" w:hAnsi="Times New Roman" w:cs="Times New Roman"/>
        </w:rPr>
        <w:t>i schválenému rozpočtu roku 2018</w:t>
      </w:r>
      <w:r w:rsidRPr="000D79F8">
        <w:rPr>
          <w:rFonts w:ascii="Times New Roman" w:hAnsi="Times New Roman" w:cs="Times New Roman"/>
        </w:rPr>
        <w:t xml:space="preserve"> nárast o sumu </w:t>
      </w:r>
      <w:r>
        <w:rPr>
          <w:rFonts w:ascii="Times New Roman" w:hAnsi="Times New Roman" w:cs="Times New Roman"/>
        </w:rPr>
        <w:t>576</w:t>
      </w:r>
      <w:r w:rsidRPr="000D79F8">
        <w:rPr>
          <w:rFonts w:ascii="Times New Roman" w:hAnsi="Times New Roman" w:cs="Times New Roman"/>
        </w:rPr>
        <w:t xml:space="preserve"> mil. eur, t. j. o</w:t>
      </w:r>
      <w:r>
        <w:rPr>
          <w:rFonts w:ascii="Times New Roman" w:hAnsi="Times New Roman" w:cs="Times New Roman"/>
        </w:rPr>
        <w:t> 233</w:t>
      </w:r>
      <w:r w:rsidRPr="000D79F8">
        <w:rPr>
          <w:rFonts w:ascii="Times New Roman" w:hAnsi="Times New Roman" w:cs="Times New Roman"/>
        </w:rPr>
        <w:t xml:space="preserve"> %</w:t>
      </w:r>
      <w:r>
        <w:rPr>
          <w:rFonts w:ascii="Times New Roman" w:hAnsi="Times New Roman" w:cs="Times New Roman"/>
        </w:rPr>
        <w:t>,</w:t>
      </w:r>
      <w:r w:rsidRPr="000D79F8">
        <w:rPr>
          <w:rFonts w:ascii="Times New Roman" w:hAnsi="Times New Roman" w:cs="Times New Roman"/>
        </w:rPr>
        <w:t xml:space="preserve"> najmä v oblasti rozvoja obrany. </w:t>
      </w:r>
    </w:p>
    <w:p w:rsidR="003A497B" w:rsidRDefault="003A497B" w:rsidP="003A497B">
      <w:pPr>
        <w:ind w:firstLine="708"/>
        <w:jc w:val="both"/>
        <w:rPr>
          <w:rFonts w:ascii="Times New Roman" w:hAnsi="Times New Roman" w:cs="Times New Roman"/>
        </w:rPr>
      </w:pPr>
    </w:p>
    <w:p w:rsidR="003A497B" w:rsidRPr="00C862A6" w:rsidRDefault="003A497B" w:rsidP="003A497B">
      <w:pPr>
        <w:jc w:val="both"/>
        <w:rPr>
          <w:rFonts w:ascii="Times New Roman" w:eastAsiaTheme="minorHAnsi" w:hAnsi="Times New Roman" w:cs="Times New Roman"/>
          <w:lang w:eastAsia="en-US"/>
        </w:rPr>
      </w:pPr>
      <w:r>
        <w:rPr>
          <w:rFonts w:ascii="Times New Roman" w:hAnsi="Times New Roman" w:cs="Times New Roman"/>
        </w:rPr>
        <w:tab/>
      </w:r>
      <w:r w:rsidRPr="00C862A6">
        <w:rPr>
          <w:rFonts w:ascii="Times New Roman" w:eastAsiaTheme="minorHAnsi" w:hAnsi="Times New Roman" w:cs="Times New Roman"/>
          <w:lang w:eastAsia="en-US"/>
        </w:rPr>
        <w:t xml:space="preserve">Kapitola v nadväznosti na § 17 ods. 4 zákona č. 523/2004 Z. z. o rozpočtových pravidlách verejnej správy </w:t>
      </w:r>
      <w:r w:rsidR="00985D7B">
        <w:rPr>
          <w:rFonts w:ascii="Times New Roman" w:eastAsiaTheme="minorHAnsi" w:hAnsi="Times New Roman" w:cs="Times New Roman"/>
          <w:lang w:eastAsia="en-US"/>
        </w:rPr>
        <w:t xml:space="preserve">a o zmene a doplnení niektorých zákonov </w:t>
      </w:r>
      <w:r w:rsidRPr="00C862A6">
        <w:rPr>
          <w:rFonts w:ascii="Times New Roman" w:eastAsiaTheme="minorHAnsi" w:hAnsi="Times New Roman" w:cs="Times New Roman"/>
          <w:lang w:eastAsia="en-US"/>
        </w:rPr>
        <w:t>v znení neskorších predpisov rozpočtuje tiež výdavky zodpovedajúce príjmom z poistného plnenia zo zmluvného poistenia alebo zo zákonného poistenia</w:t>
      </w:r>
      <w:r w:rsidRPr="00414807">
        <w:rPr>
          <w:rFonts w:ascii="Times New Roman" w:eastAsiaTheme="minorHAnsi" w:hAnsi="Times New Roman" w:cs="Times New Roman"/>
          <w:lang w:eastAsia="en-US"/>
        </w:rPr>
        <w:t xml:space="preserve">, výdavky od fyzickej osoby alebo právnickej osoby podľa osobitného predpisu a výdavky získané z rozdielu medzi výnosmi a nákladmi z podnikateľskej činnosti po zdanení </w:t>
      </w:r>
      <w:r w:rsidRPr="00C862A6">
        <w:rPr>
          <w:rFonts w:ascii="Times New Roman" w:eastAsiaTheme="minorHAnsi" w:hAnsi="Times New Roman" w:cs="Times New Roman"/>
          <w:lang w:eastAsia="en-US"/>
        </w:rPr>
        <w:t xml:space="preserve">v sume </w:t>
      </w:r>
      <w:r w:rsidRPr="00414807">
        <w:rPr>
          <w:rFonts w:ascii="Times New Roman" w:eastAsiaTheme="minorHAnsi" w:hAnsi="Times New Roman" w:cs="Times New Roman"/>
          <w:lang w:eastAsia="en-US"/>
        </w:rPr>
        <w:t>46,6</w:t>
      </w:r>
      <w:r w:rsidRPr="00C862A6">
        <w:rPr>
          <w:rFonts w:ascii="Times New Roman" w:eastAsiaTheme="minorHAnsi" w:hAnsi="Times New Roman" w:cs="Times New Roman"/>
          <w:lang w:eastAsia="en-US"/>
        </w:rPr>
        <w:t xml:space="preserve"> tis. eur. </w:t>
      </w:r>
    </w:p>
    <w:p w:rsidR="003A497B" w:rsidRPr="00C862A6" w:rsidRDefault="003A497B" w:rsidP="003A497B">
      <w:pPr>
        <w:jc w:val="both"/>
        <w:rPr>
          <w:rFonts w:ascii="Times New Roman" w:hAnsi="Times New Roman" w:cs="Times New Roman"/>
          <w:noProof/>
          <w:lang w:eastAsia="sk-SK"/>
        </w:rPr>
      </w:pPr>
    </w:p>
    <w:p w:rsidR="003A497B" w:rsidRDefault="003A497B" w:rsidP="003A497B">
      <w:pPr>
        <w:ind w:firstLine="708"/>
        <w:jc w:val="both"/>
        <w:rPr>
          <w:rFonts w:ascii="Times New Roman" w:hAnsi="Times New Roman" w:cs="Times New Roman"/>
        </w:rPr>
      </w:pPr>
      <w:r>
        <w:rPr>
          <w:rFonts w:ascii="Times New Roman" w:hAnsi="Times New Roman" w:cs="Times New Roman"/>
          <w:noProof/>
          <w:lang w:eastAsia="sk-SK"/>
        </w:rPr>
        <w:t>Kapitola na rok 2019</w:t>
      </w:r>
      <w:r w:rsidRPr="00E9420A">
        <w:rPr>
          <w:rFonts w:ascii="Times New Roman" w:hAnsi="Times New Roman" w:cs="Times New Roman"/>
          <w:noProof/>
          <w:lang w:eastAsia="sk-SK"/>
        </w:rPr>
        <w:t xml:space="preserve"> rozpočtuje výdavky na samostatných účtoch v celkovej sume</w:t>
      </w:r>
      <w:r w:rsidRPr="00E9420A">
        <w:rPr>
          <w:rFonts w:ascii="Times New Roman" w:hAnsi="Times New Roman" w:cs="Times New Roman"/>
          <w:noProof/>
          <w:lang w:eastAsia="sk-SK"/>
        </w:rPr>
        <w:br/>
      </w:r>
      <w:r w:rsidRPr="00E9420A">
        <w:rPr>
          <w:rFonts w:ascii="Times New Roman" w:hAnsi="Times New Roman" w:cs="Times New Roman"/>
          <w:bCs/>
        </w:rPr>
        <w:t>182 mil. eur. Uvedené prostriedky sú určené na financovanie sociálneho zabezpečenia vojakov,</w:t>
      </w:r>
      <w:r>
        <w:rPr>
          <w:rFonts w:ascii="Times New Roman" w:hAnsi="Times New Roman" w:cs="Times New Roman"/>
          <w:bCs/>
        </w:rPr>
        <w:t xml:space="preserve"> podnikateľskú činnosť Akadémie ozbrojených síl M. R. Štefánika v Liptovskom Mikuláši, na výdavky v súvislosti s prijatými prostriedkami na základe darovacej zmluvy alebo formou dotácie alebo grantu na projekty pre vysoké školy a na granty programov EÚ pre Vojenský technický a skúšobný ústav Záhorie.   </w:t>
      </w:r>
      <w:r w:rsidRPr="00E9420A">
        <w:rPr>
          <w:rFonts w:ascii="Times New Roman" w:hAnsi="Times New Roman" w:cs="Times New Roman"/>
          <w:bCs/>
        </w:rPr>
        <w:t xml:space="preserve"> </w:t>
      </w:r>
      <w:r w:rsidRPr="00C862A6">
        <w:rPr>
          <w:rFonts w:ascii="Times New Roman" w:hAnsi="Times New Roman" w:cs="Times New Roman"/>
          <w:bCs/>
        </w:rPr>
        <w:t xml:space="preserve">            </w:t>
      </w:r>
    </w:p>
    <w:p w:rsidR="003A497B" w:rsidRDefault="003A497B" w:rsidP="003A497B">
      <w:pPr>
        <w:ind w:firstLine="708"/>
        <w:jc w:val="both"/>
        <w:rPr>
          <w:rFonts w:ascii="Times New Roman" w:hAnsi="Times New Roman" w:cs="Times New Roman"/>
          <w:lang w:eastAsia="sk-SK"/>
        </w:rPr>
      </w:pPr>
    </w:p>
    <w:p w:rsidR="003A497B" w:rsidRPr="000D79F8" w:rsidRDefault="003A497B" w:rsidP="003A497B">
      <w:pPr>
        <w:ind w:firstLine="708"/>
        <w:jc w:val="both"/>
        <w:rPr>
          <w:rFonts w:ascii="Times New Roman" w:hAnsi="Times New Roman" w:cs="Times New Roman"/>
          <w:lang w:eastAsia="sk-SK"/>
        </w:rPr>
      </w:pPr>
      <w:r w:rsidRPr="000D79F8">
        <w:rPr>
          <w:rFonts w:ascii="Times New Roman" w:hAnsi="Times New Roman" w:cs="Times New Roman"/>
          <w:lang w:eastAsia="sk-SK"/>
        </w:rPr>
        <w:t xml:space="preserve">Rozpočet </w:t>
      </w:r>
      <w:r>
        <w:rPr>
          <w:rFonts w:ascii="Times New Roman" w:hAnsi="Times New Roman" w:cs="Times New Roman"/>
          <w:lang w:eastAsia="sk-SK"/>
        </w:rPr>
        <w:t>MO SR</w:t>
      </w:r>
      <w:r w:rsidRPr="000D79F8">
        <w:rPr>
          <w:rFonts w:ascii="Times New Roman" w:hAnsi="Times New Roman" w:cs="Times New Roman"/>
          <w:lang w:eastAsia="sk-SK"/>
        </w:rPr>
        <w:t xml:space="preserve"> sa skladá z nasledovných oblastí.</w:t>
      </w:r>
    </w:p>
    <w:p w:rsidR="003A497B" w:rsidRDefault="003A497B" w:rsidP="003A497B">
      <w:pPr>
        <w:ind w:firstLine="708"/>
        <w:jc w:val="both"/>
        <w:rPr>
          <w:rFonts w:ascii="Times New Roman" w:hAnsi="Times New Roman" w:cs="Times New Roman"/>
          <w:lang w:eastAsia="sk-SK"/>
        </w:rPr>
      </w:pPr>
    </w:p>
    <w:tbl>
      <w:tblPr>
        <w:tblW w:w="5003" w:type="pct"/>
        <w:tblLayout w:type="fixed"/>
        <w:tblCellMar>
          <w:left w:w="70" w:type="dxa"/>
          <w:right w:w="70" w:type="dxa"/>
        </w:tblCellMar>
        <w:tblLook w:val="04A0" w:firstRow="1" w:lastRow="0" w:firstColumn="1" w:lastColumn="0" w:noHBand="0" w:noVBand="1"/>
      </w:tblPr>
      <w:tblGrid>
        <w:gridCol w:w="2835"/>
        <w:gridCol w:w="891"/>
        <w:gridCol w:w="891"/>
        <w:gridCol w:w="890"/>
        <w:gridCol w:w="890"/>
        <w:gridCol w:w="890"/>
        <w:gridCol w:w="890"/>
        <w:gridCol w:w="890"/>
      </w:tblGrid>
      <w:tr w:rsidR="003A497B" w:rsidRPr="001E0FBE" w:rsidTr="003E1809">
        <w:trPr>
          <w:trHeight w:val="255"/>
        </w:trPr>
        <w:tc>
          <w:tcPr>
            <w:tcW w:w="1563"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1E0FBE" w:rsidRDefault="003A497B" w:rsidP="003E1809">
            <w:pPr>
              <w:rPr>
                <w:rFonts w:ascii="Times New Roman" w:hAnsi="Times New Roman" w:cs="Times New Roman"/>
                <w:b/>
                <w:bCs/>
                <w:color w:val="000000"/>
                <w:sz w:val="14"/>
                <w:szCs w:val="14"/>
                <w:lang w:eastAsia="sk-SK"/>
              </w:rPr>
            </w:pPr>
            <w:r w:rsidRPr="001E0FBE">
              <w:rPr>
                <w:rFonts w:ascii="Times New Roman" w:hAnsi="Times New Roman" w:cs="Times New Roman"/>
                <w:b/>
                <w:bCs/>
                <w:color w:val="000000"/>
                <w:sz w:val="14"/>
                <w:szCs w:val="14"/>
                <w:lang w:eastAsia="sk-SK"/>
              </w:rPr>
              <w:t>v eurách</w:t>
            </w:r>
          </w:p>
        </w:tc>
        <w:tc>
          <w:tcPr>
            <w:tcW w:w="49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lang w:eastAsia="sk-SK"/>
              </w:rPr>
            </w:pPr>
            <w:r w:rsidRPr="00D57B87">
              <w:rPr>
                <w:rFonts w:ascii="Times New Roman" w:hAnsi="Times New Roman" w:cs="Times New Roman"/>
                <w:b/>
                <w:bCs/>
                <w:color w:val="000000"/>
                <w:sz w:val="14"/>
                <w:szCs w:val="14"/>
              </w:rPr>
              <w:t>2016 S</w:t>
            </w:r>
          </w:p>
        </w:tc>
        <w:tc>
          <w:tcPr>
            <w:tcW w:w="491"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2017 S</w:t>
            </w:r>
          </w:p>
        </w:tc>
        <w:tc>
          <w:tcPr>
            <w:tcW w:w="491"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2018 R</w:t>
            </w:r>
          </w:p>
        </w:tc>
        <w:tc>
          <w:tcPr>
            <w:tcW w:w="491"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2018 OS</w:t>
            </w:r>
          </w:p>
        </w:tc>
        <w:tc>
          <w:tcPr>
            <w:tcW w:w="491"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2019</w:t>
            </w:r>
            <w:r w:rsidRPr="00D57B87">
              <w:rPr>
                <w:rFonts w:ascii="Times New Roman" w:hAnsi="Times New Roman" w:cs="Times New Roman"/>
                <w:b/>
                <w:bCs/>
                <w:color w:val="000000"/>
                <w:sz w:val="14"/>
                <w:szCs w:val="14"/>
              </w:rPr>
              <w:t xml:space="preserve"> N</w:t>
            </w:r>
          </w:p>
        </w:tc>
        <w:tc>
          <w:tcPr>
            <w:tcW w:w="491"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2020 N</w:t>
            </w:r>
          </w:p>
        </w:tc>
        <w:tc>
          <w:tcPr>
            <w:tcW w:w="491"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2021 N</w:t>
            </w:r>
          </w:p>
        </w:tc>
      </w:tr>
      <w:tr w:rsidR="003A497B" w:rsidRPr="001E0FBE" w:rsidTr="003E1809">
        <w:trPr>
          <w:trHeight w:val="255"/>
        </w:trPr>
        <w:tc>
          <w:tcPr>
            <w:tcW w:w="1563"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A497B" w:rsidRPr="001E0FBE" w:rsidRDefault="003A497B" w:rsidP="003E1809">
            <w:pPr>
              <w:rPr>
                <w:rFonts w:ascii="Times New Roman" w:hAnsi="Times New Roman" w:cs="Times New Roman"/>
                <w:b/>
                <w:bCs/>
                <w:color w:val="000000"/>
                <w:sz w:val="14"/>
                <w:szCs w:val="14"/>
                <w:lang w:eastAsia="sk-SK"/>
              </w:rPr>
            </w:pPr>
            <w:r w:rsidRPr="001E0FBE">
              <w:rPr>
                <w:rFonts w:ascii="Times New Roman" w:hAnsi="Times New Roman" w:cs="Times New Roman"/>
                <w:b/>
                <w:bCs/>
                <w:color w:val="000000"/>
                <w:sz w:val="14"/>
                <w:szCs w:val="14"/>
                <w:lang w:eastAsia="sk-SK"/>
              </w:rPr>
              <w:t>Ministerstvo obrany SR</w:t>
            </w:r>
          </w:p>
        </w:tc>
        <w:tc>
          <w:tcPr>
            <w:tcW w:w="49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A497B" w:rsidRPr="00D26134" w:rsidRDefault="003A497B" w:rsidP="003E1809">
            <w:pPr>
              <w:jc w:val="right"/>
              <w:rPr>
                <w:rFonts w:ascii="Times New Roman" w:hAnsi="Times New Roman" w:cs="Times New Roman"/>
                <w:b/>
                <w:bCs/>
                <w:color w:val="000000"/>
                <w:sz w:val="13"/>
                <w:szCs w:val="13"/>
                <w:lang w:eastAsia="sk-SK"/>
              </w:rPr>
            </w:pPr>
            <w:r w:rsidRPr="00D26134">
              <w:rPr>
                <w:rFonts w:ascii="Times New Roman" w:hAnsi="Times New Roman" w:cs="Times New Roman"/>
                <w:b/>
                <w:bCs/>
                <w:color w:val="000000"/>
                <w:sz w:val="13"/>
                <w:szCs w:val="13"/>
              </w:rPr>
              <w:t>903 891 691</w:t>
            </w:r>
          </w:p>
        </w:tc>
        <w:tc>
          <w:tcPr>
            <w:tcW w:w="49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D26134" w:rsidRDefault="003A497B" w:rsidP="003E1809">
            <w:pPr>
              <w:jc w:val="right"/>
              <w:rPr>
                <w:rFonts w:ascii="Times New Roman" w:hAnsi="Times New Roman" w:cs="Times New Roman"/>
                <w:b/>
                <w:bCs/>
                <w:color w:val="000000"/>
                <w:sz w:val="13"/>
                <w:szCs w:val="13"/>
              </w:rPr>
            </w:pPr>
            <w:r w:rsidRPr="00D26134">
              <w:rPr>
                <w:rFonts w:ascii="Times New Roman" w:hAnsi="Times New Roman" w:cs="Times New Roman"/>
                <w:b/>
                <w:bCs/>
                <w:color w:val="000000"/>
                <w:sz w:val="13"/>
                <w:szCs w:val="13"/>
              </w:rPr>
              <w:t>930 135 030</w:t>
            </w:r>
          </w:p>
        </w:tc>
        <w:tc>
          <w:tcPr>
            <w:tcW w:w="49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D26134" w:rsidRDefault="003A497B" w:rsidP="003E1809">
            <w:pPr>
              <w:jc w:val="right"/>
              <w:rPr>
                <w:rFonts w:ascii="Times New Roman" w:hAnsi="Times New Roman" w:cs="Times New Roman"/>
                <w:b/>
                <w:bCs/>
                <w:color w:val="000000"/>
                <w:sz w:val="13"/>
                <w:szCs w:val="13"/>
              </w:rPr>
            </w:pPr>
            <w:r w:rsidRPr="00D26134">
              <w:rPr>
                <w:rFonts w:ascii="Times New Roman" w:hAnsi="Times New Roman" w:cs="Times New Roman"/>
                <w:b/>
                <w:bCs/>
                <w:color w:val="000000"/>
                <w:sz w:val="13"/>
                <w:szCs w:val="13"/>
              </w:rPr>
              <w:t>1 082 078 792</w:t>
            </w:r>
          </w:p>
        </w:tc>
        <w:tc>
          <w:tcPr>
            <w:tcW w:w="49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D26134" w:rsidRDefault="003A497B" w:rsidP="003E1809">
            <w:pPr>
              <w:jc w:val="right"/>
              <w:rPr>
                <w:rFonts w:ascii="Times New Roman" w:hAnsi="Times New Roman" w:cs="Times New Roman"/>
                <w:b/>
                <w:bCs/>
                <w:color w:val="000000"/>
                <w:sz w:val="13"/>
                <w:szCs w:val="13"/>
              </w:rPr>
            </w:pPr>
            <w:r w:rsidRPr="00D26134">
              <w:rPr>
                <w:rFonts w:ascii="Times New Roman" w:hAnsi="Times New Roman" w:cs="Times New Roman"/>
                <w:b/>
                <w:bCs/>
                <w:color w:val="000000"/>
                <w:sz w:val="13"/>
                <w:szCs w:val="13"/>
              </w:rPr>
              <w:t>1 100 206 919</w:t>
            </w:r>
          </w:p>
        </w:tc>
        <w:tc>
          <w:tcPr>
            <w:tcW w:w="49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A497B" w:rsidRPr="00F06A09" w:rsidRDefault="003A497B" w:rsidP="003E1809">
            <w:pPr>
              <w:jc w:val="right"/>
              <w:rPr>
                <w:rFonts w:ascii="Times New Roman" w:hAnsi="Times New Roman" w:cs="Times New Roman"/>
                <w:b/>
                <w:bCs/>
                <w:color w:val="000000"/>
                <w:sz w:val="13"/>
                <w:szCs w:val="13"/>
                <w:lang w:eastAsia="sk-SK"/>
              </w:rPr>
            </w:pPr>
            <w:r w:rsidRPr="00F06A09">
              <w:rPr>
                <w:rFonts w:ascii="Times New Roman" w:hAnsi="Times New Roman" w:cs="Times New Roman"/>
                <w:b/>
                <w:bCs/>
                <w:color w:val="000000"/>
                <w:sz w:val="13"/>
                <w:szCs w:val="13"/>
              </w:rPr>
              <w:t>1 662 684 235</w:t>
            </w:r>
          </w:p>
        </w:tc>
        <w:tc>
          <w:tcPr>
            <w:tcW w:w="49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F06A09" w:rsidRDefault="003A497B" w:rsidP="003E1809">
            <w:pPr>
              <w:jc w:val="right"/>
              <w:rPr>
                <w:rFonts w:ascii="Times New Roman" w:hAnsi="Times New Roman" w:cs="Times New Roman"/>
                <w:b/>
                <w:bCs/>
                <w:color w:val="000000"/>
                <w:sz w:val="13"/>
                <w:szCs w:val="13"/>
              </w:rPr>
            </w:pPr>
            <w:r w:rsidRPr="00F06A09">
              <w:rPr>
                <w:rFonts w:ascii="Times New Roman" w:hAnsi="Times New Roman" w:cs="Times New Roman"/>
                <w:b/>
                <w:bCs/>
                <w:color w:val="000000"/>
                <w:sz w:val="13"/>
                <w:szCs w:val="13"/>
              </w:rPr>
              <w:t>1 857 395 204</w:t>
            </w:r>
          </w:p>
        </w:tc>
        <w:tc>
          <w:tcPr>
            <w:tcW w:w="49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F06A09" w:rsidRDefault="003A497B" w:rsidP="003E1809">
            <w:pPr>
              <w:jc w:val="right"/>
              <w:rPr>
                <w:rFonts w:ascii="Times New Roman" w:hAnsi="Times New Roman" w:cs="Times New Roman"/>
                <w:b/>
                <w:bCs/>
                <w:color w:val="000000"/>
                <w:sz w:val="13"/>
                <w:szCs w:val="13"/>
              </w:rPr>
            </w:pPr>
            <w:r w:rsidRPr="00F06A09">
              <w:rPr>
                <w:rFonts w:ascii="Times New Roman" w:hAnsi="Times New Roman" w:cs="Times New Roman"/>
                <w:b/>
                <w:bCs/>
                <w:color w:val="000000"/>
                <w:sz w:val="13"/>
                <w:szCs w:val="13"/>
              </w:rPr>
              <w:t>2 076 184 469</w:t>
            </w:r>
          </w:p>
        </w:tc>
      </w:tr>
      <w:tr w:rsidR="003A497B" w:rsidRPr="001E0FBE" w:rsidTr="003E1809">
        <w:trPr>
          <w:trHeight w:val="255"/>
        </w:trPr>
        <w:tc>
          <w:tcPr>
            <w:tcW w:w="1563" w:type="pct"/>
            <w:tcBorders>
              <w:top w:val="nil"/>
              <w:left w:val="single" w:sz="4" w:space="0" w:color="auto"/>
              <w:bottom w:val="single" w:sz="4" w:space="0" w:color="auto"/>
              <w:right w:val="single" w:sz="4" w:space="0" w:color="auto"/>
            </w:tcBorders>
            <w:shd w:val="clear" w:color="auto" w:fill="auto"/>
            <w:noWrap/>
            <w:vAlign w:val="center"/>
            <w:hideMark/>
          </w:tcPr>
          <w:p w:rsidR="003A497B" w:rsidRPr="001E0FBE" w:rsidRDefault="003A497B" w:rsidP="003E1809">
            <w:pPr>
              <w:rPr>
                <w:rFonts w:ascii="Times New Roman" w:hAnsi="Times New Roman" w:cs="Times New Roman"/>
                <w:sz w:val="14"/>
                <w:szCs w:val="14"/>
                <w:lang w:eastAsia="sk-SK"/>
              </w:rPr>
            </w:pPr>
            <w:r w:rsidRPr="001E0FBE">
              <w:rPr>
                <w:rFonts w:ascii="Times New Roman" w:hAnsi="Times New Roman" w:cs="Times New Roman"/>
                <w:sz w:val="14"/>
                <w:szCs w:val="14"/>
                <w:lang w:eastAsia="sk-SK"/>
              </w:rPr>
              <w:t>Rozvoj obrany</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224 378 290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221 483 556</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325 434 426</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325 434 426</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870 895 180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787 595 879</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742 999 579</w:t>
            </w:r>
          </w:p>
        </w:tc>
      </w:tr>
      <w:tr w:rsidR="003A497B" w:rsidRPr="001E0FBE" w:rsidTr="003E1809">
        <w:trPr>
          <w:trHeight w:val="255"/>
        </w:trPr>
        <w:tc>
          <w:tcPr>
            <w:tcW w:w="1563" w:type="pct"/>
            <w:tcBorders>
              <w:top w:val="nil"/>
              <w:left w:val="single" w:sz="4" w:space="0" w:color="auto"/>
              <w:bottom w:val="single" w:sz="4" w:space="0" w:color="auto"/>
              <w:right w:val="single" w:sz="4" w:space="0" w:color="auto"/>
            </w:tcBorders>
            <w:shd w:val="clear" w:color="auto" w:fill="auto"/>
            <w:noWrap/>
            <w:vAlign w:val="center"/>
            <w:hideMark/>
          </w:tcPr>
          <w:p w:rsidR="003A497B" w:rsidRPr="001E0FBE" w:rsidRDefault="003A497B" w:rsidP="003E1809">
            <w:pPr>
              <w:rPr>
                <w:rFonts w:ascii="Times New Roman" w:hAnsi="Times New Roman" w:cs="Times New Roman"/>
                <w:color w:val="000000"/>
                <w:sz w:val="14"/>
                <w:szCs w:val="14"/>
                <w:lang w:eastAsia="sk-SK"/>
              </w:rPr>
            </w:pPr>
            <w:r w:rsidRPr="001E0FBE">
              <w:rPr>
                <w:rFonts w:ascii="Times New Roman" w:hAnsi="Times New Roman" w:cs="Times New Roman"/>
                <w:color w:val="000000"/>
                <w:sz w:val="14"/>
                <w:szCs w:val="14"/>
                <w:lang w:eastAsia="sk-SK"/>
              </w:rPr>
              <w:t>Obrana</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673 209 025</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700 873 234</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749 454 490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767 582 617</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784 419 179</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1 062 429 449</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1 324 815 014</w:t>
            </w:r>
          </w:p>
        </w:tc>
      </w:tr>
      <w:tr w:rsidR="003A497B" w:rsidRPr="001E0FBE" w:rsidTr="003E1809">
        <w:trPr>
          <w:trHeight w:val="255"/>
        </w:trPr>
        <w:tc>
          <w:tcPr>
            <w:tcW w:w="1563" w:type="pct"/>
            <w:tcBorders>
              <w:top w:val="nil"/>
              <w:left w:val="single" w:sz="4" w:space="0" w:color="auto"/>
              <w:bottom w:val="single" w:sz="4" w:space="0" w:color="auto"/>
              <w:right w:val="single" w:sz="4" w:space="0" w:color="auto"/>
            </w:tcBorders>
            <w:shd w:val="clear" w:color="auto" w:fill="auto"/>
            <w:noWrap/>
            <w:vAlign w:val="center"/>
            <w:hideMark/>
          </w:tcPr>
          <w:p w:rsidR="003A497B" w:rsidRPr="001E0FBE" w:rsidRDefault="003A497B" w:rsidP="003E1809">
            <w:pPr>
              <w:rPr>
                <w:rFonts w:ascii="Times New Roman" w:hAnsi="Times New Roman" w:cs="Times New Roman"/>
                <w:color w:val="000000"/>
                <w:sz w:val="14"/>
                <w:szCs w:val="14"/>
                <w:lang w:eastAsia="sk-SK"/>
              </w:rPr>
            </w:pPr>
            <w:r w:rsidRPr="001E0FBE">
              <w:rPr>
                <w:rFonts w:ascii="Times New Roman" w:hAnsi="Times New Roman" w:cs="Times New Roman"/>
                <w:color w:val="000000"/>
                <w:sz w:val="14"/>
                <w:szCs w:val="14"/>
                <w:lang w:eastAsia="sk-SK"/>
              </w:rPr>
              <w:t>Podpora obrany (MO SR)</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123 608</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302 557</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870 000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870 000</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1 050 000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1 050 000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1 050 000</w:t>
            </w:r>
          </w:p>
        </w:tc>
      </w:tr>
      <w:tr w:rsidR="003A497B" w:rsidRPr="001E0FBE" w:rsidTr="003E1809">
        <w:trPr>
          <w:trHeight w:val="255"/>
        </w:trPr>
        <w:tc>
          <w:tcPr>
            <w:tcW w:w="1563" w:type="pct"/>
            <w:tcBorders>
              <w:top w:val="nil"/>
              <w:left w:val="single" w:sz="4" w:space="0" w:color="auto"/>
              <w:bottom w:val="single" w:sz="4" w:space="0" w:color="auto"/>
              <w:right w:val="single" w:sz="4" w:space="0" w:color="auto"/>
            </w:tcBorders>
            <w:shd w:val="clear" w:color="auto" w:fill="auto"/>
            <w:noWrap/>
            <w:vAlign w:val="center"/>
            <w:hideMark/>
          </w:tcPr>
          <w:p w:rsidR="003A497B" w:rsidRPr="001E0FBE" w:rsidRDefault="003A497B" w:rsidP="003E1809">
            <w:pPr>
              <w:rPr>
                <w:rFonts w:ascii="Times New Roman" w:hAnsi="Times New Roman" w:cs="Times New Roman"/>
                <w:color w:val="000000"/>
                <w:sz w:val="14"/>
                <w:szCs w:val="14"/>
                <w:lang w:eastAsia="sk-SK"/>
              </w:rPr>
            </w:pPr>
            <w:r w:rsidRPr="001E0FBE">
              <w:rPr>
                <w:rFonts w:ascii="Times New Roman" w:hAnsi="Times New Roman" w:cs="Times New Roman"/>
                <w:color w:val="000000"/>
                <w:sz w:val="14"/>
                <w:szCs w:val="14"/>
                <w:lang w:eastAsia="sk-SK"/>
              </w:rPr>
              <w:t>Hospodárska mobilizácia (MO SR)</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5 435 919</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7 299 922</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6 000 000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6 000 000</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6 000 000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6 000 000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7 000 000</w:t>
            </w:r>
          </w:p>
        </w:tc>
      </w:tr>
      <w:tr w:rsidR="003A497B" w:rsidRPr="001E0FBE" w:rsidTr="003E1809">
        <w:trPr>
          <w:trHeight w:val="255"/>
        </w:trPr>
        <w:tc>
          <w:tcPr>
            <w:tcW w:w="1563" w:type="pct"/>
            <w:tcBorders>
              <w:top w:val="nil"/>
              <w:left w:val="single" w:sz="4" w:space="0" w:color="auto"/>
              <w:bottom w:val="single" w:sz="4" w:space="0" w:color="auto"/>
              <w:right w:val="single" w:sz="4" w:space="0" w:color="auto"/>
            </w:tcBorders>
            <w:shd w:val="clear" w:color="auto" w:fill="auto"/>
            <w:noWrap/>
            <w:vAlign w:val="center"/>
            <w:hideMark/>
          </w:tcPr>
          <w:p w:rsidR="003A497B" w:rsidRPr="001E0FBE" w:rsidRDefault="003A497B" w:rsidP="003E1809">
            <w:pPr>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Vys. civil. expertov</w:t>
            </w:r>
            <w:r w:rsidRPr="001E0FBE">
              <w:rPr>
                <w:rFonts w:ascii="Times New Roman" w:hAnsi="Times New Roman" w:cs="Times New Roman"/>
                <w:color w:val="000000"/>
                <w:sz w:val="14"/>
                <w:szCs w:val="14"/>
                <w:lang w:eastAsia="sk-SK"/>
              </w:rPr>
              <w:t xml:space="preserve"> do KM mimo SR (MO SR)</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58 699</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123 519</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307 376</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307 376</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307 376</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307 376</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307 376</w:t>
            </w:r>
          </w:p>
        </w:tc>
      </w:tr>
      <w:tr w:rsidR="003A497B" w:rsidRPr="001E0FBE" w:rsidTr="003E1809">
        <w:trPr>
          <w:trHeight w:val="255"/>
        </w:trPr>
        <w:tc>
          <w:tcPr>
            <w:tcW w:w="1563" w:type="pct"/>
            <w:tcBorders>
              <w:top w:val="nil"/>
              <w:left w:val="single" w:sz="4" w:space="0" w:color="auto"/>
              <w:bottom w:val="single" w:sz="4" w:space="0" w:color="auto"/>
              <w:right w:val="single" w:sz="4" w:space="0" w:color="auto"/>
            </w:tcBorders>
            <w:shd w:val="clear" w:color="auto" w:fill="auto"/>
            <w:noWrap/>
            <w:vAlign w:val="center"/>
            <w:hideMark/>
          </w:tcPr>
          <w:p w:rsidR="003A497B" w:rsidRPr="001E0FBE" w:rsidRDefault="003A497B" w:rsidP="003E1809">
            <w:pPr>
              <w:rPr>
                <w:rFonts w:ascii="Times New Roman" w:hAnsi="Times New Roman" w:cs="Times New Roman"/>
                <w:color w:val="000000"/>
                <w:sz w:val="14"/>
                <w:szCs w:val="14"/>
                <w:lang w:eastAsia="sk-SK"/>
              </w:rPr>
            </w:pPr>
            <w:r w:rsidRPr="001E0FBE">
              <w:rPr>
                <w:rFonts w:ascii="Times New Roman" w:hAnsi="Times New Roman" w:cs="Times New Roman"/>
                <w:color w:val="000000"/>
                <w:sz w:val="14"/>
                <w:szCs w:val="14"/>
                <w:lang w:eastAsia="sk-SK"/>
              </w:rPr>
              <w:t>Oficiálna rozvojová pomoc</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9 997</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9 998</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10 000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10 000</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10 000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10 000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10 000</w:t>
            </w:r>
          </w:p>
        </w:tc>
      </w:tr>
      <w:tr w:rsidR="003A497B" w:rsidRPr="001E0FBE" w:rsidTr="003E1809">
        <w:trPr>
          <w:trHeight w:val="255"/>
        </w:trPr>
        <w:tc>
          <w:tcPr>
            <w:tcW w:w="1563" w:type="pct"/>
            <w:tcBorders>
              <w:top w:val="nil"/>
              <w:left w:val="single" w:sz="4" w:space="0" w:color="auto"/>
              <w:bottom w:val="single" w:sz="4" w:space="0" w:color="auto"/>
              <w:right w:val="single" w:sz="4" w:space="0" w:color="auto"/>
            </w:tcBorders>
            <w:shd w:val="clear" w:color="auto" w:fill="auto"/>
            <w:noWrap/>
            <w:vAlign w:val="center"/>
            <w:hideMark/>
          </w:tcPr>
          <w:p w:rsidR="003A497B" w:rsidRPr="001E0FBE" w:rsidRDefault="003A497B" w:rsidP="003E1809">
            <w:pPr>
              <w:rPr>
                <w:rFonts w:ascii="Times New Roman" w:hAnsi="Times New Roman" w:cs="Times New Roman"/>
                <w:color w:val="000000"/>
                <w:sz w:val="14"/>
                <w:szCs w:val="14"/>
                <w:lang w:eastAsia="sk-SK"/>
              </w:rPr>
            </w:pPr>
            <w:r w:rsidRPr="001E0FBE">
              <w:rPr>
                <w:rFonts w:ascii="Times New Roman" w:hAnsi="Times New Roman" w:cs="Times New Roman"/>
                <w:color w:val="000000"/>
                <w:sz w:val="14"/>
                <w:szCs w:val="14"/>
                <w:lang w:eastAsia="sk-SK"/>
              </w:rPr>
              <w:t>SK PRES 2016</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669 591</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39 761</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0</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0</w:t>
            </w:r>
          </w:p>
        </w:tc>
      </w:tr>
      <w:tr w:rsidR="003A497B" w:rsidRPr="001E0FBE" w:rsidTr="003E1809">
        <w:trPr>
          <w:trHeight w:val="255"/>
        </w:trPr>
        <w:tc>
          <w:tcPr>
            <w:tcW w:w="1563" w:type="pct"/>
            <w:tcBorders>
              <w:top w:val="nil"/>
              <w:left w:val="single" w:sz="4" w:space="0" w:color="auto"/>
              <w:bottom w:val="single" w:sz="4" w:space="0" w:color="auto"/>
              <w:right w:val="single" w:sz="4" w:space="0" w:color="auto"/>
            </w:tcBorders>
            <w:shd w:val="clear" w:color="auto" w:fill="auto"/>
            <w:noWrap/>
            <w:vAlign w:val="center"/>
            <w:hideMark/>
          </w:tcPr>
          <w:p w:rsidR="003A497B" w:rsidRPr="001E0FBE" w:rsidRDefault="003A497B" w:rsidP="003E1809">
            <w:pPr>
              <w:rPr>
                <w:rFonts w:ascii="Times New Roman" w:hAnsi="Times New Roman" w:cs="Times New Roman"/>
                <w:color w:val="000000"/>
                <w:sz w:val="14"/>
                <w:szCs w:val="14"/>
                <w:lang w:eastAsia="sk-SK"/>
              </w:rPr>
            </w:pPr>
            <w:r w:rsidRPr="001E0FBE">
              <w:rPr>
                <w:rFonts w:ascii="Times New Roman" w:hAnsi="Times New Roman" w:cs="Times New Roman"/>
                <w:color w:val="000000"/>
                <w:sz w:val="14"/>
                <w:szCs w:val="14"/>
                <w:lang w:eastAsia="sk-SK"/>
              </w:rPr>
              <w:t>2. etapa implementácie MZP SZO v SR</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2442</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2 483</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2 500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2 500</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sz w:val="13"/>
                <w:szCs w:val="13"/>
              </w:rPr>
            </w:pPr>
            <w:r w:rsidRPr="00F06A09">
              <w:rPr>
                <w:rFonts w:ascii="Times New Roman" w:hAnsi="Times New Roman" w:cs="Times New Roman"/>
                <w:sz w:val="13"/>
                <w:szCs w:val="13"/>
              </w:rPr>
              <w:t>2 500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sz w:val="13"/>
                <w:szCs w:val="13"/>
              </w:rPr>
            </w:pPr>
            <w:r w:rsidRPr="00F06A09">
              <w:rPr>
                <w:rFonts w:ascii="Times New Roman" w:hAnsi="Times New Roman" w:cs="Times New Roman"/>
                <w:sz w:val="13"/>
                <w:szCs w:val="13"/>
              </w:rPr>
              <w:t>2 500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sz w:val="13"/>
                <w:szCs w:val="13"/>
              </w:rPr>
            </w:pPr>
            <w:r w:rsidRPr="00F06A09">
              <w:rPr>
                <w:rFonts w:ascii="Times New Roman" w:hAnsi="Times New Roman" w:cs="Times New Roman"/>
                <w:sz w:val="13"/>
                <w:szCs w:val="13"/>
              </w:rPr>
              <w:t>2 500</w:t>
            </w:r>
          </w:p>
        </w:tc>
      </w:tr>
      <w:tr w:rsidR="003A497B" w:rsidRPr="001E0FBE" w:rsidTr="003E1809">
        <w:trPr>
          <w:trHeight w:val="255"/>
        </w:trPr>
        <w:tc>
          <w:tcPr>
            <w:tcW w:w="1563" w:type="pct"/>
            <w:tcBorders>
              <w:top w:val="nil"/>
              <w:left w:val="single" w:sz="4" w:space="0" w:color="auto"/>
              <w:bottom w:val="single" w:sz="4" w:space="0" w:color="auto"/>
              <w:right w:val="single" w:sz="4" w:space="0" w:color="auto"/>
            </w:tcBorders>
            <w:shd w:val="clear" w:color="auto" w:fill="auto"/>
            <w:vAlign w:val="center"/>
            <w:hideMark/>
          </w:tcPr>
          <w:p w:rsidR="003A497B" w:rsidRPr="001E0FBE" w:rsidRDefault="003A497B" w:rsidP="003E1809">
            <w:pPr>
              <w:rPr>
                <w:rFonts w:ascii="Times New Roman" w:hAnsi="Times New Roman" w:cs="Times New Roman"/>
                <w:color w:val="000000"/>
                <w:sz w:val="14"/>
                <w:szCs w:val="14"/>
                <w:lang w:eastAsia="sk-SK"/>
              </w:rPr>
            </w:pPr>
            <w:r w:rsidRPr="001E0FBE">
              <w:rPr>
                <w:rFonts w:ascii="Times New Roman" w:hAnsi="Times New Roman" w:cs="Times New Roman"/>
                <w:color w:val="000000"/>
                <w:sz w:val="14"/>
                <w:szCs w:val="14"/>
                <w:lang w:eastAsia="sk-SK"/>
              </w:rPr>
              <w:t>Dig. obsahu pamäť</w:t>
            </w:r>
            <w:r>
              <w:rPr>
                <w:rFonts w:ascii="Times New Roman" w:hAnsi="Times New Roman" w:cs="Times New Roman"/>
                <w:color w:val="000000"/>
                <w:sz w:val="14"/>
                <w:szCs w:val="14"/>
                <w:lang w:eastAsia="sk-SK"/>
              </w:rPr>
              <w:t>. a fond. inštitúcií, archivácia</w:t>
            </w:r>
            <w:r w:rsidRPr="001E0FBE">
              <w:rPr>
                <w:rFonts w:ascii="Times New Roman" w:hAnsi="Times New Roman" w:cs="Times New Roman"/>
                <w:color w:val="000000"/>
                <w:sz w:val="14"/>
                <w:szCs w:val="14"/>
                <w:lang w:eastAsia="sk-SK"/>
              </w:rPr>
              <w:t>, prístup a ochrana systému MO SR</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4 120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D26134" w:rsidRDefault="003A497B" w:rsidP="003E1809">
            <w:pPr>
              <w:jc w:val="right"/>
              <w:rPr>
                <w:rFonts w:ascii="Times New Roman" w:hAnsi="Times New Roman" w:cs="Times New Roman"/>
                <w:color w:val="000000"/>
                <w:sz w:val="13"/>
                <w:szCs w:val="13"/>
              </w:rPr>
            </w:pPr>
            <w:r w:rsidRPr="00D26134">
              <w:rPr>
                <w:rFonts w:ascii="Times New Roman" w:hAnsi="Times New Roman" w:cs="Times New Roman"/>
                <w:color w:val="000000"/>
                <w:sz w:val="13"/>
                <w:szCs w:val="13"/>
              </w:rPr>
              <w:t>0</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0</w:t>
            </w:r>
          </w:p>
        </w:tc>
        <w:tc>
          <w:tcPr>
            <w:tcW w:w="491" w:type="pct"/>
            <w:tcBorders>
              <w:top w:val="nil"/>
              <w:left w:val="nil"/>
              <w:bottom w:val="single" w:sz="4" w:space="0" w:color="auto"/>
              <w:right w:val="single" w:sz="4" w:space="0" w:color="auto"/>
            </w:tcBorders>
            <w:shd w:val="clear" w:color="auto" w:fill="auto"/>
            <w:noWrap/>
            <w:vAlign w:val="bottom"/>
            <w:hideMark/>
          </w:tcPr>
          <w:p w:rsidR="003A497B" w:rsidRPr="00F06A09" w:rsidRDefault="003A497B" w:rsidP="003E1809">
            <w:pPr>
              <w:jc w:val="right"/>
              <w:rPr>
                <w:rFonts w:ascii="Times New Roman" w:hAnsi="Times New Roman" w:cs="Times New Roman"/>
                <w:color w:val="000000"/>
                <w:sz w:val="13"/>
                <w:szCs w:val="13"/>
              </w:rPr>
            </w:pPr>
            <w:r w:rsidRPr="00F06A09">
              <w:rPr>
                <w:rFonts w:ascii="Times New Roman" w:hAnsi="Times New Roman" w:cs="Times New Roman"/>
                <w:color w:val="000000"/>
                <w:sz w:val="13"/>
                <w:szCs w:val="13"/>
              </w:rPr>
              <w:t>0</w:t>
            </w:r>
          </w:p>
        </w:tc>
      </w:tr>
    </w:tbl>
    <w:p w:rsidR="003A497B" w:rsidRDefault="003A497B" w:rsidP="003A497B">
      <w:pPr>
        <w:jc w:val="both"/>
        <w:rPr>
          <w:rFonts w:ascii="Times New Roman" w:hAnsi="Times New Roman" w:cs="Times New Roman"/>
          <w:i/>
          <w:iCs/>
          <w:u w:val="single"/>
          <w:lang w:eastAsia="sk-SK"/>
        </w:rPr>
      </w:pPr>
    </w:p>
    <w:p w:rsidR="003A497B" w:rsidRPr="000D79F8" w:rsidRDefault="003A497B" w:rsidP="003A497B">
      <w:pPr>
        <w:jc w:val="both"/>
        <w:rPr>
          <w:rFonts w:ascii="Times New Roman" w:hAnsi="Times New Roman" w:cs="Times New Roman"/>
          <w:lang w:eastAsia="sk-SK"/>
        </w:rPr>
      </w:pPr>
      <w:r w:rsidRPr="000D79F8">
        <w:rPr>
          <w:rFonts w:ascii="Times New Roman" w:hAnsi="Times New Roman" w:cs="Times New Roman"/>
          <w:i/>
          <w:iCs/>
          <w:u w:val="single"/>
          <w:lang w:eastAsia="sk-SK"/>
        </w:rPr>
        <w:t>Rozvoj obrany</w:t>
      </w:r>
    </w:p>
    <w:p w:rsidR="003A497B" w:rsidRPr="000D79F8" w:rsidRDefault="003A497B" w:rsidP="003A497B">
      <w:pPr>
        <w:jc w:val="both"/>
        <w:rPr>
          <w:rFonts w:ascii="Times New Roman" w:hAnsi="Times New Roman" w:cs="Times New Roman"/>
          <w:i/>
          <w:iCs/>
          <w:lang w:eastAsia="sk-SK"/>
        </w:rPr>
      </w:pPr>
      <w:r w:rsidRPr="000D79F8">
        <w:rPr>
          <w:rFonts w:ascii="Times New Roman" w:hAnsi="Times New Roman" w:cs="Times New Roman"/>
          <w:i/>
          <w:iCs/>
          <w:lang w:eastAsia="sk-SK"/>
        </w:rPr>
        <w:t> </w:t>
      </w:r>
    </w:p>
    <w:tbl>
      <w:tblPr>
        <w:tblW w:w="9067" w:type="dxa"/>
        <w:tblLayout w:type="fixed"/>
        <w:tblCellMar>
          <w:left w:w="70" w:type="dxa"/>
          <w:right w:w="70" w:type="dxa"/>
        </w:tblCellMar>
        <w:tblLook w:val="04A0" w:firstRow="1" w:lastRow="0" w:firstColumn="1" w:lastColumn="0" w:noHBand="0" w:noVBand="1"/>
      </w:tblPr>
      <w:tblGrid>
        <w:gridCol w:w="2405"/>
        <w:gridCol w:w="951"/>
        <w:gridCol w:w="952"/>
        <w:gridCol w:w="952"/>
        <w:gridCol w:w="951"/>
        <w:gridCol w:w="952"/>
        <w:gridCol w:w="952"/>
        <w:gridCol w:w="952"/>
      </w:tblGrid>
      <w:tr w:rsidR="003A497B" w:rsidRPr="0049188B" w:rsidTr="003E1809">
        <w:trPr>
          <w:trHeight w:val="255"/>
        </w:trPr>
        <w:tc>
          <w:tcPr>
            <w:tcW w:w="240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49188B" w:rsidRDefault="003A497B" w:rsidP="003E1809">
            <w:pPr>
              <w:rPr>
                <w:rFonts w:ascii="Times New Roman" w:hAnsi="Times New Roman" w:cs="Times New Roman"/>
                <w:b/>
                <w:bCs/>
                <w:sz w:val="14"/>
                <w:szCs w:val="14"/>
                <w:lang w:eastAsia="sk-SK"/>
              </w:rPr>
            </w:pPr>
            <w:r w:rsidRPr="0049188B">
              <w:rPr>
                <w:rFonts w:ascii="Times New Roman" w:hAnsi="Times New Roman" w:cs="Times New Roman"/>
                <w:b/>
                <w:bCs/>
                <w:sz w:val="14"/>
                <w:szCs w:val="14"/>
                <w:lang w:eastAsia="sk-SK"/>
              </w:rPr>
              <w:t>v eurách</w:t>
            </w:r>
          </w:p>
        </w:tc>
        <w:tc>
          <w:tcPr>
            <w:tcW w:w="951"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lang w:eastAsia="sk-SK"/>
              </w:rPr>
            </w:pPr>
            <w:r w:rsidRPr="00D57B87">
              <w:rPr>
                <w:rFonts w:ascii="Times New Roman" w:hAnsi="Times New Roman" w:cs="Times New Roman"/>
                <w:b/>
                <w:bCs/>
                <w:color w:val="000000"/>
                <w:sz w:val="14"/>
                <w:szCs w:val="14"/>
              </w:rPr>
              <w:t>2016 S</w:t>
            </w:r>
          </w:p>
        </w:tc>
        <w:tc>
          <w:tcPr>
            <w:tcW w:w="95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2017 S</w:t>
            </w:r>
          </w:p>
        </w:tc>
        <w:tc>
          <w:tcPr>
            <w:tcW w:w="95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2018 R</w:t>
            </w:r>
          </w:p>
        </w:tc>
        <w:tc>
          <w:tcPr>
            <w:tcW w:w="951"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2018 OS</w:t>
            </w:r>
          </w:p>
        </w:tc>
        <w:tc>
          <w:tcPr>
            <w:tcW w:w="95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2019</w:t>
            </w:r>
            <w:r w:rsidRPr="00D57B87">
              <w:rPr>
                <w:rFonts w:ascii="Times New Roman" w:hAnsi="Times New Roman" w:cs="Times New Roman"/>
                <w:b/>
                <w:bCs/>
                <w:color w:val="000000"/>
                <w:sz w:val="14"/>
                <w:szCs w:val="14"/>
              </w:rPr>
              <w:t xml:space="preserve"> N</w:t>
            </w:r>
          </w:p>
        </w:tc>
        <w:tc>
          <w:tcPr>
            <w:tcW w:w="95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2020 N</w:t>
            </w:r>
          </w:p>
        </w:tc>
        <w:tc>
          <w:tcPr>
            <w:tcW w:w="95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2021 N</w:t>
            </w:r>
          </w:p>
        </w:tc>
      </w:tr>
      <w:tr w:rsidR="003A497B" w:rsidRPr="0049188B" w:rsidTr="003E1809">
        <w:trPr>
          <w:trHeight w:val="255"/>
        </w:trPr>
        <w:tc>
          <w:tcPr>
            <w:tcW w:w="2405"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A497B" w:rsidRPr="0049188B" w:rsidRDefault="003A497B" w:rsidP="003E1809">
            <w:pPr>
              <w:rPr>
                <w:rFonts w:ascii="Times New Roman" w:hAnsi="Times New Roman" w:cs="Times New Roman"/>
                <w:b/>
                <w:bCs/>
                <w:color w:val="000000"/>
                <w:sz w:val="14"/>
                <w:szCs w:val="14"/>
                <w:lang w:eastAsia="sk-SK"/>
              </w:rPr>
            </w:pPr>
            <w:r w:rsidRPr="0049188B">
              <w:rPr>
                <w:rFonts w:ascii="Times New Roman" w:hAnsi="Times New Roman" w:cs="Times New Roman"/>
                <w:b/>
                <w:bCs/>
                <w:color w:val="000000"/>
                <w:sz w:val="14"/>
                <w:szCs w:val="14"/>
                <w:lang w:eastAsia="sk-SK"/>
              </w:rPr>
              <w:t>Rozvoj obrany</w:t>
            </w: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3A497B" w:rsidRPr="00D26134" w:rsidRDefault="003A497B" w:rsidP="003E1809">
            <w:pPr>
              <w:jc w:val="right"/>
              <w:rPr>
                <w:rFonts w:ascii="Times New Roman" w:hAnsi="Times New Roman" w:cs="Times New Roman"/>
                <w:b/>
                <w:bCs/>
                <w:sz w:val="14"/>
                <w:szCs w:val="14"/>
                <w:lang w:eastAsia="sk-SK"/>
              </w:rPr>
            </w:pPr>
            <w:r w:rsidRPr="00D26134">
              <w:rPr>
                <w:rFonts w:ascii="Times New Roman" w:hAnsi="Times New Roman" w:cs="Times New Roman"/>
                <w:b/>
                <w:bCs/>
                <w:sz w:val="14"/>
                <w:szCs w:val="14"/>
              </w:rPr>
              <w:t>224 378 290</w:t>
            </w:r>
          </w:p>
        </w:tc>
        <w:tc>
          <w:tcPr>
            <w:tcW w:w="95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D26134" w:rsidRDefault="003A497B" w:rsidP="003E1809">
            <w:pPr>
              <w:jc w:val="right"/>
              <w:rPr>
                <w:rFonts w:ascii="Times New Roman" w:hAnsi="Times New Roman" w:cs="Times New Roman"/>
                <w:b/>
                <w:bCs/>
                <w:sz w:val="14"/>
                <w:szCs w:val="14"/>
              </w:rPr>
            </w:pPr>
            <w:r w:rsidRPr="00D26134">
              <w:rPr>
                <w:rFonts w:ascii="Times New Roman" w:hAnsi="Times New Roman" w:cs="Times New Roman"/>
                <w:b/>
                <w:bCs/>
                <w:sz w:val="14"/>
                <w:szCs w:val="14"/>
              </w:rPr>
              <w:t>221 483 556</w:t>
            </w:r>
          </w:p>
        </w:tc>
        <w:tc>
          <w:tcPr>
            <w:tcW w:w="95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D26134" w:rsidRDefault="003A497B" w:rsidP="003E1809">
            <w:pPr>
              <w:jc w:val="right"/>
              <w:rPr>
                <w:rFonts w:ascii="Times New Roman" w:hAnsi="Times New Roman" w:cs="Times New Roman"/>
                <w:b/>
                <w:bCs/>
                <w:sz w:val="14"/>
                <w:szCs w:val="14"/>
              </w:rPr>
            </w:pPr>
            <w:r w:rsidRPr="00D26134">
              <w:rPr>
                <w:rFonts w:ascii="Times New Roman" w:hAnsi="Times New Roman" w:cs="Times New Roman"/>
                <w:b/>
                <w:bCs/>
                <w:sz w:val="14"/>
                <w:szCs w:val="14"/>
              </w:rPr>
              <w:t>325 434 426</w:t>
            </w:r>
          </w:p>
        </w:tc>
        <w:tc>
          <w:tcPr>
            <w:tcW w:w="951"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D26134" w:rsidRDefault="003A497B" w:rsidP="003E1809">
            <w:pPr>
              <w:jc w:val="right"/>
              <w:rPr>
                <w:rFonts w:ascii="Times New Roman" w:hAnsi="Times New Roman" w:cs="Times New Roman"/>
                <w:b/>
                <w:bCs/>
                <w:sz w:val="14"/>
                <w:szCs w:val="14"/>
              </w:rPr>
            </w:pPr>
            <w:r w:rsidRPr="00D26134">
              <w:rPr>
                <w:rFonts w:ascii="Times New Roman" w:hAnsi="Times New Roman" w:cs="Times New Roman"/>
                <w:b/>
                <w:bCs/>
                <w:sz w:val="14"/>
                <w:szCs w:val="14"/>
              </w:rPr>
              <w:t>325 434 426</w:t>
            </w:r>
          </w:p>
        </w:tc>
        <w:tc>
          <w:tcPr>
            <w:tcW w:w="9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3A497B" w:rsidRPr="00797392" w:rsidRDefault="003A497B" w:rsidP="003E1809">
            <w:pPr>
              <w:jc w:val="right"/>
              <w:rPr>
                <w:rFonts w:ascii="Times New Roman" w:hAnsi="Times New Roman" w:cs="Times New Roman"/>
                <w:b/>
                <w:bCs/>
                <w:sz w:val="14"/>
                <w:szCs w:val="14"/>
                <w:lang w:eastAsia="sk-SK"/>
              </w:rPr>
            </w:pPr>
            <w:r w:rsidRPr="00797392">
              <w:rPr>
                <w:rFonts w:ascii="Times New Roman" w:hAnsi="Times New Roman" w:cs="Times New Roman"/>
                <w:b/>
                <w:bCs/>
                <w:sz w:val="14"/>
                <w:szCs w:val="14"/>
              </w:rPr>
              <w:t>870 895 180</w:t>
            </w:r>
          </w:p>
        </w:tc>
        <w:tc>
          <w:tcPr>
            <w:tcW w:w="95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797392" w:rsidRDefault="003A497B" w:rsidP="003E1809">
            <w:pPr>
              <w:jc w:val="right"/>
              <w:rPr>
                <w:rFonts w:ascii="Times New Roman" w:hAnsi="Times New Roman" w:cs="Times New Roman"/>
                <w:b/>
                <w:bCs/>
                <w:sz w:val="14"/>
                <w:szCs w:val="14"/>
              </w:rPr>
            </w:pPr>
            <w:r w:rsidRPr="00797392">
              <w:rPr>
                <w:rFonts w:ascii="Times New Roman" w:hAnsi="Times New Roman" w:cs="Times New Roman"/>
                <w:b/>
                <w:bCs/>
                <w:sz w:val="14"/>
                <w:szCs w:val="14"/>
              </w:rPr>
              <w:t>787 595 879</w:t>
            </w:r>
          </w:p>
        </w:tc>
        <w:tc>
          <w:tcPr>
            <w:tcW w:w="95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797392" w:rsidRDefault="003A497B" w:rsidP="003E1809">
            <w:pPr>
              <w:jc w:val="right"/>
              <w:rPr>
                <w:rFonts w:ascii="Times New Roman" w:hAnsi="Times New Roman" w:cs="Times New Roman"/>
                <w:b/>
                <w:bCs/>
                <w:sz w:val="14"/>
                <w:szCs w:val="14"/>
              </w:rPr>
            </w:pPr>
            <w:r w:rsidRPr="00797392">
              <w:rPr>
                <w:rFonts w:ascii="Times New Roman" w:hAnsi="Times New Roman" w:cs="Times New Roman"/>
                <w:b/>
                <w:bCs/>
                <w:sz w:val="14"/>
                <w:szCs w:val="14"/>
              </w:rPr>
              <w:t>742 999 579</w:t>
            </w:r>
          </w:p>
        </w:tc>
      </w:tr>
      <w:tr w:rsidR="003A497B" w:rsidRPr="0049188B" w:rsidTr="003E1809">
        <w:trPr>
          <w:trHeight w:val="25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A497B" w:rsidRPr="0049188B" w:rsidRDefault="003A497B" w:rsidP="003E1809">
            <w:pPr>
              <w:rPr>
                <w:rFonts w:ascii="Times New Roman" w:hAnsi="Times New Roman" w:cs="Times New Roman"/>
                <w:sz w:val="14"/>
                <w:szCs w:val="14"/>
                <w:lang w:eastAsia="sk-SK"/>
              </w:rPr>
            </w:pPr>
            <w:r w:rsidRPr="0049188B">
              <w:rPr>
                <w:rFonts w:ascii="Times New Roman" w:hAnsi="Times New Roman" w:cs="Times New Roman"/>
                <w:sz w:val="14"/>
                <w:szCs w:val="14"/>
                <w:lang w:eastAsia="sk-SK"/>
              </w:rPr>
              <w:t>Rozvoj infraštruktúry</w:t>
            </w:r>
          </w:p>
        </w:tc>
        <w:tc>
          <w:tcPr>
            <w:tcW w:w="951" w:type="dxa"/>
            <w:tcBorders>
              <w:top w:val="nil"/>
              <w:left w:val="single" w:sz="4" w:space="0" w:color="auto"/>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color w:val="000000"/>
                <w:sz w:val="14"/>
                <w:szCs w:val="14"/>
              </w:rPr>
            </w:pPr>
            <w:r w:rsidRPr="00D26134">
              <w:rPr>
                <w:rFonts w:ascii="Times New Roman" w:hAnsi="Times New Roman" w:cs="Times New Roman"/>
                <w:color w:val="000000"/>
                <w:sz w:val="14"/>
                <w:szCs w:val="14"/>
              </w:rPr>
              <w:t>31 809 860</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color w:val="000000"/>
                <w:sz w:val="14"/>
                <w:szCs w:val="14"/>
              </w:rPr>
            </w:pPr>
            <w:r w:rsidRPr="00D26134">
              <w:rPr>
                <w:rFonts w:ascii="Times New Roman" w:hAnsi="Times New Roman" w:cs="Times New Roman"/>
                <w:color w:val="000000"/>
                <w:sz w:val="14"/>
                <w:szCs w:val="14"/>
              </w:rPr>
              <w:t>27 741 304</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color w:val="000000"/>
                <w:sz w:val="14"/>
                <w:szCs w:val="14"/>
              </w:rPr>
            </w:pPr>
            <w:r w:rsidRPr="00D26134">
              <w:rPr>
                <w:rFonts w:ascii="Times New Roman" w:hAnsi="Times New Roman" w:cs="Times New Roman"/>
                <w:color w:val="000000"/>
                <w:sz w:val="14"/>
                <w:szCs w:val="14"/>
              </w:rPr>
              <w:t>32 982 033</w:t>
            </w:r>
          </w:p>
        </w:tc>
        <w:tc>
          <w:tcPr>
            <w:tcW w:w="951"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color w:val="000000"/>
                <w:sz w:val="14"/>
                <w:szCs w:val="14"/>
              </w:rPr>
            </w:pPr>
            <w:r w:rsidRPr="00D26134">
              <w:rPr>
                <w:rFonts w:ascii="Times New Roman" w:hAnsi="Times New Roman" w:cs="Times New Roman"/>
                <w:color w:val="000000"/>
                <w:sz w:val="14"/>
                <w:szCs w:val="14"/>
              </w:rPr>
              <w:t>36 937 077</w:t>
            </w:r>
          </w:p>
        </w:tc>
        <w:tc>
          <w:tcPr>
            <w:tcW w:w="952" w:type="dxa"/>
            <w:tcBorders>
              <w:top w:val="nil"/>
              <w:left w:val="single" w:sz="4" w:space="0" w:color="auto"/>
              <w:bottom w:val="single" w:sz="4" w:space="0" w:color="auto"/>
              <w:right w:val="single" w:sz="4" w:space="0" w:color="auto"/>
            </w:tcBorders>
            <w:shd w:val="clear" w:color="auto" w:fill="auto"/>
            <w:vAlign w:val="bottom"/>
            <w:hideMark/>
          </w:tcPr>
          <w:p w:rsidR="003A497B" w:rsidRPr="00797392" w:rsidRDefault="003A497B" w:rsidP="003E1809">
            <w:pPr>
              <w:jc w:val="right"/>
              <w:rPr>
                <w:rFonts w:ascii="Times New Roman" w:hAnsi="Times New Roman" w:cs="Times New Roman"/>
                <w:color w:val="000000"/>
                <w:sz w:val="14"/>
                <w:szCs w:val="14"/>
              </w:rPr>
            </w:pPr>
            <w:r w:rsidRPr="00797392">
              <w:rPr>
                <w:rFonts w:ascii="Times New Roman" w:hAnsi="Times New Roman" w:cs="Times New Roman"/>
                <w:color w:val="000000"/>
                <w:sz w:val="14"/>
                <w:szCs w:val="14"/>
              </w:rPr>
              <w:t>35 582 512</w:t>
            </w:r>
          </w:p>
        </w:tc>
        <w:tc>
          <w:tcPr>
            <w:tcW w:w="952" w:type="dxa"/>
            <w:tcBorders>
              <w:top w:val="nil"/>
              <w:left w:val="nil"/>
              <w:bottom w:val="single" w:sz="4" w:space="0" w:color="auto"/>
              <w:right w:val="single" w:sz="4" w:space="0" w:color="auto"/>
            </w:tcBorders>
            <w:shd w:val="clear" w:color="auto" w:fill="auto"/>
            <w:vAlign w:val="bottom"/>
            <w:hideMark/>
          </w:tcPr>
          <w:p w:rsidR="003A497B" w:rsidRPr="00797392" w:rsidRDefault="003A497B" w:rsidP="003E1809">
            <w:pPr>
              <w:jc w:val="right"/>
              <w:rPr>
                <w:rFonts w:ascii="Times New Roman" w:hAnsi="Times New Roman" w:cs="Times New Roman"/>
                <w:color w:val="000000"/>
                <w:sz w:val="14"/>
                <w:szCs w:val="14"/>
              </w:rPr>
            </w:pPr>
            <w:r w:rsidRPr="00797392">
              <w:rPr>
                <w:rFonts w:ascii="Times New Roman" w:hAnsi="Times New Roman" w:cs="Times New Roman"/>
                <w:color w:val="000000"/>
                <w:sz w:val="14"/>
                <w:szCs w:val="14"/>
              </w:rPr>
              <w:t>39 984 056</w:t>
            </w:r>
          </w:p>
        </w:tc>
        <w:tc>
          <w:tcPr>
            <w:tcW w:w="952" w:type="dxa"/>
            <w:tcBorders>
              <w:top w:val="nil"/>
              <w:left w:val="nil"/>
              <w:bottom w:val="single" w:sz="4" w:space="0" w:color="auto"/>
              <w:right w:val="single" w:sz="4" w:space="0" w:color="auto"/>
            </w:tcBorders>
            <w:shd w:val="clear" w:color="auto" w:fill="auto"/>
            <w:vAlign w:val="bottom"/>
            <w:hideMark/>
          </w:tcPr>
          <w:p w:rsidR="003A497B" w:rsidRPr="00797392" w:rsidRDefault="003A497B" w:rsidP="003E1809">
            <w:pPr>
              <w:jc w:val="right"/>
              <w:rPr>
                <w:rFonts w:ascii="Times New Roman" w:hAnsi="Times New Roman" w:cs="Times New Roman"/>
                <w:color w:val="000000"/>
                <w:sz w:val="14"/>
                <w:szCs w:val="14"/>
              </w:rPr>
            </w:pPr>
            <w:r w:rsidRPr="00797392">
              <w:rPr>
                <w:rFonts w:ascii="Times New Roman" w:hAnsi="Times New Roman" w:cs="Times New Roman"/>
                <w:color w:val="000000"/>
                <w:sz w:val="14"/>
                <w:szCs w:val="14"/>
              </w:rPr>
              <w:t>39 280 000</w:t>
            </w:r>
          </w:p>
        </w:tc>
      </w:tr>
      <w:tr w:rsidR="003A497B" w:rsidRPr="0049188B" w:rsidTr="003E1809">
        <w:trPr>
          <w:trHeight w:val="25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A497B" w:rsidRPr="0049188B" w:rsidRDefault="003A497B" w:rsidP="003E1809">
            <w:pPr>
              <w:rPr>
                <w:rFonts w:ascii="Times New Roman" w:hAnsi="Times New Roman" w:cs="Times New Roman"/>
                <w:sz w:val="14"/>
                <w:szCs w:val="14"/>
                <w:lang w:eastAsia="sk-SK"/>
              </w:rPr>
            </w:pPr>
            <w:r w:rsidRPr="0049188B">
              <w:rPr>
                <w:rFonts w:ascii="Times New Roman" w:hAnsi="Times New Roman" w:cs="Times New Roman"/>
                <w:sz w:val="14"/>
                <w:szCs w:val="14"/>
                <w:lang w:eastAsia="sk-SK"/>
              </w:rPr>
              <w:t>Rozvoj výzbroje, techniky a materiálu</w:t>
            </w:r>
          </w:p>
        </w:tc>
        <w:tc>
          <w:tcPr>
            <w:tcW w:w="951" w:type="dxa"/>
            <w:tcBorders>
              <w:top w:val="nil"/>
              <w:left w:val="single" w:sz="4" w:space="0" w:color="auto"/>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color w:val="000000"/>
                <w:sz w:val="14"/>
                <w:szCs w:val="14"/>
              </w:rPr>
            </w:pPr>
            <w:r w:rsidRPr="00D26134">
              <w:rPr>
                <w:rFonts w:ascii="Times New Roman" w:hAnsi="Times New Roman" w:cs="Times New Roman"/>
                <w:color w:val="000000"/>
                <w:sz w:val="14"/>
                <w:szCs w:val="14"/>
              </w:rPr>
              <w:t>111 610 367</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color w:val="000000"/>
                <w:sz w:val="14"/>
                <w:szCs w:val="14"/>
              </w:rPr>
            </w:pPr>
            <w:r w:rsidRPr="00D26134">
              <w:rPr>
                <w:rFonts w:ascii="Times New Roman" w:hAnsi="Times New Roman" w:cs="Times New Roman"/>
                <w:color w:val="000000"/>
                <w:sz w:val="14"/>
                <w:szCs w:val="14"/>
              </w:rPr>
              <w:t>143 919 046</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color w:val="000000"/>
                <w:sz w:val="14"/>
                <w:szCs w:val="14"/>
              </w:rPr>
            </w:pPr>
            <w:r w:rsidRPr="00D26134">
              <w:rPr>
                <w:rFonts w:ascii="Times New Roman" w:hAnsi="Times New Roman" w:cs="Times New Roman"/>
                <w:color w:val="000000"/>
                <w:sz w:val="14"/>
                <w:szCs w:val="14"/>
              </w:rPr>
              <w:t>231 450 055</w:t>
            </w:r>
          </w:p>
        </w:tc>
        <w:tc>
          <w:tcPr>
            <w:tcW w:w="951"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color w:val="000000"/>
                <w:sz w:val="14"/>
                <w:szCs w:val="14"/>
              </w:rPr>
            </w:pPr>
            <w:r w:rsidRPr="00D26134">
              <w:rPr>
                <w:rFonts w:ascii="Times New Roman" w:hAnsi="Times New Roman" w:cs="Times New Roman"/>
                <w:color w:val="000000"/>
                <w:sz w:val="14"/>
                <w:szCs w:val="14"/>
              </w:rPr>
              <w:t>178 661 077</w:t>
            </w:r>
          </w:p>
        </w:tc>
        <w:tc>
          <w:tcPr>
            <w:tcW w:w="952" w:type="dxa"/>
            <w:tcBorders>
              <w:top w:val="nil"/>
              <w:left w:val="single" w:sz="4" w:space="0" w:color="auto"/>
              <w:bottom w:val="single" w:sz="4" w:space="0" w:color="auto"/>
              <w:right w:val="single" w:sz="4" w:space="0" w:color="auto"/>
            </w:tcBorders>
            <w:shd w:val="clear" w:color="auto" w:fill="auto"/>
            <w:vAlign w:val="bottom"/>
            <w:hideMark/>
          </w:tcPr>
          <w:p w:rsidR="003A497B" w:rsidRPr="00797392" w:rsidRDefault="003A497B" w:rsidP="003E1809">
            <w:pPr>
              <w:jc w:val="right"/>
              <w:rPr>
                <w:rFonts w:ascii="Times New Roman" w:hAnsi="Times New Roman" w:cs="Times New Roman"/>
                <w:color w:val="000000"/>
                <w:sz w:val="14"/>
                <w:szCs w:val="14"/>
              </w:rPr>
            </w:pPr>
            <w:r w:rsidRPr="00797392">
              <w:rPr>
                <w:rFonts w:ascii="Times New Roman" w:hAnsi="Times New Roman" w:cs="Times New Roman"/>
                <w:color w:val="000000"/>
                <w:sz w:val="14"/>
                <w:szCs w:val="14"/>
              </w:rPr>
              <w:t>768 984 950</w:t>
            </w:r>
          </w:p>
        </w:tc>
        <w:tc>
          <w:tcPr>
            <w:tcW w:w="952" w:type="dxa"/>
            <w:tcBorders>
              <w:top w:val="nil"/>
              <w:left w:val="nil"/>
              <w:bottom w:val="single" w:sz="4" w:space="0" w:color="auto"/>
              <w:right w:val="single" w:sz="4" w:space="0" w:color="auto"/>
            </w:tcBorders>
            <w:shd w:val="clear" w:color="auto" w:fill="auto"/>
            <w:vAlign w:val="bottom"/>
            <w:hideMark/>
          </w:tcPr>
          <w:p w:rsidR="003A497B" w:rsidRPr="00797392" w:rsidRDefault="003A497B" w:rsidP="003E1809">
            <w:pPr>
              <w:jc w:val="right"/>
              <w:rPr>
                <w:rFonts w:ascii="Times New Roman" w:hAnsi="Times New Roman" w:cs="Times New Roman"/>
                <w:color w:val="000000"/>
                <w:sz w:val="14"/>
                <w:szCs w:val="14"/>
              </w:rPr>
            </w:pPr>
            <w:r w:rsidRPr="00797392">
              <w:rPr>
                <w:rFonts w:ascii="Times New Roman" w:hAnsi="Times New Roman" w:cs="Times New Roman"/>
                <w:color w:val="000000"/>
                <w:sz w:val="14"/>
                <w:szCs w:val="14"/>
              </w:rPr>
              <w:t>620 860 323</w:t>
            </w:r>
          </w:p>
        </w:tc>
        <w:tc>
          <w:tcPr>
            <w:tcW w:w="952" w:type="dxa"/>
            <w:tcBorders>
              <w:top w:val="nil"/>
              <w:left w:val="nil"/>
              <w:bottom w:val="single" w:sz="4" w:space="0" w:color="auto"/>
              <w:right w:val="single" w:sz="4" w:space="0" w:color="auto"/>
            </w:tcBorders>
            <w:shd w:val="clear" w:color="auto" w:fill="auto"/>
            <w:vAlign w:val="bottom"/>
            <w:hideMark/>
          </w:tcPr>
          <w:p w:rsidR="003A497B" w:rsidRPr="00797392" w:rsidRDefault="003A497B" w:rsidP="003E1809">
            <w:pPr>
              <w:jc w:val="right"/>
              <w:rPr>
                <w:rFonts w:ascii="Times New Roman" w:hAnsi="Times New Roman" w:cs="Times New Roman"/>
                <w:color w:val="000000"/>
                <w:sz w:val="14"/>
                <w:szCs w:val="14"/>
              </w:rPr>
            </w:pPr>
            <w:r w:rsidRPr="00797392">
              <w:rPr>
                <w:rFonts w:ascii="Times New Roman" w:hAnsi="Times New Roman" w:cs="Times New Roman"/>
                <w:color w:val="000000"/>
                <w:sz w:val="14"/>
                <w:szCs w:val="14"/>
              </w:rPr>
              <w:t>588 198 466</w:t>
            </w:r>
          </w:p>
        </w:tc>
      </w:tr>
      <w:tr w:rsidR="003A497B" w:rsidRPr="0049188B" w:rsidTr="003E1809">
        <w:trPr>
          <w:trHeight w:val="25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A497B" w:rsidRPr="0049188B" w:rsidRDefault="003A497B" w:rsidP="003E1809">
            <w:pPr>
              <w:rPr>
                <w:rFonts w:ascii="Times New Roman" w:hAnsi="Times New Roman" w:cs="Times New Roman"/>
                <w:sz w:val="14"/>
                <w:szCs w:val="14"/>
                <w:lang w:eastAsia="sk-SK"/>
              </w:rPr>
            </w:pPr>
            <w:r w:rsidRPr="0049188B">
              <w:rPr>
                <w:rFonts w:ascii="Times New Roman" w:hAnsi="Times New Roman" w:cs="Times New Roman"/>
                <w:sz w:val="14"/>
                <w:szCs w:val="14"/>
                <w:lang w:eastAsia="sk-SK"/>
              </w:rPr>
              <w:t>Rozvoj kom. a informačných systémov</w:t>
            </w:r>
          </w:p>
        </w:tc>
        <w:tc>
          <w:tcPr>
            <w:tcW w:w="951" w:type="dxa"/>
            <w:tcBorders>
              <w:top w:val="nil"/>
              <w:left w:val="single" w:sz="4" w:space="0" w:color="auto"/>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color w:val="000000"/>
                <w:sz w:val="14"/>
                <w:szCs w:val="14"/>
              </w:rPr>
            </w:pPr>
            <w:r w:rsidRPr="00D26134">
              <w:rPr>
                <w:rFonts w:ascii="Times New Roman" w:hAnsi="Times New Roman" w:cs="Times New Roman"/>
                <w:color w:val="000000"/>
                <w:sz w:val="14"/>
                <w:szCs w:val="14"/>
              </w:rPr>
              <w:t>49 322 620</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color w:val="000000"/>
                <w:sz w:val="14"/>
                <w:szCs w:val="14"/>
              </w:rPr>
            </w:pPr>
            <w:r w:rsidRPr="00D26134">
              <w:rPr>
                <w:rFonts w:ascii="Times New Roman" w:hAnsi="Times New Roman" w:cs="Times New Roman"/>
                <w:color w:val="000000"/>
                <w:sz w:val="14"/>
                <w:szCs w:val="14"/>
              </w:rPr>
              <w:t>28 801 928</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color w:val="000000"/>
                <w:sz w:val="14"/>
                <w:szCs w:val="14"/>
              </w:rPr>
            </w:pPr>
            <w:r w:rsidRPr="00D26134">
              <w:rPr>
                <w:rFonts w:ascii="Times New Roman" w:hAnsi="Times New Roman" w:cs="Times New Roman"/>
                <w:color w:val="000000"/>
                <w:sz w:val="14"/>
                <w:szCs w:val="14"/>
              </w:rPr>
              <w:t>31 282 338</w:t>
            </w:r>
          </w:p>
        </w:tc>
        <w:tc>
          <w:tcPr>
            <w:tcW w:w="951"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color w:val="000000"/>
                <w:sz w:val="14"/>
                <w:szCs w:val="14"/>
              </w:rPr>
            </w:pPr>
            <w:r w:rsidRPr="00D26134">
              <w:rPr>
                <w:rFonts w:ascii="Times New Roman" w:hAnsi="Times New Roman" w:cs="Times New Roman"/>
                <w:color w:val="000000"/>
                <w:sz w:val="14"/>
                <w:szCs w:val="14"/>
              </w:rPr>
              <w:t>66 553 275</w:t>
            </w:r>
          </w:p>
        </w:tc>
        <w:tc>
          <w:tcPr>
            <w:tcW w:w="952" w:type="dxa"/>
            <w:tcBorders>
              <w:top w:val="nil"/>
              <w:left w:val="single" w:sz="4" w:space="0" w:color="auto"/>
              <w:bottom w:val="single" w:sz="4" w:space="0" w:color="auto"/>
              <w:right w:val="single" w:sz="4" w:space="0" w:color="auto"/>
            </w:tcBorders>
            <w:shd w:val="clear" w:color="auto" w:fill="auto"/>
            <w:vAlign w:val="bottom"/>
            <w:hideMark/>
          </w:tcPr>
          <w:p w:rsidR="003A497B" w:rsidRPr="00797392" w:rsidRDefault="003A497B" w:rsidP="003E1809">
            <w:pPr>
              <w:jc w:val="right"/>
              <w:rPr>
                <w:rFonts w:ascii="Times New Roman" w:hAnsi="Times New Roman" w:cs="Times New Roman"/>
                <w:color w:val="000000"/>
                <w:sz w:val="14"/>
                <w:szCs w:val="14"/>
              </w:rPr>
            </w:pPr>
            <w:r w:rsidRPr="00797392">
              <w:rPr>
                <w:rFonts w:ascii="Times New Roman" w:hAnsi="Times New Roman" w:cs="Times New Roman"/>
                <w:color w:val="000000"/>
                <w:sz w:val="14"/>
                <w:szCs w:val="14"/>
              </w:rPr>
              <w:t>36 622 718</w:t>
            </w:r>
          </w:p>
        </w:tc>
        <w:tc>
          <w:tcPr>
            <w:tcW w:w="952" w:type="dxa"/>
            <w:tcBorders>
              <w:top w:val="nil"/>
              <w:left w:val="nil"/>
              <w:bottom w:val="single" w:sz="4" w:space="0" w:color="auto"/>
              <w:right w:val="single" w:sz="4" w:space="0" w:color="auto"/>
            </w:tcBorders>
            <w:shd w:val="clear" w:color="auto" w:fill="auto"/>
            <w:vAlign w:val="bottom"/>
            <w:hideMark/>
          </w:tcPr>
          <w:p w:rsidR="003A497B" w:rsidRPr="00797392" w:rsidRDefault="003A497B" w:rsidP="003E1809">
            <w:pPr>
              <w:jc w:val="right"/>
              <w:rPr>
                <w:rFonts w:ascii="Times New Roman" w:hAnsi="Times New Roman" w:cs="Times New Roman"/>
                <w:color w:val="000000"/>
                <w:sz w:val="14"/>
                <w:szCs w:val="14"/>
              </w:rPr>
            </w:pPr>
            <w:r w:rsidRPr="00797392">
              <w:rPr>
                <w:rFonts w:ascii="Times New Roman" w:hAnsi="Times New Roman" w:cs="Times New Roman"/>
                <w:color w:val="000000"/>
                <w:sz w:val="14"/>
                <w:szCs w:val="14"/>
              </w:rPr>
              <w:t>96 951 500</w:t>
            </w:r>
          </w:p>
        </w:tc>
        <w:tc>
          <w:tcPr>
            <w:tcW w:w="952" w:type="dxa"/>
            <w:tcBorders>
              <w:top w:val="nil"/>
              <w:left w:val="nil"/>
              <w:bottom w:val="single" w:sz="4" w:space="0" w:color="auto"/>
              <w:right w:val="single" w:sz="4" w:space="0" w:color="auto"/>
            </w:tcBorders>
            <w:shd w:val="clear" w:color="auto" w:fill="auto"/>
            <w:vAlign w:val="bottom"/>
            <w:hideMark/>
          </w:tcPr>
          <w:p w:rsidR="003A497B" w:rsidRPr="00797392" w:rsidRDefault="003A497B" w:rsidP="003E1809">
            <w:pPr>
              <w:jc w:val="right"/>
              <w:rPr>
                <w:rFonts w:ascii="Times New Roman" w:hAnsi="Times New Roman" w:cs="Times New Roman"/>
                <w:color w:val="000000"/>
                <w:sz w:val="14"/>
                <w:szCs w:val="14"/>
              </w:rPr>
            </w:pPr>
            <w:r w:rsidRPr="00797392">
              <w:rPr>
                <w:rFonts w:ascii="Times New Roman" w:hAnsi="Times New Roman" w:cs="Times New Roman"/>
                <w:color w:val="000000"/>
                <w:sz w:val="14"/>
                <w:szCs w:val="14"/>
              </w:rPr>
              <w:t>71 312 000</w:t>
            </w:r>
          </w:p>
        </w:tc>
      </w:tr>
      <w:tr w:rsidR="003A497B" w:rsidRPr="0049188B" w:rsidTr="003E1809">
        <w:trPr>
          <w:trHeight w:val="25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A497B" w:rsidRPr="0049188B" w:rsidRDefault="003A497B" w:rsidP="003E1809">
            <w:pPr>
              <w:rPr>
                <w:rFonts w:ascii="Times New Roman" w:hAnsi="Times New Roman" w:cs="Times New Roman"/>
                <w:sz w:val="14"/>
                <w:szCs w:val="14"/>
                <w:lang w:eastAsia="sk-SK"/>
              </w:rPr>
            </w:pPr>
            <w:r w:rsidRPr="0049188B">
              <w:rPr>
                <w:rFonts w:ascii="Times New Roman" w:hAnsi="Times New Roman" w:cs="Times New Roman"/>
                <w:sz w:val="14"/>
                <w:szCs w:val="14"/>
                <w:lang w:eastAsia="sk-SK"/>
              </w:rPr>
              <w:t>Rozvoj centrálnej logistiky</w:t>
            </w:r>
          </w:p>
        </w:tc>
        <w:tc>
          <w:tcPr>
            <w:tcW w:w="951" w:type="dxa"/>
            <w:tcBorders>
              <w:top w:val="nil"/>
              <w:left w:val="single" w:sz="4" w:space="0" w:color="auto"/>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color w:val="000000"/>
                <w:sz w:val="14"/>
                <w:szCs w:val="14"/>
              </w:rPr>
            </w:pPr>
            <w:r w:rsidRPr="00D26134">
              <w:rPr>
                <w:rFonts w:ascii="Times New Roman" w:hAnsi="Times New Roman" w:cs="Times New Roman"/>
                <w:color w:val="000000"/>
                <w:sz w:val="14"/>
                <w:szCs w:val="14"/>
              </w:rPr>
              <w:t>31 635 443</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color w:val="000000"/>
                <w:sz w:val="14"/>
                <w:szCs w:val="14"/>
              </w:rPr>
            </w:pPr>
            <w:r w:rsidRPr="00D26134">
              <w:rPr>
                <w:rFonts w:ascii="Times New Roman" w:hAnsi="Times New Roman" w:cs="Times New Roman"/>
                <w:color w:val="000000"/>
                <w:sz w:val="14"/>
                <w:szCs w:val="14"/>
              </w:rPr>
              <w:t>21 021 278</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color w:val="000000"/>
                <w:sz w:val="14"/>
                <w:szCs w:val="14"/>
              </w:rPr>
            </w:pPr>
            <w:r w:rsidRPr="00D26134">
              <w:rPr>
                <w:rFonts w:ascii="Times New Roman" w:hAnsi="Times New Roman" w:cs="Times New Roman"/>
                <w:color w:val="000000"/>
                <w:sz w:val="14"/>
                <w:szCs w:val="14"/>
              </w:rPr>
              <w:t>29 720 000</w:t>
            </w:r>
          </w:p>
        </w:tc>
        <w:tc>
          <w:tcPr>
            <w:tcW w:w="951"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color w:val="000000"/>
                <w:sz w:val="14"/>
                <w:szCs w:val="14"/>
              </w:rPr>
            </w:pPr>
            <w:r w:rsidRPr="00D26134">
              <w:rPr>
                <w:rFonts w:ascii="Times New Roman" w:hAnsi="Times New Roman" w:cs="Times New Roman"/>
                <w:color w:val="000000"/>
                <w:sz w:val="14"/>
                <w:szCs w:val="14"/>
              </w:rPr>
              <w:t>43 282 997</w:t>
            </w:r>
          </w:p>
        </w:tc>
        <w:tc>
          <w:tcPr>
            <w:tcW w:w="952" w:type="dxa"/>
            <w:tcBorders>
              <w:top w:val="nil"/>
              <w:left w:val="single" w:sz="4" w:space="0" w:color="auto"/>
              <w:bottom w:val="single" w:sz="4" w:space="0" w:color="auto"/>
              <w:right w:val="single" w:sz="4" w:space="0" w:color="auto"/>
            </w:tcBorders>
            <w:shd w:val="clear" w:color="auto" w:fill="auto"/>
            <w:vAlign w:val="bottom"/>
            <w:hideMark/>
          </w:tcPr>
          <w:p w:rsidR="003A497B" w:rsidRPr="00797392" w:rsidRDefault="003A497B" w:rsidP="003E1809">
            <w:pPr>
              <w:jc w:val="right"/>
              <w:rPr>
                <w:rFonts w:ascii="Times New Roman" w:hAnsi="Times New Roman" w:cs="Times New Roman"/>
                <w:color w:val="000000"/>
                <w:sz w:val="14"/>
                <w:szCs w:val="14"/>
              </w:rPr>
            </w:pPr>
            <w:r w:rsidRPr="00797392">
              <w:rPr>
                <w:rFonts w:ascii="Times New Roman" w:hAnsi="Times New Roman" w:cs="Times New Roman"/>
                <w:color w:val="000000"/>
                <w:sz w:val="14"/>
                <w:szCs w:val="14"/>
              </w:rPr>
              <w:t>29 705 000</w:t>
            </w:r>
          </w:p>
        </w:tc>
        <w:tc>
          <w:tcPr>
            <w:tcW w:w="952" w:type="dxa"/>
            <w:tcBorders>
              <w:top w:val="nil"/>
              <w:left w:val="nil"/>
              <w:bottom w:val="single" w:sz="4" w:space="0" w:color="auto"/>
              <w:right w:val="single" w:sz="4" w:space="0" w:color="auto"/>
            </w:tcBorders>
            <w:shd w:val="clear" w:color="auto" w:fill="auto"/>
            <w:vAlign w:val="bottom"/>
            <w:hideMark/>
          </w:tcPr>
          <w:p w:rsidR="003A497B" w:rsidRPr="00797392" w:rsidRDefault="003A497B" w:rsidP="003E1809">
            <w:pPr>
              <w:jc w:val="right"/>
              <w:rPr>
                <w:rFonts w:ascii="Times New Roman" w:hAnsi="Times New Roman" w:cs="Times New Roman"/>
                <w:color w:val="000000"/>
                <w:sz w:val="14"/>
                <w:szCs w:val="14"/>
              </w:rPr>
            </w:pPr>
            <w:r w:rsidRPr="00797392">
              <w:rPr>
                <w:rFonts w:ascii="Times New Roman" w:hAnsi="Times New Roman" w:cs="Times New Roman"/>
                <w:color w:val="000000"/>
                <w:sz w:val="14"/>
                <w:szCs w:val="14"/>
              </w:rPr>
              <w:t>29 800 000</w:t>
            </w:r>
          </w:p>
        </w:tc>
        <w:tc>
          <w:tcPr>
            <w:tcW w:w="952" w:type="dxa"/>
            <w:tcBorders>
              <w:top w:val="nil"/>
              <w:left w:val="nil"/>
              <w:bottom w:val="single" w:sz="4" w:space="0" w:color="auto"/>
              <w:right w:val="single" w:sz="4" w:space="0" w:color="auto"/>
            </w:tcBorders>
            <w:shd w:val="clear" w:color="auto" w:fill="auto"/>
            <w:vAlign w:val="bottom"/>
            <w:hideMark/>
          </w:tcPr>
          <w:p w:rsidR="003A497B" w:rsidRPr="00797392" w:rsidRDefault="003A497B" w:rsidP="003E1809">
            <w:pPr>
              <w:jc w:val="right"/>
              <w:rPr>
                <w:rFonts w:ascii="Times New Roman" w:hAnsi="Times New Roman" w:cs="Times New Roman"/>
                <w:color w:val="000000"/>
                <w:sz w:val="14"/>
                <w:szCs w:val="14"/>
              </w:rPr>
            </w:pPr>
            <w:r w:rsidRPr="00797392">
              <w:rPr>
                <w:rFonts w:ascii="Times New Roman" w:hAnsi="Times New Roman" w:cs="Times New Roman"/>
                <w:color w:val="000000"/>
                <w:sz w:val="14"/>
                <w:szCs w:val="14"/>
              </w:rPr>
              <w:t>44 209 113</w:t>
            </w:r>
          </w:p>
        </w:tc>
      </w:tr>
    </w:tbl>
    <w:p w:rsidR="003A497B" w:rsidRPr="000D79F8" w:rsidRDefault="003A497B" w:rsidP="003A497B">
      <w:pPr>
        <w:jc w:val="both"/>
        <w:rPr>
          <w:rFonts w:ascii="Times New Roman" w:hAnsi="Times New Roman" w:cs="Times New Roman"/>
          <w:highlight w:val="yellow"/>
          <w:lang w:eastAsia="sk-SK"/>
        </w:rPr>
      </w:pPr>
    </w:p>
    <w:p w:rsidR="003A497B" w:rsidRPr="000D79F8" w:rsidRDefault="003A497B" w:rsidP="003A497B">
      <w:pPr>
        <w:ind w:firstLine="708"/>
        <w:jc w:val="both"/>
        <w:rPr>
          <w:rFonts w:ascii="Times New Roman" w:hAnsi="Times New Roman" w:cs="Times New Roman"/>
        </w:rPr>
      </w:pPr>
      <w:r w:rsidRPr="000D79F8">
        <w:rPr>
          <w:rFonts w:ascii="Times New Roman" w:hAnsi="Times New Roman" w:cs="Times New Roman"/>
        </w:rPr>
        <w:t>V rám</w:t>
      </w:r>
      <w:r>
        <w:rPr>
          <w:rFonts w:ascii="Times New Roman" w:hAnsi="Times New Roman" w:cs="Times New Roman"/>
        </w:rPr>
        <w:t>ci rozvoja obrany sú na rok 2019</w:t>
      </w:r>
      <w:r w:rsidRPr="000D79F8">
        <w:rPr>
          <w:rFonts w:ascii="Times New Roman" w:hAnsi="Times New Roman" w:cs="Times New Roman"/>
        </w:rPr>
        <w:t xml:space="preserve"> vyčlenené prostriedky na rozvojové aktivity rezortu, a to naj</w:t>
      </w:r>
      <w:r>
        <w:rPr>
          <w:rFonts w:ascii="Times New Roman" w:hAnsi="Times New Roman" w:cs="Times New Roman"/>
        </w:rPr>
        <w:t xml:space="preserve">mä na rozvoj výzbroje, techniky </w:t>
      </w:r>
      <w:r w:rsidRPr="000D79F8">
        <w:rPr>
          <w:rFonts w:ascii="Times New Roman" w:hAnsi="Times New Roman" w:cs="Times New Roman"/>
        </w:rPr>
        <w:t>a špeciálneho materiálu,</w:t>
      </w:r>
      <w:r>
        <w:rPr>
          <w:rFonts w:ascii="Times New Roman" w:hAnsi="Times New Roman" w:cs="Times New Roman"/>
        </w:rPr>
        <w:t xml:space="preserve"> rozvoj </w:t>
      </w:r>
      <w:r>
        <w:rPr>
          <w:rFonts w:ascii="Times New Roman" w:hAnsi="Times New Roman" w:cs="Times New Roman"/>
        </w:rPr>
        <w:lastRenderedPageBreak/>
        <w:t xml:space="preserve">komunikačných a informačných systémov, rozvoj infraštruktúry, nákup dopravných prostriedkov </w:t>
      </w:r>
      <w:r w:rsidRPr="00FC186F">
        <w:rPr>
          <w:rFonts w:ascii="Times New Roman" w:hAnsi="Times New Roman" w:cs="Times New Roman"/>
        </w:rPr>
        <w:t>a modernizáciu leteckej techniky</w:t>
      </w:r>
      <w:r>
        <w:rPr>
          <w:rFonts w:ascii="Times New Roman" w:hAnsi="Times New Roman" w:cs="Times New Roman"/>
        </w:rPr>
        <w:t>,</w:t>
      </w:r>
      <w:r w:rsidRPr="00FC186F">
        <w:rPr>
          <w:rFonts w:ascii="Times New Roman" w:hAnsi="Times New Roman" w:cs="Times New Roman"/>
        </w:rPr>
        <w:t xml:space="preserve"> </w:t>
      </w:r>
      <w:r w:rsidRPr="00EE6290">
        <w:rPr>
          <w:rFonts w:ascii="Times New Roman" w:hAnsi="Times New Roman" w:cs="Times New Roman"/>
        </w:rPr>
        <w:t>vr</w:t>
      </w:r>
      <w:r>
        <w:rPr>
          <w:rFonts w:ascii="Times New Roman" w:hAnsi="Times New Roman" w:cs="Times New Roman"/>
        </w:rPr>
        <w:t xml:space="preserve">átane nákupu vrtuľníkov a taktických stíhacích lietadiel. </w:t>
      </w:r>
      <w:r w:rsidRPr="000D79F8">
        <w:rPr>
          <w:rFonts w:ascii="Times New Roman" w:hAnsi="Times New Roman" w:cs="Times New Roman"/>
        </w:rPr>
        <w:t xml:space="preserve">  </w:t>
      </w:r>
    </w:p>
    <w:p w:rsidR="003A497B" w:rsidRPr="000D79F8" w:rsidRDefault="003A497B" w:rsidP="003A497B">
      <w:pPr>
        <w:jc w:val="both"/>
        <w:rPr>
          <w:rFonts w:ascii="Times New Roman" w:hAnsi="Times New Roman" w:cs="Times New Roman"/>
        </w:rPr>
      </w:pPr>
    </w:p>
    <w:p w:rsidR="003A497B" w:rsidRPr="000D79F8" w:rsidRDefault="003A497B" w:rsidP="003A497B">
      <w:pPr>
        <w:ind w:firstLine="708"/>
        <w:jc w:val="both"/>
        <w:rPr>
          <w:rFonts w:ascii="Times New Roman" w:hAnsi="Times New Roman" w:cs="Times New Roman"/>
        </w:rPr>
      </w:pPr>
      <w:r w:rsidRPr="000D79F8">
        <w:rPr>
          <w:rFonts w:ascii="Times New Roman" w:hAnsi="Times New Roman" w:cs="Times New Roman"/>
        </w:rPr>
        <w:t>Nárast výdavkov v </w:t>
      </w:r>
      <w:r>
        <w:rPr>
          <w:rFonts w:ascii="Times New Roman" w:hAnsi="Times New Roman" w:cs="Times New Roman"/>
        </w:rPr>
        <w:t>rámci rozvoja obrany v roku 2019</w:t>
      </w:r>
      <w:r w:rsidRPr="000D79F8">
        <w:rPr>
          <w:rFonts w:ascii="Times New Roman" w:hAnsi="Times New Roman" w:cs="Times New Roman"/>
        </w:rPr>
        <w:t xml:space="preserve"> oprot</w:t>
      </w:r>
      <w:r>
        <w:rPr>
          <w:rFonts w:ascii="Times New Roman" w:hAnsi="Times New Roman" w:cs="Times New Roman"/>
        </w:rPr>
        <w:t>i schválenému rozpočtu roku 2018</w:t>
      </w:r>
      <w:r w:rsidRPr="000D79F8">
        <w:rPr>
          <w:rFonts w:ascii="Times New Roman" w:hAnsi="Times New Roman" w:cs="Times New Roman"/>
        </w:rPr>
        <w:t xml:space="preserve"> predstavuje sumu </w:t>
      </w:r>
      <w:r>
        <w:rPr>
          <w:rFonts w:ascii="Times New Roman" w:hAnsi="Times New Roman" w:cs="Times New Roman"/>
        </w:rPr>
        <w:t>545</w:t>
      </w:r>
      <w:r w:rsidRPr="000D79F8">
        <w:rPr>
          <w:rFonts w:ascii="Times New Roman" w:hAnsi="Times New Roman" w:cs="Times New Roman"/>
        </w:rPr>
        <w:t xml:space="preserve"> mil. eur, čo je zvýšenie o</w:t>
      </w:r>
      <w:r>
        <w:rPr>
          <w:rFonts w:ascii="Times New Roman" w:hAnsi="Times New Roman" w:cs="Times New Roman"/>
        </w:rPr>
        <w:t> 168</w:t>
      </w:r>
      <w:r w:rsidRPr="000D79F8">
        <w:rPr>
          <w:rFonts w:ascii="Times New Roman" w:hAnsi="Times New Roman" w:cs="Times New Roman"/>
        </w:rPr>
        <w:t xml:space="preserve"> %. Najväčší nárast zaznamenáva oblasť rozvoja výzbroje, techniky a materiálu. </w:t>
      </w:r>
    </w:p>
    <w:p w:rsidR="003A497B" w:rsidRPr="000D79F8" w:rsidRDefault="003A497B" w:rsidP="003A497B">
      <w:pPr>
        <w:jc w:val="both"/>
        <w:rPr>
          <w:rFonts w:ascii="Times New Roman" w:hAnsi="Times New Roman" w:cs="Times New Roman"/>
          <w:lang w:eastAsia="sk-SK"/>
        </w:rPr>
      </w:pPr>
      <w:r w:rsidRPr="000D79F8">
        <w:rPr>
          <w:rFonts w:ascii="Times New Roman" w:hAnsi="Times New Roman" w:cs="Times New Roman"/>
          <w:i/>
          <w:iCs/>
          <w:lang w:eastAsia="sk-SK"/>
        </w:rPr>
        <w:t> </w:t>
      </w:r>
    </w:p>
    <w:p w:rsidR="003A497B" w:rsidRPr="000D79F8" w:rsidRDefault="003A497B" w:rsidP="003A497B">
      <w:pPr>
        <w:jc w:val="both"/>
        <w:rPr>
          <w:rFonts w:ascii="Times New Roman" w:hAnsi="Times New Roman" w:cs="Times New Roman"/>
          <w:lang w:eastAsia="sk-SK"/>
        </w:rPr>
      </w:pPr>
      <w:r w:rsidRPr="000D79F8">
        <w:rPr>
          <w:rFonts w:ascii="Times New Roman" w:hAnsi="Times New Roman" w:cs="Times New Roman"/>
          <w:i/>
          <w:iCs/>
          <w:u w:val="single"/>
          <w:lang w:eastAsia="sk-SK"/>
        </w:rPr>
        <w:t>Obrana</w:t>
      </w:r>
    </w:p>
    <w:p w:rsidR="003A497B" w:rsidRDefault="003A497B" w:rsidP="003A497B">
      <w:pPr>
        <w:jc w:val="both"/>
        <w:rPr>
          <w:rFonts w:ascii="Times New Roman" w:hAnsi="Times New Roman" w:cs="Times New Roman"/>
          <w:lang w:eastAsia="sk-SK"/>
        </w:rPr>
      </w:pPr>
      <w:r w:rsidRPr="000D79F8">
        <w:rPr>
          <w:rFonts w:ascii="Times New Roman" w:hAnsi="Times New Roman" w:cs="Times New Roman"/>
          <w:lang w:eastAsia="sk-SK"/>
        </w:rPr>
        <w:t> </w:t>
      </w:r>
    </w:p>
    <w:tbl>
      <w:tblPr>
        <w:tblW w:w="9067" w:type="dxa"/>
        <w:tblLayout w:type="fixed"/>
        <w:tblCellMar>
          <w:left w:w="70" w:type="dxa"/>
          <w:right w:w="70" w:type="dxa"/>
        </w:tblCellMar>
        <w:tblLook w:val="04A0" w:firstRow="1" w:lastRow="0" w:firstColumn="1" w:lastColumn="0" w:noHBand="0" w:noVBand="1"/>
      </w:tblPr>
      <w:tblGrid>
        <w:gridCol w:w="2405"/>
        <w:gridCol w:w="951"/>
        <w:gridCol w:w="952"/>
        <w:gridCol w:w="952"/>
        <w:gridCol w:w="951"/>
        <w:gridCol w:w="952"/>
        <w:gridCol w:w="952"/>
        <w:gridCol w:w="952"/>
      </w:tblGrid>
      <w:tr w:rsidR="003A497B" w:rsidRPr="007475EB" w:rsidTr="003E1809">
        <w:trPr>
          <w:trHeight w:val="255"/>
        </w:trPr>
        <w:tc>
          <w:tcPr>
            <w:tcW w:w="240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7475EB" w:rsidRDefault="003A497B" w:rsidP="003E1809">
            <w:pPr>
              <w:rPr>
                <w:rFonts w:ascii="Times New Roman" w:hAnsi="Times New Roman" w:cs="Times New Roman"/>
                <w:b/>
                <w:bCs/>
                <w:sz w:val="14"/>
                <w:szCs w:val="14"/>
                <w:lang w:eastAsia="sk-SK"/>
              </w:rPr>
            </w:pPr>
            <w:r w:rsidRPr="007475EB">
              <w:rPr>
                <w:rFonts w:ascii="Times New Roman" w:hAnsi="Times New Roman" w:cs="Times New Roman"/>
                <w:b/>
                <w:bCs/>
                <w:sz w:val="14"/>
                <w:szCs w:val="14"/>
                <w:lang w:eastAsia="sk-SK"/>
              </w:rPr>
              <w:t>v eurách</w:t>
            </w:r>
          </w:p>
        </w:tc>
        <w:tc>
          <w:tcPr>
            <w:tcW w:w="951"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lang w:eastAsia="sk-SK"/>
              </w:rPr>
            </w:pPr>
            <w:r w:rsidRPr="00D57B87">
              <w:rPr>
                <w:rFonts w:ascii="Times New Roman" w:hAnsi="Times New Roman" w:cs="Times New Roman"/>
                <w:b/>
                <w:bCs/>
                <w:color w:val="000000"/>
                <w:sz w:val="14"/>
                <w:szCs w:val="14"/>
              </w:rPr>
              <w:t>2016 S</w:t>
            </w:r>
          </w:p>
        </w:tc>
        <w:tc>
          <w:tcPr>
            <w:tcW w:w="95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2017 S</w:t>
            </w:r>
          </w:p>
        </w:tc>
        <w:tc>
          <w:tcPr>
            <w:tcW w:w="95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2018 R</w:t>
            </w:r>
          </w:p>
        </w:tc>
        <w:tc>
          <w:tcPr>
            <w:tcW w:w="951"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2018 OS</w:t>
            </w:r>
          </w:p>
        </w:tc>
        <w:tc>
          <w:tcPr>
            <w:tcW w:w="95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2019</w:t>
            </w:r>
            <w:r w:rsidRPr="00D57B87">
              <w:rPr>
                <w:rFonts w:ascii="Times New Roman" w:hAnsi="Times New Roman" w:cs="Times New Roman"/>
                <w:b/>
                <w:bCs/>
                <w:color w:val="000000"/>
                <w:sz w:val="14"/>
                <w:szCs w:val="14"/>
              </w:rPr>
              <w:t xml:space="preserve"> N</w:t>
            </w:r>
          </w:p>
        </w:tc>
        <w:tc>
          <w:tcPr>
            <w:tcW w:w="95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2020 N</w:t>
            </w:r>
          </w:p>
        </w:tc>
        <w:tc>
          <w:tcPr>
            <w:tcW w:w="95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2021 N</w:t>
            </w:r>
          </w:p>
        </w:tc>
      </w:tr>
      <w:tr w:rsidR="003A497B" w:rsidRPr="007475EB" w:rsidTr="003E1809">
        <w:trPr>
          <w:trHeight w:val="255"/>
        </w:trPr>
        <w:tc>
          <w:tcPr>
            <w:tcW w:w="2405"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A497B" w:rsidRPr="007475EB" w:rsidRDefault="003A497B" w:rsidP="003E1809">
            <w:pPr>
              <w:rPr>
                <w:rFonts w:ascii="Times New Roman" w:hAnsi="Times New Roman" w:cs="Times New Roman"/>
                <w:b/>
                <w:bCs/>
                <w:color w:val="000000"/>
                <w:sz w:val="14"/>
                <w:szCs w:val="14"/>
                <w:lang w:eastAsia="sk-SK"/>
              </w:rPr>
            </w:pPr>
            <w:r w:rsidRPr="007475EB">
              <w:rPr>
                <w:rFonts w:ascii="Times New Roman" w:hAnsi="Times New Roman" w:cs="Times New Roman"/>
                <w:b/>
                <w:bCs/>
                <w:color w:val="000000"/>
                <w:sz w:val="14"/>
                <w:szCs w:val="14"/>
                <w:lang w:eastAsia="sk-SK"/>
              </w:rPr>
              <w:t>Obrana</w:t>
            </w: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3A497B" w:rsidRPr="00D26134" w:rsidRDefault="003A497B" w:rsidP="003E1809">
            <w:pPr>
              <w:jc w:val="right"/>
              <w:rPr>
                <w:rFonts w:ascii="Times New Roman" w:hAnsi="Times New Roman" w:cs="Times New Roman"/>
                <w:b/>
                <w:bCs/>
                <w:color w:val="000000"/>
                <w:sz w:val="14"/>
                <w:szCs w:val="14"/>
                <w:lang w:eastAsia="sk-SK"/>
              </w:rPr>
            </w:pPr>
            <w:r w:rsidRPr="00D26134">
              <w:rPr>
                <w:rFonts w:ascii="Times New Roman" w:hAnsi="Times New Roman" w:cs="Times New Roman"/>
                <w:b/>
                <w:bCs/>
                <w:color w:val="000000"/>
                <w:sz w:val="14"/>
                <w:szCs w:val="14"/>
              </w:rPr>
              <w:t>673 209 027</w:t>
            </w:r>
          </w:p>
        </w:tc>
        <w:tc>
          <w:tcPr>
            <w:tcW w:w="95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D26134" w:rsidRDefault="003A497B" w:rsidP="003E1809">
            <w:pPr>
              <w:jc w:val="right"/>
              <w:rPr>
                <w:rFonts w:ascii="Times New Roman" w:hAnsi="Times New Roman" w:cs="Times New Roman"/>
                <w:b/>
                <w:bCs/>
                <w:color w:val="000000"/>
                <w:sz w:val="14"/>
                <w:szCs w:val="14"/>
              </w:rPr>
            </w:pPr>
            <w:r w:rsidRPr="00D26134">
              <w:rPr>
                <w:rFonts w:ascii="Times New Roman" w:hAnsi="Times New Roman" w:cs="Times New Roman"/>
                <w:b/>
                <w:bCs/>
                <w:color w:val="000000"/>
                <w:sz w:val="14"/>
                <w:szCs w:val="14"/>
              </w:rPr>
              <w:t>700 873 234</w:t>
            </w:r>
          </w:p>
        </w:tc>
        <w:tc>
          <w:tcPr>
            <w:tcW w:w="95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D26134" w:rsidRDefault="003A497B" w:rsidP="003E1809">
            <w:pPr>
              <w:jc w:val="right"/>
              <w:rPr>
                <w:rFonts w:ascii="Times New Roman" w:hAnsi="Times New Roman" w:cs="Times New Roman"/>
                <w:b/>
                <w:bCs/>
                <w:color w:val="000000"/>
                <w:sz w:val="14"/>
                <w:szCs w:val="14"/>
              </w:rPr>
            </w:pPr>
            <w:r w:rsidRPr="00D26134">
              <w:rPr>
                <w:rFonts w:ascii="Times New Roman" w:hAnsi="Times New Roman" w:cs="Times New Roman"/>
                <w:b/>
                <w:bCs/>
                <w:color w:val="000000"/>
                <w:sz w:val="14"/>
                <w:szCs w:val="14"/>
              </w:rPr>
              <w:t>749 454 490</w:t>
            </w:r>
          </w:p>
        </w:tc>
        <w:tc>
          <w:tcPr>
            <w:tcW w:w="951"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D26134" w:rsidRDefault="003A497B" w:rsidP="003E1809">
            <w:pPr>
              <w:jc w:val="right"/>
              <w:rPr>
                <w:rFonts w:ascii="Times New Roman" w:hAnsi="Times New Roman" w:cs="Times New Roman"/>
                <w:b/>
                <w:bCs/>
                <w:color w:val="000000"/>
                <w:sz w:val="14"/>
                <w:szCs w:val="14"/>
              </w:rPr>
            </w:pPr>
            <w:r w:rsidRPr="00D26134">
              <w:rPr>
                <w:rFonts w:ascii="Times New Roman" w:hAnsi="Times New Roman" w:cs="Times New Roman"/>
                <w:b/>
                <w:bCs/>
                <w:color w:val="000000"/>
                <w:sz w:val="14"/>
                <w:szCs w:val="14"/>
              </w:rPr>
              <w:t>767 582 617</w:t>
            </w:r>
          </w:p>
        </w:tc>
        <w:tc>
          <w:tcPr>
            <w:tcW w:w="9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3A497B" w:rsidRPr="00026F7B" w:rsidRDefault="003A497B" w:rsidP="003E1809">
            <w:pPr>
              <w:jc w:val="right"/>
              <w:rPr>
                <w:rFonts w:ascii="Times New Roman" w:hAnsi="Times New Roman" w:cs="Times New Roman"/>
                <w:b/>
                <w:bCs/>
                <w:color w:val="000000"/>
                <w:sz w:val="14"/>
                <w:szCs w:val="14"/>
                <w:lang w:eastAsia="sk-SK"/>
              </w:rPr>
            </w:pPr>
            <w:r w:rsidRPr="00026F7B">
              <w:rPr>
                <w:rFonts w:ascii="Times New Roman" w:hAnsi="Times New Roman" w:cs="Times New Roman"/>
                <w:b/>
                <w:bCs/>
                <w:color w:val="000000"/>
                <w:sz w:val="14"/>
                <w:szCs w:val="14"/>
              </w:rPr>
              <w:t>784 419 179</w:t>
            </w:r>
          </w:p>
        </w:tc>
        <w:tc>
          <w:tcPr>
            <w:tcW w:w="95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026F7B" w:rsidRDefault="003A497B" w:rsidP="003E1809">
            <w:pPr>
              <w:jc w:val="right"/>
              <w:rPr>
                <w:rFonts w:ascii="Times New Roman" w:hAnsi="Times New Roman" w:cs="Times New Roman"/>
                <w:b/>
                <w:bCs/>
                <w:color w:val="000000"/>
                <w:sz w:val="14"/>
                <w:szCs w:val="14"/>
              </w:rPr>
            </w:pPr>
            <w:r w:rsidRPr="00026F7B">
              <w:rPr>
                <w:rFonts w:ascii="Times New Roman" w:hAnsi="Times New Roman" w:cs="Times New Roman"/>
                <w:b/>
                <w:bCs/>
                <w:color w:val="000000"/>
                <w:sz w:val="14"/>
                <w:szCs w:val="14"/>
              </w:rPr>
              <w:t>1 062 429 449</w:t>
            </w:r>
          </w:p>
        </w:tc>
        <w:tc>
          <w:tcPr>
            <w:tcW w:w="95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026F7B" w:rsidRDefault="003A497B" w:rsidP="003E1809">
            <w:pPr>
              <w:jc w:val="right"/>
              <w:rPr>
                <w:rFonts w:ascii="Times New Roman" w:hAnsi="Times New Roman" w:cs="Times New Roman"/>
                <w:b/>
                <w:bCs/>
                <w:color w:val="000000"/>
                <w:sz w:val="14"/>
                <w:szCs w:val="14"/>
              </w:rPr>
            </w:pPr>
            <w:r w:rsidRPr="00026F7B">
              <w:rPr>
                <w:rFonts w:ascii="Times New Roman" w:hAnsi="Times New Roman" w:cs="Times New Roman"/>
                <w:b/>
                <w:bCs/>
                <w:color w:val="000000"/>
                <w:sz w:val="14"/>
                <w:szCs w:val="14"/>
              </w:rPr>
              <w:t>1 324 815 014</w:t>
            </w:r>
          </w:p>
        </w:tc>
      </w:tr>
      <w:tr w:rsidR="003A497B" w:rsidRPr="007475EB" w:rsidTr="003E1809">
        <w:trPr>
          <w:trHeight w:val="25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A497B" w:rsidRPr="007475EB" w:rsidRDefault="003A497B" w:rsidP="003E1809">
            <w:pPr>
              <w:rPr>
                <w:rFonts w:ascii="Times New Roman" w:hAnsi="Times New Roman" w:cs="Times New Roman"/>
                <w:b/>
                <w:bCs/>
                <w:sz w:val="14"/>
                <w:szCs w:val="14"/>
                <w:lang w:eastAsia="sk-SK"/>
              </w:rPr>
            </w:pPr>
            <w:r w:rsidRPr="007475EB">
              <w:rPr>
                <w:rFonts w:ascii="Times New Roman" w:hAnsi="Times New Roman" w:cs="Times New Roman"/>
                <w:b/>
                <w:bCs/>
                <w:sz w:val="14"/>
                <w:szCs w:val="14"/>
                <w:lang w:eastAsia="sk-SK"/>
              </w:rPr>
              <w:t>Riadenie a podpora obrany</w:t>
            </w:r>
          </w:p>
        </w:tc>
        <w:tc>
          <w:tcPr>
            <w:tcW w:w="951" w:type="dxa"/>
            <w:tcBorders>
              <w:top w:val="nil"/>
              <w:left w:val="single" w:sz="4" w:space="0" w:color="auto"/>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b/>
                <w:bCs/>
                <w:sz w:val="14"/>
                <w:szCs w:val="14"/>
              </w:rPr>
            </w:pPr>
            <w:r w:rsidRPr="00D26134">
              <w:rPr>
                <w:rFonts w:ascii="Times New Roman" w:hAnsi="Times New Roman" w:cs="Times New Roman"/>
                <w:b/>
                <w:bCs/>
                <w:sz w:val="14"/>
                <w:szCs w:val="14"/>
              </w:rPr>
              <w:t>280 413 181</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b/>
                <w:bCs/>
                <w:sz w:val="14"/>
                <w:szCs w:val="14"/>
              </w:rPr>
            </w:pPr>
            <w:r w:rsidRPr="00D26134">
              <w:rPr>
                <w:rFonts w:ascii="Times New Roman" w:hAnsi="Times New Roman" w:cs="Times New Roman"/>
                <w:b/>
                <w:bCs/>
                <w:sz w:val="14"/>
                <w:szCs w:val="14"/>
              </w:rPr>
              <w:t>286 499 771</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b/>
                <w:bCs/>
                <w:sz w:val="14"/>
                <w:szCs w:val="14"/>
              </w:rPr>
            </w:pPr>
            <w:r w:rsidRPr="00D26134">
              <w:rPr>
                <w:rFonts w:ascii="Times New Roman" w:hAnsi="Times New Roman" w:cs="Times New Roman"/>
                <w:b/>
                <w:bCs/>
                <w:sz w:val="14"/>
                <w:szCs w:val="14"/>
              </w:rPr>
              <w:t>309 761 216</w:t>
            </w:r>
          </w:p>
        </w:tc>
        <w:tc>
          <w:tcPr>
            <w:tcW w:w="951"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b/>
                <w:bCs/>
                <w:sz w:val="14"/>
                <w:szCs w:val="14"/>
              </w:rPr>
            </w:pPr>
            <w:r w:rsidRPr="00D26134">
              <w:rPr>
                <w:rFonts w:ascii="Times New Roman" w:hAnsi="Times New Roman" w:cs="Times New Roman"/>
                <w:b/>
                <w:bCs/>
                <w:sz w:val="14"/>
                <w:szCs w:val="14"/>
              </w:rPr>
              <w:t>328 823 455</w:t>
            </w:r>
          </w:p>
        </w:tc>
        <w:tc>
          <w:tcPr>
            <w:tcW w:w="952" w:type="dxa"/>
            <w:tcBorders>
              <w:top w:val="nil"/>
              <w:left w:val="single" w:sz="4" w:space="0" w:color="auto"/>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b/>
                <w:bCs/>
                <w:sz w:val="14"/>
                <w:szCs w:val="14"/>
              </w:rPr>
            </w:pPr>
            <w:r w:rsidRPr="00026F7B">
              <w:rPr>
                <w:rFonts w:ascii="Times New Roman" w:hAnsi="Times New Roman" w:cs="Times New Roman"/>
                <w:b/>
                <w:bCs/>
                <w:sz w:val="14"/>
                <w:szCs w:val="14"/>
              </w:rPr>
              <w:t>328 071 423</w:t>
            </w:r>
          </w:p>
        </w:tc>
        <w:tc>
          <w:tcPr>
            <w:tcW w:w="952" w:type="dxa"/>
            <w:tcBorders>
              <w:top w:val="nil"/>
              <w:left w:val="nil"/>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b/>
                <w:bCs/>
                <w:sz w:val="14"/>
                <w:szCs w:val="14"/>
              </w:rPr>
            </w:pPr>
            <w:r w:rsidRPr="00026F7B">
              <w:rPr>
                <w:rFonts w:ascii="Times New Roman" w:hAnsi="Times New Roman" w:cs="Times New Roman"/>
                <w:b/>
                <w:bCs/>
                <w:sz w:val="14"/>
                <w:szCs w:val="14"/>
              </w:rPr>
              <w:t>372 952 494</w:t>
            </w:r>
          </w:p>
        </w:tc>
        <w:tc>
          <w:tcPr>
            <w:tcW w:w="952" w:type="dxa"/>
            <w:tcBorders>
              <w:top w:val="nil"/>
              <w:left w:val="nil"/>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b/>
                <w:bCs/>
                <w:sz w:val="14"/>
                <w:szCs w:val="14"/>
              </w:rPr>
            </w:pPr>
            <w:r w:rsidRPr="00026F7B">
              <w:rPr>
                <w:rFonts w:ascii="Times New Roman" w:hAnsi="Times New Roman" w:cs="Times New Roman"/>
                <w:b/>
                <w:bCs/>
                <w:sz w:val="14"/>
                <w:szCs w:val="14"/>
              </w:rPr>
              <w:t>443 148 056</w:t>
            </w:r>
          </w:p>
        </w:tc>
      </w:tr>
      <w:tr w:rsidR="003A497B" w:rsidRPr="007475EB" w:rsidTr="003E1809">
        <w:trPr>
          <w:trHeight w:val="25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A497B" w:rsidRPr="007475EB" w:rsidRDefault="003A497B" w:rsidP="003E1809">
            <w:pPr>
              <w:rPr>
                <w:rFonts w:ascii="Times New Roman" w:hAnsi="Times New Roman" w:cs="Times New Roman"/>
                <w:sz w:val="14"/>
                <w:szCs w:val="14"/>
                <w:lang w:eastAsia="sk-SK"/>
              </w:rPr>
            </w:pPr>
            <w:r>
              <w:rPr>
                <w:rFonts w:ascii="Times New Roman" w:hAnsi="Times New Roman" w:cs="Times New Roman"/>
                <w:sz w:val="14"/>
                <w:szCs w:val="14"/>
                <w:lang w:eastAsia="sk-SK"/>
              </w:rPr>
              <w:t xml:space="preserve">        </w:t>
            </w:r>
            <w:r w:rsidRPr="007475EB">
              <w:rPr>
                <w:rFonts w:ascii="Times New Roman" w:hAnsi="Times New Roman" w:cs="Times New Roman"/>
                <w:sz w:val="14"/>
                <w:szCs w:val="14"/>
                <w:lang w:eastAsia="sk-SK"/>
              </w:rPr>
              <w:t xml:space="preserve"> Transfer na osobitný účet</w:t>
            </w:r>
          </w:p>
        </w:tc>
        <w:tc>
          <w:tcPr>
            <w:tcW w:w="951" w:type="dxa"/>
            <w:tcBorders>
              <w:top w:val="nil"/>
              <w:left w:val="single" w:sz="4" w:space="0" w:color="auto"/>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90 877 284</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89 135 716</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94 662 000</w:t>
            </w:r>
          </w:p>
        </w:tc>
        <w:tc>
          <w:tcPr>
            <w:tcW w:w="951"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91 582 000</w:t>
            </w:r>
          </w:p>
        </w:tc>
        <w:tc>
          <w:tcPr>
            <w:tcW w:w="952" w:type="dxa"/>
            <w:tcBorders>
              <w:top w:val="nil"/>
              <w:left w:val="single" w:sz="4" w:space="0" w:color="auto"/>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sz w:val="14"/>
                <w:szCs w:val="14"/>
              </w:rPr>
            </w:pPr>
            <w:r w:rsidRPr="00026F7B">
              <w:rPr>
                <w:rFonts w:ascii="Times New Roman" w:hAnsi="Times New Roman" w:cs="Times New Roman"/>
                <w:sz w:val="14"/>
                <w:szCs w:val="14"/>
              </w:rPr>
              <w:t>93 133 000</w:t>
            </w:r>
          </w:p>
        </w:tc>
        <w:tc>
          <w:tcPr>
            <w:tcW w:w="952" w:type="dxa"/>
            <w:tcBorders>
              <w:top w:val="nil"/>
              <w:left w:val="nil"/>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sz w:val="14"/>
                <w:szCs w:val="14"/>
              </w:rPr>
            </w:pPr>
            <w:r w:rsidRPr="00026F7B">
              <w:rPr>
                <w:rFonts w:ascii="Times New Roman" w:hAnsi="Times New Roman" w:cs="Times New Roman"/>
                <w:sz w:val="14"/>
                <w:szCs w:val="14"/>
              </w:rPr>
              <w:t>94 133 000</w:t>
            </w:r>
          </w:p>
        </w:tc>
        <w:tc>
          <w:tcPr>
            <w:tcW w:w="952" w:type="dxa"/>
            <w:tcBorders>
              <w:top w:val="nil"/>
              <w:left w:val="nil"/>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sz w:val="14"/>
                <w:szCs w:val="14"/>
              </w:rPr>
            </w:pPr>
            <w:r w:rsidRPr="00026F7B">
              <w:rPr>
                <w:rFonts w:ascii="Times New Roman" w:hAnsi="Times New Roman" w:cs="Times New Roman"/>
                <w:sz w:val="14"/>
                <w:szCs w:val="14"/>
              </w:rPr>
              <w:t>94 633 000</w:t>
            </w:r>
          </w:p>
        </w:tc>
      </w:tr>
      <w:tr w:rsidR="003A497B" w:rsidRPr="007475EB" w:rsidTr="003E1809">
        <w:trPr>
          <w:trHeight w:val="25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A497B" w:rsidRPr="007475EB" w:rsidRDefault="003A497B" w:rsidP="003E1809">
            <w:pPr>
              <w:ind w:left="351" w:hanging="351"/>
              <w:rPr>
                <w:rFonts w:ascii="Times New Roman" w:hAnsi="Times New Roman" w:cs="Times New Roman"/>
                <w:sz w:val="14"/>
                <w:szCs w:val="14"/>
                <w:lang w:eastAsia="sk-SK"/>
              </w:rPr>
            </w:pPr>
            <w:r>
              <w:rPr>
                <w:rFonts w:ascii="Times New Roman" w:hAnsi="Times New Roman" w:cs="Times New Roman"/>
                <w:sz w:val="14"/>
                <w:szCs w:val="14"/>
                <w:lang w:eastAsia="sk-SK"/>
              </w:rPr>
              <w:t xml:space="preserve">          </w:t>
            </w:r>
            <w:r w:rsidRPr="00D26134">
              <w:rPr>
                <w:rFonts w:ascii="Times New Roman" w:hAnsi="Times New Roman" w:cs="Times New Roman"/>
                <w:sz w:val="14"/>
                <w:szCs w:val="14"/>
                <w:lang w:eastAsia="sk-SK"/>
              </w:rPr>
              <w:t>Stabilizačný príspevok</w:t>
            </w:r>
          </w:p>
        </w:tc>
        <w:tc>
          <w:tcPr>
            <w:tcW w:w="951" w:type="dxa"/>
            <w:tcBorders>
              <w:top w:val="nil"/>
              <w:left w:val="single" w:sz="4" w:space="0" w:color="auto"/>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2 001 691</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2 139 056</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2 527 664</w:t>
            </w:r>
          </w:p>
        </w:tc>
        <w:tc>
          <w:tcPr>
            <w:tcW w:w="951"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2 481 164</w:t>
            </w:r>
          </w:p>
        </w:tc>
        <w:tc>
          <w:tcPr>
            <w:tcW w:w="952" w:type="dxa"/>
            <w:tcBorders>
              <w:top w:val="nil"/>
              <w:left w:val="single" w:sz="4" w:space="0" w:color="auto"/>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sz w:val="14"/>
                <w:szCs w:val="14"/>
              </w:rPr>
            </w:pPr>
            <w:r w:rsidRPr="00026F7B">
              <w:rPr>
                <w:rFonts w:ascii="Times New Roman" w:hAnsi="Times New Roman" w:cs="Times New Roman"/>
                <w:sz w:val="14"/>
                <w:szCs w:val="14"/>
              </w:rPr>
              <w:t>2 512 748</w:t>
            </w:r>
          </w:p>
        </w:tc>
        <w:tc>
          <w:tcPr>
            <w:tcW w:w="952" w:type="dxa"/>
            <w:tcBorders>
              <w:top w:val="nil"/>
              <w:left w:val="nil"/>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color w:val="000000"/>
                <w:sz w:val="14"/>
                <w:szCs w:val="14"/>
              </w:rPr>
            </w:pPr>
            <w:r w:rsidRPr="00026F7B">
              <w:rPr>
                <w:rFonts w:ascii="Times New Roman" w:hAnsi="Times New Roman" w:cs="Times New Roman"/>
                <w:color w:val="000000"/>
                <w:sz w:val="14"/>
                <w:szCs w:val="14"/>
              </w:rPr>
              <w:t>2 599 736</w:t>
            </w:r>
          </w:p>
        </w:tc>
        <w:tc>
          <w:tcPr>
            <w:tcW w:w="952" w:type="dxa"/>
            <w:tcBorders>
              <w:top w:val="nil"/>
              <w:left w:val="nil"/>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color w:val="000000"/>
                <w:sz w:val="14"/>
                <w:szCs w:val="14"/>
              </w:rPr>
            </w:pPr>
            <w:r w:rsidRPr="00026F7B">
              <w:rPr>
                <w:rFonts w:ascii="Times New Roman" w:hAnsi="Times New Roman" w:cs="Times New Roman"/>
                <w:color w:val="000000"/>
                <w:sz w:val="14"/>
                <w:szCs w:val="14"/>
              </w:rPr>
              <w:t>2 599 736</w:t>
            </w:r>
          </w:p>
        </w:tc>
      </w:tr>
      <w:tr w:rsidR="003A497B" w:rsidRPr="007475EB" w:rsidTr="003E1809">
        <w:trPr>
          <w:trHeight w:val="25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A497B" w:rsidRPr="007475EB" w:rsidRDefault="003A497B" w:rsidP="003E1809">
            <w:pPr>
              <w:rPr>
                <w:rFonts w:ascii="Times New Roman" w:hAnsi="Times New Roman" w:cs="Times New Roman"/>
                <w:sz w:val="14"/>
                <w:szCs w:val="14"/>
                <w:lang w:eastAsia="sk-SK"/>
              </w:rPr>
            </w:pPr>
            <w:r>
              <w:rPr>
                <w:rFonts w:ascii="Times New Roman" w:hAnsi="Times New Roman" w:cs="Times New Roman"/>
                <w:sz w:val="14"/>
                <w:szCs w:val="14"/>
                <w:lang w:eastAsia="sk-SK"/>
              </w:rPr>
              <w:t xml:space="preserve">          Ost.</w:t>
            </w:r>
            <w:r w:rsidRPr="007475EB">
              <w:rPr>
                <w:rFonts w:ascii="Times New Roman" w:hAnsi="Times New Roman" w:cs="Times New Roman"/>
                <w:sz w:val="14"/>
                <w:szCs w:val="14"/>
                <w:lang w:eastAsia="sk-SK"/>
              </w:rPr>
              <w:t xml:space="preserve"> riadenie a podpora obrany</w:t>
            </w:r>
          </w:p>
        </w:tc>
        <w:tc>
          <w:tcPr>
            <w:tcW w:w="951" w:type="dxa"/>
            <w:tcBorders>
              <w:top w:val="nil"/>
              <w:left w:val="single" w:sz="4" w:space="0" w:color="auto"/>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187 534 205</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195 224 999</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212 571 552</w:t>
            </w:r>
          </w:p>
        </w:tc>
        <w:tc>
          <w:tcPr>
            <w:tcW w:w="951"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234 760 291</w:t>
            </w:r>
          </w:p>
        </w:tc>
        <w:tc>
          <w:tcPr>
            <w:tcW w:w="952" w:type="dxa"/>
            <w:tcBorders>
              <w:top w:val="nil"/>
              <w:left w:val="single" w:sz="4" w:space="0" w:color="auto"/>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sz w:val="14"/>
                <w:szCs w:val="14"/>
              </w:rPr>
            </w:pPr>
            <w:r w:rsidRPr="00026F7B">
              <w:rPr>
                <w:rFonts w:ascii="Times New Roman" w:hAnsi="Times New Roman" w:cs="Times New Roman"/>
                <w:sz w:val="14"/>
                <w:szCs w:val="14"/>
              </w:rPr>
              <w:t>232 425 675</w:t>
            </w:r>
          </w:p>
        </w:tc>
        <w:tc>
          <w:tcPr>
            <w:tcW w:w="952" w:type="dxa"/>
            <w:tcBorders>
              <w:top w:val="nil"/>
              <w:left w:val="nil"/>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sz w:val="14"/>
                <w:szCs w:val="14"/>
              </w:rPr>
            </w:pPr>
            <w:r w:rsidRPr="00026F7B">
              <w:rPr>
                <w:rFonts w:ascii="Times New Roman" w:hAnsi="Times New Roman" w:cs="Times New Roman"/>
                <w:sz w:val="14"/>
                <w:szCs w:val="14"/>
              </w:rPr>
              <w:t>276 219 758</w:t>
            </w:r>
          </w:p>
        </w:tc>
        <w:tc>
          <w:tcPr>
            <w:tcW w:w="952" w:type="dxa"/>
            <w:tcBorders>
              <w:top w:val="nil"/>
              <w:left w:val="nil"/>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sz w:val="14"/>
                <w:szCs w:val="14"/>
              </w:rPr>
            </w:pPr>
            <w:r w:rsidRPr="00026F7B">
              <w:rPr>
                <w:rFonts w:ascii="Times New Roman" w:hAnsi="Times New Roman" w:cs="Times New Roman"/>
                <w:sz w:val="14"/>
                <w:szCs w:val="14"/>
              </w:rPr>
              <w:t>345 915 320</w:t>
            </w:r>
          </w:p>
        </w:tc>
      </w:tr>
      <w:tr w:rsidR="003A497B" w:rsidRPr="007475EB" w:rsidTr="003E1809">
        <w:trPr>
          <w:trHeight w:val="25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A497B" w:rsidRPr="007475EB" w:rsidRDefault="003A497B" w:rsidP="003E1809">
            <w:pPr>
              <w:rPr>
                <w:rFonts w:ascii="Times New Roman" w:hAnsi="Times New Roman" w:cs="Times New Roman"/>
                <w:b/>
                <w:bCs/>
                <w:color w:val="000000"/>
                <w:sz w:val="14"/>
                <w:szCs w:val="14"/>
                <w:lang w:eastAsia="sk-SK"/>
              </w:rPr>
            </w:pPr>
            <w:r w:rsidRPr="007475EB">
              <w:rPr>
                <w:rFonts w:ascii="Times New Roman" w:hAnsi="Times New Roman" w:cs="Times New Roman"/>
                <w:b/>
                <w:bCs/>
                <w:color w:val="000000"/>
                <w:sz w:val="14"/>
                <w:szCs w:val="14"/>
                <w:lang w:eastAsia="sk-SK"/>
              </w:rPr>
              <w:t>Velenie a zaručovanie obrany</w:t>
            </w:r>
          </w:p>
        </w:tc>
        <w:tc>
          <w:tcPr>
            <w:tcW w:w="951" w:type="dxa"/>
            <w:tcBorders>
              <w:top w:val="nil"/>
              <w:left w:val="single" w:sz="4" w:space="0" w:color="auto"/>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b/>
                <w:bCs/>
                <w:sz w:val="14"/>
                <w:szCs w:val="14"/>
              </w:rPr>
            </w:pPr>
            <w:r w:rsidRPr="00D26134">
              <w:rPr>
                <w:rFonts w:ascii="Times New Roman" w:hAnsi="Times New Roman" w:cs="Times New Roman"/>
                <w:b/>
                <w:bCs/>
                <w:sz w:val="14"/>
                <w:szCs w:val="14"/>
              </w:rPr>
              <w:t>392 795 845</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b/>
                <w:bCs/>
                <w:sz w:val="14"/>
                <w:szCs w:val="14"/>
              </w:rPr>
            </w:pPr>
            <w:r w:rsidRPr="00D26134">
              <w:rPr>
                <w:rFonts w:ascii="Times New Roman" w:hAnsi="Times New Roman" w:cs="Times New Roman"/>
                <w:b/>
                <w:bCs/>
                <w:sz w:val="14"/>
                <w:szCs w:val="14"/>
              </w:rPr>
              <w:t>414 373 463</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b/>
                <w:bCs/>
                <w:sz w:val="14"/>
                <w:szCs w:val="14"/>
              </w:rPr>
            </w:pPr>
            <w:r w:rsidRPr="00D26134">
              <w:rPr>
                <w:rFonts w:ascii="Times New Roman" w:hAnsi="Times New Roman" w:cs="Times New Roman"/>
                <w:b/>
                <w:bCs/>
                <w:sz w:val="14"/>
                <w:szCs w:val="14"/>
              </w:rPr>
              <w:t>439 693 274</w:t>
            </w:r>
          </w:p>
        </w:tc>
        <w:tc>
          <w:tcPr>
            <w:tcW w:w="951"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b/>
                <w:bCs/>
                <w:sz w:val="14"/>
                <w:szCs w:val="14"/>
              </w:rPr>
            </w:pPr>
            <w:r w:rsidRPr="00D26134">
              <w:rPr>
                <w:rFonts w:ascii="Times New Roman" w:hAnsi="Times New Roman" w:cs="Times New Roman"/>
                <w:b/>
                <w:bCs/>
                <w:sz w:val="14"/>
                <w:szCs w:val="14"/>
              </w:rPr>
              <w:t>438 759 162</w:t>
            </w:r>
          </w:p>
        </w:tc>
        <w:tc>
          <w:tcPr>
            <w:tcW w:w="952" w:type="dxa"/>
            <w:tcBorders>
              <w:top w:val="nil"/>
              <w:left w:val="single" w:sz="4" w:space="0" w:color="auto"/>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b/>
                <w:bCs/>
                <w:sz w:val="14"/>
                <w:szCs w:val="14"/>
              </w:rPr>
            </w:pPr>
            <w:r w:rsidRPr="00026F7B">
              <w:rPr>
                <w:rFonts w:ascii="Times New Roman" w:hAnsi="Times New Roman" w:cs="Times New Roman"/>
                <w:b/>
                <w:bCs/>
                <w:sz w:val="14"/>
                <w:szCs w:val="14"/>
              </w:rPr>
              <w:t>456 347 756</w:t>
            </w:r>
          </w:p>
        </w:tc>
        <w:tc>
          <w:tcPr>
            <w:tcW w:w="952" w:type="dxa"/>
            <w:tcBorders>
              <w:top w:val="nil"/>
              <w:left w:val="nil"/>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b/>
                <w:bCs/>
                <w:sz w:val="14"/>
                <w:szCs w:val="14"/>
              </w:rPr>
            </w:pPr>
            <w:r w:rsidRPr="00026F7B">
              <w:rPr>
                <w:rFonts w:ascii="Times New Roman" w:hAnsi="Times New Roman" w:cs="Times New Roman"/>
                <w:b/>
                <w:bCs/>
                <w:sz w:val="14"/>
                <w:szCs w:val="14"/>
              </w:rPr>
              <w:t>689 476 955</w:t>
            </w:r>
          </w:p>
        </w:tc>
        <w:tc>
          <w:tcPr>
            <w:tcW w:w="952" w:type="dxa"/>
            <w:tcBorders>
              <w:top w:val="nil"/>
              <w:left w:val="nil"/>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b/>
                <w:bCs/>
                <w:sz w:val="14"/>
                <w:szCs w:val="14"/>
              </w:rPr>
            </w:pPr>
            <w:r w:rsidRPr="00026F7B">
              <w:rPr>
                <w:rFonts w:ascii="Times New Roman" w:hAnsi="Times New Roman" w:cs="Times New Roman"/>
                <w:b/>
                <w:bCs/>
                <w:sz w:val="14"/>
                <w:szCs w:val="14"/>
              </w:rPr>
              <w:t>881 666 958</w:t>
            </w:r>
          </w:p>
        </w:tc>
      </w:tr>
      <w:tr w:rsidR="003A497B" w:rsidRPr="007475EB" w:rsidTr="003E1809">
        <w:trPr>
          <w:trHeight w:val="25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A497B" w:rsidRPr="007475EB" w:rsidRDefault="003A497B" w:rsidP="003E1809">
            <w:pPr>
              <w:ind w:left="351" w:hanging="351"/>
              <w:rPr>
                <w:rFonts w:ascii="Times New Roman" w:hAnsi="Times New Roman" w:cs="Times New Roman"/>
                <w:sz w:val="14"/>
                <w:szCs w:val="14"/>
                <w:lang w:eastAsia="sk-SK"/>
              </w:rPr>
            </w:pPr>
            <w:r>
              <w:rPr>
                <w:rFonts w:ascii="Times New Roman" w:hAnsi="Times New Roman" w:cs="Times New Roman"/>
                <w:sz w:val="14"/>
                <w:szCs w:val="14"/>
                <w:lang w:eastAsia="sk-SK"/>
              </w:rPr>
              <w:t xml:space="preserve">         </w:t>
            </w:r>
            <w:r w:rsidRPr="00D26134">
              <w:rPr>
                <w:rFonts w:ascii="Times New Roman" w:hAnsi="Times New Roman" w:cs="Times New Roman"/>
                <w:sz w:val="14"/>
                <w:szCs w:val="14"/>
                <w:lang w:eastAsia="sk-SK"/>
              </w:rPr>
              <w:t xml:space="preserve"> Stabilizačný príspevok</w:t>
            </w:r>
          </w:p>
        </w:tc>
        <w:tc>
          <w:tcPr>
            <w:tcW w:w="951" w:type="dxa"/>
            <w:tcBorders>
              <w:top w:val="nil"/>
              <w:left w:val="single" w:sz="4" w:space="0" w:color="auto"/>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36 152 498</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37 093 412</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39 017 704</w:t>
            </w:r>
          </w:p>
        </w:tc>
        <w:tc>
          <w:tcPr>
            <w:tcW w:w="951"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38 742 074</w:t>
            </w:r>
          </w:p>
        </w:tc>
        <w:tc>
          <w:tcPr>
            <w:tcW w:w="952" w:type="dxa"/>
            <w:tcBorders>
              <w:top w:val="nil"/>
              <w:left w:val="single" w:sz="4" w:space="0" w:color="auto"/>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sz w:val="14"/>
                <w:szCs w:val="14"/>
              </w:rPr>
            </w:pPr>
            <w:r w:rsidRPr="00026F7B">
              <w:rPr>
                <w:rFonts w:ascii="Times New Roman" w:hAnsi="Times New Roman" w:cs="Times New Roman"/>
                <w:sz w:val="14"/>
                <w:szCs w:val="14"/>
              </w:rPr>
              <w:t>40 653 382</w:t>
            </w:r>
          </w:p>
        </w:tc>
        <w:tc>
          <w:tcPr>
            <w:tcW w:w="952" w:type="dxa"/>
            <w:tcBorders>
              <w:top w:val="nil"/>
              <w:left w:val="nil"/>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sz w:val="14"/>
                <w:szCs w:val="14"/>
              </w:rPr>
            </w:pPr>
            <w:r w:rsidRPr="00026F7B">
              <w:rPr>
                <w:rFonts w:ascii="Times New Roman" w:hAnsi="Times New Roman" w:cs="Times New Roman"/>
                <w:sz w:val="14"/>
                <w:szCs w:val="14"/>
              </w:rPr>
              <w:t>41 315 482</w:t>
            </w:r>
          </w:p>
        </w:tc>
        <w:tc>
          <w:tcPr>
            <w:tcW w:w="952" w:type="dxa"/>
            <w:tcBorders>
              <w:top w:val="nil"/>
              <w:left w:val="nil"/>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color w:val="000000"/>
                <w:sz w:val="14"/>
                <w:szCs w:val="14"/>
              </w:rPr>
            </w:pPr>
            <w:r w:rsidRPr="00026F7B">
              <w:rPr>
                <w:rFonts w:ascii="Times New Roman" w:hAnsi="Times New Roman" w:cs="Times New Roman"/>
                <w:color w:val="000000"/>
                <w:sz w:val="14"/>
                <w:szCs w:val="14"/>
              </w:rPr>
              <w:t>41 975 880</w:t>
            </w:r>
          </w:p>
        </w:tc>
      </w:tr>
      <w:tr w:rsidR="003A497B" w:rsidRPr="007475EB" w:rsidTr="003E1809">
        <w:trPr>
          <w:trHeight w:val="25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A497B" w:rsidRPr="007475EB" w:rsidRDefault="003A497B" w:rsidP="003E1809">
            <w:pPr>
              <w:rPr>
                <w:rFonts w:ascii="Times New Roman" w:hAnsi="Times New Roman" w:cs="Times New Roman"/>
                <w:sz w:val="14"/>
                <w:szCs w:val="14"/>
                <w:lang w:eastAsia="sk-SK"/>
              </w:rPr>
            </w:pPr>
            <w:r w:rsidRPr="007475EB">
              <w:rPr>
                <w:rFonts w:ascii="Times New Roman" w:hAnsi="Times New Roman" w:cs="Times New Roman"/>
                <w:sz w:val="14"/>
                <w:szCs w:val="14"/>
                <w:lang w:eastAsia="sk-SK"/>
              </w:rPr>
              <w:t xml:space="preserve">          Operácie mimo územia štátu</w:t>
            </w:r>
          </w:p>
        </w:tc>
        <w:tc>
          <w:tcPr>
            <w:tcW w:w="951" w:type="dxa"/>
            <w:tcBorders>
              <w:top w:val="nil"/>
              <w:left w:val="single" w:sz="4" w:space="0" w:color="auto"/>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16 188 123</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21 622 757</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27 233 576</w:t>
            </w:r>
          </w:p>
        </w:tc>
        <w:tc>
          <w:tcPr>
            <w:tcW w:w="951"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28 737 753</w:t>
            </w:r>
          </w:p>
        </w:tc>
        <w:tc>
          <w:tcPr>
            <w:tcW w:w="952" w:type="dxa"/>
            <w:tcBorders>
              <w:top w:val="nil"/>
              <w:left w:val="single" w:sz="4" w:space="0" w:color="auto"/>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sz w:val="14"/>
                <w:szCs w:val="14"/>
              </w:rPr>
            </w:pPr>
            <w:r w:rsidRPr="00026F7B">
              <w:rPr>
                <w:rFonts w:ascii="Times New Roman" w:hAnsi="Times New Roman" w:cs="Times New Roman"/>
                <w:sz w:val="14"/>
                <w:szCs w:val="14"/>
              </w:rPr>
              <w:t>35 456 262</w:t>
            </w:r>
          </w:p>
        </w:tc>
        <w:tc>
          <w:tcPr>
            <w:tcW w:w="952" w:type="dxa"/>
            <w:tcBorders>
              <w:top w:val="nil"/>
              <w:left w:val="nil"/>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sz w:val="14"/>
                <w:szCs w:val="14"/>
              </w:rPr>
            </w:pPr>
            <w:r w:rsidRPr="00026F7B">
              <w:rPr>
                <w:rFonts w:ascii="Times New Roman" w:hAnsi="Times New Roman" w:cs="Times New Roman"/>
                <w:sz w:val="14"/>
                <w:szCs w:val="14"/>
              </w:rPr>
              <w:t>31 804 136</w:t>
            </w:r>
          </w:p>
        </w:tc>
        <w:tc>
          <w:tcPr>
            <w:tcW w:w="952" w:type="dxa"/>
            <w:tcBorders>
              <w:top w:val="nil"/>
              <w:left w:val="nil"/>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color w:val="000000"/>
                <w:sz w:val="14"/>
                <w:szCs w:val="14"/>
              </w:rPr>
            </w:pPr>
            <w:r w:rsidRPr="00026F7B">
              <w:rPr>
                <w:rFonts w:ascii="Times New Roman" w:hAnsi="Times New Roman" w:cs="Times New Roman"/>
                <w:color w:val="000000"/>
                <w:sz w:val="14"/>
                <w:szCs w:val="14"/>
              </w:rPr>
              <w:t>31 475 030</w:t>
            </w:r>
          </w:p>
        </w:tc>
      </w:tr>
      <w:tr w:rsidR="003A497B" w:rsidRPr="007475EB" w:rsidTr="003E1809">
        <w:trPr>
          <w:trHeight w:val="25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A497B" w:rsidRPr="007475EB" w:rsidRDefault="003A497B" w:rsidP="003E1809">
            <w:pPr>
              <w:rPr>
                <w:rFonts w:ascii="Times New Roman" w:hAnsi="Times New Roman" w:cs="Times New Roman"/>
                <w:sz w:val="14"/>
                <w:szCs w:val="14"/>
                <w:lang w:eastAsia="sk-SK"/>
              </w:rPr>
            </w:pPr>
            <w:r>
              <w:rPr>
                <w:rFonts w:ascii="Times New Roman" w:hAnsi="Times New Roman" w:cs="Times New Roman"/>
                <w:sz w:val="14"/>
                <w:szCs w:val="14"/>
                <w:lang w:eastAsia="sk-SK"/>
              </w:rPr>
              <w:t xml:space="preserve">          Ost.</w:t>
            </w:r>
            <w:r w:rsidRPr="007475EB">
              <w:rPr>
                <w:rFonts w:ascii="Times New Roman" w:hAnsi="Times New Roman" w:cs="Times New Roman"/>
                <w:sz w:val="14"/>
                <w:szCs w:val="14"/>
                <w:lang w:eastAsia="sk-SK"/>
              </w:rPr>
              <w:t xml:space="preserve"> velenie a zaručovanie obrany</w:t>
            </w:r>
          </w:p>
        </w:tc>
        <w:tc>
          <w:tcPr>
            <w:tcW w:w="951" w:type="dxa"/>
            <w:tcBorders>
              <w:top w:val="nil"/>
              <w:left w:val="single" w:sz="4" w:space="0" w:color="auto"/>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340 455 224</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355 657 294</w:t>
            </w:r>
          </w:p>
        </w:tc>
        <w:tc>
          <w:tcPr>
            <w:tcW w:w="952"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373 441 994</w:t>
            </w:r>
          </w:p>
        </w:tc>
        <w:tc>
          <w:tcPr>
            <w:tcW w:w="951" w:type="dxa"/>
            <w:tcBorders>
              <w:top w:val="nil"/>
              <w:left w:val="nil"/>
              <w:bottom w:val="single" w:sz="4" w:space="0" w:color="auto"/>
              <w:right w:val="single" w:sz="4" w:space="0" w:color="auto"/>
            </w:tcBorders>
            <w:shd w:val="clear" w:color="auto" w:fill="auto"/>
            <w:vAlign w:val="bottom"/>
            <w:hideMark/>
          </w:tcPr>
          <w:p w:rsidR="003A497B" w:rsidRPr="00D26134" w:rsidRDefault="003A497B" w:rsidP="003E1809">
            <w:pPr>
              <w:jc w:val="right"/>
              <w:rPr>
                <w:rFonts w:ascii="Times New Roman" w:hAnsi="Times New Roman" w:cs="Times New Roman"/>
                <w:sz w:val="14"/>
                <w:szCs w:val="14"/>
              </w:rPr>
            </w:pPr>
            <w:r w:rsidRPr="00D26134">
              <w:rPr>
                <w:rFonts w:ascii="Times New Roman" w:hAnsi="Times New Roman" w:cs="Times New Roman"/>
                <w:sz w:val="14"/>
                <w:szCs w:val="14"/>
              </w:rPr>
              <w:t>371 279 335</w:t>
            </w:r>
          </w:p>
        </w:tc>
        <w:tc>
          <w:tcPr>
            <w:tcW w:w="952" w:type="dxa"/>
            <w:tcBorders>
              <w:top w:val="nil"/>
              <w:left w:val="single" w:sz="4" w:space="0" w:color="auto"/>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sz w:val="14"/>
                <w:szCs w:val="14"/>
              </w:rPr>
            </w:pPr>
            <w:r w:rsidRPr="00026F7B">
              <w:rPr>
                <w:rFonts w:ascii="Times New Roman" w:hAnsi="Times New Roman" w:cs="Times New Roman"/>
                <w:sz w:val="14"/>
                <w:szCs w:val="14"/>
              </w:rPr>
              <w:t>380 238 112</w:t>
            </w:r>
          </w:p>
        </w:tc>
        <w:tc>
          <w:tcPr>
            <w:tcW w:w="952" w:type="dxa"/>
            <w:tcBorders>
              <w:top w:val="nil"/>
              <w:left w:val="nil"/>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sz w:val="14"/>
                <w:szCs w:val="14"/>
              </w:rPr>
            </w:pPr>
            <w:r w:rsidRPr="00026F7B">
              <w:rPr>
                <w:rFonts w:ascii="Times New Roman" w:hAnsi="Times New Roman" w:cs="Times New Roman"/>
                <w:sz w:val="14"/>
                <w:szCs w:val="14"/>
              </w:rPr>
              <w:t>616 357 337</w:t>
            </w:r>
          </w:p>
        </w:tc>
        <w:tc>
          <w:tcPr>
            <w:tcW w:w="952" w:type="dxa"/>
            <w:tcBorders>
              <w:top w:val="nil"/>
              <w:left w:val="nil"/>
              <w:bottom w:val="single" w:sz="4" w:space="0" w:color="auto"/>
              <w:right w:val="single" w:sz="4" w:space="0" w:color="auto"/>
            </w:tcBorders>
            <w:shd w:val="clear" w:color="auto" w:fill="auto"/>
            <w:vAlign w:val="bottom"/>
            <w:hideMark/>
          </w:tcPr>
          <w:p w:rsidR="003A497B" w:rsidRPr="00026F7B" w:rsidRDefault="003A497B" w:rsidP="003E1809">
            <w:pPr>
              <w:jc w:val="right"/>
              <w:rPr>
                <w:rFonts w:ascii="Times New Roman" w:hAnsi="Times New Roman" w:cs="Times New Roman"/>
                <w:sz w:val="14"/>
                <w:szCs w:val="14"/>
              </w:rPr>
            </w:pPr>
            <w:r w:rsidRPr="00026F7B">
              <w:rPr>
                <w:rFonts w:ascii="Times New Roman" w:hAnsi="Times New Roman" w:cs="Times New Roman"/>
                <w:sz w:val="14"/>
                <w:szCs w:val="14"/>
              </w:rPr>
              <w:t>808 216 048</w:t>
            </w:r>
          </w:p>
        </w:tc>
      </w:tr>
    </w:tbl>
    <w:p w:rsidR="003A497B" w:rsidRPr="000D79F8" w:rsidRDefault="003A497B" w:rsidP="003A497B">
      <w:pPr>
        <w:jc w:val="both"/>
        <w:rPr>
          <w:rFonts w:ascii="Times New Roman" w:hAnsi="Times New Roman" w:cs="Times New Roman"/>
        </w:rPr>
      </w:pPr>
    </w:p>
    <w:p w:rsidR="003A497B" w:rsidRPr="000D79F8" w:rsidRDefault="003A497B" w:rsidP="003A497B">
      <w:pPr>
        <w:ind w:firstLine="708"/>
        <w:jc w:val="both"/>
        <w:rPr>
          <w:rFonts w:ascii="Times New Roman" w:hAnsi="Times New Roman" w:cs="Times New Roman"/>
        </w:rPr>
      </w:pPr>
      <w:r w:rsidRPr="000D79F8">
        <w:rPr>
          <w:rFonts w:ascii="Times New Roman" w:hAnsi="Times New Roman" w:cs="Times New Roman"/>
        </w:rPr>
        <w:t>V rámci programu Obrana sa rozpočtuje bežná prevádzka rezortu, a to najmä</w:t>
      </w:r>
      <w:r>
        <w:rPr>
          <w:rFonts w:ascii="Times New Roman" w:hAnsi="Times New Roman" w:cs="Times New Roman"/>
        </w:rPr>
        <w:t xml:space="preserve"> v oblasti riadenia a podpory obrany, velenia a zaručovania obrany</w:t>
      </w:r>
      <w:r w:rsidRPr="000D79F8">
        <w:rPr>
          <w:rFonts w:ascii="Times New Roman" w:hAnsi="Times New Roman" w:cs="Times New Roman"/>
        </w:rPr>
        <w:t>,</w:t>
      </w:r>
      <w:r>
        <w:rPr>
          <w:rFonts w:ascii="Times New Roman" w:hAnsi="Times New Roman" w:cs="Times New Roman"/>
        </w:rPr>
        <w:t xml:space="preserve"> správy majetku štátu, operácií medzinárodného krízového manažmentu, ako aj vzdelávania</w:t>
      </w:r>
      <w:r w:rsidRPr="000D79F8">
        <w:rPr>
          <w:rFonts w:ascii="Times New Roman" w:hAnsi="Times New Roman" w:cs="Times New Roman"/>
        </w:rPr>
        <w:t xml:space="preserve"> v rámci Akadémie ozbrojených síl M. R. Š</w:t>
      </w:r>
      <w:r>
        <w:rPr>
          <w:rFonts w:ascii="Times New Roman" w:hAnsi="Times New Roman" w:cs="Times New Roman"/>
        </w:rPr>
        <w:t>tefánika v Liptovskom Mikuláši. Rozpočtujú sa tu výdavky na V</w:t>
      </w:r>
      <w:r w:rsidRPr="000D79F8">
        <w:rPr>
          <w:rFonts w:ascii="Times New Roman" w:hAnsi="Times New Roman" w:cs="Times New Roman"/>
        </w:rPr>
        <w:t>ojenskú políciu, či</w:t>
      </w:r>
      <w:r>
        <w:rPr>
          <w:rFonts w:ascii="Times New Roman" w:hAnsi="Times New Roman" w:cs="Times New Roman"/>
        </w:rPr>
        <w:t xml:space="preserve">nnosť Vojenského spravodajstva, </w:t>
      </w:r>
      <w:r w:rsidRPr="000D79F8">
        <w:rPr>
          <w:rFonts w:ascii="Times New Roman" w:hAnsi="Times New Roman" w:cs="Times New Roman"/>
        </w:rPr>
        <w:t>Centra výcviku Lešť,</w:t>
      </w:r>
      <w:r>
        <w:rPr>
          <w:rFonts w:ascii="Times New Roman" w:hAnsi="Times New Roman" w:cs="Times New Roman"/>
        </w:rPr>
        <w:t xml:space="preserve"> </w:t>
      </w:r>
      <w:r w:rsidRPr="000D79F8">
        <w:rPr>
          <w:rFonts w:ascii="Times New Roman" w:hAnsi="Times New Roman" w:cs="Times New Roman"/>
        </w:rPr>
        <w:t xml:space="preserve">Vojenského technického a skúšobného ústavu Záhorie, Vojenského úradu sociálneho zabezpečenia, úlohy Ordinariátu ozbrojených síl, Ústredia ekumenickej pastoračnej služby v ozbrojených </w:t>
      </w:r>
      <w:r>
        <w:rPr>
          <w:rFonts w:ascii="Times New Roman" w:hAnsi="Times New Roman" w:cs="Times New Roman"/>
        </w:rPr>
        <w:t xml:space="preserve">silách, Vojenského historického </w:t>
      </w:r>
      <w:r w:rsidRPr="000D79F8">
        <w:rPr>
          <w:rFonts w:ascii="Times New Roman" w:hAnsi="Times New Roman" w:cs="Times New Roman"/>
        </w:rPr>
        <w:t>ústavu, Ú</w:t>
      </w:r>
      <w:r>
        <w:rPr>
          <w:rFonts w:ascii="Times New Roman" w:hAnsi="Times New Roman" w:cs="Times New Roman"/>
        </w:rPr>
        <w:t xml:space="preserve">radu pre obrannú štandardizáciu </w:t>
      </w:r>
      <w:r w:rsidRPr="000D79F8">
        <w:rPr>
          <w:rFonts w:ascii="Times New Roman" w:hAnsi="Times New Roman" w:cs="Times New Roman"/>
        </w:rPr>
        <w:t xml:space="preserve">a Vojenského športového centra Dukla Banská Bystrica. </w:t>
      </w:r>
    </w:p>
    <w:p w:rsidR="003A497B" w:rsidRPr="000D79F8" w:rsidRDefault="003A497B" w:rsidP="003A497B">
      <w:pPr>
        <w:jc w:val="both"/>
        <w:rPr>
          <w:rFonts w:ascii="Times New Roman" w:hAnsi="Times New Roman" w:cs="Times New Roman"/>
        </w:rPr>
      </w:pPr>
    </w:p>
    <w:p w:rsidR="003A497B" w:rsidRPr="000D79F8" w:rsidRDefault="003A497B" w:rsidP="003A497B">
      <w:pPr>
        <w:ind w:firstLine="708"/>
        <w:jc w:val="both"/>
        <w:rPr>
          <w:rFonts w:ascii="Times New Roman" w:hAnsi="Times New Roman" w:cs="Times New Roman"/>
        </w:rPr>
      </w:pPr>
      <w:r w:rsidRPr="000D79F8">
        <w:rPr>
          <w:rFonts w:ascii="Times New Roman" w:hAnsi="Times New Roman" w:cs="Times New Roman"/>
        </w:rPr>
        <w:t>Systém sociálneho zabezpečenia definovaný v zákone č. 328/2002 Z. z. o sociálnom zabezpečení policajtov a vojakov je pri súčasných existujúcich parametroch vysoko deficitný. Vzhľadom na úroveň sociálnych benefitov a vývoja počtu prispievateľov a prijímateľov v rámci systému sociálneho zabezpečenia sa tak každoročne odčerpáva zo štátneho rozpočtu významná suma zdrojov, ktorá tak znižuje disponibilné zdroje rezortu. Prostriedky urč</w:t>
      </w:r>
      <w:r>
        <w:rPr>
          <w:rFonts w:ascii="Times New Roman" w:hAnsi="Times New Roman" w:cs="Times New Roman"/>
        </w:rPr>
        <w:t>ené na osobitný účet v roku 2019 sú rozpočtované v sume 93,1</w:t>
      </w:r>
      <w:r w:rsidRPr="000D79F8">
        <w:rPr>
          <w:rFonts w:ascii="Times New Roman" w:hAnsi="Times New Roman" w:cs="Times New Roman"/>
        </w:rPr>
        <w:t xml:space="preserve"> mil. eur. </w:t>
      </w:r>
    </w:p>
    <w:p w:rsidR="003A497B" w:rsidRPr="000D79F8" w:rsidRDefault="003A497B" w:rsidP="003A497B">
      <w:pPr>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sidRPr="000D79F8">
        <w:rPr>
          <w:rFonts w:ascii="Times New Roman" w:hAnsi="Times New Roman" w:cs="Times New Roman"/>
        </w:rPr>
        <w:t>Peňažnou dá</w:t>
      </w:r>
      <w:r>
        <w:rPr>
          <w:rFonts w:ascii="Times New Roman" w:hAnsi="Times New Roman" w:cs="Times New Roman"/>
        </w:rPr>
        <w:t>vkou poskytovanou vojakom je aj stabilizačný príspevok, ktorý sa vypláca</w:t>
      </w:r>
      <w:r w:rsidRPr="000D79F8">
        <w:rPr>
          <w:rFonts w:ascii="Times New Roman" w:hAnsi="Times New Roman" w:cs="Times New Roman"/>
        </w:rPr>
        <w:t xml:space="preserve"> v zmysle  zákona č. </w:t>
      </w:r>
      <w:r>
        <w:rPr>
          <w:rFonts w:ascii="Times New Roman" w:hAnsi="Times New Roman" w:cs="Times New Roman"/>
        </w:rPr>
        <w:t>281/2015</w:t>
      </w:r>
      <w:r w:rsidRPr="000D79F8">
        <w:rPr>
          <w:rFonts w:ascii="Times New Roman" w:hAnsi="Times New Roman" w:cs="Times New Roman"/>
        </w:rPr>
        <w:t xml:space="preserve"> Z. z. o štátnej službe profesionálnych vojakov</w:t>
      </w:r>
      <w:r>
        <w:rPr>
          <w:rFonts w:ascii="Times New Roman" w:hAnsi="Times New Roman" w:cs="Times New Roman"/>
        </w:rPr>
        <w:t xml:space="preserve">. Prostriedky určené na </w:t>
      </w:r>
      <w:r w:rsidRPr="000D79F8">
        <w:rPr>
          <w:rFonts w:ascii="Times New Roman" w:hAnsi="Times New Roman" w:cs="Times New Roman"/>
        </w:rPr>
        <w:t>st</w:t>
      </w:r>
      <w:r>
        <w:rPr>
          <w:rFonts w:ascii="Times New Roman" w:hAnsi="Times New Roman" w:cs="Times New Roman"/>
        </w:rPr>
        <w:t>abilizačný príspevok na rok 2019</w:t>
      </w:r>
      <w:r w:rsidRPr="000D79F8">
        <w:rPr>
          <w:rFonts w:ascii="Times New Roman" w:hAnsi="Times New Roman" w:cs="Times New Roman"/>
        </w:rPr>
        <w:t xml:space="preserve"> sú rozpočtované v sume </w:t>
      </w:r>
      <w:r>
        <w:rPr>
          <w:rFonts w:ascii="Times New Roman" w:hAnsi="Times New Roman" w:cs="Times New Roman"/>
        </w:rPr>
        <w:t xml:space="preserve">43,2 mil. eur, čo predstavuje oproti schválenému rozpočtu roku 2018 nárast o 1,62 mil. eur, t. j. o 3,90 %. </w:t>
      </w:r>
      <w:r w:rsidRPr="000D79F8">
        <w:rPr>
          <w:rFonts w:ascii="Times New Roman" w:hAnsi="Times New Roman" w:cs="Times New Roman"/>
        </w:rPr>
        <w:t xml:space="preserve"> </w:t>
      </w:r>
    </w:p>
    <w:p w:rsidR="003A497B" w:rsidRPr="000D79F8" w:rsidRDefault="003A497B" w:rsidP="003A497B">
      <w:pPr>
        <w:ind w:firstLine="708"/>
        <w:jc w:val="both"/>
        <w:rPr>
          <w:rFonts w:ascii="Times New Roman" w:hAnsi="Times New Roman" w:cs="Times New Roman"/>
        </w:rPr>
      </w:pPr>
    </w:p>
    <w:tbl>
      <w:tblPr>
        <w:tblW w:w="9067" w:type="dxa"/>
        <w:tblLayout w:type="fixed"/>
        <w:tblCellMar>
          <w:left w:w="70" w:type="dxa"/>
          <w:right w:w="70" w:type="dxa"/>
        </w:tblCellMar>
        <w:tblLook w:val="04A0" w:firstRow="1" w:lastRow="0" w:firstColumn="1" w:lastColumn="0" w:noHBand="0" w:noVBand="1"/>
      </w:tblPr>
      <w:tblGrid>
        <w:gridCol w:w="1980"/>
        <w:gridCol w:w="1012"/>
        <w:gridCol w:w="1012"/>
        <w:gridCol w:w="1013"/>
        <w:gridCol w:w="1012"/>
        <w:gridCol w:w="1013"/>
        <w:gridCol w:w="1012"/>
        <w:gridCol w:w="1013"/>
      </w:tblGrid>
      <w:tr w:rsidR="003A497B" w:rsidRPr="00C67589" w:rsidTr="003E1809">
        <w:trPr>
          <w:trHeight w:val="255"/>
        </w:trPr>
        <w:tc>
          <w:tcPr>
            <w:tcW w:w="198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C67589" w:rsidRDefault="003A497B" w:rsidP="003E1809">
            <w:pPr>
              <w:rPr>
                <w:rFonts w:ascii="Times New Roman" w:hAnsi="Times New Roman" w:cs="Times New Roman"/>
                <w:b/>
                <w:bCs/>
                <w:sz w:val="14"/>
                <w:szCs w:val="14"/>
                <w:lang w:eastAsia="sk-SK"/>
              </w:rPr>
            </w:pPr>
            <w:r w:rsidRPr="00C67589">
              <w:rPr>
                <w:rFonts w:ascii="Times New Roman" w:hAnsi="Times New Roman" w:cs="Times New Roman"/>
                <w:b/>
                <w:bCs/>
                <w:sz w:val="14"/>
                <w:szCs w:val="14"/>
                <w:lang w:eastAsia="sk-SK"/>
              </w:rPr>
              <w:t>v eurách</w:t>
            </w:r>
          </w:p>
        </w:tc>
        <w:tc>
          <w:tcPr>
            <w:tcW w:w="101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lang w:eastAsia="sk-SK"/>
              </w:rPr>
            </w:pPr>
            <w:r w:rsidRPr="00D57B87">
              <w:rPr>
                <w:rFonts w:ascii="Times New Roman" w:hAnsi="Times New Roman" w:cs="Times New Roman"/>
                <w:b/>
                <w:bCs/>
                <w:color w:val="000000"/>
                <w:sz w:val="14"/>
                <w:szCs w:val="14"/>
              </w:rPr>
              <w:t>2016 S</w:t>
            </w:r>
          </w:p>
        </w:tc>
        <w:tc>
          <w:tcPr>
            <w:tcW w:w="101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2017 S</w:t>
            </w:r>
          </w:p>
        </w:tc>
        <w:tc>
          <w:tcPr>
            <w:tcW w:w="1013"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2018 R</w:t>
            </w:r>
          </w:p>
        </w:tc>
        <w:tc>
          <w:tcPr>
            <w:tcW w:w="101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2018 OS</w:t>
            </w:r>
          </w:p>
        </w:tc>
        <w:tc>
          <w:tcPr>
            <w:tcW w:w="1013"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2019</w:t>
            </w:r>
            <w:r w:rsidRPr="00D57B87">
              <w:rPr>
                <w:rFonts w:ascii="Times New Roman" w:hAnsi="Times New Roman" w:cs="Times New Roman"/>
                <w:b/>
                <w:bCs/>
                <w:color w:val="000000"/>
                <w:sz w:val="14"/>
                <w:szCs w:val="14"/>
              </w:rPr>
              <w:t xml:space="preserve"> N</w:t>
            </w:r>
          </w:p>
        </w:tc>
        <w:tc>
          <w:tcPr>
            <w:tcW w:w="101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2020 N</w:t>
            </w:r>
          </w:p>
        </w:tc>
        <w:tc>
          <w:tcPr>
            <w:tcW w:w="1013"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D57B87" w:rsidRDefault="003A497B" w:rsidP="003E1809">
            <w:pPr>
              <w:jc w:val="center"/>
              <w:rPr>
                <w:rFonts w:ascii="Times New Roman" w:hAnsi="Times New Roman" w:cs="Times New Roman"/>
                <w:b/>
                <w:bCs/>
                <w:color w:val="000000"/>
                <w:sz w:val="14"/>
                <w:szCs w:val="14"/>
              </w:rPr>
            </w:pPr>
            <w:r w:rsidRPr="00D57B87">
              <w:rPr>
                <w:rFonts w:ascii="Times New Roman" w:hAnsi="Times New Roman" w:cs="Times New Roman"/>
                <w:b/>
                <w:bCs/>
                <w:color w:val="000000"/>
                <w:sz w:val="14"/>
                <w:szCs w:val="14"/>
              </w:rPr>
              <w:t>2021 N</w:t>
            </w:r>
          </w:p>
        </w:tc>
      </w:tr>
      <w:tr w:rsidR="003A497B" w:rsidRPr="00C67589" w:rsidTr="003E1809">
        <w:trPr>
          <w:trHeight w:val="255"/>
        </w:trPr>
        <w:tc>
          <w:tcPr>
            <w:tcW w:w="19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A497B" w:rsidRPr="00C67589" w:rsidRDefault="003A497B" w:rsidP="003E1809">
            <w:pPr>
              <w:rPr>
                <w:rFonts w:ascii="Times New Roman" w:hAnsi="Times New Roman" w:cs="Times New Roman"/>
                <w:b/>
                <w:bCs/>
                <w:color w:val="000000"/>
                <w:sz w:val="14"/>
                <w:szCs w:val="14"/>
                <w:lang w:eastAsia="sk-SK"/>
              </w:rPr>
            </w:pPr>
            <w:r w:rsidRPr="00C67589">
              <w:rPr>
                <w:rFonts w:ascii="Times New Roman" w:hAnsi="Times New Roman" w:cs="Times New Roman"/>
                <w:b/>
                <w:bCs/>
                <w:color w:val="000000"/>
                <w:sz w:val="14"/>
                <w:szCs w:val="14"/>
                <w:lang w:eastAsia="sk-SK"/>
              </w:rPr>
              <w:t>Operácie mimo územia štátu</w:t>
            </w:r>
          </w:p>
        </w:tc>
        <w:tc>
          <w:tcPr>
            <w:tcW w:w="10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3A497B" w:rsidRPr="00444D0F" w:rsidRDefault="003A497B" w:rsidP="003E1809">
            <w:pPr>
              <w:jc w:val="right"/>
              <w:rPr>
                <w:rFonts w:ascii="Times New Roman" w:hAnsi="Times New Roman" w:cs="Times New Roman"/>
                <w:b/>
                <w:bCs/>
                <w:color w:val="000000"/>
                <w:sz w:val="14"/>
                <w:szCs w:val="14"/>
                <w:lang w:eastAsia="sk-SK"/>
              </w:rPr>
            </w:pPr>
            <w:r w:rsidRPr="00444D0F">
              <w:rPr>
                <w:rFonts w:ascii="Times New Roman" w:hAnsi="Times New Roman" w:cs="Times New Roman"/>
                <w:b/>
                <w:bCs/>
                <w:color w:val="000000"/>
                <w:sz w:val="14"/>
                <w:szCs w:val="14"/>
              </w:rPr>
              <w:t>19 246 495</w:t>
            </w:r>
          </w:p>
        </w:tc>
        <w:tc>
          <w:tcPr>
            <w:tcW w:w="101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444D0F" w:rsidRDefault="003A497B" w:rsidP="003E1809">
            <w:pPr>
              <w:jc w:val="right"/>
              <w:rPr>
                <w:rFonts w:ascii="Times New Roman" w:hAnsi="Times New Roman" w:cs="Times New Roman"/>
                <w:b/>
                <w:bCs/>
                <w:color w:val="000000"/>
                <w:sz w:val="14"/>
                <w:szCs w:val="14"/>
              </w:rPr>
            </w:pPr>
            <w:r w:rsidRPr="00444D0F">
              <w:rPr>
                <w:rFonts w:ascii="Times New Roman" w:hAnsi="Times New Roman" w:cs="Times New Roman"/>
                <w:b/>
                <w:bCs/>
                <w:color w:val="000000"/>
                <w:sz w:val="14"/>
                <w:szCs w:val="14"/>
              </w:rPr>
              <w:t>21 622 757</w:t>
            </w:r>
          </w:p>
        </w:tc>
        <w:tc>
          <w:tcPr>
            <w:tcW w:w="1013"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444D0F" w:rsidRDefault="003A497B" w:rsidP="003E1809">
            <w:pPr>
              <w:jc w:val="right"/>
              <w:rPr>
                <w:rFonts w:ascii="Times New Roman" w:hAnsi="Times New Roman" w:cs="Times New Roman"/>
                <w:b/>
                <w:bCs/>
                <w:color w:val="000000"/>
                <w:sz w:val="14"/>
                <w:szCs w:val="14"/>
              </w:rPr>
            </w:pPr>
            <w:r w:rsidRPr="00444D0F">
              <w:rPr>
                <w:rFonts w:ascii="Times New Roman" w:hAnsi="Times New Roman" w:cs="Times New Roman"/>
                <w:b/>
                <w:bCs/>
                <w:color w:val="000000"/>
                <w:sz w:val="14"/>
                <w:szCs w:val="14"/>
              </w:rPr>
              <w:t>27 233 576</w:t>
            </w:r>
          </w:p>
        </w:tc>
        <w:tc>
          <w:tcPr>
            <w:tcW w:w="101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444D0F" w:rsidRDefault="003A497B" w:rsidP="003E1809">
            <w:pPr>
              <w:jc w:val="right"/>
              <w:rPr>
                <w:rFonts w:ascii="Times New Roman" w:hAnsi="Times New Roman" w:cs="Times New Roman"/>
                <w:b/>
                <w:bCs/>
                <w:color w:val="000000"/>
                <w:sz w:val="14"/>
                <w:szCs w:val="14"/>
              </w:rPr>
            </w:pPr>
            <w:r w:rsidRPr="00444D0F">
              <w:rPr>
                <w:rFonts w:ascii="Times New Roman" w:hAnsi="Times New Roman" w:cs="Times New Roman"/>
                <w:b/>
                <w:bCs/>
                <w:color w:val="000000"/>
                <w:sz w:val="14"/>
                <w:szCs w:val="14"/>
              </w:rPr>
              <w:t>28 743 053</w:t>
            </w:r>
          </w:p>
        </w:tc>
        <w:tc>
          <w:tcPr>
            <w:tcW w:w="1013"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444D0F" w:rsidRDefault="003A497B" w:rsidP="003E1809">
            <w:pPr>
              <w:jc w:val="right"/>
              <w:rPr>
                <w:rFonts w:ascii="Times New Roman" w:hAnsi="Times New Roman" w:cs="Times New Roman"/>
                <w:b/>
                <w:bCs/>
                <w:color w:val="000000"/>
                <w:sz w:val="14"/>
                <w:szCs w:val="14"/>
              </w:rPr>
            </w:pPr>
            <w:r w:rsidRPr="00444D0F">
              <w:rPr>
                <w:rFonts w:ascii="Times New Roman" w:hAnsi="Times New Roman" w:cs="Times New Roman"/>
                <w:b/>
                <w:bCs/>
                <w:color w:val="000000"/>
                <w:sz w:val="14"/>
                <w:szCs w:val="14"/>
              </w:rPr>
              <w:t>35 456 262</w:t>
            </w:r>
          </w:p>
        </w:tc>
        <w:tc>
          <w:tcPr>
            <w:tcW w:w="101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444D0F" w:rsidRDefault="003A497B" w:rsidP="003E1809">
            <w:pPr>
              <w:jc w:val="right"/>
              <w:rPr>
                <w:rFonts w:ascii="Times New Roman" w:hAnsi="Times New Roman" w:cs="Times New Roman"/>
                <w:b/>
                <w:bCs/>
                <w:color w:val="000000"/>
                <w:sz w:val="14"/>
                <w:szCs w:val="14"/>
              </w:rPr>
            </w:pPr>
            <w:r w:rsidRPr="00444D0F">
              <w:rPr>
                <w:rFonts w:ascii="Times New Roman" w:hAnsi="Times New Roman" w:cs="Times New Roman"/>
                <w:b/>
                <w:bCs/>
                <w:color w:val="000000"/>
                <w:sz w:val="14"/>
                <w:szCs w:val="14"/>
              </w:rPr>
              <w:t>31 804 136</w:t>
            </w:r>
          </w:p>
        </w:tc>
        <w:tc>
          <w:tcPr>
            <w:tcW w:w="1013"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444D0F" w:rsidRDefault="003A497B" w:rsidP="003E1809">
            <w:pPr>
              <w:jc w:val="right"/>
              <w:rPr>
                <w:rFonts w:ascii="Times New Roman" w:hAnsi="Times New Roman" w:cs="Times New Roman"/>
                <w:b/>
                <w:bCs/>
                <w:color w:val="000000"/>
                <w:sz w:val="14"/>
                <w:szCs w:val="14"/>
              </w:rPr>
            </w:pPr>
            <w:r w:rsidRPr="00444D0F">
              <w:rPr>
                <w:rFonts w:ascii="Times New Roman" w:hAnsi="Times New Roman" w:cs="Times New Roman"/>
                <w:b/>
                <w:bCs/>
                <w:color w:val="000000"/>
                <w:sz w:val="14"/>
                <w:szCs w:val="14"/>
              </w:rPr>
              <w:t>31 475 030</w:t>
            </w:r>
          </w:p>
        </w:tc>
      </w:tr>
      <w:tr w:rsidR="003A497B" w:rsidRPr="00C67589" w:rsidTr="003E1809">
        <w:trPr>
          <w:trHeight w:val="25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A497B" w:rsidRPr="00C67589" w:rsidRDefault="003A497B" w:rsidP="003E1809">
            <w:pPr>
              <w:rPr>
                <w:rFonts w:ascii="Times New Roman" w:hAnsi="Times New Roman" w:cs="Times New Roman"/>
                <w:color w:val="000000"/>
                <w:sz w:val="14"/>
                <w:szCs w:val="14"/>
                <w:lang w:eastAsia="sk-SK"/>
              </w:rPr>
            </w:pPr>
            <w:r w:rsidRPr="00C67589">
              <w:rPr>
                <w:rFonts w:ascii="Times New Roman" w:hAnsi="Times New Roman" w:cs="Times New Roman"/>
                <w:color w:val="000000"/>
                <w:sz w:val="14"/>
                <w:szCs w:val="14"/>
                <w:lang w:eastAsia="sk-SK"/>
              </w:rPr>
              <w:t>Osobné výdavky</w:t>
            </w:r>
          </w:p>
        </w:tc>
        <w:tc>
          <w:tcPr>
            <w:tcW w:w="1012" w:type="dxa"/>
            <w:tcBorders>
              <w:top w:val="nil"/>
              <w:left w:val="single" w:sz="4" w:space="0" w:color="auto"/>
              <w:bottom w:val="single" w:sz="4" w:space="0" w:color="auto"/>
              <w:right w:val="single" w:sz="4" w:space="0" w:color="auto"/>
            </w:tcBorders>
            <w:shd w:val="clear" w:color="auto" w:fill="auto"/>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11 106 691 </w:t>
            </w:r>
          </w:p>
        </w:tc>
        <w:tc>
          <w:tcPr>
            <w:tcW w:w="1012" w:type="dxa"/>
            <w:tcBorders>
              <w:top w:val="nil"/>
              <w:left w:val="nil"/>
              <w:bottom w:val="single" w:sz="4" w:space="0" w:color="auto"/>
              <w:right w:val="single" w:sz="4" w:space="0" w:color="auto"/>
            </w:tcBorders>
            <w:shd w:val="clear" w:color="auto" w:fill="auto"/>
            <w:noWrap/>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12 152 979 </w:t>
            </w:r>
          </w:p>
        </w:tc>
        <w:tc>
          <w:tcPr>
            <w:tcW w:w="1013" w:type="dxa"/>
            <w:tcBorders>
              <w:top w:val="nil"/>
              <w:left w:val="nil"/>
              <w:bottom w:val="single" w:sz="4" w:space="0" w:color="auto"/>
              <w:right w:val="single" w:sz="4" w:space="0" w:color="auto"/>
            </w:tcBorders>
            <w:shd w:val="clear" w:color="auto" w:fill="auto"/>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11 714 782 </w:t>
            </w:r>
          </w:p>
        </w:tc>
        <w:tc>
          <w:tcPr>
            <w:tcW w:w="1012" w:type="dxa"/>
            <w:tcBorders>
              <w:top w:val="nil"/>
              <w:left w:val="nil"/>
              <w:bottom w:val="single" w:sz="4" w:space="0" w:color="auto"/>
              <w:right w:val="single" w:sz="4" w:space="0" w:color="auto"/>
            </w:tcBorders>
            <w:shd w:val="clear" w:color="auto" w:fill="auto"/>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11 714 782 </w:t>
            </w:r>
          </w:p>
        </w:tc>
        <w:tc>
          <w:tcPr>
            <w:tcW w:w="1013" w:type="dxa"/>
            <w:tcBorders>
              <w:top w:val="nil"/>
              <w:left w:val="nil"/>
              <w:bottom w:val="single" w:sz="4" w:space="0" w:color="auto"/>
              <w:right w:val="single" w:sz="4" w:space="0" w:color="auto"/>
            </w:tcBorders>
            <w:shd w:val="clear" w:color="auto" w:fill="auto"/>
            <w:noWrap/>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15 959 630 </w:t>
            </w:r>
          </w:p>
        </w:tc>
        <w:tc>
          <w:tcPr>
            <w:tcW w:w="1012" w:type="dxa"/>
            <w:tcBorders>
              <w:top w:val="nil"/>
              <w:left w:val="nil"/>
              <w:bottom w:val="single" w:sz="4" w:space="0" w:color="auto"/>
              <w:right w:val="single" w:sz="4" w:space="0" w:color="auto"/>
            </w:tcBorders>
            <w:shd w:val="clear" w:color="auto" w:fill="auto"/>
            <w:noWrap/>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12 962 496 </w:t>
            </w:r>
          </w:p>
        </w:tc>
        <w:tc>
          <w:tcPr>
            <w:tcW w:w="1013" w:type="dxa"/>
            <w:tcBorders>
              <w:top w:val="nil"/>
              <w:left w:val="nil"/>
              <w:bottom w:val="single" w:sz="4" w:space="0" w:color="auto"/>
              <w:right w:val="single" w:sz="4" w:space="0" w:color="auto"/>
            </w:tcBorders>
            <w:shd w:val="clear" w:color="auto" w:fill="auto"/>
            <w:noWrap/>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12 632 413 </w:t>
            </w:r>
          </w:p>
        </w:tc>
      </w:tr>
      <w:tr w:rsidR="003A497B" w:rsidRPr="00C67589" w:rsidTr="003E1809">
        <w:trPr>
          <w:trHeight w:val="25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A497B" w:rsidRPr="00C67589" w:rsidRDefault="003A497B" w:rsidP="003E1809">
            <w:pPr>
              <w:rPr>
                <w:rFonts w:ascii="Times New Roman" w:hAnsi="Times New Roman" w:cs="Times New Roman"/>
                <w:color w:val="000000"/>
                <w:sz w:val="14"/>
                <w:szCs w:val="14"/>
                <w:lang w:eastAsia="sk-SK"/>
              </w:rPr>
            </w:pPr>
            <w:r w:rsidRPr="00C67589">
              <w:rPr>
                <w:rFonts w:ascii="Times New Roman" w:hAnsi="Times New Roman" w:cs="Times New Roman"/>
                <w:color w:val="000000"/>
                <w:sz w:val="14"/>
                <w:szCs w:val="14"/>
                <w:lang w:eastAsia="sk-SK"/>
              </w:rPr>
              <w:t>Tovary a služby</w:t>
            </w:r>
          </w:p>
        </w:tc>
        <w:tc>
          <w:tcPr>
            <w:tcW w:w="1012" w:type="dxa"/>
            <w:tcBorders>
              <w:top w:val="nil"/>
              <w:left w:val="single" w:sz="4" w:space="0" w:color="auto"/>
              <w:bottom w:val="single" w:sz="4" w:space="0" w:color="auto"/>
              <w:right w:val="single" w:sz="4" w:space="0" w:color="auto"/>
            </w:tcBorders>
            <w:shd w:val="clear" w:color="auto" w:fill="auto"/>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7 245 914 </w:t>
            </w:r>
          </w:p>
        </w:tc>
        <w:tc>
          <w:tcPr>
            <w:tcW w:w="1012" w:type="dxa"/>
            <w:tcBorders>
              <w:top w:val="nil"/>
              <w:left w:val="nil"/>
              <w:bottom w:val="single" w:sz="4" w:space="0" w:color="auto"/>
              <w:right w:val="single" w:sz="4" w:space="0" w:color="auto"/>
            </w:tcBorders>
            <w:shd w:val="clear" w:color="auto" w:fill="auto"/>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8 216 206 </w:t>
            </w:r>
          </w:p>
        </w:tc>
        <w:tc>
          <w:tcPr>
            <w:tcW w:w="1013" w:type="dxa"/>
            <w:tcBorders>
              <w:top w:val="nil"/>
              <w:left w:val="nil"/>
              <w:bottom w:val="single" w:sz="4" w:space="0" w:color="auto"/>
              <w:right w:val="single" w:sz="4" w:space="0" w:color="auto"/>
            </w:tcBorders>
            <w:shd w:val="clear" w:color="auto" w:fill="auto"/>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14 287 646 </w:t>
            </w:r>
          </w:p>
        </w:tc>
        <w:tc>
          <w:tcPr>
            <w:tcW w:w="1012" w:type="dxa"/>
            <w:tcBorders>
              <w:top w:val="nil"/>
              <w:left w:val="nil"/>
              <w:bottom w:val="single" w:sz="4" w:space="0" w:color="auto"/>
              <w:right w:val="single" w:sz="4" w:space="0" w:color="auto"/>
            </w:tcBorders>
            <w:shd w:val="clear" w:color="auto" w:fill="auto"/>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15 842 993 </w:t>
            </w:r>
          </w:p>
        </w:tc>
        <w:tc>
          <w:tcPr>
            <w:tcW w:w="1013" w:type="dxa"/>
            <w:tcBorders>
              <w:top w:val="nil"/>
              <w:left w:val="nil"/>
              <w:bottom w:val="single" w:sz="4" w:space="0" w:color="auto"/>
              <w:right w:val="single" w:sz="4" w:space="0" w:color="auto"/>
            </w:tcBorders>
            <w:shd w:val="clear" w:color="auto" w:fill="auto"/>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17 596 545 </w:t>
            </w:r>
          </w:p>
        </w:tc>
        <w:tc>
          <w:tcPr>
            <w:tcW w:w="1012" w:type="dxa"/>
            <w:tcBorders>
              <w:top w:val="nil"/>
              <w:left w:val="nil"/>
              <w:bottom w:val="single" w:sz="4" w:space="0" w:color="auto"/>
              <w:right w:val="single" w:sz="4" w:space="0" w:color="auto"/>
            </w:tcBorders>
            <w:shd w:val="clear" w:color="auto" w:fill="auto"/>
            <w:noWrap/>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17 337 442 </w:t>
            </w:r>
          </w:p>
        </w:tc>
        <w:tc>
          <w:tcPr>
            <w:tcW w:w="1013" w:type="dxa"/>
            <w:tcBorders>
              <w:top w:val="nil"/>
              <w:left w:val="nil"/>
              <w:bottom w:val="single" w:sz="4" w:space="0" w:color="auto"/>
              <w:right w:val="single" w:sz="4" w:space="0" w:color="auto"/>
            </w:tcBorders>
            <w:shd w:val="clear" w:color="auto" w:fill="auto"/>
            <w:noWrap/>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17 337 419 </w:t>
            </w:r>
          </w:p>
        </w:tc>
      </w:tr>
      <w:tr w:rsidR="003A497B" w:rsidRPr="00C67589" w:rsidTr="003E1809">
        <w:trPr>
          <w:trHeight w:val="25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A497B" w:rsidRPr="00C67589" w:rsidRDefault="003A497B" w:rsidP="003E1809">
            <w:pPr>
              <w:rPr>
                <w:rFonts w:ascii="Times New Roman" w:hAnsi="Times New Roman" w:cs="Times New Roman"/>
                <w:color w:val="000000"/>
                <w:sz w:val="14"/>
                <w:szCs w:val="14"/>
                <w:lang w:eastAsia="sk-SK"/>
              </w:rPr>
            </w:pPr>
            <w:r w:rsidRPr="00C67589">
              <w:rPr>
                <w:rFonts w:ascii="Times New Roman" w:hAnsi="Times New Roman" w:cs="Times New Roman"/>
                <w:color w:val="000000"/>
                <w:sz w:val="14"/>
                <w:szCs w:val="14"/>
                <w:lang w:eastAsia="sk-SK"/>
              </w:rPr>
              <w:t>Transfery</w:t>
            </w:r>
          </w:p>
        </w:tc>
        <w:tc>
          <w:tcPr>
            <w:tcW w:w="1012" w:type="dxa"/>
            <w:tcBorders>
              <w:top w:val="nil"/>
              <w:left w:val="single" w:sz="4" w:space="0" w:color="auto"/>
              <w:bottom w:val="single" w:sz="4" w:space="0" w:color="auto"/>
              <w:right w:val="single" w:sz="4" w:space="0" w:color="auto"/>
            </w:tcBorders>
            <w:shd w:val="clear" w:color="auto" w:fill="auto"/>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840 447 </w:t>
            </w:r>
          </w:p>
        </w:tc>
        <w:tc>
          <w:tcPr>
            <w:tcW w:w="1012" w:type="dxa"/>
            <w:tcBorders>
              <w:top w:val="nil"/>
              <w:left w:val="nil"/>
              <w:bottom w:val="single" w:sz="4" w:space="0" w:color="auto"/>
              <w:right w:val="single" w:sz="4" w:space="0" w:color="auto"/>
            </w:tcBorders>
            <w:shd w:val="clear" w:color="auto" w:fill="auto"/>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953 573 </w:t>
            </w:r>
          </w:p>
        </w:tc>
        <w:tc>
          <w:tcPr>
            <w:tcW w:w="1013" w:type="dxa"/>
            <w:tcBorders>
              <w:top w:val="nil"/>
              <w:left w:val="nil"/>
              <w:bottom w:val="single" w:sz="4" w:space="0" w:color="auto"/>
              <w:right w:val="single" w:sz="4" w:space="0" w:color="auto"/>
            </w:tcBorders>
            <w:shd w:val="clear" w:color="auto" w:fill="auto"/>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1 016 948 </w:t>
            </w:r>
          </w:p>
        </w:tc>
        <w:tc>
          <w:tcPr>
            <w:tcW w:w="1012" w:type="dxa"/>
            <w:tcBorders>
              <w:top w:val="nil"/>
              <w:left w:val="nil"/>
              <w:bottom w:val="single" w:sz="4" w:space="0" w:color="auto"/>
              <w:right w:val="single" w:sz="4" w:space="0" w:color="auto"/>
            </w:tcBorders>
            <w:shd w:val="clear" w:color="auto" w:fill="auto"/>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991 278 </w:t>
            </w:r>
          </w:p>
        </w:tc>
        <w:tc>
          <w:tcPr>
            <w:tcW w:w="1013" w:type="dxa"/>
            <w:tcBorders>
              <w:top w:val="nil"/>
              <w:left w:val="nil"/>
              <w:bottom w:val="single" w:sz="4" w:space="0" w:color="auto"/>
              <w:right w:val="single" w:sz="4" w:space="0" w:color="auto"/>
            </w:tcBorders>
            <w:shd w:val="clear" w:color="auto" w:fill="auto"/>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1 287 787 </w:t>
            </w:r>
          </w:p>
        </w:tc>
        <w:tc>
          <w:tcPr>
            <w:tcW w:w="1012" w:type="dxa"/>
            <w:tcBorders>
              <w:top w:val="nil"/>
              <w:left w:val="nil"/>
              <w:bottom w:val="single" w:sz="4" w:space="0" w:color="auto"/>
              <w:right w:val="single" w:sz="4" w:space="0" w:color="auto"/>
            </w:tcBorders>
            <w:shd w:val="clear" w:color="auto" w:fill="auto"/>
            <w:noWrap/>
            <w:vAlign w:val="bottom"/>
            <w:hideMark/>
          </w:tcPr>
          <w:p w:rsidR="003A497B" w:rsidRPr="00444D0F" w:rsidRDefault="003A497B" w:rsidP="003E1809">
            <w:pPr>
              <w:jc w:val="right"/>
              <w:rPr>
                <w:rFonts w:ascii="Times New Roman" w:hAnsi="Times New Roman" w:cs="Times New Roman"/>
                <w:color w:val="000000"/>
                <w:sz w:val="14"/>
                <w:szCs w:val="14"/>
              </w:rPr>
            </w:pPr>
            <w:r w:rsidRPr="00444D0F">
              <w:rPr>
                <w:rFonts w:ascii="Times New Roman" w:hAnsi="Times New Roman" w:cs="Times New Roman"/>
                <w:color w:val="000000"/>
                <w:sz w:val="14"/>
                <w:szCs w:val="14"/>
              </w:rPr>
              <w:t>1 040 898</w:t>
            </w:r>
          </w:p>
        </w:tc>
        <w:tc>
          <w:tcPr>
            <w:tcW w:w="1013" w:type="dxa"/>
            <w:tcBorders>
              <w:top w:val="nil"/>
              <w:left w:val="nil"/>
              <w:bottom w:val="single" w:sz="4" w:space="0" w:color="auto"/>
              <w:right w:val="single" w:sz="4" w:space="0" w:color="auto"/>
            </w:tcBorders>
            <w:shd w:val="clear" w:color="auto" w:fill="auto"/>
            <w:noWrap/>
            <w:vAlign w:val="bottom"/>
            <w:hideMark/>
          </w:tcPr>
          <w:p w:rsidR="003A497B" w:rsidRPr="00444D0F" w:rsidRDefault="003A497B" w:rsidP="003E1809">
            <w:pPr>
              <w:jc w:val="right"/>
              <w:rPr>
                <w:rFonts w:ascii="Times New Roman" w:hAnsi="Times New Roman" w:cs="Times New Roman"/>
                <w:color w:val="000000"/>
                <w:sz w:val="14"/>
                <w:szCs w:val="14"/>
              </w:rPr>
            </w:pPr>
            <w:r w:rsidRPr="00444D0F">
              <w:rPr>
                <w:rFonts w:ascii="Times New Roman" w:hAnsi="Times New Roman" w:cs="Times New Roman"/>
                <w:color w:val="000000"/>
                <w:sz w:val="14"/>
                <w:szCs w:val="14"/>
              </w:rPr>
              <w:t>1 040 898</w:t>
            </w:r>
          </w:p>
        </w:tc>
      </w:tr>
      <w:tr w:rsidR="003A497B" w:rsidRPr="00C67589" w:rsidTr="003E1809">
        <w:trPr>
          <w:trHeight w:val="25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3A497B" w:rsidRPr="00C67589" w:rsidRDefault="003A497B" w:rsidP="003E1809">
            <w:pPr>
              <w:rPr>
                <w:rFonts w:ascii="Times New Roman" w:hAnsi="Times New Roman" w:cs="Times New Roman"/>
                <w:color w:val="000000"/>
                <w:sz w:val="14"/>
                <w:szCs w:val="14"/>
                <w:lang w:eastAsia="sk-SK"/>
              </w:rPr>
            </w:pPr>
            <w:r w:rsidRPr="00C67589">
              <w:rPr>
                <w:rFonts w:ascii="Times New Roman" w:hAnsi="Times New Roman" w:cs="Times New Roman"/>
                <w:color w:val="000000"/>
                <w:sz w:val="14"/>
                <w:szCs w:val="14"/>
                <w:lang w:eastAsia="sk-SK"/>
              </w:rPr>
              <w:t>Kapitálové výdavky</w:t>
            </w:r>
          </w:p>
        </w:tc>
        <w:tc>
          <w:tcPr>
            <w:tcW w:w="1012" w:type="dxa"/>
            <w:tcBorders>
              <w:top w:val="nil"/>
              <w:left w:val="single" w:sz="4" w:space="0" w:color="auto"/>
              <w:bottom w:val="single" w:sz="4" w:space="0" w:color="auto"/>
              <w:right w:val="single" w:sz="4" w:space="0" w:color="auto"/>
            </w:tcBorders>
            <w:shd w:val="clear" w:color="auto" w:fill="auto"/>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53 443 </w:t>
            </w:r>
          </w:p>
        </w:tc>
        <w:tc>
          <w:tcPr>
            <w:tcW w:w="1012" w:type="dxa"/>
            <w:tcBorders>
              <w:top w:val="nil"/>
              <w:left w:val="nil"/>
              <w:bottom w:val="single" w:sz="4" w:space="0" w:color="auto"/>
              <w:right w:val="single" w:sz="4" w:space="0" w:color="auto"/>
            </w:tcBorders>
            <w:shd w:val="clear" w:color="auto" w:fill="auto"/>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300 000 </w:t>
            </w:r>
          </w:p>
        </w:tc>
        <w:tc>
          <w:tcPr>
            <w:tcW w:w="1013" w:type="dxa"/>
            <w:tcBorders>
              <w:top w:val="nil"/>
              <w:left w:val="nil"/>
              <w:bottom w:val="single" w:sz="4" w:space="0" w:color="auto"/>
              <w:right w:val="single" w:sz="4" w:space="0" w:color="auto"/>
            </w:tcBorders>
            <w:shd w:val="clear" w:color="auto" w:fill="auto"/>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214 200 </w:t>
            </w:r>
          </w:p>
        </w:tc>
        <w:tc>
          <w:tcPr>
            <w:tcW w:w="1012" w:type="dxa"/>
            <w:tcBorders>
              <w:top w:val="nil"/>
              <w:left w:val="nil"/>
              <w:bottom w:val="single" w:sz="4" w:space="0" w:color="auto"/>
              <w:right w:val="single" w:sz="4" w:space="0" w:color="auto"/>
            </w:tcBorders>
            <w:shd w:val="clear" w:color="auto" w:fill="auto"/>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194 000 </w:t>
            </w:r>
          </w:p>
        </w:tc>
        <w:tc>
          <w:tcPr>
            <w:tcW w:w="1013" w:type="dxa"/>
            <w:tcBorders>
              <w:top w:val="nil"/>
              <w:left w:val="nil"/>
              <w:bottom w:val="single" w:sz="4" w:space="0" w:color="auto"/>
              <w:right w:val="single" w:sz="4" w:space="0" w:color="auto"/>
            </w:tcBorders>
            <w:shd w:val="clear" w:color="auto" w:fill="auto"/>
            <w:vAlign w:val="bottom"/>
            <w:hideMark/>
          </w:tcPr>
          <w:p w:rsidR="003A497B" w:rsidRPr="00444D0F" w:rsidRDefault="003A497B" w:rsidP="003E1809">
            <w:pPr>
              <w:jc w:val="right"/>
              <w:rPr>
                <w:rFonts w:ascii="Times New Roman" w:hAnsi="Times New Roman" w:cs="Times New Roman"/>
                <w:sz w:val="14"/>
                <w:szCs w:val="14"/>
              </w:rPr>
            </w:pPr>
            <w:r w:rsidRPr="00444D0F">
              <w:rPr>
                <w:rFonts w:ascii="Times New Roman" w:hAnsi="Times New Roman" w:cs="Times New Roman"/>
                <w:sz w:val="14"/>
                <w:szCs w:val="14"/>
              </w:rPr>
              <w:t xml:space="preserve">612 300 </w:t>
            </w:r>
          </w:p>
        </w:tc>
        <w:tc>
          <w:tcPr>
            <w:tcW w:w="1012" w:type="dxa"/>
            <w:tcBorders>
              <w:top w:val="nil"/>
              <w:left w:val="nil"/>
              <w:bottom w:val="single" w:sz="4" w:space="0" w:color="auto"/>
              <w:right w:val="single" w:sz="4" w:space="0" w:color="auto"/>
            </w:tcBorders>
            <w:shd w:val="clear" w:color="auto" w:fill="auto"/>
            <w:noWrap/>
            <w:vAlign w:val="bottom"/>
            <w:hideMark/>
          </w:tcPr>
          <w:p w:rsidR="003A497B" w:rsidRPr="00444D0F" w:rsidRDefault="003A497B" w:rsidP="003E1809">
            <w:pPr>
              <w:jc w:val="right"/>
              <w:rPr>
                <w:rFonts w:ascii="Times New Roman" w:hAnsi="Times New Roman" w:cs="Times New Roman"/>
                <w:color w:val="000000"/>
                <w:sz w:val="14"/>
                <w:szCs w:val="14"/>
              </w:rPr>
            </w:pPr>
            <w:r w:rsidRPr="00444D0F">
              <w:rPr>
                <w:rFonts w:ascii="Times New Roman" w:hAnsi="Times New Roman" w:cs="Times New Roman"/>
                <w:color w:val="000000"/>
                <w:sz w:val="14"/>
                <w:szCs w:val="14"/>
              </w:rPr>
              <w:t>463 300</w:t>
            </w:r>
          </w:p>
        </w:tc>
        <w:tc>
          <w:tcPr>
            <w:tcW w:w="1013" w:type="dxa"/>
            <w:tcBorders>
              <w:top w:val="nil"/>
              <w:left w:val="nil"/>
              <w:bottom w:val="single" w:sz="4" w:space="0" w:color="auto"/>
              <w:right w:val="single" w:sz="4" w:space="0" w:color="auto"/>
            </w:tcBorders>
            <w:shd w:val="clear" w:color="auto" w:fill="auto"/>
            <w:noWrap/>
            <w:vAlign w:val="bottom"/>
            <w:hideMark/>
          </w:tcPr>
          <w:p w:rsidR="003A497B" w:rsidRPr="00444D0F" w:rsidRDefault="003A497B" w:rsidP="003E1809">
            <w:pPr>
              <w:jc w:val="right"/>
              <w:rPr>
                <w:rFonts w:ascii="Times New Roman" w:hAnsi="Times New Roman" w:cs="Times New Roman"/>
                <w:color w:val="000000"/>
                <w:sz w:val="14"/>
                <w:szCs w:val="14"/>
              </w:rPr>
            </w:pPr>
            <w:r w:rsidRPr="00444D0F">
              <w:rPr>
                <w:rFonts w:ascii="Times New Roman" w:hAnsi="Times New Roman" w:cs="Times New Roman"/>
                <w:color w:val="000000"/>
                <w:sz w:val="14"/>
                <w:szCs w:val="14"/>
              </w:rPr>
              <w:t>464 300</w:t>
            </w:r>
          </w:p>
        </w:tc>
      </w:tr>
    </w:tbl>
    <w:p w:rsidR="003A497B" w:rsidRPr="000D79F8" w:rsidRDefault="003A497B" w:rsidP="003A497B">
      <w:pPr>
        <w:jc w:val="both"/>
        <w:rPr>
          <w:rFonts w:ascii="Times New Roman" w:hAnsi="Times New Roman" w:cs="Times New Roman"/>
          <w:highlight w:val="yellow"/>
          <w:lang w:eastAsia="sk-SK"/>
        </w:rPr>
      </w:pPr>
    </w:p>
    <w:p w:rsidR="003A497B" w:rsidRPr="000D79F8" w:rsidRDefault="003A497B" w:rsidP="003A497B">
      <w:pPr>
        <w:ind w:firstLine="567"/>
        <w:jc w:val="both"/>
        <w:rPr>
          <w:rFonts w:ascii="Times New Roman" w:hAnsi="Times New Roman" w:cs="Times New Roman"/>
        </w:rPr>
      </w:pPr>
      <w:r w:rsidRPr="000D79F8">
        <w:rPr>
          <w:rFonts w:ascii="Times New Roman" w:hAnsi="Times New Roman" w:cs="Times New Roman"/>
        </w:rPr>
        <w:lastRenderedPageBreak/>
        <w:t>V oblasti operácií mim</w:t>
      </w:r>
      <w:r>
        <w:rPr>
          <w:rFonts w:ascii="Times New Roman" w:hAnsi="Times New Roman" w:cs="Times New Roman"/>
        </w:rPr>
        <w:t>o územia štátu došlo v roku 2019</w:t>
      </w:r>
      <w:r w:rsidRPr="000D79F8">
        <w:rPr>
          <w:rFonts w:ascii="Times New Roman" w:hAnsi="Times New Roman" w:cs="Times New Roman"/>
        </w:rPr>
        <w:t xml:space="preserve"> oprot</w:t>
      </w:r>
      <w:r>
        <w:rPr>
          <w:rFonts w:ascii="Times New Roman" w:hAnsi="Times New Roman" w:cs="Times New Roman"/>
        </w:rPr>
        <w:t>i schválenému rozpočtu roku 2018</w:t>
      </w:r>
      <w:r w:rsidRPr="000D79F8">
        <w:rPr>
          <w:rFonts w:ascii="Times New Roman" w:hAnsi="Times New Roman" w:cs="Times New Roman"/>
        </w:rPr>
        <w:t xml:space="preserve"> k </w:t>
      </w:r>
      <w:r>
        <w:rPr>
          <w:rFonts w:ascii="Times New Roman" w:hAnsi="Times New Roman" w:cs="Times New Roman"/>
        </w:rPr>
        <w:t>nárastu</w:t>
      </w:r>
      <w:r w:rsidRPr="000D79F8">
        <w:rPr>
          <w:rFonts w:ascii="Times New Roman" w:hAnsi="Times New Roman" w:cs="Times New Roman"/>
        </w:rPr>
        <w:t xml:space="preserve"> o</w:t>
      </w:r>
      <w:r>
        <w:rPr>
          <w:rFonts w:ascii="Times New Roman" w:hAnsi="Times New Roman" w:cs="Times New Roman"/>
        </w:rPr>
        <w:t> 8,22</w:t>
      </w:r>
      <w:r w:rsidRPr="000D79F8">
        <w:rPr>
          <w:rFonts w:ascii="Times New Roman" w:hAnsi="Times New Roman" w:cs="Times New Roman"/>
        </w:rPr>
        <w:t xml:space="preserve"> mil. eur, t. j. o</w:t>
      </w:r>
      <w:r>
        <w:rPr>
          <w:rFonts w:ascii="Times New Roman" w:hAnsi="Times New Roman" w:cs="Times New Roman"/>
        </w:rPr>
        <w:t> 30,2</w:t>
      </w:r>
      <w:r w:rsidRPr="000D79F8">
        <w:rPr>
          <w:rFonts w:ascii="Times New Roman" w:hAnsi="Times New Roman" w:cs="Times New Roman"/>
        </w:rPr>
        <w:t xml:space="preserve"> %. </w:t>
      </w:r>
      <w:r w:rsidRPr="00211833">
        <w:rPr>
          <w:rFonts w:ascii="Times New Roman" w:hAnsi="Times New Roman" w:cs="Times New Roman"/>
        </w:rPr>
        <w:t>Tento nárast je spôsobený zvýšeným počtom misií.</w:t>
      </w:r>
      <w:r w:rsidRPr="000D79F8">
        <w:rPr>
          <w:rFonts w:ascii="Times New Roman" w:hAnsi="Times New Roman" w:cs="Times New Roman"/>
        </w:rPr>
        <w:t xml:space="preserve"> K</w:t>
      </w:r>
      <w:r>
        <w:rPr>
          <w:rFonts w:ascii="Times New Roman" w:hAnsi="Times New Roman" w:cs="Times New Roman"/>
        </w:rPr>
        <w:t> 31. augustu 2018</w:t>
      </w:r>
      <w:r w:rsidRPr="000D79F8">
        <w:rPr>
          <w:rFonts w:ascii="Times New Roman" w:hAnsi="Times New Roman" w:cs="Times New Roman"/>
        </w:rPr>
        <w:t xml:space="preserve"> pôsobilo v rámc</w:t>
      </w:r>
      <w:r>
        <w:rPr>
          <w:rFonts w:ascii="Times New Roman" w:hAnsi="Times New Roman" w:cs="Times New Roman"/>
        </w:rPr>
        <w:t>i operácií mimo územia štátu 432</w:t>
      </w:r>
      <w:r w:rsidRPr="000D79F8">
        <w:rPr>
          <w:rFonts w:ascii="Times New Roman" w:hAnsi="Times New Roman" w:cs="Times New Roman"/>
        </w:rPr>
        <w:t xml:space="preserve"> vojakov. Slovenskí vojaci pôsobia v nasledovných misiách: </w:t>
      </w:r>
    </w:p>
    <w:p w:rsidR="003A497B" w:rsidRPr="000D79F8" w:rsidRDefault="003A497B" w:rsidP="003A497B">
      <w:pPr>
        <w:ind w:firstLine="567"/>
        <w:jc w:val="both"/>
        <w:rPr>
          <w:rFonts w:ascii="Times New Roman" w:hAnsi="Times New Roman" w:cs="Times New Roman"/>
        </w:rPr>
      </w:pPr>
    </w:p>
    <w:p w:rsidR="003A497B" w:rsidRPr="000D79F8" w:rsidRDefault="003A497B" w:rsidP="003A497B">
      <w:pPr>
        <w:jc w:val="both"/>
        <w:rPr>
          <w:rFonts w:ascii="Times New Roman" w:hAnsi="Times New Roman" w:cs="Times New Roman"/>
        </w:rPr>
      </w:pPr>
      <w:r>
        <w:rPr>
          <w:rFonts w:ascii="Times New Roman" w:hAnsi="Times New Roman" w:cs="Times New Roman"/>
        </w:rPr>
        <w:t xml:space="preserve">       </w:t>
      </w:r>
      <w:r w:rsidRPr="000D79F8">
        <w:rPr>
          <w:rFonts w:ascii="Times New Roman" w:hAnsi="Times New Roman" w:cs="Times New Roman"/>
        </w:rPr>
        <w:t>Op</w:t>
      </w:r>
      <w:r>
        <w:rPr>
          <w:rFonts w:ascii="Times New Roman" w:hAnsi="Times New Roman" w:cs="Times New Roman"/>
        </w:rPr>
        <w:t>erácie OSN: UNFICYP Cyprus - 193</w:t>
      </w:r>
      <w:r w:rsidRPr="000D79F8">
        <w:rPr>
          <w:rFonts w:ascii="Times New Roman" w:hAnsi="Times New Roman" w:cs="Times New Roman"/>
        </w:rPr>
        <w:t xml:space="preserve"> osôb, UNTSO Sýria - 2 osoby,</w:t>
      </w:r>
    </w:p>
    <w:p w:rsidR="003A497B" w:rsidRPr="000D79F8" w:rsidRDefault="003A497B" w:rsidP="003A497B">
      <w:pPr>
        <w:jc w:val="both"/>
        <w:rPr>
          <w:rFonts w:ascii="Times New Roman" w:hAnsi="Times New Roman" w:cs="Times New Roman"/>
        </w:rPr>
      </w:pPr>
      <w:r>
        <w:rPr>
          <w:rFonts w:ascii="Times New Roman" w:hAnsi="Times New Roman" w:cs="Times New Roman"/>
        </w:rPr>
        <w:t xml:space="preserve">       </w:t>
      </w:r>
      <w:r w:rsidRPr="000D79F8">
        <w:rPr>
          <w:rFonts w:ascii="Times New Roman" w:hAnsi="Times New Roman" w:cs="Times New Roman"/>
        </w:rPr>
        <w:t>Operácie EÚ: Althea Bosna</w:t>
      </w:r>
      <w:r>
        <w:rPr>
          <w:rFonts w:ascii="Times New Roman" w:hAnsi="Times New Roman" w:cs="Times New Roman"/>
        </w:rPr>
        <w:t xml:space="preserve"> a Hercegovina - 41</w:t>
      </w:r>
      <w:r w:rsidRPr="000D79F8">
        <w:rPr>
          <w:rFonts w:ascii="Times New Roman" w:hAnsi="Times New Roman" w:cs="Times New Roman"/>
        </w:rPr>
        <w:t xml:space="preserve"> osôb, </w:t>
      </w:r>
      <w:r>
        <w:rPr>
          <w:rFonts w:ascii="Times New Roman" w:hAnsi="Times New Roman" w:cs="Times New Roman"/>
        </w:rPr>
        <w:t>EÚ MM Gruzínsko – 1 osoba</w:t>
      </w:r>
      <w:r w:rsidRPr="000D79F8">
        <w:rPr>
          <w:rFonts w:ascii="Times New Roman" w:hAnsi="Times New Roman" w:cs="Times New Roman"/>
        </w:rPr>
        <w:t>,</w:t>
      </w:r>
      <w:r>
        <w:rPr>
          <w:rFonts w:ascii="Times New Roman" w:hAnsi="Times New Roman" w:cs="Times New Roman"/>
        </w:rPr>
        <w:t xml:space="preserve"> </w:t>
      </w:r>
    </w:p>
    <w:p w:rsidR="003A497B" w:rsidRPr="000D79F8" w:rsidRDefault="003A497B" w:rsidP="003A497B">
      <w:pPr>
        <w:ind w:left="2127" w:hanging="2127"/>
        <w:jc w:val="both"/>
        <w:rPr>
          <w:rFonts w:ascii="Times New Roman" w:hAnsi="Times New Roman" w:cs="Times New Roman"/>
        </w:rPr>
      </w:pPr>
      <w:r>
        <w:rPr>
          <w:rFonts w:ascii="Times New Roman" w:hAnsi="Times New Roman" w:cs="Times New Roman"/>
        </w:rPr>
        <w:t xml:space="preserve">       </w:t>
      </w:r>
      <w:r w:rsidRPr="000D79F8">
        <w:rPr>
          <w:rFonts w:ascii="Times New Roman" w:hAnsi="Times New Roman" w:cs="Times New Roman"/>
        </w:rPr>
        <w:t>O</w:t>
      </w:r>
      <w:r>
        <w:rPr>
          <w:rFonts w:ascii="Times New Roman" w:hAnsi="Times New Roman" w:cs="Times New Roman"/>
        </w:rPr>
        <w:t>perácie NATO: RS Afganistan - 36</w:t>
      </w:r>
      <w:r w:rsidRPr="000D79F8">
        <w:rPr>
          <w:rFonts w:ascii="Times New Roman" w:hAnsi="Times New Roman" w:cs="Times New Roman"/>
        </w:rPr>
        <w:t xml:space="preserve"> osôb, NATO HQ Sarajevo - 1 osoba,</w:t>
      </w:r>
      <w:r>
        <w:rPr>
          <w:rFonts w:ascii="Times New Roman" w:hAnsi="Times New Roman" w:cs="Times New Roman"/>
        </w:rPr>
        <w:t xml:space="preserve"> NTCB Iraq –      6 osôb, eFP Lotyšsko – 152 osôb, </w:t>
      </w:r>
      <w:r w:rsidRPr="000D79F8">
        <w:rPr>
          <w:rFonts w:ascii="Times New Roman" w:hAnsi="Times New Roman" w:cs="Times New Roman"/>
        </w:rPr>
        <w:t xml:space="preserve"> </w:t>
      </w:r>
    </w:p>
    <w:p w:rsidR="003A497B" w:rsidRPr="000D79F8" w:rsidRDefault="003A497B" w:rsidP="003A497B">
      <w:pPr>
        <w:ind w:left="2552" w:hanging="3402"/>
        <w:jc w:val="both"/>
        <w:rPr>
          <w:rFonts w:ascii="Times New Roman" w:hAnsi="Times New Roman" w:cs="Times New Roman"/>
        </w:rPr>
      </w:pPr>
      <w:r>
        <w:rPr>
          <w:rFonts w:ascii="Times New Roman" w:hAnsi="Times New Roman" w:cs="Times New Roman"/>
        </w:rPr>
        <w:t xml:space="preserve">                     SPOLU: 432 vojakov k 31. augustu 2018</w:t>
      </w:r>
      <w:r w:rsidRPr="000D79F8">
        <w:rPr>
          <w:rFonts w:ascii="Times New Roman" w:hAnsi="Times New Roman" w:cs="Times New Roman"/>
        </w:rPr>
        <w:t>.</w:t>
      </w:r>
    </w:p>
    <w:p w:rsidR="003A497B" w:rsidRPr="000D79F8" w:rsidRDefault="003A497B" w:rsidP="003A497B">
      <w:pPr>
        <w:ind w:left="851"/>
        <w:jc w:val="both"/>
        <w:rPr>
          <w:rFonts w:ascii="Arial" w:hAnsi="Arial" w:cs="Arial"/>
          <w:sz w:val="19"/>
          <w:szCs w:val="19"/>
          <w:lang w:eastAsia="sk-SK"/>
        </w:rPr>
      </w:pPr>
    </w:p>
    <w:p w:rsidR="003A497B" w:rsidRDefault="003A497B" w:rsidP="003A497B">
      <w:pPr>
        <w:ind w:firstLine="708"/>
        <w:jc w:val="both"/>
      </w:pPr>
      <w:r w:rsidRPr="000D79F8">
        <w:rPr>
          <w:rFonts w:ascii="Times New Roman" w:hAnsi="Times New Roman" w:cs="Times New Roman"/>
        </w:rPr>
        <w:t>V súlade s výnosom MO SR o poskytovaní dotácií v</w:t>
      </w:r>
      <w:r>
        <w:rPr>
          <w:rFonts w:ascii="Times New Roman" w:hAnsi="Times New Roman" w:cs="Times New Roman"/>
        </w:rPr>
        <w:t> pôsobnosti MO SR sú na rok 2019</w:t>
      </w:r>
      <w:r w:rsidRPr="000D79F8">
        <w:rPr>
          <w:rFonts w:ascii="Times New Roman" w:hAnsi="Times New Roman" w:cs="Times New Roman"/>
        </w:rPr>
        <w:t xml:space="preserve"> plánované prostriedky na dotácie pre Vojenské lesy a majetky, š. p. Pliešovce vo výške </w:t>
      </w:r>
      <w:r>
        <w:rPr>
          <w:rFonts w:ascii="Times New Roman" w:hAnsi="Times New Roman" w:cs="Times New Roman"/>
        </w:rPr>
        <w:br/>
        <w:t>3,30</w:t>
      </w:r>
      <w:r w:rsidRPr="000D79F8">
        <w:rPr>
          <w:rFonts w:ascii="Times New Roman" w:hAnsi="Times New Roman" w:cs="Times New Roman"/>
        </w:rPr>
        <w:t xml:space="preserve"> mil. eur</w:t>
      </w:r>
      <w:r>
        <w:rPr>
          <w:rFonts w:ascii="Times New Roman" w:hAnsi="Times New Roman" w:cs="Times New Roman"/>
        </w:rPr>
        <w:t xml:space="preserve"> na lesníctvo.</w:t>
      </w:r>
    </w:p>
    <w:p w:rsidR="003A497B" w:rsidRPr="00A401D6" w:rsidRDefault="003A497B" w:rsidP="003A497B">
      <w:pPr>
        <w:pStyle w:val="Nadpis5"/>
        <w:pBdr>
          <w:bottom w:val="single" w:sz="4" w:space="1" w:color="auto"/>
        </w:pBdr>
        <w:ind w:left="0"/>
        <w:rPr>
          <w:i w:val="0"/>
          <w:sz w:val="24"/>
          <w:lang w:eastAsia="sk-SK"/>
        </w:rPr>
      </w:pPr>
      <w:bookmarkStart w:id="78" w:name="_Toc469491244"/>
      <w:bookmarkStart w:id="79" w:name="_Toc526267694"/>
      <w:r w:rsidRPr="00A401D6">
        <w:rPr>
          <w:i w:val="0"/>
          <w:sz w:val="24"/>
          <w:lang w:eastAsia="sk-SK"/>
        </w:rPr>
        <w:t>Ministerstvo školstva, vedy, výskumu a športu SR</w:t>
      </w:r>
      <w:bookmarkEnd w:id="78"/>
      <w:bookmarkEnd w:id="79"/>
    </w:p>
    <w:p w:rsidR="003A497B" w:rsidRDefault="003A497B" w:rsidP="003A497B">
      <w:pPr>
        <w:spacing w:after="200"/>
        <w:contextualSpacing/>
        <w:jc w:val="both"/>
        <w:rPr>
          <w:rFonts w:ascii="Times New Roman" w:hAnsi="Times New Roman" w:cs="Times New Roman"/>
          <w:lang w:eastAsia="en-US"/>
        </w:rPr>
      </w:pPr>
    </w:p>
    <w:p w:rsidR="00D2350F" w:rsidRPr="00086A6E" w:rsidRDefault="00D2350F" w:rsidP="00D2350F">
      <w:pPr>
        <w:ind w:firstLine="709"/>
        <w:jc w:val="both"/>
        <w:rPr>
          <w:rFonts w:ascii="Times New Roman" w:hAnsi="Times New Roman" w:cs="Times New Roman"/>
          <w:lang w:eastAsia="sk-SK"/>
        </w:rPr>
      </w:pPr>
      <w:r w:rsidRPr="00086A6E">
        <w:rPr>
          <w:rFonts w:ascii="Times New Roman" w:hAnsi="Times New Roman" w:cs="Times New Roman"/>
          <w:lang w:eastAsia="sk-SK"/>
        </w:rPr>
        <w:t>Hlavným cieľom politík v školstve je prostredníctvom výchovy a vzdelávania umožniť žiakom, bez ohľadu na ich sociálnu situáciu, získať vzdelanie, kompetencie a zručnosti, naučiť ich rozvíjať a kultivovať svoju osobnosť a získať a posilňovať úctu k ľudským právam a základným slobodám.</w:t>
      </w:r>
      <w:r w:rsidRPr="00086A6E">
        <w:rPr>
          <w:rFonts w:ascii="Times New Roman" w:hAnsi="Times New Roman" w:cs="Times New Roman"/>
          <w:color w:val="000000"/>
          <w:lang w:eastAsia="sk-SK"/>
        </w:rPr>
        <w:t xml:space="preserve"> Podpora vedy, výskumu a inovácií </w:t>
      </w:r>
      <w:r w:rsidRPr="00086A6E">
        <w:rPr>
          <w:rFonts w:ascii="Times New Roman" w:hAnsi="Times New Roman" w:cs="Times New Roman"/>
          <w:lang w:eastAsia="sk-SK"/>
        </w:rPr>
        <w:t>je v súčasnosti n</w:t>
      </w:r>
      <w:r w:rsidRPr="00086A6E">
        <w:rPr>
          <w:rFonts w:ascii="Times New Roman" w:hAnsi="Times New Roman" w:cs="Times New Roman"/>
          <w:color w:val="000000"/>
          <w:lang w:eastAsia="sk-SK"/>
        </w:rPr>
        <w:t xml:space="preserve">evyhnutným predpokladom efektívnej ekonomiky. V oblasti športu je cieľom </w:t>
      </w:r>
      <w:r w:rsidRPr="00086A6E">
        <w:rPr>
          <w:rFonts w:ascii="Times New Roman" w:hAnsi="Times New Roman" w:cs="Times New Roman"/>
          <w:lang w:eastAsia="sk-SK"/>
        </w:rPr>
        <w:t>podporovať šport pre všetkých ako odporúčaný spôsob aktívneho životného štýlu širokej verejnosti, najmä detí a mládeže. Napĺňanie týchto cieľov sa sleduje pomocou nasledovných indikátorov:</w:t>
      </w:r>
      <w:bookmarkStart w:id="80" w:name="_Toc487200895"/>
      <w:r w:rsidRPr="00086A6E">
        <w:rPr>
          <w:rFonts w:ascii="Times New Roman" w:eastAsia="Calibri" w:hAnsi="Times New Roman" w:cs="Times New Roman"/>
          <w:b/>
          <w:lang w:eastAsia="sk-SK"/>
        </w:rPr>
        <w:t xml:space="preserve"> </w:t>
      </w:r>
      <w:bookmarkEnd w:id="80"/>
    </w:p>
    <w:p w:rsidR="00D2350F" w:rsidRPr="00086A6E" w:rsidRDefault="00D2350F" w:rsidP="00D2350F">
      <w:pPr>
        <w:ind w:right="-20"/>
        <w:jc w:val="both"/>
        <w:rPr>
          <w:rFonts w:ascii="Times New Roman" w:hAnsi="Times New Roman" w:cs="Times New Roman"/>
          <w:sz w:val="22"/>
          <w:szCs w:val="22"/>
          <w:lang w:eastAsia="sk-SK"/>
        </w:rPr>
      </w:pPr>
    </w:p>
    <w:tbl>
      <w:tblPr>
        <w:tblpPr w:leftFromText="142" w:rightFromText="142" w:vertAnchor="text" w:horzAnchor="margin" w:tblpX="-142" w:tblpY="1"/>
        <w:tblOverlap w:val="never"/>
        <w:tblW w:w="9161" w:type="dxa"/>
        <w:tblLayout w:type="fixed"/>
        <w:tblCellMar>
          <w:left w:w="0" w:type="dxa"/>
          <w:right w:w="0" w:type="dxa"/>
        </w:tblCellMar>
        <w:tblLook w:val="04A0" w:firstRow="1" w:lastRow="0" w:firstColumn="1" w:lastColumn="0" w:noHBand="0" w:noVBand="1"/>
      </w:tblPr>
      <w:tblGrid>
        <w:gridCol w:w="520"/>
        <w:gridCol w:w="339"/>
        <w:gridCol w:w="3252"/>
        <w:gridCol w:w="572"/>
        <w:gridCol w:w="429"/>
        <w:gridCol w:w="429"/>
        <w:gridCol w:w="440"/>
        <w:gridCol w:w="440"/>
        <w:gridCol w:w="440"/>
        <w:gridCol w:w="440"/>
        <w:gridCol w:w="440"/>
        <w:gridCol w:w="380"/>
        <w:gridCol w:w="520"/>
        <w:gridCol w:w="520"/>
      </w:tblGrid>
      <w:tr w:rsidR="00D2350F" w:rsidRPr="00086A6E" w:rsidTr="00D2350F">
        <w:trPr>
          <w:trHeight w:val="473"/>
        </w:trPr>
        <w:tc>
          <w:tcPr>
            <w:tcW w:w="9161" w:type="dxa"/>
            <w:gridSpan w:val="14"/>
            <w:tcBorders>
              <w:left w:val="nil"/>
              <w:bottom w:val="single" w:sz="4" w:space="0" w:color="auto"/>
              <w:right w:val="nil"/>
            </w:tcBorders>
            <w:vAlign w:val="center"/>
          </w:tcPr>
          <w:p w:rsidR="00D2350F" w:rsidRPr="00086A6E" w:rsidRDefault="00D2350F" w:rsidP="00D2350F">
            <w:pPr>
              <w:keepNext/>
              <w:ind w:right="-20"/>
              <w:rPr>
                <w:rFonts w:ascii="Times New Roman" w:hAnsi="Times New Roman" w:cs="Times New Roman"/>
                <w:b/>
                <w:bCs/>
                <w:color w:val="000000"/>
                <w:sz w:val="14"/>
                <w:szCs w:val="14"/>
                <w:lang w:eastAsia="sk-SK"/>
              </w:rPr>
            </w:pPr>
            <w:r w:rsidRPr="00086A6E">
              <w:rPr>
                <w:rFonts w:ascii="Times New Roman" w:eastAsia="Calibri" w:hAnsi="Times New Roman" w:cs="Times New Roman"/>
                <w:b/>
                <w:sz w:val="22"/>
                <w:szCs w:val="14"/>
              </w:rPr>
              <w:t>Výsledkové a výstupové indikátory kvality vo vzdelávaní</w:t>
            </w:r>
          </w:p>
        </w:tc>
      </w:tr>
      <w:tr w:rsidR="00D2350F" w:rsidRPr="00086A6E" w:rsidTr="00D2350F">
        <w:trPr>
          <w:trHeight w:val="473"/>
        </w:trPr>
        <w:tc>
          <w:tcPr>
            <w:tcW w:w="859" w:type="dxa"/>
            <w:gridSpan w:val="2"/>
            <w:tcBorders>
              <w:top w:val="single" w:sz="4" w:space="0" w:color="auto"/>
              <w:left w:val="nil"/>
              <w:bottom w:val="single" w:sz="4" w:space="0" w:color="auto"/>
              <w:right w:val="nil"/>
            </w:tcBorders>
            <w:vAlign w:val="center"/>
          </w:tcPr>
          <w:p w:rsidR="00D2350F" w:rsidRPr="00086A6E" w:rsidRDefault="00D2350F" w:rsidP="00D2350F">
            <w:pPr>
              <w:keepNext/>
              <w:ind w:right="-20"/>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Druh indikátora</w:t>
            </w:r>
          </w:p>
        </w:tc>
        <w:tc>
          <w:tcPr>
            <w:tcW w:w="325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2350F" w:rsidRPr="00086A6E" w:rsidRDefault="00D2350F" w:rsidP="00D2350F">
            <w:pPr>
              <w:keepNext/>
              <w:ind w:right="-20"/>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w:t>
            </w:r>
          </w:p>
        </w:tc>
        <w:tc>
          <w:tcPr>
            <w:tcW w:w="572"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2350F" w:rsidRPr="00086A6E" w:rsidRDefault="00D2350F" w:rsidP="00D2350F">
            <w:pPr>
              <w:keepNext/>
              <w:ind w:right="-20"/>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w:t>
            </w:r>
          </w:p>
        </w:tc>
        <w:tc>
          <w:tcPr>
            <w:tcW w:w="429"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2009</w:t>
            </w:r>
          </w:p>
        </w:tc>
        <w:tc>
          <w:tcPr>
            <w:tcW w:w="429"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2010</w:t>
            </w:r>
          </w:p>
        </w:tc>
        <w:tc>
          <w:tcPr>
            <w:tcW w:w="4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2011</w:t>
            </w:r>
          </w:p>
        </w:tc>
        <w:tc>
          <w:tcPr>
            <w:tcW w:w="4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2012</w:t>
            </w:r>
          </w:p>
        </w:tc>
        <w:tc>
          <w:tcPr>
            <w:tcW w:w="4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2013</w:t>
            </w:r>
          </w:p>
        </w:tc>
        <w:tc>
          <w:tcPr>
            <w:tcW w:w="4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2014</w:t>
            </w:r>
          </w:p>
        </w:tc>
        <w:tc>
          <w:tcPr>
            <w:tcW w:w="4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2015</w:t>
            </w:r>
          </w:p>
        </w:tc>
        <w:tc>
          <w:tcPr>
            <w:tcW w:w="380" w:type="dxa"/>
            <w:tcBorders>
              <w:top w:val="single" w:sz="4" w:space="0" w:color="auto"/>
              <w:left w:val="nil"/>
              <w:bottom w:val="single" w:sz="4" w:space="0" w:color="auto"/>
              <w:right w:val="nil"/>
            </w:tcBorders>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2016</w:t>
            </w:r>
          </w:p>
        </w:tc>
        <w:tc>
          <w:tcPr>
            <w:tcW w:w="520" w:type="dxa"/>
            <w:tcBorders>
              <w:top w:val="single" w:sz="4" w:space="0" w:color="auto"/>
              <w:left w:val="nil"/>
              <w:bottom w:val="single" w:sz="4" w:space="0" w:color="auto"/>
              <w:right w:val="nil"/>
            </w:tcBorders>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2017</w:t>
            </w:r>
          </w:p>
        </w:tc>
        <w:tc>
          <w:tcPr>
            <w:tcW w:w="52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Cieľ 2020</w:t>
            </w:r>
          </w:p>
        </w:tc>
      </w:tr>
      <w:tr w:rsidR="00D2350F" w:rsidRPr="00086A6E" w:rsidTr="00D2350F">
        <w:trPr>
          <w:trHeight w:val="79"/>
        </w:trPr>
        <w:tc>
          <w:tcPr>
            <w:tcW w:w="859" w:type="dxa"/>
            <w:gridSpan w:val="2"/>
            <w:tcBorders>
              <w:top w:val="nil"/>
              <w:left w:val="nil"/>
              <w:bottom w:val="single" w:sz="4" w:space="0" w:color="auto"/>
              <w:right w:val="nil"/>
            </w:tcBorders>
            <w:shd w:val="clear" w:color="auto" w:fill="F2F2F2"/>
          </w:tcPr>
          <w:p w:rsidR="00D2350F" w:rsidRPr="00086A6E" w:rsidRDefault="00D2350F" w:rsidP="00D2350F">
            <w:pPr>
              <w:keepNext/>
              <w:ind w:right="-20"/>
              <w:rPr>
                <w:rFonts w:ascii="Times New Roman" w:hAnsi="Times New Roman" w:cs="Times New Roman"/>
                <w:b/>
                <w:bCs/>
                <w:color w:val="000000"/>
                <w:sz w:val="14"/>
                <w:szCs w:val="14"/>
                <w:lang w:eastAsia="sk-SK"/>
              </w:rPr>
            </w:pPr>
          </w:p>
        </w:tc>
        <w:tc>
          <w:tcPr>
            <w:tcW w:w="3252" w:type="dxa"/>
            <w:tcBorders>
              <w:top w:val="nil"/>
              <w:left w:val="nil"/>
              <w:bottom w:val="single" w:sz="4" w:space="0" w:color="auto"/>
              <w:right w:val="nil"/>
            </w:tcBorders>
            <w:shd w:val="clear" w:color="auto" w:fill="F2F2F2"/>
            <w:noWrap/>
            <w:tcMar>
              <w:top w:w="15" w:type="dxa"/>
              <w:left w:w="15" w:type="dxa"/>
              <w:bottom w:w="0" w:type="dxa"/>
              <w:right w:w="15" w:type="dxa"/>
            </w:tcMar>
            <w:vAlign w:val="center"/>
            <w:hideMark/>
          </w:tcPr>
          <w:p w:rsidR="00D2350F" w:rsidRPr="00086A6E" w:rsidRDefault="00D2350F" w:rsidP="00D2350F">
            <w:pPr>
              <w:keepNext/>
              <w:ind w:right="-20"/>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Regionálne školstvo</w:t>
            </w:r>
          </w:p>
        </w:tc>
        <w:tc>
          <w:tcPr>
            <w:tcW w:w="572" w:type="dxa"/>
            <w:tcBorders>
              <w:top w:val="nil"/>
              <w:left w:val="nil"/>
              <w:bottom w:val="single" w:sz="4" w:space="0" w:color="auto"/>
              <w:right w:val="nil"/>
            </w:tcBorders>
            <w:shd w:val="clear" w:color="auto" w:fill="F2F2F2"/>
            <w:noWrap/>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w:t>
            </w:r>
          </w:p>
        </w:tc>
        <w:tc>
          <w:tcPr>
            <w:tcW w:w="429" w:type="dxa"/>
            <w:tcBorders>
              <w:top w:val="nil"/>
              <w:left w:val="nil"/>
              <w:bottom w:val="single" w:sz="4" w:space="0" w:color="auto"/>
              <w:right w:val="nil"/>
            </w:tcBorders>
            <w:shd w:val="clear" w:color="auto" w:fill="F2F2F2"/>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29" w:type="dxa"/>
            <w:tcBorders>
              <w:top w:val="nil"/>
              <w:left w:val="nil"/>
              <w:bottom w:val="single" w:sz="4" w:space="0" w:color="auto"/>
              <w:right w:val="nil"/>
            </w:tcBorders>
            <w:shd w:val="clear" w:color="auto" w:fill="F2F2F2"/>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40" w:type="dxa"/>
            <w:tcBorders>
              <w:top w:val="nil"/>
              <w:left w:val="nil"/>
              <w:bottom w:val="single" w:sz="4" w:space="0" w:color="auto"/>
              <w:right w:val="nil"/>
            </w:tcBorders>
            <w:shd w:val="clear" w:color="auto" w:fill="F2F2F2"/>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40" w:type="dxa"/>
            <w:tcBorders>
              <w:top w:val="nil"/>
              <w:left w:val="nil"/>
              <w:bottom w:val="single" w:sz="4" w:space="0" w:color="auto"/>
              <w:right w:val="nil"/>
            </w:tcBorders>
            <w:shd w:val="clear" w:color="auto" w:fill="F2F2F2"/>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40" w:type="dxa"/>
            <w:tcBorders>
              <w:top w:val="nil"/>
              <w:left w:val="nil"/>
              <w:bottom w:val="single" w:sz="4" w:space="0" w:color="auto"/>
              <w:right w:val="nil"/>
            </w:tcBorders>
            <w:shd w:val="clear" w:color="auto" w:fill="F2F2F2"/>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40" w:type="dxa"/>
            <w:tcBorders>
              <w:top w:val="nil"/>
              <w:left w:val="nil"/>
              <w:bottom w:val="single" w:sz="4" w:space="0" w:color="auto"/>
              <w:right w:val="nil"/>
            </w:tcBorders>
            <w:shd w:val="clear" w:color="auto" w:fill="F2F2F2"/>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w:t>
            </w:r>
          </w:p>
        </w:tc>
        <w:tc>
          <w:tcPr>
            <w:tcW w:w="440" w:type="dxa"/>
            <w:tcBorders>
              <w:top w:val="nil"/>
              <w:left w:val="nil"/>
              <w:bottom w:val="single" w:sz="4" w:space="0" w:color="auto"/>
              <w:right w:val="nil"/>
            </w:tcBorders>
            <w:shd w:val="clear" w:color="auto" w:fill="F2F2F2"/>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w:t>
            </w:r>
          </w:p>
        </w:tc>
        <w:tc>
          <w:tcPr>
            <w:tcW w:w="380" w:type="dxa"/>
            <w:tcBorders>
              <w:top w:val="nil"/>
              <w:left w:val="nil"/>
              <w:bottom w:val="single" w:sz="4" w:space="0" w:color="auto"/>
              <w:right w:val="nil"/>
            </w:tcBorders>
            <w:shd w:val="clear" w:color="auto" w:fill="F2F2F2"/>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p>
        </w:tc>
        <w:tc>
          <w:tcPr>
            <w:tcW w:w="520" w:type="dxa"/>
            <w:tcBorders>
              <w:top w:val="nil"/>
              <w:left w:val="nil"/>
              <w:bottom w:val="single" w:sz="4" w:space="0" w:color="auto"/>
              <w:right w:val="nil"/>
            </w:tcBorders>
            <w:shd w:val="clear" w:color="auto" w:fill="F2F2F2"/>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p>
        </w:tc>
        <w:tc>
          <w:tcPr>
            <w:tcW w:w="520" w:type="dxa"/>
            <w:tcBorders>
              <w:top w:val="nil"/>
              <w:left w:val="nil"/>
              <w:bottom w:val="single" w:sz="4" w:space="0" w:color="auto"/>
              <w:right w:val="nil"/>
            </w:tcBorders>
            <w:shd w:val="clear" w:color="auto" w:fill="F2F2F2"/>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w:t>
            </w:r>
          </w:p>
        </w:tc>
      </w:tr>
      <w:tr w:rsidR="00D2350F" w:rsidRPr="00086A6E" w:rsidTr="00D2350F">
        <w:trPr>
          <w:trHeight w:val="229"/>
        </w:trPr>
        <w:tc>
          <w:tcPr>
            <w:tcW w:w="859" w:type="dxa"/>
            <w:gridSpan w:val="2"/>
            <w:vMerge w:val="restart"/>
            <w:tcBorders>
              <w:top w:val="single" w:sz="4" w:space="0" w:color="auto"/>
              <w:left w:val="nil"/>
              <w:right w:val="nil"/>
            </w:tcBorders>
            <w:shd w:val="clear" w:color="auto" w:fill="auto"/>
            <w:vAlign w:val="center"/>
          </w:tcPr>
          <w:p w:rsidR="00D2350F" w:rsidRPr="00086A6E" w:rsidRDefault="00D2350F" w:rsidP="00D2350F">
            <w:pPr>
              <w:keepNext/>
              <w:ind w:right="-20"/>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Výstup</w:t>
            </w:r>
          </w:p>
        </w:tc>
        <w:tc>
          <w:tcPr>
            <w:tcW w:w="3252" w:type="dxa"/>
            <w:tcBorders>
              <w:top w:val="single" w:sz="4" w:space="0" w:color="auto"/>
              <w:left w:val="nil"/>
              <w:right w:val="nil"/>
            </w:tcBorders>
            <w:shd w:val="clear" w:color="auto" w:fill="auto"/>
            <w:noWrap/>
            <w:tcMar>
              <w:top w:w="15" w:type="dxa"/>
              <w:left w:w="15" w:type="dxa"/>
              <w:bottom w:w="0" w:type="dxa"/>
              <w:right w:w="15" w:type="dxa"/>
            </w:tcMar>
            <w:vAlign w:val="center"/>
          </w:tcPr>
          <w:p w:rsidR="00D2350F" w:rsidRPr="00086A6E" w:rsidRDefault="00D2350F" w:rsidP="00D2350F">
            <w:pPr>
              <w:keepNext/>
              <w:ind w:right="-20"/>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Predprimárne vzdelávanie</w:t>
            </w:r>
          </w:p>
        </w:tc>
        <w:tc>
          <w:tcPr>
            <w:tcW w:w="572" w:type="dxa"/>
            <w:tcBorders>
              <w:top w:val="single" w:sz="4" w:space="0" w:color="auto"/>
              <w:left w:val="nil"/>
              <w:right w:val="nil"/>
            </w:tcBorders>
            <w:shd w:val="clear" w:color="auto" w:fill="auto"/>
            <w:noWrap/>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SK</w:t>
            </w:r>
          </w:p>
        </w:tc>
        <w:tc>
          <w:tcPr>
            <w:tcW w:w="429" w:type="dxa"/>
            <w:tcBorders>
              <w:top w:val="single" w:sz="4" w:space="0" w:color="auto"/>
              <w:left w:val="nil"/>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77,4 </w:t>
            </w:r>
          </w:p>
        </w:tc>
        <w:tc>
          <w:tcPr>
            <w:tcW w:w="429" w:type="dxa"/>
            <w:tcBorders>
              <w:top w:val="single" w:sz="4" w:space="0" w:color="auto"/>
              <w:left w:val="nil"/>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76,9 </w:t>
            </w:r>
          </w:p>
        </w:tc>
        <w:tc>
          <w:tcPr>
            <w:tcW w:w="440" w:type="dxa"/>
            <w:tcBorders>
              <w:top w:val="single" w:sz="4" w:space="0" w:color="auto"/>
              <w:left w:val="nil"/>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76,9 </w:t>
            </w:r>
          </w:p>
        </w:tc>
        <w:tc>
          <w:tcPr>
            <w:tcW w:w="440" w:type="dxa"/>
            <w:tcBorders>
              <w:top w:val="single" w:sz="4" w:space="0" w:color="auto"/>
              <w:left w:val="nil"/>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77,1</w:t>
            </w:r>
          </w:p>
        </w:tc>
        <w:tc>
          <w:tcPr>
            <w:tcW w:w="440" w:type="dxa"/>
            <w:tcBorders>
              <w:top w:val="single" w:sz="4" w:space="0" w:color="auto"/>
              <w:left w:val="nil"/>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77,5</w:t>
            </w:r>
          </w:p>
        </w:tc>
        <w:tc>
          <w:tcPr>
            <w:tcW w:w="440" w:type="dxa"/>
            <w:tcBorders>
              <w:top w:val="single" w:sz="4" w:space="0" w:color="auto"/>
              <w:left w:val="nil"/>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77,4</w:t>
            </w:r>
          </w:p>
        </w:tc>
        <w:tc>
          <w:tcPr>
            <w:tcW w:w="440" w:type="dxa"/>
            <w:tcBorders>
              <w:top w:val="single" w:sz="4" w:space="0" w:color="auto"/>
              <w:left w:val="nil"/>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78,4</w:t>
            </w:r>
          </w:p>
        </w:tc>
        <w:tc>
          <w:tcPr>
            <w:tcW w:w="380" w:type="dxa"/>
            <w:tcBorders>
              <w:top w:val="single" w:sz="4" w:space="0" w:color="auto"/>
              <w:left w:val="nil"/>
              <w:right w:val="nil"/>
            </w:tcBorders>
            <w:vAlign w:val="center"/>
          </w:tcPr>
          <w:p w:rsidR="00D2350F" w:rsidRPr="00086A6E" w:rsidRDefault="00D2350F" w:rsidP="00D2350F">
            <w:pPr>
              <w:keepNext/>
              <w:ind w:right="-20"/>
              <w:jc w:val="center"/>
              <w:rPr>
                <w:rFonts w:ascii="Times New Roman" w:hAnsi="Times New Roman" w:cs="Times New Roman"/>
                <w:bCs/>
                <w:color w:val="000000"/>
                <w:sz w:val="14"/>
                <w:szCs w:val="14"/>
                <w:lang w:eastAsia="sk-SK"/>
              </w:rPr>
            </w:pPr>
            <w:r w:rsidRPr="00086A6E">
              <w:rPr>
                <w:rFonts w:ascii="Times New Roman" w:hAnsi="Times New Roman" w:cs="Times New Roman"/>
                <w:bCs/>
                <w:color w:val="000000"/>
                <w:sz w:val="14"/>
                <w:szCs w:val="14"/>
                <w:lang w:eastAsia="sk-SK"/>
              </w:rPr>
              <w:t>76,5</w:t>
            </w:r>
          </w:p>
        </w:tc>
        <w:tc>
          <w:tcPr>
            <w:tcW w:w="520" w:type="dxa"/>
            <w:tcBorders>
              <w:top w:val="single" w:sz="4" w:space="0" w:color="auto"/>
              <w:left w:val="nil"/>
              <w:right w:val="nil"/>
            </w:tcBorders>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p>
        </w:tc>
        <w:tc>
          <w:tcPr>
            <w:tcW w:w="520" w:type="dxa"/>
            <w:tcBorders>
              <w:top w:val="single" w:sz="4" w:space="0" w:color="auto"/>
              <w:left w:val="nil"/>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p>
        </w:tc>
      </w:tr>
      <w:tr w:rsidR="00D2350F" w:rsidRPr="00086A6E" w:rsidTr="00D2350F">
        <w:trPr>
          <w:trHeight w:val="117"/>
        </w:trPr>
        <w:tc>
          <w:tcPr>
            <w:tcW w:w="859" w:type="dxa"/>
            <w:gridSpan w:val="2"/>
            <w:vMerge/>
            <w:tcBorders>
              <w:left w:val="nil"/>
              <w:bottom w:val="single" w:sz="4" w:space="0" w:color="auto"/>
              <w:right w:val="nil"/>
            </w:tcBorders>
            <w:shd w:val="clear" w:color="auto" w:fill="auto"/>
          </w:tcPr>
          <w:p w:rsidR="00D2350F" w:rsidRPr="00086A6E" w:rsidRDefault="00D2350F" w:rsidP="00D2350F">
            <w:pPr>
              <w:keepNext/>
              <w:ind w:right="-20"/>
              <w:rPr>
                <w:rFonts w:ascii="Times New Roman" w:hAnsi="Times New Roman" w:cs="Times New Roman"/>
                <w:bCs/>
                <w:color w:val="000000"/>
                <w:sz w:val="14"/>
                <w:szCs w:val="14"/>
                <w:lang w:eastAsia="sk-SK"/>
              </w:rPr>
            </w:pPr>
          </w:p>
        </w:tc>
        <w:tc>
          <w:tcPr>
            <w:tcW w:w="3252" w:type="dxa"/>
            <w:tcBorders>
              <w:top w:val="nil"/>
              <w:left w:val="nil"/>
              <w:bottom w:val="single" w:sz="4" w:space="0" w:color="auto"/>
              <w:right w:val="nil"/>
            </w:tcBorders>
            <w:shd w:val="clear" w:color="auto" w:fill="auto"/>
            <w:noWrap/>
            <w:tcMar>
              <w:top w:w="15" w:type="dxa"/>
              <w:left w:w="15" w:type="dxa"/>
              <w:bottom w:w="0" w:type="dxa"/>
              <w:right w:w="15" w:type="dxa"/>
            </w:tcMar>
            <w:vAlign w:val="center"/>
          </w:tcPr>
          <w:p w:rsidR="00D2350F" w:rsidRPr="00086A6E" w:rsidRDefault="00D2350F" w:rsidP="00D2350F">
            <w:pPr>
              <w:keepNext/>
              <w:ind w:right="-20"/>
              <w:rPr>
                <w:rFonts w:ascii="Times New Roman" w:hAnsi="Times New Roman" w:cs="Times New Roman"/>
                <w:bCs/>
                <w:color w:val="000000"/>
                <w:sz w:val="14"/>
                <w:szCs w:val="14"/>
                <w:lang w:eastAsia="sk-SK"/>
              </w:rPr>
            </w:pPr>
            <w:r w:rsidRPr="00086A6E">
              <w:rPr>
                <w:rFonts w:ascii="Times New Roman" w:hAnsi="Times New Roman" w:cs="Times New Roman"/>
                <w:bCs/>
                <w:color w:val="000000"/>
                <w:sz w:val="14"/>
                <w:szCs w:val="14"/>
                <w:lang w:eastAsia="sk-SK"/>
              </w:rPr>
              <w:t>(účasť detí nad 4 roky v %)</w:t>
            </w:r>
          </w:p>
        </w:tc>
        <w:tc>
          <w:tcPr>
            <w:tcW w:w="572" w:type="dxa"/>
            <w:tcBorders>
              <w:top w:val="nil"/>
              <w:left w:val="nil"/>
              <w:bottom w:val="single" w:sz="4" w:space="0" w:color="auto"/>
              <w:right w:val="nil"/>
            </w:tcBorders>
            <w:shd w:val="clear" w:color="auto" w:fill="auto"/>
            <w:noWrap/>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EÚ</w:t>
            </w:r>
          </w:p>
        </w:tc>
        <w:tc>
          <w:tcPr>
            <w:tcW w:w="429" w:type="dxa"/>
            <w:tcBorders>
              <w:top w:val="nil"/>
              <w:left w:val="nil"/>
              <w:bottom w:val="single" w:sz="4" w:space="0" w:color="auto"/>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92,1 </w:t>
            </w:r>
          </w:p>
        </w:tc>
        <w:tc>
          <w:tcPr>
            <w:tcW w:w="429" w:type="dxa"/>
            <w:tcBorders>
              <w:top w:val="nil"/>
              <w:left w:val="nil"/>
              <w:bottom w:val="single" w:sz="4" w:space="0" w:color="auto"/>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92,9 </w:t>
            </w:r>
          </w:p>
        </w:tc>
        <w:tc>
          <w:tcPr>
            <w:tcW w:w="440" w:type="dxa"/>
            <w:tcBorders>
              <w:top w:val="nil"/>
              <w:left w:val="nil"/>
              <w:bottom w:val="single" w:sz="4" w:space="0" w:color="auto"/>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93,2 </w:t>
            </w:r>
          </w:p>
        </w:tc>
        <w:tc>
          <w:tcPr>
            <w:tcW w:w="440" w:type="dxa"/>
            <w:tcBorders>
              <w:top w:val="nil"/>
              <w:left w:val="nil"/>
              <w:bottom w:val="single" w:sz="4" w:space="0" w:color="auto"/>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93,9 </w:t>
            </w:r>
          </w:p>
        </w:tc>
        <w:tc>
          <w:tcPr>
            <w:tcW w:w="440" w:type="dxa"/>
            <w:tcBorders>
              <w:top w:val="nil"/>
              <w:left w:val="nil"/>
              <w:bottom w:val="single" w:sz="4" w:space="0" w:color="auto"/>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94,0</w:t>
            </w:r>
          </w:p>
        </w:tc>
        <w:tc>
          <w:tcPr>
            <w:tcW w:w="440" w:type="dxa"/>
            <w:tcBorders>
              <w:top w:val="nil"/>
              <w:left w:val="nil"/>
              <w:bottom w:val="single" w:sz="4" w:space="0" w:color="auto"/>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Cs/>
                <w:color w:val="000000"/>
                <w:sz w:val="14"/>
                <w:szCs w:val="14"/>
                <w:lang w:eastAsia="sk-SK"/>
              </w:rPr>
            </w:pPr>
            <w:r w:rsidRPr="00086A6E">
              <w:rPr>
                <w:rFonts w:ascii="Times New Roman" w:hAnsi="Times New Roman" w:cs="Times New Roman"/>
                <w:bCs/>
                <w:color w:val="000000"/>
                <w:sz w:val="14"/>
                <w:szCs w:val="14"/>
                <w:lang w:eastAsia="sk-SK"/>
              </w:rPr>
              <w:t>94,3</w:t>
            </w:r>
          </w:p>
        </w:tc>
        <w:tc>
          <w:tcPr>
            <w:tcW w:w="440" w:type="dxa"/>
            <w:tcBorders>
              <w:top w:val="nil"/>
              <w:left w:val="nil"/>
              <w:bottom w:val="single" w:sz="4" w:space="0" w:color="auto"/>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Cs/>
                <w:color w:val="000000"/>
                <w:sz w:val="14"/>
                <w:szCs w:val="14"/>
                <w:lang w:eastAsia="sk-SK"/>
              </w:rPr>
            </w:pPr>
            <w:r w:rsidRPr="00086A6E">
              <w:rPr>
                <w:rFonts w:ascii="Times New Roman" w:hAnsi="Times New Roman" w:cs="Times New Roman"/>
                <w:bCs/>
                <w:color w:val="000000"/>
                <w:sz w:val="14"/>
                <w:szCs w:val="14"/>
                <w:lang w:eastAsia="sk-SK"/>
              </w:rPr>
              <w:t>94,8</w:t>
            </w:r>
          </w:p>
        </w:tc>
        <w:tc>
          <w:tcPr>
            <w:tcW w:w="380" w:type="dxa"/>
            <w:tcBorders>
              <w:top w:val="nil"/>
              <w:left w:val="nil"/>
              <w:bottom w:val="single" w:sz="4" w:space="0" w:color="auto"/>
              <w:right w:val="nil"/>
            </w:tcBorders>
            <w:vAlign w:val="center"/>
          </w:tcPr>
          <w:p w:rsidR="00D2350F" w:rsidRPr="00086A6E" w:rsidRDefault="00D2350F" w:rsidP="00D2350F">
            <w:pPr>
              <w:keepNext/>
              <w:ind w:right="-20"/>
              <w:jc w:val="center"/>
              <w:rPr>
                <w:rFonts w:ascii="Times New Roman" w:hAnsi="Times New Roman" w:cs="Times New Roman"/>
                <w:bCs/>
                <w:color w:val="000000"/>
                <w:sz w:val="14"/>
                <w:szCs w:val="14"/>
                <w:lang w:eastAsia="sk-SK"/>
              </w:rPr>
            </w:pPr>
            <w:r w:rsidRPr="00086A6E">
              <w:rPr>
                <w:rFonts w:ascii="Times New Roman" w:hAnsi="Times New Roman" w:cs="Times New Roman"/>
                <w:bCs/>
                <w:color w:val="000000"/>
                <w:sz w:val="14"/>
                <w:szCs w:val="14"/>
                <w:lang w:eastAsia="sk-SK"/>
              </w:rPr>
              <w:t>95,5</w:t>
            </w:r>
          </w:p>
        </w:tc>
        <w:tc>
          <w:tcPr>
            <w:tcW w:w="520" w:type="dxa"/>
            <w:tcBorders>
              <w:top w:val="nil"/>
              <w:left w:val="nil"/>
              <w:bottom w:val="single" w:sz="4" w:space="0" w:color="auto"/>
              <w:right w:val="nil"/>
            </w:tcBorders>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p>
        </w:tc>
        <w:tc>
          <w:tcPr>
            <w:tcW w:w="520" w:type="dxa"/>
            <w:tcBorders>
              <w:top w:val="nil"/>
              <w:left w:val="nil"/>
              <w:bottom w:val="single" w:sz="4" w:space="0" w:color="auto"/>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p>
        </w:tc>
      </w:tr>
      <w:tr w:rsidR="00D2350F" w:rsidRPr="00086A6E" w:rsidTr="00D2350F">
        <w:trPr>
          <w:trHeight w:val="108"/>
        </w:trPr>
        <w:tc>
          <w:tcPr>
            <w:tcW w:w="859" w:type="dxa"/>
            <w:gridSpan w:val="2"/>
            <w:vMerge w:val="restart"/>
            <w:tcBorders>
              <w:top w:val="single" w:sz="4" w:space="0" w:color="auto"/>
              <w:left w:val="nil"/>
            </w:tcBorders>
            <w:shd w:val="clear" w:color="000000" w:fill="FFFFFF"/>
            <w:vAlign w:val="center"/>
          </w:tcPr>
          <w:p w:rsidR="00D2350F" w:rsidRPr="00086A6E" w:rsidRDefault="00D2350F" w:rsidP="00D2350F">
            <w:pPr>
              <w:keepNext/>
              <w:ind w:right="-20"/>
              <w:rPr>
                <w:rFonts w:ascii="Times New Roman" w:hAnsi="Times New Roman" w:cs="Times New Roman"/>
                <w:b/>
                <w:color w:val="000000"/>
                <w:sz w:val="14"/>
                <w:szCs w:val="14"/>
                <w:lang w:eastAsia="sk-SK"/>
              </w:rPr>
            </w:pPr>
            <w:r w:rsidRPr="00086A6E">
              <w:rPr>
                <w:rFonts w:ascii="Times New Roman" w:hAnsi="Times New Roman" w:cs="Times New Roman"/>
                <w:b/>
                <w:bCs/>
                <w:color w:val="000000"/>
                <w:sz w:val="14"/>
                <w:szCs w:val="14"/>
                <w:lang w:eastAsia="sk-SK"/>
              </w:rPr>
              <w:t>Výsledok</w:t>
            </w:r>
          </w:p>
        </w:tc>
        <w:tc>
          <w:tcPr>
            <w:tcW w:w="3252" w:type="dxa"/>
            <w:tcBorders>
              <w:top w:val="single" w:sz="4" w:space="0" w:color="auto"/>
            </w:tcBorders>
            <w:shd w:val="clear" w:color="000000" w:fill="FFFFFF"/>
            <w:noWrap/>
            <w:tcMar>
              <w:top w:w="15" w:type="dxa"/>
              <w:left w:w="15" w:type="dxa"/>
              <w:bottom w:w="0" w:type="dxa"/>
              <w:right w:w="15" w:type="dxa"/>
            </w:tcMar>
            <w:vAlign w:val="center"/>
          </w:tcPr>
          <w:p w:rsidR="00D2350F" w:rsidRPr="00086A6E" w:rsidRDefault="00D2350F" w:rsidP="00D2350F">
            <w:pPr>
              <w:keepNext/>
              <w:ind w:right="-20"/>
              <w:rPr>
                <w:rFonts w:ascii="Times New Roman" w:hAnsi="Times New Roman" w:cs="Times New Roman"/>
                <w:b/>
                <w:color w:val="000000"/>
                <w:sz w:val="14"/>
                <w:szCs w:val="14"/>
                <w:lang w:eastAsia="sk-SK"/>
              </w:rPr>
            </w:pPr>
            <w:r w:rsidRPr="00086A6E">
              <w:rPr>
                <w:rFonts w:ascii="Times New Roman" w:hAnsi="Times New Roman" w:cs="Times New Roman"/>
                <w:b/>
                <w:bCs/>
                <w:color w:val="000000"/>
                <w:sz w:val="14"/>
                <w:szCs w:val="14"/>
                <w:lang w:eastAsia="sk-SK"/>
              </w:rPr>
              <w:t>PISA</w:t>
            </w:r>
          </w:p>
        </w:tc>
        <w:tc>
          <w:tcPr>
            <w:tcW w:w="572" w:type="dxa"/>
            <w:tcBorders>
              <w:top w:val="single" w:sz="4" w:space="0" w:color="auto"/>
            </w:tcBorders>
            <w:shd w:val="clear" w:color="000000" w:fill="FFFFFF"/>
            <w:noWrap/>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SK</w:t>
            </w:r>
          </w:p>
        </w:tc>
        <w:tc>
          <w:tcPr>
            <w:tcW w:w="429" w:type="dxa"/>
            <w:tcBorders>
              <w:top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488</w:t>
            </w:r>
          </w:p>
        </w:tc>
        <w:tc>
          <w:tcPr>
            <w:tcW w:w="429" w:type="dxa"/>
            <w:tcBorders>
              <w:top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40" w:type="dxa"/>
            <w:tcBorders>
              <w:top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40" w:type="dxa"/>
            <w:tcBorders>
              <w:top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472</w:t>
            </w:r>
          </w:p>
        </w:tc>
        <w:tc>
          <w:tcPr>
            <w:tcW w:w="440" w:type="dxa"/>
            <w:tcBorders>
              <w:top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40" w:type="dxa"/>
            <w:tcBorders>
              <w:top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40" w:type="dxa"/>
            <w:tcBorders>
              <w:top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463</w:t>
            </w:r>
          </w:p>
        </w:tc>
        <w:tc>
          <w:tcPr>
            <w:tcW w:w="380" w:type="dxa"/>
            <w:tcBorders>
              <w:top w:val="single" w:sz="4" w:space="0" w:color="auto"/>
            </w:tcBorders>
            <w:shd w:val="clear" w:color="000000" w:fill="FFFFFF"/>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p>
        </w:tc>
        <w:tc>
          <w:tcPr>
            <w:tcW w:w="520" w:type="dxa"/>
            <w:tcBorders>
              <w:top w:val="single" w:sz="4" w:space="0" w:color="auto"/>
            </w:tcBorders>
            <w:shd w:val="clear" w:color="000000" w:fill="FFFFFF"/>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520" w:type="dxa"/>
            <w:tcBorders>
              <w:top w:val="single" w:sz="4" w:space="0" w:color="auto"/>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505</w:t>
            </w:r>
          </w:p>
        </w:tc>
      </w:tr>
      <w:tr w:rsidR="00D2350F" w:rsidRPr="00086A6E" w:rsidTr="00D2350F">
        <w:trPr>
          <w:trHeight w:val="155"/>
        </w:trPr>
        <w:tc>
          <w:tcPr>
            <w:tcW w:w="859" w:type="dxa"/>
            <w:gridSpan w:val="2"/>
            <w:vMerge/>
            <w:tcBorders>
              <w:left w:val="nil"/>
              <w:bottom w:val="single" w:sz="4" w:space="0" w:color="auto"/>
            </w:tcBorders>
            <w:shd w:val="clear" w:color="000000" w:fill="FFFFFF"/>
          </w:tcPr>
          <w:p w:rsidR="00D2350F" w:rsidRPr="00086A6E" w:rsidRDefault="00D2350F" w:rsidP="00D2350F">
            <w:pPr>
              <w:keepNext/>
              <w:ind w:right="-20"/>
              <w:rPr>
                <w:rFonts w:ascii="Times New Roman" w:hAnsi="Times New Roman" w:cs="Times New Roman"/>
                <w:color w:val="000000"/>
                <w:sz w:val="14"/>
                <w:szCs w:val="14"/>
                <w:lang w:eastAsia="sk-SK"/>
              </w:rPr>
            </w:pPr>
          </w:p>
        </w:tc>
        <w:tc>
          <w:tcPr>
            <w:tcW w:w="3252" w:type="dxa"/>
            <w:tcBorders>
              <w:bottom w:val="single" w:sz="4" w:space="0" w:color="auto"/>
            </w:tcBorders>
            <w:shd w:val="clear" w:color="000000" w:fill="FFFFFF"/>
            <w:noWrap/>
            <w:tcMar>
              <w:top w:w="15" w:type="dxa"/>
              <w:left w:w="15" w:type="dxa"/>
              <w:bottom w:w="0" w:type="dxa"/>
              <w:right w:w="15" w:type="dxa"/>
            </w:tcMar>
            <w:vAlign w:val="center"/>
          </w:tcPr>
          <w:p w:rsidR="00D2350F" w:rsidRPr="00086A6E" w:rsidRDefault="00D2350F" w:rsidP="00D2350F">
            <w:pPr>
              <w:keepNext/>
              <w:ind w:right="-20"/>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(priemer dosiahnutých bodov)</w:t>
            </w:r>
          </w:p>
        </w:tc>
        <w:tc>
          <w:tcPr>
            <w:tcW w:w="572" w:type="dxa"/>
            <w:tcBorders>
              <w:bottom w:val="single" w:sz="4" w:space="0" w:color="auto"/>
            </w:tcBorders>
            <w:shd w:val="clear" w:color="000000" w:fill="FFFFFF"/>
            <w:noWrap/>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OECD</w:t>
            </w:r>
          </w:p>
        </w:tc>
        <w:tc>
          <w:tcPr>
            <w:tcW w:w="429" w:type="dxa"/>
            <w:tcBorders>
              <w:bottom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497</w:t>
            </w:r>
          </w:p>
        </w:tc>
        <w:tc>
          <w:tcPr>
            <w:tcW w:w="429" w:type="dxa"/>
            <w:tcBorders>
              <w:bottom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40" w:type="dxa"/>
            <w:tcBorders>
              <w:bottom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40" w:type="dxa"/>
            <w:tcBorders>
              <w:bottom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497</w:t>
            </w:r>
          </w:p>
        </w:tc>
        <w:tc>
          <w:tcPr>
            <w:tcW w:w="440" w:type="dxa"/>
            <w:tcBorders>
              <w:bottom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40" w:type="dxa"/>
            <w:tcBorders>
              <w:bottom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40" w:type="dxa"/>
            <w:tcBorders>
              <w:bottom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492</w:t>
            </w:r>
          </w:p>
        </w:tc>
        <w:tc>
          <w:tcPr>
            <w:tcW w:w="380" w:type="dxa"/>
            <w:tcBorders>
              <w:bottom w:val="single" w:sz="4" w:space="0" w:color="auto"/>
            </w:tcBorders>
            <w:shd w:val="clear" w:color="000000" w:fill="FFFFFF"/>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p>
        </w:tc>
        <w:tc>
          <w:tcPr>
            <w:tcW w:w="520" w:type="dxa"/>
            <w:tcBorders>
              <w:bottom w:val="single" w:sz="4" w:space="0" w:color="auto"/>
            </w:tcBorders>
            <w:shd w:val="clear" w:color="000000" w:fill="FFFFFF"/>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520" w:type="dxa"/>
            <w:tcBorders>
              <w:bottom w:val="single" w:sz="4" w:space="0" w:color="auto"/>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w:t>
            </w:r>
          </w:p>
        </w:tc>
      </w:tr>
      <w:tr w:rsidR="00D2350F" w:rsidRPr="00086A6E" w:rsidTr="00D2350F">
        <w:trPr>
          <w:trHeight w:val="155"/>
        </w:trPr>
        <w:tc>
          <w:tcPr>
            <w:tcW w:w="859" w:type="dxa"/>
            <w:gridSpan w:val="2"/>
            <w:vMerge w:val="restart"/>
            <w:tcBorders>
              <w:left w:val="nil"/>
            </w:tcBorders>
            <w:shd w:val="clear" w:color="000000" w:fill="FFFFFF"/>
            <w:vAlign w:val="center"/>
          </w:tcPr>
          <w:p w:rsidR="00D2350F" w:rsidRPr="00086A6E" w:rsidRDefault="00D2350F" w:rsidP="00D2350F">
            <w:pPr>
              <w:keepNext/>
              <w:ind w:right="-20"/>
              <w:rPr>
                <w:rFonts w:ascii="Times New Roman" w:hAnsi="Times New Roman" w:cs="Times New Roman"/>
                <w:color w:val="000000"/>
                <w:sz w:val="14"/>
                <w:szCs w:val="14"/>
                <w:lang w:eastAsia="sk-SK"/>
              </w:rPr>
            </w:pPr>
            <w:r w:rsidRPr="00086A6E">
              <w:rPr>
                <w:rFonts w:ascii="Times New Roman" w:hAnsi="Times New Roman" w:cs="Times New Roman"/>
                <w:b/>
                <w:bCs/>
                <w:color w:val="000000"/>
                <w:sz w:val="14"/>
                <w:szCs w:val="14"/>
                <w:lang w:eastAsia="sk-SK"/>
              </w:rPr>
              <w:t>Výsledok</w:t>
            </w:r>
          </w:p>
        </w:tc>
        <w:tc>
          <w:tcPr>
            <w:tcW w:w="3252" w:type="dxa"/>
            <w:tcBorders>
              <w:top w:val="single" w:sz="4" w:space="0" w:color="auto"/>
            </w:tcBorders>
            <w:shd w:val="clear" w:color="000000" w:fill="FFFFFF"/>
            <w:noWrap/>
            <w:tcMar>
              <w:top w:w="15" w:type="dxa"/>
              <w:left w:w="15" w:type="dxa"/>
              <w:bottom w:w="0" w:type="dxa"/>
              <w:right w:w="15" w:type="dxa"/>
            </w:tcMar>
            <w:vAlign w:val="center"/>
          </w:tcPr>
          <w:p w:rsidR="00D2350F" w:rsidRPr="00086A6E" w:rsidRDefault="00D2350F" w:rsidP="00D2350F">
            <w:pPr>
              <w:keepNext/>
              <w:ind w:right="-20"/>
              <w:rPr>
                <w:rFonts w:ascii="Times New Roman" w:hAnsi="Times New Roman" w:cs="Times New Roman"/>
                <w:color w:val="000000"/>
                <w:sz w:val="14"/>
                <w:szCs w:val="14"/>
                <w:lang w:eastAsia="sk-SK"/>
              </w:rPr>
            </w:pPr>
            <w:r w:rsidRPr="00086A6E">
              <w:rPr>
                <w:rFonts w:ascii="Times New Roman" w:hAnsi="Times New Roman" w:cs="Times New Roman"/>
                <w:b/>
                <w:bCs/>
                <w:color w:val="000000"/>
                <w:sz w:val="14"/>
                <w:szCs w:val="14"/>
                <w:lang w:eastAsia="sk-SK"/>
              </w:rPr>
              <w:t>PISA – základné zručnosti</w:t>
            </w:r>
          </w:p>
        </w:tc>
        <w:tc>
          <w:tcPr>
            <w:tcW w:w="572" w:type="dxa"/>
            <w:tcBorders>
              <w:top w:val="single" w:sz="4" w:space="0" w:color="auto"/>
            </w:tcBorders>
            <w:shd w:val="clear" w:color="000000" w:fill="FFFFFF"/>
            <w:noWrap/>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SK</w:t>
            </w:r>
          </w:p>
        </w:tc>
        <w:tc>
          <w:tcPr>
            <w:tcW w:w="429" w:type="dxa"/>
            <w:tcBorders>
              <w:top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21</w:t>
            </w:r>
          </w:p>
        </w:tc>
        <w:tc>
          <w:tcPr>
            <w:tcW w:w="429" w:type="dxa"/>
            <w:tcBorders>
              <w:top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440" w:type="dxa"/>
            <w:tcBorders>
              <w:top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440" w:type="dxa"/>
            <w:tcBorders>
              <w:top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27,5</w:t>
            </w:r>
          </w:p>
        </w:tc>
        <w:tc>
          <w:tcPr>
            <w:tcW w:w="440" w:type="dxa"/>
            <w:tcBorders>
              <w:top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440" w:type="dxa"/>
            <w:tcBorders>
              <w:top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440" w:type="dxa"/>
            <w:tcBorders>
              <w:top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31</w:t>
            </w:r>
          </w:p>
        </w:tc>
        <w:tc>
          <w:tcPr>
            <w:tcW w:w="380" w:type="dxa"/>
            <w:tcBorders>
              <w:top w:val="single" w:sz="4" w:space="0" w:color="auto"/>
            </w:tcBorders>
            <w:shd w:val="clear" w:color="000000" w:fill="FFFFFF"/>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p>
        </w:tc>
        <w:tc>
          <w:tcPr>
            <w:tcW w:w="520" w:type="dxa"/>
            <w:tcBorders>
              <w:top w:val="single" w:sz="4" w:space="0" w:color="auto"/>
            </w:tcBorders>
            <w:shd w:val="clear" w:color="000000" w:fill="FFFFFF"/>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520" w:type="dxa"/>
            <w:tcBorders>
              <w:top w:val="single" w:sz="4" w:space="0" w:color="auto"/>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r>
      <w:tr w:rsidR="00D2350F" w:rsidRPr="00086A6E" w:rsidTr="00D2350F">
        <w:trPr>
          <w:trHeight w:val="155"/>
        </w:trPr>
        <w:tc>
          <w:tcPr>
            <w:tcW w:w="859" w:type="dxa"/>
            <w:gridSpan w:val="2"/>
            <w:vMerge/>
            <w:tcBorders>
              <w:left w:val="nil"/>
              <w:bottom w:val="single" w:sz="4" w:space="0" w:color="auto"/>
            </w:tcBorders>
            <w:shd w:val="clear" w:color="000000" w:fill="FFFFFF"/>
          </w:tcPr>
          <w:p w:rsidR="00D2350F" w:rsidRPr="00086A6E" w:rsidRDefault="00D2350F" w:rsidP="00D2350F">
            <w:pPr>
              <w:keepNext/>
              <w:ind w:right="-20"/>
              <w:rPr>
                <w:rFonts w:ascii="Times New Roman" w:hAnsi="Times New Roman" w:cs="Times New Roman"/>
                <w:color w:val="000000"/>
                <w:sz w:val="14"/>
                <w:szCs w:val="14"/>
                <w:lang w:eastAsia="sk-SK"/>
              </w:rPr>
            </w:pPr>
          </w:p>
        </w:tc>
        <w:tc>
          <w:tcPr>
            <w:tcW w:w="3252" w:type="dxa"/>
            <w:tcBorders>
              <w:bottom w:val="single" w:sz="4" w:space="0" w:color="auto"/>
            </w:tcBorders>
            <w:shd w:val="clear" w:color="000000" w:fill="FFFFFF"/>
            <w:noWrap/>
            <w:tcMar>
              <w:top w:w="15" w:type="dxa"/>
              <w:left w:w="15" w:type="dxa"/>
              <w:bottom w:w="0" w:type="dxa"/>
              <w:right w:w="15" w:type="dxa"/>
            </w:tcMar>
            <w:vAlign w:val="center"/>
          </w:tcPr>
          <w:p w:rsidR="00D2350F" w:rsidRPr="00086A6E" w:rsidRDefault="00D2350F" w:rsidP="00D2350F">
            <w:pPr>
              <w:keepNext/>
              <w:ind w:right="-20"/>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val="en-US" w:eastAsia="sk-SK"/>
              </w:rPr>
              <w:t xml:space="preserve">% </w:t>
            </w:r>
            <w:r w:rsidRPr="00086A6E">
              <w:rPr>
                <w:rFonts w:ascii="Times New Roman" w:hAnsi="Times New Roman" w:cs="Times New Roman"/>
                <w:color w:val="000000"/>
                <w:sz w:val="14"/>
                <w:szCs w:val="14"/>
                <w:lang w:eastAsia="sk-SK"/>
              </w:rPr>
              <w:t>žiakov nedosahujúcich základné zručnosti</w:t>
            </w:r>
          </w:p>
        </w:tc>
        <w:tc>
          <w:tcPr>
            <w:tcW w:w="572" w:type="dxa"/>
            <w:tcBorders>
              <w:bottom w:val="single" w:sz="4" w:space="0" w:color="auto"/>
            </w:tcBorders>
            <w:shd w:val="clear" w:color="000000" w:fill="FFFFFF"/>
            <w:noWrap/>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OECD</w:t>
            </w:r>
          </w:p>
        </w:tc>
        <w:tc>
          <w:tcPr>
            <w:tcW w:w="429" w:type="dxa"/>
            <w:tcBorders>
              <w:bottom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20</w:t>
            </w:r>
          </w:p>
        </w:tc>
        <w:tc>
          <w:tcPr>
            <w:tcW w:w="429" w:type="dxa"/>
            <w:tcBorders>
              <w:bottom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440" w:type="dxa"/>
            <w:tcBorders>
              <w:bottom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440" w:type="dxa"/>
            <w:tcBorders>
              <w:bottom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20</w:t>
            </w:r>
          </w:p>
        </w:tc>
        <w:tc>
          <w:tcPr>
            <w:tcW w:w="440" w:type="dxa"/>
            <w:tcBorders>
              <w:bottom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440" w:type="dxa"/>
            <w:tcBorders>
              <w:bottom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440" w:type="dxa"/>
            <w:tcBorders>
              <w:bottom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21</w:t>
            </w:r>
          </w:p>
        </w:tc>
        <w:tc>
          <w:tcPr>
            <w:tcW w:w="380" w:type="dxa"/>
            <w:tcBorders>
              <w:bottom w:val="single" w:sz="4" w:space="0" w:color="auto"/>
            </w:tcBorders>
            <w:shd w:val="clear" w:color="000000" w:fill="FFFFFF"/>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p>
        </w:tc>
        <w:tc>
          <w:tcPr>
            <w:tcW w:w="520" w:type="dxa"/>
            <w:tcBorders>
              <w:bottom w:val="single" w:sz="4" w:space="0" w:color="auto"/>
            </w:tcBorders>
            <w:shd w:val="clear" w:color="000000" w:fill="FFFFFF"/>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520" w:type="dxa"/>
            <w:tcBorders>
              <w:bottom w:val="single" w:sz="4" w:space="0" w:color="auto"/>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r>
      <w:tr w:rsidR="00D2350F" w:rsidRPr="00086A6E" w:rsidTr="00D2350F">
        <w:trPr>
          <w:trHeight w:val="155"/>
        </w:trPr>
        <w:tc>
          <w:tcPr>
            <w:tcW w:w="859" w:type="dxa"/>
            <w:gridSpan w:val="2"/>
            <w:vMerge w:val="restart"/>
            <w:tcBorders>
              <w:left w:val="nil"/>
            </w:tcBorders>
            <w:shd w:val="clear" w:color="000000" w:fill="FFFFFF"/>
            <w:vAlign w:val="center"/>
          </w:tcPr>
          <w:p w:rsidR="00D2350F" w:rsidRPr="00086A6E" w:rsidRDefault="00D2350F" w:rsidP="00D2350F">
            <w:pPr>
              <w:keepNext/>
              <w:ind w:right="-20"/>
              <w:rPr>
                <w:rFonts w:ascii="Times New Roman" w:hAnsi="Times New Roman" w:cs="Times New Roman"/>
                <w:color w:val="000000"/>
                <w:sz w:val="14"/>
                <w:szCs w:val="14"/>
                <w:lang w:eastAsia="sk-SK"/>
              </w:rPr>
            </w:pPr>
            <w:r w:rsidRPr="00086A6E">
              <w:rPr>
                <w:rFonts w:ascii="Times New Roman" w:hAnsi="Times New Roman" w:cs="Times New Roman"/>
                <w:b/>
                <w:bCs/>
                <w:color w:val="000000"/>
                <w:sz w:val="14"/>
                <w:szCs w:val="14"/>
                <w:lang w:eastAsia="sk-SK"/>
              </w:rPr>
              <w:t>Výsledok</w:t>
            </w:r>
          </w:p>
        </w:tc>
        <w:tc>
          <w:tcPr>
            <w:tcW w:w="3252" w:type="dxa"/>
            <w:tcBorders>
              <w:top w:val="single" w:sz="4" w:space="0" w:color="auto"/>
            </w:tcBorders>
            <w:shd w:val="clear" w:color="000000" w:fill="FFFFFF"/>
            <w:noWrap/>
            <w:tcMar>
              <w:top w:w="15" w:type="dxa"/>
              <w:left w:w="15" w:type="dxa"/>
              <w:bottom w:w="0" w:type="dxa"/>
              <w:right w:w="15" w:type="dxa"/>
            </w:tcMar>
            <w:vAlign w:val="center"/>
          </w:tcPr>
          <w:p w:rsidR="00D2350F" w:rsidRPr="00086A6E" w:rsidRDefault="00D2350F" w:rsidP="00D2350F">
            <w:pPr>
              <w:keepNext/>
              <w:ind w:right="-20"/>
              <w:rPr>
                <w:rFonts w:ascii="Times New Roman" w:hAnsi="Times New Roman" w:cs="Times New Roman"/>
                <w:color w:val="000000"/>
                <w:sz w:val="14"/>
                <w:szCs w:val="14"/>
                <w:lang w:eastAsia="sk-SK"/>
              </w:rPr>
            </w:pPr>
            <w:r w:rsidRPr="00086A6E">
              <w:rPr>
                <w:rFonts w:ascii="Times New Roman" w:hAnsi="Times New Roman" w:cs="Times New Roman"/>
                <w:b/>
                <w:bCs/>
                <w:color w:val="000000"/>
                <w:sz w:val="14"/>
                <w:szCs w:val="14"/>
                <w:lang w:eastAsia="sk-SK"/>
              </w:rPr>
              <w:t>PISA – vplyv sociálneho prostredia</w:t>
            </w:r>
          </w:p>
        </w:tc>
        <w:tc>
          <w:tcPr>
            <w:tcW w:w="572" w:type="dxa"/>
            <w:tcBorders>
              <w:top w:val="single" w:sz="4" w:space="0" w:color="auto"/>
            </w:tcBorders>
            <w:shd w:val="clear" w:color="000000" w:fill="FFFFFF"/>
            <w:noWrap/>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SK</w:t>
            </w:r>
          </w:p>
        </w:tc>
        <w:tc>
          <w:tcPr>
            <w:tcW w:w="429" w:type="dxa"/>
            <w:tcBorders>
              <w:top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14,6</w:t>
            </w:r>
          </w:p>
        </w:tc>
        <w:tc>
          <w:tcPr>
            <w:tcW w:w="429" w:type="dxa"/>
            <w:tcBorders>
              <w:top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440" w:type="dxa"/>
            <w:tcBorders>
              <w:top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440" w:type="dxa"/>
            <w:tcBorders>
              <w:top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24,6</w:t>
            </w:r>
          </w:p>
        </w:tc>
        <w:tc>
          <w:tcPr>
            <w:tcW w:w="440" w:type="dxa"/>
            <w:tcBorders>
              <w:top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440" w:type="dxa"/>
            <w:tcBorders>
              <w:top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440" w:type="dxa"/>
            <w:tcBorders>
              <w:top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16,2</w:t>
            </w:r>
          </w:p>
        </w:tc>
        <w:tc>
          <w:tcPr>
            <w:tcW w:w="380" w:type="dxa"/>
            <w:tcBorders>
              <w:top w:val="single" w:sz="4" w:space="0" w:color="auto"/>
            </w:tcBorders>
            <w:shd w:val="clear" w:color="000000" w:fill="FFFFFF"/>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p>
        </w:tc>
        <w:tc>
          <w:tcPr>
            <w:tcW w:w="520" w:type="dxa"/>
            <w:tcBorders>
              <w:top w:val="single" w:sz="4" w:space="0" w:color="auto"/>
            </w:tcBorders>
            <w:shd w:val="clear" w:color="000000" w:fill="FFFFFF"/>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520" w:type="dxa"/>
            <w:tcBorders>
              <w:top w:val="single" w:sz="4" w:space="0" w:color="auto"/>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r>
      <w:tr w:rsidR="00D2350F" w:rsidRPr="00086A6E" w:rsidTr="00D2350F">
        <w:trPr>
          <w:trHeight w:val="155"/>
        </w:trPr>
        <w:tc>
          <w:tcPr>
            <w:tcW w:w="859" w:type="dxa"/>
            <w:gridSpan w:val="2"/>
            <w:vMerge/>
            <w:tcBorders>
              <w:left w:val="nil"/>
              <w:bottom w:val="single" w:sz="4" w:space="0" w:color="auto"/>
            </w:tcBorders>
            <w:shd w:val="clear" w:color="000000" w:fill="FFFFFF"/>
          </w:tcPr>
          <w:p w:rsidR="00D2350F" w:rsidRPr="00086A6E" w:rsidRDefault="00D2350F" w:rsidP="00D2350F">
            <w:pPr>
              <w:keepNext/>
              <w:ind w:right="-20"/>
              <w:rPr>
                <w:rFonts w:ascii="Times New Roman" w:hAnsi="Times New Roman" w:cs="Times New Roman"/>
                <w:color w:val="000000"/>
                <w:sz w:val="14"/>
                <w:szCs w:val="14"/>
                <w:lang w:eastAsia="sk-SK"/>
              </w:rPr>
            </w:pPr>
          </w:p>
        </w:tc>
        <w:tc>
          <w:tcPr>
            <w:tcW w:w="3252" w:type="dxa"/>
            <w:tcBorders>
              <w:bottom w:val="single" w:sz="4" w:space="0" w:color="auto"/>
            </w:tcBorders>
            <w:shd w:val="clear" w:color="000000" w:fill="FFFFFF"/>
            <w:noWrap/>
            <w:tcMar>
              <w:top w:w="15" w:type="dxa"/>
              <w:left w:w="15" w:type="dxa"/>
              <w:bottom w:w="0" w:type="dxa"/>
              <w:right w:w="15" w:type="dxa"/>
            </w:tcMar>
            <w:vAlign w:val="center"/>
          </w:tcPr>
          <w:p w:rsidR="00D2350F" w:rsidRPr="00086A6E" w:rsidRDefault="00D2350F" w:rsidP="00D2350F">
            <w:pPr>
              <w:keepNext/>
              <w:ind w:right="-20"/>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výsledku vysvetlené sociálnym prostredím</w:t>
            </w:r>
          </w:p>
        </w:tc>
        <w:tc>
          <w:tcPr>
            <w:tcW w:w="572" w:type="dxa"/>
            <w:tcBorders>
              <w:bottom w:val="single" w:sz="4" w:space="0" w:color="auto"/>
            </w:tcBorders>
            <w:shd w:val="clear" w:color="000000" w:fill="FFFFFF"/>
            <w:noWrap/>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OECD</w:t>
            </w:r>
          </w:p>
        </w:tc>
        <w:tc>
          <w:tcPr>
            <w:tcW w:w="429" w:type="dxa"/>
            <w:tcBorders>
              <w:bottom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14,0</w:t>
            </w:r>
          </w:p>
        </w:tc>
        <w:tc>
          <w:tcPr>
            <w:tcW w:w="429" w:type="dxa"/>
            <w:tcBorders>
              <w:bottom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440" w:type="dxa"/>
            <w:tcBorders>
              <w:bottom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440" w:type="dxa"/>
            <w:tcBorders>
              <w:bottom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14,8</w:t>
            </w:r>
          </w:p>
        </w:tc>
        <w:tc>
          <w:tcPr>
            <w:tcW w:w="440" w:type="dxa"/>
            <w:tcBorders>
              <w:bottom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440" w:type="dxa"/>
            <w:tcBorders>
              <w:bottom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440" w:type="dxa"/>
            <w:tcBorders>
              <w:bottom w:val="single" w:sz="4" w:space="0" w:color="auto"/>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12,6</w:t>
            </w:r>
          </w:p>
        </w:tc>
        <w:tc>
          <w:tcPr>
            <w:tcW w:w="380" w:type="dxa"/>
            <w:tcBorders>
              <w:bottom w:val="single" w:sz="4" w:space="0" w:color="auto"/>
            </w:tcBorders>
            <w:shd w:val="clear" w:color="000000" w:fill="FFFFFF"/>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p>
        </w:tc>
        <w:tc>
          <w:tcPr>
            <w:tcW w:w="520" w:type="dxa"/>
            <w:tcBorders>
              <w:bottom w:val="single" w:sz="4" w:space="0" w:color="auto"/>
            </w:tcBorders>
            <w:shd w:val="clear" w:color="000000" w:fill="FFFFFF"/>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520" w:type="dxa"/>
            <w:tcBorders>
              <w:bottom w:val="single" w:sz="4" w:space="0" w:color="auto"/>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r>
      <w:tr w:rsidR="00D2350F" w:rsidRPr="00086A6E" w:rsidTr="00D2350F">
        <w:trPr>
          <w:trHeight w:val="319"/>
        </w:trPr>
        <w:tc>
          <w:tcPr>
            <w:tcW w:w="859" w:type="dxa"/>
            <w:gridSpan w:val="2"/>
            <w:vMerge w:val="restart"/>
            <w:tcBorders>
              <w:top w:val="single" w:sz="4" w:space="0" w:color="auto"/>
              <w:left w:val="nil"/>
              <w:right w:val="nil"/>
            </w:tcBorders>
            <w:shd w:val="clear" w:color="auto" w:fill="auto"/>
            <w:vAlign w:val="center"/>
          </w:tcPr>
          <w:p w:rsidR="00D2350F" w:rsidRPr="00086A6E" w:rsidRDefault="00D2350F" w:rsidP="00D2350F">
            <w:pPr>
              <w:keepNext/>
              <w:ind w:right="-20"/>
              <w:rPr>
                <w:rFonts w:ascii="Times New Roman" w:hAnsi="Times New Roman" w:cs="Times New Roman"/>
                <w:b/>
                <w:bCs/>
                <w:color w:val="000000"/>
                <w:sz w:val="14"/>
                <w:szCs w:val="14"/>
                <w:lang w:eastAsia="sk-SK"/>
              </w:rPr>
            </w:pPr>
            <w:r w:rsidRPr="00086A6E">
              <w:rPr>
                <w:rFonts w:ascii="Times New Roman" w:hAnsi="Times New Roman" w:cs="Times New Roman"/>
                <w:b/>
                <w:color w:val="000000"/>
                <w:sz w:val="14"/>
                <w:szCs w:val="14"/>
                <w:lang w:eastAsia="sk-SK"/>
              </w:rPr>
              <w:t>Výstup</w:t>
            </w:r>
          </w:p>
        </w:tc>
        <w:tc>
          <w:tcPr>
            <w:tcW w:w="3252" w:type="dxa"/>
            <w:tcBorders>
              <w:top w:val="single" w:sz="4" w:space="0" w:color="auto"/>
              <w:left w:val="nil"/>
              <w:right w:val="nil"/>
            </w:tcBorders>
            <w:shd w:val="clear" w:color="auto" w:fill="auto"/>
            <w:noWrap/>
            <w:tcMar>
              <w:top w:w="15" w:type="dxa"/>
              <w:left w:w="15" w:type="dxa"/>
              <w:bottom w:w="0" w:type="dxa"/>
              <w:right w:w="15" w:type="dxa"/>
            </w:tcMar>
            <w:vAlign w:val="center"/>
          </w:tcPr>
          <w:p w:rsidR="00D2350F" w:rsidRPr="00086A6E" w:rsidRDefault="00D2350F" w:rsidP="00D2350F">
            <w:pPr>
              <w:keepNext/>
              <w:ind w:right="-20"/>
              <w:rPr>
                <w:rFonts w:ascii="Times New Roman" w:hAnsi="Times New Roman" w:cs="Times New Roman"/>
                <w:b/>
                <w:bCs/>
                <w:color w:val="000000"/>
                <w:sz w:val="14"/>
                <w:szCs w:val="14"/>
                <w:lang w:eastAsia="sk-SK"/>
              </w:rPr>
            </w:pPr>
            <w:r w:rsidRPr="00086A6E">
              <w:rPr>
                <w:rFonts w:ascii="Times New Roman" w:hAnsi="Times New Roman" w:cs="Times New Roman"/>
                <w:b/>
                <w:color w:val="000000"/>
                <w:sz w:val="14"/>
                <w:szCs w:val="14"/>
                <w:lang w:eastAsia="sk-SK"/>
              </w:rPr>
              <w:t>Stredoškolsky vzdelaná populácia</w:t>
            </w:r>
          </w:p>
        </w:tc>
        <w:tc>
          <w:tcPr>
            <w:tcW w:w="572" w:type="dxa"/>
            <w:tcBorders>
              <w:top w:val="single" w:sz="4" w:space="0" w:color="auto"/>
              <w:left w:val="nil"/>
              <w:right w:val="nil"/>
            </w:tcBorders>
            <w:shd w:val="clear" w:color="auto" w:fill="auto"/>
            <w:noWrap/>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SK</w:t>
            </w:r>
          </w:p>
        </w:tc>
        <w:tc>
          <w:tcPr>
            <w:tcW w:w="429" w:type="dxa"/>
            <w:tcBorders>
              <w:top w:val="single" w:sz="4" w:space="0" w:color="auto"/>
              <w:left w:val="nil"/>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429" w:type="dxa"/>
            <w:tcBorders>
              <w:top w:val="single" w:sz="4" w:space="0" w:color="auto"/>
              <w:left w:val="nil"/>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93</w:t>
            </w:r>
          </w:p>
        </w:tc>
        <w:tc>
          <w:tcPr>
            <w:tcW w:w="440" w:type="dxa"/>
            <w:tcBorders>
              <w:top w:val="single" w:sz="4" w:space="0" w:color="auto"/>
              <w:left w:val="nil"/>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93</w:t>
            </w:r>
          </w:p>
        </w:tc>
        <w:tc>
          <w:tcPr>
            <w:tcW w:w="440" w:type="dxa"/>
            <w:tcBorders>
              <w:top w:val="single" w:sz="4" w:space="0" w:color="auto"/>
              <w:left w:val="nil"/>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93</w:t>
            </w:r>
          </w:p>
        </w:tc>
        <w:tc>
          <w:tcPr>
            <w:tcW w:w="440" w:type="dxa"/>
            <w:tcBorders>
              <w:top w:val="single" w:sz="4" w:space="0" w:color="auto"/>
              <w:left w:val="nil"/>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91</w:t>
            </w:r>
          </w:p>
        </w:tc>
        <w:tc>
          <w:tcPr>
            <w:tcW w:w="440" w:type="dxa"/>
            <w:tcBorders>
              <w:top w:val="single" w:sz="4" w:space="0" w:color="auto"/>
              <w:left w:val="nil"/>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color w:val="000000"/>
                <w:sz w:val="14"/>
                <w:szCs w:val="14"/>
                <w:lang w:eastAsia="sk-SK"/>
              </w:rPr>
              <w:t>91</w:t>
            </w:r>
          </w:p>
        </w:tc>
        <w:tc>
          <w:tcPr>
            <w:tcW w:w="440" w:type="dxa"/>
            <w:tcBorders>
              <w:top w:val="single" w:sz="4" w:space="0" w:color="auto"/>
              <w:left w:val="nil"/>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color w:val="000000"/>
                <w:sz w:val="14"/>
                <w:szCs w:val="14"/>
                <w:lang w:eastAsia="sk-SK"/>
              </w:rPr>
              <w:t>91</w:t>
            </w:r>
          </w:p>
        </w:tc>
        <w:tc>
          <w:tcPr>
            <w:tcW w:w="380" w:type="dxa"/>
            <w:tcBorders>
              <w:top w:val="single" w:sz="4" w:space="0" w:color="auto"/>
              <w:left w:val="nil"/>
              <w:right w:val="nil"/>
            </w:tcBorders>
            <w:vAlign w:val="center"/>
          </w:tcPr>
          <w:p w:rsidR="00D2350F" w:rsidRPr="00086A6E" w:rsidRDefault="00D2350F" w:rsidP="00D2350F">
            <w:pPr>
              <w:keepNext/>
              <w:ind w:right="-20"/>
              <w:jc w:val="center"/>
              <w:rPr>
                <w:rFonts w:ascii="Times New Roman" w:hAnsi="Times New Roman" w:cs="Times New Roman"/>
                <w:bCs/>
                <w:color w:val="000000"/>
                <w:sz w:val="14"/>
                <w:szCs w:val="14"/>
                <w:lang w:eastAsia="sk-SK"/>
              </w:rPr>
            </w:pPr>
            <w:r w:rsidRPr="00086A6E">
              <w:rPr>
                <w:rFonts w:ascii="Times New Roman" w:hAnsi="Times New Roman" w:cs="Times New Roman"/>
                <w:bCs/>
                <w:color w:val="000000"/>
                <w:sz w:val="14"/>
                <w:szCs w:val="14"/>
                <w:lang w:eastAsia="sk-SK"/>
              </w:rPr>
              <w:t>90</w:t>
            </w:r>
          </w:p>
        </w:tc>
        <w:tc>
          <w:tcPr>
            <w:tcW w:w="520" w:type="dxa"/>
            <w:tcBorders>
              <w:top w:val="single" w:sz="4" w:space="0" w:color="auto"/>
              <w:left w:val="nil"/>
              <w:right w:val="nil"/>
            </w:tcBorders>
            <w:vAlign w:val="center"/>
          </w:tcPr>
          <w:p w:rsidR="00D2350F" w:rsidRPr="00086A6E" w:rsidRDefault="00D2350F" w:rsidP="00D2350F">
            <w:pPr>
              <w:keepNext/>
              <w:ind w:right="-20"/>
              <w:jc w:val="center"/>
              <w:rPr>
                <w:rFonts w:ascii="Times New Roman" w:hAnsi="Times New Roman" w:cs="Times New Roman"/>
                <w:bCs/>
                <w:color w:val="000000"/>
                <w:sz w:val="14"/>
                <w:szCs w:val="14"/>
                <w:lang w:eastAsia="sk-SK"/>
              </w:rPr>
            </w:pPr>
            <w:r w:rsidRPr="00086A6E">
              <w:rPr>
                <w:rFonts w:ascii="Times New Roman" w:hAnsi="Times New Roman" w:cs="Times New Roman"/>
                <w:bCs/>
                <w:color w:val="000000"/>
                <w:sz w:val="14"/>
                <w:szCs w:val="14"/>
                <w:lang w:eastAsia="sk-SK"/>
              </w:rPr>
              <w:t>89</w:t>
            </w:r>
          </w:p>
        </w:tc>
        <w:tc>
          <w:tcPr>
            <w:tcW w:w="520" w:type="dxa"/>
            <w:tcBorders>
              <w:top w:val="single" w:sz="4" w:space="0" w:color="auto"/>
              <w:left w:val="nil"/>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p>
        </w:tc>
      </w:tr>
      <w:tr w:rsidR="00D2350F" w:rsidRPr="00086A6E" w:rsidTr="00D2350F">
        <w:trPr>
          <w:trHeight w:val="196"/>
        </w:trPr>
        <w:tc>
          <w:tcPr>
            <w:tcW w:w="859" w:type="dxa"/>
            <w:gridSpan w:val="2"/>
            <w:vMerge/>
            <w:tcBorders>
              <w:left w:val="nil"/>
              <w:bottom w:val="single" w:sz="4" w:space="0" w:color="auto"/>
              <w:right w:val="nil"/>
            </w:tcBorders>
            <w:shd w:val="clear" w:color="auto" w:fill="auto"/>
            <w:vAlign w:val="center"/>
          </w:tcPr>
          <w:p w:rsidR="00D2350F" w:rsidRPr="00086A6E" w:rsidRDefault="00D2350F" w:rsidP="00D2350F">
            <w:pPr>
              <w:keepNext/>
              <w:ind w:right="-20"/>
              <w:rPr>
                <w:rFonts w:ascii="Times New Roman" w:hAnsi="Times New Roman" w:cs="Times New Roman"/>
                <w:b/>
                <w:bCs/>
                <w:color w:val="000000"/>
                <w:sz w:val="14"/>
                <w:szCs w:val="14"/>
                <w:lang w:eastAsia="sk-SK"/>
              </w:rPr>
            </w:pPr>
          </w:p>
        </w:tc>
        <w:tc>
          <w:tcPr>
            <w:tcW w:w="3252" w:type="dxa"/>
            <w:tcBorders>
              <w:top w:val="nil"/>
              <w:left w:val="nil"/>
              <w:bottom w:val="single" w:sz="4" w:space="0" w:color="auto"/>
              <w:right w:val="nil"/>
            </w:tcBorders>
            <w:shd w:val="clear" w:color="auto" w:fill="auto"/>
            <w:noWrap/>
            <w:tcMar>
              <w:top w:w="15" w:type="dxa"/>
              <w:left w:w="15" w:type="dxa"/>
              <w:bottom w:w="0" w:type="dxa"/>
              <w:right w:w="15" w:type="dxa"/>
            </w:tcMar>
            <w:vAlign w:val="center"/>
          </w:tcPr>
          <w:p w:rsidR="00D2350F" w:rsidRPr="00086A6E" w:rsidRDefault="00D2350F" w:rsidP="00D2350F">
            <w:pPr>
              <w:keepNext/>
              <w:ind w:right="-20"/>
              <w:rPr>
                <w:rFonts w:ascii="Times New Roman" w:hAnsi="Times New Roman" w:cs="Times New Roman"/>
                <w:b/>
                <w:bCs/>
                <w:color w:val="000000"/>
                <w:sz w:val="14"/>
                <w:szCs w:val="14"/>
                <w:lang w:eastAsia="sk-SK"/>
              </w:rPr>
            </w:pPr>
            <w:r w:rsidRPr="00086A6E">
              <w:rPr>
                <w:rFonts w:ascii="Times New Roman" w:hAnsi="Times New Roman" w:cs="Times New Roman"/>
                <w:color w:val="000000"/>
                <w:sz w:val="14"/>
                <w:szCs w:val="14"/>
                <w:lang w:eastAsia="sk-SK"/>
              </w:rPr>
              <w:t>(% vo vekovej skupine 20 – 24 rokov)</w:t>
            </w:r>
          </w:p>
        </w:tc>
        <w:tc>
          <w:tcPr>
            <w:tcW w:w="572" w:type="dxa"/>
            <w:tcBorders>
              <w:top w:val="nil"/>
              <w:left w:val="nil"/>
              <w:bottom w:val="single" w:sz="4" w:space="0" w:color="auto"/>
              <w:right w:val="nil"/>
            </w:tcBorders>
            <w:shd w:val="clear" w:color="auto" w:fill="auto"/>
            <w:noWrap/>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EÚ</w:t>
            </w:r>
          </w:p>
        </w:tc>
        <w:tc>
          <w:tcPr>
            <w:tcW w:w="429" w:type="dxa"/>
            <w:tcBorders>
              <w:top w:val="nil"/>
              <w:left w:val="nil"/>
              <w:bottom w:val="single" w:sz="4" w:space="0" w:color="auto"/>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429" w:type="dxa"/>
            <w:tcBorders>
              <w:top w:val="nil"/>
              <w:left w:val="nil"/>
              <w:bottom w:val="single" w:sz="4" w:space="0" w:color="auto"/>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79</w:t>
            </w:r>
          </w:p>
        </w:tc>
        <w:tc>
          <w:tcPr>
            <w:tcW w:w="440" w:type="dxa"/>
            <w:tcBorders>
              <w:top w:val="nil"/>
              <w:left w:val="nil"/>
              <w:bottom w:val="single" w:sz="4" w:space="0" w:color="auto"/>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80</w:t>
            </w:r>
          </w:p>
        </w:tc>
        <w:tc>
          <w:tcPr>
            <w:tcW w:w="440" w:type="dxa"/>
            <w:tcBorders>
              <w:top w:val="nil"/>
              <w:left w:val="nil"/>
              <w:bottom w:val="single" w:sz="4" w:space="0" w:color="auto"/>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80</w:t>
            </w:r>
          </w:p>
        </w:tc>
        <w:tc>
          <w:tcPr>
            <w:tcW w:w="440" w:type="dxa"/>
            <w:tcBorders>
              <w:top w:val="nil"/>
              <w:left w:val="nil"/>
              <w:bottom w:val="single" w:sz="4" w:space="0" w:color="auto"/>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81</w:t>
            </w:r>
          </w:p>
        </w:tc>
        <w:tc>
          <w:tcPr>
            <w:tcW w:w="440" w:type="dxa"/>
            <w:tcBorders>
              <w:top w:val="nil"/>
              <w:left w:val="nil"/>
              <w:bottom w:val="single" w:sz="4" w:space="0" w:color="auto"/>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color w:val="000000"/>
                <w:sz w:val="14"/>
                <w:szCs w:val="14"/>
                <w:lang w:eastAsia="sk-SK"/>
              </w:rPr>
              <w:t>82</w:t>
            </w:r>
          </w:p>
        </w:tc>
        <w:tc>
          <w:tcPr>
            <w:tcW w:w="440" w:type="dxa"/>
            <w:tcBorders>
              <w:top w:val="nil"/>
              <w:left w:val="nil"/>
              <w:bottom w:val="single" w:sz="4" w:space="0" w:color="auto"/>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color w:val="000000"/>
                <w:sz w:val="14"/>
                <w:szCs w:val="14"/>
                <w:lang w:eastAsia="sk-SK"/>
              </w:rPr>
              <w:t>83</w:t>
            </w:r>
          </w:p>
        </w:tc>
        <w:tc>
          <w:tcPr>
            <w:tcW w:w="380" w:type="dxa"/>
            <w:tcBorders>
              <w:top w:val="nil"/>
              <w:left w:val="nil"/>
              <w:bottom w:val="single" w:sz="4" w:space="0" w:color="auto"/>
              <w:right w:val="nil"/>
            </w:tcBorders>
            <w:vAlign w:val="center"/>
          </w:tcPr>
          <w:p w:rsidR="00D2350F" w:rsidRPr="00086A6E" w:rsidRDefault="00D2350F" w:rsidP="00D2350F">
            <w:pPr>
              <w:keepNext/>
              <w:ind w:right="-20"/>
              <w:jc w:val="center"/>
              <w:rPr>
                <w:rFonts w:ascii="Times New Roman" w:hAnsi="Times New Roman" w:cs="Times New Roman"/>
                <w:bCs/>
                <w:color w:val="000000"/>
                <w:sz w:val="14"/>
                <w:szCs w:val="14"/>
                <w:lang w:eastAsia="sk-SK"/>
              </w:rPr>
            </w:pPr>
            <w:r w:rsidRPr="00086A6E">
              <w:rPr>
                <w:rFonts w:ascii="Times New Roman" w:hAnsi="Times New Roman" w:cs="Times New Roman"/>
                <w:bCs/>
                <w:color w:val="000000"/>
                <w:sz w:val="14"/>
                <w:szCs w:val="14"/>
                <w:lang w:eastAsia="sk-SK"/>
              </w:rPr>
              <w:t>83</w:t>
            </w:r>
          </w:p>
        </w:tc>
        <w:tc>
          <w:tcPr>
            <w:tcW w:w="520" w:type="dxa"/>
            <w:tcBorders>
              <w:top w:val="nil"/>
              <w:left w:val="nil"/>
              <w:bottom w:val="single" w:sz="4" w:space="0" w:color="auto"/>
              <w:right w:val="nil"/>
            </w:tcBorders>
            <w:vAlign w:val="center"/>
          </w:tcPr>
          <w:p w:rsidR="00D2350F" w:rsidRPr="00086A6E" w:rsidRDefault="00D2350F" w:rsidP="00D2350F">
            <w:pPr>
              <w:keepNext/>
              <w:ind w:right="-20"/>
              <w:jc w:val="center"/>
              <w:rPr>
                <w:rFonts w:ascii="Times New Roman" w:hAnsi="Times New Roman" w:cs="Times New Roman"/>
                <w:bCs/>
                <w:color w:val="000000"/>
                <w:sz w:val="14"/>
                <w:szCs w:val="14"/>
                <w:lang w:eastAsia="sk-SK"/>
              </w:rPr>
            </w:pPr>
            <w:r w:rsidRPr="00086A6E">
              <w:rPr>
                <w:rFonts w:ascii="Times New Roman" w:hAnsi="Times New Roman" w:cs="Times New Roman"/>
                <w:bCs/>
                <w:color w:val="000000"/>
                <w:sz w:val="14"/>
                <w:szCs w:val="14"/>
                <w:lang w:eastAsia="sk-SK"/>
              </w:rPr>
              <w:t>83</w:t>
            </w:r>
          </w:p>
        </w:tc>
        <w:tc>
          <w:tcPr>
            <w:tcW w:w="520" w:type="dxa"/>
            <w:tcBorders>
              <w:top w:val="nil"/>
              <w:left w:val="nil"/>
              <w:bottom w:val="single" w:sz="4" w:space="0" w:color="auto"/>
              <w:right w:val="nil"/>
            </w:tcBorders>
            <w:shd w:val="clear" w:color="auto" w:fill="auto"/>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p>
        </w:tc>
      </w:tr>
      <w:tr w:rsidR="00D2350F" w:rsidRPr="00086A6E" w:rsidTr="00D2350F">
        <w:trPr>
          <w:trHeight w:val="201"/>
        </w:trPr>
        <w:tc>
          <w:tcPr>
            <w:tcW w:w="859" w:type="dxa"/>
            <w:gridSpan w:val="2"/>
            <w:vMerge w:val="restart"/>
            <w:tcBorders>
              <w:top w:val="nil"/>
              <w:left w:val="nil"/>
              <w:right w:val="nil"/>
            </w:tcBorders>
            <w:shd w:val="clear" w:color="000000" w:fill="FFFFFF"/>
            <w:vAlign w:val="center"/>
          </w:tcPr>
          <w:p w:rsidR="00D2350F" w:rsidRPr="00086A6E" w:rsidRDefault="00D2350F" w:rsidP="00D2350F">
            <w:pPr>
              <w:keepNext/>
              <w:ind w:right="-20"/>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Výstup</w:t>
            </w:r>
          </w:p>
        </w:tc>
        <w:tc>
          <w:tcPr>
            <w:tcW w:w="3252" w:type="dxa"/>
            <w:tcBorders>
              <w:top w:val="nil"/>
              <w:left w:val="nil"/>
              <w:bottom w:val="nil"/>
              <w:right w:val="nil"/>
            </w:tcBorders>
            <w:shd w:val="clear" w:color="000000" w:fill="FFFFFF"/>
            <w:noWrap/>
            <w:tcMar>
              <w:top w:w="28" w:type="dxa"/>
              <w:left w:w="15" w:type="dxa"/>
              <w:bottom w:w="28" w:type="dxa"/>
              <w:right w:w="15" w:type="dxa"/>
            </w:tcMar>
            <w:vAlign w:val="center"/>
            <w:hideMark/>
          </w:tcPr>
          <w:p w:rsidR="00D2350F" w:rsidRPr="00086A6E" w:rsidRDefault="00D2350F" w:rsidP="00D2350F">
            <w:pPr>
              <w:keepNext/>
              <w:ind w:right="-20"/>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Predčasné ukončenie školskej dochádzky</w:t>
            </w:r>
          </w:p>
        </w:tc>
        <w:tc>
          <w:tcPr>
            <w:tcW w:w="572" w:type="dxa"/>
            <w:tcBorders>
              <w:top w:val="nil"/>
              <w:left w:val="nil"/>
              <w:bottom w:val="nil"/>
              <w:right w:val="nil"/>
            </w:tcBorders>
            <w:shd w:val="clear" w:color="000000" w:fill="FFFFFF"/>
            <w:noWrap/>
            <w:tcMar>
              <w:top w:w="28" w:type="dxa"/>
              <w:left w:w="15" w:type="dxa"/>
              <w:bottom w:w="28" w:type="dxa"/>
              <w:right w:w="15" w:type="dxa"/>
            </w:tcMar>
            <w:vAlign w:val="center"/>
            <w:hideMark/>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SK</w:t>
            </w:r>
          </w:p>
        </w:tc>
        <w:tc>
          <w:tcPr>
            <w:tcW w:w="429" w:type="dxa"/>
            <w:tcBorders>
              <w:top w:val="nil"/>
              <w:left w:val="nil"/>
              <w:bottom w:val="nil"/>
              <w:right w:val="nil"/>
            </w:tcBorders>
            <w:shd w:val="clear" w:color="000000" w:fill="FFFFFF"/>
            <w:tcMar>
              <w:top w:w="28" w:type="dxa"/>
              <w:left w:w="15" w:type="dxa"/>
              <w:bottom w:w="28"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4,9</w:t>
            </w:r>
          </w:p>
        </w:tc>
        <w:tc>
          <w:tcPr>
            <w:tcW w:w="429" w:type="dxa"/>
            <w:tcBorders>
              <w:top w:val="nil"/>
              <w:left w:val="nil"/>
              <w:bottom w:val="nil"/>
              <w:right w:val="nil"/>
            </w:tcBorders>
            <w:shd w:val="clear" w:color="000000" w:fill="FFFFFF"/>
            <w:tcMar>
              <w:top w:w="28" w:type="dxa"/>
              <w:left w:w="15" w:type="dxa"/>
              <w:bottom w:w="28"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4,7</w:t>
            </w:r>
          </w:p>
        </w:tc>
        <w:tc>
          <w:tcPr>
            <w:tcW w:w="440" w:type="dxa"/>
            <w:tcBorders>
              <w:top w:val="nil"/>
              <w:left w:val="nil"/>
              <w:bottom w:val="nil"/>
              <w:right w:val="nil"/>
            </w:tcBorders>
            <w:shd w:val="clear" w:color="000000" w:fill="FFFFFF"/>
            <w:tcMar>
              <w:top w:w="28" w:type="dxa"/>
              <w:left w:w="15" w:type="dxa"/>
              <w:bottom w:w="28"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5,1</w:t>
            </w:r>
          </w:p>
        </w:tc>
        <w:tc>
          <w:tcPr>
            <w:tcW w:w="440" w:type="dxa"/>
            <w:tcBorders>
              <w:top w:val="nil"/>
              <w:left w:val="nil"/>
              <w:bottom w:val="nil"/>
              <w:right w:val="nil"/>
            </w:tcBorders>
            <w:shd w:val="clear" w:color="000000" w:fill="FFFFFF"/>
            <w:tcMar>
              <w:top w:w="28" w:type="dxa"/>
              <w:left w:w="15" w:type="dxa"/>
              <w:bottom w:w="28"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5,3</w:t>
            </w:r>
          </w:p>
        </w:tc>
        <w:tc>
          <w:tcPr>
            <w:tcW w:w="440" w:type="dxa"/>
            <w:tcBorders>
              <w:top w:val="nil"/>
              <w:left w:val="nil"/>
              <w:bottom w:val="nil"/>
              <w:right w:val="nil"/>
            </w:tcBorders>
            <w:shd w:val="clear" w:color="000000" w:fill="FFFFFF"/>
            <w:tcMar>
              <w:top w:w="28" w:type="dxa"/>
              <w:left w:w="15" w:type="dxa"/>
              <w:bottom w:w="28"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6,4</w:t>
            </w:r>
          </w:p>
        </w:tc>
        <w:tc>
          <w:tcPr>
            <w:tcW w:w="440" w:type="dxa"/>
            <w:tcBorders>
              <w:top w:val="nil"/>
              <w:left w:val="nil"/>
              <w:bottom w:val="nil"/>
              <w:right w:val="nil"/>
            </w:tcBorders>
            <w:shd w:val="clear" w:color="000000" w:fill="FFFFFF"/>
            <w:tcMar>
              <w:top w:w="28" w:type="dxa"/>
              <w:left w:w="15" w:type="dxa"/>
              <w:bottom w:w="28"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6,7</w:t>
            </w:r>
          </w:p>
        </w:tc>
        <w:tc>
          <w:tcPr>
            <w:tcW w:w="440" w:type="dxa"/>
            <w:tcBorders>
              <w:top w:val="nil"/>
              <w:left w:val="nil"/>
              <w:bottom w:val="nil"/>
              <w:right w:val="nil"/>
            </w:tcBorders>
            <w:shd w:val="clear" w:color="000000" w:fill="FFFFFF"/>
            <w:tcMar>
              <w:top w:w="28" w:type="dxa"/>
              <w:left w:w="15" w:type="dxa"/>
              <w:bottom w:w="28"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6,9</w:t>
            </w:r>
          </w:p>
        </w:tc>
        <w:tc>
          <w:tcPr>
            <w:tcW w:w="380" w:type="dxa"/>
            <w:tcBorders>
              <w:top w:val="nil"/>
              <w:left w:val="nil"/>
              <w:bottom w:val="nil"/>
              <w:right w:val="nil"/>
            </w:tcBorders>
            <w:shd w:val="clear" w:color="000000" w:fill="FFFFFF"/>
            <w:vAlign w:val="center"/>
          </w:tcPr>
          <w:p w:rsidR="00D2350F" w:rsidRPr="00086A6E" w:rsidRDefault="00D2350F" w:rsidP="00D2350F">
            <w:pPr>
              <w:keepNext/>
              <w:ind w:right="-20"/>
              <w:jc w:val="center"/>
              <w:rPr>
                <w:rFonts w:ascii="Times New Roman" w:hAnsi="Times New Roman" w:cs="Times New Roman"/>
                <w:bCs/>
                <w:color w:val="000000"/>
                <w:sz w:val="14"/>
                <w:szCs w:val="14"/>
                <w:lang w:eastAsia="sk-SK"/>
              </w:rPr>
            </w:pPr>
            <w:r w:rsidRPr="00086A6E">
              <w:rPr>
                <w:rFonts w:ascii="Times New Roman" w:hAnsi="Times New Roman" w:cs="Times New Roman"/>
                <w:bCs/>
                <w:color w:val="000000"/>
                <w:sz w:val="14"/>
                <w:szCs w:val="14"/>
                <w:lang w:eastAsia="sk-SK"/>
              </w:rPr>
              <w:t>7,4</w:t>
            </w:r>
          </w:p>
        </w:tc>
        <w:tc>
          <w:tcPr>
            <w:tcW w:w="520" w:type="dxa"/>
            <w:tcBorders>
              <w:top w:val="nil"/>
              <w:left w:val="nil"/>
              <w:bottom w:val="nil"/>
              <w:right w:val="nil"/>
            </w:tcBorders>
            <w:shd w:val="clear" w:color="000000" w:fill="FFFFFF"/>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9,3</w:t>
            </w:r>
          </w:p>
        </w:tc>
        <w:tc>
          <w:tcPr>
            <w:tcW w:w="520" w:type="dxa"/>
            <w:tcBorders>
              <w:top w:val="nil"/>
              <w:left w:val="nil"/>
              <w:bottom w:val="nil"/>
              <w:right w:val="nil"/>
            </w:tcBorders>
            <w:shd w:val="clear" w:color="000000" w:fill="FFFFFF"/>
            <w:tcMar>
              <w:top w:w="28" w:type="dxa"/>
              <w:left w:w="15" w:type="dxa"/>
              <w:bottom w:w="28"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w:t>
            </w:r>
          </w:p>
        </w:tc>
      </w:tr>
      <w:tr w:rsidR="00D2350F" w:rsidRPr="00086A6E" w:rsidTr="00D2350F">
        <w:trPr>
          <w:trHeight w:val="221"/>
        </w:trPr>
        <w:tc>
          <w:tcPr>
            <w:tcW w:w="859" w:type="dxa"/>
            <w:gridSpan w:val="2"/>
            <w:vMerge/>
            <w:tcBorders>
              <w:left w:val="nil"/>
              <w:bottom w:val="single" w:sz="4" w:space="0" w:color="auto"/>
              <w:right w:val="nil"/>
            </w:tcBorders>
            <w:shd w:val="clear" w:color="000000" w:fill="FFFFFF"/>
            <w:vAlign w:val="center"/>
          </w:tcPr>
          <w:p w:rsidR="00D2350F" w:rsidRPr="00086A6E" w:rsidRDefault="00D2350F" w:rsidP="00D2350F">
            <w:pPr>
              <w:keepNext/>
              <w:ind w:right="-20"/>
              <w:rPr>
                <w:rFonts w:ascii="Times New Roman" w:hAnsi="Times New Roman" w:cs="Times New Roman"/>
                <w:color w:val="000000"/>
                <w:sz w:val="14"/>
                <w:szCs w:val="14"/>
                <w:lang w:eastAsia="sk-SK"/>
              </w:rPr>
            </w:pPr>
          </w:p>
        </w:tc>
        <w:tc>
          <w:tcPr>
            <w:tcW w:w="3252" w:type="dxa"/>
            <w:tcBorders>
              <w:top w:val="nil"/>
              <w:left w:val="nil"/>
              <w:bottom w:val="single" w:sz="4" w:space="0" w:color="auto"/>
              <w:right w:val="nil"/>
            </w:tcBorders>
            <w:shd w:val="clear" w:color="000000" w:fill="FFFFFF"/>
            <w:noWrap/>
            <w:tcMar>
              <w:top w:w="15" w:type="dxa"/>
              <w:left w:w="15" w:type="dxa"/>
              <w:bottom w:w="0" w:type="dxa"/>
              <w:right w:w="15" w:type="dxa"/>
            </w:tcMar>
            <w:vAlign w:val="center"/>
            <w:hideMark/>
          </w:tcPr>
          <w:p w:rsidR="00D2350F" w:rsidRPr="00086A6E" w:rsidRDefault="00D2350F" w:rsidP="00D2350F">
            <w:pPr>
              <w:keepNext/>
              <w:ind w:right="-20"/>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vo vekovej skupine 18 – 24 rokov)</w:t>
            </w:r>
          </w:p>
        </w:tc>
        <w:tc>
          <w:tcPr>
            <w:tcW w:w="572" w:type="dxa"/>
            <w:tcBorders>
              <w:top w:val="nil"/>
              <w:left w:val="nil"/>
              <w:bottom w:val="single" w:sz="4" w:space="0" w:color="auto"/>
              <w:right w:val="nil"/>
            </w:tcBorders>
            <w:shd w:val="clear" w:color="000000" w:fill="FFFFFF"/>
            <w:noWrap/>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EÚ</w:t>
            </w:r>
          </w:p>
        </w:tc>
        <w:tc>
          <w:tcPr>
            <w:tcW w:w="429"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14,2</w:t>
            </w:r>
          </w:p>
        </w:tc>
        <w:tc>
          <w:tcPr>
            <w:tcW w:w="429"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13,9</w:t>
            </w:r>
          </w:p>
        </w:tc>
        <w:tc>
          <w:tcPr>
            <w:tcW w:w="44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13,4</w:t>
            </w:r>
          </w:p>
        </w:tc>
        <w:tc>
          <w:tcPr>
            <w:tcW w:w="44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12,7</w:t>
            </w:r>
          </w:p>
        </w:tc>
        <w:tc>
          <w:tcPr>
            <w:tcW w:w="44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11,9</w:t>
            </w:r>
          </w:p>
        </w:tc>
        <w:tc>
          <w:tcPr>
            <w:tcW w:w="44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11,2</w:t>
            </w:r>
          </w:p>
        </w:tc>
        <w:tc>
          <w:tcPr>
            <w:tcW w:w="44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11,0</w:t>
            </w:r>
          </w:p>
        </w:tc>
        <w:tc>
          <w:tcPr>
            <w:tcW w:w="380" w:type="dxa"/>
            <w:tcBorders>
              <w:top w:val="nil"/>
              <w:left w:val="nil"/>
              <w:bottom w:val="single" w:sz="4" w:space="0" w:color="auto"/>
              <w:right w:val="nil"/>
            </w:tcBorders>
            <w:shd w:val="clear" w:color="000000" w:fill="FFFFFF"/>
            <w:vAlign w:val="center"/>
          </w:tcPr>
          <w:p w:rsidR="00D2350F" w:rsidRPr="00086A6E" w:rsidRDefault="00D2350F" w:rsidP="00D2350F">
            <w:pPr>
              <w:keepNext/>
              <w:ind w:right="-20"/>
              <w:jc w:val="center"/>
              <w:rPr>
                <w:rFonts w:ascii="Times New Roman" w:hAnsi="Times New Roman" w:cs="Times New Roman"/>
                <w:bCs/>
                <w:color w:val="000000"/>
                <w:sz w:val="14"/>
                <w:szCs w:val="14"/>
                <w:lang w:eastAsia="sk-SK"/>
              </w:rPr>
            </w:pPr>
            <w:r w:rsidRPr="00086A6E">
              <w:rPr>
                <w:rFonts w:ascii="Times New Roman" w:hAnsi="Times New Roman" w:cs="Times New Roman"/>
                <w:bCs/>
                <w:color w:val="000000"/>
                <w:sz w:val="14"/>
                <w:szCs w:val="14"/>
                <w:lang w:eastAsia="sk-SK"/>
              </w:rPr>
              <w:t>10,7</w:t>
            </w:r>
          </w:p>
        </w:tc>
        <w:tc>
          <w:tcPr>
            <w:tcW w:w="520" w:type="dxa"/>
            <w:tcBorders>
              <w:top w:val="nil"/>
              <w:left w:val="nil"/>
              <w:bottom w:val="single" w:sz="4" w:space="0" w:color="auto"/>
              <w:right w:val="nil"/>
            </w:tcBorders>
            <w:shd w:val="clear" w:color="000000" w:fill="FFFFFF"/>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10,6</w:t>
            </w:r>
          </w:p>
        </w:tc>
        <w:tc>
          <w:tcPr>
            <w:tcW w:w="52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10</w:t>
            </w:r>
          </w:p>
        </w:tc>
      </w:tr>
      <w:tr w:rsidR="00D2350F" w:rsidRPr="00086A6E" w:rsidTr="00D2350F">
        <w:trPr>
          <w:trHeight w:val="114"/>
        </w:trPr>
        <w:tc>
          <w:tcPr>
            <w:tcW w:w="859" w:type="dxa"/>
            <w:gridSpan w:val="2"/>
            <w:tcBorders>
              <w:top w:val="nil"/>
              <w:left w:val="nil"/>
              <w:bottom w:val="single" w:sz="4" w:space="0" w:color="auto"/>
              <w:right w:val="nil"/>
            </w:tcBorders>
            <w:shd w:val="clear" w:color="auto" w:fill="F2F2F2"/>
            <w:vAlign w:val="center"/>
          </w:tcPr>
          <w:p w:rsidR="00D2350F" w:rsidRPr="00086A6E" w:rsidRDefault="00D2350F" w:rsidP="00D2350F">
            <w:pPr>
              <w:keepNext/>
              <w:ind w:right="-20"/>
              <w:rPr>
                <w:rFonts w:ascii="Times New Roman" w:hAnsi="Times New Roman" w:cs="Times New Roman"/>
                <w:b/>
                <w:bCs/>
                <w:color w:val="000000"/>
                <w:sz w:val="14"/>
                <w:szCs w:val="14"/>
                <w:lang w:eastAsia="sk-SK"/>
              </w:rPr>
            </w:pPr>
          </w:p>
        </w:tc>
        <w:tc>
          <w:tcPr>
            <w:tcW w:w="3252" w:type="dxa"/>
            <w:tcBorders>
              <w:top w:val="nil"/>
              <w:left w:val="nil"/>
              <w:bottom w:val="single" w:sz="4" w:space="0" w:color="auto"/>
              <w:right w:val="nil"/>
            </w:tcBorders>
            <w:shd w:val="clear" w:color="auto" w:fill="F2F2F2"/>
            <w:noWrap/>
            <w:tcMar>
              <w:top w:w="15" w:type="dxa"/>
              <w:left w:w="15" w:type="dxa"/>
              <w:bottom w:w="0" w:type="dxa"/>
              <w:right w:w="15" w:type="dxa"/>
            </w:tcMar>
            <w:vAlign w:val="center"/>
            <w:hideMark/>
          </w:tcPr>
          <w:p w:rsidR="00D2350F" w:rsidRPr="00086A6E" w:rsidRDefault="00D2350F" w:rsidP="00D2350F">
            <w:pPr>
              <w:keepNext/>
              <w:ind w:right="-20"/>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Vysoké školstvo a veda</w:t>
            </w:r>
          </w:p>
        </w:tc>
        <w:tc>
          <w:tcPr>
            <w:tcW w:w="572" w:type="dxa"/>
            <w:tcBorders>
              <w:top w:val="nil"/>
              <w:left w:val="nil"/>
              <w:bottom w:val="single" w:sz="4" w:space="0" w:color="auto"/>
              <w:right w:val="nil"/>
            </w:tcBorders>
            <w:shd w:val="clear" w:color="auto" w:fill="F2F2F2"/>
            <w:noWrap/>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w:t>
            </w:r>
          </w:p>
        </w:tc>
        <w:tc>
          <w:tcPr>
            <w:tcW w:w="429" w:type="dxa"/>
            <w:tcBorders>
              <w:top w:val="nil"/>
              <w:left w:val="nil"/>
              <w:bottom w:val="single" w:sz="4" w:space="0" w:color="auto"/>
              <w:right w:val="nil"/>
            </w:tcBorders>
            <w:shd w:val="clear" w:color="auto" w:fill="F2F2F2"/>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29" w:type="dxa"/>
            <w:tcBorders>
              <w:top w:val="nil"/>
              <w:left w:val="nil"/>
              <w:bottom w:val="single" w:sz="4" w:space="0" w:color="auto"/>
              <w:right w:val="nil"/>
            </w:tcBorders>
            <w:shd w:val="clear" w:color="auto" w:fill="F2F2F2"/>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40" w:type="dxa"/>
            <w:tcBorders>
              <w:top w:val="nil"/>
              <w:left w:val="nil"/>
              <w:bottom w:val="single" w:sz="4" w:space="0" w:color="auto"/>
              <w:right w:val="nil"/>
            </w:tcBorders>
            <w:shd w:val="clear" w:color="auto" w:fill="F2F2F2"/>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40" w:type="dxa"/>
            <w:tcBorders>
              <w:top w:val="nil"/>
              <w:left w:val="nil"/>
              <w:bottom w:val="single" w:sz="4" w:space="0" w:color="auto"/>
              <w:right w:val="nil"/>
            </w:tcBorders>
            <w:shd w:val="clear" w:color="auto" w:fill="F2F2F2"/>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40" w:type="dxa"/>
            <w:tcBorders>
              <w:top w:val="nil"/>
              <w:left w:val="nil"/>
              <w:bottom w:val="single" w:sz="4" w:space="0" w:color="auto"/>
              <w:right w:val="nil"/>
            </w:tcBorders>
            <w:shd w:val="clear" w:color="auto" w:fill="F2F2F2"/>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40" w:type="dxa"/>
            <w:tcBorders>
              <w:top w:val="nil"/>
              <w:left w:val="nil"/>
              <w:bottom w:val="single" w:sz="4" w:space="0" w:color="auto"/>
              <w:right w:val="nil"/>
            </w:tcBorders>
            <w:shd w:val="clear" w:color="auto" w:fill="F2F2F2"/>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40" w:type="dxa"/>
            <w:tcBorders>
              <w:top w:val="nil"/>
              <w:left w:val="nil"/>
              <w:bottom w:val="single" w:sz="4" w:space="0" w:color="auto"/>
              <w:right w:val="nil"/>
            </w:tcBorders>
            <w:shd w:val="clear" w:color="auto" w:fill="F2F2F2"/>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380" w:type="dxa"/>
            <w:tcBorders>
              <w:top w:val="nil"/>
              <w:left w:val="nil"/>
              <w:bottom w:val="single" w:sz="4" w:space="0" w:color="auto"/>
              <w:right w:val="nil"/>
            </w:tcBorders>
            <w:shd w:val="clear" w:color="auto" w:fill="F2F2F2"/>
            <w:vAlign w:val="center"/>
          </w:tcPr>
          <w:p w:rsidR="00D2350F" w:rsidRPr="00086A6E" w:rsidRDefault="00D2350F" w:rsidP="00D2350F">
            <w:pPr>
              <w:keepNext/>
              <w:ind w:right="-20"/>
              <w:jc w:val="center"/>
              <w:rPr>
                <w:rFonts w:ascii="Times New Roman" w:hAnsi="Times New Roman" w:cs="Times New Roman"/>
                <w:bCs/>
                <w:color w:val="000000"/>
                <w:sz w:val="14"/>
                <w:szCs w:val="14"/>
                <w:lang w:eastAsia="sk-SK"/>
              </w:rPr>
            </w:pPr>
          </w:p>
        </w:tc>
        <w:tc>
          <w:tcPr>
            <w:tcW w:w="520" w:type="dxa"/>
            <w:tcBorders>
              <w:top w:val="nil"/>
              <w:left w:val="nil"/>
              <w:bottom w:val="single" w:sz="4" w:space="0" w:color="auto"/>
              <w:right w:val="nil"/>
            </w:tcBorders>
            <w:shd w:val="clear" w:color="auto" w:fill="F2F2F2"/>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520" w:type="dxa"/>
            <w:tcBorders>
              <w:top w:val="nil"/>
              <w:left w:val="nil"/>
              <w:bottom w:val="single" w:sz="4" w:space="0" w:color="auto"/>
              <w:right w:val="nil"/>
            </w:tcBorders>
            <w:shd w:val="clear" w:color="auto" w:fill="F2F2F2"/>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r>
      <w:tr w:rsidR="00D2350F" w:rsidRPr="00086A6E" w:rsidTr="00D2350F">
        <w:trPr>
          <w:trHeight w:val="53"/>
        </w:trPr>
        <w:tc>
          <w:tcPr>
            <w:tcW w:w="859" w:type="dxa"/>
            <w:gridSpan w:val="2"/>
            <w:vMerge w:val="restart"/>
            <w:tcBorders>
              <w:top w:val="nil"/>
              <w:left w:val="nil"/>
              <w:right w:val="nil"/>
            </w:tcBorders>
            <w:shd w:val="clear" w:color="auto" w:fill="auto"/>
            <w:vAlign w:val="center"/>
          </w:tcPr>
          <w:p w:rsidR="00D2350F" w:rsidRPr="00086A6E" w:rsidRDefault="00D2350F" w:rsidP="00D2350F">
            <w:pPr>
              <w:keepNext/>
              <w:ind w:right="-20"/>
              <w:rPr>
                <w:rFonts w:ascii="Times New Roman" w:hAnsi="Times New Roman" w:cs="Times New Roman"/>
                <w:b/>
                <w:bCs/>
                <w:color w:val="000000"/>
                <w:sz w:val="14"/>
                <w:szCs w:val="14"/>
                <w:highlight w:val="yellow"/>
                <w:lang w:eastAsia="sk-SK"/>
              </w:rPr>
            </w:pPr>
            <w:r w:rsidRPr="00086A6E">
              <w:rPr>
                <w:rFonts w:ascii="Times New Roman" w:hAnsi="Times New Roman" w:cs="Times New Roman"/>
                <w:b/>
                <w:bCs/>
                <w:color w:val="000000"/>
                <w:sz w:val="14"/>
                <w:szCs w:val="14"/>
                <w:lang w:eastAsia="sk-SK"/>
              </w:rPr>
              <w:t>Výsledok</w:t>
            </w:r>
          </w:p>
        </w:tc>
        <w:tc>
          <w:tcPr>
            <w:tcW w:w="3252" w:type="dxa"/>
            <w:tcBorders>
              <w:top w:val="nil"/>
              <w:left w:val="nil"/>
              <w:bottom w:val="nil"/>
              <w:right w:val="nil"/>
            </w:tcBorders>
            <w:shd w:val="clear" w:color="000000" w:fill="FFFFFF"/>
            <w:noWrap/>
            <w:tcMar>
              <w:top w:w="15" w:type="dxa"/>
              <w:left w:w="15" w:type="dxa"/>
              <w:bottom w:w="0" w:type="dxa"/>
              <w:right w:w="15" w:type="dxa"/>
            </w:tcMar>
            <w:vAlign w:val="center"/>
            <w:hideMark/>
          </w:tcPr>
          <w:p w:rsidR="00D2350F" w:rsidRPr="00086A6E" w:rsidRDefault="00D2350F" w:rsidP="00D2350F">
            <w:pPr>
              <w:keepNext/>
              <w:ind w:right="-20"/>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rPr>
              <w:t>Citácie na výskumníka</w:t>
            </w:r>
          </w:p>
        </w:tc>
        <w:tc>
          <w:tcPr>
            <w:tcW w:w="572" w:type="dxa"/>
            <w:tcBorders>
              <w:top w:val="nil"/>
              <w:left w:val="nil"/>
              <w:bottom w:val="nil"/>
              <w:right w:val="nil"/>
            </w:tcBorders>
            <w:shd w:val="clear" w:color="000000" w:fill="FFFFFF"/>
            <w:noWrap/>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SK</w:t>
            </w:r>
          </w:p>
        </w:tc>
        <w:tc>
          <w:tcPr>
            <w:tcW w:w="429" w:type="dxa"/>
            <w:tcBorders>
              <w:top w:val="nil"/>
              <w:left w:val="nil"/>
              <w:bottom w:val="nil"/>
              <w:right w:val="nil"/>
            </w:tcBorders>
            <w:shd w:val="clear" w:color="000000" w:fill="FFFFFF"/>
            <w:tcMar>
              <w:top w:w="28" w:type="dxa"/>
              <w:left w:w="15" w:type="dxa"/>
              <w:bottom w:w="28"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rPr>
              <w:t>35</w:t>
            </w:r>
          </w:p>
        </w:tc>
        <w:tc>
          <w:tcPr>
            <w:tcW w:w="429" w:type="dxa"/>
            <w:tcBorders>
              <w:top w:val="nil"/>
              <w:left w:val="nil"/>
              <w:bottom w:val="nil"/>
              <w:right w:val="nil"/>
            </w:tcBorders>
            <w:shd w:val="clear" w:color="000000" w:fill="FFFFFF"/>
            <w:tcMar>
              <w:top w:w="28" w:type="dxa"/>
              <w:left w:w="15" w:type="dxa"/>
              <w:bottom w:w="28"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rPr>
              <w:t>34</w:t>
            </w:r>
          </w:p>
        </w:tc>
        <w:tc>
          <w:tcPr>
            <w:tcW w:w="440" w:type="dxa"/>
            <w:tcBorders>
              <w:top w:val="nil"/>
              <w:left w:val="nil"/>
              <w:bottom w:val="nil"/>
              <w:right w:val="nil"/>
            </w:tcBorders>
            <w:shd w:val="clear" w:color="000000" w:fill="FFFFFF"/>
            <w:tcMar>
              <w:top w:w="28" w:type="dxa"/>
              <w:left w:w="15" w:type="dxa"/>
              <w:bottom w:w="28"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rPr>
              <w:t>35</w:t>
            </w:r>
          </w:p>
        </w:tc>
        <w:tc>
          <w:tcPr>
            <w:tcW w:w="440" w:type="dxa"/>
            <w:tcBorders>
              <w:top w:val="nil"/>
              <w:left w:val="nil"/>
              <w:bottom w:val="nil"/>
              <w:right w:val="nil"/>
            </w:tcBorders>
            <w:shd w:val="clear" w:color="000000" w:fill="FFFFFF"/>
            <w:tcMar>
              <w:top w:w="28" w:type="dxa"/>
              <w:left w:w="15" w:type="dxa"/>
              <w:bottom w:w="28"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rPr>
              <w:t>45</w:t>
            </w:r>
          </w:p>
        </w:tc>
        <w:tc>
          <w:tcPr>
            <w:tcW w:w="440" w:type="dxa"/>
            <w:tcBorders>
              <w:top w:val="nil"/>
              <w:left w:val="nil"/>
              <w:bottom w:val="nil"/>
              <w:right w:val="nil"/>
            </w:tcBorders>
            <w:shd w:val="clear" w:color="000000" w:fill="FFFFFF"/>
            <w:tcMar>
              <w:top w:w="28" w:type="dxa"/>
              <w:left w:w="15" w:type="dxa"/>
              <w:bottom w:w="28"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rPr>
              <w:t>47</w:t>
            </w:r>
          </w:p>
        </w:tc>
        <w:tc>
          <w:tcPr>
            <w:tcW w:w="440" w:type="dxa"/>
            <w:tcBorders>
              <w:top w:val="nil"/>
              <w:left w:val="nil"/>
              <w:bottom w:val="nil"/>
              <w:right w:val="nil"/>
            </w:tcBorders>
            <w:shd w:val="clear" w:color="000000" w:fill="FFFFFF"/>
            <w:tcMar>
              <w:top w:w="28" w:type="dxa"/>
              <w:left w:w="15" w:type="dxa"/>
              <w:bottom w:w="28"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rPr>
              <w:t>44</w:t>
            </w:r>
          </w:p>
        </w:tc>
        <w:tc>
          <w:tcPr>
            <w:tcW w:w="440" w:type="dxa"/>
            <w:tcBorders>
              <w:top w:val="nil"/>
              <w:left w:val="nil"/>
              <w:bottom w:val="nil"/>
              <w:right w:val="nil"/>
            </w:tcBorders>
            <w:shd w:val="clear" w:color="000000" w:fill="FFFFFF"/>
            <w:tcMar>
              <w:top w:w="28" w:type="dxa"/>
              <w:left w:w="15" w:type="dxa"/>
              <w:bottom w:w="28"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rPr>
              <w:t>50</w:t>
            </w:r>
          </w:p>
        </w:tc>
        <w:tc>
          <w:tcPr>
            <w:tcW w:w="380" w:type="dxa"/>
            <w:tcBorders>
              <w:top w:val="nil"/>
              <w:left w:val="nil"/>
              <w:bottom w:val="nil"/>
              <w:right w:val="nil"/>
            </w:tcBorders>
            <w:shd w:val="clear" w:color="000000" w:fill="FFFFFF"/>
            <w:vAlign w:val="center"/>
          </w:tcPr>
          <w:p w:rsidR="00D2350F" w:rsidRPr="00086A6E" w:rsidRDefault="00D2350F" w:rsidP="00D2350F">
            <w:pPr>
              <w:keepNext/>
              <w:ind w:right="-20"/>
              <w:jc w:val="center"/>
              <w:rPr>
                <w:rFonts w:ascii="Times New Roman" w:hAnsi="Times New Roman" w:cs="Times New Roman"/>
                <w:bCs/>
                <w:color w:val="000000"/>
                <w:sz w:val="14"/>
                <w:szCs w:val="14"/>
                <w:lang w:eastAsia="sk-SK"/>
              </w:rPr>
            </w:pPr>
            <w:r w:rsidRPr="00086A6E">
              <w:rPr>
                <w:rFonts w:ascii="Times New Roman" w:hAnsi="Times New Roman" w:cs="Times New Roman"/>
                <w:bCs/>
                <w:color w:val="000000"/>
                <w:sz w:val="14"/>
                <w:szCs w:val="14"/>
                <w:lang w:eastAsia="sk-SK"/>
              </w:rPr>
              <w:t>55</w:t>
            </w:r>
          </w:p>
        </w:tc>
        <w:tc>
          <w:tcPr>
            <w:tcW w:w="520" w:type="dxa"/>
            <w:tcBorders>
              <w:top w:val="nil"/>
              <w:left w:val="nil"/>
              <w:bottom w:val="nil"/>
              <w:right w:val="nil"/>
            </w:tcBorders>
            <w:shd w:val="clear" w:color="000000" w:fill="FFFFFF"/>
            <w:vAlign w:val="center"/>
          </w:tcPr>
          <w:p w:rsidR="00D2350F" w:rsidRPr="00086A6E" w:rsidRDefault="00D2350F" w:rsidP="00D2350F">
            <w:pPr>
              <w:keepNext/>
              <w:ind w:right="-20"/>
              <w:jc w:val="center"/>
              <w:rPr>
                <w:rFonts w:ascii="Times New Roman" w:hAnsi="Times New Roman" w:cs="Times New Roman"/>
                <w:color w:val="000000"/>
                <w:sz w:val="14"/>
                <w:szCs w:val="14"/>
              </w:rPr>
            </w:pPr>
          </w:p>
        </w:tc>
        <w:tc>
          <w:tcPr>
            <w:tcW w:w="520" w:type="dxa"/>
            <w:tcBorders>
              <w:top w:val="nil"/>
              <w:left w:val="nil"/>
              <w:bottom w:val="nil"/>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color w:val="000000"/>
                <w:sz w:val="14"/>
                <w:szCs w:val="14"/>
              </w:rPr>
              <w:t>70</w:t>
            </w:r>
          </w:p>
        </w:tc>
      </w:tr>
      <w:tr w:rsidR="00D2350F" w:rsidRPr="00086A6E" w:rsidTr="00D2350F">
        <w:trPr>
          <w:trHeight w:val="68"/>
        </w:trPr>
        <w:tc>
          <w:tcPr>
            <w:tcW w:w="859" w:type="dxa"/>
            <w:gridSpan w:val="2"/>
            <w:vMerge/>
            <w:tcBorders>
              <w:left w:val="nil"/>
              <w:bottom w:val="single" w:sz="4" w:space="0" w:color="auto"/>
              <w:right w:val="nil"/>
            </w:tcBorders>
            <w:shd w:val="clear" w:color="000000" w:fill="FFFFFF"/>
            <w:vAlign w:val="center"/>
          </w:tcPr>
          <w:p w:rsidR="00D2350F" w:rsidRPr="00086A6E" w:rsidRDefault="00D2350F" w:rsidP="00D2350F">
            <w:pPr>
              <w:keepNext/>
              <w:ind w:right="-20"/>
              <w:rPr>
                <w:rFonts w:ascii="Times New Roman" w:hAnsi="Times New Roman" w:cs="Times New Roman"/>
                <w:color w:val="000000"/>
                <w:sz w:val="14"/>
                <w:szCs w:val="14"/>
                <w:highlight w:val="yellow"/>
                <w:lang w:eastAsia="sk-SK"/>
              </w:rPr>
            </w:pPr>
          </w:p>
        </w:tc>
        <w:tc>
          <w:tcPr>
            <w:tcW w:w="3252" w:type="dxa"/>
            <w:tcBorders>
              <w:top w:val="nil"/>
              <w:left w:val="nil"/>
              <w:bottom w:val="single" w:sz="4" w:space="0" w:color="auto"/>
              <w:right w:val="nil"/>
            </w:tcBorders>
            <w:shd w:val="clear" w:color="000000" w:fill="FFFFFF"/>
            <w:noWrap/>
            <w:tcMar>
              <w:top w:w="15" w:type="dxa"/>
              <w:left w:w="15" w:type="dxa"/>
              <w:bottom w:w="0" w:type="dxa"/>
              <w:right w:w="15" w:type="dxa"/>
            </w:tcMar>
            <w:vAlign w:val="center"/>
            <w:hideMark/>
          </w:tcPr>
          <w:p w:rsidR="00D2350F" w:rsidRPr="00086A6E" w:rsidRDefault="00D2350F" w:rsidP="00D2350F">
            <w:pPr>
              <w:keepNext/>
              <w:ind w:right="-20"/>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rPr>
              <w:t>(%, 100 = priemer EÚ)</w:t>
            </w:r>
          </w:p>
        </w:tc>
        <w:tc>
          <w:tcPr>
            <w:tcW w:w="572" w:type="dxa"/>
            <w:tcBorders>
              <w:top w:val="nil"/>
              <w:left w:val="nil"/>
              <w:bottom w:val="single" w:sz="4" w:space="0" w:color="auto"/>
              <w:right w:val="nil"/>
            </w:tcBorders>
            <w:shd w:val="clear" w:color="000000" w:fill="FFFFFF"/>
            <w:noWrap/>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EÚ</w:t>
            </w:r>
          </w:p>
        </w:tc>
        <w:tc>
          <w:tcPr>
            <w:tcW w:w="429"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rPr>
              <w:t>100 </w:t>
            </w:r>
          </w:p>
        </w:tc>
        <w:tc>
          <w:tcPr>
            <w:tcW w:w="429"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rPr>
              <w:t>100 </w:t>
            </w:r>
          </w:p>
        </w:tc>
        <w:tc>
          <w:tcPr>
            <w:tcW w:w="44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rPr>
              <w:t>100 </w:t>
            </w:r>
          </w:p>
        </w:tc>
        <w:tc>
          <w:tcPr>
            <w:tcW w:w="44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rPr>
              <w:t xml:space="preserve"> 100 </w:t>
            </w:r>
          </w:p>
        </w:tc>
        <w:tc>
          <w:tcPr>
            <w:tcW w:w="44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rPr>
              <w:t>100 </w:t>
            </w:r>
          </w:p>
        </w:tc>
        <w:tc>
          <w:tcPr>
            <w:tcW w:w="44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rPr>
              <w:t xml:space="preserve">100   </w:t>
            </w:r>
          </w:p>
        </w:tc>
        <w:tc>
          <w:tcPr>
            <w:tcW w:w="44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rPr>
              <w:t xml:space="preserve">100   </w:t>
            </w:r>
          </w:p>
        </w:tc>
        <w:tc>
          <w:tcPr>
            <w:tcW w:w="380" w:type="dxa"/>
            <w:tcBorders>
              <w:top w:val="nil"/>
              <w:left w:val="nil"/>
              <w:bottom w:val="single" w:sz="4" w:space="0" w:color="auto"/>
              <w:right w:val="nil"/>
            </w:tcBorders>
            <w:shd w:val="clear" w:color="000000" w:fill="FFFFFF"/>
            <w:vAlign w:val="center"/>
          </w:tcPr>
          <w:p w:rsidR="00D2350F" w:rsidRPr="00086A6E" w:rsidRDefault="00D2350F" w:rsidP="00D2350F">
            <w:pPr>
              <w:keepNext/>
              <w:ind w:right="-20"/>
              <w:jc w:val="center"/>
              <w:rPr>
                <w:rFonts w:ascii="Times New Roman" w:hAnsi="Times New Roman" w:cs="Times New Roman"/>
                <w:bCs/>
                <w:color w:val="000000"/>
                <w:sz w:val="14"/>
                <w:szCs w:val="14"/>
                <w:lang w:eastAsia="sk-SK"/>
              </w:rPr>
            </w:pPr>
            <w:r w:rsidRPr="00086A6E">
              <w:rPr>
                <w:rFonts w:ascii="Times New Roman" w:hAnsi="Times New Roman" w:cs="Times New Roman"/>
                <w:bCs/>
                <w:color w:val="000000"/>
                <w:sz w:val="14"/>
                <w:szCs w:val="14"/>
                <w:lang w:eastAsia="sk-SK"/>
              </w:rPr>
              <w:t>100</w:t>
            </w:r>
          </w:p>
        </w:tc>
        <w:tc>
          <w:tcPr>
            <w:tcW w:w="520" w:type="dxa"/>
            <w:tcBorders>
              <w:top w:val="nil"/>
              <w:left w:val="nil"/>
              <w:bottom w:val="single" w:sz="4" w:space="0" w:color="auto"/>
              <w:right w:val="nil"/>
            </w:tcBorders>
            <w:shd w:val="clear" w:color="000000" w:fill="FFFFFF"/>
            <w:vAlign w:val="center"/>
          </w:tcPr>
          <w:p w:rsidR="00D2350F" w:rsidRPr="00086A6E" w:rsidRDefault="00D2350F" w:rsidP="00D2350F">
            <w:pPr>
              <w:keepNext/>
              <w:ind w:right="-20"/>
              <w:jc w:val="center"/>
              <w:rPr>
                <w:rFonts w:ascii="Times New Roman" w:hAnsi="Times New Roman" w:cs="Times New Roman"/>
                <w:color w:val="000000"/>
                <w:sz w:val="14"/>
                <w:szCs w:val="14"/>
              </w:rPr>
            </w:pPr>
          </w:p>
        </w:tc>
        <w:tc>
          <w:tcPr>
            <w:tcW w:w="52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color w:val="000000"/>
                <w:sz w:val="14"/>
                <w:szCs w:val="14"/>
              </w:rPr>
              <w:t>100 </w:t>
            </w:r>
          </w:p>
        </w:tc>
      </w:tr>
      <w:tr w:rsidR="00D2350F" w:rsidRPr="00086A6E" w:rsidTr="00D2350F">
        <w:trPr>
          <w:trHeight w:val="304"/>
        </w:trPr>
        <w:tc>
          <w:tcPr>
            <w:tcW w:w="859" w:type="dxa"/>
            <w:gridSpan w:val="2"/>
            <w:tcBorders>
              <w:top w:val="nil"/>
              <w:left w:val="nil"/>
              <w:bottom w:val="single" w:sz="4" w:space="0" w:color="auto"/>
              <w:right w:val="nil"/>
            </w:tcBorders>
            <w:shd w:val="clear" w:color="000000" w:fill="FFFFFF"/>
            <w:vAlign w:val="center"/>
          </w:tcPr>
          <w:p w:rsidR="00D2350F" w:rsidRPr="00086A6E" w:rsidRDefault="00D2350F" w:rsidP="00D2350F">
            <w:pPr>
              <w:keepNext/>
              <w:ind w:right="-20"/>
              <w:rPr>
                <w:rFonts w:ascii="Times New Roman" w:hAnsi="Times New Roman" w:cs="Times New Roman"/>
                <w:b/>
                <w:bCs/>
                <w:color w:val="000000"/>
                <w:sz w:val="14"/>
                <w:szCs w:val="14"/>
                <w:highlight w:val="yellow"/>
                <w:lang w:eastAsia="sk-SK"/>
              </w:rPr>
            </w:pPr>
            <w:r w:rsidRPr="00086A6E">
              <w:rPr>
                <w:rFonts w:ascii="Times New Roman" w:hAnsi="Times New Roman" w:cs="Times New Roman"/>
                <w:b/>
                <w:bCs/>
                <w:color w:val="000000"/>
                <w:sz w:val="14"/>
                <w:szCs w:val="14"/>
                <w:lang w:eastAsia="sk-SK"/>
              </w:rPr>
              <w:t>Výsledok</w:t>
            </w:r>
          </w:p>
        </w:tc>
        <w:tc>
          <w:tcPr>
            <w:tcW w:w="3252" w:type="dxa"/>
            <w:tcBorders>
              <w:top w:val="nil"/>
              <w:left w:val="nil"/>
              <w:bottom w:val="single" w:sz="4" w:space="0" w:color="auto"/>
              <w:right w:val="nil"/>
            </w:tcBorders>
            <w:shd w:val="clear" w:color="000000" w:fill="FFFFFF"/>
            <w:noWrap/>
            <w:tcMar>
              <w:top w:w="15" w:type="dxa"/>
              <w:left w:w="15" w:type="dxa"/>
              <w:bottom w:w="0" w:type="dxa"/>
              <w:right w:w="15" w:type="dxa"/>
            </w:tcMar>
            <w:vAlign w:val="center"/>
            <w:hideMark/>
          </w:tcPr>
          <w:p w:rsidR="00D2350F" w:rsidRPr="00086A6E" w:rsidRDefault="00D2350F" w:rsidP="00D2350F">
            <w:pPr>
              <w:keepNext/>
              <w:ind w:right="-20"/>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xml:space="preserve">Úspešnosť VŠ v získavaní výskumných zahraničných grantov </w:t>
            </w:r>
            <w:r w:rsidRPr="00086A6E">
              <w:rPr>
                <w:rFonts w:ascii="Times New Roman" w:hAnsi="Times New Roman" w:cs="Times New Roman"/>
                <w:color w:val="000000"/>
                <w:sz w:val="14"/>
                <w:szCs w:val="14"/>
                <w:lang w:eastAsia="sk-SK"/>
              </w:rPr>
              <w:t>(v mil. eur)</w:t>
            </w:r>
          </w:p>
        </w:tc>
        <w:tc>
          <w:tcPr>
            <w:tcW w:w="572" w:type="dxa"/>
            <w:tcBorders>
              <w:top w:val="nil"/>
              <w:left w:val="nil"/>
              <w:bottom w:val="single" w:sz="4" w:space="0" w:color="auto"/>
              <w:right w:val="nil"/>
            </w:tcBorders>
            <w:shd w:val="clear" w:color="000000" w:fill="FFFFFF"/>
            <w:noWrap/>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SK</w:t>
            </w:r>
          </w:p>
        </w:tc>
        <w:tc>
          <w:tcPr>
            <w:tcW w:w="429"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w:t>
            </w:r>
          </w:p>
        </w:tc>
        <w:tc>
          <w:tcPr>
            <w:tcW w:w="429"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6,2</w:t>
            </w:r>
          </w:p>
        </w:tc>
        <w:tc>
          <w:tcPr>
            <w:tcW w:w="44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6,1</w:t>
            </w:r>
          </w:p>
        </w:tc>
        <w:tc>
          <w:tcPr>
            <w:tcW w:w="44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w:t>
            </w:r>
          </w:p>
        </w:tc>
        <w:tc>
          <w:tcPr>
            <w:tcW w:w="44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5,9</w:t>
            </w:r>
          </w:p>
        </w:tc>
        <w:tc>
          <w:tcPr>
            <w:tcW w:w="44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5,7</w:t>
            </w:r>
          </w:p>
        </w:tc>
        <w:tc>
          <w:tcPr>
            <w:tcW w:w="44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6,5 </w:t>
            </w:r>
          </w:p>
        </w:tc>
        <w:tc>
          <w:tcPr>
            <w:tcW w:w="380" w:type="dxa"/>
            <w:tcBorders>
              <w:top w:val="nil"/>
              <w:left w:val="nil"/>
              <w:bottom w:val="single" w:sz="4" w:space="0" w:color="auto"/>
              <w:right w:val="nil"/>
            </w:tcBorders>
            <w:shd w:val="clear" w:color="000000" w:fill="FFFFFF"/>
            <w:vAlign w:val="center"/>
          </w:tcPr>
          <w:p w:rsidR="00D2350F" w:rsidRPr="00086A6E" w:rsidRDefault="00D2350F" w:rsidP="00D2350F">
            <w:pPr>
              <w:keepNext/>
              <w:ind w:right="-20"/>
              <w:jc w:val="center"/>
              <w:rPr>
                <w:rFonts w:ascii="Times New Roman" w:hAnsi="Times New Roman" w:cs="Times New Roman"/>
                <w:bCs/>
                <w:color w:val="000000"/>
                <w:sz w:val="14"/>
                <w:szCs w:val="14"/>
                <w:lang w:eastAsia="sk-SK"/>
              </w:rPr>
            </w:pPr>
            <w:r w:rsidRPr="00086A6E">
              <w:rPr>
                <w:rFonts w:ascii="Times New Roman" w:hAnsi="Times New Roman" w:cs="Times New Roman"/>
                <w:bCs/>
                <w:color w:val="000000"/>
                <w:sz w:val="14"/>
                <w:szCs w:val="14"/>
                <w:lang w:eastAsia="sk-SK"/>
              </w:rPr>
              <w:t>7,7</w:t>
            </w:r>
          </w:p>
        </w:tc>
        <w:tc>
          <w:tcPr>
            <w:tcW w:w="520" w:type="dxa"/>
            <w:tcBorders>
              <w:top w:val="nil"/>
              <w:left w:val="nil"/>
              <w:bottom w:val="single" w:sz="4" w:space="0" w:color="auto"/>
              <w:right w:val="nil"/>
            </w:tcBorders>
            <w:shd w:val="clear" w:color="000000" w:fill="FFFFFF"/>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p>
        </w:tc>
        <w:tc>
          <w:tcPr>
            <w:tcW w:w="520" w:type="dxa"/>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r>
      <w:tr w:rsidR="00D2350F" w:rsidRPr="00086A6E" w:rsidTr="00D2350F">
        <w:trPr>
          <w:trHeight w:val="278"/>
        </w:trPr>
        <w:tc>
          <w:tcPr>
            <w:tcW w:w="859" w:type="dxa"/>
            <w:gridSpan w:val="2"/>
            <w:vMerge w:val="restart"/>
            <w:tcBorders>
              <w:top w:val="nil"/>
              <w:left w:val="nil"/>
              <w:right w:val="nil"/>
            </w:tcBorders>
            <w:shd w:val="clear" w:color="000000" w:fill="FFFFFF"/>
            <w:vAlign w:val="center"/>
          </w:tcPr>
          <w:p w:rsidR="00D2350F" w:rsidRPr="00086A6E" w:rsidRDefault="00D2350F" w:rsidP="00D2350F">
            <w:pPr>
              <w:keepNext/>
              <w:ind w:right="-20"/>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Výstup</w:t>
            </w:r>
          </w:p>
        </w:tc>
        <w:tc>
          <w:tcPr>
            <w:tcW w:w="3252" w:type="dxa"/>
            <w:tcBorders>
              <w:top w:val="nil"/>
              <w:left w:val="nil"/>
              <w:bottom w:val="nil"/>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Miera vysokoškolsky vzdelanej populácie</w:t>
            </w:r>
          </w:p>
        </w:tc>
        <w:tc>
          <w:tcPr>
            <w:tcW w:w="572" w:type="dxa"/>
            <w:tcBorders>
              <w:top w:val="nil"/>
              <w:left w:val="nil"/>
              <w:bottom w:val="nil"/>
              <w:right w:val="nil"/>
            </w:tcBorders>
            <w:shd w:val="clear" w:color="000000" w:fill="FFFFFF"/>
            <w:noWrap/>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SK</w:t>
            </w:r>
          </w:p>
        </w:tc>
        <w:tc>
          <w:tcPr>
            <w:tcW w:w="429" w:type="dxa"/>
            <w:tcBorders>
              <w:top w:val="nil"/>
              <w:left w:val="nil"/>
              <w:bottom w:val="nil"/>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17,6</w:t>
            </w:r>
          </w:p>
        </w:tc>
        <w:tc>
          <w:tcPr>
            <w:tcW w:w="429" w:type="dxa"/>
            <w:tcBorders>
              <w:top w:val="nil"/>
              <w:left w:val="nil"/>
              <w:bottom w:val="nil"/>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22,1</w:t>
            </w:r>
          </w:p>
        </w:tc>
        <w:tc>
          <w:tcPr>
            <w:tcW w:w="440" w:type="dxa"/>
            <w:tcBorders>
              <w:top w:val="nil"/>
              <w:left w:val="nil"/>
              <w:bottom w:val="nil"/>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23,2</w:t>
            </w:r>
          </w:p>
        </w:tc>
        <w:tc>
          <w:tcPr>
            <w:tcW w:w="440" w:type="dxa"/>
            <w:tcBorders>
              <w:top w:val="nil"/>
              <w:left w:val="nil"/>
              <w:bottom w:val="nil"/>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23,7</w:t>
            </w:r>
          </w:p>
        </w:tc>
        <w:tc>
          <w:tcPr>
            <w:tcW w:w="440" w:type="dxa"/>
            <w:tcBorders>
              <w:top w:val="nil"/>
              <w:left w:val="nil"/>
              <w:bottom w:val="nil"/>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26,9</w:t>
            </w:r>
          </w:p>
        </w:tc>
        <w:tc>
          <w:tcPr>
            <w:tcW w:w="440" w:type="dxa"/>
            <w:tcBorders>
              <w:top w:val="nil"/>
              <w:left w:val="nil"/>
              <w:bottom w:val="nil"/>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27</w:t>
            </w:r>
          </w:p>
        </w:tc>
        <w:tc>
          <w:tcPr>
            <w:tcW w:w="440" w:type="dxa"/>
            <w:tcBorders>
              <w:top w:val="nil"/>
              <w:left w:val="nil"/>
              <w:bottom w:val="nil"/>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28,4</w:t>
            </w:r>
          </w:p>
        </w:tc>
        <w:tc>
          <w:tcPr>
            <w:tcW w:w="380" w:type="dxa"/>
            <w:tcBorders>
              <w:top w:val="nil"/>
              <w:left w:val="nil"/>
              <w:bottom w:val="nil"/>
              <w:right w:val="nil"/>
            </w:tcBorders>
            <w:shd w:val="clear" w:color="000000" w:fill="FFFFFF"/>
            <w:vAlign w:val="center"/>
          </w:tcPr>
          <w:p w:rsidR="00D2350F" w:rsidRPr="00086A6E" w:rsidRDefault="00D2350F" w:rsidP="00D2350F">
            <w:pPr>
              <w:keepNext/>
              <w:ind w:right="-20"/>
              <w:jc w:val="center"/>
              <w:rPr>
                <w:rFonts w:ascii="Times New Roman" w:hAnsi="Times New Roman" w:cs="Times New Roman"/>
                <w:bCs/>
                <w:color w:val="000000"/>
                <w:sz w:val="14"/>
                <w:szCs w:val="14"/>
                <w:lang w:eastAsia="sk-SK"/>
              </w:rPr>
            </w:pPr>
            <w:r w:rsidRPr="00086A6E">
              <w:rPr>
                <w:rFonts w:ascii="Times New Roman" w:hAnsi="Times New Roman" w:cs="Times New Roman"/>
                <w:bCs/>
                <w:color w:val="000000"/>
                <w:sz w:val="14"/>
                <w:szCs w:val="14"/>
                <w:lang w:eastAsia="sk-SK"/>
              </w:rPr>
              <w:t>31,5</w:t>
            </w:r>
          </w:p>
        </w:tc>
        <w:tc>
          <w:tcPr>
            <w:tcW w:w="520" w:type="dxa"/>
            <w:tcBorders>
              <w:top w:val="nil"/>
              <w:left w:val="nil"/>
              <w:bottom w:val="nil"/>
              <w:right w:val="nil"/>
            </w:tcBorders>
            <w:shd w:val="clear" w:color="000000" w:fill="FFFFFF"/>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34,3</w:t>
            </w:r>
          </w:p>
        </w:tc>
        <w:tc>
          <w:tcPr>
            <w:tcW w:w="520" w:type="dxa"/>
            <w:tcBorders>
              <w:top w:val="nil"/>
              <w:left w:val="nil"/>
              <w:bottom w:val="nil"/>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40</w:t>
            </w:r>
          </w:p>
        </w:tc>
      </w:tr>
      <w:tr w:rsidR="00D2350F" w:rsidRPr="00086A6E" w:rsidTr="00D2350F">
        <w:trPr>
          <w:trHeight w:val="203"/>
        </w:trPr>
        <w:tc>
          <w:tcPr>
            <w:tcW w:w="859" w:type="dxa"/>
            <w:gridSpan w:val="2"/>
            <w:vMerge/>
            <w:tcBorders>
              <w:left w:val="nil"/>
              <w:bottom w:val="single" w:sz="4" w:space="0" w:color="auto"/>
              <w:right w:val="nil"/>
            </w:tcBorders>
            <w:shd w:val="clear" w:color="000000" w:fill="FFFFFF"/>
          </w:tcPr>
          <w:p w:rsidR="00D2350F" w:rsidRPr="00086A6E" w:rsidRDefault="00D2350F" w:rsidP="00D2350F">
            <w:pPr>
              <w:keepNext/>
              <w:ind w:right="-20"/>
              <w:rPr>
                <w:rFonts w:ascii="Times New Roman" w:hAnsi="Times New Roman" w:cs="Times New Roman"/>
                <w:color w:val="000000"/>
                <w:sz w:val="14"/>
                <w:szCs w:val="14"/>
                <w:lang w:eastAsia="sk-SK"/>
              </w:rPr>
            </w:pPr>
          </w:p>
        </w:tc>
        <w:tc>
          <w:tcPr>
            <w:tcW w:w="3252" w:type="dxa"/>
            <w:tcBorders>
              <w:top w:val="nil"/>
              <w:left w:val="nil"/>
              <w:bottom w:val="single" w:sz="4" w:space="0" w:color="auto"/>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vo vekovej skupine 30 – 34 rokov)</w:t>
            </w:r>
          </w:p>
        </w:tc>
        <w:tc>
          <w:tcPr>
            <w:tcW w:w="572" w:type="dxa"/>
            <w:tcBorders>
              <w:top w:val="nil"/>
              <w:left w:val="nil"/>
              <w:bottom w:val="single" w:sz="4" w:space="0" w:color="auto"/>
              <w:right w:val="nil"/>
            </w:tcBorders>
            <w:shd w:val="clear" w:color="000000" w:fill="FFFFFF"/>
            <w:noWrap/>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EÚ</w:t>
            </w:r>
          </w:p>
        </w:tc>
        <w:tc>
          <w:tcPr>
            <w:tcW w:w="429" w:type="dxa"/>
            <w:tcBorders>
              <w:top w:val="nil"/>
              <w:left w:val="nil"/>
              <w:bottom w:val="single" w:sz="4" w:space="0" w:color="auto"/>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32,3</w:t>
            </w:r>
          </w:p>
        </w:tc>
        <w:tc>
          <w:tcPr>
            <w:tcW w:w="429" w:type="dxa"/>
            <w:tcBorders>
              <w:top w:val="nil"/>
              <w:left w:val="nil"/>
              <w:bottom w:val="single" w:sz="4" w:space="0" w:color="auto"/>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33,8</w:t>
            </w:r>
          </w:p>
        </w:tc>
        <w:tc>
          <w:tcPr>
            <w:tcW w:w="440" w:type="dxa"/>
            <w:tcBorders>
              <w:top w:val="nil"/>
              <w:left w:val="nil"/>
              <w:bottom w:val="single" w:sz="4" w:space="0" w:color="auto"/>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34,8</w:t>
            </w:r>
          </w:p>
        </w:tc>
        <w:tc>
          <w:tcPr>
            <w:tcW w:w="440" w:type="dxa"/>
            <w:tcBorders>
              <w:top w:val="nil"/>
              <w:left w:val="nil"/>
              <w:bottom w:val="single" w:sz="4" w:space="0" w:color="auto"/>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36,0</w:t>
            </w:r>
          </w:p>
        </w:tc>
        <w:tc>
          <w:tcPr>
            <w:tcW w:w="440" w:type="dxa"/>
            <w:tcBorders>
              <w:top w:val="nil"/>
              <w:left w:val="nil"/>
              <w:bottom w:val="single" w:sz="4" w:space="0" w:color="auto"/>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37,1</w:t>
            </w:r>
          </w:p>
        </w:tc>
        <w:tc>
          <w:tcPr>
            <w:tcW w:w="440" w:type="dxa"/>
            <w:tcBorders>
              <w:top w:val="nil"/>
              <w:left w:val="nil"/>
              <w:bottom w:val="single" w:sz="4" w:space="0" w:color="auto"/>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37,9</w:t>
            </w:r>
          </w:p>
        </w:tc>
        <w:tc>
          <w:tcPr>
            <w:tcW w:w="440" w:type="dxa"/>
            <w:tcBorders>
              <w:top w:val="nil"/>
              <w:left w:val="nil"/>
              <w:bottom w:val="single" w:sz="4" w:space="0" w:color="auto"/>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38,7</w:t>
            </w:r>
          </w:p>
        </w:tc>
        <w:tc>
          <w:tcPr>
            <w:tcW w:w="380" w:type="dxa"/>
            <w:tcBorders>
              <w:top w:val="nil"/>
              <w:left w:val="nil"/>
              <w:bottom w:val="single" w:sz="4" w:space="0" w:color="auto"/>
              <w:right w:val="nil"/>
            </w:tcBorders>
            <w:shd w:val="clear" w:color="000000" w:fill="FFFFFF"/>
            <w:vAlign w:val="center"/>
          </w:tcPr>
          <w:p w:rsidR="00D2350F" w:rsidRPr="00086A6E" w:rsidRDefault="00D2350F" w:rsidP="00D2350F">
            <w:pPr>
              <w:keepNext/>
              <w:ind w:right="-20"/>
              <w:jc w:val="center"/>
              <w:rPr>
                <w:rFonts w:ascii="Times New Roman" w:hAnsi="Times New Roman" w:cs="Times New Roman"/>
                <w:bCs/>
                <w:color w:val="000000"/>
                <w:sz w:val="14"/>
                <w:szCs w:val="14"/>
                <w:lang w:eastAsia="sk-SK"/>
              </w:rPr>
            </w:pPr>
            <w:r w:rsidRPr="00086A6E">
              <w:rPr>
                <w:rFonts w:ascii="Times New Roman" w:hAnsi="Times New Roman" w:cs="Times New Roman"/>
                <w:bCs/>
                <w:color w:val="000000"/>
                <w:sz w:val="14"/>
                <w:szCs w:val="14"/>
                <w:lang w:eastAsia="sk-SK"/>
              </w:rPr>
              <w:t>39,1</w:t>
            </w:r>
          </w:p>
        </w:tc>
        <w:tc>
          <w:tcPr>
            <w:tcW w:w="520" w:type="dxa"/>
            <w:tcBorders>
              <w:top w:val="nil"/>
              <w:left w:val="nil"/>
              <w:bottom w:val="single" w:sz="4" w:space="0" w:color="auto"/>
              <w:right w:val="nil"/>
            </w:tcBorders>
            <w:shd w:val="clear" w:color="000000" w:fill="FFFFFF"/>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39,9</w:t>
            </w:r>
          </w:p>
        </w:tc>
        <w:tc>
          <w:tcPr>
            <w:tcW w:w="520" w:type="dxa"/>
            <w:tcBorders>
              <w:top w:val="nil"/>
              <w:left w:val="nil"/>
              <w:bottom w:val="single" w:sz="4" w:space="0" w:color="auto"/>
              <w:right w:val="nil"/>
            </w:tcBorders>
            <w:shd w:val="clear" w:color="000000" w:fill="FFFFFF"/>
            <w:tcMar>
              <w:top w:w="15" w:type="dxa"/>
              <w:left w:w="15" w:type="dxa"/>
              <w:bottom w:w="0" w:type="dxa"/>
              <w:right w:w="15" w:type="dxa"/>
            </w:tcMar>
            <w:vAlign w:val="center"/>
          </w:tcPr>
          <w:p w:rsidR="00D2350F" w:rsidRPr="00086A6E" w:rsidRDefault="00D2350F" w:rsidP="00D2350F">
            <w:pPr>
              <w:keepNext/>
              <w:ind w:right="-20"/>
              <w:jc w:val="cente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40</w:t>
            </w:r>
          </w:p>
        </w:tc>
      </w:tr>
      <w:tr w:rsidR="00D2350F" w:rsidRPr="00086A6E" w:rsidTr="00D2350F">
        <w:trPr>
          <w:trHeight w:val="79"/>
        </w:trPr>
        <w:tc>
          <w:tcPr>
            <w:tcW w:w="520" w:type="dxa"/>
            <w:tcBorders>
              <w:top w:val="single" w:sz="4" w:space="0" w:color="auto"/>
              <w:left w:val="nil"/>
              <w:bottom w:val="single" w:sz="4" w:space="0" w:color="auto"/>
              <w:right w:val="nil"/>
            </w:tcBorders>
            <w:shd w:val="clear" w:color="000000" w:fill="FFFFFF"/>
          </w:tcPr>
          <w:p w:rsidR="00D2350F" w:rsidRPr="00086A6E" w:rsidRDefault="00D2350F" w:rsidP="00D2350F">
            <w:pPr>
              <w:keepNext/>
              <w:ind w:right="89"/>
              <w:jc w:val="right"/>
              <w:rPr>
                <w:rFonts w:ascii="Times New Roman" w:hAnsi="Times New Roman" w:cs="Times New Roman"/>
                <w:bCs/>
                <w:i/>
                <w:color w:val="000000"/>
                <w:sz w:val="18"/>
                <w:lang w:eastAsia="sk-SK"/>
              </w:rPr>
            </w:pPr>
          </w:p>
        </w:tc>
        <w:tc>
          <w:tcPr>
            <w:tcW w:w="8641" w:type="dxa"/>
            <w:gridSpan w:val="13"/>
            <w:tcBorders>
              <w:top w:val="single" w:sz="4" w:space="0" w:color="auto"/>
              <w:left w:val="nil"/>
              <w:bottom w:val="single" w:sz="4" w:space="0" w:color="auto"/>
              <w:right w:val="nil"/>
            </w:tcBorders>
            <w:shd w:val="clear" w:color="000000" w:fill="FFFFFF"/>
          </w:tcPr>
          <w:p w:rsidR="00D2350F" w:rsidRPr="00086A6E" w:rsidRDefault="00D2350F" w:rsidP="00D2350F">
            <w:pPr>
              <w:keepNext/>
              <w:ind w:right="89"/>
              <w:jc w:val="right"/>
              <w:rPr>
                <w:rFonts w:ascii="Times New Roman" w:hAnsi="Times New Roman" w:cs="Times New Roman"/>
                <w:bCs/>
                <w:i/>
                <w:color w:val="000000"/>
                <w:sz w:val="18"/>
                <w:lang w:eastAsia="sk-SK"/>
              </w:rPr>
            </w:pPr>
            <w:r w:rsidRPr="00086A6E">
              <w:rPr>
                <w:rFonts w:ascii="Times New Roman" w:hAnsi="Times New Roman" w:cs="Times New Roman"/>
                <w:bCs/>
                <w:i/>
                <w:color w:val="000000"/>
                <w:sz w:val="18"/>
                <w:lang w:eastAsia="sk-SK"/>
              </w:rPr>
              <w:t>Zdroj: MF SR, MŠVVŠ SR,OECD, Eurostat</w:t>
            </w:r>
          </w:p>
        </w:tc>
      </w:tr>
      <w:tr w:rsidR="00D2350F" w:rsidRPr="00086A6E" w:rsidTr="00D2350F">
        <w:trPr>
          <w:trHeight w:val="79"/>
        </w:trPr>
        <w:tc>
          <w:tcPr>
            <w:tcW w:w="520" w:type="dxa"/>
            <w:tcBorders>
              <w:top w:val="single" w:sz="4" w:space="0" w:color="auto"/>
              <w:left w:val="nil"/>
              <w:right w:val="nil"/>
            </w:tcBorders>
            <w:shd w:val="clear" w:color="000000" w:fill="FFFFFF"/>
          </w:tcPr>
          <w:p w:rsidR="00D2350F" w:rsidRPr="00086A6E" w:rsidRDefault="00D2350F" w:rsidP="00D2350F">
            <w:pPr>
              <w:keepNext/>
              <w:ind w:right="89"/>
              <w:jc w:val="right"/>
              <w:rPr>
                <w:rFonts w:ascii="Times New Roman" w:hAnsi="Times New Roman" w:cs="Times New Roman"/>
                <w:bCs/>
                <w:i/>
                <w:color w:val="000000"/>
                <w:sz w:val="18"/>
                <w:lang w:eastAsia="sk-SK"/>
              </w:rPr>
            </w:pPr>
          </w:p>
        </w:tc>
        <w:tc>
          <w:tcPr>
            <w:tcW w:w="8641" w:type="dxa"/>
            <w:gridSpan w:val="13"/>
            <w:tcBorders>
              <w:top w:val="single" w:sz="4" w:space="0" w:color="auto"/>
              <w:left w:val="nil"/>
              <w:right w:val="nil"/>
            </w:tcBorders>
            <w:shd w:val="clear" w:color="000000" w:fill="FFFFFF"/>
          </w:tcPr>
          <w:p w:rsidR="00D2350F" w:rsidRPr="00086A6E" w:rsidRDefault="00D2350F" w:rsidP="00D2350F">
            <w:pPr>
              <w:keepNext/>
              <w:ind w:right="89"/>
              <w:jc w:val="right"/>
              <w:rPr>
                <w:rFonts w:ascii="Times New Roman" w:hAnsi="Times New Roman" w:cs="Times New Roman"/>
                <w:bCs/>
                <w:i/>
                <w:color w:val="000000"/>
                <w:sz w:val="18"/>
                <w:lang w:eastAsia="sk-SK"/>
              </w:rPr>
            </w:pPr>
          </w:p>
          <w:p w:rsidR="00D2350F" w:rsidRPr="00086A6E" w:rsidRDefault="00D2350F" w:rsidP="00D2350F">
            <w:pPr>
              <w:keepNext/>
              <w:ind w:right="89"/>
              <w:jc w:val="right"/>
              <w:rPr>
                <w:rFonts w:ascii="Times New Roman" w:hAnsi="Times New Roman" w:cs="Times New Roman"/>
                <w:bCs/>
                <w:i/>
                <w:color w:val="000000"/>
                <w:sz w:val="18"/>
                <w:lang w:eastAsia="sk-SK"/>
              </w:rPr>
            </w:pPr>
          </w:p>
        </w:tc>
      </w:tr>
    </w:tbl>
    <w:p w:rsidR="00D2350F" w:rsidRDefault="00D2350F" w:rsidP="00D2350F">
      <w:pPr>
        <w:ind w:firstLine="709"/>
        <w:jc w:val="both"/>
        <w:rPr>
          <w:rFonts w:ascii="Times New Roman" w:hAnsi="Times New Roman" w:cs="Times New Roman"/>
          <w:sz w:val="22"/>
          <w:szCs w:val="22"/>
          <w:lang w:eastAsia="en-US"/>
        </w:rPr>
      </w:pPr>
      <w:r>
        <w:rPr>
          <w:rFonts w:ascii="Times New Roman" w:hAnsi="Times New Roman"/>
        </w:rPr>
        <w:t xml:space="preserve">Celkové verejné výdavky Slovenska na vzdelávanie – teda výdavky všetkých subjektov verejnej správy, sa v roku 2018 očakávajú vo výške približne 4 % HDP. Do roku 2015 sa rozdiel medzi Slovenskom a priemerom EÚ zmenšoval, v roku 2016 sa opätovne zväčšil. Do roku 2021 sa odhaduje nárast slovenských výdavkov v tejto kategórii na 4,1 % HDP. </w:t>
      </w:r>
    </w:p>
    <w:p w:rsidR="00D2350F" w:rsidRDefault="00D2350F" w:rsidP="00D2350F">
      <w:pPr>
        <w:jc w:val="both"/>
        <w:rPr>
          <w:rFonts w:ascii="Times New Roman" w:hAnsi="Times New Roman"/>
        </w:rPr>
      </w:pPr>
    </w:p>
    <w:p w:rsidR="00D2350F" w:rsidRDefault="00D2350F" w:rsidP="00D2350F">
      <w:pPr>
        <w:ind w:firstLine="709"/>
        <w:jc w:val="both"/>
        <w:rPr>
          <w:rFonts w:ascii="Times New Roman" w:hAnsi="Times New Roman"/>
        </w:rPr>
      </w:pPr>
      <w:r>
        <w:rPr>
          <w:rFonts w:ascii="Times New Roman" w:hAnsi="Times New Roman"/>
        </w:rPr>
        <w:lastRenderedPageBreak/>
        <w:t>Výdavky na vzdelávanie ako podiel na celkových verejných výdavko</w:t>
      </w:r>
      <w:r w:rsidR="004650BC">
        <w:rPr>
          <w:rFonts w:ascii="Times New Roman" w:hAnsi="Times New Roman"/>
        </w:rPr>
        <w:t>ch</w:t>
      </w:r>
      <w:r>
        <w:rPr>
          <w:rFonts w:ascii="Times New Roman" w:hAnsi="Times New Roman"/>
        </w:rPr>
        <w:t xml:space="preserve"> sa podľa odhadov MF SR zvýšia z 9,3 % v roku 2016 na 11,0 % verejných výdavkov v roku 2021 čo je približne súčasný podiel v krajinách EÚ. </w:t>
      </w:r>
    </w:p>
    <w:p w:rsidR="00D2350F" w:rsidRDefault="00D2350F" w:rsidP="00D2350F">
      <w:pPr>
        <w:ind w:firstLine="709"/>
        <w:jc w:val="both"/>
        <w:rPr>
          <w:rFonts w:ascii="Times New Roman" w:hAnsi="Times New Roman"/>
        </w:rPr>
      </w:pPr>
    </w:p>
    <w:p w:rsidR="00D2350F" w:rsidRDefault="00D2350F" w:rsidP="00D2350F">
      <w:pPr>
        <w:ind w:firstLine="709"/>
        <w:jc w:val="both"/>
        <w:rPr>
          <w:rFonts w:ascii="Times New Roman" w:hAnsi="Times New Roman"/>
        </w:rPr>
      </w:pPr>
      <w:r>
        <w:rPr>
          <w:rFonts w:ascii="Times New Roman" w:hAnsi="Times New Roman"/>
        </w:rPr>
        <w:t>Revízia výdavkov na vzdelávanie v roku 2017 pomenovala okrem dodatočných výdavkov potreby ďalšej reformy na dosiahnutie želaného zlepšenia kvality vzdelávania. Okrem plošného zvyšovania platov učiteľov sú prioritami predovšetkým  väzba odmeňovania na kvalitu učiteľov, vrátane väčšieho podielu odmien na mzde, reforma procesu akreditácie vysokých škôl, a zlepšenie  kvality a dostupnosti údajov o výsledkoch žiakov a absolventov. zároveň identifikovala potenciál na úspory v racionalizácii siete regionálneho školstva, zrušení systému kreditových príplatkov a zvýšení podielu študentov nepokračujúcich v magisterskom štúdiu.</w:t>
      </w:r>
    </w:p>
    <w:p w:rsidR="00D2350F" w:rsidRPr="00D2350F" w:rsidRDefault="00D2350F" w:rsidP="00D2350F">
      <w:pPr>
        <w:spacing w:after="55" w:line="240" w:lineRule="exact"/>
        <w:ind w:right="2"/>
        <w:jc w:val="both"/>
        <w:rPr>
          <w:rFonts w:ascii="Times New Roman" w:hAnsi="Times New Roman"/>
          <w:sz w:val="14"/>
        </w:rPr>
      </w:pPr>
    </w:p>
    <w:tbl>
      <w:tblPr>
        <w:tblW w:w="0" w:type="auto"/>
        <w:tblCellMar>
          <w:left w:w="0" w:type="dxa"/>
          <w:right w:w="0" w:type="dxa"/>
        </w:tblCellMar>
        <w:tblLook w:val="04A0" w:firstRow="1" w:lastRow="0" w:firstColumn="1" w:lastColumn="0" w:noHBand="0" w:noVBand="1"/>
      </w:tblPr>
      <w:tblGrid>
        <w:gridCol w:w="4536"/>
        <w:gridCol w:w="4536"/>
      </w:tblGrid>
      <w:tr w:rsidR="00D2350F" w:rsidTr="00D2350F">
        <w:trPr>
          <w:trHeight w:val="709"/>
        </w:trPr>
        <w:tc>
          <w:tcPr>
            <w:tcW w:w="9072" w:type="dxa"/>
            <w:gridSpan w:val="2"/>
            <w:tcBorders>
              <w:top w:val="nil"/>
              <w:left w:val="nil"/>
              <w:bottom w:val="single" w:sz="8" w:space="0" w:color="auto"/>
              <w:right w:val="nil"/>
            </w:tcBorders>
            <w:tcMar>
              <w:top w:w="0" w:type="dxa"/>
              <w:left w:w="70" w:type="dxa"/>
              <w:bottom w:w="0" w:type="dxa"/>
              <w:right w:w="70" w:type="dxa"/>
            </w:tcMar>
            <w:hideMark/>
          </w:tcPr>
          <w:p w:rsidR="00D2350F" w:rsidRDefault="00D2350F" w:rsidP="00D2350F">
            <w:pPr>
              <w:keepNext/>
              <w:ind w:left="214" w:right="-20"/>
              <w:rPr>
                <w:rFonts w:ascii="Times New Roman" w:hAnsi="Times New Roman"/>
                <w:b/>
                <w:bCs/>
                <w:sz w:val="18"/>
                <w:szCs w:val="18"/>
              </w:rPr>
            </w:pPr>
            <w:r>
              <w:rPr>
                <w:rFonts w:ascii="Times New Roman" w:hAnsi="Times New Roman"/>
                <w:b/>
                <w:bCs/>
                <w:sz w:val="18"/>
                <w:szCs w:val="18"/>
                <w:lang w:eastAsia="sk-SK"/>
              </w:rPr>
              <w:t>Graf:</w:t>
            </w:r>
            <w:r>
              <w:rPr>
                <w:rFonts w:ascii="Times New Roman" w:hAnsi="Times New Roman"/>
                <w:b/>
                <w:bCs/>
                <w:sz w:val="18"/>
                <w:szCs w:val="18"/>
                <w:lang w:eastAsia="fr-FR"/>
              </w:rPr>
              <w:t xml:space="preserve"> Verejné výdavky na vzdelávanie (2008 – 2016 a prognóza do roku 2020, metodika COFOG)</w:t>
            </w:r>
          </w:p>
        </w:tc>
      </w:tr>
      <w:tr w:rsidR="00D2350F" w:rsidTr="00D2350F">
        <w:trPr>
          <w:trHeight w:hRule="exact" w:val="709"/>
        </w:trPr>
        <w:tc>
          <w:tcPr>
            <w:tcW w:w="4536" w:type="dxa"/>
            <w:tcBorders>
              <w:top w:val="nil"/>
              <w:left w:val="nil"/>
              <w:bottom w:val="single" w:sz="8" w:space="0" w:color="auto"/>
              <w:right w:val="nil"/>
            </w:tcBorders>
            <w:tcMar>
              <w:top w:w="0" w:type="dxa"/>
              <w:left w:w="70" w:type="dxa"/>
              <w:bottom w:w="0" w:type="dxa"/>
              <w:right w:w="70" w:type="dxa"/>
            </w:tcMar>
            <w:hideMark/>
          </w:tcPr>
          <w:p w:rsidR="00D2350F" w:rsidRDefault="00D2350F" w:rsidP="00D2350F">
            <w:pPr>
              <w:keepNext/>
              <w:ind w:right="-20"/>
              <w:contextualSpacing/>
              <w:jc w:val="center"/>
              <w:rPr>
                <w:rFonts w:ascii="Times New Roman" w:hAnsi="Times New Roman"/>
                <w:b/>
                <w:bCs/>
                <w:sz w:val="18"/>
                <w:szCs w:val="18"/>
                <w:lang w:eastAsia="sk-SK"/>
              </w:rPr>
            </w:pPr>
            <w:bookmarkStart w:id="81" w:name="_Toc487200863"/>
            <w:bookmarkStart w:id="82" w:name="_Ref479595191"/>
            <w:bookmarkEnd w:id="81"/>
            <w:r>
              <w:rPr>
                <w:rFonts w:ascii="Times New Roman" w:hAnsi="Times New Roman"/>
                <w:b/>
                <w:bCs/>
                <w:sz w:val="18"/>
                <w:szCs w:val="18"/>
                <w:lang w:eastAsia="sk-SK"/>
              </w:rPr>
              <w:t>v % HDP</w:t>
            </w:r>
            <w:bookmarkEnd w:id="82"/>
          </w:p>
        </w:tc>
        <w:tc>
          <w:tcPr>
            <w:tcW w:w="4536" w:type="dxa"/>
            <w:tcBorders>
              <w:top w:val="nil"/>
              <w:left w:val="nil"/>
              <w:bottom w:val="single" w:sz="8" w:space="0" w:color="auto"/>
              <w:right w:val="nil"/>
            </w:tcBorders>
            <w:tcMar>
              <w:top w:w="0" w:type="dxa"/>
              <w:left w:w="70" w:type="dxa"/>
              <w:bottom w:w="0" w:type="dxa"/>
              <w:right w:w="70" w:type="dxa"/>
            </w:tcMar>
            <w:hideMark/>
          </w:tcPr>
          <w:p w:rsidR="00D2350F" w:rsidRDefault="00D2350F" w:rsidP="00D2350F">
            <w:pPr>
              <w:keepNext/>
              <w:ind w:right="-20"/>
              <w:jc w:val="center"/>
              <w:rPr>
                <w:rFonts w:ascii="Times New Roman" w:hAnsi="Times New Roman"/>
                <w:b/>
                <w:bCs/>
                <w:sz w:val="18"/>
                <w:szCs w:val="18"/>
                <w:lang w:eastAsia="sk-SK"/>
              </w:rPr>
            </w:pPr>
            <w:bookmarkStart w:id="83" w:name="_Toc487200864"/>
            <w:r>
              <w:rPr>
                <w:rFonts w:ascii="Times New Roman" w:hAnsi="Times New Roman"/>
                <w:b/>
                <w:bCs/>
                <w:sz w:val="18"/>
                <w:szCs w:val="18"/>
                <w:lang w:eastAsia="fr-FR"/>
              </w:rPr>
              <w:t>v % z celkových verejných výdavkov</w:t>
            </w:r>
            <w:bookmarkEnd w:id="83"/>
          </w:p>
        </w:tc>
      </w:tr>
      <w:tr w:rsidR="00D2350F" w:rsidTr="00D2350F">
        <w:trPr>
          <w:trHeight w:val="3374"/>
        </w:trPr>
        <w:tc>
          <w:tcPr>
            <w:tcW w:w="4536" w:type="dxa"/>
            <w:tcBorders>
              <w:top w:val="nil"/>
              <w:left w:val="nil"/>
              <w:bottom w:val="single" w:sz="8" w:space="0" w:color="auto"/>
              <w:right w:val="nil"/>
            </w:tcBorders>
            <w:tcMar>
              <w:top w:w="0" w:type="dxa"/>
              <w:left w:w="70" w:type="dxa"/>
              <w:bottom w:w="0" w:type="dxa"/>
              <w:right w:w="70" w:type="dxa"/>
            </w:tcMar>
            <w:hideMark/>
          </w:tcPr>
          <w:p w:rsidR="00D2350F" w:rsidRDefault="00D2350F" w:rsidP="00D2350F">
            <w:pPr>
              <w:keepNext/>
              <w:ind w:right="-20"/>
              <w:rPr>
                <w:rFonts w:ascii="Times New Roman" w:hAnsi="Times New Roman"/>
                <w:sz w:val="18"/>
                <w:szCs w:val="18"/>
                <w:lang w:eastAsia="sk-SK"/>
              </w:rPr>
            </w:pPr>
            <w:r>
              <w:rPr>
                <w:noProof/>
                <w:lang w:eastAsia="sk-SK"/>
              </w:rPr>
              <w:drawing>
                <wp:inline distT="0" distB="0" distL="0" distR="0" wp14:anchorId="38E915C1" wp14:editId="60F450B2">
                  <wp:extent cx="2790825" cy="1524000"/>
                  <wp:effectExtent l="0" t="0" r="9525" b="0"/>
                  <wp:docPr id="28" name="Obrázok 28" descr="cid:image001.png@01D45B46.85569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 12" descr="cid:image001.png@01D45B46.855697B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790825" cy="1524000"/>
                          </a:xfrm>
                          <a:prstGeom prst="rect">
                            <a:avLst/>
                          </a:prstGeom>
                          <a:noFill/>
                          <a:ln>
                            <a:noFill/>
                          </a:ln>
                        </pic:spPr>
                      </pic:pic>
                    </a:graphicData>
                  </a:graphic>
                </wp:inline>
              </w:drawing>
            </w:r>
          </w:p>
        </w:tc>
        <w:tc>
          <w:tcPr>
            <w:tcW w:w="4536" w:type="dxa"/>
            <w:tcBorders>
              <w:top w:val="nil"/>
              <w:left w:val="nil"/>
              <w:bottom w:val="single" w:sz="8" w:space="0" w:color="auto"/>
              <w:right w:val="nil"/>
            </w:tcBorders>
            <w:tcMar>
              <w:top w:w="0" w:type="dxa"/>
              <w:left w:w="70" w:type="dxa"/>
              <w:bottom w:w="0" w:type="dxa"/>
              <w:right w:w="70" w:type="dxa"/>
            </w:tcMar>
            <w:hideMark/>
          </w:tcPr>
          <w:p w:rsidR="00D2350F" w:rsidRDefault="00D2350F" w:rsidP="00D2350F">
            <w:pPr>
              <w:keepNext/>
              <w:ind w:right="-20"/>
              <w:rPr>
                <w:rFonts w:ascii="Times New Roman" w:hAnsi="Times New Roman"/>
                <w:sz w:val="18"/>
                <w:szCs w:val="18"/>
                <w:lang w:eastAsia="sk-SK"/>
              </w:rPr>
            </w:pPr>
            <w:r>
              <w:rPr>
                <w:noProof/>
                <w:lang w:eastAsia="sk-SK"/>
              </w:rPr>
              <w:drawing>
                <wp:inline distT="0" distB="0" distL="0" distR="0" wp14:anchorId="17C8B6BA" wp14:editId="0A16ACEE">
                  <wp:extent cx="2790825" cy="2133600"/>
                  <wp:effectExtent l="0" t="0" r="9525" b="0"/>
                  <wp:docPr id="29" name="Obrázok 29" descr="cid:image002.png@01D45B46.85569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 6" descr="cid:image002.png@01D45B46.855697B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790825" cy="2133600"/>
                          </a:xfrm>
                          <a:prstGeom prst="rect">
                            <a:avLst/>
                          </a:prstGeom>
                          <a:noFill/>
                          <a:ln>
                            <a:noFill/>
                          </a:ln>
                        </pic:spPr>
                      </pic:pic>
                    </a:graphicData>
                  </a:graphic>
                </wp:inline>
              </w:drawing>
            </w:r>
          </w:p>
        </w:tc>
      </w:tr>
      <w:tr w:rsidR="00D2350F" w:rsidTr="00D2350F">
        <w:trPr>
          <w:trHeight w:val="20"/>
        </w:trPr>
        <w:tc>
          <w:tcPr>
            <w:tcW w:w="9072" w:type="dxa"/>
            <w:gridSpan w:val="2"/>
            <w:tcMar>
              <w:top w:w="0" w:type="dxa"/>
              <w:left w:w="108" w:type="dxa"/>
              <w:bottom w:w="0" w:type="dxa"/>
              <w:right w:w="108" w:type="dxa"/>
            </w:tcMar>
            <w:hideMark/>
          </w:tcPr>
          <w:p w:rsidR="00D2350F" w:rsidRDefault="000E6064" w:rsidP="000E6064">
            <w:pPr>
              <w:ind w:right="-20"/>
              <w:rPr>
                <w:rFonts w:ascii="Times New Roman" w:hAnsi="Times New Roman"/>
                <w:i/>
                <w:iCs/>
                <w:sz w:val="18"/>
                <w:szCs w:val="18"/>
              </w:rPr>
            </w:pPr>
            <w:r>
              <w:rPr>
                <w:rFonts w:ascii="Times New Roman" w:hAnsi="Times New Roman"/>
                <w:i/>
                <w:iCs/>
                <w:sz w:val="18"/>
                <w:szCs w:val="18"/>
                <w:lang w:eastAsia="zh-TW"/>
              </w:rPr>
              <w:t xml:space="preserve">                                                            </w:t>
            </w:r>
            <w:r w:rsidR="00D2350F">
              <w:rPr>
                <w:rFonts w:ascii="Times New Roman" w:hAnsi="Times New Roman"/>
                <w:i/>
                <w:iCs/>
                <w:sz w:val="18"/>
                <w:szCs w:val="18"/>
                <w:lang w:eastAsia="zh-TW"/>
              </w:rPr>
              <w:t>Zdroj: Eurostat, RIS</w:t>
            </w:r>
            <w:r w:rsidR="00D2350F">
              <w:rPr>
                <w:rFonts w:ascii="Times New Roman" w:hAnsi="Times New Roman"/>
                <w:i/>
                <w:iCs/>
                <w:sz w:val="18"/>
                <w:szCs w:val="18"/>
              </w:rPr>
              <w:t>                                   </w:t>
            </w:r>
            <w:r>
              <w:rPr>
                <w:rFonts w:ascii="Times New Roman" w:hAnsi="Times New Roman"/>
                <w:i/>
                <w:iCs/>
                <w:sz w:val="18"/>
                <w:szCs w:val="18"/>
              </w:rPr>
              <w:t xml:space="preserve">                                   </w:t>
            </w:r>
            <w:r w:rsidR="00D2350F">
              <w:rPr>
                <w:rFonts w:ascii="Times New Roman" w:hAnsi="Times New Roman"/>
                <w:i/>
                <w:iCs/>
                <w:sz w:val="18"/>
                <w:szCs w:val="18"/>
              </w:rPr>
              <w:t>Zdroj: Eurostat, RIS</w:t>
            </w:r>
          </w:p>
        </w:tc>
      </w:tr>
    </w:tbl>
    <w:p w:rsidR="00D2350F" w:rsidRPr="00D2350F" w:rsidRDefault="00D2350F" w:rsidP="00D2350F">
      <w:pPr>
        <w:spacing w:after="200"/>
        <w:contextualSpacing/>
        <w:jc w:val="both"/>
        <w:rPr>
          <w:rFonts w:ascii="Times New Roman" w:eastAsiaTheme="minorHAnsi" w:hAnsi="Times New Roman"/>
          <w:sz w:val="16"/>
          <w:lang w:eastAsia="en-US"/>
        </w:rPr>
      </w:pPr>
    </w:p>
    <w:p w:rsidR="00D2350F" w:rsidRPr="00086A6E" w:rsidRDefault="00D2350F" w:rsidP="00D2350F">
      <w:pPr>
        <w:spacing w:after="200"/>
        <w:contextualSpacing/>
        <w:jc w:val="both"/>
        <w:rPr>
          <w:rFonts w:ascii="Times New Roman" w:hAnsi="Times New Roman" w:cs="Times New Roman"/>
          <w:lang w:eastAsia="en-US"/>
        </w:rPr>
      </w:pPr>
      <w:r w:rsidRPr="00086A6E">
        <w:rPr>
          <w:rFonts w:ascii="Times New Roman" w:hAnsi="Times New Roman" w:cs="Times New Roman"/>
          <w:lang w:eastAsia="en-US"/>
        </w:rPr>
        <w:t>Výdavky rezortu MŠVVŠ SR zo štátneho rozpočtu podľa oblastí a</w:t>
      </w:r>
      <w:r w:rsidR="004650BC">
        <w:rPr>
          <w:rFonts w:ascii="Times New Roman" w:hAnsi="Times New Roman" w:cs="Times New Roman"/>
          <w:lang w:eastAsia="en-US"/>
        </w:rPr>
        <w:t> </w:t>
      </w:r>
      <w:r w:rsidRPr="00086A6E">
        <w:rPr>
          <w:rFonts w:ascii="Times New Roman" w:hAnsi="Times New Roman" w:cs="Times New Roman"/>
          <w:lang w:eastAsia="en-US"/>
        </w:rPr>
        <w:t>zdrojov</w:t>
      </w:r>
      <w:r w:rsidR="004650BC">
        <w:rPr>
          <w:rFonts w:ascii="Times New Roman" w:hAnsi="Times New Roman" w:cs="Times New Roman"/>
          <w:lang w:eastAsia="en-US"/>
        </w:rPr>
        <w:t>.</w:t>
      </w:r>
    </w:p>
    <w:p w:rsidR="00D2350F" w:rsidRPr="00D2350F" w:rsidRDefault="00D2350F" w:rsidP="00D2350F">
      <w:pPr>
        <w:spacing w:after="200"/>
        <w:contextualSpacing/>
        <w:jc w:val="both"/>
        <w:rPr>
          <w:rFonts w:ascii="Times New Roman" w:hAnsi="Times New Roman" w:cs="Times New Roman"/>
          <w:sz w:val="14"/>
          <w:lang w:eastAsia="en-US"/>
        </w:rPr>
      </w:pPr>
    </w:p>
    <w:tbl>
      <w:tblPr>
        <w:tblW w:w="5000" w:type="pct"/>
        <w:tblCellMar>
          <w:left w:w="70" w:type="dxa"/>
          <w:right w:w="70" w:type="dxa"/>
        </w:tblCellMar>
        <w:tblLook w:val="04A0" w:firstRow="1" w:lastRow="0" w:firstColumn="1" w:lastColumn="0" w:noHBand="0" w:noVBand="1"/>
      </w:tblPr>
      <w:tblGrid>
        <w:gridCol w:w="2277"/>
        <w:gridCol w:w="954"/>
        <w:gridCol w:w="971"/>
        <w:gridCol w:w="971"/>
        <w:gridCol w:w="973"/>
        <w:gridCol w:w="973"/>
        <w:gridCol w:w="973"/>
        <w:gridCol w:w="970"/>
      </w:tblGrid>
      <w:tr w:rsidR="00D2350F" w:rsidRPr="00086A6E" w:rsidTr="00D2350F">
        <w:trPr>
          <w:trHeight w:val="227"/>
        </w:trPr>
        <w:tc>
          <w:tcPr>
            <w:tcW w:w="125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D2350F" w:rsidRPr="00086A6E" w:rsidRDefault="00D2350F" w:rsidP="00D2350F">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v eurách</w:t>
            </w:r>
          </w:p>
        </w:tc>
        <w:tc>
          <w:tcPr>
            <w:tcW w:w="526" w:type="pct"/>
            <w:tcBorders>
              <w:top w:val="single" w:sz="4" w:space="0" w:color="auto"/>
              <w:left w:val="nil"/>
              <w:bottom w:val="single" w:sz="4" w:space="0" w:color="auto"/>
              <w:right w:val="single" w:sz="4" w:space="0" w:color="auto"/>
            </w:tcBorders>
            <w:shd w:val="clear" w:color="000000" w:fill="A6A6A6"/>
            <w:noWrap/>
            <w:vAlign w:val="center"/>
            <w:hideMark/>
          </w:tcPr>
          <w:p w:rsidR="00D2350F" w:rsidRPr="00086A6E" w:rsidRDefault="00D2350F" w:rsidP="00D2350F">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2016 S</w:t>
            </w:r>
          </w:p>
        </w:tc>
        <w:tc>
          <w:tcPr>
            <w:tcW w:w="536" w:type="pct"/>
            <w:tcBorders>
              <w:top w:val="single" w:sz="4" w:space="0" w:color="auto"/>
              <w:left w:val="nil"/>
              <w:bottom w:val="single" w:sz="4" w:space="0" w:color="auto"/>
              <w:right w:val="single" w:sz="4" w:space="0" w:color="auto"/>
            </w:tcBorders>
            <w:shd w:val="clear" w:color="000000" w:fill="A6A6A6"/>
            <w:noWrap/>
            <w:vAlign w:val="center"/>
            <w:hideMark/>
          </w:tcPr>
          <w:p w:rsidR="00D2350F" w:rsidRPr="00086A6E" w:rsidRDefault="00D2350F" w:rsidP="00D2350F">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2017 S</w:t>
            </w:r>
          </w:p>
        </w:tc>
        <w:tc>
          <w:tcPr>
            <w:tcW w:w="536" w:type="pct"/>
            <w:tcBorders>
              <w:top w:val="single" w:sz="4" w:space="0" w:color="auto"/>
              <w:left w:val="nil"/>
              <w:bottom w:val="single" w:sz="4" w:space="0" w:color="auto"/>
              <w:right w:val="single" w:sz="4" w:space="0" w:color="auto"/>
            </w:tcBorders>
            <w:shd w:val="clear" w:color="000000" w:fill="A6A6A6"/>
            <w:noWrap/>
            <w:vAlign w:val="center"/>
            <w:hideMark/>
          </w:tcPr>
          <w:p w:rsidR="00D2350F" w:rsidRPr="00086A6E" w:rsidRDefault="00D2350F" w:rsidP="00D2350F">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2018 R</w:t>
            </w:r>
          </w:p>
        </w:tc>
        <w:tc>
          <w:tcPr>
            <w:tcW w:w="537" w:type="pct"/>
            <w:tcBorders>
              <w:top w:val="single" w:sz="4" w:space="0" w:color="auto"/>
              <w:left w:val="nil"/>
              <w:bottom w:val="single" w:sz="4" w:space="0" w:color="auto"/>
              <w:right w:val="single" w:sz="4" w:space="0" w:color="auto"/>
            </w:tcBorders>
            <w:shd w:val="clear" w:color="000000" w:fill="A6A6A6"/>
            <w:noWrap/>
            <w:vAlign w:val="center"/>
            <w:hideMark/>
          </w:tcPr>
          <w:p w:rsidR="00D2350F" w:rsidRPr="00086A6E" w:rsidRDefault="00D2350F" w:rsidP="00D2350F">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2018 OS</w:t>
            </w:r>
          </w:p>
        </w:tc>
        <w:tc>
          <w:tcPr>
            <w:tcW w:w="537" w:type="pct"/>
            <w:tcBorders>
              <w:top w:val="single" w:sz="4" w:space="0" w:color="auto"/>
              <w:left w:val="nil"/>
              <w:bottom w:val="single" w:sz="4" w:space="0" w:color="auto"/>
              <w:right w:val="single" w:sz="4" w:space="0" w:color="auto"/>
            </w:tcBorders>
            <w:shd w:val="clear" w:color="000000" w:fill="A6A6A6"/>
            <w:noWrap/>
            <w:vAlign w:val="center"/>
            <w:hideMark/>
          </w:tcPr>
          <w:p w:rsidR="00D2350F" w:rsidRPr="00086A6E" w:rsidRDefault="00D2350F" w:rsidP="00D2350F">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2019 N</w:t>
            </w:r>
          </w:p>
        </w:tc>
        <w:tc>
          <w:tcPr>
            <w:tcW w:w="537" w:type="pct"/>
            <w:tcBorders>
              <w:top w:val="single" w:sz="4" w:space="0" w:color="auto"/>
              <w:left w:val="nil"/>
              <w:bottom w:val="single" w:sz="4" w:space="0" w:color="auto"/>
              <w:right w:val="single" w:sz="4" w:space="0" w:color="auto"/>
            </w:tcBorders>
            <w:shd w:val="clear" w:color="000000" w:fill="A6A6A6"/>
            <w:noWrap/>
            <w:vAlign w:val="center"/>
            <w:hideMark/>
          </w:tcPr>
          <w:p w:rsidR="00D2350F" w:rsidRPr="00086A6E" w:rsidRDefault="00D2350F" w:rsidP="00D2350F">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2020 N</w:t>
            </w:r>
          </w:p>
        </w:tc>
        <w:tc>
          <w:tcPr>
            <w:tcW w:w="535" w:type="pct"/>
            <w:tcBorders>
              <w:top w:val="single" w:sz="4" w:space="0" w:color="auto"/>
              <w:left w:val="nil"/>
              <w:bottom w:val="single" w:sz="4" w:space="0" w:color="auto"/>
              <w:right w:val="single" w:sz="4" w:space="0" w:color="auto"/>
            </w:tcBorders>
            <w:shd w:val="clear" w:color="000000" w:fill="A6A6A6"/>
            <w:noWrap/>
            <w:vAlign w:val="center"/>
            <w:hideMark/>
          </w:tcPr>
          <w:p w:rsidR="00D2350F" w:rsidRPr="00086A6E" w:rsidRDefault="00D2350F" w:rsidP="00D2350F">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2021 N</w:t>
            </w:r>
          </w:p>
        </w:tc>
      </w:tr>
      <w:tr w:rsidR="00D2350F" w:rsidRPr="00086A6E" w:rsidTr="00D2350F">
        <w:trPr>
          <w:trHeight w:val="227"/>
        </w:trPr>
        <w:tc>
          <w:tcPr>
            <w:tcW w:w="1256" w:type="pct"/>
            <w:tcBorders>
              <w:top w:val="nil"/>
              <w:left w:val="single" w:sz="4" w:space="0" w:color="auto"/>
              <w:bottom w:val="single" w:sz="4" w:space="0" w:color="auto"/>
              <w:right w:val="single" w:sz="4" w:space="0" w:color="auto"/>
            </w:tcBorders>
            <w:shd w:val="clear" w:color="000000" w:fill="BFBFBF"/>
            <w:vAlign w:val="bottom"/>
            <w:hideMark/>
          </w:tcPr>
          <w:p w:rsidR="00D2350F" w:rsidRPr="00086A6E" w:rsidRDefault="00D2350F" w:rsidP="00D2350F">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Zdroje príslušnej kapitoly z toho:</w:t>
            </w:r>
          </w:p>
        </w:tc>
        <w:tc>
          <w:tcPr>
            <w:tcW w:w="526" w:type="pct"/>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1 148 920 363</w:t>
            </w:r>
          </w:p>
        </w:tc>
        <w:tc>
          <w:tcPr>
            <w:tcW w:w="536" w:type="pct"/>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1 232 871 726</w:t>
            </w:r>
          </w:p>
        </w:tc>
        <w:tc>
          <w:tcPr>
            <w:tcW w:w="536" w:type="pct"/>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1 363 929 249</w:t>
            </w:r>
          </w:p>
        </w:tc>
        <w:tc>
          <w:tcPr>
            <w:tcW w:w="537" w:type="pct"/>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1 346 330 946</w:t>
            </w:r>
          </w:p>
        </w:tc>
        <w:tc>
          <w:tcPr>
            <w:tcW w:w="537" w:type="pct"/>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1 361 102 879</w:t>
            </w:r>
          </w:p>
        </w:tc>
        <w:tc>
          <w:tcPr>
            <w:tcW w:w="537" w:type="pct"/>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1 546 476 935</w:t>
            </w:r>
          </w:p>
        </w:tc>
        <w:tc>
          <w:tcPr>
            <w:tcW w:w="535" w:type="pct"/>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1 540 562 697</w:t>
            </w:r>
          </w:p>
        </w:tc>
      </w:tr>
      <w:tr w:rsidR="00D2350F" w:rsidRPr="00086A6E" w:rsidTr="00D2350F">
        <w:trPr>
          <w:trHeight w:val="227"/>
        </w:trPr>
        <w:tc>
          <w:tcPr>
            <w:tcW w:w="1256" w:type="pct"/>
            <w:tcBorders>
              <w:top w:val="nil"/>
              <w:left w:val="single" w:sz="4" w:space="0" w:color="auto"/>
              <w:bottom w:val="single" w:sz="4" w:space="0" w:color="auto"/>
              <w:right w:val="single" w:sz="4" w:space="0" w:color="auto"/>
            </w:tcBorders>
            <w:shd w:val="clear" w:color="000000" w:fill="BFBFBF"/>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štátny rozpočet</w:t>
            </w:r>
          </w:p>
        </w:tc>
        <w:tc>
          <w:tcPr>
            <w:tcW w:w="526" w:type="pct"/>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1 092 049 242</w:t>
            </w:r>
          </w:p>
        </w:tc>
        <w:tc>
          <w:tcPr>
            <w:tcW w:w="536" w:type="pct"/>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1 168 175 920</w:t>
            </w:r>
          </w:p>
        </w:tc>
        <w:tc>
          <w:tcPr>
            <w:tcW w:w="536" w:type="pct"/>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1 297 180 423</w:t>
            </w:r>
          </w:p>
        </w:tc>
        <w:tc>
          <w:tcPr>
            <w:tcW w:w="537" w:type="pct"/>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1 279 582 120</w:t>
            </w:r>
          </w:p>
        </w:tc>
        <w:tc>
          <w:tcPr>
            <w:tcW w:w="537" w:type="pct"/>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1 272 315 487</w:t>
            </w:r>
          </w:p>
        </w:tc>
        <w:tc>
          <w:tcPr>
            <w:tcW w:w="537" w:type="pct"/>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1 233 948 799</w:t>
            </w:r>
          </w:p>
        </w:tc>
        <w:tc>
          <w:tcPr>
            <w:tcW w:w="535" w:type="pct"/>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1 237 980 000</w:t>
            </w:r>
          </w:p>
        </w:tc>
      </w:tr>
      <w:tr w:rsidR="00D2350F" w:rsidRPr="00086A6E" w:rsidTr="00D2350F">
        <w:trPr>
          <w:trHeight w:val="227"/>
        </w:trPr>
        <w:tc>
          <w:tcPr>
            <w:tcW w:w="1256" w:type="pct"/>
            <w:tcBorders>
              <w:top w:val="nil"/>
              <w:left w:val="single" w:sz="4" w:space="0" w:color="auto"/>
              <w:bottom w:val="single" w:sz="4" w:space="0" w:color="auto"/>
              <w:right w:val="single" w:sz="4" w:space="0" w:color="auto"/>
            </w:tcBorders>
            <w:shd w:val="clear" w:color="000000" w:fill="BFBFBF"/>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fondy EÚ a spolufinancovanie</w:t>
            </w:r>
          </w:p>
        </w:tc>
        <w:tc>
          <w:tcPr>
            <w:tcW w:w="526" w:type="pct"/>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56 871 121</w:t>
            </w:r>
          </w:p>
        </w:tc>
        <w:tc>
          <w:tcPr>
            <w:tcW w:w="536" w:type="pct"/>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64 695 806</w:t>
            </w:r>
          </w:p>
        </w:tc>
        <w:tc>
          <w:tcPr>
            <w:tcW w:w="536" w:type="pct"/>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66 748 826</w:t>
            </w:r>
          </w:p>
        </w:tc>
        <w:tc>
          <w:tcPr>
            <w:tcW w:w="537" w:type="pct"/>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66 748 826</w:t>
            </w:r>
          </w:p>
        </w:tc>
        <w:tc>
          <w:tcPr>
            <w:tcW w:w="537" w:type="pct"/>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88 787 392</w:t>
            </w:r>
          </w:p>
        </w:tc>
        <w:tc>
          <w:tcPr>
            <w:tcW w:w="537" w:type="pct"/>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312 528 136</w:t>
            </w:r>
          </w:p>
        </w:tc>
        <w:tc>
          <w:tcPr>
            <w:tcW w:w="535" w:type="pct"/>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302 582 697</w:t>
            </w:r>
          </w:p>
        </w:tc>
      </w:tr>
      <w:tr w:rsidR="00D2350F" w:rsidRPr="00086A6E" w:rsidTr="00D2350F">
        <w:trPr>
          <w:trHeight w:val="227"/>
        </w:trPr>
        <w:tc>
          <w:tcPr>
            <w:tcW w:w="1256"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xml:space="preserve">Výdavky na regionálne školstvo </w:t>
            </w:r>
          </w:p>
        </w:tc>
        <w:tc>
          <w:tcPr>
            <w:tcW w:w="52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459 168 451</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478 768 030</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559 613 385</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503 485 815</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592 161 384</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603 556 857</w:t>
            </w:r>
          </w:p>
        </w:tc>
        <w:tc>
          <w:tcPr>
            <w:tcW w:w="53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601 710 225</w:t>
            </w:r>
          </w:p>
        </w:tc>
      </w:tr>
      <w:tr w:rsidR="00D2350F" w:rsidRPr="00086A6E" w:rsidTr="00D2350F">
        <w:trPr>
          <w:trHeight w:val="227"/>
        </w:trPr>
        <w:tc>
          <w:tcPr>
            <w:tcW w:w="1256" w:type="pct"/>
            <w:tcBorders>
              <w:top w:val="nil"/>
              <w:left w:val="single" w:sz="4" w:space="0" w:color="auto"/>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štátny rozpočet</w:t>
            </w:r>
          </w:p>
        </w:tc>
        <w:tc>
          <w:tcPr>
            <w:tcW w:w="52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458 675 626</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478 312 748</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559 613 385</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Cs/>
                <w:sz w:val="14"/>
                <w:szCs w:val="14"/>
                <w:lang w:eastAsia="sk-SK"/>
              </w:rPr>
            </w:pPr>
            <w:r w:rsidRPr="00086A6E">
              <w:rPr>
                <w:rFonts w:ascii="Times New Roman" w:hAnsi="Times New Roman" w:cs="Times New Roman"/>
                <w:sz w:val="14"/>
                <w:szCs w:val="14"/>
              </w:rPr>
              <w:t>498 096 095</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566 661 384</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562 556 857</w:t>
            </w:r>
          </w:p>
        </w:tc>
        <w:tc>
          <w:tcPr>
            <w:tcW w:w="53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566 694 258</w:t>
            </w:r>
          </w:p>
        </w:tc>
      </w:tr>
      <w:tr w:rsidR="00D2350F" w:rsidRPr="00086A6E" w:rsidTr="00D2350F">
        <w:trPr>
          <w:trHeight w:val="227"/>
        </w:trPr>
        <w:tc>
          <w:tcPr>
            <w:tcW w:w="1256" w:type="pct"/>
            <w:tcBorders>
              <w:top w:val="nil"/>
              <w:left w:val="single" w:sz="4" w:space="0" w:color="auto"/>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fondy EÚ a spolufinancovanie</w:t>
            </w:r>
          </w:p>
        </w:tc>
        <w:tc>
          <w:tcPr>
            <w:tcW w:w="52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492 825</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455 282</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Cs/>
                <w:sz w:val="14"/>
                <w:szCs w:val="14"/>
                <w:lang w:eastAsia="sk-SK"/>
              </w:rPr>
            </w:pPr>
            <w:r w:rsidRPr="00086A6E">
              <w:rPr>
                <w:rFonts w:ascii="Times New Roman" w:hAnsi="Times New Roman" w:cs="Times New Roman"/>
                <w:sz w:val="14"/>
                <w:szCs w:val="14"/>
              </w:rPr>
              <w:t>5 389 720</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25 500 000</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41 000 000</w:t>
            </w:r>
          </w:p>
        </w:tc>
        <w:tc>
          <w:tcPr>
            <w:tcW w:w="53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35 015 967</w:t>
            </w:r>
          </w:p>
        </w:tc>
      </w:tr>
      <w:tr w:rsidR="00D2350F" w:rsidRPr="00086A6E" w:rsidTr="00D2350F">
        <w:trPr>
          <w:trHeight w:val="227"/>
        </w:trPr>
        <w:tc>
          <w:tcPr>
            <w:tcW w:w="1256"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Výdavky na vysoké školy</w:t>
            </w:r>
          </w:p>
        </w:tc>
        <w:tc>
          <w:tcPr>
            <w:tcW w:w="52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504 396 241</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497 086 191</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516 645 976</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559 117 788</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520 542 102</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520 524 941</w:t>
            </w:r>
          </w:p>
        </w:tc>
        <w:tc>
          <w:tcPr>
            <w:tcW w:w="53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520 524 941</w:t>
            </w:r>
          </w:p>
        </w:tc>
      </w:tr>
      <w:tr w:rsidR="00D2350F" w:rsidRPr="00086A6E" w:rsidTr="00D2350F">
        <w:trPr>
          <w:trHeight w:val="227"/>
        </w:trPr>
        <w:tc>
          <w:tcPr>
            <w:tcW w:w="1256" w:type="pct"/>
            <w:tcBorders>
              <w:top w:val="nil"/>
              <w:left w:val="single" w:sz="4" w:space="0" w:color="auto"/>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štátny rozpočet</w:t>
            </w:r>
          </w:p>
        </w:tc>
        <w:tc>
          <w:tcPr>
            <w:tcW w:w="52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498 770 139</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497 086 191</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509 795 976</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Cs/>
                <w:sz w:val="14"/>
                <w:szCs w:val="14"/>
                <w:lang w:eastAsia="sk-SK"/>
              </w:rPr>
            </w:pPr>
            <w:r w:rsidRPr="00086A6E">
              <w:rPr>
                <w:rFonts w:ascii="Times New Roman" w:hAnsi="Times New Roman" w:cs="Times New Roman"/>
                <w:sz w:val="14"/>
                <w:szCs w:val="14"/>
              </w:rPr>
              <w:t>544 611 874</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520 542 102</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520 524 941</w:t>
            </w:r>
          </w:p>
        </w:tc>
        <w:tc>
          <w:tcPr>
            <w:tcW w:w="53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520 524 941</w:t>
            </w:r>
          </w:p>
        </w:tc>
      </w:tr>
      <w:tr w:rsidR="00D2350F" w:rsidRPr="00086A6E" w:rsidTr="00D2350F">
        <w:trPr>
          <w:trHeight w:val="227"/>
        </w:trPr>
        <w:tc>
          <w:tcPr>
            <w:tcW w:w="1256" w:type="pct"/>
            <w:tcBorders>
              <w:top w:val="nil"/>
              <w:left w:val="single" w:sz="4" w:space="0" w:color="auto"/>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fondy EÚ a spolufinancovanie</w:t>
            </w:r>
          </w:p>
        </w:tc>
        <w:tc>
          <w:tcPr>
            <w:tcW w:w="52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5 626 102</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6 850 000</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Cs/>
                <w:sz w:val="14"/>
                <w:szCs w:val="14"/>
                <w:lang w:eastAsia="sk-SK"/>
              </w:rPr>
            </w:pPr>
            <w:r w:rsidRPr="00086A6E">
              <w:rPr>
                <w:rFonts w:ascii="Times New Roman" w:hAnsi="Times New Roman" w:cs="Times New Roman"/>
                <w:sz w:val="14"/>
                <w:szCs w:val="14"/>
              </w:rPr>
              <w:t>14 505 914</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0</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0</w:t>
            </w:r>
          </w:p>
        </w:tc>
        <w:tc>
          <w:tcPr>
            <w:tcW w:w="53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0</w:t>
            </w:r>
          </w:p>
        </w:tc>
      </w:tr>
      <w:tr w:rsidR="00D2350F" w:rsidRPr="00086A6E" w:rsidTr="00D2350F">
        <w:trPr>
          <w:trHeight w:val="227"/>
        </w:trPr>
        <w:tc>
          <w:tcPr>
            <w:tcW w:w="1256"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Výdavky na vedu a techniku*</w:t>
            </w:r>
          </w:p>
        </w:tc>
        <w:tc>
          <w:tcPr>
            <w:tcW w:w="52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92 540 169</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79 661 676</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108 190 224</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101 648 353</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68 397 899</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208 746 881</w:t>
            </w:r>
          </w:p>
        </w:tc>
        <w:tc>
          <w:tcPr>
            <w:tcW w:w="53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203 605 859</w:t>
            </w:r>
          </w:p>
        </w:tc>
      </w:tr>
      <w:tr w:rsidR="00D2350F" w:rsidRPr="00086A6E" w:rsidTr="00D2350F">
        <w:trPr>
          <w:trHeight w:val="227"/>
        </w:trPr>
        <w:tc>
          <w:tcPr>
            <w:tcW w:w="1256" w:type="pct"/>
            <w:tcBorders>
              <w:top w:val="nil"/>
              <w:left w:val="single" w:sz="4" w:space="0" w:color="auto"/>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štátny rozpočet</w:t>
            </w:r>
          </w:p>
        </w:tc>
        <w:tc>
          <w:tcPr>
            <w:tcW w:w="52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57 117 652</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58 125 959</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74 610 771</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Cs/>
                <w:sz w:val="14"/>
                <w:szCs w:val="14"/>
                <w:lang w:eastAsia="sk-SK"/>
              </w:rPr>
            </w:pPr>
            <w:r w:rsidRPr="00086A6E">
              <w:rPr>
                <w:rFonts w:ascii="Times New Roman" w:hAnsi="Times New Roman" w:cs="Times New Roman"/>
                <w:sz w:val="14"/>
                <w:szCs w:val="14"/>
              </w:rPr>
              <w:t>76 631 376</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64 342 958</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50 477 958</w:t>
            </w:r>
          </w:p>
        </w:tc>
        <w:tc>
          <w:tcPr>
            <w:tcW w:w="53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49 571 758</w:t>
            </w:r>
          </w:p>
        </w:tc>
      </w:tr>
      <w:tr w:rsidR="00D2350F" w:rsidRPr="00086A6E" w:rsidTr="00D2350F">
        <w:trPr>
          <w:trHeight w:val="227"/>
        </w:trPr>
        <w:tc>
          <w:tcPr>
            <w:tcW w:w="1256" w:type="pct"/>
            <w:tcBorders>
              <w:top w:val="nil"/>
              <w:left w:val="single" w:sz="4" w:space="0" w:color="auto"/>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fondy EÚ a spolufinancovanie</w:t>
            </w:r>
          </w:p>
        </w:tc>
        <w:tc>
          <w:tcPr>
            <w:tcW w:w="52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35 422 517</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21 535 717</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33 579 453</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Cs/>
                <w:sz w:val="14"/>
                <w:szCs w:val="14"/>
                <w:lang w:eastAsia="sk-SK"/>
              </w:rPr>
            </w:pPr>
            <w:r w:rsidRPr="00086A6E">
              <w:rPr>
                <w:rFonts w:ascii="Times New Roman" w:hAnsi="Times New Roman" w:cs="Times New Roman"/>
                <w:sz w:val="14"/>
                <w:szCs w:val="14"/>
              </w:rPr>
              <w:t>25 016 977</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4 054 941</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158 268 923</w:t>
            </w:r>
          </w:p>
        </w:tc>
        <w:tc>
          <w:tcPr>
            <w:tcW w:w="53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154 034 101</w:t>
            </w:r>
          </w:p>
        </w:tc>
      </w:tr>
      <w:tr w:rsidR="00D2350F" w:rsidRPr="00086A6E" w:rsidTr="00D2350F">
        <w:trPr>
          <w:trHeight w:val="227"/>
        </w:trPr>
        <w:tc>
          <w:tcPr>
            <w:tcW w:w="1256"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xml:space="preserve">Výdavky na šport </w:t>
            </w:r>
          </w:p>
        </w:tc>
        <w:tc>
          <w:tcPr>
            <w:tcW w:w="52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48 406 320</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104 505 457</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125 082 210</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131 384 089</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92 861 419</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72 361 419</w:t>
            </w:r>
          </w:p>
        </w:tc>
        <w:tc>
          <w:tcPr>
            <w:tcW w:w="53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72 361 419</w:t>
            </w:r>
          </w:p>
        </w:tc>
      </w:tr>
      <w:tr w:rsidR="00D2350F" w:rsidRPr="00086A6E" w:rsidTr="00D2350F">
        <w:trPr>
          <w:trHeight w:val="227"/>
        </w:trPr>
        <w:tc>
          <w:tcPr>
            <w:tcW w:w="1256"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štátny rozpočet</w:t>
            </w:r>
          </w:p>
        </w:tc>
        <w:tc>
          <w:tcPr>
            <w:tcW w:w="52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48 406 320</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104 505 457</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125 082 210</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Cs/>
                <w:sz w:val="14"/>
                <w:szCs w:val="14"/>
                <w:lang w:eastAsia="sk-SK"/>
              </w:rPr>
            </w:pPr>
            <w:r w:rsidRPr="00086A6E">
              <w:rPr>
                <w:rFonts w:ascii="Times New Roman" w:hAnsi="Times New Roman" w:cs="Times New Roman"/>
                <w:sz w:val="14"/>
                <w:szCs w:val="14"/>
              </w:rPr>
              <w:t>131 384 089</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92 861 419</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72 361 419</w:t>
            </w:r>
          </w:p>
        </w:tc>
        <w:tc>
          <w:tcPr>
            <w:tcW w:w="53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72 361 419</w:t>
            </w:r>
          </w:p>
        </w:tc>
      </w:tr>
      <w:tr w:rsidR="00D2350F" w:rsidRPr="00086A6E" w:rsidTr="00D2350F">
        <w:trPr>
          <w:trHeight w:val="227"/>
        </w:trPr>
        <w:tc>
          <w:tcPr>
            <w:tcW w:w="1256"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Výdavky na administratívu</w:t>
            </w:r>
          </w:p>
        </w:tc>
        <w:tc>
          <w:tcPr>
            <w:tcW w:w="52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29 079 505</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30 145 565</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28 078 081</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28 858 686</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27 907 624</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28 027 624</w:t>
            </w:r>
          </w:p>
        </w:tc>
        <w:tc>
          <w:tcPr>
            <w:tcW w:w="53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28 827 624</w:t>
            </w:r>
          </w:p>
        </w:tc>
      </w:tr>
      <w:tr w:rsidR="00D2350F" w:rsidRPr="00086A6E" w:rsidTr="00D2350F">
        <w:trPr>
          <w:trHeight w:val="227"/>
        </w:trPr>
        <w:tc>
          <w:tcPr>
            <w:tcW w:w="1256"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štátny rozpočet</w:t>
            </w:r>
          </w:p>
        </w:tc>
        <w:tc>
          <w:tcPr>
            <w:tcW w:w="52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29 079 505</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30 145 565</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28 078 081</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Cs/>
                <w:sz w:val="14"/>
                <w:szCs w:val="14"/>
                <w:lang w:eastAsia="sk-SK"/>
              </w:rPr>
            </w:pPr>
            <w:r w:rsidRPr="00086A6E">
              <w:rPr>
                <w:rFonts w:ascii="Times New Roman" w:hAnsi="Times New Roman" w:cs="Times New Roman"/>
                <w:sz w:val="14"/>
                <w:szCs w:val="14"/>
              </w:rPr>
              <w:t>28 858 686</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27 907 624</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28 027 624</w:t>
            </w:r>
          </w:p>
        </w:tc>
        <w:tc>
          <w:tcPr>
            <w:tcW w:w="53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28 827 624</w:t>
            </w:r>
          </w:p>
        </w:tc>
      </w:tr>
      <w:tr w:rsidR="00D2350F" w:rsidRPr="00086A6E" w:rsidTr="00D2350F">
        <w:trPr>
          <w:trHeight w:val="227"/>
        </w:trPr>
        <w:tc>
          <w:tcPr>
            <w:tcW w:w="1256"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Výdavky EÚ a spolufinancovania**</w:t>
            </w:r>
          </w:p>
        </w:tc>
        <w:tc>
          <w:tcPr>
            <w:tcW w:w="52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15 329 677</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42 704 807</w:t>
            </w:r>
          </w:p>
        </w:tc>
        <w:tc>
          <w:tcPr>
            <w:tcW w:w="5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26 319 373</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21 836 215</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59 232 451</w:t>
            </w:r>
          </w:p>
        </w:tc>
        <w:tc>
          <w:tcPr>
            <w:tcW w:w="537"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113 259 213</w:t>
            </w:r>
          </w:p>
        </w:tc>
        <w:tc>
          <w:tcPr>
            <w:tcW w:w="53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113 532 629</w:t>
            </w:r>
          </w:p>
        </w:tc>
      </w:tr>
    </w:tbl>
    <w:p w:rsidR="00D2350F" w:rsidRPr="00086A6E" w:rsidRDefault="00D2350F" w:rsidP="00D2350F">
      <w:pPr>
        <w:jc w:val="both"/>
        <w:rPr>
          <w:rFonts w:ascii="Times New Roman" w:hAnsi="Times New Roman" w:cs="Times New Roman"/>
          <w:sz w:val="14"/>
          <w:szCs w:val="14"/>
        </w:rPr>
      </w:pPr>
      <w:r w:rsidRPr="00086A6E">
        <w:rPr>
          <w:rFonts w:ascii="Times New Roman" w:hAnsi="Times New Roman" w:cs="Times New Roman"/>
          <w:sz w:val="14"/>
          <w:szCs w:val="14"/>
        </w:rPr>
        <w:t>*   bez vysokoškolskej vedy, výskumu v ostatných  štátnych organizáciách, rezortnej vedy ďalších kapitol a SAV</w:t>
      </w:r>
    </w:p>
    <w:p w:rsidR="00D2350F" w:rsidRPr="00086A6E" w:rsidRDefault="00D2350F" w:rsidP="00D2350F">
      <w:pPr>
        <w:spacing w:after="200"/>
        <w:jc w:val="both"/>
        <w:rPr>
          <w:rFonts w:ascii="Times New Roman" w:hAnsi="Times New Roman" w:cs="Times New Roman"/>
          <w:sz w:val="14"/>
          <w:szCs w:val="14"/>
        </w:rPr>
      </w:pPr>
      <w:r w:rsidRPr="00086A6E">
        <w:rPr>
          <w:rFonts w:ascii="Times New Roman" w:hAnsi="Times New Roman" w:cs="Times New Roman"/>
          <w:sz w:val="14"/>
          <w:szCs w:val="14"/>
        </w:rPr>
        <w:t>** bez výdavkov EÚ a spolufinancovania uvedených v oblasti vedy a techniky</w:t>
      </w:r>
    </w:p>
    <w:p w:rsidR="00D2350F" w:rsidRDefault="00D2350F" w:rsidP="00D2350F">
      <w:pPr>
        <w:spacing w:after="200"/>
        <w:contextualSpacing/>
        <w:jc w:val="both"/>
        <w:rPr>
          <w:rFonts w:ascii="Times New Roman" w:hAnsi="Times New Roman" w:cs="Times New Roman"/>
          <w:lang w:eastAsia="en-US"/>
        </w:rPr>
      </w:pPr>
    </w:p>
    <w:p w:rsidR="00D2350F" w:rsidRDefault="00D2350F" w:rsidP="00D2350F">
      <w:pPr>
        <w:spacing w:after="200"/>
        <w:ind w:firstLine="708"/>
        <w:contextualSpacing/>
        <w:jc w:val="both"/>
        <w:rPr>
          <w:rFonts w:ascii="Times New Roman" w:hAnsi="Times New Roman" w:cs="Times New Roman"/>
          <w:lang w:eastAsia="en-US"/>
        </w:rPr>
      </w:pPr>
      <w:r w:rsidRPr="009F1E8C">
        <w:rPr>
          <w:rFonts w:ascii="Times New Roman" w:hAnsi="Times New Roman" w:cs="Times New Roman"/>
          <w:lang w:eastAsia="en-US"/>
        </w:rPr>
        <w:t xml:space="preserve">Na oblasť vzdelávania sú v rozpočte verejnej správy na rok 2019 vyčlenené zdroje v objeme 4,0 mld. eur, čo oproti roku 2018 predstavuje nárast o 466 mil. eur. Do roku 2020 by mali výdavky na túto oblasť dosiahnuť 4,3 mld. eur a </w:t>
      </w:r>
      <w:r w:rsidR="004650BC">
        <w:rPr>
          <w:rFonts w:ascii="Times New Roman" w:hAnsi="Times New Roman" w:cs="Times New Roman"/>
          <w:lang w:eastAsia="en-US"/>
        </w:rPr>
        <w:t>na</w:t>
      </w:r>
      <w:r w:rsidRPr="009F1E8C">
        <w:rPr>
          <w:rFonts w:ascii="Times New Roman" w:hAnsi="Times New Roman" w:cs="Times New Roman"/>
          <w:lang w:eastAsia="en-US"/>
        </w:rPr>
        <w:t xml:space="preserve"> rok 2021 sa rozpočtuje ďalší nárast až na úroveň 4,5 mld. eur. Počas volebného obdobia tejto vlády tak dôjde ku kumulatívnemu nárastu zdrojov z verejných financií do oblasti vzdelávania o viac ako 2,9 mld. eur.</w:t>
      </w:r>
    </w:p>
    <w:p w:rsidR="00D2350F" w:rsidRPr="00086A6E" w:rsidRDefault="00D2350F" w:rsidP="00D2350F">
      <w:pPr>
        <w:spacing w:after="200"/>
        <w:contextualSpacing/>
        <w:jc w:val="both"/>
        <w:rPr>
          <w:rFonts w:ascii="Times New Roman" w:hAnsi="Times New Roman" w:cs="Times New Roman"/>
          <w:lang w:eastAsia="en-US"/>
        </w:rPr>
      </w:pPr>
    </w:p>
    <w:p w:rsidR="00D2350F" w:rsidRPr="00086A6E" w:rsidRDefault="00D2350F" w:rsidP="00D2350F">
      <w:pPr>
        <w:spacing w:after="200"/>
        <w:ind w:firstLine="708"/>
        <w:contextualSpacing/>
        <w:jc w:val="both"/>
        <w:rPr>
          <w:rFonts w:ascii="Times New Roman" w:hAnsi="Times New Roman" w:cs="Times New Roman"/>
          <w:lang w:eastAsia="en-US"/>
        </w:rPr>
      </w:pPr>
      <w:r w:rsidRPr="00086A6E">
        <w:rPr>
          <w:rFonts w:ascii="Times New Roman" w:hAnsi="Times New Roman" w:cs="Times New Roman"/>
          <w:lang w:eastAsia="en-US"/>
        </w:rPr>
        <w:t>Výdavky kapitoly  MŠVVŠ SR podľa ekonomickej klasifikácie a zdrojov sú uvedené v</w:t>
      </w:r>
      <w:r>
        <w:rPr>
          <w:rFonts w:ascii="Times New Roman" w:hAnsi="Times New Roman" w:cs="Times New Roman"/>
          <w:lang w:eastAsia="en-US"/>
        </w:rPr>
        <w:t> </w:t>
      </w:r>
      <w:r w:rsidRPr="00086A6E">
        <w:rPr>
          <w:rFonts w:ascii="Times New Roman" w:hAnsi="Times New Roman" w:cs="Times New Roman"/>
          <w:lang w:eastAsia="en-US"/>
        </w:rPr>
        <w:t>tabuľke</w:t>
      </w:r>
      <w:r>
        <w:rPr>
          <w:rFonts w:ascii="Times New Roman" w:hAnsi="Times New Roman" w:cs="Times New Roman"/>
          <w:lang w:eastAsia="en-US"/>
        </w:rPr>
        <w:t>.</w:t>
      </w:r>
    </w:p>
    <w:p w:rsidR="00D2350F" w:rsidRPr="00086A6E" w:rsidRDefault="00D2350F" w:rsidP="00D2350F">
      <w:pPr>
        <w:spacing w:after="200"/>
        <w:contextualSpacing/>
        <w:jc w:val="both"/>
        <w:rPr>
          <w:rFonts w:ascii="Times New Roman" w:hAnsi="Times New Roman" w:cs="Times New Roman"/>
          <w:lang w:eastAsia="en-US"/>
        </w:rPr>
      </w:pPr>
    </w:p>
    <w:tbl>
      <w:tblPr>
        <w:tblW w:w="5000" w:type="pct"/>
        <w:tblCellMar>
          <w:left w:w="70" w:type="dxa"/>
          <w:right w:w="70" w:type="dxa"/>
        </w:tblCellMar>
        <w:tblLook w:val="04A0" w:firstRow="1" w:lastRow="0" w:firstColumn="1" w:lastColumn="0" w:noHBand="0" w:noVBand="1"/>
      </w:tblPr>
      <w:tblGrid>
        <w:gridCol w:w="2435"/>
        <w:gridCol w:w="945"/>
        <w:gridCol w:w="945"/>
        <w:gridCol w:w="947"/>
        <w:gridCol w:w="955"/>
        <w:gridCol w:w="945"/>
        <w:gridCol w:w="945"/>
        <w:gridCol w:w="945"/>
      </w:tblGrid>
      <w:tr w:rsidR="00D2350F" w:rsidRPr="00086A6E" w:rsidTr="00D2350F">
        <w:trPr>
          <w:trHeight w:hRule="exact" w:val="255"/>
        </w:trPr>
        <w:tc>
          <w:tcPr>
            <w:tcW w:w="1344" w:type="pct"/>
            <w:tcBorders>
              <w:top w:val="single" w:sz="4" w:space="0" w:color="auto"/>
              <w:left w:val="single" w:sz="4" w:space="0" w:color="auto"/>
              <w:bottom w:val="single" w:sz="4" w:space="0" w:color="auto"/>
              <w:right w:val="single" w:sz="4" w:space="0" w:color="auto"/>
            </w:tcBorders>
            <w:shd w:val="pct35" w:color="000000" w:fill="auto"/>
            <w:noWrap/>
            <w:vAlign w:val="center"/>
            <w:hideMark/>
          </w:tcPr>
          <w:p w:rsidR="00D2350F" w:rsidRPr="00086A6E" w:rsidRDefault="00D2350F" w:rsidP="00D2350F">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v eurách</w:t>
            </w:r>
          </w:p>
        </w:tc>
        <w:tc>
          <w:tcPr>
            <w:tcW w:w="521"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2016 S</w:t>
            </w:r>
          </w:p>
        </w:tc>
        <w:tc>
          <w:tcPr>
            <w:tcW w:w="521"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2017 S</w:t>
            </w:r>
          </w:p>
        </w:tc>
        <w:tc>
          <w:tcPr>
            <w:tcW w:w="523"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2018 R</w:t>
            </w:r>
          </w:p>
        </w:tc>
        <w:tc>
          <w:tcPr>
            <w:tcW w:w="527"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2018 OS</w:t>
            </w:r>
          </w:p>
        </w:tc>
        <w:tc>
          <w:tcPr>
            <w:tcW w:w="521"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2019 N</w:t>
            </w:r>
          </w:p>
        </w:tc>
        <w:tc>
          <w:tcPr>
            <w:tcW w:w="521"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2020 N</w:t>
            </w:r>
          </w:p>
        </w:tc>
        <w:tc>
          <w:tcPr>
            <w:tcW w:w="521"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2021 N</w:t>
            </w:r>
          </w:p>
        </w:tc>
      </w:tr>
      <w:tr w:rsidR="00D2350F" w:rsidRPr="00086A6E" w:rsidTr="00D2350F">
        <w:trPr>
          <w:trHeight w:hRule="exact" w:val="255"/>
        </w:trPr>
        <w:tc>
          <w:tcPr>
            <w:tcW w:w="1344" w:type="pct"/>
            <w:tcBorders>
              <w:top w:val="single" w:sz="4" w:space="0" w:color="auto"/>
              <w:left w:val="single" w:sz="4" w:space="0" w:color="auto"/>
              <w:bottom w:val="single" w:sz="4" w:space="0" w:color="auto"/>
              <w:right w:val="single" w:sz="4" w:space="0" w:color="auto"/>
            </w:tcBorders>
            <w:shd w:val="pct25" w:color="auto" w:fill="auto"/>
            <w:noWrap/>
            <w:vAlign w:val="bottom"/>
            <w:hideMark/>
          </w:tcPr>
          <w:p w:rsidR="00D2350F" w:rsidRPr="00086A6E" w:rsidRDefault="00D2350F" w:rsidP="00D2350F">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Zdroje príslušnej kapitoly vrátane 72e</w:t>
            </w:r>
          </w:p>
        </w:tc>
        <w:tc>
          <w:tcPr>
            <w:tcW w:w="521" w:type="pct"/>
            <w:tcBorders>
              <w:top w:val="single" w:sz="4" w:space="0" w:color="auto"/>
              <w:left w:val="nil"/>
              <w:bottom w:val="single" w:sz="4" w:space="0" w:color="auto"/>
              <w:right w:val="single" w:sz="4" w:space="0" w:color="auto"/>
            </w:tcBorders>
            <w:shd w:val="pct25" w:color="auto" w:fill="auto"/>
            <w:noWrap/>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1 148 923 645</w:t>
            </w:r>
          </w:p>
        </w:tc>
        <w:tc>
          <w:tcPr>
            <w:tcW w:w="521" w:type="pct"/>
            <w:tcBorders>
              <w:top w:val="single" w:sz="4" w:space="0" w:color="auto"/>
              <w:left w:val="nil"/>
              <w:bottom w:val="single" w:sz="4" w:space="0" w:color="auto"/>
              <w:right w:val="single" w:sz="4" w:space="0" w:color="auto"/>
            </w:tcBorders>
            <w:shd w:val="pct25" w:color="auto" w:fill="auto"/>
            <w:noWrap/>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1 232 871 784</w:t>
            </w:r>
          </w:p>
        </w:tc>
        <w:tc>
          <w:tcPr>
            <w:tcW w:w="523" w:type="pct"/>
            <w:tcBorders>
              <w:top w:val="single" w:sz="4" w:space="0" w:color="auto"/>
              <w:left w:val="nil"/>
              <w:bottom w:val="single" w:sz="4" w:space="0" w:color="auto"/>
              <w:right w:val="single" w:sz="4" w:space="0" w:color="auto"/>
            </w:tcBorders>
            <w:shd w:val="pct25" w:color="auto" w:fill="auto"/>
            <w:noWrap/>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1 363 929 249</w:t>
            </w:r>
          </w:p>
        </w:tc>
        <w:tc>
          <w:tcPr>
            <w:tcW w:w="527" w:type="pct"/>
            <w:tcBorders>
              <w:top w:val="single" w:sz="4" w:space="0" w:color="auto"/>
              <w:left w:val="nil"/>
              <w:bottom w:val="single" w:sz="4" w:space="0" w:color="auto"/>
              <w:right w:val="single" w:sz="4" w:space="0" w:color="auto"/>
            </w:tcBorders>
            <w:shd w:val="pct25" w:color="auto" w:fill="auto"/>
            <w:noWrap/>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sz w:val="14"/>
                <w:szCs w:val="14"/>
              </w:rPr>
              <w:t>1 346 014 365</w:t>
            </w:r>
          </w:p>
        </w:tc>
        <w:tc>
          <w:tcPr>
            <w:tcW w:w="521" w:type="pct"/>
            <w:tcBorders>
              <w:top w:val="single" w:sz="4" w:space="0" w:color="auto"/>
              <w:left w:val="nil"/>
              <w:bottom w:val="single" w:sz="4" w:space="0" w:color="auto"/>
              <w:right w:val="single" w:sz="4" w:space="0" w:color="auto"/>
            </w:tcBorders>
            <w:shd w:val="pct25" w:color="auto" w:fill="auto"/>
            <w:noWrap/>
            <w:vAlign w:val="bottom"/>
            <w:hideMark/>
          </w:tcPr>
          <w:p w:rsidR="00D2350F" w:rsidRPr="00086A6E" w:rsidRDefault="00D2350F" w:rsidP="00D2350F">
            <w:pPr>
              <w:jc w:val="right"/>
              <w:rPr>
                <w:rFonts w:ascii="Times New Roman" w:hAnsi="Times New Roman" w:cs="Times New Roman"/>
                <w:b/>
                <w:bCs/>
                <w:color w:val="000000"/>
                <w:sz w:val="14"/>
                <w:szCs w:val="14"/>
                <w:highlight w:val="yellow"/>
                <w:lang w:eastAsia="sk-SK"/>
              </w:rPr>
            </w:pPr>
            <w:r w:rsidRPr="00086A6E">
              <w:rPr>
                <w:rFonts w:ascii="Times New Roman" w:hAnsi="Times New Roman" w:cs="Times New Roman"/>
                <w:b/>
                <w:bCs/>
                <w:color w:val="000000"/>
                <w:sz w:val="14"/>
                <w:szCs w:val="14"/>
              </w:rPr>
              <w:t>1 361 102 879</w:t>
            </w:r>
          </w:p>
        </w:tc>
        <w:tc>
          <w:tcPr>
            <w:tcW w:w="521" w:type="pct"/>
            <w:tcBorders>
              <w:top w:val="single" w:sz="4" w:space="0" w:color="auto"/>
              <w:left w:val="nil"/>
              <w:bottom w:val="single" w:sz="4" w:space="0" w:color="auto"/>
              <w:right w:val="single" w:sz="4" w:space="0" w:color="auto"/>
            </w:tcBorders>
            <w:shd w:val="pct25" w:color="auto" w:fill="auto"/>
            <w:noWrap/>
            <w:vAlign w:val="bottom"/>
            <w:hideMark/>
          </w:tcPr>
          <w:p w:rsidR="00D2350F" w:rsidRPr="00086A6E" w:rsidRDefault="00D2350F" w:rsidP="00D2350F">
            <w:pPr>
              <w:jc w:val="right"/>
              <w:rPr>
                <w:rFonts w:ascii="Times New Roman" w:hAnsi="Times New Roman" w:cs="Times New Roman"/>
                <w:b/>
                <w:bCs/>
                <w:color w:val="000000"/>
                <w:sz w:val="14"/>
                <w:szCs w:val="14"/>
                <w:highlight w:val="yellow"/>
                <w:lang w:eastAsia="sk-SK"/>
              </w:rPr>
            </w:pPr>
            <w:r w:rsidRPr="00086A6E">
              <w:rPr>
                <w:rFonts w:ascii="Times New Roman" w:hAnsi="Times New Roman" w:cs="Times New Roman"/>
                <w:b/>
                <w:bCs/>
                <w:color w:val="000000"/>
                <w:sz w:val="14"/>
                <w:szCs w:val="14"/>
              </w:rPr>
              <w:t>1 546 476 935</w:t>
            </w:r>
          </w:p>
        </w:tc>
        <w:tc>
          <w:tcPr>
            <w:tcW w:w="521" w:type="pct"/>
            <w:tcBorders>
              <w:top w:val="single" w:sz="4" w:space="0" w:color="auto"/>
              <w:left w:val="nil"/>
              <w:bottom w:val="single" w:sz="4" w:space="0" w:color="auto"/>
              <w:right w:val="single" w:sz="4" w:space="0" w:color="auto"/>
            </w:tcBorders>
            <w:shd w:val="pct25" w:color="auto" w:fill="auto"/>
            <w:noWrap/>
            <w:vAlign w:val="bottom"/>
            <w:hideMark/>
          </w:tcPr>
          <w:p w:rsidR="00D2350F" w:rsidRPr="00086A6E" w:rsidRDefault="00D2350F" w:rsidP="00D2350F">
            <w:pPr>
              <w:jc w:val="right"/>
              <w:rPr>
                <w:rFonts w:ascii="Times New Roman" w:hAnsi="Times New Roman" w:cs="Times New Roman"/>
                <w:b/>
                <w:bCs/>
                <w:color w:val="000000"/>
                <w:sz w:val="14"/>
                <w:szCs w:val="14"/>
                <w:highlight w:val="yellow"/>
                <w:lang w:eastAsia="sk-SK"/>
              </w:rPr>
            </w:pPr>
            <w:r w:rsidRPr="00086A6E">
              <w:rPr>
                <w:rFonts w:ascii="Times New Roman" w:hAnsi="Times New Roman" w:cs="Times New Roman"/>
                <w:b/>
                <w:bCs/>
                <w:color w:val="000000"/>
                <w:sz w:val="14"/>
                <w:szCs w:val="14"/>
              </w:rPr>
              <w:t>1 540 562 697</w:t>
            </w:r>
          </w:p>
        </w:tc>
      </w:tr>
      <w:tr w:rsidR="00D2350F" w:rsidRPr="00086A6E" w:rsidTr="00D2350F">
        <w:trPr>
          <w:trHeight w:hRule="exact" w:val="255"/>
        </w:trPr>
        <w:tc>
          <w:tcPr>
            <w:tcW w:w="1344" w:type="pct"/>
            <w:tcBorders>
              <w:top w:val="single" w:sz="4" w:space="0" w:color="auto"/>
              <w:left w:val="single" w:sz="4" w:space="0" w:color="auto"/>
              <w:bottom w:val="single" w:sz="4" w:space="0" w:color="auto"/>
              <w:right w:val="single" w:sz="4" w:space="0" w:color="auto"/>
            </w:tcBorders>
            <w:shd w:val="pct25" w:color="auto" w:fill="auto"/>
            <w:vAlign w:val="bottom"/>
            <w:hideMark/>
          </w:tcPr>
          <w:p w:rsidR="00D2350F" w:rsidRPr="00086A6E" w:rsidRDefault="00D2350F" w:rsidP="00D2350F">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Zdroje príslušnej kapitoly, z toho:</w:t>
            </w:r>
          </w:p>
        </w:tc>
        <w:tc>
          <w:tcPr>
            <w:tcW w:w="521" w:type="pct"/>
            <w:tcBorders>
              <w:top w:val="single" w:sz="4" w:space="0" w:color="auto"/>
              <w:left w:val="nil"/>
              <w:bottom w:val="single" w:sz="4" w:space="0" w:color="auto"/>
              <w:right w:val="single" w:sz="4" w:space="0" w:color="auto"/>
            </w:tcBorders>
            <w:shd w:val="pct25" w:color="auto" w:fill="auto"/>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1 148 920 363</w:t>
            </w:r>
          </w:p>
        </w:tc>
        <w:tc>
          <w:tcPr>
            <w:tcW w:w="521" w:type="pct"/>
            <w:tcBorders>
              <w:top w:val="single" w:sz="4" w:space="0" w:color="auto"/>
              <w:left w:val="nil"/>
              <w:bottom w:val="single" w:sz="4" w:space="0" w:color="auto"/>
              <w:right w:val="single" w:sz="4" w:space="0" w:color="auto"/>
            </w:tcBorders>
            <w:shd w:val="pct25" w:color="auto" w:fill="auto"/>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1 232 871 726</w:t>
            </w:r>
          </w:p>
        </w:tc>
        <w:tc>
          <w:tcPr>
            <w:tcW w:w="523" w:type="pct"/>
            <w:tcBorders>
              <w:top w:val="single" w:sz="4" w:space="0" w:color="auto"/>
              <w:left w:val="nil"/>
              <w:bottom w:val="single" w:sz="4" w:space="0" w:color="auto"/>
              <w:right w:val="single" w:sz="4" w:space="0" w:color="auto"/>
            </w:tcBorders>
            <w:shd w:val="pct25" w:color="auto" w:fill="auto"/>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1 363 929 249</w:t>
            </w:r>
          </w:p>
        </w:tc>
        <w:tc>
          <w:tcPr>
            <w:tcW w:w="527" w:type="pct"/>
            <w:tcBorders>
              <w:top w:val="single" w:sz="4" w:space="0" w:color="auto"/>
              <w:left w:val="nil"/>
              <w:bottom w:val="single" w:sz="4" w:space="0" w:color="auto"/>
              <w:right w:val="single" w:sz="4" w:space="0" w:color="auto"/>
            </w:tcBorders>
            <w:shd w:val="pct25" w:color="auto" w:fill="auto"/>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sz w:val="14"/>
                <w:szCs w:val="14"/>
              </w:rPr>
              <w:t>1 346 014 365</w:t>
            </w:r>
          </w:p>
        </w:tc>
        <w:tc>
          <w:tcPr>
            <w:tcW w:w="521" w:type="pct"/>
            <w:tcBorders>
              <w:top w:val="single" w:sz="4" w:space="0" w:color="auto"/>
              <w:left w:val="nil"/>
              <w:bottom w:val="single" w:sz="4" w:space="0" w:color="auto"/>
              <w:right w:val="single" w:sz="4" w:space="0" w:color="auto"/>
            </w:tcBorders>
            <w:shd w:val="pct25" w:color="auto" w:fill="auto"/>
            <w:vAlign w:val="bottom"/>
            <w:hideMark/>
          </w:tcPr>
          <w:p w:rsidR="00D2350F" w:rsidRPr="00086A6E" w:rsidRDefault="00D2350F" w:rsidP="00D2350F">
            <w:pPr>
              <w:jc w:val="right"/>
              <w:rPr>
                <w:rFonts w:ascii="Times New Roman" w:hAnsi="Times New Roman" w:cs="Times New Roman"/>
                <w:b/>
                <w:bCs/>
                <w:color w:val="000000"/>
                <w:sz w:val="14"/>
                <w:szCs w:val="14"/>
                <w:highlight w:val="yellow"/>
                <w:lang w:eastAsia="sk-SK"/>
              </w:rPr>
            </w:pPr>
            <w:r w:rsidRPr="00086A6E">
              <w:rPr>
                <w:rFonts w:ascii="Times New Roman" w:hAnsi="Times New Roman" w:cs="Times New Roman"/>
                <w:b/>
                <w:bCs/>
                <w:color w:val="000000"/>
                <w:sz w:val="14"/>
                <w:szCs w:val="14"/>
              </w:rPr>
              <w:t>1 361 102 879</w:t>
            </w:r>
          </w:p>
        </w:tc>
        <w:tc>
          <w:tcPr>
            <w:tcW w:w="521" w:type="pct"/>
            <w:tcBorders>
              <w:top w:val="single" w:sz="4" w:space="0" w:color="auto"/>
              <w:left w:val="nil"/>
              <w:bottom w:val="single" w:sz="4" w:space="0" w:color="auto"/>
              <w:right w:val="single" w:sz="4" w:space="0" w:color="auto"/>
            </w:tcBorders>
            <w:shd w:val="pct25" w:color="auto" w:fill="auto"/>
            <w:vAlign w:val="bottom"/>
            <w:hideMark/>
          </w:tcPr>
          <w:p w:rsidR="00D2350F" w:rsidRPr="00086A6E" w:rsidRDefault="00D2350F" w:rsidP="00D2350F">
            <w:pPr>
              <w:jc w:val="right"/>
              <w:rPr>
                <w:rFonts w:ascii="Times New Roman" w:hAnsi="Times New Roman" w:cs="Times New Roman"/>
                <w:b/>
                <w:bCs/>
                <w:color w:val="000000"/>
                <w:sz w:val="14"/>
                <w:szCs w:val="14"/>
                <w:highlight w:val="yellow"/>
                <w:lang w:eastAsia="sk-SK"/>
              </w:rPr>
            </w:pPr>
            <w:r w:rsidRPr="00086A6E">
              <w:rPr>
                <w:rFonts w:ascii="Times New Roman" w:hAnsi="Times New Roman" w:cs="Times New Roman"/>
                <w:b/>
                <w:bCs/>
                <w:color w:val="000000"/>
                <w:sz w:val="14"/>
                <w:szCs w:val="14"/>
              </w:rPr>
              <w:t>1 546 476 935</w:t>
            </w:r>
          </w:p>
        </w:tc>
        <w:tc>
          <w:tcPr>
            <w:tcW w:w="521" w:type="pct"/>
            <w:tcBorders>
              <w:top w:val="single" w:sz="4" w:space="0" w:color="auto"/>
              <w:left w:val="nil"/>
              <w:bottom w:val="single" w:sz="4" w:space="0" w:color="auto"/>
              <w:right w:val="single" w:sz="4" w:space="0" w:color="auto"/>
            </w:tcBorders>
            <w:shd w:val="pct25" w:color="auto" w:fill="auto"/>
            <w:vAlign w:val="bottom"/>
            <w:hideMark/>
          </w:tcPr>
          <w:p w:rsidR="00D2350F" w:rsidRPr="00086A6E" w:rsidRDefault="00D2350F" w:rsidP="00D2350F">
            <w:pPr>
              <w:jc w:val="right"/>
              <w:rPr>
                <w:rFonts w:ascii="Times New Roman" w:hAnsi="Times New Roman" w:cs="Times New Roman"/>
                <w:b/>
                <w:bCs/>
                <w:color w:val="000000"/>
                <w:sz w:val="14"/>
                <w:szCs w:val="14"/>
                <w:highlight w:val="yellow"/>
                <w:lang w:eastAsia="sk-SK"/>
              </w:rPr>
            </w:pPr>
            <w:r w:rsidRPr="00086A6E">
              <w:rPr>
                <w:rFonts w:ascii="Times New Roman" w:hAnsi="Times New Roman" w:cs="Times New Roman"/>
                <w:b/>
                <w:bCs/>
                <w:color w:val="000000"/>
                <w:sz w:val="14"/>
                <w:szCs w:val="14"/>
              </w:rPr>
              <w:t>1 540 562 697</w:t>
            </w:r>
          </w:p>
        </w:tc>
      </w:tr>
      <w:tr w:rsidR="00D2350F" w:rsidRPr="00086A6E" w:rsidTr="00D2350F">
        <w:trPr>
          <w:trHeight w:hRule="exact" w:val="255"/>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xml:space="preserve">rozpočtové zdroje kapitoly </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1 084 736 532</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1 148 943 810</w:t>
            </w:r>
          </w:p>
        </w:tc>
        <w:tc>
          <w:tcPr>
            <w:tcW w:w="523"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1 297 180 423</w:t>
            </w:r>
          </w:p>
        </w:tc>
        <w:tc>
          <w:tcPr>
            <w:tcW w:w="527"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sz w:val="14"/>
                <w:szCs w:val="14"/>
              </w:rPr>
              <w:t>1 249 416 788</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highlight w:val="yellow"/>
                <w:lang w:eastAsia="sk-SK"/>
              </w:rPr>
            </w:pPr>
            <w:r w:rsidRPr="00086A6E">
              <w:rPr>
                <w:rFonts w:ascii="Times New Roman" w:hAnsi="Times New Roman" w:cs="Times New Roman"/>
                <w:b/>
                <w:bCs/>
                <w:color w:val="000000"/>
                <w:sz w:val="14"/>
                <w:szCs w:val="14"/>
              </w:rPr>
              <w:t>1 272 315 487</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highlight w:val="yellow"/>
                <w:lang w:eastAsia="sk-SK"/>
              </w:rPr>
            </w:pPr>
            <w:r w:rsidRPr="00086A6E">
              <w:rPr>
                <w:rFonts w:ascii="Times New Roman" w:hAnsi="Times New Roman" w:cs="Times New Roman"/>
                <w:b/>
                <w:bCs/>
                <w:color w:val="000000"/>
                <w:sz w:val="14"/>
                <w:szCs w:val="14"/>
              </w:rPr>
              <w:t>1 233 948 799</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highlight w:val="yellow"/>
                <w:lang w:eastAsia="sk-SK"/>
              </w:rPr>
            </w:pPr>
            <w:r w:rsidRPr="00086A6E">
              <w:rPr>
                <w:rFonts w:ascii="Times New Roman" w:hAnsi="Times New Roman" w:cs="Times New Roman"/>
                <w:b/>
                <w:bCs/>
                <w:color w:val="000000"/>
                <w:sz w:val="14"/>
                <w:szCs w:val="14"/>
              </w:rPr>
              <w:t>1 237 980 000</w:t>
            </w:r>
          </w:p>
        </w:tc>
      </w:tr>
      <w:tr w:rsidR="00D2350F" w:rsidRPr="00086A6E" w:rsidTr="00D2350F">
        <w:trPr>
          <w:trHeight w:hRule="exact" w:val="255"/>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v tom: bežné výdavky 600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1 067 697 311</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1 099 944 594</w:t>
            </w:r>
          </w:p>
        </w:tc>
        <w:tc>
          <w:tcPr>
            <w:tcW w:w="523"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1 210 955 624</w:t>
            </w:r>
          </w:p>
        </w:tc>
        <w:tc>
          <w:tcPr>
            <w:tcW w:w="527"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sz w:val="14"/>
                <w:szCs w:val="14"/>
              </w:rPr>
              <w:t>1 162 967 869</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1 228 251 428</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1 210 884 740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1 214 915 941</w:t>
            </w:r>
          </w:p>
        </w:tc>
      </w:tr>
      <w:tr w:rsidR="00D2350F" w:rsidRPr="00086A6E" w:rsidTr="00D2350F">
        <w:trPr>
          <w:trHeight w:hRule="exact" w:val="255"/>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610 mzdy</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19 111 837</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18 069 606</w:t>
            </w:r>
          </w:p>
        </w:tc>
        <w:tc>
          <w:tcPr>
            <w:tcW w:w="523"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15 532 602</w:t>
            </w:r>
          </w:p>
        </w:tc>
        <w:tc>
          <w:tcPr>
            <w:tcW w:w="527"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sz w:val="14"/>
                <w:szCs w:val="14"/>
              </w:rPr>
              <w:t>16 198 195</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16 186 981</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16 186 981</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16 186 981</w:t>
            </w:r>
          </w:p>
        </w:tc>
      </w:tr>
      <w:tr w:rsidR="00D2350F" w:rsidRPr="00086A6E" w:rsidTr="00D2350F">
        <w:trPr>
          <w:trHeight w:hRule="exact" w:val="255"/>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620 odvody</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7 839 824</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7 446 597</w:t>
            </w:r>
          </w:p>
        </w:tc>
        <w:tc>
          <w:tcPr>
            <w:tcW w:w="523"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5 483 307</w:t>
            </w:r>
          </w:p>
        </w:tc>
        <w:tc>
          <w:tcPr>
            <w:tcW w:w="527"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sz w:val="14"/>
                <w:szCs w:val="14"/>
              </w:rPr>
              <w:t>6 063 425</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5 716 113</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5 716 113</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5 716 113</w:t>
            </w:r>
          </w:p>
        </w:tc>
      </w:tr>
      <w:tr w:rsidR="00D2350F" w:rsidRPr="00086A6E" w:rsidTr="00D2350F">
        <w:trPr>
          <w:trHeight w:hRule="exact" w:val="255"/>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630 tovary a služby</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39 474 271</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47 622 227</w:t>
            </w:r>
          </w:p>
        </w:tc>
        <w:tc>
          <w:tcPr>
            <w:tcW w:w="523"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74 690 995</w:t>
            </w:r>
          </w:p>
        </w:tc>
        <w:tc>
          <w:tcPr>
            <w:tcW w:w="527"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sz w:val="14"/>
                <w:szCs w:val="14"/>
              </w:rPr>
              <w:t>45 424 828</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73 302 304</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65 549 510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66 503 413</w:t>
            </w:r>
          </w:p>
        </w:tc>
      </w:tr>
      <w:tr w:rsidR="00D2350F" w:rsidRPr="00086A6E" w:rsidTr="00D2350F">
        <w:trPr>
          <w:trHeight w:hRule="exact" w:val="255"/>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640 bežné transfery</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1 001 271 379</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1 026 806 164</w:t>
            </w:r>
          </w:p>
        </w:tc>
        <w:tc>
          <w:tcPr>
            <w:tcW w:w="523"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1 115 248 720</w:t>
            </w:r>
          </w:p>
        </w:tc>
        <w:tc>
          <w:tcPr>
            <w:tcW w:w="527"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sz w:val="14"/>
                <w:szCs w:val="14"/>
              </w:rPr>
              <w:t>1 095 281 421</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1 133 046 030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1 123 432 136</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1 126 509 434</w:t>
            </w:r>
          </w:p>
        </w:tc>
      </w:tr>
      <w:tr w:rsidR="00D2350F" w:rsidRPr="00086A6E" w:rsidTr="00D2350F">
        <w:trPr>
          <w:trHeight w:hRule="exact" w:val="255"/>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kapitálové výdavky 700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17 039 221</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48 999 216</w:t>
            </w:r>
          </w:p>
        </w:tc>
        <w:tc>
          <w:tcPr>
            <w:tcW w:w="523"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86 224 799</w:t>
            </w:r>
          </w:p>
        </w:tc>
        <w:tc>
          <w:tcPr>
            <w:tcW w:w="527"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sz w:val="14"/>
                <w:szCs w:val="14"/>
              </w:rPr>
              <w:t>86 448 919</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44 064 059</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23 064 059</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23 064 059</w:t>
            </w:r>
          </w:p>
        </w:tc>
      </w:tr>
      <w:tr w:rsidR="00D2350F" w:rsidRPr="00086A6E" w:rsidTr="00D2350F">
        <w:trPr>
          <w:trHeight w:hRule="exact" w:val="255"/>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xml:space="preserve">zdroje EÚ vrátane spolufinancovania: </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9 985 060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132 739</w:t>
            </w:r>
          </w:p>
        </w:tc>
        <w:tc>
          <w:tcPr>
            <w:tcW w:w="523"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66 748 826</w:t>
            </w:r>
          </w:p>
        </w:tc>
        <w:tc>
          <w:tcPr>
            <w:tcW w:w="527" w:type="pct"/>
            <w:tcBorders>
              <w:top w:val="nil"/>
              <w:left w:val="nil"/>
              <w:bottom w:val="single" w:sz="4" w:space="0" w:color="auto"/>
              <w:right w:val="single" w:sz="4" w:space="0" w:color="auto"/>
            </w:tcBorders>
            <w:shd w:val="clear" w:color="auto" w:fill="auto"/>
            <w:vAlign w:val="bottom"/>
            <w:hideMark/>
          </w:tcPr>
          <w:p w:rsidR="00D2350F" w:rsidRPr="004650BC" w:rsidRDefault="00D2350F" w:rsidP="00D2350F">
            <w:pPr>
              <w:jc w:val="right"/>
              <w:rPr>
                <w:rFonts w:ascii="Times New Roman" w:hAnsi="Times New Roman" w:cs="Times New Roman"/>
                <w:b/>
                <w:bCs/>
                <w:color w:val="000000"/>
                <w:sz w:val="14"/>
                <w:szCs w:val="14"/>
                <w:lang w:eastAsia="sk-SK"/>
              </w:rPr>
            </w:pPr>
            <w:r w:rsidRPr="004650BC">
              <w:rPr>
                <w:rFonts w:ascii="Times New Roman" w:hAnsi="Times New Roman" w:cs="Times New Roman"/>
                <w:b/>
                <w:sz w:val="14"/>
                <w:szCs w:val="14"/>
              </w:rPr>
              <w:t>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highlight w:val="yellow"/>
                <w:lang w:eastAsia="sk-SK"/>
              </w:rPr>
            </w:pPr>
            <w:r w:rsidRPr="00086A6E">
              <w:rPr>
                <w:rFonts w:ascii="Times New Roman" w:hAnsi="Times New Roman" w:cs="Times New Roman"/>
                <w:b/>
                <w:bCs/>
                <w:color w:val="000000"/>
                <w:sz w:val="14"/>
                <w:szCs w:val="14"/>
              </w:rPr>
              <w:t>88 787 392</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highlight w:val="yellow"/>
                <w:lang w:eastAsia="sk-SK"/>
              </w:rPr>
            </w:pPr>
            <w:r w:rsidRPr="00086A6E">
              <w:rPr>
                <w:rFonts w:ascii="Times New Roman" w:hAnsi="Times New Roman" w:cs="Times New Roman"/>
                <w:b/>
                <w:bCs/>
                <w:color w:val="000000"/>
                <w:sz w:val="14"/>
                <w:szCs w:val="14"/>
              </w:rPr>
              <w:t>312 528 136</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highlight w:val="yellow"/>
                <w:lang w:eastAsia="sk-SK"/>
              </w:rPr>
            </w:pPr>
            <w:r w:rsidRPr="00086A6E">
              <w:rPr>
                <w:rFonts w:ascii="Times New Roman" w:hAnsi="Times New Roman" w:cs="Times New Roman"/>
                <w:b/>
                <w:bCs/>
                <w:color w:val="000000"/>
                <w:sz w:val="14"/>
                <w:szCs w:val="14"/>
              </w:rPr>
              <w:t>302 582 697</w:t>
            </w:r>
          </w:p>
        </w:tc>
      </w:tr>
      <w:tr w:rsidR="00D2350F" w:rsidRPr="00086A6E" w:rsidTr="00D2350F">
        <w:trPr>
          <w:trHeight w:hRule="exact" w:val="255"/>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2. programové obdobie  EÚ prostriedky</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8 659 187</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523"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527"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sz w:val="14"/>
                <w:szCs w:val="14"/>
              </w:rPr>
              <w:t>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0</w:t>
            </w:r>
          </w:p>
        </w:tc>
      </w:tr>
      <w:tr w:rsidR="00D2350F" w:rsidRPr="00086A6E" w:rsidTr="00D2350F">
        <w:trPr>
          <w:trHeight w:hRule="exact" w:val="255"/>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spolufinancovanie zo ŠR</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320 440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523"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527"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sz w:val="14"/>
                <w:szCs w:val="14"/>
              </w:rPr>
              <w:t>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0</w:t>
            </w:r>
          </w:p>
        </w:tc>
      </w:tr>
      <w:tr w:rsidR="00D2350F" w:rsidRPr="00086A6E" w:rsidTr="00D2350F">
        <w:trPr>
          <w:trHeight w:hRule="exact" w:val="255"/>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programové obdobie  EÚ prostriedky</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523"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40 317 223</w:t>
            </w:r>
          </w:p>
        </w:tc>
        <w:tc>
          <w:tcPr>
            <w:tcW w:w="527"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sz w:val="14"/>
                <w:szCs w:val="14"/>
              </w:rPr>
              <w:t>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81 028 732</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251 645 954</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246 203 930</w:t>
            </w:r>
          </w:p>
        </w:tc>
      </w:tr>
      <w:tr w:rsidR="00D2350F" w:rsidRPr="00086A6E" w:rsidTr="00D2350F">
        <w:trPr>
          <w:trHeight w:hRule="exact" w:val="255"/>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spolufinancovanie zo ŠR</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1 005 433</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132 739</w:t>
            </w:r>
          </w:p>
        </w:tc>
        <w:tc>
          <w:tcPr>
            <w:tcW w:w="523"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26 431 603</w:t>
            </w:r>
          </w:p>
        </w:tc>
        <w:tc>
          <w:tcPr>
            <w:tcW w:w="527"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sz w:val="14"/>
                <w:szCs w:val="14"/>
              </w:rPr>
              <w:t>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7 758 660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60 882 182</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56 378 767</w:t>
            </w:r>
          </w:p>
        </w:tc>
      </w:tr>
      <w:tr w:rsidR="00D2350F" w:rsidRPr="00086A6E" w:rsidTr="00D2350F">
        <w:trPr>
          <w:trHeight w:hRule="exact" w:val="255"/>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presun z minulých rokov § 8</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54 198 771</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83 795 177</w:t>
            </w:r>
          </w:p>
        </w:tc>
        <w:tc>
          <w:tcPr>
            <w:tcW w:w="523"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0</w:t>
            </w:r>
          </w:p>
        </w:tc>
        <w:tc>
          <w:tcPr>
            <w:tcW w:w="527"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sz w:val="14"/>
                <w:szCs w:val="14"/>
              </w:rPr>
              <w:t>96 597 577</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highlight w:val="yellow"/>
                <w:lang w:eastAsia="sk-SK"/>
              </w:rPr>
            </w:pPr>
            <w:r w:rsidRPr="00086A6E">
              <w:rPr>
                <w:rFonts w:ascii="Times New Roman" w:hAnsi="Times New Roman" w:cs="Times New Roman"/>
                <w:b/>
                <w:bCs/>
                <w:color w:val="000000"/>
                <w:sz w:val="14"/>
                <w:szCs w:val="14"/>
              </w:rPr>
              <w:t>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highlight w:val="yellow"/>
                <w:lang w:eastAsia="sk-SK"/>
              </w:rPr>
            </w:pPr>
            <w:r w:rsidRPr="00086A6E">
              <w:rPr>
                <w:rFonts w:ascii="Times New Roman" w:hAnsi="Times New Roman" w:cs="Times New Roman"/>
                <w:b/>
                <w:bCs/>
                <w:color w:val="000000"/>
                <w:sz w:val="14"/>
                <w:szCs w:val="14"/>
              </w:rPr>
              <w:t>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highlight w:val="yellow"/>
                <w:lang w:eastAsia="sk-SK"/>
              </w:rPr>
            </w:pPr>
            <w:r w:rsidRPr="00086A6E">
              <w:rPr>
                <w:rFonts w:ascii="Times New Roman" w:hAnsi="Times New Roman" w:cs="Times New Roman"/>
                <w:b/>
                <w:bCs/>
                <w:color w:val="000000"/>
                <w:sz w:val="14"/>
                <w:szCs w:val="14"/>
              </w:rPr>
              <w:t>0</w:t>
            </w:r>
          </w:p>
        </w:tc>
      </w:tr>
      <w:tr w:rsidR="00D2350F" w:rsidRPr="00086A6E" w:rsidTr="00D2350F">
        <w:trPr>
          <w:trHeight w:hRule="exact" w:val="255"/>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z toho: § 8 ŠR</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7 312 710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19 232 110</w:t>
            </w:r>
          </w:p>
        </w:tc>
        <w:tc>
          <w:tcPr>
            <w:tcW w:w="523"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527"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sz w:val="14"/>
                <w:szCs w:val="14"/>
              </w:rPr>
              <w:t>29 848 751</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0</w:t>
            </w:r>
          </w:p>
        </w:tc>
      </w:tr>
      <w:tr w:rsidR="00D2350F" w:rsidRPr="00086A6E" w:rsidTr="00D2350F">
        <w:trPr>
          <w:trHeight w:hRule="exact" w:val="255"/>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presuny z minulých rokov z toho: EU </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39 823 954</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48 437 922</w:t>
            </w:r>
          </w:p>
        </w:tc>
        <w:tc>
          <w:tcPr>
            <w:tcW w:w="523"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527"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sz w:val="14"/>
                <w:szCs w:val="14"/>
              </w:rPr>
              <w:t>40 317 223</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0</w:t>
            </w:r>
          </w:p>
        </w:tc>
      </w:tr>
      <w:tr w:rsidR="00D2350F" w:rsidRPr="00086A6E" w:rsidTr="00D2350F">
        <w:trPr>
          <w:trHeight w:hRule="exact" w:val="255"/>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spolufinancovanie zo ŠR</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7 062 107</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16 125 145</w:t>
            </w:r>
          </w:p>
        </w:tc>
        <w:tc>
          <w:tcPr>
            <w:tcW w:w="523"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527"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sz w:val="14"/>
                <w:szCs w:val="14"/>
              </w:rPr>
              <w:t>26 431 603</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highlight w:val="yellow"/>
                <w:lang w:eastAsia="sk-SK"/>
              </w:rPr>
            </w:pPr>
            <w:r w:rsidRPr="00086A6E">
              <w:rPr>
                <w:rFonts w:ascii="Times New Roman" w:hAnsi="Times New Roman" w:cs="Times New Roman"/>
                <w:color w:val="000000"/>
                <w:sz w:val="14"/>
                <w:szCs w:val="14"/>
              </w:rPr>
              <w:t>0</w:t>
            </w:r>
          </w:p>
        </w:tc>
      </w:tr>
      <w:tr w:rsidR="00D2350F" w:rsidRPr="00086A6E" w:rsidTr="00D2350F">
        <w:trPr>
          <w:trHeight w:hRule="exact" w:val="255"/>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zdroj 72e*</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3 282</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58</w:t>
            </w:r>
          </w:p>
        </w:tc>
        <w:tc>
          <w:tcPr>
            <w:tcW w:w="523"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0</w:t>
            </w:r>
          </w:p>
        </w:tc>
        <w:tc>
          <w:tcPr>
            <w:tcW w:w="527"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lang w:eastAsia="sk-SK"/>
              </w:rPr>
            </w:pPr>
            <w:r w:rsidRPr="00086A6E">
              <w:rPr>
                <w:rFonts w:ascii="Times New Roman" w:hAnsi="Times New Roman" w:cs="Times New Roman"/>
                <w:b/>
                <w:sz w:val="14"/>
                <w:szCs w:val="14"/>
              </w:rPr>
              <w:t>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highlight w:val="yellow"/>
                <w:lang w:eastAsia="sk-SK"/>
              </w:rPr>
            </w:pPr>
            <w:r w:rsidRPr="00086A6E">
              <w:rPr>
                <w:rFonts w:ascii="Times New Roman" w:hAnsi="Times New Roman" w:cs="Times New Roman"/>
                <w:b/>
                <w:bCs/>
                <w:color w:val="000000"/>
                <w:sz w:val="14"/>
                <w:szCs w:val="14"/>
              </w:rPr>
              <w:t>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highlight w:val="yellow"/>
                <w:lang w:eastAsia="sk-SK"/>
              </w:rPr>
            </w:pPr>
            <w:r w:rsidRPr="00086A6E">
              <w:rPr>
                <w:rFonts w:ascii="Times New Roman" w:hAnsi="Times New Roman" w:cs="Times New Roman"/>
                <w:b/>
                <w:bCs/>
                <w:color w:val="000000"/>
                <w:sz w:val="14"/>
                <w:szCs w:val="14"/>
              </w:rPr>
              <w:t>0</w:t>
            </w:r>
          </w:p>
        </w:tc>
        <w:tc>
          <w:tcPr>
            <w:tcW w:w="521"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color w:val="000000"/>
                <w:sz w:val="14"/>
                <w:szCs w:val="14"/>
                <w:highlight w:val="yellow"/>
                <w:lang w:eastAsia="sk-SK"/>
              </w:rPr>
            </w:pPr>
            <w:r w:rsidRPr="00086A6E">
              <w:rPr>
                <w:rFonts w:ascii="Times New Roman" w:hAnsi="Times New Roman" w:cs="Times New Roman"/>
                <w:b/>
                <w:bCs/>
                <w:color w:val="000000"/>
                <w:sz w:val="14"/>
                <w:szCs w:val="14"/>
              </w:rPr>
              <w:t>0</w:t>
            </w:r>
          </w:p>
        </w:tc>
      </w:tr>
    </w:tbl>
    <w:p w:rsidR="00D2350F" w:rsidRPr="00086A6E" w:rsidRDefault="00D2350F" w:rsidP="00D2350F">
      <w:pPr>
        <w:spacing w:after="200"/>
        <w:contextualSpacing/>
        <w:jc w:val="both"/>
        <w:rPr>
          <w:rFonts w:ascii="Times New Roman" w:hAnsi="Times New Roman" w:cs="Times New Roman"/>
          <w:color w:val="000000"/>
          <w:sz w:val="14"/>
          <w:szCs w:val="14"/>
          <w:lang w:eastAsia="sk-SK"/>
        </w:rPr>
      </w:pPr>
      <w:r w:rsidRPr="00086A6E">
        <w:rPr>
          <w:rFonts w:ascii="Times New Roman" w:hAnsi="Times New Roman" w:cs="Times New Roman"/>
          <w:sz w:val="14"/>
          <w:szCs w:val="14"/>
        </w:rPr>
        <w:t>*</w:t>
      </w:r>
      <w:r w:rsidRPr="00086A6E">
        <w:rPr>
          <w:rFonts w:ascii="Times New Roman" w:hAnsi="Times New Roman" w:cs="Times New Roman"/>
          <w:color w:val="000000"/>
          <w:sz w:val="14"/>
          <w:szCs w:val="14"/>
          <w:lang w:eastAsia="sk-SK"/>
        </w:rPr>
        <w:t xml:space="preserve"> z poistného plnenia zo zmluvného poistenia alebo zo zákonného poistenia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8"/>
        <w:gridCol w:w="910"/>
        <w:gridCol w:w="910"/>
        <w:gridCol w:w="1037"/>
        <w:gridCol w:w="1037"/>
        <w:gridCol w:w="910"/>
        <w:gridCol w:w="910"/>
        <w:gridCol w:w="910"/>
      </w:tblGrid>
      <w:tr w:rsidR="00D2350F" w:rsidRPr="00086A6E" w:rsidTr="00D2350F">
        <w:trPr>
          <w:trHeight w:val="255"/>
        </w:trPr>
        <w:tc>
          <w:tcPr>
            <w:tcW w:w="1345" w:type="pct"/>
            <w:shd w:val="clear" w:color="auto" w:fill="auto"/>
            <w:vAlign w:val="bottom"/>
            <w:hideMark/>
          </w:tcPr>
          <w:p w:rsidR="00D2350F" w:rsidRPr="00086A6E" w:rsidRDefault="00D2350F" w:rsidP="00D2350F">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samostatné účty </w:t>
            </w:r>
          </w:p>
        </w:tc>
        <w:tc>
          <w:tcPr>
            <w:tcW w:w="502" w:type="pct"/>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2 364 427</w:t>
            </w:r>
          </w:p>
        </w:tc>
        <w:tc>
          <w:tcPr>
            <w:tcW w:w="502" w:type="pct"/>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57 000</w:t>
            </w:r>
          </w:p>
        </w:tc>
        <w:tc>
          <w:tcPr>
            <w:tcW w:w="572" w:type="pct"/>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181 595</w:t>
            </w:r>
          </w:p>
        </w:tc>
        <w:tc>
          <w:tcPr>
            <w:tcW w:w="572"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489 484</w:t>
            </w:r>
          </w:p>
        </w:tc>
        <w:tc>
          <w:tcPr>
            <w:tcW w:w="502" w:type="pct"/>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458 316</w:t>
            </w:r>
          </w:p>
        </w:tc>
        <w:tc>
          <w:tcPr>
            <w:tcW w:w="502" w:type="pct"/>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686 655</w:t>
            </w:r>
          </w:p>
        </w:tc>
        <w:tc>
          <w:tcPr>
            <w:tcW w:w="502" w:type="pct"/>
            <w:shd w:val="clear" w:color="auto" w:fill="auto"/>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816 561</w:t>
            </w:r>
          </w:p>
        </w:tc>
      </w:tr>
    </w:tbl>
    <w:p w:rsidR="00D2350F" w:rsidRPr="00086A6E" w:rsidRDefault="00D2350F" w:rsidP="00D2350F">
      <w:pPr>
        <w:spacing w:after="200"/>
        <w:contextualSpacing/>
        <w:jc w:val="both"/>
        <w:rPr>
          <w:rFonts w:ascii="Times New Roman" w:hAnsi="Times New Roman" w:cs="Times New Roman"/>
          <w:color w:val="000000"/>
          <w:sz w:val="14"/>
          <w:szCs w:val="14"/>
          <w:lang w:eastAsia="sk-SK"/>
        </w:rPr>
      </w:pPr>
    </w:p>
    <w:p w:rsidR="00D2350F" w:rsidRDefault="00D2350F" w:rsidP="00D2350F">
      <w:pPr>
        <w:ind w:firstLine="709"/>
        <w:jc w:val="both"/>
        <w:rPr>
          <w:rFonts w:ascii="Times New Roman" w:hAnsi="Times New Roman" w:cs="Times New Roman"/>
        </w:rPr>
      </w:pPr>
    </w:p>
    <w:p w:rsidR="00D2350F" w:rsidRPr="00086A6E" w:rsidRDefault="00D2350F" w:rsidP="00D2350F">
      <w:pPr>
        <w:ind w:firstLine="709"/>
        <w:jc w:val="both"/>
        <w:rPr>
          <w:rFonts w:ascii="Times New Roman" w:hAnsi="Times New Roman" w:cs="Times New Roman"/>
        </w:rPr>
      </w:pPr>
      <w:r w:rsidRPr="00086A6E">
        <w:rPr>
          <w:rFonts w:ascii="Times New Roman" w:hAnsi="Times New Roman" w:cs="Times New Roman"/>
        </w:rPr>
        <w:t xml:space="preserve">Kapitola MŠVVŠ SR na rok 2019 bude mať k dispozícii celkové výdavky v sume </w:t>
      </w:r>
      <w:r>
        <w:rPr>
          <w:rFonts w:ascii="Times New Roman" w:hAnsi="Times New Roman" w:cs="Times New Roman"/>
        </w:rPr>
        <w:br/>
      </w:r>
      <w:r w:rsidRPr="00086A6E">
        <w:rPr>
          <w:rFonts w:ascii="Times New Roman" w:hAnsi="Times New Roman" w:cs="Times New Roman"/>
        </w:rPr>
        <w:t xml:space="preserve">1,36 mld. eur, z toho prostriedky štátneho rozpočtu v sume 1,27 mld. eur a prostriedky zo štrukturálnych fondov vrátane spolufinancovania zo štátneho rozpočtu v sume 88,8 mil. eur. </w:t>
      </w:r>
    </w:p>
    <w:p w:rsidR="00D2350F" w:rsidRPr="00086A6E" w:rsidRDefault="00D2350F" w:rsidP="00D2350F">
      <w:pPr>
        <w:ind w:firstLine="709"/>
        <w:jc w:val="both"/>
        <w:rPr>
          <w:rFonts w:ascii="Times New Roman" w:hAnsi="Times New Roman" w:cs="Times New Roman"/>
        </w:rPr>
      </w:pPr>
    </w:p>
    <w:p w:rsidR="00D2350F" w:rsidRDefault="00D2350F" w:rsidP="00D2350F">
      <w:pPr>
        <w:ind w:firstLine="709"/>
        <w:jc w:val="both"/>
        <w:rPr>
          <w:rFonts w:ascii="Times New Roman" w:hAnsi="Times New Roman" w:cs="Times New Roman"/>
        </w:rPr>
      </w:pPr>
      <w:r w:rsidRPr="00086A6E">
        <w:rPr>
          <w:rFonts w:ascii="Times New Roman" w:hAnsi="Times New Roman" w:cs="Times New Roman"/>
        </w:rPr>
        <w:t xml:space="preserve">Výdavky kapitoly na rok 2019 oproti schválenému rozpočtu roku 2018 klesajú </w:t>
      </w:r>
      <w:r w:rsidRPr="00086A6E">
        <w:rPr>
          <w:rFonts w:ascii="Times New Roman" w:hAnsi="Times New Roman" w:cs="Times New Roman"/>
        </w:rPr>
        <w:br/>
        <w:t xml:space="preserve">o 2,83 mil. eur, t. j. o 0,21 %. Na medziročnej zmene celkových výdavkov sa podieľa pokles prostriedkov štátneho rozpočtu v sume 24,9 mil. eur, t. j. o 1,92 %. Prostriedky Európskej únie zo štrukturálnych fondov vrátane prostriedkov na spolufinancovanie zo štátneho rozpočtu rastú o 22,0 mil. eur, t. j. o 33,0 %. Na pokles výdavkov štátneho rozpočtu kapitoly MŠVVŠ SR má vplyv skutočnosť, že výdavky určené na financovanie projektu Národného futbalového štadióna už nie sú zapracované v roku 2019, výdavky rozpočtované z priorít v roku 2018 na asistentov učiteľa  boli v značnej časti presunuté na MV SR. </w:t>
      </w:r>
    </w:p>
    <w:p w:rsidR="00D2350F" w:rsidRPr="00086A6E" w:rsidRDefault="00D2350F" w:rsidP="00D2350F">
      <w:pPr>
        <w:ind w:firstLine="709"/>
        <w:jc w:val="both"/>
        <w:rPr>
          <w:rFonts w:ascii="Times New Roman" w:hAnsi="Times New Roman" w:cs="Times New Roman"/>
        </w:rPr>
      </w:pPr>
    </w:p>
    <w:p w:rsidR="00D2350F" w:rsidRDefault="00D2350F" w:rsidP="00D2350F">
      <w:pPr>
        <w:ind w:firstLine="709"/>
        <w:jc w:val="both"/>
        <w:rPr>
          <w:rFonts w:ascii="Times New Roman" w:hAnsi="Times New Roman" w:cs="Times New Roman"/>
        </w:rPr>
      </w:pPr>
      <w:r w:rsidRPr="00086A6E">
        <w:rPr>
          <w:rFonts w:ascii="Times New Roman" w:hAnsi="Times New Roman" w:cs="Times New Roman"/>
        </w:rPr>
        <w:t xml:space="preserve">V medziročnej zmene výdavkov štátneho rozpočtu je premietnutá valorizácia platov zamestnancov z roku 2018 na úrovni 4,8 %, s výnimkou pedagogických zamestnancov a odborných zamestnancov a učiteľov vysokých škôl. Ďalej sú zapracované výdavky vyplývajúce z novely zákona č. 61/2015 Z. z. o odbornom vzdelávaní v znení neskorších predpisov na financovanie systému duálneho vzdelávania, </w:t>
      </w:r>
      <w:r w:rsidRPr="00086A6E">
        <w:rPr>
          <w:rFonts w:ascii="Times New Roman" w:hAnsi="Times New Roman" w:cs="Times New Roman"/>
          <w:kern w:val="36"/>
        </w:rPr>
        <w:t>zvýšené normatívne výdavky pre regionálne školstvo</w:t>
      </w:r>
      <w:r w:rsidRPr="00086A6E">
        <w:rPr>
          <w:rFonts w:ascii="Times New Roman" w:hAnsi="Times New Roman" w:cs="Times New Roman"/>
        </w:rPr>
        <w:t xml:space="preserve"> na základe novely nariadenia vlády SR</w:t>
      </w:r>
      <w:r w:rsidRPr="00086A6E">
        <w:rPr>
          <w:rFonts w:ascii="Times New Roman" w:hAnsi="Times New Roman" w:cs="Times New Roman"/>
          <w:kern w:val="36"/>
        </w:rPr>
        <w:t xml:space="preserve">, ktorým sa ustanovujú podrobnosti </w:t>
      </w:r>
      <w:r w:rsidRPr="00086A6E">
        <w:rPr>
          <w:rFonts w:ascii="Times New Roman" w:hAnsi="Times New Roman" w:cs="Times New Roman"/>
          <w:kern w:val="36"/>
        </w:rPr>
        <w:lastRenderedPageBreak/>
        <w:t>rozpisu finančných prostriedkov zo štátneho rozpočtu pre školy a školské zariadenia č. 630/2008 Z. z., výdavky na</w:t>
      </w:r>
      <w:r w:rsidRPr="00086A6E">
        <w:rPr>
          <w:rFonts w:ascii="Times New Roman" w:hAnsi="Times New Roman" w:cs="Times New Roman"/>
        </w:rPr>
        <w:t xml:space="preserve"> obstaranie učebníc a učebných textov. Zároveň je v náraste  premietnuté zvýšenie rozpočtu výdavkov na financovanie športovej infraštruktúry, výdavkov na šport v zmysle zákona č. 440/2015 Z. z., zvýšenie výdavkov súvisiacich so zriadením Slovenskej akreditačnej agentúry a výdavkov na stabilizačný príspevok pre študentov bakalárskeho študijného programu ošetrovateľstvo v študijnom odbore ošetrovateľstvo denná forma štúdia v zmysle UV č. 404/2018.  </w:t>
      </w:r>
    </w:p>
    <w:p w:rsidR="00D2350F" w:rsidRPr="00086A6E" w:rsidRDefault="00D2350F" w:rsidP="00D2350F">
      <w:pPr>
        <w:ind w:firstLine="709"/>
        <w:jc w:val="both"/>
        <w:rPr>
          <w:rFonts w:ascii="Times New Roman" w:hAnsi="Times New Roman" w:cs="Times New Roman"/>
        </w:rPr>
      </w:pPr>
    </w:p>
    <w:p w:rsidR="00D2350F" w:rsidRDefault="00D2350F" w:rsidP="00D2350F">
      <w:pPr>
        <w:ind w:firstLine="709"/>
        <w:jc w:val="both"/>
        <w:rPr>
          <w:rFonts w:ascii="Times New Roman" w:hAnsi="Times New Roman" w:cs="Times New Roman"/>
        </w:rPr>
      </w:pPr>
      <w:r w:rsidRPr="00086A6E">
        <w:rPr>
          <w:rFonts w:ascii="Times New Roman" w:hAnsi="Times New Roman" w:cs="Times New Roman"/>
        </w:rPr>
        <w:t xml:space="preserve"> Osobné výdavky sa rozpočtujú v sume 21,9 mil. eur, čo predstavuje nárast oproti schválenému rozpočtu roku 2018 o 0,89 mil. eur, t. j. o 4,22 %. V návrhu rozpočtu osobných výdavkov na roky 2019 až 2021 je premietnutá valorizácia platov zamestnancov z roku 2018 na úrovni 4,8 %, s výnimkou pedagogických zamestnancov a odborných zamestnancov a učiteľov vysokých škôl, zabezpečenie financovania 5 zamestnancov aparátu MŠVVŠ SR a zabezpečenie nárokových zložiek zamestnancov Štátnej školskej inšpekcie. Zároveň je zohľadnená organizačná zmena rozpočtovej organizácie Národného športového centra na príspevkovú formu hospodárenia.</w:t>
      </w:r>
    </w:p>
    <w:p w:rsidR="00D2350F" w:rsidRPr="00086A6E" w:rsidRDefault="00D2350F" w:rsidP="00D2350F">
      <w:pPr>
        <w:ind w:firstLine="709"/>
        <w:jc w:val="both"/>
        <w:rPr>
          <w:rFonts w:ascii="Times New Roman" w:hAnsi="Times New Roman" w:cs="Times New Roman"/>
        </w:rPr>
      </w:pPr>
    </w:p>
    <w:p w:rsidR="00D2350F" w:rsidRDefault="00D2350F" w:rsidP="00D2350F">
      <w:pPr>
        <w:ind w:firstLine="709"/>
        <w:jc w:val="both"/>
        <w:rPr>
          <w:rFonts w:ascii="Times New Roman" w:hAnsi="Times New Roman" w:cs="Times New Roman"/>
        </w:rPr>
      </w:pPr>
      <w:r w:rsidRPr="00086A6E">
        <w:rPr>
          <w:rFonts w:ascii="Times New Roman" w:hAnsi="Times New Roman" w:cs="Times New Roman"/>
        </w:rPr>
        <w:t xml:space="preserve">V oblasti tovarov a služieb sa rozpočtujú výdavky štátneho rozpočtu v sume </w:t>
      </w:r>
      <w:r w:rsidRPr="00086A6E">
        <w:rPr>
          <w:rFonts w:ascii="Times New Roman" w:hAnsi="Times New Roman" w:cs="Times New Roman"/>
        </w:rPr>
        <w:br/>
        <w:t xml:space="preserve">73,3 mil. eur. Tieto výdavky sú určené na činnosť rozpočtových organizácií ako aj na zabezpečenie nákupu a distribúcie učebníc a učebných textov, na organizovanie celoslovenských súťaží škôl a školských zariadení, rozvojové projekty, riešenie </w:t>
      </w:r>
      <w:r w:rsidRPr="00F10B2B">
        <w:rPr>
          <w:rFonts w:ascii="Times New Roman" w:hAnsi="Times New Roman" w:cs="Times New Roman"/>
        </w:rPr>
        <w:t>havárií atď. a výdavky na stabilizačný príspevok pre študentov bakalárskeho študijného progr</w:t>
      </w:r>
      <w:r w:rsidRPr="00086A6E">
        <w:rPr>
          <w:rFonts w:ascii="Times New Roman" w:hAnsi="Times New Roman" w:cs="Times New Roman"/>
        </w:rPr>
        <w:t xml:space="preserve">amu ošetrovateľstvo v študijnom odbore ošetrovateľstvo denná forma štúdia v zmysle </w:t>
      </w:r>
      <w:r>
        <w:rPr>
          <w:rFonts w:ascii="Times New Roman" w:hAnsi="Times New Roman" w:cs="Times New Roman"/>
        </w:rPr>
        <w:br/>
      </w:r>
      <w:r w:rsidRPr="00086A6E">
        <w:rPr>
          <w:rFonts w:ascii="Times New Roman" w:hAnsi="Times New Roman" w:cs="Times New Roman"/>
        </w:rPr>
        <w:t>UV č. 404/2018.  </w:t>
      </w:r>
    </w:p>
    <w:p w:rsidR="00D2350F" w:rsidRPr="00086A6E" w:rsidRDefault="00D2350F" w:rsidP="00D2350F">
      <w:pPr>
        <w:ind w:firstLine="709"/>
        <w:jc w:val="both"/>
        <w:rPr>
          <w:rFonts w:ascii="Times New Roman" w:hAnsi="Times New Roman" w:cs="Times New Roman"/>
        </w:rPr>
      </w:pPr>
    </w:p>
    <w:p w:rsidR="00D2350F" w:rsidRPr="00086A6E" w:rsidRDefault="00D2350F" w:rsidP="00D2350F">
      <w:pPr>
        <w:spacing w:after="200"/>
        <w:ind w:firstLine="709"/>
        <w:jc w:val="both"/>
        <w:rPr>
          <w:rFonts w:ascii="Times New Roman" w:hAnsi="Times New Roman" w:cs="Times New Roman"/>
        </w:rPr>
      </w:pPr>
      <w:r w:rsidRPr="00086A6E">
        <w:rPr>
          <w:rFonts w:ascii="Times New Roman" w:hAnsi="Times New Roman" w:cs="Times New Roman"/>
        </w:rPr>
        <w:t xml:space="preserve">Bežné transfery sa navrhujú v sume 1,13 mld. eur, čo predstavuje medziročný nárast  o 17,8 mil. eur, t. j. o 1,60 %.  Tento nárast  je ovplyvnený zapracovaním dopočtu valorizácie platov z roku 2018 pre nepedagogických zamestnancov regionálneho školstva v pôsobnosti VÚC a verejných vysokých škôl (vrátane štipendií doktorandov vysokých škôl) o 4,8 %. Ďalej v náraste výdavkov v rámci bežných transferov sú zapracované výdavky vyplývajúce z novely zákona č. 61/2015 Z. z. o odbornom vzdelávaní v znení neskorších predpisov na financovanie duálneho vzdelávania, z novely nariadenia vlády SR č. 630/2008 Z. z. týkajúce sa normatívnych výdavkov, výdavky na podporu projektov vedy a výskumu, výdavky na financovanie športu na úroveň 100 % predpokladaného odvodu z prevádzkovania lotériových hier podľa zákona </w:t>
      </w:r>
      <w:r>
        <w:rPr>
          <w:rFonts w:ascii="Times New Roman" w:hAnsi="Times New Roman" w:cs="Times New Roman"/>
        </w:rPr>
        <w:br/>
      </w:r>
      <w:r w:rsidRPr="00086A6E">
        <w:rPr>
          <w:rFonts w:ascii="Times New Roman" w:hAnsi="Times New Roman" w:cs="Times New Roman"/>
        </w:rPr>
        <w:t xml:space="preserve">č. 440/2015 Z. z. </w:t>
      </w:r>
    </w:p>
    <w:p w:rsidR="00D2350F" w:rsidRPr="00086A6E" w:rsidRDefault="00D2350F" w:rsidP="00D2350F">
      <w:pPr>
        <w:ind w:firstLine="709"/>
        <w:jc w:val="both"/>
        <w:rPr>
          <w:rFonts w:ascii="Times New Roman" w:hAnsi="Times New Roman" w:cs="Times New Roman"/>
        </w:rPr>
      </w:pPr>
      <w:r w:rsidRPr="00086A6E">
        <w:rPr>
          <w:rFonts w:ascii="Times New Roman" w:hAnsi="Times New Roman" w:cs="Times New Roman"/>
        </w:rPr>
        <w:t xml:space="preserve">Kapitálové výdavky štátneho rozpočtu sa rozpočtujú na rok 2019 v sume 44,1 mil. eur, čo predstavuje medziročný pokles o 42,2 mil. eur, ktorý je ovplyvnený hlavne znížením rozpočtu výdavkov týkajúcich sa ukončenia projektu Národného futbalového štadióna v sume 63,0 mil. eur a zvýšením výdavkov na športovú infraštruktúru národného významu v sume </w:t>
      </w:r>
      <w:r>
        <w:rPr>
          <w:rFonts w:ascii="Times New Roman" w:hAnsi="Times New Roman" w:cs="Times New Roman"/>
        </w:rPr>
        <w:br/>
      </w:r>
      <w:r w:rsidRPr="00086A6E">
        <w:rPr>
          <w:rFonts w:ascii="Times New Roman" w:hAnsi="Times New Roman" w:cs="Times New Roman"/>
        </w:rPr>
        <w:t xml:space="preserve">21,0 mil. eur. </w:t>
      </w:r>
    </w:p>
    <w:p w:rsidR="00D2350F" w:rsidRPr="00086A6E" w:rsidRDefault="00D2350F" w:rsidP="00D2350F">
      <w:pPr>
        <w:ind w:firstLine="709"/>
        <w:jc w:val="both"/>
        <w:rPr>
          <w:rFonts w:ascii="Times New Roman" w:hAnsi="Times New Roman" w:cs="Times New Roman"/>
        </w:rPr>
      </w:pPr>
    </w:p>
    <w:p w:rsidR="00D2350F" w:rsidRPr="00086A6E" w:rsidRDefault="00D2350F" w:rsidP="00D2350F">
      <w:pPr>
        <w:ind w:firstLine="708"/>
        <w:jc w:val="both"/>
        <w:rPr>
          <w:rFonts w:ascii="Times New Roman" w:hAnsi="Times New Roman" w:cs="Times New Roman"/>
        </w:rPr>
      </w:pPr>
      <w:r w:rsidRPr="00086A6E">
        <w:rPr>
          <w:rFonts w:ascii="Times New Roman" w:hAnsi="Times New Roman" w:cs="Times New Roman"/>
        </w:rPr>
        <w:t>Z celkového objemu kapitálových výdavkov je 7,90 mil. eur rozpočtovaných ako kapitálový transfer pre verejné vysoké školy,</w:t>
      </w:r>
      <w:r w:rsidRPr="00086A6E">
        <w:rPr>
          <w:rFonts w:ascii="Times New Roman" w:hAnsi="Times New Roman" w:cs="Times New Roman"/>
          <w:b/>
        </w:rPr>
        <w:t xml:space="preserve"> </w:t>
      </w:r>
      <w:r w:rsidRPr="00086A6E">
        <w:rPr>
          <w:rFonts w:ascii="Times New Roman" w:hAnsi="Times New Roman" w:cs="Times New Roman"/>
        </w:rPr>
        <w:t>čo je v súlade s rozpisom verejných vysokých škôl.</w:t>
      </w:r>
    </w:p>
    <w:p w:rsidR="00BB411E" w:rsidRDefault="00BB411E" w:rsidP="00D2350F">
      <w:pPr>
        <w:ind w:firstLine="708"/>
        <w:jc w:val="both"/>
        <w:rPr>
          <w:rFonts w:ascii="Times New Roman" w:hAnsi="Times New Roman" w:cs="Times New Roman"/>
        </w:rPr>
      </w:pPr>
    </w:p>
    <w:p w:rsidR="00D2350F" w:rsidRDefault="00BB411E" w:rsidP="00D2350F">
      <w:pPr>
        <w:ind w:firstLine="708"/>
        <w:jc w:val="both"/>
        <w:rPr>
          <w:rFonts w:ascii="Times New Roman" w:hAnsi="Times New Roman"/>
        </w:rPr>
      </w:pPr>
      <w:r w:rsidRPr="00BB411E">
        <w:rPr>
          <w:rFonts w:ascii="Times New Roman" w:hAnsi="Times New Roman" w:cs="Times New Roman"/>
        </w:rPr>
        <w:t>Návrh rozpočtu verejnej správy vytvára predpoklady na pokračovanie rekonštrukcie internátov aj v roku 2019 vyčlenením verejných zdrojov vrátane projektov garantovaných energetických služieb na rekonštrukcie vysokoškolských internátov tak, aby spolu s prostriedkami vyčlenenými už v roku 2018 dosiahli kumulatívne 50 mil. eur</w:t>
      </w:r>
      <w:r>
        <w:rPr>
          <w:rFonts w:ascii="Times New Roman" w:hAnsi="Times New Roman" w:cs="Times New Roman"/>
        </w:rPr>
        <w:t>.</w:t>
      </w:r>
      <w:r w:rsidRPr="00BB411E">
        <w:rPr>
          <w:rFonts w:ascii="Times New Roman" w:hAnsi="Times New Roman"/>
        </w:rPr>
        <w:t xml:space="preserve"> </w:t>
      </w:r>
    </w:p>
    <w:p w:rsidR="00BB411E" w:rsidRPr="00086A6E" w:rsidRDefault="00BB411E" w:rsidP="00D2350F">
      <w:pPr>
        <w:ind w:firstLine="708"/>
        <w:jc w:val="both"/>
        <w:rPr>
          <w:rFonts w:ascii="Times New Roman" w:hAnsi="Times New Roman" w:cs="Times New Roman"/>
        </w:rPr>
      </w:pPr>
    </w:p>
    <w:p w:rsidR="00D2350F" w:rsidRPr="00086A6E" w:rsidRDefault="00D2350F" w:rsidP="00D2350F">
      <w:pPr>
        <w:ind w:firstLine="709"/>
        <w:jc w:val="both"/>
        <w:rPr>
          <w:rFonts w:ascii="Times New Roman" w:hAnsi="Times New Roman" w:cs="Times New Roman"/>
          <w:noProof/>
          <w:lang w:eastAsia="sk-SK"/>
        </w:rPr>
      </w:pPr>
      <w:r w:rsidRPr="00086A6E">
        <w:rPr>
          <w:rFonts w:ascii="Times New Roman" w:hAnsi="Times New Roman" w:cs="Times New Roman"/>
          <w:noProof/>
          <w:lang w:eastAsia="sk-SK"/>
        </w:rPr>
        <w:lastRenderedPageBreak/>
        <w:t>MŠVVŠ SR na rok 2019 rozpočtuje výdavky na samostaných účtoch v celkovej sume 0,46 mil. eur. Uvedené prostriedky sú určené najmä na financovanie projektov ako sú program ERASMUS+ a projekty ERA-NET JPco-fuND a DANUBE Transnational Programme INTERREG, Challenging Extremism, Projekt Teach UP, Projekt Scientix 3. V rámci programu ERASMUS+ Š</w:t>
      </w:r>
      <w:r>
        <w:rPr>
          <w:rFonts w:ascii="Times New Roman" w:hAnsi="Times New Roman" w:cs="Times New Roman"/>
          <w:noProof/>
          <w:lang w:eastAsia="sk-SK"/>
        </w:rPr>
        <w:t xml:space="preserve">tátny inštitút odborného vzdelávania </w:t>
      </w:r>
      <w:r w:rsidRPr="00086A6E">
        <w:rPr>
          <w:rFonts w:ascii="Times New Roman" w:hAnsi="Times New Roman" w:cs="Times New Roman"/>
          <w:noProof/>
          <w:lang w:eastAsia="sk-SK"/>
        </w:rPr>
        <w:t>realizuje projekty ako sú Slovenské národné observatórium odborného vzdelávania, Tools of Sustainable Quality Assurance in Slovakia, grant pre Národné kontaktné miesto pre Európsky kvalifikačný rámec, Mobility for Quality, Paint Tours.</w:t>
      </w:r>
    </w:p>
    <w:p w:rsidR="00D2350F" w:rsidRPr="00086A6E" w:rsidRDefault="00D2350F" w:rsidP="00D2350F">
      <w:pPr>
        <w:jc w:val="both"/>
        <w:rPr>
          <w:rFonts w:cs="Times New Roman"/>
          <w:color w:val="000000"/>
        </w:rPr>
      </w:pPr>
    </w:p>
    <w:p w:rsidR="00D2350F" w:rsidRPr="00086A6E" w:rsidRDefault="00D2350F" w:rsidP="00D2350F">
      <w:pPr>
        <w:spacing w:after="200"/>
        <w:ind w:firstLine="709"/>
        <w:jc w:val="both"/>
        <w:rPr>
          <w:rFonts w:ascii="Times New Roman" w:hAnsi="Times New Roman" w:cs="Times New Roman"/>
        </w:rPr>
      </w:pPr>
      <w:r w:rsidRPr="00086A6E">
        <w:rPr>
          <w:rFonts w:ascii="Times New Roman" w:hAnsi="Times New Roman" w:cs="Times New Roman"/>
        </w:rPr>
        <w:t xml:space="preserve">Nasledujúca tabuľka zobrazuje výdavky MŠVVŠ SR z rozpočtových prostriedkov kapitoly na jednotlivé oblasti. </w:t>
      </w:r>
    </w:p>
    <w:tbl>
      <w:tblPr>
        <w:tblW w:w="5000" w:type="pct"/>
        <w:tblCellMar>
          <w:left w:w="70" w:type="dxa"/>
          <w:right w:w="70" w:type="dxa"/>
        </w:tblCellMar>
        <w:tblLook w:val="04A0" w:firstRow="1" w:lastRow="0" w:firstColumn="1" w:lastColumn="0" w:noHBand="0" w:noVBand="1"/>
      </w:tblPr>
      <w:tblGrid>
        <w:gridCol w:w="2447"/>
        <w:gridCol w:w="945"/>
        <w:gridCol w:w="945"/>
        <w:gridCol w:w="945"/>
        <w:gridCol w:w="945"/>
        <w:gridCol w:w="945"/>
        <w:gridCol w:w="945"/>
        <w:gridCol w:w="945"/>
      </w:tblGrid>
      <w:tr w:rsidR="00D2350F" w:rsidRPr="00086A6E" w:rsidTr="00D2350F">
        <w:trPr>
          <w:trHeight w:hRule="exact" w:val="255"/>
        </w:trPr>
        <w:tc>
          <w:tcPr>
            <w:tcW w:w="1350" w:type="pct"/>
            <w:tcBorders>
              <w:top w:val="single" w:sz="4" w:space="0" w:color="auto"/>
              <w:left w:val="single" w:sz="4" w:space="0" w:color="auto"/>
              <w:bottom w:val="single" w:sz="4" w:space="0" w:color="auto"/>
              <w:right w:val="single" w:sz="4" w:space="0" w:color="auto"/>
            </w:tcBorders>
            <w:shd w:val="pct35" w:color="000000" w:fill="auto"/>
            <w:noWrap/>
            <w:vAlign w:val="center"/>
            <w:hideMark/>
          </w:tcPr>
          <w:p w:rsidR="00D2350F" w:rsidRPr="00086A6E" w:rsidRDefault="00D2350F" w:rsidP="00D2350F">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v eurách</w:t>
            </w:r>
          </w:p>
        </w:tc>
        <w:tc>
          <w:tcPr>
            <w:tcW w:w="521"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2016 S</w:t>
            </w:r>
          </w:p>
        </w:tc>
        <w:tc>
          <w:tcPr>
            <w:tcW w:w="521"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2017 S</w:t>
            </w:r>
          </w:p>
        </w:tc>
        <w:tc>
          <w:tcPr>
            <w:tcW w:w="521"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2018 R</w:t>
            </w:r>
          </w:p>
        </w:tc>
        <w:tc>
          <w:tcPr>
            <w:tcW w:w="521"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2018 OS</w:t>
            </w:r>
          </w:p>
        </w:tc>
        <w:tc>
          <w:tcPr>
            <w:tcW w:w="521"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sz w:val="14"/>
                <w:szCs w:val="14"/>
              </w:rPr>
            </w:pPr>
            <w:r w:rsidRPr="00086A6E">
              <w:rPr>
                <w:rFonts w:ascii="Times New Roman" w:hAnsi="Times New Roman" w:cs="Times New Roman"/>
                <w:b/>
                <w:sz w:val="14"/>
                <w:szCs w:val="14"/>
              </w:rPr>
              <w:t>2019 N</w:t>
            </w:r>
          </w:p>
        </w:tc>
        <w:tc>
          <w:tcPr>
            <w:tcW w:w="521"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sz w:val="14"/>
                <w:szCs w:val="14"/>
              </w:rPr>
            </w:pPr>
            <w:r w:rsidRPr="00086A6E">
              <w:rPr>
                <w:rFonts w:ascii="Times New Roman" w:hAnsi="Times New Roman" w:cs="Times New Roman"/>
                <w:b/>
                <w:sz w:val="14"/>
                <w:szCs w:val="14"/>
              </w:rPr>
              <w:t>2020 N</w:t>
            </w:r>
          </w:p>
        </w:tc>
        <w:tc>
          <w:tcPr>
            <w:tcW w:w="521"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sz w:val="14"/>
                <w:szCs w:val="14"/>
              </w:rPr>
            </w:pPr>
            <w:r w:rsidRPr="00086A6E">
              <w:rPr>
                <w:rFonts w:ascii="Times New Roman" w:hAnsi="Times New Roman" w:cs="Times New Roman"/>
                <w:b/>
                <w:sz w:val="14"/>
                <w:szCs w:val="14"/>
              </w:rPr>
              <w:t>2021 N</w:t>
            </w:r>
          </w:p>
        </w:tc>
      </w:tr>
      <w:tr w:rsidR="00D2350F" w:rsidRPr="00086A6E" w:rsidTr="00D2350F">
        <w:trPr>
          <w:trHeight w:hRule="exact" w:val="255"/>
        </w:trPr>
        <w:tc>
          <w:tcPr>
            <w:tcW w:w="1350" w:type="pct"/>
            <w:tcBorders>
              <w:top w:val="single" w:sz="4" w:space="0" w:color="auto"/>
              <w:left w:val="single" w:sz="4" w:space="0" w:color="auto"/>
              <w:bottom w:val="single" w:sz="4" w:space="0" w:color="auto"/>
              <w:right w:val="single" w:sz="4" w:space="0" w:color="auto"/>
            </w:tcBorders>
            <w:shd w:val="pct25" w:color="000000" w:fill="auto"/>
            <w:vAlign w:val="bottom"/>
            <w:hideMark/>
          </w:tcPr>
          <w:p w:rsidR="00D2350F" w:rsidRPr="00086A6E" w:rsidRDefault="00D2350F" w:rsidP="00D2350F">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Zdroje príslušnej kapitoly, z toho:</w:t>
            </w:r>
          </w:p>
        </w:tc>
        <w:tc>
          <w:tcPr>
            <w:tcW w:w="521"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1 148 920 363</w:t>
            </w:r>
          </w:p>
        </w:tc>
        <w:tc>
          <w:tcPr>
            <w:tcW w:w="521"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1 232 871 726</w:t>
            </w:r>
          </w:p>
        </w:tc>
        <w:tc>
          <w:tcPr>
            <w:tcW w:w="521"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1 363 929 249</w:t>
            </w:r>
          </w:p>
        </w:tc>
        <w:tc>
          <w:tcPr>
            <w:tcW w:w="521"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1 346 388 307</w:t>
            </w:r>
          </w:p>
        </w:tc>
        <w:tc>
          <w:tcPr>
            <w:tcW w:w="521"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1 361 102 879</w:t>
            </w:r>
          </w:p>
        </w:tc>
        <w:tc>
          <w:tcPr>
            <w:tcW w:w="521"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1 546 476 935</w:t>
            </w:r>
          </w:p>
        </w:tc>
        <w:tc>
          <w:tcPr>
            <w:tcW w:w="521"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1 540 562 697</w:t>
            </w:r>
          </w:p>
        </w:tc>
      </w:tr>
      <w:tr w:rsidR="00D2350F" w:rsidRPr="00086A6E" w:rsidTr="00D2350F">
        <w:trPr>
          <w:trHeight w:hRule="exact" w:val="25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Výdavky na regionálne školstvo </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458 675 625</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478 312 748</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559 613 385</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498 096 095</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566 661 384</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562 556 857</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566 694 258</w:t>
            </w:r>
          </w:p>
        </w:tc>
      </w:tr>
      <w:tr w:rsidR="00D2350F" w:rsidRPr="00086A6E" w:rsidTr="00D2350F">
        <w:trPr>
          <w:trHeight w:hRule="exact" w:val="25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Výdavky na vysoké školy</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498 770 140</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497 086 191</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509 795 976</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544 611 874</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520 542 102</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520 524 941</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520 524 941</w:t>
            </w:r>
          </w:p>
        </w:tc>
      </w:tr>
      <w:tr w:rsidR="00D2350F" w:rsidRPr="00086A6E" w:rsidTr="00D2350F">
        <w:trPr>
          <w:trHeight w:hRule="exact" w:val="25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Výdavky na vedu a techniku*</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92 540 168</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79 661 676</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108 190 224</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101 648 353</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68 397 899</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208 746 881</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203 605 859</w:t>
            </w:r>
          </w:p>
        </w:tc>
      </w:tr>
      <w:tr w:rsidR="00D2350F" w:rsidRPr="00086A6E" w:rsidTr="00D2350F">
        <w:trPr>
          <w:trHeight w:hRule="exact" w:val="25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Výdavky na šport </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48 406 319</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104 505 457</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125 082 210</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131 384 089</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92 861 419</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72 361 419</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72 361 419</w:t>
            </w:r>
          </w:p>
        </w:tc>
      </w:tr>
      <w:tr w:rsidR="00D2350F" w:rsidRPr="00086A6E" w:rsidTr="00D2350F">
        <w:trPr>
          <w:trHeight w:hRule="exact" w:val="25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Výdavky na administratívu</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29 079 506</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30 145 565</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28 078 081</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28 858 686</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27 907 624</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28 027 624</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28 827 624</w:t>
            </w:r>
          </w:p>
        </w:tc>
      </w:tr>
      <w:tr w:rsidR="00D2350F" w:rsidRPr="00086A6E" w:rsidTr="00D2350F">
        <w:trPr>
          <w:trHeight w:hRule="exact" w:val="255"/>
        </w:trPr>
        <w:tc>
          <w:tcPr>
            <w:tcW w:w="135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Výdavky EÚ a spolufinancovania**</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21 448 605</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43 160 089</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33 169 373</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41 789 210</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84 732 451</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154 259 213</w:t>
            </w:r>
          </w:p>
        </w:tc>
        <w:tc>
          <w:tcPr>
            <w:tcW w:w="52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148 548 596</w:t>
            </w:r>
          </w:p>
        </w:tc>
      </w:tr>
    </w:tbl>
    <w:p w:rsidR="00D2350F" w:rsidRPr="00086A6E" w:rsidRDefault="00D2350F" w:rsidP="00D2350F">
      <w:pPr>
        <w:jc w:val="both"/>
        <w:rPr>
          <w:rFonts w:ascii="Times New Roman" w:hAnsi="Times New Roman" w:cs="Times New Roman"/>
          <w:sz w:val="14"/>
          <w:szCs w:val="14"/>
        </w:rPr>
      </w:pPr>
      <w:r w:rsidRPr="00086A6E">
        <w:rPr>
          <w:rFonts w:ascii="Times New Roman" w:hAnsi="Times New Roman" w:cs="Times New Roman"/>
          <w:sz w:val="14"/>
          <w:szCs w:val="14"/>
        </w:rPr>
        <w:t>*   bez vysokoškolskej vedy, výskumu v ostatných  štátnych organizáciách, rezortnej vedy ďalších kapitol a SAV</w:t>
      </w:r>
    </w:p>
    <w:p w:rsidR="00D2350F" w:rsidRPr="00086A6E" w:rsidRDefault="00D2350F" w:rsidP="00D2350F">
      <w:pPr>
        <w:jc w:val="both"/>
        <w:rPr>
          <w:rFonts w:ascii="Times New Roman" w:hAnsi="Times New Roman" w:cs="Times New Roman"/>
          <w:sz w:val="14"/>
          <w:szCs w:val="14"/>
        </w:rPr>
      </w:pPr>
      <w:r w:rsidRPr="00086A6E">
        <w:rPr>
          <w:rFonts w:ascii="Times New Roman" w:hAnsi="Times New Roman" w:cs="Times New Roman"/>
          <w:sz w:val="14"/>
          <w:szCs w:val="14"/>
        </w:rPr>
        <w:t xml:space="preserve">** bez výdavkov EÚ a spolufinancovania uvedených v oblasti veda a technika  </w:t>
      </w:r>
    </w:p>
    <w:p w:rsidR="00D2350F" w:rsidRPr="00086A6E" w:rsidRDefault="00D2350F" w:rsidP="00D2350F">
      <w:pPr>
        <w:jc w:val="both"/>
        <w:rPr>
          <w:rFonts w:ascii="Times New Roman" w:hAnsi="Times New Roman" w:cs="Times New Roman"/>
          <w:sz w:val="14"/>
          <w:szCs w:val="14"/>
        </w:rPr>
      </w:pPr>
    </w:p>
    <w:p w:rsidR="00D2350F" w:rsidRPr="00086A6E" w:rsidRDefault="00D2350F" w:rsidP="00D2350F">
      <w:pPr>
        <w:spacing w:after="200" w:line="276" w:lineRule="auto"/>
        <w:jc w:val="both"/>
        <w:rPr>
          <w:rFonts w:ascii="Times New Roman" w:hAnsi="Times New Roman" w:cs="Times New Roman"/>
          <w:b/>
        </w:rPr>
      </w:pPr>
      <w:r w:rsidRPr="00086A6E">
        <w:rPr>
          <w:rFonts w:ascii="Times New Roman" w:hAnsi="Times New Roman" w:cs="Times New Roman"/>
          <w:b/>
        </w:rPr>
        <w:t>Regionálne školstvo</w:t>
      </w:r>
    </w:p>
    <w:p w:rsidR="00D2350F" w:rsidRPr="00086A6E" w:rsidRDefault="00D2350F" w:rsidP="00D2350F">
      <w:pPr>
        <w:ind w:firstLine="709"/>
        <w:jc w:val="both"/>
        <w:rPr>
          <w:rFonts w:ascii="Times New Roman" w:hAnsi="Times New Roman" w:cs="Times New Roman"/>
        </w:rPr>
      </w:pPr>
      <w:r w:rsidRPr="00086A6E">
        <w:rPr>
          <w:rFonts w:ascii="Times New Roman" w:hAnsi="Times New Roman" w:cs="Times New Roman"/>
        </w:rPr>
        <w:t>Medzinárodné testovanie 15-ročných žiakov PISA z roku 2015 ukazuje podpriemerné a zhoršujúce sa výsledky slovenských žiakov. Priemerné výsledky (463 bodov) sú výrazne pod priemerom OECD (492 bodov) a cieľom (505 bodov). Od roku 2009 sa výrazne zhoršili vo všetkých meraných oblastiach. Podiel žiakov v najslabšej skupine vzrástol na viac ako 31 %, čo je o 10 percentuálnych bodov viac ako v krajinách V3 a OECD. Naopak najlepších žiakov je iba 4 %, v krajinách V3 je to 6 % a v OECD 8 %.</w:t>
      </w:r>
      <w:r w:rsidRPr="00086A6E">
        <w:rPr>
          <w:rFonts w:ascii="Times New Roman" w:eastAsia="Calibri" w:hAnsi="Times New Roman" w:cs="Times New Roman"/>
          <w:b/>
        </w:rPr>
        <w:t xml:space="preserve"> </w:t>
      </w:r>
      <w:r w:rsidRPr="00086A6E">
        <w:rPr>
          <w:rFonts w:ascii="Times New Roman" w:hAnsi="Times New Roman" w:cs="Times New Roman"/>
        </w:rPr>
        <w:t>Na výsledky žiakov viac než v priemere OECD vplýva socioekonomická situácia žiakov, každý druhý žiak z dolných 20 % populácie, podľa socioekonomickej situácie, má slabé výsledky.</w:t>
      </w:r>
    </w:p>
    <w:p w:rsidR="00D2350F" w:rsidRPr="00D2350F" w:rsidRDefault="00D2350F" w:rsidP="00D2350F">
      <w:pPr>
        <w:ind w:right="-23" w:firstLine="709"/>
        <w:jc w:val="both"/>
        <w:rPr>
          <w:rFonts w:ascii="Times New Roman" w:hAnsi="Times New Roman" w:cs="Times New Roman"/>
          <w:sz w:val="16"/>
        </w:rPr>
      </w:pPr>
    </w:p>
    <w:p w:rsidR="00D2350F" w:rsidRPr="00086A6E" w:rsidRDefault="00D2350F" w:rsidP="00D2350F">
      <w:pPr>
        <w:ind w:right="-23" w:firstLine="708"/>
        <w:jc w:val="both"/>
        <w:rPr>
          <w:rFonts w:ascii="Times New Roman" w:hAnsi="Times New Roman" w:cs="Times New Roman"/>
        </w:rPr>
      </w:pPr>
      <w:r w:rsidRPr="00086A6E">
        <w:rPr>
          <w:rFonts w:ascii="Times New Roman" w:hAnsi="Times New Roman" w:cs="Times New Roman"/>
        </w:rPr>
        <w:t>Slovensko má medzinárodne vysoký podiel stredoškolsky vzdelanej populácie. Absolventi stredných škôl, ktorí nepokračujú v štúdiu, majú vyššiu nezamestnanosť ako priemer krajín EÚ, zamestnaní absolventi majú jednu z najnižších mier nesúladu medzi vzdelaním a uplatnením na trhu práce. Podiel žiakov s predčasne ukončenou školskou dochádzkou je v medzinárodnom porovnaní pod priemerom (9,3 % v roku 2017), avšak v ostatných rokoch prudko rastie a je geograficky koncentrovaný.</w:t>
      </w:r>
    </w:p>
    <w:p w:rsidR="00D2350F" w:rsidRPr="00D2350F" w:rsidRDefault="00D2350F" w:rsidP="00D2350F">
      <w:pPr>
        <w:ind w:right="-23" w:firstLine="708"/>
        <w:jc w:val="both"/>
        <w:rPr>
          <w:rFonts w:ascii="Times New Roman" w:hAnsi="Times New Roman" w:cs="Times New Roman"/>
          <w:sz w:val="18"/>
        </w:rPr>
      </w:pPr>
    </w:p>
    <w:p w:rsidR="00D2350F" w:rsidRDefault="00D2350F" w:rsidP="00D2350F">
      <w:pPr>
        <w:ind w:right="-23" w:firstLine="708"/>
        <w:jc w:val="both"/>
        <w:rPr>
          <w:rFonts w:ascii="Times New Roman" w:hAnsi="Times New Roman" w:cs="Times New Roman"/>
        </w:rPr>
      </w:pPr>
      <w:r w:rsidRPr="00086A6E">
        <w:rPr>
          <w:rFonts w:ascii="Times New Roman" w:hAnsi="Times New Roman" w:cs="Times New Roman"/>
        </w:rPr>
        <w:t xml:space="preserve">Výdavky na žiaka, merané metodikou OECD, ktorá zahŕňa všetky výdavky súvisiace so vzdelávaním na danom stupni (teda aj ubytovanie, stravu či dopravu študentov, pokiaľ tieto služby zabezpečuje škola), sú nižšie ako v OECD a približne porovnateľné s krajinami V3 na všetkých stupňoch vzdelávania. </w:t>
      </w:r>
    </w:p>
    <w:p w:rsidR="00BB411E" w:rsidRDefault="00BB411E" w:rsidP="00D2350F">
      <w:pPr>
        <w:ind w:right="-23" w:firstLine="708"/>
        <w:jc w:val="both"/>
        <w:rPr>
          <w:rFonts w:ascii="Times New Roman" w:hAnsi="Times New Roman" w:cs="Times New Roman"/>
        </w:rPr>
      </w:pPr>
    </w:p>
    <w:p w:rsidR="00BB411E" w:rsidRDefault="00BB411E" w:rsidP="00D2350F">
      <w:pPr>
        <w:ind w:right="-23" w:firstLine="708"/>
        <w:jc w:val="both"/>
        <w:rPr>
          <w:rFonts w:ascii="Times New Roman" w:hAnsi="Times New Roman" w:cs="Times New Roman"/>
        </w:rPr>
      </w:pPr>
    </w:p>
    <w:p w:rsidR="00BB411E" w:rsidRDefault="00BB411E" w:rsidP="00D2350F">
      <w:pPr>
        <w:ind w:right="-23" w:firstLine="708"/>
        <w:jc w:val="both"/>
        <w:rPr>
          <w:rFonts w:ascii="Times New Roman" w:hAnsi="Times New Roman" w:cs="Times New Roman"/>
        </w:rPr>
      </w:pPr>
    </w:p>
    <w:p w:rsidR="00BB411E" w:rsidRDefault="00BB411E" w:rsidP="00D2350F">
      <w:pPr>
        <w:ind w:right="-23" w:firstLine="708"/>
        <w:jc w:val="both"/>
        <w:rPr>
          <w:rFonts w:ascii="Times New Roman" w:hAnsi="Times New Roman" w:cs="Times New Roman"/>
        </w:rPr>
      </w:pPr>
    </w:p>
    <w:p w:rsidR="00843773" w:rsidRDefault="00843773" w:rsidP="00D2350F">
      <w:pPr>
        <w:ind w:right="-23" w:firstLine="708"/>
        <w:jc w:val="both"/>
        <w:rPr>
          <w:rFonts w:ascii="Times New Roman" w:hAnsi="Times New Roman" w:cs="Times New Roman"/>
        </w:rPr>
      </w:pPr>
    </w:p>
    <w:p w:rsidR="00843773" w:rsidRDefault="00843773" w:rsidP="00D2350F">
      <w:pPr>
        <w:ind w:right="-23" w:firstLine="708"/>
        <w:jc w:val="both"/>
        <w:rPr>
          <w:rFonts w:ascii="Times New Roman" w:hAnsi="Times New Roman" w:cs="Times New Roman"/>
        </w:rPr>
      </w:pPr>
    </w:p>
    <w:p w:rsidR="00843773" w:rsidRDefault="00843773" w:rsidP="00D2350F">
      <w:pPr>
        <w:ind w:right="-23" w:firstLine="708"/>
        <w:jc w:val="both"/>
        <w:rPr>
          <w:rFonts w:ascii="Times New Roman" w:hAnsi="Times New Roman" w:cs="Times New Roman"/>
        </w:rPr>
      </w:pPr>
    </w:p>
    <w:p w:rsidR="00BB411E" w:rsidRPr="00086A6E" w:rsidRDefault="00BB411E" w:rsidP="00D2350F">
      <w:pPr>
        <w:ind w:right="-23" w:firstLine="708"/>
        <w:jc w:val="both"/>
        <w:rPr>
          <w:rFonts w:ascii="Times New Roman" w:hAnsi="Times New Roman" w:cs="Times New Roman"/>
        </w:rPr>
      </w:pPr>
    </w:p>
    <w:p w:rsidR="00D2350F" w:rsidRPr="00086A6E" w:rsidRDefault="00D2350F" w:rsidP="00D2350F">
      <w:pPr>
        <w:ind w:right="-23"/>
        <w:jc w:val="both"/>
        <w:rPr>
          <w:rFonts w:ascii="Times New Roman" w:hAnsi="Times New Roman" w:cs="Times New Roman"/>
          <w:highlight w:val="yellow"/>
        </w:rPr>
      </w:pPr>
    </w:p>
    <w:tbl>
      <w:tblPr>
        <w:tblW w:w="9245" w:type="dxa"/>
        <w:tblCellMar>
          <w:left w:w="70" w:type="dxa"/>
          <w:right w:w="70" w:type="dxa"/>
        </w:tblCellMar>
        <w:tblLook w:val="04A0" w:firstRow="1" w:lastRow="0" w:firstColumn="1" w:lastColumn="0" w:noHBand="0" w:noVBand="1"/>
      </w:tblPr>
      <w:tblGrid>
        <w:gridCol w:w="4284"/>
        <w:gridCol w:w="4961"/>
      </w:tblGrid>
      <w:tr w:rsidR="00D2350F" w:rsidRPr="00086A6E" w:rsidTr="00D2350F">
        <w:trPr>
          <w:trHeight w:val="10"/>
        </w:trPr>
        <w:tc>
          <w:tcPr>
            <w:tcW w:w="9245" w:type="dxa"/>
            <w:gridSpan w:val="2"/>
            <w:tcBorders>
              <w:bottom w:val="single" w:sz="4" w:space="0" w:color="auto"/>
            </w:tcBorders>
            <w:vAlign w:val="bottom"/>
          </w:tcPr>
          <w:p w:rsidR="00D2350F" w:rsidRPr="00086A6E" w:rsidRDefault="00D2350F" w:rsidP="00D2350F">
            <w:pPr>
              <w:contextualSpacing/>
              <w:rPr>
                <w:rFonts w:ascii="Times New Roman" w:eastAsia="Calibri" w:hAnsi="Times New Roman" w:cs="Times New Roman"/>
                <w:b/>
                <w:noProof/>
                <w:lang w:eastAsia="sk-SK"/>
              </w:rPr>
            </w:pPr>
            <w:bookmarkStart w:id="84" w:name="_Toc487200865"/>
            <w:r w:rsidRPr="00086A6E">
              <w:rPr>
                <w:rFonts w:ascii="Times New Roman" w:eastAsia="Calibri" w:hAnsi="Times New Roman" w:cs="Times New Roman"/>
                <w:b/>
                <w:sz w:val="20"/>
                <w:szCs w:val="20"/>
                <w:lang w:eastAsia="sk-SK"/>
              </w:rPr>
              <w:lastRenderedPageBreak/>
              <w:t>Graf</w:t>
            </w:r>
            <w:r w:rsidRPr="00086A6E">
              <w:rPr>
                <w:rFonts w:ascii="Times New Roman" w:eastAsia="Arial" w:hAnsi="Times New Roman" w:cs="Times New Roman"/>
                <w:b/>
                <w:color w:val="000000"/>
                <w:sz w:val="20"/>
                <w:szCs w:val="20"/>
                <w:lang w:eastAsia="fr-FR" w:bidi="fr-FR"/>
              </w:rPr>
              <w:t xml:space="preserve">: </w:t>
            </w:r>
            <w:r w:rsidRPr="00086A6E">
              <w:rPr>
                <w:rFonts w:ascii="Times New Roman" w:eastAsia="Calibri" w:hAnsi="Times New Roman" w:cs="Times New Roman"/>
                <w:b/>
                <w:sz w:val="20"/>
                <w:szCs w:val="20"/>
                <w:lang w:eastAsia="sk-SK"/>
              </w:rPr>
              <w:t>Ročné výdavky na študenta (v USD, PPP prepočítané, 2015)</w:t>
            </w:r>
            <w:bookmarkEnd w:id="84"/>
            <w:r w:rsidRPr="00086A6E">
              <w:rPr>
                <w:rFonts w:ascii="Times New Roman" w:eastAsia="Calibri" w:hAnsi="Times New Roman" w:cs="Times New Roman"/>
                <w:b/>
                <w:lang w:eastAsia="sk-SK"/>
              </w:rPr>
              <w:t xml:space="preserve"> </w:t>
            </w:r>
          </w:p>
        </w:tc>
      </w:tr>
      <w:tr w:rsidR="00D2350F" w:rsidRPr="00086A6E" w:rsidTr="00D2350F">
        <w:trPr>
          <w:trHeight w:val="2542"/>
        </w:trPr>
        <w:tc>
          <w:tcPr>
            <w:tcW w:w="9245" w:type="dxa"/>
            <w:gridSpan w:val="2"/>
            <w:tcBorders>
              <w:top w:val="single" w:sz="4" w:space="0" w:color="auto"/>
              <w:left w:val="nil"/>
              <w:bottom w:val="single" w:sz="4" w:space="0" w:color="auto"/>
              <w:right w:val="nil"/>
            </w:tcBorders>
          </w:tcPr>
          <w:p w:rsidR="00D2350F" w:rsidRPr="00086A6E" w:rsidRDefault="00D2350F" w:rsidP="00D2350F">
            <w:pPr>
              <w:rPr>
                <w:rFonts w:ascii="Times New Roman" w:hAnsi="Times New Roman" w:cs="Times New Roman"/>
                <w:noProof/>
                <w:highlight w:val="green"/>
                <w:lang w:eastAsia="sk-SK"/>
              </w:rPr>
            </w:pPr>
            <w:r w:rsidRPr="00086A6E">
              <w:rPr>
                <w:noProof/>
                <w:lang w:eastAsia="sk-SK"/>
              </w:rPr>
              <w:drawing>
                <wp:inline distT="0" distB="0" distL="0" distR="0" wp14:anchorId="22F4D225" wp14:editId="252EAB50">
                  <wp:extent cx="5781675" cy="2000250"/>
                  <wp:effectExtent l="0" t="0" r="0" b="0"/>
                  <wp:docPr id="13" name="Graf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D2350F" w:rsidRPr="00086A6E" w:rsidTr="00D2350F">
        <w:trPr>
          <w:trHeight w:val="70"/>
        </w:trPr>
        <w:tc>
          <w:tcPr>
            <w:tcW w:w="4284" w:type="dxa"/>
            <w:tcBorders>
              <w:top w:val="single" w:sz="4" w:space="0" w:color="auto"/>
              <w:left w:val="nil"/>
              <w:bottom w:val="nil"/>
              <w:right w:val="nil"/>
            </w:tcBorders>
          </w:tcPr>
          <w:p w:rsidR="00D2350F" w:rsidRPr="00086A6E" w:rsidRDefault="00D2350F" w:rsidP="00D2350F">
            <w:pPr>
              <w:rPr>
                <w:rFonts w:ascii="Times New Roman" w:eastAsia="Calibri" w:hAnsi="Times New Roman" w:cs="Times New Roman"/>
                <w:bCs/>
                <w:i/>
                <w:sz w:val="18"/>
                <w:szCs w:val="18"/>
                <w:lang w:eastAsia="zh-TW"/>
              </w:rPr>
            </w:pPr>
            <w:r w:rsidRPr="00086A6E">
              <w:rPr>
                <w:rFonts w:ascii="Times New Roman" w:eastAsia="Calibri" w:hAnsi="Times New Roman" w:cs="Times New Roman"/>
                <w:i/>
                <w:sz w:val="18"/>
                <w:szCs w:val="18"/>
              </w:rPr>
              <w:t xml:space="preserve">*Percento udáva podiel financií v porovnaní s OECD. </w:t>
            </w:r>
          </w:p>
        </w:tc>
        <w:tc>
          <w:tcPr>
            <w:tcW w:w="4961" w:type="dxa"/>
            <w:tcBorders>
              <w:top w:val="single" w:sz="4" w:space="0" w:color="auto"/>
              <w:left w:val="nil"/>
              <w:bottom w:val="nil"/>
              <w:right w:val="nil"/>
            </w:tcBorders>
          </w:tcPr>
          <w:p w:rsidR="00D2350F" w:rsidRPr="00086A6E" w:rsidRDefault="00A44F05" w:rsidP="00D2350F">
            <w:pPr>
              <w:jc w:val="right"/>
              <w:rPr>
                <w:rFonts w:ascii="Times New Roman" w:eastAsia="Calibri" w:hAnsi="Times New Roman" w:cs="Times New Roman"/>
                <w:bCs/>
                <w:i/>
                <w:sz w:val="18"/>
                <w:szCs w:val="18"/>
                <w:lang w:eastAsia="zh-TW"/>
              </w:rPr>
            </w:pPr>
            <w:hyperlink r:id="rId23" w:history="1">
              <w:r w:rsidR="00D2350F" w:rsidRPr="00086A6E">
                <w:rPr>
                  <w:rFonts w:ascii="Times New Roman" w:hAnsi="Times New Roman" w:cs="Times New Roman"/>
                  <w:i/>
                  <w:sz w:val="18"/>
                  <w:szCs w:val="18"/>
                  <w:lang w:eastAsia="sk-SK"/>
                </w:rPr>
                <w:t>Zdroj: Education at a Glance,OECD</w:t>
              </w:r>
            </w:hyperlink>
            <w:r w:rsidR="00D2350F" w:rsidRPr="00086A6E">
              <w:rPr>
                <w:rFonts w:ascii="Times New Roman" w:hAnsi="Times New Roman" w:cs="Times New Roman"/>
                <w:i/>
                <w:sz w:val="18"/>
                <w:szCs w:val="18"/>
                <w:lang w:eastAsia="sk-SK"/>
              </w:rPr>
              <w:t>, 2018</w:t>
            </w:r>
          </w:p>
        </w:tc>
      </w:tr>
    </w:tbl>
    <w:p w:rsidR="00D2350F" w:rsidRPr="00086A6E" w:rsidRDefault="00D2350F" w:rsidP="00D2350F">
      <w:pPr>
        <w:ind w:right="-23"/>
        <w:jc w:val="both"/>
        <w:rPr>
          <w:rFonts w:ascii="Times New Roman" w:hAnsi="Times New Roman" w:cs="Times New Roman"/>
          <w:highlight w:val="green"/>
        </w:rPr>
      </w:pPr>
    </w:p>
    <w:p w:rsidR="00D2350F" w:rsidRPr="00086A6E" w:rsidRDefault="00D2350F" w:rsidP="00D2350F">
      <w:pPr>
        <w:spacing w:before="120"/>
        <w:ind w:right="-23" w:firstLine="708"/>
        <w:jc w:val="both"/>
        <w:rPr>
          <w:rFonts w:ascii="Times New Roman" w:hAnsi="Times New Roman" w:cs="Times New Roman"/>
        </w:rPr>
      </w:pPr>
      <w:r w:rsidRPr="00086A6E">
        <w:rPr>
          <w:rFonts w:ascii="Times New Roman" w:hAnsi="Times New Roman" w:cs="Times New Roman"/>
        </w:rPr>
        <w:t>Najväčším výdavkom v regionálnom školstve sú mzdy pedagogických a odborných zamestnancov. Platy slovenských učiteľov sa v ostatných rokoch zvyšujú, stále však v medzinárodnom porovnaní zaostávajú. Pedagogickí zamestnanci pôsobiaci na úrovni nižšieho sekundárneho vzdelávania zarábali na Slovensku v roku 2016 aj so všetkými príplatkami 64 % priemerného platu zamestnancov s vysokoškolským vzdelaním druhého stupňa.  Priemer krajín OECD s dostupnými údajmi je 91 %, menší podiel ako na Slovensku zarábali len pedagógovia v Česku.</w:t>
      </w:r>
    </w:p>
    <w:p w:rsidR="00D2350F" w:rsidRPr="00086A6E" w:rsidRDefault="00D2350F" w:rsidP="00D2350F">
      <w:pPr>
        <w:ind w:right="-23"/>
        <w:jc w:val="both"/>
        <w:rPr>
          <w:rFonts w:ascii="Times New Roman" w:hAnsi="Times New Roman" w:cs="Times New Roman"/>
        </w:rPr>
      </w:pPr>
    </w:p>
    <w:p w:rsidR="00D2350F" w:rsidRPr="00086A6E" w:rsidRDefault="00D2350F" w:rsidP="00D2350F">
      <w:pPr>
        <w:ind w:right="-20" w:firstLine="708"/>
        <w:jc w:val="both"/>
        <w:rPr>
          <w:rFonts w:ascii="Times New Roman" w:hAnsi="Times New Roman" w:cs="Times New Roman"/>
        </w:rPr>
      </w:pPr>
      <w:r w:rsidRPr="00086A6E">
        <w:rPr>
          <w:rFonts w:ascii="Times New Roman" w:hAnsi="Times New Roman" w:cs="Times New Roman"/>
        </w:rPr>
        <w:t xml:space="preserve">Platy pedagógov na začiatku kariéry zaostávajú za platmi VŠ vzdelaných na Slovensku relatívne viac. Pedagógovia pôsobiaci na úrovni nižšieho sekundárneho vzdelávania vo veku </w:t>
      </w:r>
      <w:r>
        <w:rPr>
          <w:rFonts w:ascii="Times New Roman" w:hAnsi="Times New Roman" w:cs="Times New Roman"/>
        </w:rPr>
        <w:br/>
      </w:r>
      <w:r w:rsidRPr="00086A6E">
        <w:rPr>
          <w:rFonts w:ascii="Times New Roman" w:hAnsi="Times New Roman" w:cs="Times New Roman"/>
        </w:rPr>
        <w:t>25 – 34 rokov zaostávajú v relatívnych platoch v porovnaní s rovesníkmi v 21 krajinách OECD až o 36 p. b, učitelia vo veku 45 – 54 rokov o 29 p. b. Platy pedagógov na začiatku kariéry by sa mali zvyšovať výraznejšie, aby bolo učiteľské povolanie atraktívne pre mladých talentovaných ľudí aj počas celej kariéry.</w:t>
      </w:r>
    </w:p>
    <w:p w:rsidR="00D2350F" w:rsidRDefault="00D2350F" w:rsidP="00D2350F">
      <w:pPr>
        <w:spacing w:line="360" w:lineRule="auto"/>
        <w:ind w:right="-20"/>
        <w:jc w:val="both"/>
        <w:rPr>
          <w:rFonts w:ascii="Times New Roman" w:hAnsi="Times New Roman" w:cs="Times New Roman"/>
        </w:rPr>
      </w:pPr>
    </w:p>
    <w:tbl>
      <w:tblPr>
        <w:tblW w:w="0" w:type="auto"/>
        <w:tblBorders>
          <w:insideH w:val="single" w:sz="4" w:space="0" w:color="auto"/>
        </w:tblBorders>
        <w:tblLook w:val="04A0" w:firstRow="1" w:lastRow="0" w:firstColumn="1" w:lastColumn="0" w:noHBand="0" w:noVBand="1"/>
      </w:tblPr>
      <w:tblGrid>
        <w:gridCol w:w="4662"/>
        <w:gridCol w:w="4410"/>
      </w:tblGrid>
      <w:tr w:rsidR="00D2350F" w:rsidRPr="00086A6E" w:rsidTr="00D2350F">
        <w:tc>
          <w:tcPr>
            <w:tcW w:w="4662" w:type="dxa"/>
          </w:tcPr>
          <w:p w:rsidR="00D2350F" w:rsidRPr="00086A6E" w:rsidRDefault="00D2350F" w:rsidP="00D2350F">
            <w:pPr>
              <w:ind w:right="-20"/>
              <w:rPr>
                <w:rFonts w:ascii="Times New Roman" w:hAnsi="Times New Roman" w:cs="Times New Roman"/>
                <w:color w:val="000000"/>
                <w:sz w:val="18"/>
                <w:highlight w:val="yellow"/>
              </w:rPr>
            </w:pPr>
            <w:bookmarkStart w:id="85" w:name="_Toc487200872"/>
            <w:r w:rsidRPr="00086A6E">
              <w:rPr>
                <w:rFonts w:ascii="Times New Roman" w:hAnsi="Times New Roman" w:cs="Times New Roman"/>
                <w:b/>
                <w:bCs/>
                <w:color w:val="000000"/>
                <w:sz w:val="18"/>
                <w:szCs w:val="18"/>
              </w:rPr>
              <w:t>Graf:</w:t>
            </w:r>
            <w:r w:rsidRPr="00086A6E">
              <w:rPr>
                <w:rFonts w:ascii="Times New Roman" w:hAnsi="Times New Roman" w:cs="Times New Roman"/>
                <w:color w:val="000000"/>
                <w:sz w:val="18"/>
              </w:rPr>
              <w:t xml:space="preserve"> </w:t>
            </w:r>
            <w:r w:rsidRPr="00086A6E">
              <w:rPr>
                <w:rFonts w:ascii="Times New Roman" w:hAnsi="Times New Roman" w:cs="Times New Roman"/>
                <w:b/>
                <w:bCs/>
                <w:color w:val="000000"/>
                <w:sz w:val="18"/>
                <w:szCs w:val="18"/>
              </w:rPr>
              <w:t>Podiel priemerných platov pedagogických zamestnancov nižšieho sekundárneho vzdelávania na platoch zamestnancov s VŠ vzdelaním (%, 2016)</w:t>
            </w:r>
            <w:bookmarkEnd w:id="85"/>
          </w:p>
        </w:tc>
        <w:tc>
          <w:tcPr>
            <w:tcW w:w="4410" w:type="dxa"/>
          </w:tcPr>
          <w:p w:rsidR="00D2350F" w:rsidRPr="00086A6E" w:rsidRDefault="00D2350F" w:rsidP="00D2350F">
            <w:pPr>
              <w:ind w:right="-20"/>
              <w:rPr>
                <w:rFonts w:ascii="Times New Roman" w:hAnsi="Times New Roman" w:cs="Times New Roman"/>
                <w:color w:val="000000"/>
                <w:sz w:val="18"/>
                <w:highlight w:val="yellow"/>
              </w:rPr>
            </w:pPr>
            <w:bookmarkStart w:id="86" w:name="_Toc487200873"/>
            <w:r w:rsidRPr="00086A6E">
              <w:rPr>
                <w:rFonts w:ascii="Times New Roman" w:hAnsi="Times New Roman" w:cs="Times New Roman"/>
                <w:b/>
                <w:bCs/>
                <w:color w:val="000000"/>
                <w:sz w:val="18"/>
                <w:szCs w:val="18"/>
              </w:rPr>
              <w:t>Graf:</w:t>
            </w:r>
            <w:r w:rsidRPr="00086A6E">
              <w:rPr>
                <w:rFonts w:ascii="Times New Roman" w:hAnsi="Times New Roman" w:cs="Times New Roman"/>
                <w:color w:val="000000"/>
                <w:sz w:val="18"/>
              </w:rPr>
              <w:t xml:space="preserve"> </w:t>
            </w:r>
            <w:r w:rsidRPr="00086A6E">
              <w:rPr>
                <w:rFonts w:ascii="Times New Roman" w:hAnsi="Times New Roman" w:cs="Times New Roman"/>
                <w:b/>
                <w:bCs/>
                <w:color w:val="000000"/>
                <w:sz w:val="18"/>
                <w:szCs w:val="18"/>
              </w:rPr>
              <w:t>Pomer platov pedagogických zamestnancov a zamestnancov s vysokoškolským vzdelaním podľa veku (%, 2015)</w:t>
            </w:r>
            <w:bookmarkEnd w:id="86"/>
          </w:p>
        </w:tc>
      </w:tr>
      <w:tr w:rsidR="00D2350F" w:rsidRPr="00086A6E" w:rsidTr="00D2350F">
        <w:tblPrEx>
          <w:tblCellMar>
            <w:left w:w="70" w:type="dxa"/>
            <w:right w:w="70" w:type="dxa"/>
          </w:tblCellMar>
        </w:tblPrEx>
        <w:trPr>
          <w:trHeight w:val="2976"/>
        </w:trPr>
        <w:tc>
          <w:tcPr>
            <w:tcW w:w="4662" w:type="dxa"/>
          </w:tcPr>
          <w:p w:rsidR="00D2350F" w:rsidRPr="00086A6E" w:rsidRDefault="00D2350F" w:rsidP="00D2350F">
            <w:pPr>
              <w:ind w:right="-20"/>
              <w:rPr>
                <w:rFonts w:ascii="Times New Roman" w:hAnsi="Times New Roman" w:cs="Times New Roman"/>
                <w:noProof/>
                <w:lang w:eastAsia="sk-SK"/>
              </w:rPr>
            </w:pPr>
            <w:r w:rsidRPr="00086A6E">
              <w:rPr>
                <w:noProof/>
                <w:lang w:eastAsia="sk-SK"/>
              </w:rPr>
              <w:drawing>
                <wp:inline distT="0" distB="0" distL="0" distR="0" wp14:anchorId="0A6ED5B0" wp14:editId="59086833">
                  <wp:extent cx="2895600" cy="2571750"/>
                  <wp:effectExtent l="0" t="0" r="0" b="0"/>
                  <wp:docPr id="15" name="Graf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410" w:type="dxa"/>
          </w:tcPr>
          <w:p w:rsidR="00D2350F" w:rsidRPr="00086A6E" w:rsidDel="005E68A1" w:rsidRDefault="00D2350F" w:rsidP="00D2350F">
            <w:pPr>
              <w:ind w:right="-20"/>
              <w:rPr>
                <w:rFonts w:ascii="Times New Roman" w:hAnsi="Times New Roman" w:cs="Times New Roman"/>
                <w:noProof/>
                <w:lang w:eastAsia="sk-SK"/>
              </w:rPr>
            </w:pPr>
            <w:r w:rsidRPr="00086A6E">
              <w:rPr>
                <w:noProof/>
                <w:lang w:eastAsia="sk-SK"/>
              </w:rPr>
              <w:drawing>
                <wp:inline distT="0" distB="0" distL="0" distR="0" wp14:anchorId="32924D43" wp14:editId="31AAC9EC">
                  <wp:extent cx="2733675" cy="2581275"/>
                  <wp:effectExtent l="0" t="0" r="0" b="0"/>
                  <wp:docPr id="16" name="Graf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D2350F" w:rsidRPr="00086A6E" w:rsidTr="00D2350F">
        <w:trPr>
          <w:trHeight w:val="227"/>
        </w:trPr>
        <w:tc>
          <w:tcPr>
            <w:tcW w:w="4662" w:type="dxa"/>
          </w:tcPr>
          <w:p w:rsidR="00D2350F" w:rsidRPr="00086A6E" w:rsidRDefault="00D2350F" w:rsidP="00D2350F">
            <w:pPr>
              <w:ind w:right="-20"/>
              <w:jc w:val="right"/>
              <w:rPr>
                <w:rFonts w:ascii="Times New Roman" w:hAnsi="Times New Roman" w:cs="Times New Roman"/>
              </w:rPr>
            </w:pPr>
            <w:r w:rsidRPr="00086A6E">
              <w:rPr>
                <w:rFonts w:ascii="Times New Roman" w:hAnsi="Times New Roman" w:cs="Times New Roman"/>
                <w:i/>
                <w:color w:val="000000"/>
                <w:sz w:val="18"/>
                <w:szCs w:val="18"/>
              </w:rPr>
              <w:t>Zdroj: OECD EAG 2018</w:t>
            </w:r>
          </w:p>
        </w:tc>
        <w:tc>
          <w:tcPr>
            <w:tcW w:w="4410" w:type="dxa"/>
          </w:tcPr>
          <w:p w:rsidR="00D2350F" w:rsidRPr="00086A6E" w:rsidRDefault="00D2350F" w:rsidP="00D2350F">
            <w:pPr>
              <w:ind w:right="-20"/>
              <w:jc w:val="right"/>
              <w:rPr>
                <w:rFonts w:ascii="Times New Roman" w:hAnsi="Times New Roman" w:cs="Times New Roman"/>
              </w:rPr>
            </w:pPr>
            <w:r w:rsidRPr="00086A6E">
              <w:rPr>
                <w:rFonts w:ascii="Times New Roman" w:hAnsi="Times New Roman" w:cs="Times New Roman"/>
                <w:i/>
                <w:color w:val="000000"/>
                <w:sz w:val="18"/>
                <w:szCs w:val="18"/>
              </w:rPr>
              <w:t>Zdroj: OECD EAG, Trexima</w:t>
            </w:r>
          </w:p>
        </w:tc>
      </w:tr>
    </w:tbl>
    <w:p w:rsidR="00D2350F" w:rsidRPr="00086A6E" w:rsidRDefault="00D2350F" w:rsidP="00D2350F">
      <w:pPr>
        <w:spacing w:before="120" w:line="240" w:lineRule="exact"/>
        <w:ind w:right="-23"/>
        <w:jc w:val="both"/>
        <w:rPr>
          <w:rFonts w:ascii="Times New Roman" w:hAnsi="Times New Roman" w:cs="Times New Roman"/>
        </w:rPr>
      </w:pPr>
    </w:p>
    <w:p w:rsidR="00D2350F" w:rsidRPr="00086A6E" w:rsidRDefault="00D2350F" w:rsidP="00D2350F">
      <w:pPr>
        <w:spacing w:after="200"/>
        <w:ind w:firstLine="708"/>
        <w:jc w:val="both"/>
        <w:rPr>
          <w:rFonts w:ascii="Times New Roman" w:hAnsi="Times New Roman" w:cs="Times New Roman"/>
        </w:rPr>
      </w:pPr>
      <w:r w:rsidRPr="00086A6E">
        <w:rPr>
          <w:rFonts w:ascii="Times New Roman" w:hAnsi="Times New Roman" w:cs="Times New Roman"/>
        </w:rPr>
        <w:t>Revízia výdavkov na vzdelávanie preto identifikovala nasledovné opatrenia na spravodlivejšie odmeňovanie pedagógov a zlepšenie väzby medzi odmeňovaním a kvalitou:</w:t>
      </w:r>
    </w:p>
    <w:p w:rsidR="00D2350F" w:rsidRPr="00086A6E" w:rsidRDefault="00D2350F" w:rsidP="00D2350F">
      <w:pPr>
        <w:numPr>
          <w:ilvl w:val="0"/>
          <w:numId w:val="12"/>
        </w:numPr>
        <w:spacing w:after="200"/>
        <w:ind w:left="284" w:hanging="284"/>
        <w:contextualSpacing/>
        <w:jc w:val="both"/>
        <w:rPr>
          <w:rFonts w:ascii="Times New Roman" w:hAnsi="Times New Roman" w:cs="Times New Roman"/>
        </w:rPr>
      </w:pPr>
      <w:r w:rsidRPr="00086A6E">
        <w:rPr>
          <w:rFonts w:ascii="Times New Roman" w:hAnsi="Times New Roman" w:cs="Times New Roman"/>
          <w:color w:val="000000"/>
          <w:lang w:eastAsia="sk-SK"/>
        </w:rPr>
        <w:lastRenderedPageBreak/>
        <w:t>zvyšovať priemerné platy pedagogických a odborných zamestnancov, resp. vysokoškolských učiteľov,</w:t>
      </w:r>
    </w:p>
    <w:p w:rsidR="00D2350F" w:rsidRPr="00086A6E" w:rsidRDefault="00D2350F" w:rsidP="00D2350F">
      <w:pPr>
        <w:numPr>
          <w:ilvl w:val="0"/>
          <w:numId w:val="12"/>
        </w:numPr>
        <w:spacing w:after="160" w:line="240" w:lineRule="exact"/>
        <w:ind w:left="284" w:right="-20" w:hanging="284"/>
        <w:contextualSpacing/>
        <w:jc w:val="both"/>
        <w:rPr>
          <w:rFonts w:ascii="Times New Roman" w:hAnsi="Times New Roman" w:cs="Times New Roman"/>
        </w:rPr>
      </w:pPr>
      <w:r w:rsidRPr="00086A6E">
        <w:rPr>
          <w:rFonts w:ascii="Times New Roman" w:hAnsi="Times New Roman" w:cs="Times New Roman"/>
          <w:lang w:eastAsia="sk-SK"/>
        </w:rPr>
        <w:t>výraznejšie zvýšiť platy pedagógov na začiatku kariéry úpravou zohľadňovania dĺžky praxe,</w:t>
      </w:r>
    </w:p>
    <w:p w:rsidR="00D2350F" w:rsidRPr="00086A6E" w:rsidRDefault="00D2350F" w:rsidP="00D2350F">
      <w:pPr>
        <w:numPr>
          <w:ilvl w:val="0"/>
          <w:numId w:val="12"/>
        </w:numPr>
        <w:spacing w:after="200"/>
        <w:ind w:left="284" w:hanging="284"/>
        <w:contextualSpacing/>
        <w:jc w:val="both"/>
        <w:rPr>
          <w:rFonts w:ascii="Times New Roman" w:hAnsi="Times New Roman" w:cs="Times New Roman"/>
        </w:rPr>
      </w:pPr>
      <w:r w:rsidRPr="00086A6E">
        <w:rPr>
          <w:rFonts w:ascii="Times New Roman" w:hAnsi="Times New Roman" w:cs="Times New Roman"/>
          <w:color w:val="000000"/>
          <w:lang w:eastAsia="sk-SK"/>
        </w:rPr>
        <w:t>zrušiť možnosť získať kredity na kreditový príplatok, zvýšiť podiel odmien a osobného príplatku na celkovom plate učiteľov,</w:t>
      </w:r>
    </w:p>
    <w:p w:rsidR="00D2350F" w:rsidRPr="00086A6E" w:rsidRDefault="00D2350F" w:rsidP="00D2350F">
      <w:pPr>
        <w:numPr>
          <w:ilvl w:val="0"/>
          <w:numId w:val="12"/>
        </w:numPr>
        <w:spacing w:after="200"/>
        <w:ind w:left="284" w:hanging="284"/>
        <w:contextualSpacing/>
        <w:jc w:val="both"/>
        <w:rPr>
          <w:rFonts w:ascii="Times New Roman" w:hAnsi="Times New Roman" w:cs="Times New Roman"/>
          <w:color w:val="000000"/>
          <w:lang w:eastAsia="sk-SK"/>
        </w:rPr>
      </w:pPr>
      <w:r w:rsidRPr="00086A6E">
        <w:rPr>
          <w:rFonts w:ascii="Times New Roman" w:hAnsi="Times New Roman" w:cs="Times New Roman"/>
          <w:color w:val="000000"/>
          <w:lang w:eastAsia="sk-SK"/>
        </w:rPr>
        <w:t>úpravou atestačného konania zlepšiť väzbu medzi odmeňovaním a kvalitou učiteľov,</w:t>
      </w:r>
    </w:p>
    <w:p w:rsidR="00D2350F" w:rsidRPr="00086A6E" w:rsidRDefault="00D2350F" w:rsidP="00D2350F">
      <w:pPr>
        <w:numPr>
          <w:ilvl w:val="0"/>
          <w:numId w:val="12"/>
        </w:numPr>
        <w:spacing w:after="200"/>
        <w:ind w:left="284" w:hanging="284"/>
        <w:contextualSpacing/>
        <w:jc w:val="both"/>
        <w:rPr>
          <w:rFonts w:ascii="Times New Roman" w:hAnsi="Times New Roman" w:cs="Times New Roman"/>
          <w:color w:val="000000"/>
          <w:lang w:eastAsia="sk-SK"/>
        </w:rPr>
      </w:pPr>
      <w:r w:rsidRPr="00086A6E">
        <w:rPr>
          <w:rFonts w:ascii="Times New Roman" w:hAnsi="Times New Roman" w:cs="Times New Roman"/>
          <w:color w:val="000000"/>
          <w:lang w:eastAsia="sk-SK"/>
        </w:rPr>
        <w:t>prijať opatrenia na zvýšenie podielu praxe pri príprave budúcich učiteľov,</w:t>
      </w:r>
    </w:p>
    <w:p w:rsidR="00D2350F" w:rsidRPr="00086A6E" w:rsidRDefault="00D2350F" w:rsidP="00D2350F">
      <w:pPr>
        <w:numPr>
          <w:ilvl w:val="0"/>
          <w:numId w:val="12"/>
        </w:numPr>
        <w:spacing w:after="200"/>
        <w:ind w:left="284" w:hanging="284"/>
        <w:contextualSpacing/>
        <w:jc w:val="both"/>
        <w:rPr>
          <w:rFonts w:ascii="Times New Roman" w:hAnsi="Times New Roman" w:cs="Times New Roman"/>
          <w:color w:val="000000"/>
          <w:lang w:eastAsia="sk-SK"/>
        </w:rPr>
      </w:pPr>
      <w:r w:rsidRPr="00086A6E">
        <w:rPr>
          <w:rFonts w:ascii="Times New Roman" w:hAnsi="Times New Roman" w:cs="Times New Roman"/>
          <w:color w:val="000000"/>
          <w:lang w:eastAsia="sk-SK"/>
        </w:rPr>
        <w:t>posilniť a skvalitniť ponuku vzdelávacích aktivít pre učiteľov.</w:t>
      </w:r>
    </w:p>
    <w:p w:rsidR="00D2350F" w:rsidRDefault="00D2350F" w:rsidP="00D2350F">
      <w:pPr>
        <w:ind w:firstLine="709"/>
        <w:jc w:val="both"/>
        <w:rPr>
          <w:rFonts w:ascii="Times New Roman" w:hAnsi="Times New Roman" w:cs="Times New Roman"/>
          <w:bCs/>
        </w:rPr>
      </w:pPr>
    </w:p>
    <w:p w:rsidR="00D2350F" w:rsidRPr="00086A6E" w:rsidRDefault="00D2350F" w:rsidP="00D2350F">
      <w:pPr>
        <w:ind w:firstLine="709"/>
        <w:jc w:val="both"/>
        <w:rPr>
          <w:rFonts w:ascii="Times New Roman" w:hAnsi="Times New Roman" w:cs="Times New Roman"/>
          <w:bCs/>
        </w:rPr>
      </w:pPr>
      <w:r w:rsidRPr="00086A6E">
        <w:rPr>
          <w:rFonts w:ascii="Times New Roman" w:hAnsi="Times New Roman" w:cs="Times New Roman"/>
          <w:bCs/>
        </w:rPr>
        <w:t>Okrem zvyšovania platov pedagogických a odborných zamestnancov neboli ostatné opatrenia realizované, resp. boli realizované len minimálne (zvýšil sa podiel odbornej praxe v študijnom odbore pripravujúcom na prácu s deťmi predškolského a mladšieho školského veku). Časť opatrení je predmetom nového zákona o pedagogických zamestnancoch a odborných zamestnancoch, ktorý je v súčasnosti v legislatívnom procese. V prípade kreditov pritom nový zákon schému neukončuje a dobu platnosti kreditov stanovuje na ďalších 7 rokov.</w:t>
      </w:r>
    </w:p>
    <w:p w:rsidR="00D2350F" w:rsidRPr="00086A6E" w:rsidRDefault="00D2350F" w:rsidP="00D2350F">
      <w:pPr>
        <w:ind w:firstLine="709"/>
        <w:jc w:val="both"/>
        <w:rPr>
          <w:rFonts w:ascii="Times New Roman" w:hAnsi="Times New Roman" w:cs="Times New Roman"/>
          <w:bCs/>
        </w:rPr>
      </w:pPr>
    </w:p>
    <w:p w:rsidR="00D2350F" w:rsidRPr="00086A6E" w:rsidRDefault="00D2350F" w:rsidP="00D2350F">
      <w:pPr>
        <w:ind w:firstLine="708"/>
        <w:jc w:val="both"/>
        <w:rPr>
          <w:rFonts w:ascii="Times New Roman" w:hAnsi="Times New Roman" w:cs="Times New Roman"/>
        </w:rPr>
      </w:pPr>
      <w:r w:rsidRPr="00086A6E">
        <w:rPr>
          <w:rFonts w:ascii="Times New Roman" w:hAnsi="Times New Roman" w:cs="Times New Roman"/>
          <w:bCs/>
        </w:rPr>
        <w:t>Systém financovania regionálneho školstva zohľadňuje charakteristiky škôl aj žiakov.</w:t>
      </w:r>
      <w:r w:rsidRPr="00086A6E">
        <w:rPr>
          <w:rFonts w:ascii="Times New Roman" w:hAnsi="Times New Roman" w:cs="Times New Roman"/>
        </w:rPr>
        <w:t xml:space="preserve"> Vyšším normatívom sú podporovaní napríklad žiaci so zdravotným znevýhodnením či žiaci nultých ročníkov, a tiež menšie základné školy (do 250 žiakov). Cieľom tejto podpory je zabezpečiť čo najlepší prístup ku vzdelaniu pre všetkých žiakov v ich materinskom jazyku a ročne dosahuje výšku približne 66 mil. eur, čo tvorí 8,7 % z rozpočtu ZŠ. V dôsledku negatívneho demografického vývoja je však sieť ZŠ menej efektívna ako v minulosti, pričom na druhom stupni to prináša aj zníženú odbornosť výučby. Revízia preto odporučila:</w:t>
      </w:r>
    </w:p>
    <w:p w:rsidR="00D2350F" w:rsidRPr="00086A6E" w:rsidRDefault="00D2350F" w:rsidP="00D2350F">
      <w:pPr>
        <w:numPr>
          <w:ilvl w:val="0"/>
          <w:numId w:val="12"/>
        </w:numPr>
        <w:ind w:left="284" w:hanging="284"/>
        <w:contextualSpacing/>
        <w:jc w:val="both"/>
        <w:rPr>
          <w:rFonts w:ascii="Times New Roman" w:hAnsi="Times New Roman" w:cs="Times New Roman"/>
          <w:color w:val="000000"/>
          <w:lang w:eastAsia="sk-SK"/>
        </w:rPr>
      </w:pPr>
      <w:r w:rsidRPr="00086A6E">
        <w:rPr>
          <w:rFonts w:ascii="Times New Roman" w:hAnsi="Times New Roman" w:cs="Times New Roman"/>
          <w:color w:val="000000"/>
          <w:lang w:eastAsia="sk-SK"/>
        </w:rPr>
        <w:t>prijať opatrenia na podporu racionalizácie siete základných škôl,</w:t>
      </w:r>
    </w:p>
    <w:p w:rsidR="00D2350F" w:rsidRPr="00086A6E" w:rsidRDefault="00D2350F" w:rsidP="00D2350F">
      <w:pPr>
        <w:numPr>
          <w:ilvl w:val="0"/>
          <w:numId w:val="12"/>
        </w:numPr>
        <w:ind w:left="284" w:hanging="284"/>
        <w:contextualSpacing/>
        <w:jc w:val="both"/>
        <w:rPr>
          <w:rFonts w:ascii="Times New Roman" w:hAnsi="Times New Roman" w:cs="Times New Roman"/>
          <w:color w:val="000000"/>
          <w:lang w:eastAsia="sk-SK"/>
        </w:rPr>
      </w:pPr>
      <w:r w:rsidRPr="00086A6E">
        <w:rPr>
          <w:rFonts w:ascii="Times New Roman" w:hAnsi="Times New Roman" w:cs="Times New Roman"/>
          <w:color w:val="000000"/>
          <w:lang w:eastAsia="sk-SK"/>
        </w:rPr>
        <w:t>zreálniť personálnu a prevádzkovú náročnosť jednotlivých typov škôl.</w:t>
      </w:r>
    </w:p>
    <w:p w:rsidR="00D2350F" w:rsidRPr="00086A6E" w:rsidRDefault="00D2350F" w:rsidP="00D2350F">
      <w:pPr>
        <w:ind w:left="284"/>
        <w:contextualSpacing/>
        <w:jc w:val="both"/>
        <w:rPr>
          <w:rFonts w:ascii="Times New Roman" w:hAnsi="Times New Roman" w:cs="Times New Roman"/>
          <w:color w:val="000000"/>
          <w:highlight w:val="green"/>
          <w:lang w:eastAsia="sk-SK"/>
        </w:rPr>
      </w:pPr>
    </w:p>
    <w:p w:rsidR="00D2350F" w:rsidRPr="00086A6E" w:rsidRDefault="00D2350F" w:rsidP="00D2350F">
      <w:pPr>
        <w:ind w:firstLine="709"/>
        <w:contextualSpacing/>
        <w:jc w:val="both"/>
        <w:rPr>
          <w:rFonts w:ascii="Times New Roman" w:hAnsi="Times New Roman" w:cs="Times New Roman"/>
          <w:bCs/>
        </w:rPr>
      </w:pPr>
      <w:r w:rsidRPr="00086A6E">
        <w:rPr>
          <w:rFonts w:ascii="Times New Roman" w:hAnsi="Times New Roman" w:cs="Times New Roman"/>
          <w:bCs/>
        </w:rPr>
        <w:t>Napriek niekoľkým analýzam však rezort zatiaľ v oblasti racionalizácie siete nedefinoval a ani nezaviedol nové pravidlá, ktoré by mali situáciu zlepšiť (napr. dôslednejšie vynucovanie minimálnych limitov, úprava kompenzačného príspevku tak, aby nepodporoval neefektívnu sieť, zavádzanie školských autobusov). Koeficienty prevádzkovej a personálnej náročnosti sú postupne aktualizované.</w:t>
      </w:r>
    </w:p>
    <w:p w:rsidR="00D2350F" w:rsidRPr="00086A6E" w:rsidRDefault="00D2350F" w:rsidP="00D2350F">
      <w:pPr>
        <w:ind w:firstLine="709"/>
        <w:contextualSpacing/>
        <w:jc w:val="both"/>
        <w:rPr>
          <w:rFonts w:ascii="Times New Roman" w:hAnsi="Times New Roman" w:cs="Times New Roman"/>
          <w:bCs/>
        </w:rPr>
      </w:pPr>
    </w:p>
    <w:tbl>
      <w:tblPr>
        <w:tblW w:w="5323" w:type="pct"/>
        <w:tblCellMar>
          <w:left w:w="70" w:type="dxa"/>
          <w:right w:w="70" w:type="dxa"/>
        </w:tblCellMar>
        <w:tblLook w:val="04A0" w:firstRow="1" w:lastRow="0" w:firstColumn="1" w:lastColumn="0" w:noHBand="0" w:noVBand="1"/>
      </w:tblPr>
      <w:tblGrid>
        <w:gridCol w:w="3032"/>
        <w:gridCol w:w="945"/>
        <w:gridCol w:w="945"/>
        <w:gridCol w:w="945"/>
        <w:gridCol w:w="945"/>
        <w:gridCol w:w="945"/>
        <w:gridCol w:w="945"/>
        <w:gridCol w:w="945"/>
      </w:tblGrid>
      <w:tr w:rsidR="00D2350F" w:rsidRPr="00086A6E" w:rsidTr="00E2591B">
        <w:trPr>
          <w:trHeight w:hRule="exact" w:val="255"/>
        </w:trPr>
        <w:tc>
          <w:tcPr>
            <w:tcW w:w="1571" w:type="pct"/>
            <w:tcBorders>
              <w:top w:val="single" w:sz="4" w:space="0" w:color="auto"/>
              <w:left w:val="single" w:sz="4" w:space="0" w:color="auto"/>
              <w:bottom w:val="single" w:sz="4" w:space="0" w:color="auto"/>
              <w:right w:val="single" w:sz="4" w:space="0" w:color="auto"/>
            </w:tcBorders>
            <w:shd w:val="pct35"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 eurách</w:t>
            </w:r>
          </w:p>
        </w:tc>
        <w:tc>
          <w:tcPr>
            <w:tcW w:w="490" w:type="pct"/>
            <w:tcBorders>
              <w:top w:val="single" w:sz="4" w:space="0" w:color="auto"/>
              <w:left w:val="nil"/>
              <w:bottom w:val="single" w:sz="4" w:space="0" w:color="auto"/>
              <w:right w:val="single" w:sz="4" w:space="0" w:color="auto"/>
            </w:tcBorders>
            <w:shd w:val="pct35" w:color="auto"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2016 S</w:t>
            </w:r>
          </w:p>
        </w:tc>
        <w:tc>
          <w:tcPr>
            <w:tcW w:w="490" w:type="pct"/>
            <w:tcBorders>
              <w:top w:val="single" w:sz="4" w:space="0" w:color="auto"/>
              <w:left w:val="nil"/>
              <w:bottom w:val="single" w:sz="4" w:space="0" w:color="auto"/>
              <w:right w:val="single" w:sz="4" w:space="0" w:color="auto"/>
            </w:tcBorders>
            <w:shd w:val="pct35" w:color="auto"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2017 S</w:t>
            </w:r>
          </w:p>
        </w:tc>
        <w:tc>
          <w:tcPr>
            <w:tcW w:w="490" w:type="pct"/>
            <w:tcBorders>
              <w:top w:val="single" w:sz="4" w:space="0" w:color="auto"/>
              <w:left w:val="nil"/>
              <w:bottom w:val="single" w:sz="4" w:space="0" w:color="auto"/>
              <w:right w:val="single" w:sz="4" w:space="0" w:color="auto"/>
            </w:tcBorders>
            <w:shd w:val="pct35" w:color="auto"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R</w:t>
            </w:r>
          </w:p>
        </w:tc>
        <w:tc>
          <w:tcPr>
            <w:tcW w:w="490" w:type="pct"/>
            <w:tcBorders>
              <w:top w:val="single" w:sz="4" w:space="0" w:color="auto"/>
              <w:left w:val="nil"/>
              <w:bottom w:val="single" w:sz="4" w:space="0" w:color="auto"/>
              <w:right w:val="single" w:sz="4" w:space="0" w:color="auto"/>
            </w:tcBorders>
            <w:shd w:val="pct35" w:color="auto"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OS</w:t>
            </w:r>
          </w:p>
        </w:tc>
        <w:tc>
          <w:tcPr>
            <w:tcW w:w="490" w:type="pct"/>
            <w:tcBorders>
              <w:top w:val="single" w:sz="4" w:space="0" w:color="auto"/>
              <w:left w:val="nil"/>
              <w:bottom w:val="single" w:sz="4" w:space="0" w:color="auto"/>
              <w:right w:val="single" w:sz="4" w:space="0" w:color="auto"/>
            </w:tcBorders>
            <w:shd w:val="pct35" w:color="auto"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2019 N</w:t>
            </w:r>
          </w:p>
        </w:tc>
        <w:tc>
          <w:tcPr>
            <w:tcW w:w="490" w:type="pct"/>
            <w:tcBorders>
              <w:top w:val="single" w:sz="4" w:space="0" w:color="auto"/>
              <w:left w:val="nil"/>
              <w:bottom w:val="single" w:sz="4" w:space="0" w:color="auto"/>
              <w:right w:val="single" w:sz="4" w:space="0" w:color="auto"/>
            </w:tcBorders>
            <w:shd w:val="pct35" w:color="auto"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2020 N</w:t>
            </w:r>
          </w:p>
        </w:tc>
        <w:tc>
          <w:tcPr>
            <w:tcW w:w="490" w:type="pct"/>
            <w:tcBorders>
              <w:top w:val="single" w:sz="4" w:space="0" w:color="auto"/>
              <w:left w:val="nil"/>
              <w:bottom w:val="single" w:sz="4" w:space="0" w:color="auto"/>
              <w:right w:val="single" w:sz="4" w:space="0" w:color="auto"/>
            </w:tcBorders>
            <w:shd w:val="pct35" w:color="auto"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xml:space="preserve">2021 N </w:t>
            </w:r>
          </w:p>
        </w:tc>
      </w:tr>
      <w:tr w:rsidR="00D2350F" w:rsidRPr="00086A6E" w:rsidTr="00E2591B">
        <w:trPr>
          <w:trHeight w:hRule="exact" w:val="255"/>
        </w:trPr>
        <w:tc>
          <w:tcPr>
            <w:tcW w:w="1571" w:type="pct"/>
            <w:tcBorders>
              <w:top w:val="nil"/>
              <w:left w:val="single" w:sz="4" w:space="0" w:color="auto"/>
              <w:bottom w:val="single" w:sz="4" w:space="0" w:color="auto"/>
              <w:right w:val="single" w:sz="4" w:space="0" w:color="auto"/>
            </w:tcBorders>
            <w:shd w:val="clear" w:color="000000" w:fill="D9D9D9"/>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Regionálne školstvo MŠVVŠ SR a MV SR</w:t>
            </w:r>
          </w:p>
        </w:tc>
        <w:tc>
          <w:tcPr>
            <w:tcW w:w="490" w:type="pct"/>
            <w:tcBorders>
              <w:top w:val="nil"/>
              <w:left w:val="nil"/>
              <w:bottom w:val="single" w:sz="4" w:space="0" w:color="auto"/>
              <w:right w:val="single" w:sz="4" w:space="0" w:color="auto"/>
            </w:tcBorders>
            <w:shd w:val="clear" w:color="000000" w:fill="D9D9D9"/>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1 597 840 813</w:t>
            </w:r>
          </w:p>
        </w:tc>
        <w:tc>
          <w:tcPr>
            <w:tcW w:w="490" w:type="pct"/>
            <w:tcBorders>
              <w:top w:val="nil"/>
              <w:left w:val="nil"/>
              <w:bottom w:val="single" w:sz="4" w:space="0" w:color="auto"/>
              <w:right w:val="single" w:sz="4" w:space="0" w:color="auto"/>
            </w:tcBorders>
            <w:shd w:val="clear" w:color="000000" w:fill="D9D9D9"/>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1 691 016 978</w:t>
            </w:r>
          </w:p>
        </w:tc>
        <w:tc>
          <w:tcPr>
            <w:tcW w:w="490" w:type="pct"/>
            <w:tcBorders>
              <w:top w:val="nil"/>
              <w:left w:val="nil"/>
              <w:bottom w:val="single" w:sz="4" w:space="0" w:color="auto"/>
              <w:right w:val="single" w:sz="4" w:space="0" w:color="auto"/>
            </w:tcBorders>
            <w:shd w:val="clear" w:color="000000" w:fill="D9D9D9"/>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1 731 526 745</w:t>
            </w:r>
          </w:p>
        </w:tc>
        <w:tc>
          <w:tcPr>
            <w:tcW w:w="490" w:type="pct"/>
            <w:tcBorders>
              <w:top w:val="nil"/>
              <w:left w:val="nil"/>
              <w:bottom w:val="single" w:sz="4" w:space="0" w:color="auto"/>
              <w:right w:val="single" w:sz="4" w:space="0" w:color="auto"/>
            </w:tcBorders>
            <w:shd w:val="clear" w:color="000000" w:fill="D9D9D9"/>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1 748 117 097</w:t>
            </w:r>
          </w:p>
        </w:tc>
        <w:tc>
          <w:tcPr>
            <w:tcW w:w="490" w:type="pct"/>
            <w:tcBorders>
              <w:top w:val="nil"/>
              <w:left w:val="nil"/>
              <w:bottom w:val="single" w:sz="4" w:space="0" w:color="auto"/>
              <w:right w:val="single" w:sz="4" w:space="0" w:color="auto"/>
            </w:tcBorders>
            <w:shd w:val="clear" w:color="000000" w:fill="D9D9D9"/>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1 753 297 038</w:t>
            </w:r>
          </w:p>
        </w:tc>
        <w:tc>
          <w:tcPr>
            <w:tcW w:w="490" w:type="pct"/>
            <w:tcBorders>
              <w:top w:val="nil"/>
              <w:left w:val="nil"/>
              <w:bottom w:val="single" w:sz="4" w:space="0" w:color="auto"/>
              <w:right w:val="single" w:sz="4" w:space="0" w:color="auto"/>
            </w:tcBorders>
            <w:shd w:val="clear" w:color="000000" w:fill="D9D9D9"/>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1 749 616 262</w:t>
            </w:r>
          </w:p>
        </w:tc>
        <w:tc>
          <w:tcPr>
            <w:tcW w:w="490" w:type="pct"/>
            <w:tcBorders>
              <w:top w:val="nil"/>
              <w:left w:val="nil"/>
              <w:bottom w:val="single" w:sz="4" w:space="0" w:color="auto"/>
              <w:right w:val="single" w:sz="4" w:space="0" w:color="auto"/>
            </w:tcBorders>
            <w:shd w:val="clear" w:color="000000" w:fill="D9D9D9"/>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1 754 083 797</w:t>
            </w:r>
          </w:p>
        </w:tc>
      </w:tr>
      <w:tr w:rsidR="00D2350F" w:rsidRPr="00086A6E" w:rsidTr="00E2591B">
        <w:trPr>
          <w:trHeight w:hRule="exact" w:val="255"/>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Výdavky kapitoly MŠVVŠ SR</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458 675 625</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478 312 748</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559 613 385</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498 096 095</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566 661 384</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562 556 857</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566 694 258</w:t>
            </w:r>
          </w:p>
        </w:tc>
      </w:tr>
      <w:tr w:rsidR="00D2350F" w:rsidRPr="00086A6E" w:rsidTr="00E2591B">
        <w:trPr>
          <w:trHeight w:hRule="exact" w:val="255"/>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Normatívne výdavky </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400 381 360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413 155 210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465 432 375</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423 375 023</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472 050 254</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474 269 727</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476 002 928</w:t>
            </w:r>
          </w:p>
        </w:tc>
      </w:tr>
      <w:tr w:rsidR="00D2350F" w:rsidRPr="00086A6E" w:rsidTr="00E2591B">
        <w:trPr>
          <w:trHeight w:hRule="exact" w:val="255"/>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Nenormatívne výdavky </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10 061 987</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10 761 148</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12 798 846</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14 097 660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12 973 767</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12 973 767</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12 973 767</w:t>
            </w:r>
          </w:p>
        </w:tc>
      </w:tr>
      <w:tr w:rsidR="00D2350F" w:rsidRPr="00086A6E" w:rsidTr="00E2591B">
        <w:trPr>
          <w:trHeight w:hRule="exact" w:val="255"/>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Ostatné nenormatívne výdavky </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11 439 939</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8 545 161</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49 613 730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21 575 949</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46 458 277</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38 458 277</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38 458 277</w:t>
            </w:r>
          </w:p>
        </w:tc>
      </w:tr>
      <w:tr w:rsidR="00D2350F" w:rsidRPr="00086A6E" w:rsidTr="00E2591B">
        <w:trPr>
          <w:trHeight w:hRule="exact" w:val="255"/>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Administratívne výdavky </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33 402 007</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29 246 838</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21 991 433</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27 045 173</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20 964 011</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24 080 011</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26 935 003</w:t>
            </w:r>
          </w:p>
        </w:tc>
      </w:tr>
      <w:tr w:rsidR="00D2350F" w:rsidRPr="00086A6E" w:rsidTr="00E2591B">
        <w:trPr>
          <w:trHeight w:hRule="exact" w:val="255"/>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Informačné technológie v RŠ</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13 214 059</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6 386 669</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8 611 958</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10 824 743</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9 384 743</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8 933 951</w:t>
            </w:r>
          </w:p>
        </w:tc>
      </w:tr>
      <w:tr w:rsidR="00D2350F" w:rsidRPr="00086A6E" w:rsidTr="00E2591B">
        <w:trPr>
          <w:trHeight w:hRule="exact" w:val="255"/>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Výdavky na štipendiá </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3 390 332</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3 390 332</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3 390 332</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3 390 332</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3 390 332</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3 390 332</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3 390 332</w:t>
            </w:r>
          </w:p>
        </w:tc>
      </w:tr>
      <w:tr w:rsidR="00D2350F" w:rsidRPr="00086A6E" w:rsidTr="00E2591B">
        <w:trPr>
          <w:trHeight w:hRule="exact" w:val="255"/>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Výdavky kapitoly MV SR</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1 139 165 188</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1 212 704 230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1 171 913 360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1 250 021 002</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1 186 635 654</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1 187 059 405</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1 187 389 539</w:t>
            </w:r>
          </w:p>
        </w:tc>
      </w:tr>
      <w:tr w:rsidR="00D2350F" w:rsidRPr="00086A6E" w:rsidTr="00E2591B">
        <w:trPr>
          <w:trHeight w:hRule="exact" w:val="255"/>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Normatívne výdavky </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1 043 875 956</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1 121 033 003</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1 101 469 902</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1 154 880 407</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1 108 111 147</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1 108 534 898</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1 108 865 032</w:t>
            </w:r>
          </w:p>
        </w:tc>
      </w:tr>
      <w:tr w:rsidR="00D2350F" w:rsidRPr="00086A6E" w:rsidTr="00E2591B">
        <w:trPr>
          <w:trHeight w:hRule="exact" w:val="255"/>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Nenormatívne výdavky </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77 034 407</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71 433 478</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59 288 847</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83 216 735</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67 113 926</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67 113 926</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67 113 926</w:t>
            </w:r>
          </w:p>
        </w:tc>
      </w:tr>
      <w:tr w:rsidR="00D2350F" w:rsidRPr="00086A6E" w:rsidTr="00E2591B">
        <w:trPr>
          <w:trHeight w:hRule="exact" w:val="255"/>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Ostatné nenormatívne výdavky </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11 071 038</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12 620 865</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3 955 523</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4 609 792</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3 955 523</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3 955 523</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3 955 523</w:t>
            </w:r>
          </w:p>
        </w:tc>
      </w:tr>
      <w:tr w:rsidR="00D2350F" w:rsidRPr="00086A6E" w:rsidTr="00E2591B">
        <w:trPr>
          <w:trHeight w:hRule="exact" w:val="255"/>
        </w:trPr>
        <w:tc>
          <w:tcPr>
            <w:tcW w:w="1571"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Administratívne výdavky (okresné úrady)</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7 183 787</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7 616 884</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7 199 088</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7 314 068</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7 455 058</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7 455 058</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7 455 058</w:t>
            </w:r>
          </w:p>
        </w:tc>
      </w:tr>
    </w:tbl>
    <w:p w:rsidR="00D2350F" w:rsidRPr="00086A6E" w:rsidRDefault="00D2350F" w:rsidP="00D2350F">
      <w:pPr>
        <w:ind w:firstLine="709"/>
        <w:contextualSpacing/>
        <w:jc w:val="both"/>
        <w:rPr>
          <w:rFonts w:ascii="Times New Roman" w:hAnsi="Times New Roman" w:cs="Times New Roman"/>
          <w:bCs/>
        </w:rPr>
      </w:pPr>
    </w:p>
    <w:p w:rsidR="00D2350F" w:rsidRDefault="00D2350F" w:rsidP="00D2350F">
      <w:pPr>
        <w:ind w:firstLine="709"/>
        <w:jc w:val="both"/>
        <w:rPr>
          <w:rFonts w:ascii="Times New Roman" w:hAnsi="Times New Roman" w:cs="Times New Roman"/>
          <w:szCs w:val="36"/>
        </w:rPr>
      </w:pPr>
      <w:r w:rsidRPr="00591655">
        <w:rPr>
          <w:rFonts w:ascii="Times New Roman" w:hAnsi="Times New Roman" w:cs="Times New Roman"/>
          <w:szCs w:val="36"/>
        </w:rPr>
        <w:t xml:space="preserve">Celkové zdroje na regionálne školstvo rozpočtované v kapitolách MŠVVŠ SR a MV SR v roku 2019 sú v sume 1,75 mld. eur a v  porovnaní so schváleným rozpočtom roku 2018 rastú o 21,8 mil. eur, t. j. o 1,26 %. </w:t>
      </w:r>
    </w:p>
    <w:p w:rsidR="00D2350F" w:rsidRDefault="00D2350F" w:rsidP="00D2350F">
      <w:pPr>
        <w:ind w:firstLine="709"/>
        <w:jc w:val="both"/>
        <w:rPr>
          <w:rFonts w:ascii="Times New Roman" w:hAnsi="Times New Roman" w:cs="Times New Roman"/>
          <w:szCs w:val="36"/>
        </w:rPr>
      </w:pPr>
    </w:p>
    <w:p w:rsidR="00D2350F" w:rsidRDefault="00D2350F" w:rsidP="00D2350F">
      <w:pPr>
        <w:ind w:firstLine="709"/>
        <w:jc w:val="both"/>
        <w:rPr>
          <w:rFonts w:ascii="Times New Roman" w:hAnsi="Times New Roman" w:cs="Times New Roman"/>
        </w:rPr>
      </w:pPr>
      <w:r w:rsidRPr="00086A6E">
        <w:rPr>
          <w:rFonts w:ascii="Times New Roman" w:hAnsi="Times New Roman" w:cs="Times New Roman"/>
        </w:rPr>
        <w:lastRenderedPageBreak/>
        <w:t>Výdavky štátneho rozpočtu poskytované prostredníctvom  MŠVVŠ SR na regionálne školstvo v roku  2019 sú v sume 566 mil. eur. Na medziročnom náraste výdavkov sa podieľa hlavne premietnutie valorizácie platov zamestnancov z roku 2018 na úrovni 4,8 %, s výnimkou pedagogických zamestnancov a odborných zamestnancov a učiteľov vysokých škôl, zapracovanie finančných prostriedkov na financovanie normatívnych výdavkov a výdavkov na zabezpečenie financovania systému duálneho vzdelávania a nekrátenia mzdového normatívu na žiaka v duálnom vzdelávaní. V celkových výdavkoch na regionálne školstvo sú zahrnuté aj výdavky na financovanie škôl v prírode a lyžiarskych kurzov, ktoré budú realizované aj prostredníctvom kapitoly MV SR, výdavky na zabezpečenie učebníc a učebných textov, výdavky na zabezpečenie príspevku na dopravné pre žiakov základných škôl, výdavky na stavovské a profesijné organizácie pre systém duálneho vzdelávania a na zlepšenie a revitalizáciu materiálno-technického zabezpečenia MŠ, ZŠ a ZUŠ v nadväznosti na povinné materiálno-technické zabezpečenie výchovno-vzdelávacej činnosti vyplývajúce z príslušných štátnych vzdelávacích programov.</w:t>
      </w:r>
    </w:p>
    <w:p w:rsidR="00D2350F" w:rsidRPr="00086A6E" w:rsidRDefault="00D2350F" w:rsidP="00D2350F">
      <w:pPr>
        <w:ind w:firstLine="709"/>
        <w:jc w:val="both"/>
        <w:rPr>
          <w:rFonts w:ascii="Times New Roman" w:hAnsi="Times New Roman" w:cs="Times New Roman"/>
        </w:rPr>
      </w:pPr>
    </w:p>
    <w:p w:rsidR="00D2350F" w:rsidRDefault="00D2350F" w:rsidP="00D2350F">
      <w:pPr>
        <w:ind w:firstLine="709"/>
        <w:jc w:val="both"/>
        <w:rPr>
          <w:rFonts w:ascii="Times New Roman" w:hAnsi="Times New Roman" w:cs="Times New Roman"/>
        </w:rPr>
      </w:pPr>
      <w:r w:rsidRPr="00086A6E">
        <w:rPr>
          <w:rFonts w:ascii="Times New Roman" w:hAnsi="Times New Roman" w:cs="Times New Roman"/>
        </w:rPr>
        <w:t>Z kapitoly MV SR v roku 2019 budú financované výdavky pre špeciálne školy a špeciálne školské zariadenia (štátne školy), školy v zriaďovateľskej pôsobnosti obcí, cirkví a náboženských spoločností a súkromných osôb v sume 1,19 mld. eur vrátane administratívnych výdavkov. Výdavky na financovanie regionálneho školstva prostredníctvom MV SR medziročne rastú o 14,7 mil. eur (o 1,26 %) z dôvodu zapracovania valorizácie platov zamestnancov regionálneho školstva z roku 2018 na úrovni 4,8 %, výnimkou pedagogických  zamestnancov a odborných zamestnancov, príspevku na zabezpečenie systému duálneho vzdelávania a nekrátenia mzdového normatívu na žiaka v duálnom vzdelávaní.</w:t>
      </w:r>
    </w:p>
    <w:p w:rsidR="00D2350F" w:rsidRDefault="00D2350F" w:rsidP="00D2350F">
      <w:pPr>
        <w:ind w:firstLine="709"/>
        <w:jc w:val="both"/>
        <w:rPr>
          <w:rFonts w:ascii="Times New Roman" w:hAnsi="Times New Roman" w:cs="Times New Roman"/>
        </w:rPr>
      </w:pPr>
    </w:p>
    <w:p w:rsidR="00D2350F" w:rsidRDefault="00D2350F" w:rsidP="00D2350F">
      <w:pPr>
        <w:ind w:firstLine="709"/>
        <w:jc w:val="both"/>
        <w:rPr>
          <w:rFonts w:ascii="Times New Roman" w:hAnsi="Times New Roman" w:cs="Times New Roman"/>
        </w:rPr>
      </w:pPr>
      <w:r w:rsidRPr="00086A6E">
        <w:rPr>
          <w:rFonts w:ascii="Times New Roman" w:hAnsi="Times New Roman" w:cs="Times New Roman"/>
        </w:rPr>
        <w:t>V limite výdavkov sú zabezpečené normatívne výdavky, nenormatívne výdavky, administratívne výdavky pre rozpočtové a príspevkové organizácie rezortov, ktoré vykonávajú činnosť súvisiacu s regionálnym školstvom a výdavky na štipendiá.</w:t>
      </w:r>
    </w:p>
    <w:p w:rsidR="00D2350F" w:rsidRPr="00086A6E" w:rsidRDefault="00D2350F" w:rsidP="00D2350F">
      <w:pPr>
        <w:ind w:firstLine="709"/>
        <w:jc w:val="both"/>
        <w:rPr>
          <w:rFonts w:ascii="Times New Roman" w:hAnsi="Times New Roman" w:cs="Times New Roman"/>
        </w:rPr>
      </w:pPr>
    </w:p>
    <w:p w:rsidR="00D2350F" w:rsidRDefault="00D2350F" w:rsidP="00D2350F">
      <w:pPr>
        <w:ind w:firstLine="709"/>
        <w:jc w:val="both"/>
        <w:rPr>
          <w:rFonts w:ascii="Times New Roman" w:hAnsi="Times New Roman" w:cs="Times New Roman"/>
        </w:rPr>
      </w:pPr>
      <w:r w:rsidRPr="00086A6E">
        <w:rPr>
          <w:rFonts w:ascii="Times New Roman" w:hAnsi="Times New Roman" w:cs="Times New Roman"/>
        </w:rPr>
        <w:t xml:space="preserve">Pri financovaní regionálneho školstva sa uplatňuje financovanie prostredníctvom normatívu na žiaka. V objeme bežných výdavkov sú zahrnuté okrem osobných výdavkov a prevádzky všetkých typov škôl aj nenormatívne výdavky v zmysle zákona o financovaní základných škôl, stredných škôl a školských zariadení na úhradu vakcín proti hepatitíde typu A a B, výdavky na bezplatnú výchovu detí od 5 rokov v materských školách, na dopravné žiakom, na asistentov učiteľa, na odchodné, vzdelávacie poukazy, mimoriadne výsledky žiakov, výdavky pre žiakov zo sociálne znevýhodneného prostredia, na havárie, ďalej výdavky určené na učebnice, prevádzku EDUNETu, súťaže žiakov, na pobyty žiakov v školách prírody, absolvovanie lyžiarskych kurzov, rozvojové projekty a príspevky na financovanie systému duálneho vzdelávania. </w:t>
      </w:r>
    </w:p>
    <w:p w:rsidR="00D2350F" w:rsidRPr="00086A6E" w:rsidRDefault="00D2350F" w:rsidP="00D2350F">
      <w:pPr>
        <w:ind w:firstLine="709"/>
        <w:jc w:val="both"/>
        <w:rPr>
          <w:rFonts w:ascii="Times New Roman" w:hAnsi="Times New Roman" w:cs="Times New Roman"/>
        </w:rPr>
      </w:pPr>
    </w:p>
    <w:p w:rsidR="00D2350F" w:rsidRDefault="00D2350F" w:rsidP="00D2350F">
      <w:pPr>
        <w:ind w:firstLine="709"/>
        <w:jc w:val="both"/>
        <w:rPr>
          <w:rFonts w:ascii="Times New Roman" w:hAnsi="Times New Roman" w:cs="Times New Roman"/>
        </w:rPr>
      </w:pPr>
      <w:r w:rsidRPr="00086A6E">
        <w:rPr>
          <w:rFonts w:ascii="Times New Roman" w:hAnsi="Times New Roman" w:cs="Times New Roman"/>
        </w:rPr>
        <w:t>Kapitálové výdavky kapitoly MŠVVŠ SR pre regionálne školstvo sú navrhované vo výške 7,72 mil. eur. Tieto sú určené hlavne na odstraňovanie havárií a na rekonštrukcie a modernizácie škôl a školských zariadení.</w:t>
      </w:r>
    </w:p>
    <w:p w:rsidR="00D2350F" w:rsidRPr="00086A6E" w:rsidRDefault="00D2350F" w:rsidP="00D2350F">
      <w:pPr>
        <w:ind w:firstLine="709"/>
        <w:jc w:val="both"/>
        <w:rPr>
          <w:rFonts w:ascii="Times New Roman" w:hAnsi="Times New Roman" w:cs="Times New Roman"/>
        </w:rPr>
      </w:pPr>
    </w:p>
    <w:p w:rsidR="00D2350F" w:rsidRDefault="00D2350F" w:rsidP="00D2350F">
      <w:pPr>
        <w:ind w:firstLine="709"/>
        <w:jc w:val="both"/>
        <w:rPr>
          <w:rFonts w:ascii="Times New Roman" w:hAnsi="Times New Roman" w:cs="Times New Roman"/>
        </w:rPr>
      </w:pPr>
      <w:r w:rsidRPr="00086A6E">
        <w:rPr>
          <w:rFonts w:ascii="Times New Roman" w:hAnsi="Times New Roman" w:cs="Times New Roman"/>
        </w:rPr>
        <w:t>Do disponibilných zdrojov, okrem výdavkov zo štátneho rozpočtu poskytovaných prostredníctvom MŠVVŠ SR a MV SR na regionálne školstvo, vstupujú aj výdavky na financovanie rezortných stredných odborných škôl v zriaďovateľskej pôsobnosti MV SR (stredné odborné školy policajného zboru a stredná odborná škola požiarnej ochrany) v sume 7,51 mil. eur.</w:t>
      </w:r>
    </w:p>
    <w:p w:rsidR="00D2350F" w:rsidRPr="00086A6E" w:rsidRDefault="00D2350F" w:rsidP="00D2350F">
      <w:pPr>
        <w:ind w:firstLine="709"/>
        <w:jc w:val="both"/>
        <w:rPr>
          <w:rFonts w:ascii="Times New Roman" w:hAnsi="Times New Roman" w:cs="Times New Roman"/>
          <w:b/>
        </w:rPr>
      </w:pPr>
    </w:p>
    <w:p w:rsidR="00D2350F" w:rsidRDefault="00D2350F" w:rsidP="00D2350F">
      <w:pPr>
        <w:spacing w:after="200"/>
        <w:ind w:firstLine="709"/>
        <w:jc w:val="both"/>
        <w:rPr>
          <w:rFonts w:ascii="Times New Roman" w:hAnsi="Times New Roman" w:cs="Times New Roman"/>
        </w:rPr>
      </w:pPr>
    </w:p>
    <w:p w:rsidR="00D2350F" w:rsidRPr="00086A6E" w:rsidRDefault="00D2350F" w:rsidP="00D2350F">
      <w:pPr>
        <w:spacing w:after="200"/>
        <w:ind w:firstLine="709"/>
        <w:jc w:val="both"/>
        <w:rPr>
          <w:rFonts w:ascii="Times New Roman" w:hAnsi="Times New Roman" w:cs="Times New Roman"/>
        </w:rPr>
      </w:pPr>
      <w:r w:rsidRPr="00086A6E">
        <w:rPr>
          <w:rFonts w:ascii="Times New Roman" w:hAnsi="Times New Roman" w:cs="Times New Roman"/>
        </w:rPr>
        <w:lastRenderedPageBreak/>
        <w:t>Prehľad administratívnych výdavkov pre organizácie rezortu, ktoré vykonávajú činnosti súvisiace s regionálnym školstvom.</w:t>
      </w:r>
    </w:p>
    <w:tbl>
      <w:tblPr>
        <w:tblW w:w="5000" w:type="pct"/>
        <w:tblLayout w:type="fixed"/>
        <w:tblCellMar>
          <w:left w:w="70" w:type="dxa"/>
          <w:right w:w="70" w:type="dxa"/>
        </w:tblCellMar>
        <w:tblLook w:val="04A0" w:firstRow="1" w:lastRow="0" w:firstColumn="1" w:lastColumn="0" w:noHBand="0" w:noVBand="1"/>
      </w:tblPr>
      <w:tblGrid>
        <w:gridCol w:w="3270"/>
        <w:gridCol w:w="788"/>
        <w:gridCol w:w="834"/>
        <w:gridCol w:w="834"/>
        <w:gridCol w:w="834"/>
        <w:gridCol w:w="834"/>
        <w:gridCol w:w="834"/>
        <w:gridCol w:w="834"/>
      </w:tblGrid>
      <w:tr w:rsidR="00D2350F" w:rsidRPr="00086A6E" w:rsidTr="00D2350F">
        <w:trPr>
          <w:trHeight w:hRule="exact" w:val="255"/>
        </w:trPr>
        <w:tc>
          <w:tcPr>
            <w:tcW w:w="3270" w:type="dxa"/>
            <w:tcBorders>
              <w:top w:val="single" w:sz="4" w:space="0" w:color="auto"/>
              <w:left w:val="single" w:sz="4" w:space="0" w:color="auto"/>
              <w:bottom w:val="single" w:sz="4" w:space="0" w:color="auto"/>
              <w:right w:val="single" w:sz="4" w:space="0" w:color="auto"/>
            </w:tcBorders>
            <w:shd w:val="pct35" w:color="000000" w:fill="auto"/>
            <w:noWrap/>
            <w:vAlign w:val="center"/>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v eurách</w:t>
            </w:r>
          </w:p>
        </w:tc>
        <w:tc>
          <w:tcPr>
            <w:tcW w:w="788" w:type="dxa"/>
            <w:tcBorders>
              <w:top w:val="single" w:sz="4" w:space="0" w:color="auto"/>
              <w:left w:val="nil"/>
              <w:bottom w:val="single" w:sz="4" w:space="0" w:color="auto"/>
              <w:right w:val="single" w:sz="4" w:space="0" w:color="auto"/>
            </w:tcBorders>
            <w:shd w:val="pct35" w:color="000000" w:fill="auto"/>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2016 S</w:t>
            </w:r>
          </w:p>
        </w:tc>
        <w:tc>
          <w:tcPr>
            <w:tcW w:w="834" w:type="dxa"/>
            <w:tcBorders>
              <w:top w:val="single" w:sz="4" w:space="0" w:color="auto"/>
              <w:left w:val="nil"/>
              <w:bottom w:val="single" w:sz="4" w:space="0" w:color="auto"/>
              <w:right w:val="single" w:sz="4" w:space="0" w:color="auto"/>
            </w:tcBorders>
            <w:shd w:val="pct35" w:color="000000" w:fill="auto"/>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2017 S</w:t>
            </w:r>
          </w:p>
        </w:tc>
        <w:tc>
          <w:tcPr>
            <w:tcW w:w="834" w:type="dxa"/>
            <w:tcBorders>
              <w:top w:val="single" w:sz="4" w:space="0" w:color="auto"/>
              <w:left w:val="nil"/>
              <w:bottom w:val="single" w:sz="4" w:space="0" w:color="auto"/>
              <w:right w:val="single" w:sz="4" w:space="0" w:color="auto"/>
            </w:tcBorders>
            <w:shd w:val="pct35" w:color="000000" w:fill="auto"/>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R</w:t>
            </w:r>
          </w:p>
        </w:tc>
        <w:tc>
          <w:tcPr>
            <w:tcW w:w="834" w:type="dxa"/>
            <w:tcBorders>
              <w:top w:val="single" w:sz="4" w:space="0" w:color="auto"/>
              <w:left w:val="nil"/>
              <w:bottom w:val="single" w:sz="4" w:space="0" w:color="auto"/>
              <w:right w:val="single" w:sz="4" w:space="0" w:color="auto"/>
            </w:tcBorders>
            <w:shd w:val="pct35" w:color="000000" w:fill="auto"/>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OS</w:t>
            </w:r>
          </w:p>
        </w:tc>
        <w:tc>
          <w:tcPr>
            <w:tcW w:w="834" w:type="dxa"/>
            <w:tcBorders>
              <w:top w:val="single" w:sz="4" w:space="0" w:color="auto"/>
              <w:left w:val="nil"/>
              <w:bottom w:val="single" w:sz="4" w:space="0" w:color="auto"/>
              <w:right w:val="single" w:sz="4" w:space="0" w:color="auto"/>
            </w:tcBorders>
            <w:shd w:val="pct35" w:color="000000" w:fill="auto"/>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2019 N</w:t>
            </w:r>
          </w:p>
        </w:tc>
        <w:tc>
          <w:tcPr>
            <w:tcW w:w="834" w:type="dxa"/>
            <w:tcBorders>
              <w:top w:val="single" w:sz="4" w:space="0" w:color="auto"/>
              <w:left w:val="nil"/>
              <w:bottom w:val="single" w:sz="4" w:space="0" w:color="auto"/>
              <w:right w:val="single" w:sz="4" w:space="0" w:color="auto"/>
            </w:tcBorders>
            <w:shd w:val="pct35" w:color="000000" w:fill="auto"/>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xml:space="preserve">2020 N </w:t>
            </w:r>
          </w:p>
        </w:tc>
        <w:tc>
          <w:tcPr>
            <w:tcW w:w="834" w:type="dxa"/>
            <w:tcBorders>
              <w:top w:val="single" w:sz="4" w:space="0" w:color="auto"/>
              <w:left w:val="nil"/>
              <w:bottom w:val="single" w:sz="4" w:space="0" w:color="auto"/>
              <w:right w:val="single" w:sz="4" w:space="0" w:color="auto"/>
            </w:tcBorders>
            <w:shd w:val="pct35" w:color="000000" w:fill="auto"/>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xml:space="preserve">2021 N </w:t>
            </w:r>
          </w:p>
        </w:tc>
      </w:tr>
      <w:tr w:rsidR="00D2350F" w:rsidRPr="00086A6E" w:rsidTr="00D2350F">
        <w:trPr>
          <w:trHeight w:hRule="exact" w:val="255"/>
        </w:trPr>
        <w:tc>
          <w:tcPr>
            <w:tcW w:w="3270" w:type="dxa"/>
            <w:tcBorders>
              <w:top w:val="nil"/>
              <w:left w:val="single" w:sz="4" w:space="0" w:color="auto"/>
              <w:bottom w:val="single" w:sz="4" w:space="0" w:color="auto"/>
              <w:right w:val="single" w:sz="4" w:space="0" w:color="auto"/>
            </w:tcBorders>
            <w:shd w:val="clear" w:color="000000" w:fill="BFBFBF"/>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Rozpočtové a príspevkové  organizácie spolu</w:t>
            </w:r>
          </w:p>
        </w:tc>
        <w:tc>
          <w:tcPr>
            <w:tcW w:w="788" w:type="dxa"/>
            <w:tcBorders>
              <w:top w:val="nil"/>
              <w:left w:val="nil"/>
              <w:bottom w:val="single" w:sz="4" w:space="0" w:color="auto"/>
              <w:right w:val="single" w:sz="4" w:space="0" w:color="auto"/>
            </w:tcBorders>
            <w:shd w:val="clear" w:color="000000" w:fill="BFBFBF"/>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33 402 007</w:t>
            </w:r>
          </w:p>
        </w:tc>
        <w:tc>
          <w:tcPr>
            <w:tcW w:w="834" w:type="dxa"/>
            <w:tcBorders>
              <w:top w:val="nil"/>
              <w:left w:val="nil"/>
              <w:bottom w:val="single" w:sz="4" w:space="0" w:color="auto"/>
              <w:right w:val="single" w:sz="4" w:space="0" w:color="auto"/>
            </w:tcBorders>
            <w:shd w:val="clear" w:color="000000" w:fill="BFBFBF"/>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29 246 838</w:t>
            </w:r>
          </w:p>
        </w:tc>
        <w:tc>
          <w:tcPr>
            <w:tcW w:w="834" w:type="dxa"/>
            <w:tcBorders>
              <w:top w:val="nil"/>
              <w:left w:val="nil"/>
              <w:bottom w:val="single" w:sz="4" w:space="0" w:color="auto"/>
              <w:right w:val="single" w:sz="4" w:space="0" w:color="auto"/>
            </w:tcBorders>
            <w:shd w:val="clear" w:color="000000" w:fill="BFBFBF"/>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21 991 433</w:t>
            </w:r>
          </w:p>
        </w:tc>
        <w:tc>
          <w:tcPr>
            <w:tcW w:w="834" w:type="dxa"/>
            <w:tcBorders>
              <w:top w:val="nil"/>
              <w:left w:val="nil"/>
              <w:bottom w:val="single" w:sz="4" w:space="0" w:color="auto"/>
              <w:right w:val="single" w:sz="4" w:space="0" w:color="auto"/>
            </w:tcBorders>
            <w:shd w:val="clear" w:color="000000" w:fill="BFBFBF"/>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27 045 173</w:t>
            </w:r>
          </w:p>
        </w:tc>
        <w:tc>
          <w:tcPr>
            <w:tcW w:w="834" w:type="dxa"/>
            <w:tcBorders>
              <w:top w:val="nil"/>
              <w:left w:val="nil"/>
              <w:bottom w:val="single" w:sz="4" w:space="0" w:color="auto"/>
              <w:right w:val="single" w:sz="4" w:space="0" w:color="auto"/>
            </w:tcBorders>
            <w:shd w:val="clear" w:color="000000" w:fill="BFBFBF"/>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20 964 011</w:t>
            </w:r>
          </w:p>
        </w:tc>
        <w:tc>
          <w:tcPr>
            <w:tcW w:w="834" w:type="dxa"/>
            <w:tcBorders>
              <w:top w:val="nil"/>
              <w:left w:val="nil"/>
              <w:bottom w:val="single" w:sz="4" w:space="0" w:color="auto"/>
              <w:right w:val="single" w:sz="4" w:space="0" w:color="auto"/>
            </w:tcBorders>
            <w:shd w:val="clear" w:color="000000" w:fill="BFBFBF"/>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24 080 011</w:t>
            </w:r>
          </w:p>
        </w:tc>
        <w:tc>
          <w:tcPr>
            <w:tcW w:w="834" w:type="dxa"/>
            <w:tcBorders>
              <w:top w:val="nil"/>
              <w:left w:val="nil"/>
              <w:bottom w:val="single" w:sz="4" w:space="0" w:color="auto"/>
              <w:right w:val="single" w:sz="4" w:space="0" w:color="auto"/>
            </w:tcBorders>
            <w:shd w:val="clear" w:color="000000" w:fill="BFBFBF"/>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26 935 003</w:t>
            </w:r>
          </w:p>
        </w:tc>
      </w:tr>
      <w:tr w:rsidR="00D2350F" w:rsidRPr="00086A6E" w:rsidTr="00D2350F">
        <w:trPr>
          <w:trHeight w:hRule="exact" w:val="255"/>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Rozpočtové organizácie spolu, z toho:</w:t>
            </w:r>
          </w:p>
        </w:tc>
        <w:tc>
          <w:tcPr>
            <w:tcW w:w="788" w:type="dxa"/>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31 338 622</w:t>
            </w:r>
          </w:p>
        </w:tc>
        <w:tc>
          <w:tcPr>
            <w:tcW w:w="834" w:type="dxa"/>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26 718 940</w:t>
            </w:r>
          </w:p>
        </w:tc>
        <w:tc>
          <w:tcPr>
            <w:tcW w:w="834" w:type="dxa"/>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20 165 770</w:t>
            </w:r>
          </w:p>
        </w:tc>
        <w:tc>
          <w:tcPr>
            <w:tcW w:w="834" w:type="dxa"/>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24 702 142</w:t>
            </w:r>
          </w:p>
        </w:tc>
        <w:tc>
          <w:tcPr>
            <w:tcW w:w="834" w:type="dxa"/>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19 094 465</w:t>
            </w:r>
          </w:p>
        </w:tc>
        <w:tc>
          <w:tcPr>
            <w:tcW w:w="834" w:type="dxa"/>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22 210 465</w:t>
            </w:r>
          </w:p>
        </w:tc>
        <w:tc>
          <w:tcPr>
            <w:tcW w:w="834" w:type="dxa"/>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25 065 457</w:t>
            </w:r>
          </w:p>
        </w:tc>
      </w:tr>
      <w:tr w:rsidR="00D2350F" w:rsidRPr="00086A6E" w:rsidTr="00D2350F">
        <w:trPr>
          <w:trHeight w:hRule="exact" w:val="255"/>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Metodicko-pedagogické centrum</w:t>
            </w:r>
          </w:p>
        </w:tc>
        <w:tc>
          <w:tcPr>
            <w:tcW w:w="788"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10 803 850</w:t>
            </w:r>
          </w:p>
        </w:tc>
        <w:tc>
          <w:tcPr>
            <w:tcW w:w="834" w:type="dxa"/>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14 090 929</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3 075 711</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3 174 911</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3 093 711</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3 069 011</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3 018 111</w:t>
            </w:r>
          </w:p>
        </w:tc>
      </w:tr>
      <w:tr w:rsidR="00D2350F" w:rsidRPr="00086A6E" w:rsidTr="00D2350F">
        <w:trPr>
          <w:trHeight w:hRule="exact" w:val="255"/>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Štátny inštitút odborného vzdelávania</w:t>
            </w:r>
          </w:p>
        </w:tc>
        <w:tc>
          <w:tcPr>
            <w:tcW w:w="788"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3 104 328</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1 379 969</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1 129 290</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1 205 813</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3 809 698</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5 340 698</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7 638 698</w:t>
            </w:r>
          </w:p>
        </w:tc>
      </w:tr>
      <w:tr w:rsidR="00D2350F" w:rsidRPr="00086A6E" w:rsidTr="00D2350F">
        <w:trPr>
          <w:trHeight w:hRule="exact" w:val="255"/>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Štátny pedagogický ústav</w:t>
            </w:r>
          </w:p>
        </w:tc>
        <w:tc>
          <w:tcPr>
            <w:tcW w:w="788"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1 660 572</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1 605 782</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1 449 352</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1 494 592</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1 480 514</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1 473 187</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1 451 603</w:t>
            </w:r>
          </w:p>
        </w:tc>
      </w:tr>
      <w:tr w:rsidR="00D2350F" w:rsidRPr="00086A6E" w:rsidTr="00D2350F">
        <w:trPr>
          <w:trHeight w:hRule="exact" w:val="255"/>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Štátna školská inšpekcia</w:t>
            </w:r>
          </w:p>
        </w:tc>
        <w:tc>
          <w:tcPr>
            <w:tcW w:w="788"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4 779 428</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4 925 075</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4 489 803</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5 165 911</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5 027 863</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5 027 162</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5 025 759</w:t>
            </w:r>
          </w:p>
        </w:tc>
      </w:tr>
      <w:tr w:rsidR="00D2350F" w:rsidRPr="00086A6E" w:rsidTr="00D2350F">
        <w:trPr>
          <w:trHeight w:hRule="exact" w:val="255"/>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Slovenská pedagogická knižnica</w:t>
            </w:r>
          </w:p>
        </w:tc>
        <w:tc>
          <w:tcPr>
            <w:tcW w:w="788"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356 878</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364 070</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317 083</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324 474</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319 474</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319 474</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319 474</w:t>
            </w:r>
          </w:p>
        </w:tc>
      </w:tr>
      <w:tr w:rsidR="00D2350F" w:rsidRPr="00086A6E" w:rsidTr="00D2350F">
        <w:trPr>
          <w:trHeight w:hRule="exact" w:val="255"/>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Národný ústav certifikovaných meraní vzdelávania</w:t>
            </w:r>
          </w:p>
        </w:tc>
        <w:tc>
          <w:tcPr>
            <w:tcW w:w="788"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2 776 008</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2 105 178</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1 546 985</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1 583 855</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1 557 070</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1 557 750</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1 552 370</w:t>
            </w:r>
          </w:p>
        </w:tc>
      </w:tr>
      <w:tr w:rsidR="00D2350F" w:rsidRPr="00086A6E" w:rsidTr="00D2350F">
        <w:trPr>
          <w:trHeight w:hRule="exact" w:val="255"/>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Národné športové centrum</w:t>
            </w:r>
          </w:p>
        </w:tc>
        <w:tc>
          <w:tcPr>
            <w:tcW w:w="788"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1 000 000</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0</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0</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0</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0</w:t>
            </w:r>
          </w:p>
        </w:tc>
      </w:tr>
      <w:tr w:rsidR="00D2350F" w:rsidRPr="00086A6E" w:rsidTr="00D2350F">
        <w:trPr>
          <w:trHeight w:hRule="exact" w:val="255"/>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Školské úrady VÚC</w:t>
            </w:r>
          </w:p>
        </w:tc>
        <w:tc>
          <w:tcPr>
            <w:tcW w:w="788"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347 676</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355 290</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475 579</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442 866</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486 011</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486 011</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486 011</w:t>
            </w:r>
          </w:p>
        </w:tc>
      </w:tr>
      <w:tr w:rsidR="00D2350F" w:rsidRPr="00086A6E" w:rsidTr="00D2350F">
        <w:trPr>
          <w:trHeight w:hRule="exact" w:val="255"/>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Ministerstvo školstva, vedy, výskumu a športu SR</w:t>
            </w:r>
          </w:p>
        </w:tc>
        <w:tc>
          <w:tcPr>
            <w:tcW w:w="788"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7 509 882</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892 647</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7 681 967</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11 309 720</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3 320 124</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4 937 172</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5 573 431</w:t>
            </w:r>
          </w:p>
        </w:tc>
      </w:tr>
      <w:tr w:rsidR="00D2350F" w:rsidRPr="00086A6E" w:rsidTr="00D2350F">
        <w:trPr>
          <w:trHeight w:hRule="exact" w:val="255"/>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Príspevkové organizácie spolu</w:t>
            </w:r>
          </w:p>
        </w:tc>
        <w:tc>
          <w:tcPr>
            <w:tcW w:w="788"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2 063 385</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2 527 898</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1 825 663</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2 343 031</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1 869 546</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1 869 546</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1 869 546</w:t>
            </w:r>
          </w:p>
        </w:tc>
      </w:tr>
      <w:tr w:rsidR="00D2350F" w:rsidRPr="00086A6E" w:rsidTr="00D2350F">
        <w:trPr>
          <w:trHeight w:hRule="exact" w:val="255"/>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Domov Speváckeho zboru slovenských učiteľov</w:t>
            </w:r>
          </w:p>
        </w:tc>
        <w:tc>
          <w:tcPr>
            <w:tcW w:w="788"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307 230</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418 617</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315 230</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325 215</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325 215</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325 215</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325 215</w:t>
            </w:r>
          </w:p>
        </w:tc>
      </w:tr>
      <w:tr w:rsidR="00D2350F" w:rsidRPr="00086A6E" w:rsidTr="00D2350F">
        <w:trPr>
          <w:trHeight w:hRule="exact" w:val="255"/>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Výskumný ústav detskej psychológie a patopsychológ.</w:t>
            </w:r>
          </w:p>
        </w:tc>
        <w:tc>
          <w:tcPr>
            <w:tcW w:w="788"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1 019 429</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1 280 361</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721 176</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1 201 582</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733 097</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733 097</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733 097</w:t>
            </w:r>
          </w:p>
        </w:tc>
      </w:tr>
      <w:tr w:rsidR="00D2350F" w:rsidRPr="00086A6E" w:rsidTr="00D2350F">
        <w:trPr>
          <w:trHeight w:hRule="exact" w:val="255"/>
        </w:trPr>
        <w:tc>
          <w:tcPr>
            <w:tcW w:w="3270"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Centrum vedecko-technických informácií</w:t>
            </w:r>
          </w:p>
        </w:tc>
        <w:tc>
          <w:tcPr>
            <w:tcW w:w="788"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736 726</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828 920</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789 257</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816 234</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811 234</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811 234</w:t>
            </w:r>
          </w:p>
        </w:tc>
        <w:tc>
          <w:tcPr>
            <w:tcW w:w="83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811 234</w:t>
            </w:r>
          </w:p>
        </w:tc>
      </w:tr>
    </w:tbl>
    <w:p w:rsidR="00D2350F" w:rsidRDefault="00D2350F" w:rsidP="00D2350F">
      <w:pPr>
        <w:spacing w:line="276" w:lineRule="auto"/>
        <w:jc w:val="both"/>
        <w:rPr>
          <w:rFonts w:ascii="Times New Roman" w:hAnsi="Times New Roman" w:cs="Times New Roman"/>
          <w:b/>
        </w:rPr>
      </w:pPr>
    </w:p>
    <w:p w:rsidR="00D2350F" w:rsidRPr="00086A6E" w:rsidRDefault="00D2350F" w:rsidP="00D2350F">
      <w:pPr>
        <w:spacing w:line="276" w:lineRule="auto"/>
        <w:jc w:val="both"/>
        <w:rPr>
          <w:rFonts w:ascii="Times New Roman" w:hAnsi="Times New Roman" w:cs="Times New Roman"/>
          <w:b/>
        </w:rPr>
      </w:pPr>
      <w:r w:rsidRPr="00086A6E">
        <w:rPr>
          <w:rFonts w:ascii="Times New Roman" w:hAnsi="Times New Roman" w:cs="Times New Roman"/>
          <w:b/>
        </w:rPr>
        <w:t>Vysoké školstvo vrátane rezortného vysokého školstva</w:t>
      </w:r>
    </w:p>
    <w:p w:rsidR="00D2350F" w:rsidRPr="00086A6E" w:rsidRDefault="00D2350F" w:rsidP="00D2350F">
      <w:pPr>
        <w:spacing w:line="276" w:lineRule="auto"/>
        <w:jc w:val="both"/>
        <w:rPr>
          <w:rFonts w:ascii="Times New Roman" w:hAnsi="Times New Roman" w:cs="Times New Roman"/>
        </w:rPr>
      </w:pPr>
    </w:p>
    <w:p w:rsidR="00D2350F" w:rsidRPr="00086A6E" w:rsidRDefault="00D2350F" w:rsidP="00D2350F">
      <w:pPr>
        <w:ind w:firstLine="709"/>
        <w:jc w:val="both"/>
        <w:rPr>
          <w:rFonts w:ascii="Times New Roman" w:hAnsi="Times New Roman" w:cs="Times New Roman"/>
          <w:bCs/>
          <w:color w:val="000000"/>
        </w:rPr>
      </w:pPr>
      <w:r w:rsidRPr="00086A6E">
        <w:rPr>
          <w:rFonts w:ascii="Times New Roman" w:hAnsi="Times New Roman" w:cs="Times New Roman"/>
        </w:rPr>
        <w:t>Podiel vysokoškolsky vzdelaného obyvateľstva na Slovensku je podľa Eurostatu oproti krajinám EÚ stále nízky, medzi 30 – 34 ročnými sa však za posledných 10 rokov zdvojnásobil. V roku 2014 podiel aktuálnych študentov, u ktorých sa očakáva ukončenie VŠ vzdelania, prekročil 40 % cieľ Stratégie</w:t>
      </w:r>
      <w:r w:rsidR="004650BC">
        <w:rPr>
          <w:rFonts w:ascii="Times New Roman" w:eastAsia="Calibri" w:hAnsi="Times New Roman" w:cs="Times New Roman"/>
        </w:rPr>
        <w:t xml:space="preserve"> EÚ</w:t>
      </w:r>
      <w:r w:rsidRPr="00086A6E">
        <w:rPr>
          <w:rFonts w:ascii="Times New Roman" w:eastAsia="Calibri" w:hAnsi="Times New Roman" w:cs="Times New Roman"/>
        </w:rPr>
        <w:t xml:space="preserve"> 2020. V porovnaní s inými krajinami OECD má však Slovensko nízky podiel mladých dospelých končiacich vzdelanie s titulom bakalára, veľký podiel študentov pokračuje v štúdiu na druhom stupni. </w:t>
      </w:r>
      <w:r w:rsidRPr="00086A6E">
        <w:rPr>
          <w:rFonts w:ascii="Times New Roman" w:hAnsi="Times New Roman" w:cs="Times New Roman"/>
          <w:bCs/>
          <w:color w:val="000000"/>
        </w:rPr>
        <w:t>Revízia výdavkov na vzdelávanie preto odporučila:</w:t>
      </w:r>
    </w:p>
    <w:p w:rsidR="00D2350F" w:rsidRPr="00086A6E" w:rsidRDefault="00D2350F" w:rsidP="00D2350F">
      <w:pPr>
        <w:numPr>
          <w:ilvl w:val="0"/>
          <w:numId w:val="12"/>
        </w:numPr>
        <w:ind w:left="284" w:right="-20" w:hanging="284"/>
        <w:contextualSpacing/>
        <w:jc w:val="both"/>
        <w:rPr>
          <w:rFonts w:ascii="Times New Roman" w:hAnsi="Times New Roman" w:cs="Times New Roman"/>
          <w:color w:val="000000"/>
          <w:lang w:eastAsia="sk-SK"/>
        </w:rPr>
      </w:pPr>
      <w:r w:rsidRPr="00086A6E">
        <w:rPr>
          <w:rFonts w:ascii="Times New Roman" w:hAnsi="Times New Roman" w:cs="Times New Roman"/>
          <w:color w:val="000000"/>
          <w:lang w:eastAsia="sk-SK"/>
        </w:rPr>
        <w:t>prijať opatrenia na zvýšenie podielu bakalárskych študentov, ktorí nepokračujú v magisterskom štúdiu,</w:t>
      </w:r>
    </w:p>
    <w:p w:rsidR="00D2350F" w:rsidRPr="00086A6E" w:rsidRDefault="00D2350F" w:rsidP="00D2350F">
      <w:pPr>
        <w:numPr>
          <w:ilvl w:val="0"/>
          <w:numId w:val="12"/>
        </w:numPr>
        <w:ind w:left="284" w:right="-20" w:hanging="284"/>
        <w:contextualSpacing/>
        <w:jc w:val="both"/>
        <w:rPr>
          <w:rFonts w:ascii="Times New Roman" w:hAnsi="Times New Roman" w:cs="Times New Roman"/>
          <w:color w:val="000000"/>
          <w:lang w:eastAsia="sk-SK"/>
        </w:rPr>
      </w:pPr>
      <w:r w:rsidRPr="00086A6E">
        <w:rPr>
          <w:rFonts w:ascii="Times New Roman" w:hAnsi="Times New Roman" w:cs="Times New Roman"/>
          <w:color w:val="000000"/>
          <w:lang w:eastAsia="sk-SK"/>
        </w:rPr>
        <w:t>upraviť podmienky pre realizáciu profesijne orientovaných bakalárskych programov.</w:t>
      </w:r>
    </w:p>
    <w:p w:rsidR="00D2350F" w:rsidRPr="00086A6E" w:rsidRDefault="00D2350F" w:rsidP="00D2350F">
      <w:pPr>
        <w:ind w:left="284" w:right="-20"/>
        <w:contextualSpacing/>
        <w:jc w:val="both"/>
        <w:rPr>
          <w:rFonts w:ascii="Times New Roman" w:hAnsi="Times New Roman" w:cs="Times New Roman"/>
          <w:color w:val="000000"/>
          <w:lang w:eastAsia="sk-SK"/>
        </w:rPr>
      </w:pPr>
    </w:p>
    <w:p w:rsidR="00D2350F" w:rsidRPr="00086A6E" w:rsidRDefault="00D2350F" w:rsidP="00D2350F">
      <w:pPr>
        <w:ind w:firstLine="709"/>
        <w:jc w:val="both"/>
        <w:rPr>
          <w:rFonts w:ascii="Times New Roman" w:hAnsi="Times New Roman" w:cs="Times New Roman"/>
        </w:rPr>
      </w:pPr>
      <w:r w:rsidRPr="00086A6E">
        <w:rPr>
          <w:rFonts w:ascii="Times New Roman" w:hAnsi="Times New Roman" w:cs="Times New Roman"/>
        </w:rPr>
        <w:t>MŠVVŠ SR</w:t>
      </w:r>
      <w:r w:rsidRPr="00086A6E" w:rsidDel="00B10505">
        <w:rPr>
          <w:rFonts w:ascii="Times New Roman" w:hAnsi="Times New Roman" w:cs="Times New Roman"/>
          <w:bCs/>
          <w:color w:val="000000"/>
        </w:rPr>
        <w:t xml:space="preserve"> </w:t>
      </w:r>
      <w:r w:rsidRPr="00086A6E">
        <w:rPr>
          <w:rFonts w:ascii="Times New Roman" w:hAnsi="Times New Roman" w:cs="Times New Roman"/>
          <w:bCs/>
          <w:color w:val="000000"/>
        </w:rPr>
        <w:t xml:space="preserve">nedefinovalo kroky k zatraktívneniu bakalárskeho štúdia, a to ani pre študentov a zamestnávateľov, ani pre školy samotné. </w:t>
      </w:r>
      <w:r w:rsidR="00882A78">
        <w:rPr>
          <w:rFonts w:ascii="Times New Roman" w:hAnsi="Times New Roman" w:cs="Times New Roman"/>
          <w:bCs/>
          <w:color w:val="000000"/>
        </w:rPr>
        <w:t xml:space="preserve">Priebežná implementačná správa konštatuje, že profesijne orientované bakalárske programy zatiaľ študuje iba 32 študentov. </w:t>
      </w:r>
      <w:r w:rsidRPr="00086A6E">
        <w:rPr>
          <w:rFonts w:ascii="Times New Roman" w:hAnsi="Times New Roman" w:cs="Times New Roman"/>
          <w:bCs/>
          <w:color w:val="000000"/>
        </w:rPr>
        <w:t>Za</w:t>
      </w:r>
      <w:r w:rsidRPr="00086A6E">
        <w:rPr>
          <w:rFonts w:ascii="Times New Roman" w:hAnsi="Times New Roman" w:cs="Times New Roman"/>
        </w:rPr>
        <w:t xml:space="preserve"> účelom vytvorenia možnosti VŠ uchádzať sa o realizáciu profesijne orientovaných bakalárskych programov, MŠVVŠ SR schválilo dňa 13. 2. 2018 kritériá akreditácie profesijne orientovaných bakalárskych študijných programov vysokoškolského vzdelávania. </w:t>
      </w:r>
    </w:p>
    <w:p w:rsidR="00D2350F" w:rsidRPr="00086A6E" w:rsidRDefault="00D2350F" w:rsidP="00D2350F">
      <w:pPr>
        <w:ind w:right="-20"/>
        <w:rPr>
          <w:rFonts w:ascii="Times New Roman" w:hAnsi="Times New Roman" w:cs="Times New Roman"/>
          <w:bCs/>
          <w:color w:val="000000"/>
          <w:highlight w:val="yellow"/>
        </w:rPr>
      </w:pPr>
    </w:p>
    <w:p w:rsidR="00D2350F" w:rsidRPr="00086A6E" w:rsidRDefault="00D2350F" w:rsidP="00D2350F">
      <w:pPr>
        <w:ind w:right="-20"/>
        <w:rPr>
          <w:rFonts w:ascii="Times New Roman" w:hAnsi="Times New Roman" w:cs="Times New Roman"/>
          <w:bCs/>
          <w:color w:val="000000"/>
        </w:rPr>
      </w:pPr>
    </w:p>
    <w:tbl>
      <w:tblPr>
        <w:tblpPr w:leftFromText="141" w:rightFromText="141" w:vertAnchor="text" w:horzAnchor="margin" w:tblpYSpec="bottom"/>
        <w:tblW w:w="9072" w:type="dxa"/>
        <w:tblCellMar>
          <w:left w:w="70" w:type="dxa"/>
          <w:right w:w="70" w:type="dxa"/>
        </w:tblCellMar>
        <w:tblLook w:val="04A0" w:firstRow="1" w:lastRow="0" w:firstColumn="1" w:lastColumn="0" w:noHBand="0" w:noVBand="1"/>
      </w:tblPr>
      <w:tblGrid>
        <w:gridCol w:w="9072"/>
      </w:tblGrid>
      <w:tr w:rsidR="00D2350F" w:rsidRPr="00086A6E" w:rsidTr="00D2350F">
        <w:trPr>
          <w:trHeight w:val="70"/>
        </w:trPr>
        <w:tc>
          <w:tcPr>
            <w:tcW w:w="9072" w:type="dxa"/>
            <w:tcBorders>
              <w:bottom w:val="single" w:sz="4" w:space="0" w:color="auto"/>
            </w:tcBorders>
            <w:vAlign w:val="bottom"/>
          </w:tcPr>
          <w:p w:rsidR="00D2350F" w:rsidRPr="00086A6E" w:rsidRDefault="00D2350F" w:rsidP="00D2350F">
            <w:pPr>
              <w:keepNext/>
              <w:ind w:right="-20"/>
              <w:rPr>
                <w:rFonts w:ascii="Times New Roman" w:hAnsi="Times New Roman" w:cs="Times New Roman"/>
                <w:noProof/>
                <w:sz w:val="18"/>
                <w:szCs w:val="18"/>
              </w:rPr>
            </w:pPr>
            <w:bookmarkStart w:id="87" w:name="_Toc487200860"/>
            <w:r w:rsidRPr="00086A6E">
              <w:rPr>
                <w:rFonts w:ascii="Times New Roman" w:hAnsi="Times New Roman" w:cs="Times New Roman"/>
                <w:b/>
                <w:sz w:val="18"/>
                <w:szCs w:val="18"/>
              </w:rPr>
              <w:lastRenderedPageBreak/>
              <w:t>Graf</w:t>
            </w:r>
            <w:r w:rsidRPr="00086A6E">
              <w:rPr>
                <w:rFonts w:ascii="Times New Roman" w:hAnsi="Times New Roman" w:cs="Times New Roman"/>
                <w:b/>
                <w:noProof/>
                <w:sz w:val="18"/>
                <w:szCs w:val="18"/>
              </w:rPr>
              <w:t xml:space="preserve">: </w:t>
            </w:r>
            <w:r w:rsidRPr="00086A6E">
              <w:rPr>
                <w:rFonts w:ascii="Times New Roman" w:eastAsia="Arial" w:hAnsi="Times New Roman" w:cs="Arial"/>
                <w:b/>
                <w:color w:val="000000"/>
                <w:sz w:val="18"/>
                <w:szCs w:val="18"/>
                <w:lang w:val="fr-FR" w:eastAsia="fr-FR" w:bidi="fr-FR"/>
              </w:rPr>
              <w:t>Podiel populácie podľa najvyššieho dosiahnutého vysokoškolského vzdelania (2015)</w:t>
            </w:r>
            <w:bookmarkEnd w:id="87"/>
            <w:r w:rsidRPr="00086A6E">
              <w:rPr>
                <w:rFonts w:ascii="Times New Roman" w:eastAsia="Arial" w:hAnsi="Times New Roman" w:cs="Arial"/>
                <w:color w:val="000000"/>
                <w:sz w:val="18"/>
                <w:szCs w:val="18"/>
                <w:lang w:val="fr-FR" w:eastAsia="fr-FR" w:bidi="fr-FR"/>
              </w:rPr>
              <w:t xml:space="preserve"> </w:t>
            </w:r>
          </w:p>
        </w:tc>
      </w:tr>
      <w:tr w:rsidR="00D2350F" w:rsidRPr="00086A6E" w:rsidTr="00D2350F">
        <w:trPr>
          <w:trHeight w:val="3041"/>
        </w:trPr>
        <w:tc>
          <w:tcPr>
            <w:tcW w:w="9072" w:type="dxa"/>
            <w:tcBorders>
              <w:top w:val="single" w:sz="4" w:space="0" w:color="auto"/>
              <w:bottom w:val="single" w:sz="4" w:space="0" w:color="auto"/>
            </w:tcBorders>
          </w:tcPr>
          <w:p w:rsidR="00D2350F" w:rsidRPr="00086A6E" w:rsidRDefault="00D2350F" w:rsidP="00D2350F">
            <w:pPr>
              <w:ind w:right="-20"/>
              <w:rPr>
                <w:rFonts w:ascii="Times New Roman" w:hAnsi="Times New Roman" w:cs="Times New Roman"/>
                <w:sz w:val="18"/>
                <w:szCs w:val="18"/>
                <w:highlight w:val="yellow"/>
              </w:rPr>
            </w:pPr>
            <w:r w:rsidRPr="00086A6E">
              <w:rPr>
                <w:rFonts w:ascii="Times New Roman" w:hAnsi="Times New Roman" w:cs="Times New Roman"/>
                <w:noProof/>
                <w:sz w:val="18"/>
                <w:szCs w:val="18"/>
                <w:lang w:eastAsia="sk-SK"/>
              </w:rPr>
              <w:drawing>
                <wp:inline distT="0" distB="0" distL="0" distR="0" wp14:anchorId="001140A0" wp14:editId="30E8DE18">
                  <wp:extent cx="5688330" cy="1978269"/>
                  <wp:effectExtent l="0" t="0" r="7620" b="3175"/>
                  <wp:docPr id="250" name="Graf 2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D2350F" w:rsidRPr="00086A6E" w:rsidTr="00D2350F">
        <w:tblPrEx>
          <w:tblCellMar>
            <w:left w:w="108" w:type="dxa"/>
            <w:right w:w="108" w:type="dxa"/>
          </w:tblCellMar>
        </w:tblPrEx>
        <w:tc>
          <w:tcPr>
            <w:tcW w:w="9072" w:type="dxa"/>
            <w:tcBorders>
              <w:top w:val="single" w:sz="4" w:space="0" w:color="auto"/>
            </w:tcBorders>
            <w:shd w:val="clear" w:color="auto" w:fill="auto"/>
          </w:tcPr>
          <w:p w:rsidR="00D2350F" w:rsidRPr="00086A6E" w:rsidRDefault="00D2350F" w:rsidP="00D2350F">
            <w:pPr>
              <w:ind w:right="-20"/>
              <w:jc w:val="right"/>
              <w:rPr>
                <w:rFonts w:ascii="Times New Roman" w:eastAsia="Calibri" w:hAnsi="Times New Roman" w:cs="Times New Roman"/>
                <w:bCs/>
                <w:i/>
                <w:sz w:val="18"/>
                <w:szCs w:val="18"/>
                <w:lang w:eastAsia="zh-TW"/>
              </w:rPr>
            </w:pPr>
            <w:r w:rsidRPr="00086A6E">
              <w:rPr>
                <w:rFonts w:ascii="Times New Roman" w:hAnsi="Times New Roman" w:cs="Times New Roman"/>
                <w:bCs/>
                <w:i/>
                <w:sz w:val="18"/>
                <w:szCs w:val="18"/>
                <w:lang w:eastAsia="zh-TW"/>
              </w:rPr>
              <w:t xml:space="preserve">Zdroj: </w:t>
            </w:r>
            <w:r w:rsidRPr="00086A6E">
              <w:rPr>
                <w:rFonts w:ascii="Times New Roman" w:eastAsia="Calibri" w:hAnsi="Times New Roman" w:cs="Times New Roman"/>
                <w:bCs/>
                <w:i/>
                <w:sz w:val="18"/>
                <w:szCs w:val="18"/>
                <w:lang w:eastAsia="zh-TW"/>
              </w:rPr>
              <w:t>Education at a Glance 2016, OECD</w:t>
            </w:r>
          </w:p>
        </w:tc>
      </w:tr>
    </w:tbl>
    <w:p w:rsidR="00D2350F" w:rsidRPr="00086A6E" w:rsidRDefault="00D2350F" w:rsidP="00D2350F">
      <w:pPr>
        <w:spacing w:line="240" w:lineRule="exact"/>
        <w:ind w:right="-23"/>
        <w:jc w:val="both"/>
        <w:rPr>
          <w:rFonts w:ascii="Times New Roman" w:eastAsia="Calibri" w:hAnsi="Times New Roman" w:cs="Times New Roman"/>
        </w:rPr>
      </w:pPr>
    </w:p>
    <w:p w:rsidR="00D2350F" w:rsidRPr="00086A6E" w:rsidRDefault="00D2350F" w:rsidP="00D2350F">
      <w:pPr>
        <w:ind w:firstLine="709"/>
        <w:jc w:val="both"/>
        <w:rPr>
          <w:rFonts w:ascii="Times New Roman" w:eastAsia="Calibri" w:hAnsi="Times New Roman" w:cs="Times New Roman"/>
        </w:rPr>
      </w:pPr>
      <w:r w:rsidRPr="00086A6E">
        <w:rPr>
          <w:rFonts w:ascii="Times New Roman" w:eastAsia="Calibri" w:hAnsi="Times New Roman" w:cs="Times New Roman"/>
        </w:rPr>
        <w:t xml:space="preserve">Vo vysokoškolskom vzdelávaní neexistuje štandardizované medzinárodné meranie kvality. Relatívne nižšiu kvalitu vysokoškolského vzdelávania spoločne naznačuje niekoľko zástupných indikátorov. Nepriamym indikátorom kvality vysokých škôl je napríklad voľba štúdia v zahraničí, ktoré si v roku 2016 vybral každý šiesty vysokoškolák (17 %). Ide o druhý najvyšší podiel medzi krajinami OECD. </w:t>
      </w:r>
    </w:p>
    <w:p w:rsidR="00D2350F" w:rsidRPr="00086A6E" w:rsidRDefault="00D2350F" w:rsidP="00D2350F">
      <w:pPr>
        <w:ind w:right="-23"/>
        <w:jc w:val="both"/>
        <w:rPr>
          <w:rFonts w:ascii="Times New Roman" w:hAnsi="Times New Roman" w:cs="Times New Roman"/>
        </w:rPr>
      </w:pPr>
    </w:p>
    <w:p w:rsidR="00D2350F" w:rsidRPr="00086A6E" w:rsidRDefault="00D2350F" w:rsidP="00D2350F">
      <w:pPr>
        <w:ind w:firstLine="709"/>
        <w:jc w:val="both"/>
        <w:rPr>
          <w:rFonts w:ascii="Times New Roman" w:eastAsia="Calibri" w:hAnsi="Times New Roman" w:cs="Times New Roman"/>
        </w:rPr>
      </w:pPr>
      <w:r w:rsidRPr="00086A6E">
        <w:rPr>
          <w:rFonts w:ascii="Times New Roman" w:hAnsi="Times New Roman" w:cs="Times New Roman"/>
        </w:rPr>
        <w:t>Na kvalitu vysokých  škôl má dohliadať Akreditačná komisia.  Avšak, ako komisia samotná, tak aj proces akreditácie na Slovensku nespĺňajú medzinárodné štandardy, pre otáznu garanciu nezávislosti a transparentnosti hodnotiacich procesov</w:t>
      </w:r>
      <w:r w:rsidRPr="00086A6E" w:rsidDel="0079084E">
        <w:rPr>
          <w:rFonts w:ascii="Times New Roman" w:hAnsi="Times New Roman" w:cs="Times New Roman"/>
        </w:rPr>
        <w:t xml:space="preserve"> </w:t>
      </w:r>
      <w:r w:rsidRPr="00086A6E">
        <w:rPr>
          <w:rFonts w:ascii="Times New Roman" w:hAnsi="Times New Roman" w:cs="Times New Roman"/>
        </w:rPr>
        <w:t>stratila komisia v roku 2012 plnohodnotné členstvo v európskom združení akreditačných komisií (ENQA). Navyše je súčasný akreditačný proces aj administratívne náročný, čo zvyšuje riziko formalizmu pri hodnotení VŠ.</w:t>
      </w:r>
      <w:r w:rsidRPr="00086A6E">
        <w:rPr>
          <w:rFonts w:ascii="Times New Roman" w:hAnsi="Times New Roman" w:cs="Times New Roman"/>
          <w:b/>
        </w:rPr>
        <w:t xml:space="preserve"> </w:t>
      </w:r>
      <w:r w:rsidRPr="00086A6E">
        <w:rPr>
          <w:rFonts w:ascii="Times New Roman" w:hAnsi="Times New Roman" w:cs="Times New Roman"/>
        </w:rPr>
        <w:t>Systém financovania vysokoškolskej vedy zase poznačuje slabá väzba na kvalitu výstupov a nízky podiel súťažných grantov. Revízia výdavkov odporučila:</w:t>
      </w:r>
    </w:p>
    <w:p w:rsidR="00D2350F" w:rsidRPr="00086A6E" w:rsidRDefault="00D2350F" w:rsidP="00D2350F">
      <w:pPr>
        <w:numPr>
          <w:ilvl w:val="0"/>
          <w:numId w:val="12"/>
        </w:numPr>
        <w:ind w:left="284" w:right="-23" w:hanging="284"/>
        <w:contextualSpacing/>
        <w:jc w:val="both"/>
        <w:rPr>
          <w:rFonts w:ascii="Times New Roman" w:hAnsi="Times New Roman" w:cs="Times New Roman"/>
          <w:color w:val="000000"/>
          <w:lang w:eastAsia="sk-SK"/>
        </w:rPr>
      </w:pPr>
      <w:r w:rsidRPr="00086A6E">
        <w:rPr>
          <w:rFonts w:ascii="Times New Roman" w:hAnsi="Times New Roman" w:cs="Times New Roman"/>
          <w:color w:val="000000"/>
          <w:lang w:eastAsia="sk-SK"/>
        </w:rPr>
        <w:t>reformovať proces akreditácie a akreditačnú autoritu v súlade s  ESG 2015,</w:t>
      </w:r>
    </w:p>
    <w:p w:rsidR="00D2350F" w:rsidRPr="00086A6E" w:rsidRDefault="00D2350F" w:rsidP="00D2350F">
      <w:pPr>
        <w:numPr>
          <w:ilvl w:val="0"/>
          <w:numId w:val="12"/>
        </w:numPr>
        <w:ind w:left="284" w:right="-23" w:hanging="284"/>
        <w:contextualSpacing/>
        <w:jc w:val="both"/>
        <w:rPr>
          <w:rFonts w:ascii="Times New Roman" w:hAnsi="Times New Roman" w:cs="Times New Roman"/>
          <w:bCs/>
          <w:color w:val="000000"/>
        </w:rPr>
      </w:pPr>
      <w:r w:rsidRPr="00086A6E">
        <w:rPr>
          <w:rFonts w:ascii="Times New Roman" w:hAnsi="Times New Roman" w:cs="Times New Roman"/>
          <w:color w:val="000000"/>
          <w:lang w:eastAsia="sk-SK"/>
        </w:rPr>
        <w:t>zaviesť tzv. „informed peer review“ hodnotenie tvorivej činnosti vysokých škôl,</w:t>
      </w:r>
    </w:p>
    <w:p w:rsidR="00D2350F" w:rsidRPr="00086A6E" w:rsidRDefault="00D2350F" w:rsidP="00D2350F">
      <w:pPr>
        <w:numPr>
          <w:ilvl w:val="0"/>
          <w:numId w:val="12"/>
        </w:numPr>
        <w:ind w:left="284" w:right="-23" w:hanging="284"/>
        <w:contextualSpacing/>
        <w:jc w:val="both"/>
        <w:rPr>
          <w:rFonts w:ascii="Times New Roman" w:hAnsi="Times New Roman" w:cs="Times New Roman"/>
          <w:b/>
          <w:bCs/>
          <w:color w:val="000000"/>
        </w:rPr>
      </w:pPr>
      <w:r w:rsidRPr="00086A6E">
        <w:rPr>
          <w:rFonts w:ascii="Times New Roman" w:hAnsi="Times New Roman" w:cs="Times New Roman"/>
          <w:color w:val="000000"/>
          <w:lang w:eastAsia="sk-SK"/>
        </w:rPr>
        <w:t>zvýšiť podiel súťažných grantov  (najmä APVV a VEGA) vo verejných výdavkoch na vedu.</w:t>
      </w:r>
    </w:p>
    <w:p w:rsidR="00D2350F" w:rsidRPr="00086A6E" w:rsidRDefault="00D2350F" w:rsidP="00D2350F">
      <w:pPr>
        <w:ind w:left="284" w:right="-23"/>
        <w:contextualSpacing/>
        <w:jc w:val="both"/>
        <w:rPr>
          <w:rFonts w:ascii="Times New Roman" w:hAnsi="Times New Roman" w:cs="Times New Roman"/>
          <w:b/>
          <w:bCs/>
          <w:color w:val="000000"/>
        </w:rPr>
      </w:pPr>
    </w:p>
    <w:p w:rsidR="00D2350F" w:rsidRPr="00086A6E" w:rsidRDefault="00D2350F" w:rsidP="00D2350F">
      <w:pPr>
        <w:ind w:firstLine="709"/>
        <w:jc w:val="both"/>
        <w:rPr>
          <w:rFonts w:ascii="Times New Roman" w:eastAsia="Calibri" w:hAnsi="Times New Roman" w:cs="Times New Roman"/>
        </w:rPr>
      </w:pPr>
      <w:r w:rsidRPr="00086A6E">
        <w:rPr>
          <w:rFonts w:ascii="Times New Roman" w:eastAsia="Calibri" w:hAnsi="Times New Roman" w:cs="Times New Roman"/>
          <w:color w:val="000000"/>
        </w:rPr>
        <w:t>Dňa 11. 9. 2018 NR SR schválila návrh zákona o zabezpečení kvality vysokoškolského vzdelávania.</w:t>
      </w:r>
      <w:r w:rsidRPr="00086A6E">
        <w:rPr>
          <w:rFonts w:ascii="Times New Roman" w:eastAsia="Calibri" w:hAnsi="Times New Roman" w:cs="Times New Roman"/>
        </w:rPr>
        <w:t xml:space="preserve"> Slovenská akreditačná agentúra (SAA) má nahradiť aktuálne fungujúcu Akreditačnú komisiu, získať predpoklady pre riadne členstvo v ENQA a pre zaradenie do EQAR.</w:t>
      </w:r>
      <w:r w:rsidRPr="00086A6E">
        <w:rPr>
          <w:rFonts w:ascii="Times New Roman" w:hAnsi="Times New Roman" w:cs="Times New Roman"/>
        </w:rPr>
        <w:t xml:space="preserve"> </w:t>
      </w:r>
      <w:r w:rsidRPr="00086A6E">
        <w:rPr>
          <w:rFonts w:ascii="Times New Roman" w:eastAsia="Calibri" w:hAnsi="Times New Roman" w:cs="Times New Roman"/>
        </w:rPr>
        <w:t xml:space="preserve">Súčasťou zákona je aj reforma systému akreditačného procesu, ktorá vychádza z implementácie ESG 2015. </w:t>
      </w:r>
    </w:p>
    <w:p w:rsidR="00D2350F" w:rsidRPr="00086A6E" w:rsidRDefault="00D2350F" w:rsidP="00D2350F">
      <w:pPr>
        <w:ind w:firstLine="709"/>
        <w:jc w:val="both"/>
        <w:rPr>
          <w:rFonts w:ascii="Times New Roman" w:eastAsia="Calibri" w:hAnsi="Times New Roman" w:cs="Times New Roman"/>
        </w:rPr>
      </w:pPr>
    </w:p>
    <w:p w:rsidR="00D2350F" w:rsidRPr="00086A6E" w:rsidRDefault="00D2350F" w:rsidP="00D2350F">
      <w:pPr>
        <w:autoSpaceDE w:val="0"/>
        <w:autoSpaceDN w:val="0"/>
        <w:adjustRightInd w:val="0"/>
        <w:ind w:firstLine="709"/>
        <w:jc w:val="both"/>
        <w:rPr>
          <w:rFonts w:ascii="Times New Roman" w:eastAsia="Calibri" w:hAnsi="Times New Roman" w:cs="Times New Roman"/>
          <w:b/>
        </w:rPr>
      </w:pPr>
      <w:r w:rsidRPr="00086A6E">
        <w:rPr>
          <w:rFonts w:ascii="Times New Roman" w:hAnsi="Times New Roman" w:cs="Times New Roman"/>
        </w:rPr>
        <w:t xml:space="preserve">MŠVVŠ SR navrhlo zmenu systému pre komplexné hodnotenie výskumu na vysokých školách prostredníctvom novely zákona o vysokých školách, ktorú schválila vláda SR a následne NR SR. </w:t>
      </w:r>
      <w:r w:rsidRPr="00086A6E">
        <w:rPr>
          <w:rFonts w:ascii="Times New Roman" w:hAnsi="Times New Roman" w:cs="Times New Roman"/>
          <w:lang w:eastAsia="sk-SK"/>
        </w:rPr>
        <w:t xml:space="preserve">Periodické hodnotenie by malo zabezpečovať MŠVVŠ SR v spolupráci so skupinou (prioritne zahraničných) expertov. </w:t>
      </w:r>
    </w:p>
    <w:p w:rsidR="00D2350F" w:rsidRPr="00086A6E" w:rsidRDefault="00D2350F" w:rsidP="00D2350F">
      <w:pPr>
        <w:shd w:val="clear" w:color="auto" w:fill="FFFFFF"/>
        <w:jc w:val="both"/>
        <w:rPr>
          <w:rFonts w:ascii="Times New Roman" w:hAnsi="Times New Roman" w:cs="Times New Roman"/>
          <w:bCs/>
          <w:color w:val="000000"/>
        </w:rPr>
      </w:pPr>
    </w:p>
    <w:p w:rsidR="00D2350F" w:rsidRPr="00086A6E" w:rsidRDefault="00D2350F" w:rsidP="00D2350F">
      <w:pPr>
        <w:ind w:firstLine="709"/>
        <w:jc w:val="both"/>
        <w:rPr>
          <w:rFonts w:ascii="Times New Roman" w:hAnsi="Times New Roman" w:cs="Times New Roman"/>
        </w:rPr>
      </w:pPr>
      <w:r w:rsidRPr="00086A6E">
        <w:rPr>
          <w:rFonts w:ascii="Times New Roman" w:hAnsi="Times New Roman" w:cs="Times New Roman"/>
        </w:rPr>
        <w:t xml:space="preserve">Výdavky na študenta VŠ vďaka čerpaniu EÚ fondov vzrástli v roku 2015 na úroveň krajín OECD, prejavilo sa to najviac pri výdavkoch na vedu a výskum. </w:t>
      </w:r>
      <w:r w:rsidRPr="00086A6E">
        <w:rPr>
          <w:rFonts w:ascii="Times New Roman" w:hAnsi="Times New Roman" w:cs="Times New Roman"/>
          <w:bCs/>
          <w:color w:val="000000"/>
        </w:rPr>
        <w:t xml:space="preserve"> Nárast v roku 2015 bol nasledovaný poklesom v roku 2016, keď</w:t>
      </w:r>
      <w:r w:rsidRPr="00086A6E">
        <w:rPr>
          <w:rFonts w:ascii="Times New Roman" w:hAnsi="Times New Roman" w:cs="Times New Roman"/>
        </w:rPr>
        <w:t xml:space="preserve"> výdavky na vývoj a výskum na vysokých školách  tvorili opäť iba približne 0,2 % HDP.</w:t>
      </w:r>
    </w:p>
    <w:p w:rsidR="00D2350F" w:rsidRPr="00086A6E" w:rsidRDefault="00D2350F" w:rsidP="00D2350F">
      <w:pPr>
        <w:ind w:firstLine="709"/>
        <w:jc w:val="both"/>
        <w:rPr>
          <w:color w:val="000000"/>
        </w:rPr>
      </w:pPr>
      <w:r w:rsidRPr="00086A6E">
        <w:rPr>
          <w:rFonts w:ascii="Times New Roman" w:hAnsi="Times New Roman" w:cs="Times New Roman"/>
        </w:rPr>
        <w:t xml:space="preserve"> </w:t>
      </w:r>
    </w:p>
    <w:tbl>
      <w:tblPr>
        <w:tblW w:w="8931" w:type="dxa"/>
        <w:tblLayout w:type="fixed"/>
        <w:tblCellMar>
          <w:left w:w="70" w:type="dxa"/>
          <w:right w:w="70" w:type="dxa"/>
        </w:tblCellMar>
        <w:tblLook w:val="04A0" w:firstRow="1" w:lastRow="0" w:firstColumn="1" w:lastColumn="0" w:noHBand="0" w:noVBand="1"/>
      </w:tblPr>
      <w:tblGrid>
        <w:gridCol w:w="4536"/>
        <w:gridCol w:w="4395"/>
      </w:tblGrid>
      <w:tr w:rsidR="00D2350F" w:rsidRPr="00086A6E" w:rsidTr="00D2350F">
        <w:trPr>
          <w:trHeight w:val="293"/>
        </w:trPr>
        <w:tc>
          <w:tcPr>
            <w:tcW w:w="4536" w:type="dxa"/>
            <w:tcBorders>
              <w:bottom w:val="single" w:sz="4" w:space="0" w:color="auto"/>
            </w:tcBorders>
            <w:vAlign w:val="center"/>
          </w:tcPr>
          <w:p w:rsidR="00D2350F" w:rsidRPr="00086A6E" w:rsidRDefault="00D2350F" w:rsidP="00D2350F">
            <w:pPr>
              <w:keepNext/>
              <w:spacing w:after="200"/>
              <w:ind w:right="-23"/>
              <w:rPr>
                <w:rFonts w:ascii="Times New Roman" w:eastAsia="Calibri" w:hAnsi="Times New Roman" w:cs="Times New Roman"/>
                <w:b/>
                <w:iCs/>
                <w:color w:val="1F497D"/>
                <w:sz w:val="20"/>
                <w:szCs w:val="18"/>
                <w:lang w:eastAsia="en-US"/>
              </w:rPr>
            </w:pPr>
            <w:bookmarkStart w:id="88" w:name="_Toc463337966"/>
            <w:bookmarkStart w:id="89" w:name="_Ref493165579"/>
            <w:r w:rsidRPr="00086A6E">
              <w:rPr>
                <w:rFonts w:ascii="Times New Roman" w:eastAsia="Calibri" w:hAnsi="Times New Roman" w:cs="Times New Roman"/>
                <w:b/>
                <w:iCs/>
                <w:sz w:val="18"/>
                <w:szCs w:val="18"/>
                <w:lang w:eastAsia="en-US"/>
              </w:rPr>
              <w:lastRenderedPageBreak/>
              <w:t>Graf</w:t>
            </w:r>
            <w:bookmarkEnd w:id="88"/>
            <w:bookmarkEnd w:id="89"/>
            <w:r w:rsidRPr="00086A6E">
              <w:rPr>
                <w:rFonts w:ascii="Times New Roman" w:eastAsia="Calibri" w:hAnsi="Times New Roman" w:cs="Times New Roman"/>
                <w:b/>
                <w:iCs/>
                <w:sz w:val="18"/>
                <w:szCs w:val="18"/>
                <w:lang w:eastAsia="en-US"/>
              </w:rPr>
              <w:t>: Ročné verejné výdavky na študenta VŠ (2015</w:t>
            </w:r>
            <w:r w:rsidRPr="00086A6E">
              <w:rPr>
                <w:rFonts w:ascii="Times New Roman" w:eastAsia="Calibri" w:hAnsi="Times New Roman" w:cs="Times New Roman"/>
                <w:b/>
                <w:iCs/>
                <w:color w:val="1F497D"/>
                <w:sz w:val="18"/>
                <w:szCs w:val="18"/>
                <w:lang w:eastAsia="en-US"/>
              </w:rPr>
              <w:t>)</w:t>
            </w:r>
          </w:p>
        </w:tc>
        <w:tc>
          <w:tcPr>
            <w:tcW w:w="4395" w:type="dxa"/>
            <w:tcBorders>
              <w:bottom w:val="single" w:sz="4" w:space="0" w:color="auto"/>
            </w:tcBorders>
            <w:vAlign w:val="center"/>
          </w:tcPr>
          <w:p w:rsidR="00D2350F" w:rsidRPr="00086A6E" w:rsidRDefault="00D2350F" w:rsidP="00D2350F">
            <w:pPr>
              <w:keepNext/>
              <w:spacing w:after="200"/>
              <w:ind w:right="-23"/>
              <w:rPr>
                <w:rFonts w:ascii="Times New Roman" w:eastAsia="Calibri" w:hAnsi="Times New Roman" w:cs="Times New Roman"/>
                <w:i/>
                <w:iCs/>
                <w:noProof/>
                <w:color w:val="1F497D"/>
                <w:sz w:val="20"/>
                <w:szCs w:val="18"/>
                <w:lang w:eastAsia="en-US"/>
              </w:rPr>
            </w:pPr>
            <w:bookmarkStart w:id="90" w:name="_Toc463337967"/>
            <w:r w:rsidRPr="00086A6E">
              <w:rPr>
                <w:rFonts w:ascii="Times New Roman" w:eastAsia="Calibri" w:hAnsi="Times New Roman" w:cs="Times New Roman"/>
                <w:b/>
                <w:iCs/>
                <w:sz w:val="18"/>
                <w:szCs w:val="18"/>
                <w:lang w:eastAsia="en-US"/>
              </w:rPr>
              <w:t>Graf</w:t>
            </w:r>
            <w:r w:rsidRPr="00086A6E">
              <w:rPr>
                <w:rFonts w:ascii="Times New Roman" w:eastAsia="Arial" w:hAnsi="Times New Roman" w:cs="Arial"/>
                <w:b/>
                <w:iCs/>
                <w:sz w:val="18"/>
                <w:szCs w:val="19"/>
                <w:lang w:val="fr-FR" w:eastAsia="fr-FR" w:bidi="fr-FR"/>
              </w:rPr>
              <w:t xml:space="preserve">: </w:t>
            </w:r>
            <w:bookmarkEnd w:id="90"/>
            <w:r w:rsidRPr="00086A6E">
              <w:rPr>
                <w:rFonts w:ascii="Times New Roman" w:eastAsia="Arial" w:hAnsi="Times New Roman" w:cs="Arial"/>
                <w:b/>
                <w:iCs/>
                <w:sz w:val="18"/>
                <w:szCs w:val="19"/>
                <w:lang w:val="fr-FR" w:eastAsia="fr-FR" w:bidi="fr-FR"/>
              </w:rPr>
              <w:t>Výdavky na výskum a  vývoj na VŠ (%HDP</w:t>
            </w:r>
            <w:r w:rsidRPr="00086A6E">
              <w:rPr>
                <w:rFonts w:ascii="Times New Roman" w:eastAsia="Arial" w:hAnsi="Times New Roman" w:cs="Arial"/>
                <w:i/>
                <w:iCs/>
                <w:color w:val="000000"/>
                <w:sz w:val="20"/>
                <w:szCs w:val="19"/>
                <w:lang w:val="fr-FR" w:eastAsia="fr-FR" w:bidi="fr-FR"/>
              </w:rPr>
              <w:t>)</w:t>
            </w:r>
          </w:p>
        </w:tc>
      </w:tr>
      <w:tr w:rsidR="00D2350F" w:rsidRPr="00086A6E" w:rsidTr="00D2350F">
        <w:trPr>
          <w:trHeight w:val="3119"/>
        </w:trPr>
        <w:tc>
          <w:tcPr>
            <w:tcW w:w="4536" w:type="dxa"/>
            <w:tcBorders>
              <w:top w:val="single" w:sz="4" w:space="0" w:color="auto"/>
              <w:bottom w:val="single" w:sz="4" w:space="0" w:color="auto"/>
            </w:tcBorders>
          </w:tcPr>
          <w:p w:rsidR="00D2350F" w:rsidRPr="00086A6E" w:rsidRDefault="00D2350F" w:rsidP="00D2350F">
            <w:pPr>
              <w:keepNext/>
              <w:ind w:right="-23"/>
              <w:jc w:val="both"/>
              <w:rPr>
                <w:rFonts w:ascii="Times New Roman" w:hAnsi="Times New Roman" w:cs="Times New Roman"/>
                <w:noProof/>
                <w:highlight w:val="green"/>
                <w:lang w:eastAsia="sk-SK"/>
              </w:rPr>
            </w:pPr>
            <w:r w:rsidRPr="00086A6E">
              <w:rPr>
                <w:noProof/>
                <w:lang w:eastAsia="sk-SK"/>
              </w:rPr>
              <w:drawing>
                <wp:inline distT="0" distB="0" distL="0" distR="0" wp14:anchorId="709CF963" wp14:editId="51183B0F">
                  <wp:extent cx="2791460" cy="2030095"/>
                  <wp:effectExtent l="0" t="0" r="0" b="0"/>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395" w:type="dxa"/>
            <w:tcBorders>
              <w:top w:val="single" w:sz="4" w:space="0" w:color="auto"/>
              <w:bottom w:val="single" w:sz="4" w:space="0" w:color="auto"/>
            </w:tcBorders>
          </w:tcPr>
          <w:p w:rsidR="00D2350F" w:rsidRPr="00086A6E" w:rsidRDefault="00D2350F" w:rsidP="00D2350F">
            <w:pPr>
              <w:keepNext/>
              <w:ind w:right="-23"/>
              <w:jc w:val="both"/>
              <w:rPr>
                <w:rFonts w:ascii="Times New Roman" w:hAnsi="Times New Roman" w:cs="Times New Roman"/>
                <w:noProof/>
                <w:sz w:val="18"/>
                <w:highlight w:val="green"/>
                <w:lang w:eastAsia="sk-SK"/>
              </w:rPr>
            </w:pPr>
            <w:r w:rsidRPr="00086A6E">
              <w:rPr>
                <w:rFonts w:ascii="Times New Roman" w:hAnsi="Times New Roman" w:cs="Times New Roman"/>
                <w:noProof/>
                <w:sz w:val="18"/>
                <w:lang w:eastAsia="sk-SK"/>
              </w:rPr>
              <w:drawing>
                <wp:inline distT="0" distB="0" distL="0" distR="0" wp14:anchorId="299E7E1A" wp14:editId="40586225">
                  <wp:extent cx="2686050" cy="2030095"/>
                  <wp:effectExtent l="0" t="0" r="0" b="0"/>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D2350F" w:rsidRPr="00086A6E" w:rsidTr="00D2350F">
        <w:tblPrEx>
          <w:tblCellMar>
            <w:left w:w="108" w:type="dxa"/>
            <w:right w:w="108" w:type="dxa"/>
          </w:tblCellMar>
        </w:tblPrEx>
        <w:trPr>
          <w:trHeight w:val="203"/>
        </w:trPr>
        <w:tc>
          <w:tcPr>
            <w:tcW w:w="4536" w:type="dxa"/>
            <w:tcBorders>
              <w:top w:val="single" w:sz="4" w:space="0" w:color="auto"/>
            </w:tcBorders>
          </w:tcPr>
          <w:p w:rsidR="00D2350F" w:rsidRPr="00086A6E" w:rsidRDefault="00D2350F" w:rsidP="00D2350F">
            <w:pPr>
              <w:keepNext/>
              <w:ind w:right="-23"/>
              <w:jc w:val="right"/>
              <w:rPr>
                <w:rFonts w:ascii="Times New Roman" w:eastAsia="Calibri" w:hAnsi="Times New Roman" w:cs="Times New Roman"/>
                <w:bCs/>
                <w:i/>
                <w:sz w:val="18"/>
                <w:lang w:eastAsia="zh-TW"/>
              </w:rPr>
            </w:pPr>
            <w:r w:rsidRPr="00086A6E">
              <w:rPr>
                <w:rFonts w:ascii="Times New Roman" w:eastAsia="Calibri" w:hAnsi="Times New Roman" w:cs="Times New Roman"/>
                <w:bCs/>
                <w:i/>
                <w:sz w:val="18"/>
                <w:lang w:eastAsia="zh-TW"/>
              </w:rPr>
              <w:t>Zdroj: OECD EAG 2018</w:t>
            </w:r>
          </w:p>
        </w:tc>
        <w:tc>
          <w:tcPr>
            <w:tcW w:w="4395" w:type="dxa"/>
            <w:tcBorders>
              <w:top w:val="single" w:sz="4" w:space="0" w:color="auto"/>
            </w:tcBorders>
          </w:tcPr>
          <w:p w:rsidR="00D2350F" w:rsidRPr="00086A6E" w:rsidRDefault="00D2350F" w:rsidP="00D2350F">
            <w:pPr>
              <w:keepNext/>
              <w:ind w:right="-23"/>
              <w:jc w:val="right"/>
              <w:rPr>
                <w:rFonts w:ascii="Times New Roman" w:eastAsia="Calibri" w:hAnsi="Times New Roman" w:cs="Times New Roman"/>
                <w:bCs/>
                <w:i/>
                <w:sz w:val="18"/>
                <w:lang w:eastAsia="zh-TW"/>
              </w:rPr>
            </w:pPr>
            <w:r w:rsidRPr="00086A6E">
              <w:rPr>
                <w:rFonts w:ascii="Times New Roman" w:eastAsia="Calibri" w:hAnsi="Times New Roman" w:cs="Times New Roman"/>
                <w:bCs/>
                <w:i/>
                <w:sz w:val="18"/>
                <w:lang w:eastAsia="zh-TW"/>
              </w:rPr>
              <w:t>Zdroj: Eurostat</w:t>
            </w:r>
          </w:p>
        </w:tc>
      </w:tr>
    </w:tbl>
    <w:p w:rsidR="00D2350F" w:rsidRPr="00086A6E" w:rsidRDefault="00D2350F" w:rsidP="00D2350F">
      <w:pPr>
        <w:spacing w:line="276" w:lineRule="auto"/>
        <w:jc w:val="both"/>
        <w:rPr>
          <w:rFonts w:ascii="Times New Roman" w:hAnsi="Times New Roman" w:cs="Times New Roman"/>
        </w:rPr>
      </w:pPr>
    </w:p>
    <w:tbl>
      <w:tblPr>
        <w:tblW w:w="5220" w:type="pct"/>
        <w:tblCellMar>
          <w:left w:w="70" w:type="dxa"/>
          <w:right w:w="70" w:type="dxa"/>
        </w:tblCellMar>
        <w:tblLook w:val="04A0" w:firstRow="1" w:lastRow="0" w:firstColumn="1" w:lastColumn="0" w:noHBand="0" w:noVBand="1"/>
      </w:tblPr>
      <w:tblGrid>
        <w:gridCol w:w="3189"/>
        <w:gridCol w:w="896"/>
        <w:gridCol w:w="896"/>
        <w:gridCol w:w="896"/>
        <w:gridCol w:w="896"/>
        <w:gridCol w:w="896"/>
        <w:gridCol w:w="896"/>
        <w:gridCol w:w="896"/>
      </w:tblGrid>
      <w:tr w:rsidR="00D2350F" w:rsidRPr="00086A6E" w:rsidTr="00D2350F">
        <w:trPr>
          <w:trHeight w:hRule="exact" w:val="255"/>
        </w:trPr>
        <w:tc>
          <w:tcPr>
            <w:tcW w:w="3189" w:type="dxa"/>
            <w:tcBorders>
              <w:top w:val="single" w:sz="4" w:space="0" w:color="auto"/>
              <w:left w:val="single" w:sz="4" w:space="0" w:color="auto"/>
              <w:bottom w:val="single" w:sz="4" w:space="0" w:color="auto"/>
              <w:right w:val="single" w:sz="4" w:space="0" w:color="auto"/>
            </w:tcBorders>
            <w:shd w:val="pct35" w:color="000000" w:fill="auto"/>
            <w:noWrap/>
            <w:vAlign w:val="center"/>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 eurách</w:t>
            </w:r>
          </w:p>
        </w:tc>
        <w:tc>
          <w:tcPr>
            <w:tcW w:w="896" w:type="dxa"/>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2016 S</w:t>
            </w:r>
          </w:p>
        </w:tc>
        <w:tc>
          <w:tcPr>
            <w:tcW w:w="896" w:type="dxa"/>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2017 S</w:t>
            </w:r>
          </w:p>
        </w:tc>
        <w:tc>
          <w:tcPr>
            <w:tcW w:w="896" w:type="dxa"/>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R</w:t>
            </w:r>
          </w:p>
        </w:tc>
        <w:tc>
          <w:tcPr>
            <w:tcW w:w="896" w:type="dxa"/>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OS</w:t>
            </w:r>
          </w:p>
        </w:tc>
        <w:tc>
          <w:tcPr>
            <w:tcW w:w="896" w:type="dxa"/>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2019 N</w:t>
            </w:r>
          </w:p>
        </w:tc>
        <w:tc>
          <w:tcPr>
            <w:tcW w:w="896" w:type="dxa"/>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2020 N</w:t>
            </w:r>
          </w:p>
        </w:tc>
        <w:tc>
          <w:tcPr>
            <w:tcW w:w="896" w:type="dxa"/>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2021 N</w:t>
            </w:r>
          </w:p>
        </w:tc>
      </w:tr>
      <w:tr w:rsidR="00D2350F" w:rsidRPr="00086A6E" w:rsidTr="00D2350F">
        <w:trPr>
          <w:trHeight w:hRule="exact" w:val="255"/>
        </w:trPr>
        <w:tc>
          <w:tcPr>
            <w:tcW w:w="3189" w:type="dxa"/>
            <w:tcBorders>
              <w:top w:val="single" w:sz="4" w:space="0" w:color="auto"/>
              <w:left w:val="single" w:sz="4" w:space="0" w:color="auto"/>
              <w:bottom w:val="single" w:sz="4" w:space="0" w:color="auto"/>
              <w:right w:val="single" w:sz="4" w:space="0" w:color="auto"/>
            </w:tcBorders>
            <w:shd w:val="pct25" w:color="000000"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Výdavky pre VVŠ spolu cez MŠVVŠ SR</w:t>
            </w:r>
          </w:p>
        </w:tc>
        <w:tc>
          <w:tcPr>
            <w:tcW w:w="896" w:type="dxa"/>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498 770 139</w:t>
            </w:r>
          </w:p>
        </w:tc>
        <w:tc>
          <w:tcPr>
            <w:tcW w:w="896" w:type="dxa"/>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497 086 191</w:t>
            </w:r>
          </w:p>
        </w:tc>
        <w:tc>
          <w:tcPr>
            <w:tcW w:w="896" w:type="dxa"/>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509 795 976</w:t>
            </w:r>
          </w:p>
        </w:tc>
        <w:tc>
          <w:tcPr>
            <w:tcW w:w="896" w:type="dxa"/>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544 611 874</w:t>
            </w:r>
          </w:p>
        </w:tc>
        <w:tc>
          <w:tcPr>
            <w:tcW w:w="896" w:type="dxa"/>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520 542 102</w:t>
            </w:r>
          </w:p>
        </w:tc>
        <w:tc>
          <w:tcPr>
            <w:tcW w:w="896" w:type="dxa"/>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520 524 941</w:t>
            </w:r>
          </w:p>
        </w:tc>
        <w:tc>
          <w:tcPr>
            <w:tcW w:w="896" w:type="dxa"/>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520 524 941</w:t>
            </w:r>
          </w:p>
        </w:tc>
      </w:tr>
      <w:tr w:rsidR="00D2350F" w:rsidRPr="00086A6E" w:rsidTr="00D2350F">
        <w:trPr>
          <w:trHeight w:hRule="exact" w:val="255"/>
        </w:trPr>
        <w:tc>
          <w:tcPr>
            <w:tcW w:w="3189"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4650BC">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Verejné vysoké školy cez MŠVVŠ SR</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495 650 667</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489 936 351</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502 257 379</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536 642 393</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512 857 149</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512 839 988</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512 839 988</w:t>
            </w:r>
          </w:p>
        </w:tc>
      </w:tr>
      <w:tr w:rsidR="00D2350F" w:rsidRPr="00086A6E" w:rsidTr="00D2350F">
        <w:trPr>
          <w:trHeight w:hRule="exact" w:val="255"/>
        </w:trPr>
        <w:tc>
          <w:tcPr>
            <w:tcW w:w="3189"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Štipendiá pre zahraničných študentov cez MŠVVŠ SR</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1 187 484</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1 040 985</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996 046</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1 070 200</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996 046</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996 046</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996 046</w:t>
            </w:r>
          </w:p>
        </w:tc>
      </w:tr>
      <w:tr w:rsidR="00D2350F" w:rsidRPr="00086A6E" w:rsidTr="00D2350F">
        <w:trPr>
          <w:trHeight w:hRule="exact" w:val="255"/>
        </w:trPr>
        <w:tc>
          <w:tcPr>
            <w:tcW w:w="3189"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4650BC">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Oficiálna rozvojová pomoc</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1 931 988</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1 954 950</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1 883 167</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1 973 167</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1 973 167</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1 973 167</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1 973 167</w:t>
            </w:r>
          </w:p>
        </w:tc>
      </w:tr>
      <w:tr w:rsidR="00D2350F" w:rsidRPr="00086A6E" w:rsidTr="00D2350F">
        <w:trPr>
          <w:trHeight w:hRule="exact" w:val="255"/>
        </w:trPr>
        <w:tc>
          <w:tcPr>
            <w:tcW w:w="3189"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4650BC">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Informačné technológie vo VŠ</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4 153 905</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4 659 384</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4 926 114</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4 715 740</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4 715 740</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4 715 740</w:t>
            </w:r>
          </w:p>
        </w:tc>
      </w:tr>
      <w:tr w:rsidR="00D2350F" w:rsidRPr="00086A6E" w:rsidTr="00D2350F">
        <w:trPr>
          <w:trHeight w:hRule="exact" w:val="255"/>
        </w:trPr>
        <w:tc>
          <w:tcPr>
            <w:tcW w:w="3189"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Rezortné vysokoškolské vzdelávanie*</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25 131 355</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28 594 453</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27 791 204</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31 588 985</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28 919 834</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32 189 833</w:t>
            </w:r>
          </w:p>
        </w:tc>
        <w:tc>
          <w:tcPr>
            <w:tcW w:w="896"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33 820 892</w:t>
            </w:r>
          </w:p>
        </w:tc>
      </w:tr>
      <w:tr w:rsidR="00D2350F" w:rsidRPr="00086A6E" w:rsidTr="00D2350F">
        <w:trPr>
          <w:trHeight w:hRule="exact" w:val="255"/>
        </w:trPr>
        <w:tc>
          <w:tcPr>
            <w:tcW w:w="3189" w:type="dxa"/>
            <w:tcBorders>
              <w:top w:val="single" w:sz="4" w:space="0" w:color="auto"/>
              <w:left w:val="single" w:sz="4" w:space="0" w:color="auto"/>
              <w:bottom w:val="single" w:sz="4" w:space="0" w:color="auto"/>
              <w:right w:val="single" w:sz="4" w:space="0" w:color="auto"/>
            </w:tcBorders>
            <w:shd w:val="pct25" w:color="000000" w:fill="auto"/>
            <w:noWrap/>
            <w:vAlign w:val="bottom"/>
            <w:hideMark/>
          </w:tcPr>
          <w:p w:rsidR="00D2350F" w:rsidRPr="00591655" w:rsidRDefault="00D2350F" w:rsidP="00D2350F">
            <w:pPr>
              <w:rPr>
                <w:rFonts w:ascii="Times New Roman" w:hAnsi="Times New Roman" w:cs="Times New Roman"/>
                <w:b/>
                <w:bCs/>
                <w:sz w:val="14"/>
                <w:szCs w:val="14"/>
                <w:lang w:eastAsia="sk-SK"/>
              </w:rPr>
            </w:pPr>
            <w:r w:rsidRPr="00591655">
              <w:rPr>
                <w:rFonts w:ascii="Times New Roman" w:hAnsi="Times New Roman" w:cs="Times New Roman"/>
                <w:b/>
                <w:bCs/>
                <w:sz w:val="14"/>
                <w:szCs w:val="14"/>
                <w:lang w:eastAsia="sk-SK"/>
              </w:rPr>
              <w:t xml:space="preserve">Výdavky štátneho rozpočtu na VŠ spolu </w:t>
            </w:r>
          </w:p>
        </w:tc>
        <w:tc>
          <w:tcPr>
            <w:tcW w:w="896" w:type="dxa"/>
            <w:tcBorders>
              <w:top w:val="single" w:sz="4" w:space="0" w:color="auto"/>
              <w:left w:val="single" w:sz="4" w:space="0" w:color="auto"/>
              <w:bottom w:val="single" w:sz="4" w:space="0" w:color="auto"/>
              <w:right w:val="single" w:sz="4" w:space="0" w:color="auto"/>
            </w:tcBorders>
            <w:shd w:val="pct25" w:color="000000" w:fill="auto"/>
            <w:noWrap/>
            <w:vAlign w:val="bottom"/>
            <w:hideMark/>
          </w:tcPr>
          <w:p w:rsidR="00D2350F" w:rsidRPr="00591655" w:rsidRDefault="00D2350F" w:rsidP="00D2350F">
            <w:pPr>
              <w:jc w:val="right"/>
              <w:rPr>
                <w:rFonts w:ascii="Times New Roman" w:hAnsi="Times New Roman" w:cs="Times New Roman"/>
                <w:b/>
                <w:color w:val="000000"/>
                <w:sz w:val="14"/>
                <w:szCs w:val="14"/>
                <w:lang w:eastAsia="sk-SK"/>
              </w:rPr>
            </w:pPr>
            <w:r w:rsidRPr="00591655">
              <w:rPr>
                <w:rFonts w:ascii="Times New Roman" w:hAnsi="Times New Roman" w:cs="Times New Roman"/>
                <w:b/>
                <w:color w:val="000000"/>
                <w:sz w:val="14"/>
                <w:szCs w:val="14"/>
              </w:rPr>
              <w:t>523 901 494</w:t>
            </w:r>
          </w:p>
        </w:tc>
        <w:tc>
          <w:tcPr>
            <w:tcW w:w="896" w:type="dxa"/>
            <w:tcBorders>
              <w:top w:val="single" w:sz="4" w:space="0" w:color="auto"/>
              <w:left w:val="nil"/>
              <w:bottom w:val="single" w:sz="4" w:space="0" w:color="auto"/>
              <w:right w:val="single" w:sz="4" w:space="0" w:color="auto"/>
            </w:tcBorders>
            <w:shd w:val="pct25" w:color="000000" w:fill="auto"/>
            <w:noWrap/>
            <w:vAlign w:val="bottom"/>
            <w:hideMark/>
          </w:tcPr>
          <w:p w:rsidR="00D2350F" w:rsidRPr="00591655" w:rsidRDefault="00D2350F" w:rsidP="00D2350F">
            <w:pPr>
              <w:jc w:val="right"/>
              <w:rPr>
                <w:rFonts w:ascii="Times New Roman" w:hAnsi="Times New Roman" w:cs="Times New Roman"/>
                <w:b/>
                <w:color w:val="000000"/>
                <w:sz w:val="14"/>
                <w:szCs w:val="14"/>
              </w:rPr>
            </w:pPr>
            <w:r w:rsidRPr="00591655">
              <w:rPr>
                <w:rFonts w:ascii="Times New Roman" w:hAnsi="Times New Roman" w:cs="Times New Roman"/>
                <w:b/>
                <w:color w:val="000000"/>
                <w:sz w:val="14"/>
                <w:szCs w:val="14"/>
              </w:rPr>
              <w:t>525 680 644</w:t>
            </w:r>
          </w:p>
        </w:tc>
        <w:tc>
          <w:tcPr>
            <w:tcW w:w="896" w:type="dxa"/>
            <w:tcBorders>
              <w:top w:val="single" w:sz="4" w:space="0" w:color="auto"/>
              <w:left w:val="nil"/>
              <w:bottom w:val="single" w:sz="4" w:space="0" w:color="auto"/>
              <w:right w:val="single" w:sz="4" w:space="0" w:color="auto"/>
            </w:tcBorders>
            <w:shd w:val="pct25" w:color="000000" w:fill="auto"/>
            <w:noWrap/>
            <w:vAlign w:val="bottom"/>
            <w:hideMark/>
          </w:tcPr>
          <w:p w:rsidR="00D2350F" w:rsidRPr="00591655" w:rsidRDefault="00D2350F" w:rsidP="00D2350F">
            <w:pPr>
              <w:jc w:val="right"/>
              <w:rPr>
                <w:rFonts w:ascii="Times New Roman" w:hAnsi="Times New Roman" w:cs="Times New Roman"/>
                <w:b/>
                <w:color w:val="000000"/>
                <w:sz w:val="14"/>
                <w:szCs w:val="14"/>
              </w:rPr>
            </w:pPr>
            <w:r w:rsidRPr="00591655">
              <w:rPr>
                <w:rFonts w:ascii="Times New Roman" w:hAnsi="Times New Roman" w:cs="Times New Roman"/>
                <w:b/>
                <w:color w:val="000000"/>
                <w:sz w:val="14"/>
                <w:szCs w:val="14"/>
              </w:rPr>
              <w:t>537 587 180</w:t>
            </w:r>
          </w:p>
        </w:tc>
        <w:tc>
          <w:tcPr>
            <w:tcW w:w="896" w:type="dxa"/>
            <w:tcBorders>
              <w:top w:val="single" w:sz="4" w:space="0" w:color="auto"/>
              <w:left w:val="nil"/>
              <w:bottom w:val="single" w:sz="4" w:space="0" w:color="auto"/>
              <w:right w:val="single" w:sz="4" w:space="0" w:color="auto"/>
            </w:tcBorders>
            <w:shd w:val="pct25" w:color="000000" w:fill="auto"/>
            <w:noWrap/>
            <w:vAlign w:val="bottom"/>
            <w:hideMark/>
          </w:tcPr>
          <w:p w:rsidR="00D2350F" w:rsidRPr="00591655" w:rsidRDefault="00D2350F" w:rsidP="00D2350F">
            <w:pPr>
              <w:jc w:val="right"/>
              <w:rPr>
                <w:rFonts w:ascii="Times New Roman" w:hAnsi="Times New Roman" w:cs="Times New Roman"/>
                <w:b/>
                <w:color w:val="000000"/>
                <w:sz w:val="14"/>
                <w:szCs w:val="14"/>
              </w:rPr>
            </w:pPr>
            <w:r w:rsidRPr="00591655">
              <w:rPr>
                <w:rFonts w:ascii="Times New Roman" w:hAnsi="Times New Roman" w:cs="Times New Roman"/>
                <w:b/>
                <w:color w:val="000000"/>
                <w:sz w:val="14"/>
                <w:szCs w:val="14"/>
              </w:rPr>
              <w:t>576 200 859</w:t>
            </w:r>
          </w:p>
        </w:tc>
        <w:tc>
          <w:tcPr>
            <w:tcW w:w="896" w:type="dxa"/>
            <w:tcBorders>
              <w:top w:val="single" w:sz="4" w:space="0" w:color="auto"/>
              <w:left w:val="nil"/>
              <w:bottom w:val="single" w:sz="4" w:space="0" w:color="auto"/>
              <w:right w:val="single" w:sz="4" w:space="0" w:color="auto"/>
            </w:tcBorders>
            <w:shd w:val="pct25" w:color="000000" w:fill="auto"/>
            <w:noWrap/>
            <w:vAlign w:val="bottom"/>
            <w:hideMark/>
          </w:tcPr>
          <w:p w:rsidR="00D2350F" w:rsidRPr="00591655" w:rsidRDefault="00D2350F" w:rsidP="00D2350F">
            <w:pPr>
              <w:jc w:val="right"/>
              <w:rPr>
                <w:rFonts w:ascii="Times New Roman" w:hAnsi="Times New Roman" w:cs="Times New Roman"/>
                <w:b/>
                <w:color w:val="000000"/>
                <w:sz w:val="14"/>
                <w:szCs w:val="14"/>
              </w:rPr>
            </w:pPr>
            <w:r w:rsidRPr="00591655">
              <w:rPr>
                <w:rFonts w:ascii="Times New Roman" w:hAnsi="Times New Roman" w:cs="Times New Roman"/>
                <w:b/>
                <w:color w:val="000000"/>
                <w:sz w:val="14"/>
                <w:szCs w:val="14"/>
              </w:rPr>
              <w:t>549 461 936</w:t>
            </w:r>
          </w:p>
        </w:tc>
        <w:tc>
          <w:tcPr>
            <w:tcW w:w="896" w:type="dxa"/>
            <w:tcBorders>
              <w:top w:val="single" w:sz="4" w:space="0" w:color="auto"/>
              <w:left w:val="nil"/>
              <w:bottom w:val="single" w:sz="4" w:space="0" w:color="auto"/>
              <w:right w:val="single" w:sz="4" w:space="0" w:color="auto"/>
            </w:tcBorders>
            <w:shd w:val="pct25" w:color="000000" w:fill="auto"/>
            <w:noWrap/>
            <w:vAlign w:val="bottom"/>
            <w:hideMark/>
          </w:tcPr>
          <w:p w:rsidR="00D2350F" w:rsidRPr="00591655" w:rsidRDefault="00D2350F" w:rsidP="00D2350F">
            <w:pPr>
              <w:jc w:val="right"/>
              <w:rPr>
                <w:rFonts w:ascii="Times New Roman" w:hAnsi="Times New Roman" w:cs="Times New Roman"/>
                <w:b/>
                <w:color w:val="000000"/>
                <w:sz w:val="14"/>
                <w:szCs w:val="14"/>
              </w:rPr>
            </w:pPr>
            <w:r w:rsidRPr="00591655">
              <w:rPr>
                <w:rFonts w:ascii="Times New Roman" w:hAnsi="Times New Roman" w:cs="Times New Roman"/>
                <w:b/>
                <w:color w:val="000000"/>
                <w:sz w:val="14"/>
                <w:szCs w:val="14"/>
              </w:rPr>
              <w:t>552 714 774</w:t>
            </w:r>
          </w:p>
        </w:tc>
        <w:tc>
          <w:tcPr>
            <w:tcW w:w="896" w:type="dxa"/>
            <w:tcBorders>
              <w:top w:val="single" w:sz="4" w:space="0" w:color="auto"/>
              <w:left w:val="nil"/>
              <w:bottom w:val="single" w:sz="4" w:space="0" w:color="auto"/>
              <w:right w:val="single" w:sz="4" w:space="0" w:color="auto"/>
            </w:tcBorders>
            <w:shd w:val="pct25" w:color="000000" w:fill="auto"/>
            <w:noWrap/>
            <w:vAlign w:val="bottom"/>
            <w:hideMark/>
          </w:tcPr>
          <w:p w:rsidR="00D2350F" w:rsidRPr="00591655" w:rsidRDefault="00D2350F" w:rsidP="00D2350F">
            <w:pPr>
              <w:jc w:val="right"/>
              <w:rPr>
                <w:rFonts w:ascii="Times New Roman" w:hAnsi="Times New Roman" w:cs="Times New Roman"/>
                <w:b/>
                <w:color w:val="000000"/>
                <w:sz w:val="14"/>
                <w:szCs w:val="14"/>
              </w:rPr>
            </w:pPr>
            <w:r w:rsidRPr="00591655">
              <w:rPr>
                <w:rFonts w:ascii="Times New Roman" w:hAnsi="Times New Roman" w:cs="Times New Roman"/>
                <w:b/>
                <w:color w:val="000000"/>
                <w:sz w:val="14"/>
                <w:szCs w:val="14"/>
              </w:rPr>
              <w:t>554 345 833</w:t>
            </w:r>
          </w:p>
        </w:tc>
      </w:tr>
    </w:tbl>
    <w:p w:rsidR="00D2350F" w:rsidRPr="00086A6E" w:rsidRDefault="00D2350F" w:rsidP="00D2350F">
      <w:pPr>
        <w:spacing w:after="200" w:line="276" w:lineRule="auto"/>
        <w:jc w:val="both"/>
        <w:rPr>
          <w:rFonts w:ascii="Times New Roman" w:hAnsi="Times New Roman" w:cs="Times New Roman"/>
          <w:sz w:val="14"/>
          <w:szCs w:val="14"/>
        </w:rPr>
      </w:pPr>
      <w:r w:rsidRPr="00086A6E">
        <w:rPr>
          <w:rFonts w:ascii="Times New Roman" w:hAnsi="Times New Roman" w:cs="Times New Roman"/>
          <w:sz w:val="14"/>
          <w:szCs w:val="14"/>
        </w:rPr>
        <w:t>* Rezortné vysokoškolské vzdelávanie je zabezpečované cez Ministerstvo obrany SR, Ministerstvo vnútra SR a Ministerstvo zdravotníctva SR.</w:t>
      </w:r>
    </w:p>
    <w:p w:rsidR="00D2350F" w:rsidRPr="00086A6E" w:rsidRDefault="00D2350F" w:rsidP="00D2350F">
      <w:pPr>
        <w:spacing w:after="200"/>
        <w:ind w:firstLine="708"/>
        <w:jc w:val="both"/>
        <w:rPr>
          <w:rFonts w:ascii="Times New Roman" w:hAnsi="Times New Roman" w:cs="Times New Roman"/>
          <w:szCs w:val="36"/>
        </w:rPr>
      </w:pPr>
      <w:r w:rsidRPr="00591655">
        <w:rPr>
          <w:rFonts w:ascii="Times New Roman" w:hAnsi="Times New Roman" w:cs="Times New Roman"/>
          <w:szCs w:val="36"/>
        </w:rPr>
        <w:t xml:space="preserve">Celkové zdroje na vysoké školstvo rozpočtované v kapitolách MŠVVŠ SR, MV SR, MO SR a MZ SR v roku 2019 sú v sume 549 mil. eur v  porovnaní so schváleným rozpočtom roku 2018 rastú o 11,9 mil. eur, t. j. o 2,21 %. </w:t>
      </w:r>
    </w:p>
    <w:p w:rsidR="00D2350F" w:rsidRPr="00086A6E" w:rsidRDefault="00D2350F" w:rsidP="00D2350F">
      <w:pPr>
        <w:spacing w:after="200"/>
        <w:ind w:firstLine="709"/>
        <w:jc w:val="both"/>
        <w:rPr>
          <w:rFonts w:ascii="Times New Roman" w:hAnsi="Times New Roman" w:cs="Times New Roman"/>
        </w:rPr>
      </w:pPr>
      <w:r w:rsidRPr="00086A6E">
        <w:rPr>
          <w:rFonts w:ascii="Times New Roman" w:hAnsi="Times New Roman" w:cs="Times New Roman"/>
        </w:rPr>
        <w:t xml:space="preserve">Výdavky štátneho rozpočtu na rok 2019 poskytované prostredníctvom kapitoly </w:t>
      </w:r>
      <w:r>
        <w:rPr>
          <w:rFonts w:ascii="Times New Roman" w:hAnsi="Times New Roman" w:cs="Times New Roman"/>
        </w:rPr>
        <w:br/>
      </w:r>
      <w:r w:rsidRPr="00086A6E">
        <w:rPr>
          <w:rFonts w:ascii="Times New Roman" w:hAnsi="Times New Roman" w:cs="Times New Roman"/>
        </w:rPr>
        <w:t>MŠVVŠ SR verejným vysokým školám sa rozpočtujú v sume 520 mil. eur, ktoré oproti schválenému rozpočtu roku 2018 rastú o 10,7 mil. eur, t. j. o 2,11 %. Výdavky rozpočtované na programe Vysokoškolské vzdelávanie a veda, sociálna podpora študentov vysokých škôl medziročne rastú o 10,6 mil. eur</w:t>
      </w:r>
      <w:r>
        <w:rPr>
          <w:rFonts w:ascii="Times New Roman" w:hAnsi="Times New Roman" w:cs="Times New Roman"/>
        </w:rPr>
        <w:t xml:space="preserve">, t. j. </w:t>
      </w:r>
      <w:r w:rsidRPr="00086A6E">
        <w:rPr>
          <w:rFonts w:ascii="Times New Roman" w:hAnsi="Times New Roman" w:cs="Times New Roman"/>
        </w:rPr>
        <w:t xml:space="preserve">o 2,11 %. Dôvodom tohto nárastu je zapracovanie valorizácie platov zamestnancov vrátane štipendií doktorandov z roku 2018 na úrovni 4,8 %, s výnimkou pedagogických zamestnancov a odborných zamestnancov a učiteľov vysokých škôl. Ďalej sú zapracované aj výdavky na zriadenie verejnoprávnej inštitúcie Slovenskej akreditačnej agentúry vyplývajúce zo schváleného zákona o zabezpečení kvality vysokoškolského vzdelávania a výdavky na stabilizačný príspevok pre študentov bakalárskeho študijného programu ošetrovateľstvo v študijnom odbore ošetrovateľstvo denná forma štúdia v zmysle UV č. 404/2018.   </w:t>
      </w:r>
    </w:p>
    <w:p w:rsidR="00D2350F" w:rsidRPr="00086A6E" w:rsidRDefault="00D2350F" w:rsidP="00D2350F">
      <w:pPr>
        <w:spacing w:after="200"/>
        <w:ind w:firstLine="708"/>
        <w:contextualSpacing/>
        <w:jc w:val="both"/>
        <w:rPr>
          <w:rFonts w:ascii="Times New Roman" w:hAnsi="Times New Roman" w:cs="Times New Roman"/>
        </w:rPr>
      </w:pPr>
      <w:r w:rsidRPr="00086A6E">
        <w:rPr>
          <w:rFonts w:ascii="Times New Roman" w:hAnsi="Times New Roman" w:cs="Times New Roman"/>
        </w:rPr>
        <w:t>Výdavky určené pre zahraničných študentov vrátane štipendií kopírujú úroveň schváleného rozpočtu roku 2018, výdavky na oficiálnu rozvojovú pomoc medziročne rastú o </w:t>
      </w:r>
      <w:r>
        <w:rPr>
          <w:rFonts w:ascii="Times New Roman" w:hAnsi="Times New Roman" w:cs="Times New Roman"/>
        </w:rPr>
        <w:br/>
      </w:r>
      <w:r w:rsidRPr="00086A6E">
        <w:rPr>
          <w:rFonts w:ascii="Times New Roman" w:hAnsi="Times New Roman" w:cs="Times New Roman"/>
        </w:rPr>
        <w:t>90 tis. eur a výdavky na informačné technológie rastú oproti schválenému rozpočtu roku 2018 o 56,4 tis. eur. Výdavky na rezortné vysoké školstvo v roku 2019 rastú oproti schválenému rozpočtu roku 2018 o 1,13 mil. eur</w:t>
      </w:r>
      <w:r>
        <w:rPr>
          <w:rFonts w:ascii="Times New Roman" w:hAnsi="Times New Roman" w:cs="Times New Roman"/>
        </w:rPr>
        <w:t>, t. j. o</w:t>
      </w:r>
      <w:r w:rsidRPr="00086A6E">
        <w:rPr>
          <w:rFonts w:ascii="Times New Roman" w:hAnsi="Times New Roman" w:cs="Times New Roman"/>
        </w:rPr>
        <w:t xml:space="preserve"> 4,06 %. </w:t>
      </w:r>
    </w:p>
    <w:p w:rsidR="00D2350F" w:rsidRPr="00086A6E" w:rsidRDefault="00D2350F" w:rsidP="00D2350F">
      <w:pPr>
        <w:spacing w:after="200"/>
        <w:ind w:firstLine="708"/>
        <w:contextualSpacing/>
        <w:jc w:val="both"/>
        <w:rPr>
          <w:rFonts w:ascii="Times New Roman" w:hAnsi="Times New Roman" w:cs="Times New Roman"/>
        </w:rPr>
      </w:pPr>
    </w:p>
    <w:p w:rsidR="00D2350F" w:rsidRPr="00086A6E" w:rsidRDefault="00D2350F" w:rsidP="00D2350F">
      <w:pPr>
        <w:spacing w:after="200"/>
        <w:ind w:firstLine="708"/>
        <w:contextualSpacing/>
        <w:jc w:val="both"/>
        <w:rPr>
          <w:rFonts w:ascii="Times New Roman" w:hAnsi="Times New Roman" w:cs="Times New Roman"/>
        </w:rPr>
      </w:pPr>
      <w:r w:rsidRPr="00086A6E">
        <w:rPr>
          <w:rFonts w:ascii="Times New Roman" w:hAnsi="Times New Roman" w:cs="Times New Roman"/>
        </w:rPr>
        <w:t>V rámci výdavkov pre verejné vysoké školy sú rozpočtované výdavky pre jednu rozpočtovú organizáciu a jednu príspevkovú organizáciu, ktoré vykonávajú činnosti súvisiace s verejnými vysokými školami.</w:t>
      </w:r>
    </w:p>
    <w:p w:rsidR="00D2350F" w:rsidRPr="00086A6E" w:rsidRDefault="00D2350F" w:rsidP="00D2350F">
      <w:pPr>
        <w:spacing w:after="200"/>
        <w:contextualSpacing/>
        <w:jc w:val="both"/>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3496"/>
        <w:gridCol w:w="796"/>
        <w:gridCol w:w="796"/>
        <w:gridCol w:w="796"/>
        <w:gridCol w:w="796"/>
        <w:gridCol w:w="796"/>
        <w:gridCol w:w="796"/>
        <w:gridCol w:w="790"/>
      </w:tblGrid>
      <w:tr w:rsidR="00D2350F" w:rsidRPr="00086A6E" w:rsidTr="00D2350F">
        <w:trPr>
          <w:trHeight w:hRule="exact" w:val="255"/>
        </w:trPr>
        <w:tc>
          <w:tcPr>
            <w:tcW w:w="1929" w:type="pct"/>
            <w:tcBorders>
              <w:top w:val="single" w:sz="4" w:space="0" w:color="auto"/>
              <w:left w:val="single" w:sz="4" w:space="0" w:color="auto"/>
              <w:bottom w:val="single" w:sz="4" w:space="0" w:color="auto"/>
              <w:right w:val="single" w:sz="4" w:space="0" w:color="auto"/>
            </w:tcBorders>
            <w:shd w:val="pct35" w:color="auto" w:fill="auto"/>
            <w:noWrap/>
            <w:vAlign w:val="center"/>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lastRenderedPageBreak/>
              <w:t>v eurách</w:t>
            </w:r>
          </w:p>
        </w:tc>
        <w:tc>
          <w:tcPr>
            <w:tcW w:w="439" w:type="pct"/>
            <w:tcBorders>
              <w:top w:val="single" w:sz="4" w:space="0" w:color="auto"/>
              <w:left w:val="nil"/>
              <w:bottom w:val="single" w:sz="4" w:space="0" w:color="auto"/>
              <w:right w:val="single" w:sz="4" w:space="0" w:color="auto"/>
            </w:tcBorders>
            <w:shd w:val="pct35" w:color="auto"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2016 S</w:t>
            </w:r>
          </w:p>
        </w:tc>
        <w:tc>
          <w:tcPr>
            <w:tcW w:w="439" w:type="pct"/>
            <w:tcBorders>
              <w:top w:val="single" w:sz="4" w:space="0" w:color="auto"/>
              <w:left w:val="nil"/>
              <w:bottom w:val="single" w:sz="4" w:space="0" w:color="auto"/>
              <w:right w:val="single" w:sz="4" w:space="0" w:color="auto"/>
            </w:tcBorders>
            <w:shd w:val="pct35" w:color="auto"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2017 S</w:t>
            </w:r>
          </w:p>
        </w:tc>
        <w:tc>
          <w:tcPr>
            <w:tcW w:w="439" w:type="pct"/>
            <w:tcBorders>
              <w:top w:val="single" w:sz="4" w:space="0" w:color="auto"/>
              <w:left w:val="nil"/>
              <w:bottom w:val="single" w:sz="4" w:space="0" w:color="auto"/>
              <w:right w:val="single" w:sz="4" w:space="0" w:color="auto"/>
            </w:tcBorders>
            <w:shd w:val="pct35" w:color="auto"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R</w:t>
            </w:r>
          </w:p>
        </w:tc>
        <w:tc>
          <w:tcPr>
            <w:tcW w:w="439" w:type="pct"/>
            <w:tcBorders>
              <w:top w:val="single" w:sz="4" w:space="0" w:color="auto"/>
              <w:left w:val="nil"/>
              <w:bottom w:val="single" w:sz="4" w:space="0" w:color="auto"/>
              <w:right w:val="single" w:sz="4" w:space="0" w:color="auto"/>
            </w:tcBorders>
            <w:shd w:val="pct35" w:color="auto"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OS</w:t>
            </w:r>
          </w:p>
        </w:tc>
        <w:tc>
          <w:tcPr>
            <w:tcW w:w="439" w:type="pct"/>
            <w:tcBorders>
              <w:top w:val="single" w:sz="4" w:space="0" w:color="auto"/>
              <w:left w:val="nil"/>
              <w:bottom w:val="single" w:sz="4" w:space="0" w:color="auto"/>
              <w:right w:val="single" w:sz="4" w:space="0" w:color="auto"/>
            </w:tcBorders>
            <w:shd w:val="pct35" w:color="auto"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2019 N</w:t>
            </w:r>
          </w:p>
        </w:tc>
        <w:tc>
          <w:tcPr>
            <w:tcW w:w="439" w:type="pct"/>
            <w:tcBorders>
              <w:top w:val="single" w:sz="4" w:space="0" w:color="auto"/>
              <w:left w:val="nil"/>
              <w:bottom w:val="single" w:sz="4" w:space="0" w:color="auto"/>
              <w:right w:val="single" w:sz="4" w:space="0" w:color="auto"/>
            </w:tcBorders>
            <w:shd w:val="pct35" w:color="auto"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2020 N</w:t>
            </w:r>
          </w:p>
        </w:tc>
        <w:tc>
          <w:tcPr>
            <w:tcW w:w="436" w:type="pct"/>
            <w:tcBorders>
              <w:top w:val="single" w:sz="4" w:space="0" w:color="auto"/>
              <w:left w:val="nil"/>
              <w:bottom w:val="single" w:sz="4" w:space="0" w:color="auto"/>
              <w:right w:val="single" w:sz="4" w:space="0" w:color="auto"/>
            </w:tcBorders>
            <w:shd w:val="pct35" w:color="auto"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2021 N</w:t>
            </w:r>
          </w:p>
        </w:tc>
      </w:tr>
      <w:tr w:rsidR="00D2350F" w:rsidRPr="00086A6E" w:rsidTr="00D2350F">
        <w:trPr>
          <w:trHeight w:hRule="exact" w:val="255"/>
        </w:trPr>
        <w:tc>
          <w:tcPr>
            <w:tcW w:w="1929" w:type="pct"/>
            <w:tcBorders>
              <w:top w:val="single" w:sz="4" w:space="0" w:color="auto"/>
              <w:left w:val="single" w:sz="4" w:space="0" w:color="auto"/>
              <w:bottom w:val="single" w:sz="4" w:space="0" w:color="auto"/>
              <w:right w:val="single" w:sz="4" w:space="0" w:color="auto"/>
            </w:tcBorders>
            <w:shd w:val="pct25" w:color="000000"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Rozpočtové a príspevkové  organizácie spolu</w:t>
            </w:r>
          </w:p>
        </w:tc>
        <w:tc>
          <w:tcPr>
            <w:tcW w:w="439"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588 250</w:t>
            </w:r>
          </w:p>
        </w:tc>
        <w:tc>
          <w:tcPr>
            <w:tcW w:w="439"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680 132</w:t>
            </w:r>
          </w:p>
        </w:tc>
        <w:tc>
          <w:tcPr>
            <w:tcW w:w="439"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403 877</w:t>
            </w:r>
          </w:p>
        </w:tc>
        <w:tc>
          <w:tcPr>
            <w:tcW w:w="439"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617 841</w:t>
            </w:r>
          </w:p>
        </w:tc>
        <w:tc>
          <w:tcPr>
            <w:tcW w:w="439"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416 421</w:t>
            </w:r>
          </w:p>
        </w:tc>
        <w:tc>
          <w:tcPr>
            <w:tcW w:w="439"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416 421</w:t>
            </w:r>
          </w:p>
        </w:tc>
        <w:tc>
          <w:tcPr>
            <w:tcW w:w="436"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416 421</w:t>
            </w:r>
          </w:p>
        </w:tc>
      </w:tr>
      <w:tr w:rsidR="00D2350F" w:rsidRPr="00086A6E" w:rsidTr="00D2350F">
        <w:trPr>
          <w:trHeight w:hRule="exact" w:val="255"/>
        </w:trPr>
        <w:tc>
          <w:tcPr>
            <w:tcW w:w="1929"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Rozpočtové organizácie spolu z toho:</w:t>
            </w:r>
          </w:p>
        </w:tc>
        <w:tc>
          <w:tcPr>
            <w:tcW w:w="43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437 600</w:t>
            </w:r>
          </w:p>
        </w:tc>
        <w:tc>
          <w:tcPr>
            <w:tcW w:w="43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408 832</w:t>
            </w:r>
          </w:p>
        </w:tc>
        <w:tc>
          <w:tcPr>
            <w:tcW w:w="43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345 577</w:t>
            </w:r>
          </w:p>
        </w:tc>
        <w:tc>
          <w:tcPr>
            <w:tcW w:w="43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389 541</w:t>
            </w:r>
          </w:p>
        </w:tc>
        <w:tc>
          <w:tcPr>
            <w:tcW w:w="43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358 121</w:t>
            </w:r>
          </w:p>
        </w:tc>
        <w:tc>
          <w:tcPr>
            <w:tcW w:w="43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358 121</w:t>
            </w:r>
          </w:p>
        </w:tc>
        <w:tc>
          <w:tcPr>
            <w:tcW w:w="4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358 121</w:t>
            </w:r>
          </w:p>
        </w:tc>
      </w:tr>
      <w:tr w:rsidR="00D2350F" w:rsidRPr="00086A6E" w:rsidTr="00D2350F">
        <w:trPr>
          <w:trHeight w:hRule="exact" w:val="255"/>
        </w:trPr>
        <w:tc>
          <w:tcPr>
            <w:tcW w:w="1929"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Medzinárodné laserové centrum</w:t>
            </w:r>
          </w:p>
        </w:tc>
        <w:tc>
          <w:tcPr>
            <w:tcW w:w="43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437 600</w:t>
            </w:r>
          </w:p>
        </w:tc>
        <w:tc>
          <w:tcPr>
            <w:tcW w:w="43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408 832</w:t>
            </w:r>
          </w:p>
        </w:tc>
        <w:tc>
          <w:tcPr>
            <w:tcW w:w="43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345 577</w:t>
            </w:r>
          </w:p>
        </w:tc>
        <w:tc>
          <w:tcPr>
            <w:tcW w:w="43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389 541</w:t>
            </w:r>
          </w:p>
        </w:tc>
        <w:tc>
          <w:tcPr>
            <w:tcW w:w="43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358 121</w:t>
            </w:r>
          </w:p>
        </w:tc>
        <w:tc>
          <w:tcPr>
            <w:tcW w:w="43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358 121</w:t>
            </w:r>
          </w:p>
        </w:tc>
        <w:tc>
          <w:tcPr>
            <w:tcW w:w="4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358 121</w:t>
            </w:r>
          </w:p>
        </w:tc>
      </w:tr>
      <w:tr w:rsidR="00D2350F" w:rsidRPr="00086A6E" w:rsidTr="00D2350F">
        <w:trPr>
          <w:trHeight w:hRule="exact" w:val="255"/>
        </w:trPr>
        <w:tc>
          <w:tcPr>
            <w:tcW w:w="1929" w:type="pct"/>
            <w:tcBorders>
              <w:top w:val="single" w:sz="4" w:space="0" w:color="auto"/>
              <w:left w:val="single" w:sz="4" w:space="0" w:color="auto"/>
              <w:bottom w:val="single" w:sz="4" w:space="0" w:color="auto"/>
              <w:right w:val="single" w:sz="4" w:space="0" w:color="auto"/>
            </w:tcBorders>
            <w:shd w:val="pct25" w:color="000000"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Príspevkové organizácie spolu z toho:</w:t>
            </w:r>
          </w:p>
        </w:tc>
        <w:tc>
          <w:tcPr>
            <w:tcW w:w="439"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150 650</w:t>
            </w:r>
          </w:p>
        </w:tc>
        <w:tc>
          <w:tcPr>
            <w:tcW w:w="439"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271 300</w:t>
            </w:r>
          </w:p>
        </w:tc>
        <w:tc>
          <w:tcPr>
            <w:tcW w:w="439"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58 300</w:t>
            </w:r>
          </w:p>
        </w:tc>
        <w:tc>
          <w:tcPr>
            <w:tcW w:w="439"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228 300</w:t>
            </w:r>
          </w:p>
        </w:tc>
        <w:tc>
          <w:tcPr>
            <w:tcW w:w="439"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58 300</w:t>
            </w:r>
          </w:p>
        </w:tc>
        <w:tc>
          <w:tcPr>
            <w:tcW w:w="439"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58 300</w:t>
            </w:r>
          </w:p>
        </w:tc>
        <w:tc>
          <w:tcPr>
            <w:tcW w:w="436"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sz w:val="14"/>
                <w:szCs w:val="14"/>
              </w:rPr>
              <w:t>58 300</w:t>
            </w:r>
          </w:p>
        </w:tc>
      </w:tr>
      <w:tr w:rsidR="00D2350F" w:rsidRPr="00086A6E" w:rsidTr="00D2350F">
        <w:trPr>
          <w:trHeight w:hRule="exact" w:val="255"/>
        </w:trPr>
        <w:tc>
          <w:tcPr>
            <w:tcW w:w="1929"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Centrum vedecko-technických informácií</w:t>
            </w:r>
          </w:p>
        </w:tc>
        <w:tc>
          <w:tcPr>
            <w:tcW w:w="43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150 650</w:t>
            </w:r>
          </w:p>
        </w:tc>
        <w:tc>
          <w:tcPr>
            <w:tcW w:w="43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271 300</w:t>
            </w:r>
          </w:p>
        </w:tc>
        <w:tc>
          <w:tcPr>
            <w:tcW w:w="43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58 300</w:t>
            </w:r>
          </w:p>
        </w:tc>
        <w:tc>
          <w:tcPr>
            <w:tcW w:w="43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228 300</w:t>
            </w:r>
          </w:p>
        </w:tc>
        <w:tc>
          <w:tcPr>
            <w:tcW w:w="43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58 300</w:t>
            </w:r>
          </w:p>
        </w:tc>
        <w:tc>
          <w:tcPr>
            <w:tcW w:w="43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58 300</w:t>
            </w:r>
          </w:p>
        </w:tc>
        <w:tc>
          <w:tcPr>
            <w:tcW w:w="4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58 300</w:t>
            </w:r>
          </w:p>
        </w:tc>
      </w:tr>
    </w:tbl>
    <w:p w:rsidR="00D2350F" w:rsidRPr="00086A6E" w:rsidRDefault="00D2350F" w:rsidP="00D2350F">
      <w:pPr>
        <w:jc w:val="both"/>
        <w:rPr>
          <w:rFonts w:ascii="Times New Roman" w:hAnsi="Times New Roman" w:cs="Times New Roman"/>
        </w:rPr>
      </w:pPr>
    </w:p>
    <w:p w:rsidR="00D2350F" w:rsidRPr="00086A6E" w:rsidRDefault="00D2350F" w:rsidP="00D2350F">
      <w:pPr>
        <w:ind w:firstLine="708"/>
        <w:jc w:val="both"/>
        <w:rPr>
          <w:rFonts w:ascii="Times New Roman" w:hAnsi="Times New Roman" w:cs="Times New Roman"/>
        </w:rPr>
      </w:pPr>
      <w:r w:rsidRPr="00086A6E">
        <w:rPr>
          <w:rFonts w:ascii="Times New Roman" w:hAnsi="Times New Roman" w:cs="Times New Roman"/>
        </w:rPr>
        <w:t xml:space="preserve">V roku 2019 verejné vysoké školy budú používať na financovanie svojej hlavnej činnosti okrem prostriedkov poskytnutých MŠVVŠ SR aj vlastné zdroje v sume 167 mil. eur, čo predstavuje nárast oproti schválenému rozpočtu roku 2018 o 6,67 mil. eur, t. j. o 4,17 %. </w:t>
      </w:r>
    </w:p>
    <w:p w:rsidR="00D2350F" w:rsidRPr="00086A6E" w:rsidRDefault="00D2350F" w:rsidP="00D2350F">
      <w:pPr>
        <w:ind w:firstLine="709"/>
        <w:jc w:val="both"/>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3182"/>
        <w:gridCol w:w="840"/>
        <w:gridCol w:w="840"/>
        <w:gridCol w:w="840"/>
        <w:gridCol w:w="840"/>
        <w:gridCol w:w="840"/>
        <w:gridCol w:w="840"/>
        <w:gridCol w:w="840"/>
      </w:tblGrid>
      <w:tr w:rsidR="00D2350F" w:rsidRPr="00086A6E" w:rsidTr="00D2350F">
        <w:trPr>
          <w:trHeight w:val="225"/>
        </w:trPr>
        <w:tc>
          <w:tcPr>
            <w:tcW w:w="1930" w:type="pct"/>
            <w:tcBorders>
              <w:top w:val="single" w:sz="4" w:space="0" w:color="auto"/>
              <w:left w:val="single" w:sz="4" w:space="0" w:color="auto"/>
              <w:bottom w:val="single" w:sz="4" w:space="0" w:color="auto"/>
              <w:right w:val="single" w:sz="4" w:space="0" w:color="auto"/>
            </w:tcBorders>
            <w:shd w:val="pct35" w:color="000000" w:fill="auto"/>
            <w:noWrap/>
            <w:vAlign w:val="center"/>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 eurách</w:t>
            </w:r>
          </w:p>
        </w:tc>
        <w:tc>
          <w:tcPr>
            <w:tcW w:w="439"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2016 S</w:t>
            </w:r>
          </w:p>
        </w:tc>
        <w:tc>
          <w:tcPr>
            <w:tcW w:w="439"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2017 S</w:t>
            </w:r>
          </w:p>
        </w:tc>
        <w:tc>
          <w:tcPr>
            <w:tcW w:w="439"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R</w:t>
            </w:r>
          </w:p>
        </w:tc>
        <w:tc>
          <w:tcPr>
            <w:tcW w:w="439"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OS</w:t>
            </w:r>
          </w:p>
        </w:tc>
        <w:tc>
          <w:tcPr>
            <w:tcW w:w="439"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2019 N</w:t>
            </w:r>
          </w:p>
        </w:tc>
        <w:tc>
          <w:tcPr>
            <w:tcW w:w="439"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2020 N</w:t>
            </w:r>
          </w:p>
        </w:tc>
        <w:tc>
          <w:tcPr>
            <w:tcW w:w="439"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2021 N</w:t>
            </w:r>
          </w:p>
        </w:tc>
      </w:tr>
      <w:tr w:rsidR="00D2350F" w:rsidRPr="00086A6E" w:rsidTr="00D2350F">
        <w:trPr>
          <w:trHeight w:val="225"/>
        </w:trPr>
        <w:tc>
          <w:tcPr>
            <w:tcW w:w="1930" w:type="pct"/>
            <w:tcBorders>
              <w:top w:val="nil"/>
              <w:left w:val="single" w:sz="4" w:space="0" w:color="auto"/>
              <w:bottom w:val="single" w:sz="4" w:space="0" w:color="auto"/>
              <w:right w:val="single" w:sz="4" w:space="0" w:color="auto"/>
            </w:tcBorders>
            <w:shd w:val="clear" w:color="auto" w:fill="auto"/>
            <w:noWrap/>
            <w:vAlign w:val="center"/>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Vlastné zdroje VVŠ</w:t>
            </w:r>
          </w:p>
        </w:tc>
        <w:tc>
          <w:tcPr>
            <w:tcW w:w="439" w:type="pct"/>
            <w:tcBorders>
              <w:top w:val="nil"/>
              <w:left w:val="nil"/>
              <w:bottom w:val="single" w:sz="4" w:space="0" w:color="auto"/>
              <w:right w:val="single" w:sz="4" w:space="0" w:color="auto"/>
            </w:tcBorders>
            <w:shd w:val="clear" w:color="auto" w:fill="auto"/>
            <w:noWrap/>
            <w:vAlign w:val="center"/>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200 334 185</w:t>
            </w:r>
          </w:p>
        </w:tc>
        <w:tc>
          <w:tcPr>
            <w:tcW w:w="439" w:type="pct"/>
            <w:tcBorders>
              <w:top w:val="nil"/>
              <w:left w:val="nil"/>
              <w:bottom w:val="single" w:sz="4" w:space="0" w:color="auto"/>
              <w:right w:val="single" w:sz="4" w:space="0" w:color="auto"/>
            </w:tcBorders>
            <w:shd w:val="clear" w:color="auto" w:fill="auto"/>
            <w:noWrap/>
            <w:vAlign w:val="center"/>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185 374 072</w:t>
            </w:r>
          </w:p>
        </w:tc>
        <w:tc>
          <w:tcPr>
            <w:tcW w:w="439" w:type="pct"/>
            <w:tcBorders>
              <w:top w:val="nil"/>
              <w:left w:val="nil"/>
              <w:bottom w:val="single" w:sz="4" w:space="0" w:color="auto"/>
              <w:right w:val="single" w:sz="4" w:space="0" w:color="auto"/>
            </w:tcBorders>
            <w:shd w:val="clear" w:color="auto" w:fill="auto"/>
            <w:noWrap/>
            <w:vAlign w:val="center"/>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160 078 517</w:t>
            </w:r>
          </w:p>
        </w:tc>
        <w:tc>
          <w:tcPr>
            <w:tcW w:w="439" w:type="pct"/>
            <w:tcBorders>
              <w:top w:val="nil"/>
              <w:left w:val="nil"/>
              <w:bottom w:val="single" w:sz="4" w:space="0" w:color="auto"/>
              <w:right w:val="single" w:sz="4" w:space="0" w:color="auto"/>
            </w:tcBorders>
            <w:shd w:val="clear" w:color="auto" w:fill="auto"/>
            <w:noWrap/>
            <w:vAlign w:val="center"/>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197 794 265</w:t>
            </w:r>
          </w:p>
        </w:tc>
        <w:tc>
          <w:tcPr>
            <w:tcW w:w="439" w:type="pct"/>
            <w:tcBorders>
              <w:top w:val="nil"/>
              <w:left w:val="nil"/>
              <w:bottom w:val="single" w:sz="4" w:space="0" w:color="auto"/>
              <w:right w:val="single" w:sz="4" w:space="0" w:color="auto"/>
            </w:tcBorders>
            <w:shd w:val="clear" w:color="auto" w:fill="auto"/>
            <w:noWrap/>
            <w:vAlign w:val="center"/>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166 748 311</w:t>
            </w:r>
          </w:p>
        </w:tc>
        <w:tc>
          <w:tcPr>
            <w:tcW w:w="439" w:type="pct"/>
            <w:tcBorders>
              <w:top w:val="nil"/>
              <w:left w:val="nil"/>
              <w:bottom w:val="single" w:sz="4" w:space="0" w:color="auto"/>
              <w:right w:val="single" w:sz="4" w:space="0" w:color="auto"/>
            </w:tcBorders>
            <w:shd w:val="clear" w:color="auto" w:fill="auto"/>
            <w:noWrap/>
            <w:vAlign w:val="center"/>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164 875 464</w:t>
            </w:r>
          </w:p>
        </w:tc>
        <w:tc>
          <w:tcPr>
            <w:tcW w:w="439" w:type="pct"/>
            <w:tcBorders>
              <w:top w:val="nil"/>
              <w:left w:val="nil"/>
              <w:bottom w:val="single" w:sz="4" w:space="0" w:color="auto"/>
              <w:right w:val="single" w:sz="4" w:space="0" w:color="auto"/>
            </w:tcBorders>
            <w:shd w:val="clear" w:color="auto" w:fill="auto"/>
            <w:noWrap/>
            <w:vAlign w:val="center"/>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165 090 024</w:t>
            </w:r>
          </w:p>
        </w:tc>
      </w:tr>
    </w:tbl>
    <w:p w:rsidR="00D2350F" w:rsidRPr="00086A6E" w:rsidRDefault="00D2350F" w:rsidP="00D2350F">
      <w:pPr>
        <w:spacing w:after="200" w:line="276" w:lineRule="auto"/>
        <w:jc w:val="both"/>
        <w:rPr>
          <w:rFonts w:ascii="Times New Roman" w:hAnsi="Times New Roman" w:cs="Times New Roman"/>
          <w:sz w:val="14"/>
          <w:szCs w:val="14"/>
        </w:rPr>
      </w:pPr>
      <w:r w:rsidRPr="00086A6E">
        <w:rPr>
          <w:rFonts w:ascii="Times New Roman" w:hAnsi="Times New Roman" w:cs="Times New Roman"/>
          <w:sz w:val="14"/>
          <w:szCs w:val="14"/>
        </w:rPr>
        <w:t>Poznámka: V skutočnosti za roky 2016 a 2017 a očakávanej skutočnosti 2018 sú zahrnuté aj príjmy z podnikateľskej činnosti, ktorá sa nerozpočtuje.</w:t>
      </w:r>
    </w:p>
    <w:p w:rsidR="00D2350F" w:rsidRPr="00086A6E" w:rsidRDefault="00D2350F" w:rsidP="00D2350F">
      <w:pPr>
        <w:ind w:firstLine="708"/>
        <w:contextualSpacing/>
        <w:jc w:val="both"/>
        <w:rPr>
          <w:rFonts w:ascii="Times New Roman" w:hAnsi="Times New Roman" w:cs="Times New Roman"/>
        </w:rPr>
      </w:pPr>
      <w:r w:rsidRPr="00086A6E">
        <w:rPr>
          <w:rFonts w:ascii="Times New Roman" w:hAnsi="Times New Roman" w:cs="Times New Roman"/>
        </w:rPr>
        <w:t xml:space="preserve">Okrem prostriedkov štátneho rozpočtu poskytnutých z MŠVVŠ SR verejné vysoké školy budú mať k dispozícii aj zdroje zo štrukturálnych fondov vrátane spolufinancovania zo štátneho rozpočtu z operačných programov na rok 2019 v objeme 13,2 mil. eur, na rok 2020 v objeme 109 mil. eur a na rok 2020 v objeme 93,4 mil. eur. </w:t>
      </w:r>
    </w:p>
    <w:p w:rsidR="00D2350F" w:rsidRPr="00086A6E" w:rsidRDefault="00D2350F" w:rsidP="00D2350F">
      <w:pPr>
        <w:contextualSpacing/>
        <w:jc w:val="both"/>
        <w:rPr>
          <w:rFonts w:ascii="Times New Roman" w:hAnsi="Times New Roman" w:cs="Times New Roman"/>
          <w:highlight w:val="yellow"/>
        </w:rPr>
      </w:pPr>
    </w:p>
    <w:p w:rsidR="00D2350F" w:rsidRDefault="00D2350F" w:rsidP="00D2350F">
      <w:pPr>
        <w:ind w:firstLine="708"/>
        <w:contextualSpacing/>
        <w:jc w:val="both"/>
        <w:rPr>
          <w:rFonts w:ascii="Times New Roman" w:hAnsi="Times New Roman" w:cs="Times New Roman"/>
        </w:rPr>
      </w:pPr>
      <w:r w:rsidRPr="00086A6E">
        <w:rPr>
          <w:rFonts w:ascii="Times New Roman" w:hAnsi="Times New Roman" w:cs="Times New Roman"/>
        </w:rPr>
        <w:t>Ďalší disponibilný zdroj na financovanie projektov vedy a výskumu, ktorý môžu verejné vysoké školy v priebehu roku 2019 získať z Agentúry na podporu výskumu a vývoja a sekcie vedy a techniky MŠVVŠ SR, je navrhovaný transfer v sume 8,69 mil. eur.</w:t>
      </w:r>
    </w:p>
    <w:p w:rsidR="00D2350F" w:rsidRPr="00086A6E" w:rsidRDefault="00D2350F" w:rsidP="00D2350F">
      <w:pPr>
        <w:ind w:firstLine="708"/>
        <w:contextualSpacing/>
        <w:jc w:val="both"/>
        <w:rPr>
          <w:rFonts w:ascii="Times New Roman" w:hAnsi="Times New Roman" w:cs="Times New Roman"/>
        </w:rPr>
      </w:pPr>
    </w:p>
    <w:tbl>
      <w:tblPr>
        <w:tblW w:w="5000" w:type="pct"/>
        <w:tblLayout w:type="fixed"/>
        <w:tblCellMar>
          <w:left w:w="70" w:type="dxa"/>
          <w:right w:w="70" w:type="dxa"/>
        </w:tblCellMar>
        <w:tblLook w:val="04A0" w:firstRow="1" w:lastRow="0" w:firstColumn="1" w:lastColumn="0" w:noHBand="0" w:noVBand="1"/>
      </w:tblPr>
      <w:tblGrid>
        <w:gridCol w:w="1962"/>
        <w:gridCol w:w="1015"/>
        <w:gridCol w:w="1015"/>
        <w:gridCol w:w="1014"/>
        <w:gridCol w:w="1014"/>
        <w:gridCol w:w="1014"/>
        <w:gridCol w:w="1014"/>
        <w:gridCol w:w="1014"/>
      </w:tblGrid>
      <w:tr w:rsidR="00D2350F" w:rsidRPr="00086A6E" w:rsidTr="00D2350F">
        <w:trPr>
          <w:trHeight w:hRule="exact" w:val="255"/>
        </w:trPr>
        <w:tc>
          <w:tcPr>
            <w:tcW w:w="1962" w:type="dxa"/>
            <w:vMerge w:val="restart"/>
            <w:tcBorders>
              <w:top w:val="single" w:sz="4" w:space="0" w:color="auto"/>
              <w:left w:val="single" w:sz="4" w:space="0" w:color="auto"/>
              <w:bottom w:val="single" w:sz="4" w:space="0" w:color="auto"/>
              <w:right w:val="single" w:sz="4" w:space="0" w:color="auto"/>
            </w:tcBorders>
            <w:shd w:val="pct35" w:color="auto" w:fill="auto"/>
            <w:vAlign w:val="center"/>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Forma štúdia</w:t>
            </w:r>
          </w:p>
        </w:tc>
        <w:tc>
          <w:tcPr>
            <w:tcW w:w="2030" w:type="dxa"/>
            <w:gridSpan w:val="2"/>
            <w:tcBorders>
              <w:top w:val="single" w:sz="4" w:space="0" w:color="auto"/>
              <w:left w:val="nil"/>
              <w:bottom w:val="single" w:sz="4" w:space="0" w:color="auto"/>
              <w:right w:val="single" w:sz="4" w:space="0" w:color="auto"/>
            </w:tcBorders>
            <w:shd w:val="pct35" w:color="auto" w:fill="auto"/>
            <w:noWrap/>
            <w:vAlign w:val="bottom"/>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počet študentov v roku</w:t>
            </w:r>
          </w:p>
        </w:tc>
        <w:tc>
          <w:tcPr>
            <w:tcW w:w="5070" w:type="dxa"/>
            <w:gridSpan w:val="5"/>
            <w:tcBorders>
              <w:top w:val="single" w:sz="4" w:space="0" w:color="auto"/>
              <w:left w:val="nil"/>
              <w:bottom w:val="single" w:sz="4" w:space="0" w:color="auto"/>
              <w:right w:val="single" w:sz="4" w:space="0" w:color="auto"/>
            </w:tcBorders>
            <w:shd w:val="pct35" w:color="auto" w:fill="auto"/>
            <w:noWrap/>
            <w:vAlign w:val="bottom"/>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Prognóza počtu študentov</w:t>
            </w:r>
          </w:p>
        </w:tc>
      </w:tr>
      <w:tr w:rsidR="00D2350F" w:rsidRPr="00086A6E" w:rsidTr="00D2350F">
        <w:trPr>
          <w:trHeight w:hRule="exact" w:val="255"/>
        </w:trPr>
        <w:tc>
          <w:tcPr>
            <w:tcW w:w="1962" w:type="dxa"/>
            <w:vMerge/>
            <w:tcBorders>
              <w:top w:val="single" w:sz="4" w:space="0" w:color="auto"/>
              <w:left w:val="single" w:sz="4" w:space="0" w:color="auto"/>
              <w:bottom w:val="single" w:sz="4" w:space="0" w:color="auto"/>
              <w:right w:val="single" w:sz="4" w:space="0" w:color="auto"/>
            </w:tcBorders>
            <w:shd w:val="pct35" w:color="auto" w:fill="auto"/>
            <w:vAlign w:val="center"/>
            <w:hideMark/>
          </w:tcPr>
          <w:p w:rsidR="00D2350F" w:rsidRPr="00086A6E" w:rsidRDefault="00D2350F" w:rsidP="00D2350F">
            <w:pPr>
              <w:rPr>
                <w:rFonts w:ascii="Times New Roman" w:hAnsi="Times New Roman" w:cs="Times New Roman"/>
                <w:b/>
                <w:bCs/>
                <w:sz w:val="14"/>
                <w:szCs w:val="14"/>
                <w:lang w:eastAsia="sk-SK"/>
              </w:rPr>
            </w:pPr>
          </w:p>
        </w:tc>
        <w:tc>
          <w:tcPr>
            <w:tcW w:w="1015" w:type="dxa"/>
            <w:tcBorders>
              <w:top w:val="nil"/>
              <w:left w:val="nil"/>
              <w:bottom w:val="single" w:sz="4" w:space="0" w:color="auto"/>
              <w:right w:val="single" w:sz="4" w:space="0" w:color="auto"/>
            </w:tcBorders>
            <w:shd w:val="pct35" w:color="auto"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2016 S</w:t>
            </w:r>
          </w:p>
        </w:tc>
        <w:tc>
          <w:tcPr>
            <w:tcW w:w="1015" w:type="dxa"/>
            <w:tcBorders>
              <w:top w:val="nil"/>
              <w:left w:val="nil"/>
              <w:bottom w:val="single" w:sz="4" w:space="0" w:color="auto"/>
              <w:right w:val="single" w:sz="4" w:space="0" w:color="auto"/>
            </w:tcBorders>
            <w:shd w:val="pct35" w:color="auto"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2017 S</w:t>
            </w:r>
          </w:p>
        </w:tc>
        <w:tc>
          <w:tcPr>
            <w:tcW w:w="1014" w:type="dxa"/>
            <w:tcBorders>
              <w:top w:val="nil"/>
              <w:left w:val="nil"/>
              <w:bottom w:val="single" w:sz="4" w:space="0" w:color="auto"/>
              <w:right w:val="single" w:sz="4" w:space="0" w:color="auto"/>
            </w:tcBorders>
            <w:shd w:val="pct35" w:color="auto"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w:t>
            </w:r>
          </w:p>
        </w:tc>
        <w:tc>
          <w:tcPr>
            <w:tcW w:w="1014" w:type="dxa"/>
            <w:tcBorders>
              <w:top w:val="nil"/>
              <w:left w:val="nil"/>
              <w:bottom w:val="single" w:sz="4" w:space="0" w:color="auto"/>
              <w:right w:val="single" w:sz="4" w:space="0" w:color="auto"/>
            </w:tcBorders>
            <w:shd w:val="pct35" w:color="auto"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OS</w:t>
            </w:r>
          </w:p>
        </w:tc>
        <w:tc>
          <w:tcPr>
            <w:tcW w:w="1014" w:type="dxa"/>
            <w:tcBorders>
              <w:top w:val="nil"/>
              <w:left w:val="nil"/>
              <w:bottom w:val="single" w:sz="4" w:space="0" w:color="auto"/>
              <w:right w:val="single" w:sz="4" w:space="0" w:color="auto"/>
            </w:tcBorders>
            <w:shd w:val="pct35" w:color="auto"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2019</w:t>
            </w:r>
          </w:p>
        </w:tc>
        <w:tc>
          <w:tcPr>
            <w:tcW w:w="1014" w:type="dxa"/>
            <w:tcBorders>
              <w:top w:val="nil"/>
              <w:left w:val="nil"/>
              <w:bottom w:val="single" w:sz="4" w:space="0" w:color="auto"/>
              <w:right w:val="single" w:sz="4" w:space="0" w:color="auto"/>
            </w:tcBorders>
            <w:shd w:val="pct35" w:color="auto"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2020</w:t>
            </w:r>
          </w:p>
        </w:tc>
        <w:tc>
          <w:tcPr>
            <w:tcW w:w="1014" w:type="dxa"/>
            <w:tcBorders>
              <w:top w:val="nil"/>
              <w:left w:val="nil"/>
              <w:bottom w:val="single" w:sz="4" w:space="0" w:color="auto"/>
              <w:right w:val="single" w:sz="4" w:space="0" w:color="auto"/>
            </w:tcBorders>
            <w:shd w:val="pct35" w:color="auto"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2021</w:t>
            </w:r>
          </w:p>
        </w:tc>
      </w:tr>
      <w:tr w:rsidR="00D2350F" w:rsidRPr="00086A6E" w:rsidTr="00D2350F">
        <w:trPr>
          <w:trHeight w:hRule="exact" w:val="255"/>
        </w:trPr>
        <w:tc>
          <w:tcPr>
            <w:tcW w:w="1962"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denné</w:t>
            </w:r>
          </w:p>
        </w:tc>
        <w:tc>
          <w:tcPr>
            <w:tcW w:w="101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105 688</w:t>
            </w:r>
          </w:p>
        </w:tc>
        <w:tc>
          <w:tcPr>
            <w:tcW w:w="101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99 184</w:t>
            </w:r>
          </w:p>
        </w:tc>
        <w:tc>
          <w:tcPr>
            <w:tcW w:w="101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93 276</w:t>
            </w:r>
          </w:p>
        </w:tc>
        <w:tc>
          <w:tcPr>
            <w:tcW w:w="101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94 423</w:t>
            </w:r>
          </w:p>
        </w:tc>
        <w:tc>
          <w:tcPr>
            <w:tcW w:w="101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91 402</w:t>
            </w:r>
          </w:p>
        </w:tc>
        <w:tc>
          <w:tcPr>
            <w:tcW w:w="101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88 713</w:t>
            </w:r>
          </w:p>
        </w:tc>
        <w:tc>
          <w:tcPr>
            <w:tcW w:w="101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87 399</w:t>
            </w:r>
          </w:p>
        </w:tc>
      </w:tr>
      <w:tr w:rsidR="00D2350F" w:rsidRPr="00086A6E" w:rsidTr="00D2350F">
        <w:trPr>
          <w:trHeight w:hRule="exact" w:val="255"/>
        </w:trPr>
        <w:tc>
          <w:tcPr>
            <w:tcW w:w="1962"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externé</w:t>
            </w:r>
          </w:p>
        </w:tc>
        <w:tc>
          <w:tcPr>
            <w:tcW w:w="101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28 195</w:t>
            </w:r>
          </w:p>
        </w:tc>
        <w:tc>
          <w:tcPr>
            <w:tcW w:w="101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22 990</w:t>
            </w:r>
          </w:p>
        </w:tc>
        <w:tc>
          <w:tcPr>
            <w:tcW w:w="101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26 117</w:t>
            </w:r>
          </w:p>
        </w:tc>
        <w:tc>
          <w:tcPr>
            <w:tcW w:w="101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21 717</w:t>
            </w:r>
          </w:p>
        </w:tc>
        <w:tc>
          <w:tcPr>
            <w:tcW w:w="101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21 022</w:t>
            </w:r>
          </w:p>
        </w:tc>
        <w:tc>
          <w:tcPr>
            <w:tcW w:w="101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20 404</w:t>
            </w:r>
          </w:p>
        </w:tc>
        <w:tc>
          <w:tcPr>
            <w:tcW w:w="101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20 102</w:t>
            </w:r>
          </w:p>
        </w:tc>
      </w:tr>
      <w:tr w:rsidR="00D2350F" w:rsidRPr="00086A6E" w:rsidTr="00D2350F">
        <w:trPr>
          <w:trHeight w:hRule="exact" w:val="255"/>
        </w:trPr>
        <w:tc>
          <w:tcPr>
            <w:tcW w:w="1962" w:type="dxa"/>
            <w:tcBorders>
              <w:top w:val="single" w:sz="4" w:space="0" w:color="auto"/>
              <w:left w:val="single" w:sz="4" w:space="0" w:color="auto"/>
              <w:bottom w:val="single" w:sz="4" w:space="0" w:color="auto"/>
              <w:right w:val="single" w:sz="4" w:space="0" w:color="auto"/>
            </w:tcBorders>
            <w:shd w:val="pct25" w:color="000000"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xml:space="preserve">Študenti spolu </w:t>
            </w:r>
          </w:p>
        </w:tc>
        <w:tc>
          <w:tcPr>
            <w:tcW w:w="1015" w:type="dxa"/>
            <w:tcBorders>
              <w:top w:val="single" w:sz="4" w:space="0" w:color="auto"/>
              <w:left w:val="nil"/>
              <w:bottom w:val="single" w:sz="4" w:space="0" w:color="auto"/>
              <w:right w:val="single" w:sz="4" w:space="0" w:color="auto"/>
            </w:tcBorders>
            <w:shd w:val="pct25" w:color="000000" w:fill="auto"/>
            <w:noWrap/>
            <w:vAlign w:val="bottom"/>
            <w:hideMark/>
          </w:tcPr>
          <w:p w:rsidR="00D2350F" w:rsidRPr="004650BC" w:rsidRDefault="00D2350F" w:rsidP="00D2350F">
            <w:pPr>
              <w:jc w:val="right"/>
              <w:rPr>
                <w:rFonts w:ascii="Times New Roman" w:hAnsi="Times New Roman" w:cs="Times New Roman"/>
                <w:b/>
                <w:sz w:val="14"/>
                <w:szCs w:val="14"/>
                <w:lang w:eastAsia="sk-SK"/>
              </w:rPr>
            </w:pPr>
            <w:r w:rsidRPr="004650BC">
              <w:rPr>
                <w:rFonts w:ascii="Times New Roman" w:hAnsi="Times New Roman" w:cs="Times New Roman"/>
                <w:b/>
                <w:sz w:val="14"/>
                <w:szCs w:val="14"/>
                <w:lang w:eastAsia="sk-SK"/>
              </w:rPr>
              <w:t>133 883</w:t>
            </w:r>
          </w:p>
        </w:tc>
        <w:tc>
          <w:tcPr>
            <w:tcW w:w="1015" w:type="dxa"/>
            <w:tcBorders>
              <w:top w:val="single" w:sz="4" w:space="0" w:color="auto"/>
              <w:left w:val="nil"/>
              <w:bottom w:val="single" w:sz="4" w:space="0" w:color="auto"/>
              <w:right w:val="single" w:sz="4" w:space="0" w:color="auto"/>
            </w:tcBorders>
            <w:shd w:val="pct25" w:color="000000" w:fill="auto"/>
            <w:noWrap/>
            <w:vAlign w:val="bottom"/>
            <w:hideMark/>
          </w:tcPr>
          <w:p w:rsidR="00D2350F" w:rsidRPr="004650BC" w:rsidRDefault="00D2350F" w:rsidP="00D2350F">
            <w:pPr>
              <w:jc w:val="right"/>
              <w:rPr>
                <w:rFonts w:ascii="Times New Roman" w:hAnsi="Times New Roman" w:cs="Times New Roman"/>
                <w:b/>
                <w:sz w:val="14"/>
                <w:szCs w:val="14"/>
                <w:lang w:eastAsia="sk-SK"/>
              </w:rPr>
            </w:pPr>
            <w:r w:rsidRPr="004650BC">
              <w:rPr>
                <w:rFonts w:ascii="Times New Roman" w:hAnsi="Times New Roman" w:cs="Times New Roman"/>
                <w:b/>
                <w:sz w:val="14"/>
                <w:szCs w:val="14"/>
                <w:lang w:eastAsia="sk-SK"/>
              </w:rPr>
              <w:t>122 174</w:t>
            </w:r>
          </w:p>
        </w:tc>
        <w:tc>
          <w:tcPr>
            <w:tcW w:w="1014" w:type="dxa"/>
            <w:tcBorders>
              <w:top w:val="single" w:sz="4" w:space="0" w:color="auto"/>
              <w:left w:val="nil"/>
              <w:bottom w:val="single" w:sz="4" w:space="0" w:color="auto"/>
              <w:right w:val="single" w:sz="4" w:space="0" w:color="auto"/>
            </w:tcBorders>
            <w:shd w:val="pct25" w:color="000000" w:fill="auto"/>
            <w:noWrap/>
            <w:vAlign w:val="bottom"/>
            <w:hideMark/>
          </w:tcPr>
          <w:p w:rsidR="00D2350F" w:rsidRPr="004650BC" w:rsidRDefault="00D2350F" w:rsidP="00D2350F">
            <w:pPr>
              <w:jc w:val="right"/>
              <w:rPr>
                <w:rFonts w:ascii="Times New Roman" w:hAnsi="Times New Roman" w:cs="Times New Roman"/>
                <w:b/>
                <w:sz w:val="14"/>
                <w:szCs w:val="14"/>
                <w:lang w:eastAsia="sk-SK"/>
              </w:rPr>
            </w:pPr>
            <w:r w:rsidRPr="004650BC">
              <w:rPr>
                <w:rFonts w:ascii="Times New Roman" w:hAnsi="Times New Roman" w:cs="Times New Roman"/>
                <w:b/>
                <w:sz w:val="14"/>
                <w:szCs w:val="14"/>
                <w:lang w:eastAsia="sk-SK"/>
              </w:rPr>
              <w:t>119 393</w:t>
            </w:r>
          </w:p>
        </w:tc>
        <w:tc>
          <w:tcPr>
            <w:tcW w:w="1014" w:type="dxa"/>
            <w:tcBorders>
              <w:top w:val="single" w:sz="4" w:space="0" w:color="auto"/>
              <w:left w:val="nil"/>
              <w:bottom w:val="single" w:sz="4" w:space="0" w:color="auto"/>
              <w:right w:val="single" w:sz="4" w:space="0" w:color="auto"/>
            </w:tcBorders>
            <w:shd w:val="pct25" w:color="000000" w:fill="auto"/>
            <w:noWrap/>
            <w:vAlign w:val="bottom"/>
            <w:hideMark/>
          </w:tcPr>
          <w:p w:rsidR="00D2350F" w:rsidRPr="004650BC" w:rsidRDefault="00D2350F" w:rsidP="00D2350F">
            <w:pPr>
              <w:jc w:val="right"/>
              <w:rPr>
                <w:rFonts w:ascii="Times New Roman" w:hAnsi="Times New Roman" w:cs="Times New Roman"/>
                <w:b/>
                <w:sz w:val="14"/>
                <w:szCs w:val="14"/>
                <w:lang w:eastAsia="sk-SK"/>
              </w:rPr>
            </w:pPr>
            <w:r w:rsidRPr="004650BC">
              <w:rPr>
                <w:rFonts w:ascii="Times New Roman" w:hAnsi="Times New Roman" w:cs="Times New Roman"/>
                <w:b/>
                <w:sz w:val="14"/>
                <w:szCs w:val="14"/>
                <w:lang w:eastAsia="sk-SK"/>
              </w:rPr>
              <w:t>116 140</w:t>
            </w:r>
          </w:p>
        </w:tc>
        <w:tc>
          <w:tcPr>
            <w:tcW w:w="1014" w:type="dxa"/>
            <w:tcBorders>
              <w:top w:val="single" w:sz="4" w:space="0" w:color="auto"/>
              <w:left w:val="nil"/>
              <w:bottom w:val="single" w:sz="4" w:space="0" w:color="auto"/>
              <w:right w:val="single" w:sz="4" w:space="0" w:color="auto"/>
            </w:tcBorders>
            <w:shd w:val="pct25" w:color="000000" w:fill="auto"/>
            <w:noWrap/>
            <w:vAlign w:val="bottom"/>
            <w:hideMark/>
          </w:tcPr>
          <w:p w:rsidR="00D2350F" w:rsidRPr="004650BC" w:rsidRDefault="00D2350F" w:rsidP="00D2350F">
            <w:pPr>
              <w:jc w:val="right"/>
              <w:rPr>
                <w:rFonts w:ascii="Times New Roman" w:hAnsi="Times New Roman" w:cs="Times New Roman"/>
                <w:b/>
                <w:sz w:val="14"/>
                <w:szCs w:val="14"/>
                <w:lang w:eastAsia="sk-SK"/>
              </w:rPr>
            </w:pPr>
            <w:r w:rsidRPr="004650BC">
              <w:rPr>
                <w:rFonts w:ascii="Times New Roman" w:hAnsi="Times New Roman" w:cs="Times New Roman"/>
                <w:b/>
                <w:sz w:val="14"/>
                <w:szCs w:val="14"/>
                <w:lang w:eastAsia="sk-SK"/>
              </w:rPr>
              <w:t>112 424</w:t>
            </w:r>
          </w:p>
        </w:tc>
        <w:tc>
          <w:tcPr>
            <w:tcW w:w="1014" w:type="dxa"/>
            <w:tcBorders>
              <w:top w:val="single" w:sz="4" w:space="0" w:color="auto"/>
              <w:left w:val="nil"/>
              <w:bottom w:val="single" w:sz="4" w:space="0" w:color="auto"/>
              <w:right w:val="single" w:sz="4" w:space="0" w:color="auto"/>
            </w:tcBorders>
            <w:shd w:val="pct25" w:color="000000" w:fill="auto"/>
            <w:noWrap/>
            <w:vAlign w:val="bottom"/>
            <w:hideMark/>
          </w:tcPr>
          <w:p w:rsidR="00D2350F" w:rsidRPr="004650BC" w:rsidRDefault="00D2350F" w:rsidP="00D2350F">
            <w:pPr>
              <w:jc w:val="right"/>
              <w:rPr>
                <w:rFonts w:ascii="Times New Roman" w:hAnsi="Times New Roman" w:cs="Times New Roman"/>
                <w:b/>
                <w:sz w:val="14"/>
                <w:szCs w:val="14"/>
                <w:lang w:eastAsia="sk-SK"/>
              </w:rPr>
            </w:pPr>
            <w:r w:rsidRPr="004650BC">
              <w:rPr>
                <w:rFonts w:ascii="Times New Roman" w:hAnsi="Times New Roman" w:cs="Times New Roman"/>
                <w:b/>
                <w:sz w:val="14"/>
                <w:szCs w:val="14"/>
                <w:lang w:eastAsia="sk-SK"/>
              </w:rPr>
              <w:t>109 117</w:t>
            </w:r>
          </w:p>
        </w:tc>
        <w:tc>
          <w:tcPr>
            <w:tcW w:w="1014" w:type="dxa"/>
            <w:tcBorders>
              <w:top w:val="single" w:sz="4" w:space="0" w:color="auto"/>
              <w:left w:val="nil"/>
              <w:bottom w:val="single" w:sz="4" w:space="0" w:color="auto"/>
              <w:right w:val="single" w:sz="4" w:space="0" w:color="auto"/>
            </w:tcBorders>
            <w:shd w:val="pct25" w:color="000000" w:fill="auto"/>
            <w:noWrap/>
            <w:vAlign w:val="bottom"/>
            <w:hideMark/>
          </w:tcPr>
          <w:p w:rsidR="00D2350F" w:rsidRPr="004650BC" w:rsidRDefault="00D2350F" w:rsidP="00D2350F">
            <w:pPr>
              <w:jc w:val="right"/>
              <w:rPr>
                <w:rFonts w:ascii="Times New Roman" w:hAnsi="Times New Roman" w:cs="Times New Roman"/>
                <w:b/>
                <w:sz w:val="14"/>
                <w:szCs w:val="14"/>
                <w:lang w:eastAsia="sk-SK"/>
              </w:rPr>
            </w:pPr>
            <w:r w:rsidRPr="004650BC">
              <w:rPr>
                <w:rFonts w:ascii="Times New Roman" w:hAnsi="Times New Roman" w:cs="Times New Roman"/>
                <w:b/>
                <w:sz w:val="14"/>
                <w:szCs w:val="14"/>
                <w:lang w:eastAsia="sk-SK"/>
              </w:rPr>
              <w:t>107 501</w:t>
            </w:r>
          </w:p>
        </w:tc>
      </w:tr>
      <w:tr w:rsidR="00D2350F" w:rsidRPr="00086A6E" w:rsidTr="00D2350F">
        <w:trPr>
          <w:trHeight w:hRule="exact" w:val="255"/>
        </w:trPr>
        <w:tc>
          <w:tcPr>
            <w:tcW w:w="1962" w:type="dxa"/>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medziročná zmena v %</w:t>
            </w:r>
          </w:p>
        </w:tc>
        <w:tc>
          <w:tcPr>
            <w:tcW w:w="101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-7,69%</w:t>
            </w:r>
          </w:p>
        </w:tc>
        <w:tc>
          <w:tcPr>
            <w:tcW w:w="101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-8,75%</w:t>
            </w:r>
          </w:p>
        </w:tc>
        <w:tc>
          <w:tcPr>
            <w:tcW w:w="101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-2,28%</w:t>
            </w:r>
          </w:p>
        </w:tc>
        <w:tc>
          <w:tcPr>
            <w:tcW w:w="101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-4,94%</w:t>
            </w:r>
          </w:p>
        </w:tc>
        <w:tc>
          <w:tcPr>
            <w:tcW w:w="101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-5,84%</w:t>
            </w:r>
          </w:p>
        </w:tc>
        <w:tc>
          <w:tcPr>
            <w:tcW w:w="101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-2,94%</w:t>
            </w:r>
          </w:p>
        </w:tc>
        <w:tc>
          <w:tcPr>
            <w:tcW w:w="1014"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-1,48%</w:t>
            </w:r>
          </w:p>
        </w:tc>
      </w:tr>
    </w:tbl>
    <w:p w:rsidR="00D2350F" w:rsidRPr="00086A6E" w:rsidRDefault="00D2350F" w:rsidP="00D2350F">
      <w:pPr>
        <w:spacing w:after="200" w:line="276" w:lineRule="auto"/>
        <w:jc w:val="both"/>
        <w:rPr>
          <w:rFonts w:ascii="Times New Roman" w:hAnsi="Times New Roman" w:cs="Times New Roman"/>
          <w:sz w:val="14"/>
          <w:szCs w:val="14"/>
        </w:rPr>
      </w:pPr>
      <w:r w:rsidRPr="00086A6E">
        <w:rPr>
          <w:rFonts w:ascii="Times New Roman" w:hAnsi="Times New Roman" w:cs="Times New Roman"/>
          <w:sz w:val="14"/>
          <w:szCs w:val="14"/>
        </w:rPr>
        <w:t>Zdroj: MŠVVŠ SR</w:t>
      </w:r>
    </w:p>
    <w:tbl>
      <w:tblPr>
        <w:tblW w:w="5000" w:type="pct"/>
        <w:tblCellMar>
          <w:left w:w="70" w:type="dxa"/>
          <w:right w:w="70" w:type="dxa"/>
        </w:tblCellMar>
        <w:tblLook w:val="04A0" w:firstRow="1" w:lastRow="0" w:firstColumn="1" w:lastColumn="0" w:noHBand="0" w:noVBand="1"/>
      </w:tblPr>
      <w:tblGrid>
        <w:gridCol w:w="3182"/>
        <w:gridCol w:w="840"/>
        <w:gridCol w:w="840"/>
        <w:gridCol w:w="840"/>
        <w:gridCol w:w="840"/>
        <w:gridCol w:w="840"/>
        <w:gridCol w:w="840"/>
        <w:gridCol w:w="840"/>
      </w:tblGrid>
      <w:tr w:rsidR="00D2350F" w:rsidRPr="00086A6E" w:rsidTr="00D2350F">
        <w:trPr>
          <w:trHeight w:hRule="exact" w:val="255"/>
        </w:trPr>
        <w:tc>
          <w:tcPr>
            <w:tcW w:w="1756" w:type="pct"/>
            <w:tcBorders>
              <w:top w:val="single" w:sz="4" w:space="0" w:color="auto"/>
              <w:left w:val="single" w:sz="4" w:space="0" w:color="auto"/>
              <w:bottom w:val="single" w:sz="4" w:space="0" w:color="auto"/>
              <w:right w:val="single" w:sz="4" w:space="0" w:color="auto"/>
            </w:tcBorders>
            <w:shd w:val="pct35" w:color="000000" w:fill="auto"/>
            <w:noWrap/>
            <w:vAlign w:val="center"/>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 eurách</w:t>
            </w:r>
          </w:p>
        </w:tc>
        <w:tc>
          <w:tcPr>
            <w:tcW w:w="463"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2016 S</w:t>
            </w:r>
          </w:p>
        </w:tc>
        <w:tc>
          <w:tcPr>
            <w:tcW w:w="463"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2017 S</w:t>
            </w:r>
          </w:p>
        </w:tc>
        <w:tc>
          <w:tcPr>
            <w:tcW w:w="463"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R</w:t>
            </w:r>
          </w:p>
        </w:tc>
        <w:tc>
          <w:tcPr>
            <w:tcW w:w="463"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OS</w:t>
            </w:r>
          </w:p>
        </w:tc>
        <w:tc>
          <w:tcPr>
            <w:tcW w:w="463"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2019 N</w:t>
            </w:r>
          </w:p>
        </w:tc>
        <w:tc>
          <w:tcPr>
            <w:tcW w:w="463"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2020 N</w:t>
            </w:r>
          </w:p>
        </w:tc>
        <w:tc>
          <w:tcPr>
            <w:tcW w:w="463"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2021 N</w:t>
            </w:r>
          </w:p>
        </w:tc>
      </w:tr>
      <w:tr w:rsidR="00D2350F" w:rsidRPr="00086A6E" w:rsidTr="00D2350F">
        <w:trPr>
          <w:trHeight w:hRule="exact" w:val="255"/>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Výdavky pre  VVŠ spolu cez MŠVVŠ SR</w:t>
            </w:r>
          </w:p>
        </w:tc>
        <w:tc>
          <w:tcPr>
            <w:tcW w:w="463"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498 770 139</w:t>
            </w:r>
          </w:p>
        </w:tc>
        <w:tc>
          <w:tcPr>
            <w:tcW w:w="463"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497 086 191</w:t>
            </w:r>
          </w:p>
        </w:tc>
        <w:tc>
          <w:tcPr>
            <w:tcW w:w="463"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509 795 976</w:t>
            </w:r>
          </w:p>
        </w:tc>
        <w:tc>
          <w:tcPr>
            <w:tcW w:w="463"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544 611 874</w:t>
            </w:r>
          </w:p>
        </w:tc>
        <w:tc>
          <w:tcPr>
            <w:tcW w:w="463"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520 542 102</w:t>
            </w:r>
          </w:p>
        </w:tc>
        <w:tc>
          <w:tcPr>
            <w:tcW w:w="463"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520 524 941</w:t>
            </w:r>
          </w:p>
        </w:tc>
        <w:tc>
          <w:tcPr>
            <w:tcW w:w="463"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520 524 941</w:t>
            </w:r>
          </w:p>
        </w:tc>
      </w:tr>
      <w:tr w:rsidR="00D2350F" w:rsidRPr="00086A6E" w:rsidTr="00D2350F">
        <w:trPr>
          <w:trHeight w:hRule="exact" w:val="255"/>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Rezortné vysokoškolské vzdelávanie</w:t>
            </w:r>
          </w:p>
        </w:tc>
        <w:tc>
          <w:tcPr>
            <w:tcW w:w="463"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25 131 355</w:t>
            </w:r>
          </w:p>
        </w:tc>
        <w:tc>
          <w:tcPr>
            <w:tcW w:w="463"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28 594 453</w:t>
            </w:r>
          </w:p>
        </w:tc>
        <w:tc>
          <w:tcPr>
            <w:tcW w:w="463"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27 791 204</w:t>
            </w:r>
          </w:p>
        </w:tc>
        <w:tc>
          <w:tcPr>
            <w:tcW w:w="463"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31 588 985</w:t>
            </w:r>
          </w:p>
        </w:tc>
        <w:tc>
          <w:tcPr>
            <w:tcW w:w="463"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28 919 834</w:t>
            </w:r>
          </w:p>
        </w:tc>
        <w:tc>
          <w:tcPr>
            <w:tcW w:w="463"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32 189 833</w:t>
            </w:r>
          </w:p>
        </w:tc>
        <w:tc>
          <w:tcPr>
            <w:tcW w:w="463"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33 820 892</w:t>
            </w:r>
          </w:p>
        </w:tc>
      </w:tr>
      <w:tr w:rsidR="00D2350F" w:rsidRPr="009F1E8C" w:rsidTr="00D2350F">
        <w:trPr>
          <w:trHeight w:hRule="exact" w:val="255"/>
        </w:trPr>
        <w:tc>
          <w:tcPr>
            <w:tcW w:w="1756" w:type="pct"/>
            <w:tcBorders>
              <w:top w:val="single" w:sz="4" w:space="0" w:color="auto"/>
              <w:left w:val="single" w:sz="4" w:space="0" w:color="auto"/>
              <w:bottom w:val="single" w:sz="4" w:space="0" w:color="auto"/>
              <w:right w:val="single" w:sz="4" w:space="0" w:color="auto"/>
            </w:tcBorders>
            <w:shd w:val="pct25" w:color="000000" w:fill="auto"/>
            <w:noWrap/>
            <w:vAlign w:val="bottom"/>
            <w:hideMark/>
          </w:tcPr>
          <w:p w:rsidR="00D2350F" w:rsidRPr="009F1E8C" w:rsidRDefault="00D2350F" w:rsidP="00D2350F">
            <w:pPr>
              <w:rPr>
                <w:rFonts w:ascii="Times New Roman" w:hAnsi="Times New Roman" w:cs="Times New Roman"/>
                <w:b/>
                <w:sz w:val="14"/>
                <w:szCs w:val="14"/>
                <w:lang w:eastAsia="sk-SK"/>
              </w:rPr>
            </w:pPr>
            <w:r w:rsidRPr="009F1E8C">
              <w:rPr>
                <w:rFonts w:ascii="Times New Roman" w:hAnsi="Times New Roman" w:cs="Times New Roman"/>
                <w:b/>
                <w:sz w:val="14"/>
                <w:szCs w:val="14"/>
                <w:lang w:eastAsia="sk-SK"/>
              </w:rPr>
              <w:t xml:space="preserve">Výdavky štátneho rozpočtu spolu </w:t>
            </w:r>
          </w:p>
        </w:tc>
        <w:tc>
          <w:tcPr>
            <w:tcW w:w="463"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9F1E8C" w:rsidRDefault="00D2350F" w:rsidP="00D2350F">
            <w:pPr>
              <w:jc w:val="right"/>
              <w:rPr>
                <w:rFonts w:ascii="Times New Roman" w:hAnsi="Times New Roman" w:cs="Times New Roman"/>
                <w:b/>
                <w:color w:val="000000"/>
                <w:sz w:val="14"/>
                <w:szCs w:val="14"/>
                <w:lang w:eastAsia="sk-SK"/>
              </w:rPr>
            </w:pPr>
            <w:r w:rsidRPr="009F1E8C">
              <w:rPr>
                <w:rFonts w:ascii="Times New Roman" w:hAnsi="Times New Roman" w:cs="Times New Roman"/>
                <w:b/>
                <w:color w:val="000000"/>
                <w:sz w:val="14"/>
                <w:szCs w:val="14"/>
              </w:rPr>
              <w:t>523 901 494</w:t>
            </w:r>
          </w:p>
        </w:tc>
        <w:tc>
          <w:tcPr>
            <w:tcW w:w="463"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9F1E8C" w:rsidRDefault="00D2350F" w:rsidP="00D2350F">
            <w:pPr>
              <w:jc w:val="right"/>
              <w:rPr>
                <w:rFonts w:ascii="Times New Roman" w:hAnsi="Times New Roman" w:cs="Times New Roman"/>
                <w:b/>
                <w:color w:val="000000"/>
                <w:sz w:val="14"/>
                <w:szCs w:val="14"/>
              </w:rPr>
            </w:pPr>
            <w:r w:rsidRPr="009F1E8C">
              <w:rPr>
                <w:rFonts w:ascii="Times New Roman" w:hAnsi="Times New Roman" w:cs="Times New Roman"/>
                <w:b/>
                <w:color w:val="000000"/>
                <w:sz w:val="14"/>
                <w:szCs w:val="14"/>
              </w:rPr>
              <w:t>525 680 644</w:t>
            </w:r>
          </w:p>
        </w:tc>
        <w:tc>
          <w:tcPr>
            <w:tcW w:w="463"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9F1E8C" w:rsidRDefault="00D2350F" w:rsidP="00D2350F">
            <w:pPr>
              <w:jc w:val="right"/>
              <w:rPr>
                <w:rFonts w:ascii="Times New Roman" w:hAnsi="Times New Roman" w:cs="Times New Roman"/>
                <w:b/>
                <w:color w:val="000000"/>
                <w:sz w:val="14"/>
                <w:szCs w:val="14"/>
              </w:rPr>
            </w:pPr>
            <w:r w:rsidRPr="009F1E8C">
              <w:rPr>
                <w:rFonts w:ascii="Times New Roman" w:hAnsi="Times New Roman" w:cs="Times New Roman"/>
                <w:b/>
                <w:color w:val="000000"/>
                <w:sz w:val="14"/>
                <w:szCs w:val="14"/>
              </w:rPr>
              <w:t>537 587 180</w:t>
            </w:r>
          </w:p>
        </w:tc>
        <w:tc>
          <w:tcPr>
            <w:tcW w:w="463"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9F1E8C" w:rsidRDefault="00D2350F" w:rsidP="00D2350F">
            <w:pPr>
              <w:jc w:val="right"/>
              <w:rPr>
                <w:rFonts w:ascii="Times New Roman" w:hAnsi="Times New Roman" w:cs="Times New Roman"/>
                <w:b/>
                <w:color w:val="000000"/>
                <w:sz w:val="14"/>
                <w:szCs w:val="14"/>
              </w:rPr>
            </w:pPr>
            <w:r w:rsidRPr="009F1E8C">
              <w:rPr>
                <w:rFonts w:ascii="Times New Roman" w:hAnsi="Times New Roman" w:cs="Times New Roman"/>
                <w:b/>
                <w:color w:val="000000"/>
                <w:sz w:val="14"/>
                <w:szCs w:val="14"/>
              </w:rPr>
              <w:t>576 200 859</w:t>
            </w:r>
          </w:p>
        </w:tc>
        <w:tc>
          <w:tcPr>
            <w:tcW w:w="463"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9F1E8C" w:rsidRDefault="00D2350F" w:rsidP="00D2350F">
            <w:pPr>
              <w:jc w:val="right"/>
              <w:rPr>
                <w:rFonts w:ascii="Times New Roman" w:hAnsi="Times New Roman" w:cs="Times New Roman"/>
                <w:b/>
                <w:color w:val="000000"/>
                <w:sz w:val="14"/>
                <w:szCs w:val="14"/>
              </w:rPr>
            </w:pPr>
            <w:r w:rsidRPr="009F1E8C">
              <w:rPr>
                <w:rFonts w:ascii="Times New Roman" w:hAnsi="Times New Roman" w:cs="Times New Roman"/>
                <w:b/>
                <w:color w:val="000000"/>
                <w:sz w:val="14"/>
                <w:szCs w:val="14"/>
              </w:rPr>
              <w:t>549 461 936</w:t>
            </w:r>
          </w:p>
        </w:tc>
        <w:tc>
          <w:tcPr>
            <w:tcW w:w="463"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9F1E8C" w:rsidRDefault="00D2350F" w:rsidP="00D2350F">
            <w:pPr>
              <w:jc w:val="right"/>
              <w:rPr>
                <w:rFonts w:ascii="Times New Roman" w:hAnsi="Times New Roman" w:cs="Times New Roman"/>
                <w:b/>
                <w:color w:val="000000"/>
                <w:sz w:val="14"/>
                <w:szCs w:val="14"/>
              </w:rPr>
            </w:pPr>
            <w:r w:rsidRPr="009F1E8C">
              <w:rPr>
                <w:rFonts w:ascii="Times New Roman" w:hAnsi="Times New Roman" w:cs="Times New Roman"/>
                <w:b/>
                <w:color w:val="000000"/>
                <w:sz w:val="14"/>
                <w:szCs w:val="14"/>
              </w:rPr>
              <w:t>552 714 774</w:t>
            </w:r>
          </w:p>
        </w:tc>
        <w:tc>
          <w:tcPr>
            <w:tcW w:w="463"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9F1E8C" w:rsidRDefault="00D2350F" w:rsidP="00D2350F">
            <w:pPr>
              <w:jc w:val="right"/>
              <w:rPr>
                <w:rFonts w:ascii="Times New Roman" w:hAnsi="Times New Roman" w:cs="Times New Roman"/>
                <w:b/>
                <w:color w:val="000000"/>
                <w:sz w:val="14"/>
                <w:szCs w:val="14"/>
              </w:rPr>
            </w:pPr>
            <w:r w:rsidRPr="009F1E8C">
              <w:rPr>
                <w:rFonts w:ascii="Times New Roman" w:hAnsi="Times New Roman" w:cs="Times New Roman"/>
                <w:b/>
                <w:color w:val="000000"/>
                <w:sz w:val="14"/>
                <w:szCs w:val="14"/>
              </w:rPr>
              <w:t>554 345 833</w:t>
            </w:r>
          </w:p>
        </w:tc>
      </w:tr>
      <w:tr w:rsidR="00D2350F" w:rsidRPr="00086A6E" w:rsidTr="00D2350F">
        <w:trPr>
          <w:trHeight w:hRule="exact" w:val="255"/>
        </w:trPr>
        <w:tc>
          <w:tcPr>
            <w:tcW w:w="1756"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Počet študentov (denní a externí) spolu</w:t>
            </w:r>
          </w:p>
        </w:tc>
        <w:tc>
          <w:tcPr>
            <w:tcW w:w="463"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133 883</w:t>
            </w:r>
          </w:p>
        </w:tc>
        <w:tc>
          <w:tcPr>
            <w:tcW w:w="463"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124 938</w:t>
            </w:r>
          </w:p>
        </w:tc>
        <w:tc>
          <w:tcPr>
            <w:tcW w:w="463"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116 140</w:t>
            </w:r>
          </w:p>
        </w:tc>
        <w:tc>
          <w:tcPr>
            <w:tcW w:w="463"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116 140</w:t>
            </w:r>
          </w:p>
        </w:tc>
        <w:tc>
          <w:tcPr>
            <w:tcW w:w="463"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112 424</w:t>
            </w:r>
          </w:p>
        </w:tc>
        <w:tc>
          <w:tcPr>
            <w:tcW w:w="463"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109 117</w:t>
            </w:r>
          </w:p>
        </w:tc>
        <w:tc>
          <w:tcPr>
            <w:tcW w:w="463"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107 501</w:t>
            </w:r>
          </w:p>
        </w:tc>
      </w:tr>
      <w:tr w:rsidR="00D2350F" w:rsidRPr="009F1E8C" w:rsidTr="00D2350F">
        <w:trPr>
          <w:trHeight w:hRule="exact" w:val="255"/>
        </w:trPr>
        <w:tc>
          <w:tcPr>
            <w:tcW w:w="1756" w:type="pct"/>
            <w:tcBorders>
              <w:top w:val="single" w:sz="4" w:space="0" w:color="auto"/>
              <w:left w:val="single" w:sz="4" w:space="0" w:color="auto"/>
              <w:bottom w:val="single" w:sz="4" w:space="0" w:color="auto"/>
              <w:right w:val="single" w:sz="4" w:space="0" w:color="auto"/>
            </w:tcBorders>
            <w:shd w:val="pct25" w:color="000000" w:fill="auto"/>
            <w:noWrap/>
            <w:vAlign w:val="bottom"/>
            <w:hideMark/>
          </w:tcPr>
          <w:p w:rsidR="00D2350F" w:rsidRPr="009F1E8C" w:rsidRDefault="00D2350F" w:rsidP="00D2350F">
            <w:pPr>
              <w:rPr>
                <w:rFonts w:ascii="Times New Roman" w:hAnsi="Times New Roman" w:cs="Times New Roman"/>
                <w:b/>
                <w:sz w:val="14"/>
                <w:szCs w:val="14"/>
                <w:lang w:eastAsia="sk-SK"/>
              </w:rPr>
            </w:pPr>
            <w:r w:rsidRPr="009F1E8C">
              <w:rPr>
                <w:rFonts w:ascii="Times New Roman" w:hAnsi="Times New Roman" w:cs="Times New Roman"/>
                <w:b/>
                <w:sz w:val="14"/>
                <w:szCs w:val="14"/>
                <w:lang w:eastAsia="sk-SK"/>
              </w:rPr>
              <w:t>Výdavky na študenta vysokej školy v eurách</w:t>
            </w:r>
          </w:p>
        </w:tc>
        <w:tc>
          <w:tcPr>
            <w:tcW w:w="463"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9F1E8C" w:rsidRDefault="00D2350F" w:rsidP="00D2350F">
            <w:pPr>
              <w:jc w:val="right"/>
              <w:rPr>
                <w:rFonts w:ascii="Times New Roman" w:hAnsi="Times New Roman" w:cs="Times New Roman"/>
                <w:b/>
                <w:sz w:val="14"/>
                <w:szCs w:val="14"/>
                <w:lang w:eastAsia="sk-SK"/>
              </w:rPr>
            </w:pPr>
            <w:r w:rsidRPr="009F1E8C">
              <w:rPr>
                <w:rFonts w:ascii="Times New Roman" w:hAnsi="Times New Roman" w:cs="Times New Roman"/>
                <w:b/>
                <w:sz w:val="14"/>
                <w:szCs w:val="14"/>
                <w:lang w:eastAsia="sk-SK"/>
              </w:rPr>
              <w:t>3 913</w:t>
            </w:r>
          </w:p>
        </w:tc>
        <w:tc>
          <w:tcPr>
            <w:tcW w:w="463"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9F1E8C" w:rsidRDefault="00D2350F" w:rsidP="00D2350F">
            <w:pPr>
              <w:jc w:val="right"/>
              <w:rPr>
                <w:rFonts w:ascii="Times New Roman" w:hAnsi="Times New Roman" w:cs="Times New Roman"/>
                <w:b/>
                <w:sz w:val="14"/>
                <w:szCs w:val="14"/>
                <w:lang w:eastAsia="sk-SK"/>
              </w:rPr>
            </w:pPr>
            <w:r w:rsidRPr="009F1E8C">
              <w:rPr>
                <w:rFonts w:ascii="Times New Roman" w:hAnsi="Times New Roman" w:cs="Times New Roman"/>
                <w:b/>
                <w:sz w:val="14"/>
                <w:szCs w:val="14"/>
                <w:lang w:eastAsia="sk-SK"/>
              </w:rPr>
              <w:t>4 208</w:t>
            </w:r>
          </w:p>
        </w:tc>
        <w:tc>
          <w:tcPr>
            <w:tcW w:w="463"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9F1E8C" w:rsidRDefault="00D2350F" w:rsidP="00D2350F">
            <w:pPr>
              <w:jc w:val="right"/>
              <w:rPr>
                <w:rFonts w:ascii="Times New Roman" w:hAnsi="Times New Roman" w:cs="Times New Roman"/>
                <w:b/>
                <w:sz w:val="14"/>
                <w:szCs w:val="14"/>
                <w:lang w:eastAsia="sk-SK"/>
              </w:rPr>
            </w:pPr>
            <w:r w:rsidRPr="009F1E8C">
              <w:rPr>
                <w:rFonts w:ascii="Times New Roman" w:hAnsi="Times New Roman" w:cs="Times New Roman"/>
                <w:b/>
                <w:sz w:val="14"/>
                <w:szCs w:val="14"/>
                <w:lang w:eastAsia="sk-SK"/>
              </w:rPr>
              <w:t>4 629</w:t>
            </w:r>
          </w:p>
        </w:tc>
        <w:tc>
          <w:tcPr>
            <w:tcW w:w="463"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9F1E8C" w:rsidRDefault="00D2350F" w:rsidP="00D2350F">
            <w:pPr>
              <w:jc w:val="right"/>
              <w:rPr>
                <w:rFonts w:ascii="Times New Roman" w:hAnsi="Times New Roman" w:cs="Times New Roman"/>
                <w:b/>
                <w:sz w:val="14"/>
                <w:szCs w:val="14"/>
                <w:lang w:eastAsia="sk-SK"/>
              </w:rPr>
            </w:pPr>
            <w:r w:rsidRPr="009F1E8C">
              <w:rPr>
                <w:rFonts w:ascii="Times New Roman" w:hAnsi="Times New Roman" w:cs="Times New Roman"/>
                <w:b/>
                <w:sz w:val="14"/>
                <w:szCs w:val="14"/>
                <w:lang w:eastAsia="sk-SK"/>
              </w:rPr>
              <w:t>4 961</w:t>
            </w:r>
          </w:p>
        </w:tc>
        <w:tc>
          <w:tcPr>
            <w:tcW w:w="463"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9F1E8C" w:rsidRDefault="00D2350F" w:rsidP="00D2350F">
            <w:pPr>
              <w:jc w:val="right"/>
              <w:rPr>
                <w:rFonts w:ascii="Times New Roman" w:hAnsi="Times New Roman" w:cs="Times New Roman"/>
                <w:b/>
                <w:sz w:val="14"/>
                <w:szCs w:val="14"/>
                <w:lang w:eastAsia="sk-SK"/>
              </w:rPr>
            </w:pPr>
            <w:r w:rsidRPr="009F1E8C">
              <w:rPr>
                <w:rFonts w:ascii="Times New Roman" w:hAnsi="Times New Roman" w:cs="Times New Roman"/>
                <w:b/>
                <w:sz w:val="14"/>
                <w:szCs w:val="14"/>
                <w:lang w:eastAsia="sk-SK"/>
              </w:rPr>
              <w:t>4 887</w:t>
            </w:r>
          </w:p>
        </w:tc>
        <w:tc>
          <w:tcPr>
            <w:tcW w:w="463"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9F1E8C" w:rsidRDefault="00D2350F" w:rsidP="00D2350F">
            <w:pPr>
              <w:jc w:val="right"/>
              <w:rPr>
                <w:rFonts w:ascii="Times New Roman" w:hAnsi="Times New Roman" w:cs="Times New Roman"/>
                <w:b/>
                <w:sz w:val="14"/>
                <w:szCs w:val="14"/>
                <w:lang w:eastAsia="sk-SK"/>
              </w:rPr>
            </w:pPr>
            <w:r w:rsidRPr="009F1E8C">
              <w:rPr>
                <w:rFonts w:ascii="Times New Roman" w:hAnsi="Times New Roman" w:cs="Times New Roman"/>
                <w:b/>
                <w:sz w:val="14"/>
                <w:szCs w:val="14"/>
                <w:lang w:eastAsia="sk-SK"/>
              </w:rPr>
              <w:t>5 065</w:t>
            </w:r>
          </w:p>
        </w:tc>
        <w:tc>
          <w:tcPr>
            <w:tcW w:w="463"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9F1E8C" w:rsidRDefault="00D2350F" w:rsidP="00D2350F">
            <w:pPr>
              <w:jc w:val="right"/>
              <w:rPr>
                <w:rFonts w:ascii="Times New Roman" w:hAnsi="Times New Roman" w:cs="Times New Roman"/>
                <w:b/>
                <w:sz w:val="14"/>
                <w:szCs w:val="14"/>
                <w:lang w:eastAsia="sk-SK"/>
              </w:rPr>
            </w:pPr>
            <w:r w:rsidRPr="009F1E8C">
              <w:rPr>
                <w:rFonts w:ascii="Times New Roman" w:hAnsi="Times New Roman" w:cs="Times New Roman"/>
                <w:b/>
                <w:sz w:val="14"/>
                <w:szCs w:val="14"/>
                <w:lang w:eastAsia="sk-SK"/>
              </w:rPr>
              <w:t>5 157</w:t>
            </w:r>
          </w:p>
        </w:tc>
      </w:tr>
    </w:tbl>
    <w:p w:rsidR="00D2350F" w:rsidRPr="00086A6E" w:rsidRDefault="00D2350F" w:rsidP="00D2350F">
      <w:pPr>
        <w:spacing w:after="200" w:line="276" w:lineRule="auto"/>
        <w:contextualSpacing/>
        <w:jc w:val="both"/>
        <w:rPr>
          <w:rFonts w:ascii="Times New Roman" w:hAnsi="Times New Roman" w:cs="Times New Roman"/>
          <w:b/>
        </w:rPr>
      </w:pPr>
    </w:p>
    <w:p w:rsidR="00D2350F" w:rsidRPr="00086A6E" w:rsidRDefault="00D2350F" w:rsidP="00D2350F">
      <w:pPr>
        <w:spacing w:after="200" w:line="276" w:lineRule="auto"/>
        <w:contextualSpacing/>
        <w:jc w:val="both"/>
        <w:rPr>
          <w:rFonts w:ascii="Times New Roman" w:hAnsi="Times New Roman" w:cs="Times New Roman"/>
          <w:b/>
        </w:rPr>
      </w:pPr>
      <w:r w:rsidRPr="00086A6E">
        <w:rPr>
          <w:rFonts w:ascii="Times New Roman" w:hAnsi="Times New Roman" w:cs="Times New Roman"/>
          <w:b/>
        </w:rPr>
        <w:t>Veda a technika</w:t>
      </w:r>
    </w:p>
    <w:p w:rsidR="00D2350F" w:rsidRPr="00086A6E" w:rsidRDefault="00D2350F" w:rsidP="00D2350F">
      <w:pPr>
        <w:ind w:right="-20"/>
        <w:jc w:val="both"/>
        <w:rPr>
          <w:rFonts w:ascii="Times New Roman" w:eastAsia="Calibri" w:hAnsi="Times New Roman" w:cs="Times New Roman"/>
          <w:highlight w:val="yellow"/>
        </w:rPr>
      </w:pPr>
    </w:p>
    <w:p w:rsidR="00D2350F" w:rsidRPr="00086A6E" w:rsidRDefault="00D2350F" w:rsidP="00D2350F">
      <w:pPr>
        <w:ind w:firstLine="709"/>
        <w:jc w:val="both"/>
        <w:rPr>
          <w:rFonts w:ascii="Times New Roman" w:eastAsia="Calibri" w:hAnsi="Times New Roman" w:cs="Times New Roman"/>
        </w:rPr>
      </w:pPr>
      <w:r w:rsidRPr="00086A6E">
        <w:rPr>
          <w:rFonts w:ascii="Times New Roman" w:eastAsia="Calibri" w:hAnsi="Times New Roman" w:cs="Times New Roman"/>
        </w:rPr>
        <w:t xml:space="preserve">Výkon slovenskej vedy výrazne zaostáva v porovnaní s inými vyspelými krajinami. Zaostávanie v počte impaktových publikácií na počet obyvateľov sa týka takmer všetkých vedných oborov, vrátane tých so silným zastúpením v počte výskumníkov. Rozdiel sa ďalej prehlbuje, ak sú posudzované len publikácie v špičkových časopisoch. </w:t>
      </w:r>
    </w:p>
    <w:p w:rsidR="00D2350F" w:rsidRPr="00086A6E" w:rsidRDefault="00D2350F" w:rsidP="00D2350F">
      <w:pPr>
        <w:ind w:firstLine="709"/>
        <w:jc w:val="both"/>
        <w:rPr>
          <w:rFonts w:ascii="Times New Roman" w:hAnsi="Times New Roman" w:cs="Times New Roman"/>
        </w:rPr>
      </w:pPr>
    </w:p>
    <w:p w:rsidR="00D2350F" w:rsidRDefault="00D2350F" w:rsidP="00D2350F">
      <w:pPr>
        <w:ind w:firstLine="709"/>
        <w:jc w:val="both"/>
        <w:rPr>
          <w:rFonts w:ascii="Times New Roman" w:hAnsi="Times New Roman" w:cs="Times New Roman"/>
        </w:rPr>
      </w:pPr>
      <w:r w:rsidRPr="00086A6E">
        <w:rPr>
          <w:rFonts w:ascii="Times New Roman" w:hAnsi="Times New Roman" w:cs="Times New Roman"/>
        </w:rPr>
        <w:t>Indikátorom nízko rozvinutej excelentnosti v slovenskej vede je tiež slabé využívanie grantov ERC</w:t>
      </w:r>
      <w:r w:rsidRPr="00086A6E">
        <w:rPr>
          <w:rFonts w:ascii="Times New Roman" w:hAnsi="Times New Roman" w:cs="Times New Roman"/>
          <w:b/>
        </w:rPr>
        <w:t>.</w:t>
      </w:r>
      <w:r w:rsidRPr="00086A6E">
        <w:rPr>
          <w:rFonts w:ascii="Times New Roman" w:hAnsi="Times New Roman" w:cs="Times New Roman"/>
        </w:rPr>
        <w:t xml:space="preserve"> Medzi viac ako 7 000 projektmi financovanými jednou z najprestížnejších grantových schém na svete ERC bol od roku 2007 len jeden slovenský projekt (konkrétne z Chemického ústavu SAV). Za rovnaké obdobie ERC financovalo 30 projektov z ČR, </w:t>
      </w:r>
      <w:r>
        <w:rPr>
          <w:rFonts w:ascii="Times New Roman" w:hAnsi="Times New Roman" w:cs="Times New Roman"/>
        </w:rPr>
        <w:br/>
      </w:r>
      <w:r w:rsidRPr="00086A6E">
        <w:rPr>
          <w:rFonts w:ascii="Times New Roman" w:hAnsi="Times New Roman" w:cs="Times New Roman"/>
        </w:rPr>
        <w:t xml:space="preserve">65 projektov z Maďarska alebo 765 projektov z Holandska. </w:t>
      </w:r>
    </w:p>
    <w:p w:rsidR="00D2350F" w:rsidRPr="00086A6E" w:rsidRDefault="00D2350F" w:rsidP="00D2350F">
      <w:pPr>
        <w:ind w:firstLine="709"/>
        <w:jc w:val="both"/>
        <w:rPr>
          <w:rFonts w:ascii="Times New Roman" w:hAnsi="Times New Roman" w:cs="Times New Roman"/>
        </w:rPr>
      </w:pPr>
    </w:p>
    <w:p w:rsidR="00D2350F" w:rsidRPr="00086A6E" w:rsidRDefault="00D2350F" w:rsidP="00D2350F">
      <w:pPr>
        <w:ind w:firstLine="709"/>
        <w:jc w:val="both"/>
        <w:rPr>
          <w:rFonts w:ascii="Times New Roman" w:hAnsi="Times New Roman" w:cs="Times New Roman"/>
        </w:rPr>
      </w:pPr>
    </w:p>
    <w:tbl>
      <w:tblPr>
        <w:tblW w:w="5094"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1E0" w:firstRow="1" w:lastRow="1" w:firstColumn="1" w:lastColumn="1" w:noHBand="0" w:noVBand="0"/>
      </w:tblPr>
      <w:tblGrid>
        <w:gridCol w:w="4538"/>
        <w:gridCol w:w="283"/>
        <w:gridCol w:w="4422"/>
      </w:tblGrid>
      <w:tr w:rsidR="00D2350F" w:rsidRPr="00086A6E" w:rsidTr="00D2350F">
        <w:trPr>
          <w:trHeight w:val="360"/>
          <w:jc w:val="center"/>
        </w:trPr>
        <w:tc>
          <w:tcPr>
            <w:tcW w:w="4538" w:type="dxa"/>
            <w:tcBorders>
              <w:top w:val="nil"/>
              <w:left w:val="nil"/>
              <w:bottom w:val="single" w:sz="4" w:space="0" w:color="auto"/>
              <w:right w:val="nil"/>
            </w:tcBorders>
            <w:vAlign w:val="bottom"/>
          </w:tcPr>
          <w:p w:rsidR="00D2350F" w:rsidRPr="00086A6E" w:rsidRDefault="00D2350F" w:rsidP="00D2350F">
            <w:pPr>
              <w:spacing w:after="200"/>
              <w:ind w:right="-20"/>
              <w:rPr>
                <w:rFonts w:ascii="Times New Roman" w:eastAsia="Calibri" w:hAnsi="Times New Roman" w:cs="Times New Roman"/>
                <w:i/>
                <w:iCs/>
                <w:noProof/>
                <w:sz w:val="18"/>
                <w:szCs w:val="18"/>
                <w:lang w:eastAsia="en-US"/>
              </w:rPr>
            </w:pPr>
            <w:bookmarkStart w:id="91" w:name="_Toc477798015"/>
            <w:r w:rsidRPr="00086A6E">
              <w:rPr>
                <w:rFonts w:ascii="Times New Roman" w:eastAsia="Arial" w:hAnsi="Times New Roman" w:cs="Arial"/>
                <w:b/>
                <w:color w:val="000000"/>
                <w:sz w:val="18"/>
                <w:szCs w:val="18"/>
                <w:lang w:val="fr-FR" w:eastAsia="fr-FR" w:bidi="fr-FR"/>
              </w:rPr>
              <w:lastRenderedPageBreak/>
              <w:t>Graf: Vstupy a výstupy VaT ako % priemeru V3</w:t>
            </w:r>
            <w:bookmarkEnd w:id="91"/>
          </w:p>
        </w:tc>
        <w:tc>
          <w:tcPr>
            <w:tcW w:w="283" w:type="dxa"/>
            <w:tcBorders>
              <w:top w:val="nil"/>
              <w:left w:val="nil"/>
              <w:bottom w:val="single" w:sz="4" w:space="0" w:color="auto"/>
              <w:right w:val="nil"/>
            </w:tcBorders>
          </w:tcPr>
          <w:p w:rsidR="00D2350F" w:rsidRPr="00086A6E" w:rsidRDefault="00D2350F" w:rsidP="00D2350F">
            <w:pPr>
              <w:spacing w:after="200"/>
              <w:ind w:right="-20"/>
              <w:rPr>
                <w:rFonts w:ascii="Times New Roman" w:eastAsia="Calibri" w:hAnsi="Times New Roman" w:cs="Times New Roman"/>
                <w:i/>
                <w:iCs/>
                <w:sz w:val="18"/>
                <w:szCs w:val="18"/>
                <w:lang w:eastAsia="en-US"/>
              </w:rPr>
            </w:pPr>
          </w:p>
        </w:tc>
        <w:tc>
          <w:tcPr>
            <w:tcW w:w="4422" w:type="dxa"/>
            <w:tcBorders>
              <w:top w:val="nil"/>
              <w:left w:val="nil"/>
              <w:bottom w:val="single" w:sz="4" w:space="0" w:color="auto"/>
              <w:right w:val="nil"/>
            </w:tcBorders>
          </w:tcPr>
          <w:p w:rsidR="00D2350F" w:rsidRPr="00086A6E" w:rsidRDefault="00D2350F" w:rsidP="00D2350F">
            <w:pPr>
              <w:spacing w:after="200"/>
              <w:ind w:right="-20"/>
              <w:rPr>
                <w:rFonts w:ascii="Times New Roman" w:eastAsia="Calibri" w:hAnsi="Times New Roman" w:cs="Times New Roman"/>
                <w:i/>
                <w:iCs/>
                <w:sz w:val="18"/>
                <w:szCs w:val="18"/>
                <w:lang w:eastAsia="en-US"/>
              </w:rPr>
            </w:pPr>
            <w:r w:rsidRPr="00086A6E">
              <w:rPr>
                <w:rFonts w:ascii="Times New Roman" w:eastAsia="Arial" w:hAnsi="Times New Roman" w:cs="Arial"/>
                <w:b/>
                <w:color w:val="000000"/>
                <w:sz w:val="18"/>
                <w:szCs w:val="18"/>
                <w:lang w:val="fr-FR" w:eastAsia="fr-FR" w:bidi="fr-FR"/>
              </w:rPr>
              <w:t>Graf: Výdavky na vedu a výskum v % HDP</w:t>
            </w:r>
          </w:p>
        </w:tc>
      </w:tr>
      <w:tr w:rsidR="00D2350F" w:rsidRPr="00086A6E" w:rsidTr="00D2350F">
        <w:trPr>
          <w:trHeight w:val="944"/>
          <w:jc w:val="center"/>
        </w:trPr>
        <w:tc>
          <w:tcPr>
            <w:tcW w:w="4538" w:type="dxa"/>
            <w:tcBorders>
              <w:top w:val="single" w:sz="4" w:space="0" w:color="auto"/>
              <w:left w:val="nil"/>
              <w:bottom w:val="single" w:sz="4" w:space="0" w:color="auto"/>
              <w:right w:val="nil"/>
            </w:tcBorders>
            <w:vAlign w:val="center"/>
          </w:tcPr>
          <w:p w:rsidR="00D2350F" w:rsidRPr="00086A6E" w:rsidRDefault="00D2350F" w:rsidP="00D2350F">
            <w:pPr>
              <w:spacing w:before="40" w:after="40"/>
              <w:ind w:right="-20"/>
              <w:jc w:val="center"/>
              <w:rPr>
                <w:rFonts w:ascii="Times New Roman" w:hAnsi="Times New Roman" w:cs="Times New Roman"/>
                <w:b/>
              </w:rPr>
            </w:pPr>
            <w:r w:rsidRPr="00086A6E">
              <w:rPr>
                <w:noProof/>
                <w:lang w:eastAsia="sk-SK"/>
              </w:rPr>
              <w:drawing>
                <wp:inline distT="0" distB="0" distL="0" distR="0" wp14:anchorId="19B9EFD9" wp14:editId="0D331979">
                  <wp:extent cx="2792730" cy="1939925"/>
                  <wp:effectExtent l="0" t="0" r="7620" b="3175"/>
                  <wp:docPr id="17" name="Graf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283" w:type="dxa"/>
            <w:tcBorders>
              <w:top w:val="single" w:sz="4" w:space="0" w:color="auto"/>
              <w:left w:val="nil"/>
              <w:bottom w:val="single" w:sz="4" w:space="0" w:color="auto"/>
              <w:right w:val="nil"/>
            </w:tcBorders>
          </w:tcPr>
          <w:p w:rsidR="00D2350F" w:rsidRPr="00086A6E" w:rsidRDefault="00D2350F" w:rsidP="00D2350F">
            <w:pPr>
              <w:spacing w:before="40" w:after="40"/>
              <w:ind w:right="-20"/>
              <w:jc w:val="center"/>
              <w:rPr>
                <w:rFonts w:ascii="Times New Roman" w:hAnsi="Times New Roman" w:cs="Times New Roman"/>
                <w:noProof/>
              </w:rPr>
            </w:pPr>
          </w:p>
        </w:tc>
        <w:tc>
          <w:tcPr>
            <w:tcW w:w="4422" w:type="dxa"/>
            <w:tcBorders>
              <w:top w:val="single" w:sz="4" w:space="0" w:color="auto"/>
              <w:left w:val="nil"/>
              <w:bottom w:val="single" w:sz="4" w:space="0" w:color="auto"/>
              <w:right w:val="nil"/>
            </w:tcBorders>
          </w:tcPr>
          <w:p w:rsidR="00D2350F" w:rsidRPr="00086A6E" w:rsidRDefault="00D2350F" w:rsidP="00D2350F">
            <w:pPr>
              <w:spacing w:before="40" w:after="40"/>
              <w:ind w:right="-20"/>
              <w:jc w:val="center"/>
              <w:rPr>
                <w:rFonts w:ascii="Times New Roman" w:hAnsi="Times New Roman" w:cs="Times New Roman"/>
                <w:noProof/>
              </w:rPr>
            </w:pPr>
            <w:r w:rsidRPr="00086A6E">
              <w:rPr>
                <w:noProof/>
                <w:lang w:eastAsia="sk-SK"/>
              </w:rPr>
              <w:drawing>
                <wp:inline distT="0" distB="0" distL="0" distR="0" wp14:anchorId="7C64EEED" wp14:editId="472EEE3D">
                  <wp:extent cx="2701290" cy="1943100"/>
                  <wp:effectExtent l="0" t="0" r="3810" b="0"/>
                  <wp:docPr id="18" name="Graf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D2350F" w:rsidRPr="00086A6E" w:rsidTr="00D2350F">
        <w:trPr>
          <w:trHeight w:val="120"/>
          <w:jc w:val="center"/>
        </w:trPr>
        <w:tc>
          <w:tcPr>
            <w:tcW w:w="4538" w:type="dxa"/>
            <w:tcBorders>
              <w:top w:val="single" w:sz="4" w:space="0" w:color="auto"/>
              <w:left w:val="nil"/>
              <w:bottom w:val="nil"/>
              <w:right w:val="nil"/>
            </w:tcBorders>
            <w:vAlign w:val="center"/>
          </w:tcPr>
          <w:p w:rsidR="00D2350F" w:rsidRPr="00086A6E" w:rsidRDefault="00D2350F" w:rsidP="00D2350F">
            <w:pPr>
              <w:spacing w:after="120"/>
              <w:ind w:right="-20"/>
              <w:jc w:val="right"/>
              <w:rPr>
                <w:rFonts w:ascii="Times New Roman" w:hAnsi="Times New Roman" w:cs="Times New Roman"/>
                <w:sz w:val="16"/>
                <w:szCs w:val="14"/>
              </w:rPr>
            </w:pPr>
            <w:r w:rsidRPr="00086A6E">
              <w:rPr>
                <w:rFonts w:ascii="Times New Roman" w:hAnsi="Times New Roman" w:cs="Times New Roman"/>
                <w:i/>
                <w:iCs/>
                <w:color w:val="000000"/>
                <w:sz w:val="16"/>
                <w:szCs w:val="16"/>
              </w:rPr>
              <w:t xml:space="preserve">Zdroj: Eurostat, Scimago </w:t>
            </w:r>
          </w:p>
        </w:tc>
        <w:tc>
          <w:tcPr>
            <w:tcW w:w="283" w:type="dxa"/>
            <w:tcBorders>
              <w:top w:val="single" w:sz="4" w:space="0" w:color="auto"/>
              <w:left w:val="nil"/>
              <w:bottom w:val="nil"/>
              <w:right w:val="nil"/>
            </w:tcBorders>
          </w:tcPr>
          <w:p w:rsidR="00D2350F" w:rsidRPr="00086A6E" w:rsidRDefault="00D2350F" w:rsidP="00D2350F">
            <w:pPr>
              <w:spacing w:after="120"/>
              <w:ind w:right="-20"/>
              <w:jc w:val="right"/>
              <w:rPr>
                <w:rFonts w:ascii="Times New Roman" w:hAnsi="Times New Roman" w:cs="Times New Roman"/>
                <w:i/>
                <w:iCs/>
                <w:color w:val="000000"/>
                <w:sz w:val="16"/>
                <w:szCs w:val="16"/>
              </w:rPr>
            </w:pPr>
          </w:p>
        </w:tc>
        <w:tc>
          <w:tcPr>
            <w:tcW w:w="4422" w:type="dxa"/>
            <w:tcBorders>
              <w:top w:val="single" w:sz="4" w:space="0" w:color="auto"/>
              <w:left w:val="nil"/>
              <w:bottom w:val="nil"/>
              <w:right w:val="nil"/>
            </w:tcBorders>
          </w:tcPr>
          <w:p w:rsidR="00D2350F" w:rsidRPr="00086A6E" w:rsidRDefault="00D2350F" w:rsidP="00D2350F">
            <w:pPr>
              <w:spacing w:after="120"/>
              <w:ind w:right="-20"/>
              <w:jc w:val="right"/>
              <w:rPr>
                <w:rFonts w:ascii="Times New Roman" w:hAnsi="Times New Roman" w:cs="Times New Roman"/>
                <w:i/>
                <w:iCs/>
                <w:color w:val="000000"/>
                <w:sz w:val="16"/>
                <w:szCs w:val="16"/>
              </w:rPr>
            </w:pPr>
            <w:r w:rsidRPr="00086A6E">
              <w:rPr>
                <w:rFonts w:ascii="Times New Roman" w:hAnsi="Times New Roman" w:cs="Times New Roman"/>
                <w:i/>
                <w:iCs/>
                <w:color w:val="000000"/>
                <w:sz w:val="16"/>
                <w:szCs w:val="16"/>
              </w:rPr>
              <w:t>Zdroj: Eurostat</w:t>
            </w:r>
          </w:p>
        </w:tc>
      </w:tr>
    </w:tbl>
    <w:p w:rsidR="00D2350F" w:rsidRPr="00086A6E" w:rsidRDefault="00D2350F" w:rsidP="00D2350F">
      <w:pPr>
        <w:ind w:firstLine="709"/>
        <w:jc w:val="both"/>
        <w:rPr>
          <w:rFonts w:ascii="Times New Roman" w:eastAsia="Calibri" w:hAnsi="Times New Roman" w:cs="Times New Roman"/>
          <w:highlight w:val="green"/>
        </w:rPr>
      </w:pPr>
    </w:p>
    <w:p w:rsidR="00D2350F" w:rsidRPr="00086A6E" w:rsidRDefault="00D2350F" w:rsidP="00D2350F">
      <w:pPr>
        <w:ind w:firstLine="709"/>
        <w:jc w:val="both"/>
        <w:rPr>
          <w:rFonts w:ascii="Times New Roman" w:eastAsia="Calibri" w:hAnsi="Times New Roman" w:cs="Times New Roman"/>
        </w:rPr>
      </w:pPr>
      <w:r w:rsidRPr="00086A6E">
        <w:rPr>
          <w:rFonts w:ascii="Times New Roman" w:eastAsia="Calibri" w:hAnsi="Times New Roman" w:cs="Times New Roman"/>
        </w:rPr>
        <w:t xml:space="preserve">Slovensko dáva podľa Eurostatu na vedu a výskum približne 0,8 % HDP, čím stále výrazne zaostáva za priemerom krajín OECD aj V3, predovšetkým podielom súkromných zdrojov. Rastúce výdavky na vedu a výskum sa vo výsledkoch výraznejšie neprejavili. Výskumníci produkujú menej publikácií, ich citovanosť sa mierne zvýšila, ale stále je 25 % pod priemerom krajín V3. </w:t>
      </w:r>
    </w:p>
    <w:p w:rsidR="00D2350F" w:rsidRPr="00086A6E" w:rsidRDefault="00D2350F" w:rsidP="00D2350F">
      <w:pPr>
        <w:ind w:firstLine="709"/>
        <w:jc w:val="both"/>
        <w:rPr>
          <w:rFonts w:ascii="Times New Roman" w:eastAsia="Calibri" w:hAnsi="Times New Roman" w:cs="Times New Roman"/>
        </w:rPr>
      </w:pPr>
    </w:p>
    <w:p w:rsidR="00D2350F" w:rsidRDefault="0034436A" w:rsidP="00D2350F">
      <w:pPr>
        <w:ind w:firstLine="709"/>
        <w:jc w:val="both"/>
        <w:rPr>
          <w:rFonts w:ascii="Times New Roman" w:eastAsia="Calibri" w:hAnsi="Times New Roman" w:cs="Times New Roman"/>
        </w:rPr>
      </w:pPr>
      <w:r>
        <w:rPr>
          <w:rFonts w:ascii="Times New Roman" w:eastAsia="Calibri" w:hAnsi="Times New Roman" w:cs="Times New Roman"/>
        </w:rPr>
        <w:t>Okrem prostriedkov</w:t>
      </w:r>
      <w:r w:rsidR="00D2350F" w:rsidRPr="00086A6E">
        <w:rPr>
          <w:rFonts w:ascii="Times New Roman" w:eastAsia="Calibri" w:hAnsi="Times New Roman" w:cs="Times New Roman"/>
        </w:rPr>
        <w:t xml:space="preserve"> z fondov EÚ, väčšina verejných zdrojov </w:t>
      </w:r>
      <w:r w:rsidR="00A6758D">
        <w:rPr>
          <w:rFonts w:ascii="Times New Roman" w:eastAsia="Calibri" w:hAnsi="Times New Roman" w:cs="Times New Roman"/>
        </w:rPr>
        <w:t>na</w:t>
      </w:r>
      <w:r w:rsidR="00D2350F" w:rsidRPr="00086A6E">
        <w:rPr>
          <w:rFonts w:ascii="Times New Roman" w:eastAsia="Calibri" w:hAnsi="Times New Roman" w:cs="Times New Roman"/>
        </w:rPr>
        <w:t xml:space="preserve"> ved</w:t>
      </w:r>
      <w:r w:rsidR="00A6758D">
        <w:rPr>
          <w:rFonts w:ascii="Times New Roman" w:eastAsia="Calibri" w:hAnsi="Times New Roman" w:cs="Times New Roman"/>
        </w:rPr>
        <w:t>u</w:t>
      </w:r>
      <w:r w:rsidR="00D2350F" w:rsidRPr="00086A6E">
        <w:rPr>
          <w:rFonts w:ascii="Times New Roman" w:eastAsia="Calibri" w:hAnsi="Times New Roman" w:cs="Times New Roman"/>
        </w:rPr>
        <w:t xml:space="preserve"> a</w:t>
      </w:r>
      <w:r w:rsidR="00A6758D">
        <w:rPr>
          <w:rFonts w:ascii="Times New Roman" w:eastAsia="Calibri" w:hAnsi="Times New Roman" w:cs="Times New Roman"/>
        </w:rPr>
        <w:t> </w:t>
      </w:r>
      <w:r w:rsidR="00D2350F" w:rsidRPr="00086A6E">
        <w:rPr>
          <w:rFonts w:ascii="Times New Roman" w:eastAsia="Calibri" w:hAnsi="Times New Roman" w:cs="Times New Roman"/>
        </w:rPr>
        <w:t>výskum</w:t>
      </w:r>
      <w:r w:rsidR="00A6758D">
        <w:rPr>
          <w:rFonts w:ascii="Times New Roman" w:eastAsia="Calibri" w:hAnsi="Times New Roman" w:cs="Times New Roman"/>
        </w:rPr>
        <w:t xml:space="preserve"> sa rozpočtuje vo verejných vysokých ško</w:t>
      </w:r>
      <w:r w:rsidR="00D2350F" w:rsidRPr="00086A6E">
        <w:rPr>
          <w:rFonts w:ascii="Times New Roman" w:eastAsia="Calibri" w:hAnsi="Times New Roman" w:cs="Times New Roman"/>
        </w:rPr>
        <w:t>l</w:t>
      </w:r>
      <w:r w:rsidR="00A6758D">
        <w:rPr>
          <w:rFonts w:ascii="Times New Roman" w:eastAsia="Calibri" w:hAnsi="Times New Roman" w:cs="Times New Roman"/>
        </w:rPr>
        <w:t>ách</w:t>
      </w:r>
      <w:r w:rsidR="00D2350F" w:rsidRPr="00086A6E">
        <w:rPr>
          <w:rFonts w:ascii="Times New Roman" w:eastAsia="Calibri" w:hAnsi="Times New Roman" w:cs="Times New Roman"/>
        </w:rPr>
        <w:t>. Okrem toho MŠVVŠ SR financuje vedu prostredníctvom svojich podriadených organizácií, najmä Agentúry na podporu výskumu a vývoja (APVV). MŠVVŠ SR tiež financuje členské príspevky v medzinárodných organizáciách a financuje aj iné aktivity spadajúce pod vedu, výskum a vývoj. Do oblasti výskumu a vývoja smeruje aj veľká časť prostriedkov z fondov EÚ.</w:t>
      </w:r>
    </w:p>
    <w:p w:rsidR="00D2350F" w:rsidRPr="00086A6E" w:rsidRDefault="00D2350F" w:rsidP="00D2350F">
      <w:pPr>
        <w:spacing w:line="240" w:lineRule="exact"/>
        <w:ind w:right="-20"/>
        <w:jc w:val="both"/>
        <w:rPr>
          <w:rFonts w:ascii="Times New Roman" w:eastAsia="Calibri" w:hAnsi="Times New Roman" w:cs="Times New Roman"/>
          <w:highlight w:val="yellow"/>
        </w:rPr>
      </w:pPr>
    </w:p>
    <w:tbl>
      <w:tblPr>
        <w:tblW w:w="5394" w:type="pct"/>
        <w:tblCellMar>
          <w:left w:w="70" w:type="dxa"/>
          <w:right w:w="70" w:type="dxa"/>
        </w:tblCellMar>
        <w:tblLook w:val="04A0" w:firstRow="1" w:lastRow="0" w:firstColumn="1" w:lastColumn="0" w:noHBand="0" w:noVBand="1"/>
      </w:tblPr>
      <w:tblGrid>
        <w:gridCol w:w="277"/>
        <w:gridCol w:w="3601"/>
        <w:gridCol w:w="841"/>
        <w:gridCol w:w="841"/>
        <w:gridCol w:w="841"/>
        <w:gridCol w:w="841"/>
        <w:gridCol w:w="841"/>
        <w:gridCol w:w="841"/>
        <w:gridCol w:w="852"/>
      </w:tblGrid>
      <w:tr w:rsidR="00D2350F" w:rsidRPr="00086A6E" w:rsidTr="00D2350F">
        <w:trPr>
          <w:trHeight w:val="255"/>
        </w:trPr>
        <w:tc>
          <w:tcPr>
            <w:tcW w:w="1983" w:type="pct"/>
            <w:gridSpan w:val="2"/>
            <w:tcBorders>
              <w:top w:val="single" w:sz="4" w:space="0" w:color="auto"/>
              <w:left w:val="single" w:sz="4" w:space="0" w:color="auto"/>
              <w:bottom w:val="single" w:sz="4" w:space="0" w:color="auto"/>
              <w:right w:val="single" w:sz="4" w:space="0" w:color="000000"/>
            </w:tcBorders>
            <w:shd w:val="pct35" w:color="000000" w:fill="auto"/>
            <w:noWrap/>
            <w:vAlign w:val="center"/>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 eurách</w:t>
            </w:r>
          </w:p>
        </w:tc>
        <w:tc>
          <w:tcPr>
            <w:tcW w:w="430"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2016 S</w:t>
            </w:r>
          </w:p>
        </w:tc>
        <w:tc>
          <w:tcPr>
            <w:tcW w:w="430"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2017 S</w:t>
            </w:r>
          </w:p>
        </w:tc>
        <w:tc>
          <w:tcPr>
            <w:tcW w:w="430"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R</w:t>
            </w:r>
          </w:p>
        </w:tc>
        <w:tc>
          <w:tcPr>
            <w:tcW w:w="430"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OS</w:t>
            </w:r>
          </w:p>
        </w:tc>
        <w:tc>
          <w:tcPr>
            <w:tcW w:w="430"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2019 N</w:t>
            </w:r>
          </w:p>
        </w:tc>
        <w:tc>
          <w:tcPr>
            <w:tcW w:w="430"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2020 N</w:t>
            </w:r>
          </w:p>
        </w:tc>
        <w:tc>
          <w:tcPr>
            <w:tcW w:w="436"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2021 N</w:t>
            </w:r>
          </w:p>
        </w:tc>
      </w:tr>
      <w:tr w:rsidR="00D2350F" w:rsidRPr="00086A6E" w:rsidTr="00D2350F">
        <w:trPr>
          <w:trHeight w:val="255"/>
        </w:trPr>
        <w:tc>
          <w:tcPr>
            <w:tcW w:w="1983" w:type="pct"/>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Výdavky na vedu a techniku celkom</w:t>
            </w:r>
          </w:p>
        </w:tc>
        <w:tc>
          <w:tcPr>
            <w:tcW w:w="430" w:type="pct"/>
            <w:tcBorders>
              <w:top w:val="single" w:sz="4" w:space="0" w:color="auto"/>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335 291 270</w:t>
            </w:r>
          </w:p>
        </w:tc>
        <w:tc>
          <w:tcPr>
            <w:tcW w:w="430" w:type="pct"/>
            <w:tcBorders>
              <w:top w:val="single" w:sz="4" w:space="0" w:color="auto"/>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329 670 451</w:t>
            </w:r>
          </w:p>
        </w:tc>
        <w:tc>
          <w:tcPr>
            <w:tcW w:w="430" w:type="pct"/>
            <w:tcBorders>
              <w:top w:val="single" w:sz="4" w:space="0" w:color="auto"/>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350 386 484</w:t>
            </w:r>
          </w:p>
        </w:tc>
        <w:tc>
          <w:tcPr>
            <w:tcW w:w="430" w:type="pct"/>
            <w:tcBorders>
              <w:top w:val="single" w:sz="4" w:space="0" w:color="auto"/>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357 747 721</w:t>
            </w:r>
          </w:p>
        </w:tc>
        <w:tc>
          <w:tcPr>
            <w:tcW w:w="430" w:type="pct"/>
            <w:tcBorders>
              <w:top w:val="single" w:sz="4" w:space="0" w:color="auto"/>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317 205 836</w:t>
            </w:r>
          </w:p>
        </w:tc>
        <w:tc>
          <w:tcPr>
            <w:tcW w:w="430" w:type="pct"/>
            <w:tcBorders>
              <w:top w:val="single" w:sz="4" w:space="0" w:color="auto"/>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457 751 365</w:t>
            </w:r>
          </w:p>
        </w:tc>
        <w:tc>
          <w:tcPr>
            <w:tcW w:w="436" w:type="pct"/>
            <w:tcBorders>
              <w:top w:val="single" w:sz="4" w:space="0" w:color="auto"/>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452 859 730</w:t>
            </w:r>
          </w:p>
        </w:tc>
      </w:tr>
      <w:tr w:rsidR="00D2350F" w:rsidRPr="00086A6E" w:rsidTr="00D2350F">
        <w:trPr>
          <w:trHeight w:val="255"/>
        </w:trPr>
        <w:tc>
          <w:tcPr>
            <w:tcW w:w="1983"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Veda a technika v MŠVVŠ SR zo ŠR (A až D), v tom:</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221 156 763</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220 128 447</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236 221 253</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241 918 702</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228 435 831</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214 570 831</w:t>
            </w:r>
          </w:p>
        </w:tc>
        <w:tc>
          <w:tcPr>
            <w:tcW w:w="4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213 664 631</w:t>
            </w:r>
          </w:p>
        </w:tc>
      </w:tr>
      <w:tr w:rsidR="00D2350F" w:rsidRPr="00086A6E" w:rsidTr="00D2350F">
        <w:trPr>
          <w:trHeight w:val="360"/>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A.</w:t>
            </w:r>
          </w:p>
        </w:tc>
        <w:tc>
          <w:tcPr>
            <w:tcW w:w="1842" w:type="pct"/>
            <w:tcBorders>
              <w:top w:val="nil"/>
              <w:left w:val="nil"/>
              <w:bottom w:val="single" w:sz="4" w:space="0" w:color="auto"/>
              <w:right w:val="single" w:sz="4" w:space="0" w:color="auto"/>
            </w:tcBorders>
            <w:shd w:val="clear" w:color="auto" w:fill="auto"/>
            <w:vAlign w:val="bottom"/>
            <w:hideMark/>
          </w:tcPr>
          <w:p w:rsidR="00D2350F" w:rsidRPr="00086A6E" w:rsidRDefault="00D2350F" w:rsidP="00D2350F">
            <w:pPr>
              <w:rPr>
                <w:rFonts w:ascii="Times New Roman" w:hAnsi="Times New Roman" w:cs="Times New Roman"/>
                <w:b/>
                <w:bCs/>
                <w:i/>
                <w:iCs/>
                <w:sz w:val="14"/>
                <w:szCs w:val="14"/>
                <w:lang w:eastAsia="sk-SK"/>
              </w:rPr>
            </w:pPr>
            <w:r w:rsidRPr="00086A6E">
              <w:rPr>
                <w:rFonts w:ascii="Times New Roman" w:hAnsi="Times New Roman" w:cs="Times New Roman"/>
                <w:b/>
                <w:bCs/>
                <w:i/>
                <w:iCs/>
                <w:sz w:val="14"/>
                <w:szCs w:val="14"/>
                <w:lang w:eastAsia="sk-SK"/>
              </w:rPr>
              <w:t>Vysokoškolská  veda cez MŠVVŠ SR vrátane osobných výdavkov pedagogických zamestnancov na výskum</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160 517 891</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157 759 249</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157 895 136</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160 670 750</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159 959 776</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159 959 776</w:t>
            </w:r>
          </w:p>
        </w:tc>
        <w:tc>
          <w:tcPr>
            <w:tcW w:w="4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159 959 776</w:t>
            </w:r>
          </w:p>
        </w:tc>
      </w:tr>
      <w:tr w:rsidR="00D2350F" w:rsidRPr="00086A6E" w:rsidTr="00D2350F">
        <w:trPr>
          <w:trHeight w:val="255"/>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B.</w:t>
            </w:r>
          </w:p>
        </w:tc>
        <w:tc>
          <w:tcPr>
            <w:tcW w:w="184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i/>
                <w:iCs/>
                <w:sz w:val="14"/>
                <w:szCs w:val="14"/>
                <w:lang w:eastAsia="sk-SK"/>
              </w:rPr>
            </w:pPr>
            <w:r w:rsidRPr="00086A6E">
              <w:rPr>
                <w:rFonts w:ascii="Times New Roman" w:hAnsi="Times New Roman" w:cs="Times New Roman"/>
                <w:b/>
                <w:bCs/>
                <w:i/>
                <w:iCs/>
                <w:sz w:val="14"/>
                <w:szCs w:val="14"/>
                <w:lang w:eastAsia="sk-SK"/>
              </w:rPr>
              <w:t>Agentúra na podporu výskumu a vývoja MŠVVŠ SR</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27 773 994</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35 069 981</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39 963 731</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40 163 731</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40 109 931</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28 069 931</w:t>
            </w:r>
          </w:p>
        </w:tc>
        <w:tc>
          <w:tcPr>
            <w:tcW w:w="4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27 963 731</w:t>
            </w:r>
          </w:p>
        </w:tc>
      </w:tr>
      <w:tr w:rsidR="00D2350F" w:rsidRPr="00086A6E" w:rsidTr="00D2350F">
        <w:trPr>
          <w:trHeight w:val="255"/>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C.</w:t>
            </w:r>
          </w:p>
        </w:tc>
        <w:tc>
          <w:tcPr>
            <w:tcW w:w="184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i/>
                <w:iCs/>
                <w:sz w:val="14"/>
                <w:szCs w:val="14"/>
                <w:lang w:eastAsia="sk-SK"/>
              </w:rPr>
            </w:pPr>
            <w:r w:rsidRPr="00086A6E">
              <w:rPr>
                <w:rFonts w:ascii="Times New Roman" w:hAnsi="Times New Roman" w:cs="Times New Roman"/>
                <w:b/>
                <w:bCs/>
                <w:i/>
                <w:iCs/>
                <w:sz w:val="14"/>
                <w:szCs w:val="14"/>
                <w:lang w:eastAsia="sk-SK"/>
              </w:rPr>
              <w:t>Členské príspevky medzinárod. organizác. v MŠVVŠ SR</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10 407 576</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9 843 647</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9 096 718</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10 503 425</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9 096 718</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9 096 718</w:t>
            </w:r>
          </w:p>
        </w:tc>
        <w:tc>
          <w:tcPr>
            <w:tcW w:w="4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9 096 718</w:t>
            </w:r>
          </w:p>
        </w:tc>
      </w:tr>
      <w:tr w:rsidR="00D2350F" w:rsidRPr="00086A6E" w:rsidTr="00D2350F">
        <w:trPr>
          <w:trHeight w:val="255"/>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i/>
                <w:iCs/>
                <w:sz w:val="14"/>
                <w:szCs w:val="14"/>
                <w:lang w:eastAsia="sk-SK"/>
              </w:rPr>
            </w:pPr>
            <w:r w:rsidRPr="00086A6E">
              <w:rPr>
                <w:rFonts w:ascii="Times New Roman" w:hAnsi="Times New Roman" w:cs="Times New Roman"/>
                <w:i/>
                <w:iCs/>
                <w:sz w:val="14"/>
                <w:szCs w:val="14"/>
                <w:lang w:eastAsia="sk-SK"/>
              </w:rPr>
              <w:t>D.</w:t>
            </w:r>
          </w:p>
        </w:tc>
        <w:tc>
          <w:tcPr>
            <w:tcW w:w="184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i/>
                <w:iCs/>
                <w:sz w:val="14"/>
                <w:szCs w:val="14"/>
                <w:lang w:eastAsia="sk-SK"/>
              </w:rPr>
            </w:pPr>
            <w:r w:rsidRPr="00086A6E">
              <w:rPr>
                <w:rFonts w:ascii="Times New Roman" w:hAnsi="Times New Roman" w:cs="Times New Roman"/>
                <w:b/>
                <w:bCs/>
                <w:i/>
                <w:iCs/>
                <w:sz w:val="14"/>
                <w:szCs w:val="14"/>
                <w:lang w:eastAsia="sk-SK"/>
              </w:rPr>
              <w:t>Ostatné výdavky na vedu a techniku v MŠVVŠ SR, z toho:</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i/>
                <w:iCs/>
                <w:sz w:val="14"/>
                <w:szCs w:val="14"/>
                <w:lang w:eastAsia="sk-SK"/>
              </w:rPr>
            </w:pPr>
            <w:r w:rsidRPr="00086A6E">
              <w:rPr>
                <w:rFonts w:ascii="Times New Roman" w:hAnsi="Times New Roman" w:cs="Times New Roman"/>
                <w:b/>
                <w:bCs/>
                <w:i/>
                <w:iCs/>
                <w:sz w:val="14"/>
                <w:szCs w:val="14"/>
                <w:lang w:eastAsia="sk-SK"/>
              </w:rPr>
              <w:t>22 457 302</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i/>
                <w:iCs/>
                <w:sz w:val="14"/>
                <w:szCs w:val="14"/>
                <w:lang w:eastAsia="sk-SK"/>
              </w:rPr>
            </w:pPr>
            <w:r w:rsidRPr="00086A6E">
              <w:rPr>
                <w:rFonts w:ascii="Times New Roman" w:hAnsi="Times New Roman" w:cs="Times New Roman"/>
                <w:b/>
                <w:bCs/>
                <w:i/>
                <w:iCs/>
                <w:sz w:val="14"/>
                <w:szCs w:val="14"/>
                <w:lang w:eastAsia="sk-SK"/>
              </w:rPr>
              <w:t>17 455 570</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i/>
                <w:iCs/>
                <w:sz w:val="14"/>
                <w:szCs w:val="14"/>
                <w:lang w:eastAsia="sk-SK"/>
              </w:rPr>
            </w:pPr>
            <w:r w:rsidRPr="00086A6E">
              <w:rPr>
                <w:rFonts w:ascii="Times New Roman" w:hAnsi="Times New Roman" w:cs="Times New Roman"/>
                <w:b/>
                <w:bCs/>
                <w:i/>
                <w:iCs/>
                <w:sz w:val="14"/>
                <w:szCs w:val="14"/>
                <w:lang w:eastAsia="sk-SK"/>
              </w:rPr>
              <w:t>29 265 668</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i/>
                <w:iCs/>
                <w:sz w:val="14"/>
                <w:szCs w:val="14"/>
                <w:lang w:eastAsia="sk-SK"/>
              </w:rPr>
            </w:pPr>
            <w:r w:rsidRPr="00086A6E">
              <w:rPr>
                <w:rFonts w:ascii="Times New Roman" w:hAnsi="Times New Roman" w:cs="Times New Roman"/>
                <w:b/>
                <w:bCs/>
                <w:i/>
                <w:iCs/>
                <w:sz w:val="14"/>
                <w:szCs w:val="14"/>
                <w:lang w:eastAsia="sk-SK"/>
              </w:rPr>
              <w:t>30 565 802</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i/>
                <w:iCs/>
                <w:sz w:val="14"/>
                <w:szCs w:val="14"/>
                <w:lang w:eastAsia="sk-SK"/>
              </w:rPr>
            </w:pPr>
            <w:r w:rsidRPr="00086A6E">
              <w:rPr>
                <w:rFonts w:ascii="Times New Roman" w:hAnsi="Times New Roman" w:cs="Times New Roman"/>
                <w:b/>
                <w:bCs/>
                <w:i/>
                <w:iCs/>
                <w:sz w:val="14"/>
                <w:szCs w:val="14"/>
                <w:lang w:eastAsia="sk-SK"/>
              </w:rPr>
              <w:t>19 269 406</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i/>
                <w:iCs/>
                <w:sz w:val="14"/>
                <w:szCs w:val="14"/>
                <w:lang w:eastAsia="sk-SK"/>
              </w:rPr>
            </w:pPr>
            <w:r w:rsidRPr="00086A6E">
              <w:rPr>
                <w:rFonts w:ascii="Times New Roman" w:hAnsi="Times New Roman" w:cs="Times New Roman"/>
                <w:b/>
                <w:bCs/>
                <w:i/>
                <w:iCs/>
                <w:sz w:val="14"/>
                <w:szCs w:val="14"/>
                <w:lang w:eastAsia="sk-SK"/>
              </w:rPr>
              <w:t>17 444 406</w:t>
            </w:r>
          </w:p>
        </w:tc>
        <w:tc>
          <w:tcPr>
            <w:tcW w:w="4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i/>
                <w:iCs/>
                <w:sz w:val="14"/>
                <w:szCs w:val="14"/>
                <w:lang w:eastAsia="sk-SK"/>
              </w:rPr>
            </w:pPr>
            <w:r w:rsidRPr="00086A6E">
              <w:rPr>
                <w:rFonts w:ascii="Times New Roman" w:hAnsi="Times New Roman" w:cs="Times New Roman"/>
                <w:b/>
                <w:bCs/>
                <w:i/>
                <w:iCs/>
                <w:sz w:val="14"/>
                <w:szCs w:val="14"/>
                <w:lang w:eastAsia="sk-SK"/>
              </w:rPr>
              <w:t>16 644 406</w:t>
            </w:r>
          </w:p>
        </w:tc>
      </w:tr>
      <w:tr w:rsidR="00D2350F" w:rsidRPr="00086A6E" w:rsidTr="00D2350F">
        <w:trPr>
          <w:trHeight w:val="255"/>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w:t>
            </w:r>
          </w:p>
        </w:tc>
        <w:tc>
          <w:tcPr>
            <w:tcW w:w="184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1. CVTI príspevková organizácia</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8 150 632</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4 625 739</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3 976 186</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4 178 976</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4 356 826</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4 251 826</w:t>
            </w:r>
          </w:p>
        </w:tc>
        <w:tc>
          <w:tcPr>
            <w:tcW w:w="4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4 251 826</w:t>
            </w:r>
          </w:p>
        </w:tc>
      </w:tr>
      <w:tr w:rsidR="00D2350F" w:rsidRPr="00086A6E" w:rsidTr="00D2350F">
        <w:trPr>
          <w:trHeight w:val="255"/>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w:t>
            </w:r>
          </w:p>
        </w:tc>
        <w:tc>
          <w:tcPr>
            <w:tcW w:w="184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2. APVV prevádzka</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1 502 128</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1 403 609</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1 405 347</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1 429 445</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1 445 920</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1 445 920</w:t>
            </w:r>
          </w:p>
        </w:tc>
        <w:tc>
          <w:tcPr>
            <w:tcW w:w="4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1 445 920</w:t>
            </w:r>
          </w:p>
        </w:tc>
      </w:tr>
      <w:tr w:rsidR="00D2350F" w:rsidRPr="00086A6E" w:rsidTr="00D2350F">
        <w:trPr>
          <w:trHeight w:val="255"/>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w:t>
            </w:r>
          </w:p>
        </w:tc>
        <w:tc>
          <w:tcPr>
            <w:tcW w:w="184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3. Koordinácia prierezových aktivít ŠVT politiky</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9 197 027</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7 056 093</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20 069 894</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20 255 217</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9 221 894</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7 501 894</w:t>
            </w:r>
          </w:p>
        </w:tc>
        <w:tc>
          <w:tcPr>
            <w:tcW w:w="4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6 701 894</w:t>
            </w:r>
          </w:p>
        </w:tc>
      </w:tr>
      <w:tr w:rsidR="00D2350F" w:rsidRPr="00086A6E" w:rsidTr="00D2350F">
        <w:trPr>
          <w:trHeight w:val="255"/>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w:t>
            </w:r>
          </w:p>
        </w:tc>
        <w:tc>
          <w:tcPr>
            <w:tcW w:w="184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4. Výskum v ostatných štát. organizáciách</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3 521 221</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4 243 239</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3 715 346</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4 601 582</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4 133 097</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4 133 097</w:t>
            </w:r>
          </w:p>
        </w:tc>
        <w:tc>
          <w:tcPr>
            <w:tcW w:w="4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4 133 097</w:t>
            </w:r>
          </w:p>
        </w:tc>
      </w:tr>
      <w:tr w:rsidR="00D2350F" w:rsidRPr="00086A6E" w:rsidTr="00D2350F">
        <w:trPr>
          <w:trHeight w:val="255"/>
        </w:trPr>
        <w:tc>
          <w:tcPr>
            <w:tcW w:w="142" w:type="pct"/>
            <w:tcBorders>
              <w:top w:val="nil"/>
              <w:left w:val="single" w:sz="4" w:space="0" w:color="auto"/>
              <w:bottom w:val="single" w:sz="4" w:space="0" w:color="auto"/>
              <w:right w:val="nil"/>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w:t>
            </w:r>
          </w:p>
        </w:tc>
        <w:tc>
          <w:tcPr>
            <w:tcW w:w="1842"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5. Slovenský historický ústav v Ríme</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86 294</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88 224</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88 566</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90 253</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90 720</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90 720</w:t>
            </w:r>
          </w:p>
        </w:tc>
        <w:tc>
          <w:tcPr>
            <w:tcW w:w="4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90 720</w:t>
            </w:r>
          </w:p>
        </w:tc>
      </w:tr>
      <w:tr w:rsidR="00D2350F" w:rsidRPr="00086A6E" w:rsidTr="00D2350F">
        <w:trPr>
          <w:trHeight w:val="255"/>
        </w:trPr>
        <w:tc>
          <w:tcPr>
            <w:tcW w:w="142" w:type="pct"/>
            <w:tcBorders>
              <w:top w:val="nil"/>
              <w:left w:val="single" w:sz="4" w:space="0" w:color="auto"/>
              <w:bottom w:val="single" w:sz="4" w:space="0" w:color="auto"/>
              <w:right w:val="nil"/>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w:t>
            </w:r>
          </w:p>
        </w:tc>
        <w:tc>
          <w:tcPr>
            <w:tcW w:w="1842"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6. Informačné technológie</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38 666</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10 329</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10 329</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20 949</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20 949</w:t>
            </w:r>
          </w:p>
        </w:tc>
        <w:tc>
          <w:tcPr>
            <w:tcW w:w="4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20 949</w:t>
            </w:r>
          </w:p>
        </w:tc>
      </w:tr>
      <w:tr w:rsidR="00D2350F" w:rsidRPr="00086A6E" w:rsidTr="00D2350F">
        <w:trPr>
          <w:trHeight w:val="255"/>
        </w:trPr>
        <w:tc>
          <w:tcPr>
            <w:tcW w:w="142"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i/>
                <w:iCs/>
                <w:sz w:val="14"/>
                <w:szCs w:val="14"/>
                <w:lang w:eastAsia="sk-SK"/>
              </w:rPr>
            </w:pPr>
            <w:r w:rsidRPr="00086A6E">
              <w:rPr>
                <w:rFonts w:ascii="Times New Roman" w:hAnsi="Times New Roman" w:cs="Times New Roman"/>
                <w:b/>
                <w:bCs/>
                <w:i/>
                <w:iCs/>
                <w:sz w:val="14"/>
                <w:szCs w:val="14"/>
                <w:lang w:eastAsia="sk-SK"/>
              </w:rPr>
              <w:t>E.</w:t>
            </w:r>
          </w:p>
        </w:tc>
        <w:tc>
          <w:tcPr>
            <w:tcW w:w="184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Prostriedky  EÚ a spolufinancovanie zo ŠR v MŠVVŠ SR</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35 422 517</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21 535 717</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33 579 453</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25 016 977</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4 054 941</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158 268 923</w:t>
            </w:r>
          </w:p>
        </w:tc>
        <w:tc>
          <w:tcPr>
            <w:tcW w:w="4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154 034 101</w:t>
            </w:r>
          </w:p>
        </w:tc>
      </w:tr>
      <w:tr w:rsidR="00D2350F" w:rsidRPr="00086A6E" w:rsidTr="00D2350F">
        <w:trPr>
          <w:trHeight w:val="255"/>
        </w:trPr>
        <w:tc>
          <w:tcPr>
            <w:tcW w:w="1983"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Slovenská akadémia vied</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62 031 198</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63 509 292</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63 842 398</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68 807 497</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highlight w:val="yellow"/>
                <w:lang w:eastAsia="sk-SK"/>
              </w:rPr>
            </w:pPr>
            <w:r w:rsidRPr="00086A6E">
              <w:rPr>
                <w:rFonts w:ascii="Times New Roman" w:hAnsi="Times New Roman" w:cs="Times New Roman"/>
                <w:b/>
                <w:bCs/>
                <w:sz w:val="14"/>
                <w:szCs w:val="14"/>
                <w:lang w:eastAsia="sk-SK"/>
              </w:rPr>
              <w:t>65 931 000</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highlight w:val="yellow"/>
                <w:lang w:eastAsia="sk-SK"/>
              </w:rPr>
            </w:pPr>
            <w:r w:rsidRPr="00086A6E">
              <w:rPr>
                <w:rFonts w:ascii="Times New Roman" w:hAnsi="Times New Roman" w:cs="Times New Roman"/>
                <w:b/>
                <w:bCs/>
                <w:sz w:val="14"/>
                <w:szCs w:val="14"/>
                <w:lang w:eastAsia="sk-SK"/>
              </w:rPr>
              <w:t>65 931 000</w:t>
            </w:r>
          </w:p>
        </w:tc>
        <w:tc>
          <w:tcPr>
            <w:tcW w:w="4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highlight w:val="yellow"/>
                <w:lang w:eastAsia="sk-SK"/>
              </w:rPr>
            </w:pPr>
            <w:r w:rsidRPr="00086A6E">
              <w:rPr>
                <w:rFonts w:ascii="Times New Roman" w:hAnsi="Times New Roman" w:cs="Times New Roman"/>
                <w:b/>
                <w:bCs/>
                <w:sz w:val="14"/>
                <w:szCs w:val="14"/>
                <w:lang w:eastAsia="sk-SK"/>
              </w:rPr>
              <w:t>65 931 000</w:t>
            </w:r>
          </w:p>
        </w:tc>
      </w:tr>
      <w:tr w:rsidR="00D2350F" w:rsidRPr="00086A6E" w:rsidTr="00D2350F">
        <w:trPr>
          <w:trHeight w:val="255"/>
        </w:trPr>
        <w:tc>
          <w:tcPr>
            <w:tcW w:w="1983"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xml:space="preserve">Rezortná veda </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16 680 792</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24 496 995</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16 743 380</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22 004 545</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18 783 264</w:t>
            </w:r>
          </w:p>
        </w:tc>
        <w:tc>
          <w:tcPr>
            <w:tcW w:w="43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18 979 811</w:t>
            </w:r>
          </w:p>
        </w:tc>
        <w:tc>
          <w:tcPr>
            <w:tcW w:w="436"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19 229 198</w:t>
            </w:r>
          </w:p>
        </w:tc>
      </w:tr>
    </w:tbl>
    <w:p w:rsidR="00D2350F" w:rsidRPr="00086A6E" w:rsidRDefault="00D2350F" w:rsidP="00D2350F">
      <w:pPr>
        <w:spacing w:after="200" w:line="276" w:lineRule="auto"/>
        <w:contextualSpacing/>
        <w:jc w:val="both"/>
        <w:rPr>
          <w:rFonts w:ascii="Times New Roman" w:hAnsi="Times New Roman" w:cs="Times New Roman"/>
          <w:b/>
          <w:szCs w:val="36"/>
          <w:highlight w:val="yellow"/>
        </w:rPr>
      </w:pPr>
    </w:p>
    <w:p w:rsidR="00D2350F" w:rsidRPr="00086A6E" w:rsidRDefault="00D2350F" w:rsidP="00D2350F">
      <w:pPr>
        <w:spacing w:after="200"/>
        <w:ind w:firstLine="708"/>
        <w:contextualSpacing/>
        <w:jc w:val="both"/>
        <w:rPr>
          <w:rFonts w:ascii="Times New Roman" w:hAnsi="Times New Roman" w:cs="Times New Roman"/>
        </w:rPr>
      </w:pPr>
      <w:r w:rsidRPr="00086A6E">
        <w:rPr>
          <w:rFonts w:ascii="Times New Roman" w:hAnsi="Times New Roman" w:cs="Times New Roman"/>
        </w:rPr>
        <w:t>Verejné výdavky na vedu a techniku v roku 2019 sa rozpočtujú  vo výške 317 mil. eur, čo predstavuje pokles oproti schválenému rozpočtu roku 2018 o 33,2 mil. eur (o 9,47 %).</w:t>
      </w:r>
    </w:p>
    <w:p w:rsidR="00D2350F" w:rsidRPr="00086A6E" w:rsidRDefault="00D2350F" w:rsidP="00D2350F">
      <w:pPr>
        <w:spacing w:after="200"/>
        <w:ind w:firstLine="708"/>
        <w:contextualSpacing/>
        <w:jc w:val="both"/>
        <w:rPr>
          <w:rFonts w:ascii="Times New Roman" w:hAnsi="Times New Roman" w:cs="Times New Roman"/>
        </w:rPr>
      </w:pPr>
    </w:p>
    <w:p w:rsidR="00D2350F" w:rsidRPr="00086A6E" w:rsidRDefault="00D2350F" w:rsidP="00D2350F">
      <w:pPr>
        <w:spacing w:after="200"/>
        <w:ind w:firstLine="708"/>
        <w:contextualSpacing/>
        <w:jc w:val="both"/>
        <w:rPr>
          <w:rFonts w:ascii="Times New Roman" w:hAnsi="Times New Roman" w:cs="Times New Roman"/>
        </w:rPr>
      </w:pPr>
      <w:r w:rsidRPr="00086A6E">
        <w:rPr>
          <w:rFonts w:ascii="Times New Roman" w:hAnsi="Times New Roman" w:cs="Times New Roman"/>
        </w:rPr>
        <w:t xml:space="preserve">Celkové výdavky štátneho rozpočtu poskytované MŠVVŠ SR na vedu a techniku medziročne klesajú o 7,78 mil. eur, t. j. o 3,30 %. Dôvodom poklesu výdavkov je skutočnosť, že v roku 2018 boli zapracované výdavky na stimuly na výskum a vývoj na obdobie troch </w:t>
      </w:r>
      <w:r w:rsidRPr="00086A6E">
        <w:rPr>
          <w:rFonts w:ascii="Times New Roman" w:hAnsi="Times New Roman" w:cs="Times New Roman"/>
        </w:rPr>
        <w:lastRenderedPageBreak/>
        <w:t xml:space="preserve">rokov, ktorých objem na roky 2019 a 2020 má klesajúci trend zohľadňujúci predikciu čerpania prostriedkov na jednotlivé projekty.  </w:t>
      </w:r>
    </w:p>
    <w:p w:rsidR="00D2350F" w:rsidRPr="00086A6E" w:rsidRDefault="00D2350F" w:rsidP="00D2350F">
      <w:pPr>
        <w:spacing w:after="200"/>
        <w:contextualSpacing/>
        <w:jc w:val="both"/>
        <w:rPr>
          <w:rFonts w:ascii="Times New Roman" w:hAnsi="Times New Roman" w:cs="Times New Roman"/>
          <w:highlight w:val="yellow"/>
        </w:rPr>
      </w:pPr>
    </w:p>
    <w:p w:rsidR="00D2350F" w:rsidRPr="00086A6E" w:rsidRDefault="00D2350F" w:rsidP="00D2350F">
      <w:pPr>
        <w:spacing w:after="200"/>
        <w:ind w:firstLine="708"/>
        <w:contextualSpacing/>
        <w:jc w:val="both"/>
        <w:rPr>
          <w:rFonts w:ascii="Times New Roman" w:hAnsi="Times New Roman" w:cs="Times New Roman"/>
        </w:rPr>
      </w:pPr>
      <w:r w:rsidRPr="00086A6E">
        <w:rPr>
          <w:rFonts w:ascii="Times New Roman" w:hAnsi="Times New Roman" w:cs="Times New Roman"/>
        </w:rPr>
        <w:t xml:space="preserve">Výdavky MŠVVŠ SR na vedu a techniku sú tvorené hlavne výdavkami na prevádzku a rozvoj infraštruktúry pre vysokoškolský výskum a vývoj vrátane osobných výdavkov pedagogických zamestnancov vysokých škôl, ktorých pracovnou náplňou je aj vedecká činnosť a tiež výdavkami na štipendiá pre doktorandov. Tieto výdavky rastú medziročne </w:t>
      </w:r>
      <w:r w:rsidR="00E65E96">
        <w:rPr>
          <w:rFonts w:ascii="Times New Roman" w:hAnsi="Times New Roman" w:cs="Times New Roman"/>
        </w:rPr>
        <w:br/>
      </w:r>
      <w:r w:rsidRPr="00086A6E">
        <w:rPr>
          <w:rFonts w:ascii="Times New Roman" w:hAnsi="Times New Roman" w:cs="Times New Roman"/>
        </w:rPr>
        <w:t>o 2,06 mil. eur, t. j. o 1,31 %.</w:t>
      </w:r>
    </w:p>
    <w:p w:rsidR="00D2350F" w:rsidRPr="00086A6E" w:rsidRDefault="00D2350F" w:rsidP="00D2350F">
      <w:pPr>
        <w:spacing w:after="200"/>
        <w:ind w:firstLine="708"/>
        <w:contextualSpacing/>
        <w:jc w:val="both"/>
        <w:rPr>
          <w:rFonts w:ascii="Times New Roman" w:hAnsi="Times New Roman" w:cs="Times New Roman"/>
        </w:rPr>
      </w:pPr>
    </w:p>
    <w:p w:rsidR="00D2350F" w:rsidRPr="00086A6E" w:rsidRDefault="00D2350F" w:rsidP="00D2350F">
      <w:pPr>
        <w:spacing w:after="200"/>
        <w:ind w:firstLine="708"/>
        <w:contextualSpacing/>
        <w:jc w:val="both"/>
        <w:rPr>
          <w:rFonts w:ascii="Times New Roman" w:hAnsi="Times New Roman" w:cs="Times New Roman"/>
        </w:rPr>
      </w:pPr>
      <w:r w:rsidRPr="00086A6E">
        <w:rPr>
          <w:rFonts w:ascii="Times New Roman" w:hAnsi="Times New Roman" w:cs="Times New Roman"/>
        </w:rPr>
        <w:t>Agentúra na podporu výskumu a vývoja predstavuje významnú položku výdavkov na vedu a techniku z MŠVVŠ SR. Opätovne sa aj v roku 2019 zvýšili výdavky na financovanie projektov výskumu a vývoja, a to na sumu 40,1 mil. eur, čo je oproti schválenému rozpočtu roku  2018 nárast o 0,15 mil. eur, t. j. o 0,37 %.</w:t>
      </w:r>
    </w:p>
    <w:p w:rsidR="00D2350F" w:rsidRPr="00086A6E" w:rsidRDefault="00D2350F" w:rsidP="00D2350F">
      <w:pPr>
        <w:spacing w:after="200"/>
        <w:ind w:firstLine="708"/>
        <w:contextualSpacing/>
        <w:jc w:val="both"/>
        <w:rPr>
          <w:rFonts w:ascii="Times New Roman" w:hAnsi="Times New Roman" w:cs="Times New Roman"/>
        </w:rPr>
      </w:pPr>
    </w:p>
    <w:p w:rsidR="00D2350F" w:rsidRPr="00086A6E" w:rsidRDefault="00D2350F" w:rsidP="00D2350F">
      <w:pPr>
        <w:spacing w:after="200"/>
        <w:ind w:firstLine="708"/>
        <w:contextualSpacing/>
        <w:jc w:val="both"/>
        <w:rPr>
          <w:rFonts w:ascii="Times New Roman" w:hAnsi="Times New Roman" w:cs="Times New Roman"/>
        </w:rPr>
      </w:pPr>
      <w:r w:rsidRPr="00086A6E">
        <w:rPr>
          <w:rFonts w:ascii="Times New Roman" w:hAnsi="Times New Roman" w:cs="Times New Roman"/>
        </w:rPr>
        <w:t xml:space="preserve">Ďalším zdrojom financovania vedy a techniky z verejných zdrojov v kapitole MŠVVŠ SR sú aj finančné prostriedky </w:t>
      </w:r>
      <w:r>
        <w:rPr>
          <w:rFonts w:ascii="Times New Roman" w:hAnsi="Times New Roman" w:cs="Times New Roman"/>
        </w:rPr>
        <w:t>na spolufinancovanie,</w:t>
      </w:r>
      <w:r w:rsidRPr="00086A6E">
        <w:rPr>
          <w:rFonts w:ascii="Times New Roman" w:hAnsi="Times New Roman" w:cs="Times New Roman"/>
        </w:rPr>
        <w:t xml:space="preserve"> ktoré sa navrhujú v sume 4,05 mil. eur.  Medziročný pokles zdrojov na uvedenú oblasť predstavuje 87,9 %. Dôvodom poklesu je skutočnosť, že na rok 2019 nie sú rozpočtované výdavky z prostriedkov EÚ z OP Výskum a inovácie, keďže sa predpokladá financovanie vedy a techniky z prostriedkov z predchádzajúcich rokov.  Okrem toho môžu slovenské subjekty čerpať na vedecké projekty zdroje aj z programu EÚ Horizont 2020.</w:t>
      </w:r>
    </w:p>
    <w:p w:rsidR="00D2350F" w:rsidRPr="00086A6E" w:rsidRDefault="00D2350F" w:rsidP="00D2350F">
      <w:pPr>
        <w:spacing w:after="200"/>
        <w:ind w:firstLine="708"/>
        <w:contextualSpacing/>
        <w:jc w:val="both"/>
        <w:rPr>
          <w:rFonts w:ascii="Times New Roman" w:hAnsi="Times New Roman" w:cs="Times New Roman"/>
        </w:rPr>
      </w:pPr>
    </w:p>
    <w:p w:rsidR="00D2350F" w:rsidRPr="00086A6E" w:rsidRDefault="00D2350F" w:rsidP="00D2350F">
      <w:pPr>
        <w:spacing w:after="200"/>
        <w:ind w:firstLine="708"/>
        <w:contextualSpacing/>
        <w:jc w:val="both"/>
        <w:rPr>
          <w:rFonts w:ascii="Times New Roman" w:hAnsi="Times New Roman" w:cs="Times New Roman"/>
        </w:rPr>
      </w:pPr>
      <w:r w:rsidRPr="00086A6E">
        <w:rPr>
          <w:rFonts w:ascii="Times New Roman" w:hAnsi="Times New Roman" w:cs="Times New Roman"/>
        </w:rPr>
        <w:t xml:space="preserve">Slovenská akadémia vied predstavuje druhú najväčšiu položku z celkovej sumy výdavkov na základný a aplikovaný výskum, a to 65,9 mil. eur.  Nárast výdavkov SAV oproti schválenému rozpočtu roku 2018 je vo výške 2,09 mil. eur, t. j. o 3,27 %. Celkové rozpočtované výdavky SAV sú v objeme 69,4 mil. eur. </w:t>
      </w:r>
    </w:p>
    <w:p w:rsidR="00D2350F" w:rsidRPr="00086A6E" w:rsidRDefault="00D2350F" w:rsidP="00D2350F">
      <w:pPr>
        <w:spacing w:after="200"/>
        <w:contextualSpacing/>
        <w:jc w:val="both"/>
        <w:rPr>
          <w:rFonts w:ascii="Times New Roman" w:hAnsi="Times New Roman" w:cs="Times New Roman"/>
          <w:highlight w:val="yellow"/>
        </w:rPr>
      </w:pPr>
    </w:p>
    <w:p w:rsidR="00D2350F" w:rsidRPr="00086A6E" w:rsidRDefault="00D2350F" w:rsidP="00D2350F">
      <w:pPr>
        <w:spacing w:after="200"/>
        <w:ind w:firstLine="708"/>
        <w:contextualSpacing/>
        <w:jc w:val="both"/>
        <w:rPr>
          <w:rFonts w:ascii="Times New Roman" w:hAnsi="Times New Roman" w:cs="Times New Roman"/>
        </w:rPr>
      </w:pPr>
      <w:r w:rsidRPr="00086A6E">
        <w:rPr>
          <w:rFonts w:ascii="Times New Roman" w:hAnsi="Times New Roman" w:cs="Times New Roman"/>
        </w:rPr>
        <w:t>Financovanie vedy a techniky je realizované aj ďalšími rezortmi ako sú Ministerstvo obrany SR, Ministerstvo pôdohospodárstva a rozvoja vidieka SR, Ministerstvo dopravy a výstavby SR, Úrad jadrového dozoru SR</w:t>
      </w:r>
      <w:r w:rsidR="004650BC">
        <w:rPr>
          <w:rFonts w:ascii="Times New Roman" w:hAnsi="Times New Roman" w:cs="Times New Roman"/>
        </w:rPr>
        <w:t>,</w:t>
      </w:r>
      <w:r w:rsidRPr="00086A6E">
        <w:rPr>
          <w:rFonts w:ascii="Times New Roman" w:hAnsi="Times New Roman" w:cs="Times New Roman"/>
        </w:rPr>
        <w:t xml:space="preserve"> atď. Výdavky na rezortnú vedu a techniku medziročne rastú o 2,04 mil. eur, t. j. o 12,2 %.</w:t>
      </w:r>
    </w:p>
    <w:p w:rsidR="00D2350F" w:rsidRPr="00086A6E" w:rsidRDefault="00D2350F" w:rsidP="00D2350F">
      <w:pPr>
        <w:spacing w:after="200" w:line="276" w:lineRule="auto"/>
        <w:contextualSpacing/>
        <w:jc w:val="both"/>
        <w:rPr>
          <w:rFonts w:ascii="Times New Roman" w:hAnsi="Times New Roman" w:cs="Times New Roman"/>
          <w:b/>
        </w:rPr>
      </w:pPr>
    </w:p>
    <w:p w:rsidR="00D2350F" w:rsidRPr="00086A6E" w:rsidRDefault="00D2350F" w:rsidP="00D2350F">
      <w:pPr>
        <w:spacing w:after="200" w:line="276" w:lineRule="auto"/>
        <w:contextualSpacing/>
        <w:jc w:val="both"/>
        <w:rPr>
          <w:rFonts w:ascii="Times New Roman" w:hAnsi="Times New Roman" w:cs="Times New Roman"/>
          <w:b/>
        </w:rPr>
      </w:pPr>
      <w:r w:rsidRPr="00086A6E">
        <w:rPr>
          <w:rFonts w:ascii="Times New Roman" w:hAnsi="Times New Roman" w:cs="Times New Roman"/>
          <w:b/>
        </w:rPr>
        <w:t>Šport</w:t>
      </w:r>
    </w:p>
    <w:p w:rsidR="00D2350F" w:rsidRDefault="00D2350F" w:rsidP="00D2350F">
      <w:pPr>
        <w:ind w:firstLine="709"/>
        <w:contextualSpacing/>
        <w:jc w:val="both"/>
        <w:rPr>
          <w:rFonts w:ascii="Times New Roman" w:hAnsi="Times New Roman" w:cs="Times New Roman"/>
        </w:rPr>
      </w:pPr>
    </w:p>
    <w:p w:rsidR="00D2350F" w:rsidRPr="00086A6E" w:rsidRDefault="00D2350F" w:rsidP="00D2350F">
      <w:pPr>
        <w:ind w:firstLine="709"/>
        <w:contextualSpacing/>
        <w:jc w:val="both"/>
        <w:rPr>
          <w:rFonts w:ascii="Times New Roman" w:hAnsi="Times New Roman" w:cs="Times New Roman"/>
        </w:rPr>
      </w:pPr>
      <w:r w:rsidRPr="00086A6E">
        <w:rPr>
          <w:rFonts w:ascii="Times New Roman" w:hAnsi="Times New Roman" w:cs="Times New Roman"/>
        </w:rPr>
        <w:t>Štátna športová politika má dva hlavné ciele - podporovať šport pre všetkých ako odporúčaný spôsob aktívneho životného štýlu širokej verejnosti, najmä detí a mládeže a zvýšiť kvalitu športovej reprezentácie a prípravu športovo talentovanej mládeže. Pre splnenie týchto cieľov je tiež dôležité revitalizovať a budovať športovú infraštruktúru. Súčasťou podpory športu pre všetkých je aj podpora športu zdravotne znevýhodnených.</w:t>
      </w:r>
    </w:p>
    <w:p w:rsidR="00D2350F" w:rsidRPr="00086A6E" w:rsidRDefault="00D2350F" w:rsidP="00D2350F">
      <w:pPr>
        <w:spacing w:after="200"/>
        <w:ind w:firstLine="708"/>
        <w:contextualSpacing/>
        <w:jc w:val="both"/>
        <w:rPr>
          <w:rFonts w:ascii="Times New Roman" w:hAnsi="Times New Roman" w:cs="Times New Roman"/>
        </w:rPr>
      </w:pPr>
    </w:p>
    <w:tbl>
      <w:tblPr>
        <w:tblW w:w="5216" w:type="pct"/>
        <w:tblCellMar>
          <w:left w:w="70" w:type="dxa"/>
          <w:right w:w="70" w:type="dxa"/>
        </w:tblCellMar>
        <w:tblLook w:val="04A0" w:firstRow="1" w:lastRow="0" w:firstColumn="1" w:lastColumn="0" w:noHBand="0" w:noVBand="1"/>
      </w:tblPr>
      <w:tblGrid>
        <w:gridCol w:w="3539"/>
        <w:gridCol w:w="845"/>
        <w:gridCol w:w="845"/>
        <w:gridCol w:w="845"/>
        <w:gridCol w:w="845"/>
        <w:gridCol w:w="845"/>
        <w:gridCol w:w="845"/>
        <w:gridCol w:w="845"/>
      </w:tblGrid>
      <w:tr w:rsidR="00D2350F" w:rsidRPr="00086A6E" w:rsidTr="00D2350F">
        <w:trPr>
          <w:trHeight w:hRule="exact" w:val="255"/>
        </w:trPr>
        <w:tc>
          <w:tcPr>
            <w:tcW w:w="3539"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 eurách</w:t>
            </w:r>
          </w:p>
        </w:tc>
        <w:tc>
          <w:tcPr>
            <w:tcW w:w="845" w:type="dxa"/>
            <w:tcBorders>
              <w:top w:val="single" w:sz="4" w:space="0" w:color="auto"/>
              <w:left w:val="nil"/>
              <w:bottom w:val="single" w:sz="4" w:space="0" w:color="auto"/>
              <w:right w:val="single" w:sz="4" w:space="0" w:color="auto"/>
            </w:tcBorders>
            <w:shd w:val="clear" w:color="000000" w:fill="A6A6A6"/>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2016 S</w:t>
            </w:r>
          </w:p>
        </w:tc>
        <w:tc>
          <w:tcPr>
            <w:tcW w:w="845" w:type="dxa"/>
            <w:tcBorders>
              <w:top w:val="single" w:sz="4" w:space="0" w:color="auto"/>
              <w:left w:val="nil"/>
              <w:bottom w:val="single" w:sz="4" w:space="0" w:color="auto"/>
              <w:right w:val="single" w:sz="4" w:space="0" w:color="auto"/>
            </w:tcBorders>
            <w:shd w:val="clear" w:color="000000" w:fill="A6A6A6"/>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2017 S</w:t>
            </w:r>
          </w:p>
        </w:tc>
        <w:tc>
          <w:tcPr>
            <w:tcW w:w="845" w:type="dxa"/>
            <w:tcBorders>
              <w:top w:val="single" w:sz="4" w:space="0" w:color="auto"/>
              <w:left w:val="nil"/>
              <w:bottom w:val="single" w:sz="4" w:space="0" w:color="auto"/>
              <w:right w:val="single" w:sz="4" w:space="0" w:color="auto"/>
            </w:tcBorders>
            <w:shd w:val="clear" w:color="000000" w:fill="A6A6A6"/>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R</w:t>
            </w:r>
          </w:p>
        </w:tc>
        <w:tc>
          <w:tcPr>
            <w:tcW w:w="845" w:type="dxa"/>
            <w:tcBorders>
              <w:top w:val="single" w:sz="4" w:space="0" w:color="auto"/>
              <w:left w:val="nil"/>
              <w:bottom w:val="single" w:sz="4" w:space="0" w:color="auto"/>
              <w:right w:val="single" w:sz="4" w:space="0" w:color="auto"/>
            </w:tcBorders>
            <w:shd w:val="clear" w:color="000000" w:fill="A6A6A6"/>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OS</w:t>
            </w:r>
          </w:p>
        </w:tc>
        <w:tc>
          <w:tcPr>
            <w:tcW w:w="845" w:type="dxa"/>
            <w:tcBorders>
              <w:top w:val="single" w:sz="4" w:space="0" w:color="auto"/>
              <w:left w:val="nil"/>
              <w:bottom w:val="single" w:sz="4" w:space="0" w:color="auto"/>
              <w:right w:val="single" w:sz="4" w:space="0" w:color="auto"/>
            </w:tcBorders>
            <w:shd w:val="clear" w:color="000000" w:fill="A6A6A6"/>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2019 N</w:t>
            </w:r>
          </w:p>
        </w:tc>
        <w:tc>
          <w:tcPr>
            <w:tcW w:w="845" w:type="dxa"/>
            <w:tcBorders>
              <w:top w:val="single" w:sz="4" w:space="0" w:color="auto"/>
              <w:left w:val="nil"/>
              <w:bottom w:val="single" w:sz="4" w:space="0" w:color="auto"/>
              <w:right w:val="single" w:sz="4" w:space="0" w:color="auto"/>
            </w:tcBorders>
            <w:shd w:val="clear" w:color="000000" w:fill="A6A6A6"/>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2020 N</w:t>
            </w:r>
          </w:p>
        </w:tc>
        <w:tc>
          <w:tcPr>
            <w:tcW w:w="845" w:type="dxa"/>
            <w:tcBorders>
              <w:top w:val="single" w:sz="4" w:space="0" w:color="auto"/>
              <w:left w:val="nil"/>
              <w:bottom w:val="single" w:sz="4" w:space="0" w:color="auto"/>
              <w:right w:val="single" w:sz="4" w:space="0" w:color="auto"/>
            </w:tcBorders>
            <w:shd w:val="clear" w:color="000000" w:fill="A6A6A6"/>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2021 N</w:t>
            </w:r>
          </w:p>
        </w:tc>
      </w:tr>
      <w:tr w:rsidR="00D2350F" w:rsidRPr="00086A6E" w:rsidTr="00D2350F">
        <w:trPr>
          <w:trHeight w:hRule="exact" w:val="255"/>
        </w:trPr>
        <w:tc>
          <w:tcPr>
            <w:tcW w:w="3539" w:type="dxa"/>
            <w:tcBorders>
              <w:top w:val="nil"/>
              <w:left w:val="single" w:sz="4" w:space="0" w:color="auto"/>
              <w:bottom w:val="single" w:sz="4" w:space="0" w:color="auto"/>
              <w:right w:val="single" w:sz="4" w:space="0" w:color="auto"/>
            </w:tcBorders>
            <w:shd w:val="clear" w:color="000000" w:fill="BFBFBF"/>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Zdroje štátneho rozpočtu</w:t>
            </w:r>
          </w:p>
        </w:tc>
        <w:tc>
          <w:tcPr>
            <w:tcW w:w="845" w:type="dxa"/>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56 107 614</w:t>
            </w:r>
          </w:p>
        </w:tc>
        <w:tc>
          <w:tcPr>
            <w:tcW w:w="845" w:type="dxa"/>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112 793 730</w:t>
            </w:r>
          </w:p>
        </w:tc>
        <w:tc>
          <w:tcPr>
            <w:tcW w:w="845" w:type="dxa"/>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132 706 543</w:t>
            </w:r>
          </w:p>
        </w:tc>
        <w:tc>
          <w:tcPr>
            <w:tcW w:w="845" w:type="dxa"/>
            <w:tcBorders>
              <w:top w:val="nil"/>
              <w:left w:val="nil"/>
              <w:bottom w:val="single" w:sz="4" w:space="0" w:color="auto"/>
              <w:right w:val="single" w:sz="4" w:space="0" w:color="auto"/>
            </w:tcBorders>
            <w:shd w:val="clear" w:color="000000" w:fill="BFBFBF"/>
            <w:noWrap/>
            <w:vAlign w:val="bottom"/>
            <w:hideMark/>
          </w:tcPr>
          <w:p w:rsidR="00D2350F" w:rsidRPr="00CB6BAD" w:rsidRDefault="00D2350F" w:rsidP="00D2350F">
            <w:pPr>
              <w:jc w:val="right"/>
              <w:rPr>
                <w:rFonts w:ascii="Times New Roman" w:hAnsi="Times New Roman" w:cs="Times New Roman"/>
                <w:b/>
                <w:bCs/>
                <w:sz w:val="14"/>
                <w:szCs w:val="14"/>
                <w:lang w:eastAsia="sk-SK"/>
              </w:rPr>
            </w:pPr>
            <w:r w:rsidRPr="00CB6BAD">
              <w:rPr>
                <w:rFonts w:ascii="Times New Roman" w:hAnsi="Times New Roman" w:cs="Times New Roman"/>
                <w:b/>
                <w:sz w:val="14"/>
                <w:szCs w:val="14"/>
              </w:rPr>
              <w:t>139 699 955</w:t>
            </w:r>
          </w:p>
        </w:tc>
        <w:tc>
          <w:tcPr>
            <w:tcW w:w="845" w:type="dxa"/>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101 660 884</w:t>
            </w:r>
          </w:p>
        </w:tc>
        <w:tc>
          <w:tcPr>
            <w:tcW w:w="845" w:type="dxa"/>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81 317 317</w:t>
            </w:r>
          </w:p>
        </w:tc>
        <w:tc>
          <w:tcPr>
            <w:tcW w:w="845" w:type="dxa"/>
            <w:tcBorders>
              <w:top w:val="nil"/>
              <w:left w:val="nil"/>
              <w:bottom w:val="single" w:sz="4" w:space="0" w:color="auto"/>
              <w:right w:val="single" w:sz="4" w:space="0" w:color="auto"/>
            </w:tcBorders>
            <w:shd w:val="clear" w:color="000000" w:fill="BFBFBF"/>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81 297 400</w:t>
            </w:r>
          </w:p>
        </w:tc>
      </w:tr>
      <w:tr w:rsidR="00D2350F" w:rsidRPr="00086A6E" w:rsidTr="00D2350F">
        <w:trPr>
          <w:trHeight w:hRule="exact" w:val="25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D2350F" w:rsidRPr="00086A6E" w:rsidRDefault="00D2350F" w:rsidP="00D2350F">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Ministerstvo školstva, vedy, výskumu a športu SR</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48 406 319</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104 505 457</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125 082 210</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8B5DD4" w:rsidRDefault="00D2350F" w:rsidP="00D2350F">
            <w:pPr>
              <w:jc w:val="right"/>
              <w:rPr>
                <w:rFonts w:ascii="Times New Roman" w:hAnsi="Times New Roman" w:cs="Times New Roman"/>
                <w:color w:val="000000"/>
                <w:sz w:val="14"/>
                <w:szCs w:val="14"/>
                <w:lang w:eastAsia="sk-SK"/>
              </w:rPr>
            </w:pPr>
            <w:r w:rsidRPr="008B5DD4">
              <w:rPr>
                <w:rFonts w:ascii="Times New Roman" w:hAnsi="Times New Roman" w:cs="Times New Roman"/>
                <w:sz w:val="14"/>
                <w:szCs w:val="14"/>
              </w:rPr>
              <w:t>131 384 089</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92 861 419</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72 361 419</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72 361 419</w:t>
            </w:r>
          </w:p>
        </w:tc>
      </w:tr>
      <w:tr w:rsidR="00D2350F" w:rsidRPr="00086A6E" w:rsidTr="00D2350F">
        <w:trPr>
          <w:trHeight w:hRule="exact" w:val="25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D2350F" w:rsidRPr="00086A6E" w:rsidRDefault="00D2350F" w:rsidP="00D2350F">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z toho: rekonštrukcie a modernizácie futbalových štadiónov</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4 500 000</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5 300 000</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4 500 000</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8B5DD4" w:rsidRDefault="00D2350F" w:rsidP="00D2350F">
            <w:pPr>
              <w:jc w:val="right"/>
              <w:rPr>
                <w:rFonts w:ascii="Times New Roman" w:hAnsi="Times New Roman" w:cs="Times New Roman"/>
                <w:color w:val="000000"/>
                <w:sz w:val="14"/>
                <w:szCs w:val="14"/>
                <w:lang w:eastAsia="sk-SK"/>
              </w:rPr>
            </w:pPr>
            <w:r w:rsidRPr="008B5DD4">
              <w:rPr>
                <w:rFonts w:ascii="Times New Roman" w:hAnsi="Times New Roman" w:cs="Times New Roman"/>
                <w:sz w:val="14"/>
                <w:szCs w:val="14"/>
              </w:rPr>
              <w:t>4 500 000</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4 500 000</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4 500 000</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4 500 000</w:t>
            </w:r>
          </w:p>
        </w:tc>
      </w:tr>
      <w:tr w:rsidR="00D2350F" w:rsidRPr="00086A6E" w:rsidTr="00D2350F">
        <w:trPr>
          <w:trHeight w:hRule="exact" w:val="25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D2350F" w:rsidRPr="00086A6E" w:rsidRDefault="00D2350F" w:rsidP="00D2350F">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Národný futbalový štadión</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27 200 000</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63 040 000</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8B5DD4" w:rsidRDefault="00D2350F" w:rsidP="00D2350F">
            <w:pPr>
              <w:jc w:val="right"/>
              <w:rPr>
                <w:rFonts w:ascii="Times New Roman" w:hAnsi="Times New Roman" w:cs="Times New Roman"/>
                <w:color w:val="000000"/>
                <w:sz w:val="14"/>
                <w:szCs w:val="14"/>
                <w:lang w:eastAsia="sk-SK"/>
              </w:rPr>
            </w:pPr>
            <w:r w:rsidRPr="008B5DD4">
              <w:rPr>
                <w:rFonts w:ascii="Times New Roman" w:hAnsi="Times New Roman" w:cs="Times New Roman"/>
                <w:sz w:val="14"/>
                <w:szCs w:val="14"/>
              </w:rPr>
              <w:t>63 040 000</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r>
      <w:tr w:rsidR="00D2350F" w:rsidRPr="00086A6E" w:rsidTr="00D2350F">
        <w:trPr>
          <w:trHeight w:hRule="exact" w:val="255"/>
        </w:trPr>
        <w:tc>
          <w:tcPr>
            <w:tcW w:w="3539" w:type="dxa"/>
            <w:tcBorders>
              <w:top w:val="nil"/>
              <w:left w:val="single" w:sz="4" w:space="0" w:color="auto"/>
              <w:bottom w:val="single" w:sz="4" w:space="0" w:color="auto"/>
              <w:right w:val="single" w:sz="4" w:space="0" w:color="auto"/>
            </w:tcBorders>
            <w:shd w:val="clear" w:color="000000" w:fill="FFFFFF"/>
            <w:noWrap/>
            <w:vAlign w:val="bottom"/>
          </w:tcPr>
          <w:p w:rsidR="00D2350F" w:rsidRPr="00086A6E" w:rsidRDefault="00D2350F" w:rsidP="00D2350F">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športová infraštruktúra národného významu</w:t>
            </w:r>
          </w:p>
        </w:tc>
        <w:tc>
          <w:tcPr>
            <w:tcW w:w="845" w:type="dxa"/>
            <w:tcBorders>
              <w:top w:val="nil"/>
              <w:left w:val="nil"/>
              <w:bottom w:val="single" w:sz="4" w:space="0" w:color="auto"/>
              <w:right w:val="single" w:sz="4" w:space="0" w:color="auto"/>
            </w:tcBorders>
            <w:shd w:val="clear" w:color="auto" w:fill="auto"/>
            <w:noWrap/>
            <w:vAlign w:val="bottom"/>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845" w:type="dxa"/>
            <w:tcBorders>
              <w:top w:val="nil"/>
              <w:left w:val="nil"/>
              <w:bottom w:val="single" w:sz="4" w:space="0" w:color="auto"/>
              <w:right w:val="single" w:sz="4" w:space="0" w:color="auto"/>
            </w:tcBorders>
            <w:shd w:val="clear" w:color="auto" w:fill="auto"/>
            <w:noWrap/>
            <w:vAlign w:val="bottom"/>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rPr>
              <w:t>21 050 000</w:t>
            </w:r>
          </w:p>
        </w:tc>
        <w:tc>
          <w:tcPr>
            <w:tcW w:w="845" w:type="dxa"/>
            <w:tcBorders>
              <w:top w:val="nil"/>
              <w:left w:val="nil"/>
              <w:bottom w:val="single" w:sz="4" w:space="0" w:color="auto"/>
              <w:right w:val="single" w:sz="4" w:space="0" w:color="auto"/>
            </w:tcBorders>
            <w:shd w:val="clear" w:color="auto" w:fill="auto"/>
            <w:noWrap/>
            <w:vAlign w:val="bottom"/>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845" w:type="dxa"/>
            <w:tcBorders>
              <w:top w:val="nil"/>
              <w:left w:val="nil"/>
              <w:bottom w:val="single" w:sz="4" w:space="0" w:color="auto"/>
              <w:right w:val="single" w:sz="4" w:space="0" w:color="auto"/>
            </w:tcBorders>
            <w:shd w:val="clear" w:color="auto" w:fill="auto"/>
            <w:noWrap/>
            <w:vAlign w:val="bottom"/>
          </w:tcPr>
          <w:p w:rsidR="00D2350F" w:rsidRPr="008B5DD4" w:rsidRDefault="00D2350F" w:rsidP="00D2350F">
            <w:pPr>
              <w:jc w:val="right"/>
              <w:rPr>
                <w:rFonts w:ascii="Times New Roman" w:hAnsi="Times New Roman" w:cs="Times New Roman"/>
                <w:color w:val="000000"/>
                <w:sz w:val="14"/>
                <w:szCs w:val="14"/>
                <w:lang w:eastAsia="sk-SK"/>
              </w:rPr>
            </w:pPr>
            <w:r w:rsidRPr="008B5DD4">
              <w:rPr>
                <w:rFonts w:ascii="Times New Roman" w:hAnsi="Times New Roman" w:cs="Times New Roman"/>
                <w:sz w:val="14"/>
                <w:szCs w:val="14"/>
              </w:rPr>
              <w:t>0</w:t>
            </w:r>
          </w:p>
        </w:tc>
        <w:tc>
          <w:tcPr>
            <w:tcW w:w="845" w:type="dxa"/>
            <w:tcBorders>
              <w:top w:val="nil"/>
              <w:left w:val="nil"/>
              <w:bottom w:val="single" w:sz="4" w:space="0" w:color="auto"/>
              <w:right w:val="single" w:sz="4" w:space="0" w:color="auto"/>
            </w:tcBorders>
            <w:shd w:val="clear" w:color="auto" w:fill="auto"/>
            <w:noWrap/>
            <w:vAlign w:val="bottom"/>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21 000 000</w:t>
            </w:r>
          </w:p>
        </w:tc>
        <w:tc>
          <w:tcPr>
            <w:tcW w:w="845" w:type="dxa"/>
            <w:tcBorders>
              <w:top w:val="nil"/>
              <w:left w:val="nil"/>
              <w:bottom w:val="single" w:sz="4" w:space="0" w:color="auto"/>
              <w:right w:val="single" w:sz="4" w:space="0" w:color="auto"/>
            </w:tcBorders>
            <w:shd w:val="clear" w:color="auto" w:fill="auto"/>
            <w:noWrap/>
            <w:vAlign w:val="bottom"/>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845" w:type="dxa"/>
            <w:tcBorders>
              <w:top w:val="nil"/>
              <w:left w:val="nil"/>
              <w:bottom w:val="single" w:sz="4" w:space="0" w:color="auto"/>
              <w:right w:val="single" w:sz="4" w:space="0" w:color="auto"/>
            </w:tcBorders>
            <w:shd w:val="clear" w:color="auto" w:fill="auto"/>
            <w:noWrap/>
            <w:vAlign w:val="bottom"/>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r>
      <w:tr w:rsidR="00D2350F" w:rsidRPr="00086A6E" w:rsidTr="00D2350F">
        <w:trPr>
          <w:trHeight w:hRule="exact" w:val="25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D2350F" w:rsidRPr="00086A6E" w:rsidRDefault="00D2350F" w:rsidP="00D2350F">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ostatný šport </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43 906 319</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rPr>
              <w:t>50 955 457</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57 542 210</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8B5DD4" w:rsidRDefault="00D2350F" w:rsidP="00D2350F">
            <w:pPr>
              <w:jc w:val="right"/>
              <w:rPr>
                <w:rFonts w:ascii="Times New Roman" w:hAnsi="Times New Roman" w:cs="Times New Roman"/>
                <w:color w:val="000000"/>
                <w:sz w:val="14"/>
                <w:szCs w:val="14"/>
                <w:lang w:eastAsia="sk-SK"/>
              </w:rPr>
            </w:pPr>
            <w:r w:rsidRPr="008B5DD4">
              <w:rPr>
                <w:rFonts w:ascii="Times New Roman" w:hAnsi="Times New Roman" w:cs="Times New Roman"/>
                <w:sz w:val="14"/>
                <w:szCs w:val="14"/>
              </w:rPr>
              <w:t>63 844 089</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67 361 419</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67 861 419</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67 861 419</w:t>
            </w:r>
          </w:p>
        </w:tc>
      </w:tr>
      <w:tr w:rsidR="00D2350F" w:rsidRPr="00086A6E" w:rsidTr="00D2350F">
        <w:trPr>
          <w:trHeight w:hRule="exact" w:val="25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D2350F" w:rsidRPr="00086A6E" w:rsidRDefault="00D2350F" w:rsidP="00D2350F">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Ministerstvo obrany SR</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4 903 900</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5 480 874</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5 169 144</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8B5DD4" w:rsidRDefault="00D2350F" w:rsidP="00D2350F">
            <w:pPr>
              <w:jc w:val="right"/>
              <w:rPr>
                <w:rFonts w:ascii="Times New Roman" w:hAnsi="Times New Roman" w:cs="Times New Roman"/>
                <w:sz w:val="14"/>
                <w:szCs w:val="14"/>
                <w:lang w:eastAsia="sk-SK"/>
              </w:rPr>
            </w:pPr>
            <w:r w:rsidRPr="008B5DD4">
              <w:rPr>
                <w:rFonts w:ascii="Times New Roman" w:hAnsi="Times New Roman" w:cs="Times New Roman"/>
                <w:sz w:val="14"/>
                <w:szCs w:val="14"/>
              </w:rPr>
              <w:t>5 447 449</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6 198 539</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6 354 972</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6 335 055</w:t>
            </w:r>
          </w:p>
        </w:tc>
      </w:tr>
      <w:tr w:rsidR="00D2350F" w:rsidRPr="00086A6E" w:rsidTr="00D2350F">
        <w:trPr>
          <w:trHeight w:hRule="exact" w:val="255"/>
        </w:trPr>
        <w:tc>
          <w:tcPr>
            <w:tcW w:w="3539" w:type="dxa"/>
            <w:tcBorders>
              <w:top w:val="nil"/>
              <w:left w:val="single" w:sz="4" w:space="0" w:color="auto"/>
              <w:bottom w:val="single" w:sz="4" w:space="0" w:color="auto"/>
              <w:right w:val="single" w:sz="4" w:space="0" w:color="auto"/>
            </w:tcBorders>
            <w:shd w:val="clear" w:color="000000" w:fill="FFFFFF"/>
            <w:noWrap/>
            <w:vAlign w:val="bottom"/>
            <w:hideMark/>
          </w:tcPr>
          <w:p w:rsidR="00D2350F" w:rsidRPr="00086A6E" w:rsidRDefault="00D2350F" w:rsidP="00D2350F">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Ministerstvo vnútra SR</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2 797 395</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2 807 399</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2 455 189</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8B5DD4" w:rsidRDefault="00D2350F" w:rsidP="00D2350F">
            <w:pPr>
              <w:jc w:val="right"/>
              <w:rPr>
                <w:rFonts w:ascii="Times New Roman" w:hAnsi="Times New Roman" w:cs="Times New Roman"/>
                <w:sz w:val="14"/>
                <w:szCs w:val="14"/>
                <w:lang w:eastAsia="sk-SK"/>
              </w:rPr>
            </w:pPr>
            <w:r w:rsidRPr="008B5DD4">
              <w:rPr>
                <w:rFonts w:ascii="Times New Roman" w:hAnsi="Times New Roman" w:cs="Times New Roman"/>
                <w:sz w:val="14"/>
                <w:szCs w:val="14"/>
              </w:rPr>
              <w:t>2 868 417</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2 600 926</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2 600 926</w:t>
            </w:r>
          </w:p>
        </w:tc>
        <w:tc>
          <w:tcPr>
            <w:tcW w:w="845" w:type="dxa"/>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2 600 926</w:t>
            </w:r>
          </w:p>
        </w:tc>
      </w:tr>
    </w:tbl>
    <w:p w:rsidR="00D2350F" w:rsidRPr="00086A6E" w:rsidRDefault="00D2350F" w:rsidP="00D2350F">
      <w:pPr>
        <w:spacing w:after="200" w:line="276" w:lineRule="auto"/>
        <w:contextualSpacing/>
        <w:jc w:val="both"/>
        <w:rPr>
          <w:rFonts w:ascii="Times New Roman" w:hAnsi="Times New Roman" w:cs="Times New Roman"/>
          <w:b/>
          <w:szCs w:val="36"/>
          <w:highlight w:val="yellow"/>
        </w:rPr>
      </w:pPr>
    </w:p>
    <w:p w:rsidR="00D2350F" w:rsidRPr="00086A6E" w:rsidRDefault="00D2350F" w:rsidP="00D2350F">
      <w:pPr>
        <w:spacing w:after="200"/>
        <w:ind w:firstLine="708"/>
        <w:contextualSpacing/>
        <w:jc w:val="both"/>
        <w:rPr>
          <w:rFonts w:ascii="Times New Roman" w:hAnsi="Times New Roman" w:cs="Times New Roman"/>
        </w:rPr>
      </w:pPr>
      <w:r w:rsidRPr="00086A6E">
        <w:rPr>
          <w:rFonts w:ascii="Times New Roman" w:hAnsi="Times New Roman" w:cs="Times New Roman"/>
        </w:rPr>
        <w:lastRenderedPageBreak/>
        <w:t>Celkové výdavky na podporu športu v roku 2019 oproti schválenému rozpočtu roku 2018 klesajú o 31,0 mil. eur, t. j. o 23,4 %.</w:t>
      </w:r>
    </w:p>
    <w:p w:rsidR="00D2350F" w:rsidRPr="00086A6E" w:rsidRDefault="00D2350F" w:rsidP="00D2350F">
      <w:pPr>
        <w:spacing w:after="200"/>
        <w:contextualSpacing/>
        <w:jc w:val="both"/>
        <w:rPr>
          <w:rFonts w:ascii="Times New Roman" w:hAnsi="Times New Roman" w:cs="Times New Roman"/>
          <w:highlight w:val="yellow"/>
        </w:rPr>
      </w:pPr>
    </w:p>
    <w:p w:rsidR="00D2350F" w:rsidRPr="00086A6E" w:rsidRDefault="00D2350F" w:rsidP="00D2350F">
      <w:pPr>
        <w:spacing w:after="200"/>
        <w:ind w:firstLine="708"/>
        <w:jc w:val="both"/>
        <w:rPr>
          <w:rFonts w:ascii="Times New Roman" w:hAnsi="Times New Roman" w:cs="Times New Roman"/>
        </w:rPr>
      </w:pPr>
      <w:r w:rsidRPr="00086A6E">
        <w:rPr>
          <w:rFonts w:ascii="Times New Roman" w:hAnsi="Times New Roman" w:cs="Times New Roman"/>
        </w:rPr>
        <w:t>Výdavky na podporu športu poskytované MŠVVŠ SR v roku 2019 klesajú medziročne o 32,2 mil. eur, t. j. o 25,8 %. Zníženie výdavkov je ovplyvnené predpokladaným ukončením financovania projektu Národného futbalového štadióna. Zároveň výdavky rastú z dôvodu zvýšenia výdavkov na financovanie športovej infraštruktúry národného významu a výdavkov  z odvodu z prevádzkovania lotériových hier vo výške 100 % v zmysle § 77 ods. 1 písm. b) zákona č. 440/2015 Z. z. o športe a zmene a doplnení niektorých zákonov.</w:t>
      </w:r>
    </w:p>
    <w:p w:rsidR="00D2350F" w:rsidRPr="00086A6E" w:rsidRDefault="00D2350F" w:rsidP="00D2350F">
      <w:pPr>
        <w:spacing w:after="200"/>
        <w:ind w:firstLine="708"/>
        <w:contextualSpacing/>
        <w:jc w:val="both"/>
        <w:rPr>
          <w:rFonts w:ascii="Times New Roman" w:hAnsi="Times New Roman" w:cs="Times New Roman"/>
        </w:rPr>
      </w:pPr>
      <w:r w:rsidRPr="00086A6E">
        <w:rPr>
          <w:rFonts w:ascii="Times New Roman" w:hAnsi="Times New Roman" w:cs="Times New Roman"/>
        </w:rPr>
        <w:t>Na športovú reprezentáciu Slovenskej republiky sú okrem výdavkov rozpočtovaných v kapitole MŠVVŠ SR rozpočtované aj výdavky v kapitolách Ministerstva obrany SR a Ministerstva vnútra SR. Výdavky rozpočtované na šport v kapitolách Ministerstva obrany SR rastú v roku 2019 oproti schválenému rozpočtu roku 2018 o 19,9 % a Ministerstva vnútra SR o 5,94 %.</w:t>
      </w:r>
    </w:p>
    <w:p w:rsidR="00D2350F" w:rsidRPr="00086A6E" w:rsidRDefault="00D2350F" w:rsidP="00D2350F">
      <w:pPr>
        <w:spacing w:after="200"/>
        <w:contextualSpacing/>
        <w:jc w:val="both"/>
        <w:rPr>
          <w:rFonts w:ascii="Times New Roman" w:hAnsi="Times New Roman" w:cs="Times New Roman"/>
          <w:highlight w:val="yellow"/>
        </w:rPr>
      </w:pPr>
    </w:p>
    <w:p w:rsidR="00D2350F" w:rsidRPr="00086A6E" w:rsidRDefault="00D2350F" w:rsidP="00D2350F">
      <w:pPr>
        <w:spacing w:after="200" w:line="276" w:lineRule="auto"/>
        <w:contextualSpacing/>
        <w:jc w:val="both"/>
        <w:rPr>
          <w:rFonts w:ascii="Times New Roman" w:hAnsi="Times New Roman" w:cs="Times New Roman"/>
          <w:b/>
        </w:rPr>
      </w:pPr>
      <w:r w:rsidRPr="00086A6E">
        <w:rPr>
          <w:rFonts w:ascii="Times New Roman" w:hAnsi="Times New Roman" w:cs="Times New Roman"/>
          <w:b/>
        </w:rPr>
        <w:t>Administratíva a iné výdavky</w:t>
      </w:r>
    </w:p>
    <w:p w:rsidR="00D2350F" w:rsidRPr="00086A6E" w:rsidRDefault="00D2350F" w:rsidP="00D2350F">
      <w:pPr>
        <w:spacing w:after="200" w:line="276" w:lineRule="auto"/>
        <w:contextualSpacing/>
        <w:jc w:val="both"/>
        <w:rPr>
          <w:rFonts w:ascii="Times New Roman" w:hAnsi="Times New Roman" w:cs="Times New Roman"/>
          <w:b/>
        </w:rPr>
      </w:pPr>
    </w:p>
    <w:p w:rsidR="00D2350F" w:rsidRDefault="00D2350F" w:rsidP="00D2350F">
      <w:pPr>
        <w:ind w:right="-23" w:firstLine="709"/>
        <w:jc w:val="both"/>
        <w:rPr>
          <w:rFonts w:ascii="Times New Roman" w:hAnsi="Times New Roman" w:cs="Times New Roman"/>
        </w:rPr>
      </w:pPr>
      <w:r w:rsidRPr="00086A6E">
        <w:rPr>
          <w:rFonts w:ascii="Times New Roman" w:hAnsi="Times New Roman" w:cs="Times New Roman"/>
        </w:rPr>
        <w:t xml:space="preserve">Pre fungovanie systému je dôležitá aj dostatočná inštitucionálna podpora. Tú tvorí najmä činnosť samotného úradu ministerstva, ale aj niektorých podriadených rozpočtových organizácií a príspevkových organizácií. Do tejto kategórie sú tiež zaradené výdavky, ktoré nespadajú pod žiadnu z doteraz spomínaných oblastí – celoživotné vzdelávanie (v rámci programu Tvorba a implementácia politík), podpora mládeže či protidrogová politika. </w:t>
      </w:r>
    </w:p>
    <w:p w:rsidR="00D2350F" w:rsidRPr="00086A6E" w:rsidRDefault="00D2350F" w:rsidP="00D2350F">
      <w:pPr>
        <w:contextualSpacing/>
        <w:jc w:val="both"/>
        <w:rPr>
          <w:rFonts w:ascii="Times New Roman" w:hAnsi="Times New Roman" w:cs="Times New Roman"/>
          <w:b/>
        </w:rPr>
      </w:pPr>
    </w:p>
    <w:tbl>
      <w:tblPr>
        <w:tblW w:w="5000" w:type="pct"/>
        <w:tblCellMar>
          <w:left w:w="70" w:type="dxa"/>
          <w:right w:w="70" w:type="dxa"/>
        </w:tblCellMar>
        <w:tblLook w:val="04A0" w:firstRow="1" w:lastRow="0" w:firstColumn="1" w:lastColumn="0" w:noHBand="0" w:noVBand="1"/>
      </w:tblPr>
      <w:tblGrid>
        <w:gridCol w:w="2938"/>
        <w:gridCol w:w="946"/>
        <w:gridCol w:w="843"/>
        <w:gridCol w:w="904"/>
        <w:gridCol w:w="904"/>
        <w:gridCol w:w="843"/>
        <w:gridCol w:w="843"/>
        <w:gridCol w:w="841"/>
      </w:tblGrid>
      <w:tr w:rsidR="00D2350F" w:rsidRPr="00086A6E" w:rsidTr="00D2350F">
        <w:trPr>
          <w:trHeight w:hRule="exact" w:val="255"/>
        </w:trPr>
        <w:tc>
          <w:tcPr>
            <w:tcW w:w="1621" w:type="pct"/>
            <w:tcBorders>
              <w:top w:val="single" w:sz="4" w:space="0" w:color="auto"/>
              <w:left w:val="single" w:sz="4" w:space="0" w:color="auto"/>
              <w:bottom w:val="single" w:sz="4" w:space="0" w:color="auto"/>
              <w:right w:val="single" w:sz="4" w:space="0" w:color="auto"/>
            </w:tcBorders>
            <w:shd w:val="pct35" w:color="000000" w:fill="auto"/>
            <w:noWrap/>
            <w:vAlign w:val="center"/>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 eurách</w:t>
            </w:r>
          </w:p>
        </w:tc>
        <w:tc>
          <w:tcPr>
            <w:tcW w:w="522"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2016 S</w:t>
            </w:r>
          </w:p>
        </w:tc>
        <w:tc>
          <w:tcPr>
            <w:tcW w:w="465"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2017 S</w:t>
            </w:r>
          </w:p>
        </w:tc>
        <w:tc>
          <w:tcPr>
            <w:tcW w:w="499"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R</w:t>
            </w:r>
          </w:p>
        </w:tc>
        <w:tc>
          <w:tcPr>
            <w:tcW w:w="499"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OS</w:t>
            </w:r>
          </w:p>
        </w:tc>
        <w:tc>
          <w:tcPr>
            <w:tcW w:w="465"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2019 N</w:t>
            </w:r>
          </w:p>
        </w:tc>
        <w:tc>
          <w:tcPr>
            <w:tcW w:w="465"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2020 N</w:t>
            </w:r>
          </w:p>
        </w:tc>
        <w:tc>
          <w:tcPr>
            <w:tcW w:w="464"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2021 N</w:t>
            </w:r>
          </w:p>
        </w:tc>
      </w:tr>
      <w:tr w:rsidR="00D2350F" w:rsidRPr="00086A6E" w:rsidTr="00D2350F">
        <w:trPr>
          <w:trHeight w:hRule="exact" w:val="255"/>
        </w:trPr>
        <w:tc>
          <w:tcPr>
            <w:tcW w:w="1621" w:type="pct"/>
            <w:tcBorders>
              <w:top w:val="single" w:sz="4" w:space="0" w:color="auto"/>
              <w:left w:val="single" w:sz="4" w:space="0" w:color="auto"/>
              <w:bottom w:val="single" w:sz="4" w:space="0" w:color="auto"/>
              <w:right w:val="single" w:sz="4" w:space="0" w:color="auto"/>
            </w:tcBorders>
            <w:shd w:val="pct25" w:color="000000"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Administratíva spolu</w:t>
            </w:r>
          </w:p>
        </w:tc>
        <w:tc>
          <w:tcPr>
            <w:tcW w:w="522"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29 079 505</w:t>
            </w:r>
          </w:p>
        </w:tc>
        <w:tc>
          <w:tcPr>
            <w:tcW w:w="465"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30 145 565</w:t>
            </w:r>
          </w:p>
        </w:tc>
        <w:tc>
          <w:tcPr>
            <w:tcW w:w="499"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28 078 081</w:t>
            </w:r>
          </w:p>
        </w:tc>
        <w:tc>
          <w:tcPr>
            <w:tcW w:w="499"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rPr>
              <w:t>28 858 686</w:t>
            </w:r>
          </w:p>
        </w:tc>
        <w:tc>
          <w:tcPr>
            <w:tcW w:w="465"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27 907 624</w:t>
            </w:r>
          </w:p>
        </w:tc>
        <w:tc>
          <w:tcPr>
            <w:tcW w:w="465"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28 027 624</w:t>
            </w:r>
          </w:p>
        </w:tc>
        <w:tc>
          <w:tcPr>
            <w:tcW w:w="464"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28 827 624</w:t>
            </w:r>
          </w:p>
        </w:tc>
      </w:tr>
      <w:tr w:rsidR="00D2350F" w:rsidRPr="00086A6E" w:rsidTr="00D2350F">
        <w:trPr>
          <w:trHeight w:hRule="exact" w:val="255"/>
        </w:trPr>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Tvorba a implementácia politík</w:t>
            </w:r>
          </w:p>
        </w:tc>
        <w:tc>
          <w:tcPr>
            <w:tcW w:w="52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24 726 163</w:t>
            </w:r>
          </w:p>
        </w:tc>
        <w:tc>
          <w:tcPr>
            <w:tcW w:w="46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21 311 974</w:t>
            </w:r>
          </w:p>
        </w:tc>
        <w:tc>
          <w:tcPr>
            <w:tcW w:w="49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20 093 621</w:t>
            </w:r>
          </w:p>
        </w:tc>
        <w:tc>
          <w:tcPr>
            <w:tcW w:w="49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21 029 373</w:t>
            </w:r>
          </w:p>
        </w:tc>
        <w:tc>
          <w:tcPr>
            <w:tcW w:w="46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20 571 187</w:t>
            </w:r>
          </w:p>
        </w:tc>
        <w:tc>
          <w:tcPr>
            <w:tcW w:w="46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20 571 187</w:t>
            </w:r>
          </w:p>
        </w:tc>
        <w:tc>
          <w:tcPr>
            <w:tcW w:w="464"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20 571 187</w:t>
            </w:r>
          </w:p>
        </w:tc>
      </w:tr>
      <w:tr w:rsidR="00D2350F" w:rsidRPr="00086A6E" w:rsidTr="00D2350F">
        <w:trPr>
          <w:trHeight w:hRule="exact" w:val="255"/>
        </w:trPr>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IT financované zo ŠR administratíva</w:t>
            </w:r>
          </w:p>
        </w:tc>
        <w:tc>
          <w:tcPr>
            <w:tcW w:w="52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6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5 102 990</w:t>
            </w:r>
          </w:p>
        </w:tc>
        <w:tc>
          <w:tcPr>
            <w:tcW w:w="49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3 252 937</w:t>
            </w:r>
          </w:p>
        </w:tc>
        <w:tc>
          <w:tcPr>
            <w:tcW w:w="49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3 660 607</w:t>
            </w:r>
          </w:p>
        </w:tc>
        <w:tc>
          <w:tcPr>
            <w:tcW w:w="46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2 797 936</w:t>
            </w:r>
          </w:p>
        </w:tc>
        <w:tc>
          <w:tcPr>
            <w:tcW w:w="46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2 797 936</w:t>
            </w:r>
          </w:p>
        </w:tc>
        <w:tc>
          <w:tcPr>
            <w:tcW w:w="464"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2 797 936</w:t>
            </w:r>
          </w:p>
        </w:tc>
      </w:tr>
      <w:tr w:rsidR="00D2350F" w:rsidRPr="00086A6E" w:rsidTr="00D2350F">
        <w:trPr>
          <w:trHeight w:hRule="exact" w:val="255"/>
        </w:trPr>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Hospodárska mobilizácia</w:t>
            </w:r>
          </w:p>
        </w:tc>
        <w:tc>
          <w:tcPr>
            <w:tcW w:w="52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6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5 297</w:t>
            </w:r>
          </w:p>
        </w:tc>
        <w:tc>
          <w:tcPr>
            <w:tcW w:w="49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5 297</w:t>
            </w:r>
          </w:p>
        </w:tc>
        <w:tc>
          <w:tcPr>
            <w:tcW w:w="46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5 297</w:t>
            </w:r>
          </w:p>
        </w:tc>
        <w:tc>
          <w:tcPr>
            <w:tcW w:w="46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5 297</w:t>
            </w:r>
          </w:p>
        </w:tc>
        <w:tc>
          <w:tcPr>
            <w:tcW w:w="464"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5 297</w:t>
            </w:r>
          </w:p>
        </w:tc>
      </w:tr>
      <w:tr w:rsidR="00D2350F" w:rsidRPr="00086A6E" w:rsidTr="00D2350F">
        <w:trPr>
          <w:trHeight w:hRule="exact" w:val="255"/>
        </w:trPr>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Podpora detí a mládeže</w:t>
            </w:r>
          </w:p>
        </w:tc>
        <w:tc>
          <w:tcPr>
            <w:tcW w:w="52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3 924 410</w:t>
            </w:r>
          </w:p>
        </w:tc>
        <w:tc>
          <w:tcPr>
            <w:tcW w:w="46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3 722 601</w:t>
            </w:r>
          </w:p>
        </w:tc>
        <w:tc>
          <w:tcPr>
            <w:tcW w:w="49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3 497 708</w:t>
            </w:r>
          </w:p>
        </w:tc>
        <w:tc>
          <w:tcPr>
            <w:tcW w:w="49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3 568 693</w:t>
            </w:r>
          </w:p>
        </w:tc>
        <w:tc>
          <w:tcPr>
            <w:tcW w:w="46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3 524 686</w:t>
            </w:r>
          </w:p>
        </w:tc>
        <w:tc>
          <w:tcPr>
            <w:tcW w:w="46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3 524 686</w:t>
            </w:r>
          </w:p>
        </w:tc>
        <w:tc>
          <w:tcPr>
            <w:tcW w:w="464"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3 524 686</w:t>
            </w:r>
          </w:p>
        </w:tc>
      </w:tr>
      <w:tr w:rsidR="00D2350F" w:rsidRPr="00086A6E" w:rsidTr="00D2350F">
        <w:trPr>
          <w:trHeight w:hRule="exact" w:val="255"/>
        </w:trPr>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Výdavky na koordináciu prierezových aktivít </w:t>
            </w:r>
          </w:p>
        </w:tc>
        <w:tc>
          <w:tcPr>
            <w:tcW w:w="52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6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1 188 518</w:t>
            </w:r>
          </w:p>
        </w:tc>
        <w:tc>
          <w:tcPr>
            <w:tcW w:w="49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586 716</w:t>
            </w:r>
          </w:p>
        </w:tc>
        <w:tc>
          <w:tcPr>
            <w:tcW w:w="46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968 518</w:t>
            </w:r>
          </w:p>
        </w:tc>
        <w:tc>
          <w:tcPr>
            <w:tcW w:w="46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1 088 518</w:t>
            </w:r>
          </w:p>
        </w:tc>
        <w:tc>
          <w:tcPr>
            <w:tcW w:w="464"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1 888 518</w:t>
            </w:r>
          </w:p>
        </w:tc>
      </w:tr>
      <w:tr w:rsidR="00D2350F" w:rsidRPr="00086A6E" w:rsidTr="00D2350F">
        <w:trPr>
          <w:trHeight w:hRule="exact" w:val="255"/>
        </w:trPr>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MŠVVŠ SR protidrogová politika</w:t>
            </w:r>
          </w:p>
        </w:tc>
        <w:tc>
          <w:tcPr>
            <w:tcW w:w="52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10 227</w:t>
            </w:r>
          </w:p>
        </w:tc>
        <w:tc>
          <w:tcPr>
            <w:tcW w:w="46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8 000</w:t>
            </w:r>
          </w:p>
        </w:tc>
        <w:tc>
          <w:tcPr>
            <w:tcW w:w="49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40 000</w:t>
            </w:r>
          </w:p>
        </w:tc>
        <w:tc>
          <w:tcPr>
            <w:tcW w:w="49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8 000</w:t>
            </w:r>
          </w:p>
        </w:tc>
        <w:tc>
          <w:tcPr>
            <w:tcW w:w="46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40 000</w:t>
            </w:r>
          </w:p>
        </w:tc>
        <w:tc>
          <w:tcPr>
            <w:tcW w:w="46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40 000</w:t>
            </w:r>
          </w:p>
        </w:tc>
        <w:tc>
          <w:tcPr>
            <w:tcW w:w="464"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40 000</w:t>
            </w:r>
          </w:p>
        </w:tc>
      </w:tr>
      <w:tr w:rsidR="00D2350F" w:rsidRPr="00086A6E" w:rsidTr="00D2350F">
        <w:trPr>
          <w:trHeight w:hRule="exact" w:val="255"/>
        </w:trPr>
        <w:tc>
          <w:tcPr>
            <w:tcW w:w="1621"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SK PRES 2016 - MŠVVŠ SR</w:t>
            </w:r>
          </w:p>
        </w:tc>
        <w:tc>
          <w:tcPr>
            <w:tcW w:w="52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418 705</w:t>
            </w:r>
          </w:p>
        </w:tc>
        <w:tc>
          <w:tcPr>
            <w:tcW w:w="46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9"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0</w:t>
            </w:r>
          </w:p>
        </w:tc>
        <w:tc>
          <w:tcPr>
            <w:tcW w:w="46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6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64"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bl>
    <w:p w:rsidR="00D2350F" w:rsidRPr="00086A6E" w:rsidRDefault="00D2350F" w:rsidP="00D2350F">
      <w:pPr>
        <w:spacing w:after="200" w:line="276" w:lineRule="auto"/>
        <w:contextualSpacing/>
        <w:jc w:val="both"/>
        <w:rPr>
          <w:rFonts w:ascii="Times New Roman" w:hAnsi="Times New Roman" w:cs="Times New Roman"/>
          <w:szCs w:val="36"/>
          <w:highlight w:val="yellow"/>
        </w:rPr>
      </w:pPr>
    </w:p>
    <w:p w:rsidR="00D2350F" w:rsidRPr="00086A6E" w:rsidRDefault="00D2350F" w:rsidP="00D2350F">
      <w:pPr>
        <w:ind w:firstLine="708"/>
        <w:contextualSpacing/>
        <w:jc w:val="both"/>
        <w:rPr>
          <w:rFonts w:ascii="Times New Roman" w:hAnsi="Times New Roman" w:cs="Times New Roman"/>
        </w:rPr>
      </w:pPr>
      <w:r w:rsidRPr="00086A6E">
        <w:rPr>
          <w:rFonts w:ascii="Times New Roman" w:hAnsi="Times New Roman" w:cs="Times New Roman"/>
        </w:rPr>
        <w:t>Na rok 2019 na administratívu a iné výdavky kapitoly sú vyčlenené finančné prostriedky v sume 27,9 mil. eur.</w:t>
      </w:r>
    </w:p>
    <w:p w:rsidR="00D2350F" w:rsidRPr="00086A6E" w:rsidRDefault="00D2350F" w:rsidP="00D2350F">
      <w:pPr>
        <w:ind w:firstLine="708"/>
        <w:contextualSpacing/>
        <w:jc w:val="both"/>
        <w:rPr>
          <w:rFonts w:ascii="Times New Roman" w:hAnsi="Times New Roman" w:cs="Times New Roman"/>
          <w:highlight w:val="yellow"/>
        </w:rPr>
      </w:pPr>
    </w:p>
    <w:p w:rsidR="00D2350F" w:rsidRPr="00086A6E" w:rsidRDefault="00D2350F" w:rsidP="00D2350F">
      <w:pPr>
        <w:ind w:firstLine="708"/>
        <w:contextualSpacing/>
        <w:jc w:val="both"/>
        <w:rPr>
          <w:rFonts w:ascii="Times New Roman" w:hAnsi="Times New Roman" w:cs="Times New Roman"/>
        </w:rPr>
      </w:pPr>
      <w:r w:rsidRPr="00086A6E">
        <w:rPr>
          <w:rFonts w:ascii="Times New Roman" w:hAnsi="Times New Roman" w:cs="Times New Roman"/>
        </w:rPr>
        <w:t>Výdavky na koordináciu prierezových aktivít navrhované na rok 2019 sú nižšie oproti schválenému rozpočtu roku 2018 o 220 tis. eur, t. j. o 18,5 % s predpokladom ich čerpania v priebehu roka 2019 na financovanie vedy a výskumu.</w:t>
      </w:r>
    </w:p>
    <w:p w:rsidR="00D2350F" w:rsidRPr="00086A6E" w:rsidRDefault="00D2350F" w:rsidP="00D2350F">
      <w:pPr>
        <w:contextualSpacing/>
        <w:jc w:val="both"/>
        <w:rPr>
          <w:rFonts w:ascii="Times New Roman" w:hAnsi="Times New Roman" w:cs="Times New Roman"/>
          <w:highlight w:val="yellow"/>
        </w:rPr>
      </w:pPr>
    </w:p>
    <w:p w:rsidR="00D2350F" w:rsidRPr="00086A6E" w:rsidRDefault="00D2350F" w:rsidP="00D2350F">
      <w:pPr>
        <w:ind w:firstLine="708"/>
        <w:contextualSpacing/>
        <w:jc w:val="both"/>
        <w:rPr>
          <w:rFonts w:ascii="Times New Roman" w:hAnsi="Times New Roman" w:cs="Times New Roman"/>
        </w:rPr>
      </w:pPr>
      <w:r w:rsidRPr="00086A6E">
        <w:rPr>
          <w:rFonts w:ascii="Times New Roman" w:hAnsi="Times New Roman" w:cs="Times New Roman"/>
        </w:rPr>
        <w:t>Výdavky na podporu detí a mládeže rastú na rok 2019 oproti schválenému rozpočtu roku 2018 o 27,0 tis. eur, t. j. o 0,77 %.</w:t>
      </w:r>
    </w:p>
    <w:p w:rsidR="00D2350F" w:rsidRPr="00086A6E" w:rsidRDefault="00D2350F" w:rsidP="00D2350F">
      <w:pPr>
        <w:ind w:firstLine="708"/>
        <w:contextualSpacing/>
        <w:jc w:val="both"/>
        <w:rPr>
          <w:rFonts w:ascii="Times New Roman" w:hAnsi="Times New Roman" w:cs="Times New Roman"/>
        </w:rPr>
      </w:pPr>
    </w:p>
    <w:p w:rsidR="00D2350F" w:rsidRDefault="00D2350F" w:rsidP="00D2350F">
      <w:pPr>
        <w:ind w:firstLine="708"/>
        <w:contextualSpacing/>
        <w:jc w:val="both"/>
        <w:rPr>
          <w:rFonts w:ascii="Times New Roman" w:hAnsi="Times New Roman" w:cs="Times New Roman"/>
        </w:rPr>
      </w:pPr>
      <w:r w:rsidRPr="00086A6E">
        <w:rPr>
          <w:rFonts w:ascii="Times New Roman" w:hAnsi="Times New Roman" w:cs="Times New Roman"/>
        </w:rPr>
        <w:t xml:space="preserve">V rámci programu Tvorba a implementácia politík sú rozpočtované výdavky pre dve rozpočtové organizácie vrátane úradu ministerstva a dve príspevkové organizácie. Výdavky na rok 2019 zaznamenávajú nárast oproti schválenému rozpočtu roku 2018 o 478 tis. eur, </w:t>
      </w:r>
      <w:r>
        <w:rPr>
          <w:rFonts w:ascii="Times New Roman" w:hAnsi="Times New Roman" w:cs="Times New Roman"/>
        </w:rPr>
        <w:br/>
      </w:r>
      <w:r w:rsidRPr="00086A6E">
        <w:rPr>
          <w:rFonts w:ascii="Times New Roman" w:hAnsi="Times New Roman" w:cs="Times New Roman"/>
        </w:rPr>
        <w:t>t. j. o 2,38 %.</w:t>
      </w:r>
    </w:p>
    <w:p w:rsidR="00D2350F" w:rsidRDefault="00D2350F" w:rsidP="00D2350F">
      <w:pPr>
        <w:ind w:firstLine="708"/>
        <w:contextualSpacing/>
        <w:jc w:val="both"/>
        <w:rPr>
          <w:rFonts w:ascii="Times New Roman" w:hAnsi="Times New Roman" w:cs="Times New Roman"/>
        </w:rPr>
      </w:pPr>
    </w:p>
    <w:p w:rsidR="00D2350F" w:rsidRPr="00086A6E" w:rsidRDefault="00D2350F" w:rsidP="00D2350F">
      <w:pPr>
        <w:ind w:firstLine="708"/>
        <w:contextualSpacing/>
        <w:jc w:val="both"/>
        <w:rPr>
          <w:rFonts w:ascii="Times New Roman" w:hAnsi="Times New Roman" w:cs="Times New Roman"/>
        </w:rPr>
      </w:pPr>
    </w:p>
    <w:p w:rsidR="00D2350F" w:rsidRPr="00086A6E" w:rsidRDefault="00D2350F" w:rsidP="00D2350F">
      <w:pPr>
        <w:spacing w:after="200"/>
        <w:ind w:firstLine="708"/>
        <w:contextualSpacing/>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38"/>
        <w:gridCol w:w="946"/>
        <w:gridCol w:w="843"/>
        <w:gridCol w:w="904"/>
        <w:gridCol w:w="904"/>
        <w:gridCol w:w="843"/>
        <w:gridCol w:w="843"/>
        <w:gridCol w:w="841"/>
      </w:tblGrid>
      <w:tr w:rsidR="00D2350F" w:rsidRPr="00086A6E" w:rsidTr="00D2350F">
        <w:trPr>
          <w:trHeight w:hRule="exact" w:val="255"/>
        </w:trPr>
        <w:tc>
          <w:tcPr>
            <w:tcW w:w="1621" w:type="pct"/>
            <w:tcBorders>
              <w:bottom w:val="single" w:sz="4" w:space="0" w:color="auto"/>
            </w:tcBorders>
            <w:shd w:val="pct35" w:color="000000" w:fill="auto"/>
            <w:noWrap/>
            <w:vAlign w:val="center"/>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lastRenderedPageBreak/>
              <w:t>v eurách</w:t>
            </w:r>
          </w:p>
        </w:tc>
        <w:tc>
          <w:tcPr>
            <w:tcW w:w="522" w:type="pct"/>
            <w:tcBorders>
              <w:bottom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2016 S</w:t>
            </w:r>
          </w:p>
        </w:tc>
        <w:tc>
          <w:tcPr>
            <w:tcW w:w="465" w:type="pct"/>
            <w:tcBorders>
              <w:bottom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2017 S</w:t>
            </w:r>
          </w:p>
        </w:tc>
        <w:tc>
          <w:tcPr>
            <w:tcW w:w="499" w:type="pct"/>
            <w:tcBorders>
              <w:bottom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R</w:t>
            </w:r>
          </w:p>
        </w:tc>
        <w:tc>
          <w:tcPr>
            <w:tcW w:w="499" w:type="pct"/>
            <w:tcBorders>
              <w:bottom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OS</w:t>
            </w:r>
          </w:p>
        </w:tc>
        <w:tc>
          <w:tcPr>
            <w:tcW w:w="465" w:type="pct"/>
            <w:tcBorders>
              <w:bottom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2019 N</w:t>
            </w:r>
          </w:p>
        </w:tc>
        <w:tc>
          <w:tcPr>
            <w:tcW w:w="465" w:type="pct"/>
            <w:tcBorders>
              <w:bottom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2020 N</w:t>
            </w:r>
          </w:p>
        </w:tc>
        <w:tc>
          <w:tcPr>
            <w:tcW w:w="464" w:type="pct"/>
            <w:tcBorders>
              <w:bottom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2021 N</w:t>
            </w:r>
          </w:p>
        </w:tc>
      </w:tr>
      <w:tr w:rsidR="00D2350F" w:rsidRPr="00086A6E" w:rsidTr="00D2350F">
        <w:trPr>
          <w:trHeight w:hRule="exact" w:val="255"/>
        </w:trPr>
        <w:tc>
          <w:tcPr>
            <w:tcW w:w="1621" w:type="pct"/>
            <w:shd w:val="pct25" w:color="000000"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Rozpočtové a príspevkové  organizácie spolu</w:t>
            </w:r>
          </w:p>
        </w:tc>
        <w:tc>
          <w:tcPr>
            <w:tcW w:w="522" w:type="pct"/>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24 726 163</w:t>
            </w:r>
          </w:p>
        </w:tc>
        <w:tc>
          <w:tcPr>
            <w:tcW w:w="465" w:type="pct"/>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21 311 974</w:t>
            </w:r>
          </w:p>
        </w:tc>
        <w:tc>
          <w:tcPr>
            <w:tcW w:w="499" w:type="pct"/>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20 093 621</w:t>
            </w:r>
          </w:p>
        </w:tc>
        <w:tc>
          <w:tcPr>
            <w:tcW w:w="499" w:type="pct"/>
            <w:shd w:val="pct25" w:color="000000" w:fill="auto"/>
            <w:noWrap/>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bCs/>
                <w:sz w:val="14"/>
                <w:szCs w:val="14"/>
              </w:rPr>
              <w:t>21 029 373</w:t>
            </w:r>
          </w:p>
        </w:tc>
        <w:tc>
          <w:tcPr>
            <w:tcW w:w="465" w:type="pct"/>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20 571 187</w:t>
            </w:r>
          </w:p>
        </w:tc>
        <w:tc>
          <w:tcPr>
            <w:tcW w:w="465" w:type="pct"/>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20 571 187</w:t>
            </w:r>
          </w:p>
        </w:tc>
        <w:tc>
          <w:tcPr>
            <w:tcW w:w="464" w:type="pct"/>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20 571 187</w:t>
            </w:r>
          </w:p>
        </w:tc>
      </w:tr>
      <w:tr w:rsidR="00D2350F" w:rsidRPr="00086A6E" w:rsidTr="00D2350F">
        <w:trPr>
          <w:trHeight w:hRule="exact" w:val="255"/>
        </w:trPr>
        <w:tc>
          <w:tcPr>
            <w:tcW w:w="1621" w:type="pct"/>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Príspevkové organizácie</w:t>
            </w:r>
          </w:p>
        </w:tc>
        <w:tc>
          <w:tcPr>
            <w:tcW w:w="522" w:type="pct"/>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1 773 106</w:t>
            </w:r>
          </w:p>
        </w:tc>
        <w:tc>
          <w:tcPr>
            <w:tcW w:w="465" w:type="pct"/>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3 058 712</w:t>
            </w:r>
          </w:p>
        </w:tc>
        <w:tc>
          <w:tcPr>
            <w:tcW w:w="499" w:type="pct"/>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1 912 577</w:t>
            </w:r>
          </w:p>
        </w:tc>
        <w:tc>
          <w:tcPr>
            <w:tcW w:w="499" w:type="pct"/>
            <w:shd w:val="clear" w:color="auto" w:fill="auto"/>
            <w:noWrap/>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bCs/>
                <w:sz w:val="14"/>
                <w:szCs w:val="14"/>
              </w:rPr>
              <w:t>2 311 750</w:t>
            </w:r>
          </w:p>
        </w:tc>
        <w:tc>
          <w:tcPr>
            <w:tcW w:w="465" w:type="pct"/>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1 950 919</w:t>
            </w:r>
          </w:p>
        </w:tc>
        <w:tc>
          <w:tcPr>
            <w:tcW w:w="465" w:type="pct"/>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1 950 919</w:t>
            </w:r>
          </w:p>
        </w:tc>
        <w:tc>
          <w:tcPr>
            <w:tcW w:w="464" w:type="pct"/>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1 950 919</w:t>
            </w:r>
          </w:p>
        </w:tc>
      </w:tr>
      <w:tr w:rsidR="00D2350F" w:rsidRPr="00086A6E" w:rsidTr="00D2350F">
        <w:trPr>
          <w:trHeight w:hRule="exact" w:val="255"/>
        </w:trPr>
        <w:tc>
          <w:tcPr>
            <w:tcW w:w="1621" w:type="pct"/>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Národný ústav celoživotného vzdelávania</w:t>
            </w:r>
          </w:p>
        </w:tc>
        <w:tc>
          <w:tcPr>
            <w:tcW w:w="522"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427 452</w:t>
            </w:r>
          </w:p>
        </w:tc>
        <w:tc>
          <w:tcPr>
            <w:tcW w:w="465"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341 061</w:t>
            </w:r>
          </w:p>
        </w:tc>
        <w:tc>
          <w:tcPr>
            <w:tcW w:w="499"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293 660</w:t>
            </w:r>
          </w:p>
        </w:tc>
        <w:tc>
          <w:tcPr>
            <w:tcW w:w="499"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263 626</w:t>
            </w:r>
          </w:p>
        </w:tc>
        <w:tc>
          <w:tcPr>
            <w:tcW w:w="465"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301 407</w:t>
            </w:r>
          </w:p>
        </w:tc>
        <w:tc>
          <w:tcPr>
            <w:tcW w:w="465"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301 407</w:t>
            </w:r>
          </w:p>
        </w:tc>
        <w:tc>
          <w:tcPr>
            <w:tcW w:w="464"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301 407</w:t>
            </w:r>
          </w:p>
        </w:tc>
      </w:tr>
      <w:tr w:rsidR="00D2350F" w:rsidRPr="00086A6E" w:rsidTr="00D2350F">
        <w:trPr>
          <w:trHeight w:hRule="exact" w:val="255"/>
        </w:trPr>
        <w:tc>
          <w:tcPr>
            <w:tcW w:w="1621" w:type="pct"/>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Centrum vedecko-technických informácií</w:t>
            </w:r>
          </w:p>
        </w:tc>
        <w:tc>
          <w:tcPr>
            <w:tcW w:w="522"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1 345 654</w:t>
            </w:r>
          </w:p>
        </w:tc>
        <w:tc>
          <w:tcPr>
            <w:tcW w:w="465"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2 717 651</w:t>
            </w:r>
          </w:p>
        </w:tc>
        <w:tc>
          <w:tcPr>
            <w:tcW w:w="499"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1 618 917</w:t>
            </w:r>
          </w:p>
        </w:tc>
        <w:tc>
          <w:tcPr>
            <w:tcW w:w="499"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2 048 124</w:t>
            </w:r>
          </w:p>
        </w:tc>
        <w:tc>
          <w:tcPr>
            <w:tcW w:w="465"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1 649 512</w:t>
            </w:r>
          </w:p>
        </w:tc>
        <w:tc>
          <w:tcPr>
            <w:tcW w:w="465"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1 649 512</w:t>
            </w:r>
          </w:p>
        </w:tc>
        <w:tc>
          <w:tcPr>
            <w:tcW w:w="464"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1 649 512</w:t>
            </w:r>
          </w:p>
        </w:tc>
      </w:tr>
      <w:tr w:rsidR="00D2350F" w:rsidRPr="00086A6E" w:rsidTr="00D2350F">
        <w:trPr>
          <w:trHeight w:hRule="exact" w:val="255"/>
        </w:trPr>
        <w:tc>
          <w:tcPr>
            <w:tcW w:w="1621" w:type="pct"/>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Rozpočtové organizácie spolu, z toho:</w:t>
            </w:r>
          </w:p>
        </w:tc>
        <w:tc>
          <w:tcPr>
            <w:tcW w:w="522" w:type="pct"/>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22 953 057</w:t>
            </w:r>
          </w:p>
        </w:tc>
        <w:tc>
          <w:tcPr>
            <w:tcW w:w="465" w:type="pct"/>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18 253 262</w:t>
            </w:r>
          </w:p>
        </w:tc>
        <w:tc>
          <w:tcPr>
            <w:tcW w:w="499" w:type="pct"/>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18 181 044</w:t>
            </w:r>
          </w:p>
        </w:tc>
        <w:tc>
          <w:tcPr>
            <w:tcW w:w="499" w:type="pct"/>
            <w:shd w:val="clear" w:color="auto" w:fill="auto"/>
            <w:noWrap/>
            <w:vAlign w:val="bottom"/>
            <w:hideMark/>
          </w:tcPr>
          <w:p w:rsidR="00D2350F" w:rsidRPr="00086A6E" w:rsidRDefault="00D2350F" w:rsidP="00D2350F">
            <w:pPr>
              <w:jc w:val="right"/>
              <w:rPr>
                <w:rFonts w:ascii="Times New Roman" w:hAnsi="Times New Roman" w:cs="Times New Roman"/>
                <w:b/>
                <w:sz w:val="14"/>
                <w:szCs w:val="14"/>
              </w:rPr>
            </w:pPr>
            <w:r w:rsidRPr="00086A6E">
              <w:rPr>
                <w:rFonts w:ascii="Times New Roman" w:hAnsi="Times New Roman" w:cs="Times New Roman"/>
                <w:b/>
                <w:bCs/>
                <w:sz w:val="14"/>
                <w:szCs w:val="14"/>
              </w:rPr>
              <w:t>18 717 623</w:t>
            </w:r>
          </w:p>
        </w:tc>
        <w:tc>
          <w:tcPr>
            <w:tcW w:w="465" w:type="pct"/>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18 620 268</w:t>
            </w:r>
          </w:p>
        </w:tc>
        <w:tc>
          <w:tcPr>
            <w:tcW w:w="465" w:type="pct"/>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18 620 268</w:t>
            </w:r>
          </w:p>
        </w:tc>
        <w:tc>
          <w:tcPr>
            <w:tcW w:w="464" w:type="pct"/>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18 620 268</w:t>
            </w:r>
          </w:p>
        </w:tc>
      </w:tr>
      <w:tr w:rsidR="00D2350F" w:rsidRPr="00086A6E" w:rsidTr="00D2350F">
        <w:trPr>
          <w:trHeight w:hRule="exact" w:val="255"/>
        </w:trPr>
        <w:tc>
          <w:tcPr>
            <w:tcW w:w="1621" w:type="pct"/>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Výskumná agentúra (AŠF MŠVVŠ SR)</w:t>
            </w:r>
          </w:p>
        </w:tc>
        <w:tc>
          <w:tcPr>
            <w:tcW w:w="522"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1 559 783</w:t>
            </w:r>
          </w:p>
        </w:tc>
        <w:tc>
          <w:tcPr>
            <w:tcW w:w="465"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1 213 865</w:t>
            </w:r>
          </w:p>
        </w:tc>
        <w:tc>
          <w:tcPr>
            <w:tcW w:w="499"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950 255</w:t>
            </w:r>
          </w:p>
        </w:tc>
        <w:tc>
          <w:tcPr>
            <w:tcW w:w="499"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1 162 138</w:t>
            </w:r>
          </w:p>
        </w:tc>
        <w:tc>
          <w:tcPr>
            <w:tcW w:w="465"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947 706</w:t>
            </w:r>
          </w:p>
        </w:tc>
        <w:tc>
          <w:tcPr>
            <w:tcW w:w="465"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947 706</w:t>
            </w:r>
          </w:p>
        </w:tc>
        <w:tc>
          <w:tcPr>
            <w:tcW w:w="464"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947 706</w:t>
            </w:r>
          </w:p>
        </w:tc>
      </w:tr>
      <w:tr w:rsidR="00D2350F" w:rsidRPr="00086A6E" w:rsidTr="00D2350F">
        <w:trPr>
          <w:trHeight w:hRule="exact" w:val="255"/>
        </w:trPr>
        <w:tc>
          <w:tcPr>
            <w:tcW w:w="1621" w:type="pct"/>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Úrad MŠVVŠ SR</w:t>
            </w:r>
          </w:p>
        </w:tc>
        <w:tc>
          <w:tcPr>
            <w:tcW w:w="522"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21 393 274</w:t>
            </w:r>
          </w:p>
        </w:tc>
        <w:tc>
          <w:tcPr>
            <w:tcW w:w="465"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17 039 397</w:t>
            </w:r>
          </w:p>
        </w:tc>
        <w:tc>
          <w:tcPr>
            <w:tcW w:w="499"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17 230 789</w:t>
            </w:r>
          </w:p>
        </w:tc>
        <w:tc>
          <w:tcPr>
            <w:tcW w:w="499"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rPr>
            </w:pPr>
            <w:r w:rsidRPr="00086A6E">
              <w:rPr>
                <w:rFonts w:ascii="Times New Roman" w:hAnsi="Times New Roman" w:cs="Times New Roman"/>
                <w:sz w:val="14"/>
                <w:szCs w:val="14"/>
              </w:rPr>
              <w:t>17 555 485</w:t>
            </w:r>
          </w:p>
        </w:tc>
        <w:tc>
          <w:tcPr>
            <w:tcW w:w="465"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17 672 562</w:t>
            </w:r>
          </w:p>
        </w:tc>
        <w:tc>
          <w:tcPr>
            <w:tcW w:w="465"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17 672 562</w:t>
            </w:r>
          </w:p>
        </w:tc>
        <w:tc>
          <w:tcPr>
            <w:tcW w:w="464" w:type="pct"/>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17 672 562</w:t>
            </w:r>
          </w:p>
        </w:tc>
      </w:tr>
    </w:tbl>
    <w:p w:rsidR="00D2350F" w:rsidRDefault="00D2350F" w:rsidP="00D2350F">
      <w:pPr>
        <w:spacing w:line="276" w:lineRule="auto"/>
        <w:jc w:val="both"/>
        <w:rPr>
          <w:rFonts w:ascii="Times New Roman" w:hAnsi="Times New Roman" w:cs="Times New Roman"/>
          <w:b/>
        </w:rPr>
      </w:pPr>
    </w:p>
    <w:p w:rsidR="00D2350F" w:rsidRPr="00086A6E" w:rsidRDefault="00D2350F" w:rsidP="00D2350F">
      <w:pPr>
        <w:spacing w:line="276" w:lineRule="auto"/>
        <w:jc w:val="both"/>
        <w:rPr>
          <w:rFonts w:ascii="Times New Roman" w:hAnsi="Times New Roman" w:cs="Times New Roman"/>
          <w:b/>
        </w:rPr>
      </w:pPr>
      <w:r w:rsidRPr="00086A6E">
        <w:rPr>
          <w:rFonts w:ascii="Times New Roman" w:hAnsi="Times New Roman" w:cs="Times New Roman"/>
          <w:b/>
        </w:rPr>
        <w:t>Prostriedky EÚ a spolufinancovania</w:t>
      </w:r>
    </w:p>
    <w:p w:rsidR="00D2350F" w:rsidRDefault="00D2350F" w:rsidP="00D2350F">
      <w:pPr>
        <w:ind w:right="284" w:firstLine="708"/>
        <w:jc w:val="both"/>
        <w:rPr>
          <w:rFonts w:ascii="Times New Roman" w:hAnsi="Times New Roman" w:cs="Times New Roman"/>
        </w:rPr>
      </w:pPr>
    </w:p>
    <w:p w:rsidR="00D2350F" w:rsidRDefault="00D2350F" w:rsidP="00D2350F">
      <w:pPr>
        <w:ind w:right="284" w:firstLine="708"/>
        <w:jc w:val="both"/>
        <w:rPr>
          <w:rFonts w:ascii="Times New Roman" w:hAnsi="Times New Roman" w:cs="Times New Roman"/>
        </w:rPr>
      </w:pPr>
      <w:r w:rsidRPr="00086A6E">
        <w:rPr>
          <w:rFonts w:ascii="Times New Roman" w:hAnsi="Times New Roman" w:cs="Times New Roman"/>
        </w:rPr>
        <w:t xml:space="preserve">Významný zdroj prostriedkov na vzdelávanie pochádza z fondov EÚ. V programovom období 2007 - 2013 išlo najmä o OP Vzdelávanie a OP Výskum a vývoj, pre nové programové obdobie 2014 - 2020 ide o OP Ľudské zdroje a OP Výskum a inovácie. </w:t>
      </w:r>
    </w:p>
    <w:p w:rsidR="00D2350F" w:rsidRPr="00086A6E" w:rsidRDefault="00D2350F" w:rsidP="00D2350F">
      <w:pPr>
        <w:jc w:val="both"/>
        <w:rPr>
          <w:rFonts w:ascii="Times New Roman" w:hAnsi="Times New Roman" w:cs="Times New Roman"/>
          <w:b/>
        </w:rPr>
      </w:pPr>
    </w:p>
    <w:tbl>
      <w:tblPr>
        <w:tblW w:w="5000" w:type="pct"/>
        <w:tblCellMar>
          <w:left w:w="70" w:type="dxa"/>
          <w:right w:w="70" w:type="dxa"/>
        </w:tblCellMar>
        <w:tblLook w:val="04A0" w:firstRow="1" w:lastRow="0" w:firstColumn="1" w:lastColumn="0" w:noHBand="0" w:noVBand="1"/>
      </w:tblPr>
      <w:tblGrid>
        <w:gridCol w:w="2846"/>
        <w:gridCol w:w="890"/>
        <w:gridCol w:w="888"/>
        <w:gridCol w:w="888"/>
        <w:gridCol w:w="888"/>
        <w:gridCol w:w="888"/>
        <w:gridCol w:w="888"/>
        <w:gridCol w:w="886"/>
      </w:tblGrid>
      <w:tr w:rsidR="00D2350F" w:rsidRPr="00086A6E" w:rsidTr="00D2350F">
        <w:trPr>
          <w:trHeight w:hRule="exact" w:val="255"/>
        </w:trPr>
        <w:tc>
          <w:tcPr>
            <w:tcW w:w="1570" w:type="pct"/>
            <w:tcBorders>
              <w:top w:val="single" w:sz="4" w:space="0" w:color="auto"/>
              <w:left w:val="single" w:sz="4" w:space="0" w:color="auto"/>
              <w:bottom w:val="single" w:sz="4" w:space="0" w:color="auto"/>
              <w:right w:val="single" w:sz="4" w:space="0" w:color="auto"/>
            </w:tcBorders>
            <w:shd w:val="pct35" w:color="000000" w:fill="auto"/>
            <w:noWrap/>
            <w:vAlign w:val="center"/>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 eurách</w:t>
            </w:r>
          </w:p>
        </w:tc>
        <w:tc>
          <w:tcPr>
            <w:tcW w:w="491"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2016 S</w:t>
            </w:r>
          </w:p>
        </w:tc>
        <w:tc>
          <w:tcPr>
            <w:tcW w:w="490"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2017 S</w:t>
            </w:r>
          </w:p>
        </w:tc>
        <w:tc>
          <w:tcPr>
            <w:tcW w:w="490"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R</w:t>
            </w:r>
          </w:p>
        </w:tc>
        <w:tc>
          <w:tcPr>
            <w:tcW w:w="490"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OS</w:t>
            </w:r>
          </w:p>
        </w:tc>
        <w:tc>
          <w:tcPr>
            <w:tcW w:w="490"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2019 N</w:t>
            </w:r>
          </w:p>
        </w:tc>
        <w:tc>
          <w:tcPr>
            <w:tcW w:w="490"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2020 N</w:t>
            </w:r>
          </w:p>
        </w:tc>
        <w:tc>
          <w:tcPr>
            <w:tcW w:w="490"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2021 N</w:t>
            </w:r>
          </w:p>
        </w:tc>
      </w:tr>
      <w:tr w:rsidR="00D2350F" w:rsidRPr="00086A6E" w:rsidTr="00D2350F">
        <w:trPr>
          <w:trHeight w:hRule="exact" w:val="255"/>
        </w:trPr>
        <w:tc>
          <w:tcPr>
            <w:tcW w:w="1570" w:type="pct"/>
            <w:tcBorders>
              <w:top w:val="single" w:sz="4" w:space="0" w:color="auto"/>
              <w:left w:val="single" w:sz="4" w:space="0" w:color="auto"/>
              <w:bottom w:val="single" w:sz="4" w:space="0" w:color="auto"/>
              <w:right w:val="single" w:sz="4" w:space="0" w:color="auto"/>
            </w:tcBorders>
            <w:shd w:val="pct25" w:color="000000"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xml:space="preserve">OP spolu </w:t>
            </w:r>
          </w:p>
        </w:tc>
        <w:tc>
          <w:tcPr>
            <w:tcW w:w="491"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56 871 121</w:t>
            </w:r>
          </w:p>
        </w:tc>
        <w:tc>
          <w:tcPr>
            <w:tcW w:w="490"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64 695 806</w:t>
            </w:r>
          </w:p>
        </w:tc>
        <w:tc>
          <w:tcPr>
            <w:tcW w:w="490"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66 748 826</w:t>
            </w:r>
          </w:p>
        </w:tc>
        <w:tc>
          <w:tcPr>
            <w:tcW w:w="490"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66 806 187</w:t>
            </w:r>
          </w:p>
        </w:tc>
        <w:tc>
          <w:tcPr>
            <w:tcW w:w="490"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88 787 392</w:t>
            </w:r>
          </w:p>
        </w:tc>
        <w:tc>
          <w:tcPr>
            <w:tcW w:w="490"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312 528 136</w:t>
            </w:r>
          </w:p>
        </w:tc>
        <w:tc>
          <w:tcPr>
            <w:tcW w:w="490"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302 582 697</w:t>
            </w:r>
          </w:p>
        </w:tc>
      </w:tr>
      <w:tr w:rsidR="00D2350F" w:rsidRPr="00086A6E" w:rsidTr="00D2350F">
        <w:trPr>
          <w:trHeight w:hRule="exact" w:val="255"/>
        </w:trPr>
        <w:tc>
          <w:tcPr>
            <w:tcW w:w="157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xml:space="preserve">OP Vzdelávanie, z toho: </w:t>
            </w:r>
          </w:p>
        </w:tc>
        <w:tc>
          <w:tcPr>
            <w:tcW w:w="49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4 339 971</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sz w:val="14"/>
                <w:szCs w:val="14"/>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r>
      <w:tr w:rsidR="00D2350F" w:rsidRPr="00086A6E" w:rsidTr="00D2350F">
        <w:trPr>
          <w:trHeight w:hRule="exact" w:val="255"/>
        </w:trPr>
        <w:tc>
          <w:tcPr>
            <w:tcW w:w="157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Regionálne školstvo</w:t>
            </w:r>
          </w:p>
        </w:tc>
        <w:tc>
          <w:tcPr>
            <w:tcW w:w="49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492 825</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D2350F" w:rsidRPr="00086A6E" w:rsidTr="00D2350F">
        <w:trPr>
          <w:trHeight w:hRule="exact" w:val="255"/>
        </w:trPr>
        <w:tc>
          <w:tcPr>
            <w:tcW w:w="157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Vysoké školy</w:t>
            </w:r>
          </w:p>
        </w:tc>
        <w:tc>
          <w:tcPr>
            <w:tcW w:w="49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3 006 106</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D2350F" w:rsidRPr="00086A6E" w:rsidTr="00D2350F">
        <w:trPr>
          <w:trHeight w:hRule="exact" w:val="255"/>
        </w:trPr>
        <w:tc>
          <w:tcPr>
            <w:tcW w:w="157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Disponibilné zdroje pre ďalšie subjekty</w:t>
            </w:r>
          </w:p>
        </w:tc>
        <w:tc>
          <w:tcPr>
            <w:tcW w:w="49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750 788</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D2350F" w:rsidRPr="00086A6E" w:rsidTr="00D2350F">
        <w:trPr>
          <w:trHeight w:hRule="exact" w:val="255"/>
        </w:trPr>
        <w:tc>
          <w:tcPr>
            <w:tcW w:w="157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Veda a technika</w:t>
            </w:r>
          </w:p>
        </w:tc>
        <w:tc>
          <w:tcPr>
            <w:tcW w:w="49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90 252</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D2350F" w:rsidRPr="00086A6E" w:rsidTr="00D2350F">
        <w:trPr>
          <w:trHeight w:hRule="exact" w:val="255"/>
        </w:trPr>
        <w:tc>
          <w:tcPr>
            <w:tcW w:w="157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OP Výskum a vývoj, z toho:</w:t>
            </w:r>
          </w:p>
        </w:tc>
        <w:tc>
          <w:tcPr>
            <w:tcW w:w="49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37 849 046</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sz w:val="14"/>
                <w:szCs w:val="14"/>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r>
      <w:tr w:rsidR="00D2350F" w:rsidRPr="00086A6E" w:rsidTr="00D2350F">
        <w:trPr>
          <w:trHeight w:hRule="exact" w:val="255"/>
        </w:trPr>
        <w:tc>
          <w:tcPr>
            <w:tcW w:w="157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Vysoké školy</w:t>
            </w:r>
          </w:p>
        </w:tc>
        <w:tc>
          <w:tcPr>
            <w:tcW w:w="49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2 619 996</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D2350F" w:rsidRPr="00086A6E" w:rsidTr="00D2350F">
        <w:trPr>
          <w:trHeight w:hRule="exact" w:val="255"/>
        </w:trPr>
        <w:tc>
          <w:tcPr>
            <w:tcW w:w="157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Disponibilné zdroje pre ďalšie subjekty</w:t>
            </w:r>
          </w:p>
        </w:tc>
        <w:tc>
          <w:tcPr>
            <w:tcW w:w="49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3 141 706</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D2350F" w:rsidRPr="00086A6E" w:rsidTr="00D2350F">
        <w:trPr>
          <w:trHeight w:hRule="exact" w:val="255"/>
        </w:trPr>
        <w:tc>
          <w:tcPr>
            <w:tcW w:w="157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Veda a technika</w:t>
            </w:r>
          </w:p>
        </w:tc>
        <w:tc>
          <w:tcPr>
            <w:tcW w:w="49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32 087 344</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D2350F" w:rsidRPr="00086A6E" w:rsidTr="00D2350F">
        <w:trPr>
          <w:trHeight w:hRule="exact" w:val="255"/>
        </w:trPr>
        <w:tc>
          <w:tcPr>
            <w:tcW w:w="157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OP Ľudské zdroje - Vzdelávanie</w:t>
            </w:r>
          </w:p>
        </w:tc>
        <w:tc>
          <w:tcPr>
            <w:tcW w:w="49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799 723</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13 392 093</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25 677 372</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25 677 372</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84 520 536</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124 662 797</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101 958 345</w:t>
            </w:r>
          </w:p>
        </w:tc>
      </w:tr>
      <w:tr w:rsidR="00D2350F" w:rsidRPr="00086A6E" w:rsidTr="00D2350F">
        <w:trPr>
          <w:trHeight w:hRule="exact" w:val="255"/>
        </w:trPr>
        <w:tc>
          <w:tcPr>
            <w:tcW w:w="157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Regionálne školstvo</w:t>
            </w:r>
          </w:p>
        </w:tc>
        <w:tc>
          <w:tcPr>
            <w:tcW w:w="49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455 282</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5 389 720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25 500 000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41 000 000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35 015 967</w:t>
            </w:r>
          </w:p>
        </w:tc>
      </w:tr>
      <w:tr w:rsidR="00D2350F" w:rsidRPr="00086A6E" w:rsidTr="00D2350F">
        <w:trPr>
          <w:trHeight w:hRule="exact" w:val="255"/>
        </w:trPr>
        <w:tc>
          <w:tcPr>
            <w:tcW w:w="157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Vysoké školy</w:t>
            </w:r>
          </w:p>
        </w:tc>
        <w:tc>
          <w:tcPr>
            <w:tcW w:w="49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6 850 000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6 850 000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D2350F" w:rsidRPr="00086A6E" w:rsidTr="00D2350F">
        <w:trPr>
          <w:trHeight w:hRule="exact" w:val="255"/>
        </w:trPr>
        <w:tc>
          <w:tcPr>
            <w:tcW w:w="157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Disponibilné zdroje pre ďalšie subjekty</w:t>
            </w:r>
          </w:p>
        </w:tc>
        <w:tc>
          <w:tcPr>
            <w:tcW w:w="49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799 723</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12 936 811</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18 827 372</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13 437 652</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59 020 536</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83 662 797</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66 942 378</w:t>
            </w:r>
          </w:p>
        </w:tc>
      </w:tr>
      <w:tr w:rsidR="00D2350F" w:rsidRPr="00086A6E" w:rsidTr="00D2350F">
        <w:trPr>
          <w:trHeight w:hRule="exact" w:val="255"/>
        </w:trPr>
        <w:tc>
          <w:tcPr>
            <w:tcW w:w="157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Veda a technika</w:t>
            </w:r>
          </w:p>
        </w:tc>
        <w:tc>
          <w:tcPr>
            <w:tcW w:w="49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D2350F" w:rsidRPr="00086A6E" w:rsidTr="00D2350F">
        <w:trPr>
          <w:trHeight w:hRule="exact" w:val="255"/>
        </w:trPr>
        <w:tc>
          <w:tcPr>
            <w:tcW w:w="157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OP Výskum a inovácie, z toho:</w:t>
            </w:r>
          </w:p>
        </w:tc>
        <w:tc>
          <w:tcPr>
            <w:tcW w:w="49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5 897 017</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51 163 972</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41 071 454</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41 071 454</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4 266 856</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187 865 339</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200 624 352</w:t>
            </w:r>
          </w:p>
        </w:tc>
      </w:tr>
      <w:tr w:rsidR="00D2350F" w:rsidRPr="00086A6E" w:rsidTr="00D2350F">
        <w:trPr>
          <w:trHeight w:hRule="exact" w:val="255"/>
        </w:trPr>
        <w:tc>
          <w:tcPr>
            <w:tcW w:w="157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Vysoké školy</w:t>
            </w:r>
          </w:p>
        </w:tc>
        <w:tc>
          <w:tcPr>
            <w:tcW w:w="49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7 655 914</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D2350F" w:rsidRPr="00086A6E" w:rsidTr="00D2350F">
        <w:trPr>
          <w:trHeight w:hRule="exact" w:val="255"/>
        </w:trPr>
        <w:tc>
          <w:tcPr>
            <w:tcW w:w="157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Disponibilné zdroje pre ďalšie subjekty</w:t>
            </w:r>
          </w:p>
        </w:tc>
        <w:tc>
          <w:tcPr>
            <w:tcW w:w="49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2 652 096</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29 628 255</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7 492 001</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8 398 563</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211 915</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29 596 416</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46 590 251</w:t>
            </w:r>
          </w:p>
        </w:tc>
      </w:tr>
      <w:tr w:rsidR="00D2350F" w:rsidRPr="00086A6E" w:rsidTr="00D2350F">
        <w:trPr>
          <w:trHeight w:hRule="exact" w:val="255"/>
        </w:trPr>
        <w:tc>
          <w:tcPr>
            <w:tcW w:w="157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Veda a technika</w:t>
            </w:r>
          </w:p>
        </w:tc>
        <w:tc>
          <w:tcPr>
            <w:tcW w:w="49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3 244 921</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21 535 717</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33 579 453</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25 016 977</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4 054 941</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158 268 923</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154 034 101</w:t>
            </w:r>
          </w:p>
        </w:tc>
      </w:tr>
      <w:tr w:rsidR="00D2350F" w:rsidRPr="00086A6E" w:rsidTr="00D2350F">
        <w:trPr>
          <w:trHeight w:hRule="exact" w:val="255"/>
        </w:trPr>
        <w:tc>
          <w:tcPr>
            <w:tcW w:w="157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OP Informatizácia spoločnosti</w:t>
            </w:r>
          </w:p>
        </w:tc>
        <w:tc>
          <w:tcPr>
            <w:tcW w:w="49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7 652 571</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r>
      <w:tr w:rsidR="00D2350F" w:rsidRPr="00086A6E" w:rsidTr="00D2350F">
        <w:trPr>
          <w:trHeight w:hRule="exact" w:val="255"/>
        </w:trPr>
        <w:tc>
          <w:tcPr>
            <w:tcW w:w="1570"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OP od iných kapitol</w:t>
            </w:r>
          </w:p>
        </w:tc>
        <w:tc>
          <w:tcPr>
            <w:tcW w:w="491"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332 793</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139 741</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sz w:val="14"/>
                <w:szCs w:val="14"/>
              </w:rPr>
              <w:t>57 361</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90"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r>
    </w:tbl>
    <w:p w:rsidR="00D2350F" w:rsidRPr="00086A6E" w:rsidRDefault="00D2350F" w:rsidP="00D2350F">
      <w:pPr>
        <w:contextualSpacing/>
        <w:jc w:val="both"/>
        <w:rPr>
          <w:rFonts w:ascii="Times New Roman" w:hAnsi="Times New Roman" w:cs="Times New Roman"/>
          <w:b/>
        </w:rPr>
      </w:pPr>
    </w:p>
    <w:p w:rsidR="00D2350F" w:rsidRPr="00086A6E" w:rsidRDefault="00D2350F" w:rsidP="00D2350F">
      <w:pPr>
        <w:ind w:firstLine="708"/>
        <w:contextualSpacing/>
        <w:jc w:val="both"/>
        <w:rPr>
          <w:rFonts w:ascii="Times New Roman" w:hAnsi="Times New Roman" w:cs="Times New Roman"/>
        </w:rPr>
      </w:pPr>
      <w:r w:rsidRPr="00086A6E">
        <w:rPr>
          <w:rFonts w:ascii="Times New Roman" w:hAnsi="Times New Roman" w:cs="Times New Roman"/>
        </w:rPr>
        <w:t>V rámci výdavkov sú uvádzané zdroje OP Ľudské zdroje - Vzdelávanie a OP Výskum a inovácie vrátane zdrojov určených pre oblasť vedy a techniky, ktoré sú uvedené v rámci oblasti výdavkov na vedu a techniku.</w:t>
      </w:r>
    </w:p>
    <w:p w:rsidR="00D2350F" w:rsidRDefault="00D2350F" w:rsidP="00D2350F">
      <w:pPr>
        <w:ind w:firstLine="709"/>
        <w:contextualSpacing/>
        <w:jc w:val="both"/>
        <w:rPr>
          <w:rFonts w:ascii="Times New Roman" w:hAnsi="Times New Roman" w:cs="Times New Roman"/>
        </w:rPr>
      </w:pPr>
    </w:p>
    <w:p w:rsidR="00D2350F" w:rsidRDefault="00D2350F" w:rsidP="00D2350F">
      <w:pPr>
        <w:ind w:firstLine="709"/>
        <w:contextualSpacing/>
        <w:jc w:val="both"/>
        <w:rPr>
          <w:rFonts w:ascii="Times New Roman" w:hAnsi="Times New Roman" w:cs="Times New Roman"/>
        </w:rPr>
      </w:pPr>
    </w:p>
    <w:p w:rsidR="00D2350F" w:rsidRDefault="00D2350F" w:rsidP="00D2350F">
      <w:pPr>
        <w:ind w:firstLine="709"/>
        <w:contextualSpacing/>
        <w:jc w:val="both"/>
        <w:rPr>
          <w:rFonts w:ascii="Times New Roman" w:hAnsi="Times New Roman" w:cs="Times New Roman"/>
        </w:rPr>
      </w:pPr>
    </w:p>
    <w:p w:rsidR="00D2350F" w:rsidRDefault="00D2350F" w:rsidP="00D2350F">
      <w:pPr>
        <w:ind w:firstLine="709"/>
        <w:contextualSpacing/>
        <w:jc w:val="both"/>
        <w:rPr>
          <w:rFonts w:ascii="Times New Roman" w:hAnsi="Times New Roman" w:cs="Times New Roman"/>
        </w:rPr>
      </w:pPr>
    </w:p>
    <w:p w:rsidR="00D2350F" w:rsidRDefault="00D2350F" w:rsidP="00D2350F">
      <w:pPr>
        <w:ind w:firstLine="709"/>
        <w:contextualSpacing/>
        <w:jc w:val="both"/>
        <w:rPr>
          <w:rFonts w:ascii="Times New Roman" w:hAnsi="Times New Roman" w:cs="Times New Roman"/>
        </w:rPr>
      </w:pPr>
    </w:p>
    <w:p w:rsidR="00D2350F" w:rsidRDefault="00D2350F" w:rsidP="00D2350F">
      <w:pPr>
        <w:ind w:firstLine="709"/>
        <w:contextualSpacing/>
        <w:jc w:val="both"/>
        <w:rPr>
          <w:rFonts w:ascii="Times New Roman" w:hAnsi="Times New Roman" w:cs="Times New Roman"/>
        </w:rPr>
      </w:pPr>
    </w:p>
    <w:p w:rsidR="00D2350F" w:rsidRDefault="00D2350F" w:rsidP="00D2350F">
      <w:pPr>
        <w:ind w:firstLine="709"/>
        <w:contextualSpacing/>
        <w:jc w:val="both"/>
        <w:rPr>
          <w:rFonts w:ascii="Times New Roman" w:hAnsi="Times New Roman" w:cs="Times New Roman"/>
        </w:rPr>
      </w:pPr>
    </w:p>
    <w:p w:rsidR="00D2350F" w:rsidRDefault="00D2350F" w:rsidP="00D2350F">
      <w:pPr>
        <w:ind w:firstLine="709"/>
        <w:contextualSpacing/>
        <w:jc w:val="both"/>
        <w:rPr>
          <w:rFonts w:ascii="Times New Roman" w:hAnsi="Times New Roman" w:cs="Times New Roman"/>
        </w:rPr>
      </w:pPr>
    </w:p>
    <w:p w:rsidR="00D2350F" w:rsidRDefault="00D2350F" w:rsidP="00D2350F">
      <w:pPr>
        <w:ind w:firstLine="709"/>
        <w:contextualSpacing/>
        <w:jc w:val="both"/>
        <w:rPr>
          <w:rFonts w:ascii="Times New Roman" w:hAnsi="Times New Roman" w:cs="Times New Roman"/>
        </w:rPr>
      </w:pPr>
    </w:p>
    <w:p w:rsidR="00D2350F" w:rsidRDefault="00D2350F" w:rsidP="00D2350F">
      <w:pPr>
        <w:ind w:firstLine="709"/>
        <w:contextualSpacing/>
        <w:jc w:val="both"/>
        <w:rPr>
          <w:rFonts w:ascii="Times New Roman" w:hAnsi="Times New Roman" w:cs="Times New Roman"/>
        </w:rPr>
      </w:pPr>
    </w:p>
    <w:p w:rsidR="00D2350F" w:rsidRDefault="00D2350F" w:rsidP="00D2350F">
      <w:pPr>
        <w:ind w:firstLine="709"/>
        <w:contextualSpacing/>
        <w:jc w:val="both"/>
        <w:rPr>
          <w:rFonts w:ascii="Times New Roman" w:hAnsi="Times New Roman" w:cs="Times New Roman"/>
        </w:rPr>
      </w:pPr>
    </w:p>
    <w:p w:rsidR="00D2350F" w:rsidRPr="00086A6E" w:rsidRDefault="00D2350F" w:rsidP="00D2350F">
      <w:pPr>
        <w:ind w:firstLine="709"/>
        <w:contextualSpacing/>
        <w:jc w:val="both"/>
        <w:rPr>
          <w:rFonts w:ascii="Times New Roman" w:hAnsi="Times New Roman" w:cs="Times New Roman"/>
        </w:rPr>
      </w:pPr>
    </w:p>
    <w:p w:rsidR="00D2350F" w:rsidRPr="00086A6E" w:rsidRDefault="00D2350F" w:rsidP="00D2350F">
      <w:pPr>
        <w:jc w:val="both"/>
        <w:rPr>
          <w:rFonts w:ascii="Times New Roman" w:hAnsi="Times New Roman" w:cs="Times New Roman"/>
          <w:b/>
        </w:rPr>
      </w:pPr>
      <w:r w:rsidRPr="00086A6E">
        <w:rPr>
          <w:rFonts w:ascii="Times New Roman" w:hAnsi="Times New Roman" w:cs="Times New Roman"/>
          <w:b/>
        </w:rPr>
        <w:lastRenderedPageBreak/>
        <w:t>Informačné technológie financované zo štátneho rozpočtu</w:t>
      </w:r>
    </w:p>
    <w:p w:rsidR="00D2350F" w:rsidRPr="00086A6E" w:rsidRDefault="00D2350F" w:rsidP="00D2350F">
      <w:pPr>
        <w:jc w:val="both"/>
        <w:rPr>
          <w:rFonts w:ascii="Times New Roman" w:hAnsi="Times New Roman" w:cs="Times New Roman"/>
          <w:b/>
        </w:rPr>
      </w:pPr>
    </w:p>
    <w:tbl>
      <w:tblPr>
        <w:tblW w:w="5000" w:type="pct"/>
        <w:tblCellMar>
          <w:left w:w="70" w:type="dxa"/>
          <w:right w:w="70" w:type="dxa"/>
        </w:tblCellMar>
        <w:tblLook w:val="04A0" w:firstRow="1" w:lastRow="0" w:firstColumn="1" w:lastColumn="0" w:noHBand="0" w:noVBand="1"/>
      </w:tblPr>
      <w:tblGrid>
        <w:gridCol w:w="3677"/>
        <w:gridCol w:w="765"/>
        <w:gridCol w:w="770"/>
        <w:gridCol w:w="770"/>
        <w:gridCol w:w="770"/>
        <w:gridCol w:w="770"/>
        <w:gridCol w:w="770"/>
        <w:gridCol w:w="770"/>
      </w:tblGrid>
      <w:tr w:rsidR="00D2350F" w:rsidRPr="00086A6E" w:rsidTr="00D2350F">
        <w:trPr>
          <w:trHeight w:hRule="exact" w:val="255"/>
        </w:trPr>
        <w:tc>
          <w:tcPr>
            <w:tcW w:w="2029" w:type="pct"/>
            <w:tcBorders>
              <w:top w:val="single" w:sz="4" w:space="0" w:color="auto"/>
              <w:left w:val="single" w:sz="4" w:space="0" w:color="auto"/>
              <w:bottom w:val="single" w:sz="4" w:space="0" w:color="auto"/>
              <w:right w:val="single" w:sz="4" w:space="0" w:color="auto"/>
            </w:tcBorders>
            <w:shd w:val="pct35" w:color="000000" w:fill="auto"/>
            <w:noWrap/>
            <w:vAlign w:val="center"/>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 eurách</w:t>
            </w:r>
          </w:p>
        </w:tc>
        <w:tc>
          <w:tcPr>
            <w:tcW w:w="422"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2016 S</w:t>
            </w:r>
          </w:p>
        </w:tc>
        <w:tc>
          <w:tcPr>
            <w:tcW w:w="425"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2017 S</w:t>
            </w:r>
          </w:p>
        </w:tc>
        <w:tc>
          <w:tcPr>
            <w:tcW w:w="425"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R</w:t>
            </w:r>
          </w:p>
        </w:tc>
        <w:tc>
          <w:tcPr>
            <w:tcW w:w="425"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OS</w:t>
            </w:r>
          </w:p>
        </w:tc>
        <w:tc>
          <w:tcPr>
            <w:tcW w:w="425"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2019 N</w:t>
            </w:r>
          </w:p>
        </w:tc>
        <w:tc>
          <w:tcPr>
            <w:tcW w:w="425"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2020 N</w:t>
            </w:r>
          </w:p>
        </w:tc>
        <w:tc>
          <w:tcPr>
            <w:tcW w:w="425" w:type="pct"/>
            <w:tcBorders>
              <w:top w:val="single" w:sz="4" w:space="0" w:color="auto"/>
              <w:left w:val="nil"/>
              <w:bottom w:val="single" w:sz="4" w:space="0" w:color="auto"/>
              <w:right w:val="single" w:sz="4" w:space="0" w:color="auto"/>
            </w:tcBorders>
            <w:shd w:val="pct35" w:color="000000" w:fill="auto"/>
            <w:noWrap/>
            <w:vAlign w:val="center"/>
            <w:hideMark/>
          </w:tcPr>
          <w:p w:rsidR="00D2350F" w:rsidRPr="00086A6E" w:rsidRDefault="00D2350F" w:rsidP="00D2350F">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2021 N</w:t>
            </w:r>
          </w:p>
        </w:tc>
      </w:tr>
      <w:tr w:rsidR="00D2350F" w:rsidRPr="00086A6E" w:rsidTr="00D2350F">
        <w:trPr>
          <w:trHeight w:hRule="exact" w:val="255"/>
        </w:trPr>
        <w:tc>
          <w:tcPr>
            <w:tcW w:w="2029" w:type="pct"/>
            <w:tcBorders>
              <w:top w:val="single" w:sz="4" w:space="0" w:color="auto"/>
              <w:left w:val="single" w:sz="4" w:space="0" w:color="auto"/>
              <w:bottom w:val="single" w:sz="4" w:space="0" w:color="auto"/>
              <w:right w:val="single" w:sz="4" w:space="0" w:color="auto"/>
            </w:tcBorders>
            <w:shd w:val="pct25" w:color="000000" w:fill="auto"/>
            <w:noWrap/>
            <w:vAlign w:val="bottom"/>
            <w:hideMark/>
          </w:tcPr>
          <w:p w:rsidR="00D2350F" w:rsidRPr="00086A6E" w:rsidRDefault="00D2350F" w:rsidP="00D2350F">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IT zo ŠR spolu</w:t>
            </w:r>
          </w:p>
        </w:tc>
        <w:tc>
          <w:tcPr>
            <w:tcW w:w="422"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25"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22 509 620</w:t>
            </w:r>
          </w:p>
        </w:tc>
        <w:tc>
          <w:tcPr>
            <w:tcW w:w="425"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14 309 319</w:t>
            </w:r>
          </w:p>
        </w:tc>
        <w:tc>
          <w:tcPr>
            <w:tcW w:w="425"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rPr>
              <w:t>17 213 507</w:t>
            </w:r>
          </w:p>
        </w:tc>
        <w:tc>
          <w:tcPr>
            <w:tcW w:w="425"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18 359 368</w:t>
            </w:r>
          </w:p>
        </w:tc>
        <w:tc>
          <w:tcPr>
            <w:tcW w:w="425"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16 919 368</w:t>
            </w:r>
          </w:p>
        </w:tc>
        <w:tc>
          <w:tcPr>
            <w:tcW w:w="425" w:type="pct"/>
            <w:tcBorders>
              <w:top w:val="single" w:sz="4" w:space="0" w:color="auto"/>
              <w:left w:val="nil"/>
              <w:bottom w:val="single" w:sz="4" w:space="0" w:color="auto"/>
              <w:right w:val="single" w:sz="4" w:space="0" w:color="auto"/>
            </w:tcBorders>
            <w:shd w:val="pct25" w:color="000000" w:fill="auto"/>
            <w:noWrap/>
            <w:vAlign w:val="bottom"/>
            <w:hideMark/>
          </w:tcPr>
          <w:p w:rsidR="00D2350F" w:rsidRPr="00086A6E" w:rsidRDefault="00D2350F" w:rsidP="00D2350F">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16 468 576</w:t>
            </w:r>
          </w:p>
        </w:tc>
      </w:tr>
      <w:tr w:rsidR="00D2350F" w:rsidRPr="00086A6E" w:rsidTr="00D2350F">
        <w:trPr>
          <w:trHeight w:hRule="exact" w:val="255"/>
        </w:trPr>
        <w:tc>
          <w:tcPr>
            <w:tcW w:w="2029"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Systémy vnútornej správy</w:t>
            </w:r>
          </w:p>
        </w:tc>
        <w:tc>
          <w:tcPr>
            <w:tcW w:w="42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601 742</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476 854</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198 364</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448 496</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448 496</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448 496</w:t>
            </w:r>
          </w:p>
        </w:tc>
      </w:tr>
      <w:tr w:rsidR="00D2350F" w:rsidRPr="00086A6E" w:rsidTr="00D2350F">
        <w:trPr>
          <w:trHeight w:hRule="exact" w:val="255"/>
        </w:trPr>
        <w:tc>
          <w:tcPr>
            <w:tcW w:w="2029"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Špecializované systémy</w:t>
            </w:r>
          </w:p>
        </w:tc>
        <w:tc>
          <w:tcPr>
            <w:tcW w:w="42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481 201</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88 000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333 990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30 000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30 000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30 000</w:t>
            </w:r>
          </w:p>
        </w:tc>
      </w:tr>
      <w:tr w:rsidR="00D2350F" w:rsidRPr="00086A6E" w:rsidTr="00D2350F">
        <w:trPr>
          <w:trHeight w:hRule="exact" w:val="255"/>
        </w:trPr>
        <w:tc>
          <w:tcPr>
            <w:tcW w:w="2029"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Podpora infraštruktúry</w:t>
            </w:r>
          </w:p>
        </w:tc>
        <w:tc>
          <w:tcPr>
            <w:tcW w:w="42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4 020 047</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2 688 083</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3 128 253</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2 340 389</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2 340 389</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2 340 389</w:t>
            </w:r>
          </w:p>
        </w:tc>
      </w:tr>
      <w:tr w:rsidR="00D2350F" w:rsidRPr="00086A6E" w:rsidTr="00D2350F">
        <w:trPr>
          <w:trHeight w:hRule="exact" w:val="255"/>
        </w:trPr>
        <w:tc>
          <w:tcPr>
            <w:tcW w:w="2029"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Informačné technológie v RŠ</w:t>
            </w:r>
          </w:p>
        </w:tc>
        <w:tc>
          <w:tcPr>
            <w:tcW w:w="42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13 248 226</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6 386 669</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8 611 958</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91 200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91 200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91 200</w:t>
            </w:r>
          </w:p>
        </w:tc>
      </w:tr>
      <w:tr w:rsidR="00D2350F" w:rsidRPr="00086A6E" w:rsidTr="00D2350F">
        <w:trPr>
          <w:trHeight w:hRule="exact" w:val="255"/>
        </w:trPr>
        <w:tc>
          <w:tcPr>
            <w:tcW w:w="2029"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Informačné technológie vo VŠ</w:t>
            </w:r>
          </w:p>
        </w:tc>
        <w:tc>
          <w:tcPr>
            <w:tcW w:w="42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4 158 404</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4 669 713</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4 940 942</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D2350F" w:rsidRPr="00086A6E" w:rsidTr="00D2350F">
        <w:trPr>
          <w:trHeight w:hRule="exact" w:val="255"/>
        </w:trPr>
        <w:tc>
          <w:tcPr>
            <w:tcW w:w="2029"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Elektronizácia vzdeláva. systému RŠ (EVSRŠ)</w:t>
            </w:r>
          </w:p>
        </w:tc>
        <w:tc>
          <w:tcPr>
            <w:tcW w:w="42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286 560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286 560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286 560</w:t>
            </w:r>
          </w:p>
        </w:tc>
      </w:tr>
      <w:tr w:rsidR="00D2350F" w:rsidRPr="00086A6E" w:rsidTr="00D2350F">
        <w:trPr>
          <w:trHeight w:hRule="exact" w:val="255"/>
        </w:trPr>
        <w:tc>
          <w:tcPr>
            <w:tcW w:w="2029"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IS Centrálne úložisko digitál. edukačného obsahu (CUDEO)</w:t>
            </w:r>
          </w:p>
        </w:tc>
        <w:tc>
          <w:tcPr>
            <w:tcW w:w="42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1 440 000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D2350F" w:rsidRPr="00086A6E" w:rsidTr="00D2350F">
        <w:trPr>
          <w:trHeight w:hRule="exact" w:val="255"/>
        </w:trPr>
        <w:tc>
          <w:tcPr>
            <w:tcW w:w="2029"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IS Rezortný informačný systém (RIS)</w:t>
            </w:r>
          </w:p>
        </w:tc>
        <w:tc>
          <w:tcPr>
            <w:tcW w:w="42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D2350F" w:rsidRPr="00086A6E" w:rsidTr="00D2350F">
        <w:trPr>
          <w:trHeight w:hRule="exact" w:val="255"/>
        </w:trPr>
        <w:tc>
          <w:tcPr>
            <w:tcW w:w="2029"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IS SOFIA</w:t>
            </w:r>
          </w:p>
        </w:tc>
        <w:tc>
          <w:tcPr>
            <w:tcW w:w="42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3 347 740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3 347 740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3 347 740</w:t>
            </w:r>
          </w:p>
        </w:tc>
      </w:tr>
      <w:tr w:rsidR="00D2350F" w:rsidRPr="00086A6E" w:rsidTr="00D2350F">
        <w:trPr>
          <w:trHeight w:hRule="exact" w:val="255"/>
        </w:trPr>
        <w:tc>
          <w:tcPr>
            <w:tcW w:w="2029"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EDUNET_SK</w:t>
            </w:r>
          </w:p>
        </w:tc>
        <w:tc>
          <w:tcPr>
            <w:tcW w:w="42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8 556 191</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8 556 191</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8 556 191</w:t>
            </w:r>
          </w:p>
        </w:tc>
      </w:tr>
      <w:tr w:rsidR="00D2350F" w:rsidRPr="00086A6E" w:rsidTr="00D2350F">
        <w:trPr>
          <w:trHeight w:hRule="exact" w:val="255"/>
        </w:trPr>
        <w:tc>
          <w:tcPr>
            <w:tcW w:w="2029"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Licencie pre školy</w:t>
            </w:r>
          </w:p>
        </w:tc>
        <w:tc>
          <w:tcPr>
            <w:tcW w:w="42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1 368 000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1 368 000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1 368 000</w:t>
            </w:r>
          </w:p>
        </w:tc>
      </w:tr>
      <w:tr w:rsidR="00D2350F" w:rsidRPr="00086A6E" w:rsidTr="00D2350F">
        <w:trPr>
          <w:trHeight w:hRule="exact" w:val="255"/>
        </w:trPr>
        <w:tc>
          <w:tcPr>
            <w:tcW w:w="2029" w:type="pct"/>
            <w:tcBorders>
              <w:top w:val="nil"/>
              <w:left w:val="single" w:sz="4" w:space="0" w:color="auto"/>
              <w:bottom w:val="single" w:sz="4" w:space="0" w:color="auto"/>
              <w:right w:val="single" w:sz="4" w:space="0" w:color="auto"/>
            </w:tcBorders>
            <w:shd w:val="clear" w:color="auto" w:fill="auto"/>
            <w:noWrap/>
            <w:vAlign w:val="bottom"/>
            <w:hideMark/>
          </w:tcPr>
          <w:p w:rsidR="00D2350F" w:rsidRPr="00086A6E" w:rsidRDefault="00D2350F" w:rsidP="00D2350F">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Informačný systém E-test</w:t>
            </w:r>
          </w:p>
        </w:tc>
        <w:tc>
          <w:tcPr>
            <w:tcW w:w="422"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rPr>
              <w:t>0</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450 792</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450 792</w:t>
            </w:r>
          </w:p>
        </w:tc>
        <w:tc>
          <w:tcPr>
            <w:tcW w:w="425" w:type="pct"/>
            <w:tcBorders>
              <w:top w:val="nil"/>
              <w:left w:val="nil"/>
              <w:bottom w:val="single" w:sz="4" w:space="0" w:color="auto"/>
              <w:right w:val="single" w:sz="4" w:space="0" w:color="auto"/>
            </w:tcBorders>
            <w:shd w:val="clear" w:color="auto" w:fill="auto"/>
            <w:noWrap/>
            <w:vAlign w:val="bottom"/>
            <w:hideMark/>
          </w:tcPr>
          <w:p w:rsidR="00D2350F" w:rsidRPr="00086A6E" w:rsidRDefault="00D2350F" w:rsidP="00D2350F">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bl>
    <w:p w:rsidR="00D2350F" w:rsidRPr="00086A6E" w:rsidRDefault="00D2350F" w:rsidP="00D2350F">
      <w:pPr>
        <w:spacing w:after="200"/>
        <w:contextualSpacing/>
        <w:jc w:val="both"/>
        <w:rPr>
          <w:rFonts w:ascii="Times New Roman" w:hAnsi="Times New Roman" w:cs="Times New Roman"/>
        </w:rPr>
      </w:pPr>
    </w:p>
    <w:p w:rsidR="00D2350F" w:rsidRDefault="00D2350F" w:rsidP="00D2350F">
      <w:pPr>
        <w:ind w:firstLine="708"/>
        <w:contextualSpacing/>
        <w:jc w:val="both"/>
        <w:rPr>
          <w:rFonts w:ascii="Times New Roman" w:hAnsi="Times New Roman" w:cs="Times New Roman"/>
        </w:rPr>
      </w:pPr>
      <w:r w:rsidRPr="00086A6E">
        <w:rPr>
          <w:rFonts w:ascii="Times New Roman" w:hAnsi="Times New Roman" w:cs="Times New Roman"/>
        </w:rPr>
        <w:t>Pre potreby centrálneho rozpočtovania a sledovania výdavkov na informačné technológie bol vytvorený medzirezortný podprogram Informačné technológie financované zo štátneho rozpočtu. MŠVVŠ SR ako účastník medzirezortného podprogramu vykonalo presuny výdavkov rozpočtovaných v rámci programov pre jednotlivé oblasti do medzirezortného podprogramu. Výdavky z tohto medzirezortného podprogramu sú zahrnuté podľa vecnej príslušnosti do jednotlivých oblastí.</w:t>
      </w:r>
    </w:p>
    <w:p w:rsidR="00D2350F" w:rsidRPr="00086A6E" w:rsidRDefault="00D2350F" w:rsidP="00D2350F">
      <w:pPr>
        <w:ind w:firstLine="708"/>
        <w:contextualSpacing/>
        <w:jc w:val="both"/>
        <w:rPr>
          <w:rFonts w:ascii="Times New Roman" w:hAnsi="Times New Roman" w:cs="Times New Roman"/>
        </w:rPr>
      </w:pPr>
    </w:p>
    <w:p w:rsidR="003A497B" w:rsidRPr="00A401D6" w:rsidRDefault="003A497B" w:rsidP="003A497B">
      <w:pPr>
        <w:pStyle w:val="Nadpis5"/>
        <w:pBdr>
          <w:bottom w:val="single" w:sz="4" w:space="1" w:color="auto"/>
        </w:pBdr>
        <w:ind w:left="0"/>
        <w:rPr>
          <w:i w:val="0"/>
          <w:sz w:val="24"/>
          <w:lang w:eastAsia="sk-SK"/>
        </w:rPr>
      </w:pPr>
      <w:bookmarkStart w:id="92" w:name="_Toc526267695"/>
      <w:bookmarkStart w:id="93" w:name="_Toc469491252"/>
      <w:r w:rsidRPr="00A401D6">
        <w:rPr>
          <w:i w:val="0"/>
          <w:sz w:val="24"/>
          <w:lang w:eastAsia="sk-SK"/>
        </w:rPr>
        <w:t>Ministerstvo pôdohospodárstva a rozvoja vidieka SR</w:t>
      </w:r>
      <w:bookmarkEnd w:id="92"/>
    </w:p>
    <w:p w:rsidR="003A497B" w:rsidRPr="009259E4" w:rsidRDefault="003A497B" w:rsidP="003A497B">
      <w:pPr>
        <w:jc w:val="both"/>
        <w:rPr>
          <w:rFonts w:ascii="Times New Roman" w:hAnsi="Times New Roman" w:cs="Times New Roman"/>
          <w:b/>
          <w:u w:val="single"/>
          <w:lang w:eastAsia="sk-SK"/>
        </w:rPr>
      </w:pPr>
    </w:p>
    <w:tbl>
      <w:tblPr>
        <w:tblW w:w="5000" w:type="pct"/>
        <w:tblCellMar>
          <w:left w:w="70" w:type="dxa"/>
          <w:right w:w="70" w:type="dxa"/>
        </w:tblCellMar>
        <w:tblLook w:val="04A0" w:firstRow="1" w:lastRow="0" w:firstColumn="1" w:lastColumn="0" w:noHBand="0" w:noVBand="1"/>
      </w:tblPr>
      <w:tblGrid>
        <w:gridCol w:w="2436"/>
        <w:gridCol w:w="1083"/>
        <w:gridCol w:w="899"/>
        <w:gridCol w:w="992"/>
        <w:gridCol w:w="922"/>
        <w:gridCol w:w="945"/>
        <w:gridCol w:w="945"/>
        <w:gridCol w:w="840"/>
      </w:tblGrid>
      <w:tr w:rsidR="003A497B" w:rsidRPr="005F654E" w:rsidTr="003E1809">
        <w:trPr>
          <w:trHeight w:val="255"/>
        </w:trPr>
        <w:tc>
          <w:tcPr>
            <w:tcW w:w="1274"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bookmarkEnd w:id="93"/>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v eurách</w:t>
            </w:r>
          </w:p>
        </w:tc>
        <w:tc>
          <w:tcPr>
            <w:tcW w:w="574"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2016 S</w:t>
            </w:r>
          </w:p>
        </w:tc>
        <w:tc>
          <w:tcPr>
            <w:tcW w:w="47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2017 S</w:t>
            </w:r>
          </w:p>
        </w:tc>
        <w:tc>
          <w:tcPr>
            <w:tcW w:w="613"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2018 R</w:t>
            </w:r>
          </w:p>
        </w:tc>
        <w:tc>
          <w:tcPr>
            <w:tcW w:w="574"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2018 OS</w:t>
            </w:r>
          </w:p>
        </w:tc>
        <w:tc>
          <w:tcPr>
            <w:tcW w:w="50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2019 N</w:t>
            </w:r>
          </w:p>
        </w:tc>
        <w:tc>
          <w:tcPr>
            <w:tcW w:w="50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2020 N</w:t>
            </w:r>
          </w:p>
        </w:tc>
        <w:tc>
          <w:tcPr>
            <w:tcW w:w="47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2021 N</w:t>
            </w:r>
          </w:p>
        </w:tc>
      </w:tr>
      <w:tr w:rsidR="003A497B" w:rsidRPr="005F654E" w:rsidTr="003E1809">
        <w:trPr>
          <w:trHeight w:val="255"/>
        </w:trPr>
        <w:tc>
          <w:tcPr>
            <w:tcW w:w="1274"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Zdroje príslušnej kapitoly vrátane 72e</w:t>
            </w:r>
          </w:p>
        </w:tc>
        <w:tc>
          <w:tcPr>
            <w:tcW w:w="574"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817 591 026</w:t>
            </w:r>
          </w:p>
        </w:tc>
        <w:tc>
          <w:tcPr>
            <w:tcW w:w="47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840 139 144</w:t>
            </w:r>
          </w:p>
        </w:tc>
        <w:tc>
          <w:tcPr>
            <w:tcW w:w="613"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1 100 869 219</w:t>
            </w:r>
          </w:p>
        </w:tc>
        <w:tc>
          <w:tcPr>
            <w:tcW w:w="574"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835 969 379</w:t>
            </w:r>
          </w:p>
        </w:tc>
        <w:tc>
          <w:tcPr>
            <w:tcW w:w="506"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1 193 458 704</w:t>
            </w:r>
          </w:p>
        </w:tc>
        <w:tc>
          <w:tcPr>
            <w:tcW w:w="506"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1 594 767 237</w:t>
            </w:r>
          </w:p>
        </w:tc>
        <w:tc>
          <w:tcPr>
            <w:tcW w:w="47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754 739 710</w:t>
            </w:r>
          </w:p>
        </w:tc>
      </w:tr>
      <w:tr w:rsidR="003A497B" w:rsidRPr="005F654E" w:rsidTr="003E1809">
        <w:trPr>
          <w:trHeight w:val="255"/>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rozpočtové zdroje kapitoly</w:t>
            </w:r>
          </w:p>
        </w:tc>
        <w:tc>
          <w:tcPr>
            <w:tcW w:w="574"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137 850 341</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121 274 384</w:t>
            </w:r>
          </w:p>
        </w:tc>
        <w:tc>
          <w:tcPr>
            <w:tcW w:w="613"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85 432 368</w:t>
            </w:r>
          </w:p>
        </w:tc>
        <w:tc>
          <w:tcPr>
            <w:tcW w:w="574"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136 251 974</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244 488 623</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243 656 927</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243 651 927</w:t>
            </w:r>
          </w:p>
        </w:tc>
      </w:tr>
      <w:tr w:rsidR="003A497B" w:rsidRPr="005F654E" w:rsidTr="003E1809">
        <w:trPr>
          <w:trHeight w:val="255"/>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xml:space="preserve">    v tom: bežné výdavky  600</w:t>
            </w:r>
          </w:p>
        </w:tc>
        <w:tc>
          <w:tcPr>
            <w:tcW w:w="574"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136 282 289</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115 687 856</w:t>
            </w:r>
          </w:p>
        </w:tc>
        <w:tc>
          <w:tcPr>
            <w:tcW w:w="613"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83 932 368</w:t>
            </w:r>
          </w:p>
        </w:tc>
        <w:tc>
          <w:tcPr>
            <w:tcW w:w="574"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135 854 452</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241 657 623</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241 650 927</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241 645 927</w:t>
            </w:r>
          </w:p>
        </w:tc>
      </w:tr>
      <w:tr w:rsidR="003A497B" w:rsidRPr="005F654E" w:rsidTr="003E1809">
        <w:trPr>
          <w:trHeight w:val="255"/>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xml:space="preserve">                          610 mzdy</w:t>
            </w:r>
          </w:p>
        </w:tc>
        <w:tc>
          <w:tcPr>
            <w:tcW w:w="57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30 069 411</w:t>
            </w:r>
          </w:p>
        </w:tc>
        <w:tc>
          <w:tcPr>
            <w:tcW w:w="47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31 130 262</w:t>
            </w:r>
          </w:p>
        </w:tc>
        <w:tc>
          <w:tcPr>
            <w:tcW w:w="613"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31 486 473</w:t>
            </w:r>
          </w:p>
        </w:tc>
        <w:tc>
          <w:tcPr>
            <w:tcW w:w="574"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33 411 665</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33 228 872</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33 228 872</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33 228 872</w:t>
            </w:r>
          </w:p>
        </w:tc>
      </w:tr>
      <w:tr w:rsidR="003A497B" w:rsidRPr="005F654E" w:rsidTr="003E1809">
        <w:trPr>
          <w:trHeight w:val="255"/>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xml:space="preserve">                          620 odvody</w:t>
            </w:r>
          </w:p>
        </w:tc>
        <w:tc>
          <w:tcPr>
            <w:tcW w:w="57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11 212 023</w:t>
            </w:r>
          </w:p>
        </w:tc>
        <w:tc>
          <w:tcPr>
            <w:tcW w:w="47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11 808 030</w:t>
            </w:r>
          </w:p>
        </w:tc>
        <w:tc>
          <w:tcPr>
            <w:tcW w:w="613"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11 004 523</w:t>
            </w:r>
          </w:p>
        </w:tc>
        <w:tc>
          <w:tcPr>
            <w:tcW w:w="574"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11 749 267</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11 630 525</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11 630 525</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11 630 525</w:t>
            </w:r>
          </w:p>
        </w:tc>
      </w:tr>
      <w:tr w:rsidR="003A497B" w:rsidRPr="005F654E" w:rsidTr="003E1809">
        <w:trPr>
          <w:trHeight w:val="255"/>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xml:space="preserve">                          630 tovary a služby</w:t>
            </w:r>
          </w:p>
        </w:tc>
        <w:tc>
          <w:tcPr>
            <w:tcW w:w="57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63 579 764</w:t>
            </w:r>
          </w:p>
        </w:tc>
        <w:tc>
          <w:tcPr>
            <w:tcW w:w="47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34 076 536</w:t>
            </w:r>
          </w:p>
        </w:tc>
        <w:tc>
          <w:tcPr>
            <w:tcW w:w="613"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27 581 620</w:t>
            </w:r>
          </w:p>
        </w:tc>
        <w:tc>
          <w:tcPr>
            <w:tcW w:w="574"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65 122 377</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146 509 464</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146 502 768</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146 497 768</w:t>
            </w:r>
          </w:p>
        </w:tc>
      </w:tr>
      <w:tr w:rsidR="003A497B" w:rsidRPr="005F654E" w:rsidTr="003E1809">
        <w:trPr>
          <w:trHeight w:val="255"/>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xml:space="preserve">                          640 bežné transfery</w:t>
            </w:r>
          </w:p>
        </w:tc>
        <w:tc>
          <w:tcPr>
            <w:tcW w:w="57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31 421 091</w:t>
            </w:r>
          </w:p>
        </w:tc>
        <w:tc>
          <w:tcPr>
            <w:tcW w:w="47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38 673 028</w:t>
            </w:r>
          </w:p>
        </w:tc>
        <w:tc>
          <w:tcPr>
            <w:tcW w:w="613"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13 859 752</w:t>
            </w:r>
          </w:p>
        </w:tc>
        <w:tc>
          <w:tcPr>
            <w:tcW w:w="574"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25 571 143</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50 288 762</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50 288 762</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50 288 762</w:t>
            </w:r>
          </w:p>
        </w:tc>
      </w:tr>
      <w:tr w:rsidR="003A497B" w:rsidRPr="005F654E" w:rsidTr="003E1809">
        <w:trPr>
          <w:trHeight w:val="255"/>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xml:space="preserve">               kapitálové výdavky 700</w:t>
            </w:r>
          </w:p>
        </w:tc>
        <w:tc>
          <w:tcPr>
            <w:tcW w:w="57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1 568 052</w:t>
            </w:r>
          </w:p>
        </w:tc>
        <w:tc>
          <w:tcPr>
            <w:tcW w:w="47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5 586 528</w:t>
            </w:r>
          </w:p>
        </w:tc>
        <w:tc>
          <w:tcPr>
            <w:tcW w:w="613"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1 500 000</w:t>
            </w:r>
          </w:p>
        </w:tc>
        <w:tc>
          <w:tcPr>
            <w:tcW w:w="574"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397 522</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2 831 000</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2 006 000</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2 006 000</w:t>
            </w:r>
          </w:p>
        </w:tc>
      </w:tr>
      <w:tr w:rsidR="003A497B" w:rsidRPr="005F654E" w:rsidTr="003E1809">
        <w:trPr>
          <w:trHeight w:val="255"/>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 xml:space="preserve">zdroje EÚ vrátane spolufinancovania: </w:t>
            </w:r>
          </w:p>
        </w:tc>
        <w:tc>
          <w:tcPr>
            <w:tcW w:w="574"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365 770 480</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313 405 550</w:t>
            </w:r>
          </w:p>
        </w:tc>
        <w:tc>
          <w:tcPr>
            <w:tcW w:w="613"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1 015 436 851</w:t>
            </w:r>
          </w:p>
        </w:tc>
        <w:tc>
          <w:tcPr>
            <w:tcW w:w="574"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356 304 689</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948 970 081</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1 351 110 310</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511 087 783</w:t>
            </w:r>
          </w:p>
        </w:tc>
      </w:tr>
      <w:tr w:rsidR="003A497B" w:rsidRPr="005F654E" w:rsidTr="003E1809">
        <w:trPr>
          <w:trHeight w:val="255"/>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xml:space="preserve">               2. program. obdobie EÚ</w:t>
            </w:r>
          </w:p>
        </w:tc>
        <w:tc>
          <w:tcPr>
            <w:tcW w:w="574"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12 066 650</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613"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7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47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r>
      <w:tr w:rsidR="003A497B" w:rsidRPr="005F654E" w:rsidTr="003E1809">
        <w:trPr>
          <w:trHeight w:val="255"/>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xml:space="preserve">                   spolufinancovanie zo ŠR</w:t>
            </w:r>
          </w:p>
        </w:tc>
        <w:tc>
          <w:tcPr>
            <w:tcW w:w="574"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4 941 900</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613"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7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47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r>
      <w:tr w:rsidR="003A497B" w:rsidRPr="005F654E" w:rsidTr="003E1809">
        <w:trPr>
          <w:trHeight w:val="255"/>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xml:space="preserve">               3. program. obdobie EÚ</w:t>
            </w:r>
          </w:p>
        </w:tc>
        <w:tc>
          <w:tcPr>
            <w:tcW w:w="574"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323 350 995</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286 601 202</w:t>
            </w:r>
          </w:p>
        </w:tc>
        <w:tc>
          <w:tcPr>
            <w:tcW w:w="613"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884 018 310</w:t>
            </w:r>
          </w:p>
        </w:tc>
        <w:tc>
          <w:tcPr>
            <w:tcW w:w="57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330 531 085</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813 998 019</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1 168 536 338</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443 618 593</w:t>
            </w:r>
          </w:p>
        </w:tc>
      </w:tr>
      <w:tr w:rsidR="003A497B" w:rsidRPr="005F654E" w:rsidTr="003E1809">
        <w:trPr>
          <w:trHeight w:val="255"/>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xml:space="preserve">                   spolufinancovanie zo ŠR</w:t>
            </w:r>
          </w:p>
        </w:tc>
        <w:tc>
          <w:tcPr>
            <w:tcW w:w="574"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25 410 935</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26 804 348</w:t>
            </w:r>
          </w:p>
        </w:tc>
        <w:tc>
          <w:tcPr>
            <w:tcW w:w="613"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131 418 541</w:t>
            </w:r>
          </w:p>
        </w:tc>
        <w:tc>
          <w:tcPr>
            <w:tcW w:w="57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25 773 604</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134 972 062</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182 573 972</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67 469 190</w:t>
            </w:r>
          </w:p>
        </w:tc>
      </w:tr>
      <w:tr w:rsidR="003A497B" w:rsidRPr="005F654E" w:rsidTr="003E1809">
        <w:trPr>
          <w:trHeight w:val="255"/>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presun z minulých rokov § 8</w:t>
            </w:r>
          </w:p>
        </w:tc>
        <w:tc>
          <w:tcPr>
            <w:tcW w:w="574"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313 959 860</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405 451 911</w:t>
            </w:r>
          </w:p>
        </w:tc>
        <w:tc>
          <w:tcPr>
            <w:tcW w:w="613"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0</w:t>
            </w:r>
          </w:p>
        </w:tc>
        <w:tc>
          <w:tcPr>
            <w:tcW w:w="574"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343 396 163</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0</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0</w:t>
            </w:r>
          </w:p>
        </w:tc>
      </w:tr>
      <w:tr w:rsidR="003A497B" w:rsidRPr="005F654E" w:rsidTr="003E1809">
        <w:trPr>
          <w:trHeight w:val="255"/>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xml:space="preserve">    z toho: štátny rozpočet</w:t>
            </w:r>
          </w:p>
        </w:tc>
        <w:tc>
          <w:tcPr>
            <w:tcW w:w="574"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4 492 008</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1 089 442</w:t>
            </w:r>
          </w:p>
        </w:tc>
        <w:tc>
          <w:tcPr>
            <w:tcW w:w="613"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74"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1 638 529</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r>
      <w:tr w:rsidR="003A497B" w:rsidRPr="005F654E" w:rsidTr="003E1809">
        <w:trPr>
          <w:trHeight w:val="255"/>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xml:space="preserve">                EÚ prostriedky</w:t>
            </w:r>
          </w:p>
        </w:tc>
        <w:tc>
          <w:tcPr>
            <w:tcW w:w="574"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269 653 102</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345 954 407</w:t>
            </w:r>
          </w:p>
        </w:tc>
        <w:tc>
          <w:tcPr>
            <w:tcW w:w="613"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7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285 536 838</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r>
      <w:tr w:rsidR="003A497B" w:rsidRPr="005F654E" w:rsidTr="003E1809">
        <w:trPr>
          <w:trHeight w:val="255"/>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xml:space="preserve">                spolufinancovanie zo ŠR</w:t>
            </w:r>
          </w:p>
        </w:tc>
        <w:tc>
          <w:tcPr>
            <w:tcW w:w="574"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39 814 750</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58 408 062</w:t>
            </w:r>
          </w:p>
        </w:tc>
        <w:tc>
          <w:tcPr>
            <w:tcW w:w="613"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7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56 220 796</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r>
      <w:tr w:rsidR="003A497B" w:rsidRPr="005F654E" w:rsidTr="003E1809">
        <w:trPr>
          <w:trHeight w:val="255"/>
        </w:trPr>
        <w:tc>
          <w:tcPr>
            <w:tcW w:w="1274" w:type="pct"/>
            <w:tcBorders>
              <w:top w:val="nil"/>
              <w:left w:val="single" w:sz="4" w:space="0" w:color="auto"/>
              <w:bottom w:val="single" w:sz="4" w:space="0" w:color="auto"/>
              <w:right w:val="single" w:sz="4" w:space="0" w:color="auto"/>
            </w:tcBorders>
            <w:shd w:val="clear" w:color="000000" w:fill="FFFFFF"/>
            <w:vAlign w:val="bottom"/>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 17 ods. 4 zdroj 72e*</w:t>
            </w:r>
          </w:p>
        </w:tc>
        <w:tc>
          <w:tcPr>
            <w:tcW w:w="574" w:type="pct"/>
            <w:tcBorders>
              <w:top w:val="nil"/>
              <w:left w:val="nil"/>
              <w:bottom w:val="single" w:sz="4" w:space="0" w:color="auto"/>
              <w:right w:val="single" w:sz="4" w:space="0" w:color="auto"/>
            </w:tcBorders>
            <w:shd w:val="clear" w:color="000000" w:fill="FFFFFF"/>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10 345</w:t>
            </w:r>
          </w:p>
        </w:tc>
        <w:tc>
          <w:tcPr>
            <w:tcW w:w="477" w:type="pct"/>
            <w:tcBorders>
              <w:top w:val="nil"/>
              <w:left w:val="nil"/>
              <w:bottom w:val="single" w:sz="4" w:space="0" w:color="auto"/>
              <w:right w:val="single" w:sz="4" w:space="0" w:color="auto"/>
            </w:tcBorders>
            <w:shd w:val="clear" w:color="000000" w:fill="FFFFFF"/>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7 299</w:t>
            </w:r>
          </w:p>
        </w:tc>
        <w:tc>
          <w:tcPr>
            <w:tcW w:w="613"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0</w:t>
            </w:r>
          </w:p>
        </w:tc>
        <w:tc>
          <w:tcPr>
            <w:tcW w:w="574" w:type="pct"/>
            <w:tcBorders>
              <w:top w:val="nil"/>
              <w:left w:val="nil"/>
              <w:bottom w:val="single" w:sz="4" w:space="0" w:color="auto"/>
              <w:right w:val="single" w:sz="4" w:space="0" w:color="auto"/>
            </w:tcBorders>
            <w:shd w:val="clear" w:color="000000" w:fill="FFFFFF"/>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16 553</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0</w:t>
            </w:r>
          </w:p>
        </w:tc>
        <w:tc>
          <w:tcPr>
            <w:tcW w:w="506"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0</w:t>
            </w:r>
          </w:p>
        </w:tc>
        <w:tc>
          <w:tcPr>
            <w:tcW w:w="47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0</w:t>
            </w:r>
          </w:p>
        </w:tc>
      </w:tr>
      <w:tr w:rsidR="003A497B" w:rsidRPr="005F654E" w:rsidTr="003E1809">
        <w:trPr>
          <w:trHeight w:val="255"/>
        </w:trPr>
        <w:tc>
          <w:tcPr>
            <w:tcW w:w="2325" w:type="pct"/>
            <w:gridSpan w:val="3"/>
            <w:tcBorders>
              <w:top w:val="single" w:sz="4" w:space="0" w:color="auto"/>
              <w:left w:val="nil"/>
              <w:bottom w:val="single" w:sz="4" w:space="0" w:color="auto"/>
              <w:right w:val="nil"/>
            </w:tcBorders>
            <w:shd w:val="clear" w:color="000000" w:fill="FFFFFF"/>
            <w:noWrap/>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z poistného plnenia zo zmluvného poistenia alebo zo zákonného poistenia</w:t>
            </w:r>
          </w:p>
        </w:tc>
        <w:tc>
          <w:tcPr>
            <w:tcW w:w="613" w:type="pct"/>
            <w:tcBorders>
              <w:top w:val="nil"/>
              <w:left w:val="nil"/>
              <w:bottom w:val="single" w:sz="4" w:space="0" w:color="auto"/>
              <w:right w:val="nil"/>
            </w:tcBorders>
            <w:shd w:val="clear" w:color="auto" w:fill="auto"/>
            <w:noWrap/>
            <w:vAlign w:val="center"/>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w:t>
            </w:r>
          </w:p>
        </w:tc>
        <w:tc>
          <w:tcPr>
            <w:tcW w:w="574" w:type="pct"/>
            <w:tcBorders>
              <w:top w:val="nil"/>
              <w:left w:val="nil"/>
              <w:bottom w:val="single" w:sz="4" w:space="0" w:color="auto"/>
              <w:right w:val="nil"/>
            </w:tcBorders>
            <w:shd w:val="clear" w:color="000000" w:fill="FFFFFF"/>
            <w:vAlign w:val="center"/>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 </w:t>
            </w:r>
          </w:p>
        </w:tc>
        <w:tc>
          <w:tcPr>
            <w:tcW w:w="506" w:type="pct"/>
            <w:tcBorders>
              <w:top w:val="nil"/>
              <w:left w:val="nil"/>
              <w:bottom w:val="single" w:sz="4" w:space="0" w:color="auto"/>
              <w:right w:val="nil"/>
            </w:tcBorders>
            <w:shd w:val="clear" w:color="000000" w:fill="FFFFFF"/>
            <w:noWrap/>
            <w:vAlign w:val="center"/>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w:t>
            </w:r>
          </w:p>
        </w:tc>
        <w:tc>
          <w:tcPr>
            <w:tcW w:w="506" w:type="pct"/>
            <w:tcBorders>
              <w:top w:val="nil"/>
              <w:left w:val="nil"/>
              <w:bottom w:val="single" w:sz="4" w:space="0" w:color="auto"/>
              <w:right w:val="nil"/>
            </w:tcBorders>
            <w:shd w:val="clear" w:color="000000" w:fill="FFFFFF"/>
            <w:noWrap/>
            <w:vAlign w:val="center"/>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w:t>
            </w:r>
          </w:p>
        </w:tc>
        <w:tc>
          <w:tcPr>
            <w:tcW w:w="477" w:type="pct"/>
            <w:tcBorders>
              <w:top w:val="nil"/>
              <w:left w:val="nil"/>
              <w:bottom w:val="single" w:sz="4" w:space="0" w:color="auto"/>
              <w:right w:val="nil"/>
            </w:tcBorders>
            <w:shd w:val="clear" w:color="000000" w:fill="FFFFFF"/>
            <w:noWrap/>
            <w:vAlign w:val="center"/>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w:t>
            </w:r>
          </w:p>
        </w:tc>
      </w:tr>
      <w:tr w:rsidR="003A497B" w:rsidRPr="005F654E" w:rsidTr="003E1809">
        <w:trPr>
          <w:trHeight w:val="255"/>
        </w:trPr>
        <w:tc>
          <w:tcPr>
            <w:tcW w:w="1274" w:type="pct"/>
            <w:tcBorders>
              <w:top w:val="nil"/>
              <w:left w:val="single" w:sz="4" w:space="0" w:color="auto"/>
              <w:bottom w:val="single" w:sz="4" w:space="0" w:color="auto"/>
              <w:right w:val="single" w:sz="4" w:space="0" w:color="auto"/>
            </w:tcBorders>
            <w:shd w:val="clear" w:color="000000" w:fill="FFFFFF"/>
            <w:vAlign w:val="bottom"/>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 xml:space="preserve">Samostatné účty </w:t>
            </w:r>
          </w:p>
        </w:tc>
        <w:tc>
          <w:tcPr>
            <w:tcW w:w="57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563 362 271</w:t>
            </w:r>
          </w:p>
        </w:tc>
        <w:tc>
          <w:tcPr>
            <w:tcW w:w="47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603 941 413</w:t>
            </w:r>
          </w:p>
        </w:tc>
        <w:tc>
          <w:tcPr>
            <w:tcW w:w="613"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5 865 135</w:t>
            </w:r>
          </w:p>
        </w:tc>
        <w:tc>
          <w:tcPr>
            <w:tcW w:w="57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6 250 253</w:t>
            </w:r>
          </w:p>
        </w:tc>
        <w:tc>
          <w:tcPr>
            <w:tcW w:w="506"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2 589 000</w:t>
            </w:r>
          </w:p>
        </w:tc>
        <w:tc>
          <w:tcPr>
            <w:tcW w:w="506"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2 439 000</w:t>
            </w:r>
          </w:p>
        </w:tc>
        <w:tc>
          <w:tcPr>
            <w:tcW w:w="47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2 339 000</w:t>
            </w:r>
          </w:p>
        </w:tc>
      </w:tr>
    </w:tbl>
    <w:p w:rsidR="003A497B" w:rsidRPr="005F654E" w:rsidRDefault="003A497B" w:rsidP="003A497B">
      <w:pPr>
        <w:rPr>
          <w:rFonts w:ascii="Arial Narrow" w:hAnsi="Arial Narrow" w:cs="Times New Roman"/>
          <w:sz w:val="22"/>
          <w:szCs w:val="22"/>
          <w:lang w:eastAsia="sk-SK"/>
        </w:rPr>
      </w:pPr>
      <w:r w:rsidRPr="005F654E">
        <w:rPr>
          <w:rFonts w:ascii="Arial Narrow" w:hAnsi="Arial Narrow" w:cs="Times New Roman"/>
          <w:sz w:val="22"/>
          <w:szCs w:val="22"/>
          <w:lang w:eastAsia="sk-SK"/>
        </w:rPr>
        <w:tab/>
      </w:r>
      <w:r w:rsidRPr="005F654E">
        <w:rPr>
          <w:rFonts w:ascii="Arial Narrow" w:hAnsi="Arial Narrow" w:cs="Times New Roman"/>
          <w:sz w:val="22"/>
          <w:szCs w:val="22"/>
          <w:lang w:eastAsia="sk-SK"/>
        </w:rPr>
        <w:tab/>
      </w:r>
      <w:r w:rsidRPr="005F654E">
        <w:rPr>
          <w:rFonts w:ascii="Arial Narrow" w:hAnsi="Arial Narrow" w:cs="Times New Roman"/>
          <w:sz w:val="22"/>
          <w:szCs w:val="22"/>
          <w:lang w:eastAsia="sk-SK"/>
        </w:rPr>
        <w:tab/>
      </w:r>
      <w:r w:rsidRPr="005F654E">
        <w:rPr>
          <w:rFonts w:ascii="Arial Narrow" w:hAnsi="Arial Narrow" w:cs="Times New Roman"/>
          <w:sz w:val="22"/>
          <w:szCs w:val="22"/>
          <w:lang w:eastAsia="sk-SK"/>
        </w:rPr>
        <w:tab/>
      </w:r>
      <w:r w:rsidRPr="005F654E">
        <w:rPr>
          <w:rFonts w:ascii="Arial Narrow" w:hAnsi="Arial Narrow" w:cs="Times New Roman"/>
          <w:sz w:val="22"/>
          <w:szCs w:val="22"/>
          <w:lang w:eastAsia="sk-SK"/>
        </w:rPr>
        <w:tab/>
      </w:r>
      <w:r w:rsidRPr="005F654E">
        <w:rPr>
          <w:rFonts w:ascii="Arial Narrow" w:hAnsi="Arial Narrow" w:cs="Times New Roman"/>
          <w:sz w:val="22"/>
          <w:szCs w:val="22"/>
          <w:lang w:eastAsia="sk-SK"/>
        </w:rPr>
        <w:tab/>
      </w:r>
      <w:r w:rsidRPr="005F654E">
        <w:rPr>
          <w:rFonts w:ascii="Arial Narrow" w:hAnsi="Arial Narrow" w:cs="Times New Roman"/>
          <w:sz w:val="22"/>
          <w:szCs w:val="22"/>
          <w:lang w:eastAsia="sk-SK"/>
        </w:rPr>
        <w:tab/>
      </w:r>
      <w:r w:rsidRPr="005F654E">
        <w:rPr>
          <w:rFonts w:ascii="Arial Narrow" w:hAnsi="Arial Narrow" w:cs="Times New Roman"/>
          <w:sz w:val="22"/>
          <w:szCs w:val="22"/>
          <w:lang w:eastAsia="sk-SK"/>
        </w:rPr>
        <w:tab/>
      </w:r>
      <w:r w:rsidRPr="005F654E">
        <w:rPr>
          <w:rFonts w:ascii="Arial Narrow" w:hAnsi="Arial Narrow" w:cs="Times New Roman"/>
          <w:sz w:val="22"/>
          <w:szCs w:val="22"/>
          <w:lang w:eastAsia="sk-SK"/>
        </w:rPr>
        <w:tab/>
      </w:r>
      <w:r w:rsidRPr="005F654E">
        <w:rPr>
          <w:rFonts w:ascii="Arial Narrow" w:hAnsi="Arial Narrow" w:cs="Times New Roman"/>
          <w:sz w:val="22"/>
          <w:szCs w:val="22"/>
          <w:lang w:eastAsia="sk-SK"/>
        </w:rPr>
        <w:tab/>
      </w:r>
      <w:r w:rsidRPr="005F654E">
        <w:rPr>
          <w:rFonts w:ascii="Arial Narrow" w:hAnsi="Arial Narrow" w:cs="Times New Roman"/>
          <w:sz w:val="22"/>
          <w:szCs w:val="22"/>
          <w:lang w:eastAsia="sk-SK"/>
        </w:rPr>
        <w:tab/>
        <w:t xml:space="preserve">        </w:t>
      </w:r>
    </w:p>
    <w:p w:rsidR="003A497B" w:rsidRPr="005F654E" w:rsidRDefault="003A497B" w:rsidP="003A497B">
      <w:pPr>
        <w:jc w:val="both"/>
        <w:rPr>
          <w:rFonts w:ascii="Times New Roman" w:hAnsi="Times New Roman" w:cs="Times New Roman"/>
          <w:lang w:eastAsia="sk-SK"/>
        </w:rPr>
      </w:pPr>
      <w:r w:rsidRPr="005F654E">
        <w:rPr>
          <w:rFonts w:ascii="Arial Narrow" w:hAnsi="Arial Narrow" w:cs="Times New Roman"/>
          <w:b/>
          <w:sz w:val="22"/>
          <w:szCs w:val="22"/>
          <w:lang w:eastAsia="sk-SK"/>
        </w:rPr>
        <w:tab/>
      </w:r>
      <w:r w:rsidRPr="005F654E">
        <w:rPr>
          <w:rFonts w:ascii="Times New Roman" w:hAnsi="Times New Roman" w:cs="Times New Roman"/>
          <w:lang w:eastAsia="sk-SK"/>
        </w:rPr>
        <w:t xml:space="preserve">Kapitola Ministerstva pôdohospodárstva a rozvoja vidieka SR (ďalej len „MPRV SR“) rozpočtuje na rok 2019 zdroje vo výške 1,19 mld. eur, v tom rozpočtové prostriedky kapitoly </w:t>
      </w:r>
      <w:r w:rsidRPr="005F654E">
        <w:rPr>
          <w:rFonts w:ascii="Times New Roman" w:hAnsi="Times New Roman" w:cs="Times New Roman"/>
          <w:lang w:eastAsia="sk-SK"/>
        </w:rPr>
        <w:lastRenderedPageBreak/>
        <w:t xml:space="preserve">predstavujú sumu 244 mil. eur. Výdavky EÚ a spolufinancovania zo štátneho rozpočtu sa rozpočtujú v objeme 949 mil. eur. </w:t>
      </w:r>
    </w:p>
    <w:p w:rsidR="003A497B" w:rsidRPr="005F654E" w:rsidRDefault="003A497B" w:rsidP="003A497B">
      <w:pPr>
        <w:jc w:val="both"/>
        <w:rPr>
          <w:rFonts w:ascii="Times New Roman" w:hAnsi="Times New Roman" w:cs="Times New Roman"/>
          <w:lang w:eastAsia="sk-SK"/>
        </w:rPr>
      </w:pPr>
    </w:p>
    <w:p w:rsidR="003A497B" w:rsidRPr="005F654E" w:rsidRDefault="003A497B" w:rsidP="003A497B">
      <w:pPr>
        <w:jc w:val="both"/>
        <w:rPr>
          <w:rFonts w:ascii="Times New Roman" w:hAnsi="Times New Roman" w:cs="Times New Roman"/>
          <w:lang w:eastAsia="sk-SK"/>
        </w:rPr>
      </w:pPr>
      <w:r w:rsidRPr="005F654E">
        <w:rPr>
          <w:rFonts w:ascii="Times New Roman" w:hAnsi="Times New Roman" w:cs="Times New Roman"/>
          <w:lang w:eastAsia="sk-SK"/>
        </w:rPr>
        <w:tab/>
        <w:t>Osobné výdavky sú rozpočtované v sume 44,9 mil. eur, čo v porovnaní so schváleným rozpočtom roku 2018 predstavuje zvýšenie o 2,37 mil. eur, t. j. o 5,57 %. Uvedenú zmenu ovplyvnilo najmä premietnutie valorizácie platov zamestnancov z roku 2018 do nasledujúcich rokov.</w:t>
      </w:r>
    </w:p>
    <w:p w:rsidR="003A497B" w:rsidRPr="005F654E" w:rsidRDefault="003A497B" w:rsidP="003A497B">
      <w:pPr>
        <w:jc w:val="both"/>
        <w:rPr>
          <w:rFonts w:ascii="Times New Roman" w:hAnsi="Times New Roman" w:cs="Times New Roman"/>
          <w:lang w:eastAsia="sk-SK"/>
        </w:rPr>
      </w:pPr>
    </w:p>
    <w:p w:rsidR="003A497B" w:rsidRPr="005F654E" w:rsidRDefault="003A497B" w:rsidP="003A497B">
      <w:pPr>
        <w:jc w:val="both"/>
        <w:rPr>
          <w:rFonts w:ascii="Times New Roman" w:hAnsi="Times New Roman" w:cs="Times New Roman"/>
          <w:lang w:eastAsia="sk-SK"/>
        </w:rPr>
      </w:pPr>
      <w:r w:rsidRPr="005F654E">
        <w:rPr>
          <w:rFonts w:ascii="Times New Roman" w:hAnsi="Times New Roman" w:cs="Times New Roman"/>
          <w:lang w:eastAsia="sk-SK"/>
        </w:rPr>
        <w:tab/>
        <w:t xml:space="preserve">Výdavky na tovary a služby predstavujú  sumu 147 mil. eur. V porovnaní so schváleným rozpočtom roku 2018 sa zvyšujú o 119 mil. eur z dôvodu zapracovania výdavkov kapitoly súvisiacich s pripravovanou legislatívnou zmenou, ktorou sa zakotví povinnosť platenia osobitného odvodu obchodnými reťazcami. </w:t>
      </w:r>
      <w:r w:rsidRPr="00DD00BE">
        <w:rPr>
          <w:rFonts w:ascii="Times New Roman" w:hAnsi="Times New Roman" w:cs="Times New Roman"/>
          <w:lang w:eastAsia="sk-SK"/>
        </w:rPr>
        <w:t>Na základe zvýšenia rozpočtových zdrojov kapitoly bude možné v oblasti poľnohospodárstva a potravinárstva najmä podporovať odbyt poľnohospodárskych produktov a potravinárskych výrobkov vyrobených v Slovenskej republike, podporiť zvyšovanie ich spotreby a predaja s dôrazom najmä na kvalitu a bezpečnosť, a to aj vo väzbe na národný program podpory poľnohospodárskych výrobkov a potravín Značka kvality SK, kompenzovať negatívne vplyvy globálnej zmeny počasia na poľnohospodársku prvovýrobu, informovať a vzdelávať verejnosť s dôrazom na zabezpečenie správnej výživy a zdravého životného štýlu, rozvíjať a podporovať kultúru a tradície v regiónoch v oblasti spracovania poľnohospodárskych produktov a predaja potravinárskych výrobkov a tiež zriadiť a zabezpečiť pravidelné financovanie fondu ťažko poistiteľných a nepoistiteľných rizík v poľnohospodárstve.</w:t>
      </w:r>
    </w:p>
    <w:p w:rsidR="003A497B" w:rsidRPr="005F654E" w:rsidRDefault="003A497B" w:rsidP="003A497B">
      <w:pPr>
        <w:jc w:val="both"/>
        <w:rPr>
          <w:rFonts w:ascii="Times New Roman" w:hAnsi="Times New Roman" w:cs="Times New Roman"/>
          <w:lang w:eastAsia="sk-SK"/>
        </w:rPr>
      </w:pPr>
    </w:p>
    <w:p w:rsidR="003A497B" w:rsidRPr="005F654E" w:rsidRDefault="003A497B" w:rsidP="003A497B">
      <w:pPr>
        <w:jc w:val="both"/>
        <w:rPr>
          <w:rFonts w:ascii="Times New Roman" w:hAnsi="Times New Roman" w:cs="Times New Roman"/>
          <w:lang w:eastAsia="sk-SK"/>
        </w:rPr>
      </w:pPr>
      <w:r w:rsidRPr="005F654E">
        <w:rPr>
          <w:rFonts w:ascii="Times New Roman" w:hAnsi="Times New Roman" w:cs="Times New Roman"/>
          <w:lang w:eastAsia="sk-SK"/>
        </w:rPr>
        <w:tab/>
        <w:t xml:space="preserve">Výdavky na bežné transfery sa na rok 2019 rozpočtujú v sume 50,3 mil. eur, čo v porovnaní so schváleným rozpočtom roku 2018 predstavuje zvýšenie o 36,4 mil. eur,                    v dôsledku rozpočtovania výdavkov na pomoc v poľnohospodárskej prvovýrobe, ktorá sa bude poskytovať formou dotácie na úhradu zaplatenej časti spotrebnej dane z minerálnych olejov, vyšších výdavkov určených na programy starostlivosti o les a zapracovania valorizácie platov zamestnancov príspevkových organizácií. </w:t>
      </w:r>
    </w:p>
    <w:p w:rsidR="003A497B" w:rsidRPr="005F654E" w:rsidRDefault="003A497B" w:rsidP="003A497B">
      <w:pPr>
        <w:jc w:val="both"/>
        <w:rPr>
          <w:rFonts w:ascii="Times New Roman" w:hAnsi="Times New Roman" w:cs="Times New Roman"/>
          <w:lang w:eastAsia="sk-SK"/>
        </w:rPr>
      </w:pPr>
    </w:p>
    <w:p w:rsidR="003A497B" w:rsidRPr="005F654E" w:rsidRDefault="003A497B" w:rsidP="003A497B">
      <w:pPr>
        <w:jc w:val="both"/>
        <w:rPr>
          <w:rFonts w:ascii="Times New Roman" w:hAnsi="Times New Roman" w:cs="Times New Roman"/>
          <w:lang w:eastAsia="sk-SK"/>
        </w:rPr>
      </w:pPr>
      <w:r w:rsidRPr="005F654E">
        <w:rPr>
          <w:rFonts w:ascii="Times New Roman" w:hAnsi="Times New Roman" w:cs="Times New Roman"/>
          <w:lang w:eastAsia="sk-SK"/>
        </w:rPr>
        <w:tab/>
        <w:t>Objem kapitálových výdavkov sa navrhuje v sume 2,83 mil. eur, čo v porovnaní</w:t>
      </w:r>
      <w:r w:rsidRPr="005F654E">
        <w:rPr>
          <w:rFonts w:ascii="Times New Roman" w:hAnsi="Times New Roman" w:cs="Times New Roman"/>
          <w:lang w:eastAsia="sk-SK"/>
        </w:rPr>
        <w:br/>
        <w:t>so schváleným rozpočtom roku 2018 predstavuje zvýšenie o 1,33 mil. eur, t. j. o 88,7 %. Kapitálové výdavky v objeme 1,50 mil. eur budú použité na spracovanie projektovej dokumentácie a následnej rekonštrukcie a technického zhodnotenia administratívnych budov, 800 tis. eur je vyčlenených na ochranu lokality Staré bukové lesy a bukové pralesy Karpát a iných regiónov Európy a zvyšných 506 tis. eur sa rozpočtuje na nákup prevádzkových strojov, prístrojov, zariadení a techniky, modernizáciu a rekonštrukciu softvéru a obstaranie finančných aktív v oblasti informatizácie.</w:t>
      </w:r>
    </w:p>
    <w:p w:rsidR="003A497B" w:rsidRPr="005F654E" w:rsidRDefault="003A497B" w:rsidP="003A497B">
      <w:pPr>
        <w:jc w:val="both"/>
        <w:rPr>
          <w:rFonts w:ascii="Times New Roman" w:hAnsi="Times New Roman" w:cs="Times New Roman"/>
          <w:lang w:eastAsia="sk-SK"/>
        </w:rPr>
      </w:pPr>
    </w:p>
    <w:p w:rsidR="003A497B" w:rsidRPr="005F654E" w:rsidRDefault="003A497B" w:rsidP="003A497B">
      <w:pPr>
        <w:ind w:firstLine="708"/>
        <w:jc w:val="both"/>
        <w:rPr>
          <w:rFonts w:ascii="Times New Roman" w:hAnsi="Times New Roman" w:cs="Times New Roman"/>
          <w:lang w:eastAsia="sk-SK"/>
        </w:rPr>
      </w:pPr>
      <w:r w:rsidRPr="005F654E">
        <w:rPr>
          <w:rFonts w:ascii="Times New Roman" w:hAnsi="Times New Roman" w:cs="Times New Roman"/>
          <w:lang w:eastAsia="sk-SK"/>
        </w:rPr>
        <w:t xml:space="preserve">MPRV SR na rok 2019 rozpočtuje výdavky na samostatných účtoch v celkovej sume </w:t>
      </w:r>
      <w:r w:rsidRPr="005F654E">
        <w:rPr>
          <w:rFonts w:ascii="Times New Roman" w:hAnsi="Times New Roman" w:cs="Times New Roman"/>
          <w:lang w:eastAsia="sk-SK"/>
        </w:rPr>
        <w:br/>
        <w:t xml:space="preserve">2,59 mil. eur. Uvedené prostriedky sú určené na nákup intervenčných zásob, výdavky spojené </w:t>
      </w:r>
      <w:r w:rsidRPr="005F654E">
        <w:rPr>
          <w:rFonts w:ascii="Times New Roman" w:hAnsi="Times New Roman" w:cs="Times New Roman"/>
          <w:lang w:eastAsia="sk-SK"/>
        </w:rPr>
        <w:br/>
        <w:t>so skladovaním a manipuláciou intervenčných zásob, prípadné splátky úrokov, na náklady spojené s vyhľadávaním, odberom a analýzou vzoriek škodlivých organizmov, na čerpanie v súvislosti s plnením programov z Európskeho poľnohospodárskeho a záručného fondu a Európskeho poľnohospodárskeho fondu pre rozvoj vidieka.</w:t>
      </w:r>
    </w:p>
    <w:p w:rsidR="003A497B" w:rsidRPr="005F654E" w:rsidRDefault="003A497B" w:rsidP="003A497B">
      <w:pPr>
        <w:jc w:val="both"/>
        <w:rPr>
          <w:rFonts w:ascii="Arial Narrow" w:hAnsi="Arial Narrow" w:cs="Times New Roman"/>
          <w:b/>
          <w:sz w:val="22"/>
          <w:szCs w:val="22"/>
          <w:lang w:eastAsia="sk-SK"/>
        </w:rPr>
      </w:pPr>
    </w:p>
    <w:p w:rsidR="00D2350F" w:rsidRDefault="00D2350F" w:rsidP="003A497B">
      <w:pPr>
        <w:jc w:val="both"/>
        <w:rPr>
          <w:rFonts w:ascii="Times New Roman" w:hAnsi="Times New Roman" w:cs="Times New Roman"/>
          <w:lang w:eastAsia="sk-SK"/>
        </w:rPr>
      </w:pPr>
    </w:p>
    <w:p w:rsidR="00D2350F" w:rsidRDefault="00D2350F" w:rsidP="003A497B">
      <w:pPr>
        <w:jc w:val="both"/>
        <w:rPr>
          <w:rFonts w:ascii="Times New Roman" w:hAnsi="Times New Roman" w:cs="Times New Roman"/>
          <w:lang w:eastAsia="sk-SK"/>
        </w:rPr>
      </w:pPr>
    </w:p>
    <w:p w:rsidR="00D2350F" w:rsidRDefault="00D2350F" w:rsidP="003A497B">
      <w:pPr>
        <w:jc w:val="both"/>
        <w:rPr>
          <w:rFonts w:ascii="Times New Roman" w:hAnsi="Times New Roman" w:cs="Times New Roman"/>
          <w:lang w:eastAsia="sk-SK"/>
        </w:rPr>
      </w:pPr>
    </w:p>
    <w:p w:rsidR="00D2350F" w:rsidRDefault="00D2350F" w:rsidP="003A497B">
      <w:pPr>
        <w:jc w:val="both"/>
        <w:rPr>
          <w:rFonts w:ascii="Times New Roman" w:hAnsi="Times New Roman" w:cs="Times New Roman"/>
          <w:lang w:eastAsia="sk-SK"/>
        </w:rPr>
      </w:pPr>
    </w:p>
    <w:p w:rsidR="00D2350F" w:rsidRDefault="00D2350F" w:rsidP="003A497B">
      <w:pPr>
        <w:jc w:val="both"/>
        <w:rPr>
          <w:rFonts w:ascii="Times New Roman" w:hAnsi="Times New Roman" w:cs="Times New Roman"/>
          <w:lang w:eastAsia="sk-SK"/>
        </w:rPr>
      </w:pPr>
    </w:p>
    <w:p w:rsidR="003A497B" w:rsidRPr="005F654E" w:rsidRDefault="003A497B" w:rsidP="003A497B">
      <w:pPr>
        <w:jc w:val="both"/>
        <w:rPr>
          <w:rFonts w:ascii="Times New Roman" w:hAnsi="Times New Roman" w:cs="Times New Roman"/>
          <w:lang w:eastAsia="sk-SK"/>
        </w:rPr>
      </w:pPr>
      <w:r w:rsidRPr="005F654E">
        <w:rPr>
          <w:rFonts w:ascii="Times New Roman" w:hAnsi="Times New Roman" w:cs="Times New Roman"/>
          <w:lang w:eastAsia="sk-SK"/>
        </w:rPr>
        <w:lastRenderedPageBreak/>
        <w:t>Výdavky kapitoly MPRV SR sú smerované do nasledovných oblastí.</w:t>
      </w:r>
    </w:p>
    <w:p w:rsidR="003A497B" w:rsidRPr="005F654E" w:rsidRDefault="003A497B" w:rsidP="003A497B">
      <w:pPr>
        <w:jc w:val="both"/>
        <w:rPr>
          <w:rFonts w:ascii="Times New Roman" w:hAnsi="Times New Roman" w:cs="Times New Roman"/>
          <w:lang w:eastAsia="sk-SK"/>
        </w:rPr>
      </w:pPr>
    </w:p>
    <w:tbl>
      <w:tblPr>
        <w:tblW w:w="5000" w:type="pct"/>
        <w:tblCellMar>
          <w:left w:w="70" w:type="dxa"/>
          <w:right w:w="70" w:type="dxa"/>
        </w:tblCellMar>
        <w:tblLook w:val="04A0" w:firstRow="1" w:lastRow="0" w:firstColumn="1" w:lastColumn="0" w:noHBand="0" w:noVBand="1"/>
      </w:tblPr>
      <w:tblGrid>
        <w:gridCol w:w="2267"/>
        <w:gridCol w:w="852"/>
        <w:gridCol w:w="991"/>
        <w:gridCol w:w="991"/>
        <w:gridCol w:w="991"/>
        <w:gridCol w:w="991"/>
        <w:gridCol w:w="1049"/>
        <w:gridCol w:w="930"/>
      </w:tblGrid>
      <w:tr w:rsidR="003A497B" w:rsidRPr="005F654E" w:rsidTr="004650BC">
        <w:trPr>
          <w:trHeight w:val="252"/>
        </w:trPr>
        <w:tc>
          <w:tcPr>
            <w:tcW w:w="1250"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v eurách</w:t>
            </w:r>
          </w:p>
        </w:tc>
        <w:tc>
          <w:tcPr>
            <w:tcW w:w="470"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2016 S</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2017 S</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2018 R</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2018 OS</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2019 N</w:t>
            </w:r>
          </w:p>
        </w:tc>
        <w:tc>
          <w:tcPr>
            <w:tcW w:w="579"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2020 N</w:t>
            </w:r>
          </w:p>
        </w:tc>
        <w:tc>
          <w:tcPr>
            <w:tcW w:w="513"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2021 N</w:t>
            </w:r>
          </w:p>
        </w:tc>
      </w:tr>
      <w:tr w:rsidR="003A497B" w:rsidRPr="005F654E" w:rsidTr="004650BC">
        <w:trPr>
          <w:trHeight w:val="252"/>
        </w:trPr>
        <w:tc>
          <w:tcPr>
            <w:tcW w:w="1250" w:type="pct"/>
            <w:tcBorders>
              <w:top w:val="nil"/>
              <w:left w:val="single" w:sz="4" w:space="0" w:color="auto"/>
              <w:bottom w:val="single" w:sz="4" w:space="0" w:color="auto"/>
              <w:right w:val="single" w:sz="4" w:space="0" w:color="auto"/>
            </w:tcBorders>
            <w:shd w:val="clear" w:color="000000" w:fill="C0C0C0"/>
            <w:vAlign w:val="bottom"/>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Výdavky podľa oblastí spolu</w:t>
            </w:r>
          </w:p>
        </w:tc>
        <w:tc>
          <w:tcPr>
            <w:tcW w:w="470" w:type="pct"/>
            <w:tcBorders>
              <w:top w:val="nil"/>
              <w:left w:val="nil"/>
              <w:bottom w:val="single" w:sz="4" w:space="0" w:color="auto"/>
              <w:right w:val="single" w:sz="4" w:space="0" w:color="auto"/>
            </w:tcBorders>
            <w:shd w:val="clear" w:color="000000" w:fill="C0C0C0"/>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817 591 026</w:t>
            </w:r>
          </w:p>
        </w:tc>
        <w:tc>
          <w:tcPr>
            <w:tcW w:w="547" w:type="pct"/>
            <w:tcBorders>
              <w:top w:val="nil"/>
              <w:left w:val="nil"/>
              <w:bottom w:val="single" w:sz="4" w:space="0" w:color="auto"/>
              <w:right w:val="single" w:sz="4" w:space="0" w:color="auto"/>
            </w:tcBorders>
            <w:shd w:val="clear" w:color="000000" w:fill="C0C0C0"/>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840 139 144</w:t>
            </w:r>
          </w:p>
        </w:tc>
        <w:tc>
          <w:tcPr>
            <w:tcW w:w="547" w:type="pct"/>
            <w:tcBorders>
              <w:top w:val="nil"/>
              <w:left w:val="nil"/>
              <w:bottom w:val="single" w:sz="4" w:space="0" w:color="auto"/>
              <w:right w:val="single" w:sz="4" w:space="0" w:color="auto"/>
            </w:tcBorders>
            <w:shd w:val="clear" w:color="000000" w:fill="C0C0C0"/>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1 100 869 219</w:t>
            </w:r>
          </w:p>
        </w:tc>
        <w:tc>
          <w:tcPr>
            <w:tcW w:w="547" w:type="pct"/>
            <w:tcBorders>
              <w:top w:val="nil"/>
              <w:left w:val="nil"/>
              <w:bottom w:val="single" w:sz="4" w:space="0" w:color="auto"/>
              <w:right w:val="single" w:sz="4" w:space="0" w:color="auto"/>
            </w:tcBorders>
            <w:shd w:val="clear" w:color="000000" w:fill="C0C0C0"/>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835 969 379</w:t>
            </w:r>
          </w:p>
        </w:tc>
        <w:tc>
          <w:tcPr>
            <w:tcW w:w="547" w:type="pct"/>
            <w:tcBorders>
              <w:top w:val="nil"/>
              <w:left w:val="nil"/>
              <w:bottom w:val="single" w:sz="4" w:space="0" w:color="auto"/>
              <w:right w:val="single" w:sz="4" w:space="0" w:color="auto"/>
            </w:tcBorders>
            <w:shd w:val="clear" w:color="000000" w:fill="C0C0C0"/>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1 193 458 704</w:t>
            </w:r>
          </w:p>
        </w:tc>
        <w:tc>
          <w:tcPr>
            <w:tcW w:w="579" w:type="pct"/>
            <w:tcBorders>
              <w:top w:val="nil"/>
              <w:left w:val="nil"/>
              <w:bottom w:val="single" w:sz="4" w:space="0" w:color="auto"/>
              <w:right w:val="single" w:sz="4" w:space="0" w:color="auto"/>
            </w:tcBorders>
            <w:shd w:val="clear" w:color="000000" w:fill="C0C0C0"/>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1 594 767 237</w:t>
            </w:r>
          </w:p>
        </w:tc>
        <w:tc>
          <w:tcPr>
            <w:tcW w:w="513" w:type="pct"/>
            <w:tcBorders>
              <w:top w:val="nil"/>
              <w:left w:val="nil"/>
              <w:bottom w:val="single" w:sz="4" w:space="0" w:color="auto"/>
              <w:right w:val="single" w:sz="4" w:space="0" w:color="auto"/>
            </w:tcBorders>
            <w:shd w:val="clear" w:color="000000" w:fill="C0C0C0"/>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754 739 710</w:t>
            </w:r>
          </w:p>
        </w:tc>
      </w:tr>
      <w:tr w:rsidR="003A497B" w:rsidRPr="005F654E" w:rsidTr="004650BC">
        <w:trPr>
          <w:trHeight w:val="25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Priame platby</w:t>
            </w:r>
          </w:p>
        </w:tc>
        <w:tc>
          <w:tcPr>
            <w:tcW w:w="470"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408 006 533</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410 428 257</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467 160 159</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467 160 159</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472 148 131</w:t>
            </w:r>
          </w:p>
        </w:tc>
        <w:tc>
          <w:tcPr>
            <w:tcW w:w="579"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470 767 761</w:t>
            </w:r>
          </w:p>
        </w:tc>
        <w:tc>
          <w:tcPr>
            <w:tcW w:w="513"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6 462 242</w:t>
            </w:r>
          </w:p>
        </w:tc>
      </w:tr>
      <w:tr w:rsidR="003A497B" w:rsidRPr="005F654E" w:rsidTr="004650BC">
        <w:trPr>
          <w:trHeight w:val="25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Rozvoj vidieka</w:t>
            </w:r>
          </w:p>
        </w:tc>
        <w:tc>
          <w:tcPr>
            <w:tcW w:w="470"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162 419 206</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231 951 482</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309 440 402</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180 932 731</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300 562 902</w:t>
            </w:r>
          </w:p>
        </w:tc>
        <w:tc>
          <w:tcPr>
            <w:tcW w:w="579"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317 420 851</w:t>
            </w:r>
          </w:p>
        </w:tc>
        <w:tc>
          <w:tcPr>
            <w:tcW w:w="513"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42 490</w:t>
            </w:r>
          </w:p>
        </w:tc>
      </w:tr>
      <w:tr w:rsidR="003A497B" w:rsidRPr="005F654E" w:rsidTr="004650BC">
        <w:trPr>
          <w:trHeight w:val="25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Rybné hospodárstvo</w:t>
            </w:r>
          </w:p>
        </w:tc>
        <w:tc>
          <w:tcPr>
            <w:tcW w:w="470"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413 467</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1 213 787</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3 366 115</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4 068 343</w:t>
            </w:r>
          </w:p>
        </w:tc>
        <w:tc>
          <w:tcPr>
            <w:tcW w:w="579"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4 728 285</w:t>
            </w:r>
          </w:p>
        </w:tc>
        <w:tc>
          <w:tcPr>
            <w:tcW w:w="513"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3 154 841</w:t>
            </w:r>
          </w:p>
        </w:tc>
      </w:tr>
      <w:tr w:rsidR="003A497B" w:rsidRPr="005F654E" w:rsidTr="004650BC">
        <w:trPr>
          <w:trHeight w:val="25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Trhovo-orientované výdavky</w:t>
            </w:r>
          </w:p>
        </w:tc>
        <w:tc>
          <w:tcPr>
            <w:tcW w:w="470"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11 509 048</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17 335 150</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16 400 000</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9 105 522</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16 400 000</w:t>
            </w:r>
          </w:p>
        </w:tc>
        <w:tc>
          <w:tcPr>
            <w:tcW w:w="579"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16 800 000</w:t>
            </w:r>
          </w:p>
        </w:tc>
        <w:tc>
          <w:tcPr>
            <w:tcW w:w="513"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2 585 055</w:t>
            </w:r>
          </w:p>
        </w:tc>
      </w:tr>
      <w:tr w:rsidR="003A497B" w:rsidRPr="005F654E" w:rsidTr="004650BC">
        <w:trPr>
          <w:trHeight w:val="25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Štátna pomoc</w:t>
            </w:r>
          </w:p>
        </w:tc>
        <w:tc>
          <w:tcPr>
            <w:tcW w:w="470"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4 599 685</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9 329 227</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1 000 000</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6 900 000</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31 000 000</w:t>
            </w:r>
          </w:p>
        </w:tc>
        <w:tc>
          <w:tcPr>
            <w:tcW w:w="579"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31 000 000</w:t>
            </w:r>
          </w:p>
        </w:tc>
        <w:tc>
          <w:tcPr>
            <w:tcW w:w="513"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31 000 000</w:t>
            </w:r>
          </w:p>
        </w:tc>
      </w:tr>
      <w:tr w:rsidR="003A497B" w:rsidRPr="005F654E" w:rsidTr="004650BC">
        <w:trPr>
          <w:trHeight w:val="252"/>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Regionálny rozvoj</w:t>
            </w:r>
          </w:p>
        </w:tc>
        <w:tc>
          <w:tcPr>
            <w:tcW w:w="470"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92 799 657</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58 053 130</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221 222 503</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37 497 796</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155 790 705</w:t>
            </w:r>
          </w:p>
        </w:tc>
        <w:tc>
          <w:tcPr>
            <w:tcW w:w="579"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541 393 413</w:t>
            </w:r>
          </w:p>
        </w:tc>
        <w:tc>
          <w:tcPr>
            <w:tcW w:w="513"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498 843 155</w:t>
            </w:r>
          </w:p>
        </w:tc>
      </w:tr>
      <w:tr w:rsidR="003A497B" w:rsidRPr="005F654E" w:rsidTr="004650BC">
        <w:trPr>
          <w:trHeight w:val="252"/>
        </w:trPr>
        <w:tc>
          <w:tcPr>
            <w:tcW w:w="1250" w:type="pct"/>
            <w:tcBorders>
              <w:top w:val="nil"/>
              <w:left w:val="single" w:sz="4" w:space="0" w:color="auto"/>
              <w:bottom w:val="single" w:sz="4" w:space="0" w:color="auto"/>
              <w:right w:val="single" w:sz="4" w:space="0" w:color="auto"/>
            </w:tcBorders>
            <w:shd w:val="clear" w:color="auto" w:fill="auto"/>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xml:space="preserve">Inštitucionálna podpora </w:t>
            </w:r>
          </w:p>
        </w:tc>
        <w:tc>
          <w:tcPr>
            <w:tcW w:w="470"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137 843 430</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113 041 898</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84 432 368</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131 007 056</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213 488 623</w:t>
            </w:r>
          </w:p>
        </w:tc>
        <w:tc>
          <w:tcPr>
            <w:tcW w:w="579"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212 656 927</w:t>
            </w:r>
          </w:p>
        </w:tc>
        <w:tc>
          <w:tcPr>
            <w:tcW w:w="513"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212 651 927</w:t>
            </w:r>
          </w:p>
        </w:tc>
      </w:tr>
    </w:tbl>
    <w:p w:rsidR="003A497B" w:rsidRPr="005F654E" w:rsidRDefault="003A497B" w:rsidP="003A497B">
      <w:pPr>
        <w:jc w:val="both"/>
        <w:rPr>
          <w:rFonts w:ascii="Times New Roman" w:hAnsi="Times New Roman" w:cs="Times New Roman"/>
          <w:lang w:eastAsia="sk-SK"/>
        </w:rPr>
      </w:pPr>
      <w:r w:rsidRPr="005F654E">
        <w:rPr>
          <w:rFonts w:ascii="Arial Narrow" w:hAnsi="Arial Narrow" w:cs="Times New Roman"/>
          <w:sz w:val="22"/>
          <w:szCs w:val="22"/>
          <w:lang w:eastAsia="sk-SK"/>
        </w:rPr>
        <w:tab/>
      </w:r>
      <w:r w:rsidRPr="005F654E">
        <w:rPr>
          <w:rFonts w:ascii="Arial Narrow" w:hAnsi="Arial Narrow" w:cs="Times New Roman"/>
          <w:sz w:val="22"/>
          <w:szCs w:val="22"/>
          <w:lang w:eastAsia="sk-SK"/>
        </w:rPr>
        <w:tab/>
        <w:t xml:space="preserve"> </w:t>
      </w:r>
    </w:p>
    <w:p w:rsidR="003A497B" w:rsidRPr="005F654E" w:rsidRDefault="003A497B" w:rsidP="003A497B">
      <w:pPr>
        <w:jc w:val="both"/>
        <w:rPr>
          <w:rFonts w:ascii="Times New Roman" w:hAnsi="Times New Roman" w:cs="Times New Roman"/>
          <w:b/>
          <w:lang w:eastAsia="sk-SK"/>
        </w:rPr>
      </w:pPr>
      <w:r w:rsidRPr="005F654E">
        <w:rPr>
          <w:rFonts w:ascii="Times New Roman" w:hAnsi="Times New Roman" w:cs="Times New Roman"/>
          <w:b/>
          <w:lang w:eastAsia="sk-SK"/>
        </w:rPr>
        <w:t>Priame platby</w:t>
      </w:r>
    </w:p>
    <w:p w:rsidR="003A497B" w:rsidRPr="005F654E" w:rsidRDefault="003A497B" w:rsidP="003A497B">
      <w:pPr>
        <w:jc w:val="both"/>
        <w:rPr>
          <w:rFonts w:ascii="Times New Roman" w:hAnsi="Times New Roman" w:cs="Times New Roman"/>
          <w:b/>
          <w:lang w:eastAsia="sk-SK"/>
        </w:rPr>
      </w:pPr>
    </w:p>
    <w:tbl>
      <w:tblPr>
        <w:tblW w:w="5000" w:type="pct"/>
        <w:tblCellMar>
          <w:left w:w="70" w:type="dxa"/>
          <w:right w:w="70" w:type="dxa"/>
        </w:tblCellMar>
        <w:tblLook w:val="04A0" w:firstRow="1" w:lastRow="0" w:firstColumn="1" w:lastColumn="0" w:noHBand="0" w:noVBand="1"/>
      </w:tblPr>
      <w:tblGrid>
        <w:gridCol w:w="2508"/>
        <w:gridCol w:w="937"/>
        <w:gridCol w:w="937"/>
        <w:gridCol w:w="937"/>
        <w:gridCol w:w="937"/>
        <w:gridCol w:w="937"/>
        <w:gridCol w:w="937"/>
        <w:gridCol w:w="932"/>
      </w:tblGrid>
      <w:tr w:rsidR="003A497B" w:rsidRPr="005F654E" w:rsidTr="003E1809">
        <w:trPr>
          <w:trHeight w:val="252"/>
        </w:trPr>
        <w:tc>
          <w:tcPr>
            <w:tcW w:w="1384"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v eurách</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2016 S</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2017 S</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2018 R</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2018 OS</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2019 N</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2020 N</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2021 N</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 xml:space="preserve">Priame platby </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408 006 533</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410 428 257</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467 160 159</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467 160 159</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472 148 131</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470 767 761</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6 462 242</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prostriedky EÚ</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274 576 607</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238 458 080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444 636 000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286 852 705</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448 155 000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451 659 000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6 462 242</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spolufinancovanie zo ŠR</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3 179 000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3 158 000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3 519 000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3 519 000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prechodná vnútroštátna platba</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4 789 393</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4 471 642</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19 005 159</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19 005 159</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23 993 131</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19 108 761</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presun z minulých rokov</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125 461 533</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164 340 535</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157 783 295</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r>
    </w:tbl>
    <w:p w:rsidR="003A497B" w:rsidRPr="005F654E" w:rsidRDefault="003A497B" w:rsidP="003A497B">
      <w:pPr>
        <w:jc w:val="both"/>
        <w:rPr>
          <w:rFonts w:ascii="Times New Roman" w:hAnsi="Times New Roman" w:cs="Times New Roman"/>
          <w:noProof/>
          <w:lang w:eastAsia="sk-SK"/>
        </w:rPr>
      </w:pPr>
    </w:p>
    <w:p w:rsidR="003A497B" w:rsidRPr="005F654E" w:rsidRDefault="003A497B" w:rsidP="003A497B">
      <w:pPr>
        <w:ind w:firstLine="708"/>
        <w:jc w:val="both"/>
        <w:rPr>
          <w:rFonts w:ascii="Times New Roman" w:hAnsi="Times New Roman" w:cs="Times New Roman"/>
          <w:noProof/>
          <w:lang w:eastAsia="sk-SK"/>
        </w:rPr>
      </w:pPr>
      <w:r w:rsidRPr="005F654E">
        <w:rPr>
          <w:rFonts w:ascii="Times New Roman" w:hAnsi="Times New Roman" w:cs="Times New Roman"/>
          <w:noProof/>
          <w:lang w:eastAsia="sk-SK"/>
        </w:rPr>
        <w:t>Priame platby predstavujú dotácie na zachovanie poľnohospodárskej produkcie podľa vopred stanovených výrobných kvót. Stabilizujú príjmy farmárov, zlepšujú konkurenčnú pozíciu farmárov, zabraňujú negatívnemu vplyvu cezhraničnej dotačnej konkurencie z okolitých krajín, rozvíjajú odvetvia tvoriace pridanú hodnotu na území SR a revitalizujú živočíšnu výrobu.</w:t>
      </w:r>
    </w:p>
    <w:p w:rsidR="003A497B" w:rsidRPr="005F654E" w:rsidRDefault="003A497B" w:rsidP="003A497B">
      <w:pPr>
        <w:jc w:val="both"/>
        <w:rPr>
          <w:rFonts w:ascii="Times New Roman" w:hAnsi="Times New Roman" w:cs="Times New Roman"/>
          <w:noProof/>
          <w:lang w:eastAsia="sk-SK"/>
        </w:rPr>
      </w:pPr>
    </w:p>
    <w:p w:rsidR="003A497B" w:rsidRPr="005F654E" w:rsidRDefault="003A497B" w:rsidP="003A497B">
      <w:pPr>
        <w:ind w:firstLine="708"/>
        <w:jc w:val="both"/>
        <w:rPr>
          <w:rFonts w:ascii="Times New Roman" w:hAnsi="Times New Roman" w:cs="Times New Roman"/>
          <w:noProof/>
          <w:lang w:eastAsia="sk-SK"/>
        </w:rPr>
      </w:pPr>
      <w:r w:rsidRPr="005F654E">
        <w:rPr>
          <w:rFonts w:ascii="Times New Roman" w:hAnsi="Times New Roman" w:cs="Times New Roman"/>
          <w:noProof/>
          <w:lang w:eastAsia="sk-SK"/>
        </w:rPr>
        <w:t>V porovnaní so schváleným rozpočtom roku 2018</w:t>
      </w:r>
      <w:r w:rsidRPr="005F654E">
        <w:rPr>
          <w:rFonts w:ascii="Times New Roman" w:hAnsi="Times New Roman" w:cs="Times New Roman"/>
          <w:b/>
          <w:noProof/>
          <w:lang w:eastAsia="sk-SK"/>
        </w:rPr>
        <w:t xml:space="preserve"> </w:t>
      </w:r>
      <w:r w:rsidRPr="005F654E">
        <w:rPr>
          <w:rFonts w:ascii="Times New Roman" w:hAnsi="Times New Roman" w:cs="Times New Roman"/>
          <w:noProof/>
          <w:lang w:eastAsia="sk-SK"/>
        </w:rPr>
        <w:t>sú priame platby vyššie o </w:t>
      </w:r>
      <w:r>
        <w:rPr>
          <w:rFonts w:ascii="Times New Roman" w:hAnsi="Times New Roman" w:cs="Times New Roman"/>
          <w:noProof/>
          <w:lang w:eastAsia="sk-SK"/>
        </w:rPr>
        <w:br/>
      </w:r>
      <w:r w:rsidRPr="005F654E">
        <w:rPr>
          <w:rFonts w:ascii="Times New Roman" w:hAnsi="Times New Roman" w:cs="Times New Roman"/>
          <w:noProof/>
          <w:lang w:eastAsia="sk-SK"/>
        </w:rPr>
        <w:t xml:space="preserve">4,99 mil. eur, t. j. o 1,07 %. </w:t>
      </w:r>
      <w:r>
        <w:rPr>
          <w:rFonts w:ascii="Times New Roman" w:hAnsi="Times New Roman" w:cs="Times New Roman"/>
          <w:noProof/>
          <w:lang w:eastAsia="sk-SK"/>
        </w:rPr>
        <w:t>V</w:t>
      </w:r>
      <w:r w:rsidRPr="005F654E">
        <w:rPr>
          <w:rFonts w:ascii="Times New Roman" w:hAnsi="Times New Roman" w:cs="Times New Roman"/>
          <w:noProof/>
          <w:lang w:eastAsia="sk-SK"/>
        </w:rPr>
        <w:t xml:space="preserve"> rámci týchto prostriedkov je rozpočtovaná aj prechodná vnútroštátna platba, ktorá je na rok 2019 navrhnutá v sume 24,0 mil. eur v súlade s Koncepciou rozvoja pôdohospodárstva SR na roky 2013 – 2020. </w:t>
      </w:r>
    </w:p>
    <w:p w:rsidR="003A497B" w:rsidRPr="005F654E" w:rsidRDefault="003A497B" w:rsidP="003A497B">
      <w:pPr>
        <w:jc w:val="both"/>
        <w:rPr>
          <w:rFonts w:ascii="Arial Narrow" w:hAnsi="Arial Narrow" w:cs="Times New Roman"/>
          <w:b/>
          <w:sz w:val="22"/>
          <w:szCs w:val="22"/>
          <w:lang w:eastAsia="sk-SK"/>
        </w:rPr>
      </w:pPr>
    </w:p>
    <w:p w:rsidR="003A497B" w:rsidRPr="005F654E" w:rsidRDefault="003A497B" w:rsidP="003A497B">
      <w:pPr>
        <w:jc w:val="both"/>
        <w:rPr>
          <w:rFonts w:ascii="Times New Roman" w:hAnsi="Times New Roman" w:cs="Times New Roman"/>
          <w:b/>
          <w:lang w:eastAsia="sk-SK"/>
        </w:rPr>
      </w:pPr>
      <w:r w:rsidRPr="005F654E">
        <w:rPr>
          <w:rFonts w:ascii="Times New Roman" w:hAnsi="Times New Roman" w:cs="Times New Roman"/>
          <w:b/>
          <w:lang w:eastAsia="sk-SK"/>
        </w:rPr>
        <w:t>Rozvoj vidieka</w:t>
      </w:r>
    </w:p>
    <w:p w:rsidR="003A497B" w:rsidRPr="005F654E" w:rsidRDefault="003A497B" w:rsidP="003A497B">
      <w:pPr>
        <w:jc w:val="both"/>
        <w:rPr>
          <w:rFonts w:ascii="Times New Roman" w:hAnsi="Times New Roman" w:cs="Times New Roman"/>
          <w:b/>
          <w:lang w:eastAsia="sk-SK"/>
        </w:rPr>
      </w:pPr>
    </w:p>
    <w:tbl>
      <w:tblPr>
        <w:tblW w:w="5000" w:type="pct"/>
        <w:tblLayout w:type="fixed"/>
        <w:tblCellMar>
          <w:left w:w="70" w:type="dxa"/>
          <w:right w:w="70" w:type="dxa"/>
        </w:tblCellMar>
        <w:tblLook w:val="04A0" w:firstRow="1" w:lastRow="0" w:firstColumn="1" w:lastColumn="0" w:noHBand="0" w:noVBand="1"/>
      </w:tblPr>
      <w:tblGrid>
        <w:gridCol w:w="2508"/>
        <w:gridCol w:w="937"/>
        <w:gridCol w:w="937"/>
        <w:gridCol w:w="937"/>
        <w:gridCol w:w="937"/>
        <w:gridCol w:w="937"/>
        <w:gridCol w:w="937"/>
        <w:gridCol w:w="932"/>
      </w:tblGrid>
      <w:tr w:rsidR="003A497B" w:rsidRPr="005F654E" w:rsidTr="003E1809">
        <w:trPr>
          <w:trHeight w:val="252"/>
        </w:trPr>
        <w:tc>
          <w:tcPr>
            <w:tcW w:w="1384"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v eurách</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2016 S</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2017 S</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2018 R</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2018 OS</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2019 N</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2020 N</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2021 N</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000000" w:fill="C0C0C0"/>
            <w:noWrap/>
            <w:vAlign w:val="bottom"/>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 xml:space="preserve">Rozvoj vidieka </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162 419 206</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231 951 482</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309 440 402</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180 932 731</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300 562 902</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317 420 851</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42 490</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prostriedky EÚ</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40 843 667</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40 067 847</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229 616 492</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32 158 254</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224 458 327</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233 989 722</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30 671</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spolufinancovanie zo ŠR</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14 407 191</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15 656 677</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79 823 910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11 842 342</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76 104 575</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83 431 129</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11 819</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presun z minulých rokov</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107 168 348</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176 226 958</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136 932 135</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r>
    </w:tbl>
    <w:p w:rsidR="003A497B" w:rsidRPr="005F654E" w:rsidRDefault="003A497B" w:rsidP="003A497B">
      <w:pPr>
        <w:jc w:val="both"/>
        <w:rPr>
          <w:rFonts w:ascii="Times New Roman" w:hAnsi="Times New Roman" w:cs="Times New Roman"/>
          <w:noProof/>
          <w:lang w:eastAsia="sk-SK"/>
        </w:rPr>
      </w:pPr>
    </w:p>
    <w:p w:rsidR="003A497B" w:rsidRPr="005F654E" w:rsidRDefault="003A497B" w:rsidP="003A497B">
      <w:pPr>
        <w:ind w:firstLine="708"/>
        <w:jc w:val="both"/>
        <w:rPr>
          <w:rFonts w:ascii="Times New Roman" w:hAnsi="Times New Roman" w:cs="Times New Roman"/>
          <w:lang w:eastAsia="sk-SK"/>
        </w:rPr>
      </w:pPr>
      <w:r w:rsidRPr="005F654E">
        <w:rPr>
          <w:rFonts w:ascii="Times New Roman" w:hAnsi="Times New Roman" w:cs="Times New Roman"/>
          <w:noProof/>
          <w:lang w:eastAsia="sk-SK"/>
        </w:rPr>
        <w:t>Výdavky na rozvoj vidieka sú oproti schválenému rozpočtu roku 2018 nižšie o </w:t>
      </w:r>
      <w:r>
        <w:rPr>
          <w:rFonts w:ascii="Times New Roman" w:hAnsi="Times New Roman" w:cs="Times New Roman"/>
          <w:noProof/>
          <w:lang w:eastAsia="sk-SK"/>
        </w:rPr>
        <w:br/>
      </w:r>
      <w:r w:rsidRPr="005F654E">
        <w:rPr>
          <w:rFonts w:ascii="Times New Roman" w:hAnsi="Times New Roman" w:cs="Times New Roman"/>
          <w:noProof/>
          <w:lang w:eastAsia="sk-SK"/>
        </w:rPr>
        <w:t xml:space="preserve">8,88 mil. eur, t. j. o 2,87 %. Medziročné zníženie týchto výdavkov je spôsobené </w:t>
      </w:r>
      <w:r w:rsidRPr="005F654E">
        <w:rPr>
          <w:rFonts w:ascii="Times New Roman" w:hAnsi="Times New Roman" w:cs="Times New Roman"/>
          <w:lang w:eastAsia="sk-SK"/>
        </w:rPr>
        <w:t>poklesom zdrojov EÚ a spolufinancovania.</w:t>
      </w:r>
    </w:p>
    <w:p w:rsidR="003A497B" w:rsidRPr="005F654E" w:rsidRDefault="003A497B" w:rsidP="003A497B">
      <w:pPr>
        <w:rPr>
          <w:rFonts w:ascii="Times New Roman" w:hAnsi="Times New Roman" w:cs="Times New Roman"/>
          <w:b/>
          <w:lang w:eastAsia="sk-SK"/>
        </w:rPr>
      </w:pPr>
    </w:p>
    <w:p w:rsidR="003A497B" w:rsidRPr="005F654E" w:rsidRDefault="003A497B" w:rsidP="003A497B">
      <w:pPr>
        <w:rPr>
          <w:rFonts w:ascii="Times New Roman" w:hAnsi="Times New Roman" w:cs="Times New Roman"/>
          <w:b/>
          <w:lang w:eastAsia="sk-SK"/>
        </w:rPr>
      </w:pPr>
      <w:r w:rsidRPr="005F654E">
        <w:rPr>
          <w:rFonts w:ascii="Times New Roman" w:hAnsi="Times New Roman" w:cs="Times New Roman"/>
          <w:b/>
          <w:lang w:eastAsia="sk-SK"/>
        </w:rPr>
        <w:t>Rybné hospodárstvo</w:t>
      </w:r>
    </w:p>
    <w:p w:rsidR="003A497B" w:rsidRPr="005F654E" w:rsidRDefault="003A497B" w:rsidP="003A497B">
      <w:pPr>
        <w:rPr>
          <w:rFonts w:ascii="Times New Roman" w:hAnsi="Times New Roman" w:cs="Times New Roman"/>
          <w:b/>
          <w:lang w:eastAsia="sk-SK"/>
        </w:rPr>
      </w:pPr>
    </w:p>
    <w:tbl>
      <w:tblPr>
        <w:tblW w:w="5000" w:type="pct"/>
        <w:tblCellMar>
          <w:left w:w="70" w:type="dxa"/>
          <w:right w:w="70" w:type="dxa"/>
        </w:tblCellMar>
        <w:tblLook w:val="04A0" w:firstRow="1" w:lastRow="0" w:firstColumn="1" w:lastColumn="0" w:noHBand="0" w:noVBand="1"/>
      </w:tblPr>
      <w:tblGrid>
        <w:gridCol w:w="2508"/>
        <w:gridCol w:w="937"/>
        <w:gridCol w:w="937"/>
        <w:gridCol w:w="937"/>
        <w:gridCol w:w="937"/>
        <w:gridCol w:w="937"/>
        <w:gridCol w:w="937"/>
        <w:gridCol w:w="932"/>
      </w:tblGrid>
      <w:tr w:rsidR="003A497B" w:rsidRPr="005F654E" w:rsidTr="003E1809">
        <w:trPr>
          <w:trHeight w:val="252"/>
        </w:trPr>
        <w:tc>
          <w:tcPr>
            <w:tcW w:w="1384"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v eurách</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2016 S</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2017 S</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2018 R</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2018 OS</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2019 N</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2020 N</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2021 N</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 xml:space="preserve">Rybné hospodárstvo </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413 467</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0</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1 213 787</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3 366 115</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4 068 343</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4 728 285</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3 154 841</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xml:space="preserve">prostriedky EÚ </w:t>
            </w:r>
          </w:p>
        </w:tc>
        <w:tc>
          <w:tcPr>
            <w:tcW w:w="517" w:type="pct"/>
            <w:tcBorders>
              <w:top w:val="nil"/>
              <w:left w:val="nil"/>
              <w:bottom w:val="single" w:sz="4" w:space="0" w:color="auto"/>
              <w:right w:val="single" w:sz="4" w:space="0" w:color="auto"/>
            </w:tcBorders>
            <w:shd w:val="clear" w:color="000000" w:fill="FFFFFF"/>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000000" w:fill="FFFFFF"/>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950 195</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950 195</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3 091 402</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3 582 253</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2 389 745</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xml:space="preserve">spolufinancovanie zo ŠR </w:t>
            </w:r>
          </w:p>
        </w:tc>
        <w:tc>
          <w:tcPr>
            <w:tcW w:w="517" w:type="pct"/>
            <w:tcBorders>
              <w:top w:val="nil"/>
              <w:left w:val="nil"/>
              <w:bottom w:val="single" w:sz="4" w:space="0" w:color="auto"/>
              <w:right w:val="single" w:sz="4" w:space="0" w:color="auto"/>
            </w:tcBorders>
            <w:shd w:val="clear" w:color="000000" w:fill="FFFFFF"/>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000000" w:fill="FFFFFF"/>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263 592</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263 592</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976 941</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1 146 032</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765 096</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presun z minulých rokov</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413 467</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2 152 328</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r>
    </w:tbl>
    <w:p w:rsidR="003A497B" w:rsidRPr="005F654E" w:rsidRDefault="003A497B" w:rsidP="003A497B">
      <w:pPr>
        <w:jc w:val="both"/>
        <w:rPr>
          <w:rFonts w:ascii="Times New Roman" w:hAnsi="Times New Roman" w:cs="Times New Roman"/>
          <w:noProof/>
          <w:lang w:eastAsia="sk-SK"/>
        </w:rPr>
      </w:pPr>
    </w:p>
    <w:p w:rsidR="003A497B" w:rsidRPr="005F654E" w:rsidRDefault="003A497B" w:rsidP="003A497B">
      <w:pPr>
        <w:ind w:firstLine="708"/>
        <w:jc w:val="both"/>
        <w:rPr>
          <w:rFonts w:ascii="Times New Roman" w:hAnsi="Times New Roman" w:cs="Times New Roman"/>
          <w:noProof/>
          <w:lang w:eastAsia="sk-SK"/>
        </w:rPr>
      </w:pPr>
      <w:r w:rsidRPr="005F654E">
        <w:rPr>
          <w:rFonts w:ascii="Times New Roman" w:hAnsi="Times New Roman" w:cs="Times New Roman"/>
          <w:noProof/>
          <w:lang w:eastAsia="sk-SK"/>
        </w:rPr>
        <w:lastRenderedPageBreak/>
        <w:t xml:space="preserve">Výdavky na podporu, ktorou sa zabezpečuje modernizácia existujúcich rybochovných zariadení, resp. dobudovanie a obstaranie chýbajúcich technológií, infraštruktúry alebo iných výrobných objektov, efektívna koordinácia zberu údajov v sektore akvakultúry a spracovania rýb v súlade s požiadavkami legislatívy EÚ sú oproti schválenému rozpočtu roku 2018 vyššie o 2,85 mil. eur. </w:t>
      </w:r>
    </w:p>
    <w:p w:rsidR="003A497B" w:rsidRPr="005F654E" w:rsidRDefault="003A497B" w:rsidP="003A497B">
      <w:pPr>
        <w:jc w:val="both"/>
        <w:rPr>
          <w:rFonts w:ascii="Times New Roman" w:hAnsi="Times New Roman" w:cs="Times New Roman"/>
          <w:noProof/>
          <w:lang w:eastAsia="sk-SK"/>
        </w:rPr>
      </w:pPr>
    </w:p>
    <w:p w:rsidR="003A497B" w:rsidRPr="005F654E" w:rsidRDefault="003A497B" w:rsidP="003A497B">
      <w:pPr>
        <w:jc w:val="both"/>
        <w:rPr>
          <w:rFonts w:ascii="Times New Roman" w:hAnsi="Times New Roman" w:cs="Times New Roman"/>
          <w:b/>
          <w:lang w:eastAsia="sk-SK"/>
        </w:rPr>
      </w:pPr>
      <w:r w:rsidRPr="005F654E">
        <w:rPr>
          <w:rFonts w:ascii="Times New Roman" w:hAnsi="Times New Roman" w:cs="Times New Roman"/>
          <w:b/>
          <w:lang w:eastAsia="sk-SK"/>
        </w:rPr>
        <w:t>Trhovo-orientované výdavky</w:t>
      </w:r>
    </w:p>
    <w:p w:rsidR="003A497B" w:rsidRPr="005F654E" w:rsidRDefault="003A497B" w:rsidP="003A497B">
      <w:pPr>
        <w:jc w:val="both"/>
        <w:rPr>
          <w:rFonts w:ascii="Times New Roman" w:hAnsi="Times New Roman" w:cs="Times New Roman"/>
          <w:b/>
          <w:lang w:eastAsia="sk-SK"/>
        </w:rPr>
      </w:pPr>
    </w:p>
    <w:tbl>
      <w:tblPr>
        <w:tblW w:w="5000" w:type="pct"/>
        <w:tblCellMar>
          <w:left w:w="70" w:type="dxa"/>
          <w:right w:w="70" w:type="dxa"/>
        </w:tblCellMar>
        <w:tblLook w:val="04A0" w:firstRow="1" w:lastRow="0" w:firstColumn="1" w:lastColumn="0" w:noHBand="0" w:noVBand="1"/>
      </w:tblPr>
      <w:tblGrid>
        <w:gridCol w:w="2508"/>
        <w:gridCol w:w="937"/>
        <w:gridCol w:w="937"/>
        <w:gridCol w:w="937"/>
        <w:gridCol w:w="937"/>
        <w:gridCol w:w="937"/>
        <w:gridCol w:w="937"/>
        <w:gridCol w:w="932"/>
      </w:tblGrid>
      <w:tr w:rsidR="003A497B" w:rsidRPr="005F654E" w:rsidTr="003E1809">
        <w:trPr>
          <w:trHeight w:val="252"/>
        </w:trPr>
        <w:tc>
          <w:tcPr>
            <w:tcW w:w="1384"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v eurách</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2016 S</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2017 S</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2018 R</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2018 OS</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2019 N</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2020 N</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2021 N</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000000" w:fill="BFBFBF"/>
            <w:vAlign w:val="bottom"/>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Trhovo-orientované výdavky</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11 509 048</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17 335 150</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16 400 000</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9 105 522</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16 400 000</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16 800 000</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2 585 055</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prostriedky EÚ</w:t>
            </w:r>
          </w:p>
        </w:tc>
        <w:tc>
          <w:tcPr>
            <w:tcW w:w="517" w:type="pct"/>
            <w:tcBorders>
              <w:top w:val="nil"/>
              <w:left w:val="nil"/>
              <w:bottom w:val="single" w:sz="4" w:space="0" w:color="auto"/>
              <w:right w:val="single" w:sz="4" w:space="0" w:color="auto"/>
            </w:tcBorders>
            <w:shd w:val="clear" w:color="000000" w:fill="FFFFFF"/>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7 930 721</w:t>
            </w:r>
          </w:p>
        </w:tc>
        <w:tc>
          <w:tcPr>
            <w:tcW w:w="517" w:type="pct"/>
            <w:tcBorders>
              <w:top w:val="nil"/>
              <w:left w:val="nil"/>
              <w:bottom w:val="single" w:sz="4" w:space="0" w:color="auto"/>
              <w:right w:val="single" w:sz="4" w:space="0" w:color="auto"/>
            </w:tcBorders>
            <w:shd w:val="clear" w:color="000000" w:fill="FFFFFF"/>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8 075 275</w:t>
            </w:r>
          </w:p>
        </w:tc>
        <w:tc>
          <w:tcPr>
            <w:tcW w:w="517" w:type="pct"/>
            <w:tcBorders>
              <w:top w:val="nil"/>
              <w:left w:val="nil"/>
              <w:bottom w:val="single" w:sz="4" w:space="0" w:color="auto"/>
              <w:right w:val="single" w:sz="4" w:space="0" w:color="auto"/>
            </w:tcBorders>
            <w:shd w:val="clear" w:color="auto" w:fill="auto"/>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12 000 000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3 897 292</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12 000 000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12 000 000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2 585 055</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spolufinancovanie zo ŠR</w:t>
            </w:r>
          </w:p>
        </w:tc>
        <w:tc>
          <w:tcPr>
            <w:tcW w:w="517" w:type="pct"/>
            <w:tcBorders>
              <w:top w:val="nil"/>
              <w:left w:val="nil"/>
              <w:bottom w:val="single" w:sz="4" w:space="0" w:color="auto"/>
              <w:right w:val="single" w:sz="4" w:space="0" w:color="auto"/>
            </w:tcBorders>
            <w:shd w:val="clear" w:color="000000" w:fill="FFFFFF"/>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1 927 434</w:t>
            </w:r>
          </w:p>
        </w:tc>
        <w:tc>
          <w:tcPr>
            <w:tcW w:w="517" w:type="pct"/>
            <w:tcBorders>
              <w:top w:val="nil"/>
              <w:left w:val="nil"/>
              <w:bottom w:val="single" w:sz="4" w:space="0" w:color="auto"/>
              <w:right w:val="single" w:sz="4" w:space="0" w:color="auto"/>
            </w:tcBorders>
            <w:shd w:val="clear" w:color="000000" w:fill="FFFFFF"/>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3 518 029</w:t>
            </w:r>
          </w:p>
        </w:tc>
        <w:tc>
          <w:tcPr>
            <w:tcW w:w="517" w:type="pct"/>
            <w:tcBorders>
              <w:top w:val="nil"/>
              <w:left w:val="nil"/>
              <w:bottom w:val="single" w:sz="4" w:space="0" w:color="auto"/>
              <w:right w:val="single" w:sz="4" w:space="0" w:color="auto"/>
            </w:tcBorders>
            <w:shd w:val="clear" w:color="auto" w:fill="auto"/>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4 400 000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1 212 467</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4 400 000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4 800 000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presun z minulých rokov</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1 650 893</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5 741 846</w:t>
            </w:r>
          </w:p>
        </w:tc>
        <w:tc>
          <w:tcPr>
            <w:tcW w:w="517" w:type="pct"/>
            <w:tcBorders>
              <w:top w:val="nil"/>
              <w:left w:val="nil"/>
              <w:bottom w:val="single" w:sz="4" w:space="0" w:color="auto"/>
              <w:right w:val="single" w:sz="4" w:space="0" w:color="auto"/>
            </w:tcBorders>
            <w:shd w:val="clear" w:color="auto" w:fill="auto"/>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3 995 763</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r>
    </w:tbl>
    <w:p w:rsidR="003A497B" w:rsidRPr="005F654E" w:rsidRDefault="003A497B" w:rsidP="003A497B">
      <w:pPr>
        <w:jc w:val="both"/>
        <w:rPr>
          <w:rFonts w:ascii="Times New Roman" w:hAnsi="Times New Roman" w:cs="Times New Roman"/>
          <w:noProof/>
          <w:lang w:eastAsia="sk-SK"/>
        </w:rPr>
      </w:pPr>
    </w:p>
    <w:p w:rsidR="003A497B" w:rsidRPr="005F654E" w:rsidRDefault="003A497B" w:rsidP="003A497B">
      <w:pPr>
        <w:ind w:firstLine="708"/>
        <w:jc w:val="both"/>
        <w:rPr>
          <w:rFonts w:ascii="Times New Roman" w:hAnsi="Times New Roman" w:cs="Times New Roman"/>
          <w:noProof/>
          <w:lang w:eastAsia="sk-SK"/>
        </w:rPr>
      </w:pPr>
      <w:r w:rsidRPr="005F654E">
        <w:rPr>
          <w:rFonts w:ascii="Times New Roman" w:hAnsi="Times New Roman" w:cs="Times New Roman"/>
          <w:noProof/>
          <w:lang w:eastAsia="sk-SK"/>
        </w:rPr>
        <w:t xml:space="preserve">Trhovo orientované výdavky sú výdavky na trhové opatrenia, ktoré sa realizujú </w:t>
      </w:r>
      <w:r w:rsidRPr="005F654E">
        <w:rPr>
          <w:rFonts w:ascii="Times New Roman" w:hAnsi="Times New Roman" w:cs="Times New Roman"/>
          <w:noProof/>
          <w:lang w:eastAsia="sk-SK"/>
        </w:rPr>
        <w:br/>
        <w:t>na základe záväzných nariadení, ktorými sa uskutočňuje spoločná organizácia trhu v EÚ.</w:t>
      </w:r>
      <w:r w:rsidRPr="005F654E">
        <w:rPr>
          <w:rFonts w:ascii="Times New Roman" w:hAnsi="Times New Roman" w:cs="Times New Roman"/>
          <w:noProof/>
          <w:lang w:eastAsia="sk-SK"/>
        </w:rPr>
        <w:br/>
        <w:t xml:space="preserve">Vo všeobecnosti ich možno rozdeliť na intervencie určené na reguláciu poľnohospodárskych trhov, náhrady stanovené za vývoz poľnohospodárskych výrobkov do tretích krajín a iné podporné opatrenia v zmysle spoločnej organizácie trhu v rámci EÚ ako sú výrobné náhrady, podpory v sektore ovocia a zeleniny, špecifické opatrenia vo vinohradníckom sektore </w:t>
      </w:r>
      <w:r>
        <w:rPr>
          <w:rFonts w:ascii="Times New Roman" w:hAnsi="Times New Roman" w:cs="Times New Roman"/>
          <w:noProof/>
          <w:lang w:eastAsia="sk-SK"/>
        </w:rPr>
        <w:br/>
      </w:r>
      <w:r w:rsidRPr="005F654E">
        <w:rPr>
          <w:rFonts w:ascii="Times New Roman" w:hAnsi="Times New Roman" w:cs="Times New Roman"/>
          <w:noProof/>
          <w:lang w:eastAsia="sk-SK"/>
        </w:rPr>
        <w:t xml:space="preserve">(napr. reštrukturalizácia a konverzia vinohradov a ďalšie opatrenia), podpora spotreby školského mlieka a mliečnych výrobkov a ďalšie opatrenia. </w:t>
      </w:r>
    </w:p>
    <w:p w:rsidR="003A497B" w:rsidRPr="005F654E" w:rsidRDefault="003A497B" w:rsidP="003A497B">
      <w:pPr>
        <w:ind w:firstLine="708"/>
        <w:jc w:val="both"/>
        <w:rPr>
          <w:rFonts w:ascii="Times New Roman" w:hAnsi="Times New Roman" w:cs="Times New Roman"/>
          <w:noProof/>
          <w:lang w:eastAsia="sk-SK"/>
        </w:rPr>
      </w:pPr>
    </w:p>
    <w:p w:rsidR="003A497B" w:rsidRDefault="003A497B" w:rsidP="003A497B">
      <w:pPr>
        <w:ind w:firstLine="708"/>
        <w:jc w:val="both"/>
        <w:rPr>
          <w:rFonts w:ascii="Times New Roman" w:hAnsi="Times New Roman" w:cs="Times New Roman"/>
          <w:noProof/>
          <w:lang w:eastAsia="sk-SK"/>
        </w:rPr>
      </w:pPr>
      <w:r w:rsidRPr="005F654E">
        <w:rPr>
          <w:rFonts w:ascii="Times New Roman" w:hAnsi="Times New Roman" w:cs="Times New Roman"/>
          <w:noProof/>
          <w:lang w:eastAsia="sk-SK"/>
        </w:rPr>
        <w:t>Výdavky na trhovo-orientované výdavky sú na rok 2019 rozpočtované na úrovni schváleného rozpočtu roku 2018 v celkovej sume 16,4 mil. eur.</w:t>
      </w:r>
    </w:p>
    <w:p w:rsidR="003A497B" w:rsidRDefault="003A497B" w:rsidP="003A497B">
      <w:pPr>
        <w:ind w:firstLine="708"/>
        <w:jc w:val="both"/>
        <w:rPr>
          <w:rFonts w:ascii="Times New Roman" w:hAnsi="Times New Roman" w:cs="Times New Roman"/>
          <w:noProof/>
          <w:lang w:eastAsia="sk-SK"/>
        </w:rPr>
      </w:pPr>
    </w:p>
    <w:p w:rsidR="003A497B" w:rsidRPr="005F654E" w:rsidRDefault="003A497B" w:rsidP="003A497B">
      <w:pPr>
        <w:jc w:val="both"/>
        <w:rPr>
          <w:rFonts w:ascii="Times New Roman" w:hAnsi="Times New Roman" w:cs="Times New Roman"/>
          <w:b/>
          <w:lang w:eastAsia="sk-SK"/>
        </w:rPr>
      </w:pPr>
      <w:r w:rsidRPr="005F654E">
        <w:rPr>
          <w:rFonts w:ascii="Times New Roman" w:hAnsi="Times New Roman" w:cs="Times New Roman"/>
          <w:b/>
          <w:lang w:eastAsia="sk-SK"/>
        </w:rPr>
        <w:t>Štátna pomoc</w:t>
      </w:r>
    </w:p>
    <w:p w:rsidR="003A497B" w:rsidRPr="005F654E" w:rsidRDefault="003A497B" w:rsidP="003A497B">
      <w:pPr>
        <w:jc w:val="both"/>
        <w:rPr>
          <w:rFonts w:ascii="Times New Roman" w:hAnsi="Times New Roman" w:cs="Times New Roman"/>
          <w:b/>
          <w:lang w:eastAsia="sk-SK"/>
        </w:rPr>
      </w:pPr>
    </w:p>
    <w:tbl>
      <w:tblPr>
        <w:tblW w:w="5000" w:type="pct"/>
        <w:tblCellMar>
          <w:left w:w="70" w:type="dxa"/>
          <w:right w:w="70" w:type="dxa"/>
        </w:tblCellMar>
        <w:tblLook w:val="04A0" w:firstRow="1" w:lastRow="0" w:firstColumn="1" w:lastColumn="0" w:noHBand="0" w:noVBand="1"/>
      </w:tblPr>
      <w:tblGrid>
        <w:gridCol w:w="2508"/>
        <w:gridCol w:w="937"/>
        <w:gridCol w:w="937"/>
        <w:gridCol w:w="937"/>
        <w:gridCol w:w="937"/>
        <w:gridCol w:w="937"/>
        <w:gridCol w:w="937"/>
        <w:gridCol w:w="932"/>
      </w:tblGrid>
      <w:tr w:rsidR="003A497B" w:rsidRPr="005F654E" w:rsidTr="003E1809">
        <w:trPr>
          <w:trHeight w:val="252"/>
        </w:trPr>
        <w:tc>
          <w:tcPr>
            <w:tcW w:w="1384" w:type="pct"/>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v eurách</w:t>
            </w:r>
          </w:p>
        </w:tc>
        <w:tc>
          <w:tcPr>
            <w:tcW w:w="517" w:type="pct"/>
            <w:tcBorders>
              <w:top w:val="single" w:sz="4" w:space="0" w:color="auto"/>
              <w:left w:val="nil"/>
              <w:bottom w:val="single" w:sz="4" w:space="0" w:color="auto"/>
              <w:right w:val="single" w:sz="4" w:space="0" w:color="auto"/>
            </w:tcBorders>
            <w:shd w:val="clear" w:color="000000" w:fill="A5A5A5"/>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2016 S</w:t>
            </w:r>
          </w:p>
        </w:tc>
        <w:tc>
          <w:tcPr>
            <w:tcW w:w="517" w:type="pct"/>
            <w:tcBorders>
              <w:top w:val="single" w:sz="4" w:space="0" w:color="auto"/>
              <w:left w:val="nil"/>
              <w:bottom w:val="single" w:sz="4" w:space="0" w:color="auto"/>
              <w:right w:val="single" w:sz="4" w:space="0" w:color="auto"/>
            </w:tcBorders>
            <w:shd w:val="clear" w:color="000000" w:fill="A5A5A5"/>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2017 S</w:t>
            </w:r>
          </w:p>
        </w:tc>
        <w:tc>
          <w:tcPr>
            <w:tcW w:w="517" w:type="pct"/>
            <w:tcBorders>
              <w:top w:val="single" w:sz="4" w:space="0" w:color="auto"/>
              <w:left w:val="nil"/>
              <w:bottom w:val="single" w:sz="4" w:space="0" w:color="auto"/>
              <w:right w:val="single" w:sz="4" w:space="0" w:color="auto"/>
            </w:tcBorders>
            <w:shd w:val="clear" w:color="000000" w:fill="A5A5A5"/>
            <w:noWrap/>
            <w:vAlign w:val="center"/>
            <w:hideMark/>
          </w:tcPr>
          <w:p w:rsidR="003A497B" w:rsidRPr="005F654E" w:rsidRDefault="003A497B" w:rsidP="004650BC">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 xml:space="preserve">2018 </w:t>
            </w:r>
            <w:r w:rsidR="004650BC">
              <w:rPr>
                <w:rFonts w:ascii="Times New Roman" w:hAnsi="Times New Roman" w:cs="Times New Roman"/>
                <w:b/>
                <w:bCs/>
                <w:color w:val="000000"/>
                <w:sz w:val="14"/>
                <w:szCs w:val="14"/>
                <w:lang w:eastAsia="sk-SK"/>
              </w:rPr>
              <w:t>R</w:t>
            </w:r>
          </w:p>
        </w:tc>
        <w:tc>
          <w:tcPr>
            <w:tcW w:w="517" w:type="pct"/>
            <w:tcBorders>
              <w:top w:val="single" w:sz="4" w:space="0" w:color="auto"/>
              <w:left w:val="nil"/>
              <w:bottom w:val="single" w:sz="4" w:space="0" w:color="auto"/>
              <w:right w:val="single" w:sz="4" w:space="0" w:color="auto"/>
            </w:tcBorders>
            <w:shd w:val="clear" w:color="000000" w:fill="A5A5A5"/>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2018 OS</w:t>
            </w:r>
          </w:p>
        </w:tc>
        <w:tc>
          <w:tcPr>
            <w:tcW w:w="517" w:type="pct"/>
            <w:tcBorders>
              <w:top w:val="single" w:sz="4" w:space="0" w:color="auto"/>
              <w:left w:val="nil"/>
              <w:bottom w:val="single" w:sz="4" w:space="0" w:color="auto"/>
              <w:right w:val="single" w:sz="4" w:space="0" w:color="auto"/>
            </w:tcBorders>
            <w:shd w:val="clear" w:color="000000" w:fill="A5A5A5"/>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2019 N</w:t>
            </w:r>
          </w:p>
        </w:tc>
        <w:tc>
          <w:tcPr>
            <w:tcW w:w="517" w:type="pct"/>
            <w:tcBorders>
              <w:top w:val="single" w:sz="4" w:space="0" w:color="auto"/>
              <w:left w:val="nil"/>
              <w:bottom w:val="single" w:sz="4" w:space="0" w:color="auto"/>
              <w:right w:val="single" w:sz="4" w:space="0" w:color="auto"/>
            </w:tcBorders>
            <w:shd w:val="clear" w:color="000000" w:fill="A5A5A5"/>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2020 N</w:t>
            </w:r>
          </w:p>
        </w:tc>
        <w:tc>
          <w:tcPr>
            <w:tcW w:w="517" w:type="pct"/>
            <w:tcBorders>
              <w:top w:val="single" w:sz="4" w:space="0" w:color="auto"/>
              <w:left w:val="nil"/>
              <w:bottom w:val="single" w:sz="4" w:space="0" w:color="auto"/>
              <w:right w:val="single" w:sz="4" w:space="0" w:color="auto"/>
            </w:tcBorders>
            <w:shd w:val="clear" w:color="000000" w:fill="A5A5A5"/>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2021 N</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000000" w:fill="C0C0C0"/>
            <w:noWrap/>
            <w:vAlign w:val="bottom"/>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Štátna pomoc a národné podpory</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4 599 685</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9 329 227</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1 000 000</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6 900 000</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31 000 000</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31 000 000</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31 000 000</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prostriedky ŠR</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4 599 685</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9 329 227</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1 000 000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6 900 000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31 000 000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31 000 000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31 000 000</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presun z minulých rokov</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r>
    </w:tbl>
    <w:p w:rsidR="003A497B" w:rsidRPr="005F654E" w:rsidRDefault="003A497B" w:rsidP="003A497B">
      <w:pPr>
        <w:jc w:val="both"/>
        <w:rPr>
          <w:rFonts w:ascii="Arial Narrow" w:hAnsi="Arial Narrow" w:cs="Times New Roman"/>
          <w:noProof/>
          <w:color w:val="000000"/>
          <w:sz w:val="22"/>
          <w:szCs w:val="22"/>
          <w:lang w:eastAsia="sk-SK"/>
        </w:rPr>
      </w:pPr>
    </w:p>
    <w:p w:rsidR="003A497B" w:rsidRPr="005F654E" w:rsidRDefault="003A497B" w:rsidP="003A497B">
      <w:pPr>
        <w:ind w:firstLine="708"/>
        <w:jc w:val="both"/>
        <w:rPr>
          <w:rFonts w:ascii="Times New Roman" w:hAnsi="Times New Roman" w:cs="Times New Roman"/>
          <w:noProof/>
          <w:lang w:eastAsia="sk-SK"/>
        </w:rPr>
      </w:pPr>
      <w:r w:rsidRPr="005F654E">
        <w:rPr>
          <w:rFonts w:ascii="Times New Roman" w:hAnsi="Times New Roman" w:cs="Times New Roman"/>
          <w:noProof/>
          <w:lang w:eastAsia="sk-SK"/>
        </w:rPr>
        <w:t xml:space="preserve">EÚ umožňuje poskytovať podnikateľským subjektom v pôdohospodárstve štátnu pomoc z vlastných zdrojov členského štátu v súlade s pravidlami EÚ o štátnej pomoci. V sektore pôdohospodárstva sa podporujú činnosti v poľnohospodárskej prvovýrobe, v spracovaní poľnohospodárskych výrobkov a výrobe potravinárskych výrobkov, činnosti v marketingu, investície na ochranu kultúrneho a prírodného dedičstva, náprava škôd spôsobených nepriaznivými poveternostnými udalosťami a živelnou pohromou, výskum a vývoj, činnosti v lesnom hospodárstve, činnosti zamerané na rozvoj vidieka a zamestnávanie znevýhodnených a značne znevýhodnených zamestnancov a činnosti v hospodárskom chove rýb. </w:t>
      </w:r>
    </w:p>
    <w:p w:rsidR="003A497B" w:rsidRPr="005F654E" w:rsidRDefault="003A497B" w:rsidP="003A497B">
      <w:pPr>
        <w:ind w:firstLine="708"/>
        <w:jc w:val="both"/>
        <w:rPr>
          <w:rFonts w:ascii="Times New Roman" w:hAnsi="Times New Roman" w:cs="Times New Roman"/>
          <w:noProof/>
          <w:color w:val="000000"/>
          <w:lang w:eastAsia="sk-SK"/>
        </w:rPr>
      </w:pPr>
    </w:p>
    <w:p w:rsidR="003A497B" w:rsidRPr="005F654E" w:rsidRDefault="003A497B" w:rsidP="003A497B">
      <w:pPr>
        <w:ind w:firstLine="708"/>
        <w:jc w:val="both"/>
        <w:rPr>
          <w:rFonts w:ascii="Times New Roman" w:hAnsi="Times New Roman" w:cs="Times New Roman"/>
          <w:noProof/>
          <w:color w:val="000000"/>
          <w:lang w:eastAsia="sk-SK"/>
        </w:rPr>
      </w:pPr>
      <w:r w:rsidRPr="005F654E">
        <w:rPr>
          <w:rFonts w:ascii="Times New Roman" w:hAnsi="Times New Roman" w:cs="Times New Roman"/>
          <w:noProof/>
          <w:color w:val="000000"/>
          <w:lang w:eastAsia="sk-SK"/>
        </w:rPr>
        <w:t xml:space="preserve">Výdavky na bežné transfery pre štátnu pomoc a národné podpory sú rozpočtované v sume 31 mil. eur z dôvodu rozpočtovania výdavkov na pomoc v poľnohospodárskej prvovýrobe v sume 30 mil. eur. </w:t>
      </w:r>
    </w:p>
    <w:p w:rsidR="003A497B" w:rsidRPr="005F654E" w:rsidRDefault="003A497B" w:rsidP="003A497B">
      <w:pPr>
        <w:ind w:firstLine="708"/>
        <w:jc w:val="both"/>
        <w:rPr>
          <w:rFonts w:ascii="Times New Roman" w:hAnsi="Times New Roman" w:cs="Times New Roman"/>
          <w:noProof/>
          <w:color w:val="000000"/>
          <w:lang w:eastAsia="sk-SK"/>
        </w:rPr>
      </w:pPr>
    </w:p>
    <w:p w:rsidR="00D2350F" w:rsidRDefault="00D2350F" w:rsidP="003A497B">
      <w:pPr>
        <w:jc w:val="both"/>
        <w:rPr>
          <w:rFonts w:ascii="Times New Roman" w:hAnsi="Times New Roman" w:cs="Times New Roman"/>
          <w:b/>
          <w:lang w:eastAsia="sk-SK"/>
        </w:rPr>
      </w:pPr>
    </w:p>
    <w:p w:rsidR="00D2350F" w:rsidRDefault="00D2350F" w:rsidP="003A497B">
      <w:pPr>
        <w:jc w:val="both"/>
        <w:rPr>
          <w:rFonts w:ascii="Times New Roman" w:hAnsi="Times New Roman" w:cs="Times New Roman"/>
          <w:b/>
          <w:lang w:eastAsia="sk-SK"/>
        </w:rPr>
      </w:pPr>
    </w:p>
    <w:p w:rsidR="00D2350F" w:rsidRDefault="00D2350F" w:rsidP="003A497B">
      <w:pPr>
        <w:jc w:val="both"/>
        <w:rPr>
          <w:rFonts w:ascii="Times New Roman" w:hAnsi="Times New Roman" w:cs="Times New Roman"/>
          <w:b/>
          <w:lang w:eastAsia="sk-SK"/>
        </w:rPr>
      </w:pPr>
    </w:p>
    <w:p w:rsidR="00D2350F" w:rsidRDefault="00D2350F" w:rsidP="003A497B">
      <w:pPr>
        <w:jc w:val="both"/>
        <w:rPr>
          <w:rFonts w:ascii="Times New Roman" w:hAnsi="Times New Roman" w:cs="Times New Roman"/>
          <w:b/>
          <w:lang w:eastAsia="sk-SK"/>
        </w:rPr>
      </w:pPr>
    </w:p>
    <w:p w:rsidR="003A497B" w:rsidRPr="005F654E" w:rsidRDefault="003A497B" w:rsidP="003A497B">
      <w:pPr>
        <w:jc w:val="both"/>
        <w:rPr>
          <w:rFonts w:ascii="Times New Roman" w:hAnsi="Times New Roman" w:cs="Times New Roman"/>
          <w:b/>
          <w:lang w:eastAsia="sk-SK"/>
        </w:rPr>
      </w:pPr>
      <w:r w:rsidRPr="005F654E">
        <w:rPr>
          <w:rFonts w:ascii="Times New Roman" w:hAnsi="Times New Roman" w:cs="Times New Roman"/>
          <w:b/>
          <w:lang w:eastAsia="sk-SK"/>
        </w:rPr>
        <w:lastRenderedPageBreak/>
        <w:t xml:space="preserve">Regionálny rozvoj </w:t>
      </w:r>
    </w:p>
    <w:p w:rsidR="003A497B" w:rsidRPr="005F654E" w:rsidRDefault="003A497B" w:rsidP="003A497B">
      <w:pPr>
        <w:jc w:val="both"/>
        <w:rPr>
          <w:rFonts w:ascii="Times New Roman" w:hAnsi="Times New Roman" w:cs="Times New Roman"/>
          <w:b/>
          <w:lang w:eastAsia="sk-SK"/>
        </w:rPr>
      </w:pPr>
    </w:p>
    <w:tbl>
      <w:tblPr>
        <w:tblW w:w="5000" w:type="pct"/>
        <w:tblCellMar>
          <w:left w:w="70" w:type="dxa"/>
          <w:right w:w="70" w:type="dxa"/>
        </w:tblCellMar>
        <w:tblLook w:val="04A0" w:firstRow="1" w:lastRow="0" w:firstColumn="1" w:lastColumn="0" w:noHBand="0" w:noVBand="1"/>
      </w:tblPr>
      <w:tblGrid>
        <w:gridCol w:w="2508"/>
        <w:gridCol w:w="937"/>
        <w:gridCol w:w="937"/>
        <w:gridCol w:w="937"/>
        <w:gridCol w:w="937"/>
        <w:gridCol w:w="937"/>
        <w:gridCol w:w="937"/>
        <w:gridCol w:w="932"/>
      </w:tblGrid>
      <w:tr w:rsidR="003A497B" w:rsidRPr="005F654E" w:rsidTr="003E1809">
        <w:trPr>
          <w:trHeight w:val="252"/>
        </w:trPr>
        <w:tc>
          <w:tcPr>
            <w:tcW w:w="1384"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v eurách</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2016 S</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2017 S</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2018 R</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2018 OS</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2019 N</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2020 N</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2021 N</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000000" w:fill="C0C0C0"/>
            <w:vAlign w:val="bottom"/>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 xml:space="preserve">Regionálny rozvoj </w:t>
            </w:r>
          </w:p>
        </w:tc>
        <w:tc>
          <w:tcPr>
            <w:tcW w:w="517" w:type="pct"/>
            <w:tcBorders>
              <w:top w:val="nil"/>
              <w:left w:val="nil"/>
              <w:bottom w:val="single" w:sz="4" w:space="0" w:color="auto"/>
              <w:right w:val="single" w:sz="4" w:space="0" w:color="auto"/>
            </w:tcBorders>
            <w:shd w:val="clear" w:color="000000" w:fill="C0C0C0"/>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92 799 657</w:t>
            </w:r>
          </w:p>
        </w:tc>
        <w:tc>
          <w:tcPr>
            <w:tcW w:w="517" w:type="pct"/>
            <w:tcBorders>
              <w:top w:val="nil"/>
              <w:left w:val="nil"/>
              <w:bottom w:val="single" w:sz="4" w:space="0" w:color="auto"/>
              <w:right w:val="single" w:sz="4" w:space="0" w:color="auto"/>
            </w:tcBorders>
            <w:shd w:val="clear" w:color="000000" w:fill="C0C0C0"/>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58 053 130</w:t>
            </w:r>
          </w:p>
        </w:tc>
        <w:tc>
          <w:tcPr>
            <w:tcW w:w="517" w:type="pct"/>
            <w:tcBorders>
              <w:top w:val="nil"/>
              <w:left w:val="nil"/>
              <w:bottom w:val="single" w:sz="4" w:space="0" w:color="auto"/>
              <w:right w:val="single" w:sz="4" w:space="0" w:color="auto"/>
            </w:tcBorders>
            <w:shd w:val="clear" w:color="000000" w:fill="C0C0C0"/>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221 222 503</w:t>
            </w:r>
          </w:p>
        </w:tc>
        <w:tc>
          <w:tcPr>
            <w:tcW w:w="517" w:type="pct"/>
            <w:tcBorders>
              <w:top w:val="nil"/>
              <w:left w:val="nil"/>
              <w:bottom w:val="single" w:sz="4" w:space="0" w:color="auto"/>
              <w:right w:val="single" w:sz="4" w:space="0" w:color="auto"/>
            </w:tcBorders>
            <w:shd w:val="clear" w:color="000000" w:fill="C0C0C0"/>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37 497 796</w:t>
            </w:r>
          </w:p>
        </w:tc>
        <w:tc>
          <w:tcPr>
            <w:tcW w:w="517" w:type="pct"/>
            <w:tcBorders>
              <w:top w:val="nil"/>
              <w:left w:val="nil"/>
              <w:bottom w:val="single" w:sz="4" w:space="0" w:color="auto"/>
              <w:right w:val="single" w:sz="4" w:space="0" w:color="auto"/>
            </w:tcBorders>
            <w:shd w:val="clear" w:color="000000" w:fill="C0C0C0"/>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155 790 705</w:t>
            </w:r>
          </w:p>
        </w:tc>
        <w:tc>
          <w:tcPr>
            <w:tcW w:w="517" w:type="pct"/>
            <w:tcBorders>
              <w:top w:val="nil"/>
              <w:left w:val="nil"/>
              <w:bottom w:val="single" w:sz="4" w:space="0" w:color="auto"/>
              <w:right w:val="single" w:sz="4" w:space="0" w:color="auto"/>
            </w:tcBorders>
            <w:shd w:val="clear" w:color="000000" w:fill="C0C0C0"/>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541 393 413</w:t>
            </w:r>
          </w:p>
        </w:tc>
        <w:tc>
          <w:tcPr>
            <w:tcW w:w="517" w:type="pct"/>
            <w:tcBorders>
              <w:top w:val="nil"/>
              <w:left w:val="nil"/>
              <w:bottom w:val="single" w:sz="4" w:space="0" w:color="auto"/>
              <w:right w:val="single" w:sz="4" w:space="0" w:color="auto"/>
            </w:tcBorders>
            <w:shd w:val="clear" w:color="000000" w:fill="C0C0C0"/>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498 843 155</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prostriedky EÚ</w:t>
            </w:r>
          </w:p>
        </w:tc>
        <w:tc>
          <w:tcPr>
            <w:tcW w:w="51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12 066 650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196 815 623</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7 672 639</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126 293 290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467 305 363</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432 150 880</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spolufinancovanie zo ŠR</w:t>
            </w:r>
          </w:p>
        </w:tc>
        <w:tc>
          <w:tcPr>
            <w:tcW w:w="51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6 049 817</w:t>
            </w:r>
          </w:p>
        </w:tc>
        <w:tc>
          <w:tcPr>
            <w:tcW w:w="51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24 406 880</w:t>
            </w:r>
          </w:p>
        </w:tc>
        <w:tc>
          <w:tcPr>
            <w:tcW w:w="51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1 499 382</w:t>
            </w:r>
          </w:p>
        </w:tc>
        <w:tc>
          <w:tcPr>
            <w:tcW w:w="51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29 497 415</w:t>
            </w:r>
          </w:p>
        </w:tc>
        <w:tc>
          <w:tcPr>
            <w:tcW w:w="51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74 088 050</w:t>
            </w:r>
          </w:p>
        </w:tc>
        <w:tc>
          <w:tcPr>
            <w:tcW w:w="51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66 692 275</w:t>
            </w:r>
          </w:p>
        </w:tc>
      </w:tr>
      <w:tr w:rsidR="003A497B" w:rsidRPr="005F654E" w:rsidTr="003E1809">
        <w:trPr>
          <w:trHeight w:val="252"/>
        </w:trPr>
        <w:tc>
          <w:tcPr>
            <w:tcW w:w="138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presun z minulých rokov</w:t>
            </w:r>
          </w:p>
        </w:tc>
        <w:tc>
          <w:tcPr>
            <w:tcW w:w="51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74 683 190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58 053 130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28 325 775</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w:t>
            </w:r>
          </w:p>
        </w:tc>
      </w:tr>
    </w:tbl>
    <w:p w:rsidR="003A497B" w:rsidRPr="005F654E" w:rsidRDefault="003A497B" w:rsidP="003A497B">
      <w:pPr>
        <w:jc w:val="both"/>
        <w:rPr>
          <w:rFonts w:ascii="Times New Roman" w:hAnsi="Times New Roman" w:cs="Times New Roman"/>
          <w:b/>
          <w:lang w:eastAsia="sk-SK"/>
        </w:rPr>
      </w:pPr>
    </w:p>
    <w:p w:rsidR="003A497B" w:rsidRPr="005F654E" w:rsidRDefault="003A497B" w:rsidP="003A497B">
      <w:pPr>
        <w:ind w:firstLine="708"/>
        <w:jc w:val="both"/>
        <w:rPr>
          <w:rFonts w:ascii="Times New Roman" w:hAnsi="Times New Roman" w:cs="Times New Roman"/>
          <w:noProof/>
          <w:lang w:eastAsia="sk-SK"/>
        </w:rPr>
      </w:pPr>
      <w:r w:rsidRPr="005F654E">
        <w:rPr>
          <w:rFonts w:ascii="Times New Roman" w:hAnsi="Times New Roman" w:cs="Times New Roman"/>
          <w:noProof/>
          <w:lang w:eastAsia="sk-SK"/>
        </w:rPr>
        <w:t xml:space="preserve">Finančné prostriedky určené na financovanie projektov zo štrukturálnych fondov pre programové obdobie 2014 - 2020 a ich spolufinancovanie zo štátneho rozpočtu sú smerované do programu Integrovaný regionálny operačný program a Európsku územnú spoluprácu 2014 - 2020. Výdavky sú určené na modernizáciu regionálnych ciest II. a III. triedy, rozvoj verejnej osobnej dopravy a cyklodopravy, podporu deinštitucionalizácie sociálnych služieb a náhradnej starostlivosti, rozvoj infraštruktúry vzdelávania, rozvoj zdravotníckej infraštruktúry, podporu energetickej efektívnosti v sektore bývania, investície v sektore vodného hospodárstva, rozvoj zelenej infraštruktúry, revitalizáciu zanedbaných objektov a areálov a pod. </w:t>
      </w:r>
    </w:p>
    <w:p w:rsidR="003A497B" w:rsidRPr="005F654E" w:rsidRDefault="003A497B" w:rsidP="003A497B">
      <w:pPr>
        <w:ind w:firstLine="708"/>
        <w:jc w:val="both"/>
        <w:rPr>
          <w:rFonts w:ascii="Times New Roman" w:hAnsi="Times New Roman" w:cs="Times New Roman"/>
          <w:noProof/>
          <w:lang w:eastAsia="sk-SK"/>
        </w:rPr>
      </w:pPr>
    </w:p>
    <w:p w:rsidR="003A497B" w:rsidRPr="005F654E" w:rsidRDefault="003A497B" w:rsidP="003A497B">
      <w:pPr>
        <w:ind w:firstLine="708"/>
        <w:jc w:val="both"/>
        <w:rPr>
          <w:rFonts w:ascii="Times New Roman" w:hAnsi="Times New Roman" w:cs="Times New Roman"/>
          <w:noProof/>
          <w:lang w:eastAsia="sk-SK"/>
        </w:rPr>
      </w:pPr>
      <w:r w:rsidRPr="005F654E">
        <w:rPr>
          <w:rFonts w:ascii="Times New Roman" w:hAnsi="Times New Roman" w:cs="Times New Roman"/>
          <w:noProof/>
          <w:lang w:eastAsia="sk-SK"/>
        </w:rPr>
        <w:t>Výdavky na regionálny rozvoj sú na rok 2019 rozpočtované vo výške 156 mil. eur, čo predstavuje oproti schválenému rozpočtu roku 2018 zníženie o 65,4 mil. eur. Medziročnú zmenu ovplyvnilo zníženie zdrojov EÚ a spolufinancovania. V ďalších rokoch rozpočet vytvára priestor na zabezpečenie výdavkov regionálneho rozvoja až do výšky 541 mil. eur, čo predstavuje medziročný nárast o takmer 386 mil. eur.</w:t>
      </w:r>
    </w:p>
    <w:p w:rsidR="003A497B" w:rsidRPr="005F654E" w:rsidRDefault="003A497B" w:rsidP="003A497B">
      <w:pPr>
        <w:jc w:val="both"/>
        <w:rPr>
          <w:rFonts w:ascii="Times New Roman" w:hAnsi="Times New Roman" w:cs="Times New Roman"/>
          <w:noProof/>
          <w:lang w:eastAsia="sk-SK"/>
        </w:rPr>
      </w:pPr>
    </w:p>
    <w:p w:rsidR="003A497B" w:rsidRPr="005F654E" w:rsidRDefault="003A497B" w:rsidP="003A497B">
      <w:pPr>
        <w:rPr>
          <w:rFonts w:ascii="Times New Roman" w:hAnsi="Times New Roman" w:cs="Times New Roman"/>
          <w:b/>
          <w:lang w:eastAsia="sk-SK"/>
        </w:rPr>
      </w:pPr>
      <w:r w:rsidRPr="005F654E">
        <w:rPr>
          <w:rFonts w:ascii="Times New Roman" w:hAnsi="Times New Roman" w:cs="Times New Roman"/>
          <w:b/>
          <w:lang w:eastAsia="sk-SK"/>
        </w:rPr>
        <w:t>Inštitucionálna podpora pôdohospodárstva</w:t>
      </w:r>
    </w:p>
    <w:p w:rsidR="003A497B" w:rsidRPr="005F654E" w:rsidRDefault="003A497B" w:rsidP="003A497B">
      <w:pPr>
        <w:rPr>
          <w:rFonts w:ascii="Times New Roman" w:hAnsi="Times New Roman" w:cs="Times New Roman"/>
          <w:b/>
          <w:lang w:eastAsia="sk-SK"/>
        </w:rPr>
      </w:pPr>
    </w:p>
    <w:tbl>
      <w:tblPr>
        <w:tblW w:w="5000" w:type="pct"/>
        <w:tblCellMar>
          <w:left w:w="70" w:type="dxa"/>
          <w:right w:w="70" w:type="dxa"/>
        </w:tblCellMar>
        <w:tblLook w:val="04A0" w:firstRow="1" w:lastRow="0" w:firstColumn="1" w:lastColumn="0" w:noHBand="0" w:noVBand="1"/>
      </w:tblPr>
      <w:tblGrid>
        <w:gridCol w:w="2511"/>
        <w:gridCol w:w="935"/>
        <w:gridCol w:w="937"/>
        <w:gridCol w:w="937"/>
        <w:gridCol w:w="935"/>
        <w:gridCol w:w="937"/>
        <w:gridCol w:w="937"/>
        <w:gridCol w:w="933"/>
      </w:tblGrid>
      <w:tr w:rsidR="003A497B" w:rsidRPr="005F654E" w:rsidTr="003E1809">
        <w:trPr>
          <w:trHeight w:val="252"/>
        </w:trPr>
        <w:tc>
          <w:tcPr>
            <w:tcW w:w="1385"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v eurách</w:t>
            </w:r>
          </w:p>
        </w:tc>
        <w:tc>
          <w:tcPr>
            <w:tcW w:w="51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2016 S</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2017 S</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2018 R</w:t>
            </w:r>
          </w:p>
        </w:tc>
        <w:tc>
          <w:tcPr>
            <w:tcW w:w="51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2018 OS</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2019 N</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2020 N</w:t>
            </w:r>
          </w:p>
        </w:tc>
        <w:tc>
          <w:tcPr>
            <w:tcW w:w="51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2021 N</w:t>
            </w:r>
          </w:p>
        </w:tc>
      </w:tr>
      <w:tr w:rsidR="003A497B" w:rsidRPr="005F654E" w:rsidTr="003E1809">
        <w:trPr>
          <w:trHeight w:val="252"/>
        </w:trPr>
        <w:tc>
          <w:tcPr>
            <w:tcW w:w="1385" w:type="pct"/>
            <w:tcBorders>
              <w:top w:val="nil"/>
              <w:left w:val="single" w:sz="4" w:space="0" w:color="auto"/>
              <w:bottom w:val="single" w:sz="4" w:space="0" w:color="auto"/>
              <w:right w:val="single" w:sz="4" w:space="0" w:color="auto"/>
            </w:tcBorders>
            <w:shd w:val="clear" w:color="000000" w:fill="BFBFBF"/>
            <w:vAlign w:val="bottom"/>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 xml:space="preserve">Inštitucionálna podpora  </w:t>
            </w:r>
          </w:p>
        </w:tc>
        <w:tc>
          <w:tcPr>
            <w:tcW w:w="516"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137 843 430</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113 041 898</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84 432 368</w:t>
            </w:r>
          </w:p>
        </w:tc>
        <w:tc>
          <w:tcPr>
            <w:tcW w:w="516"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131 007 056</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213 488 623</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212 656 927</w:t>
            </w:r>
          </w:p>
        </w:tc>
        <w:tc>
          <w:tcPr>
            <w:tcW w:w="517" w:type="pct"/>
            <w:tcBorders>
              <w:top w:val="nil"/>
              <w:left w:val="nil"/>
              <w:bottom w:val="single" w:sz="4" w:space="0" w:color="auto"/>
              <w:right w:val="single" w:sz="4" w:space="0" w:color="auto"/>
            </w:tcBorders>
            <w:shd w:val="clear" w:color="000000" w:fill="BFBFBF"/>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212 651 927</w:t>
            </w:r>
          </w:p>
        </w:tc>
      </w:tr>
      <w:tr w:rsidR="003A497B" w:rsidRPr="005F654E" w:rsidTr="003E1809">
        <w:trPr>
          <w:trHeight w:val="252"/>
        </w:trPr>
        <w:tc>
          <w:tcPr>
            <w:tcW w:w="1385" w:type="pct"/>
            <w:tcBorders>
              <w:top w:val="nil"/>
              <w:left w:val="single" w:sz="4" w:space="0" w:color="auto"/>
              <w:bottom w:val="single" w:sz="4" w:space="0" w:color="auto"/>
              <w:right w:val="single" w:sz="4" w:space="0" w:color="auto"/>
            </w:tcBorders>
            <w:shd w:val="clear" w:color="auto" w:fill="auto"/>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 xml:space="preserve">prostriedky ŠR </w:t>
            </w:r>
          </w:p>
        </w:tc>
        <w:tc>
          <w:tcPr>
            <w:tcW w:w="516"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133 250 656</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111 945 157</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84 432 368</w:t>
            </w:r>
          </w:p>
        </w:tc>
        <w:tc>
          <w:tcPr>
            <w:tcW w:w="516"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129 351 974</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213 488 623</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212 656 927</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212 651 927</w:t>
            </w:r>
          </w:p>
        </w:tc>
      </w:tr>
      <w:tr w:rsidR="003A497B" w:rsidRPr="005F654E" w:rsidTr="003E1809">
        <w:trPr>
          <w:trHeight w:val="252"/>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prostriedky EÚ</w:t>
            </w:r>
          </w:p>
        </w:tc>
        <w:tc>
          <w:tcPr>
            <w:tcW w:w="516"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6"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r>
      <w:tr w:rsidR="003A497B" w:rsidRPr="005F654E" w:rsidTr="003E1809">
        <w:trPr>
          <w:trHeight w:val="252"/>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spolufinancovanie zo ŠR</w:t>
            </w:r>
          </w:p>
        </w:tc>
        <w:tc>
          <w:tcPr>
            <w:tcW w:w="516"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6"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r>
      <w:tr w:rsidR="003A497B" w:rsidRPr="005F654E" w:rsidTr="003E1809">
        <w:trPr>
          <w:trHeight w:val="252"/>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presun z minulých rokov</w:t>
            </w:r>
          </w:p>
        </w:tc>
        <w:tc>
          <w:tcPr>
            <w:tcW w:w="516"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4 582 429</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1 089 442</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6"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1 638 529</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r>
      <w:tr w:rsidR="003A497B" w:rsidRPr="005F654E" w:rsidTr="003E1809">
        <w:trPr>
          <w:trHeight w:val="252"/>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zdroj 72e</w:t>
            </w:r>
          </w:p>
        </w:tc>
        <w:tc>
          <w:tcPr>
            <w:tcW w:w="516"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10 345</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7 299</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6"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16 553</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0</w:t>
            </w:r>
          </w:p>
        </w:tc>
      </w:tr>
    </w:tbl>
    <w:p w:rsidR="003A497B" w:rsidRPr="005F654E" w:rsidRDefault="003A497B" w:rsidP="003A497B">
      <w:pPr>
        <w:jc w:val="both"/>
        <w:rPr>
          <w:rFonts w:ascii="Arial Narrow" w:hAnsi="Arial Narrow" w:cs="Arial"/>
          <w:b/>
          <w:noProof/>
          <w:sz w:val="22"/>
          <w:szCs w:val="22"/>
          <w:lang w:eastAsia="sk-SK"/>
        </w:rPr>
      </w:pPr>
    </w:p>
    <w:p w:rsidR="003A497B" w:rsidRPr="005F654E" w:rsidRDefault="003A497B" w:rsidP="003A497B">
      <w:pPr>
        <w:ind w:firstLine="708"/>
        <w:jc w:val="both"/>
        <w:rPr>
          <w:rFonts w:ascii="Times New Roman" w:hAnsi="Times New Roman" w:cs="Times New Roman"/>
          <w:noProof/>
          <w:lang w:eastAsia="sk-SK"/>
        </w:rPr>
      </w:pPr>
      <w:r w:rsidRPr="005F654E">
        <w:rPr>
          <w:rFonts w:ascii="Times New Roman" w:hAnsi="Times New Roman" w:cs="Times New Roman"/>
          <w:noProof/>
          <w:lang w:eastAsia="sk-SK"/>
        </w:rPr>
        <w:t xml:space="preserve">Celkové výdavky na inštitucionálnu podporu pôdohospodárstva sú určené </w:t>
      </w:r>
      <w:r w:rsidRPr="005F654E">
        <w:rPr>
          <w:rFonts w:ascii="Times New Roman" w:hAnsi="Times New Roman" w:cs="Times New Roman"/>
          <w:noProof/>
          <w:lang w:eastAsia="sk-SK"/>
        </w:rPr>
        <w:br/>
        <w:t xml:space="preserve">na zabezpečenie plnenia úloh rozpočtových a príspevkových organizácií rezortu, riadenie programov regionálneho rozvoja a na ďalšie výdavky, ako sú napr. pozemkové úpravy, vyhotovenie lesných hospodárskych plánov, eradikácia chorôb,  štatistický informačný systém, špecifické činnosti v lesnom hospodárstve, potravinový dozor a iné úlohy rezortu. </w:t>
      </w:r>
    </w:p>
    <w:p w:rsidR="003A497B" w:rsidRPr="005F654E" w:rsidRDefault="003A497B" w:rsidP="003A497B">
      <w:pPr>
        <w:ind w:firstLine="708"/>
        <w:jc w:val="both"/>
        <w:rPr>
          <w:rFonts w:ascii="Times New Roman" w:hAnsi="Times New Roman" w:cs="Times New Roman"/>
          <w:noProof/>
          <w:lang w:eastAsia="sk-SK"/>
        </w:rPr>
      </w:pPr>
    </w:p>
    <w:p w:rsidR="003A497B" w:rsidRPr="005F654E" w:rsidRDefault="003A497B" w:rsidP="003A497B">
      <w:pPr>
        <w:ind w:firstLine="708"/>
        <w:jc w:val="both"/>
        <w:rPr>
          <w:rFonts w:ascii="Times New Roman" w:hAnsi="Times New Roman" w:cs="Times New Roman"/>
          <w:lang w:eastAsia="sk-SK"/>
        </w:rPr>
      </w:pPr>
      <w:r w:rsidRPr="005F654E">
        <w:rPr>
          <w:rFonts w:ascii="Times New Roman" w:hAnsi="Times New Roman" w:cs="Times New Roman"/>
          <w:noProof/>
          <w:lang w:eastAsia="sk-SK"/>
        </w:rPr>
        <w:t>Výdavky na inštitucionálnu podporu pôdohospodárstva sú oproti schválenému rozpočtu roku 2018 vyššie o 129 mil. eur. Uvedenú zmenu ovplyvnil</w:t>
      </w:r>
      <w:r w:rsidRPr="005F654E">
        <w:rPr>
          <w:rFonts w:ascii="Times New Roman" w:hAnsi="Times New Roman" w:cs="Times New Roman"/>
          <w:lang w:eastAsia="sk-SK"/>
        </w:rPr>
        <w:t>a najmä skutočnosť, že do rozpočtu na rok 2019 boli zapracované výdavky súvisiace s navrhovaným osobitným odvodom obchodných reťazcov vo výške 119 mil. eur. Ďalšími výdavkami zabezpečenými v rozpočte kapitoly sú výdavky na starostlivosť o lesy, na pozemkové úpravy a kapitálové výdavky súvisiace so zabezpečením opatrení na ochranu lokality Staré bukové lesy a bukové pralesy Karpát a iných regiónov Európy.</w:t>
      </w:r>
    </w:p>
    <w:p w:rsidR="003A497B" w:rsidRDefault="003A497B" w:rsidP="003A497B">
      <w:pPr>
        <w:ind w:firstLine="708"/>
        <w:jc w:val="both"/>
        <w:rPr>
          <w:rFonts w:ascii="Times New Roman" w:hAnsi="Times New Roman" w:cs="Times New Roman"/>
          <w:lang w:eastAsia="sk-SK"/>
        </w:rPr>
      </w:pPr>
    </w:p>
    <w:p w:rsidR="00D2350F" w:rsidRDefault="00D2350F" w:rsidP="003A497B">
      <w:pPr>
        <w:ind w:firstLine="708"/>
        <w:jc w:val="both"/>
        <w:rPr>
          <w:rFonts w:ascii="Times New Roman" w:hAnsi="Times New Roman" w:cs="Times New Roman"/>
          <w:lang w:eastAsia="sk-SK"/>
        </w:rPr>
      </w:pPr>
    </w:p>
    <w:p w:rsidR="00D2350F" w:rsidRDefault="00D2350F" w:rsidP="003A497B">
      <w:pPr>
        <w:ind w:firstLine="708"/>
        <w:jc w:val="both"/>
        <w:rPr>
          <w:rFonts w:ascii="Times New Roman" w:hAnsi="Times New Roman" w:cs="Times New Roman"/>
          <w:lang w:eastAsia="sk-SK"/>
        </w:rPr>
      </w:pPr>
    </w:p>
    <w:p w:rsidR="00D2350F" w:rsidRPr="005F654E" w:rsidRDefault="00D2350F" w:rsidP="003A497B">
      <w:pPr>
        <w:ind w:firstLine="708"/>
        <w:jc w:val="both"/>
        <w:rPr>
          <w:rFonts w:ascii="Times New Roman" w:hAnsi="Times New Roman" w:cs="Times New Roman"/>
          <w:lang w:eastAsia="sk-SK"/>
        </w:rPr>
      </w:pPr>
    </w:p>
    <w:p w:rsidR="003A497B" w:rsidRPr="005F654E" w:rsidRDefault="003A497B" w:rsidP="003A497B">
      <w:pPr>
        <w:ind w:firstLine="708"/>
        <w:jc w:val="both"/>
        <w:rPr>
          <w:rFonts w:ascii="Times New Roman" w:hAnsi="Times New Roman" w:cs="Times New Roman"/>
          <w:noProof/>
          <w:lang w:eastAsia="sk-SK"/>
        </w:rPr>
      </w:pPr>
      <w:r w:rsidRPr="005F654E">
        <w:rPr>
          <w:rFonts w:ascii="Times New Roman" w:hAnsi="Times New Roman" w:cs="Times New Roman"/>
          <w:noProof/>
          <w:lang w:eastAsia="sk-SK"/>
        </w:rPr>
        <w:lastRenderedPageBreak/>
        <w:t>Podrobné členenie výdavkov zo štátneho rozpočtu na inštitucionálnu podporu pôdohospodárstva je uvedené v nasledujúcej tabuľke.</w:t>
      </w:r>
    </w:p>
    <w:p w:rsidR="003A497B" w:rsidRPr="005F654E" w:rsidRDefault="003A497B" w:rsidP="003A497B">
      <w:pPr>
        <w:ind w:firstLine="708"/>
        <w:jc w:val="both"/>
        <w:rPr>
          <w:rFonts w:ascii="Times New Roman" w:hAnsi="Times New Roman" w:cs="Times New Roman"/>
          <w:noProof/>
          <w:lang w:eastAsia="sk-SK"/>
        </w:rPr>
      </w:pPr>
    </w:p>
    <w:tbl>
      <w:tblPr>
        <w:tblW w:w="5000" w:type="pct"/>
        <w:tblLayout w:type="fixed"/>
        <w:tblCellMar>
          <w:left w:w="70" w:type="dxa"/>
          <w:right w:w="70" w:type="dxa"/>
        </w:tblCellMar>
        <w:tblLook w:val="04A0" w:firstRow="1" w:lastRow="0" w:firstColumn="1" w:lastColumn="0" w:noHBand="0" w:noVBand="1"/>
      </w:tblPr>
      <w:tblGrid>
        <w:gridCol w:w="2787"/>
        <w:gridCol w:w="896"/>
        <w:gridCol w:w="898"/>
        <w:gridCol w:w="895"/>
        <w:gridCol w:w="897"/>
        <w:gridCol w:w="895"/>
        <w:gridCol w:w="897"/>
        <w:gridCol w:w="897"/>
      </w:tblGrid>
      <w:tr w:rsidR="003A497B" w:rsidRPr="005F654E" w:rsidTr="003E1809">
        <w:trPr>
          <w:trHeight w:val="252"/>
        </w:trPr>
        <w:tc>
          <w:tcPr>
            <w:tcW w:w="153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v eurách</w:t>
            </w:r>
          </w:p>
        </w:tc>
        <w:tc>
          <w:tcPr>
            <w:tcW w:w="494"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2016 S</w:t>
            </w:r>
          </w:p>
        </w:tc>
        <w:tc>
          <w:tcPr>
            <w:tcW w:w="49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2017 S</w:t>
            </w:r>
          </w:p>
        </w:tc>
        <w:tc>
          <w:tcPr>
            <w:tcW w:w="494"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2018 R</w:t>
            </w:r>
          </w:p>
        </w:tc>
        <w:tc>
          <w:tcPr>
            <w:tcW w:w="49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2018 OS</w:t>
            </w:r>
          </w:p>
        </w:tc>
        <w:tc>
          <w:tcPr>
            <w:tcW w:w="494"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2019 N</w:t>
            </w:r>
          </w:p>
        </w:tc>
        <w:tc>
          <w:tcPr>
            <w:tcW w:w="49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2020 N</w:t>
            </w:r>
          </w:p>
        </w:tc>
        <w:tc>
          <w:tcPr>
            <w:tcW w:w="49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F654E" w:rsidRDefault="003A497B" w:rsidP="003E1809">
            <w:pPr>
              <w:jc w:val="cente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2021 N</w:t>
            </w:r>
          </w:p>
        </w:tc>
      </w:tr>
      <w:tr w:rsidR="003A497B" w:rsidRPr="005F654E" w:rsidTr="003E1809">
        <w:trPr>
          <w:trHeight w:val="252"/>
        </w:trPr>
        <w:tc>
          <w:tcPr>
            <w:tcW w:w="1537" w:type="pct"/>
            <w:tcBorders>
              <w:top w:val="nil"/>
              <w:left w:val="single" w:sz="4" w:space="0" w:color="auto"/>
              <w:bottom w:val="single" w:sz="4" w:space="0" w:color="auto"/>
              <w:right w:val="single" w:sz="4" w:space="0" w:color="auto"/>
            </w:tcBorders>
            <w:shd w:val="clear" w:color="000000" w:fill="C0C0C0"/>
            <w:vAlign w:val="bottom"/>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 xml:space="preserve">Výdavky zo ŠR na inštitucionálnu podporu </w:t>
            </w:r>
          </w:p>
        </w:tc>
        <w:tc>
          <w:tcPr>
            <w:tcW w:w="494" w:type="pct"/>
            <w:tcBorders>
              <w:top w:val="nil"/>
              <w:left w:val="nil"/>
              <w:bottom w:val="single" w:sz="4" w:space="0" w:color="auto"/>
              <w:right w:val="single" w:sz="4" w:space="0" w:color="auto"/>
            </w:tcBorders>
            <w:shd w:val="clear" w:color="000000" w:fill="C0C0C0"/>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133 250 656</w:t>
            </w:r>
          </w:p>
        </w:tc>
        <w:tc>
          <w:tcPr>
            <w:tcW w:w="495" w:type="pct"/>
            <w:tcBorders>
              <w:top w:val="nil"/>
              <w:left w:val="nil"/>
              <w:bottom w:val="single" w:sz="4" w:space="0" w:color="auto"/>
              <w:right w:val="single" w:sz="4" w:space="0" w:color="auto"/>
            </w:tcBorders>
            <w:shd w:val="clear" w:color="000000" w:fill="C0C0C0"/>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111 945 157</w:t>
            </w:r>
          </w:p>
        </w:tc>
        <w:tc>
          <w:tcPr>
            <w:tcW w:w="494" w:type="pct"/>
            <w:tcBorders>
              <w:top w:val="nil"/>
              <w:left w:val="nil"/>
              <w:bottom w:val="single" w:sz="4" w:space="0" w:color="auto"/>
              <w:right w:val="single" w:sz="4" w:space="0" w:color="auto"/>
            </w:tcBorders>
            <w:shd w:val="clear" w:color="000000" w:fill="C0C0C0"/>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84 432 368</w:t>
            </w:r>
          </w:p>
        </w:tc>
        <w:tc>
          <w:tcPr>
            <w:tcW w:w="495" w:type="pct"/>
            <w:tcBorders>
              <w:top w:val="nil"/>
              <w:left w:val="nil"/>
              <w:bottom w:val="single" w:sz="4" w:space="0" w:color="auto"/>
              <w:right w:val="single" w:sz="4" w:space="0" w:color="auto"/>
            </w:tcBorders>
            <w:shd w:val="clear" w:color="000000" w:fill="C0C0C0"/>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131 007 056</w:t>
            </w:r>
          </w:p>
        </w:tc>
        <w:tc>
          <w:tcPr>
            <w:tcW w:w="494" w:type="pct"/>
            <w:tcBorders>
              <w:top w:val="nil"/>
              <w:left w:val="nil"/>
              <w:bottom w:val="single" w:sz="4" w:space="0" w:color="auto"/>
              <w:right w:val="single" w:sz="4" w:space="0" w:color="auto"/>
            </w:tcBorders>
            <w:shd w:val="clear" w:color="000000" w:fill="C0C0C0"/>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213 488 623</w:t>
            </w:r>
          </w:p>
        </w:tc>
        <w:tc>
          <w:tcPr>
            <w:tcW w:w="495" w:type="pct"/>
            <w:tcBorders>
              <w:top w:val="nil"/>
              <w:left w:val="nil"/>
              <w:bottom w:val="single" w:sz="4" w:space="0" w:color="auto"/>
              <w:right w:val="single" w:sz="4" w:space="0" w:color="auto"/>
            </w:tcBorders>
            <w:shd w:val="clear" w:color="000000" w:fill="C0C0C0"/>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212 656 927</w:t>
            </w:r>
          </w:p>
        </w:tc>
        <w:tc>
          <w:tcPr>
            <w:tcW w:w="495" w:type="pct"/>
            <w:tcBorders>
              <w:top w:val="nil"/>
              <w:left w:val="nil"/>
              <w:bottom w:val="single" w:sz="4" w:space="0" w:color="auto"/>
              <w:right w:val="single" w:sz="4" w:space="0" w:color="auto"/>
            </w:tcBorders>
            <w:shd w:val="clear" w:color="000000" w:fill="C0C0C0"/>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212 651 927</w:t>
            </w:r>
          </w:p>
        </w:tc>
      </w:tr>
      <w:tr w:rsidR="003A497B" w:rsidRPr="005F654E" w:rsidTr="003E1809">
        <w:trPr>
          <w:trHeight w:val="252"/>
        </w:trPr>
        <w:tc>
          <w:tcPr>
            <w:tcW w:w="1537" w:type="pct"/>
            <w:tcBorders>
              <w:top w:val="nil"/>
              <w:left w:val="single" w:sz="4" w:space="0" w:color="auto"/>
              <w:bottom w:val="single" w:sz="4" w:space="0" w:color="auto"/>
              <w:right w:val="single" w:sz="4" w:space="0" w:color="auto"/>
            </w:tcBorders>
            <w:shd w:val="clear" w:color="000000" w:fill="D9D9D9"/>
            <w:vAlign w:val="bottom"/>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Rozpočtové organizácie:</w:t>
            </w:r>
          </w:p>
        </w:tc>
        <w:tc>
          <w:tcPr>
            <w:tcW w:w="494" w:type="pct"/>
            <w:tcBorders>
              <w:top w:val="nil"/>
              <w:left w:val="nil"/>
              <w:bottom w:val="single" w:sz="4" w:space="0" w:color="auto"/>
              <w:right w:val="single" w:sz="4" w:space="0" w:color="auto"/>
            </w:tcBorders>
            <w:shd w:val="clear" w:color="000000" w:fill="D9D9D9"/>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109 222 850</w:t>
            </w:r>
          </w:p>
        </w:tc>
        <w:tc>
          <w:tcPr>
            <w:tcW w:w="495" w:type="pct"/>
            <w:tcBorders>
              <w:top w:val="nil"/>
              <w:left w:val="nil"/>
              <w:bottom w:val="single" w:sz="4" w:space="0" w:color="auto"/>
              <w:right w:val="single" w:sz="4" w:space="0" w:color="auto"/>
            </w:tcBorders>
            <w:shd w:val="clear" w:color="000000" w:fill="D9D9D9"/>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82 722 260</w:t>
            </w:r>
          </w:p>
        </w:tc>
        <w:tc>
          <w:tcPr>
            <w:tcW w:w="494" w:type="pct"/>
            <w:tcBorders>
              <w:top w:val="nil"/>
              <w:left w:val="nil"/>
              <w:bottom w:val="single" w:sz="4" w:space="0" w:color="auto"/>
              <w:right w:val="single" w:sz="4" w:space="0" w:color="auto"/>
            </w:tcBorders>
            <w:shd w:val="clear" w:color="000000" w:fill="D9D9D9"/>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73 346 716</w:t>
            </w:r>
          </w:p>
        </w:tc>
        <w:tc>
          <w:tcPr>
            <w:tcW w:w="495" w:type="pct"/>
            <w:tcBorders>
              <w:top w:val="nil"/>
              <w:left w:val="nil"/>
              <w:bottom w:val="single" w:sz="4" w:space="0" w:color="auto"/>
              <w:right w:val="single" w:sz="4" w:space="0" w:color="auto"/>
            </w:tcBorders>
            <w:shd w:val="clear" w:color="000000" w:fill="D9D9D9"/>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114 079 032</w:t>
            </w:r>
          </w:p>
        </w:tc>
        <w:tc>
          <w:tcPr>
            <w:tcW w:w="494" w:type="pct"/>
            <w:tcBorders>
              <w:top w:val="nil"/>
              <w:left w:val="nil"/>
              <w:bottom w:val="single" w:sz="4" w:space="0" w:color="auto"/>
              <w:right w:val="single" w:sz="4" w:space="0" w:color="auto"/>
            </w:tcBorders>
            <w:shd w:val="clear" w:color="000000" w:fill="D9D9D9"/>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195 919 559</w:t>
            </w:r>
          </w:p>
        </w:tc>
        <w:tc>
          <w:tcPr>
            <w:tcW w:w="495" w:type="pct"/>
            <w:tcBorders>
              <w:top w:val="nil"/>
              <w:left w:val="nil"/>
              <w:bottom w:val="single" w:sz="4" w:space="0" w:color="auto"/>
              <w:right w:val="single" w:sz="4" w:space="0" w:color="auto"/>
            </w:tcBorders>
            <w:shd w:val="clear" w:color="000000" w:fill="D9D9D9"/>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195 087 863</w:t>
            </w:r>
          </w:p>
        </w:tc>
        <w:tc>
          <w:tcPr>
            <w:tcW w:w="495" w:type="pct"/>
            <w:tcBorders>
              <w:top w:val="nil"/>
              <w:left w:val="nil"/>
              <w:bottom w:val="single" w:sz="4" w:space="0" w:color="auto"/>
              <w:right w:val="single" w:sz="4" w:space="0" w:color="auto"/>
            </w:tcBorders>
            <w:shd w:val="clear" w:color="000000" w:fill="D9D9D9"/>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195 082 863</w:t>
            </w:r>
          </w:p>
        </w:tc>
      </w:tr>
      <w:tr w:rsidR="003A497B" w:rsidRPr="005F654E" w:rsidTr="003E1809">
        <w:trPr>
          <w:trHeight w:val="252"/>
        </w:trPr>
        <w:tc>
          <w:tcPr>
            <w:tcW w:w="1537" w:type="pct"/>
            <w:tcBorders>
              <w:top w:val="nil"/>
              <w:left w:val="single" w:sz="4" w:space="0" w:color="auto"/>
              <w:bottom w:val="single" w:sz="4" w:space="0" w:color="auto"/>
              <w:right w:val="single" w:sz="4" w:space="0" w:color="auto"/>
            </w:tcBorders>
            <w:shd w:val="clear" w:color="000000" w:fill="FFFFFF"/>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Služobný úrad MPRV SR</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65 474 739</w:t>
            </w:r>
          </w:p>
        </w:tc>
        <w:tc>
          <w:tcPr>
            <w:tcW w:w="495" w:type="pct"/>
            <w:tcBorders>
              <w:top w:val="nil"/>
              <w:left w:val="nil"/>
              <w:bottom w:val="nil"/>
              <w:right w:val="nil"/>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27 084 610</w:t>
            </w:r>
          </w:p>
        </w:tc>
        <w:tc>
          <w:tcPr>
            <w:tcW w:w="49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30 090 345</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52 445 425</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147 676 187</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146 874 491</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146 874 491</w:t>
            </w:r>
          </w:p>
        </w:tc>
      </w:tr>
      <w:tr w:rsidR="003A497B" w:rsidRPr="005F654E" w:rsidTr="003E1809">
        <w:trPr>
          <w:trHeight w:val="252"/>
        </w:trPr>
        <w:tc>
          <w:tcPr>
            <w:tcW w:w="1537" w:type="pct"/>
            <w:tcBorders>
              <w:top w:val="nil"/>
              <w:left w:val="single" w:sz="4" w:space="0" w:color="auto"/>
              <w:bottom w:val="single" w:sz="4" w:space="0" w:color="auto"/>
              <w:right w:val="single" w:sz="4" w:space="0" w:color="auto"/>
            </w:tcBorders>
            <w:shd w:val="clear" w:color="000000" w:fill="FFFFFF"/>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Štátna veterinárna a potravinová správa SR</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18 138 936</w:t>
            </w:r>
          </w:p>
        </w:tc>
        <w:tc>
          <w:tcPr>
            <w:tcW w:w="495" w:type="pct"/>
            <w:tcBorders>
              <w:top w:val="single" w:sz="4" w:space="0" w:color="auto"/>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sz w:val="14"/>
                <w:szCs w:val="14"/>
                <w:lang w:eastAsia="sk-SK"/>
              </w:rPr>
            </w:pPr>
            <w:r w:rsidRPr="005F654E">
              <w:rPr>
                <w:rFonts w:ascii="Times New Roman" w:hAnsi="Times New Roman" w:cs="Times New Roman"/>
                <w:sz w:val="14"/>
                <w:szCs w:val="14"/>
                <w:lang w:eastAsia="sk-SK"/>
              </w:rPr>
              <w:t>23 836 238</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20 520 679</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21 503 787</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21 772 732</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21 772 732</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21 772 732</w:t>
            </w:r>
          </w:p>
        </w:tc>
      </w:tr>
      <w:tr w:rsidR="003A497B" w:rsidRPr="005F654E" w:rsidTr="003E1809">
        <w:trPr>
          <w:trHeight w:val="252"/>
        </w:trPr>
        <w:tc>
          <w:tcPr>
            <w:tcW w:w="1537" w:type="pct"/>
            <w:tcBorders>
              <w:top w:val="nil"/>
              <w:left w:val="single" w:sz="4" w:space="0" w:color="auto"/>
              <w:bottom w:val="single" w:sz="4" w:space="0" w:color="auto"/>
              <w:right w:val="single" w:sz="4" w:space="0" w:color="auto"/>
            </w:tcBorders>
            <w:shd w:val="clear" w:color="000000" w:fill="FFFFFF"/>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Ústredný kontrolný a skúšobný ústav poľnohospodársky</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12 117 365</w:t>
            </w:r>
          </w:p>
        </w:tc>
        <w:tc>
          <w:tcPr>
            <w:tcW w:w="495"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12 779 947</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10 311 340</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20 364 239</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10 849 122</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10 819 122</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10 814 122</w:t>
            </w:r>
          </w:p>
        </w:tc>
      </w:tr>
      <w:tr w:rsidR="003A497B" w:rsidRPr="005F654E" w:rsidTr="003E1809">
        <w:trPr>
          <w:trHeight w:val="252"/>
        </w:trPr>
        <w:tc>
          <w:tcPr>
            <w:tcW w:w="1537" w:type="pct"/>
            <w:tcBorders>
              <w:top w:val="nil"/>
              <w:left w:val="single" w:sz="4" w:space="0" w:color="auto"/>
              <w:bottom w:val="single" w:sz="4" w:space="0" w:color="auto"/>
              <w:right w:val="single" w:sz="4" w:space="0" w:color="auto"/>
            </w:tcBorders>
            <w:shd w:val="clear" w:color="000000" w:fill="FFFFFF"/>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Plemenárska inšpekcia SR</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220 990</w:t>
            </w:r>
          </w:p>
        </w:tc>
        <w:tc>
          <w:tcPr>
            <w:tcW w:w="495" w:type="pct"/>
            <w:tcBorders>
              <w:top w:val="nil"/>
              <w:left w:val="nil"/>
              <w:bottom w:val="single" w:sz="4" w:space="0" w:color="auto"/>
              <w:right w:val="single" w:sz="4" w:space="0" w:color="auto"/>
            </w:tcBorders>
            <w:shd w:val="clear" w:color="000000" w:fill="FFFFFF"/>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219 399</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202 013</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209 799</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207 301</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207 301</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207 301</w:t>
            </w:r>
          </w:p>
        </w:tc>
      </w:tr>
      <w:tr w:rsidR="003A497B" w:rsidRPr="005F654E" w:rsidTr="003E1809">
        <w:trPr>
          <w:trHeight w:val="252"/>
        </w:trPr>
        <w:tc>
          <w:tcPr>
            <w:tcW w:w="1537" w:type="pct"/>
            <w:tcBorders>
              <w:top w:val="nil"/>
              <w:left w:val="single" w:sz="4" w:space="0" w:color="auto"/>
              <w:bottom w:val="single" w:sz="4" w:space="0" w:color="auto"/>
              <w:right w:val="single" w:sz="4" w:space="0" w:color="auto"/>
            </w:tcBorders>
            <w:shd w:val="clear" w:color="000000" w:fill="FFFFFF"/>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Pôdohospodárska platobná agentúra</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13 270 820</w:t>
            </w:r>
          </w:p>
        </w:tc>
        <w:tc>
          <w:tcPr>
            <w:tcW w:w="495" w:type="pct"/>
            <w:tcBorders>
              <w:top w:val="nil"/>
              <w:left w:val="nil"/>
              <w:bottom w:val="nil"/>
              <w:right w:val="nil"/>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18 802 066</w:t>
            </w:r>
          </w:p>
        </w:tc>
        <w:tc>
          <w:tcPr>
            <w:tcW w:w="49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12 222 339</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19 555 782</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15 414 217</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15 414 217</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15 414 217</w:t>
            </w:r>
          </w:p>
        </w:tc>
      </w:tr>
      <w:tr w:rsidR="003A497B" w:rsidRPr="005F654E" w:rsidTr="003E1809">
        <w:trPr>
          <w:trHeight w:val="252"/>
        </w:trPr>
        <w:tc>
          <w:tcPr>
            <w:tcW w:w="1537" w:type="pct"/>
            <w:tcBorders>
              <w:top w:val="nil"/>
              <w:left w:val="single" w:sz="4" w:space="0" w:color="auto"/>
              <w:bottom w:val="single" w:sz="4" w:space="0" w:color="auto"/>
              <w:right w:val="single" w:sz="4" w:space="0" w:color="auto"/>
            </w:tcBorders>
            <w:shd w:val="clear" w:color="000000" w:fill="D9D9D9"/>
            <w:vAlign w:val="bottom"/>
            <w:hideMark/>
          </w:tcPr>
          <w:p w:rsidR="003A497B" w:rsidRPr="005F654E" w:rsidRDefault="003A497B" w:rsidP="003E1809">
            <w:pPr>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Príspevkové organizácie:</w:t>
            </w:r>
          </w:p>
        </w:tc>
        <w:tc>
          <w:tcPr>
            <w:tcW w:w="494" w:type="pct"/>
            <w:tcBorders>
              <w:top w:val="nil"/>
              <w:left w:val="nil"/>
              <w:bottom w:val="single" w:sz="4" w:space="0" w:color="auto"/>
              <w:right w:val="single" w:sz="4" w:space="0" w:color="auto"/>
            </w:tcBorders>
            <w:shd w:val="clear" w:color="000000" w:fill="D9D9D9"/>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24 027 806</w:t>
            </w:r>
          </w:p>
        </w:tc>
        <w:tc>
          <w:tcPr>
            <w:tcW w:w="495" w:type="pct"/>
            <w:tcBorders>
              <w:top w:val="single" w:sz="4" w:space="0" w:color="auto"/>
              <w:left w:val="nil"/>
              <w:bottom w:val="single" w:sz="4" w:space="0" w:color="auto"/>
              <w:right w:val="single" w:sz="4" w:space="0" w:color="auto"/>
            </w:tcBorders>
            <w:shd w:val="clear" w:color="000000" w:fill="D9D9D9"/>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29 222 897</w:t>
            </w:r>
          </w:p>
        </w:tc>
        <w:tc>
          <w:tcPr>
            <w:tcW w:w="494" w:type="pct"/>
            <w:tcBorders>
              <w:top w:val="nil"/>
              <w:left w:val="nil"/>
              <w:bottom w:val="single" w:sz="4" w:space="0" w:color="auto"/>
              <w:right w:val="single" w:sz="4" w:space="0" w:color="auto"/>
            </w:tcBorders>
            <w:shd w:val="clear" w:color="000000" w:fill="D9D9D9"/>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11 085 652</w:t>
            </w:r>
          </w:p>
        </w:tc>
        <w:tc>
          <w:tcPr>
            <w:tcW w:w="495" w:type="pct"/>
            <w:tcBorders>
              <w:top w:val="nil"/>
              <w:left w:val="nil"/>
              <w:bottom w:val="single" w:sz="4" w:space="0" w:color="auto"/>
              <w:right w:val="single" w:sz="4" w:space="0" w:color="auto"/>
            </w:tcBorders>
            <w:shd w:val="clear" w:color="000000" w:fill="D9D9D9"/>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16 928 024</w:t>
            </w:r>
          </w:p>
        </w:tc>
        <w:tc>
          <w:tcPr>
            <w:tcW w:w="494" w:type="pct"/>
            <w:tcBorders>
              <w:top w:val="nil"/>
              <w:left w:val="nil"/>
              <w:bottom w:val="single" w:sz="4" w:space="0" w:color="auto"/>
              <w:right w:val="single" w:sz="4" w:space="0" w:color="auto"/>
            </w:tcBorders>
            <w:shd w:val="clear" w:color="000000" w:fill="D9D9D9"/>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17 569 064</w:t>
            </w:r>
          </w:p>
        </w:tc>
        <w:tc>
          <w:tcPr>
            <w:tcW w:w="495" w:type="pct"/>
            <w:tcBorders>
              <w:top w:val="nil"/>
              <w:left w:val="nil"/>
              <w:bottom w:val="single" w:sz="4" w:space="0" w:color="auto"/>
              <w:right w:val="single" w:sz="4" w:space="0" w:color="auto"/>
            </w:tcBorders>
            <w:shd w:val="clear" w:color="000000" w:fill="D9D9D9"/>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17 569 064</w:t>
            </w:r>
          </w:p>
        </w:tc>
        <w:tc>
          <w:tcPr>
            <w:tcW w:w="495" w:type="pct"/>
            <w:tcBorders>
              <w:top w:val="nil"/>
              <w:left w:val="nil"/>
              <w:bottom w:val="single" w:sz="4" w:space="0" w:color="auto"/>
              <w:right w:val="single" w:sz="4" w:space="0" w:color="auto"/>
            </w:tcBorders>
            <w:shd w:val="clear" w:color="000000" w:fill="D9D9D9"/>
            <w:noWrap/>
            <w:vAlign w:val="bottom"/>
            <w:hideMark/>
          </w:tcPr>
          <w:p w:rsidR="003A497B" w:rsidRPr="005F654E" w:rsidRDefault="003A497B" w:rsidP="003E1809">
            <w:pPr>
              <w:jc w:val="right"/>
              <w:rPr>
                <w:rFonts w:ascii="Times New Roman" w:hAnsi="Times New Roman" w:cs="Times New Roman"/>
                <w:b/>
                <w:bCs/>
                <w:color w:val="000000"/>
                <w:sz w:val="14"/>
                <w:szCs w:val="14"/>
                <w:lang w:eastAsia="sk-SK"/>
              </w:rPr>
            </w:pPr>
            <w:r w:rsidRPr="005F654E">
              <w:rPr>
                <w:rFonts w:ascii="Times New Roman" w:hAnsi="Times New Roman" w:cs="Times New Roman"/>
                <w:b/>
                <w:bCs/>
                <w:color w:val="000000"/>
                <w:sz w:val="14"/>
                <w:szCs w:val="14"/>
                <w:lang w:eastAsia="sk-SK"/>
              </w:rPr>
              <w:t>17 569 064</w:t>
            </w:r>
          </w:p>
        </w:tc>
      </w:tr>
      <w:tr w:rsidR="003A497B" w:rsidRPr="005F654E" w:rsidTr="003E1809">
        <w:trPr>
          <w:trHeight w:val="252"/>
        </w:trPr>
        <w:tc>
          <w:tcPr>
            <w:tcW w:w="1537" w:type="pct"/>
            <w:tcBorders>
              <w:top w:val="nil"/>
              <w:left w:val="single" w:sz="4" w:space="0" w:color="auto"/>
              <w:bottom w:val="single" w:sz="4" w:space="0" w:color="auto"/>
              <w:right w:val="single" w:sz="4" w:space="0" w:color="auto"/>
            </w:tcBorders>
            <w:shd w:val="clear" w:color="000000" w:fill="FFFFFF"/>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Národné lesnícke centrum Zvolen</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3 610 449</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6 463 278</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1 430 340</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6 209 206</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7 304 688</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7 304 688</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7 304 688</w:t>
            </w:r>
          </w:p>
        </w:tc>
      </w:tr>
      <w:tr w:rsidR="003A497B" w:rsidRPr="005F654E" w:rsidTr="003E1809">
        <w:trPr>
          <w:trHeight w:val="252"/>
        </w:trPr>
        <w:tc>
          <w:tcPr>
            <w:tcW w:w="1537" w:type="pct"/>
            <w:tcBorders>
              <w:top w:val="nil"/>
              <w:left w:val="single" w:sz="4" w:space="0" w:color="auto"/>
              <w:bottom w:val="single" w:sz="4" w:space="0" w:color="auto"/>
              <w:right w:val="single" w:sz="4" w:space="0" w:color="auto"/>
            </w:tcBorders>
            <w:shd w:val="clear" w:color="000000" w:fill="FFFFFF"/>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Inštitút vzdelávania veterinárnych lekárov, Košice</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112 977</w:t>
            </w:r>
          </w:p>
        </w:tc>
        <w:tc>
          <w:tcPr>
            <w:tcW w:w="495" w:type="pct"/>
            <w:tcBorders>
              <w:top w:val="single" w:sz="4" w:space="0" w:color="CCCCCC"/>
              <w:left w:val="single" w:sz="4" w:space="0" w:color="CCCCCC"/>
              <w:bottom w:val="single" w:sz="4" w:space="0" w:color="CCCCCC"/>
              <w:right w:val="single" w:sz="4" w:space="0" w:color="CCCCCC"/>
            </w:tcBorders>
            <w:shd w:val="clear" w:color="000000" w:fill="FFFFFF"/>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99 706</w:t>
            </w:r>
          </w:p>
        </w:tc>
        <w:tc>
          <w:tcPr>
            <w:tcW w:w="49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87 365</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102 647</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87 365</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87 365</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87 365</w:t>
            </w:r>
          </w:p>
        </w:tc>
      </w:tr>
      <w:tr w:rsidR="003A497B" w:rsidRPr="005F654E" w:rsidTr="003E1809">
        <w:trPr>
          <w:trHeight w:val="252"/>
        </w:trPr>
        <w:tc>
          <w:tcPr>
            <w:tcW w:w="1537" w:type="pct"/>
            <w:tcBorders>
              <w:top w:val="nil"/>
              <w:left w:val="single" w:sz="4" w:space="0" w:color="auto"/>
              <w:bottom w:val="single" w:sz="4" w:space="0" w:color="auto"/>
              <w:right w:val="single" w:sz="4" w:space="0" w:color="auto"/>
            </w:tcBorders>
            <w:shd w:val="clear" w:color="000000" w:fill="FFFFFF"/>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Štátne lesy Tatranského národného parku, Tatranská Lomnica</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845 949</w:t>
            </w:r>
          </w:p>
        </w:tc>
        <w:tc>
          <w:tcPr>
            <w:tcW w:w="495" w:type="pct"/>
            <w:tcBorders>
              <w:top w:val="single" w:sz="4" w:space="0" w:color="auto"/>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875 389</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742 500</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830 531</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850 000</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850 000</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850 000</w:t>
            </w:r>
          </w:p>
        </w:tc>
      </w:tr>
      <w:tr w:rsidR="003A497B" w:rsidRPr="005F654E" w:rsidTr="003E1809">
        <w:trPr>
          <w:trHeight w:val="252"/>
        </w:trPr>
        <w:tc>
          <w:tcPr>
            <w:tcW w:w="1537" w:type="pct"/>
            <w:tcBorders>
              <w:top w:val="nil"/>
              <w:left w:val="single" w:sz="4" w:space="0" w:color="auto"/>
              <w:bottom w:val="single" w:sz="4" w:space="0" w:color="auto"/>
              <w:right w:val="single" w:sz="4" w:space="0" w:color="auto"/>
            </w:tcBorders>
            <w:shd w:val="clear" w:color="000000" w:fill="FFFFFF"/>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Agentúra pre rozvoj vidieka, Nitra</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110 698</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116 505</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87 265</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94 316</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87 265</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87 265</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87 265</w:t>
            </w:r>
          </w:p>
        </w:tc>
      </w:tr>
      <w:tr w:rsidR="003A497B" w:rsidRPr="005F654E" w:rsidTr="003E1809">
        <w:trPr>
          <w:trHeight w:val="252"/>
        </w:trPr>
        <w:tc>
          <w:tcPr>
            <w:tcW w:w="1537" w:type="pct"/>
            <w:tcBorders>
              <w:top w:val="nil"/>
              <w:left w:val="single" w:sz="4" w:space="0" w:color="auto"/>
              <w:bottom w:val="single" w:sz="4" w:space="0" w:color="auto"/>
              <w:right w:val="single" w:sz="4" w:space="0" w:color="auto"/>
            </w:tcBorders>
            <w:shd w:val="clear" w:color="000000" w:fill="FFFFFF"/>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Múzeum vo Svätom Antone</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227 800</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671 125</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124 184</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160 151</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193 500</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193 500</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193 500</w:t>
            </w:r>
          </w:p>
        </w:tc>
      </w:tr>
      <w:tr w:rsidR="003A497B" w:rsidRPr="005F654E" w:rsidTr="003E1809">
        <w:trPr>
          <w:trHeight w:val="252"/>
        </w:trPr>
        <w:tc>
          <w:tcPr>
            <w:tcW w:w="1537" w:type="pct"/>
            <w:tcBorders>
              <w:top w:val="nil"/>
              <w:left w:val="single" w:sz="4" w:space="0" w:color="auto"/>
              <w:bottom w:val="single" w:sz="4" w:space="0" w:color="auto"/>
              <w:right w:val="single" w:sz="4" w:space="0" w:color="auto"/>
            </w:tcBorders>
            <w:shd w:val="clear" w:color="000000" w:fill="FFFFFF"/>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Národné poľnohospodárske a potravinárske centrum Lužianky</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15 388 582</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17 191 964</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5 428 648</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6 190 299</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5 837 431</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5 837 431</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5 837 431</w:t>
            </w:r>
          </w:p>
        </w:tc>
      </w:tr>
      <w:tr w:rsidR="003A497B" w:rsidRPr="005F654E" w:rsidTr="003E1809">
        <w:trPr>
          <w:trHeight w:val="252"/>
        </w:trPr>
        <w:tc>
          <w:tcPr>
            <w:tcW w:w="1537" w:type="pct"/>
            <w:tcBorders>
              <w:top w:val="nil"/>
              <w:left w:val="single" w:sz="4" w:space="0" w:color="auto"/>
              <w:bottom w:val="single" w:sz="4" w:space="0" w:color="auto"/>
              <w:right w:val="single" w:sz="4" w:space="0" w:color="auto"/>
            </w:tcBorders>
            <w:shd w:val="clear" w:color="000000" w:fill="FFFFFF"/>
            <w:vAlign w:val="bottom"/>
            <w:hideMark/>
          </w:tcPr>
          <w:p w:rsidR="003A497B" w:rsidRPr="005F654E" w:rsidRDefault="003A497B" w:rsidP="003E1809">
            <w:pPr>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Štátny veterinárny a potravinový ústav Dolný Kubín</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3 731 351</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3 804 930</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3 185 350</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3 340 874</w:t>
            </w:r>
          </w:p>
        </w:tc>
        <w:tc>
          <w:tcPr>
            <w:tcW w:w="494"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3 208 815</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3 208 815</w:t>
            </w:r>
          </w:p>
        </w:tc>
        <w:tc>
          <w:tcPr>
            <w:tcW w:w="495" w:type="pct"/>
            <w:tcBorders>
              <w:top w:val="nil"/>
              <w:left w:val="nil"/>
              <w:bottom w:val="single" w:sz="4" w:space="0" w:color="auto"/>
              <w:right w:val="single" w:sz="4" w:space="0" w:color="auto"/>
            </w:tcBorders>
            <w:shd w:val="clear" w:color="auto" w:fill="auto"/>
            <w:noWrap/>
            <w:vAlign w:val="bottom"/>
            <w:hideMark/>
          </w:tcPr>
          <w:p w:rsidR="003A497B" w:rsidRPr="005F654E" w:rsidRDefault="003A497B" w:rsidP="003E1809">
            <w:pPr>
              <w:jc w:val="right"/>
              <w:rPr>
                <w:rFonts w:ascii="Times New Roman" w:hAnsi="Times New Roman" w:cs="Times New Roman"/>
                <w:color w:val="000000"/>
                <w:sz w:val="14"/>
                <w:szCs w:val="14"/>
                <w:lang w:eastAsia="sk-SK"/>
              </w:rPr>
            </w:pPr>
            <w:r w:rsidRPr="005F654E">
              <w:rPr>
                <w:rFonts w:ascii="Times New Roman" w:hAnsi="Times New Roman" w:cs="Times New Roman"/>
                <w:color w:val="000000"/>
                <w:sz w:val="14"/>
                <w:szCs w:val="14"/>
                <w:lang w:eastAsia="sk-SK"/>
              </w:rPr>
              <w:t>3 208 815</w:t>
            </w:r>
          </w:p>
        </w:tc>
      </w:tr>
    </w:tbl>
    <w:p w:rsidR="003A497B" w:rsidRPr="005F654E" w:rsidRDefault="003A497B" w:rsidP="003A497B">
      <w:pPr>
        <w:jc w:val="both"/>
        <w:rPr>
          <w:rFonts w:ascii="Times New Roman" w:hAnsi="Times New Roman" w:cs="Times New Roman"/>
          <w:lang w:eastAsia="sk-SK"/>
        </w:rPr>
      </w:pPr>
    </w:p>
    <w:p w:rsidR="003A497B" w:rsidRDefault="003A497B" w:rsidP="003A497B">
      <w:pPr>
        <w:jc w:val="both"/>
        <w:rPr>
          <w:rFonts w:ascii="Times New Roman" w:hAnsi="Times New Roman" w:cs="Times New Roman"/>
          <w:noProof/>
          <w:lang w:eastAsia="sk-SK"/>
        </w:rPr>
      </w:pPr>
      <w:r w:rsidRPr="005F654E">
        <w:rPr>
          <w:rFonts w:ascii="Times New Roman" w:hAnsi="Times New Roman" w:cs="Times New Roman"/>
          <w:lang w:eastAsia="sk-SK"/>
        </w:rPr>
        <w:tab/>
      </w:r>
      <w:r w:rsidRPr="005F654E">
        <w:rPr>
          <w:rFonts w:ascii="Times New Roman" w:hAnsi="Times New Roman" w:cs="Times New Roman"/>
          <w:noProof/>
          <w:lang w:eastAsia="sk-SK"/>
        </w:rPr>
        <w:t xml:space="preserve">Celkové výdavky zo ŠR na inštitucionálnu podporu pôdohospodárstva sú rozpočtované vo výške 213 mil. eur, čo predstavuje oproti schválenému rozpočtu roku 2018 nárast o </w:t>
      </w:r>
      <w:r>
        <w:rPr>
          <w:rFonts w:ascii="Times New Roman" w:hAnsi="Times New Roman" w:cs="Times New Roman"/>
          <w:noProof/>
          <w:lang w:eastAsia="sk-SK"/>
        </w:rPr>
        <w:br/>
      </w:r>
      <w:r w:rsidRPr="005F654E">
        <w:rPr>
          <w:rFonts w:ascii="Times New Roman" w:hAnsi="Times New Roman" w:cs="Times New Roman"/>
          <w:noProof/>
          <w:lang w:eastAsia="sk-SK"/>
        </w:rPr>
        <w:t>129 mil. eur. Výdavky rozpočtových organizácií v porovnaní so schváleným rozpočtom roku 2018 rastú o 123 mil. eur. Výdavky príspevkových organizácií medziročne rastú o </w:t>
      </w:r>
      <w:r>
        <w:rPr>
          <w:rFonts w:ascii="Times New Roman" w:hAnsi="Times New Roman" w:cs="Times New Roman"/>
          <w:noProof/>
          <w:lang w:eastAsia="sk-SK"/>
        </w:rPr>
        <w:br/>
      </w:r>
      <w:r w:rsidRPr="005F654E">
        <w:rPr>
          <w:rFonts w:ascii="Times New Roman" w:hAnsi="Times New Roman" w:cs="Times New Roman"/>
          <w:noProof/>
          <w:lang w:eastAsia="sk-SK"/>
        </w:rPr>
        <w:t>6,48 mil. eur. Uvedené je spôsobené najmä rozpočtovaním vyššieho transferu pre Národné lesnícke centrum na vyhotovenie programov starostlivosti o les.</w:t>
      </w:r>
    </w:p>
    <w:p w:rsidR="003A497B" w:rsidRDefault="003A497B" w:rsidP="003A497B">
      <w:pPr>
        <w:jc w:val="both"/>
        <w:rPr>
          <w:rFonts w:ascii="Times New Roman" w:hAnsi="Times New Roman" w:cs="Times New Roman"/>
          <w:highlight w:val="yellow"/>
        </w:rPr>
      </w:pPr>
    </w:p>
    <w:p w:rsidR="00D2350F" w:rsidRDefault="00D2350F" w:rsidP="003A497B">
      <w:pPr>
        <w:jc w:val="both"/>
        <w:rPr>
          <w:rFonts w:ascii="Times New Roman" w:hAnsi="Times New Roman" w:cs="Times New Roman"/>
          <w:highlight w:val="yellow"/>
        </w:rPr>
      </w:pPr>
    </w:p>
    <w:p w:rsidR="00D2350F" w:rsidRDefault="00D2350F" w:rsidP="003A497B">
      <w:pPr>
        <w:jc w:val="both"/>
        <w:rPr>
          <w:rFonts w:ascii="Times New Roman" w:hAnsi="Times New Roman" w:cs="Times New Roman"/>
          <w:highlight w:val="yellow"/>
        </w:rPr>
      </w:pPr>
    </w:p>
    <w:p w:rsidR="00D2350F" w:rsidRDefault="00D2350F" w:rsidP="003A497B">
      <w:pPr>
        <w:jc w:val="both"/>
        <w:rPr>
          <w:rFonts w:ascii="Times New Roman" w:hAnsi="Times New Roman" w:cs="Times New Roman"/>
          <w:highlight w:val="yellow"/>
        </w:rPr>
      </w:pPr>
    </w:p>
    <w:p w:rsidR="00D2350F" w:rsidRDefault="00D2350F" w:rsidP="003A497B">
      <w:pPr>
        <w:jc w:val="both"/>
        <w:rPr>
          <w:rFonts w:ascii="Times New Roman" w:hAnsi="Times New Roman" w:cs="Times New Roman"/>
          <w:highlight w:val="yellow"/>
        </w:rPr>
      </w:pPr>
    </w:p>
    <w:p w:rsidR="00D2350F" w:rsidRDefault="00D2350F" w:rsidP="003A497B">
      <w:pPr>
        <w:jc w:val="both"/>
        <w:rPr>
          <w:rFonts w:ascii="Times New Roman" w:hAnsi="Times New Roman" w:cs="Times New Roman"/>
          <w:highlight w:val="yellow"/>
        </w:rPr>
      </w:pPr>
    </w:p>
    <w:p w:rsidR="00D2350F" w:rsidRDefault="00D2350F" w:rsidP="003A497B">
      <w:pPr>
        <w:jc w:val="both"/>
        <w:rPr>
          <w:rFonts w:ascii="Times New Roman" w:hAnsi="Times New Roman" w:cs="Times New Roman"/>
          <w:highlight w:val="yellow"/>
        </w:rPr>
      </w:pPr>
    </w:p>
    <w:p w:rsidR="00D2350F" w:rsidRDefault="00D2350F" w:rsidP="003A497B">
      <w:pPr>
        <w:jc w:val="both"/>
        <w:rPr>
          <w:rFonts w:ascii="Times New Roman" w:hAnsi="Times New Roman" w:cs="Times New Roman"/>
          <w:highlight w:val="yellow"/>
        </w:rPr>
      </w:pPr>
    </w:p>
    <w:p w:rsidR="00D2350F" w:rsidRDefault="00D2350F" w:rsidP="003A497B">
      <w:pPr>
        <w:jc w:val="both"/>
        <w:rPr>
          <w:rFonts w:ascii="Times New Roman" w:hAnsi="Times New Roman" w:cs="Times New Roman"/>
          <w:highlight w:val="yellow"/>
        </w:rPr>
      </w:pPr>
    </w:p>
    <w:p w:rsidR="00D2350F" w:rsidRDefault="00D2350F" w:rsidP="003A497B">
      <w:pPr>
        <w:jc w:val="both"/>
        <w:rPr>
          <w:rFonts w:ascii="Times New Roman" w:hAnsi="Times New Roman" w:cs="Times New Roman"/>
          <w:highlight w:val="yellow"/>
        </w:rPr>
      </w:pPr>
    </w:p>
    <w:p w:rsidR="00D2350F" w:rsidRDefault="00D2350F" w:rsidP="003A497B">
      <w:pPr>
        <w:jc w:val="both"/>
        <w:rPr>
          <w:rFonts w:ascii="Times New Roman" w:hAnsi="Times New Roman" w:cs="Times New Roman"/>
          <w:highlight w:val="yellow"/>
        </w:rPr>
      </w:pPr>
    </w:p>
    <w:p w:rsidR="00D2350F" w:rsidRDefault="00D2350F" w:rsidP="003A497B">
      <w:pPr>
        <w:jc w:val="both"/>
        <w:rPr>
          <w:rFonts w:ascii="Times New Roman" w:hAnsi="Times New Roman" w:cs="Times New Roman"/>
          <w:highlight w:val="yellow"/>
        </w:rPr>
      </w:pPr>
    </w:p>
    <w:p w:rsidR="00D2350F" w:rsidRDefault="00D2350F" w:rsidP="003A497B">
      <w:pPr>
        <w:jc w:val="both"/>
        <w:rPr>
          <w:rFonts w:ascii="Times New Roman" w:hAnsi="Times New Roman" w:cs="Times New Roman"/>
          <w:highlight w:val="yellow"/>
        </w:rPr>
      </w:pPr>
    </w:p>
    <w:p w:rsidR="00D2350F" w:rsidRDefault="00D2350F" w:rsidP="003A497B">
      <w:pPr>
        <w:jc w:val="both"/>
        <w:rPr>
          <w:rFonts w:ascii="Times New Roman" w:hAnsi="Times New Roman" w:cs="Times New Roman"/>
          <w:highlight w:val="yellow"/>
        </w:rPr>
      </w:pPr>
    </w:p>
    <w:p w:rsidR="00D2350F" w:rsidRDefault="00D2350F" w:rsidP="003A497B">
      <w:pPr>
        <w:jc w:val="both"/>
        <w:rPr>
          <w:rFonts w:ascii="Times New Roman" w:hAnsi="Times New Roman" w:cs="Times New Roman"/>
          <w:highlight w:val="yellow"/>
        </w:rPr>
      </w:pPr>
    </w:p>
    <w:p w:rsidR="00D2350F" w:rsidRDefault="00D2350F" w:rsidP="003A497B">
      <w:pPr>
        <w:jc w:val="both"/>
        <w:rPr>
          <w:rFonts w:ascii="Times New Roman" w:hAnsi="Times New Roman" w:cs="Times New Roman"/>
          <w:highlight w:val="yellow"/>
        </w:rPr>
      </w:pPr>
    </w:p>
    <w:p w:rsidR="00D2350F" w:rsidRDefault="00D2350F" w:rsidP="003A497B">
      <w:pPr>
        <w:jc w:val="both"/>
        <w:rPr>
          <w:rFonts w:ascii="Times New Roman" w:hAnsi="Times New Roman" w:cs="Times New Roman"/>
          <w:highlight w:val="yellow"/>
        </w:rPr>
      </w:pPr>
    </w:p>
    <w:p w:rsidR="00D2350F" w:rsidRDefault="00D2350F" w:rsidP="003A497B">
      <w:pPr>
        <w:jc w:val="both"/>
        <w:rPr>
          <w:rFonts w:ascii="Times New Roman" w:hAnsi="Times New Roman" w:cs="Times New Roman"/>
          <w:highlight w:val="yellow"/>
        </w:rPr>
      </w:pPr>
    </w:p>
    <w:p w:rsidR="00D2350F" w:rsidRDefault="00D2350F" w:rsidP="003A497B">
      <w:pPr>
        <w:jc w:val="both"/>
        <w:rPr>
          <w:rFonts w:ascii="Times New Roman" w:hAnsi="Times New Roman" w:cs="Times New Roman"/>
          <w:highlight w:val="yellow"/>
        </w:rPr>
      </w:pPr>
    </w:p>
    <w:p w:rsidR="00D2350F" w:rsidRDefault="00D2350F" w:rsidP="003A497B">
      <w:pPr>
        <w:jc w:val="both"/>
        <w:rPr>
          <w:rFonts w:ascii="Times New Roman" w:hAnsi="Times New Roman" w:cs="Times New Roman"/>
          <w:highlight w:val="yellow"/>
        </w:rPr>
      </w:pPr>
    </w:p>
    <w:p w:rsidR="00D2350F" w:rsidRDefault="00D2350F" w:rsidP="003A497B">
      <w:pPr>
        <w:jc w:val="both"/>
        <w:rPr>
          <w:rFonts w:ascii="Times New Roman" w:hAnsi="Times New Roman" w:cs="Times New Roman"/>
          <w:highlight w:val="yellow"/>
        </w:rPr>
      </w:pPr>
    </w:p>
    <w:p w:rsidR="00D2350F" w:rsidRDefault="00D2350F" w:rsidP="003A497B">
      <w:pPr>
        <w:jc w:val="both"/>
        <w:rPr>
          <w:rFonts w:ascii="Times New Roman" w:hAnsi="Times New Roman" w:cs="Times New Roman"/>
          <w:highlight w:val="yellow"/>
        </w:rPr>
      </w:pPr>
    </w:p>
    <w:p w:rsidR="00D2350F" w:rsidRPr="004A3627" w:rsidRDefault="00D2350F" w:rsidP="003A497B">
      <w:pPr>
        <w:jc w:val="both"/>
        <w:rPr>
          <w:rFonts w:ascii="Times New Roman" w:hAnsi="Times New Roman" w:cs="Times New Roman"/>
          <w:highlight w:val="yellow"/>
        </w:rPr>
      </w:pPr>
    </w:p>
    <w:p w:rsidR="003A497B" w:rsidRPr="00F811C6" w:rsidRDefault="003A497B" w:rsidP="003A497B">
      <w:pPr>
        <w:pStyle w:val="Nadpis5"/>
        <w:pBdr>
          <w:bottom w:val="single" w:sz="4" w:space="1" w:color="auto"/>
        </w:pBdr>
        <w:ind w:left="0"/>
        <w:rPr>
          <w:i w:val="0"/>
          <w:sz w:val="24"/>
          <w:lang w:eastAsia="sk-SK"/>
        </w:rPr>
      </w:pPr>
      <w:bookmarkStart w:id="94" w:name="_Toc408571454"/>
      <w:bookmarkStart w:id="95" w:name="_Toc463048249"/>
      <w:bookmarkStart w:id="96" w:name="_Toc526267696"/>
      <w:r w:rsidRPr="00F811C6">
        <w:rPr>
          <w:i w:val="0"/>
          <w:sz w:val="24"/>
          <w:lang w:eastAsia="sk-SK"/>
        </w:rPr>
        <w:lastRenderedPageBreak/>
        <w:t>Ministerstvo zdravotníctva SR</w:t>
      </w:r>
      <w:bookmarkEnd w:id="94"/>
      <w:bookmarkEnd w:id="95"/>
      <w:bookmarkEnd w:id="96"/>
      <w:r>
        <w:rPr>
          <w:i w:val="0"/>
          <w:sz w:val="24"/>
          <w:lang w:eastAsia="sk-SK"/>
        </w:rPr>
        <w:t xml:space="preserve">   </w:t>
      </w:r>
    </w:p>
    <w:p w:rsidR="003A497B" w:rsidRDefault="003A497B" w:rsidP="003A497B">
      <w:pPr>
        <w:jc w:val="both"/>
        <w:rPr>
          <w:rFonts w:ascii="Times New Roman" w:hAnsi="Times New Roman" w:cs="Times New Roman"/>
          <w:b/>
          <w:noProof/>
          <w:lang w:eastAsia="sk-SK"/>
        </w:rPr>
      </w:pPr>
    </w:p>
    <w:p w:rsidR="003A497B" w:rsidRDefault="003A497B" w:rsidP="003A497B">
      <w:pPr>
        <w:shd w:val="clear" w:color="auto" w:fill="FFFFFF" w:themeFill="background1"/>
        <w:spacing w:line="259" w:lineRule="auto"/>
        <w:ind w:firstLine="708"/>
        <w:jc w:val="both"/>
        <w:rPr>
          <w:rFonts w:ascii="Times New Roman" w:eastAsiaTheme="minorHAnsi" w:hAnsi="Times New Roman" w:cs="Times New Roman"/>
          <w:lang w:eastAsia="en-US"/>
        </w:rPr>
      </w:pPr>
      <w:r w:rsidRPr="00086A6E">
        <w:rPr>
          <w:rFonts w:ascii="Times New Roman" w:eastAsiaTheme="minorHAnsi" w:hAnsi="Times New Roman" w:cs="Times New Roman"/>
          <w:lang w:eastAsia="en-US"/>
        </w:rPr>
        <w:t>Cieľom verejných výdavkov v zdravotnej politike je vytvárať predpoklady pre zdravý život jedinca a zabezpečiť kvalitnú a dostupnú zdravotnú starostlivosť, ktorá zlepšuje a predlžuje život s ohľadom na účelnosť a efektívnosť verejných zdrojov. Kvalitu zdravotného systému a zdravotnej starostlivosti popisuje počet úmrtí odvrátiteľných systémom zdravotnej starostlivosti (</w:t>
      </w:r>
      <w:r w:rsidRPr="00086A6E">
        <w:rPr>
          <w:rFonts w:ascii="Times New Roman" w:eastAsia="Calibri" w:hAnsi="Times New Roman" w:cs="Times New Roman"/>
          <w:shd w:val="clear" w:color="auto" w:fill="FFFFFF" w:themeFill="background1"/>
          <w:lang w:eastAsia="en-US"/>
        </w:rPr>
        <w:t xml:space="preserve">amenable </w:t>
      </w:r>
      <w:r w:rsidRPr="00086A6E">
        <w:rPr>
          <w:rFonts w:ascii="Times New Roman" w:eastAsia="Calibri" w:hAnsi="Times New Roman" w:cs="Times New Roman"/>
          <w:lang w:eastAsia="en-US"/>
        </w:rPr>
        <w:t>mortality</w:t>
      </w:r>
      <w:r w:rsidRPr="00086A6E">
        <w:rPr>
          <w:rFonts w:ascii="Times New Roman" w:eastAsiaTheme="minorHAnsi" w:hAnsi="Times New Roman" w:cs="Times New Roman"/>
          <w:lang w:eastAsia="en-US"/>
        </w:rPr>
        <w:t>). Cieľom je na Slovensku dosiahnuť do roku 2025 úroveň priemeru ostatných krajín V4, t. j. 205 úmrtí na 100 tis. obyvateľov. V roku 2015 bolo na Slovensku 250 odvrátiteľných úmrtí, t. j. o 18 % viac.</w:t>
      </w:r>
    </w:p>
    <w:p w:rsidR="009D748D" w:rsidRPr="00086A6E" w:rsidRDefault="009D748D" w:rsidP="003A497B">
      <w:pPr>
        <w:shd w:val="clear" w:color="auto" w:fill="FFFFFF" w:themeFill="background1"/>
        <w:spacing w:line="259" w:lineRule="auto"/>
        <w:ind w:firstLine="708"/>
        <w:jc w:val="both"/>
        <w:rPr>
          <w:rFonts w:ascii="Times New Roman" w:eastAsiaTheme="minorHAnsi" w:hAnsi="Times New Roman" w:cs="Times New Roman"/>
          <w:lang w:eastAsia="en-US"/>
        </w:rPr>
      </w:pPr>
    </w:p>
    <w:tbl>
      <w:tblPr>
        <w:tblStyle w:val="Mriekatabukysvetl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536"/>
        <w:gridCol w:w="4536"/>
      </w:tblGrid>
      <w:tr w:rsidR="003A497B" w:rsidRPr="00086A6E" w:rsidTr="003E1809">
        <w:trPr>
          <w:trHeight w:val="228"/>
        </w:trPr>
        <w:tc>
          <w:tcPr>
            <w:tcW w:w="4536" w:type="dxa"/>
            <w:tcBorders>
              <w:bottom w:val="single" w:sz="4" w:space="0" w:color="auto"/>
            </w:tcBorders>
            <w:shd w:val="clear" w:color="auto" w:fill="FFFFFF" w:themeFill="background1"/>
          </w:tcPr>
          <w:p w:rsidR="003A497B" w:rsidRPr="00086A6E" w:rsidRDefault="003A497B" w:rsidP="003E1809">
            <w:pPr>
              <w:keepNext/>
              <w:shd w:val="clear" w:color="auto" w:fill="FFFFFF" w:themeFill="background1"/>
              <w:jc w:val="both"/>
              <w:rPr>
                <w:rFonts w:ascii="Times New Roman" w:hAnsi="Times New Roman" w:cs="Times New Roman"/>
                <w:b/>
                <w:color w:val="000000"/>
                <w:sz w:val="16"/>
                <w:szCs w:val="14"/>
                <w:lang w:eastAsia="en-US"/>
              </w:rPr>
            </w:pPr>
            <w:r w:rsidRPr="00086A6E">
              <w:rPr>
                <w:rFonts w:ascii="Times New Roman" w:hAnsi="Times New Roman" w:cs="Times New Roman"/>
                <w:b/>
                <w:color w:val="000000"/>
                <w:sz w:val="16"/>
                <w:szCs w:val="14"/>
                <w:lang w:eastAsia="en-US"/>
              </w:rPr>
              <w:t xml:space="preserve">Graf: </w:t>
            </w:r>
            <w:r w:rsidRPr="00086A6E">
              <w:rPr>
                <w:rFonts w:ascii="Times New Roman" w:hAnsi="Times New Roman" w:cs="Times New Roman"/>
                <w:b/>
                <w:sz w:val="16"/>
                <w:szCs w:val="14"/>
                <w:lang w:eastAsia="en-US"/>
              </w:rPr>
              <w:t>Úmrtnosť odvrátiteľná systémom zdravotnej starostlivosti na 100 tis. obyvateľov</w:t>
            </w:r>
          </w:p>
        </w:tc>
        <w:tc>
          <w:tcPr>
            <w:tcW w:w="4536" w:type="dxa"/>
            <w:tcBorders>
              <w:bottom w:val="single" w:sz="4" w:space="0" w:color="auto"/>
            </w:tcBorders>
            <w:shd w:val="clear" w:color="auto" w:fill="FFFFFF" w:themeFill="background1"/>
          </w:tcPr>
          <w:p w:rsidR="003A497B" w:rsidRPr="00086A6E" w:rsidRDefault="003A497B" w:rsidP="003E1809">
            <w:pPr>
              <w:keepNext/>
              <w:shd w:val="clear" w:color="auto" w:fill="FFFFFF" w:themeFill="background1"/>
              <w:jc w:val="both"/>
              <w:rPr>
                <w:rFonts w:ascii="Times New Roman" w:hAnsi="Times New Roman" w:cs="Times New Roman"/>
                <w:b/>
                <w:i/>
                <w:iCs/>
                <w:color w:val="000000"/>
                <w:sz w:val="16"/>
                <w:szCs w:val="14"/>
                <w:lang w:eastAsia="en-US"/>
              </w:rPr>
            </w:pPr>
            <w:r w:rsidRPr="00086A6E">
              <w:rPr>
                <w:rFonts w:ascii="Times New Roman" w:hAnsi="Times New Roman" w:cs="Times New Roman"/>
                <w:b/>
                <w:color w:val="000000"/>
                <w:sz w:val="16"/>
                <w:szCs w:val="14"/>
                <w:lang w:eastAsia="en-US"/>
              </w:rPr>
              <w:t>Graf: Očakávaná dĺžka života žien</w:t>
            </w:r>
            <w:r w:rsidRPr="00086A6E">
              <w:rPr>
                <w:rFonts w:ascii="Times New Roman" w:hAnsi="Times New Roman" w:cs="Times New Roman"/>
                <w:b/>
                <w:color w:val="000000"/>
                <w:sz w:val="16"/>
                <w:szCs w:val="14"/>
                <w:vertAlign w:val="superscript"/>
                <w:lang w:eastAsia="en-US"/>
              </w:rPr>
              <w:footnoteReference w:id="18"/>
            </w:r>
            <w:r w:rsidRPr="00086A6E">
              <w:rPr>
                <w:rFonts w:ascii="Times New Roman" w:hAnsi="Times New Roman" w:cs="Times New Roman"/>
                <w:b/>
                <w:color w:val="000000"/>
                <w:sz w:val="16"/>
                <w:szCs w:val="14"/>
                <w:vertAlign w:val="superscript"/>
                <w:lang w:eastAsia="en-US"/>
              </w:rPr>
              <w:t xml:space="preserve"> </w:t>
            </w:r>
            <w:r w:rsidRPr="00086A6E">
              <w:rPr>
                <w:rFonts w:ascii="Times New Roman" w:hAnsi="Times New Roman" w:cs="Times New Roman"/>
                <w:b/>
                <w:color w:val="000000"/>
                <w:sz w:val="16"/>
                <w:szCs w:val="14"/>
                <w:lang w:eastAsia="en-US"/>
              </w:rPr>
              <w:t>pri narodení</w:t>
            </w:r>
          </w:p>
        </w:tc>
      </w:tr>
      <w:tr w:rsidR="003A497B" w:rsidRPr="00086A6E" w:rsidTr="003E1809">
        <w:tblPrEx>
          <w:tblCellMar>
            <w:left w:w="70" w:type="dxa"/>
            <w:right w:w="70" w:type="dxa"/>
          </w:tblCellMar>
        </w:tblPrEx>
        <w:trPr>
          <w:trHeight w:val="2236"/>
        </w:trPr>
        <w:tc>
          <w:tcPr>
            <w:tcW w:w="4536" w:type="dxa"/>
            <w:tcBorders>
              <w:top w:val="single" w:sz="4" w:space="0" w:color="auto"/>
              <w:bottom w:val="single" w:sz="4" w:space="0" w:color="auto"/>
            </w:tcBorders>
            <w:shd w:val="clear" w:color="auto" w:fill="FFFFFF" w:themeFill="background1"/>
          </w:tcPr>
          <w:p w:rsidR="003A497B" w:rsidRPr="00086A6E" w:rsidRDefault="003A497B" w:rsidP="003E1809">
            <w:pPr>
              <w:shd w:val="clear" w:color="auto" w:fill="FFFFFF" w:themeFill="background1"/>
              <w:contextualSpacing/>
              <w:jc w:val="both"/>
              <w:rPr>
                <w:rFonts w:ascii="Times New Roman" w:hAnsi="Times New Roman" w:cs="Times New Roman"/>
                <w:color w:val="000000"/>
                <w:sz w:val="22"/>
                <w:szCs w:val="22"/>
                <w:highlight w:val="lightGray"/>
                <w:lang w:eastAsia="en-US"/>
              </w:rPr>
            </w:pPr>
            <w:r w:rsidRPr="00086A6E">
              <w:rPr>
                <w:rFonts w:ascii="Times New Roman" w:hAnsi="Times New Roman" w:cs="Times New Roman"/>
                <w:noProof/>
                <w:lang w:eastAsia="sk-SK"/>
              </w:rPr>
              <w:t xml:space="preserve"> </w:t>
            </w:r>
            <w:r w:rsidRPr="00086A6E">
              <w:rPr>
                <w:rFonts w:ascii="Times New Roman" w:hAnsi="Times New Roman" w:cs="Times New Roman"/>
                <w:noProof/>
                <w:lang w:eastAsia="sk-SK"/>
              </w:rPr>
              <w:drawing>
                <wp:inline distT="0" distB="0" distL="0" distR="0" wp14:anchorId="2E400124" wp14:editId="6878A103">
                  <wp:extent cx="2791460" cy="1938020"/>
                  <wp:effectExtent l="0" t="0" r="8890" b="5080"/>
                  <wp:docPr id="19" name="Graf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536" w:type="dxa"/>
            <w:tcBorders>
              <w:top w:val="single" w:sz="4" w:space="0" w:color="auto"/>
              <w:bottom w:val="single" w:sz="4" w:space="0" w:color="auto"/>
            </w:tcBorders>
            <w:shd w:val="clear" w:color="auto" w:fill="FFFFFF" w:themeFill="background1"/>
          </w:tcPr>
          <w:p w:rsidR="003A497B" w:rsidRPr="00086A6E" w:rsidRDefault="003A497B" w:rsidP="003E1809">
            <w:pPr>
              <w:shd w:val="clear" w:color="auto" w:fill="FFFFFF" w:themeFill="background1"/>
              <w:contextualSpacing/>
              <w:jc w:val="both"/>
              <w:rPr>
                <w:rFonts w:ascii="Times New Roman" w:hAnsi="Times New Roman" w:cs="Times New Roman"/>
                <w:color w:val="000000"/>
                <w:sz w:val="22"/>
                <w:szCs w:val="22"/>
                <w:highlight w:val="lightGray"/>
                <w:lang w:val="en-US" w:eastAsia="en-US"/>
              </w:rPr>
            </w:pPr>
            <w:r w:rsidRPr="00086A6E">
              <w:rPr>
                <w:rFonts w:ascii="Times New Roman" w:hAnsi="Times New Roman" w:cs="Times New Roman"/>
                <w:noProof/>
                <w:lang w:eastAsia="sk-SK"/>
              </w:rPr>
              <w:drawing>
                <wp:inline distT="0" distB="0" distL="0" distR="0" wp14:anchorId="76C5CF3F" wp14:editId="1DAC97F4">
                  <wp:extent cx="2791460" cy="2107353"/>
                  <wp:effectExtent l="0" t="0" r="8890" b="7620"/>
                  <wp:docPr id="20"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3A497B" w:rsidRPr="00086A6E" w:rsidTr="003E1809">
        <w:trPr>
          <w:trHeight w:val="201"/>
        </w:trPr>
        <w:tc>
          <w:tcPr>
            <w:tcW w:w="4536" w:type="dxa"/>
            <w:tcBorders>
              <w:top w:val="single" w:sz="4" w:space="0" w:color="auto"/>
            </w:tcBorders>
            <w:shd w:val="clear" w:color="auto" w:fill="FFFFFF" w:themeFill="background1"/>
            <w:vAlign w:val="bottom"/>
          </w:tcPr>
          <w:p w:rsidR="003A497B" w:rsidRPr="00086A6E" w:rsidRDefault="003A497B" w:rsidP="003E1809">
            <w:pPr>
              <w:shd w:val="clear" w:color="auto" w:fill="FFFFFF" w:themeFill="background1"/>
              <w:jc w:val="right"/>
              <w:rPr>
                <w:rFonts w:ascii="Times New Roman" w:hAnsi="Times New Roman" w:cs="Times New Roman"/>
                <w:i/>
                <w:iCs/>
                <w:sz w:val="16"/>
                <w:szCs w:val="16"/>
                <w:lang w:val="en-US" w:eastAsia="en-US"/>
              </w:rPr>
            </w:pPr>
            <w:r w:rsidRPr="00086A6E">
              <w:rPr>
                <w:rFonts w:ascii="Times New Roman" w:hAnsi="Times New Roman" w:cs="Times New Roman"/>
                <w:i/>
                <w:noProof/>
                <w:sz w:val="16"/>
                <w:szCs w:val="16"/>
                <w:lang w:val="en-US" w:eastAsia="en-US"/>
              </w:rPr>
              <w:t>Zdroj: Eurostat 2018</w:t>
            </w:r>
          </w:p>
        </w:tc>
        <w:tc>
          <w:tcPr>
            <w:tcW w:w="4536" w:type="dxa"/>
            <w:tcBorders>
              <w:top w:val="single" w:sz="4" w:space="0" w:color="auto"/>
            </w:tcBorders>
            <w:shd w:val="clear" w:color="auto" w:fill="FFFFFF" w:themeFill="background1"/>
          </w:tcPr>
          <w:p w:rsidR="003A497B" w:rsidRPr="00086A6E" w:rsidRDefault="003A497B" w:rsidP="003E1809">
            <w:pPr>
              <w:shd w:val="clear" w:color="auto" w:fill="FFFFFF" w:themeFill="background1"/>
              <w:jc w:val="right"/>
              <w:rPr>
                <w:rFonts w:ascii="Times New Roman" w:hAnsi="Times New Roman" w:cs="Times New Roman"/>
                <w:i/>
                <w:iCs/>
                <w:sz w:val="16"/>
                <w:szCs w:val="16"/>
                <w:lang w:val="en-US" w:eastAsia="en-US"/>
              </w:rPr>
            </w:pPr>
            <w:r w:rsidRPr="00086A6E">
              <w:rPr>
                <w:rFonts w:ascii="Times New Roman" w:hAnsi="Times New Roman" w:cs="Times New Roman"/>
                <w:i/>
                <w:iCs/>
                <w:sz w:val="16"/>
                <w:szCs w:val="16"/>
                <w:lang w:eastAsia="en-US"/>
              </w:rPr>
              <w:t>Zdroj</w:t>
            </w:r>
            <w:r w:rsidRPr="00086A6E">
              <w:rPr>
                <w:rFonts w:ascii="Times New Roman" w:hAnsi="Times New Roman" w:cs="Times New Roman"/>
                <w:i/>
                <w:iCs/>
                <w:sz w:val="16"/>
                <w:szCs w:val="16"/>
                <w:lang w:val="en-US" w:eastAsia="en-US"/>
              </w:rPr>
              <w:t xml:space="preserve">: </w:t>
            </w:r>
            <w:r w:rsidRPr="00086A6E">
              <w:rPr>
                <w:rFonts w:ascii="Times New Roman" w:hAnsi="Times New Roman" w:cs="Times New Roman"/>
                <w:i/>
                <w:iCs/>
                <w:sz w:val="16"/>
                <w:szCs w:val="16"/>
                <w:lang w:eastAsia="en-US"/>
              </w:rPr>
              <w:t>OECD 2018</w:t>
            </w:r>
          </w:p>
        </w:tc>
      </w:tr>
    </w:tbl>
    <w:p w:rsidR="003A497B" w:rsidRPr="00086A6E" w:rsidRDefault="003A497B" w:rsidP="003A497B">
      <w:pPr>
        <w:shd w:val="clear" w:color="auto" w:fill="FFFFFF" w:themeFill="background1"/>
        <w:spacing w:line="259" w:lineRule="auto"/>
        <w:ind w:firstLine="708"/>
        <w:jc w:val="both"/>
        <w:rPr>
          <w:rFonts w:ascii="Times New Roman" w:eastAsiaTheme="minorHAnsi" w:hAnsi="Times New Roman" w:cs="Times New Roman"/>
          <w:lang w:eastAsia="en-US"/>
        </w:rPr>
      </w:pPr>
    </w:p>
    <w:p w:rsidR="003A497B" w:rsidRPr="00086A6E" w:rsidRDefault="003A497B" w:rsidP="003A497B">
      <w:pPr>
        <w:jc w:val="both"/>
        <w:rPr>
          <w:rFonts w:ascii="Times New Roman" w:hAnsi="Times New Roman" w:cs="Times New Roman"/>
          <w:noProof/>
          <w:lang w:eastAsia="sk-SK"/>
        </w:rPr>
      </w:pPr>
    </w:p>
    <w:p w:rsidR="003A497B" w:rsidRPr="00086A6E" w:rsidRDefault="003A497B" w:rsidP="003A497B">
      <w:pPr>
        <w:jc w:val="both"/>
        <w:rPr>
          <w:rFonts w:ascii="Times New Roman" w:hAnsi="Times New Roman" w:cs="Times New Roman"/>
          <w:b/>
          <w:noProof/>
          <w:lang w:eastAsia="sk-SK"/>
        </w:rPr>
      </w:pPr>
      <w:r w:rsidRPr="00086A6E">
        <w:rPr>
          <w:rFonts w:ascii="Times New Roman" w:hAnsi="Times New Roman" w:cs="Times New Roman"/>
          <w:b/>
          <w:noProof/>
          <w:lang w:eastAsia="sk-SK"/>
        </w:rPr>
        <w:t>Zdroje v zdravotníctve</w:t>
      </w:r>
    </w:p>
    <w:p w:rsidR="003A497B" w:rsidRPr="00086A6E" w:rsidRDefault="003A497B" w:rsidP="003A497B">
      <w:pPr>
        <w:jc w:val="both"/>
        <w:rPr>
          <w:rFonts w:ascii="Times New Roman" w:hAnsi="Times New Roman" w:cs="Times New Roman"/>
          <w:b/>
          <w:noProof/>
          <w:lang w:eastAsia="sk-SK"/>
        </w:rPr>
      </w:pPr>
    </w:p>
    <w:tbl>
      <w:tblPr>
        <w:tblW w:w="5000" w:type="pct"/>
        <w:tblCellMar>
          <w:left w:w="70" w:type="dxa"/>
          <w:right w:w="70" w:type="dxa"/>
        </w:tblCellMar>
        <w:tblLook w:val="04A0" w:firstRow="1" w:lastRow="0" w:firstColumn="1" w:lastColumn="0" w:noHBand="0" w:noVBand="1"/>
      </w:tblPr>
      <w:tblGrid>
        <w:gridCol w:w="2447"/>
        <w:gridCol w:w="945"/>
        <w:gridCol w:w="945"/>
        <w:gridCol w:w="945"/>
        <w:gridCol w:w="945"/>
        <w:gridCol w:w="945"/>
        <w:gridCol w:w="945"/>
        <w:gridCol w:w="945"/>
      </w:tblGrid>
      <w:tr w:rsidR="003A497B" w:rsidRPr="00086A6E" w:rsidTr="003E1809">
        <w:trPr>
          <w:trHeight w:val="255"/>
        </w:trPr>
        <w:tc>
          <w:tcPr>
            <w:tcW w:w="1698" w:type="pct"/>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v eurách</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2016 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2017 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R</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OS</w:t>
            </w:r>
          </w:p>
        </w:tc>
        <w:tc>
          <w:tcPr>
            <w:tcW w:w="450"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2019 N</w:t>
            </w:r>
          </w:p>
        </w:tc>
        <w:tc>
          <w:tcPr>
            <w:tcW w:w="44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xml:space="preserve">2020 N </w:t>
            </w:r>
          </w:p>
        </w:tc>
        <w:tc>
          <w:tcPr>
            <w:tcW w:w="44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xml:space="preserve">2021 N </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000000" w:fill="D9D9D9"/>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Celkové príjmy bežného roka  spolu</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4 393 795 985</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4 640 962 603</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4 800 035 019</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4 902 790 375</w:t>
            </w:r>
          </w:p>
        </w:tc>
        <w:tc>
          <w:tcPr>
            <w:tcW w:w="450"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5 043 885 000</w:t>
            </w:r>
          </w:p>
        </w:tc>
        <w:tc>
          <w:tcPr>
            <w:tcW w:w="44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5 121 771 000</w:t>
            </w:r>
          </w:p>
        </w:tc>
        <w:tc>
          <w:tcPr>
            <w:tcW w:w="44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5 219 426 000</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000000" w:fill="D9D9D9"/>
            <w:noWrap/>
            <w:vAlign w:val="bottom"/>
            <w:hideMark/>
          </w:tcPr>
          <w:p w:rsidR="003A497B" w:rsidRPr="00086A6E" w:rsidRDefault="003A497B" w:rsidP="003E1809">
            <w:pPr>
              <w:rPr>
                <w:rFonts w:ascii="Times New Roman" w:hAnsi="Times New Roman" w:cs="Times New Roman"/>
                <w:i/>
                <w:iCs/>
                <w:color w:val="000000"/>
                <w:sz w:val="14"/>
                <w:szCs w:val="14"/>
                <w:lang w:eastAsia="sk-SK"/>
              </w:rPr>
            </w:pPr>
            <w:r w:rsidRPr="00086A6E">
              <w:rPr>
                <w:rFonts w:ascii="Times New Roman" w:hAnsi="Times New Roman" w:cs="Times New Roman"/>
                <w:i/>
                <w:iCs/>
                <w:color w:val="000000"/>
                <w:sz w:val="14"/>
                <w:szCs w:val="14"/>
                <w:lang w:eastAsia="sk-SK"/>
              </w:rPr>
              <w:t>medziročná zmena zdrojov v %</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i/>
                <w:iCs/>
                <w:color w:val="000000"/>
                <w:sz w:val="14"/>
                <w:szCs w:val="14"/>
                <w:lang w:eastAsia="sk-SK"/>
              </w:rPr>
            </w:pPr>
            <w:r w:rsidRPr="00086A6E">
              <w:rPr>
                <w:rFonts w:ascii="Times New Roman" w:hAnsi="Times New Roman" w:cs="Times New Roman"/>
                <w:i/>
                <w:iCs/>
                <w:color w:val="000000"/>
                <w:sz w:val="14"/>
                <w:szCs w:val="14"/>
                <w:lang w:eastAsia="sk-SK"/>
              </w:rPr>
              <w:t>2,43%</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i/>
                <w:iCs/>
                <w:color w:val="000000"/>
                <w:sz w:val="14"/>
                <w:szCs w:val="14"/>
                <w:lang w:eastAsia="sk-SK"/>
              </w:rPr>
            </w:pPr>
            <w:r w:rsidRPr="00086A6E">
              <w:rPr>
                <w:rFonts w:ascii="Times New Roman" w:hAnsi="Times New Roman" w:cs="Times New Roman"/>
                <w:i/>
                <w:iCs/>
                <w:color w:val="000000"/>
                <w:sz w:val="14"/>
                <w:szCs w:val="14"/>
                <w:lang w:eastAsia="sk-SK"/>
              </w:rPr>
              <w:t>5,63%</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i/>
                <w:iCs/>
                <w:color w:val="000000"/>
                <w:sz w:val="14"/>
                <w:szCs w:val="14"/>
                <w:lang w:eastAsia="sk-SK"/>
              </w:rPr>
            </w:pPr>
            <w:r w:rsidRPr="00086A6E">
              <w:rPr>
                <w:rFonts w:ascii="Times New Roman" w:hAnsi="Times New Roman" w:cs="Times New Roman"/>
                <w:i/>
                <w:iCs/>
                <w:color w:val="000000"/>
                <w:sz w:val="14"/>
                <w:szCs w:val="14"/>
                <w:lang w:eastAsia="sk-SK"/>
              </w:rPr>
              <w:t>3,43%</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i/>
                <w:iCs/>
                <w:color w:val="000000"/>
                <w:sz w:val="14"/>
                <w:szCs w:val="14"/>
                <w:lang w:eastAsia="sk-SK"/>
              </w:rPr>
            </w:pPr>
            <w:r w:rsidRPr="00086A6E">
              <w:rPr>
                <w:rFonts w:ascii="Times New Roman" w:hAnsi="Times New Roman" w:cs="Times New Roman"/>
                <w:i/>
                <w:iCs/>
                <w:color w:val="000000"/>
                <w:sz w:val="14"/>
                <w:szCs w:val="14"/>
                <w:lang w:eastAsia="sk-SK"/>
              </w:rPr>
              <w:t>5,64%</w:t>
            </w:r>
          </w:p>
        </w:tc>
        <w:tc>
          <w:tcPr>
            <w:tcW w:w="450"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i/>
                <w:iCs/>
                <w:color w:val="000000"/>
                <w:sz w:val="14"/>
                <w:szCs w:val="14"/>
                <w:lang w:eastAsia="sk-SK"/>
              </w:rPr>
            </w:pPr>
            <w:r w:rsidRPr="00086A6E">
              <w:rPr>
                <w:rFonts w:ascii="Times New Roman" w:hAnsi="Times New Roman" w:cs="Times New Roman"/>
                <w:i/>
                <w:iCs/>
                <w:color w:val="000000"/>
                <w:sz w:val="14"/>
                <w:szCs w:val="14"/>
                <w:lang w:eastAsia="sk-SK"/>
              </w:rPr>
              <w:t>5,08%</w:t>
            </w:r>
          </w:p>
        </w:tc>
        <w:tc>
          <w:tcPr>
            <w:tcW w:w="44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i/>
                <w:iCs/>
                <w:color w:val="000000"/>
                <w:sz w:val="14"/>
                <w:szCs w:val="14"/>
                <w:lang w:eastAsia="sk-SK"/>
              </w:rPr>
            </w:pPr>
            <w:r w:rsidRPr="00086A6E">
              <w:rPr>
                <w:rFonts w:ascii="Times New Roman" w:hAnsi="Times New Roman" w:cs="Times New Roman"/>
                <w:i/>
                <w:iCs/>
                <w:color w:val="000000"/>
                <w:sz w:val="14"/>
                <w:szCs w:val="14"/>
                <w:lang w:eastAsia="sk-SK"/>
              </w:rPr>
              <w:t>1,54%</w:t>
            </w:r>
          </w:p>
        </w:tc>
        <w:tc>
          <w:tcPr>
            <w:tcW w:w="44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i/>
                <w:iCs/>
                <w:color w:val="000000"/>
                <w:sz w:val="14"/>
                <w:szCs w:val="14"/>
                <w:lang w:eastAsia="sk-SK"/>
              </w:rPr>
            </w:pPr>
            <w:r w:rsidRPr="00086A6E">
              <w:rPr>
                <w:rFonts w:ascii="Times New Roman" w:hAnsi="Times New Roman" w:cs="Times New Roman"/>
                <w:i/>
                <w:iCs/>
                <w:color w:val="000000"/>
                <w:sz w:val="14"/>
                <w:szCs w:val="14"/>
                <w:lang w:eastAsia="sk-SK"/>
              </w:rPr>
              <w:t>1,91%</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príjmy od EAO (vrátane RZZP)</w:t>
            </w:r>
          </w:p>
        </w:tc>
        <w:tc>
          <w:tcPr>
            <w:tcW w:w="492"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2 952 659 701</w:t>
            </w:r>
          </w:p>
        </w:tc>
        <w:tc>
          <w:tcPr>
            <w:tcW w:w="492"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3 292 158 096</w:t>
            </w:r>
          </w:p>
        </w:tc>
        <w:tc>
          <w:tcPr>
            <w:tcW w:w="492"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3 511 755 000</w:t>
            </w:r>
          </w:p>
        </w:tc>
        <w:tc>
          <w:tcPr>
            <w:tcW w:w="492"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3 645 007 000</w:t>
            </w:r>
          </w:p>
        </w:tc>
        <w:tc>
          <w:tcPr>
            <w:tcW w:w="450"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4 000 070 000</w:t>
            </w:r>
          </w:p>
        </w:tc>
        <w:tc>
          <w:tcPr>
            <w:tcW w:w="441"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4 280 526 000</w:t>
            </w:r>
          </w:p>
        </w:tc>
        <w:tc>
          <w:tcPr>
            <w:tcW w:w="441"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4 538 181 000</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príjmy za poistencov štátu (vrátane RZ)</w:t>
            </w:r>
          </w:p>
        </w:tc>
        <w:tc>
          <w:tcPr>
            <w:tcW w:w="492"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1 392 100 005</w:t>
            </w:r>
          </w:p>
        </w:tc>
        <w:tc>
          <w:tcPr>
            <w:tcW w:w="492"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1 299 279 000</w:t>
            </w:r>
          </w:p>
        </w:tc>
        <w:tc>
          <w:tcPr>
            <w:tcW w:w="492"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1 241 870 019</w:t>
            </w:r>
          </w:p>
        </w:tc>
        <w:tc>
          <w:tcPr>
            <w:tcW w:w="492"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1 206 039 209</w:t>
            </w:r>
          </w:p>
        </w:tc>
        <w:tc>
          <w:tcPr>
            <w:tcW w:w="450"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992 570 000</w:t>
            </w:r>
          </w:p>
        </w:tc>
        <w:tc>
          <w:tcPr>
            <w:tcW w:w="441"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790 000 000</w:t>
            </w:r>
          </w:p>
        </w:tc>
        <w:tc>
          <w:tcPr>
            <w:tcW w:w="441"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630 000 000</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ostatné príjmy  VZP </w:t>
            </w:r>
          </w:p>
        </w:tc>
        <w:tc>
          <w:tcPr>
            <w:tcW w:w="492"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49 036 279</w:t>
            </w:r>
          </w:p>
        </w:tc>
        <w:tc>
          <w:tcPr>
            <w:tcW w:w="492"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49 525 507</w:t>
            </w:r>
          </w:p>
        </w:tc>
        <w:tc>
          <w:tcPr>
            <w:tcW w:w="492"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46 410 000</w:t>
            </w:r>
          </w:p>
        </w:tc>
        <w:tc>
          <w:tcPr>
            <w:tcW w:w="492"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51 744 166</w:t>
            </w:r>
          </w:p>
        </w:tc>
        <w:tc>
          <w:tcPr>
            <w:tcW w:w="450"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51 245 000</w:t>
            </w:r>
          </w:p>
        </w:tc>
        <w:tc>
          <w:tcPr>
            <w:tcW w:w="441"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51 245 000</w:t>
            </w:r>
          </w:p>
        </w:tc>
        <w:tc>
          <w:tcPr>
            <w:tcW w:w="441"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51 245 000</w:t>
            </w:r>
          </w:p>
        </w:tc>
      </w:tr>
    </w:tbl>
    <w:p w:rsidR="003A497B" w:rsidRPr="00086A6E" w:rsidRDefault="003A497B" w:rsidP="003A497B">
      <w:pPr>
        <w:jc w:val="both"/>
        <w:rPr>
          <w:rFonts w:ascii="Times New Roman" w:hAnsi="Times New Roman" w:cs="Times New Roman"/>
          <w:noProof/>
          <w:lang w:eastAsia="sk-SK"/>
        </w:rPr>
      </w:pPr>
    </w:p>
    <w:p w:rsidR="003A497B" w:rsidRPr="00086A6E" w:rsidRDefault="003A497B" w:rsidP="003A497B">
      <w:pPr>
        <w:ind w:firstLine="708"/>
        <w:jc w:val="both"/>
        <w:rPr>
          <w:rFonts w:ascii="Times New Roman" w:hAnsi="Times New Roman" w:cs="Times New Roman"/>
          <w:noProof/>
          <w:lang w:eastAsia="sk-SK"/>
        </w:rPr>
      </w:pPr>
      <w:r w:rsidRPr="00086A6E">
        <w:rPr>
          <w:rFonts w:ascii="Times New Roman" w:hAnsi="Times New Roman" w:cs="Times New Roman"/>
          <w:noProof/>
          <w:lang w:eastAsia="sk-SK"/>
        </w:rPr>
        <w:t>Celkové príjmy bežného roka v sektore zdravotníctva sa na rok 2019 predpokladajú vo výške 5,0</w:t>
      </w:r>
      <w:r>
        <w:rPr>
          <w:rFonts w:ascii="Times New Roman" w:hAnsi="Times New Roman" w:cs="Times New Roman"/>
          <w:noProof/>
          <w:lang w:eastAsia="sk-SK"/>
        </w:rPr>
        <w:t>4</w:t>
      </w:r>
      <w:r w:rsidRPr="00086A6E">
        <w:rPr>
          <w:rFonts w:ascii="Times New Roman" w:hAnsi="Times New Roman" w:cs="Times New Roman"/>
          <w:noProof/>
          <w:lang w:eastAsia="sk-SK"/>
        </w:rPr>
        <w:t> mld. eur s medziročným r</w:t>
      </w:r>
      <w:r>
        <w:rPr>
          <w:rFonts w:ascii="Times New Roman" w:hAnsi="Times New Roman" w:cs="Times New Roman"/>
          <w:noProof/>
          <w:lang w:eastAsia="sk-SK"/>
        </w:rPr>
        <w:t>astom 243,8 mil. eur, t. j o 5,1</w:t>
      </w:r>
      <w:r w:rsidRPr="00086A6E">
        <w:rPr>
          <w:rFonts w:ascii="Times New Roman" w:hAnsi="Times New Roman" w:cs="Times New Roman"/>
          <w:noProof/>
          <w:lang w:eastAsia="sk-SK"/>
        </w:rPr>
        <w:t xml:space="preserve"> % oproti schválenému rozpočtu na rok 2018.  Najväčší podiel predstavujú príjmy od ekonomicky aktívnych osôb, ako dôsledok pozitívneho vývoja rastu ekonomiky a trhu práce. </w:t>
      </w:r>
    </w:p>
    <w:p w:rsidR="003A497B" w:rsidRDefault="003A497B" w:rsidP="003A497B">
      <w:pPr>
        <w:jc w:val="both"/>
        <w:rPr>
          <w:rFonts w:ascii="Times New Roman" w:hAnsi="Times New Roman" w:cs="Times New Roman"/>
          <w:b/>
          <w:noProof/>
          <w:lang w:eastAsia="sk-SK"/>
        </w:rPr>
      </w:pPr>
    </w:p>
    <w:p w:rsidR="00D2350F" w:rsidRDefault="00D2350F" w:rsidP="003A497B">
      <w:pPr>
        <w:jc w:val="both"/>
        <w:rPr>
          <w:rFonts w:ascii="Times New Roman" w:hAnsi="Times New Roman" w:cs="Times New Roman"/>
          <w:b/>
          <w:noProof/>
          <w:lang w:eastAsia="sk-SK"/>
        </w:rPr>
      </w:pPr>
    </w:p>
    <w:p w:rsidR="00D2350F" w:rsidRDefault="00D2350F" w:rsidP="003A497B">
      <w:pPr>
        <w:jc w:val="both"/>
        <w:rPr>
          <w:rFonts w:ascii="Times New Roman" w:hAnsi="Times New Roman" w:cs="Times New Roman"/>
          <w:b/>
          <w:noProof/>
          <w:lang w:eastAsia="sk-SK"/>
        </w:rPr>
      </w:pPr>
    </w:p>
    <w:p w:rsidR="00D2350F" w:rsidRDefault="00D2350F" w:rsidP="003A497B">
      <w:pPr>
        <w:jc w:val="both"/>
        <w:rPr>
          <w:rFonts w:ascii="Times New Roman" w:hAnsi="Times New Roman" w:cs="Times New Roman"/>
          <w:b/>
          <w:noProof/>
          <w:lang w:eastAsia="sk-SK"/>
        </w:rPr>
      </w:pPr>
    </w:p>
    <w:p w:rsidR="00D2350F" w:rsidRDefault="00D2350F" w:rsidP="003A497B">
      <w:pPr>
        <w:jc w:val="both"/>
        <w:rPr>
          <w:rFonts w:ascii="Times New Roman" w:hAnsi="Times New Roman" w:cs="Times New Roman"/>
          <w:b/>
          <w:noProof/>
          <w:lang w:eastAsia="sk-SK"/>
        </w:rPr>
      </w:pPr>
    </w:p>
    <w:p w:rsidR="00D2350F" w:rsidRDefault="00D2350F" w:rsidP="003A497B">
      <w:pPr>
        <w:jc w:val="both"/>
        <w:rPr>
          <w:rFonts w:ascii="Times New Roman" w:hAnsi="Times New Roman" w:cs="Times New Roman"/>
          <w:b/>
          <w:noProof/>
          <w:lang w:eastAsia="sk-SK"/>
        </w:rPr>
      </w:pPr>
    </w:p>
    <w:p w:rsidR="00D2350F" w:rsidRDefault="00D2350F" w:rsidP="003A497B">
      <w:pPr>
        <w:jc w:val="both"/>
        <w:rPr>
          <w:rFonts w:ascii="Times New Roman" w:hAnsi="Times New Roman" w:cs="Times New Roman"/>
          <w:b/>
          <w:noProof/>
          <w:lang w:eastAsia="sk-SK"/>
        </w:rPr>
      </w:pPr>
    </w:p>
    <w:p w:rsidR="00D2350F" w:rsidRDefault="00D2350F" w:rsidP="003A497B">
      <w:pPr>
        <w:jc w:val="both"/>
        <w:rPr>
          <w:rFonts w:ascii="Times New Roman" w:hAnsi="Times New Roman" w:cs="Times New Roman"/>
          <w:b/>
          <w:noProof/>
          <w:lang w:eastAsia="sk-SK"/>
        </w:rPr>
      </w:pPr>
    </w:p>
    <w:p w:rsidR="003A497B" w:rsidRPr="00086A6E" w:rsidRDefault="003A497B" w:rsidP="003A497B">
      <w:pPr>
        <w:jc w:val="both"/>
        <w:rPr>
          <w:rFonts w:ascii="Times New Roman" w:hAnsi="Times New Roman" w:cs="Times New Roman"/>
          <w:b/>
          <w:noProof/>
          <w:lang w:eastAsia="sk-SK"/>
        </w:rPr>
      </w:pPr>
      <w:r w:rsidRPr="00086A6E">
        <w:rPr>
          <w:rFonts w:ascii="Times New Roman" w:hAnsi="Times New Roman" w:cs="Times New Roman"/>
          <w:b/>
          <w:noProof/>
          <w:lang w:eastAsia="sk-SK"/>
        </w:rPr>
        <w:lastRenderedPageBreak/>
        <w:t>Ministerstvo zdravotníctva SR</w:t>
      </w:r>
    </w:p>
    <w:p w:rsidR="003A497B" w:rsidRPr="00086A6E" w:rsidRDefault="003A497B" w:rsidP="003A497B">
      <w:pPr>
        <w:jc w:val="both"/>
        <w:rPr>
          <w:rFonts w:ascii="Times New Roman" w:hAnsi="Times New Roman" w:cs="Times New Roman"/>
          <w:b/>
          <w:noProof/>
          <w:lang w:eastAsia="sk-SK"/>
        </w:rPr>
      </w:pPr>
    </w:p>
    <w:tbl>
      <w:tblPr>
        <w:tblW w:w="5000" w:type="pct"/>
        <w:tblCellMar>
          <w:left w:w="70" w:type="dxa"/>
          <w:right w:w="70" w:type="dxa"/>
        </w:tblCellMar>
        <w:tblLook w:val="04A0" w:firstRow="1" w:lastRow="0" w:firstColumn="1" w:lastColumn="0" w:noHBand="0" w:noVBand="1"/>
      </w:tblPr>
      <w:tblGrid>
        <w:gridCol w:w="2657"/>
        <w:gridCol w:w="945"/>
        <w:gridCol w:w="945"/>
        <w:gridCol w:w="945"/>
        <w:gridCol w:w="945"/>
        <w:gridCol w:w="945"/>
        <w:gridCol w:w="840"/>
        <w:gridCol w:w="840"/>
      </w:tblGrid>
      <w:tr w:rsidR="003A497B" w:rsidRPr="00086A6E" w:rsidTr="003E1809">
        <w:trPr>
          <w:trHeight w:val="255"/>
        </w:trPr>
        <w:tc>
          <w:tcPr>
            <w:tcW w:w="1698" w:type="pct"/>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3A497B" w:rsidRPr="00086A6E" w:rsidRDefault="003A497B" w:rsidP="003E1809">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 eurách</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2016 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2017 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2018 R</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2018 OS</w:t>
            </w:r>
          </w:p>
        </w:tc>
        <w:tc>
          <w:tcPr>
            <w:tcW w:w="450"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2019 N</w:t>
            </w:r>
          </w:p>
        </w:tc>
        <w:tc>
          <w:tcPr>
            <w:tcW w:w="44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xml:space="preserve">2020 N </w:t>
            </w:r>
          </w:p>
        </w:tc>
        <w:tc>
          <w:tcPr>
            <w:tcW w:w="44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xml:space="preserve">2021 N </w:t>
            </w:r>
          </w:p>
        </w:tc>
      </w:tr>
      <w:tr w:rsidR="003A497B" w:rsidRPr="00086A6E" w:rsidTr="003E1809">
        <w:trPr>
          <w:trHeight w:val="435"/>
        </w:trPr>
        <w:tc>
          <w:tcPr>
            <w:tcW w:w="1698" w:type="pct"/>
            <w:tcBorders>
              <w:top w:val="nil"/>
              <w:left w:val="single" w:sz="4" w:space="0" w:color="auto"/>
              <w:bottom w:val="single" w:sz="4" w:space="0" w:color="auto"/>
              <w:right w:val="single" w:sz="4" w:space="0" w:color="auto"/>
            </w:tcBorders>
            <w:shd w:val="clear" w:color="000000" w:fill="D9D9D9"/>
            <w:vAlign w:val="bottom"/>
            <w:hideMark/>
          </w:tcPr>
          <w:p w:rsidR="003A497B" w:rsidRPr="00086A6E" w:rsidRDefault="003A497B" w:rsidP="003E1809">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Zdroje príslušnej kapitoly vrátane 72e</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1 518 695 244</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1 410 439 419</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1 396 249 702</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1 365 618 399</w:t>
            </w:r>
          </w:p>
        </w:tc>
        <w:tc>
          <w:tcPr>
            <w:tcW w:w="450"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1 175 946 112</w:t>
            </w:r>
          </w:p>
        </w:tc>
        <w:tc>
          <w:tcPr>
            <w:tcW w:w="44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978 047 252</w:t>
            </w:r>
          </w:p>
        </w:tc>
        <w:tc>
          <w:tcPr>
            <w:tcW w:w="44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818 609 589</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000000" w:fill="D9D9D9"/>
            <w:vAlign w:val="bottom"/>
            <w:hideMark/>
          </w:tcPr>
          <w:p w:rsidR="003A497B" w:rsidRPr="00086A6E" w:rsidRDefault="003A497B" w:rsidP="003E1809">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xml:space="preserve">zdroje príslušnej kapitoly </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1 518 557 768</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1 410 439 419</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1 396 249 702</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1 365 618 399</w:t>
            </w:r>
          </w:p>
        </w:tc>
        <w:tc>
          <w:tcPr>
            <w:tcW w:w="450"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1 175 946 112</w:t>
            </w:r>
          </w:p>
        </w:tc>
        <w:tc>
          <w:tcPr>
            <w:tcW w:w="44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978 047 252</w:t>
            </w:r>
          </w:p>
        </w:tc>
        <w:tc>
          <w:tcPr>
            <w:tcW w:w="44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818 609 589</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rozpočtové zdroje kapitoly</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1 490 653 544</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1 408 061 531</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1 396 249 702</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1 328 472 776</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1 175 946 112</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978 047 252</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818 609 589</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v tom: poistné platené štátom</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1 392 100 005</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1 300 135 348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1 219 447 320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1 183 616 510</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960 000 000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790 000 000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630 000 000</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príspevok na činnosť OS ZZS </w:t>
            </w:r>
          </w:p>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(zdroj 11H)</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13 799 748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14 258 426</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15 377 954</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15 266 528</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16 129 729</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16 600 528</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16 859 499</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príspevok na činnosť NCZI </w:t>
            </w:r>
          </w:p>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(zdroj 11H)</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16 165 419</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13 197 284</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18 014 175</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13 085 596</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18 894 825</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19 446 333</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19 749 699</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bežné výdavky kapitoly, z toho:</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67 172 471</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67 347 334</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73 410 253</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79 024 259</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80 921 558</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81 000 391</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81 000 391</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610 mzdy</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25 254 303</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27 765 077</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27 014 974</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29 332 377</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29 352 326</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29 352 326</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29 352 326</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620 odvody</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8 820 703</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9 762 896</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9 441 733</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10 211 826</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10 257 845</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10 257 845</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10 257 845</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630 tovary a služby</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17 193 406</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13 696 243</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28 233 423</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24 167 968</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32 611 655</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32 690 488</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32 690 488</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640 bežné transfery</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15 904 059</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16 123 118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8 720 123</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15 312 088</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8 699 732</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8 699 732</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8 699 732</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kapitálové výdavky kapitoly </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1 415 901</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13 123 139</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70 000 000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37 479 883</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100 000 000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71 000 000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71 000 000</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zdroje EÚ vrátane spolufinancovania</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4 728 789</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650BC" w:rsidRDefault="003A497B" w:rsidP="003E1809">
            <w:pPr>
              <w:jc w:val="right"/>
              <w:rPr>
                <w:rFonts w:ascii="Times New Roman" w:hAnsi="Times New Roman" w:cs="Times New Roman"/>
                <w:b/>
                <w:sz w:val="14"/>
                <w:szCs w:val="14"/>
                <w:lang w:eastAsia="sk-SK"/>
              </w:rPr>
            </w:pPr>
            <w:r w:rsidRPr="004650BC">
              <w:rPr>
                <w:rFonts w:ascii="Times New Roman" w:hAnsi="Times New Roman" w:cs="Times New Roman"/>
                <w:b/>
                <w:sz w:val="14"/>
                <w:szCs w:val="14"/>
                <w:lang w:eastAsia="sk-SK"/>
              </w:rPr>
              <w:t>874 763</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v tom:   2. program. obdobie - EÚ</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4 113 611</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743 549</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3A497B" w:rsidRPr="00086A6E" w:rsidTr="003E1809">
        <w:trPr>
          <w:trHeight w:val="240"/>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spolufinancovanie zo ŠR</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615 178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131 214</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3. program. obdobie - EÚ</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3A497B" w:rsidRPr="00086A6E" w:rsidTr="003E1809">
        <w:trPr>
          <w:trHeight w:val="240"/>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spolufinancovanie zo ŠR</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presun z minulých rokov § 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23 175 435</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2 377 888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650BC" w:rsidRDefault="003A497B" w:rsidP="003E1809">
            <w:pPr>
              <w:jc w:val="right"/>
              <w:rPr>
                <w:rFonts w:ascii="Times New Roman" w:hAnsi="Times New Roman" w:cs="Times New Roman"/>
                <w:b/>
                <w:sz w:val="14"/>
                <w:szCs w:val="14"/>
                <w:lang w:eastAsia="sk-SK"/>
              </w:rPr>
            </w:pPr>
            <w:r w:rsidRPr="004650BC">
              <w:rPr>
                <w:rFonts w:ascii="Times New Roman" w:hAnsi="Times New Roman" w:cs="Times New Roman"/>
                <w:b/>
                <w:sz w:val="14"/>
                <w:szCs w:val="14"/>
                <w:lang w:eastAsia="sk-SK"/>
              </w:rPr>
              <w:t>36 270 860</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v tom: štátny rozpočet</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19 373 070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976 549</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36 270 860</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EÚ prostriedky</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3 055 594</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1 191 138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3A497B" w:rsidRPr="00086A6E" w:rsidTr="003E1809">
        <w:trPr>
          <w:trHeight w:val="270"/>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spolufinancovanie zo ŠR</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746 771</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210 201</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zdroj 72e*</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137 476</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r>
      <w:tr w:rsidR="003A497B" w:rsidRPr="00086A6E" w:rsidTr="003E1809">
        <w:trPr>
          <w:trHeight w:val="255"/>
        </w:trPr>
        <w:tc>
          <w:tcPr>
            <w:tcW w:w="5000" w:type="pct"/>
            <w:gridSpan w:val="8"/>
            <w:tcBorders>
              <w:top w:val="nil"/>
              <w:left w:val="nil"/>
              <w:bottom w:val="nil"/>
              <w:right w:val="nil"/>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z poistného plnenia zo zmluvného poistenia alebo zo zákonného poistenia</w:t>
            </w:r>
          </w:p>
        </w:tc>
      </w:tr>
      <w:tr w:rsidR="003A497B" w:rsidRPr="00086A6E" w:rsidTr="003E1809">
        <w:trPr>
          <w:trHeight w:val="255"/>
        </w:trPr>
        <w:tc>
          <w:tcPr>
            <w:tcW w:w="169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Samostatné účty</w:t>
            </w:r>
          </w:p>
        </w:tc>
        <w:tc>
          <w:tcPr>
            <w:tcW w:w="492" w:type="pct"/>
            <w:tcBorders>
              <w:top w:val="single" w:sz="4" w:space="0" w:color="auto"/>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10 626 567</w:t>
            </w:r>
          </w:p>
        </w:tc>
        <w:tc>
          <w:tcPr>
            <w:tcW w:w="492" w:type="pct"/>
            <w:tcBorders>
              <w:top w:val="single" w:sz="4" w:space="0" w:color="auto"/>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11 921 184</w:t>
            </w:r>
          </w:p>
        </w:tc>
        <w:tc>
          <w:tcPr>
            <w:tcW w:w="492" w:type="pct"/>
            <w:tcBorders>
              <w:top w:val="single" w:sz="4" w:space="0" w:color="auto"/>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92" w:type="pct"/>
            <w:tcBorders>
              <w:top w:val="single" w:sz="4" w:space="0" w:color="auto"/>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50" w:type="pct"/>
            <w:tcBorders>
              <w:top w:val="single" w:sz="4" w:space="0" w:color="auto"/>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41" w:type="pct"/>
            <w:tcBorders>
              <w:top w:val="single" w:sz="4" w:space="0" w:color="auto"/>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41" w:type="pct"/>
            <w:tcBorders>
              <w:top w:val="single" w:sz="4" w:space="0" w:color="auto"/>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r>
    </w:tbl>
    <w:p w:rsidR="003A497B" w:rsidRPr="00086A6E" w:rsidRDefault="003A497B" w:rsidP="003A497B">
      <w:pPr>
        <w:jc w:val="both"/>
        <w:rPr>
          <w:rFonts w:ascii="Times New Roman" w:hAnsi="Times New Roman" w:cs="Times New Roman"/>
          <w:b/>
          <w:noProof/>
          <w:lang w:eastAsia="sk-SK"/>
        </w:rPr>
      </w:pPr>
    </w:p>
    <w:p w:rsidR="003A497B" w:rsidRPr="00086A6E" w:rsidRDefault="003A497B" w:rsidP="003A497B">
      <w:pPr>
        <w:ind w:firstLine="708"/>
        <w:jc w:val="both"/>
        <w:rPr>
          <w:rFonts w:ascii="Times New Roman" w:hAnsi="Times New Roman"/>
        </w:rPr>
      </w:pPr>
      <w:r w:rsidRPr="00086A6E">
        <w:rPr>
          <w:rFonts w:ascii="Times New Roman" w:hAnsi="Times New Roman"/>
        </w:rPr>
        <w:t>Celkové výdavky kapitoly Ministerstva zdravotníctva SR (ďalej len „MZ SR“) sa na rok 2019 predpokladajú na úrovni 1,2 mld. eur.</w:t>
      </w:r>
    </w:p>
    <w:p w:rsidR="003A497B" w:rsidRPr="00086A6E" w:rsidRDefault="003A497B" w:rsidP="003A497B">
      <w:pPr>
        <w:ind w:firstLine="708"/>
        <w:jc w:val="both"/>
        <w:rPr>
          <w:rFonts w:ascii="Times New Roman" w:hAnsi="Times New Roman"/>
        </w:rPr>
      </w:pPr>
    </w:p>
    <w:p w:rsidR="003A497B" w:rsidRPr="00086A6E" w:rsidRDefault="003A497B" w:rsidP="003A497B">
      <w:pPr>
        <w:ind w:firstLine="708"/>
        <w:jc w:val="both"/>
        <w:rPr>
          <w:rFonts w:ascii="Times New Roman" w:hAnsi="Times New Roman" w:cs="Times New Roman"/>
        </w:rPr>
      </w:pPr>
      <w:r w:rsidRPr="00086A6E">
        <w:rPr>
          <w:rFonts w:ascii="Times New Roman" w:hAnsi="Times New Roman"/>
        </w:rPr>
        <w:t xml:space="preserve">Osobné výdavky na rok 2019 sa rozpočtujú vo výške 39,6 mil. eur, čo predstavuje  oproti schválenému rozpočtu roku 2018 nárast o 3,2 mil. eur, t. j. o 8,6 %. </w:t>
      </w:r>
      <w:r w:rsidRPr="00086A6E">
        <w:rPr>
          <w:rFonts w:ascii="Times New Roman" w:hAnsi="Times New Roman" w:cs="Times New Roman"/>
        </w:rPr>
        <w:t>Dôvodom nárastu je premietnutie najmä valorizácie platov zamestnancov z roku 2018 a finančné dopady z prijatej legislatívy.</w:t>
      </w:r>
    </w:p>
    <w:p w:rsidR="003A497B" w:rsidRPr="00086A6E" w:rsidRDefault="003A497B" w:rsidP="003A497B">
      <w:pPr>
        <w:ind w:firstLine="708"/>
        <w:jc w:val="both"/>
        <w:rPr>
          <w:rFonts w:ascii="Times New Roman" w:hAnsi="Times New Roman"/>
        </w:rPr>
      </w:pPr>
    </w:p>
    <w:p w:rsidR="003A497B" w:rsidRPr="00086A6E" w:rsidRDefault="003A497B" w:rsidP="003A497B">
      <w:pPr>
        <w:ind w:firstLine="708"/>
        <w:jc w:val="both"/>
        <w:rPr>
          <w:rFonts w:ascii="Times New Roman" w:hAnsi="Times New Roman"/>
        </w:rPr>
      </w:pPr>
      <w:r w:rsidRPr="00086A6E">
        <w:rPr>
          <w:rFonts w:ascii="Times New Roman" w:hAnsi="Times New Roman"/>
        </w:rPr>
        <w:t xml:space="preserve">V oblasti tovarov a služieb sa rozpočtujú výdavky štátneho rozpočtu v sume </w:t>
      </w:r>
      <w:r>
        <w:rPr>
          <w:rFonts w:ascii="Times New Roman" w:hAnsi="Times New Roman"/>
        </w:rPr>
        <w:br/>
      </w:r>
      <w:r w:rsidRPr="00086A6E">
        <w:rPr>
          <w:rFonts w:ascii="Times New Roman" w:hAnsi="Times New Roman"/>
        </w:rPr>
        <w:t xml:space="preserve">32,6 mil. eur, čo predstavuje medziročný nárast o 4,4 mil. eur, a to z dôvodu plnenia úloh súvisiacich s riadením nových programov a projektov určených na efektívnejšie  zdravotníctvo a zároveň sa na tejto kategórii podporuje financovanie aj rezidentského programu. Pokračovanie úspešného financovania rezidentského štúdia zameraného na podporu v špecializovaných odboroch všeobecné lekárstvo a pediatria dalo priestor aj na rozšírenie o ďalšie  špecializačné odbory pre lekárov a sestry. V rozpočte na rok 2019 bolo vyčlenených na rezidentský program 10 mil. eur, čo predstavuje oproti roku 2018 nárast o 2,75 mil. eur, </w:t>
      </w:r>
      <w:r>
        <w:rPr>
          <w:rFonts w:ascii="Times New Roman" w:hAnsi="Times New Roman"/>
        </w:rPr>
        <w:br/>
      </w:r>
      <w:r w:rsidRPr="00086A6E">
        <w:rPr>
          <w:rFonts w:ascii="Times New Roman" w:hAnsi="Times New Roman"/>
        </w:rPr>
        <w:t xml:space="preserve">t. j.  o 38 %. </w:t>
      </w:r>
    </w:p>
    <w:p w:rsidR="003A497B" w:rsidRPr="00086A6E" w:rsidRDefault="003A497B" w:rsidP="003A497B">
      <w:pPr>
        <w:jc w:val="both"/>
        <w:rPr>
          <w:rFonts w:ascii="Times New Roman" w:hAnsi="Times New Roman"/>
        </w:rPr>
      </w:pPr>
    </w:p>
    <w:p w:rsidR="003A497B" w:rsidRPr="00086A6E" w:rsidRDefault="003A497B" w:rsidP="003A497B">
      <w:pPr>
        <w:ind w:firstLine="708"/>
        <w:jc w:val="both"/>
        <w:rPr>
          <w:rFonts w:ascii="Times New Roman" w:hAnsi="Times New Roman"/>
        </w:rPr>
      </w:pPr>
      <w:r w:rsidRPr="00086A6E">
        <w:rPr>
          <w:rFonts w:ascii="Times New Roman" w:hAnsi="Times New Roman"/>
        </w:rPr>
        <w:t>V rámci bežných transferov sa rozpočtuje poistné platené štátom na verejné zdravotné poistenie, príspevky pre operačné strediská záchrannej zdravotnej služby, príspevky pre</w:t>
      </w:r>
      <w:r w:rsidRPr="00086A6E">
        <w:t xml:space="preserve"> </w:t>
      </w:r>
      <w:r w:rsidRPr="00086A6E">
        <w:rPr>
          <w:rFonts w:ascii="Times New Roman" w:hAnsi="Times New Roman"/>
        </w:rPr>
        <w:t xml:space="preserve">Národné centrum zdravotníckych informácií a výdavky na úhradu neodkladnej zdravotnej starostlivosti. Na rok 2019 sa rozpočtujú bežné transfery v celkovej výške 1,0 mld. eur. </w:t>
      </w:r>
    </w:p>
    <w:p w:rsidR="003A497B" w:rsidRPr="00086A6E" w:rsidRDefault="003A497B" w:rsidP="003A497B">
      <w:pPr>
        <w:ind w:firstLine="708"/>
        <w:jc w:val="both"/>
        <w:rPr>
          <w:rFonts w:ascii="Times New Roman" w:hAnsi="Times New Roman"/>
          <w:highlight w:val="yellow"/>
        </w:rPr>
      </w:pPr>
    </w:p>
    <w:p w:rsidR="003A497B" w:rsidRPr="00086A6E" w:rsidRDefault="003A497B" w:rsidP="003A497B">
      <w:pPr>
        <w:ind w:firstLine="708"/>
        <w:jc w:val="both"/>
        <w:rPr>
          <w:rFonts w:ascii="Times New Roman" w:hAnsi="Times New Roman"/>
        </w:rPr>
      </w:pPr>
      <w:r w:rsidRPr="00086A6E">
        <w:rPr>
          <w:rFonts w:ascii="Times New Roman" w:hAnsi="Times New Roman"/>
        </w:rPr>
        <w:lastRenderedPageBreak/>
        <w:t xml:space="preserve">Za účelom rekonštrukcie budov a  obnovy technického vybavenia nemocníc sa kapitálové výdavky rozpočtujú na rok 2019 vo výške 100 mil. eur, čo predstavuje medziročný nárast o 30 mil. eur, t. j. o 42,8 %. Pôjde o historicky najvyšší objem možných investícií, ktoré sa premietnu do sektora. Predmetné  výdavky sa investujú do obnovy zdravotníctva, hlavne na rekonštrukciu nemocníc, urgentných príjmov, na nákup modernej prístrojovej techniky a ďalšieho vybavenia nemocníc. </w:t>
      </w:r>
    </w:p>
    <w:p w:rsidR="003A497B" w:rsidRPr="00086A6E" w:rsidRDefault="003A497B" w:rsidP="003A497B">
      <w:pPr>
        <w:ind w:firstLine="708"/>
        <w:jc w:val="both"/>
        <w:rPr>
          <w:rFonts w:ascii="Times New Roman" w:hAnsi="Times New Roman"/>
        </w:rPr>
      </w:pPr>
    </w:p>
    <w:tbl>
      <w:tblPr>
        <w:tblW w:w="5000" w:type="pct"/>
        <w:tblCellMar>
          <w:left w:w="70" w:type="dxa"/>
          <w:right w:w="70" w:type="dxa"/>
        </w:tblCellMar>
        <w:tblLook w:val="04A0" w:firstRow="1" w:lastRow="0" w:firstColumn="1" w:lastColumn="0" w:noHBand="0" w:noVBand="1"/>
      </w:tblPr>
      <w:tblGrid>
        <w:gridCol w:w="2657"/>
        <w:gridCol w:w="945"/>
        <w:gridCol w:w="945"/>
        <w:gridCol w:w="945"/>
        <w:gridCol w:w="945"/>
        <w:gridCol w:w="945"/>
        <w:gridCol w:w="840"/>
        <w:gridCol w:w="840"/>
      </w:tblGrid>
      <w:tr w:rsidR="003A497B" w:rsidRPr="00086A6E" w:rsidTr="003E1809">
        <w:trPr>
          <w:trHeight w:hRule="exact" w:val="255"/>
        </w:trPr>
        <w:tc>
          <w:tcPr>
            <w:tcW w:w="1698"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086A6E" w:rsidRDefault="003A497B" w:rsidP="003E1809">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 eurách</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2016 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2017 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2018 R</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2018 OS</w:t>
            </w:r>
          </w:p>
        </w:tc>
        <w:tc>
          <w:tcPr>
            <w:tcW w:w="450"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2019 N</w:t>
            </w:r>
          </w:p>
        </w:tc>
        <w:tc>
          <w:tcPr>
            <w:tcW w:w="44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xml:space="preserve">2020 N </w:t>
            </w:r>
          </w:p>
        </w:tc>
        <w:tc>
          <w:tcPr>
            <w:tcW w:w="44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xml:space="preserve">2021 N </w:t>
            </w:r>
          </w:p>
        </w:tc>
      </w:tr>
      <w:tr w:rsidR="003A497B" w:rsidRPr="00086A6E" w:rsidTr="003E1809">
        <w:trPr>
          <w:trHeight w:hRule="exact" w:val="255"/>
        </w:trPr>
        <w:tc>
          <w:tcPr>
            <w:tcW w:w="1698" w:type="pct"/>
            <w:tcBorders>
              <w:top w:val="nil"/>
              <w:left w:val="single" w:sz="4" w:space="0" w:color="auto"/>
              <w:bottom w:val="single" w:sz="4" w:space="0" w:color="auto"/>
              <w:right w:val="single" w:sz="4" w:space="0" w:color="auto"/>
            </w:tcBorders>
            <w:shd w:val="clear" w:color="000000" w:fill="D9D9D9"/>
            <w:vAlign w:val="bottom"/>
            <w:hideMark/>
          </w:tcPr>
          <w:p w:rsidR="003A497B" w:rsidRPr="00086A6E" w:rsidRDefault="003A497B" w:rsidP="003E1809">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Ministerstva zdravotníctva SR</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1 518 557 768</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1 410 439 419</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1 396 249 702</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1 348 001 639</w:t>
            </w:r>
          </w:p>
        </w:tc>
        <w:tc>
          <w:tcPr>
            <w:tcW w:w="450"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1 175 946 112</w:t>
            </w:r>
          </w:p>
        </w:tc>
        <w:tc>
          <w:tcPr>
            <w:tcW w:w="44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978 047 252</w:t>
            </w:r>
          </w:p>
        </w:tc>
        <w:tc>
          <w:tcPr>
            <w:tcW w:w="44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818 609 589</w:t>
            </w:r>
          </w:p>
        </w:tc>
      </w:tr>
      <w:tr w:rsidR="003A497B" w:rsidRPr="00086A6E" w:rsidTr="003E1809">
        <w:trPr>
          <w:trHeight w:hRule="exact" w:val="255"/>
        </w:trPr>
        <w:tc>
          <w:tcPr>
            <w:tcW w:w="1698" w:type="pct"/>
            <w:tcBorders>
              <w:top w:val="nil"/>
              <w:left w:val="single" w:sz="4" w:space="0" w:color="auto"/>
              <w:bottom w:val="single" w:sz="4" w:space="0" w:color="auto"/>
              <w:right w:val="single" w:sz="4" w:space="0" w:color="auto"/>
            </w:tcBorders>
            <w:shd w:val="clear" w:color="000000" w:fill="D9D9D9"/>
            <w:vAlign w:val="bottom"/>
            <w:hideMark/>
          </w:tcPr>
          <w:p w:rsidR="003A497B" w:rsidRPr="00086A6E" w:rsidRDefault="003A497B" w:rsidP="003E1809">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z toho:</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w:t>
            </w:r>
          </w:p>
        </w:tc>
        <w:tc>
          <w:tcPr>
            <w:tcW w:w="450"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w:t>
            </w:r>
          </w:p>
        </w:tc>
        <w:tc>
          <w:tcPr>
            <w:tcW w:w="44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w:t>
            </w:r>
          </w:p>
        </w:tc>
        <w:tc>
          <w:tcPr>
            <w:tcW w:w="44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w:t>
            </w:r>
          </w:p>
        </w:tc>
      </w:tr>
      <w:tr w:rsidR="003A497B" w:rsidRPr="00086A6E" w:rsidTr="003E1809">
        <w:trPr>
          <w:trHeight w:hRule="exac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poistné platené štátom*</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1 392 100 005</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1 300 135 348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1 219 447 320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1 165 999 750</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960 000 000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790 000 000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630 000 000</w:t>
            </w:r>
          </w:p>
        </w:tc>
      </w:tr>
      <w:tr w:rsidR="003A497B" w:rsidRPr="00086A6E" w:rsidTr="003E1809">
        <w:trPr>
          <w:trHeight w:hRule="exac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príspevok na činnosť OS ZZS </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13 799 748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14 258 426</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15 377 954</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15 266 528</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16 129 729</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16 600 528</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16 859 499</w:t>
            </w:r>
          </w:p>
        </w:tc>
      </w:tr>
      <w:tr w:rsidR="003A497B" w:rsidRPr="00086A6E" w:rsidTr="003E1809">
        <w:trPr>
          <w:trHeight w:hRule="exac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príspevok na činnosť NCZI</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16 165 419</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13 197 284</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18 014 175</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13 085 596</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18 894 825</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19 446 333</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19 749 699</w:t>
            </w:r>
          </w:p>
        </w:tc>
      </w:tr>
      <w:tr w:rsidR="003A497B" w:rsidRPr="00086A6E" w:rsidTr="003E1809">
        <w:trPr>
          <w:trHeight w:hRule="exac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výdavky kapitoly na činnosť </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68 588 372</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80 470 473</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143 410 253</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116 504 142</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180 921 558</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152 000 391</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152 000 391</w:t>
            </w:r>
          </w:p>
        </w:tc>
      </w:tr>
      <w:tr w:rsidR="003A497B" w:rsidRPr="00086A6E" w:rsidTr="003E1809">
        <w:trPr>
          <w:trHeight w:hRule="exac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prostriedky EÚ</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4 113 611</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743 549</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3A497B" w:rsidRPr="00086A6E" w:rsidTr="003E1809">
        <w:trPr>
          <w:trHeight w:hRule="exac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spolufinancovanie k zdrojom EÚ</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615 178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131 214</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3A497B" w:rsidRPr="00086A6E" w:rsidTr="003E1809">
        <w:trPr>
          <w:trHeight w:hRule="exact" w:val="255"/>
        </w:trPr>
        <w:tc>
          <w:tcPr>
            <w:tcW w:w="1698"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presun z minulých rokov</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23 175 435</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2 377 888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36 270 860</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bl>
    <w:p w:rsidR="003A497B" w:rsidRPr="00086A6E" w:rsidRDefault="003A497B" w:rsidP="003A497B">
      <w:pPr>
        <w:jc w:val="both"/>
        <w:rPr>
          <w:rFonts w:ascii="Times New Roman" w:hAnsi="Times New Roman"/>
          <w:bCs/>
          <w:sz w:val="14"/>
          <w:szCs w:val="14"/>
        </w:rPr>
      </w:pPr>
      <w:r w:rsidRPr="00086A6E">
        <w:rPr>
          <w:rFonts w:ascii="Times New Roman" w:hAnsi="Times New Roman"/>
          <w:bCs/>
          <w:sz w:val="14"/>
          <w:szCs w:val="14"/>
        </w:rPr>
        <w:t>* rok 2016 - vrátane ročného zúčtovania (roky 2017-2021 bez RZ)</w:t>
      </w:r>
    </w:p>
    <w:p w:rsidR="003A497B" w:rsidRPr="00086A6E" w:rsidRDefault="003A497B" w:rsidP="003A497B">
      <w:pPr>
        <w:jc w:val="both"/>
        <w:rPr>
          <w:rFonts w:ascii="Times New Roman" w:hAnsi="Times New Roman"/>
        </w:rPr>
      </w:pPr>
    </w:p>
    <w:p w:rsidR="003A497B" w:rsidRPr="00086A6E" w:rsidRDefault="003A497B" w:rsidP="003A497B">
      <w:pPr>
        <w:ind w:firstLine="708"/>
        <w:jc w:val="both"/>
        <w:rPr>
          <w:rFonts w:ascii="Times New Roman" w:hAnsi="Times New Roman"/>
        </w:rPr>
      </w:pPr>
      <w:r w:rsidRPr="00086A6E">
        <w:rPr>
          <w:rFonts w:ascii="Times New Roman" w:hAnsi="Times New Roman"/>
        </w:rPr>
        <w:t xml:space="preserve">Celková platba za poistencov štátu pre zákonom vymedzené kategórie osôb, na rok 2019 sa rozpočtuje v sume 960,0 mil. eur. </w:t>
      </w:r>
    </w:p>
    <w:p w:rsidR="003A497B" w:rsidRPr="00086A6E" w:rsidRDefault="003A497B" w:rsidP="003A497B">
      <w:pPr>
        <w:ind w:firstLine="708"/>
        <w:jc w:val="both"/>
        <w:rPr>
          <w:rFonts w:ascii="Times New Roman" w:hAnsi="Times New Roman"/>
        </w:rPr>
      </w:pPr>
    </w:p>
    <w:tbl>
      <w:tblPr>
        <w:tblW w:w="5000" w:type="pct"/>
        <w:tblCellMar>
          <w:left w:w="70" w:type="dxa"/>
          <w:right w:w="70" w:type="dxa"/>
        </w:tblCellMar>
        <w:tblLook w:val="04A0" w:firstRow="1" w:lastRow="0" w:firstColumn="1" w:lastColumn="0" w:noHBand="0" w:noVBand="1"/>
      </w:tblPr>
      <w:tblGrid>
        <w:gridCol w:w="2762"/>
        <w:gridCol w:w="945"/>
        <w:gridCol w:w="945"/>
        <w:gridCol w:w="945"/>
        <w:gridCol w:w="945"/>
        <w:gridCol w:w="840"/>
        <w:gridCol w:w="840"/>
        <w:gridCol w:w="840"/>
      </w:tblGrid>
      <w:tr w:rsidR="003A497B" w:rsidRPr="00086A6E" w:rsidTr="003E1809">
        <w:trPr>
          <w:trHeight w:val="255"/>
        </w:trPr>
        <w:tc>
          <w:tcPr>
            <w:tcW w:w="1524"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086A6E" w:rsidRDefault="003A497B" w:rsidP="003E1809">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w:t>
            </w:r>
            <w:r>
              <w:rPr>
                <w:rFonts w:ascii="Times New Roman" w:hAnsi="Times New Roman" w:cs="Times New Roman"/>
                <w:b/>
                <w:bCs/>
                <w:sz w:val="14"/>
                <w:szCs w:val="14"/>
                <w:lang w:eastAsia="sk-SK"/>
              </w:rPr>
              <w:t> </w:t>
            </w:r>
            <w:r w:rsidRPr="00086A6E">
              <w:rPr>
                <w:rFonts w:ascii="Times New Roman" w:hAnsi="Times New Roman" w:cs="Times New Roman"/>
                <w:b/>
                <w:bCs/>
                <w:sz w:val="14"/>
                <w:szCs w:val="14"/>
                <w:lang w:eastAsia="sk-SK"/>
              </w:rPr>
              <w:t>eurách</w:t>
            </w:r>
          </w:p>
        </w:tc>
        <w:tc>
          <w:tcPr>
            <w:tcW w:w="52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2016 S</w:t>
            </w:r>
          </w:p>
        </w:tc>
        <w:tc>
          <w:tcPr>
            <w:tcW w:w="52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2017 S</w:t>
            </w:r>
          </w:p>
        </w:tc>
        <w:tc>
          <w:tcPr>
            <w:tcW w:w="52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2018 R</w:t>
            </w:r>
          </w:p>
        </w:tc>
        <w:tc>
          <w:tcPr>
            <w:tcW w:w="52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2018 OS</w:t>
            </w:r>
          </w:p>
        </w:tc>
        <w:tc>
          <w:tcPr>
            <w:tcW w:w="463"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2019 N</w:t>
            </w:r>
          </w:p>
        </w:tc>
        <w:tc>
          <w:tcPr>
            <w:tcW w:w="463"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xml:space="preserve">2020 N </w:t>
            </w:r>
          </w:p>
        </w:tc>
        <w:tc>
          <w:tcPr>
            <w:tcW w:w="463"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xml:space="preserve">2021 N </w:t>
            </w:r>
          </w:p>
        </w:tc>
      </w:tr>
      <w:tr w:rsidR="003A497B" w:rsidRPr="00086A6E" w:rsidTr="003E1809">
        <w:trPr>
          <w:trHeight w:val="255"/>
        </w:trPr>
        <w:tc>
          <w:tcPr>
            <w:tcW w:w="1524" w:type="pct"/>
            <w:tcBorders>
              <w:top w:val="nil"/>
              <w:left w:val="single" w:sz="4" w:space="0" w:color="auto"/>
              <w:bottom w:val="single" w:sz="4" w:space="0" w:color="auto"/>
              <w:right w:val="single" w:sz="4" w:space="0" w:color="auto"/>
            </w:tcBorders>
            <w:shd w:val="clear" w:color="000000" w:fill="D9D9D9"/>
            <w:vAlign w:val="bottom"/>
            <w:hideMark/>
          </w:tcPr>
          <w:p w:rsidR="003A497B" w:rsidRPr="00086A6E" w:rsidRDefault="003A497B" w:rsidP="003E1809">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Poistné platené štátom na verejné zdravotné poistenie</w:t>
            </w:r>
          </w:p>
        </w:tc>
        <w:tc>
          <w:tcPr>
            <w:tcW w:w="52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1 392 100 005</w:t>
            </w:r>
          </w:p>
        </w:tc>
        <w:tc>
          <w:tcPr>
            <w:tcW w:w="52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1 300 135 348</w:t>
            </w:r>
          </w:p>
        </w:tc>
        <w:tc>
          <w:tcPr>
            <w:tcW w:w="52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1 241 870 019</w:t>
            </w:r>
          </w:p>
        </w:tc>
        <w:tc>
          <w:tcPr>
            <w:tcW w:w="52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1 206 039 209</w:t>
            </w:r>
          </w:p>
        </w:tc>
        <w:tc>
          <w:tcPr>
            <w:tcW w:w="463"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992 570 000</w:t>
            </w:r>
          </w:p>
        </w:tc>
        <w:tc>
          <w:tcPr>
            <w:tcW w:w="463"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790 000 000</w:t>
            </w:r>
          </w:p>
        </w:tc>
        <w:tc>
          <w:tcPr>
            <w:tcW w:w="463"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630 000 000</w:t>
            </w:r>
          </w:p>
        </w:tc>
      </w:tr>
      <w:tr w:rsidR="003A497B" w:rsidRPr="00086A6E" w:rsidTr="003E1809">
        <w:trPr>
          <w:trHeight w:val="255"/>
        </w:trPr>
        <w:tc>
          <w:tcPr>
            <w:tcW w:w="1524" w:type="pct"/>
            <w:tcBorders>
              <w:top w:val="nil"/>
              <w:left w:val="single" w:sz="4" w:space="0" w:color="auto"/>
              <w:bottom w:val="single" w:sz="4" w:space="0" w:color="auto"/>
              <w:right w:val="single" w:sz="4" w:space="0" w:color="auto"/>
            </w:tcBorders>
            <w:shd w:val="clear" w:color="000000" w:fill="D9D9D9"/>
            <w:vAlign w:val="bottom"/>
            <w:hideMark/>
          </w:tcPr>
          <w:p w:rsidR="003A497B" w:rsidRPr="00086A6E" w:rsidRDefault="003A497B" w:rsidP="003E1809">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 xml:space="preserve">Preddavky na poistné platené štátom </w:t>
            </w:r>
          </w:p>
        </w:tc>
        <w:tc>
          <w:tcPr>
            <w:tcW w:w="52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1 355 219 743</w:t>
            </w:r>
          </w:p>
        </w:tc>
        <w:tc>
          <w:tcPr>
            <w:tcW w:w="52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1 264 976 432</w:t>
            </w:r>
          </w:p>
        </w:tc>
        <w:tc>
          <w:tcPr>
            <w:tcW w:w="52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1 219 447 320</w:t>
            </w:r>
          </w:p>
        </w:tc>
        <w:tc>
          <w:tcPr>
            <w:tcW w:w="52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1 165 999 750</w:t>
            </w:r>
          </w:p>
        </w:tc>
        <w:tc>
          <w:tcPr>
            <w:tcW w:w="463"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960 000 000</w:t>
            </w:r>
          </w:p>
        </w:tc>
        <w:tc>
          <w:tcPr>
            <w:tcW w:w="463"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790 000 000</w:t>
            </w:r>
          </w:p>
        </w:tc>
        <w:tc>
          <w:tcPr>
            <w:tcW w:w="463"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630 000 000</w:t>
            </w:r>
          </w:p>
        </w:tc>
      </w:tr>
      <w:tr w:rsidR="003A497B" w:rsidRPr="00086A6E" w:rsidTr="003E1809">
        <w:trPr>
          <w:trHeight w:val="255"/>
        </w:trPr>
        <w:tc>
          <w:tcPr>
            <w:tcW w:w="1524"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Ročné zúčtovanie poistného v danom roku</w:t>
            </w:r>
          </w:p>
        </w:tc>
        <w:tc>
          <w:tcPr>
            <w:tcW w:w="52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36 880 262</w:t>
            </w:r>
          </w:p>
        </w:tc>
        <w:tc>
          <w:tcPr>
            <w:tcW w:w="52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35 158 916</w:t>
            </w:r>
          </w:p>
        </w:tc>
        <w:tc>
          <w:tcPr>
            <w:tcW w:w="52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22 422 699</w:t>
            </w:r>
          </w:p>
        </w:tc>
        <w:tc>
          <w:tcPr>
            <w:tcW w:w="52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40 039 459</w:t>
            </w:r>
          </w:p>
        </w:tc>
        <w:tc>
          <w:tcPr>
            <w:tcW w:w="463"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32 570 000</w:t>
            </w:r>
          </w:p>
        </w:tc>
        <w:tc>
          <w:tcPr>
            <w:tcW w:w="463"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c>
          <w:tcPr>
            <w:tcW w:w="463"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0</w:t>
            </w:r>
          </w:p>
        </w:tc>
      </w:tr>
    </w:tbl>
    <w:p w:rsidR="003A497B" w:rsidRPr="00086A6E" w:rsidRDefault="003A497B" w:rsidP="003A497B">
      <w:pPr>
        <w:jc w:val="both"/>
        <w:rPr>
          <w:rFonts w:ascii="Times New Roman" w:hAnsi="Times New Roman"/>
          <w:bCs/>
          <w:sz w:val="14"/>
          <w:szCs w:val="14"/>
        </w:rPr>
      </w:pPr>
      <w:r w:rsidRPr="00086A6E">
        <w:rPr>
          <w:rFonts w:ascii="Times New Roman" w:hAnsi="Times New Roman"/>
          <w:bCs/>
          <w:sz w:val="14"/>
          <w:szCs w:val="14"/>
        </w:rPr>
        <w:t>* ročné zúčtovanie je v rokoch 2017-2021 rozpočtované v kapitole VPS</w:t>
      </w:r>
    </w:p>
    <w:p w:rsidR="003A497B" w:rsidRPr="00086A6E" w:rsidRDefault="003A497B" w:rsidP="003A497B">
      <w:pPr>
        <w:ind w:firstLine="708"/>
        <w:jc w:val="both"/>
        <w:rPr>
          <w:rFonts w:ascii="Times New Roman" w:hAnsi="Times New Roman"/>
        </w:rPr>
      </w:pPr>
    </w:p>
    <w:p w:rsidR="003A497B" w:rsidRPr="00086A6E" w:rsidRDefault="003A497B" w:rsidP="003A497B">
      <w:pPr>
        <w:ind w:firstLine="708"/>
        <w:jc w:val="both"/>
        <w:rPr>
          <w:rFonts w:ascii="Times New Roman" w:hAnsi="Times New Roman"/>
        </w:rPr>
      </w:pPr>
      <w:r w:rsidRPr="00086A6E">
        <w:rPr>
          <w:rFonts w:ascii="Times New Roman" w:hAnsi="Times New Roman"/>
        </w:rPr>
        <w:t xml:space="preserve">Príspevok na činnosť operačných stredísk záchrannej zdravotnej služby (ďalej len „OS ZZS“) poukazujú zdravotné poisťovne v súlade so zákonom č. 581/2004 Z. z. o zdravotných poisťovniach a dohľade nad zdravotnou starostlivosťou na účet Ministerstva zdravotníctva SR do 20. decembra kalendárneho roka. Výška sadzby na výpočet príspevku je rovnaká ako v roku 2018, a to 0,35 % z vymeriavacieho základu. Na činnosť Národného centra zdravotníckych informácií (ďalej len „NCZI“) je stanovená výška sadzby na výpočet príspevku 0,41 % z vymeriavacieho základu. </w:t>
      </w:r>
    </w:p>
    <w:p w:rsidR="003A497B" w:rsidRPr="00086A6E" w:rsidRDefault="003A497B" w:rsidP="003A497B">
      <w:pPr>
        <w:jc w:val="both"/>
        <w:rPr>
          <w:rFonts w:ascii="Times New Roman" w:hAnsi="Times New Roman"/>
        </w:rPr>
      </w:pPr>
    </w:p>
    <w:p w:rsidR="003A497B" w:rsidRPr="00086A6E" w:rsidRDefault="003A497B" w:rsidP="003A497B">
      <w:pPr>
        <w:ind w:firstLine="708"/>
        <w:jc w:val="both"/>
        <w:rPr>
          <w:rFonts w:ascii="Times New Roman" w:hAnsi="Times New Roman"/>
        </w:rPr>
      </w:pPr>
      <w:r w:rsidRPr="00086A6E">
        <w:rPr>
          <w:rFonts w:ascii="Times New Roman" w:hAnsi="Times New Roman"/>
        </w:rPr>
        <w:t>Rozpočtovaný príspevok na financovanie OS ZZS na rok 2019 v sume 16,1 mil. eur medziročne rastie o 751,7 tis. eur. Na rok 2020 sa navrhuje príspevok v sume 16,6 mil. eur a na rok 2021 v sume 16,8 mil. eur.</w:t>
      </w:r>
    </w:p>
    <w:p w:rsidR="003A497B" w:rsidRPr="00086A6E" w:rsidRDefault="003A497B" w:rsidP="003A497B">
      <w:pPr>
        <w:ind w:firstLine="708"/>
        <w:jc w:val="both"/>
        <w:rPr>
          <w:rFonts w:ascii="Times New Roman" w:hAnsi="Times New Roman"/>
        </w:rPr>
      </w:pPr>
    </w:p>
    <w:p w:rsidR="003A497B" w:rsidRPr="00086A6E" w:rsidRDefault="003A497B" w:rsidP="003A497B">
      <w:pPr>
        <w:ind w:firstLine="708"/>
        <w:jc w:val="both"/>
        <w:rPr>
          <w:rFonts w:ascii="Times New Roman" w:hAnsi="Times New Roman"/>
        </w:rPr>
      </w:pPr>
      <w:r w:rsidRPr="00086A6E">
        <w:rPr>
          <w:rFonts w:ascii="Times New Roman" w:hAnsi="Times New Roman"/>
        </w:rPr>
        <w:t> Rozpočtovaný príspevok na financovanie NCZI na rok 2019 v sume 18,9 mil. eur medziročne rastie o 880,6 tis. eur. Na rok 2020 sa navrhuje príspevok v sume 19,4 mil. eur a na rok 2021 v sume 19,7 mil. eur.</w:t>
      </w:r>
    </w:p>
    <w:p w:rsidR="003A497B" w:rsidRPr="00086A6E" w:rsidRDefault="003A497B" w:rsidP="003A497B">
      <w:pPr>
        <w:ind w:firstLine="708"/>
        <w:jc w:val="both"/>
        <w:rPr>
          <w:rFonts w:ascii="Times New Roman" w:hAnsi="Times New Roman"/>
        </w:rPr>
      </w:pPr>
    </w:p>
    <w:p w:rsidR="003A497B" w:rsidRPr="00086A6E" w:rsidRDefault="003A497B" w:rsidP="003A497B">
      <w:pPr>
        <w:ind w:firstLine="708"/>
        <w:jc w:val="both"/>
        <w:rPr>
          <w:rFonts w:ascii="Times New Roman" w:hAnsi="Times New Roman"/>
        </w:rPr>
      </w:pPr>
      <w:r w:rsidRPr="00086A6E">
        <w:rPr>
          <w:rFonts w:ascii="Times New Roman" w:hAnsi="Times New Roman"/>
        </w:rPr>
        <w:t xml:space="preserve">Výdavky Ministerstva zdravotníctva SR z rozpočtových prostriedkov kapitoly, bez poistného plateného štátom, príspevkov pre OS ZZS a NCZI sa na rok 2019 predpokladajú na úrovni 180,9 mil. eur, čo predstavuje nárast oproti schválenému rozpočtu roku 2018  </w:t>
      </w:r>
      <w:r w:rsidRPr="00086A6E">
        <w:rPr>
          <w:rFonts w:ascii="Times New Roman" w:hAnsi="Times New Roman"/>
        </w:rPr>
        <w:br/>
        <w:t xml:space="preserve">o 37,5 mil. eur, t. j. o 26,2 %. Uvedený nárast je spôsobený najmä </w:t>
      </w:r>
      <w:r>
        <w:rPr>
          <w:rFonts w:ascii="Times New Roman" w:hAnsi="Times New Roman"/>
        </w:rPr>
        <w:t>z</w:t>
      </w:r>
      <w:r w:rsidRPr="00086A6E">
        <w:rPr>
          <w:rFonts w:ascii="Times New Roman" w:hAnsi="Times New Roman"/>
        </w:rPr>
        <w:t>výšením kapitálových výdavkov a výdavkov na realizáciu strategického a projektového riadenia určeného pre efektívnejšie zdravotníctvo.</w:t>
      </w:r>
    </w:p>
    <w:p w:rsidR="003A497B" w:rsidRPr="00086A6E" w:rsidRDefault="003A497B" w:rsidP="003A497B">
      <w:pPr>
        <w:ind w:firstLine="709"/>
        <w:jc w:val="both"/>
        <w:rPr>
          <w:rFonts w:ascii="Times New Roman" w:hAnsi="Times New Roman"/>
        </w:rPr>
      </w:pPr>
    </w:p>
    <w:p w:rsidR="003A497B" w:rsidRPr="00086A6E" w:rsidRDefault="003A497B" w:rsidP="003A497B">
      <w:pPr>
        <w:ind w:firstLine="709"/>
        <w:jc w:val="both"/>
        <w:rPr>
          <w:rFonts w:ascii="Times New Roman" w:hAnsi="Times New Roman"/>
        </w:rPr>
      </w:pPr>
      <w:r w:rsidRPr="00086A6E">
        <w:rPr>
          <w:rFonts w:ascii="Times New Roman" w:hAnsi="Times New Roman"/>
        </w:rPr>
        <w:t>Kapitola na roky 2019</w:t>
      </w:r>
      <w:r>
        <w:rPr>
          <w:rFonts w:ascii="Times New Roman" w:hAnsi="Times New Roman"/>
        </w:rPr>
        <w:t xml:space="preserve"> až </w:t>
      </w:r>
      <w:r w:rsidRPr="00086A6E">
        <w:rPr>
          <w:rFonts w:ascii="Times New Roman" w:hAnsi="Times New Roman"/>
        </w:rPr>
        <w:t>2021 nerozpočtuje prostriedky na samostatných účtoch.</w:t>
      </w:r>
    </w:p>
    <w:p w:rsidR="003A497B" w:rsidRPr="00086A6E" w:rsidRDefault="003A497B" w:rsidP="003A497B">
      <w:pPr>
        <w:jc w:val="both"/>
        <w:rPr>
          <w:rFonts w:ascii="Times New Roman" w:hAnsi="Times New Roman"/>
        </w:rPr>
      </w:pPr>
    </w:p>
    <w:p w:rsidR="003A497B" w:rsidRPr="00086A6E" w:rsidRDefault="003A497B" w:rsidP="003A497B">
      <w:pPr>
        <w:ind w:firstLine="709"/>
        <w:jc w:val="both"/>
        <w:rPr>
          <w:rFonts w:ascii="Times New Roman" w:hAnsi="Times New Roman"/>
        </w:rPr>
      </w:pPr>
      <w:r w:rsidRPr="00086A6E">
        <w:rPr>
          <w:rFonts w:ascii="Times New Roman" w:hAnsi="Times New Roman"/>
        </w:rPr>
        <w:t>Nasledujúca tabuľka zobrazuje výdavky MZ SR z rozpočtových prostriedkov kapitoly na jednotlivé oblasti.</w:t>
      </w:r>
    </w:p>
    <w:p w:rsidR="003A497B" w:rsidRPr="00086A6E" w:rsidRDefault="003A497B" w:rsidP="003A497B">
      <w:pPr>
        <w:ind w:firstLine="709"/>
        <w:jc w:val="both"/>
        <w:rPr>
          <w:rFonts w:ascii="Times New Roman" w:hAnsi="Times New Roman"/>
        </w:rPr>
      </w:pPr>
    </w:p>
    <w:tbl>
      <w:tblPr>
        <w:tblW w:w="5000" w:type="pct"/>
        <w:tblCellMar>
          <w:left w:w="70" w:type="dxa"/>
          <w:right w:w="70" w:type="dxa"/>
        </w:tblCellMar>
        <w:tblLook w:val="04A0" w:firstRow="1" w:lastRow="0" w:firstColumn="1" w:lastColumn="0" w:noHBand="0" w:noVBand="1"/>
      </w:tblPr>
      <w:tblGrid>
        <w:gridCol w:w="3058"/>
        <w:gridCol w:w="871"/>
        <w:gridCol w:w="871"/>
        <w:gridCol w:w="871"/>
        <w:gridCol w:w="871"/>
        <w:gridCol w:w="840"/>
        <w:gridCol w:w="840"/>
        <w:gridCol w:w="840"/>
      </w:tblGrid>
      <w:tr w:rsidR="003A497B" w:rsidRPr="00086A6E" w:rsidTr="003E1809">
        <w:trPr>
          <w:trHeight w:val="255"/>
        </w:trPr>
        <w:tc>
          <w:tcPr>
            <w:tcW w:w="1698"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v eurách</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2016 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2017 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2018 R</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2018 OS</w:t>
            </w:r>
          </w:p>
        </w:tc>
        <w:tc>
          <w:tcPr>
            <w:tcW w:w="450"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2019 N</w:t>
            </w:r>
          </w:p>
        </w:tc>
        <w:tc>
          <w:tcPr>
            <w:tcW w:w="44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xml:space="preserve">2020 N </w:t>
            </w:r>
          </w:p>
        </w:tc>
        <w:tc>
          <w:tcPr>
            <w:tcW w:w="44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xml:space="preserve">2021 N </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000000" w:fill="D9D9D9"/>
            <w:noWrap/>
            <w:vAlign w:val="center"/>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Výdavky kapitoly na činnosť spolu</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68 588 372</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80 470 473</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143 410 253</w:t>
            </w:r>
          </w:p>
        </w:tc>
        <w:tc>
          <w:tcPr>
            <w:tcW w:w="492"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116 223 681</w:t>
            </w:r>
          </w:p>
        </w:tc>
        <w:tc>
          <w:tcPr>
            <w:tcW w:w="450"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180 921 558</w:t>
            </w:r>
          </w:p>
        </w:tc>
        <w:tc>
          <w:tcPr>
            <w:tcW w:w="44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152 000 391</w:t>
            </w:r>
          </w:p>
        </w:tc>
        <w:tc>
          <w:tcPr>
            <w:tcW w:w="441"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152 000 391</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noWrap/>
            <w:vAlign w:val="center"/>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Bežné výdavky kapitoly, z toho:</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67 172 471</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67 347 334</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73 410 253</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78 743 798</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80 921 558</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81 000 391</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81 000 391</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ÚVZ a RÚVZ (RO)</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31 341 400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33 637 739</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32 373 305</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32 373 305</w:t>
            </w:r>
          </w:p>
        </w:tc>
        <w:tc>
          <w:tcPr>
            <w:tcW w:w="450"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34 658 131</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34 658 131</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34 658 131</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Štátny ústav pre kontrolu liečiv (RO)</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4 942 364</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4 895 663</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5 050 020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5 230 513</w:t>
            </w:r>
          </w:p>
        </w:tc>
        <w:tc>
          <w:tcPr>
            <w:tcW w:w="450"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5 969 668</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5 969 668</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5 969 668</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Národné centrum zdravotníckych informácií (PO)</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10 000</w:t>
            </w:r>
          </w:p>
        </w:tc>
        <w:tc>
          <w:tcPr>
            <w:tcW w:w="450"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Slovenská zdravotnícka univerzita (PO)</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6 097 806</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7 338 867</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6 168 882</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6 341 173</w:t>
            </w:r>
          </w:p>
        </w:tc>
        <w:tc>
          <w:tcPr>
            <w:tcW w:w="450"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6 168 882</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6 168 882</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6 168 882</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Národná transplantačná organizácia (PO)</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357 009</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372 889</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390 000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390 000</w:t>
            </w:r>
          </w:p>
        </w:tc>
        <w:tc>
          <w:tcPr>
            <w:tcW w:w="450"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390 000</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390 000</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390 000</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Toxikologické centrum</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94 467</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94 170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115 000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115 000</w:t>
            </w:r>
          </w:p>
        </w:tc>
        <w:tc>
          <w:tcPr>
            <w:tcW w:w="450"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145 000</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145 000</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145 000</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Centrum pre liečbu drogových závislostí</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40 000</w:t>
            </w:r>
          </w:p>
        </w:tc>
        <w:tc>
          <w:tcPr>
            <w:tcW w:w="450"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40 000</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40 000</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40 000</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Slovenský Červený kríž</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700 000</w:t>
            </w:r>
          </w:p>
        </w:tc>
        <w:tc>
          <w:tcPr>
            <w:tcW w:w="450"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700 000</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700 000</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700 000</w:t>
            </w:r>
          </w:p>
        </w:tc>
      </w:tr>
      <w:tr w:rsidR="003A497B" w:rsidRPr="00086A6E" w:rsidTr="003E1809">
        <w:trPr>
          <w:trHeight w:val="420"/>
        </w:trPr>
        <w:tc>
          <w:tcPr>
            <w:tcW w:w="1698" w:type="pct"/>
            <w:tcBorders>
              <w:top w:val="nil"/>
              <w:left w:val="single" w:sz="4" w:space="0" w:color="auto"/>
              <w:bottom w:val="single" w:sz="4" w:space="0" w:color="auto"/>
              <w:right w:val="single" w:sz="4" w:space="0" w:color="auto"/>
            </w:tcBorders>
            <w:shd w:val="clear" w:color="auto" w:fill="auto"/>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náhrada nákladov VšZP za ZS poskytnutú nepoisteným osobám (bezdomovci, iní nepoistení)</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17 547</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16 996</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80 000</w:t>
            </w:r>
          </w:p>
        </w:tc>
        <w:tc>
          <w:tcPr>
            <w:tcW w:w="450"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50 000</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50 000</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50 000</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podpora vedy a výskumu</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381 034</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132 080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1 121 796</w:t>
            </w:r>
          </w:p>
        </w:tc>
        <w:tc>
          <w:tcPr>
            <w:tcW w:w="450"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1 700 000</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1 700 000</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1 700 000</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ostatné výdavky aparátu, z toho:</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23 200 844</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20 118 930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27 583 046</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32 342 011</w:t>
            </w:r>
          </w:p>
        </w:tc>
        <w:tc>
          <w:tcPr>
            <w:tcW w:w="450"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31 099 877</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31 178 710</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31 178 710</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noWrap/>
            <w:vAlign w:val="center"/>
            <w:hideMark/>
          </w:tcPr>
          <w:p w:rsidR="003A497B" w:rsidRPr="00086A6E" w:rsidRDefault="003A497B" w:rsidP="003E1809">
            <w:pPr>
              <w:rPr>
                <w:rFonts w:ascii="Times New Roman" w:hAnsi="Times New Roman" w:cs="Times New Roman"/>
                <w:i/>
                <w:iCs/>
                <w:color w:val="000000"/>
                <w:sz w:val="14"/>
                <w:szCs w:val="14"/>
                <w:lang w:eastAsia="sk-SK"/>
              </w:rPr>
            </w:pPr>
            <w:r w:rsidRPr="00086A6E">
              <w:rPr>
                <w:rFonts w:ascii="Times New Roman" w:hAnsi="Times New Roman" w:cs="Times New Roman"/>
                <w:i/>
                <w:iCs/>
                <w:color w:val="000000"/>
                <w:sz w:val="14"/>
                <w:szCs w:val="14"/>
                <w:lang w:eastAsia="sk-SK"/>
              </w:rPr>
              <w:t xml:space="preserve">      ostatná činnosť v zdravotníctve bez SČK a DRG</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8 531</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2 684 017</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5 662 686</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4 020 252</w:t>
            </w:r>
          </w:p>
        </w:tc>
        <w:tc>
          <w:tcPr>
            <w:tcW w:w="450"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3 759 132</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3 837 965</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3 837 965</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noWrap/>
            <w:vAlign w:val="center"/>
            <w:hideMark/>
          </w:tcPr>
          <w:p w:rsidR="003A497B" w:rsidRPr="00086A6E" w:rsidRDefault="003A497B" w:rsidP="003E1809">
            <w:pPr>
              <w:rPr>
                <w:rFonts w:ascii="Times New Roman" w:hAnsi="Times New Roman" w:cs="Times New Roman"/>
                <w:i/>
                <w:iCs/>
                <w:color w:val="000000"/>
                <w:sz w:val="14"/>
                <w:szCs w:val="14"/>
                <w:lang w:eastAsia="sk-SK"/>
              </w:rPr>
            </w:pPr>
            <w:r w:rsidRPr="00086A6E">
              <w:rPr>
                <w:rFonts w:ascii="Times New Roman" w:hAnsi="Times New Roman" w:cs="Times New Roman"/>
                <w:i/>
                <w:iCs/>
                <w:color w:val="000000"/>
                <w:sz w:val="14"/>
                <w:szCs w:val="14"/>
                <w:lang w:eastAsia="sk-SK"/>
              </w:rPr>
              <w:t xml:space="preserve">      aparát a iné výdavkové tituly </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23 192 313</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17 434 913</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21 920 360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28 321 759</w:t>
            </w:r>
          </w:p>
        </w:tc>
        <w:tc>
          <w:tcPr>
            <w:tcW w:w="450"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27 340 745</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27 340 745</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27 340 745</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noWrap/>
            <w:vAlign w:val="center"/>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Kapitálové výdavky kapitoly</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1 415 901</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13 123 139</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70 000 000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37 479 883</w:t>
            </w:r>
          </w:p>
        </w:tc>
        <w:tc>
          <w:tcPr>
            <w:tcW w:w="450"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100 000 000</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71 000 000</w:t>
            </w:r>
          </w:p>
        </w:tc>
        <w:tc>
          <w:tcPr>
            <w:tcW w:w="441" w:type="pct"/>
            <w:tcBorders>
              <w:top w:val="nil"/>
              <w:left w:val="nil"/>
              <w:bottom w:val="single" w:sz="4" w:space="0" w:color="auto"/>
              <w:right w:val="single" w:sz="4" w:space="0" w:color="auto"/>
            </w:tcBorders>
            <w:shd w:val="clear" w:color="000000" w:fill="FFFFFF"/>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71 000 000</w:t>
            </w:r>
          </w:p>
        </w:tc>
      </w:tr>
    </w:tbl>
    <w:p w:rsidR="003A497B" w:rsidRPr="00086A6E" w:rsidRDefault="003A497B" w:rsidP="003A497B">
      <w:pPr>
        <w:keepNext/>
        <w:keepLines/>
        <w:outlineLvl w:val="0"/>
        <w:rPr>
          <w:rFonts w:ascii="Times New Roman" w:eastAsiaTheme="majorEastAsia" w:hAnsi="Times New Roman" w:cs="Times New Roman"/>
          <w:b/>
          <w:szCs w:val="32"/>
          <w:highlight w:val="yellow"/>
        </w:rPr>
      </w:pPr>
    </w:p>
    <w:p w:rsidR="003A497B" w:rsidRPr="00086A6E" w:rsidRDefault="003A497B" w:rsidP="003A497B">
      <w:pPr>
        <w:spacing w:after="200" w:line="276" w:lineRule="auto"/>
        <w:jc w:val="both"/>
        <w:rPr>
          <w:rFonts w:ascii="Times New Roman" w:hAnsi="Times New Roman" w:cs="Times New Roman"/>
          <w:b/>
        </w:rPr>
      </w:pPr>
      <w:r w:rsidRPr="00086A6E">
        <w:rPr>
          <w:rFonts w:ascii="Times New Roman" w:hAnsi="Times New Roman" w:cs="Times New Roman"/>
          <w:b/>
        </w:rPr>
        <w:t>Informačné technológie financované zo štátneho rozpočtu</w:t>
      </w:r>
    </w:p>
    <w:tbl>
      <w:tblPr>
        <w:tblW w:w="5000" w:type="pct"/>
        <w:tblCellMar>
          <w:left w:w="70" w:type="dxa"/>
          <w:right w:w="70" w:type="dxa"/>
        </w:tblCellMar>
        <w:tblLook w:val="04A0" w:firstRow="1" w:lastRow="0" w:firstColumn="1" w:lastColumn="0" w:noHBand="0" w:noVBand="1"/>
      </w:tblPr>
      <w:tblGrid>
        <w:gridCol w:w="3080"/>
        <w:gridCol w:w="892"/>
        <w:gridCol w:w="892"/>
        <w:gridCol w:w="892"/>
        <w:gridCol w:w="892"/>
        <w:gridCol w:w="816"/>
        <w:gridCol w:w="799"/>
        <w:gridCol w:w="799"/>
      </w:tblGrid>
      <w:tr w:rsidR="003A497B" w:rsidRPr="00086A6E" w:rsidTr="003E1809">
        <w:trPr>
          <w:trHeight w:val="255"/>
        </w:trPr>
        <w:tc>
          <w:tcPr>
            <w:tcW w:w="1698"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v eurách</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2016 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2017 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2018 R</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2018 OS</w:t>
            </w:r>
          </w:p>
        </w:tc>
        <w:tc>
          <w:tcPr>
            <w:tcW w:w="450"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2019 N</w:t>
            </w:r>
          </w:p>
        </w:tc>
        <w:tc>
          <w:tcPr>
            <w:tcW w:w="44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xml:space="preserve">2020 N </w:t>
            </w:r>
          </w:p>
        </w:tc>
        <w:tc>
          <w:tcPr>
            <w:tcW w:w="44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xml:space="preserve">2021 N </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000000" w:fill="BFBFBF"/>
            <w:noWrap/>
            <w:vAlign w:val="center"/>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IT  financované zo ŠR spolu</w:t>
            </w:r>
          </w:p>
        </w:tc>
        <w:tc>
          <w:tcPr>
            <w:tcW w:w="492" w:type="pct"/>
            <w:tcBorders>
              <w:top w:val="nil"/>
              <w:left w:val="nil"/>
              <w:bottom w:val="single" w:sz="4" w:space="0" w:color="auto"/>
              <w:right w:val="single" w:sz="4" w:space="0" w:color="auto"/>
            </w:tcBorders>
            <w:shd w:val="clear" w:color="000000" w:fill="BFBFBF"/>
            <w:noWrap/>
            <w:vAlign w:val="center"/>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0</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625 594</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944 777</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944 777</w:t>
            </w:r>
          </w:p>
        </w:tc>
        <w:tc>
          <w:tcPr>
            <w:tcW w:w="450" w:type="pct"/>
            <w:tcBorders>
              <w:top w:val="nil"/>
              <w:left w:val="nil"/>
              <w:bottom w:val="single" w:sz="4" w:space="0" w:color="auto"/>
              <w:right w:val="single" w:sz="4" w:space="0" w:color="auto"/>
            </w:tcBorders>
            <w:shd w:val="clear" w:color="000000" w:fill="BFBFBF"/>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1 395 972</w:t>
            </w:r>
          </w:p>
        </w:tc>
        <w:tc>
          <w:tcPr>
            <w:tcW w:w="441" w:type="pct"/>
            <w:tcBorders>
              <w:top w:val="nil"/>
              <w:left w:val="nil"/>
              <w:bottom w:val="single" w:sz="4" w:space="0" w:color="auto"/>
              <w:right w:val="single" w:sz="4" w:space="0" w:color="auto"/>
            </w:tcBorders>
            <w:shd w:val="clear" w:color="000000" w:fill="BFBFBF"/>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1 393 862</w:t>
            </w:r>
          </w:p>
        </w:tc>
        <w:tc>
          <w:tcPr>
            <w:tcW w:w="441" w:type="pct"/>
            <w:tcBorders>
              <w:top w:val="nil"/>
              <w:left w:val="nil"/>
              <w:bottom w:val="single" w:sz="4" w:space="0" w:color="auto"/>
              <w:right w:val="single" w:sz="4" w:space="0" w:color="auto"/>
            </w:tcBorders>
            <w:shd w:val="clear" w:color="000000" w:fill="BFBFBF"/>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1 395 012</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Systémy vnútornej správy</w:t>
            </w:r>
          </w:p>
        </w:tc>
        <w:tc>
          <w:tcPr>
            <w:tcW w:w="492" w:type="pct"/>
            <w:tcBorders>
              <w:top w:val="nil"/>
              <w:left w:val="nil"/>
              <w:bottom w:val="single" w:sz="4" w:space="0" w:color="auto"/>
              <w:right w:val="single" w:sz="4" w:space="0" w:color="auto"/>
            </w:tcBorders>
            <w:shd w:val="clear" w:color="auto" w:fill="auto"/>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541 148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773 727</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788 727</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1 219 887</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1 217 777</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1 218 927</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Špecializované systémy </w:t>
            </w:r>
          </w:p>
        </w:tc>
        <w:tc>
          <w:tcPr>
            <w:tcW w:w="492" w:type="pct"/>
            <w:tcBorders>
              <w:top w:val="nil"/>
              <w:left w:val="nil"/>
              <w:bottom w:val="single" w:sz="4" w:space="0" w:color="auto"/>
              <w:right w:val="single" w:sz="4" w:space="0" w:color="auto"/>
            </w:tcBorders>
            <w:shd w:val="clear" w:color="auto" w:fill="auto"/>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29 254</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79 398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64 398</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75 348</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75 348</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75 348</w:t>
            </w:r>
          </w:p>
        </w:tc>
      </w:tr>
      <w:tr w:rsidR="003A497B" w:rsidRPr="00086A6E" w:rsidTr="003E1809">
        <w:trPr>
          <w:trHeight w:val="255"/>
        </w:trPr>
        <w:tc>
          <w:tcPr>
            <w:tcW w:w="1698" w:type="pct"/>
            <w:tcBorders>
              <w:top w:val="nil"/>
              <w:left w:val="single" w:sz="4" w:space="0" w:color="auto"/>
              <w:bottom w:val="single" w:sz="4" w:space="0" w:color="auto"/>
              <w:right w:val="single" w:sz="4" w:space="0" w:color="auto"/>
            </w:tcBorders>
            <w:shd w:val="clear" w:color="auto" w:fill="auto"/>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Podpora infraštruktúry </w:t>
            </w:r>
          </w:p>
        </w:tc>
        <w:tc>
          <w:tcPr>
            <w:tcW w:w="492" w:type="pct"/>
            <w:tcBorders>
              <w:top w:val="nil"/>
              <w:left w:val="nil"/>
              <w:bottom w:val="single" w:sz="4" w:space="0" w:color="auto"/>
              <w:right w:val="single" w:sz="4" w:space="0" w:color="auto"/>
            </w:tcBorders>
            <w:shd w:val="clear" w:color="auto" w:fill="auto"/>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55 192</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91 652</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91 652</w:t>
            </w:r>
          </w:p>
        </w:tc>
        <w:tc>
          <w:tcPr>
            <w:tcW w:w="450"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100 737</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100 737</w:t>
            </w:r>
          </w:p>
        </w:tc>
        <w:tc>
          <w:tcPr>
            <w:tcW w:w="44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100 737</w:t>
            </w:r>
          </w:p>
        </w:tc>
      </w:tr>
    </w:tbl>
    <w:p w:rsidR="003A497B" w:rsidRPr="00086A6E" w:rsidRDefault="003A497B" w:rsidP="003A497B"/>
    <w:p w:rsidR="003A497B" w:rsidRPr="00086A6E" w:rsidRDefault="003A497B" w:rsidP="003A497B">
      <w:pPr>
        <w:spacing w:after="200"/>
        <w:ind w:firstLine="709"/>
        <w:contextualSpacing/>
        <w:jc w:val="both"/>
        <w:rPr>
          <w:rFonts w:ascii="Times New Roman" w:hAnsi="Times New Roman" w:cs="Times New Roman"/>
        </w:rPr>
      </w:pPr>
      <w:r w:rsidRPr="00086A6E">
        <w:rPr>
          <w:rFonts w:ascii="Times New Roman" w:hAnsi="Times New Roman" w:cs="Times New Roman"/>
        </w:rPr>
        <w:t xml:space="preserve">Pre potreby centrálneho rozpočtovania a sledovania výdavkov na informačné technológie (ďalej len „IT“) bol vytvorený medzirezortný program – 0EK Informačné technológie financovaný zo štátneho rozpočtu. </w:t>
      </w:r>
    </w:p>
    <w:p w:rsidR="003A497B" w:rsidRPr="00086A6E" w:rsidRDefault="003A497B" w:rsidP="003A497B">
      <w:pPr>
        <w:jc w:val="both"/>
        <w:rPr>
          <w:rFonts w:ascii="Arial Narrow" w:hAnsi="Arial Narrow" w:cs="Arial"/>
          <w:sz w:val="22"/>
          <w:szCs w:val="22"/>
        </w:rPr>
      </w:pPr>
    </w:p>
    <w:p w:rsidR="003A497B" w:rsidRPr="00086A6E" w:rsidRDefault="003A497B" w:rsidP="003A497B">
      <w:pPr>
        <w:ind w:firstLine="708"/>
        <w:jc w:val="both"/>
        <w:rPr>
          <w:rFonts w:ascii="Times New Roman" w:hAnsi="Times New Roman" w:cs="Times New Roman"/>
          <w:noProof/>
          <w:lang w:eastAsia="sk-SK"/>
        </w:rPr>
      </w:pPr>
      <w:r w:rsidRPr="00086A6E">
        <w:rPr>
          <w:rFonts w:ascii="Times New Roman" w:hAnsi="Times New Roman" w:cs="Times New Roman"/>
          <w:noProof/>
          <w:lang w:eastAsia="sk-SK"/>
        </w:rPr>
        <w:t xml:space="preserve">Kapitola MZ SR na rok 2019 rozpočtuje v uvedenom medzirezortnom programe sumu 1,4 mil. eur, uvedené výdavky zohľadňujú prostriedky, určené najmä na informačné systémy v sektore zdravotníctva.  </w:t>
      </w:r>
    </w:p>
    <w:p w:rsidR="003A497B" w:rsidRPr="00086A6E" w:rsidRDefault="003A497B" w:rsidP="003A497B">
      <w:pPr>
        <w:keepNext/>
        <w:keepLines/>
        <w:shd w:val="clear" w:color="auto" w:fill="FFFFFF" w:themeFill="background1"/>
        <w:spacing w:line="259" w:lineRule="auto"/>
        <w:outlineLvl w:val="0"/>
        <w:rPr>
          <w:rFonts w:ascii="Times New Roman" w:hAnsi="Times New Roman" w:cs="Times New Roman"/>
          <w:noProof/>
          <w:lang w:eastAsia="sk-SK"/>
        </w:rPr>
      </w:pPr>
    </w:p>
    <w:p w:rsidR="003A497B" w:rsidRPr="00086A6E" w:rsidRDefault="003A497B" w:rsidP="003A497B">
      <w:pPr>
        <w:rPr>
          <w:rFonts w:ascii="Times New Roman" w:eastAsiaTheme="majorEastAsia" w:hAnsi="Times New Roman" w:cs="Times New Roman"/>
          <w:b/>
          <w:szCs w:val="32"/>
          <w:lang w:eastAsia="en-US"/>
        </w:rPr>
      </w:pPr>
      <w:bookmarkStart w:id="97" w:name="_Toc526178454"/>
      <w:r w:rsidRPr="00086A6E">
        <w:rPr>
          <w:rFonts w:ascii="Times New Roman" w:eastAsiaTheme="majorEastAsia" w:hAnsi="Times New Roman" w:cs="Times New Roman"/>
          <w:b/>
          <w:szCs w:val="32"/>
          <w:lang w:eastAsia="en-US"/>
        </w:rPr>
        <w:t>Rozpočtovanie založené na výsledkoch</w:t>
      </w:r>
      <w:bookmarkEnd w:id="97"/>
    </w:p>
    <w:p w:rsidR="003A497B" w:rsidRPr="00086A6E" w:rsidRDefault="003A497B" w:rsidP="003A497B">
      <w:pPr>
        <w:rPr>
          <w:rFonts w:ascii="Times New Roman" w:eastAsiaTheme="minorHAnsi" w:hAnsi="Times New Roman" w:cs="Times New Roman"/>
          <w:szCs w:val="22"/>
          <w:lang w:eastAsia="en-US"/>
        </w:rPr>
      </w:pPr>
    </w:p>
    <w:p w:rsidR="003A497B" w:rsidRPr="00086A6E" w:rsidRDefault="003A497B" w:rsidP="003A497B">
      <w:pPr>
        <w:ind w:firstLine="708"/>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Princíp hodnoty za peniaze v zdravotníctve bude podporený zmenou spôsobu financovania a rozpočtovaním výdavkov podľa vecných oblastí prostredníctvom programového rozpočtovania. Súčasný model financovania prostredníctvom odvodov za pracujúcich poistencov a platbou za poistencov štátu je vzhľadom na vývoj ekonomiky volatilný a nezohľadňuje objektívne potreby zdravotníctva. Nahradený bude rozpočtovaním celkových potrebných výdavkov na zdravotníctvo v členení na jednotlivé programy verejného zdravotného poistenia (programami sú napr. jednotlivé typy zdravotnej starostlivosti: ústavná, ambulantná...) so zohľadnením všetkých potrieb zdravotníctva ako starnutie populácie, platy zdravotníckych zamestnancov, investičný dlh v nemocniciach a podobne.</w:t>
      </w:r>
    </w:p>
    <w:p w:rsidR="003A497B" w:rsidRPr="00086A6E" w:rsidRDefault="003A497B" w:rsidP="003A497B">
      <w:pPr>
        <w:rPr>
          <w:highlight w:val="yellow"/>
        </w:rPr>
      </w:pPr>
    </w:p>
    <w:p w:rsidR="003A497B" w:rsidRPr="00086A6E" w:rsidRDefault="003A497B" w:rsidP="003A497B">
      <w:pPr>
        <w:shd w:val="clear" w:color="auto" w:fill="FFFFFF" w:themeFill="background1"/>
        <w:ind w:firstLine="708"/>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lastRenderedPageBreak/>
        <w:t>Rozpočet nasledujúceho roka je odvodený od rozpočtu aktuálneho roka a upravený o plánované zmeny výdavkov. K zmenám výdavkov môže dochádzať bez zmien v politikách, alebo sú dôsledkom zmien v politikách, teda hodnotových alebo úsporných opatrení.</w:t>
      </w:r>
    </w:p>
    <w:p w:rsidR="003A497B" w:rsidRPr="00086A6E" w:rsidRDefault="003A497B" w:rsidP="003A497B">
      <w:pPr>
        <w:shd w:val="clear" w:color="auto" w:fill="FFFFFF" w:themeFill="background1"/>
        <w:ind w:firstLine="708"/>
        <w:jc w:val="both"/>
        <w:rPr>
          <w:rFonts w:ascii="Times New Roman" w:eastAsiaTheme="minorHAnsi" w:hAnsi="Times New Roman" w:cs="Times New Roman"/>
          <w:szCs w:val="22"/>
          <w:lang w:eastAsia="en-US"/>
        </w:rPr>
      </w:pPr>
    </w:p>
    <w:tbl>
      <w:tblPr>
        <w:tblW w:w="5000" w:type="pct"/>
        <w:tblCellMar>
          <w:left w:w="70" w:type="dxa"/>
          <w:right w:w="70" w:type="dxa"/>
        </w:tblCellMar>
        <w:tblLook w:val="04A0" w:firstRow="1" w:lastRow="0" w:firstColumn="1" w:lastColumn="0" w:noHBand="0" w:noVBand="1"/>
      </w:tblPr>
      <w:tblGrid>
        <w:gridCol w:w="7936"/>
        <w:gridCol w:w="1126"/>
      </w:tblGrid>
      <w:tr w:rsidR="003A497B" w:rsidRPr="00086A6E" w:rsidTr="003E1809">
        <w:trPr>
          <w:trHeight w:hRule="exact" w:val="255"/>
        </w:trPr>
        <w:tc>
          <w:tcPr>
            <w:tcW w:w="5000" w:type="pct"/>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Zmeny výdavkov - VZP - súhrn</w:t>
            </w:r>
          </w:p>
        </w:tc>
      </w:tr>
      <w:tr w:rsidR="003A497B" w:rsidRPr="00086A6E" w:rsidTr="003E1809">
        <w:trPr>
          <w:trHeight w:hRule="exact" w:val="255"/>
        </w:trPr>
        <w:tc>
          <w:tcPr>
            <w:tcW w:w="4379" w:type="pct"/>
            <w:tcBorders>
              <w:top w:val="nil"/>
              <w:left w:val="single" w:sz="4" w:space="0" w:color="auto"/>
              <w:bottom w:val="single" w:sz="4" w:space="0" w:color="auto"/>
              <w:right w:val="single" w:sz="4" w:space="0" w:color="auto"/>
            </w:tcBorders>
            <w:shd w:val="clear" w:color="000000" w:fill="D9D9D9"/>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mil. eur</w:t>
            </w:r>
          </w:p>
        </w:tc>
        <w:tc>
          <w:tcPr>
            <w:tcW w:w="621" w:type="pct"/>
            <w:tcBorders>
              <w:top w:val="nil"/>
              <w:left w:val="nil"/>
              <w:bottom w:val="single" w:sz="4" w:space="0" w:color="auto"/>
              <w:right w:val="single" w:sz="4" w:space="0" w:color="auto"/>
            </w:tcBorders>
            <w:shd w:val="clear" w:color="000000" w:fill="D9D9D9"/>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2019</w:t>
            </w:r>
          </w:p>
        </w:tc>
      </w:tr>
      <w:tr w:rsidR="003A497B" w:rsidRPr="00086A6E" w:rsidTr="003E1809">
        <w:trPr>
          <w:trHeight w:hRule="exact" w:val="255"/>
        </w:trPr>
        <w:tc>
          <w:tcPr>
            <w:tcW w:w="4379"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Zmeny spolu (oproti rozpočtu 2018)</w:t>
            </w:r>
          </w:p>
        </w:tc>
        <w:tc>
          <w:tcPr>
            <w:tcW w:w="62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219</w:t>
            </w:r>
          </w:p>
        </w:tc>
      </w:tr>
      <w:tr w:rsidR="003A497B" w:rsidRPr="00086A6E" w:rsidTr="003E1809">
        <w:trPr>
          <w:trHeight w:hRule="exact" w:val="255"/>
        </w:trPr>
        <w:tc>
          <w:tcPr>
            <w:tcW w:w="4379"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i/>
                <w:iCs/>
                <w:color w:val="000000"/>
                <w:sz w:val="14"/>
                <w:szCs w:val="14"/>
                <w:lang w:eastAsia="sk-SK"/>
              </w:rPr>
            </w:pPr>
            <w:r w:rsidRPr="00086A6E">
              <w:rPr>
                <w:rFonts w:ascii="Times New Roman" w:hAnsi="Times New Roman" w:cs="Times New Roman"/>
                <w:i/>
                <w:iCs/>
                <w:color w:val="000000"/>
                <w:sz w:val="14"/>
                <w:szCs w:val="14"/>
                <w:lang w:eastAsia="sk-SK"/>
              </w:rPr>
              <w:t>Zmeny spolu (oproti rozpočtu 2018; %)</w:t>
            </w:r>
          </w:p>
        </w:tc>
        <w:tc>
          <w:tcPr>
            <w:tcW w:w="621"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i/>
                <w:iCs/>
                <w:color w:val="000000"/>
                <w:sz w:val="14"/>
                <w:szCs w:val="14"/>
                <w:lang w:eastAsia="sk-SK"/>
              </w:rPr>
            </w:pPr>
            <w:r w:rsidRPr="00086A6E">
              <w:rPr>
                <w:rFonts w:ascii="Times New Roman" w:hAnsi="Times New Roman" w:cs="Times New Roman"/>
                <w:i/>
                <w:iCs/>
                <w:color w:val="000000"/>
                <w:sz w:val="14"/>
                <w:szCs w:val="14"/>
                <w:lang w:eastAsia="sk-SK"/>
              </w:rPr>
              <w:t>4,7%</w:t>
            </w:r>
          </w:p>
        </w:tc>
      </w:tr>
    </w:tbl>
    <w:p w:rsidR="003A497B" w:rsidRPr="00086A6E" w:rsidRDefault="003A497B" w:rsidP="003A497B">
      <w:pPr>
        <w:rPr>
          <w:highlight w:val="yellow"/>
        </w:rPr>
      </w:pPr>
    </w:p>
    <w:p w:rsidR="003A497B" w:rsidRPr="00086A6E" w:rsidRDefault="003A497B" w:rsidP="003A497B">
      <w:pPr>
        <w:rPr>
          <w:rFonts w:ascii="Times New Roman" w:eastAsiaTheme="majorEastAsia" w:hAnsi="Times New Roman" w:cs="Times New Roman"/>
          <w:b/>
          <w:szCs w:val="32"/>
          <w:lang w:eastAsia="en-US"/>
        </w:rPr>
      </w:pPr>
      <w:bookmarkStart w:id="98" w:name="_Toc526178455"/>
      <w:r w:rsidRPr="00086A6E">
        <w:rPr>
          <w:rFonts w:ascii="Times New Roman" w:eastAsiaTheme="majorEastAsia" w:hAnsi="Times New Roman" w:cs="Times New Roman"/>
          <w:b/>
          <w:szCs w:val="32"/>
          <w:lang w:eastAsia="en-US"/>
        </w:rPr>
        <w:t>Zdravotná starostlivosť</w:t>
      </w:r>
      <w:bookmarkEnd w:id="98"/>
    </w:p>
    <w:p w:rsidR="003A497B" w:rsidRPr="00086A6E" w:rsidRDefault="003A497B" w:rsidP="003A497B">
      <w:pPr>
        <w:rPr>
          <w:rFonts w:ascii="Times New Roman" w:eastAsiaTheme="majorEastAsia" w:hAnsi="Times New Roman" w:cs="Times New Roman"/>
          <w:b/>
          <w:szCs w:val="32"/>
          <w:lang w:eastAsia="en-US"/>
        </w:rPr>
      </w:pPr>
    </w:p>
    <w:p w:rsidR="003A497B" w:rsidRPr="00086A6E" w:rsidRDefault="003A497B" w:rsidP="003A497B">
      <w:pPr>
        <w:ind w:firstLine="708"/>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Zámerom zdravotníckej politiky je určiť opatrenia, ktoré občanom prinesú hodnotu v podobe kvalitnej a dostupnej zdravotnej starostlivosti. Zároveň hľadá spôsoby, ktoré zefektívnia nakladanie so zdrojmi a pomôžu uvoľniť prostriedky na investície do lepšieho zdravia občanov.</w:t>
      </w:r>
    </w:p>
    <w:p w:rsidR="003A497B" w:rsidRPr="00086A6E" w:rsidRDefault="003A497B" w:rsidP="003A497B">
      <w:pPr>
        <w:shd w:val="clear" w:color="auto" w:fill="FFFFFF" w:themeFill="background1"/>
        <w:spacing w:line="259" w:lineRule="auto"/>
        <w:jc w:val="both"/>
        <w:rPr>
          <w:rFonts w:ascii="Times New Roman" w:eastAsiaTheme="minorHAnsi" w:hAnsi="Times New Roman" w:cs="Times New Roman"/>
          <w:szCs w:val="22"/>
          <w:highlight w:val="yellow"/>
          <w:lang w:eastAsia="en-US"/>
        </w:rPr>
      </w:pPr>
    </w:p>
    <w:p w:rsidR="003A497B" w:rsidRPr="00086A6E" w:rsidRDefault="003A497B" w:rsidP="003A497B">
      <w:pPr>
        <w:shd w:val="clear" w:color="auto" w:fill="FFFFFF" w:themeFill="background1"/>
        <w:spacing w:line="259" w:lineRule="auto"/>
        <w:ind w:firstLine="708"/>
        <w:jc w:val="both"/>
        <w:rPr>
          <w:rFonts w:ascii="Times New Roman" w:hAnsi="Times New Roman" w:cs="Times New Roman"/>
          <w:color w:val="000000"/>
          <w:sz w:val="16"/>
          <w:szCs w:val="16"/>
          <w:lang w:eastAsia="sk-SK"/>
        </w:rPr>
      </w:pPr>
      <w:r w:rsidRPr="00086A6E">
        <w:rPr>
          <w:rFonts w:ascii="Times New Roman" w:eastAsiaTheme="minorHAnsi" w:hAnsi="Times New Roman" w:cs="Times New Roman"/>
          <w:szCs w:val="22"/>
          <w:lang w:eastAsia="en-US"/>
        </w:rPr>
        <w:t>Bez zmien v politikách by bol odhadovaný rast výdavkov verejného zdravotného poistenia (ďalej len „VZP“) 131 mil. eur v roku 2019. Nemzdové výdavky rastú o infláciu, mzdové výdavky zdravotníckych pracovníkov rastú podľa platnej legislatívy (tzv. platový automat) a mzdové výdavky ostatného personálu rastú podľa priemernej mzdy v hospodárstve, v súlade s manuálom pre tvorbu scenára nezmenených politík</w:t>
      </w:r>
      <w:r w:rsidRPr="00086A6E">
        <w:rPr>
          <w:rFonts w:ascii="Times New Roman" w:eastAsiaTheme="minorHAnsi" w:hAnsi="Times New Roman" w:cs="Times New Roman"/>
          <w:szCs w:val="22"/>
          <w:vertAlign w:val="superscript"/>
          <w:lang w:eastAsia="en-US"/>
        </w:rPr>
        <w:footnoteReference w:id="19"/>
      </w:r>
      <w:r w:rsidRPr="00086A6E">
        <w:rPr>
          <w:rFonts w:ascii="Times New Roman" w:eastAsiaTheme="minorHAnsi" w:hAnsi="Times New Roman" w:cs="Times New Roman"/>
          <w:szCs w:val="22"/>
          <w:lang w:eastAsia="en-US"/>
        </w:rPr>
        <w:t>.</w:t>
      </w:r>
    </w:p>
    <w:p w:rsidR="003A497B" w:rsidRPr="00086A6E" w:rsidRDefault="003A497B" w:rsidP="003A497B">
      <w:pPr>
        <w:rPr>
          <w:highlight w:val="yellow"/>
        </w:rPr>
      </w:pPr>
    </w:p>
    <w:tbl>
      <w:tblPr>
        <w:tblW w:w="5000" w:type="pct"/>
        <w:tblCellMar>
          <w:left w:w="70" w:type="dxa"/>
          <w:right w:w="70" w:type="dxa"/>
        </w:tblCellMar>
        <w:tblLook w:val="04A0" w:firstRow="1" w:lastRow="0" w:firstColumn="1" w:lastColumn="0" w:noHBand="0" w:noVBand="1"/>
      </w:tblPr>
      <w:tblGrid>
        <w:gridCol w:w="298"/>
        <w:gridCol w:w="7918"/>
        <w:gridCol w:w="846"/>
      </w:tblGrid>
      <w:tr w:rsidR="003A497B" w:rsidRPr="00086A6E" w:rsidTr="003E1809">
        <w:trPr>
          <w:trHeight w:hRule="exact" w:val="255"/>
        </w:trPr>
        <w:tc>
          <w:tcPr>
            <w:tcW w:w="5000" w:type="pct"/>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Zmeny výdavkov - VZP - bez zmien politík</w:t>
            </w:r>
          </w:p>
        </w:tc>
      </w:tr>
      <w:tr w:rsidR="003A497B" w:rsidRPr="00086A6E" w:rsidTr="003E1809">
        <w:trPr>
          <w:trHeight w:hRule="exact" w:val="255"/>
        </w:trPr>
        <w:tc>
          <w:tcPr>
            <w:tcW w:w="164" w:type="pct"/>
            <w:tcBorders>
              <w:top w:val="nil"/>
              <w:left w:val="single" w:sz="4" w:space="0" w:color="auto"/>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č.</w:t>
            </w:r>
          </w:p>
        </w:tc>
        <w:tc>
          <w:tcPr>
            <w:tcW w:w="4369"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mil. eur</w:t>
            </w:r>
          </w:p>
        </w:tc>
        <w:tc>
          <w:tcPr>
            <w:tcW w:w="466" w:type="pct"/>
            <w:tcBorders>
              <w:top w:val="nil"/>
              <w:left w:val="nil"/>
              <w:bottom w:val="single" w:sz="4" w:space="0" w:color="auto"/>
              <w:right w:val="single" w:sz="4" w:space="0" w:color="auto"/>
            </w:tcBorders>
            <w:shd w:val="clear" w:color="000000" w:fill="D9D9D9"/>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2019</w:t>
            </w:r>
          </w:p>
        </w:tc>
      </w:tr>
      <w:tr w:rsidR="003A497B" w:rsidRPr="00086A6E" w:rsidTr="003E1809">
        <w:trPr>
          <w:trHeight w:hRule="exact" w:val="255"/>
        </w:trPr>
        <w:tc>
          <w:tcPr>
            <w:tcW w:w="164" w:type="pct"/>
            <w:tcBorders>
              <w:top w:val="nil"/>
              <w:left w:val="single" w:sz="4" w:space="0" w:color="auto"/>
              <w:bottom w:val="single" w:sz="4" w:space="0" w:color="auto"/>
              <w:right w:val="single" w:sz="4" w:space="0" w:color="auto"/>
            </w:tcBorders>
            <w:shd w:val="clear" w:color="auto" w:fill="auto"/>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36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Spolu</w:t>
            </w:r>
          </w:p>
        </w:tc>
        <w:tc>
          <w:tcPr>
            <w:tcW w:w="466"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131</w:t>
            </w:r>
          </w:p>
        </w:tc>
      </w:tr>
      <w:tr w:rsidR="003A497B" w:rsidRPr="00086A6E" w:rsidTr="003E1809">
        <w:trPr>
          <w:trHeight w:hRule="exact" w:val="255"/>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w:t>
            </w:r>
          </w:p>
        </w:tc>
        <w:tc>
          <w:tcPr>
            <w:tcW w:w="436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b/>
                <w:bCs/>
                <w:i/>
                <w:iCs/>
                <w:color w:val="000000"/>
                <w:sz w:val="14"/>
                <w:szCs w:val="14"/>
                <w:lang w:eastAsia="sk-SK"/>
              </w:rPr>
            </w:pPr>
            <w:r w:rsidRPr="00086A6E">
              <w:rPr>
                <w:rFonts w:ascii="Times New Roman" w:hAnsi="Times New Roman" w:cs="Times New Roman"/>
                <w:b/>
                <w:bCs/>
                <w:i/>
                <w:iCs/>
                <w:color w:val="000000"/>
                <w:sz w:val="14"/>
                <w:szCs w:val="14"/>
                <w:lang w:eastAsia="sk-SK"/>
              </w:rPr>
              <w:t xml:space="preserve">  Nemzdové (rast o CPI)</w:t>
            </w:r>
          </w:p>
        </w:tc>
        <w:tc>
          <w:tcPr>
            <w:tcW w:w="466"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i/>
                <w:iCs/>
                <w:color w:val="000000"/>
                <w:sz w:val="14"/>
                <w:szCs w:val="14"/>
                <w:lang w:eastAsia="sk-SK"/>
              </w:rPr>
            </w:pPr>
            <w:r w:rsidRPr="00086A6E">
              <w:rPr>
                <w:rFonts w:ascii="Times New Roman" w:hAnsi="Times New Roman" w:cs="Times New Roman"/>
                <w:b/>
                <w:bCs/>
                <w:i/>
                <w:iCs/>
                <w:color w:val="000000"/>
                <w:sz w:val="14"/>
                <w:szCs w:val="14"/>
                <w:lang w:eastAsia="sk-SK"/>
              </w:rPr>
              <w:t>29</w:t>
            </w:r>
          </w:p>
        </w:tc>
      </w:tr>
      <w:tr w:rsidR="003A497B" w:rsidRPr="00086A6E" w:rsidTr="003E1809">
        <w:trPr>
          <w:trHeight w:hRule="exact" w:val="255"/>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36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b/>
                <w:bCs/>
                <w:i/>
                <w:iCs/>
                <w:color w:val="000000"/>
                <w:sz w:val="14"/>
                <w:szCs w:val="14"/>
                <w:lang w:eastAsia="sk-SK"/>
              </w:rPr>
            </w:pPr>
            <w:r w:rsidRPr="00086A6E">
              <w:rPr>
                <w:rFonts w:ascii="Times New Roman" w:hAnsi="Times New Roman" w:cs="Times New Roman"/>
                <w:b/>
                <w:bCs/>
                <w:i/>
                <w:iCs/>
                <w:color w:val="000000"/>
                <w:sz w:val="14"/>
                <w:szCs w:val="14"/>
                <w:lang w:eastAsia="sk-SK"/>
              </w:rPr>
              <w:t xml:space="preserve">  Mzdové</w:t>
            </w:r>
          </w:p>
        </w:tc>
        <w:tc>
          <w:tcPr>
            <w:tcW w:w="466"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i/>
                <w:iCs/>
                <w:color w:val="000000"/>
                <w:sz w:val="14"/>
                <w:szCs w:val="14"/>
                <w:lang w:eastAsia="sk-SK"/>
              </w:rPr>
            </w:pPr>
            <w:r w:rsidRPr="00086A6E">
              <w:rPr>
                <w:rFonts w:ascii="Times New Roman" w:hAnsi="Times New Roman" w:cs="Times New Roman"/>
                <w:b/>
                <w:bCs/>
                <w:i/>
                <w:iCs/>
                <w:color w:val="000000"/>
                <w:sz w:val="14"/>
                <w:szCs w:val="14"/>
                <w:lang w:eastAsia="sk-SK"/>
              </w:rPr>
              <w:t>96</w:t>
            </w:r>
          </w:p>
        </w:tc>
      </w:tr>
      <w:tr w:rsidR="003A497B" w:rsidRPr="00086A6E" w:rsidTr="003E1809">
        <w:trPr>
          <w:trHeight w:hRule="exact" w:val="255"/>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w:t>
            </w:r>
          </w:p>
        </w:tc>
        <w:tc>
          <w:tcPr>
            <w:tcW w:w="436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Automat lekári ÚZS</w:t>
            </w:r>
          </w:p>
        </w:tc>
        <w:tc>
          <w:tcPr>
            <w:tcW w:w="466"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23</w:t>
            </w:r>
          </w:p>
        </w:tc>
      </w:tr>
      <w:tr w:rsidR="003A497B" w:rsidRPr="00086A6E" w:rsidTr="003E1809">
        <w:trPr>
          <w:trHeight w:hRule="exact" w:val="255"/>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w:t>
            </w:r>
          </w:p>
        </w:tc>
        <w:tc>
          <w:tcPr>
            <w:tcW w:w="436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Automat ostatní ÚZS + MM</w:t>
            </w:r>
          </w:p>
        </w:tc>
        <w:tc>
          <w:tcPr>
            <w:tcW w:w="466"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36</w:t>
            </w:r>
          </w:p>
        </w:tc>
      </w:tr>
      <w:tr w:rsidR="003A497B" w:rsidRPr="00086A6E" w:rsidTr="003E1809">
        <w:trPr>
          <w:trHeight w:hRule="exact" w:val="255"/>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w:t>
            </w:r>
          </w:p>
        </w:tc>
        <w:tc>
          <w:tcPr>
            <w:tcW w:w="436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Nezdravotnícki zamestnanci</w:t>
            </w:r>
          </w:p>
        </w:tc>
        <w:tc>
          <w:tcPr>
            <w:tcW w:w="466"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w:t>
            </w:r>
          </w:p>
        </w:tc>
      </w:tr>
      <w:tr w:rsidR="003A497B" w:rsidRPr="00086A6E" w:rsidTr="003E1809">
        <w:trPr>
          <w:trHeight w:hRule="exact" w:val="255"/>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w:t>
            </w:r>
          </w:p>
        </w:tc>
        <w:tc>
          <w:tcPr>
            <w:tcW w:w="436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Ambulantní zdravotnícki zamestnanci</w:t>
            </w:r>
          </w:p>
        </w:tc>
        <w:tc>
          <w:tcPr>
            <w:tcW w:w="466"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28</w:t>
            </w:r>
          </w:p>
        </w:tc>
      </w:tr>
      <w:tr w:rsidR="003A497B" w:rsidRPr="00086A6E" w:rsidTr="003E1809">
        <w:trPr>
          <w:trHeight w:hRule="exact" w:val="255"/>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36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b/>
                <w:bCs/>
                <w:i/>
                <w:iCs/>
                <w:color w:val="000000"/>
                <w:sz w:val="14"/>
                <w:szCs w:val="14"/>
                <w:lang w:eastAsia="sk-SK"/>
              </w:rPr>
            </w:pPr>
            <w:r w:rsidRPr="00086A6E">
              <w:rPr>
                <w:rFonts w:ascii="Times New Roman" w:hAnsi="Times New Roman" w:cs="Times New Roman"/>
                <w:b/>
                <w:bCs/>
                <w:i/>
                <w:iCs/>
                <w:color w:val="000000"/>
                <w:sz w:val="14"/>
                <w:szCs w:val="14"/>
                <w:lang w:eastAsia="sk-SK"/>
              </w:rPr>
              <w:t xml:space="preserve">  Iné výdavky VZP</w:t>
            </w:r>
          </w:p>
        </w:tc>
        <w:tc>
          <w:tcPr>
            <w:tcW w:w="466"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i/>
                <w:iCs/>
                <w:color w:val="000000"/>
                <w:sz w:val="14"/>
                <w:szCs w:val="14"/>
                <w:lang w:eastAsia="sk-SK"/>
              </w:rPr>
            </w:pPr>
            <w:r w:rsidRPr="00086A6E">
              <w:rPr>
                <w:rFonts w:ascii="Times New Roman" w:hAnsi="Times New Roman" w:cs="Times New Roman"/>
                <w:b/>
                <w:bCs/>
                <w:i/>
                <w:iCs/>
                <w:color w:val="000000"/>
                <w:sz w:val="14"/>
                <w:szCs w:val="14"/>
                <w:lang w:eastAsia="sk-SK"/>
              </w:rPr>
              <w:t>-17</w:t>
            </w:r>
          </w:p>
        </w:tc>
      </w:tr>
      <w:tr w:rsidR="003A497B" w:rsidRPr="00086A6E" w:rsidTr="003E1809">
        <w:trPr>
          <w:trHeight w:hRule="exact" w:val="255"/>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w:t>
            </w:r>
          </w:p>
        </w:tc>
        <w:tc>
          <w:tcPr>
            <w:tcW w:w="436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Správa ZP, príspevky na UDZS, OS ZZS, NCZI, iné úhrady</w:t>
            </w:r>
          </w:p>
        </w:tc>
        <w:tc>
          <w:tcPr>
            <w:tcW w:w="466"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-17</w:t>
            </w:r>
          </w:p>
        </w:tc>
      </w:tr>
      <w:tr w:rsidR="003A497B" w:rsidRPr="00086A6E" w:rsidTr="003E1809">
        <w:trPr>
          <w:trHeight w:hRule="exact" w:val="255"/>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w:t>
            </w:r>
          </w:p>
        </w:tc>
        <w:tc>
          <w:tcPr>
            <w:tcW w:w="436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b/>
                <w:bCs/>
                <w:i/>
                <w:iCs/>
                <w:color w:val="000000"/>
                <w:sz w:val="14"/>
                <w:szCs w:val="14"/>
                <w:lang w:eastAsia="sk-SK"/>
              </w:rPr>
            </w:pPr>
            <w:r w:rsidRPr="00086A6E">
              <w:rPr>
                <w:rFonts w:ascii="Times New Roman" w:hAnsi="Times New Roman" w:cs="Times New Roman"/>
                <w:b/>
                <w:bCs/>
                <w:i/>
                <w:iCs/>
                <w:color w:val="000000"/>
                <w:sz w:val="14"/>
                <w:szCs w:val="14"/>
                <w:lang w:eastAsia="sk-SK"/>
              </w:rPr>
              <w:t>Starnutie</w:t>
            </w:r>
          </w:p>
        </w:tc>
        <w:tc>
          <w:tcPr>
            <w:tcW w:w="466"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i/>
                <w:iCs/>
                <w:color w:val="000000"/>
                <w:sz w:val="14"/>
                <w:szCs w:val="14"/>
                <w:lang w:eastAsia="sk-SK"/>
              </w:rPr>
            </w:pPr>
            <w:r w:rsidRPr="00086A6E">
              <w:rPr>
                <w:rFonts w:ascii="Times New Roman" w:hAnsi="Times New Roman" w:cs="Times New Roman"/>
                <w:b/>
                <w:bCs/>
                <w:i/>
                <w:iCs/>
                <w:color w:val="000000"/>
                <w:sz w:val="14"/>
                <w:szCs w:val="14"/>
                <w:lang w:eastAsia="sk-SK"/>
              </w:rPr>
              <w:t>23</w:t>
            </w:r>
          </w:p>
        </w:tc>
      </w:tr>
    </w:tbl>
    <w:p w:rsidR="003A497B" w:rsidRPr="00086A6E" w:rsidRDefault="003A497B" w:rsidP="003A497B">
      <w:pPr>
        <w:rPr>
          <w:highlight w:val="yellow"/>
        </w:rPr>
      </w:pPr>
    </w:p>
    <w:p w:rsidR="003A497B" w:rsidRPr="00086A6E" w:rsidRDefault="003A497B" w:rsidP="003A497B">
      <w:pPr>
        <w:shd w:val="clear" w:color="auto" w:fill="FFFFFF" w:themeFill="background1"/>
        <w:spacing w:line="259" w:lineRule="auto"/>
        <w:jc w:val="both"/>
        <w:rPr>
          <w:rFonts w:ascii="Times New Roman" w:eastAsiaTheme="minorHAnsi" w:hAnsi="Times New Roman" w:cs="Times New Roman"/>
          <w:b/>
          <w:i/>
          <w:lang w:eastAsia="en-US"/>
        </w:rPr>
      </w:pPr>
      <w:r w:rsidRPr="00086A6E">
        <w:rPr>
          <w:rFonts w:ascii="Times New Roman" w:eastAsiaTheme="minorHAnsi" w:hAnsi="Times New Roman" w:cs="Times New Roman"/>
          <w:b/>
          <w:i/>
          <w:lang w:eastAsia="en-US"/>
        </w:rPr>
        <w:t>Rast výdavkov bez zmeny politík</w:t>
      </w:r>
    </w:p>
    <w:p w:rsidR="003A497B" w:rsidRPr="00086A6E" w:rsidRDefault="003A497B" w:rsidP="003A497B">
      <w:pPr>
        <w:numPr>
          <w:ilvl w:val="0"/>
          <w:numId w:val="16"/>
        </w:numPr>
        <w:shd w:val="clear" w:color="auto" w:fill="FFFFFF" w:themeFill="background1"/>
        <w:spacing w:after="160" w:line="259" w:lineRule="auto"/>
        <w:contextualSpacing/>
        <w:jc w:val="both"/>
        <w:rPr>
          <w:rFonts w:ascii="Times New Roman" w:eastAsiaTheme="minorHAnsi" w:hAnsi="Times New Roman" w:cs="Times New Roman"/>
          <w:lang w:eastAsia="en-US"/>
        </w:rPr>
      </w:pPr>
      <w:r w:rsidRPr="00086A6E">
        <w:rPr>
          <w:rFonts w:ascii="Times New Roman" w:eastAsiaTheme="minorHAnsi" w:hAnsi="Times New Roman" w:cs="Times New Roman"/>
          <w:lang w:eastAsia="en-US"/>
        </w:rPr>
        <w:t>Rast nemzdových výdavkov bez zmien politík sa odhaduje na úrovni inflácie, dosahuje tak 29 mil. eur v roku 2019 (č. 1).</w:t>
      </w:r>
    </w:p>
    <w:p w:rsidR="003A497B" w:rsidRPr="00086A6E" w:rsidRDefault="003A497B" w:rsidP="003A497B">
      <w:pPr>
        <w:numPr>
          <w:ilvl w:val="0"/>
          <w:numId w:val="16"/>
        </w:numPr>
        <w:shd w:val="clear" w:color="auto" w:fill="FFFFFF" w:themeFill="background1"/>
        <w:spacing w:after="160" w:line="259" w:lineRule="auto"/>
        <w:contextualSpacing/>
        <w:jc w:val="both"/>
        <w:rPr>
          <w:rFonts w:ascii="Times New Roman" w:eastAsiaTheme="minorHAnsi" w:hAnsi="Times New Roman" w:cs="Times New Roman"/>
          <w:lang w:eastAsia="en-US"/>
        </w:rPr>
      </w:pPr>
      <w:r w:rsidRPr="00086A6E">
        <w:rPr>
          <w:rFonts w:ascii="Times New Roman" w:eastAsiaTheme="minorHAnsi" w:hAnsi="Times New Roman" w:cs="Times New Roman"/>
          <w:lang w:eastAsia="en-US"/>
        </w:rPr>
        <w:t>Automatické zvyšovanie platov (podľa platných legislatívnych pravidiel, tzv. platový automat) pre lekárov v ústavných zariadeniach dosiahne 23 mil. eur v roku 2019 (č. 2), pre ostatných zdravotníckych zamestnancov 36 mil. eur</w:t>
      </w:r>
      <w:r w:rsidRPr="00086A6E">
        <w:rPr>
          <w:rFonts w:ascii="Times New Roman" w:eastAsiaTheme="minorHAnsi" w:hAnsi="Times New Roman" w:cs="Times New Roman"/>
          <w:sz w:val="16"/>
          <w:szCs w:val="16"/>
          <w:lang w:eastAsia="en-US"/>
        </w:rPr>
        <w:t xml:space="preserve"> </w:t>
      </w:r>
      <w:r w:rsidRPr="00086A6E">
        <w:rPr>
          <w:rFonts w:ascii="Times New Roman" w:eastAsiaTheme="minorHAnsi" w:hAnsi="Times New Roman" w:cs="Times New Roman"/>
          <w:lang w:eastAsia="en-US"/>
        </w:rPr>
        <w:t>(č.</w:t>
      </w:r>
      <w:r w:rsidRPr="00086A6E">
        <w:rPr>
          <w:rFonts w:ascii="Times New Roman" w:eastAsiaTheme="minorHAnsi" w:hAnsi="Times New Roman" w:cs="Times New Roman"/>
          <w:sz w:val="16"/>
          <w:szCs w:val="16"/>
          <w:lang w:eastAsia="en-US"/>
        </w:rPr>
        <w:t xml:space="preserve"> </w:t>
      </w:r>
      <w:r w:rsidRPr="00086A6E">
        <w:rPr>
          <w:rFonts w:ascii="Times New Roman" w:eastAsiaTheme="minorHAnsi" w:hAnsi="Times New Roman" w:cs="Times New Roman"/>
          <w:lang w:eastAsia="en-US"/>
        </w:rPr>
        <w:t>3), pre nezdravotníckych zamestnancov 9 mil. eur (č. 4).</w:t>
      </w:r>
    </w:p>
    <w:p w:rsidR="003A497B" w:rsidRPr="00086A6E" w:rsidRDefault="003A497B" w:rsidP="003A497B">
      <w:pPr>
        <w:numPr>
          <w:ilvl w:val="0"/>
          <w:numId w:val="16"/>
        </w:numPr>
        <w:shd w:val="clear" w:color="auto" w:fill="FFFFFF" w:themeFill="background1"/>
        <w:spacing w:line="259" w:lineRule="auto"/>
        <w:ind w:left="357" w:hanging="357"/>
        <w:contextualSpacing/>
        <w:jc w:val="both"/>
        <w:rPr>
          <w:rFonts w:ascii="Times New Roman" w:eastAsiaTheme="minorHAnsi" w:hAnsi="Times New Roman" w:cs="Times New Roman"/>
          <w:lang w:eastAsia="en-US"/>
        </w:rPr>
      </w:pPr>
      <w:r w:rsidRPr="00086A6E">
        <w:rPr>
          <w:rFonts w:ascii="Times New Roman" w:eastAsiaTheme="minorHAnsi" w:hAnsi="Times New Roman" w:cs="Times New Roman"/>
          <w:lang w:eastAsia="en-US"/>
        </w:rPr>
        <w:t xml:space="preserve">Zvyšovanie ohodnotenia ambulantných pracovníkov dosiahne 28 mil. eur v roku 2019. Hoci je ambulantná starostlivosť financovaná prostredníctvom platieb za výkony a kapitácie, ich hodnoty sú zvyšované, aby sa zabezpečil rast porovnateľný s rastom miezd zdravotníckych pracovníkov v ústavnej starostlivosti. Rast odmeňovania bude naviazaný na kvalitu výkonu (tzv. pay-for-performance) (č. 5). </w:t>
      </w:r>
    </w:p>
    <w:p w:rsidR="003A497B" w:rsidRPr="00086A6E" w:rsidRDefault="003A497B" w:rsidP="003A497B">
      <w:pPr>
        <w:numPr>
          <w:ilvl w:val="0"/>
          <w:numId w:val="16"/>
        </w:numPr>
        <w:shd w:val="clear" w:color="auto" w:fill="FFFFFF" w:themeFill="background1"/>
        <w:spacing w:line="259" w:lineRule="auto"/>
        <w:ind w:left="357" w:hanging="357"/>
        <w:contextualSpacing/>
        <w:jc w:val="both"/>
        <w:rPr>
          <w:rFonts w:ascii="Times New Roman" w:eastAsiaTheme="minorHAnsi" w:hAnsi="Times New Roman" w:cs="Times New Roman"/>
          <w:lang w:eastAsia="en-US"/>
        </w:rPr>
      </w:pPr>
      <w:r w:rsidRPr="00086A6E">
        <w:rPr>
          <w:rFonts w:ascii="Times New Roman" w:eastAsiaTheme="minorHAnsi" w:hAnsi="Times New Roman" w:cs="Times New Roman"/>
          <w:lang w:eastAsia="en-US"/>
        </w:rPr>
        <w:t>Iné výdavky VZP poklesnú o 17 mil. eur v roku 2019 (č. 6).</w:t>
      </w:r>
    </w:p>
    <w:p w:rsidR="003A497B" w:rsidRPr="00086A6E" w:rsidRDefault="003A497B" w:rsidP="003A497B">
      <w:pPr>
        <w:numPr>
          <w:ilvl w:val="0"/>
          <w:numId w:val="16"/>
        </w:numPr>
        <w:shd w:val="clear" w:color="auto" w:fill="FFFFFF" w:themeFill="background1"/>
        <w:spacing w:line="259" w:lineRule="auto"/>
        <w:ind w:left="357" w:hanging="357"/>
        <w:contextualSpacing/>
        <w:jc w:val="both"/>
        <w:rPr>
          <w:rFonts w:ascii="Times New Roman" w:eastAsiaTheme="minorHAnsi" w:hAnsi="Times New Roman" w:cs="Times New Roman"/>
          <w:lang w:eastAsia="en-US"/>
        </w:rPr>
      </w:pPr>
      <w:r w:rsidRPr="00086A6E">
        <w:rPr>
          <w:rFonts w:ascii="Times New Roman" w:eastAsiaTheme="minorHAnsi" w:hAnsi="Times New Roman" w:cs="Times New Roman"/>
          <w:lang w:eastAsia="en-US"/>
        </w:rPr>
        <w:lastRenderedPageBreak/>
        <w:t xml:space="preserve">Vplyvom starnutia obyvateľstva dochádza k rastu výdavkov na zdravotnú starostlivosť.  Odhadovaný rast, 23 mil. eur </w:t>
      </w:r>
      <w:r w:rsidRPr="00086A6E">
        <w:rPr>
          <w:rFonts w:ascii="Times New Roman" w:hAnsi="Times New Roman" w:cs="Times New Roman"/>
        </w:rPr>
        <w:t>v roku 2019, sa</w:t>
      </w:r>
      <w:r w:rsidRPr="00086A6E">
        <w:rPr>
          <w:rFonts w:ascii="Times New Roman" w:eastAsiaTheme="minorHAnsi" w:hAnsi="Times New Roman" w:cs="Times New Roman"/>
          <w:lang w:eastAsia="en-US"/>
        </w:rPr>
        <w:t xml:space="preserve"> prejavuje napr. vyšším užívaním liekov  alebo spotrebovanej zdravotnej starostlivosti (č. 7). Rozpočet zohľadňuje aj tento trend.</w:t>
      </w:r>
    </w:p>
    <w:p w:rsidR="003A497B" w:rsidRPr="00086A6E" w:rsidRDefault="003A497B" w:rsidP="003A497B">
      <w:pPr>
        <w:shd w:val="clear" w:color="auto" w:fill="FFFFFF" w:themeFill="background1"/>
        <w:spacing w:line="259" w:lineRule="auto"/>
        <w:jc w:val="both"/>
        <w:rPr>
          <w:rFonts w:ascii="Times New Roman" w:eastAsiaTheme="minorHAnsi" w:hAnsi="Times New Roman" w:cs="Times New Roman"/>
          <w:szCs w:val="22"/>
          <w:highlight w:val="yellow"/>
          <w:lang w:eastAsia="en-US"/>
        </w:rPr>
      </w:pPr>
    </w:p>
    <w:p w:rsidR="003A497B" w:rsidRPr="00086A6E" w:rsidRDefault="003A497B" w:rsidP="003A497B">
      <w:pPr>
        <w:shd w:val="clear" w:color="auto" w:fill="FFFFFF" w:themeFill="background1"/>
        <w:spacing w:line="259" w:lineRule="auto"/>
        <w:ind w:firstLine="708"/>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 xml:space="preserve">Opatrenia hodnoty za peniaze zvyšujúce hodnotu a kvalitu zdravotnej starostlivosti dosiahnu 87 mil. eur v roku 2019. Ostatné zmeny v politikách zvyšujúce výdavky predstavujú 93 mil. eur v roku 2019 aj v roku 2018. Dopad zmien, ktoré budú mať vplyv na rozpočet VZP aj v ďalších rokoch, bude aktualizovaný pri tvorbe nasledujúceho rozpočtu. </w:t>
      </w:r>
    </w:p>
    <w:p w:rsidR="003A497B" w:rsidRPr="00086A6E" w:rsidRDefault="003A497B" w:rsidP="003A497B">
      <w:pPr>
        <w:shd w:val="clear" w:color="auto" w:fill="FFFFFF" w:themeFill="background1"/>
        <w:spacing w:line="259" w:lineRule="auto"/>
        <w:ind w:firstLine="708"/>
        <w:jc w:val="both"/>
        <w:rPr>
          <w:rFonts w:ascii="Times New Roman" w:eastAsiaTheme="minorHAnsi" w:hAnsi="Times New Roman" w:cs="Times New Roman"/>
          <w:b/>
          <w:szCs w:val="22"/>
          <w:highlight w:val="yellow"/>
          <w:lang w:eastAsia="en-US"/>
        </w:rPr>
      </w:pPr>
    </w:p>
    <w:tbl>
      <w:tblPr>
        <w:tblW w:w="5000" w:type="pct"/>
        <w:tblCellMar>
          <w:left w:w="70" w:type="dxa"/>
          <w:right w:w="70" w:type="dxa"/>
        </w:tblCellMar>
        <w:tblLook w:val="04A0" w:firstRow="1" w:lastRow="0" w:firstColumn="1" w:lastColumn="0" w:noHBand="0" w:noVBand="1"/>
      </w:tblPr>
      <w:tblGrid>
        <w:gridCol w:w="350"/>
        <w:gridCol w:w="8009"/>
        <w:gridCol w:w="703"/>
      </w:tblGrid>
      <w:tr w:rsidR="003A497B" w:rsidRPr="00086A6E" w:rsidTr="003E1809">
        <w:trPr>
          <w:trHeight w:hRule="exact" w:val="255"/>
        </w:trPr>
        <w:tc>
          <w:tcPr>
            <w:tcW w:w="5000" w:type="pct"/>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Zmeny výdavkov - VZP - zmeny politík</w:t>
            </w:r>
          </w:p>
        </w:tc>
      </w:tr>
      <w:tr w:rsidR="003A497B" w:rsidRPr="00086A6E" w:rsidTr="003E1809">
        <w:trPr>
          <w:trHeight w:hRule="exact" w:val="255"/>
        </w:trPr>
        <w:tc>
          <w:tcPr>
            <w:tcW w:w="193" w:type="pct"/>
            <w:tcBorders>
              <w:top w:val="nil"/>
              <w:left w:val="single" w:sz="4" w:space="0" w:color="auto"/>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č.</w:t>
            </w:r>
          </w:p>
        </w:tc>
        <w:tc>
          <w:tcPr>
            <w:tcW w:w="4419"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mil. eur</w:t>
            </w:r>
          </w:p>
        </w:tc>
        <w:tc>
          <w:tcPr>
            <w:tcW w:w="388" w:type="pct"/>
            <w:tcBorders>
              <w:top w:val="nil"/>
              <w:left w:val="nil"/>
              <w:bottom w:val="single" w:sz="4" w:space="0" w:color="auto"/>
              <w:right w:val="single" w:sz="4" w:space="0" w:color="auto"/>
            </w:tcBorders>
            <w:shd w:val="clear" w:color="000000" w:fill="D9D9D9"/>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2019</w:t>
            </w:r>
          </w:p>
        </w:tc>
      </w:tr>
      <w:tr w:rsidR="003A497B" w:rsidRPr="00086A6E" w:rsidTr="003E1809">
        <w:trPr>
          <w:trHeight w:hRule="exact" w:val="255"/>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41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Spolu</w:t>
            </w:r>
          </w:p>
        </w:tc>
        <w:tc>
          <w:tcPr>
            <w:tcW w:w="388"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180</w:t>
            </w:r>
          </w:p>
        </w:tc>
      </w:tr>
      <w:tr w:rsidR="003A497B" w:rsidRPr="00086A6E" w:rsidTr="003E1809">
        <w:trPr>
          <w:trHeight w:hRule="exact" w:val="255"/>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41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b/>
                <w:bCs/>
                <w:i/>
                <w:iCs/>
                <w:color w:val="000000"/>
                <w:sz w:val="14"/>
                <w:szCs w:val="14"/>
                <w:lang w:eastAsia="sk-SK"/>
              </w:rPr>
            </w:pPr>
            <w:r w:rsidRPr="00086A6E">
              <w:rPr>
                <w:rFonts w:ascii="Times New Roman" w:hAnsi="Times New Roman" w:cs="Times New Roman"/>
                <w:b/>
                <w:bCs/>
                <w:i/>
                <w:iCs/>
                <w:color w:val="000000"/>
                <w:sz w:val="14"/>
                <w:szCs w:val="14"/>
                <w:lang w:eastAsia="sk-SK"/>
              </w:rPr>
              <w:t>Hodnotové opatrenia - Hodnota za peniaze</w:t>
            </w:r>
          </w:p>
        </w:tc>
        <w:tc>
          <w:tcPr>
            <w:tcW w:w="388"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i/>
                <w:iCs/>
                <w:color w:val="000000"/>
                <w:sz w:val="14"/>
                <w:szCs w:val="14"/>
                <w:lang w:eastAsia="sk-SK"/>
              </w:rPr>
            </w:pPr>
            <w:r w:rsidRPr="00086A6E">
              <w:rPr>
                <w:rFonts w:ascii="Times New Roman" w:hAnsi="Times New Roman" w:cs="Times New Roman"/>
                <w:b/>
                <w:bCs/>
                <w:i/>
                <w:iCs/>
                <w:color w:val="000000"/>
                <w:sz w:val="14"/>
                <w:szCs w:val="14"/>
                <w:lang w:eastAsia="sk-SK"/>
              </w:rPr>
              <w:t>87</w:t>
            </w:r>
          </w:p>
        </w:tc>
      </w:tr>
      <w:tr w:rsidR="003A497B" w:rsidRPr="00086A6E" w:rsidTr="003E1809">
        <w:trPr>
          <w:trHeight w:hRule="exact" w:val="255"/>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w:t>
            </w:r>
          </w:p>
        </w:tc>
        <w:tc>
          <w:tcPr>
            <w:tcW w:w="441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Prevencia - skríningy</w:t>
            </w:r>
          </w:p>
        </w:tc>
        <w:tc>
          <w:tcPr>
            <w:tcW w:w="388"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w:t>
            </w:r>
          </w:p>
        </w:tc>
      </w:tr>
      <w:tr w:rsidR="003A497B" w:rsidRPr="00086A6E" w:rsidTr="003E1809">
        <w:trPr>
          <w:trHeight w:hRule="exact" w:val="255"/>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w:t>
            </w:r>
          </w:p>
        </w:tc>
        <w:tc>
          <w:tcPr>
            <w:tcW w:w="441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sz w:val="14"/>
                <w:szCs w:val="14"/>
                <w:lang w:eastAsia="sk-SK"/>
              </w:rPr>
            </w:pPr>
            <w:r w:rsidRPr="00086A6E">
              <w:rPr>
                <w:rFonts w:ascii="Times New Roman" w:hAnsi="Times New Roman" w:cs="Times New Roman"/>
                <w:sz w:val="14"/>
                <w:szCs w:val="14"/>
                <w:lang w:eastAsia="sk-SK"/>
              </w:rPr>
              <w:t xml:space="preserve">    Zmena financovanie RTG</w:t>
            </w:r>
          </w:p>
        </w:tc>
        <w:tc>
          <w:tcPr>
            <w:tcW w:w="388"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w:t>
            </w:r>
          </w:p>
        </w:tc>
      </w:tr>
      <w:tr w:rsidR="003A497B" w:rsidRPr="00086A6E" w:rsidTr="003E1809">
        <w:trPr>
          <w:trHeight w:hRule="exact" w:val="255"/>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10</w:t>
            </w:r>
          </w:p>
        </w:tc>
        <w:tc>
          <w:tcPr>
            <w:tcW w:w="441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Rast miezd nelekárskeho personálu ÚZS</w:t>
            </w:r>
          </w:p>
        </w:tc>
        <w:tc>
          <w:tcPr>
            <w:tcW w:w="388"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59</w:t>
            </w:r>
          </w:p>
        </w:tc>
      </w:tr>
      <w:tr w:rsidR="003A497B" w:rsidRPr="00086A6E" w:rsidTr="003E1809">
        <w:trPr>
          <w:trHeight w:hRule="exact" w:val="255"/>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11</w:t>
            </w:r>
          </w:p>
        </w:tc>
        <w:tc>
          <w:tcPr>
            <w:tcW w:w="441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Rast miezd nelekárskeho personálu AZS</w:t>
            </w:r>
          </w:p>
        </w:tc>
        <w:tc>
          <w:tcPr>
            <w:tcW w:w="388"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18</w:t>
            </w:r>
          </w:p>
        </w:tc>
      </w:tr>
      <w:tr w:rsidR="003A497B" w:rsidRPr="00086A6E" w:rsidTr="003E1809">
        <w:trPr>
          <w:trHeight w:hRule="exact" w:val="255"/>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12</w:t>
            </w:r>
          </w:p>
        </w:tc>
        <w:tc>
          <w:tcPr>
            <w:tcW w:w="441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Zazmluvnenie nových SVLZ poskytovateľov*</w:t>
            </w:r>
          </w:p>
        </w:tc>
        <w:tc>
          <w:tcPr>
            <w:tcW w:w="388"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r>
      <w:tr w:rsidR="003A497B" w:rsidRPr="00086A6E" w:rsidTr="003E1809">
        <w:trPr>
          <w:trHeight w:hRule="exact" w:val="255"/>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41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b/>
                <w:bCs/>
                <w:i/>
                <w:iCs/>
                <w:color w:val="000000"/>
                <w:sz w:val="14"/>
                <w:szCs w:val="14"/>
                <w:lang w:eastAsia="sk-SK"/>
              </w:rPr>
            </w:pPr>
            <w:r w:rsidRPr="00086A6E">
              <w:rPr>
                <w:rFonts w:ascii="Times New Roman" w:hAnsi="Times New Roman" w:cs="Times New Roman"/>
                <w:b/>
                <w:bCs/>
                <w:i/>
                <w:iCs/>
                <w:color w:val="000000"/>
                <w:sz w:val="14"/>
                <w:szCs w:val="14"/>
                <w:lang w:eastAsia="sk-SK"/>
              </w:rPr>
              <w:t>Ostatné zmeny politík</w:t>
            </w:r>
          </w:p>
        </w:tc>
        <w:tc>
          <w:tcPr>
            <w:tcW w:w="388"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i/>
                <w:iCs/>
                <w:color w:val="000000"/>
                <w:sz w:val="14"/>
                <w:szCs w:val="14"/>
                <w:lang w:eastAsia="sk-SK"/>
              </w:rPr>
            </w:pPr>
            <w:r w:rsidRPr="00086A6E">
              <w:rPr>
                <w:rFonts w:ascii="Times New Roman" w:hAnsi="Times New Roman" w:cs="Times New Roman"/>
                <w:b/>
                <w:bCs/>
                <w:i/>
                <w:iCs/>
                <w:color w:val="000000"/>
                <w:sz w:val="14"/>
                <w:szCs w:val="14"/>
                <w:lang w:eastAsia="sk-SK"/>
              </w:rPr>
              <w:t>93</w:t>
            </w:r>
          </w:p>
        </w:tc>
      </w:tr>
      <w:tr w:rsidR="003A497B" w:rsidRPr="00086A6E" w:rsidTr="003E1809">
        <w:trPr>
          <w:trHeight w:hRule="exact" w:val="255"/>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13</w:t>
            </w:r>
          </w:p>
        </w:tc>
        <w:tc>
          <w:tcPr>
            <w:tcW w:w="441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Dlhodobá starostlivosť</w:t>
            </w:r>
          </w:p>
        </w:tc>
        <w:tc>
          <w:tcPr>
            <w:tcW w:w="388"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r>
      <w:tr w:rsidR="003A497B" w:rsidRPr="00086A6E" w:rsidTr="003E1809">
        <w:trPr>
          <w:trHeight w:hRule="exact" w:val="255"/>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14</w:t>
            </w:r>
          </w:p>
        </w:tc>
        <w:tc>
          <w:tcPr>
            <w:tcW w:w="441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ZZS - paušály</w:t>
            </w:r>
          </w:p>
        </w:tc>
        <w:tc>
          <w:tcPr>
            <w:tcW w:w="388"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w:t>
            </w:r>
          </w:p>
        </w:tc>
      </w:tr>
      <w:tr w:rsidR="003A497B" w:rsidRPr="00086A6E" w:rsidTr="003E1809">
        <w:trPr>
          <w:trHeight w:hRule="exact" w:val="255"/>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15</w:t>
            </w:r>
          </w:p>
        </w:tc>
        <w:tc>
          <w:tcPr>
            <w:tcW w:w="441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Urgenty - paušály</w:t>
            </w:r>
          </w:p>
        </w:tc>
        <w:tc>
          <w:tcPr>
            <w:tcW w:w="388"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w:t>
            </w:r>
          </w:p>
        </w:tc>
      </w:tr>
      <w:tr w:rsidR="003A497B" w:rsidRPr="00086A6E" w:rsidTr="003E1809">
        <w:trPr>
          <w:trHeight w:hRule="exact" w:val="255"/>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16</w:t>
            </w:r>
          </w:p>
        </w:tc>
        <w:tc>
          <w:tcPr>
            <w:tcW w:w="441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Nárast liečby v cudzine</w:t>
            </w:r>
          </w:p>
        </w:tc>
        <w:tc>
          <w:tcPr>
            <w:tcW w:w="388"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w:t>
            </w:r>
          </w:p>
        </w:tc>
      </w:tr>
      <w:tr w:rsidR="003A497B" w:rsidRPr="00086A6E" w:rsidTr="003E1809">
        <w:trPr>
          <w:trHeight w:hRule="exact" w:val="255"/>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17</w:t>
            </w:r>
          </w:p>
        </w:tc>
        <w:tc>
          <w:tcPr>
            <w:tcW w:w="441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Lieky - novela 363/2011</w:t>
            </w:r>
          </w:p>
        </w:tc>
        <w:tc>
          <w:tcPr>
            <w:tcW w:w="388"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56</w:t>
            </w:r>
          </w:p>
        </w:tc>
      </w:tr>
      <w:tr w:rsidR="003A497B" w:rsidRPr="00086A6E" w:rsidTr="003E1809">
        <w:trPr>
          <w:trHeight w:hRule="exact" w:val="255"/>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18</w:t>
            </w:r>
          </w:p>
        </w:tc>
        <w:tc>
          <w:tcPr>
            <w:tcW w:w="441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Dofinancovanie nákladov ambulancií so zavedením e-health a bonusy za jeho využívanie</w:t>
            </w:r>
          </w:p>
        </w:tc>
        <w:tc>
          <w:tcPr>
            <w:tcW w:w="388"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w:t>
            </w:r>
          </w:p>
        </w:tc>
      </w:tr>
      <w:tr w:rsidR="003A497B" w:rsidRPr="00086A6E" w:rsidTr="003E1809">
        <w:trPr>
          <w:trHeight w:hRule="exact" w:val="255"/>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19</w:t>
            </w:r>
          </w:p>
        </w:tc>
        <w:tc>
          <w:tcPr>
            <w:tcW w:w="441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Ochranný limit doplatkov*</w:t>
            </w:r>
          </w:p>
        </w:tc>
        <w:tc>
          <w:tcPr>
            <w:tcW w:w="388"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r>
      <w:tr w:rsidR="003A497B" w:rsidRPr="00086A6E" w:rsidTr="003E1809">
        <w:trPr>
          <w:trHeight w:hRule="exact" w:val="255"/>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20</w:t>
            </w:r>
          </w:p>
        </w:tc>
        <w:tc>
          <w:tcPr>
            <w:tcW w:w="441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Rast príplatkov za prácu v noci, cez víkendy a sviatky</w:t>
            </w:r>
          </w:p>
        </w:tc>
        <w:tc>
          <w:tcPr>
            <w:tcW w:w="388"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24</w:t>
            </w:r>
          </w:p>
        </w:tc>
      </w:tr>
      <w:tr w:rsidR="003A497B" w:rsidRPr="00086A6E" w:rsidTr="003E1809">
        <w:trPr>
          <w:trHeight w:hRule="exact" w:val="255"/>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21</w:t>
            </w:r>
          </w:p>
        </w:tc>
        <w:tc>
          <w:tcPr>
            <w:tcW w:w="4419"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Dofinancovanie VšZP pre nemocnice*</w:t>
            </w:r>
          </w:p>
        </w:tc>
        <w:tc>
          <w:tcPr>
            <w:tcW w:w="388"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w:t>
            </w:r>
          </w:p>
        </w:tc>
      </w:tr>
      <w:tr w:rsidR="003A497B" w:rsidRPr="00086A6E" w:rsidTr="003E1809">
        <w:trPr>
          <w:trHeight w:hRule="exact" w:val="25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Pozn.: * - opatrenie s vplyvom v roku 2018</w:t>
            </w:r>
          </w:p>
        </w:tc>
      </w:tr>
    </w:tbl>
    <w:p w:rsidR="003A497B" w:rsidRPr="00086A6E" w:rsidRDefault="003A497B" w:rsidP="003A497B">
      <w:pPr>
        <w:keepNext/>
        <w:keepLines/>
        <w:outlineLvl w:val="0"/>
        <w:rPr>
          <w:rFonts w:ascii="Times New Roman" w:eastAsiaTheme="majorEastAsia" w:hAnsi="Times New Roman" w:cs="Times New Roman"/>
          <w:b/>
          <w:szCs w:val="32"/>
          <w:highlight w:val="yellow"/>
        </w:rPr>
      </w:pPr>
    </w:p>
    <w:p w:rsidR="003A497B" w:rsidRPr="00086A6E" w:rsidRDefault="003A497B" w:rsidP="003A497B">
      <w:pPr>
        <w:shd w:val="clear" w:color="auto" w:fill="FFFFFF" w:themeFill="background1"/>
        <w:spacing w:line="259" w:lineRule="auto"/>
        <w:ind w:firstLine="708"/>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Najväčšie zvýšenie výdavkov na zdravotníctvo predstavujú mzdové výdavky na personál. Celkový rast miezd personálu v zdravotníctve dosahuje 197 mil. eur v roku 2019. Platné pravidlá automatického rastu miezd stanovujú rast o 96 mil. eur. Nad rámec toho budú mzdové koeficienty sestier a ostatného nelekárskeho personálu</w:t>
      </w:r>
      <w:r w:rsidRPr="00086A6E">
        <w:rPr>
          <w:rFonts w:ascii="Times New Roman" w:eastAsiaTheme="minorHAnsi" w:hAnsi="Times New Roman" w:cs="Times New Roman"/>
          <w:szCs w:val="22"/>
          <w:vertAlign w:val="superscript"/>
          <w:lang w:eastAsia="en-US"/>
        </w:rPr>
        <w:footnoteReference w:id="20"/>
      </w:r>
      <w:r w:rsidRPr="00086A6E">
        <w:rPr>
          <w:rFonts w:ascii="Times New Roman" w:eastAsiaTheme="minorHAnsi" w:hAnsi="Times New Roman" w:cs="Times New Roman"/>
          <w:szCs w:val="22"/>
          <w:lang w:eastAsia="en-US"/>
        </w:rPr>
        <w:t xml:space="preserve"> zvýšené o 10 %, čo prinesie rast o</w:t>
      </w:r>
      <w:r>
        <w:rPr>
          <w:rFonts w:ascii="Times New Roman" w:eastAsiaTheme="minorHAnsi" w:hAnsi="Times New Roman" w:cs="Times New Roman"/>
          <w:szCs w:val="22"/>
          <w:lang w:eastAsia="en-US"/>
        </w:rPr>
        <w:t xml:space="preserve"> </w:t>
      </w:r>
      <w:r w:rsidRPr="00086A6E">
        <w:rPr>
          <w:rFonts w:ascii="Times New Roman" w:eastAsiaTheme="minorHAnsi" w:hAnsi="Times New Roman" w:cs="Times New Roman"/>
          <w:szCs w:val="22"/>
          <w:lang w:eastAsia="en-US"/>
        </w:rPr>
        <w:t>77 mil. eur v roku 2019 a systémové zvýšenie miezd aj v budúcich rokoch. Rast príplatkov za prácu v noci, cez víkendy a sviatky prinesie ďalších 24 mil. eur.</w:t>
      </w:r>
    </w:p>
    <w:p w:rsidR="003A497B" w:rsidRPr="00086A6E" w:rsidRDefault="003A497B" w:rsidP="003A497B">
      <w:pPr>
        <w:rPr>
          <w:highlight w:val="yellow"/>
        </w:rPr>
      </w:pPr>
    </w:p>
    <w:p w:rsidR="003A497B" w:rsidRDefault="003A497B" w:rsidP="003A497B">
      <w:pPr>
        <w:shd w:val="clear" w:color="auto" w:fill="FFFFFF" w:themeFill="background1"/>
        <w:spacing w:line="259" w:lineRule="auto"/>
        <w:ind w:firstLine="708"/>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Pre zabezpečenie financovania hodnotových opatrení na zefektívnenie fungovania zdravotníctva budú realizované úsporné opatrenia vo výške 92 mil. eur v roku 2019 z VZP a </w:t>
      </w:r>
      <w:r>
        <w:rPr>
          <w:rFonts w:ascii="Times New Roman" w:eastAsiaTheme="minorHAnsi" w:hAnsi="Times New Roman" w:cs="Times New Roman"/>
          <w:szCs w:val="22"/>
          <w:lang w:eastAsia="en-US"/>
        </w:rPr>
        <w:br/>
      </w:r>
      <w:r w:rsidRPr="00086A6E">
        <w:rPr>
          <w:rFonts w:ascii="Times New Roman" w:eastAsiaTheme="minorHAnsi" w:hAnsi="Times New Roman" w:cs="Times New Roman"/>
          <w:szCs w:val="22"/>
          <w:lang w:eastAsia="en-US"/>
        </w:rPr>
        <w:t>46 mil.</w:t>
      </w:r>
      <w:r>
        <w:rPr>
          <w:rFonts w:ascii="Times New Roman" w:eastAsiaTheme="minorHAnsi" w:hAnsi="Times New Roman" w:cs="Times New Roman"/>
          <w:szCs w:val="22"/>
          <w:lang w:eastAsia="en-US"/>
        </w:rPr>
        <w:t xml:space="preserve"> eur</w:t>
      </w:r>
      <w:r w:rsidRPr="00086A6E">
        <w:rPr>
          <w:rFonts w:ascii="Times New Roman" w:eastAsiaTheme="minorHAnsi" w:hAnsi="Times New Roman" w:cs="Times New Roman"/>
          <w:szCs w:val="22"/>
          <w:lang w:eastAsia="en-US"/>
        </w:rPr>
        <w:t xml:space="preserve"> na výdavkoch nemocníc. Spolu tak úsporné opatrenia predstavujú 139 mil. eur. Z doterajších opatrení revízie výdavkov z roku 2016 boli realizované úspory za 80 mil. eur v roku 2017 a ďalšie 4 mil. eur v priebehu prvej polovice roka 2018, oproti celkovému záväzku 190 mil. eur úspor pre rok 2018. Celkový potenciál revízie I. predstavoval 363 mil. eur. </w:t>
      </w:r>
    </w:p>
    <w:p w:rsidR="003A497B" w:rsidRDefault="003A497B" w:rsidP="003A497B">
      <w:pPr>
        <w:shd w:val="clear" w:color="auto" w:fill="FFFFFF" w:themeFill="background1"/>
        <w:spacing w:line="259" w:lineRule="auto"/>
        <w:jc w:val="both"/>
        <w:rPr>
          <w:rFonts w:ascii="Times New Roman" w:eastAsiaTheme="minorHAnsi" w:hAnsi="Times New Roman" w:cs="Times New Roman"/>
          <w:szCs w:val="22"/>
          <w:lang w:eastAsia="en-US"/>
        </w:rPr>
      </w:pPr>
    </w:p>
    <w:p w:rsidR="003A497B" w:rsidRDefault="003A497B" w:rsidP="003A497B">
      <w:pPr>
        <w:shd w:val="clear" w:color="auto" w:fill="FFFFFF" w:themeFill="background1"/>
        <w:spacing w:line="259" w:lineRule="auto"/>
        <w:jc w:val="both"/>
        <w:rPr>
          <w:rFonts w:ascii="Times New Roman" w:eastAsiaTheme="minorHAnsi" w:hAnsi="Times New Roman" w:cs="Times New Roman"/>
          <w:szCs w:val="22"/>
          <w:lang w:eastAsia="en-US"/>
        </w:rPr>
      </w:pPr>
    </w:p>
    <w:p w:rsidR="003A497B" w:rsidRDefault="003A497B" w:rsidP="003A497B">
      <w:pPr>
        <w:shd w:val="clear" w:color="auto" w:fill="FFFFFF" w:themeFill="background1"/>
        <w:spacing w:line="259" w:lineRule="auto"/>
        <w:jc w:val="both"/>
        <w:rPr>
          <w:rFonts w:ascii="Times New Roman" w:eastAsiaTheme="minorHAnsi" w:hAnsi="Times New Roman" w:cs="Times New Roman"/>
          <w:szCs w:val="22"/>
          <w:lang w:eastAsia="en-US"/>
        </w:rPr>
      </w:pPr>
    </w:p>
    <w:p w:rsidR="003E1809" w:rsidRDefault="003E1809" w:rsidP="003A497B">
      <w:pPr>
        <w:shd w:val="clear" w:color="auto" w:fill="FFFFFF" w:themeFill="background1"/>
        <w:spacing w:line="259" w:lineRule="auto"/>
        <w:jc w:val="both"/>
        <w:rPr>
          <w:rFonts w:ascii="Times New Roman" w:eastAsiaTheme="minorHAnsi" w:hAnsi="Times New Roman" w:cs="Times New Roman"/>
          <w:szCs w:val="22"/>
          <w:lang w:eastAsia="en-US"/>
        </w:rPr>
      </w:pPr>
    </w:p>
    <w:p w:rsidR="003E1809" w:rsidRDefault="003E1809" w:rsidP="003A497B">
      <w:pPr>
        <w:shd w:val="clear" w:color="auto" w:fill="FFFFFF" w:themeFill="background1"/>
        <w:spacing w:line="259" w:lineRule="auto"/>
        <w:jc w:val="both"/>
        <w:rPr>
          <w:rFonts w:ascii="Times New Roman" w:eastAsiaTheme="minorHAnsi" w:hAnsi="Times New Roman" w:cs="Times New Roman"/>
          <w:szCs w:val="22"/>
          <w:lang w:eastAsia="en-US"/>
        </w:rPr>
      </w:pPr>
    </w:p>
    <w:p w:rsidR="003A497B" w:rsidRDefault="003A497B" w:rsidP="003A497B">
      <w:pPr>
        <w:shd w:val="clear" w:color="auto" w:fill="FFFFFF" w:themeFill="background1"/>
        <w:spacing w:line="259" w:lineRule="auto"/>
        <w:jc w:val="both"/>
        <w:rPr>
          <w:rFonts w:ascii="Times New Roman" w:eastAsiaTheme="minorHAnsi" w:hAnsi="Times New Roman" w:cs="Times New Roman"/>
          <w:szCs w:val="22"/>
          <w:lang w:eastAsia="en-US"/>
        </w:rPr>
      </w:pPr>
    </w:p>
    <w:tbl>
      <w:tblPr>
        <w:tblW w:w="5000" w:type="pct"/>
        <w:tblCellMar>
          <w:left w:w="70" w:type="dxa"/>
          <w:right w:w="70" w:type="dxa"/>
        </w:tblCellMar>
        <w:tblLook w:val="04A0" w:firstRow="1" w:lastRow="0" w:firstColumn="1" w:lastColumn="0" w:noHBand="0" w:noVBand="1"/>
      </w:tblPr>
      <w:tblGrid>
        <w:gridCol w:w="397"/>
        <w:gridCol w:w="7933"/>
        <w:gridCol w:w="732"/>
      </w:tblGrid>
      <w:tr w:rsidR="003A497B" w:rsidRPr="00086A6E" w:rsidTr="003E1809">
        <w:trPr>
          <w:trHeight w:hRule="exact" w:val="255"/>
        </w:trPr>
        <w:tc>
          <w:tcPr>
            <w:tcW w:w="5000" w:type="pct"/>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Zmeny výdavkov - VZP - úsporné opatrenia - Hodnota za peniaze</w:t>
            </w:r>
          </w:p>
        </w:tc>
      </w:tr>
      <w:tr w:rsidR="003A497B" w:rsidRPr="00086A6E" w:rsidTr="003E1809">
        <w:trPr>
          <w:trHeight w:hRule="exact" w:val="255"/>
        </w:trPr>
        <w:tc>
          <w:tcPr>
            <w:tcW w:w="219" w:type="pct"/>
            <w:tcBorders>
              <w:top w:val="nil"/>
              <w:left w:val="single" w:sz="4" w:space="0" w:color="auto"/>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č.</w:t>
            </w:r>
          </w:p>
        </w:tc>
        <w:tc>
          <w:tcPr>
            <w:tcW w:w="4377"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mil. eur</w:t>
            </w:r>
          </w:p>
        </w:tc>
        <w:tc>
          <w:tcPr>
            <w:tcW w:w="404" w:type="pct"/>
            <w:tcBorders>
              <w:top w:val="nil"/>
              <w:left w:val="nil"/>
              <w:bottom w:val="single" w:sz="4" w:space="0" w:color="auto"/>
              <w:right w:val="single" w:sz="4" w:space="0" w:color="auto"/>
            </w:tcBorders>
            <w:shd w:val="clear" w:color="000000" w:fill="D9D9D9"/>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2019</w:t>
            </w:r>
          </w:p>
        </w:tc>
      </w:tr>
      <w:tr w:rsidR="003A497B" w:rsidRPr="00086A6E" w:rsidTr="003E1809">
        <w:trPr>
          <w:trHeight w:hRule="exact" w:val="25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377"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Spolu</w:t>
            </w:r>
          </w:p>
        </w:tc>
        <w:tc>
          <w:tcPr>
            <w:tcW w:w="404"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-92</w:t>
            </w:r>
          </w:p>
        </w:tc>
      </w:tr>
      <w:tr w:rsidR="003A497B" w:rsidRPr="00086A6E" w:rsidTr="003E1809">
        <w:trPr>
          <w:trHeight w:hRule="exact" w:val="25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22</w:t>
            </w:r>
          </w:p>
        </w:tc>
        <w:tc>
          <w:tcPr>
            <w:tcW w:w="4377"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Lieky - variabilita v predpisovaní, vplyv e-preskripcie</w:t>
            </w:r>
          </w:p>
        </w:tc>
        <w:tc>
          <w:tcPr>
            <w:tcW w:w="404"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-30</w:t>
            </w:r>
          </w:p>
        </w:tc>
      </w:tr>
      <w:tr w:rsidR="003A497B" w:rsidRPr="00086A6E" w:rsidTr="003E1809">
        <w:trPr>
          <w:trHeight w:hRule="exact" w:val="25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23</w:t>
            </w:r>
          </w:p>
        </w:tc>
        <w:tc>
          <w:tcPr>
            <w:tcW w:w="4377"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Revízia úhrad kategorizovaných liekov</w:t>
            </w:r>
          </w:p>
        </w:tc>
        <w:tc>
          <w:tcPr>
            <w:tcW w:w="404"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-50</w:t>
            </w:r>
          </w:p>
        </w:tc>
      </w:tr>
      <w:tr w:rsidR="003A497B" w:rsidRPr="00086A6E" w:rsidTr="003E1809">
        <w:trPr>
          <w:trHeight w:hRule="exact" w:val="25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24</w:t>
            </w:r>
          </w:p>
        </w:tc>
        <w:tc>
          <w:tcPr>
            <w:tcW w:w="4377"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Výnimky na lieky - zavedenie pravidiel pre preplácanie výnimiek</w:t>
            </w:r>
          </w:p>
        </w:tc>
        <w:tc>
          <w:tcPr>
            <w:tcW w:w="404"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w:t>
            </w:r>
          </w:p>
        </w:tc>
      </w:tr>
      <w:tr w:rsidR="003A497B" w:rsidRPr="00086A6E" w:rsidTr="003E1809">
        <w:trPr>
          <w:trHeight w:hRule="exact" w:val="25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25</w:t>
            </w:r>
          </w:p>
        </w:tc>
        <w:tc>
          <w:tcPr>
            <w:tcW w:w="4377"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Zdravotnícke pomôcky – externé referencovanie a revízne činnosti</w:t>
            </w:r>
          </w:p>
        </w:tc>
        <w:tc>
          <w:tcPr>
            <w:tcW w:w="404"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w:t>
            </w:r>
          </w:p>
        </w:tc>
      </w:tr>
    </w:tbl>
    <w:p w:rsidR="003A497B" w:rsidRPr="00086A6E" w:rsidRDefault="003A497B" w:rsidP="003A497B">
      <w:pPr>
        <w:rPr>
          <w:highlight w:val="yellow"/>
        </w:rPr>
      </w:pPr>
    </w:p>
    <w:p w:rsidR="003A497B" w:rsidRDefault="003A497B" w:rsidP="003A497B">
      <w:pPr>
        <w:shd w:val="clear" w:color="auto" w:fill="FFFFFF" w:themeFill="background1"/>
        <w:spacing w:line="259" w:lineRule="auto"/>
        <w:ind w:firstLine="708"/>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 xml:space="preserve">Mimo rozpočtu VZP sa v nemocniciach plánujú úspory vo výške 46 mil. eur v roku 2019. </w:t>
      </w:r>
    </w:p>
    <w:p w:rsidR="003A497B" w:rsidRPr="00086A6E" w:rsidRDefault="003A497B" w:rsidP="003A497B">
      <w:pPr>
        <w:rPr>
          <w:highlight w:val="yellow"/>
        </w:rPr>
      </w:pPr>
    </w:p>
    <w:tbl>
      <w:tblPr>
        <w:tblW w:w="5000" w:type="pct"/>
        <w:tblCellMar>
          <w:left w:w="70" w:type="dxa"/>
          <w:right w:w="70" w:type="dxa"/>
        </w:tblCellMar>
        <w:tblLook w:val="04A0" w:firstRow="1" w:lastRow="0" w:firstColumn="1" w:lastColumn="0" w:noHBand="0" w:noVBand="1"/>
      </w:tblPr>
      <w:tblGrid>
        <w:gridCol w:w="397"/>
        <w:gridCol w:w="7933"/>
        <w:gridCol w:w="732"/>
      </w:tblGrid>
      <w:tr w:rsidR="003A497B" w:rsidRPr="00086A6E" w:rsidTr="003E1809">
        <w:trPr>
          <w:trHeight w:hRule="exact" w:val="255"/>
        </w:trPr>
        <w:tc>
          <w:tcPr>
            <w:tcW w:w="5000" w:type="pct"/>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Zmeny výdavkov - nemocnice</w:t>
            </w:r>
          </w:p>
        </w:tc>
      </w:tr>
      <w:tr w:rsidR="003A497B" w:rsidRPr="00086A6E" w:rsidTr="003E1809">
        <w:trPr>
          <w:trHeight w:hRule="exact" w:val="255"/>
        </w:trPr>
        <w:tc>
          <w:tcPr>
            <w:tcW w:w="219" w:type="pct"/>
            <w:tcBorders>
              <w:top w:val="nil"/>
              <w:left w:val="single" w:sz="4" w:space="0" w:color="auto"/>
              <w:bottom w:val="single" w:sz="4" w:space="0" w:color="auto"/>
              <w:right w:val="single" w:sz="4" w:space="0" w:color="auto"/>
            </w:tcBorders>
            <w:shd w:val="clear" w:color="000000" w:fill="D9D9D9"/>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č.</w:t>
            </w:r>
          </w:p>
        </w:tc>
        <w:tc>
          <w:tcPr>
            <w:tcW w:w="4377" w:type="pct"/>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mil. eur</w:t>
            </w:r>
          </w:p>
        </w:tc>
        <w:tc>
          <w:tcPr>
            <w:tcW w:w="404" w:type="pct"/>
            <w:tcBorders>
              <w:top w:val="nil"/>
              <w:left w:val="nil"/>
              <w:bottom w:val="single" w:sz="4" w:space="0" w:color="auto"/>
              <w:right w:val="single" w:sz="4" w:space="0" w:color="auto"/>
            </w:tcBorders>
            <w:shd w:val="clear" w:color="000000" w:fill="D9D9D9"/>
            <w:noWrap/>
            <w:vAlign w:val="center"/>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2019</w:t>
            </w:r>
          </w:p>
        </w:tc>
      </w:tr>
      <w:tr w:rsidR="003A497B" w:rsidRPr="00086A6E" w:rsidTr="003E1809">
        <w:trPr>
          <w:trHeight w:hRule="exact" w:val="25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w:t>
            </w:r>
          </w:p>
        </w:tc>
        <w:tc>
          <w:tcPr>
            <w:tcW w:w="4377"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b/>
                <w:bCs/>
                <w:i/>
                <w:iCs/>
                <w:color w:val="000000"/>
                <w:sz w:val="14"/>
                <w:szCs w:val="14"/>
                <w:lang w:eastAsia="sk-SK"/>
              </w:rPr>
            </w:pPr>
            <w:r w:rsidRPr="00086A6E">
              <w:rPr>
                <w:rFonts w:ascii="Times New Roman" w:hAnsi="Times New Roman" w:cs="Times New Roman"/>
                <w:b/>
                <w:bCs/>
                <w:i/>
                <w:iCs/>
                <w:color w:val="000000"/>
                <w:sz w:val="14"/>
                <w:szCs w:val="14"/>
                <w:lang w:eastAsia="sk-SK"/>
              </w:rPr>
              <w:t xml:space="preserve">  Úsporné opatrenia</w:t>
            </w:r>
          </w:p>
        </w:tc>
        <w:tc>
          <w:tcPr>
            <w:tcW w:w="404"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b/>
                <w:bCs/>
                <w:i/>
                <w:iCs/>
                <w:sz w:val="14"/>
                <w:szCs w:val="14"/>
                <w:lang w:eastAsia="sk-SK"/>
              </w:rPr>
            </w:pPr>
            <w:r w:rsidRPr="00086A6E">
              <w:rPr>
                <w:rFonts w:ascii="Times New Roman" w:hAnsi="Times New Roman" w:cs="Times New Roman"/>
                <w:b/>
                <w:bCs/>
                <w:i/>
                <w:iCs/>
                <w:sz w:val="14"/>
                <w:szCs w:val="14"/>
                <w:lang w:eastAsia="sk-SK"/>
              </w:rPr>
              <w:t>-46</w:t>
            </w:r>
          </w:p>
        </w:tc>
      </w:tr>
      <w:tr w:rsidR="003A497B" w:rsidRPr="00086A6E" w:rsidTr="003E1809">
        <w:trPr>
          <w:trHeight w:hRule="exact" w:val="25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w:t>
            </w:r>
            <w:r>
              <w:rPr>
                <w:rFonts w:ascii="Times New Roman" w:hAnsi="Times New Roman" w:cs="Times New Roman"/>
                <w:color w:val="000000"/>
                <w:sz w:val="14"/>
                <w:szCs w:val="14"/>
                <w:lang w:eastAsia="sk-SK"/>
              </w:rPr>
              <w:t>6</w:t>
            </w:r>
          </w:p>
        </w:tc>
        <w:tc>
          <w:tcPr>
            <w:tcW w:w="4377"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Optimalizácia prevádzkových nákladov</w:t>
            </w:r>
          </w:p>
        </w:tc>
        <w:tc>
          <w:tcPr>
            <w:tcW w:w="404"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w:t>
            </w:r>
          </w:p>
        </w:tc>
      </w:tr>
      <w:tr w:rsidR="003A497B" w:rsidRPr="00086A6E" w:rsidTr="003E1809">
        <w:trPr>
          <w:trHeight w:hRule="exact" w:val="25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w:t>
            </w:r>
            <w:r>
              <w:rPr>
                <w:rFonts w:ascii="Times New Roman" w:hAnsi="Times New Roman" w:cs="Times New Roman"/>
                <w:color w:val="000000"/>
                <w:sz w:val="14"/>
                <w:szCs w:val="14"/>
                <w:lang w:eastAsia="sk-SK"/>
              </w:rPr>
              <w:t>7</w:t>
            </w:r>
          </w:p>
        </w:tc>
        <w:tc>
          <w:tcPr>
            <w:tcW w:w="4377"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Optimalizácia procesov UZS</w:t>
            </w:r>
          </w:p>
        </w:tc>
        <w:tc>
          <w:tcPr>
            <w:tcW w:w="404"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-32</w:t>
            </w:r>
          </w:p>
        </w:tc>
      </w:tr>
      <w:tr w:rsidR="003A497B" w:rsidRPr="00086A6E" w:rsidTr="003E1809">
        <w:trPr>
          <w:trHeight w:hRule="exact" w:val="25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w:t>
            </w:r>
            <w:r>
              <w:rPr>
                <w:rFonts w:ascii="Times New Roman" w:hAnsi="Times New Roman" w:cs="Times New Roman"/>
                <w:color w:val="000000"/>
                <w:sz w:val="14"/>
                <w:szCs w:val="14"/>
                <w:lang w:eastAsia="sk-SK"/>
              </w:rPr>
              <w:t>8</w:t>
            </w:r>
          </w:p>
        </w:tc>
        <w:tc>
          <w:tcPr>
            <w:tcW w:w="4377"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Optimalizácia nákupu liekov a ŠZM</w:t>
            </w:r>
          </w:p>
        </w:tc>
        <w:tc>
          <w:tcPr>
            <w:tcW w:w="404"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-1</w:t>
            </w:r>
          </w:p>
        </w:tc>
      </w:tr>
      <w:tr w:rsidR="003A497B" w:rsidRPr="00086A6E" w:rsidTr="003E1809">
        <w:trPr>
          <w:trHeight w:hRule="exact" w:val="25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29</w:t>
            </w:r>
          </w:p>
        </w:tc>
        <w:tc>
          <w:tcPr>
            <w:tcW w:w="4377"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ŠZM - zníženie cien - externé referencovanie*</w:t>
            </w:r>
          </w:p>
        </w:tc>
        <w:tc>
          <w:tcPr>
            <w:tcW w:w="404"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r w:rsidR="003A497B" w:rsidRPr="00086A6E" w:rsidTr="003E1809">
        <w:trPr>
          <w:trHeight w:hRule="exact" w:val="25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w:t>
            </w:r>
            <w:r>
              <w:rPr>
                <w:rFonts w:ascii="Times New Roman" w:hAnsi="Times New Roman" w:cs="Times New Roman"/>
                <w:color w:val="000000"/>
                <w:sz w:val="14"/>
                <w:szCs w:val="14"/>
                <w:lang w:eastAsia="sk-SK"/>
              </w:rPr>
              <w:t>0</w:t>
            </w:r>
          </w:p>
        </w:tc>
        <w:tc>
          <w:tcPr>
            <w:tcW w:w="4377"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ŠZM - referencovanie kategorizovaného ŠZM</w:t>
            </w:r>
          </w:p>
        </w:tc>
        <w:tc>
          <w:tcPr>
            <w:tcW w:w="404"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-8</w:t>
            </w:r>
          </w:p>
        </w:tc>
      </w:tr>
      <w:tr w:rsidR="003A497B" w:rsidRPr="00086A6E" w:rsidTr="003E1809">
        <w:trPr>
          <w:trHeight w:hRule="exact" w:val="255"/>
        </w:trPr>
        <w:tc>
          <w:tcPr>
            <w:tcW w:w="219"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w:t>
            </w:r>
            <w:r>
              <w:rPr>
                <w:rFonts w:ascii="Times New Roman" w:hAnsi="Times New Roman" w:cs="Times New Roman"/>
                <w:color w:val="000000"/>
                <w:sz w:val="14"/>
                <w:szCs w:val="14"/>
                <w:lang w:eastAsia="sk-SK"/>
              </w:rPr>
              <w:t>1</w:t>
            </w:r>
          </w:p>
        </w:tc>
        <w:tc>
          <w:tcPr>
            <w:tcW w:w="4377" w:type="pct"/>
            <w:tcBorders>
              <w:top w:val="nil"/>
              <w:left w:val="nil"/>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ŠZM - zavedenie základného funkčného typu*</w:t>
            </w:r>
          </w:p>
        </w:tc>
        <w:tc>
          <w:tcPr>
            <w:tcW w:w="404" w:type="pct"/>
            <w:tcBorders>
              <w:top w:val="nil"/>
              <w:left w:val="nil"/>
              <w:bottom w:val="single" w:sz="4" w:space="0" w:color="auto"/>
              <w:right w:val="single" w:sz="4" w:space="0" w:color="auto"/>
            </w:tcBorders>
            <w:shd w:val="clear" w:color="auto" w:fill="auto"/>
            <w:noWrap/>
            <w:vAlign w:val="bottom"/>
            <w:hideMark/>
          </w:tcPr>
          <w:p w:rsidR="003A497B" w:rsidRPr="00086A6E" w:rsidRDefault="003A497B" w:rsidP="003E1809">
            <w:pPr>
              <w:jc w:val="right"/>
              <w:rPr>
                <w:rFonts w:ascii="Times New Roman" w:hAnsi="Times New Roman" w:cs="Times New Roman"/>
                <w:sz w:val="14"/>
                <w:szCs w:val="14"/>
                <w:lang w:eastAsia="sk-SK"/>
              </w:rPr>
            </w:pPr>
            <w:r w:rsidRPr="00086A6E">
              <w:rPr>
                <w:rFonts w:ascii="Times New Roman" w:hAnsi="Times New Roman" w:cs="Times New Roman"/>
                <w:sz w:val="14"/>
                <w:szCs w:val="14"/>
                <w:lang w:eastAsia="sk-SK"/>
              </w:rPr>
              <w:t>0</w:t>
            </w:r>
          </w:p>
        </w:tc>
      </w:tr>
    </w:tbl>
    <w:p w:rsidR="003A497B" w:rsidRPr="00086A6E" w:rsidRDefault="003A497B" w:rsidP="003A497B">
      <w:pPr>
        <w:shd w:val="clear" w:color="auto" w:fill="FFFFFF" w:themeFill="background1"/>
        <w:spacing w:line="259" w:lineRule="auto"/>
        <w:jc w:val="both"/>
        <w:rPr>
          <w:rFonts w:ascii="Times New Roman" w:eastAsiaTheme="minorHAnsi" w:hAnsi="Times New Roman" w:cs="Times New Roman"/>
          <w:szCs w:val="22"/>
          <w:highlight w:val="yellow"/>
          <w:lang w:eastAsia="en-US"/>
        </w:rPr>
      </w:pPr>
    </w:p>
    <w:p w:rsidR="003A497B" w:rsidRPr="00086A6E" w:rsidRDefault="003A497B" w:rsidP="003A497B">
      <w:pPr>
        <w:shd w:val="clear" w:color="auto" w:fill="FFFFFF" w:themeFill="background1"/>
        <w:spacing w:line="259" w:lineRule="auto"/>
        <w:ind w:firstLine="708"/>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Ďalšie opatrenia, zatiaľ bez špecifikovaného finančného dopadu predstavujú ďalší významný potenciál pre zefektívnenie zdravotníctva.</w:t>
      </w:r>
    </w:p>
    <w:p w:rsidR="003A497B" w:rsidRPr="00086A6E" w:rsidRDefault="003A497B" w:rsidP="003A497B">
      <w:pPr>
        <w:shd w:val="clear" w:color="auto" w:fill="FFFFFF" w:themeFill="background1"/>
        <w:spacing w:line="259" w:lineRule="auto"/>
        <w:ind w:firstLine="708"/>
        <w:jc w:val="both"/>
        <w:rPr>
          <w:rFonts w:ascii="Times New Roman" w:eastAsiaTheme="minorHAnsi" w:hAnsi="Times New Roman" w:cs="Times New Roman"/>
          <w:szCs w:val="22"/>
          <w:highlight w:val="yellow"/>
          <w:lang w:eastAsia="en-US"/>
        </w:rPr>
      </w:pPr>
    </w:p>
    <w:tbl>
      <w:tblPr>
        <w:tblW w:w="5000" w:type="pct"/>
        <w:tblCellMar>
          <w:left w:w="70" w:type="dxa"/>
          <w:right w:w="70" w:type="dxa"/>
        </w:tblCellMar>
        <w:tblLook w:val="04A0" w:firstRow="1" w:lastRow="0" w:firstColumn="1" w:lastColumn="0" w:noHBand="0" w:noVBand="1"/>
      </w:tblPr>
      <w:tblGrid>
        <w:gridCol w:w="9062"/>
      </w:tblGrid>
      <w:tr w:rsidR="003A497B" w:rsidRPr="00086A6E" w:rsidTr="003E1809">
        <w:trPr>
          <w:trHeight w:hRule="exact" w:val="255"/>
        </w:trPr>
        <w:tc>
          <w:tcPr>
            <w:tcW w:w="5000"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Opatrenia s ďalším potenciálom na zefektívnenie</w:t>
            </w:r>
          </w:p>
        </w:tc>
      </w:tr>
      <w:tr w:rsidR="003A497B" w:rsidRPr="00086A6E" w:rsidTr="003E1809">
        <w:trPr>
          <w:trHeight w:hRule="exact" w:val="255"/>
        </w:trPr>
        <w:tc>
          <w:tcPr>
            <w:tcW w:w="5000"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Centrálny nákup liekov a zmluvy o zdieľaní rizika a nákladov</w:t>
            </w:r>
          </w:p>
        </w:tc>
      </w:tr>
      <w:tr w:rsidR="003A497B" w:rsidRPr="00086A6E" w:rsidTr="003E1809">
        <w:trPr>
          <w:trHeight w:hRule="exact" w:val="255"/>
        </w:trPr>
        <w:tc>
          <w:tcPr>
            <w:tcW w:w="5000" w:type="pct"/>
            <w:tcBorders>
              <w:top w:val="nil"/>
              <w:left w:val="single" w:sz="4" w:space="0" w:color="auto"/>
              <w:bottom w:val="single" w:sz="4" w:space="0" w:color="auto"/>
              <w:right w:val="single" w:sz="4" w:space="0" w:color="auto"/>
            </w:tcBorders>
            <w:shd w:val="clear" w:color="auto" w:fill="auto"/>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Možnosti úpravy potenciálne nákladovo neefektívnych liekov</w:t>
            </w:r>
          </w:p>
        </w:tc>
      </w:tr>
      <w:tr w:rsidR="003A497B" w:rsidRPr="00086A6E" w:rsidTr="003E1809">
        <w:trPr>
          <w:trHeight w:hRule="exact" w:val="255"/>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Zníženie jednotkových cien a zavedenie limitov vyšetrení</w:t>
            </w:r>
          </w:p>
        </w:tc>
      </w:tr>
      <w:tr w:rsidR="003A497B" w:rsidRPr="00086A6E" w:rsidTr="003E1809">
        <w:trPr>
          <w:trHeight w:hRule="exact" w:val="255"/>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Variabilita v predpisovaní vyšetrení</w:t>
            </w:r>
          </w:p>
        </w:tc>
      </w:tr>
      <w:tr w:rsidR="003A497B" w:rsidRPr="00086A6E" w:rsidTr="003E1809">
        <w:trPr>
          <w:trHeight w:hRule="exact" w:val="255"/>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Zlepšenie revíznych činností VšZP</w:t>
            </w:r>
          </w:p>
        </w:tc>
      </w:tr>
      <w:tr w:rsidR="003A497B" w:rsidRPr="00086A6E" w:rsidTr="003E1809">
        <w:trPr>
          <w:trHeight w:hRule="exact" w:val="255"/>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Zefektívnenie výdavkov správneho fondu VšZP</w:t>
            </w:r>
          </w:p>
        </w:tc>
      </w:tr>
    </w:tbl>
    <w:p w:rsidR="003A497B" w:rsidRPr="00086A6E" w:rsidRDefault="003A497B" w:rsidP="003A497B">
      <w:pPr>
        <w:rPr>
          <w:highlight w:val="yellow"/>
        </w:rPr>
      </w:pPr>
    </w:p>
    <w:p w:rsidR="003A497B" w:rsidRDefault="003A497B" w:rsidP="003A497B">
      <w:pPr>
        <w:rPr>
          <w:rFonts w:ascii="Times New Roman" w:eastAsiaTheme="majorEastAsia" w:hAnsi="Times New Roman" w:cs="Times New Roman"/>
          <w:b/>
          <w:szCs w:val="32"/>
          <w:shd w:val="clear" w:color="auto" w:fill="FFFFFF" w:themeFill="background1"/>
          <w:lang w:eastAsia="en-US"/>
        </w:rPr>
      </w:pPr>
      <w:bookmarkStart w:id="99" w:name="_Toc526178456"/>
      <w:r w:rsidRPr="00086A6E">
        <w:rPr>
          <w:rFonts w:ascii="Times New Roman" w:eastAsiaTheme="majorEastAsia" w:hAnsi="Times New Roman" w:cs="Times New Roman"/>
          <w:b/>
          <w:szCs w:val="32"/>
          <w:shd w:val="clear" w:color="auto" w:fill="FFFFFF" w:themeFill="background1"/>
          <w:lang w:eastAsia="en-US"/>
        </w:rPr>
        <w:t>Štrukturálne opatrenia</w:t>
      </w:r>
      <w:bookmarkEnd w:id="99"/>
    </w:p>
    <w:p w:rsidR="003A497B" w:rsidRDefault="003A497B" w:rsidP="003A497B">
      <w:pPr>
        <w:rPr>
          <w:rFonts w:ascii="Times New Roman" w:eastAsiaTheme="minorHAnsi" w:hAnsi="Times New Roman" w:cs="Times New Roman"/>
          <w:szCs w:val="22"/>
          <w:lang w:eastAsia="en-US"/>
        </w:rPr>
      </w:pPr>
      <w:bookmarkStart w:id="100" w:name="_Toc526178457"/>
    </w:p>
    <w:p w:rsidR="003A497B" w:rsidRPr="00086A6E" w:rsidRDefault="003A497B" w:rsidP="003A497B">
      <w:pPr>
        <w:ind w:firstLine="708"/>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Plne implementované financovanie nemocníc cez DRG mechanizmus, optimálne využívanie systému elektronického zdravotníctva (e-health), zavedenie jednotných terapeutických postupov a podpora užívania dostupných generík a biologicky podobných liekov sú významnými štrukturálnymi opatreniami, ktoré neprinášajú priamy finančný benefit, ale prispievajú podstatným spôsobom k zvyšovaniu kvality zdravotnej starostlivosti a  hospodárnemu využívaniu zdrojov.</w:t>
      </w:r>
      <w:bookmarkEnd w:id="100"/>
    </w:p>
    <w:p w:rsidR="003A497B" w:rsidRPr="00086A6E" w:rsidRDefault="003A497B" w:rsidP="003A497B">
      <w:pPr>
        <w:rPr>
          <w:highlight w:val="yellow"/>
        </w:rPr>
      </w:pPr>
    </w:p>
    <w:p w:rsidR="003A497B" w:rsidRDefault="003A497B" w:rsidP="003A497B">
      <w:pPr>
        <w:rPr>
          <w:rFonts w:ascii="Times New Roman" w:eastAsiaTheme="majorEastAsia" w:hAnsi="Times New Roman" w:cs="Times New Roman"/>
          <w:b/>
          <w:szCs w:val="32"/>
          <w:shd w:val="clear" w:color="auto" w:fill="FFFFFF" w:themeFill="background1"/>
          <w:lang w:eastAsia="en-US"/>
        </w:rPr>
      </w:pPr>
      <w:bookmarkStart w:id="101" w:name="_Toc526178458"/>
      <w:r w:rsidRPr="00086A6E">
        <w:rPr>
          <w:rFonts w:ascii="Times New Roman" w:eastAsiaTheme="majorEastAsia" w:hAnsi="Times New Roman" w:cs="Times New Roman"/>
          <w:b/>
          <w:szCs w:val="32"/>
          <w:shd w:val="clear" w:color="auto" w:fill="FFFFFF" w:themeFill="background1"/>
          <w:lang w:eastAsia="en-US"/>
        </w:rPr>
        <w:t>Návrh programovej štruktúry</w:t>
      </w:r>
      <w:bookmarkEnd w:id="101"/>
    </w:p>
    <w:p w:rsidR="003A497B" w:rsidRPr="00086A6E" w:rsidRDefault="003A497B" w:rsidP="003A497B">
      <w:pPr>
        <w:rPr>
          <w:rFonts w:ascii="Times New Roman" w:eastAsiaTheme="majorEastAsia" w:hAnsi="Times New Roman" w:cs="Times New Roman"/>
          <w:b/>
          <w:szCs w:val="32"/>
          <w:shd w:val="clear" w:color="auto" w:fill="FABF8F" w:themeFill="accent6" w:themeFillTint="99"/>
          <w:lang w:eastAsia="en-US"/>
        </w:rPr>
      </w:pPr>
    </w:p>
    <w:p w:rsidR="003A497B" w:rsidRDefault="003A497B" w:rsidP="003A497B">
      <w:pPr>
        <w:ind w:firstLine="708"/>
        <w:jc w:val="both"/>
        <w:rPr>
          <w:rFonts w:ascii="Times New Roman" w:eastAsiaTheme="minorHAnsi" w:hAnsi="Times New Roman" w:cs="Times New Roman"/>
          <w:szCs w:val="22"/>
          <w:lang w:eastAsia="en-US"/>
        </w:rPr>
      </w:pPr>
      <w:bookmarkStart w:id="102" w:name="_Toc526178459"/>
      <w:r w:rsidRPr="00086A6E">
        <w:rPr>
          <w:rFonts w:ascii="Times New Roman" w:eastAsiaTheme="minorHAnsi" w:hAnsi="Times New Roman" w:cs="Times New Roman"/>
          <w:szCs w:val="22"/>
          <w:lang w:eastAsia="en-US"/>
        </w:rPr>
        <w:t>Rozpočet VZP sa rozdeľuje na programy, ktoré zodpovedajú vecným oblastiam poskytovanej zdravotnej starostlivosti. Umožní prepojenie výdavkov so stanovenými cieľmi a meraním ich výsledkov.</w:t>
      </w:r>
      <w:bookmarkEnd w:id="102"/>
      <w:r w:rsidRPr="00086A6E">
        <w:rPr>
          <w:rFonts w:ascii="Times New Roman" w:eastAsiaTheme="minorHAnsi" w:hAnsi="Times New Roman" w:cs="Times New Roman"/>
          <w:szCs w:val="22"/>
          <w:lang w:eastAsia="en-US"/>
        </w:rPr>
        <w:t xml:space="preserve"> </w:t>
      </w:r>
    </w:p>
    <w:p w:rsidR="003A497B" w:rsidRDefault="003A497B" w:rsidP="003A497B">
      <w:pPr>
        <w:rPr>
          <w:rFonts w:ascii="Times New Roman" w:eastAsiaTheme="minorHAnsi" w:hAnsi="Times New Roman" w:cs="Times New Roman"/>
          <w:szCs w:val="22"/>
          <w:lang w:eastAsia="en-US"/>
        </w:rPr>
      </w:pPr>
    </w:p>
    <w:p w:rsidR="003A497B" w:rsidRDefault="003A497B" w:rsidP="003A497B">
      <w:pPr>
        <w:rPr>
          <w:rFonts w:ascii="Times New Roman" w:eastAsiaTheme="minorHAnsi" w:hAnsi="Times New Roman" w:cs="Times New Roman"/>
          <w:szCs w:val="22"/>
          <w:lang w:eastAsia="en-US"/>
        </w:rPr>
      </w:pPr>
    </w:p>
    <w:p w:rsidR="003E1809" w:rsidRDefault="003E1809" w:rsidP="003A497B">
      <w:pPr>
        <w:rPr>
          <w:rFonts w:ascii="Times New Roman" w:eastAsiaTheme="minorHAnsi" w:hAnsi="Times New Roman" w:cs="Times New Roman"/>
          <w:szCs w:val="22"/>
          <w:lang w:eastAsia="en-US"/>
        </w:rPr>
      </w:pPr>
    </w:p>
    <w:p w:rsidR="003E1809" w:rsidRPr="00086A6E" w:rsidRDefault="003E1809" w:rsidP="003A497B">
      <w:pPr>
        <w:rPr>
          <w:rFonts w:ascii="Times New Roman" w:eastAsiaTheme="minorHAnsi" w:hAnsi="Times New Roman" w:cs="Times New Roman"/>
          <w:szCs w:val="22"/>
          <w:lang w:eastAsia="en-US"/>
        </w:rPr>
      </w:pPr>
    </w:p>
    <w:p w:rsidR="003A497B" w:rsidRPr="00086A6E" w:rsidRDefault="003A497B" w:rsidP="003A497B">
      <w:pP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27"/>
        <w:gridCol w:w="1040"/>
        <w:gridCol w:w="1040"/>
        <w:gridCol w:w="1062"/>
        <w:gridCol w:w="1133"/>
        <w:gridCol w:w="1060"/>
      </w:tblGrid>
      <w:tr w:rsidR="003A497B" w:rsidRPr="00086A6E" w:rsidTr="003A497B">
        <w:trPr>
          <w:trHeight w:hRule="exact" w:val="255"/>
        </w:trPr>
        <w:tc>
          <w:tcPr>
            <w:tcW w:w="5000" w:type="pct"/>
            <w:gridSpan w:val="6"/>
            <w:shd w:val="clear" w:color="000000" w:fill="BFBFBF"/>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lastRenderedPageBreak/>
              <w:t>Výdavky verejného zdravotného poistenia (VZP)</w:t>
            </w:r>
          </w:p>
        </w:tc>
      </w:tr>
      <w:tr w:rsidR="003A497B" w:rsidRPr="00086A6E" w:rsidTr="003A497B">
        <w:trPr>
          <w:trHeight w:hRule="exact" w:val="255"/>
        </w:trPr>
        <w:tc>
          <w:tcPr>
            <w:tcW w:w="2056" w:type="pct"/>
            <w:shd w:val="clear" w:color="000000" w:fill="D9D9D9"/>
            <w:noWrap/>
            <w:vAlign w:val="center"/>
            <w:hideMark/>
          </w:tcPr>
          <w:p w:rsidR="003A497B" w:rsidRPr="00086A6E" w:rsidRDefault="003A497B" w:rsidP="003E1809">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mil. eur</w:t>
            </w:r>
          </w:p>
        </w:tc>
        <w:tc>
          <w:tcPr>
            <w:tcW w:w="574" w:type="pct"/>
            <w:shd w:val="clear" w:color="000000" w:fill="D9D9D9"/>
            <w:noWrap/>
            <w:vAlign w:val="center"/>
            <w:hideMark/>
          </w:tcPr>
          <w:p w:rsidR="003A497B" w:rsidRPr="00086A6E" w:rsidRDefault="003A497B" w:rsidP="003E1809">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2016 S</w:t>
            </w:r>
          </w:p>
        </w:tc>
        <w:tc>
          <w:tcPr>
            <w:tcW w:w="574" w:type="pct"/>
            <w:shd w:val="clear" w:color="000000" w:fill="D9D9D9"/>
            <w:noWrap/>
            <w:vAlign w:val="center"/>
            <w:hideMark/>
          </w:tcPr>
          <w:p w:rsidR="003A497B" w:rsidRPr="00086A6E" w:rsidRDefault="003A497B" w:rsidP="003E1809">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2017 S</w:t>
            </w:r>
          </w:p>
        </w:tc>
        <w:tc>
          <w:tcPr>
            <w:tcW w:w="586" w:type="pct"/>
            <w:shd w:val="clear" w:color="000000" w:fill="D9D9D9"/>
            <w:noWrap/>
            <w:vAlign w:val="center"/>
            <w:hideMark/>
          </w:tcPr>
          <w:p w:rsidR="003A497B" w:rsidRPr="00086A6E" w:rsidRDefault="003A497B" w:rsidP="003E1809">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R</w:t>
            </w:r>
          </w:p>
        </w:tc>
        <w:tc>
          <w:tcPr>
            <w:tcW w:w="625" w:type="pct"/>
            <w:shd w:val="clear" w:color="000000" w:fill="D9D9D9"/>
            <w:noWrap/>
            <w:vAlign w:val="center"/>
            <w:hideMark/>
          </w:tcPr>
          <w:p w:rsidR="003A497B" w:rsidRPr="00086A6E" w:rsidRDefault="003A497B" w:rsidP="003E1809">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2018 OS</w:t>
            </w:r>
          </w:p>
        </w:tc>
        <w:tc>
          <w:tcPr>
            <w:tcW w:w="586" w:type="pct"/>
            <w:shd w:val="clear" w:color="000000" w:fill="D9D9D9"/>
            <w:noWrap/>
            <w:vAlign w:val="center"/>
            <w:hideMark/>
          </w:tcPr>
          <w:p w:rsidR="003A497B" w:rsidRPr="00086A6E" w:rsidRDefault="003A497B" w:rsidP="003E1809">
            <w:pPr>
              <w:jc w:val="cente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2019 N</w:t>
            </w:r>
          </w:p>
        </w:tc>
      </w:tr>
      <w:tr w:rsidR="003A497B" w:rsidRPr="00086A6E" w:rsidTr="003A497B">
        <w:trPr>
          <w:trHeight w:hRule="exact" w:val="255"/>
        </w:trPr>
        <w:tc>
          <w:tcPr>
            <w:tcW w:w="2056" w:type="pct"/>
            <w:shd w:val="clear" w:color="auto" w:fill="auto"/>
            <w:noWrap/>
            <w:vAlign w:val="center"/>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xml:space="preserve">Zdravotná starostlivosť </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4 300</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4 341</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4 467</w:t>
            </w:r>
          </w:p>
        </w:tc>
        <w:tc>
          <w:tcPr>
            <w:tcW w:w="625" w:type="pct"/>
            <w:shd w:val="clear" w:color="000000" w:fill="FFFFFF"/>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4 494</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4 704</w:t>
            </w:r>
          </w:p>
        </w:tc>
      </w:tr>
      <w:tr w:rsidR="003A497B" w:rsidRPr="00086A6E" w:rsidTr="003A497B">
        <w:trPr>
          <w:trHeight w:hRule="exact" w:val="255"/>
        </w:trPr>
        <w:tc>
          <w:tcPr>
            <w:tcW w:w="2056" w:type="pct"/>
            <w:shd w:val="clear" w:color="auto" w:fill="auto"/>
            <w:noWrap/>
            <w:vAlign w:val="center"/>
            <w:hideMark/>
          </w:tcPr>
          <w:p w:rsidR="003A497B" w:rsidRPr="00086A6E" w:rsidRDefault="003A497B" w:rsidP="003E1809">
            <w:pPr>
              <w:ind w:firstLineChars="200" w:firstLine="280"/>
              <w:rPr>
                <w:rFonts w:ascii="Times New Roman" w:hAnsi="Times New Roman" w:cs="Times New Roman"/>
                <w:sz w:val="14"/>
                <w:szCs w:val="14"/>
                <w:lang w:eastAsia="sk-SK"/>
              </w:rPr>
            </w:pPr>
            <w:r w:rsidRPr="00086A6E">
              <w:rPr>
                <w:rFonts w:ascii="Times New Roman" w:hAnsi="Times New Roman" w:cs="Times New Roman"/>
                <w:sz w:val="14"/>
                <w:szCs w:val="14"/>
                <w:lang w:eastAsia="sk-SK"/>
              </w:rPr>
              <w:t>Lieky a potraviny</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1 060</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1 070</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1 101</w:t>
            </w:r>
          </w:p>
        </w:tc>
        <w:tc>
          <w:tcPr>
            <w:tcW w:w="625"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1 107</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1 069</w:t>
            </w:r>
          </w:p>
        </w:tc>
      </w:tr>
      <w:tr w:rsidR="003A497B" w:rsidRPr="00086A6E" w:rsidTr="003A497B">
        <w:trPr>
          <w:trHeight w:hRule="exact" w:val="255"/>
        </w:trPr>
        <w:tc>
          <w:tcPr>
            <w:tcW w:w="2056" w:type="pct"/>
            <w:shd w:val="clear" w:color="auto" w:fill="auto"/>
            <w:noWrap/>
            <w:vAlign w:val="center"/>
            <w:hideMark/>
          </w:tcPr>
          <w:p w:rsidR="003A497B" w:rsidRPr="00086A6E" w:rsidRDefault="003A497B" w:rsidP="003E1809">
            <w:pPr>
              <w:ind w:firstLineChars="200" w:firstLine="280"/>
              <w:rPr>
                <w:rFonts w:ascii="Times New Roman" w:hAnsi="Times New Roman" w:cs="Times New Roman"/>
                <w:sz w:val="14"/>
                <w:szCs w:val="14"/>
                <w:lang w:eastAsia="sk-SK"/>
              </w:rPr>
            </w:pPr>
            <w:r w:rsidRPr="00086A6E">
              <w:rPr>
                <w:rFonts w:ascii="Times New Roman" w:hAnsi="Times New Roman" w:cs="Times New Roman"/>
                <w:sz w:val="14"/>
                <w:szCs w:val="14"/>
                <w:lang w:eastAsia="sk-SK"/>
              </w:rPr>
              <w:t>Zdravotnícke pomôcky a ŠZM</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186</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188</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194</w:t>
            </w:r>
          </w:p>
        </w:tc>
        <w:tc>
          <w:tcPr>
            <w:tcW w:w="625"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195</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190</w:t>
            </w:r>
          </w:p>
        </w:tc>
      </w:tr>
      <w:tr w:rsidR="003A497B" w:rsidRPr="00086A6E" w:rsidTr="003A497B">
        <w:trPr>
          <w:trHeight w:hRule="exact" w:val="255"/>
        </w:trPr>
        <w:tc>
          <w:tcPr>
            <w:tcW w:w="2056" w:type="pct"/>
            <w:shd w:val="clear" w:color="auto" w:fill="auto"/>
            <w:noWrap/>
            <w:vAlign w:val="center"/>
            <w:hideMark/>
          </w:tcPr>
          <w:p w:rsidR="003A497B" w:rsidRPr="00086A6E" w:rsidRDefault="003A497B" w:rsidP="003E1809">
            <w:pPr>
              <w:ind w:firstLineChars="200" w:firstLine="280"/>
              <w:rPr>
                <w:rFonts w:ascii="Times New Roman" w:hAnsi="Times New Roman" w:cs="Times New Roman"/>
                <w:sz w:val="14"/>
                <w:szCs w:val="14"/>
                <w:lang w:eastAsia="sk-SK"/>
              </w:rPr>
            </w:pPr>
            <w:r w:rsidRPr="00086A6E">
              <w:rPr>
                <w:rFonts w:ascii="Times New Roman" w:hAnsi="Times New Roman" w:cs="Times New Roman"/>
                <w:sz w:val="14"/>
                <w:szCs w:val="14"/>
                <w:lang w:eastAsia="sk-SK"/>
              </w:rPr>
              <w:t>Ústavná ZS (lôžka)</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1 264</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1 276</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1 313</w:t>
            </w:r>
          </w:p>
        </w:tc>
        <w:tc>
          <w:tcPr>
            <w:tcW w:w="625"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1 321</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1 466</w:t>
            </w:r>
          </w:p>
        </w:tc>
      </w:tr>
      <w:tr w:rsidR="003A497B" w:rsidRPr="00086A6E" w:rsidTr="003A497B">
        <w:trPr>
          <w:trHeight w:hRule="exact" w:val="255"/>
        </w:trPr>
        <w:tc>
          <w:tcPr>
            <w:tcW w:w="2056" w:type="pct"/>
            <w:shd w:val="clear" w:color="auto" w:fill="auto"/>
            <w:noWrap/>
            <w:vAlign w:val="center"/>
            <w:hideMark/>
          </w:tcPr>
          <w:p w:rsidR="003A497B" w:rsidRPr="00086A6E" w:rsidRDefault="003A497B" w:rsidP="003E1809">
            <w:pPr>
              <w:ind w:firstLineChars="200" w:firstLine="280"/>
              <w:rPr>
                <w:rFonts w:ascii="Times New Roman" w:hAnsi="Times New Roman" w:cs="Times New Roman"/>
                <w:sz w:val="14"/>
                <w:szCs w:val="14"/>
                <w:lang w:eastAsia="sk-SK"/>
              </w:rPr>
            </w:pPr>
            <w:r w:rsidRPr="00086A6E">
              <w:rPr>
                <w:rFonts w:ascii="Times New Roman" w:hAnsi="Times New Roman" w:cs="Times New Roman"/>
                <w:sz w:val="14"/>
                <w:szCs w:val="14"/>
                <w:lang w:eastAsia="sk-SK"/>
              </w:rPr>
              <w:t>Vš. amb. starostlivosť</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233</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235</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242</w:t>
            </w:r>
          </w:p>
        </w:tc>
        <w:tc>
          <w:tcPr>
            <w:tcW w:w="625"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243</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256</w:t>
            </w:r>
          </w:p>
        </w:tc>
      </w:tr>
      <w:tr w:rsidR="003A497B" w:rsidRPr="00086A6E" w:rsidTr="003A497B">
        <w:trPr>
          <w:trHeight w:hRule="exact" w:val="255"/>
        </w:trPr>
        <w:tc>
          <w:tcPr>
            <w:tcW w:w="2056" w:type="pct"/>
            <w:shd w:val="clear" w:color="auto" w:fill="auto"/>
            <w:noWrap/>
            <w:vAlign w:val="center"/>
            <w:hideMark/>
          </w:tcPr>
          <w:p w:rsidR="003A497B" w:rsidRPr="00086A6E" w:rsidRDefault="003A497B" w:rsidP="003E1809">
            <w:pPr>
              <w:ind w:firstLineChars="200" w:firstLine="280"/>
              <w:rPr>
                <w:rFonts w:ascii="Times New Roman" w:hAnsi="Times New Roman" w:cs="Times New Roman"/>
                <w:sz w:val="14"/>
                <w:szCs w:val="14"/>
                <w:lang w:eastAsia="sk-SK"/>
              </w:rPr>
            </w:pPr>
            <w:r w:rsidRPr="00086A6E">
              <w:rPr>
                <w:rFonts w:ascii="Times New Roman" w:hAnsi="Times New Roman" w:cs="Times New Roman"/>
                <w:sz w:val="14"/>
                <w:szCs w:val="14"/>
                <w:lang w:eastAsia="sk-SK"/>
              </w:rPr>
              <w:t>SVLZ</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491</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495</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510</w:t>
            </w:r>
          </w:p>
        </w:tc>
        <w:tc>
          <w:tcPr>
            <w:tcW w:w="625"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513</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527</w:t>
            </w:r>
          </w:p>
        </w:tc>
      </w:tr>
      <w:tr w:rsidR="003A497B" w:rsidRPr="00086A6E" w:rsidTr="003A497B">
        <w:trPr>
          <w:trHeight w:hRule="exact" w:val="255"/>
        </w:trPr>
        <w:tc>
          <w:tcPr>
            <w:tcW w:w="2056" w:type="pct"/>
            <w:shd w:val="clear" w:color="auto" w:fill="auto"/>
            <w:noWrap/>
            <w:vAlign w:val="center"/>
            <w:hideMark/>
          </w:tcPr>
          <w:p w:rsidR="003A497B" w:rsidRPr="00086A6E" w:rsidRDefault="003A497B" w:rsidP="003E1809">
            <w:pPr>
              <w:ind w:firstLineChars="200" w:firstLine="280"/>
              <w:rPr>
                <w:rFonts w:ascii="Times New Roman" w:hAnsi="Times New Roman" w:cs="Times New Roman"/>
                <w:sz w:val="14"/>
                <w:szCs w:val="14"/>
                <w:lang w:eastAsia="sk-SK"/>
              </w:rPr>
            </w:pPr>
            <w:r w:rsidRPr="00086A6E">
              <w:rPr>
                <w:rFonts w:ascii="Times New Roman" w:hAnsi="Times New Roman" w:cs="Times New Roman"/>
                <w:sz w:val="14"/>
                <w:szCs w:val="14"/>
                <w:lang w:eastAsia="sk-SK"/>
              </w:rPr>
              <w:t>Špecial. amb. starostlivosť</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802</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809</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833</w:t>
            </w:r>
          </w:p>
        </w:tc>
        <w:tc>
          <w:tcPr>
            <w:tcW w:w="625"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838</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877</w:t>
            </w:r>
          </w:p>
        </w:tc>
      </w:tr>
      <w:tr w:rsidR="003A497B" w:rsidRPr="00086A6E" w:rsidTr="003A497B">
        <w:trPr>
          <w:trHeight w:hRule="exact" w:val="255"/>
        </w:trPr>
        <w:tc>
          <w:tcPr>
            <w:tcW w:w="2056" w:type="pct"/>
            <w:shd w:val="clear" w:color="auto" w:fill="auto"/>
            <w:noWrap/>
            <w:vAlign w:val="center"/>
            <w:hideMark/>
          </w:tcPr>
          <w:p w:rsidR="003A497B" w:rsidRPr="00086A6E" w:rsidRDefault="003A497B" w:rsidP="003E1809">
            <w:pPr>
              <w:ind w:firstLineChars="200" w:firstLine="280"/>
              <w:rPr>
                <w:rFonts w:ascii="Times New Roman" w:hAnsi="Times New Roman" w:cs="Times New Roman"/>
                <w:sz w:val="14"/>
                <w:szCs w:val="14"/>
                <w:lang w:eastAsia="sk-SK"/>
              </w:rPr>
            </w:pPr>
            <w:r w:rsidRPr="00086A6E">
              <w:rPr>
                <w:rFonts w:ascii="Times New Roman" w:hAnsi="Times New Roman" w:cs="Times New Roman"/>
                <w:sz w:val="14"/>
                <w:szCs w:val="14"/>
                <w:lang w:eastAsia="sk-SK"/>
              </w:rPr>
              <w:t>Pohotovostná služba PP</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15</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16</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16</w:t>
            </w:r>
          </w:p>
        </w:tc>
        <w:tc>
          <w:tcPr>
            <w:tcW w:w="625"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16</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17</w:t>
            </w:r>
          </w:p>
        </w:tc>
      </w:tr>
      <w:tr w:rsidR="003A497B" w:rsidRPr="00086A6E" w:rsidTr="003A497B">
        <w:trPr>
          <w:trHeight w:hRule="exact" w:val="255"/>
        </w:trPr>
        <w:tc>
          <w:tcPr>
            <w:tcW w:w="2056" w:type="pct"/>
            <w:shd w:val="clear" w:color="auto" w:fill="auto"/>
            <w:noWrap/>
            <w:vAlign w:val="center"/>
            <w:hideMark/>
          </w:tcPr>
          <w:p w:rsidR="003A497B" w:rsidRPr="00086A6E" w:rsidRDefault="003A497B" w:rsidP="003E1809">
            <w:pPr>
              <w:ind w:firstLineChars="200" w:firstLine="280"/>
              <w:rPr>
                <w:rFonts w:ascii="Times New Roman" w:hAnsi="Times New Roman" w:cs="Times New Roman"/>
                <w:sz w:val="14"/>
                <w:szCs w:val="14"/>
                <w:lang w:eastAsia="sk-SK"/>
              </w:rPr>
            </w:pPr>
            <w:r w:rsidRPr="00086A6E">
              <w:rPr>
                <w:rFonts w:ascii="Times New Roman" w:hAnsi="Times New Roman" w:cs="Times New Roman"/>
                <w:sz w:val="14"/>
                <w:szCs w:val="14"/>
                <w:lang w:eastAsia="sk-SK"/>
              </w:rPr>
              <w:t>Záchr. zdravotná služba</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86</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87</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89</w:t>
            </w:r>
          </w:p>
        </w:tc>
        <w:tc>
          <w:tcPr>
            <w:tcW w:w="625"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90</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96</w:t>
            </w:r>
          </w:p>
        </w:tc>
      </w:tr>
      <w:tr w:rsidR="003A497B" w:rsidRPr="00086A6E" w:rsidTr="003A497B">
        <w:trPr>
          <w:trHeight w:hRule="exact" w:val="255"/>
        </w:trPr>
        <w:tc>
          <w:tcPr>
            <w:tcW w:w="2056" w:type="pct"/>
            <w:shd w:val="clear" w:color="auto" w:fill="auto"/>
            <w:noWrap/>
            <w:vAlign w:val="center"/>
            <w:hideMark/>
          </w:tcPr>
          <w:p w:rsidR="003A497B" w:rsidRPr="00086A6E" w:rsidRDefault="003A497B" w:rsidP="003E1809">
            <w:pPr>
              <w:ind w:firstLineChars="200" w:firstLine="280"/>
              <w:rPr>
                <w:rFonts w:ascii="Times New Roman" w:hAnsi="Times New Roman" w:cs="Times New Roman"/>
                <w:sz w:val="14"/>
                <w:szCs w:val="14"/>
                <w:lang w:eastAsia="sk-SK"/>
              </w:rPr>
            </w:pPr>
            <w:r w:rsidRPr="00086A6E">
              <w:rPr>
                <w:rFonts w:ascii="Times New Roman" w:hAnsi="Times New Roman" w:cs="Times New Roman"/>
                <w:sz w:val="14"/>
                <w:szCs w:val="14"/>
                <w:lang w:eastAsia="sk-SK"/>
              </w:rPr>
              <w:t>Kúpeľná starostlivosť</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52</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52</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54</w:t>
            </w:r>
          </w:p>
        </w:tc>
        <w:tc>
          <w:tcPr>
            <w:tcW w:w="625"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54</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56</w:t>
            </w:r>
          </w:p>
        </w:tc>
      </w:tr>
      <w:tr w:rsidR="003A497B" w:rsidRPr="00086A6E" w:rsidTr="003A497B">
        <w:trPr>
          <w:trHeight w:hRule="exact" w:val="255"/>
        </w:trPr>
        <w:tc>
          <w:tcPr>
            <w:tcW w:w="2056" w:type="pct"/>
            <w:shd w:val="clear" w:color="auto" w:fill="auto"/>
            <w:noWrap/>
            <w:vAlign w:val="center"/>
            <w:hideMark/>
          </w:tcPr>
          <w:p w:rsidR="003A497B" w:rsidRPr="00086A6E" w:rsidRDefault="003A497B" w:rsidP="003E1809">
            <w:pPr>
              <w:ind w:firstLineChars="200" w:firstLine="280"/>
              <w:rPr>
                <w:rFonts w:ascii="Times New Roman" w:hAnsi="Times New Roman" w:cs="Times New Roman"/>
                <w:sz w:val="14"/>
                <w:szCs w:val="14"/>
                <w:lang w:eastAsia="sk-SK"/>
              </w:rPr>
            </w:pPr>
            <w:r w:rsidRPr="00086A6E">
              <w:rPr>
                <w:rFonts w:ascii="Times New Roman" w:hAnsi="Times New Roman" w:cs="Times New Roman"/>
                <w:sz w:val="14"/>
                <w:szCs w:val="14"/>
                <w:lang w:eastAsia="sk-SK"/>
              </w:rPr>
              <w:t>Doprava</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26</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26</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27</w:t>
            </w:r>
          </w:p>
        </w:tc>
        <w:tc>
          <w:tcPr>
            <w:tcW w:w="625"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27</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27</w:t>
            </w:r>
          </w:p>
        </w:tc>
      </w:tr>
      <w:tr w:rsidR="003A497B" w:rsidRPr="00086A6E" w:rsidTr="003A497B">
        <w:trPr>
          <w:trHeight w:hRule="exact" w:val="255"/>
        </w:trPr>
        <w:tc>
          <w:tcPr>
            <w:tcW w:w="2056" w:type="pct"/>
            <w:shd w:val="clear" w:color="auto" w:fill="auto"/>
            <w:noWrap/>
            <w:vAlign w:val="center"/>
            <w:hideMark/>
          </w:tcPr>
          <w:p w:rsidR="003A497B" w:rsidRPr="00086A6E" w:rsidRDefault="003A497B" w:rsidP="003E1809">
            <w:pPr>
              <w:ind w:firstLineChars="200" w:firstLine="280"/>
              <w:rPr>
                <w:rFonts w:ascii="Times New Roman" w:hAnsi="Times New Roman" w:cs="Times New Roman"/>
                <w:sz w:val="14"/>
                <w:szCs w:val="14"/>
                <w:lang w:eastAsia="sk-SK"/>
              </w:rPr>
            </w:pPr>
            <w:r w:rsidRPr="00086A6E">
              <w:rPr>
                <w:rFonts w:ascii="Times New Roman" w:hAnsi="Times New Roman" w:cs="Times New Roman"/>
                <w:sz w:val="14"/>
                <w:szCs w:val="14"/>
                <w:lang w:eastAsia="sk-SK"/>
              </w:rPr>
              <w:t>Vrtuľníková záchr. služba</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11</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11</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12</w:t>
            </w:r>
          </w:p>
        </w:tc>
        <w:tc>
          <w:tcPr>
            <w:tcW w:w="625"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12</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12</w:t>
            </w:r>
          </w:p>
        </w:tc>
      </w:tr>
      <w:tr w:rsidR="003A497B" w:rsidRPr="00086A6E" w:rsidTr="003A497B">
        <w:trPr>
          <w:trHeight w:hRule="exact" w:val="255"/>
        </w:trPr>
        <w:tc>
          <w:tcPr>
            <w:tcW w:w="2056" w:type="pct"/>
            <w:shd w:val="clear" w:color="auto" w:fill="auto"/>
            <w:noWrap/>
            <w:vAlign w:val="center"/>
            <w:hideMark/>
          </w:tcPr>
          <w:p w:rsidR="003A497B" w:rsidRPr="00086A6E" w:rsidRDefault="003A497B" w:rsidP="003E1809">
            <w:pPr>
              <w:ind w:firstLineChars="100" w:firstLine="140"/>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 xml:space="preserve">   Ostatné subjekty a iná ZS</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75</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76</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78</w:t>
            </w:r>
          </w:p>
        </w:tc>
        <w:tc>
          <w:tcPr>
            <w:tcW w:w="625"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78</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111</w:t>
            </w:r>
          </w:p>
        </w:tc>
      </w:tr>
      <w:tr w:rsidR="003A497B" w:rsidRPr="00086A6E" w:rsidTr="003A497B">
        <w:trPr>
          <w:trHeight w:hRule="exact" w:val="255"/>
        </w:trPr>
        <w:tc>
          <w:tcPr>
            <w:tcW w:w="2056" w:type="pct"/>
            <w:shd w:val="clear" w:color="000000" w:fill="FFFFFF"/>
            <w:noWrap/>
            <w:vAlign w:val="center"/>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Iné výdavky VZP</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239</w:t>
            </w:r>
          </w:p>
        </w:tc>
        <w:tc>
          <w:tcPr>
            <w:tcW w:w="574" w:type="pct"/>
            <w:shd w:val="clear" w:color="000000" w:fill="FFFFFF"/>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235</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244</w:t>
            </w:r>
          </w:p>
        </w:tc>
        <w:tc>
          <w:tcPr>
            <w:tcW w:w="625" w:type="pct"/>
            <w:shd w:val="clear" w:color="000000" w:fill="FFFFFF"/>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323</w:t>
            </w:r>
          </w:p>
        </w:tc>
        <w:tc>
          <w:tcPr>
            <w:tcW w:w="586" w:type="pct"/>
            <w:shd w:val="clear" w:color="000000" w:fill="FFFFFF"/>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227</w:t>
            </w:r>
          </w:p>
        </w:tc>
      </w:tr>
      <w:tr w:rsidR="003A497B" w:rsidRPr="00086A6E" w:rsidTr="003A497B">
        <w:trPr>
          <w:trHeight w:hRule="exact" w:val="255"/>
        </w:trPr>
        <w:tc>
          <w:tcPr>
            <w:tcW w:w="2056" w:type="pct"/>
            <w:shd w:val="clear" w:color="000000" w:fill="D9D9D9"/>
            <w:noWrap/>
            <w:vAlign w:val="center"/>
            <w:hideMark/>
          </w:tcPr>
          <w:p w:rsidR="003A497B" w:rsidRPr="00086A6E" w:rsidRDefault="003A497B" w:rsidP="003E1809">
            <w:pPr>
              <w:rPr>
                <w:rFonts w:ascii="Times New Roman" w:hAnsi="Times New Roman" w:cs="Times New Roman"/>
                <w:b/>
                <w:bCs/>
                <w:sz w:val="14"/>
                <w:szCs w:val="14"/>
                <w:lang w:eastAsia="sk-SK"/>
              </w:rPr>
            </w:pPr>
            <w:r w:rsidRPr="00086A6E">
              <w:rPr>
                <w:rFonts w:ascii="Times New Roman" w:hAnsi="Times New Roman" w:cs="Times New Roman"/>
                <w:b/>
                <w:bCs/>
                <w:sz w:val="14"/>
                <w:szCs w:val="14"/>
                <w:lang w:eastAsia="sk-SK"/>
              </w:rPr>
              <w:t>VZP spolu</w:t>
            </w:r>
          </w:p>
        </w:tc>
        <w:tc>
          <w:tcPr>
            <w:tcW w:w="574" w:type="pct"/>
            <w:shd w:val="clear" w:color="000000" w:fill="D9D9D9"/>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4 539</w:t>
            </w:r>
          </w:p>
        </w:tc>
        <w:tc>
          <w:tcPr>
            <w:tcW w:w="574" w:type="pct"/>
            <w:shd w:val="clear" w:color="000000" w:fill="D9D9D9"/>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4 576</w:t>
            </w:r>
          </w:p>
        </w:tc>
        <w:tc>
          <w:tcPr>
            <w:tcW w:w="586" w:type="pct"/>
            <w:shd w:val="clear" w:color="000000" w:fill="D9D9D9"/>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4 711</w:t>
            </w:r>
          </w:p>
        </w:tc>
        <w:tc>
          <w:tcPr>
            <w:tcW w:w="625" w:type="pct"/>
            <w:shd w:val="clear" w:color="000000" w:fill="D9D9D9"/>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4 817</w:t>
            </w:r>
          </w:p>
        </w:tc>
        <w:tc>
          <w:tcPr>
            <w:tcW w:w="586" w:type="pct"/>
            <w:shd w:val="clear" w:color="000000" w:fill="D9D9D9"/>
            <w:vAlign w:val="bottom"/>
            <w:hideMark/>
          </w:tcPr>
          <w:p w:rsidR="003A497B" w:rsidRPr="00086A6E" w:rsidRDefault="003A497B" w:rsidP="003E1809">
            <w:pPr>
              <w:jc w:val="right"/>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4 931</w:t>
            </w:r>
          </w:p>
        </w:tc>
      </w:tr>
    </w:tbl>
    <w:p w:rsidR="003A497B" w:rsidRPr="00086A6E" w:rsidRDefault="003A497B" w:rsidP="003A497B">
      <w:pPr>
        <w:rPr>
          <w:highlight w:val="yellow"/>
        </w:rPr>
      </w:pPr>
    </w:p>
    <w:p w:rsidR="003A497B" w:rsidRPr="00086A6E" w:rsidRDefault="003A497B" w:rsidP="003A497B">
      <w:pPr>
        <w:rPr>
          <w:rFonts w:ascii="Times New Roman" w:eastAsiaTheme="majorEastAsia" w:hAnsi="Times New Roman" w:cs="Times New Roman"/>
          <w:b/>
          <w:szCs w:val="32"/>
          <w:lang w:eastAsia="en-US"/>
        </w:rPr>
      </w:pPr>
      <w:bookmarkStart w:id="103" w:name="_Toc526178460"/>
      <w:r w:rsidRPr="00086A6E">
        <w:rPr>
          <w:rFonts w:ascii="Times New Roman" w:eastAsiaTheme="majorEastAsia" w:hAnsi="Times New Roman" w:cs="Times New Roman"/>
          <w:b/>
          <w:szCs w:val="32"/>
          <w:shd w:val="clear" w:color="auto" w:fill="FFFFFF" w:themeFill="background1"/>
          <w:lang w:eastAsia="en-US"/>
        </w:rPr>
        <w:t>Lieky</w:t>
      </w:r>
      <w:bookmarkEnd w:id="103"/>
    </w:p>
    <w:p w:rsidR="003A497B" w:rsidRPr="00086A6E" w:rsidRDefault="003A497B" w:rsidP="003A497B">
      <w:pPr>
        <w:rPr>
          <w:rFonts w:ascii="Times New Roman" w:eastAsiaTheme="majorEastAsia" w:hAnsi="Times New Roman" w:cs="Times New Roman"/>
          <w:szCs w:val="26"/>
          <w:u w:val="single"/>
          <w:lang w:eastAsia="en-US"/>
        </w:rPr>
      </w:pPr>
    </w:p>
    <w:p w:rsidR="003A497B" w:rsidRPr="00086A6E" w:rsidRDefault="003A497B" w:rsidP="003A497B">
      <w:pPr>
        <w:ind w:firstLine="708"/>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 xml:space="preserve">Aj keď má Slovensko vďaka referencovaniu jedny z najnižších cien liekov v EÚ, výdavky na obyvateľa presahujú priemer EÚ aj OECD. Príčinou môže byť vyššia spotreba drahších liekov, nákladová neefektívnosť a chýbajúce štandardy. </w:t>
      </w:r>
    </w:p>
    <w:p w:rsidR="003A497B" w:rsidRPr="00086A6E" w:rsidRDefault="003A497B" w:rsidP="003A497B">
      <w:pPr>
        <w:rPr>
          <w:highlight w:val="yellow"/>
        </w:rPr>
      </w:pPr>
    </w:p>
    <w:p w:rsidR="003A497B" w:rsidRPr="00086A6E" w:rsidRDefault="003A497B" w:rsidP="003A497B">
      <w:pPr>
        <w:rPr>
          <w:highlight w:val="yellow"/>
        </w:rPr>
      </w:pPr>
    </w:p>
    <w:tbl>
      <w:tblPr>
        <w:tblW w:w="9345" w:type="dxa"/>
        <w:shd w:val="clear" w:color="auto" w:fill="FFFFFF" w:themeFill="background1"/>
        <w:tblLayout w:type="fixed"/>
        <w:tblLook w:val="04A0" w:firstRow="1" w:lastRow="0" w:firstColumn="1" w:lastColumn="0" w:noHBand="0" w:noVBand="1"/>
      </w:tblPr>
      <w:tblGrid>
        <w:gridCol w:w="4395"/>
        <w:gridCol w:w="4950"/>
      </w:tblGrid>
      <w:tr w:rsidR="003A497B" w:rsidRPr="00086A6E" w:rsidTr="003E1809">
        <w:trPr>
          <w:trHeight w:val="332"/>
        </w:trPr>
        <w:tc>
          <w:tcPr>
            <w:tcW w:w="4395" w:type="dxa"/>
            <w:tcBorders>
              <w:bottom w:val="single" w:sz="4" w:space="0" w:color="auto"/>
            </w:tcBorders>
            <w:shd w:val="clear" w:color="auto" w:fill="FFFFFF" w:themeFill="background1"/>
          </w:tcPr>
          <w:p w:rsidR="003A497B" w:rsidRPr="00086A6E" w:rsidRDefault="003A497B" w:rsidP="003E1809">
            <w:pPr>
              <w:keepNext/>
              <w:shd w:val="clear" w:color="auto" w:fill="FFFFFF" w:themeFill="background1"/>
              <w:jc w:val="both"/>
              <w:rPr>
                <w:rFonts w:ascii="Times New Roman" w:eastAsia="Arial" w:hAnsi="Times New Roman" w:cs="Times New Roman"/>
                <w:b/>
                <w:bCs/>
                <w:sz w:val="16"/>
                <w:szCs w:val="19"/>
                <w:lang w:val="fr-FR" w:eastAsia="fr-FR" w:bidi="fr-FR"/>
              </w:rPr>
            </w:pPr>
            <w:bookmarkStart w:id="104" w:name="_Toc457207500"/>
            <w:r w:rsidRPr="00086A6E">
              <w:rPr>
                <w:rFonts w:ascii="Times New Roman" w:eastAsia="Arial" w:hAnsi="Times New Roman" w:cs="Times New Roman"/>
                <w:b/>
                <w:bCs/>
                <w:sz w:val="16"/>
                <w:szCs w:val="19"/>
                <w:lang w:val="fr-FR" w:eastAsia="fr-FR" w:bidi="fr-FR"/>
              </w:rPr>
              <w:t>Graf: Verejné výdavky na lieky* na osobu, bežné ceny, v parite kúpnej sily, USD</w:t>
            </w:r>
            <w:bookmarkEnd w:id="104"/>
          </w:p>
        </w:tc>
        <w:tc>
          <w:tcPr>
            <w:tcW w:w="4950" w:type="dxa"/>
            <w:tcBorders>
              <w:bottom w:val="single" w:sz="4" w:space="0" w:color="auto"/>
            </w:tcBorders>
            <w:shd w:val="clear" w:color="auto" w:fill="FFFFFF" w:themeFill="background1"/>
          </w:tcPr>
          <w:p w:rsidR="003A497B" w:rsidRPr="00086A6E" w:rsidRDefault="003A497B" w:rsidP="003E1809">
            <w:pPr>
              <w:keepNext/>
              <w:shd w:val="clear" w:color="auto" w:fill="FFFFFF" w:themeFill="background1"/>
              <w:jc w:val="both"/>
              <w:rPr>
                <w:rFonts w:ascii="Times New Roman" w:eastAsia="Arial" w:hAnsi="Times New Roman" w:cs="Times New Roman"/>
                <w:b/>
                <w:bCs/>
                <w:sz w:val="16"/>
                <w:szCs w:val="19"/>
                <w:lang w:val="fr-FR" w:eastAsia="fr-FR" w:bidi="fr-FR"/>
              </w:rPr>
            </w:pPr>
            <w:bookmarkStart w:id="105" w:name="_Toc457207501"/>
            <w:r w:rsidRPr="00086A6E">
              <w:rPr>
                <w:rFonts w:ascii="Times New Roman" w:eastAsia="Arial" w:hAnsi="Times New Roman" w:cs="Times New Roman"/>
                <w:b/>
                <w:bCs/>
                <w:sz w:val="16"/>
                <w:szCs w:val="19"/>
                <w:lang w:val="fr-FR" w:eastAsia="fr-FR" w:bidi="fr-FR"/>
              </w:rPr>
              <w:t>Graf: Porovnanie zahrani</w:t>
            </w:r>
            <w:r w:rsidRPr="00086A6E">
              <w:rPr>
                <w:rFonts w:ascii="Times New Roman" w:eastAsia="Arial" w:hAnsi="Times New Roman" w:cs="Times New Roman" w:hint="eastAsia"/>
                <w:b/>
                <w:bCs/>
                <w:sz w:val="16"/>
                <w:szCs w:val="19"/>
                <w:lang w:val="fr-FR" w:eastAsia="fr-FR" w:bidi="fr-FR"/>
              </w:rPr>
              <w:t>č</w:t>
            </w:r>
            <w:r w:rsidRPr="00086A6E">
              <w:rPr>
                <w:rFonts w:ascii="Times New Roman" w:eastAsia="Arial" w:hAnsi="Times New Roman" w:cs="Times New Roman"/>
                <w:b/>
                <w:bCs/>
                <w:sz w:val="16"/>
                <w:szCs w:val="19"/>
                <w:lang w:val="fr-FR" w:eastAsia="fr-FR" w:bidi="fr-FR"/>
              </w:rPr>
              <w:t>nej a slovenskej spotreby liekov v jednotlivých ATC skupinách za rok 2016</w:t>
            </w:r>
            <w:bookmarkEnd w:id="105"/>
          </w:p>
        </w:tc>
      </w:tr>
      <w:tr w:rsidR="003A497B" w:rsidRPr="00086A6E" w:rsidTr="003E1809">
        <w:tblPrEx>
          <w:tblCellMar>
            <w:left w:w="70" w:type="dxa"/>
            <w:right w:w="70" w:type="dxa"/>
          </w:tblCellMar>
        </w:tblPrEx>
        <w:trPr>
          <w:trHeight w:val="2300"/>
        </w:trPr>
        <w:tc>
          <w:tcPr>
            <w:tcW w:w="4395" w:type="dxa"/>
            <w:tcBorders>
              <w:top w:val="single" w:sz="4" w:space="0" w:color="auto"/>
              <w:bottom w:val="single" w:sz="4" w:space="0" w:color="auto"/>
            </w:tcBorders>
            <w:shd w:val="clear" w:color="auto" w:fill="FFFFFF" w:themeFill="background1"/>
          </w:tcPr>
          <w:p w:rsidR="003A497B" w:rsidRPr="00086A6E" w:rsidRDefault="003A497B" w:rsidP="003E1809">
            <w:pPr>
              <w:shd w:val="clear" w:color="auto" w:fill="FFFFFF" w:themeFill="background1"/>
              <w:spacing w:line="276" w:lineRule="auto"/>
              <w:jc w:val="both"/>
              <w:rPr>
                <w:rFonts w:ascii="Times New Roman" w:eastAsiaTheme="minorHAnsi" w:hAnsi="Times New Roman" w:cs="Times New Roman"/>
                <w:sz w:val="22"/>
                <w:szCs w:val="22"/>
                <w:lang w:eastAsia="en-US"/>
              </w:rPr>
            </w:pPr>
            <w:r w:rsidRPr="00086A6E">
              <w:rPr>
                <w:rFonts w:ascii="Times New Roman" w:hAnsi="Times New Roman" w:cs="Times New Roman"/>
                <w:noProof/>
                <w:lang w:eastAsia="sk-SK"/>
              </w:rPr>
              <w:drawing>
                <wp:inline distT="0" distB="0" distL="0" distR="0" wp14:anchorId="014E2D0F" wp14:editId="2F233B84">
                  <wp:extent cx="2767054" cy="2711450"/>
                  <wp:effectExtent l="0" t="0" r="0" b="0"/>
                  <wp:docPr id="21" name="Graf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50" w:type="dxa"/>
            <w:tcBorders>
              <w:top w:val="single" w:sz="4" w:space="0" w:color="auto"/>
              <w:bottom w:val="single" w:sz="4" w:space="0" w:color="auto"/>
            </w:tcBorders>
            <w:shd w:val="clear" w:color="auto" w:fill="FFFFFF" w:themeFill="background1"/>
          </w:tcPr>
          <w:p w:rsidR="003A497B" w:rsidRPr="00086A6E" w:rsidRDefault="003A497B" w:rsidP="003E1809">
            <w:pPr>
              <w:shd w:val="clear" w:color="auto" w:fill="FFFFFF" w:themeFill="background1"/>
              <w:spacing w:line="276" w:lineRule="auto"/>
              <w:jc w:val="both"/>
              <w:rPr>
                <w:rFonts w:ascii="Times New Roman" w:eastAsiaTheme="minorHAnsi" w:hAnsi="Times New Roman" w:cs="Times New Roman"/>
                <w:noProof/>
                <w:sz w:val="22"/>
                <w:szCs w:val="22"/>
                <w:lang w:eastAsia="en-US"/>
              </w:rPr>
            </w:pPr>
            <w:r w:rsidRPr="00086A6E">
              <w:rPr>
                <w:noProof/>
                <w:lang w:eastAsia="sk-SK"/>
              </w:rPr>
              <w:drawing>
                <wp:inline distT="0" distB="0" distL="0" distR="0" wp14:anchorId="75AF1117" wp14:editId="582F9867">
                  <wp:extent cx="3069204" cy="2711450"/>
                  <wp:effectExtent l="0" t="0" r="17145" b="12700"/>
                  <wp:docPr id="22" name="Graf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3A497B" w:rsidRPr="00086A6E" w:rsidTr="003E1809">
        <w:trPr>
          <w:trHeight w:val="128"/>
        </w:trPr>
        <w:tc>
          <w:tcPr>
            <w:tcW w:w="4395" w:type="dxa"/>
            <w:tcBorders>
              <w:top w:val="single" w:sz="4" w:space="0" w:color="auto"/>
            </w:tcBorders>
            <w:shd w:val="clear" w:color="auto" w:fill="FFFFFF" w:themeFill="background1"/>
          </w:tcPr>
          <w:p w:rsidR="003A497B" w:rsidRPr="00086A6E" w:rsidRDefault="003A497B" w:rsidP="003E1809">
            <w:pPr>
              <w:shd w:val="clear" w:color="auto" w:fill="FFFFFF" w:themeFill="background1"/>
              <w:spacing w:line="276" w:lineRule="auto"/>
              <w:jc w:val="right"/>
              <w:rPr>
                <w:rFonts w:ascii="Times New Roman" w:eastAsiaTheme="minorHAnsi" w:hAnsi="Times New Roman" w:cs="Times New Roman"/>
                <w:i/>
                <w:sz w:val="16"/>
                <w:szCs w:val="16"/>
                <w:lang w:eastAsia="en-US"/>
              </w:rPr>
            </w:pPr>
            <w:r w:rsidRPr="00086A6E">
              <w:rPr>
                <w:rFonts w:ascii="Times New Roman" w:eastAsiaTheme="minorHAnsi" w:hAnsi="Times New Roman" w:cs="Times New Roman"/>
                <w:i/>
                <w:sz w:val="16"/>
                <w:szCs w:val="16"/>
                <w:lang w:eastAsia="en-US"/>
              </w:rPr>
              <w:t>Zdroj: OECD 2018</w:t>
            </w:r>
          </w:p>
          <w:p w:rsidR="003A497B" w:rsidRPr="00086A6E" w:rsidRDefault="003A497B" w:rsidP="003E1809">
            <w:pPr>
              <w:shd w:val="clear" w:color="auto" w:fill="FFFFFF" w:themeFill="background1"/>
              <w:rPr>
                <w:rFonts w:ascii="Times New Roman" w:eastAsiaTheme="minorHAnsi" w:hAnsi="Times New Roman" w:cs="Times New Roman"/>
                <w:i/>
                <w:sz w:val="16"/>
                <w:szCs w:val="16"/>
                <w:lang w:eastAsia="en-US"/>
              </w:rPr>
            </w:pPr>
            <w:r w:rsidRPr="00086A6E">
              <w:rPr>
                <w:rFonts w:ascii="Times New Roman" w:eastAsiaTheme="minorHAnsi" w:hAnsi="Times New Roman" w:cs="Times New Roman"/>
                <w:i/>
                <w:sz w:val="16"/>
                <w:szCs w:val="16"/>
                <w:lang w:eastAsia="en-US"/>
              </w:rPr>
              <w:t>* Výdavky na lieky zahŕňajú aj iné tovary krátkodobej spotreby, napr. obväzy a striekačky, ktoré sú na Slovensku považované za zdravotnícke pomôcky. Väčšina pomôcok spotrebovaných na Slovensku je však v databáze OECD vykazovaná v samostatnej kategórii.</w:t>
            </w:r>
          </w:p>
          <w:p w:rsidR="003A497B" w:rsidRPr="00086A6E" w:rsidRDefault="003A497B" w:rsidP="003E1809">
            <w:pPr>
              <w:shd w:val="clear" w:color="auto" w:fill="FFFFFF" w:themeFill="background1"/>
              <w:spacing w:line="276" w:lineRule="auto"/>
              <w:jc w:val="right"/>
              <w:rPr>
                <w:rFonts w:ascii="Times New Roman" w:eastAsiaTheme="minorHAnsi" w:hAnsi="Times New Roman" w:cs="Times New Roman"/>
                <w:i/>
                <w:sz w:val="16"/>
                <w:szCs w:val="16"/>
                <w:lang w:eastAsia="en-US"/>
              </w:rPr>
            </w:pPr>
          </w:p>
        </w:tc>
        <w:tc>
          <w:tcPr>
            <w:tcW w:w="4950" w:type="dxa"/>
            <w:tcBorders>
              <w:top w:val="single" w:sz="4" w:space="0" w:color="auto"/>
            </w:tcBorders>
            <w:shd w:val="clear" w:color="auto" w:fill="FFFFFF" w:themeFill="background1"/>
          </w:tcPr>
          <w:p w:rsidR="003A497B" w:rsidRPr="00086A6E" w:rsidRDefault="003A497B" w:rsidP="003E1809">
            <w:pPr>
              <w:shd w:val="clear" w:color="auto" w:fill="FFFFFF" w:themeFill="background1"/>
              <w:spacing w:line="276" w:lineRule="auto"/>
              <w:jc w:val="right"/>
              <w:rPr>
                <w:rFonts w:ascii="Times New Roman" w:eastAsiaTheme="minorHAnsi" w:hAnsi="Times New Roman" w:cs="Times New Roman"/>
                <w:i/>
                <w:sz w:val="16"/>
                <w:szCs w:val="16"/>
                <w:lang w:eastAsia="en-US"/>
              </w:rPr>
            </w:pPr>
            <w:r w:rsidRPr="00086A6E">
              <w:rPr>
                <w:rFonts w:ascii="Times New Roman" w:eastAsiaTheme="minorHAnsi" w:hAnsi="Times New Roman" w:cs="Times New Roman"/>
                <w:i/>
                <w:sz w:val="16"/>
                <w:szCs w:val="16"/>
                <w:lang w:eastAsia="en-US"/>
              </w:rPr>
              <w:t>Zdroj: OECD 2018</w:t>
            </w:r>
          </w:p>
          <w:p w:rsidR="003A497B" w:rsidRPr="00086A6E" w:rsidRDefault="003A497B" w:rsidP="003E1809">
            <w:pPr>
              <w:shd w:val="clear" w:color="auto" w:fill="FFFFFF" w:themeFill="background1"/>
              <w:spacing w:line="276" w:lineRule="auto"/>
              <w:rPr>
                <w:rFonts w:ascii="Times New Roman" w:eastAsiaTheme="minorHAnsi" w:hAnsi="Times New Roman" w:cs="Times New Roman"/>
                <w:i/>
                <w:sz w:val="16"/>
                <w:szCs w:val="16"/>
                <w:lang w:eastAsia="en-US"/>
              </w:rPr>
            </w:pPr>
            <w:r w:rsidRPr="00086A6E">
              <w:rPr>
                <w:rFonts w:ascii="Times New Roman" w:eastAsiaTheme="minorHAnsi" w:hAnsi="Times New Roman" w:cs="Times New Roman"/>
                <w:i/>
                <w:sz w:val="16"/>
                <w:szCs w:val="16"/>
                <w:lang w:eastAsia="en-US"/>
              </w:rPr>
              <w:t>* Krajiny s porovnateľným spôsobom vykazovania spotreby liekov ako používa Slovensko.</w:t>
            </w:r>
          </w:p>
        </w:tc>
      </w:tr>
    </w:tbl>
    <w:p w:rsidR="003A497B" w:rsidRPr="00086A6E" w:rsidRDefault="003A497B" w:rsidP="003A497B">
      <w:pPr>
        <w:rPr>
          <w:highlight w:val="yellow"/>
        </w:rPr>
      </w:pPr>
    </w:p>
    <w:p w:rsidR="003A497B" w:rsidRPr="00086A6E" w:rsidRDefault="003A497B" w:rsidP="003A497B">
      <w:pPr>
        <w:shd w:val="clear" w:color="auto" w:fill="FFFFFF" w:themeFill="background1"/>
        <w:spacing w:line="259" w:lineRule="auto"/>
        <w:ind w:firstLine="708"/>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 xml:space="preserve">Slovenská spotreba liekov je nižšia ako česká vo všetkých anatomicko-terapeutických (ATC) skupinách, okrem skupiny B – krv a J – antiinfektíva. Slovensko prevyšuje EÚ v spotrebe liekov vo všetkých anatomicko-terapeutických skupinách (ATC) okrem skupiny G – liekov na urogenitálny trakt a pohlavné hormóny </w:t>
      </w:r>
    </w:p>
    <w:p w:rsidR="003A497B" w:rsidRPr="00086A6E" w:rsidRDefault="003A497B" w:rsidP="003A497B">
      <w:pPr>
        <w:shd w:val="clear" w:color="auto" w:fill="FFFFFF" w:themeFill="background1"/>
        <w:spacing w:line="259" w:lineRule="auto"/>
        <w:ind w:firstLine="708"/>
        <w:jc w:val="both"/>
        <w:rPr>
          <w:rFonts w:ascii="Times New Roman" w:eastAsiaTheme="minorHAnsi" w:hAnsi="Times New Roman" w:cs="Times New Roman"/>
          <w:szCs w:val="22"/>
          <w:lang w:eastAsia="en-US"/>
        </w:rPr>
      </w:pPr>
    </w:p>
    <w:p w:rsidR="003A497B" w:rsidRPr="00086A6E" w:rsidRDefault="003A497B" w:rsidP="003A497B">
      <w:pPr>
        <w:shd w:val="clear" w:color="auto" w:fill="FFFFFF" w:themeFill="background1"/>
        <w:spacing w:line="259" w:lineRule="auto"/>
        <w:ind w:firstLine="708"/>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 xml:space="preserve">Elektronická preskripcia, ktorá je povinná od začiatku roka 2018, umožní kvalitnejší manažment liekov, ktoré pacient užíva a môže prispieť k zníženiu liekových interakciíí, duplicitného a prípadne aj podvodného predpisovaniu. Lieky predstavujú jednu z najnákladnejších častí zdravotnej starostlivosti. </w:t>
      </w:r>
      <w:r w:rsidRPr="00086A6E">
        <w:rPr>
          <w:rFonts w:ascii="Times New Roman" w:eastAsiaTheme="minorHAnsi" w:hAnsi="Times New Roman" w:cs="Times New Roman"/>
          <w:szCs w:val="22"/>
          <w:shd w:val="clear" w:color="auto" w:fill="FFFFFF" w:themeFill="background1"/>
          <w:lang w:eastAsia="en-US"/>
        </w:rPr>
        <w:t>Vďaka úsporným opatreniam poklesnú výdavky na lieky o 88 mil. eur v roku 2019, najmä vďaka revízii úhrad liekov</w:t>
      </w:r>
      <w:r w:rsidRPr="00086A6E">
        <w:rPr>
          <w:rFonts w:ascii="Times New Roman" w:eastAsiaTheme="minorHAnsi" w:hAnsi="Times New Roman" w:cs="Times New Roman"/>
          <w:szCs w:val="22"/>
          <w:lang w:eastAsia="en-US"/>
        </w:rPr>
        <w:t>. Na druhej strane sú kompenzované zvýšenými výdavkami vo výške 56 mil. eur.</w:t>
      </w:r>
    </w:p>
    <w:p w:rsidR="003A497B" w:rsidRPr="00086A6E" w:rsidRDefault="003A497B" w:rsidP="003A497B">
      <w:pPr>
        <w:shd w:val="clear" w:color="auto" w:fill="FFFFFF" w:themeFill="background1"/>
        <w:spacing w:line="259" w:lineRule="auto"/>
        <w:ind w:firstLine="708"/>
        <w:jc w:val="both"/>
        <w:rPr>
          <w:rFonts w:ascii="Times New Roman" w:eastAsiaTheme="minorHAnsi" w:hAnsi="Times New Roman" w:cs="Times New Roman"/>
          <w:szCs w:val="22"/>
          <w:lang w:eastAsia="en-US"/>
        </w:rPr>
      </w:pPr>
    </w:p>
    <w:p w:rsidR="003A497B" w:rsidRPr="00086A6E" w:rsidRDefault="003A497B" w:rsidP="003A497B">
      <w:pPr>
        <w:shd w:val="clear" w:color="auto" w:fill="FFFFFF" w:themeFill="background1"/>
        <w:spacing w:after="160" w:line="259" w:lineRule="auto"/>
        <w:ind w:firstLine="708"/>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Centrálny nákup liekov zdravotnými poisťovňami, prehodnotenie úhrad nákladovo neefektívnych liekov a zmluvy medzi poisťovňami a výrobcami liekov o zdieľaní nákladov a rizika predstavujú potenciál ďalších úspor, ktoré budú ďalej analyzované. Cieľom je zabezpečiť kvalitnú liečbu s ohľadom na hospodárne využívanie verejných zdrojov.</w:t>
      </w:r>
      <w:r w:rsidRPr="00086A6E">
        <w:rPr>
          <w:rFonts w:ascii="Times New Roman" w:eastAsiaTheme="majorEastAsia" w:hAnsi="Times New Roman" w:cs="Times New Roman"/>
          <w:b/>
          <w:szCs w:val="32"/>
          <w:lang w:eastAsia="en-US"/>
        </w:rPr>
        <w:t xml:space="preserve"> </w:t>
      </w:r>
    </w:p>
    <w:p w:rsidR="003A497B" w:rsidRPr="00086A6E" w:rsidRDefault="003A497B" w:rsidP="003A497B">
      <w:pPr>
        <w:rPr>
          <w:highlight w:val="yellow"/>
        </w:rPr>
      </w:pPr>
    </w:p>
    <w:p w:rsidR="003A497B" w:rsidRPr="00086A6E" w:rsidRDefault="003A497B" w:rsidP="003A497B">
      <w:pPr>
        <w:shd w:val="clear" w:color="auto" w:fill="FFFFFF" w:themeFill="background1"/>
        <w:spacing w:line="259" w:lineRule="auto"/>
        <w:jc w:val="both"/>
        <w:rPr>
          <w:rFonts w:ascii="Times New Roman" w:eastAsiaTheme="minorHAnsi" w:hAnsi="Times New Roman" w:cs="Times New Roman"/>
          <w:b/>
          <w:i/>
          <w:szCs w:val="22"/>
          <w:lang w:eastAsia="en-US"/>
        </w:rPr>
      </w:pPr>
      <w:r w:rsidRPr="00086A6E">
        <w:rPr>
          <w:rFonts w:ascii="Times New Roman" w:eastAsiaTheme="minorHAnsi" w:hAnsi="Times New Roman" w:cs="Times New Roman"/>
          <w:b/>
          <w:i/>
          <w:szCs w:val="22"/>
          <w:lang w:eastAsia="en-US"/>
        </w:rPr>
        <w:t>Opatrenia zvyšujúce výdavky</w:t>
      </w:r>
    </w:p>
    <w:p w:rsidR="003A497B" w:rsidRPr="00086A6E" w:rsidRDefault="003A497B" w:rsidP="003A497B">
      <w:pPr>
        <w:shd w:val="clear" w:color="auto" w:fill="FFFFFF" w:themeFill="background1"/>
        <w:spacing w:line="259" w:lineRule="auto"/>
        <w:jc w:val="both"/>
        <w:rPr>
          <w:rFonts w:ascii="Times New Roman" w:eastAsiaTheme="minorHAnsi" w:hAnsi="Times New Roman" w:cs="Times New Roman"/>
          <w:b/>
          <w:i/>
          <w:szCs w:val="22"/>
          <w:lang w:eastAsia="en-US"/>
        </w:rPr>
      </w:pPr>
    </w:p>
    <w:p w:rsidR="003A497B" w:rsidRPr="00086A6E" w:rsidRDefault="003A497B" w:rsidP="003A497B">
      <w:pPr>
        <w:numPr>
          <w:ilvl w:val="0"/>
          <w:numId w:val="17"/>
        </w:num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Úprava pravidiel úhrady liekov v zákone č. 363/2011 Z. z. o rozsahu a podmienkach úhrady liekov viedla k zvýšeniu dostupnosti liekov na zriedkavé ochorenia, s nákladmi vo výške 56 mil. eur v roku 2019. Aplikačná prax ukázala viaceré nedostatky, preto sa pripravuje novela zákona (v tabuľke zmien výdavkov ide o  č. 17.)</w:t>
      </w:r>
    </w:p>
    <w:p w:rsidR="003A497B" w:rsidRPr="00086A6E" w:rsidRDefault="003A497B" w:rsidP="003A497B">
      <w:pPr>
        <w:shd w:val="clear" w:color="auto" w:fill="FFFFFF" w:themeFill="background1"/>
        <w:spacing w:after="160" w:line="259" w:lineRule="auto"/>
        <w:contextualSpacing/>
        <w:jc w:val="both"/>
        <w:rPr>
          <w:rFonts w:ascii="Times New Roman" w:eastAsiaTheme="minorHAnsi" w:hAnsi="Times New Roman" w:cs="Times New Roman"/>
          <w:szCs w:val="22"/>
          <w:highlight w:val="yellow"/>
          <w:lang w:eastAsia="en-US"/>
        </w:rPr>
      </w:pPr>
    </w:p>
    <w:p w:rsidR="003A497B" w:rsidRPr="00086A6E" w:rsidRDefault="003A497B" w:rsidP="003A497B">
      <w:pPr>
        <w:shd w:val="clear" w:color="auto" w:fill="FFFFFF" w:themeFill="background1"/>
        <w:spacing w:after="160" w:line="259" w:lineRule="auto"/>
        <w:contextualSpacing/>
        <w:jc w:val="both"/>
        <w:rPr>
          <w:rFonts w:ascii="Times New Roman" w:eastAsiaTheme="minorHAnsi" w:hAnsi="Times New Roman" w:cs="Times New Roman"/>
          <w:b/>
          <w:i/>
          <w:szCs w:val="22"/>
          <w:lang w:eastAsia="en-US"/>
        </w:rPr>
      </w:pPr>
      <w:r w:rsidRPr="00086A6E">
        <w:rPr>
          <w:rFonts w:ascii="Times New Roman" w:eastAsiaTheme="minorHAnsi" w:hAnsi="Times New Roman" w:cs="Times New Roman"/>
          <w:b/>
          <w:i/>
          <w:szCs w:val="22"/>
          <w:lang w:eastAsia="en-US"/>
        </w:rPr>
        <w:t>Úsporné opatrenia</w:t>
      </w:r>
    </w:p>
    <w:p w:rsidR="003A497B" w:rsidRPr="00086A6E" w:rsidRDefault="003A497B" w:rsidP="003A497B">
      <w:pPr>
        <w:shd w:val="clear" w:color="auto" w:fill="FFFFFF" w:themeFill="background1"/>
        <w:spacing w:after="160" w:line="259" w:lineRule="auto"/>
        <w:contextualSpacing/>
        <w:jc w:val="both"/>
        <w:rPr>
          <w:rFonts w:ascii="Times New Roman" w:eastAsiaTheme="minorHAnsi" w:hAnsi="Times New Roman" w:cs="Times New Roman"/>
          <w:b/>
          <w:i/>
          <w:szCs w:val="22"/>
          <w:lang w:eastAsia="en-US"/>
        </w:rPr>
      </w:pPr>
    </w:p>
    <w:p w:rsidR="003A497B" w:rsidRPr="00086A6E" w:rsidRDefault="003A497B" w:rsidP="003A497B">
      <w:pPr>
        <w:numPr>
          <w:ilvl w:val="0"/>
          <w:numId w:val="17"/>
        </w:num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V roku 2017 došlo k úspore 22 mil. eur na spotrebe liekov na predpis. Zostáva priestor na zníženie predpisovania lekármi, ktorí dnes predpisujú výrazne viac liekov ako ostatní. Odhadované zníženie výdavkov o 30 mil. eur  v roku 2019, bude dosiahnuté súhrnom opatrení ako napríklad elektronická preskripcia (opatrenie č. 22).</w:t>
      </w:r>
    </w:p>
    <w:p w:rsidR="003A497B" w:rsidRPr="00086A6E" w:rsidRDefault="003A497B" w:rsidP="003A497B">
      <w:pPr>
        <w:numPr>
          <w:ilvl w:val="0"/>
          <w:numId w:val="17"/>
        </w:num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Zladenie</w:t>
      </w:r>
      <w:r w:rsidRPr="00086A6E">
        <w:rPr>
          <w:rFonts w:ascii="Times New Roman" w:hAnsi="Times New Roman" w:cs="Times New Roman"/>
        </w:rPr>
        <w:t xml:space="preserve"> </w:t>
      </w:r>
      <w:r w:rsidRPr="00086A6E">
        <w:rPr>
          <w:rFonts w:ascii="Times New Roman" w:eastAsiaTheme="minorHAnsi" w:hAnsi="Times New Roman" w:cs="Times New Roman"/>
          <w:szCs w:val="22"/>
          <w:lang w:eastAsia="en-US"/>
        </w:rPr>
        <w:t xml:space="preserve">úhrad liekov s platnými pravidlami v rámci kategorizácie prinesie pre zdroje VZP úsporu vo výške 50 mil. eur ročne. </w:t>
      </w:r>
      <w:r w:rsidRPr="00086A6E">
        <w:rPr>
          <w:rFonts w:ascii="Times New Roman" w:eastAsia="Calibri" w:hAnsi="Times New Roman" w:cs="Times New Roman"/>
          <w:szCs w:val="22"/>
          <w:lang w:eastAsia="en-US"/>
        </w:rPr>
        <w:t>Na základe konzultácie so Štátnym ústavom na kontrolu liečiv boli z odhadu úspory zámerne vyčlenené lieky, u ktorých existujú medicínske dôvody nemeniť liek, ktorý pacienti dlhodobo užívajú</w:t>
      </w:r>
      <w:r w:rsidRPr="00086A6E">
        <w:rPr>
          <w:rFonts w:ascii="Times New Roman" w:eastAsia="Calibri" w:hAnsi="Times New Roman" w:cs="Times New Roman"/>
          <w:szCs w:val="22"/>
          <w:vertAlign w:val="superscript"/>
          <w:lang w:eastAsia="en-US"/>
        </w:rPr>
        <w:footnoteReference w:id="21"/>
      </w:r>
      <w:r w:rsidRPr="00086A6E">
        <w:rPr>
          <w:rFonts w:ascii="Times New Roman" w:eastAsia="Calibri" w:hAnsi="Times New Roman" w:cs="Times New Roman"/>
          <w:szCs w:val="22"/>
          <w:lang w:eastAsia="en-US"/>
        </w:rPr>
        <w:t xml:space="preserve">. </w:t>
      </w:r>
      <w:r w:rsidRPr="00086A6E">
        <w:rPr>
          <w:rFonts w:ascii="Times New Roman" w:eastAsiaTheme="minorHAnsi" w:hAnsi="Times New Roman" w:cs="Times New Roman"/>
          <w:szCs w:val="22"/>
          <w:lang w:eastAsia="en-US"/>
        </w:rPr>
        <w:t xml:space="preserve">Výška úhrad mnohých liekov dnes v rozpore s legislatívou nie je stanovená na úrovni najlacnejšieho lieku v referenčnej skupine (č. 23). </w:t>
      </w:r>
    </w:p>
    <w:p w:rsidR="003A497B" w:rsidRPr="00086A6E" w:rsidRDefault="003A497B" w:rsidP="003A497B">
      <w:pPr>
        <w:numPr>
          <w:ilvl w:val="0"/>
          <w:numId w:val="17"/>
        </w:num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 xml:space="preserve">Pravidlá pre schvaľovanie liekov na výnimky zatiaľ neboli zavedené, úspora vo výške </w:t>
      </w:r>
      <w:r>
        <w:rPr>
          <w:rFonts w:ascii="Times New Roman" w:eastAsiaTheme="minorHAnsi" w:hAnsi="Times New Roman" w:cs="Times New Roman"/>
          <w:szCs w:val="22"/>
          <w:lang w:eastAsia="en-US"/>
        </w:rPr>
        <w:br/>
      </w:r>
      <w:r w:rsidRPr="00086A6E">
        <w:rPr>
          <w:rFonts w:ascii="Times New Roman" w:eastAsiaTheme="minorHAnsi" w:hAnsi="Times New Roman" w:cs="Times New Roman"/>
          <w:szCs w:val="22"/>
          <w:lang w:eastAsia="en-US"/>
        </w:rPr>
        <w:t xml:space="preserve">8 mil. eur bude dosiahnutá v roku 2019 (č.24). </w:t>
      </w:r>
    </w:p>
    <w:p w:rsidR="003A497B" w:rsidRPr="00086A6E" w:rsidRDefault="003A497B" w:rsidP="003A497B">
      <w:pPr>
        <w:shd w:val="clear" w:color="auto" w:fill="FFFFFF" w:themeFill="background1"/>
        <w:spacing w:after="160" w:line="259" w:lineRule="auto"/>
        <w:contextualSpacing/>
        <w:jc w:val="both"/>
        <w:rPr>
          <w:rFonts w:ascii="Times New Roman" w:eastAsiaTheme="minorHAnsi" w:hAnsi="Times New Roman" w:cs="Times New Roman"/>
          <w:b/>
          <w:i/>
          <w:szCs w:val="22"/>
          <w:highlight w:val="yellow"/>
          <w:lang w:eastAsia="en-US"/>
        </w:rPr>
      </w:pPr>
    </w:p>
    <w:p w:rsidR="003A497B" w:rsidRPr="00086A6E" w:rsidRDefault="003A497B" w:rsidP="003A497B">
      <w:pPr>
        <w:shd w:val="clear" w:color="auto" w:fill="FFFFFF" w:themeFill="background1"/>
        <w:spacing w:after="160" w:line="259" w:lineRule="auto"/>
        <w:contextualSpacing/>
        <w:jc w:val="both"/>
        <w:rPr>
          <w:rFonts w:ascii="Times New Roman" w:eastAsiaTheme="majorEastAsia" w:hAnsi="Times New Roman" w:cs="Times New Roman"/>
          <w:b/>
          <w:szCs w:val="32"/>
          <w:lang w:eastAsia="en-US"/>
        </w:rPr>
      </w:pPr>
      <w:r w:rsidRPr="00086A6E">
        <w:rPr>
          <w:rFonts w:ascii="Times New Roman" w:eastAsiaTheme="majorEastAsia" w:hAnsi="Times New Roman" w:cs="Times New Roman"/>
          <w:b/>
          <w:szCs w:val="32"/>
          <w:lang w:eastAsia="en-US"/>
        </w:rPr>
        <w:t>Zdravotnícke pomôcky a špeciálny zdravotnícky materiál</w:t>
      </w:r>
    </w:p>
    <w:p w:rsidR="003A497B" w:rsidRPr="00086A6E" w:rsidRDefault="003A497B" w:rsidP="003A497B">
      <w:p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p>
    <w:p w:rsidR="003A497B" w:rsidRPr="00086A6E" w:rsidRDefault="003A497B" w:rsidP="004650BC">
      <w:pPr>
        <w:shd w:val="clear" w:color="auto" w:fill="FFFFFF" w:themeFill="background1"/>
        <w:spacing w:after="160" w:line="259" w:lineRule="auto"/>
        <w:ind w:firstLine="708"/>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 xml:space="preserve">Referencovaním cien ŠZM a zdravotníckych pomôcok bude možné v roku 2019 ušetriť </w:t>
      </w:r>
      <w:r>
        <w:rPr>
          <w:rFonts w:ascii="Times New Roman" w:eastAsiaTheme="minorHAnsi" w:hAnsi="Times New Roman" w:cs="Times New Roman"/>
          <w:szCs w:val="22"/>
          <w:lang w:eastAsia="en-US"/>
        </w:rPr>
        <w:br/>
      </w:r>
      <w:r w:rsidRPr="00086A6E">
        <w:rPr>
          <w:rFonts w:ascii="Times New Roman" w:eastAsiaTheme="minorHAnsi" w:hAnsi="Times New Roman" w:cs="Times New Roman"/>
          <w:szCs w:val="22"/>
          <w:lang w:eastAsia="en-US"/>
        </w:rPr>
        <w:t xml:space="preserve">4 mil. eur. Ďalšie opatrenia sa prejavia až v roku 2020. </w:t>
      </w:r>
    </w:p>
    <w:p w:rsidR="003A497B" w:rsidRDefault="003A497B" w:rsidP="003A497B">
      <w:p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p>
    <w:p w:rsidR="003E1809" w:rsidRDefault="003E1809" w:rsidP="003A497B">
      <w:p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p>
    <w:p w:rsidR="003E1809" w:rsidRDefault="003E1809" w:rsidP="003A497B">
      <w:p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p>
    <w:p w:rsidR="003E1809" w:rsidRPr="00086A6E" w:rsidRDefault="003E1809" w:rsidP="003A497B">
      <w:p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p>
    <w:p w:rsidR="003A497B" w:rsidRPr="00086A6E" w:rsidRDefault="003A497B" w:rsidP="003A497B">
      <w:pPr>
        <w:shd w:val="clear" w:color="auto" w:fill="FFFFFF" w:themeFill="background1"/>
        <w:spacing w:after="160" w:line="259" w:lineRule="auto"/>
        <w:contextualSpacing/>
        <w:jc w:val="both"/>
        <w:rPr>
          <w:rFonts w:ascii="Times New Roman" w:eastAsiaTheme="minorHAnsi" w:hAnsi="Times New Roman" w:cs="Times New Roman"/>
          <w:b/>
          <w:i/>
          <w:szCs w:val="22"/>
          <w:lang w:eastAsia="en-US"/>
        </w:rPr>
      </w:pPr>
      <w:r w:rsidRPr="00086A6E">
        <w:rPr>
          <w:rFonts w:ascii="Times New Roman" w:eastAsiaTheme="minorHAnsi" w:hAnsi="Times New Roman" w:cs="Times New Roman"/>
          <w:b/>
          <w:i/>
          <w:szCs w:val="22"/>
          <w:lang w:eastAsia="en-US"/>
        </w:rPr>
        <w:lastRenderedPageBreak/>
        <w:t>Úsporné opatrenia</w:t>
      </w:r>
    </w:p>
    <w:p w:rsidR="003A497B" w:rsidRPr="00086A6E" w:rsidRDefault="003A497B" w:rsidP="003A497B">
      <w:pPr>
        <w:shd w:val="clear" w:color="auto" w:fill="FFFFFF" w:themeFill="background1"/>
        <w:spacing w:after="160" w:line="259" w:lineRule="auto"/>
        <w:ind w:left="360"/>
        <w:contextualSpacing/>
        <w:jc w:val="both"/>
        <w:rPr>
          <w:rFonts w:ascii="Times New Roman" w:eastAsiaTheme="minorHAnsi" w:hAnsi="Times New Roman" w:cs="Times New Roman"/>
          <w:szCs w:val="22"/>
          <w:lang w:eastAsia="en-US"/>
        </w:rPr>
      </w:pPr>
    </w:p>
    <w:p w:rsidR="003A497B" w:rsidRPr="00086A6E" w:rsidRDefault="003A497B" w:rsidP="003A497B">
      <w:pPr>
        <w:numPr>
          <w:ilvl w:val="0"/>
          <w:numId w:val="17"/>
        </w:num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Rozšírenie referencovania cien zdravotníckych pomôcok o ďalšie krajiny, povinnosti existencie úradne určenej ceny aspoň v dvoch členských štátoch EÚ a zavedenie kategorizácie pomôcok na mieru zníži po dosiahnutých úsporách v roku 2017 a 2018 náklady na zdravotnícke pomôcky o ďalšie 4 mil. EUR v roku 2019 (č. 25).</w:t>
      </w:r>
    </w:p>
    <w:p w:rsidR="003A497B" w:rsidRPr="00086A6E" w:rsidRDefault="003A497B" w:rsidP="003A497B">
      <w:pPr>
        <w:numPr>
          <w:ilvl w:val="0"/>
          <w:numId w:val="17"/>
        </w:num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 xml:space="preserve">Rozšírenie referencovania cien ŠZM o ďalšie krajiny prinesie úsporu 8 mil. eur </w:t>
      </w:r>
      <w:r w:rsidRPr="00086A6E">
        <w:rPr>
          <w:rFonts w:ascii="Times New Roman" w:hAnsi="Times New Roman" w:cs="Times New Roman"/>
        </w:rPr>
        <w:t>v roku 2019</w:t>
      </w:r>
      <w:r w:rsidRPr="00086A6E">
        <w:rPr>
          <w:rFonts w:ascii="Times New Roman" w:eastAsiaTheme="minorHAnsi" w:hAnsi="Times New Roman" w:cs="Times New Roman"/>
          <w:szCs w:val="22"/>
          <w:lang w:eastAsia="en-US"/>
        </w:rPr>
        <w:t>, ktorá sa prejaví vo výdavkoch nemocníc (č. 3</w:t>
      </w:r>
      <w:r>
        <w:rPr>
          <w:rFonts w:ascii="Times New Roman" w:eastAsiaTheme="minorHAnsi" w:hAnsi="Times New Roman" w:cs="Times New Roman"/>
          <w:szCs w:val="22"/>
          <w:lang w:eastAsia="en-US"/>
        </w:rPr>
        <w:t>0</w:t>
      </w:r>
      <w:r w:rsidRPr="00086A6E">
        <w:rPr>
          <w:rFonts w:ascii="Times New Roman" w:eastAsiaTheme="minorHAnsi" w:hAnsi="Times New Roman" w:cs="Times New Roman"/>
          <w:szCs w:val="22"/>
          <w:lang w:eastAsia="en-US"/>
        </w:rPr>
        <w:t>). Pre zmenu v spôsobe vykazovania ŠZM a iný spôsob odpočtu úspory je opatrenie z rok</w:t>
      </w:r>
      <w:r>
        <w:rPr>
          <w:rFonts w:ascii="Times New Roman" w:eastAsiaTheme="minorHAnsi" w:hAnsi="Times New Roman" w:cs="Times New Roman"/>
          <w:szCs w:val="22"/>
          <w:lang w:eastAsia="en-US"/>
        </w:rPr>
        <w:t>u 2018 uvádzané samostatne (č. 29</w:t>
      </w:r>
      <w:r w:rsidRPr="00086A6E">
        <w:rPr>
          <w:rFonts w:ascii="Times New Roman" w:eastAsiaTheme="minorHAnsi" w:hAnsi="Times New Roman" w:cs="Times New Roman"/>
          <w:szCs w:val="22"/>
          <w:lang w:eastAsia="en-US"/>
        </w:rPr>
        <w:t>).</w:t>
      </w:r>
    </w:p>
    <w:p w:rsidR="003A497B" w:rsidRPr="00086A6E" w:rsidRDefault="003A497B" w:rsidP="003A497B">
      <w:pPr>
        <w:numPr>
          <w:ilvl w:val="0"/>
          <w:numId w:val="17"/>
        </w:num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Zavedením základného funkčného typu</w:t>
      </w:r>
      <w:r w:rsidRPr="00086A6E">
        <w:rPr>
          <w:rFonts w:ascii="Times New Roman" w:eastAsiaTheme="minorHAnsi" w:hAnsi="Times New Roman" w:cs="Times New Roman"/>
          <w:szCs w:val="22"/>
          <w:vertAlign w:val="superscript"/>
          <w:lang w:eastAsia="en-US"/>
        </w:rPr>
        <w:footnoteReference w:id="22"/>
      </w:r>
      <w:r w:rsidRPr="00086A6E">
        <w:rPr>
          <w:rFonts w:ascii="Times New Roman" w:eastAsiaTheme="minorHAnsi" w:hAnsi="Times New Roman" w:cs="Times New Roman"/>
          <w:szCs w:val="22"/>
          <w:lang w:eastAsia="en-US"/>
        </w:rPr>
        <w:t xml:space="preserve"> ŠZM, vďaka ktorému dôjde k poklesu jednotkových úhrad, sa znížia náklady na špeciálny zdravotnícky materiál. Opatrenie bude realizované v roku 2020, predbežný odhad úspory je 20 mil. (č. 3</w:t>
      </w:r>
      <w:r>
        <w:rPr>
          <w:rFonts w:ascii="Times New Roman" w:eastAsiaTheme="minorHAnsi" w:hAnsi="Times New Roman" w:cs="Times New Roman"/>
          <w:szCs w:val="22"/>
          <w:lang w:eastAsia="en-US"/>
        </w:rPr>
        <w:t>1</w:t>
      </w:r>
      <w:r w:rsidRPr="00086A6E">
        <w:rPr>
          <w:rFonts w:ascii="Times New Roman" w:eastAsiaTheme="minorHAnsi" w:hAnsi="Times New Roman" w:cs="Times New Roman"/>
          <w:szCs w:val="22"/>
          <w:lang w:eastAsia="en-US"/>
        </w:rPr>
        <w:t>).</w:t>
      </w:r>
    </w:p>
    <w:p w:rsidR="003A497B" w:rsidRPr="00086A6E" w:rsidRDefault="003A497B" w:rsidP="003A497B">
      <w:pPr>
        <w:shd w:val="clear" w:color="auto" w:fill="FFFFFF" w:themeFill="background1"/>
        <w:spacing w:after="160" w:line="259" w:lineRule="auto"/>
        <w:ind w:left="360"/>
        <w:contextualSpacing/>
        <w:jc w:val="both"/>
        <w:rPr>
          <w:rFonts w:ascii="Times New Roman" w:eastAsiaTheme="minorHAnsi" w:hAnsi="Times New Roman" w:cs="Times New Roman"/>
          <w:szCs w:val="22"/>
          <w:highlight w:val="yellow"/>
          <w:lang w:eastAsia="en-US"/>
        </w:rPr>
      </w:pPr>
    </w:p>
    <w:p w:rsidR="003A497B" w:rsidRPr="00086A6E" w:rsidRDefault="003A497B" w:rsidP="003A497B">
      <w:pPr>
        <w:rPr>
          <w:rFonts w:ascii="Times New Roman" w:eastAsiaTheme="majorEastAsia" w:hAnsi="Times New Roman" w:cs="Times New Roman"/>
          <w:b/>
          <w:szCs w:val="32"/>
          <w:lang w:eastAsia="en-US"/>
        </w:rPr>
      </w:pPr>
      <w:bookmarkStart w:id="106" w:name="_Toc526178461"/>
      <w:r w:rsidRPr="00086A6E">
        <w:rPr>
          <w:rFonts w:ascii="Times New Roman" w:eastAsiaTheme="minorHAnsi" w:hAnsi="Times New Roman" w:cs="Times New Roman"/>
          <w:b/>
          <w:szCs w:val="22"/>
          <w:lang w:eastAsia="en-US"/>
        </w:rPr>
        <w:t>Ambulantná starostlivosť a spoločné vyšetrovacie a liečebné zložky</w:t>
      </w:r>
      <w:bookmarkEnd w:id="106"/>
    </w:p>
    <w:p w:rsidR="003A497B" w:rsidRPr="00086A6E" w:rsidRDefault="003A497B" w:rsidP="003A497B">
      <w:pPr>
        <w:rPr>
          <w:rFonts w:ascii="Times New Roman" w:eastAsiaTheme="majorEastAsia" w:hAnsi="Times New Roman" w:cs="Times New Roman"/>
          <w:b/>
          <w:szCs w:val="32"/>
          <w:lang w:eastAsia="en-US"/>
        </w:rPr>
      </w:pPr>
    </w:p>
    <w:p w:rsidR="003A497B" w:rsidRPr="00086A6E" w:rsidRDefault="003A497B" w:rsidP="003A497B">
      <w:pPr>
        <w:ind w:firstLine="708"/>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Pri spoločných vyšetrovacích a liečebných zložkách (SVLZ) dochádza k nadspotrebe z dôvodu indukovanej spotreby, defenzívnej preskripcie</w:t>
      </w:r>
      <w:r w:rsidRPr="00086A6E">
        <w:rPr>
          <w:rFonts w:ascii="Times New Roman" w:eastAsiaTheme="minorHAnsi" w:hAnsi="Times New Roman" w:cs="Times New Roman"/>
          <w:szCs w:val="22"/>
          <w:vertAlign w:val="superscript"/>
          <w:lang w:eastAsia="en-US"/>
        </w:rPr>
        <w:footnoteReference w:id="23"/>
      </w:r>
      <w:r w:rsidRPr="00086A6E">
        <w:rPr>
          <w:rFonts w:ascii="Times New Roman" w:eastAsiaTheme="minorHAnsi" w:hAnsi="Times New Roman" w:cs="Times New Roman"/>
          <w:szCs w:val="22"/>
          <w:lang w:eastAsia="en-US"/>
        </w:rPr>
        <w:t>, nedostatočného klinického vyšetrenia</w:t>
      </w:r>
      <w:r w:rsidRPr="00086A6E">
        <w:rPr>
          <w:rFonts w:ascii="Times New Roman" w:eastAsiaTheme="minorHAnsi" w:hAnsi="Times New Roman" w:cs="Times New Roman"/>
          <w:szCs w:val="22"/>
          <w:vertAlign w:val="superscript"/>
          <w:lang w:eastAsia="en-US"/>
        </w:rPr>
        <w:footnoteReference w:id="24"/>
      </w:r>
      <w:r w:rsidRPr="00086A6E">
        <w:rPr>
          <w:rFonts w:ascii="Times New Roman" w:eastAsiaTheme="minorHAnsi" w:hAnsi="Times New Roman" w:cs="Times New Roman"/>
          <w:szCs w:val="22"/>
          <w:lang w:eastAsia="en-US"/>
        </w:rPr>
        <w:t>,</w:t>
      </w:r>
      <w:r w:rsidRPr="00086A6E">
        <w:rPr>
          <w:rFonts w:ascii="Times New Roman" w:eastAsiaTheme="minorHAnsi" w:hAnsi="Times New Roman" w:cs="Times New Roman"/>
          <w:szCs w:val="22"/>
          <w:vertAlign w:val="superscript"/>
          <w:lang w:eastAsia="en-US"/>
        </w:rPr>
        <w:t xml:space="preserve"> </w:t>
      </w:r>
      <w:r w:rsidRPr="00086A6E">
        <w:rPr>
          <w:rFonts w:ascii="Times New Roman" w:eastAsiaTheme="minorHAnsi" w:hAnsi="Times New Roman" w:cs="Times New Roman"/>
          <w:szCs w:val="22"/>
          <w:lang w:eastAsia="en-US"/>
        </w:rPr>
        <w:t xml:space="preserve">či nezdieľania výsledkov vyšetrení najmä kvôli malej zainteresovanosti, ktorí vyšetrenia predpisujú, na nákladovej efektívnosti vyšetrení. </w:t>
      </w:r>
    </w:p>
    <w:p w:rsidR="003A497B" w:rsidRPr="00086A6E" w:rsidRDefault="003A497B" w:rsidP="003A497B">
      <w:pPr>
        <w:rPr>
          <w:highlight w:val="yellow"/>
        </w:rPr>
      </w:pPr>
    </w:p>
    <w:tbl>
      <w:tblPr>
        <w:tblW w:w="0" w:type="auto"/>
        <w:tblLayout w:type="fixed"/>
        <w:tblLook w:val="04A0" w:firstRow="1" w:lastRow="0" w:firstColumn="1" w:lastColumn="0" w:noHBand="0" w:noVBand="1"/>
      </w:tblPr>
      <w:tblGrid>
        <w:gridCol w:w="4203"/>
        <w:gridCol w:w="280"/>
        <w:gridCol w:w="4483"/>
      </w:tblGrid>
      <w:tr w:rsidR="003A497B" w:rsidRPr="00086A6E" w:rsidTr="003E1809">
        <w:trPr>
          <w:trHeight w:val="99"/>
        </w:trPr>
        <w:tc>
          <w:tcPr>
            <w:tcW w:w="4483" w:type="dxa"/>
            <w:gridSpan w:val="2"/>
            <w:tcBorders>
              <w:bottom w:val="single" w:sz="4" w:space="0" w:color="auto"/>
            </w:tcBorders>
            <w:shd w:val="clear" w:color="auto" w:fill="A6A6A6" w:themeFill="background1" w:themeFillShade="A6"/>
          </w:tcPr>
          <w:p w:rsidR="003A497B" w:rsidRPr="00086A6E" w:rsidRDefault="003A497B" w:rsidP="003E1809">
            <w:pPr>
              <w:keepNext/>
              <w:shd w:val="clear" w:color="auto" w:fill="FFFFFF" w:themeFill="background1"/>
              <w:jc w:val="both"/>
              <w:rPr>
                <w:rFonts w:ascii="Times New Roman" w:eastAsia="Arial" w:hAnsi="Times New Roman" w:cs="Times New Roman"/>
                <w:b/>
                <w:bCs/>
                <w:color w:val="000000"/>
                <w:sz w:val="16"/>
                <w:szCs w:val="19"/>
                <w:lang w:val="fr-FR" w:eastAsia="fr-FR" w:bidi="fr-FR"/>
              </w:rPr>
            </w:pPr>
            <w:r w:rsidRPr="00086A6E">
              <w:rPr>
                <w:rFonts w:ascii="Times New Roman" w:eastAsia="Arial" w:hAnsi="Times New Roman" w:cs="Times New Roman"/>
                <w:b/>
                <w:bCs/>
                <w:color w:val="000000"/>
                <w:sz w:val="16"/>
                <w:szCs w:val="19"/>
                <w:lang w:val="fr-FR" w:eastAsia="fr-FR" w:bidi="fr-FR"/>
              </w:rPr>
              <w:t>Graf: Vývoj počtu CT výkonov*</w:t>
            </w:r>
          </w:p>
        </w:tc>
        <w:tc>
          <w:tcPr>
            <w:tcW w:w="4483" w:type="dxa"/>
            <w:tcBorders>
              <w:bottom w:val="single" w:sz="4" w:space="0" w:color="auto"/>
            </w:tcBorders>
            <w:shd w:val="clear" w:color="auto" w:fill="A6A6A6" w:themeFill="background1" w:themeFillShade="A6"/>
          </w:tcPr>
          <w:p w:rsidR="003A497B" w:rsidRPr="00086A6E" w:rsidRDefault="003A497B" w:rsidP="003E1809">
            <w:pPr>
              <w:keepNext/>
              <w:shd w:val="clear" w:color="auto" w:fill="FFFFFF" w:themeFill="background1"/>
              <w:jc w:val="both"/>
              <w:rPr>
                <w:rFonts w:ascii="Times New Roman" w:eastAsia="Arial" w:hAnsi="Times New Roman" w:cs="Times New Roman"/>
                <w:b/>
                <w:bCs/>
                <w:color w:val="000000"/>
                <w:sz w:val="16"/>
                <w:szCs w:val="19"/>
                <w:lang w:val="fr-FR" w:eastAsia="fr-FR" w:bidi="fr-FR"/>
              </w:rPr>
            </w:pPr>
            <w:r w:rsidRPr="00086A6E">
              <w:rPr>
                <w:rFonts w:ascii="Times New Roman" w:eastAsia="Arial" w:hAnsi="Times New Roman" w:cs="Times New Roman"/>
                <w:b/>
                <w:bCs/>
                <w:color w:val="000000"/>
                <w:sz w:val="16"/>
                <w:szCs w:val="19"/>
                <w:lang w:val="fr-FR" w:eastAsia="fr-FR" w:bidi="fr-FR"/>
              </w:rPr>
              <w:t>Graf: Vývoj počtu MR výkonov</w:t>
            </w:r>
          </w:p>
        </w:tc>
      </w:tr>
      <w:tr w:rsidR="003A497B" w:rsidRPr="00086A6E" w:rsidTr="003E1809">
        <w:tblPrEx>
          <w:tblCellMar>
            <w:left w:w="70" w:type="dxa"/>
            <w:right w:w="70" w:type="dxa"/>
          </w:tblCellMar>
        </w:tblPrEx>
        <w:trPr>
          <w:trHeight w:val="1699"/>
        </w:trPr>
        <w:tc>
          <w:tcPr>
            <w:tcW w:w="4483" w:type="dxa"/>
            <w:gridSpan w:val="2"/>
            <w:tcBorders>
              <w:top w:val="single" w:sz="4" w:space="0" w:color="auto"/>
              <w:bottom w:val="single" w:sz="4" w:space="0" w:color="auto"/>
            </w:tcBorders>
          </w:tcPr>
          <w:p w:rsidR="003A497B" w:rsidRPr="00086A6E" w:rsidRDefault="003A497B" w:rsidP="003E1809">
            <w:pPr>
              <w:shd w:val="clear" w:color="auto" w:fill="FFFFFF" w:themeFill="background1"/>
              <w:jc w:val="both"/>
              <w:rPr>
                <w:rFonts w:ascii="Times New Roman" w:eastAsiaTheme="minorHAnsi" w:hAnsi="Times New Roman" w:cs="Times New Roman"/>
                <w:sz w:val="22"/>
                <w:szCs w:val="22"/>
                <w:lang w:val="en-US" w:eastAsia="en-US"/>
              </w:rPr>
            </w:pPr>
            <w:r w:rsidRPr="00086A6E">
              <w:rPr>
                <w:rFonts w:ascii="Times New Roman" w:hAnsi="Times New Roman" w:cs="Times New Roman"/>
                <w:noProof/>
                <w:lang w:eastAsia="sk-SK"/>
              </w:rPr>
              <w:t xml:space="preserve"> </w:t>
            </w:r>
            <w:r w:rsidRPr="00086A6E">
              <w:rPr>
                <w:rFonts w:ascii="Times New Roman" w:hAnsi="Times New Roman" w:cs="Times New Roman"/>
                <w:noProof/>
                <w:lang w:eastAsia="sk-SK"/>
              </w:rPr>
              <w:drawing>
                <wp:inline distT="0" distB="0" distL="0" distR="0" wp14:anchorId="34F67F03" wp14:editId="6F735687">
                  <wp:extent cx="2757805" cy="1862571"/>
                  <wp:effectExtent l="0" t="0" r="4445" b="4445"/>
                  <wp:docPr id="23" name="Graf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483" w:type="dxa"/>
            <w:tcBorders>
              <w:top w:val="single" w:sz="4" w:space="0" w:color="auto"/>
              <w:bottom w:val="single" w:sz="4" w:space="0" w:color="auto"/>
            </w:tcBorders>
          </w:tcPr>
          <w:p w:rsidR="003A497B" w:rsidRPr="00086A6E" w:rsidRDefault="003A497B" w:rsidP="003E1809">
            <w:pPr>
              <w:shd w:val="clear" w:color="auto" w:fill="FFFFFF" w:themeFill="background1"/>
              <w:jc w:val="both"/>
              <w:rPr>
                <w:rFonts w:ascii="Times New Roman" w:eastAsiaTheme="minorHAnsi" w:hAnsi="Times New Roman" w:cs="Times New Roman"/>
                <w:noProof/>
                <w:sz w:val="22"/>
                <w:szCs w:val="22"/>
                <w:lang w:val="en-US" w:eastAsia="en-US"/>
              </w:rPr>
            </w:pPr>
            <w:r w:rsidRPr="00086A6E">
              <w:rPr>
                <w:rFonts w:ascii="Times New Roman" w:hAnsi="Times New Roman" w:cs="Times New Roman"/>
                <w:noProof/>
                <w:lang w:eastAsia="sk-SK"/>
              </w:rPr>
              <w:t xml:space="preserve"> </w:t>
            </w:r>
            <w:r w:rsidRPr="00086A6E">
              <w:rPr>
                <w:rFonts w:ascii="Times New Roman" w:hAnsi="Times New Roman" w:cs="Times New Roman"/>
                <w:noProof/>
                <w:lang w:eastAsia="sk-SK"/>
              </w:rPr>
              <w:drawing>
                <wp:inline distT="0" distB="0" distL="0" distR="0" wp14:anchorId="36CB5AFA" wp14:editId="326DEBE2">
                  <wp:extent cx="2757805" cy="1946564"/>
                  <wp:effectExtent l="0" t="0" r="4445" b="0"/>
                  <wp:docPr id="30" name="Graf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3A497B" w:rsidRPr="00086A6E" w:rsidTr="003E1809">
        <w:trPr>
          <w:trHeight w:val="141"/>
        </w:trPr>
        <w:tc>
          <w:tcPr>
            <w:tcW w:w="4203" w:type="dxa"/>
            <w:tcBorders>
              <w:top w:val="single" w:sz="4" w:space="0" w:color="auto"/>
            </w:tcBorders>
          </w:tcPr>
          <w:p w:rsidR="003A497B" w:rsidRPr="00086A6E" w:rsidRDefault="003A497B" w:rsidP="003E1809">
            <w:pPr>
              <w:shd w:val="clear" w:color="auto" w:fill="FFFFFF" w:themeFill="background1"/>
              <w:jc w:val="right"/>
              <w:rPr>
                <w:rFonts w:ascii="Times New Roman" w:eastAsiaTheme="minorHAnsi" w:hAnsi="Times New Roman" w:cs="Times New Roman"/>
                <w:i/>
                <w:sz w:val="16"/>
                <w:szCs w:val="16"/>
                <w:lang w:val="en-US" w:eastAsia="en-US"/>
              </w:rPr>
            </w:pPr>
            <w:r w:rsidRPr="00086A6E">
              <w:rPr>
                <w:rFonts w:ascii="Times New Roman" w:eastAsiaTheme="minorHAnsi" w:hAnsi="Times New Roman" w:cs="Times New Roman"/>
                <w:i/>
                <w:sz w:val="16"/>
                <w:szCs w:val="16"/>
                <w:lang w:val="en-US" w:eastAsia="en-US"/>
              </w:rPr>
              <w:t>Zdroj: NCZI 2017</w:t>
            </w:r>
          </w:p>
          <w:p w:rsidR="003A497B" w:rsidRPr="00086A6E" w:rsidRDefault="003A497B" w:rsidP="003E1809">
            <w:pPr>
              <w:shd w:val="clear" w:color="auto" w:fill="FFFFFF" w:themeFill="background1"/>
              <w:rPr>
                <w:rFonts w:ascii="Times New Roman" w:eastAsiaTheme="minorHAnsi" w:hAnsi="Times New Roman" w:cs="Times New Roman"/>
                <w:i/>
                <w:sz w:val="16"/>
                <w:szCs w:val="16"/>
                <w:lang w:val="en-US" w:eastAsia="en-US"/>
              </w:rPr>
            </w:pPr>
            <w:r w:rsidRPr="00086A6E">
              <w:rPr>
                <w:rFonts w:ascii="Times New Roman" w:eastAsiaTheme="minorHAnsi" w:hAnsi="Times New Roman" w:cs="Times New Roman"/>
                <w:i/>
                <w:sz w:val="16"/>
                <w:szCs w:val="16"/>
                <w:lang w:eastAsia="en-US"/>
              </w:rPr>
              <w:t>* Celkový počet vyšetrení je nižší, keďže jedno vyšetrenie môže zahŕňať viac výkonov</w:t>
            </w:r>
          </w:p>
        </w:tc>
        <w:tc>
          <w:tcPr>
            <w:tcW w:w="4763" w:type="dxa"/>
            <w:gridSpan w:val="2"/>
            <w:tcBorders>
              <w:top w:val="single" w:sz="4" w:space="0" w:color="auto"/>
            </w:tcBorders>
          </w:tcPr>
          <w:p w:rsidR="003A497B" w:rsidRPr="00086A6E" w:rsidRDefault="003A497B" w:rsidP="003E1809">
            <w:pPr>
              <w:shd w:val="clear" w:color="auto" w:fill="FFFFFF" w:themeFill="background1"/>
              <w:jc w:val="right"/>
              <w:rPr>
                <w:rFonts w:ascii="Times New Roman" w:eastAsiaTheme="minorHAnsi" w:hAnsi="Times New Roman" w:cs="Times New Roman"/>
                <w:i/>
                <w:sz w:val="16"/>
                <w:szCs w:val="16"/>
                <w:lang w:val="en-US" w:eastAsia="en-US"/>
              </w:rPr>
            </w:pPr>
            <w:r w:rsidRPr="00086A6E">
              <w:rPr>
                <w:rFonts w:ascii="Times New Roman" w:eastAsiaTheme="minorHAnsi" w:hAnsi="Times New Roman" w:cs="Times New Roman"/>
                <w:i/>
                <w:sz w:val="16"/>
                <w:szCs w:val="16"/>
                <w:lang w:val="en-US" w:eastAsia="en-US"/>
              </w:rPr>
              <w:t>Zdroj: NCZI 2017</w:t>
            </w:r>
          </w:p>
        </w:tc>
      </w:tr>
      <w:tr w:rsidR="003A497B" w:rsidRPr="00086A6E" w:rsidTr="003E1809">
        <w:trPr>
          <w:trHeight w:val="141"/>
        </w:trPr>
        <w:tc>
          <w:tcPr>
            <w:tcW w:w="8966" w:type="dxa"/>
            <w:gridSpan w:val="3"/>
            <w:vAlign w:val="center"/>
          </w:tcPr>
          <w:p w:rsidR="003A497B" w:rsidRPr="00086A6E" w:rsidRDefault="003A497B" w:rsidP="003E1809">
            <w:pPr>
              <w:shd w:val="clear" w:color="auto" w:fill="FFFFFF" w:themeFill="background1"/>
              <w:rPr>
                <w:rFonts w:ascii="Times New Roman" w:eastAsiaTheme="minorHAnsi" w:hAnsi="Times New Roman" w:cs="Times New Roman"/>
                <w:i/>
                <w:sz w:val="16"/>
                <w:szCs w:val="16"/>
                <w:lang w:eastAsia="en-US"/>
              </w:rPr>
            </w:pPr>
          </w:p>
        </w:tc>
      </w:tr>
    </w:tbl>
    <w:p w:rsidR="003A497B" w:rsidRPr="00086A6E" w:rsidRDefault="003A497B" w:rsidP="003A497B">
      <w:pPr>
        <w:shd w:val="clear" w:color="auto" w:fill="FFFFFF" w:themeFill="background1"/>
        <w:spacing w:after="160" w:line="259" w:lineRule="auto"/>
        <w:ind w:firstLine="708"/>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Zníženie jednotkových cien a zmluvných objemov CT a MR vyšetrení zdravotnými poisťovňami bude pokračovať postupne, po dobiehaní starších, menej výhodných zmlúv s poskytovateľmi výkonov, v roku 2020.</w:t>
      </w:r>
    </w:p>
    <w:p w:rsidR="003A497B" w:rsidRDefault="003A497B" w:rsidP="003A497B">
      <w:pPr>
        <w:shd w:val="clear" w:color="auto" w:fill="FFFFFF" w:themeFill="background1"/>
        <w:spacing w:after="160" w:line="259" w:lineRule="auto"/>
        <w:ind w:firstLine="708"/>
        <w:contextualSpacing/>
        <w:jc w:val="both"/>
        <w:rPr>
          <w:rFonts w:ascii="Times New Roman" w:eastAsiaTheme="minorHAnsi" w:hAnsi="Times New Roman" w:cs="Times New Roman"/>
          <w:szCs w:val="22"/>
          <w:lang w:eastAsia="en-US"/>
        </w:rPr>
      </w:pPr>
    </w:p>
    <w:p w:rsidR="003A497B" w:rsidRPr="00086A6E" w:rsidRDefault="003A497B" w:rsidP="003A497B">
      <w:pPr>
        <w:shd w:val="clear" w:color="auto" w:fill="FFFFFF" w:themeFill="background1"/>
        <w:spacing w:after="160" w:line="259" w:lineRule="auto"/>
        <w:ind w:firstLine="708"/>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V roku 2018 došlo k úspore 2 mil. eur v nadspotrebe SVLZ. Elektronická preskripcia vyšetrení môže, podobne ako pri liekoch, viesť k zníženiu variability v predpisovaní lekárov. Možnosti zníženia výdavkov a nadspotreby budú ďalej analyzované v priebehu roka 2019, vrátane zavedenia limitov na SVLZ pre všeobecnú a špecializovanú ambulantnú starostlivosť, ktoré boli pôvodne dohodnuté v revízii výdavkov z roku 2018.</w:t>
      </w:r>
    </w:p>
    <w:p w:rsidR="003A497B" w:rsidRPr="00086A6E" w:rsidRDefault="003A497B" w:rsidP="003A497B">
      <w:pPr>
        <w:shd w:val="clear" w:color="auto" w:fill="FFFFFF" w:themeFill="background1"/>
        <w:spacing w:line="259" w:lineRule="auto"/>
        <w:jc w:val="both"/>
        <w:rPr>
          <w:rFonts w:ascii="Times New Roman" w:eastAsiaTheme="minorHAnsi" w:hAnsi="Times New Roman" w:cs="Times New Roman"/>
          <w:b/>
          <w:i/>
          <w:szCs w:val="22"/>
          <w:lang w:eastAsia="en-US"/>
        </w:rPr>
      </w:pPr>
      <w:r w:rsidRPr="00086A6E">
        <w:rPr>
          <w:rFonts w:ascii="Times New Roman" w:eastAsiaTheme="minorHAnsi" w:hAnsi="Times New Roman" w:cs="Times New Roman"/>
          <w:b/>
          <w:i/>
          <w:szCs w:val="22"/>
          <w:lang w:eastAsia="en-US"/>
        </w:rPr>
        <w:lastRenderedPageBreak/>
        <w:t>Opatrenia zvyšujúce výdavky</w:t>
      </w:r>
    </w:p>
    <w:p w:rsidR="003A497B" w:rsidRPr="00086A6E" w:rsidRDefault="003A497B" w:rsidP="003A497B">
      <w:pPr>
        <w:shd w:val="clear" w:color="auto" w:fill="FFFFFF" w:themeFill="background1"/>
        <w:spacing w:line="259" w:lineRule="auto"/>
        <w:jc w:val="both"/>
        <w:rPr>
          <w:rFonts w:ascii="Times New Roman" w:eastAsiaTheme="minorHAnsi" w:hAnsi="Times New Roman" w:cs="Times New Roman"/>
          <w:b/>
          <w:i/>
          <w:sz w:val="22"/>
          <w:szCs w:val="22"/>
          <w:lang w:eastAsia="en-US"/>
        </w:rPr>
      </w:pPr>
    </w:p>
    <w:p w:rsidR="003A497B" w:rsidRPr="00086A6E" w:rsidRDefault="003A497B" w:rsidP="003A497B">
      <w:pPr>
        <w:numPr>
          <w:ilvl w:val="0"/>
          <w:numId w:val="17"/>
        </w:num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 xml:space="preserve">Rast miezd nelekárskeho personálu v ambulantnej starostlivosti dosiahne 18 mil. eur a bude naviazaný na odmeňovanie za kvalitu výkonu (č. 11). </w:t>
      </w:r>
    </w:p>
    <w:p w:rsidR="003A497B" w:rsidRPr="00086A6E" w:rsidRDefault="003A497B" w:rsidP="003A497B">
      <w:pPr>
        <w:numPr>
          <w:ilvl w:val="0"/>
          <w:numId w:val="17"/>
        </w:num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 xml:space="preserve">Bonusy k platbám za výkon, motivujúce k optimálnemu využívaniu systému elektronického zdravotníctva, dosiahnu 2 mil. eur (č. 18). </w:t>
      </w:r>
    </w:p>
    <w:p w:rsidR="003A497B" w:rsidRPr="00086A6E" w:rsidRDefault="003A497B" w:rsidP="003A497B">
      <w:pPr>
        <w:numPr>
          <w:ilvl w:val="0"/>
          <w:numId w:val="17"/>
        </w:num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Skríningy v hodnote 5 mil. eur v roku 2019 zabezpečia skoršie odhalenie rakoviny (č. 8).</w:t>
      </w:r>
    </w:p>
    <w:p w:rsidR="003A497B" w:rsidRPr="00086A6E" w:rsidRDefault="003A497B" w:rsidP="003A497B">
      <w:pPr>
        <w:numPr>
          <w:ilvl w:val="0"/>
          <w:numId w:val="17"/>
        </w:num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 xml:space="preserve">Úprava financovania výkonov RTG zabezpečí hospodárnejšie využívanie tohto typu vyšetrení namiesto drahších CT a MR v prípade jednoduchších diagnóz a dosiahne </w:t>
      </w:r>
      <w:r>
        <w:rPr>
          <w:rFonts w:ascii="Times New Roman" w:eastAsiaTheme="minorHAnsi" w:hAnsi="Times New Roman" w:cs="Times New Roman"/>
          <w:szCs w:val="22"/>
          <w:lang w:eastAsia="en-US"/>
        </w:rPr>
        <w:br/>
      </w:r>
      <w:r w:rsidRPr="00086A6E">
        <w:rPr>
          <w:rFonts w:ascii="Times New Roman" w:eastAsiaTheme="minorHAnsi" w:hAnsi="Times New Roman" w:cs="Times New Roman"/>
          <w:szCs w:val="22"/>
          <w:lang w:eastAsia="en-US"/>
        </w:rPr>
        <w:t>5 mil. eur v roku 2019 (č. 9).</w:t>
      </w:r>
    </w:p>
    <w:p w:rsidR="003A497B" w:rsidRPr="00086A6E" w:rsidRDefault="003A497B" w:rsidP="003A497B">
      <w:pPr>
        <w:numPr>
          <w:ilvl w:val="0"/>
          <w:numId w:val="17"/>
        </w:num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Zazmluvnenie nových poskytovateľov SVLZ v hodnote 5 mil. eur v roku 2018, zlepší dostupnosť v regiónoch (č. 12).</w:t>
      </w:r>
    </w:p>
    <w:p w:rsidR="003A497B" w:rsidRPr="00086A6E" w:rsidRDefault="003A497B" w:rsidP="003A497B">
      <w:pPr>
        <w:shd w:val="clear" w:color="auto" w:fill="FFFFFF" w:themeFill="background1"/>
        <w:spacing w:line="259" w:lineRule="auto"/>
        <w:contextualSpacing/>
        <w:jc w:val="both"/>
        <w:rPr>
          <w:rFonts w:ascii="Times New Roman" w:eastAsiaTheme="minorHAnsi" w:hAnsi="Times New Roman" w:cs="Times New Roman"/>
          <w:szCs w:val="22"/>
          <w:highlight w:val="yellow"/>
          <w:u w:val="single"/>
          <w:lang w:eastAsia="en-US"/>
        </w:rPr>
      </w:pPr>
    </w:p>
    <w:p w:rsidR="003A497B" w:rsidRPr="00086A6E" w:rsidRDefault="003A497B" w:rsidP="003A497B">
      <w:pPr>
        <w:rPr>
          <w:rFonts w:ascii="Times New Roman" w:eastAsiaTheme="majorEastAsia" w:hAnsi="Times New Roman" w:cs="Times New Roman"/>
          <w:b/>
          <w:szCs w:val="32"/>
          <w:lang w:eastAsia="en-US"/>
        </w:rPr>
      </w:pPr>
      <w:bookmarkStart w:id="107" w:name="_Toc526178462"/>
      <w:r w:rsidRPr="00086A6E">
        <w:rPr>
          <w:rFonts w:ascii="Times New Roman" w:eastAsiaTheme="majorEastAsia" w:hAnsi="Times New Roman" w:cs="Times New Roman"/>
          <w:b/>
          <w:szCs w:val="32"/>
          <w:lang w:eastAsia="en-US"/>
        </w:rPr>
        <w:t>Ústavná starostlivosť</w:t>
      </w:r>
      <w:bookmarkEnd w:id="107"/>
    </w:p>
    <w:p w:rsidR="003A497B" w:rsidRPr="00086A6E" w:rsidRDefault="003A497B" w:rsidP="003A497B">
      <w:pPr>
        <w:shd w:val="clear" w:color="auto" w:fill="FFFFFF" w:themeFill="background1"/>
        <w:spacing w:line="259" w:lineRule="auto"/>
        <w:ind w:firstLine="708"/>
        <w:jc w:val="both"/>
        <w:rPr>
          <w:rFonts w:ascii="Times New Roman" w:eastAsiaTheme="minorHAnsi" w:hAnsi="Times New Roman" w:cs="Times New Roman"/>
          <w:lang w:eastAsia="en-US"/>
        </w:rPr>
      </w:pPr>
    </w:p>
    <w:p w:rsidR="003A497B" w:rsidRPr="00086A6E" w:rsidRDefault="003A497B" w:rsidP="003A497B">
      <w:pPr>
        <w:shd w:val="clear" w:color="auto" w:fill="FFFFFF" w:themeFill="background1"/>
        <w:spacing w:line="259" w:lineRule="auto"/>
        <w:ind w:firstLine="708"/>
        <w:jc w:val="both"/>
        <w:rPr>
          <w:rFonts w:ascii="Times New Roman" w:eastAsiaTheme="minorHAnsi" w:hAnsi="Times New Roman" w:cs="Times New Roman"/>
          <w:lang w:eastAsia="en-US"/>
        </w:rPr>
      </w:pPr>
      <w:r w:rsidRPr="00086A6E">
        <w:rPr>
          <w:rFonts w:ascii="Times New Roman" w:eastAsiaTheme="minorHAnsi" w:hAnsi="Times New Roman" w:cs="Times New Roman"/>
          <w:noProof/>
          <w:lang w:eastAsia="sk-SK"/>
        </w:rPr>
        <mc:AlternateContent>
          <mc:Choice Requires="wpi">
            <w:drawing>
              <wp:anchor distT="0" distB="0" distL="114300" distR="114300" simplePos="0" relativeHeight="251661312" behindDoc="0" locked="0" layoutInCell="1" allowOverlap="1" wp14:anchorId="3DFF0662" wp14:editId="7BA4A9CD">
                <wp:simplePos x="0" y="0"/>
                <wp:positionH relativeFrom="column">
                  <wp:posOffset>-1574630</wp:posOffset>
                </wp:positionH>
                <wp:positionV relativeFrom="paragraph">
                  <wp:posOffset>-832213</wp:posOffset>
                </wp:positionV>
                <wp:extent cx="273960" cy="2511360"/>
                <wp:effectExtent l="114300" t="209550" r="145415" b="213360"/>
                <wp:wrapNone/>
                <wp:docPr id="60" name="Písanie rukou 60"/>
                <wp:cNvGraphicFramePr/>
                <a:graphic xmlns:a="http://schemas.openxmlformats.org/drawingml/2006/main">
                  <a:graphicData uri="http://schemas.microsoft.com/office/word/2010/wordprocessingInk">
                    <w14:contentPart bwMode="auto" r:id="rId37">
                      <w14:nvContentPartPr>
                        <w14:cNvContentPartPr/>
                      </w14:nvContentPartPr>
                      <w14:xfrm>
                        <a:off x="0" y="0"/>
                        <a:ext cx="273960" cy="2511360"/>
                      </w14:xfrm>
                    </w14:contentPart>
                  </a:graphicData>
                </a:graphic>
              </wp:anchor>
            </w:drawing>
          </mc:Choice>
          <mc:Fallback>
            <w:pict>
              <v:shapetype w14:anchorId="3EB93B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ísanie rukou 60" o:spid="_x0000_s1026" type="#_x0000_t75" style="position:absolute;margin-left:-130.6pt;margin-top:-78.8pt;width:34.8pt;height:224.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">
                <v:imagedata r:id="rId38" o:title=""/>
              </v:shape>
            </w:pict>
          </mc:Fallback>
        </mc:AlternateContent>
      </w:r>
      <w:r w:rsidRPr="00086A6E">
        <w:rPr>
          <w:rFonts w:ascii="Times New Roman" w:eastAsiaTheme="minorHAnsi" w:hAnsi="Times New Roman" w:cs="Times New Roman"/>
          <w:lang w:eastAsia="en-US"/>
        </w:rPr>
        <w:t>V roku 2018 predstavilo MZ SR koncepciu stratifikácie nemocníc</w:t>
      </w:r>
      <w:r w:rsidRPr="00086A6E">
        <w:rPr>
          <w:rFonts w:ascii="Times New Roman" w:eastAsiaTheme="minorHAnsi" w:hAnsi="Times New Roman" w:cs="Times New Roman"/>
          <w:vertAlign w:val="superscript"/>
          <w:lang w:eastAsia="en-US"/>
        </w:rPr>
        <w:footnoteReference w:id="25"/>
      </w:r>
      <w:r w:rsidRPr="00086A6E">
        <w:rPr>
          <w:rFonts w:ascii="Times New Roman" w:eastAsiaTheme="minorHAnsi" w:hAnsi="Times New Roman" w:cs="Times New Roman"/>
          <w:lang w:eastAsia="en-US"/>
        </w:rPr>
        <w:t>, ktorej cieľom je do roku 2030 výrazne skvalitniť ústavnú zdravotnú starostlivosť. V súčasnosti existujú medzi nemocnicami veľké rozdiely v kvalite, nový projekt by mal zabezpečiť vyššiu úroveň starostlivosti vo všetkých nemocniciach.</w:t>
      </w:r>
    </w:p>
    <w:p w:rsidR="003A497B" w:rsidRPr="00086A6E" w:rsidRDefault="003A497B" w:rsidP="003A497B">
      <w:pPr>
        <w:shd w:val="clear" w:color="auto" w:fill="FFFFFF" w:themeFill="background1"/>
        <w:spacing w:line="259" w:lineRule="auto"/>
        <w:jc w:val="both"/>
        <w:rPr>
          <w:rFonts w:ascii="Times New Roman" w:eastAsiaTheme="minorHAnsi" w:hAnsi="Times New Roman" w:cs="Times New Roman"/>
          <w:highlight w:val="yellow"/>
          <w:lang w:eastAsia="en-US"/>
        </w:rPr>
      </w:pPr>
    </w:p>
    <w:p w:rsidR="003A497B" w:rsidRPr="00086A6E" w:rsidRDefault="003A497B" w:rsidP="003A497B">
      <w:pPr>
        <w:shd w:val="clear" w:color="auto" w:fill="FFFFFF" w:themeFill="background1"/>
        <w:spacing w:line="259" w:lineRule="auto"/>
        <w:ind w:firstLine="708"/>
        <w:jc w:val="both"/>
        <w:rPr>
          <w:rFonts w:ascii="Times New Roman" w:eastAsiaTheme="minorHAnsi" w:hAnsi="Times New Roman" w:cs="Times New Roman"/>
          <w:lang w:eastAsia="en-US"/>
        </w:rPr>
      </w:pPr>
      <w:r w:rsidRPr="00086A6E">
        <w:rPr>
          <w:rFonts w:ascii="Times New Roman" w:eastAsiaTheme="minorHAnsi" w:hAnsi="Times New Roman" w:cs="Times New Roman"/>
          <w:lang w:eastAsia="en-US"/>
        </w:rPr>
        <w:t>Popri kvalite plánuje MZ SR zefektívniť celú nemocničnú sieť bez negatívneho dopadu na dostupnosť pre pacientov v regiónoch. Podľa štúdie Slovensko v porovnaní s krajinami západnej Európy dlhodobo málo využíva akútne lôžka. Obsadenosť lôžok je o 10 % nižšia a priemerná dĺžka hospitalizácie je o 22 % vyššia. Navyše sa najmä v dôsledku starnutia obyvateľstva do roku 2030 zvýši dopyt po zdravotnej starostlivosti o takmer 18 %, čo pri súčasnom systéme iba zvýši náklady a záťaž na personál. Štúdia prináša nový model nemocničnej siete, ktorý kombinuje najlepšie znaky vybraných systémov nemocníc v západnej Európe a šetrí zdroje.</w:t>
      </w:r>
    </w:p>
    <w:p w:rsidR="003A497B" w:rsidRPr="00086A6E" w:rsidRDefault="003A497B" w:rsidP="003A497B">
      <w:pPr>
        <w:rPr>
          <w:highlight w:val="yellow"/>
        </w:rPr>
      </w:pPr>
    </w:p>
    <w:tbl>
      <w:tblPr>
        <w:tblW w:w="9075" w:type="dxa"/>
        <w:tblInd w:w="-5" w:type="dxa"/>
        <w:tblCellMar>
          <w:left w:w="70" w:type="dxa"/>
          <w:right w:w="70" w:type="dxa"/>
        </w:tblCellMar>
        <w:tblLook w:val="04A0" w:firstRow="1" w:lastRow="0" w:firstColumn="1" w:lastColumn="0" w:noHBand="0" w:noVBand="1"/>
      </w:tblPr>
      <w:tblGrid>
        <w:gridCol w:w="6223"/>
        <w:gridCol w:w="616"/>
        <w:gridCol w:w="745"/>
        <w:gridCol w:w="744"/>
        <w:gridCol w:w="747"/>
      </w:tblGrid>
      <w:tr w:rsidR="003A497B" w:rsidRPr="00086A6E" w:rsidTr="003E1809">
        <w:trPr>
          <w:trHeight w:hRule="exact" w:val="255"/>
        </w:trPr>
        <w:tc>
          <w:tcPr>
            <w:tcW w:w="9075" w:type="dxa"/>
            <w:gridSpan w:val="5"/>
            <w:tcBorders>
              <w:top w:val="single" w:sz="4" w:space="0" w:color="auto"/>
              <w:left w:val="single" w:sz="4" w:space="0" w:color="auto"/>
              <w:bottom w:val="nil"/>
              <w:right w:val="single" w:sz="4" w:space="0" w:color="000000"/>
            </w:tcBorders>
            <w:shd w:val="clear" w:color="000000" w:fill="BFBFBF"/>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Charakteristiky nemocničnej zdravotnej starostlivosti v rokoch 2017 a 2030  (2018)</w:t>
            </w:r>
          </w:p>
        </w:tc>
      </w:tr>
      <w:tr w:rsidR="003A497B" w:rsidRPr="00086A6E" w:rsidTr="003E1809">
        <w:trPr>
          <w:trHeight w:hRule="exact" w:val="255"/>
        </w:trPr>
        <w:tc>
          <w:tcPr>
            <w:tcW w:w="6223" w:type="dxa"/>
            <w:tcBorders>
              <w:top w:val="single" w:sz="4" w:space="0" w:color="auto"/>
              <w:left w:val="single" w:sz="4" w:space="0" w:color="auto"/>
              <w:bottom w:val="single" w:sz="4" w:space="0" w:color="auto"/>
              <w:right w:val="nil"/>
            </w:tcBorders>
            <w:shd w:val="clear" w:color="000000" w:fill="D9D9D9"/>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w:t>
            </w:r>
          </w:p>
        </w:tc>
        <w:tc>
          <w:tcPr>
            <w:tcW w:w="1361"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2017</w:t>
            </w:r>
          </w:p>
        </w:tc>
        <w:tc>
          <w:tcPr>
            <w:tcW w:w="1489"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3A497B" w:rsidRPr="00086A6E" w:rsidRDefault="003A497B" w:rsidP="003E1809">
            <w:pPr>
              <w:jc w:val="cente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2030</w:t>
            </w:r>
          </w:p>
        </w:tc>
      </w:tr>
      <w:tr w:rsidR="003A497B" w:rsidRPr="00086A6E" w:rsidTr="003E1809">
        <w:trPr>
          <w:trHeight w:hRule="exact" w:val="255"/>
        </w:trPr>
        <w:tc>
          <w:tcPr>
            <w:tcW w:w="6223" w:type="dxa"/>
            <w:tcBorders>
              <w:top w:val="nil"/>
              <w:left w:val="single" w:sz="4" w:space="0" w:color="auto"/>
              <w:bottom w:val="nil"/>
              <w:right w:val="single" w:sz="4" w:space="0" w:color="auto"/>
            </w:tcBorders>
            <w:shd w:val="clear" w:color="000000" w:fill="D9D9D9"/>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w:t>
            </w:r>
          </w:p>
        </w:tc>
        <w:tc>
          <w:tcPr>
            <w:tcW w:w="616" w:type="dxa"/>
            <w:tcBorders>
              <w:top w:val="nil"/>
              <w:left w:val="nil"/>
              <w:bottom w:val="nil"/>
              <w:right w:val="single" w:sz="4" w:space="0" w:color="auto"/>
            </w:tcBorders>
            <w:shd w:val="clear" w:color="000000" w:fill="D9D9D9"/>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xml:space="preserve">Krajiny </w:t>
            </w:r>
          </w:p>
        </w:tc>
        <w:tc>
          <w:tcPr>
            <w:tcW w:w="744" w:type="dxa"/>
            <w:tcBorders>
              <w:top w:val="nil"/>
              <w:left w:val="nil"/>
              <w:bottom w:val="nil"/>
              <w:right w:val="single" w:sz="4" w:space="0" w:color="auto"/>
            </w:tcBorders>
            <w:shd w:val="clear" w:color="000000" w:fill="D9D9D9"/>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Slovensko</w:t>
            </w:r>
          </w:p>
        </w:tc>
        <w:tc>
          <w:tcPr>
            <w:tcW w:w="744" w:type="dxa"/>
            <w:tcBorders>
              <w:top w:val="nil"/>
              <w:left w:val="nil"/>
              <w:bottom w:val="nil"/>
              <w:right w:val="single" w:sz="4" w:space="0" w:color="auto"/>
            </w:tcBorders>
            <w:shd w:val="clear" w:color="000000" w:fill="D9D9D9"/>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Slovensko</w:t>
            </w:r>
          </w:p>
        </w:tc>
        <w:tc>
          <w:tcPr>
            <w:tcW w:w="744" w:type="dxa"/>
            <w:tcBorders>
              <w:top w:val="nil"/>
              <w:left w:val="nil"/>
              <w:bottom w:val="nil"/>
              <w:right w:val="single" w:sz="4" w:space="0" w:color="auto"/>
            </w:tcBorders>
            <w:shd w:val="clear" w:color="000000" w:fill="D9D9D9"/>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Slovensko</w:t>
            </w:r>
          </w:p>
        </w:tc>
      </w:tr>
      <w:tr w:rsidR="003A497B" w:rsidRPr="00086A6E" w:rsidTr="003E1809">
        <w:trPr>
          <w:trHeight w:hRule="exact" w:val="302"/>
        </w:trPr>
        <w:tc>
          <w:tcPr>
            <w:tcW w:w="6223" w:type="dxa"/>
            <w:tcBorders>
              <w:top w:val="nil"/>
              <w:left w:val="single" w:sz="4" w:space="0" w:color="auto"/>
              <w:bottom w:val="single" w:sz="4" w:space="0" w:color="auto"/>
              <w:right w:val="single" w:sz="4" w:space="0" w:color="auto"/>
            </w:tcBorders>
            <w:shd w:val="clear" w:color="000000" w:fill="D9D9D9"/>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w:t>
            </w:r>
          </w:p>
        </w:tc>
        <w:tc>
          <w:tcPr>
            <w:tcW w:w="616" w:type="dxa"/>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Západ. Európy</w:t>
            </w:r>
          </w:p>
        </w:tc>
        <w:tc>
          <w:tcPr>
            <w:tcW w:w="744" w:type="dxa"/>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xml:space="preserve">Súčasný systém </w:t>
            </w:r>
          </w:p>
        </w:tc>
        <w:tc>
          <w:tcPr>
            <w:tcW w:w="744" w:type="dxa"/>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 xml:space="preserve">Súčasný systém </w:t>
            </w:r>
          </w:p>
        </w:tc>
        <w:tc>
          <w:tcPr>
            <w:tcW w:w="744" w:type="dxa"/>
            <w:tcBorders>
              <w:top w:val="nil"/>
              <w:left w:val="nil"/>
              <w:bottom w:val="single" w:sz="4" w:space="0" w:color="auto"/>
              <w:right w:val="single" w:sz="4" w:space="0" w:color="auto"/>
            </w:tcBorders>
            <w:shd w:val="clear" w:color="000000" w:fill="D9D9D9"/>
            <w:noWrap/>
            <w:vAlign w:val="bottom"/>
            <w:hideMark/>
          </w:tcPr>
          <w:p w:rsidR="003A497B" w:rsidRPr="00086A6E" w:rsidRDefault="003A497B" w:rsidP="003E1809">
            <w:pPr>
              <w:rPr>
                <w:rFonts w:ascii="Times New Roman" w:hAnsi="Times New Roman" w:cs="Times New Roman"/>
                <w:b/>
                <w:bCs/>
                <w:color w:val="000000"/>
                <w:sz w:val="14"/>
                <w:szCs w:val="14"/>
                <w:lang w:eastAsia="sk-SK"/>
              </w:rPr>
            </w:pPr>
            <w:r w:rsidRPr="00086A6E">
              <w:rPr>
                <w:rFonts w:ascii="Times New Roman" w:hAnsi="Times New Roman" w:cs="Times New Roman"/>
                <w:b/>
                <w:bCs/>
                <w:color w:val="000000"/>
                <w:sz w:val="14"/>
                <w:szCs w:val="14"/>
                <w:lang w:eastAsia="sk-SK"/>
              </w:rPr>
              <w:t>Nový model</w:t>
            </w:r>
          </w:p>
        </w:tc>
      </w:tr>
      <w:tr w:rsidR="003A497B" w:rsidRPr="00086A6E" w:rsidTr="003E1809">
        <w:trPr>
          <w:trHeight w:hRule="exact" w:val="255"/>
        </w:trPr>
        <w:tc>
          <w:tcPr>
            <w:tcW w:w="6223" w:type="dxa"/>
            <w:tcBorders>
              <w:top w:val="nil"/>
              <w:left w:val="single" w:sz="4" w:space="0" w:color="auto"/>
              <w:bottom w:val="single" w:sz="4" w:space="0" w:color="auto"/>
              <w:right w:val="single" w:sz="4" w:space="0" w:color="auto"/>
            </w:tcBorders>
            <w:shd w:val="clear" w:color="000000" w:fill="FFFFFF"/>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Počet pacientov, v mil.</w:t>
            </w:r>
          </w:p>
        </w:tc>
        <w:tc>
          <w:tcPr>
            <w:tcW w:w="616" w:type="dxa"/>
            <w:tcBorders>
              <w:top w:val="nil"/>
              <w:left w:val="nil"/>
              <w:bottom w:val="single" w:sz="4" w:space="0" w:color="auto"/>
              <w:right w:val="single" w:sz="4" w:space="0" w:color="auto"/>
            </w:tcBorders>
            <w:shd w:val="clear" w:color="000000" w:fill="FFFFFF"/>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w:t>
            </w:r>
          </w:p>
        </w:tc>
        <w:tc>
          <w:tcPr>
            <w:tcW w:w="744" w:type="dxa"/>
            <w:tcBorders>
              <w:top w:val="nil"/>
              <w:left w:val="nil"/>
              <w:bottom w:val="single" w:sz="4" w:space="0" w:color="auto"/>
              <w:right w:val="single" w:sz="4" w:space="0" w:color="auto"/>
            </w:tcBorders>
            <w:shd w:val="clear" w:color="000000" w:fill="FFFFFF"/>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w:t>
            </w:r>
          </w:p>
        </w:tc>
        <w:tc>
          <w:tcPr>
            <w:tcW w:w="744" w:type="dxa"/>
            <w:tcBorders>
              <w:top w:val="nil"/>
              <w:left w:val="nil"/>
              <w:bottom w:val="single" w:sz="4" w:space="0" w:color="auto"/>
              <w:right w:val="single" w:sz="4" w:space="0" w:color="auto"/>
            </w:tcBorders>
            <w:shd w:val="clear" w:color="000000" w:fill="FFFFFF"/>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1,2</w:t>
            </w:r>
          </w:p>
        </w:tc>
        <w:tc>
          <w:tcPr>
            <w:tcW w:w="744" w:type="dxa"/>
            <w:tcBorders>
              <w:top w:val="nil"/>
              <w:left w:val="nil"/>
              <w:bottom w:val="single" w:sz="4" w:space="0" w:color="auto"/>
              <w:right w:val="single" w:sz="4" w:space="0" w:color="auto"/>
            </w:tcBorders>
            <w:shd w:val="clear" w:color="000000" w:fill="FFFFFF"/>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1,2</w:t>
            </w:r>
          </w:p>
        </w:tc>
      </w:tr>
      <w:tr w:rsidR="003A497B" w:rsidRPr="00086A6E" w:rsidTr="003E1809">
        <w:trPr>
          <w:trHeight w:hRule="exact" w:val="255"/>
        </w:trPr>
        <w:tc>
          <w:tcPr>
            <w:tcW w:w="6223" w:type="dxa"/>
            <w:tcBorders>
              <w:top w:val="nil"/>
              <w:left w:val="single" w:sz="4" w:space="0" w:color="auto"/>
              <w:bottom w:val="single" w:sz="4" w:space="0" w:color="auto"/>
              <w:right w:val="single" w:sz="4" w:space="0" w:color="auto"/>
            </w:tcBorders>
            <w:shd w:val="clear" w:color="000000" w:fill="FFFFFF"/>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Počet lôžok</w:t>
            </w:r>
          </w:p>
        </w:tc>
        <w:tc>
          <w:tcPr>
            <w:tcW w:w="616" w:type="dxa"/>
            <w:tcBorders>
              <w:top w:val="nil"/>
              <w:left w:val="nil"/>
              <w:bottom w:val="single" w:sz="4" w:space="0" w:color="auto"/>
              <w:right w:val="single" w:sz="4" w:space="0" w:color="auto"/>
            </w:tcBorders>
            <w:shd w:val="clear" w:color="000000" w:fill="FFFFFF"/>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w:t>
            </w:r>
          </w:p>
        </w:tc>
        <w:tc>
          <w:tcPr>
            <w:tcW w:w="744" w:type="dxa"/>
            <w:tcBorders>
              <w:top w:val="nil"/>
              <w:left w:val="nil"/>
              <w:bottom w:val="single" w:sz="4" w:space="0" w:color="auto"/>
              <w:right w:val="single" w:sz="4" w:space="0" w:color="auto"/>
            </w:tcBorders>
            <w:shd w:val="clear" w:color="000000" w:fill="FFFFFF"/>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32 300</w:t>
            </w:r>
          </w:p>
        </w:tc>
        <w:tc>
          <w:tcPr>
            <w:tcW w:w="744" w:type="dxa"/>
            <w:tcBorders>
              <w:top w:val="nil"/>
              <w:left w:val="nil"/>
              <w:bottom w:val="single" w:sz="4" w:space="0" w:color="auto"/>
              <w:right w:val="single" w:sz="4" w:space="0" w:color="auto"/>
            </w:tcBorders>
            <w:shd w:val="clear" w:color="000000" w:fill="FFFFFF"/>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37 400</w:t>
            </w:r>
          </w:p>
        </w:tc>
        <w:tc>
          <w:tcPr>
            <w:tcW w:w="744" w:type="dxa"/>
            <w:tcBorders>
              <w:top w:val="nil"/>
              <w:left w:val="nil"/>
              <w:bottom w:val="single" w:sz="4" w:space="0" w:color="auto"/>
              <w:right w:val="single" w:sz="4" w:space="0" w:color="auto"/>
            </w:tcBorders>
            <w:shd w:val="clear" w:color="000000" w:fill="FFFFFF"/>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26 500</w:t>
            </w:r>
          </w:p>
        </w:tc>
      </w:tr>
      <w:tr w:rsidR="003A497B" w:rsidRPr="00086A6E" w:rsidTr="003E1809">
        <w:trPr>
          <w:trHeight w:hRule="exact" w:val="255"/>
        </w:trPr>
        <w:tc>
          <w:tcPr>
            <w:tcW w:w="6223" w:type="dxa"/>
            <w:tcBorders>
              <w:top w:val="nil"/>
              <w:left w:val="single" w:sz="4" w:space="0" w:color="auto"/>
              <w:bottom w:val="single" w:sz="4" w:space="0" w:color="auto"/>
              <w:right w:val="single" w:sz="4" w:space="0" w:color="auto"/>
            </w:tcBorders>
            <w:shd w:val="clear" w:color="000000" w:fill="FFFFFF"/>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Priemerná dĺžka hospitalizácie, v dňoch</w:t>
            </w:r>
          </w:p>
        </w:tc>
        <w:tc>
          <w:tcPr>
            <w:tcW w:w="616" w:type="dxa"/>
            <w:tcBorders>
              <w:top w:val="nil"/>
              <w:left w:val="nil"/>
              <w:bottom w:val="single" w:sz="4" w:space="0" w:color="auto"/>
              <w:right w:val="single" w:sz="4" w:space="0" w:color="auto"/>
            </w:tcBorders>
            <w:shd w:val="clear" w:color="000000" w:fill="FFFFFF"/>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6,5</w:t>
            </w:r>
          </w:p>
        </w:tc>
        <w:tc>
          <w:tcPr>
            <w:tcW w:w="744" w:type="dxa"/>
            <w:tcBorders>
              <w:top w:val="nil"/>
              <w:left w:val="nil"/>
              <w:bottom w:val="single" w:sz="4" w:space="0" w:color="auto"/>
              <w:right w:val="single" w:sz="4" w:space="0" w:color="auto"/>
            </w:tcBorders>
            <w:shd w:val="clear" w:color="000000" w:fill="FFFFFF"/>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8,3</w:t>
            </w:r>
          </w:p>
        </w:tc>
        <w:tc>
          <w:tcPr>
            <w:tcW w:w="744" w:type="dxa"/>
            <w:tcBorders>
              <w:top w:val="nil"/>
              <w:left w:val="nil"/>
              <w:bottom w:val="single" w:sz="4" w:space="0" w:color="auto"/>
              <w:right w:val="single" w:sz="4" w:space="0" w:color="auto"/>
            </w:tcBorders>
            <w:shd w:val="clear" w:color="000000" w:fill="FFFFFF"/>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8,3</w:t>
            </w:r>
          </w:p>
        </w:tc>
        <w:tc>
          <w:tcPr>
            <w:tcW w:w="744" w:type="dxa"/>
            <w:tcBorders>
              <w:top w:val="nil"/>
              <w:left w:val="nil"/>
              <w:bottom w:val="single" w:sz="4" w:space="0" w:color="auto"/>
              <w:right w:val="single" w:sz="4" w:space="0" w:color="auto"/>
            </w:tcBorders>
            <w:shd w:val="clear" w:color="000000" w:fill="FFFFFF"/>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6,5</w:t>
            </w:r>
          </w:p>
        </w:tc>
      </w:tr>
      <w:tr w:rsidR="003A497B" w:rsidRPr="00086A6E" w:rsidTr="003E1809">
        <w:trPr>
          <w:trHeight w:hRule="exact" w:val="255"/>
        </w:trPr>
        <w:tc>
          <w:tcPr>
            <w:tcW w:w="6223" w:type="dxa"/>
            <w:tcBorders>
              <w:top w:val="nil"/>
              <w:left w:val="single" w:sz="4" w:space="0" w:color="auto"/>
              <w:bottom w:val="single" w:sz="4" w:space="0" w:color="auto"/>
              <w:right w:val="single" w:sz="4" w:space="0" w:color="auto"/>
            </w:tcBorders>
            <w:shd w:val="clear" w:color="000000" w:fill="FFFFFF"/>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Obsadenosť lôžok</w:t>
            </w:r>
          </w:p>
        </w:tc>
        <w:tc>
          <w:tcPr>
            <w:tcW w:w="616" w:type="dxa"/>
            <w:tcBorders>
              <w:top w:val="nil"/>
              <w:left w:val="nil"/>
              <w:bottom w:val="single" w:sz="4" w:space="0" w:color="auto"/>
              <w:right w:val="single" w:sz="4" w:space="0" w:color="auto"/>
            </w:tcBorders>
            <w:shd w:val="clear" w:color="000000" w:fill="FFFFFF"/>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80%</w:t>
            </w:r>
          </w:p>
        </w:tc>
        <w:tc>
          <w:tcPr>
            <w:tcW w:w="744" w:type="dxa"/>
            <w:tcBorders>
              <w:top w:val="nil"/>
              <w:left w:val="nil"/>
              <w:bottom w:val="single" w:sz="4" w:space="0" w:color="auto"/>
              <w:right w:val="single" w:sz="4" w:space="0" w:color="auto"/>
            </w:tcBorders>
            <w:shd w:val="clear" w:color="000000" w:fill="FFFFFF"/>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72%</w:t>
            </w:r>
          </w:p>
        </w:tc>
        <w:tc>
          <w:tcPr>
            <w:tcW w:w="744" w:type="dxa"/>
            <w:tcBorders>
              <w:top w:val="nil"/>
              <w:left w:val="nil"/>
              <w:bottom w:val="single" w:sz="4" w:space="0" w:color="auto"/>
              <w:right w:val="single" w:sz="4" w:space="0" w:color="auto"/>
            </w:tcBorders>
            <w:shd w:val="clear" w:color="000000" w:fill="FFFFFF"/>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72%</w:t>
            </w:r>
          </w:p>
        </w:tc>
        <w:tc>
          <w:tcPr>
            <w:tcW w:w="744" w:type="dxa"/>
            <w:tcBorders>
              <w:top w:val="nil"/>
              <w:left w:val="nil"/>
              <w:bottom w:val="single" w:sz="4" w:space="0" w:color="auto"/>
              <w:right w:val="single" w:sz="4" w:space="0" w:color="auto"/>
            </w:tcBorders>
            <w:shd w:val="clear" w:color="000000" w:fill="FFFFFF"/>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80%</w:t>
            </w:r>
          </w:p>
        </w:tc>
      </w:tr>
      <w:tr w:rsidR="003A497B" w:rsidRPr="00086A6E" w:rsidTr="003E1809">
        <w:trPr>
          <w:trHeight w:hRule="exact" w:val="255"/>
        </w:trPr>
        <w:tc>
          <w:tcPr>
            <w:tcW w:w="6223" w:type="dxa"/>
            <w:tcBorders>
              <w:top w:val="nil"/>
              <w:left w:val="single" w:sz="4" w:space="0" w:color="auto"/>
              <w:bottom w:val="single" w:sz="4" w:space="0" w:color="auto"/>
              <w:right w:val="single" w:sz="4" w:space="0" w:color="auto"/>
            </w:tcBorders>
            <w:shd w:val="clear" w:color="000000" w:fill="FFFFFF"/>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Podiel obyvateľstva s dostupnosťou do 30 minút</w:t>
            </w:r>
          </w:p>
        </w:tc>
        <w:tc>
          <w:tcPr>
            <w:tcW w:w="616" w:type="dxa"/>
            <w:tcBorders>
              <w:top w:val="nil"/>
              <w:left w:val="nil"/>
              <w:bottom w:val="single" w:sz="4" w:space="0" w:color="auto"/>
              <w:right w:val="single" w:sz="4" w:space="0" w:color="auto"/>
            </w:tcBorders>
            <w:shd w:val="clear" w:color="000000" w:fill="FFFFFF"/>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86%</w:t>
            </w:r>
          </w:p>
        </w:tc>
        <w:tc>
          <w:tcPr>
            <w:tcW w:w="744" w:type="dxa"/>
            <w:tcBorders>
              <w:top w:val="nil"/>
              <w:left w:val="nil"/>
              <w:bottom w:val="single" w:sz="4" w:space="0" w:color="auto"/>
              <w:right w:val="single" w:sz="4" w:space="0" w:color="auto"/>
            </w:tcBorders>
            <w:shd w:val="clear" w:color="000000" w:fill="FFFFFF"/>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91%</w:t>
            </w:r>
          </w:p>
        </w:tc>
        <w:tc>
          <w:tcPr>
            <w:tcW w:w="744" w:type="dxa"/>
            <w:tcBorders>
              <w:top w:val="nil"/>
              <w:left w:val="nil"/>
              <w:bottom w:val="single" w:sz="4" w:space="0" w:color="auto"/>
              <w:right w:val="single" w:sz="4" w:space="0" w:color="auto"/>
            </w:tcBorders>
            <w:shd w:val="clear" w:color="000000" w:fill="FFFFFF"/>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91%</w:t>
            </w:r>
          </w:p>
        </w:tc>
        <w:tc>
          <w:tcPr>
            <w:tcW w:w="744" w:type="dxa"/>
            <w:tcBorders>
              <w:top w:val="nil"/>
              <w:left w:val="nil"/>
              <w:bottom w:val="single" w:sz="4" w:space="0" w:color="auto"/>
              <w:right w:val="single" w:sz="4" w:space="0" w:color="auto"/>
            </w:tcBorders>
            <w:shd w:val="clear" w:color="000000" w:fill="FFFFFF"/>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91%</w:t>
            </w:r>
          </w:p>
        </w:tc>
      </w:tr>
      <w:tr w:rsidR="003A497B" w:rsidRPr="00086A6E" w:rsidTr="003E1809">
        <w:trPr>
          <w:trHeight w:hRule="exact" w:val="255"/>
        </w:trPr>
        <w:tc>
          <w:tcPr>
            <w:tcW w:w="6223" w:type="dxa"/>
            <w:tcBorders>
              <w:top w:val="nil"/>
              <w:left w:val="single" w:sz="4" w:space="0" w:color="auto"/>
              <w:bottom w:val="single" w:sz="4" w:space="0" w:color="auto"/>
              <w:right w:val="single" w:sz="4" w:space="0" w:color="auto"/>
            </w:tcBorders>
            <w:shd w:val="clear" w:color="000000" w:fill="FFFFFF"/>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Počet lekárov na lôžko</w:t>
            </w:r>
          </w:p>
        </w:tc>
        <w:tc>
          <w:tcPr>
            <w:tcW w:w="616" w:type="dxa"/>
            <w:tcBorders>
              <w:top w:val="nil"/>
              <w:left w:val="nil"/>
              <w:bottom w:val="single" w:sz="4" w:space="0" w:color="auto"/>
              <w:right w:val="single" w:sz="4" w:space="0" w:color="auto"/>
            </w:tcBorders>
            <w:shd w:val="clear" w:color="000000" w:fill="FFFFFF"/>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0,31</w:t>
            </w:r>
          </w:p>
        </w:tc>
        <w:tc>
          <w:tcPr>
            <w:tcW w:w="744" w:type="dxa"/>
            <w:tcBorders>
              <w:top w:val="nil"/>
              <w:left w:val="nil"/>
              <w:bottom w:val="single" w:sz="4" w:space="0" w:color="auto"/>
              <w:right w:val="single" w:sz="4" w:space="0" w:color="auto"/>
            </w:tcBorders>
            <w:shd w:val="clear" w:color="000000" w:fill="FFFFFF"/>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0,2</w:t>
            </w:r>
          </w:p>
        </w:tc>
        <w:tc>
          <w:tcPr>
            <w:tcW w:w="744" w:type="dxa"/>
            <w:tcBorders>
              <w:top w:val="nil"/>
              <w:left w:val="nil"/>
              <w:bottom w:val="single" w:sz="4" w:space="0" w:color="auto"/>
              <w:right w:val="single" w:sz="4" w:space="0" w:color="auto"/>
            </w:tcBorders>
            <w:shd w:val="clear" w:color="000000" w:fill="FFFFFF"/>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0,18</w:t>
            </w:r>
          </w:p>
        </w:tc>
        <w:tc>
          <w:tcPr>
            <w:tcW w:w="744" w:type="dxa"/>
            <w:tcBorders>
              <w:top w:val="nil"/>
              <w:left w:val="nil"/>
              <w:bottom w:val="single" w:sz="4" w:space="0" w:color="auto"/>
              <w:right w:val="single" w:sz="4" w:space="0" w:color="auto"/>
            </w:tcBorders>
            <w:shd w:val="clear" w:color="000000" w:fill="FFFFFF"/>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0,24</w:t>
            </w:r>
          </w:p>
        </w:tc>
      </w:tr>
      <w:tr w:rsidR="003A497B" w:rsidRPr="00086A6E" w:rsidTr="003E1809">
        <w:trPr>
          <w:trHeight w:hRule="exact" w:val="255"/>
        </w:trPr>
        <w:tc>
          <w:tcPr>
            <w:tcW w:w="6223" w:type="dxa"/>
            <w:tcBorders>
              <w:top w:val="nil"/>
              <w:left w:val="single" w:sz="4" w:space="0" w:color="auto"/>
              <w:bottom w:val="single" w:sz="4" w:space="0" w:color="auto"/>
              <w:right w:val="single" w:sz="4" w:space="0" w:color="auto"/>
            </w:tcBorders>
            <w:shd w:val="clear" w:color="000000" w:fill="FFFFFF"/>
            <w:noWrap/>
            <w:vAlign w:val="center"/>
            <w:hideMark/>
          </w:tcPr>
          <w:p w:rsidR="003A497B" w:rsidRPr="00086A6E" w:rsidRDefault="003A497B" w:rsidP="003E1809">
            <w:pPr>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Počet sestier na lôžko</w:t>
            </w:r>
          </w:p>
        </w:tc>
        <w:tc>
          <w:tcPr>
            <w:tcW w:w="616" w:type="dxa"/>
            <w:tcBorders>
              <w:top w:val="nil"/>
              <w:left w:val="nil"/>
              <w:bottom w:val="single" w:sz="4" w:space="0" w:color="auto"/>
              <w:right w:val="single" w:sz="4" w:space="0" w:color="auto"/>
            </w:tcBorders>
            <w:shd w:val="clear" w:color="000000" w:fill="FFFFFF"/>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0,69</w:t>
            </w:r>
          </w:p>
        </w:tc>
        <w:tc>
          <w:tcPr>
            <w:tcW w:w="744" w:type="dxa"/>
            <w:tcBorders>
              <w:top w:val="nil"/>
              <w:left w:val="nil"/>
              <w:bottom w:val="single" w:sz="4" w:space="0" w:color="auto"/>
              <w:right w:val="single" w:sz="4" w:space="0" w:color="auto"/>
            </w:tcBorders>
            <w:shd w:val="clear" w:color="000000" w:fill="FFFFFF"/>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0,52</w:t>
            </w:r>
          </w:p>
        </w:tc>
        <w:tc>
          <w:tcPr>
            <w:tcW w:w="744" w:type="dxa"/>
            <w:tcBorders>
              <w:top w:val="nil"/>
              <w:left w:val="nil"/>
              <w:bottom w:val="single" w:sz="4" w:space="0" w:color="auto"/>
              <w:right w:val="single" w:sz="4" w:space="0" w:color="auto"/>
            </w:tcBorders>
            <w:shd w:val="clear" w:color="000000" w:fill="FFFFFF"/>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0,45</w:t>
            </w:r>
          </w:p>
        </w:tc>
        <w:tc>
          <w:tcPr>
            <w:tcW w:w="744" w:type="dxa"/>
            <w:tcBorders>
              <w:top w:val="nil"/>
              <w:left w:val="nil"/>
              <w:bottom w:val="single" w:sz="4" w:space="0" w:color="auto"/>
              <w:right w:val="single" w:sz="4" w:space="0" w:color="auto"/>
            </w:tcBorders>
            <w:shd w:val="clear" w:color="000000" w:fill="FFFFFF"/>
            <w:noWrap/>
            <w:vAlign w:val="center"/>
            <w:hideMark/>
          </w:tcPr>
          <w:p w:rsidR="003A497B" w:rsidRPr="00086A6E" w:rsidRDefault="003A497B" w:rsidP="003E1809">
            <w:pPr>
              <w:jc w:val="right"/>
              <w:rPr>
                <w:rFonts w:ascii="Times New Roman" w:hAnsi="Times New Roman" w:cs="Times New Roman"/>
                <w:color w:val="000000"/>
                <w:sz w:val="14"/>
                <w:szCs w:val="14"/>
                <w:lang w:eastAsia="sk-SK"/>
              </w:rPr>
            </w:pPr>
            <w:r w:rsidRPr="00086A6E">
              <w:rPr>
                <w:rFonts w:ascii="Times New Roman" w:hAnsi="Times New Roman" w:cs="Times New Roman"/>
                <w:color w:val="000000"/>
                <w:sz w:val="14"/>
                <w:szCs w:val="14"/>
                <w:lang w:eastAsia="sk-SK"/>
              </w:rPr>
              <w:t>0,61</w:t>
            </w:r>
          </w:p>
        </w:tc>
      </w:tr>
      <w:tr w:rsidR="003A497B" w:rsidRPr="00086A6E" w:rsidTr="003E1809">
        <w:trPr>
          <w:trHeight w:hRule="exact" w:val="255"/>
        </w:trPr>
        <w:tc>
          <w:tcPr>
            <w:tcW w:w="9075" w:type="dxa"/>
            <w:gridSpan w:val="5"/>
            <w:tcBorders>
              <w:top w:val="nil"/>
              <w:left w:val="nil"/>
              <w:bottom w:val="nil"/>
              <w:right w:val="nil"/>
            </w:tcBorders>
            <w:shd w:val="clear" w:color="000000" w:fill="FFFFFF"/>
            <w:vAlign w:val="center"/>
            <w:hideMark/>
          </w:tcPr>
          <w:p w:rsidR="003A497B" w:rsidRPr="00086A6E" w:rsidRDefault="003A497B" w:rsidP="003E1809">
            <w:pPr>
              <w:jc w:val="right"/>
              <w:rPr>
                <w:rFonts w:ascii="Times New Roman" w:hAnsi="Times New Roman" w:cs="Times New Roman"/>
                <w:i/>
                <w:iCs/>
                <w:color w:val="000000"/>
                <w:sz w:val="14"/>
                <w:szCs w:val="14"/>
                <w:lang w:eastAsia="sk-SK"/>
              </w:rPr>
            </w:pPr>
            <w:r w:rsidRPr="00086A6E">
              <w:rPr>
                <w:rFonts w:ascii="Times New Roman" w:hAnsi="Times New Roman" w:cs="Times New Roman"/>
                <w:i/>
                <w:iCs/>
                <w:color w:val="000000"/>
                <w:sz w:val="14"/>
                <w:szCs w:val="14"/>
                <w:lang w:eastAsia="sk-SK"/>
              </w:rPr>
              <w:t xml:space="preserve">Zdroj: OECD, Eurostat, MZ SR, BCG 2018, NCZI 2017 </w:t>
            </w:r>
          </w:p>
        </w:tc>
      </w:tr>
    </w:tbl>
    <w:p w:rsidR="003A497B" w:rsidRPr="00086A6E" w:rsidRDefault="003A497B" w:rsidP="003A497B">
      <w:pPr>
        <w:rPr>
          <w:highlight w:val="yellow"/>
        </w:rPr>
      </w:pPr>
    </w:p>
    <w:p w:rsidR="003A497B" w:rsidRPr="00086A6E" w:rsidRDefault="003A497B" w:rsidP="003A497B">
      <w:pPr>
        <w:shd w:val="clear" w:color="auto" w:fill="FFFFFF" w:themeFill="background1"/>
        <w:spacing w:line="259" w:lineRule="auto"/>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lang w:eastAsia="en-US"/>
        </w:rPr>
        <w:t>Zefektívnenie nemocníc môže viesť k transformácii až 5 600 lôžok, uvoľneniu priestorových a personálnych kapacít, medicínskych a prevádzkových zdrojov. Tie môžu byť lepšie využité v ambulantnej starostlivosti, jednodňovej chirurgii, dopravnej službe a najmä v dlhodobej starostlivosti, ktorej potreba v ďalších rokoch výrazne porastie kvôli starnutiu obyvateľstva.</w:t>
      </w:r>
    </w:p>
    <w:p w:rsidR="003A497B" w:rsidRPr="00086A6E" w:rsidRDefault="003A497B" w:rsidP="003A497B">
      <w:pPr>
        <w:shd w:val="clear" w:color="auto" w:fill="FFFFFF" w:themeFill="background1"/>
        <w:spacing w:after="160" w:line="259" w:lineRule="auto"/>
        <w:contextualSpacing/>
        <w:jc w:val="both"/>
        <w:rPr>
          <w:rFonts w:ascii="Times New Roman" w:eastAsiaTheme="minorHAnsi" w:hAnsi="Times New Roman" w:cs="Times New Roman"/>
          <w:szCs w:val="22"/>
          <w:highlight w:val="yellow"/>
          <w:lang w:eastAsia="en-US"/>
        </w:rPr>
      </w:pPr>
    </w:p>
    <w:p w:rsidR="003A497B" w:rsidRPr="00086A6E" w:rsidRDefault="003A497B" w:rsidP="007C4968">
      <w:pPr>
        <w:shd w:val="clear" w:color="auto" w:fill="FFFFFF" w:themeFill="background1"/>
        <w:spacing w:after="160" w:line="259" w:lineRule="auto"/>
        <w:ind w:firstLine="708"/>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shd w:val="clear" w:color="auto" w:fill="FFFFFF" w:themeFill="background1"/>
          <w:lang w:eastAsia="en-US"/>
        </w:rPr>
        <w:t>Očakáva sa ďalšie zefektívnenie hospodárenia štátnych nemocníc,</w:t>
      </w:r>
      <w:r w:rsidRPr="00086A6E">
        <w:rPr>
          <w:rFonts w:ascii="Times New Roman" w:eastAsiaTheme="minorHAnsi" w:hAnsi="Times New Roman" w:cs="Times New Roman"/>
          <w:szCs w:val="22"/>
          <w:lang w:eastAsia="en-US"/>
        </w:rPr>
        <w:t xml:space="preserve"> ktoré prispeje k zastaveniu zadlžovania a vytvorí priestor pre investície. Úsporu na hospodárnom obstarávaní zdravotníckej techniky sa v roku 2017 podarilo naplniť, v roku 2019 z neho neplynú ďalšie úspory. Úlohou MZ SR zostáva pravidelná aktualizácia databázy nákupných cien a vydanie súhlasného stanoviska s nákupom pred uzatvorením zmluvy.</w:t>
      </w:r>
    </w:p>
    <w:p w:rsidR="003A497B" w:rsidRPr="00086A6E" w:rsidRDefault="003A497B" w:rsidP="003A497B">
      <w:pPr>
        <w:shd w:val="clear" w:color="auto" w:fill="FFFFFF" w:themeFill="background1"/>
        <w:spacing w:line="259" w:lineRule="auto"/>
        <w:jc w:val="both"/>
        <w:rPr>
          <w:rFonts w:ascii="Times New Roman" w:eastAsiaTheme="minorHAnsi" w:hAnsi="Times New Roman" w:cs="Times New Roman"/>
          <w:b/>
          <w:i/>
          <w:highlight w:val="yellow"/>
          <w:lang w:eastAsia="en-US"/>
        </w:rPr>
      </w:pPr>
    </w:p>
    <w:p w:rsidR="003A497B" w:rsidRPr="00086A6E" w:rsidRDefault="003A497B" w:rsidP="003A497B">
      <w:pPr>
        <w:shd w:val="clear" w:color="auto" w:fill="FFFFFF" w:themeFill="background1"/>
        <w:spacing w:line="259" w:lineRule="auto"/>
        <w:jc w:val="both"/>
        <w:rPr>
          <w:rFonts w:ascii="Times New Roman" w:eastAsiaTheme="minorHAnsi" w:hAnsi="Times New Roman" w:cs="Times New Roman"/>
          <w:b/>
          <w:i/>
          <w:szCs w:val="22"/>
          <w:lang w:eastAsia="en-US"/>
        </w:rPr>
      </w:pPr>
      <w:r w:rsidRPr="00086A6E">
        <w:rPr>
          <w:rFonts w:ascii="Times New Roman" w:eastAsiaTheme="minorHAnsi" w:hAnsi="Times New Roman" w:cs="Times New Roman"/>
          <w:b/>
          <w:i/>
          <w:szCs w:val="22"/>
          <w:lang w:eastAsia="en-US"/>
        </w:rPr>
        <w:t>Opatrenia zvyšujúce výdavky</w:t>
      </w:r>
    </w:p>
    <w:p w:rsidR="003A497B" w:rsidRPr="00086A6E" w:rsidRDefault="003A497B" w:rsidP="003A497B">
      <w:pPr>
        <w:shd w:val="clear" w:color="auto" w:fill="FFFFFF" w:themeFill="background1"/>
        <w:spacing w:after="160" w:line="259" w:lineRule="auto"/>
        <w:ind w:left="360"/>
        <w:contextualSpacing/>
        <w:jc w:val="both"/>
        <w:rPr>
          <w:rFonts w:ascii="Times New Roman" w:eastAsiaTheme="minorHAnsi" w:hAnsi="Times New Roman" w:cs="Times New Roman"/>
          <w:szCs w:val="22"/>
          <w:lang w:eastAsia="en-US"/>
        </w:rPr>
      </w:pPr>
    </w:p>
    <w:p w:rsidR="003A497B" w:rsidRPr="00086A6E" w:rsidRDefault="003A497B" w:rsidP="003A497B">
      <w:pPr>
        <w:numPr>
          <w:ilvl w:val="0"/>
          <w:numId w:val="18"/>
        </w:numPr>
        <w:shd w:val="clear" w:color="auto" w:fill="FFFFFF" w:themeFill="background1"/>
        <w:spacing w:after="160" w:line="259" w:lineRule="auto"/>
        <w:contextualSpacing/>
        <w:jc w:val="both"/>
        <w:rPr>
          <w:rFonts w:ascii="Times New Roman" w:eastAsiaTheme="minorHAnsi" w:hAnsi="Times New Roman" w:cs="Times New Roman"/>
          <w:lang w:eastAsia="en-US"/>
        </w:rPr>
      </w:pPr>
      <w:r w:rsidRPr="00086A6E">
        <w:rPr>
          <w:rFonts w:ascii="Times New Roman" w:eastAsiaTheme="minorHAnsi" w:hAnsi="Times New Roman" w:cs="Times New Roman"/>
          <w:lang w:eastAsia="en-US"/>
        </w:rPr>
        <w:t>Paušálne platby pre zariadenia sociálnych služieb v hodnote 12 mil. eur boli zavedené pre pokrytie výdavkov s poskytovaním základných výkonov dlhodobej starostlivosti v roku 2018 (č. 13).</w:t>
      </w:r>
    </w:p>
    <w:p w:rsidR="003A497B" w:rsidRPr="00086A6E" w:rsidRDefault="003A497B" w:rsidP="003A497B">
      <w:pPr>
        <w:numPr>
          <w:ilvl w:val="0"/>
          <w:numId w:val="18"/>
        </w:numPr>
        <w:shd w:val="clear" w:color="auto" w:fill="FFFFFF" w:themeFill="background1"/>
        <w:spacing w:after="160" w:line="259" w:lineRule="auto"/>
        <w:contextualSpacing/>
        <w:jc w:val="both"/>
        <w:rPr>
          <w:rFonts w:ascii="Times New Roman" w:eastAsiaTheme="minorHAnsi" w:hAnsi="Times New Roman" w:cs="Times New Roman"/>
          <w:lang w:eastAsia="en-US"/>
        </w:rPr>
      </w:pPr>
      <w:r w:rsidRPr="00086A6E">
        <w:rPr>
          <w:rFonts w:ascii="Times New Roman" w:eastAsiaTheme="minorHAnsi" w:hAnsi="Times New Roman" w:cs="Times New Roman"/>
          <w:lang w:eastAsia="en-US"/>
        </w:rPr>
        <w:t>Zvyšovanie príplatkov za prácu v noci, cez víkendy a sviatky pre pracovníkov ústavnej starostlivosti dosahuje 24 mil. eur v roku 2019 (č. 20).</w:t>
      </w:r>
    </w:p>
    <w:p w:rsidR="003A497B" w:rsidRPr="00086A6E" w:rsidRDefault="003A497B" w:rsidP="003A497B">
      <w:pPr>
        <w:numPr>
          <w:ilvl w:val="0"/>
          <w:numId w:val="18"/>
        </w:numPr>
        <w:shd w:val="clear" w:color="auto" w:fill="FFFFFF" w:themeFill="background1"/>
        <w:spacing w:after="160" w:line="259" w:lineRule="auto"/>
        <w:contextualSpacing/>
        <w:jc w:val="both"/>
        <w:rPr>
          <w:rFonts w:ascii="Times New Roman" w:eastAsiaTheme="minorHAnsi" w:hAnsi="Times New Roman" w:cs="Times New Roman"/>
          <w:lang w:eastAsia="en-US"/>
        </w:rPr>
      </w:pPr>
      <w:r w:rsidRPr="00086A6E">
        <w:rPr>
          <w:rFonts w:ascii="Times New Roman" w:eastAsiaTheme="minorHAnsi" w:hAnsi="Times New Roman" w:cs="Times New Roman"/>
          <w:lang w:eastAsia="en-US"/>
        </w:rPr>
        <w:t xml:space="preserve">Rast mzdových koeficientov </w:t>
      </w:r>
      <w:r w:rsidRPr="00086A6E">
        <w:rPr>
          <w:rFonts w:ascii="Times New Roman" w:hAnsi="Times New Roman" w:cs="Times New Roman"/>
        </w:rPr>
        <w:t xml:space="preserve">nelekárskeho personálu </w:t>
      </w:r>
      <w:r w:rsidRPr="00086A6E">
        <w:rPr>
          <w:rFonts w:ascii="Times New Roman" w:eastAsiaTheme="minorHAnsi" w:hAnsi="Times New Roman" w:cs="Times New Roman"/>
          <w:lang w:eastAsia="en-US"/>
        </w:rPr>
        <w:t>o 10 % predstavuje 33 mil. eur v roku 2019 (č. 10).</w:t>
      </w:r>
    </w:p>
    <w:p w:rsidR="003A497B" w:rsidRPr="00086A6E" w:rsidRDefault="003A497B" w:rsidP="003A497B">
      <w:pPr>
        <w:numPr>
          <w:ilvl w:val="0"/>
          <w:numId w:val="17"/>
        </w:numPr>
        <w:shd w:val="clear" w:color="auto" w:fill="FFFFFF" w:themeFill="background1"/>
        <w:spacing w:after="160" w:line="259" w:lineRule="auto"/>
        <w:contextualSpacing/>
        <w:jc w:val="both"/>
        <w:rPr>
          <w:rFonts w:ascii="Times New Roman" w:eastAsiaTheme="minorHAnsi" w:hAnsi="Times New Roman" w:cs="Times New Roman"/>
          <w:lang w:eastAsia="en-US"/>
        </w:rPr>
      </w:pPr>
      <w:r w:rsidRPr="00086A6E">
        <w:rPr>
          <w:rFonts w:ascii="Times New Roman" w:eastAsiaTheme="minorHAnsi" w:hAnsi="Times New Roman" w:cs="Times New Roman"/>
          <w:lang w:eastAsia="en-US"/>
        </w:rPr>
        <w:t>Rast paušálnych platieb pre zdravotnú záchrannú službu a urgentné príjmy dosiahne v roku 2019 hodnotu 1 a 7 mil. eur (č. 14 a 15).</w:t>
      </w:r>
      <w:r>
        <w:rPr>
          <w:rFonts w:ascii="Times New Roman" w:eastAsiaTheme="minorHAnsi" w:hAnsi="Times New Roman" w:cs="Times New Roman"/>
          <w:lang w:eastAsia="en-US"/>
        </w:rPr>
        <w:t xml:space="preserve"> Rast osobných nákladov ZZS je zahrnutý v predchádzajúcich mzdových opatreniach.</w:t>
      </w:r>
    </w:p>
    <w:p w:rsidR="003A497B" w:rsidRPr="00086A6E" w:rsidRDefault="003A497B" w:rsidP="003A497B">
      <w:pPr>
        <w:numPr>
          <w:ilvl w:val="0"/>
          <w:numId w:val="17"/>
        </w:numPr>
        <w:shd w:val="clear" w:color="auto" w:fill="FFFFFF" w:themeFill="background1"/>
        <w:spacing w:line="259" w:lineRule="auto"/>
        <w:ind w:left="357" w:hanging="357"/>
        <w:contextualSpacing/>
        <w:jc w:val="both"/>
        <w:rPr>
          <w:rFonts w:ascii="Times New Roman" w:eastAsiaTheme="minorHAnsi" w:hAnsi="Times New Roman" w:cs="Times New Roman"/>
          <w:lang w:eastAsia="en-US"/>
        </w:rPr>
      </w:pPr>
      <w:r w:rsidRPr="00086A6E">
        <w:rPr>
          <w:rFonts w:ascii="Times New Roman" w:eastAsiaTheme="minorHAnsi" w:hAnsi="Times New Roman" w:cs="Times New Roman"/>
          <w:lang w:eastAsia="en-US"/>
        </w:rPr>
        <w:t>Rastúci objem liečby v cudzine predstavuje 3 mil. eur v roku 2019 (č. 16).</w:t>
      </w:r>
    </w:p>
    <w:p w:rsidR="003A497B" w:rsidRPr="00086A6E" w:rsidRDefault="003A497B" w:rsidP="003A497B">
      <w:pPr>
        <w:numPr>
          <w:ilvl w:val="0"/>
          <w:numId w:val="17"/>
        </w:numPr>
        <w:shd w:val="clear" w:color="auto" w:fill="FFFFFF" w:themeFill="background1"/>
        <w:spacing w:line="259" w:lineRule="auto"/>
        <w:ind w:left="357" w:hanging="357"/>
        <w:contextualSpacing/>
        <w:jc w:val="both"/>
        <w:rPr>
          <w:rFonts w:ascii="Times New Roman" w:eastAsiaTheme="minorHAnsi" w:hAnsi="Times New Roman" w:cs="Times New Roman"/>
          <w:lang w:eastAsia="en-US"/>
        </w:rPr>
      </w:pPr>
      <w:r w:rsidRPr="00086A6E">
        <w:rPr>
          <w:rFonts w:ascii="Times New Roman" w:eastAsiaTheme="minorHAnsi" w:hAnsi="Times New Roman" w:cs="Times New Roman"/>
          <w:lang w:eastAsia="en-US"/>
        </w:rPr>
        <w:t xml:space="preserve">V roku 2017 evidovali nemocnice neuhradené výdavky od VšZP v hodnote 5 mil. eur, ktoré boli presunuté do výdavkov roka 2018 (č. 21). </w:t>
      </w:r>
    </w:p>
    <w:p w:rsidR="003A497B" w:rsidRPr="00086A6E" w:rsidRDefault="003A497B" w:rsidP="003A497B">
      <w:pPr>
        <w:numPr>
          <w:ilvl w:val="0"/>
          <w:numId w:val="17"/>
        </w:num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Popri procese oddlžovania nemocníc v roku 2017, nemocnice v roku 2018</w:t>
      </w:r>
      <w:r>
        <w:rPr>
          <w:rFonts w:ascii="Times New Roman" w:eastAsiaTheme="minorHAnsi" w:hAnsi="Times New Roman" w:cs="Times New Roman"/>
          <w:szCs w:val="22"/>
          <w:lang w:eastAsia="en-US"/>
        </w:rPr>
        <w:t xml:space="preserve"> stále potrebujú dofinancovanie</w:t>
      </w:r>
      <w:r w:rsidRPr="00086A6E">
        <w:rPr>
          <w:rFonts w:ascii="Times New Roman" w:eastAsiaTheme="minorHAnsi" w:hAnsi="Times New Roman" w:cs="Times New Roman"/>
          <w:szCs w:val="22"/>
          <w:lang w:eastAsia="en-US"/>
        </w:rPr>
        <w:t>, ktoré bude realizované</w:t>
      </w:r>
      <w:r>
        <w:rPr>
          <w:rFonts w:ascii="Times New Roman" w:eastAsiaTheme="minorHAnsi" w:hAnsi="Times New Roman" w:cs="Times New Roman"/>
          <w:szCs w:val="22"/>
          <w:lang w:eastAsia="en-US"/>
        </w:rPr>
        <w:t>.</w:t>
      </w:r>
    </w:p>
    <w:p w:rsidR="003A497B" w:rsidRPr="00086A6E" w:rsidRDefault="003A497B" w:rsidP="003A497B">
      <w:pPr>
        <w:shd w:val="clear" w:color="auto" w:fill="FFFFFF" w:themeFill="background1"/>
        <w:jc w:val="both"/>
        <w:rPr>
          <w:rFonts w:ascii="Times New Roman" w:eastAsiaTheme="minorHAnsi" w:hAnsi="Times New Roman" w:cs="Times New Roman"/>
          <w:b/>
          <w:i/>
          <w:highlight w:val="yellow"/>
        </w:rPr>
      </w:pPr>
    </w:p>
    <w:p w:rsidR="003A497B" w:rsidRPr="00086A6E" w:rsidRDefault="003A497B" w:rsidP="003A497B">
      <w:pPr>
        <w:shd w:val="clear" w:color="auto" w:fill="FFFFFF" w:themeFill="background1"/>
        <w:jc w:val="both"/>
        <w:rPr>
          <w:rFonts w:ascii="Times New Roman" w:eastAsiaTheme="minorHAnsi" w:hAnsi="Times New Roman" w:cs="Times New Roman"/>
          <w:b/>
          <w:i/>
        </w:rPr>
      </w:pPr>
      <w:r w:rsidRPr="00086A6E">
        <w:rPr>
          <w:rFonts w:ascii="Times New Roman" w:eastAsiaTheme="minorHAnsi" w:hAnsi="Times New Roman" w:cs="Times New Roman"/>
          <w:b/>
          <w:i/>
        </w:rPr>
        <w:t>Úsporné opatrenia</w:t>
      </w:r>
    </w:p>
    <w:p w:rsidR="003A497B" w:rsidRPr="00086A6E" w:rsidRDefault="003A497B" w:rsidP="003A497B">
      <w:pPr>
        <w:shd w:val="clear" w:color="auto" w:fill="FFFFFF" w:themeFill="background1"/>
        <w:jc w:val="both"/>
        <w:rPr>
          <w:rFonts w:ascii="Times New Roman" w:eastAsiaTheme="minorHAnsi" w:hAnsi="Times New Roman" w:cs="Times New Roman"/>
          <w:b/>
          <w:i/>
        </w:rPr>
      </w:pPr>
    </w:p>
    <w:p w:rsidR="003A497B" w:rsidRPr="00086A6E" w:rsidRDefault="003A497B" w:rsidP="003A497B">
      <w:pPr>
        <w:shd w:val="clear" w:color="auto" w:fill="FFFFFF" w:themeFill="background1"/>
        <w:jc w:val="both"/>
        <w:rPr>
          <w:rFonts w:ascii="Times New Roman" w:hAnsi="Times New Roman" w:cs="Times New Roman"/>
          <w:i/>
        </w:rPr>
      </w:pPr>
      <w:r w:rsidRPr="00086A6E">
        <w:rPr>
          <w:rFonts w:ascii="Times New Roman" w:hAnsi="Times New Roman" w:cs="Times New Roman"/>
          <w:i/>
        </w:rPr>
        <w:t>Výdavky nemocníc</w:t>
      </w:r>
      <w:r w:rsidRPr="00086A6E">
        <w:rPr>
          <w:rFonts w:ascii="Times New Roman" w:hAnsi="Times New Roman" w:cs="Times New Roman"/>
          <w:i/>
          <w:vertAlign w:val="superscript"/>
        </w:rPr>
        <w:footnoteReference w:id="26"/>
      </w:r>
    </w:p>
    <w:p w:rsidR="003A497B" w:rsidRPr="00086A6E" w:rsidRDefault="003A497B" w:rsidP="003A497B">
      <w:pPr>
        <w:numPr>
          <w:ilvl w:val="0"/>
          <w:numId w:val="17"/>
        </w:num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Dôležitou úlohou zostáva optimalizácia prevádzkových nákladov nemocníc. Porovnávanie nákupných cien externých služieb a energií prinesie nemocniciam úspo</w:t>
      </w:r>
      <w:r>
        <w:rPr>
          <w:rFonts w:ascii="Times New Roman" w:eastAsiaTheme="minorHAnsi" w:hAnsi="Times New Roman" w:cs="Times New Roman"/>
          <w:szCs w:val="22"/>
          <w:lang w:eastAsia="en-US"/>
        </w:rPr>
        <w:t>ru 5 mil. eur v roku 2019 (č. 26</w:t>
      </w:r>
      <w:r w:rsidRPr="00086A6E">
        <w:rPr>
          <w:rFonts w:ascii="Times New Roman" w:eastAsiaTheme="minorHAnsi" w:hAnsi="Times New Roman" w:cs="Times New Roman"/>
          <w:szCs w:val="22"/>
          <w:lang w:eastAsia="en-US"/>
        </w:rPr>
        <w:t xml:space="preserve">). </w:t>
      </w:r>
    </w:p>
    <w:p w:rsidR="003A497B" w:rsidRPr="00086A6E" w:rsidRDefault="003A497B" w:rsidP="003A497B">
      <w:pPr>
        <w:numPr>
          <w:ilvl w:val="0"/>
          <w:numId w:val="17"/>
        </w:num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 xml:space="preserve">Opatrenie k optimalizácii medicínskych procesov určené v revízii výdavkov z roku 2016 bude prehodnotené s ohľadom na nový zámer stratifikácie siete nemocníc. Nemocnice mohli jeho úspešným plnením doteraz usporiť 32 mil. eur mimo personálnych nákladov </w:t>
      </w:r>
      <w:r>
        <w:rPr>
          <w:rFonts w:ascii="Times New Roman" w:eastAsiaTheme="minorHAnsi" w:hAnsi="Times New Roman" w:cs="Times New Roman"/>
          <w:szCs w:val="22"/>
          <w:lang w:eastAsia="en-US"/>
        </w:rPr>
        <w:br/>
      </w:r>
      <w:r w:rsidRPr="00086A6E">
        <w:rPr>
          <w:rFonts w:ascii="Times New Roman" w:eastAsiaTheme="minorHAnsi" w:hAnsi="Times New Roman" w:cs="Times New Roman"/>
          <w:szCs w:val="22"/>
          <w:lang w:eastAsia="en-US"/>
        </w:rPr>
        <w:t>(č. 2</w:t>
      </w:r>
      <w:r>
        <w:rPr>
          <w:rFonts w:ascii="Times New Roman" w:eastAsiaTheme="minorHAnsi" w:hAnsi="Times New Roman" w:cs="Times New Roman"/>
          <w:szCs w:val="22"/>
          <w:lang w:eastAsia="en-US"/>
        </w:rPr>
        <w:t>7</w:t>
      </w:r>
      <w:r w:rsidRPr="00086A6E">
        <w:rPr>
          <w:rFonts w:ascii="Times New Roman" w:eastAsiaTheme="minorHAnsi" w:hAnsi="Times New Roman" w:cs="Times New Roman"/>
          <w:szCs w:val="22"/>
          <w:lang w:eastAsia="en-US"/>
        </w:rPr>
        <w:t xml:space="preserve">). </w:t>
      </w:r>
    </w:p>
    <w:p w:rsidR="003A497B" w:rsidRPr="00086A6E" w:rsidRDefault="003A497B" w:rsidP="003A497B">
      <w:pPr>
        <w:numPr>
          <w:ilvl w:val="0"/>
          <w:numId w:val="17"/>
        </w:num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 xml:space="preserve">Hospodárne obstarávanie liekov, realizované najmä prostredníctvom benchmarkovania a centrálneho nákupu prinesú nemocniciam úsporu vo výške 1 mil. eur </w:t>
      </w:r>
      <w:r w:rsidRPr="00086A6E">
        <w:rPr>
          <w:rFonts w:ascii="Times New Roman" w:hAnsi="Times New Roman" w:cs="Times New Roman"/>
        </w:rPr>
        <w:t xml:space="preserve">v roku 2019 </w:t>
      </w:r>
      <w:r>
        <w:rPr>
          <w:rFonts w:ascii="Times New Roman" w:eastAsiaTheme="minorHAnsi" w:hAnsi="Times New Roman" w:cs="Times New Roman"/>
          <w:szCs w:val="22"/>
          <w:lang w:eastAsia="en-US"/>
        </w:rPr>
        <w:t>(č. 28</w:t>
      </w:r>
      <w:r w:rsidRPr="00086A6E">
        <w:rPr>
          <w:rFonts w:ascii="Times New Roman" w:eastAsiaTheme="minorHAnsi" w:hAnsi="Times New Roman" w:cs="Times New Roman"/>
          <w:szCs w:val="22"/>
          <w:lang w:eastAsia="en-US"/>
        </w:rPr>
        <w:t>).</w:t>
      </w:r>
    </w:p>
    <w:p w:rsidR="003A497B" w:rsidRPr="007C4968" w:rsidRDefault="003A497B" w:rsidP="003A497B">
      <w:pPr>
        <w:shd w:val="clear" w:color="auto" w:fill="FFFFFF" w:themeFill="background1"/>
        <w:spacing w:line="259" w:lineRule="auto"/>
        <w:contextualSpacing/>
        <w:jc w:val="both"/>
        <w:rPr>
          <w:rFonts w:ascii="Times New Roman" w:eastAsiaTheme="minorHAnsi" w:hAnsi="Times New Roman" w:cs="Times New Roman"/>
          <w:b/>
          <w:sz w:val="16"/>
          <w:szCs w:val="22"/>
          <w:highlight w:val="yellow"/>
          <w:lang w:eastAsia="en-US"/>
        </w:rPr>
      </w:pPr>
    </w:p>
    <w:p w:rsidR="003A497B" w:rsidRPr="00086A6E" w:rsidRDefault="003A497B" w:rsidP="003A497B">
      <w:pPr>
        <w:shd w:val="clear" w:color="auto" w:fill="FFFFFF" w:themeFill="background1"/>
        <w:spacing w:line="259" w:lineRule="auto"/>
        <w:contextualSpacing/>
        <w:jc w:val="both"/>
        <w:rPr>
          <w:rFonts w:ascii="Times New Roman" w:eastAsiaTheme="minorHAnsi" w:hAnsi="Times New Roman" w:cs="Times New Roman"/>
          <w:b/>
          <w:szCs w:val="22"/>
          <w:lang w:eastAsia="en-US"/>
        </w:rPr>
      </w:pPr>
      <w:r w:rsidRPr="00086A6E">
        <w:rPr>
          <w:rFonts w:ascii="Times New Roman" w:eastAsiaTheme="minorHAnsi" w:hAnsi="Times New Roman" w:cs="Times New Roman"/>
          <w:b/>
          <w:szCs w:val="22"/>
          <w:lang w:eastAsia="en-US"/>
        </w:rPr>
        <w:t>Iné výdavky VZP</w:t>
      </w:r>
    </w:p>
    <w:p w:rsidR="003A497B" w:rsidRPr="007C4968" w:rsidRDefault="003A497B" w:rsidP="003A497B">
      <w:pPr>
        <w:shd w:val="clear" w:color="auto" w:fill="FFFFFF" w:themeFill="background1"/>
        <w:spacing w:line="259" w:lineRule="auto"/>
        <w:contextualSpacing/>
        <w:jc w:val="both"/>
        <w:rPr>
          <w:rFonts w:ascii="Times New Roman" w:eastAsiaTheme="minorHAnsi" w:hAnsi="Times New Roman" w:cs="Times New Roman"/>
          <w:b/>
          <w:sz w:val="12"/>
          <w:szCs w:val="22"/>
          <w:highlight w:val="yellow"/>
          <w:lang w:eastAsia="en-US"/>
        </w:rPr>
      </w:pPr>
    </w:p>
    <w:p w:rsidR="003A497B" w:rsidRPr="00086A6E" w:rsidRDefault="003A497B" w:rsidP="003A497B">
      <w:pPr>
        <w:shd w:val="clear" w:color="auto" w:fill="FFFFFF" w:themeFill="background1"/>
        <w:spacing w:after="160" w:line="259" w:lineRule="auto"/>
        <w:ind w:firstLine="360"/>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Dnešná legislatíva odvodzuje rast výdavkov na správu poistenia od rastu vybraných odvodov, hoci počet poistencov je pomerne stabilný. Možnosti úpravy výdavkov na správu budú analyzované v roku 2019.</w:t>
      </w:r>
    </w:p>
    <w:p w:rsidR="007C4968" w:rsidRDefault="007C4968" w:rsidP="003A497B">
      <w:pPr>
        <w:shd w:val="clear" w:color="auto" w:fill="FFFFFF" w:themeFill="background1"/>
        <w:spacing w:after="160" w:line="259" w:lineRule="auto"/>
        <w:ind w:firstLine="360"/>
        <w:contextualSpacing/>
        <w:jc w:val="both"/>
        <w:rPr>
          <w:rFonts w:ascii="Times New Roman" w:eastAsiaTheme="minorHAnsi" w:hAnsi="Times New Roman" w:cs="Times New Roman"/>
          <w:szCs w:val="22"/>
          <w:lang w:eastAsia="en-US"/>
        </w:rPr>
      </w:pPr>
    </w:p>
    <w:p w:rsidR="003A497B" w:rsidRPr="00086A6E" w:rsidRDefault="003A497B" w:rsidP="003A497B">
      <w:pPr>
        <w:shd w:val="clear" w:color="auto" w:fill="FFFFFF" w:themeFill="background1"/>
        <w:spacing w:after="160" w:line="259" w:lineRule="auto"/>
        <w:ind w:firstLine="360"/>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V roku 2019 budú analyzované možnosti posilnenia revíznej činnosti VšZP, najmä nepriamej revízie (automatizované prehodnocovanie uhradenej zdravotnej starostlivosti).</w:t>
      </w:r>
    </w:p>
    <w:p w:rsidR="003A497B" w:rsidRPr="00086A6E" w:rsidRDefault="003A497B" w:rsidP="003A497B">
      <w:pPr>
        <w:shd w:val="clear" w:color="auto" w:fill="FFFFFF" w:themeFill="background1"/>
        <w:spacing w:after="160" w:line="259" w:lineRule="auto"/>
        <w:contextualSpacing/>
        <w:jc w:val="both"/>
        <w:rPr>
          <w:rFonts w:ascii="Times New Roman" w:eastAsiaTheme="minorHAnsi" w:hAnsi="Times New Roman" w:cs="Times New Roman"/>
          <w:szCs w:val="22"/>
          <w:highlight w:val="yellow"/>
          <w:lang w:eastAsia="en-US"/>
        </w:rPr>
      </w:pPr>
    </w:p>
    <w:p w:rsidR="003A497B" w:rsidRPr="00086A6E" w:rsidRDefault="003A497B" w:rsidP="003A497B">
      <w:pPr>
        <w:shd w:val="clear" w:color="auto" w:fill="FFFFFF" w:themeFill="background1"/>
        <w:jc w:val="both"/>
        <w:rPr>
          <w:rFonts w:ascii="Times New Roman" w:eastAsiaTheme="minorHAnsi" w:hAnsi="Times New Roman" w:cs="Times New Roman"/>
          <w:b/>
          <w:i/>
        </w:rPr>
      </w:pPr>
      <w:r w:rsidRPr="00086A6E">
        <w:rPr>
          <w:rFonts w:ascii="Times New Roman" w:eastAsiaTheme="minorHAnsi" w:hAnsi="Times New Roman" w:cs="Times New Roman"/>
          <w:b/>
          <w:i/>
        </w:rPr>
        <w:t>Opatrenia zvyšujúce výdavky</w:t>
      </w:r>
    </w:p>
    <w:p w:rsidR="003A497B" w:rsidRPr="00086A6E" w:rsidRDefault="003A497B" w:rsidP="003A497B">
      <w:pPr>
        <w:numPr>
          <w:ilvl w:val="0"/>
          <w:numId w:val="16"/>
        </w:numPr>
        <w:shd w:val="clear" w:color="auto" w:fill="FFFFFF" w:themeFill="background1"/>
        <w:spacing w:after="160" w:line="259" w:lineRule="auto"/>
        <w:contextualSpacing/>
        <w:jc w:val="both"/>
        <w:rPr>
          <w:rFonts w:ascii="Times New Roman" w:eastAsiaTheme="minorHAnsi" w:hAnsi="Times New Roman" w:cs="Times New Roman"/>
          <w:szCs w:val="22"/>
          <w:lang w:eastAsia="en-US"/>
        </w:rPr>
      </w:pPr>
      <w:r w:rsidRPr="00086A6E">
        <w:rPr>
          <w:rFonts w:ascii="Times New Roman" w:eastAsiaTheme="minorHAnsi" w:hAnsi="Times New Roman" w:cs="Times New Roman"/>
          <w:szCs w:val="22"/>
          <w:lang w:eastAsia="en-US"/>
        </w:rPr>
        <w:t>Ochranný limit doplatkov</w:t>
      </w:r>
      <w:r w:rsidRPr="00086A6E">
        <w:rPr>
          <w:rFonts w:ascii="Times New Roman" w:eastAsiaTheme="minorHAnsi" w:hAnsi="Times New Roman" w:cs="Times New Roman"/>
          <w:szCs w:val="22"/>
          <w:vertAlign w:val="superscript"/>
          <w:lang w:eastAsia="en-US"/>
        </w:rPr>
        <w:footnoteReference w:id="27"/>
      </w:r>
      <w:r w:rsidRPr="00086A6E">
        <w:rPr>
          <w:rFonts w:ascii="Times New Roman" w:eastAsiaTheme="minorHAnsi" w:hAnsi="Times New Roman" w:cs="Times New Roman"/>
          <w:szCs w:val="22"/>
          <w:lang w:eastAsia="en-US"/>
        </w:rPr>
        <w:t xml:space="preserve"> bol rozšírený z liekov aj na dietetické potraviny a zdravotnícke pomôcky. Dodatočné výdavky dosiahli hodnotu 8 mil. eur </w:t>
      </w:r>
      <w:r w:rsidRPr="00086A6E">
        <w:rPr>
          <w:rFonts w:ascii="Times New Roman" w:hAnsi="Times New Roman" w:cs="Times New Roman"/>
        </w:rPr>
        <w:t xml:space="preserve">v roku 2018 </w:t>
      </w:r>
      <w:r w:rsidRPr="00086A6E">
        <w:rPr>
          <w:rFonts w:ascii="Times New Roman" w:eastAsiaTheme="minorHAnsi" w:hAnsi="Times New Roman" w:cs="Times New Roman"/>
          <w:szCs w:val="22"/>
          <w:lang w:eastAsia="en-US"/>
        </w:rPr>
        <w:t xml:space="preserve"> (č. 19).  </w:t>
      </w:r>
    </w:p>
    <w:p w:rsidR="003A497B" w:rsidRPr="00086A6E" w:rsidRDefault="003A497B" w:rsidP="003A497B">
      <w:pPr>
        <w:rPr>
          <w:highlight w:val="yellow"/>
        </w:rPr>
      </w:pPr>
    </w:p>
    <w:p w:rsidR="003A497B" w:rsidRPr="00A401D6" w:rsidRDefault="003A497B" w:rsidP="003A497B">
      <w:pPr>
        <w:pStyle w:val="Nadpis5"/>
        <w:pBdr>
          <w:bottom w:val="single" w:sz="4" w:space="1" w:color="auto"/>
        </w:pBdr>
        <w:ind w:left="0"/>
        <w:rPr>
          <w:i w:val="0"/>
          <w:sz w:val="24"/>
          <w:lang w:eastAsia="sk-SK"/>
        </w:rPr>
      </w:pPr>
      <w:bookmarkStart w:id="108" w:name="_Toc400551754"/>
      <w:bookmarkStart w:id="109" w:name="_Toc469491243"/>
      <w:bookmarkStart w:id="110" w:name="_Toc526267697"/>
      <w:r w:rsidRPr="00A401D6">
        <w:rPr>
          <w:i w:val="0"/>
          <w:sz w:val="24"/>
          <w:lang w:eastAsia="sk-SK"/>
        </w:rPr>
        <w:t>Ministerstvo dopravy a výstavby SR</w:t>
      </w:r>
      <w:bookmarkEnd w:id="108"/>
      <w:bookmarkEnd w:id="109"/>
      <w:bookmarkEnd w:id="110"/>
    </w:p>
    <w:p w:rsidR="003A497B" w:rsidRDefault="003A497B" w:rsidP="003A497B">
      <w:pPr>
        <w:pStyle w:val="titulok"/>
        <w:spacing w:before="0" w:beforeAutospacing="0" w:after="0" w:afterAutospacing="0"/>
        <w:ind w:firstLine="709"/>
        <w:jc w:val="both"/>
        <w:rPr>
          <w:rFonts w:ascii="Times New Roman" w:hAnsi="Times New Roman" w:cs="Courier"/>
          <w:b w:val="0"/>
          <w:bCs w:val="0"/>
          <w:color w:val="auto"/>
          <w:highlight w:val="yellow"/>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25"/>
        <w:gridCol w:w="949"/>
        <w:gridCol w:w="948"/>
        <w:gridCol w:w="948"/>
        <w:gridCol w:w="948"/>
        <w:gridCol w:w="948"/>
        <w:gridCol w:w="948"/>
        <w:gridCol w:w="948"/>
      </w:tblGrid>
      <w:tr w:rsidR="003A497B" w:rsidRPr="00900D1A" w:rsidTr="00C311BC">
        <w:trPr>
          <w:trHeight w:val="285"/>
        </w:trPr>
        <w:tc>
          <w:tcPr>
            <w:tcW w:w="2425" w:type="dxa"/>
            <w:shd w:val="clear" w:color="000000" w:fill="A6A6A6" w:themeFill="background1" w:themeFillShade="A6"/>
            <w:noWrap/>
            <w:vAlign w:val="center"/>
          </w:tcPr>
          <w:p w:rsidR="003A497B" w:rsidRPr="00C52925" w:rsidRDefault="003A497B" w:rsidP="003E1809">
            <w:pPr>
              <w:rPr>
                <w:rFonts w:ascii="Times New Roman" w:hAnsi="Times New Roman" w:cs="Times New Roman"/>
                <w:b/>
                <w:bCs/>
                <w:color w:val="000000"/>
                <w:sz w:val="14"/>
                <w:szCs w:val="14"/>
              </w:rPr>
            </w:pPr>
            <w:r w:rsidRPr="00C52925">
              <w:rPr>
                <w:rFonts w:ascii="Times New Roman" w:hAnsi="Times New Roman" w:cs="Times New Roman"/>
                <w:b/>
                <w:bCs/>
                <w:color w:val="000000"/>
                <w:sz w:val="14"/>
                <w:szCs w:val="14"/>
              </w:rPr>
              <w:t xml:space="preserve">v eurách </w:t>
            </w:r>
          </w:p>
        </w:tc>
        <w:tc>
          <w:tcPr>
            <w:tcW w:w="949" w:type="dxa"/>
            <w:shd w:val="clear" w:color="000000" w:fill="A6A6A6" w:themeFill="background1" w:themeFillShade="A6"/>
            <w:vAlign w:val="center"/>
          </w:tcPr>
          <w:p w:rsidR="003A497B" w:rsidRPr="00C52925" w:rsidRDefault="003A497B" w:rsidP="003E1809">
            <w:pPr>
              <w:jc w:val="center"/>
              <w:rPr>
                <w:rFonts w:ascii="Times New Roman" w:hAnsi="Times New Roman" w:cs="Times New Roman"/>
                <w:b/>
                <w:bCs/>
                <w:color w:val="000000"/>
                <w:sz w:val="14"/>
                <w:szCs w:val="14"/>
              </w:rPr>
            </w:pPr>
            <w:r w:rsidRPr="00C52925">
              <w:rPr>
                <w:rFonts w:ascii="Times New Roman" w:hAnsi="Times New Roman" w:cs="Times New Roman"/>
                <w:b/>
                <w:bCs/>
                <w:color w:val="000000"/>
                <w:sz w:val="14"/>
                <w:szCs w:val="14"/>
              </w:rPr>
              <w:t>201</w:t>
            </w:r>
            <w:r>
              <w:rPr>
                <w:rFonts w:ascii="Times New Roman" w:hAnsi="Times New Roman" w:cs="Times New Roman"/>
                <w:b/>
                <w:bCs/>
                <w:color w:val="000000"/>
                <w:sz w:val="14"/>
                <w:szCs w:val="14"/>
              </w:rPr>
              <w:t>6</w:t>
            </w:r>
            <w:r w:rsidRPr="00C52925">
              <w:rPr>
                <w:rFonts w:ascii="Times New Roman" w:hAnsi="Times New Roman" w:cs="Times New Roman"/>
                <w:b/>
                <w:bCs/>
                <w:color w:val="000000"/>
                <w:sz w:val="14"/>
                <w:szCs w:val="14"/>
              </w:rPr>
              <w:t xml:space="preserve"> S</w:t>
            </w:r>
          </w:p>
        </w:tc>
        <w:tc>
          <w:tcPr>
            <w:tcW w:w="948" w:type="dxa"/>
            <w:shd w:val="clear" w:color="000000" w:fill="A6A6A6" w:themeFill="background1" w:themeFillShade="A6"/>
            <w:vAlign w:val="center"/>
          </w:tcPr>
          <w:p w:rsidR="003A497B" w:rsidRPr="00C52925" w:rsidRDefault="003A497B" w:rsidP="003E1809">
            <w:pPr>
              <w:jc w:val="center"/>
              <w:rPr>
                <w:rFonts w:ascii="Times New Roman" w:hAnsi="Times New Roman" w:cs="Times New Roman"/>
                <w:b/>
                <w:bCs/>
                <w:color w:val="000000"/>
                <w:sz w:val="14"/>
                <w:szCs w:val="14"/>
              </w:rPr>
            </w:pPr>
            <w:r w:rsidRPr="00C52925">
              <w:rPr>
                <w:rFonts w:ascii="Times New Roman" w:hAnsi="Times New Roman" w:cs="Times New Roman"/>
                <w:b/>
                <w:bCs/>
                <w:color w:val="000000"/>
                <w:sz w:val="14"/>
                <w:szCs w:val="14"/>
              </w:rPr>
              <w:t>201</w:t>
            </w:r>
            <w:r>
              <w:rPr>
                <w:rFonts w:ascii="Times New Roman" w:hAnsi="Times New Roman" w:cs="Times New Roman"/>
                <w:b/>
                <w:bCs/>
                <w:color w:val="000000"/>
                <w:sz w:val="14"/>
                <w:szCs w:val="14"/>
              </w:rPr>
              <w:t>7</w:t>
            </w:r>
            <w:r w:rsidRPr="00C52925">
              <w:rPr>
                <w:rFonts w:ascii="Times New Roman" w:hAnsi="Times New Roman" w:cs="Times New Roman"/>
                <w:b/>
                <w:bCs/>
                <w:color w:val="000000"/>
                <w:sz w:val="14"/>
                <w:szCs w:val="14"/>
              </w:rPr>
              <w:t xml:space="preserve"> S</w:t>
            </w:r>
          </w:p>
        </w:tc>
        <w:tc>
          <w:tcPr>
            <w:tcW w:w="948" w:type="dxa"/>
            <w:shd w:val="clear" w:color="000000" w:fill="A6A6A6" w:themeFill="background1" w:themeFillShade="A6"/>
            <w:vAlign w:val="center"/>
          </w:tcPr>
          <w:p w:rsidR="003A497B" w:rsidRPr="00C52925" w:rsidRDefault="003A497B" w:rsidP="003E1809">
            <w:pPr>
              <w:jc w:val="center"/>
              <w:rPr>
                <w:rFonts w:ascii="Times New Roman" w:hAnsi="Times New Roman" w:cs="Times New Roman"/>
                <w:b/>
                <w:bCs/>
                <w:color w:val="000000"/>
                <w:sz w:val="14"/>
                <w:szCs w:val="14"/>
              </w:rPr>
            </w:pPr>
            <w:r w:rsidRPr="00C52925">
              <w:rPr>
                <w:rFonts w:ascii="Times New Roman" w:hAnsi="Times New Roman" w:cs="Times New Roman"/>
                <w:b/>
                <w:bCs/>
                <w:color w:val="000000"/>
                <w:sz w:val="14"/>
                <w:szCs w:val="14"/>
              </w:rPr>
              <w:t>201</w:t>
            </w:r>
            <w:r>
              <w:rPr>
                <w:rFonts w:ascii="Times New Roman" w:hAnsi="Times New Roman" w:cs="Times New Roman"/>
                <w:b/>
                <w:bCs/>
                <w:color w:val="000000"/>
                <w:sz w:val="14"/>
                <w:szCs w:val="14"/>
              </w:rPr>
              <w:t>8</w:t>
            </w:r>
            <w:r w:rsidRPr="00C52925">
              <w:rPr>
                <w:rFonts w:ascii="Times New Roman" w:hAnsi="Times New Roman" w:cs="Times New Roman"/>
                <w:b/>
                <w:bCs/>
                <w:color w:val="000000"/>
                <w:sz w:val="14"/>
                <w:szCs w:val="14"/>
              </w:rPr>
              <w:t xml:space="preserve"> R</w:t>
            </w:r>
          </w:p>
        </w:tc>
        <w:tc>
          <w:tcPr>
            <w:tcW w:w="948" w:type="dxa"/>
            <w:shd w:val="clear" w:color="000000" w:fill="A6A6A6" w:themeFill="background1" w:themeFillShade="A6"/>
            <w:vAlign w:val="center"/>
          </w:tcPr>
          <w:p w:rsidR="003A497B" w:rsidRPr="00775C7E" w:rsidRDefault="003A497B" w:rsidP="003E1809">
            <w:pPr>
              <w:jc w:val="center"/>
              <w:rPr>
                <w:rFonts w:ascii="Times New Roman" w:hAnsi="Times New Roman" w:cs="Times New Roman"/>
                <w:b/>
                <w:bCs/>
                <w:color w:val="000000"/>
                <w:sz w:val="14"/>
                <w:szCs w:val="14"/>
                <w:highlight w:val="yellow"/>
              </w:rPr>
            </w:pPr>
            <w:r w:rsidRPr="00C52925">
              <w:rPr>
                <w:rFonts w:ascii="Times New Roman" w:hAnsi="Times New Roman" w:cs="Times New Roman"/>
                <w:b/>
                <w:bCs/>
                <w:color w:val="000000"/>
                <w:sz w:val="14"/>
                <w:szCs w:val="14"/>
              </w:rPr>
              <w:t>201</w:t>
            </w:r>
            <w:r>
              <w:rPr>
                <w:rFonts w:ascii="Times New Roman" w:hAnsi="Times New Roman" w:cs="Times New Roman"/>
                <w:b/>
                <w:bCs/>
                <w:color w:val="000000"/>
                <w:sz w:val="14"/>
                <w:szCs w:val="14"/>
              </w:rPr>
              <w:t>8</w:t>
            </w:r>
            <w:r w:rsidRPr="00C52925">
              <w:rPr>
                <w:rFonts w:ascii="Times New Roman" w:hAnsi="Times New Roman" w:cs="Times New Roman"/>
                <w:b/>
                <w:bCs/>
                <w:color w:val="000000"/>
                <w:sz w:val="14"/>
                <w:szCs w:val="14"/>
              </w:rPr>
              <w:t xml:space="preserve"> OS</w:t>
            </w:r>
          </w:p>
        </w:tc>
        <w:tc>
          <w:tcPr>
            <w:tcW w:w="948" w:type="dxa"/>
            <w:shd w:val="clear" w:color="000000" w:fill="A6A6A6" w:themeFill="background1" w:themeFillShade="A6"/>
            <w:vAlign w:val="center"/>
          </w:tcPr>
          <w:p w:rsidR="003A497B" w:rsidRPr="00775C7E" w:rsidRDefault="003A497B" w:rsidP="003E1809">
            <w:pPr>
              <w:jc w:val="center"/>
              <w:rPr>
                <w:rFonts w:ascii="Times New Roman" w:hAnsi="Times New Roman" w:cs="Times New Roman"/>
                <w:b/>
                <w:bCs/>
                <w:color w:val="000000"/>
                <w:sz w:val="14"/>
                <w:szCs w:val="14"/>
                <w:highlight w:val="yellow"/>
              </w:rPr>
            </w:pPr>
            <w:r w:rsidRPr="00C52925">
              <w:rPr>
                <w:rFonts w:ascii="Times New Roman" w:hAnsi="Times New Roman" w:cs="Times New Roman"/>
                <w:b/>
                <w:bCs/>
                <w:color w:val="000000"/>
                <w:sz w:val="14"/>
                <w:szCs w:val="14"/>
              </w:rPr>
              <w:t>201</w:t>
            </w:r>
            <w:r>
              <w:rPr>
                <w:rFonts w:ascii="Times New Roman" w:hAnsi="Times New Roman" w:cs="Times New Roman"/>
                <w:b/>
                <w:bCs/>
                <w:color w:val="000000"/>
                <w:sz w:val="14"/>
                <w:szCs w:val="14"/>
              </w:rPr>
              <w:t>9</w:t>
            </w:r>
            <w:r w:rsidRPr="00C52925">
              <w:rPr>
                <w:rFonts w:ascii="Times New Roman" w:hAnsi="Times New Roman" w:cs="Times New Roman"/>
                <w:b/>
                <w:bCs/>
                <w:color w:val="000000"/>
                <w:sz w:val="14"/>
                <w:szCs w:val="14"/>
              </w:rPr>
              <w:t xml:space="preserve"> N</w:t>
            </w:r>
          </w:p>
        </w:tc>
        <w:tc>
          <w:tcPr>
            <w:tcW w:w="948" w:type="dxa"/>
            <w:shd w:val="clear" w:color="000000" w:fill="A6A6A6" w:themeFill="background1" w:themeFillShade="A6"/>
            <w:vAlign w:val="center"/>
          </w:tcPr>
          <w:p w:rsidR="003A497B" w:rsidRPr="00C52925" w:rsidRDefault="003A497B" w:rsidP="003E1809">
            <w:pPr>
              <w:jc w:val="center"/>
              <w:rPr>
                <w:rFonts w:ascii="Times New Roman" w:hAnsi="Times New Roman" w:cs="Times New Roman"/>
                <w:b/>
                <w:bCs/>
                <w:color w:val="000000"/>
                <w:sz w:val="14"/>
                <w:szCs w:val="14"/>
              </w:rPr>
            </w:pPr>
            <w:r w:rsidRPr="00C52925">
              <w:rPr>
                <w:rFonts w:ascii="Times New Roman" w:hAnsi="Times New Roman" w:cs="Times New Roman"/>
                <w:b/>
                <w:bCs/>
                <w:color w:val="000000"/>
                <w:sz w:val="14"/>
                <w:szCs w:val="14"/>
              </w:rPr>
              <w:t>20</w:t>
            </w:r>
            <w:r>
              <w:rPr>
                <w:rFonts w:ascii="Times New Roman" w:hAnsi="Times New Roman" w:cs="Times New Roman"/>
                <w:b/>
                <w:bCs/>
                <w:color w:val="000000"/>
                <w:sz w:val="14"/>
                <w:szCs w:val="14"/>
              </w:rPr>
              <w:t xml:space="preserve">20 </w:t>
            </w:r>
            <w:r w:rsidRPr="00C52925">
              <w:rPr>
                <w:rFonts w:ascii="Times New Roman" w:hAnsi="Times New Roman" w:cs="Times New Roman"/>
                <w:b/>
                <w:bCs/>
                <w:color w:val="000000"/>
                <w:sz w:val="14"/>
                <w:szCs w:val="14"/>
              </w:rPr>
              <w:t>N</w:t>
            </w:r>
          </w:p>
        </w:tc>
        <w:tc>
          <w:tcPr>
            <w:tcW w:w="948" w:type="dxa"/>
            <w:shd w:val="clear" w:color="000000" w:fill="A6A6A6" w:themeFill="background1" w:themeFillShade="A6"/>
            <w:vAlign w:val="center"/>
          </w:tcPr>
          <w:p w:rsidR="003A497B" w:rsidRPr="00C52925" w:rsidRDefault="003A497B" w:rsidP="003E1809">
            <w:pPr>
              <w:jc w:val="center"/>
              <w:rPr>
                <w:rFonts w:ascii="Times New Roman" w:hAnsi="Times New Roman" w:cs="Times New Roman"/>
                <w:b/>
                <w:bCs/>
                <w:color w:val="000000"/>
                <w:sz w:val="14"/>
                <w:szCs w:val="14"/>
              </w:rPr>
            </w:pPr>
            <w:r w:rsidRPr="00C52925">
              <w:rPr>
                <w:rFonts w:ascii="Times New Roman" w:hAnsi="Times New Roman" w:cs="Times New Roman"/>
                <w:b/>
                <w:bCs/>
                <w:color w:val="000000"/>
                <w:sz w:val="14"/>
                <w:szCs w:val="14"/>
              </w:rPr>
              <w:t>20</w:t>
            </w:r>
            <w:r>
              <w:rPr>
                <w:rFonts w:ascii="Times New Roman" w:hAnsi="Times New Roman" w:cs="Times New Roman"/>
                <w:b/>
                <w:bCs/>
                <w:color w:val="000000"/>
                <w:sz w:val="14"/>
                <w:szCs w:val="14"/>
              </w:rPr>
              <w:t>21</w:t>
            </w:r>
            <w:r w:rsidRPr="00C52925">
              <w:rPr>
                <w:rFonts w:ascii="Times New Roman" w:hAnsi="Times New Roman" w:cs="Times New Roman"/>
                <w:b/>
                <w:bCs/>
                <w:color w:val="000000"/>
                <w:sz w:val="14"/>
                <w:szCs w:val="14"/>
              </w:rPr>
              <w:t xml:space="preserve"> N</w:t>
            </w:r>
          </w:p>
        </w:tc>
      </w:tr>
      <w:tr w:rsidR="003A497B" w:rsidRPr="00900D1A" w:rsidTr="00C311BC">
        <w:trPr>
          <w:trHeight w:val="285"/>
        </w:trPr>
        <w:tc>
          <w:tcPr>
            <w:tcW w:w="2425" w:type="dxa"/>
            <w:shd w:val="clear" w:color="000000" w:fill="BFBFBF" w:themeFill="background1" w:themeFillShade="BF"/>
            <w:noWrap/>
            <w:vAlign w:val="bottom"/>
          </w:tcPr>
          <w:p w:rsidR="003A497B" w:rsidRPr="00346A12" w:rsidRDefault="003A497B" w:rsidP="003E1809">
            <w:pPr>
              <w:rPr>
                <w:rFonts w:ascii="Times New Roman" w:hAnsi="Times New Roman" w:cs="Times New Roman"/>
                <w:b/>
                <w:bCs/>
                <w:color w:val="000000"/>
                <w:sz w:val="14"/>
                <w:szCs w:val="14"/>
                <w:lang w:eastAsia="sk-SK"/>
              </w:rPr>
            </w:pPr>
            <w:r w:rsidRPr="00A629CF">
              <w:rPr>
                <w:rFonts w:ascii="Times New Roman" w:hAnsi="Times New Roman" w:cs="Times New Roman"/>
                <w:b/>
                <w:bCs/>
                <w:sz w:val="14"/>
                <w:szCs w:val="14"/>
                <w:lang w:eastAsia="sk-SK"/>
              </w:rPr>
              <w:t>Zdroje príslušnej kapitoly vrátane 72e</w:t>
            </w:r>
          </w:p>
        </w:tc>
        <w:tc>
          <w:tcPr>
            <w:tcW w:w="949" w:type="dxa"/>
            <w:shd w:val="clear" w:color="000000" w:fill="BFBFBF" w:themeFill="background1" w:themeFillShade="BF"/>
            <w:vAlign w:val="bottom"/>
          </w:tcPr>
          <w:p w:rsidR="003A497B" w:rsidRPr="004074EC" w:rsidRDefault="003A497B" w:rsidP="003E1809">
            <w:pPr>
              <w:jc w:val="right"/>
              <w:rPr>
                <w:rFonts w:ascii="Times New Roman" w:hAnsi="Times New Roman" w:cs="Times New Roman"/>
                <w:b/>
                <w:bCs/>
                <w:color w:val="000000"/>
                <w:sz w:val="14"/>
                <w:szCs w:val="14"/>
                <w:lang w:eastAsia="sk-SK"/>
              </w:rPr>
            </w:pPr>
            <w:r w:rsidRPr="004074EC">
              <w:rPr>
                <w:rFonts w:ascii="Times New Roman" w:hAnsi="Times New Roman" w:cs="Times New Roman"/>
                <w:b/>
                <w:bCs/>
                <w:color w:val="000000"/>
                <w:sz w:val="14"/>
                <w:szCs w:val="14"/>
                <w:lang w:eastAsia="sk-SK"/>
              </w:rPr>
              <w:t>1 488 391 067</w:t>
            </w:r>
          </w:p>
        </w:tc>
        <w:tc>
          <w:tcPr>
            <w:tcW w:w="948" w:type="dxa"/>
            <w:shd w:val="clear" w:color="000000" w:fill="BFBFBF" w:themeFill="background1" w:themeFillShade="BF"/>
            <w:vAlign w:val="bottom"/>
          </w:tcPr>
          <w:p w:rsidR="003A497B" w:rsidRPr="004074EC" w:rsidRDefault="003A497B" w:rsidP="003E1809">
            <w:pPr>
              <w:jc w:val="right"/>
              <w:rPr>
                <w:rFonts w:ascii="Times New Roman" w:hAnsi="Times New Roman" w:cs="Times New Roman"/>
                <w:b/>
                <w:bCs/>
                <w:color w:val="000000"/>
                <w:sz w:val="14"/>
                <w:szCs w:val="14"/>
                <w:lang w:eastAsia="sk-SK"/>
              </w:rPr>
            </w:pPr>
            <w:r w:rsidRPr="004074EC">
              <w:rPr>
                <w:rFonts w:ascii="Times New Roman" w:hAnsi="Times New Roman" w:cs="Times New Roman"/>
                <w:b/>
                <w:bCs/>
                <w:color w:val="000000"/>
                <w:sz w:val="14"/>
                <w:szCs w:val="14"/>
                <w:lang w:eastAsia="sk-SK"/>
              </w:rPr>
              <w:t>1 725 310 482</w:t>
            </w:r>
          </w:p>
        </w:tc>
        <w:tc>
          <w:tcPr>
            <w:tcW w:w="948" w:type="dxa"/>
            <w:shd w:val="clear" w:color="000000" w:fill="BFBFBF" w:themeFill="background1" w:themeFillShade="BF"/>
            <w:vAlign w:val="bottom"/>
          </w:tcPr>
          <w:p w:rsidR="003A497B" w:rsidRPr="004074EC" w:rsidRDefault="003A497B" w:rsidP="003E1809">
            <w:pPr>
              <w:jc w:val="right"/>
              <w:rPr>
                <w:rFonts w:ascii="Times New Roman" w:hAnsi="Times New Roman" w:cs="Times New Roman"/>
                <w:b/>
                <w:bCs/>
                <w:color w:val="000000"/>
                <w:sz w:val="14"/>
                <w:szCs w:val="14"/>
                <w:lang w:eastAsia="sk-SK"/>
              </w:rPr>
            </w:pPr>
            <w:r w:rsidRPr="004074EC">
              <w:rPr>
                <w:rFonts w:ascii="Times New Roman" w:hAnsi="Times New Roman" w:cs="Times New Roman"/>
                <w:b/>
                <w:bCs/>
                <w:color w:val="000000"/>
                <w:sz w:val="14"/>
                <w:szCs w:val="14"/>
                <w:lang w:eastAsia="sk-SK"/>
              </w:rPr>
              <w:t>1 176 185 143</w:t>
            </w:r>
          </w:p>
        </w:tc>
        <w:tc>
          <w:tcPr>
            <w:tcW w:w="948" w:type="dxa"/>
            <w:shd w:val="clear" w:color="000000" w:fill="BFBFBF" w:themeFill="background1" w:themeFillShade="BF"/>
            <w:vAlign w:val="bottom"/>
          </w:tcPr>
          <w:p w:rsidR="003A497B" w:rsidRPr="009C6686" w:rsidRDefault="003A497B" w:rsidP="003E1809">
            <w:pPr>
              <w:jc w:val="right"/>
              <w:rPr>
                <w:rFonts w:ascii="Times New Roman" w:hAnsi="Times New Roman" w:cs="Times New Roman"/>
                <w:b/>
                <w:bCs/>
                <w:color w:val="000000"/>
                <w:sz w:val="14"/>
                <w:szCs w:val="14"/>
                <w:lang w:eastAsia="sk-SK"/>
              </w:rPr>
            </w:pPr>
            <w:r w:rsidRPr="009C6686">
              <w:rPr>
                <w:rFonts w:ascii="Times New Roman" w:hAnsi="Times New Roman" w:cs="Times New Roman"/>
                <w:b/>
                <w:bCs/>
                <w:color w:val="000000"/>
                <w:sz w:val="14"/>
                <w:szCs w:val="14"/>
              </w:rPr>
              <w:t>1 584 638 649</w:t>
            </w:r>
          </w:p>
        </w:tc>
        <w:tc>
          <w:tcPr>
            <w:tcW w:w="948" w:type="dxa"/>
            <w:shd w:val="clear" w:color="000000" w:fill="BFBFBF" w:themeFill="background1" w:themeFillShade="BF"/>
            <w:vAlign w:val="bottom"/>
          </w:tcPr>
          <w:p w:rsidR="003A497B" w:rsidRPr="003C4FFF" w:rsidRDefault="003A497B" w:rsidP="003E1809">
            <w:pPr>
              <w:jc w:val="right"/>
              <w:rPr>
                <w:rFonts w:ascii="Times New Roman" w:hAnsi="Times New Roman" w:cs="Times New Roman"/>
                <w:b/>
                <w:bCs/>
                <w:color w:val="000000"/>
                <w:sz w:val="14"/>
                <w:szCs w:val="14"/>
                <w:lang w:eastAsia="sk-SK"/>
              </w:rPr>
            </w:pPr>
            <w:r w:rsidRPr="003C4FFF">
              <w:rPr>
                <w:rFonts w:ascii="Times New Roman" w:hAnsi="Times New Roman" w:cs="Times New Roman"/>
                <w:b/>
                <w:bCs/>
                <w:color w:val="000000"/>
                <w:sz w:val="14"/>
                <w:szCs w:val="14"/>
              </w:rPr>
              <w:t>1 1</w:t>
            </w:r>
            <w:r>
              <w:rPr>
                <w:rFonts w:ascii="Times New Roman" w:hAnsi="Times New Roman" w:cs="Times New Roman"/>
                <w:b/>
                <w:bCs/>
                <w:color w:val="000000"/>
                <w:sz w:val="14"/>
                <w:szCs w:val="14"/>
              </w:rPr>
              <w:t>5</w:t>
            </w:r>
            <w:r w:rsidRPr="003C4FFF">
              <w:rPr>
                <w:rFonts w:ascii="Times New Roman" w:hAnsi="Times New Roman" w:cs="Times New Roman"/>
                <w:b/>
                <w:bCs/>
                <w:color w:val="000000"/>
                <w:sz w:val="14"/>
                <w:szCs w:val="14"/>
              </w:rPr>
              <w:t xml:space="preserve">3 </w:t>
            </w:r>
            <w:r>
              <w:rPr>
                <w:rFonts w:ascii="Times New Roman" w:hAnsi="Times New Roman" w:cs="Times New Roman"/>
                <w:b/>
                <w:bCs/>
                <w:color w:val="000000"/>
                <w:sz w:val="14"/>
                <w:szCs w:val="14"/>
              </w:rPr>
              <w:t>9</w:t>
            </w:r>
            <w:r w:rsidRPr="003C4FFF">
              <w:rPr>
                <w:rFonts w:ascii="Times New Roman" w:hAnsi="Times New Roman" w:cs="Times New Roman"/>
                <w:b/>
                <w:bCs/>
                <w:color w:val="000000"/>
                <w:sz w:val="14"/>
                <w:szCs w:val="14"/>
              </w:rPr>
              <w:t>30 897</w:t>
            </w:r>
          </w:p>
        </w:tc>
        <w:tc>
          <w:tcPr>
            <w:tcW w:w="948" w:type="dxa"/>
            <w:shd w:val="clear" w:color="000000" w:fill="BFBFBF" w:themeFill="background1" w:themeFillShade="BF"/>
            <w:vAlign w:val="bottom"/>
          </w:tcPr>
          <w:p w:rsidR="003A497B" w:rsidRPr="003C4FFF" w:rsidRDefault="003A497B" w:rsidP="003E1809">
            <w:pPr>
              <w:jc w:val="right"/>
              <w:rPr>
                <w:rFonts w:ascii="Times New Roman" w:hAnsi="Times New Roman" w:cs="Times New Roman"/>
                <w:b/>
                <w:bCs/>
                <w:color w:val="000000"/>
                <w:sz w:val="14"/>
                <w:szCs w:val="14"/>
              </w:rPr>
            </w:pPr>
            <w:r w:rsidRPr="003C4FFF">
              <w:rPr>
                <w:rFonts w:ascii="Times New Roman" w:hAnsi="Times New Roman" w:cs="Times New Roman"/>
                <w:b/>
                <w:bCs/>
                <w:color w:val="000000"/>
                <w:sz w:val="14"/>
                <w:szCs w:val="14"/>
              </w:rPr>
              <w:t>1 420 658 704</w:t>
            </w:r>
          </w:p>
        </w:tc>
        <w:tc>
          <w:tcPr>
            <w:tcW w:w="948" w:type="dxa"/>
            <w:shd w:val="clear" w:color="000000" w:fill="BFBFBF" w:themeFill="background1" w:themeFillShade="BF"/>
            <w:vAlign w:val="bottom"/>
          </w:tcPr>
          <w:p w:rsidR="003A497B" w:rsidRPr="003C4FFF" w:rsidRDefault="003A497B" w:rsidP="003E1809">
            <w:pPr>
              <w:jc w:val="right"/>
              <w:rPr>
                <w:rFonts w:ascii="Times New Roman" w:hAnsi="Times New Roman" w:cs="Times New Roman"/>
                <w:b/>
                <w:bCs/>
                <w:color w:val="000000"/>
                <w:sz w:val="14"/>
                <w:szCs w:val="14"/>
              </w:rPr>
            </w:pPr>
            <w:r w:rsidRPr="003C4FFF">
              <w:rPr>
                <w:rFonts w:ascii="Times New Roman" w:hAnsi="Times New Roman" w:cs="Times New Roman"/>
                <w:b/>
                <w:bCs/>
                <w:color w:val="000000"/>
                <w:sz w:val="14"/>
                <w:szCs w:val="14"/>
              </w:rPr>
              <w:t>1 460 503 395</w:t>
            </w:r>
          </w:p>
        </w:tc>
      </w:tr>
      <w:tr w:rsidR="003A497B" w:rsidRPr="00900D1A" w:rsidTr="00C311BC">
        <w:trPr>
          <w:trHeight w:val="285"/>
        </w:trPr>
        <w:tc>
          <w:tcPr>
            <w:tcW w:w="2425" w:type="dxa"/>
            <w:shd w:val="clear" w:color="000000" w:fill="BFBFBF" w:themeFill="background1" w:themeFillShade="BF"/>
            <w:noWrap/>
            <w:vAlign w:val="bottom"/>
            <w:hideMark/>
          </w:tcPr>
          <w:p w:rsidR="003A497B" w:rsidRPr="00346A12" w:rsidRDefault="003A497B" w:rsidP="003E1809">
            <w:pP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Zdroje príslušnej kapitoly </w:t>
            </w:r>
          </w:p>
        </w:tc>
        <w:tc>
          <w:tcPr>
            <w:tcW w:w="949" w:type="dxa"/>
            <w:shd w:val="clear" w:color="000000" w:fill="BFBFBF" w:themeFill="background1" w:themeFillShade="BF"/>
            <w:vAlign w:val="bottom"/>
          </w:tcPr>
          <w:p w:rsidR="003A497B" w:rsidRPr="004074EC" w:rsidRDefault="003A497B" w:rsidP="003E1809">
            <w:pPr>
              <w:jc w:val="right"/>
              <w:rPr>
                <w:rFonts w:ascii="Times New Roman" w:hAnsi="Times New Roman" w:cs="Times New Roman"/>
                <w:b/>
                <w:bCs/>
                <w:color w:val="000000"/>
                <w:sz w:val="14"/>
                <w:szCs w:val="14"/>
                <w:lang w:eastAsia="sk-SK"/>
              </w:rPr>
            </w:pPr>
            <w:r w:rsidRPr="004074EC">
              <w:rPr>
                <w:rFonts w:ascii="Times New Roman" w:hAnsi="Times New Roman" w:cs="Times New Roman"/>
                <w:b/>
                <w:bCs/>
                <w:color w:val="000000"/>
                <w:sz w:val="14"/>
                <w:szCs w:val="14"/>
                <w:lang w:eastAsia="sk-SK"/>
              </w:rPr>
              <w:t>1 488 293 230</w:t>
            </w:r>
          </w:p>
        </w:tc>
        <w:tc>
          <w:tcPr>
            <w:tcW w:w="948" w:type="dxa"/>
            <w:shd w:val="clear" w:color="000000" w:fill="BFBFBF" w:themeFill="background1" w:themeFillShade="BF"/>
            <w:vAlign w:val="bottom"/>
          </w:tcPr>
          <w:p w:rsidR="003A497B" w:rsidRPr="004074EC" w:rsidRDefault="003A497B" w:rsidP="003E1809">
            <w:pPr>
              <w:jc w:val="right"/>
              <w:rPr>
                <w:rFonts w:ascii="Times New Roman" w:hAnsi="Times New Roman" w:cs="Times New Roman"/>
                <w:b/>
                <w:bCs/>
                <w:color w:val="000000"/>
                <w:sz w:val="14"/>
                <w:szCs w:val="14"/>
                <w:lang w:eastAsia="sk-SK"/>
              </w:rPr>
            </w:pPr>
            <w:r w:rsidRPr="004074EC">
              <w:rPr>
                <w:rFonts w:ascii="Times New Roman" w:hAnsi="Times New Roman" w:cs="Times New Roman"/>
                <w:b/>
                <w:bCs/>
                <w:color w:val="000000"/>
                <w:sz w:val="14"/>
                <w:szCs w:val="14"/>
                <w:lang w:eastAsia="sk-SK"/>
              </w:rPr>
              <w:t>1 725 193 730</w:t>
            </w:r>
          </w:p>
        </w:tc>
        <w:tc>
          <w:tcPr>
            <w:tcW w:w="948" w:type="dxa"/>
            <w:shd w:val="clear" w:color="000000" w:fill="BFBFBF" w:themeFill="background1" w:themeFillShade="BF"/>
            <w:vAlign w:val="bottom"/>
          </w:tcPr>
          <w:p w:rsidR="003A497B" w:rsidRPr="004074EC" w:rsidRDefault="003A497B" w:rsidP="003E1809">
            <w:pPr>
              <w:jc w:val="right"/>
              <w:rPr>
                <w:rFonts w:ascii="Times New Roman" w:hAnsi="Times New Roman" w:cs="Times New Roman"/>
                <w:b/>
                <w:bCs/>
                <w:color w:val="000000"/>
                <w:sz w:val="14"/>
                <w:szCs w:val="14"/>
                <w:lang w:eastAsia="sk-SK"/>
              </w:rPr>
            </w:pPr>
            <w:r w:rsidRPr="004074EC">
              <w:rPr>
                <w:rFonts w:ascii="Times New Roman" w:hAnsi="Times New Roman" w:cs="Times New Roman"/>
                <w:b/>
                <w:bCs/>
                <w:color w:val="000000"/>
                <w:sz w:val="14"/>
                <w:szCs w:val="14"/>
                <w:lang w:eastAsia="sk-SK"/>
              </w:rPr>
              <w:t>1 176 185 143</w:t>
            </w:r>
          </w:p>
        </w:tc>
        <w:tc>
          <w:tcPr>
            <w:tcW w:w="948" w:type="dxa"/>
            <w:shd w:val="clear" w:color="000000" w:fill="BFBFBF" w:themeFill="background1" w:themeFillShade="BF"/>
            <w:vAlign w:val="bottom"/>
          </w:tcPr>
          <w:p w:rsidR="003A497B" w:rsidRPr="009C6686" w:rsidRDefault="003A497B" w:rsidP="003E1809">
            <w:pPr>
              <w:jc w:val="right"/>
              <w:rPr>
                <w:rFonts w:ascii="Times New Roman" w:hAnsi="Times New Roman" w:cs="Times New Roman"/>
                <w:b/>
                <w:bCs/>
                <w:color w:val="000000"/>
                <w:sz w:val="14"/>
                <w:szCs w:val="14"/>
              </w:rPr>
            </w:pPr>
            <w:r w:rsidRPr="009C6686">
              <w:rPr>
                <w:rFonts w:ascii="Times New Roman" w:hAnsi="Times New Roman" w:cs="Times New Roman"/>
                <w:b/>
                <w:bCs/>
                <w:color w:val="000000"/>
                <w:sz w:val="14"/>
                <w:szCs w:val="14"/>
              </w:rPr>
              <w:t>1 584 638 649</w:t>
            </w:r>
          </w:p>
        </w:tc>
        <w:tc>
          <w:tcPr>
            <w:tcW w:w="948" w:type="dxa"/>
            <w:shd w:val="clear" w:color="000000" w:fill="BFBFBF" w:themeFill="background1" w:themeFillShade="BF"/>
            <w:vAlign w:val="bottom"/>
          </w:tcPr>
          <w:p w:rsidR="003A497B" w:rsidRPr="003C4FFF" w:rsidRDefault="003A497B" w:rsidP="003E1809">
            <w:pPr>
              <w:jc w:val="right"/>
              <w:rPr>
                <w:rFonts w:ascii="Times New Roman" w:hAnsi="Times New Roman" w:cs="Times New Roman"/>
                <w:b/>
                <w:bCs/>
                <w:color w:val="000000"/>
                <w:sz w:val="14"/>
                <w:szCs w:val="14"/>
              </w:rPr>
            </w:pPr>
            <w:r w:rsidRPr="003C4FFF">
              <w:rPr>
                <w:rFonts w:ascii="Times New Roman" w:hAnsi="Times New Roman" w:cs="Times New Roman"/>
                <w:b/>
                <w:bCs/>
                <w:color w:val="000000"/>
                <w:sz w:val="14"/>
                <w:szCs w:val="14"/>
              </w:rPr>
              <w:t>1 1</w:t>
            </w:r>
            <w:r>
              <w:rPr>
                <w:rFonts w:ascii="Times New Roman" w:hAnsi="Times New Roman" w:cs="Times New Roman"/>
                <w:b/>
                <w:bCs/>
                <w:color w:val="000000"/>
                <w:sz w:val="14"/>
                <w:szCs w:val="14"/>
              </w:rPr>
              <w:t>5</w:t>
            </w:r>
            <w:r w:rsidRPr="003C4FFF">
              <w:rPr>
                <w:rFonts w:ascii="Times New Roman" w:hAnsi="Times New Roman" w:cs="Times New Roman"/>
                <w:b/>
                <w:bCs/>
                <w:color w:val="000000"/>
                <w:sz w:val="14"/>
                <w:szCs w:val="14"/>
              </w:rPr>
              <w:t xml:space="preserve">3 </w:t>
            </w:r>
            <w:r>
              <w:rPr>
                <w:rFonts w:ascii="Times New Roman" w:hAnsi="Times New Roman" w:cs="Times New Roman"/>
                <w:b/>
                <w:bCs/>
                <w:color w:val="000000"/>
                <w:sz w:val="14"/>
                <w:szCs w:val="14"/>
              </w:rPr>
              <w:t>8</w:t>
            </w:r>
            <w:r w:rsidRPr="003C4FFF">
              <w:rPr>
                <w:rFonts w:ascii="Times New Roman" w:hAnsi="Times New Roman" w:cs="Times New Roman"/>
                <w:b/>
                <w:bCs/>
                <w:color w:val="000000"/>
                <w:sz w:val="14"/>
                <w:szCs w:val="14"/>
              </w:rPr>
              <w:t>30 897</w:t>
            </w:r>
          </w:p>
        </w:tc>
        <w:tc>
          <w:tcPr>
            <w:tcW w:w="948" w:type="dxa"/>
            <w:shd w:val="clear" w:color="000000" w:fill="BFBFBF" w:themeFill="background1" w:themeFillShade="BF"/>
            <w:vAlign w:val="bottom"/>
          </w:tcPr>
          <w:p w:rsidR="003A497B" w:rsidRPr="003C4FFF" w:rsidRDefault="003A497B" w:rsidP="003E1809">
            <w:pPr>
              <w:jc w:val="right"/>
              <w:rPr>
                <w:rFonts w:ascii="Times New Roman" w:hAnsi="Times New Roman" w:cs="Times New Roman"/>
                <w:b/>
                <w:bCs/>
                <w:color w:val="000000"/>
                <w:sz w:val="14"/>
                <w:szCs w:val="14"/>
              </w:rPr>
            </w:pPr>
            <w:r w:rsidRPr="003C4FFF">
              <w:rPr>
                <w:rFonts w:ascii="Times New Roman" w:hAnsi="Times New Roman" w:cs="Times New Roman"/>
                <w:b/>
                <w:bCs/>
                <w:color w:val="000000"/>
                <w:sz w:val="14"/>
                <w:szCs w:val="14"/>
              </w:rPr>
              <w:t>1 420 558 704</w:t>
            </w:r>
          </w:p>
        </w:tc>
        <w:tc>
          <w:tcPr>
            <w:tcW w:w="948" w:type="dxa"/>
            <w:shd w:val="clear" w:color="000000" w:fill="BFBFBF" w:themeFill="background1" w:themeFillShade="BF"/>
            <w:vAlign w:val="bottom"/>
          </w:tcPr>
          <w:p w:rsidR="003A497B" w:rsidRPr="003C4FFF" w:rsidRDefault="003A497B" w:rsidP="003E1809">
            <w:pPr>
              <w:jc w:val="right"/>
              <w:rPr>
                <w:rFonts w:ascii="Times New Roman" w:hAnsi="Times New Roman" w:cs="Times New Roman"/>
                <w:b/>
                <w:bCs/>
                <w:color w:val="000000"/>
                <w:sz w:val="14"/>
                <w:szCs w:val="14"/>
              </w:rPr>
            </w:pPr>
            <w:r w:rsidRPr="003C4FFF">
              <w:rPr>
                <w:rFonts w:ascii="Times New Roman" w:hAnsi="Times New Roman" w:cs="Times New Roman"/>
                <w:b/>
                <w:bCs/>
                <w:color w:val="000000"/>
                <w:sz w:val="14"/>
                <w:szCs w:val="14"/>
              </w:rPr>
              <w:t>1 460 403 395</w:t>
            </w:r>
          </w:p>
        </w:tc>
      </w:tr>
      <w:tr w:rsidR="003A497B" w:rsidRPr="00900D1A" w:rsidTr="00C311BC">
        <w:trPr>
          <w:trHeight w:hRule="exact" w:val="284"/>
        </w:trPr>
        <w:tc>
          <w:tcPr>
            <w:tcW w:w="2425" w:type="dxa"/>
            <w:shd w:val="clear" w:color="auto" w:fill="auto"/>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z toho:</w:t>
            </w:r>
          </w:p>
        </w:tc>
        <w:tc>
          <w:tcPr>
            <w:tcW w:w="949" w:type="dxa"/>
            <w:shd w:val="clear" w:color="auto" w:fill="auto"/>
            <w:noWrap/>
            <w:vAlign w:val="bottom"/>
          </w:tcPr>
          <w:p w:rsidR="003A497B" w:rsidRPr="004074EC" w:rsidRDefault="003A497B" w:rsidP="003E1809">
            <w:pPr>
              <w:jc w:val="right"/>
              <w:rPr>
                <w:rFonts w:ascii="Times New Roman" w:hAnsi="Times New Roman" w:cs="Times New Roman"/>
                <w:b/>
                <w:bCs/>
                <w:color w:val="000000"/>
                <w:sz w:val="14"/>
                <w:szCs w:val="14"/>
                <w:lang w:eastAsia="sk-SK"/>
              </w:rPr>
            </w:pPr>
          </w:p>
        </w:tc>
        <w:tc>
          <w:tcPr>
            <w:tcW w:w="948" w:type="dxa"/>
            <w:shd w:val="clear" w:color="auto" w:fill="auto"/>
            <w:noWrap/>
            <w:vAlign w:val="bottom"/>
          </w:tcPr>
          <w:p w:rsidR="003A497B" w:rsidRPr="004074EC" w:rsidRDefault="003A497B" w:rsidP="003E1809">
            <w:pPr>
              <w:jc w:val="right"/>
              <w:rPr>
                <w:rFonts w:ascii="Times New Roman" w:hAnsi="Times New Roman" w:cs="Times New Roman"/>
                <w:b/>
                <w:bCs/>
                <w:color w:val="000000"/>
                <w:sz w:val="14"/>
                <w:szCs w:val="14"/>
                <w:lang w:eastAsia="sk-SK"/>
              </w:rPr>
            </w:pPr>
          </w:p>
        </w:tc>
        <w:tc>
          <w:tcPr>
            <w:tcW w:w="948" w:type="dxa"/>
            <w:shd w:val="clear" w:color="auto" w:fill="auto"/>
            <w:noWrap/>
            <w:vAlign w:val="bottom"/>
          </w:tcPr>
          <w:p w:rsidR="003A497B" w:rsidRPr="004074EC" w:rsidRDefault="003A497B" w:rsidP="003E1809">
            <w:pPr>
              <w:jc w:val="right"/>
              <w:rPr>
                <w:rFonts w:ascii="Times New Roman" w:hAnsi="Times New Roman" w:cs="Times New Roman"/>
                <w:b/>
                <w:bCs/>
                <w:color w:val="000000"/>
                <w:sz w:val="14"/>
                <w:szCs w:val="14"/>
                <w:lang w:eastAsia="sk-SK"/>
              </w:rPr>
            </w:pPr>
          </w:p>
        </w:tc>
        <w:tc>
          <w:tcPr>
            <w:tcW w:w="948" w:type="dxa"/>
            <w:shd w:val="clear" w:color="auto" w:fill="auto"/>
            <w:noWrap/>
            <w:vAlign w:val="bottom"/>
          </w:tcPr>
          <w:p w:rsidR="003A497B" w:rsidRPr="009C6686" w:rsidRDefault="003A497B" w:rsidP="003E1809">
            <w:pPr>
              <w:jc w:val="right"/>
              <w:rPr>
                <w:rFonts w:ascii="Times New Roman" w:hAnsi="Times New Roman" w:cs="Times New Roman"/>
                <w:color w:val="000000"/>
                <w:sz w:val="14"/>
                <w:szCs w:val="14"/>
              </w:rPr>
            </w:pPr>
            <w:r w:rsidRPr="009C6686">
              <w:rPr>
                <w:rFonts w:ascii="Times New Roman" w:hAnsi="Times New Roman" w:cs="Times New Roman"/>
                <w:color w:val="000000"/>
                <w:sz w:val="14"/>
                <w:szCs w:val="14"/>
              </w:rPr>
              <w:t> </w:t>
            </w:r>
          </w:p>
        </w:tc>
        <w:tc>
          <w:tcPr>
            <w:tcW w:w="948" w:type="dxa"/>
            <w:shd w:val="clear" w:color="auto" w:fill="auto"/>
            <w:noWrap/>
            <w:vAlign w:val="bottom"/>
          </w:tcPr>
          <w:p w:rsidR="003A497B" w:rsidRPr="003C4FFF" w:rsidRDefault="003A497B" w:rsidP="003E1809">
            <w:pPr>
              <w:jc w:val="right"/>
              <w:rPr>
                <w:rFonts w:ascii="Times New Roman" w:hAnsi="Times New Roman" w:cs="Times New Roman"/>
                <w:color w:val="000000"/>
                <w:sz w:val="14"/>
                <w:szCs w:val="14"/>
              </w:rPr>
            </w:pPr>
            <w:r w:rsidRPr="003C4FFF">
              <w:rPr>
                <w:rFonts w:ascii="Times New Roman" w:hAnsi="Times New Roman" w:cs="Times New Roman"/>
                <w:color w:val="000000"/>
                <w:sz w:val="14"/>
                <w:szCs w:val="14"/>
              </w:rPr>
              <w:t> </w:t>
            </w:r>
          </w:p>
        </w:tc>
        <w:tc>
          <w:tcPr>
            <w:tcW w:w="948" w:type="dxa"/>
            <w:shd w:val="clear" w:color="auto" w:fill="auto"/>
            <w:noWrap/>
            <w:vAlign w:val="bottom"/>
          </w:tcPr>
          <w:p w:rsidR="003A497B" w:rsidRPr="003C4FFF" w:rsidRDefault="003A497B" w:rsidP="003E1809">
            <w:pPr>
              <w:jc w:val="right"/>
              <w:rPr>
                <w:rFonts w:ascii="Times New Roman" w:hAnsi="Times New Roman" w:cs="Times New Roman"/>
                <w:color w:val="000000"/>
                <w:sz w:val="14"/>
                <w:szCs w:val="14"/>
              </w:rPr>
            </w:pPr>
            <w:r w:rsidRPr="003C4FFF">
              <w:rPr>
                <w:rFonts w:ascii="Times New Roman" w:hAnsi="Times New Roman" w:cs="Times New Roman"/>
                <w:color w:val="000000"/>
                <w:sz w:val="14"/>
                <w:szCs w:val="14"/>
              </w:rPr>
              <w:t> </w:t>
            </w:r>
          </w:p>
        </w:tc>
        <w:tc>
          <w:tcPr>
            <w:tcW w:w="948" w:type="dxa"/>
            <w:shd w:val="clear" w:color="auto" w:fill="auto"/>
            <w:noWrap/>
            <w:vAlign w:val="bottom"/>
          </w:tcPr>
          <w:p w:rsidR="003A497B" w:rsidRPr="003C4FFF" w:rsidRDefault="003A497B" w:rsidP="003E1809">
            <w:pPr>
              <w:jc w:val="right"/>
              <w:rPr>
                <w:rFonts w:ascii="Times New Roman" w:hAnsi="Times New Roman" w:cs="Times New Roman"/>
                <w:color w:val="000000"/>
                <w:sz w:val="14"/>
                <w:szCs w:val="14"/>
              </w:rPr>
            </w:pPr>
            <w:r w:rsidRPr="003C4FFF">
              <w:rPr>
                <w:rFonts w:ascii="Times New Roman" w:hAnsi="Times New Roman" w:cs="Times New Roman"/>
                <w:color w:val="000000"/>
                <w:sz w:val="14"/>
                <w:szCs w:val="14"/>
              </w:rPr>
              <w:t> </w:t>
            </w:r>
          </w:p>
        </w:tc>
      </w:tr>
      <w:tr w:rsidR="003A497B" w:rsidRPr="00900D1A" w:rsidTr="00C311BC">
        <w:trPr>
          <w:trHeight w:hRule="exact" w:val="284"/>
        </w:trPr>
        <w:tc>
          <w:tcPr>
            <w:tcW w:w="2425" w:type="dxa"/>
            <w:shd w:val="clear" w:color="auto" w:fill="auto"/>
            <w:noWrap/>
            <w:vAlign w:val="bottom"/>
            <w:hideMark/>
          </w:tcPr>
          <w:p w:rsidR="003A497B" w:rsidRPr="0095721B" w:rsidRDefault="003A497B" w:rsidP="003E1809">
            <w:pPr>
              <w:rPr>
                <w:rFonts w:ascii="Times New Roman" w:hAnsi="Times New Roman" w:cs="Times New Roman"/>
                <w:b/>
                <w:color w:val="000000"/>
                <w:sz w:val="14"/>
                <w:szCs w:val="14"/>
                <w:lang w:eastAsia="sk-SK"/>
              </w:rPr>
            </w:pPr>
            <w:r w:rsidRPr="0095721B">
              <w:rPr>
                <w:rFonts w:ascii="Times New Roman" w:hAnsi="Times New Roman" w:cs="Times New Roman"/>
                <w:b/>
                <w:color w:val="000000"/>
                <w:sz w:val="14"/>
                <w:szCs w:val="14"/>
                <w:lang w:eastAsia="sk-SK"/>
              </w:rPr>
              <w:t xml:space="preserve">rozpočtové zdroje kapitoly </w:t>
            </w:r>
          </w:p>
        </w:tc>
        <w:tc>
          <w:tcPr>
            <w:tcW w:w="949" w:type="dxa"/>
            <w:shd w:val="clear" w:color="auto" w:fill="auto"/>
            <w:vAlign w:val="bottom"/>
            <w:hideMark/>
          </w:tcPr>
          <w:p w:rsidR="003A497B" w:rsidRPr="00425D81" w:rsidRDefault="003A497B" w:rsidP="003E1809">
            <w:pPr>
              <w:jc w:val="right"/>
              <w:rPr>
                <w:rFonts w:ascii="Times New Roman" w:hAnsi="Times New Roman" w:cs="Times New Roman"/>
                <w:b/>
                <w:color w:val="000000"/>
                <w:sz w:val="14"/>
                <w:szCs w:val="14"/>
                <w:lang w:eastAsia="sk-SK"/>
              </w:rPr>
            </w:pPr>
            <w:r w:rsidRPr="00425D81">
              <w:rPr>
                <w:rFonts w:ascii="Times New Roman" w:hAnsi="Times New Roman" w:cs="Times New Roman"/>
                <w:b/>
                <w:color w:val="000000"/>
                <w:sz w:val="14"/>
                <w:szCs w:val="14"/>
                <w:lang w:eastAsia="sk-SK"/>
              </w:rPr>
              <w:t>1 107 492 717</w:t>
            </w:r>
          </w:p>
        </w:tc>
        <w:tc>
          <w:tcPr>
            <w:tcW w:w="948" w:type="dxa"/>
            <w:shd w:val="clear" w:color="auto" w:fill="auto"/>
            <w:vAlign w:val="bottom"/>
            <w:hideMark/>
          </w:tcPr>
          <w:p w:rsidR="003A497B" w:rsidRPr="00425D81" w:rsidRDefault="003A497B" w:rsidP="003E1809">
            <w:pPr>
              <w:jc w:val="right"/>
              <w:rPr>
                <w:rFonts w:ascii="Times New Roman" w:hAnsi="Times New Roman" w:cs="Times New Roman"/>
                <w:b/>
                <w:color w:val="000000"/>
                <w:sz w:val="14"/>
                <w:szCs w:val="14"/>
                <w:lang w:eastAsia="sk-SK"/>
              </w:rPr>
            </w:pPr>
            <w:r w:rsidRPr="00425D81">
              <w:rPr>
                <w:rFonts w:ascii="Times New Roman" w:hAnsi="Times New Roman" w:cs="Times New Roman"/>
                <w:b/>
                <w:color w:val="000000"/>
                <w:sz w:val="14"/>
                <w:szCs w:val="14"/>
                <w:lang w:eastAsia="sk-SK"/>
              </w:rPr>
              <w:t>1 187 193 702</w:t>
            </w:r>
          </w:p>
        </w:tc>
        <w:tc>
          <w:tcPr>
            <w:tcW w:w="948" w:type="dxa"/>
            <w:shd w:val="clear" w:color="auto" w:fill="auto"/>
            <w:vAlign w:val="bottom"/>
            <w:hideMark/>
          </w:tcPr>
          <w:p w:rsidR="003A497B" w:rsidRPr="00425D81" w:rsidRDefault="003A497B" w:rsidP="003E1809">
            <w:pPr>
              <w:jc w:val="right"/>
              <w:rPr>
                <w:rFonts w:ascii="Times New Roman" w:hAnsi="Times New Roman" w:cs="Times New Roman"/>
                <w:b/>
                <w:color w:val="000000"/>
                <w:sz w:val="14"/>
                <w:szCs w:val="14"/>
                <w:lang w:eastAsia="sk-SK"/>
              </w:rPr>
            </w:pPr>
            <w:r w:rsidRPr="00425D81">
              <w:rPr>
                <w:rFonts w:ascii="Times New Roman" w:hAnsi="Times New Roman" w:cs="Times New Roman"/>
                <w:b/>
                <w:color w:val="000000"/>
                <w:sz w:val="14"/>
                <w:szCs w:val="14"/>
                <w:lang w:eastAsia="sk-SK"/>
              </w:rPr>
              <w:t>1 176 185 143</w:t>
            </w:r>
          </w:p>
        </w:tc>
        <w:tc>
          <w:tcPr>
            <w:tcW w:w="948" w:type="dxa"/>
            <w:shd w:val="clear" w:color="auto" w:fill="auto"/>
            <w:vAlign w:val="bottom"/>
            <w:hideMark/>
          </w:tcPr>
          <w:p w:rsidR="003A497B" w:rsidRPr="009C6686" w:rsidRDefault="003A497B" w:rsidP="003E1809">
            <w:pPr>
              <w:jc w:val="right"/>
              <w:rPr>
                <w:rFonts w:ascii="Times New Roman" w:hAnsi="Times New Roman" w:cs="Times New Roman"/>
                <w:b/>
                <w:color w:val="000000"/>
                <w:sz w:val="14"/>
                <w:szCs w:val="14"/>
              </w:rPr>
            </w:pPr>
            <w:r w:rsidRPr="009C6686">
              <w:rPr>
                <w:rFonts w:ascii="Times New Roman" w:hAnsi="Times New Roman" w:cs="Times New Roman"/>
                <w:b/>
                <w:color w:val="000000"/>
                <w:sz w:val="14"/>
                <w:szCs w:val="14"/>
              </w:rPr>
              <w:t>1 204 025 582</w:t>
            </w:r>
          </w:p>
        </w:tc>
        <w:tc>
          <w:tcPr>
            <w:tcW w:w="948" w:type="dxa"/>
            <w:shd w:val="clear" w:color="auto" w:fill="auto"/>
            <w:vAlign w:val="bottom"/>
            <w:hideMark/>
          </w:tcPr>
          <w:p w:rsidR="003A497B" w:rsidRPr="00B41C62" w:rsidRDefault="003A497B" w:rsidP="003E1809">
            <w:pPr>
              <w:jc w:val="right"/>
              <w:rPr>
                <w:rFonts w:ascii="Times New Roman" w:hAnsi="Times New Roman" w:cs="Times New Roman"/>
                <w:b/>
                <w:color w:val="000000"/>
                <w:sz w:val="14"/>
                <w:szCs w:val="14"/>
                <w:lang w:eastAsia="sk-SK"/>
              </w:rPr>
            </w:pPr>
            <w:r w:rsidRPr="00B41C62">
              <w:rPr>
                <w:rFonts w:ascii="Times New Roman" w:hAnsi="Times New Roman" w:cs="Times New Roman"/>
                <w:b/>
                <w:color w:val="000000"/>
                <w:sz w:val="14"/>
                <w:szCs w:val="14"/>
              </w:rPr>
              <w:t xml:space="preserve">1 </w:t>
            </w:r>
            <w:r>
              <w:rPr>
                <w:rFonts w:ascii="Times New Roman" w:hAnsi="Times New Roman" w:cs="Times New Roman"/>
                <w:b/>
                <w:color w:val="000000"/>
                <w:sz w:val="14"/>
                <w:szCs w:val="14"/>
              </w:rPr>
              <w:t>118</w:t>
            </w:r>
            <w:r w:rsidRPr="00B41C62">
              <w:rPr>
                <w:rFonts w:ascii="Times New Roman" w:hAnsi="Times New Roman" w:cs="Times New Roman"/>
                <w:b/>
                <w:color w:val="000000"/>
                <w:sz w:val="14"/>
                <w:szCs w:val="14"/>
              </w:rPr>
              <w:t xml:space="preserve"> </w:t>
            </w:r>
            <w:r>
              <w:rPr>
                <w:rFonts w:ascii="Times New Roman" w:hAnsi="Times New Roman" w:cs="Times New Roman"/>
                <w:b/>
                <w:color w:val="000000"/>
                <w:sz w:val="14"/>
                <w:szCs w:val="14"/>
              </w:rPr>
              <w:t>3</w:t>
            </w:r>
            <w:r w:rsidRPr="00B41C62">
              <w:rPr>
                <w:rFonts w:ascii="Times New Roman" w:hAnsi="Times New Roman" w:cs="Times New Roman"/>
                <w:b/>
                <w:color w:val="000000"/>
                <w:sz w:val="14"/>
                <w:szCs w:val="14"/>
              </w:rPr>
              <w:t>46 040</w:t>
            </w:r>
          </w:p>
        </w:tc>
        <w:tc>
          <w:tcPr>
            <w:tcW w:w="948" w:type="dxa"/>
            <w:shd w:val="clear" w:color="auto" w:fill="auto"/>
            <w:vAlign w:val="bottom"/>
            <w:hideMark/>
          </w:tcPr>
          <w:p w:rsidR="003A497B" w:rsidRPr="00B41C62" w:rsidRDefault="003A497B" w:rsidP="003E1809">
            <w:pPr>
              <w:jc w:val="right"/>
              <w:rPr>
                <w:rFonts w:ascii="Times New Roman" w:hAnsi="Times New Roman" w:cs="Times New Roman"/>
                <w:b/>
                <w:color w:val="000000"/>
                <w:sz w:val="14"/>
                <w:szCs w:val="14"/>
              </w:rPr>
            </w:pPr>
            <w:r w:rsidRPr="00B41C62">
              <w:rPr>
                <w:rFonts w:ascii="Times New Roman" w:hAnsi="Times New Roman" w:cs="Times New Roman"/>
                <w:b/>
                <w:color w:val="000000"/>
                <w:sz w:val="14"/>
                <w:szCs w:val="14"/>
              </w:rPr>
              <w:t>1 097 186 329</w:t>
            </w:r>
          </w:p>
        </w:tc>
        <w:tc>
          <w:tcPr>
            <w:tcW w:w="948" w:type="dxa"/>
            <w:shd w:val="clear" w:color="auto" w:fill="auto"/>
            <w:vAlign w:val="bottom"/>
            <w:hideMark/>
          </w:tcPr>
          <w:p w:rsidR="003A497B" w:rsidRPr="00B41C62" w:rsidRDefault="003A497B" w:rsidP="003E1809">
            <w:pPr>
              <w:jc w:val="right"/>
              <w:rPr>
                <w:rFonts w:ascii="Times New Roman" w:hAnsi="Times New Roman" w:cs="Times New Roman"/>
                <w:b/>
                <w:color w:val="000000"/>
                <w:sz w:val="14"/>
                <w:szCs w:val="14"/>
              </w:rPr>
            </w:pPr>
            <w:r w:rsidRPr="00B41C62">
              <w:rPr>
                <w:rFonts w:ascii="Times New Roman" w:hAnsi="Times New Roman" w:cs="Times New Roman"/>
                <w:b/>
                <w:color w:val="000000"/>
                <w:sz w:val="14"/>
                <w:szCs w:val="14"/>
              </w:rPr>
              <w:t>1 117 093 754</w:t>
            </w:r>
          </w:p>
        </w:tc>
      </w:tr>
      <w:tr w:rsidR="003A497B" w:rsidRPr="00900D1A" w:rsidTr="00C311BC">
        <w:trPr>
          <w:trHeight w:hRule="exact" w:val="284"/>
        </w:trPr>
        <w:tc>
          <w:tcPr>
            <w:tcW w:w="2425" w:type="dxa"/>
            <w:shd w:val="clear" w:color="auto" w:fill="auto"/>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v tom: bežné výdavky  600</w:t>
            </w:r>
          </w:p>
        </w:tc>
        <w:tc>
          <w:tcPr>
            <w:tcW w:w="949"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841 765 037</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964 297 937</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884 212 237</w:t>
            </w:r>
          </w:p>
        </w:tc>
        <w:tc>
          <w:tcPr>
            <w:tcW w:w="948" w:type="dxa"/>
            <w:shd w:val="clear" w:color="auto" w:fill="auto"/>
            <w:vAlign w:val="bottom"/>
          </w:tcPr>
          <w:p w:rsidR="003A497B" w:rsidRPr="009C6686" w:rsidRDefault="003A497B" w:rsidP="003E1809">
            <w:pPr>
              <w:jc w:val="right"/>
              <w:rPr>
                <w:rFonts w:ascii="Times New Roman" w:hAnsi="Times New Roman" w:cs="Times New Roman"/>
                <w:color w:val="000000"/>
                <w:sz w:val="14"/>
                <w:szCs w:val="14"/>
              </w:rPr>
            </w:pPr>
            <w:r w:rsidRPr="009C6686">
              <w:rPr>
                <w:rFonts w:ascii="Times New Roman" w:hAnsi="Times New Roman" w:cs="Times New Roman"/>
                <w:color w:val="000000"/>
                <w:sz w:val="14"/>
                <w:szCs w:val="14"/>
              </w:rPr>
              <w:t>910 126 324</w:t>
            </w:r>
          </w:p>
        </w:tc>
        <w:tc>
          <w:tcPr>
            <w:tcW w:w="948" w:type="dxa"/>
            <w:shd w:val="clear" w:color="auto" w:fill="auto"/>
            <w:vAlign w:val="bottom"/>
          </w:tcPr>
          <w:p w:rsidR="003A497B" w:rsidRPr="00B41C62" w:rsidRDefault="003A497B" w:rsidP="003E1809">
            <w:pPr>
              <w:jc w:val="right"/>
              <w:rPr>
                <w:rFonts w:ascii="Times New Roman" w:hAnsi="Times New Roman" w:cs="Times New Roman"/>
                <w:color w:val="000000"/>
                <w:sz w:val="14"/>
                <w:szCs w:val="14"/>
              </w:rPr>
            </w:pPr>
            <w:r w:rsidRPr="00B41C62">
              <w:rPr>
                <w:rFonts w:ascii="Times New Roman" w:hAnsi="Times New Roman" w:cs="Times New Roman"/>
                <w:color w:val="000000"/>
                <w:sz w:val="14"/>
                <w:szCs w:val="14"/>
              </w:rPr>
              <w:t>857 879 424</w:t>
            </w:r>
          </w:p>
        </w:tc>
        <w:tc>
          <w:tcPr>
            <w:tcW w:w="948" w:type="dxa"/>
            <w:shd w:val="clear" w:color="auto" w:fill="auto"/>
            <w:vAlign w:val="bottom"/>
          </w:tcPr>
          <w:p w:rsidR="003A497B" w:rsidRPr="00B41C62" w:rsidRDefault="003A497B" w:rsidP="003E1809">
            <w:pPr>
              <w:jc w:val="right"/>
              <w:rPr>
                <w:rFonts w:ascii="Times New Roman" w:hAnsi="Times New Roman" w:cs="Times New Roman"/>
                <w:color w:val="000000"/>
                <w:sz w:val="14"/>
                <w:szCs w:val="14"/>
              </w:rPr>
            </w:pPr>
            <w:r w:rsidRPr="00B41C62">
              <w:rPr>
                <w:rFonts w:ascii="Times New Roman" w:hAnsi="Times New Roman" w:cs="Times New Roman"/>
                <w:color w:val="000000"/>
                <w:sz w:val="14"/>
                <w:szCs w:val="14"/>
              </w:rPr>
              <w:t>861 172 817</w:t>
            </w:r>
          </w:p>
        </w:tc>
        <w:tc>
          <w:tcPr>
            <w:tcW w:w="948" w:type="dxa"/>
            <w:shd w:val="clear" w:color="auto" w:fill="auto"/>
            <w:vAlign w:val="bottom"/>
          </w:tcPr>
          <w:p w:rsidR="003A497B" w:rsidRPr="00B41C62" w:rsidRDefault="003A497B" w:rsidP="003E1809">
            <w:pPr>
              <w:jc w:val="right"/>
              <w:rPr>
                <w:rFonts w:ascii="Times New Roman" w:hAnsi="Times New Roman" w:cs="Times New Roman"/>
                <w:color w:val="000000"/>
                <w:sz w:val="14"/>
                <w:szCs w:val="14"/>
              </w:rPr>
            </w:pPr>
            <w:r w:rsidRPr="00B41C62">
              <w:rPr>
                <w:rFonts w:ascii="Times New Roman" w:hAnsi="Times New Roman" w:cs="Times New Roman"/>
                <w:color w:val="000000"/>
                <w:sz w:val="14"/>
                <w:szCs w:val="14"/>
              </w:rPr>
              <w:t>882 565 202</w:t>
            </w:r>
          </w:p>
        </w:tc>
      </w:tr>
      <w:tr w:rsidR="003A497B" w:rsidRPr="00900D1A" w:rsidTr="00C311BC">
        <w:trPr>
          <w:trHeight w:hRule="exact" w:val="284"/>
        </w:trPr>
        <w:tc>
          <w:tcPr>
            <w:tcW w:w="2425" w:type="dxa"/>
            <w:shd w:val="clear" w:color="auto" w:fill="auto"/>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 xml:space="preserve">             610 mzdy</w:t>
            </w:r>
          </w:p>
        </w:tc>
        <w:tc>
          <w:tcPr>
            <w:tcW w:w="949"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17 872 401</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20 235 162</w:t>
            </w:r>
          </w:p>
        </w:tc>
        <w:tc>
          <w:tcPr>
            <w:tcW w:w="948" w:type="dxa"/>
            <w:shd w:val="clear" w:color="auto" w:fill="auto"/>
            <w:vAlign w:val="bottom"/>
          </w:tcPr>
          <w:p w:rsidR="003A497B" w:rsidRPr="004074EC" w:rsidRDefault="003A497B" w:rsidP="003E1809">
            <w:pPr>
              <w:jc w:val="right"/>
              <w:rPr>
                <w:rFonts w:ascii="Times New Roman" w:hAnsi="Times New Roman" w:cs="Times New Roman"/>
                <w:sz w:val="14"/>
                <w:szCs w:val="14"/>
                <w:lang w:eastAsia="sk-SK"/>
              </w:rPr>
            </w:pPr>
            <w:r w:rsidRPr="004074EC">
              <w:rPr>
                <w:rFonts w:ascii="Times New Roman" w:hAnsi="Times New Roman" w:cs="Times New Roman"/>
                <w:sz w:val="14"/>
                <w:szCs w:val="14"/>
                <w:lang w:eastAsia="sk-SK"/>
              </w:rPr>
              <w:t>20 840 224</w:t>
            </w:r>
          </w:p>
        </w:tc>
        <w:tc>
          <w:tcPr>
            <w:tcW w:w="948" w:type="dxa"/>
            <w:shd w:val="clear" w:color="auto" w:fill="auto"/>
            <w:noWrap/>
            <w:vAlign w:val="bottom"/>
          </w:tcPr>
          <w:p w:rsidR="003A497B" w:rsidRPr="009C6686" w:rsidRDefault="003A497B" w:rsidP="003E1809">
            <w:pPr>
              <w:jc w:val="right"/>
              <w:rPr>
                <w:rFonts w:ascii="Times New Roman" w:hAnsi="Times New Roman" w:cs="Times New Roman"/>
                <w:sz w:val="14"/>
                <w:szCs w:val="14"/>
              </w:rPr>
            </w:pPr>
            <w:r w:rsidRPr="009C6686">
              <w:rPr>
                <w:rFonts w:ascii="Times New Roman" w:hAnsi="Times New Roman" w:cs="Times New Roman"/>
                <w:sz w:val="14"/>
                <w:szCs w:val="14"/>
              </w:rPr>
              <w:t>21 751 737</w:t>
            </w:r>
          </w:p>
        </w:tc>
        <w:tc>
          <w:tcPr>
            <w:tcW w:w="948" w:type="dxa"/>
            <w:shd w:val="clear" w:color="auto" w:fill="auto"/>
            <w:vAlign w:val="bottom"/>
          </w:tcPr>
          <w:p w:rsidR="003A497B" w:rsidRPr="00B41C62" w:rsidRDefault="003A497B" w:rsidP="003E1809">
            <w:pPr>
              <w:jc w:val="right"/>
              <w:rPr>
                <w:rFonts w:ascii="Times New Roman" w:hAnsi="Times New Roman" w:cs="Times New Roman"/>
                <w:color w:val="000000"/>
                <w:sz w:val="14"/>
                <w:szCs w:val="14"/>
              </w:rPr>
            </w:pPr>
            <w:r w:rsidRPr="00B41C62">
              <w:rPr>
                <w:rFonts w:ascii="Times New Roman" w:hAnsi="Times New Roman" w:cs="Times New Roman"/>
                <w:color w:val="000000"/>
                <w:sz w:val="14"/>
                <w:szCs w:val="14"/>
              </w:rPr>
              <w:t>22 300 345</w:t>
            </w:r>
          </w:p>
        </w:tc>
        <w:tc>
          <w:tcPr>
            <w:tcW w:w="948" w:type="dxa"/>
            <w:shd w:val="clear" w:color="auto" w:fill="auto"/>
            <w:vAlign w:val="bottom"/>
          </w:tcPr>
          <w:p w:rsidR="003A497B" w:rsidRPr="00B41C62" w:rsidRDefault="003A497B" w:rsidP="003E1809">
            <w:pPr>
              <w:jc w:val="right"/>
              <w:rPr>
                <w:rFonts w:ascii="Times New Roman" w:hAnsi="Times New Roman" w:cs="Times New Roman"/>
                <w:color w:val="000000"/>
                <w:sz w:val="14"/>
                <w:szCs w:val="14"/>
              </w:rPr>
            </w:pPr>
            <w:r w:rsidRPr="00B41C62">
              <w:rPr>
                <w:rFonts w:ascii="Times New Roman" w:hAnsi="Times New Roman" w:cs="Times New Roman"/>
                <w:color w:val="000000"/>
                <w:sz w:val="14"/>
                <w:szCs w:val="14"/>
              </w:rPr>
              <w:t>22 355 440</w:t>
            </w:r>
          </w:p>
        </w:tc>
        <w:tc>
          <w:tcPr>
            <w:tcW w:w="948" w:type="dxa"/>
            <w:shd w:val="clear" w:color="auto" w:fill="auto"/>
            <w:vAlign w:val="bottom"/>
          </w:tcPr>
          <w:p w:rsidR="003A497B" w:rsidRPr="00B41C62" w:rsidRDefault="003A497B" w:rsidP="003E1809">
            <w:pPr>
              <w:jc w:val="right"/>
              <w:rPr>
                <w:rFonts w:ascii="Times New Roman" w:hAnsi="Times New Roman" w:cs="Times New Roman"/>
                <w:color w:val="000000"/>
                <w:sz w:val="14"/>
                <w:szCs w:val="14"/>
              </w:rPr>
            </w:pPr>
            <w:r w:rsidRPr="00B41C62">
              <w:rPr>
                <w:rFonts w:ascii="Times New Roman" w:hAnsi="Times New Roman" w:cs="Times New Roman"/>
                <w:color w:val="000000"/>
                <w:sz w:val="14"/>
                <w:szCs w:val="14"/>
              </w:rPr>
              <w:t>22 355 440</w:t>
            </w:r>
          </w:p>
        </w:tc>
      </w:tr>
      <w:tr w:rsidR="003A497B" w:rsidRPr="00900D1A" w:rsidTr="00C311BC">
        <w:trPr>
          <w:trHeight w:hRule="exact" w:val="284"/>
        </w:trPr>
        <w:tc>
          <w:tcPr>
            <w:tcW w:w="2425" w:type="dxa"/>
            <w:shd w:val="clear" w:color="auto" w:fill="auto"/>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 xml:space="preserve">             620 odvody</w:t>
            </w:r>
          </w:p>
        </w:tc>
        <w:tc>
          <w:tcPr>
            <w:tcW w:w="949"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6 676 517</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7 824 153</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7 278 721</w:t>
            </w:r>
          </w:p>
        </w:tc>
        <w:tc>
          <w:tcPr>
            <w:tcW w:w="948" w:type="dxa"/>
            <w:shd w:val="clear" w:color="auto" w:fill="auto"/>
            <w:vAlign w:val="bottom"/>
          </w:tcPr>
          <w:p w:rsidR="003A497B" w:rsidRPr="009C6686" w:rsidRDefault="003A497B" w:rsidP="003E1809">
            <w:pPr>
              <w:jc w:val="right"/>
              <w:rPr>
                <w:rFonts w:ascii="Times New Roman" w:hAnsi="Times New Roman" w:cs="Times New Roman"/>
                <w:color w:val="000000"/>
                <w:sz w:val="14"/>
                <w:szCs w:val="14"/>
              </w:rPr>
            </w:pPr>
            <w:r w:rsidRPr="009C6686">
              <w:rPr>
                <w:rFonts w:ascii="Times New Roman" w:hAnsi="Times New Roman" w:cs="Times New Roman"/>
                <w:color w:val="000000"/>
                <w:sz w:val="14"/>
                <w:szCs w:val="14"/>
              </w:rPr>
              <w:t>7 635 295</w:t>
            </w:r>
          </w:p>
        </w:tc>
        <w:tc>
          <w:tcPr>
            <w:tcW w:w="948" w:type="dxa"/>
            <w:shd w:val="clear" w:color="auto" w:fill="auto"/>
            <w:vAlign w:val="bottom"/>
          </w:tcPr>
          <w:p w:rsidR="003A497B" w:rsidRPr="00B41C62" w:rsidRDefault="003A497B" w:rsidP="003E1809">
            <w:pPr>
              <w:jc w:val="right"/>
              <w:rPr>
                <w:rFonts w:ascii="Times New Roman" w:hAnsi="Times New Roman" w:cs="Times New Roman"/>
                <w:color w:val="000000"/>
                <w:sz w:val="14"/>
                <w:szCs w:val="14"/>
              </w:rPr>
            </w:pPr>
            <w:r w:rsidRPr="00B41C62">
              <w:rPr>
                <w:rFonts w:ascii="Times New Roman" w:hAnsi="Times New Roman" w:cs="Times New Roman"/>
                <w:color w:val="000000"/>
                <w:sz w:val="14"/>
                <w:szCs w:val="14"/>
              </w:rPr>
              <w:t>7 787 981</w:t>
            </w:r>
          </w:p>
        </w:tc>
        <w:tc>
          <w:tcPr>
            <w:tcW w:w="948" w:type="dxa"/>
            <w:shd w:val="clear" w:color="auto" w:fill="auto"/>
            <w:vAlign w:val="bottom"/>
          </w:tcPr>
          <w:p w:rsidR="003A497B" w:rsidRPr="00B41C62" w:rsidRDefault="003A497B" w:rsidP="003E1809">
            <w:pPr>
              <w:jc w:val="right"/>
              <w:rPr>
                <w:rFonts w:ascii="Times New Roman" w:hAnsi="Times New Roman" w:cs="Times New Roman"/>
                <w:color w:val="000000"/>
                <w:sz w:val="14"/>
                <w:szCs w:val="14"/>
              </w:rPr>
            </w:pPr>
            <w:r w:rsidRPr="00B41C62">
              <w:rPr>
                <w:rFonts w:ascii="Times New Roman" w:hAnsi="Times New Roman" w:cs="Times New Roman"/>
                <w:color w:val="000000"/>
                <w:sz w:val="14"/>
                <w:szCs w:val="14"/>
              </w:rPr>
              <w:t>7 807 236</w:t>
            </w:r>
          </w:p>
        </w:tc>
        <w:tc>
          <w:tcPr>
            <w:tcW w:w="948" w:type="dxa"/>
            <w:shd w:val="clear" w:color="auto" w:fill="auto"/>
            <w:vAlign w:val="bottom"/>
          </w:tcPr>
          <w:p w:rsidR="003A497B" w:rsidRPr="00B41C62" w:rsidRDefault="003A497B" w:rsidP="003E1809">
            <w:pPr>
              <w:jc w:val="right"/>
              <w:rPr>
                <w:rFonts w:ascii="Times New Roman" w:hAnsi="Times New Roman" w:cs="Times New Roman"/>
                <w:color w:val="000000"/>
                <w:sz w:val="14"/>
                <w:szCs w:val="14"/>
              </w:rPr>
            </w:pPr>
            <w:r w:rsidRPr="00B41C62">
              <w:rPr>
                <w:rFonts w:ascii="Times New Roman" w:hAnsi="Times New Roman" w:cs="Times New Roman"/>
                <w:color w:val="000000"/>
                <w:sz w:val="14"/>
                <w:szCs w:val="14"/>
              </w:rPr>
              <w:t>7 807 236</w:t>
            </w:r>
          </w:p>
        </w:tc>
      </w:tr>
      <w:tr w:rsidR="003A497B" w:rsidRPr="00900D1A" w:rsidTr="00C311BC">
        <w:trPr>
          <w:trHeight w:hRule="exact" w:val="284"/>
        </w:trPr>
        <w:tc>
          <w:tcPr>
            <w:tcW w:w="2425" w:type="dxa"/>
            <w:shd w:val="clear" w:color="auto" w:fill="auto"/>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 xml:space="preserve">             630 tovary a služby</w:t>
            </w:r>
          </w:p>
        </w:tc>
        <w:tc>
          <w:tcPr>
            <w:tcW w:w="949"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179 124 657</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191 359 385</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236 028 000</w:t>
            </w:r>
          </w:p>
        </w:tc>
        <w:tc>
          <w:tcPr>
            <w:tcW w:w="948" w:type="dxa"/>
            <w:shd w:val="clear" w:color="auto" w:fill="auto"/>
            <w:vAlign w:val="bottom"/>
          </w:tcPr>
          <w:p w:rsidR="003A497B" w:rsidRPr="009C6686" w:rsidRDefault="003A497B" w:rsidP="003E1809">
            <w:pPr>
              <w:jc w:val="right"/>
              <w:rPr>
                <w:rFonts w:ascii="Times New Roman" w:hAnsi="Times New Roman" w:cs="Times New Roman"/>
                <w:color w:val="000000"/>
                <w:sz w:val="14"/>
                <w:szCs w:val="14"/>
              </w:rPr>
            </w:pPr>
            <w:r w:rsidRPr="009C6686">
              <w:rPr>
                <w:rFonts w:ascii="Times New Roman" w:hAnsi="Times New Roman" w:cs="Times New Roman"/>
                <w:color w:val="000000"/>
                <w:sz w:val="14"/>
                <w:szCs w:val="14"/>
              </w:rPr>
              <w:t>220 424 719</w:t>
            </w:r>
          </w:p>
        </w:tc>
        <w:tc>
          <w:tcPr>
            <w:tcW w:w="948" w:type="dxa"/>
            <w:shd w:val="clear" w:color="auto" w:fill="auto"/>
            <w:vAlign w:val="bottom"/>
          </w:tcPr>
          <w:p w:rsidR="003A497B" w:rsidRPr="00B41C62"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222</w:t>
            </w:r>
            <w:r w:rsidRPr="00B41C62">
              <w:rPr>
                <w:rFonts w:ascii="Times New Roman" w:hAnsi="Times New Roman" w:cs="Times New Roman"/>
                <w:color w:val="000000"/>
                <w:sz w:val="14"/>
                <w:szCs w:val="14"/>
              </w:rPr>
              <w:t xml:space="preserve"> </w:t>
            </w:r>
            <w:r>
              <w:rPr>
                <w:rFonts w:ascii="Times New Roman" w:hAnsi="Times New Roman" w:cs="Times New Roman"/>
                <w:color w:val="000000"/>
                <w:sz w:val="14"/>
                <w:szCs w:val="14"/>
              </w:rPr>
              <w:t>8</w:t>
            </w:r>
            <w:r w:rsidRPr="00B41C62">
              <w:rPr>
                <w:rFonts w:ascii="Times New Roman" w:hAnsi="Times New Roman" w:cs="Times New Roman"/>
                <w:color w:val="000000"/>
                <w:sz w:val="14"/>
                <w:szCs w:val="14"/>
              </w:rPr>
              <w:t>78 428</w:t>
            </w:r>
          </w:p>
        </w:tc>
        <w:tc>
          <w:tcPr>
            <w:tcW w:w="948" w:type="dxa"/>
            <w:shd w:val="clear" w:color="auto" w:fill="auto"/>
            <w:vAlign w:val="bottom"/>
          </w:tcPr>
          <w:p w:rsidR="003A497B" w:rsidRPr="00B41C62" w:rsidRDefault="003A497B" w:rsidP="003E1809">
            <w:pPr>
              <w:jc w:val="right"/>
              <w:rPr>
                <w:rFonts w:ascii="Times New Roman" w:hAnsi="Times New Roman" w:cs="Times New Roman"/>
                <w:color w:val="000000"/>
                <w:sz w:val="14"/>
                <w:szCs w:val="14"/>
              </w:rPr>
            </w:pPr>
            <w:r w:rsidRPr="00B41C62">
              <w:rPr>
                <w:rFonts w:ascii="Times New Roman" w:hAnsi="Times New Roman" w:cs="Times New Roman"/>
                <w:color w:val="000000"/>
                <w:sz w:val="14"/>
                <w:szCs w:val="14"/>
              </w:rPr>
              <w:t>226 637 471</w:t>
            </w:r>
          </w:p>
        </w:tc>
        <w:tc>
          <w:tcPr>
            <w:tcW w:w="948" w:type="dxa"/>
            <w:shd w:val="clear" w:color="auto" w:fill="auto"/>
            <w:vAlign w:val="bottom"/>
          </w:tcPr>
          <w:p w:rsidR="003A497B" w:rsidRPr="00B41C62" w:rsidRDefault="003A497B" w:rsidP="003E1809">
            <w:pPr>
              <w:jc w:val="right"/>
              <w:rPr>
                <w:rFonts w:ascii="Times New Roman" w:hAnsi="Times New Roman" w:cs="Times New Roman"/>
                <w:color w:val="000000"/>
                <w:sz w:val="14"/>
                <w:szCs w:val="14"/>
              </w:rPr>
            </w:pPr>
            <w:r w:rsidRPr="00B41C62">
              <w:rPr>
                <w:rFonts w:ascii="Times New Roman" w:hAnsi="Times New Roman" w:cs="Times New Roman"/>
                <w:color w:val="000000"/>
                <w:sz w:val="14"/>
                <w:szCs w:val="14"/>
              </w:rPr>
              <w:t>259 103 856</w:t>
            </w:r>
          </w:p>
        </w:tc>
      </w:tr>
      <w:tr w:rsidR="003A497B" w:rsidRPr="00900D1A" w:rsidTr="00C311BC">
        <w:trPr>
          <w:trHeight w:hRule="exact" w:val="284"/>
        </w:trPr>
        <w:tc>
          <w:tcPr>
            <w:tcW w:w="2425" w:type="dxa"/>
            <w:shd w:val="clear" w:color="auto" w:fill="auto"/>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 xml:space="preserve">             640 bežné transfery</w:t>
            </w:r>
          </w:p>
        </w:tc>
        <w:tc>
          <w:tcPr>
            <w:tcW w:w="949"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638 091 462</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744 879 237</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620 065 292</w:t>
            </w:r>
          </w:p>
        </w:tc>
        <w:tc>
          <w:tcPr>
            <w:tcW w:w="948" w:type="dxa"/>
            <w:shd w:val="clear" w:color="auto" w:fill="auto"/>
            <w:vAlign w:val="bottom"/>
          </w:tcPr>
          <w:p w:rsidR="003A497B" w:rsidRPr="009C6686" w:rsidRDefault="003A497B" w:rsidP="003E1809">
            <w:pPr>
              <w:jc w:val="right"/>
              <w:rPr>
                <w:rFonts w:ascii="Times New Roman" w:hAnsi="Times New Roman" w:cs="Times New Roman"/>
                <w:color w:val="000000"/>
                <w:sz w:val="14"/>
                <w:szCs w:val="14"/>
              </w:rPr>
            </w:pPr>
            <w:r w:rsidRPr="009C6686">
              <w:rPr>
                <w:rFonts w:ascii="Times New Roman" w:hAnsi="Times New Roman" w:cs="Times New Roman"/>
                <w:color w:val="000000"/>
                <w:sz w:val="14"/>
                <w:szCs w:val="14"/>
              </w:rPr>
              <w:t>660 314 573</w:t>
            </w:r>
          </w:p>
        </w:tc>
        <w:tc>
          <w:tcPr>
            <w:tcW w:w="948" w:type="dxa"/>
            <w:shd w:val="clear" w:color="auto" w:fill="auto"/>
            <w:vAlign w:val="bottom"/>
          </w:tcPr>
          <w:p w:rsidR="003A497B" w:rsidRPr="00B41C62" w:rsidRDefault="003A497B" w:rsidP="003E1809">
            <w:pPr>
              <w:jc w:val="right"/>
              <w:rPr>
                <w:rFonts w:ascii="Times New Roman" w:hAnsi="Times New Roman" w:cs="Times New Roman"/>
                <w:color w:val="000000"/>
                <w:sz w:val="14"/>
                <w:szCs w:val="14"/>
              </w:rPr>
            </w:pPr>
            <w:r w:rsidRPr="00B41C62">
              <w:rPr>
                <w:rFonts w:ascii="Times New Roman" w:hAnsi="Times New Roman" w:cs="Times New Roman"/>
                <w:color w:val="000000"/>
                <w:sz w:val="14"/>
                <w:szCs w:val="14"/>
              </w:rPr>
              <w:t>626 412 670</w:t>
            </w:r>
          </w:p>
        </w:tc>
        <w:tc>
          <w:tcPr>
            <w:tcW w:w="948" w:type="dxa"/>
            <w:shd w:val="clear" w:color="auto" w:fill="auto"/>
            <w:vAlign w:val="bottom"/>
          </w:tcPr>
          <w:p w:rsidR="003A497B" w:rsidRPr="00B41C62" w:rsidRDefault="003A497B" w:rsidP="003E1809">
            <w:pPr>
              <w:jc w:val="right"/>
              <w:rPr>
                <w:rFonts w:ascii="Times New Roman" w:hAnsi="Times New Roman" w:cs="Times New Roman"/>
                <w:color w:val="000000"/>
                <w:sz w:val="14"/>
                <w:szCs w:val="14"/>
              </w:rPr>
            </w:pPr>
            <w:r w:rsidRPr="00B41C62">
              <w:rPr>
                <w:rFonts w:ascii="Times New Roman" w:hAnsi="Times New Roman" w:cs="Times New Roman"/>
                <w:color w:val="000000"/>
                <w:sz w:val="14"/>
                <w:szCs w:val="14"/>
              </w:rPr>
              <w:t>604 372 670</w:t>
            </w:r>
          </w:p>
        </w:tc>
        <w:tc>
          <w:tcPr>
            <w:tcW w:w="948" w:type="dxa"/>
            <w:shd w:val="clear" w:color="auto" w:fill="auto"/>
            <w:vAlign w:val="bottom"/>
          </w:tcPr>
          <w:p w:rsidR="003A497B" w:rsidRPr="00B41C62" w:rsidRDefault="003A497B" w:rsidP="003E1809">
            <w:pPr>
              <w:jc w:val="right"/>
              <w:rPr>
                <w:rFonts w:ascii="Times New Roman" w:hAnsi="Times New Roman" w:cs="Times New Roman"/>
                <w:color w:val="000000"/>
                <w:sz w:val="14"/>
                <w:szCs w:val="14"/>
              </w:rPr>
            </w:pPr>
            <w:r w:rsidRPr="00B41C62">
              <w:rPr>
                <w:rFonts w:ascii="Times New Roman" w:hAnsi="Times New Roman" w:cs="Times New Roman"/>
                <w:color w:val="000000"/>
                <w:sz w:val="14"/>
                <w:szCs w:val="14"/>
              </w:rPr>
              <w:t>593 298 670</w:t>
            </w:r>
          </w:p>
        </w:tc>
      </w:tr>
      <w:tr w:rsidR="003A497B" w:rsidRPr="00900D1A" w:rsidTr="00C311BC">
        <w:trPr>
          <w:trHeight w:hRule="exact" w:val="284"/>
        </w:trPr>
        <w:tc>
          <w:tcPr>
            <w:tcW w:w="2425" w:type="dxa"/>
            <w:shd w:val="clear" w:color="auto" w:fill="auto"/>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 xml:space="preserve">             kapitálové výdavky 700</w:t>
            </w:r>
          </w:p>
        </w:tc>
        <w:tc>
          <w:tcPr>
            <w:tcW w:w="949"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265 727 680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222 895 765</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291 972 906</w:t>
            </w:r>
          </w:p>
        </w:tc>
        <w:tc>
          <w:tcPr>
            <w:tcW w:w="948" w:type="dxa"/>
            <w:shd w:val="clear" w:color="auto" w:fill="auto"/>
            <w:vAlign w:val="bottom"/>
          </w:tcPr>
          <w:p w:rsidR="003A497B" w:rsidRPr="009C6686" w:rsidRDefault="003A497B" w:rsidP="003E1809">
            <w:pPr>
              <w:jc w:val="right"/>
              <w:rPr>
                <w:rFonts w:ascii="Times New Roman" w:hAnsi="Times New Roman" w:cs="Times New Roman"/>
                <w:color w:val="000000"/>
                <w:sz w:val="14"/>
                <w:szCs w:val="14"/>
              </w:rPr>
            </w:pPr>
            <w:r w:rsidRPr="009C6686">
              <w:rPr>
                <w:rFonts w:ascii="Times New Roman" w:hAnsi="Times New Roman" w:cs="Times New Roman"/>
                <w:color w:val="000000"/>
                <w:sz w:val="14"/>
                <w:szCs w:val="14"/>
              </w:rPr>
              <w:t>293 899 258</w:t>
            </w:r>
          </w:p>
        </w:tc>
        <w:tc>
          <w:tcPr>
            <w:tcW w:w="948" w:type="dxa"/>
            <w:shd w:val="clear" w:color="auto" w:fill="auto"/>
            <w:vAlign w:val="bottom"/>
          </w:tcPr>
          <w:p w:rsidR="003A497B" w:rsidRPr="00B41C62" w:rsidRDefault="003A497B" w:rsidP="003E1809">
            <w:pPr>
              <w:jc w:val="right"/>
              <w:rPr>
                <w:rFonts w:ascii="Times New Roman" w:hAnsi="Times New Roman" w:cs="Times New Roman"/>
                <w:color w:val="000000"/>
                <w:sz w:val="14"/>
                <w:szCs w:val="14"/>
              </w:rPr>
            </w:pPr>
            <w:r w:rsidRPr="00B41C62">
              <w:rPr>
                <w:rFonts w:ascii="Times New Roman" w:hAnsi="Times New Roman" w:cs="Times New Roman"/>
                <w:color w:val="000000"/>
                <w:sz w:val="14"/>
                <w:szCs w:val="14"/>
              </w:rPr>
              <w:t>238 966 616</w:t>
            </w:r>
          </w:p>
        </w:tc>
        <w:tc>
          <w:tcPr>
            <w:tcW w:w="948" w:type="dxa"/>
            <w:shd w:val="clear" w:color="auto" w:fill="auto"/>
            <w:vAlign w:val="bottom"/>
          </w:tcPr>
          <w:p w:rsidR="003A497B" w:rsidRPr="00B41C62" w:rsidRDefault="003A497B" w:rsidP="003E1809">
            <w:pPr>
              <w:jc w:val="right"/>
              <w:rPr>
                <w:rFonts w:ascii="Times New Roman" w:hAnsi="Times New Roman" w:cs="Times New Roman"/>
                <w:color w:val="000000"/>
                <w:sz w:val="14"/>
                <w:szCs w:val="14"/>
              </w:rPr>
            </w:pPr>
            <w:r w:rsidRPr="00B41C62">
              <w:rPr>
                <w:rFonts w:ascii="Times New Roman" w:hAnsi="Times New Roman" w:cs="Times New Roman"/>
                <w:color w:val="000000"/>
                <w:sz w:val="14"/>
                <w:szCs w:val="14"/>
              </w:rPr>
              <w:t>236 013 512</w:t>
            </w:r>
          </w:p>
        </w:tc>
        <w:tc>
          <w:tcPr>
            <w:tcW w:w="948" w:type="dxa"/>
            <w:shd w:val="clear" w:color="auto" w:fill="auto"/>
            <w:vAlign w:val="bottom"/>
          </w:tcPr>
          <w:p w:rsidR="003A497B" w:rsidRPr="00B41C62" w:rsidRDefault="003A497B" w:rsidP="003E1809">
            <w:pPr>
              <w:jc w:val="right"/>
              <w:rPr>
                <w:rFonts w:ascii="Times New Roman" w:hAnsi="Times New Roman" w:cs="Times New Roman"/>
                <w:color w:val="000000"/>
                <w:sz w:val="14"/>
                <w:szCs w:val="14"/>
              </w:rPr>
            </w:pPr>
            <w:r w:rsidRPr="00B41C62">
              <w:rPr>
                <w:rFonts w:ascii="Times New Roman" w:hAnsi="Times New Roman" w:cs="Times New Roman"/>
                <w:color w:val="000000"/>
                <w:sz w:val="14"/>
                <w:szCs w:val="14"/>
              </w:rPr>
              <w:t>234 528 552</w:t>
            </w:r>
          </w:p>
        </w:tc>
      </w:tr>
      <w:tr w:rsidR="003A497B" w:rsidRPr="00900D1A" w:rsidTr="00C311BC">
        <w:trPr>
          <w:trHeight w:hRule="exact" w:val="284"/>
        </w:trPr>
        <w:tc>
          <w:tcPr>
            <w:tcW w:w="2425" w:type="dxa"/>
            <w:shd w:val="clear" w:color="auto" w:fill="auto"/>
            <w:noWrap/>
            <w:vAlign w:val="bottom"/>
            <w:hideMark/>
          </w:tcPr>
          <w:p w:rsidR="003A497B" w:rsidRPr="0095721B" w:rsidRDefault="003A497B" w:rsidP="003E1809">
            <w:pPr>
              <w:rPr>
                <w:rFonts w:ascii="Times New Roman" w:hAnsi="Times New Roman" w:cs="Times New Roman"/>
                <w:b/>
                <w:color w:val="000000"/>
                <w:sz w:val="14"/>
                <w:szCs w:val="14"/>
                <w:lang w:eastAsia="sk-SK"/>
              </w:rPr>
            </w:pPr>
            <w:r w:rsidRPr="0095721B">
              <w:rPr>
                <w:rFonts w:ascii="Times New Roman" w:hAnsi="Times New Roman" w:cs="Times New Roman"/>
                <w:b/>
                <w:color w:val="000000"/>
                <w:sz w:val="14"/>
                <w:szCs w:val="14"/>
                <w:lang w:eastAsia="sk-SK"/>
              </w:rPr>
              <w:t xml:space="preserve">zdroje EÚ vrátane spolufinancovania: </w:t>
            </w:r>
          </w:p>
        </w:tc>
        <w:tc>
          <w:tcPr>
            <w:tcW w:w="949" w:type="dxa"/>
            <w:shd w:val="clear" w:color="auto" w:fill="auto"/>
            <w:vAlign w:val="bottom"/>
          </w:tcPr>
          <w:p w:rsidR="003A497B" w:rsidRPr="00425D81" w:rsidRDefault="003A497B" w:rsidP="003E1809">
            <w:pPr>
              <w:jc w:val="right"/>
              <w:rPr>
                <w:rFonts w:ascii="Times New Roman" w:hAnsi="Times New Roman" w:cs="Times New Roman"/>
                <w:b/>
                <w:color w:val="000000"/>
                <w:sz w:val="14"/>
                <w:szCs w:val="14"/>
                <w:lang w:eastAsia="sk-SK"/>
              </w:rPr>
            </w:pPr>
            <w:r w:rsidRPr="00425D81">
              <w:rPr>
                <w:rFonts w:ascii="Times New Roman" w:hAnsi="Times New Roman" w:cs="Times New Roman"/>
                <w:b/>
                <w:color w:val="000000"/>
                <w:sz w:val="14"/>
                <w:szCs w:val="14"/>
                <w:lang w:eastAsia="sk-SK"/>
              </w:rPr>
              <w:t>180 253 236</w:t>
            </w:r>
          </w:p>
        </w:tc>
        <w:tc>
          <w:tcPr>
            <w:tcW w:w="948" w:type="dxa"/>
            <w:shd w:val="clear" w:color="auto" w:fill="auto"/>
            <w:vAlign w:val="bottom"/>
          </w:tcPr>
          <w:p w:rsidR="003A497B" w:rsidRPr="00425D81" w:rsidRDefault="003A497B" w:rsidP="003E1809">
            <w:pPr>
              <w:jc w:val="right"/>
              <w:rPr>
                <w:rFonts w:ascii="Times New Roman" w:hAnsi="Times New Roman" w:cs="Times New Roman"/>
                <w:b/>
                <w:color w:val="000000"/>
                <w:sz w:val="14"/>
                <w:szCs w:val="14"/>
                <w:lang w:eastAsia="sk-SK"/>
              </w:rPr>
            </w:pPr>
            <w:r w:rsidRPr="00425D81">
              <w:rPr>
                <w:rFonts w:ascii="Times New Roman" w:hAnsi="Times New Roman" w:cs="Times New Roman"/>
                <w:b/>
                <w:color w:val="000000"/>
                <w:sz w:val="14"/>
                <w:szCs w:val="14"/>
                <w:lang w:eastAsia="sk-SK"/>
              </w:rPr>
              <w:t>248 659</w:t>
            </w:r>
          </w:p>
        </w:tc>
        <w:tc>
          <w:tcPr>
            <w:tcW w:w="948" w:type="dxa"/>
            <w:shd w:val="clear" w:color="auto" w:fill="auto"/>
            <w:vAlign w:val="bottom"/>
          </w:tcPr>
          <w:p w:rsidR="003A497B" w:rsidRPr="00425D81" w:rsidRDefault="003A497B" w:rsidP="003E1809">
            <w:pPr>
              <w:jc w:val="right"/>
              <w:rPr>
                <w:rFonts w:ascii="Times New Roman" w:hAnsi="Times New Roman" w:cs="Times New Roman"/>
                <w:b/>
                <w:color w:val="000000"/>
                <w:sz w:val="14"/>
                <w:szCs w:val="14"/>
                <w:lang w:eastAsia="sk-SK"/>
              </w:rPr>
            </w:pPr>
            <w:r w:rsidRPr="00425D81">
              <w:rPr>
                <w:rFonts w:ascii="Times New Roman" w:hAnsi="Times New Roman" w:cs="Times New Roman"/>
                <w:b/>
                <w:color w:val="000000"/>
                <w:sz w:val="14"/>
                <w:szCs w:val="14"/>
                <w:lang w:eastAsia="sk-SK"/>
              </w:rPr>
              <w:t>0</w:t>
            </w:r>
          </w:p>
        </w:tc>
        <w:tc>
          <w:tcPr>
            <w:tcW w:w="948" w:type="dxa"/>
            <w:shd w:val="clear" w:color="auto" w:fill="auto"/>
            <w:vAlign w:val="bottom"/>
          </w:tcPr>
          <w:p w:rsidR="003A497B" w:rsidRPr="00425D81" w:rsidRDefault="003A497B" w:rsidP="003E1809">
            <w:pPr>
              <w:jc w:val="right"/>
              <w:rPr>
                <w:rFonts w:ascii="Times New Roman" w:hAnsi="Times New Roman" w:cs="Times New Roman"/>
                <w:b/>
                <w:color w:val="000000"/>
                <w:sz w:val="14"/>
                <w:szCs w:val="14"/>
                <w:lang w:eastAsia="sk-SK"/>
              </w:rPr>
            </w:pPr>
            <w:r w:rsidRPr="00425D81">
              <w:rPr>
                <w:rFonts w:ascii="Times New Roman" w:hAnsi="Times New Roman" w:cs="Times New Roman"/>
                <w:b/>
                <w:color w:val="000000"/>
                <w:sz w:val="14"/>
                <w:szCs w:val="14"/>
                <w:lang w:eastAsia="sk-SK"/>
              </w:rPr>
              <w:t>0</w:t>
            </w:r>
          </w:p>
        </w:tc>
        <w:tc>
          <w:tcPr>
            <w:tcW w:w="948" w:type="dxa"/>
            <w:shd w:val="clear" w:color="auto" w:fill="auto"/>
            <w:vAlign w:val="bottom"/>
          </w:tcPr>
          <w:p w:rsidR="003A497B" w:rsidRPr="00425D81" w:rsidRDefault="003A497B" w:rsidP="003E1809">
            <w:pPr>
              <w:jc w:val="right"/>
              <w:rPr>
                <w:rFonts w:ascii="Times New Roman" w:hAnsi="Times New Roman" w:cs="Times New Roman"/>
                <w:b/>
                <w:color w:val="000000"/>
                <w:sz w:val="14"/>
                <w:szCs w:val="14"/>
                <w:lang w:eastAsia="sk-SK"/>
              </w:rPr>
            </w:pPr>
            <w:r w:rsidRPr="00425D81">
              <w:rPr>
                <w:rFonts w:ascii="Times New Roman" w:hAnsi="Times New Roman" w:cs="Times New Roman"/>
                <w:b/>
                <w:color w:val="000000"/>
                <w:sz w:val="14"/>
                <w:szCs w:val="14"/>
                <w:lang w:eastAsia="sk-SK"/>
              </w:rPr>
              <w:t>35 484 857</w:t>
            </w:r>
          </w:p>
        </w:tc>
        <w:tc>
          <w:tcPr>
            <w:tcW w:w="948" w:type="dxa"/>
            <w:shd w:val="clear" w:color="auto" w:fill="auto"/>
            <w:vAlign w:val="bottom"/>
          </w:tcPr>
          <w:p w:rsidR="003A497B" w:rsidRPr="00425D81" w:rsidRDefault="003A497B" w:rsidP="003E1809">
            <w:pPr>
              <w:jc w:val="right"/>
              <w:rPr>
                <w:rFonts w:ascii="Times New Roman" w:hAnsi="Times New Roman" w:cs="Times New Roman"/>
                <w:b/>
                <w:color w:val="000000"/>
                <w:sz w:val="14"/>
                <w:szCs w:val="14"/>
                <w:lang w:eastAsia="sk-SK"/>
              </w:rPr>
            </w:pPr>
            <w:r w:rsidRPr="00425D81">
              <w:rPr>
                <w:rFonts w:ascii="Times New Roman" w:hAnsi="Times New Roman" w:cs="Times New Roman"/>
                <w:b/>
                <w:color w:val="000000"/>
                <w:sz w:val="14"/>
                <w:szCs w:val="14"/>
                <w:lang w:eastAsia="sk-SK"/>
              </w:rPr>
              <w:t>323 372 375</w:t>
            </w:r>
          </w:p>
        </w:tc>
        <w:tc>
          <w:tcPr>
            <w:tcW w:w="948" w:type="dxa"/>
            <w:shd w:val="clear" w:color="auto" w:fill="auto"/>
            <w:vAlign w:val="bottom"/>
          </w:tcPr>
          <w:p w:rsidR="003A497B" w:rsidRPr="00425D81" w:rsidRDefault="003A497B" w:rsidP="003E1809">
            <w:pPr>
              <w:jc w:val="right"/>
              <w:rPr>
                <w:rFonts w:ascii="Times New Roman" w:hAnsi="Times New Roman" w:cs="Times New Roman"/>
                <w:b/>
                <w:color w:val="000000"/>
                <w:sz w:val="14"/>
                <w:szCs w:val="14"/>
                <w:lang w:eastAsia="sk-SK"/>
              </w:rPr>
            </w:pPr>
            <w:r w:rsidRPr="00425D81">
              <w:rPr>
                <w:rFonts w:ascii="Times New Roman" w:hAnsi="Times New Roman" w:cs="Times New Roman"/>
                <w:b/>
                <w:color w:val="000000"/>
                <w:sz w:val="14"/>
                <w:szCs w:val="14"/>
                <w:lang w:eastAsia="sk-SK"/>
              </w:rPr>
              <w:t>343 309 641</w:t>
            </w:r>
          </w:p>
        </w:tc>
      </w:tr>
      <w:tr w:rsidR="003A497B" w:rsidRPr="00900D1A" w:rsidTr="00C311BC">
        <w:trPr>
          <w:trHeight w:hRule="exact" w:val="284"/>
        </w:trPr>
        <w:tc>
          <w:tcPr>
            <w:tcW w:w="2425" w:type="dxa"/>
            <w:shd w:val="clear" w:color="auto" w:fill="auto"/>
            <w:noWrap/>
            <w:vAlign w:val="bottom"/>
            <w:hideMark/>
          </w:tcPr>
          <w:p w:rsidR="003A497B" w:rsidRPr="00346A12" w:rsidRDefault="003A497B" w:rsidP="003E1809">
            <w:pPr>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v tom: </w:t>
            </w:r>
            <w:r w:rsidRPr="00346A12">
              <w:rPr>
                <w:rFonts w:ascii="Times New Roman" w:hAnsi="Times New Roman" w:cs="Times New Roman"/>
                <w:color w:val="000000"/>
                <w:sz w:val="14"/>
                <w:szCs w:val="14"/>
                <w:lang w:eastAsia="sk-SK"/>
              </w:rPr>
              <w:t>2. program. obdobie  E</w:t>
            </w:r>
            <w:r w:rsidR="00C311BC">
              <w:rPr>
                <w:rFonts w:ascii="Times New Roman" w:hAnsi="Times New Roman" w:cs="Times New Roman"/>
                <w:color w:val="000000"/>
                <w:sz w:val="14"/>
                <w:szCs w:val="14"/>
                <w:lang w:eastAsia="sk-SK"/>
              </w:rPr>
              <w:t>Ú</w:t>
            </w:r>
          </w:p>
        </w:tc>
        <w:tc>
          <w:tcPr>
            <w:tcW w:w="949"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17 375 677</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noWrap/>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r>
      <w:tr w:rsidR="003A497B" w:rsidRPr="00900D1A" w:rsidTr="00C311BC">
        <w:trPr>
          <w:trHeight w:hRule="exact" w:val="284"/>
        </w:trPr>
        <w:tc>
          <w:tcPr>
            <w:tcW w:w="2425" w:type="dxa"/>
            <w:shd w:val="clear" w:color="auto" w:fill="auto"/>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 xml:space="preserve">            spolufinancovanie zo ŠR</w:t>
            </w:r>
          </w:p>
        </w:tc>
        <w:tc>
          <w:tcPr>
            <w:tcW w:w="949"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2 633 903</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r>
      <w:tr w:rsidR="003A497B" w:rsidRPr="00900D1A" w:rsidTr="00C311BC">
        <w:trPr>
          <w:trHeight w:hRule="exact" w:val="284"/>
        </w:trPr>
        <w:tc>
          <w:tcPr>
            <w:tcW w:w="2425" w:type="dxa"/>
            <w:shd w:val="clear" w:color="auto" w:fill="auto"/>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 xml:space="preserve">            3. program. obdobie E</w:t>
            </w:r>
            <w:r w:rsidR="00C311BC">
              <w:rPr>
                <w:rFonts w:ascii="Times New Roman" w:hAnsi="Times New Roman" w:cs="Times New Roman"/>
                <w:color w:val="000000"/>
                <w:sz w:val="14"/>
                <w:szCs w:val="14"/>
                <w:lang w:eastAsia="sk-SK"/>
              </w:rPr>
              <w:t>Ú</w:t>
            </w:r>
          </w:p>
        </w:tc>
        <w:tc>
          <w:tcPr>
            <w:tcW w:w="949"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136 706 426</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noWrap/>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28 510 300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278 995 820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291 598 614</w:t>
            </w:r>
          </w:p>
        </w:tc>
      </w:tr>
      <w:tr w:rsidR="003A497B" w:rsidRPr="00900D1A" w:rsidTr="00C311BC">
        <w:trPr>
          <w:trHeight w:hRule="exact" w:val="284"/>
        </w:trPr>
        <w:tc>
          <w:tcPr>
            <w:tcW w:w="2425" w:type="dxa"/>
            <w:shd w:val="clear" w:color="auto" w:fill="auto"/>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 xml:space="preserve">            spolufinancovanie zo ŠR</w:t>
            </w:r>
          </w:p>
        </w:tc>
        <w:tc>
          <w:tcPr>
            <w:tcW w:w="949"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23 537 230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248 659</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6 974 557</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44 376 555</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51 711 027</w:t>
            </w:r>
          </w:p>
        </w:tc>
      </w:tr>
      <w:tr w:rsidR="003A497B" w:rsidRPr="00900D1A" w:rsidTr="00C311BC">
        <w:trPr>
          <w:trHeight w:hRule="exact" w:val="284"/>
        </w:trPr>
        <w:tc>
          <w:tcPr>
            <w:tcW w:w="2425" w:type="dxa"/>
            <w:shd w:val="clear" w:color="auto" w:fill="auto"/>
            <w:noWrap/>
            <w:vAlign w:val="bottom"/>
            <w:hideMark/>
          </w:tcPr>
          <w:p w:rsidR="003A497B" w:rsidRPr="0095721B" w:rsidRDefault="003A497B" w:rsidP="003E1809">
            <w:pPr>
              <w:rPr>
                <w:rFonts w:ascii="Times New Roman" w:hAnsi="Times New Roman" w:cs="Times New Roman"/>
                <w:b/>
                <w:color w:val="000000"/>
                <w:sz w:val="14"/>
                <w:szCs w:val="14"/>
                <w:lang w:eastAsia="sk-SK"/>
              </w:rPr>
            </w:pPr>
            <w:r w:rsidRPr="0095721B">
              <w:rPr>
                <w:rFonts w:ascii="Times New Roman" w:hAnsi="Times New Roman" w:cs="Times New Roman"/>
                <w:b/>
                <w:color w:val="000000"/>
                <w:sz w:val="14"/>
                <w:szCs w:val="14"/>
                <w:lang w:eastAsia="sk-SK"/>
              </w:rPr>
              <w:t>presun z minulých rokov §</w:t>
            </w:r>
            <w:r w:rsidR="00C311BC">
              <w:rPr>
                <w:rFonts w:ascii="Times New Roman" w:hAnsi="Times New Roman" w:cs="Times New Roman"/>
                <w:b/>
                <w:color w:val="000000"/>
                <w:sz w:val="14"/>
                <w:szCs w:val="14"/>
                <w:lang w:eastAsia="sk-SK"/>
              </w:rPr>
              <w:t xml:space="preserve"> </w:t>
            </w:r>
            <w:r w:rsidRPr="0095721B">
              <w:rPr>
                <w:rFonts w:ascii="Times New Roman" w:hAnsi="Times New Roman" w:cs="Times New Roman"/>
                <w:b/>
                <w:color w:val="000000"/>
                <w:sz w:val="14"/>
                <w:szCs w:val="14"/>
                <w:lang w:eastAsia="sk-SK"/>
              </w:rPr>
              <w:t>8</w:t>
            </w:r>
          </w:p>
        </w:tc>
        <w:tc>
          <w:tcPr>
            <w:tcW w:w="949" w:type="dxa"/>
            <w:shd w:val="clear" w:color="auto" w:fill="auto"/>
            <w:vAlign w:val="bottom"/>
          </w:tcPr>
          <w:p w:rsidR="003A497B" w:rsidRPr="00425D81" w:rsidRDefault="003A497B" w:rsidP="003E1809">
            <w:pPr>
              <w:jc w:val="right"/>
              <w:rPr>
                <w:rFonts w:ascii="Times New Roman" w:hAnsi="Times New Roman" w:cs="Times New Roman"/>
                <w:b/>
                <w:color w:val="000000"/>
                <w:sz w:val="14"/>
                <w:szCs w:val="14"/>
                <w:lang w:eastAsia="sk-SK"/>
              </w:rPr>
            </w:pPr>
            <w:r w:rsidRPr="00425D81">
              <w:rPr>
                <w:rFonts w:ascii="Times New Roman" w:hAnsi="Times New Roman" w:cs="Times New Roman"/>
                <w:b/>
                <w:color w:val="000000"/>
                <w:sz w:val="14"/>
                <w:szCs w:val="14"/>
                <w:lang w:eastAsia="sk-SK"/>
              </w:rPr>
              <w:t>200 547 277</w:t>
            </w:r>
          </w:p>
        </w:tc>
        <w:tc>
          <w:tcPr>
            <w:tcW w:w="948" w:type="dxa"/>
            <w:shd w:val="clear" w:color="auto" w:fill="auto"/>
            <w:vAlign w:val="bottom"/>
          </w:tcPr>
          <w:p w:rsidR="003A497B" w:rsidRPr="00425D81" w:rsidRDefault="003A497B" w:rsidP="003E1809">
            <w:pPr>
              <w:jc w:val="right"/>
              <w:rPr>
                <w:rFonts w:ascii="Times New Roman" w:hAnsi="Times New Roman" w:cs="Times New Roman"/>
                <w:b/>
                <w:color w:val="000000"/>
                <w:sz w:val="14"/>
                <w:szCs w:val="14"/>
                <w:lang w:eastAsia="sk-SK"/>
              </w:rPr>
            </w:pPr>
            <w:r w:rsidRPr="00425D81">
              <w:rPr>
                <w:rFonts w:ascii="Times New Roman" w:hAnsi="Times New Roman" w:cs="Times New Roman"/>
                <w:b/>
                <w:color w:val="000000"/>
                <w:sz w:val="14"/>
                <w:szCs w:val="14"/>
                <w:lang w:eastAsia="sk-SK"/>
              </w:rPr>
              <w:t>537 751 369</w:t>
            </w:r>
          </w:p>
        </w:tc>
        <w:tc>
          <w:tcPr>
            <w:tcW w:w="948" w:type="dxa"/>
            <w:shd w:val="clear" w:color="auto" w:fill="auto"/>
            <w:vAlign w:val="bottom"/>
          </w:tcPr>
          <w:p w:rsidR="003A497B" w:rsidRPr="00425D81" w:rsidRDefault="003A497B" w:rsidP="003E1809">
            <w:pPr>
              <w:jc w:val="right"/>
              <w:rPr>
                <w:rFonts w:ascii="Times New Roman" w:hAnsi="Times New Roman" w:cs="Times New Roman"/>
                <w:b/>
                <w:color w:val="000000"/>
                <w:sz w:val="14"/>
                <w:szCs w:val="14"/>
                <w:lang w:eastAsia="sk-SK"/>
              </w:rPr>
            </w:pPr>
            <w:r w:rsidRPr="00425D81">
              <w:rPr>
                <w:rFonts w:ascii="Times New Roman" w:hAnsi="Times New Roman" w:cs="Times New Roman"/>
                <w:b/>
                <w:color w:val="000000"/>
                <w:sz w:val="14"/>
                <w:szCs w:val="14"/>
                <w:lang w:eastAsia="sk-SK"/>
              </w:rPr>
              <w:t>0</w:t>
            </w:r>
          </w:p>
        </w:tc>
        <w:tc>
          <w:tcPr>
            <w:tcW w:w="948" w:type="dxa"/>
            <w:shd w:val="clear" w:color="auto" w:fill="auto"/>
            <w:vAlign w:val="bottom"/>
          </w:tcPr>
          <w:p w:rsidR="003A497B" w:rsidRPr="009C6686" w:rsidRDefault="003A497B" w:rsidP="003E1809">
            <w:pPr>
              <w:jc w:val="right"/>
              <w:rPr>
                <w:rFonts w:ascii="Times New Roman" w:hAnsi="Times New Roman" w:cs="Times New Roman"/>
                <w:b/>
                <w:color w:val="000000"/>
                <w:sz w:val="14"/>
                <w:szCs w:val="14"/>
                <w:lang w:eastAsia="sk-SK"/>
              </w:rPr>
            </w:pPr>
            <w:r w:rsidRPr="009C6686">
              <w:rPr>
                <w:rFonts w:ascii="Times New Roman" w:hAnsi="Times New Roman" w:cs="Times New Roman"/>
                <w:b/>
                <w:color w:val="000000"/>
                <w:sz w:val="14"/>
                <w:szCs w:val="14"/>
              </w:rPr>
              <w:t>380 613 067</w:t>
            </w:r>
          </w:p>
        </w:tc>
        <w:tc>
          <w:tcPr>
            <w:tcW w:w="948" w:type="dxa"/>
            <w:shd w:val="clear" w:color="auto" w:fill="auto"/>
            <w:vAlign w:val="bottom"/>
          </w:tcPr>
          <w:p w:rsidR="003A497B" w:rsidRPr="00425D81" w:rsidRDefault="003A497B" w:rsidP="003E1809">
            <w:pPr>
              <w:jc w:val="right"/>
              <w:rPr>
                <w:rFonts w:ascii="Times New Roman" w:hAnsi="Times New Roman" w:cs="Times New Roman"/>
                <w:b/>
                <w:color w:val="000000"/>
                <w:sz w:val="14"/>
                <w:szCs w:val="14"/>
                <w:lang w:eastAsia="sk-SK"/>
              </w:rPr>
            </w:pPr>
            <w:r w:rsidRPr="00425D81">
              <w:rPr>
                <w:rFonts w:ascii="Times New Roman" w:hAnsi="Times New Roman" w:cs="Times New Roman"/>
                <w:b/>
                <w:color w:val="000000"/>
                <w:sz w:val="14"/>
                <w:szCs w:val="14"/>
                <w:lang w:eastAsia="sk-SK"/>
              </w:rPr>
              <w:t>0</w:t>
            </w:r>
          </w:p>
        </w:tc>
        <w:tc>
          <w:tcPr>
            <w:tcW w:w="948" w:type="dxa"/>
            <w:shd w:val="clear" w:color="auto" w:fill="auto"/>
            <w:vAlign w:val="bottom"/>
          </w:tcPr>
          <w:p w:rsidR="003A497B" w:rsidRPr="00425D81" w:rsidRDefault="003A497B" w:rsidP="003E1809">
            <w:pPr>
              <w:jc w:val="right"/>
              <w:rPr>
                <w:rFonts w:ascii="Times New Roman" w:hAnsi="Times New Roman" w:cs="Times New Roman"/>
                <w:b/>
                <w:color w:val="000000"/>
                <w:sz w:val="14"/>
                <w:szCs w:val="14"/>
                <w:lang w:eastAsia="sk-SK"/>
              </w:rPr>
            </w:pPr>
            <w:r w:rsidRPr="00425D81">
              <w:rPr>
                <w:rFonts w:ascii="Times New Roman" w:hAnsi="Times New Roman" w:cs="Times New Roman"/>
                <w:b/>
                <w:color w:val="000000"/>
                <w:sz w:val="14"/>
                <w:szCs w:val="14"/>
                <w:lang w:eastAsia="sk-SK"/>
              </w:rPr>
              <w:t>0</w:t>
            </w:r>
          </w:p>
        </w:tc>
        <w:tc>
          <w:tcPr>
            <w:tcW w:w="948" w:type="dxa"/>
            <w:shd w:val="clear" w:color="auto" w:fill="auto"/>
            <w:vAlign w:val="bottom"/>
          </w:tcPr>
          <w:p w:rsidR="003A497B" w:rsidRPr="00425D81" w:rsidRDefault="003A497B" w:rsidP="003E1809">
            <w:pPr>
              <w:jc w:val="right"/>
              <w:rPr>
                <w:rFonts w:ascii="Times New Roman" w:hAnsi="Times New Roman" w:cs="Times New Roman"/>
                <w:b/>
                <w:color w:val="000000"/>
                <w:sz w:val="14"/>
                <w:szCs w:val="14"/>
                <w:lang w:eastAsia="sk-SK"/>
              </w:rPr>
            </w:pPr>
            <w:r w:rsidRPr="00425D81">
              <w:rPr>
                <w:rFonts w:ascii="Times New Roman" w:hAnsi="Times New Roman" w:cs="Times New Roman"/>
                <w:b/>
                <w:color w:val="000000"/>
                <w:sz w:val="14"/>
                <w:szCs w:val="14"/>
                <w:lang w:eastAsia="sk-SK"/>
              </w:rPr>
              <w:t>0</w:t>
            </w:r>
          </w:p>
        </w:tc>
      </w:tr>
      <w:tr w:rsidR="003A497B" w:rsidRPr="00900D1A" w:rsidTr="00C311BC">
        <w:trPr>
          <w:trHeight w:hRule="exact" w:val="284"/>
        </w:trPr>
        <w:tc>
          <w:tcPr>
            <w:tcW w:w="2425" w:type="dxa"/>
            <w:shd w:val="clear" w:color="auto" w:fill="auto"/>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v tom: štátny rozpočet</w:t>
            </w:r>
          </w:p>
        </w:tc>
        <w:tc>
          <w:tcPr>
            <w:tcW w:w="949"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29 489 245</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149 090 981</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9C6686" w:rsidRDefault="003A497B" w:rsidP="003E1809">
            <w:pPr>
              <w:jc w:val="right"/>
              <w:rPr>
                <w:rFonts w:ascii="Times New Roman" w:hAnsi="Times New Roman" w:cs="Times New Roman"/>
                <w:color w:val="000000"/>
                <w:sz w:val="14"/>
                <w:szCs w:val="14"/>
              </w:rPr>
            </w:pPr>
            <w:r w:rsidRPr="009C6686">
              <w:rPr>
                <w:rFonts w:ascii="Times New Roman" w:hAnsi="Times New Roman" w:cs="Times New Roman"/>
                <w:color w:val="000000"/>
                <w:sz w:val="14"/>
                <w:szCs w:val="14"/>
              </w:rPr>
              <w:t>37 067 011</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r>
      <w:tr w:rsidR="003A497B" w:rsidRPr="00900D1A" w:rsidTr="00C311BC">
        <w:trPr>
          <w:trHeight w:hRule="exact" w:val="284"/>
        </w:trPr>
        <w:tc>
          <w:tcPr>
            <w:tcW w:w="2425" w:type="dxa"/>
            <w:shd w:val="clear" w:color="auto" w:fill="auto"/>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 xml:space="preserve">            EU prostriedky</w:t>
            </w:r>
          </w:p>
        </w:tc>
        <w:tc>
          <w:tcPr>
            <w:tcW w:w="949"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146 251 172</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333 115 402</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9C6686" w:rsidRDefault="003A497B" w:rsidP="003E1809">
            <w:pPr>
              <w:jc w:val="right"/>
              <w:rPr>
                <w:rFonts w:ascii="Times New Roman" w:hAnsi="Times New Roman" w:cs="Times New Roman"/>
                <w:color w:val="000000"/>
                <w:sz w:val="14"/>
                <w:szCs w:val="14"/>
              </w:rPr>
            </w:pPr>
            <w:r w:rsidRPr="009C6686">
              <w:rPr>
                <w:rFonts w:ascii="Times New Roman" w:hAnsi="Times New Roman" w:cs="Times New Roman"/>
                <w:color w:val="000000"/>
                <w:sz w:val="14"/>
                <w:szCs w:val="14"/>
              </w:rPr>
              <w:t>299 113 028</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r>
      <w:tr w:rsidR="003A497B" w:rsidRPr="00900D1A" w:rsidTr="00C311BC">
        <w:trPr>
          <w:trHeight w:hRule="exact" w:val="284"/>
        </w:trPr>
        <w:tc>
          <w:tcPr>
            <w:tcW w:w="2425" w:type="dxa"/>
            <w:shd w:val="clear" w:color="auto" w:fill="auto"/>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 xml:space="preserve">            spolufinancovanie zo ŠR</w:t>
            </w:r>
          </w:p>
        </w:tc>
        <w:tc>
          <w:tcPr>
            <w:tcW w:w="949"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24 806 860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55 544 986</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9C6686" w:rsidRDefault="003A497B" w:rsidP="003E1809">
            <w:pPr>
              <w:jc w:val="right"/>
              <w:rPr>
                <w:rFonts w:ascii="Times New Roman" w:hAnsi="Times New Roman" w:cs="Times New Roman"/>
                <w:color w:val="000000"/>
                <w:sz w:val="14"/>
                <w:szCs w:val="14"/>
              </w:rPr>
            </w:pPr>
            <w:r w:rsidRPr="009C6686">
              <w:rPr>
                <w:rFonts w:ascii="Times New Roman" w:hAnsi="Times New Roman" w:cs="Times New Roman"/>
                <w:color w:val="000000"/>
                <w:sz w:val="14"/>
                <w:szCs w:val="14"/>
              </w:rPr>
              <w:t>44 433 028</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c>
          <w:tcPr>
            <w:tcW w:w="948" w:type="dxa"/>
            <w:shd w:val="clear" w:color="auto" w:fill="auto"/>
            <w:vAlign w:val="bottom"/>
          </w:tcPr>
          <w:p w:rsidR="003A497B" w:rsidRPr="004074EC" w:rsidRDefault="003A497B" w:rsidP="003E1809">
            <w:pPr>
              <w:jc w:val="right"/>
              <w:rPr>
                <w:rFonts w:ascii="Times New Roman" w:hAnsi="Times New Roman" w:cs="Times New Roman"/>
                <w:color w:val="000000"/>
                <w:sz w:val="14"/>
                <w:szCs w:val="14"/>
                <w:lang w:eastAsia="sk-SK"/>
              </w:rPr>
            </w:pPr>
            <w:r w:rsidRPr="004074EC">
              <w:rPr>
                <w:rFonts w:ascii="Times New Roman" w:hAnsi="Times New Roman" w:cs="Times New Roman"/>
                <w:color w:val="000000"/>
                <w:sz w:val="14"/>
                <w:szCs w:val="14"/>
                <w:lang w:eastAsia="sk-SK"/>
              </w:rPr>
              <w:t>0</w:t>
            </w:r>
          </w:p>
        </w:tc>
      </w:tr>
      <w:tr w:rsidR="003A497B" w:rsidRPr="00900D1A" w:rsidTr="00C311BC">
        <w:trPr>
          <w:trHeight w:hRule="exact" w:val="284"/>
        </w:trPr>
        <w:tc>
          <w:tcPr>
            <w:tcW w:w="2425" w:type="dxa"/>
            <w:shd w:val="clear" w:color="auto" w:fill="auto"/>
            <w:noWrap/>
            <w:vAlign w:val="bottom"/>
            <w:hideMark/>
          </w:tcPr>
          <w:p w:rsidR="003A497B" w:rsidRPr="00D57A20" w:rsidRDefault="003A497B" w:rsidP="003E1809">
            <w:pPr>
              <w:rPr>
                <w:rFonts w:ascii="Times New Roman" w:hAnsi="Times New Roman" w:cs="Times New Roman"/>
                <w:color w:val="000000"/>
                <w:sz w:val="14"/>
                <w:szCs w:val="14"/>
                <w:lang w:eastAsia="sk-SK"/>
              </w:rPr>
            </w:pPr>
            <w:r w:rsidRPr="00D57A20">
              <w:rPr>
                <w:rFonts w:ascii="Times New Roman" w:hAnsi="Times New Roman" w:cs="Times New Roman"/>
                <w:color w:val="000000"/>
                <w:sz w:val="14"/>
                <w:szCs w:val="14"/>
                <w:lang w:eastAsia="sk-SK"/>
              </w:rPr>
              <w:t>zdroj 72</w:t>
            </w:r>
            <w:r>
              <w:rPr>
                <w:rFonts w:ascii="Times New Roman" w:hAnsi="Times New Roman" w:cs="Times New Roman"/>
                <w:color w:val="000000"/>
                <w:sz w:val="14"/>
                <w:szCs w:val="14"/>
                <w:lang w:eastAsia="sk-SK"/>
              </w:rPr>
              <w:t>e*</w:t>
            </w:r>
          </w:p>
        </w:tc>
        <w:tc>
          <w:tcPr>
            <w:tcW w:w="949" w:type="dxa"/>
            <w:shd w:val="clear" w:color="auto" w:fill="auto"/>
            <w:vAlign w:val="bottom"/>
          </w:tcPr>
          <w:p w:rsidR="003A497B" w:rsidRPr="00547EC5" w:rsidRDefault="003A497B" w:rsidP="003E1809">
            <w:pPr>
              <w:jc w:val="right"/>
              <w:rPr>
                <w:rFonts w:ascii="Times New Roman" w:hAnsi="Times New Roman" w:cs="Times New Roman"/>
                <w:color w:val="000000"/>
                <w:sz w:val="14"/>
                <w:szCs w:val="14"/>
                <w:lang w:eastAsia="sk-SK"/>
              </w:rPr>
            </w:pPr>
            <w:r w:rsidRPr="00547EC5">
              <w:rPr>
                <w:rFonts w:ascii="Times New Roman" w:hAnsi="Times New Roman" w:cs="Times New Roman"/>
                <w:color w:val="000000"/>
                <w:sz w:val="14"/>
                <w:szCs w:val="14"/>
              </w:rPr>
              <w:t>97 837</w:t>
            </w:r>
          </w:p>
        </w:tc>
        <w:tc>
          <w:tcPr>
            <w:tcW w:w="948" w:type="dxa"/>
            <w:shd w:val="clear" w:color="auto" w:fill="auto"/>
            <w:vAlign w:val="bottom"/>
          </w:tcPr>
          <w:p w:rsidR="003A497B" w:rsidRPr="00547EC5" w:rsidRDefault="003A497B" w:rsidP="003E1809">
            <w:pPr>
              <w:jc w:val="right"/>
              <w:rPr>
                <w:rFonts w:ascii="Times New Roman" w:hAnsi="Times New Roman" w:cs="Times New Roman"/>
                <w:color w:val="000000"/>
                <w:sz w:val="14"/>
                <w:szCs w:val="14"/>
              </w:rPr>
            </w:pPr>
            <w:r w:rsidRPr="00547EC5">
              <w:rPr>
                <w:rFonts w:ascii="Times New Roman" w:hAnsi="Times New Roman" w:cs="Times New Roman"/>
                <w:color w:val="000000"/>
                <w:sz w:val="14"/>
                <w:szCs w:val="14"/>
              </w:rPr>
              <w:t>116 752</w:t>
            </w:r>
          </w:p>
        </w:tc>
        <w:tc>
          <w:tcPr>
            <w:tcW w:w="948" w:type="dxa"/>
            <w:shd w:val="clear" w:color="auto" w:fill="auto"/>
            <w:vAlign w:val="bottom"/>
          </w:tcPr>
          <w:p w:rsidR="003A497B" w:rsidRPr="00547EC5" w:rsidRDefault="003A497B" w:rsidP="003E1809">
            <w:pPr>
              <w:jc w:val="right"/>
              <w:rPr>
                <w:rFonts w:ascii="Times New Roman" w:hAnsi="Times New Roman" w:cs="Times New Roman"/>
                <w:color w:val="000000"/>
                <w:sz w:val="14"/>
                <w:szCs w:val="14"/>
              </w:rPr>
            </w:pPr>
            <w:r w:rsidRPr="00547EC5">
              <w:rPr>
                <w:rFonts w:ascii="Times New Roman" w:hAnsi="Times New Roman" w:cs="Times New Roman"/>
                <w:color w:val="000000"/>
                <w:sz w:val="14"/>
                <w:szCs w:val="14"/>
              </w:rPr>
              <w:t>0</w:t>
            </w:r>
          </w:p>
        </w:tc>
        <w:tc>
          <w:tcPr>
            <w:tcW w:w="948" w:type="dxa"/>
            <w:shd w:val="clear" w:color="auto" w:fill="auto"/>
            <w:vAlign w:val="bottom"/>
          </w:tcPr>
          <w:p w:rsidR="003A497B" w:rsidRPr="00547EC5" w:rsidRDefault="003A497B" w:rsidP="003E1809">
            <w:pPr>
              <w:jc w:val="right"/>
              <w:rPr>
                <w:rFonts w:ascii="Times New Roman" w:hAnsi="Times New Roman" w:cs="Times New Roman"/>
                <w:color w:val="000000"/>
                <w:sz w:val="14"/>
                <w:szCs w:val="14"/>
              </w:rPr>
            </w:pPr>
            <w:r w:rsidRPr="00547EC5">
              <w:rPr>
                <w:rFonts w:ascii="Times New Roman" w:hAnsi="Times New Roman" w:cs="Times New Roman"/>
                <w:color w:val="000000"/>
                <w:sz w:val="14"/>
                <w:szCs w:val="14"/>
              </w:rPr>
              <w:t>0</w:t>
            </w:r>
          </w:p>
        </w:tc>
        <w:tc>
          <w:tcPr>
            <w:tcW w:w="948" w:type="dxa"/>
            <w:shd w:val="clear" w:color="auto" w:fill="auto"/>
            <w:vAlign w:val="bottom"/>
          </w:tcPr>
          <w:p w:rsidR="003A497B" w:rsidRPr="00547EC5" w:rsidRDefault="003A497B" w:rsidP="003E1809">
            <w:pPr>
              <w:jc w:val="right"/>
              <w:rPr>
                <w:rFonts w:ascii="Times New Roman" w:hAnsi="Times New Roman" w:cs="Times New Roman"/>
                <w:color w:val="000000"/>
                <w:sz w:val="14"/>
                <w:szCs w:val="14"/>
              </w:rPr>
            </w:pPr>
            <w:r w:rsidRPr="00547EC5">
              <w:rPr>
                <w:rFonts w:ascii="Times New Roman" w:hAnsi="Times New Roman" w:cs="Times New Roman"/>
                <w:color w:val="000000"/>
                <w:sz w:val="14"/>
                <w:szCs w:val="14"/>
              </w:rPr>
              <w:t>100 000</w:t>
            </w:r>
          </w:p>
        </w:tc>
        <w:tc>
          <w:tcPr>
            <w:tcW w:w="948" w:type="dxa"/>
            <w:shd w:val="clear" w:color="auto" w:fill="auto"/>
            <w:vAlign w:val="bottom"/>
          </w:tcPr>
          <w:p w:rsidR="003A497B" w:rsidRPr="00547EC5" w:rsidRDefault="003A497B" w:rsidP="003E1809">
            <w:pPr>
              <w:jc w:val="right"/>
              <w:rPr>
                <w:rFonts w:ascii="Times New Roman" w:hAnsi="Times New Roman" w:cs="Times New Roman"/>
                <w:color w:val="000000"/>
                <w:sz w:val="14"/>
                <w:szCs w:val="14"/>
              </w:rPr>
            </w:pPr>
            <w:r w:rsidRPr="00547EC5">
              <w:rPr>
                <w:rFonts w:ascii="Times New Roman" w:hAnsi="Times New Roman" w:cs="Times New Roman"/>
                <w:color w:val="000000"/>
                <w:sz w:val="14"/>
                <w:szCs w:val="14"/>
              </w:rPr>
              <w:t>100 000</w:t>
            </w:r>
          </w:p>
        </w:tc>
        <w:tc>
          <w:tcPr>
            <w:tcW w:w="948" w:type="dxa"/>
            <w:shd w:val="clear" w:color="auto" w:fill="auto"/>
            <w:vAlign w:val="bottom"/>
          </w:tcPr>
          <w:p w:rsidR="003A497B" w:rsidRPr="00547EC5" w:rsidRDefault="003A497B" w:rsidP="003E1809">
            <w:pPr>
              <w:jc w:val="right"/>
              <w:rPr>
                <w:rFonts w:ascii="Times New Roman" w:hAnsi="Times New Roman" w:cs="Times New Roman"/>
                <w:color w:val="000000"/>
                <w:sz w:val="14"/>
                <w:szCs w:val="14"/>
              </w:rPr>
            </w:pPr>
            <w:r w:rsidRPr="00547EC5">
              <w:rPr>
                <w:rFonts w:ascii="Times New Roman" w:hAnsi="Times New Roman" w:cs="Times New Roman"/>
                <w:color w:val="000000"/>
                <w:sz w:val="14"/>
                <w:szCs w:val="14"/>
              </w:rPr>
              <w:t>100 000</w:t>
            </w:r>
          </w:p>
        </w:tc>
      </w:tr>
    </w:tbl>
    <w:p w:rsidR="003A497B" w:rsidRDefault="003A497B" w:rsidP="003A497B">
      <w:pPr>
        <w:pStyle w:val="titulok"/>
        <w:spacing w:before="0" w:beforeAutospacing="0" w:after="0" w:afterAutospacing="0"/>
        <w:jc w:val="both"/>
        <w:rPr>
          <w:rFonts w:ascii="Times New Roman" w:hAnsi="Times New Roman" w:cs="Times New Roman"/>
          <w:color w:val="000000"/>
          <w:sz w:val="14"/>
          <w:szCs w:val="14"/>
        </w:rPr>
      </w:pPr>
      <w:r w:rsidRPr="00A629CF">
        <w:rPr>
          <w:rFonts w:ascii="Times New Roman" w:hAnsi="Times New Roman" w:cs="Times New Roman"/>
          <w:color w:val="000000"/>
          <w:sz w:val="14"/>
          <w:szCs w:val="14"/>
        </w:rPr>
        <w:t>*</w:t>
      </w:r>
      <w:r>
        <w:rPr>
          <w:rFonts w:ascii="Times New Roman" w:hAnsi="Times New Roman" w:cs="Times New Roman"/>
          <w:color w:val="000000"/>
          <w:sz w:val="14"/>
          <w:szCs w:val="14"/>
        </w:rPr>
        <w:t xml:space="preserve"> </w:t>
      </w:r>
      <w:r w:rsidRPr="00A629CF">
        <w:rPr>
          <w:rFonts w:ascii="Times New Roman" w:hAnsi="Times New Roman" w:cs="Times New Roman"/>
          <w:color w:val="000000"/>
          <w:sz w:val="14"/>
          <w:szCs w:val="14"/>
        </w:rPr>
        <w:t>z poistného plnenia zo zmluvného poistenia alebo zo zákonného poistenia</w:t>
      </w:r>
    </w:p>
    <w:p w:rsidR="003A497B" w:rsidRDefault="003A497B" w:rsidP="003A497B">
      <w:pPr>
        <w:pStyle w:val="titulok"/>
        <w:spacing w:before="0" w:beforeAutospacing="0" w:after="0" w:afterAutospacing="0"/>
        <w:jc w:val="both"/>
        <w:rPr>
          <w:rFonts w:ascii="Times New Roman" w:hAnsi="Times New Roman" w:cs="Times New Roman"/>
          <w:color w:val="000000"/>
          <w:sz w:val="14"/>
          <w:szCs w:val="14"/>
        </w:rPr>
      </w:pPr>
    </w:p>
    <w:tbl>
      <w:tblPr>
        <w:tblW w:w="5000" w:type="pct"/>
        <w:tblLayout w:type="fixed"/>
        <w:tblCellMar>
          <w:left w:w="70" w:type="dxa"/>
          <w:right w:w="70" w:type="dxa"/>
        </w:tblCellMar>
        <w:tblLook w:val="04A0" w:firstRow="1" w:lastRow="0" w:firstColumn="1" w:lastColumn="0" w:noHBand="0" w:noVBand="1"/>
      </w:tblPr>
      <w:tblGrid>
        <w:gridCol w:w="2433"/>
        <w:gridCol w:w="947"/>
        <w:gridCol w:w="947"/>
        <w:gridCol w:w="947"/>
        <w:gridCol w:w="947"/>
        <w:gridCol w:w="947"/>
        <w:gridCol w:w="947"/>
        <w:gridCol w:w="947"/>
      </w:tblGrid>
      <w:tr w:rsidR="003A497B" w:rsidRPr="00A629CF" w:rsidTr="003E1809">
        <w:trPr>
          <w:trHeight w:hRule="exact" w:val="255"/>
        </w:trPr>
        <w:tc>
          <w:tcPr>
            <w:tcW w:w="2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7B" w:rsidRPr="00A629CF" w:rsidRDefault="003A497B" w:rsidP="003E1809">
            <w:pPr>
              <w:rPr>
                <w:rFonts w:ascii="Times New Roman" w:hAnsi="Times New Roman" w:cs="Times New Roman"/>
                <w:b/>
                <w:bCs/>
                <w:sz w:val="14"/>
                <w:szCs w:val="14"/>
                <w:lang w:eastAsia="sk-SK"/>
              </w:rPr>
            </w:pPr>
            <w:r w:rsidRPr="00A629CF">
              <w:rPr>
                <w:rFonts w:ascii="Times New Roman" w:hAnsi="Times New Roman" w:cs="Times New Roman"/>
                <w:b/>
                <w:bCs/>
                <w:sz w:val="14"/>
                <w:szCs w:val="14"/>
                <w:lang w:eastAsia="sk-SK"/>
              </w:rPr>
              <w:t>Samostatné účty</w:t>
            </w:r>
          </w:p>
        </w:tc>
        <w:tc>
          <w:tcPr>
            <w:tcW w:w="947" w:type="dxa"/>
            <w:tcBorders>
              <w:top w:val="single" w:sz="4" w:space="0" w:color="auto"/>
              <w:left w:val="nil"/>
              <w:bottom w:val="single" w:sz="4" w:space="0" w:color="auto"/>
              <w:right w:val="single" w:sz="4" w:space="0" w:color="auto"/>
            </w:tcBorders>
            <w:shd w:val="clear" w:color="000000" w:fill="FFFFFF"/>
            <w:noWrap/>
            <w:vAlign w:val="bottom"/>
            <w:hideMark/>
          </w:tcPr>
          <w:p w:rsidR="003A497B" w:rsidRPr="000D3719" w:rsidRDefault="003A497B" w:rsidP="003E1809">
            <w:pPr>
              <w:jc w:val="right"/>
              <w:rPr>
                <w:rFonts w:ascii="Times New Roman" w:hAnsi="Times New Roman" w:cs="Times New Roman"/>
                <w:b/>
                <w:color w:val="000000"/>
                <w:sz w:val="14"/>
                <w:szCs w:val="14"/>
                <w:lang w:eastAsia="sk-SK"/>
              </w:rPr>
            </w:pPr>
            <w:r w:rsidRPr="000D3719">
              <w:rPr>
                <w:rFonts w:ascii="Times New Roman" w:hAnsi="Times New Roman" w:cs="Times New Roman"/>
                <w:b/>
                <w:color w:val="000000"/>
                <w:sz w:val="14"/>
                <w:szCs w:val="14"/>
              </w:rPr>
              <w:t>11 351 376</w:t>
            </w:r>
          </w:p>
        </w:tc>
        <w:tc>
          <w:tcPr>
            <w:tcW w:w="947" w:type="dxa"/>
            <w:tcBorders>
              <w:top w:val="single" w:sz="4" w:space="0" w:color="auto"/>
              <w:left w:val="nil"/>
              <w:bottom w:val="single" w:sz="4" w:space="0" w:color="auto"/>
              <w:right w:val="single" w:sz="4" w:space="0" w:color="auto"/>
            </w:tcBorders>
            <w:shd w:val="clear" w:color="000000" w:fill="FFFFFF"/>
            <w:noWrap/>
            <w:vAlign w:val="bottom"/>
            <w:hideMark/>
          </w:tcPr>
          <w:p w:rsidR="003A497B" w:rsidRPr="000D3719" w:rsidRDefault="003A497B" w:rsidP="003E1809">
            <w:pPr>
              <w:jc w:val="right"/>
              <w:rPr>
                <w:rFonts w:ascii="Times New Roman" w:hAnsi="Times New Roman" w:cs="Times New Roman"/>
                <w:b/>
                <w:color w:val="000000"/>
                <w:sz w:val="14"/>
                <w:szCs w:val="14"/>
              </w:rPr>
            </w:pPr>
            <w:r w:rsidRPr="000D3719">
              <w:rPr>
                <w:rFonts w:ascii="Times New Roman" w:hAnsi="Times New Roman" w:cs="Times New Roman"/>
                <w:b/>
                <w:color w:val="000000"/>
                <w:sz w:val="14"/>
                <w:szCs w:val="14"/>
              </w:rPr>
              <w:t>11 893 260</w:t>
            </w:r>
          </w:p>
        </w:tc>
        <w:tc>
          <w:tcPr>
            <w:tcW w:w="947" w:type="dxa"/>
            <w:tcBorders>
              <w:top w:val="single" w:sz="4" w:space="0" w:color="auto"/>
              <w:left w:val="nil"/>
              <w:bottom w:val="single" w:sz="4" w:space="0" w:color="auto"/>
              <w:right w:val="single" w:sz="4" w:space="0" w:color="auto"/>
            </w:tcBorders>
            <w:shd w:val="clear" w:color="000000" w:fill="FFFFFF"/>
            <w:noWrap/>
            <w:vAlign w:val="bottom"/>
            <w:hideMark/>
          </w:tcPr>
          <w:p w:rsidR="003A497B" w:rsidRPr="000D3719" w:rsidRDefault="003A497B" w:rsidP="003E1809">
            <w:pPr>
              <w:jc w:val="right"/>
              <w:rPr>
                <w:rFonts w:ascii="Times New Roman" w:hAnsi="Times New Roman" w:cs="Times New Roman"/>
                <w:b/>
                <w:color w:val="000000"/>
                <w:sz w:val="14"/>
                <w:szCs w:val="14"/>
              </w:rPr>
            </w:pPr>
            <w:r w:rsidRPr="000D3719">
              <w:rPr>
                <w:rFonts w:ascii="Times New Roman" w:hAnsi="Times New Roman" w:cs="Times New Roman"/>
                <w:b/>
                <w:color w:val="000000"/>
                <w:sz w:val="14"/>
                <w:szCs w:val="14"/>
              </w:rPr>
              <w:t>19 931 515</w:t>
            </w:r>
          </w:p>
        </w:tc>
        <w:tc>
          <w:tcPr>
            <w:tcW w:w="947" w:type="dxa"/>
            <w:tcBorders>
              <w:top w:val="single" w:sz="4" w:space="0" w:color="auto"/>
              <w:left w:val="nil"/>
              <w:bottom w:val="single" w:sz="4" w:space="0" w:color="auto"/>
              <w:right w:val="single" w:sz="4" w:space="0" w:color="auto"/>
            </w:tcBorders>
            <w:shd w:val="clear" w:color="000000" w:fill="FFFFFF"/>
            <w:noWrap/>
            <w:vAlign w:val="bottom"/>
            <w:hideMark/>
          </w:tcPr>
          <w:p w:rsidR="003A497B" w:rsidRPr="000D3719" w:rsidRDefault="003A497B" w:rsidP="003E1809">
            <w:pPr>
              <w:jc w:val="right"/>
              <w:rPr>
                <w:rFonts w:ascii="Times New Roman" w:hAnsi="Times New Roman" w:cs="Times New Roman"/>
                <w:b/>
                <w:color w:val="000000"/>
                <w:sz w:val="14"/>
                <w:szCs w:val="14"/>
              </w:rPr>
            </w:pPr>
            <w:r w:rsidRPr="000D3719">
              <w:rPr>
                <w:rFonts w:ascii="Times New Roman" w:hAnsi="Times New Roman" w:cs="Times New Roman"/>
                <w:b/>
                <w:color w:val="000000"/>
                <w:sz w:val="14"/>
                <w:szCs w:val="14"/>
              </w:rPr>
              <w:t>25 479 137</w:t>
            </w:r>
          </w:p>
        </w:tc>
        <w:tc>
          <w:tcPr>
            <w:tcW w:w="947" w:type="dxa"/>
            <w:tcBorders>
              <w:top w:val="single" w:sz="4" w:space="0" w:color="auto"/>
              <w:left w:val="nil"/>
              <w:bottom w:val="single" w:sz="4" w:space="0" w:color="auto"/>
              <w:right w:val="single" w:sz="4" w:space="0" w:color="auto"/>
            </w:tcBorders>
            <w:shd w:val="clear" w:color="000000" w:fill="FFFFFF"/>
            <w:noWrap/>
            <w:vAlign w:val="bottom"/>
            <w:hideMark/>
          </w:tcPr>
          <w:p w:rsidR="003A497B" w:rsidRPr="000D3719" w:rsidRDefault="003A497B" w:rsidP="003E1809">
            <w:pPr>
              <w:jc w:val="right"/>
              <w:rPr>
                <w:rFonts w:ascii="Times New Roman" w:hAnsi="Times New Roman" w:cs="Times New Roman"/>
                <w:b/>
                <w:color w:val="000000"/>
                <w:sz w:val="14"/>
                <w:szCs w:val="14"/>
              </w:rPr>
            </w:pPr>
            <w:r w:rsidRPr="000D3719">
              <w:rPr>
                <w:rFonts w:ascii="Times New Roman" w:hAnsi="Times New Roman" w:cs="Times New Roman"/>
                <w:b/>
                <w:color w:val="000000"/>
                <w:sz w:val="14"/>
                <w:szCs w:val="14"/>
              </w:rPr>
              <w:t>18 654 928</w:t>
            </w:r>
          </w:p>
        </w:tc>
        <w:tc>
          <w:tcPr>
            <w:tcW w:w="947" w:type="dxa"/>
            <w:tcBorders>
              <w:top w:val="single" w:sz="4" w:space="0" w:color="auto"/>
              <w:left w:val="nil"/>
              <w:bottom w:val="single" w:sz="4" w:space="0" w:color="auto"/>
              <w:right w:val="single" w:sz="4" w:space="0" w:color="auto"/>
            </w:tcBorders>
            <w:shd w:val="clear" w:color="000000" w:fill="FFFFFF"/>
            <w:noWrap/>
            <w:vAlign w:val="bottom"/>
            <w:hideMark/>
          </w:tcPr>
          <w:p w:rsidR="003A497B" w:rsidRPr="000D3719" w:rsidRDefault="003A497B" w:rsidP="003E1809">
            <w:pPr>
              <w:jc w:val="right"/>
              <w:rPr>
                <w:rFonts w:ascii="Times New Roman" w:hAnsi="Times New Roman" w:cs="Times New Roman"/>
                <w:b/>
                <w:color w:val="000000"/>
                <w:sz w:val="14"/>
                <w:szCs w:val="14"/>
              </w:rPr>
            </w:pPr>
            <w:r w:rsidRPr="000D3719">
              <w:rPr>
                <w:rFonts w:ascii="Times New Roman" w:hAnsi="Times New Roman" w:cs="Times New Roman"/>
                <w:b/>
                <w:color w:val="000000"/>
                <w:sz w:val="14"/>
                <w:szCs w:val="14"/>
              </w:rPr>
              <w:t>39 327 214</w:t>
            </w:r>
          </w:p>
        </w:tc>
        <w:tc>
          <w:tcPr>
            <w:tcW w:w="947" w:type="dxa"/>
            <w:tcBorders>
              <w:top w:val="single" w:sz="4" w:space="0" w:color="auto"/>
              <w:left w:val="nil"/>
              <w:bottom w:val="single" w:sz="4" w:space="0" w:color="auto"/>
              <w:right w:val="single" w:sz="4" w:space="0" w:color="auto"/>
            </w:tcBorders>
            <w:shd w:val="clear" w:color="000000" w:fill="FFFFFF"/>
            <w:noWrap/>
            <w:vAlign w:val="bottom"/>
            <w:hideMark/>
          </w:tcPr>
          <w:p w:rsidR="003A497B" w:rsidRPr="000D3719" w:rsidRDefault="003A497B" w:rsidP="003E1809">
            <w:pPr>
              <w:jc w:val="right"/>
              <w:rPr>
                <w:rFonts w:ascii="Times New Roman" w:hAnsi="Times New Roman" w:cs="Times New Roman"/>
                <w:b/>
                <w:color w:val="000000"/>
                <w:sz w:val="14"/>
                <w:szCs w:val="14"/>
              </w:rPr>
            </w:pPr>
            <w:r w:rsidRPr="000D3719">
              <w:rPr>
                <w:rFonts w:ascii="Times New Roman" w:hAnsi="Times New Roman" w:cs="Times New Roman"/>
                <w:b/>
                <w:color w:val="000000"/>
                <w:sz w:val="14"/>
                <w:szCs w:val="14"/>
              </w:rPr>
              <w:t>22 704 790</w:t>
            </w:r>
          </w:p>
        </w:tc>
      </w:tr>
    </w:tbl>
    <w:p w:rsidR="003A497B" w:rsidRDefault="003A497B" w:rsidP="003A497B">
      <w:pPr>
        <w:pStyle w:val="titulok"/>
        <w:spacing w:before="0" w:beforeAutospacing="0" w:after="0" w:afterAutospacing="0"/>
        <w:jc w:val="both"/>
        <w:rPr>
          <w:rFonts w:ascii="Times New Roman" w:hAnsi="Times New Roman" w:cs="Courier"/>
          <w:b w:val="0"/>
          <w:bCs w:val="0"/>
          <w:color w:val="auto"/>
          <w:lang w:eastAsia="cs-CZ"/>
        </w:rPr>
      </w:pPr>
    </w:p>
    <w:p w:rsidR="003A497B" w:rsidRDefault="003A497B" w:rsidP="003A497B">
      <w:pPr>
        <w:pStyle w:val="titulok"/>
        <w:spacing w:before="0" w:beforeAutospacing="0" w:after="0" w:afterAutospacing="0"/>
        <w:ind w:firstLine="709"/>
        <w:jc w:val="both"/>
        <w:rPr>
          <w:rFonts w:ascii="Times New Roman" w:hAnsi="Times New Roman" w:cs="Courier"/>
          <w:b w:val="0"/>
          <w:bCs w:val="0"/>
          <w:color w:val="auto"/>
          <w:lang w:eastAsia="cs-CZ"/>
        </w:rPr>
      </w:pPr>
      <w:r w:rsidRPr="00C52925">
        <w:rPr>
          <w:rFonts w:ascii="Times New Roman" w:hAnsi="Times New Roman" w:cs="Courier"/>
          <w:b w:val="0"/>
          <w:bCs w:val="0"/>
          <w:color w:val="auto"/>
          <w:lang w:eastAsia="cs-CZ"/>
        </w:rPr>
        <w:t>V kapitole Ministerstva dopravy</w:t>
      </w:r>
      <w:r>
        <w:rPr>
          <w:rFonts w:ascii="Times New Roman" w:hAnsi="Times New Roman" w:cs="Courier"/>
          <w:b w:val="0"/>
          <w:bCs w:val="0"/>
          <w:color w:val="auto"/>
          <w:lang w:eastAsia="cs-CZ"/>
        </w:rPr>
        <w:t xml:space="preserve"> a</w:t>
      </w:r>
      <w:r w:rsidRPr="00C52925">
        <w:rPr>
          <w:rFonts w:ascii="Times New Roman" w:hAnsi="Times New Roman" w:cs="Courier"/>
          <w:b w:val="0"/>
          <w:bCs w:val="0"/>
          <w:color w:val="auto"/>
          <w:lang w:eastAsia="cs-CZ"/>
        </w:rPr>
        <w:t xml:space="preserve"> výstavby SR (ďalej len „MDV SR“) sa rozpočtujú na rok 201</w:t>
      </w:r>
      <w:r>
        <w:rPr>
          <w:rFonts w:ascii="Times New Roman" w:hAnsi="Times New Roman" w:cs="Courier"/>
          <w:b w:val="0"/>
          <w:bCs w:val="0"/>
          <w:color w:val="auto"/>
          <w:lang w:eastAsia="cs-CZ"/>
        </w:rPr>
        <w:t>9</w:t>
      </w:r>
      <w:r w:rsidRPr="00C52925">
        <w:rPr>
          <w:rFonts w:ascii="Times New Roman" w:hAnsi="Times New Roman" w:cs="Courier"/>
          <w:b w:val="0"/>
          <w:bCs w:val="0"/>
          <w:color w:val="auto"/>
          <w:lang w:eastAsia="cs-CZ"/>
        </w:rPr>
        <w:t xml:space="preserve"> výdavky v celkovej sume </w:t>
      </w:r>
      <w:r>
        <w:rPr>
          <w:rFonts w:ascii="Times New Roman" w:hAnsi="Times New Roman" w:cs="Courier"/>
          <w:b w:val="0"/>
          <w:bCs w:val="0"/>
          <w:color w:val="auto"/>
          <w:lang w:eastAsia="cs-CZ"/>
        </w:rPr>
        <w:t>1</w:t>
      </w:r>
      <w:r w:rsidRPr="00C52925">
        <w:rPr>
          <w:rFonts w:ascii="Times New Roman" w:hAnsi="Times New Roman" w:cs="Courier"/>
          <w:b w:val="0"/>
          <w:bCs w:val="0"/>
          <w:color w:val="auto"/>
          <w:lang w:eastAsia="cs-CZ"/>
        </w:rPr>
        <w:t>,</w:t>
      </w:r>
      <w:r>
        <w:rPr>
          <w:rFonts w:ascii="Times New Roman" w:hAnsi="Times New Roman" w:cs="Courier"/>
          <w:b w:val="0"/>
          <w:bCs w:val="0"/>
          <w:color w:val="auto"/>
          <w:lang w:eastAsia="cs-CZ"/>
        </w:rPr>
        <w:t xml:space="preserve">15 </w:t>
      </w:r>
      <w:r w:rsidRPr="00C52925">
        <w:rPr>
          <w:rFonts w:ascii="Times New Roman" w:hAnsi="Times New Roman" w:cs="Courier"/>
          <w:b w:val="0"/>
          <w:bCs w:val="0"/>
          <w:color w:val="auto"/>
          <w:lang w:eastAsia="cs-CZ"/>
        </w:rPr>
        <w:t>mld. eur, čo v porovnaní so schváleným rozpočtom roku 201</w:t>
      </w:r>
      <w:r>
        <w:rPr>
          <w:rFonts w:ascii="Times New Roman" w:hAnsi="Times New Roman" w:cs="Courier"/>
          <w:b w:val="0"/>
          <w:bCs w:val="0"/>
          <w:color w:val="auto"/>
          <w:lang w:eastAsia="cs-CZ"/>
        </w:rPr>
        <w:t>8</w:t>
      </w:r>
      <w:r w:rsidRPr="00C52925">
        <w:rPr>
          <w:rFonts w:ascii="Times New Roman" w:hAnsi="Times New Roman" w:cs="Courier"/>
          <w:b w:val="0"/>
          <w:bCs w:val="0"/>
          <w:color w:val="auto"/>
          <w:lang w:eastAsia="cs-CZ"/>
        </w:rPr>
        <w:t xml:space="preserve"> predstavuje z</w:t>
      </w:r>
      <w:r>
        <w:rPr>
          <w:rFonts w:ascii="Times New Roman" w:hAnsi="Times New Roman" w:cs="Courier"/>
          <w:b w:val="0"/>
          <w:bCs w:val="0"/>
          <w:color w:val="auto"/>
          <w:lang w:eastAsia="cs-CZ"/>
        </w:rPr>
        <w:t>níže</w:t>
      </w:r>
      <w:r w:rsidRPr="00C52925">
        <w:rPr>
          <w:rFonts w:ascii="Times New Roman" w:hAnsi="Times New Roman" w:cs="Courier"/>
          <w:b w:val="0"/>
          <w:bCs w:val="0"/>
          <w:color w:val="auto"/>
          <w:lang w:eastAsia="cs-CZ"/>
        </w:rPr>
        <w:t>nie o</w:t>
      </w:r>
      <w:r>
        <w:rPr>
          <w:rFonts w:ascii="Times New Roman" w:hAnsi="Times New Roman" w:cs="Courier"/>
          <w:b w:val="0"/>
          <w:bCs w:val="0"/>
          <w:color w:val="auto"/>
          <w:lang w:eastAsia="cs-CZ"/>
        </w:rPr>
        <w:t xml:space="preserve"> 22,4 </w:t>
      </w:r>
      <w:r w:rsidRPr="00C52925">
        <w:rPr>
          <w:rFonts w:ascii="Times New Roman" w:hAnsi="Times New Roman" w:cs="Courier"/>
          <w:b w:val="0"/>
          <w:bCs w:val="0"/>
          <w:color w:val="auto"/>
          <w:lang w:eastAsia="cs-CZ"/>
        </w:rPr>
        <w:t>m</w:t>
      </w:r>
      <w:r>
        <w:rPr>
          <w:rFonts w:ascii="Times New Roman" w:hAnsi="Times New Roman" w:cs="Courier"/>
          <w:b w:val="0"/>
          <w:bCs w:val="0"/>
          <w:color w:val="auto"/>
          <w:lang w:eastAsia="cs-CZ"/>
        </w:rPr>
        <w:t>i</w:t>
      </w:r>
      <w:r w:rsidRPr="00C52925">
        <w:rPr>
          <w:rFonts w:ascii="Times New Roman" w:hAnsi="Times New Roman" w:cs="Courier"/>
          <w:b w:val="0"/>
          <w:bCs w:val="0"/>
          <w:color w:val="auto"/>
          <w:lang w:eastAsia="cs-CZ"/>
        </w:rPr>
        <w:t>l. eur, t. j. o</w:t>
      </w:r>
      <w:r>
        <w:rPr>
          <w:rFonts w:ascii="Times New Roman" w:hAnsi="Times New Roman" w:cs="Courier"/>
          <w:b w:val="0"/>
          <w:bCs w:val="0"/>
          <w:color w:val="auto"/>
          <w:lang w:eastAsia="cs-CZ"/>
        </w:rPr>
        <w:t xml:space="preserve"> 1,90 </w:t>
      </w:r>
      <w:r w:rsidRPr="00C52925">
        <w:rPr>
          <w:rFonts w:ascii="Times New Roman" w:hAnsi="Times New Roman" w:cs="Courier"/>
          <w:b w:val="0"/>
          <w:bCs w:val="0"/>
          <w:color w:val="auto"/>
          <w:lang w:eastAsia="cs-CZ"/>
        </w:rPr>
        <w:t xml:space="preserve">%. </w:t>
      </w:r>
      <w:r>
        <w:rPr>
          <w:rFonts w:ascii="Times New Roman" w:hAnsi="Times New Roman" w:cs="Courier"/>
          <w:b w:val="0"/>
          <w:bCs w:val="0"/>
          <w:color w:val="auto"/>
          <w:lang w:eastAsia="cs-CZ"/>
        </w:rPr>
        <w:t>Ďalšie zvýšenie rozpočtu kapitoly sa očakáva z realokácií výdavkov zo zdrojov EÚ a príslušného spolufinancovania</w:t>
      </w:r>
      <w:r w:rsidRPr="00DD00BE">
        <w:rPr>
          <w:rFonts w:ascii="Times New Roman" w:hAnsi="Times New Roman" w:cs="Courier"/>
          <w:b w:val="0"/>
          <w:bCs w:val="0"/>
          <w:color w:val="auto"/>
          <w:lang w:eastAsia="cs-CZ"/>
        </w:rPr>
        <w:t>. V prípade nižšej realokácie výdavkov sú v návrhu rozpočtu verejnej správy vytvorené podmienky pre zabezpečenie nevyhnutných finančných prostriedkov na investičné potreby rezortu.</w:t>
      </w:r>
    </w:p>
    <w:p w:rsidR="003A497B" w:rsidRPr="00C52925" w:rsidRDefault="003A497B" w:rsidP="003A497B">
      <w:pPr>
        <w:pStyle w:val="titulok"/>
        <w:spacing w:before="0" w:beforeAutospacing="0" w:after="0" w:afterAutospacing="0"/>
        <w:ind w:firstLine="709"/>
        <w:jc w:val="both"/>
        <w:rPr>
          <w:rFonts w:ascii="Times New Roman" w:hAnsi="Times New Roman" w:cs="Courier"/>
          <w:b w:val="0"/>
          <w:bCs w:val="0"/>
          <w:color w:val="auto"/>
          <w:lang w:eastAsia="cs-CZ"/>
        </w:rPr>
      </w:pPr>
    </w:p>
    <w:p w:rsidR="003A497B" w:rsidRPr="001E1F81" w:rsidRDefault="003A497B" w:rsidP="003A497B">
      <w:pPr>
        <w:ind w:firstLine="708"/>
        <w:jc w:val="both"/>
        <w:rPr>
          <w:rFonts w:ascii="Times New Roman" w:hAnsi="Times New Roman" w:cs="Times New Roman"/>
          <w:lang w:eastAsia="en-US"/>
        </w:rPr>
      </w:pPr>
      <w:r w:rsidRPr="00E32B2D">
        <w:rPr>
          <w:rFonts w:ascii="Times New Roman" w:hAnsi="Times New Roman" w:cs="Times New Roman"/>
          <w:lang w:eastAsia="en-US"/>
        </w:rPr>
        <w:t>Objem osobných výdavkov sa na rok 201</w:t>
      </w:r>
      <w:r>
        <w:rPr>
          <w:rFonts w:ascii="Times New Roman" w:hAnsi="Times New Roman" w:cs="Times New Roman"/>
          <w:lang w:eastAsia="en-US"/>
        </w:rPr>
        <w:t>9</w:t>
      </w:r>
      <w:r w:rsidRPr="00E32B2D">
        <w:rPr>
          <w:rFonts w:ascii="Times New Roman" w:hAnsi="Times New Roman" w:cs="Times New Roman"/>
          <w:lang w:eastAsia="en-US"/>
        </w:rPr>
        <w:t xml:space="preserve"> rozpočtuje v sume </w:t>
      </w:r>
      <w:r>
        <w:rPr>
          <w:rFonts w:ascii="Times New Roman" w:hAnsi="Times New Roman" w:cs="Times New Roman"/>
          <w:lang w:eastAsia="en-US"/>
        </w:rPr>
        <w:t>30</w:t>
      </w:r>
      <w:r w:rsidRPr="00E32B2D">
        <w:rPr>
          <w:rFonts w:ascii="Times New Roman" w:hAnsi="Times New Roman" w:cs="Times New Roman"/>
          <w:lang w:eastAsia="en-US"/>
        </w:rPr>
        <w:t>,</w:t>
      </w:r>
      <w:r>
        <w:rPr>
          <w:rFonts w:ascii="Times New Roman" w:hAnsi="Times New Roman" w:cs="Times New Roman"/>
          <w:lang w:eastAsia="en-US"/>
        </w:rPr>
        <w:t>1</w:t>
      </w:r>
      <w:r w:rsidRPr="00E32B2D">
        <w:rPr>
          <w:rFonts w:ascii="Times New Roman" w:hAnsi="Times New Roman" w:cs="Times New Roman"/>
          <w:lang w:eastAsia="en-US"/>
        </w:rPr>
        <w:t xml:space="preserve"> mil. eur a v porovnaní so schváleným rozpočtom roku 201</w:t>
      </w:r>
      <w:r>
        <w:rPr>
          <w:rFonts w:ascii="Times New Roman" w:hAnsi="Times New Roman" w:cs="Times New Roman"/>
          <w:lang w:eastAsia="en-US"/>
        </w:rPr>
        <w:t>8</w:t>
      </w:r>
      <w:r w:rsidRPr="00E32B2D">
        <w:rPr>
          <w:rFonts w:ascii="Times New Roman" w:hAnsi="Times New Roman" w:cs="Times New Roman"/>
          <w:lang w:eastAsia="en-US"/>
        </w:rPr>
        <w:t xml:space="preserve"> je vyšší o</w:t>
      </w:r>
      <w:r>
        <w:rPr>
          <w:rFonts w:ascii="Times New Roman" w:hAnsi="Times New Roman" w:cs="Times New Roman"/>
          <w:lang w:eastAsia="en-US"/>
        </w:rPr>
        <w:t> 1,97</w:t>
      </w:r>
      <w:r w:rsidRPr="00E32B2D">
        <w:rPr>
          <w:rFonts w:ascii="Times New Roman" w:hAnsi="Times New Roman" w:cs="Times New Roman"/>
          <w:lang w:eastAsia="en-US"/>
        </w:rPr>
        <w:t xml:space="preserve"> mil. eur, čo predstavuje</w:t>
      </w:r>
      <w:r w:rsidRPr="00E32B2D">
        <w:rPr>
          <w:rFonts w:ascii="Times New Roman" w:hAnsi="Times New Roman" w:cs="Times New Roman"/>
          <w:lang w:eastAsia="en-US"/>
        </w:rPr>
        <w:br/>
      </w:r>
      <w:r>
        <w:rPr>
          <w:rFonts w:ascii="Times New Roman" w:hAnsi="Times New Roman" w:cs="Times New Roman"/>
          <w:lang w:eastAsia="en-US"/>
        </w:rPr>
        <w:t>7,00</w:t>
      </w:r>
      <w:r w:rsidRPr="00E32B2D">
        <w:rPr>
          <w:rFonts w:ascii="Times New Roman" w:hAnsi="Times New Roman" w:cs="Times New Roman"/>
          <w:lang w:eastAsia="en-US"/>
        </w:rPr>
        <w:t xml:space="preserve"> %, z dôvodu </w:t>
      </w:r>
      <w:r w:rsidRPr="00E32B2D">
        <w:rPr>
          <w:rFonts w:ascii="Times New Roman" w:hAnsi="Times New Roman"/>
          <w:lang w:eastAsia="sk-SK"/>
        </w:rPr>
        <w:t>premietnutia</w:t>
      </w:r>
      <w:r w:rsidRPr="00E32B2D">
        <w:rPr>
          <w:rFonts w:ascii="Times New Roman" w:hAnsi="Times New Roman" w:cs="Times New Roman"/>
          <w:lang w:eastAsia="en-US"/>
        </w:rPr>
        <w:t xml:space="preserve"> valorizácie </w:t>
      </w:r>
      <w:r>
        <w:rPr>
          <w:rFonts w:ascii="Times New Roman" w:hAnsi="Times New Roman" w:cs="Times New Roman"/>
          <w:lang w:eastAsia="en-US"/>
        </w:rPr>
        <w:t xml:space="preserve">platov zamestnancov z  roku 2018 do nasledujúcich rokov a výdavkov na úpravu počtu zamestnancov na zabezpečenie úloh rezortu.  </w:t>
      </w:r>
      <w:r w:rsidRPr="00E32B2D">
        <w:rPr>
          <w:rFonts w:ascii="Times New Roman" w:hAnsi="Times New Roman" w:cs="Times New Roman"/>
          <w:lang w:eastAsia="en-US"/>
        </w:rPr>
        <w:t> </w:t>
      </w:r>
    </w:p>
    <w:p w:rsidR="003A497B" w:rsidRDefault="003A497B" w:rsidP="003A497B">
      <w:pPr>
        <w:ind w:firstLine="708"/>
        <w:jc w:val="both"/>
        <w:rPr>
          <w:rFonts w:ascii="Times New Roman" w:hAnsi="Times New Roman" w:cs="Times New Roman"/>
          <w:lang w:eastAsia="en-US"/>
        </w:rPr>
      </w:pPr>
    </w:p>
    <w:p w:rsidR="003A497B" w:rsidRPr="00E32B2D" w:rsidRDefault="003A497B" w:rsidP="003A497B">
      <w:pPr>
        <w:ind w:firstLine="708"/>
        <w:jc w:val="both"/>
        <w:rPr>
          <w:rFonts w:ascii="Times New Roman" w:hAnsi="Times New Roman" w:cs="Times New Roman"/>
          <w:lang w:eastAsia="en-US"/>
        </w:rPr>
      </w:pPr>
      <w:r w:rsidRPr="00E32B2D">
        <w:rPr>
          <w:rFonts w:ascii="Times New Roman" w:hAnsi="Times New Roman"/>
          <w:lang w:eastAsia="sk-SK"/>
        </w:rPr>
        <w:t xml:space="preserve"> </w:t>
      </w:r>
      <w:r w:rsidRPr="00E32B2D">
        <w:rPr>
          <w:rFonts w:ascii="Times New Roman" w:hAnsi="Times New Roman" w:cs="Times New Roman"/>
          <w:lang w:eastAsia="en-US"/>
        </w:rPr>
        <w:t>Výdavky na tovary a služby v roku 201</w:t>
      </w:r>
      <w:r>
        <w:rPr>
          <w:rFonts w:ascii="Times New Roman" w:hAnsi="Times New Roman" w:cs="Times New Roman"/>
          <w:lang w:eastAsia="en-US"/>
        </w:rPr>
        <w:t>9</w:t>
      </w:r>
      <w:r w:rsidRPr="00E32B2D">
        <w:rPr>
          <w:rFonts w:ascii="Times New Roman" w:hAnsi="Times New Roman" w:cs="Times New Roman"/>
          <w:lang w:eastAsia="en-US"/>
        </w:rPr>
        <w:t xml:space="preserve"> sa rozpočtujú v objeme </w:t>
      </w:r>
      <w:r>
        <w:rPr>
          <w:rFonts w:ascii="Times New Roman" w:hAnsi="Times New Roman" w:cs="Times New Roman"/>
          <w:lang w:eastAsia="en-US"/>
        </w:rPr>
        <w:t>223</w:t>
      </w:r>
      <w:r w:rsidRPr="00E32B2D">
        <w:rPr>
          <w:rFonts w:ascii="Times New Roman" w:hAnsi="Times New Roman" w:cs="Times New Roman"/>
          <w:lang w:eastAsia="en-US"/>
        </w:rPr>
        <w:t xml:space="preserve"> mil. eur</w:t>
      </w:r>
      <w:r w:rsidRPr="00E32B2D">
        <w:rPr>
          <w:rFonts w:ascii="Times New Roman" w:hAnsi="Times New Roman" w:cs="Times New Roman"/>
          <w:lang w:eastAsia="en-US"/>
        </w:rPr>
        <w:br/>
        <w:t>a v porovnaní  so  schváleným  rozpočtom  roku 201</w:t>
      </w:r>
      <w:r>
        <w:rPr>
          <w:rFonts w:ascii="Times New Roman" w:hAnsi="Times New Roman" w:cs="Times New Roman"/>
          <w:lang w:eastAsia="en-US"/>
        </w:rPr>
        <w:t>8</w:t>
      </w:r>
      <w:r w:rsidRPr="00E32B2D">
        <w:rPr>
          <w:rFonts w:ascii="Times New Roman" w:hAnsi="Times New Roman" w:cs="Times New Roman"/>
          <w:lang w:eastAsia="en-US"/>
        </w:rPr>
        <w:t xml:space="preserve"> sú </w:t>
      </w:r>
      <w:r>
        <w:rPr>
          <w:rFonts w:ascii="Times New Roman" w:hAnsi="Times New Roman" w:cs="Times New Roman"/>
          <w:lang w:eastAsia="en-US"/>
        </w:rPr>
        <w:t>niž</w:t>
      </w:r>
      <w:r w:rsidRPr="00E32B2D">
        <w:rPr>
          <w:rFonts w:ascii="Times New Roman" w:hAnsi="Times New Roman" w:cs="Times New Roman"/>
          <w:lang w:eastAsia="en-US"/>
        </w:rPr>
        <w:t>šie o</w:t>
      </w:r>
      <w:r>
        <w:rPr>
          <w:rFonts w:ascii="Times New Roman" w:hAnsi="Times New Roman" w:cs="Times New Roman"/>
          <w:lang w:eastAsia="en-US"/>
        </w:rPr>
        <w:t> 13,1</w:t>
      </w:r>
      <w:r w:rsidRPr="00E32B2D">
        <w:rPr>
          <w:rFonts w:ascii="Times New Roman" w:hAnsi="Times New Roman" w:cs="Times New Roman"/>
          <w:lang w:eastAsia="en-US"/>
        </w:rPr>
        <w:t xml:space="preserve"> mil. eur, t. j. o</w:t>
      </w:r>
      <w:r>
        <w:rPr>
          <w:rFonts w:ascii="Times New Roman" w:hAnsi="Times New Roman" w:cs="Times New Roman"/>
          <w:lang w:eastAsia="en-US"/>
        </w:rPr>
        <w:t> 5,57</w:t>
      </w:r>
      <w:r w:rsidRPr="00E32B2D">
        <w:rPr>
          <w:rFonts w:ascii="Times New Roman" w:hAnsi="Times New Roman" w:cs="Times New Roman"/>
          <w:lang w:eastAsia="en-US"/>
        </w:rPr>
        <w:t xml:space="preserve"> %</w:t>
      </w:r>
      <w:r>
        <w:rPr>
          <w:rFonts w:ascii="Times New Roman" w:hAnsi="Times New Roman" w:cs="Times New Roman"/>
          <w:lang w:eastAsia="en-US"/>
        </w:rPr>
        <w:t xml:space="preserve">. </w:t>
      </w:r>
    </w:p>
    <w:p w:rsidR="003A497B" w:rsidRPr="00775C7E" w:rsidRDefault="003A497B" w:rsidP="003A497B">
      <w:pPr>
        <w:ind w:firstLine="708"/>
        <w:jc w:val="both"/>
        <w:rPr>
          <w:rFonts w:ascii="Times New Roman" w:hAnsi="Times New Roman" w:cs="Times New Roman"/>
          <w:highlight w:val="yellow"/>
          <w:lang w:eastAsia="en-US"/>
        </w:rPr>
      </w:pPr>
    </w:p>
    <w:p w:rsidR="003A497B" w:rsidRDefault="003A497B" w:rsidP="003A497B">
      <w:pPr>
        <w:ind w:firstLine="708"/>
        <w:jc w:val="both"/>
        <w:rPr>
          <w:rFonts w:ascii="Times New Roman" w:hAnsi="Times New Roman" w:cs="Times New Roman"/>
          <w:szCs w:val="22"/>
        </w:rPr>
      </w:pPr>
      <w:r w:rsidRPr="000917AF">
        <w:rPr>
          <w:rFonts w:ascii="Times New Roman" w:hAnsi="Times New Roman" w:cs="Times New Roman"/>
          <w:lang w:eastAsia="en-US"/>
        </w:rPr>
        <w:lastRenderedPageBreak/>
        <w:t>Bežné transfery sa na rok 201</w:t>
      </w:r>
      <w:r>
        <w:rPr>
          <w:rFonts w:ascii="Times New Roman" w:hAnsi="Times New Roman" w:cs="Times New Roman"/>
          <w:lang w:eastAsia="en-US"/>
        </w:rPr>
        <w:t>9</w:t>
      </w:r>
      <w:r w:rsidRPr="000917AF">
        <w:rPr>
          <w:rFonts w:ascii="Times New Roman" w:hAnsi="Times New Roman" w:cs="Times New Roman"/>
          <w:lang w:eastAsia="en-US"/>
        </w:rPr>
        <w:t xml:space="preserve"> rozpočtujú vo výške 6</w:t>
      </w:r>
      <w:r>
        <w:rPr>
          <w:rFonts w:ascii="Times New Roman" w:hAnsi="Times New Roman" w:cs="Times New Roman"/>
          <w:lang w:eastAsia="en-US"/>
        </w:rPr>
        <w:t>26</w:t>
      </w:r>
      <w:r w:rsidRPr="000917AF">
        <w:rPr>
          <w:rFonts w:ascii="Times New Roman" w:hAnsi="Times New Roman" w:cs="Times New Roman"/>
          <w:lang w:eastAsia="en-US"/>
        </w:rPr>
        <w:t xml:space="preserve"> mil. eur, v porovnaní so schváleným rozpočtom roku 201</w:t>
      </w:r>
      <w:r>
        <w:rPr>
          <w:rFonts w:ascii="Times New Roman" w:hAnsi="Times New Roman" w:cs="Times New Roman"/>
          <w:lang w:eastAsia="en-US"/>
        </w:rPr>
        <w:t>8</w:t>
      </w:r>
      <w:r w:rsidRPr="000917AF">
        <w:rPr>
          <w:rFonts w:ascii="Times New Roman" w:hAnsi="Times New Roman" w:cs="Times New Roman"/>
          <w:lang w:eastAsia="en-US"/>
        </w:rPr>
        <w:t xml:space="preserve"> </w:t>
      </w:r>
      <w:r>
        <w:rPr>
          <w:rFonts w:ascii="Times New Roman" w:hAnsi="Times New Roman" w:cs="Times New Roman"/>
          <w:lang w:eastAsia="en-US"/>
        </w:rPr>
        <w:t>sú vyššie</w:t>
      </w:r>
      <w:r w:rsidRPr="000917AF">
        <w:rPr>
          <w:rFonts w:ascii="Times New Roman" w:hAnsi="Times New Roman" w:cs="Times New Roman"/>
          <w:lang w:eastAsia="en-US"/>
        </w:rPr>
        <w:t xml:space="preserve"> o</w:t>
      </w:r>
      <w:r>
        <w:rPr>
          <w:rFonts w:ascii="Times New Roman" w:hAnsi="Times New Roman" w:cs="Times New Roman"/>
          <w:lang w:eastAsia="en-US"/>
        </w:rPr>
        <w:t> 6,35</w:t>
      </w:r>
      <w:r w:rsidRPr="000917AF">
        <w:rPr>
          <w:rFonts w:ascii="Times New Roman" w:hAnsi="Times New Roman" w:cs="Times New Roman"/>
          <w:lang w:eastAsia="en-US"/>
        </w:rPr>
        <w:t xml:space="preserve"> mil. eur, t. j. o </w:t>
      </w:r>
      <w:r>
        <w:rPr>
          <w:rFonts w:ascii="Times New Roman" w:hAnsi="Times New Roman" w:cs="Times New Roman"/>
          <w:lang w:eastAsia="en-US"/>
        </w:rPr>
        <w:t>1</w:t>
      </w:r>
      <w:r w:rsidRPr="000917AF">
        <w:rPr>
          <w:rFonts w:ascii="Times New Roman" w:hAnsi="Times New Roman" w:cs="Times New Roman"/>
          <w:lang w:eastAsia="en-US"/>
        </w:rPr>
        <w:t>,</w:t>
      </w:r>
      <w:r>
        <w:rPr>
          <w:rFonts w:ascii="Times New Roman" w:hAnsi="Times New Roman" w:cs="Times New Roman"/>
          <w:lang w:eastAsia="en-US"/>
        </w:rPr>
        <w:t>02</w:t>
      </w:r>
      <w:r w:rsidRPr="000917AF">
        <w:rPr>
          <w:rFonts w:ascii="Times New Roman" w:hAnsi="Times New Roman" w:cs="Times New Roman"/>
          <w:lang w:eastAsia="en-US"/>
        </w:rPr>
        <w:t xml:space="preserve"> %</w:t>
      </w:r>
      <w:r>
        <w:rPr>
          <w:rFonts w:ascii="Times New Roman" w:hAnsi="Times New Roman" w:cs="Times New Roman"/>
          <w:lang w:eastAsia="en-US"/>
        </w:rPr>
        <w:t xml:space="preserve"> najmä</w:t>
      </w:r>
      <w:r w:rsidRPr="000917AF">
        <w:rPr>
          <w:rFonts w:ascii="Times New Roman" w:hAnsi="Times New Roman" w:cs="Times New Roman"/>
          <w:lang w:eastAsia="en-US"/>
        </w:rPr>
        <w:t xml:space="preserve"> z</w:t>
      </w:r>
      <w:r>
        <w:rPr>
          <w:rFonts w:ascii="Times New Roman" w:hAnsi="Times New Roman" w:cs="Times New Roman"/>
          <w:lang w:eastAsia="en-US"/>
        </w:rPr>
        <w:t> </w:t>
      </w:r>
      <w:r w:rsidRPr="000917AF">
        <w:rPr>
          <w:rFonts w:ascii="Times New Roman" w:hAnsi="Times New Roman" w:cs="Times New Roman"/>
          <w:lang w:eastAsia="en-US"/>
        </w:rPr>
        <w:t>dôvodu</w:t>
      </w:r>
      <w:r>
        <w:rPr>
          <w:rFonts w:ascii="Times New Roman" w:hAnsi="Times New Roman" w:cs="Times New Roman"/>
          <w:lang w:eastAsia="en-US"/>
        </w:rPr>
        <w:t xml:space="preserve"> zvýšenia výdavkov na plnenie vyšších výkonov v rámci zmlúv o dopravných službách vo verejnom záujme a na dotácie na podporu cestovného ruchu</w:t>
      </w:r>
      <w:r>
        <w:rPr>
          <w:rFonts w:ascii="Times New Roman" w:hAnsi="Times New Roman" w:cs="Times New Roman"/>
          <w:szCs w:val="22"/>
        </w:rPr>
        <w:t>.</w:t>
      </w:r>
    </w:p>
    <w:p w:rsidR="003A497B" w:rsidRPr="00775C7E" w:rsidRDefault="003A497B" w:rsidP="003A497B">
      <w:pPr>
        <w:ind w:firstLine="708"/>
        <w:jc w:val="both"/>
        <w:rPr>
          <w:rFonts w:ascii="Times New Roman" w:hAnsi="Times New Roman" w:cs="Times New Roman"/>
          <w:highlight w:val="yellow"/>
          <w:lang w:eastAsia="en-US"/>
        </w:rPr>
      </w:pPr>
    </w:p>
    <w:p w:rsidR="003A497B" w:rsidRDefault="003A497B" w:rsidP="003A497B">
      <w:pPr>
        <w:ind w:firstLine="708"/>
        <w:jc w:val="both"/>
        <w:rPr>
          <w:rFonts w:ascii="Times New Roman" w:hAnsi="Times New Roman" w:cs="Times New Roman"/>
          <w:lang w:eastAsia="en-US"/>
        </w:rPr>
      </w:pPr>
      <w:r w:rsidRPr="000917AF">
        <w:rPr>
          <w:rFonts w:ascii="Times New Roman" w:hAnsi="Times New Roman" w:cs="Times New Roman"/>
          <w:lang w:eastAsia="en-US"/>
        </w:rPr>
        <w:t>Kapitálové výdavky v roku 201</w:t>
      </w:r>
      <w:r>
        <w:rPr>
          <w:rFonts w:ascii="Times New Roman" w:hAnsi="Times New Roman" w:cs="Times New Roman"/>
          <w:lang w:eastAsia="en-US"/>
        </w:rPr>
        <w:t>9</w:t>
      </w:r>
      <w:r w:rsidRPr="000917AF">
        <w:rPr>
          <w:rFonts w:ascii="Times New Roman" w:hAnsi="Times New Roman" w:cs="Times New Roman"/>
          <w:lang w:eastAsia="en-US"/>
        </w:rPr>
        <w:t xml:space="preserve"> v sume </w:t>
      </w:r>
      <w:r>
        <w:rPr>
          <w:rFonts w:ascii="Times New Roman" w:hAnsi="Times New Roman" w:cs="Times New Roman"/>
          <w:lang w:eastAsia="en-US"/>
        </w:rPr>
        <w:t>239</w:t>
      </w:r>
      <w:r w:rsidRPr="000917AF">
        <w:rPr>
          <w:rFonts w:ascii="Times New Roman" w:hAnsi="Times New Roman" w:cs="Times New Roman"/>
          <w:lang w:eastAsia="en-US"/>
        </w:rPr>
        <w:t xml:space="preserve"> mil. eur</w:t>
      </w:r>
      <w:r>
        <w:rPr>
          <w:rFonts w:ascii="Times New Roman" w:hAnsi="Times New Roman" w:cs="Times New Roman"/>
          <w:lang w:eastAsia="en-US"/>
        </w:rPr>
        <w:t xml:space="preserve">, </w:t>
      </w:r>
      <w:r w:rsidRPr="000917AF">
        <w:rPr>
          <w:rFonts w:ascii="Times New Roman" w:hAnsi="Times New Roman" w:cs="Times New Roman"/>
          <w:lang w:eastAsia="en-US"/>
        </w:rPr>
        <w:t>v porovnaní so schváleným rozpočtom roku 201</w:t>
      </w:r>
      <w:r>
        <w:rPr>
          <w:rFonts w:ascii="Times New Roman" w:hAnsi="Times New Roman" w:cs="Times New Roman"/>
          <w:lang w:eastAsia="en-US"/>
        </w:rPr>
        <w:t>8</w:t>
      </w:r>
      <w:r w:rsidRPr="000917AF">
        <w:rPr>
          <w:rFonts w:ascii="Times New Roman" w:hAnsi="Times New Roman" w:cs="Times New Roman"/>
          <w:lang w:eastAsia="en-US"/>
        </w:rPr>
        <w:t xml:space="preserve"> sú </w:t>
      </w:r>
      <w:r>
        <w:rPr>
          <w:rFonts w:ascii="Times New Roman" w:hAnsi="Times New Roman" w:cs="Times New Roman"/>
          <w:lang w:eastAsia="en-US"/>
        </w:rPr>
        <w:t>nižšie</w:t>
      </w:r>
      <w:r w:rsidRPr="000917AF">
        <w:rPr>
          <w:rFonts w:ascii="Times New Roman" w:hAnsi="Times New Roman" w:cs="Times New Roman"/>
          <w:lang w:eastAsia="en-US"/>
        </w:rPr>
        <w:t xml:space="preserve"> o</w:t>
      </w:r>
      <w:r>
        <w:rPr>
          <w:rFonts w:ascii="Times New Roman" w:hAnsi="Times New Roman" w:cs="Times New Roman"/>
          <w:lang w:eastAsia="en-US"/>
        </w:rPr>
        <w:t> 53,0</w:t>
      </w:r>
      <w:r w:rsidRPr="000917AF">
        <w:rPr>
          <w:rFonts w:ascii="Times New Roman" w:hAnsi="Times New Roman" w:cs="Times New Roman"/>
          <w:lang w:eastAsia="en-US"/>
        </w:rPr>
        <w:t xml:space="preserve"> mil. eur, t. j. o </w:t>
      </w:r>
      <w:r>
        <w:rPr>
          <w:rFonts w:ascii="Times New Roman" w:hAnsi="Times New Roman" w:cs="Times New Roman"/>
          <w:lang w:eastAsia="en-US"/>
        </w:rPr>
        <w:t>18</w:t>
      </w:r>
      <w:r w:rsidRPr="000917AF">
        <w:rPr>
          <w:rFonts w:ascii="Times New Roman" w:hAnsi="Times New Roman" w:cs="Times New Roman"/>
          <w:lang w:eastAsia="en-US"/>
        </w:rPr>
        <w:t>,</w:t>
      </w:r>
      <w:r>
        <w:rPr>
          <w:rFonts w:ascii="Times New Roman" w:hAnsi="Times New Roman" w:cs="Times New Roman"/>
          <w:lang w:eastAsia="en-US"/>
        </w:rPr>
        <w:t>2</w:t>
      </w:r>
      <w:r w:rsidRPr="000917AF">
        <w:rPr>
          <w:rFonts w:ascii="Times New Roman" w:hAnsi="Times New Roman" w:cs="Times New Roman"/>
          <w:lang w:eastAsia="en-US"/>
        </w:rPr>
        <w:t xml:space="preserve"> %</w:t>
      </w:r>
      <w:r>
        <w:rPr>
          <w:rFonts w:ascii="Times New Roman" w:hAnsi="Times New Roman" w:cs="Times New Roman"/>
          <w:lang w:eastAsia="en-US"/>
        </w:rPr>
        <w:t>.</w:t>
      </w:r>
    </w:p>
    <w:p w:rsidR="003A497B" w:rsidRDefault="003A497B" w:rsidP="003A497B">
      <w:pPr>
        <w:ind w:firstLine="708"/>
        <w:jc w:val="both"/>
        <w:rPr>
          <w:rFonts w:ascii="Times New Roman" w:hAnsi="Times New Roman" w:cs="Times New Roman"/>
          <w:lang w:eastAsia="en-US"/>
        </w:rPr>
      </w:pPr>
    </w:p>
    <w:p w:rsidR="003A497B" w:rsidRPr="0044658A" w:rsidRDefault="003A497B" w:rsidP="003A497B">
      <w:pPr>
        <w:ind w:firstLine="708"/>
        <w:jc w:val="both"/>
        <w:rPr>
          <w:rFonts w:ascii="Times New Roman" w:hAnsi="Times New Roman" w:cs="Times New Roman"/>
          <w:lang w:eastAsia="en-US"/>
        </w:rPr>
      </w:pPr>
      <w:r w:rsidRPr="0044658A">
        <w:rPr>
          <w:rFonts w:ascii="Times New Roman" w:hAnsi="Times New Roman" w:cs="Times New Roman"/>
          <w:lang w:eastAsia="en-US"/>
        </w:rPr>
        <w:t xml:space="preserve">Kapitola v nadväznosti na § 17 ods. 4 zákona č. 523/2004 Z. z. o rozpočtových pravidlách verejnej správy a o zmene a doplnení niektorých zákonov v znení neskorších predpisov rozpočtuje tiež výdavky zodpovedajúce príjmom z poistného plnenia zo zmluvného poistenia alebo zo zákonného poistenia v sume </w:t>
      </w:r>
      <w:r>
        <w:rPr>
          <w:rFonts w:ascii="Times New Roman" w:hAnsi="Times New Roman" w:cs="Times New Roman"/>
          <w:lang w:eastAsia="en-US"/>
        </w:rPr>
        <w:t>100</w:t>
      </w:r>
      <w:r w:rsidRPr="0044658A">
        <w:rPr>
          <w:rFonts w:ascii="Times New Roman" w:hAnsi="Times New Roman" w:cs="Times New Roman"/>
          <w:lang w:eastAsia="en-US"/>
        </w:rPr>
        <w:t xml:space="preserve"> tis. eur. Tieto sú určené na financovanie servisu, údržby a opráv motorových vozidiel.</w:t>
      </w:r>
    </w:p>
    <w:p w:rsidR="003A497B" w:rsidRDefault="003A497B" w:rsidP="003A497B">
      <w:pPr>
        <w:ind w:firstLine="708"/>
        <w:jc w:val="both"/>
        <w:rPr>
          <w:rFonts w:ascii="Times New Roman" w:hAnsi="Times New Roman" w:cs="Times New Roman"/>
          <w:lang w:eastAsia="en-US"/>
        </w:rPr>
      </w:pPr>
    </w:p>
    <w:p w:rsidR="003A497B" w:rsidRPr="00C83E1B" w:rsidRDefault="003A497B" w:rsidP="003A497B">
      <w:pPr>
        <w:pStyle w:val="Odsekzoznamu"/>
        <w:ind w:left="0" w:firstLine="708"/>
        <w:jc w:val="both"/>
        <w:rPr>
          <w:rFonts w:ascii="Times New Roman" w:hAnsi="Times New Roman" w:cs="Times New Roman"/>
          <w:color w:val="000000" w:themeColor="text1"/>
        </w:rPr>
      </w:pPr>
      <w:r>
        <w:rPr>
          <w:rFonts w:ascii="Times New Roman" w:hAnsi="Times New Roman"/>
        </w:rPr>
        <w:t>MDV SR na rok 2019 rozpočtuje n</w:t>
      </w:r>
      <w:r w:rsidRPr="004B42D0">
        <w:rPr>
          <w:rFonts w:ascii="Times New Roman" w:hAnsi="Times New Roman"/>
        </w:rPr>
        <w:t>a samostatných účto</w:t>
      </w:r>
      <w:r>
        <w:rPr>
          <w:rFonts w:ascii="Times New Roman" w:hAnsi="Times New Roman"/>
        </w:rPr>
        <w:t>ch sumu 18,7 mil. eur. Uvedené prostriedky sú určené na</w:t>
      </w:r>
      <w:r w:rsidRPr="004B42D0">
        <w:rPr>
          <w:rFonts w:ascii="Times New Roman" w:hAnsi="Times New Roman"/>
        </w:rPr>
        <w:t xml:space="preserve"> financ</w:t>
      </w:r>
      <w:r>
        <w:rPr>
          <w:rFonts w:ascii="Times New Roman" w:hAnsi="Times New Roman"/>
        </w:rPr>
        <w:t xml:space="preserve">ovanie </w:t>
      </w:r>
      <w:r w:rsidRPr="00B7698B">
        <w:rPr>
          <w:rFonts w:ascii="Times New Roman" w:hAnsi="Times New Roman"/>
        </w:rPr>
        <w:t>projekt</w:t>
      </w:r>
      <w:r>
        <w:rPr>
          <w:rFonts w:ascii="Times New Roman" w:hAnsi="Times New Roman"/>
        </w:rPr>
        <w:t>ov</w:t>
      </w:r>
      <w:r w:rsidRPr="004B42D0">
        <w:rPr>
          <w:rFonts w:ascii="Times New Roman" w:hAnsi="Times New Roman"/>
        </w:rPr>
        <w:t xml:space="preserve"> </w:t>
      </w:r>
      <w:r w:rsidR="00632E2F">
        <w:rPr>
          <w:rFonts w:ascii="Times New Roman" w:hAnsi="Times New Roman"/>
        </w:rPr>
        <w:t>dopravných sietí</w:t>
      </w:r>
      <w:r w:rsidRPr="00B7698B">
        <w:rPr>
          <w:rFonts w:ascii="Times New Roman" w:hAnsi="Times New Roman"/>
        </w:rPr>
        <w:t xml:space="preserve"> Európy z Nástroja na prepájanie Európy (CEF)</w:t>
      </w:r>
      <w:r w:rsidRPr="004B42D0">
        <w:rPr>
          <w:rFonts w:ascii="Times New Roman" w:hAnsi="Times New Roman"/>
        </w:rPr>
        <w:t>,</w:t>
      </w:r>
      <w:r>
        <w:rPr>
          <w:rFonts w:ascii="Times New Roman" w:hAnsi="Times New Roman"/>
        </w:rPr>
        <w:t xml:space="preserve"> na</w:t>
      </w:r>
      <w:r w:rsidRPr="00B7698B">
        <w:rPr>
          <w:rFonts w:ascii="Times New Roman" w:hAnsi="Times New Roman"/>
        </w:rPr>
        <w:t xml:space="preserve"> </w:t>
      </w:r>
      <w:r w:rsidRPr="004B42D0">
        <w:rPr>
          <w:rFonts w:ascii="Times New Roman" w:hAnsi="Times New Roman"/>
        </w:rPr>
        <w:t>kompenzáci</w:t>
      </w:r>
      <w:r>
        <w:rPr>
          <w:rFonts w:ascii="Times New Roman" w:hAnsi="Times New Roman"/>
        </w:rPr>
        <w:t>u</w:t>
      </w:r>
      <w:r w:rsidRPr="004B42D0">
        <w:rPr>
          <w:rFonts w:ascii="Times New Roman" w:hAnsi="Times New Roman"/>
        </w:rPr>
        <w:t xml:space="preserve"> rozdielu medzi čistými nákladmi poskytovateľa univerzálnej služby a príspevkov poštových podnikov</w:t>
      </w:r>
      <w:r w:rsidRPr="008F3DE1">
        <w:rPr>
          <w:rFonts w:ascii="Times New Roman" w:hAnsi="Times New Roman"/>
        </w:rPr>
        <w:t xml:space="preserve"> </w:t>
      </w:r>
      <w:r>
        <w:rPr>
          <w:rFonts w:ascii="Times New Roman" w:hAnsi="Times New Roman"/>
        </w:rPr>
        <w:t xml:space="preserve">a na </w:t>
      </w:r>
      <w:r w:rsidRPr="008F3DE1">
        <w:rPr>
          <w:rFonts w:ascii="Times New Roman" w:hAnsi="Times New Roman"/>
        </w:rPr>
        <w:t>zabezpečenie činností národného dozorného orgánu</w:t>
      </w:r>
      <w:r>
        <w:rPr>
          <w:rFonts w:ascii="Times New Roman" w:hAnsi="Times New Roman"/>
        </w:rPr>
        <w:t xml:space="preserve"> </w:t>
      </w:r>
      <w:r w:rsidRPr="00C83E1B">
        <w:rPr>
          <w:rFonts w:ascii="Times New Roman" w:hAnsi="Times New Roman"/>
          <w:color w:val="000000" w:themeColor="text1"/>
        </w:rPr>
        <w:t>na účinné a včasné plnenie úloh podľa čl. 4 ods. 4 novelizovaného nariadenia Európskeho parlamentu a Rady (ES) č. 549/2004 zo dňa 10.</w:t>
      </w:r>
      <w:r>
        <w:rPr>
          <w:rFonts w:ascii="Times New Roman" w:hAnsi="Times New Roman"/>
          <w:color w:val="000000" w:themeColor="text1"/>
        </w:rPr>
        <w:t xml:space="preserve"> </w:t>
      </w:r>
      <w:r w:rsidRPr="00C83E1B">
        <w:rPr>
          <w:rFonts w:ascii="Times New Roman" w:hAnsi="Times New Roman"/>
          <w:color w:val="000000" w:themeColor="text1"/>
        </w:rPr>
        <w:t>3.</w:t>
      </w:r>
      <w:r>
        <w:rPr>
          <w:rFonts w:ascii="Times New Roman" w:hAnsi="Times New Roman"/>
          <w:color w:val="000000" w:themeColor="text1"/>
        </w:rPr>
        <w:t xml:space="preserve"> </w:t>
      </w:r>
      <w:r w:rsidRPr="00C83E1B">
        <w:rPr>
          <w:rFonts w:ascii="Times New Roman" w:hAnsi="Times New Roman"/>
          <w:color w:val="000000" w:themeColor="text1"/>
        </w:rPr>
        <w:t>2004</w:t>
      </w:r>
      <w:r>
        <w:rPr>
          <w:rFonts w:ascii="Times New Roman" w:hAnsi="Times New Roman"/>
          <w:color w:val="000000" w:themeColor="text1"/>
        </w:rPr>
        <w:t>, ktorým sa stanovuje rámec na vytvorenie jednotného európskeho neba</w:t>
      </w:r>
      <w:r w:rsidRPr="00C83E1B">
        <w:rPr>
          <w:rFonts w:ascii="Times New Roman" w:hAnsi="Times New Roman"/>
          <w:color w:val="000000" w:themeColor="text1"/>
        </w:rPr>
        <w:t>.</w:t>
      </w:r>
    </w:p>
    <w:p w:rsidR="003A497B" w:rsidRPr="00775C7E" w:rsidRDefault="003A497B" w:rsidP="003A497B">
      <w:pPr>
        <w:jc w:val="both"/>
        <w:rPr>
          <w:rFonts w:ascii="Times New Roman" w:hAnsi="Times New Roman" w:cs="Times New Roman"/>
          <w:highlight w:val="yellow"/>
          <w:lang w:eastAsia="en-US"/>
        </w:rPr>
      </w:pPr>
    </w:p>
    <w:p w:rsidR="003A497B" w:rsidRDefault="003A497B" w:rsidP="003A497B">
      <w:pPr>
        <w:ind w:firstLine="708"/>
        <w:jc w:val="both"/>
        <w:rPr>
          <w:rFonts w:ascii="Times New Roman" w:hAnsi="Times New Roman" w:cs="Times New Roman"/>
          <w:lang w:eastAsia="en-US"/>
        </w:rPr>
      </w:pPr>
      <w:r w:rsidRPr="000917AF">
        <w:rPr>
          <w:rFonts w:ascii="Times New Roman" w:hAnsi="Times New Roman" w:cs="Times New Roman"/>
          <w:lang w:eastAsia="en-US"/>
        </w:rPr>
        <w:t>Výdavky MDV SR sú smerované do nasledovných oblastí.</w:t>
      </w:r>
      <w:r>
        <w:rPr>
          <w:rFonts w:ascii="Times New Roman" w:hAnsi="Times New Roman" w:cs="Times New Roman"/>
          <w:lang w:eastAsia="en-US"/>
        </w:rPr>
        <w:t xml:space="preserve"> </w:t>
      </w:r>
    </w:p>
    <w:p w:rsidR="003A497B" w:rsidRPr="0027777C" w:rsidRDefault="003A497B" w:rsidP="003A497B">
      <w:pPr>
        <w:ind w:firstLine="708"/>
        <w:jc w:val="both"/>
        <w:rPr>
          <w:rFonts w:ascii="Times New Roman" w:hAnsi="Times New Roman" w:cs="Times New Roman"/>
          <w:lang w:eastAsia="en-US"/>
        </w:rPr>
      </w:pPr>
    </w:p>
    <w:tbl>
      <w:tblPr>
        <w:tblW w:w="5000" w:type="pct"/>
        <w:tblCellMar>
          <w:left w:w="70" w:type="dxa"/>
          <w:right w:w="70" w:type="dxa"/>
        </w:tblCellMar>
        <w:tblLook w:val="04A0" w:firstRow="1" w:lastRow="0" w:firstColumn="1" w:lastColumn="0" w:noHBand="0" w:noVBand="1"/>
      </w:tblPr>
      <w:tblGrid>
        <w:gridCol w:w="2197"/>
        <w:gridCol w:w="950"/>
        <w:gridCol w:w="950"/>
        <w:gridCol w:w="952"/>
        <w:gridCol w:w="1164"/>
        <w:gridCol w:w="952"/>
        <w:gridCol w:w="952"/>
        <w:gridCol w:w="945"/>
      </w:tblGrid>
      <w:tr w:rsidR="003A497B" w:rsidRPr="00346A12" w:rsidTr="003E1809">
        <w:trPr>
          <w:trHeight w:hRule="exact" w:val="284"/>
        </w:trPr>
        <w:tc>
          <w:tcPr>
            <w:tcW w:w="1212"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346A12" w:rsidRDefault="003A497B" w:rsidP="003E1809">
            <w:pP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v</w:t>
            </w:r>
            <w:r>
              <w:rPr>
                <w:rFonts w:ascii="Times New Roman" w:hAnsi="Times New Roman" w:cs="Times New Roman"/>
                <w:b/>
                <w:bCs/>
                <w:color w:val="000000"/>
                <w:sz w:val="14"/>
                <w:szCs w:val="14"/>
                <w:lang w:eastAsia="sk-SK"/>
              </w:rPr>
              <w:t> </w:t>
            </w:r>
            <w:r w:rsidRPr="00346A12">
              <w:rPr>
                <w:rFonts w:ascii="Times New Roman" w:hAnsi="Times New Roman" w:cs="Times New Roman"/>
                <w:b/>
                <w:bCs/>
                <w:color w:val="000000"/>
                <w:sz w:val="14"/>
                <w:szCs w:val="14"/>
                <w:lang w:eastAsia="sk-SK"/>
              </w:rPr>
              <w:t>eurách</w:t>
            </w:r>
          </w:p>
        </w:tc>
        <w:tc>
          <w:tcPr>
            <w:tcW w:w="524"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2016 S</w:t>
            </w:r>
          </w:p>
        </w:tc>
        <w:tc>
          <w:tcPr>
            <w:tcW w:w="524"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2017 </w:t>
            </w:r>
            <w:r>
              <w:rPr>
                <w:rFonts w:ascii="Times New Roman" w:hAnsi="Times New Roman" w:cs="Times New Roman"/>
                <w:b/>
                <w:bCs/>
                <w:color w:val="000000"/>
                <w:sz w:val="14"/>
                <w:szCs w:val="14"/>
                <w:lang w:eastAsia="sk-SK"/>
              </w:rPr>
              <w:t>S</w:t>
            </w:r>
          </w:p>
        </w:tc>
        <w:tc>
          <w:tcPr>
            <w:tcW w:w="52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346A12">
              <w:rPr>
                <w:rFonts w:ascii="Times New Roman" w:hAnsi="Times New Roman" w:cs="Times New Roman"/>
                <w:b/>
                <w:bCs/>
                <w:color w:val="000000"/>
                <w:sz w:val="14"/>
                <w:szCs w:val="14"/>
                <w:lang w:eastAsia="sk-SK"/>
              </w:rPr>
              <w:t xml:space="preserve"> </w:t>
            </w:r>
            <w:r>
              <w:rPr>
                <w:rFonts w:ascii="Times New Roman" w:hAnsi="Times New Roman" w:cs="Times New Roman"/>
                <w:b/>
                <w:bCs/>
                <w:color w:val="000000"/>
                <w:sz w:val="14"/>
                <w:szCs w:val="14"/>
                <w:lang w:eastAsia="sk-SK"/>
              </w:rPr>
              <w:t>R</w:t>
            </w:r>
          </w:p>
        </w:tc>
        <w:tc>
          <w:tcPr>
            <w:tcW w:w="64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2018 </w:t>
            </w:r>
            <w:r>
              <w:rPr>
                <w:rFonts w:ascii="Times New Roman" w:hAnsi="Times New Roman" w:cs="Times New Roman"/>
                <w:b/>
                <w:bCs/>
                <w:color w:val="000000"/>
                <w:sz w:val="14"/>
                <w:szCs w:val="14"/>
                <w:lang w:eastAsia="sk-SK"/>
              </w:rPr>
              <w:t>OS</w:t>
            </w:r>
          </w:p>
        </w:tc>
        <w:tc>
          <w:tcPr>
            <w:tcW w:w="52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2019 N</w:t>
            </w:r>
          </w:p>
        </w:tc>
        <w:tc>
          <w:tcPr>
            <w:tcW w:w="52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2020 N</w:t>
            </w:r>
          </w:p>
        </w:tc>
        <w:tc>
          <w:tcPr>
            <w:tcW w:w="52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w:t>
            </w:r>
            <w:r>
              <w:rPr>
                <w:rFonts w:ascii="Times New Roman" w:hAnsi="Times New Roman" w:cs="Times New Roman"/>
                <w:b/>
                <w:bCs/>
                <w:color w:val="000000"/>
                <w:sz w:val="14"/>
                <w:szCs w:val="14"/>
                <w:lang w:eastAsia="sk-SK"/>
              </w:rPr>
              <w:t>1</w:t>
            </w:r>
            <w:r w:rsidRPr="00346A12">
              <w:rPr>
                <w:rFonts w:ascii="Times New Roman" w:hAnsi="Times New Roman" w:cs="Times New Roman"/>
                <w:b/>
                <w:bCs/>
                <w:color w:val="000000"/>
                <w:sz w:val="14"/>
                <w:szCs w:val="14"/>
                <w:lang w:eastAsia="sk-SK"/>
              </w:rPr>
              <w:t xml:space="preserve"> N</w:t>
            </w:r>
          </w:p>
        </w:tc>
      </w:tr>
      <w:tr w:rsidR="003A497B" w:rsidRPr="00346A12" w:rsidTr="003E1809">
        <w:trPr>
          <w:trHeight w:hRule="exact" w:val="284"/>
        </w:trPr>
        <w:tc>
          <w:tcPr>
            <w:tcW w:w="1212" w:type="pct"/>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bottom"/>
            <w:hideMark/>
          </w:tcPr>
          <w:p w:rsidR="003A497B" w:rsidRPr="00346A12" w:rsidRDefault="003A497B" w:rsidP="003E1809">
            <w:pP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Zdroje príslušnej kapitoly</w:t>
            </w:r>
          </w:p>
        </w:tc>
        <w:tc>
          <w:tcPr>
            <w:tcW w:w="524"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A57AAC" w:rsidRDefault="003A497B" w:rsidP="003E1809">
            <w:pPr>
              <w:jc w:val="right"/>
              <w:rPr>
                <w:rFonts w:ascii="Times New Roman" w:hAnsi="Times New Roman" w:cs="Times New Roman"/>
                <w:b/>
                <w:bCs/>
                <w:color w:val="000000"/>
                <w:sz w:val="14"/>
                <w:szCs w:val="14"/>
                <w:lang w:eastAsia="sk-SK"/>
              </w:rPr>
            </w:pPr>
            <w:r w:rsidRPr="00A57AAC">
              <w:rPr>
                <w:rFonts w:ascii="Times New Roman" w:hAnsi="Times New Roman" w:cs="Times New Roman"/>
                <w:b/>
                <w:bCs/>
                <w:color w:val="000000"/>
                <w:sz w:val="14"/>
                <w:szCs w:val="14"/>
              </w:rPr>
              <w:t>1 488 293 230</w:t>
            </w:r>
          </w:p>
        </w:tc>
        <w:tc>
          <w:tcPr>
            <w:tcW w:w="524"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A57AAC" w:rsidRDefault="003A497B" w:rsidP="003E1809">
            <w:pPr>
              <w:jc w:val="right"/>
              <w:rPr>
                <w:rFonts w:ascii="Times New Roman" w:hAnsi="Times New Roman" w:cs="Times New Roman"/>
                <w:b/>
                <w:bCs/>
                <w:color w:val="000000"/>
                <w:sz w:val="14"/>
                <w:szCs w:val="14"/>
              </w:rPr>
            </w:pPr>
            <w:r w:rsidRPr="00A57AAC">
              <w:rPr>
                <w:rFonts w:ascii="Times New Roman" w:hAnsi="Times New Roman" w:cs="Times New Roman"/>
                <w:b/>
                <w:bCs/>
                <w:color w:val="000000"/>
                <w:sz w:val="14"/>
                <w:szCs w:val="14"/>
              </w:rPr>
              <w:t>1 725 193 730</w:t>
            </w:r>
          </w:p>
        </w:tc>
        <w:tc>
          <w:tcPr>
            <w:tcW w:w="525"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A57AAC" w:rsidRDefault="003A497B" w:rsidP="003E1809">
            <w:pPr>
              <w:jc w:val="right"/>
              <w:rPr>
                <w:rFonts w:ascii="Times New Roman" w:hAnsi="Times New Roman" w:cs="Times New Roman"/>
                <w:b/>
                <w:bCs/>
                <w:color w:val="000000"/>
                <w:sz w:val="14"/>
                <w:szCs w:val="14"/>
              </w:rPr>
            </w:pPr>
            <w:r w:rsidRPr="00A57AAC">
              <w:rPr>
                <w:rFonts w:ascii="Times New Roman" w:hAnsi="Times New Roman" w:cs="Times New Roman"/>
                <w:b/>
                <w:bCs/>
                <w:color w:val="000000"/>
                <w:sz w:val="14"/>
                <w:szCs w:val="14"/>
              </w:rPr>
              <w:t>1 176 185 143</w:t>
            </w:r>
          </w:p>
        </w:tc>
        <w:tc>
          <w:tcPr>
            <w:tcW w:w="642"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9C6686" w:rsidRDefault="003A497B" w:rsidP="003E1809">
            <w:pPr>
              <w:jc w:val="right"/>
              <w:rPr>
                <w:rFonts w:ascii="Times New Roman" w:hAnsi="Times New Roman" w:cs="Times New Roman"/>
                <w:b/>
                <w:bCs/>
                <w:color w:val="000000"/>
                <w:sz w:val="14"/>
                <w:szCs w:val="14"/>
                <w:lang w:eastAsia="sk-SK"/>
              </w:rPr>
            </w:pPr>
            <w:r w:rsidRPr="009C6686">
              <w:rPr>
                <w:rFonts w:ascii="Times New Roman" w:hAnsi="Times New Roman" w:cs="Times New Roman"/>
                <w:b/>
                <w:bCs/>
                <w:color w:val="000000"/>
                <w:sz w:val="14"/>
                <w:szCs w:val="14"/>
              </w:rPr>
              <w:t>1 584 638 649</w:t>
            </w:r>
          </w:p>
        </w:tc>
        <w:tc>
          <w:tcPr>
            <w:tcW w:w="525"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380B8B" w:rsidRDefault="003A497B" w:rsidP="003E1809">
            <w:pPr>
              <w:jc w:val="right"/>
              <w:rPr>
                <w:rFonts w:ascii="Times New Roman" w:hAnsi="Times New Roman" w:cs="Times New Roman"/>
                <w:b/>
                <w:bCs/>
                <w:color w:val="000000"/>
                <w:sz w:val="14"/>
                <w:szCs w:val="14"/>
                <w:lang w:eastAsia="sk-SK"/>
              </w:rPr>
            </w:pPr>
            <w:r w:rsidRPr="00380B8B">
              <w:rPr>
                <w:rFonts w:ascii="Times New Roman" w:hAnsi="Times New Roman" w:cs="Times New Roman"/>
                <w:b/>
                <w:bCs/>
                <w:color w:val="000000"/>
                <w:sz w:val="14"/>
                <w:szCs w:val="14"/>
              </w:rPr>
              <w:t>1 153 830 897</w:t>
            </w:r>
          </w:p>
        </w:tc>
        <w:tc>
          <w:tcPr>
            <w:tcW w:w="525"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876EF7" w:rsidRDefault="003A497B" w:rsidP="003E1809">
            <w:pPr>
              <w:jc w:val="right"/>
              <w:rPr>
                <w:rFonts w:ascii="Times New Roman" w:hAnsi="Times New Roman" w:cs="Times New Roman"/>
                <w:b/>
                <w:bCs/>
                <w:color w:val="000000"/>
                <w:sz w:val="14"/>
                <w:szCs w:val="14"/>
              </w:rPr>
            </w:pPr>
            <w:r w:rsidRPr="00876EF7">
              <w:rPr>
                <w:rFonts w:ascii="Times New Roman" w:hAnsi="Times New Roman" w:cs="Times New Roman"/>
                <w:b/>
                <w:bCs/>
                <w:color w:val="000000"/>
                <w:sz w:val="14"/>
                <w:szCs w:val="14"/>
              </w:rPr>
              <w:t>1 420 558 704</w:t>
            </w:r>
          </w:p>
        </w:tc>
        <w:tc>
          <w:tcPr>
            <w:tcW w:w="521"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876EF7" w:rsidRDefault="003A497B" w:rsidP="003E1809">
            <w:pPr>
              <w:jc w:val="right"/>
              <w:rPr>
                <w:rFonts w:ascii="Times New Roman" w:hAnsi="Times New Roman" w:cs="Times New Roman"/>
                <w:b/>
                <w:bCs/>
                <w:color w:val="000000"/>
                <w:sz w:val="14"/>
                <w:szCs w:val="14"/>
              </w:rPr>
            </w:pPr>
            <w:r w:rsidRPr="00876EF7">
              <w:rPr>
                <w:rFonts w:ascii="Times New Roman" w:hAnsi="Times New Roman" w:cs="Times New Roman"/>
                <w:b/>
                <w:bCs/>
                <w:color w:val="000000"/>
                <w:sz w:val="14"/>
                <w:szCs w:val="14"/>
              </w:rPr>
              <w:t>1 460 403 395</w:t>
            </w:r>
          </w:p>
        </w:tc>
      </w:tr>
      <w:tr w:rsidR="003A497B" w:rsidRPr="00346A12" w:rsidTr="003E1809">
        <w:trPr>
          <w:trHeight w:hRule="exact" w:val="284"/>
        </w:trPr>
        <w:tc>
          <w:tcPr>
            <w:tcW w:w="1212"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Cest</w:t>
            </w:r>
            <w:r>
              <w:rPr>
                <w:rFonts w:ascii="Times New Roman" w:hAnsi="Times New Roman" w:cs="Times New Roman"/>
                <w:color w:val="000000"/>
                <w:sz w:val="14"/>
                <w:szCs w:val="14"/>
                <w:lang w:eastAsia="sk-SK"/>
              </w:rPr>
              <w:t>ná</w:t>
            </w:r>
            <w:r w:rsidRPr="00346A12">
              <w:rPr>
                <w:rFonts w:ascii="Times New Roman" w:hAnsi="Times New Roman" w:cs="Times New Roman"/>
                <w:color w:val="000000"/>
                <w:sz w:val="14"/>
                <w:szCs w:val="14"/>
                <w:lang w:eastAsia="sk-SK"/>
              </w:rPr>
              <w:t>. a žel. infraštruk</w:t>
            </w:r>
            <w:r>
              <w:rPr>
                <w:rFonts w:ascii="Times New Roman" w:hAnsi="Times New Roman" w:cs="Times New Roman"/>
                <w:color w:val="000000"/>
                <w:sz w:val="14"/>
                <w:szCs w:val="14"/>
                <w:lang w:eastAsia="sk-SK"/>
              </w:rPr>
              <w:t>túra</w:t>
            </w:r>
            <w:r w:rsidRPr="00346A12">
              <w:rPr>
                <w:rFonts w:ascii="Times New Roman" w:hAnsi="Times New Roman" w:cs="Times New Roman"/>
                <w:color w:val="000000"/>
                <w:sz w:val="14"/>
                <w:szCs w:val="14"/>
                <w:lang w:eastAsia="sk-SK"/>
              </w:rPr>
              <w:t xml:space="preserve">. </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57AAC" w:rsidRDefault="003A497B" w:rsidP="003E1809">
            <w:pPr>
              <w:jc w:val="right"/>
              <w:rPr>
                <w:rFonts w:ascii="Times New Roman" w:hAnsi="Times New Roman" w:cs="Times New Roman"/>
                <w:color w:val="000000"/>
                <w:sz w:val="14"/>
                <w:szCs w:val="14"/>
              </w:rPr>
            </w:pPr>
            <w:r w:rsidRPr="00A57AAC">
              <w:rPr>
                <w:rFonts w:ascii="Times New Roman" w:hAnsi="Times New Roman" w:cs="Times New Roman"/>
                <w:color w:val="000000"/>
                <w:sz w:val="14"/>
                <w:szCs w:val="14"/>
              </w:rPr>
              <w:t>1 301 238 510</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57AAC" w:rsidRDefault="003A497B" w:rsidP="003E1809">
            <w:pPr>
              <w:jc w:val="right"/>
              <w:rPr>
                <w:rFonts w:ascii="Times New Roman" w:hAnsi="Times New Roman" w:cs="Times New Roman"/>
                <w:color w:val="000000"/>
                <w:sz w:val="14"/>
                <w:szCs w:val="14"/>
              </w:rPr>
            </w:pPr>
            <w:r w:rsidRPr="00A57AAC">
              <w:rPr>
                <w:rFonts w:ascii="Times New Roman" w:hAnsi="Times New Roman" w:cs="Times New Roman"/>
                <w:color w:val="000000"/>
                <w:sz w:val="14"/>
                <w:szCs w:val="14"/>
              </w:rPr>
              <w:t>1 524 070 656</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A57AAC" w:rsidRDefault="003A497B" w:rsidP="003E1809">
            <w:pPr>
              <w:jc w:val="right"/>
              <w:rPr>
                <w:rFonts w:ascii="Times New Roman" w:hAnsi="Times New Roman" w:cs="Times New Roman"/>
                <w:color w:val="000000"/>
                <w:sz w:val="14"/>
                <w:szCs w:val="14"/>
              </w:rPr>
            </w:pPr>
            <w:r w:rsidRPr="00A57AAC">
              <w:rPr>
                <w:rFonts w:ascii="Times New Roman" w:hAnsi="Times New Roman" w:cs="Times New Roman"/>
                <w:color w:val="000000"/>
                <w:sz w:val="14"/>
                <w:szCs w:val="14"/>
              </w:rPr>
              <w:t>880 881 845</w:t>
            </w:r>
          </w:p>
        </w:tc>
        <w:tc>
          <w:tcPr>
            <w:tcW w:w="642" w:type="pct"/>
            <w:tcBorders>
              <w:top w:val="nil"/>
              <w:left w:val="nil"/>
              <w:bottom w:val="single" w:sz="4" w:space="0" w:color="auto"/>
              <w:right w:val="single" w:sz="4" w:space="0" w:color="auto"/>
            </w:tcBorders>
            <w:shd w:val="clear" w:color="auto" w:fill="auto"/>
            <w:noWrap/>
            <w:vAlign w:val="bottom"/>
            <w:hideMark/>
          </w:tcPr>
          <w:p w:rsidR="003A497B" w:rsidRPr="009C6686" w:rsidRDefault="003A497B" w:rsidP="003E1809">
            <w:pPr>
              <w:jc w:val="right"/>
              <w:rPr>
                <w:rFonts w:ascii="Times New Roman" w:hAnsi="Times New Roman" w:cs="Times New Roman"/>
                <w:color w:val="000000"/>
                <w:sz w:val="14"/>
                <w:szCs w:val="14"/>
              </w:rPr>
            </w:pPr>
            <w:r w:rsidRPr="009C6686">
              <w:rPr>
                <w:rFonts w:ascii="Times New Roman" w:hAnsi="Times New Roman" w:cs="Times New Roman"/>
                <w:color w:val="000000"/>
                <w:sz w:val="14"/>
                <w:szCs w:val="14"/>
              </w:rPr>
              <w:t>1 286 519 674</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380B8B" w:rsidRDefault="003A497B" w:rsidP="003E1809">
            <w:pPr>
              <w:jc w:val="right"/>
              <w:rPr>
                <w:rFonts w:ascii="Times New Roman" w:hAnsi="Times New Roman" w:cs="Times New Roman"/>
                <w:color w:val="000000"/>
                <w:sz w:val="14"/>
                <w:szCs w:val="14"/>
              </w:rPr>
            </w:pPr>
            <w:r w:rsidRPr="00380B8B">
              <w:rPr>
                <w:rFonts w:ascii="Times New Roman" w:hAnsi="Times New Roman" w:cs="Times New Roman"/>
                <w:color w:val="000000"/>
                <w:sz w:val="14"/>
                <w:szCs w:val="14"/>
              </w:rPr>
              <w:t>920 893 770</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876EF7" w:rsidRDefault="003A497B" w:rsidP="003E1809">
            <w:pPr>
              <w:jc w:val="right"/>
              <w:rPr>
                <w:rFonts w:ascii="Times New Roman" w:hAnsi="Times New Roman" w:cs="Times New Roman"/>
                <w:color w:val="000000"/>
                <w:sz w:val="14"/>
                <w:szCs w:val="14"/>
              </w:rPr>
            </w:pPr>
            <w:r w:rsidRPr="00876EF7">
              <w:rPr>
                <w:rFonts w:ascii="Times New Roman" w:hAnsi="Times New Roman" w:cs="Times New Roman"/>
                <w:color w:val="000000"/>
                <w:sz w:val="14"/>
                <w:szCs w:val="14"/>
              </w:rPr>
              <w:t>1 231 407 827</w:t>
            </w:r>
          </w:p>
        </w:tc>
        <w:tc>
          <w:tcPr>
            <w:tcW w:w="521" w:type="pct"/>
            <w:tcBorders>
              <w:top w:val="nil"/>
              <w:left w:val="nil"/>
              <w:bottom w:val="single" w:sz="4" w:space="0" w:color="auto"/>
              <w:right w:val="single" w:sz="4" w:space="0" w:color="auto"/>
            </w:tcBorders>
            <w:shd w:val="clear" w:color="auto" w:fill="auto"/>
            <w:noWrap/>
            <w:vAlign w:val="bottom"/>
            <w:hideMark/>
          </w:tcPr>
          <w:p w:rsidR="003A497B" w:rsidRPr="00876EF7" w:rsidRDefault="003A497B" w:rsidP="003E1809">
            <w:pPr>
              <w:jc w:val="right"/>
              <w:rPr>
                <w:rFonts w:ascii="Times New Roman" w:hAnsi="Times New Roman" w:cs="Times New Roman"/>
                <w:color w:val="000000"/>
                <w:sz w:val="14"/>
                <w:szCs w:val="14"/>
              </w:rPr>
            </w:pPr>
            <w:r w:rsidRPr="00876EF7">
              <w:rPr>
                <w:rFonts w:ascii="Times New Roman" w:hAnsi="Times New Roman" w:cs="Times New Roman"/>
                <w:color w:val="000000"/>
                <w:sz w:val="14"/>
                <w:szCs w:val="14"/>
              </w:rPr>
              <w:t>1 282 306 518</w:t>
            </w:r>
          </w:p>
        </w:tc>
      </w:tr>
      <w:tr w:rsidR="003A497B" w:rsidRPr="00346A12" w:rsidTr="003E1809">
        <w:trPr>
          <w:trHeight w:hRule="exact" w:val="284"/>
        </w:trPr>
        <w:tc>
          <w:tcPr>
            <w:tcW w:w="1212"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 xml:space="preserve">Letecká doprava </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57AAC" w:rsidRDefault="003A497B" w:rsidP="003E1809">
            <w:pPr>
              <w:jc w:val="right"/>
              <w:rPr>
                <w:rFonts w:ascii="Times New Roman" w:hAnsi="Times New Roman" w:cs="Times New Roman"/>
                <w:color w:val="000000"/>
                <w:sz w:val="14"/>
                <w:szCs w:val="14"/>
              </w:rPr>
            </w:pPr>
            <w:r w:rsidRPr="00A57AAC">
              <w:rPr>
                <w:rFonts w:ascii="Times New Roman" w:hAnsi="Times New Roman" w:cs="Times New Roman"/>
                <w:color w:val="000000"/>
                <w:sz w:val="14"/>
                <w:szCs w:val="14"/>
              </w:rPr>
              <w:t>3 997 000</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57AAC" w:rsidRDefault="003A497B" w:rsidP="003E1809">
            <w:pPr>
              <w:jc w:val="right"/>
              <w:rPr>
                <w:rFonts w:ascii="Times New Roman" w:hAnsi="Times New Roman" w:cs="Times New Roman"/>
                <w:color w:val="000000"/>
                <w:sz w:val="14"/>
                <w:szCs w:val="14"/>
              </w:rPr>
            </w:pPr>
            <w:r w:rsidRPr="00A57AAC">
              <w:rPr>
                <w:rFonts w:ascii="Times New Roman" w:hAnsi="Times New Roman" w:cs="Times New Roman"/>
                <w:color w:val="000000"/>
                <w:sz w:val="14"/>
                <w:szCs w:val="14"/>
              </w:rPr>
              <w:t>8 698 939</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A57AAC" w:rsidRDefault="003A497B" w:rsidP="003E1809">
            <w:pPr>
              <w:jc w:val="right"/>
              <w:rPr>
                <w:rFonts w:ascii="Times New Roman" w:hAnsi="Times New Roman" w:cs="Times New Roman"/>
                <w:color w:val="000000"/>
                <w:sz w:val="14"/>
                <w:szCs w:val="14"/>
              </w:rPr>
            </w:pPr>
            <w:r w:rsidRPr="00A57AAC">
              <w:rPr>
                <w:rFonts w:ascii="Times New Roman" w:hAnsi="Times New Roman" w:cs="Times New Roman"/>
                <w:color w:val="000000"/>
                <w:sz w:val="14"/>
                <w:szCs w:val="14"/>
              </w:rPr>
              <w:t>1 000 000</w:t>
            </w:r>
          </w:p>
        </w:tc>
        <w:tc>
          <w:tcPr>
            <w:tcW w:w="642" w:type="pct"/>
            <w:tcBorders>
              <w:top w:val="nil"/>
              <w:left w:val="nil"/>
              <w:bottom w:val="single" w:sz="4" w:space="0" w:color="auto"/>
              <w:right w:val="single" w:sz="4" w:space="0" w:color="auto"/>
            </w:tcBorders>
            <w:shd w:val="clear" w:color="auto" w:fill="auto"/>
            <w:noWrap/>
            <w:vAlign w:val="bottom"/>
            <w:hideMark/>
          </w:tcPr>
          <w:p w:rsidR="003A497B" w:rsidRPr="009C6686" w:rsidRDefault="003A497B" w:rsidP="003E1809">
            <w:pPr>
              <w:jc w:val="right"/>
              <w:rPr>
                <w:rFonts w:ascii="Times New Roman" w:hAnsi="Times New Roman" w:cs="Times New Roman"/>
                <w:color w:val="000000"/>
                <w:sz w:val="14"/>
                <w:szCs w:val="14"/>
              </w:rPr>
            </w:pPr>
            <w:r w:rsidRPr="009C6686">
              <w:rPr>
                <w:rFonts w:ascii="Times New Roman" w:hAnsi="Times New Roman" w:cs="Times New Roman"/>
                <w:color w:val="000000"/>
                <w:sz w:val="14"/>
                <w:szCs w:val="14"/>
              </w:rPr>
              <w:t>1 000 000</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380B8B" w:rsidRDefault="003A497B" w:rsidP="003E1809">
            <w:pPr>
              <w:jc w:val="right"/>
              <w:rPr>
                <w:rFonts w:ascii="Times New Roman" w:hAnsi="Times New Roman" w:cs="Times New Roman"/>
                <w:color w:val="000000"/>
                <w:sz w:val="14"/>
                <w:szCs w:val="14"/>
              </w:rPr>
            </w:pPr>
            <w:r w:rsidRPr="00380B8B">
              <w:rPr>
                <w:rFonts w:ascii="Times New Roman" w:hAnsi="Times New Roman" w:cs="Times New Roman"/>
                <w:color w:val="000000"/>
                <w:sz w:val="14"/>
                <w:szCs w:val="14"/>
              </w:rPr>
              <w:t>6 000 000</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876EF7" w:rsidRDefault="003A497B" w:rsidP="003E1809">
            <w:pPr>
              <w:jc w:val="right"/>
              <w:rPr>
                <w:rFonts w:ascii="Times New Roman" w:hAnsi="Times New Roman" w:cs="Times New Roman"/>
                <w:color w:val="000000"/>
                <w:sz w:val="14"/>
                <w:szCs w:val="14"/>
              </w:rPr>
            </w:pPr>
            <w:r w:rsidRPr="00876EF7">
              <w:rPr>
                <w:rFonts w:ascii="Times New Roman" w:hAnsi="Times New Roman" w:cs="Times New Roman"/>
                <w:color w:val="000000"/>
                <w:sz w:val="14"/>
                <w:szCs w:val="14"/>
              </w:rPr>
              <w:t>6 000 000</w:t>
            </w:r>
          </w:p>
        </w:tc>
        <w:tc>
          <w:tcPr>
            <w:tcW w:w="521" w:type="pct"/>
            <w:tcBorders>
              <w:top w:val="nil"/>
              <w:left w:val="nil"/>
              <w:bottom w:val="single" w:sz="4" w:space="0" w:color="auto"/>
              <w:right w:val="single" w:sz="4" w:space="0" w:color="auto"/>
            </w:tcBorders>
            <w:shd w:val="clear" w:color="auto" w:fill="auto"/>
            <w:noWrap/>
            <w:vAlign w:val="bottom"/>
            <w:hideMark/>
          </w:tcPr>
          <w:p w:rsidR="003A497B" w:rsidRPr="00876EF7" w:rsidRDefault="003A497B" w:rsidP="003E1809">
            <w:pPr>
              <w:jc w:val="right"/>
              <w:rPr>
                <w:rFonts w:ascii="Times New Roman" w:hAnsi="Times New Roman" w:cs="Times New Roman"/>
                <w:color w:val="000000"/>
                <w:sz w:val="14"/>
                <w:szCs w:val="14"/>
              </w:rPr>
            </w:pPr>
            <w:r w:rsidRPr="00876EF7">
              <w:rPr>
                <w:rFonts w:ascii="Times New Roman" w:hAnsi="Times New Roman" w:cs="Times New Roman"/>
                <w:color w:val="000000"/>
                <w:sz w:val="14"/>
                <w:szCs w:val="14"/>
              </w:rPr>
              <w:t>6 000 000</w:t>
            </w:r>
          </w:p>
        </w:tc>
      </w:tr>
      <w:tr w:rsidR="003A497B" w:rsidRPr="00346A12" w:rsidTr="003E1809">
        <w:trPr>
          <w:trHeight w:hRule="exact" w:val="284"/>
        </w:trPr>
        <w:tc>
          <w:tcPr>
            <w:tcW w:w="1212"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 xml:space="preserve">Podporu bývania </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57AAC" w:rsidRDefault="003A497B" w:rsidP="003E1809">
            <w:pPr>
              <w:jc w:val="right"/>
              <w:rPr>
                <w:rFonts w:ascii="Times New Roman" w:hAnsi="Times New Roman" w:cs="Times New Roman"/>
                <w:color w:val="000000"/>
                <w:sz w:val="14"/>
                <w:szCs w:val="14"/>
              </w:rPr>
            </w:pPr>
            <w:r w:rsidRPr="00A57AAC">
              <w:rPr>
                <w:rFonts w:ascii="Times New Roman" w:hAnsi="Times New Roman" w:cs="Times New Roman"/>
                <w:color w:val="000000"/>
                <w:sz w:val="14"/>
                <w:szCs w:val="14"/>
              </w:rPr>
              <w:t>112 813 992</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57AAC" w:rsidRDefault="003A497B" w:rsidP="003E1809">
            <w:pPr>
              <w:jc w:val="right"/>
              <w:rPr>
                <w:rFonts w:ascii="Times New Roman" w:hAnsi="Times New Roman" w:cs="Times New Roman"/>
                <w:color w:val="000000"/>
                <w:sz w:val="14"/>
                <w:szCs w:val="14"/>
              </w:rPr>
            </w:pPr>
            <w:r w:rsidRPr="00A57AAC">
              <w:rPr>
                <w:rFonts w:ascii="Times New Roman" w:hAnsi="Times New Roman" w:cs="Times New Roman"/>
                <w:color w:val="000000"/>
                <w:sz w:val="14"/>
                <w:szCs w:val="14"/>
              </w:rPr>
              <w:t>117 804 070</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A57AAC" w:rsidRDefault="003A497B" w:rsidP="003E1809">
            <w:pPr>
              <w:jc w:val="right"/>
              <w:rPr>
                <w:rFonts w:ascii="Times New Roman" w:hAnsi="Times New Roman" w:cs="Times New Roman"/>
                <w:color w:val="000000"/>
                <w:sz w:val="14"/>
                <w:szCs w:val="14"/>
              </w:rPr>
            </w:pPr>
            <w:r w:rsidRPr="00A57AAC">
              <w:rPr>
                <w:rFonts w:ascii="Times New Roman" w:hAnsi="Times New Roman" w:cs="Times New Roman"/>
                <w:color w:val="000000"/>
                <w:sz w:val="14"/>
                <w:szCs w:val="14"/>
              </w:rPr>
              <w:t>126 653 622</w:t>
            </w:r>
          </w:p>
        </w:tc>
        <w:tc>
          <w:tcPr>
            <w:tcW w:w="642" w:type="pct"/>
            <w:tcBorders>
              <w:top w:val="nil"/>
              <w:left w:val="nil"/>
              <w:bottom w:val="single" w:sz="4" w:space="0" w:color="auto"/>
              <w:right w:val="single" w:sz="4" w:space="0" w:color="auto"/>
            </w:tcBorders>
            <w:shd w:val="clear" w:color="auto" w:fill="auto"/>
            <w:noWrap/>
            <w:vAlign w:val="bottom"/>
            <w:hideMark/>
          </w:tcPr>
          <w:p w:rsidR="003A497B" w:rsidRPr="009C6686" w:rsidRDefault="003A497B" w:rsidP="003E1809">
            <w:pPr>
              <w:jc w:val="right"/>
              <w:rPr>
                <w:rFonts w:ascii="Times New Roman" w:hAnsi="Times New Roman" w:cs="Times New Roman"/>
                <w:color w:val="000000"/>
                <w:sz w:val="14"/>
                <w:szCs w:val="14"/>
              </w:rPr>
            </w:pPr>
            <w:r w:rsidRPr="009C6686">
              <w:rPr>
                <w:rFonts w:ascii="Times New Roman" w:hAnsi="Times New Roman" w:cs="Times New Roman"/>
                <w:color w:val="000000"/>
                <w:sz w:val="14"/>
                <w:szCs w:val="14"/>
              </w:rPr>
              <w:t>123 785 824</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380B8B" w:rsidRDefault="003A497B" w:rsidP="003E1809">
            <w:pPr>
              <w:jc w:val="right"/>
              <w:rPr>
                <w:rFonts w:ascii="Times New Roman" w:hAnsi="Times New Roman" w:cs="Times New Roman"/>
                <w:color w:val="000000"/>
                <w:sz w:val="14"/>
                <w:szCs w:val="14"/>
              </w:rPr>
            </w:pPr>
            <w:r w:rsidRPr="00380B8B">
              <w:rPr>
                <w:rFonts w:ascii="Times New Roman" w:hAnsi="Times New Roman" w:cs="Times New Roman"/>
                <w:color w:val="000000"/>
                <w:sz w:val="14"/>
                <w:szCs w:val="14"/>
              </w:rPr>
              <w:t>117 000 000</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876EF7" w:rsidRDefault="003A497B" w:rsidP="003E1809">
            <w:pPr>
              <w:jc w:val="right"/>
              <w:rPr>
                <w:rFonts w:ascii="Times New Roman" w:hAnsi="Times New Roman" w:cs="Times New Roman"/>
                <w:color w:val="000000"/>
                <w:sz w:val="14"/>
                <w:szCs w:val="14"/>
              </w:rPr>
            </w:pPr>
            <w:r w:rsidRPr="00876EF7">
              <w:rPr>
                <w:rFonts w:ascii="Times New Roman" w:hAnsi="Times New Roman" w:cs="Times New Roman"/>
                <w:color w:val="000000"/>
                <w:sz w:val="14"/>
                <w:szCs w:val="14"/>
              </w:rPr>
              <w:t>94 300 000</w:t>
            </w:r>
          </w:p>
        </w:tc>
        <w:tc>
          <w:tcPr>
            <w:tcW w:w="521" w:type="pct"/>
            <w:tcBorders>
              <w:top w:val="nil"/>
              <w:left w:val="nil"/>
              <w:bottom w:val="single" w:sz="4" w:space="0" w:color="auto"/>
              <w:right w:val="single" w:sz="4" w:space="0" w:color="auto"/>
            </w:tcBorders>
            <w:shd w:val="clear" w:color="auto" w:fill="auto"/>
            <w:noWrap/>
            <w:vAlign w:val="bottom"/>
            <w:hideMark/>
          </w:tcPr>
          <w:p w:rsidR="003A497B" w:rsidRPr="00876EF7" w:rsidRDefault="003A497B" w:rsidP="003E1809">
            <w:pPr>
              <w:jc w:val="right"/>
              <w:rPr>
                <w:rFonts w:ascii="Times New Roman" w:hAnsi="Times New Roman" w:cs="Times New Roman"/>
                <w:color w:val="000000"/>
                <w:sz w:val="14"/>
                <w:szCs w:val="14"/>
              </w:rPr>
            </w:pPr>
            <w:r w:rsidRPr="00876EF7">
              <w:rPr>
                <w:rFonts w:ascii="Times New Roman" w:hAnsi="Times New Roman" w:cs="Times New Roman"/>
                <w:color w:val="000000"/>
                <w:sz w:val="14"/>
                <w:szCs w:val="14"/>
              </w:rPr>
              <w:t>82 500 000</w:t>
            </w:r>
          </w:p>
        </w:tc>
      </w:tr>
      <w:tr w:rsidR="003A497B" w:rsidRPr="00346A12" w:rsidTr="003E1809">
        <w:trPr>
          <w:trHeight w:hRule="exact" w:val="284"/>
        </w:trPr>
        <w:tc>
          <w:tcPr>
            <w:tcW w:w="1212"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Cestovný ruch</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57AAC" w:rsidRDefault="003A497B" w:rsidP="003E1809">
            <w:pPr>
              <w:jc w:val="right"/>
              <w:rPr>
                <w:rFonts w:ascii="Times New Roman" w:hAnsi="Times New Roman" w:cs="Times New Roman"/>
                <w:color w:val="000000"/>
                <w:sz w:val="14"/>
                <w:szCs w:val="14"/>
              </w:rPr>
            </w:pPr>
            <w:r w:rsidRPr="00A57AAC">
              <w:rPr>
                <w:rFonts w:ascii="Times New Roman" w:hAnsi="Times New Roman" w:cs="Times New Roman"/>
                <w:color w:val="000000"/>
                <w:sz w:val="14"/>
                <w:szCs w:val="14"/>
              </w:rPr>
              <w:t>8 758 016</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57AAC" w:rsidRDefault="003A497B" w:rsidP="003E1809">
            <w:pPr>
              <w:jc w:val="right"/>
              <w:rPr>
                <w:rFonts w:ascii="Times New Roman" w:hAnsi="Times New Roman" w:cs="Times New Roman"/>
                <w:color w:val="000000"/>
                <w:sz w:val="14"/>
                <w:szCs w:val="14"/>
              </w:rPr>
            </w:pPr>
            <w:r w:rsidRPr="00A57AAC">
              <w:rPr>
                <w:rFonts w:ascii="Times New Roman" w:hAnsi="Times New Roman" w:cs="Times New Roman"/>
                <w:color w:val="000000"/>
                <w:sz w:val="14"/>
                <w:szCs w:val="14"/>
              </w:rPr>
              <w:t>8 093 486</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A57AAC" w:rsidRDefault="003A497B" w:rsidP="003E1809">
            <w:pPr>
              <w:jc w:val="right"/>
              <w:rPr>
                <w:rFonts w:ascii="Times New Roman" w:hAnsi="Times New Roman" w:cs="Times New Roman"/>
                <w:color w:val="000000"/>
                <w:sz w:val="14"/>
                <w:szCs w:val="14"/>
              </w:rPr>
            </w:pPr>
            <w:r w:rsidRPr="00A57AAC">
              <w:rPr>
                <w:rFonts w:ascii="Times New Roman" w:hAnsi="Times New Roman" w:cs="Times New Roman"/>
                <w:color w:val="000000"/>
                <w:sz w:val="14"/>
                <w:szCs w:val="14"/>
              </w:rPr>
              <w:t>7 653 792</w:t>
            </w:r>
          </w:p>
        </w:tc>
        <w:tc>
          <w:tcPr>
            <w:tcW w:w="642" w:type="pct"/>
            <w:tcBorders>
              <w:top w:val="nil"/>
              <w:left w:val="nil"/>
              <w:bottom w:val="single" w:sz="4" w:space="0" w:color="auto"/>
              <w:right w:val="single" w:sz="4" w:space="0" w:color="auto"/>
            </w:tcBorders>
            <w:shd w:val="clear" w:color="auto" w:fill="auto"/>
            <w:noWrap/>
            <w:vAlign w:val="bottom"/>
            <w:hideMark/>
          </w:tcPr>
          <w:p w:rsidR="003A497B" w:rsidRPr="009C6686" w:rsidRDefault="003A497B" w:rsidP="003E1809">
            <w:pPr>
              <w:jc w:val="right"/>
              <w:rPr>
                <w:rFonts w:ascii="Times New Roman" w:hAnsi="Times New Roman" w:cs="Times New Roman"/>
                <w:color w:val="000000"/>
                <w:sz w:val="14"/>
                <w:szCs w:val="14"/>
              </w:rPr>
            </w:pPr>
            <w:r w:rsidRPr="009C6686">
              <w:rPr>
                <w:rFonts w:ascii="Times New Roman" w:hAnsi="Times New Roman" w:cs="Times New Roman"/>
                <w:color w:val="000000"/>
                <w:sz w:val="14"/>
                <w:szCs w:val="14"/>
              </w:rPr>
              <w:t>7 891 792</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380B8B" w:rsidRDefault="003A497B" w:rsidP="003E1809">
            <w:pPr>
              <w:jc w:val="right"/>
              <w:rPr>
                <w:rFonts w:ascii="Times New Roman" w:hAnsi="Times New Roman" w:cs="Times New Roman"/>
                <w:color w:val="000000"/>
                <w:sz w:val="14"/>
                <w:szCs w:val="14"/>
              </w:rPr>
            </w:pPr>
            <w:r w:rsidRPr="00380B8B">
              <w:rPr>
                <w:rFonts w:ascii="Times New Roman" w:hAnsi="Times New Roman" w:cs="Times New Roman"/>
                <w:color w:val="000000"/>
                <w:sz w:val="14"/>
                <w:szCs w:val="14"/>
              </w:rPr>
              <w:t>8 553 792</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876EF7" w:rsidRDefault="003A497B" w:rsidP="003E1809">
            <w:pPr>
              <w:jc w:val="right"/>
              <w:rPr>
                <w:rFonts w:ascii="Times New Roman" w:hAnsi="Times New Roman" w:cs="Times New Roman"/>
                <w:color w:val="000000"/>
                <w:sz w:val="14"/>
                <w:szCs w:val="14"/>
              </w:rPr>
            </w:pPr>
            <w:r w:rsidRPr="00876EF7">
              <w:rPr>
                <w:rFonts w:ascii="Times New Roman" w:hAnsi="Times New Roman" w:cs="Times New Roman"/>
                <w:color w:val="000000"/>
                <w:sz w:val="14"/>
                <w:szCs w:val="14"/>
              </w:rPr>
              <w:t>9 213 792</w:t>
            </w:r>
          </w:p>
        </w:tc>
        <w:tc>
          <w:tcPr>
            <w:tcW w:w="521" w:type="pct"/>
            <w:tcBorders>
              <w:top w:val="nil"/>
              <w:left w:val="nil"/>
              <w:bottom w:val="single" w:sz="4" w:space="0" w:color="auto"/>
              <w:right w:val="single" w:sz="4" w:space="0" w:color="auto"/>
            </w:tcBorders>
            <w:shd w:val="clear" w:color="auto" w:fill="auto"/>
            <w:noWrap/>
            <w:vAlign w:val="bottom"/>
            <w:hideMark/>
          </w:tcPr>
          <w:p w:rsidR="003A497B" w:rsidRPr="00876EF7" w:rsidRDefault="003A497B" w:rsidP="003E1809">
            <w:pPr>
              <w:jc w:val="right"/>
              <w:rPr>
                <w:rFonts w:ascii="Times New Roman" w:hAnsi="Times New Roman" w:cs="Times New Roman"/>
                <w:color w:val="000000"/>
                <w:sz w:val="14"/>
                <w:szCs w:val="14"/>
              </w:rPr>
            </w:pPr>
            <w:r w:rsidRPr="00876EF7">
              <w:rPr>
                <w:rFonts w:ascii="Times New Roman" w:hAnsi="Times New Roman" w:cs="Times New Roman"/>
                <w:color w:val="000000"/>
                <w:sz w:val="14"/>
                <w:szCs w:val="14"/>
              </w:rPr>
              <w:t>9 939 792</w:t>
            </w:r>
          </w:p>
        </w:tc>
      </w:tr>
      <w:tr w:rsidR="003A497B" w:rsidRPr="00346A12" w:rsidTr="003E1809">
        <w:trPr>
          <w:trHeight w:hRule="exact" w:val="284"/>
        </w:trPr>
        <w:tc>
          <w:tcPr>
            <w:tcW w:w="1212"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Vodná doprava</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57AAC" w:rsidRDefault="003A497B" w:rsidP="003E1809">
            <w:pPr>
              <w:jc w:val="right"/>
              <w:rPr>
                <w:rFonts w:ascii="Times New Roman" w:hAnsi="Times New Roman" w:cs="Times New Roman"/>
                <w:color w:val="000000"/>
                <w:sz w:val="14"/>
                <w:szCs w:val="14"/>
              </w:rPr>
            </w:pPr>
            <w:r w:rsidRPr="00A57AAC">
              <w:rPr>
                <w:rFonts w:ascii="Times New Roman" w:hAnsi="Times New Roman" w:cs="Times New Roman"/>
                <w:color w:val="000000"/>
                <w:sz w:val="14"/>
                <w:szCs w:val="14"/>
              </w:rPr>
              <w:t>233 333</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57AAC" w:rsidRDefault="003A497B" w:rsidP="003E1809">
            <w:pPr>
              <w:jc w:val="right"/>
              <w:rPr>
                <w:rFonts w:ascii="Times New Roman" w:hAnsi="Times New Roman" w:cs="Times New Roman"/>
                <w:color w:val="000000"/>
                <w:sz w:val="14"/>
                <w:szCs w:val="14"/>
              </w:rPr>
            </w:pPr>
            <w:r w:rsidRPr="00A57AAC">
              <w:rPr>
                <w:rFonts w:ascii="Times New Roman" w:hAnsi="Times New Roman" w:cs="Times New Roman"/>
                <w:color w:val="000000"/>
                <w:sz w:val="14"/>
                <w:szCs w:val="14"/>
              </w:rPr>
              <w:t>332 610</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A57AAC" w:rsidRDefault="003A497B" w:rsidP="003E1809">
            <w:pPr>
              <w:jc w:val="right"/>
              <w:rPr>
                <w:rFonts w:ascii="Times New Roman" w:hAnsi="Times New Roman" w:cs="Times New Roman"/>
                <w:color w:val="000000"/>
                <w:sz w:val="14"/>
                <w:szCs w:val="14"/>
              </w:rPr>
            </w:pPr>
            <w:r w:rsidRPr="00A57AAC">
              <w:rPr>
                <w:rFonts w:ascii="Times New Roman" w:hAnsi="Times New Roman" w:cs="Times New Roman"/>
                <w:color w:val="000000"/>
                <w:sz w:val="14"/>
                <w:szCs w:val="14"/>
              </w:rPr>
              <w:t>202 647</w:t>
            </w:r>
          </w:p>
        </w:tc>
        <w:tc>
          <w:tcPr>
            <w:tcW w:w="642" w:type="pct"/>
            <w:tcBorders>
              <w:top w:val="nil"/>
              <w:left w:val="nil"/>
              <w:bottom w:val="single" w:sz="4" w:space="0" w:color="auto"/>
              <w:right w:val="single" w:sz="4" w:space="0" w:color="auto"/>
            </w:tcBorders>
            <w:shd w:val="clear" w:color="auto" w:fill="auto"/>
            <w:noWrap/>
            <w:vAlign w:val="bottom"/>
            <w:hideMark/>
          </w:tcPr>
          <w:p w:rsidR="003A497B" w:rsidRPr="009C6686" w:rsidRDefault="003A497B" w:rsidP="003E1809">
            <w:pPr>
              <w:jc w:val="right"/>
              <w:rPr>
                <w:rFonts w:ascii="Times New Roman" w:hAnsi="Times New Roman" w:cs="Times New Roman"/>
                <w:color w:val="000000"/>
                <w:sz w:val="14"/>
                <w:szCs w:val="14"/>
              </w:rPr>
            </w:pPr>
            <w:r w:rsidRPr="009C6686">
              <w:rPr>
                <w:rFonts w:ascii="Times New Roman" w:hAnsi="Times New Roman" w:cs="Times New Roman"/>
                <w:color w:val="000000"/>
                <w:sz w:val="14"/>
                <w:szCs w:val="14"/>
              </w:rPr>
              <w:t>202 647</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380B8B" w:rsidRDefault="003A497B" w:rsidP="003E1809">
            <w:pPr>
              <w:jc w:val="right"/>
              <w:rPr>
                <w:rFonts w:ascii="Times New Roman" w:hAnsi="Times New Roman" w:cs="Times New Roman"/>
                <w:color w:val="000000"/>
                <w:sz w:val="14"/>
                <w:szCs w:val="14"/>
              </w:rPr>
            </w:pPr>
            <w:r w:rsidRPr="00380B8B">
              <w:rPr>
                <w:rFonts w:ascii="Times New Roman" w:hAnsi="Times New Roman" w:cs="Times New Roman"/>
                <w:color w:val="000000"/>
                <w:sz w:val="14"/>
                <w:szCs w:val="14"/>
              </w:rPr>
              <w:t>209 985</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876EF7" w:rsidRDefault="003A497B" w:rsidP="003E1809">
            <w:pPr>
              <w:jc w:val="right"/>
              <w:rPr>
                <w:rFonts w:ascii="Times New Roman" w:hAnsi="Times New Roman" w:cs="Times New Roman"/>
                <w:color w:val="000000"/>
                <w:sz w:val="14"/>
                <w:szCs w:val="14"/>
              </w:rPr>
            </w:pPr>
            <w:r w:rsidRPr="00876EF7">
              <w:rPr>
                <w:rFonts w:ascii="Times New Roman" w:hAnsi="Times New Roman" w:cs="Times New Roman"/>
                <w:color w:val="000000"/>
                <w:sz w:val="14"/>
                <w:szCs w:val="14"/>
              </w:rPr>
              <w:t>209 985</w:t>
            </w:r>
          </w:p>
        </w:tc>
        <w:tc>
          <w:tcPr>
            <w:tcW w:w="521" w:type="pct"/>
            <w:tcBorders>
              <w:top w:val="nil"/>
              <w:left w:val="nil"/>
              <w:bottom w:val="single" w:sz="4" w:space="0" w:color="auto"/>
              <w:right w:val="single" w:sz="4" w:space="0" w:color="auto"/>
            </w:tcBorders>
            <w:shd w:val="clear" w:color="auto" w:fill="auto"/>
            <w:noWrap/>
            <w:vAlign w:val="bottom"/>
            <w:hideMark/>
          </w:tcPr>
          <w:p w:rsidR="003A497B" w:rsidRPr="00876EF7" w:rsidRDefault="003A497B" w:rsidP="003E1809">
            <w:pPr>
              <w:jc w:val="right"/>
              <w:rPr>
                <w:rFonts w:ascii="Times New Roman" w:hAnsi="Times New Roman" w:cs="Times New Roman"/>
                <w:color w:val="000000"/>
                <w:sz w:val="14"/>
                <w:szCs w:val="14"/>
              </w:rPr>
            </w:pPr>
            <w:r w:rsidRPr="00876EF7">
              <w:rPr>
                <w:rFonts w:ascii="Times New Roman" w:hAnsi="Times New Roman" w:cs="Times New Roman"/>
                <w:color w:val="000000"/>
                <w:sz w:val="14"/>
                <w:szCs w:val="14"/>
              </w:rPr>
              <w:t>209 985</w:t>
            </w:r>
          </w:p>
        </w:tc>
      </w:tr>
      <w:tr w:rsidR="003A497B" w:rsidRPr="00346A12" w:rsidTr="003E1809">
        <w:trPr>
          <w:trHeight w:hRule="exact" w:val="284"/>
        </w:trPr>
        <w:tc>
          <w:tcPr>
            <w:tcW w:w="1212"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Ostatné činnosti</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57AAC" w:rsidRDefault="003A497B" w:rsidP="003E1809">
            <w:pPr>
              <w:jc w:val="right"/>
              <w:rPr>
                <w:rFonts w:ascii="Times New Roman" w:hAnsi="Times New Roman" w:cs="Times New Roman"/>
                <w:color w:val="000000"/>
                <w:sz w:val="14"/>
                <w:szCs w:val="14"/>
              </w:rPr>
            </w:pPr>
            <w:r w:rsidRPr="00A57AAC">
              <w:rPr>
                <w:rFonts w:ascii="Times New Roman" w:hAnsi="Times New Roman" w:cs="Times New Roman"/>
                <w:color w:val="000000"/>
                <w:sz w:val="14"/>
                <w:szCs w:val="14"/>
              </w:rPr>
              <w:t>61 175 786</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57AAC" w:rsidRDefault="003A497B" w:rsidP="003E1809">
            <w:pPr>
              <w:jc w:val="right"/>
              <w:rPr>
                <w:rFonts w:ascii="Times New Roman" w:hAnsi="Times New Roman" w:cs="Times New Roman"/>
                <w:color w:val="000000"/>
                <w:sz w:val="14"/>
                <w:szCs w:val="14"/>
              </w:rPr>
            </w:pPr>
            <w:r w:rsidRPr="00A57AAC">
              <w:rPr>
                <w:rFonts w:ascii="Times New Roman" w:hAnsi="Times New Roman" w:cs="Times New Roman"/>
                <w:color w:val="000000"/>
                <w:sz w:val="14"/>
                <w:szCs w:val="14"/>
              </w:rPr>
              <w:t>66 193 969</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A57AAC" w:rsidRDefault="003A497B" w:rsidP="003E1809">
            <w:pPr>
              <w:jc w:val="right"/>
              <w:rPr>
                <w:rFonts w:ascii="Times New Roman" w:hAnsi="Times New Roman" w:cs="Times New Roman"/>
                <w:color w:val="000000"/>
                <w:sz w:val="14"/>
                <w:szCs w:val="14"/>
              </w:rPr>
            </w:pPr>
            <w:r w:rsidRPr="00A57AAC">
              <w:rPr>
                <w:rFonts w:ascii="Times New Roman" w:hAnsi="Times New Roman" w:cs="Times New Roman"/>
                <w:color w:val="000000"/>
                <w:sz w:val="14"/>
                <w:szCs w:val="14"/>
              </w:rPr>
              <w:t>159 793 237</w:t>
            </w:r>
          </w:p>
        </w:tc>
        <w:tc>
          <w:tcPr>
            <w:tcW w:w="642" w:type="pct"/>
            <w:tcBorders>
              <w:top w:val="nil"/>
              <w:left w:val="nil"/>
              <w:bottom w:val="single" w:sz="4" w:space="0" w:color="auto"/>
              <w:right w:val="single" w:sz="4" w:space="0" w:color="auto"/>
            </w:tcBorders>
            <w:shd w:val="clear" w:color="auto" w:fill="auto"/>
            <w:noWrap/>
            <w:vAlign w:val="bottom"/>
            <w:hideMark/>
          </w:tcPr>
          <w:p w:rsidR="003A497B" w:rsidRPr="009C6686" w:rsidRDefault="003A497B" w:rsidP="003E1809">
            <w:pPr>
              <w:jc w:val="right"/>
              <w:rPr>
                <w:rFonts w:ascii="Times New Roman" w:hAnsi="Times New Roman" w:cs="Times New Roman"/>
                <w:color w:val="000000"/>
                <w:sz w:val="14"/>
                <w:szCs w:val="14"/>
              </w:rPr>
            </w:pPr>
            <w:r w:rsidRPr="009C6686">
              <w:rPr>
                <w:rFonts w:ascii="Times New Roman" w:hAnsi="Times New Roman" w:cs="Times New Roman"/>
                <w:color w:val="000000"/>
                <w:sz w:val="14"/>
                <w:szCs w:val="14"/>
              </w:rPr>
              <w:t>165 238 712</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380B8B" w:rsidRDefault="003A497B" w:rsidP="003E1809">
            <w:pPr>
              <w:jc w:val="right"/>
              <w:rPr>
                <w:rFonts w:ascii="Times New Roman" w:hAnsi="Times New Roman" w:cs="Times New Roman"/>
                <w:color w:val="000000"/>
                <w:sz w:val="14"/>
                <w:szCs w:val="14"/>
              </w:rPr>
            </w:pPr>
            <w:r w:rsidRPr="00380B8B">
              <w:rPr>
                <w:rFonts w:ascii="Times New Roman" w:hAnsi="Times New Roman" w:cs="Times New Roman"/>
                <w:color w:val="000000"/>
                <w:sz w:val="14"/>
                <w:szCs w:val="14"/>
              </w:rPr>
              <w:t>101 173 350</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876EF7" w:rsidRDefault="003A497B" w:rsidP="003E1809">
            <w:pPr>
              <w:jc w:val="right"/>
              <w:rPr>
                <w:rFonts w:ascii="Times New Roman" w:hAnsi="Times New Roman" w:cs="Times New Roman"/>
                <w:color w:val="000000"/>
                <w:sz w:val="14"/>
                <w:szCs w:val="14"/>
              </w:rPr>
            </w:pPr>
            <w:r w:rsidRPr="00876EF7">
              <w:rPr>
                <w:rFonts w:ascii="Times New Roman" w:hAnsi="Times New Roman" w:cs="Times New Roman"/>
                <w:color w:val="000000"/>
                <w:sz w:val="14"/>
                <w:szCs w:val="14"/>
              </w:rPr>
              <w:t>79 427 100</w:t>
            </w:r>
          </w:p>
        </w:tc>
        <w:tc>
          <w:tcPr>
            <w:tcW w:w="521" w:type="pct"/>
            <w:tcBorders>
              <w:top w:val="nil"/>
              <w:left w:val="nil"/>
              <w:bottom w:val="single" w:sz="4" w:space="0" w:color="auto"/>
              <w:right w:val="single" w:sz="4" w:space="0" w:color="auto"/>
            </w:tcBorders>
            <w:shd w:val="clear" w:color="auto" w:fill="auto"/>
            <w:noWrap/>
            <w:vAlign w:val="bottom"/>
            <w:hideMark/>
          </w:tcPr>
          <w:p w:rsidR="003A497B" w:rsidRPr="00876EF7" w:rsidRDefault="003A497B" w:rsidP="003E1809">
            <w:pPr>
              <w:jc w:val="right"/>
              <w:rPr>
                <w:rFonts w:ascii="Times New Roman" w:hAnsi="Times New Roman" w:cs="Times New Roman"/>
                <w:color w:val="000000"/>
                <w:sz w:val="14"/>
                <w:szCs w:val="14"/>
              </w:rPr>
            </w:pPr>
            <w:r w:rsidRPr="00876EF7">
              <w:rPr>
                <w:rFonts w:ascii="Times New Roman" w:hAnsi="Times New Roman" w:cs="Times New Roman"/>
                <w:color w:val="000000"/>
                <w:sz w:val="14"/>
                <w:szCs w:val="14"/>
              </w:rPr>
              <w:t>79 447 100</w:t>
            </w:r>
          </w:p>
        </w:tc>
      </w:tr>
      <w:tr w:rsidR="003A497B" w:rsidRPr="00346A12" w:rsidTr="003E1809">
        <w:trPr>
          <w:trHeight w:hRule="exact" w:val="284"/>
        </w:trPr>
        <w:tc>
          <w:tcPr>
            <w:tcW w:w="1212"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OP Informatizácia spoločnosti</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346A12" w:rsidRDefault="003A497B" w:rsidP="003E1809">
            <w:pPr>
              <w:jc w:val="right"/>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76 593</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346A12" w:rsidRDefault="003A497B" w:rsidP="003E1809">
            <w:pPr>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0</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346A12" w:rsidRDefault="003A497B" w:rsidP="003E1809">
            <w:pPr>
              <w:jc w:val="right"/>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0</w:t>
            </w:r>
          </w:p>
        </w:tc>
        <w:tc>
          <w:tcPr>
            <w:tcW w:w="642" w:type="pct"/>
            <w:tcBorders>
              <w:top w:val="nil"/>
              <w:left w:val="nil"/>
              <w:bottom w:val="single" w:sz="4" w:space="0" w:color="auto"/>
              <w:right w:val="single" w:sz="4" w:space="0" w:color="auto"/>
            </w:tcBorders>
            <w:shd w:val="clear" w:color="auto" w:fill="auto"/>
            <w:noWrap/>
            <w:vAlign w:val="bottom"/>
            <w:hideMark/>
          </w:tcPr>
          <w:p w:rsidR="003A497B" w:rsidRPr="00346A12" w:rsidRDefault="003A497B" w:rsidP="003E1809">
            <w:pPr>
              <w:jc w:val="right"/>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0</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346A12" w:rsidRDefault="003A497B" w:rsidP="003E1809">
            <w:pPr>
              <w:jc w:val="right"/>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0</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346A12" w:rsidRDefault="003A497B" w:rsidP="003E1809">
            <w:pPr>
              <w:jc w:val="right"/>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0</w:t>
            </w:r>
          </w:p>
        </w:tc>
        <w:tc>
          <w:tcPr>
            <w:tcW w:w="521" w:type="pct"/>
            <w:tcBorders>
              <w:top w:val="nil"/>
              <w:left w:val="nil"/>
              <w:bottom w:val="single" w:sz="4" w:space="0" w:color="auto"/>
              <w:right w:val="single" w:sz="4" w:space="0" w:color="auto"/>
            </w:tcBorders>
            <w:shd w:val="clear" w:color="auto" w:fill="auto"/>
            <w:noWrap/>
            <w:vAlign w:val="bottom"/>
            <w:hideMark/>
          </w:tcPr>
          <w:p w:rsidR="003A497B" w:rsidRPr="00346A12" w:rsidRDefault="003A497B" w:rsidP="003E1809">
            <w:pPr>
              <w:jc w:val="right"/>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0</w:t>
            </w:r>
          </w:p>
        </w:tc>
      </w:tr>
    </w:tbl>
    <w:p w:rsidR="003A497B" w:rsidRDefault="003A497B" w:rsidP="003A497B">
      <w:pPr>
        <w:jc w:val="both"/>
        <w:rPr>
          <w:rFonts w:ascii="Times New Roman" w:hAnsi="Times New Roman" w:cs="Times New Roman"/>
          <w:b/>
          <w:highlight w:val="yellow"/>
        </w:rPr>
      </w:pPr>
    </w:p>
    <w:p w:rsidR="003A497B" w:rsidRPr="00FA75B2" w:rsidRDefault="003A497B" w:rsidP="003A497B">
      <w:pPr>
        <w:jc w:val="both"/>
        <w:rPr>
          <w:rFonts w:ascii="Times New Roman" w:hAnsi="Times New Roman" w:cs="Times New Roman"/>
          <w:b/>
        </w:rPr>
      </w:pPr>
      <w:r w:rsidRPr="00FA75B2">
        <w:rPr>
          <w:rFonts w:ascii="Times New Roman" w:hAnsi="Times New Roman" w:cs="Times New Roman"/>
          <w:b/>
        </w:rPr>
        <w:t>Cestná a železničná infraštruktúra</w:t>
      </w:r>
    </w:p>
    <w:p w:rsidR="003A497B" w:rsidRPr="00FA75B2" w:rsidRDefault="003A497B" w:rsidP="003A497B">
      <w:pPr>
        <w:ind w:firstLine="708"/>
        <w:jc w:val="both"/>
        <w:rPr>
          <w:rFonts w:ascii="Times New Roman" w:hAnsi="Times New Roman" w:cs="Times New Roman"/>
        </w:rPr>
      </w:pPr>
    </w:p>
    <w:p w:rsidR="003A497B" w:rsidRPr="001D3227" w:rsidRDefault="003A497B" w:rsidP="003A497B">
      <w:pPr>
        <w:pStyle w:val="titulok"/>
        <w:spacing w:before="0" w:beforeAutospacing="0" w:after="0" w:afterAutospacing="0"/>
        <w:ind w:firstLine="709"/>
        <w:jc w:val="both"/>
        <w:rPr>
          <w:rFonts w:ascii="Times New Roman" w:hAnsi="Times New Roman" w:cs="Courier"/>
          <w:b w:val="0"/>
          <w:bCs w:val="0"/>
          <w:color w:val="auto"/>
          <w:lang w:eastAsia="cs-CZ"/>
        </w:rPr>
      </w:pPr>
      <w:r w:rsidRPr="006F7634">
        <w:rPr>
          <w:rFonts w:ascii="Times New Roman" w:hAnsi="Times New Roman" w:cs="Times New Roman"/>
          <w:b w:val="0"/>
          <w:color w:val="auto"/>
        </w:rPr>
        <w:t>Na cestnú a železničnú infraštruktúru</w:t>
      </w:r>
      <w:r>
        <w:rPr>
          <w:rFonts w:ascii="Times New Roman" w:hAnsi="Times New Roman" w:cs="Times New Roman"/>
          <w:b w:val="0"/>
          <w:color w:val="auto"/>
        </w:rPr>
        <w:t xml:space="preserve"> sa</w:t>
      </w:r>
      <w:r w:rsidRPr="006F7634">
        <w:rPr>
          <w:rFonts w:ascii="Times New Roman" w:hAnsi="Times New Roman" w:cs="Times New Roman"/>
          <w:b w:val="0"/>
          <w:color w:val="auto"/>
        </w:rPr>
        <w:t xml:space="preserve"> na rok 201</w:t>
      </w:r>
      <w:r>
        <w:rPr>
          <w:rFonts w:ascii="Times New Roman" w:hAnsi="Times New Roman" w:cs="Times New Roman"/>
          <w:b w:val="0"/>
          <w:color w:val="auto"/>
        </w:rPr>
        <w:t>9</w:t>
      </w:r>
      <w:r w:rsidRPr="006F7634">
        <w:rPr>
          <w:rFonts w:ascii="Times New Roman" w:hAnsi="Times New Roman" w:cs="Times New Roman"/>
          <w:b w:val="0"/>
          <w:color w:val="auto"/>
        </w:rPr>
        <w:t xml:space="preserve"> rozpočtujú výdavky vo výške</w:t>
      </w:r>
      <w:r w:rsidRPr="006F7634">
        <w:rPr>
          <w:rFonts w:ascii="Times New Roman" w:hAnsi="Times New Roman" w:cs="Times New Roman"/>
          <w:b w:val="0"/>
          <w:color w:val="auto"/>
        </w:rPr>
        <w:br/>
      </w:r>
      <w:r>
        <w:rPr>
          <w:rFonts w:ascii="Times New Roman" w:hAnsi="Times New Roman" w:cs="Times New Roman"/>
          <w:b w:val="0"/>
          <w:color w:val="auto"/>
        </w:rPr>
        <w:t>921</w:t>
      </w:r>
      <w:r w:rsidRPr="006F7634">
        <w:rPr>
          <w:rFonts w:ascii="Times New Roman" w:hAnsi="Times New Roman" w:cs="Times New Roman"/>
          <w:b w:val="0"/>
          <w:color w:val="auto"/>
        </w:rPr>
        <w:t xml:space="preserve"> mil. eur, čo v porovnaní so schváleným rozpočtom roku 201</w:t>
      </w:r>
      <w:r>
        <w:rPr>
          <w:rFonts w:ascii="Times New Roman" w:hAnsi="Times New Roman" w:cs="Times New Roman"/>
          <w:b w:val="0"/>
          <w:color w:val="auto"/>
        </w:rPr>
        <w:t>8</w:t>
      </w:r>
      <w:r w:rsidRPr="006F7634">
        <w:rPr>
          <w:rFonts w:ascii="Times New Roman" w:hAnsi="Times New Roman" w:cs="Times New Roman"/>
          <w:b w:val="0"/>
          <w:color w:val="auto"/>
        </w:rPr>
        <w:t xml:space="preserve"> predstavuje z</w:t>
      </w:r>
      <w:r>
        <w:rPr>
          <w:rFonts w:ascii="Times New Roman" w:hAnsi="Times New Roman" w:cs="Times New Roman"/>
          <w:b w:val="0"/>
          <w:color w:val="auto"/>
        </w:rPr>
        <w:t>výš</w:t>
      </w:r>
      <w:r w:rsidRPr="006F7634">
        <w:rPr>
          <w:rFonts w:ascii="Times New Roman" w:hAnsi="Times New Roman" w:cs="Times New Roman"/>
          <w:b w:val="0"/>
          <w:color w:val="auto"/>
        </w:rPr>
        <w:t>enie</w:t>
      </w:r>
      <w:r w:rsidRPr="006F7634">
        <w:rPr>
          <w:rFonts w:ascii="Times New Roman" w:hAnsi="Times New Roman" w:cs="Times New Roman"/>
          <w:b w:val="0"/>
          <w:color w:val="auto"/>
        </w:rPr>
        <w:br/>
        <w:t>o </w:t>
      </w:r>
      <w:r>
        <w:rPr>
          <w:rFonts w:ascii="Times New Roman" w:hAnsi="Times New Roman" w:cs="Times New Roman"/>
          <w:b w:val="0"/>
          <w:color w:val="auto"/>
        </w:rPr>
        <w:t>40,0</w:t>
      </w:r>
      <w:r w:rsidRPr="006F7634">
        <w:rPr>
          <w:rFonts w:ascii="Times New Roman" w:hAnsi="Times New Roman" w:cs="Times New Roman"/>
          <w:b w:val="0"/>
          <w:color w:val="auto"/>
        </w:rPr>
        <w:t xml:space="preserve"> m</w:t>
      </w:r>
      <w:r>
        <w:rPr>
          <w:rFonts w:ascii="Times New Roman" w:hAnsi="Times New Roman" w:cs="Times New Roman"/>
          <w:b w:val="0"/>
          <w:color w:val="auto"/>
        </w:rPr>
        <w:t>i</w:t>
      </w:r>
      <w:r w:rsidRPr="006F7634">
        <w:rPr>
          <w:rFonts w:ascii="Times New Roman" w:hAnsi="Times New Roman" w:cs="Times New Roman"/>
          <w:b w:val="0"/>
          <w:color w:val="auto"/>
        </w:rPr>
        <w:t>l. eur, t. j. o</w:t>
      </w:r>
      <w:r>
        <w:rPr>
          <w:rFonts w:ascii="Times New Roman" w:hAnsi="Times New Roman" w:cs="Times New Roman"/>
          <w:b w:val="0"/>
          <w:color w:val="auto"/>
        </w:rPr>
        <w:t> 4,54</w:t>
      </w:r>
      <w:r w:rsidRPr="006F7634">
        <w:rPr>
          <w:rFonts w:ascii="Times New Roman" w:hAnsi="Times New Roman" w:cs="Times New Roman"/>
          <w:b w:val="0"/>
          <w:color w:val="auto"/>
        </w:rPr>
        <w:t> %</w:t>
      </w:r>
      <w:r>
        <w:rPr>
          <w:rFonts w:ascii="Times New Roman" w:hAnsi="Times New Roman" w:cs="Times New Roman"/>
          <w:b w:val="0"/>
          <w:color w:val="auto"/>
        </w:rPr>
        <w:t xml:space="preserve"> z dôvodu zvýšenia výdavkov zo </w:t>
      </w:r>
      <w:r w:rsidRPr="008F7EF2">
        <w:rPr>
          <w:rFonts w:ascii="Times New Roman" w:hAnsi="Times New Roman" w:cs="Courier"/>
          <w:b w:val="0"/>
          <w:bCs w:val="0"/>
          <w:color w:val="auto"/>
          <w:lang w:eastAsia="cs-CZ"/>
        </w:rPr>
        <w:t xml:space="preserve"> zdrojov</w:t>
      </w:r>
      <w:r>
        <w:rPr>
          <w:rFonts w:ascii="Times New Roman" w:hAnsi="Times New Roman" w:cs="Courier"/>
          <w:b w:val="0"/>
          <w:bCs w:val="0"/>
          <w:color w:val="auto"/>
          <w:lang w:eastAsia="cs-CZ"/>
        </w:rPr>
        <w:t xml:space="preserve"> </w:t>
      </w:r>
      <w:r w:rsidRPr="008F7EF2">
        <w:rPr>
          <w:rFonts w:ascii="Times New Roman" w:hAnsi="Times New Roman" w:cs="Courier"/>
          <w:b w:val="0"/>
          <w:bCs w:val="0"/>
          <w:color w:val="auto"/>
          <w:lang w:eastAsia="cs-CZ"/>
        </w:rPr>
        <w:t xml:space="preserve"> EÚ a</w:t>
      </w:r>
      <w:r>
        <w:rPr>
          <w:rFonts w:ascii="Times New Roman" w:hAnsi="Times New Roman" w:cs="Courier"/>
          <w:b w:val="0"/>
          <w:bCs w:val="0"/>
          <w:color w:val="auto"/>
          <w:lang w:eastAsia="cs-CZ"/>
        </w:rPr>
        <w:t> </w:t>
      </w:r>
      <w:r w:rsidRPr="008F7EF2">
        <w:rPr>
          <w:rFonts w:ascii="Times New Roman" w:hAnsi="Times New Roman" w:cs="Courier"/>
          <w:b w:val="0"/>
          <w:bCs w:val="0"/>
          <w:color w:val="auto"/>
          <w:lang w:eastAsia="cs-CZ"/>
        </w:rPr>
        <w:t>spolufinancovania</w:t>
      </w:r>
      <w:r>
        <w:rPr>
          <w:rFonts w:ascii="Times New Roman" w:hAnsi="Times New Roman" w:cs="Courier"/>
          <w:b w:val="0"/>
          <w:bCs w:val="0"/>
          <w:color w:val="auto"/>
          <w:lang w:eastAsia="cs-CZ"/>
        </w:rPr>
        <w:t xml:space="preserve"> zo štátneho r</w:t>
      </w:r>
      <w:r w:rsidRPr="008F7EF2">
        <w:rPr>
          <w:rFonts w:ascii="Times New Roman" w:hAnsi="Times New Roman" w:cs="Courier"/>
          <w:b w:val="0"/>
          <w:bCs w:val="0"/>
          <w:color w:val="auto"/>
          <w:lang w:eastAsia="cs-CZ"/>
        </w:rPr>
        <w:t>ozpočtu</w:t>
      </w:r>
      <w:r>
        <w:rPr>
          <w:rFonts w:ascii="Times New Roman" w:hAnsi="Times New Roman" w:cs="Courier"/>
          <w:b w:val="0"/>
          <w:bCs w:val="0"/>
          <w:color w:val="auto"/>
          <w:lang w:eastAsia="cs-CZ"/>
        </w:rPr>
        <w:t xml:space="preserve"> a zvýšenia výdavkov spojených s poskytovaním vyšších výkonov v rámci zmluvy o poskytovaní služieb vo verejnom záujme v osobnej doprave. V rámci výdavkov zo štátneho rozpočtu sú započítané aj výdavky na financovanie neoprávnených výdavkov a výdavkov nad rámec finančnej medzery pre projekty financované z OPII.</w:t>
      </w:r>
    </w:p>
    <w:p w:rsidR="003A497B" w:rsidRPr="00CD3A91" w:rsidRDefault="003A497B" w:rsidP="003A497B">
      <w:pPr>
        <w:tabs>
          <w:tab w:val="left" w:pos="3819"/>
        </w:tabs>
        <w:jc w:val="both"/>
        <w:rPr>
          <w:rFonts w:ascii="Times New Roman" w:hAnsi="Times New Roman" w:cs="Times New Roman"/>
        </w:rPr>
      </w:pPr>
    </w:p>
    <w:tbl>
      <w:tblPr>
        <w:tblW w:w="5000" w:type="pct"/>
        <w:tblLayout w:type="fixed"/>
        <w:tblCellMar>
          <w:left w:w="70" w:type="dxa"/>
          <w:right w:w="70" w:type="dxa"/>
        </w:tblCellMar>
        <w:tblLook w:val="04A0" w:firstRow="1" w:lastRow="0" w:firstColumn="1" w:lastColumn="0" w:noHBand="0" w:noVBand="1"/>
      </w:tblPr>
      <w:tblGrid>
        <w:gridCol w:w="1983"/>
        <w:gridCol w:w="1012"/>
        <w:gridCol w:w="1012"/>
        <w:gridCol w:w="1011"/>
        <w:gridCol w:w="1011"/>
        <w:gridCol w:w="1011"/>
        <w:gridCol w:w="1011"/>
        <w:gridCol w:w="1011"/>
      </w:tblGrid>
      <w:tr w:rsidR="003A497B" w:rsidRPr="00E5587A" w:rsidTr="003E1809">
        <w:trPr>
          <w:trHeight w:hRule="exact" w:val="284"/>
        </w:trPr>
        <w:tc>
          <w:tcPr>
            <w:tcW w:w="1983"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346A12" w:rsidRDefault="003A497B" w:rsidP="003E1809">
            <w:pP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v</w:t>
            </w:r>
            <w:r>
              <w:rPr>
                <w:rFonts w:ascii="Times New Roman" w:hAnsi="Times New Roman" w:cs="Times New Roman"/>
                <w:b/>
                <w:bCs/>
                <w:color w:val="000000"/>
                <w:sz w:val="14"/>
                <w:szCs w:val="14"/>
                <w:lang w:eastAsia="sk-SK"/>
              </w:rPr>
              <w:t> </w:t>
            </w:r>
            <w:r w:rsidRPr="00346A12">
              <w:rPr>
                <w:rFonts w:ascii="Times New Roman" w:hAnsi="Times New Roman" w:cs="Times New Roman"/>
                <w:b/>
                <w:bCs/>
                <w:color w:val="000000"/>
                <w:sz w:val="14"/>
                <w:szCs w:val="14"/>
                <w:lang w:eastAsia="sk-SK"/>
              </w:rPr>
              <w:t>eurách</w:t>
            </w:r>
          </w:p>
        </w:tc>
        <w:tc>
          <w:tcPr>
            <w:tcW w:w="1012"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2016 S</w:t>
            </w:r>
          </w:p>
        </w:tc>
        <w:tc>
          <w:tcPr>
            <w:tcW w:w="1012"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2017 </w:t>
            </w:r>
            <w:r>
              <w:rPr>
                <w:rFonts w:ascii="Times New Roman" w:hAnsi="Times New Roman" w:cs="Times New Roman"/>
                <w:b/>
                <w:bCs/>
                <w:color w:val="000000"/>
                <w:sz w:val="14"/>
                <w:szCs w:val="14"/>
                <w:lang w:eastAsia="sk-SK"/>
              </w:rPr>
              <w:t>S</w:t>
            </w:r>
          </w:p>
        </w:tc>
        <w:tc>
          <w:tcPr>
            <w:tcW w:w="1011"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346A12">
              <w:rPr>
                <w:rFonts w:ascii="Times New Roman" w:hAnsi="Times New Roman" w:cs="Times New Roman"/>
                <w:b/>
                <w:bCs/>
                <w:color w:val="000000"/>
                <w:sz w:val="14"/>
                <w:szCs w:val="14"/>
                <w:lang w:eastAsia="sk-SK"/>
              </w:rPr>
              <w:t xml:space="preserve"> </w:t>
            </w:r>
            <w:r>
              <w:rPr>
                <w:rFonts w:ascii="Times New Roman" w:hAnsi="Times New Roman" w:cs="Times New Roman"/>
                <w:b/>
                <w:bCs/>
                <w:color w:val="000000"/>
                <w:sz w:val="14"/>
                <w:szCs w:val="14"/>
                <w:lang w:eastAsia="sk-SK"/>
              </w:rPr>
              <w:t>R</w:t>
            </w:r>
          </w:p>
        </w:tc>
        <w:tc>
          <w:tcPr>
            <w:tcW w:w="1011"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2018 </w:t>
            </w:r>
            <w:r>
              <w:rPr>
                <w:rFonts w:ascii="Times New Roman" w:hAnsi="Times New Roman" w:cs="Times New Roman"/>
                <w:b/>
                <w:bCs/>
                <w:color w:val="000000"/>
                <w:sz w:val="14"/>
                <w:szCs w:val="14"/>
                <w:lang w:eastAsia="sk-SK"/>
              </w:rPr>
              <w:t>OS</w:t>
            </w:r>
          </w:p>
        </w:tc>
        <w:tc>
          <w:tcPr>
            <w:tcW w:w="1011"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2019 N</w:t>
            </w:r>
          </w:p>
        </w:tc>
        <w:tc>
          <w:tcPr>
            <w:tcW w:w="1011"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2020 N</w:t>
            </w:r>
          </w:p>
        </w:tc>
        <w:tc>
          <w:tcPr>
            <w:tcW w:w="1011"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w:t>
            </w:r>
            <w:r>
              <w:rPr>
                <w:rFonts w:ascii="Times New Roman" w:hAnsi="Times New Roman" w:cs="Times New Roman"/>
                <w:b/>
                <w:bCs/>
                <w:color w:val="000000"/>
                <w:sz w:val="14"/>
                <w:szCs w:val="14"/>
                <w:lang w:eastAsia="sk-SK"/>
              </w:rPr>
              <w:t>1</w:t>
            </w:r>
            <w:r w:rsidRPr="00346A12">
              <w:rPr>
                <w:rFonts w:ascii="Times New Roman" w:hAnsi="Times New Roman" w:cs="Times New Roman"/>
                <w:b/>
                <w:bCs/>
                <w:color w:val="000000"/>
                <w:sz w:val="14"/>
                <w:szCs w:val="14"/>
                <w:lang w:eastAsia="sk-SK"/>
              </w:rPr>
              <w:t xml:space="preserve"> N</w:t>
            </w:r>
          </w:p>
        </w:tc>
      </w:tr>
      <w:tr w:rsidR="003A497B" w:rsidRPr="00346A12" w:rsidTr="003E1809">
        <w:trPr>
          <w:trHeight w:hRule="exact" w:val="284"/>
        </w:trPr>
        <w:tc>
          <w:tcPr>
            <w:tcW w:w="1983" w:type="dxa"/>
            <w:tcBorders>
              <w:top w:val="nil"/>
              <w:left w:val="single" w:sz="4" w:space="0" w:color="auto"/>
              <w:bottom w:val="single" w:sz="4" w:space="0" w:color="auto"/>
              <w:right w:val="single" w:sz="4" w:space="0" w:color="auto"/>
            </w:tcBorders>
            <w:shd w:val="clear" w:color="auto" w:fill="auto"/>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Prostriedky ŠR</w:t>
            </w:r>
          </w:p>
        </w:tc>
        <w:tc>
          <w:tcPr>
            <w:tcW w:w="1012" w:type="dxa"/>
            <w:tcBorders>
              <w:top w:val="nil"/>
              <w:left w:val="nil"/>
              <w:bottom w:val="single" w:sz="4" w:space="0" w:color="auto"/>
              <w:right w:val="single" w:sz="4" w:space="0" w:color="auto"/>
            </w:tcBorders>
            <w:shd w:val="clear" w:color="auto" w:fill="auto"/>
            <w:noWrap/>
            <w:vAlign w:val="center"/>
            <w:hideMark/>
          </w:tcPr>
          <w:p w:rsidR="003A497B" w:rsidRPr="00CF1D6B" w:rsidRDefault="003A497B" w:rsidP="003E1809">
            <w:pPr>
              <w:jc w:val="right"/>
              <w:rPr>
                <w:rFonts w:ascii="Times New Roman" w:hAnsi="Times New Roman" w:cs="Times New Roman"/>
                <w:color w:val="000000"/>
                <w:sz w:val="14"/>
                <w:szCs w:val="14"/>
                <w:lang w:eastAsia="sk-SK"/>
              </w:rPr>
            </w:pPr>
            <w:r w:rsidRPr="00CF1D6B">
              <w:rPr>
                <w:rFonts w:ascii="Times New Roman" w:hAnsi="Times New Roman" w:cs="Times New Roman"/>
                <w:color w:val="000000"/>
                <w:sz w:val="14"/>
                <w:szCs w:val="14"/>
              </w:rPr>
              <w:t>950 053 607</w:t>
            </w:r>
          </w:p>
        </w:tc>
        <w:tc>
          <w:tcPr>
            <w:tcW w:w="1012" w:type="dxa"/>
            <w:tcBorders>
              <w:top w:val="nil"/>
              <w:left w:val="nil"/>
              <w:bottom w:val="single" w:sz="4" w:space="0" w:color="auto"/>
              <w:right w:val="single" w:sz="4" w:space="0" w:color="auto"/>
            </w:tcBorders>
            <w:shd w:val="clear" w:color="auto" w:fill="auto"/>
            <w:noWrap/>
            <w:vAlign w:val="center"/>
            <w:hideMark/>
          </w:tcPr>
          <w:p w:rsidR="003A497B" w:rsidRPr="00CF1D6B" w:rsidRDefault="003A497B" w:rsidP="003E1809">
            <w:pPr>
              <w:jc w:val="right"/>
              <w:rPr>
                <w:rFonts w:ascii="Times New Roman" w:hAnsi="Times New Roman" w:cs="Times New Roman"/>
                <w:color w:val="000000"/>
                <w:sz w:val="14"/>
                <w:szCs w:val="14"/>
              </w:rPr>
            </w:pPr>
            <w:r w:rsidRPr="00CF1D6B">
              <w:rPr>
                <w:rFonts w:ascii="Times New Roman" w:hAnsi="Times New Roman" w:cs="Times New Roman"/>
                <w:color w:val="000000"/>
                <w:sz w:val="14"/>
                <w:szCs w:val="14"/>
              </w:rPr>
              <w:t>1 135 161 609</w:t>
            </w:r>
          </w:p>
        </w:tc>
        <w:tc>
          <w:tcPr>
            <w:tcW w:w="1011" w:type="dxa"/>
            <w:tcBorders>
              <w:top w:val="nil"/>
              <w:left w:val="nil"/>
              <w:bottom w:val="single" w:sz="4" w:space="0" w:color="auto"/>
              <w:right w:val="single" w:sz="4" w:space="0" w:color="auto"/>
            </w:tcBorders>
            <w:shd w:val="clear" w:color="auto" w:fill="auto"/>
            <w:noWrap/>
            <w:vAlign w:val="center"/>
            <w:hideMark/>
          </w:tcPr>
          <w:p w:rsidR="003A497B" w:rsidRPr="00CF1D6B" w:rsidRDefault="003A497B" w:rsidP="003E1809">
            <w:pPr>
              <w:jc w:val="right"/>
              <w:rPr>
                <w:rFonts w:ascii="Times New Roman" w:hAnsi="Times New Roman" w:cs="Times New Roman"/>
                <w:color w:val="000000"/>
                <w:sz w:val="14"/>
                <w:szCs w:val="14"/>
              </w:rPr>
            </w:pPr>
            <w:r w:rsidRPr="00CF1D6B">
              <w:rPr>
                <w:rFonts w:ascii="Times New Roman" w:hAnsi="Times New Roman" w:cs="Times New Roman"/>
                <w:color w:val="000000"/>
                <w:sz w:val="14"/>
                <w:szCs w:val="14"/>
              </w:rPr>
              <w:t>880 881 845</w:t>
            </w:r>
          </w:p>
        </w:tc>
        <w:tc>
          <w:tcPr>
            <w:tcW w:w="1011" w:type="dxa"/>
            <w:tcBorders>
              <w:top w:val="nil"/>
              <w:left w:val="nil"/>
              <w:bottom w:val="single" w:sz="4" w:space="0" w:color="auto"/>
              <w:right w:val="single" w:sz="4" w:space="0" w:color="auto"/>
            </w:tcBorders>
            <w:shd w:val="clear" w:color="auto" w:fill="auto"/>
            <w:noWrap/>
            <w:vAlign w:val="center"/>
            <w:hideMark/>
          </w:tcPr>
          <w:p w:rsidR="003A497B" w:rsidRPr="00CF1D6B" w:rsidRDefault="003A497B" w:rsidP="003E1809">
            <w:pPr>
              <w:jc w:val="right"/>
              <w:rPr>
                <w:rFonts w:ascii="Times New Roman" w:hAnsi="Times New Roman" w:cs="Times New Roman"/>
                <w:color w:val="000000"/>
                <w:sz w:val="14"/>
                <w:szCs w:val="14"/>
              </w:rPr>
            </w:pPr>
            <w:r w:rsidRPr="00CF1D6B">
              <w:rPr>
                <w:rFonts w:ascii="Times New Roman" w:hAnsi="Times New Roman" w:cs="Times New Roman"/>
                <w:color w:val="000000"/>
                <w:sz w:val="14"/>
                <w:szCs w:val="14"/>
              </w:rPr>
              <w:t>942 973 618</w:t>
            </w:r>
          </w:p>
        </w:tc>
        <w:tc>
          <w:tcPr>
            <w:tcW w:w="1011" w:type="dxa"/>
            <w:tcBorders>
              <w:top w:val="nil"/>
              <w:left w:val="nil"/>
              <w:bottom w:val="single" w:sz="4" w:space="0" w:color="auto"/>
              <w:right w:val="single" w:sz="4" w:space="0" w:color="auto"/>
            </w:tcBorders>
            <w:shd w:val="clear" w:color="auto" w:fill="auto"/>
            <w:noWrap/>
            <w:vAlign w:val="center"/>
            <w:hideMark/>
          </w:tcPr>
          <w:p w:rsidR="003A497B" w:rsidRPr="00C87130" w:rsidRDefault="003A497B" w:rsidP="003E1809">
            <w:pPr>
              <w:jc w:val="right"/>
              <w:rPr>
                <w:rFonts w:ascii="Times New Roman" w:hAnsi="Times New Roman" w:cs="Times New Roman"/>
                <w:color w:val="000000"/>
                <w:sz w:val="14"/>
                <w:szCs w:val="14"/>
                <w:lang w:eastAsia="sk-SK"/>
              </w:rPr>
            </w:pPr>
            <w:r w:rsidRPr="00C87130">
              <w:rPr>
                <w:rFonts w:ascii="Times New Roman" w:hAnsi="Times New Roman" w:cs="Times New Roman"/>
                <w:color w:val="000000"/>
                <w:sz w:val="14"/>
                <w:szCs w:val="14"/>
              </w:rPr>
              <w:t>885 408 913</w:t>
            </w:r>
          </w:p>
        </w:tc>
        <w:tc>
          <w:tcPr>
            <w:tcW w:w="1011" w:type="dxa"/>
            <w:tcBorders>
              <w:top w:val="nil"/>
              <w:left w:val="nil"/>
              <w:bottom w:val="single" w:sz="4" w:space="0" w:color="auto"/>
              <w:right w:val="single" w:sz="4" w:space="0" w:color="auto"/>
            </w:tcBorders>
            <w:shd w:val="clear" w:color="auto" w:fill="auto"/>
            <w:noWrap/>
            <w:vAlign w:val="center"/>
            <w:hideMark/>
          </w:tcPr>
          <w:p w:rsidR="003A497B" w:rsidRPr="00C87130" w:rsidRDefault="003A497B" w:rsidP="003E1809">
            <w:pPr>
              <w:jc w:val="right"/>
              <w:rPr>
                <w:rFonts w:ascii="Times New Roman" w:hAnsi="Times New Roman" w:cs="Times New Roman"/>
                <w:color w:val="000000"/>
                <w:sz w:val="14"/>
                <w:szCs w:val="14"/>
              </w:rPr>
            </w:pPr>
            <w:r w:rsidRPr="00C87130">
              <w:rPr>
                <w:rFonts w:ascii="Times New Roman" w:hAnsi="Times New Roman" w:cs="Times New Roman"/>
                <w:color w:val="000000"/>
                <w:sz w:val="14"/>
                <w:szCs w:val="14"/>
              </w:rPr>
              <w:t>908 035 452</w:t>
            </w:r>
          </w:p>
        </w:tc>
        <w:tc>
          <w:tcPr>
            <w:tcW w:w="1011" w:type="dxa"/>
            <w:tcBorders>
              <w:top w:val="nil"/>
              <w:left w:val="nil"/>
              <w:bottom w:val="single" w:sz="4" w:space="0" w:color="auto"/>
              <w:right w:val="single" w:sz="4" w:space="0" w:color="auto"/>
            </w:tcBorders>
            <w:shd w:val="clear" w:color="auto" w:fill="auto"/>
            <w:noWrap/>
            <w:vAlign w:val="center"/>
            <w:hideMark/>
          </w:tcPr>
          <w:p w:rsidR="003A497B" w:rsidRPr="00C87130" w:rsidRDefault="003A497B" w:rsidP="003E1809">
            <w:pPr>
              <w:jc w:val="right"/>
              <w:rPr>
                <w:rFonts w:ascii="Times New Roman" w:hAnsi="Times New Roman" w:cs="Times New Roman"/>
                <w:color w:val="000000"/>
                <w:sz w:val="14"/>
                <w:szCs w:val="14"/>
              </w:rPr>
            </w:pPr>
            <w:r w:rsidRPr="00C87130">
              <w:rPr>
                <w:rFonts w:ascii="Times New Roman" w:hAnsi="Times New Roman" w:cs="Times New Roman"/>
                <w:color w:val="000000"/>
                <w:sz w:val="14"/>
                <w:szCs w:val="14"/>
              </w:rPr>
              <w:t>938 996 877</w:t>
            </w:r>
          </w:p>
        </w:tc>
      </w:tr>
      <w:tr w:rsidR="003A497B" w:rsidRPr="00346A12" w:rsidTr="003E1809">
        <w:trPr>
          <w:trHeight w:hRule="exact" w:val="284"/>
        </w:trPr>
        <w:tc>
          <w:tcPr>
            <w:tcW w:w="1983" w:type="dxa"/>
            <w:tcBorders>
              <w:top w:val="nil"/>
              <w:left w:val="single" w:sz="4" w:space="0" w:color="auto"/>
              <w:bottom w:val="single" w:sz="4" w:space="0" w:color="auto"/>
              <w:right w:val="single" w:sz="4" w:space="0" w:color="auto"/>
            </w:tcBorders>
            <w:shd w:val="clear" w:color="auto" w:fill="auto"/>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Prostriedky EÚ</w:t>
            </w:r>
          </w:p>
        </w:tc>
        <w:tc>
          <w:tcPr>
            <w:tcW w:w="1012" w:type="dxa"/>
            <w:tcBorders>
              <w:top w:val="nil"/>
              <w:left w:val="nil"/>
              <w:bottom w:val="single" w:sz="4" w:space="0" w:color="auto"/>
              <w:right w:val="single" w:sz="4" w:space="0" w:color="auto"/>
            </w:tcBorders>
            <w:shd w:val="clear" w:color="auto" w:fill="auto"/>
            <w:noWrap/>
            <w:vAlign w:val="center"/>
            <w:hideMark/>
          </w:tcPr>
          <w:p w:rsidR="003A497B" w:rsidRPr="00CF1D6B" w:rsidRDefault="003A497B" w:rsidP="003E1809">
            <w:pPr>
              <w:jc w:val="right"/>
              <w:rPr>
                <w:rFonts w:ascii="Times New Roman" w:hAnsi="Times New Roman" w:cs="Times New Roman"/>
                <w:color w:val="000000"/>
                <w:sz w:val="14"/>
                <w:szCs w:val="14"/>
              </w:rPr>
            </w:pPr>
            <w:r w:rsidRPr="00CF1D6B">
              <w:rPr>
                <w:rFonts w:ascii="Times New Roman" w:hAnsi="Times New Roman" w:cs="Times New Roman"/>
                <w:color w:val="000000"/>
                <w:sz w:val="14"/>
                <w:szCs w:val="14"/>
              </w:rPr>
              <w:t>300 250 394</w:t>
            </w:r>
          </w:p>
        </w:tc>
        <w:tc>
          <w:tcPr>
            <w:tcW w:w="1012" w:type="dxa"/>
            <w:tcBorders>
              <w:top w:val="nil"/>
              <w:left w:val="nil"/>
              <w:bottom w:val="single" w:sz="4" w:space="0" w:color="auto"/>
              <w:right w:val="single" w:sz="4" w:space="0" w:color="auto"/>
            </w:tcBorders>
            <w:shd w:val="clear" w:color="auto" w:fill="auto"/>
            <w:noWrap/>
            <w:vAlign w:val="center"/>
            <w:hideMark/>
          </w:tcPr>
          <w:p w:rsidR="003A497B" w:rsidRPr="00CF1D6B" w:rsidRDefault="003A497B" w:rsidP="003E1809">
            <w:pPr>
              <w:jc w:val="right"/>
              <w:rPr>
                <w:rFonts w:ascii="Times New Roman" w:hAnsi="Times New Roman" w:cs="Times New Roman"/>
                <w:color w:val="000000"/>
                <w:sz w:val="14"/>
                <w:szCs w:val="14"/>
              </w:rPr>
            </w:pPr>
            <w:r w:rsidRPr="00CF1D6B">
              <w:rPr>
                <w:rFonts w:ascii="Times New Roman" w:hAnsi="Times New Roman" w:cs="Times New Roman"/>
                <w:color w:val="000000"/>
                <w:sz w:val="14"/>
                <w:szCs w:val="14"/>
              </w:rPr>
              <w:t>333 115 402</w:t>
            </w:r>
          </w:p>
        </w:tc>
        <w:tc>
          <w:tcPr>
            <w:tcW w:w="1011" w:type="dxa"/>
            <w:tcBorders>
              <w:top w:val="nil"/>
              <w:left w:val="nil"/>
              <w:bottom w:val="single" w:sz="4" w:space="0" w:color="auto"/>
              <w:right w:val="single" w:sz="4" w:space="0" w:color="auto"/>
            </w:tcBorders>
            <w:shd w:val="clear" w:color="auto" w:fill="auto"/>
            <w:noWrap/>
            <w:vAlign w:val="center"/>
            <w:hideMark/>
          </w:tcPr>
          <w:p w:rsidR="003A497B" w:rsidRPr="00CF1D6B" w:rsidRDefault="003A497B" w:rsidP="003E1809">
            <w:pPr>
              <w:jc w:val="right"/>
              <w:rPr>
                <w:rFonts w:ascii="Times New Roman" w:hAnsi="Times New Roman" w:cs="Times New Roman"/>
                <w:color w:val="000000"/>
                <w:sz w:val="14"/>
                <w:szCs w:val="14"/>
              </w:rPr>
            </w:pPr>
            <w:r w:rsidRPr="00CF1D6B">
              <w:rPr>
                <w:rFonts w:ascii="Times New Roman" w:hAnsi="Times New Roman" w:cs="Times New Roman"/>
                <w:color w:val="000000"/>
                <w:sz w:val="14"/>
                <w:szCs w:val="14"/>
              </w:rPr>
              <w:t>0</w:t>
            </w:r>
          </w:p>
        </w:tc>
        <w:tc>
          <w:tcPr>
            <w:tcW w:w="1011" w:type="dxa"/>
            <w:tcBorders>
              <w:top w:val="nil"/>
              <w:left w:val="nil"/>
              <w:bottom w:val="single" w:sz="4" w:space="0" w:color="auto"/>
              <w:right w:val="single" w:sz="4" w:space="0" w:color="auto"/>
            </w:tcBorders>
            <w:shd w:val="clear" w:color="auto" w:fill="auto"/>
            <w:noWrap/>
            <w:vAlign w:val="center"/>
            <w:hideMark/>
          </w:tcPr>
          <w:p w:rsidR="003A497B" w:rsidRPr="00633340" w:rsidRDefault="003A497B" w:rsidP="003E1809">
            <w:pPr>
              <w:jc w:val="right"/>
              <w:rPr>
                <w:rFonts w:ascii="Times New Roman" w:hAnsi="Times New Roman" w:cs="Times New Roman"/>
                <w:color w:val="000000"/>
                <w:sz w:val="14"/>
                <w:szCs w:val="14"/>
                <w:lang w:eastAsia="sk-SK"/>
              </w:rPr>
            </w:pPr>
            <w:r w:rsidRPr="00633340">
              <w:rPr>
                <w:rFonts w:ascii="Times New Roman" w:hAnsi="Times New Roman" w:cs="Times New Roman"/>
                <w:color w:val="000000"/>
                <w:sz w:val="14"/>
                <w:szCs w:val="14"/>
              </w:rPr>
              <w:t>299 113 028</w:t>
            </w:r>
          </w:p>
        </w:tc>
        <w:tc>
          <w:tcPr>
            <w:tcW w:w="1011" w:type="dxa"/>
            <w:tcBorders>
              <w:top w:val="nil"/>
              <w:left w:val="nil"/>
              <w:bottom w:val="single" w:sz="4" w:space="0" w:color="auto"/>
              <w:right w:val="single" w:sz="4" w:space="0" w:color="auto"/>
            </w:tcBorders>
            <w:shd w:val="clear" w:color="auto" w:fill="auto"/>
            <w:noWrap/>
            <w:vAlign w:val="center"/>
            <w:hideMark/>
          </w:tcPr>
          <w:p w:rsidR="003A497B" w:rsidRPr="00C87130" w:rsidRDefault="003A497B" w:rsidP="003E1809">
            <w:pPr>
              <w:jc w:val="right"/>
              <w:rPr>
                <w:rFonts w:ascii="Times New Roman" w:hAnsi="Times New Roman" w:cs="Times New Roman"/>
                <w:color w:val="000000"/>
                <w:sz w:val="14"/>
                <w:szCs w:val="14"/>
              </w:rPr>
            </w:pPr>
            <w:r w:rsidRPr="00C87130">
              <w:rPr>
                <w:rFonts w:ascii="Times New Roman" w:hAnsi="Times New Roman" w:cs="Times New Roman"/>
                <w:color w:val="000000"/>
                <w:sz w:val="14"/>
                <w:szCs w:val="14"/>
              </w:rPr>
              <w:t>28 510 300</w:t>
            </w:r>
          </w:p>
        </w:tc>
        <w:tc>
          <w:tcPr>
            <w:tcW w:w="1011" w:type="dxa"/>
            <w:tcBorders>
              <w:top w:val="nil"/>
              <w:left w:val="nil"/>
              <w:bottom w:val="single" w:sz="4" w:space="0" w:color="auto"/>
              <w:right w:val="single" w:sz="4" w:space="0" w:color="auto"/>
            </w:tcBorders>
            <w:shd w:val="clear" w:color="auto" w:fill="auto"/>
            <w:noWrap/>
            <w:vAlign w:val="center"/>
            <w:hideMark/>
          </w:tcPr>
          <w:p w:rsidR="003A497B" w:rsidRPr="00C87130" w:rsidRDefault="003A497B" w:rsidP="003E1809">
            <w:pPr>
              <w:jc w:val="right"/>
              <w:rPr>
                <w:rFonts w:ascii="Times New Roman" w:hAnsi="Times New Roman" w:cs="Times New Roman"/>
                <w:color w:val="000000"/>
                <w:sz w:val="14"/>
                <w:szCs w:val="14"/>
              </w:rPr>
            </w:pPr>
            <w:r w:rsidRPr="00C87130">
              <w:rPr>
                <w:rFonts w:ascii="Times New Roman" w:hAnsi="Times New Roman" w:cs="Times New Roman"/>
                <w:color w:val="000000"/>
                <w:sz w:val="14"/>
                <w:szCs w:val="14"/>
              </w:rPr>
              <w:t>278 995 820</w:t>
            </w:r>
          </w:p>
        </w:tc>
        <w:tc>
          <w:tcPr>
            <w:tcW w:w="1011" w:type="dxa"/>
            <w:tcBorders>
              <w:top w:val="nil"/>
              <w:left w:val="nil"/>
              <w:bottom w:val="single" w:sz="4" w:space="0" w:color="auto"/>
              <w:right w:val="single" w:sz="4" w:space="0" w:color="auto"/>
            </w:tcBorders>
            <w:shd w:val="clear" w:color="auto" w:fill="auto"/>
            <w:noWrap/>
            <w:vAlign w:val="center"/>
            <w:hideMark/>
          </w:tcPr>
          <w:p w:rsidR="003A497B" w:rsidRPr="00C87130" w:rsidRDefault="003A497B" w:rsidP="003E1809">
            <w:pPr>
              <w:jc w:val="right"/>
              <w:rPr>
                <w:rFonts w:ascii="Times New Roman" w:hAnsi="Times New Roman" w:cs="Times New Roman"/>
                <w:color w:val="000000"/>
                <w:sz w:val="14"/>
                <w:szCs w:val="14"/>
              </w:rPr>
            </w:pPr>
            <w:r w:rsidRPr="00C87130">
              <w:rPr>
                <w:rFonts w:ascii="Times New Roman" w:hAnsi="Times New Roman" w:cs="Times New Roman"/>
                <w:color w:val="000000"/>
                <w:sz w:val="14"/>
                <w:szCs w:val="14"/>
              </w:rPr>
              <w:t>291 598 614</w:t>
            </w:r>
          </w:p>
        </w:tc>
      </w:tr>
      <w:tr w:rsidR="003A497B" w:rsidRPr="00346A12" w:rsidTr="003E1809">
        <w:trPr>
          <w:trHeight w:hRule="exact" w:val="284"/>
        </w:trPr>
        <w:tc>
          <w:tcPr>
            <w:tcW w:w="1983" w:type="dxa"/>
            <w:tcBorders>
              <w:top w:val="nil"/>
              <w:left w:val="single" w:sz="4" w:space="0" w:color="auto"/>
              <w:bottom w:val="single" w:sz="4" w:space="0" w:color="auto"/>
              <w:right w:val="single" w:sz="4" w:space="0" w:color="auto"/>
            </w:tcBorders>
            <w:shd w:val="clear" w:color="auto" w:fill="auto"/>
            <w:noWrap/>
            <w:vAlign w:val="bottom"/>
            <w:hideMark/>
          </w:tcPr>
          <w:p w:rsidR="003A497B" w:rsidRPr="00346A12" w:rsidRDefault="003A497B" w:rsidP="003E1809">
            <w:pPr>
              <w:rPr>
                <w:rFonts w:ascii="Times New Roman" w:hAnsi="Times New Roman" w:cs="Times New Roman"/>
                <w:color w:val="000000"/>
                <w:sz w:val="14"/>
                <w:szCs w:val="14"/>
                <w:lang w:eastAsia="sk-SK"/>
              </w:rPr>
            </w:pPr>
            <w:r w:rsidRPr="00346A12">
              <w:rPr>
                <w:rFonts w:ascii="Times New Roman" w:hAnsi="Times New Roman" w:cs="Times New Roman"/>
                <w:color w:val="000000"/>
                <w:sz w:val="14"/>
                <w:szCs w:val="14"/>
                <w:lang w:eastAsia="sk-SK"/>
              </w:rPr>
              <w:t>Spolufinancovanie</w:t>
            </w:r>
          </w:p>
        </w:tc>
        <w:tc>
          <w:tcPr>
            <w:tcW w:w="1012" w:type="dxa"/>
            <w:tcBorders>
              <w:top w:val="nil"/>
              <w:left w:val="nil"/>
              <w:bottom w:val="single" w:sz="4" w:space="0" w:color="auto"/>
              <w:right w:val="single" w:sz="4" w:space="0" w:color="auto"/>
            </w:tcBorders>
            <w:shd w:val="clear" w:color="auto" w:fill="auto"/>
            <w:noWrap/>
            <w:vAlign w:val="center"/>
            <w:hideMark/>
          </w:tcPr>
          <w:p w:rsidR="003A497B" w:rsidRPr="00CF1D6B" w:rsidRDefault="003A497B" w:rsidP="003E1809">
            <w:pPr>
              <w:jc w:val="right"/>
              <w:rPr>
                <w:rFonts w:ascii="Times New Roman" w:hAnsi="Times New Roman" w:cs="Times New Roman"/>
                <w:color w:val="000000"/>
                <w:sz w:val="14"/>
                <w:szCs w:val="14"/>
              </w:rPr>
            </w:pPr>
            <w:r w:rsidRPr="00CF1D6B">
              <w:rPr>
                <w:rFonts w:ascii="Times New Roman" w:hAnsi="Times New Roman" w:cs="Times New Roman"/>
                <w:color w:val="000000"/>
                <w:sz w:val="14"/>
                <w:szCs w:val="14"/>
              </w:rPr>
              <w:t>50 934 509</w:t>
            </w:r>
          </w:p>
        </w:tc>
        <w:tc>
          <w:tcPr>
            <w:tcW w:w="1012" w:type="dxa"/>
            <w:tcBorders>
              <w:top w:val="nil"/>
              <w:left w:val="nil"/>
              <w:bottom w:val="single" w:sz="4" w:space="0" w:color="auto"/>
              <w:right w:val="single" w:sz="4" w:space="0" w:color="auto"/>
            </w:tcBorders>
            <w:shd w:val="clear" w:color="auto" w:fill="auto"/>
            <w:noWrap/>
            <w:vAlign w:val="center"/>
            <w:hideMark/>
          </w:tcPr>
          <w:p w:rsidR="003A497B" w:rsidRPr="00CF1D6B" w:rsidRDefault="003A497B" w:rsidP="003E1809">
            <w:pPr>
              <w:jc w:val="right"/>
              <w:rPr>
                <w:rFonts w:ascii="Times New Roman" w:hAnsi="Times New Roman" w:cs="Times New Roman"/>
                <w:color w:val="000000"/>
                <w:sz w:val="14"/>
                <w:szCs w:val="14"/>
              </w:rPr>
            </w:pPr>
            <w:r w:rsidRPr="00CF1D6B">
              <w:rPr>
                <w:rFonts w:ascii="Times New Roman" w:hAnsi="Times New Roman" w:cs="Times New Roman"/>
                <w:color w:val="000000"/>
                <w:sz w:val="14"/>
                <w:szCs w:val="14"/>
              </w:rPr>
              <w:t>55 793 645</w:t>
            </w:r>
          </w:p>
        </w:tc>
        <w:tc>
          <w:tcPr>
            <w:tcW w:w="1011" w:type="dxa"/>
            <w:tcBorders>
              <w:top w:val="nil"/>
              <w:left w:val="nil"/>
              <w:bottom w:val="single" w:sz="4" w:space="0" w:color="auto"/>
              <w:right w:val="single" w:sz="4" w:space="0" w:color="auto"/>
            </w:tcBorders>
            <w:shd w:val="clear" w:color="auto" w:fill="auto"/>
            <w:noWrap/>
            <w:vAlign w:val="center"/>
            <w:hideMark/>
          </w:tcPr>
          <w:p w:rsidR="003A497B" w:rsidRPr="00CF1D6B" w:rsidRDefault="003A497B" w:rsidP="003E1809">
            <w:pPr>
              <w:jc w:val="right"/>
              <w:rPr>
                <w:rFonts w:ascii="Times New Roman" w:hAnsi="Times New Roman" w:cs="Times New Roman"/>
                <w:color w:val="000000"/>
                <w:sz w:val="14"/>
                <w:szCs w:val="14"/>
              </w:rPr>
            </w:pPr>
            <w:r w:rsidRPr="00CF1D6B">
              <w:rPr>
                <w:rFonts w:ascii="Times New Roman" w:hAnsi="Times New Roman" w:cs="Times New Roman"/>
                <w:color w:val="000000"/>
                <w:sz w:val="14"/>
                <w:szCs w:val="14"/>
              </w:rPr>
              <w:t>0</w:t>
            </w:r>
          </w:p>
        </w:tc>
        <w:tc>
          <w:tcPr>
            <w:tcW w:w="1011" w:type="dxa"/>
            <w:tcBorders>
              <w:top w:val="nil"/>
              <w:left w:val="nil"/>
              <w:bottom w:val="single" w:sz="4" w:space="0" w:color="auto"/>
              <w:right w:val="single" w:sz="4" w:space="0" w:color="auto"/>
            </w:tcBorders>
            <w:shd w:val="clear" w:color="auto" w:fill="auto"/>
            <w:noWrap/>
            <w:vAlign w:val="center"/>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44 433 028</w:t>
            </w:r>
          </w:p>
        </w:tc>
        <w:tc>
          <w:tcPr>
            <w:tcW w:w="1011" w:type="dxa"/>
            <w:tcBorders>
              <w:top w:val="nil"/>
              <w:left w:val="nil"/>
              <w:bottom w:val="single" w:sz="4" w:space="0" w:color="auto"/>
              <w:right w:val="single" w:sz="4" w:space="0" w:color="auto"/>
            </w:tcBorders>
            <w:shd w:val="clear" w:color="auto" w:fill="auto"/>
            <w:noWrap/>
            <w:vAlign w:val="center"/>
            <w:hideMark/>
          </w:tcPr>
          <w:p w:rsidR="003A497B" w:rsidRPr="00C87130" w:rsidRDefault="003A497B" w:rsidP="003E1809">
            <w:pPr>
              <w:jc w:val="right"/>
              <w:rPr>
                <w:rFonts w:ascii="Times New Roman" w:hAnsi="Times New Roman" w:cs="Times New Roman"/>
                <w:color w:val="000000"/>
                <w:sz w:val="14"/>
                <w:szCs w:val="14"/>
              </w:rPr>
            </w:pPr>
            <w:r w:rsidRPr="00C87130">
              <w:rPr>
                <w:rFonts w:ascii="Times New Roman" w:hAnsi="Times New Roman" w:cs="Times New Roman"/>
                <w:color w:val="000000"/>
                <w:sz w:val="14"/>
                <w:szCs w:val="14"/>
              </w:rPr>
              <w:t>6 974 557</w:t>
            </w:r>
          </w:p>
        </w:tc>
        <w:tc>
          <w:tcPr>
            <w:tcW w:w="1011" w:type="dxa"/>
            <w:tcBorders>
              <w:top w:val="nil"/>
              <w:left w:val="nil"/>
              <w:bottom w:val="single" w:sz="4" w:space="0" w:color="auto"/>
              <w:right w:val="single" w:sz="4" w:space="0" w:color="auto"/>
            </w:tcBorders>
            <w:shd w:val="clear" w:color="auto" w:fill="auto"/>
            <w:noWrap/>
            <w:vAlign w:val="center"/>
            <w:hideMark/>
          </w:tcPr>
          <w:p w:rsidR="003A497B" w:rsidRPr="00C87130" w:rsidRDefault="003A497B" w:rsidP="003E1809">
            <w:pPr>
              <w:jc w:val="right"/>
              <w:rPr>
                <w:rFonts w:ascii="Times New Roman" w:hAnsi="Times New Roman" w:cs="Times New Roman"/>
                <w:color w:val="000000"/>
                <w:sz w:val="14"/>
                <w:szCs w:val="14"/>
              </w:rPr>
            </w:pPr>
            <w:r w:rsidRPr="00C87130">
              <w:rPr>
                <w:rFonts w:ascii="Times New Roman" w:hAnsi="Times New Roman" w:cs="Times New Roman"/>
                <w:color w:val="000000"/>
                <w:sz w:val="14"/>
                <w:szCs w:val="14"/>
              </w:rPr>
              <w:t>44 376 555</w:t>
            </w:r>
          </w:p>
        </w:tc>
        <w:tc>
          <w:tcPr>
            <w:tcW w:w="1011" w:type="dxa"/>
            <w:tcBorders>
              <w:top w:val="nil"/>
              <w:left w:val="nil"/>
              <w:bottom w:val="single" w:sz="4" w:space="0" w:color="auto"/>
              <w:right w:val="single" w:sz="4" w:space="0" w:color="auto"/>
            </w:tcBorders>
            <w:shd w:val="clear" w:color="auto" w:fill="auto"/>
            <w:noWrap/>
            <w:vAlign w:val="center"/>
            <w:hideMark/>
          </w:tcPr>
          <w:p w:rsidR="003A497B" w:rsidRPr="00C87130" w:rsidRDefault="003A497B" w:rsidP="003E1809">
            <w:pPr>
              <w:jc w:val="right"/>
              <w:rPr>
                <w:rFonts w:ascii="Times New Roman" w:hAnsi="Times New Roman" w:cs="Times New Roman"/>
                <w:color w:val="000000"/>
                <w:sz w:val="14"/>
                <w:szCs w:val="14"/>
              </w:rPr>
            </w:pPr>
            <w:r w:rsidRPr="00C87130">
              <w:rPr>
                <w:rFonts w:ascii="Times New Roman" w:hAnsi="Times New Roman" w:cs="Times New Roman"/>
                <w:color w:val="000000"/>
                <w:sz w:val="14"/>
                <w:szCs w:val="14"/>
              </w:rPr>
              <w:t>51 711 027</w:t>
            </w:r>
          </w:p>
        </w:tc>
      </w:tr>
      <w:tr w:rsidR="003A497B" w:rsidRPr="00E5587A" w:rsidTr="003E1809">
        <w:trPr>
          <w:trHeight w:hRule="exact" w:val="284"/>
        </w:trPr>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A497B" w:rsidRPr="00346A12" w:rsidRDefault="003A497B" w:rsidP="003E1809">
            <w:pP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Spolu </w:t>
            </w:r>
          </w:p>
        </w:tc>
        <w:tc>
          <w:tcPr>
            <w:tcW w:w="101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A497B" w:rsidRPr="00CF1D6B" w:rsidRDefault="003A497B" w:rsidP="003E1809">
            <w:pPr>
              <w:jc w:val="right"/>
              <w:rPr>
                <w:rFonts w:ascii="Times New Roman" w:hAnsi="Times New Roman" w:cs="Times New Roman"/>
                <w:b/>
                <w:bCs/>
                <w:color w:val="000000"/>
                <w:sz w:val="14"/>
                <w:szCs w:val="14"/>
              </w:rPr>
            </w:pPr>
            <w:r w:rsidRPr="00CF1D6B">
              <w:rPr>
                <w:rFonts w:ascii="Times New Roman" w:hAnsi="Times New Roman" w:cs="Times New Roman"/>
                <w:b/>
                <w:bCs/>
                <w:color w:val="000000"/>
                <w:sz w:val="14"/>
                <w:szCs w:val="14"/>
              </w:rPr>
              <w:t>1 301 238 510</w:t>
            </w:r>
          </w:p>
        </w:tc>
        <w:tc>
          <w:tcPr>
            <w:tcW w:w="101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A497B" w:rsidRPr="00CF1D6B" w:rsidRDefault="003A497B" w:rsidP="003E1809">
            <w:pPr>
              <w:jc w:val="right"/>
              <w:rPr>
                <w:rFonts w:ascii="Times New Roman" w:hAnsi="Times New Roman" w:cs="Times New Roman"/>
                <w:b/>
                <w:bCs/>
                <w:color w:val="000000"/>
                <w:sz w:val="14"/>
                <w:szCs w:val="14"/>
              </w:rPr>
            </w:pPr>
            <w:r w:rsidRPr="00CF1D6B">
              <w:rPr>
                <w:rFonts w:ascii="Times New Roman" w:hAnsi="Times New Roman" w:cs="Times New Roman"/>
                <w:b/>
                <w:bCs/>
                <w:color w:val="000000"/>
                <w:sz w:val="14"/>
                <w:szCs w:val="14"/>
              </w:rPr>
              <w:t>1 524 070 656</w:t>
            </w:r>
          </w:p>
        </w:tc>
        <w:tc>
          <w:tcPr>
            <w:tcW w:w="101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A497B" w:rsidRPr="00CF1D6B" w:rsidRDefault="003A497B" w:rsidP="003E1809">
            <w:pPr>
              <w:jc w:val="right"/>
              <w:rPr>
                <w:rFonts w:ascii="Times New Roman" w:hAnsi="Times New Roman" w:cs="Times New Roman"/>
                <w:b/>
                <w:bCs/>
                <w:color w:val="000000"/>
                <w:sz w:val="14"/>
                <w:szCs w:val="14"/>
              </w:rPr>
            </w:pPr>
            <w:r w:rsidRPr="00CF1D6B">
              <w:rPr>
                <w:rFonts w:ascii="Times New Roman" w:hAnsi="Times New Roman" w:cs="Times New Roman"/>
                <w:b/>
                <w:bCs/>
                <w:color w:val="000000"/>
                <w:sz w:val="14"/>
                <w:szCs w:val="14"/>
              </w:rPr>
              <w:t>880 881 845</w:t>
            </w:r>
          </w:p>
        </w:tc>
        <w:tc>
          <w:tcPr>
            <w:tcW w:w="101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A497B" w:rsidRPr="00633340" w:rsidRDefault="003A497B" w:rsidP="003E1809">
            <w:pPr>
              <w:jc w:val="right"/>
              <w:rPr>
                <w:rFonts w:ascii="Times New Roman" w:hAnsi="Times New Roman" w:cs="Times New Roman"/>
                <w:b/>
                <w:bCs/>
                <w:color w:val="000000"/>
                <w:sz w:val="14"/>
                <w:szCs w:val="14"/>
              </w:rPr>
            </w:pPr>
            <w:r w:rsidRPr="00633340">
              <w:rPr>
                <w:rFonts w:ascii="Times New Roman" w:hAnsi="Times New Roman" w:cs="Times New Roman"/>
                <w:b/>
                <w:bCs/>
                <w:color w:val="000000"/>
                <w:sz w:val="14"/>
                <w:szCs w:val="14"/>
              </w:rPr>
              <w:t>1 286 519 674</w:t>
            </w:r>
          </w:p>
        </w:tc>
        <w:tc>
          <w:tcPr>
            <w:tcW w:w="101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A497B" w:rsidRPr="00C87130" w:rsidRDefault="003A497B" w:rsidP="003E1809">
            <w:pPr>
              <w:jc w:val="right"/>
              <w:rPr>
                <w:rFonts w:ascii="Times New Roman" w:hAnsi="Times New Roman" w:cs="Times New Roman"/>
                <w:b/>
                <w:bCs/>
                <w:color w:val="000000"/>
                <w:sz w:val="14"/>
                <w:szCs w:val="14"/>
              </w:rPr>
            </w:pPr>
            <w:r w:rsidRPr="00C87130">
              <w:rPr>
                <w:rFonts w:ascii="Times New Roman" w:hAnsi="Times New Roman" w:cs="Times New Roman"/>
                <w:b/>
                <w:bCs/>
                <w:color w:val="000000"/>
                <w:sz w:val="14"/>
                <w:szCs w:val="14"/>
              </w:rPr>
              <w:t>920 893 770</w:t>
            </w:r>
          </w:p>
        </w:tc>
        <w:tc>
          <w:tcPr>
            <w:tcW w:w="101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A497B" w:rsidRPr="00C87130" w:rsidRDefault="003A497B" w:rsidP="003E1809">
            <w:pPr>
              <w:jc w:val="right"/>
              <w:rPr>
                <w:rFonts w:ascii="Times New Roman" w:hAnsi="Times New Roman" w:cs="Times New Roman"/>
                <w:b/>
                <w:bCs/>
                <w:color w:val="000000"/>
                <w:sz w:val="14"/>
                <w:szCs w:val="14"/>
              </w:rPr>
            </w:pPr>
            <w:r w:rsidRPr="00C87130">
              <w:rPr>
                <w:rFonts w:ascii="Times New Roman" w:hAnsi="Times New Roman" w:cs="Times New Roman"/>
                <w:b/>
                <w:bCs/>
                <w:color w:val="000000"/>
                <w:sz w:val="14"/>
                <w:szCs w:val="14"/>
              </w:rPr>
              <w:t>1 231 407 827</w:t>
            </w:r>
          </w:p>
        </w:tc>
        <w:tc>
          <w:tcPr>
            <w:tcW w:w="101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A497B" w:rsidRPr="00C87130" w:rsidRDefault="003A497B" w:rsidP="003E1809">
            <w:pPr>
              <w:jc w:val="right"/>
              <w:rPr>
                <w:rFonts w:ascii="Times New Roman" w:hAnsi="Times New Roman" w:cs="Times New Roman"/>
                <w:b/>
                <w:bCs/>
                <w:color w:val="000000"/>
                <w:sz w:val="14"/>
                <w:szCs w:val="14"/>
              </w:rPr>
            </w:pPr>
            <w:r w:rsidRPr="00C87130">
              <w:rPr>
                <w:rFonts w:ascii="Times New Roman" w:hAnsi="Times New Roman" w:cs="Times New Roman"/>
                <w:b/>
                <w:bCs/>
                <w:color w:val="000000"/>
                <w:sz w:val="14"/>
                <w:szCs w:val="14"/>
              </w:rPr>
              <w:t>1 282 306 518</w:t>
            </w:r>
          </w:p>
        </w:tc>
      </w:tr>
    </w:tbl>
    <w:p w:rsidR="003A497B" w:rsidRDefault="003A497B" w:rsidP="003A497B">
      <w:pPr>
        <w:jc w:val="both"/>
        <w:rPr>
          <w:rFonts w:ascii="Times New Roman" w:hAnsi="Times New Roman" w:cs="Times New Roman"/>
          <w:highlight w:val="yellow"/>
        </w:rPr>
      </w:pPr>
    </w:p>
    <w:p w:rsidR="003A497B" w:rsidRDefault="003A497B" w:rsidP="003A497B">
      <w:pPr>
        <w:jc w:val="both"/>
        <w:rPr>
          <w:rFonts w:ascii="Times New Roman" w:hAnsi="Times New Roman" w:cs="Times New Roman"/>
          <w:i/>
          <w:u w:val="single"/>
        </w:rPr>
      </w:pPr>
      <w:r w:rsidRPr="00DE0B02">
        <w:rPr>
          <w:rFonts w:ascii="Times New Roman" w:hAnsi="Times New Roman" w:cs="Times New Roman"/>
          <w:i/>
          <w:u w:val="single"/>
        </w:rPr>
        <w:lastRenderedPageBreak/>
        <w:t>Operačný program Doprava a Operačný program Integrovaná infraštruktúra</w:t>
      </w:r>
    </w:p>
    <w:p w:rsidR="003A497B" w:rsidRDefault="003A497B" w:rsidP="003A497B">
      <w:pPr>
        <w:jc w:val="both"/>
        <w:rPr>
          <w:rFonts w:ascii="Times New Roman" w:hAnsi="Times New Roman" w:cs="Times New Roman"/>
          <w:highlight w:val="yellow"/>
        </w:rPr>
      </w:pPr>
    </w:p>
    <w:tbl>
      <w:tblPr>
        <w:tblW w:w="5000" w:type="pct"/>
        <w:tblLayout w:type="fixed"/>
        <w:tblCellMar>
          <w:left w:w="70" w:type="dxa"/>
          <w:right w:w="70" w:type="dxa"/>
        </w:tblCellMar>
        <w:tblLook w:val="04A0" w:firstRow="1" w:lastRow="0" w:firstColumn="1" w:lastColumn="0" w:noHBand="0" w:noVBand="1"/>
      </w:tblPr>
      <w:tblGrid>
        <w:gridCol w:w="2392"/>
        <w:gridCol w:w="952"/>
        <w:gridCol w:w="953"/>
        <w:gridCol w:w="953"/>
        <w:gridCol w:w="953"/>
        <w:gridCol w:w="953"/>
        <w:gridCol w:w="953"/>
        <w:gridCol w:w="953"/>
      </w:tblGrid>
      <w:tr w:rsidR="003A497B" w:rsidRPr="00E5587A" w:rsidTr="003E1809">
        <w:trPr>
          <w:trHeight w:hRule="exact" w:val="284"/>
        </w:trPr>
        <w:tc>
          <w:tcPr>
            <w:tcW w:w="2392" w:type="dxa"/>
            <w:tcBorders>
              <w:top w:val="single" w:sz="4" w:space="0" w:color="auto"/>
              <w:left w:val="single" w:sz="4" w:space="0" w:color="auto"/>
              <w:bottom w:val="single" w:sz="4" w:space="0" w:color="auto"/>
              <w:right w:val="single" w:sz="4" w:space="0" w:color="auto"/>
            </w:tcBorders>
            <w:shd w:val="clear" w:color="000000" w:fill="A6A6A6" w:themeFill="background1" w:themeFillShade="A6"/>
            <w:noWrap/>
            <w:vAlign w:val="center"/>
            <w:hideMark/>
          </w:tcPr>
          <w:p w:rsidR="003A497B" w:rsidRPr="00E5587A" w:rsidRDefault="003A497B" w:rsidP="003E1809">
            <w:pPr>
              <w:rPr>
                <w:rFonts w:ascii="Times New Roman" w:hAnsi="Times New Roman" w:cs="Times New Roman"/>
                <w:b/>
                <w:bCs/>
                <w:color w:val="000000"/>
                <w:sz w:val="14"/>
                <w:szCs w:val="14"/>
                <w:lang w:eastAsia="sk-SK"/>
              </w:rPr>
            </w:pPr>
            <w:r w:rsidRPr="00E5587A">
              <w:rPr>
                <w:rFonts w:ascii="Times New Roman" w:hAnsi="Times New Roman" w:cs="Times New Roman"/>
                <w:b/>
                <w:bCs/>
                <w:color w:val="000000"/>
                <w:sz w:val="14"/>
                <w:szCs w:val="14"/>
                <w:lang w:eastAsia="sk-SK"/>
              </w:rPr>
              <w:t>OPD a OPII spolu</w:t>
            </w:r>
          </w:p>
        </w:tc>
        <w:tc>
          <w:tcPr>
            <w:tcW w:w="952" w:type="dxa"/>
            <w:tcBorders>
              <w:top w:val="single" w:sz="4" w:space="0" w:color="auto"/>
              <w:left w:val="nil"/>
              <w:bottom w:val="single" w:sz="4" w:space="0" w:color="auto"/>
              <w:right w:val="single" w:sz="4" w:space="0" w:color="auto"/>
            </w:tcBorders>
            <w:shd w:val="clear" w:color="000000"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2016 S</w:t>
            </w:r>
          </w:p>
        </w:tc>
        <w:tc>
          <w:tcPr>
            <w:tcW w:w="953" w:type="dxa"/>
            <w:tcBorders>
              <w:top w:val="single" w:sz="4" w:space="0" w:color="auto"/>
              <w:left w:val="nil"/>
              <w:bottom w:val="single" w:sz="4" w:space="0" w:color="auto"/>
              <w:right w:val="single" w:sz="4" w:space="0" w:color="auto"/>
            </w:tcBorders>
            <w:shd w:val="clear" w:color="000000"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2017 </w:t>
            </w:r>
            <w:r>
              <w:rPr>
                <w:rFonts w:ascii="Times New Roman" w:hAnsi="Times New Roman" w:cs="Times New Roman"/>
                <w:b/>
                <w:bCs/>
                <w:color w:val="000000"/>
                <w:sz w:val="14"/>
                <w:szCs w:val="14"/>
                <w:lang w:eastAsia="sk-SK"/>
              </w:rPr>
              <w:t>S</w:t>
            </w:r>
          </w:p>
        </w:tc>
        <w:tc>
          <w:tcPr>
            <w:tcW w:w="953" w:type="dxa"/>
            <w:tcBorders>
              <w:top w:val="single" w:sz="4" w:space="0" w:color="auto"/>
              <w:left w:val="nil"/>
              <w:bottom w:val="single" w:sz="4" w:space="0" w:color="auto"/>
              <w:right w:val="single" w:sz="4" w:space="0" w:color="auto"/>
            </w:tcBorders>
            <w:shd w:val="clear" w:color="000000"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346A12">
              <w:rPr>
                <w:rFonts w:ascii="Times New Roman" w:hAnsi="Times New Roman" w:cs="Times New Roman"/>
                <w:b/>
                <w:bCs/>
                <w:color w:val="000000"/>
                <w:sz w:val="14"/>
                <w:szCs w:val="14"/>
                <w:lang w:eastAsia="sk-SK"/>
              </w:rPr>
              <w:t xml:space="preserve"> </w:t>
            </w:r>
            <w:r>
              <w:rPr>
                <w:rFonts w:ascii="Times New Roman" w:hAnsi="Times New Roman" w:cs="Times New Roman"/>
                <w:b/>
                <w:bCs/>
                <w:color w:val="000000"/>
                <w:sz w:val="14"/>
                <w:szCs w:val="14"/>
                <w:lang w:eastAsia="sk-SK"/>
              </w:rPr>
              <w:t>R</w:t>
            </w:r>
          </w:p>
        </w:tc>
        <w:tc>
          <w:tcPr>
            <w:tcW w:w="953" w:type="dxa"/>
            <w:tcBorders>
              <w:top w:val="single" w:sz="4" w:space="0" w:color="auto"/>
              <w:left w:val="nil"/>
              <w:bottom w:val="single" w:sz="4" w:space="0" w:color="auto"/>
              <w:right w:val="single" w:sz="4" w:space="0" w:color="auto"/>
            </w:tcBorders>
            <w:shd w:val="clear" w:color="000000"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2018 </w:t>
            </w:r>
            <w:r>
              <w:rPr>
                <w:rFonts w:ascii="Times New Roman" w:hAnsi="Times New Roman" w:cs="Times New Roman"/>
                <w:b/>
                <w:bCs/>
                <w:color w:val="000000"/>
                <w:sz w:val="14"/>
                <w:szCs w:val="14"/>
                <w:lang w:eastAsia="sk-SK"/>
              </w:rPr>
              <w:t>OS</w:t>
            </w:r>
          </w:p>
        </w:tc>
        <w:tc>
          <w:tcPr>
            <w:tcW w:w="953" w:type="dxa"/>
            <w:tcBorders>
              <w:top w:val="single" w:sz="4" w:space="0" w:color="auto"/>
              <w:left w:val="nil"/>
              <w:bottom w:val="single" w:sz="4" w:space="0" w:color="auto"/>
              <w:right w:val="single" w:sz="4" w:space="0" w:color="auto"/>
            </w:tcBorders>
            <w:shd w:val="clear" w:color="000000"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2019 N</w:t>
            </w:r>
          </w:p>
        </w:tc>
        <w:tc>
          <w:tcPr>
            <w:tcW w:w="953" w:type="dxa"/>
            <w:tcBorders>
              <w:top w:val="single" w:sz="4" w:space="0" w:color="auto"/>
              <w:left w:val="nil"/>
              <w:bottom w:val="single" w:sz="4" w:space="0" w:color="auto"/>
              <w:right w:val="single" w:sz="4" w:space="0" w:color="auto"/>
            </w:tcBorders>
            <w:shd w:val="clear" w:color="000000"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2020 N</w:t>
            </w:r>
          </w:p>
        </w:tc>
        <w:tc>
          <w:tcPr>
            <w:tcW w:w="953" w:type="dxa"/>
            <w:tcBorders>
              <w:top w:val="single" w:sz="4" w:space="0" w:color="auto"/>
              <w:left w:val="nil"/>
              <w:bottom w:val="single" w:sz="4" w:space="0" w:color="auto"/>
              <w:right w:val="single" w:sz="4" w:space="0" w:color="auto"/>
            </w:tcBorders>
            <w:shd w:val="clear" w:color="000000"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w:t>
            </w:r>
            <w:r>
              <w:rPr>
                <w:rFonts w:ascii="Times New Roman" w:hAnsi="Times New Roman" w:cs="Times New Roman"/>
                <w:b/>
                <w:bCs/>
                <w:color w:val="000000"/>
                <w:sz w:val="14"/>
                <w:szCs w:val="14"/>
                <w:lang w:eastAsia="sk-SK"/>
              </w:rPr>
              <w:t>1</w:t>
            </w:r>
            <w:r w:rsidRPr="00346A12">
              <w:rPr>
                <w:rFonts w:ascii="Times New Roman" w:hAnsi="Times New Roman" w:cs="Times New Roman"/>
                <w:b/>
                <w:bCs/>
                <w:color w:val="000000"/>
                <w:sz w:val="14"/>
                <w:szCs w:val="14"/>
                <w:lang w:eastAsia="sk-SK"/>
              </w:rPr>
              <w:t xml:space="preserve"> N</w:t>
            </w:r>
          </w:p>
        </w:tc>
      </w:tr>
      <w:tr w:rsidR="003A497B" w:rsidRPr="00E5587A" w:rsidTr="003E1809">
        <w:trPr>
          <w:trHeight w:hRule="exact" w:val="284"/>
        </w:trPr>
        <w:tc>
          <w:tcPr>
            <w:tcW w:w="23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bottom"/>
            <w:hideMark/>
          </w:tcPr>
          <w:p w:rsidR="003A497B" w:rsidRPr="00595DBC" w:rsidRDefault="003A497B" w:rsidP="003E1809">
            <w:pPr>
              <w:rPr>
                <w:rFonts w:ascii="Times New Roman" w:hAnsi="Times New Roman" w:cs="Times New Roman"/>
                <w:color w:val="000000"/>
                <w:sz w:val="14"/>
                <w:szCs w:val="14"/>
                <w:lang w:eastAsia="sk-SK"/>
              </w:rPr>
            </w:pPr>
            <w:r w:rsidRPr="00595DBC">
              <w:rPr>
                <w:rFonts w:ascii="Times New Roman" w:hAnsi="Times New Roman" w:cs="Times New Roman"/>
                <w:color w:val="000000"/>
                <w:sz w:val="14"/>
                <w:szCs w:val="14"/>
                <w:lang w:eastAsia="sk-SK"/>
              </w:rPr>
              <w:t>Výstavba diaľnic a RC</w:t>
            </w:r>
          </w:p>
        </w:tc>
        <w:tc>
          <w:tcPr>
            <w:tcW w:w="952"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lang w:eastAsia="sk-SK"/>
              </w:rPr>
            </w:pPr>
            <w:r w:rsidRPr="00DF328A">
              <w:rPr>
                <w:rFonts w:ascii="Times New Roman" w:hAnsi="Times New Roman" w:cs="Times New Roman"/>
                <w:color w:val="000000"/>
                <w:sz w:val="14"/>
                <w:szCs w:val="14"/>
              </w:rPr>
              <w:t>310 097 844</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301 174 342</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97 968 151</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633340" w:rsidRDefault="003A497B" w:rsidP="003E1809">
            <w:pPr>
              <w:jc w:val="right"/>
              <w:rPr>
                <w:rFonts w:ascii="Times New Roman" w:hAnsi="Times New Roman" w:cs="Times New Roman"/>
                <w:color w:val="000000"/>
                <w:sz w:val="14"/>
                <w:szCs w:val="14"/>
                <w:lang w:eastAsia="sk-SK"/>
              </w:rPr>
            </w:pPr>
            <w:r w:rsidRPr="00633340">
              <w:rPr>
                <w:rFonts w:ascii="Times New Roman" w:hAnsi="Times New Roman" w:cs="Times New Roman"/>
                <w:color w:val="000000"/>
                <w:sz w:val="14"/>
                <w:szCs w:val="14"/>
              </w:rPr>
              <w:t>237 642 217</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93 970 954</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243 207 803</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310 994 484</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Prostriedky EÚ 2. 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11 207 183</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Spolufinancovanie ŠR 2. 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1 977 738</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ŠR mimo spolufinancovania 2</w:t>
            </w:r>
            <w:r w:rsidRPr="00E5587A">
              <w:rPr>
                <w:rFonts w:ascii="Times New Roman" w:hAnsi="Times New Roman" w:cs="Times New Roman"/>
                <w:color w:val="000000"/>
                <w:sz w:val="14"/>
                <w:szCs w:val="14"/>
                <w:lang w:eastAsia="sk-SK"/>
              </w:rPr>
              <w:t>.</w:t>
            </w:r>
            <w:r>
              <w:rPr>
                <w:rFonts w:ascii="Times New Roman" w:hAnsi="Times New Roman" w:cs="Times New Roman"/>
                <w:color w:val="000000"/>
                <w:sz w:val="14"/>
                <w:szCs w:val="14"/>
                <w:lang w:eastAsia="sk-SK"/>
              </w:rPr>
              <w:t xml:space="preserve"> </w:t>
            </w:r>
            <w:r w:rsidRPr="00E5587A">
              <w:rPr>
                <w:rFonts w:ascii="Times New Roman" w:hAnsi="Times New Roman" w:cs="Times New Roman"/>
                <w:color w:val="000000"/>
                <w:sz w:val="14"/>
                <w:szCs w:val="14"/>
                <w:lang w:eastAsia="sk-SK"/>
              </w:rPr>
              <w:t xml:space="preserve">PO </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58 584 740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651 488</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Prostriedky EÚ 3. 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193 187 932</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197 548 583</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139 369 069</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126 851 322</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184 470 000</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Spolufinancovanie ŠR  3.</w:t>
            </w:r>
            <w:r>
              <w:rPr>
                <w:rFonts w:ascii="Times New Roman" w:hAnsi="Times New Roman" w:cs="Times New Roman"/>
                <w:color w:val="000000"/>
                <w:sz w:val="14"/>
                <w:szCs w:val="14"/>
                <w:lang w:eastAsia="sk-SK"/>
              </w:rPr>
              <w:t xml:space="preserve"> </w:t>
            </w:r>
            <w:r w:rsidRPr="00E5587A">
              <w:rPr>
                <w:rFonts w:ascii="Times New Roman" w:hAnsi="Times New Roman" w:cs="Times New Roman"/>
                <w:color w:val="000000"/>
                <w:sz w:val="14"/>
                <w:szCs w:val="14"/>
                <w:lang w:eastAsia="sk-SK"/>
              </w:rPr>
              <w:t>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33 978 413</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34 861 516</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19 150 421</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22 385 527</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32 553 530</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 xml:space="preserve">ŠR mimo spolufinancovania </w:t>
            </w:r>
            <w:r>
              <w:rPr>
                <w:rFonts w:ascii="Times New Roman" w:hAnsi="Times New Roman" w:cs="Times New Roman"/>
                <w:color w:val="000000"/>
                <w:sz w:val="14"/>
                <w:szCs w:val="14"/>
                <w:lang w:eastAsia="sk-SK"/>
              </w:rPr>
              <w:t>3</w:t>
            </w:r>
            <w:r w:rsidRPr="00E5587A">
              <w:rPr>
                <w:rFonts w:ascii="Times New Roman" w:hAnsi="Times New Roman" w:cs="Times New Roman"/>
                <w:color w:val="000000"/>
                <w:sz w:val="14"/>
                <w:szCs w:val="14"/>
                <w:lang w:eastAsia="sk-SK"/>
              </w:rPr>
              <w:t xml:space="preserve">. PO </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11 161 838</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68 112 755</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97 968 151</w:t>
            </w:r>
          </w:p>
        </w:tc>
        <w:tc>
          <w:tcPr>
            <w:tcW w:w="953" w:type="dxa"/>
            <w:tcBorders>
              <w:top w:val="nil"/>
              <w:left w:val="nil"/>
              <w:bottom w:val="single" w:sz="4" w:space="0" w:color="auto"/>
              <w:right w:val="single" w:sz="4" w:space="0" w:color="auto"/>
            </w:tcBorders>
            <w:shd w:val="clear" w:color="000000" w:fill="FFFFFF"/>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79 122 727</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93 970 954</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93 970 954</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93 970 954</w:t>
            </w:r>
          </w:p>
        </w:tc>
      </w:tr>
      <w:tr w:rsidR="003A497B" w:rsidRPr="00E5587A" w:rsidTr="003E1809">
        <w:trPr>
          <w:trHeight w:hRule="exact" w:val="284"/>
        </w:trPr>
        <w:tc>
          <w:tcPr>
            <w:tcW w:w="23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bottom"/>
            <w:hideMark/>
          </w:tcPr>
          <w:p w:rsidR="003A497B" w:rsidRPr="00595DBC" w:rsidRDefault="003A497B" w:rsidP="003E1809">
            <w:pPr>
              <w:rPr>
                <w:rFonts w:ascii="Times New Roman" w:hAnsi="Times New Roman" w:cs="Times New Roman"/>
                <w:color w:val="000000"/>
                <w:sz w:val="14"/>
                <w:szCs w:val="14"/>
                <w:lang w:eastAsia="sk-SK"/>
              </w:rPr>
            </w:pPr>
            <w:r w:rsidRPr="00595DBC">
              <w:rPr>
                <w:rFonts w:ascii="Times New Roman" w:hAnsi="Times New Roman" w:cs="Times New Roman"/>
                <w:color w:val="000000"/>
                <w:sz w:val="14"/>
                <w:szCs w:val="14"/>
                <w:lang w:eastAsia="sk-SK"/>
              </w:rPr>
              <w:t>Výstavba ciest I. triedy</w:t>
            </w:r>
          </w:p>
        </w:tc>
        <w:tc>
          <w:tcPr>
            <w:tcW w:w="952"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57 242 719</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59 728 628</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14 050 660</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33 630 900</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14 845 676</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69 459 476</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48 345 676</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Prostriedky EÚ 2</w:t>
            </w:r>
            <w:r>
              <w:rPr>
                <w:rFonts w:ascii="Times New Roman" w:hAnsi="Times New Roman" w:cs="Times New Roman"/>
                <w:color w:val="000000"/>
                <w:sz w:val="14"/>
                <w:szCs w:val="14"/>
                <w:lang w:eastAsia="sk-SK"/>
              </w:rPr>
              <w:t>.</w:t>
            </w:r>
            <w:r w:rsidRPr="00E5587A">
              <w:rPr>
                <w:rFonts w:ascii="Times New Roman" w:hAnsi="Times New Roman" w:cs="Times New Roman"/>
                <w:color w:val="000000"/>
                <w:sz w:val="14"/>
                <w:szCs w:val="14"/>
                <w:lang w:eastAsia="sk-SK"/>
              </w:rPr>
              <w:t xml:space="preserve"> 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4 160 242</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Spolufinancovanie ŠR  2</w:t>
            </w:r>
            <w:r>
              <w:rPr>
                <w:rFonts w:ascii="Times New Roman" w:hAnsi="Times New Roman" w:cs="Times New Roman"/>
                <w:color w:val="000000"/>
                <w:sz w:val="14"/>
                <w:szCs w:val="14"/>
                <w:lang w:eastAsia="sk-SK"/>
              </w:rPr>
              <w:t xml:space="preserve">. </w:t>
            </w:r>
            <w:r w:rsidRPr="00E5587A">
              <w:rPr>
                <w:rFonts w:ascii="Times New Roman" w:hAnsi="Times New Roman" w:cs="Times New Roman"/>
                <w:color w:val="000000"/>
                <w:sz w:val="14"/>
                <w:szCs w:val="14"/>
                <w:lang w:eastAsia="sk-SK"/>
              </w:rPr>
              <w:t>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802 277</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ŠR mimo spolufinancovania</w:t>
            </w:r>
            <w:r>
              <w:rPr>
                <w:rFonts w:ascii="Times New Roman" w:hAnsi="Times New Roman" w:cs="Times New Roman"/>
                <w:color w:val="000000"/>
                <w:sz w:val="14"/>
                <w:szCs w:val="14"/>
                <w:lang w:eastAsia="sk-SK"/>
              </w:rPr>
              <w:t xml:space="preserve"> 2. PO</w:t>
            </w:r>
            <w:r w:rsidRPr="00E5587A">
              <w:rPr>
                <w:rFonts w:ascii="Times New Roman" w:hAnsi="Times New Roman" w:cs="Times New Roman"/>
                <w:color w:val="000000"/>
                <w:sz w:val="14"/>
                <w:szCs w:val="14"/>
                <w:lang w:eastAsia="sk-SK"/>
              </w:rPr>
              <w:t xml:space="preserve"> </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16 551 141</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9 708 854</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000000" w:fill="FFFFFF"/>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Prostriedky EÚ 3. 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29 092 892</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31 971 993</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000000" w:fill="FFFFFF"/>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46 421 730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28 475 000</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Spolufinancovanie ŠR  3.</w:t>
            </w:r>
            <w:r>
              <w:rPr>
                <w:rFonts w:ascii="Times New Roman" w:hAnsi="Times New Roman" w:cs="Times New Roman"/>
                <w:color w:val="000000"/>
                <w:sz w:val="14"/>
                <w:szCs w:val="14"/>
                <w:lang w:eastAsia="sk-SK"/>
              </w:rPr>
              <w:t xml:space="preserve"> </w:t>
            </w:r>
            <w:r w:rsidRPr="00E5587A">
              <w:rPr>
                <w:rFonts w:ascii="Times New Roman" w:hAnsi="Times New Roman" w:cs="Times New Roman"/>
                <w:color w:val="000000"/>
                <w:sz w:val="14"/>
                <w:szCs w:val="14"/>
                <w:lang w:eastAsia="sk-SK"/>
              </w:rPr>
              <w:t>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5 134 039</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5 642 116</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000000" w:fill="FFFFFF"/>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8 192 070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5 025 000</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 xml:space="preserve">ŠR mimo spolufinancovania </w:t>
            </w:r>
            <w:r>
              <w:rPr>
                <w:rFonts w:ascii="Times New Roman" w:hAnsi="Times New Roman" w:cs="Times New Roman"/>
                <w:color w:val="000000"/>
                <w:sz w:val="14"/>
                <w:szCs w:val="14"/>
                <w:lang w:eastAsia="sk-SK"/>
              </w:rPr>
              <w:t>3</w:t>
            </w:r>
            <w:r w:rsidRPr="00E5587A">
              <w:rPr>
                <w:rFonts w:ascii="Times New Roman" w:hAnsi="Times New Roman" w:cs="Times New Roman"/>
                <w:color w:val="000000"/>
                <w:sz w:val="14"/>
                <w:szCs w:val="14"/>
                <w:lang w:eastAsia="sk-SK"/>
              </w:rPr>
              <w:t xml:space="preserve">. PO </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1 502 128</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11 986 565</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14 050 660</w:t>
            </w:r>
          </w:p>
        </w:tc>
        <w:tc>
          <w:tcPr>
            <w:tcW w:w="953" w:type="dxa"/>
            <w:tcBorders>
              <w:top w:val="nil"/>
              <w:left w:val="nil"/>
              <w:bottom w:val="single" w:sz="4" w:space="0" w:color="auto"/>
              <w:right w:val="single" w:sz="4" w:space="0" w:color="auto"/>
            </w:tcBorders>
            <w:shd w:val="clear" w:color="000000" w:fill="FFFFFF"/>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 xml:space="preserve">14 </w:t>
            </w:r>
            <w:r>
              <w:rPr>
                <w:rFonts w:ascii="Times New Roman" w:hAnsi="Times New Roman" w:cs="Times New Roman"/>
                <w:color w:val="000000"/>
                <w:sz w:val="14"/>
                <w:szCs w:val="14"/>
              </w:rPr>
              <w:t>893</w:t>
            </w:r>
            <w:r w:rsidRPr="00633340">
              <w:rPr>
                <w:rFonts w:ascii="Times New Roman" w:hAnsi="Times New Roman" w:cs="Times New Roman"/>
                <w:color w:val="000000"/>
                <w:sz w:val="14"/>
                <w:szCs w:val="14"/>
              </w:rPr>
              <w:t xml:space="preserve"> </w:t>
            </w:r>
            <w:r>
              <w:rPr>
                <w:rFonts w:ascii="Times New Roman" w:hAnsi="Times New Roman" w:cs="Times New Roman"/>
                <w:color w:val="000000"/>
                <w:sz w:val="14"/>
                <w:szCs w:val="14"/>
              </w:rPr>
              <w:t>165</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14 845 676</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14 845 676</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14 845 676</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 xml:space="preserve">ŠR spolufinancovanie CEF </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419 100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1</w:t>
            </w:r>
            <w:r>
              <w:rPr>
                <w:rFonts w:ascii="Times New Roman" w:hAnsi="Times New Roman" w:cs="Times New Roman"/>
                <w:color w:val="000000"/>
                <w:sz w:val="14"/>
                <w:szCs w:val="14"/>
              </w:rPr>
              <w:t>8</w:t>
            </w:r>
            <w:r w:rsidRPr="00633340">
              <w:rPr>
                <w:rFonts w:ascii="Times New Roman" w:hAnsi="Times New Roman" w:cs="Times New Roman"/>
                <w:color w:val="000000"/>
                <w:sz w:val="14"/>
                <w:szCs w:val="14"/>
              </w:rPr>
              <w:t xml:space="preserve"> </w:t>
            </w:r>
            <w:r>
              <w:rPr>
                <w:rFonts w:ascii="Times New Roman" w:hAnsi="Times New Roman" w:cs="Times New Roman"/>
                <w:color w:val="000000"/>
                <w:sz w:val="14"/>
                <w:szCs w:val="14"/>
              </w:rPr>
              <w:t>737</w:t>
            </w:r>
            <w:r w:rsidRPr="00633340">
              <w:rPr>
                <w:rFonts w:ascii="Times New Roman" w:hAnsi="Times New Roman" w:cs="Times New Roman"/>
                <w:color w:val="000000"/>
                <w:sz w:val="14"/>
                <w:szCs w:val="14"/>
              </w:rPr>
              <w:t xml:space="preserve"> </w:t>
            </w:r>
            <w:r>
              <w:rPr>
                <w:rFonts w:ascii="Times New Roman" w:hAnsi="Times New Roman" w:cs="Times New Roman"/>
                <w:color w:val="000000"/>
                <w:sz w:val="14"/>
                <w:szCs w:val="14"/>
              </w:rPr>
              <w:t>735</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r>
      <w:tr w:rsidR="003A497B" w:rsidRPr="00E5587A" w:rsidTr="003E1809">
        <w:trPr>
          <w:trHeight w:val="300"/>
        </w:trPr>
        <w:tc>
          <w:tcPr>
            <w:tcW w:w="23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bottom"/>
            <w:hideMark/>
          </w:tcPr>
          <w:p w:rsidR="003A497B" w:rsidRPr="00595DBC" w:rsidRDefault="003A497B" w:rsidP="003E1809">
            <w:pPr>
              <w:rPr>
                <w:rFonts w:ascii="Times New Roman" w:hAnsi="Times New Roman" w:cs="Times New Roman"/>
                <w:color w:val="000000"/>
                <w:sz w:val="14"/>
                <w:szCs w:val="14"/>
                <w:lang w:eastAsia="sk-SK"/>
              </w:rPr>
            </w:pPr>
            <w:r w:rsidRPr="00595DBC">
              <w:rPr>
                <w:rFonts w:ascii="Times New Roman" w:hAnsi="Times New Roman" w:cs="Times New Roman"/>
                <w:color w:val="000000"/>
                <w:sz w:val="14"/>
                <w:szCs w:val="14"/>
                <w:lang w:eastAsia="sk-SK"/>
              </w:rPr>
              <w:t>Železničná infraštruktúra</w:t>
            </w:r>
          </w:p>
        </w:tc>
        <w:tc>
          <w:tcPr>
            <w:tcW w:w="952"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49 609 708</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55 802 028</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37 900 000</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633340"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21</w:t>
            </w:r>
            <w:r w:rsidRPr="00633340">
              <w:rPr>
                <w:rFonts w:ascii="Times New Roman" w:hAnsi="Times New Roman" w:cs="Times New Roman"/>
                <w:color w:val="000000"/>
                <w:sz w:val="14"/>
                <w:szCs w:val="14"/>
              </w:rPr>
              <w:t>1</w:t>
            </w:r>
            <w:r>
              <w:rPr>
                <w:rFonts w:ascii="Times New Roman" w:hAnsi="Times New Roman" w:cs="Times New Roman"/>
                <w:color w:val="000000"/>
                <w:sz w:val="14"/>
                <w:szCs w:val="14"/>
              </w:rPr>
              <w:t> 752 911</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63 013 776</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66 941 652</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41 503 376</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Prostriedky EÚ 2. 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17 034 191</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Spolufinancovanie ŠR 2.</w:t>
            </w:r>
            <w:r>
              <w:rPr>
                <w:rFonts w:ascii="Times New Roman" w:hAnsi="Times New Roman" w:cs="Times New Roman"/>
                <w:color w:val="000000"/>
                <w:sz w:val="14"/>
                <w:szCs w:val="14"/>
                <w:lang w:eastAsia="sk-SK"/>
              </w:rPr>
              <w:t xml:space="preserve"> </w:t>
            </w:r>
            <w:r w:rsidRPr="00E5587A">
              <w:rPr>
                <w:rFonts w:ascii="Times New Roman" w:hAnsi="Times New Roman" w:cs="Times New Roman"/>
                <w:color w:val="000000"/>
                <w:sz w:val="14"/>
                <w:szCs w:val="14"/>
                <w:lang w:eastAsia="sk-SK"/>
              </w:rPr>
              <w:t>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2 575 517</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 xml:space="preserve">ŠR mimo spolufinancovania </w:t>
            </w:r>
            <w:r>
              <w:rPr>
                <w:rFonts w:ascii="Times New Roman" w:hAnsi="Times New Roman" w:cs="Times New Roman"/>
                <w:color w:val="000000"/>
                <w:sz w:val="14"/>
                <w:szCs w:val="14"/>
                <w:lang w:eastAsia="sk-SK"/>
              </w:rPr>
              <w:t>2. 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30 000 000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Prostriedky EÚ 3. 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36 697 443</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000000" w:fill="FFFFFF"/>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131 756 364</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22 196 084</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26 098 444</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4 677 870</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Spolufinancovanie ŠR  3.</w:t>
            </w:r>
            <w:r>
              <w:rPr>
                <w:rFonts w:ascii="Times New Roman" w:hAnsi="Times New Roman" w:cs="Times New Roman"/>
                <w:color w:val="000000"/>
                <w:sz w:val="14"/>
                <w:szCs w:val="14"/>
                <w:lang w:eastAsia="sk-SK"/>
              </w:rPr>
              <w:t xml:space="preserve"> </w:t>
            </w:r>
            <w:r w:rsidRPr="00E5587A">
              <w:rPr>
                <w:rFonts w:ascii="Times New Roman" w:hAnsi="Times New Roman" w:cs="Times New Roman"/>
                <w:color w:val="000000"/>
                <w:sz w:val="14"/>
                <w:szCs w:val="14"/>
                <w:lang w:eastAsia="sk-SK"/>
              </w:rPr>
              <w:t>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6 476 019</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000000" w:fill="FFFFFF"/>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23 251 123</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4 817 692</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4 843 208</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825 506</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ŠR mimo spolufinancovania</w:t>
            </w:r>
            <w:r>
              <w:rPr>
                <w:rFonts w:ascii="Times New Roman" w:hAnsi="Times New Roman" w:cs="Times New Roman"/>
                <w:color w:val="000000"/>
                <w:sz w:val="14"/>
                <w:szCs w:val="14"/>
                <w:lang w:eastAsia="sk-SK"/>
              </w:rPr>
              <w:t xml:space="preserve"> 3</w:t>
            </w:r>
            <w:r w:rsidRPr="00E5587A">
              <w:rPr>
                <w:rFonts w:ascii="Times New Roman" w:hAnsi="Times New Roman" w:cs="Times New Roman"/>
                <w:color w:val="000000"/>
                <w:sz w:val="14"/>
                <w:szCs w:val="14"/>
                <w:lang w:eastAsia="sk-SK"/>
              </w:rPr>
              <w:t xml:space="preserve">. PO </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12 628 566</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37 900 000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5</w:t>
            </w:r>
            <w:r>
              <w:rPr>
                <w:rFonts w:ascii="Times New Roman" w:hAnsi="Times New Roman" w:cs="Times New Roman"/>
                <w:color w:val="000000"/>
                <w:sz w:val="14"/>
                <w:szCs w:val="14"/>
              </w:rPr>
              <w:t>6</w:t>
            </w:r>
            <w:r w:rsidRPr="00633340">
              <w:rPr>
                <w:rFonts w:ascii="Times New Roman" w:hAnsi="Times New Roman" w:cs="Times New Roman"/>
                <w:color w:val="000000"/>
                <w:sz w:val="14"/>
                <w:szCs w:val="14"/>
              </w:rPr>
              <w:t xml:space="preserve"> </w:t>
            </w:r>
            <w:r>
              <w:rPr>
                <w:rFonts w:ascii="Times New Roman" w:hAnsi="Times New Roman" w:cs="Times New Roman"/>
                <w:color w:val="000000"/>
                <w:sz w:val="14"/>
                <w:szCs w:val="14"/>
              </w:rPr>
              <w:t>745</w:t>
            </w:r>
            <w:r w:rsidRPr="00633340">
              <w:rPr>
                <w:rFonts w:ascii="Times New Roman" w:hAnsi="Times New Roman" w:cs="Times New Roman"/>
                <w:color w:val="000000"/>
                <w:sz w:val="14"/>
                <w:szCs w:val="14"/>
              </w:rPr>
              <w:t xml:space="preserve"> </w:t>
            </w:r>
            <w:r>
              <w:rPr>
                <w:rFonts w:ascii="Times New Roman" w:hAnsi="Times New Roman" w:cs="Times New Roman"/>
                <w:color w:val="000000"/>
                <w:sz w:val="14"/>
                <w:szCs w:val="14"/>
              </w:rPr>
              <w:t>424</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36 000 000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36 000 000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36 000 000</w:t>
            </w:r>
          </w:p>
        </w:tc>
      </w:tr>
      <w:tr w:rsidR="003A497B" w:rsidRPr="00E5587A" w:rsidTr="003E1809">
        <w:trPr>
          <w:trHeight w:hRule="exact" w:val="284"/>
        </w:trPr>
        <w:tc>
          <w:tcPr>
            <w:tcW w:w="23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bottom"/>
            <w:hideMark/>
          </w:tcPr>
          <w:p w:rsidR="003A497B" w:rsidRPr="00595DBC" w:rsidRDefault="003A497B" w:rsidP="003E1809">
            <w:pPr>
              <w:rPr>
                <w:rFonts w:ascii="Times New Roman" w:hAnsi="Times New Roman" w:cs="Times New Roman"/>
                <w:color w:val="000000"/>
                <w:sz w:val="14"/>
                <w:szCs w:val="14"/>
                <w:lang w:eastAsia="sk-SK"/>
              </w:rPr>
            </w:pPr>
            <w:r w:rsidRPr="00595DBC">
              <w:rPr>
                <w:rFonts w:ascii="Times New Roman" w:hAnsi="Times New Roman" w:cs="Times New Roman"/>
                <w:color w:val="000000"/>
                <w:sz w:val="14"/>
                <w:szCs w:val="14"/>
                <w:lang w:eastAsia="sk-SK"/>
              </w:rPr>
              <w:t>Obnova mobilných prostriedkov</w:t>
            </w:r>
          </w:p>
        </w:tc>
        <w:tc>
          <w:tcPr>
            <w:tcW w:w="952"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6 569 072</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7 483 533</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19 808 961</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79 655 851</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79 984 069</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Prostriedky EÚ 2. 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5 583 711</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Spolufinancovanie ŠR 2</w:t>
            </w:r>
            <w:r>
              <w:rPr>
                <w:rFonts w:ascii="Times New Roman" w:hAnsi="Times New Roman" w:cs="Times New Roman"/>
                <w:color w:val="000000"/>
                <w:sz w:val="14"/>
                <w:szCs w:val="14"/>
                <w:lang w:eastAsia="sk-SK"/>
              </w:rPr>
              <w:t xml:space="preserve">. </w:t>
            </w:r>
            <w:r w:rsidRPr="00E5587A">
              <w:rPr>
                <w:rFonts w:ascii="Times New Roman" w:hAnsi="Times New Roman" w:cs="Times New Roman"/>
                <w:color w:val="000000"/>
                <w:sz w:val="14"/>
                <w:szCs w:val="14"/>
                <w:lang w:eastAsia="sk-SK"/>
              </w:rPr>
              <w:t>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985 361</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Prostriedky EÚ 3. 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6 361 003</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000000" w:fill="FFFFFF"/>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17 828 065</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72 301 107</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67 986 459</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Spolufinancovanie ŠR  3.</w:t>
            </w:r>
            <w:r>
              <w:rPr>
                <w:rFonts w:ascii="Times New Roman" w:hAnsi="Times New Roman" w:cs="Times New Roman"/>
                <w:color w:val="000000"/>
                <w:sz w:val="14"/>
                <w:szCs w:val="14"/>
                <w:lang w:eastAsia="sk-SK"/>
              </w:rPr>
              <w:t xml:space="preserve"> </w:t>
            </w:r>
            <w:r w:rsidRPr="00E5587A">
              <w:rPr>
                <w:rFonts w:ascii="Times New Roman" w:hAnsi="Times New Roman" w:cs="Times New Roman"/>
                <w:color w:val="000000"/>
                <w:sz w:val="14"/>
                <w:szCs w:val="14"/>
                <w:lang w:eastAsia="sk-SK"/>
              </w:rPr>
              <w:t>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1 122 530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000000" w:fill="FFFFFF"/>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1 980 896</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7 354 744</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11 997 610</w:t>
            </w:r>
          </w:p>
        </w:tc>
      </w:tr>
      <w:tr w:rsidR="003A497B" w:rsidRPr="00E5587A" w:rsidTr="003E1809">
        <w:trPr>
          <w:trHeight w:hRule="exact" w:val="284"/>
        </w:trPr>
        <w:tc>
          <w:tcPr>
            <w:tcW w:w="23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bottom"/>
            <w:hideMark/>
          </w:tcPr>
          <w:p w:rsidR="003A497B" w:rsidRPr="00595DBC" w:rsidRDefault="003A497B" w:rsidP="003E1809">
            <w:pPr>
              <w:rPr>
                <w:rFonts w:ascii="Times New Roman" w:hAnsi="Times New Roman" w:cs="Times New Roman"/>
                <w:color w:val="000000"/>
                <w:sz w:val="14"/>
                <w:szCs w:val="14"/>
                <w:lang w:eastAsia="sk-SK"/>
              </w:rPr>
            </w:pPr>
            <w:r w:rsidRPr="00595DBC">
              <w:rPr>
                <w:rFonts w:ascii="Times New Roman" w:hAnsi="Times New Roman" w:cs="Times New Roman"/>
                <w:color w:val="000000"/>
                <w:sz w:val="14"/>
                <w:szCs w:val="14"/>
                <w:lang w:eastAsia="sk-SK"/>
              </w:rPr>
              <w:t xml:space="preserve">Technická pomoc spolu </w:t>
            </w:r>
          </w:p>
        </w:tc>
        <w:tc>
          <w:tcPr>
            <w:tcW w:w="952"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10 552 812</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6 781 891</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480 586</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8 471 081</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8 924 223</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7 298 666</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Prostriedky EÚ 2. 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2 515 907</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Spolufinancovanie ŠR  2. 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443 984</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Prostriedky EÚ 3. 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6 230 751</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5 565 220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000000" w:fill="FFFFFF"/>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429 998</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6 314 216</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7 323 217</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5 989 285</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Spolufinancovanie ŠR  3.</w:t>
            </w:r>
            <w:r>
              <w:rPr>
                <w:rFonts w:ascii="Times New Roman" w:hAnsi="Times New Roman" w:cs="Times New Roman"/>
                <w:color w:val="000000"/>
                <w:sz w:val="14"/>
                <w:szCs w:val="14"/>
                <w:lang w:eastAsia="sk-SK"/>
              </w:rPr>
              <w:t xml:space="preserve"> </w:t>
            </w:r>
            <w:r w:rsidRPr="00E5587A">
              <w:rPr>
                <w:rFonts w:ascii="Times New Roman" w:hAnsi="Times New Roman" w:cs="Times New Roman"/>
                <w:color w:val="000000"/>
                <w:sz w:val="14"/>
                <w:szCs w:val="14"/>
                <w:lang w:eastAsia="sk-SK"/>
              </w:rPr>
              <w:t>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1 362 170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1 216 671</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000000" w:fill="FFFFFF"/>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50 588</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2 156 865</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1 601 006</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1 309 381</w:t>
            </w:r>
          </w:p>
        </w:tc>
      </w:tr>
      <w:tr w:rsidR="003A497B" w:rsidRPr="00E5587A" w:rsidTr="003E1809">
        <w:trPr>
          <w:trHeight w:hRule="exact" w:val="284"/>
        </w:trPr>
        <w:tc>
          <w:tcPr>
            <w:tcW w:w="23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bottom"/>
            <w:hideMark/>
          </w:tcPr>
          <w:p w:rsidR="003A497B" w:rsidRPr="00A56AF0" w:rsidRDefault="003A497B" w:rsidP="003E1809">
            <w:pPr>
              <w:rPr>
                <w:rFonts w:ascii="Times New Roman" w:hAnsi="Times New Roman" w:cs="Times New Roman"/>
                <w:color w:val="000000"/>
                <w:sz w:val="14"/>
                <w:szCs w:val="14"/>
                <w:lang w:eastAsia="sk-SK"/>
              </w:rPr>
            </w:pPr>
            <w:r w:rsidRPr="00A56AF0">
              <w:rPr>
                <w:rFonts w:ascii="Times New Roman" w:hAnsi="Times New Roman" w:cs="Times New Roman"/>
                <w:color w:val="000000"/>
                <w:sz w:val="14"/>
                <w:szCs w:val="14"/>
                <w:lang w:eastAsia="sk-SK"/>
              </w:rPr>
              <w:t>Verejná osobná doprava</w:t>
            </w:r>
          </w:p>
        </w:tc>
        <w:tc>
          <w:tcPr>
            <w:tcW w:w="952"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34 912 595</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61 445 953</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9 729 532</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Prostriedky EÚ 3. 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31 237 585</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54 971 160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000000" w:fill="FFFFFF"/>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9 729 532</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Spolufinancovanie ŠR  3.</w:t>
            </w:r>
            <w:r>
              <w:rPr>
                <w:rFonts w:ascii="Times New Roman" w:hAnsi="Times New Roman" w:cs="Times New Roman"/>
                <w:color w:val="000000"/>
                <w:sz w:val="14"/>
                <w:szCs w:val="14"/>
                <w:lang w:eastAsia="sk-SK"/>
              </w:rPr>
              <w:t xml:space="preserve"> </w:t>
            </w:r>
            <w:r w:rsidRPr="00E5587A">
              <w:rPr>
                <w:rFonts w:ascii="Times New Roman" w:hAnsi="Times New Roman" w:cs="Times New Roman"/>
                <w:color w:val="000000"/>
                <w:sz w:val="14"/>
                <w:szCs w:val="14"/>
                <w:lang w:eastAsia="sk-SK"/>
              </w:rPr>
              <w:t>PO</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3 675 010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6 474 793</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000000" w:fill="FFFFFF"/>
            <w:noWrap/>
            <w:vAlign w:val="bottom"/>
            <w:hideMark/>
          </w:tcPr>
          <w:p w:rsidR="003A497B" w:rsidRPr="00633340"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r w:rsidRPr="00633340">
              <w:rPr>
                <w:rFonts w:ascii="Times New Roman" w:hAnsi="Times New Roman" w:cs="Times New Roman"/>
                <w:color w:val="000000"/>
                <w:sz w:val="14"/>
                <w:szCs w:val="14"/>
              </w:rPr>
              <w:t> </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r>
      <w:tr w:rsidR="003A497B" w:rsidRPr="00E5587A" w:rsidTr="003E1809">
        <w:trPr>
          <w:trHeight w:hRule="exact" w:val="284"/>
        </w:trPr>
        <w:tc>
          <w:tcPr>
            <w:tcW w:w="239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bottom"/>
            <w:hideMark/>
          </w:tcPr>
          <w:p w:rsidR="003A497B" w:rsidRPr="00E5587A" w:rsidRDefault="003A497B" w:rsidP="003E1809">
            <w:pPr>
              <w:rPr>
                <w:rFonts w:ascii="Times New Roman" w:hAnsi="Times New Roman" w:cs="Times New Roman"/>
                <w:b/>
                <w:bCs/>
                <w:color w:val="000000"/>
                <w:sz w:val="14"/>
                <w:szCs w:val="14"/>
                <w:lang w:eastAsia="sk-SK"/>
              </w:rPr>
            </w:pPr>
            <w:r w:rsidRPr="00E5587A">
              <w:rPr>
                <w:rFonts w:ascii="Times New Roman" w:hAnsi="Times New Roman" w:cs="Times New Roman"/>
                <w:b/>
                <w:bCs/>
                <w:color w:val="000000"/>
                <w:sz w:val="14"/>
                <w:szCs w:val="14"/>
                <w:lang w:eastAsia="sk-SK"/>
              </w:rPr>
              <w:t>OPD a OPII spolu</w:t>
            </w:r>
          </w:p>
        </w:tc>
        <w:tc>
          <w:tcPr>
            <w:tcW w:w="952"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b/>
                <w:bCs/>
                <w:color w:val="000000"/>
                <w:sz w:val="14"/>
                <w:szCs w:val="14"/>
              </w:rPr>
            </w:pPr>
            <w:r w:rsidRPr="00DF328A">
              <w:rPr>
                <w:rFonts w:ascii="Times New Roman" w:hAnsi="Times New Roman" w:cs="Times New Roman"/>
                <w:b/>
                <w:bCs/>
                <w:color w:val="000000"/>
                <w:sz w:val="14"/>
                <w:szCs w:val="14"/>
              </w:rPr>
              <w:t>468 984 750</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b/>
                <w:bCs/>
                <w:color w:val="000000"/>
                <w:sz w:val="14"/>
                <w:szCs w:val="14"/>
              </w:rPr>
            </w:pPr>
            <w:r w:rsidRPr="00DF328A">
              <w:rPr>
                <w:rFonts w:ascii="Times New Roman" w:hAnsi="Times New Roman" w:cs="Times New Roman"/>
                <w:b/>
                <w:bCs/>
                <w:color w:val="000000"/>
                <w:sz w:val="14"/>
                <w:szCs w:val="14"/>
              </w:rPr>
              <w:t>492 416 375</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b/>
                <w:bCs/>
                <w:color w:val="000000"/>
                <w:sz w:val="14"/>
                <w:szCs w:val="14"/>
              </w:rPr>
            </w:pPr>
            <w:r w:rsidRPr="00DF328A">
              <w:rPr>
                <w:rFonts w:ascii="Times New Roman" w:hAnsi="Times New Roman" w:cs="Times New Roman"/>
                <w:b/>
                <w:bCs/>
                <w:color w:val="000000"/>
                <w:sz w:val="14"/>
                <w:szCs w:val="14"/>
              </w:rPr>
              <w:t>149 918 811</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633340" w:rsidRDefault="003A497B" w:rsidP="003E180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513 045 107</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b/>
                <w:bCs/>
                <w:color w:val="000000"/>
                <w:sz w:val="14"/>
                <w:szCs w:val="14"/>
              </w:rPr>
            </w:pPr>
            <w:r w:rsidRPr="00DF328A">
              <w:rPr>
                <w:rFonts w:ascii="Times New Roman" w:hAnsi="Times New Roman" w:cs="Times New Roman"/>
                <w:b/>
                <w:bCs/>
                <w:color w:val="000000"/>
                <w:sz w:val="14"/>
                <w:szCs w:val="14"/>
              </w:rPr>
              <w:t>180 301 487</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b/>
                <w:bCs/>
                <w:color w:val="000000"/>
                <w:sz w:val="14"/>
                <w:szCs w:val="14"/>
              </w:rPr>
            </w:pPr>
            <w:r w:rsidRPr="00DF328A">
              <w:rPr>
                <w:rFonts w:ascii="Times New Roman" w:hAnsi="Times New Roman" w:cs="Times New Roman"/>
                <w:b/>
                <w:bCs/>
                <w:color w:val="000000"/>
                <w:sz w:val="14"/>
                <w:szCs w:val="14"/>
              </w:rPr>
              <w:t>468 189 005</w:t>
            </w:r>
          </w:p>
        </w:tc>
        <w:tc>
          <w:tcPr>
            <w:tcW w:w="953" w:type="dxa"/>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DF328A" w:rsidRDefault="003A497B" w:rsidP="003E1809">
            <w:pPr>
              <w:jc w:val="right"/>
              <w:rPr>
                <w:rFonts w:ascii="Times New Roman" w:hAnsi="Times New Roman" w:cs="Times New Roman"/>
                <w:b/>
                <w:bCs/>
                <w:color w:val="000000"/>
                <w:sz w:val="14"/>
                <w:szCs w:val="14"/>
              </w:rPr>
            </w:pPr>
            <w:r w:rsidRPr="00DF328A">
              <w:rPr>
                <w:rFonts w:ascii="Times New Roman" w:hAnsi="Times New Roman" w:cs="Times New Roman"/>
                <w:b/>
                <w:bCs/>
                <w:color w:val="000000"/>
                <w:sz w:val="14"/>
                <w:szCs w:val="14"/>
              </w:rPr>
              <w:t>488 126 271</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 xml:space="preserve">Prostriedky EÚ </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300 250 394</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333 115 402</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299 113 028</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28 510 300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278 995 820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291 598 614</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 xml:space="preserve">Spolufinancovanie ŠR  </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50 934 509</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55 793 645</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44 433 028</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6 974 557</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44 376 555</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51 711 027</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 xml:space="preserve">ŠR mimo spolufinancovania </w:t>
            </w:r>
            <w:r>
              <w:rPr>
                <w:rFonts w:ascii="Times New Roman" w:hAnsi="Times New Roman" w:cs="Times New Roman"/>
                <w:color w:val="000000"/>
                <w:sz w:val="14"/>
                <w:szCs w:val="14"/>
                <w:lang w:eastAsia="sk-SK"/>
              </w:rPr>
              <w:t>3</w:t>
            </w:r>
            <w:r w:rsidRPr="00E5587A">
              <w:rPr>
                <w:rFonts w:ascii="Times New Roman" w:hAnsi="Times New Roman" w:cs="Times New Roman"/>
                <w:color w:val="000000"/>
                <w:sz w:val="14"/>
                <w:szCs w:val="14"/>
                <w:lang w:eastAsia="sk-SK"/>
              </w:rPr>
              <w:t xml:space="preserve">. PO </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117 799 847</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103 088 228</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149 918 811</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1</w:t>
            </w:r>
            <w:r>
              <w:rPr>
                <w:rFonts w:ascii="Times New Roman" w:hAnsi="Times New Roman" w:cs="Times New Roman"/>
                <w:color w:val="000000"/>
                <w:sz w:val="14"/>
                <w:szCs w:val="14"/>
              </w:rPr>
              <w:t>50 761 316</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144 816 630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144 816 630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144 816 630</w:t>
            </w:r>
          </w:p>
        </w:tc>
      </w:tr>
      <w:tr w:rsidR="003A497B" w:rsidRPr="00E5587A" w:rsidTr="003E1809">
        <w:trPr>
          <w:trHeight w:hRule="exact" w:val="284"/>
        </w:trPr>
        <w:tc>
          <w:tcPr>
            <w:tcW w:w="2392" w:type="dxa"/>
            <w:tcBorders>
              <w:top w:val="nil"/>
              <w:left w:val="single" w:sz="4" w:space="0" w:color="auto"/>
              <w:bottom w:val="single" w:sz="4" w:space="0" w:color="auto"/>
              <w:right w:val="single" w:sz="4" w:space="0" w:color="auto"/>
            </w:tcBorders>
            <w:shd w:val="clear" w:color="auto" w:fill="auto"/>
            <w:noWrap/>
            <w:vAlign w:val="bottom"/>
            <w:hideMark/>
          </w:tcPr>
          <w:p w:rsidR="003A497B" w:rsidRPr="00E5587A" w:rsidRDefault="003A497B" w:rsidP="003E1809">
            <w:pPr>
              <w:rPr>
                <w:rFonts w:ascii="Times New Roman" w:hAnsi="Times New Roman" w:cs="Times New Roman"/>
                <w:color w:val="000000"/>
                <w:sz w:val="14"/>
                <w:szCs w:val="14"/>
                <w:lang w:eastAsia="sk-SK"/>
              </w:rPr>
            </w:pPr>
            <w:r w:rsidRPr="00E5587A">
              <w:rPr>
                <w:rFonts w:ascii="Times New Roman" w:hAnsi="Times New Roman" w:cs="Times New Roman"/>
                <w:color w:val="000000"/>
                <w:sz w:val="14"/>
                <w:szCs w:val="14"/>
                <w:lang w:eastAsia="sk-SK"/>
              </w:rPr>
              <w:t xml:space="preserve">ŠR spolufinancovanie CEF </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419 100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633340" w:rsidRDefault="003A497B" w:rsidP="003E1809">
            <w:pPr>
              <w:jc w:val="right"/>
              <w:rPr>
                <w:rFonts w:ascii="Times New Roman" w:hAnsi="Times New Roman" w:cs="Times New Roman"/>
                <w:color w:val="000000"/>
                <w:sz w:val="14"/>
                <w:szCs w:val="14"/>
              </w:rPr>
            </w:pPr>
            <w:r w:rsidRPr="00633340">
              <w:rPr>
                <w:rFonts w:ascii="Times New Roman" w:hAnsi="Times New Roman" w:cs="Times New Roman"/>
                <w:color w:val="000000"/>
                <w:sz w:val="14"/>
                <w:szCs w:val="14"/>
              </w:rPr>
              <w:t>1</w:t>
            </w:r>
            <w:r>
              <w:rPr>
                <w:rFonts w:ascii="Times New Roman" w:hAnsi="Times New Roman" w:cs="Times New Roman"/>
                <w:color w:val="000000"/>
                <w:sz w:val="14"/>
                <w:szCs w:val="14"/>
              </w:rPr>
              <w:t>8</w:t>
            </w:r>
            <w:r w:rsidRPr="00633340">
              <w:rPr>
                <w:rFonts w:ascii="Times New Roman" w:hAnsi="Times New Roman" w:cs="Times New Roman"/>
                <w:color w:val="000000"/>
                <w:sz w:val="14"/>
                <w:szCs w:val="14"/>
              </w:rPr>
              <w:t xml:space="preserve"> </w:t>
            </w:r>
            <w:r>
              <w:rPr>
                <w:rFonts w:ascii="Times New Roman" w:hAnsi="Times New Roman" w:cs="Times New Roman"/>
                <w:color w:val="000000"/>
                <w:sz w:val="14"/>
                <w:szCs w:val="14"/>
              </w:rPr>
              <w:t>737</w:t>
            </w:r>
            <w:r w:rsidRPr="00633340">
              <w:rPr>
                <w:rFonts w:ascii="Times New Roman" w:hAnsi="Times New Roman" w:cs="Times New Roman"/>
                <w:color w:val="000000"/>
                <w:sz w:val="14"/>
                <w:szCs w:val="14"/>
              </w:rPr>
              <w:t xml:space="preserve"> </w:t>
            </w:r>
            <w:r>
              <w:rPr>
                <w:rFonts w:ascii="Times New Roman" w:hAnsi="Times New Roman" w:cs="Times New Roman"/>
                <w:color w:val="000000"/>
                <w:sz w:val="14"/>
                <w:szCs w:val="14"/>
              </w:rPr>
              <w:t>735</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c>
          <w:tcPr>
            <w:tcW w:w="953" w:type="dxa"/>
            <w:tcBorders>
              <w:top w:val="nil"/>
              <w:left w:val="nil"/>
              <w:bottom w:val="single" w:sz="4" w:space="0" w:color="auto"/>
              <w:right w:val="single" w:sz="4" w:space="0" w:color="auto"/>
            </w:tcBorders>
            <w:shd w:val="clear" w:color="auto" w:fill="auto"/>
            <w:noWrap/>
            <w:vAlign w:val="bottom"/>
            <w:hideMark/>
          </w:tcPr>
          <w:p w:rsidR="003A497B" w:rsidRPr="00DF328A" w:rsidRDefault="003A497B" w:rsidP="003E1809">
            <w:pPr>
              <w:jc w:val="right"/>
              <w:rPr>
                <w:rFonts w:ascii="Times New Roman" w:hAnsi="Times New Roman" w:cs="Times New Roman"/>
                <w:color w:val="000000"/>
                <w:sz w:val="14"/>
                <w:szCs w:val="14"/>
              </w:rPr>
            </w:pPr>
            <w:r w:rsidRPr="00DF328A">
              <w:rPr>
                <w:rFonts w:ascii="Times New Roman" w:hAnsi="Times New Roman" w:cs="Times New Roman"/>
                <w:color w:val="000000"/>
                <w:sz w:val="14"/>
                <w:szCs w:val="14"/>
              </w:rPr>
              <w:t>0</w:t>
            </w:r>
          </w:p>
        </w:tc>
      </w:tr>
    </w:tbl>
    <w:p w:rsidR="003A497B" w:rsidRDefault="003A497B" w:rsidP="003A497B">
      <w:pPr>
        <w:jc w:val="both"/>
        <w:rPr>
          <w:rFonts w:ascii="Times New Roman" w:hAnsi="Times New Roman" w:cs="Times New Roman"/>
          <w:highlight w:val="yellow"/>
        </w:rPr>
      </w:pPr>
    </w:p>
    <w:p w:rsidR="003A497B" w:rsidRDefault="003A497B" w:rsidP="003A497B">
      <w:pPr>
        <w:ind w:firstLine="708"/>
        <w:jc w:val="both"/>
        <w:rPr>
          <w:rFonts w:ascii="Times New Roman" w:hAnsi="Times New Roman" w:cs="Times New Roman"/>
        </w:rPr>
      </w:pPr>
      <w:r>
        <w:rPr>
          <w:rFonts w:ascii="Times New Roman" w:hAnsi="Times New Roman" w:cs="Times New Roman"/>
        </w:rPr>
        <w:t xml:space="preserve">Na </w:t>
      </w:r>
      <w:r w:rsidRPr="00DE0B02">
        <w:rPr>
          <w:rFonts w:ascii="Times New Roman" w:hAnsi="Times New Roman" w:cs="Times New Roman"/>
        </w:rPr>
        <w:t>Operačný program Integrovaná infraštruktúra (ďalej len „OPII“) pre cestnú</w:t>
      </w:r>
      <w:r>
        <w:rPr>
          <w:rFonts w:ascii="Times New Roman" w:hAnsi="Times New Roman" w:cs="Times New Roman"/>
        </w:rPr>
        <w:t>,</w:t>
      </w:r>
      <w:r w:rsidRPr="00DE0B02">
        <w:rPr>
          <w:rFonts w:ascii="Times New Roman" w:hAnsi="Times New Roman" w:cs="Times New Roman"/>
        </w:rPr>
        <w:t xml:space="preserve"> železničnú </w:t>
      </w:r>
      <w:r>
        <w:rPr>
          <w:rFonts w:ascii="Times New Roman" w:hAnsi="Times New Roman" w:cs="Times New Roman"/>
        </w:rPr>
        <w:t xml:space="preserve">a verejnú osobnú </w:t>
      </w:r>
      <w:r w:rsidRPr="00DE0B02">
        <w:rPr>
          <w:rFonts w:ascii="Times New Roman" w:hAnsi="Times New Roman" w:cs="Times New Roman"/>
        </w:rPr>
        <w:t>dopravu sa v roku 201</w:t>
      </w:r>
      <w:r>
        <w:rPr>
          <w:rFonts w:ascii="Times New Roman" w:hAnsi="Times New Roman" w:cs="Times New Roman"/>
        </w:rPr>
        <w:t>9</w:t>
      </w:r>
      <w:r w:rsidRPr="00DE0B02">
        <w:rPr>
          <w:rFonts w:ascii="Times New Roman" w:hAnsi="Times New Roman" w:cs="Times New Roman"/>
        </w:rPr>
        <w:t xml:space="preserve"> rozpočtujú výdavky v</w:t>
      </w:r>
      <w:r>
        <w:rPr>
          <w:rFonts w:ascii="Times New Roman" w:hAnsi="Times New Roman" w:cs="Times New Roman"/>
        </w:rPr>
        <w:t> </w:t>
      </w:r>
      <w:r w:rsidRPr="00DE0B02">
        <w:rPr>
          <w:rFonts w:ascii="Times New Roman" w:hAnsi="Times New Roman" w:cs="Times New Roman"/>
        </w:rPr>
        <w:t>sume</w:t>
      </w:r>
      <w:r>
        <w:rPr>
          <w:rFonts w:ascii="Times New Roman" w:hAnsi="Times New Roman" w:cs="Times New Roman"/>
        </w:rPr>
        <w:br/>
        <w:t>180</w:t>
      </w:r>
      <w:r w:rsidRPr="00DE0B02">
        <w:rPr>
          <w:rFonts w:ascii="Times New Roman" w:hAnsi="Times New Roman" w:cs="Times New Roman"/>
        </w:rPr>
        <w:t xml:space="preserve"> m</w:t>
      </w:r>
      <w:r>
        <w:rPr>
          <w:rFonts w:ascii="Times New Roman" w:hAnsi="Times New Roman" w:cs="Times New Roman"/>
        </w:rPr>
        <w:t>i</w:t>
      </w:r>
      <w:r w:rsidRPr="00DE0B02">
        <w:rPr>
          <w:rFonts w:ascii="Times New Roman" w:hAnsi="Times New Roman" w:cs="Times New Roman"/>
        </w:rPr>
        <w:t>l. eur, čo v porovnaní so schváleným rozpočtom roku 201</w:t>
      </w:r>
      <w:r>
        <w:rPr>
          <w:rFonts w:ascii="Times New Roman" w:hAnsi="Times New Roman" w:cs="Times New Roman"/>
        </w:rPr>
        <w:t>8</w:t>
      </w:r>
      <w:r w:rsidRPr="00DE0B02">
        <w:rPr>
          <w:rFonts w:ascii="Times New Roman" w:hAnsi="Times New Roman" w:cs="Times New Roman"/>
        </w:rPr>
        <w:t xml:space="preserve"> predstavuje z</w:t>
      </w:r>
      <w:r>
        <w:rPr>
          <w:rFonts w:ascii="Times New Roman" w:hAnsi="Times New Roman" w:cs="Times New Roman"/>
        </w:rPr>
        <w:t>výš</w:t>
      </w:r>
      <w:r w:rsidRPr="00DE0B02">
        <w:rPr>
          <w:rFonts w:ascii="Times New Roman" w:hAnsi="Times New Roman" w:cs="Times New Roman"/>
        </w:rPr>
        <w:t>enie o</w:t>
      </w:r>
      <w:r>
        <w:rPr>
          <w:rFonts w:ascii="Times New Roman" w:hAnsi="Times New Roman" w:cs="Times New Roman"/>
        </w:rPr>
        <w:t> 30,4</w:t>
      </w:r>
      <w:r w:rsidRPr="00DE0B02">
        <w:rPr>
          <w:rFonts w:ascii="Times New Roman" w:hAnsi="Times New Roman" w:cs="Times New Roman"/>
        </w:rPr>
        <w:t> m</w:t>
      </w:r>
      <w:r>
        <w:rPr>
          <w:rFonts w:ascii="Times New Roman" w:hAnsi="Times New Roman" w:cs="Times New Roman"/>
        </w:rPr>
        <w:t>i</w:t>
      </w:r>
      <w:r w:rsidRPr="00DE0B02">
        <w:rPr>
          <w:rFonts w:ascii="Times New Roman" w:hAnsi="Times New Roman" w:cs="Times New Roman"/>
        </w:rPr>
        <w:t>l. eur, t. j. o</w:t>
      </w:r>
      <w:r>
        <w:rPr>
          <w:rFonts w:ascii="Times New Roman" w:hAnsi="Times New Roman" w:cs="Times New Roman"/>
        </w:rPr>
        <w:t> 20,3</w:t>
      </w:r>
      <w:r w:rsidRPr="00DE0B02">
        <w:rPr>
          <w:rFonts w:ascii="Times New Roman" w:hAnsi="Times New Roman" w:cs="Times New Roman"/>
        </w:rPr>
        <w:t xml:space="preserve"> %</w:t>
      </w:r>
      <w:r>
        <w:rPr>
          <w:rFonts w:ascii="Times New Roman" w:hAnsi="Times New Roman" w:cs="Times New Roman"/>
        </w:rPr>
        <w:t>.</w:t>
      </w:r>
      <w:r w:rsidRPr="00DE0B02">
        <w:rPr>
          <w:rFonts w:ascii="Times New Roman" w:hAnsi="Times New Roman" w:cs="Times New Roman"/>
        </w:rPr>
        <w:t xml:space="preserve"> </w:t>
      </w:r>
      <w:r w:rsidRPr="008F7EF2">
        <w:rPr>
          <w:rFonts w:ascii="Times New Roman" w:hAnsi="Times New Roman" w:cs="Times New Roman"/>
        </w:rPr>
        <w:t xml:space="preserve">Zmeny vo výške výdavkov súvisia </w:t>
      </w:r>
      <w:r>
        <w:rPr>
          <w:rFonts w:ascii="Times New Roman" w:hAnsi="Times New Roman" w:cs="Times New Roman"/>
        </w:rPr>
        <w:t xml:space="preserve">najmä </w:t>
      </w:r>
      <w:r w:rsidRPr="008F7EF2">
        <w:rPr>
          <w:rFonts w:ascii="Times New Roman" w:hAnsi="Times New Roman" w:cs="Times New Roman"/>
        </w:rPr>
        <w:t>s</w:t>
      </w:r>
      <w:r>
        <w:rPr>
          <w:rFonts w:ascii="Times New Roman" w:hAnsi="Times New Roman" w:cs="Times New Roman"/>
        </w:rPr>
        <w:t xml:space="preserve">o zvýšením prostriedkov </w:t>
      </w:r>
      <w:r w:rsidRPr="008F7EF2">
        <w:rPr>
          <w:rFonts w:ascii="Times New Roman" w:hAnsi="Times New Roman" w:cs="Times New Roman"/>
        </w:rPr>
        <w:t>zo zdrojov EÚ a spolufinancovania zo štátneho rozpočtu.</w:t>
      </w:r>
      <w:r w:rsidRPr="00063DF2">
        <w:rPr>
          <w:rFonts w:ascii="Times New Roman" w:hAnsi="Times New Roman" w:cs="Times New Roman"/>
        </w:rPr>
        <w:t xml:space="preserve"> </w:t>
      </w:r>
    </w:p>
    <w:p w:rsidR="003A497B" w:rsidRPr="00DE0B02" w:rsidRDefault="003A497B" w:rsidP="003A497B">
      <w:pPr>
        <w:ind w:firstLine="708"/>
        <w:jc w:val="both"/>
        <w:rPr>
          <w:rFonts w:ascii="Times New Roman" w:hAnsi="Times New Roman" w:cs="Times New Roman"/>
        </w:rPr>
      </w:pPr>
    </w:p>
    <w:p w:rsidR="003A497B" w:rsidRPr="00DE0B02" w:rsidRDefault="003A497B" w:rsidP="003A497B">
      <w:pPr>
        <w:jc w:val="both"/>
        <w:rPr>
          <w:rFonts w:ascii="Times New Roman" w:hAnsi="Times New Roman" w:cs="Times New Roman"/>
          <w:i/>
          <w:u w:val="single"/>
        </w:rPr>
      </w:pPr>
      <w:r w:rsidRPr="00DE0B02">
        <w:rPr>
          <w:rFonts w:ascii="Times New Roman" w:hAnsi="Times New Roman" w:cs="Times New Roman"/>
          <w:i/>
          <w:u w:val="single"/>
        </w:rPr>
        <w:t>Rozvoj a modernizácia železničnej dopravnej cesty mimo OPII</w:t>
      </w:r>
    </w:p>
    <w:p w:rsidR="003A497B" w:rsidRPr="00775C7E" w:rsidRDefault="003A497B" w:rsidP="003A497B">
      <w:pPr>
        <w:jc w:val="both"/>
        <w:rPr>
          <w:rFonts w:ascii="Times New Roman" w:hAnsi="Times New Roman" w:cs="Times New Roman"/>
          <w:highlight w:val="yellow"/>
        </w:rPr>
      </w:pPr>
    </w:p>
    <w:tbl>
      <w:tblPr>
        <w:tblW w:w="5000" w:type="pct"/>
        <w:tblCellMar>
          <w:left w:w="70" w:type="dxa"/>
          <w:right w:w="70" w:type="dxa"/>
        </w:tblCellMar>
        <w:tblLook w:val="04A0" w:firstRow="1" w:lastRow="0" w:firstColumn="1" w:lastColumn="0" w:noHBand="0" w:noVBand="1"/>
      </w:tblPr>
      <w:tblGrid>
        <w:gridCol w:w="2286"/>
        <w:gridCol w:w="995"/>
        <w:gridCol w:w="953"/>
        <w:gridCol w:w="953"/>
        <w:gridCol w:w="953"/>
        <w:gridCol w:w="1037"/>
        <w:gridCol w:w="953"/>
        <w:gridCol w:w="932"/>
      </w:tblGrid>
      <w:tr w:rsidR="003A497B" w:rsidRPr="0053295A" w:rsidTr="003E1809">
        <w:trPr>
          <w:trHeight w:hRule="exact" w:val="284"/>
        </w:trPr>
        <w:tc>
          <w:tcPr>
            <w:tcW w:w="1261"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53295A" w:rsidRDefault="003A497B" w:rsidP="003E1809">
            <w:pPr>
              <w:rPr>
                <w:rFonts w:ascii="Times New Roman" w:hAnsi="Times New Roman" w:cs="Times New Roman"/>
                <w:b/>
                <w:bCs/>
                <w:color w:val="000000"/>
                <w:sz w:val="14"/>
                <w:szCs w:val="14"/>
                <w:lang w:eastAsia="sk-SK"/>
              </w:rPr>
            </w:pPr>
            <w:r w:rsidRPr="00546390">
              <w:rPr>
                <w:rFonts w:ascii="Times New Roman" w:hAnsi="Times New Roman" w:cs="Times New Roman"/>
                <w:b/>
                <w:bCs/>
                <w:color w:val="000000"/>
                <w:sz w:val="14"/>
                <w:szCs w:val="14"/>
              </w:rPr>
              <w:t>v eurách</w:t>
            </w:r>
          </w:p>
        </w:tc>
        <w:tc>
          <w:tcPr>
            <w:tcW w:w="549" w:type="pct"/>
            <w:tcBorders>
              <w:top w:val="single" w:sz="4" w:space="0" w:color="auto"/>
              <w:left w:val="nil"/>
              <w:bottom w:val="single" w:sz="4" w:space="0" w:color="auto"/>
              <w:right w:val="single" w:sz="4" w:space="0" w:color="auto"/>
            </w:tcBorders>
            <w:shd w:val="clear" w:color="000000"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2016 S</w:t>
            </w:r>
          </w:p>
        </w:tc>
        <w:tc>
          <w:tcPr>
            <w:tcW w:w="526" w:type="pct"/>
            <w:tcBorders>
              <w:top w:val="single" w:sz="4" w:space="0" w:color="auto"/>
              <w:left w:val="nil"/>
              <w:bottom w:val="single" w:sz="4" w:space="0" w:color="auto"/>
              <w:right w:val="single" w:sz="4" w:space="0" w:color="auto"/>
            </w:tcBorders>
            <w:shd w:val="clear" w:color="000000"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2017 </w:t>
            </w:r>
            <w:r>
              <w:rPr>
                <w:rFonts w:ascii="Times New Roman" w:hAnsi="Times New Roman" w:cs="Times New Roman"/>
                <w:b/>
                <w:bCs/>
                <w:color w:val="000000"/>
                <w:sz w:val="14"/>
                <w:szCs w:val="14"/>
                <w:lang w:eastAsia="sk-SK"/>
              </w:rPr>
              <w:t>S</w:t>
            </w:r>
          </w:p>
        </w:tc>
        <w:tc>
          <w:tcPr>
            <w:tcW w:w="526" w:type="pct"/>
            <w:tcBorders>
              <w:top w:val="single" w:sz="4" w:space="0" w:color="auto"/>
              <w:left w:val="nil"/>
              <w:bottom w:val="single" w:sz="4" w:space="0" w:color="auto"/>
              <w:right w:val="single" w:sz="4" w:space="0" w:color="auto"/>
            </w:tcBorders>
            <w:shd w:val="clear" w:color="000000"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346A12">
              <w:rPr>
                <w:rFonts w:ascii="Times New Roman" w:hAnsi="Times New Roman" w:cs="Times New Roman"/>
                <w:b/>
                <w:bCs/>
                <w:color w:val="000000"/>
                <w:sz w:val="14"/>
                <w:szCs w:val="14"/>
                <w:lang w:eastAsia="sk-SK"/>
              </w:rPr>
              <w:t xml:space="preserve"> </w:t>
            </w:r>
            <w:r>
              <w:rPr>
                <w:rFonts w:ascii="Times New Roman" w:hAnsi="Times New Roman" w:cs="Times New Roman"/>
                <w:b/>
                <w:bCs/>
                <w:color w:val="000000"/>
                <w:sz w:val="14"/>
                <w:szCs w:val="14"/>
                <w:lang w:eastAsia="sk-SK"/>
              </w:rPr>
              <w:t>R</w:t>
            </w:r>
          </w:p>
        </w:tc>
        <w:tc>
          <w:tcPr>
            <w:tcW w:w="526" w:type="pct"/>
            <w:tcBorders>
              <w:top w:val="single" w:sz="4" w:space="0" w:color="auto"/>
              <w:left w:val="nil"/>
              <w:bottom w:val="single" w:sz="4" w:space="0" w:color="auto"/>
              <w:right w:val="single" w:sz="4" w:space="0" w:color="auto"/>
            </w:tcBorders>
            <w:shd w:val="clear" w:color="000000"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2018 </w:t>
            </w:r>
            <w:r>
              <w:rPr>
                <w:rFonts w:ascii="Times New Roman" w:hAnsi="Times New Roman" w:cs="Times New Roman"/>
                <w:b/>
                <w:bCs/>
                <w:color w:val="000000"/>
                <w:sz w:val="14"/>
                <w:szCs w:val="14"/>
                <w:lang w:eastAsia="sk-SK"/>
              </w:rPr>
              <w:t>OS</w:t>
            </w:r>
          </w:p>
        </w:tc>
        <w:tc>
          <w:tcPr>
            <w:tcW w:w="572" w:type="pct"/>
            <w:tcBorders>
              <w:top w:val="single" w:sz="4" w:space="0" w:color="auto"/>
              <w:left w:val="nil"/>
              <w:bottom w:val="single" w:sz="4" w:space="0" w:color="auto"/>
              <w:right w:val="single" w:sz="4" w:space="0" w:color="auto"/>
            </w:tcBorders>
            <w:shd w:val="clear" w:color="000000"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2019 N</w:t>
            </w:r>
          </w:p>
        </w:tc>
        <w:tc>
          <w:tcPr>
            <w:tcW w:w="526" w:type="pct"/>
            <w:tcBorders>
              <w:top w:val="single" w:sz="4" w:space="0" w:color="auto"/>
              <w:left w:val="nil"/>
              <w:bottom w:val="single" w:sz="4" w:space="0" w:color="auto"/>
              <w:right w:val="single" w:sz="4" w:space="0" w:color="auto"/>
            </w:tcBorders>
            <w:shd w:val="clear" w:color="000000"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2020 N</w:t>
            </w:r>
          </w:p>
        </w:tc>
        <w:tc>
          <w:tcPr>
            <w:tcW w:w="514" w:type="pct"/>
            <w:tcBorders>
              <w:top w:val="single" w:sz="4" w:space="0" w:color="auto"/>
              <w:left w:val="nil"/>
              <w:bottom w:val="single" w:sz="4" w:space="0" w:color="auto"/>
              <w:right w:val="single" w:sz="4" w:space="0" w:color="auto"/>
            </w:tcBorders>
            <w:shd w:val="clear" w:color="000000"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w:t>
            </w:r>
            <w:r>
              <w:rPr>
                <w:rFonts w:ascii="Times New Roman" w:hAnsi="Times New Roman" w:cs="Times New Roman"/>
                <w:b/>
                <w:bCs/>
                <w:color w:val="000000"/>
                <w:sz w:val="14"/>
                <w:szCs w:val="14"/>
                <w:lang w:eastAsia="sk-SK"/>
              </w:rPr>
              <w:t>1</w:t>
            </w:r>
            <w:r w:rsidRPr="00346A12">
              <w:rPr>
                <w:rFonts w:ascii="Times New Roman" w:hAnsi="Times New Roman" w:cs="Times New Roman"/>
                <w:b/>
                <w:bCs/>
                <w:color w:val="000000"/>
                <w:sz w:val="14"/>
                <w:szCs w:val="14"/>
                <w:lang w:eastAsia="sk-SK"/>
              </w:rPr>
              <w:t xml:space="preserve"> N</w:t>
            </w:r>
          </w:p>
        </w:tc>
      </w:tr>
      <w:tr w:rsidR="003A497B" w:rsidRPr="0053295A" w:rsidTr="003E1809">
        <w:trPr>
          <w:trHeight w:hRule="exact" w:val="284"/>
        </w:trPr>
        <w:tc>
          <w:tcPr>
            <w:tcW w:w="1261" w:type="pct"/>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bottom"/>
            <w:hideMark/>
          </w:tcPr>
          <w:p w:rsidR="003A497B" w:rsidRPr="00EB36DA" w:rsidRDefault="003A497B" w:rsidP="003E1809">
            <w:pPr>
              <w:rPr>
                <w:rFonts w:ascii="Times New Roman" w:hAnsi="Times New Roman" w:cs="Times New Roman"/>
                <w:b/>
                <w:color w:val="000000"/>
                <w:sz w:val="14"/>
                <w:szCs w:val="14"/>
                <w:lang w:eastAsia="sk-SK"/>
              </w:rPr>
            </w:pPr>
            <w:r w:rsidRPr="00EB36DA">
              <w:rPr>
                <w:rFonts w:ascii="Times New Roman" w:hAnsi="Times New Roman" w:cs="Times New Roman"/>
                <w:b/>
                <w:color w:val="000000"/>
                <w:sz w:val="14"/>
                <w:szCs w:val="14"/>
                <w:lang w:eastAsia="sk-SK"/>
              </w:rPr>
              <w:t>Spolu</w:t>
            </w:r>
          </w:p>
        </w:tc>
        <w:tc>
          <w:tcPr>
            <w:tcW w:w="549"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EB36DA" w:rsidRDefault="003A497B" w:rsidP="003E1809">
            <w:pPr>
              <w:jc w:val="right"/>
              <w:rPr>
                <w:rFonts w:ascii="Times New Roman" w:hAnsi="Times New Roman" w:cs="Times New Roman"/>
                <w:b/>
                <w:color w:val="000000"/>
                <w:sz w:val="14"/>
                <w:szCs w:val="14"/>
                <w:lang w:eastAsia="sk-SK"/>
              </w:rPr>
            </w:pPr>
            <w:r w:rsidRPr="00EB36DA">
              <w:rPr>
                <w:rFonts w:ascii="Times New Roman" w:hAnsi="Times New Roman" w:cs="Times New Roman"/>
                <w:b/>
                <w:color w:val="000000"/>
                <w:sz w:val="14"/>
                <w:szCs w:val="14"/>
                <w:lang w:eastAsia="sk-SK"/>
              </w:rPr>
              <w:t>8 320 000</w:t>
            </w:r>
          </w:p>
        </w:tc>
        <w:tc>
          <w:tcPr>
            <w:tcW w:w="526"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EB36DA" w:rsidRDefault="003A497B" w:rsidP="003E1809">
            <w:pPr>
              <w:jc w:val="right"/>
              <w:rPr>
                <w:rFonts w:ascii="Times New Roman" w:hAnsi="Times New Roman" w:cs="Times New Roman"/>
                <w:b/>
                <w:color w:val="000000"/>
                <w:sz w:val="14"/>
                <w:szCs w:val="14"/>
                <w:lang w:eastAsia="sk-SK"/>
              </w:rPr>
            </w:pPr>
            <w:r>
              <w:rPr>
                <w:rFonts w:ascii="Times New Roman" w:hAnsi="Times New Roman" w:cs="Times New Roman"/>
                <w:b/>
                <w:color w:val="000000"/>
                <w:sz w:val="14"/>
                <w:szCs w:val="14"/>
                <w:lang w:eastAsia="sk-SK"/>
              </w:rPr>
              <w:t>7 267 089</w:t>
            </w:r>
          </w:p>
        </w:tc>
        <w:tc>
          <w:tcPr>
            <w:tcW w:w="526"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EB36DA" w:rsidRDefault="003A497B" w:rsidP="003E1809">
            <w:pPr>
              <w:jc w:val="right"/>
              <w:rPr>
                <w:rFonts w:ascii="Times New Roman" w:hAnsi="Times New Roman" w:cs="Times New Roman"/>
                <w:b/>
                <w:color w:val="000000"/>
                <w:sz w:val="14"/>
                <w:szCs w:val="14"/>
                <w:lang w:eastAsia="sk-SK"/>
              </w:rPr>
            </w:pPr>
            <w:r w:rsidRPr="00EB36DA">
              <w:rPr>
                <w:rFonts w:ascii="Times New Roman" w:hAnsi="Times New Roman" w:cs="Times New Roman"/>
                <w:b/>
                <w:color w:val="000000"/>
                <w:sz w:val="14"/>
                <w:szCs w:val="14"/>
                <w:lang w:eastAsia="sk-SK"/>
              </w:rPr>
              <w:t>8 320 000</w:t>
            </w:r>
          </w:p>
        </w:tc>
        <w:tc>
          <w:tcPr>
            <w:tcW w:w="526"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8D399E" w:rsidRDefault="003A497B" w:rsidP="003E1809">
            <w:pPr>
              <w:jc w:val="right"/>
              <w:rPr>
                <w:rFonts w:ascii="Times New Roman" w:hAnsi="Times New Roman" w:cs="Times New Roman"/>
                <w:b/>
                <w:color w:val="000000"/>
                <w:sz w:val="14"/>
                <w:szCs w:val="14"/>
                <w:lang w:eastAsia="sk-SK"/>
              </w:rPr>
            </w:pPr>
            <w:r w:rsidRPr="008D399E">
              <w:rPr>
                <w:rFonts w:ascii="Times New Roman" w:hAnsi="Times New Roman" w:cs="Times New Roman"/>
                <w:b/>
                <w:color w:val="000000"/>
                <w:sz w:val="14"/>
                <w:szCs w:val="14"/>
                <w:lang w:eastAsia="sk-SK"/>
              </w:rPr>
              <w:t>8 320 000</w:t>
            </w:r>
          </w:p>
        </w:tc>
        <w:tc>
          <w:tcPr>
            <w:tcW w:w="572"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EB36DA" w:rsidRDefault="003A497B" w:rsidP="003E1809">
            <w:pPr>
              <w:jc w:val="right"/>
              <w:rPr>
                <w:rFonts w:ascii="Times New Roman" w:hAnsi="Times New Roman" w:cs="Times New Roman"/>
                <w:b/>
                <w:color w:val="000000"/>
                <w:sz w:val="14"/>
                <w:szCs w:val="14"/>
                <w:lang w:eastAsia="sk-SK"/>
              </w:rPr>
            </w:pPr>
            <w:r w:rsidRPr="00EB36DA">
              <w:rPr>
                <w:rFonts w:ascii="Times New Roman" w:hAnsi="Times New Roman" w:cs="Times New Roman"/>
                <w:b/>
                <w:color w:val="000000"/>
                <w:sz w:val="14"/>
                <w:szCs w:val="14"/>
                <w:lang w:eastAsia="sk-SK"/>
              </w:rPr>
              <w:t>8 320 000</w:t>
            </w:r>
          </w:p>
        </w:tc>
        <w:tc>
          <w:tcPr>
            <w:tcW w:w="526"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EB36DA" w:rsidRDefault="003A497B" w:rsidP="003E1809">
            <w:pPr>
              <w:jc w:val="right"/>
              <w:rPr>
                <w:rFonts w:ascii="Times New Roman" w:hAnsi="Times New Roman" w:cs="Times New Roman"/>
                <w:b/>
                <w:color w:val="000000"/>
                <w:sz w:val="14"/>
                <w:szCs w:val="14"/>
                <w:lang w:eastAsia="sk-SK"/>
              </w:rPr>
            </w:pPr>
            <w:r w:rsidRPr="00EB36DA">
              <w:rPr>
                <w:rFonts w:ascii="Times New Roman" w:hAnsi="Times New Roman" w:cs="Times New Roman"/>
                <w:b/>
                <w:color w:val="000000"/>
                <w:sz w:val="14"/>
                <w:szCs w:val="14"/>
                <w:lang w:eastAsia="sk-SK"/>
              </w:rPr>
              <w:t>8 320 000</w:t>
            </w:r>
          </w:p>
        </w:tc>
        <w:tc>
          <w:tcPr>
            <w:tcW w:w="514"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EB36DA" w:rsidRDefault="003A497B" w:rsidP="003E1809">
            <w:pPr>
              <w:jc w:val="right"/>
              <w:rPr>
                <w:rFonts w:ascii="Times New Roman" w:hAnsi="Times New Roman" w:cs="Times New Roman"/>
                <w:b/>
                <w:color w:val="000000"/>
                <w:sz w:val="14"/>
                <w:szCs w:val="14"/>
                <w:lang w:eastAsia="sk-SK"/>
              </w:rPr>
            </w:pPr>
            <w:r w:rsidRPr="00EB36DA">
              <w:rPr>
                <w:rFonts w:ascii="Times New Roman" w:hAnsi="Times New Roman" w:cs="Times New Roman"/>
                <w:b/>
                <w:color w:val="000000"/>
                <w:sz w:val="14"/>
                <w:szCs w:val="14"/>
                <w:lang w:eastAsia="sk-SK"/>
              </w:rPr>
              <w:t>8 320 000</w:t>
            </w:r>
          </w:p>
        </w:tc>
      </w:tr>
      <w:tr w:rsidR="003A497B" w:rsidRPr="0053295A" w:rsidTr="003E1809">
        <w:trPr>
          <w:trHeight w:hRule="exact" w:val="284"/>
        </w:trPr>
        <w:tc>
          <w:tcPr>
            <w:tcW w:w="1261" w:type="pct"/>
            <w:tcBorders>
              <w:top w:val="nil"/>
              <w:left w:val="single" w:sz="4" w:space="0" w:color="auto"/>
              <w:bottom w:val="single" w:sz="4" w:space="0" w:color="auto"/>
              <w:right w:val="single" w:sz="4" w:space="0" w:color="auto"/>
            </w:tcBorders>
            <w:shd w:val="clear" w:color="auto" w:fill="auto"/>
            <w:noWrap/>
            <w:vAlign w:val="bottom"/>
            <w:hideMark/>
          </w:tcPr>
          <w:p w:rsidR="003A497B" w:rsidRPr="0053295A" w:rsidRDefault="003A497B" w:rsidP="003E1809">
            <w:pPr>
              <w:rPr>
                <w:rFonts w:ascii="Times New Roman" w:hAnsi="Times New Roman" w:cs="Times New Roman"/>
                <w:color w:val="000000"/>
                <w:sz w:val="14"/>
                <w:szCs w:val="14"/>
                <w:lang w:eastAsia="sk-SK"/>
              </w:rPr>
            </w:pPr>
            <w:r w:rsidRPr="0053295A">
              <w:rPr>
                <w:rFonts w:ascii="Times New Roman" w:hAnsi="Times New Roman" w:cs="Times New Roman"/>
                <w:color w:val="000000"/>
                <w:sz w:val="14"/>
                <w:szCs w:val="14"/>
                <w:lang w:eastAsia="sk-SK"/>
              </w:rPr>
              <w:t>Výstavba a obnova železničnej siete</w:t>
            </w:r>
          </w:p>
        </w:tc>
        <w:tc>
          <w:tcPr>
            <w:tcW w:w="549" w:type="pct"/>
            <w:tcBorders>
              <w:top w:val="nil"/>
              <w:left w:val="nil"/>
              <w:bottom w:val="single" w:sz="4" w:space="0" w:color="auto"/>
              <w:right w:val="single" w:sz="4" w:space="0" w:color="auto"/>
            </w:tcBorders>
            <w:shd w:val="clear" w:color="auto" w:fill="auto"/>
            <w:noWrap/>
            <w:vAlign w:val="bottom"/>
            <w:hideMark/>
          </w:tcPr>
          <w:p w:rsidR="003A497B" w:rsidRPr="0053295A" w:rsidRDefault="003A497B" w:rsidP="003E1809">
            <w:pPr>
              <w:jc w:val="right"/>
              <w:rPr>
                <w:rFonts w:ascii="Times New Roman" w:hAnsi="Times New Roman" w:cs="Times New Roman"/>
                <w:color w:val="000000"/>
                <w:sz w:val="14"/>
                <w:szCs w:val="14"/>
                <w:lang w:eastAsia="sk-SK"/>
              </w:rPr>
            </w:pPr>
            <w:r w:rsidRPr="0053295A">
              <w:rPr>
                <w:rFonts w:ascii="Times New Roman" w:hAnsi="Times New Roman" w:cs="Times New Roman"/>
                <w:color w:val="000000"/>
                <w:sz w:val="14"/>
                <w:szCs w:val="14"/>
                <w:lang w:eastAsia="sk-SK"/>
              </w:rPr>
              <w:t>8 320 000</w:t>
            </w:r>
          </w:p>
        </w:tc>
        <w:tc>
          <w:tcPr>
            <w:tcW w:w="526" w:type="pct"/>
            <w:tcBorders>
              <w:top w:val="nil"/>
              <w:left w:val="nil"/>
              <w:bottom w:val="single" w:sz="4" w:space="0" w:color="auto"/>
              <w:right w:val="single" w:sz="4" w:space="0" w:color="auto"/>
            </w:tcBorders>
            <w:shd w:val="clear" w:color="auto" w:fill="auto"/>
            <w:noWrap/>
            <w:vAlign w:val="bottom"/>
            <w:hideMark/>
          </w:tcPr>
          <w:p w:rsidR="003A497B" w:rsidRPr="0053295A" w:rsidRDefault="003A497B" w:rsidP="003E1809">
            <w:pPr>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7 267 089</w:t>
            </w:r>
          </w:p>
        </w:tc>
        <w:tc>
          <w:tcPr>
            <w:tcW w:w="526" w:type="pct"/>
            <w:tcBorders>
              <w:top w:val="nil"/>
              <w:left w:val="nil"/>
              <w:bottom w:val="single" w:sz="4" w:space="0" w:color="auto"/>
              <w:right w:val="single" w:sz="4" w:space="0" w:color="auto"/>
            </w:tcBorders>
            <w:shd w:val="clear" w:color="000000" w:fill="FFFFFF"/>
            <w:noWrap/>
            <w:vAlign w:val="bottom"/>
            <w:hideMark/>
          </w:tcPr>
          <w:p w:rsidR="003A497B" w:rsidRPr="0053295A" w:rsidRDefault="003A497B" w:rsidP="003E1809">
            <w:pPr>
              <w:jc w:val="right"/>
              <w:rPr>
                <w:rFonts w:ascii="Times New Roman" w:hAnsi="Times New Roman" w:cs="Times New Roman"/>
                <w:color w:val="000000"/>
                <w:sz w:val="14"/>
                <w:szCs w:val="14"/>
                <w:lang w:eastAsia="sk-SK"/>
              </w:rPr>
            </w:pPr>
            <w:r w:rsidRPr="0053295A">
              <w:rPr>
                <w:rFonts w:ascii="Times New Roman" w:hAnsi="Times New Roman" w:cs="Times New Roman"/>
                <w:color w:val="000000"/>
                <w:sz w:val="14"/>
                <w:szCs w:val="14"/>
                <w:lang w:eastAsia="sk-SK"/>
              </w:rPr>
              <w:t>8 320 000</w:t>
            </w:r>
          </w:p>
        </w:tc>
        <w:tc>
          <w:tcPr>
            <w:tcW w:w="526" w:type="pct"/>
            <w:tcBorders>
              <w:top w:val="nil"/>
              <w:left w:val="nil"/>
              <w:bottom w:val="single" w:sz="4" w:space="0" w:color="auto"/>
              <w:right w:val="single" w:sz="4" w:space="0" w:color="auto"/>
            </w:tcBorders>
            <w:shd w:val="clear" w:color="auto" w:fill="auto"/>
            <w:noWrap/>
            <w:vAlign w:val="bottom"/>
            <w:hideMark/>
          </w:tcPr>
          <w:p w:rsidR="003A497B" w:rsidRPr="0053295A" w:rsidRDefault="003A497B" w:rsidP="003E1809">
            <w:pPr>
              <w:jc w:val="right"/>
              <w:rPr>
                <w:rFonts w:ascii="Times New Roman" w:hAnsi="Times New Roman" w:cs="Times New Roman"/>
                <w:color w:val="000000"/>
                <w:sz w:val="14"/>
                <w:szCs w:val="14"/>
                <w:lang w:eastAsia="sk-SK"/>
              </w:rPr>
            </w:pPr>
            <w:r w:rsidRPr="0053295A">
              <w:rPr>
                <w:rFonts w:ascii="Times New Roman" w:hAnsi="Times New Roman" w:cs="Times New Roman"/>
                <w:color w:val="000000"/>
                <w:sz w:val="14"/>
                <w:szCs w:val="14"/>
                <w:lang w:eastAsia="sk-SK"/>
              </w:rPr>
              <w:t>8 320 000</w:t>
            </w:r>
          </w:p>
        </w:tc>
        <w:tc>
          <w:tcPr>
            <w:tcW w:w="572" w:type="pct"/>
            <w:tcBorders>
              <w:top w:val="nil"/>
              <w:left w:val="nil"/>
              <w:bottom w:val="single" w:sz="4" w:space="0" w:color="auto"/>
              <w:right w:val="single" w:sz="4" w:space="0" w:color="auto"/>
            </w:tcBorders>
            <w:shd w:val="clear" w:color="000000" w:fill="FFFFFF"/>
            <w:noWrap/>
            <w:vAlign w:val="bottom"/>
            <w:hideMark/>
          </w:tcPr>
          <w:p w:rsidR="003A497B" w:rsidRPr="0053295A" w:rsidRDefault="003A497B" w:rsidP="003E1809">
            <w:pPr>
              <w:jc w:val="right"/>
              <w:rPr>
                <w:rFonts w:ascii="Times New Roman" w:hAnsi="Times New Roman" w:cs="Times New Roman"/>
                <w:color w:val="000000"/>
                <w:sz w:val="14"/>
                <w:szCs w:val="14"/>
                <w:lang w:eastAsia="sk-SK"/>
              </w:rPr>
            </w:pPr>
            <w:r w:rsidRPr="0053295A">
              <w:rPr>
                <w:rFonts w:ascii="Times New Roman" w:hAnsi="Times New Roman" w:cs="Times New Roman"/>
                <w:color w:val="000000"/>
                <w:sz w:val="14"/>
                <w:szCs w:val="14"/>
                <w:lang w:eastAsia="sk-SK"/>
              </w:rPr>
              <w:t>8 320 000</w:t>
            </w:r>
          </w:p>
        </w:tc>
        <w:tc>
          <w:tcPr>
            <w:tcW w:w="526" w:type="pct"/>
            <w:tcBorders>
              <w:top w:val="nil"/>
              <w:left w:val="nil"/>
              <w:bottom w:val="single" w:sz="4" w:space="0" w:color="auto"/>
              <w:right w:val="single" w:sz="4" w:space="0" w:color="auto"/>
            </w:tcBorders>
            <w:shd w:val="clear" w:color="000000" w:fill="FFFFFF"/>
            <w:noWrap/>
            <w:vAlign w:val="bottom"/>
            <w:hideMark/>
          </w:tcPr>
          <w:p w:rsidR="003A497B" w:rsidRPr="0053295A" w:rsidRDefault="003A497B" w:rsidP="003E1809">
            <w:pPr>
              <w:jc w:val="right"/>
              <w:rPr>
                <w:rFonts w:ascii="Times New Roman" w:hAnsi="Times New Roman" w:cs="Times New Roman"/>
                <w:color w:val="000000"/>
                <w:sz w:val="14"/>
                <w:szCs w:val="14"/>
                <w:lang w:eastAsia="sk-SK"/>
              </w:rPr>
            </w:pPr>
            <w:r w:rsidRPr="0053295A">
              <w:rPr>
                <w:rFonts w:ascii="Times New Roman" w:hAnsi="Times New Roman" w:cs="Times New Roman"/>
                <w:color w:val="000000"/>
                <w:sz w:val="14"/>
                <w:szCs w:val="14"/>
                <w:lang w:eastAsia="sk-SK"/>
              </w:rPr>
              <w:t>8 320 000</w:t>
            </w:r>
          </w:p>
        </w:tc>
        <w:tc>
          <w:tcPr>
            <w:tcW w:w="514" w:type="pct"/>
            <w:tcBorders>
              <w:top w:val="nil"/>
              <w:left w:val="nil"/>
              <w:bottom w:val="single" w:sz="4" w:space="0" w:color="auto"/>
              <w:right w:val="single" w:sz="4" w:space="0" w:color="auto"/>
            </w:tcBorders>
            <w:shd w:val="clear" w:color="000000" w:fill="FFFFFF"/>
            <w:noWrap/>
            <w:vAlign w:val="bottom"/>
            <w:hideMark/>
          </w:tcPr>
          <w:p w:rsidR="003A497B" w:rsidRPr="0053295A" w:rsidRDefault="003A497B" w:rsidP="003E1809">
            <w:pPr>
              <w:jc w:val="right"/>
              <w:rPr>
                <w:rFonts w:ascii="Times New Roman" w:hAnsi="Times New Roman" w:cs="Times New Roman"/>
                <w:color w:val="000000"/>
                <w:sz w:val="14"/>
                <w:szCs w:val="14"/>
                <w:lang w:eastAsia="sk-SK"/>
              </w:rPr>
            </w:pPr>
            <w:r w:rsidRPr="0053295A">
              <w:rPr>
                <w:rFonts w:ascii="Times New Roman" w:hAnsi="Times New Roman" w:cs="Times New Roman"/>
                <w:color w:val="000000"/>
                <w:sz w:val="14"/>
                <w:szCs w:val="14"/>
                <w:lang w:eastAsia="sk-SK"/>
              </w:rPr>
              <w:t>8 320 000</w:t>
            </w:r>
          </w:p>
        </w:tc>
      </w:tr>
    </w:tbl>
    <w:p w:rsidR="003A497B" w:rsidRPr="0053295A" w:rsidRDefault="003A497B" w:rsidP="003A497B">
      <w:pPr>
        <w:ind w:firstLine="709"/>
        <w:jc w:val="both"/>
        <w:rPr>
          <w:rFonts w:ascii="Times New Roman" w:hAnsi="Times New Roman" w:cs="Times New Roman"/>
          <w:sz w:val="16"/>
          <w:szCs w:val="16"/>
          <w:highlight w:val="yellow"/>
        </w:rPr>
      </w:pPr>
    </w:p>
    <w:p w:rsidR="003A497B" w:rsidRDefault="003A497B" w:rsidP="003A497B">
      <w:pPr>
        <w:ind w:firstLine="709"/>
        <w:jc w:val="both"/>
        <w:rPr>
          <w:rFonts w:ascii="Times New Roman" w:hAnsi="Times New Roman" w:cs="Times New Roman"/>
        </w:rPr>
      </w:pPr>
      <w:r w:rsidRPr="00546390">
        <w:rPr>
          <w:rFonts w:ascii="Times New Roman" w:hAnsi="Times New Roman" w:cs="Times New Roman"/>
        </w:rPr>
        <w:t>Na projekty rozvoja a modernizácie železničnej dopravnej cesty sa rozpočtujú výdavky na rok 201</w:t>
      </w:r>
      <w:r>
        <w:rPr>
          <w:rFonts w:ascii="Times New Roman" w:hAnsi="Times New Roman" w:cs="Times New Roman"/>
        </w:rPr>
        <w:t>9</w:t>
      </w:r>
      <w:r w:rsidRPr="00546390">
        <w:rPr>
          <w:rFonts w:ascii="Times New Roman" w:hAnsi="Times New Roman" w:cs="Times New Roman"/>
        </w:rPr>
        <w:t xml:space="preserve"> v sume 8,32 mil. eur. Výška rozpočtovaných výdavkov je na úrovni schváleného rozpočtu roku 201</w:t>
      </w:r>
      <w:r>
        <w:rPr>
          <w:rFonts w:ascii="Times New Roman" w:hAnsi="Times New Roman" w:cs="Times New Roman"/>
        </w:rPr>
        <w:t>8</w:t>
      </w:r>
      <w:r w:rsidRPr="00546390">
        <w:rPr>
          <w:rFonts w:ascii="Times New Roman" w:hAnsi="Times New Roman" w:cs="Times New Roman"/>
        </w:rPr>
        <w:t xml:space="preserve">. Výdavkami sa realizuje </w:t>
      </w:r>
      <w:r>
        <w:rPr>
          <w:rFonts w:ascii="Times New Roman" w:hAnsi="Times New Roman" w:cs="Times New Roman"/>
        </w:rPr>
        <w:t>výstavba a obnova železničnej siete, rekonštrukcia trakčného vedenia,</w:t>
      </w:r>
      <w:r w:rsidRPr="00546390">
        <w:rPr>
          <w:rFonts w:ascii="Times New Roman" w:hAnsi="Times New Roman" w:cs="Times New Roman"/>
        </w:rPr>
        <w:t xml:space="preserve"> realizácia opatrení na zníženie počtu nezabezpečených priecestí a ďalšie výdavky súvisiace s rozvojom a modernizáciou železničnej infraštruktúry</w:t>
      </w:r>
      <w:r>
        <w:rPr>
          <w:rFonts w:ascii="Times New Roman" w:hAnsi="Times New Roman" w:cs="Times New Roman"/>
        </w:rPr>
        <w:t xml:space="preserve"> Železnicami Slovenskej republiky (ďalej len „ŽSR“)</w:t>
      </w:r>
      <w:r w:rsidRPr="00546390">
        <w:rPr>
          <w:rFonts w:ascii="Times New Roman" w:hAnsi="Times New Roman" w:cs="Times New Roman"/>
        </w:rPr>
        <w:t xml:space="preserve">. </w:t>
      </w:r>
    </w:p>
    <w:p w:rsidR="003A497B" w:rsidRPr="00775C7E" w:rsidRDefault="003A497B" w:rsidP="003A497B">
      <w:pPr>
        <w:ind w:firstLine="709"/>
        <w:jc w:val="both"/>
        <w:rPr>
          <w:rFonts w:ascii="Times New Roman" w:hAnsi="Times New Roman" w:cs="Times New Roman"/>
          <w:highlight w:val="yellow"/>
        </w:rPr>
      </w:pPr>
    </w:p>
    <w:p w:rsidR="003A497B" w:rsidRPr="00546390" w:rsidRDefault="003A497B" w:rsidP="003A497B">
      <w:pPr>
        <w:jc w:val="both"/>
        <w:rPr>
          <w:rFonts w:ascii="Times New Roman" w:hAnsi="Times New Roman" w:cs="Times New Roman"/>
          <w:i/>
          <w:u w:val="single"/>
        </w:rPr>
      </w:pPr>
      <w:r w:rsidRPr="00546390">
        <w:rPr>
          <w:rFonts w:ascii="Times New Roman" w:hAnsi="Times New Roman" w:cs="Times New Roman"/>
          <w:i/>
          <w:u w:val="single"/>
        </w:rPr>
        <w:t>Investície N</w:t>
      </w:r>
      <w:r>
        <w:rPr>
          <w:rFonts w:ascii="Times New Roman" w:hAnsi="Times New Roman" w:cs="Times New Roman"/>
          <w:i/>
          <w:u w:val="single"/>
        </w:rPr>
        <w:t>árodnej diaľničnej spoločnosti</w:t>
      </w:r>
      <w:r w:rsidRPr="00546390">
        <w:rPr>
          <w:rFonts w:ascii="Times New Roman" w:hAnsi="Times New Roman" w:cs="Times New Roman"/>
          <w:i/>
          <w:u w:val="single"/>
        </w:rPr>
        <w:t xml:space="preserve"> a Slovenskej správy ciest mimo OPII</w:t>
      </w:r>
    </w:p>
    <w:p w:rsidR="003A497B" w:rsidRPr="00775C7E" w:rsidRDefault="003A497B" w:rsidP="003A497B">
      <w:pPr>
        <w:jc w:val="both"/>
        <w:rPr>
          <w:rFonts w:ascii="Times New Roman" w:hAnsi="Times New Roman" w:cs="Times New Roman"/>
          <w:i/>
          <w:highlight w:val="yellow"/>
          <w:u w:val="single"/>
        </w:rPr>
      </w:pPr>
    </w:p>
    <w:tbl>
      <w:tblPr>
        <w:tblW w:w="5000" w:type="pct"/>
        <w:tblCellMar>
          <w:left w:w="70" w:type="dxa"/>
          <w:right w:w="70" w:type="dxa"/>
        </w:tblCellMar>
        <w:tblLook w:val="04A0" w:firstRow="1" w:lastRow="0" w:firstColumn="1" w:lastColumn="0" w:noHBand="0" w:noVBand="1"/>
      </w:tblPr>
      <w:tblGrid>
        <w:gridCol w:w="2663"/>
        <w:gridCol w:w="914"/>
        <w:gridCol w:w="915"/>
        <w:gridCol w:w="915"/>
        <w:gridCol w:w="915"/>
        <w:gridCol w:w="915"/>
        <w:gridCol w:w="915"/>
        <w:gridCol w:w="910"/>
      </w:tblGrid>
      <w:tr w:rsidR="003A497B" w:rsidRPr="00352E03" w:rsidTr="003E1809">
        <w:trPr>
          <w:trHeight w:hRule="exact" w:val="284"/>
        </w:trPr>
        <w:tc>
          <w:tcPr>
            <w:tcW w:w="1469"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546390" w:rsidRDefault="003A497B" w:rsidP="003E1809">
            <w:pPr>
              <w:rPr>
                <w:rFonts w:ascii="Times New Roman" w:hAnsi="Times New Roman" w:cs="Times New Roman"/>
                <w:b/>
                <w:bCs/>
                <w:color w:val="000000"/>
                <w:sz w:val="14"/>
                <w:szCs w:val="14"/>
              </w:rPr>
            </w:pPr>
            <w:r w:rsidRPr="00546390">
              <w:rPr>
                <w:rFonts w:ascii="Times New Roman" w:hAnsi="Times New Roman" w:cs="Times New Roman"/>
                <w:b/>
                <w:bCs/>
                <w:color w:val="000000"/>
                <w:sz w:val="14"/>
                <w:szCs w:val="14"/>
              </w:rPr>
              <w:t>v eurách</w:t>
            </w:r>
          </w:p>
        </w:tc>
        <w:tc>
          <w:tcPr>
            <w:tcW w:w="504"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2016 S</w:t>
            </w:r>
          </w:p>
        </w:tc>
        <w:tc>
          <w:tcPr>
            <w:tcW w:w="505"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2017 </w:t>
            </w:r>
            <w:r>
              <w:rPr>
                <w:rFonts w:ascii="Times New Roman" w:hAnsi="Times New Roman" w:cs="Times New Roman"/>
                <w:b/>
                <w:bCs/>
                <w:color w:val="000000"/>
                <w:sz w:val="14"/>
                <w:szCs w:val="14"/>
                <w:lang w:eastAsia="sk-SK"/>
              </w:rPr>
              <w:t>S</w:t>
            </w:r>
          </w:p>
        </w:tc>
        <w:tc>
          <w:tcPr>
            <w:tcW w:w="505"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346A12">
              <w:rPr>
                <w:rFonts w:ascii="Times New Roman" w:hAnsi="Times New Roman" w:cs="Times New Roman"/>
                <w:b/>
                <w:bCs/>
                <w:color w:val="000000"/>
                <w:sz w:val="14"/>
                <w:szCs w:val="14"/>
                <w:lang w:eastAsia="sk-SK"/>
              </w:rPr>
              <w:t xml:space="preserve"> </w:t>
            </w:r>
            <w:r>
              <w:rPr>
                <w:rFonts w:ascii="Times New Roman" w:hAnsi="Times New Roman" w:cs="Times New Roman"/>
                <w:b/>
                <w:bCs/>
                <w:color w:val="000000"/>
                <w:sz w:val="14"/>
                <w:szCs w:val="14"/>
                <w:lang w:eastAsia="sk-SK"/>
              </w:rPr>
              <w:t>R</w:t>
            </w:r>
          </w:p>
        </w:tc>
        <w:tc>
          <w:tcPr>
            <w:tcW w:w="505"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2018 </w:t>
            </w:r>
            <w:r>
              <w:rPr>
                <w:rFonts w:ascii="Times New Roman" w:hAnsi="Times New Roman" w:cs="Times New Roman"/>
                <w:b/>
                <w:bCs/>
                <w:color w:val="000000"/>
                <w:sz w:val="14"/>
                <w:szCs w:val="14"/>
                <w:lang w:eastAsia="sk-SK"/>
              </w:rPr>
              <w:t>OS</w:t>
            </w:r>
          </w:p>
        </w:tc>
        <w:tc>
          <w:tcPr>
            <w:tcW w:w="505"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2019 N</w:t>
            </w:r>
          </w:p>
        </w:tc>
        <w:tc>
          <w:tcPr>
            <w:tcW w:w="505"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2020 N</w:t>
            </w:r>
          </w:p>
        </w:tc>
        <w:tc>
          <w:tcPr>
            <w:tcW w:w="50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w:t>
            </w:r>
            <w:r>
              <w:rPr>
                <w:rFonts w:ascii="Times New Roman" w:hAnsi="Times New Roman" w:cs="Times New Roman"/>
                <w:b/>
                <w:bCs/>
                <w:color w:val="000000"/>
                <w:sz w:val="14"/>
                <w:szCs w:val="14"/>
                <w:lang w:eastAsia="sk-SK"/>
              </w:rPr>
              <w:t>1</w:t>
            </w:r>
            <w:r w:rsidRPr="00346A12">
              <w:rPr>
                <w:rFonts w:ascii="Times New Roman" w:hAnsi="Times New Roman" w:cs="Times New Roman"/>
                <w:b/>
                <w:bCs/>
                <w:color w:val="000000"/>
                <w:sz w:val="14"/>
                <w:szCs w:val="14"/>
                <w:lang w:eastAsia="sk-SK"/>
              </w:rPr>
              <w:t xml:space="preserve"> N</w:t>
            </w:r>
          </w:p>
        </w:tc>
      </w:tr>
      <w:tr w:rsidR="003A497B" w:rsidRPr="00352E03" w:rsidTr="003E1809">
        <w:trPr>
          <w:trHeight w:hRule="exact" w:val="284"/>
        </w:trPr>
        <w:tc>
          <w:tcPr>
            <w:tcW w:w="1469" w:type="pct"/>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bottom"/>
            <w:hideMark/>
          </w:tcPr>
          <w:p w:rsidR="003A497B" w:rsidRPr="00546390" w:rsidRDefault="003A497B" w:rsidP="003E1809">
            <w:pPr>
              <w:rPr>
                <w:rFonts w:ascii="Times New Roman" w:hAnsi="Times New Roman" w:cs="Times New Roman"/>
                <w:b/>
                <w:bCs/>
                <w:color w:val="000000"/>
                <w:sz w:val="14"/>
                <w:szCs w:val="14"/>
              </w:rPr>
            </w:pPr>
            <w:r w:rsidRPr="00546390">
              <w:rPr>
                <w:rFonts w:ascii="Times New Roman" w:hAnsi="Times New Roman" w:cs="Times New Roman"/>
                <w:b/>
                <w:bCs/>
                <w:color w:val="000000"/>
                <w:sz w:val="14"/>
                <w:szCs w:val="14"/>
              </w:rPr>
              <w:t>Spolu</w:t>
            </w:r>
          </w:p>
        </w:tc>
        <w:tc>
          <w:tcPr>
            <w:tcW w:w="504"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F41E45" w:rsidRDefault="003A497B" w:rsidP="003E1809">
            <w:pPr>
              <w:jc w:val="right"/>
              <w:rPr>
                <w:rFonts w:ascii="Times New Roman" w:hAnsi="Times New Roman" w:cs="Times New Roman"/>
                <w:b/>
                <w:bCs/>
                <w:color w:val="000000"/>
                <w:sz w:val="14"/>
                <w:szCs w:val="14"/>
                <w:lang w:eastAsia="sk-SK"/>
              </w:rPr>
            </w:pPr>
            <w:r w:rsidRPr="00F41E45">
              <w:rPr>
                <w:rFonts w:ascii="Times New Roman" w:hAnsi="Times New Roman" w:cs="Times New Roman"/>
                <w:b/>
                <w:bCs/>
                <w:color w:val="000000"/>
                <w:sz w:val="14"/>
                <w:szCs w:val="14"/>
              </w:rPr>
              <w:t>131 369 091</w:t>
            </w:r>
          </w:p>
        </w:tc>
        <w:tc>
          <w:tcPr>
            <w:tcW w:w="505"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F41E45" w:rsidRDefault="003A497B" w:rsidP="003E1809">
            <w:pPr>
              <w:jc w:val="right"/>
              <w:rPr>
                <w:rFonts w:ascii="Times New Roman" w:hAnsi="Times New Roman" w:cs="Times New Roman"/>
                <w:b/>
                <w:bCs/>
                <w:color w:val="000000"/>
                <w:sz w:val="14"/>
                <w:szCs w:val="14"/>
              </w:rPr>
            </w:pPr>
            <w:r w:rsidRPr="00F41E45">
              <w:rPr>
                <w:rFonts w:ascii="Times New Roman" w:hAnsi="Times New Roman" w:cs="Times New Roman"/>
                <w:b/>
                <w:bCs/>
                <w:color w:val="000000"/>
                <w:sz w:val="14"/>
                <w:szCs w:val="14"/>
              </w:rPr>
              <w:t>199 611 561</w:t>
            </w:r>
          </w:p>
        </w:tc>
        <w:tc>
          <w:tcPr>
            <w:tcW w:w="505"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F41E45" w:rsidRDefault="003A497B" w:rsidP="003E1809">
            <w:pPr>
              <w:jc w:val="right"/>
              <w:rPr>
                <w:rFonts w:ascii="Times New Roman" w:hAnsi="Times New Roman" w:cs="Times New Roman"/>
                <w:b/>
                <w:bCs/>
                <w:color w:val="000000"/>
                <w:sz w:val="14"/>
                <w:szCs w:val="14"/>
              </w:rPr>
            </w:pPr>
            <w:r w:rsidRPr="00F41E45">
              <w:rPr>
                <w:rFonts w:ascii="Times New Roman" w:hAnsi="Times New Roman" w:cs="Times New Roman"/>
                <w:b/>
                <w:bCs/>
                <w:color w:val="000000"/>
                <w:sz w:val="14"/>
                <w:szCs w:val="14"/>
              </w:rPr>
              <w:t>34 369 632</w:t>
            </w:r>
          </w:p>
        </w:tc>
        <w:tc>
          <w:tcPr>
            <w:tcW w:w="505"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F41E45" w:rsidRDefault="003A497B" w:rsidP="003E180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62 913 719</w:t>
            </w:r>
          </w:p>
        </w:tc>
        <w:tc>
          <w:tcPr>
            <w:tcW w:w="505"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F41E45" w:rsidRDefault="003A497B" w:rsidP="003E1809">
            <w:pPr>
              <w:jc w:val="right"/>
              <w:rPr>
                <w:rFonts w:ascii="Times New Roman" w:hAnsi="Times New Roman" w:cs="Times New Roman"/>
                <w:b/>
                <w:bCs/>
                <w:color w:val="000000"/>
                <w:sz w:val="14"/>
                <w:szCs w:val="14"/>
              </w:rPr>
            </w:pPr>
            <w:r w:rsidRPr="00F41E45">
              <w:rPr>
                <w:rFonts w:ascii="Times New Roman" w:hAnsi="Times New Roman" w:cs="Times New Roman"/>
                <w:b/>
                <w:bCs/>
                <w:color w:val="000000"/>
                <w:sz w:val="14"/>
                <w:szCs w:val="14"/>
              </w:rPr>
              <w:t>34 369 632</w:t>
            </w:r>
          </w:p>
        </w:tc>
        <w:tc>
          <w:tcPr>
            <w:tcW w:w="505"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F41E45" w:rsidRDefault="003A497B" w:rsidP="003E1809">
            <w:pPr>
              <w:jc w:val="right"/>
              <w:rPr>
                <w:rFonts w:ascii="Times New Roman" w:hAnsi="Times New Roman" w:cs="Times New Roman"/>
                <w:b/>
                <w:bCs/>
                <w:color w:val="000000"/>
                <w:sz w:val="14"/>
                <w:szCs w:val="14"/>
              </w:rPr>
            </w:pPr>
            <w:r w:rsidRPr="00F41E45">
              <w:rPr>
                <w:rFonts w:ascii="Times New Roman" w:hAnsi="Times New Roman" w:cs="Times New Roman"/>
                <w:b/>
                <w:bCs/>
                <w:color w:val="000000"/>
                <w:sz w:val="14"/>
                <w:szCs w:val="14"/>
              </w:rPr>
              <w:t>34 369 632</w:t>
            </w:r>
          </w:p>
        </w:tc>
        <w:tc>
          <w:tcPr>
            <w:tcW w:w="502"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F41E45" w:rsidRDefault="003A497B" w:rsidP="003E1809">
            <w:pPr>
              <w:jc w:val="right"/>
              <w:rPr>
                <w:rFonts w:ascii="Times New Roman" w:hAnsi="Times New Roman" w:cs="Times New Roman"/>
                <w:b/>
                <w:bCs/>
                <w:color w:val="000000"/>
                <w:sz w:val="14"/>
                <w:szCs w:val="14"/>
              </w:rPr>
            </w:pPr>
            <w:r w:rsidRPr="00F41E45">
              <w:rPr>
                <w:rFonts w:ascii="Times New Roman" w:hAnsi="Times New Roman" w:cs="Times New Roman"/>
                <w:b/>
                <w:bCs/>
                <w:color w:val="000000"/>
                <w:sz w:val="14"/>
                <w:szCs w:val="14"/>
              </w:rPr>
              <w:t>34 369 632</w:t>
            </w:r>
          </w:p>
        </w:tc>
      </w:tr>
      <w:tr w:rsidR="003A497B" w:rsidRPr="00352E03" w:rsidTr="003E1809">
        <w:trPr>
          <w:trHeight w:hRule="exact" w:val="284"/>
        </w:trPr>
        <w:tc>
          <w:tcPr>
            <w:tcW w:w="1469" w:type="pct"/>
            <w:tcBorders>
              <w:top w:val="nil"/>
              <w:left w:val="single" w:sz="4" w:space="0" w:color="auto"/>
              <w:bottom w:val="single" w:sz="4" w:space="0" w:color="auto"/>
              <w:right w:val="single" w:sz="4" w:space="0" w:color="auto"/>
            </w:tcBorders>
            <w:shd w:val="clear" w:color="auto" w:fill="auto"/>
            <w:noWrap/>
            <w:vAlign w:val="bottom"/>
            <w:hideMark/>
          </w:tcPr>
          <w:p w:rsidR="003A497B" w:rsidRPr="00352E03" w:rsidRDefault="003A497B" w:rsidP="003E1809">
            <w:pPr>
              <w:rPr>
                <w:rFonts w:ascii="Times New Roman" w:hAnsi="Times New Roman" w:cs="Times New Roman"/>
                <w:color w:val="000000"/>
                <w:sz w:val="14"/>
                <w:szCs w:val="14"/>
                <w:lang w:eastAsia="sk-SK"/>
              </w:rPr>
            </w:pPr>
            <w:r w:rsidRPr="00352E03">
              <w:rPr>
                <w:rFonts w:ascii="Times New Roman" w:hAnsi="Times New Roman" w:cs="Times New Roman"/>
                <w:color w:val="000000"/>
                <w:sz w:val="14"/>
                <w:szCs w:val="14"/>
                <w:lang w:eastAsia="sk-SK"/>
              </w:rPr>
              <w:t xml:space="preserve">NDS výdavky zo ŠR mimo OPD </w:t>
            </w:r>
          </w:p>
        </w:tc>
        <w:tc>
          <w:tcPr>
            <w:tcW w:w="504"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92 005 037</w:t>
            </w:r>
          </w:p>
        </w:tc>
        <w:tc>
          <w:tcPr>
            <w:tcW w:w="505"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31 400 000</w:t>
            </w:r>
          </w:p>
        </w:tc>
        <w:tc>
          <w:tcPr>
            <w:tcW w:w="505" w:type="pct"/>
            <w:tcBorders>
              <w:top w:val="nil"/>
              <w:left w:val="nil"/>
              <w:bottom w:val="single" w:sz="4" w:space="0" w:color="auto"/>
              <w:right w:val="single" w:sz="4" w:space="0" w:color="auto"/>
            </w:tcBorders>
            <w:shd w:val="clear" w:color="000000" w:fill="FFFFFF"/>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31 400 000</w:t>
            </w:r>
          </w:p>
        </w:tc>
        <w:tc>
          <w:tcPr>
            <w:tcW w:w="505"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31 400 000</w:t>
            </w:r>
          </w:p>
        </w:tc>
        <w:tc>
          <w:tcPr>
            <w:tcW w:w="505" w:type="pct"/>
            <w:tcBorders>
              <w:top w:val="nil"/>
              <w:left w:val="nil"/>
              <w:bottom w:val="single" w:sz="4" w:space="0" w:color="auto"/>
              <w:right w:val="single" w:sz="4" w:space="0" w:color="auto"/>
            </w:tcBorders>
            <w:shd w:val="clear" w:color="000000" w:fill="FFFFFF"/>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31 400 000</w:t>
            </w:r>
          </w:p>
        </w:tc>
        <w:tc>
          <w:tcPr>
            <w:tcW w:w="505" w:type="pct"/>
            <w:tcBorders>
              <w:top w:val="nil"/>
              <w:left w:val="nil"/>
              <w:bottom w:val="single" w:sz="4" w:space="0" w:color="auto"/>
              <w:right w:val="single" w:sz="4" w:space="0" w:color="auto"/>
            </w:tcBorders>
            <w:shd w:val="clear" w:color="000000" w:fill="FFFFFF"/>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31 400 000</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31 400 000</w:t>
            </w:r>
          </w:p>
        </w:tc>
      </w:tr>
      <w:tr w:rsidR="003A497B" w:rsidRPr="00352E03" w:rsidTr="003E1809">
        <w:trPr>
          <w:trHeight w:hRule="exact" w:val="284"/>
        </w:trPr>
        <w:tc>
          <w:tcPr>
            <w:tcW w:w="1469" w:type="pct"/>
            <w:tcBorders>
              <w:top w:val="nil"/>
              <w:left w:val="single" w:sz="4" w:space="0" w:color="auto"/>
              <w:bottom w:val="single" w:sz="4" w:space="0" w:color="auto"/>
              <w:right w:val="single" w:sz="4" w:space="0" w:color="auto"/>
            </w:tcBorders>
            <w:shd w:val="clear" w:color="auto" w:fill="auto"/>
            <w:noWrap/>
            <w:vAlign w:val="bottom"/>
            <w:hideMark/>
          </w:tcPr>
          <w:p w:rsidR="003A497B" w:rsidRPr="00352E03" w:rsidRDefault="003A497B" w:rsidP="003E1809">
            <w:pPr>
              <w:rPr>
                <w:rFonts w:ascii="Times New Roman" w:hAnsi="Times New Roman" w:cs="Times New Roman"/>
                <w:color w:val="000000"/>
                <w:sz w:val="14"/>
                <w:szCs w:val="14"/>
                <w:lang w:eastAsia="sk-SK"/>
              </w:rPr>
            </w:pPr>
            <w:r w:rsidRPr="00352E03">
              <w:rPr>
                <w:rFonts w:ascii="Times New Roman" w:hAnsi="Times New Roman" w:cs="Times New Roman"/>
                <w:color w:val="000000"/>
                <w:sz w:val="14"/>
                <w:szCs w:val="14"/>
                <w:lang w:eastAsia="sk-SK"/>
              </w:rPr>
              <w:t>SSC výdavky zo ŠR mimo OPD</w:t>
            </w:r>
          </w:p>
        </w:tc>
        <w:tc>
          <w:tcPr>
            <w:tcW w:w="504"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39 364 054</w:t>
            </w:r>
          </w:p>
        </w:tc>
        <w:tc>
          <w:tcPr>
            <w:tcW w:w="505"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168 211 561</w:t>
            </w:r>
          </w:p>
        </w:tc>
        <w:tc>
          <w:tcPr>
            <w:tcW w:w="505" w:type="pct"/>
            <w:tcBorders>
              <w:top w:val="nil"/>
              <w:left w:val="nil"/>
              <w:bottom w:val="single" w:sz="4" w:space="0" w:color="auto"/>
              <w:right w:val="single" w:sz="4" w:space="0" w:color="auto"/>
            </w:tcBorders>
            <w:shd w:val="clear" w:color="000000" w:fill="FFFFFF"/>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2 969 632</w:t>
            </w:r>
          </w:p>
        </w:tc>
        <w:tc>
          <w:tcPr>
            <w:tcW w:w="505"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31 513 719</w:t>
            </w:r>
          </w:p>
        </w:tc>
        <w:tc>
          <w:tcPr>
            <w:tcW w:w="505" w:type="pct"/>
            <w:tcBorders>
              <w:top w:val="nil"/>
              <w:left w:val="nil"/>
              <w:bottom w:val="single" w:sz="4" w:space="0" w:color="auto"/>
              <w:right w:val="single" w:sz="4" w:space="0" w:color="auto"/>
            </w:tcBorders>
            <w:shd w:val="clear" w:color="000000" w:fill="FFFFFF"/>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2 969 632</w:t>
            </w:r>
          </w:p>
        </w:tc>
        <w:tc>
          <w:tcPr>
            <w:tcW w:w="505" w:type="pct"/>
            <w:tcBorders>
              <w:top w:val="nil"/>
              <w:left w:val="nil"/>
              <w:bottom w:val="single" w:sz="4" w:space="0" w:color="auto"/>
              <w:right w:val="single" w:sz="4" w:space="0" w:color="auto"/>
            </w:tcBorders>
            <w:shd w:val="clear" w:color="000000" w:fill="FFFFFF"/>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2 969 632</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2 969 632</w:t>
            </w:r>
          </w:p>
        </w:tc>
      </w:tr>
    </w:tbl>
    <w:p w:rsidR="003A497B" w:rsidRPr="00775C7E" w:rsidRDefault="003A497B" w:rsidP="003A497B">
      <w:pPr>
        <w:jc w:val="both"/>
        <w:rPr>
          <w:rFonts w:ascii="Times New Roman" w:hAnsi="Times New Roman" w:cs="Times New Roman"/>
          <w:highlight w:val="yellow"/>
        </w:rPr>
      </w:pPr>
    </w:p>
    <w:p w:rsidR="003A497B" w:rsidRPr="00546390" w:rsidRDefault="003A497B" w:rsidP="003A497B">
      <w:pPr>
        <w:ind w:firstLine="709"/>
        <w:jc w:val="both"/>
        <w:rPr>
          <w:rFonts w:ascii="Times New Roman" w:hAnsi="Times New Roman" w:cs="Times New Roman"/>
        </w:rPr>
      </w:pPr>
      <w:r w:rsidRPr="00546390">
        <w:rPr>
          <w:rFonts w:ascii="Times New Roman" w:hAnsi="Times New Roman" w:cs="Times New Roman"/>
        </w:rPr>
        <w:t>Na investície realizované N</w:t>
      </w:r>
      <w:r>
        <w:rPr>
          <w:rFonts w:ascii="Times New Roman" w:hAnsi="Times New Roman" w:cs="Times New Roman"/>
        </w:rPr>
        <w:t>árodnou diaľničnou spoločnosťou (ďalej len „NDS“)</w:t>
      </w:r>
      <w:r w:rsidRPr="00546390">
        <w:rPr>
          <w:rFonts w:ascii="Times New Roman" w:hAnsi="Times New Roman" w:cs="Times New Roman"/>
        </w:rPr>
        <w:t xml:space="preserve"> a Slovenskou správou ciest (ďalej len „SSC“) mimo OPII sa rozpočtujú výdavky na rok 201</w:t>
      </w:r>
      <w:r>
        <w:rPr>
          <w:rFonts w:ascii="Times New Roman" w:hAnsi="Times New Roman" w:cs="Times New Roman"/>
        </w:rPr>
        <w:t>9</w:t>
      </w:r>
      <w:r w:rsidRPr="00546390">
        <w:rPr>
          <w:rFonts w:ascii="Times New Roman" w:hAnsi="Times New Roman" w:cs="Times New Roman"/>
        </w:rPr>
        <w:t xml:space="preserve"> v sume </w:t>
      </w:r>
      <w:r>
        <w:rPr>
          <w:rFonts w:ascii="Times New Roman" w:hAnsi="Times New Roman" w:cs="Times New Roman"/>
        </w:rPr>
        <w:t>34,4</w:t>
      </w:r>
      <w:r w:rsidRPr="00546390">
        <w:rPr>
          <w:rFonts w:ascii="Times New Roman" w:hAnsi="Times New Roman" w:cs="Times New Roman"/>
        </w:rPr>
        <w:t xml:space="preserve"> mil. eur, čo</w:t>
      </w:r>
      <w:r>
        <w:rPr>
          <w:rFonts w:ascii="Times New Roman" w:hAnsi="Times New Roman" w:cs="Times New Roman"/>
        </w:rPr>
        <w:t xml:space="preserve"> </w:t>
      </w:r>
      <w:r w:rsidRPr="00546390">
        <w:rPr>
          <w:rFonts w:ascii="Times New Roman" w:hAnsi="Times New Roman" w:cs="Times New Roman"/>
        </w:rPr>
        <w:t>je na úrovni schváleného rozpočtu roku 201</w:t>
      </w:r>
      <w:r>
        <w:rPr>
          <w:rFonts w:ascii="Times New Roman" w:hAnsi="Times New Roman" w:cs="Times New Roman"/>
        </w:rPr>
        <w:t>8</w:t>
      </w:r>
      <w:r w:rsidRPr="00546390">
        <w:rPr>
          <w:rFonts w:ascii="Times New Roman" w:hAnsi="Times New Roman" w:cs="Times New Roman"/>
        </w:rPr>
        <w:t>.</w:t>
      </w:r>
    </w:p>
    <w:p w:rsidR="003A497B" w:rsidRPr="00775C7E" w:rsidRDefault="003A497B" w:rsidP="003A497B">
      <w:pPr>
        <w:jc w:val="both"/>
        <w:rPr>
          <w:rFonts w:ascii="Times New Roman" w:hAnsi="Times New Roman" w:cs="Times New Roman"/>
          <w:highlight w:val="yellow"/>
        </w:rPr>
      </w:pPr>
    </w:p>
    <w:p w:rsidR="003A497B" w:rsidRPr="00546390" w:rsidRDefault="003A497B" w:rsidP="003A497B">
      <w:pPr>
        <w:jc w:val="both"/>
        <w:rPr>
          <w:rFonts w:ascii="Times New Roman" w:hAnsi="Times New Roman" w:cs="Times New Roman"/>
          <w:i/>
          <w:u w:val="single"/>
        </w:rPr>
      </w:pPr>
      <w:r w:rsidRPr="00546390">
        <w:rPr>
          <w:rFonts w:ascii="Times New Roman" w:hAnsi="Times New Roman" w:cs="Times New Roman"/>
          <w:i/>
          <w:u w:val="single"/>
        </w:rPr>
        <w:t>Údržba a opravy ciest a diaľnic</w:t>
      </w:r>
    </w:p>
    <w:p w:rsidR="003A497B" w:rsidRDefault="003A497B" w:rsidP="003A497B">
      <w:pPr>
        <w:ind w:firstLine="709"/>
        <w:jc w:val="both"/>
        <w:rPr>
          <w:rFonts w:ascii="Times New Roman" w:hAnsi="Times New Roman" w:cs="Times New Roman"/>
          <w:highlight w:val="yellow"/>
        </w:rPr>
      </w:pPr>
    </w:p>
    <w:tbl>
      <w:tblPr>
        <w:tblW w:w="5000" w:type="pct"/>
        <w:tblCellMar>
          <w:left w:w="70" w:type="dxa"/>
          <w:right w:w="70" w:type="dxa"/>
        </w:tblCellMar>
        <w:tblLook w:val="04A0" w:firstRow="1" w:lastRow="0" w:firstColumn="1" w:lastColumn="0" w:noHBand="0" w:noVBand="1"/>
      </w:tblPr>
      <w:tblGrid>
        <w:gridCol w:w="2497"/>
        <w:gridCol w:w="962"/>
        <w:gridCol w:w="923"/>
        <w:gridCol w:w="923"/>
        <w:gridCol w:w="923"/>
        <w:gridCol w:w="1008"/>
        <w:gridCol w:w="923"/>
        <w:gridCol w:w="903"/>
      </w:tblGrid>
      <w:tr w:rsidR="003A497B" w:rsidRPr="001957B8" w:rsidTr="003E1809">
        <w:trPr>
          <w:trHeight w:val="300"/>
        </w:trPr>
        <w:tc>
          <w:tcPr>
            <w:tcW w:w="137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1957B8" w:rsidRDefault="003A497B" w:rsidP="003E1809">
            <w:pPr>
              <w:rPr>
                <w:rFonts w:ascii="Times New Roman" w:hAnsi="Times New Roman" w:cs="Times New Roman"/>
                <w:b/>
                <w:bCs/>
                <w:color w:val="000000"/>
                <w:sz w:val="14"/>
                <w:szCs w:val="14"/>
                <w:lang w:eastAsia="sk-SK"/>
              </w:rPr>
            </w:pPr>
            <w:r w:rsidRPr="001957B8">
              <w:rPr>
                <w:rFonts w:ascii="Times New Roman" w:hAnsi="Times New Roman" w:cs="Times New Roman"/>
                <w:b/>
                <w:bCs/>
                <w:color w:val="000000"/>
                <w:sz w:val="14"/>
                <w:szCs w:val="14"/>
                <w:lang w:eastAsia="sk-SK"/>
              </w:rPr>
              <w:t>Správa, údržba a opravy ciest a diaľnic</w:t>
            </w:r>
          </w:p>
        </w:tc>
        <w:tc>
          <w:tcPr>
            <w:tcW w:w="531"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2016 S</w:t>
            </w:r>
          </w:p>
        </w:tc>
        <w:tc>
          <w:tcPr>
            <w:tcW w:w="50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2017 </w:t>
            </w:r>
            <w:r>
              <w:rPr>
                <w:rFonts w:ascii="Times New Roman" w:hAnsi="Times New Roman" w:cs="Times New Roman"/>
                <w:b/>
                <w:bCs/>
                <w:color w:val="000000"/>
                <w:sz w:val="14"/>
                <w:szCs w:val="14"/>
                <w:lang w:eastAsia="sk-SK"/>
              </w:rPr>
              <w:t>S</w:t>
            </w:r>
          </w:p>
        </w:tc>
        <w:tc>
          <w:tcPr>
            <w:tcW w:w="50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346A12">
              <w:rPr>
                <w:rFonts w:ascii="Times New Roman" w:hAnsi="Times New Roman" w:cs="Times New Roman"/>
                <w:b/>
                <w:bCs/>
                <w:color w:val="000000"/>
                <w:sz w:val="14"/>
                <w:szCs w:val="14"/>
                <w:lang w:eastAsia="sk-SK"/>
              </w:rPr>
              <w:t xml:space="preserve"> </w:t>
            </w:r>
            <w:r>
              <w:rPr>
                <w:rFonts w:ascii="Times New Roman" w:hAnsi="Times New Roman" w:cs="Times New Roman"/>
                <w:b/>
                <w:bCs/>
                <w:color w:val="000000"/>
                <w:sz w:val="14"/>
                <w:szCs w:val="14"/>
                <w:lang w:eastAsia="sk-SK"/>
              </w:rPr>
              <w:t>R</w:t>
            </w:r>
          </w:p>
        </w:tc>
        <w:tc>
          <w:tcPr>
            <w:tcW w:w="50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2018 </w:t>
            </w:r>
            <w:r>
              <w:rPr>
                <w:rFonts w:ascii="Times New Roman" w:hAnsi="Times New Roman" w:cs="Times New Roman"/>
                <w:b/>
                <w:bCs/>
                <w:color w:val="000000"/>
                <w:sz w:val="14"/>
                <w:szCs w:val="14"/>
                <w:lang w:eastAsia="sk-SK"/>
              </w:rPr>
              <w:t>OS</w:t>
            </w:r>
          </w:p>
        </w:tc>
        <w:tc>
          <w:tcPr>
            <w:tcW w:w="556"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2019 N</w:t>
            </w:r>
          </w:p>
        </w:tc>
        <w:tc>
          <w:tcPr>
            <w:tcW w:w="50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2020 N</w:t>
            </w:r>
          </w:p>
        </w:tc>
        <w:tc>
          <w:tcPr>
            <w:tcW w:w="49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w:t>
            </w:r>
            <w:r>
              <w:rPr>
                <w:rFonts w:ascii="Times New Roman" w:hAnsi="Times New Roman" w:cs="Times New Roman"/>
                <w:b/>
                <w:bCs/>
                <w:color w:val="000000"/>
                <w:sz w:val="14"/>
                <w:szCs w:val="14"/>
                <w:lang w:eastAsia="sk-SK"/>
              </w:rPr>
              <w:t>1</w:t>
            </w:r>
            <w:r w:rsidRPr="00346A12">
              <w:rPr>
                <w:rFonts w:ascii="Times New Roman" w:hAnsi="Times New Roman" w:cs="Times New Roman"/>
                <w:b/>
                <w:bCs/>
                <w:color w:val="000000"/>
                <w:sz w:val="14"/>
                <w:szCs w:val="14"/>
                <w:lang w:eastAsia="sk-SK"/>
              </w:rPr>
              <w:t xml:space="preserve"> N</w:t>
            </w:r>
          </w:p>
        </w:tc>
      </w:tr>
      <w:tr w:rsidR="003A497B" w:rsidRPr="001957B8" w:rsidTr="003E1809">
        <w:trPr>
          <w:trHeight w:val="300"/>
        </w:trPr>
        <w:tc>
          <w:tcPr>
            <w:tcW w:w="1378" w:type="pct"/>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bottom"/>
            <w:hideMark/>
          </w:tcPr>
          <w:p w:rsidR="003A497B" w:rsidRPr="001957B8" w:rsidRDefault="003A497B" w:rsidP="003E1809">
            <w:pPr>
              <w:rPr>
                <w:rFonts w:ascii="Times New Roman" w:hAnsi="Times New Roman" w:cs="Times New Roman"/>
                <w:b/>
                <w:color w:val="000000"/>
                <w:sz w:val="14"/>
                <w:szCs w:val="14"/>
                <w:lang w:eastAsia="sk-SK"/>
              </w:rPr>
            </w:pPr>
            <w:r w:rsidRPr="001957B8">
              <w:rPr>
                <w:rFonts w:ascii="Times New Roman" w:hAnsi="Times New Roman" w:cs="Times New Roman"/>
                <w:b/>
                <w:color w:val="000000"/>
                <w:sz w:val="14"/>
                <w:szCs w:val="14"/>
                <w:lang w:eastAsia="sk-SK"/>
              </w:rPr>
              <w:t xml:space="preserve">NDS a SSC opravy a údržba spolu </w:t>
            </w:r>
          </w:p>
        </w:tc>
        <w:tc>
          <w:tcPr>
            <w:tcW w:w="531"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F41E45" w:rsidRDefault="003A497B" w:rsidP="003E1809">
            <w:pPr>
              <w:jc w:val="right"/>
              <w:rPr>
                <w:rFonts w:ascii="Times New Roman" w:hAnsi="Times New Roman" w:cs="Times New Roman"/>
                <w:b/>
                <w:bCs/>
                <w:color w:val="000000"/>
                <w:sz w:val="14"/>
                <w:szCs w:val="14"/>
                <w:lang w:eastAsia="sk-SK"/>
              </w:rPr>
            </w:pPr>
            <w:r w:rsidRPr="00F41E45">
              <w:rPr>
                <w:rFonts w:ascii="Times New Roman" w:hAnsi="Times New Roman" w:cs="Times New Roman"/>
                <w:b/>
                <w:bCs/>
                <w:color w:val="000000"/>
                <w:sz w:val="14"/>
                <w:szCs w:val="14"/>
              </w:rPr>
              <w:t>69 787 543</w:t>
            </w:r>
          </w:p>
        </w:tc>
        <w:tc>
          <w:tcPr>
            <w:tcW w:w="509"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F41E45" w:rsidRDefault="003A497B" w:rsidP="003E1809">
            <w:pPr>
              <w:jc w:val="right"/>
              <w:rPr>
                <w:rFonts w:ascii="Times New Roman" w:hAnsi="Times New Roman" w:cs="Times New Roman"/>
                <w:b/>
                <w:bCs/>
                <w:color w:val="000000"/>
                <w:sz w:val="14"/>
                <w:szCs w:val="14"/>
              </w:rPr>
            </w:pPr>
            <w:r w:rsidRPr="00F41E45">
              <w:rPr>
                <w:rFonts w:ascii="Times New Roman" w:hAnsi="Times New Roman" w:cs="Times New Roman"/>
                <w:b/>
                <w:bCs/>
                <w:color w:val="000000"/>
                <w:sz w:val="14"/>
                <w:szCs w:val="14"/>
              </w:rPr>
              <w:t>65 832 978</w:t>
            </w:r>
          </w:p>
        </w:tc>
        <w:tc>
          <w:tcPr>
            <w:tcW w:w="509"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F41E45" w:rsidRDefault="003A497B" w:rsidP="003E1809">
            <w:pPr>
              <w:jc w:val="right"/>
              <w:rPr>
                <w:rFonts w:ascii="Times New Roman" w:hAnsi="Times New Roman" w:cs="Times New Roman"/>
                <w:b/>
                <w:bCs/>
                <w:color w:val="000000"/>
                <w:sz w:val="14"/>
                <w:szCs w:val="14"/>
              </w:rPr>
            </w:pPr>
            <w:r w:rsidRPr="00F41E45">
              <w:rPr>
                <w:rFonts w:ascii="Times New Roman" w:hAnsi="Times New Roman" w:cs="Times New Roman"/>
                <w:b/>
                <w:bCs/>
                <w:color w:val="000000"/>
                <w:sz w:val="14"/>
                <w:szCs w:val="14"/>
              </w:rPr>
              <w:t>64 101 580</w:t>
            </w:r>
          </w:p>
        </w:tc>
        <w:tc>
          <w:tcPr>
            <w:tcW w:w="509"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F41E45" w:rsidRDefault="003A497B" w:rsidP="003E180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78 069 026</w:t>
            </w:r>
          </w:p>
        </w:tc>
        <w:tc>
          <w:tcPr>
            <w:tcW w:w="556"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F41E45" w:rsidRDefault="003A497B" w:rsidP="003E1809">
            <w:pPr>
              <w:jc w:val="right"/>
              <w:rPr>
                <w:rFonts w:ascii="Times New Roman" w:hAnsi="Times New Roman" w:cs="Times New Roman"/>
                <w:b/>
                <w:bCs/>
                <w:color w:val="000000"/>
                <w:sz w:val="14"/>
                <w:szCs w:val="14"/>
              </w:rPr>
            </w:pPr>
            <w:r w:rsidRPr="00F41E45">
              <w:rPr>
                <w:rFonts w:ascii="Times New Roman" w:hAnsi="Times New Roman" w:cs="Times New Roman"/>
                <w:b/>
                <w:bCs/>
                <w:color w:val="000000"/>
                <w:sz w:val="14"/>
                <w:szCs w:val="14"/>
              </w:rPr>
              <w:t>64 213 014</w:t>
            </w:r>
          </w:p>
        </w:tc>
        <w:tc>
          <w:tcPr>
            <w:tcW w:w="509"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F41E45" w:rsidRDefault="003A497B" w:rsidP="003E1809">
            <w:pPr>
              <w:jc w:val="right"/>
              <w:rPr>
                <w:rFonts w:ascii="Times New Roman" w:hAnsi="Times New Roman" w:cs="Times New Roman"/>
                <w:b/>
                <w:bCs/>
                <w:color w:val="000000"/>
                <w:sz w:val="14"/>
                <w:szCs w:val="14"/>
              </w:rPr>
            </w:pPr>
            <w:r w:rsidRPr="00F41E45">
              <w:rPr>
                <w:rFonts w:ascii="Times New Roman" w:hAnsi="Times New Roman" w:cs="Times New Roman"/>
                <w:b/>
                <w:bCs/>
                <w:color w:val="000000"/>
                <w:sz w:val="14"/>
                <w:szCs w:val="14"/>
              </w:rPr>
              <w:t>64 213 014</w:t>
            </w:r>
          </w:p>
        </w:tc>
        <w:tc>
          <w:tcPr>
            <w:tcW w:w="498"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F41E45" w:rsidRDefault="003A497B" w:rsidP="003E1809">
            <w:pPr>
              <w:jc w:val="right"/>
              <w:rPr>
                <w:rFonts w:ascii="Times New Roman" w:hAnsi="Times New Roman" w:cs="Times New Roman"/>
                <w:b/>
                <w:bCs/>
                <w:color w:val="000000"/>
                <w:sz w:val="14"/>
                <w:szCs w:val="14"/>
              </w:rPr>
            </w:pPr>
            <w:r w:rsidRPr="00F41E45">
              <w:rPr>
                <w:rFonts w:ascii="Times New Roman" w:hAnsi="Times New Roman" w:cs="Times New Roman"/>
                <w:b/>
                <w:bCs/>
                <w:color w:val="000000"/>
                <w:sz w:val="14"/>
                <w:szCs w:val="14"/>
              </w:rPr>
              <w:t>64 213 014</w:t>
            </w:r>
          </w:p>
        </w:tc>
      </w:tr>
      <w:tr w:rsidR="003A497B" w:rsidRPr="001957B8" w:rsidTr="003E1809">
        <w:trPr>
          <w:trHeight w:val="300"/>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3A497B" w:rsidRPr="001957B8" w:rsidRDefault="003A497B" w:rsidP="003E1809">
            <w:pPr>
              <w:rPr>
                <w:rFonts w:ascii="Times New Roman" w:hAnsi="Times New Roman" w:cs="Times New Roman"/>
                <w:color w:val="000000"/>
                <w:sz w:val="14"/>
                <w:szCs w:val="14"/>
                <w:lang w:eastAsia="sk-SK"/>
              </w:rPr>
            </w:pPr>
            <w:r w:rsidRPr="001957B8">
              <w:rPr>
                <w:rFonts w:ascii="Times New Roman" w:hAnsi="Times New Roman" w:cs="Times New Roman"/>
                <w:color w:val="000000"/>
                <w:sz w:val="14"/>
                <w:szCs w:val="14"/>
                <w:lang w:eastAsia="sk-SK"/>
              </w:rPr>
              <w:t>NDS - opravy a údržba zo ŠR</w:t>
            </w:r>
          </w:p>
        </w:tc>
        <w:tc>
          <w:tcPr>
            <w:tcW w:w="531"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28 857 050</w:t>
            </w:r>
          </w:p>
        </w:tc>
        <w:tc>
          <w:tcPr>
            <w:tcW w:w="509"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16 054 999</w:t>
            </w:r>
          </w:p>
        </w:tc>
        <w:tc>
          <w:tcPr>
            <w:tcW w:w="509"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16 000 000</w:t>
            </w:r>
          </w:p>
        </w:tc>
        <w:tc>
          <w:tcPr>
            <w:tcW w:w="509"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16 000 000</w:t>
            </w:r>
          </w:p>
        </w:tc>
        <w:tc>
          <w:tcPr>
            <w:tcW w:w="556"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15 831 000</w:t>
            </w:r>
          </w:p>
        </w:tc>
        <w:tc>
          <w:tcPr>
            <w:tcW w:w="509"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15 831 000</w:t>
            </w:r>
          </w:p>
        </w:tc>
        <w:tc>
          <w:tcPr>
            <w:tcW w:w="498"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15 831 000</w:t>
            </w:r>
          </w:p>
        </w:tc>
      </w:tr>
      <w:tr w:rsidR="003A497B" w:rsidRPr="001957B8" w:rsidTr="003E1809">
        <w:trPr>
          <w:trHeight w:val="300"/>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3A497B" w:rsidRPr="001957B8" w:rsidRDefault="003A497B" w:rsidP="003E1809">
            <w:pPr>
              <w:rPr>
                <w:rFonts w:ascii="Times New Roman" w:hAnsi="Times New Roman" w:cs="Times New Roman"/>
                <w:color w:val="000000"/>
                <w:sz w:val="14"/>
                <w:szCs w:val="14"/>
                <w:lang w:eastAsia="sk-SK"/>
              </w:rPr>
            </w:pPr>
            <w:r w:rsidRPr="001957B8">
              <w:rPr>
                <w:rFonts w:ascii="Times New Roman" w:hAnsi="Times New Roman" w:cs="Times New Roman"/>
                <w:color w:val="000000"/>
                <w:sz w:val="14"/>
                <w:szCs w:val="14"/>
                <w:lang w:eastAsia="sk-SK"/>
              </w:rPr>
              <w:t>SSC - správa a prevádzka</w:t>
            </w:r>
          </w:p>
        </w:tc>
        <w:tc>
          <w:tcPr>
            <w:tcW w:w="531"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8 401 260</w:t>
            </w:r>
          </w:p>
        </w:tc>
        <w:tc>
          <w:tcPr>
            <w:tcW w:w="509"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9 152 346</w:t>
            </w:r>
          </w:p>
        </w:tc>
        <w:tc>
          <w:tcPr>
            <w:tcW w:w="509"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7 572 347</w:t>
            </w:r>
          </w:p>
        </w:tc>
        <w:tc>
          <w:tcPr>
            <w:tcW w:w="509"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7 672 347</w:t>
            </w:r>
          </w:p>
        </w:tc>
        <w:tc>
          <w:tcPr>
            <w:tcW w:w="556"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7 852 781</w:t>
            </w:r>
          </w:p>
        </w:tc>
        <w:tc>
          <w:tcPr>
            <w:tcW w:w="509"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7 852 781</w:t>
            </w:r>
          </w:p>
        </w:tc>
        <w:tc>
          <w:tcPr>
            <w:tcW w:w="498"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7 852 781</w:t>
            </w:r>
          </w:p>
        </w:tc>
      </w:tr>
      <w:tr w:rsidR="003A497B" w:rsidRPr="001957B8" w:rsidTr="003E1809">
        <w:trPr>
          <w:trHeight w:val="300"/>
        </w:trPr>
        <w:tc>
          <w:tcPr>
            <w:tcW w:w="1378" w:type="pct"/>
            <w:tcBorders>
              <w:top w:val="nil"/>
              <w:left w:val="single" w:sz="4" w:space="0" w:color="auto"/>
              <w:bottom w:val="single" w:sz="4" w:space="0" w:color="auto"/>
              <w:right w:val="single" w:sz="4" w:space="0" w:color="auto"/>
            </w:tcBorders>
            <w:shd w:val="clear" w:color="auto" w:fill="auto"/>
            <w:noWrap/>
            <w:vAlign w:val="bottom"/>
            <w:hideMark/>
          </w:tcPr>
          <w:p w:rsidR="003A497B" w:rsidRPr="001957B8" w:rsidRDefault="003A497B" w:rsidP="003E1809">
            <w:pPr>
              <w:rPr>
                <w:rFonts w:ascii="Times New Roman" w:hAnsi="Times New Roman" w:cs="Times New Roman"/>
                <w:color w:val="000000"/>
                <w:sz w:val="14"/>
                <w:szCs w:val="14"/>
                <w:lang w:eastAsia="sk-SK"/>
              </w:rPr>
            </w:pPr>
            <w:r w:rsidRPr="001957B8">
              <w:rPr>
                <w:rFonts w:ascii="Times New Roman" w:hAnsi="Times New Roman" w:cs="Times New Roman"/>
                <w:color w:val="000000"/>
                <w:sz w:val="14"/>
                <w:szCs w:val="14"/>
                <w:lang w:eastAsia="sk-SK"/>
              </w:rPr>
              <w:t>SSC - údržba a opravy ciest I. triedy</w:t>
            </w:r>
          </w:p>
        </w:tc>
        <w:tc>
          <w:tcPr>
            <w:tcW w:w="531"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32 529 233</w:t>
            </w:r>
          </w:p>
        </w:tc>
        <w:tc>
          <w:tcPr>
            <w:tcW w:w="509" w:type="pct"/>
            <w:tcBorders>
              <w:top w:val="nil"/>
              <w:left w:val="nil"/>
              <w:bottom w:val="single" w:sz="4" w:space="0" w:color="auto"/>
              <w:right w:val="single" w:sz="4" w:space="0" w:color="auto"/>
            </w:tcBorders>
            <w:shd w:val="clear" w:color="auto" w:fill="auto"/>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40 625 633</w:t>
            </w:r>
          </w:p>
        </w:tc>
        <w:tc>
          <w:tcPr>
            <w:tcW w:w="509" w:type="pct"/>
            <w:tcBorders>
              <w:top w:val="nil"/>
              <w:left w:val="nil"/>
              <w:bottom w:val="single" w:sz="4" w:space="0" w:color="auto"/>
              <w:right w:val="single" w:sz="4" w:space="0" w:color="auto"/>
            </w:tcBorders>
            <w:shd w:val="clear" w:color="000000" w:fill="FFFFFF"/>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40 529 233</w:t>
            </w:r>
          </w:p>
        </w:tc>
        <w:tc>
          <w:tcPr>
            <w:tcW w:w="509" w:type="pct"/>
            <w:tcBorders>
              <w:top w:val="nil"/>
              <w:left w:val="nil"/>
              <w:bottom w:val="single" w:sz="4" w:space="0" w:color="auto"/>
              <w:right w:val="single" w:sz="4" w:space="0" w:color="auto"/>
            </w:tcBorders>
            <w:shd w:val="clear" w:color="000000" w:fill="FFFFFF"/>
            <w:noWrap/>
            <w:vAlign w:val="bottom"/>
            <w:hideMark/>
          </w:tcPr>
          <w:p w:rsidR="003A497B" w:rsidRPr="00F41E45"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54 396 679</w:t>
            </w:r>
          </w:p>
        </w:tc>
        <w:tc>
          <w:tcPr>
            <w:tcW w:w="556" w:type="pct"/>
            <w:tcBorders>
              <w:top w:val="nil"/>
              <w:left w:val="nil"/>
              <w:bottom w:val="single" w:sz="4" w:space="0" w:color="auto"/>
              <w:right w:val="single" w:sz="4" w:space="0" w:color="auto"/>
            </w:tcBorders>
            <w:shd w:val="clear" w:color="000000" w:fill="FFFFFF"/>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40 529 233</w:t>
            </w:r>
          </w:p>
        </w:tc>
        <w:tc>
          <w:tcPr>
            <w:tcW w:w="509" w:type="pct"/>
            <w:tcBorders>
              <w:top w:val="nil"/>
              <w:left w:val="nil"/>
              <w:bottom w:val="single" w:sz="4" w:space="0" w:color="auto"/>
              <w:right w:val="single" w:sz="4" w:space="0" w:color="auto"/>
            </w:tcBorders>
            <w:shd w:val="clear" w:color="000000" w:fill="FFFFFF"/>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40 529 233</w:t>
            </w:r>
          </w:p>
        </w:tc>
        <w:tc>
          <w:tcPr>
            <w:tcW w:w="498" w:type="pct"/>
            <w:tcBorders>
              <w:top w:val="nil"/>
              <w:left w:val="nil"/>
              <w:bottom w:val="single" w:sz="4" w:space="0" w:color="auto"/>
              <w:right w:val="single" w:sz="4" w:space="0" w:color="auto"/>
            </w:tcBorders>
            <w:shd w:val="clear" w:color="000000" w:fill="FFFFFF"/>
            <w:noWrap/>
            <w:vAlign w:val="bottom"/>
            <w:hideMark/>
          </w:tcPr>
          <w:p w:rsidR="003A497B" w:rsidRPr="00F41E45" w:rsidRDefault="003A497B" w:rsidP="003E1809">
            <w:pPr>
              <w:jc w:val="right"/>
              <w:rPr>
                <w:rFonts w:ascii="Times New Roman" w:hAnsi="Times New Roman" w:cs="Times New Roman"/>
                <w:color w:val="000000"/>
                <w:sz w:val="14"/>
                <w:szCs w:val="14"/>
              </w:rPr>
            </w:pPr>
            <w:r w:rsidRPr="00F41E45">
              <w:rPr>
                <w:rFonts w:ascii="Times New Roman" w:hAnsi="Times New Roman" w:cs="Times New Roman"/>
                <w:color w:val="000000"/>
                <w:sz w:val="14"/>
                <w:szCs w:val="14"/>
              </w:rPr>
              <w:t>40 529 233</w:t>
            </w:r>
          </w:p>
        </w:tc>
      </w:tr>
    </w:tbl>
    <w:p w:rsidR="003A497B" w:rsidRPr="00775C7E" w:rsidRDefault="003A497B" w:rsidP="003A497B">
      <w:pPr>
        <w:ind w:firstLine="709"/>
        <w:jc w:val="both"/>
        <w:rPr>
          <w:rFonts w:ascii="Times New Roman" w:hAnsi="Times New Roman" w:cs="Times New Roman"/>
          <w:highlight w:val="yellow"/>
        </w:rPr>
      </w:pPr>
    </w:p>
    <w:p w:rsidR="003A497B" w:rsidRPr="000917AF" w:rsidRDefault="003A497B" w:rsidP="003A497B">
      <w:pPr>
        <w:ind w:firstLine="708"/>
        <w:jc w:val="both"/>
        <w:rPr>
          <w:rFonts w:ascii="Times New Roman" w:hAnsi="Times New Roman" w:cs="Times New Roman"/>
          <w:color w:val="000000"/>
          <w:lang w:eastAsia="en-US"/>
        </w:rPr>
      </w:pPr>
      <w:r w:rsidRPr="00DC4C1E">
        <w:rPr>
          <w:rFonts w:ascii="Times New Roman" w:hAnsi="Times New Roman" w:cs="Times New Roman"/>
        </w:rPr>
        <w:t>Na </w:t>
      </w:r>
      <w:r>
        <w:rPr>
          <w:rFonts w:ascii="Times New Roman" w:hAnsi="Times New Roman" w:cs="Times New Roman"/>
        </w:rPr>
        <w:t xml:space="preserve">správu, </w:t>
      </w:r>
      <w:r w:rsidRPr="00DC4C1E">
        <w:rPr>
          <w:rFonts w:ascii="Times New Roman" w:hAnsi="Times New Roman" w:cs="Times New Roman"/>
        </w:rPr>
        <w:t>údržbu a opravy ciest a diaľnic sa rozpočtujú výdavky</w:t>
      </w:r>
      <w:r>
        <w:rPr>
          <w:rFonts w:ascii="Times New Roman" w:hAnsi="Times New Roman" w:cs="Times New Roman"/>
        </w:rPr>
        <w:t xml:space="preserve"> zo štátneho rozpočtu vo výške </w:t>
      </w:r>
      <w:r w:rsidRPr="00DC4C1E">
        <w:rPr>
          <w:rFonts w:ascii="Times New Roman" w:hAnsi="Times New Roman" w:cs="Times New Roman"/>
        </w:rPr>
        <w:t>6</w:t>
      </w:r>
      <w:r>
        <w:rPr>
          <w:rFonts w:ascii="Times New Roman" w:hAnsi="Times New Roman" w:cs="Times New Roman"/>
        </w:rPr>
        <w:t>4</w:t>
      </w:r>
      <w:r w:rsidRPr="00DC4C1E">
        <w:rPr>
          <w:rFonts w:ascii="Times New Roman" w:hAnsi="Times New Roman" w:cs="Times New Roman"/>
        </w:rPr>
        <w:t>,</w:t>
      </w:r>
      <w:r>
        <w:rPr>
          <w:rFonts w:ascii="Times New Roman" w:hAnsi="Times New Roman" w:cs="Times New Roman"/>
        </w:rPr>
        <w:t>2</w:t>
      </w:r>
      <w:r w:rsidRPr="00DC4C1E">
        <w:rPr>
          <w:rFonts w:ascii="Times New Roman" w:hAnsi="Times New Roman" w:cs="Times New Roman"/>
        </w:rPr>
        <w:t xml:space="preserve">  mil. eur,</w:t>
      </w:r>
      <w:r>
        <w:rPr>
          <w:rFonts w:ascii="Times New Roman" w:hAnsi="Times New Roman" w:cs="Times New Roman"/>
        </w:rPr>
        <w:t xml:space="preserve"> </w:t>
      </w:r>
      <w:r w:rsidRPr="00DC4C1E">
        <w:rPr>
          <w:rFonts w:ascii="Times New Roman" w:hAnsi="Times New Roman" w:cs="Times New Roman"/>
        </w:rPr>
        <w:t>čo v porovnaní so schváleným rozpočtom roku 201</w:t>
      </w:r>
      <w:r>
        <w:rPr>
          <w:rFonts w:ascii="Times New Roman" w:hAnsi="Times New Roman" w:cs="Times New Roman"/>
        </w:rPr>
        <w:t>8</w:t>
      </w:r>
      <w:r w:rsidRPr="00DC4C1E">
        <w:rPr>
          <w:rFonts w:ascii="Times New Roman" w:hAnsi="Times New Roman" w:cs="Times New Roman"/>
        </w:rPr>
        <w:t xml:space="preserve"> predstavuje</w:t>
      </w:r>
      <w:r>
        <w:rPr>
          <w:rFonts w:ascii="Times New Roman" w:hAnsi="Times New Roman" w:cs="Times New Roman"/>
        </w:rPr>
        <w:t xml:space="preserve"> zvýšenie</w:t>
      </w:r>
      <w:r w:rsidRPr="00DC4C1E">
        <w:rPr>
          <w:rFonts w:ascii="Times New Roman" w:hAnsi="Times New Roman" w:cs="Times New Roman"/>
        </w:rPr>
        <w:t xml:space="preserve"> o </w:t>
      </w:r>
      <w:r>
        <w:rPr>
          <w:rFonts w:ascii="Times New Roman" w:hAnsi="Times New Roman" w:cs="Times New Roman"/>
        </w:rPr>
        <w:t>111</w:t>
      </w:r>
      <w:r w:rsidRPr="00DC4C1E">
        <w:rPr>
          <w:rFonts w:ascii="Times New Roman" w:hAnsi="Times New Roman" w:cs="Times New Roman"/>
        </w:rPr>
        <w:t xml:space="preserve"> </w:t>
      </w:r>
      <w:r>
        <w:rPr>
          <w:rFonts w:ascii="Times New Roman" w:hAnsi="Times New Roman" w:cs="Times New Roman"/>
        </w:rPr>
        <w:t>tis</w:t>
      </w:r>
      <w:r w:rsidRPr="00DC4C1E">
        <w:rPr>
          <w:rFonts w:ascii="Times New Roman" w:hAnsi="Times New Roman" w:cs="Times New Roman"/>
        </w:rPr>
        <w:t>. eur, t. j. o </w:t>
      </w:r>
      <w:r>
        <w:rPr>
          <w:rFonts w:ascii="Times New Roman" w:hAnsi="Times New Roman" w:cs="Times New Roman"/>
        </w:rPr>
        <w:t>0</w:t>
      </w:r>
      <w:r w:rsidRPr="00DC4C1E">
        <w:rPr>
          <w:rFonts w:ascii="Times New Roman" w:hAnsi="Times New Roman" w:cs="Times New Roman"/>
        </w:rPr>
        <w:t>,</w:t>
      </w:r>
      <w:r>
        <w:rPr>
          <w:rFonts w:ascii="Times New Roman" w:hAnsi="Times New Roman" w:cs="Times New Roman"/>
        </w:rPr>
        <w:t>1</w:t>
      </w:r>
      <w:r w:rsidRPr="00DC4C1E">
        <w:rPr>
          <w:rFonts w:ascii="Times New Roman" w:hAnsi="Times New Roman" w:cs="Times New Roman"/>
        </w:rPr>
        <w:t>7 %</w:t>
      </w:r>
      <w:r>
        <w:rPr>
          <w:rFonts w:ascii="Times New Roman" w:hAnsi="Times New Roman" w:cs="Times New Roman"/>
        </w:rPr>
        <w:t xml:space="preserve"> v nadväznosti na zvýšenie vý</w:t>
      </w:r>
      <w:r w:rsidRPr="00DC4C1E">
        <w:rPr>
          <w:rFonts w:ascii="Times New Roman" w:hAnsi="Times New Roman" w:cs="Times New Roman"/>
        </w:rPr>
        <w:t>davkov</w:t>
      </w:r>
      <w:r>
        <w:rPr>
          <w:rFonts w:ascii="Times New Roman" w:hAnsi="Times New Roman" w:cs="Times New Roman"/>
        </w:rPr>
        <w:t xml:space="preserve"> na správu a prevádzku SSC o 280 tis. eur pri súčasnom poklese výdavkov na údržbu a opravy diaľnic a rýchlostných ciest pre NDS o 169 tis. eur.</w:t>
      </w:r>
    </w:p>
    <w:p w:rsidR="003E1809" w:rsidRDefault="003E1809" w:rsidP="003A497B">
      <w:pPr>
        <w:jc w:val="both"/>
        <w:rPr>
          <w:rFonts w:ascii="Times New Roman" w:hAnsi="Times New Roman" w:cs="Times New Roman"/>
          <w:i/>
          <w:u w:val="single"/>
        </w:rPr>
      </w:pPr>
    </w:p>
    <w:p w:rsidR="003A497B" w:rsidRDefault="003A497B" w:rsidP="003A497B">
      <w:pPr>
        <w:jc w:val="both"/>
        <w:rPr>
          <w:rFonts w:ascii="Times New Roman" w:hAnsi="Times New Roman" w:cs="Times New Roman"/>
          <w:i/>
          <w:u w:val="single"/>
        </w:rPr>
      </w:pPr>
      <w:r w:rsidRPr="00DC4C1E">
        <w:rPr>
          <w:rFonts w:ascii="Times New Roman" w:hAnsi="Times New Roman" w:cs="Times New Roman"/>
          <w:i/>
          <w:u w:val="single"/>
        </w:rPr>
        <w:t>Zmluva o prevádzkovaní železničnej infraštruktúry so ŽSR a zmluvy o dopravných službách vo verejnom záujme pre železničnú osobnú dopravu</w:t>
      </w:r>
    </w:p>
    <w:p w:rsidR="003A497B" w:rsidRPr="00775C7E" w:rsidRDefault="003A497B" w:rsidP="003A497B">
      <w:pPr>
        <w:jc w:val="both"/>
        <w:rPr>
          <w:rFonts w:ascii="Times New Roman" w:hAnsi="Times New Roman" w:cs="Times New Roman"/>
          <w:highlight w:val="yellow"/>
        </w:rPr>
      </w:pPr>
    </w:p>
    <w:tbl>
      <w:tblPr>
        <w:tblW w:w="9085" w:type="dxa"/>
        <w:tblInd w:w="57" w:type="dxa"/>
        <w:tblCellMar>
          <w:left w:w="70" w:type="dxa"/>
          <w:right w:w="70" w:type="dxa"/>
        </w:tblCellMar>
        <w:tblLook w:val="04A0" w:firstRow="1" w:lastRow="0" w:firstColumn="1" w:lastColumn="0" w:noHBand="0" w:noVBand="1"/>
      </w:tblPr>
      <w:tblGrid>
        <w:gridCol w:w="2269"/>
        <w:gridCol w:w="973"/>
        <w:gridCol w:w="973"/>
        <w:gridCol w:w="974"/>
        <w:gridCol w:w="974"/>
        <w:gridCol w:w="974"/>
        <w:gridCol w:w="974"/>
        <w:gridCol w:w="974"/>
      </w:tblGrid>
      <w:tr w:rsidR="003A497B" w:rsidRPr="00DC4C1E" w:rsidTr="003E1809">
        <w:trPr>
          <w:trHeight w:hRule="exact" w:val="255"/>
        </w:trPr>
        <w:tc>
          <w:tcPr>
            <w:tcW w:w="2269" w:type="dxa"/>
            <w:tcBorders>
              <w:top w:val="single" w:sz="4" w:space="0" w:color="auto"/>
              <w:left w:val="single" w:sz="4" w:space="0" w:color="auto"/>
              <w:bottom w:val="single" w:sz="4" w:space="0" w:color="auto"/>
              <w:right w:val="single" w:sz="4" w:space="0" w:color="auto"/>
            </w:tcBorders>
            <w:shd w:val="pct35" w:color="auto" w:fill="FFFFFF"/>
            <w:noWrap/>
            <w:vAlign w:val="center"/>
            <w:hideMark/>
          </w:tcPr>
          <w:p w:rsidR="003A497B" w:rsidRPr="00DC4C1E" w:rsidRDefault="003A497B" w:rsidP="003E1809">
            <w:pPr>
              <w:rPr>
                <w:rFonts w:ascii="Times New Roman" w:hAnsi="Times New Roman" w:cs="Times New Roman"/>
                <w:b/>
                <w:bCs/>
                <w:color w:val="000000"/>
                <w:sz w:val="14"/>
                <w:szCs w:val="14"/>
              </w:rPr>
            </w:pPr>
            <w:r w:rsidRPr="00DC4C1E">
              <w:rPr>
                <w:rFonts w:ascii="Times New Roman" w:hAnsi="Times New Roman" w:cs="Times New Roman"/>
                <w:b/>
                <w:bCs/>
                <w:color w:val="000000"/>
                <w:sz w:val="14"/>
                <w:szCs w:val="14"/>
              </w:rPr>
              <w:t>v eurách</w:t>
            </w:r>
          </w:p>
        </w:tc>
        <w:tc>
          <w:tcPr>
            <w:tcW w:w="973" w:type="dxa"/>
            <w:tcBorders>
              <w:top w:val="single" w:sz="4" w:space="0" w:color="auto"/>
              <w:left w:val="nil"/>
              <w:bottom w:val="single" w:sz="4" w:space="0" w:color="auto"/>
              <w:right w:val="single" w:sz="4" w:space="0" w:color="auto"/>
            </w:tcBorders>
            <w:shd w:val="pct35" w:color="auto"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2016 S</w:t>
            </w:r>
          </w:p>
        </w:tc>
        <w:tc>
          <w:tcPr>
            <w:tcW w:w="973" w:type="dxa"/>
            <w:tcBorders>
              <w:top w:val="single" w:sz="4" w:space="0" w:color="auto"/>
              <w:left w:val="nil"/>
              <w:bottom w:val="single" w:sz="4" w:space="0" w:color="auto"/>
              <w:right w:val="single" w:sz="4" w:space="0" w:color="auto"/>
            </w:tcBorders>
            <w:shd w:val="pct35" w:color="auto"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2017 </w:t>
            </w:r>
            <w:r>
              <w:rPr>
                <w:rFonts w:ascii="Times New Roman" w:hAnsi="Times New Roman" w:cs="Times New Roman"/>
                <w:b/>
                <w:bCs/>
                <w:color w:val="000000"/>
                <w:sz w:val="14"/>
                <w:szCs w:val="14"/>
                <w:lang w:eastAsia="sk-SK"/>
              </w:rPr>
              <w:t>S</w:t>
            </w:r>
          </w:p>
        </w:tc>
        <w:tc>
          <w:tcPr>
            <w:tcW w:w="974" w:type="dxa"/>
            <w:tcBorders>
              <w:top w:val="single" w:sz="4" w:space="0" w:color="auto"/>
              <w:left w:val="nil"/>
              <w:bottom w:val="single" w:sz="4" w:space="0" w:color="auto"/>
              <w:right w:val="single" w:sz="4" w:space="0" w:color="auto"/>
            </w:tcBorders>
            <w:shd w:val="pct35" w:color="auto"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346A12">
              <w:rPr>
                <w:rFonts w:ascii="Times New Roman" w:hAnsi="Times New Roman" w:cs="Times New Roman"/>
                <w:b/>
                <w:bCs/>
                <w:color w:val="000000"/>
                <w:sz w:val="14"/>
                <w:szCs w:val="14"/>
                <w:lang w:eastAsia="sk-SK"/>
              </w:rPr>
              <w:t xml:space="preserve"> </w:t>
            </w:r>
            <w:r>
              <w:rPr>
                <w:rFonts w:ascii="Times New Roman" w:hAnsi="Times New Roman" w:cs="Times New Roman"/>
                <w:b/>
                <w:bCs/>
                <w:color w:val="000000"/>
                <w:sz w:val="14"/>
                <w:szCs w:val="14"/>
                <w:lang w:eastAsia="sk-SK"/>
              </w:rPr>
              <w:t>R</w:t>
            </w:r>
          </w:p>
        </w:tc>
        <w:tc>
          <w:tcPr>
            <w:tcW w:w="974" w:type="dxa"/>
            <w:tcBorders>
              <w:top w:val="single" w:sz="4" w:space="0" w:color="auto"/>
              <w:left w:val="nil"/>
              <w:bottom w:val="single" w:sz="4" w:space="0" w:color="auto"/>
              <w:right w:val="single" w:sz="4" w:space="0" w:color="auto"/>
            </w:tcBorders>
            <w:shd w:val="pct35" w:color="auto"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2018 </w:t>
            </w:r>
            <w:r>
              <w:rPr>
                <w:rFonts w:ascii="Times New Roman" w:hAnsi="Times New Roman" w:cs="Times New Roman"/>
                <w:b/>
                <w:bCs/>
                <w:color w:val="000000"/>
                <w:sz w:val="14"/>
                <w:szCs w:val="14"/>
                <w:lang w:eastAsia="sk-SK"/>
              </w:rPr>
              <w:t>OS</w:t>
            </w:r>
          </w:p>
        </w:tc>
        <w:tc>
          <w:tcPr>
            <w:tcW w:w="974" w:type="dxa"/>
            <w:tcBorders>
              <w:top w:val="single" w:sz="4" w:space="0" w:color="auto"/>
              <w:left w:val="nil"/>
              <w:bottom w:val="single" w:sz="4" w:space="0" w:color="auto"/>
              <w:right w:val="single" w:sz="4" w:space="0" w:color="auto"/>
            </w:tcBorders>
            <w:shd w:val="pct35" w:color="auto"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2019 N</w:t>
            </w:r>
          </w:p>
        </w:tc>
        <w:tc>
          <w:tcPr>
            <w:tcW w:w="974" w:type="dxa"/>
            <w:tcBorders>
              <w:top w:val="single" w:sz="4" w:space="0" w:color="auto"/>
              <w:left w:val="nil"/>
              <w:bottom w:val="single" w:sz="4" w:space="0" w:color="auto"/>
              <w:right w:val="single" w:sz="4" w:space="0" w:color="auto"/>
            </w:tcBorders>
            <w:shd w:val="pct35" w:color="auto"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2020 N</w:t>
            </w:r>
          </w:p>
        </w:tc>
        <w:tc>
          <w:tcPr>
            <w:tcW w:w="974" w:type="dxa"/>
            <w:tcBorders>
              <w:top w:val="single" w:sz="4" w:space="0" w:color="auto"/>
              <w:left w:val="nil"/>
              <w:bottom w:val="single" w:sz="4" w:space="0" w:color="auto"/>
              <w:right w:val="single" w:sz="4" w:space="0" w:color="auto"/>
            </w:tcBorders>
            <w:shd w:val="pct35" w:color="auto"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w:t>
            </w:r>
            <w:r>
              <w:rPr>
                <w:rFonts w:ascii="Times New Roman" w:hAnsi="Times New Roman" w:cs="Times New Roman"/>
                <w:b/>
                <w:bCs/>
                <w:color w:val="000000"/>
                <w:sz w:val="14"/>
                <w:szCs w:val="14"/>
                <w:lang w:eastAsia="sk-SK"/>
              </w:rPr>
              <w:t>1</w:t>
            </w:r>
            <w:r w:rsidRPr="00346A12">
              <w:rPr>
                <w:rFonts w:ascii="Times New Roman" w:hAnsi="Times New Roman" w:cs="Times New Roman"/>
                <w:b/>
                <w:bCs/>
                <w:color w:val="000000"/>
                <w:sz w:val="14"/>
                <w:szCs w:val="14"/>
                <w:lang w:eastAsia="sk-SK"/>
              </w:rPr>
              <w:t xml:space="preserve"> N</w:t>
            </w:r>
          </w:p>
        </w:tc>
      </w:tr>
      <w:tr w:rsidR="003A497B" w:rsidRPr="00DC4C1E" w:rsidTr="003E1809">
        <w:trPr>
          <w:trHeight w:hRule="exact" w:val="255"/>
        </w:trPr>
        <w:tc>
          <w:tcPr>
            <w:tcW w:w="2269" w:type="dxa"/>
            <w:tcBorders>
              <w:top w:val="single" w:sz="4" w:space="0" w:color="auto"/>
              <w:left w:val="single" w:sz="4" w:space="0" w:color="auto"/>
              <w:bottom w:val="single" w:sz="4" w:space="0" w:color="auto"/>
              <w:right w:val="single" w:sz="4" w:space="0" w:color="auto"/>
            </w:tcBorders>
            <w:shd w:val="pct25" w:color="auto" w:fill="FFFFFF"/>
            <w:noWrap/>
            <w:vAlign w:val="bottom"/>
            <w:hideMark/>
          </w:tcPr>
          <w:p w:rsidR="003A497B" w:rsidRPr="00F91183" w:rsidRDefault="003A497B" w:rsidP="003E1809">
            <w:pPr>
              <w:rPr>
                <w:rFonts w:ascii="Times New Roman" w:hAnsi="Times New Roman" w:cs="Times New Roman"/>
                <w:b/>
                <w:color w:val="000000"/>
                <w:sz w:val="14"/>
                <w:szCs w:val="14"/>
              </w:rPr>
            </w:pPr>
            <w:r w:rsidRPr="00F91183">
              <w:rPr>
                <w:rFonts w:ascii="Times New Roman" w:hAnsi="Times New Roman" w:cs="Times New Roman"/>
                <w:b/>
                <w:color w:val="000000"/>
                <w:sz w:val="14"/>
                <w:szCs w:val="14"/>
              </w:rPr>
              <w:t>Spolu</w:t>
            </w:r>
          </w:p>
        </w:tc>
        <w:tc>
          <w:tcPr>
            <w:tcW w:w="973" w:type="dxa"/>
            <w:tcBorders>
              <w:top w:val="single" w:sz="4" w:space="0" w:color="auto"/>
              <w:left w:val="nil"/>
              <w:bottom w:val="single" w:sz="4" w:space="0" w:color="auto"/>
              <w:right w:val="single" w:sz="4" w:space="0" w:color="auto"/>
            </w:tcBorders>
            <w:shd w:val="pct25" w:color="auto" w:fill="FFFFFF"/>
            <w:noWrap/>
            <w:vAlign w:val="bottom"/>
            <w:hideMark/>
          </w:tcPr>
          <w:p w:rsidR="003A497B" w:rsidRPr="00F91183" w:rsidRDefault="003A497B" w:rsidP="003E1809">
            <w:pPr>
              <w:jc w:val="right"/>
              <w:rPr>
                <w:rFonts w:ascii="Times New Roman" w:hAnsi="Times New Roman" w:cs="Times New Roman"/>
                <w:b/>
                <w:color w:val="000000"/>
                <w:sz w:val="14"/>
                <w:szCs w:val="14"/>
                <w:lang w:eastAsia="sk-SK"/>
              </w:rPr>
            </w:pPr>
            <w:r w:rsidRPr="00F91183">
              <w:rPr>
                <w:rFonts w:ascii="Times New Roman" w:hAnsi="Times New Roman" w:cs="Times New Roman"/>
                <w:b/>
                <w:color w:val="000000"/>
                <w:sz w:val="14"/>
                <w:szCs w:val="14"/>
              </w:rPr>
              <w:t>491 318 776</w:t>
            </w:r>
          </w:p>
        </w:tc>
        <w:tc>
          <w:tcPr>
            <w:tcW w:w="973" w:type="dxa"/>
            <w:tcBorders>
              <w:top w:val="single" w:sz="4" w:space="0" w:color="auto"/>
              <w:left w:val="nil"/>
              <w:bottom w:val="single" w:sz="4" w:space="0" w:color="auto"/>
              <w:right w:val="single" w:sz="4" w:space="0" w:color="auto"/>
            </w:tcBorders>
            <w:shd w:val="pct25" w:color="auto" w:fill="FFFFFF"/>
            <w:noWrap/>
            <w:vAlign w:val="bottom"/>
          </w:tcPr>
          <w:p w:rsidR="003A497B" w:rsidRPr="007A43D1" w:rsidRDefault="003A497B" w:rsidP="003E1809">
            <w:pPr>
              <w:jc w:val="right"/>
              <w:rPr>
                <w:rFonts w:ascii="Times New Roman" w:hAnsi="Times New Roman" w:cs="Times New Roman"/>
                <w:b/>
                <w:color w:val="000000"/>
                <w:sz w:val="14"/>
                <w:szCs w:val="14"/>
                <w:lang w:eastAsia="sk-SK"/>
              </w:rPr>
            </w:pPr>
            <w:r w:rsidRPr="007A43D1">
              <w:rPr>
                <w:rFonts w:ascii="Times New Roman" w:hAnsi="Times New Roman" w:cs="Times New Roman"/>
                <w:b/>
                <w:color w:val="000000"/>
                <w:sz w:val="14"/>
                <w:szCs w:val="14"/>
              </w:rPr>
              <w:t>610 446 687</w:t>
            </w:r>
          </w:p>
        </w:tc>
        <w:tc>
          <w:tcPr>
            <w:tcW w:w="974" w:type="dxa"/>
            <w:tcBorders>
              <w:top w:val="single" w:sz="4" w:space="0" w:color="auto"/>
              <w:left w:val="nil"/>
              <w:bottom w:val="single" w:sz="4" w:space="0" w:color="auto"/>
              <w:right w:val="single" w:sz="4" w:space="0" w:color="auto"/>
            </w:tcBorders>
            <w:shd w:val="pct25" w:color="auto" w:fill="FFFFFF"/>
            <w:noWrap/>
            <w:vAlign w:val="bottom"/>
            <w:hideMark/>
          </w:tcPr>
          <w:p w:rsidR="003A497B" w:rsidRPr="007A43D1" w:rsidRDefault="003A497B" w:rsidP="003E1809">
            <w:pPr>
              <w:jc w:val="right"/>
              <w:rPr>
                <w:rFonts w:ascii="Times New Roman" w:hAnsi="Times New Roman" w:cs="Times New Roman"/>
                <w:b/>
                <w:color w:val="000000"/>
                <w:sz w:val="14"/>
                <w:szCs w:val="14"/>
              </w:rPr>
            </w:pPr>
            <w:r w:rsidRPr="007A43D1">
              <w:rPr>
                <w:rFonts w:ascii="Times New Roman" w:hAnsi="Times New Roman" w:cs="Times New Roman"/>
                <w:b/>
                <w:color w:val="000000"/>
                <w:sz w:val="14"/>
                <w:szCs w:val="14"/>
              </w:rPr>
              <w:t>490 500 000</w:t>
            </w:r>
          </w:p>
        </w:tc>
        <w:tc>
          <w:tcPr>
            <w:tcW w:w="974" w:type="dxa"/>
            <w:tcBorders>
              <w:top w:val="single" w:sz="4" w:space="0" w:color="auto"/>
              <w:left w:val="nil"/>
              <w:bottom w:val="single" w:sz="4" w:space="0" w:color="auto"/>
              <w:right w:val="single" w:sz="4" w:space="0" w:color="auto"/>
            </w:tcBorders>
            <w:shd w:val="pct25" w:color="auto" w:fill="FFFFFF"/>
            <w:noWrap/>
            <w:vAlign w:val="bottom"/>
          </w:tcPr>
          <w:p w:rsidR="003A497B" w:rsidRPr="007A43D1" w:rsidRDefault="003A497B" w:rsidP="003E1809">
            <w:pPr>
              <w:jc w:val="right"/>
              <w:rPr>
                <w:rFonts w:ascii="Times New Roman" w:hAnsi="Times New Roman" w:cs="Times New Roman"/>
                <w:b/>
                <w:color w:val="000000"/>
                <w:sz w:val="14"/>
                <w:szCs w:val="14"/>
              </w:rPr>
            </w:pPr>
            <w:r w:rsidRPr="007A43D1">
              <w:rPr>
                <w:rFonts w:ascii="Times New Roman" w:hAnsi="Times New Roman" w:cs="Times New Roman"/>
                <w:b/>
                <w:color w:val="000000"/>
                <w:sz w:val="14"/>
                <w:szCs w:val="14"/>
              </w:rPr>
              <w:t>490 500 000</w:t>
            </w:r>
          </w:p>
        </w:tc>
        <w:tc>
          <w:tcPr>
            <w:tcW w:w="974" w:type="dxa"/>
            <w:tcBorders>
              <w:top w:val="single" w:sz="4" w:space="0" w:color="auto"/>
              <w:left w:val="nil"/>
              <w:bottom w:val="single" w:sz="4" w:space="0" w:color="auto"/>
              <w:right w:val="single" w:sz="4" w:space="0" w:color="auto"/>
            </w:tcBorders>
            <w:shd w:val="pct25" w:color="auto" w:fill="FFFFFF"/>
            <w:noWrap/>
            <w:vAlign w:val="bottom"/>
          </w:tcPr>
          <w:p w:rsidR="003A497B" w:rsidRPr="00C87130" w:rsidRDefault="003A497B" w:rsidP="003E1809">
            <w:pPr>
              <w:jc w:val="right"/>
              <w:rPr>
                <w:rFonts w:ascii="Times New Roman" w:hAnsi="Times New Roman" w:cs="Times New Roman"/>
                <w:b/>
                <w:color w:val="000000"/>
                <w:sz w:val="14"/>
                <w:szCs w:val="14"/>
                <w:lang w:eastAsia="sk-SK"/>
              </w:rPr>
            </w:pPr>
            <w:r w:rsidRPr="00C87130">
              <w:rPr>
                <w:rFonts w:ascii="Times New Roman" w:hAnsi="Times New Roman" w:cs="Times New Roman"/>
                <w:b/>
                <w:color w:val="000000"/>
                <w:sz w:val="14"/>
                <w:szCs w:val="14"/>
              </w:rPr>
              <w:t>499 650 000</w:t>
            </w:r>
          </w:p>
        </w:tc>
        <w:tc>
          <w:tcPr>
            <w:tcW w:w="974" w:type="dxa"/>
            <w:tcBorders>
              <w:top w:val="single" w:sz="4" w:space="0" w:color="auto"/>
              <w:left w:val="nil"/>
              <w:bottom w:val="single" w:sz="4" w:space="0" w:color="auto"/>
              <w:right w:val="single" w:sz="4" w:space="0" w:color="auto"/>
            </w:tcBorders>
            <w:shd w:val="pct25" w:color="auto" w:fill="FFFFFF"/>
            <w:noWrap/>
            <w:vAlign w:val="bottom"/>
          </w:tcPr>
          <w:p w:rsidR="003A497B" w:rsidRPr="00C87130" w:rsidRDefault="003A497B" w:rsidP="003E1809">
            <w:pPr>
              <w:jc w:val="right"/>
              <w:rPr>
                <w:rFonts w:ascii="Times New Roman" w:hAnsi="Times New Roman" w:cs="Times New Roman"/>
                <w:b/>
                <w:color w:val="000000"/>
                <w:sz w:val="14"/>
                <w:szCs w:val="14"/>
              </w:rPr>
            </w:pPr>
            <w:r w:rsidRPr="00C87130">
              <w:rPr>
                <w:rFonts w:ascii="Times New Roman" w:hAnsi="Times New Roman" w:cs="Times New Roman"/>
                <w:b/>
                <w:color w:val="000000"/>
                <w:sz w:val="14"/>
                <w:szCs w:val="14"/>
              </w:rPr>
              <w:t>499 650 000</w:t>
            </w:r>
          </w:p>
        </w:tc>
        <w:tc>
          <w:tcPr>
            <w:tcW w:w="974" w:type="dxa"/>
            <w:tcBorders>
              <w:top w:val="single" w:sz="4" w:space="0" w:color="auto"/>
              <w:left w:val="nil"/>
              <w:bottom w:val="single" w:sz="4" w:space="0" w:color="auto"/>
              <w:right w:val="single" w:sz="4" w:space="0" w:color="auto"/>
            </w:tcBorders>
            <w:shd w:val="pct25" w:color="auto" w:fill="FFFFFF"/>
            <w:noWrap/>
            <w:vAlign w:val="bottom"/>
          </w:tcPr>
          <w:p w:rsidR="003A497B" w:rsidRPr="00C87130" w:rsidRDefault="003A497B" w:rsidP="003E1809">
            <w:pPr>
              <w:jc w:val="right"/>
              <w:rPr>
                <w:rFonts w:ascii="Times New Roman" w:hAnsi="Times New Roman" w:cs="Times New Roman"/>
                <w:b/>
                <w:color w:val="000000"/>
                <w:sz w:val="14"/>
                <w:szCs w:val="14"/>
              </w:rPr>
            </w:pPr>
            <w:r w:rsidRPr="00C87130">
              <w:rPr>
                <w:rFonts w:ascii="Times New Roman" w:hAnsi="Times New Roman" w:cs="Times New Roman"/>
                <w:b/>
                <w:color w:val="000000"/>
                <w:sz w:val="14"/>
                <w:szCs w:val="14"/>
              </w:rPr>
              <w:t>499 650 000</w:t>
            </w:r>
          </w:p>
        </w:tc>
      </w:tr>
      <w:tr w:rsidR="003A497B" w:rsidRPr="00DC4C1E" w:rsidTr="003E1809">
        <w:trPr>
          <w:trHeight w:hRule="exact" w:val="255"/>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3A497B" w:rsidRPr="00DC4C1E" w:rsidRDefault="003A497B" w:rsidP="003E1809">
            <w:pPr>
              <w:rPr>
                <w:rFonts w:ascii="Times New Roman" w:hAnsi="Times New Roman" w:cs="Times New Roman"/>
                <w:color w:val="000000"/>
                <w:sz w:val="14"/>
                <w:szCs w:val="14"/>
              </w:rPr>
            </w:pPr>
            <w:r w:rsidRPr="00DC4C1E">
              <w:rPr>
                <w:rFonts w:ascii="Times New Roman" w:hAnsi="Times New Roman" w:cs="Times New Roman"/>
                <w:color w:val="000000"/>
                <w:sz w:val="14"/>
                <w:szCs w:val="14"/>
              </w:rPr>
              <w:t>ŽSR - zmluva o prevádz. želez. inf.</w:t>
            </w:r>
          </w:p>
        </w:tc>
        <w:tc>
          <w:tcPr>
            <w:tcW w:w="973" w:type="dxa"/>
            <w:tcBorders>
              <w:top w:val="single" w:sz="4" w:space="0" w:color="auto"/>
              <w:left w:val="nil"/>
              <w:bottom w:val="single" w:sz="4" w:space="0" w:color="auto"/>
              <w:right w:val="single" w:sz="4" w:space="0" w:color="auto"/>
            </w:tcBorders>
            <w:noWrap/>
            <w:vAlign w:val="bottom"/>
            <w:hideMark/>
          </w:tcPr>
          <w:p w:rsidR="003A497B" w:rsidRPr="00352E03" w:rsidRDefault="003A497B" w:rsidP="003E1809">
            <w:pPr>
              <w:jc w:val="right"/>
              <w:rPr>
                <w:rFonts w:ascii="Times New Roman" w:hAnsi="Times New Roman" w:cs="Times New Roman"/>
                <w:color w:val="000000"/>
                <w:sz w:val="14"/>
                <w:szCs w:val="14"/>
              </w:rPr>
            </w:pPr>
            <w:r w:rsidRPr="00352E03">
              <w:rPr>
                <w:rFonts w:ascii="Times New Roman" w:hAnsi="Times New Roman" w:cs="Times New Roman"/>
                <w:color w:val="000000"/>
                <w:sz w:val="14"/>
                <w:szCs w:val="14"/>
              </w:rPr>
              <w:t>272 500 000</w:t>
            </w:r>
          </w:p>
        </w:tc>
        <w:tc>
          <w:tcPr>
            <w:tcW w:w="973" w:type="dxa"/>
            <w:tcBorders>
              <w:top w:val="single" w:sz="4" w:space="0" w:color="auto"/>
              <w:left w:val="nil"/>
              <w:bottom w:val="single" w:sz="4" w:space="0" w:color="auto"/>
              <w:right w:val="single" w:sz="4" w:space="0" w:color="auto"/>
            </w:tcBorders>
            <w:noWrap/>
            <w:vAlign w:val="bottom"/>
          </w:tcPr>
          <w:p w:rsidR="003A497B" w:rsidRPr="0020005A" w:rsidRDefault="003A497B" w:rsidP="003E1809">
            <w:pPr>
              <w:jc w:val="right"/>
              <w:rPr>
                <w:rFonts w:ascii="Times New Roman" w:hAnsi="Times New Roman" w:cs="Times New Roman"/>
                <w:color w:val="000000"/>
                <w:sz w:val="14"/>
                <w:szCs w:val="14"/>
              </w:rPr>
            </w:pPr>
            <w:r w:rsidRPr="0020005A">
              <w:rPr>
                <w:rFonts w:ascii="Times New Roman" w:hAnsi="Times New Roman" w:cs="Times New Roman"/>
                <w:color w:val="000000"/>
                <w:sz w:val="14"/>
                <w:szCs w:val="14"/>
              </w:rPr>
              <w:t>348 079 612</w:t>
            </w:r>
          </w:p>
        </w:tc>
        <w:tc>
          <w:tcPr>
            <w:tcW w:w="974" w:type="dxa"/>
            <w:tcBorders>
              <w:top w:val="single" w:sz="4" w:space="0" w:color="auto"/>
              <w:left w:val="nil"/>
              <w:bottom w:val="single" w:sz="4" w:space="0" w:color="auto"/>
              <w:right w:val="single" w:sz="4" w:space="0" w:color="auto"/>
            </w:tcBorders>
            <w:noWrap/>
            <w:vAlign w:val="bottom"/>
            <w:hideMark/>
          </w:tcPr>
          <w:p w:rsidR="003A497B" w:rsidRPr="0020005A" w:rsidRDefault="003A497B" w:rsidP="003E1809">
            <w:pPr>
              <w:jc w:val="right"/>
              <w:rPr>
                <w:rFonts w:ascii="Times New Roman" w:hAnsi="Times New Roman" w:cs="Times New Roman"/>
                <w:color w:val="000000"/>
                <w:sz w:val="14"/>
                <w:szCs w:val="14"/>
              </w:rPr>
            </w:pPr>
            <w:r w:rsidRPr="0020005A">
              <w:rPr>
                <w:rFonts w:ascii="Times New Roman" w:hAnsi="Times New Roman" w:cs="Times New Roman"/>
                <w:color w:val="000000"/>
                <w:sz w:val="14"/>
                <w:szCs w:val="14"/>
              </w:rPr>
              <w:t>272 500 000</w:t>
            </w:r>
          </w:p>
        </w:tc>
        <w:tc>
          <w:tcPr>
            <w:tcW w:w="974" w:type="dxa"/>
            <w:tcBorders>
              <w:top w:val="single" w:sz="4" w:space="0" w:color="auto"/>
              <w:left w:val="nil"/>
              <w:bottom w:val="single" w:sz="4" w:space="0" w:color="auto"/>
              <w:right w:val="single" w:sz="4" w:space="0" w:color="auto"/>
            </w:tcBorders>
            <w:noWrap/>
            <w:vAlign w:val="bottom"/>
          </w:tcPr>
          <w:p w:rsidR="003A497B" w:rsidRPr="0020005A" w:rsidRDefault="003A497B" w:rsidP="003E1809">
            <w:pPr>
              <w:jc w:val="right"/>
              <w:rPr>
                <w:rFonts w:ascii="Times New Roman" w:hAnsi="Times New Roman" w:cs="Times New Roman"/>
                <w:color w:val="000000"/>
                <w:sz w:val="14"/>
                <w:szCs w:val="14"/>
              </w:rPr>
            </w:pPr>
            <w:r w:rsidRPr="0020005A">
              <w:rPr>
                <w:rFonts w:ascii="Times New Roman" w:hAnsi="Times New Roman" w:cs="Times New Roman"/>
                <w:color w:val="000000"/>
                <w:sz w:val="14"/>
                <w:szCs w:val="14"/>
              </w:rPr>
              <w:t>272 500 000</w:t>
            </w:r>
          </w:p>
        </w:tc>
        <w:tc>
          <w:tcPr>
            <w:tcW w:w="974" w:type="dxa"/>
            <w:tcBorders>
              <w:top w:val="single" w:sz="4" w:space="0" w:color="auto"/>
              <w:left w:val="nil"/>
              <w:bottom w:val="single" w:sz="4" w:space="0" w:color="auto"/>
              <w:right w:val="single" w:sz="4" w:space="0" w:color="auto"/>
            </w:tcBorders>
            <w:noWrap/>
            <w:vAlign w:val="bottom"/>
          </w:tcPr>
          <w:p w:rsidR="003A497B" w:rsidRPr="00352E03" w:rsidRDefault="003A497B" w:rsidP="003E1809">
            <w:pPr>
              <w:jc w:val="right"/>
              <w:rPr>
                <w:rFonts w:ascii="Times New Roman" w:hAnsi="Times New Roman" w:cs="Times New Roman"/>
                <w:color w:val="000000"/>
                <w:sz w:val="14"/>
                <w:szCs w:val="14"/>
              </w:rPr>
            </w:pPr>
            <w:r w:rsidRPr="00352E03">
              <w:rPr>
                <w:rFonts w:ascii="Times New Roman" w:hAnsi="Times New Roman" w:cs="Times New Roman"/>
                <w:color w:val="000000"/>
                <w:sz w:val="14"/>
                <w:szCs w:val="14"/>
              </w:rPr>
              <w:t>272 500 000</w:t>
            </w:r>
          </w:p>
        </w:tc>
        <w:tc>
          <w:tcPr>
            <w:tcW w:w="974" w:type="dxa"/>
            <w:tcBorders>
              <w:top w:val="single" w:sz="4" w:space="0" w:color="auto"/>
              <w:left w:val="nil"/>
              <w:bottom w:val="single" w:sz="4" w:space="0" w:color="auto"/>
              <w:right w:val="single" w:sz="4" w:space="0" w:color="auto"/>
            </w:tcBorders>
            <w:noWrap/>
            <w:vAlign w:val="bottom"/>
          </w:tcPr>
          <w:p w:rsidR="003A497B" w:rsidRPr="00352E03" w:rsidRDefault="003A497B" w:rsidP="003E1809">
            <w:pPr>
              <w:jc w:val="right"/>
              <w:rPr>
                <w:rFonts w:ascii="Times New Roman" w:hAnsi="Times New Roman" w:cs="Times New Roman"/>
                <w:color w:val="000000"/>
                <w:sz w:val="14"/>
                <w:szCs w:val="14"/>
              </w:rPr>
            </w:pPr>
            <w:r w:rsidRPr="00352E03">
              <w:rPr>
                <w:rFonts w:ascii="Times New Roman" w:hAnsi="Times New Roman" w:cs="Times New Roman"/>
                <w:color w:val="000000"/>
                <w:sz w:val="14"/>
                <w:szCs w:val="14"/>
              </w:rPr>
              <w:t>272 500 000</w:t>
            </w:r>
          </w:p>
        </w:tc>
        <w:tc>
          <w:tcPr>
            <w:tcW w:w="974" w:type="dxa"/>
            <w:tcBorders>
              <w:top w:val="single" w:sz="4" w:space="0" w:color="auto"/>
              <w:left w:val="nil"/>
              <w:bottom w:val="single" w:sz="4" w:space="0" w:color="auto"/>
              <w:right w:val="single" w:sz="4" w:space="0" w:color="auto"/>
            </w:tcBorders>
            <w:noWrap/>
            <w:vAlign w:val="bottom"/>
          </w:tcPr>
          <w:p w:rsidR="003A497B" w:rsidRPr="00352E03" w:rsidRDefault="003A497B" w:rsidP="003E1809">
            <w:pPr>
              <w:jc w:val="right"/>
              <w:rPr>
                <w:rFonts w:ascii="Times New Roman" w:hAnsi="Times New Roman" w:cs="Times New Roman"/>
                <w:color w:val="000000"/>
                <w:sz w:val="14"/>
                <w:szCs w:val="14"/>
              </w:rPr>
            </w:pPr>
            <w:r w:rsidRPr="00352E03">
              <w:rPr>
                <w:rFonts w:ascii="Times New Roman" w:hAnsi="Times New Roman" w:cs="Times New Roman"/>
                <w:color w:val="000000"/>
                <w:sz w:val="14"/>
                <w:szCs w:val="14"/>
              </w:rPr>
              <w:t>272 500 000</w:t>
            </w:r>
          </w:p>
        </w:tc>
      </w:tr>
      <w:tr w:rsidR="003A497B" w:rsidRPr="00DC4C1E" w:rsidTr="003E1809">
        <w:trPr>
          <w:trHeight w:hRule="exact" w:val="340"/>
        </w:trPr>
        <w:tc>
          <w:tcPr>
            <w:tcW w:w="2269" w:type="dxa"/>
            <w:tcBorders>
              <w:top w:val="single" w:sz="4" w:space="0" w:color="auto"/>
              <w:left w:val="single" w:sz="4" w:space="0" w:color="auto"/>
              <w:bottom w:val="single" w:sz="4" w:space="0" w:color="auto"/>
              <w:right w:val="single" w:sz="4" w:space="0" w:color="auto"/>
            </w:tcBorders>
            <w:noWrap/>
            <w:vAlign w:val="bottom"/>
            <w:hideMark/>
          </w:tcPr>
          <w:p w:rsidR="003A497B" w:rsidRPr="00DC4C1E" w:rsidRDefault="003A497B" w:rsidP="003E1809">
            <w:pPr>
              <w:rPr>
                <w:rFonts w:ascii="Times New Roman" w:hAnsi="Times New Roman" w:cs="Times New Roman"/>
                <w:color w:val="000000"/>
                <w:sz w:val="14"/>
                <w:szCs w:val="14"/>
              </w:rPr>
            </w:pPr>
            <w:r w:rsidRPr="00DC4C1E">
              <w:rPr>
                <w:rFonts w:ascii="Times New Roman" w:hAnsi="Times New Roman" w:cs="Times New Roman"/>
                <w:color w:val="000000"/>
                <w:sz w:val="14"/>
                <w:szCs w:val="14"/>
              </w:rPr>
              <w:t>ŽSSK -  zmluva o dopr. služ</w:t>
            </w:r>
            <w:r>
              <w:rPr>
                <w:rFonts w:ascii="Times New Roman" w:hAnsi="Times New Roman" w:cs="Times New Roman"/>
                <w:color w:val="000000"/>
                <w:sz w:val="14"/>
                <w:szCs w:val="14"/>
              </w:rPr>
              <w:t>bách</w:t>
            </w:r>
            <w:r w:rsidRPr="00DC4C1E">
              <w:rPr>
                <w:rFonts w:ascii="Times New Roman" w:hAnsi="Times New Roman" w:cs="Times New Roman"/>
                <w:color w:val="000000"/>
                <w:sz w:val="14"/>
                <w:szCs w:val="14"/>
              </w:rPr>
              <w:t xml:space="preserve"> vo ver. záujme  </w:t>
            </w:r>
          </w:p>
        </w:tc>
        <w:tc>
          <w:tcPr>
            <w:tcW w:w="973" w:type="dxa"/>
            <w:tcBorders>
              <w:top w:val="single" w:sz="4" w:space="0" w:color="auto"/>
              <w:left w:val="nil"/>
              <w:bottom w:val="single" w:sz="4" w:space="0" w:color="auto"/>
              <w:right w:val="single" w:sz="4" w:space="0" w:color="auto"/>
            </w:tcBorders>
            <w:noWrap/>
            <w:vAlign w:val="bottom"/>
            <w:hideMark/>
          </w:tcPr>
          <w:p w:rsidR="003A497B" w:rsidRPr="00352E03" w:rsidRDefault="003A497B" w:rsidP="003E1809">
            <w:pPr>
              <w:jc w:val="right"/>
              <w:rPr>
                <w:rFonts w:ascii="Times New Roman" w:hAnsi="Times New Roman" w:cs="Times New Roman"/>
                <w:color w:val="000000"/>
                <w:sz w:val="14"/>
                <w:szCs w:val="14"/>
              </w:rPr>
            </w:pPr>
            <w:r w:rsidRPr="00352E03">
              <w:rPr>
                <w:rFonts w:ascii="Times New Roman" w:hAnsi="Times New Roman" w:cs="Times New Roman"/>
                <w:color w:val="000000"/>
                <w:sz w:val="14"/>
                <w:szCs w:val="14"/>
              </w:rPr>
              <w:t>209 559 000</w:t>
            </w:r>
          </w:p>
        </w:tc>
        <w:tc>
          <w:tcPr>
            <w:tcW w:w="973" w:type="dxa"/>
            <w:tcBorders>
              <w:top w:val="single" w:sz="4" w:space="0" w:color="auto"/>
              <w:left w:val="nil"/>
              <w:bottom w:val="single" w:sz="4" w:space="0" w:color="auto"/>
              <w:right w:val="single" w:sz="4" w:space="0" w:color="auto"/>
            </w:tcBorders>
            <w:noWrap/>
            <w:vAlign w:val="bottom"/>
          </w:tcPr>
          <w:p w:rsidR="003A497B" w:rsidRPr="0020005A" w:rsidRDefault="003A497B" w:rsidP="003E1809">
            <w:pPr>
              <w:jc w:val="right"/>
              <w:rPr>
                <w:rFonts w:ascii="Times New Roman" w:hAnsi="Times New Roman" w:cs="Times New Roman"/>
                <w:color w:val="000000"/>
                <w:sz w:val="14"/>
                <w:szCs w:val="14"/>
              </w:rPr>
            </w:pPr>
            <w:r w:rsidRPr="0020005A">
              <w:rPr>
                <w:rFonts w:ascii="Times New Roman" w:hAnsi="Times New Roman" w:cs="Times New Roman"/>
                <w:color w:val="000000"/>
                <w:sz w:val="14"/>
                <w:szCs w:val="14"/>
              </w:rPr>
              <w:t>253 928 593</w:t>
            </w:r>
          </w:p>
        </w:tc>
        <w:tc>
          <w:tcPr>
            <w:tcW w:w="974" w:type="dxa"/>
            <w:tcBorders>
              <w:top w:val="single" w:sz="4" w:space="0" w:color="auto"/>
              <w:left w:val="nil"/>
              <w:bottom w:val="single" w:sz="4" w:space="0" w:color="auto"/>
              <w:right w:val="single" w:sz="4" w:space="0" w:color="auto"/>
            </w:tcBorders>
            <w:noWrap/>
            <w:vAlign w:val="bottom"/>
            <w:hideMark/>
          </w:tcPr>
          <w:p w:rsidR="003A497B" w:rsidRPr="0020005A" w:rsidRDefault="003A497B" w:rsidP="003E1809">
            <w:pPr>
              <w:jc w:val="right"/>
              <w:rPr>
                <w:rFonts w:ascii="Times New Roman" w:hAnsi="Times New Roman" w:cs="Times New Roman"/>
                <w:color w:val="000000"/>
                <w:sz w:val="14"/>
                <w:szCs w:val="14"/>
              </w:rPr>
            </w:pPr>
            <w:r w:rsidRPr="0020005A">
              <w:rPr>
                <w:rFonts w:ascii="Times New Roman" w:hAnsi="Times New Roman" w:cs="Times New Roman"/>
                <w:color w:val="000000"/>
                <w:sz w:val="14"/>
                <w:szCs w:val="14"/>
              </w:rPr>
              <w:t>209 559 000</w:t>
            </w:r>
          </w:p>
        </w:tc>
        <w:tc>
          <w:tcPr>
            <w:tcW w:w="974" w:type="dxa"/>
            <w:tcBorders>
              <w:top w:val="single" w:sz="4" w:space="0" w:color="auto"/>
              <w:left w:val="nil"/>
              <w:bottom w:val="single" w:sz="4" w:space="0" w:color="auto"/>
              <w:right w:val="single" w:sz="4" w:space="0" w:color="auto"/>
            </w:tcBorders>
            <w:noWrap/>
            <w:vAlign w:val="bottom"/>
          </w:tcPr>
          <w:p w:rsidR="003A497B" w:rsidRPr="0020005A" w:rsidRDefault="003A497B" w:rsidP="003E1809">
            <w:pPr>
              <w:jc w:val="right"/>
              <w:rPr>
                <w:rFonts w:ascii="Times New Roman" w:hAnsi="Times New Roman" w:cs="Times New Roman"/>
                <w:color w:val="000000"/>
                <w:sz w:val="14"/>
                <w:szCs w:val="14"/>
              </w:rPr>
            </w:pPr>
            <w:r w:rsidRPr="0020005A">
              <w:rPr>
                <w:rFonts w:ascii="Times New Roman" w:hAnsi="Times New Roman" w:cs="Times New Roman"/>
                <w:color w:val="000000"/>
                <w:sz w:val="14"/>
                <w:szCs w:val="14"/>
              </w:rPr>
              <w:t>209 559 000</w:t>
            </w:r>
          </w:p>
        </w:tc>
        <w:tc>
          <w:tcPr>
            <w:tcW w:w="974" w:type="dxa"/>
            <w:tcBorders>
              <w:top w:val="single" w:sz="4" w:space="0" w:color="auto"/>
              <w:left w:val="nil"/>
              <w:bottom w:val="single" w:sz="4" w:space="0" w:color="auto"/>
              <w:right w:val="single" w:sz="4" w:space="0" w:color="auto"/>
            </w:tcBorders>
            <w:noWrap/>
            <w:vAlign w:val="bottom"/>
          </w:tcPr>
          <w:p w:rsidR="003A497B" w:rsidRPr="00352E03" w:rsidRDefault="003A497B" w:rsidP="003E1809">
            <w:pPr>
              <w:jc w:val="right"/>
              <w:rPr>
                <w:rFonts w:ascii="Times New Roman" w:hAnsi="Times New Roman" w:cs="Times New Roman"/>
                <w:color w:val="000000"/>
                <w:sz w:val="14"/>
                <w:szCs w:val="14"/>
              </w:rPr>
            </w:pPr>
            <w:r w:rsidRPr="00352E03">
              <w:rPr>
                <w:rFonts w:ascii="Times New Roman" w:hAnsi="Times New Roman" w:cs="Times New Roman"/>
                <w:color w:val="000000"/>
                <w:sz w:val="14"/>
                <w:szCs w:val="14"/>
              </w:rPr>
              <w:t>2</w:t>
            </w:r>
            <w:r>
              <w:rPr>
                <w:rFonts w:ascii="Times New Roman" w:hAnsi="Times New Roman" w:cs="Times New Roman"/>
                <w:color w:val="000000"/>
                <w:sz w:val="14"/>
                <w:szCs w:val="14"/>
              </w:rPr>
              <w:t>18</w:t>
            </w:r>
            <w:r w:rsidRPr="00352E03">
              <w:rPr>
                <w:rFonts w:ascii="Times New Roman" w:hAnsi="Times New Roman" w:cs="Times New Roman"/>
                <w:color w:val="000000"/>
                <w:sz w:val="14"/>
                <w:szCs w:val="14"/>
              </w:rPr>
              <w:t xml:space="preserve"> </w:t>
            </w:r>
            <w:r>
              <w:rPr>
                <w:rFonts w:ascii="Times New Roman" w:hAnsi="Times New Roman" w:cs="Times New Roman"/>
                <w:color w:val="000000"/>
                <w:sz w:val="14"/>
                <w:szCs w:val="14"/>
              </w:rPr>
              <w:t>70</w:t>
            </w:r>
            <w:r w:rsidRPr="00352E03">
              <w:rPr>
                <w:rFonts w:ascii="Times New Roman" w:hAnsi="Times New Roman" w:cs="Times New Roman"/>
                <w:color w:val="000000"/>
                <w:sz w:val="14"/>
                <w:szCs w:val="14"/>
              </w:rPr>
              <w:t>9 000</w:t>
            </w:r>
          </w:p>
        </w:tc>
        <w:tc>
          <w:tcPr>
            <w:tcW w:w="974" w:type="dxa"/>
            <w:tcBorders>
              <w:top w:val="single" w:sz="4" w:space="0" w:color="auto"/>
              <w:left w:val="nil"/>
              <w:bottom w:val="single" w:sz="4" w:space="0" w:color="auto"/>
              <w:right w:val="single" w:sz="4" w:space="0" w:color="auto"/>
            </w:tcBorders>
            <w:noWrap/>
            <w:vAlign w:val="bottom"/>
          </w:tcPr>
          <w:p w:rsidR="003A497B" w:rsidRPr="00352E03" w:rsidRDefault="003A497B" w:rsidP="003E1809">
            <w:pPr>
              <w:jc w:val="right"/>
              <w:rPr>
                <w:rFonts w:ascii="Times New Roman" w:hAnsi="Times New Roman" w:cs="Times New Roman"/>
                <w:color w:val="000000"/>
                <w:sz w:val="14"/>
                <w:szCs w:val="14"/>
              </w:rPr>
            </w:pPr>
            <w:r w:rsidRPr="00352E03">
              <w:rPr>
                <w:rFonts w:ascii="Times New Roman" w:hAnsi="Times New Roman" w:cs="Times New Roman"/>
                <w:color w:val="000000"/>
                <w:sz w:val="14"/>
                <w:szCs w:val="14"/>
              </w:rPr>
              <w:t>2</w:t>
            </w:r>
            <w:r>
              <w:rPr>
                <w:rFonts w:ascii="Times New Roman" w:hAnsi="Times New Roman" w:cs="Times New Roman"/>
                <w:color w:val="000000"/>
                <w:sz w:val="14"/>
                <w:szCs w:val="14"/>
              </w:rPr>
              <w:t>18</w:t>
            </w:r>
            <w:r w:rsidRPr="00352E03">
              <w:rPr>
                <w:rFonts w:ascii="Times New Roman" w:hAnsi="Times New Roman" w:cs="Times New Roman"/>
                <w:color w:val="000000"/>
                <w:sz w:val="14"/>
                <w:szCs w:val="14"/>
              </w:rPr>
              <w:t xml:space="preserve"> </w:t>
            </w:r>
            <w:r>
              <w:rPr>
                <w:rFonts w:ascii="Times New Roman" w:hAnsi="Times New Roman" w:cs="Times New Roman"/>
                <w:color w:val="000000"/>
                <w:sz w:val="14"/>
                <w:szCs w:val="14"/>
              </w:rPr>
              <w:t>70</w:t>
            </w:r>
            <w:r w:rsidRPr="00352E03">
              <w:rPr>
                <w:rFonts w:ascii="Times New Roman" w:hAnsi="Times New Roman" w:cs="Times New Roman"/>
                <w:color w:val="000000"/>
                <w:sz w:val="14"/>
                <w:szCs w:val="14"/>
              </w:rPr>
              <w:t>9 000</w:t>
            </w:r>
          </w:p>
        </w:tc>
        <w:tc>
          <w:tcPr>
            <w:tcW w:w="974" w:type="dxa"/>
            <w:tcBorders>
              <w:top w:val="single" w:sz="4" w:space="0" w:color="auto"/>
              <w:left w:val="nil"/>
              <w:bottom w:val="single" w:sz="4" w:space="0" w:color="auto"/>
              <w:right w:val="single" w:sz="4" w:space="0" w:color="auto"/>
            </w:tcBorders>
            <w:noWrap/>
            <w:vAlign w:val="bottom"/>
          </w:tcPr>
          <w:p w:rsidR="003A497B" w:rsidRPr="00352E03" w:rsidRDefault="003A497B" w:rsidP="003E1809">
            <w:pPr>
              <w:jc w:val="right"/>
              <w:rPr>
                <w:rFonts w:ascii="Times New Roman" w:hAnsi="Times New Roman" w:cs="Times New Roman"/>
                <w:color w:val="000000"/>
                <w:sz w:val="14"/>
                <w:szCs w:val="14"/>
              </w:rPr>
            </w:pPr>
            <w:r w:rsidRPr="00352E03">
              <w:rPr>
                <w:rFonts w:ascii="Times New Roman" w:hAnsi="Times New Roman" w:cs="Times New Roman"/>
                <w:color w:val="000000"/>
                <w:sz w:val="14"/>
                <w:szCs w:val="14"/>
              </w:rPr>
              <w:t>2</w:t>
            </w:r>
            <w:r>
              <w:rPr>
                <w:rFonts w:ascii="Times New Roman" w:hAnsi="Times New Roman" w:cs="Times New Roman"/>
                <w:color w:val="000000"/>
                <w:sz w:val="14"/>
                <w:szCs w:val="14"/>
              </w:rPr>
              <w:t>18</w:t>
            </w:r>
            <w:r w:rsidRPr="00352E03">
              <w:rPr>
                <w:rFonts w:ascii="Times New Roman" w:hAnsi="Times New Roman" w:cs="Times New Roman"/>
                <w:color w:val="000000"/>
                <w:sz w:val="14"/>
                <w:szCs w:val="14"/>
              </w:rPr>
              <w:t xml:space="preserve"> </w:t>
            </w:r>
            <w:r>
              <w:rPr>
                <w:rFonts w:ascii="Times New Roman" w:hAnsi="Times New Roman" w:cs="Times New Roman"/>
                <w:color w:val="000000"/>
                <w:sz w:val="14"/>
                <w:szCs w:val="14"/>
              </w:rPr>
              <w:t>70</w:t>
            </w:r>
            <w:r w:rsidRPr="00352E03">
              <w:rPr>
                <w:rFonts w:ascii="Times New Roman" w:hAnsi="Times New Roman" w:cs="Times New Roman"/>
                <w:color w:val="000000"/>
                <w:sz w:val="14"/>
                <w:szCs w:val="14"/>
              </w:rPr>
              <w:t>9 000</w:t>
            </w:r>
          </w:p>
        </w:tc>
      </w:tr>
      <w:tr w:rsidR="003A497B" w:rsidRPr="00DC4C1E" w:rsidTr="003E1809">
        <w:trPr>
          <w:trHeight w:hRule="exact" w:val="340"/>
        </w:trPr>
        <w:tc>
          <w:tcPr>
            <w:tcW w:w="2269" w:type="dxa"/>
            <w:tcBorders>
              <w:top w:val="single" w:sz="4" w:space="0" w:color="auto"/>
              <w:left w:val="single" w:sz="4" w:space="0" w:color="auto"/>
              <w:bottom w:val="single" w:sz="4" w:space="0" w:color="auto"/>
              <w:right w:val="single" w:sz="4" w:space="0" w:color="auto"/>
            </w:tcBorders>
            <w:noWrap/>
            <w:vAlign w:val="bottom"/>
          </w:tcPr>
          <w:p w:rsidR="003A497B" w:rsidRPr="00DC4C1E" w:rsidRDefault="003A497B" w:rsidP="003E1809">
            <w:pPr>
              <w:rPr>
                <w:rFonts w:ascii="Times New Roman" w:hAnsi="Times New Roman" w:cs="Times New Roman"/>
                <w:color w:val="000000"/>
                <w:sz w:val="14"/>
                <w:szCs w:val="14"/>
              </w:rPr>
            </w:pPr>
            <w:r w:rsidRPr="00DC4C1E">
              <w:rPr>
                <w:rFonts w:ascii="Times New Roman" w:hAnsi="Times New Roman" w:cs="Times New Roman"/>
                <w:color w:val="000000"/>
                <w:sz w:val="14"/>
                <w:szCs w:val="14"/>
              </w:rPr>
              <w:t>In</w:t>
            </w:r>
            <w:r>
              <w:rPr>
                <w:rFonts w:ascii="Times New Roman" w:hAnsi="Times New Roman" w:cs="Times New Roman"/>
                <w:color w:val="000000"/>
                <w:sz w:val="14"/>
                <w:szCs w:val="14"/>
              </w:rPr>
              <w:t>í</w:t>
            </w:r>
            <w:r w:rsidRPr="00DC4C1E">
              <w:rPr>
                <w:rFonts w:ascii="Times New Roman" w:hAnsi="Times New Roman" w:cs="Times New Roman"/>
                <w:color w:val="000000"/>
                <w:sz w:val="14"/>
                <w:szCs w:val="14"/>
              </w:rPr>
              <w:t xml:space="preserve"> dopravcovia - zmluva o dopr. sl</w:t>
            </w:r>
            <w:r>
              <w:rPr>
                <w:rFonts w:ascii="Times New Roman" w:hAnsi="Times New Roman" w:cs="Times New Roman"/>
                <w:color w:val="000000"/>
                <w:sz w:val="14"/>
                <w:szCs w:val="14"/>
              </w:rPr>
              <w:t>u</w:t>
            </w:r>
            <w:r w:rsidRPr="00DC4C1E">
              <w:rPr>
                <w:rFonts w:ascii="Times New Roman" w:hAnsi="Times New Roman" w:cs="Times New Roman"/>
                <w:color w:val="000000"/>
                <w:sz w:val="14"/>
                <w:szCs w:val="14"/>
              </w:rPr>
              <w:t>ž</w:t>
            </w:r>
            <w:r>
              <w:rPr>
                <w:rFonts w:ascii="Times New Roman" w:hAnsi="Times New Roman" w:cs="Times New Roman"/>
                <w:color w:val="000000"/>
                <w:sz w:val="14"/>
                <w:szCs w:val="14"/>
              </w:rPr>
              <w:t>bách</w:t>
            </w:r>
            <w:r w:rsidRPr="00DC4C1E">
              <w:rPr>
                <w:rFonts w:ascii="Times New Roman" w:hAnsi="Times New Roman" w:cs="Times New Roman"/>
                <w:color w:val="000000"/>
                <w:sz w:val="14"/>
                <w:szCs w:val="14"/>
              </w:rPr>
              <w:t xml:space="preserve"> vo ver. záujme  </w:t>
            </w:r>
          </w:p>
        </w:tc>
        <w:tc>
          <w:tcPr>
            <w:tcW w:w="973" w:type="dxa"/>
            <w:tcBorders>
              <w:top w:val="single" w:sz="4" w:space="0" w:color="auto"/>
              <w:left w:val="nil"/>
              <w:bottom w:val="single" w:sz="4" w:space="0" w:color="auto"/>
              <w:right w:val="single" w:sz="4" w:space="0" w:color="auto"/>
            </w:tcBorders>
            <w:noWrap/>
            <w:vAlign w:val="bottom"/>
          </w:tcPr>
          <w:p w:rsidR="003A497B" w:rsidRPr="00352E03" w:rsidRDefault="003A497B" w:rsidP="003E1809">
            <w:pPr>
              <w:jc w:val="right"/>
              <w:rPr>
                <w:rFonts w:ascii="Times New Roman" w:hAnsi="Times New Roman" w:cs="Times New Roman"/>
                <w:color w:val="000000"/>
                <w:sz w:val="14"/>
                <w:szCs w:val="14"/>
              </w:rPr>
            </w:pPr>
            <w:r w:rsidRPr="00352E03">
              <w:rPr>
                <w:rFonts w:ascii="Times New Roman" w:hAnsi="Times New Roman" w:cs="Times New Roman"/>
                <w:color w:val="000000"/>
                <w:sz w:val="14"/>
                <w:szCs w:val="14"/>
              </w:rPr>
              <w:t>9 259 776</w:t>
            </w:r>
          </w:p>
        </w:tc>
        <w:tc>
          <w:tcPr>
            <w:tcW w:w="973" w:type="dxa"/>
            <w:tcBorders>
              <w:top w:val="single" w:sz="4" w:space="0" w:color="auto"/>
              <w:left w:val="nil"/>
              <w:bottom w:val="single" w:sz="4" w:space="0" w:color="auto"/>
              <w:right w:val="single" w:sz="4" w:space="0" w:color="auto"/>
            </w:tcBorders>
            <w:noWrap/>
            <w:vAlign w:val="bottom"/>
          </w:tcPr>
          <w:p w:rsidR="003A497B" w:rsidRPr="0020005A" w:rsidRDefault="003A497B" w:rsidP="003E1809">
            <w:pPr>
              <w:jc w:val="right"/>
              <w:rPr>
                <w:rFonts w:ascii="Times New Roman" w:hAnsi="Times New Roman" w:cs="Times New Roman"/>
                <w:color w:val="000000"/>
                <w:sz w:val="14"/>
                <w:szCs w:val="14"/>
              </w:rPr>
            </w:pPr>
            <w:r w:rsidRPr="0020005A">
              <w:rPr>
                <w:rFonts w:ascii="Times New Roman" w:hAnsi="Times New Roman" w:cs="Times New Roman"/>
                <w:color w:val="000000"/>
                <w:sz w:val="14"/>
                <w:szCs w:val="14"/>
              </w:rPr>
              <w:t>8 438 482</w:t>
            </w:r>
          </w:p>
        </w:tc>
        <w:tc>
          <w:tcPr>
            <w:tcW w:w="974" w:type="dxa"/>
            <w:tcBorders>
              <w:top w:val="single" w:sz="4" w:space="0" w:color="auto"/>
              <w:left w:val="nil"/>
              <w:bottom w:val="single" w:sz="4" w:space="0" w:color="auto"/>
              <w:right w:val="single" w:sz="4" w:space="0" w:color="auto"/>
            </w:tcBorders>
            <w:noWrap/>
            <w:vAlign w:val="bottom"/>
          </w:tcPr>
          <w:p w:rsidR="003A497B" w:rsidRPr="0020005A" w:rsidRDefault="003A497B" w:rsidP="003E1809">
            <w:pPr>
              <w:jc w:val="right"/>
              <w:rPr>
                <w:rFonts w:ascii="Times New Roman" w:hAnsi="Times New Roman" w:cs="Times New Roman"/>
                <w:color w:val="000000"/>
                <w:sz w:val="14"/>
                <w:szCs w:val="14"/>
              </w:rPr>
            </w:pPr>
            <w:r w:rsidRPr="0020005A">
              <w:rPr>
                <w:rFonts w:ascii="Times New Roman" w:hAnsi="Times New Roman" w:cs="Times New Roman"/>
                <w:color w:val="000000"/>
                <w:sz w:val="14"/>
                <w:szCs w:val="14"/>
              </w:rPr>
              <w:t>8 441 000</w:t>
            </w:r>
          </w:p>
        </w:tc>
        <w:tc>
          <w:tcPr>
            <w:tcW w:w="974" w:type="dxa"/>
            <w:tcBorders>
              <w:top w:val="single" w:sz="4" w:space="0" w:color="auto"/>
              <w:left w:val="nil"/>
              <w:bottom w:val="single" w:sz="4" w:space="0" w:color="auto"/>
              <w:right w:val="single" w:sz="4" w:space="0" w:color="auto"/>
            </w:tcBorders>
            <w:noWrap/>
            <w:vAlign w:val="bottom"/>
          </w:tcPr>
          <w:p w:rsidR="003A497B" w:rsidRPr="0020005A" w:rsidRDefault="003A497B" w:rsidP="003E1809">
            <w:pPr>
              <w:jc w:val="right"/>
              <w:rPr>
                <w:rFonts w:ascii="Times New Roman" w:hAnsi="Times New Roman" w:cs="Times New Roman"/>
                <w:color w:val="000000"/>
                <w:sz w:val="14"/>
                <w:szCs w:val="14"/>
              </w:rPr>
            </w:pPr>
            <w:r w:rsidRPr="0020005A">
              <w:rPr>
                <w:rFonts w:ascii="Times New Roman" w:hAnsi="Times New Roman" w:cs="Times New Roman"/>
                <w:color w:val="000000"/>
                <w:sz w:val="14"/>
                <w:szCs w:val="14"/>
              </w:rPr>
              <w:t>8 441 000</w:t>
            </w:r>
          </w:p>
        </w:tc>
        <w:tc>
          <w:tcPr>
            <w:tcW w:w="974" w:type="dxa"/>
            <w:tcBorders>
              <w:top w:val="single" w:sz="4" w:space="0" w:color="auto"/>
              <w:left w:val="nil"/>
              <w:bottom w:val="single" w:sz="4" w:space="0" w:color="auto"/>
              <w:right w:val="single" w:sz="4" w:space="0" w:color="auto"/>
            </w:tcBorders>
            <w:noWrap/>
            <w:vAlign w:val="bottom"/>
          </w:tcPr>
          <w:p w:rsidR="003A497B" w:rsidRPr="00352E03" w:rsidRDefault="003A497B" w:rsidP="003E1809">
            <w:pPr>
              <w:jc w:val="right"/>
              <w:rPr>
                <w:rFonts w:ascii="Times New Roman" w:hAnsi="Times New Roman" w:cs="Times New Roman"/>
                <w:color w:val="000000"/>
                <w:sz w:val="14"/>
                <w:szCs w:val="14"/>
              </w:rPr>
            </w:pPr>
            <w:r w:rsidRPr="00352E03">
              <w:rPr>
                <w:rFonts w:ascii="Times New Roman" w:hAnsi="Times New Roman" w:cs="Times New Roman"/>
                <w:color w:val="000000"/>
                <w:sz w:val="14"/>
                <w:szCs w:val="14"/>
              </w:rPr>
              <w:t>8 441 000</w:t>
            </w:r>
          </w:p>
        </w:tc>
        <w:tc>
          <w:tcPr>
            <w:tcW w:w="974" w:type="dxa"/>
            <w:tcBorders>
              <w:top w:val="single" w:sz="4" w:space="0" w:color="auto"/>
              <w:left w:val="nil"/>
              <w:bottom w:val="single" w:sz="4" w:space="0" w:color="auto"/>
              <w:right w:val="single" w:sz="4" w:space="0" w:color="auto"/>
            </w:tcBorders>
            <w:noWrap/>
            <w:vAlign w:val="bottom"/>
          </w:tcPr>
          <w:p w:rsidR="003A497B" w:rsidRPr="00352E03" w:rsidRDefault="003A497B" w:rsidP="003E1809">
            <w:pPr>
              <w:jc w:val="right"/>
              <w:rPr>
                <w:rFonts w:ascii="Times New Roman" w:hAnsi="Times New Roman" w:cs="Times New Roman"/>
                <w:color w:val="000000"/>
                <w:sz w:val="14"/>
                <w:szCs w:val="14"/>
              </w:rPr>
            </w:pPr>
            <w:r w:rsidRPr="00352E03">
              <w:rPr>
                <w:rFonts w:ascii="Times New Roman" w:hAnsi="Times New Roman" w:cs="Times New Roman"/>
                <w:color w:val="000000"/>
                <w:sz w:val="14"/>
                <w:szCs w:val="14"/>
              </w:rPr>
              <w:t>8 441 000</w:t>
            </w:r>
          </w:p>
        </w:tc>
        <w:tc>
          <w:tcPr>
            <w:tcW w:w="974" w:type="dxa"/>
            <w:tcBorders>
              <w:top w:val="single" w:sz="4" w:space="0" w:color="auto"/>
              <w:left w:val="nil"/>
              <w:bottom w:val="single" w:sz="4" w:space="0" w:color="auto"/>
              <w:right w:val="single" w:sz="4" w:space="0" w:color="auto"/>
            </w:tcBorders>
            <w:noWrap/>
            <w:vAlign w:val="bottom"/>
          </w:tcPr>
          <w:p w:rsidR="003A497B" w:rsidRPr="00352E03" w:rsidRDefault="003A497B" w:rsidP="003E1809">
            <w:pPr>
              <w:jc w:val="right"/>
              <w:rPr>
                <w:rFonts w:ascii="Times New Roman" w:hAnsi="Times New Roman" w:cs="Times New Roman"/>
                <w:color w:val="000000"/>
                <w:sz w:val="14"/>
                <w:szCs w:val="14"/>
              </w:rPr>
            </w:pPr>
            <w:r w:rsidRPr="00352E03">
              <w:rPr>
                <w:rFonts w:ascii="Times New Roman" w:hAnsi="Times New Roman" w:cs="Times New Roman"/>
                <w:color w:val="000000"/>
                <w:sz w:val="14"/>
                <w:szCs w:val="14"/>
              </w:rPr>
              <w:t>8 441 000</w:t>
            </w:r>
          </w:p>
        </w:tc>
      </w:tr>
    </w:tbl>
    <w:p w:rsidR="003A497B" w:rsidRPr="00775C7E" w:rsidRDefault="003A497B" w:rsidP="003A497B">
      <w:pPr>
        <w:ind w:firstLine="709"/>
        <w:jc w:val="both"/>
        <w:rPr>
          <w:rFonts w:ascii="Times New Roman" w:hAnsi="Times New Roman" w:cs="Times New Roman"/>
          <w:highlight w:val="yellow"/>
        </w:rPr>
      </w:pPr>
    </w:p>
    <w:p w:rsidR="003A497B" w:rsidRPr="00DC4C1E" w:rsidRDefault="003A497B" w:rsidP="003A497B">
      <w:pPr>
        <w:ind w:firstLine="709"/>
        <w:jc w:val="both"/>
        <w:rPr>
          <w:rFonts w:ascii="Times New Roman" w:hAnsi="Times New Roman" w:cs="Times New Roman"/>
        </w:rPr>
      </w:pPr>
      <w:r w:rsidRPr="00DC4C1E">
        <w:rPr>
          <w:rFonts w:ascii="Times New Roman" w:hAnsi="Times New Roman" w:cs="Times New Roman"/>
        </w:rPr>
        <w:t>Na zabezpečenie zmluvy o prevádzkovaní železničnej infraštruktúry so Ž</w:t>
      </w:r>
      <w:r>
        <w:rPr>
          <w:rFonts w:ascii="Times New Roman" w:hAnsi="Times New Roman" w:cs="Times New Roman"/>
        </w:rPr>
        <w:t>SR</w:t>
      </w:r>
      <w:r w:rsidRPr="00DC4C1E">
        <w:rPr>
          <w:rFonts w:ascii="Times New Roman" w:hAnsi="Times New Roman" w:cs="Times New Roman"/>
        </w:rPr>
        <w:t xml:space="preserve"> a zmlúv o dopravných službách vo verejnom záujme pre železničnú osobnú dopravu </w:t>
      </w:r>
      <w:r>
        <w:rPr>
          <w:rFonts w:ascii="Times New Roman" w:hAnsi="Times New Roman" w:cs="Times New Roman"/>
        </w:rPr>
        <w:t xml:space="preserve">sú rozpočtované </w:t>
      </w:r>
      <w:r>
        <w:rPr>
          <w:rFonts w:ascii="Times New Roman" w:hAnsi="Times New Roman" w:cs="Times New Roman"/>
        </w:rPr>
        <w:lastRenderedPageBreak/>
        <w:t>výdavky v sume 500</w:t>
      </w:r>
      <w:r w:rsidRPr="00DC4C1E">
        <w:rPr>
          <w:rFonts w:ascii="Times New Roman" w:hAnsi="Times New Roman" w:cs="Times New Roman"/>
        </w:rPr>
        <w:t xml:space="preserve"> mil. eur, čo </w:t>
      </w:r>
      <w:r>
        <w:rPr>
          <w:rFonts w:ascii="Times New Roman" w:hAnsi="Times New Roman" w:cs="Times New Roman"/>
        </w:rPr>
        <w:t xml:space="preserve">v porovnaní so schváleným rozpočtom roku </w:t>
      </w:r>
      <w:r w:rsidRPr="00DC4C1E">
        <w:rPr>
          <w:rFonts w:ascii="Times New Roman" w:hAnsi="Times New Roman" w:cs="Times New Roman"/>
        </w:rPr>
        <w:t>201</w:t>
      </w:r>
      <w:r>
        <w:rPr>
          <w:rFonts w:ascii="Times New Roman" w:hAnsi="Times New Roman" w:cs="Times New Roman"/>
        </w:rPr>
        <w:t>8 predstavuje zvýšenie o 9,15 mil. eur, t. j. o 1,87 % v nadväznosti na zvýšenie výdavkov na zmluvu o dopravných službách vo verejnom záujme pre Železničnú spoločnosť Slovensko (ďalej len „Z</w:t>
      </w:r>
      <w:r w:rsidRPr="00740F80">
        <w:rPr>
          <w:rFonts w:ascii="Times New Roman" w:hAnsi="Times New Roman" w:cs="Times New Roman"/>
        </w:rPr>
        <w:t>SSK</w:t>
      </w:r>
      <w:r>
        <w:rPr>
          <w:rFonts w:ascii="Times New Roman" w:hAnsi="Times New Roman" w:cs="Times New Roman"/>
        </w:rPr>
        <w:t>“).</w:t>
      </w:r>
      <w:r w:rsidRPr="00DC4C1E">
        <w:rPr>
          <w:rFonts w:ascii="Times New Roman" w:hAnsi="Times New Roman" w:cs="Times New Roman"/>
        </w:rPr>
        <w:t xml:space="preserve"> </w:t>
      </w:r>
    </w:p>
    <w:p w:rsidR="003A497B" w:rsidRPr="00775C7E" w:rsidRDefault="003A497B" w:rsidP="003A497B">
      <w:pPr>
        <w:ind w:firstLine="709"/>
        <w:jc w:val="both"/>
        <w:rPr>
          <w:rFonts w:ascii="Times New Roman" w:hAnsi="Times New Roman" w:cs="Times New Roman"/>
          <w:highlight w:val="yellow"/>
        </w:rPr>
      </w:pPr>
    </w:p>
    <w:p w:rsidR="003A497B" w:rsidRPr="00740F80" w:rsidRDefault="003A497B" w:rsidP="003A497B">
      <w:pPr>
        <w:ind w:firstLine="709"/>
        <w:jc w:val="both"/>
        <w:rPr>
          <w:rFonts w:ascii="Times New Roman" w:hAnsi="Times New Roman" w:cs="Times New Roman"/>
        </w:rPr>
      </w:pPr>
      <w:r w:rsidRPr="00740F80">
        <w:rPr>
          <w:rFonts w:ascii="Times New Roman" w:hAnsi="Times New Roman" w:cs="Times New Roman"/>
        </w:rPr>
        <w:t>Z uvedenej čiastky sú pre ŽSR na zmluvu o prevádzkovaní železničnej infraštruktúry rozpočtované výdavky v sume 250 mil. eur</w:t>
      </w:r>
      <w:r>
        <w:rPr>
          <w:rFonts w:ascii="Times New Roman" w:hAnsi="Times New Roman" w:cs="Times New Roman"/>
        </w:rPr>
        <w:t xml:space="preserve"> a 22,5 mil. eur </w:t>
      </w:r>
      <w:r w:rsidRPr="00DC4C1E">
        <w:rPr>
          <w:rFonts w:ascii="Times New Roman" w:hAnsi="Times New Roman" w:cs="Times New Roman"/>
        </w:rPr>
        <w:t>na kompenzáciu finančných dopadov vyplývajúcich zo zníženia poplatku za prístup k železničnej infraštruktúre</w:t>
      </w:r>
      <w:r>
        <w:rPr>
          <w:rFonts w:ascii="Times New Roman" w:hAnsi="Times New Roman" w:cs="Times New Roman"/>
        </w:rPr>
        <w:t>. Okrem uvedených prostriedkov sa pre ŽSR v rámci výdavkov na tvorbu a implementáciu politík rozpočtuje na rok 2019 suma vo výške 20,0 mil. eur, ktorá je určená na opravu, údržbu a prevádzku železničnej infraštruktúry. N</w:t>
      </w:r>
      <w:r w:rsidRPr="00740F80">
        <w:rPr>
          <w:rFonts w:ascii="Times New Roman" w:hAnsi="Times New Roman" w:cs="Times New Roman"/>
        </w:rPr>
        <w:t>a zmluvy o dopravných službách vo verejnom záujme pre železničnú osobnú dopravu sú rozpočtované výdavky</w:t>
      </w:r>
      <w:r>
        <w:rPr>
          <w:rFonts w:ascii="Times New Roman" w:hAnsi="Times New Roman" w:cs="Times New Roman"/>
        </w:rPr>
        <w:t xml:space="preserve"> v čiastke 227 mil. eur, z toho 219 mil. eur </w:t>
      </w:r>
      <w:r w:rsidRPr="00740F80">
        <w:rPr>
          <w:rFonts w:ascii="Times New Roman" w:hAnsi="Times New Roman" w:cs="Times New Roman"/>
        </w:rPr>
        <w:t>pre</w:t>
      </w:r>
      <w:r>
        <w:rPr>
          <w:rFonts w:ascii="Times New Roman" w:hAnsi="Times New Roman" w:cs="Times New Roman"/>
        </w:rPr>
        <w:t xml:space="preserve"> Z</w:t>
      </w:r>
      <w:r w:rsidRPr="00740F80">
        <w:rPr>
          <w:rFonts w:ascii="Times New Roman" w:hAnsi="Times New Roman" w:cs="Times New Roman"/>
        </w:rPr>
        <w:t>SSK a</w:t>
      </w:r>
      <w:r>
        <w:rPr>
          <w:rFonts w:ascii="Times New Roman" w:hAnsi="Times New Roman" w:cs="Times New Roman"/>
        </w:rPr>
        <w:t> </w:t>
      </w:r>
      <w:r>
        <w:rPr>
          <w:rFonts w:ascii="Times New Roman" w:hAnsi="Times New Roman" w:cs="Times New Roman"/>
        </w:rPr>
        <w:br/>
        <w:t>8,44 mil. eur</w:t>
      </w:r>
      <w:r w:rsidRPr="00740F80">
        <w:rPr>
          <w:rFonts w:ascii="Times New Roman" w:hAnsi="Times New Roman" w:cs="Times New Roman"/>
        </w:rPr>
        <w:t xml:space="preserve"> pre </w:t>
      </w:r>
      <w:r>
        <w:rPr>
          <w:rFonts w:ascii="Times New Roman" w:hAnsi="Times New Roman" w:cs="Times New Roman"/>
        </w:rPr>
        <w:t>spoločnosť RegioJet</w:t>
      </w:r>
      <w:r w:rsidRPr="00740F80">
        <w:rPr>
          <w:rFonts w:ascii="Times New Roman" w:hAnsi="Times New Roman" w:cs="Times New Roman"/>
        </w:rPr>
        <w:t>.</w:t>
      </w:r>
    </w:p>
    <w:p w:rsidR="003A497B" w:rsidRDefault="003A497B" w:rsidP="003A497B">
      <w:pPr>
        <w:jc w:val="both"/>
        <w:rPr>
          <w:rFonts w:ascii="Times New Roman" w:hAnsi="Times New Roman" w:cs="Times New Roman"/>
          <w:i/>
          <w:u w:val="single"/>
        </w:rPr>
      </w:pPr>
    </w:p>
    <w:p w:rsidR="003A497B" w:rsidRPr="00740F80" w:rsidRDefault="003A497B" w:rsidP="003A497B">
      <w:pPr>
        <w:jc w:val="both"/>
        <w:rPr>
          <w:rFonts w:ascii="Times New Roman" w:hAnsi="Times New Roman" w:cs="Times New Roman"/>
          <w:i/>
          <w:u w:val="single"/>
        </w:rPr>
      </w:pPr>
      <w:r w:rsidRPr="00740F80">
        <w:rPr>
          <w:rFonts w:ascii="Times New Roman" w:hAnsi="Times New Roman" w:cs="Times New Roman"/>
          <w:i/>
          <w:u w:val="single"/>
        </w:rPr>
        <w:t>Výstavba nadradenej cestnej siete a platba za dostupnosť</w:t>
      </w:r>
    </w:p>
    <w:p w:rsidR="003A497B" w:rsidRDefault="003A497B" w:rsidP="003A497B">
      <w:pPr>
        <w:jc w:val="both"/>
        <w:rPr>
          <w:rFonts w:ascii="Times New Roman" w:hAnsi="Times New Roman" w:cs="Times New Roman"/>
          <w:highlight w:val="yellow"/>
        </w:rPr>
      </w:pPr>
    </w:p>
    <w:tbl>
      <w:tblPr>
        <w:tblW w:w="5000" w:type="pct"/>
        <w:tblCellMar>
          <w:left w:w="70" w:type="dxa"/>
          <w:right w:w="70" w:type="dxa"/>
        </w:tblCellMar>
        <w:tblLook w:val="04A0" w:firstRow="1" w:lastRow="0" w:firstColumn="1" w:lastColumn="0" w:noHBand="0" w:noVBand="1"/>
      </w:tblPr>
      <w:tblGrid>
        <w:gridCol w:w="1966"/>
        <w:gridCol w:w="1040"/>
        <w:gridCol w:w="997"/>
        <w:gridCol w:w="997"/>
        <w:gridCol w:w="997"/>
        <w:gridCol w:w="1086"/>
        <w:gridCol w:w="997"/>
        <w:gridCol w:w="982"/>
      </w:tblGrid>
      <w:tr w:rsidR="003A497B" w:rsidRPr="00352E03" w:rsidTr="003E1809">
        <w:trPr>
          <w:trHeight w:hRule="exact" w:val="284"/>
        </w:trPr>
        <w:tc>
          <w:tcPr>
            <w:tcW w:w="108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104A3A" w:rsidRDefault="003A497B" w:rsidP="003E1809">
            <w:pPr>
              <w:rPr>
                <w:rFonts w:ascii="Times New Roman" w:hAnsi="Times New Roman" w:cs="Times New Roman"/>
                <w:b/>
                <w:bCs/>
                <w:color w:val="000000"/>
                <w:sz w:val="14"/>
                <w:szCs w:val="14"/>
              </w:rPr>
            </w:pPr>
            <w:r w:rsidRPr="00104A3A">
              <w:rPr>
                <w:rFonts w:ascii="Times New Roman" w:hAnsi="Times New Roman" w:cs="Times New Roman"/>
                <w:b/>
                <w:bCs/>
                <w:color w:val="000000"/>
                <w:sz w:val="14"/>
                <w:szCs w:val="14"/>
              </w:rPr>
              <w:t>v eurách</w:t>
            </w:r>
          </w:p>
        </w:tc>
        <w:tc>
          <w:tcPr>
            <w:tcW w:w="574"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2016 S</w:t>
            </w:r>
          </w:p>
        </w:tc>
        <w:tc>
          <w:tcPr>
            <w:tcW w:w="550"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2017 </w:t>
            </w:r>
            <w:r>
              <w:rPr>
                <w:rFonts w:ascii="Times New Roman" w:hAnsi="Times New Roman" w:cs="Times New Roman"/>
                <w:b/>
                <w:bCs/>
                <w:color w:val="000000"/>
                <w:sz w:val="14"/>
                <w:szCs w:val="14"/>
                <w:lang w:eastAsia="sk-SK"/>
              </w:rPr>
              <w:t>S</w:t>
            </w:r>
          </w:p>
        </w:tc>
        <w:tc>
          <w:tcPr>
            <w:tcW w:w="550"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346A12">
              <w:rPr>
                <w:rFonts w:ascii="Times New Roman" w:hAnsi="Times New Roman" w:cs="Times New Roman"/>
                <w:b/>
                <w:bCs/>
                <w:color w:val="000000"/>
                <w:sz w:val="14"/>
                <w:szCs w:val="14"/>
                <w:lang w:eastAsia="sk-SK"/>
              </w:rPr>
              <w:t xml:space="preserve"> </w:t>
            </w:r>
            <w:r>
              <w:rPr>
                <w:rFonts w:ascii="Times New Roman" w:hAnsi="Times New Roman" w:cs="Times New Roman"/>
                <w:b/>
                <w:bCs/>
                <w:color w:val="000000"/>
                <w:sz w:val="14"/>
                <w:szCs w:val="14"/>
                <w:lang w:eastAsia="sk-SK"/>
              </w:rPr>
              <w:t>R</w:t>
            </w:r>
          </w:p>
        </w:tc>
        <w:tc>
          <w:tcPr>
            <w:tcW w:w="550"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2018 </w:t>
            </w:r>
            <w:r>
              <w:rPr>
                <w:rFonts w:ascii="Times New Roman" w:hAnsi="Times New Roman" w:cs="Times New Roman"/>
                <w:b/>
                <w:bCs/>
                <w:color w:val="000000"/>
                <w:sz w:val="14"/>
                <w:szCs w:val="14"/>
                <w:lang w:eastAsia="sk-SK"/>
              </w:rPr>
              <w:t>OS</w:t>
            </w:r>
          </w:p>
        </w:tc>
        <w:tc>
          <w:tcPr>
            <w:tcW w:w="59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2019 N</w:t>
            </w:r>
          </w:p>
        </w:tc>
        <w:tc>
          <w:tcPr>
            <w:tcW w:w="550"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2020 N</w:t>
            </w:r>
          </w:p>
        </w:tc>
        <w:tc>
          <w:tcPr>
            <w:tcW w:w="54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w:t>
            </w:r>
            <w:r>
              <w:rPr>
                <w:rFonts w:ascii="Times New Roman" w:hAnsi="Times New Roman" w:cs="Times New Roman"/>
                <w:b/>
                <w:bCs/>
                <w:color w:val="000000"/>
                <w:sz w:val="14"/>
                <w:szCs w:val="14"/>
                <w:lang w:eastAsia="sk-SK"/>
              </w:rPr>
              <w:t>1</w:t>
            </w:r>
            <w:r w:rsidRPr="00346A12">
              <w:rPr>
                <w:rFonts w:ascii="Times New Roman" w:hAnsi="Times New Roman" w:cs="Times New Roman"/>
                <w:b/>
                <w:bCs/>
                <w:color w:val="000000"/>
                <w:sz w:val="14"/>
                <w:szCs w:val="14"/>
                <w:lang w:eastAsia="sk-SK"/>
              </w:rPr>
              <w:t xml:space="preserve"> N</w:t>
            </w:r>
          </w:p>
        </w:tc>
      </w:tr>
      <w:tr w:rsidR="003A497B" w:rsidRPr="00352E03" w:rsidTr="003E1809">
        <w:trPr>
          <w:trHeight w:hRule="exact" w:val="284"/>
        </w:trPr>
        <w:tc>
          <w:tcPr>
            <w:tcW w:w="108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A497B" w:rsidRPr="001C2062" w:rsidRDefault="003A497B" w:rsidP="003E1809">
            <w:pPr>
              <w:rPr>
                <w:rFonts w:ascii="Times New Roman" w:hAnsi="Times New Roman" w:cs="Times New Roman"/>
                <w:b/>
                <w:bCs/>
                <w:color w:val="000000"/>
                <w:sz w:val="14"/>
                <w:szCs w:val="14"/>
              </w:rPr>
            </w:pPr>
            <w:r w:rsidRPr="001C2062">
              <w:rPr>
                <w:rFonts w:ascii="Times New Roman" w:hAnsi="Times New Roman" w:cs="Times New Roman"/>
                <w:b/>
                <w:bCs/>
                <w:color w:val="000000"/>
                <w:sz w:val="14"/>
                <w:szCs w:val="14"/>
              </w:rPr>
              <w:t>Spolu</w:t>
            </w:r>
          </w:p>
        </w:tc>
        <w:tc>
          <w:tcPr>
            <w:tcW w:w="57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3A5B02" w:rsidRDefault="003A497B" w:rsidP="003E1809">
            <w:pPr>
              <w:jc w:val="right"/>
              <w:rPr>
                <w:rFonts w:ascii="Times New Roman" w:hAnsi="Times New Roman" w:cs="Times New Roman"/>
                <w:b/>
                <w:bCs/>
                <w:color w:val="000000"/>
                <w:sz w:val="14"/>
                <w:szCs w:val="14"/>
                <w:lang w:eastAsia="sk-SK"/>
              </w:rPr>
            </w:pPr>
            <w:r w:rsidRPr="003A5B02">
              <w:rPr>
                <w:rFonts w:ascii="Times New Roman" w:hAnsi="Times New Roman" w:cs="Times New Roman"/>
                <w:b/>
                <w:bCs/>
                <w:color w:val="000000"/>
                <w:sz w:val="14"/>
                <w:szCs w:val="14"/>
              </w:rPr>
              <w:t>131 458 350</w:t>
            </w:r>
          </w:p>
        </w:tc>
        <w:tc>
          <w:tcPr>
            <w:tcW w:w="550"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3A5B02" w:rsidRDefault="003A497B" w:rsidP="003E1809">
            <w:pPr>
              <w:jc w:val="right"/>
              <w:rPr>
                <w:rFonts w:ascii="Times New Roman" w:hAnsi="Times New Roman" w:cs="Times New Roman"/>
                <w:b/>
                <w:bCs/>
                <w:color w:val="000000"/>
                <w:sz w:val="14"/>
                <w:szCs w:val="14"/>
              </w:rPr>
            </w:pPr>
            <w:r w:rsidRPr="003A5B02">
              <w:rPr>
                <w:rFonts w:ascii="Times New Roman" w:hAnsi="Times New Roman" w:cs="Times New Roman"/>
                <w:b/>
                <w:bCs/>
                <w:color w:val="000000"/>
                <w:sz w:val="14"/>
                <w:szCs w:val="14"/>
              </w:rPr>
              <w:t>148 495 966</w:t>
            </w:r>
          </w:p>
        </w:tc>
        <w:tc>
          <w:tcPr>
            <w:tcW w:w="550"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3A5B02" w:rsidRDefault="003A497B" w:rsidP="003E1809">
            <w:pPr>
              <w:jc w:val="right"/>
              <w:rPr>
                <w:rFonts w:ascii="Times New Roman" w:hAnsi="Times New Roman" w:cs="Times New Roman"/>
                <w:b/>
                <w:bCs/>
                <w:color w:val="000000"/>
                <w:sz w:val="14"/>
                <w:szCs w:val="14"/>
              </w:rPr>
            </w:pPr>
            <w:r w:rsidRPr="003A5B02">
              <w:rPr>
                <w:rFonts w:ascii="Times New Roman" w:hAnsi="Times New Roman" w:cs="Times New Roman"/>
                <w:b/>
                <w:bCs/>
                <w:color w:val="000000"/>
                <w:sz w:val="14"/>
                <w:szCs w:val="14"/>
              </w:rPr>
              <w:t>133 671 822</w:t>
            </w:r>
          </w:p>
        </w:tc>
        <w:tc>
          <w:tcPr>
            <w:tcW w:w="550"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3A5B02" w:rsidRDefault="003A497B" w:rsidP="003E1809">
            <w:pPr>
              <w:jc w:val="right"/>
              <w:rPr>
                <w:rFonts w:ascii="Times New Roman" w:hAnsi="Times New Roman" w:cs="Times New Roman"/>
                <w:b/>
                <w:bCs/>
                <w:color w:val="000000"/>
                <w:sz w:val="14"/>
                <w:szCs w:val="14"/>
              </w:rPr>
            </w:pPr>
            <w:r w:rsidRPr="003A5B02">
              <w:rPr>
                <w:rFonts w:ascii="Times New Roman" w:hAnsi="Times New Roman" w:cs="Times New Roman"/>
                <w:b/>
                <w:bCs/>
                <w:color w:val="000000"/>
                <w:sz w:val="14"/>
                <w:szCs w:val="14"/>
              </w:rPr>
              <w:t>133 671 822</w:t>
            </w:r>
          </w:p>
        </w:tc>
        <w:tc>
          <w:tcPr>
            <w:tcW w:w="59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3A5B02" w:rsidRDefault="003A497B" w:rsidP="003E1809">
            <w:pPr>
              <w:jc w:val="right"/>
              <w:rPr>
                <w:rFonts w:ascii="Times New Roman" w:hAnsi="Times New Roman" w:cs="Times New Roman"/>
                <w:b/>
                <w:bCs/>
                <w:color w:val="000000"/>
                <w:sz w:val="14"/>
                <w:szCs w:val="14"/>
              </w:rPr>
            </w:pPr>
            <w:r w:rsidRPr="003A5B02">
              <w:rPr>
                <w:rFonts w:ascii="Times New Roman" w:hAnsi="Times New Roman" w:cs="Times New Roman"/>
                <w:b/>
                <w:bCs/>
                <w:color w:val="000000"/>
                <w:sz w:val="14"/>
                <w:szCs w:val="14"/>
              </w:rPr>
              <w:t>134 039 637</w:t>
            </w:r>
          </w:p>
        </w:tc>
        <w:tc>
          <w:tcPr>
            <w:tcW w:w="550"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3A5B02" w:rsidRDefault="003A497B" w:rsidP="003E1809">
            <w:pPr>
              <w:jc w:val="right"/>
              <w:rPr>
                <w:rFonts w:ascii="Times New Roman" w:hAnsi="Times New Roman" w:cs="Times New Roman"/>
                <w:b/>
                <w:bCs/>
                <w:color w:val="000000"/>
                <w:sz w:val="14"/>
                <w:szCs w:val="14"/>
              </w:rPr>
            </w:pPr>
            <w:r w:rsidRPr="003A5B02">
              <w:rPr>
                <w:rFonts w:ascii="Times New Roman" w:hAnsi="Times New Roman" w:cs="Times New Roman"/>
                <w:b/>
                <w:bCs/>
                <w:color w:val="000000"/>
                <w:sz w:val="14"/>
                <w:szCs w:val="14"/>
              </w:rPr>
              <w:t>156 666 176</w:t>
            </w:r>
          </w:p>
        </w:tc>
        <w:tc>
          <w:tcPr>
            <w:tcW w:w="542"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3A5B02" w:rsidRDefault="003A497B" w:rsidP="003E1809">
            <w:pPr>
              <w:jc w:val="right"/>
              <w:rPr>
                <w:rFonts w:ascii="Times New Roman" w:hAnsi="Times New Roman" w:cs="Times New Roman"/>
                <w:b/>
                <w:bCs/>
                <w:color w:val="000000"/>
                <w:sz w:val="14"/>
                <w:szCs w:val="14"/>
              </w:rPr>
            </w:pPr>
            <w:r w:rsidRPr="003A5B02">
              <w:rPr>
                <w:rFonts w:ascii="Times New Roman" w:hAnsi="Times New Roman" w:cs="Times New Roman"/>
                <w:b/>
                <w:bCs/>
                <w:color w:val="000000"/>
                <w:sz w:val="14"/>
                <w:szCs w:val="14"/>
              </w:rPr>
              <w:t>187 627 601</w:t>
            </w:r>
          </w:p>
        </w:tc>
      </w:tr>
      <w:tr w:rsidR="003A497B" w:rsidRPr="00352E03" w:rsidTr="003E1809">
        <w:trPr>
          <w:trHeight w:hRule="exact" w:val="284"/>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3A497B" w:rsidRPr="00352E03" w:rsidRDefault="003A497B" w:rsidP="003E1809">
            <w:pPr>
              <w:rPr>
                <w:rFonts w:ascii="Times New Roman" w:hAnsi="Times New Roman" w:cs="Times New Roman"/>
                <w:color w:val="000000"/>
                <w:sz w:val="14"/>
                <w:szCs w:val="14"/>
                <w:lang w:eastAsia="sk-SK"/>
              </w:rPr>
            </w:pPr>
            <w:r w:rsidRPr="00352E03">
              <w:rPr>
                <w:rFonts w:ascii="Times New Roman" w:hAnsi="Times New Roman" w:cs="Times New Roman"/>
                <w:color w:val="000000"/>
                <w:sz w:val="14"/>
                <w:szCs w:val="14"/>
                <w:lang w:eastAsia="sk-SK"/>
              </w:rPr>
              <w:t>Platba za dostupnosť  R1</w:t>
            </w:r>
          </w:p>
        </w:tc>
        <w:tc>
          <w:tcPr>
            <w:tcW w:w="574" w:type="pct"/>
            <w:tcBorders>
              <w:top w:val="nil"/>
              <w:left w:val="nil"/>
              <w:bottom w:val="single" w:sz="4" w:space="0" w:color="auto"/>
              <w:right w:val="single" w:sz="4" w:space="0" w:color="auto"/>
            </w:tcBorders>
            <w:shd w:val="clear" w:color="auto" w:fill="auto"/>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124 416 325</w:t>
            </w:r>
          </w:p>
        </w:tc>
        <w:tc>
          <w:tcPr>
            <w:tcW w:w="550" w:type="pct"/>
            <w:tcBorders>
              <w:top w:val="nil"/>
              <w:left w:val="nil"/>
              <w:bottom w:val="single" w:sz="4" w:space="0" w:color="auto"/>
              <w:right w:val="single" w:sz="4" w:space="0" w:color="auto"/>
            </w:tcBorders>
            <w:shd w:val="clear" w:color="auto" w:fill="auto"/>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124 184 365</w:t>
            </w:r>
          </w:p>
        </w:tc>
        <w:tc>
          <w:tcPr>
            <w:tcW w:w="550" w:type="pct"/>
            <w:tcBorders>
              <w:top w:val="nil"/>
              <w:left w:val="nil"/>
              <w:bottom w:val="single" w:sz="4" w:space="0" w:color="auto"/>
              <w:right w:val="single" w:sz="4" w:space="0" w:color="auto"/>
            </w:tcBorders>
            <w:shd w:val="clear" w:color="auto" w:fill="auto"/>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127 300 700</w:t>
            </w:r>
          </w:p>
        </w:tc>
        <w:tc>
          <w:tcPr>
            <w:tcW w:w="550" w:type="pct"/>
            <w:tcBorders>
              <w:top w:val="nil"/>
              <w:left w:val="nil"/>
              <w:bottom w:val="single" w:sz="4" w:space="0" w:color="auto"/>
              <w:right w:val="single" w:sz="4" w:space="0" w:color="auto"/>
            </w:tcBorders>
            <w:shd w:val="clear" w:color="auto" w:fill="auto"/>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125 468 253</w:t>
            </w:r>
          </w:p>
        </w:tc>
        <w:tc>
          <w:tcPr>
            <w:tcW w:w="599" w:type="pct"/>
            <w:tcBorders>
              <w:top w:val="nil"/>
              <w:left w:val="nil"/>
              <w:bottom w:val="single" w:sz="4" w:space="0" w:color="auto"/>
              <w:right w:val="single" w:sz="4" w:space="0" w:color="auto"/>
            </w:tcBorders>
            <w:shd w:val="clear" w:color="000000" w:fill="FFFFFF"/>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127 668 515</w:t>
            </w:r>
          </w:p>
        </w:tc>
        <w:tc>
          <w:tcPr>
            <w:tcW w:w="550" w:type="pct"/>
            <w:tcBorders>
              <w:top w:val="nil"/>
              <w:left w:val="nil"/>
              <w:bottom w:val="single" w:sz="4" w:space="0" w:color="auto"/>
              <w:right w:val="single" w:sz="4" w:space="0" w:color="auto"/>
            </w:tcBorders>
            <w:shd w:val="clear" w:color="000000" w:fill="FFFFFF"/>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128 044 054</w:t>
            </w:r>
          </w:p>
        </w:tc>
        <w:tc>
          <w:tcPr>
            <w:tcW w:w="542" w:type="pct"/>
            <w:tcBorders>
              <w:top w:val="nil"/>
              <w:left w:val="nil"/>
              <w:bottom w:val="single" w:sz="4" w:space="0" w:color="auto"/>
              <w:right w:val="single" w:sz="4" w:space="0" w:color="auto"/>
            </w:tcBorders>
            <w:shd w:val="clear" w:color="000000" w:fill="FFFFFF"/>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128 427 479</w:t>
            </w:r>
          </w:p>
        </w:tc>
      </w:tr>
      <w:tr w:rsidR="003A497B" w:rsidRPr="00352E03" w:rsidTr="003E1809">
        <w:trPr>
          <w:trHeight w:hRule="exact" w:val="284"/>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3A497B" w:rsidRPr="00352E03" w:rsidRDefault="003A497B" w:rsidP="003E1809">
            <w:pPr>
              <w:rPr>
                <w:rFonts w:ascii="Times New Roman" w:hAnsi="Times New Roman" w:cs="Times New Roman"/>
                <w:color w:val="000000"/>
                <w:sz w:val="14"/>
                <w:szCs w:val="14"/>
                <w:lang w:eastAsia="sk-SK"/>
              </w:rPr>
            </w:pPr>
            <w:r w:rsidRPr="00352E03">
              <w:rPr>
                <w:rFonts w:ascii="Times New Roman" w:hAnsi="Times New Roman" w:cs="Times New Roman"/>
                <w:color w:val="000000"/>
                <w:sz w:val="14"/>
                <w:szCs w:val="14"/>
                <w:lang w:eastAsia="sk-SK"/>
              </w:rPr>
              <w:t>Platba za dostupnosť  D4/R7</w:t>
            </w:r>
          </w:p>
        </w:tc>
        <w:tc>
          <w:tcPr>
            <w:tcW w:w="574" w:type="pct"/>
            <w:tcBorders>
              <w:top w:val="nil"/>
              <w:left w:val="nil"/>
              <w:bottom w:val="single" w:sz="4" w:space="0" w:color="auto"/>
              <w:right w:val="single" w:sz="4" w:space="0" w:color="auto"/>
            </w:tcBorders>
            <w:shd w:val="clear" w:color="auto" w:fill="auto"/>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0</w:t>
            </w:r>
          </w:p>
        </w:tc>
        <w:tc>
          <w:tcPr>
            <w:tcW w:w="550" w:type="pct"/>
            <w:tcBorders>
              <w:top w:val="nil"/>
              <w:left w:val="nil"/>
              <w:bottom w:val="single" w:sz="4" w:space="0" w:color="auto"/>
              <w:right w:val="single" w:sz="4" w:space="0" w:color="auto"/>
            </w:tcBorders>
            <w:shd w:val="clear" w:color="auto" w:fill="auto"/>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0</w:t>
            </w:r>
          </w:p>
        </w:tc>
        <w:tc>
          <w:tcPr>
            <w:tcW w:w="550" w:type="pct"/>
            <w:tcBorders>
              <w:top w:val="nil"/>
              <w:left w:val="nil"/>
              <w:bottom w:val="single" w:sz="4" w:space="0" w:color="auto"/>
              <w:right w:val="single" w:sz="4" w:space="0" w:color="auto"/>
            </w:tcBorders>
            <w:shd w:val="clear" w:color="auto" w:fill="auto"/>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0</w:t>
            </w:r>
          </w:p>
        </w:tc>
        <w:tc>
          <w:tcPr>
            <w:tcW w:w="550" w:type="pct"/>
            <w:tcBorders>
              <w:top w:val="nil"/>
              <w:left w:val="nil"/>
              <w:bottom w:val="single" w:sz="4" w:space="0" w:color="auto"/>
              <w:right w:val="single" w:sz="4" w:space="0" w:color="auto"/>
            </w:tcBorders>
            <w:shd w:val="clear" w:color="auto" w:fill="auto"/>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0</w:t>
            </w:r>
          </w:p>
        </w:tc>
        <w:tc>
          <w:tcPr>
            <w:tcW w:w="599" w:type="pct"/>
            <w:tcBorders>
              <w:top w:val="nil"/>
              <w:left w:val="nil"/>
              <w:bottom w:val="single" w:sz="4" w:space="0" w:color="auto"/>
              <w:right w:val="single" w:sz="4" w:space="0" w:color="auto"/>
            </w:tcBorders>
            <w:shd w:val="clear" w:color="000000" w:fill="FFFFFF"/>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0</w:t>
            </w:r>
          </w:p>
        </w:tc>
        <w:tc>
          <w:tcPr>
            <w:tcW w:w="550" w:type="pct"/>
            <w:tcBorders>
              <w:top w:val="nil"/>
              <w:left w:val="nil"/>
              <w:bottom w:val="single" w:sz="4" w:space="0" w:color="auto"/>
              <w:right w:val="single" w:sz="4" w:space="0" w:color="auto"/>
            </w:tcBorders>
            <w:shd w:val="clear" w:color="000000" w:fill="FFFFFF"/>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22 251 000</w:t>
            </w:r>
          </w:p>
        </w:tc>
        <w:tc>
          <w:tcPr>
            <w:tcW w:w="542" w:type="pct"/>
            <w:tcBorders>
              <w:top w:val="nil"/>
              <w:left w:val="nil"/>
              <w:bottom w:val="single" w:sz="4" w:space="0" w:color="auto"/>
              <w:right w:val="single" w:sz="4" w:space="0" w:color="auto"/>
            </w:tcBorders>
            <w:shd w:val="clear" w:color="000000" w:fill="FFFFFF"/>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52 829 000</w:t>
            </w:r>
          </w:p>
        </w:tc>
      </w:tr>
      <w:tr w:rsidR="003A497B" w:rsidRPr="00352E03" w:rsidTr="003E1809">
        <w:trPr>
          <w:trHeight w:hRule="exact" w:val="284"/>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3A497B" w:rsidRPr="00352E03" w:rsidRDefault="003A497B" w:rsidP="003E1809">
            <w:pPr>
              <w:rPr>
                <w:rFonts w:ascii="Times New Roman" w:hAnsi="Times New Roman" w:cs="Times New Roman"/>
                <w:color w:val="000000"/>
                <w:sz w:val="14"/>
                <w:szCs w:val="14"/>
                <w:lang w:eastAsia="sk-SK"/>
              </w:rPr>
            </w:pPr>
            <w:r w:rsidRPr="00352E03">
              <w:rPr>
                <w:rFonts w:ascii="Times New Roman" w:hAnsi="Times New Roman" w:cs="Times New Roman"/>
                <w:color w:val="000000"/>
                <w:sz w:val="14"/>
                <w:szCs w:val="14"/>
                <w:lang w:eastAsia="sk-SK"/>
              </w:rPr>
              <w:t xml:space="preserve">Príprava a ukončenie PPP </w:t>
            </w:r>
          </w:p>
        </w:tc>
        <w:tc>
          <w:tcPr>
            <w:tcW w:w="574" w:type="pct"/>
            <w:tcBorders>
              <w:top w:val="nil"/>
              <w:left w:val="nil"/>
              <w:bottom w:val="single" w:sz="4" w:space="0" w:color="auto"/>
              <w:right w:val="single" w:sz="4" w:space="0" w:color="auto"/>
            </w:tcBorders>
            <w:shd w:val="clear" w:color="auto" w:fill="auto"/>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4 911 108</w:t>
            </w:r>
          </w:p>
        </w:tc>
        <w:tc>
          <w:tcPr>
            <w:tcW w:w="550" w:type="pct"/>
            <w:tcBorders>
              <w:top w:val="nil"/>
              <w:left w:val="nil"/>
              <w:bottom w:val="single" w:sz="4" w:space="0" w:color="auto"/>
              <w:right w:val="single" w:sz="4" w:space="0" w:color="auto"/>
            </w:tcBorders>
            <w:shd w:val="clear" w:color="auto" w:fill="auto"/>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6 547 797</w:t>
            </w:r>
          </w:p>
        </w:tc>
        <w:tc>
          <w:tcPr>
            <w:tcW w:w="550" w:type="pct"/>
            <w:tcBorders>
              <w:top w:val="nil"/>
              <w:left w:val="nil"/>
              <w:bottom w:val="single" w:sz="4" w:space="0" w:color="auto"/>
              <w:right w:val="single" w:sz="4" w:space="0" w:color="auto"/>
            </w:tcBorders>
            <w:shd w:val="clear" w:color="000000" w:fill="FFFFFF"/>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6 371 122</w:t>
            </w:r>
          </w:p>
        </w:tc>
        <w:tc>
          <w:tcPr>
            <w:tcW w:w="550" w:type="pct"/>
            <w:tcBorders>
              <w:top w:val="nil"/>
              <w:left w:val="nil"/>
              <w:bottom w:val="single" w:sz="4" w:space="0" w:color="auto"/>
              <w:right w:val="single" w:sz="4" w:space="0" w:color="auto"/>
            </w:tcBorders>
            <w:shd w:val="clear" w:color="000000" w:fill="FFFFFF"/>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8 203 569</w:t>
            </w:r>
          </w:p>
        </w:tc>
        <w:tc>
          <w:tcPr>
            <w:tcW w:w="599" w:type="pct"/>
            <w:tcBorders>
              <w:top w:val="nil"/>
              <w:left w:val="nil"/>
              <w:bottom w:val="single" w:sz="4" w:space="0" w:color="auto"/>
              <w:right w:val="single" w:sz="4" w:space="0" w:color="auto"/>
            </w:tcBorders>
            <w:shd w:val="clear" w:color="000000" w:fill="FFFFFF"/>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1 771 122</w:t>
            </w:r>
          </w:p>
        </w:tc>
        <w:tc>
          <w:tcPr>
            <w:tcW w:w="550" w:type="pct"/>
            <w:tcBorders>
              <w:top w:val="nil"/>
              <w:left w:val="nil"/>
              <w:bottom w:val="single" w:sz="4" w:space="0" w:color="auto"/>
              <w:right w:val="single" w:sz="4" w:space="0" w:color="auto"/>
            </w:tcBorders>
            <w:shd w:val="clear" w:color="000000" w:fill="FFFFFF"/>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371 122</w:t>
            </w:r>
          </w:p>
        </w:tc>
        <w:tc>
          <w:tcPr>
            <w:tcW w:w="542" w:type="pct"/>
            <w:tcBorders>
              <w:top w:val="nil"/>
              <w:left w:val="nil"/>
              <w:bottom w:val="single" w:sz="4" w:space="0" w:color="auto"/>
              <w:right w:val="single" w:sz="4" w:space="0" w:color="auto"/>
            </w:tcBorders>
            <w:shd w:val="clear" w:color="000000" w:fill="FFFFFF"/>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371 122</w:t>
            </w:r>
          </w:p>
        </w:tc>
      </w:tr>
      <w:tr w:rsidR="003A497B" w:rsidRPr="00352E03" w:rsidTr="003E1809">
        <w:trPr>
          <w:trHeight w:hRule="exact" w:val="284"/>
        </w:trPr>
        <w:tc>
          <w:tcPr>
            <w:tcW w:w="1085" w:type="pct"/>
            <w:tcBorders>
              <w:top w:val="nil"/>
              <w:left w:val="single" w:sz="4" w:space="0" w:color="auto"/>
              <w:bottom w:val="single" w:sz="4" w:space="0" w:color="auto"/>
              <w:right w:val="single" w:sz="4" w:space="0" w:color="auto"/>
            </w:tcBorders>
            <w:shd w:val="clear" w:color="auto" w:fill="auto"/>
            <w:noWrap/>
            <w:vAlign w:val="bottom"/>
            <w:hideMark/>
          </w:tcPr>
          <w:p w:rsidR="003A497B" w:rsidRPr="00352E03" w:rsidRDefault="003A497B" w:rsidP="003E1809">
            <w:pPr>
              <w:rPr>
                <w:rFonts w:ascii="Times New Roman" w:hAnsi="Times New Roman" w:cs="Times New Roman"/>
                <w:color w:val="000000"/>
                <w:sz w:val="14"/>
                <w:szCs w:val="14"/>
                <w:lang w:eastAsia="sk-SK"/>
              </w:rPr>
            </w:pPr>
            <w:r w:rsidRPr="00352E03">
              <w:rPr>
                <w:rFonts w:ascii="Times New Roman" w:hAnsi="Times New Roman" w:cs="Times New Roman"/>
                <w:color w:val="000000"/>
                <w:sz w:val="14"/>
                <w:szCs w:val="14"/>
                <w:lang w:eastAsia="sk-SK"/>
              </w:rPr>
              <w:t>Projekty PPP D4 a R7</w:t>
            </w:r>
          </w:p>
        </w:tc>
        <w:tc>
          <w:tcPr>
            <w:tcW w:w="574" w:type="pct"/>
            <w:tcBorders>
              <w:top w:val="nil"/>
              <w:left w:val="nil"/>
              <w:bottom w:val="single" w:sz="4" w:space="0" w:color="auto"/>
              <w:right w:val="single" w:sz="4" w:space="0" w:color="auto"/>
            </w:tcBorders>
            <w:shd w:val="clear" w:color="auto" w:fill="auto"/>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2 130 917</w:t>
            </w:r>
          </w:p>
        </w:tc>
        <w:tc>
          <w:tcPr>
            <w:tcW w:w="550" w:type="pct"/>
            <w:tcBorders>
              <w:top w:val="nil"/>
              <w:left w:val="nil"/>
              <w:bottom w:val="single" w:sz="4" w:space="0" w:color="auto"/>
              <w:right w:val="single" w:sz="4" w:space="0" w:color="auto"/>
            </w:tcBorders>
            <w:shd w:val="clear" w:color="auto" w:fill="auto"/>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17 763 804</w:t>
            </w:r>
          </w:p>
        </w:tc>
        <w:tc>
          <w:tcPr>
            <w:tcW w:w="550" w:type="pct"/>
            <w:tcBorders>
              <w:top w:val="nil"/>
              <w:left w:val="nil"/>
              <w:bottom w:val="single" w:sz="4" w:space="0" w:color="auto"/>
              <w:right w:val="single" w:sz="4" w:space="0" w:color="auto"/>
            </w:tcBorders>
            <w:shd w:val="clear" w:color="auto" w:fill="auto"/>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0</w:t>
            </w:r>
          </w:p>
        </w:tc>
        <w:tc>
          <w:tcPr>
            <w:tcW w:w="550" w:type="pct"/>
            <w:tcBorders>
              <w:top w:val="nil"/>
              <w:left w:val="nil"/>
              <w:bottom w:val="single" w:sz="4" w:space="0" w:color="auto"/>
              <w:right w:val="single" w:sz="4" w:space="0" w:color="auto"/>
            </w:tcBorders>
            <w:shd w:val="clear" w:color="000000" w:fill="FFFFFF"/>
            <w:noWrap/>
            <w:vAlign w:val="bottom"/>
            <w:hideMark/>
          </w:tcPr>
          <w:p w:rsidR="003A497B" w:rsidRPr="003A5B02"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99" w:type="pct"/>
            <w:tcBorders>
              <w:top w:val="nil"/>
              <w:left w:val="nil"/>
              <w:bottom w:val="single" w:sz="4" w:space="0" w:color="auto"/>
              <w:right w:val="single" w:sz="4" w:space="0" w:color="auto"/>
            </w:tcBorders>
            <w:shd w:val="clear" w:color="000000" w:fill="FFFFFF"/>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4 600 000</w:t>
            </w:r>
          </w:p>
        </w:tc>
        <w:tc>
          <w:tcPr>
            <w:tcW w:w="550" w:type="pct"/>
            <w:tcBorders>
              <w:top w:val="nil"/>
              <w:left w:val="nil"/>
              <w:bottom w:val="single" w:sz="4" w:space="0" w:color="auto"/>
              <w:right w:val="single" w:sz="4" w:space="0" w:color="auto"/>
            </w:tcBorders>
            <w:shd w:val="clear" w:color="000000" w:fill="FFFFFF"/>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6 000 000</w:t>
            </w:r>
          </w:p>
        </w:tc>
        <w:tc>
          <w:tcPr>
            <w:tcW w:w="542" w:type="pct"/>
            <w:tcBorders>
              <w:top w:val="nil"/>
              <w:left w:val="nil"/>
              <w:bottom w:val="single" w:sz="4" w:space="0" w:color="auto"/>
              <w:right w:val="single" w:sz="4" w:space="0" w:color="auto"/>
            </w:tcBorders>
            <w:shd w:val="clear" w:color="000000" w:fill="FFFFFF"/>
            <w:noWrap/>
            <w:vAlign w:val="bottom"/>
            <w:hideMark/>
          </w:tcPr>
          <w:p w:rsidR="003A497B" w:rsidRPr="003A5B02" w:rsidRDefault="003A497B" w:rsidP="003E1809">
            <w:pPr>
              <w:jc w:val="right"/>
              <w:rPr>
                <w:rFonts w:ascii="Times New Roman" w:hAnsi="Times New Roman" w:cs="Times New Roman"/>
                <w:color w:val="000000"/>
                <w:sz w:val="14"/>
                <w:szCs w:val="14"/>
              </w:rPr>
            </w:pPr>
            <w:r w:rsidRPr="003A5B02">
              <w:rPr>
                <w:rFonts w:ascii="Times New Roman" w:hAnsi="Times New Roman" w:cs="Times New Roman"/>
                <w:color w:val="000000"/>
                <w:sz w:val="14"/>
                <w:szCs w:val="14"/>
              </w:rPr>
              <w:t>6 000 000</w:t>
            </w:r>
          </w:p>
        </w:tc>
      </w:tr>
    </w:tbl>
    <w:p w:rsidR="003A497B" w:rsidRDefault="003A497B" w:rsidP="003A497B">
      <w:pPr>
        <w:jc w:val="both"/>
        <w:rPr>
          <w:rFonts w:ascii="Times New Roman" w:hAnsi="Times New Roman" w:cs="Times New Roman"/>
          <w:highlight w:val="yellow"/>
        </w:rPr>
      </w:pPr>
    </w:p>
    <w:p w:rsidR="003A497B" w:rsidRPr="0052170A" w:rsidRDefault="003A497B" w:rsidP="003A497B">
      <w:pPr>
        <w:ind w:firstLine="708"/>
        <w:jc w:val="both"/>
        <w:rPr>
          <w:rFonts w:ascii="Times New Roman" w:hAnsi="Times New Roman" w:cs="Times New Roman"/>
        </w:rPr>
      </w:pPr>
      <w:r w:rsidRPr="0052170A">
        <w:rPr>
          <w:rFonts w:ascii="Times New Roman" w:hAnsi="Times New Roman" w:cs="Times New Roman"/>
        </w:rPr>
        <w:t xml:space="preserve">Na výstavbu nadradenej cestnej siete </w:t>
      </w:r>
      <w:r>
        <w:rPr>
          <w:rFonts w:ascii="Times New Roman" w:hAnsi="Times New Roman" w:cs="Times New Roman"/>
        </w:rPr>
        <w:t xml:space="preserve">a platbu za dostupnosť </w:t>
      </w:r>
      <w:r w:rsidRPr="0052170A">
        <w:rPr>
          <w:rFonts w:ascii="Times New Roman" w:hAnsi="Times New Roman" w:cs="Times New Roman"/>
        </w:rPr>
        <w:t>sa v roku 201</w:t>
      </w:r>
      <w:r>
        <w:rPr>
          <w:rFonts w:ascii="Times New Roman" w:hAnsi="Times New Roman" w:cs="Times New Roman"/>
        </w:rPr>
        <w:t>9</w:t>
      </w:r>
      <w:r w:rsidRPr="0052170A">
        <w:rPr>
          <w:rFonts w:ascii="Times New Roman" w:hAnsi="Times New Roman" w:cs="Times New Roman"/>
        </w:rPr>
        <w:t xml:space="preserve"> rozpočtujú výdavky v</w:t>
      </w:r>
      <w:r>
        <w:rPr>
          <w:rFonts w:ascii="Times New Roman" w:hAnsi="Times New Roman" w:cs="Times New Roman"/>
        </w:rPr>
        <w:t> </w:t>
      </w:r>
      <w:r w:rsidRPr="0052170A">
        <w:rPr>
          <w:rFonts w:ascii="Times New Roman" w:hAnsi="Times New Roman" w:cs="Times New Roman"/>
        </w:rPr>
        <w:t>čiastke</w:t>
      </w:r>
      <w:r>
        <w:rPr>
          <w:rFonts w:ascii="Times New Roman" w:hAnsi="Times New Roman" w:cs="Times New Roman"/>
        </w:rPr>
        <w:t xml:space="preserve"> </w:t>
      </w:r>
      <w:r w:rsidRPr="0052170A">
        <w:rPr>
          <w:rFonts w:ascii="Times New Roman" w:hAnsi="Times New Roman" w:cs="Times New Roman"/>
        </w:rPr>
        <w:t>134 mil. eur, z toho na platbu za dostupnosť PPP  projektu cesty R1 vo výške</w:t>
      </w:r>
      <w:r w:rsidRPr="0052170A">
        <w:rPr>
          <w:rFonts w:ascii="Times New Roman" w:hAnsi="Times New Roman" w:cs="Times New Roman"/>
        </w:rPr>
        <w:br/>
        <w:t>12</w:t>
      </w:r>
      <w:r>
        <w:rPr>
          <w:rFonts w:ascii="Times New Roman" w:hAnsi="Times New Roman" w:cs="Times New Roman"/>
        </w:rPr>
        <w:t>8</w:t>
      </w:r>
      <w:r w:rsidRPr="0052170A">
        <w:rPr>
          <w:rFonts w:ascii="Times New Roman" w:hAnsi="Times New Roman" w:cs="Times New Roman"/>
        </w:rPr>
        <w:t xml:space="preserve"> mil. eur</w:t>
      </w:r>
      <w:r>
        <w:rPr>
          <w:rFonts w:ascii="Times New Roman" w:hAnsi="Times New Roman" w:cs="Times New Roman"/>
        </w:rPr>
        <w:t>,</w:t>
      </w:r>
      <w:r w:rsidRPr="0052170A">
        <w:rPr>
          <w:rFonts w:ascii="Times New Roman" w:hAnsi="Times New Roman" w:cs="Times New Roman"/>
        </w:rPr>
        <w:t xml:space="preserve"> na prípravu a ukončenie PPP projektov </w:t>
      </w:r>
      <w:r>
        <w:rPr>
          <w:rFonts w:ascii="Times New Roman" w:hAnsi="Times New Roman" w:cs="Times New Roman"/>
        </w:rPr>
        <w:t xml:space="preserve">1,77 </w:t>
      </w:r>
      <w:r w:rsidRPr="0052170A">
        <w:rPr>
          <w:rFonts w:ascii="Times New Roman" w:hAnsi="Times New Roman" w:cs="Times New Roman"/>
        </w:rPr>
        <w:t xml:space="preserve"> mil. eur</w:t>
      </w:r>
      <w:r>
        <w:rPr>
          <w:rFonts w:ascii="Times New Roman" w:hAnsi="Times New Roman" w:cs="Times New Roman"/>
        </w:rPr>
        <w:t xml:space="preserve"> a na projekty PPP D4 a R7 4,60 mil. eur. </w:t>
      </w:r>
      <w:r w:rsidRPr="0052170A">
        <w:rPr>
          <w:rFonts w:ascii="Times New Roman" w:hAnsi="Times New Roman" w:cs="Times New Roman"/>
        </w:rPr>
        <w:t>V porovnaní s</w:t>
      </w:r>
      <w:r>
        <w:rPr>
          <w:rFonts w:ascii="Times New Roman" w:hAnsi="Times New Roman" w:cs="Times New Roman"/>
        </w:rPr>
        <w:t>o schváleným rozpočtom  roku 2018</w:t>
      </w:r>
      <w:r w:rsidRPr="0052170A">
        <w:rPr>
          <w:rFonts w:ascii="Times New Roman" w:hAnsi="Times New Roman" w:cs="Times New Roman"/>
        </w:rPr>
        <w:t xml:space="preserve"> sú výdavky na </w:t>
      </w:r>
      <w:r>
        <w:rPr>
          <w:rFonts w:ascii="Times New Roman" w:hAnsi="Times New Roman" w:cs="Times New Roman"/>
        </w:rPr>
        <w:t>uvedenú oblasť</w:t>
      </w:r>
      <w:r w:rsidRPr="0052170A">
        <w:rPr>
          <w:rFonts w:ascii="Times New Roman" w:hAnsi="Times New Roman" w:cs="Times New Roman"/>
        </w:rPr>
        <w:t xml:space="preserve"> </w:t>
      </w:r>
      <w:r>
        <w:rPr>
          <w:rFonts w:ascii="Times New Roman" w:hAnsi="Times New Roman" w:cs="Times New Roman"/>
        </w:rPr>
        <w:t>vyš</w:t>
      </w:r>
      <w:r w:rsidRPr="0052170A">
        <w:rPr>
          <w:rFonts w:ascii="Times New Roman" w:hAnsi="Times New Roman" w:cs="Times New Roman"/>
        </w:rPr>
        <w:t>šie o </w:t>
      </w:r>
      <w:r>
        <w:rPr>
          <w:rFonts w:ascii="Times New Roman" w:hAnsi="Times New Roman" w:cs="Times New Roman"/>
        </w:rPr>
        <w:t>368</w:t>
      </w:r>
      <w:r w:rsidRPr="0052170A">
        <w:rPr>
          <w:rFonts w:ascii="Times New Roman" w:hAnsi="Times New Roman" w:cs="Times New Roman"/>
        </w:rPr>
        <w:t xml:space="preserve"> tis. eur, </w:t>
      </w:r>
      <w:r>
        <w:rPr>
          <w:rFonts w:ascii="Times New Roman" w:hAnsi="Times New Roman" w:cs="Times New Roman"/>
        </w:rPr>
        <w:t xml:space="preserve"> </w:t>
      </w:r>
      <w:r w:rsidRPr="0052170A">
        <w:rPr>
          <w:rFonts w:ascii="Times New Roman" w:hAnsi="Times New Roman" w:cs="Times New Roman"/>
        </w:rPr>
        <w:t>t. j.  o </w:t>
      </w:r>
      <w:r>
        <w:rPr>
          <w:rFonts w:ascii="Times New Roman" w:hAnsi="Times New Roman" w:cs="Times New Roman"/>
        </w:rPr>
        <w:t xml:space="preserve"> </w:t>
      </w:r>
      <w:r w:rsidRPr="0052170A">
        <w:rPr>
          <w:rFonts w:ascii="Times New Roman" w:hAnsi="Times New Roman" w:cs="Times New Roman"/>
        </w:rPr>
        <w:t>0,</w:t>
      </w:r>
      <w:r>
        <w:rPr>
          <w:rFonts w:ascii="Times New Roman" w:hAnsi="Times New Roman" w:cs="Times New Roman"/>
        </w:rPr>
        <w:t>28</w:t>
      </w:r>
      <w:r w:rsidRPr="0052170A">
        <w:rPr>
          <w:rFonts w:ascii="Times New Roman" w:hAnsi="Times New Roman" w:cs="Times New Roman"/>
        </w:rPr>
        <w:t xml:space="preserve"> %</w:t>
      </w:r>
      <w:r>
        <w:rPr>
          <w:rFonts w:ascii="Times New Roman" w:hAnsi="Times New Roman" w:cs="Times New Roman"/>
        </w:rPr>
        <w:t>, z dôvodu</w:t>
      </w:r>
      <w:r w:rsidRPr="0052170A">
        <w:rPr>
          <w:rFonts w:ascii="Times New Roman" w:hAnsi="Times New Roman" w:cs="Times New Roman"/>
        </w:rPr>
        <w:t xml:space="preserve"> </w:t>
      </w:r>
      <w:r>
        <w:rPr>
          <w:rFonts w:ascii="Times New Roman" w:hAnsi="Times New Roman" w:cs="Times New Roman"/>
        </w:rPr>
        <w:t>zvýšenia</w:t>
      </w:r>
      <w:r w:rsidRPr="0052170A">
        <w:rPr>
          <w:rFonts w:ascii="Times New Roman" w:hAnsi="Times New Roman" w:cs="Times New Roman"/>
        </w:rPr>
        <w:t xml:space="preserve"> výdavkov na</w:t>
      </w:r>
      <w:r>
        <w:rPr>
          <w:rFonts w:ascii="Times New Roman" w:hAnsi="Times New Roman" w:cs="Times New Roman"/>
        </w:rPr>
        <w:t xml:space="preserve"> platbu za dostupnosť PPP projektu cesty R1</w:t>
      </w:r>
      <w:r w:rsidRPr="0052170A">
        <w:rPr>
          <w:rFonts w:ascii="Times New Roman" w:hAnsi="Times New Roman" w:cs="Times New Roman"/>
        </w:rPr>
        <w:t>.</w:t>
      </w:r>
    </w:p>
    <w:p w:rsidR="003A497B" w:rsidRPr="00775C7E" w:rsidRDefault="003A497B" w:rsidP="003A497B">
      <w:pPr>
        <w:ind w:firstLine="709"/>
        <w:jc w:val="both"/>
        <w:rPr>
          <w:rFonts w:ascii="Times New Roman" w:hAnsi="Times New Roman" w:cs="Times New Roman"/>
          <w:highlight w:val="yellow"/>
        </w:rPr>
      </w:pPr>
    </w:p>
    <w:p w:rsidR="003A497B" w:rsidRPr="00252EC4" w:rsidRDefault="003A497B" w:rsidP="003A497B">
      <w:pPr>
        <w:jc w:val="both"/>
        <w:rPr>
          <w:rFonts w:ascii="Times New Roman" w:hAnsi="Times New Roman" w:cs="Times New Roman"/>
          <w:b/>
        </w:rPr>
      </w:pPr>
      <w:r w:rsidRPr="00252EC4">
        <w:rPr>
          <w:rFonts w:ascii="Times New Roman" w:hAnsi="Times New Roman" w:cs="Times New Roman"/>
          <w:b/>
        </w:rPr>
        <w:t>Letecká doprava</w:t>
      </w:r>
    </w:p>
    <w:p w:rsidR="003A497B" w:rsidRPr="00252EC4" w:rsidRDefault="003A497B" w:rsidP="003A497B">
      <w:pPr>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3"/>
        <w:gridCol w:w="1000"/>
        <w:gridCol w:w="999"/>
        <w:gridCol w:w="1066"/>
        <w:gridCol w:w="1066"/>
        <w:gridCol w:w="1066"/>
        <w:gridCol w:w="1066"/>
        <w:gridCol w:w="986"/>
      </w:tblGrid>
      <w:tr w:rsidR="003A497B" w:rsidRPr="00252EC4" w:rsidTr="003E1809">
        <w:trPr>
          <w:trHeight w:hRule="exact" w:val="255"/>
        </w:trPr>
        <w:tc>
          <w:tcPr>
            <w:tcW w:w="1000" w:type="pct"/>
            <w:shd w:val="pct35" w:color="auto" w:fill="FFFFFF"/>
            <w:noWrap/>
            <w:vAlign w:val="center"/>
            <w:hideMark/>
          </w:tcPr>
          <w:p w:rsidR="003A497B" w:rsidRPr="00252EC4" w:rsidRDefault="003A497B" w:rsidP="003E1809">
            <w:pPr>
              <w:rPr>
                <w:rFonts w:ascii="Times New Roman" w:hAnsi="Times New Roman" w:cs="Times New Roman"/>
                <w:b/>
                <w:bCs/>
                <w:color w:val="000000"/>
                <w:sz w:val="14"/>
                <w:szCs w:val="14"/>
              </w:rPr>
            </w:pPr>
            <w:r w:rsidRPr="00252EC4">
              <w:rPr>
                <w:rFonts w:ascii="Times New Roman" w:hAnsi="Times New Roman" w:cs="Times New Roman"/>
                <w:b/>
                <w:bCs/>
                <w:color w:val="000000"/>
                <w:sz w:val="14"/>
                <w:szCs w:val="14"/>
              </w:rPr>
              <w:t>v eurách</w:t>
            </w:r>
          </w:p>
        </w:tc>
        <w:tc>
          <w:tcPr>
            <w:tcW w:w="552" w:type="pct"/>
            <w:shd w:val="pct35" w:color="auto"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2016 S</w:t>
            </w:r>
          </w:p>
        </w:tc>
        <w:tc>
          <w:tcPr>
            <w:tcW w:w="551" w:type="pct"/>
            <w:shd w:val="pct35" w:color="auto"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2017 </w:t>
            </w:r>
            <w:r>
              <w:rPr>
                <w:rFonts w:ascii="Times New Roman" w:hAnsi="Times New Roman" w:cs="Times New Roman"/>
                <w:b/>
                <w:bCs/>
                <w:color w:val="000000"/>
                <w:sz w:val="14"/>
                <w:szCs w:val="14"/>
                <w:lang w:eastAsia="sk-SK"/>
              </w:rPr>
              <w:t>S</w:t>
            </w:r>
          </w:p>
        </w:tc>
        <w:tc>
          <w:tcPr>
            <w:tcW w:w="588" w:type="pct"/>
            <w:shd w:val="pct35" w:color="auto"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346A12">
              <w:rPr>
                <w:rFonts w:ascii="Times New Roman" w:hAnsi="Times New Roman" w:cs="Times New Roman"/>
                <w:b/>
                <w:bCs/>
                <w:color w:val="000000"/>
                <w:sz w:val="14"/>
                <w:szCs w:val="14"/>
                <w:lang w:eastAsia="sk-SK"/>
              </w:rPr>
              <w:t xml:space="preserve"> </w:t>
            </w:r>
            <w:r>
              <w:rPr>
                <w:rFonts w:ascii="Times New Roman" w:hAnsi="Times New Roman" w:cs="Times New Roman"/>
                <w:b/>
                <w:bCs/>
                <w:color w:val="000000"/>
                <w:sz w:val="14"/>
                <w:szCs w:val="14"/>
                <w:lang w:eastAsia="sk-SK"/>
              </w:rPr>
              <w:t>R</w:t>
            </w:r>
          </w:p>
        </w:tc>
        <w:tc>
          <w:tcPr>
            <w:tcW w:w="588" w:type="pct"/>
            <w:shd w:val="pct35" w:color="auto"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2018 </w:t>
            </w:r>
            <w:r>
              <w:rPr>
                <w:rFonts w:ascii="Times New Roman" w:hAnsi="Times New Roman" w:cs="Times New Roman"/>
                <w:b/>
                <w:bCs/>
                <w:color w:val="000000"/>
                <w:sz w:val="14"/>
                <w:szCs w:val="14"/>
                <w:lang w:eastAsia="sk-SK"/>
              </w:rPr>
              <w:t>OS</w:t>
            </w:r>
          </w:p>
        </w:tc>
        <w:tc>
          <w:tcPr>
            <w:tcW w:w="588" w:type="pct"/>
            <w:shd w:val="pct35" w:color="auto"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2019 N</w:t>
            </w:r>
          </w:p>
        </w:tc>
        <w:tc>
          <w:tcPr>
            <w:tcW w:w="588" w:type="pct"/>
            <w:shd w:val="pct35" w:color="auto"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2020 N</w:t>
            </w:r>
          </w:p>
        </w:tc>
        <w:tc>
          <w:tcPr>
            <w:tcW w:w="544" w:type="pct"/>
            <w:shd w:val="pct35" w:color="auto"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w:t>
            </w:r>
            <w:r>
              <w:rPr>
                <w:rFonts w:ascii="Times New Roman" w:hAnsi="Times New Roman" w:cs="Times New Roman"/>
                <w:b/>
                <w:bCs/>
                <w:color w:val="000000"/>
                <w:sz w:val="14"/>
                <w:szCs w:val="14"/>
                <w:lang w:eastAsia="sk-SK"/>
              </w:rPr>
              <w:t>1</w:t>
            </w:r>
            <w:r w:rsidRPr="00346A12">
              <w:rPr>
                <w:rFonts w:ascii="Times New Roman" w:hAnsi="Times New Roman" w:cs="Times New Roman"/>
                <w:b/>
                <w:bCs/>
                <w:color w:val="000000"/>
                <w:sz w:val="14"/>
                <w:szCs w:val="14"/>
                <w:lang w:eastAsia="sk-SK"/>
              </w:rPr>
              <w:t xml:space="preserve"> N</w:t>
            </w:r>
          </w:p>
        </w:tc>
      </w:tr>
      <w:tr w:rsidR="003A497B" w:rsidRPr="00252EC4" w:rsidTr="003E1809">
        <w:trPr>
          <w:trHeight w:hRule="exact" w:val="255"/>
        </w:trPr>
        <w:tc>
          <w:tcPr>
            <w:tcW w:w="1000" w:type="pct"/>
            <w:shd w:val="pct25" w:color="auto" w:fill="FFFFFF"/>
            <w:noWrap/>
            <w:vAlign w:val="bottom"/>
            <w:hideMark/>
          </w:tcPr>
          <w:p w:rsidR="003A497B" w:rsidRPr="00252EC4" w:rsidRDefault="003A497B" w:rsidP="003E1809">
            <w:pPr>
              <w:rPr>
                <w:rFonts w:ascii="Times New Roman" w:hAnsi="Times New Roman" w:cs="Times New Roman"/>
                <w:b/>
                <w:bCs/>
                <w:color w:val="000000"/>
                <w:sz w:val="14"/>
                <w:szCs w:val="14"/>
              </w:rPr>
            </w:pPr>
            <w:r w:rsidRPr="00252EC4">
              <w:rPr>
                <w:rFonts w:ascii="Times New Roman" w:hAnsi="Times New Roman" w:cs="Times New Roman"/>
                <w:b/>
                <w:bCs/>
                <w:color w:val="000000"/>
                <w:sz w:val="14"/>
                <w:szCs w:val="14"/>
              </w:rPr>
              <w:t>Spolu</w:t>
            </w:r>
          </w:p>
        </w:tc>
        <w:tc>
          <w:tcPr>
            <w:tcW w:w="552" w:type="pct"/>
            <w:shd w:val="pct25" w:color="auto" w:fill="FFFFFF"/>
            <w:noWrap/>
            <w:vAlign w:val="bottom"/>
            <w:hideMark/>
          </w:tcPr>
          <w:p w:rsidR="003A497B" w:rsidRPr="00252EC4" w:rsidRDefault="003A497B" w:rsidP="003E180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3 997 000</w:t>
            </w:r>
          </w:p>
        </w:tc>
        <w:tc>
          <w:tcPr>
            <w:tcW w:w="551" w:type="pct"/>
            <w:shd w:val="pct25" w:color="auto" w:fill="FFFFFF"/>
            <w:noWrap/>
            <w:vAlign w:val="bottom"/>
          </w:tcPr>
          <w:p w:rsidR="003A497B" w:rsidRPr="00252EC4" w:rsidRDefault="003A497B" w:rsidP="003E180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8 698 939</w:t>
            </w:r>
          </w:p>
        </w:tc>
        <w:tc>
          <w:tcPr>
            <w:tcW w:w="588" w:type="pct"/>
            <w:shd w:val="pct25" w:color="auto" w:fill="FFFFFF"/>
            <w:noWrap/>
            <w:vAlign w:val="bottom"/>
            <w:hideMark/>
          </w:tcPr>
          <w:p w:rsidR="003A497B" w:rsidRPr="00252EC4" w:rsidRDefault="003A497B" w:rsidP="003E1809">
            <w:pPr>
              <w:jc w:val="right"/>
              <w:rPr>
                <w:rFonts w:ascii="Times New Roman" w:hAnsi="Times New Roman" w:cs="Times New Roman"/>
                <w:b/>
                <w:bCs/>
                <w:color w:val="000000"/>
                <w:sz w:val="14"/>
                <w:szCs w:val="14"/>
              </w:rPr>
            </w:pPr>
            <w:r w:rsidRPr="00252EC4">
              <w:rPr>
                <w:rFonts w:ascii="Times New Roman" w:hAnsi="Times New Roman" w:cs="Times New Roman"/>
                <w:b/>
                <w:bCs/>
                <w:color w:val="000000"/>
                <w:sz w:val="14"/>
                <w:szCs w:val="14"/>
              </w:rPr>
              <w:t>1 000 000</w:t>
            </w:r>
          </w:p>
        </w:tc>
        <w:tc>
          <w:tcPr>
            <w:tcW w:w="588" w:type="pct"/>
            <w:shd w:val="pct25" w:color="auto" w:fill="FFFFFF"/>
            <w:noWrap/>
            <w:vAlign w:val="bottom"/>
          </w:tcPr>
          <w:p w:rsidR="003A497B" w:rsidRPr="00252EC4" w:rsidRDefault="003A497B" w:rsidP="003E1809">
            <w:pPr>
              <w:jc w:val="right"/>
              <w:rPr>
                <w:rFonts w:ascii="Times New Roman" w:hAnsi="Times New Roman" w:cs="Times New Roman"/>
                <w:b/>
                <w:bCs/>
                <w:color w:val="000000"/>
                <w:sz w:val="14"/>
                <w:szCs w:val="14"/>
              </w:rPr>
            </w:pPr>
            <w:r w:rsidRPr="00252EC4">
              <w:rPr>
                <w:rFonts w:ascii="Times New Roman" w:hAnsi="Times New Roman" w:cs="Times New Roman"/>
                <w:b/>
                <w:bCs/>
                <w:color w:val="000000"/>
                <w:sz w:val="14"/>
                <w:szCs w:val="14"/>
              </w:rPr>
              <w:t>1 000 000</w:t>
            </w:r>
          </w:p>
        </w:tc>
        <w:tc>
          <w:tcPr>
            <w:tcW w:w="588" w:type="pct"/>
            <w:shd w:val="pct25" w:color="auto" w:fill="FFFFFF"/>
            <w:noWrap/>
            <w:vAlign w:val="bottom"/>
            <w:hideMark/>
          </w:tcPr>
          <w:p w:rsidR="003A497B" w:rsidRPr="00252EC4" w:rsidRDefault="003A497B" w:rsidP="003E180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6</w:t>
            </w:r>
            <w:r w:rsidRPr="00252EC4">
              <w:rPr>
                <w:rFonts w:ascii="Times New Roman" w:hAnsi="Times New Roman" w:cs="Times New Roman"/>
                <w:b/>
                <w:bCs/>
                <w:color w:val="000000"/>
                <w:sz w:val="14"/>
                <w:szCs w:val="14"/>
              </w:rPr>
              <w:t xml:space="preserve"> 000 000</w:t>
            </w:r>
          </w:p>
        </w:tc>
        <w:tc>
          <w:tcPr>
            <w:tcW w:w="588" w:type="pct"/>
            <w:shd w:val="pct25" w:color="auto" w:fill="FFFFFF"/>
            <w:noWrap/>
            <w:vAlign w:val="bottom"/>
            <w:hideMark/>
          </w:tcPr>
          <w:p w:rsidR="003A497B" w:rsidRPr="00252EC4" w:rsidRDefault="003A497B" w:rsidP="003E180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6</w:t>
            </w:r>
            <w:r w:rsidRPr="00252EC4">
              <w:rPr>
                <w:rFonts w:ascii="Times New Roman" w:hAnsi="Times New Roman" w:cs="Times New Roman"/>
                <w:b/>
                <w:bCs/>
                <w:color w:val="000000"/>
                <w:sz w:val="14"/>
                <w:szCs w:val="14"/>
              </w:rPr>
              <w:t xml:space="preserve"> 000 000</w:t>
            </w:r>
          </w:p>
        </w:tc>
        <w:tc>
          <w:tcPr>
            <w:tcW w:w="544" w:type="pct"/>
            <w:shd w:val="pct25" w:color="auto" w:fill="FFFFFF"/>
            <w:noWrap/>
            <w:vAlign w:val="bottom"/>
            <w:hideMark/>
          </w:tcPr>
          <w:p w:rsidR="003A497B" w:rsidRPr="00252EC4" w:rsidRDefault="003A497B" w:rsidP="003E180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6</w:t>
            </w:r>
            <w:r w:rsidRPr="00252EC4">
              <w:rPr>
                <w:rFonts w:ascii="Times New Roman" w:hAnsi="Times New Roman" w:cs="Times New Roman"/>
                <w:b/>
                <w:bCs/>
                <w:color w:val="000000"/>
                <w:sz w:val="14"/>
                <w:szCs w:val="14"/>
              </w:rPr>
              <w:t xml:space="preserve"> 000 000</w:t>
            </w:r>
          </w:p>
        </w:tc>
      </w:tr>
      <w:tr w:rsidR="003A497B" w:rsidRPr="00252EC4" w:rsidTr="003E1809">
        <w:trPr>
          <w:trHeight w:hRule="exact" w:val="255"/>
        </w:trPr>
        <w:tc>
          <w:tcPr>
            <w:tcW w:w="1000" w:type="pct"/>
            <w:shd w:val="clear" w:color="auto" w:fill="FFFFFF"/>
            <w:noWrap/>
            <w:vAlign w:val="bottom"/>
            <w:hideMark/>
          </w:tcPr>
          <w:p w:rsidR="003A497B" w:rsidRPr="00252EC4" w:rsidRDefault="003A497B" w:rsidP="003E1809">
            <w:pPr>
              <w:rPr>
                <w:rFonts w:ascii="Times New Roman" w:hAnsi="Times New Roman" w:cs="Times New Roman"/>
                <w:color w:val="000000"/>
                <w:sz w:val="14"/>
                <w:szCs w:val="14"/>
              </w:rPr>
            </w:pPr>
            <w:r w:rsidRPr="00252EC4">
              <w:rPr>
                <w:rFonts w:ascii="Times New Roman" w:hAnsi="Times New Roman" w:cs="Times New Roman"/>
                <w:color w:val="000000"/>
                <w:sz w:val="14"/>
                <w:szCs w:val="14"/>
              </w:rPr>
              <w:t xml:space="preserve">Zdroje ŠR </w:t>
            </w:r>
          </w:p>
        </w:tc>
        <w:tc>
          <w:tcPr>
            <w:tcW w:w="552" w:type="pct"/>
            <w:shd w:val="clear" w:color="auto" w:fill="FFFFFF"/>
            <w:noWrap/>
            <w:vAlign w:val="bottom"/>
            <w:hideMark/>
          </w:tcPr>
          <w:p w:rsidR="003A497B" w:rsidRPr="00252EC4"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3 997 000</w:t>
            </w:r>
          </w:p>
        </w:tc>
        <w:tc>
          <w:tcPr>
            <w:tcW w:w="551" w:type="pct"/>
            <w:shd w:val="clear" w:color="auto" w:fill="FFFFFF"/>
            <w:noWrap/>
            <w:vAlign w:val="bottom"/>
          </w:tcPr>
          <w:p w:rsidR="003A497B" w:rsidRPr="00252EC4"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8 698 939</w:t>
            </w:r>
          </w:p>
        </w:tc>
        <w:tc>
          <w:tcPr>
            <w:tcW w:w="588" w:type="pct"/>
            <w:shd w:val="clear" w:color="auto" w:fill="FFFFFF"/>
            <w:noWrap/>
            <w:vAlign w:val="bottom"/>
            <w:hideMark/>
          </w:tcPr>
          <w:p w:rsidR="003A497B" w:rsidRPr="00252EC4" w:rsidRDefault="003A497B" w:rsidP="003E1809">
            <w:pPr>
              <w:jc w:val="right"/>
              <w:rPr>
                <w:rFonts w:ascii="Times New Roman" w:hAnsi="Times New Roman" w:cs="Times New Roman"/>
                <w:color w:val="000000"/>
                <w:sz w:val="14"/>
                <w:szCs w:val="14"/>
              </w:rPr>
            </w:pPr>
            <w:r w:rsidRPr="00252EC4">
              <w:rPr>
                <w:rFonts w:ascii="Times New Roman" w:hAnsi="Times New Roman" w:cs="Times New Roman"/>
                <w:color w:val="000000"/>
                <w:sz w:val="14"/>
                <w:szCs w:val="14"/>
              </w:rPr>
              <w:t>1 000 000</w:t>
            </w:r>
          </w:p>
        </w:tc>
        <w:tc>
          <w:tcPr>
            <w:tcW w:w="588" w:type="pct"/>
            <w:shd w:val="clear" w:color="auto" w:fill="FFFFFF"/>
            <w:noWrap/>
            <w:vAlign w:val="bottom"/>
          </w:tcPr>
          <w:p w:rsidR="003A497B" w:rsidRPr="00252EC4" w:rsidRDefault="003A497B" w:rsidP="003E1809">
            <w:pPr>
              <w:jc w:val="right"/>
              <w:rPr>
                <w:rFonts w:ascii="Times New Roman" w:hAnsi="Times New Roman" w:cs="Times New Roman"/>
                <w:color w:val="000000"/>
                <w:sz w:val="14"/>
                <w:szCs w:val="14"/>
              </w:rPr>
            </w:pPr>
            <w:r w:rsidRPr="00252EC4">
              <w:rPr>
                <w:rFonts w:ascii="Times New Roman" w:hAnsi="Times New Roman" w:cs="Times New Roman"/>
                <w:color w:val="000000"/>
                <w:sz w:val="14"/>
                <w:szCs w:val="14"/>
              </w:rPr>
              <w:t>1 000 000</w:t>
            </w:r>
          </w:p>
        </w:tc>
        <w:tc>
          <w:tcPr>
            <w:tcW w:w="588" w:type="pct"/>
            <w:shd w:val="clear" w:color="auto" w:fill="FFFFFF"/>
            <w:noWrap/>
            <w:vAlign w:val="bottom"/>
            <w:hideMark/>
          </w:tcPr>
          <w:p w:rsidR="003A497B" w:rsidRPr="00252EC4"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6</w:t>
            </w:r>
            <w:r w:rsidRPr="00252EC4">
              <w:rPr>
                <w:rFonts w:ascii="Times New Roman" w:hAnsi="Times New Roman" w:cs="Times New Roman"/>
                <w:color w:val="000000"/>
                <w:sz w:val="14"/>
                <w:szCs w:val="14"/>
              </w:rPr>
              <w:t xml:space="preserve"> 000 000</w:t>
            </w:r>
          </w:p>
        </w:tc>
        <w:tc>
          <w:tcPr>
            <w:tcW w:w="588" w:type="pct"/>
            <w:shd w:val="clear" w:color="auto" w:fill="FFFFFF"/>
            <w:noWrap/>
            <w:vAlign w:val="bottom"/>
            <w:hideMark/>
          </w:tcPr>
          <w:p w:rsidR="003A497B" w:rsidRPr="00252EC4"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6</w:t>
            </w:r>
            <w:r w:rsidRPr="00252EC4">
              <w:rPr>
                <w:rFonts w:ascii="Times New Roman" w:hAnsi="Times New Roman" w:cs="Times New Roman"/>
                <w:color w:val="000000"/>
                <w:sz w:val="14"/>
                <w:szCs w:val="14"/>
              </w:rPr>
              <w:t xml:space="preserve"> 000 000</w:t>
            </w:r>
          </w:p>
        </w:tc>
        <w:tc>
          <w:tcPr>
            <w:tcW w:w="544" w:type="pct"/>
            <w:shd w:val="clear" w:color="auto" w:fill="FFFFFF"/>
            <w:noWrap/>
            <w:vAlign w:val="bottom"/>
            <w:hideMark/>
          </w:tcPr>
          <w:p w:rsidR="003A497B" w:rsidRPr="00252EC4"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6</w:t>
            </w:r>
            <w:r w:rsidRPr="00252EC4">
              <w:rPr>
                <w:rFonts w:ascii="Times New Roman" w:hAnsi="Times New Roman" w:cs="Times New Roman"/>
                <w:color w:val="000000"/>
                <w:sz w:val="14"/>
                <w:szCs w:val="14"/>
              </w:rPr>
              <w:t xml:space="preserve"> 000 000</w:t>
            </w:r>
          </w:p>
        </w:tc>
      </w:tr>
    </w:tbl>
    <w:p w:rsidR="003A497B" w:rsidRPr="00252EC4" w:rsidRDefault="003A497B" w:rsidP="003A497B">
      <w:pPr>
        <w:jc w:val="both"/>
        <w:rPr>
          <w:rFonts w:ascii="Times New Roman" w:hAnsi="Times New Roman" w:cs="Times New Roman"/>
        </w:rPr>
      </w:pPr>
    </w:p>
    <w:p w:rsidR="003A497B" w:rsidRPr="00252EC4" w:rsidRDefault="003A497B" w:rsidP="003A497B">
      <w:pPr>
        <w:ind w:firstLine="708"/>
        <w:jc w:val="both"/>
        <w:rPr>
          <w:rFonts w:ascii="Times New Roman" w:hAnsi="Times New Roman" w:cs="Times New Roman"/>
        </w:rPr>
      </w:pPr>
      <w:r w:rsidRPr="00252EC4">
        <w:rPr>
          <w:rFonts w:ascii="Times New Roman" w:hAnsi="Times New Roman" w:cs="Times New Roman"/>
        </w:rPr>
        <w:t>V oblasti leteckej dopravy sú výdavky v roku 201</w:t>
      </w:r>
      <w:r>
        <w:rPr>
          <w:rFonts w:ascii="Times New Roman" w:hAnsi="Times New Roman" w:cs="Times New Roman"/>
        </w:rPr>
        <w:t>9</w:t>
      </w:r>
      <w:r w:rsidRPr="00252EC4">
        <w:rPr>
          <w:rFonts w:ascii="Times New Roman" w:hAnsi="Times New Roman" w:cs="Times New Roman"/>
        </w:rPr>
        <w:t xml:space="preserve"> rozpočtované vo výške </w:t>
      </w:r>
      <w:r>
        <w:rPr>
          <w:rFonts w:ascii="Times New Roman" w:hAnsi="Times New Roman" w:cs="Times New Roman"/>
        </w:rPr>
        <w:t>6</w:t>
      </w:r>
      <w:r w:rsidRPr="00252EC4">
        <w:rPr>
          <w:rFonts w:ascii="Times New Roman" w:hAnsi="Times New Roman" w:cs="Times New Roman"/>
        </w:rPr>
        <w:t xml:space="preserve">,0 mil. eur, čo </w:t>
      </w:r>
      <w:r>
        <w:rPr>
          <w:rFonts w:ascii="Times New Roman" w:hAnsi="Times New Roman" w:cs="Times New Roman"/>
        </w:rPr>
        <w:t>v porovnaní so</w:t>
      </w:r>
      <w:r w:rsidRPr="00252EC4">
        <w:rPr>
          <w:rFonts w:ascii="Times New Roman" w:hAnsi="Times New Roman" w:cs="Times New Roman"/>
        </w:rPr>
        <w:t xml:space="preserve"> schválen</w:t>
      </w:r>
      <w:r>
        <w:rPr>
          <w:rFonts w:ascii="Times New Roman" w:hAnsi="Times New Roman" w:cs="Times New Roman"/>
        </w:rPr>
        <w:t>ým</w:t>
      </w:r>
      <w:r w:rsidRPr="00252EC4">
        <w:rPr>
          <w:rFonts w:ascii="Times New Roman" w:hAnsi="Times New Roman" w:cs="Times New Roman"/>
        </w:rPr>
        <w:t xml:space="preserve"> rozpočt</w:t>
      </w:r>
      <w:r>
        <w:rPr>
          <w:rFonts w:ascii="Times New Roman" w:hAnsi="Times New Roman" w:cs="Times New Roman"/>
        </w:rPr>
        <w:t>om</w:t>
      </w:r>
      <w:r w:rsidRPr="00252EC4">
        <w:rPr>
          <w:rFonts w:ascii="Times New Roman" w:hAnsi="Times New Roman" w:cs="Times New Roman"/>
        </w:rPr>
        <w:t xml:space="preserve"> roku 201</w:t>
      </w:r>
      <w:r>
        <w:rPr>
          <w:rFonts w:ascii="Times New Roman" w:hAnsi="Times New Roman" w:cs="Times New Roman"/>
        </w:rPr>
        <w:t>8 predstavuje zvýšenie o 5,00 mil. eur</w:t>
      </w:r>
      <w:r w:rsidRPr="00252EC4">
        <w:rPr>
          <w:rFonts w:ascii="Times New Roman" w:hAnsi="Times New Roman" w:cs="Times New Roman"/>
        </w:rPr>
        <w:t xml:space="preserve">. Výdavky sú smerované na </w:t>
      </w:r>
      <w:r>
        <w:rPr>
          <w:rFonts w:ascii="Times New Roman" w:hAnsi="Times New Roman" w:cs="Times New Roman"/>
        </w:rPr>
        <w:t xml:space="preserve">zabezpečenie </w:t>
      </w:r>
      <w:r w:rsidRPr="00252EC4">
        <w:rPr>
          <w:rFonts w:ascii="Times New Roman" w:hAnsi="Times New Roman" w:cs="Times New Roman"/>
        </w:rPr>
        <w:t>poskytovani</w:t>
      </w:r>
      <w:r>
        <w:rPr>
          <w:rFonts w:ascii="Times New Roman" w:hAnsi="Times New Roman" w:cs="Times New Roman"/>
        </w:rPr>
        <w:t>a</w:t>
      </w:r>
      <w:r w:rsidRPr="00252EC4">
        <w:rPr>
          <w:rFonts w:ascii="Times New Roman" w:hAnsi="Times New Roman" w:cs="Times New Roman"/>
        </w:rPr>
        <w:t xml:space="preserve"> služieb súvisiacich s odbavovaním letov oslobodených od odplát</w:t>
      </w:r>
      <w:r>
        <w:rPr>
          <w:rFonts w:ascii="Times New Roman" w:hAnsi="Times New Roman" w:cs="Times New Roman"/>
        </w:rPr>
        <w:t>, na bezpečnostnú ochranu letísk a výkon záchranných hasičských služieb</w:t>
      </w:r>
      <w:r w:rsidRPr="00252EC4">
        <w:rPr>
          <w:rFonts w:ascii="Times New Roman" w:hAnsi="Times New Roman" w:cs="Times New Roman"/>
        </w:rPr>
        <w:t xml:space="preserve">. </w:t>
      </w:r>
    </w:p>
    <w:p w:rsidR="003A497B" w:rsidRDefault="003A497B" w:rsidP="003A497B">
      <w:pPr>
        <w:jc w:val="both"/>
        <w:rPr>
          <w:rFonts w:ascii="Times New Roman" w:hAnsi="Times New Roman" w:cs="Times New Roman"/>
          <w:b/>
        </w:rPr>
      </w:pPr>
    </w:p>
    <w:p w:rsidR="003A497B" w:rsidRPr="00E90AA1" w:rsidRDefault="003A497B" w:rsidP="003A497B">
      <w:pPr>
        <w:rPr>
          <w:rFonts w:ascii="Times New Roman" w:hAnsi="Times New Roman" w:cs="Times New Roman"/>
          <w:b/>
        </w:rPr>
      </w:pPr>
      <w:r w:rsidRPr="00E90AA1">
        <w:rPr>
          <w:rFonts w:ascii="Times New Roman" w:hAnsi="Times New Roman" w:cs="Times New Roman"/>
          <w:b/>
        </w:rPr>
        <w:t>Vodná doprava</w:t>
      </w:r>
    </w:p>
    <w:p w:rsidR="003A497B" w:rsidRPr="00E90AA1" w:rsidRDefault="003A497B" w:rsidP="003A497B">
      <w:pPr>
        <w:jc w:val="both"/>
        <w:rPr>
          <w:rFonts w:ascii="Times New Roman" w:hAnsi="Times New Roman" w:cs="Times New Roman"/>
          <w:b/>
        </w:rPr>
      </w:pPr>
    </w:p>
    <w:tbl>
      <w:tblPr>
        <w:tblW w:w="5000" w:type="pct"/>
        <w:tblCellMar>
          <w:left w:w="70" w:type="dxa"/>
          <w:right w:w="70" w:type="dxa"/>
        </w:tblCellMar>
        <w:tblLook w:val="04A0" w:firstRow="1" w:lastRow="0" w:firstColumn="1" w:lastColumn="0" w:noHBand="0" w:noVBand="1"/>
      </w:tblPr>
      <w:tblGrid>
        <w:gridCol w:w="1948"/>
        <w:gridCol w:w="1019"/>
        <w:gridCol w:w="1019"/>
        <w:gridCol w:w="1019"/>
        <w:gridCol w:w="1019"/>
        <w:gridCol w:w="1019"/>
        <w:gridCol w:w="1019"/>
        <w:gridCol w:w="1000"/>
      </w:tblGrid>
      <w:tr w:rsidR="003A497B" w:rsidRPr="00E90AA1" w:rsidTr="003E1809">
        <w:trPr>
          <w:trHeight w:hRule="exact" w:val="255"/>
        </w:trPr>
        <w:tc>
          <w:tcPr>
            <w:tcW w:w="1075" w:type="pct"/>
            <w:tcBorders>
              <w:top w:val="single" w:sz="4" w:space="0" w:color="auto"/>
              <w:left w:val="single" w:sz="4" w:space="0" w:color="auto"/>
              <w:bottom w:val="single" w:sz="4" w:space="0" w:color="auto"/>
              <w:right w:val="single" w:sz="4" w:space="0" w:color="auto"/>
            </w:tcBorders>
            <w:shd w:val="pct35" w:color="000000" w:fill="FFFFFF"/>
            <w:noWrap/>
            <w:vAlign w:val="center"/>
            <w:hideMark/>
          </w:tcPr>
          <w:p w:rsidR="003A497B" w:rsidRPr="00E90AA1" w:rsidRDefault="003A497B" w:rsidP="003E1809">
            <w:pPr>
              <w:rPr>
                <w:rFonts w:ascii="Times New Roman" w:hAnsi="Times New Roman" w:cs="Times New Roman"/>
                <w:b/>
                <w:bCs/>
                <w:color w:val="000000"/>
                <w:sz w:val="14"/>
                <w:szCs w:val="14"/>
                <w:lang w:eastAsia="sk-SK"/>
              </w:rPr>
            </w:pPr>
            <w:r w:rsidRPr="00E90AA1">
              <w:rPr>
                <w:rFonts w:ascii="Times New Roman" w:hAnsi="Times New Roman" w:cs="Times New Roman"/>
                <w:b/>
                <w:bCs/>
                <w:color w:val="000000"/>
                <w:sz w:val="14"/>
                <w:szCs w:val="14"/>
                <w:lang w:eastAsia="sk-SK"/>
              </w:rPr>
              <w:t>v eurách</w:t>
            </w:r>
          </w:p>
        </w:tc>
        <w:tc>
          <w:tcPr>
            <w:tcW w:w="562" w:type="pct"/>
            <w:tcBorders>
              <w:top w:val="single" w:sz="4" w:space="0" w:color="auto"/>
              <w:left w:val="nil"/>
              <w:bottom w:val="single" w:sz="4" w:space="0" w:color="auto"/>
              <w:right w:val="single" w:sz="4" w:space="0" w:color="auto"/>
            </w:tcBorders>
            <w:shd w:val="pct35" w:color="000000"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2016 S</w:t>
            </w:r>
          </w:p>
        </w:tc>
        <w:tc>
          <w:tcPr>
            <w:tcW w:w="562" w:type="pct"/>
            <w:tcBorders>
              <w:top w:val="single" w:sz="4" w:space="0" w:color="auto"/>
              <w:left w:val="nil"/>
              <w:bottom w:val="single" w:sz="4" w:space="0" w:color="auto"/>
              <w:right w:val="single" w:sz="4" w:space="0" w:color="auto"/>
            </w:tcBorders>
            <w:shd w:val="pct35" w:color="000000"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2017 </w:t>
            </w:r>
            <w:r>
              <w:rPr>
                <w:rFonts w:ascii="Times New Roman" w:hAnsi="Times New Roman" w:cs="Times New Roman"/>
                <w:b/>
                <w:bCs/>
                <w:color w:val="000000"/>
                <w:sz w:val="14"/>
                <w:szCs w:val="14"/>
                <w:lang w:eastAsia="sk-SK"/>
              </w:rPr>
              <w:t>S</w:t>
            </w:r>
          </w:p>
        </w:tc>
        <w:tc>
          <w:tcPr>
            <w:tcW w:w="562" w:type="pct"/>
            <w:tcBorders>
              <w:top w:val="single" w:sz="4" w:space="0" w:color="auto"/>
              <w:left w:val="nil"/>
              <w:bottom w:val="single" w:sz="4" w:space="0" w:color="auto"/>
              <w:right w:val="single" w:sz="4" w:space="0" w:color="auto"/>
            </w:tcBorders>
            <w:shd w:val="pct35" w:color="000000"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346A12">
              <w:rPr>
                <w:rFonts w:ascii="Times New Roman" w:hAnsi="Times New Roman" w:cs="Times New Roman"/>
                <w:b/>
                <w:bCs/>
                <w:color w:val="000000"/>
                <w:sz w:val="14"/>
                <w:szCs w:val="14"/>
                <w:lang w:eastAsia="sk-SK"/>
              </w:rPr>
              <w:t xml:space="preserve"> </w:t>
            </w:r>
            <w:r>
              <w:rPr>
                <w:rFonts w:ascii="Times New Roman" w:hAnsi="Times New Roman" w:cs="Times New Roman"/>
                <w:b/>
                <w:bCs/>
                <w:color w:val="000000"/>
                <w:sz w:val="14"/>
                <w:szCs w:val="14"/>
                <w:lang w:eastAsia="sk-SK"/>
              </w:rPr>
              <w:t>R</w:t>
            </w:r>
          </w:p>
        </w:tc>
        <w:tc>
          <w:tcPr>
            <w:tcW w:w="562" w:type="pct"/>
            <w:tcBorders>
              <w:top w:val="single" w:sz="4" w:space="0" w:color="auto"/>
              <w:left w:val="nil"/>
              <w:bottom w:val="single" w:sz="4" w:space="0" w:color="auto"/>
              <w:right w:val="single" w:sz="4" w:space="0" w:color="auto"/>
            </w:tcBorders>
            <w:shd w:val="pct35" w:color="000000"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2018 </w:t>
            </w:r>
            <w:r>
              <w:rPr>
                <w:rFonts w:ascii="Times New Roman" w:hAnsi="Times New Roman" w:cs="Times New Roman"/>
                <w:b/>
                <w:bCs/>
                <w:color w:val="000000"/>
                <w:sz w:val="14"/>
                <w:szCs w:val="14"/>
                <w:lang w:eastAsia="sk-SK"/>
              </w:rPr>
              <w:t>OS</w:t>
            </w:r>
          </w:p>
        </w:tc>
        <w:tc>
          <w:tcPr>
            <w:tcW w:w="562" w:type="pct"/>
            <w:tcBorders>
              <w:top w:val="single" w:sz="4" w:space="0" w:color="auto"/>
              <w:left w:val="nil"/>
              <w:bottom w:val="single" w:sz="4" w:space="0" w:color="auto"/>
              <w:right w:val="single" w:sz="4" w:space="0" w:color="auto"/>
            </w:tcBorders>
            <w:shd w:val="pct35" w:color="000000"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2019 N</w:t>
            </w:r>
          </w:p>
        </w:tc>
        <w:tc>
          <w:tcPr>
            <w:tcW w:w="562" w:type="pct"/>
            <w:tcBorders>
              <w:top w:val="single" w:sz="4" w:space="0" w:color="auto"/>
              <w:left w:val="nil"/>
              <w:bottom w:val="single" w:sz="4" w:space="0" w:color="auto"/>
              <w:right w:val="single" w:sz="4" w:space="0" w:color="auto"/>
            </w:tcBorders>
            <w:shd w:val="pct35" w:color="000000"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2020 N</w:t>
            </w:r>
          </w:p>
        </w:tc>
        <w:tc>
          <w:tcPr>
            <w:tcW w:w="552" w:type="pct"/>
            <w:tcBorders>
              <w:top w:val="single" w:sz="4" w:space="0" w:color="auto"/>
              <w:left w:val="nil"/>
              <w:bottom w:val="single" w:sz="4" w:space="0" w:color="auto"/>
              <w:right w:val="single" w:sz="4" w:space="0" w:color="auto"/>
            </w:tcBorders>
            <w:shd w:val="pct35" w:color="000000"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w:t>
            </w:r>
            <w:r>
              <w:rPr>
                <w:rFonts w:ascii="Times New Roman" w:hAnsi="Times New Roman" w:cs="Times New Roman"/>
                <w:b/>
                <w:bCs/>
                <w:color w:val="000000"/>
                <w:sz w:val="14"/>
                <w:szCs w:val="14"/>
                <w:lang w:eastAsia="sk-SK"/>
              </w:rPr>
              <w:t>1</w:t>
            </w:r>
            <w:r w:rsidRPr="00346A12">
              <w:rPr>
                <w:rFonts w:ascii="Times New Roman" w:hAnsi="Times New Roman" w:cs="Times New Roman"/>
                <w:b/>
                <w:bCs/>
                <w:color w:val="000000"/>
                <w:sz w:val="14"/>
                <w:szCs w:val="14"/>
                <w:lang w:eastAsia="sk-SK"/>
              </w:rPr>
              <w:t xml:space="preserve"> N</w:t>
            </w:r>
          </w:p>
        </w:tc>
      </w:tr>
      <w:tr w:rsidR="003A497B" w:rsidRPr="00E90AA1" w:rsidTr="003E1809">
        <w:trPr>
          <w:trHeight w:hRule="exact" w:val="255"/>
        </w:trPr>
        <w:tc>
          <w:tcPr>
            <w:tcW w:w="1075" w:type="pct"/>
            <w:tcBorders>
              <w:top w:val="single" w:sz="4" w:space="0" w:color="auto"/>
              <w:left w:val="single" w:sz="4" w:space="0" w:color="auto"/>
              <w:bottom w:val="single" w:sz="4" w:space="0" w:color="auto"/>
              <w:right w:val="single" w:sz="4" w:space="0" w:color="auto"/>
            </w:tcBorders>
            <w:shd w:val="pct25" w:color="000000" w:fill="FFFFFF"/>
            <w:noWrap/>
            <w:vAlign w:val="bottom"/>
            <w:hideMark/>
          </w:tcPr>
          <w:p w:rsidR="003A497B" w:rsidRPr="00E90AA1" w:rsidRDefault="003A497B" w:rsidP="003E1809">
            <w:pPr>
              <w:rPr>
                <w:rFonts w:ascii="Times New Roman" w:hAnsi="Times New Roman" w:cs="Times New Roman"/>
                <w:b/>
                <w:bCs/>
                <w:color w:val="000000"/>
                <w:sz w:val="14"/>
                <w:szCs w:val="14"/>
                <w:lang w:eastAsia="sk-SK"/>
              </w:rPr>
            </w:pPr>
            <w:r w:rsidRPr="00E90AA1">
              <w:rPr>
                <w:rFonts w:ascii="Times New Roman" w:hAnsi="Times New Roman" w:cs="Times New Roman"/>
                <w:b/>
                <w:bCs/>
                <w:color w:val="000000"/>
                <w:sz w:val="14"/>
                <w:szCs w:val="14"/>
                <w:lang w:eastAsia="sk-SK"/>
              </w:rPr>
              <w:t>Spolu</w:t>
            </w:r>
          </w:p>
        </w:tc>
        <w:tc>
          <w:tcPr>
            <w:tcW w:w="562" w:type="pct"/>
            <w:tcBorders>
              <w:top w:val="single" w:sz="4" w:space="0" w:color="auto"/>
              <w:left w:val="nil"/>
              <w:bottom w:val="single" w:sz="4" w:space="0" w:color="auto"/>
              <w:right w:val="single" w:sz="4" w:space="0" w:color="auto"/>
            </w:tcBorders>
            <w:shd w:val="pct25" w:color="000000" w:fill="FFFFFF"/>
            <w:noWrap/>
            <w:vAlign w:val="bottom"/>
            <w:hideMark/>
          </w:tcPr>
          <w:p w:rsidR="003A497B" w:rsidRPr="00B4768A" w:rsidRDefault="003A497B" w:rsidP="003E1809">
            <w:pPr>
              <w:jc w:val="right"/>
              <w:rPr>
                <w:rFonts w:ascii="Times New Roman" w:hAnsi="Times New Roman" w:cs="Times New Roman"/>
                <w:b/>
                <w:bCs/>
                <w:color w:val="000000"/>
                <w:sz w:val="14"/>
                <w:szCs w:val="14"/>
                <w:lang w:eastAsia="sk-SK"/>
              </w:rPr>
            </w:pPr>
            <w:r w:rsidRPr="00B4768A">
              <w:rPr>
                <w:rFonts w:ascii="Times New Roman" w:hAnsi="Times New Roman" w:cs="Times New Roman"/>
                <w:b/>
                <w:bCs/>
                <w:color w:val="000000"/>
                <w:sz w:val="14"/>
                <w:szCs w:val="14"/>
              </w:rPr>
              <w:t>233 333</w:t>
            </w:r>
          </w:p>
        </w:tc>
        <w:tc>
          <w:tcPr>
            <w:tcW w:w="562" w:type="pct"/>
            <w:tcBorders>
              <w:top w:val="single" w:sz="4" w:space="0" w:color="auto"/>
              <w:left w:val="nil"/>
              <w:bottom w:val="single" w:sz="4" w:space="0" w:color="auto"/>
              <w:right w:val="single" w:sz="4" w:space="0" w:color="auto"/>
            </w:tcBorders>
            <w:shd w:val="pct25" w:color="000000" w:fill="FFFFFF"/>
            <w:noWrap/>
            <w:vAlign w:val="bottom"/>
          </w:tcPr>
          <w:p w:rsidR="003A497B" w:rsidRPr="00B4768A" w:rsidRDefault="003A497B" w:rsidP="003E1809">
            <w:pPr>
              <w:jc w:val="right"/>
              <w:rPr>
                <w:rFonts w:ascii="Times New Roman" w:hAnsi="Times New Roman" w:cs="Times New Roman"/>
                <w:b/>
                <w:bCs/>
                <w:color w:val="000000"/>
                <w:sz w:val="14"/>
                <w:szCs w:val="14"/>
              </w:rPr>
            </w:pPr>
            <w:r w:rsidRPr="00B4768A">
              <w:rPr>
                <w:rFonts w:ascii="Times New Roman" w:hAnsi="Times New Roman" w:cs="Times New Roman"/>
                <w:b/>
                <w:bCs/>
                <w:color w:val="000000"/>
                <w:sz w:val="14"/>
                <w:szCs w:val="14"/>
              </w:rPr>
              <w:t>332 610</w:t>
            </w:r>
          </w:p>
        </w:tc>
        <w:tc>
          <w:tcPr>
            <w:tcW w:w="562" w:type="pct"/>
            <w:tcBorders>
              <w:top w:val="single" w:sz="4" w:space="0" w:color="auto"/>
              <w:left w:val="nil"/>
              <w:bottom w:val="single" w:sz="4" w:space="0" w:color="auto"/>
              <w:right w:val="single" w:sz="4" w:space="0" w:color="auto"/>
            </w:tcBorders>
            <w:shd w:val="pct25" w:color="000000" w:fill="FFFFFF"/>
            <w:noWrap/>
            <w:vAlign w:val="bottom"/>
            <w:hideMark/>
          </w:tcPr>
          <w:p w:rsidR="003A497B" w:rsidRPr="00B4768A" w:rsidRDefault="003A497B" w:rsidP="003E1809">
            <w:pPr>
              <w:jc w:val="right"/>
              <w:rPr>
                <w:rFonts w:ascii="Times New Roman" w:hAnsi="Times New Roman" w:cs="Times New Roman"/>
                <w:b/>
                <w:bCs/>
                <w:color w:val="000000"/>
                <w:sz w:val="14"/>
                <w:szCs w:val="14"/>
              </w:rPr>
            </w:pPr>
            <w:r w:rsidRPr="00B4768A">
              <w:rPr>
                <w:rFonts w:ascii="Times New Roman" w:hAnsi="Times New Roman" w:cs="Times New Roman"/>
                <w:b/>
                <w:bCs/>
                <w:color w:val="000000"/>
                <w:sz w:val="14"/>
                <w:szCs w:val="14"/>
              </w:rPr>
              <w:t>202 647</w:t>
            </w:r>
          </w:p>
        </w:tc>
        <w:tc>
          <w:tcPr>
            <w:tcW w:w="562" w:type="pct"/>
            <w:tcBorders>
              <w:top w:val="single" w:sz="4" w:space="0" w:color="auto"/>
              <w:left w:val="nil"/>
              <w:bottom w:val="single" w:sz="4" w:space="0" w:color="auto"/>
              <w:right w:val="single" w:sz="4" w:space="0" w:color="auto"/>
            </w:tcBorders>
            <w:shd w:val="pct25" w:color="000000" w:fill="FFFFFF"/>
            <w:noWrap/>
            <w:vAlign w:val="bottom"/>
          </w:tcPr>
          <w:p w:rsidR="003A497B" w:rsidRPr="00B4768A" w:rsidRDefault="003A497B" w:rsidP="003E1809">
            <w:pPr>
              <w:jc w:val="right"/>
              <w:rPr>
                <w:rFonts w:ascii="Times New Roman" w:hAnsi="Times New Roman" w:cs="Times New Roman"/>
                <w:b/>
                <w:bCs/>
                <w:color w:val="000000"/>
                <w:sz w:val="14"/>
                <w:szCs w:val="14"/>
              </w:rPr>
            </w:pPr>
            <w:r w:rsidRPr="00B4768A">
              <w:rPr>
                <w:rFonts w:ascii="Times New Roman" w:hAnsi="Times New Roman" w:cs="Times New Roman"/>
                <w:b/>
                <w:bCs/>
                <w:color w:val="000000"/>
                <w:sz w:val="14"/>
                <w:szCs w:val="14"/>
              </w:rPr>
              <w:t>202 647</w:t>
            </w:r>
          </w:p>
        </w:tc>
        <w:tc>
          <w:tcPr>
            <w:tcW w:w="562" w:type="pct"/>
            <w:tcBorders>
              <w:top w:val="single" w:sz="4" w:space="0" w:color="auto"/>
              <w:left w:val="nil"/>
              <w:bottom w:val="single" w:sz="4" w:space="0" w:color="auto"/>
              <w:right w:val="single" w:sz="4" w:space="0" w:color="auto"/>
            </w:tcBorders>
            <w:shd w:val="pct25" w:color="000000" w:fill="FFFFFF"/>
            <w:noWrap/>
            <w:vAlign w:val="bottom"/>
          </w:tcPr>
          <w:p w:rsidR="003A497B" w:rsidRPr="00B4768A" w:rsidRDefault="003A497B" w:rsidP="003E1809">
            <w:pPr>
              <w:jc w:val="right"/>
              <w:rPr>
                <w:rFonts w:ascii="Times New Roman" w:hAnsi="Times New Roman" w:cs="Times New Roman"/>
                <w:b/>
                <w:bCs/>
                <w:color w:val="000000"/>
                <w:sz w:val="14"/>
                <w:szCs w:val="14"/>
              </w:rPr>
            </w:pPr>
            <w:r w:rsidRPr="00B4768A">
              <w:rPr>
                <w:rFonts w:ascii="Times New Roman" w:hAnsi="Times New Roman" w:cs="Times New Roman"/>
                <w:b/>
                <w:bCs/>
                <w:color w:val="000000"/>
                <w:sz w:val="14"/>
                <w:szCs w:val="14"/>
              </w:rPr>
              <w:t>209 985</w:t>
            </w:r>
          </w:p>
        </w:tc>
        <w:tc>
          <w:tcPr>
            <w:tcW w:w="562" w:type="pct"/>
            <w:tcBorders>
              <w:top w:val="single" w:sz="4" w:space="0" w:color="auto"/>
              <w:left w:val="nil"/>
              <w:bottom w:val="single" w:sz="4" w:space="0" w:color="auto"/>
              <w:right w:val="single" w:sz="4" w:space="0" w:color="auto"/>
            </w:tcBorders>
            <w:shd w:val="pct25" w:color="000000" w:fill="FFFFFF"/>
            <w:noWrap/>
            <w:vAlign w:val="bottom"/>
          </w:tcPr>
          <w:p w:rsidR="003A497B" w:rsidRPr="00B4768A" w:rsidRDefault="003A497B" w:rsidP="003E1809">
            <w:pPr>
              <w:jc w:val="right"/>
              <w:rPr>
                <w:rFonts w:ascii="Times New Roman" w:hAnsi="Times New Roman" w:cs="Times New Roman"/>
                <w:b/>
                <w:bCs/>
                <w:color w:val="000000"/>
                <w:sz w:val="14"/>
                <w:szCs w:val="14"/>
              </w:rPr>
            </w:pPr>
            <w:r w:rsidRPr="00B4768A">
              <w:rPr>
                <w:rFonts w:ascii="Times New Roman" w:hAnsi="Times New Roman" w:cs="Times New Roman"/>
                <w:b/>
                <w:bCs/>
                <w:color w:val="000000"/>
                <w:sz w:val="14"/>
                <w:szCs w:val="14"/>
              </w:rPr>
              <w:t>209 985</w:t>
            </w:r>
          </w:p>
        </w:tc>
        <w:tc>
          <w:tcPr>
            <w:tcW w:w="552" w:type="pct"/>
            <w:tcBorders>
              <w:top w:val="single" w:sz="4" w:space="0" w:color="auto"/>
              <w:left w:val="nil"/>
              <w:bottom w:val="single" w:sz="4" w:space="0" w:color="auto"/>
              <w:right w:val="single" w:sz="4" w:space="0" w:color="auto"/>
            </w:tcBorders>
            <w:shd w:val="pct25" w:color="000000" w:fill="FFFFFF"/>
            <w:noWrap/>
            <w:vAlign w:val="bottom"/>
          </w:tcPr>
          <w:p w:rsidR="003A497B" w:rsidRPr="00B4768A" w:rsidRDefault="003A497B" w:rsidP="003E1809">
            <w:pPr>
              <w:jc w:val="right"/>
              <w:rPr>
                <w:rFonts w:ascii="Times New Roman" w:hAnsi="Times New Roman" w:cs="Times New Roman"/>
                <w:b/>
                <w:bCs/>
                <w:color w:val="000000"/>
                <w:sz w:val="14"/>
                <w:szCs w:val="14"/>
              </w:rPr>
            </w:pPr>
            <w:r w:rsidRPr="00B4768A">
              <w:rPr>
                <w:rFonts w:ascii="Times New Roman" w:hAnsi="Times New Roman" w:cs="Times New Roman"/>
                <w:b/>
                <w:bCs/>
                <w:color w:val="000000"/>
                <w:sz w:val="14"/>
                <w:szCs w:val="14"/>
              </w:rPr>
              <w:t>209 985</w:t>
            </w:r>
          </w:p>
        </w:tc>
      </w:tr>
      <w:tr w:rsidR="003A497B" w:rsidRPr="00E90AA1" w:rsidTr="003E1809">
        <w:trPr>
          <w:trHeight w:hRule="exact" w:val="255"/>
        </w:trPr>
        <w:tc>
          <w:tcPr>
            <w:tcW w:w="1075" w:type="pct"/>
            <w:tcBorders>
              <w:top w:val="nil"/>
              <w:left w:val="single" w:sz="4" w:space="0" w:color="auto"/>
              <w:bottom w:val="single" w:sz="4" w:space="0" w:color="auto"/>
              <w:right w:val="single" w:sz="4" w:space="0" w:color="auto"/>
            </w:tcBorders>
            <w:noWrap/>
            <w:vAlign w:val="bottom"/>
            <w:hideMark/>
          </w:tcPr>
          <w:p w:rsidR="003A497B" w:rsidRPr="00E90AA1" w:rsidRDefault="003A497B" w:rsidP="003E1809">
            <w:pPr>
              <w:rPr>
                <w:rFonts w:ascii="Times New Roman" w:hAnsi="Times New Roman" w:cs="Times New Roman"/>
                <w:color w:val="000000"/>
                <w:sz w:val="14"/>
                <w:szCs w:val="14"/>
                <w:lang w:eastAsia="sk-SK"/>
              </w:rPr>
            </w:pPr>
            <w:r w:rsidRPr="00E90AA1">
              <w:rPr>
                <w:rFonts w:ascii="Times New Roman" w:hAnsi="Times New Roman" w:cs="Times New Roman"/>
                <w:color w:val="000000"/>
                <w:sz w:val="14"/>
                <w:szCs w:val="14"/>
                <w:lang w:eastAsia="sk-SK"/>
              </w:rPr>
              <w:t>Prostriedky ŠR</w:t>
            </w:r>
          </w:p>
        </w:tc>
        <w:tc>
          <w:tcPr>
            <w:tcW w:w="562" w:type="pct"/>
            <w:tcBorders>
              <w:top w:val="nil"/>
              <w:left w:val="nil"/>
              <w:bottom w:val="single" w:sz="4" w:space="0" w:color="auto"/>
              <w:right w:val="single" w:sz="4" w:space="0" w:color="auto"/>
            </w:tcBorders>
            <w:shd w:val="clear" w:color="000000" w:fill="FFFFFF"/>
            <w:noWrap/>
            <w:vAlign w:val="bottom"/>
            <w:hideMark/>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183 560</w:t>
            </w:r>
          </w:p>
        </w:tc>
        <w:tc>
          <w:tcPr>
            <w:tcW w:w="562" w:type="pct"/>
            <w:tcBorders>
              <w:top w:val="nil"/>
              <w:left w:val="nil"/>
              <w:bottom w:val="single" w:sz="4" w:space="0" w:color="auto"/>
              <w:right w:val="single" w:sz="4" w:space="0" w:color="auto"/>
            </w:tcBorders>
            <w:shd w:val="clear" w:color="000000" w:fill="FFFFFF"/>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332 610</w:t>
            </w:r>
          </w:p>
        </w:tc>
        <w:tc>
          <w:tcPr>
            <w:tcW w:w="562" w:type="pct"/>
            <w:tcBorders>
              <w:top w:val="nil"/>
              <w:left w:val="nil"/>
              <w:bottom w:val="single" w:sz="4" w:space="0" w:color="auto"/>
              <w:right w:val="single" w:sz="4" w:space="0" w:color="auto"/>
            </w:tcBorders>
            <w:shd w:val="clear" w:color="000000" w:fill="FFFFFF"/>
            <w:noWrap/>
            <w:vAlign w:val="bottom"/>
            <w:hideMark/>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202 647</w:t>
            </w:r>
          </w:p>
        </w:tc>
        <w:tc>
          <w:tcPr>
            <w:tcW w:w="562" w:type="pct"/>
            <w:tcBorders>
              <w:top w:val="nil"/>
              <w:left w:val="nil"/>
              <w:bottom w:val="single" w:sz="4" w:space="0" w:color="auto"/>
              <w:right w:val="single" w:sz="4" w:space="0" w:color="auto"/>
            </w:tcBorders>
            <w:shd w:val="clear" w:color="000000" w:fill="FFFFFF"/>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202 647</w:t>
            </w:r>
          </w:p>
        </w:tc>
        <w:tc>
          <w:tcPr>
            <w:tcW w:w="562" w:type="pct"/>
            <w:tcBorders>
              <w:top w:val="nil"/>
              <w:left w:val="nil"/>
              <w:bottom w:val="single" w:sz="4" w:space="0" w:color="auto"/>
              <w:right w:val="single" w:sz="4" w:space="0" w:color="auto"/>
            </w:tcBorders>
            <w:shd w:val="clear" w:color="000000" w:fill="FFFFFF"/>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209 985</w:t>
            </w:r>
          </w:p>
        </w:tc>
        <w:tc>
          <w:tcPr>
            <w:tcW w:w="562" w:type="pct"/>
            <w:tcBorders>
              <w:top w:val="nil"/>
              <w:left w:val="nil"/>
              <w:bottom w:val="single" w:sz="4" w:space="0" w:color="auto"/>
              <w:right w:val="single" w:sz="4" w:space="0" w:color="auto"/>
            </w:tcBorders>
            <w:shd w:val="clear" w:color="000000" w:fill="FFFFFF"/>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209 985</w:t>
            </w:r>
          </w:p>
        </w:tc>
        <w:tc>
          <w:tcPr>
            <w:tcW w:w="552" w:type="pct"/>
            <w:tcBorders>
              <w:top w:val="nil"/>
              <w:left w:val="nil"/>
              <w:bottom w:val="single" w:sz="4" w:space="0" w:color="auto"/>
              <w:right w:val="single" w:sz="4" w:space="0" w:color="auto"/>
            </w:tcBorders>
            <w:shd w:val="clear" w:color="000000" w:fill="FFFFFF"/>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209 985</w:t>
            </w:r>
          </w:p>
        </w:tc>
      </w:tr>
      <w:tr w:rsidR="003A497B" w:rsidRPr="00E90AA1" w:rsidTr="003E1809">
        <w:trPr>
          <w:trHeight w:hRule="exact" w:val="255"/>
        </w:trPr>
        <w:tc>
          <w:tcPr>
            <w:tcW w:w="1075" w:type="pct"/>
            <w:tcBorders>
              <w:top w:val="nil"/>
              <w:left w:val="single" w:sz="4" w:space="0" w:color="auto"/>
              <w:bottom w:val="single" w:sz="4" w:space="0" w:color="auto"/>
              <w:right w:val="single" w:sz="4" w:space="0" w:color="auto"/>
            </w:tcBorders>
            <w:noWrap/>
            <w:vAlign w:val="bottom"/>
            <w:hideMark/>
          </w:tcPr>
          <w:p w:rsidR="003A497B" w:rsidRPr="00E90AA1" w:rsidRDefault="003A497B" w:rsidP="003E1809">
            <w:pPr>
              <w:rPr>
                <w:rFonts w:ascii="Times New Roman" w:hAnsi="Times New Roman" w:cs="Times New Roman"/>
                <w:color w:val="000000"/>
                <w:sz w:val="14"/>
                <w:szCs w:val="14"/>
                <w:lang w:eastAsia="sk-SK"/>
              </w:rPr>
            </w:pPr>
            <w:r w:rsidRPr="00E90AA1">
              <w:rPr>
                <w:rFonts w:ascii="Times New Roman" w:hAnsi="Times New Roman" w:cs="Times New Roman"/>
                <w:color w:val="000000"/>
                <w:sz w:val="14"/>
                <w:szCs w:val="14"/>
                <w:lang w:eastAsia="sk-SK"/>
              </w:rPr>
              <w:t>Prostriedky EÚ</w:t>
            </w:r>
          </w:p>
        </w:tc>
        <w:tc>
          <w:tcPr>
            <w:tcW w:w="562" w:type="pct"/>
            <w:tcBorders>
              <w:top w:val="nil"/>
              <w:left w:val="nil"/>
              <w:bottom w:val="single" w:sz="4" w:space="0" w:color="auto"/>
              <w:right w:val="single" w:sz="4" w:space="0" w:color="auto"/>
            </w:tcBorders>
            <w:noWrap/>
            <w:vAlign w:val="bottom"/>
            <w:hideMark/>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25 201</w:t>
            </w:r>
          </w:p>
        </w:tc>
        <w:tc>
          <w:tcPr>
            <w:tcW w:w="562" w:type="pct"/>
            <w:tcBorders>
              <w:top w:val="nil"/>
              <w:left w:val="nil"/>
              <w:bottom w:val="single" w:sz="4" w:space="0" w:color="auto"/>
              <w:right w:val="single" w:sz="4" w:space="0" w:color="auto"/>
            </w:tcBorders>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vAlign w:val="bottom"/>
            <w:hideMark/>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0</w:t>
            </w:r>
          </w:p>
        </w:tc>
        <w:tc>
          <w:tcPr>
            <w:tcW w:w="552" w:type="pct"/>
            <w:tcBorders>
              <w:top w:val="nil"/>
              <w:left w:val="nil"/>
              <w:bottom w:val="single" w:sz="4" w:space="0" w:color="auto"/>
              <w:right w:val="single" w:sz="4" w:space="0" w:color="auto"/>
            </w:tcBorders>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0</w:t>
            </w:r>
          </w:p>
        </w:tc>
      </w:tr>
      <w:tr w:rsidR="003A497B" w:rsidRPr="00775C7E" w:rsidTr="003E1809">
        <w:trPr>
          <w:trHeight w:hRule="exact" w:val="255"/>
        </w:trPr>
        <w:tc>
          <w:tcPr>
            <w:tcW w:w="1075" w:type="pct"/>
            <w:tcBorders>
              <w:top w:val="nil"/>
              <w:left w:val="single" w:sz="4" w:space="0" w:color="auto"/>
              <w:bottom w:val="single" w:sz="4" w:space="0" w:color="auto"/>
              <w:right w:val="single" w:sz="4" w:space="0" w:color="auto"/>
            </w:tcBorders>
            <w:noWrap/>
            <w:vAlign w:val="bottom"/>
            <w:hideMark/>
          </w:tcPr>
          <w:p w:rsidR="003A497B" w:rsidRPr="00E90AA1" w:rsidRDefault="003A497B" w:rsidP="003E1809">
            <w:pPr>
              <w:rPr>
                <w:rFonts w:ascii="Times New Roman" w:hAnsi="Times New Roman" w:cs="Times New Roman"/>
                <w:color w:val="000000"/>
                <w:sz w:val="14"/>
                <w:szCs w:val="14"/>
                <w:lang w:eastAsia="sk-SK"/>
              </w:rPr>
            </w:pPr>
            <w:r w:rsidRPr="00E90AA1">
              <w:rPr>
                <w:rFonts w:ascii="Times New Roman" w:hAnsi="Times New Roman" w:cs="Times New Roman"/>
                <w:color w:val="000000"/>
                <w:sz w:val="14"/>
                <w:szCs w:val="14"/>
                <w:lang w:eastAsia="sk-SK"/>
              </w:rPr>
              <w:t>Spolufinancovanie</w:t>
            </w:r>
          </w:p>
        </w:tc>
        <w:tc>
          <w:tcPr>
            <w:tcW w:w="562" w:type="pct"/>
            <w:tcBorders>
              <w:top w:val="nil"/>
              <w:left w:val="nil"/>
              <w:bottom w:val="single" w:sz="4" w:space="0" w:color="auto"/>
              <w:right w:val="single" w:sz="4" w:space="0" w:color="auto"/>
            </w:tcBorders>
            <w:noWrap/>
            <w:vAlign w:val="bottom"/>
            <w:hideMark/>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24 572</w:t>
            </w:r>
          </w:p>
        </w:tc>
        <w:tc>
          <w:tcPr>
            <w:tcW w:w="562" w:type="pct"/>
            <w:tcBorders>
              <w:top w:val="nil"/>
              <w:left w:val="nil"/>
              <w:bottom w:val="single" w:sz="4" w:space="0" w:color="auto"/>
              <w:right w:val="single" w:sz="4" w:space="0" w:color="auto"/>
            </w:tcBorders>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vAlign w:val="bottom"/>
            <w:hideMark/>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0</w:t>
            </w:r>
          </w:p>
        </w:tc>
        <w:tc>
          <w:tcPr>
            <w:tcW w:w="562" w:type="pct"/>
            <w:tcBorders>
              <w:top w:val="nil"/>
              <w:left w:val="nil"/>
              <w:bottom w:val="single" w:sz="4" w:space="0" w:color="auto"/>
              <w:right w:val="single" w:sz="4" w:space="0" w:color="auto"/>
            </w:tcBorders>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0</w:t>
            </w:r>
          </w:p>
        </w:tc>
        <w:tc>
          <w:tcPr>
            <w:tcW w:w="552" w:type="pct"/>
            <w:tcBorders>
              <w:top w:val="nil"/>
              <w:left w:val="nil"/>
              <w:bottom w:val="single" w:sz="4" w:space="0" w:color="auto"/>
              <w:right w:val="single" w:sz="4" w:space="0" w:color="auto"/>
            </w:tcBorders>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0</w:t>
            </w:r>
          </w:p>
        </w:tc>
      </w:tr>
    </w:tbl>
    <w:p w:rsidR="003A497B" w:rsidRPr="00775C7E" w:rsidRDefault="003A497B" w:rsidP="003A497B">
      <w:pPr>
        <w:jc w:val="both"/>
        <w:rPr>
          <w:rFonts w:ascii="Times New Roman" w:hAnsi="Times New Roman" w:cs="Times New Roman"/>
          <w:b/>
          <w:highlight w:val="yellow"/>
        </w:rPr>
      </w:pPr>
    </w:p>
    <w:p w:rsidR="003A497B" w:rsidRDefault="003A497B" w:rsidP="003A497B">
      <w:pPr>
        <w:pStyle w:val="titulok"/>
        <w:spacing w:before="0" w:beforeAutospacing="0" w:after="0" w:afterAutospacing="0"/>
        <w:ind w:firstLine="709"/>
        <w:jc w:val="both"/>
        <w:rPr>
          <w:rFonts w:ascii="Times New Roman" w:hAnsi="Times New Roman" w:cs="Courier"/>
          <w:b w:val="0"/>
          <w:bCs w:val="0"/>
          <w:color w:val="auto"/>
          <w:lang w:eastAsia="cs-CZ"/>
        </w:rPr>
      </w:pPr>
      <w:r w:rsidRPr="003935C8">
        <w:rPr>
          <w:rFonts w:ascii="Times New Roman" w:hAnsi="Times New Roman" w:cs="Times New Roman"/>
          <w:b w:val="0"/>
          <w:bCs w:val="0"/>
          <w:color w:val="auto"/>
          <w:lang w:eastAsia="cs-CZ"/>
        </w:rPr>
        <w:lastRenderedPageBreak/>
        <w:t>Na vodnú dopravu sa v roku 201</w:t>
      </w:r>
      <w:r>
        <w:rPr>
          <w:rFonts w:ascii="Times New Roman" w:hAnsi="Times New Roman" w:cs="Times New Roman"/>
          <w:b w:val="0"/>
          <w:bCs w:val="0"/>
          <w:color w:val="auto"/>
          <w:lang w:eastAsia="cs-CZ"/>
        </w:rPr>
        <w:t>9</w:t>
      </w:r>
      <w:r w:rsidRPr="003935C8">
        <w:rPr>
          <w:rFonts w:ascii="Times New Roman" w:hAnsi="Times New Roman" w:cs="Times New Roman"/>
          <w:b w:val="0"/>
          <w:bCs w:val="0"/>
          <w:color w:val="auto"/>
          <w:lang w:eastAsia="cs-CZ"/>
        </w:rPr>
        <w:t xml:space="preserve"> rozpočtujú výdavky vo výške 2</w:t>
      </w:r>
      <w:r>
        <w:rPr>
          <w:rFonts w:ascii="Times New Roman" w:hAnsi="Times New Roman" w:cs="Times New Roman"/>
          <w:b w:val="0"/>
          <w:bCs w:val="0"/>
          <w:color w:val="auto"/>
          <w:lang w:eastAsia="cs-CZ"/>
        </w:rPr>
        <w:t>1</w:t>
      </w:r>
      <w:r w:rsidRPr="003935C8">
        <w:rPr>
          <w:rFonts w:ascii="Times New Roman" w:hAnsi="Times New Roman" w:cs="Times New Roman"/>
          <w:b w:val="0"/>
          <w:bCs w:val="0"/>
          <w:color w:val="auto"/>
          <w:lang w:eastAsia="cs-CZ"/>
        </w:rPr>
        <w:t>0 tis. eur, čo v porovnaní so schváleným rozpočtom roku 201</w:t>
      </w:r>
      <w:r>
        <w:rPr>
          <w:rFonts w:ascii="Times New Roman" w:hAnsi="Times New Roman" w:cs="Times New Roman"/>
          <w:b w:val="0"/>
          <w:bCs w:val="0"/>
          <w:color w:val="auto"/>
          <w:lang w:eastAsia="cs-CZ"/>
        </w:rPr>
        <w:t>8</w:t>
      </w:r>
      <w:r w:rsidRPr="003935C8">
        <w:rPr>
          <w:rFonts w:ascii="Times New Roman" w:hAnsi="Times New Roman" w:cs="Times New Roman"/>
          <w:b w:val="0"/>
          <w:bCs w:val="0"/>
          <w:color w:val="auto"/>
          <w:lang w:eastAsia="cs-CZ"/>
        </w:rPr>
        <w:t xml:space="preserve"> predstavuje z</w:t>
      </w:r>
      <w:r>
        <w:rPr>
          <w:rFonts w:ascii="Times New Roman" w:hAnsi="Times New Roman" w:cs="Times New Roman"/>
          <w:b w:val="0"/>
          <w:bCs w:val="0"/>
          <w:color w:val="auto"/>
          <w:lang w:eastAsia="cs-CZ"/>
        </w:rPr>
        <w:t>výš</w:t>
      </w:r>
      <w:r w:rsidRPr="003935C8">
        <w:rPr>
          <w:rFonts w:ascii="Times New Roman" w:hAnsi="Times New Roman" w:cs="Times New Roman"/>
          <w:b w:val="0"/>
          <w:bCs w:val="0"/>
          <w:color w:val="auto"/>
          <w:lang w:eastAsia="cs-CZ"/>
        </w:rPr>
        <w:t>enie o</w:t>
      </w:r>
      <w:r>
        <w:rPr>
          <w:rFonts w:ascii="Times New Roman" w:hAnsi="Times New Roman" w:cs="Times New Roman"/>
          <w:b w:val="0"/>
          <w:bCs w:val="0"/>
          <w:color w:val="auto"/>
          <w:lang w:eastAsia="cs-CZ"/>
        </w:rPr>
        <w:t> 7,34</w:t>
      </w:r>
      <w:r w:rsidRPr="003935C8">
        <w:rPr>
          <w:rFonts w:ascii="Times New Roman" w:hAnsi="Times New Roman" w:cs="Times New Roman"/>
          <w:b w:val="0"/>
          <w:bCs w:val="0"/>
          <w:color w:val="auto"/>
          <w:lang w:eastAsia="cs-CZ"/>
        </w:rPr>
        <w:t xml:space="preserve"> </w:t>
      </w:r>
      <w:r>
        <w:rPr>
          <w:rFonts w:ascii="Times New Roman" w:hAnsi="Times New Roman" w:cs="Times New Roman"/>
          <w:b w:val="0"/>
          <w:bCs w:val="0"/>
          <w:color w:val="auto"/>
          <w:lang w:eastAsia="cs-CZ"/>
        </w:rPr>
        <w:t>tis</w:t>
      </w:r>
      <w:r w:rsidRPr="003935C8">
        <w:rPr>
          <w:rFonts w:ascii="Times New Roman" w:hAnsi="Times New Roman" w:cs="Times New Roman"/>
          <w:b w:val="0"/>
          <w:bCs w:val="0"/>
          <w:color w:val="auto"/>
          <w:lang w:eastAsia="cs-CZ"/>
        </w:rPr>
        <w:t>. eur</w:t>
      </w:r>
      <w:r>
        <w:rPr>
          <w:rFonts w:ascii="Times New Roman" w:hAnsi="Times New Roman" w:cs="Times New Roman"/>
          <w:b w:val="0"/>
          <w:bCs w:val="0"/>
          <w:color w:val="auto"/>
          <w:lang w:eastAsia="cs-CZ"/>
        </w:rPr>
        <w:t>, t. j. o 3,62 %</w:t>
      </w:r>
      <w:r w:rsidRPr="003935C8">
        <w:rPr>
          <w:rFonts w:ascii="Times New Roman" w:hAnsi="Times New Roman" w:cs="Times New Roman"/>
          <w:b w:val="0"/>
          <w:bCs w:val="0"/>
          <w:color w:val="auto"/>
          <w:lang w:eastAsia="cs-CZ"/>
        </w:rPr>
        <w:t>.</w:t>
      </w:r>
      <w:r>
        <w:rPr>
          <w:rFonts w:ascii="Times New Roman" w:hAnsi="Times New Roman" w:cs="Times New Roman"/>
        </w:rPr>
        <w:t xml:space="preserve"> </w:t>
      </w:r>
    </w:p>
    <w:p w:rsidR="003A497B" w:rsidRDefault="003A497B" w:rsidP="003A497B">
      <w:pPr>
        <w:jc w:val="both"/>
        <w:rPr>
          <w:rFonts w:ascii="Times New Roman" w:hAnsi="Times New Roman" w:cs="Times New Roman"/>
          <w:highlight w:val="yellow"/>
        </w:rPr>
      </w:pPr>
    </w:p>
    <w:p w:rsidR="003A497B" w:rsidRPr="0022533F" w:rsidRDefault="003A497B" w:rsidP="003A497B">
      <w:pPr>
        <w:jc w:val="both"/>
        <w:rPr>
          <w:rFonts w:ascii="Times New Roman" w:hAnsi="Times New Roman" w:cs="Times New Roman"/>
          <w:b/>
        </w:rPr>
      </w:pPr>
      <w:r w:rsidRPr="0022533F">
        <w:rPr>
          <w:rFonts w:ascii="Times New Roman" w:hAnsi="Times New Roman" w:cs="Times New Roman"/>
          <w:b/>
        </w:rPr>
        <w:t>Podpora rozvoja bývania</w:t>
      </w:r>
    </w:p>
    <w:p w:rsidR="003A497B" w:rsidRDefault="003A497B" w:rsidP="003A497B">
      <w:pPr>
        <w:jc w:val="both"/>
        <w:rPr>
          <w:rFonts w:ascii="Times New Roman" w:hAnsi="Times New Roman" w:cs="Times New Roman"/>
          <w:b/>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6"/>
        <w:gridCol w:w="971"/>
        <w:gridCol w:w="970"/>
        <w:gridCol w:w="971"/>
        <w:gridCol w:w="971"/>
        <w:gridCol w:w="971"/>
        <w:gridCol w:w="971"/>
        <w:gridCol w:w="971"/>
      </w:tblGrid>
      <w:tr w:rsidR="003A497B" w:rsidRPr="0022533F" w:rsidTr="003E1809">
        <w:trPr>
          <w:trHeight w:val="255"/>
        </w:trPr>
        <w:tc>
          <w:tcPr>
            <w:tcW w:w="2266" w:type="dxa"/>
            <w:shd w:val="clear" w:color="000000" w:fill="A5A5A5"/>
            <w:noWrap/>
            <w:vAlign w:val="bottom"/>
            <w:hideMark/>
          </w:tcPr>
          <w:p w:rsidR="003A497B" w:rsidRPr="0022533F" w:rsidRDefault="003A497B" w:rsidP="003E1809">
            <w:pPr>
              <w:rPr>
                <w:rFonts w:ascii="Times New Roman" w:hAnsi="Times New Roman" w:cs="Times New Roman"/>
                <w:b/>
                <w:bCs/>
                <w:color w:val="000000"/>
                <w:sz w:val="14"/>
                <w:szCs w:val="14"/>
              </w:rPr>
            </w:pPr>
            <w:r w:rsidRPr="0022533F">
              <w:rPr>
                <w:rFonts w:ascii="Times New Roman" w:hAnsi="Times New Roman" w:cs="Times New Roman"/>
                <w:b/>
                <w:bCs/>
                <w:color w:val="000000"/>
                <w:sz w:val="14"/>
                <w:szCs w:val="14"/>
              </w:rPr>
              <w:t>v eurách</w:t>
            </w:r>
          </w:p>
        </w:tc>
        <w:tc>
          <w:tcPr>
            <w:tcW w:w="971" w:type="dxa"/>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2016 S</w:t>
            </w:r>
          </w:p>
        </w:tc>
        <w:tc>
          <w:tcPr>
            <w:tcW w:w="970" w:type="dxa"/>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2017 </w:t>
            </w:r>
            <w:r>
              <w:rPr>
                <w:rFonts w:ascii="Times New Roman" w:hAnsi="Times New Roman" w:cs="Times New Roman"/>
                <w:b/>
                <w:bCs/>
                <w:color w:val="000000"/>
                <w:sz w:val="14"/>
                <w:szCs w:val="14"/>
                <w:lang w:eastAsia="sk-SK"/>
              </w:rPr>
              <w:t>S</w:t>
            </w:r>
          </w:p>
        </w:tc>
        <w:tc>
          <w:tcPr>
            <w:tcW w:w="971" w:type="dxa"/>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346A12">
              <w:rPr>
                <w:rFonts w:ascii="Times New Roman" w:hAnsi="Times New Roman" w:cs="Times New Roman"/>
                <w:b/>
                <w:bCs/>
                <w:color w:val="000000"/>
                <w:sz w:val="14"/>
                <w:szCs w:val="14"/>
                <w:lang w:eastAsia="sk-SK"/>
              </w:rPr>
              <w:t xml:space="preserve"> </w:t>
            </w:r>
            <w:r>
              <w:rPr>
                <w:rFonts w:ascii="Times New Roman" w:hAnsi="Times New Roman" w:cs="Times New Roman"/>
                <w:b/>
                <w:bCs/>
                <w:color w:val="000000"/>
                <w:sz w:val="14"/>
                <w:szCs w:val="14"/>
                <w:lang w:eastAsia="sk-SK"/>
              </w:rPr>
              <w:t>R</w:t>
            </w:r>
          </w:p>
        </w:tc>
        <w:tc>
          <w:tcPr>
            <w:tcW w:w="971" w:type="dxa"/>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2018 </w:t>
            </w:r>
            <w:r>
              <w:rPr>
                <w:rFonts w:ascii="Times New Roman" w:hAnsi="Times New Roman" w:cs="Times New Roman"/>
                <w:b/>
                <w:bCs/>
                <w:color w:val="000000"/>
                <w:sz w:val="14"/>
                <w:szCs w:val="14"/>
                <w:lang w:eastAsia="sk-SK"/>
              </w:rPr>
              <w:t>OS</w:t>
            </w:r>
          </w:p>
        </w:tc>
        <w:tc>
          <w:tcPr>
            <w:tcW w:w="971" w:type="dxa"/>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2019 N</w:t>
            </w:r>
          </w:p>
        </w:tc>
        <w:tc>
          <w:tcPr>
            <w:tcW w:w="971" w:type="dxa"/>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2020 N</w:t>
            </w:r>
          </w:p>
        </w:tc>
        <w:tc>
          <w:tcPr>
            <w:tcW w:w="971" w:type="dxa"/>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w:t>
            </w:r>
            <w:r>
              <w:rPr>
                <w:rFonts w:ascii="Times New Roman" w:hAnsi="Times New Roman" w:cs="Times New Roman"/>
                <w:b/>
                <w:bCs/>
                <w:color w:val="000000"/>
                <w:sz w:val="14"/>
                <w:szCs w:val="14"/>
                <w:lang w:eastAsia="sk-SK"/>
              </w:rPr>
              <w:t>1</w:t>
            </w:r>
            <w:r w:rsidRPr="00346A12">
              <w:rPr>
                <w:rFonts w:ascii="Times New Roman" w:hAnsi="Times New Roman" w:cs="Times New Roman"/>
                <w:b/>
                <w:bCs/>
                <w:color w:val="000000"/>
                <w:sz w:val="14"/>
                <w:szCs w:val="14"/>
                <w:lang w:eastAsia="sk-SK"/>
              </w:rPr>
              <w:t xml:space="preserve"> N</w:t>
            </w:r>
          </w:p>
        </w:tc>
      </w:tr>
      <w:tr w:rsidR="003A497B" w:rsidRPr="0022533F" w:rsidTr="003E1809">
        <w:trPr>
          <w:trHeight w:val="255"/>
        </w:trPr>
        <w:tc>
          <w:tcPr>
            <w:tcW w:w="2266" w:type="dxa"/>
            <w:shd w:val="clear" w:color="auto" w:fill="BFBFBF" w:themeFill="background1" w:themeFillShade="BF"/>
            <w:noWrap/>
            <w:vAlign w:val="bottom"/>
            <w:hideMark/>
          </w:tcPr>
          <w:p w:rsidR="003A497B" w:rsidRPr="0022533F" w:rsidRDefault="003A497B" w:rsidP="003E1809">
            <w:pPr>
              <w:rPr>
                <w:rFonts w:ascii="Times New Roman" w:hAnsi="Times New Roman" w:cs="Times New Roman"/>
                <w:b/>
                <w:bCs/>
                <w:color w:val="000000"/>
                <w:sz w:val="14"/>
                <w:szCs w:val="14"/>
              </w:rPr>
            </w:pPr>
            <w:r w:rsidRPr="0022533F">
              <w:rPr>
                <w:rFonts w:ascii="Times New Roman" w:hAnsi="Times New Roman" w:cs="Times New Roman"/>
                <w:b/>
                <w:bCs/>
                <w:color w:val="000000"/>
                <w:sz w:val="14"/>
                <w:szCs w:val="14"/>
              </w:rPr>
              <w:t xml:space="preserve">Spolu dotácie </w:t>
            </w:r>
          </w:p>
        </w:tc>
        <w:tc>
          <w:tcPr>
            <w:tcW w:w="971" w:type="dxa"/>
            <w:shd w:val="clear" w:color="auto" w:fill="BFBFBF" w:themeFill="background1" w:themeFillShade="BF"/>
            <w:noWrap/>
            <w:vAlign w:val="bottom"/>
            <w:hideMark/>
          </w:tcPr>
          <w:p w:rsidR="003A497B" w:rsidRPr="00B4768A" w:rsidRDefault="003A497B" w:rsidP="003E1809">
            <w:pPr>
              <w:jc w:val="right"/>
              <w:rPr>
                <w:rFonts w:ascii="Times New Roman" w:hAnsi="Times New Roman" w:cs="Times New Roman"/>
                <w:b/>
                <w:bCs/>
                <w:color w:val="000000"/>
                <w:sz w:val="14"/>
                <w:szCs w:val="14"/>
                <w:lang w:eastAsia="sk-SK"/>
              </w:rPr>
            </w:pPr>
            <w:r w:rsidRPr="00B4768A">
              <w:rPr>
                <w:rFonts w:ascii="Times New Roman" w:hAnsi="Times New Roman" w:cs="Times New Roman"/>
                <w:b/>
                <w:bCs/>
                <w:color w:val="000000"/>
                <w:sz w:val="14"/>
                <w:szCs w:val="14"/>
              </w:rPr>
              <w:t>91 451 910</w:t>
            </w:r>
          </w:p>
        </w:tc>
        <w:tc>
          <w:tcPr>
            <w:tcW w:w="970" w:type="dxa"/>
            <w:shd w:val="clear" w:color="auto" w:fill="BFBFBF" w:themeFill="background1" w:themeFillShade="BF"/>
            <w:noWrap/>
            <w:vAlign w:val="bottom"/>
          </w:tcPr>
          <w:p w:rsidR="003A497B" w:rsidRPr="00B4768A" w:rsidRDefault="003A497B" w:rsidP="003E1809">
            <w:pPr>
              <w:jc w:val="right"/>
              <w:rPr>
                <w:rFonts w:ascii="Times New Roman" w:hAnsi="Times New Roman" w:cs="Times New Roman"/>
                <w:b/>
                <w:bCs/>
                <w:color w:val="000000"/>
                <w:sz w:val="14"/>
                <w:szCs w:val="14"/>
              </w:rPr>
            </w:pPr>
            <w:r w:rsidRPr="00B4768A">
              <w:rPr>
                <w:rFonts w:ascii="Times New Roman" w:hAnsi="Times New Roman" w:cs="Times New Roman"/>
                <w:b/>
                <w:bCs/>
                <w:color w:val="000000"/>
                <w:sz w:val="14"/>
                <w:szCs w:val="14"/>
              </w:rPr>
              <w:t>92 804 070</w:t>
            </w:r>
          </w:p>
        </w:tc>
        <w:tc>
          <w:tcPr>
            <w:tcW w:w="971" w:type="dxa"/>
            <w:shd w:val="clear" w:color="auto" w:fill="BFBFBF" w:themeFill="background1" w:themeFillShade="BF"/>
            <w:noWrap/>
            <w:vAlign w:val="bottom"/>
            <w:hideMark/>
          </w:tcPr>
          <w:p w:rsidR="003A497B" w:rsidRPr="00B4768A" w:rsidRDefault="003A497B" w:rsidP="003E1809">
            <w:pPr>
              <w:jc w:val="right"/>
              <w:rPr>
                <w:rFonts w:ascii="Times New Roman" w:hAnsi="Times New Roman" w:cs="Times New Roman"/>
                <w:b/>
                <w:bCs/>
                <w:color w:val="000000"/>
                <w:sz w:val="14"/>
                <w:szCs w:val="14"/>
              </w:rPr>
            </w:pPr>
            <w:r w:rsidRPr="00B4768A">
              <w:rPr>
                <w:rFonts w:ascii="Times New Roman" w:hAnsi="Times New Roman" w:cs="Times New Roman"/>
                <w:b/>
                <w:bCs/>
                <w:color w:val="000000"/>
                <w:sz w:val="14"/>
                <w:szCs w:val="14"/>
              </w:rPr>
              <w:t>101 653 622</w:t>
            </w:r>
          </w:p>
        </w:tc>
        <w:tc>
          <w:tcPr>
            <w:tcW w:w="971" w:type="dxa"/>
            <w:shd w:val="clear" w:color="auto" w:fill="BFBFBF" w:themeFill="background1" w:themeFillShade="BF"/>
            <w:noWrap/>
            <w:vAlign w:val="bottom"/>
          </w:tcPr>
          <w:p w:rsidR="003A497B" w:rsidRPr="00B4768A" w:rsidRDefault="003A497B" w:rsidP="003E1809">
            <w:pPr>
              <w:jc w:val="right"/>
              <w:rPr>
                <w:rFonts w:ascii="Times New Roman" w:hAnsi="Times New Roman" w:cs="Times New Roman"/>
                <w:b/>
                <w:bCs/>
                <w:color w:val="000000"/>
                <w:sz w:val="14"/>
                <w:szCs w:val="14"/>
              </w:rPr>
            </w:pPr>
            <w:r w:rsidRPr="00B4768A">
              <w:rPr>
                <w:rFonts w:ascii="Times New Roman" w:hAnsi="Times New Roman" w:cs="Times New Roman"/>
                <w:b/>
                <w:bCs/>
                <w:color w:val="000000"/>
                <w:sz w:val="14"/>
                <w:szCs w:val="14"/>
              </w:rPr>
              <w:t>98 785 824</w:t>
            </w:r>
          </w:p>
        </w:tc>
        <w:tc>
          <w:tcPr>
            <w:tcW w:w="971" w:type="dxa"/>
            <w:shd w:val="clear" w:color="auto" w:fill="BFBFBF" w:themeFill="background1" w:themeFillShade="BF"/>
            <w:noWrap/>
            <w:vAlign w:val="bottom"/>
          </w:tcPr>
          <w:p w:rsidR="003A497B" w:rsidRPr="00B4768A" w:rsidRDefault="003A497B" w:rsidP="003E1809">
            <w:pPr>
              <w:jc w:val="right"/>
              <w:rPr>
                <w:rFonts w:ascii="Times New Roman" w:hAnsi="Times New Roman" w:cs="Times New Roman"/>
                <w:b/>
                <w:bCs/>
                <w:color w:val="000000"/>
                <w:sz w:val="14"/>
                <w:szCs w:val="14"/>
              </w:rPr>
            </w:pPr>
            <w:r w:rsidRPr="00B4768A">
              <w:rPr>
                <w:rFonts w:ascii="Times New Roman" w:hAnsi="Times New Roman" w:cs="Times New Roman"/>
                <w:b/>
                <w:bCs/>
                <w:color w:val="000000"/>
                <w:sz w:val="14"/>
                <w:szCs w:val="14"/>
              </w:rPr>
              <w:t>92 000 000</w:t>
            </w:r>
          </w:p>
        </w:tc>
        <w:tc>
          <w:tcPr>
            <w:tcW w:w="971" w:type="dxa"/>
            <w:shd w:val="clear" w:color="auto" w:fill="BFBFBF" w:themeFill="background1" w:themeFillShade="BF"/>
            <w:noWrap/>
            <w:vAlign w:val="bottom"/>
          </w:tcPr>
          <w:p w:rsidR="003A497B" w:rsidRPr="00B4768A" w:rsidRDefault="003A497B" w:rsidP="003E1809">
            <w:pPr>
              <w:jc w:val="right"/>
              <w:rPr>
                <w:rFonts w:ascii="Times New Roman" w:hAnsi="Times New Roman" w:cs="Times New Roman"/>
                <w:b/>
                <w:bCs/>
                <w:color w:val="000000"/>
                <w:sz w:val="14"/>
                <w:szCs w:val="14"/>
              </w:rPr>
            </w:pPr>
            <w:r w:rsidRPr="00B4768A">
              <w:rPr>
                <w:rFonts w:ascii="Times New Roman" w:hAnsi="Times New Roman" w:cs="Times New Roman"/>
                <w:b/>
                <w:bCs/>
                <w:color w:val="000000"/>
                <w:sz w:val="14"/>
                <w:szCs w:val="14"/>
              </w:rPr>
              <w:t>69 300 000</w:t>
            </w:r>
          </w:p>
        </w:tc>
        <w:tc>
          <w:tcPr>
            <w:tcW w:w="971" w:type="dxa"/>
            <w:shd w:val="clear" w:color="auto" w:fill="BFBFBF" w:themeFill="background1" w:themeFillShade="BF"/>
            <w:noWrap/>
            <w:vAlign w:val="bottom"/>
          </w:tcPr>
          <w:p w:rsidR="003A497B" w:rsidRPr="00B4768A" w:rsidRDefault="003A497B" w:rsidP="003E1809">
            <w:pPr>
              <w:jc w:val="right"/>
              <w:rPr>
                <w:rFonts w:ascii="Times New Roman" w:hAnsi="Times New Roman" w:cs="Times New Roman"/>
                <w:b/>
                <w:bCs/>
                <w:color w:val="000000"/>
                <w:sz w:val="14"/>
                <w:szCs w:val="14"/>
              </w:rPr>
            </w:pPr>
            <w:r w:rsidRPr="00B4768A">
              <w:rPr>
                <w:rFonts w:ascii="Times New Roman" w:hAnsi="Times New Roman" w:cs="Times New Roman"/>
                <w:b/>
                <w:bCs/>
                <w:color w:val="000000"/>
                <w:sz w:val="14"/>
                <w:szCs w:val="14"/>
              </w:rPr>
              <w:t>57 500 000</w:t>
            </w:r>
          </w:p>
        </w:tc>
      </w:tr>
      <w:tr w:rsidR="003A497B" w:rsidRPr="0022533F" w:rsidTr="003E1809">
        <w:trPr>
          <w:trHeight w:val="255"/>
        </w:trPr>
        <w:tc>
          <w:tcPr>
            <w:tcW w:w="2266" w:type="dxa"/>
            <w:shd w:val="clear" w:color="auto" w:fill="auto"/>
            <w:noWrap/>
            <w:vAlign w:val="bottom"/>
            <w:hideMark/>
          </w:tcPr>
          <w:p w:rsidR="003A497B" w:rsidRPr="0022533F" w:rsidRDefault="003A497B" w:rsidP="003E1809">
            <w:pPr>
              <w:rPr>
                <w:rFonts w:ascii="Times New Roman" w:hAnsi="Times New Roman" w:cs="Times New Roman"/>
                <w:color w:val="000000"/>
                <w:sz w:val="14"/>
                <w:szCs w:val="14"/>
                <w:lang w:eastAsia="sk-SK"/>
              </w:rPr>
            </w:pPr>
            <w:r w:rsidRPr="0022533F">
              <w:rPr>
                <w:rFonts w:ascii="Times New Roman" w:hAnsi="Times New Roman" w:cs="Times New Roman"/>
                <w:color w:val="000000"/>
                <w:sz w:val="14"/>
                <w:szCs w:val="14"/>
              </w:rPr>
              <w:t>Podpora bývania</w:t>
            </w:r>
          </w:p>
        </w:tc>
        <w:tc>
          <w:tcPr>
            <w:tcW w:w="971" w:type="dxa"/>
            <w:shd w:val="clear" w:color="auto" w:fill="auto"/>
            <w:noWrap/>
            <w:vAlign w:val="bottom"/>
            <w:hideMark/>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28 071 365</w:t>
            </w:r>
          </w:p>
        </w:tc>
        <w:tc>
          <w:tcPr>
            <w:tcW w:w="970" w:type="dxa"/>
            <w:shd w:val="clear" w:color="auto" w:fill="auto"/>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29 900 824</w:t>
            </w:r>
          </w:p>
        </w:tc>
        <w:tc>
          <w:tcPr>
            <w:tcW w:w="971" w:type="dxa"/>
            <w:shd w:val="clear" w:color="auto" w:fill="auto"/>
            <w:noWrap/>
            <w:vAlign w:val="bottom"/>
            <w:hideMark/>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40 000 000</w:t>
            </w:r>
          </w:p>
        </w:tc>
        <w:tc>
          <w:tcPr>
            <w:tcW w:w="971" w:type="dxa"/>
            <w:shd w:val="clear" w:color="auto" w:fill="auto"/>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40 000 000</w:t>
            </w:r>
          </w:p>
        </w:tc>
        <w:tc>
          <w:tcPr>
            <w:tcW w:w="971" w:type="dxa"/>
            <w:shd w:val="clear" w:color="auto" w:fill="auto"/>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40 000 000</w:t>
            </w:r>
          </w:p>
        </w:tc>
        <w:tc>
          <w:tcPr>
            <w:tcW w:w="971" w:type="dxa"/>
            <w:shd w:val="clear" w:color="auto" w:fill="auto"/>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40 000 000</w:t>
            </w:r>
          </w:p>
        </w:tc>
        <w:tc>
          <w:tcPr>
            <w:tcW w:w="971" w:type="dxa"/>
            <w:shd w:val="clear" w:color="auto" w:fill="auto"/>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40 000 000</w:t>
            </w:r>
          </w:p>
        </w:tc>
      </w:tr>
      <w:tr w:rsidR="003A497B" w:rsidRPr="0022533F" w:rsidTr="003E1809">
        <w:trPr>
          <w:trHeight w:val="300"/>
        </w:trPr>
        <w:tc>
          <w:tcPr>
            <w:tcW w:w="2266" w:type="dxa"/>
            <w:shd w:val="clear" w:color="auto" w:fill="auto"/>
            <w:noWrap/>
            <w:vAlign w:val="bottom"/>
            <w:hideMark/>
          </w:tcPr>
          <w:p w:rsidR="003A497B" w:rsidRPr="0022533F" w:rsidRDefault="003A497B" w:rsidP="003E1809">
            <w:pPr>
              <w:rPr>
                <w:rFonts w:ascii="Times New Roman" w:hAnsi="Times New Roman" w:cs="Times New Roman"/>
                <w:color w:val="000000"/>
                <w:sz w:val="14"/>
                <w:szCs w:val="14"/>
              </w:rPr>
            </w:pPr>
            <w:r w:rsidRPr="0022533F">
              <w:rPr>
                <w:rFonts w:ascii="Times New Roman" w:hAnsi="Times New Roman" w:cs="Times New Roman"/>
                <w:color w:val="000000"/>
                <w:sz w:val="14"/>
                <w:szCs w:val="14"/>
              </w:rPr>
              <w:t>Náhradné nájomné byty</w:t>
            </w:r>
          </w:p>
          <w:p w:rsidR="003A497B" w:rsidRPr="0022533F" w:rsidRDefault="003A497B" w:rsidP="003E1809">
            <w:pPr>
              <w:rPr>
                <w:rFonts w:ascii="Times New Roman" w:hAnsi="Times New Roman" w:cs="Times New Roman"/>
                <w:color w:val="000000"/>
                <w:sz w:val="14"/>
                <w:szCs w:val="14"/>
              </w:rPr>
            </w:pPr>
            <w:r w:rsidRPr="0022533F">
              <w:rPr>
                <w:rFonts w:ascii="Times New Roman" w:hAnsi="Times New Roman" w:cs="Times New Roman"/>
                <w:color w:val="000000"/>
                <w:sz w:val="14"/>
                <w:szCs w:val="14"/>
              </w:rPr>
              <w:t xml:space="preserve">(zákon </w:t>
            </w:r>
            <w:r w:rsidR="00C311BC">
              <w:rPr>
                <w:rFonts w:ascii="Times New Roman" w:hAnsi="Times New Roman" w:cs="Times New Roman"/>
                <w:color w:val="000000"/>
                <w:sz w:val="14"/>
                <w:szCs w:val="14"/>
              </w:rPr>
              <w:t xml:space="preserve">č. </w:t>
            </w:r>
            <w:r w:rsidRPr="0022533F">
              <w:rPr>
                <w:rFonts w:ascii="Times New Roman" w:hAnsi="Times New Roman" w:cs="Times New Roman"/>
                <w:color w:val="000000"/>
                <w:sz w:val="14"/>
                <w:szCs w:val="14"/>
              </w:rPr>
              <w:t xml:space="preserve">261/2011 </w:t>
            </w:r>
            <w:r>
              <w:rPr>
                <w:rFonts w:ascii="Times New Roman" w:hAnsi="Times New Roman" w:cs="Times New Roman"/>
                <w:color w:val="000000"/>
                <w:sz w:val="14"/>
                <w:szCs w:val="14"/>
              </w:rPr>
              <w:t>Z</w:t>
            </w:r>
            <w:r w:rsidRPr="0022533F">
              <w:rPr>
                <w:rFonts w:ascii="Times New Roman" w:hAnsi="Times New Roman" w:cs="Times New Roman"/>
                <w:color w:val="000000"/>
                <w:sz w:val="14"/>
                <w:szCs w:val="14"/>
              </w:rPr>
              <w:t>. z.)</w:t>
            </w:r>
          </w:p>
        </w:tc>
        <w:tc>
          <w:tcPr>
            <w:tcW w:w="971" w:type="dxa"/>
            <w:shd w:val="clear" w:color="auto" w:fill="auto"/>
            <w:noWrap/>
            <w:vAlign w:val="bottom"/>
            <w:hideMark/>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1 120 260</w:t>
            </w:r>
          </w:p>
        </w:tc>
        <w:tc>
          <w:tcPr>
            <w:tcW w:w="970" w:type="dxa"/>
            <w:shd w:val="clear" w:color="auto" w:fill="auto"/>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4 631 150</w:t>
            </w:r>
          </w:p>
        </w:tc>
        <w:tc>
          <w:tcPr>
            <w:tcW w:w="971" w:type="dxa"/>
            <w:shd w:val="clear" w:color="auto" w:fill="auto"/>
            <w:noWrap/>
            <w:vAlign w:val="bottom"/>
            <w:hideMark/>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0</w:t>
            </w:r>
          </w:p>
        </w:tc>
        <w:tc>
          <w:tcPr>
            <w:tcW w:w="971" w:type="dxa"/>
            <w:shd w:val="clear" w:color="auto" w:fill="auto"/>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0</w:t>
            </w:r>
          </w:p>
        </w:tc>
        <w:tc>
          <w:tcPr>
            <w:tcW w:w="971" w:type="dxa"/>
            <w:shd w:val="clear" w:color="auto" w:fill="auto"/>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0</w:t>
            </w:r>
          </w:p>
        </w:tc>
        <w:tc>
          <w:tcPr>
            <w:tcW w:w="971" w:type="dxa"/>
            <w:shd w:val="clear" w:color="auto" w:fill="auto"/>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0</w:t>
            </w:r>
          </w:p>
        </w:tc>
        <w:tc>
          <w:tcPr>
            <w:tcW w:w="971" w:type="dxa"/>
            <w:shd w:val="clear" w:color="auto" w:fill="auto"/>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0</w:t>
            </w:r>
          </w:p>
        </w:tc>
      </w:tr>
      <w:tr w:rsidR="003A497B" w:rsidRPr="0022533F" w:rsidTr="003E1809">
        <w:trPr>
          <w:trHeight w:val="255"/>
        </w:trPr>
        <w:tc>
          <w:tcPr>
            <w:tcW w:w="2266" w:type="dxa"/>
            <w:shd w:val="clear" w:color="auto" w:fill="auto"/>
            <w:noWrap/>
            <w:vAlign w:val="bottom"/>
            <w:hideMark/>
          </w:tcPr>
          <w:p w:rsidR="003A497B" w:rsidRPr="0022533F" w:rsidRDefault="003A497B" w:rsidP="003E1809">
            <w:pPr>
              <w:rPr>
                <w:rFonts w:ascii="Times New Roman" w:hAnsi="Times New Roman" w:cs="Times New Roman"/>
                <w:color w:val="000000"/>
                <w:sz w:val="14"/>
                <w:szCs w:val="14"/>
              </w:rPr>
            </w:pPr>
            <w:r w:rsidRPr="0022533F">
              <w:rPr>
                <w:rFonts w:ascii="Times New Roman" w:hAnsi="Times New Roman" w:cs="Times New Roman"/>
                <w:color w:val="000000"/>
                <w:sz w:val="14"/>
                <w:szCs w:val="14"/>
              </w:rPr>
              <w:t xml:space="preserve">Štát. prémia v stavebnom sporení </w:t>
            </w:r>
          </w:p>
        </w:tc>
        <w:tc>
          <w:tcPr>
            <w:tcW w:w="971" w:type="dxa"/>
            <w:shd w:val="clear" w:color="auto" w:fill="auto"/>
            <w:noWrap/>
            <w:vAlign w:val="bottom"/>
            <w:hideMark/>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27 543 096</w:t>
            </w:r>
          </w:p>
        </w:tc>
        <w:tc>
          <w:tcPr>
            <w:tcW w:w="970" w:type="dxa"/>
            <w:shd w:val="clear" w:color="auto" w:fill="auto"/>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23 818 355</w:t>
            </w:r>
          </w:p>
        </w:tc>
        <w:tc>
          <w:tcPr>
            <w:tcW w:w="971" w:type="dxa"/>
            <w:shd w:val="clear" w:color="auto" w:fill="auto"/>
            <w:noWrap/>
            <w:vAlign w:val="bottom"/>
            <w:hideMark/>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25 000 000</w:t>
            </w:r>
          </w:p>
        </w:tc>
        <w:tc>
          <w:tcPr>
            <w:tcW w:w="971" w:type="dxa"/>
            <w:shd w:val="clear" w:color="auto" w:fill="auto"/>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22 132 202</w:t>
            </w:r>
          </w:p>
        </w:tc>
        <w:tc>
          <w:tcPr>
            <w:tcW w:w="971" w:type="dxa"/>
            <w:shd w:val="clear" w:color="auto" w:fill="auto"/>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23 000 000</w:t>
            </w:r>
          </w:p>
        </w:tc>
        <w:tc>
          <w:tcPr>
            <w:tcW w:w="971" w:type="dxa"/>
            <w:shd w:val="clear" w:color="auto" w:fill="auto"/>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6 300 000</w:t>
            </w:r>
          </w:p>
        </w:tc>
        <w:tc>
          <w:tcPr>
            <w:tcW w:w="971" w:type="dxa"/>
            <w:shd w:val="clear" w:color="auto" w:fill="auto"/>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3 500 000</w:t>
            </w:r>
          </w:p>
        </w:tc>
      </w:tr>
      <w:tr w:rsidR="003A497B" w:rsidRPr="0022533F" w:rsidTr="003E1809">
        <w:trPr>
          <w:trHeight w:val="255"/>
        </w:trPr>
        <w:tc>
          <w:tcPr>
            <w:tcW w:w="2266" w:type="dxa"/>
            <w:shd w:val="clear" w:color="auto" w:fill="auto"/>
            <w:noWrap/>
            <w:vAlign w:val="bottom"/>
            <w:hideMark/>
          </w:tcPr>
          <w:p w:rsidR="003A497B" w:rsidRPr="0022533F" w:rsidRDefault="003A497B" w:rsidP="003E1809">
            <w:pPr>
              <w:rPr>
                <w:rFonts w:ascii="Times New Roman" w:hAnsi="Times New Roman" w:cs="Times New Roman"/>
                <w:color w:val="000000"/>
                <w:sz w:val="14"/>
                <w:szCs w:val="14"/>
              </w:rPr>
            </w:pPr>
            <w:r w:rsidRPr="0022533F">
              <w:rPr>
                <w:rFonts w:ascii="Times New Roman" w:hAnsi="Times New Roman" w:cs="Times New Roman"/>
                <w:color w:val="000000"/>
                <w:sz w:val="14"/>
                <w:szCs w:val="14"/>
              </w:rPr>
              <w:t>Bonifikácia k hypotek</w:t>
            </w:r>
            <w:r>
              <w:rPr>
                <w:rFonts w:ascii="Times New Roman" w:hAnsi="Times New Roman" w:cs="Times New Roman"/>
                <w:color w:val="000000"/>
                <w:sz w:val="14"/>
                <w:szCs w:val="14"/>
              </w:rPr>
              <w:t>árnym</w:t>
            </w:r>
            <w:r w:rsidRPr="0022533F">
              <w:rPr>
                <w:rFonts w:ascii="Times New Roman" w:hAnsi="Times New Roman" w:cs="Times New Roman"/>
                <w:color w:val="000000"/>
                <w:sz w:val="14"/>
                <w:szCs w:val="14"/>
              </w:rPr>
              <w:t xml:space="preserve"> úverom </w:t>
            </w:r>
          </w:p>
        </w:tc>
        <w:tc>
          <w:tcPr>
            <w:tcW w:w="971" w:type="dxa"/>
            <w:shd w:val="clear" w:color="auto" w:fill="auto"/>
            <w:noWrap/>
            <w:vAlign w:val="bottom"/>
            <w:hideMark/>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34 717 189</w:t>
            </w:r>
          </w:p>
        </w:tc>
        <w:tc>
          <w:tcPr>
            <w:tcW w:w="970" w:type="dxa"/>
            <w:shd w:val="clear" w:color="auto" w:fill="auto"/>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34 453 741</w:t>
            </w:r>
          </w:p>
        </w:tc>
        <w:tc>
          <w:tcPr>
            <w:tcW w:w="971" w:type="dxa"/>
            <w:shd w:val="clear" w:color="auto" w:fill="auto"/>
            <w:noWrap/>
            <w:vAlign w:val="bottom"/>
            <w:hideMark/>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36 653 622</w:t>
            </w:r>
          </w:p>
        </w:tc>
        <w:tc>
          <w:tcPr>
            <w:tcW w:w="971" w:type="dxa"/>
            <w:shd w:val="clear" w:color="auto" w:fill="auto"/>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36 653 622</w:t>
            </w:r>
          </w:p>
        </w:tc>
        <w:tc>
          <w:tcPr>
            <w:tcW w:w="971" w:type="dxa"/>
            <w:shd w:val="clear" w:color="auto" w:fill="auto"/>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29 000 000</w:t>
            </w:r>
          </w:p>
        </w:tc>
        <w:tc>
          <w:tcPr>
            <w:tcW w:w="971" w:type="dxa"/>
            <w:shd w:val="clear" w:color="auto" w:fill="auto"/>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23 000 000</w:t>
            </w:r>
          </w:p>
        </w:tc>
        <w:tc>
          <w:tcPr>
            <w:tcW w:w="971" w:type="dxa"/>
            <w:shd w:val="clear" w:color="auto" w:fill="auto"/>
            <w:noWrap/>
            <w:vAlign w:val="bottom"/>
          </w:tcPr>
          <w:p w:rsidR="003A497B" w:rsidRPr="00B4768A" w:rsidRDefault="003A497B" w:rsidP="003E1809">
            <w:pPr>
              <w:jc w:val="right"/>
              <w:rPr>
                <w:rFonts w:ascii="Times New Roman" w:hAnsi="Times New Roman" w:cs="Times New Roman"/>
                <w:color w:val="000000"/>
                <w:sz w:val="14"/>
                <w:szCs w:val="14"/>
              </w:rPr>
            </w:pPr>
            <w:r w:rsidRPr="00B4768A">
              <w:rPr>
                <w:rFonts w:ascii="Times New Roman" w:hAnsi="Times New Roman" w:cs="Times New Roman"/>
                <w:color w:val="000000"/>
                <w:sz w:val="14"/>
                <w:szCs w:val="14"/>
              </w:rPr>
              <w:t>14 000 000</w:t>
            </w:r>
          </w:p>
        </w:tc>
      </w:tr>
    </w:tbl>
    <w:p w:rsidR="003A497B" w:rsidRPr="00775C7E" w:rsidRDefault="003A497B" w:rsidP="003A497B">
      <w:pPr>
        <w:shd w:val="clear" w:color="auto" w:fill="FFFFFF"/>
        <w:jc w:val="both"/>
        <w:rPr>
          <w:rFonts w:ascii="Times New Roman" w:hAnsi="Times New Roman" w:cs="Times New Roman"/>
          <w:szCs w:val="22"/>
          <w:highlight w:val="yellow"/>
        </w:rPr>
      </w:pPr>
    </w:p>
    <w:p w:rsidR="003A497B" w:rsidRPr="00831BCB" w:rsidRDefault="003A497B" w:rsidP="003A497B">
      <w:pPr>
        <w:ind w:firstLine="708"/>
        <w:jc w:val="both"/>
        <w:rPr>
          <w:rFonts w:ascii="Times New Roman" w:hAnsi="Times New Roman" w:cs="Times New Roman"/>
          <w:szCs w:val="22"/>
        </w:rPr>
      </w:pPr>
      <w:r w:rsidRPr="00831BCB">
        <w:rPr>
          <w:rFonts w:ascii="Times New Roman" w:hAnsi="Times New Roman" w:cs="Times New Roman"/>
          <w:szCs w:val="22"/>
        </w:rPr>
        <w:t>Na podporu rozvoja bývania prostredníctvom poskytovania</w:t>
      </w:r>
      <w:r w:rsidRPr="00831BCB">
        <w:rPr>
          <w:rFonts w:ascii="Times New Roman" w:hAnsi="Times New Roman" w:cs="Times New Roman"/>
          <w:b/>
          <w:szCs w:val="22"/>
        </w:rPr>
        <w:t xml:space="preserve"> </w:t>
      </w:r>
      <w:r w:rsidRPr="00831BCB">
        <w:rPr>
          <w:rFonts w:ascii="Times New Roman" w:hAnsi="Times New Roman" w:cs="Times New Roman"/>
          <w:szCs w:val="22"/>
        </w:rPr>
        <w:t>dotácií sa v roku 201</w:t>
      </w:r>
      <w:r>
        <w:rPr>
          <w:rFonts w:ascii="Times New Roman" w:hAnsi="Times New Roman" w:cs="Times New Roman"/>
          <w:szCs w:val="22"/>
        </w:rPr>
        <w:t>9</w:t>
      </w:r>
      <w:r w:rsidRPr="00831BCB">
        <w:rPr>
          <w:rFonts w:ascii="Times New Roman" w:hAnsi="Times New Roman" w:cs="Times New Roman"/>
          <w:szCs w:val="22"/>
        </w:rPr>
        <w:t xml:space="preserve"> rozpočtujú výdavky zo štátneho rozpočtu v sume </w:t>
      </w:r>
      <w:r>
        <w:rPr>
          <w:rFonts w:ascii="Times New Roman" w:hAnsi="Times New Roman" w:cs="Times New Roman"/>
          <w:szCs w:val="22"/>
        </w:rPr>
        <w:t>92,0</w:t>
      </w:r>
      <w:r w:rsidRPr="00831BCB">
        <w:rPr>
          <w:rFonts w:ascii="Times New Roman" w:hAnsi="Times New Roman" w:cs="Times New Roman"/>
          <w:szCs w:val="22"/>
        </w:rPr>
        <w:t xml:space="preserve"> mil. eur, čo v porovnaní so schváleným rozpočtom roku 201</w:t>
      </w:r>
      <w:r>
        <w:rPr>
          <w:rFonts w:ascii="Times New Roman" w:hAnsi="Times New Roman" w:cs="Times New Roman"/>
          <w:szCs w:val="22"/>
        </w:rPr>
        <w:t>8</w:t>
      </w:r>
      <w:r w:rsidRPr="00831BCB">
        <w:rPr>
          <w:rFonts w:ascii="Times New Roman" w:hAnsi="Times New Roman" w:cs="Times New Roman"/>
          <w:szCs w:val="22"/>
        </w:rPr>
        <w:t xml:space="preserve"> predstavuje pokles o</w:t>
      </w:r>
      <w:r>
        <w:rPr>
          <w:rFonts w:ascii="Times New Roman" w:hAnsi="Times New Roman" w:cs="Times New Roman"/>
          <w:szCs w:val="22"/>
        </w:rPr>
        <w:t> 9,65</w:t>
      </w:r>
      <w:r w:rsidRPr="00831BCB">
        <w:rPr>
          <w:rFonts w:ascii="Times New Roman" w:hAnsi="Times New Roman" w:cs="Times New Roman"/>
          <w:szCs w:val="22"/>
        </w:rPr>
        <w:t xml:space="preserve"> mil. eur, t. j. o</w:t>
      </w:r>
      <w:r>
        <w:rPr>
          <w:rFonts w:ascii="Times New Roman" w:hAnsi="Times New Roman" w:cs="Times New Roman"/>
          <w:szCs w:val="22"/>
        </w:rPr>
        <w:t> 9,50</w:t>
      </w:r>
      <w:r w:rsidRPr="00831BCB">
        <w:rPr>
          <w:rFonts w:ascii="Times New Roman" w:hAnsi="Times New Roman" w:cs="Times New Roman"/>
          <w:szCs w:val="22"/>
        </w:rPr>
        <w:t xml:space="preserve"> %</w:t>
      </w:r>
      <w:r>
        <w:rPr>
          <w:rFonts w:ascii="Times New Roman" w:hAnsi="Times New Roman" w:cs="Times New Roman"/>
          <w:szCs w:val="22"/>
        </w:rPr>
        <w:t xml:space="preserve">, </w:t>
      </w:r>
      <w:r w:rsidRPr="000917AF">
        <w:rPr>
          <w:rFonts w:ascii="Times New Roman" w:hAnsi="Times New Roman" w:cs="Times New Roman"/>
          <w:lang w:eastAsia="en-US"/>
        </w:rPr>
        <w:t>z</w:t>
      </w:r>
      <w:r>
        <w:rPr>
          <w:rFonts w:ascii="Times New Roman" w:hAnsi="Times New Roman" w:cs="Times New Roman"/>
          <w:lang w:eastAsia="en-US"/>
        </w:rPr>
        <w:t> </w:t>
      </w:r>
      <w:r w:rsidRPr="000917AF">
        <w:rPr>
          <w:rFonts w:ascii="Times New Roman" w:hAnsi="Times New Roman" w:cs="Times New Roman"/>
          <w:lang w:eastAsia="en-US"/>
        </w:rPr>
        <w:t>dôvodu</w:t>
      </w:r>
      <w:r>
        <w:rPr>
          <w:rFonts w:ascii="Times New Roman" w:hAnsi="Times New Roman" w:cs="Times New Roman"/>
          <w:lang w:eastAsia="en-US"/>
        </w:rPr>
        <w:t xml:space="preserve"> aktualizácie výdavkov</w:t>
      </w:r>
      <w:r w:rsidRPr="000917AF">
        <w:rPr>
          <w:rFonts w:ascii="Times New Roman" w:hAnsi="Times New Roman" w:cs="Times New Roman"/>
          <w:lang w:eastAsia="en-US"/>
        </w:rPr>
        <w:t xml:space="preserve"> </w:t>
      </w:r>
      <w:r>
        <w:rPr>
          <w:rFonts w:ascii="Times New Roman" w:hAnsi="Times New Roman" w:cs="Times New Roman"/>
          <w:lang w:eastAsia="en-US"/>
        </w:rPr>
        <w:t xml:space="preserve">na </w:t>
      </w:r>
      <w:r w:rsidRPr="000917AF">
        <w:rPr>
          <w:rFonts w:ascii="Times New Roman" w:hAnsi="Times New Roman" w:cs="Times New Roman"/>
          <w:lang w:eastAsia="en-US"/>
        </w:rPr>
        <w:t>štátnu prémiu k stavebnému sporeniu</w:t>
      </w:r>
      <w:r>
        <w:rPr>
          <w:rFonts w:ascii="Times New Roman" w:hAnsi="Times New Roman" w:cs="Times New Roman"/>
          <w:lang w:eastAsia="en-US"/>
        </w:rPr>
        <w:t xml:space="preserve"> a na štátny príspevok k hypotekárnym úverom</w:t>
      </w:r>
      <w:r>
        <w:rPr>
          <w:rFonts w:ascii="Times New Roman" w:hAnsi="Times New Roman" w:cs="Times New Roman"/>
          <w:szCs w:val="22"/>
        </w:rPr>
        <w:t xml:space="preserve">. </w:t>
      </w:r>
      <w:r w:rsidRPr="00831BCB">
        <w:rPr>
          <w:rFonts w:ascii="Times New Roman" w:hAnsi="Times New Roman" w:cs="Times New Roman"/>
          <w:szCs w:val="22"/>
        </w:rPr>
        <w:t>Výdavky sú určené na podporu bývania, na štátnu prémiu k stavebnému sporeniu</w:t>
      </w:r>
      <w:r>
        <w:rPr>
          <w:rFonts w:ascii="Times New Roman" w:hAnsi="Times New Roman" w:cs="Times New Roman"/>
          <w:szCs w:val="22"/>
        </w:rPr>
        <w:t>,</w:t>
      </w:r>
      <w:r w:rsidRPr="00831BCB">
        <w:rPr>
          <w:rFonts w:ascii="Times New Roman" w:hAnsi="Times New Roman" w:cs="Times New Roman"/>
          <w:szCs w:val="22"/>
        </w:rPr>
        <w:t> na štátny príspevok k hypotekárnym úverom</w:t>
      </w:r>
      <w:r>
        <w:rPr>
          <w:rFonts w:ascii="Times New Roman" w:hAnsi="Times New Roman" w:cs="Times New Roman"/>
          <w:szCs w:val="22"/>
        </w:rPr>
        <w:t xml:space="preserve"> poskytnutým pred 1. januárom 2018 a na zatepľovanie rodinných domov</w:t>
      </w:r>
      <w:r w:rsidRPr="00831BCB">
        <w:rPr>
          <w:rFonts w:ascii="Times New Roman" w:hAnsi="Times New Roman" w:cs="Times New Roman"/>
          <w:szCs w:val="22"/>
        </w:rPr>
        <w:t xml:space="preserve">. </w:t>
      </w:r>
    </w:p>
    <w:p w:rsidR="003A497B" w:rsidRDefault="003A497B" w:rsidP="003A497B">
      <w:pPr>
        <w:jc w:val="both"/>
        <w:rPr>
          <w:rFonts w:ascii="Times New Roman" w:hAnsi="Times New Roman"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7"/>
        <w:gridCol w:w="1008"/>
        <w:gridCol w:w="1010"/>
        <w:gridCol w:w="1010"/>
        <w:gridCol w:w="1010"/>
        <w:gridCol w:w="1029"/>
        <w:gridCol w:w="1029"/>
        <w:gridCol w:w="1029"/>
      </w:tblGrid>
      <w:tr w:rsidR="003A497B" w:rsidRPr="00FC3C78" w:rsidTr="003E1809">
        <w:trPr>
          <w:trHeight w:hRule="exact" w:val="255"/>
        </w:trPr>
        <w:tc>
          <w:tcPr>
            <w:tcW w:w="1069" w:type="pct"/>
            <w:shd w:val="clear" w:color="000000" w:fill="A6A6A6"/>
            <w:noWrap/>
            <w:vAlign w:val="center"/>
            <w:hideMark/>
          </w:tcPr>
          <w:p w:rsidR="003A497B" w:rsidRPr="00046BC1" w:rsidRDefault="003A497B" w:rsidP="003E1809">
            <w:pPr>
              <w:jc w:val="both"/>
              <w:rPr>
                <w:rFonts w:ascii="Times New Roman" w:hAnsi="Times New Roman" w:cs="Times New Roman"/>
                <w:b/>
                <w:bCs/>
                <w:color w:val="000000"/>
                <w:sz w:val="14"/>
                <w:szCs w:val="14"/>
              </w:rPr>
            </w:pPr>
            <w:r w:rsidRPr="00046BC1">
              <w:rPr>
                <w:rFonts w:ascii="Times New Roman" w:hAnsi="Times New Roman" w:cs="Times New Roman"/>
                <w:b/>
                <w:bCs/>
                <w:color w:val="000000"/>
                <w:sz w:val="14"/>
                <w:szCs w:val="14"/>
              </w:rPr>
              <w:t>v eurách</w:t>
            </w:r>
          </w:p>
        </w:tc>
        <w:tc>
          <w:tcPr>
            <w:tcW w:w="556" w:type="pct"/>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2016 S</w:t>
            </w:r>
          </w:p>
        </w:tc>
        <w:tc>
          <w:tcPr>
            <w:tcW w:w="557" w:type="pct"/>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2017 </w:t>
            </w:r>
            <w:r>
              <w:rPr>
                <w:rFonts w:ascii="Times New Roman" w:hAnsi="Times New Roman" w:cs="Times New Roman"/>
                <w:b/>
                <w:bCs/>
                <w:color w:val="000000"/>
                <w:sz w:val="14"/>
                <w:szCs w:val="14"/>
                <w:lang w:eastAsia="sk-SK"/>
              </w:rPr>
              <w:t>S</w:t>
            </w:r>
          </w:p>
        </w:tc>
        <w:tc>
          <w:tcPr>
            <w:tcW w:w="557" w:type="pct"/>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346A12">
              <w:rPr>
                <w:rFonts w:ascii="Times New Roman" w:hAnsi="Times New Roman" w:cs="Times New Roman"/>
                <w:b/>
                <w:bCs/>
                <w:color w:val="000000"/>
                <w:sz w:val="14"/>
                <w:szCs w:val="14"/>
                <w:lang w:eastAsia="sk-SK"/>
              </w:rPr>
              <w:t xml:space="preserve"> </w:t>
            </w:r>
            <w:r>
              <w:rPr>
                <w:rFonts w:ascii="Times New Roman" w:hAnsi="Times New Roman" w:cs="Times New Roman"/>
                <w:b/>
                <w:bCs/>
                <w:color w:val="000000"/>
                <w:sz w:val="14"/>
                <w:szCs w:val="14"/>
                <w:lang w:eastAsia="sk-SK"/>
              </w:rPr>
              <w:t>R</w:t>
            </w:r>
          </w:p>
        </w:tc>
        <w:tc>
          <w:tcPr>
            <w:tcW w:w="557" w:type="pct"/>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2018 </w:t>
            </w:r>
            <w:r>
              <w:rPr>
                <w:rFonts w:ascii="Times New Roman" w:hAnsi="Times New Roman" w:cs="Times New Roman"/>
                <w:b/>
                <w:bCs/>
                <w:color w:val="000000"/>
                <w:sz w:val="14"/>
                <w:szCs w:val="14"/>
                <w:lang w:eastAsia="sk-SK"/>
              </w:rPr>
              <w:t>OS</w:t>
            </w:r>
          </w:p>
        </w:tc>
        <w:tc>
          <w:tcPr>
            <w:tcW w:w="568" w:type="pct"/>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2019 N</w:t>
            </w:r>
          </w:p>
        </w:tc>
        <w:tc>
          <w:tcPr>
            <w:tcW w:w="568" w:type="pct"/>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2020 N</w:t>
            </w:r>
          </w:p>
        </w:tc>
        <w:tc>
          <w:tcPr>
            <w:tcW w:w="568" w:type="pct"/>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w:t>
            </w:r>
            <w:r>
              <w:rPr>
                <w:rFonts w:ascii="Times New Roman" w:hAnsi="Times New Roman" w:cs="Times New Roman"/>
                <w:b/>
                <w:bCs/>
                <w:color w:val="000000"/>
                <w:sz w:val="14"/>
                <w:szCs w:val="14"/>
                <w:lang w:eastAsia="sk-SK"/>
              </w:rPr>
              <w:t>1</w:t>
            </w:r>
            <w:r w:rsidRPr="00346A12">
              <w:rPr>
                <w:rFonts w:ascii="Times New Roman" w:hAnsi="Times New Roman" w:cs="Times New Roman"/>
                <w:b/>
                <w:bCs/>
                <w:color w:val="000000"/>
                <w:sz w:val="14"/>
                <w:szCs w:val="14"/>
                <w:lang w:eastAsia="sk-SK"/>
              </w:rPr>
              <w:t xml:space="preserve"> N</w:t>
            </w:r>
          </w:p>
        </w:tc>
      </w:tr>
      <w:tr w:rsidR="003A497B" w:rsidRPr="00FC3C78" w:rsidTr="003E1809">
        <w:trPr>
          <w:trHeight w:hRule="exact" w:val="255"/>
        </w:trPr>
        <w:tc>
          <w:tcPr>
            <w:tcW w:w="1069" w:type="pct"/>
            <w:shd w:val="clear" w:color="auto" w:fill="BFBFBF" w:themeFill="background1" w:themeFillShade="BF"/>
            <w:noWrap/>
            <w:vAlign w:val="bottom"/>
            <w:hideMark/>
          </w:tcPr>
          <w:p w:rsidR="003A497B" w:rsidRPr="00FC3C78" w:rsidRDefault="003A497B" w:rsidP="003E1809">
            <w:pPr>
              <w:jc w:val="both"/>
              <w:rPr>
                <w:rFonts w:ascii="Times New Roman" w:hAnsi="Times New Roman" w:cs="Times New Roman"/>
                <w:b/>
                <w:bCs/>
                <w:color w:val="000000"/>
                <w:sz w:val="14"/>
                <w:szCs w:val="14"/>
              </w:rPr>
            </w:pPr>
            <w:r w:rsidRPr="00FC3C78">
              <w:rPr>
                <w:rFonts w:ascii="Times New Roman" w:hAnsi="Times New Roman" w:cs="Times New Roman"/>
                <w:b/>
                <w:bCs/>
                <w:color w:val="000000"/>
                <w:sz w:val="14"/>
                <w:szCs w:val="14"/>
              </w:rPr>
              <w:t>Zdroje ŠFRB</w:t>
            </w:r>
          </w:p>
        </w:tc>
        <w:tc>
          <w:tcPr>
            <w:tcW w:w="556" w:type="pct"/>
            <w:shd w:val="clear" w:color="auto" w:fill="BFBFBF" w:themeFill="background1" w:themeFillShade="BF"/>
            <w:noWrap/>
            <w:vAlign w:val="bottom"/>
            <w:hideMark/>
          </w:tcPr>
          <w:p w:rsidR="003A497B" w:rsidRPr="00FD4DC0" w:rsidRDefault="003A497B" w:rsidP="003E1809">
            <w:pPr>
              <w:jc w:val="right"/>
              <w:rPr>
                <w:rFonts w:ascii="Times New Roman" w:hAnsi="Times New Roman" w:cs="Times New Roman"/>
                <w:b/>
                <w:bCs/>
                <w:color w:val="000000"/>
                <w:sz w:val="14"/>
                <w:szCs w:val="14"/>
                <w:lang w:eastAsia="sk-SK"/>
              </w:rPr>
            </w:pPr>
            <w:r w:rsidRPr="00FD4DC0">
              <w:rPr>
                <w:rFonts w:ascii="Times New Roman" w:hAnsi="Times New Roman" w:cs="Times New Roman"/>
                <w:b/>
                <w:bCs/>
                <w:color w:val="000000"/>
                <w:sz w:val="14"/>
                <w:szCs w:val="14"/>
              </w:rPr>
              <w:t>416 625 255</w:t>
            </w:r>
          </w:p>
        </w:tc>
        <w:tc>
          <w:tcPr>
            <w:tcW w:w="557" w:type="pct"/>
            <w:shd w:val="clear" w:color="auto" w:fill="BFBFBF" w:themeFill="background1" w:themeFillShade="BF"/>
            <w:noWrap/>
            <w:vAlign w:val="bottom"/>
          </w:tcPr>
          <w:p w:rsidR="003A497B" w:rsidRPr="00FD4DC0" w:rsidRDefault="003A497B" w:rsidP="003E1809">
            <w:pPr>
              <w:jc w:val="right"/>
              <w:rPr>
                <w:rFonts w:ascii="Times New Roman" w:hAnsi="Times New Roman" w:cs="Times New Roman"/>
                <w:b/>
                <w:bCs/>
                <w:color w:val="000000"/>
                <w:sz w:val="14"/>
                <w:szCs w:val="14"/>
              </w:rPr>
            </w:pPr>
            <w:r w:rsidRPr="00FD4DC0">
              <w:rPr>
                <w:rFonts w:ascii="Times New Roman" w:hAnsi="Times New Roman" w:cs="Times New Roman"/>
                <w:b/>
                <w:bCs/>
                <w:color w:val="000000"/>
                <w:sz w:val="14"/>
                <w:szCs w:val="14"/>
              </w:rPr>
              <w:t>394 401 737</w:t>
            </w:r>
          </w:p>
        </w:tc>
        <w:tc>
          <w:tcPr>
            <w:tcW w:w="557" w:type="pct"/>
            <w:shd w:val="clear" w:color="auto" w:fill="BFBFBF" w:themeFill="background1" w:themeFillShade="BF"/>
            <w:noWrap/>
            <w:vAlign w:val="bottom"/>
            <w:hideMark/>
          </w:tcPr>
          <w:p w:rsidR="003A497B" w:rsidRPr="00FD4DC0" w:rsidRDefault="003A497B" w:rsidP="003E1809">
            <w:pPr>
              <w:jc w:val="right"/>
              <w:rPr>
                <w:rFonts w:ascii="Times New Roman" w:hAnsi="Times New Roman" w:cs="Times New Roman"/>
                <w:b/>
                <w:bCs/>
                <w:color w:val="000000"/>
                <w:sz w:val="14"/>
                <w:szCs w:val="14"/>
              </w:rPr>
            </w:pPr>
            <w:r w:rsidRPr="00FD4DC0">
              <w:rPr>
                <w:rFonts w:ascii="Times New Roman" w:hAnsi="Times New Roman" w:cs="Times New Roman"/>
                <w:b/>
                <w:bCs/>
                <w:color w:val="000000"/>
                <w:sz w:val="14"/>
                <w:szCs w:val="14"/>
              </w:rPr>
              <w:t>310 336 988</w:t>
            </w:r>
          </w:p>
        </w:tc>
        <w:tc>
          <w:tcPr>
            <w:tcW w:w="557" w:type="pct"/>
            <w:shd w:val="clear" w:color="auto" w:fill="BFBFBF" w:themeFill="background1" w:themeFillShade="BF"/>
            <w:noWrap/>
            <w:vAlign w:val="bottom"/>
          </w:tcPr>
          <w:p w:rsidR="003A497B" w:rsidRPr="00FD4DC0" w:rsidRDefault="003A497B" w:rsidP="003E1809">
            <w:pPr>
              <w:jc w:val="right"/>
              <w:rPr>
                <w:rFonts w:ascii="Times New Roman" w:hAnsi="Times New Roman" w:cs="Times New Roman"/>
                <w:b/>
                <w:bCs/>
                <w:color w:val="000000"/>
                <w:sz w:val="14"/>
                <w:szCs w:val="14"/>
              </w:rPr>
            </w:pPr>
            <w:r w:rsidRPr="00FD4DC0">
              <w:rPr>
                <w:rFonts w:ascii="Times New Roman" w:hAnsi="Times New Roman" w:cs="Times New Roman"/>
                <w:b/>
                <w:bCs/>
                <w:color w:val="000000"/>
                <w:sz w:val="14"/>
                <w:szCs w:val="14"/>
              </w:rPr>
              <w:t>379 127 883</w:t>
            </w:r>
          </w:p>
        </w:tc>
        <w:tc>
          <w:tcPr>
            <w:tcW w:w="568" w:type="pct"/>
            <w:shd w:val="clear" w:color="auto" w:fill="BFBFBF" w:themeFill="background1" w:themeFillShade="BF"/>
            <w:noWrap/>
            <w:vAlign w:val="bottom"/>
          </w:tcPr>
          <w:p w:rsidR="003A497B" w:rsidRPr="00CA1386" w:rsidRDefault="003A497B" w:rsidP="003E1809">
            <w:pPr>
              <w:jc w:val="right"/>
              <w:rPr>
                <w:rFonts w:ascii="Times New Roman" w:hAnsi="Times New Roman" w:cs="Times New Roman"/>
                <w:b/>
                <w:bCs/>
                <w:color w:val="000000"/>
                <w:sz w:val="14"/>
                <w:szCs w:val="14"/>
                <w:lang w:eastAsia="sk-SK"/>
              </w:rPr>
            </w:pPr>
            <w:r w:rsidRPr="00CA1386">
              <w:rPr>
                <w:rFonts w:ascii="Times New Roman" w:hAnsi="Times New Roman" w:cs="Times New Roman"/>
                <w:b/>
                <w:bCs/>
                <w:color w:val="000000"/>
                <w:sz w:val="14"/>
                <w:szCs w:val="14"/>
              </w:rPr>
              <w:t>323 269 193</w:t>
            </w:r>
          </w:p>
        </w:tc>
        <w:tc>
          <w:tcPr>
            <w:tcW w:w="568" w:type="pct"/>
            <w:shd w:val="clear" w:color="auto" w:fill="BFBFBF" w:themeFill="background1" w:themeFillShade="BF"/>
            <w:noWrap/>
            <w:vAlign w:val="bottom"/>
          </w:tcPr>
          <w:p w:rsidR="003A497B" w:rsidRPr="00CA1386" w:rsidRDefault="003A497B" w:rsidP="003E1809">
            <w:pPr>
              <w:jc w:val="right"/>
              <w:rPr>
                <w:rFonts w:ascii="Times New Roman" w:hAnsi="Times New Roman" w:cs="Times New Roman"/>
                <w:b/>
                <w:bCs/>
                <w:color w:val="000000"/>
                <w:sz w:val="14"/>
                <w:szCs w:val="14"/>
              </w:rPr>
            </w:pPr>
            <w:r w:rsidRPr="00CA1386">
              <w:rPr>
                <w:rFonts w:ascii="Times New Roman" w:hAnsi="Times New Roman" w:cs="Times New Roman"/>
                <w:b/>
                <w:bCs/>
                <w:color w:val="000000"/>
                <w:sz w:val="14"/>
                <w:szCs w:val="14"/>
              </w:rPr>
              <w:t>278 139 65</w:t>
            </w:r>
            <w:r>
              <w:rPr>
                <w:rFonts w:ascii="Times New Roman" w:hAnsi="Times New Roman" w:cs="Times New Roman"/>
                <w:b/>
                <w:bCs/>
                <w:color w:val="000000"/>
                <w:sz w:val="14"/>
                <w:szCs w:val="14"/>
              </w:rPr>
              <w:t>6</w:t>
            </w:r>
          </w:p>
        </w:tc>
        <w:tc>
          <w:tcPr>
            <w:tcW w:w="568" w:type="pct"/>
            <w:shd w:val="clear" w:color="auto" w:fill="BFBFBF" w:themeFill="background1" w:themeFillShade="BF"/>
            <w:noWrap/>
            <w:vAlign w:val="bottom"/>
          </w:tcPr>
          <w:p w:rsidR="003A497B" w:rsidRPr="00CA1386" w:rsidRDefault="003A497B" w:rsidP="003E1809">
            <w:pPr>
              <w:jc w:val="right"/>
              <w:rPr>
                <w:rFonts w:ascii="Times New Roman" w:hAnsi="Times New Roman" w:cs="Times New Roman"/>
                <w:b/>
                <w:bCs/>
                <w:color w:val="000000"/>
                <w:sz w:val="14"/>
                <w:szCs w:val="14"/>
              </w:rPr>
            </w:pPr>
            <w:r w:rsidRPr="00CA1386">
              <w:rPr>
                <w:rFonts w:ascii="Times New Roman" w:hAnsi="Times New Roman" w:cs="Times New Roman"/>
                <w:b/>
                <w:bCs/>
                <w:color w:val="000000"/>
                <w:sz w:val="14"/>
                <w:szCs w:val="14"/>
              </w:rPr>
              <w:t>235 857 439</w:t>
            </w:r>
          </w:p>
        </w:tc>
      </w:tr>
      <w:tr w:rsidR="003A497B" w:rsidRPr="00FC3C78" w:rsidTr="003E1809">
        <w:trPr>
          <w:trHeight w:hRule="exact" w:val="255"/>
        </w:trPr>
        <w:tc>
          <w:tcPr>
            <w:tcW w:w="1069" w:type="pct"/>
            <w:shd w:val="clear" w:color="auto" w:fill="auto"/>
            <w:noWrap/>
            <w:vAlign w:val="bottom"/>
            <w:hideMark/>
          </w:tcPr>
          <w:p w:rsidR="003A497B" w:rsidRPr="00FC3C78" w:rsidRDefault="003A497B" w:rsidP="003E1809">
            <w:pPr>
              <w:rPr>
                <w:rFonts w:ascii="Times New Roman" w:hAnsi="Times New Roman" w:cs="Times New Roman"/>
                <w:color w:val="000000"/>
                <w:sz w:val="14"/>
                <w:szCs w:val="14"/>
                <w:lang w:eastAsia="sk-SK"/>
              </w:rPr>
            </w:pPr>
            <w:r w:rsidRPr="00FC3C78">
              <w:rPr>
                <w:rFonts w:ascii="Times New Roman" w:hAnsi="Times New Roman" w:cs="Times New Roman"/>
                <w:color w:val="000000"/>
                <w:sz w:val="14"/>
                <w:szCs w:val="14"/>
                <w:lang w:eastAsia="sk-SK"/>
              </w:rPr>
              <w:t>Transfer zo ŠR z</w:t>
            </w:r>
            <w:r>
              <w:rPr>
                <w:rFonts w:ascii="Times New Roman" w:hAnsi="Times New Roman" w:cs="Times New Roman"/>
                <w:color w:val="000000"/>
                <w:sz w:val="14"/>
                <w:szCs w:val="14"/>
                <w:lang w:eastAsia="sk-SK"/>
              </w:rPr>
              <w:t> </w:t>
            </w:r>
            <w:r w:rsidRPr="00FC3C78">
              <w:rPr>
                <w:rFonts w:ascii="Times New Roman" w:hAnsi="Times New Roman" w:cs="Times New Roman"/>
                <w:color w:val="000000"/>
                <w:sz w:val="14"/>
                <w:szCs w:val="14"/>
                <w:lang w:eastAsia="sk-SK"/>
              </w:rPr>
              <w:t>MDV</w:t>
            </w:r>
            <w:r>
              <w:rPr>
                <w:rFonts w:ascii="Times New Roman" w:hAnsi="Times New Roman" w:cs="Times New Roman"/>
                <w:color w:val="000000"/>
                <w:sz w:val="14"/>
                <w:szCs w:val="14"/>
                <w:lang w:eastAsia="sk-SK"/>
              </w:rPr>
              <w:t xml:space="preserve"> SR</w:t>
            </w:r>
          </w:p>
        </w:tc>
        <w:tc>
          <w:tcPr>
            <w:tcW w:w="556" w:type="pct"/>
            <w:shd w:val="clear" w:color="000000" w:fill="FFFFFF"/>
            <w:noWrap/>
            <w:vAlign w:val="bottom"/>
            <w:hideMark/>
          </w:tcPr>
          <w:p w:rsidR="003A497B" w:rsidRPr="00FD4DC0" w:rsidRDefault="003A497B" w:rsidP="003E1809">
            <w:pPr>
              <w:jc w:val="right"/>
              <w:rPr>
                <w:rFonts w:ascii="Times New Roman" w:hAnsi="Times New Roman" w:cs="Times New Roman"/>
                <w:color w:val="000000"/>
                <w:sz w:val="14"/>
                <w:szCs w:val="14"/>
              </w:rPr>
            </w:pPr>
            <w:r w:rsidRPr="00FD4DC0">
              <w:rPr>
                <w:rFonts w:ascii="Times New Roman" w:hAnsi="Times New Roman" w:cs="Times New Roman"/>
                <w:color w:val="000000"/>
                <w:sz w:val="14"/>
                <w:szCs w:val="14"/>
              </w:rPr>
              <w:t>21 362 082</w:t>
            </w:r>
          </w:p>
        </w:tc>
        <w:tc>
          <w:tcPr>
            <w:tcW w:w="557" w:type="pct"/>
            <w:shd w:val="clear" w:color="auto" w:fill="auto"/>
            <w:noWrap/>
            <w:vAlign w:val="bottom"/>
          </w:tcPr>
          <w:p w:rsidR="003A497B" w:rsidRPr="00FD4DC0" w:rsidRDefault="003A497B" w:rsidP="003E1809">
            <w:pPr>
              <w:jc w:val="right"/>
              <w:rPr>
                <w:rFonts w:ascii="Times New Roman" w:hAnsi="Times New Roman" w:cs="Times New Roman"/>
                <w:color w:val="000000"/>
                <w:sz w:val="14"/>
                <w:szCs w:val="14"/>
              </w:rPr>
            </w:pPr>
            <w:r w:rsidRPr="00FD4DC0">
              <w:rPr>
                <w:rFonts w:ascii="Times New Roman" w:hAnsi="Times New Roman" w:cs="Times New Roman"/>
                <w:color w:val="000000"/>
                <w:sz w:val="14"/>
                <w:szCs w:val="14"/>
              </w:rPr>
              <w:t>25 000 000</w:t>
            </w:r>
          </w:p>
        </w:tc>
        <w:tc>
          <w:tcPr>
            <w:tcW w:w="557" w:type="pct"/>
            <w:shd w:val="clear" w:color="000000" w:fill="FFFFFF"/>
            <w:noWrap/>
            <w:vAlign w:val="bottom"/>
            <w:hideMark/>
          </w:tcPr>
          <w:p w:rsidR="003A497B" w:rsidRPr="00FD4DC0" w:rsidRDefault="003A497B" w:rsidP="003E1809">
            <w:pPr>
              <w:jc w:val="right"/>
              <w:rPr>
                <w:rFonts w:ascii="Times New Roman" w:hAnsi="Times New Roman" w:cs="Times New Roman"/>
                <w:color w:val="000000"/>
                <w:sz w:val="14"/>
                <w:szCs w:val="14"/>
              </w:rPr>
            </w:pPr>
            <w:r w:rsidRPr="00FD4DC0">
              <w:rPr>
                <w:rFonts w:ascii="Times New Roman" w:hAnsi="Times New Roman" w:cs="Times New Roman"/>
                <w:color w:val="000000"/>
                <w:sz w:val="14"/>
                <w:szCs w:val="14"/>
              </w:rPr>
              <w:t>25 000 000</w:t>
            </w:r>
          </w:p>
        </w:tc>
        <w:tc>
          <w:tcPr>
            <w:tcW w:w="557" w:type="pct"/>
            <w:shd w:val="clear" w:color="000000" w:fill="FFFFFF"/>
            <w:noWrap/>
            <w:vAlign w:val="bottom"/>
          </w:tcPr>
          <w:p w:rsidR="003A497B" w:rsidRPr="00FD4DC0" w:rsidRDefault="003A497B" w:rsidP="003E1809">
            <w:pPr>
              <w:jc w:val="right"/>
              <w:rPr>
                <w:rFonts w:ascii="Times New Roman" w:hAnsi="Times New Roman" w:cs="Times New Roman"/>
                <w:color w:val="000000"/>
                <w:sz w:val="14"/>
                <w:szCs w:val="14"/>
              </w:rPr>
            </w:pPr>
            <w:r w:rsidRPr="00FD4DC0">
              <w:rPr>
                <w:rFonts w:ascii="Times New Roman" w:hAnsi="Times New Roman" w:cs="Times New Roman"/>
                <w:color w:val="000000"/>
                <w:sz w:val="14"/>
                <w:szCs w:val="14"/>
              </w:rPr>
              <w:t>25 000 000</w:t>
            </w:r>
          </w:p>
        </w:tc>
        <w:tc>
          <w:tcPr>
            <w:tcW w:w="568" w:type="pct"/>
            <w:shd w:val="clear" w:color="000000" w:fill="FFFFFF"/>
            <w:noWrap/>
            <w:vAlign w:val="bottom"/>
          </w:tcPr>
          <w:p w:rsidR="003A497B" w:rsidRPr="00CA1386" w:rsidRDefault="003A497B" w:rsidP="003E1809">
            <w:pPr>
              <w:jc w:val="right"/>
              <w:rPr>
                <w:rFonts w:ascii="Times New Roman" w:hAnsi="Times New Roman" w:cs="Times New Roman"/>
                <w:color w:val="000000"/>
                <w:sz w:val="14"/>
                <w:szCs w:val="14"/>
              </w:rPr>
            </w:pPr>
            <w:r w:rsidRPr="00CA1386">
              <w:rPr>
                <w:rFonts w:ascii="Times New Roman" w:hAnsi="Times New Roman" w:cs="Times New Roman"/>
                <w:color w:val="000000"/>
                <w:sz w:val="14"/>
                <w:szCs w:val="14"/>
              </w:rPr>
              <w:t>25 000 000</w:t>
            </w:r>
          </w:p>
        </w:tc>
        <w:tc>
          <w:tcPr>
            <w:tcW w:w="568" w:type="pct"/>
            <w:shd w:val="clear" w:color="000000" w:fill="FFFFFF"/>
            <w:noWrap/>
            <w:vAlign w:val="bottom"/>
          </w:tcPr>
          <w:p w:rsidR="003A497B" w:rsidRPr="00CA1386" w:rsidRDefault="003A497B" w:rsidP="003E1809">
            <w:pPr>
              <w:jc w:val="right"/>
              <w:rPr>
                <w:rFonts w:ascii="Times New Roman" w:hAnsi="Times New Roman" w:cs="Times New Roman"/>
                <w:color w:val="000000"/>
                <w:sz w:val="14"/>
                <w:szCs w:val="14"/>
              </w:rPr>
            </w:pPr>
            <w:r w:rsidRPr="00CA1386">
              <w:rPr>
                <w:rFonts w:ascii="Times New Roman" w:hAnsi="Times New Roman" w:cs="Times New Roman"/>
                <w:color w:val="000000"/>
                <w:sz w:val="14"/>
                <w:szCs w:val="14"/>
              </w:rPr>
              <w:t>25 000 000</w:t>
            </w:r>
          </w:p>
        </w:tc>
        <w:tc>
          <w:tcPr>
            <w:tcW w:w="568" w:type="pct"/>
            <w:shd w:val="clear" w:color="000000" w:fill="FFFFFF"/>
            <w:noWrap/>
            <w:vAlign w:val="bottom"/>
          </w:tcPr>
          <w:p w:rsidR="003A497B" w:rsidRPr="00CA1386" w:rsidRDefault="003A497B" w:rsidP="003E1809">
            <w:pPr>
              <w:jc w:val="right"/>
              <w:rPr>
                <w:rFonts w:ascii="Times New Roman" w:hAnsi="Times New Roman" w:cs="Times New Roman"/>
                <w:color w:val="000000"/>
                <w:sz w:val="14"/>
                <w:szCs w:val="14"/>
              </w:rPr>
            </w:pPr>
            <w:r w:rsidRPr="00CA1386">
              <w:rPr>
                <w:rFonts w:ascii="Times New Roman" w:hAnsi="Times New Roman" w:cs="Times New Roman"/>
                <w:color w:val="000000"/>
                <w:sz w:val="14"/>
                <w:szCs w:val="14"/>
              </w:rPr>
              <w:t>25 000 000</w:t>
            </w:r>
          </w:p>
        </w:tc>
      </w:tr>
      <w:tr w:rsidR="003A497B" w:rsidRPr="00FC3C78" w:rsidTr="003E1809">
        <w:trPr>
          <w:trHeight w:hRule="exact" w:val="255"/>
        </w:trPr>
        <w:tc>
          <w:tcPr>
            <w:tcW w:w="1069" w:type="pct"/>
            <w:shd w:val="clear" w:color="auto" w:fill="auto"/>
            <w:noWrap/>
            <w:vAlign w:val="bottom"/>
            <w:hideMark/>
          </w:tcPr>
          <w:p w:rsidR="003A497B" w:rsidRPr="00FC3C78" w:rsidRDefault="003A497B" w:rsidP="003E1809">
            <w:pPr>
              <w:rPr>
                <w:rFonts w:ascii="Times New Roman" w:hAnsi="Times New Roman" w:cs="Times New Roman"/>
                <w:color w:val="000000"/>
                <w:sz w:val="14"/>
                <w:szCs w:val="14"/>
                <w:lang w:eastAsia="sk-SK"/>
              </w:rPr>
            </w:pPr>
            <w:r w:rsidRPr="00FC3C78">
              <w:rPr>
                <w:rFonts w:ascii="Times New Roman" w:hAnsi="Times New Roman" w:cs="Times New Roman"/>
                <w:color w:val="000000"/>
                <w:sz w:val="14"/>
                <w:szCs w:val="14"/>
                <w:lang w:eastAsia="sk-SK"/>
              </w:rPr>
              <w:t>Transfer z EÚ a</w:t>
            </w:r>
            <w:r>
              <w:rPr>
                <w:rFonts w:ascii="Times New Roman" w:hAnsi="Times New Roman" w:cs="Times New Roman"/>
                <w:color w:val="000000"/>
                <w:sz w:val="14"/>
                <w:szCs w:val="14"/>
                <w:lang w:eastAsia="sk-SK"/>
              </w:rPr>
              <w:t> </w:t>
            </w:r>
            <w:r w:rsidRPr="00FC3C78">
              <w:rPr>
                <w:rFonts w:ascii="Times New Roman" w:hAnsi="Times New Roman" w:cs="Times New Roman"/>
                <w:color w:val="000000"/>
                <w:sz w:val="14"/>
                <w:szCs w:val="14"/>
                <w:lang w:eastAsia="sk-SK"/>
              </w:rPr>
              <w:t>spoluf</w:t>
            </w:r>
            <w:r>
              <w:rPr>
                <w:rFonts w:ascii="Times New Roman" w:hAnsi="Times New Roman" w:cs="Times New Roman"/>
                <w:color w:val="000000"/>
                <w:sz w:val="14"/>
                <w:szCs w:val="14"/>
                <w:lang w:eastAsia="sk-SK"/>
              </w:rPr>
              <w:t>inancov.</w:t>
            </w:r>
          </w:p>
        </w:tc>
        <w:tc>
          <w:tcPr>
            <w:tcW w:w="556" w:type="pct"/>
            <w:shd w:val="clear" w:color="000000" w:fill="FFFFFF"/>
            <w:noWrap/>
            <w:vAlign w:val="bottom"/>
            <w:hideMark/>
          </w:tcPr>
          <w:p w:rsidR="003A497B" w:rsidRPr="00FD4DC0" w:rsidRDefault="003A497B" w:rsidP="003E1809">
            <w:pPr>
              <w:jc w:val="right"/>
              <w:rPr>
                <w:rFonts w:ascii="Times New Roman" w:hAnsi="Times New Roman" w:cs="Times New Roman"/>
                <w:color w:val="000000"/>
                <w:sz w:val="14"/>
                <w:szCs w:val="14"/>
              </w:rPr>
            </w:pPr>
            <w:r w:rsidRPr="00FD4DC0">
              <w:rPr>
                <w:rFonts w:ascii="Times New Roman" w:hAnsi="Times New Roman" w:cs="Times New Roman"/>
                <w:color w:val="000000"/>
                <w:sz w:val="14"/>
                <w:szCs w:val="14"/>
              </w:rPr>
              <w:t>0</w:t>
            </w:r>
          </w:p>
        </w:tc>
        <w:tc>
          <w:tcPr>
            <w:tcW w:w="557" w:type="pct"/>
            <w:shd w:val="clear" w:color="auto" w:fill="auto"/>
            <w:noWrap/>
            <w:vAlign w:val="bottom"/>
          </w:tcPr>
          <w:p w:rsidR="003A497B" w:rsidRPr="00FD4DC0" w:rsidRDefault="003A497B" w:rsidP="003E1809">
            <w:pPr>
              <w:jc w:val="right"/>
              <w:rPr>
                <w:rFonts w:ascii="Times New Roman" w:hAnsi="Times New Roman" w:cs="Times New Roman"/>
                <w:color w:val="000000"/>
                <w:sz w:val="14"/>
                <w:szCs w:val="14"/>
              </w:rPr>
            </w:pPr>
            <w:r w:rsidRPr="00FD4DC0">
              <w:rPr>
                <w:rFonts w:ascii="Times New Roman" w:hAnsi="Times New Roman" w:cs="Times New Roman"/>
                <w:color w:val="000000"/>
                <w:sz w:val="14"/>
                <w:szCs w:val="14"/>
              </w:rPr>
              <w:t>34 812 294</w:t>
            </w:r>
          </w:p>
        </w:tc>
        <w:tc>
          <w:tcPr>
            <w:tcW w:w="557" w:type="pct"/>
            <w:shd w:val="clear" w:color="000000" w:fill="FFFFFF"/>
            <w:noWrap/>
            <w:vAlign w:val="bottom"/>
            <w:hideMark/>
          </w:tcPr>
          <w:p w:rsidR="003A497B" w:rsidRPr="00FD4DC0" w:rsidRDefault="003A497B" w:rsidP="003E1809">
            <w:pPr>
              <w:jc w:val="right"/>
              <w:rPr>
                <w:rFonts w:ascii="Times New Roman" w:hAnsi="Times New Roman" w:cs="Times New Roman"/>
                <w:color w:val="000000"/>
                <w:sz w:val="14"/>
                <w:szCs w:val="14"/>
              </w:rPr>
            </w:pPr>
            <w:r w:rsidRPr="00FD4DC0">
              <w:rPr>
                <w:rFonts w:ascii="Times New Roman" w:hAnsi="Times New Roman" w:cs="Times New Roman"/>
                <w:color w:val="000000"/>
                <w:sz w:val="14"/>
                <w:szCs w:val="14"/>
              </w:rPr>
              <w:t>0</w:t>
            </w:r>
          </w:p>
        </w:tc>
        <w:tc>
          <w:tcPr>
            <w:tcW w:w="557" w:type="pct"/>
            <w:shd w:val="clear" w:color="000000" w:fill="FFFFFF"/>
            <w:noWrap/>
            <w:vAlign w:val="bottom"/>
          </w:tcPr>
          <w:p w:rsidR="003A497B" w:rsidRPr="00FD4DC0" w:rsidRDefault="003A497B" w:rsidP="003E1809">
            <w:pPr>
              <w:jc w:val="right"/>
              <w:rPr>
                <w:rFonts w:ascii="Times New Roman" w:hAnsi="Times New Roman" w:cs="Times New Roman"/>
                <w:color w:val="000000"/>
                <w:sz w:val="14"/>
                <w:szCs w:val="14"/>
              </w:rPr>
            </w:pPr>
            <w:r w:rsidRPr="00FD4DC0">
              <w:rPr>
                <w:rFonts w:ascii="Times New Roman" w:hAnsi="Times New Roman" w:cs="Times New Roman"/>
                <w:color w:val="000000"/>
                <w:sz w:val="14"/>
                <w:szCs w:val="14"/>
              </w:rPr>
              <w:t>0</w:t>
            </w:r>
          </w:p>
        </w:tc>
        <w:tc>
          <w:tcPr>
            <w:tcW w:w="568" w:type="pct"/>
            <w:shd w:val="clear" w:color="000000" w:fill="FFFFFF"/>
            <w:noWrap/>
            <w:vAlign w:val="bottom"/>
          </w:tcPr>
          <w:p w:rsidR="003A497B" w:rsidRPr="00CA1386" w:rsidRDefault="003A497B" w:rsidP="003E1809">
            <w:pPr>
              <w:jc w:val="right"/>
              <w:rPr>
                <w:rFonts w:ascii="Times New Roman" w:hAnsi="Times New Roman" w:cs="Times New Roman"/>
                <w:color w:val="000000"/>
                <w:sz w:val="14"/>
                <w:szCs w:val="14"/>
              </w:rPr>
            </w:pPr>
            <w:r w:rsidRPr="00CA1386">
              <w:rPr>
                <w:rFonts w:ascii="Times New Roman" w:hAnsi="Times New Roman" w:cs="Times New Roman"/>
                <w:color w:val="000000"/>
                <w:sz w:val="14"/>
                <w:szCs w:val="14"/>
              </w:rPr>
              <w:t>0</w:t>
            </w:r>
          </w:p>
        </w:tc>
        <w:tc>
          <w:tcPr>
            <w:tcW w:w="568" w:type="pct"/>
            <w:shd w:val="clear" w:color="000000" w:fill="FFFFFF"/>
            <w:noWrap/>
            <w:vAlign w:val="bottom"/>
          </w:tcPr>
          <w:p w:rsidR="003A497B" w:rsidRPr="00CA1386" w:rsidRDefault="003A497B" w:rsidP="003E1809">
            <w:pPr>
              <w:jc w:val="right"/>
              <w:rPr>
                <w:rFonts w:ascii="Times New Roman" w:hAnsi="Times New Roman" w:cs="Times New Roman"/>
                <w:color w:val="000000"/>
                <w:sz w:val="14"/>
                <w:szCs w:val="14"/>
              </w:rPr>
            </w:pPr>
            <w:r w:rsidRPr="00CA1386">
              <w:rPr>
                <w:rFonts w:ascii="Times New Roman" w:hAnsi="Times New Roman" w:cs="Times New Roman"/>
                <w:color w:val="000000"/>
                <w:sz w:val="14"/>
                <w:szCs w:val="14"/>
              </w:rPr>
              <w:t>0</w:t>
            </w:r>
          </w:p>
        </w:tc>
        <w:tc>
          <w:tcPr>
            <w:tcW w:w="568" w:type="pct"/>
            <w:shd w:val="clear" w:color="000000" w:fill="FFFFFF"/>
            <w:noWrap/>
            <w:vAlign w:val="bottom"/>
          </w:tcPr>
          <w:p w:rsidR="003A497B" w:rsidRPr="00CA1386" w:rsidRDefault="003A497B" w:rsidP="003E1809">
            <w:pPr>
              <w:jc w:val="right"/>
              <w:rPr>
                <w:rFonts w:ascii="Times New Roman" w:hAnsi="Times New Roman" w:cs="Times New Roman"/>
                <w:color w:val="000000"/>
                <w:sz w:val="14"/>
                <w:szCs w:val="14"/>
              </w:rPr>
            </w:pPr>
            <w:r w:rsidRPr="00CA1386">
              <w:rPr>
                <w:rFonts w:ascii="Times New Roman" w:hAnsi="Times New Roman" w:cs="Times New Roman"/>
                <w:color w:val="000000"/>
                <w:sz w:val="14"/>
                <w:szCs w:val="14"/>
              </w:rPr>
              <w:t>0</w:t>
            </w:r>
          </w:p>
        </w:tc>
      </w:tr>
      <w:tr w:rsidR="003A497B" w:rsidRPr="00FC3C78" w:rsidTr="003E1809">
        <w:trPr>
          <w:trHeight w:hRule="exact" w:val="255"/>
        </w:trPr>
        <w:tc>
          <w:tcPr>
            <w:tcW w:w="1069" w:type="pct"/>
            <w:shd w:val="clear" w:color="auto" w:fill="auto"/>
            <w:noWrap/>
            <w:vAlign w:val="bottom"/>
            <w:hideMark/>
          </w:tcPr>
          <w:p w:rsidR="003A497B" w:rsidRPr="00FC3C78" w:rsidRDefault="003A497B" w:rsidP="003E1809">
            <w:pPr>
              <w:rPr>
                <w:rFonts w:ascii="Times New Roman" w:hAnsi="Times New Roman" w:cs="Times New Roman"/>
                <w:color w:val="000000"/>
                <w:sz w:val="14"/>
                <w:szCs w:val="14"/>
                <w:lang w:eastAsia="sk-SK"/>
              </w:rPr>
            </w:pPr>
            <w:r w:rsidRPr="00FC3C78">
              <w:rPr>
                <w:rFonts w:ascii="Times New Roman" w:hAnsi="Times New Roman" w:cs="Times New Roman"/>
                <w:color w:val="000000"/>
                <w:sz w:val="14"/>
                <w:szCs w:val="14"/>
                <w:lang w:eastAsia="sk-SK"/>
              </w:rPr>
              <w:t>Vlastné príjmy</w:t>
            </w:r>
          </w:p>
        </w:tc>
        <w:tc>
          <w:tcPr>
            <w:tcW w:w="556" w:type="pct"/>
            <w:shd w:val="clear" w:color="000000" w:fill="FFFFFF"/>
            <w:noWrap/>
            <w:vAlign w:val="bottom"/>
            <w:hideMark/>
          </w:tcPr>
          <w:p w:rsidR="003A497B" w:rsidRPr="00FD4DC0" w:rsidRDefault="003A497B" w:rsidP="003E1809">
            <w:pPr>
              <w:jc w:val="right"/>
              <w:rPr>
                <w:rFonts w:ascii="Times New Roman" w:hAnsi="Times New Roman" w:cs="Times New Roman"/>
                <w:color w:val="000000"/>
                <w:sz w:val="14"/>
                <w:szCs w:val="14"/>
              </w:rPr>
            </w:pPr>
            <w:r w:rsidRPr="00FD4DC0">
              <w:rPr>
                <w:rFonts w:ascii="Times New Roman" w:hAnsi="Times New Roman" w:cs="Times New Roman"/>
                <w:color w:val="000000"/>
                <w:sz w:val="14"/>
                <w:szCs w:val="14"/>
              </w:rPr>
              <w:t>395 263 173</w:t>
            </w:r>
          </w:p>
        </w:tc>
        <w:tc>
          <w:tcPr>
            <w:tcW w:w="557" w:type="pct"/>
            <w:shd w:val="clear" w:color="auto" w:fill="auto"/>
            <w:noWrap/>
            <w:vAlign w:val="bottom"/>
          </w:tcPr>
          <w:p w:rsidR="003A497B" w:rsidRPr="00FD4DC0" w:rsidRDefault="003A497B" w:rsidP="003E1809">
            <w:pPr>
              <w:jc w:val="right"/>
              <w:rPr>
                <w:rFonts w:ascii="Times New Roman" w:hAnsi="Times New Roman" w:cs="Times New Roman"/>
                <w:color w:val="000000"/>
                <w:sz w:val="14"/>
                <w:szCs w:val="14"/>
              </w:rPr>
            </w:pPr>
            <w:r w:rsidRPr="00FD4DC0">
              <w:rPr>
                <w:rFonts w:ascii="Times New Roman" w:hAnsi="Times New Roman" w:cs="Times New Roman"/>
                <w:color w:val="000000"/>
                <w:sz w:val="14"/>
                <w:szCs w:val="14"/>
              </w:rPr>
              <w:t>334 589 443</w:t>
            </w:r>
          </w:p>
        </w:tc>
        <w:tc>
          <w:tcPr>
            <w:tcW w:w="557" w:type="pct"/>
            <w:shd w:val="clear" w:color="000000" w:fill="FFFFFF"/>
            <w:noWrap/>
            <w:vAlign w:val="bottom"/>
            <w:hideMark/>
          </w:tcPr>
          <w:p w:rsidR="003A497B" w:rsidRPr="00FD4DC0" w:rsidRDefault="003A497B" w:rsidP="003E1809">
            <w:pPr>
              <w:jc w:val="right"/>
              <w:rPr>
                <w:rFonts w:ascii="Times New Roman" w:hAnsi="Times New Roman" w:cs="Times New Roman"/>
                <w:color w:val="000000"/>
                <w:sz w:val="14"/>
                <w:szCs w:val="14"/>
              </w:rPr>
            </w:pPr>
            <w:r w:rsidRPr="00FD4DC0">
              <w:rPr>
                <w:rFonts w:ascii="Times New Roman" w:hAnsi="Times New Roman" w:cs="Times New Roman"/>
                <w:color w:val="000000"/>
                <w:sz w:val="14"/>
                <w:szCs w:val="14"/>
              </w:rPr>
              <w:t>285 336 988</w:t>
            </w:r>
          </w:p>
        </w:tc>
        <w:tc>
          <w:tcPr>
            <w:tcW w:w="557" w:type="pct"/>
            <w:shd w:val="clear" w:color="000000" w:fill="FFFFFF"/>
            <w:noWrap/>
            <w:vAlign w:val="bottom"/>
          </w:tcPr>
          <w:p w:rsidR="003A497B" w:rsidRPr="00FD4DC0" w:rsidRDefault="003A497B" w:rsidP="003E1809">
            <w:pPr>
              <w:jc w:val="right"/>
              <w:rPr>
                <w:rFonts w:ascii="Times New Roman" w:hAnsi="Times New Roman" w:cs="Times New Roman"/>
                <w:color w:val="000000"/>
                <w:sz w:val="14"/>
                <w:szCs w:val="14"/>
              </w:rPr>
            </w:pPr>
            <w:r w:rsidRPr="00FD4DC0">
              <w:rPr>
                <w:rFonts w:ascii="Times New Roman" w:hAnsi="Times New Roman" w:cs="Times New Roman"/>
                <w:color w:val="000000"/>
                <w:sz w:val="14"/>
                <w:szCs w:val="14"/>
              </w:rPr>
              <w:t>354 127 883</w:t>
            </w:r>
          </w:p>
        </w:tc>
        <w:tc>
          <w:tcPr>
            <w:tcW w:w="568" w:type="pct"/>
            <w:shd w:val="clear" w:color="000000" w:fill="FFFFFF"/>
            <w:noWrap/>
            <w:vAlign w:val="bottom"/>
          </w:tcPr>
          <w:p w:rsidR="003A497B" w:rsidRPr="00CA1386" w:rsidRDefault="003A497B" w:rsidP="003E1809">
            <w:pPr>
              <w:jc w:val="right"/>
              <w:rPr>
                <w:rFonts w:ascii="Times New Roman" w:hAnsi="Times New Roman" w:cs="Times New Roman"/>
                <w:color w:val="000000"/>
                <w:sz w:val="14"/>
                <w:szCs w:val="14"/>
                <w:lang w:eastAsia="sk-SK"/>
              </w:rPr>
            </w:pPr>
            <w:r w:rsidRPr="00CA1386">
              <w:rPr>
                <w:rFonts w:ascii="Times New Roman" w:hAnsi="Times New Roman" w:cs="Times New Roman"/>
                <w:color w:val="000000"/>
                <w:sz w:val="14"/>
                <w:szCs w:val="14"/>
              </w:rPr>
              <w:t>298 269 193</w:t>
            </w:r>
          </w:p>
        </w:tc>
        <w:tc>
          <w:tcPr>
            <w:tcW w:w="568" w:type="pct"/>
            <w:shd w:val="clear" w:color="000000" w:fill="FFFFFF"/>
            <w:noWrap/>
            <w:vAlign w:val="bottom"/>
          </w:tcPr>
          <w:p w:rsidR="003A497B" w:rsidRPr="00CA1386" w:rsidRDefault="003A497B" w:rsidP="003E1809">
            <w:pPr>
              <w:jc w:val="right"/>
              <w:rPr>
                <w:rFonts w:ascii="Times New Roman" w:hAnsi="Times New Roman" w:cs="Times New Roman"/>
                <w:color w:val="000000"/>
                <w:sz w:val="14"/>
                <w:szCs w:val="14"/>
              </w:rPr>
            </w:pPr>
            <w:r w:rsidRPr="00CA1386">
              <w:rPr>
                <w:rFonts w:ascii="Times New Roman" w:hAnsi="Times New Roman" w:cs="Times New Roman"/>
                <w:color w:val="000000"/>
                <w:sz w:val="14"/>
                <w:szCs w:val="14"/>
              </w:rPr>
              <w:t>253 139 65</w:t>
            </w:r>
            <w:r>
              <w:rPr>
                <w:rFonts w:ascii="Times New Roman" w:hAnsi="Times New Roman" w:cs="Times New Roman"/>
                <w:color w:val="000000"/>
                <w:sz w:val="14"/>
                <w:szCs w:val="14"/>
              </w:rPr>
              <w:t>6</w:t>
            </w:r>
          </w:p>
        </w:tc>
        <w:tc>
          <w:tcPr>
            <w:tcW w:w="568" w:type="pct"/>
            <w:shd w:val="clear" w:color="000000" w:fill="FFFFFF"/>
            <w:noWrap/>
            <w:vAlign w:val="bottom"/>
          </w:tcPr>
          <w:p w:rsidR="003A497B" w:rsidRPr="00CA1386" w:rsidRDefault="003A497B" w:rsidP="003E1809">
            <w:pPr>
              <w:jc w:val="right"/>
              <w:rPr>
                <w:rFonts w:ascii="Times New Roman" w:hAnsi="Times New Roman" w:cs="Times New Roman"/>
                <w:color w:val="000000"/>
                <w:sz w:val="14"/>
                <w:szCs w:val="14"/>
              </w:rPr>
            </w:pPr>
            <w:r w:rsidRPr="00CA1386">
              <w:rPr>
                <w:rFonts w:ascii="Times New Roman" w:hAnsi="Times New Roman" w:cs="Times New Roman"/>
                <w:color w:val="000000"/>
                <w:sz w:val="14"/>
                <w:szCs w:val="14"/>
              </w:rPr>
              <w:t>210 857 439</w:t>
            </w:r>
          </w:p>
        </w:tc>
      </w:tr>
    </w:tbl>
    <w:p w:rsidR="003A497B" w:rsidRDefault="003A497B" w:rsidP="003A497B">
      <w:pPr>
        <w:jc w:val="both"/>
        <w:rPr>
          <w:rFonts w:ascii="Times New Roman" w:hAnsi="Times New Roman" w:cs="Times New Roman"/>
          <w:highlight w:val="yellow"/>
        </w:rPr>
      </w:pPr>
      <w:r w:rsidRPr="00775C7E">
        <w:rPr>
          <w:rFonts w:ascii="Times New Roman" w:hAnsi="Times New Roman" w:cs="Times New Roman"/>
          <w:highlight w:val="yellow"/>
        </w:rPr>
        <w:t xml:space="preserve"> </w:t>
      </w:r>
    </w:p>
    <w:p w:rsidR="003A497B" w:rsidRDefault="003A497B" w:rsidP="003A497B">
      <w:pPr>
        <w:ind w:firstLine="708"/>
        <w:jc w:val="both"/>
        <w:rPr>
          <w:rFonts w:ascii="Times New Roman" w:hAnsi="Times New Roman" w:cs="Times New Roman"/>
        </w:rPr>
      </w:pPr>
      <w:r w:rsidRPr="000B2954">
        <w:rPr>
          <w:rFonts w:ascii="Times New Roman" w:hAnsi="Times New Roman" w:cs="Times New Roman"/>
        </w:rPr>
        <w:t>Významnú úlohu v podpore rozvoja bývania má Štátny fond rozvoja bývania, ktorého celkové zdroje v roku 201</w:t>
      </w:r>
      <w:r>
        <w:rPr>
          <w:rFonts w:ascii="Times New Roman" w:hAnsi="Times New Roman" w:cs="Times New Roman"/>
        </w:rPr>
        <w:t>9</w:t>
      </w:r>
      <w:r w:rsidRPr="000B2954">
        <w:rPr>
          <w:rFonts w:ascii="Times New Roman" w:hAnsi="Times New Roman" w:cs="Times New Roman"/>
        </w:rPr>
        <w:t xml:space="preserve"> predstavujú čiastku </w:t>
      </w:r>
      <w:r>
        <w:rPr>
          <w:rFonts w:ascii="Times New Roman" w:hAnsi="Times New Roman" w:cs="Times New Roman"/>
        </w:rPr>
        <w:t>323</w:t>
      </w:r>
      <w:r w:rsidRPr="000B2954">
        <w:rPr>
          <w:rFonts w:ascii="Times New Roman" w:hAnsi="Times New Roman" w:cs="Times New Roman"/>
        </w:rPr>
        <w:t xml:space="preserve"> mil. eur, čo je z</w:t>
      </w:r>
      <w:r>
        <w:rPr>
          <w:rFonts w:ascii="Times New Roman" w:hAnsi="Times New Roman" w:cs="Times New Roman"/>
        </w:rPr>
        <w:t>výš</w:t>
      </w:r>
      <w:r w:rsidRPr="000B2954">
        <w:rPr>
          <w:rFonts w:ascii="Times New Roman" w:hAnsi="Times New Roman" w:cs="Times New Roman"/>
        </w:rPr>
        <w:t>enie o</w:t>
      </w:r>
      <w:r>
        <w:rPr>
          <w:rFonts w:ascii="Times New Roman" w:hAnsi="Times New Roman" w:cs="Times New Roman"/>
        </w:rPr>
        <w:t> 12,9</w:t>
      </w:r>
      <w:r w:rsidRPr="000B2954">
        <w:rPr>
          <w:rFonts w:ascii="Times New Roman" w:hAnsi="Times New Roman" w:cs="Times New Roman"/>
        </w:rPr>
        <w:t xml:space="preserve"> mil. eur, </w:t>
      </w:r>
      <w:r w:rsidRPr="000B2954">
        <w:rPr>
          <w:rFonts w:ascii="Times New Roman" w:hAnsi="Times New Roman" w:cs="Times New Roman"/>
        </w:rPr>
        <w:br/>
        <w:t>t. j. o</w:t>
      </w:r>
      <w:r>
        <w:rPr>
          <w:rFonts w:ascii="Times New Roman" w:hAnsi="Times New Roman" w:cs="Times New Roman"/>
        </w:rPr>
        <w:t> 4,17</w:t>
      </w:r>
      <w:r w:rsidRPr="000B2954">
        <w:rPr>
          <w:rFonts w:ascii="Times New Roman" w:hAnsi="Times New Roman" w:cs="Times New Roman"/>
        </w:rPr>
        <w:t xml:space="preserve"> % v porovnaní so schváleným rozpočtom roku 201</w:t>
      </w:r>
      <w:r>
        <w:rPr>
          <w:rFonts w:ascii="Times New Roman" w:hAnsi="Times New Roman" w:cs="Times New Roman"/>
        </w:rPr>
        <w:t xml:space="preserve">8, </w:t>
      </w:r>
      <w:r w:rsidRPr="003935C8">
        <w:rPr>
          <w:rFonts w:ascii="Times New Roman" w:hAnsi="Times New Roman" w:cs="Times New Roman"/>
        </w:rPr>
        <w:t xml:space="preserve">z dôvodu </w:t>
      </w:r>
      <w:r>
        <w:rPr>
          <w:rFonts w:ascii="Times New Roman" w:hAnsi="Times New Roman" w:cs="Times New Roman"/>
        </w:rPr>
        <w:t>najmä vyš</w:t>
      </w:r>
      <w:r w:rsidRPr="003935C8">
        <w:rPr>
          <w:rFonts w:ascii="Times New Roman" w:hAnsi="Times New Roman" w:cs="Times New Roman"/>
        </w:rPr>
        <w:t>šieho zostatku prostriedkov z predchádzajúceho roka.</w:t>
      </w:r>
      <w:r>
        <w:t xml:space="preserve"> </w:t>
      </w:r>
      <w:r w:rsidRPr="000B2954">
        <w:rPr>
          <w:rFonts w:ascii="Times New Roman" w:hAnsi="Times New Roman" w:cs="Times New Roman"/>
        </w:rPr>
        <w:t xml:space="preserve">Transfer zo štátneho rozpočtu  sa rozpočtuje v sume 25,0 mil. eur </w:t>
      </w:r>
      <w:r>
        <w:rPr>
          <w:rFonts w:ascii="Times New Roman" w:hAnsi="Times New Roman" w:cs="Times New Roman"/>
        </w:rPr>
        <w:t>a je na úrovni schváleného rozpočtu roku 2018. V</w:t>
      </w:r>
      <w:r w:rsidRPr="000B2954">
        <w:rPr>
          <w:rFonts w:ascii="Times New Roman" w:hAnsi="Times New Roman" w:cs="Times New Roman"/>
        </w:rPr>
        <w:t xml:space="preserve">lastné príjmy fondu najmä príjmy zo splácania poskytnutých úverov, z úrokov a zostatku prostriedkov z predchádzajúcich rokov predstavujú </w:t>
      </w:r>
      <w:r>
        <w:rPr>
          <w:rFonts w:ascii="Times New Roman" w:hAnsi="Times New Roman" w:cs="Times New Roman"/>
        </w:rPr>
        <w:t>298</w:t>
      </w:r>
      <w:r w:rsidRPr="000B2954">
        <w:rPr>
          <w:rFonts w:ascii="Times New Roman" w:hAnsi="Times New Roman" w:cs="Times New Roman"/>
        </w:rPr>
        <w:t xml:space="preserve"> mil. eur.</w:t>
      </w:r>
    </w:p>
    <w:p w:rsidR="003A497B" w:rsidRPr="000B2954" w:rsidRDefault="003A497B" w:rsidP="003A497B">
      <w:pPr>
        <w:jc w:val="both"/>
        <w:rPr>
          <w:rFonts w:ascii="Times New Roman" w:hAnsi="Times New Roman" w:cs="Times New Roman"/>
        </w:rPr>
      </w:pPr>
    </w:p>
    <w:p w:rsidR="003A497B" w:rsidRPr="009C5059" w:rsidRDefault="003A497B" w:rsidP="003A497B">
      <w:pPr>
        <w:jc w:val="both"/>
        <w:rPr>
          <w:rFonts w:ascii="Times New Roman" w:hAnsi="Times New Roman" w:cs="Times New Roman"/>
          <w:b/>
        </w:rPr>
      </w:pPr>
      <w:r w:rsidRPr="009C5059">
        <w:rPr>
          <w:rFonts w:ascii="Times New Roman" w:hAnsi="Times New Roman" w:cs="Times New Roman"/>
          <w:b/>
        </w:rPr>
        <w:t>Podpora cestovného ruchu</w:t>
      </w:r>
    </w:p>
    <w:p w:rsidR="003A497B" w:rsidRPr="009C5059" w:rsidRDefault="003A497B" w:rsidP="003A497B">
      <w:pPr>
        <w:jc w:val="both"/>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6"/>
        <w:gridCol w:w="979"/>
        <w:gridCol w:w="978"/>
        <w:gridCol w:w="972"/>
        <w:gridCol w:w="972"/>
        <w:gridCol w:w="972"/>
        <w:gridCol w:w="973"/>
        <w:gridCol w:w="910"/>
      </w:tblGrid>
      <w:tr w:rsidR="003A497B" w:rsidRPr="002248A7" w:rsidTr="003E1809">
        <w:trPr>
          <w:trHeight w:hRule="exact" w:val="255"/>
        </w:trPr>
        <w:tc>
          <w:tcPr>
            <w:tcW w:w="1274" w:type="pct"/>
            <w:shd w:val="pct35" w:color="auto" w:fill="FFFFFF"/>
            <w:noWrap/>
            <w:vAlign w:val="center"/>
            <w:hideMark/>
          </w:tcPr>
          <w:p w:rsidR="003A497B" w:rsidRPr="002248A7" w:rsidRDefault="003A497B" w:rsidP="003E1809">
            <w:pPr>
              <w:jc w:val="both"/>
              <w:rPr>
                <w:rFonts w:ascii="Times New Roman" w:hAnsi="Times New Roman" w:cs="Times New Roman"/>
                <w:b/>
                <w:bCs/>
                <w:color w:val="000000"/>
                <w:sz w:val="14"/>
                <w:szCs w:val="14"/>
              </w:rPr>
            </w:pPr>
            <w:r w:rsidRPr="002248A7">
              <w:rPr>
                <w:rFonts w:ascii="Times New Roman" w:hAnsi="Times New Roman" w:cs="Times New Roman"/>
                <w:b/>
                <w:bCs/>
                <w:color w:val="000000"/>
                <w:sz w:val="14"/>
                <w:szCs w:val="14"/>
              </w:rPr>
              <w:t>v eurách</w:t>
            </w:r>
          </w:p>
        </w:tc>
        <w:tc>
          <w:tcPr>
            <w:tcW w:w="542" w:type="pct"/>
            <w:shd w:val="pct35" w:color="auto"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2016 S</w:t>
            </w:r>
          </w:p>
        </w:tc>
        <w:tc>
          <w:tcPr>
            <w:tcW w:w="541" w:type="pct"/>
            <w:shd w:val="pct35" w:color="auto"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2017 </w:t>
            </w:r>
            <w:r>
              <w:rPr>
                <w:rFonts w:ascii="Times New Roman" w:hAnsi="Times New Roman" w:cs="Times New Roman"/>
                <w:b/>
                <w:bCs/>
                <w:color w:val="000000"/>
                <w:sz w:val="14"/>
                <w:szCs w:val="14"/>
                <w:lang w:eastAsia="sk-SK"/>
              </w:rPr>
              <w:t>S</w:t>
            </w:r>
          </w:p>
        </w:tc>
        <w:tc>
          <w:tcPr>
            <w:tcW w:w="538" w:type="pct"/>
            <w:shd w:val="pct35" w:color="auto"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346A12">
              <w:rPr>
                <w:rFonts w:ascii="Times New Roman" w:hAnsi="Times New Roman" w:cs="Times New Roman"/>
                <w:b/>
                <w:bCs/>
                <w:color w:val="000000"/>
                <w:sz w:val="14"/>
                <w:szCs w:val="14"/>
                <w:lang w:eastAsia="sk-SK"/>
              </w:rPr>
              <w:t xml:space="preserve"> </w:t>
            </w:r>
            <w:r>
              <w:rPr>
                <w:rFonts w:ascii="Times New Roman" w:hAnsi="Times New Roman" w:cs="Times New Roman"/>
                <w:b/>
                <w:bCs/>
                <w:color w:val="000000"/>
                <w:sz w:val="14"/>
                <w:szCs w:val="14"/>
                <w:lang w:eastAsia="sk-SK"/>
              </w:rPr>
              <w:t>R</w:t>
            </w:r>
          </w:p>
        </w:tc>
        <w:tc>
          <w:tcPr>
            <w:tcW w:w="538" w:type="pct"/>
            <w:shd w:val="pct35" w:color="auto"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2018 </w:t>
            </w:r>
            <w:r>
              <w:rPr>
                <w:rFonts w:ascii="Times New Roman" w:hAnsi="Times New Roman" w:cs="Times New Roman"/>
                <w:b/>
                <w:bCs/>
                <w:color w:val="000000"/>
                <w:sz w:val="14"/>
                <w:szCs w:val="14"/>
                <w:lang w:eastAsia="sk-SK"/>
              </w:rPr>
              <w:t>OS</w:t>
            </w:r>
          </w:p>
        </w:tc>
        <w:tc>
          <w:tcPr>
            <w:tcW w:w="538" w:type="pct"/>
            <w:shd w:val="pct35" w:color="auto"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2019 N</w:t>
            </w:r>
          </w:p>
        </w:tc>
        <w:tc>
          <w:tcPr>
            <w:tcW w:w="538" w:type="pct"/>
            <w:shd w:val="pct35" w:color="auto"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2020 N</w:t>
            </w:r>
          </w:p>
        </w:tc>
        <w:tc>
          <w:tcPr>
            <w:tcW w:w="491" w:type="pct"/>
            <w:shd w:val="pct35" w:color="auto" w:fill="FFFFFF"/>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w:t>
            </w:r>
            <w:r>
              <w:rPr>
                <w:rFonts w:ascii="Times New Roman" w:hAnsi="Times New Roman" w:cs="Times New Roman"/>
                <w:b/>
                <w:bCs/>
                <w:color w:val="000000"/>
                <w:sz w:val="14"/>
                <w:szCs w:val="14"/>
                <w:lang w:eastAsia="sk-SK"/>
              </w:rPr>
              <w:t>1</w:t>
            </w:r>
            <w:r w:rsidRPr="00346A12">
              <w:rPr>
                <w:rFonts w:ascii="Times New Roman" w:hAnsi="Times New Roman" w:cs="Times New Roman"/>
                <w:b/>
                <w:bCs/>
                <w:color w:val="000000"/>
                <w:sz w:val="14"/>
                <w:szCs w:val="14"/>
                <w:lang w:eastAsia="sk-SK"/>
              </w:rPr>
              <w:t xml:space="preserve"> N</w:t>
            </w:r>
          </w:p>
        </w:tc>
      </w:tr>
      <w:tr w:rsidR="003A497B" w:rsidRPr="002248A7" w:rsidTr="003E1809">
        <w:trPr>
          <w:trHeight w:hRule="exact" w:val="255"/>
        </w:trPr>
        <w:tc>
          <w:tcPr>
            <w:tcW w:w="1274" w:type="pct"/>
            <w:shd w:val="pct25" w:color="auto" w:fill="FFFFFF"/>
            <w:noWrap/>
            <w:vAlign w:val="bottom"/>
            <w:hideMark/>
          </w:tcPr>
          <w:p w:rsidR="003A497B" w:rsidRPr="002248A7" w:rsidRDefault="003A497B" w:rsidP="003E1809">
            <w:pPr>
              <w:rPr>
                <w:rFonts w:ascii="Times New Roman" w:hAnsi="Times New Roman" w:cs="Times New Roman"/>
                <w:b/>
                <w:color w:val="000000"/>
                <w:sz w:val="14"/>
                <w:szCs w:val="14"/>
              </w:rPr>
            </w:pPr>
            <w:r w:rsidRPr="002248A7">
              <w:rPr>
                <w:rFonts w:ascii="Times New Roman" w:hAnsi="Times New Roman" w:cs="Times New Roman"/>
                <w:b/>
                <w:color w:val="000000"/>
                <w:sz w:val="14"/>
                <w:szCs w:val="14"/>
              </w:rPr>
              <w:t>Spolu zdroje</w:t>
            </w:r>
          </w:p>
        </w:tc>
        <w:tc>
          <w:tcPr>
            <w:tcW w:w="542" w:type="pct"/>
            <w:shd w:val="pct25" w:color="auto" w:fill="FFFFFF"/>
            <w:noWrap/>
            <w:vAlign w:val="bottom"/>
            <w:hideMark/>
          </w:tcPr>
          <w:p w:rsidR="003A497B" w:rsidRPr="00386739" w:rsidRDefault="003A497B" w:rsidP="003E1809">
            <w:pPr>
              <w:jc w:val="right"/>
              <w:rPr>
                <w:rFonts w:ascii="Times New Roman" w:hAnsi="Times New Roman" w:cs="Times New Roman"/>
                <w:b/>
                <w:bCs/>
                <w:color w:val="000000"/>
                <w:sz w:val="14"/>
                <w:szCs w:val="14"/>
                <w:lang w:eastAsia="sk-SK"/>
              </w:rPr>
            </w:pPr>
            <w:r w:rsidRPr="00386739">
              <w:rPr>
                <w:rFonts w:ascii="Times New Roman" w:hAnsi="Times New Roman" w:cs="Times New Roman"/>
                <w:b/>
                <w:bCs/>
                <w:color w:val="000000"/>
                <w:sz w:val="14"/>
                <w:szCs w:val="14"/>
              </w:rPr>
              <w:t>8 758 016</w:t>
            </w:r>
          </w:p>
        </w:tc>
        <w:tc>
          <w:tcPr>
            <w:tcW w:w="541" w:type="pct"/>
            <w:shd w:val="pct25" w:color="auto" w:fill="FFFFFF"/>
            <w:noWrap/>
            <w:vAlign w:val="bottom"/>
          </w:tcPr>
          <w:p w:rsidR="003A497B" w:rsidRPr="00386739" w:rsidRDefault="003A497B" w:rsidP="003E1809">
            <w:pPr>
              <w:jc w:val="right"/>
              <w:rPr>
                <w:rFonts w:ascii="Times New Roman" w:hAnsi="Times New Roman" w:cs="Times New Roman"/>
                <w:b/>
                <w:bCs/>
                <w:color w:val="000000"/>
                <w:sz w:val="14"/>
                <w:szCs w:val="14"/>
              </w:rPr>
            </w:pPr>
            <w:r w:rsidRPr="00386739">
              <w:rPr>
                <w:rFonts w:ascii="Times New Roman" w:hAnsi="Times New Roman" w:cs="Times New Roman"/>
                <w:b/>
                <w:bCs/>
                <w:color w:val="000000"/>
                <w:sz w:val="14"/>
                <w:szCs w:val="14"/>
              </w:rPr>
              <w:t>8 093 486</w:t>
            </w:r>
          </w:p>
        </w:tc>
        <w:tc>
          <w:tcPr>
            <w:tcW w:w="538" w:type="pct"/>
            <w:shd w:val="pct25" w:color="auto" w:fill="FFFFFF"/>
            <w:noWrap/>
            <w:vAlign w:val="bottom"/>
            <w:hideMark/>
          </w:tcPr>
          <w:p w:rsidR="003A497B" w:rsidRPr="00386739" w:rsidRDefault="003A497B" w:rsidP="003E1809">
            <w:pPr>
              <w:jc w:val="right"/>
              <w:rPr>
                <w:rFonts w:ascii="Times New Roman" w:hAnsi="Times New Roman" w:cs="Times New Roman"/>
                <w:b/>
                <w:bCs/>
                <w:color w:val="000000"/>
                <w:sz w:val="14"/>
                <w:szCs w:val="14"/>
              </w:rPr>
            </w:pPr>
            <w:r w:rsidRPr="00386739">
              <w:rPr>
                <w:rFonts w:ascii="Times New Roman" w:hAnsi="Times New Roman" w:cs="Times New Roman"/>
                <w:b/>
                <w:bCs/>
                <w:color w:val="000000"/>
                <w:sz w:val="14"/>
                <w:szCs w:val="14"/>
              </w:rPr>
              <w:t>7 653 792</w:t>
            </w:r>
          </w:p>
        </w:tc>
        <w:tc>
          <w:tcPr>
            <w:tcW w:w="538" w:type="pct"/>
            <w:shd w:val="pct25" w:color="auto" w:fill="FFFFFF"/>
            <w:noWrap/>
            <w:vAlign w:val="bottom"/>
          </w:tcPr>
          <w:p w:rsidR="003A497B" w:rsidRPr="00386739" w:rsidRDefault="003A497B" w:rsidP="003E1809">
            <w:pPr>
              <w:jc w:val="right"/>
              <w:rPr>
                <w:rFonts w:ascii="Times New Roman" w:hAnsi="Times New Roman" w:cs="Times New Roman"/>
                <w:b/>
                <w:bCs/>
                <w:color w:val="000000"/>
                <w:sz w:val="14"/>
                <w:szCs w:val="14"/>
              </w:rPr>
            </w:pPr>
            <w:r w:rsidRPr="00386739">
              <w:rPr>
                <w:rFonts w:ascii="Times New Roman" w:hAnsi="Times New Roman" w:cs="Times New Roman"/>
                <w:b/>
                <w:bCs/>
                <w:color w:val="000000"/>
                <w:sz w:val="14"/>
                <w:szCs w:val="14"/>
              </w:rPr>
              <w:t>7 891 792</w:t>
            </w:r>
          </w:p>
        </w:tc>
        <w:tc>
          <w:tcPr>
            <w:tcW w:w="538" w:type="pct"/>
            <w:shd w:val="pct25" w:color="auto" w:fill="FFFFFF"/>
            <w:noWrap/>
            <w:vAlign w:val="bottom"/>
          </w:tcPr>
          <w:p w:rsidR="003A497B" w:rsidRPr="00243F2C" w:rsidRDefault="003A497B" w:rsidP="003E1809">
            <w:pPr>
              <w:jc w:val="right"/>
              <w:rPr>
                <w:rFonts w:ascii="Times New Roman" w:hAnsi="Times New Roman" w:cs="Times New Roman"/>
                <w:b/>
                <w:bCs/>
                <w:color w:val="000000"/>
                <w:sz w:val="14"/>
                <w:szCs w:val="14"/>
                <w:lang w:eastAsia="sk-SK"/>
              </w:rPr>
            </w:pPr>
            <w:r w:rsidRPr="00243F2C">
              <w:rPr>
                <w:rFonts w:ascii="Times New Roman" w:hAnsi="Times New Roman" w:cs="Times New Roman"/>
                <w:b/>
                <w:bCs/>
                <w:color w:val="000000"/>
                <w:sz w:val="14"/>
                <w:szCs w:val="14"/>
              </w:rPr>
              <w:t>8 553 792</w:t>
            </w:r>
          </w:p>
        </w:tc>
        <w:tc>
          <w:tcPr>
            <w:tcW w:w="538" w:type="pct"/>
            <w:shd w:val="pct25" w:color="auto" w:fill="FFFFFF"/>
            <w:noWrap/>
            <w:vAlign w:val="bottom"/>
          </w:tcPr>
          <w:p w:rsidR="003A497B" w:rsidRPr="00243F2C" w:rsidRDefault="003A497B" w:rsidP="003E1809">
            <w:pPr>
              <w:jc w:val="right"/>
              <w:rPr>
                <w:rFonts w:ascii="Times New Roman" w:hAnsi="Times New Roman" w:cs="Times New Roman"/>
                <w:b/>
                <w:bCs/>
                <w:color w:val="000000"/>
                <w:sz w:val="14"/>
                <w:szCs w:val="14"/>
              </w:rPr>
            </w:pPr>
            <w:r w:rsidRPr="00243F2C">
              <w:rPr>
                <w:rFonts w:ascii="Times New Roman" w:hAnsi="Times New Roman" w:cs="Times New Roman"/>
                <w:b/>
                <w:bCs/>
                <w:color w:val="000000"/>
                <w:sz w:val="14"/>
                <w:szCs w:val="14"/>
              </w:rPr>
              <w:t>9 213 792</w:t>
            </w:r>
          </w:p>
        </w:tc>
        <w:tc>
          <w:tcPr>
            <w:tcW w:w="491" w:type="pct"/>
            <w:shd w:val="pct25" w:color="auto" w:fill="FFFFFF"/>
            <w:noWrap/>
            <w:vAlign w:val="bottom"/>
          </w:tcPr>
          <w:p w:rsidR="003A497B" w:rsidRPr="00243F2C" w:rsidRDefault="003A497B" w:rsidP="003E1809">
            <w:pPr>
              <w:jc w:val="right"/>
              <w:rPr>
                <w:rFonts w:ascii="Times New Roman" w:hAnsi="Times New Roman" w:cs="Times New Roman"/>
                <w:b/>
                <w:bCs/>
                <w:color w:val="000000"/>
                <w:sz w:val="14"/>
                <w:szCs w:val="14"/>
              </w:rPr>
            </w:pPr>
            <w:r w:rsidRPr="00243F2C">
              <w:rPr>
                <w:rFonts w:ascii="Times New Roman" w:hAnsi="Times New Roman" w:cs="Times New Roman"/>
                <w:b/>
                <w:bCs/>
                <w:color w:val="000000"/>
                <w:sz w:val="14"/>
                <w:szCs w:val="14"/>
              </w:rPr>
              <w:t>9 939 792</w:t>
            </w:r>
          </w:p>
        </w:tc>
      </w:tr>
      <w:tr w:rsidR="003A497B" w:rsidRPr="002248A7" w:rsidTr="003E1809">
        <w:trPr>
          <w:trHeight w:hRule="exact" w:val="255"/>
        </w:trPr>
        <w:tc>
          <w:tcPr>
            <w:tcW w:w="1274" w:type="pct"/>
            <w:noWrap/>
            <w:vAlign w:val="bottom"/>
            <w:hideMark/>
          </w:tcPr>
          <w:p w:rsidR="003A497B" w:rsidRPr="002248A7" w:rsidRDefault="003A497B" w:rsidP="003E1809">
            <w:pPr>
              <w:rPr>
                <w:rFonts w:ascii="Times New Roman" w:hAnsi="Times New Roman" w:cs="Times New Roman"/>
                <w:color w:val="000000"/>
                <w:sz w:val="14"/>
                <w:szCs w:val="14"/>
              </w:rPr>
            </w:pPr>
            <w:r>
              <w:rPr>
                <w:rFonts w:ascii="Times New Roman" w:hAnsi="Times New Roman" w:cs="Times New Roman"/>
                <w:color w:val="000000"/>
                <w:sz w:val="14"/>
                <w:szCs w:val="14"/>
              </w:rPr>
              <w:t>Propagácia cestovného ruchu</w:t>
            </w:r>
            <w:r w:rsidRPr="002248A7">
              <w:rPr>
                <w:rFonts w:ascii="Times New Roman" w:hAnsi="Times New Roman" w:cs="Times New Roman"/>
                <w:color w:val="000000"/>
                <w:sz w:val="14"/>
                <w:szCs w:val="14"/>
              </w:rPr>
              <w:t xml:space="preserve"> </w:t>
            </w:r>
          </w:p>
        </w:tc>
        <w:tc>
          <w:tcPr>
            <w:tcW w:w="542" w:type="pct"/>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4 405 757</w:t>
            </w:r>
          </w:p>
        </w:tc>
        <w:tc>
          <w:tcPr>
            <w:tcW w:w="541" w:type="pct"/>
            <w:noWrap/>
            <w:vAlign w:val="bottom"/>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3 038 073</w:t>
            </w:r>
          </w:p>
        </w:tc>
        <w:tc>
          <w:tcPr>
            <w:tcW w:w="538" w:type="pct"/>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1 953 792</w:t>
            </w:r>
          </w:p>
        </w:tc>
        <w:tc>
          <w:tcPr>
            <w:tcW w:w="538" w:type="pct"/>
            <w:noWrap/>
            <w:vAlign w:val="bottom"/>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2 191 792</w:t>
            </w:r>
          </w:p>
        </w:tc>
        <w:tc>
          <w:tcPr>
            <w:tcW w:w="538" w:type="pct"/>
            <w:noWrap/>
            <w:vAlign w:val="bottom"/>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1 953 792</w:t>
            </w:r>
          </w:p>
        </w:tc>
        <w:tc>
          <w:tcPr>
            <w:tcW w:w="538" w:type="pct"/>
            <w:noWrap/>
            <w:vAlign w:val="bottom"/>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1 953 792</w:t>
            </w:r>
          </w:p>
        </w:tc>
        <w:tc>
          <w:tcPr>
            <w:tcW w:w="491" w:type="pct"/>
            <w:noWrap/>
            <w:vAlign w:val="bottom"/>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1 953 792</w:t>
            </w:r>
          </w:p>
        </w:tc>
      </w:tr>
      <w:tr w:rsidR="003A497B" w:rsidRPr="002248A7" w:rsidTr="003E1809">
        <w:trPr>
          <w:trHeight w:hRule="exact" w:val="255"/>
        </w:trPr>
        <w:tc>
          <w:tcPr>
            <w:tcW w:w="1274" w:type="pct"/>
            <w:noWrap/>
            <w:vAlign w:val="bottom"/>
            <w:hideMark/>
          </w:tcPr>
          <w:p w:rsidR="003A497B" w:rsidRPr="002248A7" w:rsidRDefault="003A497B" w:rsidP="003E1809">
            <w:pPr>
              <w:rPr>
                <w:rFonts w:ascii="Times New Roman" w:hAnsi="Times New Roman" w:cs="Times New Roman"/>
                <w:color w:val="000000"/>
                <w:sz w:val="14"/>
                <w:szCs w:val="14"/>
              </w:rPr>
            </w:pPr>
            <w:r w:rsidRPr="002248A7">
              <w:rPr>
                <w:rFonts w:ascii="Times New Roman" w:hAnsi="Times New Roman" w:cs="Times New Roman"/>
                <w:color w:val="000000"/>
                <w:sz w:val="14"/>
                <w:szCs w:val="14"/>
              </w:rPr>
              <w:t xml:space="preserve">Dotácie na podporu cestovného ruchu   </w:t>
            </w:r>
          </w:p>
        </w:tc>
        <w:tc>
          <w:tcPr>
            <w:tcW w:w="542" w:type="pct"/>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4 352 259</w:t>
            </w:r>
          </w:p>
        </w:tc>
        <w:tc>
          <w:tcPr>
            <w:tcW w:w="541" w:type="pct"/>
            <w:noWrap/>
            <w:vAlign w:val="bottom"/>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5 055 413</w:t>
            </w:r>
          </w:p>
        </w:tc>
        <w:tc>
          <w:tcPr>
            <w:tcW w:w="538" w:type="pct"/>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5 700 000</w:t>
            </w:r>
          </w:p>
        </w:tc>
        <w:tc>
          <w:tcPr>
            <w:tcW w:w="538" w:type="pct"/>
            <w:shd w:val="clear" w:color="auto" w:fill="FFFFFF"/>
            <w:noWrap/>
            <w:vAlign w:val="bottom"/>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5 700 000</w:t>
            </w:r>
          </w:p>
        </w:tc>
        <w:tc>
          <w:tcPr>
            <w:tcW w:w="538" w:type="pct"/>
            <w:shd w:val="clear" w:color="auto" w:fill="FFFFFF"/>
            <w:noWrap/>
            <w:vAlign w:val="bottom"/>
          </w:tcPr>
          <w:p w:rsidR="003A497B" w:rsidRPr="00386739"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6</w:t>
            </w:r>
            <w:r w:rsidRPr="00386739">
              <w:rPr>
                <w:rFonts w:ascii="Times New Roman" w:hAnsi="Times New Roman" w:cs="Times New Roman"/>
                <w:color w:val="000000"/>
                <w:sz w:val="14"/>
                <w:szCs w:val="14"/>
              </w:rPr>
              <w:t xml:space="preserve"> </w:t>
            </w:r>
            <w:r>
              <w:rPr>
                <w:rFonts w:ascii="Times New Roman" w:hAnsi="Times New Roman" w:cs="Times New Roman"/>
                <w:color w:val="000000"/>
                <w:sz w:val="14"/>
                <w:szCs w:val="14"/>
              </w:rPr>
              <w:t>6</w:t>
            </w:r>
            <w:r w:rsidRPr="00386739">
              <w:rPr>
                <w:rFonts w:ascii="Times New Roman" w:hAnsi="Times New Roman" w:cs="Times New Roman"/>
                <w:color w:val="000000"/>
                <w:sz w:val="14"/>
                <w:szCs w:val="14"/>
              </w:rPr>
              <w:t>00 000</w:t>
            </w:r>
          </w:p>
        </w:tc>
        <w:tc>
          <w:tcPr>
            <w:tcW w:w="538" w:type="pct"/>
            <w:shd w:val="clear" w:color="auto" w:fill="FFFFFF"/>
            <w:noWrap/>
            <w:vAlign w:val="bottom"/>
          </w:tcPr>
          <w:p w:rsidR="003A497B" w:rsidRPr="00386739"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7</w:t>
            </w:r>
            <w:r w:rsidRPr="00386739">
              <w:rPr>
                <w:rFonts w:ascii="Times New Roman" w:hAnsi="Times New Roman" w:cs="Times New Roman"/>
                <w:color w:val="000000"/>
                <w:sz w:val="14"/>
                <w:szCs w:val="14"/>
              </w:rPr>
              <w:t xml:space="preserve"> </w:t>
            </w:r>
            <w:r>
              <w:rPr>
                <w:rFonts w:ascii="Times New Roman" w:hAnsi="Times New Roman" w:cs="Times New Roman"/>
                <w:color w:val="000000"/>
                <w:sz w:val="14"/>
                <w:szCs w:val="14"/>
              </w:rPr>
              <w:t>26</w:t>
            </w:r>
            <w:r w:rsidRPr="00386739">
              <w:rPr>
                <w:rFonts w:ascii="Times New Roman" w:hAnsi="Times New Roman" w:cs="Times New Roman"/>
                <w:color w:val="000000"/>
                <w:sz w:val="14"/>
                <w:szCs w:val="14"/>
              </w:rPr>
              <w:t>0 000</w:t>
            </w:r>
          </w:p>
        </w:tc>
        <w:tc>
          <w:tcPr>
            <w:tcW w:w="491" w:type="pct"/>
            <w:shd w:val="clear" w:color="auto" w:fill="FFFFFF"/>
            <w:noWrap/>
            <w:vAlign w:val="bottom"/>
          </w:tcPr>
          <w:p w:rsidR="003A497B" w:rsidRPr="00386739" w:rsidRDefault="003A497B" w:rsidP="003E1809">
            <w:pPr>
              <w:rPr>
                <w:rFonts w:ascii="Times New Roman" w:hAnsi="Times New Roman" w:cs="Times New Roman"/>
                <w:color w:val="000000"/>
                <w:sz w:val="14"/>
                <w:szCs w:val="14"/>
              </w:rPr>
            </w:pPr>
            <w:r>
              <w:rPr>
                <w:rFonts w:ascii="Times New Roman" w:hAnsi="Times New Roman" w:cs="Times New Roman"/>
                <w:color w:val="000000"/>
                <w:sz w:val="14"/>
                <w:szCs w:val="14"/>
              </w:rPr>
              <w:t xml:space="preserve">      7 986</w:t>
            </w:r>
            <w:r w:rsidRPr="00386739">
              <w:rPr>
                <w:rFonts w:ascii="Times New Roman" w:hAnsi="Times New Roman" w:cs="Times New Roman"/>
                <w:color w:val="000000"/>
                <w:sz w:val="14"/>
                <w:szCs w:val="14"/>
              </w:rPr>
              <w:t xml:space="preserve"> 000</w:t>
            </w:r>
          </w:p>
        </w:tc>
      </w:tr>
    </w:tbl>
    <w:p w:rsidR="003A497B" w:rsidRPr="00775C7E" w:rsidRDefault="003A497B" w:rsidP="003A497B">
      <w:pPr>
        <w:ind w:firstLine="708"/>
        <w:jc w:val="both"/>
        <w:rPr>
          <w:rFonts w:ascii="Times New Roman" w:hAnsi="Times New Roman" w:cs="Times New Roman"/>
          <w:highlight w:val="yellow"/>
        </w:rPr>
      </w:pPr>
    </w:p>
    <w:p w:rsidR="003A497B" w:rsidRDefault="003A497B" w:rsidP="003A497B">
      <w:pPr>
        <w:ind w:firstLine="708"/>
        <w:jc w:val="both"/>
        <w:rPr>
          <w:rFonts w:ascii="Times New Roman" w:hAnsi="Times New Roman" w:cs="Times New Roman"/>
          <w:lang w:eastAsia="en-US"/>
        </w:rPr>
      </w:pPr>
      <w:r w:rsidRPr="009C5059">
        <w:rPr>
          <w:rFonts w:ascii="Times New Roman" w:hAnsi="Times New Roman" w:cs="Times New Roman"/>
        </w:rPr>
        <w:t>Výdavky na podporu cestovného ruchu sa na rok 201</w:t>
      </w:r>
      <w:r>
        <w:rPr>
          <w:rFonts w:ascii="Times New Roman" w:hAnsi="Times New Roman" w:cs="Times New Roman"/>
        </w:rPr>
        <w:t>9</w:t>
      </w:r>
      <w:r w:rsidRPr="009C5059">
        <w:rPr>
          <w:rFonts w:ascii="Times New Roman" w:hAnsi="Times New Roman" w:cs="Times New Roman"/>
        </w:rPr>
        <w:t xml:space="preserve"> rozpočtujú v sume </w:t>
      </w:r>
      <w:r>
        <w:rPr>
          <w:rFonts w:ascii="Times New Roman" w:hAnsi="Times New Roman" w:cs="Times New Roman"/>
        </w:rPr>
        <w:t>8</w:t>
      </w:r>
      <w:r w:rsidRPr="009C5059">
        <w:rPr>
          <w:rFonts w:ascii="Times New Roman" w:hAnsi="Times New Roman" w:cs="Times New Roman"/>
        </w:rPr>
        <w:t>,</w:t>
      </w:r>
      <w:r>
        <w:rPr>
          <w:rFonts w:ascii="Times New Roman" w:hAnsi="Times New Roman" w:cs="Times New Roman"/>
        </w:rPr>
        <w:t>5</w:t>
      </w:r>
      <w:r w:rsidRPr="009C5059">
        <w:rPr>
          <w:rFonts w:ascii="Times New Roman" w:hAnsi="Times New Roman" w:cs="Times New Roman"/>
        </w:rPr>
        <w:t>5 mil. eur a v porovnaní so schváleným rozpočtom roku 201</w:t>
      </w:r>
      <w:r>
        <w:rPr>
          <w:rFonts w:ascii="Times New Roman" w:hAnsi="Times New Roman" w:cs="Times New Roman"/>
        </w:rPr>
        <w:t>8</w:t>
      </w:r>
      <w:r w:rsidRPr="009C5059">
        <w:rPr>
          <w:rFonts w:ascii="Times New Roman" w:hAnsi="Times New Roman" w:cs="Times New Roman"/>
        </w:rPr>
        <w:t xml:space="preserve"> sú </w:t>
      </w:r>
      <w:r>
        <w:rPr>
          <w:rFonts w:ascii="Times New Roman" w:hAnsi="Times New Roman" w:cs="Times New Roman"/>
        </w:rPr>
        <w:t>vyšši</w:t>
      </w:r>
      <w:r w:rsidRPr="009C5059">
        <w:rPr>
          <w:rFonts w:ascii="Times New Roman" w:hAnsi="Times New Roman" w:cs="Times New Roman"/>
        </w:rPr>
        <w:t>e o</w:t>
      </w:r>
      <w:r>
        <w:rPr>
          <w:rFonts w:ascii="Times New Roman" w:hAnsi="Times New Roman" w:cs="Times New Roman"/>
        </w:rPr>
        <w:t> 900</w:t>
      </w:r>
      <w:r w:rsidRPr="009C5059">
        <w:rPr>
          <w:rFonts w:ascii="Times New Roman" w:hAnsi="Times New Roman" w:cs="Times New Roman"/>
        </w:rPr>
        <w:t xml:space="preserve"> </w:t>
      </w:r>
      <w:r>
        <w:rPr>
          <w:rFonts w:ascii="Times New Roman" w:hAnsi="Times New Roman" w:cs="Times New Roman"/>
        </w:rPr>
        <w:t>tis</w:t>
      </w:r>
      <w:r w:rsidRPr="009C5059">
        <w:rPr>
          <w:rFonts w:ascii="Times New Roman" w:hAnsi="Times New Roman" w:cs="Times New Roman"/>
        </w:rPr>
        <w:t>. eur, t. j. o </w:t>
      </w:r>
      <w:r>
        <w:rPr>
          <w:rFonts w:ascii="Times New Roman" w:hAnsi="Times New Roman" w:cs="Times New Roman"/>
        </w:rPr>
        <w:t>11</w:t>
      </w:r>
      <w:r w:rsidRPr="009C5059">
        <w:rPr>
          <w:rFonts w:ascii="Times New Roman" w:hAnsi="Times New Roman" w:cs="Times New Roman"/>
        </w:rPr>
        <w:t>,</w:t>
      </w:r>
      <w:r>
        <w:rPr>
          <w:rFonts w:ascii="Times New Roman" w:hAnsi="Times New Roman" w:cs="Times New Roman"/>
        </w:rPr>
        <w:t>8</w:t>
      </w:r>
      <w:r w:rsidRPr="009C5059">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lang w:eastAsia="en-US"/>
        </w:rPr>
        <w:t>z dôvodu zvýšenia výdavkov na dotácie na podporu cestovného ruchu pre oblastné a krajské organizácie cestovného ruchu, poskytované v súlade so zákonom č. 91/2010 Z. z. o podpore cestovného ruchu v znení neskorších predpisov.</w:t>
      </w:r>
    </w:p>
    <w:p w:rsidR="003A497B" w:rsidRDefault="003A497B" w:rsidP="003A497B">
      <w:pPr>
        <w:ind w:firstLine="708"/>
        <w:jc w:val="both"/>
        <w:rPr>
          <w:rFonts w:ascii="Times New Roman" w:hAnsi="Times New Roman" w:cs="Times New Roman"/>
          <w:highlight w:val="yellow"/>
        </w:rPr>
      </w:pPr>
    </w:p>
    <w:p w:rsidR="00D2350F" w:rsidRDefault="00D2350F" w:rsidP="003A497B">
      <w:pPr>
        <w:ind w:firstLine="708"/>
        <w:jc w:val="both"/>
        <w:rPr>
          <w:rFonts w:ascii="Times New Roman" w:hAnsi="Times New Roman" w:cs="Times New Roman"/>
          <w:highlight w:val="yellow"/>
        </w:rPr>
      </w:pPr>
    </w:p>
    <w:p w:rsidR="00D2350F" w:rsidRDefault="00D2350F" w:rsidP="003A497B">
      <w:pPr>
        <w:ind w:firstLine="708"/>
        <w:jc w:val="both"/>
        <w:rPr>
          <w:rFonts w:ascii="Times New Roman" w:hAnsi="Times New Roman" w:cs="Times New Roman"/>
          <w:highlight w:val="yellow"/>
        </w:rPr>
      </w:pPr>
    </w:p>
    <w:p w:rsidR="00D2350F" w:rsidRDefault="00D2350F" w:rsidP="003A497B">
      <w:pPr>
        <w:ind w:firstLine="708"/>
        <w:jc w:val="both"/>
        <w:rPr>
          <w:rFonts w:ascii="Times New Roman" w:hAnsi="Times New Roman" w:cs="Times New Roman"/>
          <w:highlight w:val="yellow"/>
        </w:rPr>
      </w:pPr>
    </w:p>
    <w:p w:rsidR="003A497B" w:rsidRPr="00661433" w:rsidRDefault="003A497B" w:rsidP="003A497B">
      <w:pPr>
        <w:jc w:val="both"/>
        <w:rPr>
          <w:rFonts w:ascii="Times New Roman" w:hAnsi="Times New Roman" w:cs="Times New Roman"/>
          <w:b/>
        </w:rPr>
      </w:pPr>
      <w:r w:rsidRPr="00661433">
        <w:rPr>
          <w:rFonts w:ascii="Times New Roman" w:hAnsi="Times New Roman" w:cs="Times New Roman"/>
          <w:b/>
        </w:rPr>
        <w:lastRenderedPageBreak/>
        <w:t>Administratíva</w:t>
      </w:r>
    </w:p>
    <w:p w:rsidR="003A497B" w:rsidRDefault="003A497B" w:rsidP="003A497B">
      <w:pPr>
        <w:jc w:val="both"/>
        <w:rPr>
          <w:rFonts w:ascii="Times New Roman" w:hAnsi="Times New Roman" w:cs="Times New Roman"/>
          <w:highlight w:val="yellow"/>
        </w:rPr>
      </w:pPr>
    </w:p>
    <w:tbl>
      <w:tblPr>
        <w:tblW w:w="5000" w:type="pct"/>
        <w:tblCellMar>
          <w:left w:w="70" w:type="dxa"/>
          <w:right w:w="70" w:type="dxa"/>
        </w:tblCellMar>
        <w:tblLook w:val="04A0" w:firstRow="1" w:lastRow="0" w:firstColumn="1" w:lastColumn="0" w:noHBand="0" w:noVBand="1"/>
      </w:tblPr>
      <w:tblGrid>
        <w:gridCol w:w="2566"/>
        <w:gridCol w:w="874"/>
        <w:gridCol w:w="875"/>
        <w:gridCol w:w="962"/>
        <w:gridCol w:w="962"/>
        <w:gridCol w:w="941"/>
        <w:gridCol w:w="941"/>
        <w:gridCol w:w="941"/>
      </w:tblGrid>
      <w:tr w:rsidR="003A497B" w:rsidRPr="00894616" w:rsidTr="003E1809">
        <w:trPr>
          <w:trHeight w:hRule="exact" w:val="284"/>
        </w:trPr>
        <w:tc>
          <w:tcPr>
            <w:tcW w:w="141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894616" w:rsidRDefault="003A497B" w:rsidP="003E1809">
            <w:pPr>
              <w:rPr>
                <w:rFonts w:ascii="Times New Roman" w:hAnsi="Times New Roman" w:cs="Times New Roman"/>
                <w:b/>
                <w:bCs/>
                <w:color w:val="000000"/>
                <w:sz w:val="14"/>
                <w:szCs w:val="14"/>
                <w:lang w:eastAsia="sk-SK"/>
              </w:rPr>
            </w:pPr>
            <w:r w:rsidRPr="00894616">
              <w:rPr>
                <w:rFonts w:ascii="Times New Roman" w:hAnsi="Times New Roman" w:cs="Times New Roman"/>
                <w:b/>
                <w:bCs/>
                <w:color w:val="000000"/>
                <w:sz w:val="14"/>
                <w:szCs w:val="14"/>
              </w:rPr>
              <w:t>v</w:t>
            </w:r>
            <w:r>
              <w:rPr>
                <w:rFonts w:ascii="Times New Roman" w:hAnsi="Times New Roman" w:cs="Times New Roman"/>
                <w:b/>
                <w:bCs/>
                <w:color w:val="000000"/>
                <w:sz w:val="14"/>
                <w:szCs w:val="14"/>
              </w:rPr>
              <w:t> </w:t>
            </w:r>
            <w:r w:rsidRPr="00894616">
              <w:rPr>
                <w:rFonts w:ascii="Times New Roman" w:hAnsi="Times New Roman" w:cs="Times New Roman"/>
                <w:b/>
                <w:bCs/>
                <w:color w:val="000000"/>
                <w:sz w:val="14"/>
                <w:szCs w:val="14"/>
              </w:rPr>
              <w:t>eurách</w:t>
            </w:r>
          </w:p>
        </w:tc>
        <w:tc>
          <w:tcPr>
            <w:tcW w:w="48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2016 S</w:t>
            </w:r>
          </w:p>
        </w:tc>
        <w:tc>
          <w:tcPr>
            <w:tcW w:w="483"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2017 </w:t>
            </w:r>
            <w:r>
              <w:rPr>
                <w:rFonts w:ascii="Times New Roman" w:hAnsi="Times New Roman" w:cs="Times New Roman"/>
                <w:b/>
                <w:bCs/>
                <w:color w:val="000000"/>
                <w:sz w:val="14"/>
                <w:szCs w:val="14"/>
                <w:lang w:eastAsia="sk-SK"/>
              </w:rPr>
              <w:t>S</w:t>
            </w:r>
          </w:p>
        </w:tc>
        <w:tc>
          <w:tcPr>
            <w:tcW w:w="53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346A12">
              <w:rPr>
                <w:rFonts w:ascii="Times New Roman" w:hAnsi="Times New Roman" w:cs="Times New Roman"/>
                <w:b/>
                <w:bCs/>
                <w:color w:val="000000"/>
                <w:sz w:val="14"/>
                <w:szCs w:val="14"/>
                <w:lang w:eastAsia="sk-SK"/>
              </w:rPr>
              <w:t xml:space="preserve"> </w:t>
            </w:r>
            <w:r>
              <w:rPr>
                <w:rFonts w:ascii="Times New Roman" w:hAnsi="Times New Roman" w:cs="Times New Roman"/>
                <w:b/>
                <w:bCs/>
                <w:color w:val="000000"/>
                <w:sz w:val="14"/>
                <w:szCs w:val="14"/>
                <w:lang w:eastAsia="sk-SK"/>
              </w:rPr>
              <w:t>R</w:t>
            </w:r>
          </w:p>
        </w:tc>
        <w:tc>
          <w:tcPr>
            <w:tcW w:w="53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2018 </w:t>
            </w:r>
            <w:r>
              <w:rPr>
                <w:rFonts w:ascii="Times New Roman" w:hAnsi="Times New Roman" w:cs="Times New Roman"/>
                <w:b/>
                <w:bCs/>
                <w:color w:val="000000"/>
                <w:sz w:val="14"/>
                <w:szCs w:val="14"/>
                <w:lang w:eastAsia="sk-SK"/>
              </w:rPr>
              <w:t>OS</w:t>
            </w:r>
          </w:p>
        </w:tc>
        <w:tc>
          <w:tcPr>
            <w:tcW w:w="519"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2019 N</w:t>
            </w:r>
          </w:p>
        </w:tc>
        <w:tc>
          <w:tcPr>
            <w:tcW w:w="519"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2020 N</w:t>
            </w:r>
          </w:p>
        </w:tc>
        <w:tc>
          <w:tcPr>
            <w:tcW w:w="519"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w:t>
            </w:r>
            <w:r>
              <w:rPr>
                <w:rFonts w:ascii="Times New Roman" w:hAnsi="Times New Roman" w:cs="Times New Roman"/>
                <w:b/>
                <w:bCs/>
                <w:color w:val="000000"/>
                <w:sz w:val="14"/>
                <w:szCs w:val="14"/>
                <w:lang w:eastAsia="sk-SK"/>
              </w:rPr>
              <w:t>1</w:t>
            </w:r>
            <w:r w:rsidRPr="00346A12">
              <w:rPr>
                <w:rFonts w:ascii="Times New Roman" w:hAnsi="Times New Roman" w:cs="Times New Roman"/>
                <w:b/>
                <w:bCs/>
                <w:color w:val="000000"/>
                <w:sz w:val="14"/>
                <w:szCs w:val="14"/>
                <w:lang w:eastAsia="sk-SK"/>
              </w:rPr>
              <w:t xml:space="preserve"> N</w:t>
            </w:r>
          </w:p>
        </w:tc>
      </w:tr>
      <w:tr w:rsidR="003A497B" w:rsidRPr="00894616" w:rsidTr="003E1809">
        <w:trPr>
          <w:cantSplit/>
          <w:trHeight w:hRule="exact" w:val="284"/>
        </w:trPr>
        <w:tc>
          <w:tcPr>
            <w:tcW w:w="1416"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A497B" w:rsidRPr="00894616" w:rsidRDefault="003A497B" w:rsidP="003E1809">
            <w:pPr>
              <w:rPr>
                <w:rFonts w:ascii="Times New Roman" w:hAnsi="Times New Roman" w:cs="Times New Roman"/>
                <w:b/>
                <w:bCs/>
                <w:color w:val="000000"/>
                <w:sz w:val="14"/>
                <w:szCs w:val="14"/>
                <w:lang w:eastAsia="sk-SK"/>
              </w:rPr>
            </w:pPr>
            <w:r w:rsidRPr="00894616">
              <w:rPr>
                <w:rFonts w:ascii="Times New Roman" w:hAnsi="Times New Roman" w:cs="Times New Roman"/>
                <w:b/>
                <w:bCs/>
                <w:color w:val="000000"/>
                <w:sz w:val="14"/>
                <w:szCs w:val="14"/>
                <w:lang w:eastAsia="sk-SK"/>
              </w:rPr>
              <w:t>SPOLU</w:t>
            </w:r>
          </w:p>
        </w:tc>
        <w:tc>
          <w:tcPr>
            <w:tcW w:w="482"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386739" w:rsidRDefault="003A497B" w:rsidP="003E1809">
            <w:pPr>
              <w:jc w:val="right"/>
              <w:rPr>
                <w:rFonts w:ascii="Times New Roman" w:hAnsi="Times New Roman" w:cs="Times New Roman"/>
                <w:b/>
                <w:bCs/>
                <w:color w:val="000000"/>
                <w:sz w:val="14"/>
                <w:szCs w:val="14"/>
                <w:lang w:eastAsia="sk-SK"/>
              </w:rPr>
            </w:pPr>
            <w:r w:rsidRPr="00386739">
              <w:rPr>
                <w:rFonts w:ascii="Times New Roman" w:hAnsi="Times New Roman" w:cs="Times New Roman"/>
                <w:b/>
                <w:bCs/>
                <w:color w:val="000000"/>
                <w:sz w:val="14"/>
                <w:szCs w:val="14"/>
              </w:rPr>
              <w:t>61 175 786</w:t>
            </w:r>
          </w:p>
        </w:tc>
        <w:tc>
          <w:tcPr>
            <w:tcW w:w="48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386739" w:rsidRDefault="003A497B" w:rsidP="003E1809">
            <w:pPr>
              <w:jc w:val="right"/>
              <w:rPr>
                <w:rFonts w:ascii="Times New Roman" w:hAnsi="Times New Roman" w:cs="Times New Roman"/>
                <w:b/>
                <w:bCs/>
                <w:color w:val="000000"/>
                <w:sz w:val="14"/>
                <w:szCs w:val="14"/>
              </w:rPr>
            </w:pPr>
            <w:r w:rsidRPr="00386739">
              <w:rPr>
                <w:rFonts w:ascii="Times New Roman" w:hAnsi="Times New Roman" w:cs="Times New Roman"/>
                <w:b/>
                <w:bCs/>
                <w:color w:val="000000"/>
                <w:sz w:val="14"/>
                <w:szCs w:val="14"/>
              </w:rPr>
              <w:t>66 193 969</w:t>
            </w:r>
          </w:p>
        </w:tc>
        <w:tc>
          <w:tcPr>
            <w:tcW w:w="53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386739" w:rsidRDefault="003A497B" w:rsidP="003E1809">
            <w:pPr>
              <w:jc w:val="right"/>
              <w:rPr>
                <w:rFonts w:ascii="Times New Roman" w:hAnsi="Times New Roman" w:cs="Times New Roman"/>
                <w:b/>
                <w:bCs/>
                <w:color w:val="000000"/>
                <w:sz w:val="14"/>
                <w:szCs w:val="14"/>
              </w:rPr>
            </w:pPr>
            <w:r w:rsidRPr="00386739">
              <w:rPr>
                <w:rFonts w:ascii="Times New Roman" w:hAnsi="Times New Roman" w:cs="Times New Roman"/>
                <w:b/>
                <w:bCs/>
                <w:color w:val="000000"/>
                <w:sz w:val="14"/>
                <w:szCs w:val="14"/>
              </w:rPr>
              <w:t>159 793 237</w:t>
            </w:r>
          </w:p>
        </w:tc>
        <w:tc>
          <w:tcPr>
            <w:tcW w:w="53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386739" w:rsidRDefault="003A497B" w:rsidP="003E1809">
            <w:pPr>
              <w:jc w:val="right"/>
              <w:rPr>
                <w:rFonts w:ascii="Times New Roman" w:hAnsi="Times New Roman" w:cs="Times New Roman"/>
                <w:b/>
                <w:bCs/>
                <w:color w:val="000000"/>
                <w:sz w:val="14"/>
                <w:szCs w:val="14"/>
              </w:rPr>
            </w:pPr>
            <w:r w:rsidRPr="00386739">
              <w:rPr>
                <w:rFonts w:ascii="Times New Roman" w:hAnsi="Times New Roman" w:cs="Times New Roman"/>
                <w:b/>
                <w:bCs/>
                <w:color w:val="000000"/>
                <w:sz w:val="14"/>
                <w:szCs w:val="14"/>
              </w:rPr>
              <w:t>165 238 712</w:t>
            </w:r>
          </w:p>
        </w:tc>
        <w:tc>
          <w:tcPr>
            <w:tcW w:w="51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794937" w:rsidRDefault="003A497B" w:rsidP="003E1809">
            <w:pPr>
              <w:jc w:val="right"/>
              <w:rPr>
                <w:rFonts w:ascii="Times New Roman" w:hAnsi="Times New Roman" w:cs="Times New Roman"/>
                <w:b/>
                <w:bCs/>
                <w:color w:val="000000"/>
                <w:sz w:val="14"/>
                <w:szCs w:val="14"/>
                <w:lang w:eastAsia="sk-SK"/>
              </w:rPr>
            </w:pPr>
            <w:r w:rsidRPr="00794937">
              <w:rPr>
                <w:rFonts w:ascii="Times New Roman" w:hAnsi="Times New Roman" w:cs="Times New Roman"/>
                <w:b/>
                <w:bCs/>
                <w:color w:val="000000"/>
                <w:sz w:val="14"/>
                <w:szCs w:val="14"/>
              </w:rPr>
              <w:t>101 173 350</w:t>
            </w:r>
          </w:p>
        </w:tc>
        <w:tc>
          <w:tcPr>
            <w:tcW w:w="51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926048" w:rsidRDefault="003A497B" w:rsidP="003E1809">
            <w:pPr>
              <w:jc w:val="right"/>
              <w:rPr>
                <w:rFonts w:ascii="Times New Roman" w:hAnsi="Times New Roman" w:cs="Times New Roman"/>
                <w:b/>
                <w:bCs/>
                <w:color w:val="000000"/>
                <w:sz w:val="14"/>
                <w:szCs w:val="14"/>
              </w:rPr>
            </w:pPr>
            <w:r w:rsidRPr="00926048">
              <w:rPr>
                <w:rFonts w:ascii="Times New Roman" w:hAnsi="Times New Roman" w:cs="Times New Roman"/>
                <w:b/>
                <w:bCs/>
                <w:color w:val="000000"/>
                <w:sz w:val="14"/>
                <w:szCs w:val="14"/>
              </w:rPr>
              <w:t>79 427 100</w:t>
            </w:r>
          </w:p>
        </w:tc>
        <w:tc>
          <w:tcPr>
            <w:tcW w:w="51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926048" w:rsidRDefault="003A497B" w:rsidP="003E1809">
            <w:pPr>
              <w:jc w:val="right"/>
              <w:rPr>
                <w:rFonts w:ascii="Times New Roman" w:hAnsi="Times New Roman" w:cs="Times New Roman"/>
                <w:b/>
                <w:bCs/>
                <w:color w:val="000000"/>
                <w:sz w:val="14"/>
                <w:szCs w:val="14"/>
              </w:rPr>
            </w:pPr>
            <w:r w:rsidRPr="00926048">
              <w:rPr>
                <w:rFonts w:ascii="Times New Roman" w:hAnsi="Times New Roman" w:cs="Times New Roman"/>
                <w:b/>
                <w:bCs/>
                <w:color w:val="000000"/>
                <w:sz w:val="14"/>
                <w:szCs w:val="14"/>
              </w:rPr>
              <w:t>79 447 100</w:t>
            </w:r>
          </w:p>
        </w:tc>
      </w:tr>
      <w:tr w:rsidR="003A497B" w:rsidRPr="00894616" w:rsidTr="003E1809">
        <w:trPr>
          <w:cantSplit/>
          <w:trHeight w:hRule="exact" w:val="284"/>
        </w:trPr>
        <w:tc>
          <w:tcPr>
            <w:tcW w:w="1416"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894616" w:rsidRDefault="003A497B" w:rsidP="003E1809">
            <w:pPr>
              <w:rPr>
                <w:rFonts w:ascii="Times New Roman" w:hAnsi="Times New Roman" w:cs="Times New Roman"/>
                <w:color w:val="000000"/>
                <w:sz w:val="14"/>
                <w:szCs w:val="14"/>
                <w:lang w:eastAsia="sk-SK"/>
              </w:rPr>
            </w:pPr>
            <w:r w:rsidRPr="00894616">
              <w:rPr>
                <w:rFonts w:ascii="Times New Roman" w:hAnsi="Times New Roman" w:cs="Times New Roman"/>
                <w:color w:val="000000"/>
                <w:sz w:val="14"/>
                <w:szCs w:val="14"/>
                <w:lang w:eastAsia="sk-SK"/>
              </w:rPr>
              <w:t>Tvorba a implementácia politík</w:t>
            </w:r>
          </w:p>
        </w:tc>
        <w:tc>
          <w:tcPr>
            <w:tcW w:w="482"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lang w:eastAsia="sk-SK"/>
              </w:rPr>
            </w:pPr>
            <w:r w:rsidRPr="00386739">
              <w:rPr>
                <w:rFonts w:ascii="Times New Roman" w:hAnsi="Times New Roman" w:cs="Times New Roman"/>
                <w:color w:val="000000"/>
                <w:sz w:val="14"/>
                <w:szCs w:val="14"/>
              </w:rPr>
              <w:t>57 863 090</w:t>
            </w:r>
          </w:p>
        </w:tc>
        <w:tc>
          <w:tcPr>
            <w:tcW w:w="483"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56 010 474</w:t>
            </w:r>
          </w:p>
        </w:tc>
        <w:tc>
          <w:tcPr>
            <w:tcW w:w="531"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147 867 091</w:t>
            </w:r>
          </w:p>
        </w:tc>
        <w:tc>
          <w:tcPr>
            <w:tcW w:w="531" w:type="pct"/>
            <w:tcBorders>
              <w:top w:val="nil"/>
              <w:left w:val="nil"/>
              <w:bottom w:val="single" w:sz="4" w:space="0" w:color="auto"/>
              <w:right w:val="single" w:sz="4" w:space="0" w:color="auto"/>
            </w:tcBorders>
            <w:shd w:val="clear" w:color="000000" w:fill="FFFFFF"/>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153 312 566</w:t>
            </w:r>
          </w:p>
        </w:tc>
        <w:tc>
          <w:tcPr>
            <w:tcW w:w="519" w:type="pct"/>
            <w:tcBorders>
              <w:top w:val="nil"/>
              <w:left w:val="nil"/>
              <w:bottom w:val="single" w:sz="4" w:space="0" w:color="auto"/>
              <w:right w:val="single" w:sz="4" w:space="0" w:color="auto"/>
            </w:tcBorders>
            <w:shd w:val="clear" w:color="auto" w:fill="auto"/>
            <w:noWrap/>
            <w:vAlign w:val="bottom"/>
            <w:hideMark/>
          </w:tcPr>
          <w:p w:rsidR="003A497B" w:rsidRPr="00794937" w:rsidRDefault="003A497B" w:rsidP="003E1809">
            <w:pPr>
              <w:jc w:val="right"/>
              <w:rPr>
                <w:rFonts w:ascii="Times New Roman" w:hAnsi="Times New Roman" w:cs="Times New Roman"/>
                <w:color w:val="000000"/>
                <w:sz w:val="14"/>
                <w:szCs w:val="14"/>
                <w:lang w:eastAsia="sk-SK"/>
              </w:rPr>
            </w:pPr>
            <w:r w:rsidRPr="00794937">
              <w:rPr>
                <w:rFonts w:ascii="Times New Roman" w:hAnsi="Times New Roman" w:cs="Times New Roman"/>
                <w:color w:val="000000"/>
                <w:sz w:val="14"/>
                <w:szCs w:val="14"/>
              </w:rPr>
              <w:t>85 763 444</w:t>
            </w:r>
          </w:p>
        </w:tc>
        <w:tc>
          <w:tcPr>
            <w:tcW w:w="519" w:type="pct"/>
            <w:tcBorders>
              <w:top w:val="nil"/>
              <w:left w:val="nil"/>
              <w:bottom w:val="single" w:sz="4" w:space="0" w:color="auto"/>
              <w:right w:val="single" w:sz="4" w:space="0" w:color="auto"/>
            </w:tcBorders>
            <w:shd w:val="clear" w:color="auto" w:fill="auto"/>
            <w:noWrap/>
            <w:vAlign w:val="bottom"/>
            <w:hideMark/>
          </w:tcPr>
          <w:p w:rsidR="003A497B" w:rsidRPr="00B275E7" w:rsidRDefault="003A497B" w:rsidP="003E1809">
            <w:pPr>
              <w:jc w:val="right"/>
              <w:rPr>
                <w:rFonts w:ascii="Times New Roman" w:hAnsi="Times New Roman" w:cs="Times New Roman"/>
                <w:color w:val="000000"/>
                <w:sz w:val="14"/>
                <w:szCs w:val="14"/>
              </w:rPr>
            </w:pPr>
            <w:r w:rsidRPr="00B275E7">
              <w:rPr>
                <w:rFonts w:ascii="Times New Roman" w:hAnsi="Times New Roman" w:cs="Times New Roman"/>
                <w:color w:val="000000"/>
                <w:sz w:val="14"/>
                <w:szCs w:val="14"/>
              </w:rPr>
              <w:t>64 272 674</w:t>
            </w:r>
          </w:p>
        </w:tc>
        <w:tc>
          <w:tcPr>
            <w:tcW w:w="519" w:type="pct"/>
            <w:tcBorders>
              <w:top w:val="nil"/>
              <w:left w:val="nil"/>
              <w:bottom w:val="single" w:sz="4" w:space="0" w:color="auto"/>
              <w:right w:val="single" w:sz="4" w:space="0" w:color="auto"/>
            </w:tcBorders>
            <w:shd w:val="clear" w:color="auto" w:fill="auto"/>
            <w:noWrap/>
            <w:vAlign w:val="bottom"/>
            <w:hideMark/>
          </w:tcPr>
          <w:p w:rsidR="003A497B" w:rsidRPr="00B275E7" w:rsidRDefault="003A497B" w:rsidP="003E1809">
            <w:pPr>
              <w:jc w:val="right"/>
              <w:rPr>
                <w:rFonts w:ascii="Times New Roman" w:hAnsi="Times New Roman" w:cs="Times New Roman"/>
                <w:color w:val="000000"/>
                <w:sz w:val="14"/>
                <w:szCs w:val="14"/>
              </w:rPr>
            </w:pPr>
            <w:r w:rsidRPr="00B275E7">
              <w:rPr>
                <w:rFonts w:ascii="Times New Roman" w:hAnsi="Times New Roman" w:cs="Times New Roman"/>
                <w:color w:val="000000"/>
                <w:sz w:val="14"/>
                <w:szCs w:val="14"/>
              </w:rPr>
              <w:t>64 292 674</w:t>
            </w:r>
          </w:p>
        </w:tc>
      </w:tr>
      <w:tr w:rsidR="003A497B" w:rsidRPr="00894616" w:rsidTr="003E1809">
        <w:trPr>
          <w:cantSplit/>
          <w:trHeight w:hRule="exact" w:val="284"/>
        </w:trPr>
        <w:tc>
          <w:tcPr>
            <w:tcW w:w="1416"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894616" w:rsidRDefault="003A497B" w:rsidP="003E1809">
            <w:pPr>
              <w:rPr>
                <w:rFonts w:ascii="Times New Roman" w:hAnsi="Times New Roman" w:cs="Times New Roman"/>
                <w:color w:val="000000"/>
                <w:sz w:val="14"/>
                <w:szCs w:val="14"/>
                <w:lang w:eastAsia="sk-SK"/>
              </w:rPr>
            </w:pPr>
            <w:r w:rsidRPr="00894616">
              <w:rPr>
                <w:rFonts w:ascii="Times New Roman" w:hAnsi="Times New Roman" w:cs="Times New Roman"/>
                <w:color w:val="000000"/>
                <w:sz w:val="14"/>
                <w:szCs w:val="14"/>
                <w:lang w:eastAsia="sk-SK"/>
              </w:rPr>
              <w:t>Informačné technológie financované zo ŠR</w:t>
            </w:r>
          </w:p>
        </w:tc>
        <w:tc>
          <w:tcPr>
            <w:tcW w:w="482"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0</w:t>
            </w:r>
          </w:p>
        </w:tc>
        <w:tc>
          <w:tcPr>
            <w:tcW w:w="483"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7 257 954</w:t>
            </w:r>
          </w:p>
        </w:tc>
        <w:tc>
          <w:tcPr>
            <w:tcW w:w="531"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8 790 200</w:t>
            </w:r>
          </w:p>
        </w:tc>
        <w:tc>
          <w:tcPr>
            <w:tcW w:w="531" w:type="pct"/>
            <w:tcBorders>
              <w:top w:val="nil"/>
              <w:left w:val="nil"/>
              <w:bottom w:val="single" w:sz="4" w:space="0" w:color="auto"/>
              <w:right w:val="single" w:sz="4" w:space="0" w:color="auto"/>
            </w:tcBorders>
            <w:shd w:val="clear" w:color="000000" w:fill="FFFFFF"/>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8 790 200</w:t>
            </w:r>
          </w:p>
        </w:tc>
        <w:tc>
          <w:tcPr>
            <w:tcW w:w="519" w:type="pct"/>
            <w:tcBorders>
              <w:top w:val="nil"/>
              <w:left w:val="nil"/>
              <w:bottom w:val="single" w:sz="4" w:space="0" w:color="auto"/>
              <w:right w:val="single" w:sz="4" w:space="0" w:color="auto"/>
            </w:tcBorders>
            <w:shd w:val="clear" w:color="auto" w:fill="auto"/>
            <w:noWrap/>
            <w:vAlign w:val="bottom"/>
            <w:hideMark/>
          </w:tcPr>
          <w:p w:rsidR="003A497B" w:rsidRPr="00794937" w:rsidRDefault="003A497B" w:rsidP="003E1809">
            <w:pPr>
              <w:jc w:val="right"/>
              <w:rPr>
                <w:rFonts w:ascii="Times New Roman" w:hAnsi="Times New Roman" w:cs="Times New Roman"/>
                <w:color w:val="000000"/>
                <w:sz w:val="14"/>
                <w:szCs w:val="14"/>
              </w:rPr>
            </w:pPr>
            <w:r w:rsidRPr="00794937">
              <w:rPr>
                <w:rFonts w:ascii="Times New Roman" w:hAnsi="Times New Roman" w:cs="Times New Roman"/>
                <w:color w:val="000000"/>
                <w:sz w:val="14"/>
                <w:szCs w:val="14"/>
              </w:rPr>
              <w:t>12 151 716</w:t>
            </w:r>
          </w:p>
        </w:tc>
        <w:tc>
          <w:tcPr>
            <w:tcW w:w="519" w:type="pct"/>
            <w:tcBorders>
              <w:top w:val="nil"/>
              <w:left w:val="nil"/>
              <w:bottom w:val="single" w:sz="4" w:space="0" w:color="auto"/>
              <w:right w:val="single" w:sz="4" w:space="0" w:color="auto"/>
            </w:tcBorders>
            <w:shd w:val="clear" w:color="auto" w:fill="auto"/>
            <w:noWrap/>
            <w:vAlign w:val="bottom"/>
            <w:hideMark/>
          </w:tcPr>
          <w:p w:rsidR="003A497B" w:rsidRPr="00B275E7" w:rsidRDefault="003A497B" w:rsidP="003E1809">
            <w:pPr>
              <w:jc w:val="right"/>
              <w:rPr>
                <w:rFonts w:ascii="Times New Roman" w:hAnsi="Times New Roman" w:cs="Times New Roman"/>
                <w:color w:val="000000"/>
                <w:sz w:val="14"/>
                <w:szCs w:val="14"/>
              </w:rPr>
            </w:pPr>
            <w:r w:rsidRPr="00B275E7">
              <w:rPr>
                <w:rFonts w:ascii="Times New Roman" w:hAnsi="Times New Roman" w:cs="Times New Roman"/>
                <w:color w:val="000000"/>
                <w:sz w:val="14"/>
                <w:szCs w:val="14"/>
              </w:rPr>
              <w:t>11 896 236</w:t>
            </w:r>
          </w:p>
        </w:tc>
        <w:tc>
          <w:tcPr>
            <w:tcW w:w="519" w:type="pct"/>
            <w:tcBorders>
              <w:top w:val="nil"/>
              <w:left w:val="nil"/>
              <w:bottom w:val="single" w:sz="4" w:space="0" w:color="auto"/>
              <w:right w:val="single" w:sz="4" w:space="0" w:color="auto"/>
            </w:tcBorders>
            <w:shd w:val="clear" w:color="auto" w:fill="auto"/>
            <w:noWrap/>
            <w:vAlign w:val="bottom"/>
            <w:hideMark/>
          </w:tcPr>
          <w:p w:rsidR="003A497B" w:rsidRPr="00B275E7" w:rsidRDefault="003A497B" w:rsidP="003E1809">
            <w:pPr>
              <w:jc w:val="right"/>
              <w:rPr>
                <w:rFonts w:ascii="Times New Roman" w:hAnsi="Times New Roman" w:cs="Times New Roman"/>
                <w:color w:val="000000"/>
                <w:sz w:val="14"/>
                <w:szCs w:val="14"/>
              </w:rPr>
            </w:pPr>
            <w:r w:rsidRPr="00B275E7">
              <w:rPr>
                <w:rFonts w:ascii="Times New Roman" w:hAnsi="Times New Roman" w:cs="Times New Roman"/>
                <w:color w:val="000000"/>
                <w:sz w:val="14"/>
                <w:szCs w:val="14"/>
              </w:rPr>
              <w:t>11 896 236</w:t>
            </w:r>
          </w:p>
        </w:tc>
      </w:tr>
      <w:tr w:rsidR="003A497B" w:rsidRPr="00894616" w:rsidTr="003E1809">
        <w:trPr>
          <w:cantSplit/>
          <w:trHeight w:hRule="exact" w:val="284"/>
        </w:trPr>
        <w:tc>
          <w:tcPr>
            <w:tcW w:w="1416"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894616" w:rsidRDefault="003A497B" w:rsidP="003E1809">
            <w:pPr>
              <w:rPr>
                <w:rFonts w:ascii="Times New Roman" w:hAnsi="Times New Roman" w:cs="Times New Roman"/>
                <w:color w:val="000000"/>
                <w:sz w:val="14"/>
                <w:szCs w:val="14"/>
                <w:lang w:eastAsia="sk-SK"/>
              </w:rPr>
            </w:pPr>
            <w:r w:rsidRPr="00894616">
              <w:rPr>
                <w:rFonts w:ascii="Times New Roman" w:hAnsi="Times New Roman" w:cs="Times New Roman"/>
                <w:color w:val="000000"/>
                <w:sz w:val="14"/>
                <w:szCs w:val="14"/>
                <w:lang w:eastAsia="sk-SK"/>
              </w:rPr>
              <w:t xml:space="preserve">Civilné a núdzové plánovanie </w:t>
            </w:r>
          </w:p>
        </w:tc>
        <w:tc>
          <w:tcPr>
            <w:tcW w:w="482"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5 245</w:t>
            </w:r>
          </w:p>
        </w:tc>
        <w:tc>
          <w:tcPr>
            <w:tcW w:w="483"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4 736</w:t>
            </w:r>
          </w:p>
        </w:tc>
        <w:tc>
          <w:tcPr>
            <w:tcW w:w="531"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5 245</w:t>
            </w:r>
          </w:p>
        </w:tc>
        <w:tc>
          <w:tcPr>
            <w:tcW w:w="531" w:type="pct"/>
            <w:tcBorders>
              <w:top w:val="nil"/>
              <w:left w:val="nil"/>
              <w:bottom w:val="single" w:sz="4" w:space="0" w:color="auto"/>
              <w:right w:val="single" w:sz="4" w:space="0" w:color="auto"/>
            </w:tcBorders>
            <w:shd w:val="clear" w:color="000000" w:fill="FFFFFF"/>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5 245</w:t>
            </w:r>
          </w:p>
        </w:tc>
        <w:tc>
          <w:tcPr>
            <w:tcW w:w="519" w:type="pct"/>
            <w:tcBorders>
              <w:top w:val="nil"/>
              <w:left w:val="nil"/>
              <w:bottom w:val="single" w:sz="4" w:space="0" w:color="auto"/>
              <w:right w:val="single" w:sz="4" w:space="0" w:color="auto"/>
            </w:tcBorders>
            <w:shd w:val="clear" w:color="auto" w:fill="auto"/>
            <w:noWrap/>
            <w:vAlign w:val="bottom"/>
            <w:hideMark/>
          </w:tcPr>
          <w:p w:rsidR="003A497B" w:rsidRPr="00794937" w:rsidRDefault="003A497B" w:rsidP="003E1809">
            <w:pPr>
              <w:jc w:val="right"/>
              <w:rPr>
                <w:rFonts w:ascii="Times New Roman" w:hAnsi="Times New Roman" w:cs="Times New Roman"/>
                <w:color w:val="000000"/>
                <w:sz w:val="14"/>
                <w:szCs w:val="14"/>
              </w:rPr>
            </w:pPr>
            <w:r w:rsidRPr="00794937">
              <w:rPr>
                <w:rFonts w:ascii="Times New Roman" w:hAnsi="Times New Roman" w:cs="Times New Roman"/>
                <w:color w:val="000000"/>
                <w:sz w:val="14"/>
                <w:szCs w:val="14"/>
              </w:rPr>
              <w:t>5 245</w:t>
            </w:r>
          </w:p>
        </w:tc>
        <w:tc>
          <w:tcPr>
            <w:tcW w:w="519"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5 245</w:t>
            </w:r>
          </w:p>
        </w:tc>
        <w:tc>
          <w:tcPr>
            <w:tcW w:w="519"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5 245</w:t>
            </w:r>
          </w:p>
        </w:tc>
      </w:tr>
      <w:tr w:rsidR="003A497B" w:rsidRPr="00894616" w:rsidTr="003E1809">
        <w:trPr>
          <w:cantSplit/>
          <w:trHeight w:hRule="exact" w:val="284"/>
        </w:trPr>
        <w:tc>
          <w:tcPr>
            <w:tcW w:w="1416"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894616" w:rsidRDefault="003A497B" w:rsidP="003E1809">
            <w:pPr>
              <w:rPr>
                <w:rFonts w:ascii="Times New Roman" w:hAnsi="Times New Roman" w:cs="Times New Roman"/>
                <w:color w:val="000000"/>
                <w:sz w:val="14"/>
                <w:szCs w:val="14"/>
                <w:lang w:eastAsia="sk-SK"/>
              </w:rPr>
            </w:pPr>
            <w:r w:rsidRPr="00894616">
              <w:rPr>
                <w:rFonts w:ascii="Times New Roman" w:hAnsi="Times New Roman" w:cs="Times New Roman"/>
                <w:color w:val="000000"/>
                <w:sz w:val="14"/>
                <w:szCs w:val="14"/>
                <w:lang w:eastAsia="sk-SK"/>
              </w:rPr>
              <w:t>Podpora obrany</w:t>
            </w:r>
          </w:p>
        </w:tc>
        <w:tc>
          <w:tcPr>
            <w:tcW w:w="482"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653 063</w:t>
            </w:r>
          </w:p>
        </w:tc>
        <w:tc>
          <w:tcPr>
            <w:tcW w:w="483"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668 377</w:t>
            </w:r>
          </w:p>
        </w:tc>
        <w:tc>
          <w:tcPr>
            <w:tcW w:w="531"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677 756</w:t>
            </w:r>
          </w:p>
        </w:tc>
        <w:tc>
          <w:tcPr>
            <w:tcW w:w="531" w:type="pct"/>
            <w:tcBorders>
              <w:top w:val="nil"/>
              <w:left w:val="nil"/>
              <w:bottom w:val="single" w:sz="4" w:space="0" w:color="auto"/>
              <w:right w:val="single" w:sz="4" w:space="0" w:color="auto"/>
            </w:tcBorders>
            <w:shd w:val="clear" w:color="000000" w:fill="FFFFFF"/>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677 756</w:t>
            </w:r>
          </w:p>
        </w:tc>
        <w:tc>
          <w:tcPr>
            <w:tcW w:w="519" w:type="pct"/>
            <w:tcBorders>
              <w:top w:val="nil"/>
              <w:left w:val="nil"/>
              <w:bottom w:val="single" w:sz="4" w:space="0" w:color="auto"/>
              <w:right w:val="single" w:sz="4" w:space="0" w:color="auto"/>
            </w:tcBorders>
            <w:shd w:val="clear" w:color="auto" w:fill="auto"/>
            <w:noWrap/>
            <w:vAlign w:val="bottom"/>
            <w:hideMark/>
          </w:tcPr>
          <w:p w:rsidR="003A497B" w:rsidRPr="00794937" w:rsidRDefault="003A497B" w:rsidP="003E1809">
            <w:pPr>
              <w:jc w:val="right"/>
              <w:rPr>
                <w:rFonts w:ascii="Times New Roman" w:hAnsi="Times New Roman" w:cs="Times New Roman"/>
                <w:color w:val="000000"/>
                <w:sz w:val="14"/>
                <w:szCs w:val="14"/>
              </w:rPr>
            </w:pPr>
            <w:r w:rsidRPr="00794937">
              <w:rPr>
                <w:rFonts w:ascii="Times New Roman" w:hAnsi="Times New Roman" w:cs="Times New Roman"/>
                <w:color w:val="000000"/>
                <w:sz w:val="14"/>
                <w:szCs w:val="14"/>
              </w:rPr>
              <w:t>800 000</w:t>
            </w:r>
          </w:p>
        </w:tc>
        <w:tc>
          <w:tcPr>
            <w:tcW w:w="519"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800 000</w:t>
            </w:r>
          </w:p>
        </w:tc>
        <w:tc>
          <w:tcPr>
            <w:tcW w:w="519"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800 000</w:t>
            </w:r>
          </w:p>
        </w:tc>
      </w:tr>
      <w:tr w:rsidR="003A497B" w:rsidRPr="00894616" w:rsidTr="003E1809">
        <w:trPr>
          <w:cantSplit/>
          <w:trHeight w:hRule="exact" w:val="284"/>
        </w:trPr>
        <w:tc>
          <w:tcPr>
            <w:tcW w:w="1416"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894616" w:rsidRDefault="003A497B" w:rsidP="003E1809">
            <w:pPr>
              <w:rPr>
                <w:rFonts w:ascii="Times New Roman" w:hAnsi="Times New Roman" w:cs="Times New Roman"/>
                <w:color w:val="000000"/>
                <w:sz w:val="14"/>
                <w:szCs w:val="14"/>
                <w:lang w:eastAsia="sk-SK"/>
              </w:rPr>
            </w:pPr>
            <w:r w:rsidRPr="00894616">
              <w:rPr>
                <w:rFonts w:ascii="Times New Roman" w:hAnsi="Times New Roman" w:cs="Times New Roman"/>
                <w:color w:val="000000"/>
                <w:sz w:val="14"/>
                <w:szCs w:val="14"/>
                <w:lang w:eastAsia="sk-SK"/>
              </w:rPr>
              <w:t xml:space="preserve">Hospodárska mobilizácia </w:t>
            </w:r>
          </w:p>
        </w:tc>
        <w:tc>
          <w:tcPr>
            <w:tcW w:w="482"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1 651 220</w:t>
            </w:r>
          </w:p>
        </w:tc>
        <w:tc>
          <w:tcPr>
            <w:tcW w:w="483"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1 660 720</w:t>
            </w:r>
          </w:p>
        </w:tc>
        <w:tc>
          <w:tcPr>
            <w:tcW w:w="531"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1 660 720</w:t>
            </w:r>
          </w:p>
        </w:tc>
        <w:tc>
          <w:tcPr>
            <w:tcW w:w="531" w:type="pct"/>
            <w:tcBorders>
              <w:top w:val="nil"/>
              <w:left w:val="nil"/>
              <w:bottom w:val="single" w:sz="4" w:space="0" w:color="auto"/>
              <w:right w:val="single" w:sz="4" w:space="0" w:color="auto"/>
            </w:tcBorders>
            <w:shd w:val="clear" w:color="000000" w:fill="FFFFFF"/>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1 660 720</w:t>
            </w:r>
          </w:p>
        </w:tc>
        <w:tc>
          <w:tcPr>
            <w:tcW w:w="519" w:type="pct"/>
            <w:tcBorders>
              <w:top w:val="nil"/>
              <w:left w:val="nil"/>
              <w:bottom w:val="single" w:sz="4" w:space="0" w:color="auto"/>
              <w:right w:val="single" w:sz="4" w:space="0" w:color="auto"/>
            </w:tcBorders>
            <w:shd w:val="clear" w:color="auto" w:fill="auto"/>
            <w:noWrap/>
            <w:vAlign w:val="bottom"/>
            <w:hideMark/>
          </w:tcPr>
          <w:p w:rsidR="003A497B" w:rsidRPr="00794937" w:rsidRDefault="003A497B" w:rsidP="003E1809">
            <w:pPr>
              <w:jc w:val="right"/>
              <w:rPr>
                <w:rFonts w:ascii="Times New Roman" w:hAnsi="Times New Roman" w:cs="Times New Roman"/>
                <w:color w:val="000000"/>
                <w:sz w:val="14"/>
                <w:szCs w:val="14"/>
              </w:rPr>
            </w:pPr>
            <w:r w:rsidRPr="00794937">
              <w:rPr>
                <w:rFonts w:ascii="Times New Roman" w:hAnsi="Times New Roman" w:cs="Times New Roman"/>
                <w:color w:val="000000"/>
                <w:sz w:val="14"/>
                <w:szCs w:val="14"/>
              </w:rPr>
              <w:t>1 660 720</w:t>
            </w:r>
          </w:p>
        </w:tc>
        <w:tc>
          <w:tcPr>
            <w:tcW w:w="519"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1 660 720</w:t>
            </w:r>
          </w:p>
        </w:tc>
        <w:tc>
          <w:tcPr>
            <w:tcW w:w="519"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1 660 720</w:t>
            </w:r>
          </w:p>
        </w:tc>
      </w:tr>
      <w:tr w:rsidR="003A497B" w:rsidRPr="00894616" w:rsidTr="003E1809">
        <w:trPr>
          <w:cantSplit/>
          <w:trHeight w:hRule="exact" w:val="284"/>
        </w:trPr>
        <w:tc>
          <w:tcPr>
            <w:tcW w:w="1416"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894616" w:rsidRDefault="003A497B" w:rsidP="003E1809">
            <w:pPr>
              <w:rPr>
                <w:rFonts w:ascii="Times New Roman" w:hAnsi="Times New Roman" w:cs="Times New Roman"/>
                <w:color w:val="000000"/>
                <w:sz w:val="14"/>
                <w:szCs w:val="14"/>
                <w:lang w:eastAsia="sk-SK"/>
              </w:rPr>
            </w:pPr>
            <w:r w:rsidRPr="00894616">
              <w:rPr>
                <w:rFonts w:ascii="Times New Roman" w:hAnsi="Times New Roman" w:cs="Times New Roman"/>
                <w:color w:val="000000"/>
                <w:sz w:val="14"/>
                <w:szCs w:val="14"/>
                <w:lang w:eastAsia="sk-SK"/>
              </w:rPr>
              <w:t>Príspevky SR do MO</w:t>
            </w:r>
          </w:p>
        </w:tc>
        <w:tc>
          <w:tcPr>
            <w:tcW w:w="482"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581 897</w:t>
            </w:r>
          </w:p>
        </w:tc>
        <w:tc>
          <w:tcPr>
            <w:tcW w:w="483"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582 055</w:t>
            </w:r>
          </w:p>
        </w:tc>
        <w:tc>
          <w:tcPr>
            <w:tcW w:w="531" w:type="pct"/>
            <w:tcBorders>
              <w:top w:val="nil"/>
              <w:left w:val="nil"/>
              <w:bottom w:val="single" w:sz="4" w:space="0" w:color="auto"/>
              <w:right w:val="single" w:sz="4" w:space="0" w:color="auto"/>
            </w:tcBorders>
            <w:shd w:val="clear" w:color="000000" w:fill="FFFFFF"/>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792 225</w:t>
            </w:r>
          </w:p>
        </w:tc>
        <w:tc>
          <w:tcPr>
            <w:tcW w:w="531" w:type="pct"/>
            <w:tcBorders>
              <w:top w:val="nil"/>
              <w:left w:val="nil"/>
              <w:bottom w:val="single" w:sz="4" w:space="0" w:color="auto"/>
              <w:right w:val="single" w:sz="4" w:space="0" w:color="auto"/>
            </w:tcBorders>
            <w:shd w:val="clear" w:color="000000" w:fill="FFFFFF"/>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792 225</w:t>
            </w:r>
          </w:p>
        </w:tc>
        <w:tc>
          <w:tcPr>
            <w:tcW w:w="519" w:type="pct"/>
            <w:tcBorders>
              <w:top w:val="nil"/>
              <w:left w:val="nil"/>
              <w:bottom w:val="single" w:sz="4" w:space="0" w:color="auto"/>
              <w:right w:val="single" w:sz="4" w:space="0" w:color="auto"/>
            </w:tcBorders>
            <w:shd w:val="clear" w:color="000000" w:fill="FFFFFF"/>
            <w:noWrap/>
            <w:vAlign w:val="bottom"/>
            <w:hideMark/>
          </w:tcPr>
          <w:p w:rsidR="003A497B" w:rsidRPr="00794937" w:rsidRDefault="003A497B" w:rsidP="003E1809">
            <w:pPr>
              <w:jc w:val="right"/>
              <w:rPr>
                <w:rFonts w:ascii="Times New Roman" w:hAnsi="Times New Roman" w:cs="Times New Roman"/>
                <w:color w:val="000000"/>
                <w:sz w:val="14"/>
                <w:szCs w:val="14"/>
              </w:rPr>
            </w:pPr>
            <w:r w:rsidRPr="00794937">
              <w:rPr>
                <w:rFonts w:ascii="Times New Roman" w:hAnsi="Times New Roman" w:cs="Times New Roman"/>
                <w:color w:val="000000"/>
                <w:sz w:val="14"/>
                <w:szCs w:val="14"/>
              </w:rPr>
              <w:t>792 225</w:t>
            </w:r>
          </w:p>
        </w:tc>
        <w:tc>
          <w:tcPr>
            <w:tcW w:w="519" w:type="pct"/>
            <w:tcBorders>
              <w:top w:val="nil"/>
              <w:left w:val="nil"/>
              <w:bottom w:val="single" w:sz="4" w:space="0" w:color="auto"/>
              <w:right w:val="single" w:sz="4" w:space="0" w:color="auto"/>
            </w:tcBorders>
            <w:shd w:val="clear" w:color="000000" w:fill="FFFFFF"/>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792 225</w:t>
            </w:r>
          </w:p>
        </w:tc>
        <w:tc>
          <w:tcPr>
            <w:tcW w:w="519" w:type="pct"/>
            <w:tcBorders>
              <w:top w:val="nil"/>
              <w:left w:val="nil"/>
              <w:bottom w:val="single" w:sz="4" w:space="0" w:color="auto"/>
              <w:right w:val="single" w:sz="4" w:space="0" w:color="auto"/>
            </w:tcBorders>
            <w:shd w:val="clear" w:color="000000" w:fill="FFFFFF"/>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792 225</w:t>
            </w:r>
          </w:p>
        </w:tc>
      </w:tr>
      <w:tr w:rsidR="003A497B" w:rsidRPr="00894616" w:rsidTr="003E1809">
        <w:trPr>
          <w:cantSplit/>
          <w:trHeight w:hRule="exact" w:val="284"/>
        </w:trPr>
        <w:tc>
          <w:tcPr>
            <w:tcW w:w="1416"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894616" w:rsidRDefault="003A497B" w:rsidP="003E1809">
            <w:pPr>
              <w:rPr>
                <w:rFonts w:ascii="Times New Roman" w:hAnsi="Times New Roman" w:cs="Times New Roman"/>
                <w:color w:val="000000"/>
                <w:sz w:val="14"/>
                <w:szCs w:val="14"/>
                <w:lang w:eastAsia="sk-SK"/>
              </w:rPr>
            </w:pPr>
            <w:r w:rsidRPr="00894616">
              <w:rPr>
                <w:rFonts w:ascii="Times New Roman" w:hAnsi="Times New Roman" w:cs="Times New Roman"/>
                <w:color w:val="000000"/>
                <w:sz w:val="14"/>
                <w:szCs w:val="14"/>
                <w:lang w:eastAsia="sk-SK"/>
              </w:rPr>
              <w:t>Realiz II. etapy MZP SZO</w:t>
            </w:r>
          </w:p>
        </w:tc>
        <w:tc>
          <w:tcPr>
            <w:tcW w:w="482"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20 667</w:t>
            </w:r>
          </w:p>
        </w:tc>
        <w:tc>
          <w:tcPr>
            <w:tcW w:w="483"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0</w:t>
            </w:r>
          </w:p>
        </w:tc>
        <w:tc>
          <w:tcPr>
            <w:tcW w:w="531" w:type="pct"/>
            <w:tcBorders>
              <w:top w:val="nil"/>
              <w:left w:val="nil"/>
              <w:bottom w:val="single" w:sz="4" w:space="0" w:color="auto"/>
              <w:right w:val="single" w:sz="4" w:space="0" w:color="auto"/>
            </w:tcBorders>
            <w:shd w:val="clear" w:color="000000" w:fill="FFFFFF"/>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0</w:t>
            </w:r>
          </w:p>
        </w:tc>
        <w:tc>
          <w:tcPr>
            <w:tcW w:w="531" w:type="pct"/>
            <w:tcBorders>
              <w:top w:val="nil"/>
              <w:left w:val="nil"/>
              <w:bottom w:val="single" w:sz="4" w:space="0" w:color="auto"/>
              <w:right w:val="single" w:sz="4" w:space="0" w:color="auto"/>
            </w:tcBorders>
            <w:shd w:val="clear" w:color="000000" w:fill="FFFFFF"/>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0</w:t>
            </w:r>
          </w:p>
        </w:tc>
        <w:tc>
          <w:tcPr>
            <w:tcW w:w="519" w:type="pct"/>
            <w:tcBorders>
              <w:top w:val="nil"/>
              <w:left w:val="nil"/>
              <w:bottom w:val="single" w:sz="4" w:space="0" w:color="auto"/>
              <w:right w:val="single" w:sz="4" w:space="0" w:color="auto"/>
            </w:tcBorders>
            <w:shd w:val="clear" w:color="000000" w:fill="FFFFFF"/>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0</w:t>
            </w:r>
          </w:p>
        </w:tc>
        <w:tc>
          <w:tcPr>
            <w:tcW w:w="519" w:type="pct"/>
            <w:tcBorders>
              <w:top w:val="nil"/>
              <w:left w:val="nil"/>
              <w:bottom w:val="single" w:sz="4" w:space="0" w:color="auto"/>
              <w:right w:val="single" w:sz="4" w:space="0" w:color="auto"/>
            </w:tcBorders>
            <w:shd w:val="clear" w:color="000000" w:fill="FFFFFF"/>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0</w:t>
            </w:r>
          </w:p>
        </w:tc>
        <w:tc>
          <w:tcPr>
            <w:tcW w:w="519" w:type="pct"/>
            <w:tcBorders>
              <w:top w:val="nil"/>
              <w:left w:val="nil"/>
              <w:bottom w:val="single" w:sz="4" w:space="0" w:color="auto"/>
              <w:right w:val="single" w:sz="4" w:space="0" w:color="auto"/>
            </w:tcBorders>
            <w:shd w:val="clear" w:color="000000" w:fill="FFFFFF"/>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0</w:t>
            </w:r>
          </w:p>
        </w:tc>
      </w:tr>
      <w:tr w:rsidR="003A497B" w:rsidRPr="00894616" w:rsidTr="003E1809">
        <w:trPr>
          <w:cantSplit/>
          <w:trHeight w:hRule="exact" w:val="284"/>
        </w:trPr>
        <w:tc>
          <w:tcPr>
            <w:tcW w:w="1416"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894616" w:rsidRDefault="003A497B" w:rsidP="003E1809">
            <w:pPr>
              <w:rPr>
                <w:rFonts w:ascii="Times New Roman" w:hAnsi="Times New Roman" w:cs="Times New Roman"/>
                <w:color w:val="000000"/>
                <w:sz w:val="14"/>
                <w:szCs w:val="14"/>
                <w:lang w:eastAsia="sk-SK"/>
              </w:rPr>
            </w:pPr>
            <w:r w:rsidRPr="00894616">
              <w:rPr>
                <w:rFonts w:ascii="Times New Roman" w:hAnsi="Times New Roman" w:cs="Times New Roman"/>
                <w:color w:val="000000"/>
                <w:sz w:val="14"/>
                <w:szCs w:val="14"/>
                <w:lang w:eastAsia="sk-SK"/>
              </w:rPr>
              <w:t>SK PRES 2016</w:t>
            </w:r>
          </w:p>
        </w:tc>
        <w:tc>
          <w:tcPr>
            <w:tcW w:w="482"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400 604</w:t>
            </w:r>
          </w:p>
        </w:tc>
        <w:tc>
          <w:tcPr>
            <w:tcW w:w="483" w:type="pct"/>
            <w:tcBorders>
              <w:top w:val="nil"/>
              <w:left w:val="nil"/>
              <w:bottom w:val="single" w:sz="4" w:space="0" w:color="auto"/>
              <w:right w:val="single" w:sz="4" w:space="0" w:color="auto"/>
            </w:tcBorders>
            <w:shd w:val="clear" w:color="auto" w:fill="auto"/>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9 653</w:t>
            </w:r>
          </w:p>
        </w:tc>
        <w:tc>
          <w:tcPr>
            <w:tcW w:w="531" w:type="pct"/>
            <w:tcBorders>
              <w:top w:val="nil"/>
              <w:left w:val="nil"/>
              <w:bottom w:val="single" w:sz="4" w:space="0" w:color="auto"/>
              <w:right w:val="single" w:sz="4" w:space="0" w:color="auto"/>
            </w:tcBorders>
            <w:shd w:val="clear" w:color="000000" w:fill="FFFFFF"/>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0</w:t>
            </w:r>
          </w:p>
        </w:tc>
        <w:tc>
          <w:tcPr>
            <w:tcW w:w="531" w:type="pct"/>
            <w:tcBorders>
              <w:top w:val="nil"/>
              <w:left w:val="nil"/>
              <w:bottom w:val="single" w:sz="4" w:space="0" w:color="auto"/>
              <w:right w:val="single" w:sz="4" w:space="0" w:color="auto"/>
            </w:tcBorders>
            <w:shd w:val="clear" w:color="000000" w:fill="FFFFFF"/>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0</w:t>
            </w:r>
          </w:p>
        </w:tc>
        <w:tc>
          <w:tcPr>
            <w:tcW w:w="519" w:type="pct"/>
            <w:tcBorders>
              <w:top w:val="nil"/>
              <w:left w:val="nil"/>
              <w:bottom w:val="single" w:sz="4" w:space="0" w:color="auto"/>
              <w:right w:val="single" w:sz="4" w:space="0" w:color="auto"/>
            </w:tcBorders>
            <w:shd w:val="clear" w:color="000000" w:fill="FFFFFF"/>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0</w:t>
            </w:r>
          </w:p>
        </w:tc>
        <w:tc>
          <w:tcPr>
            <w:tcW w:w="519" w:type="pct"/>
            <w:tcBorders>
              <w:top w:val="nil"/>
              <w:left w:val="nil"/>
              <w:bottom w:val="single" w:sz="4" w:space="0" w:color="auto"/>
              <w:right w:val="single" w:sz="4" w:space="0" w:color="auto"/>
            </w:tcBorders>
            <w:shd w:val="clear" w:color="000000" w:fill="FFFFFF"/>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0</w:t>
            </w:r>
          </w:p>
        </w:tc>
        <w:tc>
          <w:tcPr>
            <w:tcW w:w="519" w:type="pct"/>
            <w:tcBorders>
              <w:top w:val="nil"/>
              <w:left w:val="nil"/>
              <w:bottom w:val="single" w:sz="4" w:space="0" w:color="auto"/>
              <w:right w:val="single" w:sz="4" w:space="0" w:color="auto"/>
            </w:tcBorders>
            <w:shd w:val="clear" w:color="000000" w:fill="FFFFFF"/>
            <w:noWrap/>
            <w:vAlign w:val="bottom"/>
            <w:hideMark/>
          </w:tcPr>
          <w:p w:rsidR="003A497B" w:rsidRPr="00386739" w:rsidRDefault="003A497B" w:rsidP="003E1809">
            <w:pPr>
              <w:jc w:val="right"/>
              <w:rPr>
                <w:rFonts w:ascii="Times New Roman" w:hAnsi="Times New Roman" w:cs="Times New Roman"/>
                <w:color w:val="000000"/>
                <w:sz w:val="14"/>
                <w:szCs w:val="14"/>
              </w:rPr>
            </w:pPr>
            <w:r w:rsidRPr="00386739">
              <w:rPr>
                <w:rFonts w:ascii="Times New Roman" w:hAnsi="Times New Roman" w:cs="Times New Roman"/>
                <w:color w:val="000000"/>
                <w:sz w:val="14"/>
                <w:szCs w:val="14"/>
              </w:rPr>
              <w:t>0</w:t>
            </w:r>
          </w:p>
        </w:tc>
      </w:tr>
    </w:tbl>
    <w:p w:rsidR="003A497B" w:rsidRPr="00775C7E" w:rsidRDefault="003A497B" w:rsidP="003A497B">
      <w:pPr>
        <w:jc w:val="both"/>
        <w:rPr>
          <w:rFonts w:ascii="Times New Roman" w:hAnsi="Times New Roman" w:cs="Times New Roman"/>
          <w:highlight w:val="yellow"/>
        </w:rPr>
      </w:pPr>
    </w:p>
    <w:p w:rsidR="003A497B" w:rsidRDefault="003A497B" w:rsidP="003A497B">
      <w:pPr>
        <w:ind w:firstLine="708"/>
        <w:jc w:val="both"/>
        <w:rPr>
          <w:rFonts w:ascii="Times New Roman" w:hAnsi="Times New Roman" w:cs="Times New Roman"/>
          <w:lang w:eastAsia="en-US"/>
        </w:rPr>
      </w:pPr>
      <w:r w:rsidRPr="00661433">
        <w:rPr>
          <w:rFonts w:ascii="Times New Roman" w:hAnsi="Times New Roman" w:cs="Times New Roman"/>
        </w:rPr>
        <w:t>Výdavky na ostatné činnosti sa v roku 201</w:t>
      </w:r>
      <w:r>
        <w:rPr>
          <w:rFonts w:ascii="Times New Roman" w:hAnsi="Times New Roman" w:cs="Times New Roman"/>
        </w:rPr>
        <w:t>9</w:t>
      </w:r>
      <w:r w:rsidRPr="00661433">
        <w:rPr>
          <w:rFonts w:ascii="Times New Roman" w:hAnsi="Times New Roman" w:cs="Times New Roman"/>
        </w:rPr>
        <w:t xml:space="preserve"> navrhujú v sume </w:t>
      </w:r>
      <w:r>
        <w:rPr>
          <w:rFonts w:ascii="Times New Roman" w:hAnsi="Times New Roman" w:cs="Times New Roman"/>
        </w:rPr>
        <w:t>101 mil. eur</w:t>
      </w:r>
      <w:r>
        <w:rPr>
          <w:rFonts w:ascii="Times New Roman" w:hAnsi="Times New Roman" w:cs="Times New Roman"/>
          <w:lang w:eastAsia="en-US"/>
        </w:rPr>
        <w:t>.</w:t>
      </w:r>
    </w:p>
    <w:p w:rsidR="003A497B" w:rsidRPr="00775C7E" w:rsidRDefault="003A497B" w:rsidP="003A497B">
      <w:pPr>
        <w:ind w:firstLine="708"/>
        <w:jc w:val="both"/>
        <w:rPr>
          <w:rFonts w:ascii="Times New Roman" w:hAnsi="Times New Roman" w:cs="Times New Roman"/>
          <w:highlight w:val="yellow"/>
          <w:lang w:eastAsia="en-US"/>
        </w:rPr>
      </w:pPr>
      <w:r>
        <w:rPr>
          <w:rFonts w:ascii="Times New Roman" w:hAnsi="Times New Roman" w:cs="Times New Roman"/>
        </w:rPr>
        <w:t xml:space="preserve"> </w:t>
      </w:r>
    </w:p>
    <w:p w:rsidR="003A497B" w:rsidRDefault="003A497B" w:rsidP="003A497B">
      <w:pPr>
        <w:ind w:firstLine="708"/>
        <w:jc w:val="both"/>
        <w:rPr>
          <w:rFonts w:ascii="Times New Roman" w:hAnsi="Times New Roman" w:cs="Times New Roman"/>
        </w:rPr>
      </w:pPr>
      <w:r w:rsidRPr="00262B5E">
        <w:rPr>
          <w:rFonts w:ascii="Times New Roman" w:hAnsi="Times New Roman" w:cs="Times New Roman"/>
        </w:rPr>
        <w:t xml:space="preserve">Z uvedenej sumy na podprogramy, ktoré kapitola rieši ako účastník medzirezortného programu, sa rozpočtujú výdavky v sume </w:t>
      </w:r>
      <w:r>
        <w:rPr>
          <w:rFonts w:ascii="Times New Roman" w:hAnsi="Times New Roman" w:cs="Times New Roman"/>
        </w:rPr>
        <w:t>15</w:t>
      </w:r>
      <w:r w:rsidRPr="00262B5E">
        <w:rPr>
          <w:rFonts w:ascii="Times New Roman" w:hAnsi="Times New Roman" w:cs="Times New Roman"/>
        </w:rPr>
        <w:t>,</w:t>
      </w:r>
      <w:r>
        <w:rPr>
          <w:rFonts w:ascii="Times New Roman" w:hAnsi="Times New Roman" w:cs="Times New Roman"/>
        </w:rPr>
        <w:t>4</w:t>
      </w:r>
      <w:r w:rsidRPr="00262B5E">
        <w:rPr>
          <w:rFonts w:ascii="Times New Roman" w:hAnsi="Times New Roman" w:cs="Times New Roman"/>
        </w:rPr>
        <w:t xml:space="preserve"> mil. eur. Uvedené výdavky sú určené pre podprogramy Informačné technológie financované zo štátneho rozpočtu, Civilné a núdzové plánovanie, </w:t>
      </w:r>
      <w:r>
        <w:rPr>
          <w:rFonts w:ascii="Times New Roman" w:hAnsi="Times New Roman" w:cs="Times New Roman"/>
        </w:rPr>
        <w:t>Podpora obrany</w:t>
      </w:r>
      <w:r w:rsidRPr="00262B5E">
        <w:rPr>
          <w:rFonts w:ascii="Times New Roman" w:hAnsi="Times New Roman" w:cs="Times New Roman"/>
        </w:rPr>
        <w:t>, Hospodárska mobilizácia a Príspevky SR do medzinárodných organizácií.</w:t>
      </w:r>
    </w:p>
    <w:p w:rsidR="003A497B" w:rsidRPr="00775C7E" w:rsidRDefault="003A497B" w:rsidP="003A497B">
      <w:pPr>
        <w:jc w:val="both"/>
        <w:rPr>
          <w:rFonts w:ascii="Times New Roman" w:hAnsi="Times New Roman" w:cs="Times New Roman"/>
          <w:highlight w:val="yellow"/>
        </w:rPr>
      </w:pPr>
    </w:p>
    <w:p w:rsidR="003A497B" w:rsidRPr="00AE59F7" w:rsidRDefault="003A497B" w:rsidP="003A497B">
      <w:pPr>
        <w:jc w:val="both"/>
        <w:rPr>
          <w:rFonts w:ascii="Times New Roman" w:hAnsi="Times New Roman" w:cs="Times New Roman"/>
          <w:i/>
          <w:u w:val="single"/>
        </w:rPr>
      </w:pPr>
      <w:r w:rsidRPr="00AE59F7">
        <w:rPr>
          <w:rFonts w:ascii="Times New Roman" w:hAnsi="Times New Roman" w:cs="Times New Roman"/>
          <w:i/>
          <w:u w:val="single"/>
        </w:rPr>
        <w:t>Tvorba a implementácia politík</w:t>
      </w:r>
    </w:p>
    <w:p w:rsidR="003A497B" w:rsidRDefault="003A497B" w:rsidP="003A497B">
      <w:pPr>
        <w:jc w:val="both"/>
        <w:rPr>
          <w:rFonts w:ascii="Times New Roman" w:hAnsi="Times New Roman" w:cs="Times New Roman"/>
          <w:highlight w:val="yellow"/>
        </w:rPr>
      </w:pPr>
    </w:p>
    <w:tbl>
      <w:tblPr>
        <w:tblW w:w="5000" w:type="pct"/>
        <w:tblCellMar>
          <w:left w:w="70" w:type="dxa"/>
          <w:right w:w="70" w:type="dxa"/>
        </w:tblCellMar>
        <w:tblLook w:val="04A0" w:firstRow="1" w:lastRow="0" w:firstColumn="1" w:lastColumn="0" w:noHBand="0" w:noVBand="1"/>
      </w:tblPr>
      <w:tblGrid>
        <w:gridCol w:w="3300"/>
        <w:gridCol w:w="817"/>
        <w:gridCol w:w="817"/>
        <w:gridCol w:w="840"/>
        <w:gridCol w:w="840"/>
        <w:gridCol w:w="834"/>
        <w:gridCol w:w="817"/>
        <w:gridCol w:w="797"/>
      </w:tblGrid>
      <w:tr w:rsidR="003A497B" w:rsidRPr="00894616" w:rsidTr="003E1809">
        <w:trPr>
          <w:trHeight w:val="300"/>
        </w:trPr>
        <w:tc>
          <w:tcPr>
            <w:tcW w:w="1821"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894616" w:rsidRDefault="003A497B" w:rsidP="003E1809">
            <w:pPr>
              <w:rPr>
                <w:rFonts w:ascii="Times New Roman" w:hAnsi="Times New Roman" w:cs="Times New Roman"/>
                <w:b/>
                <w:bCs/>
                <w:color w:val="000000"/>
                <w:sz w:val="14"/>
                <w:szCs w:val="14"/>
                <w:lang w:eastAsia="sk-SK"/>
              </w:rPr>
            </w:pPr>
            <w:r w:rsidRPr="00894616">
              <w:rPr>
                <w:rFonts w:ascii="Times New Roman" w:hAnsi="Times New Roman" w:cs="Times New Roman"/>
                <w:b/>
                <w:bCs/>
                <w:color w:val="000000"/>
                <w:sz w:val="14"/>
                <w:szCs w:val="14"/>
                <w:lang w:eastAsia="sk-SK"/>
              </w:rPr>
              <w:t>v</w:t>
            </w:r>
            <w:r>
              <w:rPr>
                <w:rFonts w:ascii="Times New Roman" w:hAnsi="Times New Roman" w:cs="Times New Roman"/>
                <w:b/>
                <w:bCs/>
                <w:color w:val="000000"/>
                <w:sz w:val="14"/>
                <w:szCs w:val="14"/>
                <w:lang w:eastAsia="sk-SK"/>
              </w:rPr>
              <w:t> </w:t>
            </w:r>
            <w:r w:rsidRPr="00894616">
              <w:rPr>
                <w:rFonts w:ascii="Times New Roman" w:hAnsi="Times New Roman" w:cs="Times New Roman"/>
                <w:b/>
                <w:bCs/>
                <w:color w:val="000000"/>
                <w:sz w:val="14"/>
                <w:szCs w:val="14"/>
                <w:lang w:eastAsia="sk-SK"/>
              </w:rPr>
              <w:t>eurách</w:t>
            </w:r>
          </w:p>
        </w:tc>
        <w:tc>
          <w:tcPr>
            <w:tcW w:w="451"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2016 S</w:t>
            </w:r>
          </w:p>
        </w:tc>
        <w:tc>
          <w:tcPr>
            <w:tcW w:w="451"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2017 </w:t>
            </w:r>
            <w:r>
              <w:rPr>
                <w:rFonts w:ascii="Times New Roman" w:hAnsi="Times New Roman" w:cs="Times New Roman"/>
                <w:b/>
                <w:bCs/>
                <w:color w:val="000000"/>
                <w:sz w:val="14"/>
                <w:szCs w:val="14"/>
                <w:lang w:eastAsia="sk-SK"/>
              </w:rPr>
              <w:t>S</w:t>
            </w:r>
          </w:p>
        </w:tc>
        <w:tc>
          <w:tcPr>
            <w:tcW w:w="463"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w:t>
            </w:r>
            <w:r>
              <w:rPr>
                <w:rFonts w:ascii="Times New Roman" w:hAnsi="Times New Roman" w:cs="Times New Roman"/>
                <w:b/>
                <w:bCs/>
                <w:color w:val="000000"/>
                <w:sz w:val="14"/>
                <w:szCs w:val="14"/>
                <w:lang w:eastAsia="sk-SK"/>
              </w:rPr>
              <w:t>8</w:t>
            </w:r>
            <w:r w:rsidRPr="00346A12">
              <w:rPr>
                <w:rFonts w:ascii="Times New Roman" w:hAnsi="Times New Roman" w:cs="Times New Roman"/>
                <w:b/>
                <w:bCs/>
                <w:color w:val="000000"/>
                <w:sz w:val="14"/>
                <w:szCs w:val="14"/>
                <w:lang w:eastAsia="sk-SK"/>
              </w:rPr>
              <w:t xml:space="preserve"> </w:t>
            </w:r>
            <w:r>
              <w:rPr>
                <w:rFonts w:ascii="Times New Roman" w:hAnsi="Times New Roman" w:cs="Times New Roman"/>
                <w:b/>
                <w:bCs/>
                <w:color w:val="000000"/>
                <w:sz w:val="14"/>
                <w:szCs w:val="14"/>
                <w:lang w:eastAsia="sk-SK"/>
              </w:rPr>
              <w:t>R</w:t>
            </w:r>
          </w:p>
        </w:tc>
        <w:tc>
          <w:tcPr>
            <w:tcW w:w="463"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 xml:space="preserve">2018 </w:t>
            </w:r>
            <w:r>
              <w:rPr>
                <w:rFonts w:ascii="Times New Roman" w:hAnsi="Times New Roman" w:cs="Times New Roman"/>
                <w:b/>
                <w:bCs/>
                <w:color w:val="000000"/>
                <w:sz w:val="14"/>
                <w:szCs w:val="14"/>
                <w:lang w:eastAsia="sk-SK"/>
              </w:rPr>
              <w:t>OS</w:t>
            </w:r>
          </w:p>
        </w:tc>
        <w:tc>
          <w:tcPr>
            <w:tcW w:w="460"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2019 N</w:t>
            </w:r>
          </w:p>
        </w:tc>
        <w:tc>
          <w:tcPr>
            <w:tcW w:w="451"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2020 N</w:t>
            </w:r>
          </w:p>
        </w:tc>
        <w:tc>
          <w:tcPr>
            <w:tcW w:w="440"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346A12" w:rsidRDefault="003A497B" w:rsidP="003E1809">
            <w:pPr>
              <w:jc w:val="center"/>
              <w:rPr>
                <w:rFonts w:ascii="Times New Roman" w:hAnsi="Times New Roman" w:cs="Times New Roman"/>
                <w:b/>
                <w:bCs/>
                <w:color w:val="000000"/>
                <w:sz w:val="14"/>
                <w:szCs w:val="14"/>
                <w:lang w:eastAsia="sk-SK"/>
              </w:rPr>
            </w:pPr>
            <w:r w:rsidRPr="00346A12">
              <w:rPr>
                <w:rFonts w:ascii="Times New Roman" w:hAnsi="Times New Roman" w:cs="Times New Roman"/>
                <w:b/>
                <w:bCs/>
                <w:color w:val="000000"/>
                <w:sz w:val="14"/>
                <w:szCs w:val="14"/>
                <w:lang w:eastAsia="sk-SK"/>
              </w:rPr>
              <w:t>202</w:t>
            </w:r>
            <w:r>
              <w:rPr>
                <w:rFonts w:ascii="Times New Roman" w:hAnsi="Times New Roman" w:cs="Times New Roman"/>
                <w:b/>
                <w:bCs/>
                <w:color w:val="000000"/>
                <w:sz w:val="14"/>
                <w:szCs w:val="14"/>
                <w:lang w:eastAsia="sk-SK"/>
              </w:rPr>
              <w:t>1</w:t>
            </w:r>
            <w:r w:rsidRPr="00346A12">
              <w:rPr>
                <w:rFonts w:ascii="Times New Roman" w:hAnsi="Times New Roman" w:cs="Times New Roman"/>
                <w:b/>
                <w:bCs/>
                <w:color w:val="000000"/>
                <w:sz w:val="14"/>
                <w:szCs w:val="14"/>
                <w:lang w:eastAsia="sk-SK"/>
              </w:rPr>
              <w:t xml:space="preserve"> N</w:t>
            </w:r>
          </w:p>
        </w:tc>
      </w:tr>
      <w:tr w:rsidR="003A497B" w:rsidRPr="00894616" w:rsidTr="003E1809">
        <w:trPr>
          <w:trHeight w:hRule="exact" w:val="284"/>
        </w:trPr>
        <w:tc>
          <w:tcPr>
            <w:tcW w:w="1821" w:type="pct"/>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bottom"/>
            <w:hideMark/>
          </w:tcPr>
          <w:p w:rsidR="003A497B" w:rsidRPr="00894616" w:rsidRDefault="003A497B" w:rsidP="003E1809">
            <w:pPr>
              <w:rPr>
                <w:rFonts w:ascii="Times New Roman" w:hAnsi="Times New Roman" w:cs="Times New Roman"/>
                <w:b/>
                <w:bCs/>
                <w:color w:val="000000"/>
                <w:sz w:val="14"/>
                <w:szCs w:val="14"/>
                <w:lang w:eastAsia="sk-SK"/>
              </w:rPr>
            </w:pPr>
            <w:r w:rsidRPr="00894616">
              <w:rPr>
                <w:rFonts w:ascii="Times New Roman" w:hAnsi="Times New Roman" w:cs="Times New Roman"/>
                <w:b/>
                <w:bCs/>
                <w:color w:val="000000"/>
                <w:sz w:val="14"/>
                <w:szCs w:val="14"/>
                <w:lang w:eastAsia="sk-SK"/>
              </w:rPr>
              <w:t>Tvorba a implementácia politík</w:t>
            </w:r>
          </w:p>
        </w:tc>
        <w:tc>
          <w:tcPr>
            <w:tcW w:w="451"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585E54" w:rsidRDefault="003A497B" w:rsidP="003E1809">
            <w:pPr>
              <w:jc w:val="right"/>
              <w:rPr>
                <w:rFonts w:ascii="Times New Roman" w:hAnsi="Times New Roman" w:cs="Times New Roman"/>
                <w:b/>
                <w:bCs/>
                <w:color w:val="000000"/>
                <w:sz w:val="14"/>
                <w:szCs w:val="14"/>
                <w:lang w:eastAsia="sk-SK"/>
              </w:rPr>
            </w:pPr>
            <w:r w:rsidRPr="00585E54">
              <w:rPr>
                <w:rFonts w:ascii="Times New Roman" w:hAnsi="Times New Roman" w:cs="Times New Roman"/>
                <w:b/>
                <w:bCs/>
                <w:color w:val="000000"/>
                <w:sz w:val="14"/>
                <w:szCs w:val="14"/>
              </w:rPr>
              <w:t>57 863 090</w:t>
            </w:r>
          </w:p>
        </w:tc>
        <w:tc>
          <w:tcPr>
            <w:tcW w:w="451"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585E54" w:rsidRDefault="003A497B" w:rsidP="003E1809">
            <w:pPr>
              <w:jc w:val="right"/>
              <w:rPr>
                <w:rFonts w:ascii="Times New Roman" w:hAnsi="Times New Roman" w:cs="Times New Roman"/>
                <w:b/>
                <w:bCs/>
                <w:color w:val="000000"/>
                <w:sz w:val="14"/>
                <w:szCs w:val="14"/>
              </w:rPr>
            </w:pPr>
            <w:r w:rsidRPr="00585E54">
              <w:rPr>
                <w:rFonts w:ascii="Times New Roman" w:hAnsi="Times New Roman" w:cs="Times New Roman"/>
                <w:b/>
                <w:bCs/>
                <w:color w:val="000000"/>
                <w:sz w:val="14"/>
                <w:szCs w:val="14"/>
              </w:rPr>
              <w:t>56 010 474</w:t>
            </w:r>
          </w:p>
        </w:tc>
        <w:tc>
          <w:tcPr>
            <w:tcW w:w="463"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585E54" w:rsidRDefault="003A497B" w:rsidP="003E1809">
            <w:pPr>
              <w:jc w:val="right"/>
              <w:rPr>
                <w:rFonts w:ascii="Times New Roman" w:hAnsi="Times New Roman" w:cs="Times New Roman"/>
                <w:b/>
                <w:bCs/>
                <w:color w:val="000000"/>
                <w:sz w:val="14"/>
                <w:szCs w:val="14"/>
              </w:rPr>
            </w:pPr>
            <w:r w:rsidRPr="00585E54">
              <w:rPr>
                <w:rFonts w:ascii="Times New Roman" w:hAnsi="Times New Roman" w:cs="Times New Roman"/>
                <w:b/>
                <w:bCs/>
                <w:color w:val="000000"/>
                <w:sz w:val="14"/>
                <w:szCs w:val="14"/>
              </w:rPr>
              <w:t>147 867 091</w:t>
            </w:r>
          </w:p>
        </w:tc>
        <w:tc>
          <w:tcPr>
            <w:tcW w:w="463"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585E54" w:rsidRDefault="003A497B" w:rsidP="003E1809">
            <w:pPr>
              <w:jc w:val="right"/>
              <w:rPr>
                <w:rFonts w:ascii="Times New Roman" w:hAnsi="Times New Roman" w:cs="Times New Roman"/>
                <w:b/>
                <w:bCs/>
                <w:color w:val="000000"/>
                <w:sz w:val="14"/>
                <w:szCs w:val="14"/>
              </w:rPr>
            </w:pPr>
            <w:r w:rsidRPr="00585E54">
              <w:rPr>
                <w:rFonts w:ascii="Times New Roman" w:hAnsi="Times New Roman" w:cs="Times New Roman"/>
                <w:b/>
                <w:bCs/>
                <w:color w:val="000000"/>
                <w:sz w:val="14"/>
                <w:szCs w:val="14"/>
              </w:rPr>
              <w:t>153 312 566</w:t>
            </w:r>
          </w:p>
        </w:tc>
        <w:tc>
          <w:tcPr>
            <w:tcW w:w="460"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39739F" w:rsidRDefault="003A497B" w:rsidP="003E1809">
            <w:pPr>
              <w:jc w:val="right"/>
              <w:rPr>
                <w:rFonts w:ascii="Times New Roman" w:hAnsi="Times New Roman" w:cs="Times New Roman"/>
                <w:b/>
                <w:bCs/>
                <w:color w:val="000000"/>
                <w:sz w:val="14"/>
                <w:szCs w:val="14"/>
                <w:lang w:eastAsia="sk-SK"/>
              </w:rPr>
            </w:pPr>
            <w:r w:rsidRPr="0039739F">
              <w:rPr>
                <w:rFonts w:ascii="Times New Roman" w:hAnsi="Times New Roman" w:cs="Times New Roman"/>
                <w:b/>
                <w:bCs/>
                <w:color w:val="000000"/>
                <w:sz w:val="14"/>
                <w:szCs w:val="14"/>
              </w:rPr>
              <w:t>85 763 444</w:t>
            </w:r>
          </w:p>
        </w:tc>
        <w:tc>
          <w:tcPr>
            <w:tcW w:w="451"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BD0CE1" w:rsidRDefault="003A497B" w:rsidP="003E1809">
            <w:pPr>
              <w:jc w:val="right"/>
              <w:rPr>
                <w:rFonts w:ascii="Times New Roman" w:hAnsi="Times New Roman" w:cs="Times New Roman"/>
                <w:b/>
                <w:bCs/>
                <w:color w:val="000000"/>
                <w:sz w:val="14"/>
                <w:szCs w:val="14"/>
              </w:rPr>
            </w:pPr>
            <w:r w:rsidRPr="00BD0CE1">
              <w:rPr>
                <w:rFonts w:ascii="Times New Roman" w:hAnsi="Times New Roman" w:cs="Times New Roman"/>
                <w:b/>
                <w:bCs/>
                <w:color w:val="000000"/>
                <w:sz w:val="14"/>
                <w:szCs w:val="14"/>
              </w:rPr>
              <w:t>64 272 674</w:t>
            </w:r>
          </w:p>
        </w:tc>
        <w:tc>
          <w:tcPr>
            <w:tcW w:w="440" w:type="pct"/>
            <w:tcBorders>
              <w:top w:val="single" w:sz="4" w:space="0" w:color="auto"/>
              <w:left w:val="nil"/>
              <w:bottom w:val="single" w:sz="4" w:space="0" w:color="auto"/>
              <w:right w:val="single" w:sz="4" w:space="0" w:color="auto"/>
            </w:tcBorders>
            <w:shd w:val="clear" w:color="000000" w:fill="BFBFBF" w:themeFill="background1" w:themeFillShade="BF"/>
            <w:noWrap/>
            <w:vAlign w:val="bottom"/>
            <w:hideMark/>
          </w:tcPr>
          <w:p w:rsidR="003A497B" w:rsidRPr="00BD0CE1" w:rsidRDefault="003A497B" w:rsidP="003E1809">
            <w:pPr>
              <w:jc w:val="right"/>
              <w:rPr>
                <w:rFonts w:ascii="Times New Roman" w:hAnsi="Times New Roman" w:cs="Times New Roman"/>
                <w:b/>
                <w:bCs/>
                <w:color w:val="000000"/>
                <w:sz w:val="14"/>
                <w:szCs w:val="14"/>
              </w:rPr>
            </w:pPr>
            <w:r w:rsidRPr="00BD0CE1">
              <w:rPr>
                <w:rFonts w:ascii="Times New Roman" w:hAnsi="Times New Roman" w:cs="Times New Roman"/>
                <w:b/>
                <w:bCs/>
                <w:color w:val="000000"/>
                <w:sz w:val="14"/>
                <w:szCs w:val="14"/>
              </w:rPr>
              <w:t>64 292 674</w:t>
            </w:r>
          </w:p>
        </w:tc>
      </w:tr>
      <w:tr w:rsidR="003A497B" w:rsidRPr="00894616" w:rsidTr="003E1809">
        <w:trPr>
          <w:trHeight w:hRule="exact" w:val="284"/>
        </w:trPr>
        <w:tc>
          <w:tcPr>
            <w:tcW w:w="1821" w:type="pct"/>
            <w:tcBorders>
              <w:top w:val="nil"/>
              <w:left w:val="single" w:sz="4" w:space="0" w:color="auto"/>
              <w:bottom w:val="single" w:sz="4" w:space="0" w:color="auto"/>
              <w:right w:val="single" w:sz="4" w:space="0" w:color="auto"/>
            </w:tcBorders>
            <w:shd w:val="clear" w:color="auto" w:fill="auto"/>
            <w:noWrap/>
            <w:vAlign w:val="bottom"/>
            <w:hideMark/>
          </w:tcPr>
          <w:p w:rsidR="003A497B" w:rsidRPr="00894616" w:rsidRDefault="003A497B" w:rsidP="003E1809">
            <w:pPr>
              <w:rPr>
                <w:rFonts w:ascii="Times New Roman" w:hAnsi="Times New Roman" w:cs="Times New Roman"/>
                <w:color w:val="000000"/>
                <w:sz w:val="14"/>
                <w:szCs w:val="14"/>
                <w:lang w:eastAsia="sk-SK"/>
              </w:rPr>
            </w:pPr>
            <w:r w:rsidRPr="00894616">
              <w:rPr>
                <w:rFonts w:ascii="Times New Roman" w:hAnsi="Times New Roman" w:cs="Times New Roman"/>
                <w:color w:val="000000"/>
                <w:sz w:val="14"/>
                <w:szCs w:val="14"/>
                <w:lang w:eastAsia="sk-SK"/>
              </w:rPr>
              <w:t>Ústredný orgán MDV SR</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24 911 252</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22 288 815</w:t>
            </w:r>
          </w:p>
        </w:tc>
        <w:tc>
          <w:tcPr>
            <w:tcW w:w="463"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22 569 922</w:t>
            </w:r>
          </w:p>
        </w:tc>
        <w:tc>
          <w:tcPr>
            <w:tcW w:w="463"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22 989 197</w:t>
            </w:r>
          </w:p>
        </w:tc>
        <w:tc>
          <w:tcPr>
            <w:tcW w:w="460" w:type="pct"/>
            <w:tcBorders>
              <w:top w:val="nil"/>
              <w:left w:val="nil"/>
              <w:bottom w:val="single" w:sz="4" w:space="0" w:color="auto"/>
              <w:right w:val="single" w:sz="4" w:space="0" w:color="auto"/>
            </w:tcBorders>
            <w:shd w:val="clear" w:color="auto" w:fill="auto"/>
            <w:noWrap/>
            <w:vAlign w:val="bottom"/>
            <w:hideMark/>
          </w:tcPr>
          <w:p w:rsidR="003A497B" w:rsidRPr="0039739F" w:rsidRDefault="003A497B" w:rsidP="003E1809">
            <w:pPr>
              <w:jc w:val="right"/>
              <w:rPr>
                <w:rFonts w:ascii="Times New Roman" w:hAnsi="Times New Roman" w:cs="Times New Roman"/>
                <w:color w:val="000000"/>
                <w:sz w:val="14"/>
                <w:szCs w:val="14"/>
              </w:rPr>
            </w:pPr>
            <w:r w:rsidRPr="0039739F">
              <w:rPr>
                <w:rFonts w:ascii="Times New Roman" w:hAnsi="Times New Roman" w:cs="Times New Roman"/>
                <w:color w:val="000000"/>
                <w:sz w:val="14"/>
                <w:szCs w:val="14"/>
              </w:rPr>
              <w:t>23 727 700</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23 749 792</w:t>
            </w:r>
          </w:p>
        </w:tc>
        <w:tc>
          <w:tcPr>
            <w:tcW w:w="440" w:type="pct"/>
            <w:tcBorders>
              <w:top w:val="nil"/>
              <w:left w:val="nil"/>
              <w:bottom w:val="single" w:sz="4" w:space="0" w:color="auto"/>
              <w:right w:val="single" w:sz="4" w:space="0" w:color="auto"/>
            </w:tcBorders>
            <w:shd w:val="clear" w:color="auto" w:fill="auto"/>
            <w:noWrap/>
            <w:vAlign w:val="bottom"/>
            <w:hideMark/>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23 749 791</w:t>
            </w:r>
          </w:p>
        </w:tc>
      </w:tr>
      <w:tr w:rsidR="003A497B" w:rsidRPr="00894616" w:rsidTr="003E1809">
        <w:trPr>
          <w:trHeight w:hRule="exact" w:val="284"/>
        </w:trPr>
        <w:tc>
          <w:tcPr>
            <w:tcW w:w="1821" w:type="pct"/>
            <w:tcBorders>
              <w:top w:val="nil"/>
              <w:left w:val="single" w:sz="4" w:space="0" w:color="auto"/>
              <w:bottom w:val="single" w:sz="4" w:space="0" w:color="auto"/>
              <w:right w:val="single" w:sz="4" w:space="0" w:color="auto"/>
            </w:tcBorders>
            <w:shd w:val="clear" w:color="auto" w:fill="auto"/>
            <w:noWrap/>
            <w:vAlign w:val="bottom"/>
            <w:hideMark/>
          </w:tcPr>
          <w:p w:rsidR="003A497B" w:rsidRPr="00894616" w:rsidRDefault="003A497B" w:rsidP="003E1809">
            <w:pPr>
              <w:rPr>
                <w:rFonts w:ascii="Times New Roman" w:hAnsi="Times New Roman" w:cs="Times New Roman"/>
                <w:color w:val="000000"/>
                <w:sz w:val="14"/>
                <w:szCs w:val="14"/>
                <w:lang w:eastAsia="sk-SK"/>
              </w:rPr>
            </w:pPr>
            <w:r w:rsidRPr="00894616">
              <w:rPr>
                <w:rFonts w:ascii="Times New Roman" w:hAnsi="Times New Roman" w:cs="Times New Roman"/>
                <w:color w:val="000000"/>
                <w:sz w:val="14"/>
                <w:szCs w:val="14"/>
                <w:lang w:eastAsia="sk-SK"/>
              </w:rPr>
              <w:t>Dopravný úrad</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5 204 327</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6 265 183</w:t>
            </w:r>
          </w:p>
        </w:tc>
        <w:tc>
          <w:tcPr>
            <w:tcW w:w="463"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5 315 880</w:t>
            </w:r>
          </w:p>
        </w:tc>
        <w:tc>
          <w:tcPr>
            <w:tcW w:w="463"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5 315 880</w:t>
            </w:r>
          </w:p>
        </w:tc>
        <w:tc>
          <w:tcPr>
            <w:tcW w:w="460" w:type="pct"/>
            <w:tcBorders>
              <w:top w:val="nil"/>
              <w:left w:val="nil"/>
              <w:bottom w:val="single" w:sz="4" w:space="0" w:color="auto"/>
              <w:right w:val="single" w:sz="4" w:space="0" w:color="auto"/>
            </w:tcBorders>
            <w:shd w:val="clear" w:color="auto" w:fill="auto"/>
            <w:noWrap/>
            <w:vAlign w:val="bottom"/>
            <w:hideMark/>
          </w:tcPr>
          <w:p w:rsidR="003A497B" w:rsidRPr="0039739F" w:rsidRDefault="003A497B" w:rsidP="003E1809">
            <w:pPr>
              <w:jc w:val="right"/>
              <w:rPr>
                <w:rFonts w:ascii="Times New Roman" w:hAnsi="Times New Roman" w:cs="Times New Roman"/>
                <w:color w:val="000000"/>
                <w:sz w:val="14"/>
                <w:szCs w:val="14"/>
              </w:rPr>
            </w:pPr>
            <w:r w:rsidRPr="0039739F">
              <w:rPr>
                <w:rFonts w:ascii="Times New Roman" w:hAnsi="Times New Roman" w:cs="Times New Roman"/>
                <w:color w:val="000000"/>
                <w:sz w:val="14"/>
                <w:szCs w:val="14"/>
              </w:rPr>
              <w:t>5 801 844</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5 801 844</w:t>
            </w:r>
          </w:p>
        </w:tc>
        <w:tc>
          <w:tcPr>
            <w:tcW w:w="440" w:type="pct"/>
            <w:tcBorders>
              <w:top w:val="nil"/>
              <w:left w:val="nil"/>
              <w:bottom w:val="single" w:sz="4" w:space="0" w:color="auto"/>
              <w:right w:val="single" w:sz="4" w:space="0" w:color="auto"/>
            </w:tcBorders>
            <w:shd w:val="clear" w:color="auto" w:fill="auto"/>
            <w:noWrap/>
            <w:vAlign w:val="bottom"/>
            <w:hideMark/>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5 801 844</w:t>
            </w:r>
          </w:p>
        </w:tc>
      </w:tr>
      <w:tr w:rsidR="003A497B" w:rsidRPr="00894616" w:rsidTr="003E1809">
        <w:trPr>
          <w:trHeight w:val="300"/>
        </w:trPr>
        <w:tc>
          <w:tcPr>
            <w:tcW w:w="1821" w:type="pct"/>
            <w:tcBorders>
              <w:top w:val="nil"/>
              <w:left w:val="single" w:sz="4" w:space="0" w:color="auto"/>
              <w:bottom w:val="single" w:sz="4" w:space="0" w:color="auto"/>
              <w:right w:val="single" w:sz="4" w:space="0" w:color="auto"/>
            </w:tcBorders>
            <w:shd w:val="clear" w:color="auto" w:fill="auto"/>
            <w:noWrap/>
            <w:vAlign w:val="bottom"/>
            <w:hideMark/>
          </w:tcPr>
          <w:p w:rsidR="003A497B" w:rsidRDefault="003A497B" w:rsidP="003E1809">
            <w:pPr>
              <w:rPr>
                <w:rFonts w:ascii="Times New Roman" w:hAnsi="Times New Roman" w:cs="Times New Roman"/>
                <w:color w:val="000000"/>
                <w:sz w:val="14"/>
                <w:szCs w:val="14"/>
                <w:lang w:eastAsia="sk-SK"/>
              </w:rPr>
            </w:pPr>
            <w:r w:rsidRPr="00894616">
              <w:rPr>
                <w:rFonts w:ascii="Times New Roman" w:hAnsi="Times New Roman" w:cs="Times New Roman"/>
                <w:color w:val="000000"/>
                <w:sz w:val="14"/>
                <w:szCs w:val="14"/>
                <w:lang w:eastAsia="sk-SK"/>
              </w:rPr>
              <w:t>Úrad pre reguláciu elektronických komunikácií</w:t>
            </w:r>
          </w:p>
          <w:p w:rsidR="003A497B" w:rsidRPr="00894616" w:rsidRDefault="003A497B" w:rsidP="003E1809">
            <w:pPr>
              <w:rPr>
                <w:rFonts w:ascii="Times New Roman" w:hAnsi="Times New Roman" w:cs="Times New Roman"/>
                <w:color w:val="000000"/>
                <w:sz w:val="14"/>
                <w:szCs w:val="14"/>
                <w:lang w:eastAsia="sk-SK"/>
              </w:rPr>
            </w:pPr>
            <w:r w:rsidRPr="00894616">
              <w:rPr>
                <w:rFonts w:ascii="Times New Roman" w:hAnsi="Times New Roman" w:cs="Times New Roman"/>
                <w:color w:val="000000"/>
                <w:sz w:val="14"/>
                <w:szCs w:val="14"/>
                <w:lang w:eastAsia="sk-SK"/>
              </w:rPr>
              <w:t xml:space="preserve"> a poštových služieb</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4 628 725</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6 068 731</w:t>
            </w:r>
          </w:p>
        </w:tc>
        <w:tc>
          <w:tcPr>
            <w:tcW w:w="463"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5 446 283</w:t>
            </w:r>
          </w:p>
        </w:tc>
        <w:tc>
          <w:tcPr>
            <w:tcW w:w="463"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5 446 283</w:t>
            </w:r>
          </w:p>
        </w:tc>
        <w:tc>
          <w:tcPr>
            <w:tcW w:w="460" w:type="pct"/>
            <w:tcBorders>
              <w:top w:val="nil"/>
              <w:left w:val="nil"/>
              <w:bottom w:val="single" w:sz="4" w:space="0" w:color="auto"/>
              <w:right w:val="single" w:sz="4" w:space="0" w:color="auto"/>
            </w:tcBorders>
            <w:shd w:val="clear" w:color="auto" w:fill="auto"/>
            <w:noWrap/>
            <w:vAlign w:val="bottom"/>
            <w:hideMark/>
          </w:tcPr>
          <w:p w:rsidR="003A497B" w:rsidRPr="0039739F" w:rsidRDefault="003A497B" w:rsidP="003E1809">
            <w:pPr>
              <w:jc w:val="right"/>
              <w:rPr>
                <w:rFonts w:ascii="Times New Roman" w:hAnsi="Times New Roman" w:cs="Times New Roman"/>
                <w:color w:val="000000"/>
                <w:sz w:val="14"/>
                <w:szCs w:val="14"/>
              </w:rPr>
            </w:pPr>
            <w:r w:rsidRPr="0039739F">
              <w:rPr>
                <w:rFonts w:ascii="Times New Roman" w:hAnsi="Times New Roman" w:cs="Times New Roman"/>
                <w:color w:val="000000"/>
                <w:sz w:val="14"/>
                <w:szCs w:val="14"/>
              </w:rPr>
              <w:t>6 359 835</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6 093 973</w:t>
            </w:r>
          </w:p>
        </w:tc>
        <w:tc>
          <w:tcPr>
            <w:tcW w:w="440" w:type="pct"/>
            <w:tcBorders>
              <w:top w:val="nil"/>
              <w:left w:val="nil"/>
              <w:bottom w:val="single" w:sz="4" w:space="0" w:color="auto"/>
              <w:right w:val="single" w:sz="4" w:space="0" w:color="auto"/>
            </w:tcBorders>
            <w:shd w:val="clear" w:color="auto" w:fill="auto"/>
            <w:noWrap/>
            <w:vAlign w:val="bottom"/>
            <w:hideMark/>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6 113 973</w:t>
            </w:r>
          </w:p>
        </w:tc>
      </w:tr>
      <w:tr w:rsidR="003A497B" w:rsidRPr="00894616" w:rsidTr="003E1809">
        <w:trPr>
          <w:trHeight w:hRule="exact" w:val="284"/>
        </w:trPr>
        <w:tc>
          <w:tcPr>
            <w:tcW w:w="1821" w:type="pct"/>
            <w:tcBorders>
              <w:top w:val="nil"/>
              <w:left w:val="single" w:sz="4" w:space="0" w:color="auto"/>
              <w:bottom w:val="single" w:sz="4" w:space="0" w:color="auto"/>
              <w:right w:val="single" w:sz="4" w:space="0" w:color="auto"/>
            </w:tcBorders>
            <w:shd w:val="clear" w:color="auto" w:fill="auto"/>
            <w:noWrap/>
            <w:vAlign w:val="bottom"/>
            <w:hideMark/>
          </w:tcPr>
          <w:p w:rsidR="003A497B" w:rsidRPr="00894616" w:rsidRDefault="003A497B" w:rsidP="003E1809">
            <w:pPr>
              <w:rPr>
                <w:rFonts w:ascii="Times New Roman" w:hAnsi="Times New Roman" w:cs="Times New Roman"/>
                <w:color w:val="000000"/>
                <w:sz w:val="14"/>
                <w:szCs w:val="14"/>
                <w:lang w:eastAsia="sk-SK"/>
              </w:rPr>
            </w:pPr>
            <w:r w:rsidRPr="00894616">
              <w:rPr>
                <w:rFonts w:ascii="Times New Roman" w:hAnsi="Times New Roman" w:cs="Times New Roman"/>
                <w:color w:val="000000"/>
                <w:sz w:val="14"/>
                <w:szCs w:val="14"/>
                <w:lang w:eastAsia="sk-SK"/>
              </w:rPr>
              <w:t>Slovenská stavebná inšpekcia</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690 024</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797 043</w:t>
            </w:r>
          </w:p>
        </w:tc>
        <w:tc>
          <w:tcPr>
            <w:tcW w:w="463"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828 184</w:t>
            </w:r>
          </w:p>
        </w:tc>
        <w:tc>
          <w:tcPr>
            <w:tcW w:w="463"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828 184</w:t>
            </w:r>
          </w:p>
        </w:tc>
        <w:tc>
          <w:tcPr>
            <w:tcW w:w="460" w:type="pct"/>
            <w:tcBorders>
              <w:top w:val="nil"/>
              <w:left w:val="nil"/>
              <w:bottom w:val="single" w:sz="4" w:space="0" w:color="auto"/>
              <w:right w:val="single" w:sz="4" w:space="0" w:color="auto"/>
            </w:tcBorders>
            <w:shd w:val="clear" w:color="auto" w:fill="auto"/>
            <w:noWrap/>
            <w:vAlign w:val="bottom"/>
            <w:hideMark/>
          </w:tcPr>
          <w:p w:rsidR="003A497B" w:rsidRPr="0039739F" w:rsidRDefault="003A497B" w:rsidP="003E1809">
            <w:pPr>
              <w:jc w:val="right"/>
              <w:rPr>
                <w:rFonts w:ascii="Times New Roman" w:hAnsi="Times New Roman" w:cs="Times New Roman"/>
                <w:color w:val="000000"/>
                <w:sz w:val="14"/>
                <w:szCs w:val="14"/>
              </w:rPr>
            </w:pPr>
            <w:r w:rsidRPr="0039739F">
              <w:rPr>
                <w:rFonts w:ascii="Times New Roman" w:hAnsi="Times New Roman" w:cs="Times New Roman"/>
                <w:color w:val="000000"/>
                <w:sz w:val="14"/>
                <w:szCs w:val="14"/>
              </w:rPr>
              <w:t>859 639</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859 639</w:t>
            </w:r>
          </w:p>
        </w:tc>
        <w:tc>
          <w:tcPr>
            <w:tcW w:w="440" w:type="pct"/>
            <w:tcBorders>
              <w:top w:val="nil"/>
              <w:left w:val="nil"/>
              <w:bottom w:val="single" w:sz="4" w:space="0" w:color="auto"/>
              <w:right w:val="single" w:sz="4" w:space="0" w:color="auto"/>
            </w:tcBorders>
            <w:shd w:val="clear" w:color="auto" w:fill="auto"/>
            <w:noWrap/>
            <w:vAlign w:val="bottom"/>
            <w:hideMark/>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859 639</w:t>
            </w:r>
          </w:p>
        </w:tc>
      </w:tr>
      <w:tr w:rsidR="003A497B" w:rsidRPr="00894616" w:rsidTr="003E1809">
        <w:trPr>
          <w:trHeight w:hRule="exact" w:val="284"/>
        </w:trPr>
        <w:tc>
          <w:tcPr>
            <w:tcW w:w="1821" w:type="pct"/>
            <w:tcBorders>
              <w:top w:val="nil"/>
              <w:left w:val="single" w:sz="4" w:space="0" w:color="auto"/>
              <w:bottom w:val="single" w:sz="4" w:space="0" w:color="auto"/>
              <w:right w:val="single" w:sz="4" w:space="0" w:color="auto"/>
            </w:tcBorders>
            <w:shd w:val="clear" w:color="auto" w:fill="auto"/>
            <w:noWrap/>
            <w:vAlign w:val="bottom"/>
            <w:hideMark/>
          </w:tcPr>
          <w:p w:rsidR="003A497B" w:rsidRPr="00894616" w:rsidRDefault="003A497B" w:rsidP="003E1809">
            <w:pPr>
              <w:rPr>
                <w:rFonts w:ascii="Times New Roman" w:hAnsi="Times New Roman" w:cs="Times New Roman"/>
                <w:color w:val="000000"/>
                <w:sz w:val="14"/>
                <w:szCs w:val="14"/>
                <w:lang w:eastAsia="sk-SK"/>
              </w:rPr>
            </w:pPr>
            <w:r w:rsidRPr="00894616">
              <w:rPr>
                <w:rFonts w:ascii="Times New Roman" w:hAnsi="Times New Roman" w:cs="Times New Roman"/>
                <w:color w:val="000000"/>
                <w:sz w:val="14"/>
                <w:szCs w:val="14"/>
                <w:lang w:eastAsia="sk-SK"/>
              </w:rPr>
              <w:t>Prenesený výkon štátnej správy</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6 435 901</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6 441 732</w:t>
            </w:r>
          </w:p>
        </w:tc>
        <w:tc>
          <w:tcPr>
            <w:tcW w:w="463"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7 503 665</w:t>
            </w:r>
          </w:p>
        </w:tc>
        <w:tc>
          <w:tcPr>
            <w:tcW w:w="463"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7 503 665</w:t>
            </w:r>
          </w:p>
        </w:tc>
        <w:tc>
          <w:tcPr>
            <w:tcW w:w="460" w:type="pct"/>
            <w:tcBorders>
              <w:top w:val="nil"/>
              <w:left w:val="nil"/>
              <w:bottom w:val="single" w:sz="4" w:space="0" w:color="auto"/>
              <w:right w:val="single" w:sz="4" w:space="0" w:color="auto"/>
            </w:tcBorders>
            <w:shd w:val="clear" w:color="000000" w:fill="FFFFFF"/>
            <w:noWrap/>
            <w:vAlign w:val="bottom"/>
            <w:hideMark/>
          </w:tcPr>
          <w:p w:rsidR="003A497B" w:rsidRPr="0039739F" w:rsidRDefault="003A497B" w:rsidP="003E1809">
            <w:pPr>
              <w:jc w:val="right"/>
              <w:rPr>
                <w:rFonts w:ascii="Times New Roman" w:hAnsi="Times New Roman" w:cs="Times New Roman"/>
                <w:color w:val="000000"/>
                <w:sz w:val="14"/>
                <w:szCs w:val="14"/>
              </w:rPr>
            </w:pPr>
            <w:r w:rsidRPr="0039739F">
              <w:rPr>
                <w:rFonts w:ascii="Times New Roman" w:hAnsi="Times New Roman" w:cs="Times New Roman"/>
                <w:color w:val="000000"/>
                <w:sz w:val="14"/>
                <w:szCs w:val="14"/>
              </w:rPr>
              <w:t>7 503 665</w:t>
            </w:r>
          </w:p>
        </w:tc>
        <w:tc>
          <w:tcPr>
            <w:tcW w:w="451" w:type="pct"/>
            <w:tcBorders>
              <w:top w:val="nil"/>
              <w:left w:val="nil"/>
              <w:bottom w:val="single" w:sz="4" w:space="0" w:color="auto"/>
              <w:right w:val="single" w:sz="4" w:space="0" w:color="auto"/>
            </w:tcBorders>
            <w:shd w:val="clear" w:color="000000" w:fill="FFFFFF"/>
            <w:noWrap/>
            <w:vAlign w:val="bottom"/>
            <w:hideMark/>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7 503 665</w:t>
            </w:r>
          </w:p>
        </w:tc>
        <w:tc>
          <w:tcPr>
            <w:tcW w:w="440" w:type="pct"/>
            <w:tcBorders>
              <w:top w:val="nil"/>
              <w:left w:val="nil"/>
              <w:bottom w:val="single" w:sz="4" w:space="0" w:color="auto"/>
              <w:right w:val="single" w:sz="4" w:space="0" w:color="auto"/>
            </w:tcBorders>
            <w:shd w:val="clear" w:color="000000" w:fill="FFFFFF"/>
            <w:noWrap/>
            <w:vAlign w:val="bottom"/>
            <w:hideMark/>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7 503 665</w:t>
            </w:r>
          </w:p>
        </w:tc>
      </w:tr>
      <w:tr w:rsidR="003A497B" w:rsidRPr="00894616" w:rsidTr="003E1809">
        <w:trPr>
          <w:trHeight w:hRule="exact" w:val="284"/>
        </w:trPr>
        <w:tc>
          <w:tcPr>
            <w:tcW w:w="1821" w:type="pct"/>
            <w:tcBorders>
              <w:top w:val="nil"/>
              <w:left w:val="single" w:sz="4" w:space="0" w:color="auto"/>
              <w:bottom w:val="single" w:sz="4" w:space="0" w:color="auto"/>
              <w:right w:val="single" w:sz="4" w:space="0" w:color="auto"/>
            </w:tcBorders>
            <w:shd w:val="clear" w:color="auto" w:fill="auto"/>
            <w:noWrap/>
            <w:vAlign w:val="bottom"/>
            <w:hideMark/>
          </w:tcPr>
          <w:p w:rsidR="003A497B" w:rsidRPr="00894616" w:rsidRDefault="003A497B" w:rsidP="003E1809">
            <w:pPr>
              <w:rPr>
                <w:rFonts w:ascii="Times New Roman" w:hAnsi="Times New Roman" w:cs="Times New Roman"/>
                <w:color w:val="000000"/>
                <w:sz w:val="14"/>
                <w:szCs w:val="14"/>
                <w:lang w:eastAsia="sk-SK"/>
              </w:rPr>
            </w:pPr>
            <w:r w:rsidRPr="00894616">
              <w:rPr>
                <w:rFonts w:ascii="Times New Roman" w:hAnsi="Times New Roman" w:cs="Times New Roman"/>
                <w:color w:val="000000"/>
                <w:sz w:val="14"/>
                <w:szCs w:val="14"/>
                <w:lang w:eastAsia="sk-SK"/>
              </w:rPr>
              <w:t>Poštová univerzálna služba</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12 023 669</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12 848 659</w:t>
            </w:r>
          </w:p>
        </w:tc>
        <w:tc>
          <w:tcPr>
            <w:tcW w:w="463"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12 000 000</w:t>
            </w:r>
          </w:p>
        </w:tc>
        <w:tc>
          <w:tcPr>
            <w:tcW w:w="463"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12 000 000</w:t>
            </w:r>
          </w:p>
        </w:tc>
        <w:tc>
          <w:tcPr>
            <w:tcW w:w="460" w:type="pct"/>
            <w:tcBorders>
              <w:top w:val="nil"/>
              <w:left w:val="nil"/>
              <w:bottom w:val="single" w:sz="4" w:space="0" w:color="auto"/>
              <w:right w:val="single" w:sz="4" w:space="0" w:color="auto"/>
            </w:tcBorders>
            <w:shd w:val="clear" w:color="000000" w:fill="FFFFFF"/>
            <w:noWrap/>
            <w:vAlign w:val="bottom"/>
            <w:hideMark/>
          </w:tcPr>
          <w:p w:rsidR="003A497B" w:rsidRPr="0039739F" w:rsidRDefault="003A497B" w:rsidP="003E1809">
            <w:pPr>
              <w:jc w:val="right"/>
              <w:rPr>
                <w:rFonts w:ascii="Times New Roman" w:hAnsi="Times New Roman" w:cs="Times New Roman"/>
                <w:color w:val="000000"/>
                <w:sz w:val="14"/>
                <w:szCs w:val="14"/>
              </w:rPr>
            </w:pPr>
            <w:r w:rsidRPr="0039739F">
              <w:rPr>
                <w:rFonts w:ascii="Times New Roman" w:hAnsi="Times New Roman" w:cs="Times New Roman"/>
                <w:color w:val="000000"/>
                <w:sz w:val="14"/>
                <w:szCs w:val="14"/>
              </w:rPr>
              <w:t>12 000 000</w:t>
            </w:r>
          </w:p>
        </w:tc>
        <w:tc>
          <w:tcPr>
            <w:tcW w:w="451" w:type="pct"/>
            <w:tcBorders>
              <w:top w:val="nil"/>
              <w:left w:val="nil"/>
              <w:bottom w:val="single" w:sz="4" w:space="0" w:color="auto"/>
              <w:right w:val="single" w:sz="4" w:space="0" w:color="auto"/>
            </w:tcBorders>
            <w:shd w:val="clear" w:color="000000" w:fill="FFFFFF"/>
            <w:noWrap/>
            <w:vAlign w:val="bottom"/>
            <w:hideMark/>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12 000 000</w:t>
            </w:r>
          </w:p>
        </w:tc>
        <w:tc>
          <w:tcPr>
            <w:tcW w:w="440" w:type="pct"/>
            <w:tcBorders>
              <w:top w:val="nil"/>
              <w:left w:val="nil"/>
              <w:bottom w:val="single" w:sz="4" w:space="0" w:color="auto"/>
              <w:right w:val="single" w:sz="4" w:space="0" w:color="auto"/>
            </w:tcBorders>
            <w:shd w:val="clear" w:color="000000" w:fill="FFFFFF"/>
            <w:noWrap/>
            <w:vAlign w:val="bottom"/>
            <w:hideMark/>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12 000 001</w:t>
            </w:r>
          </w:p>
        </w:tc>
      </w:tr>
      <w:tr w:rsidR="003A497B" w:rsidRPr="00894616" w:rsidTr="003E1809">
        <w:trPr>
          <w:trHeight w:hRule="exact" w:val="284"/>
        </w:trPr>
        <w:tc>
          <w:tcPr>
            <w:tcW w:w="1821" w:type="pct"/>
            <w:tcBorders>
              <w:top w:val="nil"/>
              <w:left w:val="single" w:sz="4" w:space="0" w:color="auto"/>
              <w:bottom w:val="single" w:sz="4" w:space="0" w:color="auto"/>
              <w:right w:val="single" w:sz="4" w:space="0" w:color="auto"/>
            </w:tcBorders>
            <w:shd w:val="clear" w:color="auto" w:fill="auto"/>
            <w:noWrap/>
            <w:vAlign w:val="bottom"/>
            <w:hideMark/>
          </w:tcPr>
          <w:p w:rsidR="003A497B" w:rsidRPr="00894616" w:rsidRDefault="003A497B" w:rsidP="003E1809">
            <w:pPr>
              <w:rPr>
                <w:rFonts w:ascii="Times New Roman" w:hAnsi="Times New Roman" w:cs="Times New Roman"/>
                <w:color w:val="000000"/>
                <w:sz w:val="14"/>
                <w:szCs w:val="14"/>
                <w:lang w:eastAsia="sk-SK"/>
              </w:rPr>
            </w:pPr>
            <w:r w:rsidRPr="00894616">
              <w:rPr>
                <w:rFonts w:ascii="Times New Roman" w:hAnsi="Times New Roman" w:cs="Times New Roman"/>
                <w:color w:val="000000"/>
                <w:sz w:val="14"/>
                <w:szCs w:val="14"/>
                <w:lang w:eastAsia="sk-SK"/>
              </w:rPr>
              <w:t>Podpora integrovanej siete RRA</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832 634</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0</w:t>
            </w:r>
          </w:p>
        </w:tc>
        <w:tc>
          <w:tcPr>
            <w:tcW w:w="463"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0</w:t>
            </w:r>
          </w:p>
        </w:tc>
        <w:tc>
          <w:tcPr>
            <w:tcW w:w="463"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0</w:t>
            </w:r>
          </w:p>
        </w:tc>
        <w:tc>
          <w:tcPr>
            <w:tcW w:w="460" w:type="pct"/>
            <w:tcBorders>
              <w:top w:val="nil"/>
              <w:left w:val="nil"/>
              <w:bottom w:val="single" w:sz="4" w:space="0" w:color="auto"/>
              <w:right w:val="single" w:sz="4" w:space="0" w:color="auto"/>
            </w:tcBorders>
            <w:shd w:val="clear" w:color="000000" w:fill="FFFFFF"/>
            <w:noWrap/>
            <w:vAlign w:val="bottom"/>
            <w:hideMark/>
          </w:tcPr>
          <w:p w:rsidR="003A497B" w:rsidRPr="0039739F" w:rsidRDefault="003A497B" w:rsidP="003E1809">
            <w:pPr>
              <w:jc w:val="right"/>
              <w:rPr>
                <w:rFonts w:ascii="Times New Roman" w:hAnsi="Times New Roman" w:cs="Times New Roman"/>
                <w:color w:val="000000"/>
                <w:sz w:val="14"/>
                <w:szCs w:val="14"/>
              </w:rPr>
            </w:pPr>
            <w:r w:rsidRPr="0039739F">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shd w:val="clear" w:color="000000" w:fill="FFFFFF"/>
            <w:noWrap/>
            <w:vAlign w:val="bottom"/>
            <w:hideMark/>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0</w:t>
            </w:r>
          </w:p>
        </w:tc>
        <w:tc>
          <w:tcPr>
            <w:tcW w:w="440" w:type="pct"/>
            <w:tcBorders>
              <w:top w:val="nil"/>
              <w:left w:val="nil"/>
              <w:bottom w:val="single" w:sz="4" w:space="0" w:color="auto"/>
              <w:right w:val="single" w:sz="4" w:space="0" w:color="auto"/>
            </w:tcBorders>
            <w:shd w:val="clear" w:color="000000" w:fill="FFFFFF"/>
            <w:noWrap/>
            <w:vAlign w:val="bottom"/>
            <w:hideMark/>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0</w:t>
            </w:r>
          </w:p>
        </w:tc>
      </w:tr>
      <w:tr w:rsidR="003A497B" w:rsidRPr="00894616" w:rsidTr="003E1809">
        <w:trPr>
          <w:trHeight w:hRule="exact" w:val="284"/>
        </w:trPr>
        <w:tc>
          <w:tcPr>
            <w:tcW w:w="1821" w:type="pct"/>
            <w:tcBorders>
              <w:top w:val="nil"/>
              <w:left w:val="single" w:sz="4" w:space="0" w:color="auto"/>
              <w:bottom w:val="single" w:sz="4" w:space="0" w:color="auto"/>
              <w:right w:val="single" w:sz="4" w:space="0" w:color="auto"/>
            </w:tcBorders>
            <w:shd w:val="clear" w:color="auto" w:fill="auto"/>
            <w:noWrap/>
            <w:vAlign w:val="bottom"/>
            <w:hideMark/>
          </w:tcPr>
          <w:p w:rsidR="003A497B" w:rsidRPr="00894616" w:rsidRDefault="003A497B" w:rsidP="003E1809">
            <w:pPr>
              <w:rPr>
                <w:rFonts w:ascii="Times New Roman" w:hAnsi="Times New Roman" w:cs="Times New Roman"/>
                <w:color w:val="000000"/>
                <w:sz w:val="14"/>
                <w:szCs w:val="14"/>
                <w:lang w:eastAsia="sk-SK"/>
              </w:rPr>
            </w:pPr>
            <w:r w:rsidRPr="00894616">
              <w:rPr>
                <w:rFonts w:ascii="Times New Roman" w:hAnsi="Times New Roman" w:cs="Times New Roman"/>
                <w:color w:val="000000"/>
                <w:sz w:val="14"/>
                <w:szCs w:val="14"/>
                <w:lang w:eastAsia="sk-SK"/>
              </w:rPr>
              <w:t>Podpora na projekty Euroregiónov</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204 587</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0</w:t>
            </w:r>
          </w:p>
        </w:tc>
        <w:tc>
          <w:tcPr>
            <w:tcW w:w="463"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0</w:t>
            </w:r>
          </w:p>
        </w:tc>
        <w:tc>
          <w:tcPr>
            <w:tcW w:w="463"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0</w:t>
            </w:r>
          </w:p>
        </w:tc>
        <w:tc>
          <w:tcPr>
            <w:tcW w:w="460" w:type="pct"/>
            <w:tcBorders>
              <w:top w:val="nil"/>
              <w:left w:val="nil"/>
              <w:bottom w:val="single" w:sz="4" w:space="0" w:color="auto"/>
              <w:right w:val="single" w:sz="4" w:space="0" w:color="auto"/>
            </w:tcBorders>
            <w:shd w:val="clear" w:color="000000" w:fill="FFFFFF"/>
            <w:noWrap/>
            <w:vAlign w:val="bottom"/>
            <w:hideMark/>
          </w:tcPr>
          <w:p w:rsidR="003A497B" w:rsidRPr="0039739F" w:rsidRDefault="003A497B" w:rsidP="003E1809">
            <w:pPr>
              <w:jc w:val="right"/>
              <w:rPr>
                <w:rFonts w:ascii="Times New Roman" w:hAnsi="Times New Roman" w:cs="Times New Roman"/>
                <w:color w:val="000000"/>
                <w:sz w:val="14"/>
                <w:szCs w:val="14"/>
              </w:rPr>
            </w:pPr>
            <w:r w:rsidRPr="0039739F">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shd w:val="clear" w:color="000000" w:fill="FFFFFF"/>
            <w:noWrap/>
            <w:vAlign w:val="bottom"/>
            <w:hideMark/>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0</w:t>
            </w:r>
          </w:p>
        </w:tc>
        <w:tc>
          <w:tcPr>
            <w:tcW w:w="440" w:type="pct"/>
            <w:tcBorders>
              <w:top w:val="nil"/>
              <w:left w:val="nil"/>
              <w:bottom w:val="single" w:sz="4" w:space="0" w:color="auto"/>
              <w:right w:val="single" w:sz="4" w:space="0" w:color="auto"/>
            </w:tcBorders>
            <w:shd w:val="clear" w:color="000000" w:fill="FFFFFF"/>
            <w:noWrap/>
            <w:vAlign w:val="bottom"/>
            <w:hideMark/>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0</w:t>
            </w:r>
          </w:p>
        </w:tc>
      </w:tr>
      <w:tr w:rsidR="003A497B" w:rsidRPr="00894616" w:rsidTr="003E1809">
        <w:trPr>
          <w:trHeight w:hRule="exact" w:val="284"/>
        </w:trPr>
        <w:tc>
          <w:tcPr>
            <w:tcW w:w="1821" w:type="pct"/>
            <w:tcBorders>
              <w:top w:val="nil"/>
              <w:left w:val="single" w:sz="4" w:space="0" w:color="auto"/>
              <w:bottom w:val="single" w:sz="4" w:space="0" w:color="auto"/>
              <w:right w:val="single" w:sz="4" w:space="0" w:color="auto"/>
            </w:tcBorders>
            <w:shd w:val="clear" w:color="auto" w:fill="auto"/>
            <w:noWrap/>
            <w:vAlign w:val="bottom"/>
            <w:hideMark/>
          </w:tcPr>
          <w:p w:rsidR="003A497B" w:rsidRPr="00894616" w:rsidRDefault="003A497B" w:rsidP="003E1809">
            <w:pPr>
              <w:rPr>
                <w:rFonts w:ascii="Times New Roman" w:hAnsi="Times New Roman" w:cs="Times New Roman"/>
                <w:color w:val="000000"/>
                <w:sz w:val="14"/>
                <w:szCs w:val="14"/>
                <w:lang w:eastAsia="sk-SK"/>
              </w:rPr>
            </w:pPr>
            <w:r w:rsidRPr="00894616">
              <w:rPr>
                <w:rFonts w:ascii="Times New Roman" w:hAnsi="Times New Roman" w:cs="Times New Roman"/>
                <w:color w:val="000000"/>
                <w:sz w:val="14"/>
                <w:szCs w:val="14"/>
                <w:lang w:eastAsia="sk-SK"/>
              </w:rPr>
              <w:t>Program podpory územného rozvoja obcí a miest</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548 899</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574 138</w:t>
            </w:r>
          </w:p>
        </w:tc>
        <w:tc>
          <w:tcPr>
            <w:tcW w:w="463"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610 000</w:t>
            </w:r>
          </w:p>
        </w:tc>
        <w:tc>
          <w:tcPr>
            <w:tcW w:w="463"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610 000</w:t>
            </w:r>
          </w:p>
        </w:tc>
        <w:tc>
          <w:tcPr>
            <w:tcW w:w="460" w:type="pct"/>
            <w:tcBorders>
              <w:top w:val="nil"/>
              <w:left w:val="nil"/>
              <w:bottom w:val="single" w:sz="4" w:space="0" w:color="auto"/>
              <w:right w:val="single" w:sz="4" w:space="0" w:color="auto"/>
            </w:tcBorders>
            <w:shd w:val="clear" w:color="000000" w:fill="FFFFFF"/>
            <w:noWrap/>
            <w:vAlign w:val="bottom"/>
            <w:hideMark/>
          </w:tcPr>
          <w:p w:rsidR="003A497B" w:rsidRPr="0039739F" w:rsidRDefault="003A497B" w:rsidP="003E1809">
            <w:pPr>
              <w:jc w:val="right"/>
              <w:rPr>
                <w:rFonts w:ascii="Times New Roman" w:hAnsi="Times New Roman" w:cs="Times New Roman"/>
                <w:color w:val="000000"/>
                <w:sz w:val="14"/>
                <w:szCs w:val="14"/>
              </w:rPr>
            </w:pPr>
            <w:r w:rsidRPr="0039739F">
              <w:rPr>
                <w:rFonts w:ascii="Times New Roman" w:hAnsi="Times New Roman" w:cs="Times New Roman"/>
                <w:color w:val="000000"/>
                <w:sz w:val="14"/>
                <w:szCs w:val="14"/>
              </w:rPr>
              <w:t>610 000</w:t>
            </w:r>
          </w:p>
        </w:tc>
        <w:tc>
          <w:tcPr>
            <w:tcW w:w="451" w:type="pct"/>
            <w:tcBorders>
              <w:top w:val="nil"/>
              <w:left w:val="nil"/>
              <w:bottom w:val="single" w:sz="4" w:space="0" w:color="auto"/>
              <w:right w:val="single" w:sz="4" w:space="0" w:color="auto"/>
            </w:tcBorders>
            <w:shd w:val="clear" w:color="000000" w:fill="FFFFFF"/>
            <w:noWrap/>
            <w:vAlign w:val="bottom"/>
            <w:hideMark/>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610 000</w:t>
            </w:r>
          </w:p>
        </w:tc>
        <w:tc>
          <w:tcPr>
            <w:tcW w:w="440" w:type="pct"/>
            <w:tcBorders>
              <w:top w:val="nil"/>
              <w:left w:val="nil"/>
              <w:bottom w:val="single" w:sz="4" w:space="0" w:color="auto"/>
              <w:right w:val="single" w:sz="4" w:space="0" w:color="auto"/>
            </w:tcBorders>
            <w:shd w:val="clear" w:color="000000" w:fill="FFFFFF"/>
            <w:noWrap/>
            <w:vAlign w:val="bottom"/>
            <w:hideMark/>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610 000</w:t>
            </w:r>
          </w:p>
        </w:tc>
      </w:tr>
      <w:tr w:rsidR="003A497B" w:rsidRPr="00894616" w:rsidTr="003E1809">
        <w:trPr>
          <w:trHeight w:hRule="exact" w:val="284"/>
        </w:trPr>
        <w:tc>
          <w:tcPr>
            <w:tcW w:w="1821" w:type="pct"/>
            <w:tcBorders>
              <w:top w:val="nil"/>
              <w:left w:val="single" w:sz="4" w:space="0" w:color="auto"/>
              <w:bottom w:val="single" w:sz="4" w:space="0" w:color="auto"/>
              <w:right w:val="single" w:sz="4" w:space="0" w:color="auto"/>
            </w:tcBorders>
            <w:shd w:val="clear" w:color="auto" w:fill="auto"/>
            <w:noWrap/>
            <w:vAlign w:val="bottom"/>
            <w:hideMark/>
          </w:tcPr>
          <w:p w:rsidR="003A497B" w:rsidRPr="00894616" w:rsidRDefault="003A497B" w:rsidP="003E1809">
            <w:pPr>
              <w:rPr>
                <w:rFonts w:ascii="Times New Roman" w:hAnsi="Times New Roman" w:cs="Times New Roman"/>
                <w:color w:val="000000"/>
                <w:sz w:val="14"/>
                <w:szCs w:val="14"/>
                <w:lang w:eastAsia="sk-SK"/>
              </w:rPr>
            </w:pPr>
            <w:r w:rsidRPr="00894616">
              <w:rPr>
                <w:rFonts w:ascii="Times New Roman" w:hAnsi="Times New Roman" w:cs="Times New Roman"/>
                <w:color w:val="000000"/>
                <w:sz w:val="14"/>
                <w:szCs w:val="14"/>
                <w:lang w:eastAsia="sk-SK"/>
              </w:rPr>
              <w:t>Veda a výskum</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647 224</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703 952</w:t>
            </w:r>
          </w:p>
        </w:tc>
        <w:tc>
          <w:tcPr>
            <w:tcW w:w="463"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793 157</w:t>
            </w:r>
          </w:p>
        </w:tc>
        <w:tc>
          <w:tcPr>
            <w:tcW w:w="463"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793 157</w:t>
            </w:r>
          </w:p>
        </w:tc>
        <w:tc>
          <w:tcPr>
            <w:tcW w:w="460" w:type="pct"/>
            <w:tcBorders>
              <w:top w:val="nil"/>
              <w:left w:val="nil"/>
              <w:bottom w:val="single" w:sz="4" w:space="0" w:color="auto"/>
              <w:right w:val="single" w:sz="4" w:space="0" w:color="auto"/>
            </w:tcBorders>
            <w:shd w:val="clear" w:color="000000" w:fill="FFFFFF"/>
            <w:noWrap/>
            <w:vAlign w:val="bottom"/>
            <w:hideMark/>
          </w:tcPr>
          <w:p w:rsidR="003A497B" w:rsidRPr="0039739F" w:rsidRDefault="003A497B" w:rsidP="003E1809">
            <w:pPr>
              <w:jc w:val="right"/>
              <w:rPr>
                <w:rFonts w:ascii="Times New Roman" w:hAnsi="Times New Roman" w:cs="Times New Roman"/>
                <w:color w:val="000000"/>
                <w:sz w:val="14"/>
                <w:szCs w:val="14"/>
              </w:rPr>
            </w:pPr>
            <w:r w:rsidRPr="0039739F">
              <w:rPr>
                <w:rFonts w:ascii="Times New Roman" w:hAnsi="Times New Roman" w:cs="Times New Roman"/>
                <w:color w:val="000000"/>
                <w:sz w:val="14"/>
                <w:szCs w:val="14"/>
              </w:rPr>
              <w:t>793 157</w:t>
            </w:r>
          </w:p>
        </w:tc>
        <w:tc>
          <w:tcPr>
            <w:tcW w:w="451" w:type="pct"/>
            <w:tcBorders>
              <w:top w:val="nil"/>
              <w:left w:val="nil"/>
              <w:bottom w:val="single" w:sz="4" w:space="0" w:color="auto"/>
              <w:right w:val="single" w:sz="4" w:space="0" w:color="auto"/>
            </w:tcBorders>
            <w:shd w:val="clear" w:color="000000" w:fill="FFFFFF"/>
            <w:noWrap/>
            <w:vAlign w:val="bottom"/>
            <w:hideMark/>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793 157</w:t>
            </w:r>
          </w:p>
        </w:tc>
        <w:tc>
          <w:tcPr>
            <w:tcW w:w="440" w:type="pct"/>
            <w:tcBorders>
              <w:top w:val="nil"/>
              <w:left w:val="nil"/>
              <w:bottom w:val="single" w:sz="4" w:space="0" w:color="auto"/>
              <w:right w:val="single" w:sz="4" w:space="0" w:color="auto"/>
            </w:tcBorders>
            <w:shd w:val="clear" w:color="000000" w:fill="FFFFFF"/>
            <w:noWrap/>
            <w:vAlign w:val="bottom"/>
            <w:hideMark/>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793 157</w:t>
            </w:r>
          </w:p>
        </w:tc>
      </w:tr>
      <w:tr w:rsidR="003A497B" w:rsidRPr="00894616" w:rsidTr="003E1809">
        <w:trPr>
          <w:trHeight w:hRule="exact" w:val="284"/>
        </w:trPr>
        <w:tc>
          <w:tcPr>
            <w:tcW w:w="1821" w:type="pct"/>
            <w:tcBorders>
              <w:top w:val="nil"/>
              <w:left w:val="single" w:sz="4" w:space="0" w:color="auto"/>
              <w:bottom w:val="single" w:sz="4" w:space="0" w:color="auto"/>
              <w:right w:val="single" w:sz="4" w:space="0" w:color="auto"/>
            </w:tcBorders>
            <w:shd w:val="clear" w:color="auto" w:fill="auto"/>
            <w:noWrap/>
            <w:vAlign w:val="bottom"/>
          </w:tcPr>
          <w:p w:rsidR="003A497B" w:rsidRPr="00894616" w:rsidRDefault="003A497B" w:rsidP="003E1809">
            <w:pPr>
              <w:rPr>
                <w:rFonts w:ascii="Times New Roman" w:hAnsi="Times New Roman" w:cs="Times New Roman"/>
                <w:color w:val="000000"/>
                <w:sz w:val="14"/>
                <w:szCs w:val="14"/>
                <w:lang w:eastAsia="sk-SK"/>
              </w:rPr>
            </w:pPr>
            <w:r w:rsidRPr="00E8528B">
              <w:rPr>
                <w:rFonts w:ascii="Times New Roman" w:hAnsi="Times New Roman" w:cs="Times New Roman"/>
                <w:color w:val="000000"/>
                <w:sz w:val="14"/>
                <w:szCs w:val="14"/>
                <w:lang w:eastAsia="sk-SK"/>
              </w:rPr>
              <w:t>Implementácia rezortných polit</w:t>
            </w:r>
            <w:r>
              <w:rPr>
                <w:rFonts w:ascii="Times New Roman" w:hAnsi="Times New Roman" w:cs="Times New Roman"/>
                <w:color w:val="000000"/>
                <w:sz w:val="14"/>
                <w:szCs w:val="14"/>
                <w:lang w:eastAsia="sk-SK"/>
              </w:rPr>
              <w:t>í</w:t>
            </w:r>
            <w:r w:rsidRPr="00E8528B">
              <w:rPr>
                <w:rFonts w:ascii="Times New Roman" w:hAnsi="Times New Roman" w:cs="Times New Roman"/>
                <w:color w:val="000000"/>
                <w:sz w:val="14"/>
                <w:szCs w:val="14"/>
                <w:lang w:eastAsia="sk-SK"/>
              </w:rPr>
              <w:t>k</w:t>
            </w:r>
          </w:p>
        </w:tc>
        <w:tc>
          <w:tcPr>
            <w:tcW w:w="451" w:type="pct"/>
            <w:tcBorders>
              <w:top w:val="nil"/>
              <w:left w:val="nil"/>
              <w:bottom w:val="single" w:sz="4" w:space="0" w:color="auto"/>
              <w:right w:val="single" w:sz="4" w:space="0" w:color="auto"/>
            </w:tcBorders>
            <w:shd w:val="clear" w:color="auto" w:fill="auto"/>
            <w:noWrap/>
            <w:vAlign w:val="bottom"/>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shd w:val="clear" w:color="auto" w:fill="auto"/>
            <w:noWrap/>
            <w:vAlign w:val="bottom"/>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0</w:t>
            </w:r>
          </w:p>
        </w:tc>
        <w:tc>
          <w:tcPr>
            <w:tcW w:w="463" w:type="pct"/>
            <w:tcBorders>
              <w:top w:val="nil"/>
              <w:left w:val="nil"/>
              <w:bottom w:val="single" w:sz="4" w:space="0" w:color="auto"/>
              <w:right w:val="single" w:sz="4" w:space="0" w:color="auto"/>
            </w:tcBorders>
            <w:shd w:val="clear" w:color="000000" w:fill="FFFFFF"/>
            <w:noWrap/>
            <w:vAlign w:val="bottom"/>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92 800 000</w:t>
            </w:r>
          </w:p>
        </w:tc>
        <w:tc>
          <w:tcPr>
            <w:tcW w:w="463" w:type="pct"/>
            <w:tcBorders>
              <w:top w:val="nil"/>
              <w:left w:val="nil"/>
              <w:bottom w:val="single" w:sz="4" w:space="0" w:color="auto"/>
              <w:right w:val="single" w:sz="4" w:space="0" w:color="auto"/>
            </w:tcBorders>
            <w:shd w:val="clear" w:color="000000" w:fill="FFFFFF"/>
            <w:noWrap/>
            <w:vAlign w:val="bottom"/>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97 800 000</w:t>
            </w:r>
          </w:p>
        </w:tc>
        <w:tc>
          <w:tcPr>
            <w:tcW w:w="460" w:type="pct"/>
            <w:tcBorders>
              <w:top w:val="nil"/>
              <w:left w:val="nil"/>
              <w:bottom w:val="single" w:sz="4" w:space="0" w:color="auto"/>
              <w:right w:val="single" w:sz="4" w:space="0" w:color="auto"/>
            </w:tcBorders>
            <w:shd w:val="clear" w:color="000000" w:fill="FFFFFF"/>
            <w:noWrap/>
            <w:vAlign w:val="bottom"/>
          </w:tcPr>
          <w:p w:rsidR="003A497B" w:rsidRPr="0039739F" w:rsidRDefault="003A497B" w:rsidP="003E1809">
            <w:pPr>
              <w:jc w:val="right"/>
              <w:rPr>
                <w:rFonts w:ascii="Times New Roman" w:hAnsi="Times New Roman" w:cs="Times New Roman"/>
                <w:color w:val="000000"/>
                <w:sz w:val="14"/>
                <w:szCs w:val="14"/>
                <w:lang w:eastAsia="sk-SK"/>
              </w:rPr>
            </w:pPr>
            <w:r w:rsidRPr="0039739F">
              <w:rPr>
                <w:rFonts w:ascii="Times New Roman" w:hAnsi="Times New Roman" w:cs="Times New Roman"/>
                <w:color w:val="000000"/>
                <w:sz w:val="14"/>
                <w:szCs w:val="14"/>
              </w:rPr>
              <w:t>28 107 604</w:t>
            </w:r>
          </w:p>
        </w:tc>
        <w:tc>
          <w:tcPr>
            <w:tcW w:w="451" w:type="pct"/>
            <w:tcBorders>
              <w:top w:val="nil"/>
              <w:left w:val="nil"/>
              <w:bottom w:val="single" w:sz="4" w:space="0" w:color="auto"/>
              <w:right w:val="single" w:sz="4" w:space="0" w:color="auto"/>
            </w:tcBorders>
            <w:shd w:val="clear" w:color="000000" w:fill="FFFFFF"/>
            <w:noWrap/>
            <w:vAlign w:val="bottom"/>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6 860 604</w:t>
            </w:r>
          </w:p>
        </w:tc>
        <w:tc>
          <w:tcPr>
            <w:tcW w:w="440" w:type="pct"/>
            <w:tcBorders>
              <w:top w:val="nil"/>
              <w:left w:val="nil"/>
              <w:bottom w:val="single" w:sz="4" w:space="0" w:color="auto"/>
              <w:right w:val="single" w:sz="4" w:space="0" w:color="auto"/>
            </w:tcBorders>
            <w:shd w:val="clear" w:color="000000" w:fill="FFFFFF"/>
            <w:noWrap/>
            <w:vAlign w:val="bottom"/>
          </w:tcPr>
          <w:p w:rsidR="003A497B" w:rsidRPr="00BD0CE1" w:rsidRDefault="003A497B" w:rsidP="003E1809">
            <w:pPr>
              <w:jc w:val="right"/>
              <w:rPr>
                <w:rFonts w:ascii="Times New Roman" w:hAnsi="Times New Roman" w:cs="Times New Roman"/>
                <w:color w:val="000000"/>
                <w:sz w:val="14"/>
                <w:szCs w:val="14"/>
              </w:rPr>
            </w:pPr>
            <w:r w:rsidRPr="00BD0CE1">
              <w:rPr>
                <w:rFonts w:ascii="Times New Roman" w:hAnsi="Times New Roman" w:cs="Times New Roman"/>
                <w:color w:val="000000"/>
                <w:sz w:val="14"/>
                <w:szCs w:val="14"/>
              </w:rPr>
              <w:t>6 860 604</w:t>
            </w:r>
          </w:p>
        </w:tc>
      </w:tr>
      <w:tr w:rsidR="003A497B" w:rsidRPr="00894616" w:rsidTr="003E1809">
        <w:trPr>
          <w:trHeight w:hRule="exact" w:val="284"/>
        </w:trPr>
        <w:tc>
          <w:tcPr>
            <w:tcW w:w="1821" w:type="pct"/>
            <w:tcBorders>
              <w:top w:val="nil"/>
              <w:left w:val="single" w:sz="4" w:space="0" w:color="auto"/>
              <w:bottom w:val="single" w:sz="4" w:space="0" w:color="auto"/>
              <w:right w:val="single" w:sz="4" w:space="0" w:color="auto"/>
            </w:tcBorders>
            <w:shd w:val="clear" w:color="auto" w:fill="auto"/>
            <w:noWrap/>
            <w:vAlign w:val="bottom"/>
            <w:hideMark/>
          </w:tcPr>
          <w:p w:rsidR="003A497B" w:rsidRPr="00894616" w:rsidRDefault="003A497B" w:rsidP="003E1809">
            <w:pPr>
              <w:rPr>
                <w:rFonts w:ascii="Times New Roman" w:hAnsi="Times New Roman" w:cs="Times New Roman"/>
                <w:color w:val="000000"/>
                <w:sz w:val="14"/>
                <w:szCs w:val="14"/>
                <w:lang w:eastAsia="sk-SK"/>
              </w:rPr>
            </w:pPr>
            <w:r w:rsidRPr="00894616">
              <w:rPr>
                <w:rFonts w:ascii="Times New Roman" w:hAnsi="Times New Roman" w:cs="Times New Roman"/>
                <w:color w:val="000000"/>
                <w:sz w:val="14"/>
                <w:szCs w:val="14"/>
                <w:lang w:eastAsia="sk-SK"/>
              </w:rPr>
              <w:t>Rozvoj cyklistickej dopravy</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23 848</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22 221</w:t>
            </w:r>
          </w:p>
        </w:tc>
        <w:tc>
          <w:tcPr>
            <w:tcW w:w="463"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0</w:t>
            </w:r>
          </w:p>
        </w:tc>
        <w:tc>
          <w:tcPr>
            <w:tcW w:w="463"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26 200</w:t>
            </w:r>
          </w:p>
        </w:tc>
        <w:tc>
          <w:tcPr>
            <w:tcW w:w="460" w:type="pct"/>
            <w:tcBorders>
              <w:top w:val="nil"/>
              <w:left w:val="nil"/>
              <w:bottom w:val="single" w:sz="4" w:space="0" w:color="auto"/>
              <w:right w:val="single" w:sz="4" w:space="0" w:color="auto"/>
            </w:tcBorders>
            <w:shd w:val="clear" w:color="000000" w:fill="FFFFFF"/>
            <w:noWrap/>
            <w:vAlign w:val="bottom"/>
            <w:hideMark/>
          </w:tcPr>
          <w:p w:rsidR="003A497B" w:rsidRPr="0039739F" w:rsidRDefault="003A497B" w:rsidP="003E1809">
            <w:pPr>
              <w:jc w:val="right"/>
              <w:rPr>
                <w:rFonts w:ascii="Times New Roman" w:hAnsi="Times New Roman" w:cs="Times New Roman"/>
                <w:color w:val="000000"/>
                <w:sz w:val="14"/>
                <w:szCs w:val="14"/>
              </w:rPr>
            </w:pPr>
            <w:r w:rsidRPr="0039739F">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0</w:t>
            </w:r>
          </w:p>
        </w:tc>
        <w:tc>
          <w:tcPr>
            <w:tcW w:w="440"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0</w:t>
            </w:r>
          </w:p>
        </w:tc>
      </w:tr>
      <w:tr w:rsidR="003A497B" w:rsidRPr="00894616" w:rsidTr="003E1809">
        <w:trPr>
          <w:trHeight w:hRule="exact" w:val="284"/>
        </w:trPr>
        <w:tc>
          <w:tcPr>
            <w:tcW w:w="1821" w:type="pct"/>
            <w:tcBorders>
              <w:top w:val="nil"/>
              <w:left w:val="single" w:sz="4" w:space="0" w:color="auto"/>
              <w:bottom w:val="single" w:sz="4" w:space="0" w:color="auto"/>
              <w:right w:val="single" w:sz="4" w:space="0" w:color="auto"/>
            </w:tcBorders>
            <w:shd w:val="clear" w:color="auto" w:fill="auto"/>
            <w:noWrap/>
            <w:vAlign w:val="bottom"/>
            <w:hideMark/>
          </w:tcPr>
          <w:p w:rsidR="003A497B" w:rsidRPr="00894616" w:rsidRDefault="003A497B" w:rsidP="003E1809">
            <w:pPr>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Regionálny</w:t>
            </w:r>
            <w:r w:rsidRPr="00894616">
              <w:rPr>
                <w:rFonts w:ascii="Times New Roman" w:hAnsi="Times New Roman" w:cs="Times New Roman"/>
                <w:color w:val="000000"/>
                <w:sz w:val="14"/>
                <w:szCs w:val="14"/>
                <w:lang w:eastAsia="sk-SK"/>
              </w:rPr>
              <w:t xml:space="preserve"> príspevok</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1 712 000</w:t>
            </w:r>
          </w:p>
        </w:tc>
        <w:tc>
          <w:tcPr>
            <w:tcW w:w="451" w:type="pct"/>
            <w:tcBorders>
              <w:top w:val="nil"/>
              <w:left w:val="nil"/>
              <w:bottom w:val="single" w:sz="4" w:space="0" w:color="auto"/>
              <w:right w:val="single" w:sz="4" w:space="0" w:color="auto"/>
            </w:tcBorders>
            <w:shd w:val="clear" w:color="auto" w:fill="auto"/>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0</w:t>
            </w:r>
          </w:p>
        </w:tc>
        <w:tc>
          <w:tcPr>
            <w:tcW w:w="463"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0</w:t>
            </w:r>
          </w:p>
        </w:tc>
        <w:tc>
          <w:tcPr>
            <w:tcW w:w="463"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0</w:t>
            </w:r>
          </w:p>
        </w:tc>
        <w:tc>
          <w:tcPr>
            <w:tcW w:w="460" w:type="pct"/>
            <w:tcBorders>
              <w:top w:val="nil"/>
              <w:left w:val="nil"/>
              <w:bottom w:val="single" w:sz="4" w:space="0" w:color="auto"/>
              <w:right w:val="single" w:sz="4" w:space="0" w:color="auto"/>
            </w:tcBorders>
            <w:shd w:val="clear" w:color="000000" w:fill="FFFFFF"/>
            <w:noWrap/>
            <w:vAlign w:val="bottom"/>
            <w:hideMark/>
          </w:tcPr>
          <w:p w:rsidR="003A497B" w:rsidRPr="0039739F" w:rsidRDefault="003A497B" w:rsidP="003E1809">
            <w:pPr>
              <w:jc w:val="right"/>
              <w:rPr>
                <w:rFonts w:ascii="Times New Roman" w:hAnsi="Times New Roman" w:cs="Times New Roman"/>
                <w:color w:val="000000"/>
                <w:sz w:val="14"/>
                <w:szCs w:val="14"/>
              </w:rPr>
            </w:pPr>
            <w:r w:rsidRPr="0039739F">
              <w:rPr>
                <w:rFonts w:ascii="Times New Roman" w:hAnsi="Times New Roman" w:cs="Times New Roman"/>
                <w:color w:val="000000"/>
                <w:sz w:val="14"/>
                <w:szCs w:val="14"/>
              </w:rPr>
              <w:t>0</w:t>
            </w:r>
          </w:p>
        </w:tc>
        <w:tc>
          <w:tcPr>
            <w:tcW w:w="451"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0</w:t>
            </w:r>
          </w:p>
        </w:tc>
        <w:tc>
          <w:tcPr>
            <w:tcW w:w="440" w:type="pct"/>
            <w:tcBorders>
              <w:top w:val="nil"/>
              <w:left w:val="nil"/>
              <w:bottom w:val="single" w:sz="4" w:space="0" w:color="auto"/>
              <w:right w:val="single" w:sz="4" w:space="0" w:color="auto"/>
            </w:tcBorders>
            <w:shd w:val="clear" w:color="000000" w:fill="FFFFFF"/>
            <w:noWrap/>
            <w:vAlign w:val="bottom"/>
            <w:hideMark/>
          </w:tcPr>
          <w:p w:rsidR="003A497B" w:rsidRPr="00585E54" w:rsidRDefault="003A497B" w:rsidP="003E1809">
            <w:pPr>
              <w:jc w:val="right"/>
              <w:rPr>
                <w:rFonts w:ascii="Times New Roman" w:hAnsi="Times New Roman" w:cs="Times New Roman"/>
                <w:color w:val="000000"/>
                <w:sz w:val="14"/>
                <w:szCs w:val="14"/>
              </w:rPr>
            </w:pPr>
            <w:r w:rsidRPr="00585E54">
              <w:rPr>
                <w:rFonts w:ascii="Times New Roman" w:hAnsi="Times New Roman" w:cs="Times New Roman"/>
                <w:color w:val="000000"/>
                <w:sz w:val="14"/>
                <w:szCs w:val="14"/>
              </w:rPr>
              <w:t>0</w:t>
            </w:r>
          </w:p>
        </w:tc>
      </w:tr>
    </w:tbl>
    <w:p w:rsidR="003A497B" w:rsidRDefault="003A497B" w:rsidP="003A497B">
      <w:pPr>
        <w:jc w:val="both"/>
        <w:rPr>
          <w:rFonts w:ascii="Times New Roman" w:hAnsi="Times New Roman" w:cs="Times New Roman"/>
          <w:highlight w:val="yellow"/>
        </w:rPr>
      </w:pPr>
    </w:p>
    <w:p w:rsidR="003A497B" w:rsidRDefault="003A497B" w:rsidP="003A497B">
      <w:pPr>
        <w:ind w:firstLine="708"/>
        <w:jc w:val="both"/>
        <w:rPr>
          <w:rFonts w:ascii="Times New Roman" w:hAnsi="Times New Roman" w:cs="Times New Roman"/>
          <w:highlight w:val="yellow"/>
        </w:rPr>
      </w:pPr>
      <w:r w:rsidRPr="00AE59F7">
        <w:rPr>
          <w:rFonts w:ascii="Times New Roman" w:hAnsi="Times New Roman" w:cs="Times New Roman"/>
        </w:rPr>
        <w:t>Výdavky na tvorbu a implementáciu politík</w:t>
      </w:r>
      <w:r>
        <w:rPr>
          <w:rFonts w:ascii="Times New Roman" w:hAnsi="Times New Roman" w:cs="Times New Roman"/>
        </w:rPr>
        <w:t xml:space="preserve"> sa rozpočtujú na rok 2019 v sume </w:t>
      </w:r>
      <w:r>
        <w:rPr>
          <w:rFonts w:ascii="Times New Roman" w:hAnsi="Times New Roman" w:cs="Times New Roman"/>
        </w:rPr>
        <w:br/>
        <w:t xml:space="preserve">85,8 mil. eur, z toho je v rámci výdavkov na implementáciu rezortných politík, určených  </w:t>
      </w:r>
      <w:r>
        <w:rPr>
          <w:rFonts w:ascii="Times New Roman" w:hAnsi="Times New Roman" w:cs="Times New Roman"/>
        </w:rPr>
        <w:br/>
        <w:t>20,0 mil. eur  na opravu, údržbu a prevádzku železničnej infraštruktúry. Ostatnými výdavkami je</w:t>
      </w:r>
      <w:r w:rsidRPr="00AE59F7">
        <w:rPr>
          <w:rFonts w:ascii="Times New Roman" w:hAnsi="Times New Roman" w:cs="Times New Roman"/>
        </w:rPr>
        <w:t xml:space="preserve"> zabezpečen</w:t>
      </w:r>
      <w:r>
        <w:rPr>
          <w:rFonts w:ascii="Times New Roman" w:hAnsi="Times New Roman" w:cs="Times New Roman"/>
        </w:rPr>
        <w:t>é financovanie</w:t>
      </w:r>
      <w:r w:rsidRPr="00AE59F7">
        <w:rPr>
          <w:rFonts w:ascii="Times New Roman" w:hAnsi="Times New Roman" w:cs="Times New Roman"/>
        </w:rPr>
        <w:t xml:space="preserve"> úloh samotného úradu MDV SR, organizáci</w:t>
      </w:r>
      <w:r>
        <w:rPr>
          <w:rFonts w:ascii="Times New Roman" w:hAnsi="Times New Roman" w:cs="Times New Roman"/>
        </w:rPr>
        <w:t>í</w:t>
      </w:r>
      <w:r w:rsidRPr="00AE59F7">
        <w:rPr>
          <w:rFonts w:ascii="Times New Roman" w:hAnsi="Times New Roman" w:cs="Times New Roman"/>
        </w:rPr>
        <w:t xml:space="preserve"> ministerstva dopravy </w:t>
      </w:r>
      <w:r>
        <w:rPr>
          <w:rFonts w:ascii="Times New Roman" w:hAnsi="Times New Roman" w:cs="Times New Roman"/>
        </w:rPr>
        <w:t xml:space="preserve">a výstavby,  </w:t>
      </w:r>
      <w:r w:rsidRPr="000B5FC6">
        <w:rPr>
          <w:rFonts w:ascii="Times New Roman" w:hAnsi="Times New Roman" w:cs="Times New Roman"/>
        </w:rPr>
        <w:t>plneni</w:t>
      </w:r>
      <w:r>
        <w:rPr>
          <w:rFonts w:ascii="Times New Roman" w:hAnsi="Times New Roman" w:cs="Times New Roman"/>
        </w:rPr>
        <w:t>e</w:t>
      </w:r>
      <w:r w:rsidRPr="000B5FC6">
        <w:rPr>
          <w:rFonts w:ascii="Times New Roman" w:hAnsi="Times New Roman" w:cs="Times New Roman"/>
        </w:rPr>
        <w:t xml:space="preserve"> úloh vyplývajúcich z rezortných politík</w:t>
      </w:r>
      <w:r>
        <w:rPr>
          <w:rFonts w:ascii="Times New Roman" w:hAnsi="Times New Roman" w:cs="Times New Roman"/>
        </w:rPr>
        <w:t>,</w:t>
      </w:r>
      <w:r w:rsidRPr="000B5FC6">
        <w:rPr>
          <w:rFonts w:ascii="Times New Roman" w:hAnsi="Times New Roman" w:cs="Times New Roman"/>
        </w:rPr>
        <w:t xml:space="preserve"> </w:t>
      </w:r>
      <w:r w:rsidRPr="00AE59F7">
        <w:rPr>
          <w:rFonts w:ascii="Times New Roman" w:hAnsi="Times New Roman" w:cs="Times New Roman"/>
        </w:rPr>
        <w:t xml:space="preserve">a tiež  prenesený výkon štátnej správy. </w:t>
      </w:r>
    </w:p>
    <w:p w:rsidR="003A497B" w:rsidRDefault="003A497B" w:rsidP="003A497B">
      <w:pPr>
        <w:ind w:firstLine="708"/>
        <w:jc w:val="both"/>
        <w:rPr>
          <w:rFonts w:ascii="Times New Roman" w:hAnsi="Times New Roman" w:cs="Times New Roman"/>
        </w:rPr>
      </w:pPr>
    </w:p>
    <w:p w:rsidR="00D2350F" w:rsidRDefault="00D2350F" w:rsidP="003A497B">
      <w:pPr>
        <w:ind w:firstLine="708"/>
        <w:jc w:val="both"/>
        <w:rPr>
          <w:rFonts w:ascii="Times New Roman" w:hAnsi="Times New Roman" w:cs="Times New Roman"/>
        </w:rPr>
      </w:pPr>
    </w:p>
    <w:p w:rsidR="00D2350F" w:rsidRDefault="00D2350F" w:rsidP="003A497B">
      <w:pPr>
        <w:ind w:firstLine="708"/>
        <w:jc w:val="both"/>
        <w:rPr>
          <w:rFonts w:ascii="Times New Roman" w:hAnsi="Times New Roman" w:cs="Times New Roman"/>
        </w:rPr>
      </w:pPr>
    </w:p>
    <w:p w:rsidR="00D2350F" w:rsidRDefault="00D2350F" w:rsidP="003A497B">
      <w:pPr>
        <w:ind w:firstLine="708"/>
        <w:jc w:val="both"/>
        <w:rPr>
          <w:rFonts w:ascii="Times New Roman" w:hAnsi="Times New Roman" w:cs="Times New Roman"/>
        </w:rPr>
      </w:pPr>
    </w:p>
    <w:p w:rsidR="003A497B" w:rsidRPr="00A401D6" w:rsidRDefault="003A497B" w:rsidP="003A497B">
      <w:pPr>
        <w:pStyle w:val="Nadpis5"/>
        <w:pBdr>
          <w:bottom w:val="single" w:sz="4" w:space="1" w:color="auto"/>
        </w:pBdr>
        <w:ind w:left="0"/>
        <w:rPr>
          <w:i w:val="0"/>
          <w:sz w:val="24"/>
          <w:lang w:eastAsia="sk-SK"/>
        </w:rPr>
      </w:pPr>
      <w:bookmarkStart w:id="111" w:name="_Toc526267698"/>
      <w:r w:rsidRPr="00A401D6">
        <w:rPr>
          <w:i w:val="0"/>
          <w:sz w:val="24"/>
          <w:lang w:eastAsia="sk-SK"/>
        </w:rPr>
        <w:lastRenderedPageBreak/>
        <w:t>Ministerstvo životného prostredia SR</w:t>
      </w:r>
      <w:bookmarkEnd w:id="111"/>
    </w:p>
    <w:p w:rsidR="003A497B" w:rsidRPr="00EA1529" w:rsidRDefault="003A497B" w:rsidP="003A497B">
      <w:pPr>
        <w:jc w:val="both"/>
        <w:rPr>
          <w:rFonts w:ascii="Times New Roman" w:hAnsi="Times New Roman" w:cs="Times New Roman"/>
        </w:rPr>
      </w:pPr>
    </w:p>
    <w:p w:rsidR="003A497B" w:rsidRPr="009E32FC" w:rsidRDefault="003A497B" w:rsidP="003A497B">
      <w:pPr>
        <w:ind w:firstLine="708"/>
        <w:jc w:val="both"/>
        <w:rPr>
          <w:rFonts w:ascii="Times New Roman" w:hAnsi="Times New Roman" w:cs="Times New Roman"/>
        </w:rPr>
      </w:pPr>
      <w:r w:rsidRPr="009E32FC">
        <w:rPr>
          <w:rFonts w:ascii="Times New Roman" w:hAnsi="Times New Roman" w:cs="Times New Roman"/>
        </w:rPr>
        <w:t>Cieľom verejných investícií a politík v životnom prostredí je zvyšovanie kvality životného prostredia. Slovensko vykazuje v medzinárodnom porovnaní nadpriemerné výsledky pri z</w:t>
      </w:r>
      <w:r>
        <w:rPr>
          <w:rFonts w:ascii="Times New Roman" w:hAnsi="Times New Roman" w:cs="Times New Roman"/>
        </w:rPr>
        <w:t>nižovaní skleníkových plynov, ale</w:t>
      </w:r>
      <w:r w:rsidRPr="009E32FC">
        <w:rPr>
          <w:rFonts w:ascii="Times New Roman" w:hAnsi="Times New Roman" w:cs="Times New Roman"/>
        </w:rPr>
        <w:t xml:space="preserve"> stále zaostáva v kvalite ovzdušia, v manažmente odpadových vôd a odpadového hospodárstva.</w:t>
      </w:r>
    </w:p>
    <w:p w:rsidR="003A497B" w:rsidRPr="009E32FC" w:rsidRDefault="003A497B" w:rsidP="003A497B">
      <w:pPr>
        <w:jc w:val="both"/>
        <w:rPr>
          <w:rFonts w:ascii="Times New Roman" w:hAnsi="Times New Roman" w:cs="Times New Roman"/>
        </w:rPr>
      </w:pPr>
    </w:p>
    <w:tbl>
      <w:tblPr>
        <w:tblpPr w:leftFromText="141" w:rightFromText="141" w:vertAnchor="text" w:horzAnchor="margin" w:tblpY="1819"/>
        <w:tblOverlap w:val="never"/>
        <w:tblW w:w="497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1E0" w:firstRow="1" w:lastRow="1" w:firstColumn="1" w:lastColumn="1" w:noHBand="0" w:noVBand="0"/>
      </w:tblPr>
      <w:tblGrid>
        <w:gridCol w:w="4293"/>
        <w:gridCol w:w="179"/>
        <w:gridCol w:w="2787"/>
        <w:gridCol w:w="1759"/>
      </w:tblGrid>
      <w:tr w:rsidR="003A497B" w:rsidRPr="009E32FC" w:rsidTr="003E1809">
        <w:trPr>
          <w:trHeight w:hRule="exact" w:val="789"/>
        </w:trPr>
        <w:tc>
          <w:tcPr>
            <w:tcW w:w="2381" w:type="pct"/>
            <w:tcBorders>
              <w:top w:val="nil"/>
              <w:left w:val="nil"/>
              <w:bottom w:val="single" w:sz="4" w:space="0" w:color="auto"/>
              <w:right w:val="nil"/>
            </w:tcBorders>
            <w:shd w:val="clear" w:color="auto" w:fill="auto"/>
            <w:vAlign w:val="center"/>
          </w:tcPr>
          <w:p w:rsidR="003A497B" w:rsidRPr="009E32FC" w:rsidRDefault="003A497B" w:rsidP="003E1809">
            <w:pPr>
              <w:jc w:val="both"/>
              <w:rPr>
                <w:rFonts w:ascii="Times New Roman" w:hAnsi="Times New Roman" w:cs="Times New Roman"/>
                <w:b/>
                <w:iCs/>
              </w:rPr>
            </w:pPr>
            <w:bookmarkStart w:id="112" w:name="_Toc485220870"/>
            <w:bookmarkStart w:id="113" w:name="_Toc485221482"/>
            <w:bookmarkStart w:id="114" w:name="_Toc485224372"/>
            <w:bookmarkStart w:id="115" w:name="_Toc485292628"/>
            <w:bookmarkStart w:id="116" w:name="_Toc485308283"/>
            <w:bookmarkStart w:id="117" w:name="_Toc485653159"/>
            <w:bookmarkStart w:id="118" w:name="_Toc485653752"/>
            <w:bookmarkStart w:id="119" w:name="_Toc486413157"/>
            <w:bookmarkStart w:id="120" w:name="_Toc486497390"/>
            <w:bookmarkStart w:id="121" w:name="_Toc486512412"/>
            <w:bookmarkStart w:id="122" w:name="_Toc486512624"/>
            <w:bookmarkStart w:id="123" w:name="_Toc486513631"/>
            <w:r w:rsidRPr="009E32FC">
              <w:rPr>
                <w:rFonts w:ascii="Times New Roman" w:hAnsi="Times New Roman" w:cs="Times New Roman"/>
                <w:b/>
                <w:iCs/>
              </w:rPr>
              <w:t>Graf: Verejné výdavky na životné prostredie (v % HDP a % celkových verejných výdavkov, COFOG 05)</w:t>
            </w:r>
            <w:bookmarkEnd w:id="112"/>
            <w:bookmarkEnd w:id="113"/>
            <w:bookmarkEnd w:id="114"/>
            <w:bookmarkEnd w:id="115"/>
            <w:bookmarkEnd w:id="116"/>
            <w:bookmarkEnd w:id="117"/>
            <w:bookmarkEnd w:id="118"/>
            <w:bookmarkEnd w:id="119"/>
            <w:bookmarkEnd w:id="120"/>
            <w:bookmarkEnd w:id="121"/>
            <w:bookmarkEnd w:id="122"/>
            <w:bookmarkEnd w:id="123"/>
          </w:p>
        </w:tc>
        <w:tc>
          <w:tcPr>
            <w:tcW w:w="99" w:type="pct"/>
            <w:tcBorders>
              <w:top w:val="nil"/>
              <w:left w:val="nil"/>
              <w:bottom w:val="nil"/>
              <w:right w:val="nil"/>
            </w:tcBorders>
            <w:shd w:val="clear" w:color="auto" w:fill="auto"/>
            <w:vAlign w:val="center"/>
          </w:tcPr>
          <w:p w:rsidR="003A497B" w:rsidRPr="009E32FC" w:rsidRDefault="003A497B" w:rsidP="003E1809">
            <w:pPr>
              <w:jc w:val="both"/>
              <w:rPr>
                <w:rFonts w:ascii="Times New Roman" w:hAnsi="Times New Roman" w:cs="Times New Roman"/>
                <w:b/>
              </w:rPr>
            </w:pPr>
          </w:p>
        </w:tc>
        <w:tc>
          <w:tcPr>
            <w:tcW w:w="2521" w:type="pct"/>
            <w:gridSpan w:val="2"/>
            <w:tcBorders>
              <w:top w:val="nil"/>
              <w:left w:val="nil"/>
              <w:bottom w:val="single" w:sz="4" w:space="0" w:color="auto"/>
              <w:right w:val="nil"/>
            </w:tcBorders>
            <w:shd w:val="clear" w:color="auto" w:fill="auto"/>
            <w:vAlign w:val="center"/>
          </w:tcPr>
          <w:p w:rsidR="003A497B" w:rsidRDefault="003A497B" w:rsidP="003E1809">
            <w:pPr>
              <w:jc w:val="both"/>
              <w:rPr>
                <w:rFonts w:ascii="Times New Roman" w:hAnsi="Times New Roman" w:cs="Times New Roman"/>
                <w:b/>
                <w:iCs/>
              </w:rPr>
            </w:pPr>
            <w:bookmarkStart w:id="124" w:name="_Toc486413158"/>
            <w:bookmarkStart w:id="125" w:name="_Toc486497391"/>
            <w:bookmarkStart w:id="126" w:name="_Toc486512413"/>
            <w:bookmarkStart w:id="127" w:name="_Toc486512625"/>
            <w:bookmarkStart w:id="128" w:name="_Toc486513632"/>
            <w:bookmarkStart w:id="129" w:name="_Toc485220871"/>
            <w:bookmarkStart w:id="130" w:name="_Toc485221483"/>
            <w:bookmarkStart w:id="131" w:name="_Toc485224373"/>
            <w:bookmarkStart w:id="132" w:name="_Toc485292629"/>
            <w:bookmarkStart w:id="133" w:name="_Toc485308284"/>
            <w:bookmarkStart w:id="134" w:name="_Toc485653160"/>
            <w:bookmarkStart w:id="135" w:name="_Toc485653753"/>
            <w:r w:rsidRPr="009E32FC">
              <w:rPr>
                <w:rFonts w:ascii="Times New Roman" w:hAnsi="Times New Roman" w:cs="Times New Roman"/>
                <w:b/>
                <w:iCs/>
              </w:rPr>
              <w:t>Graf: Skupina ukazovateľov sledujúca ciele v životnom prostredí</w:t>
            </w:r>
            <w:bookmarkEnd w:id="124"/>
            <w:bookmarkEnd w:id="125"/>
            <w:bookmarkEnd w:id="126"/>
            <w:bookmarkEnd w:id="127"/>
            <w:bookmarkEnd w:id="128"/>
            <w:r w:rsidRPr="009E32FC">
              <w:rPr>
                <w:rFonts w:ascii="Times New Roman" w:hAnsi="Times New Roman" w:cs="Times New Roman"/>
                <w:b/>
                <w:iCs/>
              </w:rPr>
              <w:t xml:space="preserve"> (1 = najl</w:t>
            </w:r>
            <w:r w:rsidR="0034436A">
              <w:rPr>
                <w:rFonts w:ascii="Times New Roman" w:hAnsi="Times New Roman" w:cs="Times New Roman"/>
                <w:b/>
                <w:iCs/>
              </w:rPr>
              <w:t>epšie skóre)</w:t>
            </w:r>
          </w:p>
          <w:p w:rsidR="003A497B" w:rsidRDefault="003A497B" w:rsidP="003E1809">
            <w:pPr>
              <w:jc w:val="both"/>
              <w:rPr>
                <w:rFonts w:ascii="Times New Roman" w:hAnsi="Times New Roman" w:cs="Times New Roman"/>
                <w:b/>
                <w:iCs/>
              </w:rPr>
            </w:pPr>
          </w:p>
          <w:p w:rsidR="003A497B" w:rsidRDefault="003A497B" w:rsidP="003E1809">
            <w:pPr>
              <w:jc w:val="both"/>
              <w:rPr>
                <w:rFonts w:ascii="Times New Roman" w:hAnsi="Times New Roman" w:cs="Times New Roman"/>
                <w:b/>
                <w:iCs/>
              </w:rPr>
            </w:pPr>
          </w:p>
          <w:p w:rsidR="003A497B" w:rsidRDefault="003A497B" w:rsidP="003E1809">
            <w:pPr>
              <w:jc w:val="both"/>
              <w:rPr>
                <w:rFonts w:ascii="Times New Roman" w:hAnsi="Times New Roman" w:cs="Times New Roman"/>
                <w:b/>
                <w:iCs/>
              </w:rPr>
            </w:pPr>
          </w:p>
          <w:p w:rsidR="003A497B" w:rsidRPr="009E32FC" w:rsidRDefault="003A497B" w:rsidP="003E1809">
            <w:pPr>
              <w:jc w:val="both"/>
              <w:rPr>
                <w:rFonts w:ascii="Times New Roman" w:hAnsi="Times New Roman" w:cs="Times New Roman"/>
                <w:iCs/>
              </w:rPr>
            </w:pPr>
            <w:r w:rsidRPr="009E32FC">
              <w:rPr>
                <w:rFonts w:ascii="Times New Roman" w:hAnsi="Times New Roman" w:cs="Times New Roman"/>
                <w:b/>
                <w:iCs/>
              </w:rPr>
              <w:t>e skóre)</w:t>
            </w:r>
          </w:p>
          <w:bookmarkEnd w:id="129"/>
          <w:bookmarkEnd w:id="130"/>
          <w:bookmarkEnd w:id="131"/>
          <w:bookmarkEnd w:id="132"/>
          <w:bookmarkEnd w:id="133"/>
          <w:bookmarkEnd w:id="134"/>
          <w:bookmarkEnd w:id="135"/>
          <w:p w:rsidR="003A497B" w:rsidRPr="009E32FC" w:rsidRDefault="003A497B" w:rsidP="003E1809">
            <w:pPr>
              <w:jc w:val="both"/>
              <w:rPr>
                <w:rFonts w:ascii="Times New Roman" w:hAnsi="Times New Roman" w:cs="Times New Roman"/>
                <w:iCs/>
              </w:rPr>
            </w:pPr>
          </w:p>
        </w:tc>
      </w:tr>
      <w:tr w:rsidR="003A497B" w:rsidRPr="009E32FC" w:rsidTr="003E1809">
        <w:trPr>
          <w:trHeight w:val="5298"/>
        </w:trPr>
        <w:tc>
          <w:tcPr>
            <w:tcW w:w="2381" w:type="pct"/>
            <w:tcBorders>
              <w:top w:val="single" w:sz="4" w:space="0" w:color="auto"/>
              <w:left w:val="nil"/>
              <w:bottom w:val="single" w:sz="4" w:space="0" w:color="auto"/>
              <w:right w:val="nil"/>
            </w:tcBorders>
            <w:vAlign w:val="center"/>
          </w:tcPr>
          <w:p w:rsidR="003A497B" w:rsidRPr="009E32FC" w:rsidRDefault="003A497B" w:rsidP="003E1809">
            <w:pPr>
              <w:jc w:val="both"/>
              <w:rPr>
                <w:rFonts w:ascii="Times New Roman" w:hAnsi="Times New Roman" w:cs="Times New Roman"/>
                <w:b/>
              </w:rPr>
            </w:pPr>
            <w:r w:rsidRPr="009E32FC">
              <w:rPr>
                <w:rFonts w:ascii="Times New Roman" w:hAnsi="Times New Roman" w:cs="Times New Roman"/>
                <w:noProof/>
                <w:lang w:eastAsia="sk-SK"/>
              </w:rPr>
              <w:drawing>
                <wp:inline distT="0" distB="0" distL="0" distR="0" wp14:anchorId="77131342" wp14:editId="31D6B97F">
                  <wp:extent cx="2669540" cy="2752725"/>
                  <wp:effectExtent l="0" t="0" r="0" b="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99" w:type="pct"/>
            <w:tcBorders>
              <w:top w:val="nil"/>
              <w:left w:val="nil"/>
              <w:bottom w:val="nil"/>
              <w:right w:val="nil"/>
            </w:tcBorders>
            <w:vAlign w:val="center"/>
          </w:tcPr>
          <w:p w:rsidR="003A497B" w:rsidRPr="009E32FC" w:rsidRDefault="003A497B" w:rsidP="003E1809">
            <w:pPr>
              <w:jc w:val="both"/>
              <w:rPr>
                <w:rFonts w:ascii="Times New Roman" w:hAnsi="Times New Roman" w:cs="Times New Roman"/>
                <w:b/>
              </w:rPr>
            </w:pPr>
          </w:p>
        </w:tc>
        <w:tc>
          <w:tcPr>
            <w:tcW w:w="2521" w:type="pct"/>
            <w:gridSpan w:val="2"/>
            <w:tcBorders>
              <w:top w:val="single" w:sz="4" w:space="0" w:color="auto"/>
              <w:left w:val="nil"/>
              <w:bottom w:val="single" w:sz="4" w:space="0" w:color="auto"/>
              <w:right w:val="nil"/>
            </w:tcBorders>
            <w:vAlign w:val="center"/>
          </w:tcPr>
          <w:p w:rsidR="003A497B" w:rsidRPr="009E32FC" w:rsidRDefault="003A497B" w:rsidP="003E1809">
            <w:pPr>
              <w:jc w:val="both"/>
              <w:rPr>
                <w:rFonts w:ascii="Times New Roman" w:hAnsi="Times New Roman" w:cs="Times New Roman"/>
                <w:b/>
              </w:rPr>
            </w:pPr>
            <w:r w:rsidRPr="009E32FC">
              <w:rPr>
                <w:rFonts w:ascii="Times New Roman" w:hAnsi="Times New Roman" w:cs="Times New Roman"/>
                <w:noProof/>
                <w:lang w:eastAsia="sk-SK"/>
              </w:rPr>
              <w:drawing>
                <wp:inline distT="0" distB="0" distL="0" distR="0" wp14:anchorId="159713FB" wp14:editId="5FE64BAA">
                  <wp:extent cx="2800350" cy="2597785"/>
                  <wp:effectExtent l="0" t="0" r="0" b="0"/>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3A497B" w:rsidRPr="000746C7" w:rsidTr="003E1809">
        <w:trPr>
          <w:trHeight w:hRule="exact" w:val="743"/>
        </w:trPr>
        <w:tc>
          <w:tcPr>
            <w:tcW w:w="2381" w:type="pct"/>
            <w:tcBorders>
              <w:top w:val="single" w:sz="4" w:space="0" w:color="auto"/>
              <w:left w:val="nil"/>
              <w:bottom w:val="nil"/>
              <w:right w:val="nil"/>
            </w:tcBorders>
          </w:tcPr>
          <w:p w:rsidR="003A497B" w:rsidRPr="000746C7" w:rsidRDefault="003A497B" w:rsidP="003E1809">
            <w:pPr>
              <w:jc w:val="both"/>
              <w:rPr>
                <w:rFonts w:ascii="Times New Roman" w:hAnsi="Times New Roman" w:cs="Times New Roman"/>
                <w:i/>
                <w:sz w:val="16"/>
                <w:szCs w:val="16"/>
              </w:rPr>
            </w:pPr>
            <w:r w:rsidRPr="000746C7">
              <w:rPr>
                <w:rFonts w:ascii="Times New Roman" w:hAnsi="Times New Roman" w:cs="Times New Roman"/>
                <w:i/>
                <w:iCs/>
                <w:sz w:val="16"/>
                <w:szCs w:val="16"/>
              </w:rPr>
              <w:t>Zdroj</w:t>
            </w:r>
            <w:r w:rsidRPr="000746C7">
              <w:rPr>
                <w:rFonts w:ascii="Times New Roman" w:hAnsi="Times New Roman" w:cs="Times New Roman"/>
                <w:i/>
                <w:sz w:val="16"/>
                <w:szCs w:val="16"/>
              </w:rPr>
              <w:t xml:space="preserve">: Eurostat </w:t>
            </w:r>
          </w:p>
        </w:tc>
        <w:tc>
          <w:tcPr>
            <w:tcW w:w="99" w:type="pct"/>
            <w:tcBorders>
              <w:top w:val="nil"/>
              <w:left w:val="nil"/>
              <w:bottom w:val="nil"/>
              <w:right w:val="nil"/>
            </w:tcBorders>
            <w:vAlign w:val="center"/>
          </w:tcPr>
          <w:p w:rsidR="003A497B" w:rsidRPr="000746C7" w:rsidRDefault="003A497B" w:rsidP="003E1809">
            <w:pPr>
              <w:jc w:val="both"/>
              <w:rPr>
                <w:rFonts w:ascii="Times New Roman" w:hAnsi="Times New Roman" w:cs="Times New Roman"/>
                <w:i/>
                <w:sz w:val="16"/>
                <w:szCs w:val="16"/>
              </w:rPr>
            </w:pPr>
          </w:p>
        </w:tc>
        <w:tc>
          <w:tcPr>
            <w:tcW w:w="1545" w:type="pct"/>
            <w:tcBorders>
              <w:top w:val="single" w:sz="4" w:space="0" w:color="auto"/>
              <w:left w:val="nil"/>
              <w:bottom w:val="nil"/>
              <w:right w:val="single" w:sz="4" w:space="0" w:color="FFFFFF" w:themeColor="background1"/>
            </w:tcBorders>
            <w:shd w:val="clear" w:color="auto" w:fill="auto"/>
          </w:tcPr>
          <w:p w:rsidR="003A497B" w:rsidRPr="000746C7" w:rsidRDefault="003A497B" w:rsidP="003E1809">
            <w:pPr>
              <w:jc w:val="both"/>
              <w:rPr>
                <w:rFonts w:ascii="Times New Roman" w:hAnsi="Times New Roman" w:cs="Times New Roman"/>
                <w:i/>
                <w:sz w:val="16"/>
                <w:szCs w:val="16"/>
              </w:rPr>
            </w:pPr>
            <w:r w:rsidRPr="000746C7">
              <w:rPr>
                <w:rFonts w:ascii="Times New Roman" w:hAnsi="Times New Roman" w:cs="Times New Roman"/>
                <w:i/>
                <w:sz w:val="16"/>
                <w:szCs w:val="16"/>
              </w:rPr>
              <w:t>*Vzorka krajín je v závislosti od ukazovateľa rozdielna.</w:t>
            </w:r>
          </w:p>
        </w:tc>
        <w:tc>
          <w:tcPr>
            <w:tcW w:w="975" w:type="pct"/>
            <w:tcBorders>
              <w:top w:val="single" w:sz="4" w:space="0" w:color="auto"/>
              <w:left w:val="single" w:sz="4" w:space="0" w:color="FFFFFF" w:themeColor="background1"/>
              <w:bottom w:val="nil"/>
              <w:right w:val="nil"/>
            </w:tcBorders>
          </w:tcPr>
          <w:p w:rsidR="003A497B" w:rsidRPr="000746C7" w:rsidRDefault="003A497B" w:rsidP="003E1809">
            <w:pPr>
              <w:jc w:val="both"/>
              <w:rPr>
                <w:rFonts w:ascii="Times New Roman" w:hAnsi="Times New Roman" w:cs="Times New Roman"/>
                <w:i/>
                <w:sz w:val="16"/>
                <w:szCs w:val="16"/>
              </w:rPr>
            </w:pPr>
            <w:r w:rsidRPr="000746C7">
              <w:rPr>
                <w:rFonts w:ascii="Times New Roman" w:hAnsi="Times New Roman" w:cs="Times New Roman"/>
                <w:i/>
                <w:iCs/>
                <w:sz w:val="16"/>
                <w:szCs w:val="16"/>
              </w:rPr>
              <w:t>Zdroj:</w:t>
            </w:r>
            <w:r w:rsidRPr="000746C7">
              <w:rPr>
                <w:rFonts w:ascii="Times New Roman" w:hAnsi="Times New Roman" w:cs="Times New Roman"/>
                <w:i/>
                <w:sz w:val="16"/>
                <w:szCs w:val="16"/>
              </w:rPr>
              <w:t xml:space="preserve"> Eurostat, OECD, EPI</w:t>
            </w:r>
          </w:p>
          <w:p w:rsidR="003A497B" w:rsidRPr="000746C7" w:rsidRDefault="003A497B" w:rsidP="003E1809">
            <w:pPr>
              <w:jc w:val="both"/>
              <w:rPr>
                <w:rFonts w:ascii="Times New Roman" w:hAnsi="Times New Roman" w:cs="Times New Roman"/>
                <w:i/>
                <w:sz w:val="16"/>
                <w:szCs w:val="16"/>
              </w:rPr>
            </w:pPr>
          </w:p>
          <w:p w:rsidR="003A497B" w:rsidRPr="000746C7" w:rsidRDefault="003A497B" w:rsidP="003E1809">
            <w:pPr>
              <w:jc w:val="both"/>
              <w:rPr>
                <w:rFonts w:ascii="Times New Roman" w:hAnsi="Times New Roman" w:cs="Times New Roman"/>
                <w:i/>
                <w:sz w:val="16"/>
                <w:szCs w:val="16"/>
              </w:rPr>
            </w:pPr>
          </w:p>
          <w:p w:rsidR="003A497B" w:rsidRPr="000746C7" w:rsidRDefault="003A497B" w:rsidP="003E1809">
            <w:pPr>
              <w:jc w:val="both"/>
              <w:rPr>
                <w:rFonts w:ascii="Times New Roman" w:hAnsi="Times New Roman" w:cs="Times New Roman"/>
                <w:i/>
                <w:sz w:val="16"/>
                <w:szCs w:val="16"/>
              </w:rPr>
            </w:pPr>
          </w:p>
          <w:p w:rsidR="003A497B" w:rsidRPr="000746C7" w:rsidRDefault="003A497B" w:rsidP="003E1809">
            <w:pPr>
              <w:jc w:val="both"/>
              <w:rPr>
                <w:rFonts w:ascii="Times New Roman" w:hAnsi="Times New Roman" w:cs="Times New Roman"/>
                <w:i/>
                <w:sz w:val="16"/>
                <w:szCs w:val="16"/>
              </w:rPr>
            </w:pPr>
          </w:p>
          <w:p w:rsidR="003A497B" w:rsidRPr="000746C7" w:rsidRDefault="003A497B" w:rsidP="003E1809">
            <w:pPr>
              <w:jc w:val="both"/>
              <w:rPr>
                <w:rFonts w:ascii="Times New Roman" w:hAnsi="Times New Roman" w:cs="Times New Roman"/>
                <w:i/>
                <w:sz w:val="16"/>
                <w:szCs w:val="16"/>
              </w:rPr>
            </w:pPr>
          </w:p>
        </w:tc>
      </w:tr>
    </w:tbl>
    <w:p w:rsidR="003A497B" w:rsidRPr="00643E62" w:rsidRDefault="003A497B" w:rsidP="003A497B">
      <w:pPr>
        <w:ind w:firstLine="708"/>
        <w:jc w:val="both"/>
        <w:rPr>
          <w:rFonts w:ascii="Times New Roman" w:hAnsi="Times New Roman" w:cs="Times New Roman"/>
        </w:rPr>
      </w:pPr>
      <w:bookmarkStart w:id="136" w:name="_Toc485220923"/>
      <w:bookmarkStart w:id="137" w:name="_Toc485221535"/>
      <w:bookmarkStart w:id="138" w:name="_Toc485224425"/>
      <w:bookmarkStart w:id="139" w:name="_Toc485292681"/>
      <w:bookmarkStart w:id="140" w:name="_Toc485308336"/>
      <w:bookmarkStart w:id="141" w:name="_Toc485653212"/>
      <w:bookmarkStart w:id="142" w:name="_Toc485653805"/>
      <w:bookmarkStart w:id="143" w:name="_Toc486413210"/>
      <w:bookmarkStart w:id="144" w:name="_Toc486512465"/>
      <w:bookmarkStart w:id="145" w:name="_Toc486512677"/>
      <w:bookmarkStart w:id="146" w:name="_Toc486513684"/>
      <w:r w:rsidRPr="00643E62">
        <w:rPr>
          <w:rFonts w:ascii="Times New Roman" w:hAnsi="Times New Roman" w:cs="Times New Roman"/>
        </w:rPr>
        <w:t xml:space="preserve">V roku 2016 a 2017 vykonalo MF SR spolu s MŽP SR revíziu výdavkov na životné prostredie vo výške 0,6 % HDP. Z revízie vyplynuli opatrenia, ktorých realizácia v rokoch 2018 až 2020 prinesie lepšie hospodárenie verejných financií a dosiahne zlepšenie kvality životného prostredia vo výške 130 mil. eur (0,15 % HDP). K plneniu finančnej úspory v roku 2018 nedošlo, väčšina bude realizovaná v roku 2019. Ďalšie opatrenia predstavujú významné zlepšenie hodnoty v životnom prostredí bez potreby ďalšieho financovania. </w:t>
      </w:r>
    </w:p>
    <w:tbl>
      <w:tblPr>
        <w:tblW w:w="5000" w:type="pct"/>
        <w:tblLayout w:type="fixed"/>
        <w:tblCellMar>
          <w:left w:w="70" w:type="dxa"/>
          <w:right w:w="70" w:type="dxa"/>
        </w:tblCellMar>
        <w:tblLook w:val="04A0" w:firstRow="1" w:lastRow="0" w:firstColumn="1" w:lastColumn="0" w:noHBand="0" w:noVBand="1"/>
      </w:tblPr>
      <w:tblGrid>
        <w:gridCol w:w="3146"/>
        <w:gridCol w:w="2097"/>
        <w:gridCol w:w="706"/>
        <w:gridCol w:w="706"/>
        <w:gridCol w:w="706"/>
        <w:gridCol w:w="719"/>
        <w:gridCol w:w="992"/>
      </w:tblGrid>
      <w:tr w:rsidR="003A497B" w:rsidRPr="000746C7" w:rsidTr="003E1809">
        <w:trPr>
          <w:trHeight w:val="764"/>
        </w:trPr>
        <w:tc>
          <w:tcPr>
            <w:tcW w:w="4453" w:type="pct"/>
            <w:gridSpan w:val="6"/>
            <w:tcBorders>
              <w:top w:val="nil"/>
              <w:left w:val="nil"/>
              <w:bottom w:val="single" w:sz="4" w:space="0" w:color="auto"/>
              <w:right w:val="nil"/>
            </w:tcBorders>
          </w:tcPr>
          <w:p w:rsidR="003A497B" w:rsidRDefault="003A497B" w:rsidP="003E1809">
            <w:pPr>
              <w:jc w:val="both"/>
              <w:rPr>
                <w:rFonts w:ascii="Times New Roman" w:hAnsi="Times New Roman" w:cs="Times New Roman"/>
                <w:b/>
                <w:sz w:val="16"/>
                <w:szCs w:val="16"/>
              </w:rPr>
            </w:pPr>
          </w:p>
          <w:p w:rsidR="003A497B" w:rsidRPr="000746C7" w:rsidRDefault="003A497B" w:rsidP="003E1809">
            <w:pPr>
              <w:jc w:val="both"/>
              <w:rPr>
                <w:rFonts w:ascii="Times New Roman" w:hAnsi="Times New Roman" w:cs="Times New Roman"/>
                <w:b/>
                <w:sz w:val="16"/>
                <w:szCs w:val="16"/>
              </w:rPr>
            </w:pPr>
            <w:r w:rsidRPr="000746C7">
              <w:rPr>
                <w:rFonts w:ascii="Times New Roman" w:hAnsi="Times New Roman" w:cs="Times New Roman"/>
                <w:b/>
                <w:sz w:val="16"/>
                <w:szCs w:val="16"/>
              </w:rPr>
              <w:t xml:space="preserve">Návrh úspor a výnosov </w:t>
            </w:r>
            <w:r w:rsidRPr="000746C7">
              <w:rPr>
                <w:rFonts w:ascii="Times New Roman" w:hAnsi="Times New Roman" w:cs="Times New Roman"/>
                <w:sz w:val="16"/>
                <w:szCs w:val="16"/>
              </w:rPr>
              <w:t>(v mil. eur)</w:t>
            </w:r>
            <w:r w:rsidRPr="000746C7">
              <w:rPr>
                <w:rFonts w:ascii="Times New Roman" w:hAnsi="Times New Roman" w:cs="Times New Roman"/>
                <w:b/>
                <w:sz w:val="16"/>
                <w:szCs w:val="16"/>
              </w:rPr>
              <w:t xml:space="preserve">                                                                                                                        </w:t>
            </w:r>
          </w:p>
        </w:tc>
        <w:tc>
          <w:tcPr>
            <w:tcW w:w="547" w:type="pct"/>
            <w:tcBorders>
              <w:top w:val="nil"/>
              <w:left w:val="nil"/>
              <w:bottom w:val="single" w:sz="4" w:space="0" w:color="auto"/>
              <w:right w:val="nil"/>
            </w:tcBorders>
          </w:tcPr>
          <w:p w:rsidR="003A497B" w:rsidRPr="000746C7" w:rsidRDefault="003A497B" w:rsidP="003E1809">
            <w:pPr>
              <w:jc w:val="both"/>
              <w:rPr>
                <w:rFonts w:ascii="Times New Roman" w:hAnsi="Times New Roman" w:cs="Times New Roman"/>
                <w:b/>
                <w:sz w:val="16"/>
                <w:szCs w:val="16"/>
              </w:rPr>
            </w:pPr>
          </w:p>
        </w:tc>
      </w:tr>
      <w:tr w:rsidR="003A497B" w:rsidRPr="000746C7" w:rsidTr="003E1809">
        <w:trPr>
          <w:trHeight w:val="764"/>
        </w:trPr>
        <w:tc>
          <w:tcPr>
            <w:tcW w:w="1734" w:type="pct"/>
            <w:tcBorders>
              <w:top w:val="single" w:sz="4" w:space="0" w:color="auto"/>
              <w:left w:val="nil"/>
              <w:bottom w:val="single" w:sz="4" w:space="0" w:color="auto"/>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Opatrenie</w:t>
            </w:r>
          </w:p>
        </w:tc>
        <w:tc>
          <w:tcPr>
            <w:tcW w:w="1156" w:type="pct"/>
            <w:tcBorders>
              <w:top w:val="single" w:sz="4" w:space="0" w:color="auto"/>
              <w:bottom w:val="single" w:sz="4" w:space="0" w:color="auto"/>
            </w:tcBorders>
            <w:shd w:val="clear" w:color="auto" w:fill="auto"/>
            <w:vAlign w:val="center"/>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Vplyv na rozpočet</w:t>
            </w:r>
          </w:p>
        </w:tc>
        <w:tc>
          <w:tcPr>
            <w:tcW w:w="389" w:type="pct"/>
            <w:tcBorders>
              <w:top w:val="nil"/>
              <w:left w:val="nil"/>
              <w:bottom w:val="single"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2018</w:t>
            </w:r>
          </w:p>
        </w:tc>
        <w:tc>
          <w:tcPr>
            <w:tcW w:w="389" w:type="pct"/>
            <w:tcBorders>
              <w:top w:val="nil"/>
              <w:left w:val="nil"/>
              <w:bottom w:val="single" w:sz="4" w:space="0" w:color="auto"/>
              <w:right w:val="nil"/>
            </w:tcBorders>
            <w:vAlign w:val="center"/>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2018</w:t>
            </w:r>
            <w:r>
              <w:rPr>
                <w:rFonts w:ascii="Times New Roman" w:hAnsi="Times New Roman" w:cs="Times New Roman"/>
                <w:sz w:val="16"/>
                <w:szCs w:val="16"/>
              </w:rPr>
              <w:t xml:space="preserve"> </w:t>
            </w:r>
            <w:r w:rsidRPr="000746C7">
              <w:rPr>
                <w:rFonts w:ascii="Times New Roman" w:hAnsi="Times New Roman" w:cs="Times New Roman"/>
                <w:sz w:val="16"/>
                <w:szCs w:val="16"/>
              </w:rPr>
              <w:t>OS</w:t>
            </w:r>
          </w:p>
        </w:tc>
        <w:tc>
          <w:tcPr>
            <w:tcW w:w="389" w:type="pct"/>
            <w:tcBorders>
              <w:top w:val="nil"/>
              <w:left w:val="nil"/>
              <w:bottom w:val="single"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2019</w:t>
            </w:r>
          </w:p>
        </w:tc>
        <w:tc>
          <w:tcPr>
            <w:tcW w:w="396" w:type="pct"/>
            <w:tcBorders>
              <w:top w:val="nil"/>
              <w:left w:val="nil"/>
              <w:bottom w:val="single"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2020</w:t>
            </w:r>
          </w:p>
        </w:tc>
        <w:tc>
          <w:tcPr>
            <w:tcW w:w="547" w:type="pct"/>
            <w:tcBorders>
              <w:top w:val="nil"/>
              <w:left w:val="nil"/>
              <w:bottom w:val="single" w:sz="4" w:space="0" w:color="auto"/>
              <w:right w:val="nil"/>
            </w:tcBorders>
            <w:vAlign w:val="center"/>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2021</w:t>
            </w:r>
          </w:p>
        </w:tc>
      </w:tr>
      <w:tr w:rsidR="003A497B" w:rsidRPr="000746C7" w:rsidTr="003E1809">
        <w:trPr>
          <w:trHeight w:val="764"/>
        </w:trPr>
        <w:tc>
          <w:tcPr>
            <w:tcW w:w="1734" w:type="pct"/>
            <w:tcBorders>
              <w:top w:val="single" w:sz="4" w:space="0" w:color="auto"/>
              <w:left w:val="nil"/>
              <w:bottom w:val="dotted" w:sz="4" w:space="0" w:color="auto"/>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Zníženie nákladov SVP, š.p.</w:t>
            </w:r>
          </w:p>
        </w:tc>
        <w:tc>
          <w:tcPr>
            <w:tcW w:w="1156" w:type="pct"/>
            <w:tcBorders>
              <w:top w:val="single" w:sz="4" w:space="0" w:color="auto"/>
              <w:bottom w:val="dotted"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p>
        </w:tc>
        <w:tc>
          <w:tcPr>
            <w:tcW w:w="389" w:type="pct"/>
            <w:tcBorders>
              <w:top w:val="single" w:sz="4" w:space="0" w:color="auto"/>
              <w:left w:val="nil"/>
              <w:bottom w:val="dotted"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8</w:t>
            </w:r>
          </w:p>
        </w:tc>
        <w:tc>
          <w:tcPr>
            <w:tcW w:w="389" w:type="pct"/>
            <w:tcBorders>
              <w:top w:val="single" w:sz="4" w:space="0" w:color="auto"/>
              <w:left w:val="nil"/>
              <w:bottom w:val="dotted" w:sz="4" w:space="0" w:color="auto"/>
              <w:right w:val="nil"/>
            </w:tcBorders>
            <w:vAlign w:val="center"/>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0</w:t>
            </w:r>
          </w:p>
        </w:tc>
        <w:tc>
          <w:tcPr>
            <w:tcW w:w="389" w:type="pct"/>
            <w:tcBorders>
              <w:top w:val="single" w:sz="4" w:space="0" w:color="auto"/>
              <w:left w:val="nil"/>
              <w:bottom w:val="dotted"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14</w:t>
            </w:r>
          </w:p>
        </w:tc>
        <w:tc>
          <w:tcPr>
            <w:tcW w:w="396" w:type="pct"/>
            <w:tcBorders>
              <w:top w:val="single" w:sz="4" w:space="0" w:color="auto"/>
              <w:left w:val="nil"/>
              <w:bottom w:val="dotted"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20</w:t>
            </w:r>
          </w:p>
        </w:tc>
        <w:tc>
          <w:tcPr>
            <w:tcW w:w="547" w:type="pct"/>
            <w:tcBorders>
              <w:top w:val="single" w:sz="4" w:space="0" w:color="auto"/>
              <w:left w:val="nil"/>
              <w:bottom w:val="dotted" w:sz="4" w:space="0" w:color="auto"/>
              <w:right w:val="nil"/>
            </w:tcBorders>
            <w:vAlign w:val="center"/>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20</w:t>
            </w:r>
          </w:p>
        </w:tc>
      </w:tr>
      <w:tr w:rsidR="003A497B" w:rsidRPr="000746C7" w:rsidTr="003E1809">
        <w:trPr>
          <w:trHeight w:val="764"/>
        </w:trPr>
        <w:tc>
          <w:tcPr>
            <w:tcW w:w="1734" w:type="pct"/>
            <w:tcBorders>
              <w:top w:val="dotted" w:sz="4" w:space="0" w:color="auto"/>
              <w:left w:val="nil"/>
              <w:bottom w:val="dotted"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 xml:space="preserve">Zavedenie alternatívnych foriem financovania </w:t>
            </w:r>
          </w:p>
        </w:tc>
        <w:tc>
          <w:tcPr>
            <w:tcW w:w="1156" w:type="pct"/>
            <w:tcBorders>
              <w:top w:val="dotted" w:sz="4" w:space="0" w:color="auto"/>
              <w:left w:val="nil"/>
              <w:bottom w:val="dotted"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Vyšší príjem ŠOP ŠR</w:t>
            </w:r>
          </w:p>
        </w:tc>
        <w:tc>
          <w:tcPr>
            <w:tcW w:w="389" w:type="pct"/>
            <w:tcBorders>
              <w:top w:val="dotted" w:sz="4" w:space="0" w:color="auto"/>
              <w:left w:val="nil"/>
              <w:bottom w:val="dotted"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0</w:t>
            </w:r>
          </w:p>
        </w:tc>
        <w:tc>
          <w:tcPr>
            <w:tcW w:w="389" w:type="pct"/>
            <w:tcBorders>
              <w:top w:val="dotted" w:sz="4" w:space="0" w:color="auto"/>
              <w:left w:val="nil"/>
              <w:bottom w:val="dotted" w:sz="4" w:space="0" w:color="auto"/>
              <w:right w:val="nil"/>
            </w:tcBorders>
            <w:vAlign w:val="center"/>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0</w:t>
            </w:r>
          </w:p>
        </w:tc>
        <w:tc>
          <w:tcPr>
            <w:tcW w:w="389" w:type="pct"/>
            <w:tcBorders>
              <w:top w:val="dotted" w:sz="4" w:space="0" w:color="auto"/>
              <w:left w:val="nil"/>
              <w:bottom w:val="dotted"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6</w:t>
            </w:r>
          </w:p>
        </w:tc>
        <w:tc>
          <w:tcPr>
            <w:tcW w:w="396" w:type="pct"/>
            <w:tcBorders>
              <w:top w:val="dotted" w:sz="4" w:space="0" w:color="auto"/>
              <w:left w:val="nil"/>
              <w:bottom w:val="dotted"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6</w:t>
            </w:r>
          </w:p>
        </w:tc>
        <w:tc>
          <w:tcPr>
            <w:tcW w:w="547" w:type="pct"/>
            <w:tcBorders>
              <w:top w:val="dotted" w:sz="4" w:space="0" w:color="auto"/>
              <w:left w:val="nil"/>
              <w:bottom w:val="dotted" w:sz="4" w:space="0" w:color="auto"/>
              <w:right w:val="nil"/>
            </w:tcBorders>
            <w:vAlign w:val="center"/>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6</w:t>
            </w:r>
          </w:p>
        </w:tc>
      </w:tr>
      <w:tr w:rsidR="003A497B" w:rsidRPr="000746C7" w:rsidTr="003E1809">
        <w:trPr>
          <w:trHeight w:val="764"/>
        </w:trPr>
        <w:tc>
          <w:tcPr>
            <w:tcW w:w="1734" w:type="pct"/>
            <w:tcBorders>
              <w:top w:val="dotted" w:sz="4" w:space="0" w:color="auto"/>
              <w:left w:val="nil"/>
              <w:bottom w:val="dotted"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lastRenderedPageBreak/>
              <w:t xml:space="preserve">Zrušenie fakultatívnych oslobodení v spotrebných daniach z elektriny, uhlia a zemného plynu </w:t>
            </w:r>
          </w:p>
        </w:tc>
        <w:tc>
          <w:tcPr>
            <w:tcW w:w="1156" w:type="pct"/>
            <w:tcBorders>
              <w:top w:val="dotted" w:sz="4" w:space="0" w:color="auto"/>
              <w:left w:val="nil"/>
              <w:bottom w:val="dotted"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Vyšší daňový príjem</w:t>
            </w:r>
          </w:p>
        </w:tc>
        <w:tc>
          <w:tcPr>
            <w:tcW w:w="389" w:type="pct"/>
            <w:tcBorders>
              <w:top w:val="dotted" w:sz="4" w:space="0" w:color="auto"/>
              <w:left w:val="nil"/>
              <w:bottom w:val="dotted"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0</w:t>
            </w:r>
          </w:p>
        </w:tc>
        <w:tc>
          <w:tcPr>
            <w:tcW w:w="389" w:type="pct"/>
            <w:tcBorders>
              <w:top w:val="dotted" w:sz="4" w:space="0" w:color="auto"/>
              <w:left w:val="nil"/>
              <w:bottom w:val="dotted" w:sz="4" w:space="0" w:color="auto"/>
              <w:right w:val="nil"/>
            </w:tcBorders>
            <w:vAlign w:val="center"/>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0</w:t>
            </w:r>
          </w:p>
        </w:tc>
        <w:tc>
          <w:tcPr>
            <w:tcW w:w="389" w:type="pct"/>
            <w:tcBorders>
              <w:top w:val="dotted" w:sz="4" w:space="0" w:color="auto"/>
              <w:left w:val="nil"/>
              <w:bottom w:val="dotted"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65</w:t>
            </w:r>
          </w:p>
        </w:tc>
        <w:tc>
          <w:tcPr>
            <w:tcW w:w="396" w:type="pct"/>
            <w:tcBorders>
              <w:top w:val="dotted" w:sz="4" w:space="0" w:color="auto"/>
              <w:left w:val="nil"/>
              <w:bottom w:val="dotted"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65</w:t>
            </w:r>
          </w:p>
        </w:tc>
        <w:tc>
          <w:tcPr>
            <w:tcW w:w="547" w:type="pct"/>
            <w:tcBorders>
              <w:top w:val="dotted" w:sz="4" w:space="0" w:color="auto"/>
              <w:left w:val="nil"/>
              <w:bottom w:val="dotted" w:sz="4" w:space="0" w:color="auto"/>
              <w:right w:val="nil"/>
            </w:tcBorders>
            <w:vAlign w:val="center"/>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65</w:t>
            </w:r>
          </w:p>
        </w:tc>
      </w:tr>
      <w:tr w:rsidR="003A497B" w:rsidRPr="000746C7" w:rsidTr="003E1809">
        <w:trPr>
          <w:trHeight w:val="489"/>
        </w:trPr>
        <w:tc>
          <w:tcPr>
            <w:tcW w:w="1734" w:type="pct"/>
            <w:tcBorders>
              <w:top w:val="dotted" w:sz="4" w:space="0" w:color="auto"/>
              <w:left w:val="nil"/>
              <w:bottom w:val="single"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Zvýšenie poplatkov za uloženie komunálnych odpadov na skládku a zavedenie povinného množstvového zberu</w:t>
            </w:r>
          </w:p>
        </w:tc>
        <w:tc>
          <w:tcPr>
            <w:tcW w:w="1156" w:type="pct"/>
            <w:tcBorders>
              <w:top w:val="dotted" w:sz="4" w:space="0" w:color="auto"/>
              <w:left w:val="nil"/>
              <w:bottom w:val="single"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Vyšší príjem Envirofondu</w:t>
            </w:r>
          </w:p>
        </w:tc>
        <w:tc>
          <w:tcPr>
            <w:tcW w:w="389" w:type="pct"/>
            <w:tcBorders>
              <w:top w:val="dotted" w:sz="4" w:space="0" w:color="auto"/>
              <w:left w:val="nil"/>
              <w:bottom w:val="single"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0</w:t>
            </w:r>
          </w:p>
        </w:tc>
        <w:tc>
          <w:tcPr>
            <w:tcW w:w="389" w:type="pct"/>
            <w:tcBorders>
              <w:top w:val="dotted" w:sz="4" w:space="0" w:color="auto"/>
              <w:left w:val="nil"/>
              <w:bottom w:val="single" w:sz="4" w:space="0" w:color="auto"/>
              <w:right w:val="nil"/>
            </w:tcBorders>
            <w:vAlign w:val="center"/>
          </w:tcPr>
          <w:p w:rsidR="003A497B" w:rsidRPr="000746C7" w:rsidDel="00D57EE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0</w:t>
            </w:r>
          </w:p>
        </w:tc>
        <w:tc>
          <w:tcPr>
            <w:tcW w:w="389" w:type="pct"/>
            <w:tcBorders>
              <w:top w:val="dotted" w:sz="4" w:space="0" w:color="auto"/>
              <w:left w:val="nil"/>
              <w:bottom w:val="single"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15</w:t>
            </w:r>
          </w:p>
        </w:tc>
        <w:tc>
          <w:tcPr>
            <w:tcW w:w="396" w:type="pct"/>
            <w:tcBorders>
              <w:top w:val="dotted" w:sz="4" w:space="0" w:color="auto"/>
              <w:left w:val="nil"/>
              <w:bottom w:val="single" w:sz="4" w:space="0" w:color="auto"/>
              <w:right w:val="nil"/>
            </w:tcBorders>
            <w:shd w:val="clear" w:color="auto" w:fill="auto"/>
            <w:noWrap/>
            <w:vAlign w:val="center"/>
            <w:hideMark/>
          </w:tcPr>
          <w:p w:rsidR="003A497B" w:rsidRPr="000746C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27</w:t>
            </w:r>
          </w:p>
        </w:tc>
        <w:tc>
          <w:tcPr>
            <w:tcW w:w="547" w:type="pct"/>
            <w:tcBorders>
              <w:top w:val="dotted" w:sz="4" w:space="0" w:color="auto"/>
              <w:left w:val="nil"/>
              <w:bottom w:val="single" w:sz="4" w:space="0" w:color="auto"/>
              <w:right w:val="nil"/>
            </w:tcBorders>
            <w:vAlign w:val="center"/>
          </w:tcPr>
          <w:p w:rsidR="003A497B" w:rsidRPr="000746C7" w:rsidDel="00D57EE7" w:rsidRDefault="003A497B" w:rsidP="003E1809">
            <w:pPr>
              <w:jc w:val="both"/>
              <w:rPr>
                <w:rFonts w:ascii="Times New Roman" w:hAnsi="Times New Roman" w:cs="Times New Roman"/>
                <w:sz w:val="16"/>
                <w:szCs w:val="16"/>
              </w:rPr>
            </w:pPr>
            <w:r w:rsidRPr="000746C7">
              <w:rPr>
                <w:rFonts w:ascii="Times New Roman" w:hAnsi="Times New Roman" w:cs="Times New Roman"/>
                <w:sz w:val="16"/>
                <w:szCs w:val="16"/>
              </w:rPr>
              <w:t>33</w:t>
            </w:r>
          </w:p>
        </w:tc>
      </w:tr>
    </w:tbl>
    <w:p w:rsidR="003A497B" w:rsidRDefault="003A497B" w:rsidP="003A497B">
      <w:pPr>
        <w:jc w:val="both"/>
        <w:rPr>
          <w:rFonts w:ascii="Times New Roman" w:hAnsi="Times New Roman" w:cs="Times New Roman"/>
          <w:b/>
        </w:rPr>
      </w:pPr>
    </w:p>
    <w:p w:rsidR="003A497B" w:rsidRDefault="003A497B" w:rsidP="003A497B">
      <w:pPr>
        <w:jc w:val="both"/>
        <w:rPr>
          <w:rFonts w:ascii="Times New Roman" w:hAnsi="Times New Roman" w:cs="Times New Roman"/>
          <w:b/>
        </w:rPr>
      </w:pPr>
      <w:r w:rsidRPr="009E32FC">
        <w:rPr>
          <w:rFonts w:ascii="Times New Roman" w:hAnsi="Times New Roman" w:cs="Times New Roman"/>
          <w:b/>
        </w:rPr>
        <w:t>Voda, odpadové vody a protipovodňové opatrenia</w:t>
      </w:r>
      <w:bookmarkEnd w:id="136"/>
      <w:bookmarkEnd w:id="137"/>
      <w:bookmarkEnd w:id="138"/>
      <w:bookmarkEnd w:id="139"/>
      <w:bookmarkEnd w:id="140"/>
      <w:bookmarkEnd w:id="141"/>
      <w:bookmarkEnd w:id="142"/>
      <w:bookmarkEnd w:id="143"/>
      <w:bookmarkEnd w:id="144"/>
      <w:bookmarkEnd w:id="145"/>
      <w:bookmarkEnd w:id="146"/>
    </w:p>
    <w:p w:rsidR="003A497B" w:rsidRPr="009E32FC" w:rsidRDefault="003A497B" w:rsidP="003A497B">
      <w:pPr>
        <w:jc w:val="both"/>
        <w:rPr>
          <w:rFonts w:ascii="Times New Roman" w:hAnsi="Times New Roman" w:cs="Times New Roman"/>
          <w:b/>
        </w:rPr>
      </w:pPr>
    </w:p>
    <w:p w:rsidR="003A497B" w:rsidRPr="009E32FC" w:rsidRDefault="003A497B" w:rsidP="003A497B">
      <w:pPr>
        <w:ind w:firstLine="708"/>
        <w:jc w:val="both"/>
        <w:rPr>
          <w:rFonts w:ascii="Times New Roman" w:hAnsi="Times New Roman" w:cs="Times New Roman"/>
        </w:rPr>
      </w:pPr>
      <w:r w:rsidRPr="009E32FC">
        <w:rPr>
          <w:rFonts w:ascii="Times New Roman" w:hAnsi="Times New Roman" w:cs="Times New Roman"/>
        </w:rPr>
        <w:t xml:space="preserve">Cieľom je splniť záväzok Slovenskej republiky o zabezpečení zberných systémov pre komunálnu vodu a následne zabezpečiť požadované čistenie odpadových vôd pre aglomerácie nad 2 000 ekvivalentných obyvateľov. Dobrý stav všetkých vôd mal byť dosiahnutý do roku 2015, resp. najneskôr do roku 2027. Na vybudovanú kanalizačnú infraštruktúru sa už napojilo 3,6 mil. obyvateľov, mohla by obslúžiť ďalšie desaťtisíce obyvateľov, ktorí sa zatiaľ nepripojili. </w:t>
      </w:r>
      <w:r w:rsidRPr="009E32FC">
        <w:rPr>
          <w:rFonts w:ascii="Times New Roman" w:hAnsi="Times New Roman" w:cs="Times New Roman"/>
          <w:bCs/>
        </w:rPr>
        <w:t xml:space="preserve">Finančné prostriedky na investičnú výstavbu protipovodňových opatrení do veľkej miery závisia od štrukturálnych fondov. </w:t>
      </w:r>
      <w:r w:rsidRPr="009E32FC">
        <w:rPr>
          <w:rFonts w:ascii="Times New Roman" w:hAnsi="Times New Roman" w:cs="Times New Roman"/>
        </w:rPr>
        <w:t xml:space="preserve">Dôsledná prioritizácia projektov na základe Plánu manažmentu povodňových rizík schváleného v decembri 2015 ďalej zvýši vytvorenú hodnotu a posilní potenciál na zabránenie škôd z povodní. </w:t>
      </w:r>
    </w:p>
    <w:p w:rsidR="003A497B" w:rsidRPr="009E32FC" w:rsidRDefault="003A497B" w:rsidP="003A497B">
      <w:pPr>
        <w:jc w:val="both"/>
        <w:rPr>
          <w:rFonts w:ascii="Times New Roman" w:hAnsi="Times New Roman" w:cs="Times New Roman"/>
        </w:rPr>
      </w:pPr>
    </w:p>
    <w:p w:rsidR="003A497B" w:rsidRDefault="003A497B" w:rsidP="003A497B">
      <w:pPr>
        <w:jc w:val="both"/>
        <w:rPr>
          <w:rFonts w:ascii="Times New Roman" w:hAnsi="Times New Roman" w:cs="Times New Roman"/>
          <w:b/>
        </w:rPr>
      </w:pPr>
      <w:r w:rsidRPr="009E32FC">
        <w:rPr>
          <w:rFonts w:ascii="Times New Roman" w:hAnsi="Times New Roman" w:cs="Times New Roman"/>
          <w:b/>
        </w:rPr>
        <w:t>V tejto oblasti revízia navrhla nasledujúce opatrenia:</w:t>
      </w:r>
    </w:p>
    <w:p w:rsidR="003A497B" w:rsidRPr="009E32FC" w:rsidRDefault="003A497B" w:rsidP="003A497B">
      <w:pPr>
        <w:jc w:val="both"/>
        <w:rPr>
          <w:rFonts w:ascii="Times New Roman" w:hAnsi="Times New Roman" w:cs="Times New Roman"/>
          <w:b/>
        </w:rPr>
      </w:pPr>
    </w:p>
    <w:p w:rsidR="003A497B" w:rsidRPr="009E32FC" w:rsidRDefault="003A497B" w:rsidP="003A497B">
      <w:pPr>
        <w:numPr>
          <w:ilvl w:val="0"/>
          <w:numId w:val="13"/>
        </w:numPr>
        <w:jc w:val="both"/>
        <w:rPr>
          <w:rFonts w:ascii="Times New Roman" w:hAnsi="Times New Roman" w:cs="Times New Roman"/>
        </w:rPr>
      </w:pPr>
      <w:r w:rsidRPr="009E32FC">
        <w:rPr>
          <w:rFonts w:ascii="Times New Roman" w:hAnsi="Times New Roman" w:cs="Times New Roman"/>
        </w:rPr>
        <w:t>Postupná implementácia opatrení na zefektívnenie prevádzky Slovenského vodohospodárskeho podniku prinesie do roku 2020 o 20 mil. eur nižšie ročné prevádzkové náklady oproti roku 2016. Plánovaná úspora na rok 2018 (8 mil. eur) nebude dosiahnutá, SVP, š.</w:t>
      </w:r>
      <w:r>
        <w:rPr>
          <w:rFonts w:ascii="Times New Roman" w:hAnsi="Times New Roman" w:cs="Times New Roman"/>
        </w:rPr>
        <w:t xml:space="preserve"> </w:t>
      </w:r>
      <w:r w:rsidRPr="009E32FC">
        <w:rPr>
          <w:rFonts w:ascii="Times New Roman" w:hAnsi="Times New Roman" w:cs="Times New Roman"/>
        </w:rPr>
        <w:t>p. analyzuje možné opatrenia vedúce k úspore.</w:t>
      </w:r>
    </w:p>
    <w:p w:rsidR="003A497B" w:rsidRPr="009E32FC" w:rsidRDefault="003A497B" w:rsidP="003A497B">
      <w:pPr>
        <w:numPr>
          <w:ilvl w:val="0"/>
          <w:numId w:val="13"/>
        </w:numPr>
        <w:jc w:val="both"/>
        <w:rPr>
          <w:rFonts w:ascii="Times New Roman" w:hAnsi="Times New Roman" w:cs="Times New Roman"/>
        </w:rPr>
      </w:pPr>
      <w:r w:rsidRPr="009E32FC">
        <w:rPr>
          <w:rFonts w:ascii="Times New Roman" w:hAnsi="Times New Roman" w:cs="Times New Roman"/>
        </w:rPr>
        <w:t>Pripojenosť obyvateľstva na verejnú kanalizáciu sa môže zvýšiť o 240 000 pripojených obyvateľov, v roku 2017 sa zvýšila zo 66,4</w:t>
      </w:r>
      <w:r>
        <w:rPr>
          <w:rFonts w:ascii="Times New Roman" w:hAnsi="Times New Roman" w:cs="Times New Roman"/>
        </w:rPr>
        <w:t xml:space="preserve"> </w:t>
      </w:r>
      <w:r w:rsidRPr="009E32FC">
        <w:rPr>
          <w:rFonts w:ascii="Times New Roman" w:hAnsi="Times New Roman" w:cs="Times New Roman"/>
        </w:rPr>
        <w:t>% na 67,6</w:t>
      </w:r>
      <w:r>
        <w:rPr>
          <w:rFonts w:ascii="Times New Roman" w:hAnsi="Times New Roman" w:cs="Times New Roman"/>
        </w:rPr>
        <w:t xml:space="preserve"> </w:t>
      </w:r>
      <w:r w:rsidRPr="009E32FC">
        <w:rPr>
          <w:rFonts w:ascii="Times New Roman" w:hAnsi="Times New Roman" w:cs="Times New Roman"/>
        </w:rPr>
        <w:t xml:space="preserve">%.  </w:t>
      </w:r>
    </w:p>
    <w:p w:rsidR="003A497B" w:rsidRPr="009E32FC" w:rsidRDefault="003A497B" w:rsidP="003A497B">
      <w:pPr>
        <w:numPr>
          <w:ilvl w:val="0"/>
          <w:numId w:val="13"/>
        </w:numPr>
        <w:jc w:val="both"/>
        <w:rPr>
          <w:rFonts w:ascii="Times New Roman" w:hAnsi="Times New Roman" w:cs="Times New Roman"/>
        </w:rPr>
      </w:pPr>
      <w:r w:rsidRPr="009E32FC">
        <w:rPr>
          <w:rFonts w:ascii="Times New Roman" w:hAnsi="Times New Roman" w:cs="Times New Roman"/>
        </w:rPr>
        <w:t>Lepšie dodržiavanie existujúcej prioritizácie pre nové protipovodňové projekty prinesie ročne 13 mil. eur v odvrátených škodách. SVP, š.</w:t>
      </w:r>
      <w:r>
        <w:rPr>
          <w:rFonts w:ascii="Times New Roman" w:hAnsi="Times New Roman" w:cs="Times New Roman"/>
        </w:rPr>
        <w:t xml:space="preserve"> </w:t>
      </w:r>
      <w:r w:rsidRPr="009E32FC">
        <w:rPr>
          <w:rFonts w:ascii="Times New Roman" w:hAnsi="Times New Roman" w:cs="Times New Roman"/>
        </w:rPr>
        <w:t xml:space="preserve">p. nezačal v 1. polroku 2018 aktivity  prioritizácie. </w:t>
      </w:r>
    </w:p>
    <w:p w:rsidR="003A497B" w:rsidRPr="009E32FC" w:rsidRDefault="003A497B" w:rsidP="003A497B">
      <w:pPr>
        <w:numPr>
          <w:ilvl w:val="0"/>
          <w:numId w:val="13"/>
        </w:numPr>
        <w:jc w:val="both"/>
        <w:rPr>
          <w:rFonts w:ascii="Times New Roman" w:hAnsi="Times New Roman" w:cs="Times New Roman"/>
        </w:rPr>
      </w:pPr>
      <w:r w:rsidRPr="009E32FC">
        <w:rPr>
          <w:rFonts w:ascii="Times New Roman" w:hAnsi="Times New Roman" w:cs="Times New Roman"/>
        </w:rPr>
        <w:t xml:space="preserve">Upravením existujúcej prioritizácie projektov na základe kvantifikácie čo najväčšieho množstva hodnotiacich kritérií sa identifikuje presnejší zásobník projektov z hľadiska dôležitosti. V 1. polroku 2018 neprišlo k úprave prioritizácie. </w:t>
      </w:r>
    </w:p>
    <w:p w:rsidR="003A497B" w:rsidRPr="009E32FC" w:rsidRDefault="003A497B" w:rsidP="003A497B">
      <w:pPr>
        <w:jc w:val="both"/>
        <w:rPr>
          <w:rFonts w:ascii="Times New Roman" w:hAnsi="Times New Roman" w:cs="Times New Roman"/>
        </w:rPr>
      </w:pPr>
    </w:p>
    <w:p w:rsidR="003A497B" w:rsidRDefault="003A497B" w:rsidP="003A497B">
      <w:pPr>
        <w:jc w:val="both"/>
        <w:rPr>
          <w:rFonts w:ascii="Times New Roman" w:hAnsi="Times New Roman" w:cs="Times New Roman"/>
          <w:b/>
        </w:rPr>
      </w:pPr>
      <w:bookmarkStart w:id="147" w:name="_Toc480820704"/>
      <w:bookmarkStart w:id="148" w:name="_Toc485220925"/>
      <w:bookmarkStart w:id="149" w:name="_Toc485221537"/>
      <w:bookmarkStart w:id="150" w:name="_Toc485224427"/>
      <w:bookmarkStart w:id="151" w:name="_Toc485292683"/>
      <w:bookmarkStart w:id="152" w:name="_Toc485308338"/>
      <w:bookmarkStart w:id="153" w:name="_Toc485653214"/>
      <w:bookmarkStart w:id="154" w:name="_Toc485653807"/>
      <w:bookmarkStart w:id="155" w:name="_Toc486413212"/>
      <w:bookmarkStart w:id="156" w:name="_Toc486512467"/>
      <w:bookmarkStart w:id="157" w:name="_Toc486512679"/>
      <w:bookmarkStart w:id="158" w:name="_Toc486513686"/>
      <w:r w:rsidRPr="009E32FC">
        <w:rPr>
          <w:rFonts w:ascii="Times New Roman" w:hAnsi="Times New Roman" w:cs="Times New Roman"/>
          <w:b/>
        </w:rPr>
        <w:t>Odpadové hospodárstvo</w:t>
      </w:r>
      <w:bookmarkEnd w:id="147"/>
      <w:bookmarkEnd w:id="148"/>
      <w:bookmarkEnd w:id="149"/>
      <w:bookmarkEnd w:id="150"/>
      <w:bookmarkEnd w:id="151"/>
      <w:bookmarkEnd w:id="152"/>
      <w:bookmarkEnd w:id="153"/>
      <w:bookmarkEnd w:id="154"/>
      <w:bookmarkEnd w:id="155"/>
      <w:bookmarkEnd w:id="156"/>
      <w:bookmarkEnd w:id="157"/>
      <w:bookmarkEnd w:id="158"/>
    </w:p>
    <w:p w:rsidR="003A497B" w:rsidRPr="009E32FC" w:rsidRDefault="003A497B" w:rsidP="003A497B">
      <w:pPr>
        <w:jc w:val="both"/>
        <w:rPr>
          <w:rFonts w:ascii="Times New Roman" w:hAnsi="Times New Roman" w:cs="Times New Roman"/>
          <w:b/>
        </w:rPr>
      </w:pPr>
    </w:p>
    <w:p w:rsidR="003A497B" w:rsidRDefault="003A497B" w:rsidP="003A497B">
      <w:pPr>
        <w:ind w:firstLine="708"/>
        <w:jc w:val="both"/>
        <w:rPr>
          <w:rFonts w:ascii="Times New Roman" w:hAnsi="Times New Roman" w:cs="Times New Roman"/>
        </w:rPr>
      </w:pPr>
      <w:r w:rsidRPr="009E32FC">
        <w:rPr>
          <w:rFonts w:ascii="Times New Roman" w:hAnsi="Times New Roman" w:cs="Times New Roman"/>
        </w:rPr>
        <w:t xml:space="preserve">Hlavným cieľom je znižovanie negatívnych vplyvov vzniku a nakladania s odpadmi na zdravie ľudí. Jednou z príčin vysokej miery skládkovania namiesto zhodnocovania komunálnych odpadov môžu byť aj nízke poplatky za skládkovanie a s tým súvisiaca slabá motivácia k zvýšeniu úrovne triedeného zberu. Krajiny s vyšším poplatkom vykazujú aj vyššiu mieru recyklácie. </w:t>
      </w:r>
    </w:p>
    <w:p w:rsidR="003A497B"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p>
    <w:p w:rsidR="00D2350F" w:rsidRDefault="00D2350F"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p>
    <w:p w:rsidR="003A497B" w:rsidRPr="009E32FC" w:rsidRDefault="003A497B" w:rsidP="003A497B">
      <w:pPr>
        <w:jc w:val="both"/>
        <w:rPr>
          <w:rFonts w:ascii="Times New Roman" w:hAnsi="Times New Roman" w:cs="Times New Roman"/>
        </w:rPr>
      </w:pPr>
    </w:p>
    <w:tbl>
      <w:tblPr>
        <w:tblpPr w:leftFromText="141" w:rightFromText="141" w:vertAnchor="text" w:horzAnchor="margin" w:tblpXSpec="center" w:tblpY="19"/>
        <w:tblOverlap w:val="neve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1E0" w:firstRow="1" w:lastRow="1" w:firstColumn="1" w:lastColumn="1" w:noHBand="0" w:noVBand="0"/>
      </w:tblPr>
      <w:tblGrid>
        <w:gridCol w:w="4320"/>
        <w:gridCol w:w="178"/>
        <w:gridCol w:w="4574"/>
      </w:tblGrid>
      <w:tr w:rsidR="003A497B" w:rsidRPr="009E32FC" w:rsidTr="003E1809">
        <w:trPr>
          <w:trHeight w:hRule="exact" w:val="515"/>
        </w:trPr>
        <w:tc>
          <w:tcPr>
            <w:tcW w:w="2381" w:type="pct"/>
            <w:tcBorders>
              <w:top w:val="nil"/>
              <w:left w:val="nil"/>
              <w:bottom w:val="single" w:sz="4" w:space="0" w:color="auto"/>
              <w:right w:val="nil"/>
            </w:tcBorders>
            <w:shd w:val="clear" w:color="auto" w:fill="auto"/>
            <w:vAlign w:val="center"/>
          </w:tcPr>
          <w:p w:rsidR="003A497B" w:rsidRPr="009E32FC" w:rsidRDefault="003A497B" w:rsidP="003E1809">
            <w:pPr>
              <w:jc w:val="both"/>
              <w:rPr>
                <w:rFonts w:ascii="Times New Roman" w:hAnsi="Times New Roman" w:cs="Times New Roman"/>
                <w:i/>
                <w:iCs/>
              </w:rPr>
            </w:pPr>
            <w:bookmarkStart w:id="159" w:name="_Toc485220886"/>
            <w:bookmarkStart w:id="160" w:name="_Toc485221498"/>
            <w:bookmarkStart w:id="161" w:name="_Toc485224388"/>
            <w:bookmarkStart w:id="162" w:name="_Toc485292644"/>
            <w:bookmarkStart w:id="163" w:name="_Toc485308299"/>
            <w:bookmarkStart w:id="164" w:name="_Toc485653175"/>
            <w:bookmarkStart w:id="165" w:name="_Toc485653768"/>
            <w:bookmarkStart w:id="166" w:name="_Toc486413173"/>
            <w:bookmarkStart w:id="167" w:name="_Toc486497406"/>
            <w:bookmarkStart w:id="168" w:name="_Toc486512428"/>
            <w:bookmarkStart w:id="169" w:name="_Toc486512640"/>
            <w:bookmarkStart w:id="170" w:name="_Toc486513647"/>
            <w:r w:rsidRPr="009E32FC">
              <w:rPr>
                <w:rFonts w:ascii="Times New Roman" w:hAnsi="Times New Roman" w:cs="Times New Roman"/>
                <w:b/>
              </w:rPr>
              <w:lastRenderedPageBreak/>
              <w:t>Graf: Nízka miera</w:t>
            </w:r>
            <w:r w:rsidRPr="009E32FC">
              <w:rPr>
                <w:rFonts w:ascii="Times New Roman" w:hAnsi="Times New Roman" w:cs="Times New Roman"/>
                <w:b/>
                <w:iCs/>
              </w:rPr>
              <w:t xml:space="preserve"> recyklácie komunálu, 2016 (v %)</w:t>
            </w:r>
            <w:bookmarkEnd w:id="159"/>
            <w:bookmarkEnd w:id="160"/>
            <w:bookmarkEnd w:id="161"/>
            <w:bookmarkEnd w:id="162"/>
            <w:bookmarkEnd w:id="163"/>
            <w:bookmarkEnd w:id="164"/>
            <w:bookmarkEnd w:id="165"/>
            <w:bookmarkEnd w:id="166"/>
            <w:bookmarkEnd w:id="167"/>
            <w:bookmarkEnd w:id="168"/>
            <w:bookmarkEnd w:id="169"/>
            <w:bookmarkEnd w:id="170"/>
          </w:p>
        </w:tc>
        <w:tc>
          <w:tcPr>
            <w:tcW w:w="98" w:type="pct"/>
            <w:tcBorders>
              <w:top w:val="nil"/>
              <w:left w:val="nil"/>
              <w:bottom w:val="nil"/>
              <w:right w:val="nil"/>
            </w:tcBorders>
            <w:shd w:val="clear" w:color="auto" w:fill="auto"/>
            <w:vAlign w:val="center"/>
          </w:tcPr>
          <w:p w:rsidR="003A497B" w:rsidRPr="009E32FC" w:rsidRDefault="003A497B" w:rsidP="003E1809">
            <w:pPr>
              <w:jc w:val="both"/>
              <w:rPr>
                <w:rFonts w:ascii="Times New Roman" w:hAnsi="Times New Roman" w:cs="Times New Roman"/>
                <w:b/>
              </w:rPr>
            </w:pPr>
          </w:p>
        </w:tc>
        <w:tc>
          <w:tcPr>
            <w:tcW w:w="2520" w:type="pct"/>
            <w:tcBorders>
              <w:top w:val="nil"/>
              <w:left w:val="nil"/>
              <w:bottom w:val="single" w:sz="4" w:space="0" w:color="auto"/>
              <w:right w:val="nil"/>
            </w:tcBorders>
            <w:shd w:val="clear" w:color="auto" w:fill="auto"/>
            <w:vAlign w:val="center"/>
          </w:tcPr>
          <w:p w:rsidR="003A497B" w:rsidRPr="009E32FC" w:rsidRDefault="003A497B" w:rsidP="003E1809">
            <w:pPr>
              <w:jc w:val="both"/>
              <w:rPr>
                <w:rFonts w:ascii="Times New Roman" w:hAnsi="Times New Roman" w:cs="Times New Roman"/>
                <w:i/>
                <w:iCs/>
              </w:rPr>
            </w:pPr>
            <w:bookmarkStart w:id="171" w:name="_Toc485220887"/>
            <w:bookmarkStart w:id="172" w:name="_Toc485221499"/>
            <w:bookmarkStart w:id="173" w:name="_Toc485224389"/>
            <w:bookmarkStart w:id="174" w:name="_Toc485292645"/>
            <w:bookmarkStart w:id="175" w:name="_Toc485308300"/>
            <w:bookmarkStart w:id="176" w:name="_Toc485653176"/>
            <w:bookmarkStart w:id="177" w:name="_Toc485653769"/>
            <w:bookmarkStart w:id="178" w:name="_Toc486413174"/>
            <w:bookmarkStart w:id="179" w:name="_Toc486497407"/>
            <w:bookmarkStart w:id="180" w:name="_Toc486512429"/>
            <w:bookmarkStart w:id="181" w:name="_Toc486512641"/>
            <w:bookmarkStart w:id="182" w:name="_Toc486513648"/>
            <w:r w:rsidRPr="009E32FC">
              <w:rPr>
                <w:rFonts w:ascii="Times New Roman" w:hAnsi="Times New Roman" w:cs="Times New Roman"/>
                <w:b/>
              </w:rPr>
              <w:t>Graf: Vysoká miera skládkovania odpadov, 2014 (v %)</w:t>
            </w:r>
            <w:bookmarkEnd w:id="171"/>
            <w:bookmarkEnd w:id="172"/>
            <w:bookmarkEnd w:id="173"/>
            <w:bookmarkEnd w:id="174"/>
            <w:bookmarkEnd w:id="175"/>
            <w:bookmarkEnd w:id="176"/>
            <w:bookmarkEnd w:id="177"/>
            <w:bookmarkEnd w:id="178"/>
            <w:bookmarkEnd w:id="179"/>
            <w:bookmarkEnd w:id="180"/>
            <w:bookmarkEnd w:id="181"/>
            <w:bookmarkEnd w:id="182"/>
          </w:p>
        </w:tc>
      </w:tr>
      <w:tr w:rsidR="003A497B" w:rsidRPr="009E32FC" w:rsidTr="003E1809">
        <w:trPr>
          <w:trHeight w:val="5142"/>
        </w:trPr>
        <w:tc>
          <w:tcPr>
            <w:tcW w:w="2381" w:type="pct"/>
            <w:tcBorders>
              <w:top w:val="single" w:sz="4" w:space="0" w:color="auto"/>
              <w:left w:val="nil"/>
              <w:bottom w:val="single" w:sz="4" w:space="0" w:color="auto"/>
              <w:right w:val="nil"/>
            </w:tcBorders>
            <w:vAlign w:val="center"/>
          </w:tcPr>
          <w:p w:rsidR="003A497B" w:rsidRPr="009E32FC" w:rsidRDefault="003A497B" w:rsidP="003E1809">
            <w:pPr>
              <w:jc w:val="both"/>
              <w:rPr>
                <w:rFonts w:ascii="Times New Roman" w:hAnsi="Times New Roman" w:cs="Times New Roman"/>
                <w:b/>
              </w:rPr>
            </w:pPr>
            <w:r w:rsidRPr="009E32FC">
              <w:rPr>
                <w:rFonts w:ascii="Times New Roman" w:hAnsi="Times New Roman" w:cs="Times New Roman"/>
                <w:noProof/>
                <w:lang w:eastAsia="sk-SK"/>
              </w:rPr>
              <w:drawing>
                <wp:inline distT="0" distB="0" distL="0" distR="0" wp14:anchorId="20F19D8A" wp14:editId="7035765F">
                  <wp:extent cx="2651760" cy="2613804"/>
                  <wp:effectExtent l="0" t="0" r="0" b="0"/>
                  <wp:docPr id="11"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9E32FC">
              <w:rPr>
                <w:rFonts w:ascii="Times New Roman" w:hAnsi="Times New Roman" w:cs="Times New Roman"/>
                <w:noProof/>
                <w:lang w:eastAsia="sk-SK"/>
              </w:rPr>
              <mc:AlternateContent>
                <mc:Choice Requires="wps">
                  <w:drawing>
                    <wp:anchor distT="0" distB="0" distL="114300" distR="114300" simplePos="0" relativeHeight="251660288" behindDoc="0" locked="0" layoutInCell="1" allowOverlap="1" wp14:anchorId="4E0B000A" wp14:editId="170D5E45">
                      <wp:simplePos x="0" y="0"/>
                      <wp:positionH relativeFrom="column">
                        <wp:posOffset>2094230</wp:posOffset>
                      </wp:positionH>
                      <wp:positionV relativeFrom="paragraph">
                        <wp:posOffset>591185</wp:posOffset>
                      </wp:positionV>
                      <wp:extent cx="471170" cy="266700"/>
                      <wp:effectExtent l="0" t="0" r="0" b="0"/>
                      <wp:wrapNone/>
                      <wp:docPr id="295463" name="BlokTextu 1"/>
                      <wp:cNvGraphicFramePr/>
                      <a:graphic xmlns:a="http://schemas.openxmlformats.org/drawingml/2006/main">
                        <a:graphicData uri="http://schemas.microsoft.com/office/word/2010/wordprocessingShape">
                          <wps:wsp>
                            <wps:cNvSpPr txBox="1"/>
                            <wps:spPr>
                              <a:xfrm>
                                <a:off x="0" y="0"/>
                                <a:ext cx="471170" cy="266700"/>
                              </a:xfrm>
                              <a:prstGeom prst="rect">
                                <a:avLst/>
                              </a:prstGeom>
                            </wps:spPr>
                            <wps:txbx>
                              <w:txbxContent>
                                <w:p w:rsidR="004650BC" w:rsidRDefault="004650BC" w:rsidP="003A497B">
                                  <w:pPr>
                                    <w:pStyle w:val="Normlnywebov"/>
                                  </w:pPr>
                                  <w:r>
                                    <w:rPr>
                                      <w:rFonts w:ascii="Arial Narrow" w:hAnsi="Arial Narrow" w:cstheme="minorBidi"/>
                                      <w:sz w:val="20"/>
                                      <w:szCs w:val="20"/>
                                    </w:rPr>
                                    <w:t>EU28</w:t>
                                  </w:r>
                                </w:p>
                              </w:txbxContent>
                            </wps:txbx>
                            <wps:bodyPr wrap="square" rtlCol="0"/>
                          </wps:wsp>
                        </a:graphicData>
                      </a:graphic>
                      <wp14:sizeRelH relativeFrom="margin">
                        <wp14:pctWidth>0</wp14:pctWidth>
                      </wp14:sizeRelH>
                      <wp14:sizeRelV relativeFrom="margin">
                        <wp14:pctHeight>0</wp14:pctHeight>
                      </wp14:sizeRelV>
                    </wp:anchor>
                  </w:drawing>
                </mc:Choice>
                <mc:Fallback>
                  <w:pict>
                    <v:shapetype w14:anchorId="4E0B000A" id="_x0000_t202" coordsize="21600,21600" o:spt="202" path="m,l,21600r21600,l21600,xe">
                      <v:stroke joinstyle="miter"/>
                      <v:path gradientshapeok="t" o:connecttype="rect"/>
                    </v:shapetype>
                    <v:shape id="BlokTextu 1" o:spid="_x0000_s1026" type="#_x0000_t202" style="position:absolute;left:0;text-align:left;margin-left:164.9pt;margin-top:46.55pt;width:37.1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" filled="f" stroked="f">
                      <v:textbox>
                        <w:txbxContent>
                          <w:p w:rsidR="004650BC" w:rsidRDefault="004650BC" w:rsidP="003A497B">
                            <w:pPr>
                              <w:pStyle w:val="Normlnywebov"/>
                            </w:pPr>
                            <w:r>
                              <w:rPr>
                                <w:rFonts w:ascii="Arial Narrow" w:hAnsi="Arial Narrow" w:cstheme="minorBidi"/>
                                <w:sz w:val="20"/>
                                <w:szCs w:val="20"/>
                              </w:rPr>
                              <w:t>EU28</w:t>
                            </w:r>
                          </w:p>
                        </w:txbxContent>
                      </v:textbox>
                    </v:shape>
                  </w:pict>
                </mc:Fallback>
              </mc:AlternateContent>
            </w:r>
          </w:p>
        </w:tc>
        <w:tc>
          <w:tcPr>
            <w:tcW w:w="98" w:type="pct"/>
            <w:tcBorders>
              <w:top w:val="nil"/>
              <w:left w:val="nil"/>
              <w:bottom w:val="nil"/>
              <w:right w:val="nil"/>
            </w:tcBorders>
            <w:vAlign w:val="center"/>
          </w:tcPr>
          <w:p w:rsidR="003A497B" w:rsidRPr="009E32FC" w:rsidRDefault="003A497B" w:rsidP="003E1809">
            <w:pPr>
              <w:jc w:val="both"/>
              <w:rPr>
                <w:rFonts w:ascii="Times New Roman" w:hAnsi="Times New Roman" w:cs="Times New Roman"/>
                <w:b/>
              </w:rPr>
            </w:pPr>
          </w:p>
        </w:tc>
        <w:tc>
          <w:tcPr>
            <w:tcW w:w="2520" w:type="pct"/>
            <w:tcBorders>
              <w:top w:val="single" w:sz="4" w:space="0" w:color="auto"/>
              <w:left w:val="nil"/>
              <w:bottom w:val="single" w:sz="4" w:space="0" w:color="auto"/>
              <w:right w:val="nil"/>
            </w:tcBorders>
            <w:vAlign w:val="center"/>
          </w:tcPr>
          <w:p w:rsidR="003A497B" w:rsidRPr="009E32FC" w:rsidRDefault="003A497B" w:rsidP="003E1809">
            <w:pPr>
              <w:jc w:val="both"/>
              <w:rPr>
                <w:rFonts w:ascii="Times New Roman" w:hAnsi="Times New Roman" w:cs="Times New Roman"/>
                <w:b/>
                <w:bCs/>
              </w:rPr>
            </w:pPr>
            <w:r w:rsidRPr="009E32FC">
              <w:rPr>
                <w:rFonts w:ascii="Times New Roman" w:hAnsi="Times New Roman" w:cs="Times New Roman"/>
                <w:noProof/>
                <w:lang w:eastAsia="sk-SK"/>
              </w:rPr>
              <w:drawing>
                <wp:inline distT="0" distB="0" distL="0" distR="0" wp14:anchorId="76E64059" wp14:editId="7A3F9AE1">
                  <wp:extent cx="2811780" cy="2708695"/>
                  <wp:effectExtent l="0" t="0" r="7620" b="0"/>
                  <wp:docPr id="295464" name="Graf 29546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3A497B" w:rsidRPr="009E32FC" w:rsidTr="003E1809">
        <w:trPr>
          <w:trHeight w:hRule="exact" w:val="285"/>
        </w:trPr>
        <w:tc>
          <w:tcPr>
            <w:tcW w:w="2381" w:type="pct"/>
            <w:tcBorders>
              <w:top w:val="single" w:sz="4" w:space="0" w:color="auto"/>
              <w:left w:val="nil"/>
              <w:bottom w:val="nil"/>
              <w:right w:val="nil"/>
            </w:tcBorders>
            <w:vAlign w:val="center"/>
          </w:tcPr>
          <w:p w:rsidR="003A497B" w:rsidRPr="000746C7" w:rsidRDefault="003A497B" w:rsidP="003E1809">
            <w:pPr>
              <w:jc w:val="both"/>
              <w:rPr>
                <w:rFonts w:ascii="Times New Roman" w:hAnsi="Times New Roman" w:cs="Times New Roman"/>
                <w:i/>
                <w:sz w:val="16"/>
                <w:szCs w:val="16"/>
              </w:rPr>
            </w:pPr>
            <w:r w:rsidRPr="000746C7">
              <w:rPr>
                <w:rFonts w:ascii="Times New Roman" w:hAnsi="Times New Roman" w:cs="Times New Roman"/>
                <w:i/>
                <w:iCs/>
                <w:sz w:val="16"/>
                <w:szCs w:val="16"/>
              </w:rPr>
              <w:t xml:space="preserve">Zdroj: Eurostat </w:t>
            </w:r>
          </w:p>
        </w:tc>
        <w:tc>
          <w:tcPr>
            <w:tcW w:w="98" w:type="pct"/>
            <w:tcBorders>
              <w:top w:val="nil"/>
              <w:left w:val="nil"/>
              <w:bottom w:val="nil"/>
              <w:right w:val="nil"/>
            </w:tcBorders>
            <w:vAlign w:val="center"/>
          </w:tcPr>
          <w:p w:rsidR="003A497B" w:rsidRPr="000746C7" w:rsidRDefault="003A497B" w:rsidP="003E1809">
            <w:pPr>
              <w:jc w:val="both"/>
              <w:rPr>
                <w:rFonts w:ascii="Times New Roman" w:hAnsi="Times New Roman" w:cs="Times New Roman"/>
                <w:i/>
                <w:sz w:val="16"/>
                <w:szCs w:val="16"/>
              </w:rPr>
            </w:pPr>
          </w:p>
        </w:tc>
        <w:tc>
          <w:tcPr>
            <w:tcW w:w="2520" w:type="pct"/>
            <w:tcBorders>
              <w:top w:val="single" w:sz="4" w:space="0" w:color="auto"/>
              <w:left w:val="nil"/>
              <w:bottom w:val="nil"/>
              <w:right w:val="nil"/>
            </w:tcBorders>
            <w:vAlign w:val="center"/>
          </w:tcPr>
          <w:p w:rsidR="003A497B" w:rsidRPr="000746C7" w:rsidRDefault="003A497B" w:rsidP="003E1809">
            <w:pPr>
              <w:jc w:val="both"/>
              <w:rPr>
                <w:rFonts w:ascii="Times New Roman" w:hAnsi="Times New Roman" w:cs="Times New Roman"/>
                <w:i/>
                <w:sz w:val="16"/>
                <w:szCs w:val="16"/>
              </w:rPr>
            </w:pPr>
            <w:r w:rsidRPr="000746C7">
              <w:rPr>
                <w:rFonts w:ascii="Times New Roman" w:hAnsi="Times New Roman" w:cs="Times New Roman"/>
                <w:i/>
                <w:iCs/>
                <w:sz w:val="16"/>
                <w:szCs w:val="16"/>
              </w:rPr>
              <w:t xml:space="preserve">Zdroj: Eurostat </w:t>
            </w:r>
          </w:p>
        </w:tc>
      </w:tr>
    </w:tbl>
    <w:p w:rsidR="003A497B" w:rsidRPr="009E32FC" w:rsidRDefault="003A497B" w:rsidP="003A497B">
      <w:pPr>
        <w:jc w:val="both"/>
        <w:rPr>
          <w:rFonts w:ascii="Times New Roman" w:hAnsi="Times New Roman" w:cs="Times New Roman"/>
          <w:b/>
        </w:rPr>
      </w:pPr>
    </w:p>
    <w:p w:rsidR="003A497B" w:rsidRPr="009E32FC" w:rsidRDefault="003A497B" w:rsidP="003A497B">
      <w:pPr>
        <w:jc w:val="both"/>
        <w:rPr>
          <w:rFonts w:ascii="Times New Roman" w:hAnsi="Times New Roman" w:cs="Times New Roman"/>
          <w:b/>
        </w:rPr>
      </w:pPr>
    </w:p>
    <w:p w:rsidR="003A497B" w:rsidRDefault="003A497B" w:rsidP="003A497B">
      <w:pPr>
        <w:jc w:val="both"/>
        <w:rPr>
          <w:rFonts w:ascii="Times New Roman" w:hAnsi="Times New Roman" w:cs="Times New Roman"/>
          <w:b/>
        </w:rPr>
      </w:pPr>
      <w:r w:rsidRPr="009E32FC">
        <w:rPr>
          <w:rFonts w:ascii="Times New Roman" w:hAnsi="Times New Roman" w:cs="Times New Roman"/>
          <w:b/>
        </w:rPr>
        <w:t>Opatrenia z revízie výdavkov v oblasti odpadového hospodárstva sú:</w:t>
      </w:r>
    </w:p>
    <w:p w:rsidR="003A497B" w:rsidRPr="009E32FC" w:rsidRDefault="003A497B" w:rsidP="003A497B">
      <w:pPr>
        <w:jc w:val="both"/>
        <w:rPr>
          <w:rFonts w:ascii="Times New Roman" w:hAnsi="Times New Roman" w:cs="Times New Roman"/>
          <w:b/>
        </w:rPr>
      </w:pPr>
    </w:p>
    <w:p w:rsidR="003A497B" w:rsidRPr="009E32FC" w:rsidRDefault="003A497B" w:rsidP="003A497B">
      <w:pPr>
        <w:numPr>
          <w:ilvl w:val="0"/>
          <w:numId w:val="13"/>
        </w:numPr>
        <w:jc w:val="both"/>
        <w:rPr>
          <w:rFonts w:ascii="Times New Roman" w:hAnsi="Times New Roman" w:cs="Times New Roman"/>
        </w:rPr>
      </w:pPr>
      <w:r w:rsidRPr="009E32FC">
        <w:rPr>
          <w:rFonts w:ascii="Times New Roman" w:hAnsi="Times New Roman" w:cs="Times New Roman"/>
        </w:rPr>
        <w:t xml:space="preserve">Do roku 2021 sa postupne  zvýšia poplatky za skládkovanie a zavedie sa povinný množstvový zber. Vláda schválila vyššie poplatky za skládkovanie, výška závisí od úrovne separácie odpadu. V roku 2018 nie je plánovaný výnos, v roku 2019 je </w:t>
      </w:r>
      <w:r>
        <w:rPr>
          <w:rFonts w:ascii="Times New Roman" w:hAnsi="Times New Roman" w:cs="Times New Roman"/>
        </w:rPr>
        <w:br/>
      </w:r>
      <w:r w:rsidRPr="009E32FC">
        <w:rPr>
          <w:rFonts w:ascii="Times New Roman" w:hAnsi="Times New Roman" w:cs="Times New Roman"/>
        </w:rPr>
        <w:t>15,2 mil. eur a v roku 2020 je to 26,8 mil. eur. Poplatky budú smerovať do Environment</w:t>
      </w:r>
      <w:r>
        <w:rPr>
          <w:rFonts w:ascii="Times New Roman" w:hAnsi="Times New Roman" w:cs="Times New Roman"/>
        </w:rPr>
        <w:t>álneho fondu, ktorý ich následne</w:t>
      </w:r>
      <w:r w:rsidRPr="009E32FC">
        <w:rPr>
          <w:rFonts w:ascii="Times New Roman" w:hAnsi="Times New Roman" w:cs="Times New Roman"/>
        </w:rPr>
        <w:t xml:space="preserve"> použije na financovanie projektov.</w:t>
      </w:r>
    </w:p>
    <w:p w:rsidR="003A497B" w:rsidRPr="009E32FC" w:rsidRDefault="003A497B" w:rsidP="003A497B">
      <w:pPr>
        <w:numPr>
          <w:ilvl w:val="0"/>
          <w:numId w:val="13"/>
        </w:numPr>
        <w:jc w:val="both"/>
        <w:rPr>
          <w:rFonts w:ascii="Times New Roman" w:hAnsi="Times New Roman" w:cs="Times New Roman"/>
        </w:rPr>
      </w:pPr>
      <w:r w:rsidRPr="009E32FC">
        <w:rPr>
          <w:rFonts w:ascii="Times New Roman" w:hAnsi="Times New Roman" w:cs="Times New Roman"/>
        </w:rPr>
        <w:t>Výnos z poplatku za uloženie komunálnych odpadov na skládku bude do roku 2021 predstavovať 75 mil. eur.</w:t>
      </w:r>
    </w:p>
    <w:p w:rsidR="003A497B" w:rsidRPr="009E32FC" w:rsidRDefault="003A497B" w:rsidP="003A497B">
      <w:pPr>
        <w:numPr>
          <w:ilvl w:val="0"/>
          <w:numId w:val="13"/>
        </w:numPr>
        <w:jc w:val="both"/>
        <w:rPr>
          <w:rFonts w:ascii="Times New Roman" w:hAnsi="Times New Roman" w:cs="Times New Roman"/>
        </w:rPr>
      </w:pPr>
      <w:r w:rsidRPr="009E32FC">
        <w:rPr>
          <w:rFonts w:ascii="Times New Roman" w:hAnsi="Times New Roman" w:cs="Times New Roman"/>
        </w:rPr>
        <w:t>Elektronicky sa budú zbierať dáta o spracovateľských zariadeniach a zberných dvoroch s pravidelnou aktualizáciou (kapacita, množstvo odpadu). MŽP SR podpísalo v novembri 2017 zmluvu a projekt má byť zrealizovaný do roku 2020.</w:t>
      </w:r>
    </w:p>
    <w:p w:rsidR="003A497B" w:rsidRPr="009E32FC" w:rsidRDefault="003A497B" w:rsidP="003A497B">
      <w:pPr>
        <w:jc w:val="both"/>
        <w:rPr>
          <w:rFonts w:ascii="Times New Roman" w:hAnsi="Times New Roman" w:cs="Times New Roman"/>
        </w:rPr>
      </w:pPr>
    </w:p>
    <w:p w:rsidR="003A497B" w:rsidRPr="009E32FC" w:rsidRDefault="003A497B" w:rsidP="003A497B">
      <w:pPr>
        <w:jc w:val="both"/>
        <w:rPr>
          <w:rFonts w:ascii="Times New Roman" w:hAnsi="Times New Roman" w:cs="Times New Roman"/>
          <w:b/>
        </w:rPr>
      </w:pPr>
      <w:bookmarkStart w:id="183" w:name="_Toc486413215"/>
      <w:bookmarkStart w:id="184" w:name="_Toc486512470"/>
      <w:bookmarkStart w:id="185" w:name="_Toc486512682"/>
      <w:bookmarkStart w:id="186" w:name="_Toc486513689"/>
      <w:r w:rsidRPr="009E32FC">
        <w:rPr>
          <w:rFonts w:ascii="Times New Roman" w:hAnsi="Times New Roman" w:cs="Times New Roman"/>
          <w:b/>
        </w:rPr>
        <w:t>Ochrana ovzdušia a zmena klímy</w:t>
      </w:r>
      <w:bookmarkEnd w:id="183"/>
      <w:bookmarkEnd w:id="184"/>
      <w:bookmarkEnd w:id="185"/>
      <w:bookmarkEnd w:id="186"/>
    </w:p>
    <w:p w:rsidR="003A497B" w:rsidRPr="009E32FC" w:rsidRDefault="003A497B" w:rsidP="003A497B">
      <w:pPr>
        <w:jc w:val="both"/>
        <w:rPr>
          <w:rFonts w:ascii="Times New Roman" w:hAnsi="Times New Roman" w:cs="Times New Roman"/>
          <w:b/>
        </w:rPr>
      </w:pPr>
    </w:p>
    <w:p w:rsidR="003A497B" w:rsidRDefault="003A497B" w:rsidP="003A497B">
      <w:pPr>
        <w:ind w:firstLine="708"/>
        <w:jc w:val="both"/>
        <w:rPr>
          <w:rFonts w:ascii="Times New Roman" w:hAnsi="Times New Roman" w:cs="Times New Roman"/>
        </w:rPr>
      </w:pPr>
      <w:r w:rsidRPr="009E32FC">
        <w:rPr>
          <w:rFonts w:ascii="Times New Roman" w:hAnsi="Times New Roman" w:cs="Times New Roman"/>
        </w:rPr>
        <w:t xml:space="preserve">Znečistené ovzdušie prachovými časticami na Slovensku spôsobí viac ako 5000 predčasných úmrtí. Doterajšie výdavky boli zamerané primárne na redukciu emisií z priemyslu. Pre zvýšenie kvality ovzdušia sú rozhodujúce emisie vypúšťané z lokálnych kúrenísk a v doprave. Zvýšenie (rozšírenie) environmentálnych daní, prípadne obmedzenie existujúcich výnimiek (napr. oslobodenie spotreby palív v domácnostiach) by prispelo k motivácií využívať energiu efektívnejšie. </w:t>
      </w:r>
    </w:p>
    <w:p w:rsidR="003A497B"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p>
    <w:p w:rsidR="003A497B" w:rsidRPr="009E32FC" w:rsidRDefault="003A497B" w:rsidP="003A497B">
      <w:pPr>
        <w:ind w:firstLine="708"/>
        <w:jc w:val="both"/>
        <w:rPr>
          <w:rFonts w:ascii="Times New Roman" w:hAnsi="Times New Roman" w:cs="Times New Roman"/>
        </w:rPr>
      </w:pPr>
    </w:p>
    <w:p w:rsidR="003A497B" w:rsidRPr="009E32FC" w:rsidRDefault="003A497B" w:rsidP="003A497B">
      <w:pPr>
        <w:jc w:val="both"/>
        <w:rPr>
          <w:rFonts w:ascii="Times New Roman" w:hAnsi="Times New Roman" w:cs="Times New Roman"/>
        </w:rPr>
      </w:pPr>
    </w:p>
    <w:tbl>
      <w:tblPr>
        <w:tblpPr w:leftFromText="141" w:rightFromText="141" w:vertAnchor="text" w:horzAnchor="margin" w:tblpXSpec="center" w:tblpY="19"/>
        <w:tblOverlap w:val="never"/>
        <w:tblW w:w="4954"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1E0" w:firstRow="1" w:lastRow="1" w:firstColumn="1" w:lastColumn="1" w:noHBand="0" w:noVBand="0"/>
      </w:tblPr>
      <w:tblGrid>
        <w:gridCol w:w="4281"/>
        <w:gridCol w:w="178"/>
        <w:gridCol w:w="4530"/>
      </w:tblGrid>
      <w:tr w:rsidR="003A497B" w:rsidRPr="009E32FC" w:rsidTr="003E1809">
        <w:trPr>
          <w:trHeight w:hRule="exact" w:val="599"/>
        </w:trPr>
        <w:tc>
          <w:tcPr>
            <w:tcW w:w="2381" w:type="pct"/>
            <w:tcBorders>
              <w:top w:val="nil"/>
              <w:left w:val="nil"/>
              <w:bottom w:val="single" w:sz="4" w:space="0" w:color="auto"/>
              <w:right w:val="nil"/>
            </w:tcBorders>
            <w:shd w:val="clear" w:color="auto" w:fill="auto"/>
            <w:vAlign w:val="center"/>
          </w:tcPr>
          <w:p w:rsidR="003A497B" w:rsidRPr="009E32FC" w:rsidRDefault="003A497B" w:rsidP="003E1809">
            <w:pPr>
              <w:jc w:val="both"/>
              <w:rPr>
                <w:rFonts w:ascii="Times New Roman" w:hAnsi="Times New Roman" w:cs="Times New Roman"/>
                <w:b/>
              </w:rPr>
            </w:pPr>
            <w:bookmarkStart w:id="187" w:name="_Toc485220891"/>
            <w:bookmarkStart w:id="188" w:name="_Toc485221503"/>
            <w:bookmarkStart w:id="189" w:name="_Toc485224393"/>
            <w:bookmarkStart w:id="190" w:name="_Toc485292649"/>
            <w:bookmarkStart w:id="191" w:name="_Toc485308304"/>
            <w:bookmarkStart w:id="192" w:name="_Toc485653180"/>
            <w:bookmarkStart w:id="193" w:name="_Toc485653773"/>
            <w:bookmarkStart w:id="194" w:name="_Toc486413183"/>
            <w:bookmarkStart w:id="195" w:name="_Toc486497416"/>
            <w:bookmarkStart w:id="196" w:name="_Toc486512438"/>
            <w:bookmarkStart w:id="197" w:name="_Toc486512650"/>
            <w:bookmarkStart w:id="198" w:name="_Toc486513657"/>
            <w:r w:rsidRPr="009E32FC">
              <w:rPr>
                <w:rFonts w:ascii="Times New Roman" w:hAnsi="Times New Roman" w:cs="Times New Roman"/>
                <w:b/>
              </w:rPr>
              <w:lastRenderedPageBreak/>
              <w:t>Graf: Ročná priemerná koncentrácia PM</w:t>
            </w:r>
            <w:r w:rsidRPr="009E32FC">
              <w:rPr>
                <w:rFonts w:ascii="Times New Roman" w:hAnsi="Times New Roman" w:cs="Times New Roman"/>
                <w:b/>
                <w:vertAlign w:val="subscript"/>
              </w:rPr>
              <w:t>2,5</w:t>
            </w:r>
            <w:bookmarkEnd w:id="187"/>
            <w:bookmarkEnd w:id="188"/>
            <w:bookmarkEnd w:id="189"/>
            <w:bookmarkEnd w:id="190"/>
            <w:bookmarkEnd w:id="191"/>
            <w:bookmarkEnd w:id="192"/>
            <w:bookmarkEnd w:id="193"/>
            <w:bookmarkEnd w:id="194"/>
            <w:bookmarkEnd w:id="195"/>
            <w:bookmarkEnd w:id="196"/>
            <w:bookmarkEnd w:id="197"/>
            <w:bookmarkEnd w:id="198"/>
            <w:r w:rsidRPr="009E32FC">
              <w:rPr>
                <w:rFonts w:ascii="Times New Roman" w:hAnsi="Times New Roman" w:cs="Times New Roman"/>
                <w:b/>
                <w:iCs/>
              </w:rPr>
              <w:t>, 2014</w:t>
            </w:r>
          </w:p>
        </w:tc>
        <w:tc>
          <w:tcPr>
            <w:tcW w:w="99" w:type="pct"/>
            <w:tcBorders>
              <w:top w:val="nil"/>
              <w:left w:val="nil"/>
              <w:bottom w:val="nil"/>
              <w:right w:val="nil"/>
            </w:tcBorders>
            <w:shd w:val="clear" w:color="auto" w:fill="auto"/>
            <w:vAlign w:val="center"/>
          </w:tcPr>
          <w:p w:rsidR="003A497B" w:rsidRPr="009E32FC" w:rsidRDefault="003A497B" w:rsidP="003E1809">
            <w:pPr>
              <w:jc w:val="both"/>
              <w:rPr>
                <w:rFonts w:ascii="Times New Roman" w:hAnsi="Times New Roman" w:cs="Times New Roman"/>
                <w:b/>
              </w:rPr>
            </w:pPr>
          </w:p>
        </w:tc>
        <w:tc>
          <w:tcPr>
            <w:tcW w:w="2520" w:type="pct"/>
            <w:tcBorders>
              <w:top w:val="nil"/>
              <w:left w:val="nil"/>
              <w:bottom w:val="single" w:sz="4" w:space="0" w:color="auto"/>
              <w:right w:val="nil"/>
            </w:tcBorders>
            <w:shd w:val="clear" w:color="auto" w:fill="auto"/>
            <w:vAlign w:val="center"/>
          </w:tcPr>
          <w:p w:rsidR="003A497B" w:rsidRPr="009E32FC" w:rsidRDefault="003A497B" w:rsidP="003E1809">
            <w:pPr>
              <w:jc w:val="both"/>
              <w:rPr>
                <w:rFonts w:ascii="Times New Roman" w:hAnsi="Times New Roman" w:cs="Times New Roman"/>
                <w:b/>
                <w:iCs/>
              </w:rPr>
            </w:pPr>
            <w:bookmarkStart w:id="199" w:name="_Toc485220892"/>
            <w:bookmarkStart w:id="200" w:name="_Toc485221504"/>
            <w:bookmarkStart w:id="201" w:name="_Toc485224394"/>
            <w:bookmarkStart w:id="202" w:name="_Toc485292650"/>
            <w:bookmarkStart w:id="203" w:name="_Toc485308305"/>
            <w:bookmarkStart w:id="204" w:name="_Toc485653181"/>
            <w:bookmarkStart w:id="205" w:name="_Toc485653774"/>
            <w:bookmarkStart w:id="206" w:name="_Toc486413184"/>
            <w:bookmarkStart w:id="207" w:name="_Toc486497417"/>
            <w:bookmarkStart w:id="208" w:name="_Toc486512439"/>
            <w:bookmarkStart w:id="209" w:name="_Toc486512651"/>
            <w:bookmarkStart w:id="210" w:name="_Toc486513658"/>
            <w:r w:rsidRPr="009E32FC">
              <w:rPr>
                <w:rFonts w:ascii="Times New Roman" w:hAnsi="Times New Roman" w:cs="Times New Roman"/>
                <w:b/>
                <w:iCs/>
              </w:rPr>
              <w:t>Graf: Priemerný podiel obyvateľstva vystaveného nadmernej koncentrácii častíc PM</w:t>
            </w:r>
            <w:r w:rsidRPr="009E32FC">
              <w:rPr>
                <w:rFonts w:ascii="Times New Roman" w:hAnsi="Times New Roman" w:cs="Times New Roman"/>
                <w:b/>
                <w:iCs/>
                <w:vertAlign w:val="subscript"/>
              </w:rPr>
              <w:t xml:space="preserve">2,5 </w:t>
            </w:r>
            <w:r w:rsidRPr="009E32FC">
              <w:rPr>
                <w:rFonts w:ascii="Times New Roman" w:hAnsi="Times New Roman" w:cs="Times New Roman"/>
                <w:b/>
                <w:iCs/>
              </w:rPr>
              <w:t>(WHO limit)</w:t>
            </w:r>
            <w:bookmarkEnd w:id="199"/>
            <w:bookmarkEnd w:id="200"/>
            <w:bookmarkEnd w:id="201"/>
            <w:bookmarkEnd w:id="202"/>
            <w:bookmarkEnd w:id="203"/>
            <w:bookmarkEnd w:id="204"/>
            <w:bookmarkEnd w:id="205"/>
            <w:bookmarkEnd w:id="206"/>
            <w:bookmarkEnd w:id="207"/>
            <w:bookmarkEnd w:id="208"/>
            <w:bookmarkEnd w:id="209"/>
            <w:bookmarkEnd w:id="210"/>
            <w:r w:rsidRPr="009E32FC">
              <w:rPr>
                <w:rFonts w:ascii="Times New Roman" w:hAnsi="Times New Roman" w:cs="Times New Roman"/>
                <w:b/>
                <w:iCs/>
              </w:rPr>
              <w:t>, 2014</w:t>
            </w:r>
          </w:p>
        </w:tc>
      </w:tr>
      <w:tr w:rsidR="003A497B" w:rsidRPr="009E32FC" w:rsidTr="003E1809">
        <w:trPr>
          <w:trHeight w:val="4177"/>
        </w:trPr>
        <w:tc>
          <w:tcPr>
            <w:tcW w:w="2381" w:type="pct"/>
            <w:tcBorders>
              <w:top w:val="single" w:sz="4" w:space="0" w:color="auto"/>
              <w:left w:val="nil"/>
              <w:bottom w:val="single" w:sz="4" w:space="0" w:color="auto"/>
              <w:right w:val="nil"/>
            </w:tcBorders>
            <w:vAlign w:val="center"/>
          </w:tcPr>
          <w:p w:rsidR="003A497B" w:rsidRPr="009E32FC" w:rsidRDefault="003A497B" w:rsidP="003E1809">
            <w:pPr>
              <w:jc w:val="both"/>
              <w:rPr>
                <w:rFonts w:ascii="Times New Roman" w:hAnsi="Times New Roman" w:cs="Times New Roman"/>
                <w:b/>
              </w:rPr>
            </w:pPr>
            <w:r w:rsidRPr="009E32FC">
              <w:rPr>
                <w:rFonts w:ascii="Times New Roman" w:hAnsi="Times New Roman" w:cs="Times New Roman"/>
                <w:noProof/>
                <w:lang w:eastAsia="sk-SK"/>
              </w:rPr>
              <w:drawing>
                <wp:anchor distT="0" distB="0" distL="114300" distR="114300" simplePos="0" relativeHeight="251659264" behindDoc="1" locked="0" layoutInCell="1" allowOverlap="1" wp14:anchorId="75259003" wp14:editId="3D12C10B">
                  <wp:simplePos x="0" y="0"/>
                  <wp:positionH relativeFrom="column">
                    <wp:posOffset>-2540</wp:posOffset>
                  </wp:positionH>
                  <wp:positionV relativeFrom="paragraph">
                    <wp:posOffset>-1905</wp:posOffset>
                  </wp:positionV>
                  <wp:extent cx="2667000" cy="2533650"/>
                  <wp:effectExtent l="0" t="0" r="0" b="0"/>
                  <wp:wrapNone/>
                  <wp:docPr id="291" name="Graf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p>
        </w:tc>
        <w:tc>
          <w:tcPr>
            <w:tcW w:w="99" w:type="pct"/>
            <w:tcBorders>
              <w:top w:val="nil"/>
              <w:left w:val="nil"/>
              <w:bottom w:val="nil"/>
              <w:right w:val="nil"/>
            </w:tcBorders>
            <w:vAlign w:val="center"/>
          </w:tcPr>
          <w:p w:rsidR="003A497B" w:rsidRPr="009E32FC" w:rsidRDefault="003A497B" w:rsidP="003E1809">
            <w:pPr>
              <w:jc w:val="both"/>
              <w:rPr>
                <w:rFonts w:ascii="Times New Roman" w:hAnsi="Times New Roman" w:cs="Times New Roman"/>
                <w:b/>
              </w:rPr>
            </w:pPr>
          </w:p>
        </w:tc>
        <w:tc>
          <w:tcPr>
            <w:tcW w:w="2520" w:type="pct"/>
            <w:tcBorders>
              <w:top w:val="single" w:sz="4" w:space="0" w:color="auto"/>
              <w:left w:val="nil"/>
              <w:bottom w:val="single" w:sz="4" w:space="0" w:color="auto"/>
              <w:right w:val="nil"/>
            </w:tcBorders>
            <w:vAlign w:val="center"/>
          </w:tcPr>
          <w:p w:rsidR="003A497B" w:rsidRPr="009E32FC" w:rsidRDefault="003A497B" w:rsidP="003E1809">
            <w:pPr>
              <w:jc w:val="both"/>
              <w:rPr>
                <w:rFonts w:ascii="Times New Roman" w:hAnsi="Times New Roman" w:cs="Times New Roman"/>
                <w:b/>
              </w:rPr>
            </w:pPr>
            <w:r w:rsidRPr="009E32FC">
              <w:rPr>
                <w:rFonts w:ascii="Times New Roman" w:hAnsi="Times New Roman" w:cs="Times New Roman"/>
                <w:noProof/>
                <w:lang w:eastAsia="sk-SK"/>
              </w:rPr>
              <w:drawing>
                <wp:inline distT="0" distB="0" distL="0" distR="0" wp14:anchorId="1384A9E0" wp14:editId="6375B8E9">
                  <wp:extent cx="2769235" cy="2353773"/>
                  <wp:effectExtent l="0" t="0" r="0" b="8890"/>
                  <wp:docPr id="295465" name="Graf 29546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3A497B" w:rsidRPr="009E32FC" w:rsidTr="003E1809">
        <w:trPr>
          <w:trHeight w:hRule="exact" w:val="552"/>
        </w:trPr>
        <w:tc>
          <w:tcPr>
            <w:tcW w:w="2381" w:type="pct"/>
            <w:tcBorders>
              <w:top w:val="single" w:sz="4" w:space="0" w:color="auto"/>
              <w:left w:val="nil"/>
              <w:bottom w:val="nil"/>
              <w:right w:val="nil"/>
            </w:tcBorders>
            <w:vAlign w:val="center"/>
          </w:tcPr>
          <w:p w:rsidR="003A497B" w:rsidRPr="000746C7" w:rsidRDefault="003A497B" w:rsidP="003E1809">
            <w:pPr>
              <w:jc w:val="both"/>
              <w:rPr>
                <w:rFonts w:ascii="Times New Roman" w:hAnsi="Times New Roman" w:cs="Times New Roman"/>
                <w:i/>
                <w:sz w:val="16"/>
                <w:szCs w:val="16"/>
              </w:rPr>
            </w:pPr>
            <w:r w:rsidRPr="000746C7">
              <w:rPr>
                <w:rFonts w:ascii="Times New Roman" w:hAnsi="Times New Roman" w:cs="Times New Roman"/>
                <w:i/>
                <w:iCs/>
                <w:sz w:val="16"/>
                <w:szCs w:val="16"/>
              </w:rPr>
              <w:t>Zdroj: EEA</w:t>
            </w:r>
          </w:p>
        </w:tc>
        <w:tc>
          <w:tcPr>
            <w:tcW w:w="99" w:type="pct"/>
            <w:tcBorders>
              <w:top w:val="nil"/>
              <w:left w:val="nil"/>
              <w:bottom w:val="nil"/>
              <w:right w:val="nil"/>
            </w:tcBorders>
            <w:vAlign w:val="center"/>
          </w:tcPr>
          <w:p w:rsidR="003A497B" w:rsidRPr="000746C7" w:rsidRDefault="003A497B" w:rsidP="003E1809">
            <w:pPr>
              <w:jc w:val="both"/>
              <w:rPr>
                <w:rFonts w:ascii="Times New Roman" w:hAnsi="Times New Roman" w:cs="Times New Roman"/>
                <w:i/>
                <w:sz w:val="16"/>
                <w:szCs w:val="16"/>
              </w:rPr>
            </w:pPr>
          </w:p>
        </w:tc>
        <w:tc>
          <w:tcPr>
            <w:tcW w:w="2520" w:type="pct"/>
            <w:tcBorders>
              <w:top w:val="single" w:sz="4" w:space="0" w:color="auto"/>
              <w:left w:val="nil"/>
              <w:bottom w:val="nil"/>
              <w:right w:val="nil"/>
            </w:tcBorders>
            <w:vAlign w:val="center"/>
          </w:tcPr>
          <w:p w:rsidR="003A497B" w:rsidRPr="000746C7" w:rsidRDefault="003A497B" w:rsidP="003E1809">
            <w:pPr>
              <w:jc w:val="both"/>
              <w:rPr>
                <w:rFonts w:ascii="Times New Roman" w:hAnsi="Times New Roman" w:cs="Times New Roman"/>
                <w:i/>
                <w:sz w:val="16"/>
                <w:szCs w:val="16"/>
              </w:rPr>
            </w:pPr>
            <w:r w:rsidRPr="000746C7">
              <w:rPr>
                <w:rFonts w:ascii="Times New Roman" w:hAnsi="Times New Roman" w:cs="Times New Roman"/>
                <w:i/>
                <w:iCs/>
                <w:sz w:val="16"/>
                <w:szCs w:val="16"/>
              </w:rPr>
              <w:t>Zdroj:</w:t>
            </w:r>
            <w:r w:rsidRPr="000746C7">
              <w:rPr>
                <w:rFonts w:ascii="Times New Roman" w:hAnsi="Times New Roman" w:cs="Times New Roman"/>
                <w:i/>
                <w:sz w:val="16"/>
                <w:szCs w:val="16"/>
              </w:rPr>
              <w:t xml:space="preserve"> EPI podľa satelitných dát z Dalhousie University, odhad vystavenej populácie podľa Global Rural Urban Mapping Project, NASA </w:t>
            </w:r>
          </w:p>
        </w:tc>
      </w:tr>
    </w:tbl>
    <w:p w:rsidR="003A497B" w:rsidRPr="009E32FC" w:rsidRDefault="003A497B" w:rsidP="003A497B">
      <w:pPr>
        <w:jc w:val="both"/>
        <w:rPr>
          <w:rFonts w:ascii="Times New Roman" w:hAnsi="Times New Roman" w:cs="Times New Roman"/>
          <w:b/>
        </w:rPr>
      </w:pPr>
    </w:p>
    <w:p w:rsidR="003A497B" w:rsidRDefault="003A497B" w:rsidP="003A497B">
      <w:pPr>
        <w:jc w:val="both"/>
        <w:rPr>
          <w:rFonts w:ascii="Times New Roman" w:hAnsi="Times New Roman" w:cs="Times New Roman"/>
          <w:b/>
        </w:rPr>
      </w:pPr>
      <w:r w:rsidRPr="009E32FC">
        <w:rPr>
          <w:rFonts w:ascii="Times New Roman" w:hAnsi="Times New Roman" w:cs="Times New Roman"/>
          <w:b/>
        </w:rPr>
        <w:t>Revízia výdavkov navrhla nasledovné opatrenia:</w:t>
      </w:r>
    </w:p>
    <w:p w:rsidR="003A497B" w:rsidRPr="009E32FC" w:rsidRDefault="003A497B" w:rsidP="003A497B">
      <w:pPr>
        <w:jc w:val="both"/>
        <w:rPr>
          <w:rFonts w:ascii="Times New Roman" w:hAnsi="Times New Roman" w:cs="Times New Roman"/>
          <w:b/>
        </w:rPr>
      </w:pPr>
    </w:p>
    <w:p w:rsidR="003A497B" w:rsidRPr="009E32FC" w:rsidRDefault="003A497B" w:rsidP="003A497B">
      <w:pPr>
        <w:numPr>
          <w:ilvl w:val="0"/>
          <w:numId w:val="13"/>
        </w:numPr>
        <w:jc w:val="both"/>
        <w:rPr>
          <w:rFonts w:ascii="Times New Roman" w:hAnsi="Times New Roman" w:cs="Times New Roman"/>
        </w:rPr>
      </w:pPr>
      <w:r w:rsidRPr="009E32FC">
        <w:rPr>
          <w:rFonts w:ascii="Times New Roman" w:hAnsi="Times New Roman" w:cs="Times New Roman"/>
        </w:rPr>
        <w:t>Zrušia sa fakultatívne oslobodenia v spotrebných daniach (uhlie, elektrina, plyn), čo bude znamenať vyššie daňové príjmy o 65 mil. eur. Dochádza k odkladu plnenia opatrenia, nakoľko sa legislatívna úprava k 1.</w:t>
      </w:r>
      <w:r>
        <w:rPr>
          <w:rFonts w:ascii="Times New Roman" w:hAnsi="Times New Roman" w:cs="Times New Roman"/>
        </w:rPr>
        <w:t xml:space="preserve"> </w:t>
      </w:r>
      <w:r w:rsidRPr="009E32FC">
        <w:rPr>
          <w:rFonts w:ascii="Times New Roman" w:hAnsi="Times New Roman" w:cs="Times New Roman"/>
        </w:rPr>
        <w:t>1.</w:t>
      </w:r>
      <w:r>
        <w:rPr>
          <w:rFonts w:ascii="Times New Roman" w:hAnsi="Times New Roman" w:cs="Times New Roman"/>
        </w:rPr>
        <w:t xml:space="preserve"> </w:t>
      </w:r>
      <w:r w:rsidRPr="009E32FC">
        <w:rPr>
          <w:rFonts w:ascii="Times New Roman" w:hAnsi="Times New Roman" w:cs="Times New Roman"/>
        </w:rPr>
        <w:t xml:space="preserve">2019 už nezrealizuje.  </w:t>
      </w:r>
    </w:p>
    <w:p w:rsidR="003A497B" w:rsidRPr="009E32FC" w:rsidRDefault="003A497B" w:rsidP="003A497B">
      <w:pPr>
        <w:numPr>
          <w:ilvl w:val="0"/>
          <w:numId w:val="13"/>
        </w:numPr>
        <w:jc w:val="both"/>
        <w:rPr>
          <w:rFonts w:ascii="Times New Roman" w:hAnsi="Times New Roman" w:cs="Times New Roman"/>
        </w:rPr>
      </w:pPr>
      <w:r w:rsidRPr="009E32FC">
        <w:rPr>
          <w:rFonts w:ascii="Times New Roman" w:hAnsi="Times New Roman" w:cs="Times New Roman"/>
        </w:rPr>
        <w:t>Zníži sa znečistenie ovzdušia, najmä emisií PM 2,5, podporou výmeny efektívnejších spaľovacích zariadení pre domácnosti. To povedie k ročnej hodnote 160 mil. eur na zdravotných benefitoch. V 1. polroku 2018 sa dané opatrenie nerealizovalo. Predpokladom pre naplnenie opatrenia je revízia Operačného programu Kvalita životného prostredia o výmene spaľovacích zariadení domácnosti, ktorá bude predložená začiatkom roka 2019.</w:t>
      </w:r>
    </w:p>
    <w:p w:rsidR="003A497B" w:rsidRPr="009E32FC" w:rsidRDefault="003A497B" w:rsidP="003A497B">
      <w:pPr>
        <w:numPr>
          <w:ilvl w:val="0"/>
          <w:numId w:val="13"/>
        </w:numPr>
        <w:jc w:val="both"/>
        <w:rPr>
          <w:rFonts w:ascii="Times New Roman" w:hAnsi="Times New Roman" w:cs="Times New Roman"/>
        </w:rPr>
      </w:pPr>
      <w:r w:rsidRPr="009E32FC">
        <w:rPr>
          <w:rFonts w:ascii="Times New Roman" w:hAnsi="Times New Roman" w:cs="Times New Roman"/>
        </w:rPr>
        <w:t xml:space="preserve">Postupné utlmenie výroby elektrickej energie z uhlia by v roku 2015 ušetrilo </w:t>
      </w:r>
      <w:r>
        <w:rPr>
          <w:rFonts w:ascii="Times New Roman" w:hAnsi="Times New Roman" w:cs="Times New Roman"/>
        </w:rPr>
        <w:br/>
      </w:r>
      <w:r w:rsidRPr="009E32FC">
        <w:rPr>
          <w:rFonts w:ascii="Times New Roman" w:hAnsi="Times New Roman" w:cs="Times New Roman"/>
        </w:rPr>
        <w:t>500 mil. eur na zdravotných benefito</w:t>
      </w:r>
      <w:r>
        <w:rPr>
          <w:rFonts w:ascii="Times New Roman" w:hAnsi="Times New Roman" w:cs="Times New Roman"/>
        </w:rPr>
        <w:t>ch</w:t>
      </w:r>
      <w:r w:rsidRPr="009E32FC">
        <w:rPr>
          <w:rFonts w:ascii="Times New Roman" w:hAnsi="Times New Roman" w:cs="Times New Roman"/>
        </w:rPr>
        <w:t xml:space="preserve"> a 100 mil. eur na nižších výdavko</w:t>
      </w:r>
      <w:r>
        <w:rPr>
          <w:rFonts w:ascii="Times New Roman" w:hAnsi="Times New Roman" w:cs="Times New Roman"/>
        </w:rPr>
        <w:t>ch</w:t>
      </w:r>
      <w:r w:rsidRPr="009E32FC">
        <w:rPr>
          <w:rFonts w:ascii="Times New Roman" w:hAnsi="Times New Roman" w:cs="Times New Roman"/>
        </w:rPr>
        <w:t xml:space="preserve"> odberateľov elektriny. V 1. polroku 2018 však neprišlo k realizácii opatrenia. </w:t>
      </w:r>
    </w:p>
    <w:p w:rsidR="003A497B" w:rsidRPr="009E32FC" w:rsidRDefault="003A497B" w:rsidP="003A497B">
      <w:pPr>
        <w:numPr>
          <w:ilvl w:val="0"/>
          <w:numId w:val="13"/>
        </w:numPr>
        <w:jc w:val="both"/>
        <w:rPr>
          <w:rFonts w:ascii="Times New Roman" w:hAnsi="Times New Roman" w:cs="Times New Roman"/>
        </w:rPr>
      </w:pPr>
      <w:r w:rsidRPr="009E32FC">
        <w:rPr>
          <w:rFonts w:ascii="Times New Roman" w:hAnsi="Times New Roman" w:cs="Times New Roman"/>
        </w:rPr>
        <w:t>Zvýši sa počet monitorovacích staníc, skvalitní sa metodika výpočtu množstva jednotlivých znečisťujúcich látok a zlepší sa monitoring kvality a znečistenia ovzdušia aj vďaka 14 novým monitorov</w:t>
      </w:r>
      <w:r>
        <w:rPr>
          <w:rFonts w:ascii="Times New Roman" w:hAnsi="Times New Roman" w:cs="Times New Roman"/>
        </w:rPr>
        <w:t>acím staniciam postupne nasadený</w:t>
      </w:r>
      <w:r w:rsidRPr="009E32FC">
        <w:rPr>
          <w:rFonts w:ascii="Times New Roman" w:hAnsi="Times New Roman" w:cs="Times New Roman"/>
        </w:rPr>
        <w:t xml:space="preserve">m do konca roka 2018. </w:t>
      </w:r>
    </w:p>
    <w:p w:rsidR="003A497B" w:rsidRPr="009E32FC" w:rsidRDefault="003A497B" w:rsidP="003A497B">
      <w:pPr>
        <w:jc w:val="both"/>
        <w:rPr>
          <w:rFonts w:ascii="Times New Roman" w:hAnsi="Times New Roman" w:cs="Times New Roman"/>
          <w:b/>
        </w:rPr>
      </w:pPr>
      <w:bookmarkStart w:id="211" w:name="_Toc486413214"/>
      <w:bookmarkStart w:id="212" w:name="_Toc486512469"/>
      <w:bookmarkStart w:id="213" w:name="_Toc486512681"/>
      <w:bookmarkStart w:id="214" w:name="_Toc486513688"/>
    </w:p>
    <w:p w:rsidR="003A497B" w:rsidRPr="009E32FC" w:rsidRDefault="003A497B" w:rsidP="003A497B">
      <w:pPr>
        <w:jc w:val="both"/>
        <w:rPr>
          <w:rFonts w:ascii="Times New Roman" w:hAnsi="Times New Roman" w:cs="Times New Roman"/>
          <w:b/>
        </w:rPr>
      </w:pPr>
      <w:r w:rsidRPr="009E32FC">
        <w:rPr>
          <w:rFonts w:ascii="Times New Roman" w:hAnsi="Times New Roman" w:cs="Times New Roman"/>
          <w:b/>
        </w:rPr>
        <w:t>Ochrana prírody a krajiny</w:t>
      </w:r>
      <w:bookmarkEnd w:id="211"/>
      <w:bookmarkEnd w:id="212"/>
      <w:bookmarkEnd w:id="213"/>
      <w:bookmarkEnd w:id="214"/>
    </w:p>
    <w:p w:rsidR="003A497B" w:rsidRPr="009E32FC" w:rsidRDefault="003A497B" w:rsidP="003A497B">
      <w:pPr>
        <w:jc w:val="both"/>
        <w:rPr>
          <w:rFonts w:ascii="Times New Roman" w:hAnsi="Times New Roman" w:cs="Times New Roman"/>
          <w:b/>
        </w:rPr>
      </w:pPr>
    </w:p>
    <w:p w:rsidR="003A497B" w:rsidRDefault="003A497B" w:rsidP="003A497B">
      <w:pPr>
        <w:ind w:firstLine="708"/>
        <w:jc w:val="both"/>
        <w:rPr>
          <w:rFonts w:ascii="Times New Roman" w:hAnsi="Times New Roman" w:cs="Times New Roman"/>
        </w:rPr>
      </w:pPr>
      <w:r w:rsidRPr="009E32FC">
        <w:rPr>
          <w:rFonts w:ascii="Times New Roman" w:hAnsi="Times New Roman" w:cs="Times New Roman"/>
        </w:rPr>
        <w:t xml:space="preserve">Stav chránených druhov a biotopov v období 2007 – 2013 vykazuje zlepšenie, je však potrebné zlepšiť vymedzenie chránených lokalít pre vybrané biotopy a druhy európskeho významu. Z dlhodobého hľadiska je potrebné vytvoriť udržateľný systém financovania ochrany prírody, ktorý bude využívať aj zdroje mimo štátneho rozpočtu a EÚ. Ochrana stavu chránených území a ich manažment si preto vyžiadajú zavedenie inovatívnych foriem financovania. </w:t>
      </w:r>
    </w:p>
    <w:p w:rsidR="003A497B" w:rsidRPr="009E32FC" w:rsidRDefault="003A497B" w:rsidP="003A497B">
      <w:pPr>
        <w:jc w:val="both"/>
        <w:rPr>
          <w:rFonts w:ascii="Times New Roman" w:hAnsi="Times New Roman" w:cs="Times New Roman"/>
        </w:rPr>
      </w:pPr>
    </w:p>
    <w:p w:rsidR="003A497B" w:rsidRDefault="003A497B" w:rsidP="003A497B">
      <w:pPr>
        <w:jc w:val="both"/>
        <w:rPr>
          <w:rFonts w:ascii="Times New Roman" w:hAnsi="Times New Roman" w:cs="Times New Roman"/>
          <w:b/>
        </w:rPr>
      </w:pPr>
    </w:p>
    <w:p w:rsidR="003A497B" w:rsidRDefault="003A497B" w:rsidP="003A497B">
      <w:pPr>
        <w:jc w:val="both"/>
        <w:rPr>
          <w:rFonts w:ascii="Times New Roman" w:hAnsi="Times New Roman" w:cs="Times New Roman"/>
          <w:b/>
        </w:rPr>
      </w:pPr>
    </w:p>
    <w:p w:rsidR="003A497B" w:rsidRDefault="003A497B" w:rsidP="003A497B">
      <w:pPr>
        <w:jc w:val="both"/>
        <w:rPr>
          <w:rFonts w:ascii="Times New Roman" w:hAnsi="Times New Roman" w:cs="Times New Roman"/>
          <w:b/>
        </w:rPr>
      </w:pPr>
    </w:p>
    <w:p w:rsidR="003A497B" w:rsidRDefault="003A497B" w:rsidP="003A497B">
      <w:pPr>
        <w:jc w:val="both"/>
        <w:rPr>
          <w:rFonts w:ascii="Times New Roman" w:hAnsi="Times New Roman" w:cs="Times New Roman"/>
          <w:b/>
        </w:rPr>
      </w:pPr>
    </w:p>
    <w:p w:rsidR="003A497B" w:rsidRDefault="003A497B" w:rsidP="003A497B">
      <w:pPr>
        <w:jc w:val="both"/>
        <w:rPr>
          <w:rFonts w:ascii="Times New Roman" w:hAnsi="Times New Roman" w:cs="Times New Roman"/>
          <w:b/>
        </w:rPr>
      </w:pPr>
      <w:r w:rsidRPr="009E32FC">
        <w:rPr>
          <w:rFonts w:ascii="Times New Roman" w:hAnsi="Times New Roman" w:cs="Times New Roman"/>
          <w:b/>
        </w:rPr>
        <w:lastRenderedPageBreak/>
        <w:t>Opatrenia z revízie výdavkov sú nasledovné:</w:t>
      </w:r>
    </w:p>
    <w:p w:rsidR="003A497B" w:rsidRPr="009E32FC" w:rsidRDefault="003A497B" w:rsidP="003A497B">
      <w:pPr>
        <w:jc w:val="both"/>
        <w:rPr>
          <w:rFonts w:ascii="Times New Roman" w:hAnsi="Times New Roman" w:cs="Times New Roman"/>
          <w:b/>
        </w:rPr>
      </w:pPr>
    </w:p>
    <w:p w:rsidR="003A497B" w:rsidRPr="009E32FC" w:rsidRDefault="003A497B" w:rsidP="003A497B">
      <w:pPr>
        <w:numPr>
          <w:ilvl w:val="0"/>
          <w:numId w:val="14"/>
        </w:numPr>
        <w:jc w:val="both"/>
        <w:rPr>
          <w:rFonts w:ascii="Times New Roman" w:hAnsi="Times New Roman" w:cs="Times New Roman"/>
        </w:rPr>
      </w:pPr>
      <w:r w:rsidRPr="009E32FC">
        <w:rPr>
          <w:rFonts w:ascii="Times New Roman" w:hAnsi="Times New Roman" w:cs="Times New Roman"/>
        </w:rPr>
        <w:t xml:space="preserve">Zavedú sa inovatívne formy financovania ochrany prírody, napríklad zavedením vstupného do národných parkov, čo prinesie 6 mil. eur ročne od roku 2019. V 1. polroku 2018 však nedošlo zo strany rezortu k implementácii opatrenia. </w:t>
      </w:r>
    </w:p>
    <w:p w:rsidR="003A497B" w:rsidRPr="009E32FC" w:rsidRDefault="003A497B" w:rsidP="003A497B">
      <w:pPr>
        <w:numPr>
          <w:ilvl w:val="0"/>
          <w:numId w:val="14"/>
        </w:numPr>
        <w:jc w:val="both"/>
        <w:rPr>
          <w:rFonts w:ascii="Times New Roman" w:hAnsi="Times New Roman" w:cs="Times New Roman"/>
        </w:rPr>
      </w:pPr>
      <w:r w:rsidRPr="009E32FC">
        <w:rPr>
          <w:rFonts w:ascii="Times New Roman" w:hAnsi="Times New Roman" w:cs="Times New Roman"/>
        </w:rPr>
        <w:t xml:space="preserve">Bude sa prioritizovať podpora chránených území a opatrenia v jednotlivých dokumentoch starostlivosti chránených území. Napriek odporúčaniu však nedošlo k prioritizácii financovania týchto území, naďalej má takmer 43 % opatrení pridelenú vysokú prioritu. </w:t>
      </w:r>
    </w:p>
    <w:p w:rsidR="003A497B" w:rsidRPr="009E32FC" w:rsidRDefault="003A497B" w:rsidP="003A497B">
      <w:pPr>
        <w:numPr>
          <w:ilvl w:val="0"/>
          <w:numId w:val="14"/>
        </w:numPr>
        <w:jc w:val="both"/>
        <w:rPr>
          <w:rFonts w:ascii="Times New Roman" w:hAnsi="Times New Roman" w:cs="Times New Roman"/>
        </w:rPr>
      </w:pPr>
      <w:r w:rsidRPr="009E32FC">
        <w:rPr>
          <w:rFonts w:ascii="Times New Roman" w:hAnsi="Times New Roman" w:cs="Times New Roman"/>
        </w:rPr>
        <w:t>Dobuduje sa sústava NATURA 2000 na Slovensku. Úloha sa plní, MŽP SR vypracovalo aktualizáciu národného zoznamu území e</w:t>
      </w:r>
      <w:r>
        <w:rPr>
          <w:rFonts w:ascii="Times New Roman" w:hAnsi="Times New Roman" w:cs="Times New Roman"/>
        </w:rPr>
        <w:t>urópskeho významu. Predpokladá</w:t>
      </w:r>
      <w:r w:rsidR="00C311BC">
        <w:rPr>
          <w:rFonts w:ascii="Times New Roman" w:hAnsi="Times New Roman" w:cs="Times New Roman"/>
        </w:rPr>
        <w:t xml:space="preserve"> sa,</w:t>
      </w:r>
      <w:r>
        <w:rPr>
          <w:rFonts w:ascii="Times New Roman" w:hAnsi="Times New Roman" w:cs="Times New Roman"/>
        </w:rPr>
        <w:t xml:space="preserve"> </w:t>
      </w:r>
      <w:r w:rsidRPr="009E32FC">
        <w:rPr>
          <w:rFonts w:ascii="Times New Roman" w:hAnsi="Times New Roman" w:cs="Times New Roman"/>
        </w:rPr>
        <w:t>že dostatočnosť národného zoznamu sa zvýši zo 77 % (r. 2013) na viac ako 90 %.</w:t>
      </w:r>
    </w:p>
    <w:p w:rsidR="003A497B" w:rsidRPr="009E32FC" w:rsidRDefault="003A497B" w:rsidP="003A497B">
      <w:pPr>
        <w:numPr>
          <w:ilvl w:val="0"/>
          <w:numId w:val="14"/>
        </w:numPr>
        <w:jc w:val="both"/>
        <w:rPr>
          <w:rFonts w:ascii="Times New Roman" w:hAnsi="Times New Roman" w:cs="Times New Roman"/>
        </w:rPr>
      </w:pPr>
      <w:r w:rsidRPr="009E32FC">
        <w:rPr>
          <w:rFonts w:ascii="Times New Roman" w:hAnsi="Times New Roman" w:cs="Times New Roman"/>
        </w:rPr>
        <w:t>Zabezpečí sa evidencia výdavkov ŠOP SR, ktorá umožní porovnávanie na základe hodnoty za peniaze. ŠOP SR v rámci svojho systému sleduje náklady, výdavky, príjmy aj výnosy na jednotlivé strediská, čo umožňuje porovnanie medzi jednotlivými pracoviskami.</w:t>
      </w:r>
    </w:p>
    <w:p w:rsidR="003A497B" w:rsidRPr="009E32FC" w:rsidRDefault="003A497B" w:rsidP="003A497B">
      <w:pPr>
        <w:jc w:val="both"/>
        <w:rPr>
          <w:rFonts w:ascii="Times New Roman" w:hAnsi="Times New Roman" w:cs="Times New Roman"/>
        </w:rPr>
      </w:pPr>
    </w:p>
    <w:p w:rsidR="003A497B" w:rsidRPr="009E32FC" w:rsidRDefault="003A497B" w:rsidP="003A497B">
      <w:pPr>
        <w:jc w:val="both"/>
        <w:rPr>
          <w:rFonts w:ascii="Times New Roman" w:hAnsi="Times New Roman" w:cs="Times New Roman"/>
          <w:b/>
        </w:rPr>
      </w:pPr>
      <w:r w:rsidRPr="009E32FC">
        <w:rPr>
          <w:rFonts w:ascii="Times New Roman" w:hAnsi="Times New Roman" w:cs="Times New Roman"/>
          <w:b/>
        </w:rPr>
        <w:t>Environmentálny fond</w:t>
      </w:r>
    </w:p>
    <w:p w:rsidR="003A497B" w:rsidRPr="009E32FC" w:rsidRDefault="003A497B" w:rsidP="003A497B">
      <w:pPr>
        <w:jc w:val="both"/>
        <w:rPr>
          <w:rFonts w:ascii="Times New Roman" w:hAnsi="Times New Roman" w:cs="Times New Roman"/>
          <w:b/>
        </w:rPr>
      </w:pPr>
    </w:p>
    <w:p w:rsidR="003A497B" w:rsidRPr="009E32FC" w:rsidRDefault="003A497B" w:rsidP="003A497B">
      <w:pPr>
        <w:ind w:firstLine="708"/>
        <w:jc w:val="both"/>
        <w:rPr>
          <w:rFonts w:ascii="Times New Roman" w:hAnsi="Times New Roman" w:cs="Times New Roman"/>
        </w:rPr>
      </w:pPr>
      <w:r w:rsidRPr="009E32FC">
        <w:rPr>
          <w:rFonts w:ascii="Times New Roman" w:hAnsi="Times New Roman" w:cs="Times New Roman"/>
        </w:rPr>
        <w:t>Najviac dotácií Environmentálneho fondu smerovalo v období 20</w:t>
      </w:r>
      <w:r>
        <w:rPr>
          <w:rFonts w:ascii="Times New Roman" w:hAnsi="Times New Roman" w:cs="Times New Roman"/>
        </w:rPr>
        <w:t>13 až</w:t>
      </w:r>
      <w:r w:rsidRPr="009E32FC">
        <w:rPr>
          <w:rFonts w:ascii="Times New Roman" w:hAnsi="Times New Roman" w:cs="Times New Roman"/>
        </w:rPr>
        <w:t xml:space="preserve"> 2016 do oblasti vôd (44 %) a ochrany ovzdušia (26 %). </w:t>
      </w:r>
      <w:r w:rsidRPr="009E32FC">
        <w:rPr>
          <w:rFonts w:ascii="Times New Roman" w:hAnsi="Times New Roman" w:cs="Times New Roman"/>
          <w:bCs/>
        </w:rPr>
        <w:t xml:space="preserve">Príjmy z aukcií </w:t>
      </w:r>
      <w:r w:rsidRPr="009E32FC">
        <w:rPr>
          <w:rFonts w:ascii="Times New Roman" w:hAnsi="Times New Roman" w:cs="Times New Roman"/>
        </w:rPr>
        <w:t xml:space="preserve">emisných kvót tvoria najväčšiu časť jeho </w:t>
      </w:r>
      <w:r w:rsidRPr="00DD00BE">
        <w:rPr>
          <w:rFonts w:ascii="Times New Roman" w:hAnsi="Times New Roman" w:cs="Times New Roman"/>
        </w:rPr>
        <w:t>príjmov. Na zlepšenie napĺňania environmentálnych cieľov bude stanovený pevný podiel príjmov z aukcií emisných kvót, ktoré budú použité na projekty fondu. Posilnia</w:t>
      </w:r>
      <w:r w:rsidRPr="009E32FC">
        <w:rPr>
          <w:rFonts w:ascii="Times New Roman" w:hAnsi="Times New Roman" w:cs="Times New Roman"/>
        </w:rPr>
        <w:t xml:space="preserve"> sa návratné formy podpory, ktoré boli doteraz málo využívané. Okrem úverov by sa malo portfólio ponúkaných produktov rozšíriť aj o</w:t>
      </w:r>
      <w:r w:rsidR="00C311BC">
        <w:rPr>
          <w:rFonts w:ascii="Times New Roman" w:hAnsi="Times New Roman" w:cs="Times New Roman"/>
        </w:rPr>
        <w:t> </w:t>
      </w:r>
      <w:r w:rsidRPr="009E32FC">
        <w:rPr>
          <w:rFonts w:ascii="Times New Roman" w:hAnsi="Times New Roman" w:cs="Times New Roman"/>
        </w:rPr>
        <w:t>záruky</w:t>
      </w:r>
      <w:r w:rsidR="00C311BC">
        <w:rPr>
          <w:rFonts w:ascii="Times New Roman" w:hAnsi="Times New Roman" w:cs="Times New Roman"/>
        </w:rPr>
        <w:t>,</w:t>
      </w:r>
      <w:r w:rsidRPr="009E32FC">
        <w:rPr>
          <w:rFonts w:ascii="Times New Roman" w:hAnsi="Times New Roman" w:cs="Times New Roman"/>
        </w:rPr>
        <w:t xml:space="preserve"> či kapitálové investície do podielov v rentabilných projektoch. Environmentálny fond pri tom môže využiť know-how Slovenského investičného holdingu. </w:t>
      </w:r>
    </w:p>
    <w:p w:rsidR="003A497B" w:rsidRPr="009E32FC" w:rsidRDefault="003A497B" w:rsidP="003A497B">
      <w:pPr>
        <w:jc w:val="both"/>
        <w:rPr>
          <w:rFonts w:ascii="Times New Roman" w:hAnsi="Times New Roman" w:cs="Times New Roman"/>
        </w:rPr>
      </w:pPr>
    </w:p>
    <w:p w:rsidR="003A497B" w:rsidRPr="009E32FC" w:rsidRDefault="003A497B" w:rsidP="003A497B">
      <w:pPr>
        <w:ind w:firstLine="708"/>
        <w:jc w:val="both"/>
        <w:rPr>
          <w:rFonts w:ascii="Times New Roman" w:hAnsi="Times New Roman" w:cs="Times New Roman"/>
        </w:rPr>
      </w:pPr>
      <w:r>
        <w:rPr>
          <w:rFonts w:ascii="Times New Roman" w:hAnsi="Times New Roman" w:cs="Times New Roman"/>
          <w:bCs/>
        </w:rPr>
        <w:t>V rozpočtovom období 2018 až</w:t>
      </w:r>
      <w:r w:rsidRPr="009E32FC">
        <w:rPr>
          <w:rFonts w:ascii="Times New Roman" w:hAnsi="Times New Roman" w:cs="Times New Roman"/>
          <w:bCs/>
        </w:rPr>
        <w:t xml:space="preserve"> 2020 sa bude znižovať administratívna záťaž evidencie a spracovania žiadostí. </w:t>
      </w:r>
      <w:r>
        <w:rPr>
          <w:rFonts w:ascii="Times New Roman" w:hAnsi="Times New Roman" w:cs="Times New Roman"/>
        </w:rPr>
        <w:t>V rokoch 2013 až</w:t>
      </w:r>
      <w:r w:rsidRPr="009E32FC">
        <w:rPr>
          <w:rFonts w:ascii="Times New Roman" w:hAnsi="Times New Roman" w:cs="Times New Roman"/>
        </w:rPr>
        <w:t xml:space="preserve"> 2016 bola dotácia udelená 20 % žiadateľov z približne 2 000 žiadostí. Zdroje by sa mali sústrediť na menší počet projektov s väčším dopadom. Pre vyššiu efektívnosť systému je potrebné upraviť jednotlivé postupy, vrátane prispôsobenia elektronického systému fondu, ktorý automaticky žiadateľov upozorní na chýbajúce údaje. Určením špe</w:t>
      </w:r>
      <w:r>
        <w:rPr>
          <w:rFonts w:ascii="Times New Roman" w:hAnsi="Times New Roman" w:cs="Times New Roman"/>
        </w:rPr>
        <w:t>cifikácií</w:t>
      </w:r>
      <w:r w:rsidRPr="009E32FC">
        <w:rPr>
          <w:rFonts w:ascii="Times New Roman" w:hAnsi="Times New Roman" w:cs="Times New Roman"/>
        </w:rPr>
        <w:t xml:space="preserve"> v jednotlivých dotačných výzvach, napr. stanovením maximálneho l</w:t>
      </w:r>
      <w:r>
        <w:rPr>
          <w:rFonts w:ascii="Times New Roman" w:hAnsi="Times New Roman" w:cs="Times New Roman"/>
        </w:rPr>
        <w:t>imitu podpory alebo benchmarkov</w:t>
      </w:r>
      <w:r w:rsidRPr="009E32FC">
        <w:rPr>
          <w:rFonts w:ascii="Times New Roman" w:hAnsi="Times New Roman" w:cs="Times New Roman"/>
        </w:rPr>
        <w:t xml:space="preserve"> sa potenciálne zníži podiel neúspešných žiadateľov. Zlepšenie analytického hodnotenia projektov pomôže strategickému riadeniu fondu. V čo najväčšej miere bude zohľadňovať merateľné výsledkové kritériá. Orientácia na výsledkové kritériá odbúra subjektívnosť a pomôže určiť najlepší projekt z pohľadu hodnoty za peniaze.</w:t>
      </w:r>
    </w:p>
    <w:p w:rsidR="003A497B" w:rsidRPr="009E32FC" w:rsidRDefault="003A497B" w:rsidP="003A497B">
      <w:pPr>
        <w:jc w:val="both"/>
        <w:rPr>
          <w:rFonts w:ascii="Times New Roman" w:hAnsi="Times New Roman" w:cs="Times New Roman"/>
        </w:rPr>
      </w:pPr>
    </w:p>
    <w:p w:rsidR="003A497B" w:rsidRDefault="003A497B" w:rsidP="003A497B">
      <w:pPr>
        <w:jc w:val="both"/>
        <w:rPr>
          <w:rFonts w:ascii="Times New Roman" w:hAnsi="Times New Roman" w:cs="Times New Roman"/>
          <w:b/>
        </w:rPr>
      </w:pPr>
      <w:r>
        <w:rPr>
          <w:rFonts w:ascii="Times New Roman" w:hAnsi="Times New Roman" w:cs="Times New Roman"/>
          <w:b/>
        </w:rPr>
        <w:t>Z revízie výdavkov vyplynuli</w:t>
      </w:r>
      <w:r w:rsidRPr="009E32FC">
        <w:rPr>
          <w:rFonts w:ascii="Times New Roman" w:hAnsi="Times New Roman" w:cs="Times New Roman"/>
          <w:b/>
        </w:rPr>
        <w:t xml:space="preserve"> nasledovné opatrenia pre Environmentálny fond</w:t>
      </w:r>
    </w:p>
    <w:p w:rsidR="003A497B" w:rsidRPr="009E32FC" w:rsidRDefault="003A497B" w:rsidP="003A497B">
      <w:pPr>
        <w:jc w:val="both"/>
        <w:rPr>
          <w:rFonts w:ascii="Times New Roman" w:hAnsi="Times New Roman" w:cs="Times New Roman"/>
          <w:b/>
        </w:rPr>
      </w:pPr>
    </w:p>
    <w:p w:rsidR="003A497B" w:rsidRPr="009E32FC" w:rsidRDefault="003A497B" w:rsidP="003A497B">
      <w:pPr>
        <w:numPr>
          <w:ilvl w:val="0"/>
          <w:numId w:val="15"/>
        </w:numPr>
        <w:jc w:val="both"/>
        <w:rPr>
          <w:rFonts w:ascii="Times New Roman" w:hAnsi="Times New Roman" w:cs="Times New Roman"/>
        </w:rPr>
      </w:pPr>
      <w:r w:rsidRPr="009E32FC">
        <w:rPr>
          <w:rFonts w:ascii="Times New Roman" w:hAnsi="Times New Roman" w:cs="Times New Roman"/>
        </w:rPr>
        <w:t>Zlepší sa strategické riadenie so zameraním na výsledky:</w:t>
      </w:r>
    </w:p>
    <w:p w:rsidR="003A497B" w:rsidRPr="000A3FE3" w:rsidRDefault="003A497B" w:rsidP="003A497B">
      <w:pPr>
        <w:pStyle w:val="Odsekzoznamu"/>
        <w:numPr>
          <w:ilvl w:val="0"/>
          <w:numId w:val="19"/>
        </w:numPr>
        <w:contextualSpacing w:val="0"/>
        <w:jc w:val="both"/>
        <w:rPr>
          <w:rFonts w:ascii="Times New Roman" w:hAnsi="Times New Roman"/>
        </w:rPr>
      </w:pPr>
      <w:r w:rsidRPr="000A3FE3">
        <w:rPr>
          <w:rFonts w:ascii="Times New Roman" w:hAnsi="Times New Roman"/>
        </w:rPr>
        <w:t xml:space="preserve">vytvorí sa viacročná stratégia podpory na základe prioritizácie cieľových oblastí a projektov. Viacročná stratégia podpory formou dotácie a úverov však stále nie je vytvorená; </w:t>
      </w:r>
    </w:p>
    <w:p w:rsidR="003A497B" w:rsidRPr="009E32FC" w:rsidRDefault="003A497B" w:rsidP="003A497B">
      <w:pPr>
        <w:numPr>
          <w:ilvl w:val="1"/>
          <w:numId w:val="15"/>
        </w:numPr>
        <w:jc w:val="both"/>
        <w:rPr>
          <w:rFonts w:ascii="Times New Roman" w:hAnsi="Times New Roman" w:cs="Times New Roman"/>
        </w:rPr>
      </w:pPr>
      <w:r w:rsidRPr="009E32FC">
        <w:rPr>
          <w:rFonts w:ascii="Times New Roman" w:hAnsi="Times New Roman" w:cs="Times New Roman"/>
        </w:rPr>
        <w:t>zvýši sa využívanie</w:t>
      </w:r>
      <w:r>
        <w:rPr>
          <w:rFonts w:ascii="Times New Roman" w:hAnsi="Times New Roman" w:cs="Times New Roman"/>
        </w:rPr>
        <w:t xml:space="preserve"> úverov vo fonde. V rokoch 2015 až </w:t>
      </w:r>
      <w:r w:rsidRPr="009E32FC">
        <w:rPr>
          <w:rFonts w:ascii="Times New Roman" w:hAnsi="Times New Roman" w:cs="Times New Roman"/>
        </w:rPr>
        <w:t xml:space="preserve">2017 nebol poskytnutý žiadny úver, v súčasnosti EF posudzuje 3 žiadosti o úver z roku 2018. </w:t>
      </w:r>
    </w:p>
    <w:p w:rsidR="003A497B" w:rsidRPr="009E32FC" w:rsidRDefault="003A497B" w:rsidP="003A497B">
      <w:pPr>
        <w:numPr>
          <w:ilvl w:val="0"/>
          <w:numId w:val="15"/>
        </w:numPr>
        <w:jc w:val="both"/>
        <w:rPr>
          <w:rFonts w:ascii="Times New Roman" w:hAnsi="Times New Roman" w:cs="Times New Roman"/>
        </w:rPr>
      </w:pPr>
      <w:r w:rsidRPr="009E32FC">
        <w:rPr>
          <w:rFonts w:ascii="Times New Roman" w:hAnsi="Times New Roman" w:cs="Times New Roman"/>
        </w:rPr>
        <w:t>Dotácie Environmentálneho fondu v manažmente odpadových vôd a zabezpečovanie pitnou vodou sa bude zameriavať na ucelené projekty:</w:t>
      </w:r>
    </w:p>
    <w:p w:rsidR="003A497B" w:rsidRPr="009E32FC" w:rsidRDefault="003A497B" w:rsidP="003A497B">
      <w:pPr>
        <w:numPr>
          <w:ilvl w:val="1"/>
          <w:numId w:val="15"/>
        </w:numPr>
        <w:jc w:val="both"/>
        <w:rPr>
          <w:rFonts w:ascii="Times New Roman" w:hAnsi="Times New Roman" w:cs="Times New Roman"/>
        </w:rPr>
      </w:pPr>
      <w:r w:rsidRPr="009E32FC">
        <w:rPr>
          <w:rFonts w:ascii="Times New Roman" w:hAnsi="Times New Roman" w:cs="Times New Roman"/>
        </w:rPr>
        <w:lastRenderedPageBreak/>
        <w:t xml:space="preserve">zlepší sa analytické hodnotenie, vrátane preorientovania výberových kritérií na výsledkové. Opatrenie sa neplní, Environmentálny fond pridal medzi kritériá v špecifikácii iba percento rozostavanosti. </w:t>
      </w:r>
    </w:p>
    <w:p w:rsidR="003A497B" w:rsidRPr="009E32FC" w:rsidRDefault="003A497B" w:rsidP="003A497B">
      <w:pPr>
        <w:numPr>
          <w:ilvl w:val="0"/>
          <w:numId w:val="15"/>
        </w:numPr>
        <w:jc w:val="both"/>
        <w:rPr>
          <w:rFonts w:ascii="Times New Roman" w:hAnsi="Times New Roman" w:cs="Times New Roman"/>
        </w:rPr>
      </w:pPr>
      <w:r>
        <w:rPr>
          <w:rFonts w:ascii="Times New Roman" w:hAnsi="Times New Roman" w:cs="Times New Roman"/>
        </w:rPr>
        <w:t xml:space="preserve">Zefektívni sa rozpočtový </w:t>
      </w:r>
      <w:r w:rsidRPr="009E32FC">
        <w:rPr>
          <w:rFonts w:ascii="Times New Roman" w:hAnsi="Times New Roman" w:cs="Times New Roman"/>
        </w:rPr>
        <w:t>proces:</w:t>
      </w:r>
    </w:p>
    <w:p w:rsidR="003A497B" w:rsidRPr="00DD00BE" w:rsidRDefault="003A497B" w:rsidP="003A497B">
      <w:pPr>
        <w:numPr>
          <w:ilvl w:val="1"/>
          <w:numId w:val="15"/>
        </w:numPr>
        <w:jc w:val="both"/>
        <w:rPr>
          <w:rFonts w:ascii="Times New Roman" w:hAnsi="Times New Roman" w:cs="Times New Roman"/>
        </w:rPr>
      </w:pPr>
      <w:r w:rsidRPr="00DD00BE">
        <w:rPr>
          <w:rFonts w:ascii="Times New Roman" w:hAnsi="Times New Roman" w:cs="Times New Roman"/>
        </w:rPr>
        <w:t xml:space="preserve">stanoví sa podiel príjmov z aukcií emisných kvót, ktoré budú použité na poskytovanie dotácií a úverov. Podiel dotácií na ročnom príjme je určený percentuálnym podielom z výnosov získaných z dražieb emisných kvót. Podiel dotácií poskytnutých Environmentálnym fondom predstavoval v roku 2017 22,6%. </w:t>
      </w:r>
    </w:p>
    <w:p w:rsidR="003A497B" w:rsidRPr="009E32FC" w:rsidRDefault="003A497B" w:rsidP="003A497B">
      <w:pPr>
        <w:jc w:val="both"/>
        <w:rPr>
          <w:rFonts w:ascii="Times New Roman" w:hAnsi="Times New Roman" w:cs="Times New Roman"/>
        </w:rPr>
      </w:pPr>
    </w:p>
    <w:p w:rsidR="003A497B" w:rsidRPr="009E32FC" w:rsidRDefault="003A497B" w:rsidP="003A497B">
      <w:pPr>
        <w:jc w:val="both"/>
        <w:rPr>
          <w:rFonts w:ascii="Times New Roman" w:hAnsi="Times New Roman" w:cs="Times New Roman"/>
          <w:b/>
        </w:rPr>
      </w:pPr>
      <w:r w:rsidRPr="009E32FC">
        <w:rPr>
          <w:rFonts w:ascii="Times New Roman" w:hAnsi="Times New Roman" w:cs="Times New Roman"/>
          <w:b/>
        </w:rPr>
        <w:t>Výdavky kapitoly Ministerstva životného prostredia SR</w:t>
      </w:r>
    </w:p>
    <w:p w:rsidR="003A497B" w:rsidRPr="005F1146" w:rsidRDefault="003A497B" w:rsidP="003A497B">
      <w:pPr>
        <w:jc w:val="both"/>
        <w:rPr>
          <w:rFonts w:ascii="Times New Roman" w:hAnsi="Times New Roman" w:cs="Times New Roman"/>
        </w:rPr>
      </w:pPr>
    </w:p>
    <w:tbl>
      <w:tblPr>
        <w:tblW w:w="4959" w:type="pct"/>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14"/>
        <w:gridCol w:w="896"/>
        <w:gridCol w:w="895"/>
        <w:gridCol w:w="225"/>
        <w:gridCol w:w="676"/>
        <w:gridCol w:w="895"/>
        <w:gridCol w:w="895"/>
        <w:gridCol w:w="32"/>
        <w:gridCol w:w="865"/>
        <w:gridCol w:w="895"/>
      </w:tblGrid>
      <w:tr w:rsidR="003A497B" w:rsidRPr="000746C7" w:rsidTr="003E1809">
        <w:trPr>
          <w:trHeight w:val="269"/>
        </w:trPr>
        <w:tc>
          <w:tcPr>
            <w:tcW w:w="1509" w:type="pct"/>
            <w:shd w:val="clear" w:color="000000" w:fill="A6A6A6"/>
            <w:noWrap/>
            <w:vAlign w:val="center"/>
            <w:hideMark/>
          </w:tcPr>
          <w:p w:rsidR="003A497B" w:rsidRPr="000746C7" w:rsidRDefault="003A497B" w:rsidP="003E1809">
            <w:pPr>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 </w:t>
            </w:r>
            <w:r w:rsidRPr="000746C7">
              <w:rPr>
                <w:rFonts w:ascii="Times New Roman" w:hAnsi="Times New Roman" w:cs="Times New Roman"/>
                <w:b/>
                <w:bCs/>
                <w:color w:val="000000"/>
                <w:sz w:val="14"/>
                <w:szCs w:val="14"/>
              </w:rPr>
              <w:t>v eurách</w:t>
            </w:r>
          </w:p>
        </w:tc>
        <w:tc>
          <w:tcPr>
            <w:tcW w:w="498"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2016 S</w:t>
            </w:r>
          </w:p>
        </w:tc>
        <w:tc>
          <w:tcPr>
            <w:tcW w:w="498"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2017 S</w:t>
            </w:r>
          </w:p>
        </w:tc>
        <w:tc>
          <w:tcPr>
            <w:tcW w:w="498" w:type="pct"/>
            <w:gridSpan w:val="2"/>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2018 R</w:t>
            </w:r>
          </w:p>
        </w:tc>
        <w:tc>
          <w:tcPr>
            <w:tcW w:w="498"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2018 OS</w:t>
            </w:r>
          </w:p>
        </w:tc>
        <w:tc>
          <w:tcPr>
            <w:tcW w:w="498"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2019 N</w:t>
            </w:r>
          </w:p>
        </w:tc>
        <w:tc>
          <w:tcPr>
            <w:tcW w:w="498" w:type="pct"/>
            <w:gridSpan w:val="2"/>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2020 N</w:t>
            </w:r>
          </w:p>
        </w:tc>
        <w:tc>
          <w:tcPr>
            <w:tcW w:w="498"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2021 N</w:t>
            </w:r>
          </w:p>
        </w:tc>
      </w:tr>
      <w:tr w:rsidR="003A497B" w:rsidRPr="000746C7" w:rsidTr="003E1809">
        <w:trPr>
          <w:trHeight w:val="269"/>
        </w:trPr>
        <w:tc>
          <w:tcPr>
            <w:tcW w:w="1509" w:type="pct"/>
            <w:shd w:val="clear" w:color="auto" w:fill="BFBFBF" w:themeFill="background1" w:themeFillShade="BF"/>
            <w:noWrap/>
            <w:vAlign w:val="bottom"/>
          </w:tcPr>
          <w:p w:rsidR="003A497B" w:rsidRPr="000746C7" w:rsidRDefault="003A497B" w:rsidP="003E1809">
            <w:pPr>
              <w:rPr>
                <w:rFonts w:ascii="Times New Roman" w:hAnsi="Times New Roman" w:cs="Times New Roman"/>
                <w:b/>
                <w:bCs/>
                <w:sz w:val="14"/>
                <w:szCs w:val="14"/>
                <w:lang w:eastAsia="sk-SK"/>
              </w:rPr>
            </w:pPr>
            <w:r w:rsidRPr="000746C7">
              <w:rPr>
                <w:rFonts w:ascii="Times New Roman" w:hAnsi="Times New Roman" w:cs="Times New Roman"/>
                <w:b/>
                <w:bCs/>
                <w:sz w:val="14"/>
                <w:szCs w:val="14"/>
                <w:lang w:eastAsia="sk-SK"/>
              </w:rPr>
              <w:t>Zdroje príslušnej kapitoly vrátane 72e</w:t>
            </w:r>
          </w:p>
        </w:tc>
        <w:tc>
          <w:tcPr>
            <w:tcW w:w="498" w:type="pct"/>
            <w:shd w:val="clear" w:color="auto" w:fill="BFBFBF" w:themeFill="background1" w:themeFillShade="BF"/>
            <w:noWrap/>
            <w:vAlign w:val="bottom"/>
          </w:tcPr>
          <w:p w:rsidR="003A497B" w:rsidRPr="000746C7" w:rsidRDefault="003A497B" w:rsidP="003E1809">
            <w:pPr>
              <w:jc w:val="right"/>
              <w:rPr>
                <w:rFonts w:ascii="Times New Roman" w:hAnsi="Times New Roman" w:cs="Times New Roman"/>
                <w:b/>
                <w:bCs/>
                <w:sz w:val="14"/>
                <w:szCs w:val="14"/>
                <w:lang w:eastAsia="sk-SK"/>
              </w:rPr>
            </w:pPr>
            <w:r w:rsidRPr="000746C7">
              <w:rPr>
                <w:rFonts w:ascii="Times New Roman" w:hAnsi="Times New Roman" w:cs="Times New Roman"/>
                <w:b/>
                <w:bCs/>
                <w:sz w:val="14"/>
                <w:szCs w:val="14"/>
              </w:rPr>
              <w:t>293 189 164</w:t>
            </w:r>
          </w:p>
        </w:tc>
        <w:tc>
          <w:tcPr>
            <w:tcW w:w="498" w:type="pct"/>
            <w:shd w:val="clear" w:color="auto" w:fill="BFBFBF" w:themeFill="background1" w:themeFillShade="BF"/>
            <w:noWrap/>
            <w:vAlign w:val="bottom"/>
          </w:tcPr>
          <w:p w:rsidR="003A497B" w:rsidRPr="000746C7" w:rsidRDefault="003A497B" w:rsidP="003E1809">
            <w:pPr>
              <w:jc w:val="right"/>
              <w:rPr>
                <w:rFonts w:ascii="Times New Roman" w:hAnsi="Times New Roman" w:cs="Times New Roman"/>
                <w:b/>
                <w:bCs/>
                <w:sz w:val="14"/>
                <w:szCs w:val="14"/>
              </w:rPr>
            </w:pPr>
            <w:r w:rsidRPr="000746C7">
              <w:rPr>
                <w:rFonts w:ascii="Times New Roman" w:hAnsi="Times New Roman" w:cs="Times New Roman"/>
                <w:b/>
                <w:bCs/>
                <w:sz w:val="14"/>
                <w:szCs w:val="14"/>
              </w:rPr>
              <w:t>256 251 612</w:t>
            </w:r>
          </w:p>
        </w:tc>
        <w:tc>
          <w:tcPr>
            <w:tcW w:w="49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3A497B" w:rsidRPr="000746C7" w:rsidRDefault="003A497B" w:rsidP="003E1809">
            <w:pPr>
              <w:jc w:val="right"/>
              <w:rPr>
                <w:rFonts w:ascii="Times New Roman" w:hAnsi="Times New Roman" w:cs="Times New Roman"/>
                <w:b/>
                <w:bCs/>
                <w:sz w:val="14"/>
                <w:szCs w:val="14"/>
              </w:rPr>
            </w:pPr>
            <w:r w:rsidRPr="000746C7">
              <w:rPr>
                <w:rFonts w:ascii="Times New Roman" w:hAnsi="Times New Roman" w:cs="Times New Roman"/>
                <w:b/>
                <w:bCs/>
                <w:sz w:val="14"/>
                <w:szCs w:val="14"/>
              </w:rPr>
              <w:t>193 159 226</w:t>
            </w:r>
          </w:p>
        </w:tc>
        <w:tc>
          <w:tcPr>
            <w:tcW w:w="49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0746C7" w:rsidRDefault="003A497B" w:rsidP="003E1809">
            <w:pPr>
              <w:jc w:val="right"/>
              <w:rPr>
                <w:rFonts w:ascii="Times New Roman" w:hAnsi="Times New Roman" w:cs="Times New Roman"/>
                <w:b/>
                <w:bCs/>
                <w:sz w:val="14"/>
                <w:szCs w:val="14"/>
              </w:rPr>
            </w:pPr>
            <w:r w:rsidRPr="000746C7">
              <w:rPr>
                <w:rFonts w:ascii="Times New Roman" w:hAnsi="Times New Roman" w:cs="Times New Roman"/>
                <w:b/>
                <w:bCs/>
                <w:sz w:val="14"/>
                <w:szCs w:val="14"/>
              </w:rPr>
              <w:t>250 749 610</w:t>
            </w:r>
          </w:p>
        </w:tc>
        <w:tc>
          <w:tcPr>
            <w:tcW w:w="49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3A497B" w:rsidRPr="000746C7" w:rsidRDefault="003A497B" w:rsidP="003E1809">
            <w:pPr>
              <w:jc w:val="right"/>
              <w:rPr>
                <w:rFonts w:ascii="Times New Roman" w:hAnsi="Times New Roman" w:cs="Times New Roman"/>
                <w:b/>
                <w:bCs/>
                <w:sz w:val="14"/>
                <w:szCs w:val="14"/>
                <w:lang w:eastAsia="sk-SK"/>
              </w:rPr>
            </w:pPr>
            <w:r w:rsidRPr="000746C7">
              <w:rPr>
                <w:rFonts w:ascii="Times New Roman" w:hAnsi="Times New Roman" w:cs="Times New Roman"/>
                <w:b/>
                <w:bCs/>
                <w:sz w:val="14"/>
                <w:szCs w:val="14"/>
              </w:rPr>
              <w:t>540 617 207</w:t>
            </w:r>
          </w:p>
        </w:tc>
        <w:tc>
          <w:tcPr>
            <w:tcW w:w="498"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0746C7" w:rsidRDefault="003A497B" w:rsidP="003E1809">
            <w:pPr>
              <w:jc w:val="right"/>
              <w:rPr>
                <w:rFonts w:ascii="Times New Roman" w:hAnsi="Times New Roman" w:cs="Times New Roman"/>
                <w:b/>
                <w:bCs/>
                <w:sz w:val="14"/>
                <w:szCs w:val="14"/>
              </w:rPr>
            </w:pPr>
            <w:r w:rsidRPr="000746C7">
              <w:rPr>
                <w:rFonts w:ascii="Times New Roman" w:hAnsi="Times New Roman" w:cs="Times New Roman"/>
                <w:b/>
                <w:bCs/>
                <w:sz w:val="14"/>
                <w:szCs w:val="14"/>
              </w:rPr>
              <w:t>576 741 091</w:t>
            </w:r>
          </w:p>
        </w:tc>
        <w:tc>
          <w:tcPr>
            <w:tcW w:w="49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0746C7" w:rsidRDefault="003A497B" w:rsidP="003E1809">
            <w:pPr>
              <w:jc w:val="right"/>
              <w:rPr>
                <w:rFonts w:ascii="Times New Roman" w:hAnsi="Times New Roman" w:cs="Times New Roman"/>
                <w:b/>
                <w:bCs/>
                <w:sz w:val="14"/>
                <w:szCs w:val="14"/>
              </w:rPr>
            </w:pPr>
            <w:r w:rsidRPr="000746C7">
              <w:rPr>
                <w:rFonts w:ascii="Times New Roman" w:hAnsi="Times New Roman" w:cs="Times New Roman"/>
                <w:b/>
                <w:bCs/>
                <w:sz w:val="14"/>
                <w:szCs w:val="14"/>
              </w:rPr>
              <w:t>588 601 624</w:t>
            </w:r>
          </w:p>
        </w:tc>
      </w:tr>
      <w:tr w:rsidR="003A497B" w:rsidRPr="000746C7" w:rsidTr="003E1809">
        <w:trPr>
          <w:trHeight w:val="269"/>
        </w:trPr>
        <w:tc>
          <w:tcPr>
            <w:tcW w:w="1509" w:type="pct"/>
            <w:shd w:val="clear" w:color="auto" w:fill="BFBFBF" w:themeFill="background1" w:themeFillShade="BF"/>
            <w:noWrap/>
            <w:vAlign w:val="bottom"/>
            <w:hideMark/>
          </w:tcPr>
          <w:p w:rsidR="003A497B" w:rsidRPr="000746C7" w:rsidRDefault="003A497B" w:rsidP="003E1809">
            <w:pPr>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Zdroje príslušnej kapitoly</w:t>
            </w:r>
          </w:p>
        </w:tc>
        <w:tc>
          <w:tcPr>
            <w:tcW w:w="498" w:type="pct"/>
            <w:shd w:val="clear" w:color="auto" w:fill="BFBFBF" w:themeFill="background1" w:themeFillShade="BF"/>
            <w:vAlign w:val="bottom"/>
            <w:hideMark/>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292 939 312</w:t>
            </w:r>
          </w:p>
        </w:tc>
        <w:tc>
          <w:tcPr>
            <w:tcW w:w="49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3A497B" w:rsidRPr="000746C7" w:rsidRDefault="003A497B" w:rsidP="003E1809">
            <w:pPr>
              <w:jc w:val="right"/>
              <w:rPr>
                <w:rFonts w:ascii="Times New Roman" w:hAnsi="Times New Roman" w:cs="Times New Roman"/>
                <w:b/>
                <w:bCs/>
                <w:sz w:val="14"/>
                <w:szCs w:val="14"/>
              </w:rPr>
            </w:pPr>
            <w:r w:rsidRPr="000746C7">
              <w:rPr>
                <w:rFonts w:ascii="Times New Roman" w:hAnsi="Times New Roman" w:cs="Times New Roman"/>
                <w:b/>
                <w:bCs/>
                <w:sz w:val="14"/>
                <w:szCs w:val="14"/>
              </w:rPr>
              <w:t>256 231 312</w:t>
            </w:r>
          </w:p>
        </w:tc>
        <w:tc>
          <w:tcPr>
            <w:tcW w:w="49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193 152 226</w:t>
            </w:r>
          </w:p>
        </w:tc>
        <w:tc>
          <w:tcPr>
            <w:tcW w:w="498" w:type="pct"/>
            <w:tcBorders>
              <w:top w:val="single" w:sz="4" w:space="0" w:color="auto"/>
              <w:left w:val="nil"/>
              <w:bottom w:val="single" w:sz="4" w:space="0" w:color="auto"/>
              <w:right w:val="single" w:sz="4" w:space="0" w:color="auto"/>
            </w:tcBorders>
            <w:shd w:val="clear" w:color="auto" w:fill="BFBFBF" w:themeFill="background1" w:themeFillShade="BF"/>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250 742 610</w:t>
            </w:r>
          </w:p>
        </w:tc>
        <w:tc>
          <w:tcPr>
            <w:tcW w:w="498" w:type="pct"/>
            <w:tcBorders>
              <w:top w:val="single" w:sz="4" w:space="0" w:color="auto"/>
              <w:left w:val="single" w:sz="4" w:space="0" w:color="auto"/>
              <w:bottom w:val="single" w:sz="4" w:space="0" w:color="auto"/>
              <w:right w:val="single" w:sz="4" w:space="0" w:color="auto"/>
            </w:tcBorders>
            <w:shd w:val="clear" w:color="000000" w:fill="C0C0C0"/>
            <w:vAlign w:val="bottom"/>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540 610 207</w:t>
            </w:r>
          </w:p>
        </w:tc>
        <w:tc>
          <w:tcPr>
            <w:tcW w:w="498" w:type="pct"/>
            <w:gridSpan w:val="2"/>
            <w:tcBorders>
              <w:top w:val="single" w:sz="4" w:space="0" w:color="auto"/>
              <w:left w:val="nil"/>
              <w:bottom w:val="single" w:sz="4" w:space="0" w:color="auto"/>
              <w:right w:val="single" w:sz="4" w:space="0" w:color="auto"/>
            </w:tcBorders>
            <w:shd w:val="clear" w:color="000000" w:fill="C0C0C0"/>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576 734 091</w:t>
            </w:r>
          </w:p>
        </w:tc>
        <w:tc>
          <w:tcPr>
            <w:tcW w:w="498" w:type="pct"/>
            <w:tcBorders>
              <w:top w:val="single" w:sz="4" w:space="0" w:color="auto"/>
              <w:left w:val="nil"/>
              <w:bottom w:val="single" w:sz="4" w:space="0" w:color="auto"/>
              <w:right w:val="single" w:sz="4" w:space="0" w:color="auto"/>
            </w:tcBorders>
            <w:shd w:val="clear" w:color="000000" w:fill="C0C0C0"/>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588 594 624</w:t>
            </w:r>
          </w:p>
        </w:tc>
      </w:tr>
      <w:tr w:rsidR="003A497B" w:rsidRPr="000746C7" w:rsidTr="003E1809">
        <w:trPr>
          <w:trHeight w:val="269"/>
        </w:trPr>
        <w:tc>
          <w:tcPr>
            <w:tcW w:w="1509" w:type="pct"/>
            <w:tcBorders>
              <w:top w:val="single" w:sz="4" w:space="0" w:color="auto"/>
            </w:tcBorders>
            <w:noWrap/>
            <w:vAlign w:val="bottom"/>
            <w:hideMark/>
          </w:tcPr>
          <w:p w:rsidR="003A497B" w:rsidRPr="000746C7" w:rsidRDefault="003A497B" w:rsidP="003E1809">
            <w:pPr>
              <w:rPr>
                <w:rFonts w:ascii="Times New Roman" w:hAnsi="Times New Roman" w:cs="Times New Roman"/>
                <w:color w:val="000000"/>
                <w:sz w:val="14"/>
                <w:szCs w:val="14"/>
                <w:lang w:eastAsia="sk-SK"/>
              </w:rPr>
            </w:pPr>
            <w:r w:rsidRPr="000746C7">
              <w:rPr>
                <w:rFonts w:ascii="Times New Roman" w:hAnsi="Times New Roman" w:cs="Times New Roman"/>
                <w:color w:val="000000"/>
                <w:sz w:val="14"/>
                <w:szCs w:val="14"/>
                <w:lang w:eastAsia="sk-SK"/>
              </w:rPr>
              <w:t>z toho:</w:t>
            </w:r>
          </w:p>
        </w:tc>
        <w:tc>
          <w:tcPr>
            <w:tcW w:w="498" w:type="pct"/>
            <w:tcBorders>
              <w:top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bCs/>
                <w:sz w:val="14"/>
                <w:szCs w:val="14"/>
              </w:rPr>
            </w:pP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bCs/>
                <w:color w:val="000000"/>
                <w:sz w:val="14"/>
                <w:szCs w:val="14"/>
              </w:rPr>
            </w:pP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p>
        </w:tc>
        <w:tc>
          <w:tcPr>
            <w:tcW w:w="498" w:type="pct"/>
            <w:gridSpan w:val="2"/>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p>
        </w:tc>
      </w:tr>
      <w:tr w:rsidR="003A497B" w:rsidRPr="000746C7" w:rsidTr="003E1809">
        <w:trPr>
          <w:trHeight w:val="269"/>
        </w:trPr>
        <w:tc>
          <w:tcPr>
            <w:tcW w:w="1509" w:type="pct"/>
            <w:tcBorders>
              <w:top w:val="single" w:sz="4" w:space="0" w:color="auto"/>
            </w:tcBorders>
            <w:noWrap/>
            <w:vAlign w:val="bottom"/>
            <w:hideMark/>
          </w:tcPr>
          <w:p w:rsidR="003A497B" w:rsidRPr="000746C7" w:rsidRDefault="003A497B" w:rsidP="003E1809">
            <w:pPr>
              <w:rPr>
                <w:rFonts w:ascii="Times New Roman" w:hAnsi="Times New Roman" w:cs="Times New Roman"/>
                <w:b/>
                <w:color w:val="000000"/>
                <w:sz w:val="14"/>
                <w:szCs w:val="14"/>
                <w:lang w:eastAsia="sk-SK"/>
              </w:rPr>
            </w:pPr>
            <w:r w:rsidRPr="000746C7">
              <w:rPr>
                <w:rFonts w:ascii="Times New Roman" w:hAnsi="Times New Roman" w:cs="Times New Roman"/>
                <w:b/>
                <w:color w:val="000000"/>
                <w:sz w:val="14"/>
                <w:szCs w:val="14"/>
                <w:lang w:eastAsia="sk-SK"/>
              </w:rPr>
              <w:t xml:space="preserve">rozpočtové zdroje kapitoly </w:t>
            </w:r>
          </w:p>
        </w:tc>
        <w:tc>
          <w:tcPr>
            <w:tcW w:w="498" w:type="pct"/>
            <w:tcBorders>
              <w:top w:val="single" w:sz="4" w:space="0" w:color="auto"/>
            </w:tcBorders>
            <w:shd w:val="clear" w:color="auto" w:fill="auto"/>
            <w:noWrap/>
            <w:vAlign w:val="bottom"/>
            <w:hideMark/>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55 742 158</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bCs/>
                <w:sz w:val="14"/>
                <w:szCs w:val="14"/>
              </w:rPr>
            </w:pPr>
            <w:r w:rsidRPr="000746C7">
              <w:rPr>
                <w:rFonts w:ascii="Times New Roman" w:hAnsi="Times New Roman" w:cs="Times New Roman"/>
                <w:b/>
                <w:bCs/>
                <w:sz w:val="14"/>
                <w:szCs w:val="14"/>
              </w:rPr>
              <w:t>93 436 963</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82 177 806</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86 629 368</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lang w:eastAsia="sk-SK"/>
              </w:rPr>
            </w:pPr>
            <w:r w:rsidRPr="000746C7">
              <w:rPr>
                <w:rFonts w:ascii="Times New Roman" w:hAnsi="Times New Roman" w:cs="Times New Roman"/>
                <w:b/>
                <w:color w:val="000000"/>
                <w:sz w:val="14"/>
                <w:szCs w:val="14"/>
              </w:rPr>
              <w:t>85 734 305</w:t>
            </w:r>
          </w:p>
        </w:tc>
        <w:tc>
          <w:tcPr>
            <w:tcW w:w="498" w:type="pct"/>
            <w:gridSpan w:val="2"/>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77 066 335</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77 066 335</w:t>
            </w:r>
          </w:p>
        </w:tc>
      </w:tr>
      <w:tr w:rsidR="003A497B" w:rsidRPr="000746C7" w:rsidTr="003E1809">
        <w:trPr>
          <w:trHeight w:val="269"/>
        </w:trPr>
        <w:tc>
          <w:tcPr>
            <w:tcW w:w="1509" w:type="pct"/>
            <w:tcBorders>
              <w:top w:val="single" w:sz="4" w:space="0" w:color="auto"/>
            </w:tcBorders>
            <w:noWrap/>
            <w:vAlign w:val="bottom"/>
            <w:hideMark/>
          </w:tcPr>
          <w:p w:rsidR="003A497B" w:rsidRPr="000746C7" w:rsidRDefault="003A497B" w:rsidP="003E1809">
            <w:pPr>
              <w:rPr>
                <w:rFonts w:ascii="Times New Roman" w:hAnsi="Times New Roman" w:cs="Times New Roman"/>
                <w:color w:val="000000"/>
                <w:sz w:val="14"/>
                <w:szCs w:val="14"/>
                <w:lang w:eastAsia="sk-SK"/>
              </w:rPr>
            </w:pPr>
            <w:r w:rsidRPr="000746C7">
              <w:rPr>
                <w:rFonts w:ascii="Times New Roman" w:hAnsi="Times New Roman" w:cs="Times New Roman"/>
                <w:color w:val="000000"/>
                <w:sz w:val="14"/>
                <w:szCs w:val="14"/>
                <w:lang w:eastAsia="sk-SK"/>
              </w:rPr>
              <w:t xml:space="preserve"> v tom: bežné výdavky  600</w:t>
            </w:r>
          </w:p>
        </w:tc>
        <w:tc>
          <w:tcPr>
            <w:tcW w:w="498" w:type="pct"/>
            <w:tcBorders>
              <w:top w:val="single" w:sz="4" w:space="0" w:color="auto"/>
            </w:tcBorders>
            <w:shd w:val="clear" w:color="auto" w:fill="auto"/>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48 765 052</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Cs/>
                <w:sz w:val="14"/>
                <w:szCs w:val="14"/>
              </w:rPr>
            </w:pPr>
            <w:r w:rsidRPr="000746C7">
              <w:rPr>
                <w:rFonts w:ascii="Times New Roman" w:hAnsi="Times New Roman" w:cs="Times New Roman"/>
                <w:bCs/>
                <w:sz w:val="14"/>
                <w:szCs w:val="14"/>
              </w:rPr>
              <w:t>91 747 130</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80 352 806</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85 163 023</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81 935 893</w:t>
            </w:r>
          </w:p>
        </w:tc>
        <w:tc>
          <w:tcPr>
            <w:tcW w:w="498" w:type="pct"/>
            <w:gridSpan w:val="2"/>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76 134 702</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76 134 702</w:t>
            </w:r>
          </w:p>
        </w:tc>
      </w:tr>
      <w:tr w:rsidR="003A497B" w:rsidRPr="000746C7" w:rsidTr="003E1809">
        <w:trPr>
          <w:trHeight w:val="269"/>
        </w:trPr>
        <w:tc>
          <w:tcPr>
            <w:tcW w:w="1509" w:type="pct"/>
            <w:tcBorders>
              <w:top w:val="single" w:sz="4" w:space="0" w:color="auto"/>
            </w:tcBorders>
            <w:noWrap/>
            <w:vAlign w:val="bottom"/>
            <w:hideMark/>
          </w:tcPr>
          <w:p w:rsidR="003A497B" w:rsidRPr="000746C7" w:rsidRDefault="003A497B" w:rsidP="003E1809">
            <w:pPr>
              <w:rPr>
                <w:rFonts w:ascii="Times New Roman" w:hAnsi="Times New Roman" w:cs="Times New Roman"/>
                <w:color w:val="000000"/>
                <w:sz w:val="14"/>
                <w:szCs w:val="14"/>
                <w:lang w:eastAsia="sk-SK"/>
              </w:rPr>
            </w:pPr>
            <w:r w:rsidRPr="000746C7">
              <w:rPr>
                <w:rFonts w:ascii="Times New Roman" w:hAnsi="Times New Roman" w:cs="Times New Roman"/>
                <w:color w:val="000000"/>
                <w:sz w:val="14"/>
                <w:szCs w:val="14"/>
                <w:lang w:eastAsia="sk-SK"/>
              </w:rPr>
              <w:t xml:space="preserve">                                      610 mzdy</w:t>
            </w:r>
          </w:p>
        </w:tc>
        <w:tc>
          <w:tcPr>
            <w:tcW w:w="498" w:type="pct"/>
            <w:tcBorders>
              <w:top w:val="single" w:sz="4" w:space="0" w:color="auto"/>
            </w:tcBorders>
            <w:shd w:val="clear" w:color="auto" w:fill="auto"/>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7 935 352</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Cs/>
                <w:sz w:val="14"/>
                <w:szCs w:val="14"/>
              </w:rPr>
            </w:pPr>
            <w:r w:rsidRPr="000746C7">
              <w:rPr>
                <w:rFonts w:ascii="Times New Roman" w:hAnsi="Times New Roman" w:cs="Times New Roman"/>
                <w:bCs/>
                <w:sz w:val="14"/>
                <w:szCs w:val="14"/>
              </w:rPr>
              <w:t>8 768 711</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8 629 171</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sz w:val="14"/>
                <w:szCs w:val="14"/>
              </w:rPr>
            </w:pPr>
            <w:r w:rsidRPr="000746C7">
              <w:rPr>
                <w:rFonts w:ascii="Times New Roman" w:hAnsi="Times New Roman" w:cs="Times New Roman"/>
                <w:sz w:val="14"/>
                <w:szCs w:val="14"/>
              </w:rPr>
              <w:t>8 924 949</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9 038 091</w:t>
            </w:r>
          </w:p>
        </w:tc>
        <w:tc>
          <w:tcPr>
            <w:tcW w:w="498" w:type="pct"/>
            <w:gridSpan w:val="2"/>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9 038 091</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9 038 091</w:t>
            </w:r>
          </w:p>
        </w:tc>
      </w:tr>
      <w:tr w:rsidR="003A497B" w:rsidRPr="000746C7" w:rsidTr="003E1809">
        <w:trPr>
          <w:trHeight w:val="269"/>
        </w:trPr>
        <w:tc>
          <w:tcPr>
            <w:tcW w:w="1509" w:type="pct"/>
            <w:tcBorders>
              <w:top w:val="single" w:sz="4" w:space="0" w:color="auto"/>
            </w:tcBorders>
            <w:noWrap/>
            <w:vAlign w:val="bottom"/>
            <w:hideMark/>
          </w:tcPr>
          <w:p w:rsidR="003A497B" w:rsidRPr="000746C7" w:rsidRDefault="003A497B" w:rsidP="003E1809">
            <w:pPr>
              <w:rPr>
                <w:rFonts w:ascii="Times New Roman" w:hAnsi="Times New Roman" w:cs="Times New Roman"/>
                <w:color w:val="000000"/>
                <w:sz w:val="14"/>
                <w:szCs w:val="14"/>
                <w:lang w:eastAsia="sk-SK"/>
              </w:rPr>
            </w:pPr>
            <w:r w:rsidRPr="000746C7">
              <w:rPr>
                <w:rFonts w:ascii="Times New Roman" w:hAnsi="Times New Roman" w:cs="Times New Roman"/>
                <w:color w:val="000000"/>
                <w:sz w:val="14"/>
                <w:szCs w:val="14"/>
                <w:lang w:eastAsia="sk-SK"/>
              </w:rPr>
              <w:t xml:space="preserve">                                      620 odvody</w:t>
            </w:r>
          </w:p>
        </w:tc>
        <w:tc>
          <w:tcPr>
            <w:tcW w:w="498" w:type="pct"/>
            <w:tcBorders>
              <w:top w:val="single" w:sz="4" w:space="0" w:color="auto"/>
            </w:tcBorders>
            <w:shd w:val="clear" w:color="auto" w:fill="auto"/>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2 243 909</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Cs/>
                <w:sz w:val="14"/>
                <w:szCs w:val="14"/>
              </w:rPr>
            </w:pPr>
            <w:r w:rsidRPr="000746C7">
              <w:rPr>
                <w:rFonts w:ascii="Times New Roman" w:hAnsi="Times New Roman" w:cs="Times New Roman"/>
                <w:bCs/>
                <w:sz w:val="14"/>
                <w:szCs w:val="14"/>
              </w:rPr>
              <w:t>3 315 116</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3 015 894</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sz w:val="14"/>
                <w:szCs w:val="14"/>
              </w:rPr>
            </w:pPr>
            <w:r w:rsidRPr="000746C7">
              <w:rPr>
                <w:rFonts w:ascii="Times New Roman" w:hAnsi="Times New Roman" w:cs="Times New Roman"/>
                <w:sz w:val="14"/>
                <w:szCs w:val="14"/>
              </w:rPr>
              <w:t>3 218 487</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3 158 813</w:t>
            </w:r>
          </w:p>
        </w:tc>
        <w:tc>
          <w:tcPr>
            <w:tcW w:w="498" w:type="pct"/>
            <w:gridSpan w:val="2"/>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3 158 813</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3 158 813</w:t>
            </w:r>
          </w:p>
        </w:tc>
      </w:tr>
      <w:tr w:rsidR="003A497B" w:rsidRPr="000746C7" w:rsidTr="003E1809">
        <w:trPr>
          <w:trHeight w:val="269"/>
        </w:trPr>
        <w:tc>
          <w:tcPr>
            <w:tcW w:w="1509" w:type="pct"/>
            <w:tcBorders>
              <w:top w:val="single" w:sz="4" w:space="0" w:color="auto"/>
            </w:tcBorders>
            <w:noWrap/>
            <w:vAlign w:val="bottom"/>
            <w:hideMark/>
          </w:tcPr>
          <w:p w:rsidR="003A497B" w:rsidRPr="000746C7" w:rsidRDefault="003A497B" w:rsidP="003E1809">
            <w:pPr>
              <w:rPr>
                <w:rFonts w:ascii="Times New Roman" w:hAnsi="Times New Roman" w:cs="Times New Roman"/>
                <w:color w:val="000000"/>
                <w:sz w:val="14"/>
                <w:szCs w:val="14"/>
                <w:lang w:eastAsia="sk-SK"/>
              </w:rPr>
            </w:pPr>
            <w:r w:rsidRPr="000746C7">
              <w:rPr>
                <w:rFonts w:ascii="Times New Roman" w:hAnsi="Times New Roman" w:cs="Times New Roman"/>
                <w:color w:val="000000"/>
                <w:sz w:val="14"/>
                <w:szCs w:val="14"/>
                <w:lang w:eastAsia="sk-SK"/>
              </w:rPr>
              <w:t xml:space="preserve">                                      630 tovary a služby</w:t>
            </w:r>
          </w:p>
        </w:tc>
        <w:tc>
          <w:tcPr>
            <w:tcW w:w="498" w:type="pct"/>
            <w:tcBorders>
              <w:top w:val="single" w:sz="4" w:space="0" w:color="auto"/>
            </w:tcBorders>
            <w:shd w:val="clear" w:color="auto" w:fill="auto"/>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4 317 015</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Cs/>
                <w:sz w:val="14"/>
                <w:szCs w:val="14"/>
              </w:rPr>
            </w:pPr>
            <w:r w:rsidRPr="000746C7">
              <w:rPr>
                <w:rFonts w:ascii="Times New Roman" w:hAnsi="Times New Roman" w:cs="Times New Roman"/>
                <w:bCs/>
                <w:sz w:val="14"/>
                <w:szCs w:val="14"/>
              </w:rPr>
              <w:t>6 255 024</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20 327 499</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sz w:val="14"/>
                <w:szCs w:val="14"/>
              </w:rPr>
            </w:pPr>
            <w:r w:rsidRPr="000746C7">
              <w:rPr>
                <w:rFonts w:ascii="Times New Roman" w:hAnsi="Times New Roman" w:cs="Times New Roman"/>
                <w:sz w:val="14"/>
                <w:szCs w:val="14"/>
              </w:rPr>
              <w:t>21 803 935</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19 923 917</w:t>
            </w:r>
          </w:p>
        </w:tc>
        <w:tc>
          <w:tcPr>
            <w:tcW w:w="498" w:type="pct"/>
            <w:gridSpan w:val="2"/>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14 122 726</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14 122 726</w:t>
            </w:r>
          </w:p>
        </w:tc>
      </w:tr>
      <w:tr w:rsidR="003A497B" w:rsidRPr="000746C7" w:rsidTr="003E1809">
        <w:trPr>
          <w:trHeight w:val="269"/>
        </w:trPr>
        <w:tc>
          <w:tcPr>
            <w:tcW w:w="1509" w:type="pct"/>
            <w:tcBorders>
              <w:top w:val="single" w:sz="4" w:space="0" w:color="auto"/>
            </w:tcBorders>
            <w:noWrap/>
            <w:vAlign w:val="bottom"/>
            <w:hideMark/>
          </w:tcPr>
          <w:p w:rsidR="003A497B" w:rsidRPr="000746C7" w:rsidRDefault="003A497B" w:rsidP="003E1809">
            <w:pPr>
              <w:rPr>
                <w:rFonts w:ascii="Times New Roman" w:hAnsi="Times New Roman" w:cs="Times New Roman"/>
                <w:color w:val="000000"/>
                <w:sz w:val="14"/>
                <w:szCs w:val="14"/>
                <w:lang w:eastAsia="sk-SK"/>
              </w:rPr>
            </w:pPr>
            <w:r w:rsidRPr="000746C7">
              <w:rPr>
                <w:rFonts w:ascii="Times New Roman" w:hAnsi="Times New Roman" w:cs="Times New Roman"/>
                <w:color w:val="000000"/>
                <w:sz w:val="14"/>
                <w:szCs w:val="14"/>
                <w:lang w:eastAsia="sk-SK"/>
              </w:rPr>
              <w:t xml:space="preserve">                                      640 bežné transfery</w:t>
            </w:r>
          </w:p>
        </w:tc>
        <w:tc>
          <w:tcPr>
            <w:tcW w:w="498" w:type="pct"/>
            <w:tcBorders>
              <w:top w:val="single" w:sz="4" w:space="0" w:color="auto"/>
            </w:tcBorders>
            <w:shd w:val="clear" w:color="auto" w:fill="auto"/>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34 268 776</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Cs/>
                <w:sz w:val="14"/>
                <w:szCs w:val="14"/>
              </w:rPr>
            </w:pPr>
            <w:r w:rsidRPr="000746C7">
              <w:rPr>
                <w:rFonts w:ascii="Times New Roman" w:hAnsi="Times New Roman" w:cs="Times New Roman"/>
                <w:bCs/>
                <w:sz w:val="14"/>
                <w:szCs w:val="14"/>
              </w:rPr>
              <w:t>73 408 279</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48 380 242</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sz w:val="14"/>
                <w:szCs w:val="14"/>
              </w:rPr>
            </w:pPr>
            <w:r w:rsidRPr="000746C7">
              <w:rPr>
                <w:rFonts w:ascii="Times New Roman" w:hAnsi="Times New Roman" w:cs="Times New Roman"/>
                <w:sz w:val="14"/>
                <w:szCs w:val="14"/>
              </w:rPr>
              <w:t>51 215 652</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49 815 072</w:t>
            </w:r>
          </w:p>
        </w:tc>
        <w:tc>
          <w:tcPr>
            <w:tcW w:w="498" w:type="pct"/>
            <w:gridSpan w:val="2"/>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49 815 072</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49 815 072</w:t>
            </w:r>
          </w:p>
        </w:tc>
      </w:tr>
      <w:tr w:rsidR="003A497B" w:rsidRPr="000746C7" w:rsidTr="003E1809">
        <w:trPr>
          <w:trHeight w:val="269"/>
        </w:trPr>
        <w:tc>
          <w:tcPr>
            <w:tcW w:w="1509" w:type="pct"/>
            <w:tcBorders>
              <w:top w:val="single" w:sz="4" w:space="0" w:color="auto"/>
            </w:tcBorders>
            <w:noWrap/>
            <w:vAlign w:val="bottom"/>
            <w:hideMark/>
          </w:tcPr>
          <w:p w:rsidR="003A497B" w:rsidRPr="000746C7" w:rsidRDefault="003A497B" w:rsidP="003E1809">
            <w:pPr>
              <w:rPr>
                <w:rFonts w:ascii="Times New Roman" w:hAnsi="Times New Roman" w:cs="Times New Roman"/>
                <w:color w:val="000000"/>
                <w:sz w:val="14"/>
                <w:szCs w:val="14"/>
                <w:lang w:eastAsia="sk-SK"/>
              </w:rPr>
            </w:pPr>
            <w:r w:rsidRPr="000746C7">
              <w:rPr>
                <w:rFonts w:ascii="Times New Roman" w:hAnsi="Times New Roman" w:cs="Times New Roman"/>
                <w:color w:val="000000"/>
                <w:sz w:val="14"/>
                <w:szCs w:val="14"/>
                <w:lang w:eastAsia="sk-SK"/>
              </w:rPr>
              <w:t xml:space="preserve">             kapitálové výdavky 700</w:t>
            </w:r>
          </w:p>
        </w:tc>
        <w:tc>
          <w:tcPr>
            <w:tcW w:w="498" w:type="pct"/>
            <w:tcBorders>
              <w:top w:val="single" w:sz="4" w:space="0" w:color="auto"/>
            </w:tcBorders>
            <w:shd w:val="clear" w:color="auto" w:fill="auto"/>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6 977 106</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Cs/>
                <w:sz w:val="14"/>
                <w:szCs w:val="14"/>
              </w:rPr>
            </w:pPr>
            <w:r w:rsidRPr="000746C7">
              <w:rPr>
                <w:rFonts w:ascii="Times New Roman" w:hAnsi="Times New Roman" w:cs="Times New Roman"/>
                <w:bCs/>
                <w:sz w:val="14"/>
                <w:szCs w:val="14"/>
              </w:rPr>
              <w:t>1 689 833</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1 825 000</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1 466 345</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3 798 412</w:t>
            </w:r>
          </w:p>
        </w:tc>
        <w:tc>
          <w:tcPr>
            <w:tcW w:w="498" w:type="pct"/>
            <w:gridSpan w:val="2"/>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931 633</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931 633</w:t>
            </w:r>
          </w:p>
        </w:tc>
      </w:tr>
      <w:tr w:rsidR="003A497B" w:rsidRPr="000746C7" w:rsidTr="003E1809">
        <w:trPr>
          <w:trHeight w:val="269"/>
        </w:trPr>
        <w:tc>
          <w:tcPr>
            <w:tcW w:w="1509" w:type="pct"/>
            <w:tcBorders>
              <w:top w:val="single" w:sz="4" w:space="0" w:color="auto"/>
            </w:tcBorders>
            <w:noWrap/>
            <w:vAlign w:val="bottom"/>
            <w:hideMark/>
          </w:tcPr>
          <w:p w:rsidR="003A497B" w:rsidRPr="000746C7" w:rsidRDefault="003A497B" w:rsidP="003E1809">
            <w:pPr>
              <w:rPr>
                <w:rFonts w:ascii="Times New Roman" w:hAnsi="Times New Roman" w:cs="Times New Roman"/>
                <w:b/>
                <w:color w:val="000000"/>
                <w:sz w:val="14"/>
                <w:szCs w:val="14"/>
                <w:lang w:eastAsia="sk-SK"/>
              </w:rPr>
            </w:pPr>
            <w:r w:rsidRPr="000746C7">
              <w:rPr>
                <w:rFonts w:ascii="Times New Roman" w:hAnsi="Times New Roman" w:cs="Times New Roman"/>
                <w:b/>
                <w:color w:val="000000"/>
                <w:sz w:val="14"/>
                <w:szCs w:val="14"/>
                <w:lang w:eastAsia="sk-SK"/>
              </w:rPr>
              <w:t xml:space="preserve">zdroje EÚ vrátane spolufinancovania: </w:t>
            </w:r>
          </w:p>
        </w:tc>
        <w:tc>
          <w:tcPr>
            <w:tcW w:w="498" w:type="pct"/>
            <w:tcBorders>
              <w:top w:val="single" w:sz="4" w:space="0" w:color="auto"/>
            </w:tcBorders>
            <w:shd w:val="clear" w:color="auto" w:fill="auto"/>
            <w:noWrap/>
            <w:vAlign w:val="bottom"/>
            <w:hideMark/>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7 555 752</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bCs/>
                <w:sz w:val="14"/>
                <w:szCs w:val="14"/>
              </w:rPr>
            </w:pPr>
            <w:r w:rsidRPr="000746C7">
              <w:rPr>
                <w:rFonts w:ascii="Times New Roman" w:hAnsi="Times New Roman" w:cs="Times New Roman"/>
                <w:b/>
                <w:bCs/>
                <w:sz w:val="14"/>
                <w:szCs w:val="14"/>
              </w:rPr>
              <w:t>38 321 374</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110 974 420</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454 875 902</w:t>
            </w:r>
          </w:p>
        </w:tc>
        <w:tc>
          <w:tcPr>
            <w:tcW w:w="498" w:type="pct"/>
            <w:gridSpan w:val="2"/>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499 667 756</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511 528 289</w:t>
            </w:r>
          </w:p>
        </w:tc>
      </w:tr>
      <w:tr w:rsidR="003A497B" w:rsidRPr="000746C7" w:rsidTr="003E1809">
        <w:trPr>
          <w:trHeight w:val="269"/>
        </w:trPr>
        <w:tc>
          <w:tcPr>
            <w:tcW w:w="1509" w:type="pct"/>
            <w:tcBorders>
              <w:top w:val="single" w:sz="4" w:space="0" w:color="auto"/>
            </w:tcBorders>
            <w:noWrap/>
            <w:vAlign w:val="bottom"/>
            <w:hideMark/>
          </w:tcPr>
          <w:p w:rsidR="003A497B" w:rsidRPr="000746C7" w:rsidRDefault="003A497B" w:rsidP="003E1809">
            <w:pPr>
              <w:rPr>
                <w:rFonts w:ascii="Times New Roman" w:hAnsi="Times New Roman" w:cs="Times New Roman"/>
                <w:color w:val="000000"/>
                <w:sz w:val="14"/>
                <w:szCs w:val="14"/>
                <w:lang w:eastAsia="sk-SK"/>
              </w:rPr>
            </w:pPr>
            <w:r w:rsidRPr="000746C7">
              <w:rPr>
                <w:rFonts w:ascii="Times New Roman" w:hAnsi="Times New Roman" w:cs="Times New Roman"/>
                <w:color w:val="000000"/>
                <w:sz w:val="14"/>
                <w:szCs w:val="14"/>
                <w:lang w:eastAsia="sk-SK"/>
              </w:rPr>
              <w:t xml:space="preserve">    v tom: 2. program. obdobie  EÚ</w:t>
            </w:r>
          </w:p>
        </w:tc>
        <w:tc>
          <w:tcPr>
            <w:tcW w:w="498" w:type="pct"/>
            <w:tcBorders>
              <w:top w:val="single" w:sz="4" w:space="0" w:color="auto"/>
            </w:tcBorders>
            <w:shd w:val="clear" w:color="auto" w:fill="auto"/>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1 164</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Cs/>
                <w:sz w:val="14"/>
                <w:szCs w:val="14"/>
              </w:rPr>
            </w:pPr>
            <w:r w:rsidRPr="000746C7">
              <w:rPr>
                <w:rFonts w:ascii="Times New Roman" w:hAnsi="Times New Roman" w:cs="Times New Roman"/>
                <w:bCs/>
                <w:sz w:val="14"/>
                <w:szCs w:val="14"/>
              </w:rPr>
              <w:t>0</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bCs/>
                <w:sz w:val="14"/>
                <w:szCs w:val="14"/>
              </w:rPr>
              <w:t>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bCs/>
                <w:sz w:val="14"/>
                <w:szCs w:val="14"/>
              </w:rPr>
              <w:t>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bCs/>
                <w:sz w:val="14"/>
                <w:szCs w:val="14"/>
              </w:rPr>
              <w:t>0</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bCs/>
                <w:sz w:val="14"/>
                <w:szCs w:val="14"/>
              </w:rPr>
              <w:t>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bCs/>
                <w:sz w:val="14"/>
                <w:szCs w:val="14"/>
              </w:rPr>
              <w:t>0</w:t>
            </w:r>
          </w:p>
        </w:tc>
      </w:tr>
      <w:tr w:rsidR="003A497B" w:rsidRPr="000746C7" w:rsidTr="003E1809">
        <w:trPr>
          <w:trHeight w:val="269"/>
        </w:trPr>
        <w:tc>
          <w:tcPr>
            <w:tcW w:w="1509" w:type="pct"/>
            <w:tcBorders>
              <w:top w:val="single" w:sz="4" w:space="0" w:color="auto"/>
            </w:tcBorders>
            <w:noWrap/>
            <w:vAlign w:val="bottom"/>
            <w:hideMark/>
          </w:tcPr>
          <w:p w:rsidR="003A497B" w:rsidRPr="000746C7" w:rsidRDefault="003A497B" w:rsidP="003E1809">
            <w:pPr>
              <w:rPr>
                <w:rFonts w:ascii="Times New Roman" w:hAnsi="Times New Roman" w:cs="Times New Roman"/>
                <w:color w:val="000000"/>
                <w:sz w:val="14"/>
                <w:szCs w:val="14"/>
                <w:lang w:eastAsia="sk-SK"/>
              </w:rPr>
            </w:pPr>
            <w:r w:rsidRPr="000746C7">
              <w:rPr>
                <w:rFonts w:ascii="Times New Roman" w:hAnsi="Times New Roman" w:cs="Times New Roman"/>
                <w:color w:val="000000"/>
                <w:sz w:val="14"/>
                <w:szCs w:val="14"/>
                <w:lang w:eastAsia="sk-SK"/>
              </w:rPr>
              <w:t xml:space="preserve">                spolufinancovanie zo ŠR</w:t>
            </w:r>
          </w:p>
        </w:tc>
        <w:tc>
          <w:tcPr>
            <w:tcW w:w="498" w:type="pct"/>
            <w:tcBorders>
              <w:top w:val="single" w:sz="4" w:space="0" w:color="auto"/>
            </w:tcBorders>
            <w:shd w:val="clear" w:color="auto" w:fill="auto"/>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2 693 148</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Cs/>
                <w:sz w:val="14"/>
                <w:szCs w:val="14"/>
              </w:rPr>
            </w:pPr>
            <w:r w:rsidRPr="000746C7">
              <w:rPr>
                <w:rFonts w:ascii="Times New Roman" w:hAnsi="Times New Roman" w:cs="Times New Roman"/>
                <w:bCs/>
                <w:sz w:val="14"/>
                <w:szCs w:val="14"/>
              </w:rPr>
              <w:t>0</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bCs/>
                <w:sz w:val="14"/>
                <w:szCs w:val="14"/>
              </w:rPr>
              <w:t>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bCs/>
                <w:sz w:val="14"/>
                <w:szCs w:val="14"/>
              </w:rPr>
              <w:t>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bCs/>
                <w:sz w:val="14"/>
                <w:szCs w:val="14"/>
              </w:rPr>
              <w:t>0</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bCs/>
                <w:sz w:val="14"/>
                <w:szCs w:val="14"/>
              </w:rPr>
              <w:t>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bCs/>
                <w:sz w:val="14"/>
                <w:szCs w:val="14"/>
              </w:rPr>
              <w:t>0</w:t>
            </w:r>
          </w:p>
        </w:tc>
      </w:tr>
      <w:tr w:rsidR="003A497B" w:rsidRPr="000746C7" w:rsidTr="003E1809">
        <w:trPr>
          <w:trHeight w:val="269"/>
        </w:trPr>
        <w:tc>
          <w:tcPr>
            <w:tcW w:w="1509" w:type="pct"/>
            <w:tcBorders>
              <w:top w:val="single" w:sz="4" w:space="0" w:color="auto"/>
            </w:tcBorders>
            <w:noWrap/>
            <w:vAlign w:val="bottom"/>
            <w:hideMark/>
          </w:tcPr>
          <w:p w:rsidR="003A497B" w:rsidRPr="000746C7" w:rsidRDefault="003A497B" w:rsidP="003E1809">
            <w:pPr>
              <w:rPr>
                <w:rFonts w:ascii="Times New Roman" w:hAnsi="Times New Roman" w:cs="Times New Roman"/>
                <w:color w:val="000000"/>
                <w:sz w:val="14"/>
                <w:szCs w:val="14"/>
                <w:lang w:eastAsia="sk-SK"/>
              </w:rPr>
            </w:pPr>
            <w:r w:rsidRPr="000746C7">
              <w:rPr>
                <w:rFonts w:ascii="Times New Roman" w:hAnsi="Times New Roman" w:cs="Times New Roman"/>
                <w:color w:val="000000"/>
                <w:sz w:val="14"/>
                <w:szCs w:val="14"/>
                <w:lang w:eastAsia="sk-SK"/>
              </w:rPr>
              <w:t xml:space="preserve">               3. program. obdobie EÚ</w:t>
            </w:r>
          </w:p>
        </w:tc>
        <w:tc>
          <w:tcPr>
            <w:tcW w:w="498" w:type="pct"/>
            <w:tcBorders>
              <w:top w:val="single" w:sz="4" w:space="0" w:color="auto"/>
            </w:tcBorders>
            <w:shd w:val="clear" w:color="auto" w:fill="auto"/>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2 548 421</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Cs/>
                <w:sz w:val="14"/>
                <w:szCs w:val="14"/>
              </w:rPr>
            </w:pPr>
            <w:r w:rsidRPr="000746C7">
              <w:rPr>
                <w:rFonts w:ascii="Times New Roman" w:hAnsi="Times New Roman" w:cs="Times New Roman"/>
                <w:bCs/>
                <w:sz w:val="14"/>
                <w:szCs w:val="14"/>
              </w:rPr>
              <w:t>24 275 727</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89 551 599</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bCs/>
                <w:sz w:val="14"/>
                <w:szCs w:val="14"/>
              </w:rPr>
              <w:t>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408 871 489</w:t>
            </w:r>
          </w:p>
        </w:tc>
        <w:tc>
          <w:tcPr>
            <w:tcW w:w="498" w:type="pct"/>
            <w:gridSpan w:val="2"/>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443 179 477</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454 304 982</w:t>
            </w:r>
          </w:p>
        </w:tc>
      </w:tr>
      <w:tr w:rsidR="003A497B" w:rsidRPr="000746C7" w:rsidTr="003E1809">
        <w:trPr>
          <w:trHeight w:val="269"/>
        </w:trPr>
        <w:tc>
          <w:tcPr>
            <w:tcW w:w="1509" w:type="pct"/>
            <w:tcBorders>
              <w:top w:val="single" w:sz="4" w:space="0" w:color="auto"/>
            </w:tcBorders>
            <w:noWrap/>
            <w:vAlign w:val="bottom"/>
            <w:hideMark/>
          </w:tcPr>
          <w:p w:rsidR="003A497B" w:rsidRPr="000746C7" w:rsidRDefault="003A497B" w:rsidP="003E1809">
            <w:pPr>
              <w:rPr>
                <w:rFonts w:ascii="Times New Roman" w:hAnsi="Times New Roman" w:cs="Times New Roman"/>
                <w:color w:val="000000"/>
                <w:sz w:val="14"/>
                <w:szCs w:val="14"/>
                <w:lang w:eastAsia="sk-SK"/>
              </w:rPr>
            </w:pPr>
            <w:r w:rsidRPr="000746C7">
              <w:rPr>
                <w:rFonts w:ascii="Times New Roman" w:hAnsi="Times New Roman" w:cs="Times New Roman"/>
                <w:color w:val="000000"/>
                <w:sz w:val="14"/>
                <w:szCs w:val="14"/>
                <w:lang w:eastAsia="sk-SK"/>
              </w:rPr>
              <w:t xml:space="preserve">                spolufinancovanie zo ŠR</w:t>
            </w:r>
          </w:p>
        </w:tc>
        <w:tc>
          <w:tcPr>
            <w:tcW w:w="498" w:type="pct"/>
            <w:tcBorders>
              <w:top w:val="single" w:sz="4" w:space="0" w:color="auto"/>
            </w:tcBorders>
            <w:shd w:val="clear" w:color="auto" w:fill="auto"/>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2 313 019</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Cs/>
                <w:sz w:val="14"/>
                <w:szCs w:val="14"/>
              </w:rPr>
            </w:pPr>
            <w:r w:rsidRPr="000746C7">
              <w:rPr>
                <w:rFonts w:ascii="Times New Roman" w:hAnsi="Times New Roman" w:cs="Times New Roman"/>
                <w:bCs/>
                <w:sz w:val="14"/>
                <w:szCs w:val="14"/>
              </w:rPr>
              <w:t>14 045 647</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21 422 821</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bCs/>
                <w:sz w:val="14"/>
                <w:szCs w:val="14"/>
              </w:rPr>
              <w:t>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46 004 413</w:t>
            </w:r>
          </w:p>
        </w:tc>
        <w:tc>
          <w:tcPr>
            <w:tcW w:w="498" w:type="pct"/>
            <w:gridSpan w:val="2"/>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56 488 279</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57 223 307</w:t>
            </w:r>
          </w:p>
        </w:tc>
      </w:tr>
      <w:tr w:rsidR="003A497B" w:rsidRPr="000746C7" w:rsidTr="003E1809">
        <w:trPr>
          <w:trHeight w:val="269"/>
        </w:trPr>
        <w:tc>
          <w:tcPr>
            <w:tcW w:w="1509" w:type="pct"/>
            <w:tcBorders>
              <w:top w:val="single" w:sz="4" w:space="0" w:color="auto"/>
            </w:tcBorders>
            <w:noWrap/>
            <w:vAlign w:val="bottom"/>
            <w:hideMark/>
          </w:tcPr>
          <w:p w:rsidR="003A497B" w:rsidRPr="000746C7" w:rsidRDefault="003A497B" w:rsidP="003E1809">
            <w:pPr>
              <w:rPr>
                <w:rFonts w:ascii="Times New Roman" w:hAnsi="Times New Roman" w:cs="Times New Roman"/>
                <w:b/>
                <w:bCs/>
                <w:sz w:val="14"/>
                <w:szCs w:val="14"/>
                <w:lang w:eastAsia="sk-SK"/>
              </w:rPr>
            </w:pPr>
            <w:r w:rsidRPr="000746C7">
              <w:rPr>
                <w:rFonts w:ascii="Times New Roman" w:hAnsi="Times New Roman" w:cs="Times New Roman"/>
                <w:b/>
                <w:bCs/>
                <w:sz w:val="14"/>
                <w:szCs w:val="14"/>
                <w:lang w:eastAsia="sk-SK"/>
              </w:rPr>
              <w:t>presun z minulých rokov § 8</w:t>
            </w:r>
          </w:p>
        </w:tc>
        <w:tc>
          <w:tcPr>
            <w:tcW w:w="498" w:type="pct"/>
            <w:tcBorders>
              <w:top w:val="single" w:sz="4" w:space="0" w:color="auto"/>
            </w:tcBorders>
            <w:shd w:val="clear" w:color="auto" w:fill="auto"/>
            <w:noWrap/>
            <w:vAlign w:val="bottom"/>
            <w:hideMark/>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229 641 402</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bCs/>
                <w:sz w:val="14"/>
                <w:szCs w:val="14"/>
              </w:rPr>
            </w:pPr>
            <w:r w:rsidRPr="000746C7">
              <w:rPr>
                <w:rFonts w:ascii="Times New Roman" w:hAnsi="Times New Roman" w:cs="Times New Roman"/>
                <w:b/>
                <w:bCs/>
                <w:sz w:val="14"/>
                <w:szCs w:val="14"/>
              </w:rPr>
              <w:t>124 472 975</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164 113 242</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0</w:t>
            </w:r>
          </w:p>
        </w:tc>
        <w:tc>
          <w:tcPr>
            <w:tcW w:w="498" w:type="pct"/>
            <w:gridSpan w:val="2"/>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0</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0</w:t>
            </w:r>
          </w:p>
        </w:tc>
      </w:tr>
      <w:tr w:rsidR="003A497B" w:rsidRPr="000746C7" w:rsidTr="003E1809">
        <w:trPr>
          <w:trHeight w:val="269"/>
        </w:trPr>
        <w:tc>
          <w:tcPr>
            <w:tcW w:w="1509" w:type="pct"/>
            <w:tcBorders>
              <w:top w:val="single" w:sz="4" w:space="0" w:color="auto"/>
            </w:tcBorders>
            <w:noWrap/>
            <w:vAlign w:val="bottom"/>
            <w:hideMark/>
          </w:tcPr>
          <w:p w:rsidR="003A497B" w:rsidRPr="000746C7" w:rsidRDefault="003A497B" w:rsidP="003E1809">
            <w:pPr>
              <w:rPr>
                <w:rFonts w:ascii="Times New Roman" w:hAnsi="Times New Roman" w:cs="Times New Roman"/>
                <w:color w:val="000000"/>
                <w:sz w:val="14"/>
                <w:szCs w:val="14"/>
                <w:lang w:eastAsia="sk-SK"/>
              </w:rPr>
            </w:pPr>
            <w:r w:rsidRPr="000746C7">
              <w:rPr>
                <w:rFonts w:ascii="Times New Roman" w:hAnsi="Times New Roman" w:cs="Times New Roman"/>
                <w:color w:val="000000"/>
                <w:sz w:val="14"/>
                <w:szCs w:val="14"/>
                <w:lang w:eastAsia="sk-SK"/>
              </w:rPr>
              <w:t xml:space="preserve">    z toho: štátny rozpočet</w:t>
            </w:r>
          </w:p>
        </w:tc>
        <w:tc>
          <w:tcPr>
            <w:tcW w:w="498" w:type="pct"/>
            <w:tcBorders>
              <w:top w:val="single" w:sz="4" w:space="0" w:color="auto"/>
            </w:tcBorders>
            <w:shd w:val="clear" w:color="auto" w:fill="auto"/>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229 020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Cs/>
                <w:sz w:val="14"/>
                <w:szCs w:val="14"/>
              </w:rPr>
            </w:pPr>
            <w:r w:rsidRPr="000746C7">
              <w:rPr>
                <w:rFonts w:ascii="Times New Roman" w:hAnsi="Times New Roman" w:cs="Times New Roman"/>
                <w:bCs/>
                <w:sz w:val="14"/>
                <w:szCs w:val="14"/>
              </w:rPr>
              <w:t>7 031 464</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sz w:val="14"/>
                <w:szCs w:val="14"/>
              </w:rPr>
            </w:pPr>
            <w:r w:rsidRPr="000746C7">
              <w:rPr>
                <w:rFonts w:ascii="Times New Roman" w:hAnsi="Times New Roman" w:cs="Times New Roman"/>
                <w:sz w:val="14"/>
                <w:szCs w:val="14"/>
              </w:rPr>
              <w:t>6 370 000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r>
      <w:tr w:rsidR="003A497B" w:rsidRPr="000746C7" w:rsidTr="003E1809">
        <w:trPr>
          <w:trHeight w:val="269"/>
        </w:trPr>
        <w:tc>
          <w:tcPr>
            <w:tcW w:w="1509" w:type="pct"/>
            <w:tcBorders>
              <w:top w:val="single" w:sz="4" w:space="0" w:color="auto"/>
              <w:bottom w:val="single" w:sz="4" w:space="0" w:color="auto"/>
              <w:right w:val="single" w:sz="4" w:space="0" w:color="auto"/>
            </w:tcBorders>
            <w:noWrap/>
            <w:vAlign w:val="bottom"/>
            <w:hideMark/>
          </w:tcPr>
          <w:p w:rsidR="003A497B" w:rsidRPr="000746C7" w:rsidRDefault="003A497B" w:rsidP="003E1809">
            <w:pPr>
              <w:rPr>
                <w:rFonts w:ascii="Times New Roman" w:hAnsi="Times New Roman" w:cs="Times New Roman"/>
                <w:color w:val="000000"/>
                <w:sz w:val="14"/>
                <w:szCs w:val="14"/>
                <w:lang w:eastAsia="sk-SK"/>
              </w:rPr>
            </w:pPr>
            <w:r w:rsidRPr="000746C7">
              <w:rPr>
                <w:rFonts w:ascii="Times New Roman" w:hAnsi="Times New Roman" w:cs="Times New Roman"/>
                <w:color w:val="000000"/>
                <w:sz w:val="14"/>
                <w:szCs w:val="14"/>
                <w:lang w:eastAsia="sk-SK"/>
              </w:rPr>
              <w:t xml:space="preserve">                EÚ prostriedky</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200 294 509</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Cs/>
                <w:sz w:val="14"/>
                <w:szCs w:val="14"/>
              </w:rPr>
            </w:pPr>
            <w:r w:rsidRPr="000746C7">
              <w:rPr>
                <w:rFonts w:ascii="Times New Roman" w:hAnsi="Times New Roman" w:cs="Times New Roman"/>
                <w:bCs/>
                <w:sz w:val="14"/>
                <w:szCs w:val="14"/>
              </w:rPr>
              <w:t>114 216 406</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sz w:val="14"/>
                <w:szCs w:val="14"/>
              </w:rPr>
            </w:pPr>
            <w:r w:rsidRPr="000746C7">
              <w:rPr>
                <w:rFonts w:ascii="Times New Roman" w:hAnsi="Times New Roman" w:cs="Times New Roman"/>
                <w:sz w:val="14"/>
                <w:szCs w:val="14"/>
              </w:rPr>
              <w:t>136 320 421</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r>
      <w:tr w:rsidR="003A497B" w:rsidRPr="000746C7" w:rsidTr="003E1809">
        <w:trPr>
          <w:trHeight w:val="269"/>
        </w:trPr>
        <w:tc>
          <w:tcPr>
            <w:tcW w:w="1509" w:type="pct"/>
            <w:tcBorders>
              <w:top w:val="single" w:sz="4" w:space="0" w:color="auto"/>
              <w:bottom w:val="single" w:sz="4" w:space="0" w:color="auto"/>
            </w:tcBorders>
            <w:noWrap/>
            <w:vAlign w:val="bottom"/>
            <w:hideMark/>
          </w:tcPr>
          <w:p w:rsidR="003A497B" w:rsidRPr="000746C7" w:rsidRDefault="003A497B" w:rsidP="003E1809">
            <w:pPr>
              <w:rPr>
                <w:rFonts w:ascii="Times New Roman" w:hAnsi="Times New Roman" w:cs="Times New Roman"/>
                <w:color w:val="000000"/>
                <w:sz w:val="14"/>
                <w:szCs w:val="14"/>
                <w:lang w:eastAsia="sk-SK"/>
              </w:rPr>
            </w:pPr>
            <w:r w:rsidRPr="000746C7">
              <w:rPr>
                <w:rFonts w:ascii="Times New Roman" w:hAnsi="Times New Roman" w:cs="Times New Roman"/>
                <w:color w:val="000000"/>
                <w:sz w:val="14"/>
                <w:szCs w:val="14"/>
                <w:lang w:eastAsia="sk-SK"/>
              </w:rPr>
              <w:t xml:space="preserve">                spolufinancovanie zo ŠR</w:t>
            </w:r>
          </w:p>
        </w:tc>
        <w:tc>
          <w:tcPr>
            <w:tcW w:w="498" w:type="pct"/>
            <w:tcBorders>
              <w:top w:val="single" w:sz="4" w:space="0" w:color="auto"/>
              <w:bottom w:val="single" w:sz="4" w:space="0" w:color="auto"/>
            </w:tcBorders>
            <w:shd w:val="clear" w:color="auto" w:fill="auto"/>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29 117 873</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Cs/>
                <w:sz w:val="14"/>
                <w:szCs w:val="14"/>
              </w:rPr>
            </w:pPr>
            <w:r w:rsidRPr="000746C7">
              <w:rPr>
                <w:rFonts w:ascii="Times New Roman" w:hAnsi="Times New Roman" w:cs="Times New Roman"/>
                <w:bCs/>
                <w:sz w:val="14"/>
                <w:szCs w:val="14"/>
              </w:rPr>
              <w:t>3 225 105</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sz w:val="14"/>
                <w:szCs w:val="14"/>
              </w:rPr>
            </w:pPr>
            <w:r w:rsidRPr="000746C7">
              <w:rPr>
                <w:rFonts w:ascii="Times New Roman" w:hAnsi="Times New Roman" w:cs="Times New Roman"/>
                <w:sz w:val="14"/>
                <w:szCs w:val="14"/>
              </w:rPr>
              <w:t>21 422 821</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r>
      <w:tr w:rsidR="003A497B" w:rsidRPr="000746C7" w:rsidTr="003E1809">
        <w:trPr>
          <w:trHeight w:val="269"/>
        </w:trPr>
        <w:tc>
          <w:tcPr>
            <w:tcW w:w="1509" w:type="pct"/>
            <w:tcBorders>
              <w:top w:val="single" w:sz="4" w:space="0" w:color="auto"/>
              <w:bottom w:val="single" w:sz="4" w:space="0" w:color="auto"/>
              <w:right w:val="single" w:sz="4" w:space="0" w:color="auto"/>
            </w:tcBorders>
            <w:noWrap/>
            <w:vAlign w:val="bottom"/>
          </w:tcPr>
          <w:p w:rsidR="003A497B" w:rsidRPr="000746C7" w:rsidRDefault="003A497B" w:rsidP="003E1809">
            <w:pPr>
              <w:rPr>
                <w:rFonts w:ascii="Times New Roman" w:hAnsi="Times New Roman" w:cs="Times New Roman"/>
                <w:b/>
                <w:color w:val="000000"/>
                <w:sz w:val="14"/>
                <w:szCs w:val="14"/>
                <w:lang w:eastAsia="sk-SK"/>
              </w:rPr>
            </w:pPr>
            <w:r w:rsidRPr="000746C7">
              <w:rPr>
                <w:rFonts w:ascii="Times New Roman" w:hAnsi="Times New Roman" w:cs="Times New Roman"/>
                <w:b/>
                <w:bCs/>
                <w:color w:val="000000"/>
                <w:sz w:val="14"/>
                <w:szCs w:val="14"/>
              </w:rPr>
              <w:t>zdroj 72 e*</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lang w:eastAsia="sk-SK"/>
              </w:rPr>
            </w:pPr>
            <w:r w:rsidRPr="000746C7">
              <w:rPr>
                <w:rFonts w:ascii="Times New Roman" w:hAnsi="Times New Roman" w:cs="Times New Roman"/>
                <w:b/>
                <w:color w:val="000000"/>
                <w:sz w:val="14"/>
                <w:szCs w:val="14"/>
              </w:rPr>
              <w:t>249 852</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bCs/>
                <w:sz w:val="14"/>
                <w:szCs w:val="14"/>
              </w:rPr>
            </w:pPr>
            <w:r w:rsidRPr="000746C7">
              <w:rPr>
                <w:rFonts w:ascii="Times New Roman" w:hAnsi="Times New Roman" w:cs="Times New Roman"/>
                <w:b/>
                <w:bCs/>
                <w:sz w:val="14"/>
                <w:szCs w:val="14"/>
              </w:rPr>
              <w:t>20 300</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7 000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7 000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7 000</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7 000</w:t>
            </w:r>
          </w:p>
        </w:tc>
        <w:tc>
          <w:tcPr>
            <w:tcW w:w="4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7 000</w:t>
            </w:r>
          </w:p>
        </w:tc>
      </w:tr>
      <w:tr w:rsidR="003A497B" w:rsidRPr="000746C7" w:rsidTr="003E1809">
        <w:trPr>
          <w:trHeight w:hRule="exact" w:val="265"/>
        </w:trPr>
        <w:tc>
          <w:tcPr>
            <w:tcW w:w="2630" w:type="pct"/>
            <w:gridSpan w:val="4"/>
            <w:tcBorders>
              <w:top w:val="single" w:sz="4" w:space="0" w:color="auto"/>
              <w:left w:val="nil"/>
              <w:bottom w:val="nil"/>
              <w:right w:val="nil"/>
            </w:tcBorders>
            <w:shd w:val="clear" w:color="000000" w:fill="FFFFFF"/>
            <w:noWrap/>
            <w:vAlign w:val="bottom"/>
            <w:hideMark/>
          </w:tcPr>
          <w:p w:rsidR="003A497B" w:rsidRDefault="003A497B" w:rsidP="003E1809">
            <w:pPr>
              <w:rPr>
                <w:rFonts w:ascii="Times New Roman" w:hAnsi="Times New Roman"/>
                <w:color w:val="000000"/>
                <w:sz w:val="14"/>
                <w:szCs w:val="14"/>
                <w:lang w:eastAsia="sk-SK"/>
              </w:rPr>
            </w:pPr>
            <w:r w:rsidRPr="00107ED9">
              <w:rPr>
                <w:rFonts w:ascii="Times New Roman" w:hAnsi="Times New Roman"/>
                <w:color w:val="000000"/>
                <w:sz w:val="14"/>
                <w:szCs w:val="14"/>
                <w:lang w:eastAsia="sk-SK"/>
              </w:rPr>
              <w:t>*</w:t>
            </w:r>
            <w:r>
              <w:rPr>
                <w:rFonts w:ascii="Times New Roman" w:hAnsi="Times New Roman"/>
                <w:color w:val="000000"/>
                <w:sz w:val="14"/>
                <w:szCs w:val="14"/>
                <w:lang w:eastAsia="sk-SK"/>
              </w:rPr>
              <w:t xml:space="preserve"> </w:t>
            </w:r>
            <w:r w:rsidRPr="00107ED9">
              <w:rPr>
                <w:rFonts w:ascii="Times New Roman" w:hAnsi="Times New Roman"/>
                <w:color w:val="000000"/>
                <w:sz w:val="14"/>
                <w:szCs w:val="14"/>
                <w:lang w:eastAsia="sk-SK"/>
              </w:rPr>
              <w:t>z poistného plnenia zo zmluvného poistenia alebo zo zákonného poistenia</w:t>
            </w:r>
          </w:p>
          <w:p w:rsidR="003A497B" w:rsidRDefault="003A497B" w:rsidP="003E1809">
            <w:pPr>
              <w:rPr>
                <w:rFonts w:ascii="Times New Roman" w:hAnsi="Times New Roman"/>
                <w:color w:val="000000"/>
                <w:sz w:val="14"/>
                <w:szCs w:val="14"/>
                <w:lang w:eastAsia="sk-SK"/>
              </w:rPr>
            </w:pPr>
          </w:p>
          <w:p w:rsidR="003A497B" w:rsidRDefault="003A497B" w:rsidP="003E1809">
            <w:pPr>
              <w:rPr>
                <w:rFonts w:ascii="Times New Roman" w:hAnsi="Times New Roman"/>
                <w:color w:val="000000"/>
                <w:sz w:val="14"/>
                <w:szCs w:val="14"/>
                <w:lang w:eastAsia="sk-SK"/>
              </w:rPr>
            </w:pPr>
          </w:p>
          <w:p w:rsidR="003A497B" w:rsidRDefault="003A497B" w:rsidP="003E1809">
            <w:pPr>
              <w:rPr>
                <w:rFonts w:ascii="Times New Roman" w:hAnsi="Times New Roman"/>
                <w:color w:val="000000"/>
                <w:sz w:val="14"/>
                <w:szCs w:val="14"/>
                <w:lang w:eastAsia="sk-SK"/>
              </w:rPr>
            </w:pPr>
          </w:p>
          <w:p w:rsidR="003A497B" w:rsidRDefault="003A497B" w:rsidP="003E1809">
            <w:pPr>
              <w:rPr>
                <w:rFonts w:ascii="Times New Roman" w:hAnsi="Times New Roman"/>
                <w:color w:val="000000"/>
                <w:sz w:val="14"/>
                <w:szCs w:val="14"/>
                <w:lang w:eastAsia="sk-SK"/>
              </w:rPr>
            </w:pPr>
          </w:p>
          <w:p w:rsidR="003A497B" w:rsidRDefault="003A497B" w:rsidP="003E1809">
            <w:pPr>
              <w:rPr>
                <w:rFonts w:ascii="Times New Roman" w:hAnsi="Times New Roman"/>
                <w:color w:val="000000"/>
                <w:sz w:val="14"/>
                <w:szCs w:val="14"/>
                <w:lang w:eastAsia="sk-SK"/>
              </w:rPr>
            </w:pPr>
          </w:p>
          <w:p w:rsidR="003A497B" w:rsidRDefault="003A497B" w:rsidP="003E1809">
            <w:pPr>
              <w:rPr>
                <w:rFonts w:ascii="Times New Roman" w:hAnsi="Times New Roman"/>
                <w:color w:val="000000"/>
                <w:sz w:val="14"/>
                <w:szCs w:val="14"/>
                <w:lang w:eastAsia="sk-SK"/>
              </w:rPr>
            </w:pPr>
          </w:p>
          <w:p w:rsidR="003A497B" w:rsidRPr="00107ED9" w:rsidRDefault="003A497B" w:rsidP="003E1809">
            <w:pPr>
              <w:rPr>
                <w:rFonts w:ascii="Times New Roman" w:hAnsi="Times New Roman"/>
                <w:color w:val="000000"/>
                <w:sz w:val="14"/>
                <w:szCs w:val="14"/>
                <w:lang w:eastAsia="sk-SK"/>
              </w:rPr>
            </w:pPr>
          </w:p>
          <w:p w:rsidR="003A497B" w:rsidRDefault="003A497B" w:rsidP="003E1809">
            <w:pPr>
              <w:rPr>
                <w:rFonts w:ascii="Times New Roman" w:hAnsi="Times New Roman"/>
                <w:color w:val="000000"/>
                <w:sz w:val="14"/>
                <w:szCs w:val="14"/>
                <w:lang w:eastAsia="sk-SK"/>
              </w:rPr>
            </w:pPr>
          </w:p>
          <w:p w:rsidR="003A497B" w:rsidRPr="00107ED9" w:rsidRDefault="003A497B" w:rsidP="003E1809">
            <w:pPr>
              <w:rPr>
                <w:rFonts w:ascii="Times New Roman" w:hAnsi="Times New Roman"/>
                <w:color w:val="000000"/>
                <w:sz w:val="14"/>
                <w:szCs w:val="14"/>
                <w:lang w:eastAsia="sk-SK"/>
              </w:rPr>
            </w:pPr>
          </w:p>
          <w:p w:rsidR="003A497B" w:rsidRPr="00107ED9" w:rsidRDefault="003A497B" w:rsidP="003E1809">
            <w:pPr>
              <w:rPr>
                <w:rFonts w:ascii="Times New Roman" w:hAnsi="Times New Roman" w:cs="Times New Roman"/>
                <w:color w:val="000000"/>
                <w:sz w:val="14"/>
                <w:szCs w:val="14"/>
                <w:lang w:eastAsia="sk-SK"/>
              </w:rPr>
            </w:pPr>
          </w:p>
        </w:tc>
        <w:tc>
          <w:tcPr>
            <w:tcW w:w="376" w:type="pct"/>
            <w:tcBorders>
              <w:top w:val="single" w:sz="4" w:space="0" w:color="auto"/>
              <w:left w:val="nil"/>
              <w:bottom w:val="nil"/>
              <w:right w:val="nil"/>
            </w:tcBorders>
            <w:shd w:val="clear" w:color="auto" w:fill="auto"/>
            <w:noWrap/>
            <w:vAlign w:val="bottom"/>
            <w:hideMark/>
          </w:tcPr>
          <w:p w:rsidR="003A497B" w:rsidRPr="000746C7" w:rsidRDefault="003A497B" w:rsidP="003E1809">
            <w:pPr>
              <w:rPr>
                <w:rFonts w:ascii="Times New Roman" w:hAnsi="Times New Roman" w:cs="Times New Roman"/>
                <w:color w:val="000000"/>
                <w:sz w:val="14"/>
                <w:szCs w:val="14"/>
                <w:lang w:eastAsia="sk-SK"/>
              </w:rPr>
            </w:pPr>
          </w:p>
        </w:tc>
        <w:tc>
          <w:tcPr>
            <w:tcW w:w="498" w:type="pct"/>
            <w:tcBorders>
              <w:top w:val="single" w:sz="4" w:space="0" w:color="auto"/>
              <w:left w:val="nil"/>
              <w:bottom w:val="nil"/>
              <w:right w:val="nil"/>
            </w:tcBorders>
            <w:shd w:val="clear" w:color="auto" w:fill="auto"/>
            <w:noWrap/>
            <w:vAlign w:val="bottom"/>
          </w:tcPr>
          <w:p w:rsidR="003A497B" w:rsidRPr="000746C7" w:rsidRDefault="003A497B" w:rsidP="003E1809">
            <w:pPr>
              <w:jc w:val="right"/>
              <w:rPr>
                <w:rFonts w:ascii="Times New Roman" w:hAnsi="Times New Roman" w:cs="Times New Roman"/>
                <w:sz w:val="14"/>
                <w:szCs w:val="14"/>
                <w:lang w:eastAsia="sk-SK"/>
              </w:rPr>
            </w:pPr>
          </w:p>
        </w:tc>
        <w:tc>
          <w:tcPr>
            <w:tcW w:w="516" w:type="pct"/>
            <w:gridSpan w:val="2"/>
            <w:tcBorders>
              <w:top w:val="single" w:sz="4" w:space="0" w:color="auto"/>
              <w:left w:val="nil"/>
              <w:bottom w:val="nil"/>
              <w:right w:val="nil"/>
            </w:tcBorders>
            <w:shd w:val="clear" w:color="auto" w:fill="auto"/>
            <w:noWrap/>
            <w:vAlign w:val="bottom"/>
            <w:hideMark/>
          </w:tcPr>
          <w:p w:rsidR="003A497B" w:rsidRPr="000746C7" w:rsidRDefault="003A497B" w:rsidP="003E1809">
            <w:pPr>
              <w:jc w:val="right"/>
              <w:rPr>
                <w:rFonts w:ascii="Times New Roman" w:hAnsi="Times New Roman" w:cs="Times New Roman"/>
                <w:sz w:val="14"/>
                <w:szCs w:val="14"/>
                <w:lang w:eastAsia="sk-SK"/>
              </w:rPr>
            </w:pPr>
          </w:p>
        </w:tc>
        <w:tc>
          <w:tcPr>
            <w:tcW w:w="481" w:type="pct"/>
            <w:tcBorders>
              <w:top w:val="single" w:sz="4" w:space="0" w:color="auto"/>
              <w:left w:val="nil"/>
              <w:bottom w:val="nil"/>
              <w:right w:val="nil"/>
            </w:tcBorders>
            <w:shd w:val="clear" w:color="auto" w:fill="auto"/>
            <w:noWrap/>
            <w:vAlign w:val="bottom"/>
            <w:hideMark/>
          </w:tcPr>
          <w:p w:rsidR="003A497B" w:rsidRPr="000746C7" w:rsidRDefault="003A497B" w:rsidP="003E1809">
            <w:pPr>
              <w:rPr>
                <w:rFonts w:ascii="Times New Roman" w:hAnsi="Times New Roman" w:cs="Times New Roman"/>
                <w:sz w:val="14"/>
                <w:szCs w:val="14"/>
                <w:lang w:eastAsia="sk-SK"/>
              </w:rPr>
            </w:pPr>
          </w:p>
        </w:tc>
        <w:tc>
          <w:tcPr>
            <w:tcW w:w="498" w:type="pct"/>
            <w:tcBorders>
              <w:top w:val="single" w:sz="4" w:space="0" w:color="auto"/>
              <w:left w:val="nil"/>
              <w:bottom w:val="nil"/>
              <w:right w:val="nil"/>
            </w:tcBorders>
            <w:shd w:val="clear" w:color="auto" w:fill="auto"/>
            <w:noWrap/>
            <w:vAlign w:val="bottom"/>
            <w:hideMark/>
          </w:tcPr>
          <w:p w:rsidR="003A497B" w:rsidRPr="000746C7" w:rsidRDefault="003A497B" w:rsidP="003E1809">
            <w:pPr>
              <w:rPr>
                <w:rFonts w:ascii="Times New Roman" w:hAnsi="Times New Roman" w:cs="Times New Roman"/>
                <w:sz w:val="14"/>
                <w:szCs w:val="14"/>
                <w:lang w:eastAsia="sk-SK"/>
              </w:rPr>
            </w:pPr>
          </w:p>
        </w:tc>
      </w:tr>
      <w:tr w:rsidR="003A497B" w:rsidRPr="000746C7" w:rsidTr="003E1809">
        <w:trPr>
          <w:trHeight w:hRule="exact" w:val="265"/>
        </w:trPr>
        <w:tc>
          <w:tcPr>
            <w:tcW w:w="2630" w:type="pct"/>
            <w:gridSpan w:val="4"/>
            <w:tcBorders>
              <w:top w:val="nil"/>
              <w:left w:val="nil"/>
              <w:bottom w:val="single" w:sz="4" w:space="0" w:color="auto"/>
              <w:right w:val="nil"/>
            </w:tcBorders>
            <w:shd w:val="clear" w:color="000000" w:fill="FFFFFF"/>
            <w:noWrap/>
            <w:vAlign w:val="bottom"/>
          </w:tcPr>
          <w:p w:rsidR="003A497B" w:rsidRPr="00107ED9" w:rsidRDefault="003A497B" w:rsidP="003E1809">
            <w:pPr>
              <w:rPr>
                <w:rFonts w:ascii="Times New Roman" w:hAnsi="Times New Roman"/>
                <w:color w:val="000000"/>
                <w:sz w:val="14"/>
                <w:szCs w:val="14"/>
                <w:lang w:eastAsia="sk-SK"/>
              </w:rPr>
            </w:pPr>
          </w:p>
        </w:tc>
        <w:tc>
          <w:tcPr>
            <w:tcW w:w="376" w:type="pct"/>
            <w:tcBorders>
              <w:top w:val="nil"/>
              <w:left w:val="nil"/>
              <w:bottom w:val="single" w:sz="4" w:space="0" w:color="auto"/>
              <w:right w:val="nil"/>
            </w:tcBorders>
            <w:shd w:val="clear" w:color="auto" w:fill="auto"/>
            <w:noWrap/>
            <w:vAlign w:val="bottom"/>
          </w:tcPr>
          <w:p w:rsidR="003A497B" w:rsidRPr="000746C7" w:rsidRDefault="003A497B" w:rsidP="003E1809">
            <w:pPr>
              <w:rPr>
                <w:rFonts w:ascii="Times New Roman" w:hAnsi="Times New Roman" w:cs="Times New Roman"/>
                <w:color w:val="000000"/>
                <w:sz w:val="14"/>
                <w:szCs w:val="14"/>
                <w:lang w:eastAsia="sk-SK"/>
              </w:rPr>
            </w:pPr>
          </w:p>
        </w:tc>
        <w:tc>
          <w:tcPr>
            <w:tcW w:w="498" w:type="pct"/>
            <w:tcBorders>
              <w:top w:val="nil"/>
              <w:left w:val="nil"/>
              <w:bottom w:val="single" w:sz="4" w:space="0" w:color="auto"/>
              <w:right w:val="nil"/>
            </w:tcBorders>
            <w:shd w:val="clear" w:color="auto" w:fill="auto"/>
            <w:noWrap/>
            <w:vAlign w:val="bottom"/>
          </w:tcPr>
          <w:p w:rsidR="003A497B" w:rsidRPr="000746C7" w:rsidRDefault="003A497B" w:rsidP="003E1809">
            <w:pPr>
              <w:jc w:val="right"/>
              <w:rPr>
                <w:rFonts w:ascii="Times New Roman" w:hAnsi="Times New Roman" w:cs="Times New Roman"/>
                <w:sz w:val="14"/>
                <w:szCs w:val="14"/>
                <w:lang w:eastAsia="sk-SK"/>
              </w:rPr>
            </w:pPr>
          </w:p>
        </w:tc>
        <w:tc>
          <w:tcPr>
            <w:tcW w:w="516" w:type="pct"/>
            <w:gridSpan w:val="2"/>
            <w:tcBorders>
              <w:top w:val="nil"/>
              <w:left w:val="nil"/>
              <w:bottom w:val="single" w:sz="4" w:space="0" w:color="auto"/>
              <w:right w:val="nil"/>
            </w:tcBorders>
            <w:shd w:val="clear" w:color="auto" w:fill="auto"/>
            <w:noWrap/>
            <w:vAlign w:val="bottom"/>
          </w:tcPr>
          <w:p w:rsidR="003A497B" w:rsidRPr="000746C7" w:rsidRDefault="003A497B" w:rsidP="003E1809">
            <w:pPr>
              <w:jc w:val="right"/>
              <w:rPr>
                <w:rFonts w:ascii="Times New Roman" w:hAnsi="Times New Roman" w:cs="Times New Roman"/>
                <w:sz w:val="14"/>
                <w:szCs w:val="14"/>
                <w:lang w:eastAsia="sk-SK"/>
              </w:rPr>
            </w:pPr>
          </w:p>
        </w:tc>
        <w:tc>
          <w:tcPr>
            <w:tcW w:w="481" w:type="pct"/>
            <w:tcBorders>
              <w:top w:val="nil"/>
              <w:left w:val="nil"/>
              <w:bottom w:val="single" w:sz="4" w:space="0" w:color="auto"/>
              <w:right w:val="nil"/>
            </w:tcBorders>
            <w:shd w:val="clear" w:color="auto" w:fill="auto"/>
            <w:noWrap/>
            <w:vAlign w:val="bottom"/>
          </w:tcPr>
          <w:p w:rsidR="003A497B" w:rsidRPr="000746C7" w:rsidRDefault="003A497B" w:rsidP="003E1809">
            <w:pPr>
              <w:rPr>
                <w:rFonts w:ascii="Times New Roman" w:hAnsi="Times New Roman" w:cs="Times New Roman"/>
                <w:sz w:val="14"/>
                <w:szCs w:val="14"/>
                <w:lang w:eastAsia="sk-SK"/>
              </w:rPr>
            </w:pPr>
          </w:p>
        </w:tc>
        <w:tc>
          <w:tcPr>
            <w:tcW w:w="498" w:type="pct"/>
            <w:tcBorders>
              <w:top w:val="nil"/>
              <w:left w:val="nil"/>
              <w:bottom w:val="single" w:sz="4" w:space="0" w:color="auto"/>
              <w:right w:val="nil"/>
            </w:tcBorders>
            <w:shd w:val="clear" w:color="auto" w:fill="auto"/>
            <w:noWrap/>
            <w:vAlign w:val="bottom"/>
          </w:tcPr>
          <w:p w:rsidR="003A497B" w:rsidRPr="000746C7" w:rsidRDefault="003A497B" w:rsidP="003E1809">
            <w:pPr>
              <w:rPr>
                <w:rFonts w:ascii="Times New Roman" w:hAnsi="Times New Roman" w:cs="Times New Roman"/>
                <w:sz w:val="14"/>
                <w:szCs w:val="14"/>
                <w:lang w:eastAsia="sk-SK"/>
              </w:rPr>
            </w:pPr>
          </w:p>
        </w:tc>
      </w:tr>
      <w:tr w:rsidR="003A497B" w:rsidRPr="000746C7" w:rsidTr="003E1809">
        <w:trPr>
          <w:trHeight w:hRule="exact" w:val="265"/>
        </w:trPr>
        <w:tc>
          <w:tcPr>
            <w:tcW w:w="1509" w:type="pct"/>
            <w:tcBorders>
              <w:top w:val="single" w:sz="4" w:space="0" w:color="auto"/>
            </w:tcBorders>
            <w:shd w:val="clear" w:color="auto" w:fill="FFFFFF" w:themeFill="background1"/>
            <w:noWrap/>
            <w:vAlign w:val="bottom"/>
            <w:hideMark/>
          </w:tcPr>
          <w:p w:rsidR="003A497B" w:rsidRPr="000746C7" w:rsidRDefault="003A497B" w:rsidP="003E1809">
            <w:pPr>
              <w:ind w:left="-220" w:firstLine="220"/>
              <w:rPr>
                <w:rFonts w:ascii="Times New Roman" w:hAnsi="Times New Roman" w:cs="Times New Roman"/>
                <w:b/>
                <w:bCs/>
                <w:sz w:val="14"/>
                <w:szCs w:val="14"/>
                <w:lang w:eastAsia="sk-SK"/>
              </w:rPr>
            </w:pPr>
            <w:r w:rsidRPr="000746C7">
              <w:rPr>
                <w:rFonts w:ascii="Times New Roman" w:hAnsi="Times New Roman" w:cs="Times New Roman"/>
                <w:b/>
                <w:bCs/>
                <w:sz w:val="14"/>
                <w:szCs w:val="14"/>
                <w:lang w:eastAsia="sk-SK"/>
              </w:rPr>
              <w:t>Samostatné účty</w:t>
            </w:r>
          </w:p>
        </w:tc>
        <w:tc>
          <w:tcPr>
            <w:tcW w:w="498" w:type="pct"/>
            <w:tcBorders>
              <w:top w:val="single" w:sz="4" w:space="0" w:color="auto"/>
            </w:tcBorders>
            <w:shd w:val="clear" w:color="auto" w:fill="FFFFFF" w:themeFill="background1"/>
            <w:noWrap/>
            <w:vAlign w:val="bottom"/>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3 370 417</w:t>
            </w:r>
          </w:p>
        </w:tc>
        <w:tc>
          <w:tcPr>
            <w:tcW w:w="498" w:type="pct"/>
            <w:tcBorders>
              <w:top w:val="single" w:sz="4" w:space="0" w:color="auto"/>
            </w:tcBorders>
            <w:shd w:val="clear" w:color="auto" w:fill="FFFFFF" w:themeFill="background1"/>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2 511 708</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color w:val="000000"/>
                <w:sz w:val="14"/>
                <w:szCs w:val="14"/>
              </w:rPr>
              <w:t>0</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color w:val="000000"/>
                <w:sz w:val="14"/>
                <w:szCs w:val="14"/>
              </w:rPr>
              <w:t>1 800 000</w:t>
            </w:r>
          </w:p>
        </w:tc>
        <w:tc>
          <w:tcPr>
            <w:tcW w:w="516" w:type="pct"/>
            <w:gridSpan w:val="2"/>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color w:val="000000"/>
                <w:sz w:val="14"/>
                <w:szCs w:val="14"/>
              </w:rPr>
              <w:t>1 882 353</w:t>
            </w: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color w:val="000000"/>
                <w:sz w:val="14"/>
                <w:szCs w:val="14"/>
              </w:rPr>
              <w:t>3 764 706</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color w:val="000000"/>
                <w:sz w:val="14"/>
                <w:szCs w:val="14"/>
              </w:rPr>
              <w:t>3 764 706</w:t>
            </w:r>
          </w:p>
        </w:tc>
      </w:tr>
    </w:tbl>
    <w:p w:rsidR="003A497B" w:rsidRPr="005F1146"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sidRPr="005F1146">
        <w:rPr>
          <w:rFonts w:ascii="Times New Roman" w:hAnsi="Times New Roman" w:cs="Times New Roman"/>
        </w:rPr>
        <w:t>Kapitola Ministerstvo životného prostredia SR (ďalej len „MŽP SR“) bude mať v roku 201</w:t>
      </w:r>
      <w:r>
        <w:rPr>
          <w:rFonts w:ascii="Times New Roman" w:hAnsi="Times New Roman" w:cs="Times New Roman"/>
        </w:rPr>
        <w:t>9</w:t>
      </w:r>
      <w:r w:rsidRPr="005F1146">
        <w:rPr>
          <w:rFonts w:ascii="Times New Roman" w:hAnsi="Times New Roman" w:cs="Times New Roman"/>
        </w:rPr>
        <w:t xml:space="preserve"> k dispozí</w:t>
      </w:r>
      <w:r>
        <w:rPr>
          <w:rFonts w:ascii="Times New Roman" w:hAnsi="Times New Roman" w:cs="Times New Roman"/>
        </w:rPr>
        <w:t>cii celkové výdavky vo výške 541</w:t>
      </w:r>
      <w:r w:rsidRPr="005F1146">
        <w:rPr>
          <w:rFonts w:ascii="Times New Roman" w:hAnsi="Times New Roman" w:cs="Times New Roman"/>
        </w:rPr>
        <w:t xml:space="preserve"> mil. eur, v tom rozpočtové p</w:t>
      </w:r>
      <w:r>
        <w:rPr>
          <w:rFonts w:ascii="Times New Roman" w:hAnsi="Times New Roman" w:cs="Times New Roman"/>
        </w:rPr>
        <w:t>rostriedky predstavujú sumu 85,7</w:t>
      </w:r>
      <w:r w:rsidRPr="005F1146">
        <w:rPr>
          <w:rFonts w:ascii="Times New Roman" w:hAnsi="Times New Roman" w:cs="Times New Roman"/>
        </w:rPr>
        <w:t xml:space="preserve"> mil. eur a výdavky EÚ a spolufinancovania zo</w:t>
      </w:r>
      <w:r>
        <w:rPr>
          <w:rFonts w:ascii="Times New Roman" w:hAnsi="Times New Roman" w:cs="Times New Roman"/>
        </w:rPr>
        <w:t xml:space="preserve"> štátneho rozpočtu sú v sume 455</w:t>
      </w:r>
      <w:r w:rsidRPr="005F1146">
        <w:rPr>
          <w:rFonts w:ascii="Times New Roman" w:hAnsi="Times New Roman" w:cs="Times New Roman"/>
        </w:rPr>
        <w:t xml:space="preserve"> mil. eur. </w:t>
      </w:r>
      <w:r>
        <w:rPr>
          <w:rFonts w:ascii="Times New Roman" w:hAnsi="Times New Roman" w:cs="Times New Roman"/>
        </w:rPr>
        <w:t>Celkové výdavky kapitoly v porovnaní so schváleným rozpočtom v roku 2018 rastú o 347 mil. eur, t. j. o 180 %. Dôvodom rastu je najmä vyššia alokácia výdavkov EÚ a spolufinancovania v rámci 3. programového obdobia a tiež zohľadnenie výdavkov, určených na priority na rok 2019 v kapitole.</w:t>
      </w:r>
    </w:p>
    <w:p w:rsidR="003A497B" w:rsidRPr="005F1146" w:rsidRDefault="003A497B" w:rsidP="003A497B">
      <w:pPr>
        <w:ind w:firstLine="708"/>
        <w:jc w:val="both"/>
        <w:rPr>
          <w:rFonts w:ascii="Times New Roman" w:hAnsi="Times New Roman" w:cs="Times New Roman"/>
        </w:rPr>
      </w:pPr>
    </w:p>
    <w:p w:rsidR="003A497B" w:rsidRPr="002A4AA1" w:rsidRDefault="003A497B" w:rsidP="003A497B">
      <w:pPr>
        <w:ind w:firstLine="708"/>
        <w:jc w:val="both"/>
        <w:rPr>
          <w:rFonts w:ascii="Times New Roman" w:hAnsi="Times New Roman"/>
        </w:rPr>
      </w:pPr>
      <w:r>
        <w:rPr>
          <w:rFonts w:ascii="Times New Roman" w:hAnsi="Times New Roman"/>
        </w:rPr>
        <w:t>Celkové v</w:t>
      </w:r>
      <w:r w:rsidRPr="002A4AA1">
        <w:rPr>
          <w:rFonts w:ascii="Times New Roman" w:hAnsi="Times New Roman"/>
        </w:rPr>
        <w:t>ýdavky štátneho rozpočtu  v porovnaní so schváleným rozpočtom na rok 201</w:t>
      </w:r>
      <w:r>
        <w:rPr>
          <w:rFonts w:ascii="Times New Roman" w:hAnsi="Times New Roman"/>
        </w:rPr>
        <w:t>8 rastú</w:t>
      </w:r>
      <w:r w:rsidRPr="002A4AA1">
        <w:rPr>
          <w:rFonts w:ascii="Times New Roman" w:hAnsi="Times New Roman"/>
        </w:rPr>
        <w:t xml:space="preserve"> o</w:t>
      </w:r>
      <w:r>
        <w:rPr>
          <w:rFonts w:ascii="Times New Roman" w:hAnsi="Times New Roman"/>
        </w:rPr>
        <w:t> 3,56</w:t>
      </w:r>
      <w:r w:rsidRPr="002A4AA1">
        <w:rPr>
          <w:rFonts w:ascii="Times New Roman" w:hAnsi="Times New Roman"/>
        </w:rPr>
        <w:t xml:space="preserve"> mil. eur, </w:t>
      </w:r>
      <w:r>
        <w:rPr>
          <w:rFonts w:ascii="Times New Roman" w:hAnsi="Times New Roman"/>
        </w:rPr>
        <w:t>čo predstavuje nárast</w:t>
      </w:r>
      <w:r w:rsidRPr="002A4AA1">
        <w:rPr>
          <w:rFonts w:ascii="Times New Roman" w:hAnsi="Times New Roman"/>
        </w:rPr>
        <w:t xml:space="preserve"> o</w:t>
      </w:r>
      <w:r>
        <w:rPr>
          <w:rFonts w:ascii="Times New Roman" w:hAnsi="Times New Roman"/>
        </w:rPr>
        <w:t> 4,33</w:t>
      </w:r>
      <w:r w:rsidRPr="002A4AA1">
        <w:rPr>
          <w:rFonts w:ascii="Times New Roman" w:hAnsi="Times New Roman"/>
        </w:rPr>
        <w:t xml:space="preserve"> %</w:t>
      </w:r>
      <w:r>
        <w:rPr>
          <w:rFonts w:ascii="Times New Roman" w:hAnsi="Times New Roman"/>
        </w:rPr>
        <w:t xml:space="preserve">. Dôvodom rastu je rozpočtovanie výdavkov v roku 2019 </w:t>
      </w:r>
      <w:r w:rsidRPr="002A4AA1">
        <w:rPr>
          <w:rFonts w:ascii="Times New Roman" w:hAnsi="Times New Roman"/>
        </w:rPr>
        <w:t>potrebných na dopracovanie stratégie na ochranu ovzdušia, plnenie geologických úloh ako sanácie a havarijné zosuvy</w:t>
      </w:r>
      <w:r>
        <w:rPr>
          <w:rFonts w:ascii="Times New Roman" w:hAnsi="Times New Roman"/>
        </w:rPr>
        <w:t xml:space="preserve">, </w:t>
      </w:r>
      <w:r w:rsidRPr="002A4AA1">
        <w:rPr>
          <w:rFonts w:ascii="Times New Roman" w:hAnsi="Times New Roman"/>
        </w:rPr>
        <w:t xml:space="preserve">vypracovanie zonácie národných parkov a výkup </w:t>
      </w:r>
      <w:r w:rsidRPr="002A4AA1">
        <w:rPr>
          <w:rFonts w:ascii="Times New Roman" w:hAnsi="Times New Roman"/>
        </w:rPr>
        <w:lastRenderedPageBreak/>
        <w:t>pozemkov v chránených územiach, plnenie záväzkov vyplývajúcich z Parížskej dohody a tiež dofinancovanie potrieb podriadených organizácií kapitoly.</w:t>
      </w:r>
    </w:p>
    <w:p w:rsidR="003A497B" w:rsidRPr="000138AC" w:rsidRDefault="003A497B" w:rsidP="003A497B">
      <w:pPr>
        <w:jc w:val="both"/>
        <w:rPr>
          <w:rFonts w:ascii="Times New Roman" w:hAnsi="Times New Roman"/>
        </w:rPr>
      </w:pPr>
    </w:p>
    <w:p w:rsidR="003A497B" w:rsidRPr="00CD2C55" w:rsidRDefault="003A497B" w:rsidP="003A497B">
      <w:pPr>
        <w:ind w:firstLine="708"/>
        <w:jc w:val="both"/>
        <w:rPr>
          <w:rFonts w:ascii="Times New Roman" w:hAnsi="Times New Roman" w:cs="Times New Roman"/>
        </w:rPr>
      </w:pPr>
      <w:r w:rsidRPr="00CD2C55">
        <w:rPr>
          <w:rFonts w:ascii="Times New Roman" w:hAnsi="Times New Roman" w:cs="Times New Roman"/>
        </w:rPr>
        <w:t>Na rok 201</w:t>
      </w:r>
      <w:r>
        <w:rPr>
          <w:rFonts w:ascii="Times New Roman" w:hAnsi="Times New Roman" w:cs="Times New Roman"/>
        </w:rPr>
        <w:t>9</w:t>
      </w:r>
      <w:r w:rsidRPr="00CD2C55">
        <w:rPr>
          <w:rFonts w:ascii="Times New Roman" w:hAnsi="Times New Roman" w:cs="Times New Roman"/>
        </w:rPr>
        <w:t xml:space="preserve"> sa navrhuje rozpočet osobných výdavkov na </w:t>
      </w:r>
      <w:r>
        <w:rPr>
          <w:rFonts w:ascii="Times New Roman" w:hAnsi="Times New Roman" w:cs="Times New Roman"/>
        </w:rPr>
        <w:t>úrovni 12,2</w:t>
      </w:r>
      <w:r w:rsidRPr="00CD2C55">
        <w:rPr>
          <w:rFonts w:ascii="Times New Roman" w:hAnsi="Times New Roman" w:cs="Times New Roman"/>
        </w:rPr>
        <w:t xml:space="preserve"> mil. eur, ktoré v porovnaní so schváleným rozpočtom na rok 201</w:t>
      </w:r>
      <w:r>
        <w:rPr>
          <w:rFonts w:ascii="Times New Roman" w:hAnsi="Times New Roman" w:cs="Times New Roman"/>
        </w:rPr>
        <w:t>8 rastú o 552 tis. eur, t. j. o 4,74</w:t>
      </w:r>
      <w:r w:rsidRPr="00CD2C55">
        <w:rPr>
          <w:rFonts w:ascii="Times New Roman" w:hAnsi="Times New Roman" w:cs="Times New Roman"/>
        </w:rPr>
        <w:t xml:space="preserve"> %, pričom uvedený nárast je spôsob</w:t>
      </w:r>
      <w:r>
        <w:rPr>
          <w:rFonts w:ascii="Times New Roman" w:hAnsi="Times New Roman" w:cs="Times New Roman"/>
        </w:rPr>
        <w:t>ený zohľadnením valorizácie</w:t>
      </w:r>
      <w:r w:rsidRPr="009F1742">
        <w:rPr>
          <w:rFonts w:ascii="Times New Roman" w:hAnsi="Times New Roman" w:cs="Times New Roman"/>
        </w:rPr>
        <w:t xml:space="preserve"> platov z roku 201</w:t>
      </w:r>
      <w:r>
        <w:rPr>
          <w:rFonts w:ascii="Times New Roman" w:hAnsi="Times New Roman" w:cs="Times New Roman"/>
        </w:rPr>
        <w:t>8</w:t>
      </w:r>
      <w:r w:rsidRPr="009F1742">
        <w:rPr>
          <w:rFonts w:ascii="Times New Roman" w:hAnsi="Times New Roman" w:cs="Times New Roman"/>
        </w:rPr>
        <w:t xml:space="preserve"> do nasledujúcich rokov</w:t>
      </w:r>
      <w:r>
        <w:rPr>
          <w:rFonts w:ascii="Times New Roman" w:hAnsi="Times New Roman" w:cs="Times New Roman"/>
        </w:rPr>
        <w:t>.</w:t>
      </w:r>
    </w:p>
    <w:p w:rsidR="003A497B"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sidRPr="005F1146">
        <w:rPr>
          <w:rFonts w:ascii="Times New Roman" w:hAnsi="Times New Roman" w:cs="Times New Roman"/>
        </w:rPr>
        <w:t xml:space="preserve">Výdavky štátneho rozpočtu v oblasti tovarov a služieb </w:t>
      </w:r>
      <w:r>
        <w:rPr>
          <w:rFonts w:ascii="Times New Roman" w:hAnsi="Times New Roman" w:cs="Times New Roman"/>
        </w:rPr>
        <w:t>v objeme 19,9 mil. eur takmer zachovávajú úroveň schváleného rozpočtu</w:t>
      </w:r>
      <w:r w:rsidRPr="005F1146">
        <w:rPr>
          <w:rFonts w:ascii="Times New Roman" w:hAnsi="Times New Roman" w:cs="Times New Roman"/>
        </w:rPr>
        <w:t xml:space="preserve"> na rok 20</w:t>
      </w:r>
      <w:r>
        <w:rPr>
          <w:rFonts w:ascii="Times New Roman" w:hAnsi="Times New Roman" w:cs="Times New Roman"/>
        </w:rPr>
        <w:t>18.</w:t>
      </w:r>
    </w:p>
    <w:p w:rsidR="003A497B"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sidRPr="005F1146">
        <w:rPr>
          <w:rFonts w:ascii="Times New Roman" w:hAnsi="Times New Roman" w:cs="Times New Roman"/>
        </w:rPr>
        <w:t>Bežné transfery v limitoch kapitoly na rok 201</w:t>
      </w:r>
      <w:r>
        <w:rPr>
          <w:rFonts w:ascii="Times New Roman" w:hAnsi="Times New Roman" w:cs="Times New Roman"/>
        </w:rPr>
        <w:t xml:space="preserve">9 rastú v porovnaní s úrovňou </w:t>
      </w:r>
      <w:r w:rsidRPr="005F1146">
        <w:rPr>
          <w:rFonts w:ascii="Times New Roman" w:hAnsi="Times New Roman" w:cs="Times New Roman"/>
        </w:rPr>
        <w:t>schvá</w:t>
      </w:r>
      <w:r>
        <w:rPr>
          <w:rFonts w:ascii="Times New Roman" w:hAnsi="Times New Roman" w:cs="Times New Roman"/>
        </w:rPr>
        <w:t>leného rozpočtu</w:t>
      </w:r>
      <w:r w:rsidRPr="005F1146">
        <w:rPr>
          <w:rFonts w:ascii="Times New Roman" w:hAnsi="Times New Roman" w:cs="Times New Roman"/>
        </w:rPr>
        <w:t xml:space="preserve"> roku 201</w:t>
      </w:r>
      <w:r>
        <w:rPr>
          <w:rFonts w:ascii="Times New Roman" w:hAnsi="Times New Roman" w:cs="Times New Roman"/>
        </w:rPr>
        <w:t>8 o 1,43 mil. eur, t. j. o 2,97 %. Uvedený nárast je spôsobený zohľadnením potrieb príspevkových organizácií v oblasti  osobných výdavkov, súvisiacich s agendou a úlohami jednotlivých príspevkových organizácií.</w:t>
      </w:r>
    </w:p>
    <w:p w:rsidR="003A497B" w:rsidRPr="00094703" w:rsidRDefault="003A497B" w:rsidP="003A497B">
      <w:pPr>
        <w:ind w:firstLine="708"/>
        <w:jc w:val="both"/>
        <w:rPr>
          <w:rFonts w:ascii="Times New Roman" w:hAnsi="Times New Roman" w:cs="Times New Roman"/>
        </w:rPr>
      </w:pPr>
    </w:p>
    <w:p w:rsidR="003A497B" w:rsidRDefault="003A497B" w:rsidP="003A497B">
      <w:pPr>
        <w:spacing w:before="120"/>
        <w:ind w:firstLine="708"/>
        <w:jc w:val="both"/>
        <w:rPr>
          <w:rFonts w:ascii="Times New Roman" w:hAnsi="Times New Roman" w:cs="Times New Roman"/>
          <w:lang w:eastAsia="sk-SK"/>
        </w:rPr>
      </w:pPr>
      <w:r>
        <w:rPr>
          <w:rFonts w:ascii="Times New Roman" w:hAnsi="Times New Roman" w:cs="Times New Roman"/>
        </w:rPr>
        <w:t>Nárast</w:t>
      </w:r>
      <w:r w:rsidRPr="00D95C08">
        <w:rPr>
          <w:rFonts w:ascii="Times New Roman" w:hAnsi="Times New Roman" w:cs="Times New Roman"/>
        </w:rPr>
        <w:t xml:space="preserve"> kapitálových výdavkov v porovnaní so schváleným rozpočtom na rok 201</w:t>
      </w:r>
      <w:r>
        <w:rPr>
          <w:rFonts w:ascii="Times New Roman" w:hAnsi="Times New Roman" w:cs="Times New Roman"/>
        </w:rPr>
        <w:t xml:space="preserve">8 predstavuje 1,97 mil. </w:t>
      </w:r>
      <w:r w:rsidRPr="00D95C08">
        <w:rPr>
          <w:rFonts w:ascii="Times New Roman" w:hAnsi="Times New Roman" w:cs="Times New Roman"/>
        </w:rPr>
        <w:t xml:space="preserve">eur, t. j.  </w:t>
      </w:r>
      <w:r>
        <w:rPr>
          <w:rFonts w:ascii="Times New Roman" w:hAnsi="Times New Roman" w:cs="Times New Roman"/>
        </w:rPr>
        <w:t>108</w:t>
      </w:r>
      <w:r w:rsidRPr="00D95C08">
        <w:rPr>
          <w:rFonts w:ascii="Times New Roman" w:hAnsi="Times New Roman" w:cs="Times New Roman"/>
        </w:rPr>
        <w:t xml:space="preserve"> %, pričom </w:t>
      </w:r>
      <w:r>
        <w:rPr>
          <w:rFonts w:ascii="Times New Roman" w:hAnsi="Times New Roman" w:cs="Times New Roman"/>
        </w:rPr>
        <w:t xml:space="preserve">rast výdavkov súvisí so zohľadnením výdavkov v roku 2019, určených na výkup pozemkov v chránených oblastiach na základe predkupného práva a tiež pokrytie potrieb na rekonštrukcie a obnovu majetku štátu jednotlivých </w:t>
      </w:r>
      <w:r w:rsidRPr="000746C7">
        <w:rPr>
          <w:rFonts w:ascii="Times New Roman" w:hAnsi="Times New Roman" w:cs="Times New Roman"/>
        </w:rPr>
        <w:t>príspevkových organizácií.</w:t>
      </w:r>
    </w:p>
    <w:p w:rsidR="003A497B" w:rsidRDefault="003A497B" w:rsidP="003A497B">
      <w:pPr>
        <w:ind w:firstLine="708"/>
        <w:jc w:val="both"/>
        <w:rPr>
          <w:rFonts w:ascii="Times New Roman" w:hAnsi="Times New Roman" w:cs="Times New Roman"/>
          <w:lang w:eastAsia="sk-SK"/>
        </w:rPr>
      </w:pPr>
    </w:p>
    <w:p w:rsidR="003A497B" w:rsidRDefault="003A497B" w:rsidP="003A497B">
      <w:pPr>
        <w:ind w:firstLine="708"/>
        <w:jc w:val="both"/>
        <w:rPr>
          <w:rFonts w:ascii="Times New Roman" w:hAnsi="Times New Roman" w:cs="Times New Roman"/>
        </w:rPr>
      </w:pPr>
      <w:r w:rsidRPr="007C6746">
        <w:rPr>
          <w:rFonts w:ascii="Times New Roman" w:hAnsi="Times New Roman" w:cs="Times New Roman"/>
        </w:rPr>
        <w:t>Kapitola v nadväznosti na</w:t>
      </w:r>
      <w:r>
        <w:rPr>
          <w:rFonts w:ascii="Times New Roman" w:hAnsi="Times New Roman" w:cs="Times New Roman"/>
        </w:rPr>
        <w:t xml:space="preserve"> § </w:t>
      </w:r>
      <w:r w:rsidRPr="00EF13C1">
        <w:rPr>
          <w:rFonts w:ascii="Times New Roman" w:hAnsi="Times New Roman" w:cs="Times New Roman"/>
        </w:rPr>
        <w:t>17 ods. 4 zákona č. 523/2004 Z. z. o rozpočtových pravidlách verejnej správy a o zmene a doplnení niektorých zákonov v znení neskorších predpisov</w:t>
      </w:r>
      <w:r w:rsidRPr="007C6746">
        <w:rPr>
          <w:rFonts w:ascii="Times New Roman" w:hAnsi="Times New Roman" w:cs="Times New Roman"/>
        </w:rPr>
        <w:t xml:space="preserve"> rozpočtuje tiež výdavky zodpovedajúce príjmom z poistného plnenia zo zmluvného poistenia alebo zo zákonného poistenia v </w:t>
      </w:r>
      <w:r>
        <w:rPr>
          <w:rFonts w:ascii="Times New Roman" w:hAnsi="Times New Roman" w:cs="Times New Roman"/>
        </w:rPr>
        <w:t>sume 7</w:t>
      </w:r>
      <w:r w:rsidRPr="007C6746">
        <w:rPr>
          <w:rFonts w:ascii="Times New Roman" w:hAnsi="Times New Roman" w:cs="Times New Roman"/>
        </w:rPr>
        <w:t xml:space="preserve"> tis. eur. Tieto sú určené na financovanie servisu, údržby a</w:t>
      </w:r>
      <w:r>
        <w:rPr>
          <w:rFonts w:ascii="Times New Roman" w:hAnsi="Times New Roman" w:cs="Times New Roman"/>
        </w:rPr>
        <w:t xml:space="preserve"> opráv motorových vozidiel</w:t>
      </w:r>
      <w:r w:rsidRPr="007C6746">
        <w:rPr>
          <w:rFonts w:ascii="Times New Roman" w:hAnsi="Times New Roman" w:cs="Times New Roman"/>
        </w:rPr>
        <w:t>.</w:t>
      </w:r>
    </w:p>
    <w:p w:rsidR="003A497B" w:rsidRDefault="003A497B" w:rsidP="003A497B">
      <w:pPr>
        <w:ind w:firstLine="708"/>
        <w:jc w:val="both"/>
        <w:rPr>
          <w:rFonts w:ascii="Times New Roman" w:hAnsi="Times New Roman" w:cs="Times New Roman"/>
        </w:rPr>
      </w:pPr>
    </w:p>
    <w:p w:rsidR="003A497B" w:rsidRPr="00B835DE" w:rsidRDefault="003A497B" w:rsidP="003A497B">
      <w:pPr>
        <w:ind w:firstLine="708"/>
        <w:jc w:val="both"/>
        <w:rPr>
          <w:rFonts w:ascii="Times New Roman" w:hAnsi="Times New Roman" w:cs="Times New Roman"/>
          <w:bCs/>
        </w:rPr>
      </w:pPr>
      <w:r>
        <w:rPr>
          <w:rFonts w:ascii="Times New Roman" w:hAnsi="Times New Roman" w:cs="Times New Roman"/>
        </w:rPr>
        <w:t>MŽP</w:t>
      </w:r>
      <w:r w:rsidRPr="00B835DE">
        <w:rPr>
          <w:rFonts w:ascii="Times New Roman" w:hAnsi="Times New Roman" w:cs="Times New Roman"/>
        </w:rPr>
        <w:t xml:space="preserve"> SR na rok 2019 rozpočtuje výdavky na samostatných účtoch v celkovej sume</w:t>
      </w:r>
      <w:r w:rsidRPr="00B835DE">
        <w:rPr>
          <w:rFonts w:ascii="Times New Roman" w:hAnsi="Times New Roman" w:cs="Times New Roman"/>
        </w:rPr>
        <w:br/>
      </w:r>
      <w:r>
        <w:rPr>
          <w:rFonts w:ascii="Times New Roman" w:hAnsi="Times New Roman" w:cs="Times New Roman"/>
          <w:bCs/>
        </w:rPr>
        <w:t>1,88</w:t>
      </w:r>
      <w:r w:rsidRPr="00B835DE">
        <w:rPr>
          <w:rFonts w:ascii="Times New Roman" w:hAnsi="Times New Roman" w:cs="Times New Roman"/>
          <w:bCs/>
        </w:rPr>
        <w:t xml:space="preserve"> mil. eur. Uvedené prostriedky sú určené na </w:t>
      </w:r>
      <w:r>
        <w:rPr>
          <w:rFonts w:ascii="Times New Roman" w:hAnsi="Times New Roman" w:cs="Times New Roman"/>
          <w:bCs/>
        </w:rPr>
        <w:t xml:space="preserve">financovanie environmentálnych projektov prostredníctvom </w:t>
      </w:r>
      <w:r w:rsidRPr="00B835DE">
        <w:rPr>
          <w:rFonts w:ascii="Times New Roman" w:hAnsi="Times New Roman" w:cs="Times New Roman"/>
          <w:bCs/>
        </w:rPr>
        <w:t>Nórskeho finančného mechanizmu a Finančného mechanizmu EHP.</w:t>
      </w:r>
    </w:p>
    <w:p w:rsidR="003A497B" w:rsidRPr="005F1146" w:rsidRDefault="003A497B" w:rsidP="003A497B">
      <w:pPr>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sidRPr="005F1146">
        <w:rPr>
          <w:rFonts w:ascii="Times New Roman" w:hAnsi="Times New Roman" w:cs="Times New Roman"/>
        </w:rPr>
        <w:t>Výdavky kapitoly Ministerstva životného prostredia SR sú smerované do nasledujúcich oblastí.</w:t>
      </w:r>
    </w:p>
    <w:p w:rsidR="003A497B" w:rsidRDefault="003A497B" w:rsidP="003A497B">
      <w:pPr>
        <w:ind w:firstLine="708"/>
        <w:jc w:val="both"/>
        <w:rPr>
          <w:rFonts w:ascii="Times New Roman" w:hAnsi="Times New Roman" w:cs="Times New Roman"/>
        </w:rPr>
      </w:pPr>
    </w:p>
    <w:tbl>
      <w:tblPr>
        <w:tblpPr w:leftFromText="141" w:rightFromText="141" w:vertAnchor="text" w:horzAnchor="margin" w:tblpY="1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74"/>
        <w:gridCol w:w="951"/>
        <w:gridCol w:w="950"/>
        <w:gridCol w:w="1049"/>
        <w:gridCol w:w="988"/>
        <w:gridCol w:w="950"/>
        <w:gridCol w:w="950"/>
        <w:gridCol w:w="950"/>
      </w:tblGrid>
      <w:tr w:rsidR="003A497B" w:rsidRPr="000746C7" w:rsidTr="003E1809">
        <w:trPr>
          <w:trHeight w:val="266"/>
        </w:trPr>
        <w:tc>
          <w:tcPr>
            <w:tcW w:w="1255" w:type="pct"/>
            <w:shd w:val="clear" w:color="auto" w:fill="A6A6A6"/>
            <w:noWrap/>
            <w:vAlign w:val="center"/>
            <w:hideMark/>
          </w:tcPr>
          <w:p w:rsidR="003A497B" w:rsidRPr="000746C7" w:rsidRDefault="003A497B" w:rsidP="003E1809">
            <w:pPr>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v eurách</w:t>
            </w:r>
          </w:p>
        </w:tc>
        <w:tc>
          <w:tcPr>
            <w:tcW w:w="525"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2016 S</w:t>
            </w:r>
          </w:p>
        </w:tc>
        <w:tc>
          <w:tcPr>
            <w:tcW w:w="524"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2017 S</w:t>
            </w:r>
          </w:p>
        </w:tc>
        <w:tc>
          <w:tcPr>
            <w:tcW w:w="579"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2018 R</w:t>
            </w:r>
          </w:p>
        </w:tc>
        <w:tc>
          <w:tcPr>
            <w:tcW w:w="545"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2018 OS</w:t>
            </w:r>
          </w:p>
        </w:tc>
        <w:tc>
          <w:tcPr>
            <w:tcW w:w="524"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2019 N</w:t>
            </w:r>
          </w:p>
        </w:tc>
        <w:tc>
          <w:tcPr>
            <w:tcW w:w="524"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2020 N</w:t>
            </w:r>
          </w:p>
        </w:tc>
        <w:tc>
          <w:tcPr>
            <w:tcW w:w="524"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2021 N</w:t>
            </w:r>
          </w:p>
        </w:tc>
      </w:tr>
      <w:tr w:rsidR="003A497B" w:rsidRPr="000746C7" w:rsidTr="003E1809">
        <w:trPr>
          <w:trHeight w:val="201"/>
        </w:trPr>
        <w:tc>
          <w:tcPr>
            <w:tcW w:w="1255" w:type="pct"/>
            <w:shd w:val="clear" w:color="auto" w:fill="BFBFBF"/>
            <w:noWrap/>
            <w:vAlign w:val="bottom"/>
            <w:hideMark/>
          </w:tcPr>
          <w:p w:rsidR="003A497B" w:rsidRPr="000746C7" w:rsidRDefault="003A497B" w:rsidP="003E1809">
            <w:pP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Zdroje príslušnej kapitoly</w:t>
            </w:r>
          </w:p>
        </w:tc>
        <w:tc>
          <w:tcPr>
            <w:tcW w:w="525" w:type="pct"/>
            <w:shd w:val="clear" w:color="000000" w:fill="BFBFBF"/>
            <w:vAlign w:val="bottom"/>
            <w:hideMark/>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292 939 312</w:t>
            </w:r>
          </w:p>
        </w:tc>
        <w:tc>
          <w:tcPr>
            <w:tcW w:w="524" w:type="pct"/>
            <w:shd w:val="clear" w:color="000000" w:fill="BFBFBF"/>
            <w:vAlign w:val="bottom"/>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256 231 312</w:t>
            </w:r>
          </w:p>
        </w:tc>
        <w:tc>
          <w:tcPr>
            <w:tcW w:w="579" w:type="pct"/>
            <w:shd w:val="clear" w:color="000000" w:fill="BFBFBF"/>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193 152 226</w:t>
            </w:r>
          </w:p>
        </w:tc>
        <w:tc>
          <w:tcPr>
            <w:tcW w:w="545" w:type="pct"/>
            <w:shd w:val="clear" w:color="000000" w:fill="BFBFBF"/>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250 742 610</w:t>
            </w:r>
          </w:p>
        </w:tc>
        <w:tc>
          <w:tcPr>
            <w:tcW w:w="524" w:type="pct"/>
            <w:shd w:val="clear" w:color="000000" w:fill="BFBFBF"/>
            <w:vAlign w:val="bottom"/>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540 610 207</w:t>
            </w:r>
          </w:p>
        </w:tc>
        <w:tc>
          <w:tcPr>
            <w:tcW w:w="524" w:type="pct"/>
            <w:shd w:val="clear" w:color="000000" w:fill="BFBFBF"/>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576 734 091</w:t>
            </w:r>
          </w:p>
        </w:tc>
        <w:tc>
          <w:tcPr>
            <w:tcW w:w="524" w:type="pct"/>
            <w:shd w:val="clear" w:color="000000" w:fill="BFBFBF"/>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588 594 624</w:t>
            </w:r>
          </w:p>
        </w:tc>
      </w:tr>
      <w:tr w:rsidR="003A497B" w:rsidRPr="000746C7" w:rsidTr="003E1809">
        <w:trPr>
          <w:trHeight w:val="266"/>
        </w:trPr>
        <w:tc>
          <w:tcPr>
            <w:tcW w:w="1255" w:type="pct"/>
            <w:noWrap/>
            <w:vAlign w:val="bottom"/>
            <w:hideMark/>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Vodné hospodárstvo</w:t>
            </w:r>
          </w:p>
        </w:tc>
        <w:tc>
          <w:tcPr>
            <w:tcW w:w="525" w:type="pct"/>
            <w:shd w:val="clear" w:color="auto" w:fill="auto"/>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186 512 572</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137 313 982</w:t>
            </w:r>
          </w:p>
        </w:tc>
        <w:tc>
          <w:tcPr>
            <w:tcW w:w="579"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90 261 533</w:t>
            </w:r>
          </w:p>
        </w:tc>
        <w:tc>
          <w:tcPr>
            <w:tcW w:w="545"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92 875 994</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305 377 153</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353 751 291</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367 508 659</w:t>
            </w:r>
          </w:p>
        </w:tc>
      </w:tr>
      <w:tr w:rsidR="003A497B" w:rsidRPr="000746C7" w:rsidTr="003E1809">
        <w:trPr>
          <w:trHeight w:val="266"/>
        </w:trPr>
        <w:tc>
          <w:tcPr>
            <w:tcW w:w="1255" w:type="pct"/>
            <w:noWrap/>
            <w:vAlign w:val="bottom"/>
            <w:hideMark/>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Ochrana ovzdušia</w:t>
            </w:r>
          </w:p>
        </w:tc>
        <w:tc>
          <w:tcPr>
            <w:tcW w:w="525" w:type="pct"/>
            <w:shd w:val="clear" w:color="auto" w:fill="auto"/>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12 927 113</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3 918 719</w:t>
            </w:r>
          </w:p>
        </w:tc>
        <w:tc>
          <w:tcPr>
            <w:tcW w:w="579"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8 834 664</w:t>
            </w:r>
          </w:p>
        </w:tc>
        <w:tc>
          <w:tcPr>
            <w:tcW w:w="545"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7 352 524</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8 695 664</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8 695 664</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8 695 664</w:t>
            </w:r>
          </w:p>
        </w:tc>
      </w:tr>
      <w:tr w:rsidR="003A497B" w:rsidRPr="000746C7" w:rsidTr="003E1809">
        <w:trPr>
          <w:trHeight w:val="266"/>
        </w:trPr>
        <w:tc>
          <w:tcPr>
            <w:tcW w:w="1255" w:type="pct"/>
            <w:noWrap/>
            <w:vAlign w:val="bottom"/>
            <w:hideMark/>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Odpadové hospodárstvo</w:t>
            </w:r>
          </w:p>
        </w:tc>
        <w:tc>
          <w:tcPr>
            <w:tcW w:w="525" w:type="pct"/>
            <w:shd w:val="clear" w:color="auto" w:fill="auto"/>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10 580 670</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5 813 710</w:t>
            </w:r>
          </w:p>
        </w:tc>
        <w:tc>
          <w:tcPr>
            <w:tcW w:w="579"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45"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29 973 859</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r>
      <w:tr w:rsidR="003A497B" w:rsidRPr="000746C7" w:rsidTr="003E1809">
        <w:trPr>
          <w:trHeight w:val="266"/>
        </w:trPr>
        <w:tc>
          <w:tcPr>
            <w:tcW w:w="1255" w:type="pct"/>
            <w:noWrap/>
            <w:vAlign w:val="bottom"/>
            <w:hideMark/>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Ochrana prírody a krajiny</w:t>
            </w:r>
          </w:p>
        </w:tc>
        <w:tc>
          <w:tcPr>
            <w:tcW w:w="525" w:type="pct"/>
            <w:shd w:val="clear" w:color="auto" w:fill="auto"/>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15 940 986</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15 754 380</w:t>
            </w:r>
          </w:p>
        </w:tc>
        <w:tc>
          <w:tcPr>
            <w:tcW w:w="579"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18 321 770</w:t>
            </w:r>
          </w:p>
        </w:tc>
        <w:tc>
          <w:tcPr>
            <w:tcW w:w="545"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26 141 601</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17 913 231</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14 106 603</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13 597 161</w:t>
            </w:r>
          </w:p>
        </w:tc>
      </w:tr>
      <w:tr w:rsidR="003A497B" w:rsidRPr="000746C7" w:rsidTr="003E1809">
        <w:trPr>
          <w:trHeight w:val="266"/>
        </w:trPr>
        <w:tc>
          <w:tcPr>
            <w:tcW w:w="1255" w:type="pct"/>
            <w:noWrap/>
            <w:vAlign w:val="bottom"/>
            <w:hideMark/>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Riadenie rizík a mimoriadnych udalostí</w:t>
            </w:r>
          </w:p>
        </w:tc>
        <w:tc>
          <w:tcPr>
            <w:tcW w:w="525" w:type="pct"/>
            <w:shd w:val="clear" w:color="auto" w:fill="auto"/>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79"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10 343 975</w:t>
            </w:r>
          </w:p>
        </w:tc>
        <w:tc>
          <w:tcPr>
            <w:tcW w:w="545"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5 835 457</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16 834 098</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38 132 457</w:t>
            </w:r>
          </w:p>
        </w:tc>
      </w:tr>
      <w:tr w:rsidR="003A497B" w:rsidRPr="000746C7" w:rsidTr="003E1809">
        <w:trPr>
          <w:trHeight w:val="266"/>
        </w:trPr>
        <w:tc>
          <w:tcPr>
            <w:tcW w:w="1255" w:type="pct"/>
            <w:noWrap/>
            <w:vAlign w:val="bottom"/>
            <w:hideMark/>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Nízkouhlíkové hospodárstvo</w:t>
            </w:r>
          </w:p>
        </w:tc>
        <w:tc>
          <w:tcPr>
            <w:tcW w:w="525" w:type="pct"/>
            <w:shd w:val="clear" w:color="auto" w:fill="auto"/>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21 279 007</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46 003 341</w:t>
            </w:r>
          </w:p>
        </w:tc>
        <w:tc>
          <w:tcPr>
            <w:tcW w:w="579"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25 771 774</w:t>
            </w:r>
          </w:p>
        </w:tc>
        <w:tc>
          <w:tcPr>
            <w:tcW w:w="545"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35 291 726</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165 511 617</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135 487 836</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115 839 188</w:t>
            </w:r>
          </w:p>
        </w:tc>
      </w:tr>
      <w:tr w:rsidR="003A497B" w:rsidRPr="000746C7" w:rsidTr="003E1809">
        <w:trPr>
          <w:trHeight w:val="266"/>
        </w:trPr>
        <w:tc>
          <w:tcPr>
            <w:tcW w:w="1255" w:type="pct"/>
            <w:noWrap/>
            <w:vAlign w:val="bottom"/>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Podpora IT systémov</w:t>
            </w:r>
          </w:p>
        </w:tc>
        <w:tc>
          <w:tcPr>
            <w:tcW w:w="525"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2 572 173</w:t>
            </w:r>
          </w:p>
        </w:tc>
        <w:tc>
          <w:tcPr>
            <w:tcW w:w="579"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2 037 409</w:t>
            </w:r>
          </w:p>
        </w:tc>
        <w:tc>
          <w:tcPr>
            <w:tcW w:w="545"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1 407 794</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2 942 409</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2 553 776</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2 553 776</w:t>
            </w:r>
          </w:p>
        </w:tc>
      </w:tr>
      <w:tr w:rsidR="003A497B" w:rsidRPr="000746C7" w:rsidTr="003E1809">
        <w:trPr>
          <w:trHeight w:val="266"/>
        </w:trPr>
        <w:tc>
          <w:tcPr>
            <w:tcW w:w="1255" w:type="pct"/>
            <w:noWrap/>
            <w:vAlign w:val="bottom"/>
            <w:hideMark/>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Administratíva</w:t>
            </w:r>
          </w:p>
        </w:tc>
        <w:tc>
          <w:tcPr>
            <w:tcW w:w="525" w:type="pct"/>
            <w:shd w:val="clear" w:color="auto" w:fill="auto"/>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45 698 964</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44 855 007</w:t>
            </w:r>
          </w:p>
        </w:tc>
        <w:tc>
          <w:tcPr>
            <w:tcW w:w="579"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37 581 101</w:t>
            </w:r>
          </w:p>
        </w:tc>
        <w:tc>
          <w:tcPr>
            <w:tcW w:w="545"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51 863 654</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40 170 133</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45 304 823</w:t>
            </w:r>
          </w:p>
        </w:tc>
        <w:tc>
          <w:tcPr>
            <w:tcW w:w="524" w:type="pct"/>
            <w:shd w:val="clear" w:color="auto" w:fill="auto"/>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42 267 719</w:t>
            </w:r>
          </w:p>
        </w:tc>
      </w:tr>
    </w:tbl>
    <w:p w:rsidR="003A497B" w:rsidRDefault="003A497B" w:rsidP="003A497B">
      <w:pPr>
        <w:tabs>
          <w:tab w:val="left" w:pos="426"/>
        </w:tabs>
        <w:jc w:val="both"/>
        <w:rPr>
          <w:rFonts w:ascii="Times New Roman" w:hAnsi="Times New Roman" w:cs="Times New Roman"/>
          <w:b/>
        </w:rPr>
      </w:pPr>
    </w:p>
    <w:p w:rsidR="003A497B" w:rsidRDefault="003A497B" w:rsidP="003A497B">
      <w:pPr>
        <w:tabs>
          <w:tab w:val="left" w:pos="426"/>
        </w:tabs>
        <w:jc w:val="both"/>
        <w:rPr>
          <w:rFonts w:ascii="Times New Roman" w:hAnsi="Times New Roman" w:cs="Times New Roman"/>
          <w:b/>
        </w:rPr>
      </w:pPr>
    </w:p>
    <w:p w:rsidR="003A497B" w:rsidRDefault="003A497B" w:rsidP="003A497B">
      <w:pPr>
        <w:tabs>
          <w:tab w:val="left" w:pos="426"/>
        </w:tabs>
        <w:jc w:val="both"/>
        <w:rPr>
          <w:rFonts w:ascii="Times New Roman" w:hAnsi="Times New Roman" w:cs="Times New Roman"/>
          <w:b/>
        </w:rPr>
      </w:pPr>
    </w:p>
    <w:p w:rsidR="003E1809" w:rsidRDefault="003E1809" w:rsidP="003A497B">
      <w:pPr>
        <w:tabs>
          <w:tab w:val="left" w:pos="426"/>
        </w:tabs>
        <w:jc w:val="both"/>
        <w:rPr>
          <w:rFonts w:ascii="Times New Roman" w:hAnsi="Times New Roman" w:cs="Times New Roman"/>
          <w:b/>
        </w:rPr>
      </w:pPr>
    </w:p>
    <w:p w:rsidR="003A497B" w:rsidRDefault="003A497B" w:rsidP="003A497B">
      <w:pPr>
        <w:tabs>
          <w:tab w:val="left" w:pos="426"/>
        </w:tabs>
        <w:jc w:val="both"/>
        <w:rPr>
          <w:rFonts w:ascii="Times New Roman" w:hAnsi="Times New Roman" w:cs="Times New Roman"/>
          <w:b/>
        </w:rPr>
      </w:pPr>
    </w:p>
    <w:p w:rsidR="003A497B" w:rsidRPr="005F1146" w:rsidRDefault="003A497B" w:rsidP="003A497B">
      <w:pPr>
        <w:tabs>
          <w:tab w:val="left" w:pos="426"/>
        </w:tabs>
        <w:jc w:val="both"/>
        <w:rPr>
          <w:rFonts w:ascii="Times New Roman" w:hAnsi="Times New Roman" w:cs="Times New Roman"/>
          <w:b/>
        </w:rPr>
      </w:pPr>
      <w:r w:rsidRPr="005F1146">
        <w:rPr>
          <w:rFonts w:ascii="Times New Roman" w:hAnsi="Times New Roman" w:cs="Times New Roman"/>
          <w:b/>
        </w:rPr>
        <w:lastRenderedPageBreak/>
        <w:t>Vodné hospodárstvo</w:t>
      </w:r>
    </w:p>
    <w:p w:rsidR="003A497B" w:rsidRPr="005F1146" w:rsidRDefault="003A497B" w:rsidP="003A497B">
      <w:pPr>
        <w:tabs>
          <w:tab w:val="left" w:pos="426"/>
        </w:tabs>
        <w:jc w:val="both"/>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1"/>
        <w:gridCol w:w="858"/>
        <w:gridCol w:w="915"/>
        <w:gridCol w:w="915"/>
        <w:gridCol w:w="915"/>
        <w:gridCol w:w="915"/>
        <w:gridCol w:w="915"/>
        <w:gridCol w:w="908"/>
      </w:tblGrid>
      <w:tr w:rsidR="003A497B" w:rsidRPr="000746C7" w:rsidTr="003E1809">
        <w:trPr>
          <w:trHeight w:val="255"/>
        </w:trPr>
        <w:tc>
          <w:tcPr>
            <w:tcW w:w="1501" w:type="pct"/>
            <w:shd w:val="clear" w:color="auto" w:fill="A6A6A6"/>
            <w:noWrap/>
            <w:vAlign w:val="center"/>
            <w:hideMark/>
          </w:tcPr>
          <w:p w:rsidR="003A497B" w:rsidRPr="000746C7" w:rsidRDefault="003A497B" w:rsidP="003E1809">
            <w:pP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v eurách </w:t>
            </w:r>
          </w:p>
        </w:tc>
        <w:tc>
          <w:tcPr>
            <w:tcW w:w="473" w:type="pct"/>
            <w:shd w:val="clear" w:color="000000" w:fill="A6A6A6"/>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2016 S</w:t>
            </w:r>
          </w:p>
        </w:tc>
        <w:tc>
          <w:tcPr>
            <w:tcW w:w="505"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2017 S</w:t>
            </w:r>
          </w:p>
        </w:tc>
        <w:tc>
          <w:tcPr>
            <w:tcW w:w="505"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2018 R</w:t>
            </w:r>
          </w:p>
        </w:tc>
        <w:tc>
          <w:tcPr>
            <w:tcW w:w="505" w:type="pct"/>
            <w:shd w:val="clear" w:color="000000" w:fill="A6A6A6"/>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2018 OS</w:t>
            </w:r>
          </w:p>
        </w:tc>
        <w:tc>
          <w:tcPr>
            <w:tcW w:w="505"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2019 N</w:t>
            </w:r>
          </w:p>
        </w:tc>
        <w:tc>
          <w:tcPr>
            <w:tcW w:w="505"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2020 N</w:t>
            </w:r>
          </w:p>
        </w:tc>
        <w:tc>
          <w:tcPr>
            <w:tcW w:w="501"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2021 N</w:t>
            </w:r>
          </w:p>
        </w:tc>
      </w:tr>
      <w:tr w:rsidR="003A497B" w:rsidRPr="000746C7" w:rsidTr="003E1809">
        <w:trPr>
          <w:trHeight w:val="255"/>
        </w:trPr>
        <w:tc>
          <w:tcPr>
            <w:tcW w:w="1501" w:type="pct"/>
            <w:shd w:val="clear" w:color="000000" w:fill="BFBFBF"/>
            <w:vAlign w:val="bottom"/>
            <w:hideMark/>
          </w:tcPr>
          <w:p w:rsidR="003A497B" w:rsidRPr="000746C7" w:rsidRDefault="003A497B" w:rsidP="003E1809">
            <w:pP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Vodné hospodárstvo</w:t>
            </w:r>
          </w:p>
        </w:tc>
        <w:tc>
          <w:tcPr>
            <w:tcW w:w="473" w:type="pct"/>
            <w:shd w:val="clear" w:color="000000" w:fill="C0C0C0"/>
            <w:noWrap/>
            <w:vAlign w:val="bottom"/>
            <w:hideMark/>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186 512 572</w:t>
            </w:r>
          </w:p>
        </w:tc>
        <w:tc>
          <w:tcPr>
            <w:tcW w:w="505"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137 313 982</w:t>
            </w:r>
          </w:p>
        </w:tc>
        <w:tc>
          <w:tcPr>
            <w:tcW w:w="505"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90 261 533</w:t>
            </w:r>
          </w:p>
        </w:tc>
        <w:tc>
          <w:tcPr>
            <w:tcW w:w="505"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92 875 994</w:t>
            </w:r>
          </w:p>
        </w:tc>
        <w:tc>
          <w:tcPr>
            <w:tcW w:w="505"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305 377 153</w:t>
            </w:r>
          </w:p>
        </w:tc>
        <w:tc>
          <w:tcPr>
            <w:tcW w:w="505"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353 751 291</w:t>
            </w:r>
          </w:p>
        </w:tc>
        <w:tc>
          <w:tcPr>
            <w:tcW w:w="501"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367 508 659</w:t>
            </w:r>
          </w:p>
        </w:tc>
      </w:tr>
      <w:tr w:rsidR="003A497B" w:rsidRPr="00C311BC" w:rsidTr="003E1809">
        <w:trPr>
          <w:trHeight w:val="255"/>
        </w:trPr>
        <w:tc>
          <w:tcPr>
            <w:tcW w:w="1501" w:type="pct"/>
            <w:shd w:val="clear" w:color="000000" w:fill="FFFFFF"/>
            <w:vAlign w:val="bottom"/>
            <w:hideMark/>
          </w:tcPr>
          <w:p w:rsidR="003A497B" w:rsidRPr="00C311BC" w:rsidRDefault="003A497B" w:rsidP="003E1809">
            <w:pPr>
              <w:rPr>
                <w:rFonts w:ascii="Times New Roman" w:hAnsi="Times New Roman" w:cs="Times New Roman"/>
                <w:b/>
                <w:color w:val="000000"/>
                <w:sz w:val="14"/>
                <w:szCs w:val="14"/>
              </w:rPr>
            </w:pPr>
            <w:r w:rsidRPr="00C311BC">
              <w:rPr>
                <w:rFonts w:ascii="Times New Roman" w:hAnsi="Times New Roman" w:cs="Times New Roman"/>
                <w:b/>
                <w:color w:val="000000"/>
                <w:sz w:val="14"/>
                <w:szCs w:val="14"/>
              </w:rPr>
              <w:t>rozpočtové zdroje kapitoly, v tom:</w:t>
            </w:r>
          </w:p>
        </w:tc>
        <w:tc>
          <w:tcPr>
            <w:tcW w:w="473" w:type="pct"/>
            <w:shd w:val="clear" w:color="000000" w:fill="FFFFFF"/>
            <w:noWrap/>
            <w:vAlign w:val="bottom"/>
            <w:hideMark/>
          </w:tcPr>
          <w:p w:rsidR="003A497B" w:rsidRPr="00C311BC" w:rsidRDefault="003A497B" w:rsidP="003E1809">
            <w:pPr>
              <w:jc w:val="right"/>
              <w:rPr>
                <w:rFonts w:ascii="Times New Roman" w:hAnsi="Times New Roman" w:cs="Times New Roman"/>
                <w:b/>
                <w:color w:val="000000"/>
                <w:sz w:val="14"/>
                <w:szCs w:val="14"/>
              </w:rPr>
            </w:pPr>
            <w:r w:rsidRPr="00C311BC">
              <w:rPr>
                <w:rFonts w:ascii="Times New Roman" w:hAnsi="Times New Roman" w:cs="Times New Roman"/>
                <w:b/>
                <w:color w:val="000000"/>
                <w:sz w:val="14"/>
                <w:szCs w:val="14"/>
              </w:rPr>
              <w:t>25 060 741</w:t>
            </w:r>
          </w:p>
        </w:tc>
        <w:tc>
          <w:tcPr>
            <w:tcW w:w="505" w:type="pct"/>
            <w:shd w:val="clear" w:color="000000" w:fill="FFFFFF"/>
            <w:noWrap/>
            <w:vAlign w:val="bottom"/>
          </w:tcPr>
          <w:p w:rsidR="003A497B" w:rsidRPr="00C311BC" w:rsidRDefault="003A497B" w:rsidP="003E1809">
            <w:pPr>
              <w:jc w:val="right"/>
              <w:rPr>
                <w:rFonts w:ascii="Times New Roman" w:hAnsi="Times New Roman" w:cs="Times New Roman"/>
                <w:b/>
                <w:color w:val="000000"/>
                <w:sz w:val="14"/>
                <w:szCs w:val="14"/>
              </w:rPr>
            </w:pPr>
            <w:r w:rsidRPr="00C311BC">
              <w:rPr>
                <w:rFonts w:ascii="Times New Roman" w:hAnsi="Times New Roman" w:cs="Times New Roman"/>
                <w:b/>
                <w:color w:val="000000"/>
                <w:sz w:val="14"/>
                <w:szCs w:val="14"/>
              </w:rPr>
              <w:t>45 978 417</w:t>
            </w:r>
          </w:p>
        </w:tc>
        <w:tc>
          <w:tcPr>
            <w:tcW w:w="505" w:type="pct"/>
            <w:shd w:val="clear" w:color="000000" w:fill="FFFFFF"/>
            <w:noWrap/>
            <w:vAlign w:val="bottom"/>
          </w:tcPr>
          <w:p w:rsidR="003A497B" w:rsidRPr="00C311BC" w:rsidRDefault="003A497B" w:rsidP="003E1809">
            <w:pPr>
              <w:jc w:val="right"/>
              <w:rPr>
                <w:rFonts w:ascii="Times New Roman" w:hAnsi="Times New Roman" w:cs="Times New Roman"/>
                <w:b/>
                <w:color w:val="000000"/>
                <w:sz w:val="14"/>
                <w:szCs w:val="14"/>
              </w:rPr>
            </w:pPr>
            <w:r w:rsidRPr="00C311BC">
              <w:rPr>
                <w:rFonts w:ascii="Times New Roman" w:hAnsi="Times New Roman" w:cs="Times New Roman"/>
                <w:b/>
                <w:color w:val="000000"/>
                <w:sz w:val="14"/>
                <w:szCs w:val="14"/>
              </w:rPr>
              <w:t>27 621 766</w:t>
            </w:r>
          </w:p>
        </w:tc>
        <w:tc>
          <w:tcPr>
            <w:tcW w:w="505" w:type="pct"/>
            <w:shd w:val="clear" w:color="000000" w:fill="FFFFFF"/>
            <w:noWrap/>
            <w:vAlign w:val="bottom"/>
          </w:tcPr>
          <w:p w:rsidR="003A497B" w:rsidRPr="00C311BC" w:rsidRDefault="003A497B" w:rsidP="003E1809">
            <w:pPr>
              <w:jc w:val="right"/>
              <w:rPr>
                <w:rFonts w:ascii="Times New Roman" w:hAnsi="Times New Roman" w:cs="Times New Roman"/>
                <w:b/>
                <w:color w:val="000000"/>
                <w:sz w:val="14"/>
                <w:szCs w:val="14"/>
              </w:rPr>
            </w:pPr>
            <w:r w:rsidRPr="00C311BC">
              <w:rPr>
                <w:rFonts w:ascii="Times New Roman" w:hAnsi="Times New Roman" w:cs="Times New Roman"/>
                <w:b/>
                <w:color w:val="000000"/>
                <w:sz w:val="14"/>
                <w:szCs w:val="14"/>
              </w:rPr>
              <w:t>33 421 494</w:t>
            </w:r>
          </w:p>
        </w:tc>
        <w:tc>
          <w:tcPr>
            <w:tcW w:w="505" w:type="pct"/>
            <w:shd w:val="clear" w:color="000000" w:fill="FFFFFF"/>
            <w:noWrap/>
            <w:vAlign w:val="bottom"/>
          </w:tcPr>
          <w:p w:rsidR="003A497B" w:rsidRPr="00C311BC" w:rsidRDefault="003A497B" w:rsidP="003E1809">
            <w:pPr>
              <w:jc w:val="right"/>
              <w:rPr>
                <w:rFonts w:ascii="Times New Roman" w:hAnsi="Times New Roman" w:cs="Times New Roman"/>
                <w:b/>
                <w:color w:val="000000"/>
                <w:sz w:val="14"/>
                <w:szCs w:val="14"/>
              </w:rPr>
            </w:pPr>
            <w:r w:rsidRPr="00C311BC">
              <w:rPr>
                <w:rFonts w:ascii="Times New Roman" w:hAnsi="Times New Roman" w:cs="Times New Roman"/>
                <w:b/>
                <w:color w:val="000000"/>
                <w:sz w:val="14"/>
                <w:szCs w:val="14"/>
              </w:rPr>
              <w:t>29 294 369</w:t>
            </w:r>
          </w:p>
        </w:tc>
        <w:tc>
          <w:tcPr>
            <w:tcW w:w="505" w:type="pct"/>
            <w:shd w:val="clear" w:color="000000" w:fill="FFFFFF"/>
            <w:noWrap/>
            <w:vAlign w:val="bottom"/>
          </w:tcPr>
          <w:p w:rsidR="003A497B" w:rsidRPr="00C311BC" w:rsidRDefault="003A497B" w:rsidP="003E1809">
            <w:pPr>
              <w:jc w:val="right"/>
              <w:rPr>
                <w:rFonts w:ascii="Times New Roman" w:hAnsi="Times New Roman" w:cs="Times New Roman"/>
                <w:b/>
                <w:color w:val="000000"/>
                <w:sz w:val="14"/>
                <w:szCs w:val="14"/>
              </w:rPr>
            </w:pPr>
            <w:r w:rsidRPr="00C311BC">
              <w:rPr>
                <w:rFonts w:ascii="Times New Roman" w:hAnsi="Times New Roman" w:cs="Times New Roman"/>
                <w:b/>
                <w:color w:val="000000"/>
                <w:sz w:val="14"/>
                <w:szCs w:val="14"/>
              </w:rPr>
              <w:t>27 896 811</w:t>
            </w:r>
          </w:p>
        </w:tc>
        <w:tc>
          <w:tcPr>
            <w:tcW w:w="501" w:type="pct"/>
            <w:shd w:val="clear" w:color="000000" w:fill="FFFFFF"/>
            <w:noWrap/>
            <w:vAlign w:val="bottom"/>
          </w:tcPr>
          <w:p w:rsidR="003A497B" w:rsidRPr="00C311BC" w:rsidRDefault="003A497B" w:rsidP="003E1809">
            <w:pPr>
              <w:jc w:val="right"/>
              <w:rPr>
                <w:rFonts w:ascii="Times New Roman" w:hAnsi="Times New Roman" w:cs="Times New Roman"/>
                <w:b/>
                <w:color w:val="000000"/>
                <w:sz w:val="14"/>
                <w:szCs w:val="14"/>
              </w:rPr>
            </w:pPr>
            <w:r w:rsidRPr="00C311BC">
              <w:rPr>
                <w:rFonts w:ascii="Times New Roman" w:hAnsi="Times New Roman" w:cs="Times New Roman"/>
                <w:b/>
                <w:color w:val="000000"/>
                <w:sz w:val="14"/>
                <w:szCs w:val="14"/>
              </w:rPr>
              <w:t>27 896 811</w:t>
            </w:r>
          </w:p>
        </w:tc>
      </w:tr>
      <w:tr w:rsidR="003A497B" w:rsidRPr="000746C7" w:rsidTr="003E1809">
        <w:trPr>
          <w:trHeight w:val="255"/>
        </w:trPr>
        <w:tc>
          <w:tcPr>
            <w:tcW w:w="1501" w:type="pct"/>
            <w:vAlign w:val="bottom"/>
            <w:hideMark/>
          </w:tcPr>
          <w:p w:rsidR="003A497B" w:rsidRPr="000746C7" w:rsidRDefault="003A497B" w:rsidP="003E1809">
            <w:pPr>
              <w:rPr>
                <w:rFonts w:ascii="Times New Roman" w:hAnsi="Times New Roman" w:cs="Times New Roman"/>
                <w:i/>
                <w:color w:val="000000"/>
                <w:sz w:val="14"/>
                <w:szCs w:val="14"/>
              </w:rPr>
            </w:pPr>
            <w:r w:rsidRPr="000746C7">
              <w:rPr>
                <w:rFonts w:ascii="Times New Roman" w:hAnsi="Times New Roman" w:cs="Times New Roman"/>
                <w:i/>
                <w:color w:val="000000"/>
                <w:sz w:val="14"/>
                <w:szCs w:val="14"/>
              </w:rPr>
              <w:t>Výskumný ústav vodného hospodárstva</w:t>
            </w:r>
          </w:p>
        </w:tc>
        <w:tc>
          <w:tcPr>
            <w:tcW w:w="473" w:type="pct"/>
            <w:shd w:val="clear" w:color="auto" w:fill="auto"/>
            <w:vAlign w:val="bottom"/>
            <w:hideMark/>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3 038 613</w:t>
            </w:r>
          </w:p>
        </w:tc>
        <w:tc>
          <w:tcPr>
            <w:tcW w:w="505"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3 181 787</w:t>
            </w:r>
          </w:p>
        </w:tc>
        <w:tc>
          <w:tcPr>
            <w:tcW w:w="505"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2 749 600</w:t>
            </w:r>
          </w:p>
        </w:tc>
        <w:tc>
          <w:tcPr>
            <w:tcW w:w="505"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3 078 976</w:t>
            </w:r>
          </w:p>
        </w:tc>
        <w:tc>
          <w:tcPr>
            <w:tcW w:w="505"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3 085 645</w:t>
            </w:r>
          </w:p>
        </w:tc>
        <w:tc>
          <w:tcPr>
            <w:tcW w:w="505"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3 085 645</w:t>
            </w:r>
          </w:p>
        </w:tc>
        <w:tc>
          <w:tcPr>
            <w:tcW w:w="501"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3 085 645</w:t>
            </w:r>
          </w:p>
        </w:tc>
      </w:tr>
      <w:tr w:rsidR="003A497B" w:rsidRPr="000746C7" w:rsidTr="003E1809">
        <w:trPr>
          <w:trHeight w:val="255"/>
        </w:trPr>
        <w:tc>
          <w:tcPr>
            <w:tcW w:w="1501" w:type="pct"/>
            <w:vAlign w:val="bottom"/>
            <w:hideMark/>
          </w:tcPr>
          <w:p w:rsidR="003A497B" w:rsidRPr="000746C7" w:rsidRDefault="003A497B" w:rsidP="003E1809">
            <w:pPr>
              <w:rPr>
                <w:rFonts w:ascii="Times New Roman" w:hAnsi="Times New Roman" w:cs="Times New Roman"/>
                <w:i/>
                <w:color w:val="000000"/>
                <w:sz w:val="14"/>
                <w:szCs w:val="14"/>
              </w:rPr>
            </w:pPr>
            <w:r w:rsidRPr="000746C7">
              <w:rPr>
                <w:rFonts w:ascii="Times New Roman" w:hAnsi="Times New Roman" w:cs="Times New Roman"/>
                <w:i/>
                <w:color w:val="000000"/>
                <w:sz w:val="14"/>
                <w:szCs w:val="14"/>
              </w:rPr>
              <w:t>Slovenský hydrometeorologický ústav</w:t>
            </w:r>
          </w:p>
        </w:tc>
        <w:tc>
          <w:tcPr>
            <w:tcW w:w="473" w:type="pct"/>
            <w:shd w:val="clear" w:color="auto" w:fill="auto"/>
            <w:vAlign w:val="bottom"/>
            <w:hideMark/>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3 236 840</w:t>
            </w:r>
          </w:p>
        </w:tc>
        <w:tc>
          <w:tcPr>
            <w:tcW w:w="505"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5 505 115</w:t>
            </w:r>
          </w:p>
        </w:tc>
        <w:tc>
          <w:tcPr>
            <w:tcW w:w="505"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5 372 166</w:t>
            </w:r>
          </w:p>
        </w:tc>
        <w:tc>
          <w:tcPr>
            <w:tcW w:w="505"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5 792 516</w:t>
            </w:r>
          </w:p>
        </w:tc>
        <w:tc>
          <w:tcPr>
            <w:tcW w:w="505"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5 311 166</w:t>
            </w:r>
          </w:p>
        </w:tc>
        <w:tc>
          <w:tcPr>
            <w:tcW w:w="505"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5 311 166</w:t>
            </w:r>
          </w:p>
        </w:tc>
        <w:tc>
          <w:tcPr>
            <w:tcW w:w="501"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5 311 166</w:t>
            </w:r>
          </w:p>
        </w:tc>
      </w:tr>
      <w:tr w:rsidR="003A497B" w:rsidRPr="000746C7" w:rsidTr="003E1809">
        <w:trPr>
          <w:trHeight w:val="255"/>
        </w:trPr>
        <w:tc>
          <w:tcPr>
            <w:tcW w:w="1501" w:type="pct"/>
            <w:vAlign w:val="bottom"/>
            <w:hideMark/>
          </w:tcPr>
          <w:p w:rsidR="003A497B" w:rsidRPr="000746C7" w:rsidRDefault="003A497B" w:rsidP="003E1809">
            <w:pPr>
              <w:rPr>
                <w:rFonts w:ascii="Times New Roman" w:hAnsi="Times New Roman" w:cs="Times New Roman"/>
                <w:i/>
                <w:color w:val="000000"/>
                <w:sz w:val="14"/>
                <w:szCs w:val="14"/>
              </w:rPr>
            </w:pPr>
            <w:r w:rsidRPr="000746C7">
              <w:rPr>
                <w:rFonts w:ascii="Times New Roman" w:hAnsi="Times New Roman" w:cs="Times New Roman"/>
                <w:i/>
                <w:color w:val="000000"/>
                <w:sz w:val="14"/>
                <w:szCs w:val="14"/>
              </w:rPr>
              <w:t>Ústredný orgán – neregulované platby SVP</w:t>
            </w:r>
          </w:p>
        </w:tc>
        <w:tc>
          <w:tcPr>
            <w:tcW w:w="473" w:type="pct"/>
            <w:shd w:val="clear" w:color="auto" w:fill="auto"/>
            <w:vAlign w:val="bottom"/>
            <w:hideMark/>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18 785 288</w:t>
            </w:r>
          </w:p>
        </w:tc>
        <w:tc>
          <w:tcPr>
            <w:tcW w:w="505"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37 291 515</w:t>
            </w:r>
          </w:p>
        </w:tc>
        <w:tc>
          <w:tcPr>
            <w:tcW w:w="505"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19 500 000</w:t>
            </w:r>
          </w:p>
        </w:tc>
        <w:tc>
          <w:tcPr>
            <w:tcW w:w="505"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24 550 002</w:t>
            </w:r>
          </w:p>
        </w:tc>
        <w:tc>
          <w:tcPr>
            <w:tcW w:w="505"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20 897 558</w:t>
            </w:r>
          </w:p>
        </w:tc>
        <w:tc>
          <w:tcPr>
            <w:tcW w:w="505"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19 500 000</w:t>
            </w:r>
          </w:p>
        </w:tc>
        <w:tc>
          <w:tcPr>
            <w:tcW w:w="501"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19 500 000</w:t>
            </w:r>
          </w:p>
        </w:tc>
      </w:tr>
      <w:tr w:rsidR="003A497B" w:rsidRPr="000746C7" w:rsidTr="003E1809">
        <w:trPr>
          <w:trHeight w:val="255"/>
        </w:trPr>
        <w:tc>
          <w:tcPr>
            <w:tcW w:w="1501" w:type="pct"/>
            <w:shd w:val="clear" w:color="000000" w:fill="FFFFFF"/>
            <w:vAlign w:val="bottom"/>
            <w:hideMark/>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 xml:space="preserve">zdroje EÚ </w:t>
            </w:r>
          </w:p>
        </w:tc>
        <w:tc>
          <w:tcPr>
            <w:tcW w:w="473" w:type="pct"/>
            <w:shd w:val="clear" w:color="auto" w:fill="auto"/>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0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16 018 057</w:t>
            </w:r>
          </w:p>
        </w:tc>
        <w:tc>
          <w:tcPr>
            <w:tcW w:w="50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56 523 947</w:t>
            </w:r>
          </w:p>
        </w:tc>
        <w:tc>
          <w:tcPr>
            <w:tcW w:w="50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0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249 798 826</w:t>
            </w:r>
          </w:p>
        </w:tc>
        <w:tc>
          <w:tcPr>
            <w:tcW w:w="50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294 436 268</w:t>
            </w:r>
          </w:p>
        </w:tc>
        <w:tc>
          <w:tcPr>
            <w:tcW w:w="501"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306 580 630</w:t>
            </w:r>
          </w:p>
        </w:tc>
      </w:tr>
      <w:tr w:rsidR="003A497B" w:rsidRPr="000746C7" w:rsidTr="003E1809">
        <w:trPr>
          <w:trHeight w:val="255"/>
        </w:trPr>
        <w:tc>
          <w:tcPr>
            <w:tcW w:w="1501" w:type="pct"/>
            <w:shd w:val="clear" w:color="000000" w:fill="FFFFFF"/>
            <w:vAlign w:val="bottom"/>
            <w:hideMark/>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spolufinancovanie zo ŠR</w:t>
            </w:r>
          </w:p>
        </w:tc>
        <w:tc>
          <w:tcPr>
            <w:tcW w:w="473" w:type="pct"/>
            <w:shd w:val="clear" w:color="auto" w:fill="auto"/>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3 537 842</w:t>
            </w:r>
          </w:p>
        </w:tc>
        <w:tc>
          <w:tcPr>
            <w:tcW w:w="50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6 161 705</w:t>
            </w:r>
          </w:p>
        </w:tc>
        <w:tc>
          <w:tcPr>
            <w:tcW w:w="50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6 115 820</w:t>
            </w:r>
          </w:p>
        </w:tc>
        <w:tc>
          <w:tcPr>
            <w:tcW w:w="50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0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26 283 958</w:t>
            </w:r>
          </w:p>
        </w:tc>
        <w:tc>
          <w:tcPr>
            <w:tcW w:w="50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31 418 212</w:t>
            </w:r>
          </w:p>
        </w:tc>
        <w:tc>
          <w:tcPr>
            <w:tcW w:w="501"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33 031 218</w:t>
            </w:r>
          </w:p>
        </w:tc>
      </w:tr>
      <w:tr w:rsidR="003A497B" w:rsidRPr="000746C7" w:rsidTr="003E1809">
        <w:trPr>
          <w:trHeight w:val="255"/>
        </w:trPr>
        <w:tc>
          <w:tcPr>
            <w:tcW w:w="1501" w:type="pct"/>
            <w:shd w:val="clear" w:color="000000" w:fill="FFFFFF"/>
            <w:vAlign w:val="bottom"/>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presun z minulých rokov</w:t>
            </w:r>
          </w:p>
        </w:tc>
        <w:tc>
          <w:tcPr>
            <w:tcW w:w="473"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157 913 989</w:t>
            </w:r>
          </w:p>
        </w:tc>
        <w:tc>
          <w:tcPr>
            <w:tcW w:w="50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69 155 803</w:t>
            </w:r>
          </w:p>
        </w:tc>
        <w:tc>
          <w:tcPr>
            <w:tcW w:w="50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0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59 454 500</w:t>
            </w:r>
          </w:p>
        </w:tc>
        <w:tc>
          <w:tcPr>
            <w:tcW w:w="50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0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01"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r>
    </w:tbl>
    <w:p w:rsidR="003A497B" w:rsidRDefault="003A497B" w:rsidP="003A497B">
      <w:pPr>
        <w:ind w:firstLine="708"/>
        <w:jc w:val="both"/>
        <w:rPr>
          <w:rFonts w:ascii="Times New Roman" w:hAnsi="Times New Roman" w:cs="Times New Roman"/>
        </w:rPr>
      </w:pPr>
    </w:p>
    <w:p w:rsidR="003A497B" w:rsidRPr="00AB4999" w:rsidRDefault="003A497B" w:rsidP="003A497B">
      <w:pPr>
        <w:ind w:firstLine="708"/>
        <w:jc w:val="both"/>
        <w:rPr>
          <w:rFonts w:ascii="Times New Roman" w:hAnsi="Times New Roman" w:cs="Times New Roman"/>
        </w:rPr>
      </w:pPr>
      <w:r w:rsidRPr="005F1146">
        <w:rPr>
          <w:rFonts w:ascii="Times New Roman" w:hAnsi="Times New Roman" w:cs="Times New Roman"/>
        </w:rPr>
        <w:t>Celkové výdavky smerujú</w:t>
      </w:r>
      <w:r>
        <w:rPr>
          <w:rFonts w:ascii="Times New Roman" w:hAnsi="Times New Roman" w:cs="Times New Roman"/>
        </w:rPr>
        <w:t xml:space="preserve">ce do vodného hospodárstva rastú </w:t>
      </w:r>
      <w:r w:rsidRPr="005F1146">
        <w:rPr>
          <w:rFonts w:ascii="Times New Roman" w:hAnsi="Times New Roman" w:cs="Times New Roman"/>
        </w:rPr>
        <w:t>v porovnaní so schvál</w:t>
      </w:r>
      <w:r>
        <w:rPr>
          <w:rFonts w:ascii="Times New Roman" w:hAnsi="Times New Roman" w:cs="Times New Roman"/>
        </w:rPr>
        <w:t xml:space="preserve">eným rozpočtom roku 2018 o 238 %. Uvedený rast je spôsobený najmä nárastom výdavkov EÚ na úrovni 342 %. </w:t>
      </w:r>
      <w:r w:rsidRPr="005F1146">
        <w:rPr>
          <w:rFonts w:ascii="Times New Roman" w:hAnsi="Times New Roman" w:cs="Times New Roman"/>
        </w:rPr>
        <w:t xml:space="preserve">Výdavky za túto oblasť sú celkovo určené na konkrétne projekty budovania a rekonštrukcie infraštruktúry vodného hospodárstva (preventívne </w:t>
      </w:r>
      <w:r w:rsidRPr="005F1146">
        <w:rPr>
          <w:rFonts w:ascii="Times New Roman" w:hAnsi="Times New Roman" w:cs="Times New Roman"/>
          <w:bCs/>
        </w:rPr>
        <w:t>protipovodňové opatrenia</w:t>
      </w:r>
      <w:r w:rsidRPr="005F1146">
        <w:rPr>
          <w:rFonts w:ascii="Times New Roman" w:hAnsi="Times New Roman" w:cs="Times New Roman"/>
        </w:rPr>
        <w:t xml:space="preserve">, dobudovanie a prevádzka povodňového varovného a predpovedného systému, </w:t>
      </w:r>
      <w:r w:rsidRPr="005F1146">
        <w:rPr>
          <w:rFonts w:ascii="Times New Roman" w:hAnsi="Times New Roman" w:cs="Times New Roman"/>
          <w:bCs/>
        </w:rPr>
        <w:t>zásobovanie vodou</w:t>
      </w:r>
      <w:r w:rsidRPr="005F1146">
        <w:rPr>
          <w:rFonts w:ascii="Times New Roman" w:hAnsi="Times New Roman" w:cs="Times New Roman"/>
        </w:rPr>
        <w:t xml:space="preserve">, </w:t>
      </w:r>
      <w:r w:rsidRPr="005F1146">
        <w:rPr>
          <w:rFonts w:ascii="Times New Roman" w:hAnsi="Times New Roman" w:cs="Times New Roman"/>
          <w:bCs/>
        </w:rPr>
        <w:t>odvádzanie a čistenie odpadových vôd</w:t>
      </w:r>
      <w:r>
        <w:rPr>
          <w:rFonts w:ascii="Times New Roman" w:hAnsi="Times New Roman" w:cs="Times New Roman"/>
        </w:rPr>
        <w:t>).</w:t>
      </w:r>
    </w:p>
    <w:p w:rsidR="003A497B" w:rsidRPr="005F1146" w:rsidRDefault="003A497B" w:rsidP="003A497B">
      <w:pPr>
        <w:tabs>
          <w:tab w:val="left" w:pos="426"/>
        </w:tabs>
        <w:jc w:val="both"/>
        <w:rPr>
          <w:rFonts w:ascii="Times New Roman" w:hAnsi="Times New Roman" w:cs="Times New Roman"/>
          <w:b/>
        </w:rPr>
      </w:pPr>
    </w:p>
    <w:p w:rsidR="003A497B" w:rsidRPr="005F1146" w:rsidRDefault="003A497B" w:rsidP="003A497B">
      <w:pPr>
        <w:tabs>
          <w:tab w:val="left" w:pos="426"/>
        </w:tabs>
        <w:jc w:val="both"/>
        <w:rPr>
          <w:rFonts w:ascii="Times New Roman" w:hAnsi="Times New Roman" w:cs="Times New Roman"/>
          <w:b/>
        </w:rPr>
      </w:pPr>
      <w:r w:rsidRPr="005F1146">
        <w:rPr>
          <w:rFonts w:ascii="Times New Roman" w:hAnsi="Times New Roman" w:cs="Times New Roman"/>
          <w:b/>
        </w:rPr>
        <w:t>Ochrana ovzdušia</w:t>
      </w:r>
    </w:p>
    <w:p w:rsidR="003A497B" w:rsidRPr="005F1146" w:rsidRDefault="003A497B" w:rsidP="003A497B">
      <w:pPr>
        <w:tabs>
          <w:tab w:val="left" w:pos="426"/>
        </w:tabs>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834"/>
        <w:gridCol w:w="948"/>
        <w:gridCol w:w="910"/>
        <w:gridCol w:w="834"/>
        <w:gridCol w:w="924"/>
        <w:gridCol w:w="1039"/>
        <w:gridCol w:w="884"/>
      </w:tblGrid>
      <w:tr w:rsidR="003A497B" w:rsidRPr="000746C7" w:rsidTr="003E1809">
        <w:trPr>
          <w:trHeight w:val="255"/>
        </w:trPr>
        <w:tc>
          <w:tcPr>
            <w:tcW w:w="1483" w:type="pct"/>
            <w:shd w:val="clear" w:color="auto" w:fill="A6A6A6"/>
            <w:noWrap/>
            <w:vAlign w:val="center"/>
            <w:hideMark/>
          </w:tcPr>
          <w:p w:rsidR="003A497B" w:rsidRPr="000746C7" w:rsidRDefault="003A497B" w:rsidP="003E1809">
            <w:pP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v eurách </w:t>
            </w:r>
          </w:p>
        </w:tc>
        <w:tc>
          <w:tcPr>
            <w:tcW w:w="460" w:type="pct"/>
            <w:shd w:val="clear" w:color="000000" w:fill="A6A6A6"/>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2016 S</w:t>
            </w:r>
          </w:p>
        </w:tc>
        <w:tc>
          <w:tcPr>
            <w:tcW w:w="523"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2017 S</w:t>
            </w:r>
          </w:p>
        </w:tc>
        <w:tc>
          <w:tcPr>
            <w:tcW w:w="502"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2018 R</w:t>
            </w:r>
          </w:p>
        </w:tc>
        <w:tc>
          <w:tcPr>
            <w:tcW w:w="460" w:type="pct"/>
            <w:shd w:val="clear" w:color="000000" w:fill="A6A6A6"/>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2018 OS</w:t>
            </w:r>
          </w:p>
        </w:tc>
        <w:tc>
          <w:tcPr>
            <w:tcW w:w="510"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2019 N</w:t>
            </w:r>
          </w:p>
        </w:tc>
        <w:tc>
          <w:tcPr>
            <w:tcW w:w="573"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2020 N</w:t>
            </w:r>
          </w:p>
        </w:tc>
        <w:tc>
          <w:tcPr>
            <w:tcW w:w="488"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2021 N</w:t>
            </w:r>
          </w:p>
        </w:tc>
      </w:tr>
      <w:tr w:rsidR="003A497B" w:rsidRPr="000746C7" w:rsidTr="003E1809">
        <w:trPr>
          <w:trHeight w:val="255"/>
        </w:trPr>
        <w:tc>
          <w:tcPr>
            <w:tcW w:w="1483" w:type="pct"/>
            <w:shd w:val="clear" w:color="000000" w:fill="BFBFBF"/>
            <w:vAlign w:val="bottom"/>
            <w:hideMark/>
          </w:tcPr>
          <w:p w:rsidR="003A497B" w:rsidRPr="000746C7" w:rsidRDefault="003A497B" w:rsidP="003E1809">
            <w:pP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Ochrana ovzdušia</w:t>
            </w:r>
          </w:p>
        </w:tc>
        <w:tc>
          <w:tcPr>
            <w:tcW w:w="460" w:type="pct"/>
            <w:shd w:val="clear" w:color="000000" w:fill="C0C0C0"/>
            <w:noWrap/>
            <w:vAlign w:val="bottom"/>
            <w:hideMark/>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12 927 113</w:t>
            </w:r>
          </w:p>
        </w:tc>
        <w:tc>
          <w:tcPr>
            <w:tcW w:w="523"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3 918 719</w:t>
            </w:r>
          </w:p>
        </w:tc>
        <w:tc>
          <w:tcPr>
            <w:tcW w:w="502"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8 834 664</w:t>
            </w:r>
          </w:p>
        </w:tc>
        <w:tc>
          <w:tcPr>
            <w:tcW w:w="460"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7 352 524</w:t>
            </w:r>
          </w:p>
        </w:tc>
        <w:tc>
          <w:tcPr>
            <w:tcW w:w="510"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8 695 664</w:t>
            </w:r>
          </w:p>
        </w:tc>
        <w:tc>
          <w:tcPr>
            <w:tcW w:w="573"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8 695 664</w:t>
            </w:r>
          </w:p>
        </w:tc>
        <w:tc>
          <w:tcPr>
            <w:tcW w:w="488"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8 695 664</w:t>
            </w:r>
          </w:p>
        </w:tc>
      </w:tr>
      <w:tr w:rsidR="003A497B" w:rsidRPr="00C311BC" w:rsidTr="003E1809">
        <w:trPr>
          <w:trHeight w:val="255"/>
        </w:trPr>
        <w:tc>
          <w:tcPr>
            <w:tcW w:w="1483" w:type="pct"/>
            <w:shd w:val="clear" w:color="000000" w:fill="FFFFFF"/>
            <w:vAlign w:val="bottom"/>
            <w:hideMark/>
          </w:tcPr>
          <w:p w:rsidR="003A497B" w:rsidRPr="00C311BC" w:rsidRDefault="003A497B" w:rsidP="003E1809">
            <w:pPr>
              <w:rPr>
                <w:rFonts w:ascii="Times New Roman" w:hAnsi="Times New Roman" w:cs="Times New Roman"/>
                <w:b/>
                <w:color w:val="000000"/>
                <w:sz w:val="14"/>
                <w:szCs w:val="14"/>
              </w:rPr>
            </w:pPr>
            <w:r w:rsidRPr="00C311BC">
              <w:rPr>
                <w:rFonts w:ascii="Times New Roman" w:hAnsi="Times New Roman" w:cs="Times New Roman"/>
                <w:b/>
                <w:color w:val="000000"/>
                <w:sz w:val="14"/>
                <w:szCs w:val="14"/>
              </w:rPr>
              <w:t>rozpočtové zdroje kapitoly, v tom:</w:t>
            </w:r>
          </w:p>
        </w:tc>
        <w:tc>
          <w:tcPr>
            <w:tcW w:w="460" w:type="pct"/>
            <w:shd w:val="clear" w:color="auto" w:fill="auto"/>
            <w:vAlign w:val="bottom"/>
            <w:hideMark/>
          </w:tcPr>
          <w:p w:rsidR="003A497B" w:rsidRPr="00C311BC" w:rsidRDefault="003A497B" w:rsidP="003E1809">
            <w:pPr>
              <w:jc w:val="right"/>
              <w:rPr>
                <w:rFonts w:ascii="Times New Roman" w:hAnsi="Times New Roman" w:cs="Times New Roman"/>
                <w:b/>
                <w:color w:val="000000"/>
                <w:sz w:val="14"/>
                <w:szCs w:val="14"/>
              </w:rPr>
            </w:pPr>
            <w:r w:rsidRPr="00C311BC">
              <w:rPr>
                <w:rFonts w:ascii="Times New Roman" w:hAnsi="Times New Roman" w:cs="Times New Roman"/>
                <w:b/>
                <w:color w:val="000000"/>
                <w:sz w:val="14"/>
                <w:szCs w:val="14"/>
              </w:rPr>
              <w:t>2 297 582</w:t>
            </w:r>
          </w:p>
        </w:tc>
        <w:tc>
          <w:tcPr>
            <w:tcW w:w="523" w:type="pct"/>
            <w:shd w:val="clear" w:color="auto" w:fill="auto"/>
            <w:vAlign w:val="bottom"/>
          </w:tcPr>
          <w:p w:rsidR="003A497B" w:rsidRPr="00C311BC" w:rsidRDefault="003A497B" w:rsidP="003E1809">
            <w:pPr>
              <w:jc w:val="right"/>
              <w:rPr>
                <w:rFonts w:ascii="Times New Roman" w:hAnsi="Times New Roman" w:cs="Times New Roman"/>
                <w:b/>
                <w:color w:val="000000"/>
                <w:sz w:val="14"/>
                <w:szCs w:val="14"/>
              </w:rPr>
            </w:pPr>
            <w:r w:rsidRPr="00C311BC">
              <w:rPr>
                <w:rFonts w:ascii="Times New Roman" w:hAnsi="Times New Roman" w:cs="Times New Roman"/>
                <w:b/>
                <w:color w:val="000000"/>
                <w:sz w:val="14"/>
                <w:szCs w:val="14"/>
              </w:rPr>
              <w:t>3 918 719</w:t>
            </w:r>
          </w:p>
        </w:tc>
        <w:tc>
          <w:tcPr>
            <w:tcW w:w="502" w:type="pct"/>
            <w:shd w:val="clear" w:color="auto" w:fill="auto"/>
            <w:vAlign w:val="bottom"/>
          </w:tcPr>
          <w:p w:rsidR="003A497B" w:rsidRPr="00C311BC" w:rsidRDefault="003A497B" w:rsidP="003E1809">
            <w:pPr>
              <w:jc w:val="right"/>
              <w:rPr>
                <w:rFonts w:ascii="Times New Roman" w:hAnsi="Times New Roman" w:cs="Times New Roman"/>
                <w:b/>
                <w:color w:val="000000"/>
                <w:sz w:val="14"/>
                <w:szCs w:val="14"/>
              </w:rPr>
            </w:pPr>
            <w:r w:rsidRPr="00C311BC">
              <w:rPr>
                <w:rFonts w:ascii="Times New Roman" w:hAnsi="Times New Roman" w:cs="Times New Roman"/>
                <w:b/>
                <w:color w:val="000000"/>
                <w:sz w:val="14"/>
                <w:szCs w:val="14"/>
              </w:rPr>
              <w:t>8 834 664</w:t>
            </w:r>
          </w:p>
        </w:tc>
        <w:tc>
          <w:tcPr>
            <w:tcW w:w="460" w:type="pct"/>
            <w:shd w:val="clear" w:color="auto" w:fill="auto"/>
            <w:vAlign w:val="bottom"/>
          </w:tcPr>
          <w:p w:rsidR="003A497B" w:rsidRPr="00C311BC" w:rsidRDefault="003A497B" w:rsidP="003E1809">
            <w:pPr>
              <w:jc w:val="right"/>
              <w:rPr>
                <w:rFonts w:ascii="Times New Roman" w:hAnsi="Times New Roman" w:cs="Times New Roman"/>
                <w:b/>
                <w:color w:val="000000"/>
                <w:sz w:val="14"/>
                <w:szCs w:val="14"/>
              </w:rPr>
            </w:pPr>
            <w:r w:rsidRPr="00C311BC">
              <w:rPr>
                <w:rFonts w:ascii="Times New Roman" w:hAnsi="Times New Roman" w:cs="Times New Roman"/>
                <w:b/>
                <w:color w:val="000000"/>
                <w:sz w:val="14"/>
                <w:szCs w:val="14"/>
              </w:rPr>
              <w:t>7 352 524</w:t>
            </w:r>
          </w:p>
        </w:tc>
        <w:tc>
          <w:tcPr>
            <w:tcW w:w="510" w:type="pct"/>
            <w:shd w:val="clear" w:color="auto" w:fill="auto"/>
            <w:vAlign w:val="bottom"/>
          </w:tcPr>
          <w:p w:rsidR="003A497B" w:rsidRPr="00C311BC" w:rsidRDefault="003A497B" w:rsidP="003E1809">
            <w:pPr>
              <w:jc w:val="right"/>
              <w:rPr>
                <w:rFonts w:ascii="Times New Roman" w:hAnsi="Times New Roman" w:cs="Times New Roman"/>
                <w:b/>
                <w:color w:val="000000"/>
                <w:sz w:val="14"/>
                <w:szCs w:val="14"/>
              </w:rPr>
            </w:pPr>
            <w:r w:rsidRPr="00C311BC">
              <w:rPr>
                <w:rFonts w:ascii="Times New Roman" w:hAnsi="Times New Roman" w:cs="Times New Roman"/>
                <w:b/>
                <w:color w:val="000000"/>
                <w:sz w:val="14"/>
                <w:szCs w:val="14"/>
              </w:rPr>
              <w:t>8 695 664</w:t>
            </w:r>
          </w:p>
        </w:tc>
        <w:tc>
          <w:tcPr>
            <w:tcW w:w="573" w:type="pct"/>
            <w:shd w:val="clear" w:color="auto" w:fill="auto"/>
            <w:vAlign w:val="bottom"/>
          </w:tcPr>
          <w:p w:rsidR="003A497B" w:rsidRPr="00C311BC" w:rsidRDefault="003A497B" w:rsidP="003E1809">
            <w:pPr>
              <w:jc w:val="right"/>
              <w:rPr>
                <w:rFonts w:ascii="Times New Roman" w:hAnsi="Times New Roman" w:cs="Times New Roman"/>
                <w:b/>
                <w:color w:val="000000"/>
                <w:sz w:val="14"/>
                <w:szCs w:val="14"/>
              </w:rPr>
            </w:pPr>
            <w:r w:rsidRPr="00C311BC">
              <w:rPr>
                <w:rFonts w:ascii="Times New Roman" w:hAnsi="Times New Roman" w:cs="Times New Roman"/>
                <w:b/>
                <w:color w:val="000000"/>
                <w:sz w:val="14"/>
                <w:szCs w:val="14"/>
              </w:rPr>
              <w:t>8 695 664</w:t>
            </w:r>
          </w:p>
        </w:tc>
        <w:tc>
          <w:tcPr>
            <w:tcW w:w="488" w:type="pct"/>
            <w:shd w:val="clear" w:color="auto" w:fill="auto"/>
            <w:vAlign w:val="bottom"/>
          </w:tcPr>
          <w:p w:rsidR="003A497B" w:rsidRPr="00C311BC" w:rsidRDefault="003A497B" w:rsidP="003E1809">
            <w:pPr>
              <w:jc w:val="right"/>
              <w:rPr>
                <w:rFonts w:ascii="Times New Roman" w:hAnsi="Times New Roman" w:cs="Times New Roman"/>
                <w:b/>
                <w:color w:val="000000"/>
                <w:sz w:val="14"/>
                <w:szCs w:val="14"/>
              </w:rPr>
            </w:pPr>
            <w:r w:rsidRPr="00C311BC">
              <w:rPr>
                <w:rFonts w:ascii="Times New Roman" w:hAnsi="Times New Roman" w:cs="Times New Roman"/>
                <w:b/>
                <w:color w:val="000000"/>
                <w:sz w:val="14"/>
                <w:szCs w:val="14"/>
              </w:rPr>
              <w:t>8 695 664</w:t>
            </w:r>
          </w:p>
        </w:tc>
      </w:tr>
      <w:tr w:rsidR="003A497B" w:rsidRPr="000746C7" w:rsidTr="003E1809">
        <w:trPr>
          <w:trHeight w:val="255"/>
        </w:trPr>
        <w:tc>
          <w:tcPr>
            <w:tcW w:w="1483" w:type="pct"/>
            <w:shd w:val="clear" w:color="000000" w:fill="FFFFFF"/>
            <w:vAlign w:val="bottom"/>
            <w:hideMark/>
          </w:tcPr>
          <w:p w:rsidR="003A497B" w:rsidRPr="000746C7" w:rsidRDefault="003A497B" w:rsidP="003E1809">
            <w:pPr>
              <w:rPr>
                <w:rFonts w:ascii="Times New Roman" w:hAnsi="Times New Roman" w:cs="Times New Roman"/>
                <w:i/>
                <w:color w:val="000000"/>
                <w:sz w:val="14"/>
                <w:szCs w:val="14"/>
              </w:rPr>
            </w:pPr>
            <w:r w:rsidRPr="000746C7">
              <w:rPr>
                <w:rFonts w:ascii="Times New Roman" w:hAnsi="Times New Roman" w:cs="Times New Roman"/>
                <w:i/>
                <w:color w:val="000000"/>
                <w:sz w:val="14"/>
                <w:szCs w:val="14"/>
              </w:rPr>
              <w:t>Slovenský hydrometeorologický ústav</w:t>
            </w:r>
          </w:p>
        </w:tc>
        <w:tc>
          <w:tcPr>
            <w:tcW w:w="460" w:type="pct"/>
            <w:shd w:val="clear" w:color="auto" w:fill="auto"/>
            <w:vAlign w:val="bottom"/>
            <w:hideMark/>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2 297 582</w:t>
            </w:r>
          </w:p>
        </w:tc>
        <w:tc>
          <w:tcPr>
            <w:tcW w:w="523"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3 918 719</w:t>
            </w:r>
          </w:p>
        </w:tc>
        <w:tc>
          <w:tcPr>
            <w:tcW w:w="502"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3 434 664</w:t>
            </w:r>
          </w:p>
        </w:tc>
        <w:tc>
          <w:tcPr>
            <w:tcW w:w="460"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3 693 680</w:t>
            </w:r>
          </w:p>
        </w:tc>
        <w:tc>
          <w:tcPr>
            <w:tcW w:w="510"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3 395 664</w:t>
            </w:r>
          </w:p>
        </w:tc>
        <w:tc>
          <w:tcPr>
            <w:tcW w:w="573"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3 395 664</w:t>
            </w:r>
          </w:p>
        </w:tc>
        <w:tc>
          <w:tcPr>
            <w:tcW w:w="488" w:type="pct"/>
            <w:shd w:val="clear" w:color="auto" w:fill="auto"/>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3 395 664</w:t>
            </w:r>
          </w:p>
        </w:tc>
      </w:tr>
      <w:tr w:rsidR="003A497B" w:rsidRPr="000746C7" w:rsidTr="003E1809">
        <w:trPr>
          <w:trHeight w:val="255"/>
        </w:trPr>
        <w:tc>
          <w:tcPr>
            <w:tcW w:w="1483" w:type="pct"/>
            <w:shd w:val="clear" w:color="000000" w:fill="FFFFFF"/>
            <w:vAlign w:val="bottom"/>
            <w:hideMark/>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 xml:space="preserve">zdroje EÚ </w:t>
            </w:r>
          </w:p>
        </w:tc>
        <w:tc>
          <w:tcPr>
            <w:tcW w:w="460" w:type="pct"/>
            <w:shd w:val="clear" w:color="auto" w:fill="auto"/>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23"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02"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60"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10"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73"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88"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r>
      <w:tr w:rsidR="003A497B" w:rsidRPr="000746C7" w:rsidTr="003E1809">
        <w:trPr>
          <w:trHeight w:val="255"/>
        </w:trPr>
        <w:tc>
          <w:tcPr>
            <w:tcW w:w="1483" w:type="pct"/>
            <w:shd w:val="clear" w:color="000000" w:fill="FFFFFF"/>
            <w:vAlign w:val="bottom"/>
            <w:hideMark/>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spolufinancovanie zo ŠR</w:t>
            </w:r>
          </w:p>
        </w:tc>
        <w:tc>
          <w:tcPr>
            <w:tcW w:w="460" w:type="pct"/>
            <w:shd w:val="clear" w:color="auto" w:fill="auto"/>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23"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02"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60"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10"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73"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88"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r>
      <w:tr w:rsidR="003A497B" w:rsidRPr="000746C7" w:rsidTr="003E1809">
        <w:trPr>
          <w:trHeight w:val="255"/>
        </w:trPr>
        <w:tc>
          <w:tcPr>
            <w:tcW w:w="1483" w:type="pct"/>
            <w:shd w:val="clear" w:color="000000" w:fill="FFFFFF"/>
            <w:vAlign w:val="bottom"/>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presun z minulých rokov</w:t>
            </w:r>
          </w:p>
        </w:tc>
        <w:tc>
          <w:tcPr>
            <w:tcW w:w="460"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10 629 531</w:t>
            </w:r>
          </w:p>
        </w:tc>
        <w:tc>
          <w:tcPr>
            <w:tcW w:w="523"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02"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60"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10"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73"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88"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r>
    </w:tbl>
    <w:p w:rsidR="003A497B" w:rsidRPr="005F1146" w:rsidRDefault="003A497B" w:rsidP="003A497B">
      <w:pPr>
        <w:ind w:firstLine="708"/>
        <w:jc w:val="both"/>
        <w:rPr>
          <w:rFonts w:ascii="Times New Roman" w:hAnsi="Times New Roman" w:cs="Times New Roman"/>
          <w:bCs/>
        </w:rPr>
      </w:pPr>
    </w:p>
    <w:p w:rsidR="003A497B" w:rsidRDefault="003A497B" w:rsidP="003A497B">
      <w:pPr>
        <w:tabs>
          <w:tab w:val="left" w:pos="709"/>
        </w:tabs>
        <w:jc w:val="both"/>
        <w:rPr>
          <w:rFonts w:ascii="Times New Roman" w:hAnsi="Times New Roman" w:cs="Times New Roman"/>
        </w:rPr>
      </w:pPr>
      <w:r w:rsidRPr="005F1146">
        <w:rPr>
          <w:rFonts w:ascii="Times New Roman" w:hAnsi="Times New Roman" w:cs="Times New Roman"/>
        </w:rPr>
        <w:tab/>
        <w:t>Celkové výdavky sme</w:t>
      </w:r>
      <w:r>
        <w:rPr>
          <w:rFonts w:ascii="Times New Roman" w:hAnsi="Times New Roman" w:cs="Times New Roman"/>
        </w:rPr>
        <w:t>rujúce do ochrany ovzdušia sú v roku 2019 tvorené iba prostriedkami štátneho rozpočtu a takmer zachovávajú úroveň schváleného rozpočtu roku 2018. Výdavky</w:t>
      </w:r>
      <w:r w:rsidRPr="005F1146">
        <w:rPr>
          <w:rFonts w:ascii="Times New Roman" w:hAnsi="Times New Roman" w:cs="Times New Roman"/>
        </w:rPr>
        <w:t xml:space="preserve"> celkovo smerujú </w:t>
      </w:r>
      <w:r>
        <w:rPr>
          <w:rFonts w:ascii="Times New Roman" w:hAnsi="Times New Roman" w:cs="Times New Roman"/>
        </w:rPr>
        <w:t xml:space="preserve">najmä </w:t>
      </w:r>
      <w:r w:rsidRPr="005F1146">
        <w:rPr>
          <w:rFonts w:ascii="Times New Roman" w:hAnsi="Times New Roman" w:cs="Times New Roman"/>
        </w:rPr>
        <w:t>na</w:t>
      </w:r>
      <w:r w:rsidRPr="00646031">
        <w:rPr>
          <w:rFonts w:ascii="Tahoma" w:hAnsi="Tahoma" w:cs="Tahoma"/>
          <w:color w:val="666666"/>
          <w:sz w:val="17"/>
          <w:szCs w:val="17"/>
        </w:rPr>
        <w:t xml:space="preserve"> </w:t>
      </w:r>
      <w:r w:rsidRPr="00646031">
        <w:rPr>
          <w:rFonts w:ascii="Times New Roman" w:hAnsi="Times New Roman" w:cs="Times New Roman"/>
        </w:rPr>
        <w:t>sledovanie a hodnoten</w:t>
      </w:r>
      <w:r>
        <w:rPr>
          <w:rFonts w:ascii="Times New Roman" w:hAnsi="Times New Roman" w:cs="Times New Roman"/>
        </w:rPr>
        <w:t>ie kvality ovzdušia podľa</w:t>
      </w:r>
      <w:r w:rsidRPr="00646031">
        <w:rPr>
          <w:rFonts w:ascii="Times New Roman" w:hAnsi="Times New Roman" w:cs="Times New Roman"/>
        </w:rPr>
        <w:t xml:space="preserve"> zákona o ochrane ovzdušia</w:t>
      </w:r>
      <w:r>
        <w:rPr>
          <w:rFonts w:ascii="Times New Roman" w:hAnsi="Times New Roman" w:cs="Times New Roman"/>
        </w:rPr>
        <w:t>.</w:t>
      </w:r>
      <w:r w:rsidRPr="00F20987">
        <w:rPr>
          <w:rFonts w:ascii="Times New Roman" w:hAnsi="Times New Roman" w:cs="Times New Roman"/>
        </w:rPr>
        <w:t xml:space="preserve"> </w:t>
      </w:r>
    </w:p>
    <w:p w:rsidR="003A497B" w:rsidRPr="005F1146" w:rsidRDefault="003A497B" w:rsidP="003A497B">
      <w:pPr>
        <w:jc w:val="both"/>
        <w:rPr>
          <w:rFonts w:ascii="Times New Roman" w:hAnsi="Times New Roman" w:cs="Times New Roman"/>
        </w:rPr>
      </w:pPr>
    </w:p>
    <w:p w:rsidR="003A497B" w:rsidRPr="005F1146" w:rsidRDefault="003A497B" w:rsidP="003A497B">
      <w:pPr>
        <w:jc w:val="both"/>
        <w:rPr>
          <w:rFonts w:ascii="Times New Roman" w:hAnsi="Times New Roman" w:cs="Times New Roman"/>
          <w:b/>
        </w:rPr>
      </w:pPr>
      <w:r w:rsidRPr="005F1146">
        <w:rPr>
          <w:rFonts w:ascii="Times New Roman" w:hAnsi="Times New Roman" w:cs="Times New Roman"/>
          <w:b/>
        </w:rPr>
        <w:t>Odpadové hospodárstvo</w:t>
      </w:r>
    </w:p>
    <w:p w:rsidR="003A497B" w:rsidRPr="005F1146" w:rsidRDefault="003A497B" w:rsidP="003A497B">
      <w:pPr>
        <w:jc w:val="both"/>
        <w:rPr>
          <w:rFonts w:ascii="Times New Roman" w:hAnsi="Times New Roman" w:cs="Times New Roman"/>
        </w:rPr>
      </w:pP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87"/>
        <w:gridCol w:w="905"/>
        <w:gridCol w:w="905"/>
        <w:gridCol w:w="906"/>
        <w:gridCol w:w="906"/>
        <w:gridCol w:w="906"/>
        <w:gridCol w:w="906"/>
        <w:gridCol w:w="906"/>
      </w:tblGrid>
      <w:tr w:rsidR="003A497B" w:rsidRPr="000746C7" w:rsidTr="003E1809">
        <w:trPr>
          <w:trHeight w:val="255"/>
        </w:trPr>
        <w:tc>
          <w:tcPr>
            <w:tcW w:w="1564" w:type="pct"/>
            <w:shd w:val="clear" w:color="auto" w:fill="A6A6A6"/>
            <w:noWrap/>
            <w:tcMar>
              <w:top w:w="13" w:type="dxa"/>
              <w:left w:w="13" w:type="dxa"/>
              <w:bottom w:w="0" w:type="dxa"/>
              <w:right w:w="13" w:type="dxa"/>
            </w:tcMar>
            <w:vAlign w:val="center"/>
            <w:hideMark/>
          </w:tcPr>
          <w:p w:rsidR="003A497B" w:rsidRPr="000746C7" w:rsidRDefault="003A497B" w:rsidP="003E1809">
            <w:pP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v eurách </w:t>
            </w:r>
          </w:p>
        </w:tc>
        <w:tc>
          <w:tcPr>
            <w:tcW w:w="490" w:type="pct"/>
            <w:shd w:val="clear" w:color="000000" w:fill="A6A6A6"/>
            <w:tcMar>
              <w:top w:w="13" w:type="dxa"/>
              <w:left w:w="13" w:type="dxa"/>
              <w:bottom w:w="0" w:type="dxa"/>
              <w:right w:w="13" w:type="dxa"/>
            </w:tcMar>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2016 S</w:t>
            </w:r>
          </w:p>
        </w:tc>
        <w:tc>
          <w:tcPr>
            <w:tcW w:w="490" w:type="pct"/>
            <w:shd w:val="clear" w:color="000000" w:fill="A6A6A6"/>
            <w:noWrap/>
            <w:tcMar>
              <w:top w:w="13" w:type="dxa"/>
              <w:left w:w="13" w:type="dxa"/>
              <w:bottom w:w="0" w:type="dxa"/>
              <w:right w:w="13" w:type="dxa"/>
            </w:tcMar>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2017 S</w:t>
            </w:r>
          </w:p>
        </w:tc>
        <w:tc>
          <w:tcPr>
            <w:tcW w:w="491" w:type="pct"/>
            <w:shd w:val="clear" w:color="000000" w:fill="A6A6A6"/>
            <w:noWrap/>
            <w:tcMar>
              <w:top w:w="13" w:type="dxa"/>
              <w:left w:w="13" w:type="dxa"/>
              <w:bottom w:w="0" w:type="dxa"/>
              <w:right w:w="13" w:type="dxa"/>
            </w:tcMar>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2018 R</w:t>
            </w:r>
          </w:p>
        </w:tc>
        <w:tc>
          <w:tcPr>
            <w:tcW w:w="491" w:type="pct"/>
            <w:shd w:val="clear" w:color="000000" w:fill="A6A6A6"/>
            <w:tcMar>
              <w:top w:w="13" w:type="dxa"/>
              <w:left w:w="13" w:type="dxa"/>
              <w:bottom w:w="0" w:type="dxa"/>
              <w:right w:w="13" w:type="dxa"/>
            </w:tcMar>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2018 OS</w:t>
            </w:r>
          </w:p>
        </w:tc>
        <w:tc>
          <w:tcPr>
            <w:tcW w:w="491" w:type="pct"/>
            <w:shd w:val="clear" w:color="000000" w:fill="A6A6A6"/>
            <w:noWrap/>
            <w:tcMar>
              <w:top w:w="13" w:type="dxa"/>
              <w:left w:w="13" w:type="dxa"/>
              <w:bottom w:w="0" w:type="dxa"/>
              <w:right w:w="13" w:type="dxa"/>
            </w:tcMar>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2019 N</w:t>
            </w:r>
          </w:p>
        </w:tc>
        <w:tc>
          <w:tcPr>
            <w:tcW w:w="491" w:type="pct"/>
            <w:shd w:val="clear" w:color="000000" w:fill="A6A6A6"/>
            <w:noWrap/>
            <w:tcMar>
              <w:top w:w="13" w:type="dxa"/>
              <w:left w:w="13" w:type="dxa"/>
              <w:bottom w:w="0" w:type="dxa"/>
              <w:right w:w="13" w:type="dxa"/>
            </w:tcMar>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2020 N</w:t>
            </w:r>
          </w:p>
        </w:tc>
        <w:tc>
          <w:tcPr>
            <w:tcW w:w="491" w:type="pct"/>
            <w:shd w:val="clear" w:color="000000" w:fill="A6A6A6"/>
            <w:noWrap/>
            <w:tcMar>
              <w:top w:w="13" w:type="dxa"/>
              <w:left w:w="13" w:type="dxa"/>
              <w:bottom w:w="0" w:type="dxa"/>
              <w:right w:w="13" w:type="dxa"/>
            </w:tcMar>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2021 N</w:t>
            </w:r>
          </w:p>
        </w:tc>
      </w:tr>
      <w:tr w:rsidR="003A497B" w:rsidRPr="000746C7" w:rsidTr="003E1809">
        <w:trPr>
          <w:trHeight w:val="255"/>
        </w:trPr>
        <w:tc>
          <w:tcPr>
            <w:tcW w:w="1564" w:type="pct"/>
            <w:shd w:val="clear" w:color="000000" w:fill="BFBFBF"/>
            <w:tcMar>
              <w:top w:w="13" w:type="dxa"/>
              <w:left w:w="13" w:type="dxa"/>
              <w:bottom w:w="0" w:type="dxa"/>
              <w:right w:w="13" w:type="dxa"/>
            </w:tcMar>
            <w:vAlign w:val="bottom"/>
            <w:hideMark/>
          </w:tcPr>
          <w:p w:rsidR="003A497B" w:rsidRPr="000746C7" w:rsidRDefault="003A497B" w:rsidP="003E1809">
            <w:pP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Odpadové hospodárstvo</w:t>
            </w:r>
          </w:p>
        </w:tc>
        <w:tc>
          <w:tcPr>
            <w:tcW w:w="490" w:type="pct"/>
            <w:shd w:val="clear" w:color="000000" w:fill="C0C0C0"/>
            <w:noWrap/>
            <w:tcMar>
              <w:top w:w="13" w:type="dxa"/>
              <w:left w:w="68" w:type="dxa"/>
              <w:bottom w:w="0" w:type="dxa"/>
              <w:right w:w="68" w:type="dxa"/>
            </w:tcMar>
            <w:vAlign w:val="bottom"/>
            <w:hideMark/>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10 580 670</w:t>
            </w:r>
          </w:p>
        </w:tc>
        <w:tc>
          <w:tcPr>
            <w:tcW w:w="490" w:type="pct"/>
            <w:shd w:val="clear" w:color="000000" w:fill="C0C0C0"/>
            <w:noWrap/>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5 813 710</w:t>
            </w:r>
          </w:p>
        </w:tc>
        <w:tc>
          <w:tcPr>
            <w:tcW w:w="491" w:type="pct"/>
            <w:shd w:val="clear" w:color="000000" w:fill="C0C0C0"/>
            <w:noWrap/>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0</w:t>
            </w:r>
          </w:p>
        </w:tc>
        <w:tc>
          <w:tcPr>
            <w:tcW w:w="491" w:type="pct"/>
            <w:shd w:val="clear" w:color="000000" w:fill="C0C0C0"/>
            <w:noWrap/>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29 973 859</w:t>
            </w:r>
          </w:p>
        </w:tc>
        <w:tc>
          <w:tcPr>
            <w:tcW w:w="491" w:type="pct"/>
            <w:shd w:val="clear" w:color="000000" w:fill="C0C0C0"/>
            <w:noWrap/>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0</w:t>
            </w:r>
          </w:p>
        </w:tc>
        <w:tc>
          <w:tcPr>
            <w:tcW w:w="491" w:type="pct"/>
            <w:shd w:val="clear" w:color="000000" w:fill="C0C0C0"/>
            <w:noWrap/>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0</w:t>
            </w:r>
          </w:p>
        </w:tc>
        <w:tc>
          <w:tcPr>
            <w:tcW w:w="491" w:type="pct"/>
            <w:shd w:val="clear" w:color="000000" w:fill="C0C0C0"/>
            <w:noWrap/>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0</w:t>
            </w:r>
          </w:p>
        </w:tc>
      </w:tr>
      <w:tr w:rsidR="003A497B" w:rsidRPr="000746C7" w:rsidTr="003E1809">
        <w:trPr>
          <w:trHeight w:val="255"/>
        </w:trPr>
        <w:tc>
          <w:tcPr>
            <w:tcW w:w="1564" w:type="pct"/>
            <w:shd w:val="clear" w:color="000000" w:fill="FFFFFF"/>
            <w:tcMar>
              <w:top w:w="13" w:type="dxa"/>
              <w:left w:w="13" w:type="dxa"/>
              <w:bottom w:w="0" w:type="dxa"/>
              <w:right w:w="13" w:type="dxa"/>
            </w:tcMar>
            <w:vAlign w:val="bottom"/>
            <w:hideMark/>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 xml:space="preserve">zdroje EÚ </w:t>
            </w:r>
          </w:p>
        </w:tc>
        <w:tc>
          <w:tcPr>
            <w:tcW w:w="490" w:type="pct"/>
            <w:shd w:val="clear" w:color="auto" w:fill="auto"/>
            <w:tcMar>
              <w:top w:w="13" w:type="dxa"/>
              <w:left w:w="68" w:type="dxa"/>
              <w:bottom w:w="0" w:type="dxa"/>
              <w:right w:w="68" w:type="dxa"/>
            </w:tcMar>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90" w:type="pct"/>
            <w:shd w:val="clear" w:color="auto" w:fill="auto"/>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3 095 185</w:t>
            </w:r>
          </w:p>
        </w:tc>
        <w:tc>
          <w:tcPr>
            <w:tcW w:w="491" w:type="pct"/>
            <w:shd w:val="clear" w:color="auto" w:fill="auto"/>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91" w:type="pct"/>
            <w:shd w:val="clear" w:color="auto" w:fill="auto"/>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91" w:type="pct"/>
            <w:shd w:val="clear" w:color="auto" w:fill="auto"/>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91" w:type="pct"/>
            <w:shd w:val="clear" w:color="auto" w:fill="auto"/>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91" w:type="pct"/>
            <w:shd w:val="clear" w:color="auto" w:fill="auto"/>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r>
      <w:tr w:rsidR="003A497B" w:rsidRPr="000746C7" w:rsidTr="003E1809">
        <w:trPr>
          <w:trHeight w:val="255"/>
        </w:trPr>
        <w:tc>
          <w:tcPr>
            <w:tcW w:w="1564" w:type="pct"/>
            <w:shd w:val="clear" w:color="000000" w:fill="FFFFFF"/>
            <w:tcMar>
              <w:top w:w="13" w:type="dxa"/>
              <w:left w:w="13" w:type="dxa"/>
              <w:bottom w:w="0" w:type="dxa"/>
              <w:right w:w="13" w:type="dxa"/>
            </w:tcMar>
            <w:vAlign w:val="bottom"/>
            <w:hideMark/>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spolufinancovanie zo ŠR</w:t>
            </w:r>
          </w:p>
        </w:tc>
        <w:tc>
          <w:tcPr>
            <w:tcW w:w="490" w:type="pct"/>
            <w:shd w:val="clear" w:color="auto" w:fill="auto"/>
            <w:tcMar>
              <w:top w:w="13" w:type="dxa"/>
              <w:left w:w="68" w:type="dxa"/>
              <w:bottom w:w="0" w:type="dxa"/>
              <w:right w:w="68" w:type="dxa"/>
            </w:tcMar>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307 425</w:t>
            </w:r>
          </w:p>
        </w:tc>
        <w:tc>
          <w:tcPr>
            <w:tcW w:w="490" w:type="pct"/>
            <w:shd w:val="clear" w:color="auto" w:fill="auto"/>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620 984</w:t>
            </w:r>
          </w:p>
        </w:tc>
        <w:tc>
          <w:tcPr>
            <w:tcW w:w="491" w:type="pct"/>
            <w:shd w:val="clear" w:color="auto" w:fill="auto"/>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91" w:type="pct"/>
            <w:shd w:val="clear" w:color="auto" w:fill="auto"/>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91" w:type="pct"/>
            <w:shd w:val="clear" w:color="auto" w:fill="auto"/>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91" w:type="pct"/>
            <w:shd w:val="clear" w:color="auto" w:fill="auto"/>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91" w:type="pct"/>
            <w:shd w:val="clear" w:color="auto" w:fill="auto"/>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r>
      <w:tr w:rsidR="003A497B" w:rsidRPr="000746C7" w:rsidTr="003E1809">
        <w:trPr>
          <w:trHeight w:val="255"/>
        </w:trPr>
        <w:tc>
          <w:tcPr>
            <w:tcW w:w="1564" w:type="pct"/>
            <w:shd w:val="clear" w:color="000000" w:fill="FFFFFF"/>
            <w:tcMar>
              <w:top w:w="13" w:type="dxa"/>
              <w:left w:w="13" w:type="dxa"/>
              <w:bottom w:w="0" w:type="dxa"/>
              <w:right w:w="13" w:type="dxa"/>
            </w:tcMar>
            <w:vAlign w:val="bottom"/>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presun z minulých rokov</w:t>
            </w:r>
          </w:p>
        </w:tc>
        <w:tc>
          <w:tcPr>
            <w:tcW w:w="490" w:type="pct"/>
            <w:shd w:val="clear" w:color="auto" w:fill="auto"/>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10 273 245</w:t>
            </w:r>
          </w:p>
        </w:tc>
        <w:tc>
          <w:tcPr>
            <w:tcW w:w="490" w:type="pct"/>
            <w:shd w:val="clear" w:color="auto" w:fill="auto"/>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2 097 542</w:t>
            </w:r>
          </w:p>
        </w:tc>
        <w:tc>
          <w:tcPr>
            <w:tcW w:w="491" w:type="pct"/>
            <w:shd w:val="clear" w:color="auto" w:fill="auto"/>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91" w:type="pct"/>
            <w:shd w:val="clear" w:color="auto" w:fill="auto"/>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29 973 859</w:t>
            </w:r>
          </w:p>
        </w:tc>
        <w:tc>
          <w:tcPr>
            <w:tcW w:w="491" w:type="pct"/>
            <w:shd w:val="clear" w:color="auto" w:fill="auto"/>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91" w:type="pct"/>
            <w:shd w:val="clear" w:color="auto" w:fill="auto"/>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491" w:type="pct"/>
            <w:shd w:val="clear" w:color="auto" w:fill="auto"/>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r>
    </w:tbl>
    <w:p w:rsidR="003A497B" w:rsidRPr="005F1146" w:rsidRDefault="003A497B" w:rsidP="003A497B">
      <w:pPr>
        <w:jc w:val="both"/>
        <w:rPr>
          <w:rFonts w:ascii="Times New Roman" w:hAnsi="Times New Roman" w:cs="Times New Roman"/>
          <w:b/>
        </w:rPr>
      </w:pPr>
    </w:p>
    <w:p w:rsidR="003A497B" w:rsidRDefault="003A497B" w:rsidP="003A497B">
      <w:pPr>
        <w:ind w:firstLine="708"/>
        <w:jc w:val="both"/>
        <w:rPr>
          <w:rFonts w:ascii="Times New Roman" w:hAnsi="Times New Roman" w:cs="Times New Roman"/>
        </w:rPr>
      </w:pPr>
      <w:r w:rsidRPr="005F1146">
        <w:rPr>
          <w:rFonts w:ascii="Times New Roman" w:hAnsi="Times New Roman" w:cs="Times New Roman"/>
        </w:rPr>
        <w:t>Na odpadové hospodárstvo a environmentálne rizikové faktory sa v roku 201</w:t>
      </w:r>
      <w:r>
        <w:rPr>
          <w:rFonts w:ascii="Times New Roman" w:hAnsi="Times New Roman" w:cs="Times New Roman"/>
        </w:rPr>
        <w:t>9 nerozpočtujú žiadne prostriedky</w:t>
      </w:r>
      <w:r w:rsidRPr="00F95B41">
        <w:rPr>
          <w:rFonts w:ascii="Times New Roman" w:hAnsi="Times New Roman" w:cs="Times New Roman"/>
        </w:rPr>
        <w:t xml:space="preserve"> </w:t>
      </w:r>
      <w:r>
        <w:rPr>
          <w:rFonts w:ascii="Times New Roman" w:hAnsi="Times New Roman" w:cs="Times New Roman"/>
        </w:rPr>
        <w:t>EÚ a</w:t>
      </w:r>
      <w:r w:rsidRPr="005F1146">
        <w:rPr>
          <w:rFonts w:ascii="Times New Roman" w:hAnsi="Times New Roman" w:cs="Times New Roman"/>
        </w:rPr>
        <w:t xml:space="preserve"> spolufina</w:t>
      </w:r>
      <w:r>
        <w:rPr>
          <w:rFonts w:ascii="Times New Roman" w:hAnsi="Times New Roman" w:cs="Times New Roman"/>
        </w:rPr>
        <w:t>ncovania v novom programovom období.  V súlade s novým zákonom o poplatkoch za ukladanie odpadov bude táto oblasť od roku 2019 financovaná prostredníctvom Environmentálneho fondu. V predchádzajúcich rokoch prostriedky slúžili</w:t>
      </w:r>
      <w:r w:rsidRPr="005F1146">
        <w:rPr>
          <w:rFonts w:ascii="Times New Roman" w:hAnsi="Times New Roman" w:cs="Times New Roman"/>
        </w:rPr>
        <w:t xml:space="preserve"> na dobudovanie infraštruktúry odpadového hospodárstva (</w:t>
      </w:r>
      <w:r w:rsidRPr="005F1146">
        <w:rPr>
          <w:rFonts w:ascii="Times New Roman" w:hAnsi="Times New Roman" w:cs="Times New Roman"/>
          <w:bCs/>
        </w:rPr>
        <w:t>recyklácia odpadov</w:t>
      </w:r>
      <w:r w:rsidRPr="005F1146">
        <w:rPr>
          <w:rFonts w:ascii="Times New Roman" w:hAnsi="Times New Roman" w:cs="Times New Roman"/>
        </w:rPr>
        <w:t xml:space="preserve">, uzatváranie a rekultivácia </w:t>
      </w:r>
      <w:r w:rsidRPr="005F1146">
        <w:rPr>
          <w:rFonts w:ascii="Times New Roman" w:hAnsi="Times New Roman" w:cs="Times New Roman"/>
          <w:bCs/>
        </w:rPr>
        <w:t>skládok odpadov</w:t>
      </w:r>
      <w:r w:rsidRPr="005F1146">
        <w:rPr>
          <w:rFonts w:ascii="Times New Roman" w:hAnsi="Times New Roman" w:cs="Times New Roman"/>
        </w:rPr>
        <w:t xml:space="preserve">) a elimináciu negatívnych vplyvov </w:t>
      </w:r>
      <w:r w:rsidRPr="005F1146">
        <w:rPr>
          <w:rFonts w:ascii="Times New Roman" w:hAnsi="Times New Roman" w:cs="Times New Roman"/>
          <w:bCs/>
        </w:rPr>
        <w:t>environmentálnych záťaží</w:t>
      </w:r>
      <w:r w:rsidRPr="005F1146">
        <w:rPr>
          <w:rFonts w:ascii="Times New Roman" w:hAnsi="Times New Roman" w:cs="Times New Roman"/>
        </w:rPr>
        <w:t>.</w:t>
      </w:r>
    </w:p>
    <w:p w:rsidR="003A497B" w:rsidRDefault="003A497B" w:rsidP="003A497B">
      <w:pPr>
        <w:ind w:firstLine="708"/>
        <w:jc w:val="both"/>
        <w:rPr>
          <w:rFonts w:ascii="Times New Roman" w:hAnsi="Times New Roman" w:cs="Times New Roman"/>
        </w:rPr>
      </w:pPr>
    </w:p>
    <w:p w:rsidR="003A497B" w:rsidRDefault="003A497B" w:rsidP="003A497B">
      <w:pPr>
        <w:jc w:val="both"/>
        <w:rPr>
          <w:rFonts w:ascii="Times New Roman" w:hAnsi="Times New Roman" w:cs="Times New Roman"/>
          <w:b/>
        </w:rPr>
      </w:pPr>
    </w:p>
    <w:p w:rsidR="003A497B" w:rsidRPr="005F1146" w:rsidRDefault="003A497B" w:rsidP="003A497B">
      <w:pPr>
        <w:jc w:val="both"/>
        <w:rPr>
          <w:rFonts w:ascii="Times New Roman" w:hAnsi="Times New Roman" w:cs="Times New Roman"/>
          <w:b/>
        </w:rPr>
      </w:pPr>
      <w:r w:rsidRPr="005F1146">
        <w:rPr>
          <w:rFonts w:ascii="Times New Roman" w:hAnsi="Times New Roman" w:cs="Times New Roman"/>
          <w:b/>
        </w:rPr>
        <w:lastRenderedPageBreak/>
        <w:t>Ochrana prírody a krajiny</w:t>
      </w:r>
    </w:p>
    <w:p w:rsidR="003A497B" w:rsidRPr="005F1146" w:rsidRDefault="003A497B" w:rsidP="003A497B">
      <w:pPr>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0"/>
        <w:gridCol w:w="920"/>
        <w:gridCol w:w="921"/>
        <w:gridCol w:w="921"/>
        <w:gridCol w:w="921"/>
        <w:gridCol w:w="921"/>
        <w:gridCol w:w="921"/>
        <w:gridCol w:w="917"/>
      </w:tblGrid>
      <w:tr w:rsidR="003A497B" w:rsidRPr="000746C7" w:rsidTr="003E1809">
        <w:trPr>
          <w:trHeight w:val="274"/>
        </w:trPr>
        <w:tc>
          <w:tcPr>
            <w:tcW w:w="1446" w:type="pct"/>
            <w:shd w:val="clear" w:color="auto" w:fill="A6A6A6"/>
            <w:noWrap/>
            <w:vAlign w:val="center"/>
            <w:hideMark/>
          </w:tcPr>
          <w:p w:rsidR="003A497B" w:rsidRPr="000746C7" w:rsidRDefault="003A497B" w:rsidP="003E1809">
            <w:pP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v eurách </w:t>
            </w:r>
          </w:p>
        </w:tc>
        <w:tc>
          <w:tcPr>
            <w:tcW w:w="508" w:type="pct"/>
            <w:shd w:val="clear" w:color="000000" w:fill="A6A6A6"/>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2016 S</w:t>
            </w:r>
          </w:p>
        </w:tc>
        <w:tc>
          <w:tcPr>
            <w:tcW w:w="508"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2017 S</w:t>
            </w:r>
          </w:p>
        </w:tc>
        <w:tc>
          <w:tcPr>
            <w:tcW w:w="508"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2018 R</w:t>
            </w:r>
          </w:p>
        </w:tc>
        <w:tc>
          <w:tcPr>
            <w:tcW w:w="508" w:type="pct"/>
            <w:shd w:val="clear" w:color="000000" w:fill="A6A6A6"/>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2018 OS</w:t>
            </w:r>
          </w:p>
        </w:tc>
        <w:tc>
          <w:tcPr>
            <w:tcW w:w="508"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2019 N</w:t>
            </w:r>
          </w:p>
        </w:tc>
        <w:tc>
          <w:tcPr>
            <w:tcW w:w="508"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2020 N</w:t>
            </w:r>
          </w:p>
        </w:tc>
        <w:tc>
          <w:tcPr>
            <w:tcW w:w="506"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2021 N</w:t>
            </w:r>
          </w:p>
        </w:tc>
      </w:tr>
      <w:tr w:rsidR="003A497B" w:rsidRPr="000746C7" w:rsidTr="003E1809">
        <w:trPr>
          <w:trHeight w:val="274"/>
        </w:trPr>
        <w:tc>
          <w:tcPr>
            <w:tcW w:w="1446" w:type="pct"/>
            <w:shd w:val="clear" w:color="000000" w:fill="BFBFBF"/>
            <w:vAlign w:val="bottom"/>
            <w:hideMark/>
          </w:tcPr>
          <w:p w:rsidR="003A497B" w:rsidRPr="000746C7" w:rsidRDefault="003A497B" w:rsidP="003E1809">
            <w:pP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Ochrana prírody a krajiny</w:t>
            </w:r>
          </w:p>
        </w:tc>
        <w:tc>
          <w:tcPr>
            <w:tcW w:w="508" w:type="pct"/>
            <w:shd w:val="clear" w:color="000000" w:fill="C0C0C0"/>
            <w:noWrap/>
            <w:vAlign w:val="bottom"/>
            <w:hideMark/>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15 940 986</w:t>
            </w:r>
          </w:p>
        </w:tc>
        <w:tc>
          <w:tcPr>
            <w:tcW w:w="508"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15 754 380</w:t>
            </w:r>
          </w:p>
        </w:tc>
        <w:tc>
          <w:tcPr>
            <w:tcW w:w="508"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18 321 770</w:t>
            </w:r>
          </w:p>
        </w:tc>
        <w:tc>
          <w:tcPr>
            <w:tcW w:w="508" w:type="pct"/>
            <w:tcBorders>
              <w:top w:val="single" w:sz="4" w:space="0" w:color="auto"/>
              <w:left w:val="single" w:sz="4" w:space="0" w:color="auto"/>
              <w:bottom w:val="single" w:sz="4" w:space="0" w:color="auto"/>
              <w:right w:val="single" w:sz="4" w:space="0" w:color="auto"/>
            </w:tcBorders>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26 141 601</w:t>
            </w:r>
          </w:p>
        </w:tc>
        <w:tc>
          <w:tcPr>
            <w:tcW w:w="508" w:type="pct"/>
            <w:tcBorders>
              <w:top w:val="single" w:sz="4" w:space="0" w:color="auto"/>
              <w:left w:val="nil"/>
              <w:bottom w:val="single" w:sz="4" w:space="0" w:color="auto"/>
              <w:right w:val="single" w:sz="4" w:space="0" w:color="auto"/>
            </w:tcBorders>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17 472 573</w:t>
            </w:r>
          </w:p>
        </w:tc>
        <w:tc>
          <w:tcPr>
            <w:tcW w:w="508"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14 106 603</w:t>
            </w:r>
          </w:p>
        </w:tc>
        <w:tc>
          <w:tcPr>
            <w:tcW w:w="506"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13 597 161</w:t>
            </w:r>
          </w:p>
        </w:tc>
      </w:tr>
      <w:tr w:rsidR="003A497B" w:rsidRPr="000746C7" w:rsidTr="003E1809">
        <w:trPr>
          <w:trHeight w:val="274"/>
        </w:trPr>
        <w:tc>
          <w:tcPr>
            <w:tcW w:w="1446" w:type="pct"/>
            <w:shd w:val="clear" w:color="000000" w:fill="auto"/>
            <w:vAlign w:val="bottom"/>
            <w:hideMark/>
          </w:tcPr>
          <w:p w:rsidR="003A497B" w:rsidRPr="000746C7" w:rsidRDefault="003A497B" w:rsidP="003E1809">
            <w:pPr>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rozpočtové zdroje kapitoly, v tom:</w:t>
            </w:r>
          </w:p>
        </w:tc>
        <w:tc>
          <w:tcPr>
            <w:tcW w:w="508" w:type="pct"/>
            <w:shd w:val="clear" w:color="auto" w:fill="auto"/>
            <w:noWrap/>
            <w:vAlign w:val="bottom"/>
            <w:hideMark/>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10 519 359</w:t>
            </w:r>
          </w:p>
        </w:tc>
        <w:tc>
          <w:tcPr>
            <w:tcW w:w="508" w:type="pct"/>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14 796 698</w:t>
            </w:r>
          </w:p>
        </w:tc>
        <w:tc>
          <w:tcPr>
            <w:tcW w:w="508" w:type="pct"/>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14 821 770</w:t>
            </w:r>
          </w:p>
        </w:tc>
        <w:tc>
          <w:tcPr>
            <w:tcW w:w="508" w:type="pct"/>
            <w:tcBorders>
              <w:top w:val="nil"/>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19 120 422</w:t>
            </w:r>
          </w:p>
        </w:tc>
        <w:tc>
          <w:tcPr>
            <w:tcW w:w="508" w:type="pct"/>
            <w:tcBorders>
              <w:top w:val="nil"/>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15 972 573</w:t>
            </w:r>
          </w:p>
        </w:tc>
        <w:tc>
          <w:tcPr>
            <w:tcW w:w="508" w:type="pct"/>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11 597 161</w:t>
            </w:r>
          </w:p>
        </w:tc>
        <w:tc>
          <w:tcPr>
            <w:tcW w:w="506" w:type="pct"/>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11 597 161</w:t>
            </w:r>
          </w:p>
        </w:tc>
      </w:tr>
      <w:tr w:rsidR="003A497B" w:rsidRPr="000746C7" w:rsidTr="003E1809">
        <w:trPr>
          <w:trHeight w:val="274"/>
        </w:trPr>
        <w:tc>
          <w:tcPr>
            <w:tcW w:w="1446" w:type="pct"/>
            <w:shd w:val="clear" w:color="000000" w:fill="FFFFFF"/>
            <w:noWrap/>
            <w:vAlign w:val="bottom"/>
            <w:hideMark/>
          </w:tcPr>
          <w:p w:rsidR="003A497B" w:rsidRPr="000746C7" w:rsidRDefault="003A497B" w:rsidP="003E1809">
            <w:pPr>
              <w:rPr>
                <w:rFonts w:ascii="Times New Roman" w:hAnsi="Times New Roman" w:cs="Times New Roman"/>
                <w:i/>
                <w:color w:val="000000"/>
                <w:sz w:val="14"/>
                <w:szCs w:val="14"/>
              </w:rPr>
            </w:pPr>
            <w:r w:rsidRPr="000746C7">
              <w:rPr>
                <w:rFonts w:ascii="Times New Roman" w:hAnsi="Times New Roman" w:cs="Times New Roman"/>
                <w:i/>
                <w:color w:val="000000"/>
                <w:sz w:val="14"/>
                <w:szCs w:val="14"/>
              </w:rPr>
              <w:t>Aparát - geol. služby, na náhradu</w:t>
            </w:r>
          </w:p>
        </w:tc>
        <w:tc>
          <w:tcPr>
            <w:tcW w:w="508" w:type="pct"/>
            <w:shd w:val="clear" w:color="000000" w:fill="FFFFFF"/>
            <w:noWrap/>
            <w:vAlign w:val="bottom"/>
            <w:hideMark/>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678 787</w:t>
            </w:r>
          </w:p>
        </w:tc>
        <w:tc>
          <w:tcPr>
            <w:tcW w:w="508"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1 104 075</w:t>
            </w:r>
          </w:p>
        </w:tc>
        <w:tc>
          <w:tcPr>
            <w:tcW w:w="508"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4 435 000</w:t>
            </w:r>
          </w:p>
        </w:tc>
        <w:tc>
          <w:tcPr>
            <w:tcW w:w="508" w:type="pct"/>
            <w:tcBorders>
              <w:top w:val="nil"/>
              <w:left w:val="single" w:sz="4" w:space="0" w:color="auto"/>
              <w:bottom w:val="single" w:sz="4" w:space="0" w:color="auto"/>
              <w:right w:val="single" w:sz="4" w:space="0" w:color="auto"/>
            </w:tcBorders>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6 159 762</w:t>
            </w:r>
          </w:p>
        </w:tc>
        <w:tc>
          <w:tcPr>
            <w:tcW w:w="508" w:type="pct"/>
            <w:tcBorders>
              <w:top w:val="nil"/>
              <w:left w:val="nil"/>
              <w:bottom w:val="single" w:sz="4" w:space="0" w:color="auto"/>
              <w:right w:val="single" w:sz="4" w:space="0" w:color="auto"/>
            </w:tcBorders>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4 755 412</w:t>
            </w:r>
          </w:p>
        </w:tc>
        <w:tc>
          <w:tcPr>
            <w:tcW w:w="508"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380 000</w:t>
            </w:r>
          </w:p>
        </w:tc>
        <w:tc>
          <w:tcPr>
            <w:tcW w:w="506"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380 000</w:t>
            </w:r>
          </w:p>
        </w:tc>
      </w:tr>
      <w:tr w:rsidR="003A497B" w:rsidRPr="000746C7" w:rsidTr="003E1809">
        <w:trPr>
          <w:trHeight w:val="274"/>
        </w:trPr>
        <w:tc>
          <w:tcPr>
            <w:tcW w:w="1446" w:type="pct"/>
            <w:shd w:val="clear" w:color="000000" w:fill="FFFFFF"/>
            <w:noWrap/>
            <w:vAlign w:val="bottom"/>
            <w:hideMark/>
          </w:tcPr>
          <w:p w:rsidR="003A497B" w:rsidRPr="000746C7" w:rsidRDefault="003A497B" w:rsidP="003E1809">
            <w:pPr>
              <w:rPr>
                <w:rFonts w:ascii="Times New Roman" w:hAnsi="Times New Roman" w:cs="Times New Roman"/>
                <w:i/>
                <w:color w:val="000000"/>
                <w:sz w:val="14"/>
                <w:szCs w:val="14"/>
              </w:rPr>
            </w:pPr>
            <w:r w:rsidRPr="000746C7">
              <w:rPr>
                <w:rFonts w:ascii="Times New Roman" w:hAnsi="Times New Roman" w:cs="Times New Roman"/>
                <w:i/>
                <w:color w:val="000000"/>
                <w:sz w:val="14"/>
                <w:szCs w:val="14"/>
              </w:rPr>
              <w:t>Štátny geologický ústav Dionýza Štúra</w:t>
            </w:r>
          </w:p>
        </w:tc>
        <w:tc>
          <w:tcPr>
            <w:tcW w:w="508" w:type="pct"/>
            <w:shd w:val="clear" w:color="000000" w:fill="FFFFFF"/>
            <w:noWrap/>
            <w:vAlign w:val="bottom"/>
            <w:hideMark/>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4 353 250</w:t>
            </w:r>
          </w:p>
        </w:tc>
        <w:tc>
          <w:tcPr>
            <w:tcW w:w="508"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4 817 947</w:t>
            </w:r>
          </w:p>
        </w:tc>
        <w:tc>
          <w:tcPr>
            <w:tcW w:w="508"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3 424 944</w:t>
            </w:r>
          </w:p>
        </w:tc>
        <w:tc>
          <w:tcPr>
            <w:tcW w:w="508" w:type="pct"/>
            <w:tcBorders>
              <w:top w:val="nil"/>
              <w:left w:val="single" w:sz="4" w:space="0" w:color="auto"/>
              <w:bottom w:val="single" w:sz="4" w:space="0" w:color="auto"/>
              <w:right w:val="single" w:sz="4" w:space="0" w:color="auto"/>
            </w:tcBorders>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4 437 733</w:t>
            </w:r>
          </w:p>
        </w:tc>
        <w:tc>
          <w:tcPr>
            <w:tcW w:w="508" w:type="pct"/>
            <w:tcBorders>
              <w:top w:val="nil"/>
              <w:left w:val="nil"/>
              <w:bottom w:val="single" w:sz="4" w:space="0" w:color="auto"/>
              <w:right w:val="single" w:sz="4" w:space="0" w:color="auto"/>
            </w:tcBorders>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3 444 944</w:t>
            </w:r>
          </w:p>
        </w:tc>
        <w:tc>
          <w:tcPr>
            <w:tcW w:w="508"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3 444 944</w:t>
            </w:r>
          </w:p>
        </w:tc>
        <w:tc>
          <w:tcPr>
            <w:tcW w:w="506"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3 444 944</w:t>
            </w:r>
          </w:p>
        </w:tc>
      </w:tr>
      <w:tr w:rsidR="003A497B" w:rsidRPr="000746C7" w:rsidTr="003E1809">
        <w:trPr>
          <w:trHeight w:val="274"/>
        </w:trPr>
        <w:tc>
          <w:tcPr>
            <w:tcW w:w="1446" w:type="pct"/>
            <w:shd w:val="clear" w:color="000000" w:fill="FFFFFF"/>
            <w:noWrap/>
            <w:vAlign w:val="bottom"/>
            <w:hideMark/>
          </w:tcPr>
          <w:p w:rsidR="003A497B" w:rsidRPr="000746C7" w:rsidRDefault="003A497B" w:rsidP="003E1809">
            <w:pPr>
              <w:rPr>
                <w:rFonts w:ascii="Times New Roman" w:hAnsi="Times New Roman" w:cs="Times New Roman"/>
                <w:i/>
                <w:color w:val="000000"/>
                <w:sz w:val="14"/>
                <w:szCs w:val="14"/>
              </w:rPr>
            </w:pPr>
            <w:r w:rsidRPr="000746C7">
              <w:rPr>
                <w:rFonts w:ascii="Times New Roman" w:hAnsi="Times New Roman" w:cs="Times New Roman"/>
                <w:i/>
                <w:color w:val="000000"/>
                <w:sz w:val="14"/>
                <w:szCs w:val="14"/>
              </w:rPr>
              <w:t>Slovenské banské múzeum</w:t>
            </w:r>
          </w:p>
        </w:tc>
        <w:tc>
          <w:tcPr>
            <w:tcW w:w="508" w:type="pct"/>
            <w:shd w:val="clear" w:color="000000" w:fill="FFFFFF"/>
            <w:noWrap/>
            <w:vAlign w:val="bottom"/>
            <w:hideMark/>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937 542</w:t>
            </w:r>
          </w:p>
        </w:tc>
        <w:tc>
          <w:tcPr>
            <w:tcW w:w="508"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797 218</w:t>
            </w:r>
          </w:p>
        </w:tc>
        <w:tc>
          <w:tcPr>
            <w:tcW w:w="508"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705 846</w:t>
            </w:r>
          </w:p>
        </w:tc>
        <w:tc>
          <w:tcPr>
            <w:tcW w:w="508" w:type="pct"/>
            <w:tcBorders>
              <w:top w:val="nil"/>
              <w:left w:val="single" w:sz="4" w:space="0" w:color="auto"/>
              <w:bottom w:val="single" w:sz="4" w:space="0" w:color="auto"/>
              <w:right w:val="single" w:sz="4" w:space="0" w:color="auto"/>
            </w:tcBorders>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799 941</w:t>
            </w:r>
          </w:p>
        </w:tc>
        <w:tc>
          <w:tcPr>
            <w:tcW w:w="508" w:type="pct"/>
            <w:tcBorders>
              <w:top w:val="nil"/>
              <w:left w:val="nil"/>
              <w:bottom w:val="single" w:sz="4" w:space="0" w:color="auto"/>
              <w:right w:val="single" w:sz="4" w:space="0" w:color="auto"/>
            </w:tcBorders>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705 846</w:t>
            </w:r>
          </w:p>
        </w:tc>
        <w:tc>
          <w:tcPr>
            <w:tcW w:w="508"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705 846</w:t>
            </w:r>
          </w:p>
        </w:tc>
        <w:tc>
          <w:tcPr>
            <w:tcW w:w="506"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705 846</w:t>
            </w:r>
          </w:p>
        </w:tc>
      </w:tr>
      <w:tr w:rsidR="003A497B" w:rsidRPr="000746C7" w:rsidTr="003E1809">
        <w:trPr>
          <w:trHeight w:val="274"/>
        </w:trPr>
        <w:tc>
          <w:tcPr>
            <w:tcW w:w="1446" w:type="pct"/>
            <w:shd w:val="clear" w:color="000000" w:fill="FFFFFF"/>
            <w:noWrap/>
            <w:vAlign w:val="bottom"/>
            <w:hideMark/>
          </w:tcPr>
          <w:p w:rsidR="003A497B" w:rsidRPr="000746C7" w:rsidRDefault="003A497B" w:rsidP="003E1809">
            <w:pPr>
              <w:rPr>
                <w:rFonts w:ascii="Times New Roman" w:hAnsi="Times New Roman" w:cs="Times New Roman"/>
                <w:i/>
                <w:color w:val="000000"/>
                <w:sz w:val="14"/>
                <w:szCs w:val="14"/>
              </w:rPr>
            </w:pPr>
            <w:r w:rsidRPr="000746C7">
              <w:rPr>
                <w:rFonts w:ascii="Times New Roman" w:hAnsi="Times New Roman" w:cs="Times New Roman"/>
                <w:i/>
                <w:color w:val="000000"/>
                <w:sz w:val="14"/>
                <w:szCs w:val="14"/>
              </w:rPr>
              <w:t>ZOO Bojnice</w:t>
            </w:r>
          </w:p>
        </w:tc>
        <w:tc>
          <w:tcPr>
            <w:tcW w:w="508" w:type="pct"/>
            <w:shd w:val="clear" w:color="000000" w:fill="FFFFFF"/>
            <w:noWrap/>
            <w:vAlign w:val="bottom"/>
            <w:hideMark/>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1 246 167</w:t>
            </w:r>
          </w:p>
        </w:tc>
        <w:tc>
          <w:tcPr>
            <w:tcW w:w="508"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1 273 675</w:t>
            </w:r>
          </w:p>
        </w:tc>
        <w:tc>
          <w:tcPr>
            <w:tcW w:w="508"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1 130 605</w:t>
            </w:r>
          </w:p>
        </w:tc>
        <w:tc>
          <w:tcPr>
            <w:tcW w:w="508" w:type="pct"/>
            <w:tcBorders>
              <w:top w:val="nil"/>
              <w:left w:val="single" w:sz="4" w:space="0" w:color="auto"/>
              <w:bottom w:val="single" w:sz="4" w:space="0" w:color="auto"/>
              <w:right w:val="single" w:sz="4" w:space="0" w:color="auto"/>
            </w:tcBorders>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1 210 451</w:t>
            </w:r>
          </w:p>
        </w:tc>
        <w:tc>
          <w:tcPr>
            <w:tcW w:w="508" w:type="pct"/>
            <w:tcBorders>
              <w:top w:val="nil"/>
              <w:left w:val="nil"/>
              <w:bottom w:val="single" w:sz="4" w:space="0" w:color="auto"/>
              <w:right w:val="single" w:sz="4" w:space="0" w:color="auto"/>
            </w:tcBorders>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1 198 002</w:t>
            </w:r>
          </w:p>
        </w:tc>
        <w:tc>
          <w:tcPr>
            <w:tcW w:w="508"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1 198 002</w:t>
            </w:r>
          </w:p>
        </w:tc>
        <w:tc>
          <w:tcPr>
            <w:tcW w:w="506"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1 198 002</w:t>
            </w:r>
          </w:p>
        </w:tc>
      </w:tr>
      <w:tr w:rsidR="003A497B" w:rsidRPr="000746C7" w:rsidTr="003E1809">
        <w:trPr>
          <w:trHeight w:val="274"/>
        </w:trPr>
        <w:tc>
          <w:tcPr>
            <w:tcW w:w="1446" w:type="pct"/>
            <w:shd w:val="clear" w:color="000000" w:fill="FFFFFF"/>
            <w:noWrap/>
            <w:vAlign w:val="bottom"/>
            <w:hideMark/>
          </w:tcPr>
          <w:p w:rsidR="003A497B" w:rsidRPr="000746C7" w:rsidRDefault="003A497B" w:rsidP="003E1809">
            <w:pPr>
              <w:rPr>
                <w:rFonts w:ascii="Times New Roman" w:hAnsi="Times New Roman" w:cs="Times New Roman"/>
                <w:i/>
                <w:color w:val="000000"/>
                <w:sz w:val="14"/>
                <w:szCs w:val="14"/>
              </w:rPr>
            </w:pPr>
            <w:r w:rsidRPr="000746C7">
              <w:rPr>
                <w:rFonts w:ascii="Times New Roman" w:hAnsi="Times New Roman" w:cs="Times New Roman"/>
                <w:i/>
                <w:color w:val="000000"/>
                <w:sz w:val="14"/>
                <w:szCs w:val="14"/>
              </w:rPr>
              <w:t>Štátna ochrana prírody SR</w:t>
            </w:r>
          </w:p>
        </w:tc>
        <w:tc>
          <w:tcPr>
            <w:tcW w:w="508" w:type="pct"/>
            <w:shd w:val="clear" w:color="000000" w:fill="FFFFFF"/>
            <w:noWrap/>
            <w:vAlign w:val="bottom"/>
            <w:hideMark/>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2 556 898</w:t>
            </w:r>
          </w:p>
        </w:tc>
        <w:tc>
          <w:tcPr>
            <w:tcW w:w="508"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5 958 258</w:t>
            </w:r>
          </w:p>
        </w:tc>
        <w:tc>
          <w:tcPr>
            <w:tcW w:w="508"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4 512 250</w:t>
            </w:r>
          </w:p>
        </w:tc>
        <w:tc>
          <w:tcPr>
            <w:tcW w:w="508" w:type="pct"/>
            <w:tcBorders>
              <w:top w:val="nil"/>
              <w:left w:val="single" w:sz="4" w:space="0" w:color="auto"/>
              <w:bottom w:val="single" w:sz="4" w:space="0" w:color="auto"/>
              <w:right w:val="single" w:sz="4" w:space="0" w:color="auto"/>
            </w:tcBorders>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5 735 197</w:t>
            </w:r>
          </w:p>
        </w:tc>
        <w:tc>
          <w:tcPr>
            <w:tcW w:w="508" w:type="pct"/>
            <w:tcBorders>
              <w:top w:val="nil"/>
              <w:left w:val="nil"/>
              <w:bottom w:val="single" w:sz="4" w:space="0" w:color="auto"/>
              <w:right w:val="single" w:sz="4" w:space="0" w:color="auto"/>
            </w:tcBorders>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5 225 244</w:t>
            </w:r>
          </w:p>
        </w:tc>
        <w:tc>
          <w:tcPr>
            <w:tcW w:w="508"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5 225 244</w:t>
            </w:r>
          </w:p>
        </w:tc>
        <w:tc>
          <w:tcPr>
            <w:tcW w:w="506"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5 225 244</w:t>
            </w:r>
          </w:p>
        </w:tc>
      </w:tr>
      <w:tr w:rsidR="003A497B" w:rsidRPr="000746C7" w:rsidTr="003E1809">
        <w:trPr>
          <w:trHeight w:val="274"/>
        </w:trPr>
        <w:tc>
          <w:tcPr>
            <w:tcW w:w="1446" w:type="pct"/>
            <w:shd w:val="clear" w:color="000000" w:fill="FFFFFF"/>
            <w:noWrap/>
            <w:vAlign w:val="bottom"/>
            <w:hideMark/>
          </w:tcPr>
          <w:p w:rsidR="003A497B" w:rsidRPr="000746C7" w:rsidRDefault="003A497B" w:rsidP="003E1809">
            <w:pPr>
              <w:rPr>
                <w:rFonts w:ascii="Times New Roman" w:hAnsi="Times New Roman" w:cs="Times New Roman"/>
                <w:i/>
                <w:color w:val="000000"/>
                <w:sz w:val="14"/>
                <w:szCs w:val="14"/>
              </w:rPr>
            </w:pPr>
            <w:r w:rsidRPr="000746C7">
              <w:rPr>
                <w:rFonts w:ascii="Times New Roman" w:hAnsi="Times New Roman" w:cs="Times New Roman"/>
                <w:i/>
                <w:color w:val="000000"/>
                <w:sz w:val="14"/>
                <w:szCs w:val="14"/>
              </w:rPr>
              <w:t>Slovenské múzeum ochrany prírody a jaskyniarstva</w:t>
            </w:r>
          </w:p>
        </w:tc>
        <w:tc>
          <w:tcPr>
            <w:tcW w:w="508" w:type="pct"/>
            <w:shd w:val="clear" w:color="000000" w:fill="FFFFFF"/>
            <w:noWrap/>
            <w:vAlign w:val="bottom"/>
            <w:hideMark/>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746 715</w:t>
            </w:r>
          </w:p>
        </w:tc>
        <w:tc>
          <w:tcPr>
            <w:tcW w:w="508"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845 525</w:t>
            </w:r>
          </w:p>
        </w:tc>
        <w:tc>
          <w:tcPr>
            <w:tcW w:w="508"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613 125</w:t>
            </w:r>
          </w:p>
        </w:tc>
        <w:tc>
          <w:tcPr>
            <w:tcW w:w="508" w:type="pct"/>
            <w:tcBorders>
              <w:top w:val="nil"/>
              <w:left w:val="single" w:sz="4" w:space="0" w:color="auto"/>
              <w:bottom w:val="single" w:sz="4" w:space="0" w:color="auto"/>
              <w:right w:val="single" w:sz="4" w:space="0" w:color="auto"/>
            </w:tcBorders>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777 338</w:t>
            </w:r>
          </w:p>
        </w:tc>
        <w:tc>
          <w:tcPr>
            <w:tcW w:w="508" w:type="pct"/>
            <w:tcBorders>
              <w:top w:val="nil"/>
              <w:left w:val="nil"/>
              <w:bottom w:val="single" w:sz="4" w:space="0" w:color="auto"/>
              <w:right w:val="single" w:sz="4" w:space="0" w:color="auto"/>
            </w:tcBorders>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643 125</w:t>
            </w:r>
          </w:p>
        </w:tc>
        <w:tc>
          <w:tcPr>
            <w:tcW w:w="508"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643 125</w:t>
            </w:r>
          </w:p>
        </w:tc>
        <w:tc>
          <w:tcPr>
            <w:tcW w:w="506" w:type="pct"/>
            <w:shd w:val="clear" w:color="000000" w:fill="FFFFFF"/>
            <w:noWrap/>
            <w:vAlign w:val="bottom"/>
          </w:tcPr>
          <w:p w:rsidR="003A497B" w:rsidRPr="000746C7" w:rsidRDefault="003A497B" w:rsidP="003E1809">
            <w:pPr>
              <w:jc w:val="right"/>
              <w:rPr>
                <w:rFonts w:ascii="Times New Roman" w:hAnsi="Times New Roman" w:cs="Times New Roman"/>
                <w:i/>
                <w:iCs/>
                <w:color w:val="000000"/>
                <w:sz w:val="14"/>
                <w:szCs w:val="14"/>
              </w:rPr>
            </w:pPr>
            <w:r w:rsidRPr="000746C7">
              <w:rPr>
                <w:rFonts w:ascii="Times New Roman" w:hAnsi="Times New Roman" w:cs="Times New Roman"/>
                <w:i/>
                <w:iCs/>
                <w:color w:val="000000"/>
                <w:sz w:val="14"/>
                <w:szCs w:val="14"/>
              </w:rPr>
              <w:t>643 125</w:t>
            </w:r>
          </w:p>
        </w:tc>
      </w:tr>
      <w:tr w:rsidR="003A497B" w:rsidRPr="000746C7" w:rsidTr="003E1809">
        <w:trPr>
          <w:trHeight w:val="274"/>
        </w:trPr>
        <w:tc>
          <w:tcPr>
            <w:tcW w:w="1446" w:type="pct"/>
            <w:shd w:val="clear" w:color="000000" w:fill="FFFFFF"/>
            <w:noWrap/>
            <w:vAlign w:val="bottom"/>
            <w:hideMark/>
          </w:tcPr>
          <w:p w:rsidR="003A497B" w:rsidRPr="000746C7" w:rsidRDefault="003A497B" w:rsidP="003E1809">
            <w:pPr>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 xml:space="preserve">zdroje EÚ </w:t>
            </w:r>
          </w:p>
        </w:tc>
        <w:tc>
          <w:tcPr>
            <w:tcW w:w="508" w:type="pct"/>
            <w:shd w:val="clear" w:color="auto" w:fill="auto"/>
            <w:noWrap/>
            <w:vAlign w:val="bottom"/>
            <w:hideMark/>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0</w:t>
            </w:r>
          </w:p>
        </w:tc>
        <w:tc>
          <w:tcPr>
            <w:tcW w:w="508" w:type="pct"/>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0</w:t>
            </w:r>
          </w:p>
        </w:tc>
        <w:tc>
          <w:tcPr>
            <w:tcW w:w="508" w:type="pct"/>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0</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0</w:t>
            </w:r>
          </w:p>
        </w:tc>
        <w:tc>
          <w:tcPr>
            <w:tcW w:w="508" w:type="pct"/>
            <w:tcBorders>
              <w:top w:val="single" w:sz="4" w:space="0" w:color="auto"/>
              <w:left w:val="nil"/>
              <w:bottom w:val="single" w:sz="4" w:space="0" w:color="auto"/>
              <w:right w:val="single" w:sz="4" w:space="0" w:color="auto"/>
            </w:tcBorders>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0</w:t>
            </w:r>
          </w:p>
        </w:tc>
        <w:tc>
          <w:tcPr>
            <w:tcW w:w="508" w:type="pct"/>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0</w:t>
            </w:r>
          </w:p>
        </w:tc>
        <w:tc>
          <w:tcPr>
            <w:tcW w:w="506" w:type="pct"/>
            <w:shd w:val="clear" w:color="auto" w:fill="auto"/>
            <w:noWrap/>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0</w:t>
            </w:r>
          </w:p>
        </w:tc>
      </w:tr>
      <w:tr w:rsidR="003A497B" w:rsidRPr="000746C7" w:rsidTr="003E1809">
        <w:trPr>
          <w:trHeight w:val="274"/>
        </w:trPr>
        <w:tc>
          <w:tcPr>
            <w:tcW w:w="1446" w:type="pct"/>
            <w:shd w:val="clear" w:color="000000" w:fill="FFFFFF"/>
            <w:vAlign w:val="bottom"/>
            <w:hideMark/>
          </w:tcPr>
          <w:p w:rsidR="003A497B" w:rsidRPr="000746C7" w:rsidRDefault="003A497B" w:rsidP="003E1809">
            <w:pPr>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spolufinancovanie zo ŠR</w:t>
            </w:r>
          </w:p>
        </w:tc>
        <w:tc>
          <w:tcPr>
            <w:tcW w:w="508" w:type="pct"/>
            <w:shd w:val="clear" w:color="auto" w:fill="auto"/>
            <w:vAlign w:val="bottom"/>
            <w:hideMark/>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265 892</w:t>
            </w:r>
          </w:p>
        </w:tc>
        <w:tc>
          <w:tcPr>
            <w:tcW w:w="508" w:type="pct"/>
            <w:shd w:val="clear" w:color="auto" w:fill="auto"/>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0</w:t>
            </w:r>
          </w:p>
        </w:tc>
        <w:tc>
          <w:tcPr>
            <w:tcW w:w="508" w:type="pct"/>
            <w:shd w:val="clear" w:color="auto" w:fill="auto"/>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3 500 000</w:t>
            </w:r>
          </w:p>
        </w:tc>
        <w:tc>
          <w:tcPr>
            <w:tcW w:w="508" w:type="pct"/>
            <w:tcBorders>
              <w:top w:val="nil"/>
              <w:left w:val="single" w:sz="4" w:space="0" w:color="auto"/>
              <w:bottom w:val="single" w:sz="4" w:space="0" w:color="auto"/>
              <w:right w:val="single" w:sz="4" w:space="0" w:color="auto"/>
            </w:tcBorders>
            <w:shd w:val="clear" w:color="auto" w:fill="auto"/>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0</w:t>
            </w:r>
          </w:p>
        </w:tc>
        <w:tc>
          <w:tcPr>
            <w:tcW w:w="508" w:type="pct"/>
            <w:tcBorders>
              <w:top w:val="nil"/>
              <w:left w:val="nil"/>
              <w:bottom w:val="single" w:sz="4" w:space="0" w:color="auto"/>
              <w:right w:val="single" w:sz="4" w:space="0" w:color="auto"/>
            </w:tcBorders>
            <w:shd w:val="clear" w:color="auto" w:fill="auto"/>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1 500 000</w:t>
            </w:r>
          </w:p>
        </w:tc>
        <w:tc>
          <w:tcPr>
            <w:tcW w:w="508" w:type="pct"/>
            <w:shd w:val="clear" w:color="auto" w:fill="auto"/>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2 509 442</w:t>
            </w:r>
          </w:p>
        </w:tc>
        <w:tc>
          <w:tcPr>
            <w:tcW w:w="506" w:type="pct"/>
            <w:shd w:val="clear" w:color="auto" w:fill="auto"/>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2 000 000</w:t>
            </w:r>
          </w:p>
        </w:tc>
      </w:tr>
      <w:tr w:rsidR="003A497B" w:rsidRPr="000746C7" w:rsidTr="003E1809">
        <w:trPr>
          <w:trHeight w:val="274"/>
        </w:trPr>
        <w:tc>
          <w:tcPr>
            <w:tcW w:w="1446" w:type="pct"/>
            <w:shd w:val="clear" w:color="000000" w:fill="FFFFFF"/>
            <w:vAlign w:val="bottom"/>
          </w:tcPr>
          <w:p w:rsidR="003A497B" w:rsidRPr="000746C7" w:rsidRDefault="003A497B" w:rsidP="003E1809">
            <w:pPr>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presun z minulých rokov</w:t>
            </w:r>
          </w:p>
        </w:tc>
        <w:tc>
          <w:tcPr>
            <w:tcW w:w="508" w:type="pct"/>
            <w:shd w:val="clear" w:color="auto" w:fill="auto"/>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5 155 735</w:t>
            </w:r>
          </w:p>
        </w:tc>
        <w:tc>
          <w:tcPr>
            <w:tcW w:w="508" w:type="pct"/>
            <w:shd w:val="clear" w:color="auto" w:fill="auto"/>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957 682</w:t>
            </w:r>
          </w:p>
        </w:tc>
        <w:tc>
          <w:tcPr>
            <w:tcW w:w="508" w:type="pct"/>
            <w:shd w:val="clear" w:color="auto" w:fill="auto"/>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0</w:t>
            </w:r>
          </w:p>
        </w:tc>
        <w:tc>
          <w:tcPr>
            <w:tcW w:w="508" w:type="pct"/>
            <w:tcBorders>
              <w:top w:val="nil"/>
              <w:left w:val="single" w:sz="4" w:space="0" w:color="auto"/>
              <w:bottom w:val="single" w:sz="4" w:space="0" w:color="auto"/>
              <w:right w:val="single" w:sz="4" w:space="0" w:color="auto"/>
            </w:tcBorders>
            <w:shd w:val="clear" w:color="auto" w:fill="auto"/>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7 021 179</w:t>
            </w:r>
          </w:p>
        </w:tc>
        <w:tc>
          <w:tcPr>
            <w:tcW w:w="508" w:type="pct"/>
            <w:tcBorders>
              <w:top w:val="nil"/>
              <w:left w:val="nil"/>
              <w:bottom w:val="single" w:sz="4" w:space="0" w:color="auto"/>
              <w:right w:val="single" w:sz="4" w:space="0" w:color="auto"/>
            </w:tcBorders>
            <w:shd w:val="clear" w:color="auto" w:fill="auto"/>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0</w:t>
            </w:r>
          </w:p>
        </w:tc>
        <w:tc>
          <w:tcPr>
            <w:tcW w:w="508" w:type="pct"/>
            <w:shd w:val="clear" w:color="auto" w:fill="auto"/>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0</w:t>
            </w:r>
          </w:p>
        </w:tc>
        <w:tc>
          <w:tcPr>
            <w:tcW w:w="506" w:type="pct"/>
            <w:shd w:val="clear" w:color="auto" w:fill="auto"/>
            <w:vAlign w:val="bottom"/>
          </w:tcPr>
          <w:p w:rsidR="003A497B" w:rsidRPr="000746C7" w:rsidRDefault="003A497B" w:rsidP="003E1809">
            <w:pPr>
              <w:jc w:val="right"/>
              <w:rPr>
                <w:rFonts w:ascii="Times New Roman" w:hAnsi="Times New Roman" w:cs="Times New Roman"/>
                <w:b/>
                <w:color w:val="000000"/>
                <w:sz w:val="14"/>
                <w:szCs w:val="14"/>
              </w:rPr>
            </w:pPr>
            <w:r w:rsidRPr="000746C7">
              <w:rPr>
                <w:rFonts w:ascii="Times New Roman" w:hAnsi="Times New Roman" w:cs="Times New Roman"/>
                <w:b/>
                <w:color w:val="000000"/>
                <w:sz w:val="14"/>
                <w:szCs w:val="14"/>
              </w:rPr>
              <w:t>0</w:t>
            </w:r>
          </w:p>
        </w:tc>
      </w:tr>
    </w:tbl>
    <w:p w:rsidR="003A497B"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sidRPr="005F1146">
        <w:rPr>
          <w:rFonts w:ascii="Times New Roman" w:hAnsi="Times New Roman" w:cs="Times New Roman"/>
        </w:rPr>
        <w:t>Na</w:t>
      </w:r>
      <w:r w:rsidRPr="005F1146">
        <w:rPr>
          <w:rFonts w:ascii="Times New Roman" w:hAnsi="Times New Roman" w:cs="Times New Roman"/>
          <w:bCs/>
        </w:rPr>
        <w:t xml:space="preserve"> </w:t>
      </w:r>
      <w:r w:rsidRPr="005F1146">
        <w:rPr>
          <w:rFonts w:ascii="Times New Roman" w:hAnsi="Times New Roman" w:cs="Times New Roman"/>
        </w:rPr>
        <w:t>ochranu prírody a krajiny sa v roku 201</w:t>
      </w:r>
      <w:r>
        <w:rPr>
          <w:rFonts w:ascii="Times New Roman" w:hAnsi="Times New Roman" w:cs="Times New Roman"/>
        </w:rPr>
        <w:t>9 výdavky rozpočtujú o 4,63 % nižšie,</w:t>
      </w:r>
      <w:r w:rsidRPr="005F1146">
        <w:rPr>
          <w:rFonts w:ascii="Times New Roman" w:hAnsi="Times New Roman" w:cs="Times New Roman"/>
        </w:rPr>
        <w:t xml:space="preserve"> ako v schválenom rozpočte roku 201</w:t>
      </w:r>
      <w:r>
        <w:rPr>
          <w:rFonts w:ascii="Times New Roman" w:hAnsi="Times New Roman" w:cs="Times New Roman"/>
        </w:rPr>
        <w:t>8, pričom t</w:t>
      </w:r>
      <w:r w:rsidRPr="00851CDD">
        <w:rPr>
          <w:rFonts w:ascii="Times New Roman" w:hAnsi="Times New Roman" w:cs="Times New Roman"/>
        </w:rPr>
        <w:t xml:space="preserve">ento vývoj je spôsobený v plnej miere </w:t>
      </w:r>
      <w:r>
        <w:rPr>
          <w:rFonts w:ascii="Times New Roman" w:hAnsi="Times New Roman" w:cs="Times New Roman"/>
        </w:rPr>
        <w:t xml:space="preserve">poklesom výdavkov na zdroji spolufinancovania. Prostriedky na zdroji štátneho rozpočtu medziročne rastú o 7,76 % a zohľadňujú výdavky, určené na výkup pozemkov v chránených oblastiach a tiež obnovu a rekonštrukciu majetku štátu v oblasti ochrany prírody. </w:t>
      </w:r>
      <w:r w:rsidRPr="005F1146">
        <w:rPr>
          <w:rFonts w:ascii="Times New Roman" w:hAnsi="Times New Roman" w:cs="Times New Roman"/>
        </w:rPr>
        <w:t>Výdavky za túto oblasť sú celkovo určené na</w:t>
      </w:r>
      <w:r>
        <w:rPr>
          <w:rFonts w:ascii="Times New Roman" w:hAnsi="Times New Roman" w:cs="Times New Roman"/>
        </w:rPr>
        <w:t xml:space="preserve"> výskum a tvorbu legislatívy v oblasti geológie a ochrany prírody, praktickú starostlivosť o chránené územia a živočíchy, ako aj environmentálnu výchovu. </w:t>
      </w:r>
    </w:p>
    <w:p w:rsidR="003A497B" w:rsidRDefault="003A497B" w:rsidP="003A497B">
      <w:pPr>
        <w:ind w:firstLine="708"/>
        <w:jc w:val="both"/>
        <w:rPr>
          <w:rFonts w:ascii="Times New Roman" w:hAnsi="Times New Roman" w:cs="Times New Roman"/>
        </w:rPr>
      </w:pPr>
    </w:p>
    <w:p w:rsidR="003A497B" w:rsidRDefault="003A497B" w:rsidP="003A497B">
      <w:pPr>
        <w:jc w:val="both"/>
        <w:rPr>
          <w:rFonts w:ascii="Times New Roman" w:hAnsi="Times New Roman" w:cs="Times New Roman"/>
          <w:b/>
        </w:rPr>
      </w:pPr>
      <w:r w:rsidRPr="00A5087A">
        <w:rPr>
          <w:rFonts w:ascii="Times New Roman" w:hAnsi="Times New Roman" w:cs="Times New Roman"/>
          <w:b/>
        </w:rPr>
        <w:t>Riadenie rizík a mimoriadnych udalostí v súvislosti so zmenou klímy</w:t>
      </w:r>
    </w:p>
    <w:p w:rsidR="003A497B" w:rsidRPr="00A5087A" w:rsidRDefault="003A497B" w:rsidP="003A497B">
      <w:pPr>
        <w:jc w:val="both"/>
        <w:rPr>
          <w:rFonts w:ascii="Times New Roman" w:hAnsi="Times New Roman" w:cs="Times New Roman"/>
          <w:b/>
        </w:rPr>
      </w:pPr>
    </w:p>
    <w:tbl>
      <w:tblP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07"/>
        <w:gridCol w:w="931"/>
        <w:gridCol w:w="931"/>
        <w:gridCol w:w="932"/>
        <w:gridCol w:w="931"/>
        <w:gridCol w:w="932"/>
        <w:gridCol w:w="931"/>
        <w:gridCol w:w="932"/>
      </w:tblGrid>
      <w:tr w:rsidR="003A497B" w:rsidRPr="000746C7" w:rsidTr="003E1809">
        <w:trPr>
          <w:trHeight w:val="255"/>
        </w:trPr>
        <w:tc>
          <w:tcPr>
            <w:tcW w:w="2707" w:type="dxa"/>
            <w:shd w:val="clear" w:color="auto" w:fill="A6A6A6"/>
            <w:noWrap/>
            <w:tcMar>
              <w:top w:w="13" w:type="dxa"/>
              <w:left w:w="13" w:type="dxa"/>
              <w:bottom w:w="0" w:type="dxa"/>
              <w:right w:w="13" w:type="dxa"/>
            </w:tcMar>
            <w:vAlign w:val="center"/>
            <w:hideMark/>
          </w:tcPr>
          <w:p w:rsidR="003A497B" w:rsidRPr="000746C7" w:rsidRDefault="003A497B" w:rsidP="003E1809">
            <w:pP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v eurách </w:t>
            </w:r>
          </w:p>
        </w:tc>
        <w:tc>
          <w:tcPr>
            <w:tcW w:w="931" w:type="dxa"/>
            <w:shd w:val="clear" w:color="000000" w:fill="A6A6A6"/>
            <w:tcMar>
              <w:top w:w="13" w:type="dxa"/>
              <w:left w:w="13" w:type="dxa"/>
              <w:bottom w:w="0" w:type="dxa"/>
              <w:right w:w="13" w:type="dxa"/>
            </w:tcMar>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2016 S</w:t>
            </w:r>
          </w:p>
        </w:tc>
        <w:tc>
          <w:tcPr>
            <w:tcW w:w="931" w:type="dxa"/>
            <w:shd w:val="clear" w:color="000000" w:fill="A6A6A6"/>
            <w:noWrap/>
            <w:tcMar>
              <w:top w:w="13" w:type="dxa"/>
              <w:left w:w="13" w:type="dxa"/>
              <w:bottom w:w="0" w:type="dxa"/>
              <w:right w:w="13" w:type="dxa"/>
            </w:tcMar>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2017 S</w:t>
            </w:r>
          </w:p>
        </w:tc>
        <w:tc>
          <w:tcPr>
            <w:tcW w:w="932" w:type="dxa"/>
            <w:shd w:val="clear" w:color="000000" w:fill="A6A6A6"/>
            <w:noWrap/>
            <w:tcMar>
              <w:top w:w="13" w:type="dxa"/>
              <w:left w:w="13" w:type="dxa"/>
              <w:bottom w:w="0" w:type="dxa"/>
              <w:right w:w="13" w:type="dxa"/>
            </w:tcMar>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2018 R</w:t>
            </w:r>
          </w:p>
        </w:tc>
        <w:tc>
          <w:tcPr>
            <w:tcW w:w="931" w:type="dxa"/>
            <w:shd w:val="clear" w:color="000000" w:fill="A6A6A6"/>
            <w:tcMar>
              <w:top w:w="13" w:type="dxa"/>
              <w:left w:w="13" w:type="dxa"/>
              <w:bottom w:w="0" w:type="dxa"/>
              <w:right w:w="13" w:type="dxa"/>
            </w:tcMar>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2018 OS</w:t>
            </w:r>
          </w:p>
        </w:tc>
        <w:tc>
          <w:tcPr>
            <w:tcW w:w="932" w:type="dxa"/>
            <w:shd w:val="clear" w:color="000000" w:fill="A6A6A6"/>
            <w:noWrap/>
            <w:tcMar>
              <w:top w:w="13" w:type="dxa"/>
              <w:left w:w="13" w:type="dxa"/>
              <w:bottom w:w="0" w:type="dxa"/>
              <w:right w:w="13" w:type="dxa"/>
            </w:tcMar>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2019 N</w:t>
            </w:r>
          </w:p>
        </w:tc>
        <w:tc>
          <w:tcPr>
            <w:tcW w:w="931" w:type="dxa"/>
            <w:shd w:val="clear" w:color="000000" w:fill="A6A6A6"/>
            <w:noWrap/>
            <w:tcMar>
              <w:top w:w="13" w:type="dxa"/>
              <w:left w:w="13" w:type="dxa"/>
              <w:bottom w:w="0" w:type="dxa"/>
              <w:right w:w="13" w:type="dxa"/>
            </w:tcMar>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2020 N</w:t>
            </w:r>
          </w:p>
        </w:tc>
        <w:tc>
          <w:tcPr>
            <w:tcW w:w="932" w:type="dxa"/>
            <w:shd w:val="clear" w:color="000000" w:fill="A6A6A6"/>
            <w:noWrap/>
            <w:tcMar>
              <w:top w:w="13" w:type="dxa"/>
              <w:left w:w="13" w:type="dxa"/>
              <w:bottom w:w="0" w:type="dxa"/>
              <w:right w:w="13" w:type="dxa"/>
            </w:tcMar>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2021 N</w:t>
            </w:r>
          </w:p>
        </w:tc>
      </w:tr>
      <w:tr w:rsidR="003A497B" w:rsidRPr="000746C7" w:rsidTr="003E1809">
        <w:trPr>
          <w:trHeight w:val="255"/>
        </w:trPr>
        <w:tc>
          <w:tcPr>
            <w:tcW w:w="2707" w:type="dxa"/>
            <w:shd w:val="clear" w:color="000000" w:fill="BFBFBF"/>
            <w:tcMar>
              <w:top w:w="13" w:type="dxa"/>
              <w:left w:w="13" w:type="dxa"/>
              <w:bottom w:w="0" w:type="dxa"/>
              <w:right w:w="13" w:type="dxa"/>
            </w:tcMar>
            <w:vAlign w:val="bottom"/>
            <w:hideMark/>
          </w:tcPr>
          <w:p w:rsidR="003A497B" w:rsidRPr="000746C7" w:rsidRDefault="003A497B" w:rsidP="003E1809">
            <w:pP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Riadenie rizík a mimoriadnych udalostí</w:t>
            </w:r>
          </w:p>
        </w:tc>
        <w:tc>
          <w:tcPr>
            <w:tcW w:w="931" w:type="dxa"/>
            <w:shd w:val="clear" w:color="000000" w:fill="C0C0C0"/>
            <w:noWrap/>
            <w:tcMar>
              <w:top w:w="13" w:type="dxa"/>
              <w:left w:w="68" w:type="dxa"/>
              <w:bottom w:w="0" w:type="dxa"/>
              <w:right w:w="68" w:type="dxa"/>
            </w:tcMar>
            <w:vAlign w:val="bottom"/>
            <w:hideMark/>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0</w:t>
            </w:r>
          </w:p>
        </w:tc>
        <w:tc>
          <w:tcPr>
            <w:tcW w:w="931" w:type="dxa"/>
            <w:shd w:val="clear" w:color="000000" w:fill="C0C0C0"/>
            <w:noWrap/>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0</w:t>
            </w:r>
          </w:p>
        </w:tc>
        <w:tc>
          <w:tcPr>
            <w:tcW w:w="932" w:type="dxa"/>
            <w:shd w:val="clear" w:color="000000" w:fill="C0C0C0"/>
            <w:noWrap/>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10 343 975</w:t>
            </w:r>
          </w:p>
        </w:tc>
        <w:tc>
          <w:tcPr>
            <w:tcW w:w="931" w:type="dxa"/>
            <w:shd w:val="clear" w:color="000000" w:fill="C0C0C0"/>
            <w:noWrap/>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5 835 457</w:t>
            </w:r>
          </w:p>
        </w:tc>
        <w:tc>
          <w:tcPr>
            <w:tcW w:w="932" w:type="dxa"/>
            <w:shd w:val="clear" w:color="000000" w:fill="C0C0C0"/>
            <w:noWrap/>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0</w:t>
            </w:r>
          </w:p>
        </w:tc>
        <w:tc>
          <w:tcPr>
            <w:tcW w:w="931" w:type="dxa"/>
            <w:shd w:val="clear" w:color="000000" w:fill="C0C0C0"/>
            <w:noWrap/>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16 834 098</w:t>
            </w:r>
          </w:p>
        </w:tc>
        <w:tc>
          <w:tcPr>
            <w:tcW w:w="932" w:type="dxa"/>
            <w:shd w:val="clear" w:color="000000" w:fill="C0C0C0"/>
            <w:noWrap/>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38 132 457</w:t>
            </w:r>
          </w:p>
        </w:tc>
      </w:tr>
      <w:tr w:rsidR="003A497B" w:rsidRPr="000746C7" w:rsidTr="003E1809">
        <w:trPr>
          <w:trHeight w:val="255"/>
        </w:trPr>
        <w:tc>
          <w:tcPr>
            <w:tcW w:w="2707" w:type="dxa"/>
            <w:shd w:val="clear" w:color="000000" w:fill="FFFFFF"/>
            <w:tcMar>
              <w:top w:w="13" w:type="dxa"/>
              <w:left w:w="13" w:type="dxa"/>
              <w:bottom w:w="0" w:type="dxa"/>
              <w:right w:w="13" w:type="dxa"/>
            </w:tcMar>
            <w:vAlign w:val="bottom"/>
            <w:hideMark/>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 xml:space="preserve">zdroje EÚ </w:t>
            </w:r>
          </w:p>
        </w:tc>
        <w:tc>
          <w:tcPr>
            <w:tcW w:w="931" w:type="dxa"/>
            <w:tcMar>
              <w:top w:w="13" w:type="dxa"/>
              <w:left w:w="68" w:type="dxa"/>
              <w:bottom w:w="0" w:type="dxa"/>
              <w:right w:w="68" w:type="dxa"/>
            </w:tcMar>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931" w:type="dxa"/>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932" w:type="dxa"/>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3 130 585</w:t>
            </w:r>
          </w:p>
        </w:tc>
        <w:tc>
          <w:tcPr>
            <w:tcW w:w="931" w:type="dxa"/>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932" w:type="dxa"/>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931" w:type="dxa"/>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13 792 027</w:t>
            </w:r>
          </w:p>
        </w:tc>
        <w:tc>
          <w:tcPr>
            <w:tcW w:w="932" w:type="dxa"/>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31 152 500</w:t>
            </w:r>
          </w:p>
        </w:tc>
      </w:tr>
      <w:tr w:rsidR="003A497B" w:rsidRPr="000746C7" w:rsidTr="003E1809">
        <w:trPr>
          <w:trHeight w:val="255"/>
        </w:trPr>
        <w:tc>
          <w:tcPr>
            <w:tcW w:w="2707" w:type="dxa"/>
            <w:shd w:val="clear" w:color="000000" w:fill="FFFFFF"/>
            <w:tcMar>
              <w:top w:w="13" w:type="dxa"/>
              <w:left w:w="13" w:type="dxa"/>
              <w:bottom w:w="0" w:type="dxa"/>
              <w:right w:w="13" w:type="dxa"/>
            </w:tcMar>
            <w:vAlign w:val="bottom"/>
            <w:hideMark/>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spolufinancovanie zo ŠR</w:t>
            </w:r>
          </w:p>
        </w:tc>
        <w:tc>
          <w:tcPr>
            <w:tcW w:w="931" w:type="dxa"/>
            <w:tcMar>
              <w:top w:w="13" w:type="dxa"/>
              <w:left w:w="68" w:type="dxa"/>
              <w:bottom w:w="0" w:type="dxa"/>
              <w:right w:w="68" w:type="dxa"/>
            </w:tcMar>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931" w:type="dxa"/>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932" w:type="dxa"/>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7 213 390</w:t>
            </w:r>
          </w:p>
        </w:tc>
        <w:tc>
          <w:tcPr>
            <w:tcW w:w="931" w:type="dxa"/>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932" w:type="dxa"/>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931" w:type="dxa"/>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3 042 071</w:t>
            </w:r>
          </w:p>
        </w:tc>
        <w:tc>
          <w:tcPr>
            <w:tcW w:w="932" w:type="dxa"/>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6 979 957</w:t>
            </w:r>
          </w:p>
        </w:tc>
      </w:tr>
      <w:tr w:rsidR="003A497B" w:rsidRPr="000746C7" w:rsidTr="003E1809">
        <w:trPr>
          <w:trHeight w:val="255"/>
        </w:trPr>
        <w:tc>
          <w:tcPr>
            <w:tcW w:w="2707" w:type="dxa"/>
            <w:shd w:val="clear" w:color="000000" w:fill="FFFFFF"/>
            <w:tcMar>
              <w:top w:w="13" w:type="dxa"/>
              <w:left w:w="13" w:type="dxa"/>
              <w:bottom w:w="0" w:type="dxa"/>
              <w:right w:w="13" w:type="dxa"/>
            </w:tcMar>
            <w:vAlign w:val="bottom"/>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presun z minulých rokov</w:t>
            </w:r>
          </w:p>
        </w:tc>
        <w:tc>
          <w:tcPr>
            <w:tcW w:w="931" w:type="dxa"/>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931" w:type="dxa"/>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932" w:type="dxa"/>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931" w:type="dxa"/>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5 835 457</w:t>
            </w:r>
          </w:p>
        </w:tc>
        <w:tc>
          <w:tcPr>
            <w:tcW w:w="932" w:type="dxa"/>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931" w:type="dxa"/>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932" w:type="dxa"/>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r>
    </w:tbl>
    <w:p w:rsidR="003A497B" w:rsidRDefault="003A497B" w:rsidP="003A497B">
      <w:pPr>
        <w:ind w:firstLine="708"/>
        <w:jc w:val="both"/>
        <w:rPr>
          <w:rFonts w:ascii="Times New Roman" w:hAnsi="Times New Roman" w:cs="Times New Roman"/>
        </w:rPr>
      </w:pPr>
    </w:p>
    <w:p w:rsidR="003A497B" w:rsidRPr="00F21E56" w:rsidRDefault="003A497B" w:rsidP="003A497B">
      <w:pPr>
        <w:ind w:firstLine="708"/>
        <w:jc w:val="both"/>
        <w:rPr>
          <w:rFonts w:ascii="Times New Roman" w:hAnsi="Times New Roman" w:cs="Times New Roman"/>
        </w:rPr>
      </w:pPr>
      <w:r>
        <w:rPr>
          <w:rFonts w:ascii="Times New Roman" w:hAnsi="Times New Roman" w:cs="Times New Roman"/>
        </w:rPr>
        <w:t>Uvedená oblasť súvisí s alokáciou prostriedkov EÚ a spolufinancovania z </w:t>
      </w:r>
      <w:r>
        <w:rPr>
          <w:rFonts w:ascii="Times New Roman" w:hAnsi="Times New Roman" w:cs="Times New Roman"/>
        </w:rPr>
        <w:br/>
        <w:t xml:space="preserve">3. programového obdobia do kapitoly. </w:t>
      </w:r>
      <w:r w:rsidRPr="005F1146">
        <w:rPr>
          <w:rFonts w:ascii="Times New Roman" w:hAnsi="Times New Roman" w:cs="Times New Roman"/>
        </w:rPr>
        <w:t xml:space="preserve">Na </w:t>
      </w:r>
      <w:r>
        <w:rPr>
          <w:rFonts w:ascii="Times New Roman" w:hAnsi="Times New Roman" w:cs="Times New Roman"/>
        </w:rPr>
        <w:t>riadenie rizík a mimoriadnych udalostí v súvislosti so zmenou klímy</w:t>
      </w:r>
      <w:r w:rsidRPr="005F1146">
        <w:rPr>
          <w:rFonts w:ascii="Times New Roman" w:hAnsi="Times New Roman" w:cs="Times New Roman"/>
        </w:rPr>
        <w:t xml:space="preserve"> sa v roku 201</w:t>
      </w:r>
      <w:r>
        <w:rPr>
          <w:rFonts w:ascii="Times New Roman" w:hAnsi="Times New Roman" w:cs="Times New Roman"/>
        </w:rPr>
        <w:t>9 nerozpočtujú prostriedky</w:t>
      </w:r>
      <w:r w:rsidRPr="005F1146">
        <w:rPr>
          <w:rFonts w:ascii="Times New Roman" w:hAnsi="Times New Roman" w:cs="Times New Roman"/>
        </w:rPr>
        <w:t xml:space="preserve"> EÚ a</w:t>
      </w:r>
      <w:r>
        <w:rPr>
          <w:rFonts w:ascii="Times New Roman" w:hAnsi="Times New Roman" w:cs="Times New Roman"/>
        </w:rPr>
        <w:t xml:space="preserve"> spolufinancovania z dôvodu očakávaného čerpania prostriedkov z predchádzajúcich rokov. </w:t>
      </w:r>
      <w:r w:rsidRPr="005F1146">
        <w:rPr>
          <w:rFonts w:ascii="Times New Roman" w:hAnsi="Times New Roman" w:cs="Times New Roman"/>
        </w:rPr>
        <w:t>Tieto prostriedky</w:t>
      </w:r>
      <w:r>
        <w:rPr>
          <w:rFonts w:ascii="Times New Roman" w:hAnsi="Times New Roman" w:cs="Times New Roman"/>
        </w:rPr>
        <w:t xml:space="preserve"> majú slúžiť</w:t>
      </w:r>
      <w:r w:rsidRPr="005F1146">
        <w:rPr>
          <w:rFonts w:ascii="Times New Roman" w:hAnsi="Times New Roman" w:cs="Times New Roman"/>
        </w:rPr>
        <w:t xml:space="preserve"> </w:t>
      </w:r>
      <w:r w:rsidRPr="00F21E56">
        <w:rPr>
          <w:rFonts w:ascii="Times New Roman" w:hAnsi="Times New Roman" w:cs="Times New Roman"/>
        </w:rPr>
        <w:t>na projekty v oblasti riadenia osobitných rizík (okrem povodňových) a posilnenia odolnosti proti mimoriadnym udalostiam ovplyvnených zmenou klímy (vyvíjanie systémov zvládania mimoriadnych udalostí, technická a inštitucionálna podpora špecializovaných záchranných modulov, prevencia a sanácia havarijných zosuvov súvisiacich so zmenou klímy).</w:t>
      </w:r>
    </w:p>
    <w:p w:rsidR="003A497B" w:rsidRDefault="003A497B" w:rsidP="003A497B">
      <w:pPr>
        <w:jc w:val="both"/>
        <w:rPr>
          <w:rFonts w:ascii="Times New Roman" w:hAnsi="Times New Roman" w:cs="Times New Roman"/>
          <w:b/>
        </w:rPr>
      </w:pPr>
    </w:p>
    <w:p w:rsidR="003A497B" w:rsidRDefault="003A497B" w:rsidP="003A497B">
      <w:pPr>
        <w:jc w:val="both"/>
        <w:rPr>
          <w:rFonts w:ascii="Times New Roman" w:hAnsi="Times New Roman" w:cs="Times New Roman"/>
          <w:b/>
        </w:rPr>
      </w:pPr>
      <w:r>
        <w:rPr>
          <w:rFonts w:ascii="Times New Roman" w:hAnsi="Times New Roman" w:cs="Times New Roman"/>
          <w:b/>
        </w:rPr>
        <w:t>Energeticky efektívne nízkouhlíkové hospodárstvo</w:t>
      </w:r>
    </w:p>
    <w:p w:rsidR="003A497B" w:rsidRDefault="003A497B" w:rsidP="003A497B">
      <w:pPr>
        <w:jc w:val="both"/>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3"/>
        <w:gridCol w:w="916"/>
        <w:gridCol w:w="914"/>
        <w:gridCol w:w="915"/>
        <w:gridCol w:w="913"/>
        <w:gridCol w:w="915"/>
        <w:gridCol w:w="913"/>
        <w:gridCol w:w="913"/>
      </w:tblGrid>
      <w:tr w:rsidR="003A497B" w:rsidRPr="000746C7" w:rsidTr="003E1809">
        <w:trPr>
          <w:trHeight w:val="255"/>
        </w:trPr>
        <w:tc>
          <w:tcPr>
            <w:tcW w:w="1469" w:type="pct"/>
            <w:shd w:val="clear" w:color="auto" w:fill="A6A6A6"/>
            <w:noWrap/>
            <w:tcMar>
              <w:top w:w="13" w:type="dxa"/>
              <w:left w:w="13" w:type="dxa"/>
              <w:bottom w:w="0" w:type="dxa"/>
              <w:right w:w="13" w:type="dxa"/>
            </w:tcMar>
            <w:vAlign w:val="center"/>
            <w:hideMark/>
          </w:tcPr>
          <w:p w:rsidR="003A497B" w:rsidRPr="000746C7" w:rsidRDefault="003A497B" w:rsidP="003E1809">
            <w:pP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v eurách </w:t>
            </w:r>
          </w:p>
        </w:tc>
        <w:tc>
          <w:tcPr>
            <w:tcW w:w="505" w:type="pct"/>
            <w:shd w:val="clear" w:color="000000" w:fill="A6A6A6"/>
            <w:tcMar>
              <w:top w:w="13" w:type="dxa"/>
              <w:left w:w="13" w:type="dxa"/>
              <w:bottom w:w="0" w:type="dxa"/>
              <w:right w:w="13" w:type="dxa"/>
            </w:tcMar>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2016 S</w:t>
            </w:r>
          </w:p>
        </w:tc>
        <w:tc>
          <w:tcPr>
            <w:tcW w:w="504" w:type="pct"/>
            <w:shd w:val="clear" w:color="000000" w:fill="A6A6A6"/>
            <w:noWrap/>
            <w:tcMar>
              <w:top w:w="13" w:type="dxa"/>
              <w:left w:w="13" w:type="dxa"/>
              <w:bottom w:w="0" w:type="dxa"/>
              <w:right w:w="13" w:type="dxa"/>
            </w:tcMar>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2017 S</w:t>
            </w:r>
          </w:p>
        </w:tc>
        <w:tc>
          <w:tcPr>
            <w:tcW w:w="505" w:type="pct"/>
            <w:shd w:val="clear" w:color="000000" w:fill="A6A6A6"/>
            <w:noWrap/>
            <w:tcMar>
              <w:top w:w="13" w:type="dxa"/>
              <w:left w:w="13" w:type="dxa"/>
              <w:bottom w:w="0" w:type="dxa"/>
              <w:right w:w="13" w:type="dxa"/>
            </w:tcMar>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2018 R</w:t>
            </w:r>
          </w:p>
        </w:tc>
        <w:tc>
          <w:tcPr>
            <w:tcW w:w="504" w:type="pct"/>
            <w:shd w:val="clear" w:color="000000" w:fill="A6A6A6"/>
            <w:tcMar>
              <w:top w:w="13" w:type="dxa"/>
              <w:left w:w="13" w:type="dxa"/>
              <w:bottom w:w="0" w:type="dxa"/>
              <w:right w:w="13" w:type="dxa"/>
            </w:tcMar>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2018 OS</w:t>
            </w:r>
          </w:p>
        </w:tc>
        <w:tc>
          <w:tcPr>
            <w:tcW w:w="505" w:type="pct"/>
            <w:shd w:val="clear" w:color="000000" w:fill="A6A6A6"/>
            <w:noWrap/>
            <w:tcMar>
              <w:top w:w="13" w:type="dxa"/>
              <w:left w:w="13" w:type="dxa"/>
              <w:bottom w:w="0" w:type="dxa"/>
              <w:right w:w="13" w:type="dxa"/>
            </w:tcMar>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2019 N</w:t>
            </w:r>
          </w:p>
        </w:tc>
        <w:tc>
          <w:tcPr>
            <w:tcW w:w="504" w:type="pct"/>
            <w:shd w:val="clear" w:color="000000" w:fill="A6A6A6"/>
            <w:noWrap/>
            <w:tcMar>
              <w:top w:w="13" w:type="dxa"/>
              <w:left w:w="13" w:type="dxa"/>
              <w:bottom w:w="0" w:type="dxa"/>
              <w:right w:w="13" w:type="dxa"/>
            </w:tcMar>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2020 N</w:t>
            </w:r>
          </w:p>
        </w:tc>
        <w:tc>
          <w:tcPr>
            <w:tcW w:w="505" w:type="pct"/>
            <w:shd w:val="clear" w:color="000000" w:fill="A6A6A6"/>
            <w:noWrap/>
            <w:tcMar>
              <w:top w:w="13" w:type="dxa"/>
              <w:left w:w="13" w:type="dxa"/>
              <w:bottom w:w="0" w:type="dxa"/>
              <w:right w:w="13" w:type="dxa"/>
            </w:tcMar>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2021 N</w:t>
            </w:r>
          </w:p>
        </w:tc>
      </w:tr>
      <w:tr w:rsidR="003A497B" w:rsidRPr="000746C7" w:rsidTr="003E1809">
        <w:trPr>
          <w:trHeight w:val="255"/>
        </w:trPr>
        <w:tc>
          <w:tcPr>
            <w:tcW w:w="1469" w:type="pct"/>
            <w:shd w:val="clear" w:color="000000" w:fill="BFBFBF"/>
            <w:tcMar>
              <w:top w:w="13" w:type="dxa"/>
              <w:left w:w="13" w:type="dxa"/>
              <w:bottom w:w="0" w:type="dxa"/>
              <w:right w:w="13" w:type="dxa"/>
            </w:tcMar>
            <w:vAlign w:val="bottom"/>
            <w:hideMark/>
          </w:tcPr>
          <w:p w:rsidR="003A497B" w:rsidRPr="000746C7" w:rsidRDefault="003A497B" w:rsidP="003E1809">
            <w:pP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Energeticky efektívne nízkouhlíkové hospodárstvo</w:t>
            </w:r>
          </w:p>
        </w:tc>
        <w:tc>
          <w:tcPr>
            <w:tcW w:w="505" w:type="pct"/>
            <w:shd w:val="clear" w:color="000000" w:fill="C0C0C0"/>
            <w:noWrap/>
            <w:tcMar>
              <w:top w:w="13" w:type="dxa"/>
              <w:left w:w="68" w:type="dxa"/>
              <w:bottom w:w="0" w:type="dxa"/>
              <w:right w:w="68" w:type="dxa"/>
            </w:tcMar>
            <w:vAlign w:val="bottom"/>
            <w:hideMark/>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21 279 007</w:t>
            </w:r>
          </w:p>
        </w:tc>
        <w:tc>
          <w:tcPr>
            <w:tcW w:w="504" w:type="pct"/>
            <w:shd w:val="clear" w:color="000000" w:fill="C0C0C0"/>
            <w:noWrap/>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46 003 341</w:t>
            </w:r>
          </w:p>
        </w:tc>
        <w:tc>
          <w:tcPr>
            <w:tcW w:w="505" w:type="pct"/>
            <w:shd w:val="clear" w:color="000000" w:fill="C0C0C0"/>
            <w:noWrap/>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25 771 774</w:t>
            </w:r>
          </w:p>
        </w:tc>
        <w:tc>
          <w:tcPr>
            <w:tcW w:w="504" w:type="pct"/>
            <w:shd w:val="clear" w:color="000000" w:fill="C0C0C0"/>
            <w:noWrap/>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35 291 726</w:t>
            </w:r>
          </w:p>
        </w:tc>
        <w:tc>
          <w:tcPr>
            <w:tcW w:w="505" w:type="pct"/>
            <w:shd w:val="clear" w:color="000000" w:fill="C0C0C0"/>
            <w:noWrap/>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165 511 617</w:t>
            </w:r>
          </w:p>
        </w:tc>
        <w:tc>
          <w:tcPr>
            <w:tcW w:w="504" w:type="pct"/>
            <w:shd w:val="clear" w:color="000000" w:fill="C0C0C0"/>
            <w:noWrap/>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135 487 836</w:t>
            </w:r>
          </w:p>
        </w:tc>
        <w:tc>
          <w:tcPr>
            <w:tcW w:w="505" w:type="pct"/>
            <w:shd w:val="clear" w:color="000000" w:fill="C0C0C0"/>
            <w:noWrap/>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115 839 188</w:t>
            </w:r>
          </w:p>
        </w:tc>
      </w:tr>
      <w:tr w:rsidR="003A497B" w:rsidRPr="000746C7" w:rsidTr="003E1809">
        <w:trPr>
          <w:trHeight w:val="255"/>
        </w:trPr>
        <w:tc>
          <w:tcPr>
            <w:tcW w:w="1469" w:type="pct"/>
            <w:shd w:val="clear" w:color="000000" w:fill="FFFFFF"/>
            <w:tcMar>
              <w:top w:w="13" w:type="dxa"/>
              <w:left w:w="13" w:type="dxa"/>
              <w:bottom w:w="0" w:type="dxa"/>
              <w:right w:w="13" w:type="dxa"/>
            </w:tcMar>
            <w:vAlign w:val="bottom"/>
            <w:hideMark/>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 xml:space="preserve">zdroje EÚ </w:t>
            </w:r>
          </w:p>
        </w:tc>
        <w:tc>
          <w:tcPr>
            <w:tcW w:w="505" w:type="pct"/>
            <w:shd w:val="clear" w:color="000000" w:fill="FFFFFF"/>
            <w:tcMar>
              <w:top w:w="13" w:type="dxa"/>
              <w:left w:w="68" w:type="dxa"/>
              <w:bottom w:w="0" w:type="dxa"/>
              <w:right w:w="68" w:type="dxa"/>
            </w:tcMar>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17 927 980</w:t>
            </w:r>
          </w:p>
        </w:tc>
        <w:tc>
          <w:tcPr>
            <w:tcW w:w="504" w:type="pct"/>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58 605</w:t>
            </w:r>
          </w:p>
        </w:tc>
        <w:tc>
          <w:tcPr>
            <w:tcW w:w="505" w:type="pct"/>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23 967 069</w:t>
            </w:r>
          </w:p>
        </w:tc>
        <w:tc>
          <w:tcPr>
            <w:tcW w:w="504" w:type="pct"/>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05" w:type="pct"/>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149 294 859</w:t>
            </w:r>
          </w:p>
        </w:tc>
        <w:tc>
          <w:tcPr>
            <w:tcW w:w="504" w:type="pct"/>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119 197 249</w:t>
            </w:r>
          </w:p>
        </w:tc>
        <w:tc>
          <w:tcPr>
            <w:tcW w:w="505" w:type="pct"/>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103 338 548</w:t>
            </w:r>
          </w:p>
        </w:tc>
      </w:tr>
      <w:tr w:rsidR="003A497B" w:rsidRPr="000746C7" w:rsidTr="003E1809">
        <w:trPr>
          <w:trHeight w:val="255"/>
        </w:trPr>
        <w:tc>
          <w:tcPr>
            <w:tcW w:w="1469" w:type="pct"/>
            <w:shd w:val="clear" w:color="000000" w:fill="FFFFFF"/>
            <w:tcMar>
              <w:top w:w="13" w:type="dxa"/>
              <w:left w:w="13" w:type="dxa"/>
              <w:bottom w:w="0" w:type="dxa"/>
              <w:right w:w="13" w:type="dxa"/>
            </w:tcMar>
            <w:vAlign w:val="bottom"/>
            <w:hideMark/>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spolufinancovanie zo ŠR</w:t>
            </w:r>
          </w:p>
        </w:tc>
        <w:tc>
          <w:tcPr>
            <w:tcW w:w="505" w:type="pct"/>
            <w:shd w:val="clear" w:color="000000" w:fill="FFFFFF"/>
            <w:tcMar>
              <w:top w:w="13" w:type="dxa"/>
              <w:left w:w="68" w:type="dxa"/>
              <w:bottom w:w="0" w:type="dxa"/>
              <w:right w:w="68" w:type="dxa"/>
            </w:tcMar>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3 351 027</w:t>
            </w:r>
          </w:p>
        </w:tc>
        <w:tc>
          <w:tcPr>
            <w:tcW w:w="504" w:type="pct"/>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4 996 139</w:t>
            </w:r>
          </w:p>
        </w:tc>
        <w:tc>
          <w:tcPr>
            <w:tcW w:w="505" w:type="pct"/>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1 804 705</w:t>
            </w:r>
          </w:p>
        </w:tc>
        <w:tc>
          <w:tcPr>
            <w:tcW w:w="504" w:type="pct"/>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05" w:type="pct"/>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16 216 758</w:t>
            </w:r>
          </w:p>
        </w:tc>
        <w:tc>
          <w:tcPr>
            <w:tcW w:w="504" w:type="pct"/>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16 290 587</w:t>
            </w:r>
          </w:p>
        </w:tc>
        <w:tc>
          <w:tcPr>
            <w:tcW w:w="505" w:type="pct"/>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12 500 640</w:t>
            </w:r>
          </w:p>
        </w:tc>
      </w:tr>
      <w:tr w:rsidR="003A497B" w:rsidRPr="000746C7" w:rsidTr="003E1809">
        <w:trPr>
          <w:trHeight w:val="255"/>
        </w:trPr>
        <w:tc>
          <w:tcPr>
            <w:tcW w:w="1469" w:type="pct"/>
            <w:shd w:val="clear" w:color="000000" w:fill="FFFFFF"/>
            <w:tcMar>
              <w:top w:w="13" w:type="dxa"/>
              <w:left w:w="13" w:type="dxa"/>
              <w:bottom w:w="0" w:type="dxa"/>
              <w:right w:w="13" w:type="dxa"/>
            </w:tcMar>
            <w:vAlign w:val="bottom"/>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presun z minulých rokov</w:t>
            </w:r>
          </w:p>
        </w:tc>
        <w:tc>
          <w:tcPr>
            <w:tcW w:w="505" w:type="pct"/>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04" w:type="pct"/>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40 948 598</w:t>
            </w:r>
          </w:p>
        </w:tc>
        <w:tc>
          <w:tcPr>
            <w:tcW w:w="505" w:type="pct"/>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04" w:type="pct"/>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35 291 726</w:t>
            </w:r>
          </w:p>
        </w:tc>
        <w:tc>
          <w:tcPr>
            <w:tcW w:w="505" w:type="pct"/>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04" w:type="pct"/>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05" w:type="pct"/>
            <w:shd w:val="clear" w:color="000000" w:fill="FFFFFF"/>
            <w:tcMar>
              <w:top w:w="13" w:type="dxa"/>
              <w:left w:w="68" w:type="dxa"/>
              <w:bottom w:w="0" w:type="dxa"/>
              <w:right w:w="68" w:type="dxa"/>
            </w:tcMar>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r>
    </w:tbl>
    <w:p w:rsidR="003A497B" w:rsidRDefault="003A497B" w:rsidP="003A497B">
      <w:pPr>
        <w:jc w:val="both"/>
        <w:rPr>
          <w:rFonts w:ascii="Times New Roman" w:hAnsi="Times New Roman" w:cs="Times New Roman"/>
          <w:b/>
        </w:rPr>
      </w:pPr>
    </w:p>
    <w:p w:rsidR="003A497B" w:rsidRPr="00F21E56" w:rsidRDefault="003A497B" w:rsidP="003A497B">
      <w:pPr>
        <w:ind w:firstLine="708"/>
        <w:jc w:val="both"/>
        <w:rPr>
          <w:rFonts w:ascii="Times New Roman" w:hAnsi="Times New Roman" w:cs="Times New Roman"/>
        </w:rPr>
      </w:pPr>
      <w:r>
        <w:rPr>
          <w:rFonts w:ascii="Times New Roman" w:hAnsi="Times New Roman" w:cs="Times New Roman"/>
        </w:rPr>
        <w:t xml:space="preserve">Oblasť bola vytvorená v nadväznosti na alokáciu prostriedkov EÚ a spolufinancovania           z 3. programového obdobia do kapitoly. </w:t>
      </w:r>
      <w:r w:rsidRPr="005F1146">
        <w:rPr>
          <w:rFonts w:ascii="Times New Roman" w:hAnsi="Times New Roman" w:cs="Times New Roman"/>
        </w:rPr>
        <w:t xml:space="preserve">Celkové výdavky smerujúce do </w:t>
      </w:r>
      <w:r>
        <w:rPr>
          <w:rFonts w:ascii="Times New Roman" w:hAnsi="Times New Roman" w:cs="Times New Roman"/>
        </w:rPr>
        <w:t xml:space="preserve">energeticky </w:t>
      </w:r>
      <w:r>
        <w:rPr>
          <w:rFonts w:ascii="Times New Roman" w:hAnsi="Times New Roman" w:cs="Times New Roman"/>
        </w:rPr>
        <w:lastRenderedPageBreak/>
        <w:t xml:space="preserve">efektívneho nízkouhlíkového hospodárstva sa </w:t>
      </w:r>
      <w:r w:rsidRPr="005F1146">
        <w:rPr>
          <w:rFonts w:ascii="Times New Roman" w:hAnsi="Times New Roman" w:cs="Times New Roman"/>
        </w:rPr>
        <w:t>v roku 201</w:t>
      </w:r>
      <w:r>
        <w:rPr>
          <w:rFonts w:ascii="Times New Roman" w:hAnsi="Times New Roman" w:cs="Times New Roman"/>
        </w:rPr>
        <w:t>9 rozpočtujú vo výške 166 mil. eur</w:t>
      </w:r>
      <w:r w:rsidRPr="005F1146">
        <w:rPr>
          <w:rFonts w:ascii="Times New Roman" w:hAnsi="Times New Roman" w:cs="Times New Roman"/>
        </w:rPr>
        <w:t xml:space="preserve"> a tvoria ich iba prostriedky EÚ a spolufinancovani</w:t>
      </w:r>
      <w:r>
        <w:rPr>
          <w:rFonts w:ascii="Times New Roman" w:hAnsi="Times New Roman" w:cs="Times New Roman"/>
        </w:rPr>
        <w:t>a</w:t>
      </w:r>
      <w:r w:rsidRPr="005F1146">
        <w:rPr>
          <w:rFonts w:ascii="Times New Roman" w:hAnsi="Times New Roman" w:cs="Times New Roman"/>
        </w:rPr>
        <w:t>.</w:t>
      </w:r>
      <w:r w:rsidRPr="00E6506C">
        <w:rPr>
          <w:rFonts w:ascii="Times New Roman" w:hAnsi="Times New Roman" w:cs="Times New Roman"/>
        </w:rPr>
        <w:t xml:space="preserve"> </w:t>
      </w:r>
      <w:r w:rsidRPr="005F1146">
        <w:rPr>
          <w:rFonts w:ascii="Times New Roman" w:hAnsi="Times New Roman" w:cs="Times New Roman"/>
        </w:rPr>
        <w:t>Výdavky za oblasť celkovo</w:t>
      </w:r>
      <w:r>
        <w:rPr>
          <w:rFonts w:ascii="Times New Roman" w:hAnsi="Times New Roman" w:cs="Times New Roman"/>
        </w:rPr>
        <w:t xml:space="preserve"> majú smerovať na p</w:t>
      </w:r>
      <w:r w:rsidRPr="00F21E56">
        <w:rPr>
          <w:rFonts w:ascii="Times New Roman" w:hAnsi="Times New Roman" w:cs="Times New Roman"/>
        </w:rPr>
        <w:t>rojekty v oblasti podpory výroby energie z obnoviteľných zdrojov, zvýšenie energetickej efektívnosti v podnikoch, ako aj verejných budovách (realizácia opatrení vyplývajúcich z vykonaných energetických auditov).</w:t>
      </w:r>
    </w:p>
    <w:p w:rsidR="003A497B" w:rsidRPr="005F1146" w:rsidRDefault="003A497B" w:rsidP="003A497B">
      <w:pPr>
        <w:jc w:val="both"/>
        <w:rPr>
          <w:rFonts w:ascii="Times New Roman" w:hAnsi="Times New Roman" w:cs="Times New Roman"/>
          <w:b/>
        </w:rPr>
      </w:pPr>
    </w:p>
    <w:p w:rsidR="003A497B" w:rsidRPr="005F1146" w:rsidRDefault="003A497B" w:rsidP="003A497B">
      <w:pPr>
        <w:jc w:val="both"/>
        <w:rPr>
          <w:rFonts w:ascii="Times New Roman" w:hAnsi="Times New Roman" w:cs="Times New Roman"/>
          <w:b/>
        </w:rPr>
      </w:pPr>
      <w:r w:rsidRPr="005F1146">
        <w:rPr>
          <w:rFonts w:ascii="Times New Roman" w:hAnsi="Times New Roman" w:cs="Times New Roman"/>
          <w:b/>
        </w:rPr>
        <w:t>Administratíva</w:t>
      </w:r>
    </w:p>
    <w:p w:rsidR="003A497B" w:rsidRPr="005F1146" w:rsidRDefault="003A497B" w:rsidP="003A497B">
      <w:pPr>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8"/>
        <w:gridCol w:w="1006"/>
        <w:gridCol w:w="1006"/>
        <w:gridCol w:w="1006"/>
        <w:gridCol w:w="1006"/>
        <w:gridCol w:w="1006"/>
        <w:gridCol w:w="1006"/>
        <w:gridCol w:w="1008"/>
      </w:tblGrid>
      <w:tr w:rsidR="003A497B" w:rsidRPr="000746C7" w:rsidTr="003E1809">
        <w:trPr>
          <w:trHeight w:val="270"/>
        </w:trPr>
        <w:tc>
          <w:tcPr>
            <w:tcW w:w="1113" w:type="pct"/>
            <w:shd w:val="clear" w:color="auto" w:fill="A6A6A6"/>
            <w:noWrap/>
            <w:vAlign w:val="center"/>
            <w:hideMark/>
          </w:tcPr>
          <w:p w:rsidR="003A497B" w:rsidRPr="000746C7" w:rsidRDefault="003A497B" w:rsidP="003E1809">
            <w:pP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v eurách </w:t>
            </w:r>
          </w:p>
        </w:tc>
        <w:tc>
          <w:tcPr>
            <w:tcW w:w="555" w:type="pct"/>
            <w:shd w:val="clear" w:color="000000" w:fill="A6A6A6"/>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2016 S</w:t>
            </w:r>
          </w:p>
        </w:tc>
        <w:tc>
          <w:tcPr>
            <w:tcW w:w="555"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2017 S</w:t>
            </w:r>
          </w:p>
        </w:tc>
        <w:tc>
          <w:tcPr>
            <w:tcW w:w="555"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2018 R</w:t>
            </w:r>
          </w:p>
        </w:tc>
        <w:tc>
          <w:tcPr>
            <w:tcW w:w="555" w:type="pct"/>
            <w:shd w:val="clear" w:color="000000" w:fill="A6A6A6"/>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2018 OS</w:t>
            </w:r>
          </w:p>
        </w:tc>
        <w:tc>
          <w:tcPr>
            <w:tcW w:w="555"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2019 N</w:t>
            </w:r>
          </w:p>
        </w:tc>
        <w:tc>
          <w:tcPr>
            <w:tcW w:w="555"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2020 N</w:t>
            </w:r>
          </w:p>
        </w:tc>
        <w:tc>
          <w:tcPr>
            <w:tcW w:w="556" w:type="pct"/>
            <w:shd w:val="clear" w:color="000000" w:fill="A6A6A6"/>
            <w:noWrap/>
            <w:vAlign w:val="center"/>
            <w:hideMark/>
          </w:tcPr>
          <w:p w:rsidR="003A497B" w:rsidRPr="000746C7" w:rsidRDefault="003A497B" w:rsidP="003E1809">
            <w:pPr>
              <w:jc w:val="cente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2021 N</w:t>
            </w:r>
          </w:p>
        </w:tc>
      </w:tr>
      <w:tr w:rsidR="003A497B" w:rsidRPr="000746C7" w:rsidTr="003E1809">
        <w:trPr>
          <w:trHeight w:val="270"/>
        </w:trPr>
        <w:tc>
          <w:tcPr>
            <w:tcW w:w="1113" w:type="pct"/>
            <w:shd w:val="clear" w:color="000000" w:fill="BFBFBF"/>
            <w:vAlign w:val="bottom"/>
            <w:hideMark/>
          </w:tcPr>
          <w:p w:rsidR="003A497B" w:rsidRPr="000746C7" w:rsidRDefault="003A497B" w:rsidP="003E1809">
            <w:pPr>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Administratíva</w:t>
            </w:r>
          </w:p>
        </w:tc>
        <w:tc>
          <w:tcPr>
            <w:tcW w:w="555" w:type="pct"/>
            <w:shd w:val="clear" w:color="000000" w:fill="C0C0C0"/>
            <w:noWrap/>
            <w:vAlign w:val="bottom"/>
            <w:hideMark/>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45 698 964</w:t>
            </w:r>
          </w:p>
        </w:tc>
        <w:tc>
          <w:tcPr>
            <w:tcW w:w="555"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44 855 007</w:t>
            </w:r>
          </w:p>
        </w:tc>
        <w:tc>
          <w:tcPr>
            <w:tcW w:w="555"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37 581 101</w:t>
            </w:r>
          </w:p>
        </w:tc>
        <w:tc>
          <w:tcPr>
            <w:tcW w:w="555"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51 863 654</w:t>
            </w:r>
          </w:p>
        </w:tc>
        <w:tc>
          <w:tcPr>
            <w:tcW w:w="555"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lang w:eastAsia="sk-SK"/>
              </w:rPr>
            </w:pPr>
            <w:r w:rsidRPr="000746C7">
              <w:rPr>
                <w:rFonts w:ascii="Times New Roman" w:hAnsi="Times New Roman" w:cs="Times New Roman"/>
                <w:b/>
                <w:bCs/>
                <w:color w:val="000000"/>
                <w:sz w:val="14"/>
                <w:szCs w:val="14"/>
              </w:rPr>
              <w:t>40 610 791</w:t>
            </w:r>
          </w:p>
        </w:tc>
        <w:tc>
          <w:tcPr>
            <w:tcW w:w="555"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45 304 823</w:t>
            </w:r>
          </w:p>
        </w:tc>
        <w:tc>
          <w:tcPr>
            <w:tcW w:w="556" w:type="pct"/>
            <w:shd w:val="clear" w:color="000000" w:fill="C0C0C0"/>
            <w:noWrap/>
            <w:vAlign w:val="bottom"/>
          </w:tcPr>
          <w:p w:rsidR="003A497B" w:rsidRPr="000746C7" w:rsidRDefault="003A497B" w:rsidP="003E1809">
            <w:pPr>
              <w:jc w:val="right"/>
              <w:rPr>
                <w:rFonts w:ascii="Times New Roman" w:hAnsi="Times New Roman" w:cs="Times New Roman"/>
                <w:b/>
                <w:bCs/>
                <w:color w:val="000000"/>
                <w:sz w:val="14"/>
                <w:szCs w:val="14"/>
              </w:rPr>
            </w:pPr>
            <w:r w:rsidRPr="000746C7">
              <w:rPr>
                <w:rFonts w:ascii="Times New Roman" w:hAnsi="Times New Roman" w:cs="Times New Roman"/>
                <w:b/>
                <w:bCs/>
                <w:color w:val="000000"/>
                <w:sz w:val="14"/>
                <w:szCs w:val="14"/>
              </w:rPr>
              <w:t>42 267 719</w:t>
            </w:r>
          </w:p>
        </w:tc>
      </w:tr>
      <w:tr w:rsidR="003A497B" w:rsidRPr="000746C7" w:rsidTr="003E1809">
        <w:trPr>
          <w:trHeight w:val="270"/>
        </w:trPr>
        <w:tc>
          <w:tcPr>
            <w:tcW w:w="1113" w:type="pct"/>
            <w:shd w:val="clear" w:color="000000" w:fill="FFFFFF"/>
            <w:noWrap/>
            <w:vAlign w:val="bottom"/>
            <w:hideMark/>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rozpočtové zdroje kapitoly</w:t>
            </w:r>
          </w:p>
        </w:tc>
        <w:tc>
          <w:tcPr>
            <w:tcW w:w="555" w:type="pct"/>
            <w:shd w:val="clear" w:color="000000" w:fill="FFFFFF"/>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17 864 477</w:t>
            </w:r>
          </w:p>
        </w:tc>
        <w:tc>
          <w:tcPr>
            <w:tcW w:w="555" w:type="pct"/>
            <w:shd w:val="clear" w:color="000000" w:fill="FFFFFF"/>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26 936 468</w:t>
            </w:r>
          </w:p>
        </w:tc>
        <w:tc>
          <w:tcPr>
            <w:tcW w:w="555" w:type="pct"/>
            <w:shd w:val="clear" w:color="000000" w:fill="FFFFFF"/>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28 862 197</w:t>
            </w:r>
          </w:p>
        </w:tc>
        <w:tc>
          <w:tcPr>
            <w:tcW w:w="555" w:type="pct"/>
            <w:shd w:val="clear" w:color="000000" w:fill="FFFFFF"/>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25 327 134</w:t>
            </w:r>
          </w:p>
        </w:tc>
        <w:tc>
          <w:tcPr>
            <w:tcW w:w="555" w:type="pct"/>
            <w:shd w:val="clear" w:color="000000" w:fill="FFFFFF"/>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28 829 290</w:t>
            </w:r>
          </w:p>
        </w:tc>
        <w:tc>
          <w:tcPr>
            <w:tcW w:w="555" w:type="pct"/>
            <w:shd w:val="clear" w:color="000000" w:fill="FFFFFF"/>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26 322 923</w:t>
            </w:r>
          </w:p>
        </w:tc>
        <w:tc>
          <w:tcPr>
            <w:tcW w:w="556" w:type="pct"/>
            <w:shd w:val="clear" w:color="000000" w:fill="FFFFFF"/>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26 322 923</w:t>
            </w:r>
          </w:p>
        </w:tc>
      </w:tr>
      <w:tr w:rsidR="003A497B" w:rsidRPr="000746C7" w:rsidTr="003E1809">
        <w:trPr>
          <w:trHeight w:val="270"/>
        </w:trPr>
        <w:tc>
          <w:tcPr>
            <w:tcW w:w="1113" w:type="pct"/>
            <w:shd w:val="clear" w:color="000000" w:fill="FFFFFF"/>
            <w:noWrap/>
            <w:vAlign w:val="bottom"/>
            <w:hideMark/>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 xml:space="preserve">zdroje EÚ </w:t>
            </w:r>
          </w:p>
        </w:tc>
        <w:tc>
          <w:tcPr>
            <w:tcW w:w="555" w:type="pct"/>
            <w:shd w:val="clear" w:color="000000" w:fill="FFFFFF"/>
            <w:noWrap/>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2 549 585</w:t>
            </w:r>
          </w:p>
        </w:tc>
        <w:tc>
          <w:tcPr>
            <w:tcW w:w="555" w:type="pct"/>
            <w:shd w:val="clear" w:color="000000" w:fill="FFFFFF"/>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5 103 881</w:t>
            </w:r>
          </w:p>
        </w:tc>
        <w:tc>
          <w:tcPr>
            <w:tcW w:w="555" w:type="pct"/>
            <w:shd w:val="clear" w:color="000000" w:fill="FFFFFF"/>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5 929 998</w:t>
            </w:r>
          </w:p>
        </w:tc>
        <w:tc>
          <w:tcPr>
            <w:tcW w:w="555" w:type="pct"/>
            <w:shd w:val="clear" w:color="000000" w:fill="FFFFFF"/>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55" w:type="pct"/>
            <w:shd w:val="clear" w:color="000000" w:fill="FFFFFF"/>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9 777 804</w:t>
            </w:r>
          </w:p>
        </w:tc>
        <w:tc>
          <w:tcPr>
            <w:tcW w:w="555" w:type="pct"/>
            <w:shd w:val="clear" w:color="000000" w:fill="FFFFFF"/>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15 753 933</w:t>
            </w:r>
          </w:p>
        </w:tc>
        <w:tc>
          <w:tcPr>
            <w:tcW w:w="556" w:type="pct"/>
            <w:shd w:val="clear" w:color="000000" w:fill="FFFFFF"/>
            <w:noWrap/>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13 233 304</w:t>
            </w:r>
          </w:p>
        </w:tc>
      </w:tr>
      <w:tr w:rsidR="003A497B" w:rsidRPr="000746C7" w:rsidTr="003E1809">
        <w:trPr>
          <w:trHeight w:val="270"/>
        </w:trPr>
        <w:tc>
          <w:tcPr>
            <w:tcW w:w="1113" w:type="pct"/>
            <w:shd w:val="clear" w:color="000000" w:fill="FFFFFF"/>
            <w:vAlign w:val="bottom"/>
            <w:hideMark/>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spolufinancovanie zo ŠR</w:t>
            </w:r>
          </w:p>
        </w:tc>
        <w:tc>
          <w:tcPr>
            <w:tcW w:w="555" w:type="pct"/>
            <w:shd w:val="clear" w:color="auto" w:fill="auto"/>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895 008</w:t>
            </w:r>
          </w:p>
        </w:tc>
        <w:tc>
          <w:tcPr>
            <w:tcW w:w="55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2 266 820</w:t>
            </w:r>
          </w:p>
        </w:tc>
        <w:tc>
          <w:tcPr>
            <w:tcW w:w="55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2 788 906</w:t>
            </w:r>
          </w:p>
        </w:tc>
        <w:tc>
          <w:tcPr>
            <w:tcW w:w="55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5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2 003 697</w:t>
            </w:r>
          </w:p>
        </w:tc>
        <w:tc>
          <w:tcPr>
            <w:tcW w:w="55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3 227 967</w:t>
            </w:r>
          </w:p>
        </w:tc>
        <w:tc>
          <w:tcPr>
            <w:tcW w:w="556"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2 711 492</w:t>
            </w:r>
          </w:p>
        </w:tc>
      </w:tr>
      <w:tr w:rsidR="003A497B" w:rsidRPr="000746C7" w:rsidTr="003E1809">
        <w:trPr>
          <w:trHeight w:val="270"/>
        </w:trPr>
        <w:tc>
          <w:tcPr>
            <w:tcW w:w="1113" w:type="pct"/>
            <w:noWrap/>
            <w:vAlign w:val="bottom"/>
            <w:hideMark/>
          </w:tcPr>
          <w:p w:rsidR="003A497B" w:rsidRPr="000746C7" w:rsidRDefault="003A497B" w:rsidP="003E1809">
            <w:pPr>
              <w:rPr>
                <w:rFonts w:ascii="Times New Roman" w:hAnsi="Times New Roman" w:cs="Times New Roman"/>
                <w:color w:val="000000"/>
                <w:sz w:val="14"/>
                <w:szCs w:val="14"/>
              </w:rPr>
            </w:pPr>
            <w:r w:rsidRPr="000746C7">
              <w:rPr>
                <w:rFonts w:ascii="Times New Roman" w:hAnsi="Times New Roman" w:cs="Times New Roman"/>
                <w:color w:val="000000"/>
                <w:sz w:val="14"/>
                <w:szCs w:val="14"/>
              </w:rPr>
              <w:t>presun z minulých rokov</w:t>
            </w:r>
          </w:p>
        </w:tc>
        <w:tc>
          <w:tcPr>
            <w:tcW w:w="555" w:type="pct"/>
            <w:shd w:val="clear" w:color="auto" w:fill="auto"/>
            <w:vAlign w:val="bottom"/>
            <w:hideMark/>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24 389 895</w:t>
            </w:r>
          </w:p>
        </w:tc>
        <w:tc>
          <w:tcPr>
            <w:tcW w:w="55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10 547 839</w:t>
            </w:r>
          </w:p>
        </w:tc>
        <w:tc>
          <w:tcPr>
            <w:tcW w:w="55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5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26 536 520</w:t>
            </w:r>
          </w:p>
        </w:tc>
        <w:tc>
          <w:tcPr>
            <w:tcW w:w="55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55"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c>
          <w:tcPr>
            <w:tcW w:w="556" w:type="pct"/>
            <w:shd w:val="clear" w:color="auto" w:fill="auto"/>
            <w:vAlign w:val="bottom"/>
          </w:tcPr>
          <w:p w:rsidR="003A497B" w:rsidRPr="000746C7" w:rsidRDefault="003A497B" w:rsidP="003E1809">
            <w:pPr>
              <w:jc w:val="right"/>
              <w:rPr>
                <w:rFonts w:ascii="Times New Roman" w:hAnsi="Times New Roman" w:cs="Times New Roman"/>
                <w:color w:val="000000"/>
                <w:sz w:val="14"/>
                <w:szCs w:val="14"/>
              </w:rPr>
            </w:pPr>
            <w:r w:rsidRPr="000746C7">
              <w:rPr>
                <w:rFonts w:ascii="Times New Roman" w:hAnsi="Times New Roman" w:cs="Times New Roman"/>
                <w:color w:val="000000"/>
                <w:sz w:val="14"/>
                <w:szCs w:val="14"/>
              </w:rPr>
              <w:t>0</w:t>
            </w:r>
          </w:p>
        </w:tc>
      </w:tr>
    </w:tbl>
    <w:p w:rsidR="003A497B" w:rsidRPr="00A46527" w:rsidRDefault="003A497B" w:rsidP="003A497B">
      <w:pPr>
        <w:jc w:val="both"/>
        <w:rPr>
          <w:rFonts w:ascii="Times New Roman" w:hAnsi="Times New Roman" w:cs="Times New Roman"/>
          <w:bCs/>
        </w:rPr>
      </w:pPr>
    </w:p>
    <w:p w:rsidR="003A497B" w:rsidRPr="00E76489" w:rsidRDefault="003A497B" w:rsidP="003A497B">
      <w:pPr>
        <w:ind w:firstLine="708"/>
        <w:jc w:val="both"/>
        <w:rPr>
          <w:rFonts w:ascii="Times New Roman" w:hAnsi="Times New Roman" w:cs="Times New Roman"/>
        </w:rPr>
      </w:pPr>
      <w:r>
        <w:rPr>
          <w:rFonts w:ascii="Times New Roman" w:hAnsi="Times New Roman" w:cs="Times New Roman"/>
          <w:bCs/>
        </w:rPr>
        <w:t>Na administratívu</w:t>
      </w:r>
      <w:r w:rsidRPr="005F1146">
        <w:rPr>
          <w:rFonts w:ascii="Times New Roman" w:hAnsi="Times New Roman" w:cs="Times New Roman"/>
        </w:rPr>
        <w:t xml:space="preserve"> životného prostredia je v roku 20</w:t>
      </w:r>
      <w:r>
        <w:rPr>
          <w:rFonts w:ascii="Times New Roman" w:hAnsi="Times New Roman" w:cs="Times New Roman"/>
        </w:rPr>
        <w:t xml:space="preserve">19 spolu vyčlenených 40,6 mil. eur, čo predstavuje rast </w:t>
      </w:r>
      <w:r w:rsidRPr="005F1146">
        <w:rPr>
          <w:rFonts w:ascii="Times New Roman" w:hAnsi="Times New Roman" w:cs="Times New Roman"/>
        </w:rPr>
        <w:t>v po</w:t>
      </w:r>
      <w:r>
        <w:rPr>
          <w:rFonts w:ascii="Times New Roman" w:hAnsi="Times New Roman" w:cs="Times New Roman"/>
        </w:rPr>
        <w:t>rovnaní s rokom</w:t>
      </w:r>
      <w:r w:rsidRPr="005F1146">
        <w:rPr>
          <w:rFonts w:ascii="Times New Roman" w:hAnsi="Times New Roman" w:cs="Times New Roman"/>
        </w:rPr>
        <w:t xml:space="preserve"> 201</w:t>
      </w:r>
      <w:r>
        <w:rPr>
          <w:rFonts w:ascii="Times New Roman" w:hAnsi="Times New Roman" w:cs="Times New Roman"/>
        </w:rPr>
        <w:t xml:space="preserve">8 o 8,06 </w:t>
      </w:r>
      <w:r w:rsidRPr="005F1146">
        <w:rPr>
          <w:rFonts w:ascii="Times New Roman" w:hAnsi="Times New Roman" w:cs="Times New Roman"/>
        </w:rPr>
        <w:t xml:space="preserve">%. </w:t>
      </w:r>
      <w:r>
        <w:rPr>
          <w:rFonts w:ascii="Times New Roman" w:hAnsi="Times New Roman" w:cs="Times New Roman"/>
        </w:rPr>
        <w:t xml:space="preserve">Uvedený rast spôsobil v plnej miere rast zdrojov na prostriedkoch </w:t>
      </w:r>
      <w:r w:rsidRPr="00E76489">
        <w:rPr>
          <w:rFonts w:ascii="Times New Roman" w:hAnsi="Times New Roman" w:cs="Times New Roman"/>
        </w:rPr>
        <w:t>EÚ a prís</w:t>
      </w:r>
      <w:r>
        <w:rPr>
          <w:rFonts w:ascii="Times New Roman" w:hAnsi="Times New Roman" w:cs="Times New Roman"/>
        </w:rPr>
        <w:t>lušného spolufinancovania o 35,1</w:t>
      </w:r>
      <w:r w:rsidRPr="00E76489">
        <w:rPr>
          <w:rFonts w:ascii="Times New Roman" w:hAnsi="Times New Roman" w:cs="Times New Roman"/>
        </w:rPr>
        <w:t xml:space="preserve"> %, pričom</w:t>
      </w:r>
      <w:r>
        <w:rPr>
          <w:rFonts w:ascii="Times New Roman" w:hAnsi="Times New Roman" w:cs="Times New Roman"/>
        </w:rPr>
        <w:t xml:space="preserve"> </w:t>
      </w:r>
      <w:r w:rsidRPr="00E76489">
        <w:rPr>
          <w:rFonts w:ascii="Times New Roman" w:hAnsi="Times New Roman" w:cs="Times New Roman"/>
        </w:rPr>
        <w:t xml:space="preserve">ide </w:t>
      </w:r>
      <w:r>
        <w:rPr>
          <w:rFonts w:ascii="Times New Roman" w:hAnsi="Times New Roman" w:cs="Times New Roman"/>
        </w:rPr>
        <w:t xml:space="preserve">výlučne </w:t>
      </w:r>
      <w:r w:rsidRPr="00E76489">
        <w:rPr>
          <w:rFonts w:ascii="Times New Roman" w:hAnsi="Times New Roman" w:cs="Times New Roman"/>
        </w:rPr>
        <w:t xml:space="preserve">o prostriedky určené pre </w:t>
      </w:r>
      <w:r>
        <w:rPr>
          <w:rFonts w:ascii="Times New Roman" w:hAnsi="Times New Roman" w:cs="Times New Roman"/>
        </w:rPr>
        <w:t xml:space="preserve">tretie programové obdobie 2014 až </w:t>
      </w:r>
      <w:r w:rsidRPr="00E76489">
        <w:rPr>
          <w:rFonts w:ascii="Times New Roman" w:hAnsi="Times New Roman" w:cs="Times New Roman"/>
        </w:rPr>
        <w:t>2020 na Technickú pomoc pre OP Kvalita životného prostredia.</w:t>
      </w:r>
      <w:r>
        <w:rPr>
          <w:rFonts w:ascii="Times New Roman" w:hAnsi="Times New Roman" w:cs="Times New Roman"/>
        </w:rPr>
        <w:t xml:space="preserve"> </w:t>
      </w:r>
    </w:p>
    <w:p w:rsidR="003A497B" w:rsidRDefault="003A497B" w:rsidP="003A497B">
      <w:pPr>
        <w:jc w:val="both"/>
        <w:rPr>
          <w:rFonts w:ascii="Times New Roman" w:hAnsi="Times New Roman" w:cs="Times New Roman"/>
        </w:rPr>
      </w:pPr>
    </w:p>
    <w:p w:rsidR="003A497B" w:rsidRPr="00FC7B62" w:rsidRDefault="003A497B" w:rsidP="003A497B">
      <w:pPr>
        <w:jc w:val="both"/>
        <w:rPr>
          <w:rFonts w:ascii="Times New Roman" w:hAnsi="Times New Roman" w:cs="Times New Roman"/>
          <w:b/>
          <w:noProof/>
          <w:lang w:eastAsia="sk-SK"/>
        </w:rPr>
      </w:pPr>
      <w:r w:rsidRPr="00FC7B62">
        <w:rPr>
          <w:rFonts w:ascii="Times New Roman" w:hAnsi="Times New Roman" w:cs="Times New Roman"/>
          <w:b/>
          <w:noProof/>
          <w:lang w:eastAsia="sk-SK"/>
        </w:rPr>
        <w:t>Podpora IT systémov</w:t>
      </w:r>
    </w:p>
    <w:p w:rsidR="003A497B" w:rsidRPr="00FC7B62" w:rsidRDefault="003A497B" w:rsidP="003A497B">
      <w:pPr>
        <w:jc w:val="both"/>
        <w:rPr>
          <w:rFonts w:ascii="Arial Narrow" w:hAnsi="Arial Narrow" w:cs="Times New Roman"/>
          <w:b/>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18"/>
        <w:gridCol w:w="1006"/>
        <w:gridCol w:w="1006"/>
        <w:gridCol w:w="1006"/>
        <w:gridCol w:w="1006"/>
        <w:gridCol w:w="1006"/>
        <w:gridCol w:w="1006"/>
        <w:gridCol w:w="1008"/>
      </w:tblGrid>
      <w:tr w:rsidR="003A497B" w:rsidRPr="00643E62" w:rsidTr="003E1809">
        <w:trPr>
          <w:trHeight w:val="270"/>
        </w:trPr>
        <w:tc>
          <w:tcPr>
            <w:tcW w:w="1113" w:type="pct"/>
            <w:shd w:val="clear" w:color="auto" w:fill="A6A6A6" w:themeFill="background1" w:themeFillShade="A6"/>
            <w:noWrap/>
            <w:vAlign w:val="center"/>
            <w:hideMark/>
          </w:tcPr>
          <w:p w:rsidR="003A497B" w:rsidRPr="00643E62" w:rsidRDefault="003A497B" w:rsidP="003E1809">
            <w:pPr>
              <w:rPr>
                <w:rFonts w:ascii="Times New Roman" w:hAnsi="Times New Roman" w:cs="Times New Roman"/>
                <w:b/>
                <w:bCs/>
                <w:noProof/>
                <w:color w:val="000000"/>
                <w:sz w:val="14"/>
                <w:szCs w:val="14"/>
                <w:lang w:eastAsia="sk-SK"/>
              </w:rPr>
            </w:pPr>
            <w:r w:rsidRPr="00643E62">
              <w:rPr>
                <w:rFonts w:ascii="Times New Roman" w:hAnsi="Times New Roman" w:cs="Times New Roman"/>
                <w:b/>
                <w:bCs/>
                <w:noProof/>
                <w:color w:val="000000"/>
                <w:sz w:val="14"/>
                <w:szCs w:val="14"/>
                <w:lang w:eastAsia="sk-SK"/>
              </w:rPr>
              <w:t>v eurách</w:t>
            </w:r>
          </w:p>
        </w:tc>
        <w:tc>
          <w:tcPr>
            <w:tcW w:w="555" w:type="pct"/>
            <w:shd w:val="clear" w:color="000000" w:fill="A6A6A6"/>
            <w:vAlign w:val="center"/>
            <w:hideMark/>
          </w:tcPr>
          <w:p w:rsidR="003A497B" w:rsidRPr="00643E62" w:rsidRDefault="003A497B" w:rsidP="003E1809">
            <w:pPr>
              <w:jc w:val="center"/>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2016 S</w:t>
            </w:r>
          </w:p>
        </w:tc>
        <w:tc>
          <w:tcPr>
            <w:tcW w:w="555" w:type="pct"/>
            <w:shd w:val="clear" w:color="000000" w:fill="A6A6A6"/>
            <w:noWrap/>
            <w:vAlign w:val="center"/>
            <w:hideMark/>
          </w:tcPr>
          <w:p w:rsidR="003A497B" w:rsidRPr="00643E62" w:rsidRDefault="003A497B" w:rsidP="003E1809">
            <w:pPr>
              <w:jc w:val="center"/>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2017 S</w:t>
            </w:r>
          </w:p>
        </w:tc>
        <w:tc>
          <w:tcPr>
            <w:tcW w:w="555" w:type="pct"/>
            <w:shd w:val="clear" w:color="000000" w:fill="A6A6A6"/>
            <w:noWrap/>
            <w:vAlign w:val="center"/>
            <w:hideMark/>
          </w:tcPr>
          <w:p w:rsidR="003A497B" w:rsidRPr="00643E62" w:rsidRDefault="003A497B" w:rsidP="003E1809">
            <w:pPr>
              <w:jc w:val="center"/>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2018 R</w:t>
            </w:r>
          </w:p>
        </w:tc>
        <w:tc>
          <w:tcPr>
            <w:tcW w:w="555" w:type="pct"/>
            <w:shd w:val="clear" w:color="000000" w:fill="A6A6A6"/>
            <w:vAlign w:val="center"/>
            <w:hideMark/>
          </w:tcPr>
          <w:p w:rsidR="003A497B" w:rsidRPr="00643E62" w:rsidRDefault="003A497B" w:rsidP="003E1809">
            <w:pPr>
              <w:jc w:val="center"/>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2018 OS</w:t>
            </w:r>
          </w:p>
        </w:tc>
        <w:tc>
          <w:tcPr>
            <w:tcW w:w="555" w:type="pct"/>
            <w:shd w:val="clear" w:color="000000" w:fill="A6A6A6"/>
            <w:noWrap/>
            <w:vAlign w:val="center"/>
            <w:hideMark/>
          </w:tcPr>
          <w:p w:rsidR="003A497B" w:rsidRPr="00643E62" w:rsidRDefault="003A497B" w:rsidP="003E1809">
            <w:pPr>
              <w:jc w:val="center"/>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2019 N</w:t>
            </w:r>
          </w:p>
        </w:tc>
        <w:tc>
          <w:tcPr>
            <w:tcW w:w="555" w:type="pct"/>
            <w:shd w:val="clear" w:color="000000" w:fill="A6A6A6"/>
            <w:noWrap/>
            <w:vAlign w:val="center"/>
            <w:hideMark/>
          </w:tcPr>
          <w:p w:rsidR="003A497B" w:rsidRPr="00643E62" w:rsidRDefault="003A497B" w:rsidP="003E1809">
            <w:pPr>
              <w:jc w:val="center"/>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2020 N</w:t>
            </w:r>
          </w:p>
        </w:tc>
        <w:tc>
          <w:tcPr>
            <w:tcW w:w="556" w:type="pct"/>
            <w:shd w:val="clear" w:color="000000" w:fill="A6A6A6"/>
            <w:noWrap/>
            <w:vAlign w:val="center"/>
            <w:hideMark/>
          </w:tcPr>
          <w:p w:rsidR="003A497B" w:rsidRPr="00643E62" w:rsidRDefault="003A497B" w:rsidP="003E1809">
            <w:pPr>
              <w:jc w:val="center"/>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2021 N</w:t>
            </w:r>
          </w:p>
        </w:tc>
      </w:tr>
      <w:tr w:rsidR="003A497B" w:rsidRPr="00643E62" w:rsidTr="003E1809">
        <w:trPr>
          <w:trHeight w:val="270"/>
        </w:trPr>
        <w:tc>
          <w:tcPr>
            <w:tcW w:w="1113" w:type="pct"/>
            <w:shd w:val="clear" w:color="auto" w:fill="BFBFBF" w:themeFill="background1" w:themeFillShade="BF"/>
            <w:vAlign w:val="bottom"/>
            <w:hideMark/>
          </w:tcPr>
          <w:p w:rsidR="003A497B" w:rsidRPr="00643E62" w:rsidRDefault="003A497B" w:rsidP="003E1809">
            <w:pPr>
              <w:rPr>
                <w:rFonts w:ascii="Times New Roman" w:hAnsi="Times New Roman" w:cs="Times New Roman"/>
                <w:b/>
                <w:bCs/>
                <w:noProof/>
                <w:color w:val="000000"/>
                <w:sz w:val="14"/>
                <w:szCs w:val="14"/>
                <w:lang w:eastAsia="sk-SK"/>
              </w:rPr>
            </w:pPr>
            <w:r w:rsidRPr="00643E62">
              <w:rPr>
                <w:rFonts w:ascii="Times New Roman" w:hAnsi="Times New Roman" w:cs="Times New Roman"/>
                <w:b/>
                <w:bCs/>
                <w:noProof/>
                <w:color w:val="000000"/>
                <w:sz w:val="14"/>
                <w:szCs w:val="14"/>
                <w:lang w:eastAsia="sk-SK"/>
              </w:rPr>
              <w:t>Podpora IT systémov</w:t>
            </w:r>
          </w:p>
        </w:tc>
        <w:tc>
          <w:tcPr>
            <w:tcW w:w="555" w:type="pct"/>
            <w:shd w:val="clear" w:color="auto" w:fill="BFBFBF" w:themeFill="background1" w:themeFillShade="BF"/>
            <w:noWrap/>
            <w:vAlign w:val="bottom"/>
          </w:tcPr>
          <w:p w:rsidR="003A497B" w:rsidRPr="00643E62" w:rsidRDefault="003A497B" w:rsidP="003E1809">
            <w:pPr>
              <w:jc w:val="right"/>
              <w:rPr>
                <w:rFonts w:ascii="Times New Roman" w:hAnsi="Times New Roman" w:cs="Times New Roman"/>
                <w:b/>
                <w:bCs/>
                <w:color w:val="000000"/>
                <w:sz w:val="14"/>
                <w:szCs w:val="14"/>
                <w:lang w:eastAsia="sk-SK"/>
              </w:rPr>
            </w:pPr>
            <w:r w:rsidRPr="00643E62">
              <w:rPr>
                <w:rFonts w:ascii="Times New Roman" w:hAnsi="Times New Roman" w:cs="Times New Roman"/>
                <w:b/>
                <w:bCs/>
                <w:noProof/>
                <w:color w:val="000000"/>
                <w:sz w:val="14"/>
                <w:szCs w:val="14"/>
                <w:lang w:eastAsia="sk-SK"/>
              </w:rPr>
              <w:t>0</w:t>
            </w:r>
          </w:p>
        </w:tc>
        <w:tc>
          <w:tcPr>
            <w:tcW w:w="555" w:type="pct"/>
            <w:shd w:val="clear" w:color="000000" w:fill="C0C0C0"/>
            <w:noWrap/>
            <w:vAlign w:val="bottom"/>
          </w:tcPr>
          <w:p w:rsidR="003A497B" w:rsidRPr="00643E62" w:rsidRDefault="003A497B" w:rsidP="003E1809">
            <w:pPr>
              <w:jc w:val="right"/>
              <w:rPr>
                <w:rFonts w:ascii="Times New Roman" w:hAnsi="Times New Roman" w:cs="Times New Roman"/>
                <w:b/>
                <w:bCs/>
                <w:color w:val="000000"/>
                <w:sz w:val="14"/>
                <w:szCs w:val="14"/>
                <w:lang w:eastAsia="sk-SK"/>
              </w:rPr>
            </w:pPr>
            <w:r w:rsidRPr="00643E62">
              <w:rPr>
                <w:rFonts w:ascii="Times New Roman" w:hAnsi="Times New Roman" w:cs="Times New Roman"/>
                <w:b/>
                <w:bCs/>
                <w:color w:val="000000"/>
                <w:sz w:val="14"/>
                <w:szCs w:val="14"/>
              </w:rPr>
              <w:t>2 572 173</w:t>
            </w:r>
          </w:p>
        </w:tc>
        <w:tc>
          <w:tcPr>
            <w:tcW w:w="555" w:type="pct"/>
            <w:shd w:val="clear" w:color="000000" w:fill="C0C0C0"/>
            <w:noWrap/>
            <w:vAlign w:val="bottom"/>
          </w:tcPr>
          <w:p w:rsidR="003A497B" w:rsidRPr="00643E62" w:rsidRDefault="003A497B" w:rsidP="003E1809">
            <w:pPr>
              <w:jc w:val="right"/>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2 037 409</w:t>
            </w:r>
          </w:p>
        </w:tc>
        <w:tc>
          <w:tcPr>
            <w:tcW w:w="555" w:type="pct"/>
            <w:shd w:val="clear" w:color="000000" w:fill="C0C0C0"/>
            <w:noWrap/>
            <w:vAlign w:val="bottom"/>
          </w:tcPr>
          <w:p w:rsidR="003A497B" w:rsidRPr="00643E62" w:rsidRDefault="003A497B" w:rsidP="003E1809">
            <w:pPr>
              <w:jc w:val="right"/>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1 407 794</w:t>
            </w:r>
          </w:p>
        </w:tc>
        <w:tc>
          <w:tcPr>
            <w:tcW w:w="555" w:type="pct"/>
            <w:shd w:val="clear" w:color="000000" w:fill="C0C0C0"/>
            <w:noWrap/>
            <w:vAlign w:val="bottom"/>
          </w:tcPr>
          <w:p w:rsidR="003A497B" w:rsidRPr="00643E62" w:rsidRDefault="003A497B" w:rsidP="003E1809">
            <w:pPr>
              <w:jc w:val="right"/>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2 942 409</w:t>
            </w:r>
          </w:p>
        </w:tc>
        <w:tc>
          <w:tcPr>
            <w:tcW w:w="555" w:type="pct"/>
            <w:shd w:val="clear" w:color="000000" w:fill="C0C0C0"/>
            <w:noWrap/>
            <w:vAlign w:val="bottom"/>
          </w:tcPr>
          <w:p w:rsidR="003A497B" w:rsidRPr="00643E62" w:rsidRDefault="003A497B" w:rsidP="003E1809">
            <w:pPr>
              <w:jc w:val="right"/>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2 553 776</w:t>
            </w:r>
          </w:p>
        </w:tc>
        <w:tc>
          <w:tcPr>
            <w:tcW w:w="556" w:type="pct"/>
            <w:shd w:val="clear" w:color="000000" w:fill="C0C0C0"/>
            <w:noWrap/>
            <w:vAlign w:val="bottom"/>
          </w:tcPr>
          <w:p w:rsidR="003A497B" w:rsidRPr="00643E62" w:rsidRDefault="003A497B" w:rsidP="003E1809">
            <w:pPr>
              <w:jc w:val="right"/>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2 553 776</w:t>
            </w:r>
          </w:p>
        </w:tc>
      </w:tr>
      <w:tr w:rsidR="003A497B" w:rsidRPr="00643E62" w:rsidTr="003E1809">
        <w:trPr>
          <w:trHeight w:val="270"/>
        </w:trPr>
        <w:tc>
          <w:tcPr>
            <w:tcW w:w="1113" w:type="pct"/>
            <w:shd w:val="clear" w:color="000000" w:fill="FFFFFF"/>
            <w:noWrap/>
            <w:vAlign w:val="bottom"/>
            <w:hideMark/>
          </w:tcPr>
          <w:p w:rsidR="003A497B" w:rsidRPr="00643E62" w:rsidRDefault="003A497B" w:rsidP="003E1809">
            <w:pPr>
              <w:rPr>
                <w:rFonts w:ascii="Times New Roman" w:hAnsi="Times New Roman" w:cs="Times New Roman"/>
                <w:noProof/>
                <w:color w:val="000000"/>
                <w:sz w:val="14"/>
                <w:szCs w:val="14"/>
                <w:lang w:eastAsia="sk-SK"/>
              </w:rPr>
            </w:pPr>
            <w:r w:rsidRPr="00643E62">
              <w:rPr>
                <w:rFonts w:ascii="Times New Roman" w:hAnsi="Times New Roman" w:cs="Times New Roman"/>
                <w:noProof/>
                <w:color w:val="000000"/>
                <w:sz w:val="14"/>
                <w:szCs w:val="14"/>
                <w:lang w:eastAsia="sk-SK"/>
              </w:rPr>
              <w:t>rozpočtové zdroje kapitoly</w:t>
            </w:r>
          </w:p>
        </w:tc>
        <w:tc>
          <w:tcPr>
            <w:tcW w:w="555" w:type="pct"/>
            <w:shd w:val="clear" w:color="000000" w:fill="FFFFFF"/>
            <w:noWrap/>
            <w:vAlign w:val="bottom"/>
          </w:tcPr>
          <w:p w:rsidR="003A497B" w:rsidRPr="00643E62" w:rsidRDefault="003A497B" w:rsidP="003E1809">
            <w:pPr>
              <w:jc w:val="right"/>
              <w:rPr>
                <w:rFonts w:ascii="Times New Roman" w:hAnsi="Times New Roman" w:cs="Times New Roman"/>
                <w:noProof/>
                <w:color w:val="000000"/>
                <w:sz w:val="14"/>
                <w:szCs w:val="14"/>
                <w:lang w:eastAsia="sk-SK"/>
              </w:rPr>
            </w:pPr>
            <w:r w:rsidRPr="00643E62">
              <w:rPr>
                <w:rFonts w:ascii="Times New Roman" w:hAnsi="Times New Roman" w:cs="Times New Roman"/>
                <w:noProof/>
                <w:color w:val="000000"/>
                <w:sz w:val="14"/>
                <w:szCs w:val="14"/>
                <w:lang w:eastAsia="sk-SK"/>
              </w:rPr>
              <w:t>0</w:t>
            </w:r>
          </w:p>
        </w:tc>
        <w:tc>
          <w:tcPr>
            <w:tcW w:w="555" w:type="pct"/>
            <w:shd w:val="clear" w:color="000000" w:fill="FFFFFF"/>
            <w:noWrap/>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2 572 173</w:t>
            </w:r>
          </w:p>
        </w:tc>
        <w:tc>
          <w:tcPr>
            <w:tcW w:w="555" w:type="pct"/>
            <w:shd w:val="clear" w:color="000000" w:fill="FFFFFF"/>
            <w:noWrap/>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2 037 409</w:t>
            </w:r>
          </w:p>
        </w:tc>
        <w:tc>
          <w:tcPr>
            <w:tcW w:w="555" w:type="pct"/>
            <w:shd w:val="clear" w:color="000000" w:fill="FFFFFF"/>
            <w:noWrap/>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1 407 794</w:t>
            </w:r>
          </w:p>
        </w:tc>
        <w:tc>
          <w:tcPr>
            <w:tcW w:w="555" w:type="pct"/>
            <w:shd w:val="clear" w:color="000000" w:fill="FFFFFF"/>
            <w:noWrap/>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2 942 409</w:t>
            </w:r>
          </w:p>
        </w:tc>
        <w:tc>
          <w:tcPr>
            <w:tcW w:w="555" w:type="pct"/>
            <w:shd w:val="clear" w:color="000000" w:fill="FFFFFF"/>
            <w:noWrap/>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2 553 776</w:t>
            </w:r>
          </w:p>
        </w:tc>
        <w:tc>
          <w:tcPr>
            <w:tcW w:w="556" w:type="pct"/>
            <w:shd w:val="clear" w:color="000000" w:fill="FFFFFF"/>
            <w:noWrap/>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2 553 776</w:t>
            </w:r>
          </w:p>
        </w:tc>
      </w:tr>
    </w:tbl>
    <w:p w:rsidR="003A497B" w:rsidRPr="00FC7B62" w:rsidRDefault="003A497B" w:rsidP="003A497B">
      <w:pPr>
        <w:ind w:firstLine="708"/>
        <w:jc w:val="both"/>
        <w:rPr>
          <w:rFonts w:ascii="Arial Narrow" w:hAnsi="Arial Narrow" w:cs="Times New Roman"/>
          <w:noProof/>
          <w:sz w:val="22"/>
          <w:szCs w:val="22"/>
          <w:lang w:eastAsia="sk-SK"/>
        </w:rPr>
      </w:pPr>
    </w:p>
    <w:p w:rsidR="003A497B" w:rsidRPr="00FC7B62" w:rsidRDefault="003A497B" w:rsidP="003A497B">
      <w:pPr>
        <w:ind w:firstLine="708"/>
        <w:jc w:val="both"/>
        <w:rPr>
          <w:rFonts w:ascii="Times New Roman" w:hAnsi="Times New Roman" w:cs="Times New Roman"/>
          <w:noProof/>
          <w:lang w:eastAsia="sk-SK"/>
        </w:rPr>
      </w:pPr>
      <w:r w:rsidRPr="00FC7B62">
        <w:rPr>
          <w:rFonts w:ascii="Times New Roman" w:hAnsi="Times New Roman" w:cs="Times New Roman"/>
          <w:noProof/>
          <w:lang w:eastAsia="sk-SK"/>
        </w:rPr>
        <w:t>Ide o výdavky rozpočtované v medzirezortnom podprograme, smerujúce k podpore a udržaniu IT systémov v kapitole, pričom kapitoly sú povinné tieto výdavky rozpočtovať od roku 2017. Kapitola MŽP SR na rok 201</w:t>
      </w:r>
      <w:r>
        <w:rPr>
          <w:rFonts w:ascii="Times New Roman" w:hAnsi="Times New Roman" w:cs="Times New Roman"/>
          <w:noProof/>
          <w:lang w:eastAsia="sk-SK"/>
        </w:rPr>
        <w:t xml:space="preserve">9 </w:t>
      </w:r>
      <w:r w:rsidRPr="00FC7B62">
        <w:rPr>
          <w:rFonts w:ascii="Times New Roman" w:hAnsi="Times New Roman" w:cs="Times New Roman"/>
          <w:noProof/>
          <w:lang w:eastAsia="sk-SK"/>
        </w:rPr>
        <w:t>rozpočtuje v uvedenom medz</w:t>
      </w:r>
      <w:r>
        <w:rPr>
          <w:rFonts w:ascii="Times New Roman" w:hAnsi="Times New Roman" w:cs="Times New Roman"/>
          <w:noProof/>
          <w:lang w:eastAsia="sk-SK"/>
        </w:rPr>
        <w:t>irezortnom podporgrame sumu 2,94 mil. eur a uvedené výdavky zohľadňujú prostriedky, určené na informačné systémy v oblasti ochrany ovzdušia a biopalív.</w:t>
      </w:r>
    </w:p>
    <w:p w:rsidR="003A497B" w:rsidRPr="00FC7B62" w:rsidRDefault="003A497B" w:rsidP="003A497B">
      <w:pPr>
        <w:jc w:val="both"/>
        <w:rPr>
          <w:rFonts w:ascii="Times New Roman" w:hAnsi="Times New Roman" w:cs="Times New Roman"/>
        </w:rPr>
      </w:pPr>
    </w:p>
    <w:p w:rsidR="003A497B" w:rsidRPr="005F1146" w:rsidRDefault="003A497B" w:rsidP="003A497B">
      <w:pPr>
        <w:ind w:firstLine="708"/>
        <w:jc w:val="both"/>
        <w:rPr>
          <w:rFonts w:ascii="Times New Roman" w:hAnsi="Times New Roman" w:cs="Times New Roman"/>
        </w:rPr>
      </w:pPr>
      <w:r w:rsidRPr="005F1146">
        <w:rPr>
          <w:rFonts w:ascii="Times New Roman" w:hAnsi="Times New Roman" w:cs="Times New Roman"/>
        </w:rPr>
        <w:t>Výdavky štátneho r</w:t>
      </w:r>
      <w:r>
        <w:rPr>
          <w:rFonts w:ascii="Times New Roman" w:hAnsi="Times New Roman" w:cs="Times New Roman"/>
        </w:rPr>
        <w:t>ozpočtu určené na inštitucionálnu podporu</w:t>
      </w:r>
      <w:r w:rsidRPr="005F1146">
        <w:rPr>
          <w:rFonts w:ascii="Times New Roman" w:hAnsi="Times New Roman" w:cs="Times New Roman"/>
        </w:rPr>
        <w:t xml:space="preserve"> smerujú do nasledujúcich oblastí.</w:t>
      </w:r>
    </w:p>
    <w:p w:rsidR="003A497B" w:rsidRPr="005F1146" w:rsidRDefault="003A497B" w:rsidP="003A497B">
      <w:pPr>
        <w:jc w:val="both"/>
        <w:rPr>
          <w:rFonts w:ascii="Times New Roman" w:hAnsi="Times New Roman" w:cs="Times New Roman"/>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782"/>
        <w:gridCol w:w="960"/>
        <w:gridCol w:w="960"/>
        <w:gridCol w:w="960"/>
        <w:gridCol w:w="960"/>
        <w:gridCol w:w="960"/>
        <w:gridCol w:w="958"/>
      </w:tblGrid>
      <w:tr w:rsidR="003A497B" w:rsidRPr="00643E62" w:rsidTr="003E1809">
        <w:trPr>
          <w:trHeight w:val="285"/>
        </w:trPr>
        <w:tc>
          <w:tcPr>
            <w:tcW w:w="1376" w:type="pct"/>
            <w:shd w:val="clear" w:color="auto" w:fill="A6A6A6"/>
            <w:noWrap/>
            <w:vAlign w:val="center"/>
            <w:hideMark/>
          </w:tcPr>
          <w:p w:rsidR="003A497B" w:rsidRPr="00643E62" w:rsidRDefault="003A497B" w:rsidP="003E1809">
            <w:pPr>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v eurách </w:t>
            </w:r>
          </w:p>
        </w:tc>
        <w:tc>
          <w:tcPr>
            <w:tcW w:w="433" w:type="pct"/>
            <w:shd w:val="clear" w:color="000000" w:fill="A6A6A6"/>
            <w:vAlign w:val="center"/>
            <w:hideMark/>
          </w:tcPr>
          <w:p w:rsidR="003A497B" w:rsidRPr="00643E62" w:rsidRDefault="003A497B" w:rsidP="003E1809">
            <w:pPr>
              <w:jc w:val="center"/>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2016 S</w:t>
            </w:r>
          </w:p>
        </w:tc>
        <w:tc>
          <w:tcPr>
            <w:tcW w:w="532" w:type="pct"/>
            <w:shd w:val="clear" w:color="000000" w:fill="A6A6A6"/>
            <w:noWrap/>
            <w:vAlign w:val="center"/>
            <w:hideMark/>
          </w:tcPr>
          <w:p w:rsidR="003A497B" w:rsidRPr="00643E62" w:rsidRDefault="003A497B" w:rsidP="003E1809">
            <w:pPr>
              <w:jc w:val="center"/>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2017 S</w:t>
            </w:r>
          </w:p>
        </w:tc>
        <w:tc>
          <w:tcPr>
            <w:tcW w:w="532" w:type="pct"/>
            <w:shd w:val="clear" w:color="000000" w:fill="A6A6A6"/>
            <w:noWrap/>
            <w:vAlign w:val="center"/>
            <w:hideMark/>
          </w:tcPr>
          <w:p w:rsidR="003A497B" w:rsidRPr="00643E62" w:rsidRDefault="003A497B" w:rsidP="003E1809">
            <w:pPr>
              <w:jc w:val="center"/>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2018 R</w:t>
            </w:r>
          </w:p>
        </w:tc>
        <w:tc>
          <w:tcPr>
            <w:tcW w:w="532" w:type="pct"/>
            <w:shd w:val="clear" w:color="000000" w:fill="A6A6A6"/>
            <w:vAlign w:val="center"/>
            <w:hideMark/>
          </w:tcPr>
          <w:p w:rsidR="003A497B" w:rsidRPr="00643E62" w:rsidRDefault="003A497B" w:rsidP="003E1809">
            <w:pPr>
              <w:jc w:val="center"/>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2018 OS</w:t>
            </w:r>
          </w:p>
        </w:tc>
        <w:tc>
          <w:tcPr>
            <w:tcW w:w="532" w:type="pct"/>
            <w:shd w:val="clear" w:color="000000" w:fill="A6A6A6"/>
            <w:noWrap/>
            <w:vAlign w:val="center"/>
            <w:hideMark/>
          </w:tcPr>
          <w:p w:rsidR="003A497B" w:rsidRPr="00643E62" w:rsidRDefault="003A497B" w:rsidP="003E1809">
            <w:pPr>
              <w:jc w:val="center"/>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2019 N</w:t>
            </w:r>
          </w:p>
        </w:tc>
        <w:tc>
          <w:tcPr>
            <w:tcW w:w="532" w:type="pct"/>
            <w:shd w:val="clear" w:color="000000" w:fill="A6A6A6"/>
            <w:noWrap/>
            <w:vAlign w:val="center"/>
            <w:hideMark/>
          </w:tcPr>
          <w:p w:rsidR="003A497B" w:rsidRPr="00643E62" w:rsidRDefault="003A497B" w:rsidP="003E1809">
            <w:pPr>
              <w:jc w:val="center"/>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2020 N</w:t>
            </w:r>
          </w:p>
        </w:tc>
        <w:tc>
          <w:tcPr>
            <w:tcW w:w="531" w:type="pct"/>
            <w:shd w:val="clear" w:color="000000" w:fill="A6A6A6"/>
            <w:noWrap/>
            <w:vAlign w:val="center"/>
            <w:hideMark/>
          </w:tcPr>
          <w:p w:rsidR="003A497B" w:rsidRPr="00643E62" w:rsidRDefault="003A497B" w:rsidP="003E1809">
            <w:pPr>
              <w:jc w:val="center"/>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2021 N</w:t>
            </w:r>
          </w:p>
        </w:tc>
      </w:tr>
      <w:tr w:rsidR="003A497B" w:rsidRPr="00643E62" w:rsidTr="003E1809">
        <w:trPr>
          <w:trHeight w:val="285"/>
        </w:trPr>
        <w:tc>
          <w:tcPr>
            <w:tcW w:w="1376" w:type="pct"/>
            <w:shd w:val="clear" w:color="000000" w:fill="BFBFBF"/>
            <w:vAlign w:val="bottom"/>
            <w:hideMark/>
          </w:tcPr>
          <w:p w:rsidR="003A497B" w:rsidRPr="00643E62" w:rsidRDefault="003A497B" w:rsidP="003E1809">
            <w:pPr>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Inštitucionálna podpora, v tom:</w:t>
            </w:r>
          </w:p>
        </w:tc>
        <w:tc>
          <w:tcPr>
            <w:tcW w:w="433" w:type="pct"/>
            <w:shd w:val="clear" w:color="000000" w:fill="C0C0C0"/>
            <w:noWrap/>
            <w:vAlign w:val="bottom"/>
            <w:hideMark/>
          </w:tcPr>
          <w:p w:rsidR="003A497B" w:rsidRPr="00643E62" w:rsidRDefault="003A497B" w:rsidP="003E1809">
            <w:pPr>
              <w:jc w:val="right"/>
              <w:rPr>
                <w:rFonts w:ascii="Times New Roman" w:hAnsi="Times New Roman" w:cs="Times New Roman"/>
                <w:b/>
                <w:bCs/>
                <w:color w:val="000000"/>
                <w:sz w:val="14"/>
                <w:szCs w:val="14"/>
                <w:lang w:eastAsia="sk-SK"/>
              </w:rPr>
            </w:pPr>
            <w:r w:rsidRPr="00643E62">
              <w:rPr>
                <w:rFonts w:ascii="Times New Roman" w:hAnsi="Times New Roman" w:cs="Times New Roman"/>
                <w:b/>
                <w:bCs/>
                <w:color w:val="000000"/>
                <w:sz w:val="14"/>
                <w:szCs w:val="14"/>
              </w:rPr>
              <w:t>17 864 477</w:t>
            </w:r>
          </w:p>
        </w:tc>
        <w:tc>
          <w:tcPr>
            <w:tcW w:w="532" w:type="pct"/>
            <w:shd w:val="clear" w:color="000000" w:fill="C0C0C0"/>
            <w:noWrap/>
            <w:vAlign w:val="bottom"/>
          </w:tcPr>
          <w:p w:rsidR="003A497B" w:rsidRPr="00643E62" w:rsidRDefault="003A497B" w:rsidP="003E1809">
            <w:pPr>
              <w:jc w:val="right"/>
              <w:rPr>
                <w:rFonts w:ascii="Times New Roman" w:hAnsi="Times New Roman" w:cs="Times New Roman"/>
                <w:b/>
                <w:bCs/>
                <w:color w:val="000000"/>
                <w:sz w:val="14"/>
                <w:szCs w:val="14"/>
                <w:lang w:eastAsia="sk-SK"/>
              </w:rPr>
            </w:pPr>
            <w:r w:rsidRPr="00643E62">
              <w:rPr>
                <w:rFonts w:ascii="Times New Roman" w:hAnsi="Times New Roman" w:cs="Times New Roman"/>
                <w:b/>
                <w:bCs/>
                <w:color w:val="000000"/>
                <w:sz w:val="14"/>
                <w:szCs w:val="14"/>
              </w:rPr>
              <w:t>26 936 468</w:t>
            </w:r>
          </w:p>
        </w:tc>
        <w:tc>
          <w:tcPr>
            <w:tcW w:w="532" w:type="pct"/>
            <w:shd w:val="clear" w:color="000000" w:fill="C0C0C0"/>
            <w:noWrap/>
            <w:vAlign w:val="bottom"/>
          </w:tcPr>
          <w:p w:rsidR="003A497B" w:rsidRPr="00643E62" w:rsidRDefault="003A497B" w:rsidP="003E1809">
            <w:pPr>
              <w:jc w:val="right"/>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28 862 197</w:t>
            </w:r>
          </w:p>
        </w:tc>
        <w:tc>
          <w:tcPr>
            <w:tcW w:w="532" w:type="pct"/>
            <w:shd w:val="clear" w:color="000000" w:fill="C0C0C0"/>
            <w:noWrap/>
            <w:vAlign w:val="bottom"/>
          </w:tcPr>
          <w:p w:rsidR="003A497B" w:rsidRPr="00643E62" w:rsidRDefault="003A497B" w:rsidP="003E1809">
            <w:pPr>
              <w:jc w:val="right"/>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25 327 134</w:t>
            </w:r>
          </w:p>
        </w:tc>
        <w:tc>
          <w:tcPr>
            <w:tcW w:w="532" w:type="pct"/>
            <w:shd w:val="clear" w:color="000000" w:fill="C0C0C0"/>
            <w:noWrap/>
            <w:vAlign w:val="bottom"/>
          </w:tcPr>
          <w:p w:rsidR="003A497B" w:rsidRPr="00643E62" w:rsidRDefault="003A497B" w:rsidP="003E1809">
            <w:pPr>
              <w:jc w:val="right"/>
              <w:rPr>
                <w:rFonts w:ascii="Times New Roman" w:hAnsi="Times New Roman" w:cs="Times New Roman"/>
                <w:b/>
                <w:bCs/>
                <w:color w:val="000000"/>
                <w:sz w:val="14"/>
                <w:szCs w:val="14"/>
                <w:lang w:eastAsia="sk-SK"/>
              </w:rPr>
            </w:pPr>
            <w:r w:rsidRPr="00643E62">
              <w:rPr>
                <w:rFonts w:ascii="Times New Roman" w:hAnsi="Times New Roman" w:cs="Times New Roman"/>
                <w:b/>
                <w:bCs/>
                <w:color w:val="000000"/>
                <w:sz w:val="14"/>
                <w:szCs w:val="14"/>
              </w:rPr>
              <w:t>28 829 290</w:t>
            </w:r>
          </w:p>
        </w:tc>
        <w:tc>
          <w:tcPr>
            <w:tcW w:w="532" w:type="pct"/>
            <w:shd w:val="clear" w:color="000000" w:fill="C0C0C0"/>
            <w:noWrap/>
            <w:vAlign w:val="bottom"/>
          </w:tcPr>
          <w:p w:rsidR="003A497B" w:rsidRPr="00643E62" w:rsidRDefault="003A497B" w:rsidP="003E1809">
            <w:pPr>
              <w:jc w:val="right"/>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26 322 923</w:t>
            </w:r>
          </w:p>
        </w:tc>
        <w:tc>
          <w:tcPr>
            <w:tcW w:w="531" w:type="pct"/>
            <w:shd w:val="clear" w:color="000000" w:fill="C0C0C0"/>
            <w:noWrap/>
            <w:vAlign w:val="bottom"/>
          </w:tcPr>
          <w:p w:rsidR="003A497B" w:rsidRPr="00643E62" w:rsidRDefault="003A497B" w:rsidP="003E1809">
            <w:pPr>
              <w:jc w:val="right"/>
              <w:rPr>
                <w:rFonts w:ascii="Times New Roman" w:hAnsi="Times New Roman" w:cs="Times New Roman"/>
                <w:b/>
                <w:bCs/>
                <w:color w:val="000000"/>
                <w:sz w:val="14"/>
                <w:szCs w:val="14"/>
              </w:rPr>
            </w:pPr>
            <w:r w:rsidRPr="00643E62">
              <w:rPr>
                <w:rFonts w:ascii="Times New Roman" w:hAnsi="Times New Roman" w:cs="Times New Roman"/>
                <w:b/>
                <w:bCs/>
                <w:color w:val="000000"/>
                <w:sz w:val="14"/>
                <w:szCs w:val="14"/>
              </w:rPr>
              <w:t>26 322 923</w:t>
            </w:r>
          </w:p>
        </w:tc>
      </w:tr>
      <w:tr w:rsidR="003A497B" w:rsidRPr="00643E62" w:rsidTr="003E1809">
        <w:trPr>
          <w:trHeight w:val="285"/>
        </w:trPr>
        <w:tc>
          <w:tcPr>
            <w:tcW w:w="1376" w:type="pct"/>
            <w:shd w:val="clear" w:color="000000" w:fill="FFFFFF"/>
            <w:noWrap/>
            <w:vAlign w:val="bottom"/>
            <w:hideMark/>
          </w:tcPr>
          <w:p w:rsidR="003A497B" w:rsidRPr="00643E62" w:rsidRDefault="003A497B" w:rsidP="003E1809">
            <w:pPr>
              <w:rPr>
                <w:rFonts w:ascii="Times New Roman" w:hAnsi="Times New Roman" w:cs="Times New Roman"/>
                <w:color w:val="000000"/>
                <w:sz w:val="14"/>
                <w:szCs w:val="14"/>
              </w:rPr>
            </w:pPr>
            <w:r w:rsidRPr="00643E62">
              <w:rPr>
                <w:rFonts w:ascii="Times New Roman" w:hAnsi="Times New Roman" w:cs="Times New Roman"/>
                <w:color w:val="000000"/>
                <w:sz w:val="14"/>
                <w:szCs w:val="14"/>
              </w:rPr>
              <w:t>Ústredný orgán - aparát</w:t>
            </w:r>
          </w:p>
        </w:tc>
        <w:tc>
          <w:tcPr>
            <w:tcW w:w="433" w:type="pct"/>
            <w:shd w:val="clear" w:color="000000" w:fill="FFFFFF"/>
            <w:noWrap/>
            <w:vAlign w:val="bottom"/>
            <w:hideMark/>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6 996 307</w:t>
            </w:r>
          </w:p>
        </w:tc>
        <w:tc>
          <w:tcPr>
            <w:tcW w:w="532" w:type="pct"/>
            <w:shd w:val="clear" w:color="000000" w:fill="FFFFFF"/>
            <w:noWrap/>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15 043 195</w:t>
            </w:r>
          </w:p>
        </w:tc>
        <w:tc>
          <w:tcPr>
            <w:tcW w:w="532" w:type="pct"/>
            <w:shd w:val="clear" w:color="000000" w:fill="FFFFFF"/>
            <w:noWrap/>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16 907 827</w:t>
            </w:r>
          </w:p>
        </w:tc>
        <w:tc>
          <w:tcPr>
            <w:tcW w:w="532" w:type="pct"/>
            <w:shd w:val="clear" w:color="000000" w:fill="FFFFFF"/>
            <w:noWrap/>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10 969 567</w:t>
            </w:r>
          </w:p>
        </w:tc>
        <w:tc>
          <w:tcPr>
            <w:tcW w:w="532" w:type="pct"/>
            <w:shd w:val="clear" w:color="000000" w:fill="FFFFFF"/>
            <w:noWrap/>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16 069 716</w:t>
            </w:r>
          </w:p>
        </w:tc>
        <w:tc>
          <w:tcPr>
            <w:tcW w:w="532" w:type="pct"/>
            <w:shd w:val="clear" w:color="000000" w:fill="FFFFFF"/>
            <w:noWrap/>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13 563 349</w:t>
            </w:r>
          </w:p>
        </w:tc>
        <w:tc>
          <w:tcPr>
            <w:tcW w:w="531" w:type="pct"/>
            <w:shd w:val="clear" w:color="000000" w:fill="FFFFFF"/>
            <w:noWrap/>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13 563 349</w:t>
            </w:r>
          </w:p>
        </w:tc>
      </w:tr>
      <w:tr w:rsidR="003A497B" w:rsidRPr="00643E62" w:rsidTr="003E1809">
        <w:trPr>
          <w:trHeight w:val="285"/>
        </w:trPr>
        <w:tc>
          <w:tcPr>
            <w:tcW w:w="1376" w:type="pct"/>
            <w:shd w:val="clear" w:color="000000" w:fill="FFFFFF"/>
            <w:noWrap/>
            <w:vAlign w:val="bottom"/>
            <w:hideMark/>
          </w:tcPr>
          <w:p w:rsidR="003A497B" w:rsidRPr="00643E62" w:rsidRDefault="003A497B" w:rsidP="003E1809">
            <w:pPr>
              <w:rPr>
                <w:rFonts w:ascii="Times New Roman" w:hAnsi="Times New Roman" w:cs="Times New Roman"/>
                <w:color w:val="000000"/>
                <w:sz w:val="14"/>
                <w:szCs w:val="14"/>
              </w:rPr>
            </w:pPr>
            <w:r w:rsidRPr="00643E62">
              <w:rPr>
                <w:rFonts w:ascii="Times New Roman" w:hAnsi="Times New Roman" w:cs="Times New Roman"/>
                <w:color w:val="000000"/>
                <w:sz w:val="14"/>
                <w:szCs w:val="14"/>
              </w:rPr>
              <w:t>Slovenská inšpekcia životného prostredia</w:t>
            </w:r>
          </w:p>
        </w:tc>
        <w:tc>
          <w:tcPr>
            <w:tcW w:w="433" w:type="pct"/>
            <w:shd w:val="clear" w:color="000000" w:fill="FFFFFF"/>
            <w:noWrap/>
            <w:vAlign w:val="bottom"/>
            <w:hideMark/>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4 829 580</w:t>
            </w:r>
          </w:p>
        </w:tc>
        <w:tc>
          <w:tcPr>
            <w:tcW w:w="532" w:type="pct"/>
            <w:shd w:val="clear" w:color="000000" w:fill="FFFFFF"/>
            <w:noWrap/>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5 240 627</w:t>
            </w:r>
          </w:p>
        </w:tc>
        <w:tc>
          <w:tcPr>
            <w:tcW w:w="532" w:type="pct"/>
            <w:shd w:val="clear" w:color="000000" w:fill="FFFFFF"/>
            <w:noWrap/>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5 647 428</w:t>
            </w:r>
          </w:p>
        </w:tc>
        <w:tc>
          <w:tcPr>
            <w:tcW w:w="532" w:type="pct"/>
            <w:shd w:val="clear" w:color="000000" w:fill="FFFFFF"/>
            <w:noWrap/>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6 285 119</w:t>
            </w:r>
          </w:p>
        </w:tc>
        <w:tc>
          <w:tcPr>
            <w:tcW w:w="532" w:type="pct"/>
            <w:shd w:val="clear" w:color="000000" w:fill="FFFFFF"/>
            <w:noWrap/>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6 143 038</w:t>
            </w:r>
          </w:p>
        </w:tc>
        <w:tc>
          <w:tcPr>
            <w:tcW w:w="532" w:type="pct"/>
            <w:shd w:val="clear" w:color="000000" w:fill="FFFFFF"/>
            <w:noWrap/>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6 143 038</w:t>
            </w:r>
          </w:p>
        </w:tc>
        <w:tc>
          <w:tcPr>
            <w:tcW w:w="531" w:type="pct"/>
            <w:shd w:val="clear" w:color="000000" w:fill="FFFFFF"/>
            <w:noWrap/>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6 143 038</w:t>
            </w:r>
          </w:p>
        </w:tc>
      </w:tr>
      <w:tr w:rsidR="003A497B" w:rsidRPr="00643E62" w:rsidTr="003E1809">
        <w:trPr>
          <w:trHeight w:val="285"/>
        </w:trPr>
        <w:tc>
          <w:tcPr>
            <w:tcW w:w="1376" w:type="pct"/>
            <w:noWrap/>
            <w:vAlign w:val="bottom"/>
            <w:hideMark/>
          </w:tcPr>
          <w:p w:rsidR="003A497B" w:rsidRPr="00643E62" w:rsidRDefault="003A497B" w:rsidP="003E1809">
            <w:pPr>
              <w:rPr>
                <w:rFonts w:ascii="Times New Roman" w:hAnsi="Times New Roman" w:cs="Times New Roman"/>
                <w:color w:val="000000"/>
                <w:sz w:val="14"/>
                <w:szCs w:val="14"/>
              </w:rPr>
            </w:pPr>
            <w:r w:rsidRPr="00643E62">
              <w:rPr>
                <w:rFonts w:ascii="Times New Roman" w:hAnsi="Times New Roman" w:cs="Times New Roman"/>
                <w:color w:val="000000"/>
                <w:sz w:val="14"/>
                <w:szCs w:val="14"/>
              </w:rPr>
              <w:t>Slovenská agentúra životného prostredia</w:t>
            </w:r>
          </w:p>
        </w:tc>
        <w:tc>
          <w:tcPr>
            <w:tcW w:w="433" w:type="pct"/>
            <w:shd w:val="clear" w:color="auto" w:fill="auto"/>
            <w:vAlign w:val="bottom"/>
            <w:hideMark/>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3 076 178</w:t>
            </w:r>
          </w:p>
        </w:tc>
        <w:tc>
          <w:tcPr>
            <w:tcW w:w="532"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3 443 032</w:t>
            </w:r>
          </w:p>
        </w:tc>
        <w:tc>
          <w:tcPr>
            <w:tcW w:w="532"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2 926 942</w:t>
            </w:r>
          </w:p>
        </w:tc>
        <w:tc>
          <w:tcPr>
            <w:tcW w:w="532"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3 938 050</w:t>
            </w:r>
          </w:p>
        </w:tc>
        <w:tc>
          <w:tcPr>
            <w:tcW w:w="532"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3 251 536</w:t>
            </w:r>
          </w:p>
        </w:tc>
        <w:tc>
          <w:tcPr>
            <w:tcW w:w="532"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3 251 536</w:t>
            </w:r>
          </w:p>
        </w:tc>
        <w:tc>
          <w:tcPr>
            <w:tcW w:w="531"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3 251 536</w:t>
            </w:r>
          </w:p>
        </w:tc>
      </w:tr>
      <w:tr w:rsidR="003A497B" w:rsidRPr="00643E62" w:rsidTr="003E1809">
        <w:trPr>
          <w:trHeight w:val="285"/>
        </w:trPr>
        <w:tc>
          <w:tcPr>
            <w:tcW w:w="1376" w:type="pct"/>
            <w:vAlign w:val="bottom"/>
            <w:hideMark/>
          </w:tcPr>
          <w:p w:rsidR="003A497B" w:rsidRPr="00643E62" w:rsidRDefault="003A497B" w:rsidP="003E1809">
            <w:pPr>
              <w:rPr>
                <w:rFonts w:ascii="Times New Roman" w:hAnsi="Times New Roman" w:cs="Times New Roman"/>
                <w:color w:val="000000"/>
                <w:sz w:val="14"/>
                <w:szCs w:val="14"/>
              </w:rPr>
            </w:pPr>
            <w:r w:rsidRPr="00643E62">
              <w:rPr>
                <w:rFonts w:ascii="Times New Roman" w:hAnsi="Times New Roman" w:cs="Times New Roman"/>
                <w:color w:val="000000"/>
                <w:sz w:val="14"/>
                <w:szCs w:val="14"/>
              </w:rPr>
              <w:t>SK PRES</w:t>
            </w:r>
          </w:p>
        </w:tc>
        <w:tc>
          <w:tcPr>
            <w:tcW w:w="433"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2 606 098</w:t>
            </w:r>
          </w:p>
        </w:tc>
        <w:tc>
          <w:tcPr>
            <w:tcW w:w="532"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14 466</w:t>
            </w:r>
          </w:p>
        </w:tc>
        <w:tc>
          <w:tcPr>
            <w:tcW w:w="532"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0</w:t>
            </w:r>
          </w:p>
        </w:tc>
        <w:tc>
          <w:tcPr>
            <w:tcW w:w="532"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0</w:t>
            </w:r>
          </w:p>
        </w:tc>
        <w:tc>
          <w:tcPr>
            <w:tcW w:w="532"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0</w:t>
            </w:r>
          </w:p>
        </w:tc>
        <w:tc>
          <w:tcPr>
            <w:tcW w:w="532"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0</w:t>
            </w:r>
          </w:p>
        </w:tc>
        <w:tc>
          <w:tcPr>
            <w:tcW w:w="531"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0</w:t>
            </w:r>
          </w:p>
        </w:tc>
      </w:tr>
      <w:tr w:rsidR="003A497B" w:rsidRPr="00643E62" w:rsidTr="003E1809">
        <w:trPr>
          <w:trHeight w:val="285"/>
        </w:trPr>
        <w:tc>
          <w:tcPr>
            <w:tcW w:w="1376" w:type="pct"/>
            <w:vAlign w:val="bottom"/>
            <w:hideMark/>
          </w:tcPr>
          <w:p w:rsidR="003A497B" w:rsidRPr="00643E62" w:rsidRDefault="003A497B" w:rsidP="003E1809">
            <w:pPr>
              <w:rPr>
                <w:rFonts w:ascii="Times New Roman" w:hAnsi="Times New Roman" w:cs="Times New Roman"/>
                <w:color w:val="000000"/>
                <w:sz w:val="14"/>
                <w:szCs w:val="14"/>
              </w:rPr>
            </w:pPr>
            <w:r w:rsidRPr="00643E62">
              <w:rPr>
                <w:rFonts w:ascii="Times New Roman" w:hAnsi="Times New Roman" w:cs="Times New Roman"/>
                <w:color w:val="000000"/>
                <w:sz w:val="14"/>
                <w:szCs w:val="14"/>
              </w:rPr>
              <w:t>Príspevky SR do MO</w:t>
            </w:r>
          </w:p>
        </w:tc>
        <w:tc>
          <w:tcPr>
            <w:tcW w:w="433"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210 010</w:t>
            </w:r>
          </w:p>
        </w:tc>
        <w:tc>
          <w:tcPr>
            <w:tcW w:w="532"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3 017 442</w:t>
            </w:r>
          </w:p>
        </w:tc>
        <w:tc>
          <w:tcPr>
            <w:tcW w:w="532"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3 200 000</w:t>
            </w:r>
          </w:p>
        </w:tc>
        <w:tc>
          <w:tcPr>
            <w:tcW w:w="532"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3 954 398</w:t>
            </w:r>
          </w:p>
        </w:tc>
        <w:tc>
          <w:tcPr>
            <w:tcW w:w="532"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3 200 000</w:t>
            </w:r>
          </w:p>
        </w:tc>
        <w:tc>
          <w:tcPr>
            <w:tcW w:w="532"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3 200 000</w:t>
            </w:r>
          </w:p>
        </w:tc>
        <w:tc>
          <w:tcPr>
            <w:tcW w:w="531"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3 200 000</w:t>
            </w:r>
          </w:p>
        </w:tc>
      </w:tr>
      <w:tr w:rsidR="003A497B" w:rsidRPr="00643E62" w:rsidTr="003E1809">
        <w:trPr>
          <w:trHeight w:val="285"/>
        </w:trPr>
        <w:tc>
          <w:tcPr>
            <w:tcW w:w="1376" w:type="pct"/>
            <w:vAlign w:val="bottom"/>
            <w:hideMark/>
          </w:tcPr>
          <w:p w:rsidR="003A497B" w:rsidRPr="00643E62" w:rsidRDefault="003A497B" w:rsidP="003E1809">
            <w:pPr>
              <w:rPr>
                <w:rFonts w:ascii="Times New Roman" w:hAnsi="Times New Roman" w:cs="Times New Roman"/>
                <w:color w:val="000000"/>
                <w:sz w:val="14"/>
                <w:szCs w:val="14"/>
              </w:rPr>
            </w:pPr>
            <w:r w:rsidRPr="00643E62">
              <w:rPr>
                <w:rFonts w:ascii="Times New Roman" w:hAnsi="Times New Roman" w:cs="Times New Roman"/>
                <w:color w:val="000000"/>
                <w:sz w:val="14"/>
                <w:szCs w:val="14"/>
              </w:rPr>
              <w:t>Hospodárska mobilizácia</w:t>
            </w:r>
          </w:p>
        </w:tc>
        <w:tc>
          <w:tcPr>
            <w:tcW w:w="433"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146 303</w:t>
            </w:r>
          </w:p>
        </w:tc>
        <w:tc>
          <w:tcPr>
            <w:tcW w:w="532"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177 707</w:t>
            </w:r>
          </w:p>
        </w:tc>
        <w:tc>
          <w:tcPr>
            <w:tcW w:w="532"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180 000</w:t>
            </w:r>
          </w:p>
        </w:tc>
        <w:tc>
          <w:tcPr>
            <w:tcW w:w="532"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180 000</w:t>
            </w:r>
          </w:p>
        </w:tc>
        <w:tc>
          <w:tcPr>
            <w:tcW w:w="532"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165 000</w:t>
            </w:r>
          </w:p>
        </w:tc>
        <w:tc>
          <w:tcPr>
            <w:tcW w:w="532"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165 000</w:t>
            </w:r>
          </w:p>
        </w:tc>
        <w:tc>
          <w:tcPr>
            <w:tcW w:w="531" w:type="pct"/>
            <w:shd w:val="clear" w:color="auto" w:fill="auto"/>
            <w:vAlign w:val="bottom"/>
          </w:tcPr>
          <w:p w:rsidR="003A497B" w:rsidRPr="00643E62" w:rsidRDefault="003A497B" w:rsidP="003E1809">
            <w:pPr>
              <w:jc w:val="right"/>
              <w:rPr>
                <w:rFonts w:ascii="Times New Roman" w:hAnsi="Times New Roman" w:cs="Times New Roman"/>
                <w:color w:val="000000"/>
                <w:sz w:val="14"/>
                <w:szCs w:val="14"/>
              </w:rPr>
            </w:pPr>
            <w:r w:rsidRPr="00643E62">
              <w:rPr>
                <w:rFonts w:ascii="Times New Roman" w:hAnsi="Times New Roman" w:cs="Times New Roman"/>
                <w:color w:val="000000"/>
                <w:sz w:val="14"/>
                <w:szCs w:val="14"/>
              </w:rPr>
              <w:t>165 000</w:t>
            </w:r>
          </w:p>
        </w:tc>
      </w:tr>
    </w:tbl>
    <w:p w:rsidR="003A497B" w:rsidRPr="005F1146" w:rsidRDefault="003A497B" w:rsidP="003A497B">
      <w:pPr>
        <w:ind w:firstLine="708"/>
        <w:jc w:val="both"/>
        <w:rPr>
          <w:rFonts w:ascii="Times New Roman" w:hAnsi="Times New Roman" w:cs="Times New Roman"/>
        </w:rPr>
      </w:pPr>
    </w:p>
    <w:p w:rsidR="003A497B" w:rsidRPr="005F1146" w:rsidRDefault="003A497B" w:rsidP="003A497B">
      <w:pPr>
        <w:ind w:firstLine="708"/>
        <w:jc w:val="both"/>
        <w:rPr>
          <w:rFonts w:ascii="Times New Roman" w:hAnsi="Times New Roman" w:cs="Times New Roman"/>
        </w:rPr>
      </w:pPr>
      <w:r w:rsidRPr="005F1146">
        <w:rPr>
          <w:rFonts w:ascii="Times New Roman" w:hAnsi="Times New Roman" w:cs="Times New Roman"/>
        </w:rPr>
        <w:t>Prostriedky štátneho r</w:t>
      </w:r>
      <w:r>
        <w:rPr>
          <w:rFonts w:ascii="Times New Roman" w:hAnsi="Times New Roman" w:cs="Times New Roman"/>
        </w:rPr>
        <w:t>ozpočtu takmer zachovávajú úroveň schváleného rozpočtu 2018. V</w:t>
      </w:r>
      <w:r w:rsidRPr="005F1146">
        <w:rPr>
          <w:rFonts w:ascii="Times New Roman" w:hAnsi="Times New Roman" w:cs="Times New Roman"/>
        </w:rPr>
        <w:t>ýdavky</w:t>
      </w:r>
      <w:r>
        <w:rPr>
          <w:rFonts w:ascii="Times New Roman" w:hAnsi="Times New Roman" w:cs="Times New Roman"/>
        </w:rPr>
        <w:t xml:space="preserve"> v oblasti s</w:t>
      </w:r>
      <w:r w:rsidRPr="005F1146">
        <w:rPr>
          <w:rFonts w:ascii="Times New Roman" w:hAnsi="Times New Roman" w:cs="Times New Roman"/>
        </w:rPr>
        <w:t>ú určené na inštitucionálnu podporu a činnosti vykonávané ústredným orgánom, Slovenskou i</w:t>
      </w:r>
      <w:r>
        <w:rPr>
          <w:rFonts w:ascii="Times New Roman" w:hAnsi="Times New Roman" w:cs="Times New Roman"/>
        </w:rPr>
        <w:t xml:space="preserve">nšpekciou životného prostredia a </w:t>
      </w:r>
      <w:r w:rsidRPr="005F1146">
        <w:rPr>
          <w:rFonts w:ascii="Times New Roman" w:hAnsi="Times New Roman" w:cs="Times New Roman"/>
        </w:rPr>
        <w:t xml:space="preserve">Slovenskou </w:t>
      </w:r>
      <w:r>
        <w:rPr>
          <w:rFonts w:ascii="Times New Roman" w:hAnsi="Times New Roman" w:cs="Times New Roman"/>
        </w:rPr>
        <w:t xml:space="preserve">agentúrou životného prostredia. </w:t>
      </w:r>
      <w:r w:rsidRPr="005F1146">
        <w:rPr>
          <w:rFonts w:ascii="Times New Roman" w:hAnsi="Times New Roman" w:cs="Times New Roman"/>
        </w:rPr>
        <w:t>Okrem t</w:t>
      </w:r>
      <w:r>
        <w:rPr>
          <w:rFonts w:ascii="Times New Roman" w:hAnsi="Times New Roman" w:cs="Times New Roman"/>
        </w:rPr>
        <w:t xml:space="preserve">ýchto výdavkov </w:t>
      </w:r>
      <w:r w:rsidRPr="005F1146">
        <w:rPr>
          <w:rFonts w:ascii="Times New Roman" w:hAnsi="Times New Roman" w:cs="Times New Roman"/>
        </w:rPr>
        <w:t xml:space="preserve">sem patria prostriedky určené na výchovu, vzdelávanie, </w:t>
      </w:r>
      <w:r w:rsidRPr="005F1146">
        <w:rPr>
          <w:rFonts w:ascii="Times New Roman" w:hAnsi="Times New Roman" w:cs="Times New Roman"/>
        </w:rPr>
        <w:lastRenderedPageBreak/>
        <w:t>propagáciu, prieskum, výskum, výv</w:t>
      </w:r>
      <w:r>
        <w:rPr>
          <w:rFonts w:ascii="Times New Roman" w:hAnsi="Times New Roman" w:cs="Times New Roman"/>
        </w:rPr>
        <w:t>oj, technickú pomoc, príspevky medzinárodným organizáciám a</w:t>
      </w:r>
      <w:r w:rsidRPr="005F1146">
        <w:rPr>
          <w:rFonts w:ascii="Times New Roman" w:hAnsi="Times New Roman" w:cs="Times New Roman"/>
        </w:rPr>
        <w:t xml:space="preserve"> hospodársku mobilizáciu.</w:t>
      </w:r>
    </w:p>
    <w:p w:rsidR="003A497B" w:rsidRPr="00A401D6" w:rsidRDefault="003A497B" w:rsidP="003A497B">
      <w:pPr>
        <w:pStyle w:val="Nadpis5"/>
        <w:pBdr>
          <w:bottom w:val="single" w:sz="4" w:space="1" w:color="auto"/>
        </w:pBdr>
        <w:ind w:left="0"/>
        <w:rPr>
          <w:i w:val="0"/>
          <w:sz w:val="24"/>
          <w:lang w:eastAsia="sk-SK"/>
        </w:rPr>
      </w:pPr>
      <w:bookmarkStart w:id="215" w:name="_Toc400551762"/>
      <w:bookmarkStart w:id="216" w:name="_Toc469491250"/>
      <w:bookmarkStart w:id="217" w:name="_Toc526267699"/>
      <w:r w:rsidRPr="00A401D6">
        <w:rPr>
          <w:i w:val="0"/>
          <w:sz w:val="24"/>
          <w:lang w:eastAsia="sk-SK"/>
        </w:rPr>
        <w:t>Ministerstvo spravodlivosti SR</w:t>
      </w:r>
      <w:bookmarkEnd w:id="215"/>
      <w:bookmarkEnd w:id="216"/>
      <w:bookmarkEnd w:id="217"/>
    </w:p>
    <w:p w:rsidR="003A497B" w:rsidRPr="00D16366" w:rsidRDefault="003A497B" w:rsidP="003A497B">
      <w:pPr>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686"/>
        <w:gridCol w:w="905"/>
        <w:gridCol w:w="905"/>
        <w:gridCol w:w="905"/>
        <w:gridCol w:w="945"/>
        <w:gridCol w:w="905"/>
        <w:gridCol w:w="905"/>
        <w:gridCol w:w="906"/>
      </w:tblGrid>
      <w:tr w:rsidR="003A497B" w:rsidRPr="00FD44F6" w:rsidTr="003E1809">
        <w:trPr>
          <w:trHeight w:hRule="exact" w:val="255"/>
        </w:trPr>
        <w:tc>
          <w:tcPr>
            <w:tcW w:w="148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v eurách</w:t>
            </w:r>
          </w:p>
        </w:tc>
        <w:tc>
          <w:tcPr>
            <w:tcW w:w="50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FD44F6" w:rsidRDefault="003A497B" w:rsidP="003E1809">
            <w:pPr>
              <w:jc w:val="center"/>
              <w:rPr>
                <w:rFonts w:ascii="Times New Roman" w:hAnsi="Times New Roman" w:cs="Times New Roman"/>
                <w:b/>
                <w:bCs/>
                <w:sz w:val="14"/>
                <w:szCs w:val="14"/>
                <w:lang w:eastAsia="sk-SK"/>
              </w:rPr>
            </w:pPr>
            <w:r w:rsidRPr="00FD44F6">
              <w:rPr>
                <w:rFonts w:ascii="Times New Roman" w:hAnsi="Times New Roman" w:cs="Times New Roman"/>
                <w:b/>
                <w:bCs/>
                <w:sz w:val="14"/>
                <w:szCs w:val="14"/>
                <w:lang w:eastAsia="sk-SK"/>
              </w:rPr>
              <w:t>2016 S</w:t>
            </w:r>
          </w:p>
        </w:tc>
        <w:tc>
          <w:tcPr>
            <w:tcW w:w="50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FD44F6" w:rsidRDefault="003A497B" w:rsidP="003E1809">
            <w:pPr>
              <w:jc w:val="center"/>
              <w:rPr>
                <w:rFonts w:ascii="Times New Roman" w:hAnsi="Times New Roman" w:cs="Times New Roman"/>
                <w:b/>
                <w:bCs/>
                <w:sz w:val="14"/>
                <w:szCs w:val="14"/>
                <w:lang w:eastAsia="sk-SK"/>
              </w:rPr>
            </w:pPr>
            <w:r w:rsidRPr="00FD44F6">
              <w:rPr>
                <w:rFonts w:ascii="Times New Roman" w:hAnsi="Times New Roman" w:cs="Times New Roman"/>
                <w:b/>
                <w:bCs/>
                <w:sz w:val="14"/>
                <w:szCs w:val="14"/>
                <w:lang w:eastAsia="sk-SK"/>
              </w:rPr>
              <w:t>2017 S</w:t>
            </w:r>
          </w:p>
        </w:tc>
        <w:tc>
          <w:tcPr>
            <w:tcW w:w="50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FD44F6" w:rsidRDefault="003A497B" w:rsidP="003E1809">
            <w:pPr>
              <w:jc w:val="center"/>
              <w:rPr>
                <w:rFonts w:ascii="Times New Roman" w:hAnsi="Times New Roman" w:cs="Times New Roman"/>
                <w:b/>
                <w:bCs/>
                <w:sz w:val="14"/>
                <w:szCs w:val="14"/>
                <w:lang w:eastAsia="sk-SK"/>
              </w:rPr>
            </w:pPr>
            <w:r w:rsidRPr="00FD44F6">
              <w:rPr>
                <w:rFonts w:ascii="Times New Roman" w:hAnsi="Times New Roman" w:cs="Times New Roman"/>
                <w:b/>
                <w:bCs/>
                <w:sz w:val="14"/>
                <w:szCs w:val="14"/>
                <w:lang w:eastAsia="sk-SK"/>
              </w:rPr>
              <w:t>2018 R</w:t>
            </w:r>
          </w:p>
        </w:tc>
        <w:tc>
          <w:tcPr>
            <w:tcW w:w="50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2018 OS</w:t>
            </w:r>
          </w:p>
        </w:tc>
        <w:tc>
          <w:tcPr>
            <w:tcW w:w="50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2019 N</w:t>
            </w:r>
          </w:p>
        </w:tc>
        <w:tc>
          <w:tcPr>
            <w:tcW w:w="50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2020 N</w:t>
            </w:r>
          </w:p>
        </w:tc>
        <w:tc>
          <w:tcPr>
            <w:tcW w:w="50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2021 N</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Zdroje príslušnej kapitoly vrátane 72e</w:t>
            </w:r>
          </w:p>
        </w:tc>
        <w:tc>
          <w:tcPr>
            <w:tcW w:w="502" w:type="pct"/>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FD44F6" w:rsidRDefault="003A497B" w:rsidP="003E1809">
            <w:pPr>
              <w:jc w:val="right"/>
              <w:rPr>
                <w:rFonts w:ascii="Times New Roman" w:hAnsi="Times New Roman" w:cs="Times New Roman"/>
                <w:b/>
                <w:bCs/>
                <w:sz w:val="14"/>
                <w:szCs w:val="14"/>
                <w:lang w:eastAsia="sk-SK"/>
              </w:rPr>
            </w:pPr>
            <w:r w:rsidRPr="00FD44F6">
              <w:rPr>
                <w:rFonts w:ascii="Times New Roman" w:hAnsi="Times New Roman" w:cs="Times New Roman"/>
                <w:b/>
                <w:bCs/>
                <w:sz w:val="14"/>
                <w:szCs w:val="14"/>
                <w:lang w:eastAsia="sk-SK"/>
              </w:rPr>
              <w:t>386 601 629</w:t>
            </w:r>
          </w:p>
        </w:tc>
        <w:tc>
          <w:tcPr>
            <w:tcW w:w="502" w:type="pct"/>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FD44F6" w:rsidRDefault="003A497B" w:rsidP="003E1809">
            <w:pPr>
              <w:jc w:val="right"/>
              <w:rPr>
                <w:rFonts w:ascii="Times New Roman" w:hAnsi="Times New Roman" w:cs="Times New Roman"/>
                <w:b/>
                <w:bCs/>
                <w:sz w:val="14"/>
                <w:szCs w:val="14"/>
                <w:lang w:eastAsia="sk-SK"/>
              </w:rPr>
            </w:pPr>
            <w:r w:rsidRPr="00FD44F6">
              <w:rPr>
                <w:rFonts w:ascii="Times New Roman" w:hAnsi="Times New Roman" w:cs="Times New Roman"/>
                <w:b/>
                <w:bCs/>
                <w:sz w:val="14"/>
                <w:szCs w:val="14"/>
                <w:lang w:eastAsia="sk-SK"/>
              </w:rPr>
              <w:t>406 886 845</w:t>
            </w:r>
          </w:p>
        </w:tc>
        <w:tc>
          <w:tcPr>
            <w:tcW w:w="502" w:type="pct"/>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FD44F6" w:rsidRDefault="003A497B" w:rsidP="003E1809">
            <w:pPr>
              <w:jc w:val="right"/>
              <w:rPr>
                <w:rFonts w:ascii="Times New Roman" w:hAnsi="Times New Roman" w:cs="Times New Roman"/>
                <w:b/>
                <w:bCs/>
                <w:sz w:val="14"/>
                <w:szCs w:val="14"/>
                <w:lang w:eastAsia="sk-SK"/>
              </w:rPr>
            </w:pPr>
            <w:r w:rsidRPr="00FD44F6">
              <w:rPr>
                <w:rFonts w:ascii="Times New Roman" w:hAnsi="Times New Roman" w:cs="Times New Roman"/>
                <w:b/>
                <w:bCs/>
                <w:sz w:val="14"/>
                <w:szCs w:val="14"/>
                <w:lang w:eastAsia="sk-SK"/>
              </w:rPr>
              <w:t>400 006 100</w:t>
            </w:r>
          </w:p>
        </w:tc>
        <w:tc>
          <w:tcPr>
            <w:tcW w:w="502" w:type="pct"/>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FD44F6" w:rsidRDefault="003A497B" w:rsidP="003E1809">
            <w:pPr>
              <w:jc w:val="right"/>
              <w:rPr>
                <w:rFonts w:ascii="Times New Roman" w:hAnsi="Times New Roman" w:cs="Times New Roman"/>
                <w:b/>
                <w:bCs/>
                <w:sz w:val="14"/>
                <w:szCs w:val="14"/>
                <w:lang w:eastAsia="sk-SK"/>
              </w:rPr>
            </w:pPr>
            <w:r w:rsidRPr="00FD44F6">
              <w:rPr>
                <w:rFonts w:ascii="Times New Roman" w:hAnsi="Times New Roman" w:cs="Times New Roman"/>
                <w:b/>
                <w:bCs/>
                <w:sz w:val="14"/>
                <w:szCs w:val="14"/>
                <w:lang w:eastAsia="sk-SK"/>
              </w:rPr>
              <w:t>424 097 098</w:t>
            </w:r>
          </w:p>
        </w:tc>
        <w:tc>
          <w:tcPr>
            <w:tcW w:w="502" w:type="pct"/>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FD44F6" w:rsidRDefault="003A497B" w:rsidP="003E1809">
            <w:pPr>
              <w:jc w:val="right"/>
              <w:rPr>
                <w:rFonts w:ascii="Times New Roman" w:hAnsi="Times New Roman" w:cs="Times New Roman"/>
                <w:b/>
                <w:bCs/>
                <w:sz w:val="14"/>
                <w:szCs w:val="14"/>
                <w:lang w:eastAsia="sk-SK"/>
              </w:rPr>
            </w:pPr>
            <w:r w:rsidRPr="00FD44F6">
              <w:rPr>
                <w:rFonts w:ascii="Times New Roman" w:hAnsi="Times New Roman" w:cs="Times New Roman"/>
                <w:b/>
                <w:bCs/>
                <w:sz w:val="14"/>
                <w:szCs w:val="14"/>
                <w:lang w:eastAsia="sk-SK"/>
              </w:rPr>
              <w:t>439 506 124</w:t>
            </w:r>
          </w:p>
        </w:tc>
        <w:tc>
          <w:tcPr>
            <w:tcW w:w="502" w:type="pct"/>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FD44F6" w:rsidRDefault="003A497B" w:rsidP="003E1809">
            <w:pPr>
              <w:jc w:val="right"/>
              <w:rPr>
                <w:rFonts w:ascii="Times New Roman" w:hAnsi="Times New Roman" w:cs="Times New Roman"/>
                <w:b/>
                <w:bCs/>
                <w:sz w:val="14"/>
                <w:szCs w:val="14"/>
                <w:lang w:eastAsia="sk-SK"/>
              </w:rPr>
            </w:pPr>
            <w:r w:rsidRPr="00FD44F6">
              <w:rPr>
                <w:rFonts w:ascii="Times New Roman" w:hAnsi="Times New Roman" w:cs="Times New Roman"/>
                <w:b/>
                <w:bCs/>
                <w:sz w:val="14"/>
                <w:szCs w:val="14"/>
                <w:lang w:eastAsia="sk-SK"/>
              </w:rPr>
              <w:t>433 223 698</w:t>
            </w:r>
          </w:p>
        </w:tc>
        <w:tc>
          <w:tcPr>
            <w:tcW w:w="502" w:type="pct"/>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FD44F6" w:rsidRDefault="003A497B" w:rsidP="003E1809">
            <w:pPr>
              <w:jc w:val="right"/>
              <w:rPr>
                <w:rFonts w:ascii="Times New Roman" w:hAnsi="Times New Roman" w:cs="Times New Roman"/>
                <w:b/>
                <w:bCs/>
                <w:sz w:val="14"/>
                <w:szCs w:val="14"/>
                <w:lang w:eastAsia="sk-SK"/>
              </w:rPr>
            </w:pPr>
            <w:r w:rsidRPr="00FD44F6">
              <w:rPr>
                <w:rFonts w:ascii="Times New Roman" w:hAnsi="Times New Roman" w:cs="Times New Roman"/>
                <w:b/>
                <w:bCs/>
                <w:sz w:val="14"/>
                <w:szCs w:val="14"/>
                <w:lang w:eastAsia="sk-SK"/>
              </w:rPr>
              <w:t>435 828 191</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A497B" w:rsidRPr="00FD44F6" w:rsidRDefault="003A497B" w:rsidP="003E1809">
            <w:pPr>
              <w:rPr>
                <w:rFonts w:ascii="Times New Roman" w:hAnsi="Times New Roman" w:cs="Times New Roman"/>
                <w:b/>
                <w:bCs/>
                <w:sz w:val="14"/>
                <w:szCs w:val="14"/>
                <w:lang w:eastAsia="sk-SK"/>
              </w:rPr>
            </w:pPr>
            <w:r w:rsidRPr="00FD44F6">
              <w:rPr>
                <w:rFonts w:ascii="Times New Roman" w:hAnsi="Times New Roman" w:cs="Times New Roman"/>
                <w:b/>
                <w:bCs/>
                <w:sz w:val="14"/>
                <w:szCs w:val="14"/>
                <w:lang w:eastAsia="sk-SK"/>
              </w:rPr>
              <w:t>zdroje kapitoly  (11, 13)</w:t>
            </w:r>
          </w:p>
        </w:tc>
        <w:tc>
          <w:tcPr>
            <w:tcW w:w="502"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Pr="00FD44F6" w:rsidRDefault="003A497B" w:rsidP="003E1809">
            <w:pPr>
              <w:jc w:val="right"/>
              <w:rPr>
                <w:rFonts w:ascii="Times New Roman" w:hAnsi="Times New Roman" w:cs="Times New Roman"/>
                <w:b/>
                <w:bCs/>
                <w:sz w:val="14"/>
                <w:szCs w:val="14"/>
                <w:lang w:eastAsia="sk-SK"/>
              </w:rPr>
            </w:pPr>
            <w:r w:rsidRPr="00FD44F6">
              <w:rPr>
                <w:rFonts w:ascii="Times New Roman" w:hAnsi="Times New Roman" w:cs="Times New Roman"/>
                <w:b/>
                <w:bCs/>
                <w:sz w:val="14"/>
                <w:szCs w:val="14"/>
                <w:lang w:eastAsia="sk-SK"/>
              </w:rPr>
              <w:t>386 557 561</w:t>
            </w:r>
          </w:p>
        </w:tc>
        <w:tc>
          <w:tcPr>
            <w:tcW w:w="502"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Pr="00FD44F6" w:rsidRDefault="003A497B" w:rsidP="003E1809">
            <w:pPr>
              <w:jc w:val="right"/>
              <w:rPr>
                <w:rFonts w:ascii="Times New Roman" w:hAnsi="Times New Roman" w:cs="Times New Roman"/>
                <w:b/>
                <w:bCs/>
                <w:sz w:val="14"/>
                <w:szCs w:val="14"/>
                <w:lang w:eastAsia="sk-SK"/>
              </w:rPr>
            </w:pPr>
            <w:r w:rsidRPr="00FD44F6">
              <w:rPr>
                <w:rFonts w:ascii="Times New Roman" w:hAnsi="Times New Roman" w:cs="Times New Roman"/>
                <w:b/>
                <w:bCs/>
                <w:sz w:val="14"/>
                <w:szCs w:val="14"/>
                <w:lang w:eastAsia="sk-SK"/>
              </w:rPr>
              <w:t>406 158 458</w:t>
            </w:r>
          </w:p>
        </w:tc>
        <w:tc>
          <w:tcPr>
            <w:tcW w:w="502"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Pr="00FD44F6" w:rsidRDefault="003A497B" w:rsidP="003E1809">
            <w:pPr>
              <w:jc w:val="right"/>
              <w:rPr>
                <w:rFonts w:ascii="Times New Roman" w:hAnsi="Times New Roman" w:cs="Times New Roman"/>
                <w:b/>
                <w:bCs/>
                <w:sz w:val="14"/>
                <w:szCs w:val="14"/>
                <w:lang w:eastAsia="sk-SK"/>
              </w:rPr>
            </w:pPr>
            <w:r w:rsidRPr="00FD44F6">
              <w:rPr>
                <w:rFonts w:ascii="Times New Roman" w:hAnsi="Times New Roman" w:cs="Times New Roman"/>
                <w:b/>
                <w:bCs/>
                <w:sz w:val="14"/>
                <w:szCs w:val="14"/>
                <w:lang w:eastAsia="sk-SK"/>
              </w:rPr>
              <w:t>400 006 100</w:t>
            </w:r>
          </w:p>
        </w:tc>
        <w:tc>
          <w:tcPr>
            <w:tcW w:w="502"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Pr="00FD44F6" w:rsidRDefault="003A497B" w:rsidP="003E1809">
            <w:pPr>
              <w:jc w:val="right"/>
              <w:rPr>
                <w:rFonts w:ascii="Times New Roman" w:hAnsi="Times New Roman" w:cs="Times New Roman"/>
                <w:b/>
                <w:bCs/>
                <w:sz w:val="14"/>
                <w:szCs w:val="14"/>
                <w:lang w:eastAsia="sk-SK"/>
              </w:rPr>
            </w:pPr>
            <w:r w:rsidRPr="00FD44F6">
              <w:rPr>
                <w:rFonts w:ascii="Times New Roman" w:hAnsi="Times New Roman" w:cs="Times New Roman"/>
                <w:b/>
                <w:bCs/>
                <w:sz w:val="14"/>
                <w:szCs w:val="14"/>
                <w:lang w:eastAsia="sk-SK"/>
              </w:rPr>
              <w:t>424 097 098</w:t>
            </w:r>
          </w:p>
        </w:tc>
        <w:tc>
          <w:tcPr>
            <w:tcW w:w="502"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Pr="00FD44F6" w:rsidRDefault="003A497B" w:rsidP="003E1809">
            <w:pPr>
              <w:jc w:val="right"/>
              <w:rPr>
                <w:rFonts w:ascii="Times New Roman" w:hAnsi="Times New Roman" w:cs="Times New Roman"/>
                <w:b/>
                <w:bCs/>
                <w:sz w:val="14"/>
                <w:szCs w:val="14"/>
                <w:lang w:eastAsia="sk-SK"/>
              </w:rPr>
            </w:pPr>
            <w:r w:rsidRPr="00FD44F6">
              <w:rPr>
                <w:rFonts w:ascii="Times New Roman" w:hAnsi="Times New Roman" w:cs="Times New Roman"/>
                <w:b/>
                <w:bCs/>
                <w:sz w:val="14"/>
                <w:szCs w:val="14"/>
                <w:lang w:eastAsia="sk-SK"/>
              </w:rPr>
              <w:t>439 506 124</w:t>
            </w:r>
          </w:p>
        </w:tc>
        <w:tc>
          <w:tcPr>
            <w:tcW w:w="502"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Pr="00FD44F6" w:rsidRDefault="003A497B" w:rsidP="003E1809">
            <w:pPr>
              <w:jc w:val="right"/>
              <w:rPr>
                <w:rFonts w:ascii="Times New Roman" w:hAnsi="Times New Roman" w:cs="Times New Roman"/>
                <w:b/>
                <w:bCs/>
                <w:sz w:val="14"/>
                <w:szCs w:val="14"/>
                <w:lang w:eastAsia="sk-SK"/>
              </w:rPr>
            </w:pPr>
            <w:r w:rsidRPr="00FD44F6">
              <w:rPr>
                <w:rFonts w:ascii="Times New Roman" w:hAnsi="Times New Roman" w:cs="Times New Roman"/>
                <w:b/>
                <w:bCs/>
                <w:sz w:val="14"/>
                <w:szCs w:val="14"/>
                <w:lang w:eastAsia="sk-SK"/>
              </w:rPr>
              <w:t>433 223 698</w:t>
            </w:r>
          </w:p>
        </w:tc>
        <w:tc>
          <w:tcPr>
            <w:tcW w:w="502"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Pr="00FD44F6" w:rsidRDefault="003A497B" w:rsidP="003E1809">
            <w:pPr>
              <w:jc w:val="right"/>
              <w:rPr>
                <w:rFonts w:ascii="Times New Roman" w:hAnsi="Times New Roman" w:cs="Times New Roman"/>
                <w:b/>
                <w:bCs/>
                <w:sz w:val="14"/>
                <w:szCs w:val="14"/>
                <w:lang w:eastAsia="sk-SK"/>
              </w:rPr>
            </w:pPr>
            <w:r w:rsidRPr="00FD44F6">
              <w:rPr>
                <w:rFonts w:ascii="Times New Roman" w:hAnsi="Times New Roman" w:cs="Times New Roman"/>
                <w:b/>
                <w:bCs/>
                <w:sz w:val="14"/>
                <w:szCs w:val="14"/>
                <w:lang w:eastAsia="sk-SK"/>
              </w:rPr>
              <w:t>435 828 191</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 xml:space="preserve">rozpočtové zdroje kapitoly </w:t>
            </w:r>
          </w:p>
        </w:tc>
        <w:tc>
          <w:tcPr>
            <w:tcW w:w="502" w:type="pct"/>
            <w:tcBorders>
              <w:top w:val="nil"/>
              <w:left w:val="nil"/>
              <w:bottom w:val="single" w:sz="4" w:space="0" w:color="auto"/>
              <w:right w:val="single" w:sz="4" w:space="0" w:color="auto"/>
            </w:tcBorders>
            <w:shd w:val="clear" w:color="000000" w:fill="FFFFFF"/>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356 652 378</w:t>
            </w:r>
          </w:p>
        </w:tc>
        <w:tc>
          <w:tcPr>
            <w:tcW w:w="502" w:type="pct"/>
            <w:tcBorders>
              <w:top w:val="nil"/>
              <w:left w:val="nil"/>
              <w:bottom w:val="single" w:sz="4" w:space="0" w:color="auto"/>
              <w:right w:val="single" w:sz="4" w:space="0" w:color="auto"/>
            </w:tcBorders>
            <w:shd w:val="clear" w:color="000000" w:fill="FFFFFF"/>
            <w:vAlign w:val="bottom"/>
            <w:hideMark/>
          </w:tcPr>
          <w:p w:rsidR="003A497B" w:rsidRPr="00FD44F6" w:rsidRDefault="003A497B" w:rsidP="003E1809">
            <w:pPr>
              <w:jc w:val="right"/>
              <w:rPr>
                <w:rFonts w:ascii="Times New Roman" w:hAnsi="Times New Roman" w:cs="Times New Roman"/>
                <w:sz w:val="14"/>
                <w:szCs w:val="14"/>
                <w:highlight w:val="yellow"/>
                <w:lang w:eastAsia="sk-SK"/>
              </w:rPr>
            </w:pPr>
            <w:r w:rsidRPr="00FD44F6">
              <w:rPr>
                <w:rFonts w:ascii="Times New Roman" w:hAnsi="Times New Roman" w:cs="Times New Roman"/>
                <w:sz w:val="14"/>
                <w:szCs w:val="14"/>
                <w:lang w:eastAsia="sk-SK"/>
              </w:rPr>
              <w:t>397 094 650</w:t>
            </w:r>
          </w:p>
        </w:tc>
        <w:tc>
          <w:tcPr>
            <w:tcW w:w="502" w:type="pct"/>
            <w:tcBorders>
              <w:top w:val="nil"/>
              <w:left w:val="nil"/>
              <w:bottom w:val="single" w:sz="4" w:space="0" w:color="auto"/>
              <w:right w:val="single" w:sz="4" w:space="0" w:color="auto"/>
            </w:tcBorders>
            <w:shd w:val="clear" w:color="000000" w:fill="FFFFFF"/>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400 006 100</w:t>
            </w:r>
          </w:p>
        </w:tc>
        <w:tc>
          <w:tcPr>
            <w:tcW w:w="502" w:type="pct"/>
            <w:tcBorders>
              <w:top w:val="nil"/>
              <w:left w:val="nil"/>
              <w:bottom w:val="single" w:sz="4" w:space="0" w:color="auto"/>
              <w:right w:val="single" w:sz="4" w:space="0" w:color="auto"/>
            </w:tcBorders>
            <w:shd w:val="clear" w:color="000000" w:fill="FFFFFF"/>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421 919 636</w:t>
            </w:r>
          </w:p>
        </w:tc>
        <w:tc>
          <w:tcPr>
            <w:tcW w:w="502" w:type="pct"/>
            <w:tcBorders>
              <w:top w:val="nil"/>
              <w:left w:val="nil"/>
              <w:bottom w:val="single" w:sz="4" w:space="0" w:color="auto"/>
              <w:right w:val="single" w:sz="4" w:space="0" w:color="auto"/>
            </w:tcBorders>
            <w:shd w:val="clear" w:color="000000" w:fill="FFFFFF"/>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439 506 124</w:t>
            </w:r>
          </w:p>
        </w:tc>
        <w:tc>
          <w:tcPr>
            <w:tcW w:w="502" w:type="pct"/>
            <w:tcBorders>
              <w:top w:val="nil"/>
              <w:left w:val="nil"/>
              <w:bottom w:val="single" w:sz="4" w:space="0" w:color="auto"/>
              <w:right w:val="single" w:sz="4" w:space="0" w:color="auto"/>
            </w:tcBorders>
            <w:shd w:val="clear" w:color="000000" w:fill="FFFFFF"/>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433 223 698</w:t>
            </w:r>
          </w:p>
        </w:tc>
        <w:tc>
          <w:tcPr>
            <w:tcW w:w="502" w:type="pct"/>
            <w:tcBorders>
              <w:top w:val="nil"/>
              <w:left w:val="nil"/>
              <w:bottom w:val="single" w:sz="4" w:space="0" w:color="auto"/>
              <w:right w:val="single" w:sz="4" w:space="0" w:color="auto"/>
            </w:tcBorders>
            <w:shd w:val="clear" w:color="000000" w:fill="FFFFFF"/>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435 828 191</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xml:space="preserve">    v tom: bežné výdavky  600</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350 029 621</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380 091 359</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391 278 282</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413 191 818</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422 772 930</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425 090 504</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427 694 997</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xml:space="preserve">                 610 mzdy</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186 036 414</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196 935 405</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200 977 550</w:t>
            </w:r>
          </w:p>
        </w:tc>
        <w:tc>
          <w:tcPr>
            <w:tcW w:w="502" w:type="pct"/>
            <w:tcBorders>
              <w:top w:val="nil"/>
              <w:left w:val="nil"/>
              <w:bottom w:val="single" w:sz="4" w:space="0" w:color="auto"/>
              <w:right w:val="single" w:sz="4" w:space="0" w:color="auto"/>
            </w:tcBorders>
            <w:shd w:val="clear" w:color="000000" w:fill="FFFFFF"/>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210 078 316</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221 732 629</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223 757 011</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225 882 821</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xml:space="preserve">                 620 odvody</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65 955 557</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71 426 319</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71 871 859</w:t>
            </w:r>
          </w:p>
        </w:tc>
        <w:tc>
          <w:tcPr>
            <w:tcW w:w="502" w:type="pct"/>
            <w:tcBorders>
              <w:top w:val="nil"/>
              <w:left w:val="nil"/>
              <w:bottom w:val="single" w:sz="4" w:space="0" w:color="auto"/>
              <w:right w:val="single" w:sz="4" w:space="0" w:color="auto"/>
            </w:tcBorders>
            <w:shd w:val="clear" w:color="000000" w:fill="FFFFFF"/>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74 795 970</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79 290 927</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80 023 754</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80 793 297</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xml:space="preserve">                 630 tovary a služby</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83 504 797</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86 792 725</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95 061 676</w:t>
            </w:r>
          </w:p>
        </w:tc>
        <w:tc>
          <w:tcPr>
            <w:tcW w:w="502" w:type="pct"/>
            <w:tcBorders>
              <w:top w:val="nil"/>
              <w:left w:val="nil"/>
              <w:bottom w:val="single" w:sz="4" w:space="0" w:color="auto"/>
              <w:right w:val="single" w:sz="4" w:space="0" w:color="auto"/>
            </w:tcBorders>
            <w:shd w:val="clear" w:color="000000" w:fill="FFFFFF"/>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106 291 066</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103 340 330</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102 900 695</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102 609 835</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xml:space="preserve">                 640 bežné transfery</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14 532 853</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24 936 910</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23 367 197</w:t>
            </w:r>
          </w:p>
        </w:tc>
        <w:tc>
          <w:tcPr>
            <w:tcW w:w="502" w:type="pct"/>
            <w:tcBorders>
              <w:top w:val="nil"/>
              <w:left w:val="nil"/>
              <w:bottom w:val="single" w:sz="4" w:space="0" w:color="auto"/>
              <w:right w:val="single" w:sz="4" w:space="0" w:color="auto"/>
            </w:tcBorders>
            <w:shd w:val="clear" w:color="000000" w:fill="FFFFFF"/>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22 026 466</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18 409 044</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18 409 044</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18 409 044</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xml:space="preserve">               kapitálové výdavky 700</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6 622 757</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17 003 291</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8 727 818</w:t>
            </w:r>
          </w:p>
        </w:tc>
        <w:tc>
          <w:tcPr>
            <w:tcW w:w="502" w:type="pct"/>
            <w:tcBorders>
              <w:top w:val="nil"/>
              <w:left w:val="nil"/>
              <w:bottom w:val="single" w:sz="4" w:space="0" w:color="auto"/>
              <w:right w:val="single" w:sz="4" w:space="0" w:color="auto"/>
            </w:tcBorders>
            <w:shd w:val="clear" w:color="000000" w:fill="FFFFFF"/>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8 727 818</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16 733 194</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8 133 194</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8 133 194</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 xml:space="preserve">zdroje EÚ vrátane spolufinancovania: </w:t>
            </w:r>
          </w:p>
        </w:tc>
        <w:tc>
          <w:tcPr>
            <w:tcW w:w="502" w:type="pct"/>
            <w:tcBorders>
              <w:top w:val="nil"/>
              <w:left w:val="nil"/>
              <w:bottom w:val="single" w:sz="4" w:space="0" w:color="auto"/>
              <w:right w:val="single" w:sz="4" w:space="0" w:color="auto"/>
            </w:tcBorders>
            <w:shd w:val="clear" w:color="000000" w:fill="FFFFFF"/>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18 267 799</w:t>
            </w:r>
          </w:p>
        </w:tc>
        <w:tc>
          <w:tcPr>
            <w:tcW w:w="502" w:type="pct"/>
            <w:tcBorders>
              <w:top w:val="nil"/>
              <w:left w:val="nil"/>
              <w:bottom w:val="single" w:sz="4" w:space="0" w:color="auto"/>
              <w:right w:val="single" w:sz="4" w:space="0" w:color="auto"/>
            </w:tcBorders>
            <w:shd w:val="clear" w:color="000000" w:fill="FFFFFF"/>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1 319 704</w:t>
            </w:r>
          </w:p>
        </w:tc>
        <w:tc>
          <w:tcPr>
            <w:tcW w:w="502" w:type="pct"/>
            <w:tcBorders>
              <w:top w:val="nil"/>
              <w:left w:val="nil"/>
              <w:bottom w:val="single" w:sz="4" w:space="0" w:color="auto"/>
              <w:right w:val="single" w:sz="4" w:space="0" w:color="auto"/>
            </w:tcBorders>
            <w:shd w:val="clear" w:color="000000" w:fill="FFFFFF"/>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 </w:t>
            </w:r>
          </w:p>
        </w:tc>
        <w:tc>
          <w:tcPr>
            <w:tcW w:w="502" w:type="pct"/>
            <w:tcBorders>
              <w:top w:val="nil"/>
              <w:left w:val="nil"/>
              <w:bottom w:val="single" w:sz="4" w:space="0" w:color="auto"/>
              <w:right w:val="single" w:sz="4" w:space="0" w:color="auto"/>
            </w:tcBorders>
            <w:shd w:val="clear" w:color="000000" w:fill="FFFFFF"/>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2 177 462</w:t>
            </w:r>
          </w:p>
        </w:tc>
        <w:tc>
          <w:tcPr>
            <w:tcW w:w="502" w:type="pct"/>
            <w:tcBorders>
              <w:top w:val="nil"/>
              <w:left w:val="nil"/>
              <w:bottom w:val="single" w:sz="4" w:space="0" w:color="auto"/>
              <w:right w:val="single" w:sz="4" w:space="0" w:color="auto"/>
            </w:tcBorders>
            <w:shd w:val="clear" w:color="000000" w:fill="FFFFFF"/>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w:t>
            </w:r>
          </w:p>
        </w:tc>
        <w:tc>
          <w:tcPr>
            <w:tcW w:w="502" w:type="pct"/>
            <w:tcBorders>
              <w:top w:val="nil"/>
              <w:left w:val="nil"/>
              <w:bottom w:val="single" w:sz="4" w:space="0" w:color="auto"/>
              <w:right w:val="single" w:sz="4" w:space="0" w:color="auto"/>
            </w:tcBorders>
            <w:shd w:val="clear" w:color="000000" w:fill="FFFFFF"/>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w:t>
            </w:r>
          </w:p>
        </w:tc>
        <w:tc>
          <w:tcPr>
            <w:tcW w:w="502" w:type="pct"/>
            <w:tcBorders>
              <w:top w:val="nil"/>
              <w:left w:val="nil"/>
              <w:bottom w:val="single" w:sz="4" w:space="0" w:color="auto"/>
              <w:right w:val="single" w:sz="4" w:space="0" w:color="auto"/>
            </w:tcBorders>
            <w:shd w:val="clear" w:color="000000" w:fill="FFFFFF"/>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xml:space="preserve">    v tom: 2. program. obdobie  EÚ </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13 748 634</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1 043 399</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 </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1 720 019</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xml:space="preserve">             spolufinancovanie zo ŠR</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4 519 165</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276 305</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 </w:t>
            </w: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457 443</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presun z minulých rokov § 8</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11 637 384</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7 744 104</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highlight w:val="yellow"/>
                <w:lang w:eastAsia="sk-SK"/>
              </w:rPr>
            </w:pP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xml:space="preserve">    v tom: štátny rozpočet</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11 637 384</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7 744 104</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highlight w:val="yellow"/>
                <w:lang w:eastAsia="sk-SK"/>
              </w:rPr>
            </w:pP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 </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 </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 </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000000" w:fill="FFFFFF"/>
            <w:noWrap/>
            <w:vAlign w:val="center"/>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 17 ods. 4 zdroj 72</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44 068</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728 387</w:t>
            </w:r>
          </w:p>
        </w:tc>
        <w:tc>
          <w:tcPr>
            <w:tcW w:w="502" w:type="pct"/>
            <w:tcBorders>
              <w:top w:val="nil"/>
              <w:left w:val="nil"/>
              <w:bottom w:val="single" w:sz="4" w:space="0" w:color="auto"/>
              <w:right w:val="single" w:sz="4" w:space="0" w:color="auto"/>
            </w:tcBorders>
            <w:shd w:val="clear" w:color="000000" w:fill="FFFFFF"/>
            <w:vAlign w:val="bottom"/>
            <w:hideMark/>
          </w:tcPr>
          <w:p w:rsidR="003A497B" w:rsidRPr="00FD44F6" w:rsidRDefault="003A497B" w:rsidP="003E1809">
            <w:pPr>
              <w:jc w:val="right"/>
              <w:rPr>
                <w:rFonts w:ascii="Times New Roman" w:hAnsi="Times New Roman" w:cs="Times New Roman"/>
                <w:color w:val="000000"/>
                <w:sz w:val="14"/>
                <w:szCs w:val="14"/>
                <w:lang w:eastAsia="sk-SK"/>
              </w:rPr>
            </w:pPr>
          </w:p>
        </w:tc>
        <w:tc>
          <w:tcPr>
            <w:tcW w:w="502" w:type="pct"/>
            <w:tcBorders>
              <w:top w:val="nil"/>
              <w:left w:val="nil"/>
              <w:bottom w:val="single" w:sz="4" w:space="0" w:color="auto"/>
              <w:right w:val="single" w:sz="4" w:space="0" w:color="auto"/>
            </w:tcBorders>
            <w:shd w:val="clear" w:color="000000" w:fill="FFFFFF"/>
            <w:vAlign w:val="bottom"/>
            <w:hideMark/>
          </w:tcPr>
          <w:p w:rsidR="003A497B" w:rsidRPr="00FD44F6" w:rsidRDefault="003A497B" w:rsidP="003E1809">
            <w:pPr>
              <w:jc w:val="right"/>
              <w:rPr>
                <w:rFonts w:ascii="Times New Roman" w:hAnsi="Times New Roman" w:cs="Times New Roman"/>
                <w:color w:val="000000"/>
                <w:sz w:val="14"/>
                <w:szCs w:val="14"/>
                <w:highlight w:val="yellow"/>
                <w:lang w:eastAsia="sk-SK"/>
              </w:rPr>
            </w:pP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p>
        </w:tc>
        <w:tc>
          <w:tcPr>
            <w:tcW w:w="502" w:type="pct"/>
            <w:tcBorders>
              <w:top w:val="nil"/>
              <w:left w:val="nil"/>
              <w:bottom w:val="single" w:sz="4" w:space="0" w:color="auto"/>
              <w:right w:val="single" w:sz="4" w:space="0" w:color="auto"/>
            </w:tcBorders>
            <w:shd w:val="clear" w:color="000000" w:fill="FFFFFF"/>
            <w:noWrap/>
            <w:vAlign w:val="bottom"/>
            <w:hideMark/>
          </w:tcPr>
          <w:p w:rsidR="003A497B" w:rsidRPr="00FD44F6" w:rsidRDefault="003A497B" w:rsidP="003E1809">
            <w:pPr>
              <w:jc w:val="right"/>
              <w:rPr>
                <w:rFonts w:ascii="Times New Roman" w:hAnsi="Times New Roman" w:cs="Times New Roman"/>
                <w:sz w:val="14"/>
                <w:szCs w:val="14"/>
                <w:lang w:eastAsia="sk-SK"/>
              </w:rPr>
            </w:pPr>
          </w:p>
        </w:tc>
      </w:tr>
    </w:tbl>
    <w:p w:rsidR="003A497B" w:rsidRPr="00FD44F6" w:rsidRDefault="003A497B" w:rsidP="003A497B">
      <w:pPr>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692"/>
        <w:gridCol w:w="910"/>
        <w:gridCol w:w="910"/>
        <w:gridCol w:w="910"/>
        <w:gridCol w:w="910"/>
        <w:gridCol w:w="910"/>
        <w:gridCol w:w="910"/>
        <w:gridCol w:w="910"/>
      </w:tblGrid>
      <w:tr w:rsidR="003A497B" w:rsidRPr="00FD44F6" w:rsidTr="003E1809">
        <w:trPr>
          <w:trHeight w:val="255"/>
        </w:trPr>
        <w:tc>
          <w:tcPr>
            <w:tcW w:w="14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A497B" w:rsidRPr="00FD44F6" w:rsidRDefault="003A497B" w:rsidP="003E1809">
            <w:pPr>
              <w:rPr>
                <w:rFonts w:ascii="Times New Roman" w:hAnsi="Times New Roman" w:cs="Times New Roman"/>
                <w:b/>
                <w:bCs/>
                <w:sz w:val="14"/>
                <w:szCs w:val="14"/>
                <w:lang w:eastAsia="sk-SK"/>
              </w:rPr>
            </w:pPr>
            <w:r w:rsidRPr="00FD44F6">
              <w:rPr>
                <w:rFonts w:ascii="Times New Roman" w:hAnsi="Times New Roman" w:cs="Times New Roman"/>
                <w:b/>
                <w:bCs/>
                <w:sz w:val="14"/>
                <w:szCs w:val="14"/>
                <w:lang w:eastAsia="sk-SK"/>
              </w:rPr>
              <w:t xml:space="preserve">samostatné účty </w:t>
            </w:r>
          </w:p>
        </w:tc>
        <w:tc>
          <w:tcPr>
            <w:tcW w:w="502" w:type="pct"/>
            <w:tcBorders>
              <w:top w:val="single" w:sz="4" w:space="0" w:color="auto"/>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30 901 032</w:t>
            </w:r>
          </w:p>
        </w:tc>
        <w:tc>
          <w:tcPr>
            <w:tcW w:w="502" w:type="pct"/>
            <w:tcBorders>
              <w:top w:val="single" w:sz="4" w:space="0" w:color="auto"/>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35 665 513</w:t>
            </w:r>
          </w:p>
        </w:tc>
        <w:tc>
          <w:tcPr>
            <w:tcW w:w="502" w:type="pct"/>
            <w:tcBorders>
              <w:top w:val="single" w:sz="4" w:space="0" w:color="auto"/>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34 964 685</w:t>
            </w:r>
          </w:p>
        </w:tc>
        <w:tc>
          <w:tcPr>
            <w:tcW w:w="502" w:type="pct"/>
            <w:tcBorders>
              <w:top w:val="single" w:sz="4" w:space="0" w:color="auto"/>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34 964 685</w:t>
            </w:r>
          </w:p>
        </w:tc>
        <w:tc>
          <w:tcPr>
            <w:tcW w:w="502" w:type="pct"/>
            <w:tcBorders>
              <w:top w:val="single" w:sz="4" w:space="0" w:color="auto"/>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40 037 566</w:t>
            </w:r>
          </w:p>
        </w:tc>
        <w:tc>
          <w:tcPr>
            <w:tcW w:w="502" w:type="pct"/>
            <w:tcBorders>
              <w:top w:val="single" w:sz="4" w:space="0" w:color="auto"/>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42 292 541</w:t>
            </w:r>
          </w:p>
        </w:tc>
        <w:tc>
          <w:tcPr>
            <w:tcW w:w="502" w:type="pct"/>
            <w:tcBorders>
              <w:top w:val="single" w:sz="4" w:space="0" w:color="auto"/>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44 575 742</w:t>
            </w:r>
          </w:p>
        </w:tc>
      </w:tr>
    </w:tbl>
    <w:p w:rsidR="003A497B" w:rsidRPr="00FD44F6" w:rsidRDefault="003A497B" w:rsidP="003A497B">
      <w:pPr>
        <w:rPr>
          <w:rFonts w:ascii="Times New Roman" w:hAnsi="Times New Roman" w:cs="Times New Roman"/>
        </w:rPr>
      </w:pPr>
    </w:p>
    <w:p w:rsidR="003A497B" w:rsidRPr="00FD44F6" w:rsidRDefault="003A497B" w:rsidP="003A497B">
      <w:pPr>
        <w:ind w:firstLine="709"/>
        <w:jc w:val="both"/>
        <w:rPr>
          <w:rFonts w:ascii="Times New Roman" w:hAnsi="Times New Roman" w:cs="Times New Roman"/>
          <w:highlight w:val="yellow"/>
        </w:rPr>
      </w:pPr>
      <w:r w:rsidRPr="00FD44F6">
        <w:rPr>
          <w:rFonts w:ascii="Times New Roman" w:hAnsi="Times New Roman" w:cs="Times New Roman"/>
          <w:color w:val="000000"/>
        </w:rPr>
        <w:t xml:space="preserve"> </w:t>
      </w:r>
      <w:r w:rsidRPr="00FD44F6">
        <w:rPr>
          <w:rFonts w:ascii="Times New Roman" w:hAnsi="Times New Roman" w:cs="Times New Roman"/>
        </w:rPr>
        <w:t xml:space="preserve">Celkové výdavky kapitoly Ministerstvo spravodlivosti SR (ďalej len „MS SR“) </w:t>
      </w:r>
      <w:r w:rsidRPr="00FD44F6">
        <w:rPr>
          <w:rFonts w:ascii="Times New Roman" w:eastAsiaTheme="minorHAnsi" w:hAnsi="Times New Roman" w:cs="Times New Roman"/>
          <w:lang w:eastAsia="en-US"/>
        </w:rPr>
        <w:t>na rok 2019 sa rozpočtujú vo výške 439 mil. eur. Nárast výdavkov oproti schválenému rozpočtu na rok 2018 predstavuje 39,5</w:t>
      </w:r>
      <w:r w:rsidRPr="00FD44F6">
        <w:rPr>
          <w:rFonts w:ascii="Times New Roman" w:hAnsi="Times New Roman" w:cs="Times New Roman"/>
        </w:rPr>
        <w:t xml:space="preserve"> mil. eur, t. j. 9,87 %. </w:t>
      </w:r>
    </w:p>
    <w:p w:rsidR="003A497B" w:rsidRPr="00FD44F6" w:rsidRDefault="003A497B" w:rsidP="003A497B">
      <w:pPr>
        <w:ind w:firstLine="709"/>
        <w:jc w:val="both"/>
        <w:rPr>
          <w:rFonts w:ascii="Times New Roman" w:hAnsi="Times New Roman" w:cs="Times New Roman"/>
          <w:highlight w:val="yellow"/>
        </w:rPr>
      </w:pPr>
    </w:p>
    <w:p w:rsidR="003A497B" w:rsidRPr="00FD44F6" w:rsidRDefault="003A497B" w:rsidP="003A497B">
      <w:pPr>
        <w:ind w:firstLine="709"/>
        <w:jc w:val="both"/>
        <w:rPr>
          <w:rFonts w:ascii="Times New Roman" w:hAnsi="Times New Roman" w:cs="Times New Roman"/>
        </w:rPr>
      </w:pPr>
      <w:r w:rsidRPr="00FD44F6">
        <w:rPr>
          <w:rFonts w:ascii="Times New Roman" w:hAnsi="Times New Roman" w:cs="Times New Roman"/>
        </w:rPr>
        <w:t>Osobné výdavky na rok 2019 sa rozpočtujú v sume 301 mil. eur, čo predstavuje oproti schválenému rozpočtu roku 2018 nárast o 28,2 mil. eur, t. j. o 10,3 %. Nárast je spôsobený premietnutím valorizácie platov z roku 2018, dopočtom zákonných náležitostí sudcov, dofinancovaním osobných výdavkov zamestnancov aparátu ústredného orgánu a súdnictva a zvýšením osobných výdavkov na zabezpečenie stabilizácie personálu ZVJS.</w:t>
      </w:r>
    </w:p>
    <w:p w:rsidR="003A497B" w:rsidRPr="00FD44F6" w:rsidRDefault="003A497B" w:rsidP="003A497B">
      <w:pPr>
        <w:ind w:firstLine="709"/>
        <w:jc w:val="both"/>
        <w:rPr>
          <w:rFonts w:ascii="Times New Roman" w:hAnsi="Times New Roman" w:cs="Times New Roman"/>
        </w:rPr>
      </w:pPr>
    </w:p>
    <w:p w:rsidR="003A497B" w:rsidRPr="00FD44F6" w:rsidRDefault="003A497B" w:rsidP="003A497B">
      <w:pPr>
        <w:spacing w:after="160"/>
        <w:ind w:firstLine="709"/>
        <w:jc w:val="both"/>
        <w:rPr>
          <w:rFonts w:ascii="Times New Roman" w:hAnsi="Times New Roman" w:cs="Times New Roman"/>
          <w:color w:val="000000"/>
          <w:highlight w:val="yellow"/>
        </w:rPr>
      </w:pPr>
      <w:r w:rsidRPr="00FD44F6">
        <w:rPr>
          <w:rFonts w:ascii="Times New Roman" w:hAnsi="Times New Roman" w:cs="Times New Roman"/>
        </w:rPr>
        <w:t xml:space="preserve">Tovary a služby na rok 2019 sa rozpočtujú v sume 103 mil. eur, medziročne rastú </w:t>
      </w:r>
      <w:r w:rsidRPr="00FD44F6">
        <w:rPr>
          <w:rFonts w:ascii="Times New Roman" w:eastAsiaTheme="minorHAnsi" w:hAnsi="Times New Roman" w:cs="Times New Roman"/>
          <w:lang w:eastAsia="en-US"/>
        </w:rPr>
        <w:t>o </w:t>
      </w:r>
      <w:r>
        <w:rPr>
          <w:rFonts w:ascii="Times New Roman" w:eastAsiaTheme="minorHAnsi" w:hAnsi="Times New Roman" w:cs="Times New Roman"/>
          <w:lang w:eastAsia="en-US"/>
        </w:rPr>
        <w:br/>
      </w:r>
      <w:r w:rsidRPr="00FD44F6">
        <w:rPr>
          <w:rFonts w:ascii="Times New Roman" w:eastAsiaTheme="minorHAnsi" w:hAnsi="Times New Roman" w:cs="Times New Roman"/>
          <w:lang w:eastAsia="en-US"/>
        </w:rPr>
        <w:t xml:space="preserve">8,28 mil. eur, t. j. o 8,71 %. </w:t>
      </w:r>
      <w:r w:rsidRPr="00FD44F6">
        <w:rPr>
          <w:rFonts w:ascii="Times New Roman" w:hAnsi="Times New Roman" w:cs="Times New Roman"/>
        </w:rPr>
        <w:t>Ide o zabezpečenie bežných prevádzkových výdavkov a prevádzky informačných systémov súdnictva.</w:t>
      </w:r>
      <w:r w:rsidRPr="00FD44F6">
        <w:rPr>
          <w:rFonts w:asciiTheme="minorHAnsi" w:eastAsiaTheme="minorHAnsi" w:hAnsiTheme="minorHAnsi" w:cstheme="minorBidi"/>
          <w:sz w:val="22"/>
          <w:szCs w:val="22"/>
          <w:lang w:eastAsia="en-US"/>
        </w:rPr>
        <w:t xml:space="preserve"> </w:t>
      </w:r>
      <w:r w:rsidRPr="00FD44F6">
        <w:rPr>
          <w:rFonts w:ascii="Times New Roman" w:eastAsiaTheme="minorHAnsi" w:hAnsi="Times New Roman" w:cs="Times New Roman"/>
          <w:lang w:eastAsia="en-US"/>
        </w:rPr>
        <w:t>Zabezpečujú sa výdavky na prípravu prevádzky Detenčného ústavu Hronovce a prípravu PPP projektu ústavu Rimavská Sobota-Sabová.</w:t>
      </w:r>
    </w:p>
    <w:p w:rsidR="003A497B" w:rsidRPr="00FD44F6" w:rsidRDefault="003A497B" w:rsidP="003A497B">
      <w:pPr>
        <w:ind w:firstLine="709"/>
        <w:jc w:val="both"/>
        <w:rPr>
          <w:rFonts w:ascii="Times New Roman" w:eastAsiaTheme="minorHAnsi" w:hAnsi="Times New Roman" w:cs="Times New Roman"/>
          <w:lang w:eastAsia="en-US"/>
        </w:rPr>
      </w:pPr>
      <w:r w:rsidRPr="00FD44F6">
        <w:rPr>
          <w:rFonts w:ascii="Times New Roman" w:eastAsiaTheme="minorHAnsi" w:hAnsi="Times New Roman" w:cs="Times New Roman"/>
          <w:lang w:eastAsia="en-US"/>
        </w:rPr>
        <w:t xml:space="preserve">Bežné transfery na rok 2019 sa rozpočtujú v sume 18,4 mil. eur, čo predstavuje </w:t>
      </w:r>
      <w:r w:rsidRPr="00FD44F6">
        <w:rPr>
          <w:rFonts w:ascii="Times New Roman" w:eastAsiaTheme="minorHAnsi" w:hAnsi="Times New Roman" w:cs="Times New Roman"/>
          <w:lang w:eastAsia="en-US"/>
        </w:rPr>
        <w:br/>
        <w:t xml:space="preserve">pokles o 4,96 mil. eur, t. j. o 21,2 %. Pokles je spôsobený presunom do tovarov a služieb na základe metodického usmernenia ministerstva financií k ekonomickej klasifikácii príjmov a výdavkov Centra právnej pomoci. </w:t>
      </w:r>
      <w:r w:rsidRPr="00FD44F6">
        <w:rPr>
          <w:rFonts w:ascii="Times New Roman" w:hAnsi="Times New Roman" w:cs="Times New Roman"/>
        </w:rPr>
        <w:t>Dotácia</w:t>
      </w:r>
      <w:r w:rsidRPr="00FD44F6">
        <w:rPr>
          <w:rFonts w:ascii="Times New Roman" w:hAnsi="Times New Roman" w:cs="Times New Roman"/>
          <w:b/>
        </w:rPr>
        <w:t xml:space="preserve"> </w:t>
      </w:r>
      <w:r w:rsidRPr="00FD44F6">
        <w:rPr>
          <w:rFonts w:ascii="Times New Roman" w:hAnsi="Times New Roman" w:cs="Times New Roman"/>
        </w:rPr>
        <w:t xml:space="preserve">na osobitný účet ZVJS sa rozpočtuje v sume </w:t>
      </w:r>
      <w:r>
        <w:rPr>
          <w:rFonts w:ascii="Times New Roman" w:hAnsi="Times New Roman" w:cs="Times New Roman"/>
        </w:rPr>
        <w:br/>
      </w:r>
      <w:r w:rsidRPr="00FD44F6">
        <w:rPr>
          <w:rFonts w:ascii="Times New Roman" w:hAnsi="Times New Roman" w:cs="Times New Roman"/>
        </w:rPr>
        <w:t>3,18 mil. eur.</w:t>
      </w:r>
      <w:r w:rsidRPr="00FD44F6">
        <w:rPr>
          <w:rFonts w:ascii="Times New Roman" w:eastAsiaTheme="minorHAnsi" w:hAnsi="Times New Roman" w:cs="Times New Roman"/>
          <w:lang w:eastAsia="en-US"/>
        </w:rPr>
        <w:t xml:space="preserve"> </w:t>
      </w:r>
    </w:p>
    <w:p w:rsidR="003A497B" w:rsidRPr="00FD44F6" w:rsidRDefault="003A497B" w:rsidP="003A497B">
      <w:pPr>
        <w:ind w:firstLine="709"/>
        <w:jc w:val="both"/>
        <w:rPr>
          <w:rFonts w:ascii="Times New Roman" w:eastAsiaTheme="minorHAnsi" w:hAnsi="Times New Roman" w:cs="Times New Roman"/>
          <w:highlight w:val="yellow"/>
          <w:lang w:eastAsia="en-US"/>
        </w:rPr>
      </w:pPr>
    </w:p>
    <w:p w:rsidR="003A497B" w:rsidRPr="00FD44F6" w:rsidRDefault="003A497B" w:rsidP="003A497B">
      <w:pPr>
        <w:ind w:firstLine="709"/>
        <w:jc w:val="both"/>
        <w:rPr>
          <w:rFonts w:ascii="Times New Roman" w:eastAsiaTheme="minorHAnsi" w:hAnsi="Times New Roman" w:cs="Times New Roman"/>
          <w:lang w:eastAsia="en-US"/>
        </w:rPr>
      </w:pPr>
      <w:r w:rsidRPr="00FD44F6">
        <w:rPr>
          <w:rFonts w:ascii="Times New Roman" w:eastAsiaTheme="minorHAnsi" w:hAnsi="Times New Roman" w:cs="Times New Roman"/>
          <w:lang w:eastAsia="en-US"/>
        </w:rPr>
        <w:t xml:space="preserve">Kapitálové výdavky na rok 2019 sa rozpočtujú v sume 16,7 mil. eur. V porovnaní so schváleným rozpočtom na rok 2018 ide o nárast o 8,00 mil. eur, t. j. o 91,7 %. Nárast je spôsobený hlavne rozpočtovaním kapitálových výdavkov na budovy súdov (Okresný súd Žiar nad Hronom - obstaranie a rekonštrukcia v sume 1,60 mil. eur, Krajský súd </w:t>
      </w:r>
      <w:r>
        <w:rPr>
          <w:rFonts w:ascii="Times New Roman" w:eastAsiaTheme="minorHAnsi" w:hAnsi="Times New Roman" w:cs="Times New Roman"/>
          <w:lang w:eastAsia="en-US"/>
        </w:rPr>
        <w:br/>
      </w:r>
      <w:r w:rsidRPr="00FD44F6">
        <w:rPr>
          <w:rFonts w:ascii="Times New Roman" w:eastAsiaTheme="minorHAnsi" w:hAnsi="Times New Roman" w:cs="Times New Roman"/>
          <w:lang w:eastAsia="en-US"/>
        </w:rPr>
        <w:t>Nitra</w:t>
      </w:r>
      <w:r>
        <w:rPr>
          <w:rFonts w:ascii="Times New Roman" w:eastAsiaTheme="minorHAnsi" w:hAnsi="Times New Roman" w:cs="Times New Roman"/>
          <w:lang w:eastAsia="en-US"/>
        </w:rPr>
        <w:t xml:space="preserve"> </w:t>
      </w:r>
      <w:r w:rsidRPr="00FD44F6">
        <w:rPr>
          <w:rFonts w:ascii="Times New Roman" w:eastAsiaTheme="minorHAnsi" w:hAnsi="Times New Roman" w:cs="Times New Roman"/>
          <w:lang w:eastAsia="en-US"/>
        </w:rPr>
        <w:t>-</w:t>
      </w:r>
      <w:r>
        <w:rPr>
          <w:rFonts w:ascii="Times New Roman" w:eastAsiaTheme="minorHAnsi" w:hAnsi="Times New Roman" w:cs="Times New Roman"/>
          <w:lang w:eastAsia="en-US"/>
        </w:rPr>
        <w:t xml:space="preserve"> </w:t>
      </w:r>
      <w:r w:rsidRPr="00FD44F6">
        <w:rPr>
          <w:rFonts w:ascii="Times New Roman" w:eastAsiaTheme="minorHAnsi" w:hAnsi="Times New Roman" w:cs="Times New Roman"/>
          <w:lang w:eastAsia="en-US"/>
        </w:rPr>
        <w:t xml:space="preserve">3,00 mil. eur na obstaranie a rekonštrukciu, Špecializovaný trestný súd - 2,00 mil. eur na rekonštrukciu). Taktiež sa rozpočtujú 2,00 mil. eur na výdavky súvisiace s GDPR (úprava </w:t>
      </w:r>
      <w:r w:rsidRPr="00FD44F6">
        <w:rPr>
          <w:rFonts w:ascii="Times New Roman" w:eastAsiaTheme="minorHAnsi" w:hAnsi="Times New Roman" w:cs="Times New Roman"/>
          <w:lang w:eastAsia="en-US"/>
        </w:rPr>
        <w:lastRenderedPageBreak/>
        <w:t>informačných systémov a aplikácií pre naplnenie požiadaviek informačnej bezpečnosti, legislatívnych noriem, monitoringu a auditu).</w:t>
      </w:r>
    </w:p>
    <w:p w:rsidR="003A497B" w:rsidRPr="00FD44F6" w:rsidRDefault="003A497B" w:rsidP="003A497B">
      <w:pPr>
        <w:ind w:firstLine="709"/>
        <w:jc w:val="both"/>
        <w:rPr>
          <w:rFonts w:ascii="Times New Roman" w:eastAsiaTheme="minorHAnsi" w:hAnsi="Times New Roman" w:cs="Times New Roman"/>
          <w:highlight w:val="yellow"/>
          <w:lang w:eastAsia="en-US"/>
        </w:rPr>
      </w:pPr>
    </w:p>
    <w:p w:rsidR="003A497B" w:rsidRPr="00FD44F6" w:rsidRDefault="003A497B" w:rsidP="003A497B">
      <w:pPr>
        <w:ind w:firstLine="709"/>
        <w:jc w:val="both"/>
        <w:rPr>
          <w:rFonts w:ascii="Times New Roman" w:eastAsiaTheme="minorHAnsi" w:hAnsi="Times New Roman" w:cs="Times New Roman"/>
          <w:lang w:eastAsia="en-US"/>
        </w:rPr>
      </w:pPr>
      <w:r w:rsidRPr="00FD44F6">
        <w:rPr>
          <w:rFonts w:ascii="Times New Roman" w:eastAsiaTheme="minorHAnsi" w:hAnsi="Times New Roman" w:cs="Times New Roman"/>
          <w:lang w:eastAsia="en-US"/>
        </w:rPr>
        <w:t>V roku 2019 sa z</w:t>
      </w:r>
      <w:r w:rsidRPr="00FD44F6">
        <w:rPr>
          <w:rFonts w:ascii="Times New Roman" w:hAnsi="Times New Roman" w:cs="Times New Roman"/>
        </w:rPr>
        <w:t xml:space="preserve"> kapitálových výdavkov bude realizovať aj rekonštrukcia ústavov väzenstva v súlade s Aktualizovanou Koncepciou väzenstva Slovenskej republiky na roky 2011 až 2020, ako aj pokračovanie investičných akcií v oblasti súdnictva. Tiež sa rozpočtuje obstaranie softvéru, hardvéru, obstaranie vozidiel a prevádzkových strojov. </w:t>
      </w:r>
    </w:p>
    <w:p w:rsidR="003A497B" w:rsidRPr="00FD44F6" w:rsidRDefault="003A497B" w:rsidP="003A497B">
      <w:pPr>
        <w:ind w:firstLine="709"/>
        <w:jc w:val="both"/>
        <w:rPr>
          <w:rFonts w:ascii="Times New Roman" w:hAnsi="Times New Roman" w:cs="Times New Roman"/>
          <w:highlight w:val="yellow"/>
        </w:rPr>
      </w:pPr>
    </w:p>
    <w:p w:rsidR="003A497B" w:rsidRPr="00FD44F6" w:rsidRDefault="003A497B" w:rsidP="003A497B">
      <w:pPr>
        <w:ind w:firstLine="709"/>
        <w:jc w:val="both"/>
        <w:rPr>
          <w:rFonts w:ascii="Times New Roman" w:hAnsi="Times New Roman" w:cs="Times New Roman"/>
        </w:rPr>
      </w:pPr>
      <w:r w:rsidRPr="00FD44F6">
        <w:rPr>
          <w:rFonts w:ascii="Times New Roman" w:hAnsi="Times New Roman" w:cs="Times New Roman"/>
        </w:rPr>
        <w:t>MS SR na rok 2019 rozpočtuje výdavky na samostatných účtoch v sume 40,0 mil. eur. Prostriedky sú určené na financovanie sociálneho zabezpečenia policajtov a vojakov, účet tuzemských darov, grantov a dotácií a na účet súvisiaci so stravovaním vrátane úhrad stravy.</w:t>
      </w:r>
    </w:p>
    <w:p w:rsidR="003A497B" w:rsidRPr="00FD44F6" w:rsidRDefault="003A497B" w:rsidP="003A497B">
      <w:pPr>
        <w:ind w:firstLine="709"/>
        <w:jc w:val="both"/>
        <w:rPr>
          <w:rFonts w:ascii="Times New Roman" w:eastAsiaTheme="minorHAnsi" w:hAnsi="Times New Roman" w:cs="Times New Roman"/>
          <w:lang w:eastAsia="en-US"/>
        </w:rPr>
      </w:pPr>
    </w:p>
    <w:p w:rsidR="003A497B" w:rsidRPr="00FD44F6" w:rsidRDefault="003A497B" w:rsidP="003A497B">
      <w:pPr>
        <w:ind w:firstLine="709"/>
        <w:rPr>
          <w:rFonts w:ascii="Times New Roman" w:hAnsi="Times New Roman" w:cs="Times New Roman"/>
        </w:rPr>
      </w:pPr>
      <w:r w:rsidRPr="00FD44F6">
        <w:rPr>
          <w:rFonts w:ascii="Times New Roman" w:hAnsi="Times New Roman" w:cs="Times New Roman"/>
        </w:rPr>
        <w:t>Rozpočet ministerstva spravodlivosti sa skladá z nasledovných oblastí.</w:t>
      </w:r>
    </w:p>
    <w:p w:rsidR="003A497B" w:rsidRPr="00FD44F6" w:rsidRDefault="003A497B" w:rsidP="003A497B">
      <w:pPr>
        <w:ind w:firstLine="708"/>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692"/>
        <w:gridCol w:w="910"/>
        <w:gridCol w:w="910"/>
        <w:gridCol w:w="910"/>
        <w:gridCol w:w="910"/>
        <w:gridCol w:w="910"/>
        <w:gridCol w:w="910"/>
        <w:gridCol w:w="910"/>
      </w:tblGrid>
      <w:tr w:rsidR="003A497B" w:rsidRPr="00FD44F6" w:rsidTr="003E1809">
        <w:trPr>
          <w:trHeight w:hRule="exact" w:val="255"/>
        </w:trPr>
        <w:tc>
          <w:tcPr>
            <w:tcW w:w="1486"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 </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2016 S</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2017 S</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2018 R</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2018 OS</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2019 N</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2020 N</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2021 N</w:t>
            </w:r>
          </w:p>
        </w:tc>
      </w:tr>
      <w:tr w:rsidR="003A497B" w:rsidRPr="00FD44F6" w:rsidTr="003E1809">
        <w:trPr>
          <w:trHeight w:hRule="exact" w:val="255"/>
        </w:trPr>
        <w:tc>
          <w:tcPr>
            <w:tcW w:w="1486" w:type="pct"/>
            <w:tcBorders>
              <w:top w:val="nil"/>
              <w:left w:val="single" w:sz="4" w:space="0" w:color="auto"/>
              <w:bottom w:val="single" w:sz="4" w:space="0" w:color="auto"/>
              <w:right w:val="single" w:sz="4" w:space="0" w:color="auto"/>
            </w:tcBorders>
            <w:shd w:val="clear" w:color="000000" w:fill="D9D9D9"/>
            <w:noWrap/>
            <w:vAlign w:val="center"/>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Ministerstvo spravodlivosti SR</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387 500 809</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406 158 458</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400 006 100</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424 097 098</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439 506 124</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433 223 698</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435 828 191</w:t>
            </w:r>
          </w:p>
        </w:tc>
      </w:tr>
      <w:tr w:rsidR="003A497B" w:rsidRPr="00FD44F6" w:rsidTr="003E1809">
        <w:trPr>
          <w:trHeight w:hRule="exact" w:val="255"/>
        </w:trPr>
        <w:tc>
          <w:tcPr>
            <w:tcW w:w="1486"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Väzenstvo</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167 015 591</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172 866 259</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164 420 345</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169 599 712</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179 214 761</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181 549 235</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181 161 628</w:t>
            </w:r>
          </w:p>
        </w:tc>
      </w:tr>
      <w:tr w:rsidR="003A497B" w:rsidRPr="00FD44F6" w:rsidTr="003E1809">
        <w:trPr>
          <w:trHeight w:hRule="exact" w:val="255"/>
        </w:trPr>
        <w:tc>
          <w:tcPr>
            <w:tcW w:w="1486"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Súdnictvo</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185 832 559</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190 045 056</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200 501 311</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207 044 647</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219 567 261</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212 967 681</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212 967 661</w:t>
            </w:r>
          </w:p>
        </w:tc>
      </w:tr>
      <w:tr w:rsidR="003A497B" w:rsidRPr="00FD44F6" w:rsidTr="003E1809">
        <w:trPr>
          <w:trHeight w:hRule="exact" w:val="255"/>
        </w:trPr>
        <w:tc>
          <w:tcPr>
            <w:tcW w:w="1486"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Riadenie, kontrola a podpora</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16 156 985</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18 558 669</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14 454 886</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18 811 569</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17 375 678</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17 375 678</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17 375 678</w:t>
            </w:r>
          </w:p>
        </w:tc>
      </w:tr>
      <w:tr w:rsidR="003A497B" w:rsidRPr="00FD44F6" w:rsidTr="003E1809">
        <w:trPr>
          <w:trHeight w:hRule="exact" w:val="255"/>
        </w:trPr>
        <w:tc>
          <w:tcPr>
            <w:tcW w:w="1486"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Medzirezortné programy</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18 495 674</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24 688 474</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20 629 558</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28 641 170</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23 348 424</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21 331 104</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21 323 224</w:t>
            </w:r>
          </w:p>
        </w:tc>
      </w:tr>
    </w:tbl>
    <w:p w:rsidR="003A497B" w:rsidRPr="00FD44F6" w:rsidRDefault="003A497B" w:rsidP="003A497B">
      <w:pPr>
        <w:ind w:firstLine="708"/>
        <w:rPr>
          <w:rFonts w:ascii="Times New Roman" w:hAnsi="Times New Roman" w:cs="Times New Roman"/>
        </w:rPr>
      </w:pPr>
    </w:p>
    <w:p w:rsidR="003A497B" w:rsidRPr="00FD44F6" w:rsidRDefault="003A497B" w:rsidP="003A497B">
      <w:pPr>
        <w:jc w:val="both"/>
        <w:rPr>
          <w:rFonts w:ascii="Times New Roman" w:hAnsi="Times New Roman" w:cs="Times New Roman"/>
          <w:b/>
        </w:rPr>
      </w:pPr>
      <w:r w:rsidRPr="00FD44F6">
        <w:rPr>
          <w:rFonts w:ascii="Times New Roman" w:hAnsi="Times New Roman" w:cs="Times New Roman"/>
          <w:b/>
        </w:rPr>
        <w:t>Väzenstvo</w:t>
      </w:r>
    </w:p>
    <w:tbl>
      <w:tblPr>
        <w:tblW w:w="5000" w:type="pct"/>
        <w:tblCellMar>
          <w:left w:w="70" w:type="dxa"/>
          <w:right w:w="70" w:type="dxa"/>
        </w:tblCellMar>
        <w:tblLook w:val="04A0" w:firstRow="1" w:lastRow="0" w:firstColumn="1" w:lastColumn="0" w:noHBand="0" w:noVBand="1"/>
      </w:tblPr>
      <w:tblGrid>
        <w:gridCol w:w="2692"/>
        <w:gridCol w:w="910"/>
        <w:gridCol w:w="910"/>
        <w:gridCol w:w="910"/>
        <w:gridCol w:w="910"/>
        <w:gridCol w:w="910"/>
        <w:gridCol w:w="910"/>
        <w:gridCol w:w="910"/>
      </w:tblGrid>
      <w:tr w:rsidR="003A497B" w:rsidRPr="00FD44F6" w:rsidTr="003E1809">
        <w:trPr>
          <w:trHeight w:hRule="exact" w:val="255"/>
        </w:trPr>
        <w:tc>
          <w:tcPr>
            <w:tcW w:w="1485"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 </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2016 S</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2017 S</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2018 R</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2018 OS</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2019 N</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2020 N</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2021 N</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000000" w:fill="D9D9D9"/>
            <w:noWrap/>
            <w:vAlign w:val="center"/>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070 Väzenstvo</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167 015 591</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172 866 259</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164 420 345</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169 599 712</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179 214 761</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181 549 235</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184 161 628</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sz w:val="14"/>
                <w:szCs w:val="14"/>
                <w:lang w:eastAsia="sk-SK"/>
              </w:rPr>
            </w:pPr>
            <w:r w:rsidRPr="00FD44F6">
              <w:rPr>
                <w:rFonts w:ascii="Times New Roman" w:hAnsi="Times New Roman" w:cs="Times New Roman"/>
                <w:sz w:val="14"/>
                <w:szCs w:val="14"/>
                <w:lang w:eastAsia="sk-SK"/>
              </w:rPr>
              <w:t>600 bežné výdavky</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155 376 618</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160 925 033</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162 641 745</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167 791 112</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177 460 961</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179 778 535</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182 383 028</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000000" w:fill="FFFFFF"/>
            <w:vAlign w:val="center"/>
            <w:hideMark/>
          </w:tcPr>
          <w:p w:rsidR="003A497B" w:rsidRPr="00FD44F6" w:rsidRDefault="003A497B" w:rsidP="003E1809">
            <w:pPr>
              <w:rPr>
                <w:rFonts w:ascii="Times New Roman" w:hAnsi="Times New Roman" w:cs="Times New Roman"/>
                <w:sz w:val="14"/>
                <w:szCs w:val="14"/>
                <w:lang w:eastAsia="sk-SK"/>
              </w:rPr>
            </w:pPr>
            <w:r w:rsidRPr="00FD44F6">
              <w:rPr>
                <w:rFonts w:ascii="Times New Roman" w:hAnsi="Times New Roman" w:cs="Times New Roman"/>
                <w:sz w:val="14"/>
                <w:szCs w:val="14"/>
                <w:lang w:eastAsia="sk-SK"/>
              </w:rPr>
              <w:t>610 mzdy</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79 153 846</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82 441 247</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83 187 805</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86 977 190</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91 717 405</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93 741 787</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95 867 597</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000000" w:fill="FFFFFF"/>
            <w:vAlign w:val="center"/>
            <w:hideMark/>
          </w:tcPr>
          <w:p w:rsidR="003A497B" w:rsidRPr="00FD44F6" w:rsidRDefault="003A497B" w:rsidP="003E1809">
            <w:pPr>
              <w:rPr>
                <w:rFonts w:ascii="Times New Roman" w:hAnsi="Times New Roman" w:cs="Times New Roman"/>
                <w:sz w:val="14"/>
                <w:szCs w:val="14"/>
                <w:lang w:eastAsia="sk-SK"/>
              </w:rPr>
            </w:pPr>
            <w:r w:rsidRPr="00FD44F6">
              <w:rPr>
                <w:rFonts w:ascii="Times New Roman" w:hAnsi="Times New Roman" w:cs="Times New Roman"/>
                <w:sz w:val="14"/>
                <w:szCs w:val="14"/>
                <w:lang w:eastAsia="sk-SK"/>
              </w:rPr>
              <w:t>620 odvody</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30 729 481</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32 060 543</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33 245 398</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34 396 735</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36 587 135</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37 319 962</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38 089 505</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000000" w:fill="FFFFFF"/>
            <w:vAlign w:val="center"/>
            <w:hideMark/>
          </w:tcPr>
          <w:p w:rsidR="003A497B" w:rsidRPr="00FD44F6" w:rsidRDefault="003A497B" w:rsidP="003E1809">
            <w:pPr>
              <w:rPr>
                <w:rFonts w:ascii="Times New Roman" w:hAnsi="Times New Roman" w:cs="Times New Roman"/>
                <w:sz w:val="14"/>
                <w:szCs w:val="14"/>
                <w:lang w:eastAsia="sk-SK"/>
              </w:rPr>
            </w:pPr>
            <w:r w:rsidRPr="00FD44F6">
              <w:rPr>
                <w:rFonts w:ascii="Times New Roman" w:hAnsi="Times New Roman" w:cs="Times New Roman"/>
                <w:sz w:val="14"/>
                <w:szCs w:val="14"/>
                <w:lang w:eastAsia="sk-SK"/>
              </w:rPr>
              <w:t>630 tovary a služby</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38 802 132</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37 346 012</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37 262 531</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37 870 426</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40 153 175</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39 713 540</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39 422 680</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000000" w:fill="FFFFFF"/>
            <w:vAlign w:val="center"/>
            <w:hideMark/>
          </w:tcPr>
          <w:p w:rsidR="003A497B" w:rsidRPr="00FD44F6" w:rsidRDefault="003A497B" w:rsidP="003E1809">
            <w:pPr>
              <w:rPr>
                <w:rFonts w:ascii="Times New Roman" w:hAnsi="Times New Roman" w:cs="Times New Roman"/>
                <w:sz w:val="14"/>
                <w:szCs w:val="14"/>
                <w:lang w:eastAsia="sk-SK"/>
              </w:rPr>
            </w:pPr>
            <w:r w:rsidRPr="00FD44F6">
              <w:rPr>
                <w:rFonts w:ascii="Times New Roman" w:hAnsi="Times New Roman" w:cs="Times New Roman"/>
                <w:sz w:val="14"/>
                <w:szCs w:val="14"/>
                <w:lang w:eastAsia="sk-SK"/>
              </w:rPr>
              <w:t>640 bežné transfery</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6 691 159</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9 077 231</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8 946 011</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8 546 761</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9 003 246</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9 003 246</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9 003 246</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000000" w:fill="FFFFFF"/>
            <w:vAlign w:val="center"/>
            <w:hideMark/>
          </w:tcPr>
          <w:p w:rsidR="003A497B" w:rsidRPr="00FD44F6" w:rsidRDefault="003A497B" w:rsidP="003E1809">
            <w:pPr>
              <w:rPr>
                <w:rFonts w:ascii="Times New Roman" w:hAnsi="Times New Roman" w:cs="Times New Roman"/>
                <w:sz w:val="14"/>
                <w:szCs w:val="14"/>
                <w:lang w:eastAsia="sk-SK"/>
              </w:rPr>
            </w:pPr>
            <w:r w:rsidRPr="00FD44F6">
              <w:rPr>
                <w:rFonts w:ascii="Times New Roman" w:hAnsi="Times New Roman" w:cs="Times New Roman"/>
                <w:sz w:val="14"/>
                <w:szCs w:val="14"/>
                <w:lang w:eastAsia="sk-SK"/>
              </w:rPr>
              <w:t xml:space="preserve">700 kapitálové výdavky  </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11 638 973</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11 941 226</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1 778 600</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1 808 600</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1 753 800</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1 770 700</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1 778 600</w:t>
            </w:r>
          </w:p>
        </w:tc>
      </w:tr>
    </w:tbl>
    <w:p w:rsidR="003A497B" w:rsidRPr="00FD44F6" w:rsidRDefault="003A497B" w:rsidP="003A497B">
      <w:pPr>
        <w:jc w:val="both"/>
        <w:rPr>
          <w:rFonts w:ascii="Times New Roman" w:hAnsi="Times New Roman" w:cs="Times New Roman"/>
          <w:b/>
        </w:rPr>
      </w:pPr>
    </w:p>
    <w:p w:rsidR="003A497B" w:rsidRPr="00FD44F6" w:rsidRDefault="003A497B" w:rsidP="003A497B">
      <w:pPr>
        <w:ind w:firstLine="709"/>
        <w:jc w:val="both"/>
        <w:rPr>
          <w:rFonts w:ascii="Times New Roman" w:hAnsi="Times New Roman" w:cs="Times New Roman"/>
        </w:rPr>
      </w:pPr>
      <w:r w:rsidRPr="00FD44F6">
        <w:rPr>
          <w:rFonts w:ascii="Times New Roman" w:hAnsi="Times New Roman" w:cs="Times New Roman"/>
        </w:rPr>
        <w:t>Na väzenstvo sa rozpočtujú výdavky v sume 179 mil. eur. V porovnaní so schváleným rozpočtom roku 2018 sú výdavky väzenstva vyššie o 14,8 mil. eur, t. j. o 9,00 %. Nárast spôsobili vyššie osobné výdavky a vyššie výdavky na pracovné odmeny obvinených a odsúdených v súvislosti s ich valorizáciou. Výdavky na riešenie potrieb väzenstva pokrývajú základné zabezpečenie výkonu väzby a výkonu trestu odňatia slobody, vrátane súvisiacej ochrany a stráženia objektov, ako aj zabezpečenia ochrany poriadku a bezpečnosti v súdnych objektoch. Zabezpečujú sa výdavky na prípravu prevádzky Detenčného ústavu Hronovce a prípravu PPP projektu ústavu Rimavská Sobota-Sabová, ako aj výdavky na GDPR.</w:t>
      </w:r>
    </w:p>
    <w:p w:rsidR="003A497B" w:rsidRPr="00FD44F6" w:rsidRDefault="003A497B" w:rsidP="003A497B">
      <w:pPr>
        <w:ind w:firstLine="708"/>
        <w:jc w:val="both"/>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1831"/>
        <w:gridCol w:w="1033"/>
        <w:gridCol w:w="1033"/>
        <w:gridCol w:w="1033"/>
        <w:gridCol w:w="1033"/>
        <w:gridCol w:w="1033"/>
        <w:gridCol w:w="1033"/>
        <w:gridCol w:w="1033"/>
      </w:tblGrid>
      <w:tr w:rsidR="003A497B" w:rsidRPr="00FD44F6" w:rsidTr="003E1809">
        <w:trPr>
          <w:trHeight w:hRule="exact" w:val="255"/>
        </w:trPr>
        <w:tc>
          <w:tcPr>
            <w:tcW w:w="1010"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Priemerný počet osôb</w:t>
            </w:r>
          </w:p>
        </w:tc>
        <w:tc>
          <w:tcPr>
            <w:tcW w:w="570"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2016 S</w:t>
            </w:r>
          </w:p>
        </w:tc>
        <w:tc>
          <w:tcPr>
            <w:tcW w:w="570"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2017 R</w:t>
            </w:r>
          </w:p>
        </w:tc>
        <w:tc>
          <w:tcPr>
            <w:tcW w:w="570"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2018</w:t>
            </w:r>
          </w:p>
        </w:tc>
        <w:tc>
          <w:tcPr>
            <w:tcW w:w="570"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2018 OS</w:t>
            </w:r>
          </w:p>
        </w:tc>
        <w:tc>
          <w:tcPr>
            <w:tcW w:w="570"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2019 N</w:t>
            </w:r>
          </w:p>
        </w:tc>
        <w:tc>
          <w:tcPr>
            <w:tcW w:w="570"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2020 N</w:t>
            </w:r>
          </w:p>
        </w:tc>
        <w:tc>
          <w:tcPr>
            <w:tcW w:w="570"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2021 N</w:t>
            </w:r>
          </w:p>
        </w:tc>
      </w:tr>
      <w:tr w:rsidR="003A497B" w:rsidRPr="00FD44F6" w:rsidTr="003E1809">
        <w:trPr>
          <w:trHeight w:hRule="exact" w:val="255"/>
        </w:trPr>
        <w:tc>
          <w:tcPr>
            <w:tcW w:w="1010"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Obvinení</w:t>
            </w:r>
          </w:p>
        </w:tc>
        <w:tc>
          <w:tcPr>
            <w:tcW w:w="570"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1 451</w:t>
            </w:r>
          </w:p>
        </w:tc>
        <w:tc>
          <w:tcPr>
            <w:tcW w:w="570"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1 451</w:t>
            </w:r>
          </w:p>
        </w:tc>
        <w:tc>
          <w:tcPr>
            <w:tcW w:w="570"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1 546</w:t>
            </w:r>
          </w:p>
        </w:tc>
        <w:tc>
          <w:tcPr>
            <w:tcW w:w="570"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1 546</w:t>
            </w:r>
          </w:p>
        </w:tc>
        <w:tc>
          <w:tcPr>
            <w:tcW w:w="570"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1 526</w:t>
            </w:r>
          </w:p>
        </w:tc>
        <w:tc>
          <w:tcPr>
            <w:tcW w:w="570"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1 528</w:t>
            </w:r>
          </w:p>
        </w:tc>
        <w:tc>
          <w:tcPr>
            <w:tcW w:w="570"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1 531</w:t>
            </w:r>
          </w:p>
        </w:tc>
      </w:tr>
      <w:tr w:rsidR="003A497B" w:rsidRPr="00FD44F6" w:rsidTr="003E1809">
        <w:trPr>
          <w:trHeight w:hRule="exact" w:val="255"/>
        </w:trPr>
        <w:tc>
          <w:tcPr>
            <w:tcW w:w="1010"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Odsúdení</w:t>
            </w:r>
          </w:p>
        </w:tc>
        <w:tc>
          <w:tcPr>
            <w:tcW w:w="570"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8 665</w:t>
            </w:r>
          </w:p>
        </w:tc>
        <w:tc>
          <w:tcPr>
            <w:tcW w:w="570"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8 665</w:t>
            </w:r>
          </w:p>
        </w:tc>
        <w:tc>
          <w:tcPr>
            <w:tcW w:w="570"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9 036</w:t>
            </w:r>
          </w:p>
        </w:tc>
        <w:tc>
          <w:tcPr>
            <w:tcW w:w="570"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9 036</w:t>
            </w:r>
          </w:p>
        </w:tc>
        <w:tc>
          <w:tcPr>
            <w:tcW w:w="570"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8 710</w:t>
            </w:r>
          </w:p>
        </w:tc>
        <w:tc>
          <w:tcPr>
            <w:tcW w:w="570"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8 808</w:t>
            </w:r>
          </w:p>
        </w:tc>
        <w:tc>
          <w:tcPr>
            <w:tcW w:w="570"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8 906</w:t>
            </w:r>
          </w:p>
        </w:tc>
      </w:tr>
      <w:tr w:rsidR="003A497B" w:rsidRPr="00FD44F6" w:rsidTr="003E1809">
        <w:trPr>
          <w:trHeight w:hRule="exact" w:val="255"/>
        </w:trPr>
        <w:tc>
          <w:tcPr>
            <w:tcW w:w="1010" w:type="pct"/>
            <w:tcBorders>
              <w:top w:val="nil"/>
              <w:left w:val="single" w:sz="4" w:space="0" w:color="auto"/>
              <w:bottom w:val="single" w:sz="4" w:space="0" w:color="auto"/>
              <w:right w:val="single" w:sz="4" w:space="0" w:color="auto"/>
            </w:tcBorders>
            <w:shd w:val="clear" w:color="000000" w:fill="D9D9D9"/>
            <w:noWrap/>
            <w:vAlign w:val="center"/>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Obvinení a odsúdení spolu</w:t>
            </w:r>
          </w:p>
        </w:tc>
        <w:tc>
          <w:tcPr>
            <w:tcW w:w="570"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10 116</w:t>
            </w:r>
          </w:p>
        </w:tc>
        <w:tc>
          <w:tcPr>
            <w:tcW w:w="570"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10 116</w:t>
            </w:r>
          </w:p>
        </w:tc>
        <w:tc>
          <w:tcPr>
            <w:tcW w:w="570"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10 582</w:t>
            </w:r>
          </w:p>
        </w:tc>
        <w:tc>
          <w:tcPr>
            <w:tcW w:w="570"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10 582</w:t>
            </w:r>
          </w:p>
        </w:tc>
        <w:tc>
          <w:tcPr>
            <w:tcW w:w="570"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10 236</w:t>
            </w:r>
          </w:p>
        </w:tc>
        <w:tc>
          <w:tcPr>
            <w:tcW w:w="570"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10 336</w:t>
            </w:r>
          </w:p>
        </w:tc>
        <w:tc>
          <w:tcPr>
            <w:tcW w:w="570"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10 437</w:t>
            </w:r>
          </w:p>
        </w:tc>
      </w:tr>
    </w:tbl>
    <w:p w:rsidR="003A497B" w:rsidRPr="00FD44F6" w:rsidRDefault="003A497B" w:rsidP="003A497B">
      <w:pPr>
        <w:ind w:firstLine="708"/>
        <w:jc w:val="both"/>
        <w:rPr>
          <w:rFonts w:ascii="Times New Roman" w:hAnsi="Times New Roman" w:cs="Times New Roman"/>
        </w:rPr>
      </w:pPr>
    </w:p>
    <w:p w:rsidR="003A497B" w:rsidRPr="00FD44F6" w:rsidRDefault="003A497B" w:rsidP="003A497B">
      <w:pPr>
        <w:spacing w:after="160"/>
        <w:ind w:firstLine="709"/>
        <w:jc w:val="both"/>
        <w:rPr>
          <w:rFonts w:ascii="Times New Roman" w:hAnsi="Times New Roman" w:cs="Times New Roman"/>
        </w:rPr>
      </w:pPr>
      <w:r w:rsidRPr="00FD44F6">
        <w:rPr>
          <w:rFonts w:ascii="Times New Roman" w:hAnsi="Times New Roman" w:cs="Times New Roman"/>
        </w:rPr>
        <w:t xml:space="preserve">V ústavoch na výkon väzby a v ústavoch na výkon trestu odňatia slobody bolo k </w:t>
      </w:r>
      <w:r>
        <w:rPr>
          <w:rFonts w:ascii="Times New Roman" w:hAnsi="Times New Roman" w:cs="Times New Roman"/>
        </w:rPr>
        <w:br/>
      </w:r>
      <w:r w:rsidRPr="00FD44F6">
        <w:rPr>
          <w:rFonts w:ascii="Times New Roman" w:hAnsi="Times New Roman" w:cs="Times New Roman"/>
        </w:rPr>
        <w:t>31. augustu 2018 umiestnených spolu 10 385 osôb, z toho 1 509 obvinených a 8 876 odsúdených.</w:t>
      </w:r>
    </w:p>
    <w:p w:rsidR="003A497B" w:rsidRPr="00FD44F6" w:rsidRDefault="003A497B" w:rsidP="003A497B">
      <w:pPr>
        <w:ind w:firstLine="709"/>
        <w:jc w:val="both"/>
        <w:rPr>
          <w:rFonts w:ascii="Times New Roman" w:hAnsi="Times New Roman" w:cs="Times New Roman"/>
        </w:rPr>
      </w:pPr>
      <w:r w:rsidRPr="00FD44F6">
        <w:rPr>
          <w:rFonts w:ascii="Times New Roman" w:hAnsi="Times New Roman" w:cs="Times New Roman"/>
        </w:rPr>
        <w:t xml:space="preserve">Výdavky na väzenstvo sú ovplyvňované dynamikou rastu počtu obvinených a odsúdených. Pokiaľ bude pokračovať tento nárast, vyvolá to problém nielen v ubytovacej kapacite väzenstva, ale aj vo výdavkoch, ktoré sú rozpočtované a určené na zabezpečenie </w:t>
      </w:r>
      <w:r w:rsidRPr="00FD44F6">
        <w:rPr>
          <w:rFonts w:ascii="Times New Roman" w:hAnsi="Times New Roman" w:cs="Times New Roman"/>
        </w:rPr>
        <w:lastRenderedPageBreak/>
        <w:t>prevádzky v ústavoch na výkon väzby a v ústavoch na výkon trestu odňatia slobody. Z tohto dôvodu sa v kapitole rozpočtujú prostriedky na rekonštrukciu väzenských objektov a ich technologických zariadení a na rekonštrukciu integrovaných bezpečnostných systémov.</w:t>
      </w:r>
    </w:p>
    <w:p w:rsidR="003E1809" w:rsidRDefault="003E1809" w:rsidP="003A497B">
      <w:pPr>
        <w:ind w:firstLine="708"/>
        <w:jc w:val="both"/>
        <w:rPr>
          <w:rFonts w:ascii="Times New Roman" w:hAnsi="Times New Roman" w:cs="Times New Roman"/>
        </w:rPr>
      </w:pPr>
    </w:p>
    <w:p w:rsidR="003A497B" w:rsidRPr="00FD44F6" w:rsidRDefault="003A497B" w:rsidP="003A497B">
      <w:pPr>
        <w:ind w:firstLine="708"/>
        <w:jc w:val="both"/>
        <w:rPr>
          <w:rFonts w:ascii="Times New Roman" w:hAnsi="Times New Roman" w:cs="Times New Roman"/>
        </w:rPr>
      </w:pPr>
      <w:r w:rsidRPr="00FD44F6">
        <w:rPr>
          <w:rFonts w:ascii="Times New Roman" w:hAnsi="Times New Roman" w:cs="Times New Roman"/>
        </w:rPr>
        <w:t>Tabuľkový prehľad o základných výdavkoch rozpočtovaných na väzenstvo.</w:t>
      </w:r>
    </w:p>
    <w:p w:rsidR="003A497B" w:rsidRPr="00FD44F6" w:rsidRDefault="003A497B" w:rsidP="003A497B">
      <w:pPr>
        <w:ind w:firstLine="708"/>
        <w:jc w:val="both"/>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044"/>
        <w:gridCol w:w="1193"/>
        <w:gridCol w:w="971"/>
        <w:gridCol w:w="971"/>
        <w:gridCol w:w="971"/>
        <w:gridCol w:w="971"/>
        <w:gridCol w:w="971"/>
        <w:gridCol w:w="970"/>
      </w:tblGrid>
      <w:tr w:rsidR="003A497B" w:rsidRPr="00FD44F6" w:rsidTr="003E1809">
        <w:trPr>
          <w:trHeight w:hRule="exact" w:val="255"/>
        </w:trPr>
        <w:tc>
          <w:tcPr>
            <w:tcW w:w="1127"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 </w:t>
            </w:r>
          </w:p>
        </w:tc>
        <w:tc>
          <w:tcPr>
            <w:tcW w:w="658"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2016 S</w:t>
            </w:r>
          </w:p>
        </w:tc>
        <w:tc>
          <w:tcPr>
            <w:tcW w:w="536"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2017 S</w:t>
            </w:r>
          </w:p>
        </w:tc>
        <w:tc>
          <w:tcPr>
            <w:tcW w:w="536"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2018 R</w:t>
            </w:r>
          </w:p>
        </w:tc>
        <w:tc>
          <w:tcPr>
            <w:tcW w:w="536"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2018 OS</w:t>
            </w:r>
          </w:p>
        </w:tc>
        <w:tc>
          <w:tcPr>
            <w:tcW w:w="536"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2019 N</w:t>
            </w:r>
          </w:p>
        </w:tc>
        <w:tc>
          <w:tcPr>
            <w:tcW w:w="536"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2020 N</w:t>
            </w:r>
          </w:p>
        </w:tc>
        <w:tc>
          <w:tcPr>
            <w:tcW w:w="536"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2021 N</w:t>
            </w:r>
          </w:p>
        </w:tc>
      </w:tr>
      <w:tr w:rsidR="003A497B" w:rsidRPr="00FD44F6" w:rsidTr="003E1809">
        <w:trPr>
          <w:trHeight w:hRule="exact" w:val="255"/>
        </w:trPr>
        <w:tc>
          <w:tcPr>
            <w:tcW w:w="1127" w:type="pct"/>
            <w:tcBorders>
              <w:top w:val="nil"/>
              <w:left w:val="single" w:sz="4" w:space="0" w:color="auto"/>
              <w:bottom w:val="single" w:sz="4" w:space="0" w:color="auto"/>
              <w:right w:val="single" w:sz="4" w:space="0" w:color="auto"/>
            </w:tcBorders>
            <w:shd w:val="clear" w:color="000000" w:fill="D9D9D9"/>
            <w:noWrap/>
            <w:vAlign w:val="center"/>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väzenstvo spolu</w:t>
            </w:r>
          </w:p>
        </w:tc>
        <w:tc>
          <w:tcPr>
            <w:tcW w:w="658" w:type="pct"/>
            <w:tcBorders>
              <w:top w:val="nil"/>
              <w:left w:val="nil"/>
              <w:bottom w:val="single" w:sz="4" w:space="0" w:color="auto"/>
              <w:right w:val="single" w:sz="4" w:space="0" w:color="auto"/>
            </w:tcBorders>
            <w:shd w:val="clear" w:color="000000" w:fill="D9D9D9"/>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167 015 591</w:t>
            </w:r>
          </w:p>
        </w:tc>
        <w:tc>
          <w:tcPr>
            <w:tcW w:w="536" w:type="pct"/>
            <w:tcBorders>
              <w:top w:val="nil"/>
              <w:left w:val="nil"/>
              <w:bottom w:val="single" w:sz="4" w:space="0" w:color="auto"/>
              <w:right w:val="single" w:sz="4" w:space="0" w:color="auto"/>
            </w:tcBorders>
            <w:shd w:val="clear" w:color="000000" w:fill="D9D9D9"/>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172 866 259</w:t>
            </w:r>
          </w:p>
        </w:tc>
        <w:tc>
          <w:tcPr>
            <w:tcW w:w="536"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164 420 345</w:t>
            </w:r>
          </w:p>
        </w:tc>
        <w:tc>
          <w:tcPr>
            <w:tcW w:w="536"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169 599 712</w:t>
            </w:r>
          </w:p>
        </w:tc>
        <w:tc>
          <w:tcPr>
            <w:tcW w:w="536" w:type="pct"/>
            <w:tcBorders>
              <w:top w:val="nil"/>
              <w:left w:val="nil"/>
              <w:bottom w:val="single" w:sz="4" w:space="0" w:color="auto"/>
              <w:right w:val="single" w:sz="4" w:space="0" w:color="auto"/>
            </w:tcBorders>
            <w:shd w:val="clear" w:color="000000" w:fill="D9D9D9"/>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179 214 761</w:t>
            </w:r>
          </w:p>
        </w:tc>
        <w:tc>
          <w:tcPr>
            <w:tcW w:w="536" w:type="pct"/>
            <w:tcBorders>
              <w:top w:val="nil"/>
              <w:left w:val="nil"/>
              <w:bottom w:val="single" w:sz="4" w:space="0" w:color="auto"/>
              <w:right w:val="single" w:sz="4" w:space="0" w:color="auto"/>
            </w:tcBorders>
            <w:shd w:val="clear" w:color="000000" w:fill="D9D9D9"/>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181 549 235</w:t>
            </w:r>
          </w:p>
        </w:tc>
        <w:tc>
          <w:tcPr>
            <w:tcW w:w="536" w:type="pct"/>
            <w:tcBorders>
              <w:top w:val="nil"/>
              <w:left w:val="nil"/>
              <w:bottom w:val="single" w:sz="4" w:space="0" w:color="auto"/>
              <w:right w:val="single" w:sz="4" w:space="0" w:color="auto"/>
            </w:tcBorders>
            <w:shd w:val="clear" w:color="000000" w:fill="D9D9D9"/>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184 161 628</w:t>
            </w:r>
          </w:p>
        </w:tc>
      </w:tr>
      <w:tr w:rsidR="003A497B" w:rsidRPr="00FD44F6" w:rsidTr="003E1809">
        <w:trPr>
          <w:trHeight w:hRule="exact" w:val="255"/>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KV na nové kapacity</w:t>
            </w:r>
          </w:p>
        </w:tc>
        <w:tc>
          <w:tcPr>
            <w:tcW w:w="658"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-8 612 642</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-1 624 100</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0</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0</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0</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0</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0</w:t>
            </w:r>
          </w:p>
        </w:tc>
      </w:tr>
      <w:tr w:rsidR="003A497B" w:rsidRPr="00FD44F6" w:rsidTr="003E1809">
        <w:trPr>
          <w:trHeight w:hRule="exact" w:val="255"/>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dotácia osobitného účtu</w:t>
            </w:r>
          </w:p>
        </w:tc>
        <w:tc>
          <w:tcPr>
            <w:tcW w:w="658"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-3 178 411</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-3 178 411</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-3 178 411</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-3 178 411</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-3 178 411</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-3 178 411</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-3 178 411</w:t>
            </w:r>
          </w:p>
        </w:tc>
      </w:tr>
      <w:tr w:rsidR="003A497B" w:rsidRPr="00FD44F6" w:rsidTr="003E1809">
        <w:trPr>
          <w:trHeight w:hRule="exact" w:val="255"/>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základné výdavky väzenstva</w:t>
            </w:r>
          </w:p>
        </w:tc>
        <w:tc>
          <w:tcPr>
            <w:tcW w:w="658"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155 224 538</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168 063 748</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161 241 934</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166 421 301</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176 036 350</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178 370 824</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180 983 217</w:t>
            </w:r>
          </w:p>
        </w:tc>
      </w:tr>
      <w:tr w:rsidR="003A497B" w:rsidRPr="00FD44F6" w:rsidTr="003E1809">
        <w:trPr>
          <w:trHeight w:hRule="exact" w:val="255"/>
        </w:trPr>
        <w:tc>
          <w:tcPr>
            <w:tcW w:w="1127" w:type="pct"/>
            <w:tcBorders>
              <w:top w:val="nil"/>
              <w:left w:val="single" w:sz="4" w:space="0" w:color="auto"/>
              <w:bottom w:val="single" w:sz="4" w:space="0" w:color="auto"/>
              <w:right w:val="single" w:sz="4" w:space="0" w:color="auto"/>
            </w:tcBorders>
            <w:shd w:val="clear" w:color="auto" w:fill="auto"/>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obvinení a odsúdení spolu</w:t>
            </w:r>
          </w:p>
        </w:tc>
        <w:tc>
          <w:tcPr>
            <w:tcW w:w="658"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10 116</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10 116</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10 582</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10 582</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10 236</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10 336</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10 437</w:t>
            </w:r>
          </w:p>
        </w:tc>
      </w:tr>
      <w:tr w:rsidR="003A497B" w:rsidRPr="00FD44F6" w:rsidTr="003E1809">
        <w:trPr>
          <w:trHeight w:hRule="exact" w:val="255"/>
        </w:trPr>
        <w:tc>
          <w:tcPr>
            <w:tcW w:w="1127"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základné výdavky na väzňa</w:t>
            </w:r>
          </w:p>
        </w:tc>
        <w:tc>
          <w:tcPr>
            <w:tcW w:w="658"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b/>
                <w:color w:val="000000"/>
                <w:sz w:val="14"/>
                <w:szCs w:val="14"/>
                <w:lang w:eastAsia="sk-SK"/>
              </w:rPr>
            </w:pPr>
            <w:r w:rsidRPr="00FD44F6">
              <w:rPr>
                <w:rFonts w:ascii="Times New Roman" w:hAnsi="Times New Roman" w:cs="Times New Roman"/>
                <w:b/>
                <w:color w:val="000000"/>
                <w:sz w:val="14"/>
                <w:szCs w:val="14"/>
                <w:lang w:eastAsia="sk-SK"/>
              </w:rPr>
              <w:t>15 344</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b/>
                <w:color w:val="000000"/>
                <w:sz w:val="14"/>
                <w:szCs w:val="14"/>
                <w:lang w:eastAsia="sk-SK"/>
              </w:rPr>
            </w:pPr>
            <w:r w:rsidRPr="00FD44F6">
              <w:rPr>
                <w:rFonts w:ascii="Times New Roman" w:hAnsi="Times New Roman" w:cs="Times New Roman"/>
                <w:b/>
                <w:color w:val="000000"/>
                <w:sz w:val="14"/>
                <w:szCs w:val="14"/>
                <w:lang w:eastAsia="sk-SK"/>
              </w:rPr>
              <w:t>16 614</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b/>
                <w:color w:val="000000"/>
                <w:sz w:val="14"/>
                <w:szCs w:val="14"/>
                <w:lang w:eastAsia="sk-SK"/>
              </w:rPr>
            </w:pPr>
            <w:r w:rsidRPr="00FD44F6">
              <w:rPr>
                <w:rFonts w:ascii="Times New Roman" w:hAnsi="Times New Roman" w:cs="Times New Roman"/>
                <w:b/>
                <w:color w:val="000000"/>
                <w:sz w:val="14"/>
                <w:szCs w:val="14"/>
                <w:lang w:eastAsia="sk-SK"/>
              </w:rPr>
              <w:t>15 237</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b/>
                <w:color w:val="000000"/>
                <w:sz w:val="14"/>
                <w:szCs w:val="14"/>
                <w:lang w:eastAsia="sk-SK"/>
              </w:rPr>
            </w:pPr>
            <w:r w:rsidRPr="00FD44F6">
              <w:rPr>
                <w:rFonts w:ascii="Times New Roman" w:hAnsi="Times New Roman" w:cs="Times New Roman"/>
                <w:b/>
                <w:color w:val="000000"/>
                <w:sz w:val="14"/>
                <w:szCs w:val="14"/>
                <w:lang w:eastAsia="sk-SK"/>
              </w:rPr>
              <w:t>15 727</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b/>
                <w:color w:val="000000"/>
                <w:sz w:val="14"/>
                <w:szCs w:val="14"/>
                <w:lang w:eastAsia="sk-SK"/>
              </w:rPr>
            </w:pPr>
            <w:r w:rsidRPr="00FD44F6">
              <w:rPr>
                <w:rFonts w:ascii="Times New Roman" w:hAnsi="Times New Roman" w:cs="Times New Roman"/>
                <w:b/>
                <w:color w:val="000000"/>
                <w:sz w:val="14"/>
                <w:szCs w:val="14"/>
                <w:lang w:eastAsia="sk-SK"/>
              </w:rPr>
              <w:t>17 198</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b/>
                <w:color w:val="000000"/>
                <w:sz w:val="14"/>
                <w:szCs w:val="14"/>
                <w:lang w:eastAsia="sk-SK"/>
              </w:rPr>
            </w:pPr>
            <w:r w:rsidRPr="00FD44F6">
              <w:rPr>
                <w:rFonts w:ascii="Times New Roman" w:hAnsi="Times New Roman" w:cs="Times New Roman"/>
                <w:b/>
                <w:color w:val="000000"/>
                <w:sz w:val="14"/>
                <w:szCs w:val="14"/>
                <w:lang w:eastAsia="sk-SK"/>
              </w:rPr>
              <w:t>17 257</w:t>
            </w:r>
          </w:p>
        </w:tc>
        <w:tc>
          <w:tcPr>
            <w:tcW w:w="536"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b/>
                <w:color w:val="000000"/>
                <w:sz w:val="14"/>
                <w:szCs w:val="14"/>
                <w:lang w:eastAsia="sk-SK"/>
              </w:rPr>
            </w:pPr>
            <w:r w:rsidRPr="00FD44F6">
              <w:rPr>
                <w:rFonts w:ascii="Times New Roman" w:hAnsi="Times New Roman" w:cs="Times New Roman"/>
                <w:b/>
                <w:color w:val="000000"/>
                <w:sz w:val="14"/>
                <w:szCs w:val="14"/>
                <w:lang w:eastAsia="sk-SK"/>
              </w:rPr>
              <w:t>17 341</w:t>
            </w:r>
          </w:p>
        </w:tc>
      </w:tr>
    </w:tbl>
    <w:p w:rsidR="003A497B" w:rsidRPr="00FD44F6" w:rsidRDefault="003A497B" w:rsidP="003A497B">
      <w:pPr>
        <w:ind w:firstLine="708"/>
        <w:jc w:val="both"/>
        <w:rPr>
          <w:rFonts w:ascii="Times New Roman" w:hAnsi="Times New Roman" w:cs="Times New Roman"/>
        </w:rPr>
      </w:pPr>
    </w:p>
    <w:p w:rsidR="003A497B" w:rsidRPr="00FD44F6" w:rsidRDefault="003A497B" w:rsidP="003A497B">
      <w:pPr>
        <w:ind w:firstLine="708"/>
        <w:jc w:val="both"/>
        <w:rPr>
          <w:rFonts w:ascii="Times New Roman" w:hAnsi="Times New Roman" w:cs="Times New Roman"/>
        </w:rPr>
      </w:pPr>
      <w:r w:rsidRPr="00FD44F6">
        <w:rPr>
          <w:rFonts w:ascii="Times New Roman" w:hAnsi="Times New Roman" w:cs="Times New Roman"/>
        </w:rPr>
        <w:t>Celkové výdavky na väzenstvo sú očistené o kapitálové výdavky na nové kapacity ústavov, ktoré sa vytvoria prostredníctvom rozpočtovaných investičných nákladov na rekonštrukciu ústavov väzenstva a o dotáciu na osobitný účet väzenstva, ktorá je rozpočtovaná z titulu zabezpečenia vyrovnaného hospodárenia Zboru väzenskej a justičnej stráže. Základné výdavky väzenstva sa prepočítavajú na priemerné počty obvinených a odsúdených osôb, z čoho vyplývajú základné výdavky na väzňa.</w:t>
      </w:r>
    </w:p>
    <w:p w:rsidR="003A497B" w:rsidRPr="00FD44F6" w:rsidRDefault="003A497B" w:rsidP="003A497B">
      <w:pPr>
        <w:jc w:val="both"/>
        <w:rPr>
          <w:rFonts w:ascii="Times New Roman" w:hAnsi="Times New Roman" w:cs="Times New Roman"/>
        </w:rPr>
      </w:pPr>
    </w:p>
    <w:p w:rsidR="003A497B" w:rsidRPr="00FD44F6" w:rsidRDefault="003A497B" w:rsidP="003A497B">
      <w:pPr>
        <w:jc w:val="both"/>
        <w:rPr>
          <w:rFonts w:ascii="Times New Roman" w:hAnsi="Times New Roman" w:cs="Times New Roman"/>
        </w:rPr>
      </w:pPr>
      <w:r w:rsidRPr="00FD44F6">
        <w:rPr>
          <w:rFonts w:ascii="Times New Roman" w:hAnsi="Times New Roman" w:cs="Times New Roman"/>
        </w:rPr>
        <w:tab/>
        <w:t xml:space="preserve">V oblasti väzenstva treba venovať zvýšenú pozornosť problematike osobitného účtu v zmysle zákona č. 328/2002 Z. z. o sociálnom zabezpečení policajtov a vojakov, ktorý slúži na zabezpečenie sociálnych nárokov príslušníkov Zboru väzenskej a justičnej stráže. </w:t>
      </w:r>
    </w:p>
    <w:p w:rsidR="003A497B" w:rsidRPr="00FD44F6" w:rsidRDefault="003A497B" w:rsidP="003A497B">
      <w:pPr>
        <w:jc w:val="both"/>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252"/>
        <w:gridCol w:w="974"/>
        <w:gridCol w:w="973"/>
        <w:gridCol w:w="973"/>
        <w:gridCol w:w="973"/>
        <w:gridCol w:w="973"/>
        <w:gridCol w:w="973"/>
        <w:gridCol w:w="971"/>
      </w:tblGrid>
      <w:tr w:rsidR="003A497B" w:rsidRPr="00FD44F6" w:rsidTr="003E1809">
        <w:trPr>
          <w:trHeight w:hRule="exact" w:val="255"/>
        </w:trPr>
        <w:tc>
          <w:tcPr>
            <w:tcW w:w="124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Osobitný účet ZVJS  (v eurách)</w:t>
            </w:r>
          </w:p>
        </w:tc>
        <w:tc>
          <w:tcPr>
            <w:tcW w:w="537"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2016 S</w:t>
            </w:r>
          </w:p>
        </w:tc>
        <w:tc>
          <w:tcPr>
            <w:tcW w:w="537"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2017 S</w:t>
            </w:r>
          </w:p>
        </w:tc>
        <w:tc>
          <w:tcPr>
            <w:tcW w:w="537"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2018 R</w:t>
            </w:r>
          </w:p>
        </w:tc>
        <w:tc>
          <w:tcPr>
            <w:tcW w:w="537"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2018 OS</w:t>
            </w:r>
          </w:p>
        </w:tc>
        <w:tc>
          <w:tcPr>
            <w:tcW w:w="537"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2019 N</w:t>
            </w:r>
          </w:p>
        </w:tc>
        <w:tc>
          <w:tcPr>
            <w:tcW w:w="537"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2020 N</w:t>
            </w:r>
          </w:p>
        </w:tc>
        <w:tc>
          <w:tcPr>
            <w:tcW w:w="537"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2021 N</w:t>
            </w:r>
          </w:p>
        </w:tc>
      </w:tr>
      <w:tr w:rsidR="003A497B" w:rsidRPr="00FD44F6" w:rsidTr="003E1809">
        <w:trPr>
          <w:trHeight w:hRule="exact" w:val="255"/>
        </w:trPr>
        <w:tc>
          <w:tcPr>
            <w:tcW w:w="1242"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príjmy osobitného účtu</w:t>
            </w:r>
          </w:p>
        </w:tc>
        <w:tc>
          <w:tcPr>
            <w:tcW w:w="537"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28 051 299</w:t>
            </w:r>
          </w:p>
        </w:tc>
        <w:tc>
          <w:tcPr>
            <w:tcW w:w="537"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32 151 034</w:t>
            </w:r>
          </w:p>
        </w:tc>
        <w:tc>
          <w:tcPr>
            <w:tcW w:w="537"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33 417 841</w:t>
            </w:r>
          </w:p>
        </w:tc>
        <w:tc>
          <w:tcPr>
            <w:tcW w:w="537"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33 417 841</w:t>
            </w:r>
          </w:p>
        </w:tc>
        <w:tc>
          <w:tcPr>
            <w:tcW w:w="53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33 587 244</w:t>
            </w:r>
          </w:p>
        </w:tc>
        <w:tc>
          <w:tcPr>
            <w:tcW w:w="53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33 587 244</w:t>
            </w:r>
          </w:p>
        </w:tc>
        <w:tc>
          <w:tcPr>
            <w:tcW w:w="53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33 587 244</w:t>
            </w:r>
          </w:p>
        </w:tc>
      </w:tr>
      <w:tr w:rsidR="003A497B" w:rsidRPr="00FD44F6" w:rsidTr="003E1809">
        <w:trPr>
          <w:trHeight w:hRule="exact" w:val="255"/>
        </w:trPr>
        <w:tc>
          <w:tcPr>
            <w:tcW w:w="1242"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výdavky osobitného účtu</w:t>
            </w:r>
          </w:p>
        </w:tc>
        <w:tc>
          <w:tcPr>
            <w:tcW w:w="53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30 909 299</w:t>
            </w:r>
          </w:p>
        </w:tc>
        <w:tc>
          <w:tcPr>
            <w:tcW w:w="53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36 300 860</w:t>
            </w:r>
          </w:p>
        </w:tc>
        <w:tc>
          <w:tcPr>
            <w:tcW w:w="53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37 515 035</w:t>
            </w:r>
          </w:p>
        </w:tc>
        <w:tc>
          <w:tcPr>
            <w:tcW w:w="53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37 515 035</w:t>
            </w:r>
          </w:p>
        </w:tc>
        <w:tc>
          <w:tcPr>
            <w:tcW w:w="53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39 165 509</w:t>
            </w:r>
          </w:p>
        </w:tc>
        <w:tc>
          <w:tcPr>
            <w:tcW w:w="53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41 417 758</w:t>
            </w:r>
          </w:p>
        </w:tc>
        <w:tc>
          <w:tcPr>
            <w:tcW w:w="53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43 697 007</w:t>
            </w:r>
          </w:p>
        </w:tc>
      </w:tr>
      <w:tr w:rsidR="003A497B" w:rsidRPr="00FD44F6" w:rsidTr="003E1809">
        <w:trPr>
          <w:trHeight w:hRule="exact" w:val="255"/>
        </w:trPr>
        <w:tc>
          <w:tcPr>
            <w:tcW w:w="1242"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Dotácia zo štátneho rozpočtu</w:t>
            </w:r>
          </w:p>
        </w:tc>
        <w:tc>
          <w:tcPr>
            <w:tcW w:w="53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2 858 000</w:t>
            </w:r>
          </w:p>
        </w:tc>
        <w:tc>
          <w:tcPr>
            <w:tcW w:w="53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4 149 826</w:t>
            </w:r>
          </w:p>
        </w:tc>
        <w:tc>
          <w:tcPr>
            <w:tcW w:w="53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3 178 411</w:t>
            </w:r>
          </w:p>
        </w:tc>
        <w:tc>
          <w:tcPr>
            <w:tcW w:w="53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3 178 411</w:t>
            </w:r>
          </w:p>
        </w:tc>
        <w:tc>
          <w:tcPr>
            <w:tcW w:w="53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3 178 411</w:t>
            </w:r>
          </w:p>
        </w:tc>
        <w:tc>
          <w:tcPr>
            <w:tcW w:w="53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3 178 411</w:t>
            </w:r>
          </w:p>
        </w:tc>
        <w:tc>
          <w:tcPr>
            <w:tcW w:w="53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3 178 411</w:t>
            </w:r>
          </w:p>
        </w:tc>
      </w:tr>
    </w:tbl>
    <w:p w:rsidR="003A497B" w:rsidRPr="00FD44F6" w:rsidRDefault="003A497B" w:rsidP="003A497B">
      <w:pPr>
        <w:jc w:val="both"/>
        <w:rPr>
          <w:rFonts w:ascii="Times New Roman" w:hAnsi="Times New Roman" w:cs="Times New Roman"/>
        </w:rPr>
      </w:pPr>
    </w:p>
    <w:p w:rsidR="003A497B" w:rsidRPr="00FD44F6" w:rsidRDefault="003A497B" w:rsidP="003A497B">
      <w:pPr>
        <w:tabs>
          <w:tab w:val="left" w:pos="360"/>
        </w:tabs>
        <w:jc w:val="both"/>
        <w:rPr>
          <w:rFonts w:ascii="Times New Roman" w:hAnsi="Times New Roman" w:cs="Times New Roman"/>
          <w:b/>
        </w:rPr>
      </w:pPr>
      <w:r w:rsidRPr="00FD44F6">
        <w:rPr>
          <w:rFonts w:ascii="Times New Roman" w:hAnsi="Times New Roman" w:cs="Times New Roman"/>
          <w:b/>
        </w:rPr>
        <w:t>Súdnictvo</w:t>
      </w:r>
    </w:p>
    <w:tbl>
      <w:tblPr>
        <w:tblW w:w="5000" w:type="pct"/>
        <w:tblCellMar>
          <w:left w:w="70" w:type="dxa"/>
          <w:right w:w="70" w:type="dxa"/>
        </w:tblCellMar>
        <w:tblLook w:val="04A0" w:firstRow="1" w:lastRow="0" w:firstColumn="1" w:lastColumn="0" w:noHBand="0" w:noVBand="1"/>
      </w:tblPr>
      <w:tblGrid>
        <w:gridCol w:w="2692"/>
        <w:gridCol w:w="910"/>
        <w:gridCol w:w="910"/>
        <w:gridCol w:w="910"/>
        <w:gridCol w:w="910"/>
        <w:gridCol w:w="910"/>
        <w:gridCol w:w="910"/>
        <w:gridCol w:w="910"/>
      </w:tblGrid>
      <w:tr w:rsidR="003A497B" w:rsidRPr="00FD44F6" w:rsidTr="003E1809">
        <w:trPr>
          <w:trHeight w:hRule="exact" w:val="255"/>
        </w:trPr>
        <w:tc>
          <w:tcPr>
            <w:tcW w:w="1485"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 </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2016 S</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2017 S</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2018 R</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2018 OS</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2019 N</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2020 N</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2021 N</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000000" w:fill="D9D9D9"/>
            <w:noWrap/>
            <w:vAlign w:val="center"/>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08P Súdnictvo</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185 832 559</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190 045 056</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200 501 311</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207 044 647</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219 567 261</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212 967 681</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212 967 661</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sz w:val="14"/>
                <w:szCs w:val="14"/>
                <w:lang w:eastAsia="sk-SK"/>
              </w:rPr>
            </w:pPr>
            <w:r w:rsidRPr="00FD44F6">
              <w:rPr>
                <w:rFonts w:ascii="Times New Roman" w:hAnsi="Times New Roman" w:cs="Times New Roman"/>
                <w:sz w:val="14"/>
                <w:szCs w:val="14"/>
                <w:lang w:eastAsia="sk-SK"/>
              </w:rPr>
              <w:t>600 bežné výdavky</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179 439 814</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185 934 189</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195 219 193</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201 792 529</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207 992 143</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207 992 563</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207 992 543</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000000" w:fill="FFFFFF"/>
            <w:vAlign w:val="center"/>
            <w:hideMark/>
          </w:tcPr>
          <w:p w:rsidR="003A497B" w:rsidRPr="00FD44F6" w:rsidRDefault="003A497B" w:rsidP="003E1809">
            <w:pPr>
              <w:rPr>
                <w:rFonts w:ascii="Times New Roman" w:hAnsi="Times New Roman" w:cs="Times New Roman"/>
                <w:sz w:val="14"/>
                <w:szCs w:val="14"/>
                <w:lang w:eastAsia="sk-SK"/>
              </w:rPr>
            </w:pPr>
            <w:r w:rsidRPr="00FD44F6">
              <w:rPr>
                <w:rFonts w:ascii="Times New Roman" w:hAnsi="Times New Roman" w:cs="Times New Roman"/>
                <w:sz w:val="14"/>
                <w:szCs w:val="14"/>
                <w:lang w:eastAsia="sk-SK"/>
              </w:rPr>
              <w:t>610 mzdy</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102 363 615</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109 532 726</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112 444 174</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117 524 658</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123 968 688</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123 968 688</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123 968 688</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000000" w:fill="FFFFFF"/>
            <w:vAlign w:val="center"/>
            <w:hideMark/>
          </w:tcPr>
          <w:p w:rsidR="003A497B" w:rsidRPr="00FD44F6" w:rsidRDefault="003A497B" w:rsidP="003E1809">
            <w:pPr>
              <w:rPr>
                <w:rFonts w:ascii="Times New Roman" w:hAnsi="Times New Roman" w:cs="Times New Roman"/>
                <w:sz w:val="14"/>
                <w:szCs w:val="14"/>
                <w:lang w:eastAsia="sk-SK"/>
              </w:rPr>
            </w:pPr>
            <w:r w:rsidRPr="00FD44F6">
              <w:rPr>
                <w:rFonts w:ascii="Times New Roman" w:hAnsi="Times New Roman" w:cs="Times New Roman"/>
                <w:sz w:val="14"/>
                <w:szCs w:val="14"/>
                <w:lang w:eastAsia="sk-SK"/>
              </w:rPr>
              <w:t>620 odvody</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33 639 888</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37 594 814</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36 769 420</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38 462 272</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40 609 830</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40 609 830</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40 609 830</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000000" w:fill="FFFFFF"/>
            <w:vAlign w:val="center"/>
            <w:hideMark/>
          </w:tcPr>
          <w:p w:rsidR="003A497B" w:rsidRPr="00FD44F6" w:rsidRDefault="003A497B" w:rsidP="003E1809">
            <w:pPr>
              <w:rPr>
                <w:rFonts w:ascii="Times New Roman" w:hAnsi="Times New Roman" w:cs="Times New Roman"/>
                <w:sz w:val="14"/>
                <w:szCs w:val="14"/>
                <w:lang w:eastAsia="sk-SK"/>
              </w:rPr>
            </w:pPr>
            <w:r w:rsidRPr="00FD44F6">
              <w:rPr>
                <w:rFonts w:ascii="Times New Roman" w:hAnsi="Times New Roman" w:cs="Times New Roman"/>
                <w:sz w:val="14"/>
                <w:szCs w:val="14"/>
                <w:lang w:eastAsia="sk-SK"/>
              </w:rPr>
              <w:t>630 tovary a služby</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40 340 579</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32 515 767</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37 124 693</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41 924 693</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39 818 107</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39 818 527</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39 818 507</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000000" w:fill="FFFFFF"/>
            <w:vAlign w:val="center"/>
            <w:hideMark/>
          </w:tcPr>
          <w:p w:rsidR="003A497B" w:rsidRPr="00FD44F6" w:rsidRDefault="003A497B" w:rsidP="003E1809">
            <w:pPr>
              <w:rPr>
                <w:rFonts w:ascii="Times New Roman" w:hAnsi="Times New Roman" w:cs="Times New Roman"/>
                <w:sz w:val="14"/>
                <w:szCs w:val="14"/>
                <w:lang w:eastAsia="sk-SK"/>
              </w:rPr>
            </w:pPr>
            <w:r w:rsidRPr="00FD44F6">
              <w:rPr>
                <w:rFonts w:ascii="Times New Roman" w:hAnsi="Times New Roman" w:cs="Times New Roman"/>
                <w:sz w:val="14"/>
                <w:szCs w:val="14"/>
                <w:lang w:eastAsia="sk-SK"/>
              </w:rPr>
              <w:t>640 bežné transfery</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3 095 732</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6 290 882</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8 880 906</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3 880 906</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3 595 518</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3 595 518</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3 595 518</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000000" w:fill="FFFFFF"/>
            <w:vAlign w:val="center"/>
            <w:hideMark/>
          </w:tcPr>
          <w:p w:rsidR="003A497B" w:rsidRPr="00FD44F6" w:rsidRDefault="003A497B" w:rsidP="003E1809">
            <w:pPr>
              <w:rPr>
                <w:rFonts w:ascii="Times New Roman" w:hAnsi="Times New Roman" w:cs="Times New Roman"/>
                <w:sz w:val="14"/>
                <w:szCs w:val="14"/>
                <w:lang w:eastAsia="sk-SK"/>
              </w:rPr>
            </w:pPr>
            <w:r w:rsidRPr="00FD44F6">
              <w:rPr>
                <w:rFonts w:ascii="Times New Roman" w:hAnsi="Times New Roman" w:cs="Times New Roman"/>
                <w:sz w:val="14"/>
                <w:szCs w:val="14"/>
                <w:lang w:eastAsia="sk-SK"/>
              </w:rPr>
              <w:t xml:space="preserve">700 kapitálové výdavky  </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6 392 745</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4 110 867</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5 282 118</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5 252 118</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11 575 118</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4 975 118</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4 975 118</w:t>
            </w:r>
          </w:p>
        </w:tc>
      </w:tr>
    </w:tbl>
    <w:p w:rsidR="003A497B" w:rsidRPr="00FD44F6" w:rsidRDefault="003A497B" w:rsidP="003A497B">
      <w:pPr>
        <w:tabs>
          <w:tab w:val="left" w:pos="360"/>
        </w:tabs>
        <w:jc w:val="both"/>
        <w:rPr>
          <w:rFonts w:ascii="Times New Roman" w:hAnsi="Times New Roman" w:cs="Times New Roman"/>
          <w:b/>
        </w:rPr>
      </w:pPr>
    </w:p>
    <w:p w:rsidR="003A497B" w:rsidRDefault="003A497B" w:rsidP="003A497B">
      <w:pPr>
        <w:ind w:firstLine="709"/>
        <w:jc w:val="both"/>
        <w:rPr>
          <w:rFonts w:ascii="Times New Roman" w:hAnsi="Times New Roman" w:cs="Times New Roman"/>
        </w:rPr>
      </w:pPr>
      <w:r w:rsidRPr="00FD44F6">
        <w:rPr>
          <w:rFonts w:ascii="Times New Roman" w:hAnsi="Times New Roman" w:cs="Times New Roman"/>
        </w:rPr>
        <w:t>Na personálne a materiálno–technické zabezpečenie činnosti súdov, ostatných rozpočtových organizácií a na efektívny výkon okresných súdov, krajských súdov a Špecializovaného trestného súdu sa na rok 2019 rozpočtujú výdavky v sume 208 mil. eur. V porovnaní so schváleným rozpočtom na rok 2018 sa na súdnictvo rozpočtujú výdavky vyššie o 19,0 mil. eur, t. j. o 9,51 %. Nárast je spôsobený hlavne rastom osobných výdavkov.</w:t>
      </w:r>
    </w:p>
    <w:p w:rsidR="003A497B" w:rsidRPr="00FD44F6" w:rsidRDefault="003A497B" w:rsidP="003A497B">
      <w:pPr>
        <w:ind w:firstLine="709"/>
        <w:jc w:val="both"/>
        <w:rPr>
          <w:rFonts w:ascii="Times New Roman" w:eastAsiaTheme="minorHAnsi" w:hAnsi="Times New Roman" w:cs="Times New Roman"/>
          <w:lang w:eastAsia="en-US"/>
        </w:rPr>
      </w:pPr>
    </w:p>
    <w:p w:rsidR="003A497B" w:rsidRPr="00FD44F6" w:rsidRDefault="003A497B" w:rsidP="003A497B">
      <w:pPr>
        <w:ind w:firstLine="708"/>
        <w:jc w:val="both"/>
        <w:rPr>
          <w:rFonts w:ascii="Times New Roman" w:hAnsi="Times New Roman" w:cs="Times New Roman"/>
        </w:rPr>
      </w:pPr>
      <w:r w:rsidRPr="00FD44F6">
        <w:rPr>
          <w:rFonts w:ascii="Times New Roman" w:hAnsi="Times New Roman" w:cs="Times New Roman"/>
        </w:rPr>
        <w:t>Osobné výdavky súdnictva na rok 2019 v sume 165 mil. eur sú medziročne vyššie o </w:t>
      </w:r>
      <w:r>
        <w:rPr>
          <w:rFonts w:ascii="Times New Roman" w:hAnsi="Times New Roman" w:cs="Times New Roman"/>
        </w:rPr>
        <w:br/>
      </w:r>
      <w:r w:rsidRPr="00FD44F6">
        <w:rPr>
          <w:rFonts w:ascii="Times New Roman" w:hAnsi="Times New Roman" w:cs="Times New Roman"/>
        </w:rPr>
        <w:t xml:space="preserve">15,4 mil. eur, čo predstavuje nárast o 10,3 %. Rast osobných výdavkov zohľadňuje valorizáciu platov v roku 2018, zvýšenie osobných výdavkov na dofinancovanie platov zamestnancov súdnictva a dopočet zákonných náležitostí sudcov v nadväznosti na rast priemernej nominálnej mesačnej mzdy v národnom hospodárstve SR za rok 2017.  </w:t>
      </w:r>
    </w:p>
    <w:p w:rsidR="003A497B" w:rsidRPr="00FD44F6" w:rsidRDefault="003A497B" w:rsidP="003A497B">
      <w:pPr>
        <w:ind w:firstLine="709"/>
        <w:jc w:val="both"/>
        <w:rPr>
          <w:rFonts w:ascii="Times New Roman" w:hAnsi="Times New Roman" w:cs="Times New Roman"/>
          <w:highlight w:val="yellow"/>
        </w:rPr>
      </w:pPr>
    </w:p>
    <w:p w:rsidR="003A497B" w:rsidRPr="00FD44F6" w:rsidRDefault="003A497B" w:rsidP="003A497B">
      <w:pPr>
        <w:ind w:firstLine="709"/>
        <w:jc w:val="both"/>
        <w:rPr>
          <w:rFonts w:ascii="Times New Roman" w:hAnsi="Times New Roman" w:cs="Times New Roman"/>
        </w:rPr>
      </w:pPr>
      <w:r w:rsidRPr="00FD44F6">
        <w:rPr>
          <w:rFonts w:ascii="Times New Roman" w:hAnsi="Times New Roman" w:cs="Times New Roman"/>
        </w:rPr>
        <w:lastRenderedPageBreak/>
        <w:t xml:space="preserve">Tovary a služby súdnictva kapitola rozpísala v sume 39,8 mil. eur, čo je oproti roku 2018 nárast o 2,69 mil. eur, t. j. o 7,26 %. Nárast je spôsobený presunom z bežných transferov na základe metodického usmernenia ministerstva financií k ekonomickej klasifikácii príjmov a výdavkov Centra právnej pomoci. Výdavky boli zároveň znížené o sumu 2,30 mil. eur, pôvodne rozpočtovanú na poštové služby. Na zabezpečenie výdavkov na súdne konania - advokátske služby (ex offo), za znalecké posudky, notárske a exekútorské služby, tlmočnícku a prekladateľskú činnosť, úhradu výdavkov svedkom a prísediacim, ministerstvo spravodlivosti v rozpočte vyčlenilo sumu 15,7 mil. eur (nárast o 5 mil. eur oproti roku 2018). </w:t>
      </w:r>
    </w:p>
    <w:p w:rsidR="003A497B" w:rsidRPr="00FD44F6" w:rsidRDefault="003A497B" w:rsidP="003A497B">
      <w:pPr>
        <w:ind w:firstLine="709"/>
        <w:jc w:val="both"/>
        <w:rPr>
          <w:rFonts w:ascii="Times New Roman" w:hAnsi="Times New Roman" w:cs="Times New Roman"/>
          <w:highlight w:val="yellow"/>
        </w:rPr>
      </w:pPr>
    </w:p>
    <w:p w:rsidR="003A497B" w:rsidRPr="00FD44F6" w:rsidRDefault="003A497B" w:rsidP="003A497B">
      <w:pPr>
        <w:ind w:firstLine="709"/>
        <w:jc w:val="both"/>
        <w:rPr>
          <w:rFonts w:ascii="Times New Roman" w:hAnsi="Times New Roman" w:cs="Times New Roman"/>
          <w:highlight w:val="yellow"/>
        </w:rPr>
      </w:pPr>
      <w:r w:rsidRPr="00FD44F6">
        <w:rPr>
          <w:rFonts w:ascii="Times New Roman" w:hAnsi="Times New Roman" w:cs="Times New Roman"/>
        </w:rPr>
        <w:t xml:space="preserve">Bežné transfery v sume 3,59 mil. eur sú nižšie o 5,28 mil. eur (pokles o 59,5 %). Rozdiel je spôsobený hlavne presunom do tovarov a služieb na základe metodického usmernenia ministerstva financií. Výdavky sú rozpočtované na realizáciu nárokov podľa zákona </w:t>
      </w:r>
      <w:r>
        <w:rPr>
          <w:rFonts w:ascii="Times New Roman" w:hAnsi="Times New Roman" w:cs="Times New Roman"/>
        </w:rPr>
        <w:br/>
      </w:r>
      <w:r w:rsidRPr="00FD44F6">
        <w:rPr>
          <w:rFonts w:ascii="Times New Roman" w:hAnsi="Times New Roman" w:cs="Times New Roman"/>
        </w:rPr>
        <w:t>č. 385/2000 Z. z. o sudcoch a prísediacich, nárokov podľa zákona č. 462/2003 Z. z. o náhrade príjmu pri dočasnej pracovnej neschopnosti zamestnanca, odstupného a odchodného a tiež na úhradu časti prostriedkov primeraného finančného zadosťučinenia pri porušení základného práva na prerokovanie veci bez zbytočných prieťahov - Nálezy Ústavného súdu SR, ktoré sa nedajú vopred odhadnúť.</w:t>
      </w:r>
      <w:r w:rsidRPr="00FD44F6">
        <w:rPr>
          <w:rFonts w:ascii="Times New Roman" w:hAnsi="Times New Roman" w:cs="Times New Roman"/>
          <w:highlight w:val="yellow"/>
        </w:rPr>
        <w:t xml:space="preserve"> </w:t>
      </w:r>
    </w:p>
    <w:p w:rsidR="003A497B" w:rsidRPr="00FD44F6" w:rsidRDefault="003A497B" w:rsidP="003A497B">
      <w:pPr>
        <w:jc w:val="both"/>
        <w:rPr>
          <w:rFonts w:ascii="Times New Roman" w:hAnsi="Times New Roman" w:cs="Times New Roman"/>
        </w:rPr>
      </w:pPr>
    </w:p>
    <w:p w:rsidR="003A497B" w:rsidRPr="00FD44F6" w:rsidRDefault="003A497B" w:rsidP="003A497B">
      <w:pPr>
        <w:ind w:firstLine="709"/>
        <w:jc w:val="both"/>
        <w:rPr>
          <w:rFonts w:ascii="Times New Roman" w:hAnsi="Times New Roman" w:cs="Times New Roman"/>
        </w:rPr>
      </w:pPr>
      <w:r w:rsidRPr="00FD44F6">
        <w:rPr>
          <w:rFonts w:ascii="Times New Roman" w:hAnsi="Times New Roman" w:cs="Times New Roman"/>
        </w:rPr>
        <w:t xml:space="preserve">Kapitálové výdavky súdnictva v sume 11,6 mil. eur sú o 6,29 mil. eur vyššie, t. j. nárast o 119 % oproti roku 2018. Na nákup služobných motorových vozidiel pre súdy sú vyčlenené prostriedky v sume 250 tis. eur. Výdavky v sume 2,00 mil. eur sú určené pre súdy s tým, že ich použitie je na investičné akcie menšieho rozsahu podľa rozhodnutia krajských súdov v nadväznosti na uplatňované požiadavky v návrhu rozpočtu súdov. Na stavebné investičné akcie sú rozpočtované výdavky v sume 8,84 mil. eur, v tom 1,60 mil. eur na obstaranie a rekonštrukciu budovy pre Okresný súd Žiar nad Hronom, 3,00 mil. eur na obstaranie a rekonštrukciu budovy pre Krajský súd Nitra, 2,00 mil. eur na rekonštrukciu budovy Špecializovaného trestného súdu, 900 tis. eur  na nadstavbu, rekonštrukciu strechy, fasády a výmenu okien pre Krajský súd Košice, 245 tis. eur na rekonštrukciu fasády Krajského súdu  Trnava so zateplením, 600 tis. eur na rekonštrukciu podkrovia pre Okresný súd Prievidza, </w:t>
      </w:r>
      <w:r>
        <w:rPr>
          <w:rFonts w:ascii="Times New Roman" w:hAnsi="Times New Roman" w:cs="Times New Roman"/>
        </w:rPr>
        <w:br/>
      </w:r>
      <w:r w:rsidRPr="00FD44F6">
        <w:rPr>
          <w:rFonts w:ascii="Times New Roman" w:hAnsi="Times New Roman" w:cs="Times New Roman"/>
        </w:rPr>
        <w:t>500 tis. eur na pokračovanie celkovej rekonštrukcie a modernizácie revitalizácie areálu Okresného súdu Brezno a 480 tis. eur na odstraňovanie havarijných stavov budov súdov.</w:t>
      </w:r>
    </w:p>
    <w:p w:rsidR="003A497B" w:rsidRPr="00FD44F6" w:rsidRDefault="003A497B" w:rsidP="003A497B">
      <w:pPr>
        <w:ind w:firstLine="709"/>
        <w:jc w:val="both"/>
        <w:rPr>
          <w:rFonts w:ascii="Times New Roman" w:hAnsi="Times New Roman" w:cs="Times New Roman"/>
          <w:highlight w:val="yellow"/>
        </w:rPr>
      </w:pPr>
    </w:p>
    <w:p w:rsidR="003A497B" w:rsidRPr="00FD44F6" w:rsidRDefault="003A497B" w:rsidP="003A497B">
      <w:pPr>
        <w:jc w:val="both"/>
        <w:rPr>
          <w:rFonts w:ascii="Times New Roman" w:hAnsi="Times New Roman" w:cs="Times New Roman"/>
          <w:i/>
          <w:u w:val="single"/>
        </w:rPr>
      </w:pPr>
      <w:r w:rsidRPr="00FD44F6">
        <w:rPr>
          <w:rFonts w:ascii="Times New Roman" w:hAnsi="Times New Roman" w:cs="Times New Roman"/>
          <w:i/>
          <w:u w:val="single"/>
        </w:rPr>
        <w:t>Odmeny a náhrady za služby</w:t>
      </w:r>
    </w:p>
    <w:p w:rsidR="003A497B" w:rsidRPr="00FD44F6" w:rsidRDefault="003A497B" w:rsidP="003A497B">
      <w:pPr>
        <w:ind w:firstLine="708"/>
        <w:jc w:val="both"/>
        <w:rPr>
          <w:rFonts w:ascii="Times New Roman" w:hAnsi="Times New Roman" w:cs="Times New Roman"/>
          <w:b/>
        </w:rPr>
      </w:pPr>
    </w:p>
    <w:p w:rsidR="003A497B" w:rsidRPr="00FD44F6" w:rsidRDefault="003A497B" w:rsidP="003A497B">
      <w:pPr>
        <w:ind w:firstLine="709"/>
        <w:jc w:val="both"/>
        <w:rPr>
          <w:rFonts w:ascii="Times New Roman" w:hAnsi="Times New Roman" w:cs="Times New Roman"/>
        </w:rPr>
      </w:pPr>
      <w:r w:rsidRPr="00FD44F6">
        <w:rPr>
          <w:rFonts w:ascii="Times New Roman" w:hAnsi="Times New Roman" w:cs="Times New Roman"/>
        </w:rPr>
        <w:t>V rámci odmien a náhrad za služby sú rozpočtované prostriedky na zabezpečenie súdneho konania, advokátske služby ex offo, na znalecké posudky, notárske a exekútorské služby, tlmočnícku a prekladateľskú činnosť, úhradu výdavkov svedkom a prísediacim.</w:t>
      </w:r>
    </w:p>
    <w:p w:rsidR="003A497B" w:rsidRPr="00FD44F6" w:rsidRDefault="003A497B" w:rsidP="003A497B">
      <w:pPr>
        <w:ind w:firstLine="708"/>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3"/>
        <w:gridCol w:w="980"/>
        <w:gridCol w:w="980"/>
        <w:gridCol w:w="981"/>
        <w:gridCol w:w="981"/>
        <w:gridCol w:w="981"/>
        <w:gridCol w:w="981"/>
        <w:gridCol w:w="975"/>
      </w:tblGrid>
      <w:tr w:rsidR="003A497B" w:rsidRPr="00FD44F6" w:rsidTr="003E1809">
        <w:trPr>
          <w:trHeight w:hRule="exact" w:val="255"/>
        </w:trPr>
        <w:tc>
          <w:tcPr>
            <w:tcW w:w="1216" w:type="pct"/>
            <w:shd w:val="clear" w:color="000000" w:fill="BFBFBF"/>
            <w:vAlign w:val="center"/>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 </w:t>
            </w:r>
          </w:p>
        </w:tc>
        <w:tc>
          <w:tcPr>
            <w:tcW w:w="541" w:type="pct"/>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2016 S</w:t>
            </w:r>
          </w:p>
        </w:tc>
        <w:tc>
          <w:tcPr>
            <w:tcW w:w="541" w:type="pct"/>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2017 S</w:t>
            </w:r>
          </w:p>
        </w:tc>
        <w:tc>
          <w:tcPr>
            <w:tcW w:w="541" w:type="pct"/>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2018 R</w:t>
            </w:r>
          </w:p>
        </w:tc>
        <w:tc>
          <w:tcPr>
            <w:tcW w:w="541" w:type="pct"/>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2018 OS</w:t>
            </w:r>
          </w:p>
        </w:tc>
        <w:tc>
          <w:tcPr>
            <w:tcW w:w="541" w:type="pct"/>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2019 N</w:t>
            </w:r>
          </w:p>
        </w:tc>
        <w:tc>
          <w:tcPr>
            <w:tcW w:w="541" w:type="pct"/>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2020 N</w:t>
            </w:r>
          </w:p>
        </w:tc>
        <w:tc>
          <w:tcPr>
            <w:tcW w:w="541" w:type="pct"/>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2021 N</w:t>
            </w:r>
          </w:p>
        </w:tc>
      </w:tr>
      <w:tr w:rsidR="003A497B" w:rsidRPr="00FD44F6" w:rsidTr="003E1809">
        <w:trPr>
          <w:trHeight w:hRule="exact" w:val="255"/>
        </w:trPr>
        <w:tc>
          <w:tcPr>
            <w:tcW w:w="1216" w:type="pct"/>
            <w:shd w:val="clear" w:color="auto" w:fill="auto"/>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odmeny a náhrady za služby*</w:t>
            </w:r>
          </w:p>
        </w:tc>
        <w:tc>
          <w:tcPr>
            <w:tcW w:w="541" w:type="pct"/>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10 734 946</w:t>
            </w:r>
          </w:p>
        </w:tc>
        <w:tc>
          <w:tcPr>
            <w:tcW w:w="541" w:type="pct"/>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10 734 946</w:t>
            </w:r>
          </w:p>
        </w:tc>
        <w:tc>
          <w:tcPr>
            <w:tcW w:w="541" w:type="pct"/>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10 734 946</w:t>
            </w:r>
          </w:p>
        </w:tc>
        <w:tc>
          <w:tcPr>
            <w:tcW w:w="541" w:type="pct"/>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10 734 946</w:t>
            </w:r>
          </w:p>
        </w:tc>
        <w:tc>
          <w:tcPr>
            <w:tcW w:w="541" w:type="pct"/>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15 734 946</w:t>
            </w:r>
          </w:p>
        </w:tc>
        <w:tc>
          <w:tcPr>
            <w:tcW w:w="541" w:type="pct"/>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15 734 946</w:t>
            </w:r>
          </w:p>
        </w:tc>
        <w:tc>
          <w:tcPr>
            <w:tcW w:w="541" w:type="pct"/>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15 734 946</w:t>
            </w:r>
          </w:p>
        </w:tc>
      </w:tr>
    </w:tbl>
    <w:p w:rsidR="003A497B" w:rsidRPr="00FD44F6" w:rsidRDefault="003A497B" w:rsidP="003A497B">
      <w:pPr>
        <w:jc w:val="both"/>
        <w:rPr>
          <w:rFonts w:ascii="Times New Roman" w:hAnsi="Times New Roman" w:cs="Times New Roman"/>
          <w:color w:val="000000"/>
          <w:sz w:val="16"/>
          <w:szCs w:val="16"/>
          <w:lang w:eastAsia="sk-SK"/>
        </w:rPr>
      </w:pPr>
      <w:r w:rsidRPr="00FD44F6">
        <w:rPr>
          <w:rFonts w:ascii="Times New Roman" w:hAnsi="Times New Roman" w:cs="Times New Roman"/>
          <w:color w:val="000000"/>
          <w:sz w:val="16"/>
          <w:szCs w:val="16"/>
          <w:lang w:eastAsia="sk-SK"/>
        </w:rPr>
        <w:t>* Výdavky na odmeny a náhrady pre advokátov, notárov, exekútorov, svedkov, tlmočníkov, prekladateľov a znalcov.</w:t>
      </w:r>
    </w:p>
    <w:p w:rsidR="003A497B" w:rsidRPr="00FD44F6" w:rsidRDefault="003A497B" w:rsidP="003A497B">
      <w:pPr>
        <w:jc w:val="both"/>
        <w:rPr>
          <w:rFonts w:ascii="Times New Roman" w:hAnsi="Times New Roman" w:cs="Times New Roman"/>
          <w:highlight w:val="yellow"/>
        </w:rPr>
      </w:pPr>
    </w:p>
    <w:p w:rsidR="003A497B" w:rsidRPr="00FD44F6" w:rsidRDefault="003A497B" w:rsidP="003A497B">
      <w:pPr>
        <w:jc w:val="both"/>
        <w:rPr>
          <w:rFonts w:ascii="Times New Roman" w:hAnsi="Times New Roman" w:cs="Times New Roman"/>
          <w:i/>
          <w:u w:val="single"/>
        </w:rPr>
      </w:pPr>
      <w:r w:rsidRPr="00FD44F6">
        <w:rPr>
          <w:rFonts w:ascii="Times New Roman" w:hAnsi="Times New Roman" w:cs="Times New Roman"/>
          <w:i/>
          <w:u w:val="single"/>
        </w:rPr>
        <w:t>Odškodňovanie v súdnictve</w:t>
      </w:r>
    </w:p>
    <w:p w:rsidR="003A497B" w:rsidRPr="00FD44F6" w:rsidRDefault="003A497B" w:rsidP="003A497B">
      <w:pPr>
        <w:jc w:val="both"/>
        <w:rPr>
          <w:rFonts w:ascii="Times New Roman" w:hAnsi="Times New Roman" w:cs="Times New Roman"/>
          <w:b/>
        </w:rPr>
      </w:pPr>
    </w:p>
    <w:p w:rsidR="003A497B" w:rsidRPr="00FD44F6" w:rsidRDefault="003A497B" w:rsidP="003A497B">
      <w:pPr>
        <w:ind w:firstLine="709"/>
        <w:jc w:val="both"/>
        <w:rPr>
          <w:rFonts w:asciiTheme="minorHAnsi" w:eastAsiaTheme="minorHAnsi" w:hAnsiTheme="minorHAnsi" w:cstheme="minorBidi"/>
          <w:sz w:val="22"/>
          <w:szCs w:val="22"/>
          <w:lang w:eastAsia="en-US"/>
        </w:rPr>
      </w:pPr>
      <w:r w:rsidRPr="00FD44F6">
        <w:rPr>
          <w:rFonts w:ascii="Times New Roman" w:hAnsi="Times New Roman" w:cs="Times New Roman"/>
        </w:rPr>
        <w:t>Kapitola rozpočtuje v oblasti súdnictva výdavky na odškodňovanie určené na nálezy Ústavného súdu Slovenskej republiky za prieťahy v súdnom konaní.</w:t>
      </w:r>
      <w:r w:rsidRPr="00FD44F6">
        <w:rPr>
          <w:rFonts w:asciiTheme="minorHAnsi" w:eastAsiaTheme="minorHAnsi" w:hAnsiTheme="minorHAnsi" w:cstheme="minorBidi"/>
          <w:sz w:val="22"/>
          <w:szCs w:val="22"/>
          <w:lang w:eastAsia="en-US"/>
        </w:rPr>
        <w:t xml:space="preserve"> </w:t>
      </w:r>
    </w:p>
    <w:p w:rsidR="003A497B" w:rsidRPr="00FD44F6" w:rsidRDefault="003A497B" w:rsidP="003A497B">
      <w:pPr>
        <w:ind w:firstLine="708"/>
        <w:jc w:val="both"/>
        <w:rPr>
          <w:rFonts w:asciiTheme="minorHAnsi" w:eastAsiaTheme="minorHAnsi" w:hAnsiTheme="minorHAnsi" w:cstheme="minorBidi"/>
          <w:sz w:val="22"/>
          <w:szCs w:val="22"/>
          <w:lang w:eastAsia="en-US"/>
        </w:rPr>
      </w:pPr>
    </w:p>
    <w:tbl>
      <w:tblPr>
        <w:tblW w:w="5000" w:type="pct"/>
        <w:tblCellMar>
          <w:left w:w="70" w:type="dxa"/>
          <w:right w:w="70" w:type="dxa"/>
        </w:tblCellMar>
        <w:tblLook w:val="04A0" w:firstRow="1" w:lastRow="0" w:firstColumn="1" w:lastColumn="0" w:noHBand="0" w:noVBand="1"/>
      </w:tblPr>
      <w:tblGrid>
        <w:gridCol w:w="2203"/>
        <w:gridCol w:w="980"/>
        <w:gridCol w:w="980"/>
        <w:gridCol w:w="981"/>
        <w:gridCol w:w="981"/>
        <w:gridCol w:w="981"/>
        <w:gridCol w:w="981"/>
        <w:gridCol w:w="975"/>
      </w:tblGrid>
      <w:tr w:rsidR="003A497B" w:rsidRPr="00FD44F6" w:rsidTr="003E1809">
        <w:trPr>
          <w:trHeight w:hRule="exact" w:val="255"/>
        </w:trPr>
        <w:tc>
          <w:tcPr>
            <w:tcW w:w="1216"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A497B" w:rsidRPr="00FD44F6" w:rsidRDefault="003A497B" w:rsidP="003E1809">
            <w:pPr>
              <w:rPr>
                <w:rFonts w:ascii="Calibri" w:hAnsi="Calibri" w:cs="Times New Roman"/>
                <w:color w:val="000000"/>
                <w:sz w:val="22"/>
                <w:szCs w:val="22"/>
                <w:lang w:eastAsia="sk-SK"/>
              </w:rPr>
            </w:pPr>
            <w:r w:rsidRPr="00FD44F6">
              <w:rPr>
                <w:rFonts w:ascii="Calibri" w:hAnsi="Calibri" w:cs="Times New Roman"/>
                <w:color w:val="000000"/>
                <w:sz w:val="22"/>
                <w:szCs w:val="22"/>
                <w:lang w:eastAsia="sk-SK"/>
              </w:rPr>
              <w:t> </w:t>
            </w:r>
          </w:p>
        </w:tc>
        <w:tc>
          <w:tcPr>
            <w:tcW w:w="541" w:type="pct"/>
            <w:tcBorders>
              <w:top w:val="single" w:sz="4" w:space="0" w:color="auto"/>
              <w:left w:val="nil"/>
              <w:bottom w:val="single" w:sz="4" w:space="0" w:color="auto"/>
              <w:right w:val="single" w:sz="4" w:space="0" w:color="auto"/>
            </w:tcBorders>
            <w:shd w:val="clear" w:color="000000" w:fill="BFBFBF"/>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2016 S</w:t>
            </w:r>
          </w:p>
        </w:tc>
        <w:tc>
          <w:tcPr>
            <w:tcW w:w="541" w:type="pct"/>
            <w:tcBorders>
              <w:top w:val="single" w:sz="4" w:space="0" w:color="auto"/>
              <w:left w:val="nil"/>
              <w:bottom w:val="single" w:sz="4" w:space="0" w:color="auto"/>
              <w:right w:val="single" w:sz="4" w:space="0" w:color="auto"/>
            </w:tcBorders>
            <w:shd w:val="clear" w:color="000000" w:fill="BFBFBF"/>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2017 S</w:t>
            </w:r>
          </w:p>
        </w:tc>
        <w:tc>
          <w:tcPr>
            <w:tcW w:w="541" w:type="pct"/>
            <w:tcBorders>
              <w:top w:val="single" w:sz="4" w:space="0" w:color="auto"/>
              <w:left w:val="nil"/>
              <w:bottom w:val="single" w:sz="4" w:space="0" w:color="auto"/>
              <w:right w:val="single" w:sz="4" w:space="0" w:color="auto"/>
            </w:tcBorders>
            <w:shd w:val="clear" w:color="000000" w:fill="BFBFBF"/>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2018 R</w:t>
            </w:r>
          </w:p>
        </w:tc>
        <w:tc>
          <w:tcPr>
            <w:tcW w:w="541" w:type="pct"/>
            <w:tcBorders>
              <w:top w:val="single" w:sz="4" w:space="0" w:color="auto"/>
              <w:left w:val="nil"/>
              <w:bottom w:val="single" w:sz="4" w:space="0" w:color="auto"/>
              <w:right w:val="single" w:sz="4" w:space="0" w:color="auto"/>
            </w:tcBorders>
            <w:shd w:val="clear" w:color="000000" w:fill="BFBFBF"/>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2018 OS</w:t>
            </w:r>
          </w:p>
        </w:tc>
        <w:tc>
          <w:tcPr>
            <w:tcW w:w="541" w:type="pct"/>
            <w:tcBorders>
              <w:top w:val="single" w:sz="4" w:space="0" w:color="auto"/>
              <w:left w:val="nil"/>
              <w:bottom w:val="single" w:sz="4" w:space="0" w:color="auto"/>
              <w:right w:val="single" w:sz="4" w:space="0" w:color="auto"/>
            </w:tcBorders>
            <w:shd w:val="clear" w:color="000000" w:fill="BFBFBF"/>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2019 N</w:t>
            </w:r>
          </w:p>
        </w:tc>
        <w:tc>
          <w:tcPr>
            <w:tcW w:w="541" w:type="pct"/>
            <w:tcBorders>
              <w:top w:val="single" w:sz="4" w:space="0" w:color="auto"/>
              <w:left w:val="nil"/>
              <w:bottom w:val="single" w:sz="4" w:space="0" w:color="auto"/>
              <w:right w:val="single" w:sz="4" w:space="0" w:color="auto"/>
            </w:tcBorders>
            <w:shd w:val="clear" w:color="000000" w:fill="BFBFBF"/>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2020 N</w:t>
            </w:r>
          </w:p>
        </w:tc>
        <w:tc>
          <w:tcPr>
            <w:tcW w:w="541" w:type="pct"/>
            <w:tcBorders>
              <w:top w:val="single" w:sz="4" w:space="0" w:color="auto"/>
              <w:left w:val="nil"/>
              <w:bottom w:val="single" w:sz="4" w:space="0" w:color="auto"/>
              <w:right w:val="single" w:sz="4" w:space="0" w:color="auto"/>
            </w:tcBorders>
            <w:shd w:val="clear" w:color="000000" w:fill="BFBFBF"/>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2021 N</w:t>
            </w:r>
          </w:p>
        </w:tc>
      </w:tr>
      <w:tr w:rsidR="003A497B" w:rsidRPr="00FD44F6" w:rsidTr="003E1809">
        <w:trPr>
          <w:trHeight w:hRule="exact" w:val="255"/>
        </w:trPr>
        <w:tc>
          <w:tcPr>
            <w:tcW w:w="1216" w:type="pct"/>
            <w:tcBorders>
              <w:top w:val="nil"/>
              <w:left w:val="single" w:sz="4" w:space="0" w:color="auto"/>
              <w:bottom w:val="single" w:sz="4" w:space="0" w:color="auto"/>
              <w:right w:val="single" w:sz="4" w:space="0" w:color="auto"/>
            </w:tcBorders>
            <w:shd w:val="clear" w:color="auto" w:fill="auto"/>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Odškodňovanie v oblasti súdnictva</w:t>
            </w:r>
          </w:p>
        </w:tc>
        <w:tc>
          <w:tcPr>
            <w:tcW w:w="541"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643 681</w:t>
            </w:r>
          </w:p>
        </w:tc>
        <w:tc>
          <w:tcPr>
            <w:tcW w:w="541"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788 157</w:t>
            </w:r>
          </w:p>
        </w:tc>
        <w:tc>
          <w:tcPr>
            <w:tcW w:w="541"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488 319</w:t>
            </w:r>
          </w:p>
        </w:tc>
        <w:tc>
          <w:tcPr>
            <w:tcW w:w="541"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488 319</w:t>
            </w:r>
          </w:p>
        </w:tc>
        <w:tc>
          <w:tcPr>
            <w:tcW w:w="541"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452 957</w:t>
            </w:r>
          </w:p>
        </w:tc>
        <w:tc>
          <w:tcPr>
            <w:tcW w:w="541"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452 957</w:t>
            </w:r>
          </w:p>
        </w:tc>
        <w:tc>
          <w:tcPr>
            <w:tcW w:w="541"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452 957</w:t>
            </w:r>
          </w:p>
        </w:tc>
      </w:tr>
    </w:tbl>
    <w:p w:rsidR="003A497B" w:rsidRPr="00FD44F6" w:rsidRDefault="003A497B" w:rsidP="003A497B">
      <w:pPr>
        <w:jc w:val="both"/>
        <w:rPr>
          <w:rFonts w:ascii="Times New Roman" w:hAnsi="Times New Roman" w:cs="Times New Roman"/>
          <w:b/>
        </w:rPr>
      </w:pPr>
    </w:p>
    <w:p w:rsidR="003A497B" w:rsidRDefault="003A497B" w:rsidP="003A497B">
      <w:pPr>
        <w:jc w:val="both"/>
        <w:rPr>
          <w:rFonts w:ascii="Times New Roman" w:hAnsi="Times New Roman" w:cs="Times New Roman"/>
          <w:b/>
        </w:rPr>
      </w:pPr>
    </w:p>
    <w:p w:rsidR="003A497B" w:rsidRPr="00FD44F6" w:rsidRDefault="003A497B" w:rsidP="003A497B">
      <w:pPr>
        <w:jc w:val="both"/>
        <w:rPr>
          <w:rFonts w:ascii="Times New Roman" w:hAnsi="Times New Roman" w:cs="Times New Roman"/>
          <w:b/>
        </w:rPr>
      </w:pPr>
      <w:r w:rsidRPr="00FD44F6">
        <w:rPr>
          <w:rFonts w:ascii="Times New Roman" w:hAnsi="Times New Roman" w:cs="Times New Roman"/>
          <w:b/>
        </w:rPr>
        <w:lastRenderedPageBreak/>
        <w:t>Administratíva</w:t>
      </w:r>
    </w:p>
    <w:tbl>
      <w:tblPr>
        <w:tblW w:w="5000" w:type="pct"/>
        <w:tblCellMar>
          <w:left w:w="70" w:type="dxa"/>
          <w:right w:w="70" w:type="dxa"/>
        </w:tblCellMar>
        <w:tblLook w:val="04A0" w:firstRow="1" w:lastRow="0" w:firstColumn="1" w:lastColumn="0" w:noHBand="0" w:noVBand="1"/>
      </w:tblPr>
      <w:tblGrid>
        <w:gridCol w:w="2692"/>
        <w:gridCol w:w="910"/>
        <w:gridCol w:w="910"/>
        <w:gridCol w:w="910"/>
        <w:gridCol w:w="910"/>
        <w:gridCol w:w="910"/>
        <w:gridCol w:w="910"/>
        <w:gridCol w:w="910"/>
      </w:tblGrid>
      <w:tr w:rsidR="003A497B" w:rsidRPr="00FD44F6" w:rsidTr="003E1809">
        <w:trPr>
          <w:trHeight w:hRule="exact" w:val="255"/>
        </w:trPr>
        <w:tc>
          <w:tcPr>
            <w:tcW w:w="1485"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 </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2016 S</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2017 S</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2018 R</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2018 OS</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2019 N</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2020 N</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2021 N</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000000" w:fill="D9D9D9"/>
            <w:noWrap/>
            <w:vAlign w:val="center"/>
            <w:hideMark/>
          </w:tcPr>
          <w:p w:rsidR="003A497B" w:rsidRPr="00FD44F6" w:rsidRDefault="003A497B" w:rsidP="003E1809">
            <w:pP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08R Tvorba a implementácia politík</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16 156 985</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18 558 669</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14 454 886</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18 811 569</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17 375 678</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17 375 678</w:t>
            </w:r>
          </w:p>
        </w:tc>
        <w:tc>
          <w:tcPr>
            <w:tcW w:w="502" w:type="pct"/>
            <w:tcBorders>
              <w:top w:val="nil"/>
              <w:left w:val="nil"/>
              <w:bottom w:val="single" w:sz="4" w:space="0" w:color="auto"/>
              <w:right w:val="single" w:sz="4" w:space="0" w:color="auto"/>
            </w:tcBorders>
            <w:shd w:val="clear" w:color="000000" w:fill="D9D9D9"/>
            <w:noWrap/>
            <w:vAlign w:val="bottom"/>
            <w:hideMark/>
          </w:tcPr>
          <w:p w:rsidR="003A497B" w:rsidRPr="00FD44F6" w:rsidRDefault="003A497B" w:rsidP="003E1809">
            <w:pPr>
              <w:jc w:val="right"/>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17 375 678</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auto" w:fill="auto"/>
            <w:noWrap/>
            <w:vAlign w:val="center"/>
            <w:hideMark/>
          </w:tcPr>
          <w:p w:rsidR="003A497B" w:rsidRPr="00FD44F6" w:rsidRDefault="003A497B" w:rsidP="003E1809">
            <w:pPr>
              <w:rPr>
                <w:rFonts w:ascii="Times New Roman" w:hAnsi="Times New Roman" w:cs="Times New Roman"/>
                <w:sz w:val="14"/>
                <w:szCs w:val="14"/>
                <w:lang w:eastAsia="sk-SK"/>
              </w:rPr>
            </w:pPr>
            <w:r w:rsidRPr="00FD44F6">
              <w:rPr>
                <w:rFonts w:ascii="Times New Roman" w:hAnsi="Times New Roman" w:cs="Times New Roman"/>
                <w:sz w:val="14"/>
                <w:szCs w:val="14"/>
                <w:lang w:eastAsia="sk-SK"/>
              </w:rPr>
              <w:t>600 bežné výdavky</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15 928 562</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18 311 893</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14 334 886</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18 691 569</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17 255 678</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17 255 678</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17 255 678</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000000" w:fill="FFFFFF"/>
            <w:vAlign w:val="center"/>
            <w:hideMark/>
          </w:tcPr>
          <w:p w:rsidR="003A497B" w:rsidRPr="00FD44F6" w:rsidRDefault="003A497B" w:rsidP="003E1809">
            <w:pPr>
              <w:rPr>
                <w:rFonts w:ascii="Times New Roman" w:hAnsi="Times New Roman" w:cs="Times New Roman"/>
                <w:sz w:val="14"/>
                <w:szCs w:val="14"/>
                <w:lang w:eastAsia="sk-SK"/>
              </w:rPr>
            </w:pPr>
            <w:r w:rsidRPr="00FD44F6">
              <w:rPr>
                <w:rFonts w:ascii="Times New Roman" w:hAnsi="Times New Roman" w:cs="Times New Roman"/>
                <w:sz w:val="14"/>
                <w:szCs w:val="14"/>
                <w:lang w:eastAsia="sk-SK"/>
              </w:rPr>
              <w:t>610 mzdy</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4 522 427</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5 357 940</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5 345 571</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5 576 468</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6 046 536</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6 046 536</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6 046 536</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000000" w:fill="FFFFFF"/>
            <w:vAlign w:val="center"/>
            <w:hideMark/>
          </w:tcPr>
          <w:p w:rsidR="003A497B" w:rsidRPr="00FD44F6" w:rsidRDefault="003A497B" w:rsidP="003E1809">
            <w:pPr>
              <w:rPr>
                <w:rFonts w:ascii="Times New Roman" w:hAnsi="Times New Roman" w:cs="Times New Roman"/>
                <w:sz w:val="14"/>
                <w:szCs w:val="14"/>
                <w:lang w:eastAsia="sk-SK"/>
              </w:rPr>
            </w:pPr>
            <w:r w:rsidRPr="00FD44F6">
              <w:rPr>
                <w:rFonts w:ascii="Times New Roman" w:hAnsi="Times New Roman" w:cs="Times New Roman"/>
                <w:sz w:val="14"/>
                <w:szCs w:val="14"/>
                <w:lang w:eastAsia="sk-SK"/>
              </w:rPr>
              <w:t>620 odvody</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1 589 823</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1 934 171</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1 857 041</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1 936 959</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2 093 962</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2 093 962</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2 093 962</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000000" w:fill="FFFFFF"/>
            <w:vAlign w:val="center"/>
            <w:hideMark/>
          </w:tcPr>
          <w:p w:rsidR="003A497B" w:rsidRPr="00FD44F6" w:rsidRDefault="003A497B" w:rsidP="003E1809">
            <w:pPr>
              <w:rPr>
                <w:rFonts w:ascii="Times New Roman" w:hAnsi="Times New Roman" w:cs="Times New Roman"/>
                <w:sz w:val="14"/>
                <w:szCs w:val="14"/>
                <w:lang w:eastAsia="sk-SK"/>
              </w:rPr>
            </w:pPr>
            <w:r w:rsidRPr="00FD44F6">
              <w:rPr>
                <w:rFonts w:ascii="Times New Roman" w:hAnsi="Times New Roman" w:cs="Times New Roman"/>
                <w:sz w:val="14"/>
                <w:szCs w:val="14"/>
                <w:lang w:eastAsia="sk-SK"/>
              </w:rPr>
              <w:t>630 tovary a služby</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5 070 349</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1 450 072</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1 591 994</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1 579 344</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3 304 900</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3 304 900</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3 304 900</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000000" w:fill="FFFFFF"/>
            <w:vAlign w:val="center"/>
            <w:hideMark/>
          </w:tcPr>
          <w:p w:rsidR="003A497B" w:rsidRPr="00FD44F6" w:rsidRDefault="003A497B" w:rsidP="003E1809">
            <w:pPr>
              <w:rPr>
                <w:rFonts w:ascii="Times New Roman" w:hAnsi="Times New Roman" w:cs="Times New Roman"/>
                <w:sz w:val="14"/>
                <w:szCs w:val="14"/>
                <w:lang w:eastAsia="sk-SK"/>
              </w:rPr>
            </w:pPr>
            <w:r w:rsidRPr="00FD44F6">
              <w:rPr>
                <w:rFonts w:ascii="Times New Roman" w:hAnsi="Times New Roman" w:cs="Times New Roman"/>
                <w:sz w:val="14"/>
                <w:szCs w:val="14"/>
                <w:lang w:eastAsia="sk-SK"/>
              </w:rPr>
              <w:t>640 bežné transfery</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4 745 963</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9 569 710</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5 540 280</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9 598 798</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5 810 280</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5 810 280</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5 810 280</w:t>
            </w:r>
          </w:p>
        </w:tc>
      </w:tr>
      <w:tr w:rsidR="003A497B" w:rsidRPr="00FD44F6" w:rsidTr="003E1809">
        <w:trPr>
          <w:trHeight w:hRule="exact" w:val="255"/>
        </w:trPr>
        <w:tc>
          <w:tcPr>
            <w:tcW w:w="1485" w:type="pct"/>
            <w:tcBorders>
              <w:top w:val="nil"/>
              <w:left w:val="single" w:sz="4" w:space="0" w:color="auto"/>
              <w:bottom w:val="single" w:sz="4" w:space="0" w:color="auto"/>
              <w:right w:val="single" w:sz="4" w:space="0" w:color="auto"/>
            </w:tcBorders>
            <w:shd w:val="clear" w:color="000000" w:fill="FFFFFF"/>
            <w:vAlign w:val="center"/>
            <w:hideMark/>
          </w:tcPr>
          <w:p w:rsidR="003A497B" w:rsidRPr="00FD44F6" w:rsidRDefault="003A497B" w:rsidP="003E1809">
            <w:pPr>
              <w:rPr>
                <w:rFonts w:ascii="Times New Roman" w:hAnsi="Times New Roman" w:cs="Times New Roman"/>
                <w:sz w:val="14"/>
                <w:szCs w:val="14"/>
                <w:lang w:eastAsia="sk-SK"/>
              </w:rPr>
            </w:pPr>
            <w:r w:rsidRPr="00FD44F6">
              <w:rPr>
                <w:rFonts w:ascii="Times New Roman" w:hAnsi="Times New Roman" w:cs="Times New Roman"/>
                <w:sz w:val="14"/>
                <w:szCs w:val="14"/>
                <w:lang w:eastAsia="sk-SK"/>
              </w:rPr>
              <w:t xml:space="preserve">700 kapitálové výdavky  </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228 423</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246 776</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120 000</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sz w:val="14"/>
                <w:szCs w:val="14"/>
                <w:lang w:eastAsia="sk-SK"/>
              </w:rPr>
            </w:pPr>
            <w:r w:rsidRPr="00FD44F6">
              <w:rPr>
                <w:rFonts w:ascii="Times New Roman" w:hAnsi="Times New Roman" w:cs="Times New Roman"/>
                <w:sz w:val="14"/>
                <w:szCs w:val="14"/>
                <w:lang w:eastAsia="sk-SK"/>
              </w:rPr>
              <w:t>120 000</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120 000</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120 000</w:t>
            </w:r>
          </w:p>
        </w:tc>
        <w:tc>
          <w:tcPr>
            <w:tcW w:w="502" w:type="pct"/>
            <w:tcBorders>
              <w:top w:val="nil"/>
              <w:left w:val="nil"/>
              <w:bottom w:val="single" w:sz="4" w:space="0" w:color="auto"/>
              <w:right w:val="single" w:sz="4" w:space="0" w:color="auto"/>
            </w:tcBorders>
            <w:shd w:val="clear" w:color="auto" w:fill="auto"/>
            <w:noWrap/>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120 000</w:t>
            </w:r>
          </w:p>
        </w:tc>
      </w:tr>
    </w:tbl>
    <w:p w:rsidR="003A497B" w:rsidRPr="00FD44F6" w:rsidRDefault="003A497B" w:rsidP="003A497B">
      <w:pPr>
        <w:jc w:val="both"/>
        <w:rPr>
          <w:rFonts w:ascii="Times New Roman" w:hAnsi="Times New Roman" w:cs="Times New Roman"/>
          <w:b/>
        </w:rPr>
      </w:pPr>
    </w:p>
    <w:p w:rsidR="003A497B" w:rsidRPr="00FD44F6" w:rsidRDefault="003A497B" w:rsidP="003A497B">
      <w:pPr>
        <w:spacing w:after="160"/>
        <w:ind w:firstLine="709"/>
        <w:jc w:val="both"/>
        <w:rPr>
          <w:rFonts w:ascii="Times New Roman" w:hAnsi="Times New Roman" w:cs="Times New Roman"/>
        </w:rPr>
      </w:pPr>
      <w:r w:rsidRPr="00FD44F6">
        <w:rPr>
          <w:rFonts w:ascii="Times New Roman" w:hAnsi="Times New Roman" w:cs="Times New Roman"/>
        </w:rPr>
        <w:t xml:space="preserve">Na zabezpečenie činnosti ústredného orgánu MS SR sa na rok 2019 rozpočtujú výdavky v sume 17,3 mil. eur, čo predstavuje oproti schválenému rozpočtu roku 2018 nárast o sumu 2,92 mil. eur, t. j. o 20,2 %. Nárast je spôsobený rastom osobných výdavkov v sume </w:t>
      </w:r>
      <w:r>
        <w:rPr>
          <w:rFonts w:ascii="Times New Roman" w:hAnsi="Times New Roman" w:cs="Times New Roman"/>
        </w:rPr>
        <w:br/>
      </w:r>
      <w:r w:rsidRPr="00FD44F6">
        <w:rPr>
          <w:rFonts w:ascii="Times New Roman" w:hAnsi="Times New Roman" w:cs="Times New Roman"/>
        </w:rPr>
        <w:t xml:space="preserve">938 tis. eur, sumou 1,50 mil. eur, ktorá je  určená na nájomné v súvislosti s umiestnením ministerstva spravodlivosti do novej budovy, zvýšením tovarov a služieb v sume 210 tis. eur presunutou z kategórie 630 programu Súdnictvo a rastom bežných transferov v sume </w:t>
      </w:r>
      <w:r>
        <w:rPr>
          <w:rFonts w:ascii="Times New Roman" w:hAnsi="Times New Roman" w:cs="Times New Roman"/>
        </w:rPr>
        <w:br/>
      </w:r>
      <w:r w:rsidRPr="00FD44F6">
        <w:rPr>
          <w:rFonts w:ascii="Times New Roman" w:hAnsi="Times New Roman" w:cs="Times New Roman"/>
        </w:rPr>
        <w:t xml:space="preserve">270 tis. eur presunutými z kategórie 630 programu Súdnictvo.  </w:t>
      </w:r>
    </w:p>
    <w:p w:rsidR="003A497B" w:rsidRPr="00FD44F6" w:rsidRDefault="003A497B" w:rsidP="003A497B">
      <w:pPr>
        <w:jc w:val="both"/>
        <w:rPr>
          <w:rFonts w:ascii="Times New Roman" w:hAnsi="Times New Roman" w:cs="Times New Roman"/>
          <w:i/>
          <w:u w:val="single"/>
        </w:rPr>
      </w:pPr>
      <w:r w:rsidRPr="00FD44F6">
        <w:rPr>
          <w:rFonts w:ascii="Times New Roman" w:hAnsi="Times New Roman" w:cs="Times New Roman"/>
          <w:i/>
          <w:u w:val="single"/>
        </w:rPr>
        <w:t>Odškodňovanie v administratíve</w:t>
      </w:r>
    </w:p>
    <w:p w:rsidR="003A497B" w:rsidRPr="00FD44F6" w:rsidRDefault="003A497B" w:rsidP="003A497B">
      <w:pPr>
        <w:jc w:val="both"/>
        <w:rPr>
          <w:rFonts w:ascii="Times New Roman" w:hAnsi="Times New Roman" w:cs="Times New Roman"/>
        </w:rPr>
      </w:pPr>
    </w:p>
    <w:p w:rsidR="003A497B" w:rsidRPr="00FD44F6" w:rsidRDefault="003A497B" w:rsidP="003A497B">
      <w:pPr>
        <w:ind w:firstLine="709"/>
        <w:jc w:val="both"/>
        <w:rPr>
          <w:rFonts w:ascii="Times New Roman" w:hAnsi="Times New Roman" w:cs="Times New Roman"/>
        </w:rPr>
      </w:pPr>
      <w:r w:rsidRPr="00FD44F6">
        <w:rPr>
          <w:rFonts w:ascii="Times New Roman" w:hAnsi="Times New Roman" w:cs="Times New Roman"/>
        </w:rPr>
        <w:t>Prerokovanie žiadostí o odškodnenie podľa zákonov č. 105/2002 Z. z. (ide o jednorazový finančný príspevok príslušníkom československých zahraničných alebo spojeneckých armád) a</w:t>
      </w:r>
      <w:r w:rsidR="00C311BC">
        <w:rPr>
          <w:rFonts w:ascii="Times New Roman" w:hAnsi="Times New Roman" w:cs="Times New Roman"/>
        </w:rPr>
        <w:t xml:space="preserve"> č. </w:t>
      </w:r>
      <w:r w:rsidRPr="00FD44F6">
        <w:rPr>
          <w:rFonts w:ascii="Times New Roman" w:hAnsi="Times New Roman" w:cs="Times New Roman"/>
        </w:rPr>
        <w:t>305/1999 Z. z. o zmiernení niektorých krívd osobám deportovaným do nacistických koncentračných táborov a zajateckých táborov sa malo ukončiť už v roku 2006, avšak agenda odškodňovania bude prebiehať v zmysle platných zákonov a tiež na základe súdnych rozhodnutí až do obdobia rokov 2018 - 2020. Žiadosti, ktoré boli podané v zákonom stanovenej lehote nie sú časovo obmedzené, nárok na odškodnenie nezaniká, čiže je potrebné čakať na ukončenie právoplatných dedičských konaní.</w:t>
      </w:r>
    </w:p>
    <w:p w:rsidR="003A497B" w:rsidRPr="00FD44F6" w:rsidRDefault="003A497B" w:rsidP="003A497B">
      <w:pPr>
        <w:ind w:firstLine="708"/>
        <w:jc w:val="both"/>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373"/>
        <w:gridCol w:w="956"/>
        <w:gridCol w:w="956"/>
        <w:gridCol w:w="956"/>
        <w:gridCol w:w="956"/>
        <w:gridCol w:w="955"/>
        <w:gridCol w:w="955"/>
        <w:gridCol w:w="955"/>
      </w:tblGrid>
      <w:tr w:rsidR="003A497B" w:rsidRPr="00FD44F6" w:rsidTr="003E1809">
        <w:trPr>
          <w:trHeight w:hRule="exact" w:val="255"/>
        </w:trPr>
        <w:tc>
          <w:tcPr>
            <w:tcW w:w="130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A497B" w:rsidRPr="00FD44F6" w:rsidRDefault="003A497B" w:rsidP="003E1809">
            <w:pPr>
              <w:rPr>
                <w:rFonts w:ascii="Calibri" w:hAnsi="Calibri" w:cs="Times New Roman"/>
                <w:color w:val="000000"/>
                <w:sz w:val="22"/>
                <w:szCs w:val="22"/>
                <w:lang w:eastAsia="sk-SK"/>
              </w:rPr>
            </w:pPr>
            <w:r w:rsidRPr="00FD44F6">
              <w:rPr>
                <w:rFonts w:ascii="Calibri" w:hAnsi="Calibri" w:cs="Times New Roman"/>
                <w:color w:val="000000"/>
                <w:sz w:val="22"/>
                <w:szCs w:val="22"/>
                <w:lang w:eastAsia="sk-SK"/>
              </w:rPr>
              <w:t> </w:t>
            </w:r>
          </w:p>
        </w:tc>
        <w:tc>
          <w:tcPr>
            <w:tcW w:w="527" w:type="pct"/>
            <w:tcBorders>
              <w:top w:val="single" w:sz="4" w:space="0" w:color="auto"/>
              <w:left w:val="nil"/>
              <w:bottom w:val="single" w:sz="4" w:space="0" w:color="auto"/>
              <w:right w:val="single" w:sz="4" w:space="0" w:color="auto"/>
            </w:tcBorders>
            <w:shd w:val="clear" w:color="000000" w:fill="BFBFBF"/>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2016 S</w:t>
            </w:r>
          </w:p>
        </w:tc>
        <w:tc>
          <w:tcPr>
            <w:tcW w:w="527" w:type="pct"/>
            <w:tcBorders>
              <w:top w:val="single" w:sz="4" w:space="0" w:color="auto"/>
              <w:left w:val="nil"/>
              <w:bottom w:val="single" w:sz="4" w:space="0" w:color="auto"/>
              <w:right w:val="single" w:sz="4" w:space="0" w:color="auto"/>
            </w:tcBorders>
            <w:shd w:val="clear" w:color="000000" w:fill="BFBFBF"/>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2017 S</w:t>
            </w:r>
          </w:p>
        </w:tc>
        <w:tc>
          <w:tcPr>
            <w:tcW w:w="527" w:type="pct"/>
            <w:tcBorders>
              <w:top w:val="single" w:sz="4" w:space="0" w:color="auto"/>
              <w:left w:val="nil"/>
              <w:bottom w:val="single" w:sz="4" w:space="0" w:color="auto"/>
              <w:right w:val="single" w:sz="4" w:space="0" w:color="auto"/>
            </w:tcBorders>
            <w:shd w:val="clear" w:color="000000" w:fill="BFBFBF"/>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2018 R</w:t>
            </w:r>
          </w:p>
        </w:tc>
        <w:tc>
          <w:tcPr>
            <w:tcW w:w="527" w:type="pct"/>
            <w:tcBorders>
              <w:top w:val="single" w:sz="4" w:space="0" w:color="auto"/>
              <w:left w:val="nil"/>
              <w:bottom w:val="single" w:sz="4" w:space="0" w:color="auto"/>
              <w:right w:val="single" w:sz="4" w:space="0" w:color="auto"/>
            </w:tcBorders>
            <w:shd w:val="clear" w:color="000000" w:fill="BFBFBF"/>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2018 OS</w:t>
            </w:r>
          </w:p>
        </w:tc>
        <w:tc>
          <w:tcPr>
            <w:tcW w:w="527" w:type="pct"/>
            <w:tcBorders>
              <w:top w:val="single" w:sz="4" w:space="0" w:color="auto"/>
              <w:left w:val="nil"/>
              <w:bottom w:val="single" w:sz="4" w:space="0" w:color="auto"/>
              <w:right w:val="single" w:sz="4" w:space="0" w:color="auto"/>
            </w:tcBorders>
            <w:shd w:val="clear" w:color="000000" w:fill="BFBFBF"/>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2019 N</w:t>
            </w:r>
          </w:p>
        </w:tc>
        <w:tc>
          <w:tcPr>
            <w:tcW w:w="527" w:type="pct"/>
            <w:tcBorders>
              <w:top w:val="single" w:sz="4" w:space="0" w:color="auto"/>
              <w:left w:val="nil"/>
              <w:bottom w:val="single" w:sz="4" w:space="0" w:color="auto"/>
              <w:right w:val="single" w:sz="4" w:space="0" w:color="auto"/>
            </w:tcBorders>
            <w:shd w:val="clear" w:color="000000" w:fill="BFBFBF"/>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2020 N</w:t>
            </w:r>
          </w:p>
        </w:tc>
        <w:tc>
          <w:tcPr>
            <w:tcW w:w="527" w:type="pct"/>
            <w:tcBorders>
              <w:top w:val="single" w:sz="4" w:space="0" w:color="auto"/>
              <w:left w:val="nil"/>
              <w:bottom w:val="single" w:sz="4" w:space="0" w:color="auto"/>
              <w:right w:val="single" w:sz="4" w:space="0" w:color="auto"/>
            </w:tcBorders>
            <w:shd w:val="clear" w:color="000000" w:fill="BFBFBF"/>
            <w:vAlign w:val="center"/>
            <w:hideMark/>
          </w:tcPr>
          <w:p w:rsidR="003A497B" w:rsidRPr="00FD44F6" w:rsidRDefault="003A497B" w:rsidP="003E1809">
            <w:pPr>
              <w:jc w:val="center"/>
              <w:rPr>
                <w:rFonts w:ascii="Times New Roman" w:hAnsi="Times New Roman" w:cs="Times New Roman"/>
                <w:b/>
                <w:bCs/>
                <w:color w:val="000000"/>
                <w:sz w:val="14"/>
                <w:szCs w:val="14"/>
                <w:lang w:eastAsia="sk-SK"/>
              </w:rPr>
            </w:pPr>
            <w:r w:rsidRPr="00FD44F6">
              <w:rPr>
                <w:rFonts w:ascii="Times New Roman" w:hAnsi="Times New Roman" w:cs="Times New Roman"/>
                <w:b/>
                <w:bCs/>
                <w:color w:val="000000"/>
                <w:sz w:val="14"/>
                <w:szCs w:val="14"/>
                <w:lang w:eastAsia="sk-SK"/>
              </w:rPr>
              <w:t>2021 N</w:t>
            </w:r>
          </w:p>
        </w:tc>
      </w:tr>
      <w:tr w:rsidR="003A497B" w:rsidRPr="00FD44F6" w:rsidTr="003E1809">
        <w:trPr>
          <w:trHeight w:hRule="exact" w:val="255"/>
        </w:trPr>
        <w:tc>
          <w:tcPr>
            <w:tcW w:w="1308" w:type="pct"/>
            <w:tcBorders>
              <w:top w:val="nil"/>
              <w:left w:val="single" w:sz="4" w:space="0" w:color="auto"/>
              <w:bottom w:val="single" w:sz="4" w:space="0" w:color="auto"/>
              <w:right w:val="single" w:sz="4" w:space="0" w:color="auto"/>
            </w:tcBorders>
            <w:shd w:val="clear" w:color="auto" w:fill="auto"/>
            <w:vAlign w:val="center"/>
            <w:hideMark/>
          </w:tcPr>
          <w:p w:rsidR="003A497B" w:rsidRPr="00FD44F6" w:rsidRDefault="003A497B" w:rsidP="003E1809">
            <w:pPr>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Odškodňovanie v oblasti administratíva</w:t>
            </w:r>
          </w:p>
        </w:tc>
        <w:tc>
          <w:tcPr>
            <w:tcW w:w="52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1 461 900</w:t>
            </w:r>
          </w:p>
        </w:tc>
        <w:tc>
          <w:tcPr>
            <w:tcW w:w="52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5 119 304</w:t>
            </w:r>
          </w:p>
        </w:tc>
        <w:tc>
          <w:tcPr>
            <w:tcW w:w="52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1 250 000</w:t>
            </w:r>
          </w:p>
        </w:tc>
        <w:tc>
          <w:tcPr>
            <w:tcW w:w="52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1 250 000</w:t>
            </w:r>
          </w:p>
        </w:tc>
        <w:tc>
          <w:tcPr>
            <w:tcW w:w="52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1 261 761</w:t>
            </w:r>
          </w:p>
        </w:tc>
        <w:tc>
          <w:tcPr>
            <w:tcW w:w="52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1 261 761</w:t>
            </w:r>
          </w:p>
        </w:tc>
        <w:tc>
          <w:tcPr>
            <w:tcW w:w="527" w:type="pct"/>
            <w:tcBorders>
              <w:top w:val="nil"/>
              <w:left w:val="nil"/>
              <w:bottom w:val="single" w:sz="4" w:space="0" w:color="auto"/>
              <w:right w:val="single" w:sz="4" w:space="0" w:color="auto"/>
            </w:tcBorders>
            <w:shd w:val="clear" w:color="auto" w:fill="auto"/>
            <w:vAlign w:val="bottom"/>
            <w:hideMark/>
          </w:tcPr>
          <w:p w:rsidR="003A497B" w:rsidRPr="00FD44F6" w:rsidRDefault="003A497B" w:rsidP="003E1809">
            <w:pPr>
              <w:jc w:val="right"/>
              <w:rPr>
                <w:rFonts w:ascii="Times New Roman" w:hAnsi="Times New Roman" w:cs="Times New Roman"/>
                <w:color w:val="000000"/>
                <w:sz w:val="14"/>
                <w:szCs w:val="14"/>
                <w:lang w:eastAsia="sk-SK"/>
              </w:rPr>
            </w:pPr>
            <w:r w:rsidRPr="00FD44F6">
              <w:rPr>
                <w:rFonts w:ascii="Times New Roman" w:hAnsi="Times New Roman" w:cs="Times New Roman"/>
                <w:color w:val="000000"/>
                <w:sz w:val="14"/>
                <w:szCs w:val="14"/>
                <w:lang w:eastAsia="sk-SK"/>
              </w:rPr>
              <w:t>1 261 761</w:t>
            </w:r>
          </w:p>
        </w:tc>
      </w:tr>
    </w:tbl>
    <w:p w:rsidR="003A497B" w:rsidRPr="00FD44F6" w:rsidRDefault="003A497B" w:rsidP="003A497B">
      <w:pPr>
        <w:ind w:firstLine="708"/>
        <w:jc w:val="both"/>
        <w:rPr>
          <w:rFonts w:ascii="Times New Roman" w:hAnsi="Times New Roman" w:cs="Times New Roman"/>
        </w:rPr>
      </w:pPr>
    </w:p>
    <w:p w:rsidR="003A497B" w:rsidRPr="00FD44F6" w:rsidRDefault="003A497B" w:rsidP="003A497B">
      <w:pPr>
        <w:jc w:val="both"/>
        <w:rPr>
          <w:rFonts w:ascii="Times New Roman" w:hAnsi="Times New Roman" w:cs="Times New Roman"/>
          <w:b/>
        </w:rPr>
      </w:pPr>
      <w:r w:rsidRPr="00FD44F6">
        <w:rPr>
          <w:rFonts w:ascii="Times New Roman" w:hAnsi="Times New Roman" w:cs="Times New Roman"/>
          <w:b/>
        </w:rPr>
        <w:t>Medzirezortné programy</w:t>
      </w:r>
    </w:p>
    <w:p w:rsidR="003A497B" w:rsidRPr="00FD44F6" w:rsidRDefault="003A497B" w:rsidP="003A497B">
      <w:pPr>
        <w:jc w:val="both"/>
        <w:rPr>
          <w:rFonts w:ascii="Times New Roman" w:hAnsi="Times New Roman" w:cs="Times New Roman"/>
          <w:b/>
        </w:rPr>
      </w:pPr>
    </w:p>
    <w:p w:rsidR="003A497B" w:rsidRPr="00FD44F6" w:rsidRDefault="003A497B" w:rsidP="003A497B">
      <w:pPr>
        <w:ind w:firstLine="709"/>
        <w:jc w:val="both"/>
        <w:rPr>
          <w:rFonts w:ascii="Times New Roman" w:hAnsi="Times New Roman" w:cs="Times New Roman"/>
        </w:rPr>
      </w:pPr>
      <w:r w:rsidRPr="00FD44F6">
        <w:rPr>
          <w:rFonts w:ascii="Times New Roman" w:hAnsi="Times New Roman" w:cs="Times New Roman"/>
        </w:rPr>
        <w:t xml:space="preserve">MS SR je účastníkom troch medzirezortných programov. Na medzirezortný podprogram Hospodárska mobilizácia kapitola rozpočtuje výdavky v sume 14,5 tis. eur, ktoré sú na porovnateľnej úrovni oproti minulým rokom. </w:t>
      </w:r>
    </w:p>
    <w:p w:rsidR="003A497B" w:rsidRPr="00FD44F6" w:rsidRDefault="003A497B" w:rsidP="003A497B">
      <w:pPr>
        <w:ind w:firstLine="709"/>
        <w:jc w:val="both"/>
        <w:rPr>
          <w:rFonts w:ascii="Times New Roman" w:hAnsi="Times New Roman" w:cs="Times New Roman"/>
        </w:rPr>
      </w:pPr>
    </w:p>
    <w:p w:rsidR="003A497B" w:rsidRPr="00FD44F6" w:rsidRDefault="003A497B" w:rsidP="003A497B">
      <w:pPr>
        <w:ind w:firstLine="709"/>
        <w:jc w:val="both"/>
        <w:rPr>
          <w:rFonts w:ascii="Times New Roman" w:hAnsi="Times New Roman" w:cs="Times New Roman"/>
        </w:rPr>
      </w:pPr>
      <w:r w:rsidRPr="00FD44F6">
        <w:rPr>
          <w:rFonts w:ascii="Times New Roman" w:hAnsi="Times New Roman" w:cs="Times New Roman"/>
        </w:rPr>
        <w:t xml:space="preserve">V medzirezortnom podprograme Protidrogová politika sa v oblasti väzenstva rozpočtuje suma 13,8 tis. eur každoročne. </w:t>
      </w:r>
    </w:p>
    <w:p w:rsidR="003A497B" w:rsidRPr="00FD44F6" w:rsidRDefault="003A497B" w:rsidP="003A497B">
      <w:pPr>
        <w:ind w:firstLine="709"/>
        <w:jc w:val="both"/>
        <w:rPr>
          <w:rFonts w:ascii="Times New Roman" w:hAnsi="Times New Roman" w:cs="Times New Roman"/>
        </w:rPr>
      </w:pPr>
    </w:p>
    <w:p w:rsidR="003A497B" w:rsidRPr="00FD44F6" w:rsidRDefault="003A497B" w:rsidP="003A497B">
      <w:pPr>
        <w:ind w:firstLine="709"/>
        <w:jc w:val="both"/>
        <w:rPr>
          <w:rFonts w:ascii="Times New Roman" w:eastAsiaTheme="minorHAnsi" w:hAnsi="Times New Roman" w:cs="Times New Roman"/>
          <w:lang w:eastAsia="en-US"/>
        </w:rPr>
      </w:pPr>
      <w:r w:rsidRPr="00FD44F6">
        <w:rPr>
          <w:rFonts w:ascii="Times New Roman" w:hAnsi="Times New Roman" w:cs="Times New Roman"/>
        </w:rPr>
        <w:t xml:space="preserve">Na medzirezortný podprogram Informačné technológie financované zo štátneho rozpočtu sa rozpočtuje suma 23,3 mil. eur. </w:t>
      </w:r>
      <w:r w:rsidRPr="00FD44F6">
        <w:rPr>
          <w:rFonts w:ascii="Times New Roman" w:eastAsiaTheme="minorHAnsi" w:hAnsi="Times New Roman" w:cs="Times New Roman"/>
          <w:lang w:eastAsia="en-US"/>
        </w:rPr>
        <w:t>Zámerom je centrálne rozpočtovanie, realizácia, monitorovanie a hodnotenie výdavkov na informačné technológie. V jeho rámci sa rozpočtujú 2,00 mil. eur na výdavky súvisiace s GDPR (úprava informačných systémov a aplikácií pre naplnenie požiadaviek informačnej bezpečnosti, legislatívnych noriem, monitoringu a auditu).</w:t>
      </w:r>
    </w:p>
    <w:p w:rsidR="003A497B" w:rsidRDefault="003A497B" w:rsidP="003A497B">
      <w:pPr>
        <w:ind w:firstLine="709"/>
        <w:jc w:val="both"/>
        <w:rPr>
          <w:rFonts w:ascii="Times New Roman" w:eastAsiaTheme="minorHAnsi" w:hAnsi="Times New Roman" w:cs="Times New Roman"/>
          <w:lang w:eastAsia="en-US"/>
        </w:rPr>
      </w:pPr>
    </w:p>
    <w:p w:rsidR="003A497B" w:rsidRDefault="003A497B" w:rsidP="003A497B">
      <w:pPr>
        <w:ind w:firstLine="709"/>
        <w:jc w:val="both"/>
        <w:rPr>
          <w:rFonts w:ascii="Times New Roman" w:eastAsiaTheme="minorHAnsi" w:hAnsi="Times New Roman" w:cs="Times New Roman"/>
          <w:lang w:eastAsia="en-US"/>
        </w:rPr>
      </w:pPr>
    </w:p>
    <w:p w:rsidR="003A497B" w:rsidRDefault="003A497B" w:rsidP="003A497B">
      <w:pPr>
        <w:ind w:firstLine="709"/>
        <w:jc w:val="both"/>
        <w:rPr>
          <w:rFonts w:ascii="Times New Roman" w:eastAsiaTheme="minorHAnsi" w:hAnsi="Times New Roman" w:cs="Times New Roman"/>
          <w:lang w:eastAsia="en-US"/>
        </w:rPr>
      </w:pPr>
    </w:p>
    <w:p w:rsidR="003A497B" w:rsidRDefault="003A497B" w:rsidP="003A497B">
      <w:pPr>
        <w:ind w:firstLine="709"/>
        <w:jc w:val="both"/>
        <w:rPr>
          <w:rFonts w:ascii="Times New Roman" w:eastAsiaTheme="minorHAnsi" w:hAnsi="Times New Roman" w:cs="Times New Roman"/>
          <w:lang w:eastAsia="en-US"/>
        </w:rPr>
      </w:pPr>
    </w:p>
    <w:p w:rsidR="003A497B" w:rsidRDefault="003A497B" w:rsidP="003A497B">
      <w:pPr>
        <w:ind w:firstLine="709"/>
        <w:jc w:val="both"/>
        <w:rPr>
          <w:rFonts w:ascii="Times New Roman" w:eastAsiaTheme="minorHAnsi" w:hAnsi="Times New Roman" w:cs="Times New Roman"/>
          <w:lang w:eastAsia="en-US"/>
        </w:rPr>
      </w:pPr>
    </w:p>
    <w:p w:rsidR="003A497B" w:rsidRPr="00A401D6" w:rsidRDefault="003A497B" w:rsidP="003A497B">
      <w:pPr>
        <w:pStyle w:val="Nadpis5"/>
        <w:pBdr>
          <w:bottom w:val="single" w:sz="4" w:space="1" w:color="auto"/>
        </w:pBdr>
        <w:ind w:left="0"/>
        <w:rPr>
          <w:i w:val="0"/>
          <w:sz w:val="24"/>
          <w:lang w:eastAsia="sk-SK"/>
        </w:rPr>
      </w:pPr>
      <w:bookmarkStart w:id="218" w:name="_Toc469491251"/>
      <w:bookmarkStart w:id="219" w:name="_Toc526267700"/>
      <w:r w:rsidRPr="00A401D6">
        <w:rPr>
          <w:i w:val="0"/>
          <w:sz w:val="24"/>
          <w:lang w:eastAsia="sk-SK"/>
        </w:rPr>
        <w:lastRenderedPageBreak/>
        <w:t>Ministerstvo hospodárstva SR</w:t>
      </w:r>
      <w:bookmarkEnd w:id="218"/>
      <w:bookmarkEnd w:id="219"/>
      <w:r w:rsidRPr="00A401D6">
        <w:rPr>
          <w:i w:val="0"/>
          <w:sz w:val="24"/>
          <w:lang w:eastAsia="sk-SK"/>
        </w:rPr>
        <w:t xml:space="preserve"> </w:t>
      </w:r>
    </w:p>
    <w:p w:rsidR="003A497B" w:rsidRPr="00B3551E" w:rsidRDefault="003A497B" w:rsidP="003A497B">
      <w:pPr>
        <w:rPr>
          <w:lang w:eastAsia="sk-SK"/>
        </w:rPr>
      </w:pPr>
    </w:p>
    <w:tbl>
      <w:tblPr>
        <w:tblW w:w="5000" w:type="pct"/>
        <w:jc w:val="center"/>
        <w:tblCellMar>
          <w:left w:w="70" w:type="dxa"/>
          <w:right w:w="70" w:type="dxa"/>
        </w:tblCellMar>
        <w:tblLook w:val="04A0" w:firstRow="1" w:lastRow="0" w:firstColumn="1" w:lastColumn="0" w:noHBand="0" w:noVBand="1"/>
      </w:tblPr>
      <w:tblGrid>
        <w:gridCol w:w="3041"/>
        <w:gridCol w:w="861"/>
        <w:gridCol w:w="861"/>
        <w:gridCol w:w="861"/>
        <w:gridCol w:w="861"/>
        <w:gridCol w:w="861"/>
        <w:gridCol w:w="861"/>
        <w:gridCol w:w="855"/>
      </w:tblGrid>
      <w:tr w:rsidR="003A497B" w:rsidRPr="004A2AEE" w:rsidTr="003E1809">
        <w:trPr>
          <w:trHeight w:hRule="exact" w:val="255"/>
          <w:jc w:val="center"/>
        </w:trPr>
        <w:tc>
          <w:tcPr>
            <w:tcW w:w="1678"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v eurách</w:t>
            </w:r>
          </w:p>
        </w:tc>
        <w:tc>
          <w:tcPr>
            <w:tcW w:w="47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2016 S</w:t>
            </w:r>
          </w:p>
        </w:tc>
        <w:tc>
          <w:tcPr>
            <w:tcW w:w="47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 xml:space="preserve"> 2017 S</w:t>
            </w:r>
          </w:p>
        </w:tc>
        <w:tc>
          <w:tcPr>
            <w:tcW w:w="47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R</w:t>
            </w:r>
          </w:p>
        </w:tc>
        <w:tc>
          <w:tcPr>
            <w:tcW w:w="47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OS</w:t>
            </w:r>
          </w:p>
        </w:tc>
        <w:tc>
          <w:tcPr>
            <w:tcW w:w="47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2019 N</w:t>
            </w:r>
          </w:p>
        </w:tc>
        <w:tc>
          <w:tcPr>
            <w:tcW w:w="47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2020 N</w:t>
            </w:r>
          </w:p>
        </w:tc>
        <w:tc>
          <w:tcPr>
            <w:tcW w:w="47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2021 N</w:t>
            </w:r>
          </w:p>
        </w:tc>
      </w:tr>
      <w:tr w:rsidR="003A497B" w:rsidRPr="004A2AEE" w:rsidTr="003E1809">
        <w:trPr>
          <w:trHeight w:hRule="exact" w:val="255"/>
          <w:jc w:val="center"/>
        </w:trPr>
        <w:tc>
          <w:tcPr>
            <w:tcW w:w="1678"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4A2AEE" w:rsidRDefault="003A497B" w:rsidP="003E1809">
            <w:pP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 xml:space="preserve">Zdroje príslušnej kapitoly </w:t>
            </w:r>
          </w:p>
        </w:tc>
        <w:tc>
          <w:tcPr>
            <w:tcW w:w="475"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419 543 193</w:t>
            </w:r>
          </w:p>
        </w:tc>
        <w:tc>
          <w:tcPr>
            <w:tcW w:w="475"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154 315 030</w:t>
            </w:r>
          </w:p>
        </w:tc>
        <w:tc>
          <w:tcPr>
            <w:tcW w:w="475"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256 049 889</w:t>
            </w:r>
          </w:p>
        </w:tc>
        <w:tc>
          <w:tcPr>
            <w:tcW w:w="475"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255 815 065</w:t>
            </w:r>
          </w:p>
        </w:tc>
        <w:tc>
          <w:tcPr>
            <w:tcW w:w="475"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428 178 068</w:t>
            </w:r>
          </w:p>
        </w:tc>
        <w:tc>
          <w:tcPr>
            <w:tcW w:w="475"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456 530 381</w:t>
            </w:r>
          </w:p>
        </w:tc>
        <w:tc>
          <w:tcPr>
            <w:tcW w:w="475"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453 081 717</w:t>
            </w:r>
          </w:p>
        </w:tc>
      </w:tr>
      <w:tr w:rsidR="003A497B" w:rsidRPr="004A2AEE" w:rsidTr="003E1809">
        <w:trPr>
          <w:trHeight w:hRule="exact" w:val="255"/>
          <w:jc w:val="center"/>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 xml:space="preserve">rozpočtové zdroje kapitoly </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154 787 556</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107 752 821</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128 562 683</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127 223 804</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226 023 210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231 760 548</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170 315 077</w:t>
            </w:r>
          </w:p>
        </w:tc>
      </w:tr>
      <w:tr w:rsidR="003A497B" w:rsidRPr="004A2AEE" w:rsidTr="003E1809">
        <w:trPr>
          <w:trHeight w:hRule="exact" w:val="255"/>
          <w:jc w:val="center"/>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 xml:space="preserve"> v tom: bežné výdavky  600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153 820 042</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98 581 556</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97 505 372</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103 065 918</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156 027 482</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159 323 247</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148 502 724</w:t>
            </w:r>
          </w:p>
        </w:tc>
      </w:tr>
      <w:tr w:rsidR="003A497B" w:rsidRPr="004A2AEE" w:rsidTr="003E1809">
        <w:trPr>
          <w:trHeight w:hRule="exact" w:val="255"/>
          <w:jc w:val="center"/>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 xml:space="preserve">                610 mzdy</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10 684 236</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11 345 624</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11 501 033</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11 846 799</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12 187 186</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12 202 906</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12 202 906</w:t>
            </w:r>
          </w:p>
        </w:tc>
      </w:tr>
      <w:tr w:rsidR="003A497B" w:rsidRPr="004A2AEE" w:rsidTr="003E1809">
        <w:trPr>
          <w:trHeight w:hRule="exact" w:val="255"/>
          <w:jc w:val="center"/>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 xml:space="preserve">                620 odvody</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3 903 302</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4 203 142</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4 137 243</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4 321 448</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4 415 175</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4 420 426</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4 395 526</w:t>
            </w:r>
          </w:p>
        </w:tc>
      </w:tr>
      <w:tr w:rsidR="003A497B" w:rsidRPr="004A2AEE" w:rsidTr="003E1809">
        <w:trPr>
          <w:trHeight w:hRule="exact" w:val="255"/>
          <w:jc w:val="center"/>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 xml:space="preserve">                630 tovary a služby</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14 926 974</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11 671 459</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10 736 186</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11 728 575</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15 126 136</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14 161 236</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12 268 613</w:t>
            </w:r>
          </w:p>
        </w:tc>
      </w:tr>
      <w:tr w:rsidR="003A497B" w:rsidRPr="004A2AEE" w:rsidTr="003E1809">
        <w:trPr>
          <w:trHeight w:hRule="exact" w:val="255"/>
          <w:jc w:val="center"/>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 xml:space="preserve">                640 bežné transfery</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124 305 530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71 361 331</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71 130 910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75 169 096</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124 298 985</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128 538 679</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119 635 679</w:t>
            </w:r>
          </w:p>
        </w:tc>
      </w:tr>
      <w:tr w:rsidR="003A497B" w:rsidRPr="004A2AEE" w:rsidTr="003E1809">
        <w:trPr>
          <w:trHeight w:hRule="exact" w:val="255"/>
          <w:jc w:val="center"/>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 xml:space="preserve">        kapitálové výdavky 700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967 514</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9 171 265</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31 057 311</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24 157 886</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69 995 728</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72 437 301</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21 812 353</w:t>
            </w:r>
          </w:p>
        </w:tc>
      </w:tr>
      <w:tr w:rsidR="003A497B" w:rsidRPr="004A2AEE" w:rsidTr="003E1809">
        <w:trPr>
          <w:trHeight w:hRule="exact" w:val="255"/>
          <w:jc w:val="center"/>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zdroje EÚ vrátane spolufinancovania:</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28 971 859</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24 804</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127 487 206</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109 453 689</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202 154 858</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224 769 833</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282 766 640</w:t>
            </w:r>
          </w:p>
        </w:tc>
      </w:tr>
      <w:tr w:rsidR="003A497B" w:rsidRPr="004A2AEE" w:rsidTr="003E1809">
        <w:trPr>
          <w:trHeight w:hRule="exact" w:val="255"/>
          <w:jc w:val="center"/>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 xml:space="preserve">     v tom: 2. program. obdobie E</w:t>
            </w:r>
            <w:r w:rsidR="00C311BC">
              <w:rPr>
                <w:rFonts w:ascii="Times New Roman" w:hAnsi="Times New Roman" w:cs="Times New Roman"/>
                <w:color w:val="000000"/>
                <w:sz w:val="14"/>
                <w:szCs w:val="14"/>
                <w:lang w:eastAsia="sk-SK"/>
              </w:rPr>
              <w:t>Ú</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22 827 400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r>
      <w:tr w:rsidR="003A497B" w:rsidRPr="004A2AEE" w:rsidTr="003E1809">
        <w:trPr>
          <w:trHeight w:hRule="exact" w:val="255"/>
          <w:jc w:val="center"/>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 xml:space="preserve">                 spolufinancovanie zo ŠR</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4 719 086</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r>
      <w:tr w:rsidR="003A497B" w:rsidRPr="004A2AEE" w:rsidTr="003E1809">
        <w:trPr>
          <w:trHeight w:hRule="exact" w:val="255"/>
          <w:jc w:val="center"/>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 xml:space="preserve">                 3. program. obdobie EÚ</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126 290 314</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109 395 185</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198 755 367</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216 930 197</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275 164 241</w:t>
            </w:r>
          </w:p>
        </w:tc>
      </w:tr>
      <w:tr w:rsidR="003A497B" w:rsidRPr="004A2AEE" w:rsidTr="003E1809">
        <w:trPr>
          <w:trHeight w:hRule="exact" w:val="255"/>
          <w:jc w:val="center"/>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 xml:space="preserve">                  spolufinancovanie zo ŠR</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1 425 373</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24 804</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1 196 892</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58 504</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3 399 491</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7 839 636</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7 602 399</w:t>
            </w:r>
          </w:p>
        </w:tc>
      </w:tr>
      <w:tr w:rsidR="003A497B" w:rsidRPr="004A2AEE" w:rsidTr="003E1809">
        <w:trPr>
          <w:trHeight w:hRule="exact" w:val="255"/>
          <w:jc w:val="center"/>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presun z minulých rokov § 8 (13)</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235 783 778</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46 537 405</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8A66C2" w:rsidRDefault="003A497B" w:rsidP="003E1809">
            <w:pPr>
              <w:jc w:val="right"/>
              <w:rPr>
                <w:rFonts w:ascii="Times New Roman" w:hAnsi="Times New Roman" w:cs="Times New Roman"/>
                <w:b/>
                <w:color w:val="000000"/>
                <w:sz w:val="14"/>
                <w:szCs w:val="14"/>
                <w:lang w:eastAsia="sk-SK"/>
              </w:rPr>
            </w:pPr>
            <w:r w:rsidRPr="008A66C2">
              <w:rPr>
                <w:rFonts w:ascii="Times New Roman" w:hAnsi="Times New Roman" w:cs="Times New Roman"/>
                <w:b/>
                <w:color w:val="000000"/>
                <w:sz w:val="14"/>
                <w:szCs w:val="14"/>
                <w:lang w:eastAsia="sk-SK"/>
              </w:rPr>
              <w:t>19 137 572</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0</w:t>
            </w:r>
          </w:p>
        </w:tc>
      </w:tr>
      <w:tr w:rsidR="003A497B" w:rsidRPr="004A2AEE" w:rsidTr="003E1809">
        <w:trPr>
          <w:trHeight w:hRule="exact" w:val="255"/>
          <w:jc w:val="center"/>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 xml:space="preserve">         z toho:  § 8 ŠR </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2 719 969</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8 001 740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r>
      <w:tr w:rsidR="003A497B" w:rsidRPr="004A2AEE" w:rsidTr="003E1809">
        <w:trPr>
          <w:trHeight w:hRule="exact" w:val="255"/>
          <w:jc w:val="center"/>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 xml:space="preserve">            EU prostriedky</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201 770 597</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32 150 281</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16 895 129</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r>
      <w:tr w:rsidR="003A497B" w:rsidRPr="004A2AEE" w:rsidTr="003E1809">
        <w:trPr>
          <w:trHeight w:hRule="exact" w:val="255"/>
          <w:jc w:val="center"/>
        </w:trPr>
        <w:tc>
          <w:tcPr>
            <w:tcW w:w="1678"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 xml:space="preserve">            spolufinancovanie zo ŠR</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31 293 212</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6 385 384</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2 242 443</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r>
      <w:tr w:rsidR="003A497B" w:rsidRPr="004A2AEE" w:rsidTr="003E1809">
        <w:trPr>
          <w:trHeight w:hRule="exact" w:val="255"/>
          <w:jc w:val="center"/>
        </w:trPr>
        <w:tc>
          <w:tcPr>
            <w:tcW w:w="1678" w:type="pct"/>
            <w:tcBorders>
              <w:top w:val="nil"/>
              <w:left w:val="nil"/>
              <w:bottom w:val="nil"/>
              <w:right w:val="nil"/>
            </w:tcBorders>
            <w:shd w:val="clear" w:color="auto" w:fill="auto"/>
            <w:noWrap/>
            <w:vAlign w:val="center"/>
            <w:hideMark/>
          </w:tcPr>
          <w:p w:rsidR="003A497B" w:rsidRPr="004A2AEE" w:rsidRDefault="003A497B" w:rsidP="003E1809">
            <w:pPr>
              <w:jc w:val="right"/>
              <w:rPr>
                <w:rFonts w:ascii="Times New Roman" w:hAnsi="Times New Roman" w:cs="Times New Roman"/>
                <w:color w:val="000000"/>
                <w:sz w:val="14"/>
                <w:szCs w:val="14"/>
                <w:lang w:eastAsia="sk-SK"/>
              </w:rPr>
            </w:pPr>
          </w:p>
        </w:tc>
        <w:tc>
          <w:tcPr>
            <w:tcW w:w="475" w:type="pct"/>
            <w:tcBorders>
              <w:top w:val="nil"/>
              <w:left w:val="nil"/>
              <w:bottom w:val="nil"/>
              <w:right w:val="nil"/>
            </w:tcBorders>
            <w:shd w:val="clear" w:color="auto" w:fill="auto"/>
            <w:noWrap/>
            <w:vAlign w:val="bottom"/>
            <w:hideMark/>
          </w:tcPr>
          <w:p w:rsidR="003A497B" w:rsidRPr="004A2AEE" w:rsidRDefault="003A497B" w:rsidP="003E1809">
            <w:pPr>
              <w:rPr>
                <w:rFonts w:ascii="Times New Roman" w:hAnsi="Times New Roman" w:cs="Times New Roman"/>
                <w:sz w:val="20"/>
                <w:szCs w:val="20"/>
                <w:lang w:eastAsia="sk-SK"/>
              </w:rPr>
            </w:pPr>
          </w:p>
        </w:tc>
        <w:tc>
          <w:tcPr>
            <w:tcW w:w="475" w:type="pct"/>
            <w:tcBorders>
              <w:top w:val="nil"/>
              <w:left w:val="nil"/>
              <w:bottom w:val="nil"/>
              <w:right w:val="nil"/>
            </w:tcBorders>
            <w:shd w:val="clear" w:color="auto" w:fill="auto"/>
            <w:noWrap/>
            <w:vAlign w:val="bottom"/>
            <w:hideMark/>
          </w:tcPr>
          <w:p w:rsidR="003A497B" w:rsidRPr="004A2AEE" w:rsidRDefault="003A497B" w:rsidP="003E1809">
            <w:pPr>
              <w:jc w:val="right"/>
              <w:rPr>
                <w:rFonts w:ascii="Times New Roman" w:hAnsi="Times New Roman" w:cs="Times New Roman"/>
                <w:sz w:val="20"/>
                <w:szCs w:val="20"/>
                <w:lang w:eastAsia="sk-SK"/>
              </w:rPr>
            </w:pPr>
          </w:p>
        </w:tc>
        <w:tc>
          <w:tcPr>
            <w:tcW w:w="475" w:type="pct"/>
            <w:tcBorders>
              <w:top w:val="nil"/>
              <w:left w:val="nil"/>
              <w:bottom w:val="nil"/>
              <w:right w:val="nil"/>
            </w:tcBorders>
            <w:shd w:val="clear" w:color="auto" w:fill="auto"/>
            <w:noWrap/>
            <w:vAlign w:val="bottom"/>
            <w:hideMark/>
          </w:tcPr>
          <w:p w:rsidR="003A497B" w:rsidRPr="004A2AEE" w:rsidRDefault="003A497B" w:rsidP="003E1809">
            <w:pPr>
              <w:jc w:val="right"/>
              <w:rPr>
                <w:rFonts w:ascii="Times New Roman" w:hAnsi="Times New Roman" w:cs="Times New Roman"/>
                <w:sz w:val="20"/>
                <w:szCs w:val="20"/>
                <w:lang w:eastAsia="sk-SK"/>
              </w:rPr>
            </w:pPr>
          </w:p>
        </w:tc>
        <w:tc>
          <w:tcPr>
            <w:tcW w:w="475" w:type="pct"/>
            <w:tcBorders>
              <w:top w:val="nil"/>
              <w:left w:val="nil"/>
              <w:bottom w:val="nil"/>
              <w:right w:val="nil"/>
            </w:tcBorders>
            <w:shd w:val="clear" w:color="auto" w:fill="auto"/>
            <w:noWrap/>
            <w:vAlign w:val="bottom"/>
            <w:hideMark/>
          </w:tcPr>
          <w:p w:rsidR="003A497B" w:rsidRPr="004A2AEE" w:rsidRDefault="003A497B" w:rsidP="003E1809">
            <w:pPr>
              <w:jc w:val="right"/>
              <w:rPr>
                <w:rFonts w:ascii="Times New Roman" w:hAnsi="Times New Roman" w:cs="Times New Roman"/>
                <w:sz w:val="20"/>
                <w:szCs w:val="20"/>
                <w:lang w:eastAsia="sk-SK"/>
              </w:rPr>
            </w:pPr>
          </w:p>
        </w:tc>
        <w:tc>
          <w:tcPr>
            <w:tcW w:w="475" w:type="pct"/>
            <w:tcBorders>
              <w:top w:val="nil"/>
              <w:left w:val="nil"/>
              <w:bottom w:val="nil"/>
              <w:right w:val="nil"/>
            </w:tcBorders>
            <w:shd w:val="clear" w:color="auto" w:fill="auto"/>
            <w:noWrap/>
            <w:vAlign w:val="bottom"/>
            <w:hideMark/>
          </w:tcPr>
          <w:p w:rsidR="003A497B" w:rsidRPr="004A2AEE" w:rsidRDefault="003A497B" w:rsidP="003E1809">
            <w:pPr>
              <w:jc w:val="right"/>
              <w:rPr>
                <w:rFonts w:ascii="Times New Roman" w:hAnsi="Times New Roman" w:cs="Times New Roman"/>
                <w:sz w:val="20"/>
                <w:szCs w:val="20"/>
                <w:lang w:eastAsia="sk-SK"/>
              </w:rPr>
            </w:pPr>
          </w:p>
        </w:tc>
        <w:tc>
          <w:tcPr>
            <w:tcW w:w="475" w:type="pct"/>
            <w:tcBorders>
              <w:top w:val="nil"/>
              <w:left w:val="nil"/>
              <w:bottom w:val="nil"/>
              <w:right w:val="nil"/>
            </w:tcBorders>
            <w:shd w:val="clear" w:color="auto" w:fill="auto"/>
            <w:noWrap/>
            <w:vAlign w:val="bottom"/>
            <w:hideMark/>
          </w:tcPr>
          <w:p w:rsidR="003A497B" w:rsidRPr="004A2AEE" w:rsidRDefault="003A497B" w:rsidP="003E1809">
            <w:pPr>
              <w:jc w:val="right"/>
              <w:rPr>
                <w:rFonts w:ascii="Times New Roman" w:hAnsi="Times New Roman" w:cs="Times New Roman"/>
                <w:sz w:val="20"/>
                <w:szCs w:val="20"/>
                <w:lang w:eastAsia="sk-SK"/>
              </w:rPr>
            </w:pPr>
          </w:p>
        </w:tc>
        <w:tc>
          <w:tcPr>
            <w:tcW w:w="475" w:type="pct"/>
            <w:tcBorders>
              <w:top w:val="nil"/>
              <w:left w:val="nil"/>
              <w:bottom w:val="nil"/>
              <w:right w:val="nil"/>
            </w:tcBorders>
            <w:shd w:val="clear" w:color="auto" w:fill="auto"/>
            <w:noWrap/>
            <w:vAlign w:val="bottom"/>
            <w:hideMark/>
          </w:tcPr>
          <w:p w:rsidR="003A497B" w:rsidRPr="004A2AEE" w:rsidRDefault="003A497B" w:rsidP="003E1809">
            <w:pPr>
              <w:jc w:val="right"/>
              <w:rPr>
                <w:rFonts w:ascii="Times New Roman" w:hAnsi="Times New Roman" w:cs="Times New Roman"/>
                <w:sz w:val="20"/>
                <w:szCs w:val="20"/>
                <w:lang w:eastAsia="sk-SK"/>
              </w:rPr>
            </w:pPr>
          </w:p>
        </w:tc>
      </w:tr>
      <w:tr w:rsidR="003A497B" w:rsidRPr="004A2AEE" w:rsidTr="003E1809">
        <w:trPr>
          <w:trHeight w:hRule="exact" w:val="255"/>
          <w:jc w:val="center"/>
        </w:trPr>
        <w:tc>
          <w:tcPr>
            <w:tcW w:w="16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samostatné účty</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color w:val="000000"/>
                <w:sz w:val="14"/>
                <w:szCs w:val="14"/>
                <w:lang w:eastAsia="sk-SK"/>
              </w:rPr>
            </w:pPr>
            <w:r w:rsidRPr="004A2AEE">
              <w:rPr>
                <w:rFonts w:ascii="Times New Roman" w:hAnsi="Times New Roman" w:cs="Times New Roman"/>
                <w:b/>
                <w:color w:val="000000"/>
                <w:sz w:val="14"/>
                <w:szCs w:val="14"/>
                <w:lang w:eastAsia="sk-SK"/>
              </w:rPr>
              <w:t>4 639 381</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color w:val="000000"/>
                <w:sz w:val="14"/>
                <w:szCs w:val="14"/>
                <w:lang w:eastAsia="sk-SK"/>
              </w:rPr>
            </w:pPr>
            <w:r w:rsidRPr="004A2AEE">
              <w:rPr>
                <w:rFonts w:ascii="Times New Roman" w:hAnsi="Times New Roman" w:cs="Times New Roman"/>
                <w:b/>
                <w:color w:val="000000"/>
                <w:sz w:val="14"/>
                <w:szCs w:val="14"/>
                <w:lang w:eastAsia="sk-SK"/>
              </w:rPr>
              <w:t>4 081 853</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color w:val="000000"/>
                <w:sz w:val="14"/>
                <w:szCs w:val="14"/>
                <w:lang w:eastAsia="sk-SK"/>
              </w:rPr>
            </w:pPr>
            <w:r w:rsidRPr="004A2AEE">
              <w:rPr>
                <w:rFonts w:ascii="Times New Roman" w:hAnsi="Times New Roman" w:cs="Times New Roman"/>
                <w:b/>
                <w:color w:val="000000"/>
                <w:sz w:val="14"/>
                <w:szCs w:val="14"/>
                <w:lang w:eastAsia="sk-SK"/>
              </w:rPr>
              <w:t>175 000</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color w:val="000000"/>
                <w:sz w:val="14"/>
                <w:szCs w:val="14"/>
                <w:lang w:eastAsia="sk-SK"/>
              </w:rPr>
            </w:pPr>
            <w:r w:rsidRPr="004A2AEE">
              <w:rPr>
                <w:rFonts w:ascii="Times New Roman" w:hAnsi="Times New Roman" w:cs="Times New Roman"/>
                <w:b/>
                <w:color w:val="000000"/>
                <w:sz w:val="14"/>
                <w:szCs w:val="14"/>
                <w:lang w:eastAsia="sk-SK"/>
              </w:rPr>
              <w:t>359 615</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color w:val="000000"/>
                <w:sz w:val="14"/>
                <w:szCs w:val="14"/>
                <w:lang w:eastAsia="sk-SK"/>
              </w:rPr>
            </w:pPr>
            <w:r w:rsidRPr="004A2AEE">
              <w:rPr>
                <w:rFonts w:ascii="Times New Roman" w:hAnsi="Times New Roman" w:cs="Times New Roman"/>
                <w:b/>
                <w:color w:val="000000"/>
                <w:sz w:val="14"/>
                <w:szCs w:val="14"/>
                <w:lang w:eastAsia="sk-SK"/>
              </w:rPr>
              <w:t>142 500</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color w:val="000000"/>
                <w:sz w:val="14"/>
                <w:szCs w:val="14"/>
                <w:lang w:eastAsia="sk-SK"/>
              </w:rPr>
            </w:pPr>
            <w:r w:rsidRPr="004A2AEE">
              <w:rPr>
                <w:rFonts w:ascii="Times New Roman" w:hAnsi="Times New Roman" w:cs="Times New Roman"/>
                <w:b/>
                <w:color w:val="000000"/>
                <w:sz w:val="14"/>
                <w:szCs w:val="14"/>
                <w:lang w:eastAsia="sk-SK"/>
              </w:rPr>
              <w:t>147 500</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color w:val="000000"/>
                <w:sz w:val="14"/>
                <w:szCs w:val="14"/>
                <w:lang w:eastAsia="sk-SK"/>
              </w:rPr>
            </w:pPr>
            <w:r w:rsidRPr="004A2AEE">
              <w:rPr>
                <w:rFonts w:ascii="Times New Roman" w:hAnsi="Times New Roman" w:cs="Times New Roman"/>
                <w:b/>
                <w:color w:val="000000"/>
                <w:sz w:val="14"/>
                <w:szCs w:val="14"/>
                <w:lang w:eastAsia="sk-SK"/>
              </w:rPr>
              <w:t>147 500</w:t>
            </w:r>
          </w:p>
        </w:tc>
      </w:tr>
    </w:tbl>
    <w:p w:rsidR="003A497B" w:rsidRPr="004A2AEE" w:rsidRDefault="003A497B" w:rsidP="003A497B">
      <w:pPr>
        <w:jc w:val="both"/>
        <w:rPr>
          <w:rFonts w:ascii="Times New Roman" w:hAnsi="Times New Roman" w:cs="Times New Roman"/>
          <w:lang w:eastAsia="sk-SK"/>
        </w:rPr>
      </w:pPr>
    </w:p>
    <w:p w:rsidR="003A497B" w:rsidRPr="004A2AEE" w:rsidRDefault="003A497B" w:rsidP="003A497B">
      <w:pPr>
        <w:ind w:firstLine="708"/>
        <w:jc w:val="both"/>
        <w:rPr>
          <w:rFonts w:ascii="Times New Roman" w:hAnsi="Times New Roman" w:cs="Times New Roman"/>
          <w:lang w:eastAsia="sk-SK"/>
        </w:rPr>
      </w:pPr>
      <w:r w:rsidRPr="004A2AEE">
        <w:rPr>
          <w:rFonts w:ascii="Times New Roman" w:hAnsi="Times New Roman" w:cs="Times New Roman"/>
          <w:lang w:eastAsia="sk-SK"/>
        </w:rPr>
        <w:t xml:space="preserve">Ministerstvo hospodárstva SR (ďalej len „MH SR“) má v návrhu rozpočtu na rok 2019 navrhované výdavky vo výške 428 mil. eur, ktoré sú oproti schválenému rozpočtu na rok 2018 vyššie o 172 mil. eur, t. j. o 67,2 %. </w:t>
      </w:r>
    </w:p>
    <w:p w:rsidR="003A497B" w:rsidRPr="004A2AEE" w:rsidRDefault="003A497B" w:rsidP="003A497B">
      <w:pPr>
        <w:ind w:firstLine="708"/>
        <w:jc w:val="both"/>
        <w:rPr>
          <w:rFonts w:ascii="Times New Roman" w:hAnsi="Times New Roman" w:cs="Times New Roman"/>
          <w:lang w:eastAsia="sk-SK"/>
        </w:rPr>
      </w:pPr>
    </w:p>
    <w:p w:rsidR="003A497B" w:rsidRPr="004A2AEE" w:rsidRDefault="003A497B" w:rsidP="003A497B">
      <w:pPr>
        <w:ind w:firstLine="708"/>
        <w:jc w:val="both"/>
        <w:rPr>
          <w:rFonts w:ascii="Times New Roman" w:hAnsi="Times New Roman" w:cs="Times New Roman"/>
          <w:lang w:eastAsia="sk-SK"/>
        </w:rPr>
      </w:pPr>
      <w:r w:rsidRPr="004A2AEE">
        <w:rPr>
          <w:rFonts w:ascii="Times New Roman" w:hAnsi="Times New Roman" w:cs="Times New Roman"/>
          <w:lang w:eastAsia="sk-SK"/>
        </w:rPr>
        <w:t xml:space="preserve">Rozpočtové prostriedky kapitoly v návrhu rozpočtu na rok 2019 v sume 226 mil. eur rastú oproti schválenému rozpočtu na rok 2018 o 97,5 mil. eur, t. j. o 75,8 %, pričom rastú bežné aj kapitálové výdavky. </w:t>
      </w:r>
    </w:p>
    <w:p w:rsidR="003A497B" w:rsidRPr="004A2AEE" w:rsidRDefault="003A497B" w:rsidP="003A497B">
      <w:pPr>
        <w:ind w:firstLine="708"/>
        <w:jc w:val="both"/>
        <w:rPr>
          <w:rFonts w:ascii="Times New Roman" w:hAnsi="Times New Roman" w:cs="Times New Roman"/>
          <w:lang w:eastAsia="sk-SK"/>
        </w:rPr>
      </w:pPr>
    </w:p>
    <w:p w:rsidR="003A497B" w:rsidRPr="004A2AEE" w:rsidRDefault="003A497B" w:rsidP="003A497B">
      <w:pPr>
        <w:ind w:firstLine="708"/>
        <w:jc w:val="both"/>
        <w:rPr>
          <w:rFonts w:ascii="Times New Roman" w:hAnsi="Times New Roman" w:cs="Times New Roman"/>
          <w:lang w:eastAsia="sk-SK"/>
        </w:rPr>
      </w:pPr>
      <w:r w:rsidRPr="004A2AEE">
        <w:rPr>
          <w:rFonts w:ascii="Times New Roman" w:hAnsi="Times New Roman" w:cs="Times New Roman"/>
          <w:lang w:eastAsia="sk-SK"/>
        </w:rPr>
        <w:t xml:space="preserve">V kapitole MH SR sa na rok 2019 rozpočtujú výdavky EÚ a spolufinancovania v sume 202 mil. eur, čo je oproti schválenému rozpočtu na rok 2018 viac o 74,7 mil. eur, t. j. </w:t>
      </w:r>
      <w:r w:rsidRPr="004A2AEE">
        <w:rPr>
          <w:rFonts w:ascii="Times New Roman" w:hAnsi="Times New Roman" w:cs="Times New Roman"/>
          <w:lang w:eastAsia="sk-SK"/>
        </w:rPr>
        <w:br/>
        <w:t>o 58,6 %. Výdavky sa rozpočtujú v rámci 3. programového obdobia na roky 2014 až 2020 v rámci Operačného programu Výskum a inovácie (ďalej len „OP VaI“) a Európskej územnej spolupráce.</w:t>
      </w:r>
    </w:p>
    <w:p w:rsidR="003A497B" w:rsidRPr="004A2AEE" w:rsidRDefault="003A497B" w:rsidP="003A497B">
      <w:pPr>
        <w:ind w:firstLine="708"/>
        <w:jc w:val="both"/>
        <w:rPr>
          <w:rFonts w:ascii="Times New Roman" w:hAnsi="Times New Roman" w:cs="Times New Roman"/>
          <w:lang w:eastAsia="sk-SK"/>
        </w:rPr>
      </w:pPr>
    </w:p>
    <w:p w:rsidR="003A497B" w:rsidRPr="004A2AEE" w:rsidRDefault="003A497B" w:rsidP="003A497B">
      <w:pPr>
        <w:ind w:firstLine="708"/>
        <w:jc w:val="both"/>
        <w:rPr>
          <w:rFonts w:ascii="Times New Roman" w:hAnsi="Times New Roman" w:cs="Times New Roman"/>
          <w:lang w:eastAsia="sk-SK"/>
        </w:rPr>
      </w:pPr>
      <w:r w:rsidRPr="004A2AEE">
        <w:rPr>
          <w:rFonts w:ascii="Times New Roman" w:hAnsi="Times New Roman" w:cs="Times New Roman"/>
          <w:lang w:eastAsia="sk-SK"/>
        </w:rPr>
        <w:t xml:space="preserve">Osobné výdavky rozpočtované na rok 2019 v sume 16,6 mil. eur oproti schválenému rozpočtu na rok 2018 rastú o 964 tis. eur, t. j. o 6,16 % najmä z dôvodu premietnutia </w:t>
      </w:r>
      <w:r w:rsidRPr="004A2AEE">
        <w:rPr>
          <w:rFonts w:ascii="Times New Roman" w:hAnsi="Times New Roman" w:cs="Times New Roman"/>
        </w:rPr>
        <w:t xml:space="preserve">valorizácie platov zamestnancov z roku 2018 do nasledujúcich rokov. </w:t>
      </w:r>
    </w:p>
    <w:p w:rsidR="003A497B" w:rsidRPr="004A2AEE" w:rsidRDefault="003A497B" w:rsidP="003A497B">
      <w:pPr>
        <w:jc w:val="both"/>
        <w:rPr>
          <w:rFonts w:ascii="Times New Roman" w:hAnsi="Times New Roman" w:cs="Times New Roman"/>
          <w:lang w:eastAsia="sk-SK"/>
        </w:rPr>
      </w:pPr>
    </w:p>
    <w:p w:rsidR="003A497B" w:rsidRPr="004A2AEE" w:rsidRDefault="003A497B" w:rsidP="003A497B">
      <w:pPr>
        <w:ind w:firstLine="708"/>
        <w:jc w:val="both"/>
        <w:rPr>
          <w:rFonts w:ascii="Times New Roman" w:hAnsi="Times New Roman" w:cs="Times New Roman"/>
          <w:lang w:eastAsia="sk-SK"/>
        </w:rPr>
      </w:pPr>
      <w:r w:rsidRPr="004A2AEE">
        <w:rPr>
          <w:rFonts w:ascii="Times New Roman" w:hAnsi="Times New Roman" w:cs="Times New Roman"/>
          <w:lang w:eastAsia="sk-SK"/>
        </w:rPr>
        <w:t xml:space="preserve">Výdavky na tovary a služby rozpočtované v návrhu rozpočtu na rok 2019 v sume </w:t>
      </w:r>
      <w:r w:rsidRPr="004A2AEE">
        <w:rPr>
          <w:rFonts w:ascii="Times New Roman" w:hAnsi="Times New Roman" w:cs="Times New Roman"/>
          <w:lang w:eastAsia="sk-SK"/>
        </w:rPr>
        <w:br/>
        <w:t>15,1 mil. eur sú oproti schválenému rozpočtu na rok 2018 vyššie o 4,39 mil. eur, t. j. o 40,9 % najmä z dôvodu zvýšených výdavkov na hospodársku mobilizáciu a rozpočtovania výdavkov na svetovú výstavu priemyslu a kultúry jednotlivých krajín sveta EXPO Dubaj 2020.</w:t>
      </w:r>
    </w:p>
    <w:p w:rsidR="003A497B" w:rsidRPr="004A2AEE" w:rsidRDefault="003A497B" w:rsidP="003A497B">
      <w:pPr>
        <w:jc w:val="both"/>
        <w:rPr>
          <w:rFonts w:ascii="Times New Roman" w:hAnsi="Times New Roman" w:cs="Times New Roman"/>
          <w:highlight w:val="yellow"/>
          <w:lang w:eastAsia="sk-SK"/>
        </w:rPr>
      </w:pPr>
    </w:p>
    <w:p w:rsidR="003A497B" w:rsidRPr="004A2AEE" w:rsidRDefault="003A497B" w:rsidP="003A497B">
      <w:pPr>
        <w:ind w:firstLine="708"/>
        <w:jc w:val="both"/>
        <w:rPr>
          <w:rFonts w:ascii="Times New Roman" w:hAnsi="Times New Roman" w:cs="Times New Roman"/>
          <w:lang w:eastAsia="sk-SK"/>
        </w:rPr>
      </w:pPr>
      <w:r w:rsidRPr="004A2AEE">
        <w:rPr>
          <w:rFonts w:ascii="Times New Roman" w:hAnsi="Times New Roman" w:cs="Times New Roman"/>
          <w:lang w:eastAsia="sk-SK"/>
        </w:rPr>
        <w:t xml:space="preserve">Bežné transfery rozpočtované v návrhu rozpočtu na rok 2019 v sume 124 mil. eur sú oproti návrhu rozpočtu na rok 2018 vyššie o 53,2 mil. eur, t. j. 74,8 % najmä z dôvodu zvýšených výdavkov na podporu útlmu rudného baníctva, rozpočtovania výdavkov v súvislosti s navrhovanou novelou zákona č. 309/2009 Z. z. o podpore obnoviteľných zdrojov energie a vysoko účinnej kombinovanej výroby, medziročného nárastu bežného transferu pre Národný jadrový fond (ďalej len „NJF“) z odvodov od prevádzkovateľov prenosovej a distribučných </w:t>
      </w:r>
      <w:r w:rsidRPr="004A2AEE">
        <w:rPr>
          <w:rFonts w:ascii="Times New Roman" w:hAnsi="Times New Roman" w:cs="Times New Roman"/>
          <w:lang w:eastAsia="sk-SK"/>
        </w:rPr>
        <w:lastRenderedPageBreak/>
        <w:t xml:space="preserve">sústav, ako aj z dôvodu zvýšených výdavkov na administráciu projektov Slovenskej agentúry pre rozvoj investícií a obchodu (ďalej len „SARIO“) a Slovenskej inovačnej a energetickej agentúry (ďalej len „SIEA“). </w:t>
      </w:r>
    </w:p>
    <w:p w:rsidR="003A497B" w:rsidRPr="004A2AEE" w:rsidRDefault="003A497B" w:rsidP="003A497B">
      <w:pPr>
        <w:jc w:val="both"/>
        <w:rPr>
          <w:rFonts w:ascii="Times New Roman" w:hAnsi="Times New Roman" w:cs="Times New Roman"/>
          <w:highlight w:val="yellow"/>
          <w:lang w:eastAsia="sk-SK"/>
        </w:rPr>
      </w:pPr>
    </w:p>
    <w:p w:rsidR="003A497B" w:rsidRPr="004A2AEE" w:rsidRDefault="003A497B" w:rsidP="003A497B">
      <w:pPr>
        <w:ind w:firstLine="708"/>
        <w:jc w:val="both"/>
        <w:rPr>
          <w:rFonts w:ascii="Times New Roman" w:hAnsi="Times New Roman" w:cs="Times New Roman"/>
          <w:lang w:eastAsia="sk-SK"/>
        </w:rPr>
      </w:pPr>
      <w:r w:rsidRPr="004A2AEE">
        <w:rPr>
          <w:rFonts w:ascii="Times New Roman" w:hAnsi="Times New Roman" w:cs="Times New Roman"/>
          <w:lang w:eastAsia="sk-SK"/>
        </w:rPr>
        <w:t xml:space="preserve">Kapitálové výdavky na rok 2019 v sume 70,0 mil. eur rastú oproti schválenému rozpočtu na rok 2018 o 38,9 mil. eur. Výdavky sú ovplyvnené aktuálnym vývojom čerpania a požiadavkami na výdavky na investičné projekty, vrátane podpory investície Jaguar Land Rover, v súlade s uznesením vlády SR č. 683/2015 z 11. decembra 2015 a zvýšenými výdavkami na hospodársku mobilizáciu. </w:t>
      </w:r>
    </w:p>
    <w:p w:rsidR="003A497B" w:rsidRPr="004A2AEE" w:rsidRDefault="003A497B" w:rsidP="003A497B">
      <w:pPr>
        <w:ind w:firstLine="708"/>
        <w:jc w:val="both"/>
        <w:rPr>
          <w:rFonts w:ascii="Times New Roman" w:hAnsi="Times New Roman" w:cs="Times New Roman"/>
          <w:lang w:eastAsia="sk-SK"/>
        </w:rPr>
      </w:pPr>
    </w:p>
    <w:p w:rsidR="003A497B" w:rsidRPr="004A2AEE" w:rsidRDefault="003A497B" w:rsidP="003A497B">
      <w:pPr>
        <w:ind w:firstLine="708"/>
        <w:jc w:val="both"/>
        <w:rPr>
          <w:rFonts w:ascii="Times New Roman" w:hAnsi="Times New Roman" w:cs="Times New Roman"/>
          <w:lang w:eastAsia="sk-SK"/>
        </w:rPr>
      </w:pPr>
      <w:r w:rsidRPr="004A2AEE">
        <w:rPr>
          <w:rFonts w:ascii="Times New Roman" w:hAnsi="Times New Roman" w:cs="Times New Roman"/>
          <w:lang w:eastAsia="sk-SK"/>
        </w:rPr>
        <w:t>V kapitole MH SR sú na samostatných účtoch rozpočtované výdavky určené na úhradu výdavkov spojených s prevodom majetku na základe zákona č. 92/1991 Zb. o podmienkach prevodu majetku štátu na iné osoby v znení neskorších predpisov, činnosť Európskeho spotrebiteľského centra</w:t>
      </w:r>
      <w:r w:rsidR="000B3DD1">
        <w:rPr>
          <w:rFonts w:ascii="Times New Roman" w:hAnsi="Times New Roman" w:cs="Times New Roman"/>
          <w:lang w:eastAsia="sk-SK"/>
        </w:rPr>
        <w:t xml:space="preserve"> a</w:t>
      </w:r>
      <w:r w:rsidRPr="004A2AEE">
        <w:rPr>
          <w:rFonts w:ascii="Times New Roman" w:hAnsi="Times New Roman" w:cs="Times New Roman"/>
          <w:lang w:eastAsia="sk-SK"/>
        </w:rPr>
        <w:t xml:space="preserve"> financovanie aktivít týkajúcich sa energetických služieb v rámci komunitárneho programu Európskej komisie.</w:t>
      </w:r>
    </w:p>
    <w:p w:rsidR="003A497B" w:rsidRPr="004A2AEE" w:rsidRDefault="003A497B" w:rsidP="003A497B">
      <w:pPr>
        <w:rPr>
          <w:highlight w:val="yellow"/>
        </w:rPr>
      </w:pPr>
    </w:p>
    <w:p w:rsidR="003A497B" w:rsidRPr="004A2AEE" w:rsidRDefault="003A497B" w:rsidP="003A497B">
      <w:pPr>
        <w:ind w:firstLine="708"/>
        <w:rPr>
          <w:rFonts w:ascii="Times New Roman" w:hAnsi="Times New Roman" w:cs="Times New Roman"/>
          <w:lang w:eastAsia="sk-SK"/>
        </w:rPr>
      </w:pPr>
      <w:r w:rsidRPr="004A2AEE">
        <w:rPr>
          <w:rFonts w:ascii="Times New Roman" w:hAnsi="Times New Roman" w:cs="Times New Roman"/>
          <w:lang w:eastAsia="sk-SK"/>
        </w:rPr>
        <w:t>Výdavky kapitoly smerujú do nasledovných oblastí:</w:t>
      </w:r>
    </w:p>
    <w:p w:rsidR="003A497B" w:rsidRPr="004A2AEE" w:rsidRDefault="003A497B" w:rsidP="003A497B">
      <w:pPr>
        <w:rPr>
          <w:rFonts w:ascii="Times New Roman" w:hAnsi="Times New Roman" w:cs="Times New Roman"/>
          <w:lang w:eastAsia="sk-SK"/>
        </w:rPr>
      </w:pPr>
    </w:p>
    <w:tbl>
      <w:tblPr>
        <w:tblW w:w="5000" w:type="pct"/>
        <w:jc w:val="center"/>
        <w:tblCellMar>
          <w:left w:w="70" w:type="dxa"/>
          <w:right w:w="70" w:type="dxa"/>
        </w:tblCellMar>
        <w:tblLook w:val="04A0" w:firstRow="1" w:lastRow="0" w:firstColumn="1" w:lastColumn="0" w:noHBand="0" w:noVBand="1"/>
      </w:tblPr>
      <w:tblGrid>
        <w:gridCol w:w="2123"/>
        <w:gridCol w:w="992"/>
        <w:gridCol w:w="992"/>
        <w:gridCol w:w="991"/>
        <w:gridCol w:w="991"/>
        <w:gridCol w:w="991"/>
        <w:gridCol w:w="991"/>
        <w:gridCol w:w="991"/>
      </w:tblGrid>
      <w:tr w:rsidR="003A497B" w:rsidRPr="004A2AEE" w:rsidTr="003E1809">
        <w:trPr>
          <w:trHeight w:hRule="exact" w:val="255"/>
          <w:jc w:val="center"/>
        </w:trPr>
        <w:tc>
          <w:tcPr>
            <w:tcW w:w="1171"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4A2AEE" w:rsidRDefault="003A497B" w:rsidP="003E1809">
            <w:pPr>
              <w:rPr>
                <w:rFonts w:ascii="Times New Roman" w:hAnsi="Times New Roman" w:cs="Times New Roman"/>
                <w:b/>
                <w:sz w:val="14"/>
                <w:szCs w:val="14"/>
                <w:lang w:eastAsia="sk-SK"/>
              </w:rPr>
            </w:pPr>
            <w:r w:rsidRPr="004A2AEE">
              <w:rPr>
                <w:rFonts w:ascii="Times New Roman" w:hAnsi="Times New Roman" w:cs="Times New Roman"/>
                <w:b/>
                <w:sz w:val="14"/>
                <w:szCs w:val="14"/>
                <w:lang w:eastAsia="sk-SK"/>
              </w:rPr>
              <w:t>v eurách</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2016 S</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2017  S</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2018 R</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2018 OS</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2019 N</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2020 N</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2021 N</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BFBFBF"/>
            <w:vAlign w:val="bottom"/>
            <w:hideMark/>
          </w:tcPr>
          <w:p w:rsidR="003A497B" w:rsidRPr="004A2AEE" w:rsidRDefault="003A497B" w:rsidP="003E1809">
            <w:pP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Zdroje príslušnej kapitoly</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419 543 193</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154 315 030</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256 049 889</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255 815 065</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428 178 068</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456 530 381</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453 081 717</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auto" w:fill="auto"/>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Reštrukt. priem. odvetví</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113 542 018</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68 315 583</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67 448 530</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67 448 530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114 815 180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118 996 070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110 093 070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auto" w:fill="auto"/>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Podpora podnikania</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3 770 771</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4 475 752</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4 300 000</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5 638 648</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4 400 000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4 400 000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4 400 000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auto" w:fill="auto"/>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Invest. projekty, reg. rozvoj</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5 222 973</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8 244 785</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26 397 461</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19 018 255</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62 151 589</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72 991 966</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22 367 018</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Inovácie</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112 929 896</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122 147</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1 827 353</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auto" w:fill="auto"/>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Energetika</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82 841 212</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42 936</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auto" w:fill="auto"/>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Cestovný ruch</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39 740 297</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OP Výskum a inovácie</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25 231 441</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37 370 229</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127 462 402</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128 566 457</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202 130 054</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224 745 029</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282 766 640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Administratíva</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36 264 585</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35 743 598</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30 441 496</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33 315 822</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44 681 245</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35 397 316</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33 454 989</w:t>
            </w:r>
          </w:p>
        </w:tc>
      </w:tr>
    </w:tbl>
    <w:p w:rsidR="003A497B" w:rsidRPr="004A2AEE" w:rsidRDefault="003A497B" w:rsidP="003A497B">
      <w:pPr>
        <w:jc w:val="both"/>
        <w:rPr>
          <w:rFonts w:ascii="Times New Roman" w:hAnsi="Times New Roman" w:cs="Times New Roman"/>
          <w:b/>
          <w:lang w:eastAsia="sk-SK"/>
        </w:rPr>
      </w:pPr>
    </w:p>
    <w:p w:rsidR="003A497B" w:rsidRPr="004A2AEE" w:rsidRDefault="003A497B" w:rsidP="003A497B">
      <w:pPr>
        <w:jc w:val="both"/>
        <w:rPr>
          <w:rFonts w:ascii="Times New Roman" w:hAnsi="Times New Roman" w:cs="Times New Roman"/>
          <w:b/>
          <w:lang w:eastAsia="sk-SK"/>
        </w:rPr>
      </w:pPr>
      <w:r w:rsidRPr="004A2AEE">
        <w:rPr>
          <w:rFonts w:ascii="Times New Roman" w:hAnsi="Times New Roman" w:cs="Times New Roman"/>
          <w:b/>
          <w:lang w:eastAsia="sk-SK"/>
        </w:rPr>
        <w:t>Reštrukturalizácia priemyselných odvetví</w:t>
      </w:r>
    </w:p>
    <w:p w:rsidR="003A497B" w:rsidRPr="004A2AEE" w:rsidRDefault="003A497B" w:rsidP="003A497B">
      <w:pPr>
        <w:jc w:val="both"/>
        <w:rPr>
          <w:rFonts w:ascii="Times New Roman" w:hAnsi="Times New Roman" w:cs="Times New Roman"/>
          <w:b/>
          <w:lang w:eastAsia="sk-SK"/>
        </w:rPr>
      </w:pPr>
    </w:p>
    <w:tbl>
      <w:tblPr>
        <w:tblW w:w="5000" w:type="pct"/>
        <w:jc w:val="center"/>
        <w:tblCellMar>
          <w:left w:w="70" w:type="dxa"/>
          <w:right w:w="70" w:type="dxa"/>
        </w:tblCellMar>
        <w:tblLook w:val="04A0" w:firstRow="1" w:lastRow="0" w:firstColumn="1" w:lastColumn="0" w:noHBand="0" w:noVBand="1"/>
      </w:tblPr>
      <w:tblGrid>
        <w:gridCol w:w="2123"/>
        <w:gridCol w:w="992"/>
        <w:gridCol w:w="992"/>
        <w:gridCol w:w="991"/>
        <w:gridCol w:w="991"/>
        <w:gridCol w:w="991"/>
        <w:gridCol w:w="991"/>
        <w:gridCol w:w="991"/>
      </w:tblGrid>
      <w:tr w:rsidR="003A497B" w:rsidRPr="004A2AEE" w:rsidTr="003E1809">
        <w:trPr>
          <w:trHeight w:hRule="exact" w:val="255"/>
          <w:jc w:val="center"/>
        </w:trPr>
        <w:tc>
          <w:tcPr>
            <w:tcW w:w="1171"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4A2AEE" w:rsidRDefault="003A497B" w:rsidP="003E1809">
            <w:pPr>
              <w:rPr>
                <w:rFonts w:ascii="Times New Roman" w:hAnsi="Times New Roman" w:cs="Times New Roman"/>
                <w:b/>
                <w:sz w:val="14"/>
                <w:szCs w:val="14"/>
                <w:lang w:eastAsia="sk-SK"/>
              </w:rPr>
            </w:pPr>
            <w:r w:rsidRPr="004A2AEE">
              <w:rPr>
                <w:rFonts w:ascii="Times New Roman" w:hAnsi="Times New Roman" w:cs="Times New Roman"/>
                <w:b/>
                <w:sz w:val="14"/>
                <w:szCs w:val="14"/>
                <w:lang w:eastAsia="sk-SK"/>
              </w:rPr>
              <w:t>v eurách</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2016 S</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2017  S</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2018 R</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2018 OS</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2019 N</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2020 N</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2021 N</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BFBFBF"/>
            <w:vAlign w:val="bottom"/>
            <w:hideMark/>
          </w:tcPr>
          <w:p w:rsidR="003A497B" w:rsidRPr="004A2AEE" w:rsidRDefault="003A497B" w:rsidP="003E1809">
            <w:pP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Reštruktur. priem. odvetví</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113 542 018</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68 315 583</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67 448 530</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67 448 530</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114 815 180</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118 996 070</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110 093 070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FFFFFF"/>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Uhoľné baníctvo ŠR</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299 000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298 845</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296 000</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296 000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281 000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278 000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275 000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FFFFFF"/>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 xml:space="preserve">Rudné baníctvo ŠR </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1 559 850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1 756 850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1 814 820</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1 814 820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7 896 820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10 714 820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1 814 820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FFFFFF"/>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Transfer do NJF - ZRAM</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270 381</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353 773</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387 600</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387 600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395 350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403 250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403 250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FFFFFF"/>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Staré banské diela</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100 000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100 000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100 000</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100 000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100 000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100 000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100 000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FFFFFF"/>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Tradície banských činností</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0 </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FFFFFF"/>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 xml:space="preserve">NJF- odvody od prenos. a distr. </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65 176 259</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65 756 324</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64 845 110</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64 845 110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66 142 010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67 500 000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67 500 000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FFFFFF"/>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Prisp. pre domác. za spotr. plyn</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46 106 528</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19 791</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5 000</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FFFFFF"/>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Podp. zníženia konc. ceny elektr.</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40 000 000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40 000 000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40 000 000</w:t>
            </w:r>
          </w:p>
        </w:tc>
      </w:tr>
    </w:tbl>
    <w:p w:rsidR="003A497B" w:rsidRPr="004A2AEE" w:rsidRDefault="003A497B" w:rsidP="003A497B">
      <w:pPr>
        <w:jc w:val="both"/>
        <w:rPr>
          <w:rFonts w:ascii="Times New Roman" w:hAnsi="Times New Roman" w:cs="Times New Roman"/>
          <w:b/>
          <w:lang w:eastAsia="sk-SK"/>
        </w:rPr>
      </w:pPr>
    </w:p>
    <w:p w:rsidR="003A497B" w:rsidRPr="004A2AEE" w:rsidRDefault="003A497B" w:rsidP="003A497B">
      <w:pPr>
        <w:ind w:firstLine="708"/>
        <w:jc w:val="both"/>
        <w:rPr>
          <w:rFonts w:ascii="Times New Roman" w:hAnsi="Times New Roman" w:cs="Times New Roman"/>
          <w:lang w:eastAsia="sk-SK"/>
        </w:rPr>
      </w:pPr>
      <w:r w:rsidRPr="004A2AEE">
        <w:rPr>
          <w:rFonts w:ascii="Times New Roman" w:hAnsi="Times New Roman" w:cs="Times New Roman"/>
          <w:lang w:eastAsia="sk-SK"/>
        </w:rPr>
        <w:t xml:space="preserve">Výdavky na reštrukturalizáciu priemyselných odvetví v návrhu rozpočtu na rok 2019 predstavujú sumu 115 mil. eur a v porovnaní so schváleným rozpočtom na rok 2018 rastú </w:t>
      </w:r>
      <w:r w:rsidRPr="004A2AEE">
        <w:rPr>
          <w:rFonts w:ascii="Times New Roman" w:hAnsi="Times New Roman" w:cs="Times New Roman"/>
          <w:lang w:eastAsia="sk-SK"/>
        </w:rPr>
        <w:br/>
        <w:t>o 47,4 mil. eur, t. j. o 70,2 %.</w:t>
      </w:r>
    </w:p>
    <w:p w:rsidR="003A497B" w:rsidRPr="004A2AEE" w:rsidRDefault="003A497B" w:rsidP="003A497B">
      <w:pPr>
        <w:ind w:firstLine="708"/>
        <w:jc w:val="both"/>
        <w:rPr>
          <w:rFonts w:ascii="Times New Roman" w:hAnsi="Times New Roman" w:cs="Times New Roman"/>
          <w:lang w:eastAsia="sk-SK"/>
        </w:rPr>
      </w:pPr>
    </w:p>
    <w:p w:rsidR="003A497B" w:rsidRPr="004A2AEE" w:rsidRDefault="003A497B" w:rsidP="003A497B">
      <w:pPr>
        <w:ind w:firstLine="708"/>
        <w:jc w:val="both"/>
        <w:rPr>
          <w:rFonts w:ascii="Times New Roman" w:hAnsi="Times New Roman" w:cs="Times New Roman"/>
          <w:color w:val="000000"/>
          <w:highlight w:val="yellow"/>
          <w:lang w:eastAsia="sk-SK"/>
        </w:rPr>
      </w:pPr>
      <w:r w:rsidRPr="004A2AEE">
        <w:rPr>
          <w:rFonts w:ascii="Times New Roman" w:hAnsi="Times New Roman" w:cs="Times New Roman"/>
          <w:color w:val="000000"/>
          <w:lang w:eastAsia="sk-SK"/>
        </w:rPr>
        <w:t>V rámci oblasti sa na rok 2019 rozpočtujú výdavky na podporu zníženia koncovej ceny elektriny pre podniky v sume 40 mil. eur</w:t>
      </w:r>
      <w:r w:rsidR="00365411">
        <w:rPr>
          <w:rFonts w:ascii="Times New Roman" w:hAnsi="Times New Roman" w:cs="Times New Roman"/>
          <w:color w:val="000000"/>
          <w:lang w:eastAsia="sk-SK"/>
        </w:rPr>
        <w:t>,</w:t>
      </w:r>
      <w:r w:rsidRPr="004A2AEE">
        <w:rPr>
          <w:rFonts w:ascii="Times New Roman" w:hAnsi="Times New Roman" w:cs="Times New Roman"/>
          <w:color w:val="000000"/>
          <w:lang w:eastAsia="sk-SK"/>
        </w:rPr>
        <w:t xml:space="preserve"> v nadväznosti na novelu </w:t>
      </w:r>
      <w:r w:rsidRPr="004A2AEE">
        <w:rPr>
          <w:rFonts w:ascii="Times New Roman" w:hAnsi="Times New Roman" w:cs="Times New Roman"/>
          <w:lang w:eastAsia="sk-SK"/>
        </w:rPr>
        <w:t xml:space="preserve">zákona č. 309/2009 Z. z. o podpore obnoviteľných zdrojov energie a vysoko účinnej kombinovanej výroby. </w:t>
      </w:r>
    </w:p>
    <w:p w:rsidR="003A497B" w:rsidRPr="004A2AEE" w:rsidRDefault="003A497B" w:rsidP="003A497B">
      <w:pPr>
        <w:jc w:val="both"/>
        <w:rPr>
          <w:rFonts w:ascii="Times New Roman" w:hAnsi="Times New Roman" w:cs="Times New Roman"/>
          <w:b/>
          <w:highlight w:val="yellow"/>
          <w:lang w:eastAsia="sk-SK"/>
        </w:rPr>
      </w:pPr>
    </w:p>
    <w:p w:rsidR="003A497B" w:rsidRPr="004A2AEE" w:rsidRDefault="003A497B" w:rsidP="003A497B">
      <w:pPr>
        <w:ind w:firstLine="708"/>
        <w:jc w:val="both"/>
        <w:rPr>
          <w:rFonts w:ascii="Times New Roman" w:hAnsi="Times New Roman" w:cs="Times New Roman"/>
          <w:color w:val="000000"/>
          <w:lang w:eastAsia="sk-SK"/>
        </w:rPr>
      </w:pPr>
      <w:r w:rsidRPr="004A2AEE">
        <w:rPr>
          <w:rFonts w:ascii="Times New Roman" w:hAnsi="Times New Roman" w:cs="Times New Roman"/>
          <w:lang w:eastAsia="sk-SK"/>
        </w:rPr>
        <w:t xml:space="preserve">Výdavky v tejto oblasti sú tiež smerované do oblasti uhoľného baníctva na deputátne uhlie pre dôchodcov a vdovy po baníkoch. V oblasti rudného baníctva rastú výdavky na rok </w:t>
      </w:r>
      <w:r w:rsidRPr="004A2AEE">
        <w:rPr>
          <w:rFonts w:ascii="Times New Roman" w:hAnsi="Times New Roman" w:cs="Times New Roman"/>
          <w:lang w:eastAsia="sk-SK"/>
        </w:rPr>
        <w:lastRenderedPageBreak/>
        <w:t>2019 oproti schválenému rozpočtu na rok 2018 o 6,08 mil. eur a sú určené na technické práce na plnenie úloh obsiahnutých v pláne útlmového programu, práce ktorých útlm po dlhoročnej intenzívnej činnosti nebol dokončený a na zákonné sociálne náklady.</w:t>
      </w:r>
      <w:r w:rsidRPr="004A2AEE">
        <w:rPr>
          <w:rFonts w:ascii="Times New Roman" w:hAnsi="Times New Roman" w:cs="Times New Roman"/>
          <w:color w:val="000000"/>
          <w:lang w:eastAsia="sk-SK"/>
        </w:rPr>
        <w:t xml:space="preserve"> Výdavky ďalej smerujú na zabezpečovanie alebo likvidáciu starých banských diel a ich následkov. </w:t>
      </w:r>
    </w:p>
    <w:p w:rsidR="003A497B" w:rsidRPr="004A2AEE" w:rsidRDefault="003A497B" w:rsidP="003A497B">
      <w:pPr>
        <w:ind w:firstLine="708"/>
        <w:jc w:val="both"/>
        <w:rPr>
          <w:rFonts w:ascii="Times New Roman" w:hAnsi="Times New Roman" w:cs="Times New Roman"/>
          <w:color w:val="000000"/>
          <w:lang w:eastAsia="sk-SK"/>
        </w:rPr>
      </w:pPr>
    </w:p>
    <w:p w:rsidR="003A497B" w:rsidRPr="004A2AEE" w:rsidRDefault="003A497B" w:rsidP="003A497B">
      <w:pPr>
        <w:ind w:firstLine="708"/>
        <w:jc w:val="both"/>
        <w:rPr>
          <w:rFonts w:ascii="Times New Roman" w:hAnsi="Times New Roman" w:cs="Times New Roman"/>
          <w:color w:val="000000"/>
          <w:lang w:eastAsia="sk-SK"/>
        </w:rPr>
      </w:pPr>
      <w:r w:rsidRPr="004A2AEE">
        <w:rPr>
          <w:rFonts w:ascii="Times New Roman" w:hAnsi="Times New Roman" w:cs="Times New Roman"/>
          <w:color w:val="000000"/>
          <w:lang w:eastAsia="sk-SK"/>
        </w:rPr>
        <w:t>Medziročne tiež rastie transfer pre NJF, ktorý je oproti schválenému rozpočtu na rok 2018 vyšší o 1,30 mil. eur. Transfer pre NJF je určený v zmysle zákona č. 238/2006 Z. z. o NJF na úhradu nákladov vynaložených na nakladanie s jadrovým materiálom alebo rádioaktívnymi odpadmi, ktorých pôvodca nie je známy. MH SR poskytuje NJF aj transfer z odvodu od prevádzkovateľov prenosovej a distribučných sústav, určený na úhradu dlhu, ktorý vznikol pri tvorbe zdrojov na krytie nákladov záverečnej časti jadrovej energetiky.</w:t>
      </w:r>
      <w:r w:rsidRPr="004A2AEE">
        <w:rPr>
          <w:rFonts w:ascii="Times New Roman" w:hAnsi="Times New Roman" w:cs="Times New Roman"/>
          <w:lang w:eastAsia="sk-SK"/>
        </w:rPr>
        <w:t xml:space="preserve"> </w:t>
      </w:r>
    </w:p>
    <w:p w:rsidR="003A497B" w:rsidRPr="004A2AEE" w:rsidRDefault="003A497B" w:rsidP="003A497B">
      <w:pPr>
        <w:jc w:val="both"/>
        <w:rPr>
          <w:rFonts w:ascii="Times New Roman" w:hAnsi="Times New Roman" w:cs="Times New Roman"/>
          <w:b/>
          <w:lang w:eastAsia="sk-SK"/>
        </w:rPr>
      </w:pPr>
    </w:p>
    <w:p w:rsidR="003A497B" w:rsidRDefault="003A497B" w:rsidP="003A497B">
      <w:pPr>
        <w:jc w:val="both"/>
        <w:rPr>
          <w:rFonts w:ascii="Times New Roman" w:hAnsi="Times New Roman" w:cs="Times New Roman"/>
          <w:b/>
          <w:lang w:eastAsia="sk-SK"/>
        </w:rPr>
      </w:pPr>
      <w:r w:rsidRPr="004A2AEE">
        <w:rPr>
          <w:rFonts w:ascii="Times New Roman" w:hAnsi="Times New Roman" w:cs="Times New Roman"/>
          <w:b/>
          <w:lang w:eastAsia="sk-SK"/>
        </w:rPr>
        <w:t>Podpora podnikania</w:t>
      </w:r>
    </w:p>
    <w:p w:rsidR="003A497B" w:rsidRPr="004A2AEE" w:rsidRDefault="003A497B" w:rsidP="003A497B">
      <w:pPr>
        <w:jc w:val="both"/>
        <w:rPr>
          <w:rFonts w:ascii="Times New Roman" w:hAnsi="Times New Roman" w:cs="Times New Roman"/>
          <w:b/>
          <w:lang w:eastAsia="sk-SK"/>
        </w:rPr>
      </w:pPr>
    </w:p>
    <w:tbl>
      <w:tblPr>
        <w:tblW w:w="5000" w:type="pct"/>
        <w:jc w:val="center"/>
        <w:tblCellMar>
          <w:left w:w="70" w:type="dxa"/>
          <w:right w:w="70" w:type="dxa"/>
        </w:tblCellMar>
        <w:tblLook w:val="04A0" w:firstRow="1" w:lastRow="0" w:firstColumn="1" w:lastColumn="0" w:noHBand="0" w:noVBand="1"/>
      </w:tblPr>
      <w:tblGrid>
        <w:gridCol w:w="2123"/>
        <w:gridCol w:w="992"/>
        <w:gridCol w:w="992"/>
        <w:gridCol w:w="991"/>
        <w:gridCol w:w="991"/>
        <w:gridCol w:w="991"/>
        <w:gridCol w:w="991"/>
        <w:gridCol w:w="991"/>
      </w:tblGrid>
      <w:tr w:rsidR="003A497B" w:rsidRPr="004A2AEE" w:rsidTr="003E1809">
        <w:trPr>
          <w:trHeight w:hRule="exact" w:val="255"/>
          <w:jc w:val="center"/>
        </w:trPr>
        <w:tc>
          <w:tcPr>
            <w:tcW w:w="1171"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4A2AEE" w:rsidRDefault="003A497B" w:rsidP="003E1809">
            <w:pPr>
              <w:rPr>
                <w:rFonts w:ascii="Times New Roman" w:hAnsi="Times New Roman" w:cs="Times New Roman"/>
                <w:b/>
                <w:sz w:val="14"/>
                <w:szCs w:val="14"/>
                <w:lang w:eastAsia="sk-SK"/>
              </w:rPr>
            </w:pPr>
            <w:r w:rsidRPr="004A2AEE">
              <w:rPr>
                <w:rFonts w:ascii="Times New Roman" w:hAnsi="Times New Roman" w:cs="Times New Roman"/>
                <w:b/>
                <w:sz w:val="14"/>
                <w:szCs w:val="14"/>
                <w:lang w:eastAsia="sk-SK"/>
              </w:rPr>
              <w:t>v eurách</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2016 S</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2017  S</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2018 R</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2018 OS</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2019 N</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2020 N</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2021 N</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BFBFBF"/>
            <w:vAlign w:val="bottom"/>
            <w:hideMark/>
          </w:tcPr>
          <w:p w:rsidR="003A497B" w:rsidRPr="004A2AEE" w:rsidRDefault="003A497B" w:rsidP="003E1809">
            <w:pP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Podpora podnikania</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3 770 771</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4 475 752</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4 300 000</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5 638 648</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4 400 000</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4 400 000</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4 400 000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FFFFFF"/>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Administr. podp. schém a progr.</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1 800 000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2 725 000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1 800 000</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2 250 000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1 800 000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1 800 000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1 800 000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FFFFFF"/>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Podporné programy MSP</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200 000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641 000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1 210 000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0 </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FFFFFF"/>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 xml:space="preserve">Znižovanie admin. bremena </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152 472</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4 752</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113 648</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100 000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100 000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100 000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FFFFFF"/>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 xml:space="preserve">Podpora inovačných projektov </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445 299</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600 000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FFFFFF"/>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Podpora startupov</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973 000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1 040 000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2 500 000</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1 400 000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2 500 000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2 500 000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2 500 000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FFFFFF"/>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Podpora internetovej ekonomiky</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200 000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65 000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65 000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r>
    </w:tbl>
    <w:p w:rsidR="003A497B" w:rsidRPr="004A2AEE" w:rsidRDefault="003A497B" w:rsidP="003A497B">
      <w:pPr>
        <w:jc w:val="both"/>
        <w:rPr>
          <w:rFonts w:ascii="Times New Roman" w:hAnsi="Times New Roman" w:cs="Times New Roman"/>
          <w:lang w:eastAsia="sk-SK"/>
        </w:rPr>
      </w:pPr>
    </w:p>
    <w:p w:rsidR="003A497B" w:rsidRPr="004A2AEE" w:rsidRDefault="003A497B" w:rsidP="003A497B">
      <w:pPr>
        <w:ind w:firstLine="708"/>
        <w:jc w:val="both"/>
        <w:rPr>
          <w:rFonts w:ascii="Times New Roman" w:hAnsi="Times New Roman" w:cs="Times New Roman"/>
          <w:lang w:eastAsia="sk-SK"/>
        </w:rPr>
      </w:pPr>
      <w:r w:rsidRPr="004A2AEE">
        <w:rPr>
          <w:rFonts w:ascii="Times New Roman" w:hAnsi="Times New Roman" w:cs="Times New Roman"/>
          <w:lang w:eastAsia="sk-SK"/>
        </w:rPr>
        <w:t xml:space="preserve">Výdavky na podporu podnikania v návrhu rozpočtu na rok 2019 rozpočtované </w:t>
      </w:r>
      <w:r w:rsidRPr="004A2AEE">
        <w:rPr>
          <w:rFonts w:ascii="Times New Roman" w:hAnsi="Times New Roman" w:cs="Times New Roman"/>
          <w:lang w:eastAsia="sk-SK"/>
        </w:rPr>
        <w:br/>
        <w:t xml:space="preserve">v sume 4,40 mil. eur rastú oproti schválenému rozpočtu na rok 2018 o 100 tis. eur, </w:t>
      </w:r>
      <w:r w:rsidRPr="004A2AEE">
        <w:rPr>
          <w:rFonts w:ascii="Times New Roman" w:hAnsi="Times New Roman" w:cs="Times New Roman"/>
          <w:lang w:eastAsia="sk-SK"/>
        </w:rPr>
        <w:br/>
        <w:t xml:space="preserve">t. j. o 2,33 %, čo je spôsobené rozpočtovaním výdavkov na znižovanie administratívneho bremena. </w:t>
      </w:r>
      <w:r w:rsidRPr="004A2AEE">
        <w:rPr>
          <w:rFonts w:ascii="Times New Roman" w:hAnsi="Times New Roman" w:cs="Times New Roman"/>
          <w:color w:val="000000"/>
          <w:lang w:eastAsia="sk-SK"/>
        </w:rPr>
        <w:t>V oblasti podpory podnikania sú rozpočtové zdroje v roku 2019 smerované na podporu startupov, administráciu podporných schém a programov.</w:t>
      </w:r>
    </w:p>
    <w:p w:rsidR="003A497B" w:rsidRPr="004A2AEE" w:rsidRDefault="003A497B" w:rsidP="003A497B">
      <w:pPr>
        <w:ind w:firstLine="708"/>
        <w:jc w:val="both"/>
        <w:rPr>
          <w:rFonts w:ascii="Times New Roman" w:hAnsi="Times New Roman" w:cs="Times New Roman"/>
          <w:color w:val="000000"/>
          <w:highlight w:val="yellow"/>
          <w:lang w:eastAsia="sk-SK"/>
        </w:rPr>
      </w:pPr>
    </w:p>
    <w:p w:rsidR="003A497B" w:rsidRPr="004A2AEE" w:rsidRDefault="003A497B" w:rsidP="003A497B">
      <w:pPr>
        <w:jc w:val="both"/>
        <w:rPr>
          <w:rFonts w:ascii="Times New Roman" w:hAnsi="Times New Roman" w:cs="Times New Roman"/>
          <w:b/>
          <w:lang w:eastAsia="sk-SK"/>
        </w:rPr>
      </w:pPr>
      <w:r w:rsidRPr="004A2AEE">
        <w:rPr>
          <w:rFonts w:ascii="Times New Roman" w:hAnsi="Times New Roman" w:cs="Times New Roman"/>
          <w:b/>
          <w:lang w:eastAsia="sk-SK"/>
        </w:rPr>
        <w:t>Podpora investičných projektov a regionálneho rozvoja</w:t>
      </w:r>
    </w:p>
    <w:p w:rsidR="003A497B" w:rsidRPr="004A2AEE" w:rsidRDefault="003A497B" w:rsidP="003A497B">
      <w:pPr>
        <w:jc w:val="both"/>
        <w:rPr>
          <w:rFonts w:ascii="Times New Roman" w:hAnsi="Times New Roman" w:cs="Times New Roman"/>
          <w:lang w:eastAsia="sk-SK"/>
        </w:rPr>
      </w:pPr>
    </w:p>
    <w:p w:rsidR="003A497B" w:rsidRPr="004A2AEE" w:rsidRDefault="003A497B" w:rsidP="003A497B">
      <w:pPr>
        <w:ind w:firstLine="708"/>
        <w:jc w:val="both"/>
        <w:rPr>
          <w:rFonts w:ascii="Times New Roman" w:hAnsi="Times New Roman" w:cs="Times New Roman"/>
          <w:lang w:eastAsia="sk-SK"/>
        </w:rPr>
      </w:pPr>
      <w:r w:rsidRPr="004A2AEE">
        <w:rPr>
          <w:rFonts w:ascii="Times New Roman" w:hAnsi="Times New Roman" w:cs="Times New Roman"/>
          <w:lang w:eastAsia="sk-SK"/>
        </w:rPr>
        <w:t xml:space="preserve">Výdavky v tejto oblasti sa na rok 2019 navrhujú v sume 62,2 mil. eur a v porovnaní </w:t>
      </w:r>
      <w:r w:rsidRPr="004A2AEE">
        <w:rPr>
          <w:rFonts w:ascii="Times New Roman" w:hAnsi="Times New Roman" w:cs="Times New Roman"/>
          <w:lang w:eastAsia="sk-SK"/>
        </w:rPr>
        <w:br/>
        <w:t>so schváleným rozpočtom na rok 2018 rastú o 35,8 mil. eur, pričom sú ovplyvnené aktuálnym vývojom čerpania a požiadavkami na výdavky na investičné projekty, vrátane podpory investície Jaguar Land Rover, v súlade s</w:t>
      </w:r>
      <w:r w:rsidRPr="004A2AEE">
        <w:rPr>
          <w:rFonts w:ascii="Times New Roman" w:hAnsi="Times New Roman"/>
          <w:color w:val="FF0000"/>
          <w:lang w:eastAsia="sk-SK"/>
        </w:rPr>
        <w:t xml:space="preserve"> </w:t>
      </w:r>
      <w:r w:rsidRPr="004A2AEE">
        <w:rPr>
          <w:rFonts w:ascii="Times New Roman" w:hAnsi="Times New Roman" w:cs="Times New Roman"/>
          <w:lang w:eastAsia="sk-SK"/>
        </w:rPr>
        <w:t>uznesením vlády SR č. 683/2015 z 11. decembra 2015. V rámci uvedenej oblasti sa tiež rozpočtujú výdavky pre SARIO v sume 3,44 mil. eur, ktoré sú určené na plnenie stanovených strategických cieľov agentúry pre zvýšenie investičnej atraktívnosti SR.</w:t>
      </w:r>
    </w:p>
    <w:p w:rsidR="003A497B" w:rsidRPr="004A2AEE" w:rsidRDefault="003A497B" w:rsidP="003A497B">
      <w:pPr>
        <w:jc w:val="both"/>
        <w:rPr>
          <w:rFonts w:ascii="Times New Roman" w:hAnsi="Times New Roman" w:cs="Times New Roman"/>
          <w:b/>
          <w:lang w:eastAsia="sk-SK"/>
        </w:rPr>
      </w:pPr>
    </w:p>
    <w:p w:rsidR="003A497B" w:rsidRPr="004A2AEE" w:rsidRDefault="003A497B" w:rsidP="003A497B">
      <w:pPr>
        <w:jc w:val="both"/>
        <w:rPr>
          <w:rFonts w:ascii="Times New Roman" w:hAnsi="Times New Roman" w:cs="Times New Roman"/>
          <w:b/>
          <w:lang w:eastAsia="sk-SK"/>
        </w:rPr>
      </w:pPr>
      <w:r w:rsidRPr="004A2AEE">
        <w:rPr>
          <w:rFonts w:ascii="Times New Roman" w:hAnsi="Times New Roman" w:cs="Times New Roman"/>
          <w:b/>
          <w:iCs/>
          <w:lang w:eastAsia="sk-SK"/>
        </w:rPr>
        <w:t>Operačný program</w:t>
      </w:r>
      <w:r w:rsidRPr="004A2AEE">
        <w:rPr>
          <w:rFonts w:ascii="Times New Roman" w:hAnsi="Times New Roman" w:cs="Times New Roman"/>
          <w:b/>
          <w:lang w:eastAsia="sk-SK"/>
        </w:rPr>
        <w:t xml:space="preserve"> Výskum a inovácie</w:t>
      </w:r>
    </w:p>
    <w:p w:rsidR="003A497B" w:rsidRPr="004A2AEE" w:rsidRDefault="003A497B" w:rsidP="003A497B">
      <w:pPr>
        <w:jc w:val="both"/>
        <w:rPr>
          <w:rFonts w:ascii="Times New Roman" w:hAnsi="Times New Roman" w:cs="Times New Roman"/>
          <w:b/>
          <w:lang w:eastAsia="sk-SK"/>
        </w:rPr>
      </w:pPr>
    </w:p>
    <w:tbl>
      <w:tblPr>
        <w:tblW w:w="5000" w:type="pct"/>
        <w:jc w:val="center"/>
        <w:tblCellMar>
          <w:left w:w="70" w:type="dxa"/>
          <w:right w:w="70" w:type="dxa"/>
        </w:tblCellMar>
        <w:tblLook w:val="04A0" w:firstRow="1" w:lastRow="0" w:firstColumn="1" w:lastColumn="0" w:noHBand="0" w:noVBand="1"/>
      </w:tblPr>
      <w:tblGrid>
        <w:gridCol w:w="2123"/>
        <w:gridCol w:w="992"/>
        <w:gridCol w:w="992"/>
        <w:gridCol w:w="991"/>
        <w:gridCol w:w="991"/>
        <w:gridCol w:w="991"/>
        <w:gridCol w:w="991"/>
        <w:gridCol w:w="991"/>
      </w:tblGrid>
      <w:tr w:rsidR="003A497B" w:rsidRPr="004A2AEE" w:rsidTr="003E1809">
        <w:trPr>
          <w:trHeight w:hRule="exact" w:val="255"/>
          <w:jc w:val="center"/>
        </w:trPr>
        <w:tc>
          <w:tcPr>
            <w:tcW w:w="1171"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4A2AEE" w:rsidRDefault="003A497B" w:rsidP="003E1809">
            <w:pPr>
              <w:rPr>
                <w:rFonts w:ascii="Times New Roman" w:hAnsi="Times New Roman" w:cs="Times New Roman"/>
                <w:b/>
                <w:sz w:val="14"/>
                <w:szCs w:val="14"/>
                <w:lang w:eastAsia="sk-SK"/>
              </w:rPr>
            </w:pPr>
            <w:r w:rsidRPr="004A2AEE">
              <w:rPr>
                <w:rFonts w:ascii="Times New Roman" w:hAnsi="Times New Roman" w:cs="Times New Roman"/>
                <w:b/>
                <w:sz w:val="14"/>
                <w:szCs w:val="14"/>
                <w:lang w:eastAsia="sk-SK"/>
              </w:rPr>
              <w:t>v eurách</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2016  S</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2017  S</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2018 R</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2017 OS</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2019 N</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2020 N</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2021 N</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BFBFBF"/>
            <w:vAlign w:val="bottom"/>
            <w:hideMark/>
          </w:tcPr>
          <w:p w:rsidR="003A497B" w:rsidRPr="004A2AEE" w:rsidRDefault="003A497B" w:rsidP="003E1809">
            <w:pP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OP Výskum a inovácie</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25 231 441</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37 370 229</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127 462 402</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128 566 457</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202 130 054</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224 745 029</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282 766 640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FFFFFF"/>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Výdavky EÚ a spolufin.</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25 231 441</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37 370 229</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127 462 402</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128 566 457</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202 130 054</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224 745 029</w:t>
            </w:r>
          </w:p>
        </w:tc>
        <w:tc>
          <w:tcPr>
            <w:tcW w:w="547"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282 766 640</w:t>
            </w:r>
          </w:p>
        </w:tc>
      </w:tr>
    </w:tbl>
    <w:p w:rsidR="003A497B" w:rsidRPr="004A2AEE" w:rsidRDefault="003A497B" w:rsidP="003A497B">
      <w:pPr>
        <w:jc w:val="both"/>
        <w:rPr>
          <w:rFonts w:ascii="Times New Roman" w:hAnsi="Times New Roman" w:cs="Times New Roman"/>
          <w:b/>
          <w:lang w:eastAsia="sk-SK"/>
        </w:rPr>
      </w:pPr>
    </w:p>
    <w:p w:rsidR="003A497B" w:rsidRDefault="003A497B" w:rsidP="003A497B">
      <w:pPr>
        <w:jc w:val="both"/>
        <w:rPr>
          <w:rFonts w:ascii="Times New Roman" w:hAnsi="Times New Roman" w:cs="Times New Roman"/>
          <w:lang w:eastAsia="sk-SK"/>
        </w:rPr>
      </w:pPr>
      <w:r w:rsidRPr="004A2AEE">
        <w:rPr>
          <w:rFonts w:ascii="Times New Roman" w:hAnsi="Times New Roman" w:cs="Times New Roman"/>
          <w:b/>
          <w:lang w:eastAsia="sk-SK"/>
        </w:rPr>
        <w:tab/>
      </w:r>
      <w:r w:rsidRPr="004A2AEE">
        <w:rPr>
          <w:rFonts w:ascii="Times New Roman" w:hAnsi="Times New Roman" w:cs="Times New Roman"/>
          <w:lang w:eastAsia="sk-SK"/>
        </w:rPr>
        <w:t xml:space="preserve">Výdavky 3. programového obdobia v rámci OP VaI sa na rok 2019 navrhujú v sume 202 mil. eur, čo je oproti schválenému rozpočtu na rok 2018 viac o 74,7 mil. eur, </w:t>
      </w:r>
      <w:r w:rsidRPr="004A2AEE">
        <w:rPr>
          <w:rFonts w:ascii="Times New Roman" w:hAnsi="Times New Roman" w:cs="Times New Roman"/>
          <w:lang w:eastAsia="sk-SK"/>
        </w:rPr>
        <w:br/>
        <w:t>t. j. o 58,6 %. Sú určené najmä na vytváranie stabilného prostredia priaznivého pre inovácie a podporu zv</w:t>
      </w:r>
      <w:r w:rsidR="00986658">
        <w:rPr>
          <w:rFonts w:ascii="Times New Roman" w:hAnsi="Times New Roman" w:cs="Times New Roman"/>
          <w:lang w:eastAsia="sk-SK"/>
        </w:rPr>
        <w:t>ýšenia efektívnosti a výkonnosti</w:t>
      </w:r>
      <w:r w:rsidRPr="004A2AEE">
        <w:rPr>
          <w:rFonts w:ascii="Times New Roman" w:hAnsi="Times New Roman" w:cs="Times New Roman"/>
          <w:lang w:eastAsia="sk-SK"/>
        </w:rPr>
        <w:t xml:space="preserve"> systému výskumu, vývoja a inovácií, ako základného piliera pre zvyšovanie konkurencieschopnosti, trvalo udržateľného hospodárskeho rastu a zamestnanosti.  </w:t>
      </w:r>
    </w:p>
    <w:p w:rsidR="003A497B" w:rsidRPr="004A2AEE" w:rsidRDefault="003A497B" w:rsidP="003A497B">
      <w:pPr>
        <w:jc w:val="both"/>
        <w:rPr>
          <w:rFonts w:ascii="Times New Roman" w:hAnsi="Times New Roman" w:cs="Times New Roman"/>
          <w:highlight w:val="yellow"/>
          <w:lang w:eastAsia="sk-SK"/>
        </w:rPr>
      </w:pPr>
    </w:p>
    <w:p w:rsidR="003A497B" w:rsidRPr="004A2AEE" w:rsidRDefault="003A497B" w:rsidP="003A497B">
      <w:pPr>
        <w:jc w:val="both"/>
        <w:rPr>
          <w:rFonts w:ascii="Times New Roman" w:hAnsi="Times New Roman" w:cs="Times New Roman"/>
          <w:b/>
          <w:lang w:eastAsia="sk-SK"/>
        </w:rPr>
      </w:pPr>
      <w:r w:rsidRPr="004A2AEE">
        <w:rPr>
          <w:rFonts w:ascii="Times New Roman" w:hAnsi="Times New Roman" w:cs="Times New Roman"/>
          <w:b/>
          <w:lang w:eastAsia="sk-SK"/>
        </w:rPr>
        <w:lastRenderedPageBreak/>
        <w:t>Administratíva</w:t>
      </w:r>
    </w:p>
    <w:p w:rsidR="003A497B" w:rsidRPr="004A2AEE" w:rsidRDefault="003A497B" w:rsidP="003A497B">
      <w:pPr>
        <w:jc w:val="both"/>
        <w:rPr>
          <w:rFonts w:ascii="Times New Roman" w:hAnsi="Times New Roman" w:cs="Times New Roman"/>
          <w:b/>
          <w:lang w:eastAsia="sk-SK"/>
        </w:rPr>
      </w:pPr>
    </w:p>
    <w:tbl>
      <w:tblPr>
        <w:tblW w:w="5000" w:type="pct"/>
        <w:jc w:val="center"/>
        <w:tblCellMar>
          <w:left w:w="70" w:type="dxa"/>
          <w:right w:w="70" w:type="dxa"/>
        </w:tblCellMar>
        <w:tblLook w:val="04A0" w:firstRow="1" w:lastRow="0" w:firstColumn="1" w:lastColumn="0" w:noHBand="0" w:noVBand="1"/>
      </w:tblPr>
      <w:tblGrid>
        <w:gridCol w:w="2123"/>
        <w:gridCol w:w="992"/>
        <w:gridCol w:w="992"/>
        <w:gridCol w:w="991"/>
        <w:gridCol w:w="991"/>
        <w:gridCol w:w="991"/>
        <w:gridCol w:w="991"/>
        <w:gridCol w:w="991"/>
      </w:tblGrid>
      <w:tr w:rsidR="003A497B" w:rsidRPr="004A2AEE" w:rsidTr="003E1809">
        <w:trPr>
          <w:trHeight w:hRule="exact" w:val="255"/>
          <w:jc w:val="center"/>
        </w:trPr>
        <w:tc>
          <w:tcPr>
            <w:tcW w:w="1171"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4A2AEE" w:rsidRDefault="003A497B" w:rsidP="003E1809">
            <w:pPr>
              <w:rPr>
                <w:rFonts w:ascii="Times New Roman" w:hAnsi="Times New Roman" w:cs="Times New Roman"/>
                <w:b/>
                <w:sz w:val="14"/>
                <w:szCs w:val="14"/>
                <w:lang w:eastAsia="sk-SK"/>
              </w:rPr>
            </w:pPr>
            <w:r w:rsidRPr="004A2AEE">
              <w:rPr>
                <w:rFonts w:ascii="Times New Roman" w:hAnsi="Times New Roman" w:cs="Times New Roman"/>
                <w:b/>
                <w:sz w:val="14"/>
                <w:szCs w:val="14"/>
                <w:lang w:eastAsia="sk-SK"/>
              </w:rPr>
              <w:t>v eurách</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2016  S</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2017  S</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2018 R</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2018 OS</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2019 N</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2020 N</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2021 N</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BFBFBF"/>
            <w:vAlign w:val="bottom"/>
            <w:hideMark/>
          </w:tcPr>
          <w:p w:rsidR="003A497B" w:rsidRPr="004A2AEE" w:rsidRDefault="003A497B" w:rsidP="003E1809">
            <w:pP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Administratíva</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36 264 585</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35 743 598</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30 441 496</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33 315 822</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44 681 245</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35 397 316</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33 454 989</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auto" w:fill="auto"/>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Administrácia aparátu a organ.</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30 426 000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26 154 889</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25 419 556</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26 140 121</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37 860 769</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29 406 840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27 489 317</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auto" w:fill="auto"/>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Informačné technológie</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4 313 941</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2 490 364</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3 716 445</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2 488 900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2 498 900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2 498 900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auto" w:fill="auto"/>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Informačná spoločnosť 2014-2020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1 165 436</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0 </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0 </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0 </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0 </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Hospodárska mobilizácia</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2 913 660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2 932 772</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1 200 000</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2 123 980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3 000 000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2 100 000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2 100 000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auto" w:fill="auto"/>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Ochrana obyv. pred chem. zbr.</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0 </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auto" w:fill="auto"/>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Príspevky SR do MO</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1 011 175</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1 041 012</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1 200 000</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1 200 000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1 200 000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1 250 000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1 250 000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Európska územná spolupráca</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24 804</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24 804</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24 804</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24 804</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24 804</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24 804</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Ochrana kritickej infraštruktúry</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2 725</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1 875</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4 300</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4 300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4 300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4 300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4 300</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 xml:space="preserve">Technická pomoc </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1 343 645</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0 </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Elektronizácia VS</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0 </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SK PRESS 2016</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480 240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9 414</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0 </w:t>
            </w:r>
          </w:p>
        </w:tc>
      </w:tr>
      <w:tr w:rsidR="003A497B" w:rsidRPr="004A2AEE" w:rsidTr="003E1809">
        <w:trPr>
          <w:trHeight w:hRule="exact" w:val="255"/>
          <w:jc w:val="center"/>
        </w:trPr>
        <w:tc>
          <w:tcPr>
            <w:tcW w:w="1171"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Ostatné výdavky</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62 336</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99 455</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102 472</w:t>
            </w:r>
          </w:p>
        </w:tc>
        <w:tc>
          <w:tcPr>
            <w:tcW w:w="547"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106 172</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102 472</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112 472</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112 472</w:t>
            </w:r>
          </w:p>
        </w:tc>
      </w:tr>
    </w:tbl>
    <w:p w:rsidR="003A497B" w:rsidRPr="004A2AEE" w:rsidRDefault="003A497B" w:rsidP="003A497B">
      <w:pPr>
        <w:jc w:val="both"/>
        <w:rPr>
          <w:rFonts w:ascii="Times New Roman" w:hAnsi="Times New Roman" w:cs="Times New Roman"/>
          <w:b/>
          <w:lang w:eastAsia="sk-SK"/>
        </w:rPr>
      </w:pPr>
    </w:p>
    <w:p w:rsidR="003A497B" w:rsidRPr="004A2AEE" w:rsidRDefault="003A497B" w:rsidP="003A497B">
      <w:pPr>
        <w:ind w:firstLine="708"/>
        <w:jc w:val="both"/>
        <w:rPr>
          <w:rFonts w:ascii="Times New Roman" w:hAnsi="Times New Roman" w:cs="Times New Roman"/>
          <w:lang w:eastAsia="sk-SK"/>
        </w:rPr>
      </w:pPr>
      <w:r w:rsidRPr="004A2AEE">
        <w:rPr>
          <w:rFonts w:ascii="Times New Roman" w:hAnsi="Times New Roman" w:cs="Times New Roman"/>
          <w:lang w:eastAsia="sk-SK"/>
        </w:rPr>
        <w:t xml:space="preserve">Výdavky na administratívu na rok 2019 v sume 44,7 mil. eur sú v porovnaní </w:t>
      </w:r>
      <w:r w:rsidRPr="004A2AEE">
        <w:rPr>
          <w:rFonts w:ascii="Times New Roman" w:hAnsi="Times New Roman" w:cs="Times New Roman"/>
          <w:lang w:eastAsia="sk-SK"/>
        </w:rPr>
        <w:br/>
        <w:t>so schváleným rozpočtom na rok 2018 vyššie o 14,2 mil. eur, t. j. o 46,8 %. Tento vývoj ovplyvnilo najmä rozpočtovanie výdavkov na svetovú výstavu EXPO Dubaj 2020, výdavky na rekonštrukciu budovy MH SR, zvýšenie výdavkov na hospodársku mobilizáciu, ktoré sú určené na zabezpečovanie servisných činností a údržbu integrovaných bezpečnostných systémov objektov osobitnej dôležitosti a jednotného informačného systému hospodárskej mobilizácie, ako aj valorizácia platov zamestnancov aparátu z roku 2018 do nasledujúcich rokov.</w:t>
      </w:r>
    </w:p>
    <w:p w:rsidR="003A497B" w:rsidRPr="004A2AEE" w:rsidRDefault="003A497B" w:rsidP="003A497B"/>
    <w:p w:rsidR="003A497B" w:rsidRPr="004A2AEE" w:rsidRDefault="003A497B" w:rsidP="003A497B">
      <w:pPr>
        <w:ind w:firstLine="708"/>
        <w:jc w:val="both"/>
        <w:rPr>
          <w:rFonts w:ascii="Times New Roman" w:hAnsi="Times New Roman" w:cs="Times New Roman"/>
          <w:lang w:eastAsia="sk-SK"/>
        </w:rPr>
      </w:pPr>
      <w:r w:rsidRPr="004A2AEE">
        <w:rPr>
          <w:rFonts w:ascii="Times New Roman" w:hAnsi="Times New Roman" w:cs="Times New Roman"/>
          <w:lang w:eastAsia="sk-SK"/>
        </w:rPr>
        <w:t>Výdavky na administráciu sú rozpočtované na plnenie úloh týchto organizácií:</w:t>
      </w:r>
    </w:p>
    <w:p w:rsidR="003A497B" w:rsidRPr="004A2AEE" w:rsidRDefault="003A497B" w:rsidP="003A497B">
      <w:pPr>
        <w:ind w:firstLine="708"/>
        <w:jc w:val="both"/>
        <w:rPr>
          <w:rFonts w:ascii="Times New Roman" w:hAnsi="Times New Roman" w:cs="Times New Roman"/>
          <w:lang w:eastAsia="sk-SK"/>
        </w:rPr>
      </w:pPr>
    </w:p>
    <w:tbl>
      <w:tblPr>
        <w:tblW w:w="5000" w:type="pct"/>
        <w:tblCellMar>
          <w:left w:w="70" w:type="dxa"/>
          <w:right w:w="70" w:type="dxa"/>
        </w:tblCellMar>
        <w:tblLook w:val="04A0" w:firstRow="1" w:lastRow="0" w:firstColumn="1" w:lastColumn="0" w:noHBand="0" w:noVBand="1"/>
      </w:tblPr>
      <w:tblGrid>
        <w:gridCol w:w="2123"/>
        <w:gridCol w:w="992"/>
        <w:gridCol w:w="992"/>
        <w:gridCol w:w="991"/>
        <w:gridCol w:w="991"/>
        <w:gridCol w:w="991"/>
        <w:gridCol w:w="991"/>
        <w:gridCol w:w="991"/>
      </w:tblGrid>
      <w:tr w:rsidR="003A497B" w:rsidRPr="004A2AEE" w:rsidTr="003E1809">
        <w:trPr>
          <w:trHeight w:hRule="exact" w:val="255"/>
        </w:trPr>
        <w:tc>
          <w:tcPr>
            <w:tcW w:w="1171"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4A2AEE" w:rsidRDefault="003A497B" w:rsidP="003E1809">
            <w:pP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v eurách</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2016  S</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2017  S</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2018 R</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2018 OS</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2019 N</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2020 N</w:t>
            </w:r>
          </w:p>
        </w:tc>
        <w:tc>
          <w:tcPr>
            <w:tcW w:w="54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2021 N</w:t>
            </w:r>
          </w:p>
        </w:tc>
      </w:tr>
      <w:tr w:rsidR="003A497B" w:rsidRPr="004A2AEE" w:rsidTr="003E1809">
        <w:trPr>
          <w:trHeight w:hRule="exact" w:val="255"/>
        </w:trPr>
        <w:tc>
          <w:tcPr>
            <w:tcW w:w="1171"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4A2AEE" w:rsidRDefault="003A497B" w:rsidP="003E1809">
            <w:pPr>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 </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30 426 000</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26 154 889</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25 419 556</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26 140 121</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37 860 769</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29 406 840</w:t>
            </w:r>
          </w:p>
        </w:tc>
        <w:tc>
          <w:tcPr>
            <w:tcW w:w="547"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27 489 317</w:t>
            </w:r>
          </w:p>
        </w:tc>
      </w:tr>
      <w:tr w:rsidR="003A497B" w:rsidRPr="004A2AEE" w:rsidTr="003E1809">
        <w:trPr>
          <w:trHeight w:hRule="exact" w:val="255"/>
        </w:trPr>
        <w:tc>
          <w:tcPr>
            <w:tcW w:w="1171" w:type="pct"/>
            <w:tcBorders>
              <w:top w:val="nil"/>
              <w:left w:val="single" w:sz="4" w:space="0" w:color="auto"/>
              <w:bottom w:val="single" w:sz="4" w:space="0" w:color="auto"/>
              <w:right w:val="single" w:sz="4" w:space="0" w:color="auto"/>
            </w:tcBorders>
            <w:shd w:val="clear" w:color="auto" w:fill="auto"/>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Puncový úrad</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523 810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533 913</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545 361</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562 497</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568 100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568 100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568 100</w:t>
            </w:r>
          </w:p>
        </w:tc>
      </w:tr>
      <w:tr w:rsidR="003A497B" w:rsidRPr="004A2AEE" w:rsidTr="003E1809">
        <w:trPr>
          <w:trHeight w:hRule="exact" w:val="255"/>
        </w:trPr>
        <w:tc>
          <w:tcPr>
            <w:tcW w:w="1171" w:type="pct"/>
            <w:tcBorders>
              <w:top w:val="nil"/>
              <w:left w:val="single" w:sz="4" w:space="0" w:color="auto"/>
              <w:bottom w:val="single" w:sz="4" w:space="0" w:color="auto"/>
              <w:right w:val="single" w:sz="4" w:space="0" w:color="auto"/>
            </w:tcBorders>
            <w:shd w:val="clear" w:color="auto" w:fill="auto"/>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Múzeum obchodu</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180 000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160 401</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160 000</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164 000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164 714</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164 714</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164 714</w:t>
            </w:r>
          </w:p>
        </w:tc>
      </w:tr>
      <w:tr w:rsidR="003A497B" w:rsidRPr="004A2AEE" w:rsidTr="003E1809">
        <w:trPr>
          <w:trHeight w:hRule="exact" w:val="255"/>
        </w:trPr>
        <w:tc>
          <w:tcPr>
            <w:tcW w:w="1171" w:type="pct"/>
            <w:tcBorders>
              <w:top w:val="nil"/>
              <w:left w:val="single" w:sz="4" w:space="0" w:color="auto"/>
              <w:bottom w:val="single" w:sz="4" w:space="0" w:color="auto"/>
              <w:right w:val="single" w:sz="4" w:space="0" w:color="auto"/>
            </w:tcBorders>
            <w:shd w:val="clear" w:color="auto" w:fill="auto"/>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 xml:space="preserve">Slovenská obchodná inšpekcia </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5 781 795</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6 276 780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6 399 582</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6 630 334</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6 609 859</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6 609 859</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6 609 859</w:t>
            </w:r>
          </w:p>
        </w:tc>
      </w:tr>
      <w:tr w:rsidR="003A497B" w:rsidRPr="004A2AEE" w:rsidTr="003E1809">
        <w:trPr>
          <w:trHeight w:hRule="exact" w:val="255"/>
        </w:trPr>
        <w:tc>
          <w:tcPr>
            <w:tcW w:w="1171"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Hlavný banský úrad</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1 477 608</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1 601 459</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1 424 283</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1 504 269</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1 483 827</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1 483 827</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1 483 827</w:t>
            </w:r>
          </w:p>
        </w:tc>
      </w:tr>
      <w:tr w:rsidR="003A497B" w:rsidRPr="004A2AEE" w:rsidTr="003E1809">
        <w:trPr>
          <w:trHeight w:hRule="exact" w:val="255"/>
        </w:trPr>
        <w:tc>
          <w:tcPr>
            <w:tcW w:w="1171" w:type="pct"/>
            <w:tcBorders>
              <w:top w:val="nil"/>
              <w:left w:val="single" w:sz="4" w:space="0" w:color="auto"/>
              <w:bottom w:val="single" w:sz="4" w:space="0" w:color="auto"/>
              <w:right w:val="single" w:sz="4" w:space="0" w:color="auto"/>
            </w:tcBorders>
            <w:shd w:val="clear" w:color="auto" w:fill="auto"/>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SIEA</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2 711 000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2 159 495</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1 681 300</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1 711 300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2 372 100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2 362 100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2 362 100</w:t>
            </w:r>
          </w:p>
        </w:tc>
      </w:tr>
      <w:tr w:rsidR="003A497B" w:rsidRPr="004A2AEE" w:rsidTr="003E1809">
        <w:trPr>
          <w:trHeight w:hRule="exact" w:val="255"/>
        </w:trPr>
        <w:tc>
          <w:tcPr>
            <w:tcW w:w="1171" w:type="pct"/>
            <w:tcBorders>
              <w:top w:val="nil"/>
              <w:left w:val="single" w:sz="4" w:space="0" w:color="auto"/>
              <w:bottom w:val="single" w:sz="4" w:space="0" w:color="auto"/>
              <w:right w:val="single" w:sz="4" w:space="0" w:color="auto"/>
            </w:tcBorders>
            <w:shd w:val="clear" w:color="auto" w:fill="auto"/>
            <w:vAlign w:val="bottom"/>
            <w:hideMark/>
          </w:tcPr>
          <w:p w:rsidR="003A497B" w:rsidRPr="004A2AEE" w:rsidRDefault="003A497B" w:rsidP="003E1809">
            <w:pPr>
              <w:rPr>
                <w:rFonts w:ascii="Times New Roman" w:hAnsi="Times New Roman" w:cs="Times New Roman"/>
                <w:sz w:val="14"/>
                <w:szCs w:val="14"/>
                <w:lang w:eastAsia="sk-SK"/>
              </w:rPr>
            </w:pPr>
            <w:r w:rsidRPr="004A2AEE">
              <w:rPr>
                <w:rFonts w:ascii="Times New Roman" w:hAnsi="Times New Roman" w:cs="Times New Roman"/>
                <w:sz w:val="14"/>
                <w:szCs w:val="14"/>
                <w:lang w:eastAsia="sk-SK"/>
              </w:rPr>
              <w:t>MH SR admin.  úradu</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19 751 787</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15 422 841</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15 209 030</w:t>
            </w:r>
          </w:p>
        </w:tc>
        <w:tc>
          <w:tcPr>
            <w:tcW w:w="547"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15 567 721</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26 662 169</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18 218 240</w:t>
            </w:r>
          </w:p>
        </w:tc>
        <w:tc>
          <w:tcPr>
            <w:tcW w:w="547"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16 300 717</w:t>
            </w:r>
          </w:p>
        </w:tc>
      </w:tr>
    </w:tbl>
    <w:p w:rsidR="003A497B" w:rsidRPr="004A2AEE" w:rsidRDefault="003A497B" w:rsidP="003A497B">
      <w:pPr>
        <w:spacing w:before="100" w:beforeAutospacing="1" w:after="100" w:afterAutospacing="1"/>
        <w:ind w:firstLine="708"/>
        <w:jc w:val="both"/>
        <w:rPr>
          <w:rFonts w:ascii="Times New Roman" w:hAnsi="Times New Roman" w:cs="Times New Roman"/>
          <w:lang w:eastAsia="sk-SK"/>
        </w:rPr>
      </w:pPr>
      <w:r w:rsidRPr="004A2AEE">
        <w:rPr>
          <w:rFonts w:ascii="Times New Roman" w:hAnsi="Times New Roman" w:cs="Times New Roman"/>
          <w:lang w:eastAsia="sk-SK"/>
        </w:rPr>
        <w:t xml:space="preserve">Výdavky na administráciu sú smerované na administráciu vlastného aparátu ministerstva, realizáciu zmiešaných a medzinárodných komisií, organizáciu podujatia Mladý tvorca, účasť na svetovej výstave EXPO Dubaj 2020, zabezpečenie činnosti rozpočtových organizácií v oblasti puncovníctva, trhového dozoru v ochrane spotrebiteľa na vnútornom trhu, zabezpečovanie a riadenie výkonu štátnej banskej správy. Výdavky v tejto oblasti sú smerované aj pre príspevkové organizácie Múzeum obchodu a Slovenskú inovačnú a energetickú agentúru. </w:t>
      </w:r>
    </w:p>
    <w:p w:rsidR="003A497B" w:rsidRPr="004A2AEE" w:rsidRDefault="003A497B" w:rsidP="003A497B">
      <w:pPr>
        <w:ind w:firstLine="708"/>
        <w:jc w:val="both"/>
        <w:rPr>
          <w:rFonts w:ascii="Times New Roman" w:hAnsi="Times New Roman" w:cs="Times New Roman"/>
          <w:noProof/>
          <w:lang w:eastAsia="sk-SK"/>
        </w:rPr>
      </w:pPr>
      <w:r w:rsidRPr="004A2AEE">
        <w:rPr>
          <w:rFonts w:ascii="Times New Roman" w:hAnsi="Times New Roman" w:cs="Times New Roman"/>
          <w:lang w:eastAsia="sk-SK"/>
        </w:rPr>
        <w:t>Ďalšie výdavky v oblasti administratívy sú smerované najmä na plnenie úloh medzirezortných programov, príspevky do medzinárodných organizácií a Európske spotrebiteľské centrum.</w:t>
      </w:r>
    </w:p>
    <w:p w:rsidR="003A497B" w:rsidRDefault="003A497B" w:rsidP="003A497B">
      <w:pPr>
        <w:spacing w:line="259" w:lineRule="auto"/>
        <w:rPr>
          <w:rFonts w:ascii="Times New Roman" w:hAnsi="Times New Roman" w:cs="Times New Roman"/>
          <w:noProof/>
          <w:highlight w:val="yellow"/>
          <w:lang w:eastAsia="sk-SK"/>
        </w:rPr>
      </w:pPr>
    </w:p>
    <w:p w:rsidR="003A497B" w:rsidRDefault="003A497B" w:rsidP="003A497B">
      <w:pPr>
        <w:spacing w:line="259" w:lineRule="auto"/>
        <w:rPr>
          <w:rFonts w:ascii="Times New Roman" w:hAnsi="Times New Roman" w:cs="Times New Roman"/>
          <w:noProof/>
          <w:highlight w:val="yellow"/>
          <w:lang w:eastAsia="sk-SK"/>
        </w:rPr>
      </w:pPr>
    </w:p>
    <w:p w:rsidR="003A497B" w:rsidRDefault="003A497B" w:rsidP="003A497B">
      <w:pPr>
        <w:spacing w:line="259" w:lineRule="auto"/>
        <w:rPr>
          <w:rFonts w:ascii="Times New Roman" w:hAnsi="Times New Roman" w:cs="Times New Roman"/>
          <w:noProof/>
          <w:highlight w:val="yellow"/>
          <w:lang w:eastAsia="sk-SK"/>
        </w:rPr>
      </w:pPr>
    </w:p>
    <w:p w:rsidR="003A497B" w:rsidRDefault="003A497B" w:rsidP="003A497B">
      <w:pPr>
        <w:spacing w:line="259" w:lineRule="auto"/>
        <w:rPr>
          <w:rFonts w:ascii="Times New Roman" w:hAnsi="Times New Roman" w:cs="Times New Roman"/>
          <w:noProof/>
          <w:highlight w:val="yellow"/>
          <w:lang w:eastAsia="sk-SK"/>
        </w:rPr>
      </w:pPr>
    </w:p>
    <w:p w:rsidR="003A497B" w:rsidRPr="004A3627" w:rsidRDefault="003A497B" w:rsidP="003A497B">
      <w:pPr>
        <w:spacing w:line="259" w:lineRule="auto"/>
        <w:rPr>
          <w:rFonts w:ascii="Times New Roman" w:hAnsi="Times New Roman" w:cs="Times New Roman"/>
          <w:noProof/>
          <w:highlight w:val="yellow"/>
          <w:lang w:eastAsia="sk-SK"/>
        </w:rPr>
      </w:pPr>
    </w:p>
    <w:p w:rsidR="003A497B" w:rsidRPr="00A401D6" w:rsidRDefault="003A497B" w:rsidP="003A497B">
      <w:pPr>
        <w:pStyle w:val="Nadpis5"/>
        <w:pBdr>
          <w:bottom w:val="single" w:sz="4" w:space="1" w:color="auto"/>
        </w:pBdr>
        <w:ind w:left="0"/>
        <w:rPr>
          <w:i w:val="0"/>
          <w:sz w:val="24"/>
          <w:lang w:eastAsia="sk-SK"/>
        </w:rPr>
      </w:pPr>
      <w:bookmarkStart w:id="220" w:name="_Toc400551761"/>
      <w:bookmarkStart w:id="221" w:name="_Toc463048253"/>
      <w:bookmarkStart w:id="222" w:name="_Toc526267701"/>
      <w:r w:rsidRPr="00A401D6">
        <w:rPr>
          <w:i w:val="0"/>
          <w:sz w:val="24"/>
          <w:lang w:eastAsia="sk-SK"/>
        </w:rPr>
        <w:lastRenderedPageBreak/>
        <w:t>Ministerstvo financií SR</w:t>
      </w:r>
      <w:bookmarkEnd w:id="220"/>
      <w:bookmarkEnd w:id="221"/>
      <w:bookmarkEnd w:id="222"/>
      <w:r w:rsidRPr="00A401D6">
        <w:rPr>
          <w:i w:val="0"/>
          <w:sz w:val="24"/>
          <w:lang w:eastAsia="sk-SK"/>
        </w:rPr>
        <w:t xml:space="preserve"> </w:t>
      </w:r>
    </w:p>
    <w:p w:rsidR="003A497B" w:rsidRPr="00542B88" w:rsidRDefault="003A497B" w:rsidP="003A497B">
      <w:pPr>
        <w:spacing w:line="360" w:lineRule="auto"/>
        <w:jc w:val="both"/>
        <w:rPr>
          <w:rFonts w:ascii="Times New Roman" w:hAnsi="Times New Roman" w:cs="Times New Roman"/>
          <w:b/>
          <w:lang w:eastAsia="en-US"/>
        </w:rPr>
      </w:pPr>
      <w:r w:rsidRPr="0036331F">
        <w:rPr>
          <w:rFonts w:ascii="Times New Roman" w:hAnsi="Times New Roman" w:cs="Times New Roman"/>
          <w:b/>
          <w:lang w:eastAsia="en-US"/>
        </w:rPr>
        <w:t xml:space="preserve"> </w:t>
      </w:r>
    </w:p>
    <w:tbl>
      <w:tblPr>
        <w:tblW w:w="5000" w:type="pct"/>
        <w:tblCellMar>
          <w:left w:w="70" w:type="dxa"/>
          <w:right w:w="70" w:type="dxa"/>
        </w:tblCellMar>
        <w:tblLook w:val="04A0" w:firstRow="1" w:lastRow="0" w:firstColumn="1" w:lastColumn="0" w:noHBand="0" w:noVBand="1"/>
      </w:tblPr>
      <w:tblGrid>
        <w:gridCol w:w="2949"/>
        <w:gridCol w:w="874"/>
        <w:gridCol w:w="874"/>
        <w:gridCol w:w="873"/>
        <w:gridCol w:w="873"/>
        <w:gridCol w:w="873"/>
        <w:gridCol w:w="873"/>
        <w:gridCol w:w="873"/>
      </w:tblGrid>
      <w:tr w:rsidR="003A497B" w:rsidRPr="00542B88" w:rsidTr="003E1809">
        <w:trPr>
          <w:trHeight w:hRule="exact" w:val="255"/>
        </w:trPr>
        <w:tc>
          <w:tcPr>
            <w:tcW w:w="3034" w:type="dxa"/>
            <w:tcBorders>
              <w:top w:val="single" w:sz="4" w:space="0" w:color="auto"/>
              <w:left w:val="single" w:sz="4" w:space="0" w:color="auto"/>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v eurách</w:t>
            </w:r>
          </w:p>
        </w:tc>
        <w:tc>
          <w:tcPr>
            <w:tcW w:w="896" w:type="dxa"/>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2016 S</w:t>
            </w:r>
          </w:p>
        </w:tc>
        <w:tc>
          <w:tcPr>
            <w:tcW w:w="896" w:type="dxa"/>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2017 S</w:t>
            </w:r>
          </w:p>
        </w:tc>
        <w:tc>
          <w:tcPr>
            <w:tcW w:w="896" w:type="dxa"/>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2018 R</w:t>
            </w:r>
          </w:p>
        </w:tc>
        <w:tc>
          <w:tcPr>
            <w:tcW w:w="896" w:type="dxa"/>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2018 OS</w:t>
            </w:r>
          </w:p>
        </w:tc>
        <w:tc>
          <w:tcPr>
            <w:tcW w:w="896" w:type="dxa"/>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2019 N</w:t>
            </w:r>
          </w:p>
        </w:tc>
        <w:tc>
          <w:tcPr>
            <w:tcW w:w="896" w:type="dxa"/>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2020 N</w:t>
            </w:r>
          </w:p>
        </w:tc>
        <w:tc>
          <w:tcPr>
            <w:tcW w:w="896" w:type="dxa"/>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2021 N</w:t>
            </w:r>
          </w:p>
        </w:tc>
      </w:tr>
      <w:tr w:rsidR="003A497B" w:rsidRPr="00542B88" w:rsidTr="003E1809">
        <w:trPr>
          <w:trHeight w:hRule="exact" w:val="255"/>
        </w:trPr>
        <w:tc>
          <w:tcPr>
            <w:tcW w:w="3034" w:type="dxa"/>
            <w:tcBorders>
              <w:top w:val="single" w:sz="4" w:space="0" w:color="auto"/>
              <w:left w:val="single" w:sz="4" w:space="0" w:color="auto"/>
              <w:bottom w:val="single" w:sz="4" w:space="0" w:color="auto"/>
              <w:right w:val="single" w:sz="4" w:space="0" w:color="auto"/>
            </w:tcBorders>
            <w:shd w:val="pct25" w:color="auto" w:fill="auto"/>
            <w:noWrap/>
            <w:vAlign w:val="bottom"/>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Zdroje príslušnej kapitoly vrátane 72e</w:t>
            </w:r>
          </w:p>
        </w:tc>
        <w:tc>
          <w:tcPr>
            <w:tcW w:w="896" w:type="dxa"/>
            <w:tcBorders>
              <w:top w:val="single" w:sz="4" w:space="0" w:color="auto"/>
              <w:left w:val="nil"/>
              <w:bottom w:val="single" w:sz="4" w:space="0" w:color="auto"/>
              <w:right w:val="single" w:sz="4" w:space="0" w:color="auto"/>
            </w:tcBorders>
            <w:shd w:val="pct25" w:color="auto" w:fill="auto"/>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510 405 117</w:t>
            </w:r>
          </w:p>
        </w:tc>
        <w:tc>
          <w:tcPr>
            <w:tcW w:w="896" w:type="dxa"/>
            <w:tcBorders>
              <w:top w:val="single" w:sz="4" w:space="0" w:color="auto"/>
              <w:left w:val="nil"/>
              <w:bottom w:val="single" w:sz="4" w:space="0" w:color="auto"/>
              <w:right w:val="single" w:sz="4" w:space="0" w:color="auto"/>
            </w:tcBorders>
            <w:shd w:val="pct25" w:color="auto" w:fill="auto"/>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464 188 475</w:t>
            </w:r>
          </w:p>
        </w:tc>
        <w:tc>
          <w:tcPr>
            <w:tcW w:w="896" w:type="dxa"/>
            <w:tcBorders>
              <w:top w:val="single" w:sz="4" w:space="0" w:color="auto"/>
              <w:left w:val="nil"/>
              <w:bottom w:val="single" w:sz="4" w:space="0" w:color="auto"/>
              <w:right w:val="single" w:sz="4" w:space="0" w:color="auto"/>
            </w:tcBorders>
            <w:shd w:val="pct25" w:color="auto" w:fill="auto"/>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364 403 833</w:t>
            </w:r>
          </w:p>
        </w:tc>
        <w:tc>
          <w:tcPr>
            <w:tcW w:w="896" w:type="dxa"/>
            <w:tcBorders>
              <w:top w:val="single" w:sz="4" w:space="0" w:color="auto"/>
              <w:left w:val="nil"/>
              <w:bottom w:val="single" w:sz="4" w:space="0" w:color="auto"/>
              <w:right w:val="single" w:sz="4" w:space="0" w:color="auto"/>
            </w:tcBorders>
            <w:shd w:val="pct25" w:color="auto" w:fill="auto"/>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424 784 427</w:t>
            </w:r>
          </w:p>
        </w:tc>
        <w:tc>
          <w:tcPr>
            <w:tcW w:w="896" w:type="dxa"/>
            <w:tcBorders>
              <w:top w:val="single" w:sz="4" w:space="0" w:color="auto"/>
              <w:left w:val="nil"/>
              <w:bottom w:val="single" w:sz="4" w:space="0" w:color="auto"/>
              <w:right w:val="single" w:sz="4" w:space="0" w:color="auto"/>
            </w:tcBorders>
            <w:shd w:val="pct25" w:color="auto" w:fill="auto"/>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420 185 829</w:t>
            </w:r>
          </w:p>
        </w:tc>
        <w:tc>
          <w:tcPr>
            <w:tcW w:w="896" w:type="dxa"/>
            <w:tcBorders>
              <w:top w:val="single" w:sz="4" w:space="0" w:color="auto"/>
              <w:left w:val="nil"/>
              <w:bottom w:val="single" w:sz="4" w:space="0" w:color="auto"/>
              <w:right w:val="single" w:sz="4" w:space="0" w:color="auto"/>
            </w:tcBorders>
            <w:shd w:val="pct25" w:color="auto" w:fill="auto"/>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593 350 734</w:t>
            </w:r>
          </w:p>
        </w:tc>
        <w:tc>
          <w:tcPr>
            <w:tcW w:w="896" w:type="dxa"/>
            <w:tcBorders>
              <w:top w:val="single" w:sz="4" w:space="0" w:color="auto"/>
              <w:left w:val="nil"/>
              <w:bottom w:val="single" w:sz="4" w:space="0" w:color="auto"/>
              <w:right w:val="single" w:sz="4" w:space="0" w:color="auto"/>
            </w:tcBorders>
            <w:shd w:val="pct25" w:color="auto" w:fill="auto"/>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614 551 135</w:t>
            </w:r>
          </w:p>
        </w:tc>
      </w:tr>
      <w:tr w:rsidR="003A497B" w:rsidRPr="00542B88" w:rsidTr="003E1809">
        <w:trPr>
          <w:trHeight w:hRule="exact" w:val="255"/>
        </w:trPr>
        <w:tc>
          <w:tcPr>
            <w:tcW w:w="3034" w:type="dxa"/>
            <w:tcBorders>
              <w:top w:val="single" w:sz="4" w:space="0" w:color="auto"/>
              <w:left w:val="single" w:sz="4" w:space="0" w:color="auto"/>
              <w:bottom w:val="single" w:sz="4" w:space="0" w:color="auto"/>
              <w:right w:val="single" w:sz="4" w:space="0" w:color="auto"/>
            </w:tcBorders>
            <w:shd w:val="pct25" w:color="auto" w:fill="auto"/>
            <w:noWrap/>
            <w:vAlign w:val="bottom"/>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zdroje príslušnej kapitoly</w:t>
            </w:r>
          </w:p>
        </w:tc>
        <w:tc>
          <w:tcPr>
            <w:tcW w:w="896" w:type="dxa"/>
            <w:tcBorders>
              <w:top w:val="single" w:sz="4" w:space="0" w:color="auto"/>
              <w:left w:val="nil"/>
              <w:bottom w:val="single" w:sz="4" w:space="0" w:color="auto"/>
              <w:right w:val="single" w:sz="4" w:space="0" w:color="auto"/>
            </w:tcBorders>
            <w:shd w:val="pct25" w:color="auto" w:fill="auto"/>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510 322 801</w:t>
            </w:r>
          </w:p>
        </w:tc>
        <w:tc>
          <w:tcPr>
            <w:tcW w:w="896" w:type="dxa"/>
            <w:tcBorders>
              <w:top w:val="single" w:sz="4" w:space="0" w:color="auto"/>
              <w:left w:val="nil"/>
              <w:bottom w:val="single" w:sz="4" w:space="0" w:color="auto"/>
              <w:right w:val="single" w:sz="4" w:space="0" w:color="auto"/>
            </w:tcBorders>
            <w:shd w:val="pct25" w:color="auto" w:fill="auto"/>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464 085 260</w:t>
            </w:r>
          </w:p>
        </w:tc>
        <w:tc>
          <w:tcPr>
            <w:tcW w:w="896" w:type="dxa"/>
            <w:tcBorders>
              <w:top w:val="single" w:sz="4" w:space="0" w:color="auto"/>
              <w:left w:val="nil"/>
              <w:bottom w:val="single" w:sz="4" w:space="0" w:color="auto"/>
              <w:right w:val="single" w:sz="4" w:space="0" w:color="auto"/>
            </w:tcBorders>
            <w:shd w:val="pct25" w:color="auto" w:fill="auto"/>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364 325 313</w:t>
            </w:r>
          </w:p>
        </w:tc>
        <w:tc>
          <w:tcPr>
            <w:tcW w:w="896" w:type="dxa"/>
            <w:tcBorders>
              <w:top w:val="single" w:sz="4" w:space="0" w:color="auto"/>
              <w:left w:val="nil"/>
              <w:bottom w:val="single" w:sz="4" w:space="0" w:color="auto"/>
              <w:right w:val="single" w:sz="4" w:space="0" w:color="auto"/>
            </w:tcBorders>
            <w:shd w:val="pct25" w:color="auto" w:fill="auto"/>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424 705 907</w:t>
            </w:r>
          </w:p>
        </w:tc>
        <w:tc>
          <w:tcPr>
            <w:tcW w:w="896" w:type="dxa"/>
            <w:tcBorders>
              <w:top w:val="single" w:sz="4" w:space="0" w:color="auto"/>
              <w:left w:val="nil"/>
              <w:bottom w:val="single" w:sz="4" w:space="0" w:color="auto"/>
              <w:right w:val="single" w:sz="4" w:space="0" w:color="auto"/>
            </w:tcBorders>
            <w:shd w:val="pct25" w:color="auto" w:fill="auto"/>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420 107 309</w:t>
            </w:r>
          </w:p>
        </w:tc>
        <w:tc>
          <w:tcPr>
            <w:tcW w:w="896" w:type="dxa"/>
            <w:tcBorders>
              <w:top w:val="single" w:sz="4" w:space="0" w:color="auto"/>
              <w:left w:val="nil"/>
              <w:bottom w:val="single" w:sz="4" w:space="0" w:color="auto"/>
              <w:right w:val="single" w:sz="4" w:space="0" w:color="auto"/>
            </w:tcBorders>
            <w:shd w:val="pct25" w:color="auto" w:fill="auto"/>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593 272 214</w:t>
            </w:r>
          </w:p>
        </w:tc>
        <w:tc>
          <w:tcPr>
            <w:tcW w:w="896" w:type="dxa"/>
            <w:tcBorders>
              <w:top w:val="single" w:sz="4" w:space="0" w:color="auto"/>
              <w:left w:val="nil"/>
              <w:bottom w:val="single" w:sz="4" w:space="0" w:color="auto"/>
              <w:right w:val="single" w:sz="4" w:space="0" w:color="auto"/>
            </w:tcBorders>
            <w:shd w:val="pct25" w:color="auto" w:fill="auto"/>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614 472 615</w:t>
            </w:r>
          </w:p>
        </w:tc>
      </w:tr>
      <w:tr w:rsidR="003A497B" w:rsidRPr="00542B88" w:rsidTr="003E1809">
        <w:trPr>
          <w:trHeight w:hRule="exact" w:val="255"/>
        </w:trPr>
        <w:tc>
          <w:tcPr>
            <w:tcW w:w="3034" w:type="dxa"/>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 xml:space="preserve">rozpočtové zdroje kapitoly </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413 678 350</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416 456 250</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364 325 313</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399 020 633</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405 074 037</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421 070 654</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420 297 858</w:t>
            </w:r>
          </w:p>
        </w:tc>
      </w:tr>
      <w:tr w:rsidR="003A497B" w:rsidRPr="00542B88" w:rsidTr="003E1809">
        <w:trPr>
          <w:trHeight w:hRule="exact" w:val="255"/>
        </w:trPr>
        <w:tc>
          <w:tcPr>
            <w:tcW w:w="3034" w:type="dxa"/>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 xml:space="preserve">    v tom: bežné výdavky  600</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382 644 488</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394 918 253</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333 518 758</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378 531 608</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374 684 911</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392 333 874</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391 526 078</w:t>
            </w:r>
          </w:p>
        </w:tc>
      </w:tr>
      <w:tr w:rsidR="003A497B" w:rsidRPr="00542B88" w:rsidTr="003E1809">
        <w:trPr>
          <w:trHeight w:hRule="exact" w:val="255"/>
        </w:trPr>
        <w:tc>
          <w:tcPr>
            <w:tcW w:w="3034" w:type="dxa"/>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 xml:space="preserve">                 610 mzdy</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143 857 788</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155 879 331</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156 612 347</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163 860 533</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182 359 305</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197 172 484</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197 112 484</w:t>
            </w:r>
          </w:p>
        </w:tc>
      </w:tr>
      <w:tr w:rsidR="003A497B" w:rsidRPr="00542B88" w:rsidTr="003E1809">
        <w:trPr>
          <w:trHeight w:hRule="exact" w:val="255"/>
        </w:trPr>
        <w:tc>
          <w:tcPr>
            <w:tcW w:w="3034" w:type="dxa"/>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 xml:space="preserve">                 620 odvody</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52 522 547</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56 954 979</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55 992 150</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58 570 705</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65 360 492</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70 884 186</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70 944 186</w:t>
            </w:r>
          </w:p>
        </w:tc>
      </w:tr>
      <w:tr w:rsidR="003A497B" w:rsidRPr="00542B88" w:rsidTr="003E1809">
        <w:trPr>
          <w:trHeight w:hRule="exact" w:val="255"/>
        </w:trPr>
        <w:tc>
          <w:tcPr>
            <w:tcW w:w="3034" w:type="dxa"/>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 xml:space="preserve">                 630 tovary a služby</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176 825 685</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171 386 919</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116 661 739</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146 110 442</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118 727 700</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116 362 186</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116 117 186</w:t>
            </w:r>
          </w:p>
        </w:tc>
      </w:tr>
      <w:tr w:rsidR="003A497B" w:rsidRPr="00542B88" w:rsidTr="003E1809">
        <w:trPr>
          <w:trHeight w:hRule="exact" w:val="255"/>
        </w:trPr>
        <w:tc>
          <w:tcPr>
            <w:tcW w:w="3034" w:type="dxa"/>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 xml:space="preserve">                 640 bežné transfery</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9 438 468</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10 697 024</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4 252 522</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9 989 928</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8 237 414</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7 915 018</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7 352 222</w:t>
            </w:r>
          </w:p>
        </w:tc>
      </w:tr>
      <w:tr w:rsidR="003A497B" w:rsidRPr="00542B88" w:rsidTr="003E1809">
        <w:trPr>
          <w:trHeight w:hRule="exact" w:val="255"/>
        </w:trPr>
        <w:tc>
          <w:tcPr>
            <w:tcW w:w="3034" w:type="dxa"/>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 xml:space="preserve">               kapitálové výdavky 700</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31 033 862</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21 537 997</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30 806 555</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20 489 025</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30 389 126</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28 736 780</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28 771 780</w:t>
            </w:r>
          </w:p>
        </w:tc>
      </w:tr>
      <w:tr w:rsidR="003A497B" w:rsidRPr="00542B88" w:rsidTr="003E1809">
        <w:trPr>
          <w:trHeight w:hRule="exact" w:val="255"/>
        </w:trPr>
        <w:tc>
          <w:tcPr>
            <w:tcW w:w="3034" w:type="dxa"/>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 xml:space="preserve">zdroje EÚ vrátane spolufinancovania: </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412 448</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0</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0</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515 466</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15 033 272</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172 201 560</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194 174 757</w:t>
            </w:r>
          </w:p>
        </w:tc>
      </w:tr>
      <w:tr w:rsidR="003A497B" w:rsidRPr="00542B88" w:rsidTr="003E1809">
        <w:trPr>
          <w:trHeight w:hRule="exact" w:val="255"/>
        </w:trPr>
        <w:tc>
          <w:tcPr>
            <w:tcW w:w="3034" w:type="dxa"/>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 xml:space="preserve">    v tom: 2. program. obdobie  EÚ </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300 502</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r>
      <w:tr w:rsidR="003A497B" w:rsidRPr="00542B88" w:rsidTr="003E1809">
        <w:trPr>
          <w:trHeight w:hRule="exact" w:val="255"/>
        </w:trPr>
        <w:tc>
          <w:tcPr>
            <w:tcW w:w="3034" w:type="dxa"/>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 xml:space="preserve">             spolufinancovanie zo ŠR</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111 946</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r>
      <w:tr w:rsidR="003A497B" w:rsidRPr="00542B88" w:rsidTr="003E1809">
        <w:trPr>
          <w:trHeight w:hRule="exact" w:val="255"/>
        </w:trPr>
        <w:tc>
          <w:tcPr>
            <w:tcW w:w="3034" w:type="dxa"/>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 xml:space="preserve">             3. program. obdobie  EÚ </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422 991</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12 430 495</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132 500 000</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146 200 000</w:t>
            </w:r>
          </w:p>
        </w:tc>
      </w:tr>
      <w:tr w:rsidR="003A497B" w:rsidRPr="00542B88" w:rsidTr="003E1809">
        <w:trPr>
          <w:trHeight w:hRule="exact" w:val="255"/>
        </w:trPr>
        <w:tc>
          <w:tcPr>
            <w:tcW w:w="3034" w:type="dxa"/>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 xml:space="preserve">             spolufinancovanie zo ŠR</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92 475</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2 602 777</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39 701 560</w:t>
            </w:r>
          </w:p>
        </w:tc>
        <w:tc>
          <w:tcPr>
            <w:tcW w:w="896" w:type="dxa"/>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47 974 757</w:t>
            </w:r>
          </w:p>
        </w:tc>
      </w:tr>
      <w:tr w:rsidR="003A497B" w:rsidRPr="00542B88" w:rsidTr="003E1809">
        <w:trPr>
          <w:trHeight w:hRule="exact" w:val="255"/>
        </w:trPr>
        <w:tc>
          <w:tcPr>
            <w:tcW w:w="3034" w:type="dxa"/>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presun z minulých rokov § 8</w:t>
            </w:r>
          </w:p>
        </w:tc>
        <w:tc>
          <w:tcPr>
            <w:tcW w:w="896" w:type="dxa"/>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96 232 003</w:t>
            </w:r>
          </w:p>
        </w:tc>
        <w:tc>
          <w:tcPr>
            <w:tcW w:w="896" w:type="dxa"/>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47 629 010</w:t>
            </w:r>
          </w:p>
        </w:tc>
        <w:tc>
          <w:tcPr>
            <w:tcW w:w="896" w:type="dxa"/>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0</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25 169 808</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0</w:t>
            </w:r>
          </w:p>
        </w:tc>
        <w:tc>
          <w:tcPr>
            <w:tcW w:w="896" w:type="dxa"/>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0</w:t>
            </w:r>
          </w:p>
        </w:tc>
        <w:tc>
          <w:tcPr>
            <w:tcW w:w="896" w:type="dxa"/>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0</w:t>
            </w:r>
          </w:p>
        </w:tc>
      </w:tr>
      <w:tr w:rsidR="003A497B" w:rsidRPr="00542B88" w:rsidTr="003E1809">
        <w:trPr>
          <w:trHeight w:hRule="exact" w:val="255"/>
        </w:trPr>
        <w:tc>
          <w:tcPr>
            <w:tcW w:w="3034" w:type="dxa"/>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 xml:space="preserve">    v tom: štátny rozpočet</w:t>
            </w:r>
          </w:p>
        </w:tc>
        <w:tc>
          <w:tcPr>
            <w:tcW w:w="896" w:type="dxa"/>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59 126 822</w:t>
            </w:r>
          </w:p>
        </w:tc>
        <w:tc>
          <w:tcPr>
            <w:tcW w:w="896" w:type="dxa"/>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45 307 045</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24 084 191</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r>
      <w:tr w:rsidR="003A497B" w:rsidRPr="00542B88" w:rsidTr="003E1809">
        <w:trPr>
          <w:trHeight w:hRule="exact" w:val="255"/>
        </w:trPr>
        <w:tc>
          <w:tcPr>
            <w:tcW w:w="3034" w:type="dxa"/>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 xml:space="preserve">               EÚ prostriedky</w:t>
            </w:r>
          </w:p>
        </w:tc>
        <w:tc>
          <w:tcPr>
            <w:tcW w:w="896" w:type="dxa"/>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30 065 013</w:t>
            </w:r>
          </w:p>
        </w:tc>
        <w:tc>
          <w:tcPr>
            <w:tcW w:w="896" w:type="dxa"/>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1 898 988</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896 620</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r>
      <w:tr w:rsidR="003A497B" w:rsidRPr="00542B88" w:rsidTr="003E1809">
        <w:trPr>
          <w:trHeight w:hRule="exact" w:val="255"/>
        </w:trPr>
        <w:tc>
          <w:tcPr>
            <w:tcW w:w="3034" w:type="dxa"/>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 xml:space="preserve">              spolufinancovanie zo ŠR</w:t>
            </w:r>
          </w:p>
        </w:tc>
        <w:tc>
          <w:tcPr>
            <w:tcW w:w="896" w:type="dxa"/>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7 040 168</w:t>
            </w:r>
          </w:p>
        </w:tc>
        <w:tc>
          <w:tcPr>
            <w:tcW w:w="896" w:type="dxa"/>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422 977</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188 997</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r>
      <w:tr w:rsidR="003A497B" w:rsidRPr="00542B88" w:rsidTr="003E1809">
        <w:trPr>
          <w:trHeight w:hRule="exact" w:val="255"/>
        </w:trPr>
        <w:tc>
          <w:tcPr>
            <w:tcW w:w="3034" w:type="dxa"/>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zdroj 72e*</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82 316</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103 215</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78 520</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78 520</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78 520</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78 520</w:t>
            </w:r>
          </w:p>
        </w:tc>
        <w:tc>
          <w:tcPr>
            <w:tcW w:w="896" w:type="dxa"/>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78 520</w:t>
            </w:r>
          </w:p>
        </w:tc>
      </w:tr>
      <w:tr w:rsidR="003A497B" w:rsidRPr="00542B88" w:rsidTr="003E1809">
        <w:trPr>
          <w:trHeight w:hRule="exact" w:val="255"/>
        </w:trPr>
        <w:tc>
          <w:tcPr>
            <w:tcW w:w="896" w:type="dxa"/>
            <w:gridSpan w:val="2"/>
            <w:tcBorders>
              <w:top w:val="single" w:sz="4" w:space="0" w:color="auto"/>
              <w:left w:val="nil"/>
              <w:bottom w:val="nil"/>
              <w:right w:val="nil"/>
            </w:tcBorders>
            <w:shd w:val="clear" w:color="000000" w:fill="FFFFFF"/>
            <w:noWrap/>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 xml:space="preserve">* </w:t>
            </w:r>
            <w:r w:rsidRPr="00542B88">
              <w:rPr>
                <w:rFonts w:ascii="Times New Roman" w:hAnsi="Times New Roman" w:cs="Times New Roman"/>
                <w:sz w:val="12"/>
                <w:szCs w:val="12"/>
                <w:lang w:eastAsia="sk-SK"/>
              </w:rPr>
              <w:t>z poistného plnenia zo zmluvného poistenia alebo zo zákonného poistenia</w:t>
            </w:r>
          </w:p>
        </w:tc>
        <w:tc>
          <w:tcPr>
            <w:tcW w:w="896" w:type="dxa"/>
            <w:tcBorders>
              <w:top w:val="nil"/>
              <w:left w:val="nil"/>
              <w:bottom w:val="nil"/>
              <w:right w:val="nil"/>
            </w:tcBorders>
            <w:shd w:val="clear" w:color="auto" w:fill="auto"/>
            <w:noWrap/>
            <w:hideMark/>
          </w:tcPr>
          <w:p w:rsidR="003A497B" w:rsidRPr="00542B88" w:rsidRDefault="003A497B" w:rsidP="003E1809">
            <w:pPr>
              <w:rPr>
                <w:rFonts w:ascii="Times New Roman" w:hAnsi="Times New Roman" w:cs="Times New Roman"/>
                <w:sz w:val="14"/>
                <w:szCs w:val="14"/>
                <w:lang w:eastAsia="sk-SK"/>
              </w:rPr>
            </w:pPr>
          </w:p>
        </w:tc>
        <w:tc>
          <w:tcPr>
            <w:tcW w:w="896" w:type="dxa"/>
            <w:tcBorders>
              <w:top w:val="nil"/>
              <w:left w:val="nil"/>
              <w:bottom w:val="nil"/>
              <w:right w:val="nil"/>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p>
        </w:tc>
        <w:tc>
          <w:tcPr>
            <w:tcW w:w="896" w:type="dxa"/>
            <w:tcBorders>
              <w:top w:val="nil"/>
              <w:left w:val="nil"/>
              <w:bottom w:val="nil"/>
              <w:right w:val="nil"/>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p>
        </w:tc>
        <w:tc>
          <w:tcPr>
            <w:tcW w:w="896" w:type="dxa"/>
            <w:tcBorders>
              <w:top w:val="nil"/>
              <w:left w:val="nil"/>
              <w:bottom w:val="nil"/>
              <w:right w:val="nil"/>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p>
        </w:tc>
        <w:tc>
          <w:tcPr>
            <w:tcW w:w="896" w:type="dxa"/>
            <w:tcBorders>
              <w:top w:val="nil"/>
              <w:left w:val="nil"/>
              <w:bottom w:val="nil"/>
              <w:right w:val="nil"/>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p>
        </w:tc>
        <w:tc>
          <w:tcPr>
            <w:tcW w:w="896" w:type="dxa"/>
            <w:tcBorders>
              <w:top w:val="nil"/>
              <w:left w:val="nil"/>
              <w:bottom w:val="nil"/>
              <w:right w:val="nil"/>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p>
        </w:tc>
      </w:tr>
      <w:tr w:rsidR="003A497B" w:rsidRPr="00542B88" w:rsidTr="003E1809">
        <w:trPr>
          <w:trHeight w:hRule="exact" w:val="255"/>
        </w:trPr>
        <w:tc>
          <w:tcPr>
            <w:tcW w:w="3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Samostatné účty</w:t>
            </w:r>
          </w:p>
        </w:tc>
        <w:tc>
          <w:tcPr>
            <w:tcW w:w="896" w:type="dxa"/>
            <w:tcBorders>
              <w:top w:val="single" w:sz="4" w:space="0" w:color="auto"/>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44 426 350</w:t>
            </w:r>
          </w:p>
        </w:tc>
        <w:tc>
          <w:tcPr>
            <w:tcW w:w="896" w:type="dxa"/>
            <w:tcBorders>
              <w:top w:val="single" w:sz="4" w:space="0" w:color="auto"/>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40 705 081</w:t>
            </w:r>
          </w:p>
        </w:tc>
        <w:tc>
          <w:tcPr>
            <w:tcW w:w="896" w:type="dxa"/>
            <w:tcBorders>
              <w:top w:val="single" w:sz="4" w:space="0" w:color="auto"/>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19 336 648</w:t>
            </w:r>
          </w:p>
        </w:tc>
        <w:tc>
          <w:tcPr>
            <w:tcW w:w="896" w:type="dxa"/>
            <w:tcBorders>
              <w:top w:val="single" w:sz="4" w:space="0" w:color="auto"/>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21 824 306</w:t>
            </w:r>
          </w:p>
        </w:tc>
        <w:tc>
          <w:tcPr>
            <w:tcW w:w="896" w:type="dxa"/>
            <w:tcBorders>
              <w:top w:val="single" w:sz="4" w:space="0" w:color="auto"/>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21 364 621</w:t>
            </w:r>
          </w:p>
        </w:tc>
        <w:tc>
          <w:tcPr>
            <w:tcW w:w="896" w:type="dxa"/>
            <w:tcBorders>
              <w:top w:val="single" w:sz="4" w:space="0" w:color="auto"/>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22 458 416</w:t>
            </w:r>
          </w:p>
        </w:tc>
        <w:tc>
          <w:tcPr>
            <w:tcW w:w="896" w:type="dxa"/>
            <w:tcBorders>
              <w:top w:val="single" w:sz="4" w:space="0" w:color="auto"/>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23 863 576</w:t>
            </w:r>
          </w:p>
        </w:tc>
      </w:tr>
    </w:tbl>
    <w:p w:rsidR="003A497B" w:rsidRPr="00542B88" w:rsidRDefault="003A497B" w:rsidP="003A497B">
      <w:pPr>
        <w:jc w:val="both"/>
        <w:rPr>
          <w:rFonts w:ascii="Times New Roman" w:hAnsi="Times New Roman" w:cs="Times New Roman"/>
          <w:b/>
          <w:lang w:eastAsia="en-US"/>
        </w:rPr>
      </w:pPr>
    </w:p>
    <w:p w:rsidR="003A497B" w:rsidRPr="00542B88" w:rsidRDefault="003A497B" w:rsidP="003A497B">
      <w:pPr>
        <w:ind w:firstLine="708"/>
        <w:jc w:val="both"/>
        <w:rPr>
          <w:rFonts w:ascii="Times New Roman" w:eastAsiaTheme="minorHAnsi" w:hAnsi="Times New Roman" w:cs="Times New Roman"/>
          <w:lang w:eastAsia="en-US"/>
        </w:rPr>
      </w:pPr>
      <w:r w:rsidRPr="00542B88">
        <w:rPr>
          <w:rFonts w:ascii="Times New Roman" w:eastAsiaTheme="minorHAnsi" w:hAnsi="Times New Roman" w:cs="Times New Roman"/>
          <w:lang w:eastAsia="en-US"/>
        </w:rPr>
        <w:t xml:space="preserve">Celkové  výdavky kapitoly Ministerstva financií SR (ďalej len „MF SR“) sa v roku 2019 rozpočtujú vo výške 420 mil. eur, čo predstavuje nárast v porovnaní so schváleným rozpočtom na rok 2018 o 55,8 mil. eur, t. j. o 15,3 %. Dôvodom nárastu výdavkov je rozpočtovanie prostriedkov EÚ a spolufinancovania zo štátneho rozpočtu a zvýšenie rozpočtových zdrojov kapitoly. </w:t>
      </w:r>
    </w:p>
    <w:p w:rsidR="003A497B" w:rsidRPr="00542B88" w:rsidRDefault="003A497B" w:rsidP="003A497B">
      <w:pPr>
        <w:ind w:firstLine="708"/>
        <w:jc w:val="both"/>
        <w:rPr>
          <w:rFonts w:ascii="Times New Roman" w:eastAsiaTheme="minorHAnsi" w:hAnsi="Times New Roman" w:cs="Times New Roman"/>
          <w:lang w:eastAsia="en-US"/>
        </w:rPr>
      </w:pPr>
    </w:p>
    <w:p w:rsidR="003A497B" w:rsidRPr="00542B88" w:rsidRDefault="003A497B" w:rsidP="003A497B">
      <w:pPr>
        <w:jc w:val="both"/>
        <w:rPr>
          <w:rFonts w:ascii="Times New Roman" w:eastAsiaTheme="minorHAnsi" w:hAnsi="Times New Roman" w:cs="Times New Roman"/>
          <w:lang w:eastAsia="en-US"/>
        </w:rPr>
      </w:pPr>
      <w:r w:rsidRPr="00542B88">
        <w:rPr>
          <w:rFonts w:ascii="Times New Roman" w:eastAsiaTheme="minorHAnsi" w:hAnsi="Times New Roman" w:cs="Times New Roman"/>
          <w:lang w:eastAsia="en-US"/>
        </w:rPr>
        <w:tab/>
        <w:t xml:space="preserve">Osobné výdavky na rok 2019 sa navrhujú na úrovni 248 mil. eur. V porovnaní so schváleným rozpočtom na rok 2018 rastú o 35,1 mil. eur, čo predstavuje nárast o 16,5 %. Uvedený vývoj osobných výdavkov ovplyvnil najmä rast výdavkov z dôvodu rozpočtovania výdavkov spojených s návrhom zákona o finančnej správe  o zmene a doplnení niektorých zákonov (ďalej len „zákon o FS“), premietnutie valorizácie platov zamestnancov z roku 2018 do nasledujúcich rokov a ich dorovnanie do výšky predchádzajúcich rokov a delimitácia výdavkov určených na CSIRT na Úrad podpredsedu vlády SR pre investície a informatizáciu (ďalej len „ÚPVII“).  </w:t>
      </w:r>
    </w:p>
    <w:p w:rsidR="003A497B" w:rsidRPr="00542B88" w:rsidRDefault="003A497B" w:rsidP="003A497B">
      <w:pPr>
        <w:jc w:val="both"/>
        <w:rPr>
          <w:rFonts w:ascii="Times New Roman" w:eastAsiaTheme="minorHAnsi" w:hAnsi="Times New Roman" w:cs="Times New Roman"/>
          <w:lang w:eastAsia="en-US"/>
        </w:rPr>
      </w:pPr>
    </w:p>
    <w:p w:rsidR="003A497B" w:rsidRPr="00542B88" w:rsidRDefault="003A497B" w:rsidP="003A497B">
      <w:pPr>
        <w:jc w:val="both"/>
        <w:rPr>
          <w:rFonts w:ascii="Times New Roman" w:eastAsiaTheme="minorHAnsi" w:hAnsi="Times New Roman" w:cs="Times New Roman"/>
          <w:lang w:eastAsia="en-US"/>
        </w:rPr>
      </w:pPr>
      <w:r w:rsidRPr="00542B88">
        <w:rPr>
          <w:rFonts w:ascii="Times New Roman" w:eastAsiaTheme="minorHAnsi" w:hAnsi="Times New Roman" w:cs="Times New Roman"/>
          <w:lang w:eastAsia="en-US"/>
        </w:rPr>
        <w:tab/>
        <w:t xml:space="preserve">Výdavky na tovary a služby na rok 2019 v sume 119 mil. eur v porovnaní so schváleným rozpočtom na rok 2018 rastú o 2,07 mil. eur, čo predstavuje 1,77 %. Vývoj uvedených výdavkov ovplyvnilo  rozpočtovanie výdavkov spojených so zákonom o FS, rozhodnutie kapitoly posilniť výdavky na bežné transfery a delimitácia výdavkov na CSIRT na ÚPVII.   </w:t>
      </w:r>
    </w:p>
    <w:p w:rsidR="003A497B" w:rsidRPr="00542B88" w:rsidRDefault="003A497B" w:rsidP="003A497B">
      <w:pPr>
        <w:jc w:val="both"/>
        <w:rPr>
          <w:rFonts w:ascii="Times New Roman" w:eastAsiaTheme="minorHAnsi" w:hAnsi="Times New Roman" w:cs="Times New Roman"/>
          <w:lang w:eastAsia="en-US"/>
        </w:rPr>
      </w:pPr>
    </w:p>
    <w:p w:rsidR="003A497B" w:rsidRPr="00542B88" w:rsidRDefault="003A497B" w:rsidP="003A497B">
      <w:pPr>
        <w:jc w:val="both"/>
        <w:rPr>
          <w:rFonts w:ascii="Times New Roman" w:eastAsiaTheme="minorHAnsi" w:hAnsi="Times New Roman" w:cs="Times New Roman"/>
          <w:lang w:eastAsia="en-US"/>
        </w:rPr>
      </w:pPr>
      <w:r w:rsidRPr="00542B88">
        <w:rPr>
          <w:rFonts w:ascii="Times New Roman" w:eastAsiaTheme="minorHAnsi" w:hAnsi="Times New Roman" w:cs="Times New Roman"/>
          <w:lang w:eastAsia="en-US"/>
        </w:rPr>
        <w:tab/>
        <w:t xml:space="preserve">Bežné transfery sa na rok 2019 rozpočtujú v sume 8,24 mil. eur, čo je </w:t>
      </w:r>
      <w:r w:rsidRPr="00542B88">
        <w:rPr>
          <w:rFonts w:ascii="Times New Roman" w:eastAsiaTheme="minorHAnsi" w:hAnsi="Times New Roman" w:cs="Times New Roman"/>
          <w:lang w:eastAsia="en-US"/>
        </w:rPr>
        <w:br/>
        <w:t xml:space="preserve">o 3,98 mil. eur viac, t. j. o 93,7 %, v porovnaní so schváleným rozpočtom na rok 2018. Nárast bežných transferov súvisí so zabezpečením výdavkov na odchodné a úmrtné colníkov, ktoré sa v súlade so zákonom č. 328/2002 Z. z. o sociálnom zabezpečení policajtov a vojakov a o zmene a doplnení niektorých zákonov uhrádza z prostriedkov kapitoly a s rozpočtovaním výdavkov na zákon o FS. </w:t>
      </w:r>
    </w:p>
    <w:p w:rsidR="003A497B" w:rsidRPr="00542B88" w:rsidRDefault="003A497B" w:rsidP="003A497B">
      <w:pPr>
        <w:jc w:val="both"/>
        <w:rPr>
          <w:rFonts w:ascii="Times New Roman" w:eastAsiaTheme="minorHAnsi" w:hAnsi="Times New Roman" w:cs="Times New Roman"/>
          <w:lang w:eastAsia="en-US"/>
        </w:rPr>
      </w:pPr>
    </w:p>
    <w:p w:rsidR="003A497B" w:rsidRPr="00542B88" w:rsidRDefault="003A497B" w:rsidP="003A497B">
      <w:pPr>
        <w:ind w:firstLine="708"/>
        <w:jc w:val="both"/>
        <w:rPr>
          <w:rFonts w:ascii="Times New Roman" w:eastAsiaTheme="minorHAnsi" w:hAnsi="Times New Roman" w:cs="Times New Roman"/>
          <w:lang w:eastAsia="en-US"/>
        </w:rPr>
      </w:pPr>
      <w:r w:rsidRPr="00542B88">
        <w:rPr>
          <w:rFonts w:ascii="Times New Roman" w:eastAsiaTheme="minorHAnsi" w:hAnsi="Times New Roman" w:cs="Times New Roman"/>
          <w:lang w:eastAsia="en-US"/>
        </w:rPr>
        <w:t>Kapitálové výdavky sú na rok 2019 rozpočtované v sume 30,4 mil. eur. V porovnaní so schváleným rozpočtom na rok 2018 ide o pokles o 417 tis. eur, čo predstavuje 1,36 %. Výdavky klesajú z dôvodu rozpočtovaných jednorazových výdavkov v roku 2018 v súvislosti s novými zákonnými úpravami.</w:t>
      </w:r>
    </w:p>
    <w:p w:rsidR="003A497B" w:rsidRPr="00542B88" w:rsidRDefault="003A497B" w:rsidP="003A497B">
      <w:pPr>
        <w:ind w:firstLine="708"/>
        <w:jc w:val="both"/>
        <w:rPr>
          <w:rFonts w:ascii="Times New Roman" w:eastAsiaTheme="minorHAnsi" w:hAnsi="Times New Roman" w:cs="Times New Roman"/>
          <w:lang w:eastAsia="en-US"/>
        </w:rPr>
      </w:pPr>
    </w:p>
    <w:p w:rsidR="003A497B" w:rsidRPr="00542B88" w:rsidRDefault="003A497B" w:rsidP="003A497B">
      <w:pPr>
        <w:ind w:firstLine="708"/>
        <w:jc w:val="both"/>
        <w:rPr>
          <w:rFonts w:ascii="Times New Roman" w:eastAsiaTheme="minorHAnsi" w:hAnsi="Times New Roman" w:cs="Times New Roman"/>
          <w:lang w:eastAsia="en-US"/>
        </w:rPr>
      </w:pPr>
      <w:r w:rsidRPr="00542B88">
        <w:rPr>
          <w:rFonts w:ascii="Times New Roman" w:eastAsiaTheme="minorHAnsi" w:hAnsi="Times New Roman" w:cs="Times New Roman"/>
          <w:lang w:eastAsia="en-US"/>
        </w:rPr>
        <w:t>Kapitola v nadväznosti na § 17 ods. 4 zákona č. 523/2004 Z. z. o rozpočtových pravidlách verejnej správy a o zmene a doplnení niektorých zákonov v znení neskorších predpisov rozpočtuje tiež výdavky zodpovedajúce predpokladaným príjmom z poistného plnenia zo zmluvného poistenia alebo zo zákonného poistenia v sume 78,5 tis. eur. Tieto sú určené na financovanie servisu, údržby a opráv motorových vozidiel finančnej správy.</w:t>
      </w:r>
    </w:p>
    <w:p w:rsidR="003A497B" w:rsidRPr="00542B88" w:rsidRDefault="003A497B" w:rsidP="003A497B">
      <w:pPr>
        <w:jc w:val="both"/>
        <w:rPr>
          <w:rFonts w:ascii="Times New Roman" w:hAnsi="Times New Roman" w:cs="Times New Roman"/>
          <w:noProof/>
          <w:color w:val="FF0000"/>
          <w:lang w:eastAsia="sk-SK"/>
        </w:rPr>
      </w:pPr>
    </w:p>
    <w:p w:rsidR="003A497B" w:rsidRPr="00542B88" w:rsidRDefault="003A497B" w:rsidP="003A497B">
      <w:pPr>
        <w:ind w:firstLine="708"/>
        <w:jc w:val="both"/>
        <w:rPr>
          <w:rFonts w:ascii="Times New Roman" w:hAnsi="Times New Roman" w:cs="Times New Roman"/>
          <w:bCs/>
        </w:rPr>
      </w:pPr>
      <w:r w:rsidRPr="00542B88">
        <w:rPr>
          <w:rFonts w:ascii="Times New Roman" w:hAnsi="Times New Roman" w:cs="Times New Roman"/>
          <w:noProof/>
          <w:lang w:eastAsia="sk-SK"/>
        </w:rPr>
        <w:t>MF SR na rok 2019 rozpočtuje výdavky na samostatných účtoch v celkovej sume</w:t>
      </w:r>
      <w:r w:rsidRPr="00542B88">
        <w:rPr>
          <w:rFonts w:ascii="Times New Roman" w:hAnsi="Times New Roman" w:cs="Times New Roman"/>
          <w:noProof/>
          <w:lang w:eastAsia="sk-SK"/>
        </w:rPr>
        <w:br/>
      </w:r>
      <w:r w:rsidRPr="00542B88">
        <w:rPr>
          <w:rFonts w:ascii="Times New Roman" w:hAnsi="Times New Roman" w:cs="Times New Roman"/>
          <w:bCs/>
        </w:rPr>
        <w:t>21,4 mil. eur. Uvedené prostriedky sú určené na financovanie sociálneho zabezpečenia colníkov, grantov programov EÚ napr.  Fiscalis, Customs, Eurojust, Hercule III,  zahraničných grantov na krytie výdavkov Finančného riaditeľstva SR (ďalej len „FR SR“) súvisiacich s bojom proti pašovaniu cigariet, Nórskeho finančného mechanizmu a Finančného mechanizmu EHP.</w:t>
      </w:r>
    </w:p>
    <w:p w:rsidR="003A497B" w:rsidRPr="00542B88" w:rsidRDefault="003A497B" w:rsidP="003A497B">
      <w:pPr>
        <w:ind w:firstLine="708"/>
        <w:jc w:val="both"/>
        <w:rPr>
          <w:rFonts w:ascii="Times New Roman" w:hAnsi="Times New Roman" w:cs="Times New Roman"/>
          <w:bCs/>
        </w:rPr>
      </w:pPr>
    </w:p>
    <w:p w:rsidR="003A497B" w:rsidRPr="00542B88" w:rsidRDefault="003A497B" w:rsidP="003A497B">
      <w:pPr>
        <w:jc w:val="both"/>
        <w:rPr>
          <w:rFonts w:ascii="Times New Roman" w:eastAsiaTheme="minorHAnsi" w:hAnsi="Times New Roman" w:cs="Times New Roman"/>
          <w:lang w:eastAsia="en-US"/>
        </w:rPr>
      </w:pPr>
      <w:r w:rsidRPr="00542B88">
        <w:rPr>
          <w:rFonts w:ascii="Times New Roman" w:eastAsiaTheme="minorHAnsi" w:hAnsi="Times New Roman" w:cs="Times New Roman"/>
          <w:lang w:eastAsia="en-US"/>
        </w:rPr>
        <w:tab/>
        <w:t>Výdavky kapitoly MF SR sú alokované do nasledovných oblastí.</w:t>
      </w:r>
    </w:p>
    <w:p w:rsidR="003A497B" w:rsidRPr="00542B88" w:rsidRDefault="003A497B" w:rsidP="003A497B">
      <w:pPr>
        <w:jc w:val="both"/>
        <w:rPr>
          <w:rFonts w:ascii="Times New Roman" w:eastAsiaTheme="minorHAnsi" w:hAnsi="Times New Roman" w:cs="Times New Roman"/>
          <w:lang w:eastAsia="en-US"/>
        </w:rPr>
      </w:pPr>
    </w:p>
    <w:tbl>
      <w:tblPr>
        <w:tblW w:w="5000" w:type="pct"/>
        <w:tblCellMar>
          <w:left w:w="70" w:type="dxa"/>
          <w:right w:w="70" w:type="dxa"/>
        </w:tblCellMar>
        <w:tblLook w:val="04A0" w:firstRow="1" w:lastRow="0" w:firstColumn="1" w:lastColumn="0" w:noHBand="0" w:noVBand="1"/>
      </w:tblPr>
      <w:tblGrid>
        <w:gridCol w:w="2442"/>
        <w:gridCol w:w="946"/>
        <w:gridCol w:w="946"/>
        <w:gridCol w:w="946"/>
        <w:gridCol w:w="946"/>
        <w:gridCol w:w="946"/>
        <w:gridCol w:w="946"/>
        <w:gridCol w:w="944"/>
      </w:tblGrid>
      <w:tr w:rsidR="003A497B" w:rsidRPr="00542B88" w:rsidTr="003E1809">
        <w:trPr>
          <w:trHeight w:val="255"/>
        </w:trPr>
        <w:tc>
          <w:tcPr>
            <w:tcW w:w="1347" w:type="pct"/>
            <w:tcBorders>
              <w:top w:val="single" w:sz="4" w:space="0" w:color="auto"/>
              <w:left w:val="single" w:sz="4" w:space="0" w:color="auto"/>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v eurách</w:t>
            </w:r>
          </w:p>
        </w:tc>
        <w:tc>
          <w:tcPr>
            <w:tcW w:w="52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2016 S</w:t>
            </w:r>
          </w:p>
        </w:tc>
        <w:tc>
          <w:tcPr>
            <w:tcW w:w="52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2017 S</w:t>
            </w:r>
          </w:p>
        </w:tc>
        <w:tc>
          <w:tcPr>
            <w:tcW w:w="52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2018 R</w:t>
            </w:r>
          </w:p>
        </w:tc>
        <w:tc>
          <w:tcPr>
            <w:tcW w:w="52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2018 OS</w:t>
            </w:r>
          </w:p>
        </w:tc>
        <w:tc>
          <w:tcPr>
            <w:tcW w:w="52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2019 N</w:t>
            </w:r>
          </w:p>
        </w:tc>
        <w:tc>
          <w:tcPr>
            <w:tcW w:w="52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2020 N</w:t>
            </w:r>
          </w:p>
        </w:tc>
        <w:tc>
          <w:tcPr>
            <w:tcW w:w="52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2021 N</w:t>
            </w:r>
          </w:p>
        </w:tc>
      </w:tr>
      <w:tr w:rsidR="003A497B" w:rsidRPr="00542B88" w:rsidTr="003E1809">
        <w:trPr>
          <w:trHeight w:val="255"/>
        </w:trPr>
        <w:tc>
          <w:tcPr>
            <w:tcW w:w="1347" w:type="pct"/>
            <w:tcBorders>
              <w:top w:val="single" w:sz="4" w:space="0" w:color="auto"/>
              <w:left w:val="single" w:sz="4" w:space="0" w:color="auto"/>
              <w:bottom w:val="single" w:sz="4" w:space="0" w:color="auto"/>
              <w:right w:val="single" w:sz="4" w:space="0" w:color="auto"/>
            </w:tcBorders>
            <w:shd w:val="pct25" w:color="000000" w:fill="FFFFFF" w:themeFill="background1"/>
            <w:noWrap/>
            <w:vAlign w:val="bottom"/>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Výdavkové oblasti spolu</w:t>
            </w:r>
          </w:p>
        </w:tc>
        <w:tc>
          <w:tcPr>
            <w:tcW w:w="52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510 405 117</w:t>
            </w:r>
          </w:p>
        </w:tc>
        <w:tc>
          <w:tcPr>
            <w:tcW w:w="52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464 188 475</w:t>
            </w:r>
          </w:p>
        </w:tc>
        <w:tc>
          <w:tcPr>
            <w:tcW w:w="52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364 403 833</w:t>
            </w:r>
          </w:p>
        </w:tc>
        <w:tc>
          <w:tcPr>
            <w:tcW w:w="52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424 784 427</w:t>
            </w:r>
          </w:p>
        </w:tc>
        <w:tc>
          <w:tcPr>
            <w:tcW w:w="52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420 185 829</w:t>
            </w:r>
          </w:p>
        </w:tc>
        <w:tc>
          <w:tcPr>
            <w:tcW w:w="52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593 350 734</w:t>
            </w:r>
          </w:p>
        </w:tc>
        <w:tc>
          <w:tcPr>
            <w:tcW w:w="52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614 551 135</w:t>
            </w:r>
          </w:p>
        </w:tc>
      </w:tr>
      <w:tr w:rsidR="003A497B" w:rsidRPr="00542B88" w:rsidTr="003E1809">
        <w:trPr>
          <w:trHeight w:val="255"/>
        </w:trPr>
        <w:tc>
          <w:tcPr>
            <w:tcW w:w="1347" w:type="pct"/>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Výber daní a cla finančnou správou</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310 319 996</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234 091 392</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228 493 164</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232 324 194</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270 020 374</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286 352 991</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285 583 195</w:t>
            </w:r>
          </w:p>
        </w:tc>
      </w:tr>
      <w:tr w:rsidR="003A497B" w:rsidRPr="00542B88" w:rsidTr="003E1809">
        <w:trPr>
          <w:trHeight w:val="255"/>
        </w:trPr>
        <w:tc>
          <w:tcPr>
            <w:tcW w:w="1347" w:type="pct"/>
            <w:tcBorders>
              <w:top w:val="nil"/>
              <w:left w:val="single" w:sz="4" w:space="0" w:color="auto"/>
              <w:bottom w:val="single" w:sz="4" w:space="0" w:color="auto"/>
              <w:right w:val="single" w:sz="4" w:space="0" w:color="auto"/>
            </w:tcBorders>
            <w:shd w:val="clear" w:color="auto" w:fill="auto"/>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Informačná spoločnosť a Informačné technológie financované zo štátneho rozpočtu</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122 997 024</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171 349 813</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85 108 822</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133 432 079</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95 479 796</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252 433 675</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274 633 022</w:t>
            </w:r>
          </w:p>
        </w:tc>
      </w:tr>
      <w:tr w:rsidR="003A497B" w:rsidRPr="00542B88" w:rsidTr="003E1809">
        <w:trPr>
          <w:trHeight w:val="255"/>
        </w:trPr>
        <w:tc>
          <w:tcPr>
            <w:tcW w:w="1347" w:type="pct"/>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Inštitucionálna podpora a kontrola</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77 088 097</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58 747 270</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50 801 847</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59 028 155</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54 685 659</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54 564 068</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54 334 918</w:t>
            </w:r>
          </w:p>
        </w:tc>
      </w:tr>
    </w:tbl>
    <w:p w:rsidR="003A497B" w:rsidRPr="00542B88" w:rsidRDefault="003A497B" w:rsidP="003A497B">
      <w:pPr>
        <w:jc w:val="both"/>
        <w:rPr>
          <w:rFonts w:ascii="Times New Roman" w:eastAsiaTheme="minorHAnsi" w:hAnsi="Times New Roman" w:cs="Times New Roman"/>
          <w:lang w:eastAsia="en-US"/>
        </w:rPr>
      </w:pPr>
    </w:p>
    <w:p w:rsidR="003A497B" w:rsidRPr="00542B88" w:rsidRDefault="003A497B" w:rsidP="003A497B">
      <w:pPr>
        <w:spacing w:after="200" w:line="360" w:lineRule="auto"/>
        <w:jc w:val="both"/>
        <w:rPr>
          <w:rFonts w:ascii="Times New Roman" w:eastAsiaTheme="minorHAnsi" w:hAnsi="Times New Roman" w:cs="Times New Roman"/>
          <w:b/>
          <w:szCs w:val="36"/>
          <w:lang w:eastAsia="en-US"/>
        </w:rPr>
      </w:pPr>
      <w:r w:rsidRPr="00542B88">
        <w:rPr>
          <w:rFonts w:ascii="Times New Roman" w:eastAsiaTheme="minorHAnsi" w:hAnsi="Times New Roman" w:cs="Times New Roman"/>
          <w:b/>
          <w:szCs w:val="36"/>
          <w:lang w:eastAsia="en-US"/>
        </w:rPr>
        <w:t>Výber daní a cla finančnou správou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2"/>
        <w:gridCol w:w="946"/>
        <w:gridCol w:w="946"/>
        <w:gridCol w:w="946"/>
        <w:gridCol w:w="946"/>
        <w:gridCol w:w="946"/>
        <w:gridCol w:w="946"/>
        <w:gridCol w:w="944"/>
      </w:tblGrid>
      <w:tr w:rsidR="003A497B" w:rsidRPr="00542B88" w:rsidTr="003E1809">
        <w:trPr>
          <w:trHeight w:hRule="exact" w:val="255"/>
        </w:trPr>
        <w:tc>
          <w:tcPr>
            <w:tcW w:w="1347" w:type="pct"/>
            <w:tcBorders>
              <w:bottom w:val="single" w:sz="4" w:space="0" w:color="auto"/>
            </w:tcBorders>
            <w:shd w:val="pct35" w:color="000000" w:fill="FFFFFF" w:themeFill="background1"/>
            <w:noWrap/>
            <w:vAlign w:val="center"/>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v eurách</w:t>
            </w:r>
          </w:p>
        </w:tc>
        <w:tc>
          <w:tcPr>
            <w:tcW w:w="522" w:type="pct"/>
            <w:tcBorders>
              <w:bottom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2016 S</w:t>
            </w:r>
          </w:p>
        </w:tc>
        <w:tc>
          <w:tcPr>
            <w:tcW w:w="522" w:type="pct"/>
            <w:tcBorders>
              <w:bottom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2017 S</w:t>
            </w:r>
          </w:p>
        </w:tc>
        <w:tc>
          <w:tcPr>
            <w:tcW w:w="522" w:type="pct"/>
            <w:tcBorders>
              <w:bottom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2018 R</w:t>
            </w:r>
          </w:p>
        </w:tc>
        <w:tc>
          <w:tcPr>
            <w:tcW w:w="522" w:type="pct"/>
            <w:tcBorders>
              <w:bottom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2018 OS</w:t>
            </w:r>
          </w:p>
        </w:tc>
        <w:tc>
          <w:tcPr>
            <w:tcW w:w="522" w:type="pct"/>
            <w:tcBorders>
              <w:bottom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2019 N</w:t>
            </w:r>
          </w:p>
        </w:tc>
        <w:tc>
          <w:tcPr>
            <w:tcW w:w="522" w:type="pct"/>
            <w:tcBorders>
              <w:bottom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2020 N</w:t>
            </w:r>
          </w:p>
        </w:tc>
        <w:tc>
          <w:tcPr>
            <w:tcW w:w="522" w:type="pct"/>
            <w:tcBorders>
              <w:bottom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2021 N</w:t>
            </w:r>
          </w:p>
        </w:tc>
      </w:tr>
      <w:tr w:rsidR="003A497B" w:rsidRPr="00542B88" w:rsidTr="003E1809">
        <w:trPr>
          <w:trHeight w:hRule="exact" w:val="255"/>
        </w:trPr>
        <w:tc>
          <w:tcPr>
            <w:tcW w:w="1347" w:type="pct"/>
            <w:shd w:val="pct25" w:color="000000" w:fill="FFFFFF" w:themeFill="background1"/>
            <w:noWrap/>
            <w:vAlign w:val="bottom"/>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Výber daní a cla finančnou správou</w:t>
            </w:r>
          </w:p>
        </w:tc>
        <w:tc>
          <w:tcPr>
            <w:tcW w:w="522" w:type="pct"/>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310 319 996</w:t>
            </w:r>
          </w:p>
        </w:tc>
        <w:tc>
          <w:tcPr>
            <w:tcW w:w="522" w:type="pct"/>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234 091 392</w:t>
            </w:r>
          </w:p>
        </w:tc>
        <w:tc>
          <w:tcPr>
            <w:tcW w:w="522" w:type="pct"/>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228 493 164</w:t>
            </w:r>
          </w:p>
        </w:tc>
        <w:tc>
          <w:tcPr>
            <w:tcW w:w="522" w:type="pct"/>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232 324 194</w:t>
            </w:r>
          </w:p>
        </w:tc>
        <w:tc>
          <w:tcPr>
            <w:tcW w:w="522" w:type="pct"/>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270 020 374</w:t>
            </w:r>
          </w:p>
        </w:tc>
        <w:tc>
          <w:tcPr>
            <w:tcW w:w="522" w:type="pct"/>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286 352 991</w:t>
            </w:r>
          </w:p>
        </w:tc>
        <w:tc>
          <w:tcPr>
            <w:tcW w:w="522" w:type="pct"/>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285 583 195</w:t>
            </w:r>
          </w:p>
        </w:tc>
      </w:tr>
      <w:tr w:rsidR="003A497B" w:rsidRPr="00542B88" w:rsidTr="003E1809">
        <w:trPr>
          <w:trHeight w:hRule="exact" w:val="255"/>
        </w:trPr>
        <w:tc>
          <w:tcPr>
            <w:tcW w:w="1347" w:type="pct"/>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 xml:space="preserve">bežné výdavky </w:t>
            </w:r>
          </w:p>
        </w:tc>
        <w:tc>
          <w:tcPr>
            <w:tcW w:w="522" w:type="pct"/>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248 587 378</w:t>
            </w:r>
          </w:p>
        </w:tc>
        <w:tc>
          <w:tcPr>
            <w:tcW w:w="522" w:type="pct"/>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226 606 289</w:t>
            </w:r>
          </w:p>
        </w:tc>
        <w:tc>
          <w:tcPr>
            <w:tcW w:w="522" w:type="pct"/>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223 972 654</w:t>
            </w:r>
          </w:p>
        </w:tc>
        <w:tc>
          <w:tcPr>
            <w:tcW w:w="522" w:type="pct"/>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229 088 804</w:t>
            </w:r>
          </w:p>
        </w:tc>
        <w:tc>
          <w:tcPr>
            <w:tcW w:w="522" w:type="pct"/>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265 219 864</w:t>
            </w:r>
          </w:p>
        </w:tc>
        <w:tc>
          <w:tcPr>
            <w:tcW w:w="522" w:type="pct"/>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281 812 481</w:t>
            </w:r>
          </w:p>
        </w:tc>
        <w:tc>
          <w:tcPr>
            <w:tcW w:w="522" w:type="pct"/>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281 042 685</w:t>
            </w:r>
          </w:p>
        </w:tc>
      </w:tr>
      <w:tr w:rsidR="003A497B" w:rsidRPr="00542B88" w:rsidTr="003E1809">
        <w:trPr>
          <w:trHeight w:hRule="exact" w:val="255"/>
        </w:trPr>
        <w:tc>
          <w:tcPr>
            <w:tcW w:w="1347" w:type="pct"/>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 xml:space="preserve">kapitálové výdavky </w:t>
            </w:r>
          </w:p>
        </w:tc>
        <w:tc>
          <w:tcPr>
            <w:tcW w:w="522" w:type="pct"/>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61 732 618</w:t>
            </w:r>
          </w:p>
        </w:tc>
        <w:tc>
          <w:tcPr>
            <w:tcW w:w="522" w:type="pct"/>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7 485 103</w:t>
            </w:r>
          </w:p>
        </w:tc>
        <w:tc>
          <w:tcPr>
            <w:tcW w:w="522" w:type="pct"/>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4 520 510</w:t>
            </w:r>
          </w:p>
        </w:tc>
        <w:tc>
          <w:tcPr>
            <w:tcW w:w="522" w:type="pct"/>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3 235 390</w:t>
            </w:r>
          </w:p>
        </w:tc>
        <w:tc>
          <w:tcPr>
            <w:tcW w:w="522" w:type="pct"/>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4 800 510</w:t>
            </w:r>
          </w:p>
        </w:tc>
        <w:tc>
          <w:tcPr>
            <w:tcW w:w="522" w:type="pct"/>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4 540 510</w:t>
            </w:r>
          </w:p>
        </w:tc>
        <w:tc>
          <w:tcPr>
            <w:tcW w:w="522" w:type="pct"/>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4 540 510</w:t>
            </w:r>
          </w:p>
        </w:tc>
      </w:tr>
    </w:tbl>
    <w:p w:rsidR="003A497B" w:rsidRPr="00542B88" w:rsidRDefault="003A497B" w:rsidP="003A497B">
      <w:pPr>
        <w:spacing w:after="200"/>
        <w:contextualSpacing/>
        <w:jc w:val="both"/>
        <w:rPr>
          <w:rFonts w:ascii="Times New Roman" w:eastAsiaTheme="minorHAnsi" w:hAnsi="Times New Roman" w:cs="Times New Roman"/>
          <w:b/>
          <w:sz w:val="22"/>
          <w:szCs w:val="36"/>
          <w:lang w:eastAsia="en-US"/>
        </w:rPr>
      </w:pPr>
    </w:p>
    <w:p w:rsidR="003A497B" w:rsidRPr="00542B88" w:rsidRDefault="003A497B" w:rsidP="003A497B">
      <w:pPr>
        <w:jc w:val="both"/>
        <w:rPr>
          <w:rFonts w:ascii="Times New Roman" w:eastAsiaTheme="minorHAnsi" w:hAnsi="Times New Roman" w:cs="Times New Roman"/>
          <w:lang w:eastAsia="en-US"/>
        </w:rPr>
      </w:pPr>
      <w:r w:rsidRPr="00542B88">
        <w:rPr>
          <w:rFonts w:ascii="Times New Roman" w:eastAsiaTheme="minorHAnsi" w:hAnsi="Times New Roman" w:cs="Times New Roman"/>
          <w:lang w:eastAsia="en-US"/>
        </w:rPr>
        <w:tab/>
        <w:t>Výdavky na oblasť výberu daní a cla finančnou správou sú na rok 2019 rozpočtované v sume 270 mil. eur. V porovnaní so schváleným rozpočtom na rok 2018 rastú o 41,5 mil. eur, čo predstavuje nárast o 18,2 %. Od roku 2017 sem patria len výdavky na bežný výkon funkcií finančnej správy, bez výdavkov na prevádzku a rozvoj informačných systémov, ktoré sú rozpočtované v medzirezortnom programe Informačné technológie financované zo štátneho rozpočtu. Vývoj výdavkov na túto oblasť ovplyvnili najmä výdavky spojené so zákonom o FS, rast osobných výdavkov z dôvodu premietnutia valorizácie platov zamestnancov z roku 2018 do nasledujúcich rokov a ich dorovnanie do výšky predchádzajúcich rokov a zvýšené bežné transfery na zabezpečenie odchodného a úmrtného colníkov, ktoré sa hradí z prostriedkov kapitoly.</w:t>
      </w:r>
    </w:p>
    <w:p w:rsidR="003A497B" w:rsidRPr="00542B88" w:rsidRDefault="003A497B" w:rsidP="003A497B">
      <w:pPr>
        <w:jc w:val="both"/>
        <w:rPr>
          <w:rFonts w:ascii="Times New Roman" w:eastAsiaTheme="minorHAnsi" w:hAnsi="Times New Roman" w:cs="Times New Roman"/>
          <w:lang w:eastAsia="en-US"/>
        </w:rPr>
      </w:pPr>
    </w:p>
    <w:p w:rsidR="003A497B" w:rsidRDefault="003A497B" w:rsidP="003A497B">
      <w:pPr>
        <w:ind w:firstLine="708"/>
        <w:jc w:val="both"/>
        <w:rPr>
          <w:rFonts w:ascii="Times New Roman" w:eastAsiaTheme="minorHAnsi" w:hAnsi="Times New Roman" w:cs="Times New Roman"/>
          <w:lang w:eastAsia="en-US"/>
        </w:rPr>
      </w:pPr>
      <w:r w:rsidRPr="00542B88">
        <w:rPr>
          <w:rFonts w:ascii="Times New Roman" w:eastAsiaTheme="minorHAnsi" w:hAnsi="Times New Roman" w:cs="Times New Roman"/>
          <w:lang w:eastAsia="en-US"/>
        </w:rPr>
        <w:t xml:space="preserve">FR SR rozpočtuje tiež výdavky na servis, údržbu a opravy motorových vozidiel zodpovedajúce predpokladaným príjmom z poistného plnenia zo zmluvného poistenia alebo zo zákonného poistenia v sume 78,5 tis. eur. </w:t>
      </w:r>
    </w:p>
    <w:p w:rsidR="003A497B" w:rsidRPr="00542B88" w:rsidRDefault="003A497B" w:rsidP="003A497B">
      <w:pPr>
        <w:ind w:firstLine="708"/>
        <w:jc w:val="both"/>
        <w:rPr>
          <w:rFonts w:ascii="Times New Roman" w:eastAsiaTheme="minorHAnsi" w:hAnsi="Times New Roman" w:cs="Times New Roman"/>
          <w:lang w:eastAsia="en-US"/>
        </w:rPr>
      </w:pPr>
    </w:p>
    <w:p w:rsidR="003A497B" w:rsidRPr="00542B88" w:rsidRDefault="003A497B" w:rsidP="003A497B">
      <w:pPr>
        <w:ind w:firstLine="708"/>
        <w:jc w:val="both"/>
        <w:rPr>
          <w:rFonts w:ascii="Times New Roman" w:eastAsiaTheme="minorHAnsi" w:hAnsi="Times New Roman" w:cs="Times New Roman"/>
          <w:lang w:eastAsia="en-US"/>
        </w:rPr>
      </w:pPr>
    </w:p>
    <w:p w:rsidR="003A497B" w:rsidRPr="00542B88" w:rsidRDefault="003A497B" w:rsidP="003A497B">
      <w:pPr>
        <w:jc w:val="both"/>
        <w:rPr>
          <w:rFonts w:ascii="Times New Roman" w:eastAsiaTheme="minorHAnsi" w:hAnsi="Times New Roman" w:cs="Times New Roman"/>
          <w:b/>
          <w:sz w:val="22"/>
          <w:szCs w:val="36"/>
          <w:lang w:eastAsia="en-US"/>
        </w:rPr>
      </w:pPr>
      <w:r w:rsidRPr="00542B88">
        <w:rPr>
          <w:rFonts w:ascii="Times New Roman" w:eastAsiaTheme="minorHAnsi" w:hAnsi="Times New Roman" w:cs="Times New Roman"/>
          <w:b/>
          <w:szCs w:val="36"/>
          <w:lang w:eastAsia="en-US"/>
        </w:rPr>
        <w:lastRenderedPageBreak/>
        <w:t>Informačná spoločnosť a Informačné technológie financované zo štátneho rozpočtu</w:t>
      </w:r>
      <w:r w:rsidRPr="00542B88">
        <w:rPr>
          <w:rFonts w:ascii="Times New Roman" w:eastAsiaTheme="minorHAnsi" w:hAnsi="Times New Roman" w:cs="Times New Roman"/>
          <w:b/>
          <w:sz w:val="22"/>
          <w:szCs w:val="36"/>
          <w:lang w:eastAsia="en-US"/>
        </w:rPr>
        <w:t> </w:t>
      </w:r>
    </w:p>
    <w:p w:rsidR="003A497B" w:rsidRPr="00542B88" w:rsidRDefault="003A497B" w:rsidP="003A497B">
      <w:pPr>
        <w:jc w:val="both"/>
        <w:rPr>
          <w:rFonts w:ascii="Times New Roman" w:eastAsiaTheme="minorHAnsi" w:hAnsi="Times New Roman" w:cs="Times New Roman"/>
          <w:b/>
          <w:sz w:val="22"/>
          <w:szCs w:val="36"/>
          <w:lang w:eastAsia="en-US"/>
        </w:rPr>
      </w:pPr>
    </w:p>
    <w:tbl>
      <w:tblPr>
        <w:tblW w:w="5000" w:type="pct"/>
        <w:tblCellMar>
          <w:left w:w="70" w:type="dxa"/>
          <w:right w:w="70" w:type="dxa"/>
        </w:tblCellMar>
        <w:tblLook w:val="04A0" w:firstRow="1" w:lastRow="0" w:firstColumn="1" w:lastColumn="0" w:noHBand="0" w:noVBand="1"/>
      </w:tblPr>
      <w:tblGrid>
        <w:gridCol w:w="2578"/>
        <w:gridCol w:w="927"/>
        <w:gridCol w:w="927"/>
        <w:gridCol w:w="926"/>
        <w:gridCol w:w="926"/>
        <w:gridCol w:w="926"/>
        <w:gridCol w:w="926"/>
        <w:gridCol w:w="926"/>
      </w:tblGrid>
      <w:tr w:rsidR="003A497B" w:rsidRPr="00542B88" w:rsidTr="003E1809">
        <w:trPr>
          <w:trHeight w:val="255"/>
        </w:trPr>
        <w:tc>
          <w:tcPr>
            <w:tcW w:w="1422" w:type="pct"/>
            <w:tcBorders>
              <w:top w:val="single" w:sz="4" w:space="0" w:color="auto"/>
              <w:left w:val="single" w:sz="4" w:space="0" w:color="auto"/>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v eurách</w:t>
            </w:r>
          </w:p>
        </w:tc>
        <w:tc>
          <w:tcPr>
            <w:tcW w:w="511"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2016 S</w:t>
            </w:r>
          </w:p>
        </w:tc>
        <w:tc>
          <w:tcPr>
            <w:tcW w:w="511"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2017 S</w:t>
            </w:r>
          </w:p>
        </w:tc>
        <w:tc>
          <w:tcPr>
            <w:tcW w:w="511"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2018 R</w:t>
            </w:r>
          </w:p>
        </w:tc>
        <w:tc>
          <w:tcPr>
            <w:tcW w:w="511"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2018 OS</w:t>
            </w:r>
          </w:p>
        </w:tc>
        <w:tc>
          <w:tcPr>
            <w:tcW w:w="511"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2019 N</w:t>
            </w:r>
          </w:p>
        </w:tc>
        <w:tc>
          <w:tcPr>
            <w:tcW w:w="511"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2020 N</w:t>
            </w:r>
          </w:p>
        </w:tc>
        <w:tc>
          <w:tcPr>
            <w:tcW w:w="511"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2021 N</w:t>
            </w:r>
          </w:p>
        </w:tc>
      </w:tr>
      <w:tr w:rsidR="003A497B" w:rsidRPr="00542B88" w:rsidTr="003E1809">
        <w:trPr>
          <w:trHeight w:val="255"/>
        </w:trPr>
        <w:tc>
          <w:tcPr>
            <w:tcW w:w="1422" w:type="pct"/>
            <w:tcBorders>
              <w:top w:val="single" w:sz="4" w:space="0" w:color="auto"/>
              <w:left w:val="single" w:sz="4" w:space="0" w:color="auto"/>
              <w:bottom w:val="single" w:sz="4" w:space="0" w:color="auto"/>
              <w:right w:val="single" w:sz="4" w:space="0" w:color="auto"/>
            </w:tcBorders>
            <w:shd w:val="pct25" w:color="000000" w:fill="FFFFFF" w:themeFill="background1"/>
            <w:vAlign w:val="bottom"/>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Informačná spoločnosť a Informačné technológie financované zo štátneho rozpočtu</w:t>
            </w:r>
          </w:p>
        </w:tc>
        <w:tc>
          <w:tcPr>
            <w:tcW w:w="511"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122 997 024</w:t>
            </w:r>
          </w:p>
        </w:tc>
        <w:tc>
          <w:tcPr>
            <w:tcW w:w="511"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171 349 813</w:t>
            </w:r>
          </w:p>
        </w:tc>
        <w:tc>
          <w:tcPr>
            <w:tcW w:w="511"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85 108 822</w:t>
            </w:r>
          </w:p>
        </w:tc>
        <w:tc>
          <w:tcPr>
            <w:tcW w:w="511"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133 432 079</w:t>
            </w:r>
          </w:p>
        </w:tc>
        <w:tc>
          <w:tcPr>
            <w:tcW w:w="511"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95 479 796</w:t>
            </w:r>
          </w:p>
        </w:tc>
        <w:tc>
          <w:tcPr>
            <w:tcW w:w="511"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252 433 675</w:t>
            </w:r>
          </w:p>
        </w:tc>
        <w:tc>
          <w:tcPr>
            <w:tcW w:w="511"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274 633 022</w:t>
            </w:r>
          </w:p>
        </w:tc>
      </w:tr>
      <w:tr w:rsidR="003A497B" w:rsidRPr="00542B88" w:rsidTr="003E1809">
        <w:trPr>
          <w:trHeight w:val="255"/>
        </w:trPr>
        <w:tc>
          <w:tcPr>
            <w:tcW w:w="1422" w:type="pct"/>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Výdavky na informačnú spoločnosť</w:t>
            </w:r>
          </w:p>
        </w:tc>
        <w:tc>
          <w:tcPr>
            <w:tcW w:w="511"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21 594 413</w:t>
            </w:r>
          </w:p>
        </w:tc>
        <w:tc>
          <w:tcPr>
            <w:tcW w:w="511"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11"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11"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11"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15 033 272</w:t>
            </w:r>
          </w:p>
        </w:tc>
        <w:tc>
          <w:tcPr>
            <w:tcW w:w="511"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172 201 560</w:t>
            </w:r>
          </w:p>
        </w:tc>
        <w:tc>
          <w:tcPr>
            <w:tcW w:w="511"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194 174 757</w:t>
            </w:r>
          </w:p>
        </w:tc>
      </w:tr>
      <w:tr w:rsidR="003A497B" w:rsidRPr="00542B88" w:rsidTr="003E1809">
        <w:trPr>
          <w:trHeight w:val="255"/>
        </w:trPr>
        <w:tc>
          <w:tcPr>
            <w:tcW w:w="1422" w:type="pct"/>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Informačné technológie financované zo ŠR</w:t>
            </w:r>
          </w:p>
        </w:tc>
        <w:tc>
          <w:tcPr>
            <w:tcW w:w="511"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101 402 611</w:t>
            </w:r>
          </w:p>
        </w:tc>
        <w:tc>
          <w:tcPr>
            <w:tcW w:w="511"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171 349 813</w:t>
            </w:r>
          </w:p>
        </w:tc>
        <w:tc>
          <w:tcPr>
            <w:tcW w:w="511"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85 108 822</w:t>
            </w:r>
          </w:p>
        </w:tc>
        <w:tc>
          <w:tcPr>
            <w:tcW w:w="511"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133 432 079</w:t>
            </w:r>
          </w:p>
        </w:tc>
        <w:tc>
          <w:tcPr>
            <w:tcW w:w="511"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80 446 524</w:t>
            </w:r>
          </w:p>
        </w:tc>
        <w:tc>
          <w:tcPr>
            <w:tcW w:w="511"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80 232 115</w:t>
            </w:r>
          </w:p>
        </w:tc>
        <w:tc>
          <w:tcPr>
            <w:tcW w:w="511"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80 458 265</w:t>
            </w:r>
          </w:p>
        </w:tc>
      </w:tr>
    </w:tbl>
    <w:p w:rsidR="003A497B" w:rsidRPr="00542B88" w:rsidRDefault="003A497B" w:rsidP="003A497B">
      <w:pPr>
        <w:jc w:val="both"/>
        <w:rPr>
          <w:rFonts w:ascii="Times New Roman" w:eastAsiaTheme="minorHAnsi" w:hAnsi="Times New Roman" w:cs="Times New Roman"/>
          <w:b/>
          <w:sz w:val="22"/>
          <w:szCs w:val="36"/>
          <w:lang w:eastAsia="en-US"/>
        </w:rPr>
      </w:pPr>
    </w:p>
    <w:p w:rsidR="003A497B" w:rsidRPr="00542B88" w:rsidRDefault="003A497B" w:rsidP="003A497B">
      <w:pPr>
        <w:jc w:val="both"/>
        <w:rPr>
          <w:rFonts w:ascii="Times New Roman" w:eastAsiaTheme="minorHAnsi" w:hAnsi="Times New Roman" w:cs="Times New Roman"/>
          <w:b/>
          <w:sz w:val="22"/>
          <w:szCs w:val="36"/>
          <w:lang w:eastAsia="en-US"/>
        </w:rPr>
      </w:pPr>
    </w:p>
    <w:tbl>
      <w:tblPr>
        <w:tblW w:w="5000" w:type="pct"/>
        <w:tblCellMar>
          <w:left w:w="70" w:type="dxa"/>
          <w:right w:w="70" w:type="dxa"/>
        </w:tblCellMar>
        <w:tblLook w:val="04A0" w:firstRow="1" w:lastRow="0" w:firstColumn="1" w:lastColumn="0" w:noHBand="0" w:noVBand="1"/>
      </w:tblPr>
      <w:tblGrid>
        <w:gridCol w:w="2442"/>
        <w:gridCol w:w="946"/>
        <w:gridCol w:w="946"/>
        <w:gridCol w:w="946"/>
        <w:gridCol w:w="946"/>
        <w:gridCol w:w="946"/>
        <w:gridCol w:w="946"/>
        <w:gridCol w:w="944"/>
      </w:tblGrid>
      <w:tr w:rsidR="003A497B" w:rsidRPr="00542B88" w:rsidTr="003E1809">
        <w:trPr>
          <w:trHeight w:hRule="exact" w:val="255"/>
        </w:trPr>
        <w:tc>
          <w:tcPr>
            <w:tcW w:w="1347" w:type="pct"/>
            <w:tcBorders>
              <w:top w:val="single" w:sz="4" w:space="0" w:color="auto"/>
              <w:left w:val="single" w:sz="4" w:space="0" w:color="auto"/>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v eurách</w:t>
            </w:r>
          </w:p>
        </w:tc>
        <w:tc>
          <w:tcPr>
            <w:tcW w:w="52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2016 S</w:t>
            </w:r>
          </w:p>
        </w:tc>
        <w:tc>
          <w:tcPr>
            <w:tcW w:w="52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2017 S</w:t>
            </w:r>
          </w:p>
        </w:tc>
        <w:tc>
          <w:tcPr>
            <w:tcW w:w="52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2018 R</w:t>
            </w:r>
          </w:p>
        </w:tc>
        <w:tc>
          <w:tcPr>
            <w:tcW w:w="52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2018 OS</w:t>
            </w:r>
          </w:p>
        </w:tc>
        <w:tc>
          <w:tcPr>
            <w:tcW w:w="52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2019 N</w:t>
            </w:r>
          </w:p>
        </w:tc>
        <w:tc>
          <w:tcPr>
            <w:tcW w:w="52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2020 N</w:t>
            </w:r>
          </w:p>
        </w:tc>
        <w:tc>
          <w:tcPr>
            <w:tcW w:w="52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2021 N</w:t>
            </w:r>
          </w:p>
        </w:tc>
      </w:tr>
      <w:tr w:rsidR="003A497B" w:rsidRPr="00542B88" w:rsidTr="003E1809">
        <w:trPr>
          <w:trHeight w:hRule="exact" w:val="255"/>
        </w:trPr>
        <w:tc>
          <w:tcPr>
            <w:tcW w:w="1347" w:type="pct"/>
            <w:tcBorders>
              <w:top w:val="single" w:sz="4" w:space="0" w:color="auto"/>
              <w:left w:val="single" w:sz="4" w:space="0" w:color="auto"/>
              <w:bottom w:val="single" w:sz="4" w:space="0" w:color="auto"/>
              <w:right w:val="single" w:sz="4" w:space="0" w:color="auto"/>
            </w:tcBorders>
            <w:shd w:val="pct25" w:color="000000" w:fill="FFFFFF" w:themeFill="background1"/>
            <w:noWrap/>
            <w:vAlign w:val="bottom"/>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Výdavky na informačnú spoločnosť</w:t>
            </w:r>
          </w:p>
        </w:tc>
        <w:tc>
          <w:tcPr>
            <w:tcW w:w="52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21 594 413</w:t>
            </w:r>
          </w:p>
        </w:tc>
        <w:tc>
          <w:tcPr>
            <w:tcW w:w="52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0</w:t>
            </w:r>
          </w:p>
        </w:tc>
        <w:tc>
          <w:tcPr>
            <w:tcW w:w="52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0</w:t>
            </w:r>
          </w:p>
        </w:tc>
        <w:tc>
          <w:tcPr>
            <w:tcW w:w="52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0</w:t>
            </w:r>
          </w:p>
        </w:tc>
        <w:tc>
          <w:tcPr>
            <w:tcW w:w="52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15 033 272</w:t>
            </w:r>
          </w:p>
        </w:tc>
        <w:tc>
          <w:tcPr>
            <w:tcW w:w="52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172 201 560</w:t>
            </w:r>
          </w:p>
        </w:tc>
        <w:tc>
          <w:tcPr>
            <w:tcW w:w="52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194 174 757</w:t>
            </w:r>
          </w:p>
        </w:tc>
      </w:tr>
      <w:tr w:rsidR="003A497B" w:rsidRPr="00542B88" w:rsidTr="003E1809">
        <w:trPr>
          <w:trHeight w:hRule="exact" w:val="255"/>
        </w:trPr>
        <w:tc>
          <w:tcPr>
            <w:tcW w:w="1347" w:type="pct"/>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prostriedky EÚ</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17 219 394</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22"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22"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22"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12 430 495</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132 500 000</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146 200 000</w:t>
            </w:r>
          </w:p>
        </w:tc>
      </w:tr>
      <w:tr w:rsidR="003A497B" w:rsidRPr="00542B88" w:rsidTr="003E1809">
        <w:trPr>
          <w:trHeight w:hRule="exact" w:val="255"/>
        </w:trPr>
        <w:tc>
          <w:tcPr>
            <w:tcW w:w="1347" w:type="pct"/>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spolufinancovanie zo ŠR</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4 375 019</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22"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22"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2 602 777</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39 701 560</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47 974 757</w:t>
            </w:r>
          </w:p>
        </w:tc>
      </w:tr>
    </w:tbl>
    <w:p w:rsidR="003A497B" w:rsidRPr="00542B88" w:rsidRDefault="003A497B" w:rsidP="003A497B">
      <w:pPr>
        <w:jc w:val="both"/>
        <w:rPr>
          <w:rFonts w:ascii="Times New Roman" w:eastAsiaTheme="minorHAnsi" w:hAnsi="Times New Roman" w:cs="Times New Roman"/>
          <w:b/>
          <w:sz w:val="22"/>
          <w:szCs w:val="36"/>
          <w:lang w:eastAsia="en-US"/>
        </w:rPr>
      </w:pPr>
    </w:p>
    <w:p w:rsidR="003A497B" w:rsidRPr="00542B88" w:rsidRDefault="003A497B" w:rsidP="003A497B">
      <w:pPr>
        <w:ind w:firstLine="708"/>
        <w:jc w:val="both"/>
        <w:rPr>
          <w:rFonts w:ascii="Times New Roman" w:eastAsiaTheme="minorHAnsi" w:hAnsi="Times New Roman" w:cs="Times New Roman"/>
          <w:lang w:eastAsia="en-US"/>
        </w:rPr>
      </w:pPr>
      <w:r w:rsidRPr="00542B88">
        <w:rPr>
          <w:rFonts w:ascii="Times New Roman" w:eastAsiaTheme="minorHAnsi" w:hAnsi="Times New Roman" w:cs="Times New Roman"/>
          <w:lang w:eastAsia="en-US"/>
        </w:rPr>
        <w:t xml:space="preserve">Výdavky na informačnú spoločnosť sú financované z prostriedkov EÚ a zo spolufinancovania zo štátneho rozpočtu z  OP Integrovaná infraštruktúra 3. programového obdobia (Prioritná os 7 Informačná spoločnosť). Vývoj výdavkov závisí len od alokácie uvedených prostriedkov. </w:t>
      </w:r>
    </w:p>
    <w:p w:rsidR="003A497B" w:rsidRPr="00542B88" w:rsidRDefault="003A497B" w:rsidP="003A497B">
      <w:pPr>
        <w:ind w:firstLine="708"/>
        <w:jc w:val="both"/>
        <w:rPr>
          <w:rFonts w:ascii="Times New Roman" w:eastAsiaTheme="minorHAnsi" w:hAnsi="Times New Roman" w:cs="Times New Roman"/>
          <w:lang w:eastAsia="en-US"/>
        </w:rPr>
      </w:pPr>
    </w:p>
    <w:tbl>
      <w:tblPr>
        <w:tblW w:w="5000" w:type="pct"/>
        <w:tblCellMar>
          <w:left w:w="70" w:type="dxa"/>
          <w:right w:w="70" w:type="dxa"/>
        </w:tblCellMar>
        <w:tblLook w:val="04A0" w:firstRow="1" w:lastRow="0" w:firstColumn="1" w:lastColumn="0" w:noHBand="0" w:noVBand="1"/>
      </w:tblPr>
      <w:tblGrid>
        <w:gridCol w:w="2986"/>
        <w:gridCol w:w="868"/>
        <w:gridCol w:w="868"/>
        <w:gridCol w:w="868"/>
        <w:gridCol w:w="868"/>
        <w:gridCol w:w="868"/>
        <w:gridCol w:w="868"/>
        <w:gridCol w:w="868"/>
      </w:tblGrid>
      <w:tr w:rsidR="003A497B" w:rsidRPr="00542B88" w:rsidTr="003E1809">
        <w:trPr>
          <w:trHeight w:hRule="exact" w:val="255"/>
        </w:trPr>
        <w:tc>
          <w:tcPr>
            <w:tcW w:w="1590" w:type="pct"/>
            <w:tcBorders>
              <w:top w:val="single" w:sz="4" w:space="0" w:color="auto"/>
              <w:left w:val="single" w:sz="4" w:space="0" w:color="auto"/>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v eurách</w:t>
            </w:r>
          </w:p>
        </w:tc>
        <w:tc>
          <w:tcPr>
            <w:tcW w:w="487"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2016 S</w:t>
            </w:r>
          </w:p>
        </w:tc>
        <w:tc>
          <w:tcPr>
            <w:tcW w:w="487"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2017 S</w:t>
            </w:r>
          </w:p>
        </w:tc>
        <w:tc>
          <w:tcPr>
            <w:tcW w:w="487"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2018 R</w:t>
            </w:r>
          </w:p>
        </w:tc>
        <w:tc>
          <w:tcPr>
            <w:tcW w:w="487"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2018 OS</w:t>
            </w:r>
          </w:p>
        </w:tc>
        <w:tc>
          <w:tcPr>
            <w:tcW w:w="487"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2019 N</w:t>
            </w:r>
          </w:p>
        </w:tc>
        <w:tc>
          <w:tcPr>
            <w:tcW w:w="487"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2020 N</w:t>
            </w:r>
          </w:p>
        </w:tc>
        <w:tc>
          <w:tcPr>
            <w:tcW w:w="487"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2021 N</w:t>
            </w:r>
          </w:p>
        </w:tc>
      </w:tr>
      <w:tr w:rsidR="003A497B" w:rsidRPr="00542B88" w:rsidTr="003E1809">
        <w:trPr>
          <w:trHeight w:hRule="exact" w:val="255"/>
        </w:trPr>
        <w:tc>
          <w:tcPr>
            <w:tcW w:w="1590" w:type="pct"/>
            <w:tcBorders>
              <w:top w:val="single" w:sz="4" w:space="0" w:color="auto"/>
              <w:left w:val="single" w:sz="4" w:space="0" w:color="auto"/>
              <w:bottom w:val="single" w:sz="4" w:space="0" w:color="auto"/>
              <w:right w:val="single" w:sz="4" w:space="0" w:color="auto"/>
            </w:tcBorders>
            <w:shd w:val="pct25" w:color="000000" w:fill="FFFFFF" w:themeFill="background1"/>
            <w:vAlign w:val="bottom"/>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Informačné technológie financované zo ŠR</w:t>
            </w:r>
          </w:p>
        </w:tc>
        <w:tc>
          <w:tcPr>
            <w:tcW w:w="487"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101 402 611</w:t>
            </w:r>
          </w:p>
        </w:tc>
        <w:tc>
          <w:tcPr>
            <w:tcW w:w="487"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171 349 813</w:t>
            </w:r>
          </w:p>
        </w:tc>
        <w:tc>
          <w:tcPr>
            <w:tcW w:w="487"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85 108 822</w:t>
            </w:r>
          </w:p>
        </w:tc>
        <w:tc>
          <w:tcPr>
            <w:tcW w:w="487"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133 432 079</w:t>
            </w:r>
          </w:p>
        </w:tc>
        <w:tc>
          <w:tcPr>
            <w:tcW w:w="487"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80 446 524</w:t>
            </w:r>
          </w:p>
        </w:tc>
        <w:tc>
          <w:tcPr>
            <w:tcW w:w="487"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80 232 115</w:t>
            </w:r>
          </w:p>
        </w:tc>
        <w:tc>
          <w:tcPr>
            <w:tcW w:w="487"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80 458 265</w:t>
            </w:r>
          </w:p>
        </w:tc>
      </w:tr>
      <w:tr w:rsidR="003A497B" w:rsidRPr="00542B88" w:rsidTr="003E1809">
        <w:trPr>
          <w:trHeight w:hRule="exact" w:val="255"/>
        </w:trPr>
        <w:tc>
          <w:tcPr>
            <w:tcW w:w="1590" w:type="pct"/>
            <w:tcBorders>
              <w:top w:val="nil"/>
              <w:left w:val="single" w:sz="4" w:space="0" w:color="auto"/>
              <w:bottom w:val="single" w:sz="4" w:space="0" w:color="auto"/>
              <w:right w:val="single" w:sz="4" w:space="0" w:color="auto"/>
            </w:tcBorders>
            <w:shd w:val="clear" w:color="000000" w:fill="FFFFFF"/>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Systémy vnútornej správy</w:t>
            </w:r>
          </w:p>
        </w:tc>
        <w:tc>
          <w:tcPr>
            <w:tcW w:w="487"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380 194</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313 600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278 160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266 000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248 000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246 000</w:t>
            </w:r>
          </w:p>
        </w:tc>
      </w:tr>
      <w:tr w:rsidR="003A497B" w:rsidRPr="00542B88" w:rsidTr="003E1809">
        <w:trPr>
          <w:trHeight w:hRule="exact" w:val="255"/>
        </w:trPr>
        <w:tc>
          <w:tcPr>
            <w:tcW w:w="1590"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Špecializované systémy</w:t>
            </w:r>
          </w:p>
        </w:tc>
        <w:tc>
          <w:tcPr>
            <w:tcW w:w="487"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45 790 825</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26 708 032</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30 398 597</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176 555</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166 555</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269 555</w:t>
            </w:r>
          </w:p>
        </w:tc>
      </w:tr>
      <w:tr w:rsidR="003A497B" w:rsidRPr="00542B88" w:rsidTr="003E1809">
        <w:trPr>
          <w:trHeight w:hRule="exact" w:val="255"/>
        </w:trPr>
        <w:tc>
          <w:tcPr>
            <w:tcW w:w="1590"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Podporná infraštruktúra</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12 004 083</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10 348 773</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10 348 773</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10 325 789</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10 238 466</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10 283 616</w:t>
            </w:r>
          </w:p>
        </w:tc>
      </w:tr>
      <w:tr w:rsidR="003A497B" w:rsidRPr="00542B88" w:rsidTr="003E1809">
        <w:trPr>
          <w:trHeight w:hRule="exact" w:val="255"/>
        </w:trPr>
        <w:tc>
          <w:tcPr>
            <w:tcW w:w="1590"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IS pre systém štátnej pokladnice</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16 936 064</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16 368 082</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15 883 293</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14 400 348</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14 753 379</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14 534 293</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14 534 293</w:t>
            </w:r>
          </w:p>
        </w:tc>
      </w:tr>
      <w:tr w:rsidR="003A497B" w:rsidRPr="00542B88" w:rsidTr="003E1809">
        <w:trPr>
          <w:trHeight w:hRule="exact" w:val="255"/>
        </w:trPr>
        <w:tc>
          <w:tcPr>
            <w:tcW w:w="1590"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Rozpočtový informačný systém</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6 436 304</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7 451 049</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7 612 378</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7 612 378</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8 689 478</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8 689 478</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8 689 478</w:t>
            </w:r>
          </w:p>
        </w:tc>
      </w:tr>
      <w:tr w:rsidR="003A497B" w:rsidRPr="00542B88" w:rsidTr="003E1809">
        <w:trPr>
          <w:trHeight w:hRule="exact" w:val="255"/>
        </w:trPr>
        <w:tc>
          <w:tcPr>
            <w:tcW w:w="1590"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IS účtovníctva fondov</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417 078</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1 539 383</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965 133</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965 133</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1 065 133</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1 065 133</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1 135 133</w:t>
            </w:r>
          </w:p>
        </w:tc>
      </w:tr>
      <w:tr w:rsidR="003A497B" w:rsidRPr="00542B88" w:rsidTr="003E1809">
        <w:trPr>
          <w:trHeight w:hRule="exact" w:val="255"/>
        </w:trPr>
        <w:tc>
          <w:tcPr>
            <w:tcW w:w="1590"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Podporná infraštruktúra pre IS RVF</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22 761 224</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24 944 640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15 701 091</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15 701 091</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14 997 491</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15 007 491</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15 017 491</w:t>
            </w:r>
          </w:p>
        </w:tc>
      </w:tr>
      <w:tr w:rsidR="003A497B" w:rsidRPr="00542B88" w:rsidTr="003E1809">
        <w:trPr>
          <w:trHeight w:hRule="exact" w:val="255"/>
        </w:trPr>
        <w:tc>
          <w:tcPr>
            <w:tcW w:w="1590"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Centrálny účtovný systém</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9 068 801</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9 386 981</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2 400 000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6 745 695</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3 890 000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3 550 000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3 550 000</w:t>
            </w:r>
          </w:p>
        </w:tc>
      </w:tr>
      <w:tr w:rsidR="003A497B" w:rsidRPr="00542B88" w:rsidTr="003E1809">
        <w:trPr>
          <w:trHeight w:hRule="exact" w:val="255"/>
        </w:trPr>
        <w:tc>
          <w:tcPr>
            <w:tcW w:w="1590"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Národný projekt: Integrované obslužné miesta</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122 208</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1 720 884</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r>
      <w:tr w:rsidR="003A497B" w:rsidRPr="00542B88" w:rsidTr="003E1809">
        <w:trPr>
          <w:trHeight w:hRule="exact" w:val="255"/>
        </w:trPr>
        <w:tc>
          <w:tcPr>
            <w:tcW w:w="1590"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IS centrálnej správy referenčných údajov VS</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26 578</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1 138 944</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420 792</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r>
      <w:tr w:rsidR="003A497B" w:rsidRPr="00542B88" w:rsidTr="003E1809">
        <w:trPr>
          <w:trHeight w:hRule="exact" w:val="255"/>
        </w:trPr>
        <w:tc>
          <w:tcPr>
            <w:tcW w:w="1590"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Centrálny metainformačný systém VS</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85 319</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431 170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412 425</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r>
      <w:tr w:rsidR="003A497B" w:rsidRPr="00542B88" w:rsidTr="003E1809">
        <w:trPr>
          <w:trHeight w:hRule="exact" w:val="255"/>
        </w:trPr>
        <w:tc>
          <w:tcPr>
            <w:tcW w:w="1590"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Jednotný systém štátneho účtov. a výkaz.</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2 319 060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3 574 894</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5 100 000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3 142 362</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2 140 000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2 590 000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2 590 000</w:t>
            </w:r>
          </w:p>
        </w:tc>
      </w:tr>
      <w:tr w:rsidR="003A497B" w:rsidRPr="00542B88" w:rsidTr="003E1809">
        <w:trPr>
          <w:trHeight w:hRule="exact" w:val="255"/>
        </w:trPr>
        <w:tc>
          <w:tcPr>
            <w:tcW w:w="1590"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Centrálne licenčné zmluvné vzťahy</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35 199 998</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39 416 728</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76 522</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35 307 751</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76 522</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76 522</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76 522</w:t>
            </w:r>
          </w:p>
        </w:tc>
      </w:tr>
      <w:tr w:rsidR="003A497B" w:rsidRPr="00542B88" w:rsidTr="003E1809">
        <w:trPr>
          <w:trHeight w:hRule="exact" w:val="255"/>
        </w:trPr>
        <w:tc>
          <w:tcPr>
            <w:tcW w:w="1590"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 xml:space="preserve">     z toho: licencie Microsoft*</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22 449 581</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19 079 776</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18 534 000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r>
      <w:tr w:rsidR="003A497B" w:rsidRPr="00542B88" w:rsidTr="003E1809">
        <w:trPr>
          <w:trHeight w:hRule="exact" w:val="255"/>
        </w:trPr>
        <w:tc>
          <w:tcPr>
            <w:tcW w:w="1590"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UNITAS</w:t>
            </w:r>
          </w:p>
        </w:tc>
        <w:tc>
          <w:tcPr>
            <w:tcW w:w="487"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8 152 186</w:t>
            </w:r>
          </w:p>
        </w:tc>
        <w:tc>
          <w:tcPr>
            <w:tcW w:w="487"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8 800 631</w:t>
            </w:r>
          </w:p>
        </w:tc>
        <w:tc>
          <w:tcPr>
            <w:tcW w:w="487"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5 977 690</w:t>
            </w:r>
          </w:p>
        </w:tc>
        <w:tc>
          <w:tcPr>
            <w:tcW w:w="487"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r>
      <w:tr w:rsidR="003A497B" w:rsidRPr="00542B88" w:rsidTr="003E1809">
        <w:trPr>
          <w:trHeight w:hRule="exact" w:val="255"/>
        </w:trPr>
        <w:tc>
          <w:tcPr>
            <w:tcW w:w="1590"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Colný informačný systém</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6 548 262</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6 548 262</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4 612 873</w:t>
            </w:r>
          </w:p>
        </w:tc>
      </w:tr>
      <w:tr w:rsidR="003A497B" w:rsidRPr="00542B88" w:rsidTr="003E1809">
        <w:trPr>
          <w:trHeight w:hRule="exact" w:val="255"/>
        </w:trPr>
        <w:tc>
          <w:tcPr>
            <w:tcW w:w="1590"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Integrovaný systém finančnej správy - Správa daní</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4 427 606</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4 427 606</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6 362 995</w:t>
            </w:r>
          </w:p>
        </w:tc>
      </w:tr>
      <w:tr w:rsidR="003A497B" w:rsidRPr="00542B88" w:rsidTr="003E1809">
        <w:trPr>
          <w:trHeight w:hRule="exact" w:val="255"/>
        </w:trPr>
        <w:tc>
          <w:tcPr>
            <w:tcW w:w="1590"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IS pre podporu boja proti podvodom</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9 700 718</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9 700 718</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9 700 718</w:t>
            </w:r>
          </w:p>
        </w:tc>
      </w:tr>
      <w:tr w:rsidR="003A497B" w:rsidRPr="00542B88" w:rsidTr="003E1809">
        <w:trPr>
          <w:trHeight w:hRule="exact" w:val="255"/>
        </w:trPr>
        <w:tc>
          <w:tcPr>
            <w:tcW w:w="1590"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IS pre výmenu informácií finančnej správy</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945 410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945 410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945 410</w:t>
            </w:r>
          </w:p>
        </w:tc>
      </w:tr>
      <w:tr w:rsidR="003A497B" w:rsidRPr="00542B88" w:rsidTr="003E1809">
        <w:trPr>
          <w:trHeight w:hRule="exact" w:val="255"/>
        </w:trPr>
        <w:tc>
          <w:tcPr>
            <w:tcW w:w="1590"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Prierezový informačný systém</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2 444 181</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2 444 181</w:t>
            </w:r>
          </w:p>
        </w:tc>
        <w:tc>
          <w:tcPr>
            <w:tcW w:w="487" w:type="pct"/>
            <w:tcBorders>
              <w:top w:val="nil"/>
              <w:left w:val="nil"/>
              <w:bottom w:val="single" w:sz="4" w:space="0" w:color="auto"/>
              <w:right w:val="single" w:sz="4" w:space="0" w:color="auto"/>
            </w:tcBorders>
            <w:shd w:val="clear" w:color="000000" w:fill="FFFFFF"/>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2 444 181</w:t>
            </w:r>
          </w:p>
        </w:tc>
      </w:tr>
      <w:tr w:rsidR="003A497B" w:rsidRPr="00542B88" w:rsidTr="003E1809">
        <w:trPr>
          <w:trHeight w:hRule="exact" w:val="255"/>
        </w:trPr>
        <w:tc>
          <w:tcPr>
            <w:tcW w:w="1590" w:type="pct"/>
            <w:tcBorders>
              <w:top w:val="nil"/>
              <w:left w:val="nil"/>
              <w:bottom w:val="nil"/>
              <w:right w:val="nil"/>
            </w:tcBorders>
            <w:shd w:val="clear" w:color="000000" w:fill="FFFFFF"/>
            <w:noWrap/>
            <w:vAlign w:val="center"/>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 rozpočtované v kapitole VPS</w:t>
            </w:r>
          </w:p>
        </w:tc>
        <w:tc>
          <w:tcPr>
            <w:tcW w:w="487" w:type="pct"/>
            <w:tcBorders>
              <w:top w:val="nil"/>
              <w:left w:val="nil"/>
              <w:bottom w:val="nil"/>
              <w:right w:val="nil"/>
            </w:tcBorders>
            <w:shd w:val="clear" w:color="auto" w:fill="auto"/>
            <w:noWrap/>
            <w:vAlign w:val="center"/>
            <w:hideMark/>
          </w:tcPr>
          <w:p w:rsidR="003A497B" w:rsidRPr="00542B88" w:rsidRDefault="003A497B" w:rsidP="003E1809">
            <w:pPr>
              <w:rPr>
                <w:rFonts w:ascii="Times New Roman" w:hAnsi="Times New Roman" w:cs="Times New Roman"/>
                <w:sz w:val="14"/>
                <w:szCs w:val="14"/>
                <w:lang w:eastAsia="sk-SK"/>
              </w:rPr>
            </w:pPr>
          </w:p>
        </w:tc>
        <w:tc>
          <w:tcPr>
            <w:tcW w:w="487" w:type="pct"/>
            <w:tcBorders>
              <w:top w:val="nil"/>
              <w:left w:val="nil"/>
              <w:bottom w:val="nil"/>
              <w:right w:val="nil"/>
            </w:tcBorders>
            <w:shd w:val="clear" w:color="auto" w:fill="auto"/>
            <w:noWrap/>
            <w:vAlign w:val="center"/>
            <w:hideMark/>
          </w:tcPr>
          <w:p w:rsidR="003A497B" w:rsidRPr="00542B88" w:rsidRDefault="003A497B" w:rsidP="003E1809">
            <w:pPr>
              <w:jc w:val="right"/>
              <w:rPr>
                <w:rFonts w:ascii="Times New Roman" w:hAnsi="Times New Roman" w:cs="Times New Roman"/>
                <w:sz w:val="14"/>
                <w:szCs w:val="14"/>
                <w:lang w:eastAsia="sk-SK"/>
              </w:rPr>
            </w:pPr>
          </w:p>
        </w:tc>
        <w:tc>
          <w:tcPr>
            <w:tcW w:w="487" w:type="pct"/>
            <w:tcBorders>
              <w:top w:val="nil"/>
              <w:left w:val="nil"/>
              <w:bottom w:val="nil"/>
              <w:right w:val="nil"/>
            </w:tcBorders>
            <w:shd w:val="clear" w:color="auto" w:fill="auto"/>
            <w:noWrap/>
            <w:vAlign w:val="center"/>
            <w:hideMark/>
          </w:tcPr>
          <w:p w:rsidR="003A497B" w:rsidRPr="00542B88" w:rsidRDefault="003A497B" w:rsidP="003E1809">
            <w:pPr>
              <w:jc w:val="right"/>
              <w:rPr>
                <w:rFonts w:ascii="Times New Roman" w:hAnsi="Times New Roman" w:cs="Times New Roman"/>
                <w:sz w:val="14"/>
                <w:szCs w:val="14"/>
                <w:lang w:eastAsia="sk-SK"/>
              </w:rPr>
            </w:pPr>
          </w:p>
        </w:tc>
        <w:tc>
          <w:tcPr>
            <w:tcW w:w="487" w:type="pct"/>
            <w:tcBorders>
              <w:top w:val="nil"/>
              <w:left w:val="nil"/>
              <w:bottom w:val="nil"/>
              <w:right w:val="nil"/>
            </w:tcBorders>
            <w:shd w:val="clear" w:color="auto" w:fill="auto"/>
            <w:noWrap/>
            <w:vAlign w:val="center"/>
            <w:hideMark/>
          </w:tcPr>
          <w:p w:rsidR="003A497B" w:rsidRPr="00542B88" w:rsidRDefault="003A497B" w:rsidP="003E1809">
            <w:pPr>
              <w:jc w:val="right"/>
              <w:rPr>
                <w:rFonts w:ascii="Times New Roman" w:hAnsi="Times New Roman" w:cs="Times New Roman"/>
                <w:sz w:val="14"/>
                <w:szCs w:val="14"/>
                <w:lang w:eastAsia="sk-SK"/>
              </w:rPr>
            </w:pPr>
          </w:p>
        </w:tc>
        <w:tc>
          <w:tcPr>
            <w:tcW w:w="487" w:type="pct"/>
            <w:tcBorders>
              <w:top w:val="nil"/>
              <w:left w:val="nil"/>
              <w:bottom w:val="nil"/>
              <w:right w:val="nil"/>
            </w:tcBorders>
            <w:shd w:val="clear" w:color="auto" w:fill="auto"/>
            <w:noWrap/>
            <w:vAlign w:val="center"/>
            <w:hideMark/>
          </w:tcPr>
          <w:p w:rsidR="003A497B" w:rsidRPr="00542B88" w:rsidRDefault="003A497B" w:rsidP="003E1809">
            <w:pPr>
              <w:jc w:val="right"/>
              <w:rPr>
                <w:rFonts w:ascii="Times New Roman" w:hAnsi="Times New Roman" w:cs="Times New Roman"/>
                <w:sz w:val="14"/>
                <w:szCs w:val="14"/>
                <w:lang w:eastAsia="sk-SK"/>
              </w:rPr>
            </w:pPr>
          </w:p>
        </w:tc>
        <w:tc>
          <w:tcPr>
            <w:tcW w:w="487" w:type="pct"/>
            <w:tcBorders>
              <w:top w:val="nil"/>
              <w:left w:val="nil"/>
              <w:bottom w:val="nil"/>
              <w:right w:val="nil"/>
            </w:tcBorders>
            <w:shd w:val="clear" w:color="auto" w:fill="auto"/>
            <w:noWrap/>
            <w:vAlign w:val="center"/>
            <w:hideMark/>
          </w:tcPr>
          <w:p w:rsidR="003A497B" w:rsidRPr="00542B88" w:rsidRDefault="003A497B" w:rsidP="003E1809">
            <w:pPr>
              <w:jc w:val="right"/>
              <w:rPr>
                <w:rFonts w:ascii="Times New Roman" w:hAnsi="Times New Roman" w:cs="Times New Roman"/>
                <w:sz w:val="14"/>
                <w:szCs w:val="14"/>
                <w:lang w:eastAsia="sk-SK"/>
              </w:rPr>
            </w:pPr>
          </w:p>
        </w:tc>
        <w:tc>
          <w:tcPr>
            <w:tcW w:w="487" w:type="pct"/>
            <w:tcBorders>
              <w:top w:val="nil"/>
              <w:left w:val="nil"/>
              <w:bottom w:val="nil"/>
              <w:right w:val="nil"/>
            </w:tcBorders>
            <w:shd w:val="clear" w:color="auto" w:fill="auto"/>
            <w:noWrap/>
            <w:vAlign w:val="center"/>
            <w:hideMark/>
          </w:tcPr>
          <w:p w:rsidR="003A497B" w:rsidRPr="00542B88" w:rsidRDefault="003A497B" w:rsidP="003E1809">
            <w:pPr>
              <w:jc w:val="right"/>
              <w:rPr>
                <w:rFonts w:ascii="Times New Roman" w:hAnsi="Times New Roman" w:cs="Times New Roman"/>
                <w:sz w:val="14"/>
                <w:szCs w:val="14"/>
                <w:lang w:eastAsia="sk-SK"/>
              </w:rPr>
            </w:pPr>
          </w:p>
        </w:tc>
      </w:tr>
    </w:tbl>
    <w:p w:rsidR="003A497B" w:rsidRPr="00542B88" w:rsidRDefault="003A497B" w:rsidP="003A497B">
      <w:pPr>
        <w:jc w:val="both"/>
        <w:rPr>
          <w:rFonts w:ascii="Times New Roman" w:eastAsiaTheme="minorHAnsi" w:hAnsi="Times New Roman" w:cs="Times New Roman"/>
          <w:lang w:eastAsia="en-US"/>
        </w:rPr>
      </w:pPr>
    </w:p>
    <w:p w:rsidR="003A497B" w:rsidRPr="00542B88" w:rsidRDefault="003A497B" w:rsidP="003A497B">
      <w:pPr>
        <w:ind w:firstLine="708"/>
        <w:jc w:val="both"/>
        <w:rPr>
          <w:rFonts w:ascii="Times New Roman" w:eastAsiaTheme="minorHAnsi" w:hAnsi="Times New Roman" w:cs="Times New Roman"/>
          <w:lang w:eastAsia="en-US"/>
        </w:rPr>
      </w:pPr>
      <w:r w:rsidRPr="00542B88">
        <w:rPr>
          <w:rFonts w:ascii="Times New Roman" w:eastAsiaTheme="minorHAnsi" w:hAnsi="Times New Roman" w:cs="Times New Roman"/>
          <w:lang w:eastAsia="en-US"/>
        </w:rPr>
        <w:t>MF SR je účastníkom medzirezortného programu Informačné technológie financované zo štátneho rozpočtu. Výdavky na uvedenú oblasť na rok 2019 v porovnaní so schváleným rozpočtom na rok 2018 klesajú o 4,66 mil. eur, čo  predstavuje  5,48 %. Výdavky klesajú najmä v oblasti IS pre systém štátnej pokladnice a Jednotného systému štátneho účtovníctva  a výkazníctva v súvislosti s nižšou alokáciou prostriedkov na údržbu, rekonštrukciu a modernizáciu softvéru. Pokles výdavkov na Špecializované systémy od roku 2019 súvisí s vytvorením samostatných prvkov v rámci programovej štruktúry MF SR na rozpočtovanie výdavkov pre jednotlivé špecializované informačné systémy - Colný IS, Integrovaný systém finančnej správy - Správa daní,</w:t>
      </w:r>
      <w:r w:rsidRPr="00542B88">
        <w:rPr>
          <w:rFonts w:ascii="Times New Roman" w:hAnsi="Times New Roman" w:cs="Times New Roman"/>
        </w:rPr>
        <w:t xml:space="preserve"> </w:t>
      </w:r>
      <w:r w:rsidRPr="00542B88">
        <w:rPr>
          <w:rFonts w:ascii="Times New Roman" w:eastAsiaTheme="minorHAnsi" w:hAnsi="Times New Roman" w:cs="Times New Roman"/>
          <w:lang w:eastAsia="en-US"/>
        </w:rPr>
        <w:t>IS pre podporu boja proti podvodom,</w:t>
      </w:r>
      <w:r w:rsidRPr="00542B88">
        <w:rPr>
          <w:rFonts w:ascii="Times New Roman" w:hAnsi="Times New Roman" w:cs="Times New Roman"/>
        </w:rPr>
        <w:t xml:space="preserve"> </w:t>
      </w:r>
      <w:r w:rsidRPr="00542B88">
        <w:rPr>
          <w:rFonts w:ascii="Times New Roman" w:eastAsiaTheme="minorHAnsi" w:hAnsi="Times New Roman" w:cs="Times New Roman"/>
          <w:lang w:eastAsia="en-US"/>
        </w:rPr>
        <w:t xml:space="preserve">IS pre výmenu informácií finančnej správy a Prierezový informačný systém. Ide o zmenu nadväzujúcu na Metodický </w:t>
      </w:r>
      <w:r w:rsidRPr="00542B88">
        <w:rPr>
          <w:rFonts w:ascii="Times New Roman" w:eastAsiaTheme="minorHAnsi" w:hAnsi="Times New Roman" w:cs="Times New Roman"/>
          <w:lang w:eastAsia="en-US"/>
        </w:rPr>
        <w:lastRenderedPageBreak/>
        <w:t>pokyn ÚPVII na usmernenie rozpočtovania IT nákupu v rámci medzirezortného programu 0EK Informačné technológie financované zo štátneho rozpočtu.</w:t>
      </w:r>
    </w:p>
    <w:p w:rsidR="003A497B" w:rsidRPr="00542B88" w:rsidRDefault="003A497B" w:rsidP="003A497B">
      <w:pPr>
        <w:ind w:firstLine="360"/>
        <w:jc w:val="both"/>
        <w:rPr>
          <w:rFonts w:ascii="Times New Roman" w:eastAsiaTheme="minorHAnsi" w:hAnsi="Times New Roman" w:cs="Times New Roman"/>
          <w:lang w:eastAsia="en-US"/>
        </w:rPr>
      </w:pPr>
    </w:p>
    <w:p w:rsidR="003A497B" w:rsidRPr="00542B88" w:rsidRDefault="003A497B" w:rsidP="003A497B">
      <w:pPr>
        <w:ind w:firstLine="708"/>
        <w:jc w:val="both"/>
        <w:rPr>
          <w:rFonts w:ascii="Times New Roman" w:eastAsiaTheme="minorHAnsi" w:hAnsi="Times New Roman" w:cs="Times New Roman"/>
          <w:lang w:eastAsia="en-US"/>
        </w:rPr>
      </w:pPr>
      <w:r w:rsidRPr="00542B88">
        <w:rPr>
          <w:rFonts w:ascii="Times New Roman" w:eastAsiaTheme="minorHAnsi" w:hAnsi="Times New Roman" w:cs="Times New Roman"/>
          <w:lang w:eastAsia="en-US"/>
        </w:rPr>
        <w:t xml:space="preserve">Výdavky spojené s multilicenčnou zmluvou so spoločnosťou Microsoft za jednotlivé kapitoly štátneho rozpočtu sú rozpočtované v kapitole Všeobecná pokladničná správa v sume 18,5 mil.  eur. </w:t>
      </w:r>
    </w:p>
    <w:p w:rsidR="003A497B" w:rsidRPr="00542B88" w:rsidRDefault="003A497B" w:rsidP="003A497B">
      <w:pPr>
        <w:jc w:val="both"/>
        <w:rPr>
          <w:rFonts w:ascii="Times New Roman" w:eastAsiaTheme="minorHAnsi" w:hAnsi="Times New Roman" w:cs="Times New Roman"/>
          <w:lang w:eastAsia="en-US"/>
        </w:rPr>
      </w:pPr>
    </w:p>
    <w:p w:rsidR="003A497B" w:rsidRPr="00542B88" w:rsidRDefault="003A497B" w:rsidP="003A497B">
      <w:pPr>
        <w:spacing w:after="200" w:line="276" w:lineRule="auto"/>
        <w:contextualSpacing/>
        <w:jc w:val="both"/>
        <w:rPr>
          <w:rFonts w:ascii="Times New Roman" w:eastAsiaTheme="minorHAnsi" w:hAnsi="Times New Roman" w:cs="Times New Roman"/>
          <w:b/>
          <w:lang w:eastAsia="en-US"/>
        </w:rPr>
      </w:pPr>
      <w:r w:rsidRPr="00542B88">
        <w:rPr>
          <w:rFonts w:ascii="Times New Roman" w:eastAsiaTheme="minorHAnsi" w:hAnsi="Times New Roman" w:cs="Times New Roman"/>
          <w:b/>
          <w:lang w:eastAsia="en-US"/>
        </w:rPr>
        <w:t>Inštitucionálna podpora a kontrola</w:t>
      </w:r>
    </w:p>
    <w:p w:rsidR="003A497B" w:rsidRPr="00542B88" w:rsidRDefault="003A497B" w:rsidP="003A497B">
      <w:pPr>
        <w:spacing w:after="200" w:line="276" w:lineRule="auto"/>
        <w:ind w:left="720"/>
        <w:contextualSpacing/>
        <w:jc w:val="both"/>
        <w:rPr>
          <w:rFonts w:ascii="Times New Roman" w:eastAsiaTheme="minorHAnsi" w:hAnsi="Times New Roman" w:cs="Times New Roman"/>
          <w:b/>
          <w:lang w:eastAsia="en-US"/>
        </w:rPr>
      </w:pPr>
    </w:p>
    <w:tbl>
      <w:tblPr>
        <w:tblW w:w="5000" w:type="pct"/>
        <w:tblCellMar>
          <w:left w:w="70" w:type="dxa"/>
          <w:right w:w="70" w:type="dxa"/>
        </w:tblCellMar>
        <w:tblLook w:val="04A0" w:firstRow="1" w:lastRow="0" w:firstColumn="1" w:lastColumn="0" w:noHBand="0" w:noVBand="1"/>
      </w:tblPr>
      <w:tblGrid>
        <w:gridCol w:w="2237"/>
        <w:gridCol w:w="975"/>
        <w:gridCol w:w="975"/>
        <w:gridCol w:w="975"/>
        <w:gridCol w:w="975"/>
        <w:gridCol w:w="975"/>
        <w:gridCol w:w="975"/>
        <w:gridCol w:w="975"/>
      </w:tblGrid>
      <w:tr w:rsidR="003A497B" w:rsidRPr="00542B88" w:rsidTr="003E1809">
        <w:trPr>
          <w:trHeight w:val="255"/>
        </w:trPr>
        <w:tc>
          <w:tcPr>
            <w:tcW w:w="1234"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v eurách</w:t>
            </w:r>
          </w:p>
        </w:tc>
        <w:tc>
          <w:tcPr>
            <w:tcW w:w="538"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2016 S</w:t>
            </w:r>
          </w:p>
        </w:tc>
        <w:tc>
          <w:tcPr>
            <w:tcW w:w="538"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2017 S</w:t>
            </w:r>
          </w:p>
        </w:tc>
        <w:tc>
          <w:tcPr>
            <w:tcW w:w="538"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2018 R</w:t>
            </w:r>
          </w:p>
        </w:tc>
        <w:tc>
          <w:tcPr>
            <w:tcW w:w="538"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2018 OS</w:t>
            </w:r>
          </w:p>
        </w:tc>
        <w:tc>
          <w:tcPr>
            <w:tcW w:w="538"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2019 N</w:t>
            </w:r>
          </w:p>
        </w:tc>
        <w:tc>
          <w:tcPr>
            <w:tcW w:w="538"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2020 N</w:t>
            </w:r>
          </w:p>
        </w:tc>
        <w:tc>
          <w:tcPr>
            <w:tcW w:w="538"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2021 N</w:t>
            </w:r>
          </w:p>
        </w:tc>
      </w:tr>
      <w:tr w:rsidR="003A497B" w:rsidRPr="00542B88" w:rsidTr="003E1809">
        <w:trPr>
          <w:trHeight w:hRule="exact" w:val="255"/>
        </w:trPr>
        <w:tc>
          <w:tcPr>
            <w:tcW w:w="1234" w:type="pct"/>
            <w:tcBorders>
              <w:top w:val="nil"/>
              <w:left w:val="single" w:sz="4" w:space="0" w:color="auto"/>
              <w:bottom w:val="single" w:sz="4" w:space="0" w:color="auto"/>
              <w:right w:val="single" w:sz="4" w:space="0" w:color="auto"/>
            </w:tcBorders>
            <w:shd w:val="clear" w:color="000000" w:fill="D8D8D8"/>
            <w:noWrap/>
            <w:vAlign w:val="bottom"/>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Inštitucionálna podpora a kontrola</w:t>
            </w:r>
          </w:p>
        </w:tc>
        <w:tc>
          <w:tcPr>
            <w:tcW w:w="538" w:type="pct"/>
            <w:tcBorders>
              <w:top w:val="nil"/>
              <w:left w:val="nil"/>
              <w:bottom w:val="single" w:sz="4" w:space="0" w:color="auto"/>
              <w:right w:val="single" w:sz="4" w:space="0" w:color="auto"/>
            </w:tcBorders>
            <w:shd w:val="clear" w:color="000000" w:fill="D8D8D8"/>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77 088 097</w:t>
            </w:r>
          </w:p>
        </w:tc>
        <w:tc>
          <w:tcPr>
            <w:tcW w:w="538" w:type="pct"/>
            <w:tcBorders>
              <w:top w:val="nil"/>
              <w:left w:val="nil"/>
              <w:bottom w:val="single" w:sz="4" w:space="0" w:color="auto"/>
              <w:right w:val="single" w:sz="4" w:space="0" w:color="auto"/>
            </w:tcBorders>
            <w:shd w:val="clear" w:color="000000" w:fill="D8D8D8"/>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58 747 270</w:t>
            </w:r>
          </w:p>
        </w:tc>
        <w:tc>
          <w:tcPr>
            <w:tcW w:w="538" w:type="pct"/>
            <w:tcBorders>
              <w:top w:val="nil"/>
              <w:left w:val="nil"/>
              <w:bottom w:val="single" w:sz="4" w:space="0" w:color="auto"/>
              <w:right w:val="single" w:sz="4" w:space="0" w:color="auto"/>
            </w:tcBorders>
            <w:shd w:val="clear" w:color="000000" w:fill="D8D8D8"/>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50 801 847</w:t>
            </w:r>
          </w:p>
        </w:tc>
        <w:tc>
          <w:tcPr>
            <w:tcW w:w="538" w:type="pct"/>
            <w:tcBorders>
              <w:top w:val="nil"/>
              <w:left w:val="nil"/>
              <w:bottom w:val="single" w:sz="4" w:space="0" w:color="auto"/>
              <w:right w:val="single" w:sz="4" w:space="0" w:color="auto"/>
            </w:tcBorders>
            <w:shd w:val="clear" w:color="000000" w:fill="D8D8D8"/>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59 028 155</w:t>
            </w:r>
          </w:p>
        </w:tc>
        <w:tc>
          <w:tcPr>
            <w:tcW w:w="538" w:type="pct"/>
            <w:tcBorders>
              <w:top w:val="nil"/>
              <w:left w:val="nil"/>
              <w:bottom w:val="single" w:sz="4" w:space="0" w:color="auto"/>
              <w:right w:val="single" w:sz="4" w:space="0" w:color="auto"/>
            </w:tcBorders>
            <w:shd w:val="clear" w:color="000000" w:fill="D8D8D8"/>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54 685 659</w:t>
            </w:r>
          </w:p>
        </w:tc>
        <w:tc>
          <w:tcPr>
            <w:tcW w:w="538" w:type="pct"/>
            <w:tcBorders>
              <w:top w:val="nil"/>
              <w:left w:val="nil"/>
              <w:bottom w:val="single" w:sz="4" w:space="0" w:color="auto"/>
              <w:right w:val="single" w:sz="4" w:space="0" w:color="auto"/>
            </w:tcBorders>
            <w:shd w:val="clear" w:color="000000" w:fill="D8D8D8"/>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54 564 068</w:t>
            </w:r>
          </w:p>
        </w:tc>
        <w:tc>
          <w:tcPr>
            <w:tcW w:w="538" w:type="pct"/>
            <w:tcBorders>
              <w:top w:val="nil"/>
              <w:left w:val="nil"/>
              <w:bottom w:val="single" w:sz="4" w:space="0" w:color="auto"/>
              <w:right w:val="single" w:sz="4" w:space="0" w:color="auto"/>
            </w:tcBorders>
            <w:shd w:val="clear" w:color="000000" w:fill="D8D8D8"/>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54 334 918</w:t>
            </w:r>
          </w:p>
        </w:tc>
      </w:tr>
      <w:tr w:rsidR="003A497B" w:rsidRPr="00542B88" w:rsidTr="003E1809">
        <w:trPr>
          <w:trHeight w:hRule="exact" w:val="255"/>
        </w:trPr>
        <w:tc>
          <w:tcPr>
            <w:tcW w:w="123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štátny rozpočet</w:t>
            </w:r>
          </w:p>
        </w:tc>
        <w:tc>
          <w:tcPr>
            <w:tcW w:w="538"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61 164 881</w:t>
            </w:r>
          </w:p>
        </w:tc>
        <w:tc>
          <w:tcPr>
            <w:tcW w:w="538"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56 425 305</w:t>
            </w:r>
          </w:p>
        </w:tc>
        <w:tc>
          <w:tcPr>
            <w:tcW w:w="538"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50 801 847</w:t>
            </w:r>
          </w:p>
        </w:tc>
        <w:tc>
          <w:tcPr>
            <w:tcW w:w="538"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57 427 072</w:t>
            </w:r>
          </w:p>
        </w:tc>
        <w:tc>
          <w:tcPr>
            <w:tcW w:w="538"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54 685 659</w:t>
            </w:r>
          </w:p>
        </w:tc>
        <w:tc>
          <w:tcPr>
            <w:tcW w:w="538"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54 564 068</w:t>
            </w:r>
          </w:p>
        </w:tc>
        <w:tc>
          <w:tcPr>
            <w:tcW w:w="538"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54 334 918</w:t>
            </w:r>
          </w:p>
        </w:tc>
      </w:tr>
      <w:tr w:rsidR="003A497B" w:rsidRPr="00542B88" w:rsidTr="003E1809">
        <w:trPr>
          <w:trHeight w:hRule="exact" w:val="255"/>
        </w:trPr>
        <w:tc>
          <w:tcPr>
            <w:tcW w:w="123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 xml:space="preserve">zdroje EÚ </w:t>
            </w:r>
          </w:p>
        </w:tc>
        <w:tc>
          <w:tcPr>
            <w:tcW w:w="538"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13 146 121</w:t>
            </w:r>
          </w:p>
        </w:tc>
        <w:tc>
          <w:tcPr>
            <w:tcW w:w="538"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1 898 988</w:t>
            </w:r>
          </w:p>
        </w:tc>
        <w:tc>
          <w:tcPr>
            <w:tcW w:w="538"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38"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1 319 611</w:t>
            </w:r>
          </w:p>
        </w:tc>
        <w:tc>
          <w:tcPr>
            <w:tcW w:w="538"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38"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38"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r>
      <w:tr w:rsidR="003A497B" w:rsidRPr="00542B88" w:rsidTr="003E1809">
        <w:trPr>
          <w:trHeight w:hRule="exact" w:val="255"/>
        </w:trPr>
        <w:tc>
          <w:tcPr>
            <w:tcW w:w="123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spolufinancovanie zo ŠR</w:t>
            </w:r>
          </w:p>
        </w:tc>
        <w:tc>
          <w:tcPr>
            <w:tcW w:w="538"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2 777 095</w:t>
            </w:r>
          </w:p>
        </w:tc>
        <w:tc>
          <w:tcPr>
            <w:tcW w:w="538"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422 977</w:t>
            </w:r>
          </w:p>
        </w:tc>
        <w:tc>
          <w:tcPr>
            <w:tcW w:w="538"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38"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281 472</w:t>
            </w:r>
          </w:p>
        </w:tc>
        <w:tc>
          <w:tcPr>
            <w:tcW w:w="538"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38"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38" w:type="pct"/>
            <w:tcBorders>
              <w:top w:val="nil"/>
              <w:left w:val="nil"/>
              <w:bottom w:val="single" w:sz="4" w:space="0" w:color="auto"/>
              <w:right w:val="single" w:sz="4" w:space="0" w:color="auto"/>
            </w:tcBorders>
            <w:shd w:val="clear" w:color="auto" w:fill="auto"/>
            <w:noWrap/>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r>
    </w:tbl>
    <w:p w:rsidR="003A497B" w:rsidRPr="00542B88" w:rsidRDefault="003A497B" w:rsidP="003A497B">
      <w:pPr>
        <w:spacing w:line="360" w:lineRule="auto"/>
        <w:jc w:val="both"/>
        <w:rPr>
          <w:rFonts w:ascii="Times New Roman" w:hAnsi="Times New Roman" w:cs="Times New Roman"/>
          <w:b/>
          <w:noProof/>
          <w:sz w:val="22"/>
          <w:szCs w:val="22"/>
          <w:lang w:eastAsia="sk-SK"/>
        </w:rPr>
      </w:pPr>
    </w:p>
    <w:p w:rsidR="003A497B" w:rsidRPr="00542B88" w:rsidRDefault="003A497B" w:rsidP="003A497B">
      <w:pPr>
        <w:jc w:val="both"/>
        <w:rPr>
          <w:rFonts w:ascii="Times New Roman" w:hAnsi="Times New Roman" w:cs="Times New Roman"/>
          <w:noProof/>
          <w:color w:val="FF0000"/>
          <w:szCs w:val="22"/>
          <w:lang w:eastAsia="sk-SK"/>
        </w:rPr>
      </w:pPr>
      <w:r w:rsidRPr="00542B88">
        <w:rPr>
          <w:rFonts w:ascii="Times New Roman" w:hAnsi="Times New Roman" w:cs="Times New Roman"/>
          <w:noProof/>
          <w:lang w:eastAsia="sk-SK"/>
        </w:rPr>
        <w:tab/>
        <w:t xml:space="preserve">Výdavky na inštitucionálnu podporu a kontrolu a ostatné úlohy kapitoly na rok 2019  sú rozpočtované vo výške 54,7 mil. eur, čo predstavuje medziročný  nárast o 3,88 mil. eur, t. j. o 7,65 %. </w:t>
      </w:r>
    </w:p>
    <w:p w:rsidR="003A497B" w:rsidRPr="00542B88" w:rsidRDefault="003A497B" w:rsidP="003A497B">
      <w:pPr>
        <w:jc w:val="both"/>
        <w:rPr>
          <w:rFonts w:ascii="Times New Roman" w:hAnsi="Times New Roman" w:cs="Times New Roman"/>
          <w:noProof/>
          <w:color w:val="FF0000"/>
          <w:szCs w:val="22"/>
          <w:lang w:eastAsia="sk-SK"/>
        </w:rPr>
      </w:pPr>
      <w:r w:rsidRPr="00542B88">
        <w:rPr>
          <w:rFonts w:ascii="Times New Roman" w:hAnsi="Times New Roman" w:cs="Times New Roman"/>
          <w:noProof/>
          <w:lang w:eastAsia="sk-SK"/>
        </w:rPr>
        <w:t xml:space="preserve"> </w:t>
      </w:r>
    </w:p>
    <w:tbl>
      <w:tblPr>
        <w:tblW w:w="5000" w:type="pct"/>
        <w:tblCellMar>
          <w:left w:w="70" w:type="dxa"/>
          <w:right w:w="70" w:type="dxa"/>
        </w:tblCellMar>
        <w:tblLook w:val="04A0" w:firstRow="1" w:lastRow="0" w:firstColumn="1" w:lastColumn="0" w:noHBand="0" w:noVBand="1"/>
      </w:tblPr>
      <w:tblGrid>
        <w:gridCol w:w="2442"/>
        <w:gridCol w:w="946"/>
        <w:gridCol w:w="946"/>
        <w:gridCol w:w="946"/>
        <w:gridCol w:w="946"/>
        <w:gridCol w:w="946"/>
        <w:gridCol w:w="946"/>
        <w:gridCol w:w="944"/>
      </w:tblGrid>
      <w:tr w:rsidR="003A497B" w:rsidRPr="00542B88" w:rsidTr="003E1809">
        <w:trPr>
          <w:trHeight w:hRule="exact" w:val="255"/>
        </w:trPr>
        <w:tc>
          <w:tcPr>
            <w:tcW w:w="1347" w:type="pct"/>
            <w:tcBorders>
              <w:top w:val="single" w:sz="4" w:space="0" w:color="auto"/>
              <w:left w:val="single" w:sz="4" w:space="0" w:color="auto"/>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v eurách</w:t>
            </w:r>
          </w:p>
        </w:tc>
        <w:tc>
          <w:tcPr>
            <w:tcW w:w="52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2016 S</w:t>
            </w:r>
          </w:p>
        </w:tc>
        <w:tc>
          <w:tcPr>
            <w:tcW w:w="52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2017 S</w:t>
            </w:r>
          </w:p>
        </w:tc>
        <w:tc>
          <w:tcPr>
            <w:tcW w:w="52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2018 R</w:t>
            </w:r>
          </w:p>
        </w:tc>
        <w:tc>
          <w:tcPr>
            <w:tcW w:w="52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2018 OS</w:t>
            </w:r>
          </w:p>
        </w:tc>
        <w:tc>
          <w:tcPr>
            <w:tcW w:w="52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2019 N</w:t>
            </w:r>
          </w:p>
        </w:tc>
        <w:tc>
          <w:tcPr>
            <w:tcW w:w="52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2020 N</w:t>
            </w:r>
          </w:p>
        </w:tc>
        <w:tc>
          <w:tcPr>
            <w:tcW w:w="52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2021 N</w:t>
            </w:r>
          </w:p>
        </w:tc>
      </w:tr>
      <w:tr w:rsidR="003A497B" w:rsidRPr="00542B88" w:rsidTr="003E1809">
        <w:trPr>
          <w:trHeight w:hRule="exact" w:val="255"/>
        </w:trPr>
        <w:tc>
          <w:tcPr>
            <w:tcW w:w="1347" w:type="pct"/>
            <w:tcBorders>
              <w:top w:val="single" w:sz="4" w:space="0" w:color="auto"/>
              <w:left w:val="single" w:sz="4" w:space="0" w:color="auto"/>
              <w:bottom w:val="single" w:sz="4" w:space="0" w:color="auto"/>
              <w:right w:val="single" w:sz="4" w:space="0" w:color="auto"/>
            </w:tcBorders>
            <w:shd w:val="pct25" w:color="000000" w:fill="FFFFFF" w:themeFill="background1"/>
            <w:noWrap/>
            <w:vAlign w:val="bottom"/>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Výdavky ŠR na organizácie spolu</w:t>
            </w:r>
          </w:p>
        </w:tc>
        <w:tc>
          <w:tcPr>
            <w:tcW w:w="52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13 381 808</w:t>
            </w:r>
          </w:p>
        </w:tc>
        <w:tc>
          <w:tcPr>
            <w:tcW w:w="52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15 125 356</w:t>
            </w:r>
          </w:p>
        </w:tc>
        <w:tc>
          <w:tcPr>
            <w:tcW w:w="52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12 230 408</w:t>
            </w:r>
          </w:p>
        </w:tc>
        <w:tc>
          <w:tcPr>
            <w:tcW w:w="52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13 232 708</w:t>
            </w:r>
          </w:p>
        </w:tc>
        <w:tc>
          <w:tcPr>
            <w:tcW w:w="52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14 303 313</w:t>
            </w:r>
          </w:p>
        </w:tc>
        <w:tc>
          <w:tcPr>
            <w:tcW w:w="52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13 815 527</w:t>
            </w:r>
          </w:p>
        </w:tc>
        <w:tc>
          <w:tcPr>
            <w:tcW w:w="52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13 809 877</w:t>
            </w:r>
          </w:p>
        </w:tc>
      </w:tr>
      <w:tr w:rsidR="003A497B" w:rsidRPr="00542B88" w:rsidTr="003E1809">
        <w:trPr>
          <w:trHeight w:hRule="exact" w:val="255"/>
        </w:trPr>
        <w:tc>
          <w:tcPr>
            <w:tcW w:w="1347"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Úrad vládneho auditu</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3 332 694</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5 938 396</w:t>
            </w:r>
          </w:p>
        </w:tc>
        <w:tc>
          <w:tcPr>
            <w:tcW w:w="522" w:type="pct"/>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4 335 624</w:t>
            </w:r>
          </w:p>
        </w:tc>
        <w:tc>
          <w:tcPr>
            <w:tcW w:w="522" w:type="pct"/>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4 280 709</w:t>
            </w:r>
          </w:p>
        </w:tc>
        <w:tc>
          <w:tcPr>
            <w:tcW w:w="522" w:type="pct"/>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4 561 365</w:t>
            </w:r>
          </w:p>
        </w:tc>
        <w:tc>
          <w:tcPr>
            <w:tcW w:w="522" w:type="pct"/>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4 387 579</w:t>
            </w:r>
          </w:p>
        </w:tc>
        <w:tc>
          <w:tcPr>
            <w:tcW w:w="522" w:type="pct"/>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4 381 929</w:t>
            </w:r>
          </w:p>
        </w:tc>
      </w:tr>
      <w:tr w:rsidR="003A497B" w:rsidRPr="00542B88" w:rsidTr="003E1809">
        <w:trPr>
          <w:trHeight w:hRule="exact" w:val="255"/>
        </w:trPr>
        <w:tc>
          <w:tcPr>
            <w:tcW w:w="1347"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8B07D4">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VD</w:t>
            </w:r>
            <w:r w:rsidR="008B07D4">
              <w:rPr>
                <w:rFonts w:ascii="Times New Roman" w:hAnsi="Times New Roman" w:cs="Times New Roman"/>
                <w:sz w:val="14"/>
                <w:szCs w:val="14"/>
                <w:lang w:eastAsia="sk-SK"/>
              </w:rPr>
              <w:t>Z</w:t>
            </w:r>
            <w:r w:rsidRPr="00542B88">
              <w:rPr>
                <w:rFonts w:ascii="Times New Roman" w:hAnsi="Times New Roman" w:cs="Times New Roman"/>
                <w:sz w:val="14"/>
                <w:szCs w:val="14"/>
                <w:lang w:eastAsia="sk-SK"/>
              </w:rPr>
              <w:t xml:space="preserve"> Tatranská Lomnica</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1 367 773</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1 365 730</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946 598</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1 159 144</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1 410 903</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1 110 903</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1 110 903</w:t>
            </w:r>
          </w:p>
        </w:tc>
      </w:tr>
      <w:tr w:rsidR="003A497B" w:rsidRPr="00542B88" w:rsidTr="003E1809">
        <w:trPr>
          <w:trHeight w:hRule="exact" w:val="255"/>
        </w:trPr>
        <w:tc>
          <w:tcPr>
            <w:tcW w:w="1347"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ARDAL</w:t>
            </w:r>
          </w:p>
        </w:tc>
        <w:tc>
          <w:tcPr>
            <w:tcW w:w="522" w:type="pct"/>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1 486 551</w:t>
            </w:r>
          </w:p>
        </w:tc>
        <w:tc>
          <w:tcPr>
            <w:tcW w:w="522" w:type="pct"/>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980 549</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1 097 901</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1 400 756</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1 157 878</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1 143 878</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1 143 878</w:t>
            </w:r>
          </w:p>
        </w:tc>
      </w:tr>
      <w:tr w:rsidR="003A497B" w:rsidRPr="00542B88" w:rsidTr="003E1809">
        <w:trPr>
          <w:trHeight w:hRule="exact" w:val="255"/>
        </w:trPr>
        <w:tc>
          <w:tcPr>
            <w:tcW w:w="1347"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Štátna pokladnica</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2 932 706</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2 859 890</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2 714 588</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2 946 627</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3 055 745</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3 055 745</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3 055 745</w:t>
            </w:r>
          </w:p>
        </w:tc>
      </w:tr>
      <w:tr w:rsidR="003A497B" w:rsidRPr="00542B88" w:rsidTr="003E1809">
        <w:trPr>
          <w:trHeight w:hRule="exact" w:val="255"/>
        </w:trPr>
        <w:tc>
          <w:tcPr>
            <w:tcW w:w="1347"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DataCentrum</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4 262 084</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3 980 792</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3 135 697</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3 445 472</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4 117 422</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4 117 422</w:t>
            </w:r>
          </w:p>
        </w:tc>
        <w:tc>
          <w:tcPr>
            <w:tcW w:w="522"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4 117 422</w:t>
            </w:r>
          </w:p>
        </w:tc>
      </w:tr>
    </w:tbl>
    <w:p w:rsidR="003A497B" w:rsidRPr="00542B88" w:rsidRDefault="003A497B" w:rsidP="003A497B">
      <w:pPr>
        <w:spacing w:line="360" w:lineRule="auto"/>
        <w:jc w:val="both"/>
        <w:rPr>
          <w:rFonts w:ascii="Times New Roman" w:hAnsi="Times New Roman" w:cs="Times New Roman"/>
          <w:noProof/>
          <w:lang w:eastAsia="sk-SK"/>
        </w:rPr>
      </w:pPr>
    </w:p>
    <w:p w:rsidR="003A497B" w:rsidRPr="00542B88" w:rsidRDefault="003A497B" w:rsidP="003A497B">
      <w:pPr>
        <w:spacing w:after="200"/>
        <w:jc w:val="both"/>
        <w:rPr>
          <w:rFonts w:ascii="Times New Roman" w:hAnsi="Times New Roman" w:cs="Times New Roman"/>
          <w:noProof/>
          <w:szCs w:val="22"/>
          <w:lang w:eastAsia="sk-SK"/>
        </w:rPr>
      </w:pPr>
      <w:r w:rsidRPr="00542B88">
        <w:rPr>
          <w:rFonts w:ascii="Times New Roman" w:eastAsiaTheme="minorHAnsi" w:hAnsi="Times New Roman" w:cs="Times New Roman"/>
          <w:lang w:eastAsia="en-US"/>
        </w:rPr>
        <w:tab/>
        <w:t>Výdavky na prevádzku organizácií, okrem FR SR a úradu MF SR, v roku 2019 predstavujú 14,3 mil. eur a medziročne rastú o 2,07 mil. eur, čo je 16,9 %. Vývoj výdavkov ovplyvnilo</w:t>
      </w:r>
      <w:r w:rsidRPr="00542B88">
        <w:rPr>
          <w:rFonts w:ascii="Times New Roman" w:hAnsi="Times New Roman" w:cs="Times New Roman"/>
          <w:noProof/>
          <w:szCs w:val="22"/>
          <w:lang w:eastAsia="sk-SK"/>
        </w:rPr>
        <w:t xml:space="preserve"> najmä premietnutie valorizácie platov zamestnacov z roku 2018</w:t>
      </w:r>
      <w:r w:rsidRPr="00542B88">
        <w:t xml:space="preserve"> </w:t>
      </w:r>
      <w:r w:rsidRPr="00542B88">
        <w:rPr>
          <w:rFonts w:ascii="Times New Roman" w:hAnsi="Times New Roman" w:cs="Times New Roman"/>
          <w:noProof/>
          <w:szCs w:val="22"/>
          <w:lang w:eastAsia="sk-SK"/>
        </w:rPr>
        <w:t>do nasledujúcich rokov, rast kapitálových výdavkov VDZ v Tatranskej Lomnici v súvislosti s pokračujúcou rekonštrukciou a modernizáciou budovy vzdelávacieho strediska a delimitácia výdavkov z DataCentra na ÚPVII určených na CSIRT.</w:t>
      </w:r>
    </w:p>
    <w:p w:rsidR="003A497B" w:rsidRPr="00542B88" w:rsidRDefault="003A497B" w:rsidP="003A497B">
      <w:pPr>
        <w:jc w:val="both"/>
        <w:rPr>
          <w:rFonts w:ascii="Times New Roman" w:hAnsi="Times New Roman" w:cs="Times New Roman"/>
          <w:sz w:val="14"/>
          <w:szCs w:val="14"/>
          <w:lang w:eastAsia="sk-SK"/>
        </w:rPr>
      </w:pPr>
    </w:p>
    <w:tbl>
      <w:tblPr>
        <w:tblW w:w="5000" w:type="pct"/>
        <w:tblCellMar>
          <w:left w:w="70" w:type="dxa"/>
          <w:right w:w="70" w:type="dxa"/>
        </w:tblCellMar>
        <w:tblLook w:val="04A0" w:firstRow="1" w:lastRow="0" w:firstColumn="1" w:lastColumn="0" w:noHBand="0" w:noVBand="1"/>
      </w:tblPr>
      <w:tblGrid>
        <w:gridCol w:w="2460"/>
        <w:gridCol w:w="945"/>
        <w:gridCol w:w="944"/>
        <w:gridCol w:w="944"/>
        <w:gridCol w:w="944"/>
        <w:gridCol w:w="944"/>
        <w:gridCol w:w="944"/>
        <w:gridCol w:w="937"/>
      </w:tblGrid>
      <w:tr w:rsidR="003A497B" w:rsidRPr="00542B88" w:rsidTr="003E1809">
        <w:trPr>
          <w:trHeight w:hRule="exact" w:val="255"/>
        </w:trPr>
        <w:tc>
          <w:tcPr>
            <w:tcW w:w="1357" w:type="pct"/>
            <w:tcBorders>
              <w:top w:val="single" w:sz="4" w:space="0" w:color="auto"/>
              <w:left w:val="single" w:sz="4" w:space="0" w:color="auto"/>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v eurách</w:t>
            </w:r>
          </w:p>
        </w:tc>
        <w:tc>
          <w:tcPr>
            <w:tcW w:w="521"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2016 S</w:t>
            </w:r>
          </w:p>
        </w:tc>
        <w:tc>
          <w:tcPr>
            <w:tcW w:w="521"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2017 S</w:t>
            </w:r>
          </w:p>
        </w:tc>
        <w:tc>
          <w:tcPr>
            <w:tcW w:w="521"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2018 R</w:t>
            </w:r>
          </w:p>
        </w:tc>
        <w:tc>
          <w:tcPr>
            <w:tcW w:w="521"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2018 OS</w:t>
            </w:r>
          </w:p>
        </w:tc>
        <w:tc>
          <w:tcPr>
            <w:tcW w:w="521"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2019 N</w:t>
            </w:r>
          </w:p>
        </w:tc>
        <w:tc>
          <w:tcPr>
            <w:tcW w:w="521"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2020 N</w:t>
            </w:r>
          </w:p>
        </w:tc>
        <w:tc>
          <w:tcPr>
            <w:tcW w:w="518"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542B88" w:rsidRDefault="003A497B" w:rsidP="003E1809">
            <w:pPr>
              <w:jc w:val="cente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2021 N</w:t>
            </w:r>
          </w:p>
        </w:tc>
      </w:tr>
      <w:tr w:rsidR="003A497B" w:rsidRPr="00542B88" w:rsidTr="003E1809">
        <w:trPr>
          <w:trHeight w:hRule="exact" w:val="255"/>
        </w:trPr>
        <w:tc>
          <w:tcPr>
            <w:tcW w:w="1357" w:type="pct"/>
            <w:tcBorders>
              <w:top w:val="single" w:sz="4" w:space="0" w:color="auto"/>
              <w:left w:val="single" w:sz="4" w:space="0" w:color="auto"/>
              <w:bottom w:val="single" w:sz="4" w:space="0" w:color="auto"/>
              <w:right w:val="single" w:sz="4" w:space="0" w:color="auto"/>
            </w:tcBorders>
            <w:shd w:val="pct25" w:color="000000" w:fill="FFFFFF" w:themeFill="background1"/>
            <w:noWrap/>
            <w:vAlign w:val="bottom"/>
            <w:hideMark/>
          </w:tcPr>
          <w:p w:rsidR="003A497B" w:rsidRPr="00542B88" w:rsidRDefault="003A497B" w:rsidP="003E1809">
            <w:pPr>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Úrad MF SR</w:t>
            </w:r>
          </w:p>
        </w:tc>
        <w:tc>
          <w:tcPr>
            <w:tcW w:w="521"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63 706 289</w:t>
            </w:r>
          </w:p>
        </w:tc>
        <w:tc>
          <w:tcPr>
            <w:tcW w:w="521"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43 621 914</w:t>
            </w:r>
          </w:p>
        </w:tc>
        <w:tc>
          <w:tcPr>
            <w:tcW w:w="521"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38 571 439</w:t>
            </w:r>
          </w:p>
        </w:tc>
        <w:tc>
          <w:tcPr>
            <w:tcW w:w="521"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45 795 446</w:t>
            </w:r>
          </w:p>
        </w:tc>
        <w:tc>
          <w:tcPr>
            <w:tcW w:w="521"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40 382 346</w:t>
            </w:r>
          </w:p>
        </w:tc>
        <w:tc>
          <w:tcPr>
            <w:tcW w:w="521"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40 748 541</w:t>
            </w:r>
          </w:p>
        </w:tc>
        <w:tc>
          <w:tcPr>
            <w:tcW w:w="518"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542B88" w:rsidRDefault="003A497B" w:rsidP="003E1809">
            <w:pPr>
              <w:jc w:val="right"/>
              <w:rPr>
                <w:rFonts w:ascii="Times New Roman" w:hAnsi="Times New Roman" w:cs="Times New Roman"/>
                <w:b/>
                <w:bCs/>
                <w:sz w:val="14"/>
                <w:szCs w:val="14"/>
                <w:lang w:eastAsia="sk-SK"/>
              </w:rPr>
            </w:pPr>
            <w:r w:rsidRPr="00542B88">
              <w:rPr>
                <w:rFonts w:ascii="Times New Roman" w:hAnsi="Times New Roman" w:cs="Times New Roman"/>
                <w:b/>
                <w:bCs/>
                <w:sz w:val="14"/>
                <w:szCs w:val="14"/>
                <w:lang w:eastAsia="sk-SK"/>
              </w:rPr>
              <w:t>40 525 041</w:t>
            </w:r>
          </w:p>
        </w:tc>
      </w:tr>
      <w:tr w:rsidR="003A497B" w:rsidRPr="00542B88" w:rsidTr="003E1809">
        <w:trPr>
          <w:trHeight w:hRule="exact" w:val="255"/>
        </w:trPr>
        <w:tc>
          <w:tcPr>
            <w:tcW w:w="1357" w:type="pct"/>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výdavky ŠR na  činnosť</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28 840 752</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28 313 349</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37 866 791</w:t>
            </w:r>
          </w:p>
        </w:tc>
        <w:tc>
          <w:tcPr>
            <w:tcW w:w="521" w:type="pct"/>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30 372 349</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39 997 846</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40 318 041</w:t>
            </w:r>
          </w:p>
        </w:tc>
        <w:tc>
          <w:tcPr>
            <w:tcW w:w="518"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40 087 541</w:t>
            </w:r>
          </w:p>
        </w:tc>
      </w:tr>
      <w:tr w:rsidR="003A497B" w:rsidRPr="00542B88" w:rsidTr="003E1809">
        <w:trPr>
          <w:trHeight w:hRule="exact" w:val="255"/>
        </w:trPr>
        <w:tc>
          <w:tcPr>
            <w:tcW w:w="1357" w:type="pct"/>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výdavky ŠR na medzirezortné programy</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1 289 919</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688 449</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704 648</w:t>
            </w:r>
          </w:p>
        </w:tc>
        <w:tc>
          <w:tcPr>
            <w:tcW w:w="521" w:type="pct"/>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522 014</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384 500</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430 500</w:t>
            </w:r>
          </w:p>
        </w:tc>
        <w:tc>
          <w:tcPr>
            <w:tcW w:w="518"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437 500</w:t>
            </w:r>
          </w:p>
        </w:tc>
      </w:tr>
      <w:tr w:rsidR="003A497B" w:rsidRPr="00542B88" w:rsidTr="003E1809">
        <w:trPr>
          <w:trHeight w:hRule="exact" w:val="255"/>
        </w:trPr>
        <w:tc>
          <w:tcPr>
            <w:tcW w:w="1357" w:type="pct"/>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výdavky ŠR na arbitráže*</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7 414 108</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1 760 982</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21" w:type="pct"/>
            <w:tcBorders>
              <w:top w:val="nil"/>
              <w:left w:val="nil"/>
              <w:bottom w:val="single" w:sz="4" w:space="0" w:color="auto"/>
              <w:right w:val="single" w:sz="4" w:space="0" w:color="auto"/>
            </w:tcBorders>
            <w:shd w:val="clear" w:color="000000" w:fill="FFFFFF"/>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2 600 000</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18"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r>
      <w:tr w:rsidR="003A497B" w:rsidRPr="00542B88" w:rsidTr="003E1809">
        <w:trPr>
          <w:trHeight w:hRule="exact" w:val="255"/>
        </w:trPr>
        <w:tc>
          <w:tcPr>
            <w:tcW w:w="1357" w:type="pct"/>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výdavky ŠR na e-kolky*</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10 238 293</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10 537 169</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10 700 000</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18"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r>
      <w:tr w:rsidR="003A497B" w:rsidRPr="00542B88" w:rsidTr="003E1809">
        <w:trPr>
          <w:trHeight w:hRule="exact" w:val="255"/>
        </w:trPr>
        <w:tc>
          <w:tcPr>
            <w:tcW w:w="1357" w:type="pct"/>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EÚ prostriedky</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13 146 121</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1 898 988</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1 319 611</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18"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r>
      <w:tr w:rsidR="003A497B" w:rsidRPr="00542B88" w:rsidTr="003E1809">
        <w:trPr>
          <w:trHeight w:hRule="exact" w:val="255"/>
        </w:trPr>
        <w:tc>
          <w:tcPr>
            <w:tcW w:w="1357" w:type="pct"/>
            <w:tcBorders>
              <w:top w:val="nil"/>
              <w:left w:val="single" w:sz="4" w:space="0" w:color="auto"/>
              <w:bottom w:val="single" w:sz="4" w:space="0" w:color="auto"/>
              <w:right w:val="single" w:sz="4" w:space="0" w:color="auto"/>
            </w:tcBorders>
            <w:shd w:val="clear" w:color="auto" w:fill="auto"/>
            <w:noWrap/>
            <w:vAlign w:val="bottom"/>
            <w:hideMark/>
          </w:tcPr>
          <w:p w:rsidR="003A497B" w:rsidRPr="00542B88" w:rsidRDefault="003A497B" w:rsidP="003E1809">
            <w:pPr>
              <w:rPr>
                <w:rFonts w:ascii="Times New Roman" w:hAnsi="Times New Roman" w:cs="Times New Roman"/>
                <w:sz w:val="14"/>
                <w:szCs w:val="14"/>
                <w:lang w:eastAsia="sk-SK"/>
              </w:rPr>
            </w:pPr>
            <w:r w:rsidRPr="00542B88">
              <w:rPr>
                <w:rFonts w:ascii="Times New Roman" w:hAnsi="Times New Roman" w:cs="Times New Roman"/>
                <w:sz w:val="14"/>
                <w:szCs w:val="14"/>
                <w:lang w:eastAsia="sk-SK"/>
              </w:rPr>
              <w:t>spolufinancovanie zo ŠR</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2 777 095</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422 977</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281 472</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21"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c>
          <w:tcPr>
            <w:tcW w:w="518" w:type="pct"/>
            <w:tcBorders>
              <w:top w:val="nil"/>
              <w:left w:val="nil"/>
              <w:bottom w:val="single" w:sz="4" w:space="0" w:color="auto"/>
              <w:right w:val="single" w:sz="4" w:space="0" w:color="auto"/>
            </w:tcBorders>
            <w:shd w:val="clear" w:color="auto" w:fill="auto"/>
            <w:vAlign w:val="bottom"/>
            <w:hideMark/>
          </w:tcPr>
          <w:p w:rsidR="003A497B" w:rsidRPr="00542B88" w:rsidRDefault="003A497B" w:rsidP="003E1809">
            <w:pPr>
              <w:jc w:val="right"/>
              <w:rPr>
                <w:rFonts w:ascii="Times New Roman" w:hAnsi="Times New Roman" w:cs="Times New Roman"/>
                <w:sz w:val="14"/>
                <w:szCs w:val="14"/>
                <w:lang w:eastAsia="sk-SK"/>
              </w:rPr>
            </w:pPr>
            <w:r w:rsidRPr="00542B88">
              <w:rPr>
                <w:rFonts w:ascii="Times New Roman" w:hAnsi="Times New Roman" w:cs="Times New Roman"/>
                <w:sz w:val="14"/>
                <w:szCs w:val="14"/>
                <w:lang w:eastAsia="sk-SK"/>
              </w:rPr>
              <w:t>0</w:t>
            </w:r>
          </w:p>
        </w:tc>
      </w:tr>
    </w:tbl>
    <w:p w:rsidR="003A497B" w:rsidRPr="00542B88" w:rsidRDefault="003A497B" w:rsidP="003A497B">
      <w:pPr>
        <w:jc w:val="both"/>
        <w:rPr>
          <w:rFonts w:ascii="Times New Roman" w:hAnsi="Times New Roman" w:cs="Times New Roman"/>
          <w:sz w:val="14"/>
          <w:szCs w:val="14"/>
          <w:lang w:eastAsia="sk-SK"/>
        </w:rPr>
      </w:pPr>
      <w:r w:rsidRPr="00542B88">
        <w:rPr>
          <w:rFonts w:ascii="Times New Roman" w:hAnsi="Times New Roman" w:cs="Times New Roman"/>
          <w:sz w:val="14"/>
          <w:szCs w:val="14"/>
          <w:lang w:eastAsia="sk-SK"/>
        </w:rPr>
        <w:t>* rozpočtované v kapitole VPS</w:t>
      </w:r>
    </w:p>
    <w:p w:rsidR="003A497B" w:rsidRPr="00542B88" w:rsidRDefault="003A497B" w:rsidP="003A497B">
      <w:pPr>
        <w:jc w:val="both"/>
        <w:rPr>
          <w:rFonts w:ascii="Times New Roman" w:hAnsi="Times New Roman" w:cs="Times New Roman"/>
          <w:sz w:val="14"/>
          <w:szCs w:val="14"/>
          <w:lang w:eastAsia="sk-SK"/>
        </w:rPr>
      </w:pPr>
    </w:p>
    <w:p w:rsidR="003A497B" w:rsidRPr="00542B88" w:rsidRDefault="003A497B" w:rsidP="003A497B">
      <w:pPr>
        <w:ind w:firstLine="708"/>
        <w:jc w:val="both"/>
        <w:rPr>
          <w:rFonts w:ascii="Times New Roman" w:hAnsi="Times New Roman" w:cs="Times New Roman"/>
          <w:noProof/>
          <w:lang w:eastAsia="sk-SK"/>
        </w:rPr>
      </w:pPr>
    </w:p>
    <w:p w:rsidR="003A497B" w:rsidRPr="00542B88" w:rsidRDefault="003A497B" w:rsidP="003A497B">
      <w:pPr>
        <w:ind w:firstLine="708"/>
        <w:jc w:val="both"/>
        <w:rPr>
          <w:rFonts w:ascii="Times New Roman" w:hAnsi="Times New Roman" w:cs="Times New Roman"/>
          <w:noProof/>
          <w:lang w:eastAsia="sk-SK"/>
        </w:rPr>
      </w:pPr>
      <w:r w:rsidRPr="00542B88">
        <w:rPr>
          <w:rFonts w:ascii="Times New Roman" w:hAnsi="Times New Roman" w:cs="Times New Roman"/>
          <w:noProof/>
          <w:lang w:eastAsia="sk-SK"/>
        </w:rPr>
        <w:t>Výdavky na úrad MF SR a iné úlohy  rezortu sa v roku 2019 rozpočtujú na úrovni</w:t>
      </w:r>
      <w:r w:rsidRPr="00542B88">
        <w:rPr>
          <w:rFonts w:ascii="Times New Roman" w:hAnsi="Times New Roman" w:cs="Times New Roman"/>
          <w:noProof/>
          <w:lang w:eastAsia="sk-SK"/>
        </w:rPr>
        <w:br/>
        <w:t>40,4 mil. eur, čo predstavuje nárast v sume 1,81 mil. eur, t. j. o 4,69 %. Rast výdavkov ovplyvnilo najmä zvýšenie osobných výdavkov z dôvodu premietnutia valorizácie platov zamestnancov úradu z roku 2018</w:t>
      </w:r>
      <w:r w:rsidRPr="00542B88">
        <w:t xml:space="preserve"> </w:t>
      </w:r>
      <w:r w:rsidRPr="00542B88">
        <w:rPr>
          <w:rFonts w:ascii="Times New Roman" w:hAnsi="Times New Roman" w:cs="Times New Roman"/>
          <w:noProof/>
          <w:lang w:eastAsia="sk-SK"/>
        </w:rPr>
        <w:t xml:space="preserve">do nasledujúcich rokov a kapitálových výdavkov na investície do budovy, napr. na protipožiarny systém, rekonštrukciu výťahu. Okrem výdavkov na bežnú činnosť úradu sú súčasťou týchto výdavkov výdavky na medzirezortné programy, </w:t>
      </w:r>
      <w:r w:rsidRPr="00542B88">
        <w:rPr>
          <w:rFonts w:ascii="Times New Roman" w:hAnsi="Times New Roman" w:cs="Times New Roman"/>
          <w:noProof/>
          <w:lang w:eastAsia="sk-SK"/>
        </w:rPr>
        <w:lastRenderedPageBreak/>
        <w:t>napr. na Hospodársku mobilizáciu, Príspevky SR do medzinárodných organizácií, Rozvojovú spoluprácu a tiež výdavky na činnosť Rady pre rozpočtovú zodpovednosť v sume 1,28 mil. eur a transfer pre Úrad pre dohľad nad výkonom auditu v sume 268 tis. eur.</w:t>
      </w:r>
    </w:p>
    <w:p w:rsidR="003A497B" w:rsidRPr="00A401D6" w:rsidRDefault="003A497B" w:rsidP="003A497B">
      <w:pPr>
        <w:pStyle w:val="Nadpis5"/>
        <w:pBdr>
          <w:bottom w:val="single" w:sz="4" w:space="1" w:color="auto"/>
        </w:pBdr>
        <w:ind w:left="0"/>
        <w:rPr>
          <w:i w:val="0"/>
          <w:sz w:val="24"/>
          <w:lang w:eastAsia="sk-SK"/>
        </w:rPr>
      </w:pPr>
      <w:bookmarkStart w:id="223" w:name="_Toc400551764"/>
      <w:bookmarkStart w:id="224" w:name="_Toc526267702"/>
      <w:r w:rsidRPr="00A401D6">
        <w:rPr>
          <w:i w:val="0"/>
          <w:sz w:val="24"/>
          <w:lang w:eastAsia="sk-SK"/>
        </w:rPr>
        <w:t>Ministerstvo kultúry SR</w:t>
      </w:r>
      <w:bookmarkEnd w:id="223"/>
      <w:bookmarkEnd w:id="224"/>
    </w:p>
    <w:p w:rsidR="003A497B" w:rsidRPr="0036331F" w:rsidRDefault="003A497B" w:rsidP="003A497B"/>
    <w:tbl>
      <w:tblPr>
        <w:tblW w:w="5000" w:type="pct"/>
        <w:tblCellMar>
          <w:left w:w="70" w:type="dxa"/>
          <w:right w:w="70" w:type="dxa"/>
        </w:tblCellMar>
        <w:tblLook w:val="04A0" w:firstRow="1" w:lastRow="0" w:firstColumn="1" w:lastColumn="0" w:noHBand="0" w:noVBand="1"/>
      </w:tblPr>
      <w:tblGrid>
        <w:gridCol w:w="2435"/>
        <w:gridCol w:w="968"/>
        <w:gridCol w:w="952"/>
        <w:gridCol w:w="968"/>
        <w:gridCol w:w="968"/>
        <w:gridCol w:w="968"/>
        <w:gridCol w:w="904"/>
        <w:gridCol w:w="899"/>
      </w:tblGrid>
      <w:tr w:rsidR="003A497B" w:rsidRPr="004A2AEE" w:rsidTr="003E1809">
        <w:trPr>
          <w:trHeight w:val="240"/>
        </w:trPr>
        <w:tc>
          <w:tcPr>
            <w:tcW w:w="1344"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v eurách</w:t>
            </w:r>
          </w:p>
        </w:tc>
        <w:tc>
          <w:tcPr>
            <w:tcW w:w="534"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2016 S</w:t>
            </w:r>
          </w:p>
        </w:tc>
        <w:tc>
          <w:tcPr>
            <w:tcW w:w="52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2017 S</w:t>
            </w:r>
          </w:p>
        </w:tc>
        <w:tc>
          <w:tcPr>
            <w:tcW w:w="534"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R</w:t>
            </w:r>
          </w:p>
        </w:tc>
        <w:tc>
          <w:tcPr>
            <w:tcW w:w="534"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OS</w:t>
            </w:r>
          </w:p>
        </w:tc>
        <w:tc>
          <w:tcPr>
            <w:tcW w:w="534"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2019 N</w:t>
            </w:r>
          </w:p>
        </w:tc>
        <w:tc>
          <w:tcPr>
            <w:tcW w:w="499"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2020 N</w:t>
            </w:r>
          </w:p>
        </w:tc>
        <w:tc>
          <w:tcPr>
            <w:tcW w:w="498"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2021 N</w:t>
            </w:r>
          </w:p>
        </w:tc>
      </w:tr>
      <w:tr w:rsidR="003A497B" w:rsidRPr="004A2AEE" w:rsidTr="003E1809">
        <w:trPr>
          <w:trHeight w:val="240"/>
        </w:trPr>
        <w:tc>
          <w:tcPr>
            <w:tcW w:w="1344"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Zdroje príslušnej kapitoly vrátane 72e</w:t>
            </w:r>
          </w:p>
        </w:tc>
        <w:tc>
          <w:tcPr>
            <w:tcW w:w="534"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231 391 330</w:t>
            </w:r>
          </w:p>
        </w:tc>
        <w:tc>
          <w:tcPr>
            <w:tcW w:w="525"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246 129 792</w:t>
            </w:r>
          </w:p>
        </w:tc>
        <w:tc>
          <w:tcPr>
            <w:tcW w:w="534"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280 159 727</w:t>
            </w:r>
          </w:p>
        </w:tc>
        <w:tc>
          <w:tcPr>
            <w:tcW w:w="534"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296 225 020</w:t>
            </w:r>
          </w:p>
        </w:tc>
        <w:tc>
          <w:tcPr>
            <w:tcW w:w="534"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255 193 734</w:t>
            </w:r>
          </w:p>
        </w:tc>
        <w:tc>
          <w:tcPr>
            <w:tcW w:w="499"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253 773 734</w:t>
            </w:r>
          </w:p>
        </w:tc>
        <w:tc>
          <w:tcPr>
            <w:tcW w:w="498"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253 573 734</w:t>
            </w:r>
          </w:p>
        </w:tc>
      </w:tr>
      <w:tr w:rsidR="003A497B" w:rsidRPr="004A2AEE" w:rsidTr="003E1809">
        <w:trPr>
          <w:trHeight w:val="240"/>
        </w:trPr>
        <w:tc>
          <w:tcPr>
            <w:tcW w:w="1344"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Zdroje príslušnej kapitoly</w:t>
            </w:r>
          </w:p>
        </w:tc>
        <w:tc>
          <w:tcPr>
            <w:tcW w:w="534" w:type="pct"/>
            <w:tcBorders>
              <w:top w:val="nil"/>
              <w:left w:val="nil"/>
              <w:bottom w:val="single" w:sz="4" w:space="0" w:color="auto"/>
              <w:right w:val="single" w:sz="4" w:space="0" w:color="auto"/>
            </w:tcBorders>
            <w:shd w:val="clear" w:color="000000" w:fill="BFBFBF"/>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231 381 443</w:t>
            </w:r>
          </w:p>
        </w:tc>
        <w:tc>
          <w:tcPr>
            <w:tcW w:w="525" w:type="pct"/>
            <w:tcBorders>
              <w:top w:val="nil"/>
              <w:left w:val="nil"/>
              <w:bottom w:val="single" w:sz="4" w:space="0" w:color="auto"/>
              <w:right w:val="single" w:sz="4" w:space="0" w:color="auto"/>
            </w:tcBorders>
            <w:shd w:val="clear" w:color="000000" w:fill="BFBFBF"/>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246 128 729</w:t>
            </w:r>
          </w:p>
        </w:tc>
        <w:tc>
          <w:tcPr>
            <w:tcW w:w="534" w:type="pct"/>
            <w:tcBorders>
              <w:top w:val="nil"/>
              <w:left w:val="nil"/>
              <w:bottom w:val="single" w:sz="4" w:space="0" w:color="auto"/>
              <w:right w:val="single" w:sz="4" w:space="0" w:color="auto"/>
            </w:tcBorders>
            <w:shd w:val="clear" w:color="000000" w:fill="BFBFBF"/>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280 159 727</w:t>
            </w:r>
          </w:p>
        </w:tc>
        <w:tc>
          <w:tcPr>
            <w:tcW w:w="534" w:type="pct"/>
            <w:tcBorders>
              <w:top w:val="nil"/>
              <w:left w:val="nil"/>
              <w:bottom w:val="single" w:sz="4" w:space="0" w:color="auto"/>
              <w:right w:val="single" w:sz="4" w:space="0" w:color="auto"/>
            </w:tcBorders>
            <w:shd w:val="clear" w:color="000000" w:fill="BFBFBF"/>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296 223 935</w:t>
            </w:r>
          </w:p>
        </w:tc>
        <w:tc>
          <w:tcPr>
            <w:tcW w:w="534" w:type="pct"/>
            <w:tcBorders>
              <w:top w:val="nil"/>
              <w:left w:val="nil"/>
              <w:bottom w:val="single" w:sz="4" w:space="0" w:color="auto"/>
              <w:right w:val="single" w:sz="4" w:space="0" w:color="auto"/>
            </w:tcBorders>
            <w:shd w:val="clear" w:color="000000" w:fill="BFBFBF"/>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255 193 734</w:t>
            </w:r>
          </w:p>
        </w:tc>
        <w:tc>
          <w:tcPr>
            <w:tcW w:w="499" w:type="pct"/>
            <w:tcBorders>
              <w:top w:val="nil"/>
              <w:left w:val="nil"/>
              <w:bottom w:val="single" w:sz="4" w:space="0" w:color="auto"/>
              <w:right w:val="single" w:sz="4" w:space="0" w:color="auto"/>
            </w:tcBorders>
            <w:shd w:val="clear" w:color="000000" w:fill="BFBFBF"/>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253 773 734</w:t>
            </w:r>
          </w:p>
        </w:tc>
        <w:tc>
          <w:tcPr>
            <w:tcW w:w="498" w:type="pct"/>
            <w:tcBorders>
              <w:top w:val="nil"/>
              <w:left w:val="nil"/>
              <w:bottom w:val="single" w:sz="4" w:space="0" w:color="auto"/>
              <w:right w:val="single" w:sz="4" w:space="0" w:color="auto"/>
            </w:tcBorders>
            <w:shd w:val="clear" w:color="000000" w:fill="BFBFBF"/>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253 573 734</w:t>
            </w:r>
          </w:p>
        </w:tc>
      </w:tr>
      <w:tr w:rsidR="003A497B" w:rsidRPr="004A2AEE" w:rsidTr="003E1809">
        <w:trPr>
          <w:trHeight w:val="240"/>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rozpočtové zdroje kapitoly</w:t>
            </w:r>
          </w:p>
        </w:tc>
        <w:tc>
          <w:tcPr>
            <w:tcW w:w="534"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217 925 596</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240 344 606</w:t>
            </w:r>
          </w:p>
        </w:tc>
        <w:tc>
          <w:tcPr>
            <w:tcW w:w="534"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280 159 727</w:t>
            </w:r>
          </w:p>
        </w:tc>
        <w:tc>
          <w:tcPr>
            <w:tcW w:w="534"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282 990 940</w:t>
            </w:r>
          </w:p>
        </w:tc>
        <w:tc>
          <w:tcPr>
            <w:tcW w:w="534"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255 193 734</w:t>
            </w:r>
          </w:p>
        </w:tc>
        <w:tc>
          <w:tcPr>
            <w:tcW w:w="499"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253 773 734</w:t>
            </w:r>
          </w:p>
        </w:tc>
        <w:tc>
          <w:tcPr>
            <w:tcW w:w="498"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253 573 734</w:t>
            </w:r>
          </w:p>
        </w:tc>
      </w:tr>
      <w:tr w:rsidR="003A497B" w:rsidRPr="004A2AEE" w:rsidTr="003E1809">
        <w:trPr>
          <w:trHeight w:val="240"/>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ind w:firstLineChars="100" w:firstLine="140"/>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 xml:space="preserve"> v tom: bežné výdavky  600</w:t>
            </w:r>
          </w:p>
        </w:tc>
        <w:tc>
          <w:tcPr>
            <w:tcW w:w="534"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207 229 327</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215 802 009</w:t>
            </w:r>
          </w:p>
        </w:tc>
        <w:tc>
          <w:tcPr>
            <w:tcW w:w="534"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243 170 790</w:t>
            </w:r>
          </w:p>
        </w:tc>
        <w:tc>
          <w:tcPr>
            <w:tcW w:w="534"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250 336 602</w:t>
            </w:r>
          </w:p>
        </w:tc>
        <w:tc>
          <w:tcPr>
            <w:tcW w:w="534"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245 158 734</w:t>
            </w:r>
          </w:p>
        </w:tc>
        <w:tc>
          <w:tcPr>
            <w:tcW w:w="499"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245 218 734</w:t>
            </w:r>
          </w:p>
        </w:tc>
        <w:tc>
          <w:tcPr>
            <w:tcW w:w="498"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245 273 734</w:t>
            </w:r>
          </w:p>
        </w:tc>
      </w:tr>
      <w:tr w:rsidR="003A497B" w:rsidRPr="004A2AEE" w:rsidTr="003E1809">
        <w:trPr>
          <w:trHeight w:val="240"/>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ind w:firstLineChars="600" w:firstLine="840"/>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610 mzdy</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12 002 076</w:t>
            </w:r>
          </w:p>
        </w:tc>
        <w:tc>
          <w:tcPr>
            <w:tcW w:w="525"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13 421 806</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13 691 902</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14 361 561</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14 396 249</w:t>
            </w:r>
          </w:p>
        </w:tc>
        <w:tc>
          <w:tcPr>
            <w:tcW w:w="499"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14 396 249</w:t>
            </w:r>
          </w:p>
        </w:tc>
        <w:tc>
          <w:tcPr>
            <w:tcW w:w="498"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14 396 249</w:t>
            </w:r>
          </w:p>
        </w:tc>
      </w:tr>
      <w:tr w:rsidR="003A497B" w:rsidRPr="004A2AEE" w:rsidTr="003E1809">
        <w:trPr>
          <w:trHeight w:val="240"/>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ind w:firstLineChars="600" w:firstLine="840"/>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620 odvody</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4 346 325</w:t>
            </w:r>
          </w:p>
        </w:tc>
        <w:tc>
          <w:tcPr>
            <w:tcW w:w="525"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4 869 947</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4 853 796</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5 105 129</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5 114 143</w:t>
            </w:r>
          </w:p>
        </w:tc>
        <w:tc>
          <w:tcPr>
            <w:tcW w:w="499"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5 114 143</w:t>
            </w:r>
          </w:p>
        </w:tc>
        <w:tc>
          <w:tcPr>
            <w:tcW w:w="498"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5 114 143</w:t>
            </w:r>
          </w:p>
        </w:tc>
      </w:tr>
      <w:tr w:rsidR="003A497B" w:rsidRPr="004A2AEE" w:rsidTr="003E1809">
        <w:trPr>
          <w:trHeight w:val="240"/>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ind w:firstLineChars="600" w:firstLine="840"/>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630 tovary a služby</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19 906 087</w:t>
            </w:r>
          </w:p>
        </w:tc>
        <w:tc>
          <w:tcPr>
            <w:tcW w:w="525"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20 447 798</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21 475 103</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22 743 597</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21 569 388</w:t>
            </w:r>
          </w:p>
        </w:tc>
        <w:tc>
          <w:tcPr>
            <w:tcW w:w="499"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21 629 288</w:t>
            </w:r>
          </w:p>
        </w:tc>
        <w:tc>
          <w:tcPr>
            <w:tcW w:w="498"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21 684 288</w:t>
            </w:r>
          </w:p>
        </w:tc>
      </w:tr>
      <w:tr w:rsidR="003A497B" w:rsidRPr="004A2AEE" w:rsidTr="003E1809">
        <w:trPr>
          <w:trHeight w:val="240"/>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ind w:firstLineChars="600" w:firstLine="840"/>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640 bežné transfery</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170 974 839</w:t>
            </w:r>
          </w:p>
        </w:tc>
        <w:tc>
          <w:tcPr>
            <w:tcW w:w="525"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177 062 458</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203 149 989</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208 126 315</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204 078 954</w:t>
            </w:r>
          </w:p>
        </w:tc>
        <w:tc>
          <w:tcPr>
            <w:tcW w:w="499"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204 079 054</w:t>
            </w:r>
          </w:p>
        </w:tc>
        <w:tc>
          <w:tcPr>
            <w:tcW w:w="498"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204 079 054</w:t>
            </w:r>
          </w:p>
        </w:tc>
      </w:tr>
      <w:tr w:rsidR="003A497B" w:rsidRPr="004A2AEE" w:rsidTr="003E1809">
        <w:trPr>
          <w:trHeight w:val="240"/>
        </w:trPr>
        <w:tc>
          <w:tcPr>
            <w:tcW w:w="1344"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ind w:firstLineChars="300" w:firstLine="420"/>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 xml:space="preserve">   kapitálové výdavky 700</w:t>
            </w:r>
          </w:p>
        </w:tc>
        <w:tc>
          <w:tcPr>
            <w:tcW w:w="534"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10 696 269</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24 542 597</w:t>
            </w:r>
          </w:p>
        </w:tc>
        <w:tc>
          <w:tcPr>
            <w:tcW w:w="534"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36 988 937</w:t>
            </w:r>
          </w:p>
        </w:tc>
        <w:tc>
          <w:tcPr>
            <w:tcW w:w="534"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32 654 338</w:t>
            </w:r>
          </w:p>
        </w:tc>
        <w:tc>
          <w:tcPr>
            <w:tcW w:w="534"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10 035 000</w:t>
            </w:r>
          </w:p>
        </w:tc>
        <w:tc>
          <w:tcPr>
            <w:tcW w:w="499"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8 555 000</w:t>
            </w:r>
          </w:p>
        </w:tc>
        <w:tc>
          <w:tcPr>
            <w:tcW w:w="498"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8 300 000</w:t>
            </w:r>
          </w:p>
        </w:tc>
      </w:tr>
      <w:tr w:rsidR="003A497B" w:rsidRPr="004A2AEE" w:rsidTr="003E1809">
        <w:trPr>
          <w:trHeight w:val="240"/>
        </w:trPr>
        <w:tc>
          <w:tcPr>
            <w:tcW w:w="1344"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zdroje EÚ vrátane spolufinancovania</w:t>
            </w:r>
          </w:p>
        </w:tc>
        <w:tc>
          <w:tcPr>
            <w:tcW w:w="534"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37 751</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0</w:t>
            </w:r>
          </w:p>
        </w:tc>
        <w:tc>
          <w:tcPr>
            <w:tcW w:w="534"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0</w:t>
            </w:r>
          </w:p>
        </w:tc>
        <w:tc>
          <w:tcPr>
            <w:tcW w:w="534"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0</w:t>
            </w:r>
          </w:p>
        </w:tc>
        <w:tc>
          <w:tcPr>
            <w:tcW w:w="534"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0</w:t>
            </w:r>
          </w:p>
        </w:tc>
        <w:tc>
          <w:tcPr>
            <w:tcW w:w="499"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0</w:t>
            </w:r>
          </w:p>
        </w:tc>
        <w:tc>
          <w:tcPr>
            <w:tcW w:w="498"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0</w:t>
            </w:r>
          </w:p>
        </w:tc>
      </w:tr>
      <w:tr w:rsidR="003A497B" w:rsidRPr="004A2AEE" w:rsidTr="003E1809">
        <w:trPr>
          <w:trHeight w:val="240"/>
        </w:trPr>
        <w:tc>
          <w:tcPr>
            <w:tcW w:w="1344"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4A2AEE" w:rsidRDefault="003A497B" w:rsidP="003E1809">
            <w:pPr>
              <w:ind w:firstLineChars="100" w:firstLine="140"/>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 xml:space="preserve"> v tom: 2. programové obdobie EÚ</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10 878</w:t>
            </w:r>
          </w:p>
        </w:tc>
        <w:tc>
          <w:tcPr>
            <w:tcW w:w="525"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99"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98"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r>
      <w:tr w:rsidR="003A497B" w:rsidRPr="004A2AEE" w:rsidTr="003E1809">
        <w:trPr>
          <w:trHeight w:val="240"/>
        </w:trPr>
        <w:tc>
          <w:tcPr>
            <w:tcW w:w="1344"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4A2AEE" w:rsidRDefault="003A497B" w:rsidP="003E1809">
            <w:pPr>
              <w:ind w:firstLineChars="400" w:firstLine="560"/>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spolufinancovanie zo ŠR</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26 873</w:t>
            </w:r>
          </w:p>
        </w:tc>
        <w:tc>
          <w:tcPr>
            <w:tcW w:w="525"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99"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98"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r>
      <w:tr w:rsidR="003A497B" w:rsidRPr="004A2AEE" w:rsidTr="003E1809">
        <w:trPr>
          <w:trHeight w:val="240"/>
        </w:trPr>
        <w:tc>
          <w:tcPr>
            <w:tcW w:w="1344"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presun z minulých rokov § 8</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13 418 096</w:t>
            </w:r>
          </w:p>
        </w:tc>
        <w:tc>
          <w:tcPr>
            <w:tcW w:w="525"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5 784 123</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0</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13 232 995</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0</w:t>
            </w:r>
          </w:p>
        </w:tc>
        <w:tc>
          <w:tcPr>
            <w:tcW w:w="499"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0</w:t>
            </w:r>
          </w:p>
        </w:tc>
        <w:tc>
          <w:tcPr>
            <w:tcW w:w="498"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0</w:t>
            </w:r>
          </w:p>
        </w:tc>
      </w:tr>
      <w:tr w:rsidR="003A497B" w:rsidRPr="004A2AEE" w:rsidTr="003E1809">
        <w:trPr>
          <w:trHeight w:val="240"/>
        </w:trPr>
        <w:tc>
          <w:tcPr>
            <w:tcW w:w="1344"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4A2AEE" w:rsidRDefault="003A497B" w:rsidP="003E1809">
            <w:pPr>
              <w:ind w:firstLineChars="100" w:firstLine="140"/>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 xml:space="preserve"> v tom: štátny rozpočet</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11 022 194</w:t>
            </w:r>
          </w:p>
        </w:tc>
        <w:tc>
          <w:tcPr>
            <w:tcW w:w="525"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4 776 178</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13 140 550</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99"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98"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r>
      <w:tr w:rsidR="003A497B" w:rsidRPr="004A2AEE" w:rsidTr="003E1809">
        <w:trPr>
          <w:trHeight w:val="240"/>
        </w:trPr>
        <w:tc>
          <w:tcPr>
            <w:tcW w:w="1344"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4A2AEE" w:rsidRDefault="003A497B" w:rsidP="003E1809">
            <w:pPr>
              <w:ind w:firstLineChars="400" w:firstLine="560"/>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EÚ prostriedky</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1 845 731</w:t>
            </w:r>
          </w:p>
        </w:tc>
        <w:tc>
          <w:tcPr>
            <w:tcW w:w="525"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844 583</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77 462</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99"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98"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r>
      <w:tr w:rsidR="003A497B" w:rsidRPr="004A2AEE" w:rsidTr="003E1809">
        <w:trPr>
          <w:trHeight w:val="240"/>
        </w:trPr>
        <w:tc>
          <w:tcPr>
            <w:tcW w:w="1344"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4A2AEE" w:rsidRDefault="003A497B" w:rsidP="003E1809">
            <w:pPr>
              <w:ind w:firstLineChars="400" w:firstLine="560"/>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spolufinancovanie zo ŠR</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550 171</w:t>
            </w:r>
          </w:p>
        </w:tc>
        <w:tc>
          <w:tcPr>
            <w:tcW w:w="525"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163 362</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14 983</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99"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98"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r>
      <w:tr w:rsidR="003A497B" w:rsidRPr="004A2AEE" w:rsidTr="003E1809">
        <w:trPr>
          <w:trHeight w:val="240"/>
        </w:trPr>
        <w:tc>
          <w:tcPr>
            <w:tcW w:w="1344"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 17 ods. 4 zdroj 72e*</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9 887</w:t>
            </w:r>
          </w:p>
        </w:tc>
        <w:tc>
          <w:tcPr>
            <w:tcW w:w="525"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1 063</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0</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1 085</w:t>
            </w:r>
          </w:p>
        </w:tc>
        <w:tc>
          <w:tcPr>
            <w:tcW w:w="534"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0</w:t>
            </w:r>
          </w:p>
        </w:tc>
        <w:tc>
          <w:tcPr>
            <w:tcW w:w="499"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0</w:t>
            </w:r>
          </w:p>
        </w:tc>
        <w:tc>
          <w:tcPr>
            <w:tcW w:w="498"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b/>
                <w:bCs/>
                <w:sz w:val="14"/>
                <w:szCs w:val="14"/>
                <w:lang w:eastAsia="sk-SK"/>
              </w:rPr>
            </w:pPr>
            <w:r w:rsidRPr="004A2AEE">
              <w:rPr>
                <w:rFonts w:ascii="Times New Roman" w:hAnsi="Times New Roman" w:cs="Times New Roman"/>
                <w:b/>
                <w:bCs/>
                <w:sz w:val="14"/>
                <w:szCs w:val="14"/>
                <w:lang w:eastAsia="sk-SK"/>
              </w:rPr>
              <w:t>0</w:t>
            </w:r>
          </w:p>
        </w:tc>
      </w:tr>
    </w:tbl>
    <w:p w:rsidR="003A497B" w:rsidRPr="004A2AEE" w:rsidRDefault="003A497B" w:rsidP="003A497B">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 zdroje z poistného plnenia zo zmluvného poistenia alebo zo zákonného poistenia</w:t>
      </w:r>
    </w:p>
    <w:p w:rsidR="003A497B" w:rsidRPr="004A2AEE" w:rsidRDefault="003A497B" w:rsidP="003A497B"/>
    <w:tbl>
      <w:tblPr>
        <w:tblW w:w="5000" w:type="pct"/>
        <w:tblCellMar>
          <w:left w:w="70" w:type="dxa"/>
          <w:right w:w="70" w:type="dxa"/>
        </w:tblCellMar>
        <w:tblLook w:val="04A0" w:firstRow="1" w:lastRow="0" w:firstColumn="1" w:lastColumn="0" w:noHBand="0" w:noVBand="1"/>
      </w:tblPr>
      <w:tblGrid>
        <w:gridCol w:w="2404"/>
        <w:gridCol w:w="951"/>
        <w:gridCol w:w="951"/>
        <w:gridCol w:w="952"/>
        <w:gridCol w:w="952"/>
        <w:gridCol w:w="952"/>
        <w:gridCol w:w="952"/>
        <w:gridCol w:w="948"/>
      </w:tblGrid>
      <w:tr w:rsidR="003A497B" w:rsidRPr="004A2AEE" w:rsidTr="003E1809">
        <w:trPr>
          <w:trHeight w:val="240"/>
        </w:trPr>
        <w:tc>
          <w:tcPr>
            <w:tcW w:w="132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 xml:space="preserve">Samostatné účty </w:t>
            </w:r>
          </w:p>
        </w:tc>
        <w:tc>
          <w:tcPr>
            <w:tcW w:w="525" w:type="pct"/>
            <w:tcBorders>
              <w:top w:val="single" w:sz="4" w:space="0" w:color="auto"/>
              <w:left w:val="nil"/>
              <w:bottom w:val="single" w:sz="4" w:space="0" w:color="auto"/>
              <w:right w:val="single" w:sz="4" w:space="0" w:color="auto"/>
            </w:tcBorders>
            <w:shd w:val="clear" w:color="000000" w:fill="FFFFFF"/>
            <w:noWrap/>
            <w:vAlign w:val="center"/>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1 831 116</w:t>
            </w:r>
          </w:p>
        </w:tc>
        <w:tc>
          <w:tcPr>
            <w:tcW w:w="525" w:type="pct"/>
            <w:tcBorders>
              <w:top w:val="single" w:sz="4" w:space="0" w:color="auto"/>
              <w:left w:val="nil"/>
              <w:bottom w:val="single" w:sz="4" w:space="0" w:color="auto"/>
              <w:right w:val="single" w:sz="4" w:space="0" w:color="auto"/>
            </w:tcBorders>
            <w:shd w:val="clear" w:color="auto" w:fill="auto"/>
            <w:noWrap/>
            <w:vAlign w:val="center"/>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1 883 054</w:t>
            </w:r>
          </w:p>
        </w:tc>
        <w:tc>
          <w:tcPr>
            <w:tcW w:w="525" w:type="pct"/>
            <w:tcBorders>
              <w:top w:val="single" w:sz="4" w:space="0" w:color="auto"/>
              <w:left w:val="nil"/>
              <w:bottom w:val="single" w:sz="4" w:space="0" w:color="auto"/>
              <w:right w:val="single" w:sz="4" w:space="0" w:color="auto"/>
            </w:tcBorders>
            <w:shd w:val="clear" w:color="000000" w:fill="FFFFFF"/>
            <w:noWrap/>
            <w:vAlign w:val="center"/>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0</w:t>
            </w:r>
          </w:p>
        </w:tc>
        <w:tc>
          <w:tcPr>
            <w:tcW w:w="525" w:type="pct"/>
            <w:tcBorders>
              <w:top w:val="single" w:sz="4" w:space="0" w:color="auto"/>
              <w:left w:val="nil"/>
              <w:bottom w:val="single" w:sz="4" w:space="0" w:color="auto"/>
              <w:right w:val="single" w:sz="4" w:space="0" w:color="auto"/>
            </w:tcBorders>
            <w:shd w:val="clear" w:color="000000" w:fill="FFFFFF"/>
            <w:noWrap/>
            <w:vAlign w:val="center"/>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207 151</w:t>
            </w:r>
          </w:p>
        </w:tc>
        <w:tc>
          <w:tcPr>
            <w:tcW w:w="525" w:type="pct"/>
            <w:tcBorders>
              <w:top w:val="single" w:sz="4" w:space="0" w:color="auto"/>
              <w:left w:val="nil"/>
              <w:bottom w:val="single" w:sz="4" w:space="0" w:color="auto"/>
              <w:right w:val="single" w:sz="4" w:space="0" w:color="auto"/>
            </w:tcBorders>
            <w:shd w:val="clear" w:color="000000" w:fill="FFFFFF"/>
            <w:noWrap/>
            <w:vAlign w:val="center"/>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206 644</w:t>
            </w:r>
          </w:p>
        </w:tc>
        <w:tc>
          <w:tcPr>
            <w:tcW w:w="525" w:type="pct"/>
            <w:tcBorders>
              <w:top w:val="single" w:sz="4" w:space="0" w:color="auto"/>
              <w:left w:val="nil"/>
              <w:bottom w:val="single" w:sz="4" w:space="0" w:color="auto"/>
              <w:right w:val="single" w:sz="4" w:space="0" w:color="auto"/>
            </w:tcBorders>
            <w:shd w:val="clear" w:color="000000" w:fill="FFFFFF"/>
            <w:noWrap/>
            <w:vAlign w:val="center"/>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211 506</w:t>
            </w:r>
          </w:p>
        </w:tc>
        <w:tc>
          <w:tcPr>
            <w:tcW w:w="525" w:type="pct"/>
            <w:tcBorders>
              <w:top w:val="single" w:sz="4" w:space="0" w:color="auto"/>
              <w:left w:val="nil"/>
              <w:bottom w:val="single" w:sz="4" w:space="0" w:color="auto"/>
              <w:right w:val="single" w:sz="4" w:space="0" w:color="auto"/>
            </w:tcBorders>
            <w:shd w:val="clear" w:color="000000" w:fill="FFFFFF"/>
            <w:noWrap/>
            <w:vAlign w:val="center"/>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219 175</w:t>
            </w:r>
          </w:p>
        </w:tc>
      </w:tr>
    </w:tbl>
    <w:p w:rsidR="003A497B" w:rsidRPr="004A2AEE" w:rsidRDefault="003A497B" w:rsidP="003A497B"/>
    <w:p w:rsidR="003A497B" w:rsidRPr="004A2AEE" w:rsidRDefault="003A497B" w:rsidP="003A497B">
      <w:pPr>
        <w:ind w:firstLine="708"/>
        <w:jc w:val="both"/>
        <w:rPr>
          <w:rFonts w:ascii="Times New Roman" w:hAnsi="Times New Roman" w:cs="Times New Roman"/>
        </w:rPr>
      </w:pPr>
      <w:r w:rsidRPr="004A2AEE">
        <w:rPr>
          <w:rFonts w:ascii="Times New Roman" w:hAnsi="Times New Roman" w:cs="Times New Roman"/>
        </w:rPr>
        <w:t>Celkové zdroje kapitoly sa na rok 2019 rozpočtujú vo výške 255 mil. eur. Oproti schválenému rozpočtu roku 2018 dochádza k ich poklesu o 25,0 mil. eur, t. j. o 8,91 %                   z dôvodu, že v roku 2018 boli jednorazovo zvýšené výdavky v súvislosti s rekonštrukciou a modernizáciou Slovenskej národnej galérie.</w:t>
      </w:r>
    </w:p>
    <w:p w:rsidR="003A497B" w:rsidRPr="004A2AEE" w:rsidRDefault="003A497B" w:rsidP="003A497B">
      <w:pPr>
        <w:jc w:val="both"/>
        <w:rPr>
          <w:rFonts w:ascii="Times New Roman" w:hAnsi="Times New Roman" w:cs="Times New Roman"/>
          <w:color w:val="FF0000"/>
        </w:rPr>
      </w:pPr>
    </w:p>
    <w:p w:rsidR="003A497B" w:rsidRPr="004A2AEE" w:rsidRDefault="003A497B" w:rsidP="003A497B">
      <w:pPr>
        <w:ind w:firstLine="708"/>
        <w:jc w:val="both"/>
        <w:rPr>
          <w:rFonts w:ascii="Times New Roman" w:hAnsi="Times New Roman" w:cs="Times New Roman"/>
        </w:rPr>
      </w:pPr>
      <w:r w:rsidRPr="004A2AEE">
        <w:rPr>
          <w:rFonts w:ascii="Times New Roman" w:hAnsi="Times New Roman" w:cs="Times New Roman"/>
        </w:rPr>
        <w:t xml:space="preserve">Objem osobných výdavkov na rok 2019 sa rozpočtuje v sume 19,5 mil. eur, čo v porovnaní so schváleným rozpočtom roku 2018 predstavuje zvýšenie o 965 tis. eur,                    t. j. o 5,20 %. Okrem nárastu z titulu premietnutia valorizácie platov z roku 2018 do nasledujúcich rokov je v objeme osobných výdavkov zohľadnená aj delimitácia 4 štátnozamestnaneckých miest v oblasti podpory kultúry národnostných menšín. </w:t>
      </w:r>
    </w:p>
    <w:p w:rsidR="003A497B" w:rsidRPr="004A2AEE" w:rsidRDefault="003A497B" w:rsidP="003A497B">
      <w:pPr>
        <w:jc w:val="both"/>
        <w:rPr>
          <w:rFonts w:ascii="Times New Roman" w:hAnsi="Times New Roman" w:cs="Times New Roman"/>
          <w:color w:val="FF0000"/>
        </w:rPr>
      </w:pPr>
    </w:p>
    <w:p w:rsidR="003A497B" w:rsidRPr="004A2AEE" w:rsidRDefault="003A497B" w:rsidP="003A497B">
      <w:pPr>
        <w:ind w:firstLine="708"/>
        <w:jc w:val="both"/>
        <w:rPr>
          <w:rFonts w:ascii="Times New Roman" w:hAnsi="Times New Roman" w:cs="Times New Roman"/>
        </w:rPr>
      </w:pPr>
      <w:r w:rsidRPr="004A2AEE">
        <w:rPr>
          <w:rFonts w:ascii="Times New Roman" w:hAnsi="Times New Roman" w:cs="Times New Roman"/>
        </w:rPr>
        <w:t xml:space="preserve">Prostriedky na tovary a služby sa na rok 2019 rozpočtujú v objeme 21,6 mil. eur, čo je 94 tis. eur nad úrovňou schváleného rozpočtu roku 2018. Zvýšenie je spôsobené vnútorným presunom z kategórie bežných transferov. </w:t>
      </w:r>
    </w:p>
    <w:p w:rsidR="003A497B" w:rsidRPr="004A2AEE" w:rsidRDefault="003A497B" w:rsidP="003A497B">
      <w:pPr>
        <w:ind w:firstLine="708"/>
        <w:jc w:val="both"/>
        <w:rPr>
          <w:rFonts w:ascii="Times New Roman" w:hAnsi="Times New Roman" w:cs="Times New Roman"/>
        </w:rPr>
      </w:pPr>
    </w:p>
    <w:p w:rsidR="003A497B" w:rsidRPr="004A2AEE" w:rsidRDefault="003A497B" w:rsidP="003A497B">
      <w:pPr>
        <w:ind w:firstLine="708"/>
        <w:jc w:val="both"/>
        <w:rPr>
          <w:rFonts w:ascii="Times New Roman" w:hAnsi="Times New Roman" w:cs="Times New Roman"/>
        </w:rPr>
      </w:pPr>
      <w:r w:rsidRPr="004A2AEE">
        <w:rPr>
          <w:rFonts w:ascii="Times New Roman" w:hAnsi="Times New Roman" w:cs="Times New Roman"/>
        </w:rPr>
        <w:t>Výdavky na bežné transfery sú rozpočtované v sume 204 mil. eur s medziročným nárastom o 929 tis. eur, t. j. o 0,46 % predovšetkým z dôvodu zvýšenia objemu prostriedkov na valorizáciu platov z roku 2018 pre zamestnancov príspevkových organizácií rezortu. V rámci bežných transferov sa rozpočtujú transfer pre príspevkové organizácie a Maticu slovenskú, transfer pre cirkvi a náboženské spoločnosti, transfer pre ostatné subjekty verejnej správy napojené na rozpočet Ministerstva kultúry SR a bežné výdavky v rámci dotačného systému.</w:t>
      </w:r>
    </w:p>
    <w:p w:rsidR="003A497B" w:rsidRPr="004A2AEE" w:rsidRDefault="003A497B" w:rsidP="003A497B">
      <w:pPr>
        <w:jc w:val="both"/>
        <w:rPr>
          <w:rFonts w:ascii="Times New Roman" w:hAnsi="Times New Roman" w:cs="Times New Roman"/>
          <w:color w:val="FF0000"/>
        </w:rPr>
      </w:pPr>
    </w:p>
    <w:p w:rsidR="003A497B" w:rsidRPr="004A2AEE" w:rsidRDefault="003A497B" w:rsidP="003A497B">
      <w:pPr>
        <w:ind w:firstLine="708"/>
        <w:jc w:val="both"/>
        <w:rPr>
          <w:rFonts w:ascii="Times New Roman" w:hAnsi="Times New Roman" w:cs="Times New Roman"/>
        </w:rPr>
      </w:pPr>
      <w:r w:rsidRPr="004A2AEE">
        <w:rPr>
          <w:rFonts w:ascii="Times New Roman" w:hAnsi="Times New Roman" w:cs="Times New Roman"/>
        </w:rPr>
        <w:t xml:space="preserve">V rozpočte kapitoly sa na rok 2019 navrhujú kapitálové výdavky v celkovej sume </w:t>
      </w:r>
      <w:r w:rsidRPr="004A2AEE">
        <w:rPr>
          <w:rFonts w:ascii="Times New Roman" w:hAnsi="Times New Roman" w:cs="Times New Roman"/>
        </w:rPr>
        <w:br/>
        <w:t>10,0 mil. eur, čo predstavuje oproti schválenému rozpočtu predchádzajúceho roku pokles o </w:t>
      </w:r>
      <w:r>
        <w:rPr>
          <w:rFonts w:ascii="Times New Roman" w:hAnsi="Times New Roman" w:cs="Times New Roman"/>
        </w:rPr>
        <w:br/>
      </w:r>
      <w:r w:rsidRPr="004A2AEE">
        <w:rPr>
          <w:rFonts w:ascii="Times New Roman" w:hAnsi="Times New Roman" w:cs="Times New Roman"/>
        </w:rPr>
        <w:t xml:space="preserve">27,0 mil. eur. Zníženie kapitálových prostriedkov súvisí so skutočnosťou, že v roku 2018 boli </w:t>
      </w:r>
      <w:r w:rsidRPr="004A2AEE">
        <w:rPr>
          <w:rFonts w:ascii="Times New Roman" w:hAnsi="Times New Roman" w:cs="Times New Roman"/>
        </w:rPr>
        <w:lastRenderedPageBreak/>
        <w:t>jednorazovo rozpočtované výdavky na rekonštrukciu a modernizáciu Slovenskej národnej galérie, 1. budovy Matice slovenskej a historickej budovy SND. V rozpočte na rok 2019 sú zabezpečené kapitálové výdavky na nákup softvéru, osobných automobilov, na obnovu kultúrnych pamiatok v rámci dotačného systému, investičné projekty Rozhlasu a televízie Slovenska a kapitálový transfer pre Fond na podporu umenia. Zvýšené boli aj výdavky pre Slovenské národné múzeum určené na rekonštrukci</w:t>
      </w:r>
      <w:r w:rsidR="00C473D8">
        <w:rPr>
          <w:rFonts w:ascii="Times New Roman" w:hAnsi="Times New Roman" w:cs="Times New Roman"/>
        </w:rPr>
        <w:t>e</w:t>
      </w:r>
      <w:r w:rsidRPr="004A2AEE">
        <w:rPr>
          <w:rFonts w:ascii="Times New Roman" w:hAnsi="Times New Roman" w:cs="Times New Roman"/>
        </w:rPr>
        <w:t xml:space="preserve"> Múzea holokaustu v Seredi a Múzea Martina Benku a takisto prostriedky na rekonštrukciu objektu v správe Múzea Slovenského národného povstania.</w:t>
      </w:r>
    </w:p>
    <w:p w:rsidR="003A497B" w:rsidRPr="004A2AEE" w:rsidRDefault="003A497B" w:rsidP="003A497B">
      <w:pPr>
        <w:ind w:firstLine="708"/>
        <w:jc w:val="both"/>
        <w:rPr>
          <w:rFonts w:ascii="Times New Roman" w:hAnsi="Times New Roman" w:cs="Times New Roman"/>
        </w:rPr>
      </w:pPr>
    </w:p>
    <w:p w:rsidR="003A497B" w:rsidRPr="004A2AEE" w:rsidRDefault="003A497B" w:rsidP="003A497B">
      <w:pPr>
        <w:ind w:firstLine="708"/>
        <w:jc w:val="both"/>
        <w:rPr>
          <w:rFonts w:ascii="Times New Roman" w:hAnsi="Times New Roman" w:cs="Times New Roman"/>
        </w:rPr>
      </w:pPr>
      <w:r w:rsidRPr="004A2AEE">
        <w:rPr>
          <w:rFonts w:ascii="Times New Roman" w:hAnsi="Times New Roman" w:cs="Times New Roman"/>
        </w:rPr>
        <w:t xml:space="preserve">MK SR na rok 2019 rozpočtuje výdavky na samostatnom účte v celkovej sume </w:t>
      </w:r>
      <w:r>
        <w:rPr>
          <w:rFonts w:ascii="Times New Roman" w:hAnsi="Times New Roman" w:cs="Times New Roman"/>
        </w:rPr>
        <w:br/>
      </w:r>
      <w:r w:rsidRPr="004A2AEE">
        <w:rPr>
          <w:rFonts w:ascii="Times New Roman" w:hAnsi="Times New Roman" w:cs="Times New Roman"/>
        </w:rPr>
        <w:t>204 tis. eur súvisiace najmä s podnikateľskou činnosťou príspevkových organizácií.</w:t>
      </w:r>
    </w:p>
    <w:p w:rsidR="003A497B" w:rsidRPr="004A2AEE" w:rsidRDefault="003A497B" w:rsidP="003A497B">
      <w:pPr>
        <w:ind w:firstLine="708"/>
        <w:jc w:val="both"/>
        <w:rPr>
          <w:rFonts w:ascii="Times New Roman" w:hAnsi="Times New Roman" w:cs="Times New Roman"/>
        </w:rPr>
      </w:pPr>
    </w:p>
    <w:p w:rsidR="003A497B" w:rsidRPr="004A2AEE" w:rsidRDefault="003A497B" w:rsidP="003A497B">
      <w:pPr>
        <w:ind w:firstLine="708"/>
        <w:jc w:val="both"/>
        <w:rPr>
          <w:rFonts w:ascii="Times New Roman" w:hAnsi="Times New Roman" w:cs="Times New Roman"/>
        </w:rPr>
      </w:pPr>
      <w:r w:rsidRPr="004A2AEE">
        <w:rPr>
          <w:rFonts w:ascii="Times New Roman" w:hAnsi="Times New Roman" w:cs="Times New Roman"/>
        </w:rPr>
        <w:t>Rozpočtované výdavky kapitoly pokrývajú nasledujúce oblasti.</w:t>
      </w:r>
    </w:p>
    <w:p w:rsidR="003A497B" w:rsidRPr="004A2AEE" w:rsidRDefault="003A497B" w:rsidP="003A497B">
      <w:pPr>
        <w:jc w:val="both"/>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786"/>
        <w:gridCol w:w="908"/>
        <w:gridCol w:w="892"/>
        <w:gridCol w:w="908"/>
        <w:gridCol w:w="892"/>
        <w:gridCol w:w="892"/>
        <w:gridCol w:w="892"/>
        <w:gridCol w:w="892"/>
      </w:tblGrid>
      <w:tr w:rsidR="003A497B" w:rsidRPr="004A2AEE" w:rsidTr="003E1809">
        <w:trPr>
          <w:trHeight w:val="255"/>
        </w:trPr>
        <w:tc>
          <w:tcPr>
            <w:tcW w:w="153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v eurách</w:t>
            </w:r>
          </w:p>
        </w:tc>
        <w:tc>
          <w:tcPr>
            <w:tcW w:w="50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2016 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2017 S</w:t>
            </w:r>
          </w:p>
        </w:tc>
        <w:tc>
          <w:tcPr>
            <w:tcW w:w="50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R</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OS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2019 N</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2020 N</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2021 N</w:t>
            </w:r>
          </w:p>
        </w:tc>
      </w:tr>
      <w:tr w:rsidR="003A497B" w:rsidRPr="004A2AEE" w:rsidTr="003E1809">
        <w:trPr>
          <w:trHeight w:val="255"/>
        </w:trPr>
        <w:tc>
          <w:tcPr>
            <w:tcW w:w="1536"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Zdroje príslušnej kapitoly</w:t>
            </w:r>
          </w:p>
        </w:tc>
        <w:tc>
          <w:tcPr>
            <w:tcW w:w="501"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231 391 330</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246 129 792</w:t>
            </w:r>
          </w:p>
        </w:tc>
        <w:tc>
          <w:tcPr>
            <w:tcW w:w="501"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280 159 727</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296 225 020</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255 193 734</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253 773 734</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253 573 734</w:t>
            </w:r>
          </w:p>
        </w:tc>
      </w:tr>
      <w:tr w:rsidR="003A497B" w:rsidRPr="004A2AEE" w:rsidTr="003E1809">
        <w:trPr>
          <w:trHeight w:val="255"/>
        </w:trPr>
        <w:tc>
          <w:tcPr>
            <w:tcW w:w="1536"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Inštitucionálna podpora organizácií</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113 652 477</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125 122 827</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146 053 972</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145 295 351</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117 734 393</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116 314 393</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116 114 393</w:t>
            </w:r>
          </w:p>
        </w:tc>
      </w:tr>
      <w:tr w:rsidR="003A497B" w:rsidRPr="004A2AEE" w:rsidTr="003E1809">
        <w:trPr>
          <w:trHeight w:val="255"/>
        </w:trPr>
        <w:tc>
          <w:tcPr>
            <w:tcW w:w="1536"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Dotačný systém</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9 105 292</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11 152 563</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15 996 097</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19 776 647</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15 996 097</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15 996 097</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15 996 097</w:t>
            </w:r>
          </w:p>
        </w:tc>
      </w:tr>
      <w:tr w:rsidR="003A497B" w:rsidRPr="004A2AEE" w:rsidTr="003E1809">
        <w:trPr>
          <w:trHeight w:val="255"/>
        </w:trPr>
        <w:tc>
          <w:tcPr>
            <w:tcW w:w="1536"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Transfery pre verejnoprávne inštitúcie</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49 600 559</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51 837 402</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62 979 387</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72 262 747</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62 200 000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62 200 000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62 200 000</w:t>
            </w:r>
          </w:p>
        </w:tc>
      </w:tr>
      <w:tr w:rsidR="003A497B" w:rsidRPr="004A2AEE" w:rsidTr="003E1809">
        <w:trPr>
          <w:trHeight w:val="255"/>
        </w:trPr>
        <w:tc>
          <w:tcPr>
            <w:tcW w:w="1536"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Strategické zámery kapitoly</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5 123 735</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2 710 443</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2 819 992</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3 680 742</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4 998 542</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4 998 542</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4 998 542</w:t>
            </w:r>
          </w:p>
        </w:tc>
      </w:tr>
      <w:tr w:rsidR="003A497B" w:rsidRPr="004A2AEE" w:rsidTr="003E1809">
        <w:trPr>
          <w:trHeight w:val="255"/>
        </w:trPr>
        <w:tc>
          <w:tcPr>
            <w:tcW w:w="1536"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 xml:space="preserve">Cirkvi a náboženské spoločnosti </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40 216 154</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43 656 568</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41 164 265</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42 582 598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42 582 598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42 582 598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42 582 598</w:t>
            </w:r>
          </w:p>
        </w:tc>
      </w:tr>
      <w:tr w:rsidR="003A497B" w:rsidRPr="004A2AEE" w:rsidTr="003E1809">
        <w:trPr>
          <w:trHeight w:val="255"/>
        </w:trPr>
        <w:tc>
          <w:tcPr>
            <w:tcW w:w="1536"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Aparát a iné výdavkové tituly</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13 693 113</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9 850 322</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9 346 014</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10 063 214</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9 882 104</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9 882 104</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9 882 104</w:t>
            </w:r>
          </w:p>
        </w:tc>
      </w:tr>
      <w:tr w:rsidR="003A497B" w:rsidRPr="004A2AEE" w:rsidTr="003E1809">
        <w:trPr>
          <w:trHeight w:val="255"/>
        </w:trPr>
        <w:tc>
          <w:tcPr>
            <w:tcW w:w="1536"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Informačné technológie</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1 799 667</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1 800 000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2 563 721</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1 800 000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1 800 000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1 800 000</w:t>
            </w:r>
          </w:p>
        </w:tc>
      </w:tr>
    </w:tbl>
    <w:p w:rsidR="003A497B" w:rsidRPr="004A2AEE" w:rsidRDefault="003A497B" w:rsidP="003A497B">
      <w:pPr>
        <w:jc w:val="both"/>
        <w:rPr>
          <w:rFonts w:ascii="Times New Roman" w:hAnsi="Times New Roman" w:cs="Times New Roman"/>
          <w:b/>
          <w:bCs/>
        </w:rPr>
      </w:pPr>
    </w:p>
    <w:p w:rsidR="003A497B" w:rsidRPr="004A2AEE" w:rsidRDefault="003A497B" w:rsidP="003A497B">
      <w:pPr>
        <w:jc w:val="both"/>
        <w:rPr>
          <w:rFonts w:ascii="Times New Roman" w:hAnsi="Times New Roman" w:cs="Times New Roman"/>
          <w:b/>
          <w:bCs/>
        </w:rPr>
      </w:pPr>
      <w:r w:rsidRPr="004A2AEE">
        <w:rPr>
          <w:rFonts w:ascii="Times New Roman" w:hAnsi="Times New Roman" w:cs="Times New Roman"/>
          <w:b/>
          <w:bCs/>
        </w:rPr>
        <w:t>Inštitucionálna podpora štátnych organizácií rezortu</w:t>
      </w:r>
    </w:p>
    <w:p w:rsidR="003A497B" w:rsidRPr="004A2AEE" w:rsidRDefault="003A497B" w:rsidP="003A497B">
      <w:pPr>
        <w:jc w:val="both"/>
        <w:rPr>
          <w:rFonts w:ascii="Times New Roman" w:hAnsi="Times New Roman" w:cs="Times New Roman"/>
          <w:b/>
          <w:bCs/>
        </w:rPr>
      </w:pPr>
    </w:p>
    <w:tbl>
      <w:tblPr>
        <w:tblW w:w="5000" w:type="pct"/>
        <w:tblCellMar>
          <w:left w:w="70" w:type="dxa"/>
          <w:right w:w="70" w:type="dxa"/>
        </w:tblCellMar>
        <w:tblLook w:val="04A0" w:firstRow="1" w:lastRow="0" w:firstColumn="1" w:lastColumn="0" w:noHBand="0" w:noVBand="1"/>
      </w:tblPr>
      <w:tblGrid>
        <w:gridCol w:w="2786"/>
        <w:gridCol w:w="908"/>
        <w:gridCol w:w="892"/>
        <w:gridCol w:w="908"/>
        <w:gridCol w:w="892"/>
        <w:gridCol w:w="892"/>
        <w:gridCol w:w="892"/>
        <w:gridCol w:w="892"/>
      </w:tblGrid>
      <w:tr w:rsidR="003A497B" w:rsidRPr="004A2AEE" w:rsidTr="003E1809">
        <w:trPr>
          <w:trHeight w:val="255"/>
        </w:trPr>
        <w:tc>
          <w:tcPr>
            <w:tcW w:w="153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v eurách</w:t>
            </w:r>
          </w:p>
        </w:tc>
        <w:tc>
          <w:tcPr>
            <w:tcW w:w="50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2016 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2017 S</w:t>
            </w:r>
          </w:p>
        </w:tc>
        <w:tc>
          <w:tcPr>
            <w:tcW w:w="50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R</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OS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2019 N</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2020 N</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2021 N</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Inštitucionálna podpora organizácií rezortu</w:t>
            </w:r>
          </w:p>
        </w:tc>
        <w:tc>
          <w:tcPr>
            <w:tcW w:w="501"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113 642 820</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125 121 764</w:t>
            </w:r>
          </w:p>
        </w:tc>
        <w:tc>
          <w:tcPr>
            <w:tcW w:w="501"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146 053 972</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145 295 351</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117 734 393</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116 314 393</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116 114 393</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Inštitucionálna podpora RO a PO*</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108 063 674</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120 753 347</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138 153 972</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136 371 071</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112 504 393</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111 084 393</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110 884 393</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Podpora kultúrnych aktivít RO a PO</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4 504 445</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3 700 518</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7 200 000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7 780 162</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4 230 000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4 230 000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4 230 000</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Podpora kultúrnych aktivít v zahraničí</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1 084 358</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668 962</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1 144 118</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1 000 000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1 000 000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1 000 000</w:t>
            </w:r>
          </w:p>
        </w:tc>
      </w:tr>
    </w:tbl>
    <w:p w:rsidR="003A497B" w:rsidRPr="004A2AEE" w:rsidRDefault="003A497B" w:rsidP="003A497B">
      <w:pPr>
        <w:autoSpaceDE w:val="0"/>
        <w:autoSpaceDN w:val="0"/>
        <w:adjustRightInd w:val="0"/>
        <w:jc w:val="both"/>
        <w:rPr>
          <w:rFonts w:ascii="Times New Roman" w:hAnsi="Times New Roman" w:cs="Times New Roman"/>
          <w:sz w:val="14"/>
          <w:szCs w:val="14"/>
        </w:rPr>
      </w:pPr>
      <w:r w:rsidRPr="004A2AEE">
        <w:rPr>
          <w:rFonts w:ascii="Times New Roman" w:hAnsi="Times New Roman" w:cs="Times New Roman"/>
          <w:sz w:val="14"/>
          <w:szCs w:val="14"/>
        </w:rPr>
        <w:t>* rozpočtových organizácií a príspevkových organizácií</w:t>
      </w:r>
    </w:p>
    <w:p w:rsidR="003A497B" w:rsidRPr="004A2AEE" w:rsidRDefault="003A497B" w:rsidP="003A497B">
      <w:pPr>
        <w:jc w:val="both"/>
        <w:rPr>
          <w:rFonts w:ascii="Times New Roman" w:hAnsi="Times New Roman" w:cs="Times New Roman"/>
          <w:sz w:val="20"/>
        </w:rPr>
      </w:pPr>
    </w:p>
    <w:p w:rsidR="003A497B" w:rsidRPr="004A2AEE" w:rsidRDefault="003A497B" w:rsidP="003A497B">
      <w:pPr>
        <w:ind w:firstLine="708"/>
        <w:jc w:val="both"/>
        <w:rPr>
          <w:rFonts w:ascii="Times New Roman" w:hAnsi="Times New Roman" w:cs="Times New Roman"/>
        </w:rPr>
      </w:pPr>
      <w:r w:rsidRPr="004A2AEE">
        <w:rPr>
          <w:rFonts w:ascii="Times New Roman" w:hAnsi="Times New Roman" w:cs="Times New Roman"/>
        </w:rPr>
        <w:t>Výdavky v oblasti inštitucionálnej podpory organizácií rezortu kultúry zahŕňajú podporu hlavnej činnosti v divadlách a divadelnej činnosti, v hudbe, koncertnej činnosti a umeleckých súboroch, výtvarnom umení, fotografiách, architektúre a dizajne, v múzeách a galériách, knižniciach a knižničnej činnosti, v osvetovej činnosti a tradičnej ľudovej kultúre, v literatúre a knižnej kultúre a v médiách a audiovízii.</w:t>
      </w:r>
    </w:p>
    <w:p w:rsidR="003A497B" w:rsidRPr="004A2AEE" w:rsidRDefault="003A497B" w:rsidP="003A497B">
      <w:pPr>
        <w:ind w:firstLine="708"/>
        <w:jc w:val="both"/>
        <w:rPr>
          <w:rFonts w:ascii="Times New Roman" w:hAnsi="Times New Roman" w:cs="Times New Roman"/>
        </w:rPr>
      </w:pPr>
    </w:p>
    <w:p w:rsidR="003A497B" w:rsidRPr="004A2AEE" w:rsidRDefault="003A497B" w:rsidP="003A497B">
      <w:pPr>
        <w:ind w:firstLine="708"/>
        <w:jc w:val="both"/>
        <w:rPr>
          <w:rFonts w:ascii="Times New Roman" w:hAnsi="Times New Roman" w:cs="Times New Roman"/>
        </w:rPr>
      </w:pPr>
      <w:r w:rsidRPr="004A2AEE">
        <w:rPr>
          <w:rFonts w:ascii="Times New Roman" w:hAnsi="Times New Roman" w:cs="Times New Roman"/>
        </w:rPr>
        <w:t xml:space="preserve">Okrem toho sú podporované ďalšie kultúrne aktivity rozpočtových a príspevkových organizácií ako aj kultúrne aktivity v zahraničí súvisiace s propagáciou Slovenskej republiky. Výdavky na uvedené činnosti sú na rok 2019 rozpočtované v sume 117 mil. eur. V porovnaní so schváleným rozpočtom roku 2018 dochádza k ich poklesu o 28,3 mil. eur, t. j. o 19,4 % najmä v dôsledku jednorazovej alokácie prostriedkov na rekonštrukciu a modernizáciu Slovenskej národnej galérie v roku 2018. </w:t>
      </w:r>
    </w:p>
    <w:p w:rsidR="003A497B" w:rsidRPr="004A2AEE" w:rsidRDefault="003A497B" w:rsidP="003A497B">
      <w:pPr>
        <w:ind w:firstLine="708"/>
        <w:jc w:val="both"/>
        <w:rPr>
          <w:rFonts w:ascii="Times New Roman" w:hAnsi="Times New Roman" w:cs="Times New Roman"/>
        </w:rPr>
      </w:pPr>
    </w:p>
    <w:p w:rsidR="003A497B" w:rsidRPr="004A2AEE" w:rsidRDefault="003A497B" w:rsidP="003A497B">
      <w:pPr>
        <w:ind w:firstLine="708"/>
        <w:jc w:val="both"/>
        <w:rPr>
          <w:rFonts w:ascii="Times New Roman" w:hAnsi="Times New Roman" w:cs="Times New Roman"/>
        </w:rPr>
      </w:pPr>
      <w:r w:rsidRPr="004A2AEE">
        <w:rPr>
          <w:rFonts w:ascii="Times New Roman" w:hAnsi="Times New Roman" w:cs="Times New Roman"/>
        </w:rPr>
        <w:t xml:space="preserve">Inštitucionálna podpora rozpočtových a príspevkových organizácií na rok 2019 zaznamenáva pokles oproti schválenému rozpočtu roku 2018 o 25,6 mil. eur, t. j. </w:t>
      </w:r>
      <w:r w:rsidRPr="004A2AEE">
        <w:rPr>
          <w:rFonts w:ascii="Times New Roman" w:hAnsi="Times New Roman" w:cs="Times New Roman"/>
        </w:rPr>
        <w:br/>
        <w:t>o 18,6 %. Bez kapitálových výdavkov rozpočtovaných v roku 2018 na rekonštrukcie objektov vo výške 29,4 mil. eur sú však výdavky pre podriadené organizácie rozpísané na rok 2019 vyššie o 3,77 mil. eur, t. j. o 3,47 %, pričom pri rozpise bola zohľadnená valorizácia z roku 2018.</w:t>
      </w:r>
    </w:p>
    <w:p w:rsidR="003A497B" w:rsidRPr="004A2AEE" w:rsidRDefault="003A497B" w:rsidP="003A497B">
      <w:pPr>
        <w:ind w:firstLine="708"/>
        <w:jc w:val="both"/>
        <w:rPr>
          <w:rFonts w:ascii="Times New Roman" w:hAnsi="Times New Roman" w:cs="Times New Roman"/>
        </w:rPr>
      </w:pPr>
    </w:p>
    <w:p w:rsidR="003A497B" w:rsidRPr="004A2AEE" w:rsidRDefault="003A497B" w:rsidP="003A497B">
      <w:pPr>
        <w:ind w:firstLine="708"/>
        <w:jc w:val="both"/>
        <w:rPr>
          <w:rFonts w:ascii="Times New Roman" w:hAnsi="Times New Roman" w:cs="Times New Roman"/>
        </w:rPr>
      </w:pPr>
      <w:r w:rsidRPr="004A2AEE">
        <w:rPr>
          <w:rFonts w:ascii="Times New Roman" w:hAnsi="Times New Roman" w:cs="Times New Roman"/>
        </w:rPr>
        <w:t>Na podporu kultúrnych aktivít podriadených rozpočtových a príspevkových organizácií sú alokované prostriedky v objeme 4,23 mil. eur. V oblasti podpory kultúrnych aktivít v zahraničí sa rozpočtovaná úroveň na rok 2019 medziročne zvyšuje o 300 tis. eur.</w:t>
      </w:r>
    </w:p>
    <w:p w:rsidR="003A497B" w:rsidRPr="004A2AEE" w:rsidRDefault="003A497B" w:rsidP="003A497B">
      <w:pPr>
        <w:ind w:firstLine="708"/>
        <w:jc w:val="both"/>
        <w:rPr>
          <w:rFonts w:ascii="Times New Roman" w:hAnsi="Times New Roman" w:cs="Times New Roman"/>
        </w:rPr>
      </w:pPr>
      <w:r w:rsidRPr="004A2AEE">
        <w:rPr>
          <w:rFonts w:ascii="Times New Roman" w:hAnsi="Times New Roman" w:cs="Times New Roman"/>
        </w:rPr>
        <w:t xml:space="preserve"> </w:t>
      </w:r>
    </w:p>
    <w:p w:rsidR="003A497B" w:rsidRPr="004A2AEE" w:rsidRDefault="003A497B" w:rsidP="003A497B">
      <w:pPr>
        <w:ind w:firstLine="708"/>
        <w:jc w:val="both"/>
        <w:rPr>
          <w:rFonts w:ascii="Times New Roman" w:hAnsi="Times New Roman" w:cs="Times New Roman"/>
        </w:rPr>
      </w:pPr>
      <w:r w:rsidRPr="004A2AEE">
        <w:rPr>
          <w:rFonts w:ascii="Times New Roman" w:hAnsi="Times New Roman" w:cs="Times New Roman"/>
        </w:rPr>
        <w:t>Prehľad výdavkov rozpočtovaných v inštitucionálnej podpore rozpočtových organizácií a príspevkových organizácií.</w:t>
      </w:r>
    </w:p>
    <w:p w:rsidR="003A497B" w:rsidRPr="004A2AEE" w:rsidRDefault="003A497B" w:rsidP="003A497B">
      <w:pPr>
        <w:jc w:val="both"/>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786"/>
        <w:gridCol w:w="908"/>
        <w:gridCol w:w="892"/>
        <w:gridCol w:w="908"/>
        <w:gridCol w:w="892"/>
        <w:gridCol w:w="892"/>
        <w:gridCol w:w="892"/>
        <w:gridCol w:w="892"/>
      </w:tblGrid>
      <w:tr w:rsidR="003A497B" w:rsidRPr="004A2AEE" w:rsidTr="003E1809">
        <w:trPr>
          <w:trHeight w:val="255"/>
        </w:trPr>
        <w:tc>
          <w:tcPr>
            <w:tcW w:w="153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v eurách</w:t>
            </w:r>
          </w:p>
        </w:tc>
        <w:tc>
          <w:tcPr>
            <w:tcW w:w="50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2016 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2017 S</w:t>
            </w:r>
          </w:p>
        </w:tc>
        <w:tc>
          <w:tcPr>
            <w:tcW w:w="50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R</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OS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2019 N</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2020 N</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2021 N</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4A2AEE" w:rsidRDefault="003A497B" w:rsidP="003E1809">
            <w:pPr>
              <w:jc w:val="both"/>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Rozpočtové organizácie</w:t>
            </w:r>
          </w:p>
        </w:tc>
        <w:tc>
          <w:tcPr>
            <w:tcW w:w="501"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42 101 389</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29 928 694</w:t>
            </w:r>
          </w:p>
        </w:tc>
        <w:tc>
          <w:tcPr>
            <w:tcW w:w="501"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33 217 139</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34 119 927</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31 698 823</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31 698 823</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31 698 823</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Bibiana, medzinárodný dom umenia pre deti</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1 065 698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1 145 021</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1 202 966</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1 247 456</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1 262 790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1 262 790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1 262 790</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Pamiatkový úrad Slovenskej republiky</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6 671 118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7 641 583</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7 751 160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8 208 622</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7 978 622</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7 978 622</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7 978 622</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Slovenská národná knižnica v Martine</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9 705 855</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10 336 149</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13 026 044</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14 675 609</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11 977 931</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11 977 931</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11 977 931</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Univerzitná knižnica v Bratislave</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9 432 931</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8 401 036</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8 731 537</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7 390 378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7 866 378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7 866 378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7 866 378</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Štátna vedecká knižnica v Prešove</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934 464</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1 131 282</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1 148 949</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1 177 839</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1 185 364</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1 185 364</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1 185 364</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Štátna vedecká knižnica v Košiciach</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1 191 665</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1 273 623</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1 356 483</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1 420 023</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1 427 738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1 427 738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1 427 738</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Ministerstvo kultúry SR</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13 099 658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r>
    </w:tbl>
    <w:p w:rsidR="003A497B" w:rsidRPr="004A2AEE" w:rsidRDefault="003A497B" w:rsidP="003A497B">
      <w:pPr>
        <w:jc w:val="both"/>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786"/>
        <w:gridCol w:w="908"/>
        <w:gridCol w:w="892"/>
        <w:gridCol w:w="908"/>
        <w:gridCol w:w="892"/>
        <w:gridCol w:w="892"/>
        <w:gridCol w:w="892"/>
        <w:gridCol w:w="892"/>
      </w:tblGrid>
      <w:tr w:rsidR="003A497B" w:rsidRPr="004A2AEE" w:rsidTr="003E1809">
        <w:trPr>
          <w:trHeight w:val="255"/>
        </w:trPr>
        <w:tc>
          <w:tcPr>
            <w:tcW w:w="153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v eurách</w:t>
            </w:r>
          </w:p>
        </w:tc>
        <w:tc>
          <w:tcPr>
            <w:tcW w:w="50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2016 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2017 S</w:t>
            </w:r>
          </w:p>
        </w:tc>
        <w:tc>
          <w:tcPr>
            <w:tcW w:w="50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R</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OS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2019 N</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2020 N</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2021 N</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Príspevkové organizácie</w:t>
            </w:r>
          </w:p>
        </w:tc>
        <w:tc>
          <w:tcPr>
            <w:tcW w:w="501"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64 448 285</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89 230 653</w:t>
            </w:r>
          </w:p>
        </w:tc>
        <w:tc>
          <w:tcPr>
            <w:tcW w:w="501"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103 442 833</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100 517 144</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79 311 570</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77 891 570</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77 691 570</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Divadelný ústav</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1 009 995</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1 099 624</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1 121 566</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1 145 372</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1 145 372</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1 145 372</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1 145 372</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Divadlo Nová scéna</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2 188 608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2 431 723</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2 309 760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2 367 398</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2 367 398</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2 367 398</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2 367 398</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Hudobné centrum</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1 066 524</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1 162 257</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1 158 806</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1 179 426</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1 179 426</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1 179 426</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1 179 426</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Literárne informačné centrum</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734 922</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810 720</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822 488</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1 035 100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837 435</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837 435</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837 435</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Múzeum Slovenského národného povstania</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2 334 053</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3 015 825</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3 066 084</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3 111 671</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3 831 671</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3 111 671</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3 111 671</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Národné osvetové centrum</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2 242 555</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5 030 213</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4 432 442</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4 479 869</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4 229 869</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4 229 869</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4 229 869</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Slovenská filharmónia</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7 298 929</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7 660 570</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7 713 183</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8 113 183</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7 713 183</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7 713 183</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7 713 183</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 xml:space="preserve">Slovenská knižnica pre nevidiacich </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769 698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879 084</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899 258</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922 807</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922 807</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922 807</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922 807</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Slovenská národná galéria</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3 058 234</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16 095 157</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30 619 444</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25 262 899</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4 137 383</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4 137 383</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4 137 383</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Slovenská ústredná hvezdáreň</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484 410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521 352</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532 211</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544 099</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544 099</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544 099</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544 099</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Slovenské centrum dizajnu</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349 524</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425 720</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434 928</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460 207</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458 702</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458 702</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458 702</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Slovenské národné divadlo</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15 034 205</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16 958 160</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18 559 487</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18 078 585</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17 059 487</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17 059 487</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17 059 487</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Slovenské národné múzeum</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8 721 688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10 921 407</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8 575 563</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9 830 269</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10 670 269</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9 970 269</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9 770 269</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Slovenské technické múzeum</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1 122 761</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1 139 870</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1 195 047</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1 295 902</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1 245 902</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1 245 902</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1 245 902</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Slovenský filmový ústav</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2 019 606</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2 478 623</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2 739 821</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2 788 904</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3 017 114</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3 017 114</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3 017 114</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Slovenský ľudový umelecký kolektív</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2 400 931</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2 042 123</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2 333 239</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2 023 532</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2 023 532</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2 023 532</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2 023 532</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Štátna filharmónia Košice</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1 653 552</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2 021 753</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2 077 173</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2 147 724</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2 147 724</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2 147 724</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2 147 724</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Štátna opera B.B.</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3 671 162</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4 041 559</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4 084 525</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4 351 533</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4 201 533</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4 201 533</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4 201 533</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Štátna vedecká knižnica v Banskej Bystrici</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941 342</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1 076 852</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1 106 639</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1 148 128</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1 148 128</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1 148 128</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1 148 128</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Štátne divadlo Košice</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4 181 768</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4 942 121</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5 360 850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5 521 756</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6 021 756</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6 021 756</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6 021 756</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Štátny komorný orchester v Žiline</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856 212</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977 712</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972 884</w:t>
            </w:r>
          </w:p>
        </w:tc>
        <w:tc>
          <w:tcPr>
            <w:tcW w:w="492" w:type="pct"/>
            <w:tcBorders>
              <w:top w:val="nil"/>
              <w:left w:val="nil"/>
              <w:bottom w:val="nil"/>
              <w:right w:val="nil"/>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1 000 975</w:t>
            </w:r>
          </w:p>
        </w:tc>
        <w:tc>
          <w:tcPr>
            <w:tcW w:w="492"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1 000 975</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1 000 975</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1 000 975</w:t>
            </w:r>
          </w:p>
        </w:tc>
      </w:tr>
      <w:tr w:rsidR="003A497B" w:rsidRPr="004A2AEE" w:rsidTr="003E1809">
        <w:trPr>
          <w:trHeight w:val="255"/>
        </w:trPr>
        <w:tc>
          <w:tcPr>
            <w:tcW w:w="1537" w:type="pct"/>
            <w:tcBorders>
              <w:top w:val="nil"/>
              <w:left w:val="single" w:sz="4" w:space="0" w:color="auto"/>
              <w:bottom w:val="nil"/>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Tanečné divadlo Ifjú Szivek</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867 713</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671 093</w:t>
            </w:r>
          </w:p>
        </w:tc>
        <w:tc>
          <w:tcPr>
            <w:tcW w:w="492" w:type="pct"/>
            <w:tcBorders>
              <w:top w:val="single" w:sz="4" w:space="0" w:color="auto"/>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686 186</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686 186</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686 186</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686 186</w:t>
            </w:r>
          </w:p>
        </w:tc>
      </w:tr>
      <w:tr w:rsidR="003A497B" w:rsidRPr="004A2AEE" w:rsidTr="003E1809">
        <w:trPr>
          <w:trHeight w:val="255"/>
        </w:trPr>
        <w:tc>
          <w:tcPr>
            <w:tcW w:w="15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Umelecký súbor Lúčnica</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866 256</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1 106 770</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1 031 465</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1 346 473</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1 046 473</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1 046 473</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1 046 473</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Ústredie ľudovej umeleckej výroby</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1 441 350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1 523 745</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1 624 877</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1 675 146</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1 675 146</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1 675 146</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1 675 146</w:t>
            </w:r>
          </w:p>
        </w:tc>
      </w:tr>
    </w:tbl>
    <w:p w:rsidR="003A497B" w:rsidRPr="004A2AEE" w:rsidRDefault="003A497B" w:rsidP="003A497B">
      <w:pPr>
        <w:autoSpaceDE w:val="0"/>
        <w:autoSpaceDN w:val="0"/>
        <w:adjustRightInd w:val="0"/>
        <w:jc w:val="both"/>
        <w:rPr>
          <w:rFonts w:ascii="Times New Roman" w:hAnsi="Times New Roman" w:cs="Times New Roman"/>
          <w:color w:val="FF0000"/>
          <w:sz w:val="20"/>
          <w:szCs w:val="20"/>
          <w:lang w:eastAsia="sk-SK"/>
        </w:rPr>
      </w:pPr>
    </w:p>
    <w:tbl>
      <w:tblPr>
        <w:tblW w:w="5000" w:type="pct"/>
        <w:tblCellMar>
          <w:left w:w="70" w:type="dxa"/>
          <w:right w:w="70" w:type="dxa"/>
        </w:tblCellMar>
        <w:tblLook w:val="04A0" w:firstRow="1" w:lastRow="0" w:firstColumn="1" w:lastColumn="0" w:noHBand="0" w:noVBand="1"/>
      </w:tblPr>
      <w:tblGrid>
        <w:gridCol w:w="2786"/>
        <w:gridCol w:w="908"/>
        <w:gridCol w:w="892"/>
        <w:gridCol w:w="908"/>
        <w:gridCol w:w="892"/>
        <w:gridCol w:w="892"/>
        <w:gridCol w:w="892"/>
        <w:gridCol w:w="892"/>
      </w:tblGrid>
      <w:tr w:rsidR="003A497B" w:rsidRPr="004A2AEE" w:rsidTr="003E1809">
        <w:trPr>
          <w:trHeight w:val="255"/>
        </w:trPr>
        <w:tc>
          <w:tcPr>
            <w:tcW w:w="153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v eurách</w:t>
            </w:r>
          </w:p>
        </w:tc>
        <w:tc>
          <w:tcPr>
            <w:tcW w:w="50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2016 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2017 S</w:t>
            </w:r>
          </w:p>
        </w:tc>
        <w:tc>
          <w:tcPr>
            <w:tcW w:w="50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R</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OS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2019 N</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2020 N</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2021 N</w:t>
            </w:r>
          </w:p>
        </w:tc>
      </w:tr>
      <w:tr w:rsidR="003A497B" w:rsidRPr="004A2AEE" w:rsidTr="003E1809">
        <w:trPr>
          <w:trHeight w:val="255"/>
        </w:trPr>
        <w:tc>
          <w:tcPr>
            <w:tcW w:w="1536"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Matica slovenská*</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1 514 000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1 594 000</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1 494 000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1 734 000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1 494 000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1 494 000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1 494 000</w:t>
            </w:r>
          </w:p>
        </w:tc>
      </w:tr>
    </w:tbl>
    <w:p w:rsidR="003A497B" w:rsidRPr="004A2AEE" w:rsidRDefault="003A497B" w:rsidP="003A497B">
      <w:pPr>
        <w:autoSpaceDE w:val="0"/>
        <w:autoSpaceDN w:val="0"/>
        <w:adjustRightInd w:val="0"/>
        <w:jc w:val="both"/>
        <w:rPr>
          <w:rFonts w:ascii="Times New Roman" w:hAnsi="Times New Roman" w:cs="Times New Roman"/>
          <w:sz w:val="14"/>
          <w:szCs w:val="14"/>
        </w:rPr>
      </w:pPr>
      <w:r w:rsidRPr="004A2AEE">
        <w:rPr>
          <w:rFonts w:ascii="Times New Roman" w:hAnsi="Times New Roman" w:cs="Times New Roman"/>
          <w:sz w:val="14"/>
          <w:szCs w:val="14"/>
        </w:rPr>
        <w:t>*verejnoprávna ustanovizeň</w:t>
      </w:r>
    </w:p>
    <w:p w:rsidR="00EE1354" w:rsidRDefault="00EE1354" w:rsidP="003A497B">
      <w:pPr>
        <w:autoSpaceDE w:val="0"/>
        <w:autoSpaceDN w:val="0"/>
        <w:adjustRightInd w:val="0"/>
        <w:jc w:val="both"/>
        <w:rPr>
          <w:rFonts w:ascii="Times New Roman" w:hAnsi="Times New Roman" w:cs="Times New Roman"/>
          <w:b/>
          <w:bCs/>
        </w:rPr>
      </w:pPr>
    </w:p>
    <w:p w:rsidR="00EE1354" w:rsidRDefault="00EE1354" w:rsidP="003A497B">
      <w:pPr>
        <w:autoSpaceDE w:val="0"/>
        <w:autoSpaceDN w:val="0"/>
        <w:adjustRightInd w:val="0"/>
        <w:jc w:val="both"/>
        <w:rPr>
          <w:rFonts w:ascii="Times New Roman" w:hAnsi="Times New Roman" w:cs="Times New Roman"/>
          <w:b/>
          <w:bCs/>
        </w:rPr>
      </w:pPr>
    </w:p>
    <w:p w:rsidR="00EE1354" w:rsidRDefault="00EE1354" w:rsidP="003A497B">
      <w:pPr>
        <w:autoSpaceDE w:val="0"/>
        <w:autoSpaceDN w:val="0"/>
        <w:adjustRightInd w:val="0"/>
        <w:jc w:val="both"/>
        <w:rPr>
          <w:rFonts w:ascii="Times New Roman" w:hAnsi="Times New Roman" w:cs="Times New Roman"/>
          <w:b/>
          <w:bCs/>
        </w:rPr>
      </w:pPr>
    </w:p>
    <w:p w:rsidR="00EE1354" w:rsidRDefault="00EE1354" w:rsidP="003A497B">
      <w:pPr>
        <w:autoSpaceDE w:val="0"/>
        <w:autoSpaceDN w:val="0"/>
        <w:adjustRightInd w:val="0"/>
        <w:jc w:val="both"/>
        <w:rPr>
          <w:rFonts w:ascii="Times New Roman" w:hAnsi="Times New Roman" w:cs="Times New Roman"/>
          <w:b/>
          <w:bCs/>
        </w:rPr>
      </w:pPr>
    </w:p>
    <w:p w:rsidR="00EE1354" w:rsidRDefault="00EE1354" w:rsidP="003A497B">
      <w:pPr>
        <w:autoSpaceDE w:val="0"/>
        <w:autoSpaceDN w:val="0"/>
        <w:adjustRightInd w:val="0"/>
        <w:jc w:val="both"/>
        <w:rPr>
          <w:rFonts w:ascii="Times New Roman" w:hAnsi="Times New Roman" w:cs="Times New Roman"/>
          <w:b/>
          <w:bCs/>
        </w:rPr>
      </w:pPr>
    </w:p>
    <w:p w:rsidR="003A497B" w:rsidRPr="004A2AEE" w:rsidRDefault="003A497B" w:rsidP="003A497B">
      <w:pPr>
        <w:autoSpaceDE w:val="0"/>
        <w:autoSpaceDN w:val="0"/>
        <w:adjustRightInd w:val="0"/>
        <w:jc w:val="both"/>
        <w:rPr>
          <w:rFonts w:ascii="Times New Roman" w:hAnsi="Times New Roman" w:cs="Times New Roman"/>
          <w:b/>
          <w:bCs/>
        </w:rPr>
      </w:pPr>
      <w:r w:rsidRPr="004A2AEE">
        <w:rPr>
          <w:rFonts w:ascii="Times New Roman" w:hAnsi="Times New Roman" w:cs="Times New Roman"/>
          <w:b/>
          <w:bCs/>
        </w:rPr>
        <w:lastRenderedPageBreak/>
        <w:t>Dotačný systém MK SR</w:t>
      </w:r>
    </w:p>
    <w:p w:rsidR="003A497B" w:rsidRPr="004A2AEE" w:rsidRDefault="003A497B" w:rsidP="003A497B">
      <w:pPr>
        <w:autoSpaceDE w:val="0"/>
        <w:autoSpaceDN w:val="0"/>
        <w:adjustRightInd w:val="0"/>
        <w:jc w:val="both"/>
        <w:rPr>
          <w:rFonts w:ascii="Times New Roman" w:hAnsi="Times New Roman" w:cs="Times New Roman"/>
          <w:b/>
          <w:bCs/>
        </w:rPr>
      </w:pPr>
    </w:p>
    <w:tbl>
      <w:tblPr>
        <w:tblW w:w="5000" w:type="pct"/>
        <w:tblCellMar>
          <w:left w:w="70" w:type="dxa"/>
          <w:right w:w="70" w:type="dxa"/>
        </w:tblCellMar>
        <w:tblLook w:val="04A0" w:firstRow="1" w:lastRow="0" w:firstColumn="1" w:lastColumn="0" w:noHBand="0" w:noVBand="1"/>
      </w:tblPr>
      <w:tblGrid>
        <w:gridCol w:w="2786"/>
        <w:gridCol w:w="908"/>
        <w:gridCol w:w="892"/>
        <w:gridCol w:w="908"/>
        <w:gridCol w:w="892"/>
        <w:gridCol w:w="892"/>
        <w:gridCol w:w="892"/>
        <w:gridCol w:w="892"/>
      </w:tblGrid>
      <w:tr w:rsidR="003A497B" w:rsidRPr="004A2AEE" w:rsidTr="003E1809">
        <w:trPr>
          <w:trHeight w:val="255"/>
        </w:trPr>
        <w:tc>
          <w:tcPr>
            <w:tcW w:w="153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v eurách</w:t>
            </w:r>
          </w:p>
        </w:tc>
        <w:tc>
          <w:tcPr>
            <w:tcW w:w="50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2016 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2017 S</w:t>
            </w:r>
          </w:p>
        </w:tc>
        <w:tc>
          <w:tcPr>
            <w:tcW w:w="50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R</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OS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2019 N</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2020 N</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2021 N</w:t>
            </w:r>
          </w:p>
        </w:tc>
      </w:tr>
      <w:tr w:rsidR="003A497B" w:rsidRPr="004A2AEE" w:rsidTr="00C473D8">
        <w:trPr>
          <w:trHeight w:val="255"/>
        </w:trPr>
        <w:tc>
          <w:tcPr>
            <w:tcW w:w="1537"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Dotačný systém</w:t>
            </w:r>
          </w:p>
        </w:tc>
        <w:tc>
          <w:tcPr>
            <w:tcW w:w="501"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9 105 292</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11 152 563</w:t>
            </w:r>
          </w:p>
        </w:tc>
        <w:tc>
          <w:tcPr>
            <w:tcW w:w="501"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15 996 097</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19 776 647</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15 996 097</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15 996 097</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15 996 097</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Obnovme si svoj dom</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6 586 360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8 179 854</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12 016 097</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15 796 647</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12 016 097</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12 016 097</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12 016 097</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Podpora návštevnosti kultúrnych podujatí</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2 141 157</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2 073 406</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3 000 000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3 000 000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3 000 000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3 000 000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3 000 000</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Kultúra znevýhodnených skupín</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377 775</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899 303</w:t>
            </w:r>
          </w:p>
        </w:tc>
        <w:tc>
          <w:tcPr>
            <w:tcW w:w="501"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980 000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980 000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980 000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980 000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980 000</w:t>
            </w:r>
          </w:p>
        </w:tc>
      </w:tr>
    </w:tbl>
    <w:p w:rsidR="003A497B" w:rsidRPr="004A2AEE" w:rsidRDefault="003A497B" w:rsidP="003A497B">
      <w:pPr>
        <w:jc w:val="both"/>
        <w:rPr>
          <w:rFonts w:ascii="Times New Roman" w:hAnsi="Times New Roman" w:cs="Times New Roman"/>
          <w:color w:val="FF0000"/>
        </w:rPr>
      </w:pPr>
    </w:p>
    <w:p w:rsidR="003A497B" w:rsidRPr="004A2AEE" w:rsidRDefault="003A497B" w:rsidP="003A497B">
      <w:pPr>
        <w:ind w:firstLine="708"/>
        <w:jc w:val="both"/>
        <w:rPr>
          <w:rFonts w:ascii="Times New Roman" w:hAnsi="Times New Roman" w:cs="Times New Roman"/>
          <w:color w:val="FF0000"/>
        </w:rPr>
      </w:pPr>
      <w:r w:rsidRPr="004A2AEE">
        <w:rPr>
          <w:rFonts w:ascii="Times New Roman" w:hAnsi="Times New Roman" w:cs="Times New Roman"/>
        </w:rPr>
        <w:t xml:space="preserve">Výdavky v rámci dotačného systému sú rozpočtované na program Obnovme si svoj dom určený na obnovu národných kultúrnych pamiatok, program na podporu návštevnosti kultúrnych podujatí žiakmi základných a stredných škôl prostredníctvom kultúrnych poukazov a program  na podporu kultúrnych aktivít znevýhodnených skupín obyvateľstva. V roku 2019 sú výdavky na dotačný systém rozpočtované vo výške 16,0 mil. eur a zachovávajú úroveň schváleného rozpočtu roku 2018. </w:t>
      </w:r>
    </w:p>
    <w:p w:rsidR="003A497B" w:rsidRPr="004A2AEE" w:rsidRDefault="003A497B" w:rsidP="003A497B">
      <w:pPr>
        <w:jc w:val="both"/>
        <w:rPr>
          <w:rFonts w:ascii="Times New Roman" w:hAnsi="Times New Roman" w:cs="Times New Roman"/>
          <w:color w:val="FF0000"/>
        </w:rPr>
      </w:pPr>
    </w:p>
    <w:p w:rsidR="003A497B" w:rsidRPr="004A2AEE" w:rsidRDefault="003A497B" w:rsidP="003A497B">
      <w:pPr>
        <w:autoSpaceDE w:val="0"/>
        <w:autoSpaceDN w:val="0"/>
        <w:adjustRightInd w:val="0"/>
        <w:jc w:val="both"/>
        <w:rPr>
          <w:rFonts w:ascii="Times New Roman" w:hAnsi="Times New Roman" w:cs="Times New Roman"/>
          <w:b/>
          <w:bCs/>
        </w:rPr>
      </w:pPr>
      <w:r w:rsidRPr="004A2AEE">
        <w:rPr>
          <w:rFonts w:ascii="Times New Roman" w:hAnsi="Times New Roman" w:cs="Times New Roman"/>
          <w:b/>
          <w:bCs/>
        </w:rPr>
        <w:t>Transfery pre verejnoprávne inštitúcie (RTVS, AVF, TASR, FPU, FPKNM)</w:t>
      </w:r>
    </w:p>
    <w:p w:rsidR="003A497B" w:rsidRPr="004A2AEE" w:rsidRDefault="003A497B" w:rsidP="003A497B">
      <w:pPr>
        <w:autoSpaceDE w:val="0"/>
        <w:autoSpaceDN w:val="0"/>
        <w:adjustRightInd w:val="0"/>
        <w:jc w:val="both"/>
        <w:rPr>
          <w:rFonts w:ascii="Times New Roman" w:hAnsi="Times New Roman" w:cs="Times New Roman"/>
          <w:b/>
          <w:bCs/>
        </w:rPr>
      </w:pPr>
    </w:p>
    <w:tbl>
      <w:tblPr>
        <w:tblW w:w="5000" w:type="pct"/>
        <w:tblCellMar>
          <w:left w:w="70" w:type="dxa"/>
          <w:right w:w="70" w:type="dxa"/>
        </w:tblCellMar>
        <w:tblLook w:val="04A0" w:firstRow="1" w:lastRow="0" w:firstColumn="1" w:lastColumn="0" w:noHBand="0" w:noVBand="1"/>
      </w:tblPr>
      <w:tblGrid>
        <w:gridCol w:w="2786"/>
        <w:gridCol w:w="908"/>
        <w:gridCol w:w="892"/>
        <w:gridCol w:w="908"/>
        <w:gridCol w:w="892"/>
        <w:gridCol w:w="892"/>
        <w:gridCol w:w="892"/>
        <w:gridCol w:w="892"/>
      </w:tblGrid>
      <w:tr w:rsidR="003A497B" w:rsidRPr="004A2AEE" w:rsidTr="003E1809">
        <w:trPr>
          <w:trHeight w:val="255"/>
        </w:trPr>
        <w:tc>
          <w:tcPr>
            <w:tcW w:w="153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v eurách</w:t>
            </w:r>
          </w:p>
        </w:tc>
        <w:tc>
          <w:tcPr>
            <w:tcW w:w="50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2016 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2017 S</w:t>
            </w:r>
          </w:p>
        </w:tc>
        <w:tc>
          <w:tcPr>
            <w:tcW w:w="50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R</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OS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2019 N</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2020 N</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2021 N</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 xml:space="preserve">Transfery </w:t>
            </w:r>
          </w:p>
        </w:tc>
        <w:tc>
          <w:tcPr>
            <w:tcW w:w="501"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49 600 559</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51 837 402</w:t>
            </w:r>
          </w:p>
        </w:tc>
        <w:tc>
          <w:tcPr>
            <w:tcW w:w="501"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62 979 387</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72 262 747</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62 200 000</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62 200 000</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62 200 000</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Transfer pre RTVS</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27 287 960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28 669 110</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26 000 000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35 129 360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26 000 000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26 000 000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26 000 000</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Transfer pre AVF</w:t>
            </w:r>
          </w:p>
        </w:tc>
        <w:tc>
          <w:tcPr>
            <w:tcW w:w="501"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4 912 599</w:t>
            </w:r>
          </w:p>
        </w:tc>
        <w:tc>
          <w:tcPr>
            <w:tcW w:w="492"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5 468 292</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6 779 387</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6 779 387</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6 000 000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6 000 000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6 000 000</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Transfer pre TASR</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2 400 000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2 500 000</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2 200 000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2 354 000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2 200 000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2 200 000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2 200 000</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Transfer pre Fond na podporu umenia</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15 000 000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15 000 000</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20 000 000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20 000 000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20 000 000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20 000 000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20 000 000</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Transfer pre Fond na podporu kultúry národnostných menšín</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200 000</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8 000 000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8 000 000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8 000 000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8 000 000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8 000 000</w:t>
            </w:r>
          </w:p>
        </w:tc>
      </w:tr>
    </w:tbl>
    <w:p w:rsidR="003A497B" w:rsidRPr="004A2AEE" w:rsidRDefault="003A497B" w:rsidP="003A497B">
      <w:pPr>
        <w:jc w:val="both"/>
        <w:rPr>
          <w:rFonts w:ascii="Times New Roman" w:hAnsi="Times New Roman" w:cs="Times New Roman"/>
          <w:color w:val="FF0000"/>
          <w:sz w:val="20"/>
          <w:szCs w:val="20"/>
          <w:lang w:eastAsia="sk-SK"/>
        </w:rPr>
      </w:pPr>
    </w:p>
    <w:p w:rsidR="003A497B" w:rsidRPr="004A2AEE" w:rsidRDefault="003A497B" w:rsidP="003A497B">
      <w:pPr>
        <w:ind w:firstLine="708"/>
        <w:jc w:val="both"/>
        <w:rPr>
          <w:rFonts w:ascii="Times New Roman" w:hAnsi="Times New Roman" w:cs="Times New Roman"/>
        </w:rPr>
      </w:pPr>
      <w:r w:rsidRPr="004A2AEE">
        <w:rPr>
          <w:rFonts w:ascii="Times New Roman" w:hAnsi="Times New Roman" w:cs="Times New Roman"/>
        </w:rPr>
        <w:t xml:space="preserve">Transfery pre vyššie uvedené verejnoprávne inštitúcie sa poskytujú na základe zmluvy medzi Ministerstvom kultúry SR a dotknutou inštitúciou, ktorá upravuje mechanizmus poskytovania finančných prostriedkov a špecifikuje účel ich použitia v danom rozpočtovom roku. </w:t>
      </w:r>
    </w:p>
    <w:p w:rsidR="003A497B" w:rsidRPr="004A2AEE" w:rsidRDefault="003A497B" w:rsidP="003A497B">
      <w:pPr>
        <w:ind w:firstLine="708"/>
        <w:jc w:val="both"/>
        <w:rPr>
          <w:rFonts w:ascii="Times New Roman" w:hAnsi="Times New Roman" w:cs="Times New Roman"/>
          <w:iCs/>
        </w:rPr>
      </w:pPr>
    </w:p>
    <w:p w:rsidR="003A497B" w:rsidRPr="004A2AEE" w:rsidRDefault="003A497B" w:rsidP="003A497B">
      <w:pPr>
        <w:ind w:firstLine="708"/>
        <w:jc w:val="both"/>
        <w:rPr>
          <w:rFonts w:ascii="Times New Roman" w:hAnsi="Times New Roman" w:cs="Times New Roman"/>
          <w:iCs/>
        </w:rPr>
      </w:pPr>
      <w:r w:rsidRPr="004A2AEE">
        <w:rPr>
          <w:rFonts w:ascii="Times New Roman" w:hAnsi="Times New Roman" w:cs="Times New Roman"/>
          <w:iCs/>
        </w:rPr>
        <w:t xml:space="preserve">Celkový rozpočtovaný objem transferov pre verejnoprávne inštitúcie v sume </w:t>
      </w:r>
      <w:r w:rsidRPr="004A2AEE">
        <w:rPr>
          <w:rFonts w:ascii="Times New Roman" w:hAnsi="Times New Roman" w:cs="Times New Roman"/>
          <w:iCs/>
        </w:rPr>
        <w:br/>
        <w:t>62,2 mil. eur predstavuje oproti schválenému rozpočtu roku 2018 zníženie o 779 tis. eur, t. j. o 1,24 %. Transfery pre RTVS, TASR, FPU a FPKNM zachovávajú rozpočtovanú úroveň roku 2018, k zníženiu dochádza u AVF.</w:t>
      </w:r>
    </w:p>
    <w:p w:rsidR="003A497B" w:rsidRPr="004A2AEE" w:rsidRDefault="003A497B" w:rsidP="003A497B">
      <w:pPr>
        <w:jc w:val="both"/>
        <w:rPr>
          <w:rFonts w:ascii="Times New Roman" w:hAnsi="Times New Roman" w:cs="Times New Roman"/>
          <w:b/>
        </w:rPr>
      </w:pPr>
    </w:p>
    <w:p w:rsidR="003A497B" w:rsidRPr="004A2AEE" w:rsidRDefault="003A497B" w:rsidP="003A497B">
      <w:pPr>
        <w:jc w:val="both"/>
        <w:rPr>
          <w:rFonts w:ascii="Times New Roman" w:hAnsi="Times New Roman" w:cs="Times New Roman"/>
          <w:b/>
        </w:rPr>
      </w:pPr>
      <w:r w:rsidRPr="004A2AEE">
        <w:rPr>
          <w:rFonts w:ascii="Times New Roman" w:hAnsi="Times New Roman" w:cs="Times New Roman"/>
          <w:b/>
        </w:rPr>
        <w:t>Strategické zámery kapitoly</w:t>
      </w:r>
    </w:p>
    <w:p w:rsidR="003A497B" w:rsidRPr="004A2AEE" w:rsidRDefault="003A497B" w:rsidP="003A497B">
      <w:pPr>
        <w:jc w:val="both"/>
        <w:rPr>
          <w:rFonts w:ascii="Times New Roman" w:hAnsi="Times New Roman" w:cs="Times New Roman"/>
          <w:b/>
        </w:rPr>
      </w:pPr>
    </w:p>
    <w:tbl>
      <w:tblPr>
        <w:tblW w:w="5000" w:type="pct"/>
        <w:tblCellMar>
          <w:left w:w="70" w:type="dxa"/>
          <w:right w:w="70" w:type="dxa"/>
        </w:tblCellMar>
        <w:tblLook w:val="04A0" w:firstRow="1" w:lastRow="0" w:firstColumn="1" w:lastColumn="0" w:noHBand="0" w:noVBand="1"/>
      </w:tblPr>
      <w:tblGrid>
        <w:gridCol w:w="3292"/>
        <w:gridCol w:w="837"/>
        <w:gridCol w:w="820"/>
        <w:gridCol w:w="837"/>
        <w:gridCol w:w="819"/>
        <w:gridCol w:w="819"/>
        <w:gridCol w:w="819"/>
        <w:gridCol w:w="819"/>
      </w:tblGrid>
      <w:tr w:rsidR="003A497B" w:rsidRPr="004A2AEE" w:rsidTr="003E1809">
        <w:trPr>
          <w:trHeight w:val="255"/>
        </w:trPr>
        <w:tc>
          <w:tcPr>
            <w:tcW w:w="1815"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v eurách</w:t>
            </w:r>
          </w:p>
        </w:tc>
        <w:tc>
          <w:tcPr>
            <w:tcW w:w="46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2016 S</w:t>
            </w:r>
          </w:p>
        </w:tc>
        <w:tc>
          <w:tcPr>
            <w:tcW w:w="45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2017 S</w:t>
            </w:r>
          </w:p>
        </w:tc>
        <w:tc>
          <w:tcPr>
            <w:tcW w:w="46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R</w:t>
            </w:r>
          </w:p>
        </w:tc>
        <w:tc>
          <w:tcPr>
            <w:tcW w:w="45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OS</w:t>
            </w:r>
          </w:p>
        </w:tc>
        <w:tc>
          <w:tcPr>
            <w:tcW w:w="45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2019 N</w:t>
            </w:r>
          </w:p>
        </w:tc>
        <w:tc>
          <w:tcPr>
            <w:tcW w:w="45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2020 N</w:t>
            </w:r>
          </w:p>
        </w:tc>
        <w:tc>
          <w:tcPr>
            <w:tcW w:w="45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2021 N</w:t>
            </w:r>
          </w:p>
        </w:tc>
      </w:tr>
      <w:tr w:rsidR="003A497B" w:rsidRPr="004A2AEE" w:rsidTr="003E1809">
        <w:trPr>
          <w:trHeight w:val="255"/>
        </w:trPr>
        <w:tc>
          <w:tcPr>
            <w:tcW w:w="1815"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Strategické zámery kapitoly</w:t>
            </w:r>
          </w:p>
        </w:tc>
        <w:tc>
          <w:tcPr>
            <w:tcW w:w="461"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5 123 735</w:t>
            </w:r>
          </w:p>
        </w:tc>
        <w:tc>
          <w:tcPr>
            <w:tcW w:w="45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2 710 443</w:t>
            </w:r>
          </w:p>
        </w:tc>
        <w:tc>
          <w:tcPr>
            <w:tcW w:w="461"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2 819 992</w:t>
            </w:r>
          </w:p>
        </w:tc>
        <w:tc>
          <w:tcPr>
            <w:tcW w:w="45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3 680 742</w:t>
            </w:r>
          </w:p>
        </w:tc>
        <w:tc>
          <w:tcPr>
            <w:tcW w:w="45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4 998 542</w:t>
            </w:r>
          </w:p>
        </w:tc>
        <w:tc>
          <w:tcPr>
            <w:tcW w:w="45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4 998 542</w:t>
            </w:r>
          </w:p>
        </w:tc>
        <w:tc>
          <w:tcPr>
            <w:tcW w:w="45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4 998 542</w:t>
            </w:r>
          </w:p>
        </w:tc>
      </w:tr>
      <w:tr w:rsidR="003A497B" w:rsidRPr="004A2AEE" w:rsidTr="003E1809">
        <w:trPr>
          <w:trHeight w:val="255"/>
        </w:trPr>
        <w:tc>
          <w:tcPr>
            <w:tcW w:w="1815"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jc w:val="both"/>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Systematická obnova audiovizuálneho dedičstva</w:t>
            </w:r>
          </w:p>
        </w:tc>
        <w:tc>
          <w:tcPr>
            <w:tcW w:w="46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1 498 241</w:t>
            </w:r>
          </w:p>
        </w:tc>
        <w:tc>
          <w:tcPr>
            <w:tcW w:w="45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1 515 739</w:t>
            </w:r>
          </w:p>
        </w:tc>
        <w:tc>
          <w:tcPr>
            <w:tcW w:w="46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1 519 992</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1 524 742</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1 528 542</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1 528 542</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1 528 542</w:t>
            </w:r>
          </w:p>
        </w:tc>
      </w:tr>
      <w:tr w:rsidR="003A497B" w:rsidRPr="004A2AEE" w:rsidTr="003E1809">
        <w:trPr>
          <w:trHeight w:val="255"/>
        </w:trPr>
        <w:tc>
          <w:tcPr>
            <w:tcW w:w="1815"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Projekt informatizácie kultúry</w:t>
            </w:r>
          </w:p>
        </w:tc>
        <w:tc>
          <w:tcPr>
            <w:tcW w:w="46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1 467 620</w:t>
            </w:r>
          </w:p>
        </w:tc>
        <w:tc>
          <w:tcPr>
            <w:tcW w:w="45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156 500</w:t>
            </w:r>
          </w:p>
        </w:tc>
        <w:tc>
          <w:tcPr>
            <w:tcW w:w="46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95 000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r>
      <w:tr w:rsidR="003A497B" w:rsidRPr="004A2AEE" w:rsidTr="003E1809">
        <w:trPr>
          <w:trHeight w:val="255"/>
        </w:trPr>
        <w:tc>
          <w:tcPr>
            <w:tcW w:w="1815"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Stratégia nákupu slovacík múzejnej a galerijnej hodnoty</w:t>
            </w:r>
          </w:p>
        </w:tc>
        <w:tc>
          <w:tcPr>
            <w:tcW w:w="46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90 000</w:t>
            </w:r>
          </w:p>
        </w:tc>
        <w:tc>
          <w:tcPr>
            <w:tcW w:w="45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135 697</w:t>
            </w:r>
          </w:p>
        </w:tc>
        <w:tc>
          <w:tcPr>
            <w:tcW w:w="46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100 000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30 000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70 000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70 000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70 000</w:t>
            </w:r>
          </w:p>
        </w:tc>
      </w:tr>
      <w:tr w:rsidR="003A497B" w:rsidRPr="004A2AEE" w:rsidTr="003E1809">
        <w:trPr>
          <w:trHeight w:val="255"/>
        </w:trPr>
        <w:tc>
          <w:tcPr>
            <w:tcW w:w="1815"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Stratégia rozvoja slovenského knihovníctva</w:t>
            </w:r>
          </w:p>
        </w:tc>
        <w:tc>
          <w:tcPr>
            <w:tcW w:w="46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101 995</w:t>
            </w:r>
          </w:p>
        </w:tc>
        <w:tc>
          <w:tcPr>
            <w:tcW w:w="45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71 007</w:t>
            </w:r>
          </w:p>
        </w:tc>
        <w:tc>
          <w:tcPr>
            <w:tcW w:w="46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300 000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115 000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150 000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150 000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150 000</w:t>
            </w:r>
          </w:p>
        </w:tc>
      </w:tr>
      <w:tr w:rsidR="003A497B" w:rsidRPr="004A2AEE" w:rsidTr="003E1809">
        <w:trPr>
          <w:trHeight w:val="255"/>
        </w:trPr>
        <w:tc>
          <w:tcPr>
            <w:tcW w:w="1815"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Projekt akvizície zbierkových predmetov</w:t>
            </w:r>
          </w:p>
        </w:tc>
        <w:tc>
          <w:tcPr>
            <w:tcW w:w="46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339 119</w:t>
            </w:r>
          </w:p>
        </w:tc>
        <w:tc>
          <w:tcPr>
            <w:tcW w:w="45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197 500</w:t>
            </w:r>
          </w:p>
        </w:tc>
        <w:tc>
          <w:tcPr>
            <w:tcW w:w="46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300 000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240 000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300 000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300 000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300 000</w:t>
            </w:r>
          </w:p>
        </w:tc>
      </w:tr>
      <w:tr w:rsidR="003A497B" w:rsidRPr="004A2AEE" w:rsidTr="003E1809">
        <w:trPr>
          <w:trHeight w:val="255"/>
        </w:trPr>
        <w:tc>
          <w:tcPr>
            <w:tcW w:w="1815"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Stratégia rozvoja múzeí a galérií v SR</w:t>
            </w:r>
          </w:p>
        </w:tc>
        <w:tc>
          <w:tcPr>
            <w:tcW w:w="46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497 222</w:t>
            </w:r>
          </w:p>
        </w:tc>
        <w:tc>
          <w:tcPr>
            <w:tcW w:w="45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279 000</w:t>
            </w:r>
          </w:p>
        </w:tc>
        <w:tc>
          <w:tcPr>
            <w:tcW w:w="46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500 000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1 006 000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750 000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750 000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750 000</w:t>
            </w:r>
          </w:p>
        </w:tc>
      </w:tr>
      <w:tr w:rsidR="003A497B" w:rsidRPr="004A2AEE" w:rsidTr="003E1809">
        <w:trPr>
          <w:trHeight w:val="255"/>
        </w:trPr>
        <w:tc>
          <w:tcPr>
            <w:tcW w:w="1815"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Obnova nástrojového vybavenia a krojových súčiastok</w:t>
            </w:r>
          </w:p>
        </w:tc>
        <w:tc>
          <w:tcPr>
            <w:tcW w:w="46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1 129 538</w:t>
            </w:r>
          </w:p>
        </w:tc>
        <w:tc>
          <w:tcPr>
            <w:tcW w:w="45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355 000</w:t>
            </w:r>
          </w:p>
        </w:tc>
        <w:tc>
          <w:tcPr>
            <w:tcW w:w="46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100 000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670 000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2 200 000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2 200 000</w:t>
            </w:r>
          </w:p>
        </w:tc>
        <w:tc>
          <w:tcPr>
            <w:tcW w:w="45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2 200 000</w:t>
            </w:r>
          </w:p>
        </w:tc>
      </w:tr>
    </w:tbl>
    <w:p w:rsidR="003A497B" w:rsidRPr="004A2AEE" w:rsidRDefault="003A497B" w:rsidP="003A497B">
      <w:pPr>
        <w:jc w:val="both"/>
        <w:rPr>
          <w:rFonts w:ascii="Times New Roman" w:hAnsi="Times New Roman" w:cs="Times New Roman"/>
          <w:color w:val="FF0000"/>
          <w:sz w:val="20"/>
          <w:szCs w:val="20"/>
          <w:lang w:eastAsia="sk-SK"/>
        </w:rPr>
      </w:pPr>
    </w:p>
    <w:p w:rsidR="003A497B" w:rsidRPr="004A2AEE" w:rsidRDefault="003A497B" w:rsidP="003A497B">
      <w:pPr>
        <w:ind w:firstLine="708"/>
        <w:jc w:val="both"/>
        <w:rPr>
          <w:rFonts w:ascii="Times New Roman" w:hAnsi="Times New Roman" w:cs="Times New Roman"/>
        </w:rPr>
      </w:pPr>
      <w:r w:rsidRPr="004A2AEE">
        <w:rPr>
          <w:rFonts w:ascii="Times New Roman" w:hAnsi="Times New Roman" w:cs="Times New Roman"/>
        </w:rPr>
        <w:t xml:space="preserve">V rámci strategických zámerov kapitoly sa rozpočtujú zdroje na financovanie projektov a stratégií schválených vládou SR, ich disponibilný objem na rok 2019 je 5,00 mil. eur, čo predstavuje oproti schválenému rozpočtu roku 2018 nárast o 2,18 mil. eur, t. j. o 77,3 %. Zvýšenie prostriedkov kapitola zaznamenáva najmä v oblasti obnovy nástrojového vybavenia a krojových súčiastok pre príspevkové organizácie programovo zamerané na divadelné a </w:t>
      </w:r>
      <w:r w:rsidRPr="004A2AEE">
        <w:rPr>
          <w:rFonts w:ascii="Times New Roman" w:hAnsi="Times New Roman" w:cs="Times New Roman"/>
        </w:rPr>
        <w:lastRenderedPageBreak/>
        <w:t>koncertné činnosti a umelecké koncerty z dôvodu ich morálneho a fyzického opotrebovania a taktiež neefektívnosti a nehospodárnosti vynakladaných finančných prostriedkov pri ich opakovanej oprave a obnove.</w:t>
      </w:r>
    </w:p>
    <w:p w:rsidR="003A497B" w:rsidRPr="004A2AEE" w:rsidRDefault="003A497B" w:rsidP="003A497B">
      <w:pPr>
        <w:jc w:val="both"/>
        <w:rPr>
          <w:rFonts w:ascii="Times New Roman" w:hAnsi="Times New Roman" w:cs="Times New Roman"/>
          <w:color w:val="FF0000"/>
        </w:rPr>
      </w:pPr>
    </w:p>
    <w:p w:rsidR="003A497B" w:rsidRPr="004A2AEE" w:rsidRDefault="003A497B" w:rsidP="003A497B">
      <w:pPr>
        <w:ind w:firstLine="708"/>
        <w:jc w:val="both"/>
        <w:rPr>
          <w:rFonts w:ascii="Times New Roman" w:hAnsi="Times New Roman" w:cs="Times New Roman"/>
          <w:color w:val="FF0000"/>
        </w:rPr>
      </w:pPr>
      <w:r w:rsidRPr="004A2AEE">
        <w:rPr>
          <w:rFonts w:ascii="Times New Roman" w:hAnsi="Times New Roman" w:cs="Times New Roman"/>
        </w:rPr>
        <w:t xml:space="preserve">Na financovanie obnovy audiovizuálneho dedičstva sú alokované zdroje pre Slovenský filmový ústav vo výške 1,53 mil. eur. Prostriedky sú určené na obnovu kinematografických a audiovizuálnych diel a ich postupné sprístupňovanie verejnosti. </w:t>
      </w:r>
    </w:p>
    <w:p w:rsidR="003A497B" w:rsidRPr="004A2AEE" w:rsidRDefault="003A497B" w:rsidP="003A497B">
      <w:pPr>
        <w:jc w:val="both"/>
        <w:rPr>
          <w:rFonts w:ascii="Times New Roman" w:hAnsi="Times New Roman" w:cs="Times New Roman"/>
          <w:b/>
        </w:rPr>
      </w:pPr>
    </w:p>
    <w:p w:rsidR="003A497B" w:rsidRPr="004A2AEE" w:rsidRDefault="003A497B" w:rsidP="003A497B">
      <w:pPr>
        <w:jc w:val="both"/>
        <w:rPr>
          <w:rFonts w:ascii="Times New Roman" w:hAnsi="Times New Roman" w:cs="Times New Roman"/>
          <w:b/>
        </w:rPr>
      </w:pPr>
      <w:r w:rsidRPr="004A2AEE">
        <w:rPr>
          <w:rFonts w:ascii="Times New Roman" w:hAnsi="Times New Roman" w:cs="Times New Roman"/>
          <w:b/>
        </w:rPr>
        <w:t>Cirkvi a náboženské spoločnosti</w:t>
      </w:r>
    </w:p>
    <w:p w:rsidR="003A497B" w:rsidRPr="004A2AEE" w:rsidRDefault="003A497B" w:rsidP="003A497B">
      <w:pPr>
        <w:jc w:val="both"/>
        <w:rPr>
          <w:rFonts w:ascii="Times New Roman" w:hAnsi="Times New Roman" w:cs="Times New Roman"/>
          <w:b/>
        </w:rPr>
      </w:pPr>
    </w:p>
    <w:tbl>
      <w:tblPr>
        <w:tblW w:w="5000" w:type="pct"/>
        <w:tblCellMar>
          <w:left w:w="70" w:type="dxa"/>
          <w:right w:w="70" w:type="dxa"/>
        </w:tblCellMar>
        <w:tblLook w:val="04A0" w:firstRow="1" w:lastRow="0" w:firstColumn="1" w:lastColumn="0" w:noHBand="0" w:noVBand="1"/>
      </w:tblPr>
      <w:tblGrid>
        <w:gridCol w:w="2786"/>
        <w:gridCol w:w="908"/>
        <w:gridCol w:w="892"/>
        <w:gridCol w:w="908"/>
        <w:gridCol w:w="892"/>
        <w:gridCol w:w="892"/>
        <w:gridCol w:w="892"/>
        <w:gridCol w:w="892"/>
      </w:tblGrid>
      <w:tr w:rsidR="003A497B" w:rsidRPr="004A2AEE" w:rsidTr="003E1809">
        <w:trPr>
          <w:trHeight w:val="255"/>
        </w:trPr>
        <w:tc>
          <w:tcPr>
            <w:tcW w:w="153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v eurách</w:t>
            </w:r>
          </w:p>
        </w:tc>
        <w:tc>
          <w:tcPr>
            <w:tcW w:w="50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2016 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2017 S</w:t>
            </w:r>
          </w:p>
        </w:tc>
        <w:tc>
          <w:tcPr>
            <w:tcW w:w="50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R</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OS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2019 N</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2020 N</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2021 N</w:t>
            </w:r>
          </w:p>
        </w:tc>
      </w:tr>
      <w:tr w:rsidR="003A497B" w:rsidRPr="004A2AEE" w:rsidTr="003E1809">
        <w:trPr>
          <w:trHeight w:val="255"/>
        </w:trPr>
        <w:tc>
          <w:tcPr>
            <w:tcW w:w="1536"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Cirkvi a náboženské spoločnosti</w:t>
            </w:r>
            <w:r w:rsidRPr="004A2AEE">
              <w:rPr>
                <w:rFonts w:ascii="Times New Roman" w:hAnsi="Times New Roman" w:cs="Times New Roman"/>
                <w:color w:val="000000"/>
                <w:sz w:val="14"/>
                <w:szCs w:val="14"/>
                <w:lang w:eastAsia="sk-SK"/>
              </w:rPr>
              <w:t xml:space="preserve"> </w:t>
            </w:r>
          </w:p>
        </w:tc>
        <w:tc>
          <w:tcPr>
            <w:tcW w:w="501"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40 216 154</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43 656 568</w:t>
            </w:r>
          </w:p>
        </w:tc>
        <w:tc>
          <w:tcPr>
            <w:tcW w:w="501"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41 164 265</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42 582 598</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42 582 598</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42 582 598</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42 582 598</w:t>
            </w:r>
          </w:p>
        </w:tc>
      </w:tr>
      <w:tr w:rsidR="003A497B" w:rsidRPr="004A2AEE" w:rsidTr="003E1809">
        <w:trPr>
          <w:trHeight w:val="255"/>
        </w:trPr>
        <w:tc>
          <w:tcPr>
            <w:tcW w:w="1536"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bežné výdavky</w:t>
            </w:r>
          </w:p>
        </w:tc>
        <w:tc>
          <w:tcPr>
            <w:tcW w:w="501"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40 216 154</w:t>
            </w:r>
          </w:p>
        </w:tc>
        <w:tc>
          <w:tcPr>
            <w:tcW w:w="492"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43 656 568</w:t>
            </w:r>
          </w:p>
        </w:tc>
        <w:tc>
          <w:tcPr>
            <w:tcW w:w="501"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41 164 265</w:t>
            </w:r>
          </w:p>
        </w:tc>
        <w:tc>
          <w:tcPr>
            <w:tcW w:w="492"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42 582 598</w:t>
            </w:r>
          </w:p>
        </w:tc>
        <w:tc>
          <w:tcPr>
            <w:tcW w:w="492"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42 582 598</w:t>
            </w:r>
          </w:p>
        </w:tc>
        <w:tc>
          <w:tcPr>
            <w:tcW w:w="492"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42 582 598</w:t>
            </w:r>
          </w:p>
        </w:tc>
        <w:tc>
          <w:tcPr>
            <w:tcW w:w="492"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42 582 598</w:t>
            </w:r>
          </w:p>
        </w:tc>
      </w:tr>
    </w:tbl>
    <w:p w:rsidR="003A497B" w:rsidRPr="004A2AEE" w:rsidRDefault="003A497B" w:rsidP="003A497B">
      <w:pPr>
        <w:jc w:val="both"/>
        <w:rPr>
          <w:rFonts w:ascii="Times New Roman" w:hAnsi="Times New Roman" w:cs="Times New Roman"/>
          <w:color w:val="FF0000"/>
          <w:sz w:val="20"/>
          <w:szCs w:val="20"/>
          <w:lang w:eastAsia="sk-SK"/>
        </w:rPr>
      </w:pPr>
    </w:p>
    <w:p w:rsidR="003A497B" w:rsidRPr="004A2AEE" w:rsidRDefault="003A497B" w:rsidP="003A497B">
      <w:pPr>
        <w:ind w:firstLine="708"/>
        <w:jc w:val="both"/>
        <w:rPr>
          <w:rFonts w:ascii="Times New Roman" w:hAnsi="Times New Roman" w:cs="Times New Roman"/>
        </w:rPr>
      </w:pPr>
      <w:r w:rsidRPr="004A2AEE">
        <w:rPr>
          <w:rFonts w:ascii="Times New Roman" w:hAnsi="Times New Roman" w:cs="Times New Roman"/>
        </w:rPr>
        <w:t xml:space="preserve">Objem prostriedkov rozpočtovaný pre cirkvi a náboženské spoločnosti je na rok 2019 zvýšený o 1,42 mil. eur, t. j. o 3,45 % v súvislosti so zapracovaním valorizácie platov duchovných z roku 2018 do nasledujúcich </w:t>
      </w:r>
      <w:r w:rsidRPr="00DD00BE">
        <w:rPr>
          <w:rFonts w:ascii="Times New Roman" w:hAnsi="Times New Roman" w:cs="Times New Roman"/>
        </w:rPr>
        <w:t>rokov. Zároveň sú na rok 2019 v rozpočte kapitoly Všeobecná pokladničná správa zabezpečené prostriedky na valorizáciu platov duchovných vo výške 3,06 mil. eur.</w:t>
      </w:r>
    </w:p>
    <w:p w:rsidR="003A497B" w:rsidRPr="004A2AEE" w:rsidRDefault="003A497B" w:rsidP="003A497B">
      <w:pPr>
        <w:jc w:val="both"/>
        <w:rPr>
          <w:rFonts w:ascii="Times New Roman" w:hAnsi="Times New Roman" w:cs="Times New Roman"/>
          <w:color w:val="FF0000"/>
        </w:rPr>
      </w:pPr>
    </w:p>
    <w:p w:rsidR="003A497B" w:rsidRPr="004A2AEE" w:rsidRDefault="003A497B" w:rsidP="003A497B">
      <w:pPr>
        <w:ind w:firstLine="708"/>
        <w:jc w:val="both"/>
        <w:rPr>
          <w:rFonts w:ascii="Times New Roman" w:hAnsi="Times New Roman" w:cs="Times New Roman"/>
        </w:rPr>
      </w:pPr>
      <w:r w:rsidRPr="004A2AEE">
        <w:rPr>
          <w:rFonts w:ascii="Times New Roman" w:hAnsi="Times New Roman" w:cs="Times New Roman"/>
        </w:rPr>
        <w:t>Z rozpočtovaných prostriedkov sa financujú platy a poistné duchovných, prevádzka ústredí cirkví a náboženských spoločností a charitných domov (domovy dôchodcov pre kňazov). Výdavky na úhradu nákladov súvisiacich so zameraním vydaných nehnuteľností pre cirkvi a náboženské spoločnosti podľa zákona č. 282/1993 Z. z. o zmiernení niektorých majetkových krívd spôsobených cirkvám a náboženským spoločnostiam sú zahrnuté v administratívnej oblasti kapitoly.</w:t>
      </w:r>
    </w:p>
    <w:p w:rsidR="003A497B" w:rsidRPr="004A2AEE" w:rsidRDefault="003A497B" w:rsidP="003A497B">
      <w:pPr>
        <w:jc w:val="both"/>
        <w:rPr>
          <w:rFonts w:ascii="Times New Roman" w:hAnsi="Times New Roman" w:cs="Times New Roman"/>
          <w:color w:val="FF0000"/>
        </w:rPr>
      </w:pPr>
    </w:p>
    <w:p w:rsidR="003A497B" w:rsidRPr="004A2AEE" w:rsidRDefault="003A497B" w:rsidP="003A497B">
      <w:pPr>
        <w:jc w:val="both"/>
        <w:rPr>
          <w:rFonts w:ascii="Times New Roman" w:hAnsi="Times New Roman" w:cs="Times New Roman"/>
          <w:b/>
        </w:rPr>
      </w:pPr>
      <w:r w:rsidRPr="004A2AEE">
        <w:rPr>
          <w:rFonts w:ascii="Times New Roman" w:hAnsi="Times New Roman" w:cs="Times New Roman"/>
          <w:b/>
        </w:rPr>
        <w:t>Aparát a iné výdavkové tituly</w:t>
      </w:r>
    </w:p>
    <w:p w:rsidR="003A497B" w:rsidRPr="004A2AEE" w:rsidRDefault="003A497B" w:rsidP="003A497B">
      <w:pPr>
        <w:jc w:val="both"/>
        <w:rPr>
          <w:rFonts w:ascii="Times New Roman" w:hAnsi="Times New Roman" w:cs="Times New Roman"/>
          <w:b/>
        </w:rPr>
      </w:pPr>
    </w:p>
    <w:tbl>
      <w:tblPr>
        <w:tblW w:w="5000" w:type="pct"/>
        <w:tblCellMar>
          <w:left w:w="70" w:type="dxa"/>
          <w:right w:w="70" w:type="dxa"/>
        </w:tblCellMar>
        <w:tblLook w:val="04A0" w:firstRow="1" w:lastRow="0" w:firstColumn="1" w:lastColumn="0" w:noHBand="0" w:noVBand="1"/>
      </w:tblPr>
      <w:tblGrid>
        <w:gridCol w:w="2786"/>
        <w:gridCol w:w="908"/>
        <w:gridCol w:w="892"/>
        <w:gridCol w:w="908"/>
        <w:gridCol w:w="892"/>
        <w:gridCol w:w="892"/>
        <w:gridCol w:w="892"/>
        <w:gridCol w:w="892"/>
      </w:tblGrid>
      <w:tr w:rsidR="003A497B" w:rsidRPr="004A2AEE" w:rsidTr="003E1809">
        <w:trPr>
          <w:trHeight w:val="255"/>
        </w:trPr>
        <w:tc>
          <w:tcPr>
            <w:tcW w:w="153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v eurách</w:t>
            </w:r>
          </w:p>
        </w:tc>
        <w:tc>
          <w:tcPr>
            <w:tcW w:w="50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2016 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2017 S</w:t>
            </w:r>
          </w:p>
        </w:tc>
        <w:tc>
          <w:tcPr>
            <w:tcW w:w="50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R</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OS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2019 N</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2020 N</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2021 N</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Aparát a iné výdavkové tituly</w:t>
            </w:r>
          </w:p>
        </w:tc>
        <w:tc>
          <w:tcPr>
            <w:tcW w:w="501"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13 693 113</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9 850 322</w:t>
            </w:r>
          </w:p>
        </w:tc>
        <w:tc>
          <w:tcPr>
            <w:tcW w:w="501"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9 346 014</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10 063 214</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9 882 104</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9 882 104</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9 882 104</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Koncepčná a riadiaca činnosť</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9 596 763</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8 840 938</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9 343 358</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9 968 114</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9 879 448</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9 879 448</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9 879 448</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EHMK</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49 997</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Ostatné výdavky (štrukturálne fondy)</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2 430 847</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1 007 945</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92 444</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 xml:space="preserve">Hospodárska mobilizácia  </w:t>
            </w:r>
          </w:p>
        </w:tc>
        <w:tc>
          <w:tcPr>
            <w:tcW w:w="501"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92" w:type="pct"/>
            <w:tcBorders>
              <w:top w:val="nil"/>
              <w:left w:val="nil"/>
              <w:bottom w:val="single" w:sz="4" w:space="0" w:color="auto"/>
              <w:right w:val="single" w:sz="4" w:space="0" w:color="auto"/>
            </w:tcBorders>
            <w:shd w:val="clear" w:color="auto" w:fill="auto"/>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501"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2 656</w:t>
            </w:r>
          </w:p>
        </w:tc>
        <w:tc>
          <w:tcPr>
            <w:tcW w:w="492"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2 656</w:t>
            </w:r>
          </w:p>
        </w:tc>
        <w:tc>
          <w:tcPr>
            <w:tcW w:w="492"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2 656</w:t>
            </w:r>
          </w:p>
        </w:tc>
        <w:tc>
          <w:tcPr>
            <w:tcW w:w="492"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2 656</w:t>
            </w:r>
          </w:p>
        </w:tc>
        <w:tc>
          <w:tcPr>
            <w:tcW w:w="492" w:type="pct"/>
            <w:tcBorders>
              <w:top w:val="nil"/>
              <w:left w:val="nil"/>
              <w:bottom w:val="single" w:sz="4" w:space="0" w:color="auto"/>
              <w:right w:val="single" w:sz="4" w:space="0" w:color="auto"/>
            </w:tcBorders>
            <w:shd w:val="clear" w:color="000000" w:fill="FFFFFF"/>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2 656</w:t>
            </w:r>
          </w:p>
        </w:tc>
      </w:tr>
      <w:tr w:rsidR="003A497B" w:rsidRPr="004A2AEE" w:rsidTr="003E1809">
        <w:trPr>
          <w:trHeight w:val="255"/>
        </w:trPr>
        <w:tc>
          <w:tcPr>
            <w:tcW w:w="1537" w:type="pct"/>
            <w:tcBorders>
              <w:top w:val="nil"/>
              <w:left w:val="single" w:sz="4" w:space="0" w:color="auto"/>
              <w:bottom w:val="single" w:sz="4" w:space="0" w:color="auto"/>
              <w:right w:val="single" w:sz="4" w:space="0" w:color="auto"/>
            </w:tcBorders>
            <w:shd w:val="clear" w:color="auto" w:fill="auto"/>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SK PRES</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1 615 506</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1 439</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0</w:t>
            </w:r>
          </w:p>
        </w:tc>
      </w:tr>
    </w:tbl>
    <w:p w:rsidR="003A497B" w:rsidRPr="004A2AEE" w:rsidRDefault="003A497B" w:rsidP="003A497B">
      <w:pPr>
        <w:jc w:val="both"/>
        <w:rPr>
          <w:rFonts w:ascii="Times New Roman" w:hAnsi="Times New Roman" w:cs="Times New Roman"/>
          <w:lang w:eastAsia="sk-SK"/>
        </w:rPr>
      </w:pPr>
    </w:p>
    <w:p w:rsidR="003A497B" w:rsidRPr="004A2AEE" w:rsidRDefault="003A497B" w:rsidP="003A497B">
      <w:pPr>
        <w:ind w:firstLine="708"/>
        <w:jc w:val="both"/>
        <w:rPr>
          <w:rFonts w:ascii="Times New Roman" w:hAnsi="Times New Roman" w:cs="Times New Roman"/>
        </w:rPr>
      </w:pPr>
      <w:r w:rsidRPr="004A2AEE">
        <w:rPr>
          <w:rFonts w:ascii="Times New Roman" w:hAnsi="Times New Roman" w:cs="Times New Roman"/>
        </w:rPr>
        <w:t xml:space="preserve">V roku 2019 má kapitola na administratívu k dispozícii 9,88 mil. eur určených na krytie výdavkov na koncepčnú a riadiacu činnosť a hospodársku mobilizáciu. Nárast o 536 tis. eur,    t. j. o 5,74 % je z dôvodu zapracovania valorizácie platov zamestnancov aparátu z roku 2018. </w:t>
      </w:r>
    </w:p>
    <w:p w:rsidR="003A497B" w:rsidRPr="004A2AEE" w:rsidRDefault="003A497B" w:rsidP="003A497B">
      <w:pPr>
        <w:jc w:val="both"/>
        <w:rPr>
          <w:rFonts w:ascii="Times New Roman" w:hAnsi="Times New Roman" w:cs="Times New Roman"/>
          <w:color w:val="FF0000"/>
        </w:rPr>
      </w:pPr>
    </w:p>
    <w:p w:rsidR="003A497B" w:rsidRPr="004A2AEE" w:rsidRDefault="003A497B" w:rsidP="003A497B">
      <w:pPr>
        <w:ind w:firstLine="708"/>
        <w:jc w:val="both"/>
        <w:rPr>
          <w:rFonts w:ascii="Times New Roman" w:hAnsi="Times New Roman" w:cs="Times New Roman"/>
        </w:rPr>
      </w:pPr>
      <w:r w:rsidRPr="004A2AEE">
        <w:rPr>
          <w:rFonts w:ascii="Times New Roman" w:hAnsi="Times New Roman" w:cs="Times New Roman"/>
        </w:rPr>
        <w:t>V rámci koncepčnej a riadiacej činnosti sú okrem výdavkov na mimoriadne kultúrne aktivity alokované výdavky na aparát kapitoly, výdavky určené na úhradu nákladov súvisiacich so zameraním vydaných nehnuteľností pre cirkvi a náboženské spoločnosti a zvyšnú časť tvoria výdavky na vzdelávanie.</w:t>
      </w:r>
    </w:p>
    <w:p w:rsidR="003A497B" w:rsidRPr="004A2AEE" w:rsidRDefault="003A497B" w:rsidP="003A497B">
      <w:pPr>
        <w:jc w:val="both"/>
        <w:rPr>
          <w:rFonts w:ascii="Times New Roman" w:hAnsi="Times New Roman" w:cs="Times New Roman"/>
          <w:color w:val="FF0000"/>
        </w:rPr>
      </w:pPr>
    </w:p>
    <w:p w:rsidR="003A497B" w:rsidRPr="004A2AEE" w:rsidRDefault="003A497B" w:rsidP="003A497B">
      <w:pPr>
        <w:ind w:firstLine="708"/>
        <w:jc w:val="both"/>
        <w:rPr>
          <w:rFonts w:ascii="Times New Roman" w:hAnsi="Times New Roman" w:cs="Times New Roman"/>
        </w:rPr>
      </w:pPr>
      <w:r w:rsidRPr="004A2AEE">
        <w:rPr>
          <w:rFonts w:ascii="Times New Roman" w:hAnsi="Times New Roman" w:cs="Times New Roman"/>
        </w:rPr>
        <w:t>Prostriedky na hospodársku mobilizáciu zachovávajú úroveň schváleného rozpočtu na rok 2018.</w:t>
      </w:r>
    </w:p>
    <w:p w:rsidR="003A497B" w:rsidRDefault="003A497B" w:rsidP="003A497B">
      <w:pPr>
        <w:jc w:val="both"/>
        <w:rPr>
          <w:rFonts w:ascii="Times New Roman" w:hAnsi="Times New Roman" w:cs="Times New Roman"/>
        </w:rPr>
      </w:pPr>
    </w:p>
    <w:p w:rsidR="003A497B" w:rsidRDefault="003A497B" w:rsidP="003A497B">
      <w:pPr>
        <w:jc w:val="both"/>
        <w:rPr>
          <w:rFonts w:ascii="Times New Roman" w:hAnsi="Times New Roman" w:cs="Times New Roman"/>
        </w:rPr>
      </w:pPr>
    </w:p>
    <w:p w:rsidR="003A497B" w:rsidRDefault="003A497B" w:rsidP="003A497B">
      <w:pPr>
        <w:jc w:val="both"/>
        <w:rPr>
          <w:rFonts w:ascii="Times New Roman" w:hAnsi="Times New Roman" w:cs="Times New Roman"/>
        </w:rPr>
      </w:pPr>
    </w:p>
    <w:p w:rsidR="003A497B" w:rsidRPr="004A2AEE" w:rsidRDefault="003A497B" w:rsidP="003A497B">
      <w:pPr>
        <w:jc w:val="both"/>
        <w:rPr>
          <w:rFonts w:ascii="Times New Roman" w:hAnsi="Times New Roman" w:cs="Times New Roman"/>
          <w:b/>
        </w:rPr>
      </w:pPr>
      <w:r w:rsidRPr="004A2AEE">
        <w:rPr>
          <w:rFonts w:ascii="Times New Roman" w:hAnsi="Times New Roman" w:cs="Times New Roman"/>
          <w:b/>
        </w:rPr>
        <w:lastRenderedPageBreak/>
        <w:t>Informačné technológie financované zo štátneho rozpočtu</w:t>
      </w:r>
    </w:p>
    <w:p w:rsidR="003A497B" w:rsidRPr="004A2AEE" w:rsidRDefault="003A497B" w:rsidP="003A497B">
      <w:pPr>
        <w:ind w:firstLine="708"/>
        <w:jc w:val="both"/>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850"/>
        <w:gridCol w:w="898"/>
        <w:gridCol w:w="883"/>
        <w:gridCol w:w="899"/>
        <w:gridCol w:w="883"/>
        <w:gridCol w:w="883"/>
        <w:gridCol w:w="883"/>
        <w:gridCol w:w="883"/>
      </w:tblGrid>
      <w:tr w:rsidR="003A497B" w:rsidRPr="004A2AEE" w:rsidTr="003E1809">
        <w:trPr>
          <w:trHeight w:val="255"/>
        </w:trPr>
        <w:tc>
          <w:tcPr>
            <w:tcW w:w="153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v eurách</w:t>
            </w:r>
          </w:p>
        </w:tc>
        <w:tc>
          <w:tcPr>
            <w:tcW w:w="50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2016 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2017 S</w:t>
            </w:r>
          </w:p>
        </w:tc>
        <w:tc>
          <w:tcPr>
            <w:tcW w:w="50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R</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2018 OS</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2019 N</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2020 N</w:t>
            </w:r>
          </w:p>
        </w:tc>
        <w:tc>
          <w:tcPr>
            <w:tcW w:w="49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4A2AEE" w:rsidRDefault="003A497B" w:rsidP="003E1809">
            <w:pPr>
              <w:jc w:val="cente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2021 N</w:t>
            </w:r>
          </w:p>
        </w:tc>
      </w:tr>
      <w:tr w:rsidR="003A497B" w:rsidRPr="004A2AEE" w:rsidTr="003E1809">
        <w:trPr>
          <w:trHeight w:val="255"/>
        </w:trPr>
        <w:tc>
          <w:tcPr>
            <w:tcW w:w="1536"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4A2AEE" w:rsidRDefault="003A497B" w:rsidP="003E1809">
            <w:pPr>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Informačné technológie financované zo ŠR</w:t>
            </w:r>
          </w:p>
        </w:tc>
        <w:tc>
          <w:tcPr>
            <w:tcW w:w="501"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0</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1 799 667</w:t>
            </w:r>
          </w:p>
        </w:tc>
        <w:tc>
          <w:tcPr>
            <w:tcW w:w="501"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1 800 000</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2 563 721</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1 800 000</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1 800 000</w:t>
            </w:r>
          </w:p>
        </w:tc>
        <w:tc>
          <w:tcPr>
            <w:tcW w:w="492" w:type="pct"/>
            <w:tcBorders>
              <w:top w:val="nil"/>
              <w:left w:val="nil"/>
              <w:bottom w:val="single" w:sz="4" w:space="0" w:color="auto"/>
              <w:right w:val="single" w:sz="4" w:space="0" w:color="auto"/>
            </w:tcBorders>
            <w:shd w:val="clear" w:color="000000" w:fill="BFBFBF"/>
            <w:noWrap/>
            <w:vAlign w:val="bottom"/>
            <w:hideMark/>
          </w:tcPr>
          <w:p w:rsidR="003A497B" w:rsidRPr="004A2AEE" w:rsidRDefault="003A497B" w:rsidP="003E1809">
            <w:pPr>
              <w:jc w:val="right"/>
              <w:rPr>
                <w:rFonts w:ascii="Times New Roman" w:hAnsi="Times New Roman" w:cs="Times New Roman"/>
                <w:b/>
                <w:bCs/>
                <w:color w:val="000000"/>
                <w:sz w:val="14"/>
                <w:szCs w:val="14"/>
                <w:lang w:eastAsia="sk-SK"/>
              </w:rPr>
            </w:pPr>
            <w:r w:rsidRPr="004A2AEE">
              <w:rPr>
                <w:rFonts w:ascii="Times New Roman" w:hAnsi="Times New Roman" w:cs="Times New Roman"/>
                <w:b/>
                <w:bCs/>
                <w:color w:val="000000"/>
                <w:sz w:val="14"/>
                <w:szCs w:val="14"/>
                <w:lang w:eastAsia="sk-SK"/>
              </w:rPr>
              <w:t>1 800 000</w:t>
            </w:r>
          </w:p>
        </w:tc>
      </w:tr>
      <w:tr w:rsidR="003A497B" w:rsidRPr="004A2AEE" w:rsidTr="003E1809">
        <w:trPr>
          <w:trHeight w:val="255"/>
        </w:trPr>
        <w:tc>
          <w:tcPr>
            <w:tcW w:w="1536"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Systémy vnútornej správy</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319 836</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249 000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795 877</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249 000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249 000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249 000</w:t>
            </w:r>
          </w:p>
        </w:tc>
      </w:tr>
      <w:tr w:rsidR="003A497B" w:rsidRPr="004A2AEE" w:rsidTr="003E1809">
        <w:trPr>
          <w:trHeight w:val="255"/>
        </w:trPr>
        <w:tc>
          <w:tcPr>
            <w:tcW w:w="1536"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Špecializované systémy</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201 405</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147 300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147 300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147 300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147 300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147 300</w:t>
            </w:r>
          </w:p>
        </w:tc>
      </w:tr>
      <w:tr w:rsidR="003A497B" w:rsidRPr="004A2AEE" w:rsidTr="003E1809">
        <w:trPr>
          <w:trHeight w:val="255"/>
        </w:trPr>
        <w:tc>
          <w:tcPr>
            <w:tcW w:w="1536"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Podporná infraštruktúra</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1 167 787</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1 252 700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1 469 544</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1 252 700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1 252 700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1 252 700</w:t>
            </w:r>
          </w:p>
        </w:tc>
      </w:tr>
      <w:tr w:rsidR="003A497B" w:rsidRPr="004A2AEE" w:rsidTr="003E1809">
        <w:trPr>
          <w:trHeight w:val="255"/>
        </w:trPr>
        <w:tc>
          <w:tcPr>
            <w:tcW w:w="1536" w:type="pct"/>
            <w:tcBorders>
              <w:top w:val="nil"/>
              <w:left w:val="single" w:sz="4" w:space="0" w:color="auto"/>
              <w:bottom w:val="single" w:sz="4" w:space="0" w:color="auto"/>
              <w:right w:val="single" w:sz="4" w:space="0" w:color="auto"/>
            </w:tcBorders>
            <w:shd w:val="clear" w:color="000000" w:fill="FFFFFF"/>
            <w:noWrap/>
            <w:vAlign w:val="bottom"/>
            <w:hideMark/>
          </w:tcPr>
          <w:p w:rsidR="003A497B" w:rsidRPr="004A2AEE" w:rsidRDefault="003A497B" w:rsidP="003E1809">
            <w:pPr>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Podpora prezentácie kultúrno-osvetovej činnosti</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color w:val="000000"/>
                <w:sz w:val="14"/>
                <w:szCs w:val="14"/>
                <w:lang w:eastAsia="sk-SK"/>
              </w:rPr>
            </w:pPr>
            <w:r w:rsidRPr="004A2AEE">
              <w:rPr>
                <w:rFonts w:ascii="Times New Roman" w:hAnsi="Times New Roman" w:cs="Times New Roman"/>
                <w:color w:val="000000"/>
                <w:sz w:val="14"/>
                <w:szCs w:val="14"/>
                <w:lang w:eastAsia="sk-SK"/>
              </w:rPr>
              <w:t>0</w:t>
            </w:r>
          </w:p>
        </w:tc>
        <w:tc>
          <w:tcPr>
            <w:tcW w:w="492" w:type="pct"/>
            <w:tcBorders>
              <w:top w:val="nil"/>
              <w:left w:val="nil"/>
              <w:bottom w:val="single" w:sz="4" w:space="0" w:color="auto"/>
              <w:right w:val="single" w:sz="4" w:space="0" w:color="auto"/>
            </w:tcBorders>
            <w:shd w:val="clear" w:color="auto" w:fill="auto"/>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110 639</w:t>
            </w:r>
          </w:p>
        </w:tc>
        <w:tc>
          <w:tcPr>
            <w:tcW w:w="501"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151 000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151 000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151 000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151 000</w:t>
            </w:r>
          </w:p>
        </w:tc>
        <w:tc>
          <w:tcPr>
            <w:tcW w:w="492" w:type="pct"/>
            <w:tcBorders>
              <w:top w:val="nil"/>
              <w:left w:val="nil"/>
              <w:bottom w:val="single" w:sz="4" w:space="0" w:color="auto"/>
              <w:right w:val="single" w:sz="4" w:space="0" w:color="auto"/>
            </w:tcBorders>
            <w:shd w:val="clear" w:color="000000" w:fill="FFFFFF"/>
            <w:noWrap/>
            <w:vAlign w:val="bottom"/>
            <w:hideMark/>
          </w:tcPr>
          <w:p w:rsidR="003A497B" w:rsidRPr="004A2AEE" w:rsidRDefault="003A497B" w:rsidP="003E1809">
            <w:pPr>
              <w:jc w:val="right"/>
              <w:rPr>
                <w:rFonts w:ascii="Times New Roman" w:hAnsi="Times New Roman" w:cs="Times New Roman"/>
                <w:sz w:val="14"/>
                <w:szCs w:val="14"/>
                <w:lang w:eastAsia="sk-SK"/>
              </w:rPr>
            </w:pPr>
            <w:r w:rsidRPr="004A2AEE">
              <w:rPr>
                <w:rFonts w:ascii="Times New Roman" w:hAnsi="Times New Roman" w:cs="Times New Roman"/>
                <w:sz w:val="14"/>
                <w:szCs w:val="14"/>
                <w:lang w:eastAsia="sk-SK"/>
              </w:rPr>
              <w:t>151 000</w:t>
            </w:r>
          </w:p>
        </w:tc>
      </w:tr>
    </w:tbl>
    <w:p w:rsidR="003A497B" w:rsidRPr="004A2AEE" w:rsidRDefault="003A497B" w:rsidP="003A497B">
      <w:pPr>
        <w:jc w:val="both"/>
        <w:rPr>
          <w:rFonts w:ascii="Times New Roman" w:hAnsi="Times New Roman" w:cs="Times New Roman"/>
        </w:rPr>
      </w:pPr>
    </w:p>
    <w:p w:rsidR="003A497B" w:rsidRPr="004A2AEE" w:rsidRDefault="003A497B" w:rsidP="003A497B">
      <w:pPr>
        <w:ind w:firstLine="708"/>
        <w:contextualSpacing/>
        <w:jc w:val="both"/>
        <w:rPr>
          <w:rFonts w:ascii="Times New Roman" w:hAnsi="Times New Roman" w:cs="Times New Roman"/>
        </w:rPr>
      </w:pPr>
      <w:r w:rsidRPr="004A2AEE">
        <w:rPr>
          <w:rFonts w:ascii="Times New Roman" w:hAnsi="Times New Roman" w:cs="Times New Roman"/>
        </w:rPr>
        <w:t>Výdavky na Informačné technológie financované zo štátneho rozpočtu sú rozpočtované v sume 1,80 mil. eur, čo kopíruje úroveň schváleného rozpočtu z roku 2018.</w:t>
      </w:r>
    </w:p>
    <w:p w:rsidR="003A497B" w:rsidRPr="00A401D6" w:rsidRDefault="003A497B" w:rsidP="003A497B">
      <w:pPr>
        <w:pStyle w:val="Nadpis5"/>
        <w:pBdr>
          <w:bottom w:val="single" w:sz="4" w:space="1" w:color="auto"/>
        </w:pBdr>
        <w:ind w:left="0"/>
        <w:rPr>
          <w:i w:val="0"/>
          <w:sz w:val="24"/>
          <w:lang w:eastAsia="sk-SK"/>
        </w:rPr>
      </w:pPr>
      <w:bookmarkStart w:id="225" w:name="_Toc400551765"/>
      <w:bookmarkStart w:id="226" w:name="_Toc469491253"/>
      <w:bookmarkStart w:id="227" w:name="_Toc526267703"/>
      <w:r w:rsidRPr="00A401D6">
        <w:rPr>
          <w:i w:val="0"/>
          <w:sz w:val="24"/>
          <w:lang w:eastAsia="sk-SK"/>
        </w:rPr>
        <w:t>Ministerstvo zahraničných vecí a európskych záležitostí SR</w:t>
      </w:r>
      <w:bookmarkEnd w:id="225"/>
      <w:bookmarkEnd w:id="226"/>
      <w:bookmarkEnd w:id="227"/>
    </w:p>
    <w:p w:rsidR="003A497B" w:rsidRDefault="003A497B" w:rsidP="003A497B"/>
    <w:tbl>
      <w:tblPr>
        <w:tblW w:w="5000" w:type="pct"/>
        <w:tblCellMar>
          <w:left w:w="70" w:type="dxa"/>
          <w:right w:w="70" w:type="dxa"/>
        </w:tblCellMar>
        <w:tblLook w:val="04A0" w:firstRow="1" w:lastRow="0" w:firstColumn="1" w:lastColumn="0" w:noHBand="0" w:noVBand="1"/>
      </w:tblPr>
      <w:tblGrid>
        <w:gridCol w:w="2372"/>
        <w:gridCol w:w="956"/>
        <w:gridCol w:w="956"/>
        <w:gridCol w:w="956"/>
        <w:gridCol w:w="955"/>
        <w:gridCol w:w="955"/>
        <w:gridCol w:w="955"/>
        <w:gridCol w:w="957"/>
      </w:tblGrid>
      <w:tr w:rsidR="003A497B" w:rsidRPr="004B7170" w:rsidTr="003E1809">
        <w:trPr>
          <w:trHeight w:val="255"/>
        </w:trPr>
        <w:tc>
          <w:tcPr>
            <w:tcW w:w="130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4B7170" w:rsidRDefault="003A497B" w:rsidP="003E1809">
            <w:pPr>
              <w:rPr>
                <w:rFonts w:ascii="Times New Roman" w:hAnsi="Times New Roman" w:cs="Times New Roman"/>
                <w:b/>
                <w:bCs/>
                <w:color w:val="000000"/>
                <w:sz w:val="14"/>
                <w:szCs w:val="14"/>
                <w:lang w:eastAsia="sk-SK"/>
              </w:rPr>
            </w:pPr>
            <w:r w:rsidRPr="004B7170">
              <w:rPr>
                <w:rFonts w:ascii="Times New Roman" w:hAnsi="Times New Roman" w:cs="Times New Roman"/>
                <w:b/>
                <w:bCs/>
                <w:color w:val="000000"/>
                <w:sz w:val="14"/>
                <w:szCs w:val="14"/>
                <w:lang w:eastAsia="sk-SK"/>
              </w:rPr>
              <w:t>v eurách</w:t>
            </w:r>
          </w:p>
        </w:tc>
        <w:tc>
          <w:tcPr>
            <w:tcW w:w="52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6E5C04" w:rsidRDefault="003A497B" w:rsidP="003E1809">
            <w:pPr>
              <w:jc w:val="center"/>
              <w:rPr>
                <w:rFonts w:ascii="Times New Roman" w:hAnsi="Times New Roman" w:cs="Times New Roman"/>
                <w:b/>
                <w:sz w:val="14"/>
                <w:szCs w:val="14"/>
              </w:rPr>
            </w:pPr>
            <w:r w:rsidRPr="006E5C04">
              <w:rPr>
                <w:rFonts w:ascii="Times New Roman" w:hAnsi="Times New Roman" w:cs="Times New Roman"/>
                <w:b/>
                <w:sz w:val="14"/>
                <w:szCs w:val="14"/>
              </w:rPr>
              <w:t>2016 S</w:t>
            </w:r>
          </w:p>
        </w:tc>
        <w:tc>
          <w:tcPr>
            <w:tcW w:w="52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6E5C04" w:rsidRDefault="003A497B" w:rsidP="003E1809">
            <w:pPr>
              <w:jc w:val="center"/>
              <w:rPr>
                <w:rFonts w:ascii="Times New Roman" w:hAnsi="Times New Roman" w:cs="Times New Roman"/>
                <w:b/>
                <w:sz w:val="14"/>
                <w:szCs w:val="14"/>
              </w:rPr>
            </w:pPr>
            <w:r w:rsidRPr="006E5C04">
              <w:rPr>
                <w:rFonts w:ascii="Times New Roman" w:hAnsi="Times New Roman" w:cs="Times New Roman"/>
                <w:b/>
                <w:sz w:val="14"/>
                <w:szCs w:val="14"/>
              </w:rPr>
              <w:t>2017 S</w:t>
            </w:r>
          </w:p>
        </w:tc>
        <w:tc>
          <w:tcPr>
            <w:tcW w:w="52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6E5C04" w:rsidRDefault="003A497B" w:rsidP="003E1809">
            <w:pPr>
              <w:jc w:val="center"/>
              <w:rPr>
                <w:rFonts w:ascii="Times New Roman" w:hAnsi="Times New Roman" w:cs="Times New Roman"/>
                <w:b/>
                <w:sz w:val="14"/>
                <w:szCs w:val="14"/>
              </w:rPr>
            </w:pPr>
            <w:r w:rsidRPr="006E5C04">
              <w:rPr>
                <w:rFonts w:ascii="Times New Roman" w:hAnsi="Times New Roman" w:cs="Times New Roman"/>
                <w:b/>
                <w:sz w:val="14"/>
                <w:szCs w:val="14"/>
              </w:rPr>
              <w:t>2018 R</w:t>
            </w:r>
          </w:p>
        </w:tc>
        <w:tc>
          <w:tcPr>
            <w:tcW w:w="52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6E5C04" w:rsidRDefault="003A497B" w:rsidP="003E1809">
            <w:pPr>
              <w:jc w:val="center"/>
              <w:rPr>
                <w:rFonts w:ascii="Times New Roman" w:hAnsi="Times New Roman" w:cs="Times New Roman"/>
                <w:b/>
                <w:sz w:val="14"/>
                <w:szCs w:val="14"/>
              </w:rPr>
            </w:pPr>
            <w:r w:rsidRPr="006E5C04">
              <w:rPr>
                <w:rFonts w:ascii="Times New Roman" w:hAnsi="Times New Roman" w:cs="Times New Roman"/>
                <w:b/>
                <w:sz w:val="14"/>
                <w:szCs w:val="14"/>
              </w:rPr>
              <w:t>2018 OS</w:t>
            </w:r>
          </w:p>
        </w:tc>
        <w:tc>
          <w:tcPr>
            <w:tcW w:w="52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6E5C04" w:rsidRDefault="003A497B" w:rsidP="003E1809">
            <w:pPr>
              <w:jc w:val="center"/>
              <w:rPr>
                <w:rFonts w:ascii="Times New Roman" w:hAnsi="Times New Roman" w:cs="Times New Roman"/>
                <w:b/>
                <w:sz w:val="14"/>
                <w:szCs w:val="14"/>
              </w:rPr>
            </w:pPr>
            <w:r w:rsidRPr="006E5C04">
              <w:rPr>
                <w:rFonts w:ascii="Times New Roman" w:hAnsi="Times New Roman" w:cs="Times New Roman"/>
                <w:b/>
                <w:sz w:val="14"/>
                <w:szCs w:val="14"/>
              </w:rPr>
              <w:t>2019 N</w:t>
            </w:r>
          </w:p>
        </w:tc>
        <w:tc>
          <w:tcPr>
            <w:tcW w:w="527"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6E5C04" w:rsidRDefault="003A497B" w:rsidP="003E1809">
            <w:pPr>
              <w:jc w:val="center"/>
              <w:rPr>
                <w:rFonts w:ascii="Times New Roman" w:hAnsi="Times New Roman" w:cs="Times New Roman"/>
                <w:b/>
                <w:sz w:val="14"/>
                <w:szCs w:val="14"/>
              </w:rPr>
            </w:pPr>
            <w:r w:rsidRPr="006E5C04">
              <w:rPr>
                <w:rFonts w:ascii="Times New Roman" w:hAnsi="Times New Roman" w:cs="Times New Roman"/>
                <w:b/>
                <w:sz w:val="14"/>
                <w:szCs w:val="14"/>
              </w:rPr>
              <w:t>2020 N</w:t>
            </w:r>
          </w:p>
        </w:tc>
        <w:tc>
          <w:tcPr>
            <w:tcW w:w="528"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6E5C04" w:rsidRDefault="003A497B" w:rsidP="003E1809">
            <w:pPr>
              <w:jc w:val="center"/>
              <w:rPr>
                <w:rFonts w:ascii="Times New Roman" w:hAnsi="Times New Roman" w:cs="Times New Roman"/>
                <w:b/>
                <w:sz w:val="14"/>
                <w:szCs w:val="14"/>
              </w:rPr>
            </w:pPr>
            <w:r w:rsidRPr="006E5C04">
              <w:rPr>
                <w:rFonts w:ascii="Times New Roman" w:hAnsi="Times New Roman" w:cs="Times New Roman"/>
                <w:b/>
                <w:sz w:val="14"/>
                <w:szCs w:val="14"/>
              </w:rPr>
              <w:t>2021 N</w:t>
            </w:r>
          </w:p>
        </w:tc>
      </w:tr>
      <w:tr w:rsidR="003A497B" w:rsidRPr="004B7170" w:rsidTr="003E1809">
        <w:trPr>
          <w:trHeight w:val="255"/>
        </w:trPr>
        <w:tc>
          <w:tcPr>
            <w:tcW w:w="1307" w:type="pct"/>
            <w:tcBorders>
              <w:top w:val="nil"/>
              <w:left w:val="single" w:sz="4" w:space="0" w:color="auto"/>
              <w:bottom w:val="single" w:sz="4" w:space="0" w:color="auto"/>
              <w:right w:val="single" w:sz="4" w:space="0" w:color="auto"/>
            </w:tcBorders>
            <w:shd w:val="clear" w:color="000000" w:fill="C0C0C0"/>
            <w:noWrap/>
            <w:vAlign w:val="center"/>
            <w:hideMark/>
          </w:tcPr>
          <w:p w:rsidR="003A497B" w:rsidRPr="004B7170" w:rsidRDefault="003A497B" w:rsidP="003E1809">
            <w:pPr>
              <w:rPr>
                <w:rFonts w:ascii="Times New Roman" w:hAnsi="Times New Roman" w:cs="Times New Roman"/>
                <w:b/>
                <w:bCs/>
                <w:color w:val="000000"/>
                <w:sz w:val="14"/>
                <w:szCs w:val="14"/>
                <w:lang w:eastAsia="sk-SK"/>
              </w:rPr>
            </w:pPr>
            <w:r w:rsidRPr="004B7170">
              <w:rPr>
                <w:rFonts w:ascii="Times New Roman" w:hAnsi="Times New Roman" w:cs="Times New Roman"/>
                <w:b/>
                <w:bCs/>
                <w:color w:val="000000"/>
                <w:sz w:val="14"/>
                <w:szCs w:val="14"/>
                <w:lang w:eastAsia="sk-SK"/>
              </w:rPr>
              <w:t>Zdroje príslušnej kapitoly</w:t>
            </w:r>
          </w:p>
        </w:tc>
        <w:tc>
          <w:tcPr>
            <w:tcW w:w="527"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6E5C04" w:rsidRDefault="003A497B" w:rsidP="003E1809">
            <w:pPr>
              <w:jc w:val="right"/>
              <w:rPr>
                <w:rFonts w:ascii="Times New Roman" w:hAnsi="Times New Roman" w:cs="Times New Roman"/>
                <w:b/>
                <w:sz w:val="14"/>
                <w:szCs w:val="14"/>
              </w:rPr>
            </w:pPr>
            <w:r w:rsidRPr="006E5C04">
              <w:rPr>
                <w:rFonts w:ascii="Times New Roman" w:hAnsi="Times New Roman" w:cs="Times New Roman"/>
                <w:b/>
                <w:sz w:val="14"/>
                <w:szCs w:val="14"/>
              </w:rPr>
              <w:t>181 324 352</w:t>
            </w:r>
          </w:p>
        </w:tc>
        <w:tc>
          <w:tcPr>
            <w:tcW w:w="527" w:type="pct"/>
            <w:tcBorders>
              <w:top w:val="nil"/>
              <w:left w:val="nil"/>
              <w:bottom w:val="single" w:sz="4" w:space="0" w:color="auto"/>
              <w:right w:val="single" w:sz="4" w:space="0" w:color="auto"/>
            </w:tcBorders>
            <w:shd w:val="clear" w:color="000000" w:fill="BFBFBF"/>
            <w:noWrap/>
            <w:vAlign w:val="bottom"/>
            <w:hideMark/>
          </w:tcPr>
          <w:p w:rsidR="003A497B" w:rsidRPr="006E5C04" w:rsidRDefault="003A497B" w:rsidP="003E1809">
            <w:pPr>
              <w:jc w:val="right"/>
              <w:rPr>
                <w:rFonts w:ascii="Times New Roman" w:hAnsi="Times New Roman" w:cs="Times New Roman"/>
                <w:b/>
                <w:sz w:val="14"/>
                <w:szCs w:val="14"/>
              </w:rPr>
            </w:pPr>
            <w:r w:rsidRPr="006E5C04">
              <w:rPr>
                <w:rFonts w:ascii="Times New Roman" w:hAnsi="Times New Roman" w:cs="Times New Roman"/>
                <w:b/>
                <w:sz w:val="14"/>
                <w:szCs w:val="14"/>
              </w:rPr>
              <w:t>152 927 226</w:t>
            </w:r>
          </w:p>
        </w:tc>
        <w:tc>
          <w:tcPr>
            <w:tcW w:w="527" w:type="pct"/>
            <w:tcBorders>
              <w:top w:val="nil"/>
              <w:left w:val="nil"/>
              <w:bottom w:val="single" w:sz="4" w:space="0" w:color="auto"/>
              <w:right w:val="single" w:sz="4" w:space="0" w:color="auto"/>
            </w:tcBorders>
            <w:shd w:val="clear" w:color="000000" w:fill="BFBFBF"/>
            <w:noWrap/>
            <w:vAlign w:val="bottom"/>
            <w:hideMark/>
          </w:tcPr>
          <w:p w:rsidR="003A497B" w:rsidRPr="006E5C04" w:rsidRDefault="003A497B" w:rsidP="003E1809">
            <w:pPr>
              <w:jc w:val="right"/>
              <w:rPr>
                <w:rFonts w:ascii="Times New Roman" w:hAnsi="Times New Roman" w:cs="Times New Roman"/>
                <w:b/>
                <w:sz w:val="14"/>
                <w:szCs w:val="14"/>
              </w:rPr>
            </w:pPr>
            <w:r w:rsidRPr="006E5C04">
              <w:rPr>
                <w:rFonts w:ascii="Times New Roman" w:hAnsi="Times New Roman" w:cs="Times New Roman"/>
                <w:b/>
                <w:sz w:val="14"/>
                <w:szCs w:val="14"/>
              </w:rPr>
              <w:t>119 353 879</w:t>
            </w:r>
          </w:p>
        </w:tc>
        <w:tc>
          <w:tcPr>
            <w:tcW w:w="527"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A497B" w:rsidRPr="003F4DDA" w:rsidRDefault="003A497B" w:rsidP="003E1809">
            <w:pPr>
              <w:jc w:val="right"/>
              <w:rPr>
                <w:rFonts w:ascii="Times New Roman" w:hAnsi="Times New Roman" w:cs="Times New Roman"/>
                <w:b/>
                <w:bCs/>
                <w:sz w:val="14"/>
                <w:szCs w:val="14"/>
                <w:lang w:eastAsia="sk-SK"/>
              </w:rPr>
            </w:pPr>
            <w:r w:rsidRPr="003F4DDA">
              <w:rPr>
                <w:rFonts w:ascii="Times New Roman" w:hAnsi="Times New Roman" w:cs="Times New Roman"/>
                <w:b/>
                <w:bCs/>
                <w:sz w:val="14"/>
                <w:szCs w:val="14"/>
              </w:rPr>
              <w:t>155 739 288</w:t>
            </w:r>
          </w:p>
        </w:tc>
        <w:tc>
          <w:tcPr>
            <w:tcW w:w="527"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A497B" w:rsidRPr="00055C9A" w:rsidRDefault="003A497B" w:rsidP="003E1809">
            <w:pPr>
              <w:jc w:val="right"/>
              <w:rPr>
                <w:rFonts w:ascii="Times New Roman" w:hAnsi="Times New Roman" w:cs="Times New Roman"/>
                <w:b/>
                <w:bCs/>
                <w:sz w:val="14"/>
                <w:szCs w:val="14"/>
                <w:lang w:eastAsia="sk-SK"/>
              </w:rPr>
            </w:pPr>
            <w:r w:rsidRPr="00055C9A">
              <w:rPr>
                <w:rFonts w:ascii="Times New Roman" w:hAnsi="Times New Roman" w:cs="Times New Roman"/>
                <w:b/>
                <w:bCs/>
                <w:sz w:val="14"/>
                <w:szCs w:val="14"/>
              </w:rPr>
              <w:t>136 438 525</w:t>
            </w:r>
          </w:p>
        </w:tc>
        <w:tc>
          <w:tcPr>
            <w:tcW w:w="527" w:type="pct"/>
            <w:tcBorders>
              <w:top w:val="single" w:sz="4" w:space="0" w:color="auto"/>
              <w:left w:val="nil"/>
              <w:bottom w:val="single" w:sz="4" w:space="0" w:color="auto"/>
              <w:right w:val="single" w:sz="4" w:space="0" w:color="auto"/>
            </w:tcBorders>
            <w:shd w:val="clear" w:color="000000" w:fill="BFBFBF"/>
            <w:noWrap/>
            <w:vAlign w:val="bottom"/>
            <w:hideMark/>
          </w:tcPr>
          <w:p w:rsidR="003A497B" w:rsidRPr="00055C9A" w:rsidRDefault="003A497B" w:rsidP="003E1809">
            <w:pPr>
              <w:jc w:val="right"/>
              <w:rPr>
                <w:rFonts w:ascii="Times New Roman" w:hAnsi="Times New Roman" w:cs="Times New Roman"/>
                <w:b/>
                <w:bCs/>
                <w:sz w:val="14"/>
                <w:szCs w:val="14"/>
              </w:rPr>
            </w:pPr>
            <w:r w:rsidRPr="00055C9A">
              <w:rPr>
                <w:rFonts w:ascii="Times New Roman" w:hAnsi="Times New Roman" w:cs="Times New Roman"/>
                <w:b/>
                <w:bCs/>
                <w:sz w:val="14"/>
                <w:szCs w:val="14"/>
              </w:rPr>
              <w:t>128 502 668</w:t>
            </w:r>
          </w:p>
        </w:tc>
        <w:tc>
          <w:tcPr>
            <w:tcW w:w="528" w:type="pct"/>
            <w:tcBorders>
              <w:top w:val="single" w:sz="4" w:space="0" w:color="auto"/>
              <w:left w:val="nil"/>
              <w:bottom w:val="single" w:sz="4" w:space="0" w:color="auto"/>
              <w:right w:val="single" w:sz="4" w:space="0" w:color="auto"/>
            </w:tcBorders>
            <w:shd w:val="clear" w:color="000000" w:fill="BFBFBF"/>
            <w:noWrap/>
            <w:vAlign w:val="bottom"/>
            <w:hideMark/>
          </w:tcPr>
          <w:p w:rsidR="003A497B" w:rsidRPr="00055C9A" w:rsidRDefault="003A497B" w:rsidP="003E1809">
            <w:pPr>
              <w:jc w:val="right"/>
              <w:rPr>
                <w:rFonts w:ascii="Times New Roman" w:hAnsi="Times New Roman" w:cs="Times New Roman"/>
                <w:b/>
                <w:bCs/>
                <w:sz w:val="14"/>
                <w:szCs w:val="14"/>
              </w:rPr>
            </w:pPr>
            <w:r w:rsidRPr="00055C9A">
              <w:rPr>
                <w:rFonts w:ascii="Times New Roman" w:hAnsi="Times New Roman" w:cs="Times New Roman"/>
                <w:b/>
                <w:bCs/>
                <w:sz w:val="14"/>
                <w:szCs w:val="14"/>
              </w:rPr>
              <w:t>128 153 591</w:t>
            </w:r>
          </w:p>
        </w:tc>
      </w:tr>
      <w:tr w:rsidR="003A497B" w:rsidRPr="00C473D8" w:rsidTr="003E1809">
        <w:trPr>
          <w:trHeight w:val="255"/>
        </w:trPr>
        <w:tc>
          <w:tcPr>
            <w:tcW w:w="1307" w:type="pct"/>
            <w:tcBorders>
              <w:top w:val="nil"/>
              <w:left w:val="single" w:sz="4" w:space="0" w:color="auto"/>
              <w:bottom w:val="single" w:sz="4" w:space="0" w:color="auto"/>
              <w:right w:val="single" w:sz="4" w:space="0" w:color="auto"/>
            </w:tcBorders>
            <w:noWrap/>
            <w:vAlign w:val="center"/>
            <w:hideMark/>
          </w:tcPr>
          <w:p w:rsidR="003A497B" w:rsidRPr="00C473D8" w:rsidRDefault="003A497B" w:rsidP="003E1809">
            <w:pPr>
              <w:rPr>
                <w:rFonts w:ascii="Times New Roman" w:hAnsi="Times New Roman" w:cs="Times New Roman"/>
                <w:b/>
                <w:color w:val="000000"/>
                <w:sz w:val="14"/>
                <w:szCs w:val="14"/>
                <w:lang w:eastAsia="sk-SK"/>
              </w:rPr>
            </w:pPr>
            <w:r w:rsidRPr="00C473D8">
              <w:rPr>
                <w:rFonts w:ascii="Times New Roman" w:hAnsi="Times New Roman" w:cs="Times New Roman"/>
                <w:b/>
                <w:color w:val="000000"/>
                <w:sz w:val="14"/>
                <w:szCs w:val="14"/>
                <w:lang w:eastAsia="sk-SK"/>
              </w:rPr>
              <w:t>rozpočtové zdroje kapitoly</w:t>
            </w:r>
          </w:p>
        </w:tc>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3A497B" w:rsidRPr="00C473D8" w:rsidRDefault="003A497B" w:rsidP="003E1809">
            <w:pPr>
              <w:jc w:val="right"/>
              <w:rPr>
                <w:rFonts w:ascii="Times New Roman" w:hAnsi="Times New Roman" w:cs="Times New Roman"/>
                <w:b/>
                <w:sz w:val="14"/>
                <w:szCs w:val="14"/>
              </w:rPr>
            </w:pPr>
            <w:r w:rsidRPr="00C473D8">
              <w:rPr>
                <w:rFonts w:ascii="Times New Roman" w:hAnsi="Times New Roman" w:cs="Times New Roman"/>
                <w:b/>
                <w:sz w:val="14"/>
                <w:szCs w:val="14"/>
              </w:rPr>
              <w:t>166 304 964</w:t>
            </w:r>
          </w:p>
        </w:tc>
        <w:tc>
          <w:tcPr>
            <w:tcW w:w="527" w:type="pct"/>
            <w:tcBorders>
              <w:top w:val="nil"/>
              <w:left w:val="nil"/>
              <w:bottom w:val="single" w:sz="4" w:space="0" w:color="auto"/>
              <w:right w:val="single" w:sz="4" w:space="0" w:color="auto"/>
            </w:tcBorders>
            <w:shd w:val="clear" w:color="000000" w:fill="FFFFFF"/>
            <w:noWrap/>
            <w:vAlign w:val="bottom"/>
            <w:hideMark/>
          </w:tcPr>
          <w:p w:rsidR="003A497B" w:rsidRPr="00C473D8" w:rsidRDefault="003A497B" w:rsidP="003E1809">
            <w:pPr>
              <w:jc w:val="right"/>
              <w:rPr>
                <w:rFonts w:ascii="Times New Roman" w:hAnsi="Times New Roman" w:cs="Times New Roman"/>
                <w:b/>
                <w:sz w:val="14"/>
                <w:szCs w:val="14"/>
              </w:rPr>
            </w:pPr>
            <w:r w:rsidRPr="00C473D8">
              <w:rPr>
                <w:rFonts w:ascii="Times New Roman" w:hAnsi="Times New Roman" w:cs="Times New Roman"/>
                <w:b/>
                <w:sz w:val="14"/>
                <w:szCs w:val="14"/>
              </w:rPr>
              <w:t>140 581 949</w:t>
            </w:r>
          </w:p>
        </w:tc>
        <w:tc>
          <w:tcPr>
            <w:tcW w:w="527" w:type="pct"/>
            <w:tcBorders>
              <w:top w:val="nil"/>
              <w:left w:val="nil"/>
              <w:bottom w:val="single" w:sz="4" w:space="0" w:color="auto"/>
              <w:right w:val="single" w:sz="4" w:space="0" w:color="auto"/>
            </w:tcBorders>
            <w:shd w:val="clear" w:color="000000" w:fill="FFFFFF"/>
            <w:noWrap/>
            <w:vAlign w:val="bottom"/>
            <w:hideMark/>
          </w:tcPr>
          <w:p w:rsidR="003A497B" w:rsidRPr="00C473D8" w:rsidRDefault="003A497B" w:rsidP="003E1809">
            <w:pPr>
              <w:jc w:val="right"/>
              <w:rPr>
                <w:rFonts w:ascii="Times New Roman" w:hAnsi="Times New Roman" w:cs="Times New Roman"/>
                <w:b/>
                <w:sz w:val="14"/>
                <w:szCs w:val="14"/>
              </w:rPr>
            </w:pPr>
            <w:r w:rsidRPr="00C473D8">
              <w:rPr>
                <w:rFonts w:ascii="Times New Roman" w:hAnsi="Times New Roman" w:cs="Times New Roman"/>
                <w:b/>
                <w:sz w:val="14"/>
                <w:szCs w:val="14"/>
              </w:rPr>
              <w:t>119 353 879</w:t>
            </w:r>
          </w:p>
        </w:tc>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3A497B" w:rsidRPr="00C473D8" w:rsidRDefault="003A497B" w:rsidP="003E1809">
            <w:pPr>
              <w:jc w:val="right"/>
              <w:rPr>
                <w:rFonts w:ascii="Times New Roman" w:hAnsi="Times New Roman" w:cs="Times New Roman"/>
                <w:b/>
                <w:color w:val="000000"/>
                <w:sz w:val="14"/>
                <w:szCs w:val="14"/>
              </w:rPr>
            </w:pPr>
            <w:r w:rsidRPr="00C473D8">
              <w:rPr>
                <w:rFonts w:ascii="Times New Roman" w:hAnsi="Times New Roman" w:cs="Times New Roman"/>
                <w:b/>
                <w:color w:val="000000"/>
                <w:sz w:val="14"/>
                <w:szCs w:val="14"/>
              </w:rPr>
              <w:t>146 632 686</w:t>
            </w:r>
          </w:p>
        </w:tc>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3A497B" w:rsidRPr="00C473D8" w:rsidRDefault="003A497B" w:rsidP="003E1809">
            <w:pPr>
              <w:jc w:val="right"/>
              <w:rPr>
                <w:rFonts w:ascii="Times New Roman" w:hAnsi="Times New Roman" w:cs="Times New Roman"/>
                <w:b/>
                <w:color w:val="000000"/>
                <w:sz w:val="14"/>
                <w:szCs w:val="14"/>
              </w:rPr>
            </w:pPr>
            <w:r w:rsidRPr="00C473D8">
              <w:rPr>
                <w:rFonts w:ascii="Times New Roman" w:hAnsi="Times New Roman" w:cs="Times New Roman"/>
                <w:b/>
                <w:color w:val="000000"/>
                <w:sz w:val="14"/>
                <w:szCs w:val="14"/>
              </w:rPr>
              <w:t>136 438 525</w:t>
            </w:r>
          </w:p>
        </w:tc>
        <w:tc>
          <w:tcPr>
            <w:tcW w:w="527" w:type="pct"/>
            <w:tcBorders>
              <w:top w:val="nil"/>
              <w:left w:val="nil"/>
              <w:bottom w:val="single" w:sz="4" w:space="0" w:color="auto"/>
              <w:right w:val="single" w:sz="4" w:space="0" w:color="auto"/>
            </w:tcBorders>
            <w:shd w:val="clear" w:color="auto" w:fill="auto"/>
            <w:noWrap/>
            <w:vAlign w:val="bottom"/>
            <w:hideMark/>
          </w:tcPr>
          <w:p w:rsidR="003A497B" w:rsidRPr="00C473D8" w:rsidRDefault="003A497B" w:rsidP="003E1809">
            <w:pPr>
              <w:jc w:val="right"/>
              <w:rPr>
                <w:rFonts w:ascii="Times New Roman" w:hAnsi="Times New Roman" w:cs="Times New Roman"/>
                <w:b/>
                <w:color w:val="000000"/>
                <w:sz w:val="14"/>
                <w:szCs w:val="14"/>
              </w:rPr>
            </w:pPr>
            <w:r w:rsidRPr="00C473D8">
              <w:rPr>
                <w:rFonts w:ascii="Times New Roman" w:hAnsi="Times New Roman" w:cs="Times New Roman"/>
                <w:b/>
                <w:color w:val="000000"/>
                <w:sz w:val="14"/>
                <w:szCs w:val="14"/>
              </w:rPr>
              <w:t>128 502 668</w:t>
            </w:r>
          </w:p>
        </w:tc>
        <w:tc>
          <w:tcPr>
            <w:tcW w:w="528" w:type="pct"/>
            <w:tcBorders>
              <w:top w:val="nil"/>
              <w:left w:val="nil"/>
              <w:bottom w:val="single" w:sz="4" w:space="0" w:color="auto"/>
              <w:right w:val="single" w:sz="4" w:space="0" w:color="auto"/>
            </w:tcBorders>
            <w:shd w:val="clear" w:color="auto" w:fill="auto"/>
            <w:noWrap/>
            <w:vAlign w:val="bottom"/>
            <w:hideMark/>
          </w:tcPr>
          <w:p w:rsidR="003A497B" w:rsidRPr="00C473D8" w:rsidRDefault="003A497B" w:rsidP="003E1809">
            <w:pPr>
              <w:jc w:val="right"/>
              <w:rPr>
                <w:rFonts w:ascii="Times New Roman" w:hAnsi="Times New Roman" w:cs="Times New Roman"/>
                <w:b/>
                <w:color w:val="000000"/>
                <w:sz w:val="14"/>
                <w:szCs w:val="14"/>
              </w:rPr>
            </w:pPr>
            <w:r w:rsidRPr="00C473D8">
              <w:rPr>
                <w:rFonts w:ascii="Times New Roman" w:hAnsi="Times New Roman" w:cs="Times New Roman"/>
                <w:b/>
                <w:color w:val="000000"/>
                <w:sz w:val="14"/>
                <w:szCs w:val="14"/>
              </w:rPr>
              <w:t>128 153 591</w:t>
            </w:r>
          </w:p>
        </w:tc>
      </w:tr>
      <w:tr w:rsidR="003A497B" w:rsidRPr="004B7170" w:rsidTr="003E1809">
        <w:trPr>
          <w:trHeight w:val="255"/>
        </w:trPr>
        <w:tc>
          <w:tcPr>
            <w:tcW w:w="1307" w:type="pct"/>
            <w:tcBorders>
              <w:top w:val="nil"/>
              <w:left w:val="single" w:sz="4" w:space="0" w:color="auto"/>
              <w:bottom w:val="single" w:sz="4" w:space="0" w:color="auto"/>
              <w:right w:val="single" w:sz="4" w:space="0" w:color="auto"/>
            </w:tcBorders>
            <w:noWrap/>
            <w:vAlign w:val="center"/>
            <w:hideMark/>
          </w:tcPr>
          <w:p w:rsidR="003A497B" w:rsidRPr="004B7170" w:rsidRDefault="003A497B" w:rsidP="003E1809">
            <w:pPr>
              <w:rPr>
                <w:rFonts w:ascii="Times New Roman" w:hAnsi="Times New Roman" w:cs="Times New Roman"/>
                <w:color w:val="000000"/>
                <w:sz w:val="14"/>
                <w:szCs w:val="14"/>
                <w:lang w:eastAsia="sk-SK"/>
              </w:rPr>
            </w:pPr>
            <w:r w:rsidRPr="004B7170">
              <w:rPr>
                <w:rFonts w:ascii="Times New Roman" w:hAnsi="Times New Roman" w:cs="Times New Roman"/>
                <w:color w:val="000000"/>
                <w:sz w:val="14"/>
                <w:szCs w:val="14"/>
                <w:lang w:eastAsia="sk-SK"/>
              </w:rPr>
              <w:t xml:space="preserve">    v tom: bežné výdavky  600</w:t>
            </w:r>
          </w:p>
        </w:tc>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164 448 790</w:t>
            </w:r>
          </w:p>
        </w:tc>
        <w:tc>
          <w:tcPr>
            <w:tcW w:w="527" w:type="pct"/>
            <w:tcBorders>
              <w:top w:val="nil"/>
              <w:left w:val="nil"/>
              <w:bottom w:val="single" w:sz="4" w:space="0" w:color="auto"/>
              <w:right w:val="single" w:sz="4" w:space="0" w:color="auto"/>
            </w:tcBorders>
            <w:shd w:val="clear" w:color="000000" w:fill="FFFFFF"/>
            <w:noWrap/>
            <w:vAlign w:val="bottom"/>
            <w:hideMark/>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139 644 916</w:t>
            </w:r>
          </w:p>
        </w:tc>
        <w:tc>
          <w:tcPr>
            <w:tcW w:w="527" w:type="pct"/>
            <w:tcBorders>
              <w:top w:val="nil"/>
              <w:left w:val="nil"/>
              <w:bottom w:val="single" w:sz="4" w:space="0" w:color="auto"/>
              <w:right w:val="single" w:sz="4" w:space="0" w:color="auto"/>
            </w:tcBorders>
            <w:shd w:val="clear" w:color="000000" w:fill="FFFFFF"/>
            <w:noWrap/>
            <w:vAlign w:val="bottom"/>
            <w:hideMark/>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115 853 879</w:t>
            </w:r>
          </w:p>
        </w:tc>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3A497B" w:rsidRPr="003F4DDA" w:rsidRDefault="003A497B" w:rsidP="003E1809">
            <w:pPr>
              <w:jc w:val="right"/>
              <w:rPr>
                <w:rFonts w:ascii="Times New Roman" w:hAnsi="Times New Roman" w:cs="Times New Roman"/>
                <w:color w:val="000000"/>
                <w:sz w:val="14"/>
                <w:szCs w:val="14"/>
              </w:rPr>
            </w:pPr>
            <w:r w:rsidRPr="003F4DDA">
              <w:rPr>
                <w:rFonts w:ascii="Times New Roman" w:hAnsi="Times New Roman" w:cs="Times New Roman"/>
                <w:color w:val="000000"/>
                <w:sz w:val="14"/>
                <w:szCs w:val="14"/>
              </w:rPr>
              <w:t>145 628 805</w:t>
            </w:r>
          </w:p>
        </w:tc>
        <w:tc>
          <w:tcPr>
            <w:tcW w:w="527" w:type="pct"/>
            <w:tcBorders>
              <w:top w:val="nil"/>
              <w:left w:val="single" w:sz="4" w:space="0" w:color="auto"/>
              <w:bottom w:val="single" w:sz="4" w:space="0" w:color="auto"/>
              <w:right w:val="single" w:sz="4" w:space="0" w:color="auto"/>
            </w:tcBorders>
            <w:shd w:val="clear" w:color="auto" w:fill="auto"/>
            <w:vAlign w:val="bottom"/>
            <w:hideMark/>
          </w:tcPr>
          <w:p w:rsidR="003A497B" w:rsidRPr="00055C9A" w:rsidRDefault="003A497B" w:rsidP="003E1809">
            <w:pPr>
              <w:jc w:val="right"/>
              <w:rPr>
                <w:rFonts w:ascii="Times New Roman" w:hAnsi="Times New Roman" w:cs="Times New Roman"/>
                <w:color w:val="000000"/>
                <w:sz w:val="14"/>
                <w:szCs w:val="14"/>
              </w:rPr>
            </w:pPr>
            <w:r w:rsidRPr="00055C9A">
              <w:rPr>
                <w:rFonts w:ascii="Times New Roman" w:hAnsi="Times New Roman" w:cs="Times New Roman"/>
                <w:color w:val="000000"/>
                <w:sz w:val="14"/>
                <w:szCs w:val="14"/>
              </w:rPr>
              <w:t>132 938 525</w:t>
            </w:r>
          </w:p>
        </w:tc>
        <w:tc>
          <w:tcPr>
            <w:tcW w:w="527" w:type="pct"/>
            <w:tcBorders>
              <w:top w:val="nil"/>
              <w:left w:val="nil"/>
              <w:bottom w:val="single" w:sz="4" w:space="0" w:color="auto"/>
              <w:right w:val="single" w:sz="4" w:space="0" w:color="auto"/>
            </w:tcBorders>
            <w:shd w:val="clear" w:color="auto" w:fill="auto"/>
            <w:vAlign w:val="bottom"/>
            <w:hideMark/>
          </w:tcPr>
          <w:p w:rsidR="003A497B" w:rsidRPr="00055C9A" w:rsidRDefault="003A497B" w:rsidP="003E1809">
            <w:pPr>
              <w:jc w:val="right"/>
              <w:rPr>
                <w:rFonts w:ascii="Times New Roman" w:hAnsi="Times New Roman" w:cs="Times New Roman"/>
                <w:color w:val="000000"/>
                <w:sz w:val="14"/>
                <w:szCs w:val="14"/>
              </w:rPr>
            </w:pPr>
            <w:r w:rsidRPr="00055C9A">
              <w:rPr>
                <w:rFonts w:ascii="Times New Roman" w:hAnsi="Times New Roman" w:cs="Times New Roman"/>
                <w:color w:val="000000"/>
                <w:sz w:val="14"/>
                <w:szCs w:val="14"/>
              </w:rPr>
              <w:t>125 002 668</w:t>
            </w:r>
          </w:p>
        </w:tc>
        <w:tc>
          <w:tcPr>
            <w:tcW w:w="528" w:type="pct"/>
            <w:tcBorders>
              <w:top w:val="nil"/>
              <w:left w:val="nil"/>
              <w:bottom w:val="single" w:sz="4" w:space="0" w:color="auto"/>
              <w:right w:val="single" w:sz="4" w:space="0" w:color="auto"/>
            </w:tcBorders>
            <w:shd w:val="clear" w:color="auto" w:fill="auto"/>
            <w:vAlign w:val="bottom"/>
            <w:hideMark/>
          </w:tcPr>
          <w:p w:rsidR="003A497B" w:rsidRPr="00055C9A" w:rsidRDefault="003A497B" w:rsidP="003E1809">
            <w:pPr>
              <w:jc w:val="right"/>
              <w:rPr>
                <w:rFonts w:ascii="Times New Roman" w:hAnsi="Times New Roman" w:cs="Times New Roman"/>
                <w:color w:val="000000"/>
                <w:sz w:val="14"/>
                <w:szCs w:val="14"/>
              </w:rPr>
            </w:pPr>
            <w:r w:rsidRPr="00055C9A">
              <w:rPr>
                <w:rFonts w:ascii="Times New Roman" w:hAnsi="Times New Roman" w:cs="Times New Roman"/>
                <w:color w:val="000000"/>
                <w:sz w:val="14"/>
                <w:szCs w:val="14"/>
              </w:rPr>
              <w:t>124 653 591</w:t>
            </w:r>
          </w:p>
        </w:tc>
      </w:tr>
      <w:tr w:rsidR="003A497B" w:rsidRPr="004B7170" w:rsidTr="003E1809">
        <w:trPr>
          <w:trHeight w:val="255"/>
        </w:trPr>
        <w:tc>
          <w:tcPr>
            <w:tcW w:w="1307" w:type="pct"/>
            <w:tcBorders>
              <w:top w:val="nil"/>
              <w:left w:val="single" w:sz="4" w:space="0" w:color="auto"/>
              <w:bottom w:val="single" w:sz="4" w:space="0" w:color="auto"/>
              <w:right w:val="single" w:sz="4" w:space="0" w:color="auto"/>
            </w:tcBorders>
            <w:noWrap/>
            <w:vAlign w:val="center"/>
            <w:hideMark/>
          </w:tcPr>
          <w:p w:rsidR="003A497B" w:rsidRPr="004B7170" w:rsidRDefault="003A497B" w:rsidP="003E1809">
            <w:pPr>
              <w:rPr>
                <w:rFonts w:ascii="Times New Roman" w:hAnsi="Times New Roman" w:cs="Times New Roman"/>
                <w:color w:val="000000"/>
                <w:sz w:val="14"/>
                <w:szCs w:val="14"/>
                <w:lang w:eastAsia="sk-SK"/>
              </w:rPr>
            </w:pPr>
            <w:r w:rsidRPr="004B7170">
              <w:rPr>
                <w:rFonts w:ascii="Times New Roman" w:hAnsi="Times New Roman" w:cs="Times New Roman"/>
                <w:color w:val="000000"/>
                <w:sz w:val="14"/>
                <w:szCs w:val="14"/>
                <w:lang w:eastAsia="sk-SK"/>
              </w:rPr>
              <w:t xml:space="preserve">                            610 mzdy</w:t>
            </w:r>
          </w:p>
        </w:tc>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54 644 964</w:t>
            </w:r>
          </w:p>
        </w:tc>
        <w:tc>
          <w:tcPr>
            <w:tcW w:w="527" w:type="pct"/>
            <w:tcBorders>
              <w:top w:val="nil"/>
              <w:left w:val="nil"/>
              <w:bottom w:val="single" w:sz="4" w:space="0" w:color="auto"/>
              <w:right w:val="single" w:sz="4" w:space="0" w:color="auto"/>
            </w:tcBorders>
            <w:shd w:val="clear" w:color="000000" w:fill="FFFFFF"/>
            <w:noWrap/>
            <w:vAlign w:val="bottom"/>
            <w:hideMark/>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51 025 359</w:t>
            </w:r>
          </w:p>
        </w:tc>
        <w:tc>
          <w:tcPr>
            <w:tcW w:w="527" w:type="pct"/>
            <w:tcBorders>
              <w:top w:val="nil"/>
              <w:left w:val="nil"/>
              <w:bottom w:val="single" w:sz="4" w:space="0" w:color="auto"/>
              <w:right w:val="single" w:sz="4" w:space="0" w:color="auto"/>
            </w:tcBorders>
            <w:shd w:val="clear" w:color="000000" w:fill="FFFFFF"/>
            <w:noWrap/>
            <w:vAlign w:val="bottom"/>
            <w:hideMark/>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50 802 891</w:t>
            </w:r>
          </w:p>
        </w:tc>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3A497B" w:rsidRPr="003F4DDA" w:rsidRDefault="003A497B" w:rsidP="003E1809">
            <w:pPr>
              <w:jc w:val="right"/>
              <w:rPr>
                <w:rFonts w:ascii="Times New Roman" w:hAnsi="Times New Roman" w:cs="Times New Roman"/>
                <w:color w:val="000000"/>
                <w:sz w:val="14"/>
                <w:szCs w:val="14"/>
              </w:rPr>
            </w:pPr>
            <w:r w:rsidRPr="003F4DDA">
              <w:rPr>
                <w:rFonts w:ascii="Times New Roman" w:hAnsi="Times New Roman" w:cs="Times New Roman"/>
                <w:color w:val="000000"/>
                <w:sz w:val="14"/>
                <w:szCs w:val="14"/>
              </w:rPr>
              <w:t>53 033 751</w:t>
            </w:r>
          </w:p>
        </w:tc>
        <w:tc>
          <w:tcPr>
            <w:tcW w:w="527" w:type="pct"/>
            <w:tcBorders>
              <w:top w:val="nil"/>
              <w:left w:val="single" w:sz="4" w:space="0" w:color="auto"/>
              <w:bottom w:val="single" w:sz="4" w:space="0" w:color="auto"/>
              <w:right w:val="single" w:sz="4" w:space="0" w:color="auto"/>
            </w:tcBorders>
            <w:shd w:val="clear" w:color="auto" w:fill="auto"/>
            <w:vAlign w:val="bottom"/>
            <w:hideMark/>
          </w:tcPr>
          <w:p w:rsidR="003A497B" w:rsidRPr="00055C9A" w:rsidRDefault="003A497B" w:rsidP="003E1809">
            <w:pPr>
              <w:jc w:val="right"/>
              <w:rPr>
                <w:rFonts w:ascii="Times New Roman" w:hAnsi="Times New Roman" w:cs="Times New Roman"/>
                <w:sz w:val="14"/>
                <w:szCs w:val="14"/>
              </w:rPr>
            </w:pPr>
            <w:r w:rsidRPr="00055C9A">
              <w:rPr>
                <w:rFonts w:ascii="Times New Roman" w:hAnsi="Times New Roman" w:cs="Times New Roman"/>
                <w:sz w:val="14"/>
                <w:szCs w:val="14"/>
              </w:rPr>
              <w:t>53 541 357</w:t>
            </w:r>
          </w:p>
        </w:tc>
        <w:tc>
          <w:tcPr>
            <w:tcW w:w="527" w:type="pct"/>
            <w:tcBorders>
              <w:top w:val="nil"/>
              <w:left w:val="nil"/>
              <w:bottom w:val="single" w:sz="4" w:space="0" w:color="auto"/>
              <w:right w:val="single" w:sz="4" w:space="0" w:color="auto"/>
            </w:tcBorders>
            <w:shd w:val="clear" w:color="auto" w:fill="auto"/>
            <w:vAlign w:val="bottom"/>
            <w:hideMark/>
          </w:tcPr>
          <w:p w:rsidR="003A497B" w:rsidRPr="00055C9A" w:rsidRDefault="003A497B" w:rsidP="003E1809">
            <w:pPr>
              <w:jc w:val="right"/>
              <w:rPr>
                <w:rFonts w:ascii="Times New Roman" w:hAnsi="Times New Roman" w:cs="Times New Roman"/>
                <w:sz w:val="14"/>
                <w:szCs w:val="14"/>
              </w:rPr>
            </w:pPr>
            <w:r w:rsidRPr="00055C9A">
              <w:rPr>
                <w:rFonts w:ascii="Times New Roman" w:hAnsi="Times New Roman" w:cs="Times New Roman"/>
                <w:sz w:val="14"/>
                <w:szCs w:val="14"/>
              </w:rPr>
              <w:t>52 188 314</w:t>
            </w:r>
          </w:p>
        </w:tc>
        <w:tc>
          <w:tcPr>
            <w:tcW w:w="528" w:type="pct"/>
            <w:tcBorders>
              <w:top w:val="nil"/>
              <w:left w:val="nil"/>
              <w:bottom w:val="single" w:sz="4" w:space="0" w:color="auto"/>
              <w:right w:val="single" w:sz="4" w:space="0" w:color="auto"/>
            </w:tcBorders>
            <w:shd w:val="clear" w:color="auto" w:fill="auto"/>
            <w:vAlign w:val="bottom"/>
            <w:hideMark/>
          </w:tcPr>
          <w:p w:rsidR="003A497B" w:rsidRPr="00055C9A" w:rsidRDefault="003A497B" w:rsidP="003E1809">
            <w:pPr>
              <w:jc w:val="right"/>
              <w:rPr>
                <w:rFonts w:ascii="Times New Roman" w:hAnsi="Times New Roman" w:cs="Times New Roman"/>
                <w:sz w:val="14"/>
                <w:szCs w:val="14"/>
              </w:rPr>
            </w:pPr>
            <w:r w:rsidRPr="00055C9A">
              <w:rPr>
                <w:rFonts w:ascii="Times New Roman" w:hAnsi="Times New Roman" w:cs="Times New Roman"/>
                <w:sz w:val="14"/>
                <w:szCs w:val="14"/>
              </w:rPr>
              <w:t>52 056 921</w:t>
            </w:r>
          </w:p>
        </w:tc>
      </w:tr>
      <w:tr w:rsidR="003A497B" w:rsidRPr="004B7170" w:rsidTr="003E1809">
        <w:trPr>
          <w:trHeight w:val="255"/>
        </w:trPr>
        <w:tc>
          <w:tcPr>
            <w:tcW w:w="1307" w:type="pct"/>
            <w:tcBorders>
              <w:top w:val="nil"/>
              <w:left w:val="single" w:sz="4" w:space="0" w:color="auto"/>
              <w:bottom w:val="single" w:sz="4" w:space="0" w:color="auto"/>
              <w:right w:val="single" w:sz="4" w:space="0" w:color="auto"/>
            </w:tcBorders>
            <w:noWrap/>
            <w:vAlign w:val="center"/>
            <w:hideMark/>
          </w:tcPr>
          <w:p w:rsidR="003A497B" w:rsidRPr="004B7170" w:rsidRDefault="003A497B" w:rsidP="003E1809">
            <w:pPr>
              <w:rPr>
                <w:rFonts w:ascii="Times New Roman" w:hAnsi="Times New Roman" w:cs="Times New Roman"/>
                <w:color w:val="000000"/>
                <w:sz w:val="14"/>
                <w:szCs w:val="14"/>
                <w:lang w:eastAsia="sk-SK"/>
              </w:rPr>
            </w:pPr>
            <w:r w:rsidRPr="004B7170">
              <w:rPr>
                <w:rFonts w:ascii="Times New Roman" w:hAnsi="Times New Roman" w:cs="Times New Roman"/>
                <w:color w:val="000000"/>
                <w:sz w:val="14"/>
                <w:szCs w:val="14"/>
                <w:lang w:eastAsia="sk-SK"/>
              </w:rPr>
              <w:t xml:space="preserve">                            620 odvody</w:t>
            </w:r>
          </w:p>
        </w:tc>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16 427 702</w:t>
            </w:r>
          </w:p>
        </w:tc>
        <w:tc>
          <w:tcPr>
            <w:tcW w:w="527" w:type="pct"/>
            <w:tcBorders>
              <w:top w:val="nil"/>
              <w:left w:val="nil"/>
              <w:bottom w:val="single" w:sz="4" w:space="0" w:color="auto"/>
              <w:right w:val="single" w:sz="4" w:space="0" w:color="auto"/>
            </w:tcBorders>
            <w:shd w:val="clear" w:color="000000" w:fill="FFFFFF"/>
            <w:noWrap/>
            <w:vAlign w:val="bottom"/>
            <w:hideMark/>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16 205 999</w:t>
            </w:r>
          </w:p>
        </w:tc>
        <w:tc>
          <w:tcPr>
            <w:tcW w:w="527" w:type="pct"/>
            <w:tcBorders>
              <w:top w:val="nil"/>
              <w:left w:val="nil"/>
              <w:bottom w:val="single" w:sz="4" w:space="0" w:color="auto"/>
              <w:right w:val="single" w:sz="4" w:space="0" w:color="auto"/>
            </w:tcBorders>
            <w:shd w:val="clear" w:color="000000" w:fill="FFFFFF"/>
            <w:noWrap/>
            <w:vAlign w:val="bottom"/>
            <w:hideMark/>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16 823 718</w:t>
            </w:r>
          </w:p>
        </w:tc>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3A497B" w:rsidRPr="003F4DDA" w:rsidRDefault="003A497B" w:rsidP="003E1809">
            <w:pPr>
              <w:jc w:val="right"/>
              <w:rPr>
                <w:rFonts w:ascii="Times New Roman" w:hAnsi="Times New Roman" w:cs="Times New Roman"/>
                <w:color w:val="000000"/>
                <w:sz w:val="14"/>
                <w:szCs w:val="14"/>
              </w:rPr>
            </w:pPr>
            <w:r w:rsidRPr="003F4DDA">
              <w:rPr>
                <w:rFonts w:ascii="Times New Roman" w:hAnsi="Times New Roman" w:cs="Times New Roman"/>
                <w:color w:val="000000"/>
                <w:sz w:val="14"/>
                <w:szCs w:val="14"/>
              </w:rPr>
              <w:t>18 126 098</w:t>
            </w:r>
          </w:p>
        </w:tc>
        <w:tc>
          <w:tcPr>
            <w:tcW w:w="527" w:type="pct"/>
            <w:tcBorders>
              <w:top w:val="nil"/>
              <w:left w:val="single" w:sz="4" w:space="0" w:color="auto"/>
              <w:bottom w:val="single" w:sz="4" w:space="0" w:color="auto"/>
              <w:right w:val="single" w:sz="4" w:space="0" w:color="auto"/>
            </w:tcBorders>
            <w:shd w:val="clear" w:color="auto" w:fill="auto"/>
            <w:vAlign w:val="bottom"/>
            <w:hideMark/>
          </w:tcPr>
          <w:p w:rsidR="003A497B" w:rsidRPr="00055C9A" w:rsidRDefault="003A497B" w:rsidP="003E1809">
            <w:pPr>
              <w:jc w:val="right"/>
              <w:rPr>
                <w:rFonts w:ascii="Times New Roman" w:hAnsi="Times New Roman" w:cs="Times New Roman"/>
                <w:sz w:val="14"/>
                <w:szCs w:val="14"/>
              </w:rPr>
            </w:pPr>
            <w:r w:rsidRPr="00055C9A">
              <w:rPr>
                <w:rFonts w:ascii="Times New Roman" w:hAnsi="Times New Roman" w:cs="Times New Roman"/>
                <w:sz w:val="14"/>
                <w:szCs w:val="14"/>
              </w:rPr>
              <w:t>17 848 255</w:t>
            </w:r>
          </w:p>
        </w:tc>
        <w:tc>
          <w:tcPr>
            <w:tcW w:w="527" w:type="pct"/>
            <w:tcBorders>
              <w:top w:val="nil"/>
              <w:left w:val="nil"/>
              <w:bottom w:val="single" w:sz="4" w:space="0" w:color="auto"/>
              <w:right w:val="single" w:sz="4" w:space="0" w:color="auto"/>
            </w:tcBorders>
            <w:shd w:val="clear" w:color="auto" w:fill="auto"/>
            <w:vAlign w:val="bottom"/>
            <w:hideMark/>
          </w:tcPr>
          <w:p w:rsidR="003A497B" w:rsidRPr="00055C9A" w:rsidRDefault="003A497B" w:rsidP="003E1809">
            <w:pPr>
              <w:jc w:val="right"/>
              <w:rPr>
                <w:rFonts w:ascii="Times New Roman" w:hAnsi="Times New Roman" w:cs="Times New Roman"/>
                <w:sz w:val="14"/>
                <w:szCs w:val="14"/>
              </w:rPr>
            </w:pPr>
            <w:r w:rsidRPr="00055C9A">
              <w:rPr>
                <w:rFonts w:ascii="Times New Roman" w:hAnsi="Times New Roman" w:cs="Times New Roman"/>
                <w:sz w:val="14"/>
                <w:szCs w:val="14"/>
              </w:rPr>
              <w:t>17 380 658</w:t>
            </w:r>
          </w:p>
        </w:tc>
        <w:tc>
          <w:tcPr>
            <w:tcW w:w="528" w:type="pct"/>
            <w:tcBorders>
              <w:top w:val="nil"/>
              <w:left w:val="nil"/>
              <w:bottom w:val="single" w:sz="4" w:space="0" w:color="auto"/>
              <w:right w:val="single" w:sz="4" w:space="0" w:color="auto"/>
            </w:tcBorders>
            <w:shd w:val="clear" w:color="auto" w:fill="auto"/>
            <w:vAlign w:val="bottom"/>
            <w:hideMark/>
          </w:tcPr>
          <w:p w:rsidR="003A497B" w:rsidRPr="00055C9A" w:rsidRDefault="003A497B" w:rsidP="003E1809">
            <w:pPr>
              <w:jc w:val="right"/>
              <w:rPr>
                <w:rFonts w:ascii="Times New Roman" w:hAnsi="Times New Roman" w:cs="Times New Roman"/>
                <w:sz w:val="14"/>
                <w:szCs w:val="14"/>
              </w:rPr>
            </w:pPr>
            <w:r w:rsidRPr="00055C9A">
              <w:rPr>
                <w:rFonts w:ascii="Times New Roman" w:hAnsi="Times New Roman" w:cs="Times New Roman"/>
                <w:sz w:val="14"/>
                <w:szCs w:val="14"/>
              </w:rPr>
              <w:t>17 334 408</w:t>
            </w:r>
          </w:p>
        </w:tc>
      </w:tr>
      <w:tr w:rsidR="003A497B" w:rsidRPr="004B7170" w:rsidTr="003E1809">
        <w:trPr>
          <w:trHeight w:val="255"/>
        </w:trPr>
        <w:tc>
          <w:tcPr>
            <w:tcW w:w="1307" w:type="pct"/>
            <w:tcBorders>
              <w:top w:val="nil"/>
              <w:left w:val="single" w:sz="4" w:space="0" w:color="auto"/>
              <w:bottom w:val="single" w:sz="4" w:space="0" w:color="auto"/>
              <w:right w:val="single" w:sz="4" w:space="0" w:color="auto"/>
            </w:tcBorders>
            <w:noWrap/>
            <w:vAlign w:val="center"/>
            <w:hideMark/>
          </w:tcPr>
          <w:p w:rsidR="003A497B" w:rsidRPr="004B7170" w:rsidRDefault="003A497B" w:rsidP="003E1809">
            <w:pPr>
              <w:rPr>
                <w:rFonts w:ascii="Times New Roman" w:hAnsi="Times New Roman" w:cs="Times New Roman"/>
                <w:color w:val="000000"/>
                <w:sz w:val="14"/>
                <w:szCs w:val="14"/>
                <w:lang w:eastAsia="sk-SK"/>
              </w:rPr>
            </w:pPr>
            <w:r w:rsidRPr="004B7170">
              <w:rPr>
                <w:rFonts w:ascii="Times New Roman" w:hAnsi="Times New Roman" w:cs="Times New Roman"/>
                <w:color w:val="000000"/>
                <w:sz w:val="14"/>
                <w:szCs w:val="14"/>
                <w:lang w:eastAsia="sk-SK"/>
              </w:rPr>
              <w:t xml:space="preserve">                            630 tovary a služby</w:t>
            </w:r>
          </w:p>
        </w:tc>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52 646 508</w:t>
            </w:r>
          </w:p>
        </w:tc>
        <w:tc>
          <w:tcPr>
            <w:tcW w:w="527" w:type="pct"/>
            <w:tcBorders>
              <w:top w:val="nil"/>
              <w:left w:val="nil"/>
              <w:bottom w:val="single" w:sz="4" w:space="0" w:color="auto"/>
              <w:right w:val="single" w:sz="4" w:space="0" w:color="auto"/>
            </w:tcBorders>
            <w:shd w:val="clear" w:color="000000" w:fill="FFFFFF"/>
            <w:noWrap/>
            <w:vAlign w:val="bottom"/>
            <w:hideMark/>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39 143 718</w:t>
            </w:r>
          </w:p>
        </w:tc>
        <w:tc>
          <w:tcPr>
            <w:tcW w:w="527" w:type="pct"/>
            <w:tcBorders>
              <w:top w:val="nil"/>
              <w:left w:val="nil"/>
              <w:bottom w:val="single" w:sz="4" w:space="0" w:color="auto"/>
              <w:right w:val="single" w:sz="4" w:space="0" w:color="auto"/>
            </w:tcBorders>
            <w:shd w:val="clear" w:color="000000" w:fill="FFFFFF"/>
            <w:noWrap/>
            <w:vAlign w:val="bottom"/>
            <w:hideMark/>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38 806 414</w:t>
            </w:r>
          </w:p>
        </w:tc>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3A497B" w:rsidRPr="003F4DDA" w:rsidRDefault="003A497B" w:rsidP="003E1809">
            <w:pPr>
              <w:jc w:val="right"/>
              <w:rPr>
                <w:rFonts w:ascii="Times New Roman" w:hAnsi="Times New Roman" w:cs="Times New Roman"/>
                <w:color w:val="000000"/>
                <w:sz w:val="14"/>
                <w:szCs w:val="14"/>
              </w:rPr>
            </w:pPr>
            <w:r w:rsidRPr="003F4DDA">
              <w:rPr>
                <w:rFonts w:ascii="Times New Roman" w:hAnsi="Times New Roman" w:cs="Times New Roman"/>
                <w:color w:val="000000"/>
                <w:sz w:val="14"/>
                <w:szCs w:val="14"/>
              </w:rPr>
              <w:t>40 616 361</w:t>
            </w:r>
          </w:p>
        </w:tc>
        <w:tc>
          <w:tcPr>
            <w:tcW w:w="527" w:type="pct"/>
            <w:tcBorders>
              <w:top w:val="nil"/>
              <w:left w:val="single" w:sz="4" w:space="0" w:color="auto"/>
              <w:bottom w:val="single" w:sz="4" w:space="0" w:color="auto"/>
              <w:right w:val="single" w:sz="4" w:space="0" w:color="auto"/>
            </w:tcBorders>
            <w:shd w:val="clear" w:color="auto" w:fill="auto"/>
            <w:vAlign w:val="bottom"/>
            <w:hideMark/>
          </w:tcPr>
          <w:p w:rsidR="003A497B" w:rsidRPr="00055C9A" w:rsidRDefault="003A497B" w:rsidP="003E1809">
            <w:pPr>
              <w:jc w:val="right"/>
              <w:rPr>
                <w:rFonts w:ascii="Times New Roman" w:hAnsi="Times New Roman" w:cs="Times New Roman"/>
                <w:sz w:val="14"/>
                <w:szCs w:val="14"/>
              </w:rPr>
            </w:pPr>
            <w:r w:rsidRPr="00055C9A">
              <w:rPr>
                <w:rFonts w:ascii="Times New Roman" w:hAnsi="Times New Roman" w:cs="Times New Roman"/>
                <w:sz w:val="14"/>
                <w:szCs w:val="14"/>
              </w:rPr>
              <w:t>51 444 057</w:t>
            </w:r>
          </w:p>
        </w:tc>
        <w:tc>
          <w:tcPr>
            <w:tcW w:w="527" w:type="pct"/>
            <w:tcBorders>
              <w:top w:val="nil"/>
              <w:left w:val="nil"/>
              <w:bottom w:val="single" w:sz="4" w:space="0" w:color="auto"/>
              <w:right w:val="single" w:sz="4" w:space="0" w:color="auto"/>
            </w:tcBorders>
            <w:shd w:val="clear" w:color="auto" w:fill="auto"/>
            <w:vAlign w:val="bottom"/>
            <w:hideMark/>
          </w:tcPr>
          <w:p w:rsidR="003A497B" w:rsidRPr="00055C9A" w:rsidRDefault="003A497B" w:rsidP="003E1809">
            <w:pPr>
              <w:jc w:val="right"/>
              <w:rPr>
                <w:rFonts w:ascii="Times New Roman" w:hAnsi="Times New Roman" w:cs="Times New Roman"/>
                <w:sz w:val="14"/>
                <w:szCs w:val="14"/>
              </w:rPr>
            </w:pPr>
            <w:r w:rsidRPr="00055C9A">
              <w:rPr>
                <w:rFonts w:ascii="Times New Roman" w:hAnsi="Times New Roman" w:cs="Times New Roman"/>
                <w:sz w:val="14"/>
                <w:szCs w:val="14"/>
              </w:rPr>
              <w:t>45 288 840</w:t>
            </w:r>
          </w:p>
        </w:tc>
        <w:tc>
          <w:tcPr>
            <w:tcW w:w="528" w:type="pct"/>
            <w:tcBorders>
              <w:top w:val="nil"/>
              <w:left w:val="nil"/>
              <w:bottom w:val="single" w:sz="4" w:space="0" w:color="auto"/>
              <w:right w:val="single" w:sz="4" w:space="0" w:color="auto"/>
            </w:tcBorders>
            <w:shd w:val="clear" w:color="auto" w:fill="auto"/>
            <w:vAlign w:val="bottom"/>
            <w:hideMark/>
          </w:tcPr>
          <w:p w:rsidR="003A497B" w:rsidRPr="00055C9A" w:rsidRDefault="003A497B" w:rsidP="003E1809">
            <w:pPr>
              <w:jc w:val="right"/>
              <w:rPr>
                <w:rFonts w:ascii="Times New Roman" w:hAnsi="Times New Roman" w:cs="Times New Roman"/>
                <w:sz w:val="14"/>
                <w:szCs w:val="14"/>
              </w:rPr>
            </w:pPr>
            <w:r w:rsidRPr="00055C9A">
              <w:rPr>
                <w:rFonts w:ascii="Times New Roman" w:hAnsi="Times New Roman" w:cs="Times New Roman"/>
                <w:sz w:val="14"/>
                <w:szCs w:val="14"/>
              </w:rPr>
              <w:t>45 117 406</w:t>
            </w:r>
          </w:p>
        </w:tc>
      </w:tr>
      <w:tr w:rsidR="003A497B" w:rsidRPr="004B7170" w:rsidTr="003E1809">
        <w:trPr>
          <w:trHeight w:val="255"/>
        </w:trPr>
        <w:tc>
          <w:tcPr>
            <w:tcW w:w="1307" w:type="pct"/>
            <w:tcBorders>
              <w:top w:val="nil"/>
              <w:left w:val="single" w:sz="4" w:space="0" w:color="auto"/>
              <w:bottom w:val="single" w:sz="4" w:space="0" w:color="auto"/>
              <w:right w:val="single" w:sz="4" w:space="0" w:color="auto"/>
            </w:tcBorders>
            <w:noWrap/>
            <w:vAlign w:val="center"/>
            <w:hideMark/>
          </w:tcPr>
          <w:p w:rsidR="003A497B" w:rsidRPr="004B7170" w:rsidRDefault="003A497B" w:rsidP="003E1809">
            <w:pPr>
              <w:rPr>
                <w:rFonts w:ascii="Times New Roman" w:hAnsi="Times New Roman" w:cs="Times New Roman"/>
                <w:color w:val="000000"/>
                <w:sz w:val="14"/>
                <w:szCs w:val="14"/>
                <w:lang w:eastAsia="sk-SK"/>
              </w:rPr>
            </w:pPr>
            <w:r w:rsidRPr="004B7170">
              <w:rPr>
                <w:rFonts w:ascii="Times New Roman" w:hAnsi="Times New Roman" w:cs="Times New Roman"/>
                <w:color w:val="000000"/>
                <w:sz w:val="14"/>
                <w:szCs w:val="14"/>
                <w:lang w:eastAsia="sk-SK"/>
              </w:rPr>
              <w:t xml:space="preserve">                            640 bežné transfery</w:t>
            </w:r>
          </w:p>
        </w:tc>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40 729 616</w:t>
            </w:r>
          </w:p>
        </w:tc>
        <w:tc>
          <w:tcPr>
            <w:tcW w:w="527" w:type="pct"/>
            <w:tcBorders>
              <w:top w:val="nil"/>
              <w:left w:val="nil"/>
              <w:bottom w:val="single" w:sz="4" w:space="0" w:color="auto"/>
              <w:right w:val="single" w:sz="4" w:space="0" w:color="auto"/>
            </w:tcBorders>
            <w:shd w:val="clear" w:color="000000" w:fill="FFFFFF"/>
            <w:noWrap/>
            <w:vAlign w:val="bottom"/>
            <w:hideMark/>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33 269 840</w:t>
            </w:r>
          </w:p>
        </w:tc>
        <w:tc>
          <w:tcPr>
            <w:tcW w:w="527" w:type="pct"/>
            <w:tcBorders>
              <w:top w:val="nil"/>
              <w:left w:val="nil"/>
              <w:bottom w:val="single" w:sz="4" w:space="0" w:color="auto"/>
              <w:right w:val="single" w:sz="4" w:space="0" w:color="auto"/>
            </w:tcBorders>
            <w:shd w:val="clear" w:color="000000" w:fill="FFFFFF"/>
            <w:noWrap/>
            <w:vAlign w:val="bottom"/>
            <w:hideMark/>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9 420 856</w:t>
            </w:r>
          </w:p>
        </w:tc>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3A497B" w:rsidRPr="003F4DDA" w:rsidRDefault="003A497B" w:rsidP="003E1809">
            <w:pPr>
              <w:jc w:val="right"/>
              <w:rPr>
                <w:rFonts w:ascii="Times New Roman" w:hAnsi="Times New Roman" w:cs="Times New Roman"/>
                <w:color w:val="000000"/>
                <w:sz w:val="14"/>
                <w:szCs w:val="14"/>
              </w:rPr>
            </w:pPr>
            <w:r w:rsidRPr="003F4DDA">
              <w:rPr>
                <w:rFonts w:ascii="Times New Roman" w:hAnsi="Times New Roman" w:cs="Times New Roman"/>
                <w:color w:val="000000"/>
                <w:sz w:val="14"/>
                <w:szCs w:val="14"/>
              </w:rPr>
              <w:t>33 852 595</w:t>
            </w:r>
          </w:p>
        </w:tc>
        <w:tc>
          <w:tcPr>
            <w:tcW w:w="527" w:type="pct"/>
            <w:tcBorders>
              <w:top w:val="nil"/>
              <w:left w:val="single" w:sz="4" w:space="0" w:color="auto"/>
              <w:bottom w:val="single" w:sz="4" w:space="0" w:color="auto"/>
              <w:right w:val="single" w:sz="4" w:space="0" w:color="auto"/>
            </w:tcBorders>
            <w:shd w:val="clear" w:color="auto" w:fill="auto"/>
            <w:vAlign w:val="bottom"/>
            <w:hideMark/>
          </w:tcPr>
          <w:p w:rsidR="003A497B" w:rsidRPr="00055C9A" w:rsidRDefault="003A497B" w:rsidP="003E1809">
            <w:pPr>
              <w:jc w:val="right"/>
              <w:rPr>
                <w:rFonts w:ascii="Times New Roman" w:hAnsi="Times New Roman" w:cs="Times New Roman"/>
                <w:sz w:val="14"/>
                <w:szCs w:val="14"/>
              </w:rPr>
            </w:pPr>
            <w:r w:rsidRPr="00055C9A">
              <w:rPr>
                <w:rFonts w:ascii="Times New Roman" w:hAnsi="Times New Roman" w:cs="Times New Roman"/>
                <w:sz w:val="14"/>
                <w:szCs w:val="14"/>
              </w:rPr>
              <w:t>10 104 856</w:t>
            </w:r>
          </w:p>
        </w:tc>
        <w:tc>
          <w:tcPr>
            <w:tcW w:w="527" w:type="pct"/>
            <w:tcBorders>
              <w:top w:val="nil"/>
              <w:left w:val="nil"/>
              <w:bottom w:val="single" w:sz="4" w:space="0" w:color="auto"/>
              <w:right w:val="single" w:sz="4" w:space="0" w:color="auto"/>
            </w:tcBorders>
            <w:shd w:val="clear" w:color="auto" w:fill="auto"/>
            <w:vAlign w:val="bottom"/>
            <w:hideMark/>
          </w:tcPr>
          <w:p w:rsidR="003A497B" w:rsidRPr="00055C9A" w:rsidRDefault="003A497B" w:rsidP="003E1809">
            <w:pPr>
              <w:jc w:val="right"/>
              <w:rPr>
                <w:rFonts w:ascii="Times New Roman" w:hAnsi="Times New Roman" w:cs="Times New Roman"/>
                <w:sz w:val="14"/>
                <w:szCs w:val="14"/>
              </w:rPr>
            </w:pPr>
            <w:r w:rsidRPr="00055C9A">
              <w:rPr>
                <w:rFonts w:ascii="Times New Roman" w:hAnsi="Times New Roman" w:cs="Times New Roman"/>
                <w:sz w:val="14"/>
                <w:szCs w:val="14"/>
              </w:rPr>
              <w:t>10 144 856</w:t>
            </w:r>
          </w:p>
        </w:tc>
        <w:tc>
          <w:tcPr>
            <w:tcW w:w="528" w:type="pct"/>
            <w:tcBorders>
              <w:top w:val="nil"/>
              <w:left w:val="nil"/>
              <w:bottom w:val="single" w:sz="4" w:space="0" w:color="auto"/>
              <w:right w:val="single" w:sz="4" w:space="0" w:color="auto"/>
            </w:tcBorders>
            <w:shd w:val="clear" w:color="auto" w:fill="auto"/>
            <w:vAlign w:val="bottom"/>
            <w:hideMark/>
          </w:tcPr>
          <w:p w:rsidR="003A497B" w:rsidRPr="00055C9A" w:rsidRDefault="003A497B" w:rsidP="003E1809">
            <w:pPr>
              <w:jc w:val="right"/>
              <w:rPr>
                <w:rFonts w:ascii="Times New Roman" w:hAnsi="Times New Roman" w:cs="Times New Roman"/>
                <w:sz w:val="14"/>
                <w:szCs w:val="14"/>
              </w:rPr>
            </w:pPr>
            <w:r w:rsidRPr="00055C9A">
              <w:rPr>
                <w:rFonts w:ascii="Times New Roman" w:hAnsi="Times New Roman" w:cs="Times New Roman"/>
                <w:sz w:val="14"/>
                <w:szCs w:val="14"/>
              </w:rPr>
              <w:t>10 144 856</w:t>
            </w:r>
          </w:p>
        </w:tc>
      </w:tr>
      <w:tr w:rsidR="003A497B" w:rsidRPr="004B7170" w:rsidTr="003E1809">
        <w:trPr>
          <w:trHeight w:val="255"/>
        </w:trPr>
        <w:tc>
          <w:tcPr>
            <w:tcW w:w="1307" w:type="pct"/>
            <w:tcBorders>
              <w:top w:val="nil"/>
              <w:left w:val="single" w:sz="4" w:space="0" w:color="auto"/>
              <w:bottom w:val="single" w:sz="4" w:space="0" w:color="auto"/>
              <w:right w:val="single" w:sz="4" w:space="0" w:color="auto"/>
            </w:tcBorders>
            <w:noWrap/>
            <w:vAlign w:val="center"/>
            <w:hideMark/>
          </w:tcPr>
          <w:p w:rsidR="003A497B" w:rsidRPr="004B7170" w:rsidRDefault="003A497B" w:rsidP="003E1809">
            <w:pPr>
              <w:rPr>
                <w:rFonts w:ascii="Times New Roman" w:hAnsi="Times New Roman" w:cs="Times New Roman"/>
                <w:color w:val="000000"/>
                <w:sz w:val="14"/>
                <w:szCs w:val="14"/>
                <w:lang w:eastAsia="sk-SK"/>
              </w:rPr>
            </w:pPr>
            <w:r w:rsidRPr="004B7170">
              <w:rPr>
                <w:rFonts w:ascii="Times New Roman" w:hAnsi="Times New Roman" w:cs="Times New Roman"/>
                <w:color w:val="000000"/>
                <w:sz w:val="14"/>
                <w:szCs w:val="14"/>
                <w:lang w:eastAsia="sk-SK"/>
              </w:rPr>
              <w:t xml:space="preserve">               kapitálové výdavky 700</w:t>
            </w:r>
          </w:p>
        </w:tc>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1 856 174</w:t>
            </w:r>
          </w:p>
        </w:tc>
        <w:tc>
          <w:tcPr>
            <w:tcW w:w="527" w:type="pct"/>
            <w:tcBorders>
              <w:top w:val="nil"/>
              <w:left w:val="nil"/>
              <w:bottom w:val="single" w:sz="4" w:space="0" w:color="auto"/>
              <w:right w:val="single" w:sz="4" w:space="0" w:color="auto"/>
            </w:tcBorders>
            <w:shd w:val="clear" w:color="000000" w:fill="FFFFFF"/>
            <w:noWrap/>
            <w:vAlign w:val="bottom"/>
            <w:hideMark/>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937 033</w:t>
            </w:r>
          </w:p>
        </w:tc>
        <w:tc>
          <w:tcPr>
            <w:tcW w:w="527" w:type="pct"/>
            <w:tcBorders>
              <w:top w:val="nil"/>
              <w:left w:val="nil"/>
              <w:bottom w:val="single" w:sz="4" w:space="0" w:color="auto"/>
              <w:right w:val="single" w:sz="4" w:space="0" w:color="auto"/>
            </w:tcBorders>
            <w:shd w:val="clear" w:color="000000" w:fill="FFFFFF"/>
            <w:noWrap/>
            <w:vAlign w:val="bottom"/>
            <w:hideMark/>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3 500 000</w:t>
            </w:r>
          </w:p>
        </w:tc>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3A497B" w:rsidRPr="003F4DDA" w:rsidRDefault="003A497B" w:rsidP="003E1809">
            <w:pPr>
              <w:jc w:val="right"/>
              <w:rPr>
                <w:rFonts w:ascii="Times New Roman" w:hAnsi="Times New Roman" w:cs="Times New Roman"/>
                <w:color w:val="000000"/>
                <w:sz w:val="14"/>
                <w:szCs w:val="14"/>
              </w:rPr>
            </w:pPr>
            <w:r w:rsidRPr="003F4DDA">
              <w:rPr>
                <w:rFonts w:ascii="Times New Roman" w:hAnsi="Times New Roman" w:cs="Times New Roman"/>
                <w:color w:val="000000"/>
                <w:sz w:val="14"/>
                <w:szCs w:val="14"/>
              </w:rPr>
              <w:t>1 003 881</w:t>
            </w:r>
          </w:p>
        </w:tc>
        <w:tc>
          <w:tcPr>
            <w:tcW w:w="527" w:type="pct"/>
            <w:tcBorders>
              <w:top w:val="nil"/>
              <w:left w:val="single" w:sz="4" w:space="0" w:color="auto"/>
              <w:bottom w:val="single" w:sz="4" w:space="0" w:color="auto"/>
              <w:right w:val="single" w:sz="4" w:space="0" w:color="auto"/>
            </w:tcBorders>
            <w:shd w:val="clear" w:color="auto" w:fill="auto"/>
            <w:vAlign w:val="bottom"/>
            <w:hideMark/>
          </w:tcPr>
          <w:p w:rsidR="003A497B" w:rsidRPr="00055C9A" w:rsidRDefault="003A497B" w:rsidP="003E1809">
            <w:pPr>
              <w:jc w:val="right"/>
              <w:rPr>
                <w:rFonts w:ascii="Times New Roman" w:hAnsi="Times New Roman" w:cs="Times New Roman"/>
                <w:sz w:val="14"/>
                <w:szCs w:val="14"/>
              </w:rPr>
            </w:pPr>
            <w:r w:rsidRPr="00055C9A">
              <w:rPr>
                <w:rFonts w:ascii="Times New Roman" w:hAnsi="Times New Roman" w:cs="Times New Roman"/>
                <w:sz w:val="14"/>
                <w:szCs w:val="14"/>
              </w:rPr>
              <w:t>3 500 000</w:t>
            </w:r>
          </w:p>
        </w:tc>
        <w:tc>
          <w:tcPr>
            <w:tcW w:w="527" w:type="pct"/>
            <w:tcBorders>
              <w:top w:val="nil"/>
              <w:left w:val="nil"/>
              <w:bottom w:val="single" w:sz="4" w:space="0" w:color="auto"/>
              <w:right w:val="single" w:sz="4" w:space="0" w:color="auto"/>
            </w:tcBorders>
            <w:shd w:val="clear" w:color="auto" w:fill="auto"/>
            <w:vAlign w:val="bottom"/>
            <w:hideMark/>
          </w:tcPr>
          <w:p w:rsidR="003A497B" w:rsidRPr="00055C9A" w:rsidRDefault="003A497B" w:rsidP="003E1809">
            <w:pPr>
              <w:jc w:val="right"/>
              <w:rPr>
                <w:rFonts w:ascii="Times New Roman" w:hAnsi="Times New Roman" w:cs="Times New Roman"/>
                <w:sz w:val="14"/>
                <w:szCs w:val="14"/>
              </w:rPr>
            </w:pPr>
            <w:r w:rsidRPr="00055C9A">
              <w:rPr>
                <w:rFonts w:ascii="Times New Roman" w:hAnsi="Times New Roman" w:cs="Times New Roman"/>
                <w:sz w:val="14"/>
                <w:szCs w:val="14"/>
              </w:rPr>
              <w:t>3 500 000</w:t>
            </w:r>
          </w:p>
        </w:tc>
        <w:tc>
          <w:tcPr>
            <w:tcW w:w="528" w:type="pct"/>
            <w:tcBorders>
              <w:top w:val="nil"/>
              <w:left w:val="nil"/>
              <w:bottom w:val="single" w:sz="4" w:space="0" w:color="auto"/>
              <w:right w:val="single" w:sz="4" w:space="0" w:color="auto"/>
            </w:tcBorders>
            <w:shd w:val="clear" w:color="auto" w:fill="auto"/>
            <w:vAlign w:val="bottom"/>
            <w:hideMark/>
          </w:tcPr>
          <w:p w:rsidR="003A497B" w:rsidRPr="00055C9A" w:rsidRDefault="003A497B" w:rsidP="003E1809">
            <w:pPr>
              <w:jc w:val="right"/>
              <w:rPr>
                <w:rFonts w:ascii="Times New Roman" w:hAnsi="Times New Roman" w:cs="Times New Roman"/>
                <w:sz w:val="14"/>
                <w:szCs w:val="14"/>
              </w:rPr>
            </w:pPr>
            <w:r w:rsidRPr="00055C9A">
              <w:rPr>
                <w:rFonts w:ascii="Times New Roman" w:hAnsi="Times New Roman" w:cs="Times New Roman"/>
                <w:sz w:val="14"/>
                <w:szCs w:val="14"/>
              </w:rPr>
              <w:t>3 500 000</w:t>
            </w:r>
          </w:p>
        </w:tc>
      </w:tr>
      <w:tr w:rsidR="003A497B" w:rsidRPr="004B7170" w:rsidTr="003E1809">
        <w:trPr>
          <w:trHeight w:val="255"/>
        </w:trPr>
        <w:tc>
          <w:tcPr>
            <w:tcW w:w="13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497B" w:rsidRPr="0062539A" w:rsidRDefault="003A497B" w:rsidP="003E1809">
            <w:pPr>
              <w:rPr>
                <w:rFonts w:ascii="Times New Roman" w:hAnsi="Times New Roman" w:cs="Times New Roman"/>
                <w:b/>
                <w:bCs/>
                <w:color w:val="000000"/>
                <w:sz w:val="14"/>
                <w:szCs w:val="14"/>
                <w:lang w:eastAsia="sk-SK"/>
              </w:rPr>
            </w:pPr>
            <w:r w:rsidRPr="0062539A">
              <w:rPr>
                <w:rFonts w:ascii="Times New Roman" w:hAnsi="Times New Roman" w:cs="Times New Roman"/>
                <w:b/>
                <w:bCs/>
                <w:color w:val="000000"/>
                <w:sz w:val="14"/>
                <w:szCs w:val="14"/>
              </w:rPr>
              <w:t>zdro</w:t>
            </w:r>
            <w:r>
              <w:rPr>
                <w:rFonts w:ascii="Times New Roman" w:hAnsi="Times New Roman" w:cs="Times New Roman"/>
                <w:b/>
                <w:bCs/>
                <w:color w:val="000000"/>
                <w:sz w:val="14"/>
                <w:szCs w:val="14"/>
              </w:rPr>
              <w:t>je EÚ vrátane spolufinancovania</w:t>
            </w:r>
          </w:p>
        </w:tc>
        <w:tc>
          <w:tcPr>
            <w:tcW w:w="527" w:type="pct"/>
            <w:tcBorders>
              <w:top w:val="nil"/>
              <w:left w:val="single" w:sz="4" w:space="0" w:color="auto"/>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b/>
                <w:sz w:val="14"/>
                <w:szCs w:val="14"/>
              </w:rPr>
            </w:pPr>
            <w:r w:rsidRPr="006E5C04">
              <w:rPr>
                <w:rFonts w:ascii="Times New Roman" w:hAnsi="Times New Roman" w:cs="Times New Roman"/>
                <w:b/>
                <w:sz w:val="14"/>
                <w:szCs w:val="14"/>
              </w:rPr>
              <w:t>0</w:t>
            </w:r>
          </w:p>
        </w:tc>
        <w:tc>
          <w:tcPr>
            <w:tcW w:w="527" w:type="pct"/>
            <w:tcBorders>
              <w:top w:val="nil"/>
              <w:left w:val="nil"/>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b/>
                <w:sz w:val="14"/>
                <w:szCs w:val="14"/>
              </w:rPr>
            </w:pPr>
            <w:r w:rsidRPr="006E5C04">
              <w:rPr>
                <w:rFonts w:ascii="Times New Roman" w:hAnsi="Times New Roman" w:cs="Times New Roman"/>
                <w:b/>
                <w:sz w:val="14"/>
                <w:szCs w:val="14"/>
              </w:rPr>
              <w:t>78 384</w:t>
            </w:r>
          </w:p>
        </w:tc>
        <w:tc>
          <w:tcPr>
            <w:tcW w:w="527" w:type="pct"/>
            <w:tcBorders>
              <w:top w:val="nil"/>
              <w:left w:val="nil"/>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b/>
                <w:sz w:val="14"/>
                <w:szCs w:val="14"/>
              </w:rPr>
            </w:pPr>
            <w:r w:rsidRPr="006E5C04">
              <w:rPr>
                <w:rFonts w:ascii="Times New Roman" w:hAnsi="Times New Roman" w:cs="Times New Roman"/>
                <w:b/>
                <w:sz w:val="14"/>
                <w:szCs w:val="14"/>
              </w:rPr>
              <w:t>0</w:t>
            </w:r>
          </w:p>
        </w:tc>
        <w:tc>
          <w:tcPr>
            <w:tcW w:w="527" w:type="pct"/>
            <w:tcBorders>
              <w:top w:val="nil"/>
              <w:left w:val="nil"/>
              <w:bottom w:val="single" w:sz="4" w:space="0" w:color="auto"/>
              <w:right w:val="single" w:sz="4" w:space="0" w:color="auto"/>
            </w:tcBorders>
            <w:shd w:val="clear" w:color="auto" w:fill="auto"/>
            <w:noWrap/>
            <w:vAlign w:val="bottom"/>
          </w:tcPr>
          <w:p w:rsidR="003A497B" w:rsidRPr="003F4DDA" w:rsidRDefault="003A497B" w:rsidP="003E1809">
            <w:pPr>
              <w:jc w:val="right"/>
              <w:rPr>
                <w:rFonts w:ascii="Times New Roman" w:hAnsi="Times New Roman" w:cs="Times New Roman"/>
                <w:b/>
                <w:sz w:val="14"/>
                <w:szCs w:val="14"/>
              </w:rPr>
            </w:pPr>
            <w:r w:rsidRPr="003F4DDA">
              <w:rPr>
                <w:rFonts w:ascii="Times New Roman" w:hAnsi="Times New Roman" w:cs="Times New Roman"/>
                <w:b/>
                <w:sz w:val="14"/>
                <w:szCs w:val="14"/>
              </w:rPr>
              <w:t>0</w:t>
            </w:r>
          </w:p>
        </w:tc>
        <w:tc>
          <w:tcPr>
            <w:tcW w:w="527" w:type="pct"/>
            <w:tcBorders>
              <w:top w:val="nil"/>
              <w:left w:val="nil"/>
              <w:bottom w:val="single" w:sz="4" w:space="0" w:color="auto"/>
              <w:right w:val="single" w:sz="4" w:space="0" w:color="auto"/>
            </w:tcBorders>
            <w:shd w:val="clear" w:color="auto" w:fill="auto"/>
            <w:vAlign w:val="bottom"/>
          </w:tcPr>
          <w:p w:rsidR="003A497B" w:rsidRPr="006E5C04" w:rsidRDefault="003A497B" w:rsidP="003E1809">
            <w:pPr>
              <w:jc w:val="right"/>
              <w:rPr>
                <w:rFonts w:ascii="Times New Roman" w:hAnsi="Times New Roman" w:cs="Times New Roman"/>
                <w:b/>
                <w:sz w:val="14"/>
                <w:szCs w:val="14"/>
              </w:rPr>
            </w:pPr>
            <w:r w:rsidRPr="006E5C04">
              <w:rPr>
                <w:rFonts w:ascii="Times New Roman" w:hAnsi="Times New Roman" w:cs="Times New Roman"/>
                <w:b/>
                <w:sz w:val="14"/>
                <w:szCs w:val="14"/>
              </w:rPr>
              <w:t>0</w:t>
            </w:r>
          </w:p>
        </w:tc>
        <w:tc>
          <w:tcPr>
            <w:tcW w:w="527" w:type="pct"/>
            <w:tcBorders>
              <w:top w:val="nil"/>
              <w:left w:val="nil"/>
              <w:bottom w:val="single" w:sz="4" w:space="0" w:color="auto"/>
              <w:right w:val="single" w:sz="4" w:space="0" w:color="auto"/>
            </w:tcBorders>
            <w:shd w:val="clear" w:color="auto" w:fill="auto"/>
            <w:vAlign w:val="bottom"/>
          </w:tcPr>
          <w:p w:rsidR="003A497B" w:rsidRPr="006E5C04" w:rsidRDefault="003A497B" w:rsidP="003E1809">
            <w:pPr>
              <w:jc w:val="right"/>
              <w:rPr>
                <w:rFonts w:ascii="Times New Roman" w:hAnsi="Times New Roman" w:cs="Times New Roman"/>
                <w:b/>
                <w:sz w:val="14"/>
                <w:szCs w:val="14"/>
              </w:rPr>
            </w:pPr>
            <w:r w:rsidRPr="006E5C04">
              <w:rPr>
                <w:rFonts w:ascii="Times New Roman" w:hAnsi="Times New Roman" w:cs="Times New Roman"/>
                <w:b/>
                <w:sz w:val="14"/>
                <w:szCs w:val="14"/>
              </w:rPr>
              <w:t>0</w:t>
            </w:r>
          </w:p>
        </w:tc>
        <w:tc>
          <w:tcPr>
            <w:tcW w:w="528" w:type="pct"/>
            <w:tcBorders>
              <w:top w:val="nil"/>
              <w:left w:val="nil"/>
              <w:bottom w:val="single" w:sz="4" w:space="0" w:color="auto"/>
              <w:right w:val="single" w:sz="4" w:space="0" w:color="auto"/>
            </w:tcBorders>
            <w:shd w:val="clear" w:color="auto" w:fill="auto"/>
            <w:vAlign w:val="bottom"/>
          </w:tcPr>
          <w:p w:rsidR="003A497B" w:rsidRPr="006E5C04" w:rsidRDefault="003A497B" w:rsidP="003E1809">
            <w:pPr>
              <w:jc w:val="right"/>
              <w:rPr>
                <w:rFonts w:ascii="Times New Roman" w:hAnsi="Times New Roman" w:cs="Times New Roman"/>
                <w:b/>
                <w:sz w:val="14"/>
                <w:szCs w:val="14"/>
              </w:rPr>
            </w:pPr>
            <w:r w:rsidRPr="006E5C04">
              <w:rPr>
                <w:rFonts w:ascii="Times New Roman" w:hAnsi="Times New Roman" w:cs="Times New Roman"/>
                <w:b/>
                <w:sz w:val="14"/>
                <w:szCs w:val="14"/>
              </w:rPr>
              <w:t>0</w:t>
            </w:r>
          </w:p>
        </w:tc>
      </w:tr>
      <w:tr w:rsidR="003A497B" w:rsidRPr="004B7170" w:rsidTr="003E1809">
        <w:trPr>
          <w:trHeight w:val="255"/>
        </w:trPr>
        <w:tc>
          <w:tcPr>
            <w:tcW w:w="1307" w:type="pct"/>
            <w:tcBorders>
              <w:top w:val="nil"/>
              <w:left w:val="single" w:sz="4" w:space="0" w:color="auto"/>
              <w:bottom w:val="single" w:sz="4" w:space="0" w:color="auto"/>
              <w:right w:val="single" w:sz="4" w:space="0" w:color="auto"/>
            </w:tcBorders>
            <w:shd w:val="clear" w:color="auto" w:fill="auto"/>
            <w:noWrap/>
            <w:vAlign w:val="center"/>
          </w:tcPr>
          <w:p w:rsidR="003A497B" w:rsidRPr="0062539A" w:rsidRDefault="003A497B" w:rsidP="003E1809">
            <w:pPr>
              <w:rPr>
                <w:rFonts w:ascii="Times New Roman" w:hAnsi="Times New Roman" w:cs="Times New Roman"/>
                <w:color w:val="000000"/>
                <w:sz w:val="14"/>
                <w:szCs w:val="14"/>
              </w:rPr>
            </w:pPr>
            <w:r w:rsidRPr="0062539A">
              <w:rPr>
                <w:rFonts w:ascii="Times New Roman" w:hAnsi="Times New Roman" w:cs="Times New Roman"/>
                <w:color w:val="000000"/>
                <w:sz w:val="14"/>
                <w:szCs w:val="14"/>
              </w:rPr>
              <w:t xml:space="preserve">v tom: </w:t>
            </w:r>
            <w:r>
              <w:rPr>
                <w:rFonts w:ascii="Times New Roman" w:hAnsi="Times New Roman" w:cs="Times New Roman"/>
                <w:color w:val="000000"/>
                <w:sz w:val="14"/>
                <w:szCs w:val="14"/>
              </w:rPr>
              <w:t xml:space="preserve"> </w:t>
            </w:r>
            <w:r w:rsidRPr="0062539A">
              <w:rPr>
                <w:rFonts w:ascii="Times New Roman" w:hAnsi="Times New Roman" w:cs="Times New Roman"/>
                <w:color w:val="000000"/>
                <w:sz w:val="14"/>
                <w:szCs w:val="14"/>
              </w:rPr>
              <w:t>EÚ prostriedky</w:t>
            </w:r>
          </w:p>
        </w:tc>
        <w:tc>
          <w:tcPr>
            <w:tcW w:w="527" w:type="pct"/>
            <w:tcBorders>
              <w:top w:val="nil"/>
              <w:left w:val="single" w:sz="4" w:space="0" w:color="auto"/>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c>
          <w:tcPr>
            <w:tcW w:w="527" w:type="pct"/>
            <w:tcBorders>
              <w:top w:val="nil"/>
              <w:left w:val="nil"/>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64 322</w:t>
            </w:r>
          </w:p>
        </w:tc>
        <w:tc>
          <w:tcPr>
            <w:tcW w:w="527" w:type="pct"/>
            <w:tcBorders>
              <w:top w:val="nil"/>
              <w:left w:val="nil"/>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c>
          <w:tcPr>
            <w:tcW w:w="527" w:type="pct"/>
            <w:tcBorders>
              <w:top w:val="nil"/>
              <w:left w:val="nil"/>
              <w:bottom w:val="single" w:sz="4" w:space="0" w:color="auto"/>
              <w:right w:val="single" w:sz="4" w:space="0" w:color="auto"/>
            </w:tcBorders>
            <w:shd w:val="clear" w:color="auto" w:fill="auto"/>
            <w:noWrap/>
            <w:vAlign w:val="bottom"/>
          </w:tcPr>
          <w:p w:rsidR="003A497B" w:rsidRPr="003F4DDA" w:rsidRDefault="003A497B" w:rsidP="003E1809">
            <w:pPr>
              <w:jc w:val="right"/>
              <w:rPr>
                <w:rFonts w:ascii="Times New Roman" w:hAnsi="Times New Roman" w:cs="Times New Roman"/>
                <w:sz w:val="14"/>
                <w:szCs w:val="14"/>
              </w:rPr>
            </w:pPr>
            <w:r w:rsidRPr="003F4DDA">
              <w:rPr>
                <w:rFonts w:ascii="Times New Roman" w:hAnsi="Times New Roman" w:cs="Times New Roman"/>
                <w:sz w:val="14"/>
                <w:szCs w:val="14"/>
              </w:rPr>
              <w:t>0</w:t>
            </w:r>
          </w:p>
        </w:tc>
        <w:tc>
          <w:tcPr>
            <w:tcW w:w="527" w:type="pct"/>
            <w:tcBorders>
              <w:top w:val="nil"/>
              <w:left w:val="nil"/>
              <w:bottom w:val="single" w:sz="4" w:space="0" w:color="auto"/>
              <w:right w:val="single" w:sz="4" w:space="0" w:color="auto"/>
            </w:tcBorders>
            <w:shd w:val="clear" w:color="auto" w:fill="auto"/>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c>
          <w:tcPr>
            <w:tcW w:w="527" w:type="pct"/>
            <w:tcBorders>
              <w:top w:val="nil"/>
              <w:left w:val="nil"/>
              <w:bottom w:val="single" w:sz="4" w:space="0" w:color="auto"/>
              <w:right w:val="single" w:sz="4" w:space="0" w:color="auto"/>
            </w:tcBorders>
            <w:shd w:val="clear" w:color="auto" w:fill="auto"/>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c>
          <w:tcPr>
            <w:tcW w:w="528" w:type="pct"/>
            <w:tcBorders>
              <w:top w:val="nil"/>
              <w:left w:val="nil"/>
              <w:bottom w:val="single" w:sz="4" w:space="0" w:color="auto"/>
              <w:right w:val="single" w:sz="4" w:space="0" w:color="auto"/>
            </w:tcBorders>
            <w:shd w:val="clear" w:color="auto" w:fill="auto"/>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r>
      <w:tr w:rsidR="003A497B" w:rsidRPr="004B7170" w:rsidTr="003E1809">
        <w:trPr>
          <w:trHeight w:val="255"/>
        </w:trPr>
        <w:tc>
          <w:tcPr>
            <w:tcW w:w="1307" w:type="pct"/>
            <w:tcBorders>
              <w:top w:val="nil"/>
              <w:left w:val="single" w:sz="4" w:space="0" w:color="auto"/>
              <w:bottom w:val="single" w:sz="4" w:space="0" w:color="auto"/>
              <w:right w:val="single" w:sz="4" w:space="0" w:color="auto"/>
            </w:tcBorders>
            <w:shd w:val="clear" w:color="auto" w:fill="auto"/>
            <w:noWrap/>
            <w:vAlign w:val="center"/>
          </w:tcPr>
          <w:p w:rsidR="003A497B" w:rsidRPr="0062539A" w:rsidRDefault="003A497B" w:rsidP="003E1809">
            <w:pPr>
              <w:rPr>
                <w:rFonts w:ascii="Times New Roman" w:hAnsi="Times New Roman" w:cs="Times New Roman"/>
                <w:color w:val="000000"/>
                <w:sz w:val="14"/>
                <w:szCs w:val="14"/>
              </w:rPr>
            </w:pPr>
            <w:r w:rsidRPr="0062539A">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62539A">
              <w:rPr>
                <w:rFonts w:ascii="Times New Roman" w:hAnsi="Times New Roman" w:cs="Times New Roman"/>
                <w:color w:val="000000"/>
                <w:sz w:val="14"/>
                <w:szCs w:val="14"/>
              </w:rPr>
              <w:t xml:space="preserve">  spolufinancovanie zo ŠR</w:t>
            </w:r>
          </w:p>
        </w:tc>
        <w:tc>
          <w:tcPr>
            <w:tcW w:w="527" w:type="pct"/>
            <w:tcBorders>
              <w:top w:val="nil"/>
              <w:left w:val="single" w:sz="4" w:space="0" w:color="auto"/>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c>
          <w:tcPr>
            <w:tcW w:w="527" w:type="pct"/>
            <w:tcBorders>
              <w:top w:val="nil"/>
              <w:left w:val="nil"/>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14 062</w:t>
            </w:r>
          </w:p>
        </w:tc>
        <w:tc>
          <w:tcPr>
            <w:tcW w:w="527" w:type="pct"/>
            <w:tcBorders>
              <w:top w:val="nil"/>
              <w:left w:val="nil"/>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c>
          <w:tcPr>
            <w:tcW w:w="527" w:type="pct"/>
            <w:tcBorders>
              <w:top w:val="nil"/>
              <w:left w:val="nil"/>
              <w:bottom w:val="single" w:sz="4" w:space="0" w:color="auto"/>
              <w:right w:val="single" w:sz="4" w:space="0" w:color="auto"/>
            </w:tcBorders>
            <w:shd w:val="clear" w:color="auto" w:fill="auto"/>
            <w:noWrap/>
            <w:vAlign w:val="bottom"/>
          </w:tcPr>
          <w:p w:rsidR="003A497B" w:rsidRPr="003F4DDA" w:rsidRDefault="003A497B" w:rsidP="003E1809">
            <w:pPr>
              <w:jc w:val="right"/>
              <w:rPr>
                <w:rFonts w:ascii="Times New Roman" w:hAnsi="Times New Roman" w:cs="Times New Roman"/>
                <w:sz w:val="14"/>
                <w:szCs w:val="14"/>
              </w:rPr>
            </w:pPr>
            <w:r w:rsidRPr="003F4DDA">
              <w:rPr>
                <w:rFonts w:ascii="Times New Roman" w:hAnsi="Times New Roman" w:cs="Times New Roman"/>
                <w:sz w:val="14"/>
                <w:szCs w:val="14"/>
              </w:rPr>
              <w:t>0</w:t>
            </w:r>
          </w:p>
        </w:tc>
        <w:tc>
          <w:tcPr>
            <w:tcW w:w="527" w:type="pct"/>
            <w:tcBorders>
              <w:top w:val="nil"/>
              <w:left w:val="nil"/>
              <w:bottom w:val="single" w:sz="4" w:space="0" w:color="auto"/>
              <w:right w:val="single" w:sz="4" w:space="0" w:color="auto"/>
            </w:tcBorders>
            <w:shd w:val="clear" w:color="auto" w:fill="auto"/>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c>
          <w:tcPr>
            <w:tcW w:w="527" w:type="pct"/>
            <w:tcBorders>
              <w:top w:val="nil"/>
              <w:left w:val="nil"/>
              <w:bottom w:val="single" w:sz="4" w:space="0" w:color="auto"/>
              <w:right w:val="single" w:sz="4" w:space="0" w:color="auto"/>
            </w:tcBorders>
            <w:shd w:val="clear" w:color="auto" w:fill="auto"/>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c>
          <w:tcPr>
            <w:tcW w:w="528" w:type="pct"/>
            <w:tcBorders>
              <w:top w:val="nil"/>
              <w:left w:val="nil"/>
              <w:bottom w:val="single" w:sz="4" w:space="0" w:color="auto"/>
              <w:right w:val="single" w:sz="4" w:space="0" w:color="auto"/>
            </w:tcBorders>
            <w:shd w:val="clear" w:color="auto" w:fill="auto"/>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r>
      <w:tr w:rsidR="003A497B" w:rsidRPr="004B7170" w:rsidTr="003E1809">
        <w:trPr>
          <w:trHeight w:val="255"/>
        </w:trPr>
        <w:tc>
          <w:tcPr>
            <w:tcW w:w="1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97B" w:rsidRPr="0062539A" w:rsidRDefault="003A497B" w:rsidP="003E1809">
            <w:pP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rPr>
              <w:t>presun z minulých rokov</w:t>
            </w:r>
          </w:p>
        </w:tc>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3A497B" w:rsidRPr="006E5C04" w:rsidRDefault="003A497B" w:rsidP="003E1809">
            <w:pPr>
              <w:jc w:val="right"/>
              <w:rPr>
                <w:rFonts w:ascii="Times New Roman" w:hAnsi="Times New Roman" w:cs="Times New Roman"/>
                <w:b/>
                <w:sz w:val="14"/>
                <w:szCs w:val="14"/>
              </w:rPr>
            </w:pPr>
            <w:r w:rsidRPr="006E5C04">
              <w:rPr>
                <w:rFonts w:ascii="Times New Roman" w:hAnsi="Times New Roman" w:cs="Times New Roman"/>
                <w:b/>
                <w:sz w:val="14"/>
                <w:szCs w:val="14"/>
              </w:rPr>
              <w:t>15 019 388</w:t>
            </w:r>
          </w:p>
        </w:tc>
        <w:tc>
          <w:tcPr>
            <w:tcW w:w="527" w:type="pct"/>
            <w:tcBorders>
              <w:top w:val="nil"/>
              <w:left w:val="nil"/>
              <w:bottom w:val="single" w:sz="4" w:space="0" w:color="auto"/>
              <w:right w:val="single" w:sz="4" w:space="0" w:color="auto"/>
            </w:tcBorders>
            <w:shd w:val="clear" w:color="auto" w:fill="auto"/>
            <w:noWrap/>
            <w:vAlign w:val="bottom"/>
            <w:hideMark/>
          </w:tcPr>
          <w:p w:rsidR="003A497B" w:rsidRPr="006E5C04" w:rsidRDefault="003A497B" w:rsidP="003E1809">
            <w:pPr>
              <w:jc w:val="right"/>
              <w:rPr>
                <w:rFonts w:ascii="Times New Roman" w:hAnsi="Times New Roman" w:cs="Times New Roman"/>
                <w:b/>
                <w:sz w:val="14"/>
                <w:szCs w:val="14"/>
              </w:rPr>
            </w:pPr>
            <w:r w:rsidRPr="006E5C04">
              <w:rPr>
                <w:rFonts w:ascii="Times New Roman" w:hAnsi="Times New Roman" w:cs="Times New Roman"/>
                <w:b/>
                <w:sz w:val="14"/>
                <w:szCs w:val="14"/>
              </w:rPr>
              <w:t>12 266 893</w:t>
            </w:r>
          </w:p>
        </w:tc>
        <w:tc>
          <w:tcPr>
            <w:tcW w:w="527" w:type="pct"/>
            <w:tcBorders>
              <w:top w:val="nil"/>
              <w:left w:val="nil"/>
              <w:bottom w:val="single" w:sz="4" w:space="0" w:color="auto"/>
              <w:right w:val="single" w:sz="4" w:space="0" w:color="auto"/>
            </w:tcBorders>
            <w:shd w:val="clear" w:color="auto" w:fill="auto"/>
            <w:noWrap/>
            <w:vAlign w:val="bottom"/>
            <w:hideMark/>
          </w:tcPr>
          <w:p w:rsidR="003A497B" w:rsidRPr="006E5C04" w:rsidRDefault="003A497B" w:rsidP="003E1809">
            <w:pPr>
              <w:jc w:val="right"/>
              <w:rPr>
                <w:rFonts w:ascii="Times New Roman" w:hAnsi="Times New Roman" w:cs="Times New Roman"/>
                <w:b/>
                <w:sz w:val="14"/>
                <w:szCs w:val="14"/>
              </w:rPr>
            </w:pPr>
            <w:r w:rsidRPr="006E5C04">
              <w:rPr>
                <w:rFonts w:ascii="Times New Roman" w:hAnsi="Times New Roman" w:cs="Times New Roman"/>
                <w:b/>
                <w:sz w:val="14"/>
                <w:szCs w:val="14"/>
              </w:rPr>
              <w:t>0</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7B" w:rsidRPr="003F4DDA" w:rsidRDefault="003A497B" w:rsidP="003E1809">
            <w:pPr>
              <w:jc w:val="right"/>
              <w:rPr>
                <w:rFonts w:ascii="Times New Roman" w:hAnsi="Times New Roman" w:cs="Times New Roman"/>
                <w:b/>
                <w:bCs/>
                <w:color w:val="000000"/>
                <w:sz w:val="14"/>
                <w:szCs w:val="14"/>
                <w:lang w:eastAsia="sk-SK"/>
              </w:rPr>
            </w:pPr>
            <w:r w:rsidRPr="003F4DDA">
              <w:rPr>
                <w:rFonts w:ascii="Times New Roman" w:hAnsi="Times New Roman" w:cs="Times New Roman"/>
                <w:b/>
                <w:bCs/>
                <w:color w:val="000000"/>
                <w:sz w:val="14"/>
                <w:szCs w:val="14"/>
              </w:rPr>
              <w:t>9 106 602</w:t>
            </w:r>
          </w:p>
        </w:tc>
        <w:tc>
          <w:tcPr>
            <w:tcW w:w="527" w:type="pct"/>
            <w:tcBorders>
              <w:top w:val="nil"/>
              <w:left w:val="nil"/>
              <w:bottom w:val="single" w:sz="4" w:space="0" w:color="auto"/>
              <w:right w:val="single" w:sz="4" w:space="0" w:color="auto"/>
            </w:tcBorders>
            <w:shd w:val="clear" w:color="auto" w:fill="auto"/>
            <w:noWrap/>
            <w:vAlign w:val="bottom"/>
            <w:hideMark/>
          </w:tcPr>
          <w:p w:rsidR="003A497B" w:rsidRPr="006E5C04" w:rsidRDefault="003A497B" w:rsidP="003E1809">
            <w:pPr>
              <w:jc w:val="right"/>
              <w:rPr>
                <w:rFonts w:ascii="Times New Roman" w:hAnsi="Times New Roman" w:cs="Times New Roman"/>
                <w:b/>
                <w:sz w:val="14"/>
                <w:szCs w:val="14"/>
              </w:rPr>
            </w:pPr>
            <w:r w:rsidRPr="006E5C04">
              <w:rPr>
                <w:rFonts w:ascii="Times New Roman" w:hAnsi="Times New Roman" w:cs="Times New Roman"/>
                <w:b/>
                <w:sz w:val="14"/>
                <w:szCs w:val="14"/>
              </w:rPr>
              <w:t>0</w:t>
            </w:r>
          </w:p>
        </w:tc>
        <w:tc>
          <w:tcPr>
            <w:tcW w:w="527" w:type="pct"/>
            <w:tcBorders>
              <w:top w:val="nil"/>
              <w:left w:val="nil"/>
              <w:bottom w:val="single" w:sz="4" w:space="0" w:color="auto"/>
              <w:right w:val="single" w:sz="4" w:space="0" w:color="auto"/>
            </w:tcBorders>
            <w:shd w:val="clear" w:color="auto" w:fill="auto"/>
            <w:noWrap/>
            <w:vAlign w:val="bottom"/>
            <w:hideMark/>
          </w:tcPr>
          <w:p w:rsidR="003A497B" w:rsidRPr="006E5C04" w:rsidRDefault="003A497B" w:rsidP="003E1809">
            <w:pPr>
              <w:jc w:val="right"/>
              <w:rPr>
                <w:rFonts w:ascii="Times New Roman" w:hAnsi="Times New Roman" w:cs="Times New Roman"/>
                <w:b/>
                <w:sz w:val="14"/>
                <w:szCs w:val="14"/>
              </w:rPr>
            </w:pPr>
            <w:r w:rsidRPr="006E5C04">
              <w:rPr>
                <w:rFonts w:ascii="Times New Roman" w:hAnsi="Times New Roman" w:cs="Times New Roman"/>
                <w:b/>
                <w:sz w:val="14"/>
                <w:szCs w:val="14"/>
              </w:rPr>
              <w:t>0</w:t>
            </w:r>
          </w:p>
        </w:tc>
        <w:tc>
          <w:tcPr>
            <w:tcW w:w="528" w:type="pct"/>
            <w:tcBorders>
              <w:top w:val="nil"/>
              <w:left w:val="nil"/>
              <w:bottom w:val="single" w:sz="4" w:space="0" w:color="auto"/>
              <w:right w:val="single" w:sz="4" w:space="0" w:color="auto"/>
            </w:tcBorders>
            <w:shd w:val="clear" w:color="auto" w:fill="auto"/>
            <w:noWrap/>
            <w:vAlign w:val="bottom"/>
            <w:hideMark/>
          </w:tcPr>
          <w:p w:rsidR="003A497B" w:rsidRPr="006E5C04" w:rsidRDefault="003A497B" w:rsidP="003E1809">
            <w:pPr>
              <w:jc w:val="right"/>
              <w:rPr>
                <w:rFonts w:ascii="Times New Roman" w:hAnsi="Times New Roman" w:cs="Times New Roman"/>
                <w:b/>
                <w:sz w:val="14"/>
                <w:szCs w:val="14"/>
              </w:rPr>
            </w:pPr>
            <w:r w:rsidRPr="006E5C04">
              <w:rPr>
                <w:rFonts w:ascii="Times New Roman" w:hAnsi="Times New Roman" w:cs="Times New Roman"/>
                <w:b/>
                <w:sz w:val="14"/>
                <w:szCs w:val="14"/>
              </w:rPr>
              <w:t>0</w:t>
            </w:r>
          </w:p>
        </w:tc>
      </w:tr>
      <w:tr w:rsidR="003A497B" w:rsidRPr="004B7170" w:rsidTr="003E1809">
        <w:trPr>
          <w:trHeight w:val="255"/>
        </w:trPr>
        <w:tc>
          <w:tcPr>
            <w:tcW w:w="1307" w:type="pct"/>
            <w:tcBorders>
              <w:top w:val="nil"/>
              <w:left w:val="single" w:sz="4" w:space="0" w:color="auto"/>
              <w:bottom w:val="single" w:sz="4" w:space="0" w:color="auto"/>
              <w:right w:val="single" w:sz="4" w:space="0" w:color="auto"/>
            </w:tcBorders>
            <w:shd w:val="clear" w:color="auto" w:fill="auto"/>
            <w:noWrap/>
            <w:vAlign w:val="center"/>
          </w:tcPr>
          <w:p w:rsidR="003A497B" w:rsidRPr="0062539A" w:rsidRDefault="003A497B" w:rsidP="003E1809">
            <w:pPr>
              <w:rPr>
                <w:rFonts w:ascii="Times New Roman" w:hAnsi="Times New Roman" w:cs="Times New Roman"/>
                <w:color w:val="000000"/>
                <w:sz w:val="14"/>
                <w:szCs w:val="14"/>
              </w:rPr>
            </w:pPr>
            <w:r>
              <w:rPr>
                <w:rFonts w:ascii="Times New Roman" w:hAnsi="Times New Roman" w:cs="Times New Roman"/>
                <w:color w:val="000000"/>
                <w:sz w:val="14"/>
                <w:szCs w:val="14"/>
              </w:rPr>
              <w:t>v tom</w:t>
            </w:r>
            <w:r w:rsidRPr="0062539A">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62539A">
              <w:rPr>
                <w:rFonts w:ascii="Times New Roman" w:hAnsi="Times New Roman" w:cs="Times New Roman"/>
                <w:color w:val="000000"/>
                <w:sz w:val="14"/>
                <w:szCs w:val="14"/>
              </w:rPr>
              <w:t>štátny rozpočet</w:t>
            </w:r>
          </w:p>
        </w:tc>
        <w:tc>
          <w:tcPr>
            <w:tcW w:w="527" w:type="pct"/>
            <w:tcBorders>
              <w:top w:val="nil"/>
              <w:left w:val="single" w:sz="4" w:space="0" w:color="auto"/>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14 276 689</w:t>
            </w:r>
          </w:p>
        </w:tc>
        <w:tc>
          <w:tcPr>
            <w:tcW w:w="527" w:type="pct"/>
            <w:tcBorders>
              <w:top w:val="nil"/>
              <w:left w:val="nil"/>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11 976 325</w:t>
            </w:r>
          </w:p>
        </w:tc>
        <w:tc>
          <w:tcPr>
            <w:tcW w:w="527" w:type="pct"/>
            <w:tcBorders>
              <w:top w:val="nil"/>
              <w:left w:val="nil"/>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c>
          <w:tcPr>
            <w:tcW w:w="527" w:type="pct"/>
            <w:tcBorders>
              <w:top w:val="nil"/>
              <w:left w:val="single" w:sz="4" w:space="0" w:color="auto"/>
              <w:bottom w:val="single" w:sz="4" w:space="0" w:color="auto"/>
              <w:right w:val="single" w:sz="4" w:space="0" w:color="auto"/>
            </w:tcBorders>
            <w:shd w:val="clear" w:color="auto" w:fill="auto"/>
            <w:noWrap/>
            <w:vAlign w:val="bottom"/>
          </w:tcPr>
          <w:p w:rsidR="003A497B" w:rsidRPr="003F4DDA" w:rsidRDefault="003A497B" w:rsidP="003E1809">
            <w:pPr>
              <w:jc w:val="right"/>
              <w:rPr>
                <w:rFonts w:ascii="Times New Roman" w:hAnsi="Times New Roman" w:cs="Times New Roman"/>
                <w:color w:val="000000"/>
                <w:sz w:val="14"/>
                <w:szCs w:val="14"/>
              </w:rPr>
            </w:pPr>
            <w:r w:rsidRPr="003F4DDA">
              <w:rPr>
                <w:rFonts w:ascii="Times New Roman" w:hAnsi="Times New Roman" w:cs="Times New Roman"/>
                <w:color w:val="000000"/>
                <w:sz w:val="14"/>
                <w:szCs w:val="14"/>
              </w:rPr>
              <w:t>9 106 602</w:t>
            </w:r>
          </w:p>
        </w:tc>
        <w:tc>
          <w:tcPr>
            <w:tcW w:w="527" w:type="pct"/>
            <w:tcBorders>
              <w:top w:val="nil"/>
              <w:left w:val="nil"/>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c>
          <w:tcPr>
            <w:tcW w:w="527" w:type="pct"/>
            <w:tcBorders>
              <w:top w:val="nil"/>
              <w:left w:val="nil"/>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c>
          <w:tcPr>
            <w:tcW w:w="528" w:type="pct"/>
            <w:tcBorders>
              <w:top w:val="nil"/>
              <w:left w:val="nil"/>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r>
      <w:tr w:rsidR="003A497B" w:rsidRPr="004B7170" w:rsidTr="003E1809">
        <w:trPr>
          <w:trHeight w:val="255"/>
        </w:trPr>
        <w:tc>
          <w:tcPr>
            <w:tcW w:w="1307" w:type="pct"/>
            <w:tcBorders>
              <w:top w:val="nil"/>
              <w:left w:val="single" w:sz="4" w:space="0" w:color="auto"/>
              <w:bottom w:val="single" w:sz="4" w:space="0" w:color="auto"/>
              <w:right w:val="single" w:sz="4" w:space="0" w:color="auto"/>
            </w:tcBorders>
            <w:shd w:val="clear" w:color="auto" w:fill="auto"/>
            <w:noWrap/>
            <w:vAlign w:val="center"/>
          </w:tcPr>
          <w:p w:rsidR="003A497B" w:rsidRPr="0062539A" w:rsidRDefault="003A497B" w:rsidP="003E1809">
            <w:pPr>
              <w:rPr>
                <w:rFonts w:ascii="Times New Roman" w:hAnsi="Times New Roman" w:cs="Times New Roman"/>
                <w:color w:val="000000"/>
                <w:sz w:val="14"/>
                <w:szCs w:val="14"/>
              </w:rPr>
            </w:pPr>
            <w:r w:rsidRPr="0062539A">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62539A">
              <w:rPr>
                <w:rFonts w:ascii="Times New Roman" w:hAnsi="Times New Roman" w:cs="Times New Roman"/>
                <w:color w:val="000000"/>
                <w:sz w:val="14"/>
                <w:szCs w:val="14"/>
              </w:rPr>
              <w:t>EÚ prostriedky</w:t>
            </w:r>
          </w:p>
        </w:tc>
        <w:tc>
          <w:tcPr>
            <w:tcW w:w="527" w:type="pct"/>
            <w:tcBorders>
              <w:top w:val="nil"/>
              <w:left w:val="single" w:sz="4" w:space="0" w:color="auto"/>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585 777</w:t>
            </w:r>
          </w:p>
        </w:tc>
        <w:tc>
          <w:tcPr>
            <w:tcW w:w="527" w:type="pct"/>
            <w:tcBorders>
              <w:top w:val="nil"/>
              <w:left w:val="nil"/>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238 440</w:t>
            </w:r>
          </w:p>
        </w:tc>
        <w:tc>
          <w:tcPr>
            <w:tcW w:w="527" w:type="pct"/>
            <w:tcBorders>
              <w:top w:val="nil"/>
              <w:left w:val="nil"/>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c>
          <w:tcPr>
            <w:tcW w:w="527" w:type="pct"/>
            <w:tcBorders>
              <w:top w:val="nil"/>
              <w:left w:val="single" w:sz="4" w:space="0" w:color="auto"/>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Pr>
                <w:rFonts w:ascii="Times New Roman" w:hAnsi="Times New Roman" w:cs="Times New Roman"/>
                <w:sz w:val="14"/>
                <w:szCs w:val="14"/>
              </w:rPr>
              <w:t>0</w:t>
            </w:r>
          </w:p>
        </w:tc>
        <w:tc>
          <w:tcPr>
            <w:tcW w:w="527" w:type="pct"/>
            <w:tcBorders>
              <w:top w:val="nil"/>
              <w:left w:val="nil"/>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c>
          <w:tcPr>
            <w:tcW w:w="527" w:type="pct"/>
            <w:tcBorders>
              <w:top w:val="nil"/>
              <w:left w:val="nil"/>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c>
          <w:tcPr>
            <w:tcW w:w="528" w:type="pct"/>
            <w:tcBorders>
              <w:top w:val="nil"/>
              <w:left w:val="nil"/>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r>
      <w:tr w:rsidR="003A497B" w:rsidRPr="004B7170" w:rsidTr="003E1809">
        <w:trPr>
          <w:trHeight w:val="255"/>
        </w:trPr>
        <w:tc>
          <w:tcPr>
            <w:tcW w:w="1307" w:type="pct"/>
            <w:tcBorders>
              <w:top w:val="nil"/>
              <w:left w:val="single" w:sz="4" w:space="0" w:color="auto"/>
              <w:bottom w:val="single" w:sz="4" w:space="0" w:color="auto"/>
              <w:right w:val="single" w:sz="4" w:space="0" w:color="auto"/>
            </w:tcBorders>
            <w:shd w:val="clear" w:color="auto" w:fill="auto"/>
            <w:noWrap/>
            <w:vAlign w:val="center"/>
          </w:tcPr>
          <w:p w:rsidR="003A497B" w:rsidRPr="0062539A" w:rsidRDefault="003A497B" w:rsidP="003E1809">
            <w:pPr>
              <w:rPr>
                <w:rFonts w:ascii="Times New Roman" w:hAnsi="Times New Roman" w:cs="Times New Roman"/>
                <w:color w:val="000000"/>
                <w:sz w:val="14"/>
                <w:szCs w:val="14"/>
              </w:rPr>
            </w:pPr>
            <w:r w:rsidRPr="0062539A">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62539A">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62539A">
              <w:rPr>
                <w:rFonts w:ascii="Times New Roman" w:hAnsi="Times New Roman" w:cs="Times New Roman"/>
                <w:color w:val="000000"/>
                <w:sz w:val="14"/>
                <w:szCs w:val="14"/>
              </w:rPr>
              <w:t>spolufinancovanie zo ŠR</w:t>
            </w:r>
          </w:p>
        </w:tc>
        <w:tc>
          <w:tcPr>
            <w:tcW w:w="527" w:type="pct"/>
            <w:tcBorders>
              <w:top w:val="nil"/>
              <w:left w:val="single" w:sz="4" w:space="0" w:color="auto"/>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156 922</w:t>
            </w:r>
          </w:p>
        </w:tc>
        <w:tc>
          <w:tcPr>
            <w:tcW w:w="527" w:type="pct"/>
            <w:tcBorders>
              <w:top w:val="nil"/>
              <w:left w:val="nil"/>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52 128</w:t>
            </w:r>
          </w:p>
        </w:tc>
        <w:tc>
          <w:tcPr>
            <w:tcW w:w="527" w:type="pct"/>
            <w:tcBorders>
              <w:top w:val="nil"/>
              <w:left w:val="nil"/>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c>
          <w:tcPr>
            <w:tcW w:w="527" w:type="pct"/>
            <w:tcBorders>
              <w:top w:val="nil"/>
              <w:left w:val="single" w:sz="4" w:space="0" w:color="auto"/>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Pr>
                <w:rFonts w:ascii="Times New Roman" w:hAnsi="Times New Roman" w:cs="Times New Roman"/>
                <w:sz w:val="14"/>
                <w:szCs w:val="14"/>
              </w:rPr>
              <w:t>0</w:t>
            </w:r>
          </w:p>
        </w:tc>
        <w:tc>
          <w:tcPr>
            <w:tcW w:w="527" w:type="pct"/>
            <w:tcBorders>
              <w:top w:val="nil"/>
              <w:left w:val="nil"/>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c>
          <w:tcPr>
            <w:tcW w:w="527" w:type="pct"/>
            <w:tcBorders>
              <w:top w:val="nil"/>
              <w:left w:val="nil"/>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c>
          <w:tcPr>
            <w:tcW w:w="528" w:type="pct"/>
            <w:tcBorders>
              <w:top w:val="nil"/>
              <w:left w:val="nil"/>
              <w:bottom w:val="single" w:sz="4" w:space="0" w:color="auto"/>
              <w:right w:val="single" w:sz="4" w:space="0" w:color="auto"/>
            </w:tcBorders>
            <w:shd w:val="clear" w:color="auto" w:fill="auto"/>
            <w:noWrap/>
            <w:vAlign w:val="bottom"/>
          </w:tcPr>
          <w:p w:rsidR="003A497B" w:rsidRPr="006E5C04" w:rsidRDefault="003A497B" w:rsidP="003E1809">
            <w:pPr>
              <w:jc w:val="right"/>
              <w:rPr>
                <w:rFonts w:ascii="Times New Roman" w:hAnsi="Times New Roman" w:cs="Times New Roman"/>
                <w:sz w:val="14"/>
                <w:szCs w:val="14"/>
              </w:rPr>
            </w:pPr>
            <w:r w:rsidRPr="006E5C04">
              <w:rPr>
                <w:rFonts w:ascii="Times New Roman" w:hAnsi="Times New Roman" w:cs="Times New Roman"/>
                <w:sz w:val="14"/>
                <w:szCs w:val="14"/>
              </w:rPr>
              <w:t>0</w:t>
            </w:r>
          </w:p>
        </w:tc>
      </w:tr>
    </w:tbl>
    <w:p w:rsidR="003A497B" w:rsidRPr="004B7170" w:rsidRDefault="003A497B" w:rsidP="003A497B">
      <w:pPr>
        <w:jc w:val="both"/>
        <w:rPr>
          <w:rFonts w:ascii="Times New Roman" w:hAnsi="Times New Roman" w:cs="Times New Roman"/>
          <w:b/>
          <w:color w:val="000000"/>
          <w:highlight w:val="yellow"/>
        </w:rPr>
      </w:pPr>
    </w:p>
    <w:tbl>
      <w:tblPr>
        <w:tblW w:w="5000" w:type="pct"/>
        <w:tblCellMar>
          <w:left w:w="70" w:type="dxa"/>
          <w:right w:w="70" w:type="dxa"/>
        </w:tblCellMar>
        <w:tblLook w:val="04A0" w:firstRow="1" w:lastRow="0" w:firstColumn="1" w:lastColumn="0" w:noHBand="0" w:noVBand="1"/>
      </w:tblPr>
      <w:tblGrid>
        <w:gridCol w:w="2404"/>
        <w:gridCol w:w="951"/>
        <w:gridCol w:w="951"/>
        <w:gridCol w:w="952"/>
        <w:gridCol w:w="952"/>
        <w:gridCol w:w="952"/>
        <w:gridCol w:w="952"/>
        <w:gridCol w:w="948"/>
      </w:tblGrid>
      <w:tr w:rsidR="003A497B" w:rsidRPr="00251699" w:rsidTr="003E1809">
        <w:trPr>
          <w:trHeight w:val="261"/>
        </w:trPr>
        <w:tc>
          <w:tcPr>
            <w:tcW w:w="1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97B" w:rsidRPr="00251699" w:rsidRDefault="003A497B" w:rsidP="003E1809">
            <w:pPr>
              <w:rPr>
                <w:rFonts w:ascii="Times New Roman" w:hAnsi="Times New Roman" w:cs="Times New Roman"/>
                <w:b/>
                <w:bCs/>
                <w:color w:val="000000"/>
                <w:sz w:val="14"/>
                <w:szCs w:val="14"/>
                <w:lang w:eastAsia="sk-SK"/>
              </w:rPr>
            </w:pPr>
            <w:r w:rsidRPr="00251699">
              <w:rPr>
                <w:rFonts w:ascii="Times New Roman" w:hAnsi="Times New Roman" w:cs="Times New Roman"/>
                <w:b/>
                <w:bCs/>
                <w:color w:val="000000"/>
                <w:sz w:val="14"/>
                <w:szCs w:val="14"/>
                <w:lang w:eastAsia="sk-SK"/>
              </w:rPr>
              <w:t>Samostatné účty</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7B" w:rsidRPr="00251699" w:rsidRDefault="003A497B" w:rsidP="003E1809">
            <w:pPr>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5 600</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251699" w:rsidRDefault="003A497B" w:rsidP="003E180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69</w:t>
            </w:r>
            <w:r w:rsidRPr="00251699">
              <w:rPr>
                <w:rFonts w:ascii="Times New Roman" w:hAnsi="Times New Roman" w:cs="Times New Roman"/>
                <w:b/>
                <w:bCs/>
                <w:color w:val="000000"/>
                <w:sz w:val="14"/>
                <w:szCs w:val="14"/>
              </w:rPr>
              <w:t xml:space="preserve"> </w:t>
            </w:r>
            <w:r>
              <w:rPr>
                <w:rFonts w:ascii="Times New Roman" w:hAnsi="Times New Roman" w:cs="Times New Roman"/>
                <w:b/>
                <w:bCs/>
                <w:color w:val="000000"/>
                <w:sz w:val="14"/>
                <w:szCs w:val="14"/>
              </w:rPr>
              <w:t>303</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251699" w:rsidRDefault="003A497B" w:rsidP="003E1809">
            <w:pPr>
              <w:jc w:val="right"/>
              <w:rPr>
                <w:rFonts w:ascii="Times New Roman" w:hAnsi="Times New Roman" w:cs="Times New Roman"/>
                <w:b/>
                <w:bCs/>
                <w:color w:val="000000"/>
                <w:sz w:val="14"/>
                <w:szCs w:val="14"/>
                <w:lang w:eastAsia="sk-SK"/>
              </w:rPr>
            </w:pPr>
            <w:r w:rsidRPr="00251699">
              <w:rPr>
                <w:rFonts w:ascii="Times New Roman" w:hAnsi="Times New Roman" w:cs="Times New Roman"/>
                <w:b/>
                <w:bCs/>
                <w:color w:val="000000"/>
                <w:sz w:val="14"/>
                <w:szCs w:val="14"/>
                <w:lang w:eastAsia="sk-SK"/>
              </w:rPr>
              <w:t> </w:t>
            </w:r>
            <w:r>
              <w:rPr>
                <w:rFonts w:ascii="Times New Roman" w:hAnsi="Times New Roman" w:cs="Times New Roman"/>
                <w:b/>
                <w:bCs/>
                <w:color w:val="000000"/>
                <w:sz w:val="14"/>
                <w:szCs w:val="14"/>
                <w:lang w:eastAsia="sk-SK"/>
              </w:rPr>
              <w:t>0</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251699" w:rsidRDefault="003A497B" w:rsidP="003E1809">
            <w:pPr>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0</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251699" w:rsidRDefault="003A497B" w:rsidP="003E1809">
            <w:pPr>
              <w:jc w:val="right"/>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0</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251699" w:rsidRDefault="003A497B" w:rsidP="003E1809">
            <w:pPr>
              <w:jc w:val="right"/>
              <w:rPr>
                <w:rFonts w:ascii="Times New Roman" w:hAnsi="Times New Roman" w:cs="Times New Roman"/>
                <w:b/>
                <w:bCs/>
                <w:color w:val="000000"/>
                <w:sz w:val="14"/>
                <w:szCs w:val="14"/>
                <w:lang w:eastAsia="sk-SK"/>
              </w:rPr>
            </w:pPr>
            <w:r w:rsidRPr="00251699">
              <w:rPr>
                <w:rFonts w:ascii="Times New Roman" w:hAnsi="Times New Roman" w:cs="Times New Roman"/>
                <w:b/>
                <w:bCs/>
                <w:color w:val="000000"/>
                <w:sz w:val="14"/>
                <w:szCs w:val="14"/>
                <w:lang w:eastAsia="sk-SK"/>
              </w:rPr>
              <w:t> </w:t>
            </w:r>
            <w:r>
              <w:rPr>
                <w:rFonts w:ascii="Times New Roman" w:hAnsi="Times New Roman" w:cs="Times New Roman"/>
                <w:b/>
                <w:bCs/>
                <w:color w:val="000000"/>
                <w:sz w:val="14"/>
                <w:szCs w:val="14"/>
                <w:lang w:eastAsia="sk-SK"/>
              </w:rPr>
              <w:t>0</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251699" w:rsidRDefault="003A497B" w:rsidP="003E1809">
            <w:pPr>
              <w:jc w:val="right"/>
              <w:rPr>
                <w:rFonts w:ascii="Times New Roman" w:hAnsi="Times New Roman" w:cs="Times New Roman"/>
                <w:b/>
                <w:bCs/>
                <w:color w:val="000000"/>
                <w:sz w:val="14"/>
                <w:szCs w:val="14"/>
                <w:lang w:eastAsia="sk-SK"/>
              </w:rPr>
            </w:pPr>
            <w:r w:rsidRPr="00251699">
              <w:rPr>
                <w:rFonts w:ascii="Times New Roman" w:hAnsi="Times New Roman" w:cs="Times New Roman"/>
                <w:b/>
                <w:bCs/>
                <w:color w:val="000000"/>
                <w:sz w:val="14"/>
                <w:szCs w:val="14"/>
                <w:lang w:eastAsia="sk-SK"/>
              </w:rPr>
              <w:t> </w:t>
            </w:r>
            <w:r>
              <w:rPr>
                <w:rFonts w:ascii="Times New Roman" w:hAnsi="Times New Roman" w:cs="Times New Roman"/>
                <w:b/>
                <w:bCs/>
                <w:color w:val="000000"/>
                <w:sz w:val="14"/>
                <w:szCs w:val="14"/>
                <w:lang w:eastAsia="sk-SK"/>
              </w:rPr>
              <w:t>0</w:t>
            </w:r>
          </w:p>
        </w:tc>
      </w:tr>
    </w:tbl>
    <w:p w:rsidR="003A497B"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p>
    <w:p w:rsidR="003A497B" w:rsidRPr="001D56F2" w:rsidRDefault="003A497B" w:rsidP="003A497B">
      <w:pPr>
        <w:ind w:firstLine="708"/>
        <w:jc w:val="both"/>
        <w:rPr>
          <w:rFonts w:ascii="Times New Roman" w:hAnsi="Times New Roman" w:cs="Times New Roman"/>
        </w:rPr>
      </w:pPr>
      <w:r w:rsidRPr="001D56F2">
        <w:rPr>
          <w:rFonts w:ascii="Times New Roman" w:hAnsi="Times New Roman" w:cs="Times New Roman"/>
        </w:rPr>
        <w:t>Celkové výdavky kapitoly na rok 201</w:t>
      </w:r>
      <w:r>
        <w:rPr>
          <w:rFonts w:ascii="Times New Roman" w:hAnsi="Times New Roman" w:cs="Times New Roman"/>
        </w:rPr>
        <w:t>9</w:t>
      </w:r>
      <w:r w:rsidRPr="001D56F2">
        <w:rPr>
          <w:rFonts w:ascii="Times New Roman" w:hAnsi="Times New Roman" w:cs="Times New Roman"/>
        </w:rPr>
        <w:t xml:space="preserve"> sú v porovnaní so schváleným rozpočtom roku 201</w:t>
      </w:r>
      <w:r>
        <w:rPr>
          <w:rFonts w:ascii="Times New Roman" w:hAnsi="Times New Roman" w:cs="Times New Roman"/>
        </w:rPr>
        <w:t>8</w:t>
      </w:r>
      <w:r w:rsidRPr="001D56F2">
        <w:rPr>
          <w:rFonts w:ascii="Times New Roman" w:hAnsi="Times New Roman" w:cs="Times New Roman"/>
        </w:rPr>
        <w:t xml:space="preserve"> vyššie o</w:t>
      </w:r>
      <w:r>
        <w:rPr>
          <w:rFonts w:ascii="Times New Roman" w:hAnsi="Times New Roman" w:cs="Times New Roman"/>
        </w:rPr>
        <w:t> 17,1</w:t>
      </w:r>
      <w:r w:rsidRPr="001D56F2">
        <w:rPr>
          <w:rFonts w:ascii="Times New Roman" w:hAnsi="Times New Roman" w:cs="Times New Roman"/>
        </w:rPr>
        <w:t xml:space="preserve"> mil. eur, t. j. o</w:t>
      </w:r>
      <w:r>
        <w:rPr>
          <w:rFonts w:ascii="Times New Roman" w:hAnsi="Times New Roman" w:cs="Times New Roman"/>
        </w:rPr>
        <w:t> 14,3</w:t>
      </w:r>
      <w:r w:rsidRPr="001D56F2">
        <w:rPr>
          <w:rFonts w:ascii="Times New Roman" w:hAnsi="Times New Roman" w:cs="Times New Roman"/>
        </w:rPr>
        <w:t xml:space="preserve"> %. Nárast je zaznamenaný najmä v</w:t>
      </w:r>
      <w:r>
        <w:rPr>
          <w:rFonts w:ascii="Times New Roman" w:hAnsi="Times New Roman" w:cs="Times New Roman"/>
        </w:rPr>
        <w:t xml:space="preserve">o </w:t>
      </w:r>
      <w:r w:rsidRPr="001D56F2">
        <w:rPr>
          <w:rFonts w:ascii="Times New Roman" w:hAnsi="Times New Roman" w:cs="Times New Roman"/>
        </w:rPr>
        <w:t>výdavkoch</w:t>
      </w:r>
      <w:r>
        <w:rPr>
          <w:rFonts w:ascii="Times New Roman" w:hAnsi="Times New Roman" w:cs="Times New Roman"/>
        </w:rPr>
        <w:t xml:space="preserve"> na tovary a služby</w:t>
      </w:r>
      <w:r w:rsidRPr="001D56F2">
        <w:rPr>
          <w:rFonts w:ascii="Times New Roman" w:hAnsi="Times New Roman" w:cs="Times New Roman"/>
        </w:rPr>
        <w:t xml:space="preserve">. </w:t>
      </w:r>
    </w:p>
    <w:p w:rsidR="003A497B" w:rsidRPr="00D530ED" w:rsidRDefault="003A497B" w:rsidP="003A497B">
      <w:pPr>
        <w:ind w:firstLine="708"/>
        <w:jc w:val="both"/>
        <w:rPr>
          <w:rFonts w:ascii="Times New Roman" w:hAnsi="Times New Roman" w:cs="Times New Roman"/>
          <w:highlight w:val="yellow"/>
        </w:rPr>
      </w:pPr>
    </w:p>
    <w:p w:rsidR="003A497B" w:rsidRPr="002D35D6" w:rsidRDefault="003A497B" w:rsidP="003A497B">
      <w:pPr>
        <w:ind w:firstLine="708"/>
        <w:jc w:val="both"/>
        <w:rPr>
          <w:rFonts w:ascii="Times New Roman" w:hAnsi="Times New Roman" w:cs="Times New Roman"/>
        </w:rPr>
      </w:pPr>
      <w:r w:rsidRPr="002D35D6">
        <w:rPr>
          <w:rFonts w:ascii="Times New Roman" w:hAnsi="Times New Roman" w:cs="Times New Roman"/>
        </w:rPr>
        <w:t>Na rok 201</w:t>
      </w:r>
      <w:r>
        <w:rPr>
          <w:rFonts w:ascii="Times New Roman" w:hAnsi="Times New Roman" w:cs="Times New Roman"/>
        </w:rPr>
        <w:t>9</w:t>
      </w:r>
      <w:r w:rsidRPr="002D35D6">
        <w:rPr>
          <w:rFonts w:ascii="Times New Roman" w:hAnsi="Times New Roman" w:cs="Times New Roman"/>
        </w:rPr>
        <w:t xml:space="preserve"> sa navrhujú osobné výdavky v sume </w:t>
      </w:r>
      <w:r>
        <w:rPr>
          <w:rFonts w:ascii="Times New Roman" w:hAnsi="Times New Roman" w:cs="Times New Roman"/>
        </w:rPr>
        <w:t>71,4</w:t>
      </w:r>
      <w:r w:rsidRPr="002D35D6">
        <w:rPr>
          <w:rFonts w:ascii="Times New Roman" w:hAnsi="Times New Roman" w:cs="Times New Roman"/>
        </w:rPr>
        <w:t xml:space="preserve"> mil. eur, čo predstavuje nárast oproti schválenému rozpočtu roku 201</w:t>
      </w:r>
      <w:r>
        <w:rPr>
          <w:rFonts w:ascii="Times New Roman" w:hAnsi="Times New Roman" w:cs="Times New Roman"/>
        </w:rPr>
        <w:t>8</w:t>
      </w:r>
      <w:r w:rsidRPr="002D35D6">
        <w:rPr>
          <w:rFonts w:ascii="Times New Roman" w:hAnsi="Times New Roman" w:cs="Times New Roman"/>
        </w:rPr>
        <w:t xml:space="preserve"> o</w:t>
      </w:r>
      <w:r>
        <w:rPr>
          <w:rFonts w:ascii="Times New Roman" w:hAnsi="Times New Roman" w:cs="Times New Roman"/>
        </w:rPr>
        <w:t> 3,76</w:t>
      </w:r>
      <w:r w:rsidRPr="002D35D6">
        <w:rPr>
          <w:rFonts w:ascii="Times New Roman" w:hAnsi="Times New Roman" w:cs="Times New Roman"/>
        </w:rPr>
        <w:t xml:space="preserve"> mil. eur, t. j. o</w:t>
      </w:r>
      <w:r>
        <w:rPr>
          <w:rFonts w:ascii="Times New Roman" w:hAnsi="Times New Roman" w:cs="Times New Roman"/>
        </w:rPr>
        <w:t> 5,56</w:t>
      </w:r>
      <w:r w:rsidRPr="002D35D6">
        <w:rPr>
          <w:rFonts w:ascii="Times New Roman" w:hAnsi="Times New Roman" w:cs="Times New Roman"/>
        </w:rPr>
        <w:t xml:space="preserve"> %.</w:t>
      </w:r>
      <w:r w:rsidRPr="002D35D6">
        <w:t xml:space="preserve"> </w:t>
      </w:r>
      <w:r w:rsidRPr="002D35D6">
        <w:rPr>
          <w:rFonts w:ascii="Times New Roman" w:hAnsi="Times New Roman" w:cs="Times New Roman"/>
        </w:rPr>
        <w:t xml:space="preserve">Dôvodom rastu je premietnutie valorizácie platov </w:t>
      </w:r>
      <w:r>
        <w:rPr>
          <w:rFonts w:ascii="Times New Roman" w:hAnsi="Times New Roman" w:cs="Times New Roman"/>
        </w:rPr>
        <w:t>zamestnancov z</w:t>
      </w:r>
      <w:r w:rsidRPr="002D35D6">
        <w:rPr>
          <w:rFonts w:ascii="Times New Roman" w:hAnsi="Times New Roman" w:cs="Times New Roman"/>
        </w:rPr>
        <w:t> roku 201</w:t>
      </w:r>
      <w:r>
        <w:rPr>
          <w:rFonts w:ascii="Times New Roman" w:hAnsi="Times New Roman" w:cs="Times New Roman"/>
        </w:rPr>
        <w:t>8 do nasledujúcich rokov a zvýšenie platov zamestnancov v zahraničí</w:t>
      </w:r>
      <w:r w:rsidRPr="002D35D6">
        <w:rPr>
          <w:rFonts w:ascii="Times New Roman" w:hAnsi="Times New Roman" w:cs="Times New Roman"/>
        </w:rPr>
        <w:t>.</w:t>
      </w:r>
    </w:p>
    <w:p w:rsidR="003A497B" w:rsidRPr="002D35D6"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sidRPr="002D35D6">
        <w:rPr>
          <w:rFonts w:ascii="Times New Roman" w:hAnsi="Times New Roman" w:cs="Times New Roman"/>
        </w:rPr>
        <w:t>Výdavky na tovar</w:t>
      </w:r>
      <w:r>
        <w:rPr>
          <w:rFonts w:ascii="Times New Roman" w:hAnsi="Times New Roman" w:cs="Times New Roman"/>
        </w:rPr>
        <w:t>y a služby sa navrhujú v sume 51,4</w:t>
      </w:r>
      <w:r w:rsidRPr="002D35D6">
        <w:rPr>
          <w:rFonts w:ascii="Times New Roman" w:hAnsi="Times New Roman" w:cs="Times New Roman"/>
        </w:rPr>
        <w:t xml:space="preserve"> mil. eur, čo predstavuje </w:t>
      </w:r>
      <w:r>
        <w:rPr>
          <w:rFonts w:ascii="Times New Roman" w:hAnsi="Times New Roman" w:cs="Times New Roman"/>
        </w:rPr>
        <w:t>nárast</w:t>
      </w:r>
      <w:r w:rsidRPr="002D35D6">
        <w:rPr>
          <w:rFonts w:ascii="Times New Roman" w:hAnsi="Times New Roman" w:cs="Times New Roman"/>
        </w:rPr>
        <w:t xml:space="preserve"> oproti schválenému rozpočtu roku 201</w:t>
      </w:r>
      <w:r>
        <w:rPr>
          <w:rFonts w:ascii="Times New Roman" w:hAnsi="Times New Roman" w:cs="Times New Roman"/>
        </w:rPr>
        <w:t>8</w:t>
      </w:r>
      <w:r w:rsidRPr="002D35D6">
        <w:rPr>
          <w:rFonts w:ascii="Times New Roman" w:hAnsi="Times New Roman" w:cs="Times New Roman"/>
        </w:rPr>
        <w:t xml:space="preserve"> o</w:t>
      </w:r>
      <w:r>
        <w:rPr>
          <w:rFonts w:ascii="Times New Roman" w:hAnsi="Times New Roman" w:cs="Times New Roman"/>
        </w:rPr>
        <w:t> 12,6</w:t>
      </w:r>
      <w:r w:rsidRPr="002D35D6">
        <w:rPr>
          <w:rFonts w:ascii="Times New Roman" w:hAnsi="Times New Roman" w:cs="Times New Roman"/>
        </w:rPr>
        <w:t xml:space="preserve"> </w:t>
      </w:r>
      <w:r>
        <w:rPr>
          <w:rFonts w:ascii="Times New Roman" w:hAnsi="Times New Roman" w:cs="Times New Roman"/>
        </w:rPr>
        <w:t>mil</w:t>
      </w:r>
      <w:r w:rsidRPr="002D35D6">
        <w:rPr>
          <w:rFonts w:ascii="Times New Roman" w:hAnsi="Times New Roman" w:cs="Times New Roman"/>
        </w:rPr>
        <w:t>. eur, t. j. o</w:t>
      </w:r>
      <w:r>
        <w:rPr>
          <w:rFonts w:ascii="Times New Roman" w:hAnsi="Times New Roman" w:cs="Times New Roman"/>
        </w:rPr>
        <w:t> 32,6</w:t>
      </w:r>
      <w:r w:rsidRPr="002D35D6">
        <w:rPr>
          <w:rFonts w:ascii="Times New Roman" w:hAnsi="Times New Roman" w:cs="Times New Roman"/>
        </w:rPr>
        <w:t xml:space="preserve"> %. </w:t>
      </w:r>
      <w:r>
        <w:rPr>
          <w:rFonts w:ascii="Times New Roman" w:hAnsi="Times New Roman" w:cs="Times New Roman"/>
        </w:rPr>
        <w:t xml:space="preserve">Nárast </w:t>
      </w:r>
      <w:r w:rsidRPr="005B3A58">
        <w:rPr>
          <w:rFonts w:ascii="Times New Roman" w:hAnsi="Times New Roman" w:cs="Times New Roman"/>
        </w:rPr>
        <w:t xml:space="preserve">je spôsobený </w:t>
      </w:r>
      <w:r>
        <w:rPr>
          <w:rFonts w:ascii="Times New Roman" w:hAnsi="Times New Roman" w:cs="Times New Roman"/>
        </w:rPr>
        <w:t xml:space="preserve">rozpočtovaním výdavkov na predsedníctvo SR v Organizácii pre bezpečnosť a spoluprácu v Európe (ďalej len „OBSE“), výdavkov na predsedníctvo SR v Organizácii pre hospodársku spoluprácu a rozvoj (ďalej len „OECD“), posilnením prevádzkových výdavkov ako aj zvýšením výdavkov na školné a zamestnávanie miestnych síl. </w:t>
      </w:r>
    </w:p>
    <w:p w:rsidR="003A497B" w:rsidRPr="00D530ED" w:rsidRDefault="003A497B" w:rsidP="003A497B">
      <w:pPr>
        <w:ind w:firstLine="708"/>
        <w:jc w:val="both"/>
        <w:rPr>
          <w:rFonts w:ascii="Times New Roman" w:hAnsi="Times New Roman" w:cs="Times New Roman"/>
          <w:highlight w:val="yellow"/>
        </w:rPr>
      </w:pPr>
    </w:p>
    <w:p w:rsidR="003A497B" w:rsidRPr="002D35D6" w:rsidRDefault="003A497B" w:rsidP="003A497B">
      <w:pPr>
        <w:ind w:firstLine="708"/>
        <w:jc w:val="both"/>
        <w:rPr>
          <w:rFonts w:ascii="Times New Roman" w:hAnsi="Times New Roman" w:cs="Times New Roman"/>
        </w:rPr>
      </w:pPr>
      <w:r w:rsidRPr="002D35D6">
        <w:rPr>
          <w:rFonts w:ascii="Times New Roman" w:hAnsi="Times New Roman" w:cs="Times New Roman"/>
        </w:rPr>
        <w:lastRenderedPageBreak/>
        <w:t xml:space="preserve">V oblasti bežných transferov sa navrhuje suma </w:t>
      </w:r>
      <w:r>
        <w:rPr>
          <w:rFonts w:ascii="Times New Roman" w:hAnsi="Times New Roman" w:cs="Times New Roman"/>
        </w:rPr>
        <w:t>10,1</w:t>
      </w:r>
      <w:r w:rsidRPr="002D35D6">
        <w:rPr>
          <w:rFonts w:ascii="Times New Roman" w:hAnsi="Times New Roman" w:cs="Times New Roman"/>
        </w:rPr>
        <w:t xml:space="preserve"> mil. eur, čo predstavuje </w:t>
      </w:r>
      <w:r>
        <w:rPr>
          <w:rFonts w:ascii="Times New Roman" w:hAnsi="Times New Roman" w:cs="Times New Roman"/>
        </w:rPr>
        <w:t>nárast</w:t>
      </w:r>
      <w:r w:rsidRPr="002D35D6">
        <w:rPr>
          <w:rFonts w:ascii="Times New Roman" w:hAnsi="Times New Roman" w:cs="Times New Roman"/>
        </w:rPr>
        <w:t xml:space="preserve"> oproti schválenému rozpočtu roku 201</w:t>
      </w:r>
      <w:r>
        <w:rPr>
          <w:rFonts w:ascii="Times New Roman" w:hAnsi="Times New Roman" w:cs="Times New Roman"/>
        </w:rPr>
        <w:t>8</w:t>
      </w:r>
      <w:r w:rsidRPr="002D35D6">
        <w:rPr>
          <w:rFonts w:ascii="Times New Roman" w:hAnsi="Times New Roman" w:cs="Times New Roman"/>
        </w:rPr>
        <w:t xml:space="preserve"> o </w:t>
      </w:r>
      <w:r>
        <w:rPr>
          <w:rFonts w:ascii="Times New Roman" w:hAnsi="Times New Roman" w:cs="Times New Roman"/>
        </w:rPr>
        <w:t>684</w:t>
      </w:r>
      <w:r w:rsidRPr="002D35D6">
        <w:rPr>
          <w:rFonts w:ascii="Times New Roman" w:hAnsi="Times New Roman" w:cs="Times New Roman"/>
        </w:rPr>
        <w:t xml:space="preserve"> tis. eur, t. j. o</w:t>
      </w:r>
      <w:r>
        <w:rPr>
          <w:rFonts w:ascii="Times New Roman" w:hAnsi="Times New Roman" w:cs="Times New Roman"/>
        </w:rPr>
        <w:t> 7,26</w:t>
      </w:r>
      <w:r w:rsidRPr="002D35D6">
        <w:rPr>
          <w:rFonts w:ascii="Times New Roman" w:hAnsi="Times New Roman" w:cs="Times New Roman"/>
        </w:rPr>
        <w:t xml:space="preserve"> %. Výdavky </w:t>
      </w:r>
      <w:r>
        <w:rPr>
          <w:rFonts w:ascii="Times New Roman" w:hAnsi="Times New Roman" w:cs="Times New Roman"/>
        </w:rPr>
        <w:t xml:space="preserve">rastú v dôsledku zmien uskutočnených kapitolou pri rozpise a v súvislosti s predsedníctvom v OECD v roku 2019. </w:t>
      </w:r>
      <w:r w:rsidRPr="002D35D6">
        <w:rPr>
          <w:rFonts w:ascii="Times New Roman" w:hAnsi="Times New Roman" w:cs="Times New Roman"/>
        </w:rPr>
        <w:t xml:space="preserve">   </w:t>
      </w:r>
    </w:p>
    <w:p w:rsidR="003A497B" w:rsidRPr="001A288E" w:rsidRDefault="003A497B" w:rsidP="003A497B">
      <w:pPr>
        <w:ind w:firstLine="708"/>
        <w:jc w:val="both"/>
        <w:rPr>
          <w:rFonts w:ascii="Times New Roman" w:hAnsi="Times New Roman" w:cs="Times New Roman"/>
        </w:rPr>
      </w:pPr>
    </w:p>
    <w:p w:rsidR="003A497B" w:rsidRPr="001A288E" w:rsidRDefault="003A497B" w:rsidP="003A497B">
      <w:pPr>
        <w:ind w:firstLine="708"/>
        <w:jc w:val="both"/>
        <w:rPr>
          <w:rFonts w:ascii="Times New Roman" w:hAnsi="Times New Roman" w:cs="Times New Roman"/>
        </w:rPr>
      </w:pPr>
      <w:r w:rsidRPr="001A288E">
        <w:rPr>
          <w:rFonts w:ascii="Times New Roman" w:hAnsi="Times New Roman" w:cs="Times New Roman"/>
        </w:rPr>
        <w:t>V rámci kapitálových výdavkov sa rozpisujú výdavky vo výške 3,5 mil. eur</w:t>
      </w:r>
      <w:r>
        <w:rPr>
          <w:rFonts w:ascii="Times New Roman" w:hAnsi="Times New Roman" w:cs="Times New Roman"/>
        </w:rPr>
        <w:t xml:space="preserve"> a medziročne sa nemenia</w:t>
      </w:r>
      <w:r w:rsidRPr="001A288E">
        <w:rPr>
          <w:rFonts w:ascii="Times New Roman" w:hAnsi="Times New Roman" w:cs="Times New Roman"/>
        </w:rPr>
        <w:t>. Kapitálové výdavky sa v roku 201</w:t>
      </w:r>
      <w:r>
        <w:rPr>
          <w:rFonts w:ascii="Times New Roman" w:hAnsi="Times New Roman" w:cs="Times New Roman"/>
        </w:rPr>
        <w:t>9</w:t>
      </w:r>
      <w:r w:rsidRPr="001A288E">
        <w:rPr>
          <w:rFonts w:ascii="Times New Roman" w:hAnsi="Times New Roman" w:cs="Times New Roman"/>
        </w:rPr>
        <w:t xml:space="preserve"> plánujú použiť najmä na rekonštrukciu </w:t>
      </w:r>
      <w:r>
        <w:rPr>
          <w:rFonts w:ascii="Times New Roman" w:hAnsi="Times New Roman" w:cs="Times New Roman"/>
        </w:rPr>
        <w:t>budovy zastupiteľského úradu v Londýne, rekonštrukciu bytového objektu v Londýne</w:t>
      </w:r>
      <w:r w:rsidRPr="001A288E">
        <w:rPr>
          <w:rFonts w:ascii="Times New Roman" w:hAnsi="Times New Roman" w:cs="Times New Roman"/>
        </w:rPr>
        <w:t>, nákup dopravných prostriedkov a na nákup kancelárskych strojov.</w:t>
      </w:r>
    </w:p>
    <w:p w:rsidR="003A497B" w:rsidRDefault="003A497B" w:rsidP="003A497B">
      <w:pPr>
        <w:ind w:firstLine="708"/>
        <w:jc w:val="both"/>
        <w:rPr>
          <w:rFonts w:ascii="Times New Roman" w:hAnsi="Times New Roman" w:cs="Times New Roman"/>
        </w:rPr>
      </w:pPr>
    </w:p>
    <w:p w:rsidR="003A497B" w:rsidRPr="00F628DB" w:rsidRDefault="003A497B" w:rsidP="003A497B">
      <w:pPr>
        <w:ind w:firstLine="708"/>
        <w:jc w:val="both"/>
        <w:rPr>
          <w:rFonts w:ascii="Times New Roman" w:hAnsi="Times New Roman" w:cs="Times New Roman"/>
        </w:rPr>
      </w:pPr>
      <w:r w:rsidRPr="003109B1">
        <w:rPr>
          <w:rFonts w:ascii="Times New Roman" w:hAnsi="Times New Roman" w:cs="Times New Roman"/>
        </w:rPr>
        <w:t>Rozpočet Ministerstva zahraničných vecí a európskych záležitostí SR (ďalej len „MZVaEZ SR“) je smerovaný do týchto oblastí.</w:t>
      </w:r>
    </w:p>
    <w:p w:rsidR="003A497B" w:rsidRPr="00F628DB" w:rsidRDefault="003A497B" w:rsidP="003A497B">
      <w:pPr>
        <w:jc w:val="both"/>
        <w:rPr>
          <w:rFonts w:ascii="Times New Roman" w:hAnsi="Times New Roman" w:cs="Times New Roman"/>
        </w:rPr>
      </w:pPr>
    </w:p>
    <w:tbl>
      <w:tblPr>
        <w:tblW w:w="5000" w:type="pct"/>
        <w:tblLayout w:type="fixed"/>
        <w:tblCellMar>
          <w:left w:w="70" w:type="dxa"/>
          <w:right w:w="70" w:type="dxa"/>
        </w:tblCellMar>
        <w:tblLook w:val="04A0" w:firstRow="1" w:lastRow="0" w:firstColumn="1" w:lastColumn="0" w:noHBand="0" w:noVBand="1"/>
      </w:tblPr>
      <w:tblGrid>
        <w:gridCol w:w="2858"/>
        <w:gridCol w:w="872"/>
        <w:gridCol w:w="872"/>
        <w:gridCol w:w="872"/>
        <w:gridCol w:w="872"/>
        <w:gridCol w:w="906"/>
        <w:gridCol w:w="906"/>
        <w:gridCol w:w="904"/>
      </w:tblGrid>
      <w:tr w:rsidR="003A497B" w:rsidRPr="00F628DB" w:rsidTr="003E1809">
        <w:trPr>
          <w:trHeight w:val="255"/>
        </w:trPr>
        <w:tc>
          <w:tcPr>
            <w:tcW w:w="1577" w:type="pct"/>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3A497B" w:rsidRPr="00F628DB" w:rsidRDefault="003A497B" w:rsidP="003E1809">
            <w:pPr>
              <w:rPr>
                <w:rFonts w:ascii="Times New Roman" w:hAnsi="Times New Roman" w:cs="Times New Roman"/>
                <w:b/>
                <w:bCs/>
                <w:color w:val="000000"/>
                <w:sz w:val="14"/>
                <w:szCs w:val="14"/>
                <w:lang w:eastAsia="sk-SK"/>
              </w:rPr>
            </w:pPr>
            <w:r w:rsidRPr="00F628DB">
              <w:rPr>
                <w:rFonts w:ascii="Times New Roman" w:hAnsi="Times New Roman" w:cs="Times New Roman"/>
                <w:b/>
                <w:bCs/>
                <w:color w:val="000000"/>
                <w:sz w:val="14"/>
                <w:szCs w:val="14"/>
                <w:lang w:eastAsia="sk-SK"/>
              </w:rPr>
              <w:t> v eurách</w:t>
            </w:r>
          </w:p>
        </w:tc>
        <w:tc>
          <w:tcPr>
            <w:tcW w:w="481"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122682" w:rsidRDefault="003A497B" w:rsidP="003E1809">
            <w:pPr>
              <w:jc w:val="center"/>
              <w:rPr>
                <w:rFonts w:ascii="Times New Roman" w:hAnsi="Times New Roman" w:cs="Times New Roman"/>
                <w:b/>
                <w:bCs/>
                <w:sz w:val="14"/>
                <w:szCs w:val="14"/>
                <w:lang w:eastAsia="sk-SK"/>
              </w:rPr>
            </w:pPr>
            <w:r w:rsidRPr="00122682">
              <w:rPr>
                <w:rFonts w:ascii="Times New Roman" w:hAnsi="Times New Roman" w:cs="Times New Roman"/>
                <w:b/>
                <w:bCs/>
                <w:sz w:val="14"/>
                <w:szCs w:val="14"/>
              </w:rPr>
              <w:t>2016 S</w:t>
            </w:r>
          </w:p>
        </w:tc>
        <w:tc>
          <w:tcPr>
            <w:tcW w:w="48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122682" w:rsidRDefault="003A497B" w:rsidP="003E1809">
            <w:pPr>
              <w:jc w:val="center"/>
              <w:rPr>
                <w:rFonts w:ascii="Times New Roman" w:hAnsi="Times New Roman" w:cs="Times New Roman"/>
                <w:b/>
                <w:bCs/>
                <w:sz w:val="14"/>
                <w:szCs w:val="14"/>
              </w:rPr>
            </w:pPr>
            <w:r w:rsidRPr="00122682">
              <w:rPr>
                <w:rFonts w:ascii="Times New Roman" w:hAnsi="Times New Roman" w:cs="Times New Roman"/>
                <w:b/>
                <w:bCs/>
                <w:sz w:val="14"/>
                <w:szCs w:val="14"/>
              </w:rPr>
              <w:t>2017 S</w:t>
            </w:r>
          </w:p>
        </w:tc>
        <w:tc>
          <w:tcPr>
            <w:tcW w:w="48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122682" w:rsidRDefault="003A497B" w:rsidP="003E1809">
            <w:pPr>
              <w:jc w:val="center"/>
              <w:rPr>
                <w:rFonts w:ascii="Times New Roman" w:hAnsi="Times New Roman" w:cs="Times New Roman"/>
                <w:b/>
                <w:bCs/>
                <w:sz w:val="14"/>
                <w:szCs w:val="14"/>
              </w:rPr>
            </w:pPr>
            <w:r w:rsidRPr="00122682">
              <w:rPr>
                <w:rFonts w:ascii="Times New Roman" w:hAnsi="Times New Roman" w:cs="Times New Roman"/>
                <w:b/>
                <w:bCs/>
                <w:sz w:val="14"/>
                <w:szCs w:val="14"/>
              </w:rPr>
              <w:t>2018 R</w:t>
            </w:r>
          </w:p>
        </w:tc>
        <w:tc>
          <w:tcPr>
            <w:tcW w:w="48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122682" w:rsidRDefault="003A497B" w:rsidP="003E1809">
            <w:pPr>
              <w:jc w:val="center"/>
              <w:rPr>
                <w:rFonts w:ascii="Times New Roman" w:hAnsi="Times New Roman" w:cs="Times New Roman"/>
                <w:b/>
                <w:bCs/>
                <w:color w:val="000000"/>
                <w:sz w:val="14"/>
                <w:szCs w:val="14"/>
              </w:rPr>
            </w:pPr>
            <w:r w:rsidRPr="00122682">
              <w:rPr>
                <w:rFonts w:ascii="Times New Roman" w:hAnsi="Times New Roman" w:cs="Times New Roman"/>
                <w:b/>
                <w:bCs/>
                <w:color w:val="000000"/>
                <w:sz w:val="14"/>
                <w:szCs w:val="14"/>
              </w:rPr>
              <w:t>2018 OS</w:t>
            </w:r>
          </w:p>
        </w:tc>
        <w:tc>
          <w:tcPr>
            <w:tcW w:w="500"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122682" w:rsidRDefault="003A497B" w:rsidP="003E1809">
            <w:pPr>
              <w:jc w:val="center"/>
              <w:rPr>
                <w:rFonts w:ascii="Times New Roman" w:hAnsi="Times New Roman" w:cs="Times New Roman"/>
                <w:b/>
                <w:bCs/>
                <w:color w:val="000000"/>
                <w:sz w:val="14"/>
                <w:szCs w:val="14"/>
              </w:rPr>
            </w:pPr>
            <w:r w:rsidRPr="00122682">
              <w:rPr>
                <w:rFonts w:ascii="Times New Roman" w:hAnsi="Times New Roman" w:cs="Times New Roman"/>
                <w:b/>
                <w:bCs/>
                <w:color w:val="000000"/>
                <w:sz w:val="14"/>
                <w:szCs w:val="14"/>
              </w:rPr>
              <w:t>2019 N</w:t>
            </w:r>
          </w:p>
        </w:tc>
        <w:tc>
          <w:tcPr>
            <w:tcW w:w="500"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122682" w:rsidRDefault="003A497B" w:rsidP="003E1809">
            <w:pPr>
              <w:jc w:val="center"/>
              <w:rPr>
                <w:rFonts w:ascii="Times New Roman" w:hAnsi="Times New Roman" w:cs="Times New Roman"/>
                <w:b/>
                <w:bCs/>
                <w:color w:val="000000"/>
                <w:sz w:val="14"/>
                <w:szCs w:val="14"/>
              </w:rPr>
            </w:pPr>
            <w:r w:rsidRPr="00122682">
              <w:rPr>
                <w:rFonts w:ascii="Times New Roman" w:hAnsi="Times New Roman" w:cs="Times New Roman"/>
                <w:b/>
                <w:bCs/>
                <w:color w:val="000000"/>
                <w:sz w:val="14"/>
                <w:szCs w:val="14"/>
              </w:rPr>
              <w:t>2020 N</w:t>
            </w:r>
          </w:p>
        </w:tc>
        <w:tc>
          <w:tcPr>
            <w:tcW w:w="499"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122682" w:rsidRDefault="003A497B" w:rsidP="003E1809">
            <w:pPr>
              <w:jc w:val="center"/>
              <w:rPr>
                <w:rFonts w:ascii="Times New Roman" w:hAnsi="Times New Roman" w:cs="Times New Roman"/>
                <w:b/>
                <w:bCs/>
                <w:color w:val="000000"/>
                <w:sz w:val="14"/>
                <w:szCs w:val="14"/>
              </w:rPr>
            </w:pPr>
            <w:r w:rsidRPr="00122682">
              <w:rPr>
                <w:rFonts w:ascii="Times New Roman" w:hAnsi="Times New Roman" w:cs="Times New Roman"/>
                <w:b/>
                <w:bCs/>
                <w:color w:val="000000"/>
                <w:sz w:val="14"/>
                <w:szCs w:val="14"/>
              </w:rPr>
              <w:t>2021 N</w:t>
            </w:r>
          </w:p>
        </w:tc>
      </w:tr>
      <w:tr w:rsidR="003A497B" w:rsidRPr="00F628DB" w:rsidTr="003E1809">
        <w:trPr>
          <w:trHeight w:val="255"/>
        </w:trPr>
        <w:tc>
          <w:tcPr>
            <w:tcW w:w="1577" w:type="pct"/>
            <w:tcBorders>
              <w:top w:val="nil"/>
              <w:left w:val="single" w:sz="4" w:space="0" w:color="auto"/>
              <w:bottom w:val="single" w:sz="4" w:space="0" w:color="auto"/>
              <w:right w:val="single" w:sz="4" w:space="0" w:color="auto"/>
            </w:tcBorders>
            <w:shd w:val="clear" w:color="000000" w:fill="C0C0C0"/>
            <w:noWrap/>
            <w:vAlign w:val="center"/>
            <w:hideMark/>
          </w:tcPr>
          <w:p w:rsidR="003A497B" w:rsidRPr="00F628DB" w:rsidRDefault="003A497B" w:rsidP="003E1809">
            <w:pPr>
              <w:rPr>
                <w:rFonts w:ascii="Times New Roman" w:hAnsi="Times New Roman" w:cs="Times New Roman"/>
                <w:b/>
                <w:bCs/>
                <w:color w:val="000000"/>
                <w:sz w:val="14"/>
                <w:szCs w:val="14"/>
                <w:lang w:eastAsia="sk-SK"/>
              </w:rPr>
            </w:pPr>
            <w:r w:rsidRPr="00F628DB">
              <w:rPr>
                <w:rFonts w:ascii="Times New Roman" w:hAnsi="Times New Roman" w:cs="Times New Roman"/>
                <w:b/>
                <w:bCs/>
                <w:color w:val="000000"/>
                <w:sz w:val="14"/>
                <w:szCs w:val="14"/>
                <w:lang w:eastAsia="sk-SK"/>
              </w:rPr>
              <w:t>Zdroje príslušnej kapitoly</w:t>
            </w:r>
          </w:p>
        </w:tc>
        <w:tc>
          <w:tcPr>
            <w:tcW w:w="481" w:type="pct"/>
            <w:tcBorders>
              <w:top w:val="nil"/>
              <w:left w:val="single" w:sz="4" w:space="0" w:color="auto"/>
              <w:bottom w:val="single" w:sz="4" w:space="0" w:color="auto"/>
              <w:right w:val="single" w:sz="4" w:space="0" w:color="auto"/>
            </w:tcBorders>
            <w:shd w:val="clear" w:color="000000" w:fill="BFBFBF"/>
            <w:noWrap/>
            <w:vAlign w:val="center"/>
            <w:hideMark/>
          </w:tcPr>
          <w:p w:rsidR="003A497B" w:rsidRPr="00122682" w:rsidRDefault="003A497B" w:rsidP="003E1809">
            <w:pPr>
              <w:jc w:val="right"/>
              <w:rPr>
                <w:rFonts w:ascii="Times New Roman" w:hAnsi="Times New Roman" w:cs="Times New Roman"/>
                <w:b/>
                <w:bCs/>
                <w:color w:val="000000"/>
                <w:sz w:val="14"/>
                <w:szCs w:val="14"/>
              </w:rPr>
            </w:pPr>
            <w:r w:rsidRPr="00122682">
              <w:rPr>
                <w:rFonts w:ascii="Times New Roman" w:hAnsi="Times New Roman" w:cs="Times New Roman"/>
                <w:b/>
                <w:bCs/>
                <w:color w:val="000000"/>
                <w:sz w:val="14"/>
                <w:szCs w:val="14"/>
              </w:rPr>
              <w:t>181 324 352</w:t>
            </w:r>
          </w:p>
        </w:tc>
        <w:tc>
          <w:tcPr>
            <w:tcW w:w="481" w:type="pct"/>
            <w:tcBorders>
              <w:top w:val="nil"/>
              <w:left w:val="nil"/>
              <w:bottom w:val="single" w:sz="4" w:space="0" w:color="auto"/>
              <w:right w:val="single" w:sz="4" w:space="0" w:color="auto"/>
            </w:tcBorders>
            <w:shd w:val="clear" w:color="000000" w:fill="BFBFBF"/>
            <w:noWrap/>
            <w:vAlign w:val="center"/>
            <w:hideMark/>
          </w:tcPr>
          <w:p w:rsidR="003A497B" w:rsidRPr="00122682" w:rsidRDefault="003A497B" w:rsidP="003E1809">
            <w:pPr>
              <w:jc w:val="right"/>
              <w:rPr>
                <w:rFonts w:ascii="Times New Roman" w:hAnsi="Times New Roman" w:cs="Times New Roman"/>
                <w:b/>
                <w:bCs/>
                <w:color w:val="000000"/>
                <w:sz w:val="14"/>
                <w:szCs w:val="14"/>
              </w:rPr>
            </w:pPr>
            <w:r w:rsidRPr="00122682">
              <w:rPr>
                <w:rFonts w:ascii="Times New Roman" w:hAnsi="Times New Roman" w:cs="Times New Roman"/>
                <w:b/>
                <w:bCs/>
                <w:color w:val="000000"/>
                <w:sz w:val="14"/>
                <w:szCs w:val="14"/>
              </w:rPr>
              <w:t>152 927 226</w:t>
            </w:r>
          </w:p>
        </w:tc>
        <w:tc>
          <w:tcPr>
            <w:tcW w:w="481" w:type="pct"/>
            <w:tcBorders>
              <w:top w:val="nil"/>
              <w:left w:val="nil"/>
              <w:bottom w:val="single" w:sz="4" w:space="0" w:color="auto"/>
              <w:right w:val="single" w:sz="4" w:space="0" w:color="auto"/>
            </w:tcBorders>
            <w:shd w:val="clear" w:color="000000" w:fill="BFBFBF"/>
            <w:noWrap/>
            <w:vAlign w:val="center"/>
            <w:hideMark/>
          </w:tcPr>
          <w:p w:rsidR="003A497B" w:rsidRPr="00122682" w:rsidRDefault="003A497B" w:rsidP="003E1809">
            <w:pPr>
              <w:jc w:val="right"/>
              <w:rPr>
                <w:rFonts w:ascii="Times New Roman" w:hAnsi="Times New Roman" w:cs="Times New Roman"/>
                <w:b/>
                <w:bCs/>
                <w:color w:val="000000"/>
                <w:sz w:val="14"/>
                <w:szCs w:val="14"/>
              </w:rPr>
            </w:pPr>
            <w:r w:rsidRPr="00122682">
              <w:rPr>
                <w:rFonts w:ascii="Times New Roman" w:hAnsi="Times New Roman" w:cs="Times New Roman"/>
                <w:b/>
                <w:bCs/>
                <w:color w:val="000000"/>
                <w:sz w:val="14"/>
                <w:szCs w:val="14"/>
              </w:rPr>
              <w:t>119 353 879</w:t>
            </w:r>
          </w:p>
        </w:tc>
        <w:tc>
          <w:tcPr>
            <w:tcW w:w="48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A497B" w:rsidRPr="00642A6D" w:rsidRDefault="003A497B" w:rsidP="003E1809">
            <w:pPr>
              <w:jc w:val="right"/>
              <w:rPr>
                <w:rFonts w:ascii="Times New Roman" w:hAnsi="Times New Roman" w:cs="Times New Roman"/>
                <w:b/>
                <w:bCs/>
                <w:color w:val="000000"/>
                <w:sz w:val="14"/>
                <w:szCs w:val="14"/>
                <w:lang w:eastAsia="sk-SK"/>
              </w:rPr>
            </w:pPr>
            <w:r w:rsidRPr="00642A6D">
              <w:rPr>
                <w:rFonts w:ascii="Times New Roman" w:hAnsi="Times New Roman" w:cs="Times New Roman"/>
                <w:b/>
                <w:bCs/>
                <w:color w:val="000000"/>
                <w:sz w:val="14"/>
                <w:szCs w:val="14"/>
              </w:rPr>
              <w:t>155 739 288</w:t>
            </w:r>
          </w:p>
        </w:tc>
        <w:tc>
          <w:tcPr>
            <w:tcW w:w="500"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A497B" w:rsidRPr="00BA3561" w:rsidRDefault="003A497B" w:rsidP="003E1809">
            <w:pPr>
              <w:jc w:val="right"/>
              <w:rPr>
                <w:rFonts w:ascii="Times New Roman" w:hAnsi="Times New Roman" w:cs="Times New Roman"/>
                <w:b/>
                <w:bCs/>
                <w:color w:val="000000"/>
                <w:sz w:val="14"/>
                <w:szCs w:val="14"/>
                <w:lang w:eastAsia="sk-SK"/>
              </w:rPr>
            </w:pPr>
            <w:r w:rsidRPr="00BA3561">
              <w:rPr>
                <w:rFonts w:ascii="Times New Roman" w:hAnsi="Times New Roman" w:cs="Times New Roman"/>
                <w:b/>
                <w:bCs/>
                <w:color w:val="000000"/>
                <w:sz w:val="14"/>
                <w:szCs w:val="14"/>
              </w:rPr>
              <w:t>136 438 525</w:t>
            </w:r>
          </w:p>
        </w:tc>
        <w:tc>
          <w:tcPr>
            <w:tcW w:w="500"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BA3561" w:rsidRDefault="003A497B" w:rsidP="003E1809">
            <w:pPr>
              <w:jc w:val="right"/>
              <w:rPr>
                <w:rFonts w:ascii="Times New Roman" w:hAnsi="Times New Roman" w:cs="Times New Roman"/>
                <w:b/>
                <w:bCs/>
                <w:color w:val="000000"/>
                <w:sz w:val="14"/>
                <w:szCs w:val="14"/>
              </w:rPr>
            </w:pPr>
            <w:r w:rsidRPr="00BA3561">
              <w:rPr>
                <w:rFonts w:ascii="Times New Roman" w:hAnsi="Times New Roman" w:cs="Times New Roman"/>
                <w:b/>
                <w:bCs/>
                <w:color w:val="000000"/>
                <w:sz w:val="14"/>
                <w:szCs w:val="14"/>
              </w:rPr>
              <w:t>128 502 668</w:t>
            </w:r>
          </w:p>
        </w:tc>
        <w:tc>
          <w:tcPr>
            <w:tcW w:w="499" w:type="pct"/>
            <w:tcBorders>
              <w:top w:val="single" w:sz="4" w:space="0" w:color="auto"/>
              <w:left w:val="nil"/>
              <w:bottom w:val="single" w:sz="4" w:space="0" w:color="auto"/>
              <w:right w:val="single" w:sz="4" w:space="0" w:color="auto"/>
            </w:tcBorders>
            <w:shd w:val="clear" w:color="000000" w:fill="BFBFBF"/>
            <w:noWrap/>
            <w:vAlign w:val="center"/>
            <w:hideMark/>
          </w:tcPr>
          <w:p w:rsidR="003A497B" w:rsidRPr="00BA3561" w:rsidRDefault="003A497B" w:rsidP="003E1809">
            <w:pPr>
              <w:jc w:val="right"/>
              <w:rPr>
                <w:rFonts w:ascii="Times New Roman" w:hAnsi="Times New Roman" w:cs="Times New Roman"/>
                <w:b/>
                <w:bCs/>
                <w:color w:val="000000"/>
                <w:sz w:val="14"/>
                <w:szCs w:val="14"/>
              </w:rPr>
            </w:pPr>
            <w:r w:rsidRPr="00BA3561">
              <w:rPr>
                <w:rFonts w:ascii="Times New Roman" w:hAnsi="Times New Roman" w:cs="Times New Roman"/>
                <w:b/>
                <w:bCs/>
                <w:color w:val="000000"/>
                <w:sz w:val="14"/>
                <w:szCs w:val="14"/>
              </w:rPr>
              <w:t>128 153 591</w:t>
            </w:r>
          </w:p>
        </w:tc>
      </w:tr>
      <w:tr w:rsidR="003A497B" w:rsidRPr="00F628DB" w:rsidTr="003E1809">
        <w:trPr>
          <w:trHeight w:val="252"/>
        </w:trPr>
        <w:tc>
          <w:tcPr>
            <w:tcW w:w="1577" w:type="pct"/>
            <w:tcBorders>
              <w:top w:val="nil"/>
              <w:left w:val="single" w:sz="4" w:space="0" w:color="auto"/>
              <w:bottom w:val="single" w:sz="4" w:space="0" w:color="auto"/>
              <w:right w:val="single" w:sz="4" w:space="0" w:color="auto"/>
            </w:tcBorders>
            <w:noWrap/>
            <w:vAlign w:val="center"/>
            <w:hideMark/>
          </w:tcPr>
          <w:p w:rsidR="003A497B" w:rsidRPr="00F628DB" w:rsidRDefault="003A497B" w:rsidP="003E1809">
            <w:pPr>
              <w:rPr>
                <w:rFonts w:ascii="Times New Roman" w:hAnsi="Times New Roman" w:cs="Times New Roman"/>
                <w:color w:val="000000"/>
                <w:sz w:val="14"/>
                <w:szCs w:val="14"/>
                <w:lang w:eastAsia="sk-SK"/>
              </w:rPr>
            </w:pPr>
            <w:r w:rsidRPr="00F628DB">
              <w:rPr>
                <w:rFonts w:ascii="Times New Roman" w:hAnsi="Times New Roman" w:cs="Times New Roman"/>
                <w:color w:val="000000"/>
                <w:sz w:val="14"/>
                <w:szCs w:val="14"/>
                <w:lang w:eastAsia="sk-SK"/>
              </w:rPr>
              <w:t>Rozvoj zahraničných vzťahov</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7B" w:rsidRPr="00122682" w:rsidRDefault="003A497B" w:rsidP="003E1809">
            <w:pPr>
              <w:jc w:val="right"/>
              <w:rPr>
                <w:rFonts w:ascii="Times New Roman" w:hAnsi="Times New Roman" w:cs="Times New Roman"/>
                <w:sz w:val="14"/>
                <w:szCs w:val="14"/>
                <w:lang w:eastAsia="sk-SK"/>
              </w:rPr>
            </w:pPr>
            <w:r w:rsidRPr="00122682">
              <w:rPr>
                <w:rFonts w:ascii="Times New Roman" w:hAnsi="Times New Roman" w:cs="Times New Roman"/>
                <w:sz w:val="14"/>
                <w:szCs w:val="14"/>
              </w:rPr>
              <w:t>114 544 321</w:t>
            </w:r>
          </w:p>
        </w:tc>
        <w:tc>
          <w:tcPr>
            <w:tcW w:w="481" w:type="pct"/>
            <w:tcBorders>
              <w:top w:val="single" w:sz="4" w:space="0" w:color="auto"/>
              <w:left w:val="nil"/>
              <w:bottom w:val="single" w:sz="4" w:space="0" w:color="auto"/>
              <w:right w:val="single" w:sz="4" w:space="0" w:color="auto"/>
            </w:tcBorders>
            <w:shd w:val="clear" w:color="auto" w:fill="auto"/>
            <w:noWrap/>
            <w:vAlign w:val="bottom"/>
            <w:hideMark/>
          </w:tcPr>
          <w:p w:rsidR="003A497B" w:rsidRPr="00122682" w:rsidRDefault="003A497B" w:rsidP="003E1809">
            <w:pPr>
              <w:jc w:val="right"/>
              <w:rPr>
                <w:rFonts w:ascii="Times New Roman" w:hAnsi="Times New Roman" w:cs="Times New Roman"/>
                <w:sz w:val="14"/>
                <w:szCs w:val="14"/>
              </w:rPr>
            </w:pPr>
            <w:r w:rsidRPr="00122682">
              <w:rPr>
                <w:rFonts w:ascii="Times New Roman" w:hAnsi="Times New Roman" w:cs="Times New Roman"/>
                <w:sz w:val="14"/>
                <w:szCs w:val="14"/>
              </w:rPr>
              <w:t>113 189 010</w:t>
            </w:r>
          </w:p>
        </w:tc>
        <w:tc>
          <w:tcPr>
            <w:tcW w:w="481" w:type="pct"/>
            <w:tcBorders>
              <w:top w:val="single" w:sz="4" w:space="0" w:color="auto"/>
              <w:left w:val="nil"/>
              <w:bottom w:val="single" w:sz="4" w:space="0" w:color="auto"/>
              <w:right w:val="single" w:sz="4" w:space="0" w:color="auto"/>
            </w:tcBorders>
            <w:shd w:val="clear" w:color="auto" w:fill="auto"/>
            <w:noWrap/>
            <w:vAlign w:val="bottom"/>
            <w:hideMark/>
          </w:tcPr>
          <w:p w:rsidR="003A497B" w:rsidRPr="00122682" w:rsidRDefault="003A497B" w:rsidP="003E1809">
            <w:pPr>
              <w:jc w:val="right"/>
              <w:rPr>
                <w:rFonts w:ascii="Times New Roman" w:hAnsi="Times New Roman" w:cs="Times New Roman"/>
                <w:sz w:val="14"/>
                <w:szCs w:val="14"/>
              </w:rPr>
            </w:pPr>
            <w:r w:rsidRPr="00122682">
              <w:rPr>
                <w:rFonts w:ascii="Times New Roman" w:hAnsi="Times New Roman" w:cs="Times New Roman"/>
                <w:sz w:val="14"/>
                <w:szCs w:val="14"/>
              </w:rPr>
              <w:t>110 470 449</w:t>
            </w:r>
          </w:p>
        </w:tc>
        <w:tc>
          <w:tcPr>
            <w:tcW w:w="481" w:type="pct"/>
            <w:tcBorders>
              <w:top w:val="nil"/>
              <w:left w:val="single" w:sz="4" w:space="0" w:color="auto"/>
              <w:bottom w:val="single" w:sz="4" w:space="0" w:color="auto"/>
              <w:right w:val="single" w:sz="4" w:space="0" w:color="auto"/>
            </w:tcBorders>
            <w:shd w:val="clear" w:color="auto" w:fill="auto"/>
            <w:noWrap/>
            <w:vAlign w:val="bottom"/>
            <w:hideMark/>
          </w:tcPr>
          <w:p w:rsidR="003A497B" w:rsidRPr="00642A6D" w:rsidRDefault="003A497B" w:rsidP="003E1809">
            <w:pPr>
              <w:jc w:val="right"/>
              <w:rPr>
                <w:rFonts w:ascii="Times New Roman" w:hAnsi="Times New Roman" w:cs="Times New Roman"/>
                <w:sz w:val="14"/>
                <w:szCs w:val="14"/>
              </w:rPr>
            </w:pPr>
            <w:r w:rsidRPr="00642A6D">
              <w:rPr>
                <w:rFonts w:ascii="Times New Roman" w:hAnsi="Times New Roman" w:cs="Times New Roman"/>
                <w:sz w:val="14"/>
                <w:szCs w:val="14"/>
              </w:rPr>
              <w:t>116 211 781</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3A497B" w:rsidRPr="00BA3561" w:rsidRDefault="003A497B" w:rsidP="003E1809">
            <w:pPr>
              <w:jc w:val="right"/>
              <w:rPr>
                <w:rFonts w:ascii="Times New Roman" w:hAnsi="Times New Roman" w:cs="Times New Roman"/>
                <w:sz w:val="14"/>
                <w:szCs w:val="14"/>
              </w:rPr>
            </w:pPr>
            <w:r w:rsidRPr="00BA3561">
              <w:rPr>
                <w:rFonts w:ascii="Times New Roman" w:hAnsi="Times New Roman" w:cs="Times New Roman"/>
                <w:sz w:val="14"/>
                <w:szCs w:val="14"/>
              </w:rPr>
              <w:t>127 526 800</w:t>
            </w:r>
          </w:p>
        </w:tc>
        <w:tc>
          <w:tcPr>
            <w:tcW w:w="500" w:type="pct"/>
            <w:tcBorders>
              <w:top w:val="nil"/>
              <w:left w:val="nil"/>
              <w:bottom w:val="single" w:sz="4" w:space="0" w:color="auto"/>
              <w:right w:val="single" w:sz="4" w:space="0" w:color="auto"/>
            </w:tcBorders>
            <w:shd w:val="clear" w:color="auto" w:fill="auto"/>
            <w:noWrap/>
            <w:vAlign w:val="bottom"/>
            <w:hideMark/>
          </w:tcPr>
          <w:p w:rsidR="003A497B" w:rsidRPr="00BA3561" w:rsidRDefault="003A497B" w:rsidP="003E1809">
            <w:pPr>
              <w:jc w:val="right"/>
              <w:rPr>
                <w:rFonts w:ascii="Times New Roman" w:hAnsi="Times New Roman" w:cs="Times New Roman"/>
                <w:sz w:val="14"/>
                <w:szCs w:val="14"/>
              </w:rPr>
            </w:pPr>
            <w:r w:rsidRPr="00BA3561">
              <w:rPr>
                <w:rFonts w:ascii="Times New Roman" w:hAnsi="Times New Roman" w:cs="Times New Roman"/>
                <w:sz w:val="14"/>
                <w:szCs w:val="14"/>
              </w:rPr>
              <w:t>119 490 943</w:t>
            </w:r>
          </w:p>
        </w:tc>
        <w:tc>
          <w:tcPr>
            <w:tcW w:w="499" w:type="pct"/>
            <w:tcBorders>
              <w:top w:val="nil"/>
              <w:left w:val="nil"/>
              <w:bottom w:val="single" w:sz="4" w:space="0" w:color="auto"/>
              <w:right w:val="single" w:sz="4" w:space="0" w:color="auto"/>
            </w:tcBorders>
            <w:shd w:val="clear" w:color="auto" w:fill="auto"/>
            <w:noWrap/>
            <w:vAlign w:val="bottom"/>
            <w:hideMark/>
          </w:tcPr>
          <w:p w:rsidR="003A497B" w:rsidRPr="00BA3561" w:rsidRDefault="003A497B" w:rsidP="003E1809">
            <w:pPr>
              <w:jc w:val="right"/>
              <w:rPr>
                <w:rFonts w:ascii="Times New Roman" w:hAnsi="Times New Roman" w:cs="Times New Roman"/>
                <w:sz w:val="14"/>
                <w:szCs w:val="14"/>
              </w:rPr>
            </w:pPr>
            <w:r w:rsidRPr="00BA3561">
              <w:rPr>
                <w:rFonts w:ascii="Times New Roman" w:hAnsi="Times New Roman" w:cs="Times New Roman"/>
                <w:sz w:val="14"/>
                <w:szCs w:val="14"/>
              </w:rPr>
              <w:t>119 141 866</w:t>
            </w:r>
          </w:p>
        </w:tc>
      </w:tr>
      <w:tr w:rsidR="003A497B" w:rsidRPr="00F628DB" w:rsidTr="003E1809">
        <w:trPr>
          <w:trHeight w:val="255"/>
        </w:trPr>
        <w:tc>
          <w:tcPr>
            <w:tcW w:w="1577" w:type="pct"/>
            <w:tcBorders>
              <w:top w:val="nil"/>
              <w:left w:val="single" w:sz="4" w:space="0" w:color="auto"/>
              <w:bottom w:val="single" w:sz="4" w:space="0" w:color="auto"/>
              <w:right w:val="single" w:sz="4" w:space="0" w:color="auto"/>
            </w:tcBorders>
            <w:noWrap/>
            <w:vAlign w:val="center"/>
            <w:hideMark/>
          </w:tcPr>
          <w:p w:rsidR="003A497B" w:rsidRPr="00F628DB" w:rsidRDefault="003A497B" w:rsidP="003E1809">
            <w:pPr>
              <w:rPr>
                <w:rFonts w:ascii="Times New Roman" w:hAnsi="Times New Roman" w:cs="Times New Roman"/>
                <w:color w:val="000000"/>
                <w:sz w:val="14"/>
                <w:szCs w:val="14"/>
                <w:lang w:eastAsia="sk-SK"/>
              </w:rPr>
            </w:pPr>
            <w:r w:rsidRPr="00F628DB">
              <w:rPr>
                <w:rFonts w:ascii="Times New Roman" w:hAnsi="Times New Roman" w:cs="Times New Roman"/>
                <w:color w:val="000000"/>
                <w:sz w:val="14"/>
                <w:szCs w:val="14"/>
                <w:lang w:eastAsia="sk-SK"/>
              </w:rPr>
              <w:t>Rozvojová spolupráca</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7B" w:rsidRPr="00122682" w:rsidRDefault="003A497B" w:rsidP="003E1809">
            <w:pPr>
              <w:jc w:val="right"/>
              <w:rPr>
                <w:rFonts w:ascii="Times New Roman" w:hAnsi="Times New Roman" w:cs="Times New Roman"/>
                <w:color w:val="000000"/>
                <w:sz w:val="14"/>
                <w:szCs w:val="14"/>
                <w:lang w:eastAsia="sk-SK"/>
              </w:rPr>
            </w:pPr>
            <w:r w:rsidRPr="00122682">
              <w:rPr>
                <w:rFonts w:ascii="Times New Roman" w:hAnsi="Times New Roman" w:cs="Times New Roman"/>
                <w:color w:val="000000"/>
                <w:sz w:val="14"/>
                <w:szCs w:val="14"/>
              </w:rPr>
              <w:t>6 586 801</w:t>
            </w:r>
          </w:p>
        </w:tc>
        <w:tc>
          <w:tcPr>
            <w:tcW w:w="481" w:type="pct"/>
            <w:tcBorders>
              <w:top w:val="single" w:sz="4" w:space="0" w:color="auto"/>
              <w:left w:val="nil"/>
              <w:bottom w:val="single" w:sz="4" w:space="0" w:color="auto"/>
              <w:right w:val="single" w:sz="4" w:space="0" w:color="auto"/>
            </w:tcBorders>
            <w:shd w:val="clear" w:color="auto" w:fill="auto"/>
            <w:noWrap/>
            <w:vAlign w:val="bottom"/>
            <w:hideMark/>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8 351 343</w:t>
            </w:r>
          </w:p>
        </w:tc>
        <w:tc>
          <w:tcPr>
            <w:tcW w:w="481" w:type="pct"/>
            <w:tcBorders>
              <w:top w:val="single" w:sz="4" w:space="0" w:color="auto"/>
              <w:left w:val="nil"/>
              <w:bottom w:val="single" w:sz="4" w:space="0" w:color="auto"/>
              <w:right w:val="single" w:sz="4" w:space="0" w:color="auto"/>
            </w:tcBorders>
            <w:shd w:val="clear" w:color="auto" w:fill="auto"/>
            <w:noWrap/>
            <w:vAlign w:val="bottom"/>
            <w:hideMark/>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7 214 843</w:t>
            </w:r>
          </w:p>
        </w:tc>
        <w:tc>
          <w:tcPr>
            <w:tcW w:w="481" w:type="pct"/>
            <w:tcBorders>
              <w:top w:val="nil"/>
              <w:left w:val="single" w:sz="4" w:space="0" w:color="auto"/>
              <w:bottom w:val="single" w:sz="4" w:space="0" w:color="auto"/>
              <w:right w:val="single" w:sz="4" w:space="0" w:color="auto"/>
            </w:tcBorders>
            <w:shd w:val="clear" w:color="auto" w:fill="auto"/>
            <w:noWrap/>
            <w:vAlign w:val="bottom"/>
            <w:hideMark/>
          </w:tcPr>
          <w:p w:rsidR="003A497B" w:rsidRPr="00642A6D" w:rsidRDefault="003A497B" w:rsidP="003E1809">
            <w:pPr>
              <w:jc w:val="right"/>
              <w:rPr>
                <w:rFonts w:ascii="Times New Roman" w:hAnsi="Times New Roman" w:cs="Times New Roman"/>
                <w:color w:val="000000"/>
                <w:sz w:val="14"/>
                <w:szCs w:val="14"/>
              </w:rPr>
            </w:pPr>
            <w:r w:rsidRPr="00642A6D">
              <w:rPr>
                <w:rFonts w:ascii="Times New Roman" w:hAnsi="Times New Roman" w:cs="Times New Roman"/>
                <w:color w:val="000000"/>
                <w:sz w:val="14"/>
                <w:szCs w:val="14"/>
              </w:rPr>
              <w:t>6 524 275</w:t>
            </w:r>
          </w:p>
        </w:tc>
        <w:tc>
          <w:tcPr>
            <w:tcW w:w="500" w:type="pct"/>
            <w:tcBorders>
              <w:top w:val="nil"/>
              <w:left w:val="single" w:sz="4" w:space="0" w:color="auto"/>
              <w:bottom w:val="single" w:sz="4" w:space="0" w:color="auto"/>
              <w:right w:val="single" w:sz="4" w:space="0" w:color="auto"/>
            </w:tcBorders>
            <w:shd w:val="clear" w:color="auto" w:fill="auto"/>
            <w:noWrap/>
            <w:vAlign w:val="bottom"/>
            <w:hideMark/>
          </w:tcPr>
          <w:p w:rsidR="003A497B" w:rsidRPr="00BA3561" w:rsidRDefault="003A497B" w:rsidP="003E1809">
            <w:pPr>
              <w:jc w:val="right"/>
              <w:rPr>
                <w:rFonts w:ascii="Times New Roman" w:hAnsi="Times New Roman" w:cs="Times New Roman"/>
                <w:color w:val="000000"/>
                <w:sz w:val="14"/>
                <w:szCs w:val="14"/>
              </w:rPr>
            </w:pPr>
            <w:r w:rsidRPr="00BA3561">
              <w:rPr>
                <w:rFonts w:ascii="Times New Roman" w:hAnsi="Times New Roman" w:cs="Times New Roman"/>
                <w:color w:val="000000"/>
                <w:sz w:val="14"/>
                <w:szCs w:val="14"/>
              </w:rPr>
              <w:t>7 226 162</w:t>
            </w:r>
          </w:p>
        </w:tc>
        <w:tc>
          <w:tcPr>
            <w:tcW w:w="500" w:type="pct"/>
            <w:tcBorders>
              <w:top w:val="nil"/>
              <w:left w:val="nil"/>
              <w:bottom w:val="single" w:sz="4" w:space="0" w:color="auto"/>
              <w:right w:val="single" w:sz="4" w:space="0" w:color="auto"/>
            </w:tcBorders>
            <w:shd w:val="clear" w:color="auto" w:fill="auto"/>
            <w:noWrap/>
            <w:vAlign w:val="bottom"/>
            <w:hideMark/>
          </w:tcPr>
          <w:p w:rsidR="003A497B" w:rsidRPr="00BA3561" w:rsidRDefault="003A497B" w:rsidP="003E1809">
            <w:pPr>
              <w:jc w:val="right"/>
              <w:rPr>
                <w:rFonts w:ascii="Times New Roman" w:hAnsi="Times New Roman" w:cs="Times New Roman"/>
                <w:color w:val="000000"/>
                <w:sz w:val="14"/>
                <w:szCs w:val="14"/>
              </w:rPr>
            </w:pPr>
            <w:r w:rsidRPr="00BA3561">
              <w:rPr>
                <w:rFonts w:ascii="Times New Roman" w:hAnsi="Times New Roman" w:cs="Times New Roman"/>
                <w:color w:val="000000"/>
                <w:sz w:val="14"/>
                <w:szCs w:val="14"/>
              </w:rPr>
              <w:t>7 326 162</w:t>
            </w:r>
          </w:p>
        </w:tc>
        <w:tc>
          <w:tcPr>
            <w:tcW w:w="499" w:type="pct"/>
            <w:tcBorders>
              <w:top w:val="nil"/>
              <w:left w:val="nil"/>
              <w:bottom w:val="single" w:sz="4" w:space="0" w:color="auto"/>
              <w:right w:val="single" w:sz="4" w:space="0" w:color="auto"/>
            </w:tcBorders>
            <w:shd w:val="clear" w:color="auto" w:fill="auto"/>
            <w:noWrap/>
            <w:vAlign w:val="bottom"/>
            <w:hideMark/>
          </w:tcPr>
          <w:p w:rsidR="003A497B" w:rsidRPr="00BA3561" w:rsidRDefault="003A497B" w:rsidP="003E1809">
            <w:pPr>
              <w:jc w:val="right"/>
              <w:rPr>
                <w:rFonts w:ascii="Times New Roman" w:hAnsi="Times New Roman" w:cs="Times New Roman"/>
                <w:color w:val="000000"/>
                <w:sz w:val="14"/>
                <w:szCs w:val="14"/>
              </w:rPr>
            </w:pPr>
            <w:r w:rsidRPr="00BA3561">
              <w:rPr>
                <w:rFonts w:ascii="Times New Roman" w:hAnsi="Times New Roman" w:cs="Times New Roman"/>
                <w:color w:val="000000"/>
                <w:sz w:val="14"/>
                <w:szCs w:val="14"/>
              </w:rPr>
              <w:t>7 326 162</w:t>
            </w:r>
          </w:p>
        </w:tc>
      </w:tr>
      <w:tr w:rsidR="003A497B" w:rsidRPr="00F628DB" w:rsidTr="003E1809">
        <w:trPr>
          <w:trHeight w:val="255"/>
        </w:trPr>
        <w:tc>
          <w:tcPr>
            <w:tcW w:w="1577" w:type="pct"/>
            <w:tcBorders>
              <w:top w:val="nil"/>
              <w:left w:val="single" w:sz="4" w:space="0" w:color="auto"/>
              <w:bottom w:val="single" w:sz="4" w:space="0" w:color="auto"/>
              <w:right w:val="single" w:sz="4" w:space="0" w:color="auto"/>
            </w:tcBorders>
            <w:noWrap/>
            <w:vAlign w:val="center"/>
          </w:tcPr>
          <w:p w:rsidR="003A497B" w:rsidRPr="00F628DB" w:rsidRDefault="003A497B" w:rsidP="003E1809">
            <w:pPr>
              <w:rPr>
                <w:rFonts w:ascii="Times New Roman" w:hAnsi="Times New Roman" w:cs="Times New Roman"/>
                <w:color w:val="000000"/>
                <w:sz w:val="14"/>
                <w:szCs w:val="14"/>
                <w:lang w:eastAsia="sk-SK"/>
              </w:rPr>
            </w:pPr>
            <w:r w:rsidRPr="00456515">
              <w:rPr>
                <w:rFonts w:ascii="Times New Roman" w:hAnsi="Times New Roman" w:cs="Times New Roman"/>
                <w:color w:val="000000"/>
                <w:sz w:val="14"/>
                <w:szCs w:val="14"/>
                <w:lang w:eastAsia="sk-SK"/>
              </w:rPr>
              <w:t>Štátna politika k Slovákom žijúcim v zahraničí</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122682" w:rsidRDefault="003A497B" w:rsidP="003E1809">
            <w:pPr>
              <w:jc w:val="right"/>
              <w:rPr>
                <w:rFonts w:ascii="Times New Roman" w:hAnsi="Times New Roman" w:cs="Times New Roman"/>
                <w:color w:val="000000"/>
                <w:sz w:val="14"/>
                <w:szCs w:val="14"/>
                <w:lang w:eastAsia="sk-SK"/>
              </w:rPr>
            </w:pPr>
            <w:r w:rsidRPr="00122682">
              <w:rPr>
                <w:rFonts w:ascii="Times New Roman" w:hAnsi="Times New Roman" w:cs="Times New Roman"/>
                <w:color w:val="000000"/>
                <w:sz w:val="14"/>
                <w:szCs w:val="14"/>
              </w:rPr>
              <w:t>1 700 800</w:t>
            </w: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1 810 892</w:t>
            </w: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1 668 587</w:t>
            </w: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3A497B" w:rsidRPr="00642A6D" w:rsidRDefault="003A497B" w:rsidP="003E1809">
            <w:pPr>
              <w:jc w:val="right"/>
              <w:rPr>
                <w:rFonts w:ascii="Times New Roman" w:hAnsi="Times New Roman" w:cs="Times New Roman"/>
                <w:color w:val="000000"/>
                <w:sz w:val="14"/>
                <w:szCs w:val="14"/>
              </w:rPr>
            </w:pPr>
            <w:r w:rsidRPr="00642A6D">
              <w:rPr>
                <w:rFonts w:ascii="Times New Roman" w:hAnsi="Times New Roman" w:cs="Times New Roman"/>
                <w:color w:val="000000"/>
                <w:sz w:val="14"/>
                <w:szCs w:val="14"/>
              </w:rPr>
              <w:t>1 828 172</w:t>
            </w:r>
          </w:p>
        </w:tc>
        <w:tc>
          <w:tcPr>
            <w:tcW w:w="500" w:type="pct"/>
            <w:tcBorders>
              <w:top w:val="single" w:sz="4" w:space="0" w:color="auto"/>
              <w:left w:val="nil"/>
              <w:bottom w:val="single" w:sz="4" w:space="0" w:color="auto"/>
              <w:right w:val="single" w:sz="4" w:space="0" w:color="auto"/>
            </w:tcBorders>
            <w:shd w:val="clear" w:color="auto" w:fill="auto"/>
            <w:vAlign w:val="bottom"/>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1 685 563</w:t>
            </w:r>
          </w:p>
        </w:tc>
        <w:tc>
          <w:tcPr>
            <w:tcW w:w="500" w:type="pct"/>
            <w:tcBorders>
              <w:top w:val="single" w:sz="4" w:space="0" w:color="auto"/>
              <w:left w:val="nil"/>
              <w:bottom w:val="single" w:sz="4" w:space="0" w:color="auto"/>
              <w:right w:val="single" w:sz="4" w:space="0" w:color="auto"/>
            </w:tcBorders>
            <w:shd w:val="clear" w:color="auto" w:fill="auto"/>
            <w:vAlign w:val="bottom"/>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1 685 563</w:t>
            </w:r>
          </w:p>
        </w:tc>
        <w:tc>
          <w:tcPr>
            <w:tcW w:w="499" w:type="pct"/>
            <w:tcBorders>
              <w:top w:val="single" w:sz="4" w:space="0" w:color="auto"/>
              <w:left w:val="nil"/>
              <w:bottom w:val="single" w:sz="4" w:space="0" w:color="auto"/>
              <w:right w:val="single" w:sz="4" w:space="0" w:color="auto"/>
            </w:tcBorders>
            <w:shd w:val="clear" w:color="auto" w:fill="auto"/>
            <w:vAlign w:val="bottom"/>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1 685 563</w:t>
            </w:r>
          </w:p>
        </w:tc>
      </w:tr>
      <w:tr w:rsidR="003A497B" w:rsidRPr="00F628DB" w:rsidTr="003E1809">
        <w:trPr>
          <w:trHeight w:val="255"/>
        </w:trPr>
        <w:tc>
          <w:tcPr>
            <w:tcW w:w="1577" w:type="pct"/>
            <w:tcBorders>
              <w:top w:val="nil"/>
              <w:left w:val="single" w:sz="4" w:space="0" w:color="auto"/>
              <w:bottom w:val="single" w:sz="4" w:space="0" w:color="auto"/>
              <w:right w:val="single" w:sz="4" w:space="0" w:color="auto"/>
            </w:tcBorders>
            <w:noWrap/>
            <w:vAlign w:val="center"/>
          </w:tcPr>
          <w:p w:rsidR="003A497B" w:rsidRPr="00F628DB" w:rsidRDefault="003A497B" w:rsidP="003E1809">
            <w:pPr>
              <w:rPr>
                <w:rFonts w:ascii="Times New Roman" w:hAnsi="Times New Roman" w:cs="Times New Roman"/>
                <w:color w:val="000000"/>
                <w:sz w:val="14"/>
                <w:szCs w:val="14"/>
                <w:lang w:eastAsia="sk-SK"/>
              </w:rPr>
            </w:pPr>
            <w:r w:rsidRPr="00F628DB">
              <w:rPr>
                <w:rFonts w:ascii="Times New Roman" w:hAnsi="Times New Roman" w:cs="Times New Roman"/>
                <w:color w:val="000000"/>
                <w:sz w:val="14"/>
                <w:szCs w:val="14"/>
                <w:lang w:eastAsia="sk-SK"/>
              </w:rPr>
              <w:t>Príspevky SR do medzinárodných organizácií</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122682" w:rsidRDefault="003A497B" w:rsidP="003E1809">
            <w:pPr>
              <w:jc w:val="right"/>
              <w:rPr>
                <w:rFonts w:ascii="Times New Roman" w:hAnsi="Times New Roman" w:cs="Times New Roman"/>
                <w:color w:val="000000"/>
                <w:sz w:val="14"/>
                <w:szCs w:val="14"/>
                <w:lang w:eastAsia="sk-SK"/>
              </w:rPr>
            </w:pPr>
            <w:r w:rsidRPr="00122682">
              <w:rPr>
                <w:rFonts w:ascii="Times New Roman" w:hAnsi="Times New Roman" w:cs="Times New Roman"/>
                <w:color w:val="000000"/>
                <w:sz w:val="14"/>
                <w:szCs w:val="14"/>
              </w:rPr>
              <w:t>33 186 620</w:t>
            </w: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25 867 795</w:t>
            </w: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0</w:t>
            </w: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31 175 060</w:t>
            </w:r>
          </w:p>
        </w:tc>
        <w:tc>
          <w:tcPr>
            <w:tcW w:w="500" w:type="pct"/>
            <w:tcBorders>
              <w:top w:val="single" w:sz="4" w:space="0" w:color="auto"/>
              <w:left w:val="nil"/>
              <w:bottom w:val="single" w:sz="4" w:space="0" w:color="auto"/>
              <w:right w:val="single" w:sz="4" w:space="0" w:color="auto"/>
            </w:tcBorders>
            <w:shd w:val="clear" w:color="auto" w:fill="auto"/>
            <w:vAlign w:val="bottom"/>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0</w:t>
            </w:r>
          </w:p>
        </w:tc>
        <w:tc>
          <w:tcPr>
            <w:tcW w:w="500" w:type="pct"/>
            <w:tcBorders>
              <w:top w:val="single" w:sz="4" w:space="0" w:color="auto"/>
              <w:left w:val="nil"/>
              <w:bottom w:val="single" w:sz="4" w:space="0" w:color="auto"/>
              <w:right w:val="single" w:sz="4" w:space="0" w:color="auto"/>
            </w:tcBorders>
            <w:shd w:val="clear" w:color="auto" w:fill="auto"/>
            <w:vAlign w:val="bottom"/>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0</w:t>
            </w:r>
          </w:p>
        </w:tc>
        <w:tc>
          <w:tcPr>
            <w:tcW w:w="499" w:type="pct"/>
            <w:tcBorders>
              <w:top w:val="single" w:sz="4" w:space="0" w:color="auto"/>
              <w:left w:val="nil"/>
              <w:bottom w:val="single" w:sz="4" w:space="0" w:color="auto"/>
              <w:right w:val="single" w:sz="4" w:space="0" w:color="auto"/>
            </w:tcBorders>
            <w:shd w:val="clear" w:color="auto" w:fill="auto"/>
            <w:vAlign w:val="bottom"/>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0</w:t>
            </w:r>
          </w:p>
        </w:tc>
      </w:tr>
      <w:tr w:rsidR="003A497B" w:rsidRPr="00F628DB" w:rsidTr="003E1809">
        <w:trPr>
          <w:trHeight w:val="255"/>
        </w:trPr>
        <w:tc>
          <w:tcPr>
            <w:tcW w:w="1577" w:type="pct"/>
            <w:tcBorders>
              <w:top w:val="nil"/>
              <w:left w:val="single" w:sz="4" w:space="0" w:color="auto"/>
              <w:bottom w:val="nil"/>
              <w:right w:val="single" w:sz="4" w:space="0" w:color="auto"/>
            </w:tcBorders>
            <w:noWrap/>
            <w:vAlign w:val="center"/>
            <w:hideMark/>
          </w:tcPr>
          <w:p w:rsidR="003A497B" w:rsidRPr="00F628DB" w:rsidRDefault="003A497B" w:rsidP="003E1809">
            <w:pPr>
              <w:rPr>
                <w:rFonts w:ascii="Times New Roman" w:hAnsi="Times New Roman" w:cs="Times New Roman"/>
                <w:color w:val="000000"/>
                <w:sz w:val="14"/>
                <w:szCs w:val="14"/>
                <w:lang w:eastAsia="sk-SK"/>
              </w:rPr>
            </w:pPr>
            <w:r w:rsidRPr="00F628DB">
              <w:rPr>
                <w:rFonts w:ascii="Times New Roman" w:hAnsi="Times New Roman" w:cs="Times New Roman"/>
                <w:color w:val="000000"/>
                <w:sz w:val="14"/>
                <w:szCs w:val="14"/>
                <w:lang w:eastAsia="sk-SK"/>
              </w:rPr>
              <w:t>SK PRES 2016</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7B" w:rsidRPr="00122682" w:rsidRDefault="003A497B" w:rsidP="003E1809">
            <w:pPr>
              <w:jc w:val="right"/>
              <w:rPr>
                <w:rFonts w:ascii="Times New Roman" w:hAnsi="Times New Roman" w:cs="Times New Roman"/>
                <w:color w:val="000000"/>
                <w:sz w:val="14"/>
                <w:szCs w:val="14"/>
                <w:lang w:eastAsia="sk-SK"/>
              </w:rPr>
            </w:pPr>
            <w:r w:rsidRPr="00122682">
              <w:rPr>
                <w:rFonts w:ascii="Times New Roman" w:hAnsi="Times New Roman" w:cs="Times New Roman"/>
                <w:color w:val="000000"/>
                <w:sz w:val="14"/>
                <w:szCs w:val="14"/>
              </w:rPr>
              <w:t>24 920 170</w:t>
            </w:r>
          </w:p>
        </w:tc>
        <w:tc>
          <w:tcPr>
            <w:tcW w:w="481" w:type="pct"/>
            <w:tcBorders>
              <w:top w:val="single" w:sz="4" w:space="0" w:color="auto"/>
              <w:left w:val="nil"/>
              <w:bottom w:val="single" w:sz="4" w:space="0" w:color="auto"/>
              <w:right w:val="single" w:sz="4" w:space="0" w:color="auto"/>
            </w:tcBorders>
            <w:shd w:val="clear" w:color="auto" w:fill="auto"/>
            <w:noWrap/>
            <w:vAlign w:val="bottom"/>
            <w:hideMark/>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3 339 234</w:t>
            </w:r>
          </w:p>
        </w:tc>
        <w:tc>
          <w:tcPr>
            <w:tcW w:w="481" w:type="pct"/>
            <w:tcBorders>
              <w:top w:val="single" w:sz="4" w:space="0" w:color="auto"/>
              <w:left w:val="nil"/>
              <w:bottom w:val="single" w:sz="4" w:space="0" w:color="auto"/>
              <w:right w:val="single" w:sz="4" w:space="0" w:color="auto"/>
            </w:tcBorders>
            <w:shd w:val="clear" w:color="auto" w:fill="auto"/>
            <w:noWrap/>
            <w:vAlign w:val="bottom"/>
            <w:hideMark/>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7B" w:rsidRPr="00122682" w:rsidRDefault="003A497B" w:rsidP="003E1809">
            <w:pPr>
              <w:jc w:val="right"/>
              <w:rPr>
                <w:rFonts w:ascii="Times New Roman" w:hAnsi="Times New Roman" w:cs="Times New Roman"/>
                <w:color w:val="000000"/>
                <w:sz w:val="14"/>
                <w:szCs w:val="14"/>
                <w:lang w:eastAsia="sk-SK"/>
              </w:rPr>
            </w:pPr>
            <w:r w:rsidRPr="00122682">
              <w:rPr>
                <w:rFonts w:ascii="Times New Roman" w:hAnsi="Times New Roman" w:cs="Times New Roman"/>
                <w:color w:val="000000"/>
                <w:sz w:val="14"/>
                <w:szCs w:val="14"/>
                <w:lang w:eastAsia="sk-SK"/>
              </w:rPr>
              <w:t>0</w:t>
            </w:r>
          </w:p>
        </w:tc>
        <w:tc>
          <w:tcPr>
            <w:tcW w:w="500" w:type="pct"/>
            <w:tcBorders>
              <w:top w:val="single" w:sz="4" w:space="0" w:color="auto"/>
              <w:left w:val="nil"/>
              <w:bottom w:val="single" w:sz="4" w:space="0" w:color="auto"/>
              <w:right w:val="single" w:sz="4" w:space="0" w:color="auto"/>
            </w:tcBorders>
            <w:shd w:val="clear" w:color="auto" w:fill="auto"/>
            <w:vAlign w:val="bottom"/>
            <w:hideMark/>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0</w:t>
            </w:r>
          </w:p>
        </w:tc>
        <w:tc>
          <w:tcPr>
            <w:tcW w:w="500" w:type="pct"/>
            <w:tcBorders>
              <w:top w:val="single" w:sz="4" w:space="0" w:color="auto"/>
              <w:left w:val="nil"/>
              <w:bottom w:val="single" w:sz="4" w:space="0" w:color="auto"/>
              <w:right w:val="single" w:sz="4" w:space="0" w:color="auto"/>
            </w:tcBorders>
            <w:shd w:val="clear" w:color="auto" w:fill="auto"/>
            <w:vAlign w:val="bottom"/>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0</w:t>
            </w:r>
          </w:p>
        </w:tc>
        <w:tc>
          <w:tcPr>
            <w:tcW w:w="499" w:type="pct"/>
            <w:tcBorders>
              <w:top w:val="single" w:sz="4" w:space="0" w:color="auto"/>
              <w:left w:val="nil"/>
              <w:bottom w:val="single" w:sz="4" w:space="0" w:color="auto"/>
              <w:right w:val="single" w:sz="4" w:space="0" w:color="auto"/>
            </w:tcBorders>
            <w:shd w:val="clear" w:color="auto" w:fill="auto"/>
            <w:vAlign w:val="bottom"/>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0</w:t>
            </w:r>
          </w:p>
        </w:tc>
      </w:tr>
      <w:tr w:rsidR="003A497B" w:rsidRPr="00F628DB" w:rsidTr="003E1809">
        <w:trPr>
          <w:trHeight w:val="255"/>
        </w:trPr>
        <w:tc>
          <w:tcPr>
            <w:tcW w:w="15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497B" w:rsidRPr="00F628DB" w:rsidRDefault="003A497B" w:rsidP="003E1809">
            <w:pPr>
              <w:rPr>
                <w:rFonts w:ascii="Times New Roman" w:hAnsi="Times New Roman" w:cs="Times New Roman"/>
                <w:color w:val="000000"/>
                <w:sz w:val="14"/>
                <w:szCs w:val="14"/>
                <w:lang w:eastAsia="sk-SK"/>
              </w:rPr>
            </w:pPr>
            <w:r w:rsidRPr="00F628DB">
              <w:rPr>
                <w:rFonts w:ascii="Times New Roman" w:hAnsi="Times New Roman" w:cs="Times New Roman"/>
                <w:color w:val="000000"/>
                <w:sz w:val="14"/>
                <w:szCs w:val="14"/>
              </w:rPr>
              <w:t>Čerpanie prostriedkov EÚ a spolufinancovania z operačných programov</w:t>
            </w:r>
            <w:r>
              <w:rPr>
                <w:rFonts w:ascii="Times New Roman" w:hAnsi="Times New Roman" w:cs="Times New Roman"/>
                <w:color w:val="000000"/>
                <w:sz w:val="14"/>
                <w:szCs w:val="14"/>
              </w:rPr>
              <w:t xml:space="preserve"> Ľudské zdroje a OP IS</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122682" w:rsidRDefault="003A497B" w:rsidP="003E1809">
            <w:pPr>
              <w:jc w:val="right"/>
              <w:rPr>
                <w:rFonts w:ascii="Times New Roman" w:hAnsi="Times New Roman" w:cs="Times New Roman"/>
                <w:color w:val="000000"/>
                <w:sz w:val="14"/>
                <w:szCs w:val="14"/>
                <w:lang w:eastAsia="sk-SK"/>
              </w:rPr>
            </w:pPr>
            <w:r w:rsidRPr="00122682">
              <w:rPr>
                <w:rFonts w:ascii="Times New Roman" w:hAnsi="Times New Roman" w:cs="Times New Roman"/>
                <w:color w:val="000000"/>
                <w:sz w:val="14"/>
                <w:szCs w:val="14"/>
              </w:rPr>
              <w:t>385 640</w:t>
            </w: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368 952</w:t>
            </w: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0</w:t>
            </w: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3A497B" w:rsidRPr="00122682"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00" w:type="pct"/>
            <w:tcBorders>
              <w:top w:val="single" w:sz="4" w:space="0" w:color="auto"/>
              <w:left w:val="nil"/>
              <w:bottom w:val="single" w:sz="4" w:space="0" w:color="auto"/>
              <w:right w:val="single" w:sz="4" w:space="0" w:color="auto"/>
            </w:tcBorders>
            <w:shd w:val="clear" w:color="auto" w:fill="auto"/>
            <w:vAlign w:val="bottom"/>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0</w:t>
            </w:r>
          </w:p>
        </w:tc>
        <w:tc>
          <w:tcPr>
            <w:tcW w:w="500" w:type="pct"/>
            <w:tcBorders>
              <w:top w:val="single" w:sz="4" w:space="0" w:color="auto"/>
              <w:left w:val="nil"/>
              <w:bottom w:val="single" w:sz="4" w:space="0" w:color="auto"/>
              <w:right w:val="single" w:sz="4" w:space="0" w:color="auto"/>
            </w:tcBorders>
            <w:shd w:val="clear" w:color="auto" w:fill="auto"/>
            <w:vAlign w:val="bottom"/>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0</w:t>
            </w:r>
          </w:p>
        </w:tc>
        <w:tc>
          <w:tcPr>
            <w:tcW w:w="499" w:type="pct"/>
            <w:tcBorders>
              <w:top w:val="single" w:sz="4" w:space="0" w:color="auto"/>
              <w:left w:val="nil"/>
              <w:bottom w:val="single" w:sz="4" w:space="0" w:color="auto"/>
              <w:right w:val="single" w:sz="4" w:space="0" w:color="auto"/>
            </w:tcBorders>
            <w:shd w:val="clear" w:color="auto" w:fill="auto"/>
            <w:vAlign w:val="bottom"/>
          </w:tcPr>
          <w:p w:rsidR="003A497B" w:rsidRPr="00122682" w:rsidRDefault="003A497B" w:rsidP="003E1809">
            <w:pPr>
              <w:jc w:val="right"/>
              <w:rPr>
                <w:rFonts w:ascii="Times New Roman" w:hAnsi="Times New Roman" w:cs="Times New Roman"/>
                <w:color w:val="000000"/>
                <w:sz w:val="14"/>
                <w:szCs w:val="14"/>
              </w:rPr>
            </w:pPr>
            <w:r w:rsidRPr="00122682">
              <w:rPr>
                <w:rFonts w:ascii="Times New Roman" w:hAnsi="Times New Roman" w:cs="Times New Roman"/>
                <w:color w:val="000000"/>
                <w:sz w:val="14"/>
                <w:szCs w:val="14"/>
              </w:rPr>
              <w:t>0</w:t>
            </w:r>
          </w:p>
        </w:tc>
      </w:tr>
    </w:tbl>
    <w:p w:rsidR="003A497B" w:rsidRDefault="003A497B" w:rsidP="003A497B">
      <w:pPr>
        <w:jc w:val="both"/>
        <w:rPr>
          <w:rFonts w:ascii="Times New Roman" w:hAnsi="Times New Roman" w:cs="Times New Roman"/>
          <w:b/>
          <w:bCs/>
          <w:lang w:eastAsia="sk-SK"/>
        </w:rPr>
      </w:pPr>
    </w:p>
    <w:p w:rsidR="003A497B" w:rsidRPr="00F628DB" w:rsidRDefault="003A497B" w:rsidP="003A497B">
      <w:pPr>
        <w:jc w:val="both"/>
        <w:rPr>
          <w:rFonts w:ascii="Times New Roman" w:hAnsi="Times New Roman" w:cs="Times New Roman"/>
          <w:b/>
          <w:bCs/>
          <w:lang w:eastAsia="sk-SK"/>
        </w:rPr>
      </w:pPr>
      <w:r w:rsidRPr="00F628DB">
        <w:rPr>
          <w:rFonts w:ascii="Times New Roman" w:hAnsi="Times New Roman" w:cs="Times New Roman"/>
          <w:b/>
          <w:bCs/>
          <w:lang w:eastAsia="sk-SK"/>
        </w:rPr>
        <w:t>Rozvoj zahraničných vzťahov</w:t>
      </w:r>
    </w:p>
    <w:p w:rsidR="003A497B" w:rsidRPr="00F628DB" w:rsidRDefault="003A497B" w:rsidP="003A497B">
      <w:pPr>
        <w:jc w:val="both"/>
        <w:rPr>
          <w:rFonts w:ascii="Times New Roman" w:hAnsi="Times New Roman" w:cs="Times New Roman"/>
        </w:rPr>
      </w:pPr>
    </w:p>
    <w:tbl>
      <w:tblPr>
        <w:tblW w:w="9086" w:type="dxa"/>
        <w:tblInd w:w="56" w:type="dxa"/>
        <w:tblLayout w:type="fixed"/>
        <w:tblCellMar>
          <w:left w:w="70" w:type="dxa"/>
          <w:right w:w="70" w:type="dxa"/>
        </w:tblCellMar>
        <w:tblLook w:val="04A0" w:firstRow="1" w:lastRow="0" w:firstColumn="1" w:lastColumn="0" w:noHBand="0" w:noVBand="1"/>
      </w:tblPr>
      <w:tblGrid>
        <w:gridCol w:w="2241"/>
        <w:gridCol w:w="977"/>
        <w:gridCol w:w="978"/>
        <w:gridCol w:w="978"/>
        <w:gridCol w:w="978"/>
        <w:gridCol w:w="978"/>
        <w:gridCol w:w="978"/>
        <w:gridCol w:w="978"/>
      </w:tblGrid>
      <w:tr w:rsidR="003A497B" w:rsidRPr="00F628DB" w:rsidTr="003E1809">
        <w:trPr>
          <w:trHeight w:val="255"/>
        </w:trPr>
        <w:tc>
          <w:tcPr>
            <w:tcW w:w="2241"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3A497B" w:rsidRPr="00F628DB" w:rsidRDefault="003A497B" w:rsidP="003E1809">
            <w:pPr>
              <w:rPr>
                <w:rFonts w:ascii="Times New Roman" w:hAnsi="Times New Roman" w:cs="Times New Roman"/>
                <w:b/>
                <w:bCs/>
                <w:sz w:val="14"/>
                <w:szCs w:val="14"/>
                <w:lang w:eastAsia="sk-SK"/>
              </w:rPr>
            </w:pPr>
            <w:r w:rsidRPr="00F628DB">
              <w:rPr>
                <w:rFonts w:ascii="Times New Roman" w:hAnsi="Times New Roman" w:cs="Times New Roman"/>
                <w:b/>
                <w:bCs/>
                <w:sz w:val="14"/>
                <w:szCs w:val="14"/>
                <w:lang w:eastAsia="sk-SK"/>
              </w:rPr>
              <w:t> v eurách</w:t>
            </w:r>
          </w:p>
        </w:tc>
        <w:tc>
          <w:tcPr>
            <w:tcW w:w="977"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3A497B" w:rsidRPr="005B766C" w:rsidRDefault="003A497B" w:rsidP="003E1809">
            <w:pPr>
              <w:jc w:val="center"/>
              <w:rPr>
                <w:rFonts w:ascii="Times New Roman" w:hAnsi="Times New Roman" w:cs="Times New Roman"/>
                <w:b/>
                <w:bCs/>
                <w:sz w:val="14"/>
                <w:szCs w:val="14"/>
                <w:lang w:eastAsia="sk-SK"/>
              </w:rPr>
            </w:pPr>
            <w:r w:rsidRPr="005B766C">
              <w:rPr>
                <w:rFonts w:ascii="Times New Roman" w:hAnsi="Times New Roman" w:cs="Times New Roman"/>
                <w:b/>
                <w:bCs/>
                <w:sz w:val="14"/>
                <w:szCs w:val="14"/>
              </w:rPr>
              <w:t>2016 S</w:t>
            </w:r>
          </w:p>
        </w:tc>
        <w:tc>
          <w:tcPr>
            <w:tcW w:w="978"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5B766C" w:rsidRDefault="003A497B" w:rsidP="003E1809">
            <w:pPr>
              <w:jc w:val="center"/>
              <w:rPr>
                <w:rFonts w:ascii="Times New Roman" w:hAnsi="Times New Roman" w:cs="Times New Roman"/>
                <w:b/>
                <w:bCs/>
                <w:sz w:val="14"/>
                <w:szCs w:val="14"/>
              </w:rPr>
            </w:pPr>
            <w:r w:rsidRPr="005B766C">
              <w:rPr>
                <w:rFonts w:ascii="Times New Roman" w:hAnsi="Times New Roman" w:cs="Times New Roman"/>
                <w:b/>
                <w:bCs/>
                <w:sz w:val="14"/>
                <w:szCs w:val="14"/>
              </w:rPr>
              <w:t>2017 S</w:t>
            </w:r>
          </w:p>
        </w:tc>
        <w:tc>
          <w:tcPr>
            <w:tcW w:w="978"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5B766C" w:rsidRDefault="003A497B" w:rsidP="003E1809">
            <w:pPr>
              <w:jc w:val="center"/>
              <w:rPr>
                <w:rFonts w:ascii="Times New Roman" w:hAnsi="Times New Roman" w:cs="Times New Roman"/>
                <w:b/>
                <w:bCs/>
                <w:sz w:val="14"/>
                <w:szCs w:val="14"/>
              </w:rPr>
            </w:pPr>
            <w:r w:rsidRPr="005B766C">
              <w:rPr>
                <w:rFonts w:ascii="Times New Roman" w:hAnsi="Times New Roman" w:cs="Times New Roman"/>
                <w:b/>
                <w:bCs/>
                <w:sz w:val="14"/>
                <w:szCs w:val="14"/>
              </w:rPr>
              <w:t>2018 R</w:t>
            </w:r>
          </w:p>
        </w:tc>
        <w:tc>
          <w:tcPr>
            <w:tcW w:w="978"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5B766C" w:rsidRDefault="003A497B" w:rsidP="003E1809">
            <w:pPr>
              <w:jc w:val="center"/>
              <w:rPr>
                <w:rFonts w:ascii="Times New Roman" w:hAnsi="Times New Roman" w:cs="Times New Roman"/>
                <w:b/>
                <w:bCs/>
                <w:color w:val="000000"/>
                <w:sz w:val="14"/>
                <w:szCs w:val="14"/>
              </w:rPr>
            </w:pPr>
            <w:r w:rsidRPr="005B766C">
              <w:rPr>
                <w:rFonts w:ascii="Times New Roman" w:hAnsi="Times New Roman" w:cs="Times New Roman"/>
                <w:b/>
                <w:bCs/>
                <w:color w:val="000000"/>
                <w:sz w:val="14"/>
                <w:szCs w:val="14"/>
              </w:rPr>
              <w:t>2018 OS</w:t>
            </w:r>
          </w:p>
        </w:tc>
        <w:tc>
          <w:tcPr>
            <w:tcW w:w="978" w:type="dxa"/>
            <w:tcBorders>
              <w:top w:val="single" w:sz="4" w:space="0" w:color="auto"/>
              <w:left w:val="nil"/>
              <w:bottom w:val="single" w:sz="4" w:space="0" w:color="auto"/>
              <w:right w:val="single" w:sz="4" w:space="0" w:color="auto"/>
            </w:tcBorders>
            <w:shd w:val="clear" w:color="000000" w:fill="A6A6A6"/>
            <w:vAlign w:val="center"/>
            <w:hideMark/>
          </w:tcPr>
          <w:p w:rsidR="003A497B" w:rsidRPr="005B766C" w:rsidRDefault="003A497B" w:rsidP="003E1809">
            <w:pPr>
              <w:jc w:val="center"/>
              <w:rPr>
                <w:rFonts w:ascii="Times New Roman" w:hAnsi="Times New Roman" w:cs="Times New Roman"/>
                <w:b/>
                <w:bCs/>
                <w:color w:val="000000"/>
                <w:sz w:val="14"/>
                <w:szCs w:val="14"/>
              </w:rPr>
            </w:pPr>
            <w:r w:rsidRPr="005B766C">
              <w:rPr>
                <w:rFonts w:ascii="Times New Roman" w:hAnsi="Times New Roman" w:cs="Times New Roman"/>
                <w:b/>
                <w:bCs/>
                <w:color w:val="000000"/>
                <w:sz w:val="14"/>
                <w:szCs w:val="14"/>
              </w:rPr>
              <w:t>2019 N</w:t>
            </w:r>
          </w:p>
        </w:tc>
        <w:tc>
          <w:tcPr>
            <w:tcW w:w="978" w:type="dxa"/>
            <w:tcBorders>
              <w:top w:val="single" w:sz="4" w:space="0" w:color="auto"/>
              <w:left w:val="nil"/>
              <w:bottom w:val="single" w:sz="4" w:space="0" w:color="auto"/>
              <w:right w:val="single" w:sz="4" w:space="0" w:color="auto"/>
            </w:tcBorders>
            <w:shd w:val="clear" w:color="000000" w:fill="A6A6A6"/>
            <w:vAlign w:val="center"/>
            <w:hideMark/>
          </w:tcPr>
          <w:p w:rsidR="003A497B" w:rsidRPr="005B766C" w:rsidRDefault="003A497B" w:rsidP="003E1809">
            <w:pPr>
              <w:jc w:val="center"/>
              <w:rPr>
                <w:rFonts w:ascii="Times New Roman" w:hAnsi="Times New Roman" w:cs="Times New Roman"/>
                <w:b/>
                <w:bCs/>
                <w:color w:val="000000"/>
                <w:sz w:val="14"/>
                <w:szCs w:val="14"/>
              </w:rPr>
            </w:pPr>
            <w:r w:rsidRPr="005B766C">
              <w:rPr>
                <w:rFonts w:ascii="Times New Roman" w:hAnsi="Times New Roman" w:cs="Times New Roman"/>
                <w:b/>
                <w:bCs/>
                <w:color w:val="000000"/>
                <w:sz w:val="14"/>
                <w:szCs w:val="14"/>
              </w:rPr>
              <w:t>2020 N</w:t>
            </w:r>
          </w:p>
        </w:tc>
        <w:tc>
          <w:tcPr>
            <w:tcW w:w="978"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5B766C" w:rsidRDefault="003A497B" w:rsidP="003E1809">
            <w:pPr>
              <w:jc w:val="center"/>
              <w:rPr>
                <w:rFonts w:ascii="Times New Roman" w:hAnsi="Times New Roman" w:cs="Times New Roman"/>
                <w:b/>
                <w:bCs/>
                <w:color w:val="000000"/>
                <w:sz w:val="14"/>
                <w:szCs w:val="14"/>
              </w:rPr>
            </w:pPr>
            <w:r w:rsidRPr="005B766C">
              <w:rPr>
                <w:rFonts w:ascii="Times New Roman" w:hAnsi="Times New Roman" w:cs="Times New Roman"/>
                <w:b/>
                <w:bCs/>
                <w:color w:val="000000"/>
                <w:sz w:val="14"/>
                <w:szCs w:val="14"/>
              </w:rPr>
              <w:t>2021 N</w:t>
            </w:r>
          </w:p>
        </w:tc>
      </w:tr>
      <w:tr w:rsidR="003A497B" w:rsidRPr="00F628DB" w:rsidTr="003E1809">
        <w:trPr>
          <w:trHeight w:val="255"/>
        </w:trPr>
        <w:tc>
          <w:tcPr>
            <w:tcW w:w="2241" w:type="dxa"/>
            <w:tcBorders>
              <w:top w:val="nil"/>
              <w:left w:val="single" w:sz="4" w:space="0" w:color="auto"/>
              <w:bottom w:val="single" w:sz="4" w:space="0" w:color="auto"/>
              <w:right w:val="single" w:sz="4" w:space="0" w:color="auto"/>
            </w:tcBorders>
            <w:shd w:val="clear" w:color="000000" w:fill="C0C0C0"/>
            <w:noWrap/>
            <w:vAlign w:val="center"/>
            <w:hideMark/>
          </w:tcPr>
          <w:p w:rsidR="003A497B" w:rsidRPr="00F628DB" w:rsidRDefault="003A497B" w:rsidP="003E1809">
            <w:pPr>
              <w:rPr>
                <w:rFonts w:ascii="Times New Roman" w:hAnsi="Times New Roman" w:cs="Times New Roman"/>
                <w:b/>
                <w:bCs/>
                <w:sz w:val="14"/>
                <w:szCs w:val="14"/>
                <w:lang w:eastAsia="sk-SK"/>
              </w:rPr>
            </w:pPr>
            <w:r w:rsidRPr="00F628DB">
              <w:rPr>
                <w:rFonts w:ascii="Times New Roman" w:hAnsi="Times New Roman" w:cs="Times New Roman"/>
                <w:b/>
                <w:bCs/>
                <w:sz w:val="14"/>
                <w:szCs w:val="14"/>
                <w:lang w:eastAsia="sk-SK"/>
              </w:rPr>
              <w:t>Rozvoj zahraničných vzťahov</w:t>
            </w:r>
          </w:p>
        </w:tc>
        <w:tc>
          <w:tcPr>
            <w:tcW w:w="977" w:type="dxa"/>
            <w:tcBorders>
              <w:top w:val="nil"/>
              <w:left w:val="single" w:sz="4" w:space="0" w:color="auto"/>
              <w:bottom w:val="single" w:sz="4" w:space="0" w:color="auto"/>
              <w:right w:val="single" w:sz="4" w:space="0" w:color="auto"/>
            </w:tcBorders>
            <w:shd w:val="clear" w:color="000000" w:fill="C0C0C0"/>
            <w:vAlign w:val="bottom"/>
            <w:hideMark/>
          </w:tcPr>
          <w:p w:rsidR="003A497B" w:rsidRPr="005B766C" w:rsidRDefault="003A497B" w:rsidP="003E1809">
            <w:pPr>
              <w:jc w:val="right"/>
              <w:rPr>
                <w:rFonts w:ascii="Times New Roman" w:hAnsi="Times New Roman" w:cs="Times New Roman"/>
                <w:b/>
                <w:bCs/>
                <w:color w:val="000000"/>
                <w:sz w:val="14"/>
                <w:szCs w:val="14"/>
              </w:rPr>
            </w:pPr>
            <w:r w:rsidRPr="005B766C">
              <w:rPr>
                <w:rFonts w:ascii="Times New Roman" w:hAnsi="Times New Roman" w:cs="Times New Roman"/>
                <w:b/>
                <w:bCs/>
                <w:color w:val="000000"/>
                <w:sz w:val="14"/>
                <w:szCs w:val="14"/>
              </w:rPr>
              <w:t>114 544 321</w:t>
            </w:r>
          </w:p>
        </w:tc>
        <w:tc>
          <w:tcPr>
            <w:tcW w:w="978" w:type="dxa"/>
            <w:tcBorders>
              <w:top w:val="nil"/>
              <w:left w:val="nil"/>
              <w:bottom w:val="single" w:sz="4" w:space="0" w:color="auto"/>
              <w:right w:val="single" w:sz="4" w:space="0" w:color="auto"/>
            </w:tcBorders>
            <w:shd w:val="clear" w:color="000000" w:fill="C0C0C0"/>
            <w:vAlign w:val="bottom"/>
            <w:hideMark/>
          </w:tcPr>
          <w:p w:rsidR="003A497B" w:rsidRPr="005B766C" w:rsidRDefault="003A497B" w:rsidP="003E1809">
            <w:pPr>
              <w:jc w:val="right"/>
              <w:rPr>
                <w:rFonts w:ascii="Times New Roman" w:hAnsi="Times New Roman" w:cs="Times New Roman"/>
                <w:b/>
                <w:bCs/>
                <w:color w:val="000000"/>
                <w:sz w:val="14"/>
                <w:szCs w:val="14"/>
              </w:rPr>
            </w:pPr>
            <w:r w:rsidRPr="005B766C">
              <w:rPr>
                <w:rFonts w:ascii="Times New Roman" w:hAnsi="Times New Roman" w:cs="Times New Roman"/>
                <w:b/>
                <w:bCs/>
                <w:color w:val="000000"/>
                <w:sz w:val="14"/>
                <w:szCs w:val="14"/>
              </w:rPr>
              <w:t>113 189 010</w:t>
            </w:r>
          </w:p>
        </w:tc>
        <w:tc>
          <w:tcPr>
            <w:tcW w:w="978" w:type="dxa"/>
            <w:tcBorders>
              <w:top w:val="nil"/>
              <w:left w:val="nil"/>
              <w:bottom w:val="single" w:sz="4" w:space="0" w:color="auto"/>
              <w:right w:val="single" w:sz="4" w:space="0" w:color="auto"/>
            </w:tcBorders>
            <w:shd w:val="clear" w:color="000000" w:fill="C0C0C0"/>
            <w:vAlign w:val="bottom"/>
            <w:hideMark/>
          </w:tcPr>
          <w:p w:rsidR="003A497B" w:rsidRPr="005B766C" w:rsidRDefault="003A497B" w:rsidP="003E1809">
            <w:pPr>
              <w:jc w:val="right"/>
              <w:rPr>
                <w:rFonts w:ascii="Times New Roman" w:hAnsi="Times New Roman" w:cs="Times New Roman"/>
                <w:b/>
                <w:bCs/>
                <w:color w:val="000000"/>
                <w:sz w:val="14"/>
                <w:szCs w:val="14"/>
              </w:rPr>
            </w:pPr>
            <w:r w:rsidRPr="005B766C">
              <w:rPr>
                <w:rFonts w:ascii="Times New Roman" w:hAnsi="Times New Roman" w:cs="Times New Roman"/>
                <w:b/>
                <w:bCs/>
                <w:color w:val="000000"/>
                <w:sz w:val="14"/>
                <w:szCs w:val="14"/>
              </w:rPr>
              <w:t>110 470 449</w:t>
            </w:r>
          </w:p>
        </w:tc>
        <w:tc>
          <w:tcPr>
            <w:tcW w:w="978"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3A497B" w:rsidRPr="00307E7E" w:rsidRDefault="003A497B" w:rsidP="003E1809">
            <w:pPr>
              <w:jc w:val="right"/>
              <w:rPr>
                <w:rFonts w:ascii="Times New Roman" w:hAnsi="Times New Roman" w:cs="Times New Roman"/>
                <w:b/>
                <w:bCs/>
                <w:color w:val="000000"/>
                <w:sz w:val="14"/>
                <w:szCs w:val="14"/>
                <w:lang w:eastAsia="sk-SK"/>
              </w:rPr>
            </w:pPr>
            <w:r w:rsidRPr="00307E7E">
              <w:rPr>
                <w:rFonts w:ascii="Times New Roman" w:hAnsi="Times New Roman" w:cs="Times New Roman"/>
                <w:b/>
                <w:bCs/>
                <w:color w:val="000000"/>
                <w:sz w:val="14"/>
                <w:szCs w:val="14"/>
              </w:rPr>
              <w:t>116 211 781</w:t>
            </w:r>
          </w:p>
        </w:tc>
        <w:tc>
          <w:tcPr>
            <w:tcW w:w="978"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3A497B" w:rsidRPr="00234A8B" w:rsidRDefault="003A497B" w:rsidP="003E1809">
            <w:pPr>
              <w:jc w:val="right"/>
              <w:rPr>
                <w:rFonts w:ascii="Times New Roman" w:hAnsi="Times New Roman" w:cs="Times New Roman"/>
                <w:b/>
                <w:bCs/>
                <w:color w:val="000000"/>
                <w:sz w:val="14"/>
                <w:szCs w:val="14"/>
                <w:lang w:eastAsia="sk-SK"/>
              </w:rPr>
            </w:pPr>
            <w:r w:rsidRPr="00234A8B">
              <w:rPr>
                <w:rFonts w:ascii="Times New Roman" w:hAnsi="Times New Roman" w:cs="Times New Roman"/>
                <w:b/>
                <w:bCs/>
                <w:color w:val="000000"/>
                <w:sz w:val="14"/>
                <w:szCs w:val="14"/>
              </w:rPr>
              <w:t>127 526 800</w:t>
            </w:r>
          </w:p>
        </w:tc>
        <w:tc>
          <w:tcPr>
            <w:tcW w:w="978" w:type="dxa"/>
            <w:tcBorders>
              <w:top w:val="single" w:sz="4" w:space="0" w:color="auto"/>
              <w:left w:val="nil"/>
              <w:bottom w:val="single" w:sz="4" w:space="0" w:color="auto"/>
              <w:right w:val="single" w:sz="4" w:space="0" w:color="auto"/>
            </w:tcBorders>
            <w:shd w:val="clear" w:color="000000" w:fill="C0C0C0"/>
            <w:vAlign w:val="bottom"/>
            <w:hideMark/>
          </w:tcPr>
          <w:p w:rsidR="003A497B" w:rsidRPr="00234A8B" w:rsidRDefault="003A497B" w:rsidP="003E1809">
            <w:pPr>
              <w:jc w:val="right"/>
              <w:rPr>
                <w:rFonts w:ascii="Times New Roman" w:hAnsi="Times New Roman" w:cs="Times New Roman"/>
                <w:b/>
                <w:bCs/>
                <w:color w:val="000000"/>
                <w:sz w:val="14"/>
                <w:szCs w:val="14"/>
              </w:rPr>
            </w:pPr>
            <w:r w:rsidRPr="00234A8B">
              <w:rPr>
                <w:rFonts w:ascii="Times New Roman" w:hAnsi="Times New Roman" w:cs="Times New Roman"/>
                <w:b/>
                <w:bCs/>
                <w:color w:val="000000"/>
                <w:sz w:val="14"/>
                <w:szCs w:val="14"/>
              </w:rPr>
              <w:t>119 490 943</w:t>
            </w:r>
          </w:p>
        </w:tc>
        <w:tc>
          <w:tcPr>
            <w:tcW w:w="978" w:type="dxa"/>
            <w:tcBorders>
              <w:top w:val="single" w:sz="4" w:space="0" w:color="auto"/>
              <w:left w:val="nil"/>
              <w:bottom w:val="single" w:sz="4" w:space="0" w:color="auto"/>
              <w:right w:val="single" w:sz="4" w:space="0" w:color="auto"/>
            </w:tcBorders>
            <w:shd w:val="clear" w:color="000000" w:fill="C0C0C0"/>
            <w:vAlign w:val="bottom"/>
            <w:hideMark/>
          </w:tcPr>
          <w:p w:rsidR="003A497B" w:rsidRPr="00234A8B" w:rsidRDefault="003A497B" w:rsidP="003E1809">
            <w:pPr>
              <w:jc w:val="right"/>
              <w:rPr>
                <w:rFonts w:ascii="Times New Roman" w:hAnsi="Times New Roman" w:cs="Times New Roman"/>
                <w:b/>
                <w:bCs/>
                <w:color w:val="000000"/>
                <w:sz w:val="14"/>
                <w:szCs w:val="14"/>
              </w:rPr>
            </w:pPr>
            <w:r w:rsidRPr="00234A8B">
              <w:rPr>
                <w:rFonts w:ascii="Times New Roman" w:hAnsi="Times New Roman" w:cs="Times New Roman"/>
                <w:b/>
                <w:bCs/>
                <w:color w:val="000000"/>
                <w:sz w:val="14"/>
                <w:szCs w:val="14"/>
              </w:rPr>
              <w:t>119 141 866</w:t>
            </w:r>
          </w:p>
        </w:tc>
      </w:tr>
      <w:tr w:rsidR="003A497B" w:rsidRPr="00F628DB" w:rsidTr="003E1809">
        <w:trPr>
          <w:trHeight w:val="255"/>
        </w:trPr>
        <w:tc>
          <w:tcPr>
            <w:tcW w:w="2241" w:type="dxa"/>
            <w:tcBorders>
              <w:top w:val="nil"/>
              <w:left w:val="single" w:sz="4" w:space="0" w:color="auto"/>
              <w:bottom w:val="single" w:sz="4" w:space="0" w:color="auto"/>
              <w:right w:val="single" w:sz="4" w:space="0" w:color="auto"/>
            </w:tcBorders>
            <w:noWrap/>
            <w:vAlign w:val="center"/>
            <w:hideMark/>
          </w:tcPr>
          <w:p w:rsidR="003A497B" w:rsidRPr="00F628DB" w:rsidRDefault="003A497B" w:rsidP="003E1809">
            <w:pPr>
              <w:rPr>
                <w:rFonts w:ascii="Times New Roman" w:hAnsi="Times New Roman" w:cs="Times New Roman"/>
                <w:b/>
                <w:bCs/>
                <w:sz w:val="14"/>
                <w:szCs w:val="14"/>
                <w:lang w:eastAsia="sk-SK"/>
              </w:rPr>
            </w:pPr>
            <w:r w:rsidRPr="00F628DB">
              <w:rPr>
                <w:rFonts w:ascii="Times New Roman" w:hAnsi="Times New Roman" w:cs="Times New Roman"/>
                <w:b/>
                <w:bCs/>
                <w:sz w:val="14"/>
                <w:szCs w:val="14"/>
                <w:lang w:eastAsia="sk-SK"/>
              </w:rPr>
              <w:t xml:space="preserve">     Reprezentácia SR v zahraničí</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b/>
                <w:bCs/>
                <w:sz w:val="14"/>
                <w:szCs w:val="14"/>
                <w:lang w:eastAsia="sk-SK"/>
              </w:rPr>
            </w:pPr>
            <w:r w:rsidRPr="005B766C">
              <w:rPr>
                <w:rFonts w:ascii="Times New Roman" w:hAnsi="Times New Roman" w:cs="Times New Roman"/>
                <w:b/>
                <w:bCs/>
                <w:sz w:val="14"/>
                <w:szCs w:val="14"/>
              </w:rPr>
              <w:t>70 374 321</w:t>
            </w:r>
          </w:p>
        </w:tc>
        <w:tc>
          <w:tcPr>
            <w:tcW w:w="978" w:type="dxa"/>
            <w:tcBorders>
              <w:top w:val="single" w:sz="4" w:space="0" w:color="auto"/>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b/>
                <w:bCs/>
                <w:sz w:val="14"/>
                <w:szCs w:val="14"/>
              </w:rPr>
            </w:pPr>
            <w:r w:rsidRPr="005B766C">
              <w:rPr>
                <w:rFonts w:ascii="Times New Roman" w:hAnsi="Times New Roman" w:cs="Times New Roman"/>
                <w:b/>
                <w:bCs/>
                <w:sz w:val="14"/>
                <w:szCs w:val="14"/>
              </w:rPr>
              <w:t>74 418 125</w:t>
            </w:r>
          </w:p>
        </w:tc>
        <w:tc>
          <w:tcPr>
            <w:tcW w:w="978" w:type="dxa"/>
            <w:tcBorders>
              <w:top w:val="single" w:sz="4" w:space="0" w:color="auto"/>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b/>
                <w:bCs/>
                <w:sz w:val="14"/>
                <w:szCs w:val="14"/>
              </w:rPr>
            </w:pPr>
            <w:r w:rsidRPr="005B766C">
              <w:rPr>
                <w:rFonts w:ascii="Times New Roman" w:hAnsi="Times New Roman" w:cs="Times New Roman"/>
                <w:b/>
                <w:bCs/>
                <w:sz w:val="14"/>
                <w:szCs w:val="14"/>
              </w:rPr>
              <w:t>74 424 138</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307E7E" w:rsidRDefault="003A497B" w:rsidP="003E1809">
            <w:pPr>
              <w:jc w:val="right"/>
              <w:rPr>
                <w:rFonts w:ascii="Times New Roman" w:hAnsi="Times New Roman" w:cs="Times New Roman"/>
                <w:b/>
                <w:bCs/>
                <w:sz w:val="14"/>
                <w:szCs w:val="14"/>
              </w:rPr>
            </w:pPr>
            <w:r w:rsidRPr="00307E7E">
              <w:rPr>
                <w:rFonts w:ascii="Times New Roman" w:hAnsi="Times New Roman" w:cs="Times New Roman"/>
                <w:b/>
                <w:bCs/>
                <w:sz w:val="14"/>
                <w:szCs w:val="14"/>
              </w:rPr>
              <w:t>78 138 345</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b/>
                <w:bCs/>
                <w:sz w:val="14"/>
                <w:szCs w:val="14"/>
              </w:rPr>
            </w:pPr>
            <w:r w:rsidRPr="00234A8B">
              <w:rPr>
                <w:rFonts w:ascii="Times New Roman" w:hAnsi="Times New Roman" w:cs="Times New Roman"/>
                <w:b/>
                <w:bCs/>
                <w:sz w:val="14"/>
                <w:szCs w:val="14"/>
              </w:rPr>
              <w:t>77 340 374</w:t>
            </w:r>
          </w:p>
        </w:tc>
        <w:tc>
          <w:tcPr>
            <w:tcW w:w="978" w:type="dxa"/>
            <w:tcBorders>
              <w:top w:val="nil"/>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b/>
                <w:bCs/>
                <w:sz w:val="14"/>
                <w:szCs w:val="14"/>
              </w:rPr>
            </w:pPr>
            <w:r w:rsidRPr="00234A8B">
              <w:rPr>
                <w:rFonts w:ascii="Times New Roman" w:hAnsi="Times New Roman" w:cs="Times New Roman"/>
                <w:b/>
                <w:bCs/>
                <w:sz w:val="14"/>
                <w:szCs w:val="14"/>
              </w:rPr>
              <w:t>77 583 682</w:t>
            </w:r>
          </w:p>
        </w:tc>
        <w:tc>
          <w:tcPr>
            <w:tcW w:w="978" w:type="dxa"/>
            <w:tcBorders>
              <w:top w:val="nil"/>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b/>
                <w:bCs/>
                <w:sz w:val="14"/>
                <w:szCs w:val="14"/>
              </w:rPr>
            </w:pPr>
            <w:r w:rsidRPr="00234A8B">
              <w:rPr>
                <w:rFonts w:ascii="Times New Roman" w:hAnsi="Times New Roman" w:cs="Times New Roman"/>
                <w:b/>
                <w:bCs/>
                <w:sz w:val="14"/>
                <w:szCs w:val="14"/>
              </w:rPr>
              <w:t>77 509 832</w:t>
            </w:r>
          </w:p>
        </w:tc>
      </w:tr>
      <w:tr w:rsidR="003A497B" w:rsidRPr="00F628DB" w:rsidTr="003E1809">
        <w:trPr>
          <w:trHeight w:val="255"/>
        </w:trPr>
        <w:tc>
          <w:tcPr>
            <w:tcW w:w="2241" w:type="dxa"/>
            <w:tcBorders>
              <w:top w:val="nil"/>
              <w:left w:val="single" w:sz="4" w:space="0" w:color="auto"/>
              <w:bottom w:val="single" w:sz="4" w:space="0" w:color="auto"/>
              <w:right w:val="single" w:sz="4" w:space="0" w:color="auto"/>
            </w:tcBorders>
            <w:noWrap/>
            <w:vAlign w:val="center"/>
            <w:hideMark/>
          </w:tcPr>
          <w:p w:rsidR="003A497B" w:rsidRPr="00F628DB" w:rsidRDefault="003A497B" w:rsidP="003E1809">
            <w:pPr>
              <w:rPr>
                <w:rFonts w:ascii="Times New Roman" w:hAnsi="Times New Roman" w:cs="Times New Roman"/>
                <w:sz w:val="14"/>
                <w:szCs w:val="14"/>
                <w:lang w:eastAsia="sk-SK"/>
              </w:rPr>
            </w:pPr>
            <w:r w:rsidRPr="00F628DB">
              <w:rPr>
                <w:rFonts w:ascii="Times New Roman" w:hAnsi="Times New Roman" w:cs="Times New Roman"/>
                <w:sz w:val="14"/>
                <w:szCs w:val="14"/>
                <w:lang w:eastAsia="sk-SK"/>
              </w:rPr>
              <w:t xml:space="preserve">         bežné výdavky</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70 374 321</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74 418 125</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74 424 138</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307E7E" w:rsidRDefault="003A497B" w:rsidP="003E1809">
            <w:pPr>
              <w:jc w:val="right"/>
              <w:rPr>
                <w:rFonts w:ascii="Times New Roman" w:hAnsi="Times New Roman" w:cs="Times New Roman"/>
                <w:sz w:val="14"/>
                <w:szCs w:val="14"/>
              </w:rPr>
            </w:pPr>
            <w:r w:rsidRPr="00307E7E">
              <w:rPr>
                <w:rFonts w:ascii="Times New Roman" w:hAnsi="Times New Roman" w:cs="Times New Roman"/>
                <w:sz w:val="14"/>
                <w:szCs w:val="14"/>
              </w:rPr>
              <w:t>78 138 345</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77 340 374</w:t>
            </w:r>
          </w:p>
        </w:tc>
        <w:tc>
          <w:tcPr>
            <w:tcW w:w="978" w:type="dxa"/>
            <w:tcBorders>
              <w:top w:val="nil"/>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77 583 682</w:t>
            </w:r>
          </w:p>
        </w:tc>
        <w:tc>
          <w:tcPr>
            <w:tcW w:w="978" w:type="dxa"/>
            <w:tcBorders>
              <w:top w:val="nil"/>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77 509 832</w:t>
            </w:r>
          </w:p>
        </w:tc>
      </w:tr>
      <w:tr w:rsidR="003A497B" w:rsidRPr="00F628DB" w:rsidTr="003E1809">
        <w:trPr>
          <w:trHeight w:val="255"/>
        </w:trPr>
        <w:tc>
          <w:tcPr>
            <w:tcW w:w="2241" w:type="dxa"/>
            <w:tcBorders>
              <w:top w:val="nil"/>
              <w:left w:val="single" w:sz="4" w:space="0" w:color="auto"/>
              <w:bottom w:val="single" w:sz="4" w:space="0" w:color="auto"/>
              <w:right w:val="single" w:sz="4" w:space="0" w:color="auto"/>
            </w:tcBorders>
            <w:noWrap/>
            <w:vAlign w:val="center"/>
            <w:hideMark/>
          </w:tcPr>
          <w:p w:rsidR="003A497B" w:rsidRPr="00F628DB" w:rsidRDefault="003A497B" w:rsidP="003E1809">
            <w:pPr>
              <w:rPr>
                <w:rFonts w:ascii="Times New Roman" w:hAnsi="Times New Roman" w:cs="Times New Roman"/>
                <w:color w:val="000000"/>
                <w:sz w:val="14"/>
                <w:szCs w:val="14"/>
                <w:lang w:eastAsia="sk-SK"/>
              </w:rPr>
            </w:pPr>
            <w:r w:rsidRPr="00F628DB">
              <w:rPr>
                <w:rFonts w:ascii="Times New Roman" w:hAnsi="Times New Roman" w:cs="Times New Roman"/>
                <w:color w:val="000000"/>
                <w:sz w:val="14"/>
                <w:szCs w:val="14"/>
                <w:lang w:eastAsia="sk-SK"/>
              </w:rPr>
              <w:t xml:space="preserve">                  610 mzdy</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37 296 240</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38 344 596</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40 413 407</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307E7E" w:rsidRDefault="003A497B" w:rsidP="003E1809">
            <w:pPr>
              <w:jc w:val="right"/>
              <w:rPr>
                <w:rFonts w:ascii="Times New Roman" w:hAnsi="Times New Roman" w:cs="Times New Roman"/>
                <w:sz w:val="14"/>
                <w:szCs w:val="14"/>
              </w:rPr>
            </w:pPr>
            <w:r w:rsidRPr="00307E7E">
              <w:rPr>
                <w:rFonts w:ascii="Times New Roman" w:hAnsi="Times New Roman" w:cs="Times New Roman"/>
                <w:sz w:val="14"/>
                <w:szCs w:val="14"/>
              </w:rPr>
              <w:t>41 683 086</w:t>
            </w:r>
          </w:p>
        </w:tc>
        <w:tc>
          <w:tcPr>
            <w:tcW w:w="978" w:type="dxa"/>
            <w:tcBorders>
              <w:top w:val="nil"/>
              <w:left w:val="single" w:sz="4" w:space="0" w:color="auto"/>
              <w:bottom w:val="single" w:sz="4" w:space="0" w:color="auto"/>
              <w:right w:val="single" w:sz="4" w:space="0" w:color="auto"/>
            </w:tcBorders>
            <w:shd w:val="clear" w:color="auto" w:fill="auto"/>
            <w:noWrap/>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39 458 665</w:t>
            </w:r>
          </w:p>
        </w:tc>
        <w:tc>
          <w:tcPr>
            <w:tcW w:w="978" w:type="dxa"/>
            <w:tcBorders>
              <w:top w:val="nil"/>
              <w:left w:val="nil"/>
              <w:bottom w:val="single" w:sz="4" w:space="0" w:color="auto"/>
              <w:right w:val="single" w:sz="4" w:space="0" w:color="auto"/>
            </w:tcBorders>
            <w:shd w:val="clear" w:color="auto" w:fill="auto"/>
            <w:noWrap/>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42 048 234</w:t>
            </w:r>
          </w:p>
        </w:tc>
        <w:tc>
          <w:tcPr>
            <w:tcW w:w="978" w:type="dxa"/>
            <w:tcBorders>
              <w:top w:val="nil"/>
              <w:left w:val="nil"/>
              <w:bottom w:val="single" w:sz="4" w:space="0" w:color="auto"/>
              <w:right w:val="single" w:sz="4" w:space="0" w:color="auto"/>
            </w:tcBorders>
            <w:shd w:val="clear" w:color="auto" w:fill="auto"/>
            <w:noWrap/>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42 048 234</w:t>
            </w:r>
          </w:p>
        </w:tc>
      </w:tr>
      <w:tr w:rsidR="003A497B" w:rsidRPr="00F628DB" w:rsidTr="003E1809">
        <w:trPr>
          <w:trHeight w:val="255"/>
        </w:trPr>
        <w:tc>
          <w:tcPr>
            <w:tcW w:w="2241" w:type="dxa"/>
            <w:tcBorders>
              <w:top w:val="nil"/>
              <w:left w:val="single" w:sz="4" w:space="0" w:color="auto"/>
              <w:bottom w:val="single" w:sz="4" w:space="0" w:color="auto"/>
              <w:right w:val="single" w:sz="4" w:space="0" w:color="auto"/>
            </w:tcBorders>
            <w:noWrap/>
            <w:vAlign w:val="center"/>
            <w:hideMark/>
          </w:tcPr>
          <w:p w:rsidR="003A497B" w:rsidRPr="00F628DB" w:rsidRDefault="003A497B" w:rsidP="003E1809">
            <w:pPr>
              <w:rPr>
                <w:rFonts w:ascii="Times New Roman" w:hAnsi="Times New Roman" w:cs="Times New Roman"/>
                <w:color w:val="000000"/>
                <w:sz w:val="14"/>
                <w:szCs w:val="14"/>
                <w:lang w:eastAsia="sk-SK"/>
              </w:rPr>
            </w:pPr>
            <w:r w:rsidRPr="00F628DB">
              <w:rPr>
                <w:rFonts w:ascii="Times New Roman" w:hAnsi="Times New Roman" w:cs="Times New Roman"/>
                <w:color w:val="000000"/>
                <w:sz w:val="14"/>
                <w:szCs w:val="14"/>
                <w:lang w:eastAsia="sk-SK"/>
              </w:rPr>
              <w:t xml:space="preserve">                  620 odvody</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10 419 599</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12 794 106</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10 840 653</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307E7E" w:rsidRDefault="003A497B" w:rsidP="003E1809">
            <w:pPr>
              <w:jc w:val="right"/>
              <w:rPr>
                <w:rFonts w:ascii="Times New Roman" w:hAnsi="Times New Roman" w:cs="Times New Roman"/>
                <w:sz w:val="14"/>
                <w:szCs w:val="14"/>
              </w:rPr>
            </w:pPr>
            <w:r w:rsidRPr="00307E7E">
              <w:rPr>
                <w:rFonts w:ascii="Times New Roman" w:hAnsi="Times New Roman" w:cs="Times New Roman"/>
                <w:sz w:val="14"/>
                <w:szCs w:val="14"/>
              </w:rPr>
              <w:t>11 791 397</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13 140 363</w:t>
            </w:r>
          </w:p>
        </w:tc>
        <w:tc>
          <w:tcPr>
            <w:tcW w:w="978" w:type="dxa"/>
            <w:tcBorders>
              <w:top w:val="nil"/>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11 515 370</w:t>
            </w:r>
          </w:p>
        </w:tc>
        <w:tc>
          <w:tcPr>
            <w:tcW w:w="978" w:type="dxa"/>
            <w:tcBorders>
              <w:top w:val="nil"/>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11 515 370</w:t>
            </w:r>
          </w:p>
        </w:tc>
      </w:tr>
      <w:tr w:rsidR="003A497B" w:rsidRPr="00F628DB" w:rsidTr="003E1809">
        <w:trPr>
          <w:trHeight w:val="255"/>
        </w:trPr>
        <w:tc>
          <w:tcPr>
            <w:tcW w:w="2241" w:type="dxa"/>
            <w:tcBorders>
              <w:top w:val="nil"/>
              <w:left w:val="single" w:sz="4" w:space="0" w:color="auto"/>
              <w:bottom w:val="single" w:sz="4" w:space="0" w:color="auto"/>
              <w:right w:val="single" w:sz="4" w:space="0" w:color="auto"/>
            </w:tcBorders>
            <w:noWrap/>
            <w:vAlign w:val="center"/>
            <w:hideMark/>
          </w:tcPr>
          <w:p w:rsidR="003A497B" w:rsidRPr="00F628DB" w:rsidRDefault="003A497B" w:rsidP="003E1809">
            <w:pPr>
              <w:rPr>
                <w:rFonts w:ascii="Times New Roman" w:hAnsi="Times New Roman" w:cs="Times New Roman"/>
                <w:color w:val="000000"/>
                <w:sz w:val="14"/>
                <w:szCs w:val="14"/>
                <w:lang w:eastAsia="sk-SK"/>
              </w:rPr>
            </w:pPr>
            <w:r w:rsidRPr="00F628DB">
              <w:rPr>
                <w:rFonts w:ascii="Times New Roman" w:hAnsi="Times New Roman" w:cs="Times New Roman"/>
                <w:color w:val="000000"/>
                <w:sz w:val="14"/>
                <w:szCs w:val="14"/>
                <w:lang w:eastAsia="sk-SK"/>
              </w:rPr>
              <w:t xml:space="preserve">                  630 tovary a služby</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22 634 312</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23 253 228</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23 165 078</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307E7E" w:rsidRDefault="003A497B" w:rsidP="003E1809">
            <w:pPr>
              <w:jc w:val="right"/>
              <w:rPr>
                <w:rFonts w:ascii="Times New Roman" w:hAnsi="Times New Roman" w:cs="Times New Roman"/>
                <w:sz w:val="14"/>
                <w:szCs w:val="14"/>
              </w:rPr>
            </w:pPr>
            <w:r w:rsidRPr="00307E7E">
              <w:rPr>
                <w:rFonts w:ascii="Times New Roman" w:hAnsi="Times New Roman" w:cs="Times New Roman"/>
                <w:sz w:val="14"/>
                <w:szCs w:val="14"/>
              </w:rPr>
              <w:t>24 662 862</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24 736 346</w:t>
            </w:r>
          </w:p>
        </w:tc>
        <w:tc>
          <w:tcPr>
            <w:tcW w:w="978" w:type="dxa"/>
            <w:tcBorders>
              <w:top w:val="nil"/>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24 015 078</w:t>
            </w:r>
          </w:p>
        </w:tc>
        <w:tc>
          <w:tcPr>
            <w:tcW w:w="978" w:type="dxa"/>
            <w:tcBorders>
              <w:top w:val="nil"/>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23 941 228</w:t>
            </w:r>
          </w:p>
        </w:tc>
      </w:tr>
      <w:tr w:rsidR="003A497B" w:rsidRPr="00F628DB" w:rsidTr="003E1809">
        <w:trPr>
          <w:trHeight w:val="255"/>
        </w:trPr>
        <w:tc>
          <w:tcPr>
            <w:tcW w:w="2241" w:type="dxa"/>
            <w:tcBorders>
              <w:top w:val="nil"/>
              <w:left w:val="single" w:sz="4" w:space="0" w:color="auto"/>
              <w:bottom w:val="single" w:sz="4" w:space="0" w:color="auto"/>
              <w:right w:val="single" w:sz="4" w:space="0" w:color="auto"/>
            </w:tcBorders>
            <w:noWrap/>
            <w:vAlign w:val="center"/>
            <w:hideMark/>
          </w:tcPr>
          <w:p w:rsidR="003A497B" w:rsidRPr="00F628DB" w:rsidRDefault="003A497B" w:rsidP="003E1809">
            <w:pPr>
              <w:rPr>
                <w:rFonts w:ascii="Times New Roman" w:hAnsi="Times New Roman" w:cs="Times New Roman"/>
                <w:color w:val="000000"/>
                <w:sz w:val="14"/>
                <w:szCs w:val="14"/>
                <w:lang w:eastAsia="sk-SK"/>
              </w:rPr>
            </w:pPr>
            <w:r w:rsidRPr="00F628DB">
              <w:rPr>
                <w:rFonts w:ascii="Times New Roman" w:hAnsi="Times New Roman" w:cs="Times New Roman"/>
                <w:color w:val="000000"/>
                <w:sz w:val="14"/>
                <w:szCs w:val="14"/>
                <w:lang w:eastAsia="sk-SK"/>
              </w:rPr>
              <w:t xml:space="preserve">                  640 bežné transfery</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24 170</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26 195</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5 000</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307E7E" w:rsidRDefault="003A497B" w:rsidP="003E1809">
            <w:pPr>
              <w:jc w:val="right"/>
              <w:rPr>
                <w:rFonts w:ascii="Times New Roman" w:hAnsi="Times New Roman" w:cs="Times New Roman"/>
                <w:sz w:val="14"/>
                <w:szCs w:val="14"/>
              </w:rPr>
            </w:pPr>
            <w:r w:rsidRPr="00307E7E">
              <w:rPr>
                <w:rFonts w:ascii="Times New Roman" w:hAnsi="Times New Roman" w:cs="Times New Roman"/>
                <w:sz w:val="14"/>
                <w:szCs w:val="14"/>
              </w:rPr>
              <w:t>1 000</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5 000</w:t>
            </w:r>
          </w:p>
        </w:tc>
        <w:tc>
          <w:tcPr>
            <w:tcW w:w="978" w:type="dxa"/>
            <w:tcBorders>
              <w:top w:val="nil"/>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5 000</w:t>
            </w:r>
          </w:p>
        </w:tc>
        <w:tc>
          <w:tcPr>
            <w:tcW w:w="978" w:type="dxa"/>
            <w:tcBorders>
              <w:top w:val="nil"/>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5 000</w:t>
            </w:r>
          </w:p>
        </w:tc>
      </w:tr>
      <w:tr w:rsidR="003A497B" w:rsidRPr="00F628DB" w:rsidTr="003E1809">
        <w:trPr>
          <w:trHeight w:val="255"/>
        </w:trPr>
        <w:tc>
          <w:tcPr>
            <w:tcW w:w="2241" w:type="dxa"/>
            <w:tcBorders>
              <w:top w:val="nil"/>
              <w:left w:val="single" w:sz="4" w:space="0" w:color="auto"/>
              <w:bottom w:val="single" w:sz="4" w:space="0" w:color="auto"/>
              <w:right w:val="single" w:sz="4" w:space="0" w:color="auto"/>
            </w:tcBorders>
            <w:noWrap/>
            <w:vAlign w:val="center"/>
            <w:hideMark/>
          </w:tcPr>
          <w:p w:rsidR="003A497B" w:rsidRPr="00F628DB" w:rsidRDefault="003A497B" w:rsidP="003E1809">
            <w:pPr>
              <w:rPr>
                <w:rFonts w:ascii="Times New Roman" w:hAnsi="Times New Roman" w:cs="Times New Roman"/>
                <w:b/>
                <w:bCs/>
                <w:sz w:val="14"/>
                <w:szCs w:val="14"/>
                <w:lang w:eastAsia="sk-SK"/>
              </w:rPr>
            </w:pPr>
            <w:r w:rsidRPr="00F628DB">
              <w:rPr>
                <w:rFonts w:ascii="Times New Roman" w:hAnsi="Times New Roman" w:cs="Times New Roman"/>
                <w:b/>
                <w:bCs/>
                <w:sz w:val="14"/>
                <w:szCs w:val="14"/>
                <w:lang w:eastAsia="sk-SK"/>
              </w:rPr>
              <w:t xml:space="preserve">     Tvorba a implementácia politík</w:t>
            </w:r>
          </w:p>
        </w:tc>
        <w:tc>
          <w:tcPr>
            <w:tcW w:w="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b/>
                <w:bCs/>
                <w:sz w:val="14"/>
                <w:szCs w:val="14"/>
                <w:lang w:eastAsia="sk-SK"/>
              </w:rPr>
            </w:pPr>
            <w:r w:rsidRPr="005B766C">
              <w:rPr>
                <w:rFonts w:ascii="Times New Roman" w:hAnsi="Times New Roman" w:cs="Times New Roman"/>
                <w:b/>
                <w:bCs/>
                <w:sz w:val="14"/>
                <w:szCs w:val="14"/>
              </w:rPr>
              <w:t>44 170 000</w:t>
            </w:r>
          </w:p>
        </w:tc>
        <w:tc>
          <w:tcPr>
            <w:tcW w:w="978" w:type="dxa"/>
            <w:tcBorders>
              <w:top w:val="single" w:sz="4" w:space="0" w:color="auto"/>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b/>
                <w:bCs/>
                <w:sz w:val="14"/>
                <w:szCs w:val="14"/>
              </w:rPr>
            </w:pPr>
            <w:r w:rsidRPr="005B766C">
              <w:rPr>
                <w:rFonts w:ascii="Times New Roman" w:hAnsi="Times New Roman" w:cs="Times New Roman"/>
                <w:b/>
                <w:bCs/>
                <w:sz w:val="14"/>
                <w:szCs w:val="14"/>
              </w:rPr>
              <w:t>38 770 885</w:t>
            </w:r>
          </w:p>
        </w:tc>
        <w:tc>
          <w:tcPr>
            <w:tcW w:w="978" w:type="dxa"/>
            <w:tcBorders>
              <w:top w:val="single" w:sz="4" w:space="0" w:color="auto"/>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b/>
                <w:bCs/>
                <w:sz w:val="14"/>
                <w:szCs w:val="14"/>
              </w:rPr>
            </w:pPr>
            <w:r w:rsidRPr="005B766C">
              <w:rPr>
                <w:rFonts w:ascii="Times New Roman" w:hAnsi="Times New Roman" w:cs="Times New Roman"/>
                <w:b/>
                <w:bCs/>
                <w:sz w:val="14"/>
                <w:szCs w:val="14"/>
              </w:rPr>
              <w:t>36 046 311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497B" w:rsidRPr="00307E7E" w:rsidRDefault="003A497B" w:rsidP="003E1809">
            <w:pPr>
              <w:jc w:val="right"/>
              <w:rPr>
                <w:rFonts w:ascii="Times New Roman" w:hAnsi="Times New Roman" w:cs="Times New Roman"/>
                <w:b/>
                <w:bCs/>
                <w:sz w:val="14"/>
                <w:szCs w:val="14"/>
                <w:lang w:eastAsia="sk-SK"/>
              </w:rPr>
            </w:pPr>
            <w:r w:rsidRPr="00307E7E">
              <w:rPr>
                <w:rFonts w:ascii="Times New Roman" w:hAnsi="Times New Roman" w:cs="Times New Roman"/>
                <w:b/>
                <w:bCs/>
                <w:sz w:val="14"/>
                <w:szCs w:val="14"/>
              </w:rPr>
              <w:t>38 073 436</w:t>
            </w:r>
          </w:p>
        </w:tc>
        <w:tc>
          <w:tcPr>
            <w:tcW w:w="9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b/>
                <w:bCs/>
                <w:sz w:val="14"/>
                <w:szCs w:val="14"/>
                <w:lang w:eastAsia="sk-SK"/>
              </w:rPr>
            </w:pPr>
            <w:r w:rsidRPr="00234A8B">
              <w:rPr>
                <w:rFonts w:ascii="Times New Roman" w:hAnsi="Times New Roman" w:cs="Times New Roman"/>
                <w:b/>
                <w:bCs/>
                <w:sz w:val="14"/>
                <w:szCs w:val="14"/>
              </w:rPr>
              <w:t>50 186 426</w:t>
            </w:r>
          </w:p>
        </w:tc>
        <w:tc>
          <w:tcPr>
            <w:tcW w:w="978" w:type="dxa"/>
            <w:tcBorders>
              <w:top w:val="single" w:sz="4" w:space="0" w:color="auto"/>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b/>
                <w:bCs/>
                <w:sz w:val="14"/>
                <w:szCs w:val="14"/>
              </w:rPr>
            </w:pPr>
            <w:r w:rsidRPr="00234A8B">
              <w:rPr>
                <w:rFonts w:ascii="Times New Roman" w:hAnsi="Times New Roman" w:cs="Times New Roman"/>
                <w:b/>
                <w:bCs/>
                <w:sz w:val="14"/>
                <w:szCs w:val="14"/>
              </w:rPr>
              <w:t>41 907 261</w:t>
            </w:r>
          </w:p>
        </w:tc>
        <w:tc>
          <w:tcPr>
            <w:tcW w:w="978" w:type="dxa"/>
            <w:tcBorders>
              <w:top w:val="single" w:sz="4" w:space="0" w:color="auto"/>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b/>
                <w:bCs/>
                <w:sz w:val="14"/>
                <w:szCs w:val="14"/>
              </w:rPr>
            </w:pPr>
            <w:r w:rsidRPr="00234A8B">
              <w:rPr>
                <w:rFonts w:ascii="Times New Roman" w:hAnsi="Times New Roman" w:cs="Times New Roman"/>
                <w:b/>
                <w:bCs/>
                <w:sz w:val="14"/>
                <w:szCs w:val="14"/>
              </w:rPr>
              <w:t>41 632 034</w:t>
            </w:r>
          </w:p>
        </w:tc>
      </w:tr>
      <w:tr w:rsidR="003A497B" w:rsidRPr="00F628DB" w:rsidTr="003E1809">
        <w:trPr>
          <w:trHeight w:val="255"/>
        </w:trPr>
        <w:tc>
          <w:tcPr>
            <w:tcW w:w="2241" w:type="dxa"/>
            <w:tcBorders>
              <w:top w:val="nil"/>
              <w:left w:val="single" w:sz="4" w:space="0" w:color="auto"/>
              <w:bottom w:val="single" w:sz="4" w:space="0" w:color="auto"/>
              <w:right w:val="single" w:sz="4" w:space="0" w:color="auto"/>
            </w:tcBorders>
            <w:noWrap/>
            <w:vAlign w:val="center"/>
            <w:hideMark/>
          </w:tcPr>
          <w:p w:rsidR="003A497B" w:rsidRPr="00F628DB" w:rsidRDefault="003A497B" w:rsidP="003E1809">
            <w:pPr>
              <w:rPr>
                <w:rFonts w:ascii="Times New Roman" w:hAnsi="Times New Roman" w:cs="Times New Roman"/>
                <w:sz w:val="14"/>
                <w:szCs w:val="14"/>
                <w:lang w:eastAsia="sk-SK"/>
              </w:rPr>
            </w:pPr>
            <w:r w:rsidRPr="00F628DB">
              <w:rPr>
                <w:rFonts w:ascii="Times New Roman" w:hAnsi="Times New Roman" w:cs="Times New Roman"/>
                <w:sz w:val="14"/>
                <w:szCs w:val="14"/>
                <w:lang w:eastAsia="sk-SK"/>
              </w:rPr>
              <w:t xml:space="preserve">         bežné výdavky</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32 707 365</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32 561 063</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32 546 311</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307E7E" w:rsidRDefault="003A497B" w:rsidP="003E1809">
            <w:pPr>
              <w:jc w:val="right"/>
              <w:rPr>
                <w:rFonts w:ascii="Times New Roman" w:hAnsi="Times New Roman" w:cs="Times New Roman"/>
                <w:sz w:val="14"/>
                <w:szCs w:val="14"/>
              </w:rPr>
            </w:pPr>
            <w:r w:rsidRPr="00307E7E">
              <w:rPr>
                <w:rFonts w:ascii="Times New Roman" w:hAnsi="Times New Roman" w:cs="Times New Roman"/>
                <w:sz w:val="14"/>
                <w:szCs w:val="14"/>
              </w:rPr>
              <w:t>34 600 936</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46 686 426</w:t>
            </w:r>
          </w:p>
        </w:tc>
        <w:tc>
          <w:tcPr>
            <w:tcW w:w="978" w:type="dxa"/>
            <w:tcBorders>
              <w:top w:val="nil"/>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38 407 261</w:t>
            </w:r>
          </w:p>
        </w:tc>
        <w:tc>
          <w:tcPr>
            <w:tcW w:w="978" w:type="dxa"/>
            <w:tcBorders>
              <w:top w:val="nil"/>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38 132 034</w:t>
            </w:r>
          </w:p>
        </w:tc>
      </w:tr>
      <w:tr w:rsidR="003A497B" w:rsidRPr="00F628DB" w:rsidTr="003E1809">
        <w:trPr>
          <w:trHeight w:val="255"/>
        </w:trPr>
        <w:tc>
          <w:tcPr>
            <w:tcW w:w="2241" w:type="dxa"/>
            <w:tcBorders>
              <w:top w:val="nil"/>
              <w:left w:val="single" w:sz="4" w:space="0" w:color="auto"/>
              <w:bottom w:val="single" w:sz="4" w:space="0" w:color="auto"/>
              <w:right w:val="single" w:sz="4" w:space="0" w:color="auto"/>
            </w:tcBorders>
            <w:noWrap/>
            <w:vAlign w:val="center"/>
            <w:hideMark/>
          </w:tcPr>
          <w:p w:rsidR="003A497B" w:rsidRPr="00F628DB" w:rsidRDefault="003A497B" w:rsidP="003E1809">
            <w:pPr>
              <w:rPr>
                <w:rFonts w:ascii="Times New Roman" w:hAnsi="Times New Roman" w:cs="Times New Roman"/>
                <w:color w:val="000000"/>
                <w:sz w:val="14"/>
                <w:szCs w:val="14"/>
                <w:lang w:eastAsia="sk-SK"/>
              </w:rPr>
            </w:pPr>
            <w:r w:rsidRPr="00F628DB">
              <w:rPr>
                <w:rFonts w:ascii="Times New Roman" w:hAnsi="Times New Roman" w:cs="Times New Roman"/>
                <w:color w:val="000000"/>
                <w:sz w:val="14"/>
                <w:szCs w:val="14"/>
                <w:lang w:eastAsia="sk-SK"/>
              </w:rPr>
              <w:t xml:space="preserve">                  610 mzdy</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9 993 498</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11 099 453</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9 952 663</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307E7E" w:rsidRDefault="003A497B" w:rsidP="003E1809">
            <w:pPr>
              <w:jc w:val="right"/>
              <w:rPr>
                <w:rFonts w:ascii="Times New Roman" w:hAnsi="Times New Roman" w:cs="Times New Roman"/>
                <w:sz w:val="14"/>
                <w:szCs w:val="14"/>
              </w:rPr>
            </w:pPr>
            <w:r w:rsidRPr="00307E7E">
              <w:rPr>
                <w:rFonts w:ascii="Times New Roman" w:hAnsi="Times New Roman" w:cs="Times New Roman"/>
                <w:sz w:val="14"/>
                <w:szCs w:val="14"/>
              </w:rPr>
              <w:t>10 896 371</w:t>
            </w:r>
          </w:p>
        </w:tc>
        <w:tc>
          <w:tcPr>
            <w:tcW w:w="978" w:type="dxa"/>
            <w:tcBorders>
              <w:top w:val="nil"/>
              <w:left w:val="single" w:sz="4" w:space="0" w:color="auto"/>
              <w:bottom w:val="single" w:sz="4" w:space="0" w:color="auto"/>
              <w:right w:val="single" w:sz="4" w:space="0" w:color="auto"/>
            </w:tcBorders>
            <w:shd w:val="clear" w:color="auto" w:fill="auto"/>
            <w:noWrap/>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13 624 904</w:t>
            </w:r>
          </w:p>
        </w:tc>
        <w:tc>
          <w:tcPr>
            <w:tcW w:w="978" w:type="dxa"/>
            <w:tcBorders>
              <w:top w:val="nil"/>
              <w:left w:val="nil"/>
              <w:bottom w:val="single" w:sz="4" w:space="0" w:color="auto"/>
              <w:right w:val="single" w:sz="4" w:space="0" w:color="auto"/>
            </w:tcBorders>
            <w:shd w:val="clear" w:color="auto" w:fill="auto"/>
            <w:noWrap/>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9 682 292</w:t>
            </w:r>
          </w:p>
        </w:tc>
        <w:tc>
          <w:tcPr>
            <w:tcW w:w="978" w:type="dxa"/>
            <w:tcBorders>
              <w:top w:val="nil"/>
              <w:left w:val="nil"/>
              <w:bottom w:val="single" w:sz="4" w:space="0" w:color="auto"/>
              <w:right w:val="single" w:sz="4" w:space="0" w:color="auto"/>
            </w:tcBorders>
            <w:shd w:val="clear" w:color="auto" w:fill="auto"/>
            <w:noWrap/>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9 550 899</w:t>
            </w:r>
          </w:p>
        </w:tc>
      </w:tr>
      <w:tr w:rsidR="003A497B" w:rsidRPr="00F628DB" w:rsidTr="003E1809">
        <w:trPr>
          <w:trHeight w:val="255"/>
        </w:trPr>
        <w:tc>
          <w:tcPr>
            <w:tcW w:w="2241" w:type="dxa"/>
            <w:tcBorders>
              <w:top w:val="nil"/>
              <w:left w:val="single" w:sz="4" w:space="0" w:color="auto"/>
              <w:bottom w:val="single" w:sz="4" w:space="0" w:color="auto"/>
              <w:right w:val="single" w:sz="4" w:space="0" w:color="auto"/>
            </w:tcBorders>
            <w:noWrap/>
            <w:vAlign w:val="center"/>
            <w:hideMark/>
          </w:tcPr>
          <w:p w:rsidR="003A497B" w:rsidRPr="00F628DB" w:rsidRDefault="003A497B" w:rsidP="003E1809">
            <w:pPr>
              <w:rPr>
                <w:rFonts w:ascii="Times New Roman" w:hAnsi="Times New Roman" w:cs="Times New Roman"/>
                <w:color w:val="000000"/>
                <w:sz w:val="14"/>
                <w:szCs w:val="14"/>
                <w:lang w:eastAsia="sk-SK"/>
              </w:rPr>
            </w:pPr>
            <w:r w:rsidRPr="00F628DB">
              <w:rPr>
                <w:rFonts w:ascii="Times New Roman" w:hAnsi="Times New Roman" w:cs="Times New Roman"/>
                <w:color w:val="000000"/>
                <w:sz w:val="14"/>
                <w:szCs w:val="14"/>
                <w:lang w:eastAsia="sk-SK"/>
              </w:rPr>
              <w:t xml:space="preserve">                  620 odvody</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3 764 075</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4 118 429</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5 837 403</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307E7E" w:rsidRDefault="003A497B" w:rsidP="003E1809">
            <w:pPr>
              <w:jc w:val="right"/>
              <w:rPr>
                <w:rFonts w:ascii="Times New Roman" w:hAnsi="Times New Roman" w:cs="Times New Roman"/>
                <w:sz w:val="14"/>
                <w:szCs w:val="14"/>
              </w:rPr>
            </w:pPr>
            <w:r w:rsidRPr="00307E7E">
              <w:rPr>
                <w:rFonts w:ascii="Times New Roman" w:hAnsi="Times New Roman" w:cs="Times New Roman"/>
                <w:sz w:val="14"/>
                <w:szCs w:val="14"/>
              </w:rPr>
              <w:t>6 159 458</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4 554 902</w:t>
            </w:r>
          </w:p>
        </w:tc>
        <w:tc>
          <w:tcPr>
            <w:tcW w:w="978" w:type="dxa"/>
            <w:tcBorders>
              <w:top w:val="nil"/>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5 712 298</w:t>
            </w:r>
          </w:p>
        </w:tc>
        <w:tc>
          <w:tcPr>
            <w:tcW w:w="978" w:type="dxa"/>
            <w:tcBorders>
              <w:top w:val="nil"/>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5 666 048</w:t>
            </w:r>
          </w:p>
        </w:tc>
      </w:tr>
      <w:tr w:rsidR="003A497B" w:rsidRPr="00F628DB" w:rsidTr="003E1809">
        <w:trPr>
          <w:trHeight w:val="255"/>
        </w:trPr>
        <w:tc>
          <w:tcPr>
            <w:tcW w:w="2241" w:type="dxa"/>
            <w:tcBorders>
              <w:top w:val="nil"/>
              <w:left w:val="single" w:sz="4" w:space="0" w:color="auto"/>
              <w:bottom w:val="single" w:sz="4" w:space="0" w:color="auto"/>
              <w:right w:val="single" w:sz="4" w:space="0" w:color="auto"/>
            </w:tcBorders>
            <w:noWrap/>
            <w:vAlign w:val="center"/>
            <w:hideMark/>
          </w:tcPr>
          <w:p w:rsidR="003A497B" w:rsidRPr="00F628DB" w:rsidRDefault="003A497B" w:rsidP="003E1809">
            <w:pPr>
              <w:rPr>
                <w:rFonts w:ascii="Times New Roman" w:hAnsi="Times New Roman" w:cs="Times New Roman"/>
                <w:color w:val="000000"/>
                <w:sz w:val="14"/>
                <w:szCs w:val="14"/>
                <w:lang w:eastAsia="sk-SK"/>
              </w:rPr>
            </w:pPr>
            <w:r w:rsidRPr="00F628DB">
              <w:rPr>
                <w:rFonts w:ascii="Times New Roman" w:hAnsi="Times New Roman" w:cs="Times New Roman"/>
                <w:color w:val="000000"/>
                <w:sz w:val="14"/>
                <w:szCs w:val="14"/>
                <w:lang w:eastAsia="sk-SK"/>
              </w:rPr>
              <w:t xml:space="preserve">                  630 tovary a služby</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15 570 835</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14 183 728</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15 238 925</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307E7E" w:rsidRDefault="003A497B" w:rsidP="003E1809">
            <w:pPr>
              <w:jc w:val="right"/>
              <w:rPr>
                <w:rFonts w:ascii="Times New Roman" w:hAnsi="Times New Roman" w:cs="Times New Roman"/>
                <w:sz w:val="14"/>
                <w:szCs w:val="14"/>
              </w:rPr>
            </w:pPr>
            <w:r w:rsidRPr="00307E7E">
              <w:rPr>
                <w:rFonts w:ascii="Times New Roman" w:hAnsi="Times New Roman" w:cs="Times New Roman"/>
                <w:sz w:val="14"/>
                <w:szCs w:val="14"/>
              </w:rPr>
              <w:t>15 322 987</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26 305 300</w:t>
            </w:r>
          </w:p>
        </w:tc>
        <w:tc>
          <w:tcPr>
            <w:tcW w:w="978" w:type="dxa"/>
            <w:tcBorders>
              <w:top w:val="nil"/>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20 871 351</w:t>
            </w:r>
          </w:p>
        </w:tc>
        <w:tc>
          <w:tcPr>
            <w:tcW w:w="978" w:type="dxa"/>
            <w:tcBorders>
              <w:top w:val="nil"/>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20 773 767</w:t>
            </w:r>
          </w:p>
        </w:tc>
      </w:tr>
      <w:tr w:rsidR="003A497B" w:rsidRPr="00F628DB" w:rsidTr="003E1809">
        <w:trPr>
          <w:trHeight w:val="255"/>
        </w:trPr>
        <w:tc>
          <w:tcPr>
            <w:tcW w:w="2241" w:type="dxa"/>
            <w:tcBorders>
              <w:top w:val="nil"/>
              <w:left w:val="single" w:sz="4" w:space="0" w:color="auto"/>
              <w:bottom w:val="single" w:sz="4" w:space="0" w:color="auto"/>
              <w:right w:val="single" w:sz="4" w:space="0" w:color="auto"/>
            </w:tcBorders>
            <w:noWrap/>
            <w:vAlign w:val="center"/>
            <w:hideMark/>
          </w:tcPr>
          <w:p w:rsidR="003A497B" w:rsidRPr="00F628DB" w:rsidRDefault="003A497B" w:rsidP="003E1809">
            <w:pPr>
              <w:rPr>
                <w:rFonts w:ascii="Times New Roman" w:hAnsi="Times New Roman" w:cs="Times New Roman"/>
                <w:color w:val="000000"/>
                <w:sz w:val="14"/>
                <w:szCs w:val="14"/>
                <w:lang w:eastAsia="sk-SK"/>
              </w:rPr>
            </w:pPr>
            <w:r w:rsidRPr="00F628DB">
              <w:rPr>
                <w:rFonts w:ascii="Times New Roman" w:hAnsi="Times New Roman" w:cs="Times New Roman"/>
                <w:color w:val="000000"/>
                <w:sz w:val="14"/>
                <w:szCs w:val="14"/>
                <w:lang w:eastAsia="sk-SK"/>
              </w:rPr>
              <w:t xml:space="preserve">                  640 bežné transfery</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3 378 957</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3 159 453</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1 517 320</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307E7E" w:rsidRDefault="003A497B" w:rsidP="003E1809">
            <w:pPr>
              <w:jc w:val="right"/>
              <w:rPr>
                <w:rFonts w:ascii="Times New Roman" w:hAnsi="Times New Roman" w:cs="Times New Roman"/>
                <w:sz w:val="14"/>
                <w:szCs w:val="14"/>
              </w:rPr>
            </w:pPr>
            <w:r w:rsidRPr="00307E7E">
              <w:rPr>
                <w:rFonts w:ascii="Times New Roman" w:hAnsi="Times New Roman" w:cs="Times New Roman"/>
                <w:sz w:val="14"/>
                <w:szCs w:val="14"/>
              </w:rPr>
              <w:t>2 222 120</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2 201 320</w:t>
            </w:r>
          </w:p>
        </w:tc>
        <w:tc>
          <w:tcPr>
            <w:tcW w:w="978" w:type="dxa"/>
            <w:tcBorders>
              <w:top w:val="nil"/>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2 141 320</w:t>
            </w:r>
          </w:p>
        </w:tc>
        <w:tc>
          <w:tcPr>
            <w:tcW w:w="978" w:type="dxa"/>
            <w:tcBorders>
              <w:top w:val="nil"/>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2 141 320</w:t>
            </w:r>
          </w:p>
        </w:tc>
      </w:tr>
      <w:tr w:rsidR="003A497B" w:rsidRPr="00F628DB" w:rsidTr="003E1809">
        <w:trPr>
          <w:trHeight w:val="255"/>
        </w:trPr>
        <w:tc>
          <w:tcPr>
            <w:tcW w:w="2241" w:type="dxa"/>
            <w:tcBorders>
              <w:top w:val="nil"/>
              <w:left w:val="single" w:sz="4" w:space="0" w:color="auto"/>
              <w:bottom w:val="single" w:sz="4" w:space="0" w:color="auto"/>
              <w:right w:val="single" w:sz="4" w:space="0" w:color="auto"/>
            </w:tcBorders>
            <w:noWrap/>
            <w:vAlign w:val="center"/>
            <w:hideMark/>
          </w:tcPr>
          <w:p w:rsidR="003A497B" w:rsidRPr="00F628DB" w:rsidRDefault="003A497B" w:rsidP="003E1809">
            <w:pPr>
              <w:rPr>
                <w:rFonts w:ascii="Times New Roman" w:hAnsi="Times New Roman" w:cs="Times New Roman"/>
                <w:sz w:val="14"/>
                <w:szCs w:val="14"/>
                <w:lang w:eastAsia="sk-SK"/>
              </w:rPr>
            </w:pPr>
            <w:r w:rsidRPr="00F628DB">
              <w:rPr>
                <w:rFonts w:ascii="Times New Roman" w:hAnsi="Times New Roman" w:cs="Times New Roman"/>
                <w:sz w:val="14"/>
                <w:szCs w:val="14"/>
                <w:lang w:eastAsia="sk-SK"/>
              </w:rPr>
              <w:t xml:space="preserve">        kapitálové výdavky</w:t>
            </w:r>
          </w:p>
        </w:tc>
        <w:tc>
          <w:tcPr>
            <w:tcW w:w="977" w:type="dxa"/>
            <w:tcBorders>
              <w:top w:val="nil"/>
              <w:left w:val="single" w:sz="4" w:space="0" w:color="auto"/>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11 462 635</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6 209 822</w:t>
            </w:r>
          </w:p>
        </w:tc>
        <w:tc>
          <w:tcPr>
            <w:tcW w:w="978" w:type="dxa"/>
            <w:tcBorders>
              <w:top w:val="nil"/>
              <w:left w:val="nil"/>
              <w:bottom w:val="single" w:sz="4" w:space="0" w:color="auto"/>
              <w:right w:val="single" w:sz="4" w:space="0" w:color="auto"/>
            </w:tcBorders>
            <w:shd w:val="clear" w:color="auto" w:fill="auto"/>
            <w:vAlign w:val="bottom"/>
            <w:hideMark/>
          </w:tcPr>
          <w:p w:rsidR="003A497B" w:rsidRPr="005B766C" w:rsidRDefault="003A497B" w:rsidP="003E1809">
            <w:pPr>
              <w:jc w:val="right"/>
              <w:rPr>
                <w:rFonts w:ascii="Times New Roman" w:hAnsi="Times New Roman" w:cs="Times New Roman"/>
                <w:sz w:val="14"/>
                <w:szCs w:val="14"/>
              </w:rPr>
            </w:pPr>
            <w:r w:rsidRPr="005B766C">
              <w:rPr>
                <w:rFonts w:ascii="Times New Roman" w:hAnsi="Times New Roman" w:cs="Times New Roman"/>
                <w:sz w:val="14"/>
                <w:szCs w:val="14"/>
              </w:rPr>
              <w:t>3 500 000</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307E7E" w:rsidRDefault="003A497B" w:rsidP="003E1809">
            <w:pPr>
              <w:jc w:val="right"/>
              <w:rPr>
                <w:rFonts w:ascii="Times New Roman" w:hAnsi="Times New Roman" w:cs="Times New Roman"/>
                <w:sz w:val="14"/>
                <w:szCs w:val="14"/>
              </w:rPr>
            </w:pPr>
            <w:r w:rsidRPr="00307E7E">
              <w:rPr>
                <w:rFonts w:ascii="Times New Roman" w:hAnsi="Times New Roman" w:cs="Times New Roman"/>
                <w:sz w:val="14"/>
                <w:szCs w:val="14"/>
              </w:rPr>
              <w:t>3 472 500</w:t>
            </w:r>
          </w:p>
        </w:tc>
        <w:tc>
          <w:tcPr>
            <w:tcW w:w="978" w:type="dxa"/>
            <w:tcBorders>
              <w:top w:val="nil"/>
              <w:left w:val="single" w:sz="4" w:space="0" w:color="auto"/>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3 500 000</w:t>
            </w:r>
          </w:p>
        </w:tc>
        <w:tc>
          <w:tcPr>
            <w:tcW w:w="978" w:type="dxa"/>
            <w:tcBorders>
              <w:top w:val="nil"/>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3 500 000</w:t>
            </w:r>
          </w:p>
        </w:tc>
        <w:tc>
          <w:tcPr>
            <w:tcW w:w="978" w:type="dxa"/>
            <w:tcBorders>
              <w:top w:val="nil"/>
              <w:left w:val="nil"/>
              <w:bottom w:val="single" w:sz="4" w:space="0" w:color="auto"/>
              <w:right w:val="single" w:sz="4" w:space="0" w:color="auto"/>
            </w:tcBorders>
            <w:shd w:val="clear" w:color="auto" w:fill="auto"/>
            <w:vAlign w:val="bottom"/>
            <w:hideMark/>
          </w:tcPr>
          <w:p w:rsidR="003A497B" w:rsidRPr="00234A8B" w:rsidRDefault="003A497B" w:rsidP="003E1809">
            <w:pPr>
              <w:jc w:val="right"/>
              <w:rPr>
                <w:rFonts w:ascii="Times New Roman" w:hAnsi="Times New Roman" w:cs="Times New Roman"/>
                <w:sz w:val="14"/>
                <w:szCs w:val="14"/>
              </w:rPr>
            </w:pPr>
            <w:r w:rsidRPr="00234A8B">
              <w:rPr>
                <w:rFonts w:ascii="Times New Roman" w:hAnsi="Times New Roman" w:cs="Times New Roman"/>
                <w:sz w:val="14"/>
                <w:szCs w:val="14"/>
              </w:rPr>
              <w:t>3 500 000</w:t>
            </w:r>
          </w:p>
        </w:tc>
      </w:tr>
    </w:tbl>
    <w:p w:rsidR="003A497B" w:rsidRPr="00F628DB" w:rsidRDefault="003A497B" w:rsidP="003A497B">
      <w:pPr>
        <w:jc w:val="both"/>
        <w:rPr>
          <w:rFonts w:ascii="Times New Roman" w:hAnsi="Times New Roman" w:cs="Times New Roman"/>
        </w:rPr>
      </w:pPr>
    </w:p>
    <w:p w:rsidR="003A497B" w:rsidRPr="00A85E76" w:rsidRDefault="003A497B" w:rsidP="003A497B">
      <w:pPr>
        <w:ind w:firstLine="708"/>
        <w:jc w:val="both"/>
        <w:rPr>
          <w:rFonts w:ascii="Times New Roman" w:hAnsi="Times New Roman" w:cs="Times New Roman"/>
        </w:rPr>
      </w:pPr>
      <w:r w:rsidRPr="00A85E76">
        <w:rPr>
          <w:rFonts w:ascii="Times New Roman" w:hAnsi="Times New Roman" w:cs="Times New Roman"/>
        </w:rPr>
        <w:t>V rámci výdavkov na zahraničnú politiku sa rozpočtujú prostriedky predovšetkým na zastupiteľské úrady SR v zahraničí, v rámci ktorých sa okrem osobných výdavkov zahraničnej služby rozpočtuje prenájom bytov, administratívnych budov, rezidencií, lekárske prehliadky počas výkonu zahraničnej služby, školné a zápisné pre deti zamestnancov zahraničnej služby. Ďalšie výdavky na zahraničnú politiku sú rozpísané pre slovenské inštitúty v zahraničí, kde sa okrem osobných výdavkov zabezpečujú najmä výdavky súvisiace s reprezentáciou a propagáciou SR v zahraničí pri usporiadaní výstav, kultúrnych podujatí a programov.</w:t>
      </w:r>
    </w:p>
    <w:p w:rsidR="003A497B" w:rsidRPr="0070140D"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sidRPr="0070140D">
        <w:rPr>
          <w:rFonts w:ascii="Times New Roman" w:hAnsi="Times New Roman" w:cs="Times New Roman"/>
        </w:rPr>
        <w:t xml:space="preserve">Pre ústredie MZVaEZ SR je okrem osobných výdavkov a prostriedkov na prevádzku rozpočtovaný aj transfer pre príspevkovú organizáciu </w:t>
      </w:r>
      <w:r w:rsidRPr="00DF4B05">
        <w:rPr>
          <w:rFonts w:ascii="Times New Roman" w:hAnsi="Times New Roman" w:cs="Times New Roman"/>
        </w:rPr>
        <w:t xml:space="preserve">Správa účelových zariadení </w:t>
      </w:r>
      <w:r w:rsidRPr="0070140D">
        <w:rPr>
          <w:rFonts w:ascii="Times New Roman" w:hAnsi="Times New Roman" w:cs="Times New Roman"/>
        </w:rPr>
        <w:t xml:space="preserve">vo výške </w:t>
      </w:r>
      <w:r>
        <w:rPr>
          <w:rFonts w:ascii="Times New Roman" w:hAnsi="Times New Roman" w:cs="Times New Roman"/>
        </w:rPr>
        <w:br/>
      </w:r>
      <w:r w:rsidRPr="0070140D">
        <w:rPr>
          <w:rFonts w:ascii="Times New Roman" w:hAnsi="Times New Roman" w:cs="Times New Roman"/>
        </w:rPr>
        <w:t>1,</w:t>
      </w:r>
      <w:r>
        <w:rPr>
          <w:rFonts w:ascii="Times New Roman" w:hAnsi="Times New Roman" w:cs="Times New Roman"/>
        </w:rPr>
        <w:t>92</w:t>
      </w:r>
      <w:r w:rsidRPr="0070140D">
        <w:rPr>
          <w:rFonts w:ascii="Times New Roman" w:hAnsi="Times New Roman" w:cs="Times New Roman"/>
        </w:rPr>
        <w:t xml:space="preserve"> mil. eur. V bežných transferoch sa rozpočtujú aj výdavky na dotácie </w:t>
      </w:r>
      <w:r>
        <w:rPr>
          <w:rFonts w:ascii="Times New Roman" w:hAnsi="Times New Roman" w:cs="Times New Roman"/>
        </w:rPr>
        <w:t xml:space="preserve">v pôsobnosti MZVaEZ SR </w:t>
      </w:r>
      <w:r w:rsidRPr="0070140D">
        <w:rPr>
          <w:rFonts w:ascii="Times New Roman" w:hAnsi="Times New Roman" w:cs="Times New Roman"/>
        </w:rPr>
        <w:t>poskytované tretiemu sektoru v objeme 119 tis. eur</w:t>
      </w:r>
      <w:r>
        <w:rPr>
          <w:rFonts w:ascii="Times New Roman" w:hAnsi="Times New Roman" w:cs="Times New Roman"/>
        </w:rPr>
        <w:t xml:space="preserve"> na výskum, odborno-</w:t>
      </w:r>
      <w:r>
        <w:rPr>
          <w:rFonts w:ascii="Times New Roman" w:hAnsi="Times New Roman" w:cs="Times New Roman"/>
        </w:rPr>
        <w:lastRenderedPageBreak/>
        <w:t>vzdelávacie podujatia a na vydávanie periodík v oblasti zahraničnej politiky</w:t>
      </w:r>
      <w:r w:rsidRPr="0070140D">
        <w:rPr>
          <w:rFonts w:ascii="Times New Roman" w:hAnsi="Times New Roman" w:cs="Times New Roman"/>
        </w:rPr>
        <w:t>.</w:t>
      </w:r>
      <w:r>
        <w:rPr>
          <w:rFonts w:ascii="Times New Roman" w:hAnsi="Times New Roman" w:cs="Times New Roman"/>
        </w:rPr>
        <w:t xml:space="preserve"> Zároveň sa tu rozpočtujú výdavky na predsedníctvo SR v OBSE a </w:t>
      </w:r>
      <w:r w:rsidRPr="00272E3E">
        <w:rPr>
          <w:rFonts w:ascii="Times New Roman" w:hAnsi="Times New Roman" w:cs="Times New Roman"/>
        </w:rPr>
        <w:t>predsedníctvo SR</w:t>
      </w:r>
      <w:r>
        <w:rPr>
          <w:rFonts w:ascii="Times New Roman" w:hAnsi="Times New Roman" w:cs="Times New Roman"/>
        </w:rPr>
        <w:t xml:space="preserve"> v OECD v roku 2019.</w:t>
      </w:r>
    </w:p>
    <w:p w:rsidR="003A497B" w:rsidRDefault="003A497B" w:rsidP="003A497B">
      <w:pPr>
        <w:ind w:firstLine="708"/>
        <w:jc w:val="both"/>
        <w:rPr>
          <w:rFonts w:ascii="Times New Roman" w:hAnsi="Times New Roman" w:cs="Times New Roman"/>
        </w:rPr>
      </w:pPr>
    </w:p>
    <w:p w:rsidR="003A497B" w:rsidRPr="00F628DB" w:rsidRDefault="003A497B" w:rsidP="003A497B">
      <w:pPr>
        <w:ind w:left="45"/>
        <w:jc w:val="both"/>
        <w:rPr>
          <w:rFonts w:ascii="Times New Roman" w:hAnsi="Times New Roman" w:cs="Times New Roman"/>
          <w:b/>
        </w:rPr>
      </w:pPr>
      <w:r w:rsidRPr="00F628DB">
        <w:rPr>
          <w:rFonts w:ascii="Times New Roman" w:hAnsi="Times New Roman" w:cs="Times New Roman"/>
          <w:b/>
        </w:rPr>
        <w:t>Rozvojová spolupráca</w:t>
      </w:r>
    </w:p>
    <w:p w:rsidR="003A497B" w:rsidRPr="00F628DB" w:rsidRDefault="003A497B" w:rsidP="003A497B">
      <w:pPr>
        <w:ind w:left="45"/>
        <w:jc w:val="both"/>
        <w:rPr>
          <w:rFonts w:ascii="Times New Roman" w:hAnsi="Times New Roman" w:cs="Times New Roman"/>
        </w:rPr>
      </w:pPr>
    </w:p>
    <w:tbl>
      <w:tblPr>
        <w:tblW w:w="9086" w:type="dxa"/>
        <w:tblInd w:w="56" w:type="dxa"/>
        <w:tblLayout w:type="fixed"/>
        <w:tblCellMar>
          <w:left w:w="70" w:type="dxa"/>
          <w:right w:w="70" w:type="dxa"/>
        </w:tblCellMar>
        <w:tblLook w:val="04A0" w:firstRow="1" w:lastRow="0" w:firstColumn="1" w:lastColumn="0" w:noHBand="0" w:noVBand="1"/>
      </w:tblPr>
      <w:tblGrid>
        <w:gridCol w:w="2566"/>
        <w:gridCol w:w="931"/>
        <w:gridCol w:w="931"/>
        <w:gridCol w:w="932"/>
        <w:gridCol w:w="931"/>
        <w:gridCol w:w="932"/>
        <w:gridCol w:w="931"/>
        <w:gridCol w:w="932"/>
      </w:tblGrid>
      <w:tr w:rsidR="003A497B" w:rsidRPr="00F628DB" w:rsidTr="003E1809">
        <w:trPr>
          <w:trHeight w:val="255"/>
        </w:trPr>
        <w:tc>
          <w:tcPr>
            <w:tcW w:w="2566"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3A497B" w:rsidRPr="00F628DB" w:rsidRDefault="003A497B" w:rsidP="003E1809">
            <w:pPr>
              <w:rPr>
                <w:rFonts w:ascii="Times New Roman" w:hAnsi="Times New Roman" w:cs="Times New Roman"/>
                <w:b/>
                <w:bCs/>
                <w:sz w:val="14"/>
                <w:szCs w:val="14"/>
                <w:lang w:eastAsia="sk-SK"/>
              </w:rPr>
            </w:pPr>
            <w:r w:rsidRPr="00F628DB">
              <w:rPr>
                <w:rFonts w:ascii="Times New Roman" w:hAnsi="Times New Roman" w:cs="Times New Roman"/>
                <w:b/>
                <w:bCs/>
                <w:sz w:val="14"/>
                <w:szCs w:val="14"/>
                <w:lang w:eastAsia="sk-SK"/>
              </w:rPr>
              <w:t> v eurách</w:t>
            </w:r>
          </w:p>
        </w:tc>
        <w:tc>
          <w:tcPr>
            <w:tcW w:w="931"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3A497B" w:rsidRPr="00941E1B" w:rsidRDefault="003A497B" w:rsidP="003E1809">
            <w:pPr>
              <w:jc w:val="center"/>
              <w:rPr>
                <w:rFonts w:ascii="Times New Roman" w:hAnsi="Times New Roman" w:cs="Times New Roman"/>
                <w:b/>
                <w:bCs/>
                <w:sz w:val="14"/>
                <w:szCs w:val="14"/>
                <w:lang w:eastAsia="sk-SK"/>
              </w:rPr>
            </w:pPr>
            <w:r w:rsidRPr="00941E1B">
              <w:rPr>
                <w:rFonts w:ascii="Times New Roman" w:hAnsi="Times New Roman" w:cs="Times New Roman"/>
                <w:b/>
                <w:bCs/>
                <w:sz w:val="14"/>
                <w:szCs w:val="14"/>
              </w:rPr>
              <w:t>2016 S</w:t>
            </w:r>
          </w:p>
        </w:tc>
        <w:tc>
          <w:tcPr>
            <w:tcW w:w="931"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941E1B" w:rsidRDefault="003A497B" w:rsidP="003E1809">
            <w:pPr>
              <w:jc w:val="center"/>
              <w:rPr>
                <w:rFonts w:ascii="Times New Roman" w:hAnsi="Times New Roman" w:cs="Times New Roman"/>
                <w:b/>
                <w:bCs/>
                <w:sz w:val="14"/>
                <w:szCs w:val="14"/>
              </w:rPr>
            </w:pPr>
            <w:r w:rsidRPr="00941E1B">
              <w:rPr>
                <w:rFonts w:ascii="Times New Roman" w:hAnsi="Times New Roman" w:cs="Times New Roman"/>
                <w:b/>
                <w:bCs/>
                <w:sz w:val="14"/>
                <w:szCs w:val="14"/>
              </w:rPr>
              <w:t>2017 S</w:t>
            </w:r>
          </w:p>
        </w:tc>
        <w:tc>
          <w:tcPr>
            <w:tcW w:w="932"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941E1B" w:rsidRDefault="003A497B" w:rsidP="003E1809">
            <w:pPr>
              <w:jc w:val="center"/>
              <w:rPr>
                <w:rFonts w:ascii="Times New Roman" w:hAnsi="Times New Roman" w:cs="Times New Roman"/>
                <w:b/>
                <w:bCs/>
                <w:sz w:val="14"/>
                <w:szCs w:val="14"/>
              </w:rPr>
            </w:pPr>
            <w:r w:rsidRPr="00941E1B">
              <w:rPr>
                <w:rFonts w:ascii="Times New Roman" w:hAnsi="Times New Roman" w:cs="Times New Roman"/>
                <w:b/>
                <w:bCs/>
                <w:sz w:val="14"/>
                <w:szCs w:val="14"/>
              </w:rPr>
              <w:t>2018 R</w:t>
            </w:r>
          </w:p>
        </w:tc>
        <w:tc>
          <w:tcPr>
            <w:tcW w:w="931"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941E1B" w:rsidRDefault="003A497B" w:rsidP="003E1809">
            <w:pPr>
              <w:jc w:val="center"/>
              <w:rPr>
                <w:rFonts w:ascii="Times New Roman" w:hAnsi="Times New Roman" w:cs="Times New Roman"/>
                <w:b/>
                <w:bCs/>
                <w:color w:val="000000"/>
                <w:sz w:val="14"/>
                <w:szCs w:val="14"/>
              </w:rPr>
            </w:pPr>
            <w:r w:rsidRPr="00941E1B">
              <w:rPr>
                <w:rFonts w:ascii="Times New Roman" w:hAnsi="Times New Roman" w:cs="Times New Roman"/>
                <w:b/>
                <w:bCs/>
                <w:color w:val="000000"/>
                <w:sz w:val="14"/>
                <w:szCs w:val="14"/>
              </w:rPr>
              <w:t>2018 OS</w:t>
            </w:r>
          </w:p>
        </w:tc>
        <w:tc>
          <w:tcPr>
            <w:tcW w:w="932" w:type="dxa"/>
            <w:tcBorders>
              <w:top w:val="single" w:sz="4" w:space="0" w:color="auto"/>
              <w:left w:val="nil"/>
              <w:bottom w:val="single" w:sz="4" w:space="0" w:color="auto"/>
              <w:right w:val="single" w:sz="4" w:space="0" w:color="auto"/>
            </w:tcBorders>
            <w:shd w:val="clear" w:color="000000" w:fill="A6A6A6"/>
            <w:vAlign w:val="center"/>
            <w:hideMark/>
          </w:tcPr>
          <w:p w:rsidR="003A497B" w:rsidRPr="00941E1B" w:rsidRDefault="003A497B" w:rsidP="003E1809">
            <w:pPr>
              <w:jc w:val="center"/>
              <w:rPr>
                <w:rFonts w:ascii="Times New Roman" w:hAnsi="Times New Roman" w:cs="Times New Roman"/>
                <w:b/>
                <w:bCs/>
                <w:color w:val="000000"/>
                <w:sz w:val="14"/>
                <w:szCs w:val="14"/>
              </w:rPr>
            </w:pPr>
            <w:r w:rsidRPr="00941E1B">
              <w:rPr>
                <w:rFonts w:ascii="Times New Roman" w:hAnsi="Times New Roman" w:cs="Times New Roman"/>
                <w:b/>
                <w:bCs/>
                <w:color w:val="000000"/>
                <w:sz w:val="14"/>
                <w:szCs w:val="14"/>
              </w:rPr>
              <w:t>2019 N</w:t>
            </w:r>
          </w:p>
        </w:tc>
        <w:tc>
          <w:tcPr>
            <w:tcW w:w="931" w:type="dxa"/>
            <w:tcBorders>
              <w:top w:val="single" w:sz="4" w:space="0" w:color="auto"/>
              <w:left w:val="nil"/>
              <w:bottom w:val="single" w:sz="4" w:space="0" w:color="auto"/>
              <w:right w:val="single" w:sz="4" w:space="0" w:color="auto"/>
            </w:tcBorders>
            <w:shd w:val="clear" w:color="000000" w:fill="A6A6A6"/>
            <w:vAlign w:val="center"/>
            <w:hideMark/>
          </w:tcPr>
          <w:p w:rsidR="003A497B" w:rsidRPr="00941E1B" w:rsidRDefault="003A497B" w:rsidP="003E1809">
            <w:pPr>
              <w:jc w:val="center"/>
              <w:rPr>
                <w:rFonts w:ascii="Times New Roman" w:hAnsi="Times New Roman" w:cs="Times New Roman"/>
                <w:b/>
                <w:bCs/>
                <w:color w:val="000000"/>
                <w:sz w:val="14"/>
                <w:szCs w:val="14"/>
              </w:rPr>
            </w:pPr>
            <w:r w:rsidRPr="00941E1B">
              <w:rPr>
                <w:rFonts w:ascii="Times New Roman" w:hAnsi="Times New Roman" w:cs="Times New Roman"/>
                <w:b/>
                <w:bCs/>
                <w:color w:val="000000"/>
                <w:sz w:val="14"/>
                <w:szCs w:val="14"/>
              </w:rPr>
              <w:t>2020 N</w:t>
            </w:r>
          </w:p>
        </w:tc>
        <w:tc>
          <w:tcPr>
            <w:tcW w:w="932"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941E1B" w:rsidRDefault="003A497B" w:rsidP="003E1809">
            <w:pPr>
              <w:jc w:val="center"/>
              <w:rPr>
                <w:rFonts w:ascii="Times New Roman" w:hAnsi="Times New Roman" w:cs="Times New Roman"/>
                <w:b/>
                <w:bCs/>
                <w:color w:val="000000"/>
                <w:sz w:val="14"/>
                <w:szCs w:val="14"/>
              </w:rPr>
            </w:pPr>
            <w:r w:rsidRPr="00941E1B">
              <w:rPr>
                <w:rFonts w:ascii="Times New Roman" w:hAnsi="Times New Roman" w:cs="Times New Roman"/>
                <w:b/>
                <w:bCs/>
                <w:color w:val="000000"/>
                <w:sz w:val="14"/>
                <w:szCs w:val="14"/>
              </w:rPr>
              <w:t>2021 N</w:t>
            </w:r>
          </w:p>
        </w:tc>
      </w:tr>
      <w:tr w:rsidR="003A497B" w:rsidRPr="00F628DB" w:rsidTr="003E1809">
        <w:trPr>
          <w:trHeight w:val="255"/>
        </w:trPr>
        <w:tc>
          <w:tcPr>
            <w:tcW w:w="2566" w:type="dxa"/>
            <w:tcBorders>
              <w:top w:val="nil"/>
              <w:left w:val="single" w:sz="4" w:space="0" w:color="auto"/>
              <w:bottom w:val="single" w:sz="4" w:space="0" w:color="auto"/>
              <w:right w:val="single" w:sz="4" w:space="0" w:color="auto"/>
            </w:tcBorders>
            <w:shd w:val="clear" w:color="auto" w:fill="BFBFBF"/>
            <w:noWrap/>
            <w:vAlign w:val="center"/>
            <w:hideMark/>
          </w:tcPr>
          <w:p w:rsidR="003A497B" w:rsidRPr="00F628DB" w:rsidRDefault="003A497B" w:rsidP="003E1809">
            <w:pPr>
              <w:rPr>
                <w:rFonts w:ascii="Times New Roman" w:hAnsi="Times New Roman" w:cs="Times New Roman"/>
                <w:b/>
                <w:bCs/>
                <w:sz w:val="14"/>
                <w:szCs w:val="14"/>
                <w:lang w:eastAsia="sk-SK"/>
              </w:rPr>
            </w:pPr>
            <w:r w:rsidRPr="00F628DB">
              <w:rPr>
                <w:rFonts w:ascii="Times New Roman" w:hAnsi="Times New Roman" w:cs="Times New Roman"/>
                <w:b/>
                <w:bCs/>
                <w:sz w:val="14"/>
                <w:szCs w:val="14"/>
                <w:lang w:eastAsia="sk-SK"/>
              </w:rPr>
              <w:t>Rozvojová spolupráca</w:t>
            </w:r>
          </w:p>
        </w:tc>
        <w:tc>
          <w:tcPr>
            <w:tcW w:w="931" w:type="dxa"/>
            <w:tcBorders>
              <w:top w:val="nil"/>
              <w:left w:val="single" w:sz="4" w:space="0" w:color="auto"/>
              <w:bottom w:val="single" w:sz="4" w:space="0" w:color="auto"/>
              <w:right w:val="single" w:sz="4" w:space="0" w:color="auto"/>
            </w:tcBorders>
            <w:shd w:val="clear" w:color="000000" w:fill="BFBFBF"/>
            <w:vAlign w:val="bottom"/>
            <w:hideMark/>
          </w:tcPr>
          <w:p w:rsidR="003A497B" w:rsidRPr="00941E1B" w:rsidRDefault="003A497B" w:rsidP="003E1809">
            <w:pPr>
              <w:jc w:val="right"/>
              <w:rPr>
                <w:rFonts w:ascii="Times New Roman" w:hAnsi="Times New Roman" w:cs="Times New Roman"/>
                <w:b/>
                <w:bCs/>
                <w:sz w:val="14"/>
                <w:szCs w:val="14"/>
              </w:rPr>
            </w:pPr>
            <w:r w:rsidRPr="00941E1B">
              <w:rPr>
                <w:rFonts w:ascii="Times New Roman" w:hAnsi="Times New Roman" w:cs="Times New Roman"/>
                <w:b/>
                <w:bCs/>
                <w:sz w:val="14"/>
                <w:szCs w:val="14"/>
              </w:rPr>
              <w:t>6 586 801</w:t>
            </w:r>
          </w:p>
        </w:tc>
        <w:tc>
          <w:tcPr>
            <w:tcW w:w="931" w:type="dxa"/>
            <w:tcBorders>
              <w:top w:val="nil"/>
              <w:left w:val="nil"/>
              <w:bottom w:val="single" w:sz="4" w:space="0" w:color="auto"/>
              <w:right w:val="single" w:sz="4" w:space="0" w:color="auto"/>
            </w:tcBorders>
            <w:shd w:val="clear" w:color="000000" w:fill="BFBFBF"/>
            <w:vAlign w:val="bottom"/>
            <w:hideMark/>
          </w:tcPr>
          <w:p w:rsidR="003A497B" w:rsidRPr="00941E1B" w:rsidRDefault="003A497B" w:rsidP="003E1809">
            <w:pPr>
              <w:jc w:val="right"/>
              <w:rPr>
                <w:rFonts w:ascii="Times New Roman" w:hAnsi="Times New Roman" w:cs="Times New Roman"/>
                <w:b/>
                <w:bCs/>
                <w:sz w:val="14"/>
                <w:szCs w:val="14"/>
              </w:rPr>
            </w:pPr>
            <w:r w:rsidRPr="00941E1B">
              <w:rPr>
                <w:rFonts w:ascii="Times New Roman" w:hAnsi="Times New Roman" w:cs="Times New Roman"/>
                <w:b/>
                <w:bCs/>
                <w:sz w:val="14"/>
                <w:szCs w:val="14"/>
              </w:rPr>
              <w:t>8 351 343</w:t>
            </w:r>
          </w:p>
        </w:tc>
        <w:tc>
          <w:tcPr>
            <w:tcW w:w="932" w:type="dxa"/>
            <w:tcBorders>
              <w:top w:val="nil"/>
              <w:left w:val="nil"/>
              <w:bottom w:val="single" w:sz="4" w:space="0" w:color="auto"/>
              <w:right w:val="single" w:sz="4" w:space="0" w:color="auto"/>
            </w:tcBorders>
            <w:shd w:val="clear" w:color="000000" w:fill="BFBFBF"/>
            <w:vAlign w:val="bottom"/>
            <w:hideMark/>
          </w:tcPr>
          <w:p w:rsidR="003A497B" w:rsidRPr="00941E1B" w:rsidRDefault="003A497B" w:rsidP="003E1809">
            <w:pPr>
              <w:jc w:val="right"/>
              <w:rPr>
                <w:rFonts w:ascii="Times New Roman" w:hAnsi="Times New Roman" w:cs="Times New Roman"/>
                <w:b/>
                <w:bCs/>
                <w:sz w:val="14"/>
                <w:szCs w:val="14"/>
              </w:rPr>
            </w:pPr>
            <w:r w:rsidRPr="00941E1B">
              <w:rPr>
                <w:rFonts w:ascii="Times New Roman" w:hAnsi="Times New Roman" w:cs="Times New Roman"/>
                <w:b/>
                <w:bCs/>
                <w:sz w:val="14"/>
                <w:szCs w:val="14"/>
              </w:rPr>
              <w:t>7 214 843</w:t>
            </w:r>
          </w:p>
        </w:tc>
        <w:tc>
          <w:tcPr>
            <w:tcW w:w="931" w:type="dxa"/>
            <w:tcBorders>
              <w:top w:val="nil"/>
              <w:left w:val="nil"/>
              <w:bottom w:val="single" w:sz="4" w:space="0" w:color="auto"/>
              <w:right w:val="single" w:sz="4" w:space="0" w:color="auto"/>
            </w:tcBorders>
            <w:shd w:val="clear" w:color="000000" w:fill="BFBFBF"/>
            <w:vAlign w:val="bottom"/>
            <w:hideMark/>
          </w:tcPr>
          <w:p w:rsidR="003A497B" w:rsidRPr="00941E1B" w:rsidRDefault="003A497B" w:rsidP="003E1809">
            <w:pPr>
              <w:jc w:val="right"/>
              <w:rPr>
                <w:rFonts w:ascii="Times New Roman" w:hAnsi="Times New Roman" w:cs="Times New Roman"/>
                <w:b/>
                <w:bCs/>
                <w:sz w:val="14"/>
                <w:szCs w:val="14"/>
              </w:rPr>
            </w:pPr>
            <w:r w:rsidRPr="00941E1B">
              <w:rPr>
                <w:rFonts w:ascii="Times New Roman" w:hAnsi="Times New Roman" w:cs="Times New Roman"/>
                <w:b/>
                <w:bCs/>
                <w:sz w:val="14"/>
                <w:szCs w:val="14"/>
              </w:rPr>
              <w:t>6 524 275</w:t>
            </w:r>
          </w:p>
        </w:tc>
        <w:tc>
          <w:tcPr>
            <w:tcW w:w="932" w:type="dxa"/>
            <w:tcBorders>
              <w:top w:val="nil"/>
              <w:left w:val="nil"/>
              <w:bottom w:val="single" w:sz="4" w:space="0" w:color="auto"/>
              <w:right w:val="single" w:sz="4" w:space="0" w:color="auto"/>
            </w:tcBorders>
            <w:shd w:val="clear" w:color="000000" w:fill="BFBFBF"/>
            <w:vAlign w:val="bottom"/>
            <w:hideMark/>
          </w:tcPr>
          <w:p w:rsidR="003A497B" w:rsidRPr="00941E1B" w:rsidRDefault="003A497B" w:rsidP="003E1809">
            <w:pPr>
              <w:jc w:val="right"/>
              <w:rPr>
                <w:rFonts w:ascii="Times New Roman" w:hAnsi="Times New Roman" w:cs="Times New Roman"/>
                <w:b/>
                <w:bCs/>
                <w:sz w:val="14"/>
                <w:szCs w:val="14"/>
              </w:rPr>
            </w:pPr>
            <w:r w:rsidRPr="00941E1B">
              <w:rPr>
                <w:rFonts w:ascii="Times New Roman" w:hAnsi="Times New Roman" w:cs="Times New Roman"/>
                <w:b/>
                <w:bCs/>
                <w:sz w:val="14"/>
                <w:szCs w:val="14"/>
              </w:rPr>
              <w:t>7 226 162</w:t>
            </w:r>
          </w:p>
        </w:tc>
        <w:tc>
          <w:tcPr>
            <w:tcW w:w="931" w:type="dxa"/>
            <w:tcBorders>
              <w:top w:val="nil"/>
              <w:left w:val="nil"/>
              <w:bottom w:val="single" w:sz="4" w:space="0" w:color="auto"/>
              <w:right w:val="single" w:sz="4" w:space="0" w:color="auto"/>
            </w:tcBorders>
            <w:shd w:val="clear" w:color="000000" w:fill="BFBFBF"/>
            <w:vAlign w:val="bottom"/>
            <w:hideMark/>
          </w:tcPr>
          <w:p w:rsidR="003A497B" w:rsidRPr="00941E1B" w:rsidRDefault="003A497B" w:rsidP="003E1809">
            <w:pPr>
              <w:jc w:val="right"/>
              <w:rPr>
                <w:rFonts w:ascii="Times New Roman" w:hAnsi="Times New Roman" w:cs="Times New Roman"/>
                <w:b/>
                <w:bCs/>
                <w:sz w:val="14"/>
                <w:szCs w:val="14"/>
              </w:rPr>
            </w:pPr>
            <w:r w:rsidRPr="00941E1B">
              <w:rPr>
                <w:rFonts w:ascii="Times New Roman" w:hAnsi="Times New Roman" w:cs="Times New Roman"/>
                <w:b/>
                <w:bCs/>
                <w:sz w:val="14"/>
                <w:szCs w:val="14"/>
              </w:rPr>
              <w:t>7 326 162</w:t>
            </w:r>
          </w:p>
        </w:tc>
        <w:tc>
          <w:tcPr>
            <w:tcW w:w="932" w:type="dxa"/>
            <w:tcBorders>
              <w:top w:val="nil"/>
              <w:left w:val="nil"/>
              <w:bottom w:val="single" w:sz="4" w:space="0" w:color="auto"/>
              <w:right w:val="single" w:sz="4" w:space="0" w:color="auto"/>
            </w:tcBorders>
            <w:shd w:val="clear" w:color="000000" w:fill="BFBFBF"/>
            <w:vAlign w:val="bottom"/>
            <w:hideMark/>
          </w:tcPr>
          <w:p w:rsidR="003A497B" w:rsidRPr="00941E1B" w:rsidRDefault="003A497B" w:rsidP="003E1809">
            <w:pPr>
              <w:jc w:val="right"/>
              <w:rPr>
                <w:rFonts w:ascii="Times New Roman" w:hAnsi="Times New Roman" w:cs="Times New Roman"/>
                <w:b/>
                <w:bCs/>
                <w:sz w:val="14"/>
                <w:szCs w:val="14"/>
              </w:rPr>
            </w:pPr>
            <w:r w:rsidRPr="00941E1B">
              <w:rPr>
                <w:rFonts w:ascii="Times New Roman" w:hAnsi="Times New Roman" w:cs="Times New Roman"/>
                <w:b/>
                <w:bCs/>
                <w:sz w:val="14"/>
                <w:szCs w:val="14"/>
              </w:rPr>
              <w:t>7 326 162</w:t>
            </w:r>
          </w:p>
        </w:tc>
      </w:tr>
      <w:tr w:rsidR="003A497B" w:rsidRPr="00F628DB" w:rsidTr="003E1809">
        <w:trPr>
          <w:trHeight w:val="255"/>
        </w:trPr>
        <w:tc>
          <w:tcPr>
            <w:tcW w:w="2566" w:type="dxa"/>
            <w:tcBorders>
              <w:top w:val="nil"/>
              <w:left w:val="single" w:sz="4" w:space="0" w:color="auto"/>
              <w:bottom w:val="single" w:sz="4" w:space="0" w:color="auto"/>
              <w:right w:val="single" w:sz="4" w:space="0" w:color="auto"/>
            </w:tcBorders>
            <w:noWrap/>
            <w:vAlign w:val="center"/>
            <w:hideMark/>
          </w:tcPr>
          <w:p w:rsidR="003A497B" w:rsidRPr="00F628DB" w:rsidRDefault="003A497B" w:rsidP="003E1809">
            <w:pPr>
              <w:rPr>
                <w:rFonts w:ascii="Times New Roman" w:hAnsi="Times New Roman" w:cs="Times New Roman"/>
                <w:sz w:val="14"/>
                <w:szCs w:val="14"/>
                <w:lang w:eastAsia="sk-SK"/>
              </w:rPr>
            </w:pPr>
            <w:r w:rsidRPr="00F628DB">
              <w:rPr>
                <w:rFonts w:ascii="Times New Roman" w:hAnsi="Times New Roman" w:cs="Times New Roman"/>
                <w:sz w:val="14"/>
                <w:szCs w:val="14"/>
                <w:lang w:eastAsia="sk-SK"/>
              </w:rPr>
              <w:t>rozpočtové zdroje kapitoly</w:t>
            </w:r>
          </w:p>
        </w:tc>
        <w:tc>
          <w:tcPr>
            <w:tcW w:w="9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497B" w:rsidRPr="00941E1B" w:rsidRDefault="003A497B" w:rsidP="003E1809">
            <w:pPr>
              <w:jc w:val="right"/>
              <w:rPr>
                <w:rFonts w:ascii="Times New Roman" w:hAnsi="Times New Roman" w:cs="Times New Roman"/>
                <w:sz w:val="14"/>
                <w:szCs w:val="14"/>
                <w:lang w:eastAsia="sk-SK"/>
              </w:rPr>
            </w:pPr>
            <w:r w:rsidRPr="00941E1B">
              <w:rPr>
                <w:rFonts w:ascii="Times New Roman" w:hAnsi="Times New Roman" w:cs="Times New Roman"/>
                <w:sz w:val="14"/>
                <w:szCs w:val="14"/>
              </w:rPr>
              <w:t>3 213 393</w:t>
            </w:r>
          </w:p>
        </w:tc>
        <w:tc>
          <w:tcPr>
            <w:tcW w:w="931" w:type="dxa"/>
            <w:tcBorders>
              <w:top w:val="single" w:sz="4" w:space="0" w:color="auto"/>
              <w:left w:val="nil"/>
              <w:bottom w:val="single" w:sz="4" w:space="0" w:color="auto"/>
              <w:right w:val="single" w:sz="4" w:space="0" w:color="auto"/>
            </w:tcBorders>
            <w:shd w:val="clear" w:color="auto" w:fill="auto"/>
            <w:vAlign w:val="bottom"/>
            <w:hideMark/>
          </w:tcPr>
          <w:p w:rsidR="003A497B" w:rsidRPr="00941E1B" w:rsidRDefault="003A497B" w:rsidP="003E1809">
            <w:pPr>
              <w:jc w:val="right"/>
              <w:rPr>
                <w:rFonts w:ascii="Times New Roman" w:hAnsi="Times New Roman" w:cs="Times New Roman"/>
                <w:sz w:val="14"/>
                <w:szCs w:val="14"/>
              </w:rPr>
            </w:pPr>
            <w:r w:rsidRPr="00941E1B">
              <w:rPr>
                <w:rFonts w:ascii="Times New Roman" w:hAnsi="Times New Roman" w:cs="Times New Roman"/>
                <w:sz w:val="14"/>
                <w:szCs w:val="14"/>
              </w:rPr>
              <w:t>4 426 524</w:t>
            </w:r>
          </w:p>
        </w:tc>
        <w:tc>
          <w:tcPr>
            <w:tcW w:w="932" w:type="dxa"/>
            <w:tcBorders>
              <w:top w:val="single" w:sz="4" w:space="0" w:color="auto"/>
              <w:left w:val="nil"/>
              <w:bottom w:val="single" w:sz="4" w:space="0" w:color="auto"/>
              <w:right w:val="single" w:sz="4" w:space="0" w:color="auto"/>
            </w:tcBorders>
            <w:shd w:val="clear" w:color="auto" w:fill="auto"/>
            <w:vAlign w:val="bottom"/>
            <w:hideMark/>
          </w:tcPr>
          <w:p w:rsidR="003A497B" w:rsidRPr="00941E1B" w:rsidRDefault="003A497B" w:rsidP="003E1809">
            <w:pPr>
              <w:jc w:val="right"/>
              <w:rPr>
                <w:rFonts w:ascii="Times New Roman" w:hAnsi="Times New Roman" w:cs="Times New Roman"/>
                <w:sz w:val="14"/>
                <w:szCs w:val="14"/>
              </w:rPr>
            </w:pPr>
            <w:r w:rsidRPr="00941E1B">
              <w:rPr>
                <w:rFonts w:ascii="Times New Roman" w:hAnsi="Times New Roman" w:cs="Times New Roman"/>
                <w:sz w:val="14"/>
                <w:szCs w:val="14"/>
              </w:rPr>
              <w:t>7 214 843</w:t>
            </w:r>
          </w:p>
        </w:tc>
        <w:tc>
          <w:tcPr>
            <w:tcW w:w="931" w:type="dxa"/>
            <w:tcBorders>
              <w:top w:val="single" w:sz="4" w:space="0" w:color="auto"/>
              <w:left w:val="nil"/>
              <w:bottom w:val="single" w:sz="4" w:space="0" w:color="auto"/>
              <w:right w:val="single" w:sz="4" w:space="0" w:color="auto"/>
            </w:tcBorders>
            <w:shd w:val="clear" w:color="auto" w:fill="auto"/>
            <w:vAlign w:val="bottom"/>
            <w:hideMark/>
          </w:tcPr>
          <w:p w:rsidR="003A497B" w:rsidRPr="00941E1B" w:rsidRDefault="003A497B" w:rsidP="003E1809">
            <w:pPr>
              <w:jc w:val="right"/>
              <w:rPr>
                <w:rFonts w:ascii="Times New Roman" w:hAnsi="Times New Roman" w:cs="Times New Roman"/>
                <w:sz w:val="14"/>
                <w:szCs w:val="14"/>
              </w:rPr>
            </w:pPr>
            <w:r w:rsidRPr="00941E1B">
              <w:rPr>
                <w:rFonts w:ascii="Times New Roman" w:hAnsi="Times New Roman" w:cs="Times New Roman"/>
                <w:sz w:val="14"/>
                <w:szCs w:val="14"/>
              </w:rPr>
              <w:t>6 524 275</w:t>
            </w:r>
          </w:p>
        </w:tc>
        <w:tc>
          <w:tcPr>
            <w:tcW w:w="932" w:type="dxa"/>
            <w:tcBorders>
              <w:top w:val="single" w:sz="4" w:space="0" w:color="auto"/>
              <w:left w:val="nil"/>
              <w:bottom w:val="single" w:sz="4" w:space="0" w:color="auto"/>
              <w:right w:val="single" w:sz="4" w:space="0" w:color="auto"/>
            </w:tcBorders>
            <w:shd w:val="clear" w:color="auto" w:fill="auto"/>
            <w:vAlign w:val="bottom"/>
            <w:hideMark/>
          </w:tcPr>
          <w:p w:rsidR="003A497B" w:rsidRPr="00941E1B" w:rsidRDefault="003A497B" w:rsidP="003E1809">
            <w:pPr>
              <w:jc w:val="right"/>
              <w:rPr>
                <w:rFonts w:ascii="Times New Roman" w:hAnsi="Times New Roman" w:cs="Times New Roman"/>
                <w:sz w:val="14"/>
                <w:szCs w:val="14"/>
              </w:rPr>
            </w:pPr>
            <w:r w:rsidRPr="00941E1B">
              <w:rPr>
                <w:rFonts w:ascii="Times New Roman" w:hAnsi="Times New Roman" w:cs="Times New Roman"/>
                <w:sz w:val="14"/>
                <w:szCs w:val="14"/>
              </w:rPr>
              <w:t>7 226 162</w:t>
            </w:r>
          </w:p>
        </w:tc>
        <w:tc>
          <w:tcPr>
            <w:tcW w:w="931" w:type="dxa"/>
            <w:tcBorders>
              <w:top w:val="single" w:sz="4" w:space="0" w:color="auto"/>
              <w:left w:val="nil"/>
              <w:bottom w:val="single" w:sz="4" w:space="0" w:color="auto"/>
              <w:right w:val="single" w:sz="4" w:space="0" w:color="auto"/>
            </w:tcBorders>
            <w:shd w:val="clear" w:color="auto" w:fill="auto"/>
            <w:vAlign w:val="bottom"/>
            <w:hideMark/>
          </w:tcPr>
          <w:p w:rsidR="003A497B" w:rsidRPr="00941E1B" w:rsidRDefault="003A497B" w:rsidP="003E1809">
            <w:pPr>
              <w:jc w:val="right"/>
              <w:rPr>
                <w:rFonts w:ascii="Times New Roman" w:hAnsi="Times New Roman" w:cs="Times New Roman"/>
                <w:sz w:val="14"/>
                <w:szCs w:val="14"/>
              </w:rPr>
            </w:pPr>
            <w:r w:rsidRPr="00941E1B">
              <w:rPr>
                <w:rFonts w:ascii="Times New Roman" w:hAnsi="Times New Roman" w:cs="Times New Roman"/>
                <w:sz w:val="14"/>
                <w:szCs w:val="14"/>
              </w:rPr>
              <w:t>7 326 162</w:t>
            </w:r>
          </w:p>
        </w:tc>
        <w:tc>
          <w:tcPr>
            <w:tcW w:w="932" w:type="dxa"/>
            <w:tcBorders>
              <w:top w:val="single" w:sz="4" w:space="0" w:color="auto"/>
              <w:left w:val="nil"/>
              <w:bottom w:val="single" w:sz="4" w:space="0" w:color="auto"/>
              <w:right w:val="single" w:sz="4" w:space="0" w:color="auto"/>
            </w:tcBorders>
            <w:shd w:val="clear" w:color="auto" w:fill="auto"/>
            <w:vAlign w:val="bottom"/>
            <w:hideMark/>
          </w:tcPr>
          <w:p w:rsidR="003A497B" w:rsidRPr="00941E1B" w:rsidRDefault="003A497B" w:rsidP="003E1809">
            <w:pPr>
              <w:jc w:val="right"/>
              <w:rPr>
                <w:rFonts w:ascii="Times New Roman" w:hAnsi="Times New Roman" w:cs="Times New Roman"/>
                <w:sz w:val="14"/>
                <w:szCs w:val="14"/>
              </w:rPr>
            </w:pPr>
            <w:r w:rsidRPr="00941E1B">
              <w:rPr>
                <w:rFonts w:ascii="Times New Roman" w:hAnsi="Times New Roman" w:cs="Times New Roman"/>
                <w:sz w:val="14"/>
                <w:szCs w:val="14"/>
              </w:rPr>
              <w:t>7 326 162</w:t>
            </w:r>
          </w:p>
        </w:tc>
      </w:tr>
      <w:tr w:rsidR="003A497B" w:rsidRPr="00F628DB" w:rsidTr="003E1809">
        <w:trPr>
          <w:trHeight w:val="255"/>
        </w:trPr>
        <w:tc>
          <w:tcPr>
            <w:tcW w:w="2566" w:type="dxa"/>
            <w:tcBorders>
              <w:top w:val="nil"/>
              <w:left w:val="single" w:sz="4" w:space="0" w:color="auto"/>
              <w:bottom w:val="single" w:sz="4" w:space="0" w:color="auto"/>
              <w:right w:val="single" w:sz="4" w:space="0" w:color="auto"/>
            </w:tcBorders>
            <w:noWrap/>
            <w:vAlign w:val="center"/>
            <w:hideMark/>
          </w:tcPr>
          <w:p w:rsidR="003A497B" w:rsidRPr="00F628DB" w:rsidRDefault="003A497B" w:rsidP="003E1809">
            <w:pPr>
              <w:rPr>
                <w:rFonts w:ascii="Times New Roman" w:hAnsi="Times New Roman" w:cs="Times New Roman"/>
                <w:sz w:val="14"/>
                <w:szCs w:val="14"/>
                <w:lang w:eastAsia="sk-SK"/>
              </w:rPr>
            </w:pPr>
            <w:r w:rsidRPr="00F628DB">
              <w:rPr>
                <w:rFonts w:ascii="Times New Roman" w:hAnsi="Times New Roman" w:cs="Times New Roman"/>
                <w:color w:val="000000"/>
                <w:sz w:val="14"/>
                <w:szCs w:val="14"/>
              </w:rPr>
              <w:t>presun z minulých rokov</w:t>
            </w:r>
          </w:p>
        </w:tc>
        <w:tc>
          <w:tcPr>
            <w:tcW w:w="931" w:type="dxa"/>
            <w:tcBorders>
              <w:top w:val="nil"/>
              <w:left w:val="single" w:sz="4" w:space="0" w:color="auto"/>
              <w:bottom w:val="single" w:sz="4" w:space="0" w:color="auto"/>
              <w:right w:val="single" w:sz="4" w:space="0" w:color="auto"/>
            </w:tcBorders>
            <w:shd w:val="clear" w:color="auto" w:fill="auto"/>
            <w:vAlign w:val="bottom"/>
            <w:hideMark/>
          </w:tcPr>
          <w:p w:rsidR="003A497B" w:rsidRPr="00941E1B" w:rsidRDefault="003A497B" w:rsidP="003E1809">
            <w:pPr>
              <w:jc w:val="right"/>
              <w:rPr>
                <w:rFonts w:ascii="Times New Roman" w:hAnsi="Times New Roman" w:cs="Times New Roman"/>
                <w:sz w:val="14"/>
                <w:szCs w:val="14"/>
              </w:rPr>
            </w:pPr>
            <w:r w:rsidRPr="00941E1B">
              <w:rPr>
                <w:rFonts w:ascii="Times New Roman" w:hAnsi="Times New Roman" w:cs="Times New Roman"/>
                <w:sz w:val="14"/>
                <w:szCs w:val="14"/>
              </w:rPr>
              <w:t>3 373 408</w:t>
            </w:r>
          </w:p>
        </w:tc>
        <w:tc>
          <w:tcPr>
            <w:tcW w:w="931" w:type="dxa"/>
            <w:tcBorders>
              <w:top w:val="nil"/>
              <w:left w:val="nil"/>
              <w:bottom w:val="single" w:sz="4" w:space="0" w:color="auto"/>
              <w:right w:val="single" w:sz="4" w:space="0" w:color="auto"/>
            </w:tcBorders>
            <w:shd w:val="clear" w:color="auto" w:fill="auto"/>
            <w:vAlign w:val="bottom"/>
            <w:hideMark/>
          </w:tcPr>
          <w:p w:rsidR="003A497B" w:rsidRPr="00941E1B" w:rsidRDefault="003A497B" w:rsidP="003E1809">
            <w:pPr>
              <w:jc w:val="right"/>
              <w:rPr>
                <w:rFonts w:ascii="Times New Roman" w:hAnsi="Times New Roman" w:cs="Times New Roman"/>
                <w:sz w:val="14"/>
                <w:szCs w:val="14"/>
              </w:rPr>
            </w:pPr>
            <w:r w:rsidRPr="00941E1B">
              <w:rPr>
                <w:rFonts w:ascii="Times New Roman" w:hAnsi="Times New Roman" w:cs="Times New Roman"/>
                <w:sz w:val="14"/>
                <w:szCs w:val="14"/>
              </w:rPr>
              <w:t>3 924 819</w:t>
            </w:r>
          </w:p>
        </w:tc>
        <w:tc>
          <w:tcPr>
            <w:tcW w:w="932" w:type="dxa"/>
            <w:tcBorders>
              <w:top w:val="nil"/>
              <w:left w:val="nil"/>
              <w:bottom w:val="single" w:sz="4" w:space="0" w:color="auto"/>
              <w:right w:val="single" w:sz="4" w:space="0" w:color="auto"/>
            </w:tcBorders>
            <w:shd w:val="clear" w:color="auto" w:fill="auto"/>
            <w:vAlign w:val="bottom"/>
            <w:hideMark/>
          </w:tcPr>
          <w:p w:rsidR="003A497B" w:rsidRPr="00941E1B" w:rsidRDefault="003A497B" w:rsidP="003E1809">
            <w:pPr>
              <w:jc w:val="right"/>
              <w:rPr>
                <w:rFonts w:ascii="Times New Roman" w:hAnsi="Times New Roman" w:cs="Times New Roman"/>
                <w:sz w:val="14"/>
                <w:szCs w:val="14"/>
              </w:rPr>
            </w:pPr>
            <w:r w:rsidRPr="00941E1B">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vAlign w:val="bottom"/>
            <w:hideMark/>
          </w:tcPr>
          <w:p w:rsidR="003A497B" w:rsidRPr="00941E1B" w:rsidRDefault="003A497B" w:rsidP="003E1809">
            <w:pPr>
              <w:jc w:val="right"/>
              <w:rPr>
                <w:rFonts w:ascii="Times New Roman" w:hAnsi="Times New Roman" w:cs="Times New Roman"/>
                <w:sz w:val="14"/>
                <w:szCs w:val="14"/>
              </w:rPr>
            </w:pPr>
            <w:r w:rsidRPr="00941E1B">
              <w:rPr>
                <w:rFonts w:ascii="Times New Roman" w:hAnsi="Times New Roman" w:cs="Times New Roman"/>
                <w:sz w:val="14"/>
                <w:szCs w:val="14"/>
              </w:rPr>
              <w:t>0</w:t>
            </w:r>
          </w:p>
        </w:tc>
        <w:tc>
          <w:tcPr>
            <w:tcW w:w="932" w:type="dxa"/>
            <w:tcBorders>
              <w:top w:val="nil"/>
              <w:left w:val="nil"/>
              <w:bottom w:val="single" w:sz="4" w:space="0" w:color="auto"/>
              <w:right w:val="single" w:sz="4" w:space="0" w:color="auto"/>
            </w:tcBorders>
            <w:shd w:val="clear" w:color="auto" w:fill="auto"/>
            <w:vAlign w:val="bottom"/>
            <w:hideMark/>
          </w:tcPr>
          <w:p w:rsidR="003A497B" w:rsidRPr="00941E1B" w:rsidRDefault="003A497B" w:rsidP="003E1809">
            <w:pPr>
              <w:jc w:val="right"/>
              <w:rPr>
                <w:rFonts w:ascii="Times New Roman" w:hAnsi="Times New Roman" w:cs="Times New Roman"/>
                <w:sz w:val="14"/>
                <w:szCs w:val="14"/>
              </w:rPr>
            </w:pPr>
            <w:r w:rsidRPr="00941E1B">
              <w:rPr>
                <w:rFonts w:ascii="Times New Roman" w:hAnsi="Times New Roman" w:cs="Times New Roman"/>
                <w:sz w:val="14"/>
                <w:szCs w:val="14"/>
              </w:rPr>
              <w:t>0</w:t>
            </w:r>
          </w:p>
        </w:tc>
        <w:tc>
          <w:tcPr>
            <w:tcW w:w="931" w:type="dxa"/>
            <w:tcBorders>
              <w:top w:val="nil"/>
              <w:left w:val="nil"/>
              <w:bottom w:val="single" w:sz="4" w:space="0" w:color="auto"/>
              <w:right w:val="single" w:sz="4" w:space="0" w:color="auto"/>
            </w:tcBorders>
            <w:shd w:val="clear" w:color="auto" w:fill="auto"/>
            <w:vAlign w:val="bottom"/>
            <w:hideMark/>
          </w:tcPr>
          <w:p w:rsidR="003A497B" w:rsidRPr="00941E1B" w:rsidRDefault="003A497B" w:rsidP="003E1809">
            <w:pPr>
              <w:jc w:val="right"/>
              <w:rPr>
                <w:rFonts w:ascii="Times New Roman" w:hAnsi="Times New Roman" w:cs="Times New Roman"/>
                <w:sz w:val="14"/>
                <w:szCs w:val="14"/>
              </w:rPr>
            </w:pPr>
            <w:r w:rsidRPr="00941E1B">
              <w:rPr>
                <w:rFonts w:ascii="Times New Roman" w:hAnsi="Times New Roman" w:cs="Times New Roman"/>
                <w:sz w:val="14"/>
                <w:szCs w:val="14"/>
              </w:rPr>
              <w:t>0</w:t>
            </w:r>
          </w:p>
        </w:tc>
        <w:tc>
          <w:tcPr>
            <w:tcW w:w="932" w:type="dxa"/>
            <w:tcBorders>
              <w:top w:val="nil"/>
              <w:left w:val="nil"/>
              <w:bottom w:val="single" w:sz="4" w:space="0" w:color="auto"/>
              <w:right w:val="single" w:sz="4" w:space="0" w:color="auto"/>
            </w:tcBorders>
            <w:shd w:val="clear" w:color="auto" w:fill="auto"/>
            <w:vAlign w:val="bottom"/>
            <w:hideMark/>
          </w:tcPr>
          <w:p w:rsidR="003A497B" w:rsidRPr="00941E1B" w:rsidRDefault="003A497B" w:rsidP="003E1809">
            <w:pPr>
              <w:jc w:val="right"/>
              <w:rPr>
                <w:rFonts w:ascii="Times New Roman" w:hAnsi="Times New Roman" w:cs="Times New Roman"/>
                <w:sz w:val="14"/>
                <w:szCs w:val="14"/>
              </w:rPr>
            </w:pPr>
            <w:r w:rsidRPr="00941E1B">
              <w:rPr>
                <w:rFonts w:ascii="Times New Roman" w:hAnsi="Times New Roman" w:cs="Times New Roman"/>
                <w:sz w:val="14"/>
                <w:szCs w:val="14"/>
              </w:rPr>
              <w:t>0</w:t>
            </w:r>
          </w:p>
        </w:tc>
      </w:tr>
    </w:tbl>
    <w:p w:rsidR="003A497B" w:rsidRDefault="003A497B" w:rsidP="003A497B">
      <w:pPr>
        <w:ind w:firstLine="708"/>
        <w:jc w:val="both"/>
        <w:rPr>
          <w:rFonts w:ascii="Times New Roman" w:hAnsi="Times New Roman" w:cs="Times New Roman"/>
        </w:rPr>
      </w:pPr>
    </w:p>
    <w:p w:rsidR="003A497B" w:rsidRPr="00F628DB" w:rsidRDefault="003A497B" w:rsidP="003A497B">
      <w:pPr>
        <w:ind w:firstLine="708"/>
        <w:jc w:val="both"/>
        <w:rPr>
          <w:rFonts w:ascii="Times New Roman" w:hAnsi="Times New Roman" w:cs="Times New Roman"/>
        </w:rPr>
      </w:pPr>
      <w:r w:rsidRPr="00095ED3">
        <w:rPr>
          <w:rFonts w:ascii="Times New Roman" w:hAnsi="Times New Roman" w:cs="Times New Roman"/>
        </w:rPr>
        <w:t xml:space="preserve">Z prostriedkov rozpočtovaných v rámci oblasti rozvojovej spolupráce sa poskytuje pomoc rozvojovým krajinám a krajinám v procese transformácie s tým, že prostriedky sú určené na projekty v prioritných krajinách a na projekty pre programové krajiny. Výdavky </w:t>
      </w:r>
      <w:r>
        <w:rPr>
          <w:rFonts w:ascii="Times New Roman" w:hAnsi="Times New Roman" w:cs="Times New Roman"/>
        </w:rPr>
        <w:t>v tomto programe</w:t>
      </w:r>
      <w:r w:rsidRPr="00095ED3">
        <w:rPr>
          <w:rFonts w:ascii="Times New Roman" w:hAnsi="Times New Roman" w:cs="Times New Roman"/>
        </w:rPr>
        <w:t xml:space="preserve"> sa navrhujú v sume </w:t>
      </w:r>
      <w:r>
        <w:rPr>
          <w:rFonts w:ascii="Times New Roman" w:hAnsi="Times New Roman" w:cs="Times New Roman"/>
        </w:rPr>
        <w:t>7,23</w:t>
      </w:r>
      <w:r w:rsidRPr="00095ED3">
        <w:rPr>
          <w:rFonts w:ascii="Times New Roman" w:hAnsi="Times New Roman" w:cs="Times New Roman"/>
        </w:rPr>
        <w:t xml:space="preserve"> mil. eur, čo predstavuje nárast oproti schválenému rozpočtu roku 201</w:t>
      </w:r>
      <w:r>
        <w:rPr>
          <w:rFonts w:ascii="Times New Roman" w:hAnsi="Times New Roman" w:cs="Times New Roman"/>
        </w:rPr>
        <w:t>8</w:t>
      </w:r>
      <w:r w:rsidRPr="00095ED3">
        <w:rPr>
          <w:rFonts w:ascii="Times New Roman" w:hAnsi="Times New Roman" w:cs="Times New Roman"/>
        </w:rPr>
        <w:t xml:space="preserve"> o</w:t>
      </w:r>
      <w:r>
        <w:rPr>
          <w:rFonts w:ascii="Times New Roman" w:hAnsi="Times New Roman" w:cs="Times New Roman"/>
        </w:rPr>
        <w:t> 11,3</w:t>
      </w:r>
      <w:r w:rsidRPr="00095ED3">
        <w:rPr>
          <w:rFonts w:ascii="Times New Roman" w:hAnsi="Times New Roman" w:cs="Times New Roman"/>
        </w:rPr>
        <w:t xml:space="preserve"> tis. eur, t. j. o</w:t>
      </w:r>
      <w:r>
        <w:rPr>
          <w:rFonts w:ascii="Times New Roman" w:hAnsi="Times New Roman" w:cs="Times New Roman"/>
        </w:rPr>
        <w:t xml:space="preserve"> 0,16 </w:t>
      </w:r>
      <w:r w:rsidRPr="00095ED3">
        <w:rPr>
          <w:rFonts w:ascii="Times New Roman" w:hAnsi="Times New Roman" w:cs="Times New Roman"/>
        </w:rPr>
        <w:t xml:space="preserve">%. </w:t>
      </w:r>
      <w:r>
        <w:rPr>
          <w:rFonts w:ascii="Times New Roman" w:hAnsi="Times New Roman" w:cs="Times New Roman"/>
        </w:rPr>
        <w:t>V</w:t>
      </w:r>
      <w:r w:rsidRPr="00095ED3">
        <w:rPr>
          <w:rFonts w:ascii="Times New Roman" w:hAnsi="Times New Roman" w:cs="Times New Roman"/>
        </w:rPr>
        <w:t>ýdavky určené na financovanie projektov v rozvojových krajinách, projektov rozvojového vzdelávania, projektov zameraných na budovanie kapa</w:t>
      </w:r>
      <w:r>
        <w:rPr>
          <w:rFonts w:ascii="Times New Roman" w:hAnsi="Times New Roman" w:cs="Times New Roman"/>
        </w:rPr>
        <w:t>cít a na verejnú informovanosť sú plánované v</w:t>
      </w:r>
      <w:r w:rsidRPr="00095ED3">
        <w:rPr>
          <w:rFonts w:ascii="Times New Roman" w:hAnsi="Times New Roman" w:cs="Times New Roman"/>
        </w:rPr>
        <w:t xml:space="preserve"> bežných transferoch na rok 201</w:t>
      </w:r>
      <w:r>
        <w:rPr>
          <w:rFonts w:ascii="Times New Roman" w:hAnsi="Times New Roman" w:cs="Times New Roman"/>
        </w:rPr>
        <w:t>9</w:t>
      </w:r>
      <w:r w:rsidRPr="00095ED3">
        <w:rPr>
          <w:rFonts w:ascii="Times New Roman" w:hAnsi="Times New Roman" w:cs="Times New Roman"/>
        </w:rPr>
        <w:t xml:space="preserve"> v sume 6,</w:t>
      </w:r>
      <w:r>
        <w:rPr>
          <w:rFonts w:ascii="Times New Roman" w:hAnsi="Times New Roman" w:cs="Times New Roman"/>
        </w:rPr>
        <w:t>8</w:t>
      </w:r>
      <w:r w:rsidRPr="00095ED3">
        <w:rPr>
          <w:rFonts w:ascii="Times New Roman" w:hAnsi="Times New Roman" w:cs="Times New Roman"/>
        </w:rPr>
        <w:t>7</w:t>
      </w:r>
      <w:r>
        <w:rPr>
          <w:rFonts w:ascii="Times New Roman" w:hAnsi="Times New Roman" w:cs="Times New Roman"/>
        </w:rPr>
        <w:t xml:space="preserve"> mil. eur.</w:t>
      </w:r>
      <w:r w:rsidRPr="00F628DB">
        <w:rPr>
          <w:rFonts w:ascii="Times New Roman" w:hAnsi="Times New Roman" w:cs="Times New Roman"/>
        </w:rPr>
        <w:t xml:space="preserve"> </w:t>
      </w:r>
    </w:p>
    <w:p w:rsidR="003A497B" w:rsidRDefault="003A497B" w:rsidP="003A497B">
      <w:pPr>
        <w:jc w:val="both"/>
        <w:rPr>
          <w:rFonts w:ascii="Times New Roman" w:hAnsi="Times New Roman" w:cs="Times New Roman"/>
          <w:b/>
        </w:rPr>
      </w:pPr>
    </w:p>
    <w:p w:rsidR="003A497B" w:rsidRPr="00F628DB" w:rsidRDefault="003A497B" w:rsidP="003A497B">
      <w:pPr>
        <w:jc w:val="both"/>
        <w:rPr>
          <w:rFonts w:ascii="Times New Roman" w:hAnsi="Times New Roman" w:cs="Times New Roman"/>
          <w:b/>
        </w:rPr>
      </w:pPr>
      <w:r w:rsidRPr="0006577B">
        <w:rPr>
          <w:rFonts w:ascii="Times New Roman" w:hAnsi="Times New Roman" w:cs="Times New Roman"/>
          <w:b/>
        </w:rPr>
        <w:t>Štátna politika k Slovákom žijúcim v zahraničí</w:t>
      </w:r>
    </w:p>
    <w:p w:rsidR="003A497B" w:rsidRPr="00F628DB" w:rsidRDefault="003A497B" w:rsidP="003A497B">
      <w:pPr>
        <w:ind w:firstLine="708"/>
        <w:jc w:val="both"/>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941"/>
        <w:gridCol w:w="875"/>
        <w:gridCol w:w="876"/>
        <w:gridCol w:w="874"/>
        <w:gridCol w:w="874"/>
        <w:gridCol w:w="874"/>
        <w:gridCol w:w="874"/>
        <w:gridCol w:w="874"/>
      </w:tblGrid>
      <w:tr w:rsidR="003A497B" w:rsidRPr="00F628DB" w:rsidTr="003E1809">
        <w:trPr>
          <w:trHeight w:val="255"/>
        </w:trPr>
        <w:tc>
          <w:tcPr>
            <w:tcW w:w="1112"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F628DB" w:rsidRDefault="003A497B" w:rsidP="003E1809">
            <w:pPr>
              <w:rPr>
                <w:rFonts w:ascii="Times New Roman" w:hAnsi="Times New Roman" w:cs="Times New Roman"/>
                <w:b/>
                <w:bCs/>
                <w:sz w:val="14"/>
                <w:szCs w:val="14"/>
                <w:lang w:eastAsia="sk-SK"/>
              </w:rPr>
            </w:pPr>
            <w:r w:rsidRPr="00F628DB">
              <w:rPr>
                <w:rFonts w:ascii="Times New Roman" w:hAnsi="Times New Roman" w:cs="Times New Roman"/>
                <w:b/>
                <w:bCs/>
                <w:sz w:val="14"/>
                <w:szCs w:val="14"/>
                <w:lang w:eastAsia="sk-SK"/>
              </w:rPr>
              <w:t> v eurách</w:t>
            </w:r>
          </w:p>
        </w:tc>
        <w:tc>
          <w:tcPr>
            <w:tcW w:w="556" w:type="pct"/>
            <w:tcBorders>
              <w:top w:val="single" w:sz="4" w:space="0" w:color="auto"/>
              <w:left w:val="single" w:sz="4" w:space="0" w:color="auto"/>
              <w:bottom w:val="single" w:sz="4" w:space="0" w:color="auto"/>
              <w:right w:val="single" w:sz="4" w:space="0" w:color="auto"/>
            </w:tcBorders>
            <w:shd w:val="clear" w:color="000000" w:fill="A6A6A6"/>
            <w:vAlign w:val="center"/>
            <w:hideMark/>
          </w:tcPr>
          <w:p w:rsidR="003A497B" w:rsidRPr="00941E1B" w:rsidRDefault="003A497B" w:rsidP="003E1809">
            <w:pPr>
              <w:jc w:val="center"/>
              <w:rPr>
                <w:rFonts w:ascii="Times New Roman" w:hAnsi="Times New Roman" w:cs="Times New Roman"/>
                <w:b/>
                <w:bCs/>
                <w:sz w:val="14"/>
                <w:szCs w:val="14"/>
                <w:lang w:eastAsia="sk-SK"/>
              </w:rPr>
            </w:pPr>
            <w:r w:rsidRPr="00941E1B">
              <w:rPr>
                <w:rFonts w:ascii="Times New Roman" w:hAnsi="Times New Roman" w:cs="Times New Roman"/>
                <w:b/>
                <w:bCs/>
                <w:sz w:val="14"/>
                <w:szCs w:val="14"/>
              </w:rPr>
              <w:t>2016 S</w:t>
            </w:r>
          </w:p>
        </w:tc>
        <w:tc>
          <w:tcPr>
            <w:tcW w:w="55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941E1B" w:rsidRDefault="003A497B" w:rsidP="003E1809">
            <w:pPr>
              <w:jc w:val="center"/>
              <w:rPr>
                <w:rFonts w:ascii="Times New Roman" w:hAnsi="Times New Roman" w:cs="Times New Roman"/>
                <w:b/>
                <w:bCs/>
                <w:sz w:val="14"/>
                <w:szCs w:val="14"/>
              </w:rPr>
            </w:pPr>
            <w:r w:rsidRPr="00941E1B">
              <w:rPr>
                <w:rFonts w:ascii="Times New Roman" w:hAnsi="Times New Roman" w:cs="Times New Roman"/>
                <w:b/>
                <w:bCs/>
                <w:sz w:val="14"/>
                <w:szCs w:val="14"/>
              </w:rPr>
              <w:t>2017 S</w:t>
            </w:r>
          </w:p>
        </w:tc>
        <w:tc>
          <w:tcPr>
            <w:tcW w:w="55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941E1B" w:rsidRDefault="003A497B" w:rsidP="003E1809">
            <w:pPr>
              <w:jc w:val="center"/>
              <w:rPr>
                <w:rFonts w:ascii="Times New Roman" w:hAnsi="Times New Roman" w:cs="Times New Roman"/>
                <w:b/>
                <w:bCs/>
                <w:sz w:val="14"/>
                <w:szCs w:val="14"/>
              </w:rPr>
            </w:pPr>
            <w:r w:rsidRPr="00941E1B">
              <w:rPr>
                <w:rFonts w:ascii="Times New Roman" w:hAnsi="Times New Roman" w:cs="Times New Roman"/>
                <w:b/>
                <w:bCs/>
                <w:sz w:val="14"/>
                <w:szCs w:val="14"/>
              </w:rPr>
              <w:t>2018 R</w:t>
            </w:r>
          </w:p>
        </w:tc>
        <w:tc>
          <w:tcPr>
            <w:tcW w:w="55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941E1B" w:rsidRDefault="003A497B" w:rsidP="003E1809">
            <w:pPr>
              <w:jc w:val="center"/>
              <w:rPr>
                <w:rFonts w:ascii="Times New Roman" w:hAnsi="Times New Roman" w:cs="Times New Roman"/>
                <w:b/>
                <w:bCs/>
                <w:color w:val="000000"/>
                <w:sz w:val="14"/>
                <w:szCs w:val="14"/>
              </w:rPr>
            </w:pPr>
            <w:r w:rsidRPr="00941E1B">
              <w:rPr>
                <w:rFonts w:ascii="Times New Roman" w:hAnsi="Times New Roman" w:cs="Times New Roman"/>
                <w:b/>
                <w:bCs/>
                <w:color w:val="000000"/>
                <w:sz w:val="14"/>
                <w:szCs w:val="14"/>
              </w:rPr>
              <w:t>2018 OS</w:t>
            </w:r>
          </w:p>
        </w:tc>
        <w:tc>
          <w:tcPr>
            <w:tcW w:w="555" w:type="pct"/>
            <w:tcBorders>
              <w:top w:val="single" w:sz="4" w:space="0" w:color="auto"/>
              <w:left w:val="nil"/>
              <w:bottom w:val="single" w:sz="4" w:space="0" w:color="auto"/>
              <w:right w:val="single" w:sz="4" w:space="0" w:color="auto"/>
            </w:tcBorders>
            <w:shd w:val="clear" w:color="000000" w:fill="A6A6A6"/>
            <w:vAlign w:val="center"/>
            <w:hideMark/>
          </w:tcPr>
          <w:p w:rsidR="003A497B" w:rsidRPr="00941E1B" w:rsidRDefault="003A497B" w:rsidP="003E1809">
            <w:pPr>
              <w:jc w:val="center"/>
              <w:rPr>
                <w:rFonts w:ascii="Times New Roman" w:hAnsi="Times New Roman" w:cs="Times New Roman"/>
                <w:b/>
                <w:bCs/>
                <w:color w:val="000000"/>
                <w:sz w:val="14"/>
                <w:szCs w:val="14"/>
              </w:rPr>
            </w:pPr>
            <w:r w:rsidRPr="00941E1B">
              <w:rPr>
                <w:rFonts w:ascii="Times New Roman" w:hAnsi="Times New Roman" w:cs="Times New Roman"/>
                <w:b/>
                <w:bCs/>
                <w:color w:val="000000"/>
                <w:sz w:val="14"/>
                <w:szCs w:val="14"/>
              </w:rPr>
              <w:t>2019 N</w:t>
            </w:r>
          </w:p>
        </w:tc>
        <w:tc>
          <w:tcPr>
            <w:tcW w:w="555" w:type="pct"/>
            <w:tcBorders>
              <w:top w:val="single" w:sz="4" w:space="0" w:color="auto"/>
              <w:left w:val="nil"/>
              <w:bottom w:val="single" w:sz="4" w:space="0" w:color="auto"/>
              <w:right w:val="single" w:sz="4" w:space="0" w:color="auto"/>
            </w:tcBorders>
            <w:shd w:val="clear" w:color="000000" w:fill="A6A6A6"/>
            <w:vAlign w:val="center"/>
            <w:hideMark/>
          </w:tcPr>
          <w:p w:rsidR="003A497B" w:rsidRPr="00941E1B" w:rsidRDefault="003A497B" w:rsidP="003E1809">
            <w:pPr>
              <w:jc w:val="center"/>
              <w:rPr>
                <w:rFonts w:ascii="Times New Roman" w:hAnsi="Times New Roman" w:cs="Times New Roman"/>
                <w:b/>
                <w:bCs/>
                <w:color w:val="000000"/>
                <w:sz w:val="14"/>
                <w:szCs w:val="14"/>
              </w:rPr>
            </w:pPr>
            <w:r w:rsidRPr="00941E1B">
              <w:rPr>
                <w:rFonts w:ascii="Times New Roman" w:hAnsi="Times New Roman" w:cs="Times New Roman"/>
                <w:b/>
                <w:bCs/>
                <w:color w:val="000000"/>
                <w:sz w:val="14"/>
                <w:szCs w:val="14"/>
              </w:rPr>
              <w:t>2020 N</w:t>
            </w:r>
          </w:p>
        </w:tc>
        <w:tc>
          <w:tcPr>
            <w:tcW w:w="55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941E1B" w:rsidRDefault="003A497B" w:rsidP="003E1809">
            <w:pPr>
              <w:jc w:val="center"/>
              <w:rPr>
                <w:rFonts w:ascii="Times New Roman" w:hAnsi="Times New Roman" w:cs="Times New Roman"/>
                <w:b/>
                <w:bCs/>
                <w:color w:val="000000"/>
                <w:sz w:val="14"/>
                <w:szCs w:val="14"/>
              </w:rPr>
            </w:pPr>
            <w:r w:rsidRPr="00941E1B">
              <w:rPr>
                <w:rFonts w:ascii="Times New Roman" w:hAnsi="Times New Roman" w:cs="Times New Roman"/>
                <w:b/>
                <w:bCs/>
                <w:color w:val="000000"/>
                <w:sz w:val="14"/>
                <w:szCs w:val="14"/>
              </w:rPr>
              <w:t>2021 N</w:t>
            </w:r>
          </w:p>
        </w:tc>
      </w:tr>
      <w:tr w:rsidR="003A497B" w:rsidRPr="00F628DB" w:rsidTr="003E1809">
        <w:trPr>
          <w:trHeight w:val="255"/>
        </w:trPr>
        <w:tc>
          <w:tcPr>
            <w:tcW w:w="1112" w:type="pct"/>
            <w:tcBorders>
              <w:top w:val="nil"/>
              <w:left w:val="single" w:sz="4" w:space="0" w:color="auto"/>
              <w:bottom w:val="single" w:sz="4" w:space="0" w:color="auto"/>
              <w:right w:val="single" w:sz="4" w:space="0" w:color="auto"/>
            </w:tcBorders>
            <w:noWrap/>
            <w:vAlign w:val="center"/>
            <w:hideMark/>
          </w:tcPr>
          <w:p w:rsidR="003A497B" w:rsidRPr="00F628DB" w:rsidRDefault="003A497B" w:rsidP="003E1809">
            <w:pPr>
              <w:rPr>
                <w:rFonts w:ascii="Times New Roman" w:hAnsi="Times New Roman" w:cs="Times New Roman"/>
                <w:b/>
                <w:bCs/>
                <w:sz w:val="14"/>
                <w:szCs w:val="14"/>
                <w:lang w:eastAsia="sk-SK"/>
              </w:rPr>
            </w:pPr>
            <w:r w:rsidRPr="00456515">
              <w:rPr>
                <w:rFonts w:ascii="Times New Roman" w:hAnsi="Times New Roman" w:cs="Times New Roman"/>
                <w:b/>
                <w:bCs/>
                <w:sz w:val="14"/>
                <w:szCs w:val="14"/>
                <w:lang w:eastAsia="sk-SK"/>
              </w:rPr>
              <w:t>Štátna politika k Slovákom žijúcim v zahraničí</w:t>
            </w:r>
          </w:p>
        </w:tc>
        <w:tc>
          <w:tcPr>
            <w:tcW w:w="556" w:type="pct"/>
            <w:tcBorders>
              <w:top w:val="nil"/>
              <w:left w:val="single" w:sz="4" w:space="0" w:color="auto"/>
              <w:bottom w:val="single" w:sz="4" w:space="0" w:color="auto"/>
              <w:right w:val="single" w:sz="4" w:space="0" w:color="auto"/>
            </w:tcBorders>
            <w:shd w:val="clear" w:color="auto" w:fill="auto"/>
            <w:vAlign w:val="bottom"/>
            <w:hideMark/>
          </w:tcPr>
          <w:p w:rsidR="003A497B" w:rsidRPr="00941E1B" w:rsidRDefault="003A497B" w:rsidP="003E1809">
            <w:pPr>
              <w:jc w:val="right"/>
              <w:rPr>
                <w:rFonts w:ascii="Times New Roman" w:hAnsi="Times New Roman" w:cs="Times New Roman"/>
                <w:b/>
                <w:bCs/>
                <w:sz w:val="14"/>
                <w:szCs w:val="14"/>
              </w:rPr>
            </w:pPr>
            <w:r w:rsidRPr="00941E1B">
              <w:rPr>
                <w:rFonts w:ascii="Times New Roman" w:hAnsi="Times New Roman" w:cs="Times New Roman"/>
                <w:b/>
                <w:bCs/>
                <w:sz w:val="14"/>
                <w:szCs w:val="14"/>
              </w:rPr>
              <w:t>1 700 800</w:t>
            </w:r>
          </w:p>
        </w:tc>
        <w:tc>
          <w:tcPr>
            <w:tcW w:w="556" w:type="pct"/>
            <w:tcBorders>
              <w:top w:val="nil"/>
              <w:left w:val="nil"/>
              <w:bottom w:val="single" w:sz="4" w:space="0" w:color="auto"/>
              <w:right w:val="single" w:sz="4" w:space="0" w:color="auto"/>
            </w:tcBorders>
            <w:shd w:val="clear" w:color="auto" w:fill="auto"/>
            <w:vAlign w:val="bottom"/>
            <w:hideMark/>
          </w:tcPr>
          <w:p w:rsidR="003A497B" w:rsidRPr="00941E1B" w:rsidRDefault="003A497B" w:rsidP="003E1809">
            <w:pPr>
              <w:jc w:val="right"/>
              <w:rPr>
                <w:rFonts w:ascii="Times New Roman" w:hAnsi="Times New Roman" w:cs="Times New Roman"/>
                <w:b/>
                <w:bCs/>
                <w:sz w:val="14"/>
                <w:szCs w:val="14"/>
              </w:rPr>
            </w:pPr>
            <w:r w:rsidRPr="00941E1B">
              <w:rPr>
                <w:rFonts w:ascii="Times New Roman" w:hAnsi="Times New Roman" w:cs="Times New Roman"/>
                <w:b/>
                <w:bCs/>
                <w:sz w:val="14"/>
                <w:szCs w:val="14"/>
              </w:rPr>
              <w:t>1 810 892</w:t>
            </w:r>
          </w:p>
        </w:tc>
        <w:tc>
          <w:tcPr>
            <w:tcW w:w="555" w:type="pct"/>
            <w:tcBorders>
              <w:top w:val="nil"/>
              <w:left w:val="nil"/>
              <w:bottom w:val="single" w:sz="4" w:space="0" w:color="auto"/>
              <w:right w:val="single" w:sz="4" w:space="0" w:color="auto"/>
            </w:tcBorders>
            <w:shd w:val="clear" w:color="auto" w:fill="auto"/>
            <w:vAlign w:val="bottom"/>
            <w:hideMark/>
          </w:tcPr>
          <w:p w:rsidR="003A497B" w:rsidRPr="00941E1B" w:rsidRDefault="003A497B" w:rsidP="003E1809">
            <w:pPr>
              <w:jc w:val="right"/>
              <w:rPr>
                <w:rFonts w:ascii="Times New Roman" w:hAnsi="Times New Roman" w:cs="Times New Roman"/>
                <w:b/>
                <w:bCs/>
                <w:sz w:val="14"/>
                <w:szCs w:val="14"/>
              </w:rPr>
            </w:pPr>
            <w:r w:rsidRPr="00941E1B">
              <w:rPr>
                <w:rFonts w:ascii="Times New Roman" w:hAnsi="Times New Roman" w:cs="Times New Roman"/>
                <w:b/>
                <w:bCs/>
                <w:sz w:val="14"/>
                <w:szCs w:val="14"/>
              </w:rPr>
              <w:t>1 668 587</w:t>
            </w:r>
          </w:p>
        </w:tc>
        <w:tc>
          <w:tcPr>
            <w:tcW w:w="555" w:type="pct"/>
            <w:tcBorders>
              <w:top w:val="nil"/>
              <w:left w:val="nil"/>
              <w:bottom w:val="single" w:sz="4" w:space="0" w:color="auto"/>
              <w:right w:val="single" w:sz="4" w:space="0" w:color="auto"/>
            </w:tcBorders>
            <w:shd w:val="clear" w:color="auto" w:fill="auto"/>
            <w:vAlign w:val="bottom"/>
            <w:hideMark/>
          </w:tcPr>
          <w:p w:rsidR="003A497B" w:rsidRPr="00941E1B" w:rsidRDefault="003A497B" w:rsidP="003E1809">
            <w:pPr>
              <w:jc w:val="right"/>
              <w:rPr>
                <w:rFonts w:ascii="Times New Roman" w:hAnsi="Times New Roman" w:cs="Times New Roman"/>
                <w:b/>
                <w:bCs/>
                <w:sz w:val="14"/>
                <w:szCs w:val="14"/>
              </w:rPr>
            </w:pPr>
            <w:r w:rsidRPr="00307E7E">
              <w:rPr>
                <w:rFonts w:ascii="Times New Roman" w:hAnsi="Times New Roman" w:cs="Times New Roman"/>
                <w:b/>
                <w:bCs/>
                <w:sz w:val="14"/>
                <w:szCs w:val="14"/>
              </w:rPr>
              <w:t>1 828 172</w:t>
            </w:r>
          </w:p>
        </w:tc>
        <w:tc>
          <w:tcPr>
            <w:tcW w:w="555" w:type="pct"/>
            <w:tcBorders>
              <w:top w:val="nil"/>
              <w:left w:val="nil"/>
              <w:bottom w:val="single" w:sz="4" w:space="0" w:color="auto"/>
              <w:right w:val="single" w:sz="4" w:space="0" w:color="auto"/>
            </w:tcBorders>
            <w:shd w:val="clear" w:color="auto" w:fill="auto"/>
            <w:vAlign w:val="bottom"/>
            <w:hideMark/>
          </w:tcPr>
          <w:p w:rsidR="003A497B" w:rsidRPr="00941E1B" w:rsidRDefault="003A497B" w:rsidP="003E1809">
            <w:pPr>
              <w:jc w:val="right"/>
              <w:rPr>
                <w:rFonts w:ascii="Times New Roman" w:hAnsi="Times New Roman" w:cs="Times New Roman"/>
                <w:b/>
                <w:bCs/>
                <w:sz w:val="14"/>
                <w:szCs w:val="14"/>
              </w:rPr>
            </w:pPr>
            <w:r w:rsidRPr="00941E1B">
              <w:rPr>
                <w:rFonts w:ascii="Times New Roman" w:hAnsi="Times New Roman" w:cs="Times New Roman"/>
                <w:b/>
                <w:bCs/>
                <w:sz w:val="14"/>
                <w:szCs w:val="14"/>
              </w:rPr>
              <w:t>1 685 563</w:t>
            </w:r>
          </w:p>
        </w:tc>
        <w:tc>
          <w:tcPr>
            <w:tcW w:w="555" w:type="pct"/>
            <w:tcBorders>
              <w:top w:val="nil"/>
              <w:left w:val="nil"/>
              <w:bottom w:val="single" w:sz="4" w:space="0" w:color="auto"/>
              <w:right w:val="single" w:sz="4" w:space="0" w:color="auto"/>
            </w:tcBorders>
            <w:shd w:val="clear" w:color="auto" w:fill="auto"/>
            <w:vAlign w:val="bottom"/>
            <w:hideMark/>
          </w:tcPr>
          <w:p w:rsidR="003A497B" w:rsidRPr="00941E1B" w:rsidRDefault="003A497B" w:rsidP="003E1809">
            <w:pPr>
              <w:jc w:val="right"/>
              <w:rPr>
                <w:rFonts w:ascii="Times New Roman" w:hAnsi="Times New Roman" w:cs="Times New Roman"/>
                <w:b/>
                <w:bCs/>
                <w:sz w:val="14"/>
                <w:szCs w:val="14"/>
              </w:rPr>
            </w:pPr>
            <w:r w:rsidRPr="00941E1B">
              <w:rPr>
                <w:rFonts w:ascii="Times New Roman" w:hAnsi="Times New Roman" w:cs="Times New Roman"/>
                <w:b/>
                <w:bCs/>
                <w:sz w:val="14"/>
                <w:szCs w:val="14"/>
              </w:rPr>
              <w:t>1 685 563</w:t>
            </w:r>
          </w:p>
        </w:tc>
        <w:tc>
          <w:tcPr>
            <w:tcW w:w="555" w:type="pct"/>
            <w:tcBorders>
              <w:top w:val="nil"/>
              <w:left w:val="nil"/>
              <w:bottom w:val="single" w:sz="4" w:space="0" w:color="auto"/>
              <w:right w:val="single" w:sz="4" w:space="0" w:color="auto"/>
            </w:tcBorders>
            <w:shd w:val="clear" w:color="auto" w:fill="auto"/>
            <w:vAlign w:val="bottom"/>
            <w:hideMark/>
          </w:tcPr>
          <w:p w:rsidR="003A497B" w:rsidRPr="00941E1B" w:rsidRDefault="003A497B" w:rsidP="003E1809">
            <w:pPr>
              <w:jc w:val="right"/>
              <w:rPr>
                <w:rFonts w:ascii="Times New Roman" w:hAnsi="Times New Roman" w:cs="Times New Roman"/>
                <w:b/>
                <w:bCs/>
                <w:sz w:val="14"/>
                <w:szCs w:val="14"/>
              </w:rPr>
            </w:pPr>
            <w:r w:rsidRPr="00941E1B">
              <w:rPr>
                <w:rFonts w:ascii="Times New Roman" w:hAnsi="Times New Roman" w:cs="Times New Roman"/>
                <w:b/>
                <w:bCs/>
                <w:sz w:val="14"/>
                <w:szCs w:val="14"/>
              </w:rPr>
              <w:t>1 685 563</w:t>
            </w:r>
          </w:p>
        </w:tc>
      </w:tr>
    </w:tbl>
    <w:p w:rsidR="003A497B" w:rsidRPr="00F628DB" w:rsidRDefault="003A497B" w:rsidP="003A497B">
      <w:pPr>
        <w:ind w:firstLine="708"/>
        <w:jc w:val="both"/>
        <w:rPr>
          <w:rFonts w:ascii="Times New Roman" w:hAnsi="Times New Roman" w:cs="Times New Roman"/>
        </w:rPr>
      </w:pPr>
    </w:p>
    <w:p w:rsidR="003A497B" w:rsidRPr="00F628DB" w:rsidRDefault="003A497B" w:rsidP="003A497B">
      <w:pPr>
        <w:ind w:firstLine="708"/>
        <w:jc w:val="both"/>
        <w:rPr>
          <w:rFonts w:ascii="Times New Roman" w:hAnsi="Times New Roman" w:cs="Times New Roman"/>
        </w:rPr>
      </w:pPr>
      <w:r w:rsidRPr="00A807BD">
        <w:rPr>
          <w:rFonts w:ascii="Times New Roman" w:hAnsi="Times New Roman" w:cs="Times New Roman"/>
          <w:bCs/>
        </w:rPr>
        <w:t>Celkové p</w:t>
      </w:r>
      <w:r w:rsidRPr="00A807BD">
        <w:rPr>
          <w:rFonts w:ascii="Times New Roman" w:hAnsi="Times New Roman" w:cs="Times New Roman"/>
        </w:rPr>
        <w:t>rostriedky Úradu pre Slovákov žijúcich v zahraničí sa na rok 201</w:t>
      </w:r>
      <w:r>
        <w:rPr>
          <w:rFonts w:ascii="Times New Roman" w:hAnsi="Times New Roman" w:cs="Times New Roman"/>
        </w:rPr>
        <w:t>9</w:t>
      </w:r>
      <w:r w:rsidRPr="00A807BD">
        <w:rPr>
          <w:rFonts w:ascii="Times New Roman" w:hAnsi="Times New Roman" w:cs="Times New Roman"/>
        </w:rPr>
        <w:t xml:space="preserve"> navrhujú v sume 1,6</w:t>
      </w:r>
      <w:r>
        <w:rPr>
          <w:rFonts w:ascii="Times New Roman" w:hAnsi="Times New Roman" w:cs="Times New Roman"/>
        </w:rPr>
        <w:t>9</w:t>
      </w:r>
      <w:r w:rsidRPr="00A807BD">
        <w:rPr>
          <w:rFonts w:ascii="Times New Roman" w:hAnsi="Times New Roman" w:cs="Times New Roman"/>
        </w:rPr>
        <w:t xml:space="preserve"> mil. eur, čo predstavuje nárast oproti schválenému rozpočtu roku 201</w:t>
      </w:r>
      <w:r>
        <w:rPr>
          <w:rFonts w:ascii="Times New Roman" w:hAnsi="Times New Roman" w:cs="Times New Roman"/>
        </w:rPr>
        <w:t>8</w:t>
      </w:r>
      <w:r w:rsidRPr="00A807BD">
        <w:rPr>
          <w:rFonts w:ascii="Times New Roman" w:hAnsi="Times New Roman" w:cs="Times New Roman"/>
        </w:rPr>
        <w:t xml:space="preserve"> </w:t>
      </w:r>
      <w:r w:rsidRPr="00A807BD">
        <w:rPr>
          <w:rFonts w:ascii="Times New Roman" w:hAnsi="Times New Roman" w:cs="Times New Roman"/>
        </w:rPr>
        <w:br/>
        <w:t xml:space="preserve">o </w:t>
      </w:r>
      <w:r>
        <w:rPr>
          <w:rFonts w:ascii="Times New Roman" w:hAnsi="Times New Roman" w:cs="Times New Roman"/>
        </w:rPr>
        <w:t>17</w:t>
      </w:r>
      <w:r w:rsidRPr="00A807BD">
        <w:rPr>
          <w:rFonts w:ascii="Times New Roman" w:hAnsi="Times New Roman" w:cs="Times New Roman"/>
        </w:rPr>
        <w:t xml:space="preserve"> tis. eur, t. j. o</w:t>
      </w:r>
      <w:r>
        <w:rPr>
          <w:rFonts w:ascii="Times New Roman" w:hAnsi="Times New Roman" w:cs="Times New Roman"/>
        </w:rPr>
        <w:t> 1,02</w:t>
      </w:r>
      <w:r w:rsidRPr="00A807BD">
        <w:rPr>
          <w:rFonts w:ascii="Times New Roman" w:hAnsi="Times New Roman" w:cs="Times New Roman"/>
        </w:rPr>
        <w:t xml:space="preserve"> %. V tejto oblasti sú v rámci výdavkov kapitoly </w:t>
      </w:r>
      <w:r>
        <w:rPr>
          <w:rFonts w:ascii="Times New Roman" w:hAnsi="Times New Roman" w:cs="Times New Roman"/>
        </w:rPr>
        <w:t xml:space="preserve">MZVaEZ </w:t>
      </w:r>
      <w:r w:rsidRPr="00A807BD">
        <w:rPr>
          <w:rFonts w:ascii="Times New Roman" w:hAnsi="Times New Roman" w:cs="Times New Roman"/>
        </w:rPr>
        <w:t>SR zabezpečené</w:t>
      </w:r>
      <w:r w:rsidRPr="00A807BD" w:rsidDel="00584E0E">
        <w:rPr>
          <w:rFonts w:ascii="Times New Roman" w:hAnsi="Times New Roman" w:cs="Times New Roman"/>
        </w:rPr>
        <w:t xml:space="preserve"> </w:t>
      </w:r>
      <w:r w:rsidRPr="00A807BD">
        <w:rPr>
          <w:rFonts w:ascii="Times New Roman" w:hAnsi="Times New Roman" w:cs="Times New Roman"/>
        </w:rPr>
        <w:t>finančné prostriedky v zmysle § 6 zákona č. 474/2005 Z. z. o Slovákoch žijúcich v zahraničí a o zmene a doplnení niektorých zákonov na účely financovania aktivít zameraných na podporu Slovákov žijúcich v zahraničí.</w:t>
      </w:r>
      <w:r w:rsidRPr="00F628DB">
        <w:rPr>
          <w:rFonts w:ascii="Times New Roman" w:hAnsi="Times New Roman" w:cs="Times New Roman"/>
        </w:rPr>
        <w:t xml:space="preserve"> </w:t>
      </w:r>
    </w:p>
    <w:p w:rsidR="003A497B" w:rsidRPr="00912A7B" w:rsidRDefault="003A497B" w:rsidP="003A497B">
      <w:pPr>
        <w:pStyle w:val="Nadpis5"/>
        <w:pBdr>
          <w:bottom w:val="single" w:sz="4" w:space="1" w:color="auto"/>
        </w:pBdr>
        <w:ind w:left="0"/>
        <w:rPr>
          <w:i w:val="0"/>
          <w:sz w:val="24"/>
          <w:lang w:eastAsia="sk-SK"/>
        </w:rPr>
      </w:pPr>
      <w:bookmarkStart w:id="228" w:name="_Toc494470103"/>
      <w:bookmarkStart w:id="229" w:name="_Toc494472279"/>
      <w:bookmarkStart w:id="230" w:name="_Toc526267704"/>
      <w:r w:rsidRPr="00912A7B">
        <w:rPr>
          <w:i w:val="0"/>
          <w:sz w:val="24"/>
          <w:lang w:eastAsia="sk-SK"/>
        </w:rPr>
        <w:t>Kancelária Národnej rady SR</w:t>
      </w:r>
      <w:bookmarkEnd w:id="228"/>
      <w:bookmarkEnd w:id="229"/>
      <w:bookmarkEnd w:id="230"/>
      <w:r w:rsidRPr="00912A7B">
        <w:rPr>
          <w:i w:val="0"/>
          <w:sz w:val="24"/>
          <w:lang w:eastAsia="sk-SK"/>
        </w:rPr>
        <w:t xml:space="preserve"> </w:t>
      </w:r>
    </w:p>
    <w:p w:rsidR="003A497B" w:rsidRPr="004A3627" w:rsidRDefault="003A497B" w:rsidP="003A497B">
      <w:pP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5"/>
        <w:gridCol w:w="935"/>
        <w:gridCol w:w="937"/>
        <w:gridCol w:w="937"/>
        <w:gridCol w:w="937"/>
        <w:gridCol w:w="937"/>
        <w:gridCol w:w="937"/>
        <w:gridCol w:w="937"/>
      </w:tblGrid>
      <w:tr w:rsidR="003A497B" w:rsidRPr="00951C93" w:rsidTr="003E1809">
        <w:trPr>
          <w:trHeight w:val="255"/>
        </w:trPr>
        <w:tc>
          <w:tcPr>
            <w:tcW w:w="1382" w:type="pct"/>
            <w:shd w:val="clear" w:color="auto" w:fill="A6A6A6"/>
            <w:noWrap/>
            <w:vAlign w:val="center"/>
            <w:hideMark/>
          </w:tcPr>
          <w:p w:rsidR="003A497B" w:rsidRPr="00951C93" w:rsidRDefault="003A497B" w:rsidP="003E1809">
            <w:pPr>
              <w:rPr>
                <w:rFonts w:ascii="Times New Roman" w:hAnsi="Times New Roman" w:cs="Times New Roman"/>
                <w:b/>
                <w:bCs/>
                <w:color w:val="000000"/>
                <w:sz w:val="14"/>
                <w:szCs w:val="14"/>
              </w:rPr>
            </w:pPr>
            <w:r w:rsidRPr="00951C93">
              <w:rPr>
                <w:rFonts w:ascii="Times New Roman" w:hAnsi="Times New Roman" w:cs="Times New Roman"/>
                <w:b/>
                <w:bCs/>
                <w:color w:val="000000"/>
                <w:sz w:val="14"/>
                <w:szCs w:val="14"/>
              </w:rPr>
              <w:t> v eurách</w:t>
            </w:r>
          </w:p>
        </w:tc>
        <w:tc>
          <w:tcPr>
            <w:tcW w:w="516" w:type="pct"/>
            <w:shd w:val="clear" w:color="000000" w:fill="A6A6A6"/>
            <w:noWrap/>
            <w:vAlign w:val="center"/>
            <w:hideMark/>
          </w:tcPr>
          <w:p w:rsidR="003A497B" w:rsidRPr="002F6BEC" w:rsidRDefault="003A497B" w:rsidP="003E1809">
            <w:pPr>
              <w:jc w:val="center"/>
              <w:rPr>
                <w:rFonts w:ascii="Times New Roman" w:hAnsi="Times New Roman" w:cs="Times New Roman"/>
                <w:b/>
                <w:bCs/>
                <w:color w:val="000000"/>
                <w:sz w:val="14"/>
                <w:szCs w:val="14"/>
                <w:lang w:eastAsia="sk-SK"/>
              </w:rPr>
            </w:pPr>
            <w:r w:rsidRPr="002F6BEC">
              <w:rPr>
                <w:rFonts w:ascii="Times New Roman" w:hAnsi="Times New Roman" w:cs="Times New Roman"/>
                <w:b/>
                <w:bCs/>
                <w:color w:val="000000"/>
                <w:sz w:val="14"/>
                <w:szCs w:val="14"/>
              </w:rPr>
              <w:t>2016 S</w:t>
            </w:r>
          </w:p>
        </w:tc>
        <w:tc>
          <w:tcPr>
            <w:tcW w:w="517" w:type="pct"/>
            <w:shd w:val="clear" w:color="000000" w:fill="A6A6A6"/>
            <w:noWrap/>
            <w:vAlign w:val="center"/>
            <w:hideMark/>
          </w:tcPr>
          <w:p w:rsidR="003A497B" w:rsidRPr="002F6BEC" w:rsidRDefault="003A497B" w:rsidP="003E1809">
            <w:pPr>
              <w:jc w:val="center"/>
              <w:rPr>
                <w:rFonts w:ascii="Times New Roman" w:hAnsi="Times New Roman" w:cs="Times New Roman"/>
                <w:b/>
                <w:bCs/>
                <w:color w:val="000000"/>
                <w:sz w:val="14"/>
                <w:szCs w:val="14"/>
              </w:rPr>
            </w:pPr>
            <w:r w:rsidRPr="002F6BEC">
              <w:rPr>
                <w:rFonts w:ascii="Times New Roman" w:hAnsi="Times New Roman" w:cs="Times New Roman"/>
                <w:b/>
                <w:bCs/>
                <w:color w:val="000000"/>
                <w:sz w:val="14"/>
                <w:szCs w:val="14"/>
              </w:rPr>
              <w:t>2017 S</w:t>
            </w:r>
          </w:p>
        </w:tc>
        <w:tc>
          <w:tcPr>
            <w:tcW w:w="517" w:type="pct"/>
            <w:shd w:val="clear" w:color="000000" w:fill="A6A6A6"/>
            <w:noWrap/>
            <w:vAlign w:val="center"/>
            <w:hideMark/>
          </w:tcPr>
          <w:p w:rsidR="003A497B" w:rsidRPr="002F6BEC" w:rsidRDefault="003A497B" w:rsidP="003E1809">
            <w:pPr>
              <w:jc w:val="center"/>
              <w:rPr>
                <w:rFonts w:ascii="Times New Roman" w:hAnsi="Times New Roman" w:cs="Times New Roman"/>
                <w:b/>
                <w:bCs/>
                <w:color w:val="000000"/>
                <w:sz w:val="14"/>
                <w:szCs w:val="14"/>
              </w:rPr>
            </w:pPr>
            <w:r w:rsidRPr="002F6BEC">
              <w:rPr>
                <w:rFonts w:ascii="Times New Roman" w:hAnsi="Times New Roman" w:cs="Times New Roman"/>
                <w:b/>
                <w:bCs/>
                <w:color w:val="000000"/>
                <w:sz w:val="14"/>
                <w:szCs w:val="14"/>
              </w:rPr>
              <w:t>2018 R</w:t>
            </w:r>
          </w:p>
        </w:tc>
        <w:tc>
          <w:tcPr>
            <w:tcW w:w="517" w:type="pct"/>
            <w:shd w:val="clear" w:color="000000" w:fill="A6A6A6"/>
            <w:noWrap/>
            <w:vAlign w:val="center"/>
            <w:hideMark/>
          </w:tcPr>
          <w:p w:rsidR="003A497B" w:rsidRPr="002F6BEC" w:rsidRDefault="003A497B" w:rsidP="003E1809">
            <w:pPr>
              <w:jc w:val="center"/>
              <w:rPr>
                <w:rFonts w:ascii="Times New Roman" w:hAnsi="Times New Roman" w:cs="Times New Roman"/>
                <w:b/>
                <w:bCs/>
                <w:color w:val="000000"/>
                <w:sz w:val="14"/>
                <w:szCs w:val="14"/>
              </w:rPr>
            </w:pPr>
            <w:r w:rsidRPr="002F6BEC">
              <w:rPr>
                <w:rFonts w:ascii="Times New Roman" w:hAnsi="Times New Roman" w:cs="Times New Roman"/>
                <w:b/>
                <w:bCs/>
                <w:color w:val="000000"/>
                <w:sz w:val="14"/>
                <w:szCs w:val="14"/>
              </w:rPr>
              <w:t>2018 OS</w:t>
            </w:r>
          </w:p>
        </w:tc>
        <w:tc>
          <w:tcPr>
            <w:tcW w:w="517" w:type="pct"/>
            <w:shd w:val="clear" w:color="000000" w:fill="A6A6A6"/>
            <w:noWrap/>
            <w:vAlign w:val="center"/>
            <w:hideMark/>
          </w:tcPr>
          <w:p w:rsidR="003A497B" w:rsidRPr="002F6BEC" w:rsidRDefault="003A497B" w:rsidP="003E1809">
            <w:pPr>
              <w:jc w:val="center"/>
              <w:rPr>
                <w:rFonts w:ascii="Times New Roman" w:hAnsi="Times New Roman" w:cs="Times New Roman"/>
                <w:b/>
                <w:bCs/>
                <w:color w:val="000000"/>
                <w:sz w:val="14"/>
                <w:szCs w:val="14"/>
              </w:rPr>
            </w:pPr>
            <w:r w:rsidRPr="002F6BEC">
              <w:rPr>
                <w:rFonts w:ascii="Times New Roman" w:hAnsi="Times New Roman" w:cs="Times New Roman"/>
                <w:b/>
                <w:bCs/>
                <w:color w:val="000000"/>
                <w:sz w:val="14"/>
                <w:szCs w:val="14"/>
              </w:rPr>
              <w:t>2019 N</w:t>
            </w:r>
          </w:p>
        </w:tc>
        <w:tc>
          <w:tcPr>
            <w:tcW w:w="517" w:type="pct"/>
            <w:shd w:val="clear" w:color="000000" w:fill="A6A6A6"/>
            <w:noWrap/>
            <w:vAlign w:val="center"/>
            <w:hideMark/>
          </w:tcPr>
          <w:p w:rsidR="003A497B" w:rsidRPr="002F6BEC" w:rsidRDefault="003A497B" w:rsidP="003E1809">
            <w:pPr>
              <w:jc w:val="center"/>
              <w:rPr>
                <w:rFonts w:ascii="Times New Roman" w:hAnsi="Times New Roman" w:cs="Times New Roman"/>
                <w:b/>
                <w:bCs/>
                <w:color w:val="000000"/>
                <w:sz w:val="14"/>
                <w:szCs w:val="14"/>
              </w:rPr>
            </w:pPr>
            <w:r w:rsidRPr="002F6BEC">
              <w:rPr>
                <w:rFonts w:ascii="Times New Roman" w:hAnsi="Times New Roman" w:cs="Times New Roman"/>
                <w:b/>
                <w:bCs/>
                <w:color w:val="000000"/>
                <w:sz w:val="14"/>
                <w:szCs w:val="14"/>
              </w:rPr>
              <w:t>2020 N</w:t>
            </w:r>
          </w:p>
        </w:tc>
        <w:tc>
          <w:tcPr>
            <w:tcW w:w="517" w:type="pct"/>
            <w:shd w:val="clear" w:color="000000" w:fill="A6A6A6"/>
            <w:noWrap/>
            <w:vAlign w:val="center"/>
            <w:hideMark/>
          </w:tcPr>
          <w:p w:rsidR="003A497B" w:rsidRPr="002F6BEC" w:rsidRDefault="003A497B" w:rsidP="003E1809">
            <w:pPr>
              <w:jc w:val="center"/>
              <w:rPr>
                <w:rFonts w:ascii="Times New Roman" w:hAnsi="Times New Roman" w:cs="Times New Roman"/>
                <w:b/>
                <w:bCs/>
                <w:color w:val="000000"/>
                <w:sz w:val="14"/>
                <w:szCs w:val="14"/>
              </w:rPr>
            </w:pPr>
            <w:r w:rsidRPr="002F6BEC">
              <w:rPr>
                <w:rFonts w:ascii="Times New Roman" w:hAnsi="Times New Roman" w:cs="Times New Roman"/>
                <w:b/>
                <w:bCs/>
                <w:color w:val="000000"/>
                <w:sz w:val="14"/>
                <w:szCs w:val="14"/>
              </w:rPr>
              <w:t>2021 N</w:t>
            </w:r>
          </w:p>
        </w:tc>
      </w:tr>
      <w:tr w:rsidR="003A497B" w:rsidRPr="00951C93" w:rsidTr="003E1809">
        <w:trPr>
          <w:trHeight w:val="255"/>
        </w:trPr>
        <w:tc>
          <w:tcPr>
            <w:tcW w:w="1382" w:type="pct"/>
            <w:shd w:val="clear" w:color="000000" w:fill="C0C0C0"/>
            <w:noWrap/>
            <w:vAlign w:val="center"/>
            <w:hideMark/>
          </w:tcPr>
          <w:p w:rsidR="003A497B" w:rsidRPr="00951C93" w:rsidRDefault="003A497B" w:rsidP="003E1809">
            <w:pPr>
              <w:rPr>
                <w:rFonts w:ascii="Times New Roman" w:hAnsi="Times New Roman" w:cs="Times New Roman"/>
                <w:b/>
                <w:bCs/>
                <w:color w:val="000000"/>
                <w:sz w:val="14"/>
                <w:szCs w:val="14"/>
              </w:rPr>
            </w:pPr>
            <w:r w:rsidRPr="00951C93">
              <w:rPr>
                <w:rFonts w:ascii="Times New Roman" w:hAnsi="Times New Roman" w:cs="Times New Roman"/>
                <w:b/>
                <w:bCs/>
                <w:color w:val="000000"/>
                <w:sz w:val="14"/>
                <w:szCs w:val="14"/>
              </w:rPr>
              <w:t>Zdroje príslušnej kapitoly</w:t>
            </w:r>
          </w:p>
        </w:tc>
        <w:tc>
          <w:tcPr>
            <w:tcW w:w="516" w:type="pct"/>
            <w:shd w:val="clear" w:color="000000" w:fill="BFBFBF"/>
            <w:noWrap/>
            <w:vAlign w:val="bottom"/>
            <w:hideMark/>
          </w:tcPr>
          <w:p w:rsidR="003A497B" w:rsidRPr="002F6BEC" w:rsidRDefault="003A497B" w:rsidP="003E1809">
            <w:pPr>
              <w:jc w:val="right"/>
              <w:rPr>
                <w:rFonts w:ascii="Times New Roman" w:hAnsi="Times New Roman" w:cs="Times New Roman"/>
                <w:b/>
                <w:bCs/>
                <w:color w:val="000000"/>
                <w:sz w:val="14"/>
                <w:szCs w:val="14"/>
              </w:rPr>
            </w:pPr>
            <w:r w:rsidRPr="002F6BEC">
              <w:rPr>
                <w:rFonts w:ascii="Times New Roman" w:hAnsi="Times New Roman" w:cs="Times New Roman"/>
                <w:b/>
                <w:bCs/>
                <w:color w:val="000000"/>
                <w:sz w:val="14"/>
                <w:szCs w:val="14"/>
              </w:rPr>
              <w:t>39 666 188</w:t>
            </w:r>
          </w:p>
        </w:tc>
        <w:tc>
          <w:tcPr>
            <w:tcW w:w="517" w:type="pct"/>
            <w:shd w:val="clear" w:color="000000" w:fill="BFBFBF"/>
            <w:noWrap/>
            <w:vAlign w:val="bottom"/>
            <w:hideMark/>
          </w:tcPr>
          <w:p w:rsidR="003A497B" w:rsidRPr="002F6BEC" w:rsidRDefault="003A497B" w:rsidP="003E1809">
            <w:pPr>
              <w:jc w:val="right"/>
              <w:rPr>
                <w:rFonts w:ascii="Times New Roman" w:hAnsi="Times New Roman" w:cs="Times New Roman"/>
                <w:b/>
                <w:bCs/>
                <w:color w:val="000000"/>
                <w:sz w:val="14"/>
                <w:szCs w:val="14"/>
              </w:rPr>
            </w:pPr>
            <w:r w:rsidRPr="002F6BEC">
              <w:rPr>
                <w:rFonts w:ascii="Times New Roman" w:hAnsi="Times New Roman" w:cs="Times New Roman"/>
                <w:b/>
                <w:bCs/>
                <w:color w:val="000000"/>
                <w:sz w:val="14"/>
                <w:szCs w:val="14"/>
              </w:rPr>
              <w:t>29 932 364</w:t>
            </w:r>
          </w:p>
        </w:tc>
        <w:tc>
          <w:tcPr>
            <w:tcW w:w="517" w:type="pct"/>
            <w:shd w:val="clear" w:color="000000" w:fill="BFBFBF"/>
            <w:noWrap/>
            <w:vAlign w:val="bottom"/>
            <w:hideMark/>
          </w:tcPr>
          <w:p w:rsidR="003A497B" w:rsidRPr="002F6BEC" w:rsidRDefault="003A497B" w:rsidP="003E1809">
            <w:pPr>
              <w:jc w:val="right"/>
              <w:rPr>
                <w:rFonts w:ascii="Times New Roman" w:hAnsi="Times New Roman" w:cs="Times New Roman"/>
                <w:b/>
                <w:bCs/>
                <w:color w:val="000000"/>
                <w:sz w:val="14"/>
                <w:szCs w:val="14"/>
              </w:rPr>
            </w:pPr>
            <w:r w:rsidRPr="002F6BEC">
              <w:rPr>
                <w:rFonts w:ascii="Times New Roman" w:hAnsi="Times New Roman" w:cs="Times New Roman"/>
                <w:b/>
                <w:bCs/>
                <w:color w:val="000000"/>
                <w:sz w:val="14"/>
                <w:szCs w:val="14"/>
              </w:rPr>
              <w:t>39 681 953</w:t>
            </w:r>
          </w:p>
        </w:tc>
        <w:tc>
          <w:tcPr>
            <w:tcW w:w="517"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A497B" w:rsidRPr="00895EDB" w:rsidRDefault="003A497B" w:rsidP="003E1809">
            <w:pPr>
              <w:jc w:val="right"/>
              <w:rPr>
                <w:rFonts w:ascii="Times New Roman" w:hAnsi="Times New Roman" w:cs="Times New Roman"/>
                <w:b/>
                <w:bCs/>
                <w:color w:val="000000"/>
                <w:sz w:val="14"/>
                <w:szCs w:val="14"/>
                <w:lang w:eastAsia="sk-SK"/>
              </w:rPr>
            </w:pPr>
            <w:r w:rsidRPr="00895EDB">
              <w:rPr>
                <w:rFonts w:ascii="Times New Roman" w:hAnsi="Times New Roman" w:cs="Times New Roman"/>
                <w:b/>
                <w:bCs/>
                <w:color w:val="000000"/>
                <w:sz w:val="14"/>
                <w:szCs w:val="14"/>
              </w:rPr>
              <w:t>40 289 125</w:t>
            </w:r>
          </w:p>
        </w:tc>
        <w:tc>
          <w:tcPr>
            <w:tcW w:w="51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A497B" w:rsidRPr="00BA3E99" w:rsidRDefault="003A497B" w:rsidP="003E1809">
            <w:pPr>
              <w:jc w:val="right"/>
              <w:rPr>
                <w:rFonts w:ascii="Times New Roman" w:hAnsi="Times New Roman" w:cs="Times New Roman"/>
                <w:b/>
                <w:bCs/>
                <w:color w:val="000000"/>
                <w:sz w:val="14"/>
                <w:szCs w:val="14"/>
              </w:rPr>
            </w:pPr>
            <w:r w:rsidRPr="00BA3E99">
              <w:rPr>
                <w:rFonts w:ascii="Times New Roman" w:hAnsi="Times New Roman" w:cs="Times New Roman"/>
                <w:b/>
                <w:bCs/>
                <w:color w:val="000000"/>
                <w:sz w:val="14"/>
                <w:szCs w:val="14"/>
              </w:rPr>
              <w:t>31 856 881</w:t>
            </w:r>
          </w:p>
        </w:tc>
        <w:tc>
          <w:tcPr>
            <w:tcW w:w="5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BA3E99" w:rsidRDefault="003A497B" w:rsidP="003E1809">
            <w:pPr>
              <w:jc w:val="right"/>
              <w:rPr>
                <w:rFonts w:ascii="Times New Roman" w:hAnsi="Times New Roman" w:cs="Times New Roman"/>
                <w:b/>
                <w:bCs/>
                <w:color w:val="000000"/>
                <w:sz w:val="14"/>
                <w:szCs w:val="14"/>
              </w:rPr>
            </w:pPr>
            <w:r w:rsidRPr="00BA3E99">
              <w:rPr>
                <w:rFonts w:ascii="Times New Roman" w:hAnsi="Times New Roman" w:cs="Times New Roman"/>
                <w:b/>
                <w:bCs/>
                <w:color w:val="000000"/>
                <w:sz w:val="14"/>
                <w:szCs w:val="14"/>
              </w:rPr>
              <w:t>33 371 757</w:t>
            </w:r>
          </w:p>
        </w:tc>
        <w:tc>
          <w:tcPr>
            <w:tcW w:w="5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BA3E99" w:rsidRDefault="003A497B" w:rsidP="003E1809">
            <w:pPr>
              <w:jc w:val="right"/>
              <w:rPr>
                <w:rFonts w:ascii="Times New Roman" w:hAnsi="Times New Roman" w:cs="Times New Roman"/>
                <w:b/>
                <w:bCs/>
                <w:color w:val="000000"/>
                <w:sz w:val="14"/>
                <w:szCs w:val="14"/>
              </w:rPr>
            </w:pPr>
            <w:r w:rsidRPr="00BA3E99">
              <w:rPr>
                <w:rFonts w:ascii="Times New Roman" w:hAnsi="Times New Roman" w:cs="Times New Roman"/>
                <w:b/>
                <w:bCs/>
                <w:color w:val="000000"/>
                <w:sz w:val="14"/>
                <w:szCs w:val="14"/>
              </w:rPr>
              <w:t>32 486 922</w:t>
            </w:r>
          </w:p>
        </w:tc>
      </w:tr>
      <w:tr w:rsidR="003A497B" w:rsidRPr="00951C93" w:rsidTr="003E1809">
        <w:trPr>
          <w:trHeight w:val="255"/>
        </w:trPr>
        <w:tc>
          <w:tcPr>
            <w:tcW w:w="1382" w:type="pct"/>
            <w:noWrap/>
            <w:vAlign w:val="center"/>
            <w:hideMark/>
          </w:tcPr>
          <w:p w:rsidR="003A497B" w:rsidRPr="00951C93" w:rsidRDefault="003A497B" w:rsidP="003E1809">
            <w:pPr>
              <w:rPr>
                <w:rFonts w:ascii="Times New Roman" w:hAnsi="Times New Roman" w:cs="Times New Roman"/>
                <w:b/>
                <w:color w:val="000000"/>
                <w:sz w:val="14"/>
                <w:szCs w:val="14"/>
              </w:rPr>
            </w:pPr>
            <w:r w:rsidRPr="00951C93">
              <w:rPr>
                <w:rFonts w:ascii="Times New Roman" w:hAnsi="Times New Roman" w:cs="Times New Roman"/>
                <w:b/>
                <w:color w:val="000000"/>
                <w:sz w:val="14"/>
                <w:szCs w:val="14"/>
              </w:rPr>
              <w:t xml:space="preserve">rozpočtové zdroje kapitoly </w:t>
            </w:r>
          </w:p>
        </w:tc>
        <w:tc>
          <w:tcPr>
            <w:tcW w:w="516" w:type="pct"/>
            <w:shd w:val="clear" w:color="auto" w:fill="auto"/>
            <w:noWrap/>
            <w:vAlign w:val="bottom"/>
            <w:hideMark/>
          </w:tcPr>
          <w:p w:rsidR="003A497B" w:rsidRPr="002F6BEC" w:rsidRDefault="003A497B" w:rsidP="003E1809">
            <w:pPr>
              <w:jc w:val="right"/>
              <w:rPr>
                <w:rFonts w:ascii="Times New Roman" w:hAnsi="Times New Roman" w:cs="Times New Roman"/>
                <w:color w:val="000000"/>
                <w:sz w:val="14"/>
                <w:szCs w:val="14"/>
                <w:lang w:eastAsia="sk-SK"/>
              </w:rPr>
            </w:pPr>
            <w:r w:rsidRPr="002F6BEC">
              <w:rPr>
                <w:rFonts w:ascii="Times New Roman" w:hAnsi="Times New Roman" w:cs="Times New Roman"/>
                <w:color w:val="000000"/>
                <w:sz w:val="14"/>
                <w:szCs w:val="14"/>
              </w:rPr>
              <w:t>30 163 210</w:t>
            </w:r>
          </w:p>
        </w:tc>
        <w:tc>
          <w:tcPr>
            <w:tcW w:w="517" w:type="pct"/>
            <w:shd w:val="clear" w:color="auto" w:fill="auto"/>
            <w:noWrap/>
            <w:vAlign w:val="bottom"/>
            <w:hideMark/>
          </w:tcPr>
          <w:p w:rsidR="003A497B" w:rsidRPr="002F6BEC" w:rsidRDefault="003A497B" w:rsidP="003E1809">
            <w:pPr>
              <w:jc w:val="right"/>
              <w:rPr>
                <w:rFonts w:ascii="Times New Roman" w:hAnsi="Times New Roman" w:cs="Times New Roman"/>
                <w:color w:val="000000"/>
                <w:sz w:val="14"/>
                <w:szCs w:val="14"/>
              </w:rPr>
            </w:pPr>
            <w:r w:rsidRPr="002F6BEC">
              <w:rPr>
                <w:rFonts w:ascii="Times New Roman" w:hAnsi="Times New Roman" w:cs="Times New Roman"/>
                <w:color w:val="000000"/>
                <w:sz w:val="14"/>
                <w:szCs w:val="14"/>
              </w:rPr>
              <w:t>27 752 933</w:t>
            </w:r>
          </w:p>
        </w:tc>
        <w:tc>
          <w:tcPr>
            <w:tcW w:w="517" w:type="pct"/>
            <w:shd w:val="clear" w:color="auto" w:fill="auto"/>
            <w:noWrap/>
            <w:vAlign w:val="bottom"/>
            <w:hideMark/>
          </w:tcPr>
          <w:p w:rsidR="003A497B" w:rsidRPr="002F6BEC" w:rsidRDefault="003A497B" w:rsidP="003E1809">
            <w:pPr>
              <w:jc w:val="right"/>
              <w:rPr>
                <w:rFonts w:ascii="Times New Roman" w:hAnsi="Times New Roman" w:cs="Times New Roman"/>
                <w:color w:val="000000"/>
                <w:sz w:val="14"/>
                <w:szCs w:val="14"/>
              </w:rPr>
            </w:pPr>
            <w:r w:rsidRPr="002F6BEC">
              <w:rPr>
                <w:rFonts w:ascii="Times New Roman" w:hAnsi="Times New Roman" w:cs="Times New Roman"/>
                <w:color w:val="000000"/>
                <w:sz w:val="14"/>
                <w:szCs w:val="14"/>
              </w:rPr>
              <w:t>39 681 953</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rsidR="003A497B" w:rsidRPr="00895EDB" w:rsidRDefault="003A497B" w:rsidP="003E1809">
            <w:pPr>
              <w:jc w:val="right"/>
              <w:rPr>
                <w:rFonts w:ascii="Times New Roman" w:hAnsi="Times New Roman" w:cs="Times New Roman"/>
                <w:color w:val="000000"/>
                <w:sz w:val="14"/>
                <w:szCs w:val="14"/>
              </w:rPr>
            </w:pPr>
            <w:r w:rsidRPr="00895EDB">
              <w:rPr>
                <w:rFonts w:ascii="Times New Roman" w:hAnsi="Times New Roman" w:cs="Times New Roman"/>
                <w:color w:val="000000"/>
                <w:sz w:val="14"/>
                <w:szCs w:val="14"/>
              </w:rPr>
              <w:t>40 289 125</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rsidR="003A497B" w:rsidRPr="00BA3E99" w:rsidRDefault="003A497B" w:rsidP="003E1809">
            <w:pPr>
              <w:jc w:val="right"/>
              <w:rPr>
                <w:rFonts w:ascii="Times New Roman" w:hAnsi="Times New Roman" w:cs="Times New Roman"/>
                <w:color w:val="000000"/>
                <w:sz w:val="14"/>
                <w:szCs w:val="14"/>
              </w:rPr>
            </w:pPr>
            <w:r w:rsidRPr="00BA3E99">
              <w:rPr>
                <w:rFonts w:ascii="Times New Roman" w:hAnsi="Times New Roman" w:cs="Times New Roman"/>
                <w:color w:val="000000"/>
                <w:sz w:val="14"/>
                <w:szCs w:val="14"/>
              </w:rPr>
              <w:t>31 856 881</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BA3E99" w:rsidRDefault="003A497B" w:rsidP="003E1809">
            <w:pPr>
              <w:jc w:val="right"/>
              <w:rPr>
                <w:rFonts w:ascii="Times New Roman" w:hAnsi="Times New Roman" w:cs="Times New Roman"/>
                <w:color w:val="000000"/>
                <w:sz w:val="14"/>
                <w:szCs w:val="14"/>
              </w:rPr>
            </w:pPr>
            <w:r w:rsidRPr="00BA3E99">
              <w:rPr>
                <w:rFonts w:ascii="Times New Roman" w:hAnsi="Times New Roman" w:cs="Times New Roman"/>
                <w:color w:val="000000"/>
                <w:sz w:val="14"/>
                <w:szCs w:val="14"/>
              </w:rPr>
              <w:t>33 371 757</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BA3E99" w:rsidRDefault="003A497B" w:rsidP="003E1809">
            <w:pPr>
              <w:jc w:val="right"/>
              <w:rPr>
                <w:rFonts w:ascii="Times New Roman" w:hAnsi="Times New Roman" w:cs="Times New Roman"/>
                <w:color w:val="000000"/>
                <w:sz w:val="14"/>
                <w:szCs w:val="14"/>
              </w:rPr>
            </w:pPr>
            <w:r w:rsidRPr="00BA3E99">
              <w:rPr>
                <w:rFonts w:ascii="Times New Roman" w:hAnsi="Times New Roman" w:cs="Times New Roman"/>
                <w:color w:val="000000"/>
                <w:sz w:val="14"/>
                <w:szCs w:val="14"/>
              </w:rPr>
              <w:t>32 486 922</w:t>
            </w:r>
          </w:p>
        </w:tc>
      </w:tr>
      <w:tr w:rsidR="003A497B" w:rsidRPr="00951C93" w:rsidTr="003E1809">
        <w:trPr>
          <w:trHeight w:val="255"/>
        </w:trPr>
        <w:tc>
          <w:tcPr>
            <w:tcW w:w="1382" w:type="pct"/>
            <w:noWrap/>
            <w:vAlign w:val="center"/>
            <w:hideMark/>
          </w:tcPr>
          <w:p w:rsidR="003A497B" w:rsidRPr="00951C93" w:rsidRDefault="003A497B" w:rsidP="003E1809">
            <w:pPr>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v tom: bežné výdavky  600</w:t>
            </w:r>
          </w:p>
        </w:tc>
        <w:tc>
          <w:tcPr>
            <w:tcW w:w="516" w:type="pct"/>
            <w:shd w:val="clear" w:color="auto" w:fill="auto"/>
            <w:noWrap/>
            <w:vAlign w:val="bottom"/>
            <w:hideMark/>
          </w:tcPr>
          <w:p w:rsidR="003A497B" w:rsidRPr="002F6BEC" w:rsidRDefault="003A497B" w:rsidP="003E1809">
            <w:pPr>
              <w:jc w:val="right"/>
              <w:rPr>
                <w:rFonts w:ascii="Times New Roman" w:hAnsi="Times New Roman" w:cs="Times New Roman"/>
                <w:color w:val="000000"/>
                <w:sz w:val="14"/>
                <w:szCs w:val="14"/>
              </w:rPr>
            </w:pPr>
            <w:r w:rsidRPr="002F6BEC">
              <w:rPr>
                <w:rFonts w:ascii="Times New Roman" w:hAnsi="Times New Roman" w:cs="Times New Roman"/>
                <w:color w:val="000000"/>
                <w:sz w:val="14"/>
                <w:szCs w:val="14"/>
              </w:rPr>
              <w:t>26 233 051</w:t>
            </w:r>
          </w:p>
        </w:tc>
        <w:tc>
          <w:tcPr>
            <w:tcW w:w="517" w:type="pct"/>
            <w:shd w:val="clear" w:color="auto" w:fill="auto"/>
            <w:noWrap/>
            <w:vAlign w:val="bottom"/>
            <w:hideMark/>
          </w:tcPr>
          <w:p w:rsidR="003A497B" w:rsidRPr="002F6BEC" w:rsidRDefault="003A497B" w:rsidP="003E1809">
            <w:pPr>
              <w:jc w:val="right"/>
              <w:rPr>
                <w:rFonts w:ascii="Times New Roman" w:hAnsi="Times New Roman" w:cs="Times New Roman"/>
                <w:color w:val="000000"/>
                <w:sz w:val="14"/>
                <w:szCs w:val="14"/>
              </w:rPr>
            </w:pPr>
            <w:r w:rsidRPr="002F6BEC">
              <w:rPr>
                <w:rFonts w:ascii="Times New Roman" w:hAnsi="Times New Roman" w:cs="Times New Roman"/>
                <w:color w:val="000000"/>
                <w:sz w:val="14"/>
                <w:szCs w:val="14"/>
              </w:rPr>
              <w:t>26 829 041</w:t>
            </w:r>
          </w:p>
        </w:tc>
        <w:tc>
          <w:tcPr>
            <w:tcW w:w="517" w:type="pct"/>
            <w:shd w:val="clear" w:color="auto" w:fill="auto"/>
            <w:noWrap/>
            <w:vAlign w:val="bottom"/>
            <w:hideMark/>
          </w:tcPr>
          <w:p w:rsidR="003A497B" w:rsidRPr="002F6BEC" w:rsidRDefault="003A497B" w:rsidP="003E1809">
            <w:pPr>
              <w:jc w:val="right"/>
              <w:rPr>
                <w:rFonts w:ascii="Times New Roman" w:hAnsi="Times New Roman" w:cs="Times New Roman"/>
                <w:color w:val="000000"/>
                <w:sz w:val="14"/>
                <w:szCs w:val="14"/>
              </w:rPr>
            </w:pPr>
            <w:r w:rsidRPr="002F6BEC">
              <w:rPr>
                <w:rFonts w:ascii="Times New Roman" w:hAnsi="Times New Roman" w:cs="Times New Roman"/>
                <w:color w:val="000000"/>
                <w:sz w:val="14"/>
                <w:szCs w:val="14"/>
              </w:rPr>
              <w:t>26 501 727</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rsidR="003A497B" w:rsidRPr="00895EDB" w:rsidRDefault="003A497B" w:rsidP="003E1809">
            <w:pPr>
              <w:jc w:val="right"/>
              <w:rPr>
                <w:rFonts w:ascii="Times New Roman" w:hAnsi="Times New Roman" w:cs="Times New Roman"/>
                <w:color w:val="000000"/>
                <w:sz w:val="14"/>
                <w:szCs w:val="14"/>
              </w:rPr>
            </w:pPr>
            <w:r w:rsidRPr="00895EDB">
              <w:rPr>
                <w:rFonts w:ascii="Times New Roman" w:hAnsi="Times New Roman" w:cs="Times New Roman"/>
                <w:color w:val="000000"/>
                <w:sz w:val="14"/>
                <w:szCs w:val="14"/>
              </w:rPr>
              <w:t>27 108 899</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rsidR="003A497B" w:rsidRPr="00BA3E99" w:rsidRDefault="003A497B" w:rsidP="003E1809">
            <w:pPr>
              <w:jc w:val="right"/>
              <w:rPr>
                <w:rFonts w:ascii="Times New Roman" w:hAnsi="Times New Roman" w:cs="Times New Roman"/>
                <w:color w:val="000000"/>
                <w:sz w:val="14"/>
                <w:szCs w:val="14"/>
              </w:rPr>
            </w:pPr>
            <w:r w:rsidRPr="00BA3E99">
              <w:rPr>
                <w:rFonts w:ascii="Times New Roman" w:hAnsi="Times New Roman" w:cs="Times New Roman"/>
                <w:color w:val="000000"/>
                <w:sz w:val="14"/>
                <w:szCs w:val="14"/>
              </w:rPr>
              <w:t>28 440 071</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BA3E99" w:rsidRDefault="003A497B" w:rsidP="003E1809">
            <w:pPr>
              <w:jc w:val="right"/>
              <w:rPr>
                <w:rFonts w:ascii="Times New Roman" w:hAnsi="Times New Roman" w:cs="Times New Roman"/>
                <w:color w:val="000000"/>
                <w:sz w:val="14"/>
                <w:szCs w:val="14"/>
              </w:rPr>
            </w:pPr>
            <w:r w:rsidRPr="00BA3E99">
              <w:rPr>
                <w:rFonts w:ascii="Times New Roman" w:hAnsi="Times New Roman" w:cs="Times New Roman"/>
                <w:color w:val="000000"/>
                <w:sz w:val="14"/>
                <w:szCs w:val="14"/>
              </w:rPr>
              <w:t>29 133 447</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BA3E99" w:rsidRDefault="003A497B" w:rsidP="003E1809">
            <w:pPr>
              <w:jc w:val="right"/>
              <w:rPr>
                <w:rFonts w:ascii="Times New Roman" w:hAnsi="Times New Roman" w:cs="Times New Roman"/>
                <w:color w:val="000000"/>
                <w:sz w:val="14"/>
                <w:szCs w:val="14"/>
              </w:rPr>
            </w:pPr>
            <w:r w:rsidRPr="00BA3E99">
              <w:rPr>
                <w:rFonts w:ascii="Times New Roman" w:hAnsi="Times New Roman" w:cs="Times New Roman"/>
                <w:color w:val="000000"/>
                <w:sz w:val="14"/>
                <w:szCs w:val="14"/>
              </w:rPr>
              <w:t>27 592 612</w:t>
            </w:r>
          </w:p>
        </w:tc>
      </w:tr>
      <w:tr w:rsidR="003A497B" w:rsidRPr="00951C93" w:rsidTr="003E1809">
        <w:trPr>
          <w:trHeight w:val="255"/>
        </w:trPr>
        <w:tc>
          <w:tcPr>
            <w:tcW w:w="1382" w:type="pct"/>
            <w:noWrap/>
            <w:vAlign w:val="center"/>
            <w:hideMark/>
          </w:tcPr>
          <w:p w:rsidR="003A497B" w:rsidRPr="00951C93" w:rsidRDefault="003A497B" w:rsidP="003E1809">
            <w:pPr>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610 mzdy</w:t>
            </w:r>
          </w:p>
        </w:tc>
        <w:tc>
          <w:tcPr>
            <w:tcW w:w="516" w:type="pct"/>
            <w:shd w:val="clear" w:color="auto" w:fill="auto"/>
            <w:noWrap/>
            <w:vAlign w:val="bottom"/>
            <w:hideMark/>
          </w:tcPr>
          <w:p w:rsidR="003A497B" w:rsidRPr="002F6BEC" w:rsidRDefault="003A497B" w:rsidP="003E1809">
            <w:pPr>
              <w:jc w:val="right"/>
              <w:rPr>
                <w:rFonts w:ascii="Times New Roman" w:hAnsi="Times New Roman" w:cs="Times New Roman"/>
                <w:color w:val="000000"/>
                <w:sz w:val="14"/>
                <w:szCs w:val="14"/>
              </w:rPr>
            </w:pPr>
            <w:r w:rsidRPr="002F6BEC">
              <w:rPr>
                <w:rFonts w:ascii="Times New Roman" w:hAnsi="Times New Roman" w:cs="Times New Roman"/>
                <w:color w:val="000000"/>
                <w:sz w:val="14"/>
                <w:szCs w:val="14"/>
              </w:rPr>
              <w:t>12 625 071</w:t>
            </w:r>
          </w:p>
        </w:tc>
        <w:tc>
          <w:tcPr>
            <w:tcW w:w="517" w:type="pct"/>
            <w:shd w:val="clear" w:color="auto" w:fill="auto"/>
            <w:noWrap/>
            <w:vAlign w:val="bottom"/>
            <w:hideMark/>
          </w:tcPr>
          <w:p w:rsidR="003A497B" w:rsidRPr="002F6BEC" w:rsidRDefault="003A497B" w:rsidP="003E1809">
            <w:pPr>
              <w:jc w:val="right"/>
              <w:rPr>
                <w:rFonts w:ascii="Times New Roman" w:hAnsi="Times New Roman" w:cs="Times New Roman"/>
                <w:color w:val="000000"/>
                <w:sz w:val="14"/>
                <w:szCs w:val="14"/>
              </w:rPr>
            </w:pPr>
            <w:r w:rsidRPr="002F6BEC">
              <w:rPr>
                <w:rFonts w:ascii="Times New Roman" w:hAnsi="Times New Roman" w:cs="Times New Roman"/>
                <w:color w:val="000000"/>
                <w:sz w:val="14"/>
                <w:szCs w:val="14"/>
              </w:rPr>
              <w:t>13 242 688</w:t>
            </w:r>
          </w:p>
        </w:tc>
        <w:tc>
          <w:tcPr>
            <w:tcW w:w="517" w:type="pct"/>
            <w:shd w:val="clear" w:color="auto" w:fill="auto"/>
            <w:noWrap/>
            <w:vAlign w:val="bottom"/>
            <w:hideMark/>
          </w:tcPr>
          <w:p w:rsidR="003A497B" w:rsidRPr="002F6BEC" w:rsidRDefault="003A497B" w:rsidP="003E1809">
            <w:pPr>
              <w:jc w:val="right"/>
              <w:rPr>
                <w:rFonts w:ascii="Times New Roman" w:hAnsi="Times New Roman" w:cs="Times New Roman"/>
                <w:color w:val="000000"/>
                <w:sz w:val="14"/>
                <w:szCs w:val="14"/>
              </w:rPr>
            </w:pPr>
            <w:r w:rsidRPr="002F6BEC">
              <w:rPr>
                <w:rFonts w:ascii="Times New Roman" w:hAnsi="Times New Roman" w:cs="Times New Roman"/>
                <w:color w:val="000000"/>
                <w:sz w:val="14"/>
                <w:szCs w:val="14"/>
              </w:rPr>
              <w:t>13 304 987</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rsidR="003A497B" w:rsidRPr="00895EDB" w:rsidRDefault="003A497B" w:rsidP="003E1809">
            <w:pPr>
              <w:jc w:val="right"/>
              <w:rPr>
                <w:rFonts w:ascii="Times New Roman" w:hAnsi="Times New Roman" w:cs="Times New Roman"/>
                <w:color w:val="000000"/>
                <w:sz w:val="14"/>
                <w:szCs w:val="14"/>
              </w:rPr>
            </w:pPr>
            <w:r w:rsidRPr="00895EDB">
              <w:rPr>
                <w:rFonts w:ascii="Times New Roman" w:hAnsi="Times New Roman" w:cs="Times New Roman"/>
                <w:color w:val="000000"/>
                <w:sz w:val="14"/>
                <w:szCs w:val="14"/>
              </w:rPr>
              <w:t>13 613 170</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rsidR="003A497B" w:rsidRPr="00BA3E99" w:rsidRDefault="003A497B" w:rsidP="003E1809">
            <w:pPr>
              <w:jc w:val="right"/>
              <w:rPr>
                <w:rFonts w:ascii="Times New Roman" w:hAnsi="Times New Roman" w:cs="Times New Roman"/>
                <w:color w:val="000000"/>
                <w:sz w:val="14"/>
                <w:szCs w:val="14"/>
              </w:rPr>
            </w:pPr>
            <w:r w:rsidRPr="00BA3E99">
              <w:rPr>
                <w:rFonts w:ascii="Times New Roman" w:hAnsi="Times New Roman" w:cs="Times New Roman"/>
                <w:color w:val="000000"/>
                <w:sz w:val="14"/>
                <w:szCs w:val="14"/>
              </w:rPr>
              <w:t>14 009 791</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BA3E99" w:rsidRDefault="003A497B" w:rsidP="003E1809">
            <w:pPr>
              <w:jc w:val="right"/>
              <w:rPr>
                <w:rFonts w:ascii="Times New Roman" w:hAnsi="Times New Roman" w:cs="Times New Roman"/>
                <w:color w:val="000000"/>
                <w:sz w:val="14"/>
                <w:szCs w:val="14"/>
              </w:rPr>
            </w:pPr>
            <w:r w:rsidRPr="00BA3E99">
              <w:rPr>
                <w:rFonts w:ascii="Times New Roman" w:hAnsi="Times New Roman" w:cs="Times New Roman"/>
                <w:color w:val="000000"/>
                <w:sz w:val="14"/>
                <w:szCs w:val="14"/>
              </w:rPr>
              <w:t>14 009 791</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BA3E99" w:rsidRDefault="003A497B" w:rsidP="003E1809">
            <w:pPr>
              <w:jc w:val="right"/>
              <w:rPr>
                <w:rFonts w:ascii="Times New Roman" w:hAnsi="Times New Roman" w:cs="Times New Roman"/>
                <w:color w:val="000000"/>
                <w:sz w:val="14"/>
                <w:szCs w:val="14"/>
              </w:rPr>
            </w:pPr>
            <w:r w:rsidRPr="00BA3E99">
              <w:rPr>
                <w:rFonts w:ascii="Times New Roman" w:hAnsi="Times New Roman" w:cs="Times New Roman"/>
                <w:color w:val="000000"/>
                <w:sz w:val="14"/>
                <w:szCs w:val="14"/>
              </w:rPr>
              <w:t>14 009 791</w:t>
            </w:r>
          </w:p>
        </w:tc>
      </w:tr>
      <w:tr w:rsidR="003A497B" w:rsidRPr="00951C93" w:rsidTr="003E1809">
        <w:trPr>
          <w:trHeight w:val="255"/>
        </w:trPr>
        <w:tc>
          <w:tcPr>
            <w:tcW w:w="1382" w:type="pct"/>
            <w:noWrap/>
            <w:vAlign w:val="center"/>
            <w:hideMark/>
          </w:tcPr>
          <w:p w:rsidR="003A497B" w:rsidRPr="00951C93" w:rsidRDefault="003A497B" w:rsidP="003E1809">
            <w:pPr>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620 odvody</w:t>
            </w:r>
          </w:p>
        </w:tc>
        <w:tc>
          <w:tcPr>
            <w:tcW w:w="516" w:type="pct"/>
            <w:shd w:val="clear" w:color="auto" w:fill="auto"/>
            <w:noWrap/>
            <w:vAlign w:val="bottom"/>
            <w:hideMark/>
          </w:tcPr>
          <w:p w:rsidR="003A497B" w:rsidRPr="002F6BEC" w:rsidRDefault="003A497B" w:rsidP="003E1809">
            <w:pPr>
              <w:jc w:val="right"/>
              <w:rPr>
                <w:rFonts w:ascii="Times New Roman" w:hAnsi="Times New Roman" w:cs="Times New Roman"/>
                <w:color w:val="000000"/>
                <w:sz w:val="14"/>
                <w:szCs w:val="14"/>
              </w:rPr>
            </w:pPr>
            <w:r w:rsidRPr="002F6BEC">
              <w:rPr>
                <w:rFonts w:ascii="Times New Roman" w:hAnsi="Times New Roman" w:cs="Times New Roman"/>
                <w:color w:val="000000"/>
                <w:sz w:val="14"/>
                <w:szCs w:val="14"/>
              </w:rPr>
              <w:t>3 729 544</w:t>
            </w:r>
          </w:p>
        </w:tc>
        <w:tc>
          <w:tcPr>
            <w:tcW w:w="517" w:type="pct"/>
            <w:shd w:val="clear" w:color="auto" w:fill="auto"/>
            <w:noWrap/>
            <w:vAlign w:val="bottom"/>
            <w:hideMark/>
          </w:tcPr>
          <w:p w:rsidR="003A497B" w:rsidRPr="002F6BEC" w:rsidRDefault="003A497B" w:rsidP="003E1809">
            <w:pPr>
              <w:jc w:val="right"/>
              <w:rPr>
                <w:rFonts w:ascii="Times New Roman" w:hAnsi="Times New Roman" w:cs="Times New Roman"/>
                <w:color w:val="000000"/>
                <w:sz w:val="14"/>
                <w:szCs w:val="14"/>
              </w:rPr>
            </w:pPr>
            <w:r w:rsidRPr="002F6BEC">
              <w:rPr>
                <w:rFonts w:ascii="Times New Roman" w:hAnsi="Times New Roman" w:cs="Times New Roman"/>
                <w:color w:val="000000"/>
                <w:sz w:val="14"/>
                <w:szCs w:val="14"/>
              </w:rPr>
              <w:t>3 836 467</w:t>
            </w:r>
          </w:p>
        </w:tc>
        <w:tc>
          <w:tcPr>
            <w:tcW w:w="517" w:type="pct"/>
            <w:shd w:val="clear" w:color="auto" w:fill="auto"/>
            <w:noWrap/>
            <w:vAlign w:val="bottom"/>
            <w:hideMark/>
          </w:tcPr>
          <w:p w:rsidR="003A497B" w:rsidRPr="002F6BEC" w:rsidRDefault="003A497B" w:rsidP="003E1809">
            <w:pPr>
              <w:jc w:val="right"/>
              <w:rPr>
                <w:rFonts w:ascii="Times New Roman" w:hAnsi="Times New Roman" w:cs="Times New Roman"/>
                <w:color w:val="000000"/>
                <w:sz w:val="14"/>
                <w:szCs w:val="14"/>
              </w:rPr>
            </w:pPr>
            <w:r w:rsidRPr="002F6BEC">
              <w:rPr>
                <w:rFonts w:ascii="Times New Roman" w:hAnsi="Times New Roman" w:cs="Times New Roman"/>
                <w:color w:val="000000"/>
                <w:sz w:val="14"/>
                <w:szCs w:val="14"/>
              </w:rPr>
              <w:t>3 796 160</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rsidR="003A497B" w:rsidRPr="00895EDB" w:rsidRDefault="003A497B" w:rsidP="003E1809">
            <w:pPr>
              <w:jc w:val="right"/>
              <w:rPr>
                <w:rFonts w:ascii="Times New Roman" w:hAnsi="Times New Roman" w:cs="Times New Roman"/>
                <w:color w:val="000000"/>
                <w:sz w:val="14"/>
                <w:szCs w:val="14"/>
              </w:rPr>
            </w:pPr>
            <w:r w:rsidRPr="00895EDB">
              <w:rPr>
                <w:rFonts w:ascii="Times New Roman" w:hAnsi="Times New Roman" w:cs="Times New Roman"/>
                <w:color w:val="000000"/>
                <w:sz w:val="14"/>
                <w:szCs w:val="14"/>
              </w:rPr>
              <w:t>3 924 491</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rsidR="003A497B" w:rsidRPr="00BA3E99" w:rsidRDefault="003A497B" w:rsidP="003E1809">
            <w:pPr>
              <w:jc w:val="right"/>
              <w:rPr>
                <w:rFonts w:ascii="Times New Roman" w:hAnsi="Times New Roman" w:cs="Times New Roman"/>
                <w:color w:val="000000"/>
                <w:sz w:val="14"/>
                <w:szCs w:val="14"/>
              </w:rPr>
            </w:pPr>
            <w:r w:rsidRPr="00BA3E99">
              <w:rPr>
                <w:rFonts w:ascii="Times New Roman" w:hAnsi="Times New Roman" w:cs="Times New Roman"/>
                <w:color w:val="000000"/>
                <w:sz w:val="14"/>
                <w:szCs w:val="14"/>
              </w:rPr>
              <w:t>4 042 489</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BA3E99" w:rsidRDefault="003A497B" w:rsidP="003E1809">
            <w:pPr>
              <w:jc w:val="right"/>
              <w:rPr>
                <w:rFonts w:ascii="Times New Roman" w:hAnsi="Times New Roman" w:cs="Times New Roman"/>
                <w:color w:val="000000"/>
                <w:sz w:val="14"/>
                <w:szCs w:val="14"/>
              </w:rPr>
            </w:pPr>
            <w:r w:rsidRPr="00BA3E99">
              <w:rPr>
                <w:rFonts w:ascii="Times New Roman" w:hAnsi="Times New Roman" w:cs="Times New Roman"/>
                <w:color w:val="000000"/>
                <w:sz w:val="14"/>
                <w:szCs w:val="14"/>
              </w:rPr>
              <w:t>4 329 561</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BA3E99" w:rsidRDefault="003A497B" w:rsidP="003E1809">
            <w:pPr>
              <w:jc w:val="right"/>
              <w:rPr>
                <w:rFonts w:ascii="Times New Roman" w:hAnsi="Times New Roman" w:cs="Times New Roman"/>
                <w:color w:val="000000"/>
                <w:sz w:val="14"/>
                <w:szCs w:val="14"/>
              </w:rPr>
            </w:pPr>
            <w:r w:rsidRPr="00BA3E99">
              <w:rPr>
                <w:rFonts w:ascii="Times New Roman" w:hAnsi="Times New Roman" w:cs="Times New Roman"/>
                <w:color w:val="000000"/>
                <w:sz w:val="14"/>
                <w:szCs w:val="14"/>
              </w:rPr>
              <w:t>4 042 490</w:t>
            </w:r>
          </w:p>
        </w:tc>
      </w:tr>
      <w:tr w:rsidR="003A497B" w:rsidRPr="00951C93" w:rsidTr="003E1809">
        <w:trPr>
          <w:trHeight w:val="255"/>
        </w:trPr>
        <w:tc>
          <w:tcPr>
            <w:tcW w:w="1382" w:type="pct"/>
            <w:noWrap/>
            <w:vAlign w:val="center"/>
            <w:hideMark/>
          </w:tcPr>
          <w:p w:rsidR="003A497B" w:rsidRPr="00951C93" w:rsidRDefault="003A497B" w:rsidP="003E1809">
            <w:pPr>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630 tovary a služby</w:t>
            </w:r>
          </w:p>
        </w:tc>
        <w:tc>
          <w:tcPr>
            <w:tcW w:w="516" w:type="pct"/>
            <w:shd w:val="clear" w:color="auto" w:fill="auto"/>
            <w:noWrap/>
            <w:vAlign w:val="bottom"/>
            <w:hideMark/>
          </w:tcPr>
          <w:p w:rsidR="003A497B" w:rsidRPr="002F6BEC" w:rsidRDefault="003A497B" w:rsidP="003E1809">
            <w:pPr>
              <w:jc w:val="right"/>
              <w:rPr>
                <w:rFonts w:ascii="Times New Roman" w:hAnsi="Times New Roman" w:cs="Times New Roman"/>
                <w:color w:val="000000"/>
                <w:sz w:val="14"/>
                <w:szCs w:val="14"/>
              </w:rPr>
            </w:pPr>
            <w:r w:rsidRPr="002F6BEC">
              <w:rPr>
                <w:rFonts w:ascii="Times New Roman" w:hAnsi="Times New Roman" w:cs="Times New Roman"/>
                <w:color w:val="000000"/>
                <w:sz w:val="14"/>
                <w:szCs w:val="14"/>
              </w:rPr>
              <w:t>9 275 982</w:t>
            </w:r>
          </w:p>
        </w:tc>
        <w:tc>
          <w:tcPr>
            <w:tcW w:w="517" w:type="pct"/>
            <w:shd w:val="clear" w:color="auto" w:fill="auto"/>
            <w:noWrap/>
            <w:vAlign w:val="bottom"/>
            <w:hideMark/>
          </w:tcPr>
          <w:p w:rsidR="003A497B" w:rsidRPr="002F6BEC" w:rsidRDefault="003A497B" w:rsidP="003E1809">
            <w:pPr>
              <w:jc w:val="right"/>
              <w:rPr>
                <w:rFonts w:ascii="Times New Roman" w:hAnsi="Times New Roman" w:cs="Times New Roman"/>
                <w:color w:val="000000"/>
                <w:sz w:val="14"/>
                <w:szCs w:val="14"/>
              </w:rPr>
            </w:pPr>
            <w:r w:rsidRPr="002F6BEC">
              <w:rPr>
                <w:rFonts w:ascii="Times New Roman" w:hAnsi="Times New Roman" w:cs="Times New Roman"/>
                <w:color w:val="000000"/>
                <w:sz w:val="14"/>
                <w:szCs w:val="14"/>
              </w:rPr>
              <w:t>9 502 675</w:t>
            </w:r>
          </w:p>
        </w:tc>
        <w:tc>
          <w:tcPr>
            <w:tcW w:w="517" w:type="pct"/>
            <w:shd w:val="clear" w:color="auto" w:fill="auto"/>
            <w:noWrap/>
            <w:vAlign w:val="bottom"/>
            <w:hideMark/>
          </w:tcPr>
          <w:p w:rsidR="003A497B" w:rsidRPr="002F6BEC" w:rsidRDefault="003A497B" w:rsidP="003E1809">
            <w:pPr>
              <w:jc w:val="right"/>
              <w:rPr>
                <w:rFonts w:ascii="Times New Roman" w:hAnsi="Times New Roman" w:cs="Times New Roman"/>
                <w:color w:val="000000"/>
                <w:sz w:val="14"/>
                <w:szCs w:val="14"/>
              </w:rPr>
            </w:pPr>
            <w:r w:rsidRPr="002F6BEC">
              <w:rPr>
                <w:rFonts w:ascii="Times New Roman" w:hAnsi="Times New Roman" w:cs="Times New Roman"/>
                <w:color w:val="000000"/>
                <w:sz w:val="14"/>
                <w:szCs w:val="14"/>
              </w:rPr>
              <w:t>9 221 333</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rsidR="003A497B" w:rsidRPr="00895EDB" w:rsidRDefault="003A497B" w:rsidP="003E1809">
            <w:pPr>
              <w:jc w:val="right"/>
              <w:rPr>
                <w:rFonts w:ascii="Times New Roman" w:hAnsi="Times New Roman" w:cs="Times New Roman"/>
                <w:color w:val="000000"/>
                <w:sz w:val="14"/>
                <w:szCs w:val="14"/>
              </w:rPr>
            </w:pPr>
            <w:r w:rsidRPr="00895EDB">
              <w:rPr>
                <w:rFonts w:ascii="Times New Roman" w:hAnsi="Times New Roman" w:cs="Times New Roman"/>
                <w:color w:val="000000"/>
                <w:sz w:val="14"/>
                <w:szCs w:val="14"/>
              </w:rPr>
              <w:t>9 349 011</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rsidR="003A497B" w:rsidRPr="00BA3E99" w:rsidRDefault="003A497B" w:rsidP="003E1809">
            <w:pPr>
              <w:jc w:val="right"/>
              <w:rPr>
                <w:rFonts w:ascii="Times New Roman" w:hAnsi="Times New Roman" w:cs="Times New Roman"/>
                <w:color w:val="000000"/>
                <w:sz w:val="14"/>
                <w:szCs w:val="14"/>
              </w:rPr>
            </w:pPr>
            <w:r w:rsidRPr="00BA3E99">
              <w:rPr>
                <w:rFonts w:ascii="Times New Roman" w:hAnsi="Times New Roman" w:cs="Times New Roman"/>
                <w:color w:val="000000"/>
                <w:sz w:val="14"/>
                <w:szCs w:val="14"/>
              </w:rPr>
              <w:t>10 208 544</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BA3E99" w:rsidRDefault="003A497B" w:rsidP="003E1809">
            <w:pPr>
              <w:jc w:val="right"/>
              <w:rPr>
                <w:rFonts w:ascii="Times New Roman" w:hAnsi="Times New Roman" w:cs="Times New Roman"/>
                <w:color w:val="000000"/>
                <w:sz w:val="14"/>
                <w:szCs w:val="14"/>
              </w:rPr>
            </w:pPr>
            <w:r w:rsidRPr="00BA3E99">
              <w:rPr>
                <w:rFonts w:ascii="Times New Roman" w:hAnsi="Times New Roman" w:cs="Times New Roman"/>
                <w:color w:val="000000"/>
                <w:sz w:val="14"/>
                <w:szCs w:val="14"/>
              </w:rPr>
              <w:t>9 793 470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BA3E99" w:rsidRDefault="003A497B" w:rsidP="003E1809">
            <w:pPr>
              <w:jc w:val="right"/>
              <w:rPr>
                <w:rFonts w:ascii="Times New Roman" w:hAnsi="Times New Roman" w:cs="Times New Roman"/>
                <w:color w:val="000000"/>
                <w:sz w:val="14"/>
                <w:szCs w:val="14"/>
              </w:rPr>
            </w:pPr>
            <w:r w:rsidRPr="00BA3E99">
              <w:rPr>
                <w:rFonts w:ascii="Times New Roman" w:hAnsi="Times New Roman" w:cs="Times New Roman"/>
                <w:color w:val="000000"/>
                <w:sz w:val="14"/>
                <w:szCs w:val="14"/>
              </w:rPr>
              <w:t>9 361 084</w:t>
            </w:r>
          </w:p>
        </w:tc>
      </w:tr>
      <w:tr w:rsidR="003A497B" w:rsidRPr="00951C93" w:rsidTr="003E1809">
        <w:trPr>
          <w:trHeight w:val="255"/>
        </w:trPr>
        <w:tc>
          <w:tcPr>
            <w:tcW w:w="1382" w:type="pct"/>
            <w:noWrap/>
            <w:vAlign w:val="center"/>
            <w:hideMark/>
          </w:tcPr>
          <w:p w:rsidR="003A497B" w:rsidRPr="00951C93" w:rsidRDefault="003A497B" w:rsidP="003E1809">
            <w:pPr>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640 bežné transfery</w:t>
            </w:r>
          </w:p>
        </w:tc>
        <w:tc>
          <w:tcPr>
            <w:tcW w:w="516" w:type="pct"/>
            <w:shd w:val="clear" w:color="auto" w:fill="auto"/>
            <w:noWrap/>
            <w:vAlign w:val="bottom"/>
            <w:hideMark/>
          </w:tcPr>
          <w:p w:rsidR="003A497B" w:rsidRPr="002F6BEC" w:rsidRDefault="003A497B" w:rsidP="003E1809">
            <w:pPr>
              <w:jc w:val="right"/>
              <w:rPr>
                <w:rFonts w:ascii="Times New Roman" w:hAnsi="Times New Roman" w:cs="Times New Roman"/>
                <w:color w:val="000000"/>
                <w:sz w:val="14"/>
                <w:szCs w:val="14"/>
              </w:rPr>
            </w:pPr>
            <w:r w:rsidRPr="002F6BEC">
              <w:rPr>
                <w:rFonts w:ascii="Times New Roman" w:hAnsi="Times New Roman" w:cs="Times New Roman"/>
                <w:color w:val="000000"/>
                <w:sz w:val="14"/>
                <w:szCs w:val="14"/>
              </w:rPr>
              <w:t>602 454</w:t>
            </w:r>
          </w:p>
        </w:tc>
        <w:tc>
          <w:tcPr>
            <w:tcW w:w="517" w:type="pct"/>
            <w:shd w:val="clear" w:color="auto" w:fill="auto"/>
            <w:noWrap/>
            <w:vAlign w:val="bottom"/>
            <w:hideMark/>
          </w:tcPr>
          <w:p w:rsidR="003A497B" w:rsidRPr="002F6BEC" w:rsidRDefault="003A497B" w:rsidP="003E1809">
            <w:pPr>
              <w:jc w:val="right"/>
              <w:rPr>
                <w:rFonts w:ascii="Times New Roman" w:hAnsi="Times New Roman" w:cs="Times New Roman"/>
                <w:color w:val="000000"/>
                <w:sz w:val="14"/>
                <w:szCs w:val="14"/>
              </w:rPr>
            </w:pPr>
            <w:r w:rsidRPr="002F6BEC">
              <w:rPr>
                <w:rFonts w:ascii="Times New Roman" w:hAnsi="Times New Roman" w:cs="Times New Roman"/>
                <w:color w:val="000000"/>
                <w:sz w:val="14"/>
                <w:szCs w:val="14"/>
              </w:rPr>
              <w:t>247 211</w:t>
            </w:r>
          </w:p>
        </w:tc>
        <w:tc>
          <w:tcPr>
            <w:tcW w:w="517" w:type="pct"/>
            <w:shd w:val="clear" w:color="auto" w:fill="auto"/>
            <w:noWrap/>
            <w:vAlign w:val="bottom"/>
            <w:hideMark/>
          </w:tcPr>
          <w:p w:rsidR="003A497B" w:rsidRPr="002F6BEC" w:rsidRDefault="003A497B" w:rsidP="003E1809">
            <w:pPr>
              <w:jc w:val="right"/>
              <w:rPr>
                <w:rFonts w:ascii="Times New Roman" w:hAnsi="Times New Roman" w:cs="Times New Roman"/>
                <w:color w:val="000000"/>
                <w:sz w:val="14"/>
                <w:szCs w:val="14"/>
              </w:rPr>
            </w:pPr>
            <w:r w:rsidRPr="002F6BEC">
              <w:rPr>
                <w:rFonts w:ascii="Times New Roman" w:hAnsi="Times New Roman" w:cs="Times New Roman"/>
                <w:color w:val="000000"/>
                <w:sz w:val="14"/>
                <w:szCs w:val="14"/>
              </w:rPr>
              <w:t>179 247</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rsidR="003A497B" w:rsidRPr="00895EDB" w:rsidRDefault="003A497B" w:rsidP="003E1809">
            <w:pPr>
              <w:jc w:val="right"/>
              <w:rPr>
                <w:rFonts w:ascii="Times New Roman" w:hAnsi="Times New Roman" w:cs="Times New Roman"/>
                <w:color w:val="000000"/>
                <w:sz w:val="14"/>
                <w:szCs w:val="14"/>
              </w:rPr>
            </w:pPr>
            <w:r w:rsidRPr="00895EDB">
              <w:rPr>
                <w:rFonts w:ascii="Times New Roman" w:hAnsi="Times New Roman" w:cs="Times New Roman"/>
                <w:color w:val="000000"/>
                <w:sz w:val="14"/>
                <w:szCs w:val="14"/>
              </w:rPr>
              <w:t>222 227</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rsidR="003A497B" w:rsidRPr="00BA3E99" w:rsidRDefault="003A497B" w:rsidP="003E1809">
            <w:pPr>
              <w:jc w:val="right"/>
              <w:rPr>
                <w:rFonts w:ascii="Times New Roman" w:hAnsi="Times New Roman" w:cs="Times New Roman"/>
                <w:color w:val="000000"/>
                <w:sz w:val="14"/>
                <w:szCs w:val="14"/>
              </w:rPr>
            </w:pPr>
            <w:r w:rsidRPr="00BA3E99">
              <w:rPr>
                <w:rFonts w:ascii="Times New Roman" w:hAnsi="Times New Roman" w:cs="Times New Roman"/>
                <w:color w:val="000000"/>
                <w:sz w:val="14"/>
                <w:szCs w:val="14"/>
              </w:rPr>
              <w:t>179 247</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BA3E99" w:rsidRDefault="003A497B" w:rsidP="003E1809">
            <w:pPr>
              <w:jc w:val="right"/>
              <w:rPr>
                <w:rFonts w:ascii="Times New Roman" w:hAnsi="Times New Roman" w:cs="Times New Roman"/>
                <w:color w:val="000000"/>
                <w:sz w:val="14"/>
                <w:szCs w:val="14"/>
              </w:rPr>
            </w:pPr>
            <w:r w:rsidRPr="00BA3E99">
              <w:rPr>
                <w:rFonts w:ascii="Times New Roman" w:hAnsi="Times New Roman" w:cs="Times New Roman"/>
                <w:color w:val="000000"/>
                <w:sz w:val="14"/>
                <w:szCs w:val="14"/>
              </w:rPr>
              <w:t>1 000 625</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BA3E99" w:rsidRDefault="003A497B" w:rsidP="003E1809">
            <w:pPr>
              <w:jc w:val="right"/>
              <w:rPr>
                <w:rFonts w:ascii="Times New Roman" w:hAnsi="Times New Roman" w:cs="Times New Roman"/>
                <w:color w:val="000000"/>
                <w:sz w:val="14"/>
                <w:szCs w:val="14"/>
              </w:rPr>
            </w:pPr>
            <w:r w:rsidRPr="00BA3E99">
              <w:rPr>
                <w:rFonts w:ascii="Times New Roman" w:hAnsi="Times New Roman" w:cs="Times New Roman"/>
                <w:color w:val="000000"/>
                <w:sz w:val="14"/>
                <w:szCs w:val="14"/>
              </w:rPr>
              <w:t>179 247</w:t>
            </w:r>
          </w:p>
        </w:tc>
      </w:tr>
      <w:tr w:rsidR="003A497B" w:rsidRPr="00951C93" w:rsidTr="003E1809">
        <w:trPr>
          <w:trHeight w:val="255"/>
        </w:trPr>
        <w:tc>
          <w:tcPr>
            <w:tcW w:w="1382" w:type="pct"/>
            <w:noWrap/>
            <w:vAlign w:val="center"/>
            <w:hideMark/>
          </w:tcPr>
          <w:p w:rsidR="003A497B" w:rsidRPr="00951C93" w:rsidRDefault="003A497B" w:rsidP="003E1809">
            <w:pPr>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kapitálové výdavky 700</w:t>
            </w:r>
          </w:p>
        </w:tc>
        <w:tc>
          <w:tcPr>
            <w:tcW w:w="516" w:type="pct"/>
            <w:shd w:val="clear" w:color="auto" w:fill="auto"/>
            <w:noWrap/>
            <w:vAlign w:val="bottom"/>
            <w:hideMark/>
          </w:tcPr>
          <w:p w:rsidR="003A497B" w:rsidRPr="002F6BEC" w:rsidRDefault="003A497B" w:rsidP="003E1809">
            <w:pPr>
              <w:jc w:val="right"/>
              <w:rPr>
                <w:rFonts w:ascii="Times New Roman" w:hAnsi="Times New Roman" w:cs="Times New Roman"/>
                <w:color w:val="000000"/>
                <w:sz w:val="14"/>
                <w:szCs w:val="14"/>
              </w:rPr>
            </w:pPr>
            <w:r w:rsidRPr="002F6BEC">
              <w:rPr>
                <w:rFonts w:ascii="Times New Roman" w:hAnsi="Times New Roman" w:cs="Times New Roman"/>
                <w:color w:val="000000"/>
                <w:sz w:val="14"/>
                <w:szCs w:val="14"/>
              </w:rPr>
              <w:t>3 930 159</w:t>
            </w:r>
          </w:p>
        </w:tc>
        <w:tc>
          <w:tcPr>
            <w:tcW w:w="517" w:type="pct"/>
            <w:shd w:val="clear" w:color="auto" w:fill="auto"/>
            <w:noWrap/>
            <w:vAlign w:val="bottom"/>
            <w:hideMark/>
          </w:tcPr>
          <w:p w:rsidR="003A497B" w:rsidRPr="002F6BEC" w:rsidRDefault="003A497B" w:rsidP="003E1809">
            <w:pPr>
              <w:jc w:val="right"/>
              <w:rPr>
                <w:rFonts w:ascii="Times New Roman" w:hAnsi="Times New Roman" w:cs="Times New Roman"/>
                <w:color w:val="000000"/>
                <w:sz w:val="14"/>
                <w:szCs w:val="14"/>
              </w:rPr>
            </w:pPr>
            <w:r w:rsidRPr="002F6BEC">
              <w:rPr>
                <w:rFonts w:ascii="Times New Roman" w:hAnsi="Times New Roman" w:cs="Times New Roman"/>
                <w:color w:val="000000"/>
                <w:sz w:val="14"/>
                <w:szCs w:val="14"/>
              </w:rPr>
              <w:t>923 892</w:t>
            </w:r>
          </w:p>
        </w:tc>
        <w:tc>
          <w:tcPr>
            <w:tcW w:w="517" w:type="pct"/>
            <w:shd w:val="clear" w:color="auto" w:fill="auto"/>
            <w:noWrap/>
            <w:vAlign w:val="bottom"/>
            <w:hideMark/>
          </w:tcPr>
          <w:p w:rsidR="003A497B" w:rsidRPr="002F6BEC" w:rsidRDefault="003A497B" w:rsidP="003E1809">
            <w:pPr>
              <w:jc w:val="right"/>
              <w:rPr>
                <w:rFonts w:ascii="Times New Roman" w:hAnsi="Times New Roman" w:cs="Times New Roman"/>
                <w:color w:val="000000"/>
                <w:sz w:val="14"/>
                <w:szCs w:val="14"/>
              </w:rPr>
            </w:pPr>
            <w:r w:rsidRPr="002F6BEC">
              <w:rPr>
                <w:rFonts w:ascii="Times New Roman" w:hAnsi="Times New Roman" w:cs="Times New Roman"/>
                <w:color w:val="000000"/>
                <w:sz w:val="14"/>
                <w:szCs w:val="14"/>
              </w:rPr>
              <w:t>13 180 226</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rsidR="003A497B" w:rsidRPr="00895EDB" w:rsidRDefault="003A497B" w:rsidP="003E1809">
            <w:pPr>
              <w:jc w:val="right"/>
              <w:rPr>
                <w:rFonts w:ascii="Times New Roman" w:hAnsi="Times New Roman" w:cs="Times New Roman"/>
                <w:color w:val="000000"/>
                <w:sz w:val="14"/>
                <w:szCs w:val="14"/>
              </w:rPr>
            </w:pPr>
            <w:r w:rsidRPr="00895EDB">
              <w:rPr>
                <w:rFonts w:ascii="Times New Roman" w:hAnsi="Times New Roman" w:cs="Times New Roman"/>
                <w:color w:val="000000"/>
                <w:sz w:val="14"/>
                <w:szCs w:val="14"/>
              </w:rPr>
              <w:t>13 180 226</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rsidR="003A497B" w:rsidRPr="00BA3E99" w:rsidRDefault="003A497B" w:rsidP="003E1809">
            <w:pPr>
              <w:jc w:val="right"/>
              <w:rPr>
                <w:rFonts w:ascii="Times New Roman" w:hAnsi="Times New Roman" w:cs="Times New Roman"/>
                <w:color w:val="000000"/>
                <w:sz w:val="14"/>
                <w:szCs w:val="14"/>
              </w:rPr>
            </w:pPr>
            <w:r w:rsidRPr="00BA3E99">
              <w:rPr>
                <w:rFonts w:ascii="Times New Roman" w:hAnsi="Times New Roman" w:cs="Times New Roman"/>
                <w:color w:val="000000"/>
                <w:sz w:val="14"/>
                <w:szCs w:val="14"/>
              </w:rPr>
              <w:t>3 416 810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BA3E99" w:rsidRDefault="003A497B" w:rsidP="003E1809">
            <w:pPr>
              <w:jc w:val="right"/>
              <w:rPr>
                <w:rFonts w:ascii="Times New Roman" w:hAnsi="Times New Roman" w:cs="Times New Roman"/>
                <w:color w:val="000000"/>
                <w:sz w:val="14"/>
                <w:szCs w:val="14"/>
              </w:rPr>
            </w:pPr>
            <w:r w:rsidRPr="00BA3E99">
              <w:rPr>
                <w:rFonts w:ascii="Times New Roman" w:hAnsi="Times New Roman" w:cs="Times New Roman"/>
                <w:color w:val="000000"/>
                <w:sz w:val="14"/>
                <w:szCs w:val="14"/>
              </w:rPr>
              <w:t>4 238 310</w:t>
            </w:r>
          </w:p>
        </w:tc>
        <w:tc>
          <w:tcPr>
            <w:tcW w:w="517" w:type="pct"/>
            <w:tcBorders>
              <w:top w:val="nil"/>
              <w:left w:val="nil"/>
              <w:bottom w:val="single" w:sz="4" w:space="0" w:color="auto"/>
              <w:right w:val="single" w:sz="4" w:space="0" w:color="auto"/>
            </w:tcBorders>
            <w:shd w:val="clear" w:color="auto" w:fill="auto"/>
            <w:noWrap/>
            <w:vAlign w:val="bottom"/>
            <w:hideMark/>
          </w:tcPr>
          <w:p w:rsidR="003A497B" w:rsidRPr="00BA3E99" w:rsidRDefault="003A497B" w:rsidP="003E1809">
            <w:pPr>
              <w:jc w:val="right"/>
              <w:rPr>
                <w:rFonts w:ascii="Times New Roman" w:hAnsi="Times New Roman" w:cs="Times New Roman"/>
                <w:color w:val="000000"/>
                <w:sz w:val="14"/>
                <w:szCs w:val="14"/>
              </w:rPr>
            </w:pPr>
            <w:r w:rsidRPr="00BA3E99">
              <w:rPr>
                <w:rFonts w:ascii="Times New Roman" w:hAnsi="Times New Roman" w:cs="Times New Roman"/>
                <w:color w:val="000000"/>
                <w:sz w:val="14"/>
                <w:szCs w:val="14"/>
              </w:rPr>
              <w:t>4 894 310</w:t>
            </w:r>
          </w:p>
        </w:tc>
      </w:tr>
      <w:tr w:rsidR="003A497B" w:rsidRPr="00951C93" w:rsidTr="003E1809">
        <w:trPr>
          <w:trHeight w:val="255"/>
        </w:trPr>
        <w:tc>
          <w:tcPr>
            <w:tcW w:w="1382" w:type="pct"/>
            <w:noWrap/>
            <w:vAlign w:val="center"/>
            <w:hideMark/>
          </w:tcPr>
          <w:p w:rsidR="003A497B" w:rsidRPr="00951C93" w:rsidRDefault="003A497B" w:rsidP="003E1809">
            <w:pPr>
              <w:rPr>
                <w:rFonts w:ascii="Times New Roman" w:hAnsi="Times New Roman" w:cs="Times New Roman"/>
                <w:b/>
                <w:color w:val="000000"/>
                <w:sz w:val="14"/>
                <w:szCs w:val="14"/>
              </w:rPr>
            </w:pPr>
            <w:r w:rsidRPr="00951C93">
              <w:rPr>
                <w:rFonts w:ascii="Times New Roman" w:hAnsi="Times New Roman" w:cs="Times New Roman"/>
                <w:b/>
                <w:color w:val="000000"/>
                <w:sz w:val="14"/>
                <w:szCs w:val="14"/>
              </w:rPr>
              <w:t>presun z minulých rokov</w:t>
            </w:r>
            <w:r>
              <w:rPr>
                <w:rFonts w:ascii="Times New Roman" w:hAnsi="Times New Roman" w:cs="Times New Roman"/>
                <w:b/>
                <w:color w:val="000000"/>
                <w:sz w:val="14"/>
                <w:szCs w:val="14"/>
              </w:rPr>
              <w:t xml:space="preserve"> </w:t>
            </w:r>
            <w:r w:rsidRPr="009C1133">
              <w:rPr>
                <w:rFonts w:ascii="Times New Roman" w:hAnsi="Times New Roman" w:cs="Times New Roman"/>
                <w:b/>
                <w:color w:val="000000"/>
                <w:sz w:val="14"/>
                <w:szCs w:val="14"/>
              </w:rPr>
              <w:t>§</w:t>
            </w:r>
            <w:r>
              <w:rPr>
                <w:rFonts w:ascii="Times New Roman" w:hAnsi="Times New Roman" w:cs="Times New Roman"/>
                <w:b/>
                <w:color w:val="000000"/>
                <w:sz w:val="14"/>
                <w:szCs w:val="14"/>
              </w:rPr>
              <w:t xml:space="preserve"> </w:t>
            </w:r>
            <w:r w:rsidRPr="009C1133">
              <w:rPr>
                <w:rFonts w:ascii="Times New Roman" w:hAnsi="Times New Roman" w:cs="Times New Roman"/>
                <w:b/>
                <w:color w:val="000000"/>
                <w:sz w:val="14"/>
                <w:szCs w:val="14"/>
              </w:rPr>
              <w:t>8 ŠR</w:t>
            </w:r>
          </w:p>
        </w:tc>
        <w:tc>
          <w:tcPr>
            <w:tcW w:w="516" w:type="pct"/>
            <w:shd w:val="clear" w:color="auto" w:fill="auto"/>
            <w:noWrap/>
            <w:vAlign w:val="bottom"/>
            <w:hideMark/>
          </w:tcPr>
          <w:p w:rsidR="003A497B" w:rsidRPr="002F6BEC" w:rsidRDefault="003A497B" w:rsidP="003E1809">
            <w:pPr>
              <w:jc w:val="right"/>
              <w:rPr>
                <w:rFonts w:ascii="Times New Roman" w:hAnsi="Times New Roman" w:cs="Times New Roman"/>
                <w:b/>
                <w:bCs/>
                <w:color w:val="000000"/>
                <w:sz w:val="14"/>
                <w:szCs w:val="14"/>
              </w:rPr>
            </w:pPr>
            <w:r w:rsidRPr="002F6BEC">
              <w:rPr>
                <w:rFonts w:ascii="Times New Roman" w:hAnsi="Times New Roman" w:cs="Times New Roman"/>
                <w:b/>
                <w:bCs/>
                <w:color w:val="000000"/>
                <w:sz w:val="14"/>
                <w:szCs w:val="14"/>
              </w:rPr>
              <w:t>9 502 978</w:t>
            </w:r>
          </w:p>
        </w:tc>
        <w:tc>
          <w:tcPr>
            <w:tcW w:w="517" w:type="pct"/>
            <w:shd w:val="clear" w:color="auto" w:fill="auto"/>
            <w:noWrap/>
            <w:vAlign w:val="bottom"/>
            <w:hideMark/>
          </w:tcPr>
          <w:p w:rsidR="003A497B" w:rsidRPr="002F6BEC" w:rsidRDefault="003A497B" w:rsidP="003E1809">
            <w:pPr>
              <w:jc w:val="right"/>
              <w:rPr>
                <w:rFonts w:ascii="Times New Roman" w:hAnsi="Times New Roman" w:cs="Times New Roman"/>
                <w:b/>
                <w:bCs/>
                <w:color w:val="000000"/>
                <w:sz w:val="14"/>
                <w:szCs w:val="14"/>
              </w:rPr>
            </w:pPr>
            <w:r w:rsidRPr="002F6BEC">
              <w:rPr>
                <w:rFonts w:ascii="Times New Roman" w:hAnsi="Times New Roman" w:cs="Times New Roman"/>
                <w:b/>
                <w:bCs/>
                <w:color w:val="000000"/>
                <w:sz w:val="14"/>
                <w:szCs w:val="14"/>
              </w:rPr>
              <w:t>2 179 431</w:t>
            </w:r>
          </w:p>
        </w:tc>
        <w:tc>
          <w:tcPr>
            <w:tcW w:w="517" w:type="pct"/>
            <w:shd w:val="clear" w:color="auto" w:fill="auto"/>
            <w:noWrap/>
            <w:vAlign w:val="bottom"/>
            <w:hideMark/>
          </w:tcPr>
          <w:p w:rsidR="003A497B" w:rsidRPr="002F6BEC" w:rsidRDefault="003A497B" w:rsidP="003E1809">
            <w:pPr>
              <w:jc w:val="right"/>
              <w:rPr>
                <w:rFonts w:ascii="Times New Roman" w:hAnsi="Times New Roman" w:cs="Times New Roman"/>
                <w:b/>
                <w:bCs/>
                <w:color w:val="000000"/>
                <w:sz w:val="14"/>
                <w:szCs w:val="14"/>
              </w:rPr>
            </w:pPr>
            <w:r w:rsidRPr="002F6BEC">
              <w:rPr>
                <w:rFonts w:ascii="Times New Roman" w:hAnsi="Times New Roman" w:cs="Times New Roman"/>
                <w:b/>
                <w:bCs/>
                <w:color w:val="000000"/>
                <w:sz w:val="14"/>
                <w:szCs w:val="14"/>
              </w:rPr>
              <w:t>0</w:t>
            </w:r>
          </w:p>
        </w:tc>
        <w:tc>
          <w:tcPr>
            <w:tcW w:w="517" w:type="pct"/>
            <w:shd w:val="clear" w:color="auto" w:fill="auto"/>
            <w:noWrap/>
            <w:vAlign w:val="bottom"/>
            <w:hideMark/>
          </w:tcPr>
          <w:p w:rsidR="003A497B" w:rsidRPr="002F6BEC" w:rsidRDefault="003A497B" w:rsidP="003E1809">
            <w:pPr>
              <w:jc w:val="right"/>
              <w:rPr>
                <w:rFonts w:ascii="Times New Roman" w:hAnsi="Times New Roman" w:cs="Times New Roman"/>
                <w:b/>
                <w:bCs/>
                <w:color w:val="000000"/>
                <w:sz w:val="14"/>
                <w:szCs w:val="14"/>
              </w:rPr>
            </w:pPr>
            <w:r w:rsidRPr="002F6BEC">
              <w:rPr>
                <w:rFonts w:ascii="Times New Roman" w:hAnsi="Times New Roman" w:cs="Times New Roman"/>
                <w:b/>
                <w:bCs/>
                <w:color w:val="000000"/>
                <w:sz w:val="14"/>
                <w:szCs w:val="14"/>
              </w:rPr>
              <w:t>0</w:t>
            </w:r>
          </w:p>
        </w:tc>
        <w:tc>
          <w:tcPr>
            <w:tcW w:w="517" w:type="pct"/>
            <w:shd w:val="clear" w:color="auto" w:fill="auto"/>
            <w:noWrap/>
            <w:vAlign w:val="bottom"/>
            <w:hideMark/>
          </w:tcPr>
          <w:p w:rsidR="003A497B" w:rsidRPr="002F6BEC" w:rsidRDefault="003A497B" w:rsidP="003E1809">
            <w:pPr>
              <w:jc w:val="right"/>
              <w:rPr>
                <w:rFonts w:ascii="Times New Roman" w:hAnsi="Times New Roman" w:cs="Times New Roman"/>
                <w:b/>
                <w:bCs/>
                <w:color w:val="000000"/>
                <w:sz w:val="14"/>
                <w:szCs w:val="14"/>
              </w:rPr>
            </w:pPr>
            <w:r w:rsidRPr="002F6BEC">
              <w:rPr>
                <w:rFonts w:ascii="Times New Roman" w:hAnsi="Times New Roman" w:cs="Times New Roman"/>
                <w:b/>
                <w:bCs/>
                <w:color w:val="000000"/>
                <w:sz w:val="14"/>
                <w:szCs w:val="14"/>
              </w:rPr>
              <w:t>0</w:t>
            </w:r>
          </w:p>
        </w:tc>
        <w:tc>
          <w:tcPr>
            <w:tcW w:w="517" w:type="pct"/>
            <w:shd w:val="clear" w:color="auto" w:fill="auto"/>
            <w:noWrap/>
            <w:vAlign w:val="bottom"/>
            <w:hideMark/>
          </w:tcPr>
          <w:p w:rsidR="003A497B" w:rsidRPr="002F6BEC" w:rsidRDefault="003A497B" w:rsidP="003E1809">
            <w:pPr>
              <w:jc w:val="right"/>
              <w:rPr>
                <w:rFonts w:ascii="Times New Roman" w:hAnsi="Times New Roman" w:cs="Times New Roman"/>
                <w:b/>
                <w:bCs/>
                <w:color w:val="000000"/>
                <w:sz w:val="14"/>
                <w:szCs w:val="14"/>
              </w:rPr>
            </w:pPr>
            <w:r w:rsidRPr="002F6BEC">
              <w:rPr>
                <w:rFonts w:ascii="Times New Roman" w:hAnsi="Times New Roman" w:cs="Times New Roman"/>
                <w:b/>
                <w:bCs/>
                <w:color w:val="000000"/>
                <w:sz w:val="14"/>
                <w:szCs w:val="14"/>
              </w:rPr>
              <w:t>0</w:t>
            </w:r>
          </w:p>
        </w:tc>
        <w:tc>
          <w:tcPr>
            <w:tcW w:w="517" w:type="pct"/>
            <w:shd w:val="clear" w:color="auto" w:fill="auto"/>
            <w:noWrap/>
            <w:vAlign w:val="bottom"/>
            <w:hideMark/>
          </w:tcPr>
          <w:p w:rsidR="003A497B" w:rsidRPr="002F6BEC" w:rsidRDefault="003A497B" w:rsidP="003E1809">
            <w:pPr>
              <w:jc w:val="right"/>
              <w:rPr>
                <w:rFonts w:ascii="Times New Roman" w:hAnsi="Times New Roman" w:cs="Times New Roman"/>
                <w:b/>
                <w:bCs/>
                <w:color w:val="000000"/>
                <w:sz w:val="14"/>
                <w:szCs w:val="14"/>
              </w:rPr>
            </w:pPr>
            <w:r w:rsidRPr="002F6BEC">
              <w:rPr>
                <w:rFonts w:ascii="Times New Roman" w:hAnsi="Times New Roman" w:cs="Times New Roman"/>
                <w:b/>
                <w:bCs/>
                <w:color w:val="000000"/>
                <w:sz w:val="14"/>
                <w:szCs w:val="14"/>
              </w:rPr>
              <w:t>0</w:t>
            </w:r>
          </w:p>
        </w:tc>
      </w:tr>
    </w:tbl>
    <w:p w:rsidR="003A497B" w:rsidRDefault="003A497B" w:rsidP="003A497B">
      <w:pPr>
        <w:ind w:firstLine="708"/>
        <w:jc w:val="both"/>
        <w:rPr>
          <w:rFonts w:ascii="Times New Roman" w:hAnsi="Times New Roman" w:cs="Times New Roman"/>
          <w:color w:val="000000"/>
        </w:rPr>
      </w:pPr>
    </w:p>
    <w:p w:rsidR="003A497B" w:rsidRPr="00F978A1" w:rsidRDefault="003A497B" w:rsidP="003A497B">
      <w:pPr>
        <w:ind w:firstLine="708"/>
        <w:jc w:val="both"/>
        <w:rPr>
          <w:rFonts w:ascii="Times New Roman" w:hAnsi="Times New Roman" w:cs="Times New Roman"/>
          <w:color w:val="000000"/>
        </w:rPr>
      </w:pPr>
      <w:r w:rsidRPr="00F978A1">
        <w:rPr>
          <w:rFonts w:ascii="Times New Roman" w:hAnsi="Times New Roman" w:cs="Times New Roman"/>
          <w:color w:val="000000"/>
        </w:rPr>
        <w:t>V roku 201</w:t>
      </w:r>
      <w:r>
        <w:rPr>
          <w:rFonts w:ascii="Times New Roman" w:hAnsi="Times New Roman" w:cs="Times New Roman"/>
          <w:color w:val="000000"/>
        </w:rPr>
        <w:t>9</w:t>
      </w:r>
      <w:r w:rsidRPr="00F978A1">
        <w:rPr>
          <w:rFonts w:ascii="Times New Roman" w:hAnsi="Times New Roman" w:cs="Times New Roman"/>
          <w:color w:val="000000"/>
        </w:rPr>
        <w:t xml:space="preserve"> dosahujú rozpočtované výdavky kapitoly </w:t>
      </w:r>
      <w:r>
        <w:rPr>
          <w:rFonts w:ascii="Times New Roman" w:hAnsi="Times New Roman" w:cs="Times New Roman"/>
          <w:color w:val="000000"/>
        </w:rPr>
        <w:t>31,9</w:t>
      </w:r>
      <w:r w:rsidRPr="00F978A1">
        <w:rPr>
          <w:rFonts w:ascii="Times New Roman" w:hAnsi="Times New Roman" w:cs="Times New Roman"/>
          <w:color w:val="000000"/>
        </w:rPr>
        <w:t xml:space="preserve"> mil. eur, čo je v porovnaní so schváleným rozpočtom roku 201</w:t>
      </w:r>
      <w:r>
        <w:rPr>
          <w:rFonts w:ascii="Times New Roman" w:hAnsi="Times New Roman" w:cs="Times New Roman"/>
          <w:color w:val="000000"/>
        </w:rPr>
        <w:t>8</w:t>
      </w:r>
      <w:r w:rsidRPr="00F978A1">
        <w:rPr>
          <w:rFonts w:ascii="Times New Roman" w:hAnsi="Times New Roman" w:cs="Times New Roman"/>
          <w:color w:val="000000"/>
        </w:rPr>
        <w:t xml:space="preserve"> </w:t>
      </w:r>
      <w:r>
        <w:rPr>
          <w:rFonts w:ascii="Times New Roman" w:hAnsi="Times New Roman" w:cs="Times New Roman"/>
          <w:color w:val="000000"/>
        </w:rPr>
        <w:t>menej</w:t>
      </w:r>
      <w:r w:rsidRPr="00F978A1">
        <w:rPr>
          <w:rFonts w:ascii="Times New Roman" w:hAnsi="Times New Roman" w:cs="Times New Roman"/>
          <w:color w:val="000000"/>
        </w:rPr>
        <w:t xml:space="preserve"> o</w:t>
      </w:r>
      <w:r>
        <w:rPr>
          <w:rFonts w:ascii="Times New Roman" w:hAnsi="Times New Roman" w:cs="Times New Roman"/>
          <w:color w:val="000000"/>
        </w:rPr>
        <w:t> 7,83</w:t>
      </w:r>
      <w:r w:rsidRPr="00F978A1">
        <w:rPr>
          <w:rFonts w:ascii="Times New Roman" w:hAnsi="Times New Roman" w:cs="Times New Roman"/>
          <w:color w:val="000000"/>
        </w:rPr>
        <w:t xml:space="preserve"> mil. eur, t. j. o</w:t>
      </w:r>
      <w:r>
        <w:rPr>
          <w:rFonts w:ascii="Times New Roman" w:hAnsi="Times New Roman" w:cs="Times New Roman"/>
          <w:color w:val="000000"/>
        </w:rPr>
        <w:t> 19,7</w:t>
      </w:r>
      <w:r w:rsidRPr="00F978A1">
        <w:rPr>
          <w:rFonts w:ascii="Times New Roman" w:hAnsi="Times New Roman" w:cs="Times New Roman"/>
          <w:color w:val="000000"/>
        </w:rPr>
        <w:t xml:space="preserve"> %.</w:t>
      </w:r>
    </w:p>
    <w:p w:rsidR="003A497B" w:rsidRPr="00F978A1" w:rsidRDefault="003A497B" w:rsidP="003A497B">
      <w:pPr>
        <w:ind w:firstLine="708"/>
        <w:jc w:val="both"/>
        <w:rPr>
          <w:rFonts w:ascii="Times New Roman" w:hAnsi="Times New Roman" w:cs="Times New Roman"/>
          <w:color w:val="000000"/>
        </w:rPr>
      </w:pPr>
    </w:p>
    <w:p w:rsidR="003A497B" w:rsidRPr="00F978A1" w:rsidRDefault="003A497B" w:rsidP="003A497B">
      <w:pPr>
        <w:ind w:firstLine="708"/>
        <w:jc w:val="both"/>
        <w:rPr>
          <w:rFonts w:ascii="Times New Roman" w:hAnsi="Times New Roman" w:cs="Times New Roman"/>
          <w:color w:val="000000"/>
        </w:rPr>
      </w:pPr>
      <w:r w:rsidRPr="00F978A1">
        <w:rPr>
          <w:rFonts w:ascii="Times New Roman" w:hAnsi="Times New Roman" w:cs="Times New Roman"/>
          <w:color w:val="000000"/>
        </w:rPr>
        <w:t>Objem osobných výdavkov sa na rok 201</w:t>
      </w:r>
      <w:r>
        <w:rPr>
          <w:rFonts w:ascii="Times New Roman" w:hAnsi="Times New Roman" w:cs="Times New Roman"/>
          <w:color w:val="000000"/>
        </w:rPr>
        <w:t>9</w:t>
      </w:r>
      <w:r w:rsidRPr="00F978A1">
        <w:rPr>
          <w:rFonts w:ascii="Times New Roman" w:hAnsi="Times New Roman" w:cs="Times New Roman"/>
          <w:color w:val="000000"/>
        </w:rPr>
        <w:t xml:space="preserve"> rozpočtuje na úrovni 1</w:t>
      </w:r>
      <w:r>
        <w:rPr>
          <w:rFonts w:ascii="Times New Roman" w:hAnsi="Times New Roman" w:cs="Times New Roman"/>
          <w:color w:val="000000"/>
        </w:rPr>
        <w:t>8</w:t>
      </w:r>
      <w:r w:rsidRPr="00F978A1">
        <w:rPr>
          <w:rFonts w:ascii="Times New Roman" w:hAnsi="Times New Roman" w:cs="Times New Roman"/>
          <w:color w:val="000000"/>
        </w:rPr>
        <w:t>,</w:t>
      </w:r>
      <w:r>
        <w:rPr>
          <w:rFonts w:ascii="Times New Roman" w:hAnsi="Times New Roman" w:cs="Times New Roman"/>
          <w:color w:val="000000"/>
        </w:rPr>
        <w:t>1</w:t>
      </w:r>
      <w:r w:rsidRPr="00F978A1">
        <w:rPr>
          <w:rFonts w:ascii="Times New Roman" w:hAnsi="Times New Roman" w:cs="Times New Roman"/>
          <w:color w:val="000000"/>
        </w:rPr>
        <w:t xml:space="preserve"> mil. eur, čo v porovnaní so schváleným rozpočtom roku 201</w:t>
      </w:r>
      <w:r>
        <w:rPr>
          <w:rFonts w:ascii="Times New Roman" w:hAnsi="Times New Roman" w:cs="Times New Roman"/>
          <w:color w:val="000000"/>
        </w:rPr>
        <w:t>8</w:t>
      </w:r>
      <w:r w:rsidRPr="00F978A1">
        <w:rPr>
          <w:rFonts w:ascii="Times New Roman" w:hAnsi="Times New Roman" w:cs="Times New Roman"/>
          <w:color w:val="000000"/>
        </w:rPr>
        <w:t xml:space="preserve"> predstavuje nárast o </w:t>
      </w:r>
      <w:r>
        <w:rPr>
          <w:rFonts w:ascii="Times New Roman" w:hAnsi="Times New Roman" w:cs="Times New Roman"/>
          <w:color w:val="000000"/>
        </w:rPr>
        <w:t>951</w:t>
      </w:r>
      <w:r w:rsidRPr="00F978A1">
        <w:rPr>
          <w:rFonts w:ascii="Times New Roman" w:hAnsi="Times New Roman" w:cs="Times New Roman"/>
          <w:color w:val="000000"/>
        </w:rPr>
        <w:t xml:space="preserve"> tis. eur (</w:t>
      </w:r>
      <w:r>
        <w:rPr>
          <w:rFonts w:ascii="Times New Roman" w:hAnsi="Times New Roman" w:cs="Times New Roman"/>
          <w:color w:val="000000"/>
        </w:rPr>
        <w:t>5,56</w:t>
      </w:r>
      <w:r w:rsidRPr="00F978A1">
        <w:rPr>
          <w:rFonts w:ascii="Times New Roman" w:hAnsi="Times New Roman" w:cs="Times New Roman"/>
          <w:color w:val="000000"/>
        </w:rPr>
        <w:t xml:space="preserve"> %) </w:t>
      </w:r>
      <w:r>
        <w:rPr>
          <w:rFonts w:ascii="Times New Roman" w:hAnsi="Times New Roman" w:cs="Times New Roman"/>
          <w:color w:val="000000"/>
        </w:rPr>
        <w:t xml:space="preserve">najmä </w:t>
      </w:r>
      <w:r w:rsidRPr="00F978A1">
        <w:rPr>
          <w:rFonts w:ascii="Times New Roman" w:hAnsi="Times New Roman" w:cs="Times New Roman"/>
          <w:color w:val="000000"/>
        </w:rPr>
        <w:t xml:space="preserve">z dôvodu </w:t>
      </w:r>
      <w:r>
        <w:rPr>
          <w:rFonts w:ascii="Times New Roman" w:hAnsi="Times New Roman" w:cs="Times New Roman"/>
          <w:color w:val="000000"/>
        </w:rPr>
        <w:t xml:space="preserve">premietnutia </w:t>
      </w:r>
      <w:r w:rsidRPr="00F978A1">
        <w:rPr>
          <w:rFonts w:ascii="Times New Roman" w:hAnsi="Times New Roman" w:cs="Times New Roman"/>
          <w:color w:val="000000"/>
        </w:rPr>
        <w:t>valorizácie platov zamestnancov z roku 201</w:t>
      </w:r>
      <w:r>
        <w:rPr>
          <w:rFonts w:ascii="Times New Roman" w:hAnsi="Times New Roman" w:cs="Times New Roman"/>
          <w:color w:val="000000"/>
        </w:rPr>
        <w:t xml:space="preserve">8 </w:t>
      </w:r>
      <w:r w:rsidRPr="0073641C">
        <w:rPr>
          <w:rFonts w:ascii="Times New Roman" w:hAnsi="Times New Roman" w:cs="Times New Roman"/>
          <w:color w:val="000000"/>
        </w:rPr>
        <w:t>do nasledujúcich rokov</w:t>
      </w:r>
      <w:r>
        <w:rPr>
          <w:rFonts w:ascii="Times New Roman" w:hAnsi="Times New Roman" w:cs="Times New Roman"/>
          <w:color w:val="000000"/>
        </w:rPr>
        <w:t xml:space="preserve"> </w:t>
      </w:r>
      <w:r w:rsidRPr="00FF37D5">
        <w:rPr>
          <w:rFonts w:ascii="Times New Roman" w:hAnsi="Times New Roman" w:cs="Times New Roman"/>
          <w:color w:val="000000"/>
        </w:rPr>
        <w:t>a</w:t>
      </w:r>
      <w:r>
        <w:rPr>
          <w:rFonts w:ascii="Times New Roman" w:hAnsi="Times New Roman" w:cs="Times New Roman"/>
          <w:color w:val="000000"/>
        </w:rPr>
        <w:t xml:space="preserve"> z dôvodu </w:t>
      </w:r>
      <w:r w:rsidRPr="00FF37D5">
        <w:rPr>
          <w:rFonts w:ascii="Times New Roman" w:hAnsi="Times New Roman" w:cs="Times New Roman"/>
          <w:color w:val="000000"/>
        </w:rPr>
        <w:t>zabezpečen</w:t>
      </w:r>
      <w:r>
        <w:rPr>
          <w:rFonts w:ascii="Times New Roman" w:hAnsi="Times New Roman" w:cs="Times New Roman"/>
          <w:color w:val="000000"/>
        </w:rPr>
        <w:t>ia</w:t>
      </w:r>
      <w:r w:rsidRPr="00FF37D5">
        <w:rPr>
          <w:rFonts w:ascii="Times New Roman" w:hAnsi="Times New Roman" w:cs="Times New Roman"/>
          <w:color w:val="000000"/>
        </w:rPr>
        <w:t xml:space="preserve"> obligatórnych platových náležitostí zamestnancov</w:t>
      </w:r>
      <w:r w:rsidRPr="00F978A1">
        <w:rPr>
          <w:rFonts w:ascii="Times New Roman" w:hAnsi="Times New Roman" w:cs="Times New Roman"/>
          <w:color w:val="000000"/>
        </w:rPr>
        <w:t xml:space="preserve">. </w:t>
      </w:r>
    </w:p>
    <w:p w:rsidR="003A497B" w:rsidRPr="00F978A1" w:rsidRDefault="003A497B" w:rsidP="003A497B">
      <w:pPr>
        <w:ind w:firstLine="708"/>
        <w:jc w:val="both"/>
        <w:rPr>
          <w:rFonts w:ascii="Times New Roman" w:hAnsi="Times New Roman" w:cs="Times New Roman"/>
          <w:color w:val="000000"/>
        </w:rPr>
      </w:pPr>
    </w:p>
    <w:p w:rsidR="003A497B" w:rsidRPr="00F978A1" w:rsidRDefault="003A497B" w:rsidP="003A497B">
      <w:pPr>
        <w:ind w:firstLine="708"/>
        <w:jc w:val="both"/>
        <w:rPr>
          <w:rFonts w:ascii="Times New Roman" w:hAnsi="Times New Roman" w:cs="Times New Roman"/>
          <w:color w:val="000000"/>
        </w:rPr>
      </w:pPr>
      <w:r w:rsidRPr="00F978A1">
        <w:rPr>
          <w:rFonts w:ascii="Times New Roman" w:hAnsi="Times New Roman" w:cs="Times New Roman"/>
          <w:color w:val="000000"/>
        </w:rPr>
        <w:t>Výdavky na tovary a služby sa na rok 201</w:t>
      </w:r>
      <w:r>
        <w:rPr>
          <w:rFonts w:ascii="Times New Roman" w:hAnsi="Times New Roman" w:cs="Times New Roman"/>
          <w:color w:val="000000"/>
        </w:rPr>
        <w:t>9</w:t>
      </w:r>
      <w:r w:rsidRPr="00F978A1">
        <w:rPr>
          <w:rFonts w:ascii="Times New Roman" w:hAnsi="Times New Roman" w:cs="Times New Roman"/>
          <w:color w:val="000000"/>
        </w:rPr>
        <w:t xml:space="preserve"> rozpočtujú v objeme </w:t>
      </w:r>
      <w:r>
        <w:rPr>
          <w:rFonts w:ascii="Times New Roman" w:hAnsi="Times New Roman" w:cs="Times New Roman"/>
          <w:color w:val="000000"/>
        </w:rPr>
        <w:t>10</w:t>
      </w:r>
      <w:r w:rsidRPr="00F978A1">
        <w:rPr>
          <w:rFonts w:ascii="Times New Roman" w:hAnsi="Times New Roman" w:cs="Times New Roman"/>
          <w:color w:val="000000"/>
        </w:rPr>
        <w:t>,</w:t>
      </w:r>
      <w:r>
        <w:rPr>
          <w:rFonts w:ascii="Times New Roman" w:hAnsi="Times New Roman" w:cs="Times New Roman"/>
          <w:color w:val="000000"/>
        </w:rPr>
        <w:t>2</w:t>
      </w:r>
      <w:r w:rsidRPr="00F978A1">
        <w:rPr>
          <w:rFonts w:ascii="Times New Roman" w:hAnsi="Times New Roman" w:cs="Times New Roman"/>
          <w:color w:val="000000"/>
        </w:rPr>
        <w:t xml:space="preserve"> mil. eur, čo v porovnaní so schváleným rozpočtom roku 201</w:t>
      </w:r>
      <w:r>
        <w:rPr>
          <w:rFonts w:ascii="Times New Roman" w:hAnsi="Times New Roman" w:cs="Times New Roman"/>
          <w:color w:val="000000"/>
        </w:rPr>
        <w:t>8</w:t>
      </w:r>
      <w:r w:rsidRPr="00F978A1">
        <w:rPr>
          <w:rFonts w:ascii="Times New Roman" w:hAnsi="Times New Roman" w:cs="Times New Roman"/>
          <w:color w:val="000000"/>
        </w:rPr>
        <w:t xml:space="preserve"> predstavuje </w:t>
      </w:r>
      <w:r>
        <w:rPr>
          <w:rFonts w:ascii="Times New Roman" w:hAnsi="Times New Roman" w:cs="Times New Roman"/>
          <w:color w:val="000000"/>
        </w:rPr>
        <w:t>nárast</w:t>
      </w:r>
      <w:r w:rsidRPr="00F978A1">
        <w:rPr>
          <w:rFonts w:ascii="Times New Roman" w:hAnsi="Times New Roman" w:cs="Times New Roman"/>
          <w:color w:val="000000"/>
        </w:rPr>
        <w:t xml:space="preserve"> o</w:t>
      </w:r>
      <w:r>
        <w:rPr>
          <w:rFonts w:ascii="Times New Roman" w:hAnsi="Times New Roman" w:cs="Times New Roman"/>
          <w:color w:val="000000"/>
        </w:rPr>
        <w:t> 987</w:t>
      </w:r>
      <w:r w:rsidRPr="00F978A1">
        <w:rPr>
          <w:rFonts w:ascii="Times New Roman" w:hAnsi="Times New Roman" w:cs="Times New Roman"/>
          <w:color w:val="000000"/>
        </w:rPr>
        <w:t xml:space="preserve"> tis. eur, t. j. </w:t>
      </w:r>
      <w:r w:rsidRPr="00F978A1">
        <w:rPr>
          <w:rFonts w:ascii="Times New Roman" w:hAnsi="Times New Roman" w:cs="Times New Roman"/>
          <w:color w:val="000000"/>
        </w:rPr>
        <w:br/>
        <w:t xml:space="preserve">o </w:t>
      </w:r>
      <w:r>
        <w:rPr>
          <w:rFonts w:ascii="Times New Roman" w:hAnsi="Times New Roman" w:cs="Times New Roman"/>
          <w:color w:val="000000"/>
        </w:rPr>
        <w:t>10,7</w:t>
      </w:r>
      <w:r w:rsidRPr="00F978A1">
        <w:rPr>
          <w:rFonts w:ascii="Times New Roman" w:hAnsi="Times New Roman" w:cs="Times New Roman"/>
          <w:color w:val="000000"/>
        </w:rPr>
        <w:t xml:space="preserve"> %. </w:t>
      </w:r>
      <w:r>
        <w:rPr>
          <w:rFonts w:ascii="Times New Roman" w:hAnsi="Times New Roman" w:cs="Times New Roman"/>
          <w:color w:val="000000"/>
        </w:rPr>
        <w:t>Nárast je spôsobený rozpočtovaním výdavkov na Jarné zasadnutie Parlamentného zhromaždenia Organizácie Severoatlantickej zmluvy v roku 2019</w:t>
      </w:r>
      <w:r w:rsidR="00C473D8">
        <w:rPr>
          <w:rFonts w:ascii="Times New Roman" w:hAnsi="Times New Roman" w:cs="Times New Roman"/>
          <w:color w:val="000000"/>
        </w:rPr>
        <w:t>,</w:t>
      </w:r>
      <w:r>
        <w:rPr>
          <w:rFonts w:ascii="Times New Roman" w:hAnsi="Times New Roman" w:cs="Times New Roman"/>
          <w:color w:val="000000"/>
        </w:rPr>
        <w:t xml:space="preserve"> ako aj zabezpečením výdavkov na údržbu a prevádzku budov.</w:t>
      </w:r>
    </w:p>
    <w:p w:rsidR="003A497B" w:rsidRPr="00F978A1" w:rsidRDefault="003A497B" w:rsidP="003A497B">
      <w:pPr>
        <w:ind w:firstLine="708"/>
        <w:jc w:val="both"/>
        <w:rPr>
          <w:rFonts w:ascii="Times New Roman" w:hAnsi="Times New Roman" w:cs="Times New Roman"/>
          <w:color w:val="000000"/>
        </w:rPr>
      </w:pPr>
    </w:p>
    <w:p w:rsidR="003A497B" w:rsidRPr="00F978A1" w:rsidRDefault="003A497B" w:rsidP="003A497B">
      <w:pPr>
        <w:ind w:firstLine="708"/>
        <w:jc w:val="both"/>
        <w:rPr>
          <w:rFonts w:ascii="Times New Roman" w:hAnsi="Times New Roman" w:cs="Times New Roman"/>
          <w:color w:val="000000"/>
        </w:rPr>
      </w:pPr>
      <w:r w:rsidRPr="00F978A1">
        <w:rPr>
          <w:rFonts w:ascii="Times New Roman" w:hAnsi="Times New Roman" w:cs="Times New Roman"/>
          <w:color w:val="000000"/>
        </w:rPr>
        <w:t xml:space="preserve">V oblasti bežných transferov sa </w:t>
      </w:r>
      <w:r w:rsidR="00632E2F">
        <w:rPr>
          <w:rFonts w:ascii="Times New Roman" w:hAnsi="Times New Roman" w:cs="Times New Roman"/>
          <w:color w:val="000000"/>
        </w:rPr>
        <w:t>na</w:t>
      </w:r>
      <w:r w:rsidRPr="00F978A1">
        <w:rPr>
          <w:rFonts w:ascii="Times New Roman" w:hAnsi="Times New Roman" w:cs="Times New Roman"/>
          <w:color w:val="000000"/>
        </w:rPr>
        <w:t xml:space="preserve"> rok 201</w:t>
      </w:r>
      <w:r>
        <w:rPr>
          <w:rFonts w:ascii="Times New Roman" w:hAnsi="Times New Roman" w:cs="Times New Roman"/>
          <w:color w:val="000000"/>
        </w:rPr>
        <w:t>9</w:t>
      </w:r>
      <w:r w:rsidRPr="00F978A1">
        <w:rPr>
          <w:rFonts w:ascii="Times New Roman" w:hAnsi="Times New Roman" w:cs="Times New Roman"/>
          <w:color w:val="000000"/>
        </w:rPr>
        <w:t xml:space="preserve"> navrhuje suma 179 tis. eur, čo je na úrovni schváleného rozpočtu roku 201</w:t>
      </w:r>
      <w:r>
        <w:rPr>
          <w:rFonts w:ascii="Times New Roman" w:hAnsi="Times New Roman" w:cs="Times New Roman"/>
          <w:color w:val="000000"/>
        </w:rPr>
        <w:t>8</w:t>
      </w:r>
      <w:r w:rsidRPr="00F978A1">
        <w:rPr>
          <w:rFonts w:ascii="Times New Roman" w:hAnsi="Times New Roman" w:cs="Times New Roman"/>
          <w:color w:val="000000"/>
        </w:rPr>
        <w:t xml:space="preserve">.  </w:t>
      </w:r>
    </w:p>
    <w:p w:rsidR="003A497B" w:rsidRPr="00F978A1" w:rsidRDefault="003A497B" w:rsidP="003A497B">
      <w:pPr>
        <w:ind w:firstLine="708"/>
        <w:jc w:val="both"/>
        <w:rPr>
          <w:rFonts w:ascii="Times New Roman" w:hAnsi="Times New Roman" w:cs="Times New Roman"/>
          <w:color w:val="000000"/>
        </w:rPr>
      </w:pPr>
    </w:p>
    <w:p w:rsidR="003A497B" w:rsidRDefault="003A497B" w:rsidP="003A497B">
      <w:pPr>
        <w:ind w:firstLine="708"/>
        <w:jc w:val="both"/>
        <w:rPr>
          <w:rFonts w:ascii="Times New Roman" w:hAnsi="Times New Roman" w:cs="Times New Roman"/>
          <w:color w:val="000000"/>
        </w:rPr>
      </w:pPr>
      <w:r w:rsidRPr="00F978A1">
        <w:rPr>
          <w:rFonts w:ascii="Times New Roman" w:hAnsi="Times New Roman" w:cs="Times New Roman"/>
          <w:color w:val="000000"/>
        </w:rPr>
        <w:t>Kapitálové výdavky na rok 201</w:t>
      </w:r>
      <w:r>
        <w:rPr>
          <w:rFonts w:ascii="Times New Roman" w:hAnsi="Times New Roman" w:cs="Times New Roman"/>
          <w:color w:val="000000"/>
        </w:rPr>
        <w:t>9</w:t>
      </w:r>
      <w:r w:rsidRPr="00F978A1">
        <w:rPr>
          <w:rFonts w:ascii="Times New Roman" w:hAnsi="Times New Roman" w:cs="Times New Roman"/>
          <w:color w:val="000000"/>
        </w:rPr>
        <w:t xml:space="preserve"> vo výške 3</w:t>
      </w:r>
      <w:r>
        <w:rPr>
          <w:rFonts w:ascii="Times New Roman" w:hAnsi="Times New Roman" w:cs="Times New Roman"/>
          <w:color w:val="000000"/>
        </w:rPr>
        <w:t>,42</w:t>
      </w:r>
      <w:r w:rsidRPr="00F978A1">
        <w:rPr>
          <w:rFonts w:ascii="Times New Roman" w:hAnsi="Times New Roman" w:cs="Times New Roman"/>
          <w:color w:val="000000"/>
        </w:rPr>
        <w:t xml:space="preserve"> mil. eur medziročne </w:t>
      </w:r>
      <w:r>
        <w:rPr>
          <w:rFonts w:ascii="Times New Roman" w:hAnsi="Times New Roman" w:cs="Times New Roman"/>
          <w:color w:val="000000"/>
        </w:rPr>
        <w:t>klesajú</w:t>
      </w:r>
      <w:r w:rsidRPr="00F978A1">
        <w:rPr>
          <w:rFonts w:ascii="Times New Roman" w:hAnsi="Times New Roman" w:cs="Times New Roman"/>
          <w:color w:val="000000"/>
        </w:rPr>
        <w:br/>
        <w:t>o </w:t>
      </w:r>
      <w:r>
        <w:rPr>
          <w:rFonts w:ascii="Times New Roman" w:hAnsi="Times New Roman" w:cs="Times New Roman"/>
          <w:color w:val="000000"/>
        </w:rPr>
        <w:t>9,76</w:t>
      </w:r>
      <w:r w:rsidRPr="00F978A1">
        <w:rPr>
          <w:rFonts w:ascii="Times New Roman" w:hAnsi="Times New Roman" w:cs="Times New Roman"/>
          <w:color w:val="000000"/>
        </w:rPr>
        <w:t xml:space="preserve"> mil. eur, t. j. o</w:t>
      </w:r>
      <w:r>
        <w:rPr>
          <w:rFonts w:ascii="Times New Roman" w:hAnsi="Times New Roman" w:cs="Times New Roman"/>
          <w:color w:val="000000"/>
        </w:rPr>
        <w:t> 74,1</w:t>
      </w:r>
      <w:r w:rsidRPr="00F978A1">
        <w:rPr>
          <w:rFonts w:ascii="Times New Roman" w:hAnsi="Times New Roman" w:cs="Times New Roman"/>
          <w:color w:val="000000"/>
        </w:rPr>
        <w:t xml:space="preserve"> %. Výdavky </w:t>
      </w:r>
      <w:r>
        <w:rPr>
          <w:rFonts w:ascii="Times New Roman" w:hAnsi="Times New Roman" w:cs="Times New Roman"/>
          <w:color w:val="000000"/>
        </w:rPr>
        <w:t xml:space="preserve">klesajú </w:t>
      </w:r>
      <w:r w:rsidRPr="00F978A1">
        <w:rPr>
          <w:rFonts w:ascii="Times New Roman" w:hAnsi="Times New Roman" w:cs="Times New Roman"/>
          <w:color w:val="000000"/>
        </w:rPr>
        <w:t xml:space="preserve">v dôsledku </w:t>
      </w:r>
      <w:r>
        <w:rPr>
          <w:rFonts w:ascii="Times New Roman" w:hAnsi="Times New Roman" w:cs="Times New Roman"/>
          <w:color w:val="000000"/>
        </w:rPr>
        <w:t>nižších plánovaných výdavkov na pokračujúcu</w:t>
      </w:r>
      <w:r w:rsidRPr="00F978A1">
        <w:rPr>
          <w:rFonts w:ascii="Times New Roman" w:hAnsi="Times New Roman" w:cs="Times New Roman"/>
          <w:color w:val="000000"/>
        </w:rPr>
        <w:t xml:space="preserve"> rekonštrukci</w:t>
      </w:r>
      <w:r>
        <w:rPr>
          <w:rFonts w:ascii="Times New Roman" w:hAnsi="Times New Roman" w:cs="Times New Roman"/>
          <w:color w:val="000000"/>
        </w:rPr>
        <w:t>u</w:t>
      </w:r>
      <w:r w:rsidRPr="00F978A1">
        <w:rPr>
          <w:rFonts w:ascii="Times New Roman" w:hAnsi="Times New Roman" w:cs="Times New Roman"/>
          <w:color w:val="000000"/>
        </w:rPr>
        <w:t xml:space="preserve"> Bratislavského hradu. Prostriedky budú použité aj na</w:t>
      </w:r>
      <w:r w:rsidRPr="00FC434E">
        <w:rPr>
          <w:rFonts w:ascii="Times New Roman" w:hAnsi="Times New Roman" w:cs="Times New Roman"/>
          <w:color w:val="000000"/>
        </w:rPr>
        <w:t xml:space="preserve"> </w:t>
      </w:r>
      <w:r w:rsidRPr="00F978A1">
        <w:rPr>
          <w:rFonts w:ascii="Times New Roman" w:hAnsi="Times New Roman" w:cs="Times New Roman"/>
          <w:color w:val="000000"/>
        </w:rPr>
        <w:t>rekonštrukciu</w:t>
      </w:r>
      <w:r w:rsidRPr="00FC434E">
        <w:rPr>
          <w:rFonts w:ascii="Times New Roman" w:hAnsi="Times New Roman" w:cs="Times New Roman"/>
          <w:color w:val="000000"/>
        </w:rPr>
        <w:t xml:space="preserve"> </w:t>
      </w:r>
      <w:r>
        <w:rPr>
          <w:rFonts w:ascii="Times New Roman" w:hAnsi="Times New Roman" w:cs="Times New Roman"/>
          <w:color w:val="000000"/>
        </w:rPr>
        <w:t xml:space="preserve">a </w:t>
      </w:r>
      <w:r w:rsidRPr="00F978A1">
        <w:rPr>
          <w:rFonts w:ascii="Times New Roman" w:hAnsi="Times New Roman" w:cs="Times New Roman"/>
          <w:color w:val="000000"/>
        </w:rPr>
        <w:t xml:space="preserve">modernizáciu softvéru, </w:t>
      </w:r>
      <w:r>
        <w:rPr>
          <w:rFonts w:ascii="Times New Roman" w:hAnsi="Times New Roman" w:cs="Times New Roman"/>
          <w:color w:val="000000"/>
        </w:rPr>
        <w:t xml:space="preserve">nákup prevádzkových strojov a </w:t>
      </w:r>
      <w:r w:rsidRPr="00F978A1">
        <w:rPr>
          <w:rFonts w:ascii="Times New Roman" w:hAnsi="Times New Roman" w:cs="Times New Roman"/>
          <w:color w:val="000000"/>
        </w:rPr>
        <w:t>nákup výpočtovej techniky.</w:t>
      </w:r>
    </w:p>
    <w:p w:rsidR="003A497B" w:rsidRPr="00912A7B" w:rsidRDefault="003A497B" w:rsidP="003A497B">
      <w:pPr>
        <w:pStyle w:val="Nadpis5"/>
        <w:pBdr>
          <w:bottom w:val="single" w:sz="4" w:space="1" w:color="auto"/>
        </w:pBdr>
        <w:ind w:left="0"/>
        <w:rPr>
          <w:i w:val="0"/>
          <w:sz w:val="24"/>
          <w:lang w:eastAsia="sk-SK"/>
        </w:rPr>
      </w:pPr>
      <w:bookmarkStart w:id="231" w:name="_Toc494470104"/>
      <w:bookmarkStart w:id="232" w:name="_Toc494472280"/>
      <w:bookmarkStart w:id="233" w:name="_Toc526267705"/>
      <w:r w:rsidRPr="00912A7B">
        <w:rPr>
          <w:i w:val="0"/>
          <w:sz w:val="24"/>
          <w:lang w:eastAsia="sk-SK"/>
        </w:rPr>
        <w:t>Kancelária prezidenta SR</w:t>
      </w:r>
      <w:bookmarkEnd w:id="231"/>
      <w:bookmarkEnd w:id="232"/>
      <w:bookmarkEnd w:id="233"/>
    </w:p>
    <w:tbl>
      <w:tblPr>
        <w:tblW w:w="5000" w:type="pct"/>
        <w:tblCellMar>
          <w:left w:w="70" w:type="dxa"/>
          <w:right w:w="70" w:type="dxa"/>
        </w:tblCellMar>
        <w:tblLook w:val="04A0" w:firstRow="1" w:lastRow="0" w:firstColumn="1" w:lastColumn="0" w:noHBand="0" w:noVBand="1"/>
      </w:tblPr>
      <w:tblGrid>
        <w:gridCol w:w="2534"/>
        <w:gridCol w:w="926"/>
        <w:gridCol w:w="925"/>
        <w:gridCol w:w="925"/>
        <w:gridCol w:w="925"/>
        <w:gridCol w:w="925"/>
        <w:gridCol w:w="925"/>
        <w:gridCol w:w="987"/>
      </w:tblGrid>
      <w:tr w:rsidR="003A497B" w:rsidRPr="001454E9" w:rsidTr="003E1809">
        <w:trPr>
          <w:trHeight w:val="240"/>
        </w:trPr>
        <w:tc>
          <w:tcPr>
            <w:tcW w:w="1396" w:type="pct"/>
            <w:tcBorders>
              <w:top w:val="nil"/>
              <w:left w:val="nil"/>
              <w:bottom w:val="nil"/>
              <w:right w:val="nil"/>
            </w:tcBorders>
            <w:shd w:val="clear" w:color="auto" w:fill="auto"/>
            <w:noWrap/>
            <w:vAlign w:val="bottom"/>
            <w:hideMark/>
          </w:tcPr>
          <w:p w:rsidR="003A497B" w:rsidRPr="001454E9" w:rsidRDefault="003A497B" w:rsidP="003E1809">
            <w:pPr>
              <w:rPr>
                <w:rFonts w:ascii="Arial Narrow" w:hAnsi="Arial Narrow"/>
                <w:color w:val="000000"/>
                <w:sz w:val="20"/>
                <w:szCs w:val="20"/>
              </w:rPr>
            </w:pPr>
          </w:p>
        </w:tc>
        <w:tc>
          <w:tcPr>
            <w:tcW w:w="510" w:type="pct"/>
            <w:tcBorders>
              <w:top w:val="nil"/>
              <w:left w:val="nil"/>
              <w:bottom w:val="nil"/>
              <w:right w:val="nil"/>
            </w:tcBorders>
            <w:shd w:val="clear" w:color="auto" w:fill="auto"/>
            <w:noWrap/>
            <w:vAlign w:val="bottom"/>
            <w:hideMark/>
          </w:tcPr>
          <w:p w:rsidR="003A497B" w:rsidRPr="001454E9" w:rsidRDefault="003A497B" w:rsidP="003E1809">
            <w:pPr>
              <w:rPr>
                <w:rFonts w:ascii="Arial Narrow" w:hAnsi="Arial Narrow"/>
                <w:color w:val="000000"/>
                <w:sz w:val="20"/>
                <w:szCs w:val="20"/>
              </w:rPr>
            </w:pPr>
          </w:p>
        </w:tc>
        <w:tc>
          <w:tcPr>
            <w:tcW w:w="510" w:type="pct"/>
            <w:tcBorders>
              <w:top w:val="nil"/>
              <w:left w:val="nil"/>
              <w:bottom w:val="nil"/>
              <w:right w:val="nil"/>
            </w:tcBorders>
            <w:shd w:val="clear" w:color="auto" w:fill="auto"/>
            <w:noWrap/>
            <w:vAlign w:val="bottom"/>
            <w:hideMark/>
          </w:tcPr>
          <w:p w:rsidR="003A497B" w:rsidRPr="001454E9" w:rsidRDefault="003A497B" w:rsidP="003E1809">
            <w:pPr>
              <w:rPr>
                <w:rFonts w:ascii="Arial Narrow" w:hAnsi="Arial Narrow"/>
                <w:color w:val="000000"/>
                <w:sz w:val="20"/>
                <w:szCs w:val="20"/>
              </w:rPr>
            </w:pPr>
          </w:p>
        </w:tc>
        <w:tc>
          <w:tcPr>
            <w:tcW w:w="510" w:type="pct"/>
            <w:tcBorders>
              <w:top w:val="nil"/>
              <w:left w:val="nil"/>
              <w:bottom w:val="nil"/>
              <w:right w:val="nil"/>
            </w:tcBorders>
            <w:shd w:val="clear" w:color="auto" w:fill="auto"/>
            <w:noWrap/>
            <w:vAlign w:val="bottom"/>
            <w:hideMark/>
          </w:tcPr>
          <w:p w:rsidR="003A497B" w:rsidRPr="001454E9" w:rsidRDefault="003A497B" w:rsidP="003E1809">
            <w:pPr>
              <w:rPr>
                <w:rFonts w:ascii="Arial Narrow" w:hAnsi="Arial Narrow"/>
                <w:color w:val="000000"/>
                <w:sz w:val="20"/>
                <w:szCs w:val="20"/>
              </w:rPr>
            </w:pPr>
          </w:p>
        </w:tc>
        <w:tc>
          <w:tcPr>
            <w:tcW w:w="510" w:type="pct"/>
            <w:tcBorders>
              <w:top w:val="nil"/>
              <w:left w:val="nil"/>
              <w:bottom w:val="nil"/>
              <w:right w:val="nil"/>
            </w:tcBorders>
            <w:shd w:val="clear" w:color="auto" w:fill="auto"/>
            <w:noWrap/>
            <w:vAlign w:val="bottom"/>
            <w:hideMark/>
          </w:tcPr>
          <w:p w:rsidR="003A497B" w:rsidRPr="001454E9" w:rsidRDefault="003A497B" w:rsidP="003E1809">
            <w:pPr>
              <w:rPr>
                <w:rFonts w:ascii="Arial Narrow" w:hAnsi="Arial Narrow"/>
                <w:color w:val="000000"/>
                <w:sz w:val="20"/>
                <w:szCs w:val="20"/>
              </w:rPr>
            </w:pPr>
          </w:p>
        </w:tc>
        <w:tc>
          <w:tcPr>
            <w:tcW w:w="510" w:type="pct"/>
            <w:tcBorders>
              <w:top w:val="nil"/>
              <w:left w:val="nil"/>
              <w:bottom w:val="nil"/>
              <w:right w:val="nil"/>
            </w:tcBorders>
            <w:shd w:val="clear" w:color="auto" w:fill="auto"/>
            <w:hideMark/>
          </w:tcPr>
          <w:p w:rsidR="003A497B" w:rsidRPr="001454E9" w:rsidRDefault="003A497B" w:rsidP="003E1809">
            <w:pPr>
              <w:jc w:val="right"/>
              <w:rPr>
                <w:rFonts w:ascii="Arial Narrow" w:hAnsi="Arial Narrow"/>
                <w:color w:val="000000"/>
                <w:sz w:val="20"/>
                <w:szCs w:val="20"/>
              </w:rPr>
            </w:pPr>
          </w:p>
        </w:tc>
        <w:tc>
          <w:tcPr>
            <w:tcW w:w="510" w:type="pct"/>
            <w:tcBorders>
              <w:top w:val="nil"/>
              <w:left w:val="nil"/>
              <w:bottom w:val="nil"/>
              <w:right w:val="nil"/>
            </w:tcBorders>
            <w:shd w:val="clear" w:color="auto" w:fill="auto"/>
            <w:vAlign w:val="bottom"/>
            <w:hideMark/>
          </w:tcPr>
          <w:p w:rsidR="003A497B" w:rsidRPr="001454E9" w:rsidRDefault="003A497B" w:rsidP="003E1809">
            <w:pPr>
              <w:jc w:val="right"/>
              <w:rPr>
                <w:rFonts w:ascii="Arial Narrow" w:hAnsi="Arial Narrow"/>
                <w:color w:val="000000"/>
                <w:sz w:val="20"/>
                <w:szCs w:val="20"/>
              </w:rPr>
            </w:pPr>
          </w:p>
        </w:tc>
        <w:tc>
          <w:tcPr>
            <w:tcW w:w="544" w:type="pct"/>
            <w:tcBorders>
              <w:top w:val="nil"/>
              <w:left w:val="nil"/>
              <w:bottom w:val="nil"/>
              <w:right w:val="nil"/>
            </w:tcBorders>
            <w:shd w:val="clear" w:color="auto" w:fill="auto"/>
            <w:noWrap/>
            <w:vAlign w:val="bottom"/>
            <w:hideMark/>
          </w:tcPr>
          <w:p w:rsidR="003A497B" w:rsidRPr="009C2A9F" w:rsidRDefault="003A497B" w:rsidP="003E1809">
            <w:pPr>
              <w:jc w:val="right"/>
              <w:rPr>
                <w:rFonts w:ascii="Arial Narrow" w:hAnsi="Arial Narrow"/>
                <w:color w:val="000000"/>
                <w:sz w:val="16"/>
                <w:szCs w:val="16"/>
              </w:rPr>
            </w:pPr>
          </w:p>
        </w:tc>
      </w:tr>
      <w:tr w:rsidR="003A497B" w:rsidRPr="001454E9" w:rsidTr="003E1809">
        <w:trPr>
          <w:trHeight w:val="259"/>
        </w:trPr>
        <w:tc>
          <w:tcPr>
            <w:tcW w:w="1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4C38A7" w:rsidRDefault="003A497B" w:rsidP="003E1809">
            <w:pPr>
              <w:rPr>
                <w:rFonts w:ascii="Times New Roman" w:hAnsi="Times New Roman" w:cs="Times New Roman"/>
                <w:b/>
                <w:bCs/>
                <w:color w:val="000000"/>
                <w:sz w:val="14"/>
                <w:szCs w:val="14"/>
              </w:rPr>
            </w:pPr>
            <w:r w:rsidRPr="004C38A7">
              <w:rPr>
                <w:rFonts w:ascii="Times New Roman" w:hAnsi="Times New Roman" w:cs="Times New Roman"/>
                <w:b/>
                <w:bCs/>
                <w:color w:val="000000"/>
                <w:sz w:val="14"/>
                <w:szCs w:val="14"/>
              </w:rPr>
              <w:t> v eurách</w:t>
            </w:r>
          </w:p>
        </w:tc>
        <w:tc>
          <w:tcPr>
            <w:tcW w:w="51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3A497B" w:rsidRPr="004C38A7" w:rsidRDefault="003A497B" w:rsidP="003E1809">
            <w:pPr>
              <w:jc w:val="center"/>
              <w:rPr>
                <w:rFonts w:ascii="Times New Roman" w:hAnsi="Times New Roman" w:cs="Times New Roman"/>
                <w:b/>
                <w:bCs/>
                <w:color w:val="000000"/>
                <w:sz w:val="14"/>
                <w:szCs w:val="14"/>
              </w:rPr>
            </w:pPr>
            <w:r w:rsidRPr="004C38A7">
              <w:rPr>
                <w:rFonts w:ascii="Times New Roman" w:hAnsi="Times New Roman" w:cs="Times New Roman"/>
                <w:b/>
                <w:bCs/>
                <w:color w:val="000000"/>
                <w:sz w:val="14"/>
                <w:szCs w:val="14"/>
              </w:rPr>
              <w:t>2016 S</w:t>
            </w:r>
          </w:p>
        </w:tc>
        <w:tc>
          <w:tcPr>
            <w:tcW w:w="51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3A497B" w:rsidRPr="004C38A7" w:rsidRDefault="003A497B" w:rsidP="003E1809">
            <w:pPr>
              <w:jc w:val="center"/>
              <w:rPr>
                <w:rFonts w:ascii="Times New Roman" w:hAnsi="Times New Roman" w:cs="Times New Roman"/>
                <w:b/>
                <w:bCs/>
                <w:color w:val="000000"/>
                <w:sz w:val="14"/>
                <w:szCs w:val="14"/>
                <w:highlight w:val="yellow"/>
              </w:rPr>
            </w:pPr>
            <w:r w:rsidRPr="004C38A7">
              <w:rPr>
                <w:rFonts w:ascii="Times New Roman" w:hAnsi="Times New Roman" w:cs="Times New Roman"/>
                <w:b/>
                <w:bCs/>
                <w:color w:val="000000"/>
                <w:sz w:val="14"/>
                <w:szCs w:val="14"/>
              </w:rPr>
              <w:t xml:space="preserve">2017 S </w:t>
            </w:r>
          </w:p>
        </w:tc>
        <w:tc>
          <w:tcPr>
            <w:tcW w:w="51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3A497B" w:rsidRPr="004C38A7" w:rsidRDefault="003A497B" w:rsidP="003E1809">
            <w:pPr>
              <w:jc w:val="center"/>
              <w:rPr>
                <w:rFonts w:ascii="Times New Roman" w:hAnsi="Times New Roman" w:cs="Times New Roman"/>
                <w:b/>
                <w:bCs/>
                <w:color w:val="000000"/>
                <w:sz w:val="14"/>
                <w:szCs w:val="14"/>
              </w:rPr>
            </w:pPr>
            <w:r w:rsidRPr="004C38A7">
              <w:rPr>
                <w:rFonts w:ascii="Times New Roman" w:hAnsi="Times New Roman" w:cs="Times New Roman"/>
                <w:b/>
                <w:bCs/>
                <w:color w:val="000000"/>
                <w:sz w:val="14"/>
                <w:szCs w:val="14"/>
              </w:rPr>
              <w:t>2018 R</w:t>
            </w:r>
          </w:p>
        </w:tc>
        <w:tc>
          <w:tcPr>
            <w:tcW w:w="51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3A497B" w:rsidRPr="004C38A7" w:rsidRDefault="003A497B" w:rsidP="003E1809">
            <w:pPr>
              <w:jc w:val="center"/>
              <w:rPr>
                <w:rFonts w:ascii="Times New Roman" w:hAnsi="Times New Roman" w:cs="Times New Roman"/>
                <w:b/>
                <w:bCs/>
                <w:color w:val="000000"/>
                <w:sz w:val="14"/>
                <w:szCs w:val="14"/>
              </w:rPr>
            </w:pPr>
            <w:r w:rsidRPr="004C38A7">
              <w:rPr>
                <w:rFonts w:ascii="Times New Roman" w:hAnsi="Times New Roman" w:cs="Times New Roman"/>
                <w:b/>
                <w:bCs/>
                <w:color w:val="000000"/>
                <w:sz w:val="14"/>
                <w:szCs w:val="14"/>
              </w:rPr>
              <w:t>2018 OS</w:t>
            </w:r>
          </w:p>
        </w:tc>
        <w:tc>
          <w:tcPr>
            <w:tcW w:w="51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3A497B" w:rsidRPr="004C38A7" w:rsidRDefault="003A497B" w:rsidP="003E1809">
            <w:pPr>
              <w:jc w:val="center"/>
              <w:rPr>
                <w:rFonts w:ascii="Times New Roman" w:hAnsi="Times New Roman" w:cs="Times New Roman"/>
                <w:b/>
                <w:bCs/>
                <w:color w:val="000000"/>
                <w:sz w:val="14"/>
                <w:szCs w:val="14"/>
              </w:rPr>
            </w:pPr>
            <w:r w:rsidRPr="004C38A7">
              <w:rPr>
                <w:rFonts w:ascii="Times New Roman" w:hAnsi="Times New Roman" w:cs="Times New Roman"/>
                <w:b/>
                <w:bCs/>
                <w:color w:val="000000"/>
                <w:sz w:val="14"/>
                <w:szCs w:val="14"/>
              </w:rPr>
              <w:t>2019 N</w:t>
            </w:r>
          </w:p>
        </w:tc>
        <w:tc>
          <w:tcPr>
            <w:tcW w:w="51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3A497B" w:rsidRPr="004C38A7" w:rsidRDefault="003A497B" w:rsidP="003E1809">
            <w:pPr>
              <w:jc w:val="center"/>
              <w:rPr>
                <w:rFonts w:ascii="Times New Roman" w:hAnsi="Times New Roman" w:cs="Times New Roman"/>
                <w:b/>
                <w:bCs/>
                <w:color w:val="000000"/>
                <w:sz w:val="14"/>
                <w:szCs w:val="14"/>
              </w:rPr>
            </w:pPr>
            <w:r w:rsidRPr="004C38A7">
              <w:rPr>
                <w:rFonts w:ascii="Times New Roman" w:hAnsi="Times New Roman" w:cs="Times New Roman"/>
                <w:b/>
                <w:bCs/>
                <w:color w:val="000000"/>
                <w:sz w:val="14"/>
                <w:szCs w:val="14"/>
              </w:rPr>
              <w:t>2020 N</w:t>
            </w:r>
          </w:p>
        </w:tc>
        <w:tc>
          <w:tcPr>
            <w:tcW w:w="54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3A497B" w:rsidRPr="004C38A7" w:rsidRDefault="003A497B" w:rsidP="003E1809">
            <w:pPr>
              <w:jc w:val="center"/>
              <w:rPr>
                <w:rFonts w:ascii="Times New Roman" w:hAnsi="Times New Roman" w:cs="Times New Roman"/>
                <w:b/>
                <w:bCs/>
                <w:color w:val="000000"/>
                <w:sz w:val="14"/>
                <w:szCs w:val="14"/>
              </w:rPr>
            </w:pPr>
            <w:r w:rsidRPr="004C38A7">
              <w:rPr>
                <w:rFonts w:ascii="Times New Roman" w:hAnsi="Times New Roman" w:cs="Times New Roman"/>
                <w:b/>
                <w:bCs/>
                <w:color w:val="000000"/>
                <w:sz w:val="14"/>
                <w:szCs w:val="14"/>
              </w:rPr>
              <w:t>2021 N</w:t>
            </w:r>
          </w:p>
        </w:tc>
      </w:tr>
      <w:tr w:rsidR="003A497B" w:rsidRPr="001454E9" w:rsidTr="003E1809">
        <w:trPr>
          <w:trHeight w:val="259"/>
        </w:trPr>
        <w:tc>
          <w:tcPr>
            <w:tcW w:w="1396"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3A497B" w:rsidRPr="004C38A7" w:rsidRDefault="003A497B" w:rsidP="003E1809">
            <w:pPr>
              <w:rPr>
                <w:rFonts w:ascii="Times New Roman" w:hAnsi="Times New Roman" w:cs="Times New Roman"/>
                <w:b/>
                <w:bCs/>
                <w:color w:val="000000"/>
                <w:sz w:val="14"/>
                <w:szCs w:val="14"/>
              </w:rPr>
            </w:pPr>
            <w:r w:rsidRPr="004C38A7">
              <w:rPr>
                <w:rFonts w:ascii="Times New Roman" w:hAnsi="Times New Roman" w:cs="Times New Roman"/>
                <w:b/>
                <w:bCs/>
                <w:color w:val="000000"/>
                <w:sz w:val="14"/>
                <w:szCs w:val="14"/>
              </w:rPr>
              <w:t>Zdroje príslušnej kapitoly vrátane 72e</w:t>
            </w:r>
          </w:p>
        </w:tc>
        <w:tc>
          <w:tcPr>
            <w:tcW w:w="510" w:type="pct"/>
            <w:tcBorders>
              <w:top w:val="nil"/>
              <w:left w:val="nil"/>
              <w:bottom w:val="single" w:sz="4" w:space="0" w:color="auto"/>
              <w:right w:val="single" w:sz="4" w:space="0" w:color="auto"/>
            </w:tcBorders>
            <w:shd w:val="clear" w:color="auto" w:fill="BFBFBF" w:themeFill="background1" w:themeFillShade="BF"/>
            <w:noWrap/>
            <w:vAlign w:val="bottom"/>
          </w:tcPr>
          <w:p w:rsidR="003A497B" w:rsidRPr="004C38A7" w:rsidRDefault="003A497B" w:rsidP="003E1809">
            <w:pPr>
              <w:jc w:val="right"/>
              <w:rPr>
                <w:rFonts w:ascii="Times New Roman" w:hAnsi="Times New Roman" w:cs="Times New Roman"/>
                <w:b/>
                <w:bCs/>
                <w:sz w:val="14"/>
                <w:szCs w:val="14"/>
              </w:rPr>
            </w:pPr>
            <w:r w:rsidRPr="004C38A7">
              <w:rPr>
                <w:rFonts w:ascii="Times New Roman" w:hAnsi="Times New Roman" w:cs="Times New Roman"/>
                <w:b/>
                <w:bCs/>
                <w:sz w:val="14"/>
                <w:szCs w:val="14"/>
              </w:rPr>
              <w:t>4 371 200</w:t>
            </w:r>
          </w:p>
        </w:tc>
        <w:tc>
          <w:tcPr>
            <w:tcW w:w="510" w:type="pct"/>
            <w:tcBorders>
              <w:top w:val="nil"/>
              <w:left w:val="nil"/>
              <w:bottom w:val="single" w:sz="4" w:space="0" w:color="auto"/>
              <w:right w:val="single" w:sz="4" w:space="0" w:color="auto"/>
            </w:tcBorders>
            <w:shd w:val="clear" w:color="auto" w:fill="BFBFBF" w:themeFill="background1" w:themeFillShade="BF"/>
            <w:noWrap/>
            <w:vAlign w:val="bottom"/>
          </w:tcPr>
          <w:p w:rsidR="003A497B" w:rsidRPr="004C38A7" w:rsidRDefault="003A497B" w:rsidP="003E1809">
            <w:pPr>
              <w:jc w:val="right"/>
              <w:rPr>
                <w:rFonts w:ascii="Times New Roman" w:hAnsi="Times New Roman" w:cs="Times New Roman"/>
                <w:b/>
                <w:bCs/>
                <w:sz w:val="14"/>
                <w:szCs w:val="14"/>
              </w:rPr>
            </w:pPr>
            <w:r w:rsidRPr="004C38A7">
              <w:rPr>
                <w:rFonts w:ascii="Times New Roman" w:hAnsi="Times New Roman" w:cs="Times New Roman"/>
                <w:b/>
                <w:bCs/>
                <w:sz w:val="14"/>
                <w:szCs w:val="14"/>
              </w:rPr>
              <w:t>5 940 033</w:t>
            </w:r>
          </w:p>
        </w:tc>
        <w:tc>
          <w:tcPr>
            <w:tcW w:w="510" w:type="pct"/>
            <w:tcBorders>
              <w:top w:val="nil"/>
              <w:left w:val="nil"/>
              <w:bottom w:val="single" w:sz="4" w:space="0" w:color="auto"/>
              <w:right w:val="single" w:sz="4" w:space="0" w:color="auto"/>
            </w:tcBorders>
            <w:shd w:val="clear" w:color="auto" w:fill="BFBFBF" w:themeFill="background1" w:themeFillShade="BF"/>
            <w:noWrap/>
            <w:vAlign w:val="bottom"/>
          </w:tcPr>
          <w:p w:rsidR="003A497B" w:rsidRPr="004C38A7" w:rsidRDefault="003A497B" w:rsidP="003E1809">
            <w:pPr>
              <w:jc w:val="right"/>
              <w:rPr>
                <w:rFonts w:ascii="Times New Roman" w:hAnsi="Times New Roman" w:cs="Times New Roman"/>
                <w:b/>
                <w:bCs/>
                <w:sz w:val="14"/>
                <w:szCs w:val="14"/>
              </w:rPr>
            </w:pPr>
            <w:r w:rsidRPr="004C38A7">
              <w:rPr>
                <w:rFonts w:ascii="Times New Roman" w:hAnsi="Times New Roman" w:cs="Times New Roman"/>
                <w:b/>
                <w:bCs/>
                <w:sz w:val="14"/>
                <w:szCs w:val="14"/>
              </w:rPr>
              <w:t>5 094 867</w:t>
            </w:r>
          </w:p>
        </w:tc>
        <w:tc>
          <w:tcPr>
            <w:tcW w:w="510"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A497B" w:rsidRPr="00E32E0F" w:rsidRDefault="003A497B" w:rsidP="003E1809">
            <w:pPr>
              <w:jc w:val="right"/>
              <w:rPr>
                <w:rFonts w:ascii="Times New Roman" w:hAnsi="Times New Roman" w:cs="Times New Roman"/>
                <w:b/>
                <w:color w:val="000000"/>
                <w:sz w:val="14"/>
                <w:szCs w:val="14"/>
                <w:highlight w:val="yellow"/>
              </w:rPr>
            </w:pPr>
            <w:r w:rsidRPr="000F3EE1">
              <w:rPr>
                <w:rFonts w:ascii="Times New Roman" w:hAnsi="Times New Roman" w:cs="Times New Roman"/>
                <w:b/>
                <w:color w:val="000000"/>
                <w:sz w:val="14"/>
                <w:szCs w:val="14"/>
              </w:rPr>
              <w:t>5 018 784</w:t>
            </w:r>
          </w:p>
        </w:tc>
        <w:tc>
          <w:tcPr>
            <w:tcW w:w="510" w:type="pct"/>
            <w:tcBorders>
              <w:top w:val="nil"/>
              <w:left w:val="nil"/>
              <w:bottom w:val="single" w:sz="4" w:space="0" w:color="auto"/>
              <w:right w:val="single" w:sz="4" w:space="0" w:color="auto"/>
            </w:tcBorders>
            <w:shd w:val="clear" w:color="auto" w:fill="BFBFBF" w:themeFill="background1" w:themeFillShade="BF"/>
            <w:noWrap/>
            <w:vAlign w:val="bottom"/>
          </w:tcPr>
          <w:p w:rsidR="003A497B" w:rsidRPr="004C38A7" w:rsidRDefault="003A497B" w:rsidP="003E1809">
            <w:pPr>
              <w:jc w:val="right"/>
              <w:rPr>
                <w:rFonts w:ascii="Times New Roman" w:hAnsi="Times New Roman" w:cs="Times New Roman"/>
                <w:b/>
                <w:bCs/>
                <w:sz w:val="14"/>
                <w:szCs w:val="14"/>
              </w:rPr>
            </w:pPr>
            <w:r w:rsidRPr="004C38A7">
              <w:rPr>
                <w:rFonts w:ascii="Times New Roman" w:hAnsi="Times New Roman" w:cs="Times New Roman"/>
                <w:b/>
                <w:bCs/>
                <w:sz w:val="14"/>
                <w:szCs w:val="14"/>
              </w:rPr>
              <w:t>4 87</w:t>
            </w:r>
            <w:r>
              <w:rPr>
                <w:rFonts w:ascii="Times New Roman" w:hAnsi="Times New Roman" w:cs="Times New Roman"/>
                <w:b/>
                <w:bCs/>
                <w:sz w:val="14"/>
                <w:szCs w:val="14"/>
              </w:rPr>
              <w:t>4</w:t>
            </w:r>
            <w:r w:rsidRPr="004C38A7">
              <w:rPr>
                <w:rFonts w:ascii="Times New Roman" w:hAnsi="Times New Roman" w:cs="Times New Roman"/>
                <w:b/>
                <w:bCs/>
                <w:sz w:val="14"/>
                <w:szCs w:val="14"/>
              </w:rPr>
              <w:t xml:space="preserve"> 061</w:t>
            </w:r>
          </w:p>
        </w:tc>
        <w:tc>
          <w:tcPr>
            <w:tcW w:w="510" w:type="pct"/>
            <w:tcBorders>
              <w:top w:val="nil"/>
              <w:left w:val="nil"/>
              <w:bottom w:val="single" w:sz="4" w:space="0" w:color="auto"/>
              <w:right w:val="single" w:sz="4" w:space="0" w:color="auto"/>
            </w:tcBorders>
            <w:shd w:val="clear" w:color="auto" w:fill="BFBFBF" w:themeFill="background1" w:themeFillShade="BF"/>
            <w:noWrap/>
            <w:vAlign w:val="bottom"/>
          </w:tcPr>
          <w:p w:rsidR="003A497B" w:rsidRPr="004C38A7" w:rsidRDefault="003A497B" w:rsidP="003E1809">
            <w:pPr>
              <w:jc w:val="right"/>
              <w:rPr>
                <w:rFonts w:ascii="Times New Roman" w:hAnsi="Times New Roman" w:cs="Times New Roman"/>
                <w:b/>
                <w:bCs/>
                <w:sz w:val="14"/>
                <w:szCs w:val="14"/>
              </w:rPr>
            </w:pPr>
            <w:r w:rsidRPr="004C38A7">
              <w:rPr>
                <w:rFonts w:ascii="Times New Roman" w:hAnsi="Times New Roman" w:cs="Times New Roman"/>
                <w:b/>
                <w:bCs/>
                <w:sz w:val="14"/>
                <w:szCs w:val="14"/>
              </w:rPr>
              <w:t>4 874 061</w:t>
            </w:r>
          </w:p>
        </w:tc>
        <w:tc>
          <w:tcPr>
            <w:tcW w:w="544" w:type="pct"/>
            <w:tcBorders>
              <w:top w:val="nil"/>
              <w:left w:val="nil"/>
              <w:bottom w:val="single" w:sz="4" w:space="0" w:color="auto"/>
              <w:right w:val="single" w:sz="4" w:space="0" w:color="auto"/>
            </w:tcBorders>
            <w:shd w:val="clear" w:color="auto" w:fill="BFBFBF" w:themeFill="background1" w:themeFillShade="BF"/>
            <w:noWrap/>
            <w:vAlign w:val="bottom"/>
          </w:tcPr>
          <w:p w:rsidR="003A497B" w:rsidRPr="004C38A7" w:rsidRDefault="003A497B" w:rsidP="003E1809">
            <w:pPr>
              <w:jc w:val="right"/>
              <w:rPr>
                <w:rFonts w:ascii="Times New Roman" w:hAnsi="Times New Roman" w:cs="Times New Roman"/>
                <w:b/>
                <w:bCs/>
                <w:sz w:val="14"/>
                <w:szCs w:val="14"/>
              </w:rPr>
            </w:pPr>
            <w:r w:rsidRPr="004C38A7">
              <w:rPr>
                <w:rFonts w:ascii="Times New Roman" w:hAnsi="Times New Roman" w:cs="Times New Roman"/>
                <w:b/>
                <w:bCs/>
                <w:sz w:val="14"/>
                <w:szCs w:val="14"/>
              </w:rPr>
              <w:t>4 874 061</w:t>
            </w:r>
          </w:p>
        </w:tc>
      </w:tr>
      <w:tr w:rsidR="003A497B" w:rsidRPr="001454E9" w:rsidTr="003E1809">
        <w:trPr>
          <w:trHeight w:val="259"/>
        </w:trPr>
        <w:tc>
          <w:tcPr>
            <w:tcW w:w="1396" w:type="pct"/>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3A497B" w:rsidRPr="004C38A7" w:rsidRDefault="003A497B" w:rsidP="003E1809">
            <w:pPr>
              <w:rPr>
                <w:rFonts w:ascii="Times New Roman" w:hAnsi="Times New Roman" w:cs="Times New Roman"/>
                <w:b/>
                <w:bCs/>
                <w:color w:val="000000"/>
                <w:sz w:val="14"/>
                <w:szCs w:val="14"/>
              </w:rPr>
            </w:pPr>
            <w:r>
              <w:rPr>
                <w:rFonts w:ascii="Times New Roman" w:hAnsi="Times New Roman" w:cs="Times New Roman"/>
                <w:b/>
                <w:bCs/>
                <w:color w:val="000000"/>
                <w:sz w:val="14"/>
                <w:szCs w:val="14"/>
              </w:rPr>
              <w:t>Z</w:t>
            </w:r>
            <w:r w:rsidRPr="004C38A7">
              <w:rPr>
                <w:rFonts w:ascii="Times New Roman" w:hAnsi="Times New Roman" w:cs="Times New Roman"/>
                <w:b/>
                <w:bCs/>
                <w:color w:val="000000"/>
                <w:sz w:val="14"/>
                <w:szCs w:val="14"/>
              </w:rPr>
              <w:t>droje príslušnej kapitoly</w:t>
            </w:r>
          </w:p>
        </w:tc>
        <w:tc>
          <w:tcPr>
            <w:tcW w:w="510" w:type="pct"/>
            <w:tcBorders>
              <w:top w:val="nil"/>
              <w:left w:val="nil"/>
              <w:bottom w:val="single" w:sz="4" w:space="0" w:color="auto"/>
              <w:right w:val="single" w:sz="4" w:space="0" w:color="auto"/>
            </w:tcBorders>
            <w:shd w:val="clear" w:color="auto" w:fill="BFBFBF" w:themeFill="background1" w:themeFillShade="BF"/>
            <w:vAlign w:val="bottom"/>
          </w:tcPr>
          <w:p w:rsidR="003A497B" w:rsidRPr="004C38A7" w:rsidRDefault="003A497B" w:rsidP="003E1809">
            <w:pPr>
              <w:jc w:val="right"/>
              <w:rPr>
                <w:rFonts w:ascii="Times New Roman" w:hAnsi="Times New Roman" w:cs="Times New Roman"/>
                <w:b/>
                <w:bCs/>
                <w:sz w:val="14"/>
                <w:szCs w:val="14"/>
              </w:rPr>
            </w:pPr>
            <w:r w:rsidRPr="004C38A7">
              <w:rPr>
                <w:rFonts w:ascii="Times New Roman" w:hAnsi="Times New Roman" w:cs="Times New Roman"/>
                <w:b/>
                <w:bCs/>
                <w:sz w:val="14"/>
                <w:szCs w:val="14"/>
              </w:rPr>
              <w:t>4 371 200</w:t>
            </w:r>
          </w:p>
        </w:tc>
        <w:tc>
          <w:tcPr>
            <w:tcW w:w="510" w:type="pct"/>
            <w:tcBorders>
              <w:top w:val="nil"/>
              <w:left w:val="nil"/>
              <w:bottom w:val="single" w:sz="4" w:space="0" w:color="auto"/>
              <w:right w:val="single" w:sz="4" w:space="0" w:color="auto"/>
            </w:tcBorders>
            <w:shd w:val="clear" w:color="auto" w:fill="BFBFBF" w:themeFill="background1" w:themeFillShade="BF"/>
            <w:vAlign w:val="bottom"/>
          </w:tcPr>
          <w:p w:rsidR="003A497B" w:rsidRPr="004C38A7" w:rsidRDefault="003A497B" w:rsidP="003E1809">
            <w:pPr>
              <w:jc w:val="right"/>
              <w:rPr>
                <w:rFonts w:ascii="Times New Roman" w:hAnsi="Times New Roman" w:cs="Times New Roman"/>
                <w:b/>
                <w:bCs/>
                <w:sz w:val="14"/>
                <w:szCs w:val="14"/>
              </w:rPr>
            </w:pPr>
            <w:r w:rsidRPr="004C38A7">
              <w:rPr>
                <w:rFonts w:ascii="Times New Roman" w:hAnsi="Times New Roman" w:cs="Times New Roman"/>
                <w:b/>
                <w:bCs/>
                <w:sz w:val="14"/>
                <w:szCs w:val="14"/>
              </w:rPr>
              <w:t>5 940 033</w:t>
            </w:r>
          </w:p>
        </w:tc>
        <w:tc>
          <w:tcPr>
            <w:tcW w:w="510" w:type="pct"/>
            <w:tcBorders>
              <w:top w:val="nil"/>
              <w:left w:val="nil"/>
              <w:bottom w:val="single" w:sz="4" w:space="0" w:color="auto"/>
              <w:right w:val="single" w:sz="4" w:space="0" w:color="auto"/>
            </w:tcBorders>
            <w:shd w:val="clear" w:color="auto" w:fill="BFBFBF" w:themeFill="background1" w:themeFillShade="BF"/>
            <w:vAlign w:val="bottom"/>
          </w:tcPr>
          <w:p w:rsidR="003A497B" w:rsidRPr="004C38A7" w:rsidRDefault="003A497B" w:rsidP="003E1809">
            <w:pPr>
              <w:jc w:val="right"/>
              <w:rPr>
                <w:rFonts w:ascii="Times New Roman" w:hAnsi="Times New Roman" w:cs="Times New Roman"/>
                <w:b/>
                <w:bCs/>
                <w:sz w:val="14"/>
                <w:szCs w:val="14"/>
              </w:rPr>
            </w:pPr>
            <w:r w:rsidRPr="004C38A7">
              <w:rPr>
                <w:rFonts w:ascii="Times New Roman" w:hAnsi="Times New Roman" w:cs="Times New Roman"/>
                <w:b/>
                <w:bCs/>
                <w:sz w:val="14"/>
                <w:szCs w:val="14"/>
              </w:rPr>
              <w:t>5 089 867</w:t>
            </w:r>
          </w:p>
        </w:tc>
        <w:tc>
          <w:tcPr>
            <w:tcW w:w="510" w:type="pct"/>
            <w:tcBorders>
              <w:top w:val="nil"/>
              <w:left w:val="nil"/>
              <w:bottom w:val="single" w:sz="4" w:space="0" w:color="auto"/>
              <w:right w:val="single" w:sz="4" w:space="0" w:color="auto"/>
            </w:tcBorders>
            <w:shd w:val="clear" w:color="auto" w:fill="BFBFBF" w:themeFill="background1" w:themeFillShade="BF"/>
            <w:vAlign w:val="bottom"/>
          </w:tcPr>
          <w:p w:rsidR="003A497B" w:rsidRPr="00E32E0F" w:rsidRDefault="003A497B" w:rsidP="003E1809">
            <w:pPr>
              <w:jc w:val="right"/>
              <w:rPr>
                <w:rFonts w:ascii="Times New Roman" w:hAnsi="Times New Roman" w:cs="Times New Roman"/>
                <w:b/>
                <w:bCs/>
                <w:color w:val="000000"/>
                <w:sz w:val="14"/>
                <w:szCs w:val="14"/>
                <w:highlight w:val="yellow"/>
              </w:rPr>
            </w:pPr>
            <w:r w:rsidRPr="000F3EE1">
              <w:rPr>
                <w:rFonts w:ascii="Times New Roman" w:hAnsi="Times New Roman" w:cs="Times New Roman"/>
                <w:b/>
                <w:bCs/>
                <w:color w:val="000000"/>
                <w:sz w:val="14"/>
                <w:szCs w:val="14"/>
              </w:rPr>
              <w:t xml:space="preserve">5 018 </w:t>
            </w:r>
            <w:r>
              <w:rPr>
                <w:rFonts w:ascii="Times New Roman" w:hAnsi="Times New Roman" w:cs="Times New Roman"/>
                <w:b/>
                <w:bCs/>
                <w:color w:val="000000"/>
                <w:sz w:val="14"/>
                <w:szCs w:val="14"/>
              </w:rPr>
              <w:t>784</w:t>
            </w:r>
          </w:p>
        </w:tc>
        <w:tc>
          <w:tcPr>
            <w:tcW w:w="510" w:type="pct"/>
            <w:tcBorders>
              <w:top w:val="nil"/>
              <w:left w:val="nil"/>
              <w:bottom w:val="single" w:sz="4" w:space="0" w:color="auto"/>
              <w:right w:val="single" w:sz="4" w:space="0" w:color="auto"/>
            </w:tcBorders>
            <w:shd w:val="clear" w:color="auto" w:fill="BFBFBF" w:themeFill="background1" w:themeFillShade="BF"/>
            <w:vAlign w:val="bottom"/>
          </w:tcPr>
          <w:p w:rsidR="003A497B" w:rsidRPr="004C38A7" w:rsidRDefault="003A497B" w:rsidP="003E1809">
            <w:pPr>
              <w:jc w:val="right"/>
              <w:rPr>
                <w:rFonts w:ascii="Times New Roman" w:hAnsi="Times New Roman" w:cs="Times New Roman"/>
                <w:b/>
                <w:bCs/>
                <w:sz w:val="14"/>
                <w:szCs w:val="14"/>
                <w:highlight w:val="yellow"/>
              </w:rPr>
            </w:pPr>
            <w:r w:rsidRPr="004C38A7">
              <w:rPr>
                <w:rFonts w:ascii="Times New Roman" w:hAnsi="Times New Roman" w:cs="Times New Roman"/>
                <w:b/>
                <w:bCs/>
                <w:sz w:val="14"/>
                <w:szCs w:val="14"/>
              </w:rPr>
              <w:t>4 874 061</w:t>
            </w:r>
          </w:p>
        </w:tc>
        <w:tc>
          <w:tcPr>
            <w:tcW w:w="510" w:type="pct"/>
            <w:tcBorders>
              <w:top w:val="nil"/>
              <w:left w:val="nil"/>
              <w:bottom w:val="single" w:sz="4" w:space="0" w:color="auto"/>
              <w:right w:val="single" w:sz="4" w:space="0" w:color="auto"/>
            </w:tcBorders>
            <w:shd w:val="clear" w:color="auto" w:fill="BFBFBF" w:themeFill="background1" w:themeFillShade="BF"/>
            <w:vAlign w:val="bottom"/>
          </w:tcPr>
          <w:p w:rsidR="003A497B" w:rsidRPr="004C38A7" w:rsidRDefault="003A497B" w:rsidP="003E1809">
            <w:pPr>
              <w:jc w:val="right"/>
              <w:rPr>
                <w:rFonts w:ascii="Times New Roman" w:hAnsi="Times New Roman" w:cs="Times New Roman"/>
                <w:b/>
                <w:bCs/>
                <w:sz w:val="14"/>
                <w:szCs w:val="14"/>
                <w:highlight w:val="yellow"/>
              </w:rPr>
            </w:pPr>
            <w:r w:rsidRPr="004C38A7">
              <w:rPr>
                <w:rFonts w:ascii="Times New Roman" w:hAnsi="Times New Roman" w:cs="Times New Roman"/>
                <w:b/>
                <w:bCs/>
                <w:sz w:val="14"/>
                <w:szCs w:val="14"/>
              </w:rPr>
              <w:t>4 874 061</w:t>
            </w:r>
          </w:p>
        </w:tc>
        <w:tc>
          <w:tcPr>
            <w:tcW w:w="544" w:type="pct"/>
            <w:tcBorders>
              <w:top w:val="nil"/>
              <w:left w:val="nil"/>
              <w:bottom w:val="single" w:sz="4" w:space="0" w:color="auto"/>
              <w:right w:val="single" w:sz="4" w:space="0" w:color="auto"/>
            </w:tcBorders>
            <w:shd w:val="clear" w:color="auto" w:fill="BFBFBF" w:themeFill="background1" w:themeFillShade="BF"/>
            <w:vAlign w:val="bottom"/>
          </w:tcPr>
          <w:p w:rsidR="003A497B" w:rsidRPr="004C38A7" w:rsidRDefault="003A497B" w:rsidP="003E1809">
            <w:pPr>
              <w:jc w:val="right"/>
              <w:rPr>
                <w:rFonts w:ascii="Times New Roman" w:hAnsi="Times New Roman" w:cs="Times New Roman"/>
                <w:b/>
                <w:bCs/>
                <w:sz w:val="14"/>
                <w:szCs w:val="14"/>
                <w:highlight w:val="yellow"/>
              </w:rPr>
            </w:pPr>
            <w:r w:rsidRPr="004C38A7">
              <w:rPr>
                <w:rFonts w:ascii="Times New Roman" w:hAnsi="Times New Roman" w:cs="Times New Roman"/>
                <w:b/>
                <w:bCs/>
                <w:sz w:val="14"/>
                <w:szCs w:val="14"/>
              </w:rPr>
              <w:t>4 874 061</w:t>
            </w:r>
          </w:p>
        </w:tc>
      </w:tr>
      <w:tr w:rsidR="003A497B" w:rsidRPr="001454E9" w:rsidTr="003E1809">
        <w:trPr>
          <w:trHeight w:val="259"/>
        </w:trPr>
        <w:tc>
          <w:tcPr>
            <w:tcW w:w="1396" w:type="pct"/>
            <w:tcBorders>
              <w:top w:val="nil"/>
              <w:left w:val="single" w:sz="4" w:space="0" w:color="auto"/>
              <w:bottom w:val="single" w:sz="4" w:space="0" w:color="auto"/>
              <w:right w:val="single" w:sz="4" w:space="0" w:color="auto"/>
            </w:tcBorders>
            <w:shd w:val="clear" w:color="auto" w:fill="auto"/>
            <w:noWrap/>
            <w:vAlign w:val="bottom"/>
            <w:hideMark/>
          </w:tcPr>
          <w:p w:rsidR="003A497B" w:rsidRPr="004C38A7" w:rsidRDefault="003A497B" w:rsidP="003E1809">
            <w:pPr>
              <w:rPr>
                <w:rFonts w:ascii="Times New Roman" w:hAnsi="Times New Roman" w:cs="Times New Roman"/>
                <w:b/>
                <w:sz w:val="14"/>
                <w:szCs w:val="14"/>
              </w:rPr>
            </w:pPr>
            <w:r w:rsidRPr="004C38A7">
              <w:rPr>
                <w:rFonts w:ascii="Times New Roman" w:hAnsi="Times New Roman" w:cs="Times New Roman"/>
                <w:b/>
                <w:sz w:val="14"/>
                <w:szCs w:val="14"/>
              </w:rPr>
              <w:t xml:space="preserve">rozpočtové zdroje kapitoly </w:t>
            </w:r>
          </w:p>
        </w:tc>
        <w:tc>
          <w:tcPr>
            <w:tcW w:w="510" w:type="pct"/>
            <w:tcBorders>
              <w:top w:val="nil"/>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4 137 200</w:t>
            </w:r>
          </w:p>
        </w:tc>
        <w:tc>
          <w:tcPr>
            <w:tcW w:w="510" w:type="pct"/>
            <w:tcBorders>
              <w:top w:val="nil"/>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5 937 860</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sz w:val="14"/>
                <w:szCs w:val="14"/>
                <w:highlight w:val="yellow"/>
              </w:rPr>
            </w:pPr>
            <w:r w:rsidRPr="004C38A7">
              <w:rPr>
                <w:rFonts w:ascii="Times New Roman" w:hAnsi="Times New Roman" w:cs="Times New Roman"/>
                <w:sz w:val="14"/>
                <w:szCs w:val="14"/>
              </w:rPr>
              <w:t>4 744 167</w:t>
            </w:r>
          </w:p>
        </w:tc>
        <w:tc>
          <w:tcPr>
            <w:tcW w:w="510" w:type="pct"/>
            <w:tcBorders>
              <w:top w:val="nil"/>
              <w:left w:val="nil"/>
              <w:bottom w:val="single" w:sz="4" w:space="0" w:color="auto"/>
              <w:right w:val="single" w:sz="4" w:space="0" w:color="auto"/>
            </w:tcBorders>
            <w:shd w:val="clear" w:color="auto" w:fill="auto"/>
            <w:vAlign w:val="bottom"/>
          </w:tcPr>
          <w:p w:rsidR="003A497B" w:rsidRPr="00E32E0F" w:rsidRDefault="003A497B" w:rsidP="003E1809">
            <w:pPr>
              <w:jc w:val="right"/>
              <w:rPr>
                <w:rFonts w:ascii="Times New Roman" w:hAnsi="Times New Roman" w:cs="Times New Roman"/>
                <w:color w:val="000000"/>
                <w:sz w:val="14"/>
                <w:szCs w:val="14"/>
                <w:highlight w:val="yellow"/>
              </w:rPr>
            </w:pPr>
            <w:r w:rsidRPr="000F3EE1">
              <w:rPr>
                <w:rFonts w:ascii="Times New Roman" w:hAnsi="Times New Roman" w:cs="Times New Roman"/>
                <w:color w:val="000000"/>
                <w:sz w:val="14"/>
                <w:szCs w:val="14"/>
              </w:rPr>
              <w:t>5 018 381</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bCs/>
                <w:sz w:val="14"/>
                <w:szCs w:val="14"/>
                <w:highlight w:val="yellow"/>
              </w:rPr>
            </w:pPr>
            <w:r w:rsidRPr="004C38A7">
              <w:rPr>
                <w:rFonts w:ascii="Times New Roman" w:hAnsi="Times New Roman" w:cs="Times New Roman"/>
                <w:bCs/>
                <w:sz w:val="14"/>
                <w:szCs w:val="14"/>
              </w:rPr>
              <w:t>4 874 061</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bCs/>
                <w:sz w:val="14"/>
                <w:szCs w:val="14"/>
                <w:highlight w:val="yellow"/>
              </w:rPr>
            </w:pPr>
            <w:r w:rsidRPr="004C38A7">
              <w:rPr>
                <w:rFonts w:ascii="Times New Roman" w:hAnsi="Times New Roman" w:cs="Times New Roman"/>
                <w:bCs/>
                <w:sz w:val="14"/>
                <w:szCs w:val="14"/>
              </w:rPr>
              <w:t>4 874 061</w:t>
            </w:r>
          </w:p>
        </w:tc>
        <w:tc>
          <w:tcPr>
            <w:tcW w:w="544"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bCs/>
                <w:sz w:val="14"/>
                <w:szCs w:val="14"/>
                <w:highlight w:val="yellow"/>
              </w:rPr>
            </w:pPr>
            <w:r w:rsidRPr="004C38A7">
              <w:rPr>
                <w:rFonts w:ascii="Times New Roman" w:hAnsi="Times New Roman" w:cs="Times New Roman"/>
                <w:bCs/>
                <w:sz w:val="14"/>
                <w:szCs w:val="14"/>
              </w:rPr>
              <w:t>4 874 061</w:t>
            </w:r>
          </w:p>
        </w:tc>
      </w:tr>
      <w:tr w:rsidR="003A497B" w:rsidRPr="001454E9" w:rsidTr="003E1809">
        <w:trPr>
          <w:trHeight w:val="259"/>
        </w:trPr>
        <w:tc>
          <w:tcPr>
            <w:tcW w:w="1396" w:type="pct"/>
            <w:tcBorders>
              <w:top w:val="nil"/>
              <w:left w:val="single" w:sz="4" w:space="0" w:color="auto"/>
              <w:bottom w:val="single" w:sz="4" w:space="0" w:color="auto"/>
              <w:right w:val="single" w:sz="4" w:space="0" w:color="auto"/>
            </w:tcBorders>
            <w:shd w:val="clear" w:color="auto" w:fill="auto"/>
            <w:noWrap/>
            <w:vAlign w:val="bottom"/>
            <w:hideMark/>
          </w:tcPr>
          <w:p w:rsidR="003A497B" w:rsidRPr="004C38A7" w:rsidRDefault="003A497B" w:rsidP="003E1809">
            <w:pPr>
              <w:rPr>
                <w:rFonts w:ascii="Times New Roman" w:hAnsi="Times New Roman" w:cs="Times New Roman"/>
                <w:sz w:val="14"/>
                <w:szCs w:val="14"/>
              </w:rPr>
            </w:pPr>
            <w:r w:rsidRPr="004C38A7">
              <w:rPr>
                <w:rFonts w:ascii="Times New Roman" w:hAnsi="Times New Roman" w:cs="Times New Roman"/>
                <w:sz w:val="14"/>
                <w:szCs w:val="14"/>
              </w:rPr>
              <w:t xml:space="preserve">  v tom: bežné výdavky 600</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4 127 990</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4 724 437</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sz w:val="14"/>
                <w:szCs w:val="14"/>
                <w:highlight w:val="yellow"/>
              </w:rPr>
            </w:pPr>
            <w:r w:rsidRPr="004C38A7">
              <w:rPr>
                <w:rFonts w:ascii="Times New Roman" w:hAnsi="Times New Roman" w:cs="Times New Roman"/>
                <w:sz w:val="14"/>
                <w:szCs w:val="14"/>
              </w:rPr>
              <w:t>4 744 167</w:t>
            </w:r>
          </w:p>
        </w:tc>
        <w:tc>
          <w:tcPr>
            <w:tcW w:w="510" w:type="pct"/>
            <w:tcBorders>
              <w:top w:val="nil"/>
              <w:left w:val="nil"/>
              <w:bottom w:val="single" w:sz="4" w:space="0" w:color="auto"/>
              <w:right w:val="single" w:sz="4" w:space="0" w:color="auto"/>
            </w:tcBorders>
            <w:shd w:val="clear" w:color="auto" w:fill="auto"/>
            <w:vAlign w:val="bottom"/>
          </w:tcPr>
          <w:p w:rsidR="003A497B" w:rsidRPr="009E739F" w:rsidRDefault="003A497B" w:rsidP="003E1809">
            <w:pPr>
              <w:jc w:val="right"/>
              <w:rPr>
                <w:rFonts w:ascii="Times New Roman" w:hAnsi="Times New Roman" w:cs="Times New Roman"/>
                <w:sz w:val="14"/>
                <w:szCs w:val="14"/>
              </w:rPr>
            </w:pPr>
            <w:r>
              <w:rPr>
                <w:rFonts w:ascii="Times New Roman" w:hAnsi="Times New Roman" w:cs="Times New Roman"/>
                <w:sz w:val="14"/>
                <w:szCs w:val="14"/>
              </w:rPr>
              <w:t>5 018 381</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bCs/>
                <w:sz w:val="14"/>
                <w:szCs w:val="14"/>
                <w:highlight w:val="yellow"/>
              </w:rPr>
            </w:pPr>
            <w:r w:rsidRPr="004C38A7">
              <w:rPr>
                <w:rFonts w:ascii="Times New Roman" w:hAnsi="Times New Roman" w:cs="Times New Roman"/>
                <w:bCs/>
                <w:sz w:val="14"/>
                <w:szCs w:val="14"/>
              </w:rPr>
              <w:t>4 827 061</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bCs/>
                <w:sz w:val="14"/>
                <w:szCs w:val="14"/>
                <w:highlight w:val="yellow"/>
              </w:rPr>
            </w:pPr>
            <w:r w:rsidRPr="004C38A7">
              <w:rPr>
                <w:rFonts w:ascii="Times New Roman" w:hAnsi="Times New Roman" w:cs="Times New Roman"/>
                <w:bCs/>
                <w:sz w:val="14"/>
                <w:szCs w:val="14"/>
              </w:rPr>
              <w:t>4 866 061</w:t>
            </w:r>
          </w:p>
        </w:tc>
        <w:tc>
          <w:tcPr>
            <w:tcW w:w="544"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bCs/>
                <w:sz w:val="14"/>
                <w:szCs w:val="14"/>
                <w:highlight w:val="yellow"/>
              </w:rPr>
            </w:pPr>
            <w:r w:rsidRPr="004C38A7">
              <w:rPr>
                <w:rFonts w:ascii="Times New Roman" w:hAnsi="Times New Roman" w:cs="Times New Roman"/>
                <w:bCs/>
                <w:sz w:val="14"/>
                <w:szCs w:val="14"/>
              </w:rPr>
              <w:t>4 866 061</w:t>
            </w:r>
          </w:p>
        </w:tc>
      </w:tr>
      <w:tr w:rsidR="003A497B" w:rsidRPr="001454E9" w:rsidTr="003E1809">
        <w:trPr>
          <w:trHeight w:val="259"/>
        </w:trPr>
        <w:tc>
          <w:tcPr>
            <w:tcW w:w="1396" w:type="pct"/>
            <w:tcBorders>
              <w:top w:val="nil"/>
              <w:left w:val="single" w:sz="4" w:space="0" w:color="auto"/>
              <w:bottom w:val="single" w:sz="4" w:space="0" w:color="auto"/>
              <w:right w:val="single" w:sz="4" w:space="0" w:color="auto"/>
            </w:tcBorders>
            <w:shd w:val="clear" w:color="auto" w:fill="auto"/>
            <w:noWrap/>
            <w:vAlign w:val="bottom"/>
            <w:hideMark/>
          </w:tcPr>
          <w:p w:rsidR="003A497B" w:rsidRPr="004C38A7" w:rsidRDefault="003A497B" w:rsidP="003E1809">
            <w:pPr>
              <w:rPr>
                <w:rFonts w:ascii="Times New Roman" w:hAnsi="Times New Roman" w:cs="Times New Roman"/>
                <w:color w:val="000000"/>
                <w:sz w:val="14"/>
                <w:szCs w:val="14"/>
              </w:rPr>
            </w:pPr>
            <w:r w:rsidRPr="004C38A7">
              <w:rPr>
                <w:rFonts w:ascii="Times New Roman" w:hAnsi="Times New Roman" w:cs="Times New Roman"/>
                <w:color w:val="000000"/>
                <w:sz w:val="14"/>
                <w:szCs w:val="14"/>
              </w:rPr>
              <w:t xml:space="preserve">             610 mzdy</w:t>
            </w:r>
          </w:p>
        </w:tc>
        <w:tc>
          <w:tcPr>
            <w:tcW w:w="510" w:type="pct"/>
            <w:tcBorders>
              <w:top w:val="nil"/>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1 721 211</w:t>
            </w:r>
          </w:p>
        </w:tc>
        <w:tc>
          <w:tcPr>
            <w:tcW w:w="510" w:type="pct"/>
            <w:tcBorders>
              <w:top w:val="nil"/>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2 096 065</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sz w:val="14"/>
                <w:szCs w:val="14"/>
                <w:highlight w:val="yellow"/>
              </w:rPr>
            </w:pPr>
            <w:r w:rsidRPr="004C38A7">
              <w:rPr>
                <w:rFonts w:ascii="Times New Roman" w:hAnsi="Times New Roman" w:cs="Times New Roman"/>
                <w:sz w:val="14"/>
                <w:szCs w:val="14"/>
              </w:rPr>
              <w:t>2 115 331</w:t>
            </w:r>
          </w:p>
        </w:tc>
        <w:tc>
          <w:tcPr>
            <w:tcW w:w="510" w:type="pct"/>
            <w:tcBorders>
              <w:top w:val="nil"/>
              <w:left w:val="nil"/>
              <w:bottom w:val="single" w:sz="4" w:space="0" w:color="auto"/>
              <w:right w:val="single" w:sz="4" w:space="0" w:color="auto"/>
            </w:tcBorders>
            <w:shd w:val="clear" w:color="auto" w:fill="auto"/>
            <w:vAlign w:val="bottom"/>
          </w:tcPr>
          <w:p w:rsidR="003A497B" w:rsidRPr="009E739F" w:rsidRDefault="003A497B" w:rsidP="003E1809">
            <w:pPr>
              <w:jc w:val="right"/>
              <w:rPr>
                <w:rFonts w:ascii="Times New Roman" w:hAnsi="Times New Roman" w:cs="Times New Roman"/>
                <w:sz w:val="14"/>
                <w:szCs w:val="14"/>
              </w:rPr>
            </w:pPr>
            <w:r w:rsidRPr="009E739F">
              <w:rPr>
                <w:rFonts w:ascii="Times New Roman" w:hAnsi="Times New Roman" w:cs="Times New Roman"/>
                <w:sz w:val="14"/>
                <w:szCs w:val="14"/>
              </w:rPr>
              <w:t>2 187 977</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2 211 584</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2 211 584</w:t>
            </w:r>
          </w:p>
        </w:tc>
        <w:tc>
          <w:tcPr>
            <w:tcW w:w="544"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2 211 584</w:t>
            </w:r>
          </w:p>
        </w:tc>
      </w:tr>
      <w:tr w:rsidR="003A497B" w:rsidRPr="001454E9" w:rsidTr="003E1809">
        <w:trPr>
          <w:trHeight w:val="259"/>
        </w:trPr>
        <w:tc>
          <w:tcPr>
            <w:tcW w:w="1396" w:type="pct"/>
            <w:tcBorders>
              <w:top w:val="nil"/>
              <w:left w:val="single" w:sz="4" w:space="0" w:color="auto"/>
              <w:bottom w:val="single" w:sz="4" w:space="0" w:color="auto"/>
              <w:right w:val="single" w:sz="4" w:space="0" w:color="auto"/>
            </w:tcBorders>
            <w:shd w:val="clear" w:color="auto" w:fill="auto"/>
            <w:noWrap/>
            <w:vAlign w:val="bottom"/>
            <w:hideMark/>
          </w:tcPr>
          <w:p w:rsidR="003A497B" w:rsidRPr="004C38A7" w:rsidRDefault="003A497B" w:rsidP="003E1809">
            <w:pPr>
              <w:rPr>
                <w:rFonts w:ascii="Times New Roman" w:hAnsi="Times New Roman" w:cs="Times New Roman"/>
                <w:color w:val="000000"/>
                <w:sz w:val="14"/>
                <w:szCs w:val="14"/>
              </w:rPr>
            </w:pPr>
            <w:r w:rsidRPr="004C38A7">
              <w:rPr>
                <w:rFonts w:ascii="Times New Roman" w:hAnsi="Times New Roman" w:cs="Times New Roman"/>
                <w:color w:val="000000"/>
                <w:sz w:val="14"/>
                <w:szCs w:val="14"/>
              </w:rPr>
              <w:t xml:space="preserve">             620 odvody</w:t>
            </w:r>
          </w:p>
        </w:tc>
        <w:tc>
          <w:tcPr>
            <w:tcW w:w="510" w:type="pct"/>
            <w:tcBorders>
              <w:top w:val="nil"/>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633 007</w:t>
            </w:r>
          </w:p>
        </w:tc>
        <w:tc>
          <w:tcPr>
            <w:tcW w:w="510" w:type="pct"/>
            <w:tcBorders>
              <w:top w:val="nil"/>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794 465</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sz w:val="14"/>
                <w:szCs w:val="14"/>
                <w:highlight w:val="yellow"/>
              </w:rPr>
            </w:pPr>
            <w:r w:rsidRPr="004C38A7">
              <w:rPr>
                <w:rFonts w:ascii="Times New Roman" w:hAnsi="Times New Roman" w:cs="Times New Roman"/>
                <w:sz w:val="14"/>
                <w:szCs w:val="14"/>
              </w:rPr>
              <w:t>894 000</w:t>
            </w:r>
          </w:p>
        </w:tc>
        <w:tc>
          <w:tcPr>
            <w:tcW w:w="510" w:type="pct"/>
            <w:tcBorders>
              <w:top w:val="nil"/>
              <w:left w:val="nil"/>
              <w:bottom w:val="single" w:sz="4" w:space="0" w:color="auto"/>
              <w:right w:val="single" w:sz="4" w:space="0" w:color="auto"/>
            </w:tcBorders>
            <w:shd w:val="clear" w:color="auto" w:fill="auto"/>
            <w:vAlign w:val="bottom"/>
          </w:tcPr>
          <w:p w:rsidR="003A497B" w:rsidRPr="009E739F" w:rsidRDefault="003A497B" w:rsidP="003E1809">
            <w:pPr>
              <w:jc w:val="right"/>
              <w:rPr>
                <w:rFonts w:ascii="Times New Roman" w:hAnsi="Times New Roman" w:cs="Times New Roman"/>
                <w:sz w:val="14"/>
                <w:szCs w:val="14"/>
              </w:rPr>
            </w:pPr>
            <w:r>
              <w:rPr>
                <w:rFonts w:ascii="Times New Roman" w:hAnsi="Times New Roman" w:cs="Times New Roman"/>
                <w:sz w:val="14"/>
                <w:szCs w:val="14"/>
              </w:rPr>
              <w:t>919 390</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891 450</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895 221</w:t>
            </w:r>
          </w:p>
        </w:tc>
        <w:tc>
          <w:tcPr>
            <w:tcW w:w="544"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895 221</w:t>
            </w:r>
          </w:p>
        </w:tc>
      </w:tr>
      <w:tr w:rsidR="003A497B" w:rsidRPr="001454E9" w:rsidTr="003E1809">
        <w:trPr>
          <w:trHeight w:val="259"/>
        </w:trPr>
        <w:tc>
          <w:tcPr>
            <w:tcW w:w="1396" w:type="pct"/>
            <w:tcBorders>
              <w:top w:val="nil"/>
              <w:left w:val="single" w:sz="4" w:space="0" w:color="auto"/>
              <w:bottom w:val="single" w:sz="4" w:space="0" w:color="auto"/>
              <w:right w:val="single" w:sz="4" w:space="0" w:color="auto"/>
            </w:tcBorders>
            <w:shd w:val="clear" w:color="auto" w:fill="auto"/>
            <w:noWrap/>
            <w:vAlign w:val="bottom"/>
            <w:hideMark/>
          </w:tcPr>
          <w:p w:rsidR="003A497B" w:rsidRPr="004C38A7" w:rsidRDefault="003A497B" w:rsidP="003E1809">
            <w:pPr>
              <w:rPr>
                <w:rFonts w:ascii="Times New Roman" w:hAnsi="Times New Roman" w:cs="Times New Roman"/>
                <w:color w:val="000000"/>
                <w:sz w:val="14"/>
                <w:szCs w:val="14"/>
              </w:rPr>
            </w:pPr>
            <w:r w:rsidRPr="004C38A7">
              <w:rPr>
                <w:rFonts w:ascii="Times New Roman" w:hAnsi="Times New Roman" w:cs="Times New Roman"/>
                <w:color w:val="000000"/>
                <w:sz w:val="14"/>
                <w:szCs w:val="14"/>
              </w:rPr>
              <w:t xml:space="preserve">             630 tovary a služby</w:t>
            </w:r>
          </w:p>
        </w:tc>
        <w:tc>
          <w:tcPr>
            <w:tcW w:w="510" w:type="pct"/>
            <w:tcBorders>
              <w:top w:val="nil"/>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1 607 851</w:t>
            </w:r>
          </w:p>
        </w:tc>
        <w:tc>
          <w:tcPr>
            <w:tcW w:w="510" w:type="pct"/>
            <w:tcBorders>
              <w:top w:val="nil"/>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1 692 041</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sz w:val="14"/>
                <w:szCs w:val="14"/>
                <w:highlight w:val="yellow"/>
              </w:rPr>
            </w:pPr>
            <w:r w:rsidRPr="004C38A7">
              <w:rPr>
                <w:rFonts w:ascii="Times New Roman" w:hAnsi="Times New Roman" w:cs="Times New Roman"/>
                <w:sz w:val="14"/>
                <w:szCs w:val="14"/>
              </w:rPr>
              <w:t>1 606 831</w:t>
            </w:r>
          </w:p>
        </w:tc>
        <w:tc>
          <w:tcPr>
            <w:tcW w:w="510" w:type="pct"/>
            <w:tcBorders>
              <w:top w:val="nil"/>
              <w:left w:val="nil"/>
              <w:bottom w:val="single" w:sz="4" w:space="0" w:color="auto"/>
              <w:right w:val="single" w:sz="4" w:space="0" w:color="auto"/>
            </w:tcBorders>
            <w:shd w:val="clear" w:color="auto" w:fill="auto"/>
            <w:vAlign w:val="bottom"/>
          </w:tcPr>
          <w:p w:rsidR="003A497B" w:rsidRPr="009E739F" w:rsidRDefault="003A497B" w:rsidP="003E1809">
            <w:pPr>
              <w:jc w:val="right"/>
              <w:rPr>
                <w:rFonts w:ascii="Times New Roman" w:hAnsi="Times New Roman" w:cs="Times New Roman"/>
                <w:sz w:val="14"/>
                <w:szCs w:val="14"/>
              </w:rPr>
            </w:pPr>
            <w:r>
              <w:rPr>
                <w:rFonts w:ascii="Times New Roman" w:hAnsi="Times New Roman" w:cs="Times New Roman"/>
                <w:sz w:val="14"/>
                <w:szCs w:val="14"/>
              </w:rPr>
              <w:t>1 762 695</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1 574 200</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1 598 638</w:t>
            </w:r>
          </w:p>
        </w:tc>
        <w:tc>
          <w:tcPr>
            <w:tcW w:w="544"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1 598 638</w:t>
            </w:r>
          </w:p>
        </w:tc>
      </w:tr>
      <w:tr w:rsidR="003A497B" w:rsidRPr="001454E9" w:rsidTr="003E1809">
        <w:trPr>
          <w:trHeight w:val="259"/>
        </w:trPr>
        <w:tc>
          <w:tcPr>
            <w:tcW w:w="1396" w:type="pct"/>
            <w:tcBorders>
              <w:top w:val="nil"/>
              <w:left w:val="single" w:sz="4" w:space="0" w:color="auto"/>
              <w:bottom w:val="single" w:sz="4" w:space="0" w:color="auto"/>
              <w:right w:val="single" w:sz="4" w:space="0" w:color="auto"/>
            </w:tcBorders>
            <w:shd w:val="clear" w:color="auto" w:fill="auto"/>
            <w:noWrap/>
            <w:vAlign w:val="bottom"/>
            <w:hideMark/>
          </w:tcPr>
          <w:p w:rsidR="003A497B" w:rsidRPr="004C38A7" w:rsidRDefault="003A497B" w:rsidP="003E1809">
            <w:pPr>
              <w:rPr>
                <w:rFonts w:ascii="Times New Roman" w:hAnsi="Times New Roman" w:cs="Times New Roman"/>
                <w:color w:val="000000"/>
                <w:sz w:val="14"/>
                <w:szCs w:val="14"/>
              </w:rPr>
            </w:pPr>
            <w:r w:rsidRPr="004C38A7">
              <w:rPr>
                <w:rFonts w:ascii="Times New Roman" w:hAnsi="Times New Roman" w:cs="Times New Roman"/>
                <w:color w:val="000000"/>
                <w:sz w:val="14"/>
                <w:szCs w:val="14"/>
              </w:rPr>
              <w:t xml:space="preserve">             640 bežné transfery</w:t>
            </w:r>
          </w:p>
        </w:tc>
        <w:tc>
          <w:tcPr>
            <w:tcW w:w="510" w:type="pct"/>
            <w:tcBorders>
              <w:top w:val="nil"/>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165 922</w:t>
            </w:r>
          </w:p>
        </w:tc>
        <w:tc>
          <w:tcPr>
            <w:tcW w:w="510" w:type="pct"/>
            <w:tcBorders>
              <w:top w:val="nil"/>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141 865</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sz w:val="14"/>
                <w:szCs w:val="14"/>
                <w:highlight w:val="yellow"/>
              </w:rPr>
            </w:pPr>
            <w:r w:rsidRPr="004C38A7">
              <w:rPr>
                <w:rFonts w:ascii="Times New Roman" w:hAnsi="Times New Roman" w:cs="Times New Roman"/>
                <w:sz w:val="14"/>
                <w:szCs w:val="14"/>
              </w:rPr>
              <w:t>128 005</w:t>
            </w:r>
          </w:p>
        </w:tc>
        <w:tc>
          <w:tcPr>
            <w:tcW w:w="510" w:type="pct"/>
            <w:tcBorders>
              <w:top w:val="nil"/>
              <w:left w:val="nil"/>
              <w:bottom w:val="single" w:sz="4" w:space="0" w:color="auto"/>
              <w:right w:val="single" w:sz="4" w:space="0" w:color="auto"/>
            </w:tcBorders>
            <w:shd w:val="clear" w:color="auto" w:fill="auto"/>
            <w:vAlign w:val="bottom"/>
          </w:tcPr>
          <w:p w:rsidR="003A497B" w:rsidRPr="009E739F" w:rsidRDefault="003A497B" w:rsidP="003E1809">
            <w:pPr>
              <w:jc w:val="right"/>
              <w:rPr>
                <w:rFonts w:ascii="Times New Roman" w:hAnsi="Times New Roman" w:cs="Times New Roman"/>
                <w:sz w:val="14"/>
                <w:szCs w:val="14"/>
              </w:rPr>
            </w:pPr>
            <w:r>
              <w:rPr>
                <w:rFonts w:ascii="Times New Roman" w:hAnsi="Times New Roman" w:cs="Times New Roman"/>
                <w:sz w:val="14"/>
                <w:szCs w:val="14"/>
              </w:rPr>
              <w:t>148 319</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149 827</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160 618</w:t>
            </w:r>
          </w:p>
        </w:tc>
        <w:tc>
          <w:tcPr>
            <w:tcW w:w="544"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160 618</w:t>
            </w:r>
          </w:p>
        </w:tc>
      </w:tr>
      <w:tr w:rsidR="003A497B" w:rsidRPr="008A7746" w:rsidTr="003E1809">
        <w:trPr>
          <w:trHeight w:val="259"/>
        </w:trPr>
        <w:tc>
          <w:tcPr>
            <w:tcW w:w="1396" w:type="pct"/>
            <w:tcBorders>
              <w:top w:val="nil"/>
              <w:left w:val="single" w:sz="4" w:space="0" w:color="auto"/>
              <w:bottom w:val="single" w:sz="4" w:space="0" w:color="auto"/>
              <w:right w:val="single" w:sz="4" w:space="0" w:color="auto"/>
            </w:tcBorders>
            <w:shd w:val="clear" w:color="auto" w:fill="auto"/>
            <w:noWrap/>
            <w:vAlign w:val="bottom"/>
            <w:hideMark/>
          </w:tcPr>
          <w:p w:rsidR="003A497B" w:rsidRPr="004C38A7" w:rsidRDefault="003A497B" w:rsidP="003E1809">
            <w:pPr>
              <w:rPr>
                <w:rFonts w:ascii="Times New Roman" w:hAnsi="Times New Roman" w:cs="Times New Roman"/>
                <w:sz w:val="14"/>
                <w:szCs w:val="14"/>
              </w:rPr>
            </w:pPr>
            <w:r w:rsidRPr="004C38A7">
              <w:rPr>
                <w:rFonts w:ascii="Times New Roman" w:hAnsi="Times New Roman" w:cs="Times New Roman"/>
                <w:sz w:val="14"/>
                <w:szCs w:val="14"/>
              </w:rPr>
              <w:t xml:space="preserve">             kapitálové výdavky 700</w:t>
            </w:r>
          </w:p>
        </w:tc>
        <w:tc>
          <w:tcPr>
            <w:tcW w:w="510" w:type="pct"/>
            <w:tcBorders>
              <w:top w:val="nil"/>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9 210</w:t>
            </w:r>
          </w:p>
        </w:tc>
        <w:tc>
          <w:tcPr>
            <w:tcW w:w="510" w:type="pct"/>
            <w:tcBorders>
              <w:top w:val="nil"/>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1 213 423</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sz w:val="14"/>
                <w:szCs w:val="14"/>
                <w:highlight w:val="yellow"/>
              </w:rPr>
            </w:pPr>
            <w:r w:rsidRPr="004C38A7">
              <w:rPr>
                <w:rFonts w:ascii="Times New Roman" w:hAnsi="Times New Roman" w:cs="Times New Roman"/>
                <w:sz w:val="14"/>
                <w:szCs w:val="14"/>
              </w:rPr>
              <w:t>0</w:t>
            </w:r>
          </w:p>
        </w:tc>
        <w:tc>
          <w:tcPr>
            <w:tcW w:w="510" w:type="pct"/>
            <w:tcBorders>
              <w:top w:val="nil"/>
              <w:left w:val="nil"/>
              <w:bottom w:val="single" w:sz="4" w:space="0" w:color="auto"/>
              <w:right w:val="single" w:sz="4" w:space="0" w:color="auto"/>
            </w:tcBorders>
            <w:shd w:val="clear" w:color="auto" w:fill="auto"/>
            <w:vAlign w:val="bottom"/>
          </w:tcPr>
          <w:p w:rsidR="003A497B" w:rsidRPr="00E32E0F" w:rsidRDefault="003A497B" w:rsidP="003E1809">
            <w:pPr>
              <w:jc w:val="right"/>
              <w:rPr>
                <w:rFonts w:ascii="Times New Roman" w:hAnsi="Times New Roman" w:cs="Times New Roman"/>
                <w:sz w:val="14"/>
                <w:szCs w:val="14"/>
                <w:highlight w:val="yellow"/>
              </w:rPr>
            </w:pPr>
            <w:r w:rsidRPr="00973F51">
              <w:rPr>
                <w:rFonts w:ascii="Times New Roman" w:hAnsi="Times New Roman" w:cs="Times New Roman"/>
                <w:sz w:val="14"/>
                <w:szCs w:val="14"/>
              </w:rPr>
              <w:t>0</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47 000</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8 000</w:t>
            </w:r>
          </w:p>
        </w:tc>
        <w:tc>
          <w:tcPr>
            <w:tcW w:w="544"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8 000</w:t>
            </w:r>
          </w:p>
        </w:tc>
      </w:tr>
      <w:tr w:rsidR="003A497B" w:rsidRPr="008A7746" w:rsidTr="003E1809">
        <w:trPr>
          <w:trHeight w:val="259"/>
        </w:trPr>
        <w:tc>
          <w:tcPr>
            <w:tcW w:w="1396" w:type="pct"/>
            <w:tcBorders>
              <w:top w:val="nil"/>
              <w:left w:val="single" w:sz="4" w:space="0" w:color="auto"/>
              <w:bottom w:val="single" w:sz="4" w:space="0" w:color="auto"/>
              <w:right w:val="single" w:sz="4" w:space="0" w:color="auto"/>
            </w:tcBorders>
            <w:shd w:val="clear" w:color="auto" w:fill="auto"/>
            <w:noWrap/>
            <w:vAlign w:val="bottom"/>
          </w:tcPr>
          <w:p w:rsidR="003A497B" w:rsidRPr="004C38A7" w:rsidRDefault="003A497B" w:rsidP="003E1809">
            <w:pPr>
              <w:rPr>
                <w:rFonts w:ascii="Times New Roman" w:hAnsi="Times New Roman" w:cs="Times New Roman"/>
                <w:sz w:val="14"/>
                <w:szCs w:val="14"/>
              </w:rPr>
            </w:pPr>
            <w:r w:rsidRPr="004C38A7">
              <w:rPr>
                <w:rFonts w:ascii="Times New Roman" w:hAnsi="Times New Roman" w:cs="Times New Roman"/>
                <w:b/>
                <w:sz w:val="14"/>
                <w:szCs w:val="14"/>
              </w:rPr>
              <w:t>zdroje EÚ vrátane spolufinancovania:</w:t>
            </w:r>
          </w:p>
        </w:tc>
        <w:tc>
          <w:tcPr>
            <w:tcW w:w="510" w:type="pct"/>
            <w:tcBorders>
              <w:top w:val="nil"/>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0</w:t>
            </w:r>
          </w:p>
        </w:tc>
        <w:tc>
          <w:tcPr>
            <w:tcW w:w="510" w:type="pct"/>
            <w:tcBorders>
              <w:top w:val="nil"/>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2 173</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0</w:t>
            </w:r>
          </w:p>
        </w:tc>
        <w:tc>
          <w:tcPr>
            <w:tcW w:w="510" w:type="pct"/>
            <w:tcBorders>
              <w:top w:val="nil"/>
              <w:left w:val="nil"/>
              <w:bottom w:val="single" w:sz="4" w:space="0" w:color="auto"/>
              <w:right w:val="single" w:sz="4" w:space="0" w:color="auto"/>
            </w:tcBorders>
            <w:shd w:val="clear" w:color="auto" w:fill="auto"/>
            <w:vAlign w:val="bottom"/>
          </w:tcPr>
          <w:p w:rsidR="003A497B" w:rsidRPr="00973F51" w:rsidRDefault="003A497B" w:rsidP="003E1809">
            <w:pPr>
              <w:jc w:val="right"/>
              <w:rPr>
                <w:rFonts w:ascii="Times New Roman" w:hAnsi="Times New Roman" w:cs="Times New Roman"/>
                <w:sz w:val="14"/>
                <w:szCs w:val="14"/>
              </w:rPr>
            </w:pPr>
            <w:r w:rsidRPr="00973F51">
              <w:rPr>
                <w:rFonts w:ascii="Times New Roman" w:hAnsi="Times New Roman" w:cs="Times New Roman"/>
                <w:sz w:val="14"/>
                <w:szCs w:val="14"/>
              </w:rPr>
              <w:t>403</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0</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0</w:t>
            </w:r>
          </w:p>
        </w:tc>
        <w:tc>
          <w:tcPr>
            <w:tcW w:w="544"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0</w:t>
            </w:r>
          </w:p>
        </w:tc>
      </w:tr>
      <w:tr w:rsidR="003A497B" w:rsidRPr="008A7746" w:rsidTr="003E1809">
        <w:trPr>
          <w:trHeight w:val="259"/>
        </w:trPr>
        <w:tc>
          <w:tcPr>
            <w:tcW w:w="1396" w:type="pct"/>
            <w:tcBorders>
              <w:top w:val="nil"/>
              <w:left w:val="single" w:sz="4" w:space="0" w:color="auto"/>
              <w:bottom w:val="single" w:sz="4" w:space="0" w:color="auto"/>
              <w:right w:val="single" w:sz="4" w:space="0" w:color="auto"/>
            </w:tcBorders>
            <w:shd w:val="clear" w:color="auto" w:fill="auto"/>
            <w:noWrap/>
            <w:vAlign w:val="bottom"/>
          </w:tcPr>
          <w:p w:rsidR="003A497B" w:rsidRPr="004C38A7" w:rsidRDefault="003A497B" w:rsidP="003E1809">
            <w:pPr>
              <w:rPr>
                <w:rFonts w:ascii="Times New Roman" w:hAnsi="Times New Roman" w:cs="Times New Roman"/>
                <w:sz w:val="14"/>
                <w:szCs w:val="14"/>
              </w:rPr>
            </w:pPr>
            <w:r w:rsidRPr="004C38A7">
              <w:rPr>
                <w:rFonts w:ascii="Times New Roman" w:hAnsi="Times New Roman" w:cs="Times New Roman"/>
                <w:sz w:val="14"/>
                <w:szCs w:val="14"/>
              </w:rPr>
              <w:t xml:space="preserve">                   3. programovacie obdobie EU</w:t>
            </w:r>
          </w:p>
        </w:tc>
        <w:tc>
          <w:tcPr>
            <w:tcW w:w="510" w:type="pct"/>
            <w:tcBorders>
              <w:top w:val="nil"/>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0</w:t>
            </w:r>
          </w:p>
        </w:tc>
        <w:tc>
          <w:tcPr>
            <w:tcW w:w="510" w:type="pct"/>
            <w:tcBorders>
              <w:top w:val="nil"/>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1 706</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0</w:t>
            </w:r>
          </w:p>
        </w:tc>
        <w:tc>
          <w:tcPr>
            <w:tcW w:w="510" w:type="pct"/>
            <w:tcBorders>
              <w:top w:val="nil"/>
              <w:left w:val="nil"/>
              <w:bottom w:val="single" w:sz="4" w:space="0" w:color="auto"/>
              <w:right w:val="single" w:sz="4" w:space="0" w:color="auto"/>
            </w:tcBorders>
            <w:shd w:val="clear" w:color="auto" w:fill="auto"/>
            <w:vAlign w:val="bottom"/>
          </w:tcPr>
          <w:p w:rsidR="003A497B" w:rsidRPr="00973F51" w:rsidRDefault="003A497B" w:rsidP="003E1809">
            <w:pPr>
              <w:jc w:val="right"/>
              <w:rPr>
                <w:rFonts w:ascii="Times New Roman" w:hAnsi="Times New Roman" w:cs="Times New Roman"/>
                <w:sz w:val="14"/>
                <w:szCs w:val="14"/>
              </w:rPr>
            </w:pPr>
            <w:r w:rsidRPr="00973F51">
              <w:rPr>
                <w:rFonts w:ascii="Times New Roman" w:hAnsi="Times New Roman" w:cs="Times New Roman"/>
                <w:sz w:val="14"/>
                <w:szCs w:val="14"/>
              </w:rPr>
              <w:t>317</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0</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0</w:t>
            </w:r>
          </w:p>
        </w:tc>
        <w:tc>
          <w:tcPr>
            <w:tcW w:w="544"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0</w:t>
            </w:r>
          </w:p>
        </w:tc>
      </w:tr>
      <w:tr w:rsidR="003A497B" w:rsidRPr="008A7746" w:rsidTr="003E1809">
        <w:trPr>
          <w:trHeight w:val="259"/>
        </w:trPr>
        <w:tc>
          <w:tcPr>
            <w:tcW w:w="1396" w:type="pct"/>
            <w:tcBorders>
              <w:top w:val="nil"/>
              <w:left w:val="single" w:sz="4" w:space="0" w:color="auto"/>
              <w:bottom w:val="single" w:sz="4" w:space="0" w:color="auto"/>
              <w:right w:val="single" w:sz="4" w:space="0" w:color="auto"/>
            </w:tcBorders>
            <w:shd w:val="clear" w:color="auto" w:fill="auto"/>
            <w:noWrap/>
            <w:vAlign w:val="bottom"/>
          </w:tcPr>
          <w:p w:rsidR="003A497B" w:rsidRPr="004C38A7" w:rsidRDefault="003A497B" w:rsidP="003E1809">
            <w:pPr>
              <w:rPr>
                <w:rFonts w:ascii="Times New Roman" w:hAnsi="Times New Roman" w:cs="Times New Roman"/>
                <w:sz w:val="14"/>
                <w:szCs w:val="14"/>
              </w:rPr>
            </w:pPr>
            <w:r w:rsidRPr="004C38A7">
              <w:rPr>
                <w:rFonts w:ascii="Times New Roman" w:hAnsi="Times New Roman" w:cs="Times New Roman"/>
                <w:sz w:val="14"/>
                <w:szCs w:val="14"/>
              </w:rPr>
              <w:t xml:space="preserve">                   spolufinancovanie zo ŠR</w:t>
            </w:r>
          </w:p>
        </w:tc>
        <w:tc>
          <w:tcPr>
            <w:tcW w:w="510" w:type="pct"/>
            <w:tcBorders>
              <w:top w:val="nil"/>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0</w:t>
            </w:r>
          </w:p>
        </w:tc>
        <w:tc>
          <w:tcPr>
            <w:tcW w:w="510" w:type="pct"/>
            <w:tcBorders>
              <w:top w:val="nil"/>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467</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0</w:t>
            </w:r>
          </w:p>
        </w:tc>
        <w:tc>
          <w:tcPr>
            <w:tcW w:w="510" w:type="pct"/>
            <w:tcBorders>
              <w:top w:val="nil"/>
              <w:left w:val="nil"/>
              <w:bottom w:val="single" w:sz="4" w:space="0" w:color="auto"/>
              <w:right w:val="single" w:sz="4" w:space="0" w:color="auto"/>
            </w:tcBorders>
            <w:shd w:val="clear" w:color="auto" w:fill="auto"/>
            <w:vAlign w:val="bottom"/>
          </w:tcPr>
          <w:p w:rsidR="003A497B" w:rsidRPr="00973F51" w:rsidRDefault="003A497B" w:rsidP="003E1809">
            <w:pPr>
              <w:jc w:val="right"/>
              <w:rPr>
                <w:rFonts w:ascii="Times New Roman" w:hAnsi="Times New Roman" w:cs="Times New Roman"/>
                <w:sz w:val="14"/>
                <w:szCs w:val="14"/>
              </w:rPr>
            </w:pPr>
            <w:r w:rsidRPr="00973F51">
              <w:rPr>
                <w:rFonts w:ascii="Times New Roman" w:hAnsi="Times New Roman" w:cs="Times New Roman"/>
                <w:sz w:val="14"/>
                <w:szCs w:val="14"/>
              </w:rPr>
              <w:t>86</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0</w:t>
            </w:r>
          </w:p>
        </w:tc>
        <w:tc>
          <w:tcPr>
            <w:tcW w:w="510"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0</w:t>
            </w:r>
          </w:p>
        </w:tc>
        <w:tc>
          <w:tcPr>
            <w:tcW w:w="544" w:type="pct"/>
            <w:tcBorders>
              <w:top w:val="nil"/>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0</w:t>
            </w:r>
          </w:p>
        </w:tc>
      </w:tr>
      <w:tr w:rsidR="003A497B" w:rsidRPr="001454E9" w:rsidTr="003E1809">
        <w:trPr>
          <w:trHeight w:val="259"/>
        </w:trPr>
        <w:tc>
          <w:tcPr>
            <w:tcW w:w="13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4C38A7" w:rsidRDefault="003A497B" w:rsidP="003E1809">
            <w:pPr>
              <w:rPr>
                <w:rFonts w:ascii="Times New Roman" w:hAnsi="Times New Roman" w:cs="Times New Roman"/>
                <w:b/>
                <w:sz w:val="14"/>
                <w:szCs w:val="14"/>
              </w:rPr>
            </w:pPr>
            <w:r w:rsidRPr="004C38A7">
              <w:rPr>
                <w:rFonts w:ascii="Times New Roman" w:hAnsi="Times New Roman" w:cs="Times New Roman"/>
                <w:b/>
                <w:sz w:val="14"/>
                <w:szCs w:val="14"/>
              </w:rPr>
              <w:t>presun z minulých rokov § 8</w:t>
            </w:r>
            <w:r>
              <w:rPr>
                <w:rFonts w:ascii="Times New Roman" w:hAnsi="Times New Roman" w:cs="Times New Roman"/>
                <w:b/>
                <w:sz w:val="14"/>
                <w:szCs w:val="14"/>
              </w:rPr>
              <w:t xml:space="preserve"> ŠR</w:t>
            </w:r>
          </w:p>
        </w:tc>
        <w:tc>
          <w:tcPr>
            <w:tcW w:w="510" w:type="pct"/>
            <w:tcBorders>
              <w:top w:val="single" w:sz="4" w:space="0" w:color="auto"/>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233 999</w:t>
            </w:r>
          </w:p>
        </w:tc>
        <w:tc>
          <w:tcPr>
            <w:tcW w:w="510" w:type="pct"/>
            <w:tcBorders>
              <w:top w:val="single" w:sz="4" w:space="0" w:color="auto"/>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0</w:t>
            </w:r>
          </w:p>
        </w:tc>
        <w:tc>
          <w:tcPr>
            <w:tcW w:w="510" w:type="pct"/>
            <w:tcBorders>
              <w:top w:val="single" w:sz="4" w:space="0" w:color="auto"/>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sz w:val="14"/>
                <w:szCs w:val="14"/>
                <w:highlight w:val="yellow"/>
              </w:rPr>
            </w:pPr>
            <w:r w:rsidRPr="004C38A7">
              <w:rPr>
                <w:rFonts w:ascii="Times New Roman" w:hAnsi="Times New Roman" w:cs="Times New Roman"/>
                <w:sz w:val="14"/>
                <w:szCs w:val="14"/>
              </w:rPr>
              <w:t>345 700</w:t>
            </w:r>
          </w:p>
        </w:tc>
        <w:tc>
          <w:tcPr>
            <w:tcW w:w="510" w:type="pct"/>
            <w:tcBorders>
              <w:top w:val="single" w:sz="4" w:space="0" w:color="auto"/>
              <w:left w:val="nil"/>
              <w:bottom w:val="single" w:sz="4" w:space="0" w:color="auto"/>
              <w:right w:val="single" w:sz="4" w:space="0" w:color="auto"/>
            </w:tcBorders>
            <w:shd w:val="clear" w:color="auto" w:fill="auto"/>
            <w:vAlign w:val="bottom"/>
          </w:tcPr>
          <w:p w:rsidR="003A497B" w:rsidRPr="00E32E0F" w:rsidRDefault="003A497B" w:rsidP="003E1809">
            <w:pPr>
              <w:jc w:val="right"/>
              <w:rPr>
                <w:rFonts w:ascii="Times New Roman" w:hAnsi="Times New Roman" w:cs="Times New Roman"/>
                <w:sz w:val="14"/>
                <w:szCs w:val="14"/>
                <w:highlight w:val="yellow"/>
              </w:rPr>
            </w:pPr>
            <w:r w:rsidRPr="00973F51">
              <w:rPr>
                <w:rFonts w:ascii="Times New Roman" w:hAnsi="Times New Roman" w:cs="Times New Roman"/>
                <w:sz w:val="14"/>
                <w:szCs w:val="14"/>
              </w:rPr>
              <w:t>0</w:t>
            </w:r>
          </w:p>
        </w:tc>
        <w:tc>
          <w:tcPr>
            <w:tcW w:w="510" w:type="pct"/>
            <w:tcBorders>
              <w:top w:val="single" w:sz="4" w:space="0" w:color="auto"/>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0</w:t>
            </w:r>
          </w:p>
        </w:tc>
        <w:tc>
          <w:tcPr>
            <w:tcW w:w="510" w:type="pct"/>
            <w:tcBorders>
              <w:top w:val="single" w:sz="4" w:space="0" w:color="auto"/>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0</w:t>
            </w:r>
          </w:p>
        </w:tc>
        <w:tc>
          <w:tcPr>
            <w:tcW w:w="544" w:type="pct"/>
            <w:tcBorders>
              <w:top w:val="single" w:sz="4" w:space="0" w:color="auto"/>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0</w:t>
            </w:r>
          </w:p>
        </w:tc>
      </w:tr>
      <w:tr w:rsidR="003A497B" w:rsidRPr="001454E9" w:rsidTr="003E1809">
        <w:trPr>
          <w:trHeight w:val="259"/>
        </w:trPr>
        <w:tc>
          <w:tcPr>
            <w:tcW w:w="13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4C38A7" w:rsidRDefault="003A497B" w:rsidP="003E1809">
            <w:pPr>
              <w:rPr>
                <w:rFonts w:ascii="Times New Roman" w:hAnsi="Times New Roman" w:cs="Times New Roman"/>
                <w:b/>
                <w:color w:val="000000"/>
                <w:sz w:val="14"/>
                <w:szCs w:val="14"/>
              </w:rPr>
            </w:pPr>
            <w:r w:rsidRPr="004C38A7">
              <w:rPr>
                <w:rFonts w:ascii="Times New Roman" w:hAnsi="Times New Roman" w:cs="Times New Roman"/>
                <w:b/>
                <w:color w:val="000000"/>
                <w:sz w:val="14"/>
                <w:szCs w:val="14"/>
              </w:rPr>
              <w:t>zdroj 72</w:t>
            </w:r>
            <w:r>
              <w:rPr>
                <w:rFonts w:ascii="Times New Roman" w:hAnsi="Times New Roman" w:cs="Times New Roman"/>
                <w:b/>
                <w:color w:val="000000"/>
                <w:sz w:val="14"/>
                <w:szCs w:val="14"/>
              </w:rPr>
              <w:t>e*</w:t>
            </w:r>
          </w:p>
        </w:tc>
        <w:tc>
          <w:tcPr>
            <w:tcW w:w="510" w:type="pct"/>
            <w:tcBorders>
              <w:top w:val="single" w:sz="4" w:space="0" w:color="auto"/>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0</w:t>
            </w:r>
          </w:p>
        </w:tc>
        <w:tc>
          <w:tcPr>
            <w:tcW w:w="510" w:type="pct"/>
            <w:tcBorders>
              <w:top w:val="single" w:sz="4" w:space="0" w:color="auto"/>
              <w:left w:val="nil"/>
              <w:bottom w:val="single" w:sz="4" w:space="0" w:color="auto"/>
              <w:right w:val="single" w:sz="4" w:space="0" w:color="auto"/>
            </w:tcBorders>
            <w:shd w:val="clear" w:color="auto" w:fill="auto"/>
            <w:noWrap/>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0</w:t>
            </w:r>
          </w:p>
        </w:tc>
        <w:tc>
          <w:tcPr>
            <w:tcW w:w="510" w:type="pct"/>
            <w:tcBorders>
              <w:top w:val="single" w:sz="4" w:space="0" w:color="auto"/>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sz w:val="14"/>
                <w:szCs w:val="14"/>
                <w:highlight w:val="yellow"/>
              </w:rPr>
            </w:pPr>
            <w:r w:rsidRPr="004C38A7">
              <w:rPr>
                <w:rFonts w:ascii="Times New Roman" w:hAnsi="Times New Roman" w:cs="Times New Roman"/>
                <w:sz w:val="14"/>
                <w:szCs w:val="14"/>
              </w:rPr>
              <w:t>5 000</w:t>
            </w:r>
          </w:p>
        </w:tc>
        <w:tc>
          <w:tcPr>
            <w:tcW w:w="510" w:type="pct"/>
            <w:tcBorders>
              <w:top w:val="single" w:sz="4" w:space="0" w:color="auto"/>
              <w:left w:val="nil"/>
              <w:bottom w:val="single" w:sz="4" w:space="0" w:color="auto"/>
              <w:right w:val="single" w:sz="4" w:space="0" w:color="auto"/>
            </w:tcBorders>
            <w:shd w:val="clear" w:color="auto" w:fill="auto"/>
            <w:vAlign w:val="bottom"/>
          </w:tcPr>
          <w:p w:rsidR="003A497B" w:rsidRPr="00E32E0F" w:rsidRDefault="003A497B" w:rsidP="003E1809">
            <w:pPr>
              <w:jc w:val="right"/>
              <w:rPr>
                <w:rFonts w:ascii="Times New Roman" w:hAnsi="Times New Roman" w:cs="Times New Roman"/>
                <w:sz w:val="14"/>
                <w:szCs w:val="14"/>
                <w:highlight w:val="yellow"/>
              </w:rPr>
            </w:pPr>
            <w:r w:rsidRPr="009E739F">
              <w:rPr>
                <w:rFonts w:ascii="Times New Roman" w:hAnsi="Times New Roman" w:cs="Times New Roman"/>
                <w:sz w:val="14"/>
                <w:szCs w:val="14"/>
              </w:rPr>
              <w:t>0</w:t>
            </w:r>
          </w:p>
        </w:tc>
        <w:tc>
          <w:tcPr>
            <w:tcW w:w="510" w:type="pct"/>
            <w:tcBorders>
              <w:top w:val="single" w:sz="4" w:space="0" w:color="auto"/>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0</w:t>
            </w:r>
          </w:p>
        </w:tc>
        <w:tc>
          <w:tcPr>
            <w:tcW w:w="510" w:type="pct"/>
            <w:tcBorders>
              <w:top w:val="single" w:sz="4" w:space="0" w:color="auto"/>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sz w:val="14"/>
                <w:szCs w:val="14"/>
              </w:rPr>
            </w:pPr>
            <w:r w:rsidRPr="004C38A7">
              <w:rPr>
                <w:rFonts w:ascii="Times New Roman" w:hAnsi="Times New Roman" w:cs="Times New Roman"/>
                <w:sz w:val="14"/>
                <w:szCs w:val="14"/>
              </w:rPr>
              <w:t>0</w:t>
            </w:r>
          </w:p>
        </w:tc>
        <w:tc>
          <w:tcPr>
            <w:tcW w:w="544" w:type="pct"/>
            <w:tcBorders>
              <w:top w:val="single" w:sz="4" w:space="0" w:color="auto"/>
              <w:left w:val="nil"/>
              <w:bottom w:val="single" w:sz="4" w:space="0" w:color="auto"/>
              <w:right w:val="single" w:sz="4" w:space="0" w:color="auto"/>
            </w:tcBorders>
            <w:shd w:val="clear" w:color="auto" w:fill="auto"/>
            <w:vAlign w:val="bottom"/>
          </w:tcPr>
          <w:p w:rsidR="003A497B" w:rsidRPr="004C38A7" w:rsidRDefault="003A497B" w:rsidP="003E1809">
            <w:pPr>
              <w:jc w:val="right"/>
              <w:rPr>
                <w:rFonts w:ascii="Times New Roman" w:hAnsi="Times New Roman" w:cs="Times New Roman"/>
                <w:color w:val="000000"/>
                <w:sz w:val="14"/>
                <w:szCs w:val="14"/>
              </w:rPr>
            </w:pPr>
            <w:r w:rsidRPr="004C38A7">
              <w:rPr>
                <w:rFonts w:ascii="Times New Roman" w:hAnsi="Times New Roman" w:cs="Times New Roman"/>
                <w:color w:val="000000"/>
                <w:sz w:val="14"/>
                <w:szCs w:val="14"/>
              </w:rPr>
              <w:t>0</w:t>
            </w:r>
          </w:p>
        </w:tc>
      </w:tr>
    </w:tbl>
    <w:p w:rsidR="003A497B" w:rsidRDefault="003A497B" w:rsidP="003A497B">
      <w:pPr>
        <w:autoSpaceDE w:val="0"/>
        <w:autoSpaceDN w:val="0"/>
        <w:jc w:val="both"/>
        <w:rPr>
          <w:rFonts w:ascii="Times New Roman" w:hAnsi="Times New Roman" w:cs="Times New Roman"/>
          <w:color w:val="000000"/>
          <w:sz w:val="14"/>
          <w:szCs w:val="14"/>
          <w:lang w:eastAsia="sk-SK"/>
        </w:rPr>
      </w:pPr>
      <w:r w:rsidRPr="00522325">
        <w:rPr>
          <w:rFonts w:ascii="Times New Roman" w:hAnsi="Times New Roman" w:cs="Times New Roman"/>
          <w:color w:val="000000"/>
          <w:sz w:val="14"/>
          <w:szCs w:val="14"/>
          <w:lang w:eastAsia="sk-SK"/>
        </w:rPr>
        <w:t>*</w:t>
      </w:r>
      <w:r>
        <w:rPr>
          <w:rFonts w:ascii="Times New Roman" w:hAnsi="Times New Roman" w:cs="Times New Roman"/>
          <w:color w:val="000000"/>
          <w:sz w:val="14"/>
          <w:szCs w:val="14"/>
          <w:lang w:eastAsia="sk-SK"/>
        </w:rPr>
        <w:t xml:space="preserve"> </w:t>
      </w:r>
      <w:r w:rsidRPr="00522325">
        <w:rPr>
          <w:rFonts w:ascii="Times New Roman" w:hAnsi="Times New Roman" w:cs="Times New Roman"/>
          <w:color w:val="000000"/>
          <w:sz w:val="14"/>
          <w:szCs w:val="14"/>
          <w:lang w:eastAsia="sk-SK"/>
        </w:rPr>
        <w:t>z poistného plnenia zo zmluvného poistenia alebo zo zákonného poistenia</w:t>
      </w:r>
    </w:p>
    <w:p w:rsidR="003A497B" w:rsidRDefault="003A497B" w:rsidP="003A497B">
      <w:pPr>
        <w:autoSpaceDE w:val="0"/>
        <w:autoSpaceDN w:val="0"/>
        <w:jc w:val="both"/>
        <w:rPr>
          <w:rFonts w:ascii="Times New Roman" w:hAnsi="Times New Roman" w:cs="Times New Roman"/>
        </w:rPr>
      </w:pPr>
    </w:p>
    <w:p w:rsidR="003A497B" w:rsidRDefault="003A497B" w:rsidP="003A497B">
      <w:pPr>
        <w:autoSpaceDE w:val="0"/>
        <w:autoSpaceDN w:val="0"/>
        <w:ind w:firstLine="708"/>
        <w:jc w:val="both"/>
        <w:rPr>
          <w:rFonts w:ascii="Times New Roman" w:hAnsi="Times New Roman" w:cs="Times New Roman"/>
        </w:rPr>
      </w:pPr>
      <w:r w:rsidRPr="00AE043D">
        <w:rPr>
          <w:rFonts w:ascii="Times New Roman" w:hAnsi="Times New Roman" w:cs="Times New Roman"/>
        </w:rPr>
        <w:t>Na rok 201</w:t>
      </w:r>
      <w:r>
        <w:rPr>
          <w:rFonts w:ascii="Times New Roman" w:hAnsi="Times New Roman" w:cs="Times New Roman"/>
        </w:rPr>
        <w:t>9</w:t>
      </w:r>
      <w:r w:rsidRPr="00AE043D">
        <w:rPr>
          <w:rFonts w:ascii="Times New Roman" w:hAnsi="Times New Roman" w:cs="Times New Roman"/>
        </w:rPr>
        <w:t xml:space="preserve"> sa pre kapitolu navrhuje limit výdavkov v sume </w:t>
      </w:r>
      <w:r>
        <w:rPr>
          <w:rFonts w:ascii="Times New Roman" w:hAnsi="Times New Roman" w:cs="Times New Roman"/>
        </w:rPr>
        <w:t>4</w:t>
      </w:r>
      <w:r w:rsidRPr="00AE043D">
        <w:rPr>
          <w:rFonts w:ascii="Times New Roman" w:hAnsi="Times New Roman" w:cs="Times New Roman"/>
        </w:rPr>
        <w:t>,</w:t>
      </w:r>
      <w:r>
        <w:rPr>
          <w:rFonts w:ascii="Times New Roman" w:hAnsi="Times New Roman" w:cs="Times New Roman"/>
        </w:rPr>
        <w:t>87</w:t>
      </w:r>
      <w:r w:rsidRPr="00AE043D">
        <w:rPr>
          <w:rFonts w:ascii="Times New Roman" w:hAnsi="Times New Roman" w:cs="Times New Roman"/>
        </w:rPr>
        <w:t xml:space="preserve"> mil. eur, čo je </w:t>
      </w:r>
      <w:r>
        <w:rPr>
          <w:rFonts w:ascii="Times New Roman" w:hAnsi="Times New Roman" w:cs="Times New Roman"/>
        </w:rPr>
        <w:t>nárast</w:t>
      </w:r>
      <w:r w:rsidRPr="00AE043D">
        <w:rPr>
          <w:rFonts w:ascii="Times New Roman" w:hAnsi="Times New Roman" w:cs="Times New Roman"/>
        </w:rPr>
        <w:t xml:space="preserve"> o</w:t>
      </w:r>
      <w:r>
        <w:rPr>
          <w:rFonts w:ascii="Times New Roman" w:hAnsi="Times New Roman" w:cs="Times New Roman"/>
        </w:rPr>
        <w:t> 130</w:t>
      </w:r>
      <w:r w:rsidRPr="00AE043D">
        <w:rPr>
          <w:rFonts w:ascii="Times New Roman" w:hAnsi="Times New Roman" w:cs="Times New Roman"/>
        </w:rPr>
        <w:t xml:space="preserve"> </w:t>
      </w:r>
      <w:r>
        <w:rPr>
          <w:rFonts w:ascii="Times New Roman" w:hAnsi="Times New Roman" w:cs="Times New Roman"/>
        </w:rPr>
        <w:t>tis</w:t>
      </w:r>
      <w:r w:rsidRPr="00AE043D">
        <w:rPr>
          <w:rFonts w:ascii="Times New Roman" w:hAnsi="Times New Roman" w:cs="Times New Roman"/>
        </w:rPr>
        <w:t xml:space="preserve">. eur, t. j. o </w:t>
      </w:r>
      <w:r>
        <w:rPr>
          <w:rFonts w:ascii="Times New Roman" w:hAnsi="Times New Roman" w:cs="Times New Roman"/>
        </w:rPr>
        <w:t>2</w:t>
      </w:r>
      <w:r w:rsidRPr="00AE043D">
        <w:rPr>
          <w:rFonts w:ascii="Times New Roman" w:hAnsi="Times New Roman" w:cs="Times New Roman"/>
        </w:rPr>
        <w:t>,</w:t>
      </w:r>
      <w:r>
        <w:rPr>
          <w:rFonts w:ascii="Times New Roman" w:hAnsi="Times New Roman" w:cs="Times New Roman"/>
        </w:rPr>
        <w:t>73</w:t>
      </w:r>
      <w:r w:rsidRPr="00AE043D">
        <w:rPr>
          <w:rFonts w:ascii="Times New Roman" w:hAnsi="Times New Roman" w:cs="Times New Roman"/>
        </w:rPr>
        <w:t xml:space="preserve"> % v porovnaní so schváleným rozpočtom roku 201</w:t>
      </w:r>
      <w:r>
        <w:rPr>
          <w:rFonts w:ascii="Times New Roman" w:hAnsi="Times New Roman" w:cs="Times New Roman"/>
        </w:rPr>
        <w:t>8</w:t>
      </w:r>
      <w:r w:rsidRPr="00AE043D">
        <w:rPr>
          <w:rFonts w:ascii="Times New Roman" w:hAnsi="Times New Roman" w:cs="Times New Roman"/>
        </w:rPr>
        <w:t>.</w:t>
      </w:r>
    </w:p>
    <w:p w:rsidR="003A497B" w:rsidRPr="003D1778" w:rsidRDefault="003A497B" w:rsidP="003A497B">
      <w:pPr>
        <w:autoSpaceDE w:val="0"/>
        <w:autoSpaceDN w:val="0"/>
        <w:ind w:firstLine="708"/>
        <w:jc w:val="both"/>
        <w:rPr>
          <w:rFonts w:ascii="Times New Roman" w:hAnsi="Times New Roman" w:cs="Times New Roman"/>
          <w:highlight w:val="yellow"/>
        </w:rPr>
      </w:pPr>
    </w:p>
    <w:p w:rsidR="003A497B" w:rsidRDefault="003A497B" w:rsidP="003A497B">
      <w:pPr>
        <w:ind w:firstLine="708"/>
        <w:jc w:val="both"/>
        <w:rPr>
          <w:rFonts w:ascii="Times New Roman" w:hAnsi="Times New Roman" w:cs="Times New Roman"/>
          <w:color w:val="000000"/>
        </w:rPr>
      </w:pPr>
      <w:r w:rsidRPr="0042530A">
        <w:rPr>
          <w:rFonts w:ascii="Times New Roman" w:hAnsi="Times New Roman" w:cs="Times New Roman"/>
        </w:rPr>
        <w:t>Objem osobných výdavkov sa na rok 201</w:t>
      </w:r>
      <w:r>
        <w:rPr>
          <w:rFonts w:ascii="Times New Roman" w:hAnsi="Times New Roman" w:cs="Times New Roman"/>
        </w:rPr>
        <w:t>9</w:t>
      </w:r>
      <w:r w:rsidRPr="0042530A">
        <w:rPr>
          <w:rFonts w:ascii="Times New Roman" w:hAnsi="Times New Roman" w:cs="Times New Roman"/>
        </w:rPr>
        <w:t xml:space="preserve"> rozpočtuje na úrovni </w:t>
      </w:r>
      <w:r>
        <w:rPr>
          <w:rFonts w:ascii="Times New Roman" w:hAnsi="Times New Roman" w:cs="Times New Roman"/>
        </w:rPr>
        <w:t>3</w:t>
      </w:r>
      <w:r w:rsidRPr="0042530A">
        <w:rPr>
          <w:rFonts w:ascii="Times New Roman" w:hAnsi="Times New Roman" w:cs="Times New Roman"/>
        </w:rPr>
        <w:t>,</w:t>
      </w:r>
      <w:r>
        <w:rPr>
          <w:rFonts w:ascii="Times New Roman" w:hAnsi="Times New Roman" w:cs="Times New Roman"/>
        </w:rPr>
        <w:t>10</w:t>
      </w:r>
      <w:r w:rsidRPr="0042530A">
        <w:rPr>
          <w:rFonts w:ascii="Times New Roman" w:hAnsi="Times New Roman" w:cs="Times New Roman"/>
        </w:rPr>
        <w:t xml:space="preserve"> mil. eur, čo je nárast o</w:t>
      </w:r>
      <w:r>
        <w:rPr>
          <w:rFonts w:ascii="Times New Roman" w:hAnsi="Times New Roman" w:cs="Times New Roman"/>
        </w:rPr>
        <w:t> 93,7</w:t>
      </w:r>
      <w:r w:rsidRPr="0042530A">
        <w:rPr>
          <w:rFonts w:ascii="Times New Roman" w:hAnsi="Times New Roman" w:cs="Times New Roman"/>
        </w:rPr>
        <w:t xml:space="preserve"> tis. eur, t. j. o </w:t>
      </w:r>
      <w:r>
        <w:rPr>
          <w:rFonts w:ascii="Times New Roman" w:hAnsi="Times New Roman" w:cs="Times New Roman"/>
        </w:rPr>
        <w:t>3</w:t>
      </w:r>
      <w:r w:rsidRPr="0042530A">
        <w:rPr>
          <w:rFonts w:ascii="Times New Roman" w:hAnsi="Times New Roman" w:cs="Times New Roman"/>
        </w:rPr>
        <w:t>,</w:t>
      </w:r>
      <w:r>
        <w:rPr>
          <w:rFonts w:ascii="Times New Roman" w:hAnsi="Times New Roman" w:cs="Times New Roman"/>
        </w:rPr>
        <w:t xml:space="preserve">11 </w:t>
      </w:r>
      <w:r w:rsidRPr="0042530A">
        <w:rPr>
          <w:rFonts w:ascii="Times New Roman" w:hAnsi="Times New Roman" w:cs="Times New Roman"/>
        </w:rPr>
        <w:t>% v porovnaní so schváleným rozpočtom roku 201</w:t>
      </w:r>
      <w:r>
        <w:rPr>
          <w:rFonts w:ascii="Times New Roman" w:hAnsi="Times New Roman" w:cs="Times New Roman"/>
        </w:rPr>
        <w:t>8</w:t>
      </w:r>
      <w:r w:rsidRPr="0042530A">
        <w:rPr>
          <w:rFonts w:ascii="Times New Roman" w:hAnsi="Times New Roman" w:cs="Times New Roman"/>
        </w:rPr>
        <w:t xml:space="preserve">. </w:t>
      </w:r>
      <w:r>
        <w:rPr>
          <w:rFonts w:ascii="Times New Roman" w:hAnsi="Times New Roman" w:cs="Times New Roman"/>
          <w:color w:val="000000"/>
        </w:rPr>
        <w:t xml:space="preserve">Dôvodom nárastu je najmä </w:t>
      </w:r>
      <w:r w:rsidRPr="00AF1488">
        <w:rPr>
          <w:rFonts w:ascii="Times New Roman" w:hAnsi="Times New Roman" w:cs="Times New Roman"/>
          <w:color w:val="000000"/>
        </w:rPr>
        <w:t>dopoč</w:t>
      </w:r>
      <w:r>
        <w:rPr>
          <w:rFonts w:ascii="Times New Roman" w:hAnsi="Times New Roman" w:cs="Times New Roman"/>
          <w:color w:val="000000"/>
        </w:rPr>
        <w:t>e</w:t>
      </w:r>
      <w:r w:rsidRPr="00AF1488">
        <w:rPr>
          <w:rFonts w:ascii="Times New Roman" w:hAnsi="Times New Roman" w:cs="Times New Roman"/>
          <w:color w:val="000000"/>
        </w:rPr>
        <w:t>t valorizácie platov zamestnancov z roku 201</w:t>
      </w:r>
      <w:r>
        <w:rPr>
          <w:rFonts w:ascii="Times New Roman" w:hAnsi="Times New Roman" w:cs="Times New Roman"/>
          <w:color w:val="000000"/>
        </w:rPr>
        <w:t>8 do nasledujúcich rokov.</w:t>
      </w:r>
    </w:p>
    <w:p w:rsidR="003A497B" w:rsidRPr="00B95B30"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sidRPr="003D1778">
        <w:rPr>
          <w:rFonts w:ascii="Times New Roman" w:hAnsi="Times New Roman" w:cs="Times New Roman"/>
        </w:rPr>
        <w:t>Na tovary a služby sa v roku 201</w:t>
      </w:r>
      <w:r>
        <w:rPr>
          <w:rFonts w:ascii="Times New Roman" w:hAnsi="Times New Roman" w:cs="Times New Roman"/>
        </w:rPr>
        <w:t>9</w:t>
      </w:r>
      <w:r w:rsidRPr="003D1778">
        <w:rPr>
          <w:rFonts w:ascii="Times New Roman" w:hAnsi="Times New Roman" w:cs="Times New Roman"/>
        </w:rPr>
        <w:t xml:space="preserve"> rozpisuje suma 1,</w:t>
      </w:r>
      <w:r>
        <w:rPr>
          <w:rFonts w:ascii="Times New Roman" w:hAnsi="Times New Roman" w:cs="Times New Roman"/>
        </w:rPr>
        <w:t>57</w:t>
      </w:r>
      <w:r w:rsidRPr="003D1778">
        <w:rPr>
          <w:rFonts w:ascii="Times New Roman" w:hAnsi="Times New Roman" w:cs="Times New Roman"/>
        </w:rPr>
        <w:t xml:space="preserve"> mil. eur, čo je v porovnaní so schváleným rozpočtom roku 201</w:t>
      </w:r>
      <w:r>
        <w:rPr>
          <w:rFonts w:ascii="Times New Roman" w:hAnsi="Times New Roman" w:cs="Times New Roman"/>
        </w:rPr>
        <w:t>8</w:t>
      </w:r>
      <w:r w:rsidRPr="003D1778">
        <w:rPr>
          <w:rFonts w:ascii="Times New Roman" w:hAnsi="Times New Roman" w:cs="Times New Roman"/>
        </w:rPr>
        <w:t xml:space="preserve"> pokles o</w:t>
      </w:r>
      <w:r>
        <w:rPr>
          <w:rFonts w:ascii="Times New Roman" w:hAnsi="Times New Roman" w:cs="Times New Roman"/>
        </w:rPr>
        <w:t> 32,6</w:t>
      </w:r>
      <w:r w:rsidRPr="003D1778">
        <w:rPr>
          <w:rFonts w:ascii="Times New Roman" w:hAnsi="Times New Roman" w:cs="Times New Roman"/>
        </w:rPr>
        <w:t xml:space="preserve"> tis. eur, t. j. o </w:t>
      </w:r>
      <w:r>
        <w:rPr>
          <w:rFonts w:ascii="Times New Roman" w:hAnsi="Times New Roman" w:cs="Times New Roman"/>
        </w:rPr>
        <w:t>2</w:t>
      </w:r>
      <w:r w:rsidRPr="003D1778">
        <w:rPr>
          <w:rFonts w:ascii="Times New Roman" w:hAnsi="Times New Roman" w:cs="Times New Roman"/>
        </w:rPr>
        <w:t>,</w:t>
      </w:r>
      <w:r>
        <w:rPr>
          <w:rFonts w:ascii="Times New Roman" w:hAnsi="Times New Roman" w:cs="Times New Roman"/>
        </w:rPr>
        <w:t>03</w:t>
      </w:r>
      <w:r w:rsidRPr="003D1778">
        <w:rPr>
          <w:rFonts w:ascii="Times New Roman" w:hAnsi="Times New Roman" w:cs="Times New Roman"/>
        </w:rPr>
        <w:t xml:space="preserve"> %</w:t>
      </w:r>
      <w:r>
        <w:rPr>
          <w:rFonts w:ascii="Times New Roman" w:hAnsi="Times New Roman" w:cs="Times New Roman"/>
        </w:rPr>
        <w:t>,</w:t>
      </w:r>
      <w:r w:rsidRPr="003D1778">
        <w:rPr>
          <w:rFonts w:ascii="Times New Roman" w:hAnsi="Times New Roman" w:cs="Times New Roman"/>
        </w:rPr>
        <w:t xml:space="preserve"> </w:t>
      </w:r>
      <w:r w:rsidRPr="004F751C">
        <w:rPr>
          <w:rFonts w:ascii="Times New Roman" w:hAnsi="Times New Roman" w:cs="Times New Roman"/>
        </w:rPr>
        <w:t xml:space="preserve">z dôvodu, že </w:t>
      </w:r>
      <w:r w:rsidR="00C473D8">
        <w:rPr>
          <w:rFonts w:ascii="Times New Roman" w:hAnsi="Times New Roman" w:cs="Times New Roman"/>
        </w:rPr>
        <w:t>k</w:t>
      </w:r>
      <w:r w:rsidRPr="004F751C">
        <w:rPr>
          <w:rFonts w:ascii="Times New Roman" w:hAnsi="Times New Roman" w:cs="Times New Roman"/>
        </w:rPr>
        <w:t xml:space="preserve">ancelária si presunula časť výdavkov do </w:t>
      </w:r>
      <w:r>
        <w:rPr>
          <w:rFonts w:ascii="Times New Roman" w:hAnsi="Times New Roman" w:cs="Times New Roman"/>
        </w:rPr>
        <w:t>kategórie bežné transfery.</w:t>
      </w:r>
    </w:p>
    <w:p w:rsidR="003A497B" w:rsidRPr="003D1778" w:rsidRDefault="003A497B" w:rsidP="003A497B">
      <w:pPr>
        <w:ind w:firstLine="708"/>
        <w:jc w:val="both"/>
        <w:rPr>
          <w:rFonts w:ascii="Times New Roman" w:hAnsi="Times New Roman" w:cs="Times New Roman"/>
          <w:highlight w:val="yellow"/>
        </w:rPr>
      </w:pPr>
    </w:p>
    <w:p w:rsidR="003A497B" w:rsidRDefault="003A497B" w:rsidP="003A497B">
      <w:pPr>
        <w:autoSpaceDE w:val="0"/>
        <w:autoSpaceDN w:val="0"/>
        <w:adjustRightInd w:val="0"/>
        <w:ind w:firstLine="708"/>
        <w:jc w:val="both"/>
        <w:rPr>
          <w:rFonts w:ascii="Times New Roman" w:hAnsi="Times New Roman" w:cs="Times New Roman"/>
        </w:rPr>
      </w:pPr>
      <w:r w:rsidRPr="00942F0C">
        <w:rPr>
          <w:rFonts w:ascii="Times New Roman" w:hAnsi="Times New Roman" w:cs="Times New Roman"/>
        </w:rPr>
        <w:t xml:space="preserve">Výdavky na bežné transfery sa rozpisujú v sume </w:t>
      </w:r>
      <w:r>
        <w:rPr>
          <w:rFonts w:ascii="Times New Roman" w:hAnsi="Times New Roman" w:cs="Times New Roman"/>
        </w:rPr>
        <w:t>150</w:t>
      </w:r>
      <w:r w:rsidRPr="00942F0C">
        <w:rPr>
          <w:rFonts w:ascii="Times New Roman" w:hAnsi="Times New Roman" w:cs="Times New Roman"/>
        </w:rPr>
        <w:t xml:space="preserve"> tis. eur, čo je v porovnaní so schváleným rozpočtom roku 201</w:t>
      </w:r>
      <w:r>
        <w:rPr>
          <w:rFonts w:ascii="Times New Roman" w:hAnsi="Times New Roman" w:cs="Times New Roman"/>
        </w:rPr>
        <w:t>8</w:t>
      </w:r>
      <w:r w:rsidRPr="00942F0C">
        <w:rPr>
          <w:rFonts w:ascii="Times New Roman" w:hAnsi="Times New Roman" w:cs="Times New Roman"/>
        </w:rPr>
        <w:t xml:space="preserve"> </w:t>
      </w:r>
      <w:r>
        <w:rPr>
          <w:rFonts w:ascii="Times New Roman" w:hAnsi="Times New Roman" w:cs="Times New Roman"/>
        </w:rPr>
        <w:t>nárast</w:t>
      </w:r>
      <w:r w:rsidRPr="00942F0C">
        <w:rPr>
          <w:rFonts w:ascii="Times New Roman" w:hAnsi="Times New Roman" w:cs="Times New Roman"/>
        </w:rPr>
        <w:t xml:space="preserve"> o</w:t>
      </w:r>
      <w:r>
        <w:rPr>
          <w:rFonts w:ascii="Times New Roman" w:hAnsi="Times New Roman" w:cs="Times New Roman"/>
        </w:rPr>
        <w:t> 21</w:t>
      </w:r>
      <w:r w:rsidRPr="00942F0C">
        <w:rPr>
          <w:rFonts w:ascii="Times New Roman" w:hAnsi="Times New Roman" w:cs="Times New Roman"/>
        </w:rPr>
        <w:t>,</w:t>
      </w:r>
      <w:r>
        <w:rPr>
          <w:rFonts w:ascii="Times New Roman" w:hAnsi="Times New Roman" w:cs="Times New Roman"/>
        </w:rPr>
        <w:t>8</w:t>
      </w:r>
      <w:r w:rsidRPr="00942F0C">
        <w:rPr>
          <w:rFonts w:ascii="Times New Roman" w:hAnsi="Times New Roman" w:cs="Times New Roman"/>
        </w:rPr>
        <w:t xml:space="preserve"> tis. eur, t. j. o </w:t>
      </w:r>
      <w:r>
        <w:rPr>
          <w:rFonts w:ascii="Times New Roman" w:hAnsi="Times New Roman" w:cs="Times New Roman"/>
        </w:rPr>
        <w:t>17</w:t>
      </w:r>
      <w:r w:rsidRPr="00942F0C">
        <w:rPr>
          <w:rFonts w:ascii="Times New Roman" w:hAnsi="Times New Roman" w:cs="Times New Roman"/>
        </w:rPr>
        <w:t>,</w:t>
      </w:r>
      <w:r>
        <w:rPr>
          <w:rFonts w:ascii="Times New Roman" w:hAnsi="Times New Roman" w:cs="Times New Roman"/>
        </w:rPr>
        <w:t>0 %, ktorý súvisí</w:t>
      </w:r>
      <w:r w:rsidRPr="004F751C">
        <w:rPr>
          <w:rFonts w:ascii="Times New Roman" w:hAnsi="Times New Roman" w:cs="Times New Roman"/>
        </w:rPr>
        <w:t xml:space="preserve"> s presun</w:t>
      </w:r>
      <w:r>
        <w:rPr>
          <w:rFonts w:ascii="Times New Roman" w:hAnsi="Times New Roman" w:cs="Times New Roman"/>
        </w:rPr>
        <w:t>om časti</w:t>
      </w:r>
      <w:r w:rsidRPr="004F751C">
        <w:rPr>
          <w:rFonts w:ascii="Times New Roman" w:hAnsi="Times New Roman" w:cs="Times New Roman"/>
        </w:rPr>
        <w:t xml:space="preserve"> výdavkov </w:t>
      </w:r>
      <w:r>
        <w:rPr>
          <w:rFonts w:ascii="Times New Roman" w:hAnsi="Times New Roman" w:cs="Times New Roman"/>
        </w:rPr>
        <w:t>z</w:t>
      </w:r>
      <w:r w:rsidRPr="004F751C">
        <w:rPr>
          <w:rFonts w:ascii="Times New Roman" w:hAnsi="Times New Roman" w:cs="Times New Roman"/>
        </w:rPr>
        <w:t xml:space="preserve"> </w:t>
      </w:r>
      <w:r>
        <w:rPr>
          <w:rFonts w:ascii="Times New Roman" w:hAnsi="Times New Roman" w:cs="Times New Roman"/>
        </w:rPr>
        <w:t>kategórie tovary a služby.</w:t>
      </w:r>
    </w:p>
    <w:p w:rsidR="00C473D8" w:rsidRPr="003D1778" w:rsidRDefault="00C473D8" w:rsidP="003A497B">
      <w:pPr>
        <w:autoSpaceDE w:val="0"/>
        <w:autoSpaceDN w:val="0"/>
        <w:adjustRightInd w:val="0"/>
        <w:ind w:firstLine="708"/>
        <w:jc w:val="both"/>
        <w:rPr>
          <w:rFonts w:ascii="Times New Roman" w:hAnsi="Times New Roman" w:cs="Times New Roman"/>
          <w:highlight w:val="yellow"/>
        </w:rPr>
      </w:pPr>
    </w:p>
    <w:p w:rsidR="003A497B" w:rsidRDefault="003A497B" w:rsidP="003A497B">
      <w:pPr>
        <w:ind w:firstLine="708"/>
        <w:jc w:val="both"/>
        <w:rPr>
          <w:rFonts w:ascii="Times New Roman" w:hAnsi="Times New Roman" w:cs="Times New Roman"/>
        </w:rPr>
      </w:pPr>
      <w:r w:rsidRPr="002C1E3F">
        <w:rPr>
          <w:rFonts w:ascii="Times New Roman" w:hAnsi="Times New Roman" w:cs="Times New Roman"/>
        </w:rPr>
        <w:lastRenderedPageBreak/>
        <w:t xml:space="preserve">Na kapitálové výdavky </w:t>
      </w:r>
      <w:r w:rsidR="00C473D8">
        <w:rPr>
          <w:rFonts w:ascii="Times New Roman" w:hAnsi="Times New Roman" w:cs="Times New Roman"/>
        </w:rPr>
        <w:t>k</w:t>
      </w:r>
      <w:r w:rsidRPr="002C1E3F">
        <w:rPr>
          <w:rFonts w:ascii="Times New Roman" w:hAnsi="Times New Roman" w:cs="Times New Roman"/>
        </w:rPr>
        <w:t xml:space="preserve">ancelária rozpočtuje sumu 47,0 tis. eur, čo je v porovnaní s rozpočtom na rok 2018 nárast o 47,0 </w:t>
      </w:r>
      <w:r>
        <w:rPr>
          <w:rFonts w:ascii="Times New Roman" w:hAnsi="Times New Roman" w:cs="Times New Roman"/>
        </w:rPr>
        <w:t>tis</w:t>
      </w:r>
      <w:r w:rsidRPr="002C1E3F">
        <w:rPr>
          <w:rFonts w:ascii="Times New Roman" w:hAnsi="Times New Roman" w:cs="Times New Roman"/>
        </w:rPr>
        <w:t>. eur (100</w:t>
      </w:r>
      <w:r>
        <w:rPr>
          <w:rFonts w:ascii="Times New Roman" w:hAnsi="Times New Roman" w:cs="Times New Roman"/>
        </w:rPr>
        <w:t xml:space="preserve"> </w:t>
      </w:r>
      <w:r w:rsidRPr="002C1E3F">
        <w:rPr>
          <w:rFonts w:ascii="Times New Roman" w:hAnsi="Times New Roman" w:cs="Times New Roman"/>
        </w:rPr>
        <w:t xml:space="preserve">%), keďže v roku 2018 </w:t>
      </w:r>
      <w:r w:rsidR="00C473D8">
        <w:rPr>
          <w:rFonts w:ascii="Times New Roman" w:hAnsi="Times New Roman" w:cs="Times New Roman"/>
        </w:rPr>
        <w:t>k</w:t>
      </w:r>
      <w:r w:rsidRPr="002C1E3F">
        <w:rPr>
          <w:rFonts w:ascii="Times New Roman" w:hAnsi="Times New Roman" w:cs="Times New Roman"/>
        </w:rPr>
        <w:t>ancelária nerozpočtovala kapitálové výdavky.</w:t>
      </w:r>
    </w:p>
    <w:p w:rsidR="003A497B" w:rsidRPr="00912A7B" w:rsidRDefault="003A497B" w:rsidP="003A497B">
      <w:pPr>
        <w:pStyle w:val="Nadpis5"/>
        <w:pBdr>
          <w:bottom w:val="single" w:sz="4" w:space="1" w:color="auto"/>
        </w:pBdr>
        <w:ind w:left="0"/>
        <w:rPr>
          <w:i w:val="0"/>
          <w:sz w:val="24"/>
          <w:lang w:eastAsia="sk-SK"/>
        </w:rPr>
      </w:pPr>
      <w:bookmarkStart w:id="234" w:name="_Toc400551768"/>
      <w:bookmarkStart w:id="235" w:name="_Toc494470105"/>
      <w:bookmarkStart w:id="236" w:name="_Toc494472281"/>
      <w:bookmarkStart w:id="237" w:name="_Toc526267706"/>
      <w:r w:rsidRPr="00912A7B">
        <w:rPr>
          <w:i w:val="0"/>
          <w:sz w:val="24"/>
          <w:lang w:eastAsia="sk-SK"/>
        </w:rPr>
        <w:t>Úrad vlády SR</w:t>
      </w:r>
      <w:bookmarkEnd w:id="234"/>
      <w:bookmarkEnd w:id="235"/>
      <w:bookmarkEnd w:id="236"/>
      <w:bookmarkEnd w:id="237"/>
      <w:r w:rsidRPr="00912A7B">
        <w:rPr>
          <w:i w:val="0"/>
          <w:sz w:val="24"/>
          <w:lang w:eastAsia="sk-SK"/>
        </w:rPr>
        <w:t xml:space="preserve"> </w:t>
      </w:r>
    </w:p>
    <w:p w:rsidR="003A497B" w:rsidRPr="004A3627" w:rsidRDefault="003A497B" w:rsidP="003A497B">
      <w:pPr>
        <w:rPr>
          <w:highlight w:val="yellow"/>
        </w:rPr>
      </w:pPr>
    </w:p>
    <w:tbl>
      <w:tblPr>
        <w:tblW w:w="5000" w:type="pct"/>
        <w:tblCellMar>
          <w:left w:w="70" w:type="dxa"/>
          <w:right w:w="70" w:type="dxa"/>
        </w:tblCellMar>
        <w:tblLook w:val="04A0" w:firstRow="1" w:lastRow="0" w:firstColumn="1" w:lastColumn="0" w:noHBand="0" w:noVBand="1"/>
      </w:tblPr>
      <w:tblGrid>
        <w:gridCol w:w="2369"/>
        <w:gridCol w:w="951"/>
        <w:gridCol w:w="952"/>
        <w:gridCol w:w="952"/>
        <w:gridCol w:w="981"/>
        <w:gridCol w:w="952"/>
        <w:gridCol w:w="952"/>
        <w:gridCol w:w="953"/>
      </w:tblGrid>
      <w:tr w:rsidR="003A497B" w:rsidRPr="00B7481D" w:rsidTr="003E1809">
        <w:trPr>
          <w:trHeight w:val="255"/>
        </w:trPr>
        <w:tc>
          <w:tcPr>
            <w:tcW w:w="1307" w:type="pct"/>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3A497B" w:rsidRPr="00B7481D" w:rsidRDefault="003A497B" w:rsidP="003E1809">
            <w:pPr>
              <w:rPr>
                <w:rFonts w:ascii="Times New Roman" w:hAnsi="Times New Roman" w:cs="Times New Roman"/>
                <w:b/>
                <w:bCs/>
                <w:color w:val="000000"/>
                <w:sz w:val="14"/>
                <w:szCs w:val="14"/>
              </w:rPr>
            </w:pPr>
            <w:r w:rsidRPr="00B7481D">
              <w:rPr>
                <w:rFonts w:ascii="Times New Roman" w:hAnsi="Times New Roman" w:cs="Times New Roman"/>
                <w:color w:val="000000"/>
                <w:sz w:val="14"/>
                <w:szCs w:val="14"/>
              </w:rPr>
              <w:br w:type="page"/>
            </w:r>
            <w:r w:rsidRPr="00B7481D">
              <w:rPr>
                <w:rFonts w:ascii="Times New Roman" w:hAnsi="Times New Roman" w:cs="Times New Roman"/>
                <w:b/>
                <w:bCs/>
                <w:color w:val="000000"/>
                <w:sz w:val="14"/>
                <w:szCs w:val="14"/>
              </w:rPr>
              <w:t> v eurách</w:t>
            </w:r>
          </w:p>
        </w:tc>
        <w:tc>
          <w:tcPr>
            <w:tcW w:w="525"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092426" w:rsidRDefault="003A497B" w:rsidP="003E1809">
            <w:pPr>
              <w:jc w:val="center"/>
              <w:rPr>
                <w:rFonts w:ascii="Times New Roman" w:hAnsi="Times New Roman" w:cs="Times New Roman"/>
                <w:b/>
                <w:bCs/>
                <w:color w:val="000000"/>
                <w:sz w:val="14"/>
                <w:szCs w:val="14"/>
                <w:lang w:eastAsia="sk-SK"/>
              </w:rPr>
            </w:pPr>
            <w:r w:rsidRPr="00092426">
              <w:rPr>
                <w:rFonts w:ascii="Times New Roman" w:hAnsi="Times New Roman" w:cs="Times New Roman"/>
                <w:b/>
                <w:bCs/>
                <w:color w:val="000000"/>
                <w:sz w:val="14"/>
                <w:szCs w:val="14"/>
              </w:rPr>
              <w:t>2016 S</w:t>
            </w:r>
          </w:p>
        </w:tc>
        <w:tc>
          <w:tcPr>
            <w:tcW w:w="52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92426" w:rsidRDefault="003A497B" w:rsidP="003E1809">
            <w:pPr>
              <w:jc w:val="center"/>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2017 S</w:t>
            </w:r>
          </w:p>
        </w:tc>
        <w:tc>
          <w:tcPr>
            <w:tcW w:w="52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92426" w:rsidRDefault="003A497B" w:rsidP="003E1809">
            <w:pPr>
              <w:jc w:val="center"/>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2018 R</w:t>
            </w:r>
          </w:p>
        </w:tc>
        <w:tc>
          <w:tcPr>
            <w:tcW w:w="541"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92426" w:rsidRDefault="003A497B" w:rsidP="003E1809">
            <w:pPr>
              <w:jc w:val="center"/>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2018 OS</w:t>
            </w:r>
          </w:p>
        </w:tc>
        <w:tc>
          <w:tcPr>
            <w:tcW w:w="52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92426" w:rsidRDefault="003A497B" w:rsidP="003E1809">
            <w:pPr>
              <w:jc w:val="center"/>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2019 N</w:t>
            </w:r>
          </w:p>
        </w:tc>
        <w:tc>
          <w:tcPr>
            <w:tcW w:w="52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92426" w:rsidRDefault="003A497B" w:rsidP="003E1809">
            <w:pPr>
              <w:jc w:val="center"/>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2020 N</w:t>
            </w:r>
          </w:p>
        </w:tc>
        <w:tc>
          <w:tcPr>
            <w:tcW w:w="52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092426" w:rsidRDefault="003A497B" w:rsidP="003E1809">
            <w:pPr>
              <w:jc w:val="center"/>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2021 N</w:t>
            </w:r>
          </w:p>
        </w:tc>
      </w:tr>
      <w:tr w:rsidR="003A497B" w:rsidRPr="00B7481D" w:rsidTr="003E1809">
        <w:trPr>
          <w:trHeight w:val="255"/>
        </w:trPr>
        <w:tc>
          <w:tcPr>
            <w:tcW w:w="1307" w:type="pct"/>
            <w:tcBorders>
              <w:top w:val="nil"/>
              <w:left w:val="single" w:sz="4" w:space="0" w:color="auto"/>
              <w:bottom w:val="single" w:sz="4" w:space="0" w:color="auto"/>
              <w:right w:val="single" w:sz="4" w:space="0" w:color="auto"/>
            </w:tcBorders>
            <w:shd w:val="clear" w:color="000000" w:fill="C0C0C0"/>
            <w:noWrap/>
            <w:vAlign w:val="center"/>
            <w:hideMark/>
          </w:tcPr>
          <w:p w:rsidR="003A497B" w:rsidRPr="00B7481D" w:rsidRDefault="003A497B" w:rsidP="003E1809">
            <w:pPr>
              <w:rPr>
                <w:rFonts w:ascii="Times New Roman" w:hAnsi="Times New Roman" w:cs="Times New Roman"/>
                <w:b/>
                <w:bCs/>
                <w:color w:val="000000"/>
                <w:sz w:val="14"/>
                <w:szCs w:val="14"/>
              </w:rPr>
            </w:pPr>
            <w:r w:rsidRPr="00B7481D">
              <w:rPr>
                <w:rFonts w:ascii="Times New Roman" w:hAnsi="Times New Roman" w:cs="Times New Roman"/>
                <w:b/>
                <w:bCs/>
                <w:color w:val="000000"/>
                <w:sz w:val="14"/>
                <w:szCs w:val="14"/>
              </w:rPr>
              <w:t>Zdroje príslušnej kapitoly</w:t>
            </w:r>
          </w:p>
        </w:tc>
        <w:tc>
          <w:tcPr>
            <w:tcW w:w="525"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71 405 462</w:t>
            </w:r>
          </w:p>
        </w:tc>
        <w:tc>
          <w:tcPr>
            <w:tcW w:w="525" w:type="pct"/>
            <w:tcBorders>
              <w:top w:val="nil"/>
              <w:left w:val="nil"/>
              <w:bottom w:val="single" w:sz="4" w:space="0" w:color="auto"/>
              <w:right w:val="single" w:sz="4" w:space="0" w:color="auto"/>
            </w:tcBorders>
            <w:shd w:val="clear" w:color="000000" w:fill="BFBFBF"/>
            <w:noWrap/>
            <w:vAlign w:val="bottom"/>
            <w:hideMark/>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50 557 078</w:t>
            </w:r>
          </w:p>
        </w:tc>
        <w:tc>
          <w:tcPr>
            <w:tcW w:w="525" w:type="pct"/>
            <w:tcBorders>
              <w:top w:val="nil"/>
              <w:left w:val="nil"/>
              <w:bottom w:val="single" w:sz="4" w:space="0" w:color="auto"/>
              <w:right w:val="single" w:sz="4" w:space="0" w:color="auto"/>
            </w:tcBorders>
            <w:shd w:val="clear" w:color="000000" w:fill="BFBFBF"/>
            <w:noWrap/>
            <w:vAlign w:val="bottom"/>
            <w:hideMark/>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31 244 159</w:t>
            </w:r>
          </w:p>
        </w:tc>
        <w:tc>
          <w:tcPr>
            <w:tcW w:w="541"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A497B" w:rsidRPr="0028785D" w:rsidRDefault="003A497B" w:rsidP="003E1809">
            <w:pPr>
              <w:jc w:val="right"/>
              <w:rPr>
                <w:rFonts w:ascii="Times New Roman" w:hAnsi="Times New Roman" w:cs="Times New Roman"/>
                <w:b/>
                <w:bCs/>
                <w:color w:val="000000"/>
                <w:sz w:val="14"/>
                <w:szCs w:val="14"/>
                <w:lang w:eastAsia="sk-SK"/>
              </w:rPr>
            </w:pPr>
            <w:r w:rsidRPr="0028785D">
              <w:rPr>
                <w:rFonts w:ascii="Times New Roman" w:hAnsi="Times New Roman" w:cs="Times New Roman"/>
                <w:b/>
                <w:bCs/>
                <w:color w:val="000000"/>
                <w:sz w:val="14"/>
                <w:szCs w:val="14"/>
              </w:rPr>
              <w:t>55 571 323</w:t>
            </w:r>
          </w:p>
        </w:tc>
        <w:tc>
          <w:tcPr>
            <w:tcW w:w="525" w:type="pct"/>
            <w:tcBorders>
              <w:top w:val="nil"/>
              <w:left w:val="nil"/>
              <w:bottom w:val="single" w:sz="4" w:space="0" w:color="auto"/>
              <w:right w:val="single" w:sz="4" w:space="0" w:color="auto"/>
            </w:tcBorders>
            <w:shd w:val="clear" w:color="000000" w:fill="BFBFBF"/>
            <w:noWrap/>
            <w:vAlign w:val="bottom"/>
            <w:hideMark/>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54 043 058</w:t>
            </w:r>
          </w:p>
        </w:tc>
        <w:tc>
          <w:tcPr>
            <w:tcW w:w="525" w:type="pct"/>
            <w:tcBorders>
              <w:top w:val="nil"/>
              <w:left w:val="nil"/>
              <w:bottom w:val="single" w:sz="4" w:space="0" w:color="auto"/>
              <w:right w:val="single" w:sz="4" w:space="0" w:color="auto"/>
            </w:tcBorders>
            <w:shd w:val="clear" w:color="000000" w:fill="BFBFBF"/>
            <w:noWrap/>
            <w:vAlign w:val="bottom"/>
            <w:hideMark/>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48 165 391</w:t>
            </w:r>
          </w:p>
        </w:tc>
        <w:tc>
          <w:tcPr>
            <w:tcW w:w="526" w:type="pct"/>
            <w:tcBorders>
              <w:top w:val="nil"/>
              <w:left w:val="nil"/>
              <w:bottom w:val="single" w:sz="4" w:space="0" w:color="auto"/>
              <w:right w:val="single" w:sz="4" w:space="0" w:color="auto"/>
            </w:tcBorders>
            <w:shd w:val="clear" w:color="000000" w:fill="BFBFBF"/>
            <w:noWrap/>
            <w:vAlign w:val="bottom"/>
            <w:hideMark/>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48 896 698</w:t>
            </w:r>
          </w:p>
        </w:tc>
      </w:tr>
      <w:tr w:rsidR="003A497B" w:rsidRPr="00B7481D" w:rsidTr="003E1809">
        <w:trPr>
          <w:trHeight w:val="255"/>
        </w:trPr>
        <w:tc>
          <w:tcPr>
            <w:tcW w:w="1307" w:type="pct"/>
            <w:tcBorders>
              <w:top w:val="nil"/>
              <w:left w:val="single" w:sz="4" w:space="0" w:color="auto"/>
              <w:bottom w:val="single" w:sz="4" w:space="0" w:color="auto"/>
              <w:right w:val="single" w:sz="4" w:space="0" w:color="auto"/>
            </w:tcBorders>
            <w:noWrap/>
            <w:vAlign w:val="center"/>
            <w:hideMark/>
          </w:tcPr>
          <w:p w:rsidR="003A497B" w:rsidRPr="00B7481D" w:rsidRDefault="003A497B" w:rsidP="003E1809">
            <w:pPr>
              <w:rPr>
                <w:rFonts w:ascii="Times New Roman" w:hAnsi="Times New Roman" w:cs="Times New Roman"/>
                <w:b/>
                <w:color w:val="000000"/>
                <w:sz w:val="14"/>
                <w:szCs w:val="14"/>
              </w:rPr>
            </w:pPr>
            <w:r w:rsidRPr="00B7481D">
              <w:rPr>
                <w:rFonts w:ascii="Times New Roman" w:hAnsi="Times New Roman" w:cs="Times New Roman"/>
                <w:b/>
                <w:color w:val="000000"/>
                <w:sz w:val="14"/>
                <w:szCs w:val="14"/>
              </w:rPr>
              <w:t>rozpočtové zdroje kapitoly</w:t>
            </w:r>
          </w:p>
        </w:tc>
        <w:tc>
          <w:tcPr>
            <w:tcW w:w="525" w:type="pct"/>
            <w:tcBorders>
              <w:top w:val="nil"/>
              <w:left w:val="single" w:sz="4" w:space="0" w:color="auto"/>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32 571 527</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38 055 974</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22 431 335</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3A497B" w:rsidRPr="0028785D" w:rsidRDefault="003A497B" w:rsidP="003E1809">
            <w:pPr>
              <w:jc w:val="right"/>
              <w:rPr>
                <w:rFonts w:ascii="Times New Roman" w:hAnsi="Times New Roman" w:cs="Times New Roman"/>
                <w:b/>
                <w:bCs/>
                <w:color w:val="000000"/>
                <w:sz w:val="14"/>
                <w:szCs w:val="14"/>
              </w:rPr>
            </w:pPr>
            <w:r w:rsidRPr="0028785D">
              <w:rPr>
                <w:rFonts w:ascii="Times New Roman" w:hAnsi="Times New Roman" w:cs="Times New Roman"/>
                <w:b/>
                <w:bCs/>
                <w:color w:val="000000"/>
                <w:sz w:val="14"/>
                <w:szCs w:val="14"/>
              </w:rPr>
              <w:t>47 013 499</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23 387 977</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23 378 260</w:t>
            </w:r>
          </w:p>
        </w:tc>
        <w:tc>
          <w:tcPr>
            <w:tcW w:w="526"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23 378 260</w:t>
            </w:r>
          </w:p>
        </w:tc>
      </w:tr>
      <w:tr w:rsidR="003A497B" w:rsidRPr="00B7481D" w:rsidTr="003E1809">
        <w:trPr>
          <w:trHeight w:val="255"/>
        </w:trPr>
        <w:tc>
          <w:tcPr>
            <w:tcW w:w="1307" w:type="pct"/>
            <w:tcBorders>
              <w:top w:val="nil"/>
              <w:left w:val="single" w:sz="4" w:space="0" w:color="auto"/>
              <w:bottom w:val="single" w:sz="4" w:space="0" w:color="auto"/>
              <w:right w:val="single" w:sz="4" w:space="0" w:color="auto"/>
            </w:tcBorders>
            <w:noWrap/>
            <w:vAlign w:val="center"/>
            <w:hideMark/>
          </w:tcPr>
          <w:p w:rsidR="003A497B" w:rsidRPr="00B7481D" w:rsidRDefault="003A497B" w:rsidP="003E1809">
            <w:pPr>
              <w:rPr>
                <w:rFonts w:ascii="Times New Roman" w:hAnsi="Times New Roman" w:cs="Times New Roman"/>
                <w:color w:val="000000"/>
                <w:sz w:val="14"/>
                <w:szCs w:val="14"/>
              </w:rPr>
            </w:pPr>
            <w:r w:rsidRPr="00B7481D">
              <w:rPr>
                <w:rFonts w:ascii="Times New Roman" w:hAnsi="Times New Roman" w:cs="Times New Roman"/>
                <w:color w:val="000000"/>
                <w:sz w:val="14"/>
                <w:szCs w:val="14"/>
              </w:rPr>
              <w:t>v tom: bežné výdavky  600</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color w:val="000000"/>
                <w:sz w:val="14"/>
                <w:szCs w:val="14"/>
                <w:lang w:eastAsia="sk-SK"/>
              </w:rPr>
            </w:pPr>
            <w:r w:rsidRPr="00092426">
              <w:rPr>
                <w:rFonts w:ascii="Times New Roman" w:hAnsi="Times New Roman" w:cs="Times New Roman"/>
                <w:color w:val="000000"/>
                <w:sz w:val="14"/>
                <w:szCs w:val="14"/>
              </w:rPr>
              <w:t>29 028 495</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37 736 765</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21 374 229</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3A497B" w:rsidRPr="0028785D" w:rsidRDefault="003A497B" w:rsidP="003E1809">
            <w:pPr>
              <w:jc w:val="right"/>
              <w:rPr>
                <w:rFonts w:ascii="Times New Roman" w:hAnsi="Times New Roman" w:cs="Times New Roman"/>
                <w:color w:val="000000"/>
                <w:sz w:val="14"/>
                <w:szCs w:val="14"/>
              </w:rPr>
            </w:pPr>
            <w:r w:rsidRPr="0028785D">
              <w:rPr>
                <w:rFonts w:ascii="Times New Roman" w:hAnsi="Times New Roman" w:cs="Times New Roman"/>
                <w:color w:val="000000"/>
                <w:sz w:val="14"/>
                <w:szCs w:val="14"/>
              </w:rPr>
              <w:t>40 491 450</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22 330 871</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22 321 154</w:t>
            </w:r>
          </w:p>
        </w:tc>
        <w:tc>
          <w:tcPr>
            <w:tcW w:w="526" w:type="pct"/>
            <w:tcBorders>
              <w:top w:val="single" w:sz="4" w:space="0" w:color="auto"/>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22 321 154</w:t>
            </w:r>
          </w:p>
        </w:tc>
      </w:tr>
      <w:tr w:rsidR="003A497B" w:rsidRPr="00B7481D" w:rsidTr="003E1809">
        <w:trPr>
          <w:trHeight w:val="255"/>
        </w:trPr>
        <w:tc>
          <w:tcPr>
            <w:tcW w:w="1307" w:type="pct"/>
            <w:tcBorders>
              <w:top w:val="nil"/>
              <w:left w:val="single" w:sz="4" w:space="0" w:color="auto"/>
              <w:bottom w:val="single" w:sz="4" w:space="0" w:color="auto"/>
              <w:right w:val="single" w:sz="4" w:space="0" w:color="auto"/>
            </w:tcBorders>
            <w:noWrap/>
            <w:vAlign w:val="center"/>
            <w:hideMark/>
          </w:tcPr>
          <w:p w:rsidR="003A497B" w:rsidRPr="00B7481D" w:rsidRDefault="003A497B" w:rsidP="003E1809">
            <w:pPr>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610 mzdy</w:t>
            </w:r>
          </w:p>
        </w:tc>
        <w:tc>
          <w:tcPr>
            <w:tcW w:w="525" w:type="pct"/>
            <w:tcBorders>
              <w:top w:val="nil"/>
              <w:left w:val="single" w:sz="4" w:space="0" w:color="auto"/>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5 443 735</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6 346 676</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6 592 286</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3A497B" w:rsidRPr="0028785D" w:rsidRDefault="003A497B" w:rsidP="003E1809">
            <w:pPr>
              <w:jc w:val="right"/>
              <w:rPr>
                <w:rFonts w:ascii="Times New Roman" w:hAnsi="Times New Roman" w:cs="Times New Roman"/>
                <w:color w:val="000000"/>
                <w:sz w:val="14"/>
                <w:szCs w:val="14"/>
              </w:rPr>
            </w:pPr>
            <w:r w:rsidRPr="0028785D">
              <w:rPr>
                <w:rFonts w:ascii="Times New Roman" w:hAnsi="Times New Roman" w:cs="Times New Roman"/>
                <w:color w:val="000000"/>
                <w:sz w:val="14"/>
                <w:szCs w:val="14"/>
              </w:rPr>
              <w:t>6 912 150</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sz w:val="14"/>
                <w:szCs w:val="14"/>
              </w:rPr>
            </w:pPr>
            <w:r w:rsidRPr="00092426">
              <w:rPr>
                <w:rFonts w:ascii="Times New Roman" w:hAnsi="Times New Roman" w:cs="Times New Roman"/>
                <w:sz w:val="14"/>
                <w:szCs w:val="14"/>
              </w:rPr>
              <w:t>6 986 752</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sz w:val="14"/>
                <w:szCs w:val="14"/>
              </w:rPr>
            </w:pPr>
            <w:r w:rsidRPr="00092426">
              <w:rPr>
                <w:rFonts w:ascii="Times New Roman" w:hAnsi="Times New Roman" w:cs="Times New Roman"/>
                <w:sz w:val="14"/>
                <w:szCs w:val="14"/>
              </w:rPr>
              <w:t>6 986 752</w:t>
            </w:r>
          </w:p>
        </w:tc>
        <w:tc>
          <w:tcPr>
            <w:tcW w:w="526"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sz w:val="14"/>
                <w:szCs w:val="14"/>
              </w:rPr>
            </w:pPr>
            <w:r w:rsidRPr="00092426">
              <w:rPr>
                <w:rFonts w:ascii="Times New Roman" w:hAnsi="Times New Roman" w:cs="Times New Roman"/>
                <w:sz w:val="14"/>
                <w:szCs w:val="14"/>
              </w:rPr>
              <w:t>6 986 752</w:t>
            </w:r>
          </w:p>
        </w:tc>
      </w:tr>
      <w:tr w:rsidR="003A497B" w:rsidRPr="00B7481D" w:rsidTr="003E1809">
        <w:trPr>
          <w:trHeight w:val="255"/>
        </w:trPr>
        <w:tc>
          <w:tcPr>
            <w:tcW w:w="1307" w:type="pct"/>
            <w:tcBorders>
              <w:top w:val="nil"/>
              <w:left w:val="single" w:sz="4" w:space="0" w:color="auto"/>
              <w:bottom w:val="single" w:sz="4" w:space="0" w:color="auto"/>
              <w:right w:val="single" w:sz="4" w:space="0" w:color="auto"/>
            </w:tcBorders>
            <w:noWrap/>
            <w:vAlign w:val="center"/>
            <w:hideMark/>
          </w:tcPr>
          <w:p w:rsidR="003A497B" w:rsidRPr="00B7481D" w:rsidRDefault="003A497B" w:rsidP="003E1809">
            <w:pPr>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620 odvody</w:t>
            </w:r>
          </w:p>
        </w:tc>
        <w:tc>
          <w:tcPr>
            <w:tcW w:w="525" w:type="pct"/>
            <w:tcBorders>
              <w:top w:val="nil"/>
              <w:left w:val="single" w:sz="4" w:space="0" w:color="auto"/>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2 243 379</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2 720 693</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2 325 810</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3A497B" w:rsidRPr="0028785D" w:rsidRDefault="003A497B" w:rsidP="003E1809">
            <w:pPr>
              <w:jc w:val="right"/>
              <w:rPr>
                <w:rFonts w:ascii="Times New Roman" w:hAnsi="Times New Roman" w:cs="Times New Roman"/>
                <w:color w:val="000000"/>
                <w:sz w:val="14"/>
                <w:szCs w:val="14"/>
              </w:rPr>
            </w:pPr>
            <w:r w:rsidRPr="0028785D">
              <w:rPr>
                <w:rFonts w:ascii="Times New Roman" w:hAnsi="Times New Roman" w:cs="Times New Roman"/>
                <w:color w:val="000000"/>
                <w:sz w:val="14"/>
                <w:szCs w:val="14"/>
              </w:rPr>
              <w:t>2 438 035</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sz w:val="14"/>
                <w:szCs w:val="14"/>
              </w:rPr>
            </w:pPr>
            <w:r w:rsidRPr="00092426">
              <w:rPr>
                <w:rFonts w:ascii="Times New Roman" w:hAnsi="Times New Roman" w:cs="Times New Roman"/>
                <w:sz w:val="14"/>
                <w:szCs w:val="14"/>
              </w:rPr>
              <w:t>2 773 895</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sz w:val="14"/>
                <w:szCs w:val="14"/>
              </w:rPr>
            </w:pPr>
            <w:r w:rsidRPr="00092426">
              <w:rPr>
                <w:rFonts w:ascii="Times New Roman" w:hAnsi="Times New Roman" w:cs="Times New Roman"/>
                <w:sz w:val="14"/>
                <w:szCs w:val="14"/>
              </w:rPr>
              <w:t>2 773 895</w:t>
            </w:r>
          </w:p>
        </w:tc>
        <w:tc>
          <w:tcPr>
            <w:tcW w:w="526"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sz w:val="14"/>
                <w:szCs w:val="14"/>
              </w:rPr>
            </w:pPr>
            <w:r w:rsidRPr="00092426">
              <w:rPr>
                <w:rFonts w:ascii="Times New Roman" w:hAnsi="Times New Roman" w:cs="Times New Roman"/>
                <w:sz w:val="14"/>
                <w:szCs w:val="14"/>
              </w:rPr>
              <w:t>2 773 895</w:t>
            </w:r>
          </w:p>
        </w:tc>
      </w:tr>
      <w:tr w:rsidR="003A497B" w:rsidRPr="00B7481D" w:rsidTr="003E1809">
        <w:trPr>
          <w:trHeight w:val="255"/>
        </w:trPr>
        <w:tc>
          <w:tcPr>
            <w:tcW w:w="1307" w:type="pct"/>
            <w:tcBorders>
              <w:top w:val="nil"/>
              <w:left w:val="single" w:sz="4" w:space="0" w:color="auto"/>
              <w:bottom w:val="single" w:sz="4" w:space="0" w:color="auto"/>
              <w:right w:val="single" w:sz="4" w:space="0" w:color="auto"/>
            </w:tcBorders>
            <w:noWrap/>
            <w:vAlign w:val="center"/>
            <w:hideMark/>
          </w:tcPr>
          <w:p w:rsidR="003A497B" w:rsidRPr="00B7481D" w:rsidRDefault="003A497B" w:rsidP="003E1809">
            <w:pPr>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630 tovary a služby</w:t>
            </w:r>
          </w:p>
        </w:tc>
        <w:tc>
          <w:tcPr>
            <w:tcW w:w="525" w:type="pct"/>
            <w:tcBorders>
              <w:top w:val="nil"/>
              <w:left w:val="single" w:sz="4" w:space="0" w:color="auto"/>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5 133 120</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6 272 284</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5 575 076</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3A497B" w:rsidRPr="0028785D" w:rsidRDefault="003A497B" w:rsidP="003E1809">
            <w:pPr>
              <w:jc w:val="right"/>
              <w:rPr>
                <w:rFonts w:ascii="Times New Roman" w:hAnsi="Times New Roman" w:cs="Times New Roman"/>
                <w:color w:val="000000"/>
                <w:sz w:val="14"/>
                <w:szCs w:val="14"/>
              </w:rPr>
            </w:pPr>
            <w:r w:rsidRPr="0028785D">
              <w:rPr>
                <w:rFonts w:ascii="Times New Roman" w:hAnsi="Times New Roman" w:cs="Times New Roman"/>
                <w:color w:val="000000"/>
                <w:sz w:val="14"/>
                <w:szCs w:val="14"/>
              </w:rPr>
              <w:t>5 899 628</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sz w:val="14"/>
                <w:szCs w:val="14"/>
              </w:rPr>
            </w:pPr>
            <w:r w:rsidRPr="00092426">
              <w:rPr>
                <w:rFonts w:ascii="Times New Roman" w:hAnsi="Times New Roman" w:cs="Times New Roman"/>
                <w:sz w:val="14"/>
                <w:szCs w:val="14"/>
              </w:rPr>
              <w:t>5 654 478</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sz w:val="14"/>
                <w:szCs w:val="14"/>
              </w:rPr>
            </w:pPr>
            <w:r w:rsidRPr="00092426">
              <w:rPr>
                <w:rFonts w:ascii="Times New Roman" w:hAnsi="Times New Roman" w:cs="Times New Roman"/>
                <w:sz w:val="14"/>
                <w:szCs w:val="14"/>
              </w:rPr>
              <w:t>5 654 478</w:t>
            </w:r>
          </w:p>
        </w:tc>
        <w:tc>
          <w:tcPr>
            <w:tcW w:w="526"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sz w:val="14"/>
                <w:szCs w:val="14"/>
              </w:rPr>
            </w:pPr>
            <w:r w:rsidRPr="00092426">
              <w:rPr>
                <w:rFonts w:ascii="Times New Roman" w:hAnsi="Times New Roman" w:cs="Times New Roman"/>
                <w:sz w:val="14"/>
                <w:szCs w:val="14"/>
              </w:rPr>
              <w:t>5 654 478</w:t>
            </w:r>
          </w:p>
        </w:tc>
      </w:tr>
      <w:tr w:rsidR="003A497B" w:rsidRPr="00B7481D" w:rsidTr="003E1809">
        <w:trPr>
          <w:trHeight w:val="255"/>
        </w:trPr>
        <w:tc>
          <w:tcPr>
            <w:tcW w:w="1307" w:type="pct"/>
            <w:tcBorders>
              <w:top w:val="nil"/>
              <w:left w:val="single" w:sz="4" w:space="0" w:color="auto"/>
              <w:bottom w:val="single" w:sz="4" w:space="0" w:color="auto"/>
              <w:right w:val="single" w:sz="4" w:space="0" w:color="auto"/>
            </w:tcBorders>
            <w:noWrap/>
            <w:vAlign w:val="center"/>
            <w:hideMark/>
          </w:tcPr>
          <w:p w:rsidR="003A497B" w:rsidRPr="00B7481D" w:rsidRDefault="003A497B" w:rsidP="003E1809">
            <w:pPr>
              <w:rPr>
                <w:rFonts w:ascii="Times New Roman" w:hAnsi="Times New Roman" w:cs="Times New Roman"/>
                <w:color w:val="000000"/>
                <w:sz w:val="14"/>
                <w:szCs w:val="14"/>
              </w:rPr>
            </w:pPr>
            <w:r w:rsidRPr="00B7481D">
              <w:rPr>
                <w:rFonts w:ascii="Times New Roman" w:hAnsi="Times New Roman" w:cs="Times New Roman"/>
                <w:color w:val="000000"/>
                <w:sz w:val="14"/>
                <w:szCs w:val="14"/>
              </w:rPr>
              <w:t xml:space="preserve">                              640 bežné transfery</w:t>
            </w:r>
          </w:p>
        </w:tc>
        <w:tc>
          <w:tcPr>
            <w:tcW w:w="525" w:type="pct"/>
            <w:tcBorders>
              <w:top w:val="nil"/>
              <w:left w:val="single" w:sz="4" w:space="0" w:color="auto"/>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16 208 261</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22 397 112</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6 881 057</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3A497B" w:rsidRPr="0028785D" w:rsidRDefault="003A497B" w:rsidP="003E1809">
            <w:pPr>
              <w:jc w:val="right"/>
              <w:rPr>
                <w:rFonts w:ascii="Times New Roman" w:hAnsi="Times New Roman" w:cs="Times New Roman"/>
                <w:color w:val="000000"/>
                <w:sz w:val="14"/>
                <w:szCs w:val="14"/>
              </w:rPr>
            </w:pPr>
            <w:r w:rsidRPr="0028785D">
              <w:rPr>
                <w:rFonts w:ascii="Times New Roman" w:hAnsi="Times New Roman" w:cs="Times New Roman"/>
                <w:color w:val="000000"/>
                <w:sz w:val="14"/>
                <w:szCs w:val="14"/>
              </w:rPr>
              <w:t>25 241 637</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sz w:val="14"/>
                <w:szCs w:val="14"/>
              </w:rPr>
            </w:pPr>
            <w:r w:rsidRPr="00092426">
              <w:rPr>
                <w:rFonts w:ascii="Times New Roman" w:hAnsi="Times New Roman" w:cs="Times New Roman"/>
                <w:sz w:val="14"/>
                <w:szCs w:val="14"/>
              </w:rPr>
              <w:t>6 915 746</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sz w:val="14"/>
                <w:szCs w:val="14"/>
              </w:rPr>
            </w:pPr>
            <w:r w:rsidRPr="00092426">
              <w:rPr>
                <w:rFonts w:ascii="Times New Roman" w:hAnsi="Times New Roman" w:cs="Times New Roman"/>
                <w:sz w:val="14"/>
                <w:szCs w:val="14"/>
              </w:rPr>
              <w:t>6 906 029</w:t>
            </w:r>
          </w:p>
        </w:tc>
        <w:tc>
          <w:tcPr>
            <w:tcW w:w="526"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sz w:val="14"/>
                <w:szCs w:val="14"/>
              </w:rPr>
            </w:pPr>
            <w:r w:rsidRPr="00092426">
              <w:rPr>
                <w:rFonts w:ascii="Times New Roman" w:hAnsi="Times New Roman" w:cs="Times New Roman"/>
                <w:sz w:val="14"/>
                <w:szCs w:val="14"/>
              </w:rPr>
              <w:t>6 906 029</w:t>
            </w:r>
          </w:p>
        </w:tc>
      </w:tr>
      <w:tr w:rsidR="003A497B" w:rsidRPr="00B7481D" w:rsidTr="003E1809">
        <w:trPr>
          <w:trHeight w:val="255"/>
        </w:trPr>
        <w:tc>
          <w:tcPr>
            <w:tcW w:w="1307" w:type="pct"/>
            <w:tcBorders>
              <w:top w:val="nil"/>
              <w:left w:val="single" w:sz="4" w:space="0" w:color="auto"/>
              <w:bottom w:val="single" w:sz="4" w:space="0" w:color="auto"/>
              <w:right w:val="single" w:sz="4" w:space="0" w:color="auto"/>
            </w:tcBorders>
            <w:noWrap/>
            <w:vAlign w:val="center"/>
            <w:hideMark/>
          </w:tcPr>
          <w:p w:rsidR="003A497B" w:rsidRPr="00B7481D" w:rsidRDefault="003A497B" w:rsidP="003E1809">
            <w:pPr>
              <w:rPr>
                <w:rFonts w:ascii="Times New Roman" w:hAnsi="Times New Roman" w:cs="Times New Roman"/>
                <w:color w:val="000000"/>
                <w:sz w:val="14"/>
                <w:szCs w:val="14"/>
              </w:rPr>
            </w:pPr>
            <w:r>
              <w:rPr>
                <w:rFonts w:ascii="Times New Roman" w:hAnsi="Times New Roman" w:cs="Times New Roman"/>
                <w:color w:val="000000"/>
                <w:sz w:val="14"/>
                <w:szCs w:val="14"/>
              </w:rPr>
              <w:t xml:space="preserve">            </w:t>
            </w:r>
            <w:r w:rsidRPr="00B7481D">
              <w:rPr>
                <w:rFonts w:ascii="Times New Roman" w:hAnsi="Times New Roman" w:cs="Times New Roman"/>
                <w:color w:val="000000"/>
                <w:sz w:val="14"/>
                <w:szCs w:val="14"/>
              </w:rPr>
              <w:t>kapitálové výdavky 700</w:t>
            </w:r>
          </w:p>
        </w:tc>
        <w:tc>
          <w:tcPr>
            <w:tcW w:w="525" w:type="pct"/>
            <w:tcBorders>
              <w:top w:val="nil"/>
              <w:left w:val="single" w:sz="4" w:space="0" w:color="auto"/>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3 543 032</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319 209</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1 057 106</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3A497B" w:rsidRPr="0028785D" w:rsidRDefault="003A497B" w:rsidP="003E1809">
            <w:pPr>
              <w:jc w:val="right"/>
              <w:rPr>
                <w:rFonts w:ascii="Times New Roman" w:hAnsi="Times New Roman" w:cs="Times New Roman"/>
                <w:color w:val="000000"/>
                <w:sz w:val="14"/>
                <w:szCs w:val="14"/>
              </w:rPr>
            </w:pPr>
            <w:r w:rsidRPr="0028785D">
              <w:rPr>
                <w:rFonts w:ascii="Times New Roman" w:hAnsi="Times New Roman" w:cs="Times New Roman"/>
                <w:color w:val="000000"/>
                <w:sz w:val="14"/>
                <w:szCs w:val="14"/>
              </w:rPr>
              <w:t>6 522 049</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sz w:val="14"/>
                <w:szCs w:val="14"/>
              </w:rPr>
            </w:pPr>
            <w:r w:rsidRPr="00092426">
              <w:rPr>
                <w:rFonts w:ascii="Times New Roman" w:hAnsi="Times New Roman" w:cs="Times New Roman"/>
                <w:sz w:val="14"/>
                <w:szCs w:val="14"/>
              </w:rPr>
              <w:t>1 057 106</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sz w:val="14"/>
                <w:szCs w:val="14"/>
              </w:rPr>
            </w:pPr>
            <w:r w:rsidRPr="00092426">
              <w:rPr>
                <w:rFonts w:ascii="Times New Roman" w:hAnsi="Times New Roman" w:cs="Times New Roman"/>
                <w:sz w:val="14"/>
                <w:szCs w:val="14"/>
              </w:rPr>
              <w:t>1 057 106</w:t>
            </w:r>
          </w:p>
        </w:tc>
        <w:tc>
          <w:tcPr>
            <w:tcW w:w="526"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sz w:val="14"/>
                <w:szCs w:val="14"/>
              </w:rPr>
            </w:pPr>
            <w:r w:rsidRPr="00092426">
              <w:rPr>
                <w:rFonts w:ascii="Times New Roman" w:hAnsi="Times New Roman" w:cs="Times New Roman"/>
                <w:sz w:val="14"/>
                <w:szCs w:val="14"/>
              </w:rPr>
              <w:t>1 057 106</w:t>
            </w:r>
          </w:p>
        </w:tc>
      </w:tr>
      <w:tr w:rsidR="003A497B" w:rsidRPr="00B7481D" w:rsidTr="003E1809">
        <w:trPr>
          <w:trHeight w:val="255"/>
        </w:trPr>
        <w:tc>
          <w:tcPr>
            <w:tcW w:w="1307" w:type="pct"/>
            <w:tcBorders>
              <w:top w:val="nil"/>
              <w:left w:val="single" w:sz="4" w:space="0" w:color="auto"/>
              <w:bottom w:val="single" w:sz="4" w:space="0" w:color="auto"/>
              <w:right w:val="single" w:sz="4" w:space="0" w:color="auto"/>
            </w:tcBorders>
            <w:noWrap/>
            <w:vAlign w:val="center"/>
          </w:tcPr>
          <w:p w:rsidR="003A497B" w:rsidRPr="001A4D64" w:rsidRDefault="003A497B" w:rsidP="003E1809">
            <w:pPr>
              <w:rPr>
                <w:rFonts w:ascii="Times New Roman" w:hAnsi="Times New Roman" w:cs="Times New Roman"/>
                <w:b/>
                <w:bCs/>
                <w:color w:val="000000"/>
                <w:sz w:val="14"/>
                <w:szCs w:val="14"/>
              </w:rPr>
            </w:pPr>
            <w:r w:rsidRPr="001A4D64">
              <w:rPr>
                <w:rFonts w:ascii="Times New Roman" w:hAnsi="Times New Roman" w:cs="Times New Roman"/>
                <w:b/>
                <w:bCs/>
                <w:color w:val="000000"/>
                <w:sz w:val="14"/>
                <w:szCs w:val="14"/>
              </w:rPr>
              <w:t>zdroje EÚ vrátane spolufinancovania</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b/>
                <w:bCs/>
                <w:color w:val="000000"/>
                <w:sz w:val="14"/>
                <w:szCs w:val="14"/>
                <w:lang w:eastAsia="sk-SK"/>
              </w:rPr>
            </w:pPr>
            <w:r w:rsidRPr="00092426">
              <w:rPr>
                <w:rFonts w:ascii="Times New Roman" w:hAnsi="Times New Roman" w:cs="Times New Roman"/>
                <w:b/>
                <w:bCs/>
                <w:color w:val="000000"/>
                <w:sz w:val="14"/>
                <w:szCs w:val="14"/>
              </w:rPr>
              <w:t>0</w:t>
            </w:r>
          </w:p>
        </w:tc>
        <w:tc>
          <w:tcPr>
            <w:tcW w:w="525" w:type="pct"/>
            <w:tcBorders>
              <w:top w:val="single" w:sz="4" w:space="0" w:color="auto"/>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2 240 576</w:t>
            </w:r>
          </w:p>
        </w:tc>
        <w:tc>
          <w:tcPr>
            <w:tcW w:w="525" w:type="pct"/>
            <w:tcBorders>
              <w:top w:val="single" w:sz="4" w:space="0" w:color="auto"/>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8 557 824</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28785D" w:rsidRDefault="003A497B" w:rsidP="003E1809">
            <w:pPr>
              <w:jc w:val="right"/>
              <w:rPr>
                <w:rFonts w:ascii="Times New Roman" w:hAnsi="Times New Roman" w:cs="Times New Roman"/>
                <w:b/>
                <w:bCs/>
                <w:color w:val="000000"/>
                <w:sz w:val="14"/>
                <w:szCs w:val="14"/>
                <w:lang w:eastAsia="sk-SK"/>
              </w:rPr>
            </w:pPr>
            <w:r w:rsidRPr="0028785D">
              <w:rPr>
                <w:rFonts w:ascii="Times New Roman" w:hAnsi="Times New Roman" w:cs="Times New Roman"/>
                <w:b/>
                <w:bCs/>
                <w:color w:val="000000"/>
                <w:sz w:val="14"/>
                <w:szCs w:val="14"/>
              </w:rPr>
              <w:t>4 278 911</w:t>
            </w:r>
          </w:p>
        </w:tc>
        <w:tc>
          <w:tcPr>
            <w:tcW w:w="525" w:type="pct"/>
            <w:tcBorders>
              <w:top w:val="single" w:sz="4" w:space="0" w:color="auto"/>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30 655 081</w:t>
            </w:r>
          </w:p>
        </w:tc>
        <w:tc>
          <w:tcPr>
            <w:tcW w:w="525" w:type="pct"/>
            <w:tcBorders>
              <w:top w:val="single" w:sz="4" w:space="0" w:color="auto"/>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24 787 131</w:t>
            </w:r>
          </w:p>
        </w:tc>
        <w:tc>
          <w:tcPr>
            <w:tcW w:w="526" w:type="pct"/>
            <w:tcBorders>
              <w:top w:val="single" w:sz="4" w:space="0" w:color="auto"/>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25 518 438</w:t>
            </w:r>
          </w:p>
        </w:tc>
      </w:tr>
      <w:tr w:rsidR="003A497B" w:rsidRPr="00B7481D" w:rsidTr="003E1809">
        <w:trPr>
          <w:trHeight w:val="255"/>
        </w:trPr>
        <w:tc>
          <w:tcPr>
            <w:tcW w:w="1307" w:type="pct"/>
            <w:tcBorders>
              <w:top w:val="nil"/>
              <w:left w:val="single" w:sz="4" w:space="0" w:color="auto"/>
              <w:bottom w:val="single" w:sz="4" w:space="0" w:color="auto"/>
              <w:right w:val="single" w:sz="4" w:space="0" w:color="auto"/>
            </w:tcBorders>
            <w:noWrap/>
            <w:vAlign w:val="center"/>
          </w:tcPr>
          <w:p w:rsidR="003A497B" w:rsidRPr="001A4D64" w:rsidRDefault="003A497B" w:rsidP="003E1809">
            <w:pPr>
              <w:rPr>
                <w:rFonts w:ascii="Times New Roman" w:hAnsi="Times New Roman" w:cs="Times New Roman"/>
                <w:color w:val="000000"/>
                <w:sz w:val="14"/>
                <w:szCs w:val="14"/>
              </w:rPr>
            </w:pPr>
            <w:r w:rsidRPr="001A4D64">
              <w:rPr>
                <w:rFonts w:ascii="Times New Roman" w:hAnsi="Times New Roman" w:cs="Times New Roman"/>
                <w:color w:val="000000"/>
                <w:sz w:val="14"/>
                <w:szCs w:val="14"/>
              </w:rPr>
              <w:t xml:space="preserve">v tom: </w:t>
            </w:r>
            <w:r>
              <w:rPr>
                <w:rFonts w:ascii="Times New Roman" w:hAnsi="Times New Roman" w:cs="Times New Roman"/>
                <w:color w:val="000000"/>
                <w:sz w:val="14"/>
                <w:szCs w:val="14"/>
              </w:rPr>
              <w:t xml:space="preserve"> </w:t>
            </w:r>
            <w:r w:rsidRPr="001A4D64">
              <w:rPr>
                <w:rFonts w:ascii="Times New Roman" w:hAnsi="Times New Roman" w:cs="Times New Roman"/>
                <w:color w:val="000000"/>
                <w:sz w:val="14"/>
                <w:szCs w:val="14"/>
              </w:rPr>
              <w:t>EÚ prostriedky</w:t>
            </w:r>
          </w:p>
        </w:tc>
        <w:tc>
          <w:tcPr>
            <w:tcW w:w="525" w:type="pct"/>
            <w:tcBorders>
              <w:top w:val="nil"/>
              <w:left w:val="single" w:sz="4" w:space="0" w:color="auto"/>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0</w:t>
            </w:r>
          </w:p>
        </w:tc>
        <w:tc>
          <w:tcPr>
            <w:tcW w:w="525" w:type="pct"/>
            <w:tcBorders>
              <w:top w:val="nil"/>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1 714 492</w:t>
            </w:r>
          </w:p>
        </w:tc>
        <w:tc>
          <w:tcPr>
            <w:tcW w:w="525" w:type="pct"/>
            <w:tcBorders>
              <w:top w:val="nil"/>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6 957 457</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3A497B" w:rsidRPr="0028785D" w:rsidRDefault="003A497B" w:rsidP="003E1809">
            <w:pPr>
              <w:jc w:val="right"/>
              <w:rPr>
                <w:rFonts w:ascii="Times New Roman" w:hAnsi="Times New Roman" w:cs="Times New Roman"/>
                <w:color w:val="000000"/>
                <w:sz w:val="14"/>
                <w:szCs w:val="14"/>
              </w:rPr>
            </w:pPr>
            <w:r w:rsidRPr="0028785D">
              <w:rPr>
                <w:rFonts w:ascii="Times New Roman" w:hAnsi="Times New Roman" w:cs="Times New Roman"/>
                <w:color w:val="000000"/>
                <w:sz w:val="14"/>
                <w:szCs w:val="14"/>
              </w:rPr>
              <w:t>3 478 728</w:t>
            </w:r>
          </w:p>
        </w:tc>
        <w:tc>
          <w:tcPr>
            <w:tcW w:w="525" w:type="pct"/>
            <w:tcBorders>
              <w:top w:val="nil"/>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24 961 192</w:t>
            </w:r>
          </w:p>
        </w:tc>
        <w:tc>
          <w:tcPr>
            <w:tcW w:w="525" w:type="pct"/>
            <w:tcBorders>
              <w:top w:val="nil"/>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20 138 193</w:t>
            </w:r>
          </w:p>
        </w:tc>
        <w:tc>
          <w:tcPr>
            <w:tcW w:w="526" w:type="pct"/>
            <w:tcBorders>
              <w:top w:val="nil"/>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20 904 201</w:t>
            </w:r>
          </w:p>
        </w:tc>
      </w:tr>
      <w:tr w:rsidR="003A497B" w:rsidRPr="00B7481D" w:rsidTr="003E1809">
        <w:trPr>
          <w:trHeight w:val="255"/>
        </w:trPr>
        <w:tc>
          <w:tcPr>
            <w:tcW w:w="1307" w:type="pct"/>
            <w:tcBorders>
              <w:top w:val="nil"/>
              <w:left w:val="single" w:sz="4" w:space="0" w:color="auto"/>
              <w:bottom w:val="single" w:sz="4" w:space="0" w:color="auto"/>
              <w:right w:val="single" w:sz="4" w:space="0" w:color="auto"/>
            </w:tcBorders>
            <w:noWrap/>
            <w:vAlign w:val="center"/>
          </w:tcPr>
          <w:p w:rsidR="003A497B" w:rsidRPr="001A4D64" w:rsidRDefault="003A497B" w:rsidP="003E1809">
            <w:pPr>
              <w:rPr>
                <w:rFonts w:ascii="Times New Roman" w:hAnsi="Times New Roman" w:cs="Times New Roman"/>
                <w:color w:val="000000"/>
                <w:sz w:val="14"/>
                <w:szCs w:val="14"/>
              </w:rPr>
            </w:pPr>
            <w:r w:rsidRPr="001A4D64">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1A4D64">
              <w:rPr>
                <w:rFonts w:ascii="Times New Roman" w:hAnsi="Times New Roman" w:cs="Times New Roman"/>
                <w:color w:val="000000"/>
                <w:sz w:val="14"/>
                <w:szCs w:val="14"/>
              </w:rPr>
              <w:t>spolufinancovanie zo ŠR</w:t>
            </w:r>
          </w:p>
        </w:tc>
        <w:tc>
          <w:tcPr>
            <w:tcW w:w="525" w:type="pct"/>
            <w:tcBorders>
              <w:top w:val="nil"/>
              <w:left w:val="single" w:sz="4" w:space="0" w:color="auto"/>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0</w:t>
            </w:r>
          </w:p>
        </w:tc>
        <w:tc>
          <w:tcPr>
            <w:tcW w:w="525" w:type="pct"/>
            <w:tcBorders>
              <w:top w:val="nil"/>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526 084</w:t>
            </w:r>
          </w:p>
        </w:tc>
        <w:tc>
          <w:tcPr>
            <w:tcW w:w="525" w:type="pct"/>
            <w:tcBorders>
              <w:top w:val="nil"/>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1 600 367</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3A497B" w:rsidRPr="0028785D" w:rsidRDefault="003A497B" w:rsidP="003E1809">
            <w:pPr>
              <w:jc w:val="right"/>
              <w:rPr>
                <w:rFonts w:ascii="Times New Roman" w:hAnsi="Times New Roman" w:cs="Times New Roman"/>
                <w:color w:val="000000"/>
                <w:sz w:val="14"/>
                <w:szCs w:val="14"/>
              </w:rPr>
            </w:pPr>
            <w:r w:rsidRPr="0028785D">
              <w:rPr>
                <w:rFonts w:ascii="Times New Roman" w:hAnsi="Times New Roman" w:cs="Times New Roman"/>
                <w:color w:val="000000"/>
                <w:sz w:val="14"/>
                <w:szCs w:val="14"/>
              </w:rPr>
              <w:t>800 183</w:t>
            </w:r>
          </w:p>
        </w:tc>
        <w:tc>
          <w:tcPr>
            <w:tcW w:w="525" w:type="pct"/>
            <w:tcBorders>
              <w:top w:val="nil"/>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5 693 889</w:t>
            </w:r>
          </w:p>
        </w:tc>
        <w:tc>
          <w:tcPr>
            <w:tcW w:w="525" w:type="pct"/>
            <w:tcBorders>
              <w:top w:val="nil"/>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4 648 938</w:t>
            </w:r>
          </w:p>
        </w:tc>
        <w:tc>
          <w:tcPr>
            <w:tcW w:w="526" w:type="pct"/>
            <w:tcBorders>
              <w:top w:val="nil"/>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4 614 237</w:t>
            </w:r>
          </w:p>
        </w:tc>
      </w:tr>
      <w:tr w:rsidR="003A497B" w:rsidRPr="00B7481D" w:rsidTr="003E1809">
        <w:trPr>
          <w:trHeight w:val="255"/>
        </w:trPr>
        <w:tc>
          <w:tcPr>
            <w:tcW w:w="1307" w:type="pct"/>
            <w:tcBorders>
              <w:top w:val="single" w:sz="4" w:space="0" w:color="auto"/>
              <w:left w:val="single" w:sz="4" w:space="0" w:color="auto"/>
              <w:bottom w:val="single" w:sz="4" w:space="0" w:color="auto"/>
              <w:right w:val="single" w:sz="4" w:space="0" w:color="auto"/>
            </w:tcBorders>
            <w:noWrap/>
            <w:vAlign w:val="center"/>
            <w:hideMark/>
          </w:tcPr>
          <w:p w:rsidR="003A497B" w:rsidRPr="001A4D64" w:rsidRDefault="003A497B" w:rsidP="003E1809">
            <w:pPr>
              <w:rPr>
                <w:rFonts w:ascii="Times New Roman" w:hAnsi="Times New Roman" w:cs="Times New Roman"/>
                <w:b/>
                <w:bCs/>
                <w:color w:val="000000"/>
                <w:sz w:val="14"/>
                <w:szCs w:val="14"/>
              </w:rPr>
            </w:pPr>
            <w:r w:rsidRPr="001A4D64">
              <w:rPr>
                <w:rFonts w:ascii="Times New Roman" w:hAnsi="Times New Roman" w:cs="Times New Roman"/>
                <w:b/>
                <w:bCs/>
                <w:color w:val="000000"/>
                <w:sz w:val="14"/>
                <w:szCs w:val="14"/>
              </w:rPr>
              <w:t>presun z minulých rokov §</w:t>
            </w:r>
            <w:r>
              <w:rPr>
                <w:rFonts w:ascii="Times New Roman" w:hAnsi="Times New Roman" w:cs="Times New Roman"/>
                <w:b/>
                <w:bCs/>
                <w:color w:val="000000"/>
                <w:sz w:val="14"/>
                <w:szCs w:val="14"/>
              </w:rPr>
              <w:t xml:space="preserve"> </w:t>
            </w:r>
            <w:r w:rsidRPr="001A4D64">
              <w:rPr>
                <w:rFonts w:ascii="Times New Roman" w:hAnsi="Times New Roman" w:cs="Times New Roman"/>
                <w:b/>
                <w:bCs/>
                <w:color w:val="000000"/>
                <w:sz w:val="14"/>
                <w:szCs w:val="14"/>
              </w:rPr>
              <w:t>8</w:t>
            </w:r>
          </w:p>
        </w:tc>
        <w:tc>
          <w:tcPr>
            <w:tcW w:w="525" w:type="pct"/>
            <w:tcBorders>
              <w:top w:val="nil"/>
              <w:left w:val="single" w:sz="4" w:space="0" w:color="auto"/>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38 833 935</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10 136 253</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0</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3A497B" w:rsidRPr="0028785D" w:rsidRDefault="003A497B" w:rsidP="003E1809">
            <w:pPr>
              <w:jc w:val="right"/>
              <w:rPr>
                <w:rFonts w:ascii="Times New Roman" w:hAnsi="Times New Roman" w:cs="Times New Roman"/>
                <w:b/>
                <w:bCs/>
                <w:color w:val="000000"/>
                <w:sz w:val="14"/>
                <w:szCs w:val="14"/>
              </w:rPr>
            </w:pPr>
            <w:r w:rsidRPr="0028785D">
              <w:rPr>
                <w:rFonts w:ascii="Times New Roman" w:hAnsi="Times New Roman" w:cs="Times New Roman"/>
                <w:b/>
                <w:bCs/>
                <w:color w:val="000000"/>
                <w:sz w:val="14"/>
                <w:szCs w:val="14"/>
              </w:rPr>
              <w:t>4 278 913</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0</w:t>
            </w:r>
          </w:p>
        </w:tc>
        <w:tc>
          <w:tcPr>
            <w:tcW w:w="525"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0</w:t>
            </w:r>
          </w:p>
        </w:tc>
        <w:tc>
          <w:tcPr>
            <w:tcW w:w="526" w:type="pct"/>
            <w:tcBorders>
              <w:top w:val="nil"/>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b/>
                <w:bCs/>
                <w:color w:val="000000"/>
                <w:sz w:val="14"/>
                <w:szCs w:val="14"/>
              </w:rPr>
            </w:pPr>
            <w:r w:rsidRPr="00092426">
              <w:rPr>
                <w:rFonts w:ascii="Times New Roman" w:hAnsi="Times New Roman" w:cs="Times New Roman"/>
                <w:b/>
                <w:bCs/>
                <w:color w:val="000000"/>
                <w:sz w:val="14"/>
                <w:szCs w:val="14"/>
              </w:rPr>
              <w:t>0</w:t>
            </w:r>
          </w:p>
        </w:tc>
      </w:tr>
      <w:tr w:rsidR="003A497B" w:rsidRPr="00B7481D" w:rsidTr="003E1809">
        <w:trPr>
          <w:trHeight w:val="255"/>
        </w:trPr>
        <w:tc>
          <w:tcPr>
            <w:tcW w:w="1307" w:type="pct"/>
            <w:tcBorders>
              <w:top w:val="single" w:sz="4" w:space="0" w:color="auto"/>
              <w:left w:val="single" w:sz="4" w:space="0" w:color="auto"/>
              <w:bottom w:val="single" w:sz="4" w:space="0" w:color="auto"/>
              <w:right w:val="single" w:sz="4" w:space="0" w:color="auto"/>
            </w:tcBorders>
            <w:noWrap/>
            <w:vAlign w:val="center"/>
          </w:tcPr>
          <w:p w:rsidR="003A497B" w:rsidRPr="001A4D64" w:rsidRDefault="003A497B" w:rsidP="003E1809">
            <w:pPr>
              <w:rPr>
                <w:rFonts w:ascii="Times New Roman" w:hAnsi="Times New Roman" w:cs="Times New Roman"/>
                <w:color w:val="000000"/>
                <w:sz w:val="14"/>
                <w:szCs w:val="14"/>
              </w:rPr>
            </w:pPr>
            <w:r>
              <w:rPr>
                <w:rFonts w:ascii="Times New Roman" w:hAnsi="Times New Roman" w:cs="Times New Roman"/>
                <w:color w:val="000000"/>
                <w:sz w:val="14"/>
                <w:szCs w:val="14"/>
              </w:rPr>
              <w:t>v tom</w:t>
            </w:r>
            <w:r w:rsidRPr="001A4D64">
              <w:rPr>
                <w:rFonts w:ascii="Times New Roman" w:hAnsi="Times New Roman" w:cs="Times New Roman"/>
                <w:color w:val="000000"/>
                <w:sz w:val="14"/>
                <w:szCs w:val="14"/>
              </w:rPr>
              <w:t xml:space="preserve">: </w:t>
            </w:r>
            <w:r>
              <w:rPr>
                <w:rFonts w:ascii="Times New Roman" w:hAnsi="Times New Roman" w:cs="Times New Roman"/>
                <w:color w:val="000000"/>
                <w:sz w:val="14"/>
                <w:szCs w:val="14"/>
              </w:rPr>
              <w:t xml:space="preserve"> </w:t>
            </w:r>
            <w:r w:rsidRPr="001A4D64">
              <w:rPr>
                <w:rFonts w:ascii="Times New Roman" w:hAnsi="Times New Roman" w:cs="Times New Roman"/>
                <w:color w:val="000000"/>
                <w:sz w:val="14"/>
                <w:szCs w:val="14"/>
              </w:rPr>
              <w:t>štátny rozpočet</w:t>
            </w:r>
          </w:p>
        </w:tc>
        <w:tc>
          <w:tcPr>
            <w:tcW w:w="525" w:type="pct"/>
            <w:tcBorders>
              <w:top w:val="nil"/>
              <w:left w:val="single" w:sz="4" w:space="0" w:color="auto"/>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11 372 643</w:t>
            </w:r>
          </w:p>
        </w:tc>
        <w:tc>
          <w:tcPr>
            <w:tcW w:w="525" w:type="pct"/>
            <w:tcBorders>
              <w:top w:val="nil"/>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5 314 996</w:t>
            </w:r>
          </w:p>
        </w:tc>
        <w:tc>
          <w:tcPr>
            <w:tcW w:w="525" w:type="pct"/>
            <w:tcBorders>
              <w:top w:val="nil"/>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0</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3A497B" w:rsidRPr="0028785D" w:rsidRDefault="003A497B" w:rsidP="003E1809">
            <w:pPr>
              <w:jc w:val="right"/>
              <w:rPr>
                <w:rFonts w:ascii="Times New Roman" w:hAnsi="Times New Roman" w:cs="Times New Roman"/>
                <w:color w:val="000000"/>
                <w:sz w:val="14"/>
                <w:szCs w:val="14"/>
              </w:rPr>
            </w:pPr>
            <w:r w:rsidRPr="0028785D">
              <w:rPr>
                <w:rFonts w:ascii="Times New Roman" w:hAnsi="Times New Roman" w:cs="Times New Roman"/>
                <w:color w:val="000000"/>
                <w:sz w:val="14"/>
                <w:szCs w:val="14"/>
              </w:rPr>
              <w:t>0</w:t>
            </w:r>
          </w:p>
        </w:tc>
        <w:tc>
          <w:tcPr>
            <w:tcW w:w="525" w:type="pct"/>
            <w:tcBorders>
              <w:top w:val="nil"/>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0</w:t>
            </w:r>
          </w:p>
        </w:tc>
        <w:tc>
          <w:tcPr>
            <w:tcW w:w="525" w:type="pct"/>
            <w:tcBorders>
              <w:top w:val="nil"/>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0</w:t>
            </w:r>
          </w:p>
        </w:tc>
        <w:tc>
          <w:tcPr>
            <w:tcW w:w="526" w:type="pct"/>
            <w:tcBorders>
              <w:top w:val="nil"/>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0</w:t>
            </w:r>
          </w:p>
        </w:tc>
      </w:tr>
      <w:tr w:rsidR="003A497B" w:rsidRPr="00B7481D" w:rsidTr="003E1809">
        <w:trPr>
          <w:trHeight w:val="255"/>
        </w:trPr>
        <w:tc>
          <w:tcPr>
            <w:tcW w:w="1307" w:type="pct"/>
            <w:tcBorders>
              <w:top w:val="single" w:sz="4" w:space="0" w:color="auto"/>
              <w:left w:val="single" w:sz="4" w:space="0" w:color="auto"/>
              <w:bottom w:val="single" w:sz="4" w:space="0" w:color="auto"/>
              <w:right w:val="single" w:sz="4" w:space="0" w:color="auto"/>
            </w:tcBorders>
            <w:noWrap/>
            <w:vAlign w:val="center"/>
          </w:tcPr>
          <w:p w:rsidR="003A497B" w:rsidRPr="001A4D64" w:rsidRDefault="003A497B" w:rsidP="003E1809">
            <w:pPr>
              <w:rPr>
                <w:rFonts w:ascii="Times New Roman" w:hAnsi="Times New Roman" w:cs="Times New Roman"/>
                <w:color w:val="000000"/>
                <w:sz w:val="14"/>
                <w:szCs w:val="14"/>
              </w:rPr>
            </w:pPr>
            <w:r w:rsidRPr="001A4D64">
              <w:rPr>
                <w:rFonts w:ascii="Times New Roman" w:hAnsi="Times New Roman" w:cs="Times New Roman"/>
                <w:color w:val="000000"/>
                <w:sz w:val="14"/>
                <w:szCs w:val="14"/>
              </w:rPr>
              <w:t xml:space="preserve">             EÚ prostriedky</w:t>
            </w:r>
          </w:p>
        </w:tc>
        <w:tc>
          <w:tcPr>
            <w:tcW w:w="525" w:type="pct"/>
            <w:tcBorders>
              <w:top w:val="nil"/>
              <w:left w:val="single" w:sz="4" w:space="0" w:color="auto"/>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22 953 752</w:t>
            </w:r>
          </w:p>
        </w:tc>
        <w:tc>
          <w:tcPr>
            <w:tcW w:w="525" w:type="pct"/>
            <w:tcBorders>
              <w:top w:val="nil"/>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4 012 801</w:t>
            </w:r>
          </w:p>
        </w:tc>
        <w:tc>
          <w:tcPr>
            <w:tcW w:w="525" w:type="pct"/>
            <w:tcBorders>
              <w:top w:val="nil"/>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0</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3A497B" w:rsidRPr="0028785D" w:rsidRDefault="003A497B" w:rsidP="003E1809">
            <w:pPr>
              <w:jc w:val="right"/>
              <w:rPr>
                <w:rFonts w:ascii="Times New Roman" w:hAnsi="Times New Roman" w:cs="Times New Roman"/>
                <w:color w:val="000000"/>
                <w:sz w:val="14"/>
                <w:szCs w:val="14"/>
              </w:rPr>
            </w:pPr>
            <w:r w:rsidRPr="0028785D">
              <w:rPr>
                <w:rFonts w:ascii="Times New Roman" w:hAnsi="Times New Roman" w:cs="Times New Roman"/>
                <w:color w:val="000000"/>
                <w:sz w:val="14"/>
                <w:szCs w:val="14"/>
              </w:rPr>
              <w:t>3 478 729</w:t>
            </w:r>
          </w:p>
        </w:tc>
        <w:tc>
          <w:tcPr>
            <w:tcW w:w="525" w:type="pct"/>
            <w:tcBorders>
              <w:top w:val="nil"/>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0</w:t>
            </w:r>
          </w:p>
        </w:tc>
        <w:tc>
          <w:tcPr>
            <w:tcW w:w="525" w:type="pct"/>
            <w:tcBorders>
              <w:top w:val="nil"/>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0</w:t>
            </w:r>
          </w:p>
        </w:tc>
        <w:tc>
          <w:tcPr>
            <w:tcW w:w="526" w:type="pct"/>
            <w:tcBorders>
              <w:top w:val="nil"/>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0</w:t>
            </w:r>
          </w:p>
        </w:tc>
      </w:tr>
      <w:tr w:rsidR="003A497B" w:rsidRPr="00B7481D" w:rsidTr="003E1809">
        <w:trPr>
          <w:trHeight w:val="255"/>
        </w:trPr>
        <w:tc>
          <w:tcPr>
            <w:tcW w:w="1307" w:type="pct"/>
            <w:tcBorders>
              <w:top w:val="single" w:sz="4" w:space="0" w:color="auto"/>
              <w:left w:val="single" w:sz="4" w:space="0" w:color="auto"/>
              <w:bottom w:val="single" w:sz="4" w:space="0" w:color="auto"/>
              <w:right w:val="single" w:sz="4" w:space="0" w:color="auto"/>
            </w:tcBorders>
            <w:noWrap/>
            <w:vAlign w:val="center"/>
          </w:tcPr>
          <w:p w:rsidR="003A497B" w:rsidRPr="001A4D64" w:rsidRDefault="003A497B" w:rsidP="003E1809">
            <w:pPr>
              <w:rPr>
                <w:rFonts w:ascii="Times New Roman" w:hAnsi="Times New Roman" w:cs="Times New Roman"/>
                <w:color w:val="000000"/>
                <w:sz w:val="14"/>
                <w:szCs w:val="14"/>
              </w:rPr>
            </w:pPr>
            <w:r w:rsidRPr="001A4D64">
              <w:rPr>
                <w:rFonts w:ascii="Times New Roman" w:hAnsi="Times New Roman" w:cs="Times New Roman"/>
                <w:color w:val="000000"/>
                <w:sz w:val="14"/>
                <w:szCs w:val="14"/>
              </w:rPr>
              <w:t xml:space="preserve">             spolufinancovanie zo ŠR</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4 507 540</w:t>
            </w:r>
          </w:p>
        </w:tc>
        <w:tc>
          <w:tcPr>
            <w:tcW w:w="525" w:type="pct"/>
            <w:tcBorders>
              <w:top w:val="single" w:sz="4" w:space="0" w:color="auto"/>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808 456</w:t>
            </w:r>
          </w:p>
        </w:tc>
        <w:tc>
          <w:tcPr>
            <w:tcW w:w="525" w:type="pct"/>
            <w:tcBorders>
              <w:top w:val="single" w:sz="4" w:space="0" w:color="auto"/>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0</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A497B" w:rsidRPr="0028785D" w:rsidRDefault="003A497B" w:rsidP="003E1809">
            <w:pPr>
              <w:jc w:val="right"/>
              <w:rPr>
                <w:rFonts w:ascii="Times New Roman" w:hAnsi="Times New Roman" w:cs="Times New Roman"/>
                <w:color w:val="000000"/>
                <w:sz w:val="14"/>
                <w:szCs w:val="14"/>
              </w:rPr>
            </w:pPr>
            <w:r w:rsidRPr="0028785D">
              <w:rPr>
                <w:rFonts w:ascii="Times New Roman" w:hAnsi="Times New Roman" w:cs="Times New Roman"/>
                <w:color w:val="000000"/>
                <w:sz w:val="14"/>
                <w:szCs w:val="14"/>
              </w:rPr>
              <w:t>800 184</w:t>
            </w:r>
          </w:p>
        </w:tc>
        <w:tc>
          <w:tcPr>
            <w:tcW w:w="525" w:type="pct"/>
            <w:tcBorders>
              <w:top w:val="single" w:sz="4" w:space="0" w:color="auto"/>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0</w:t>
            </w:r>
          </w:p>
        </w:tc>
        <w:tc>
          <w:tcPr>
            <w:tcW w:w="525" w:type="pct"/>
            <w:tcBorders>
              <w:top w:val="single" w:sz="4" w:space="0" w:color="auto"/>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0</w:t>
            </w:r>
          </w:p>
        </w:tc>
        <w:tc>
          <w:tcPr>
            <w:tcW w:w="526" w:type="pct"/>
            <w:tcBorders>
              <w:top w:val="single" w:sz="4" w:space="0" w:color="auto"/>
              <w:left w:val="nil"/>
              <w:bottom w:val="single" w:sz="4" w:space="0" w:color="auto"/>
              <w:right w:val="single" w:sz="4" w:space="0" w:color="auto"/>
            </w:tcBorders>
            <w:shd w:val="clear" w:color="auto" w:fill="auto"/>
            <w:noWrap/>
            <w:vAlign w:val="bottom"/>
          </w:tcPr>
          <w:p w:rsidR="003A497B" w:rsidRPr="00092426" w:rsidRDefault="003A497B" w:rsidP="003E1809">
            <w:pPr>
              <w:jc w:val="right"/>
              <w:rPr>
                <w:rFonts w:ascii="Times New Roman" w:hAnsi="Times New Roman" w:cs="Times New Roman"/>
                <w:color w:val="000000"/>
                <w:sz w:val="14"/>
                <w:szCs w:val="14"/>
              </w:rPr>
            </w:pPr>
            <w:r w:rsidRPr="00092426">
              <w:rPr>
                <w:rFonts w:ascii="Times New Roman" w:hAnsi="Times New Roman" w:cs="Times New Roman"/>
                <w:color w:val="000000"/>
                <w:sz w:val="14"/>
                <w:szCs w:val="14"/>
              </w:rPr>
              <w:t>0</w:t>
            </w:r>
          </w:p>
        </w:tc>
      </w:tr>
      <w:tr w:rsidR="003A497B" w:rsidRPr="00B7481D" w:rsidTr="003E1809">
        <w:trPr>
          <w:trHeight w:val="255"/>
        </w:trPr>
        <w:tc>
          <w:tcPr>
            <w:tcW w:w="1307" w:type="pct"/>
            <w:tcBorders>
              <w:top w:val="single" w:sz="4" w:space="0" w:color="auto"/>
              <w:left w:val="single" w:sz="4" w:space="0" w:color="auto"/>
              <w:bottom w:val="single" w:sz="4" w:space="0" w:color="auto"/>
              <w:right w:val="single" w:sz="4" w:space="0" w:color="auto"/>
            </w:tcBorders>
            <w:noWrap/>
            <w:vAlign w:val="center"/>
          </w:tcPr>
          <w:p w:rsidR="003A497B" w:rsidRPr="00503F9C" w:rsidRDefault="003A497B" w:rsidP="003E1809">
            <w:pPr>
              <w:rPr>
                <w:rFonts w:ascii="Times New Roman" w:hAnsi="Times New Roman" w:cs="Times New Roman"/>
                <w:color w:val="000000"/>
                <w:sz w:val="14"/>
                <w:szCs w:val="14"/>
              </w:rPr>
            </w:pPr>
            <w:r w:rsidRPr="00503F9C">
              <w:rPr>
                <w:rFonts w:ascii="Times New Roman" w:hAnsi="Times New Roman" w:cs="Times New Roman"/>
                <w:color w:val="000000"/>
                <w:sz w:val="14"/>
                <w:szCs w:val="14"/>
              </w:rPr>
              <w:t>- 11H transfer</w:t>
            </w:r>
          </w:p>
        </w:tc>
        <w:tc>
          <w:tcPr>
            <w:tcW w:w="525" w:type="pct"/>
            <w:tcBorders>
              <w:top w:val="single" w:sz="4" w:space="0" w:color="auto"/>
              <w:left w:val="single" w:sz="4" w:space="0" w:color="auto"/>
              <w:bottom w:val="single" w:sz="4" w:space="0" w:color="auto"/>
              <w:right w:val="single" w:sz="4" w:space="0" w:color="auto"/>
            </w:tcBorders>
            <w:shd w:val="clear" w:color="auto" w:fill="auto"/>
            <w:noWrap/>
          </w:tcPr>
          <w:p w:rsidR="003A497B" w:rsidRPr="00503F9C" w:rsidRDefault="003A497B" w:rsidP="003E1809">
            <w:pPr>
              <w:rPr>
                <w:rFonts w:ascii="Times New Roman" w:hAnsi="Times New Roman" w:cs="Times New Roman"/>
                <w:color w:val="000000"/>
                <w:sz w:val="14"/>
                <w:szCs w:val="14"/>
              </w:rPr>
            </w:pPr>
          </w:p>
        </w:tc>
        <w:tc>
          <w:tcPr>
            <w:tcW w:w="525" w:type="pct"/>
            <w:tcBorders>
              <w:top w:val="single" w:sz="4" w:space="0" w:color="auto"/>
              <w:left w:val="nil"/>
              <w:bottom w:val="single" w:sz="4" w:space="0" w:color="auto"/>
              <w:right w:val="single" w:sz="4" w:space="0" w:color="auto"/>
            </w:tcBorders>
            <w:shd w:val="clear" w:color="auto" w:fill="auto"/>
            <w:noWrap/>
          </w:tcPr>
          <w:p w:rsidR="003A497B" w:rsidRPr="00503F9C" w:rsidRDefault="003A497B" w:rsidP="003E1809">
            <w:pPr>
              <w:rPr>
                <w:rFonts w:ascii="Times New Roman" w:hAnsi="Times New Roman" w:cs="Times New Roman"/>
                <w:color w:val="000000"/>
                <w:sz w:val="14"/>
                <w:szCs w:val="14"/>
              </w:rPr>
            </w:pPr>
          </w:p>
        </w:tc>
        <w:tc>
          <w:tcPr>
            <w:tcW w:w="525" w:type="pct"/>
            <w:tcBorders>
              <w:top w:val="single" w:sz="4" w:space="0" w:color="auto"/>
              <w:left w:val="nil"/>
              <w:bottom w:val="single" w:sz="4" w:space="0" w:color="auto"/>
              <w:right w:val="single" w:sz="4" w:space="0" w:color="auto"/>
            </w:tcBorders>
            <w:shd w:val="clear" w:color="auto" w:fill="auto"/>
            <w:noWrap/>
            <w:vAlign w:val="bottom"/>
          </w:tcPr>
          <w:p w:rsidR="003A497B" w:rsidRPr="00503F9C" w:rsidRDefault="003A497B" w:rsidP="003E1809">
            <w:pPr>
              <w:jc w:val="right"/>
              <w:rPr>
                <w:rFonts w:ascii="Times New Roman" w:hAnsi="Times New Roman" w:cs="Times New Roman"/>
                <w:color w:val="000000"/>
                <w:sz w:val="14"/>
                <w:szCs w:val="14"/>
              </w:rPr>
            </w:pPr>
            <w:r w:rsidRPr="00503F9C">
              <w:rPr>
                <w:rFonts w:ascii="Times New Roman" w:hAnsi="Times New Roman" w:cs="Times New Roman"/>
                <w:color w:val="000000"/>
                <w:sz w:val="14"/>
                <w:szCs w:val="14"/>
              </w:rPr>
              <w:t>255 000</w:t>
            </w:r>
          </w:p>
        </w:tc>
        <w:tc>
          <w:tcPr>
            <w:tcW w:w="541" w:type="pct"/>
            <w:tcBorders>
              <w:top w:val="single" w:sz="4" w:space="0" w:color="auto"/>
              <w:left w:val="nil"/>
              <w:bottom w:val="single" w:sz="4" w:space="0" w:color="auto"/>
              <w:right w:val="single" w:sz="4" w:space="0" w:color="auto"/>
            </w:tcBorders>
            <w:shd w:val="clear" w:color="auto" w:fill="auto"/>
            <w:noWrap/>
            <w:vAlign w:val="bottom"/>
          </w:tcPr>
          <w:p w:rsidR="003A497B" w:rsidRPr="00503F9C" w:rsidRDefault="003A497B" w:rsidP="003E1809">
            <w:pPr>
              <w:jc w:val="right"/>
              <w:rPr>
                <w:rFonts w:ascii="Times New Roman" w:hAnsi="Times New Roman" w:cs="Times New Roman"/>
                <w:color w:val="000000"/>
                <w:sz w:val="14"/>
                <w:szCs w:val="14"/>
              </w:rPr>
            </w:pPr>
            <w:r w:rsidRPr="00503F9C">
              <w:rPr>
                <w:rFonts w:ascii="Times New Roman" w:hAnsi="Times New Roman" w:cs="Times New Roman"/>
                <w:color w:val="000000"/>
                <w:sz w:val="14"/>
                <w:szCs w:val="14"/>
              </w:rPr>
              <w:t>0</w:t>
            </w:r>
          </w:p>
        </w:tc>
        <w:tc>
          <w:tcPr>
            <w:tcW w:w="525" w:type="pct"/>
            <w:tcBorders>
              <w:top w:val="single" w:sz="4" w:space="0" w:color="auto"/>
              <w:left w:val="nil"/>
              <w:bottom w:val="single" w:sz="4" w:space="0" w:color="auto"/>
              <w:right w:val="single" w:sz="4" w:space="0" w:color="auto"/>
            </w:tcBorders>
            <w:shd w:val="clear" w:color="auto" w:fill="auto"/>
            <w:noWrap/>
            <w:vAlign w:val="bottom"/>
          </w:tcPr>
          <w:p w:rsidR="003A497B" w:rsidRPr="00503F9C" w:rsidRDefault="003A497B" w:rsidP="003E1809">
            <w:pPr>
              <w:jc w:val="right"/>
              <w:rPr>
                <w:rFonts w:ascii="Times New Roman" w:hAnsi="Times New Roman" w:cs="Times New Roman"/>
                <w:color w:val="000000"/>
                <w:sz w:val="14"/>
                <w:szCs w:val="14"/>
              </w:rPr>
            </w:pPr>
            <w:r w:rsidRPr="00503F9C">
              <w:rPr>
                <w:rFonts w:ascii="Times New Roman" w:hAnsi="Times New Roman" w:cs="Times New Roman"/>
                <w:color w:val="000000"/>
                <w:sz w:val="14"/>
                <w:szCs w:val="14"/>
              </w:rPr>
              <w:t>0</w:t>
            </w:r>
          </w:p>
        </w:tc>
        <w:tc>
          <w:tcPr>
            <w:tcW w:w="525" w:type="pct"/>
            <w:tcBorders>
              <w:top w:val="single" w:sz="4" w:space="0" w:color="auto"/>
              <w:left w:val="nil"/>
              <w:bottom w:val="single" w:sz="4" w:space="0" w:color="auto"/>
              <w:right w:val="single" w:sz="4" w:space="0" w:color="auto"/>
            </w:tcBorders>
            <w:shd w:val="clear" w:color="auto" w:fill="auto"/>
            <w:noWrap/>
            <w:vAlign w:val="bottom"/>
          </w:tcPr>
          <w:p w:rsidR="003A497B" w:rsidRPr="00503F9C" w:rsidRDefault="003A497B" w:rsidP="003E1809">
            <w:pPr>
              <w:jc w:val="right"/>
              <w:rPr>
                <w:rFonts w:ascii="Times New Roman" w:hAnsi="Times New Roman" w:cs="Times New Roman"/>
                <w:color w:val="000000"/>
                <w:sz w:val="14"/>
                <w:szCs w:val="14"/>
              </w:rPr>
            </w:pPr>
            <w:r w:rsidRPr="00503F9C">
              <w:rPr>
                <w:rFonts w:ascii="Times New Roman" w:hAnsi="Times New Roman" w:cs="Times New Roman"/>
                <w:color w:val="000000"/>
                <w:sz w:val="14"/>
                <w:szCs w:val="14"/>
              </w:rPr>
              <w:t>0</w:t>
            </w:r>
          </w:p>
        </w:tc>
        <w:tc>
          <w:tcPr>
            <w:tcW w:w="526" w:type="pct"/>
            <w:tcBorders>
              <w:top w:val="single" w:sz="4" w:space="0" w:color="auto"/>
              <w:left w:val="nil"/>
              <w:bottom w:val="single" w:sz="4" w:space="0" w:color="auto"/>
              <w:right w:val="single" w:sz="4" w:space="0" w:color="auto"/>
            </w:tcBorders>
            <w:shd w:val="clear" w:color="auto" w:fill="auto"/>
            <w:noWrap/>
            <w:vAlign w:val="bottom"/>
          </w:tcPr>
          <w:p w:rsidR="003A497B" w:rsidRPr="00503F9C" w:rsidRDefault="003A497B" w:rsidP="003E1809">
            <w:pPr>
              <w:jc w:val="right"/>
              <w:rPr>
                <w:rFonts w:ascii="Times New Roman" w:hAnsi="Times New Roman" w:cs="Times New Roman"/>
                <w:color w:val="000000"/>
                <w:sz w:val="14"/>
                <w:szCs w:val="14"/>
              </w:rPr>
            </w:pPr>
            <w:r w:rsidRPr="00503F9C">
              <w:rPr>
                <w:rFonts w:ascii="Times New Roman" w:hAnsi="Times New Roman" w:cs="Times New Roman"/>
                <w:color w:val="000000"/>
                <w:sz w:val="14"/>
                <w:szCs w:val="14"/>
              </w:rPr>
              <w:t>0</w:t>
            </w:r>
          </w:p>
        </w:tc>
      </w:tr>
    </w:tbl>
    <w:p w:rsidR="003A497B" w:rsidRPr="00B7481D" w:rsidRDefault="003A497B" w:rsidP="003A497B">
      <w:pPr>
        <w:jc w:val="both"/>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400"/>
        <w:gridCol w:w="930"/>
        <w:gridCol w:w="930"/>
        <w:gridCol w:w="930"/>
        <w:gridCol w:w="1008"/>
        <w:gridCol w:w="1008"/>
        <w:gridCol w:w="930"/>
        <w:gridCol w:w="926"/>
      </w:tblGrid>
      <w:tr w:rsidR="003A497B" w:rsidRPr="00E06E42" w:rsidTr="003E1809">
        <w:trPr>
          <w:trHeight w:val="261"/>
        </w:trPr>
        <w:tc>
          <w:tcPr>
            <w:tcW w:w="13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97B" w:rsidRPr="00E06E42" w:rsidRDefault="003A497B" w:rsidP="003E1809">
            <w:pPr>
              <w:rPr>
                <w:rFonts w:ascii="Times New Roman" w:hAnsi="Times New Roman" w:cs="Times New Roman"/>
                <w:b/>
                <w:bCs/>
                <w:color w:val="000000"/>
                <w:sz w:val="14"/>
                <w:szCs w:val="14"/>
                <w:lang w:eastAsia="sk-SK"/>
              </w:rPr>
            </w:pPr>
            <w:r w:rsidRPr="00E06E42">
              <w:rPr>
                <w:rFonts w:ascii="Times New Roman" w:hAnsi="Times New Roman" w:cs="Times New Roman"/>
                <w:b/>
                <w:bCs/>
                <w:color w:val="000000"/>
                <w:sz w:val="14"/>
                <w:szCs w:val="14"/>
                <w:lang w:eastAsia="sk-SK"/>
              </w:rPr>
              <w:t>Samostatné účty</w:t>
            </w:r>
          </w:p>
        </w:tc>
        <w:tc>
          <w:tcPr>
            <w:tcW w:w="5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b/>
                <w:color w:val="000000"/>
                <w:sz w:val="14"/>
                <w:szCs w:val="14"/>
                <w:lang w:eastAsia="sk-SK"/>
              </w:rPr>
            </w:pPr>
            <w:r w:rsidRPr="00092426">
              <w:rPr>
                <w:rFonts w:ascii="Times New Roman" w:hAnsi="Times New Roman" w:cs="Times New Roman"/>
                <w:b/>
                <w:color w:val="000000"/>
                <w:sz w:val="14"/>
                <w:szCs w:val="14"/>
              </w:rPr>
              <w:t>27 380 941</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b/>
                <w:color w:val="000000"/>
                <w:sz w:val="14"/>
                <w:szCs w:val="14"/>
              </w:rPr>
            </w:pPr>
            <w:r w:rsidRPr="00092426">
              <w:rPr>
                <w:rFonts w:ascii="Times New Roman" w:hAnsi="Times New Roman" w:cs="Times New Roman"/>
                <w:b/>
                <w:color w:val="000000"/>
                <w:sz w:val="14"/>
                <w:szCs w:val="14"/>
              </w:rPr>
              <w:t>29 384 264</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b/>
                <w:sz w:val="14"/>
                <w:szCs w:val="14"/>
              </w:rPr>
            </w:pPr>
            <w:r w:rsidRPr="00092426">
              <w:rPr>
                <w:rFonts w:ascii="Times New Roman" w:hAnsi="Times New Roman" w:cs="Times New Roman"/>
                <w:b/>
                <w:sz w:val="14"/>
                <w:szCs w:val="14"/>
              </w:rPr>
              <w:t>0</w:t>
            </w:r>
          </w:p>
        </w:tc>
        <w:tc>
          <w:tcPr>
            <w:tcW w:w="556" w:type="pct"/>
            <w:tcBorders>
              <w:top w:val="single" w:sz="4" w:space="0" w:color="auto"/>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b/>
                <w:sz w:val="14"/>
                <w:szCs w:val="14"/>
              </w:rPr>
            </w:pPr>
            <w:r w:rsidRPr="00092426">
              <w:rPr>
                <w:rFonts w:ascii="Times New Roman" w:hAnsi="Times New Roman" w:cs="Times New Roman"/>
                <w:b/>
                <w:sz w:val="14"/>
                <w:szCs w:val="14"/>
              </w:rPr>
              <w:t>8 393 961</w:t>
            </w:r>
          </w:p>
        </w:tc>
        <w:tc>
          <w:tcPr>
            <w:tcW w:w="556" w:type="pct"/>
            <w:tcBorders>
              <w:top w:val="single" w:sz="4" w:space="0" w:color="auto"/>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b/>
                <w:sz w:val="14"/>
                <w:szCs w:val="14"/>
              </w:rPr>
            </w:pPr>
            <w:r w:rsidRPr="00092426">
              <w:rPr>
                <w:rFonts w:ascii="Times New Roman" w:hAnsi="Times New Roman" w:cs="Times New Roman"/>
                <w:b/>
                <w:sz w:val="14"/>
                <w:szCs w:val="14"/>
              </w:rPr>
              <w:t>12 110 679</w:t>
            </w:r>
          </w:p>
        </w:tc>
        <w:tc>
          <w:tcPr>
            <w:tcW w:w="513" w:type="pct"/>
            <w:tcBorders>
              <w:top w:val="single" w:sz="4" w:space="0" w:color="auto"/>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b/>
                <w:sz w:val="14"/>
                <w:szCs w:val="14"/>
              </w:rPr>
            </w:pPr>
            <w:r w:rsidRPr="00092426">
              <w:rPr>
                <w:rFonts w:ascii="Times New Roman" w:hAnsi="Times New Roman" w:cs="Times New Roman"/>
                <w:b/>
                <w:sz w:val="14"/>
                <w:szCs w:val="14"/>
              </w:rPr>
              <w:t>15 224 570</w:t>
            </w:r>
          </w:p>
        </w:tc>
        <w:tc>
          <w:tcPr>
            <w:tcW w:w="511" w:type="pct"/>
            <w:tcBorders>
              <w:top w:val="single" w:sz="4" w:space="0" w:color="auto"/>
              <w:left w:val="nil"/>
              <w:bottom w:val="single" w:sz="4" w:space="0" w:color="auto"/>
              <w:right w:val="single" w:sz="4" w:space="0" w:color="auto"/>
            </w:tcBorders>
            <w:shd w:val="clear" w:color="auto" w:fill="auto"/>
            <w:noWrap/>
            <w:vAlign w:val="bottom"/>
            <w:hideMark/>
          </w:tcPr>
          <w:p w:rsidR="003A497B" w:rsidRPr="00092426" w:rsidRDefault="003A497B" w:rsidP="003E1809">
            <w:pPr>
              <w:jc w:val="right"/>
              <w:rPr>
                <w:rFonts w:ascii="Times New Roman" w:hAnsi="Times New Roman" w:cs="Times New Roman"/>
                <w:b/>
                <w:sz w:val="14"/>
                <w:szCs w:val="14"/>
              </w:rPr>
            </w:pPr>
            <w:r w:rsidRPr="00092426">
              <w:rPr>
                <w:rFonts w:ascii="Times New Roman" w:hAnsi="Times New Roman" w:cs="Times New Roman"/>
                <w:b/>
                <w:sz w:val="14"/>
                <w:szCs w:val="14"/>
              </w:rPr>
              <w:t>9 342 489</w:t>
            </w:r>
          </w:p>
        </w:tc>
      </w:tr>
    </w:tbl>
    <w:p w:rsidR="003A497B"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sidRPr="00352DA3">
        <w:rPr>
          <w:rFonts w:ascii="Times New Roman" w:hAnsi="Times New Roman" w:cs="Times New Roman"/>
        </w:rPr>
        <w:t>Kapitola Úrad vlády SR bude mať v roku 201</w:t>
      </w:r>
      <w:r>
        <w:rPr>
          <w:rFonts w:ascii="Times New Roman" w:hAnsi="Times New Roman" w:cs="Times New Roman"/>
        </w:rPr>
        <w:t>9</w:t>
      </w:r>
      <w:r w:rsidRPr="00352DA3">
        <w:rPr>
          <w:rFonts w:ascii="Times New Roman" w:hAnsi="Times New Roman" w:cs="Times New Roman"/>
        </w:rPr>
        <w:t xml:space="preserve"> k dispozícii celkové výdavky vo výške </w:t>
      </w:r>
      <w:r>
        <w:rPr>
          <w:rFonts w:ascii="Times New Roman" w:hAnsi="Times New Roman" w:cs="Times New Roman"/>
        </w:rPr>
        <w:t>54,0</w:t>
      </w:r>
      <w:r w:rsidRPr="00352DA3">
        <w:rPr>
          <w:rFonts w:ascii="Times New Roman" w:hAnsi="Times New Roman" w:cs="Times New Roman"/>
        </w:rPr>
        <w:t xml:space="preserve"> mil. eur, v tom rozpočtové prostriedky v sume 2</w:t>
      </w:r>
      <w:r>
        <w:rPr>
          <w:rFonts w:ascii="Times New Roman" w:hAnsi="Times New Roman" w:cs="Times New Roman"/>
        </w:rPr>
        <w:t>3</w:t>
      </w:r>
      <w:r w:rsidRPr="00352DA3">
        <w:rPr>
          <w:rFonts w:ascii="Times New Roman" w:hAnsi="Times New Roman" w:cs="Times New Roman"/>
        </w:rPr>
        <w:t>,</w:t>
      </w:r>
      <w:r>
        <w:rPr>
          <w:rFonts w:ascii="Times New Roman" w:hAnsi="Times New Roman" w:cs="Times New Roman"/>
        </w:rPr>
        <w:t>4</w:t>
      </w:r>
      <w:r w:rsidRPr="00352DA3">
        <w:rPr>
          <w:rFonts w:ascii="Times New Roman" w:hAnsi="Times New Roman" w:cs="Times New Roman"/>
        </w:rPr>
        <w:t xml:space="preserve"> mil. eur a výdavky EÚ a spolufinancovania zo štátneho rozpočtu vo výške </w:t>
      </w:r>
      <w:r>
        <w:rPr>
          <w:rFonts w:ascii="Times New Roman" w:hAnsi="Times New Roman" w:cs="Times New Roman"/>
        </w:rPr>
        <w:t>30,7</w:t>
      </w:r>
      <w:r w:rsidRPr="00352DA3">
        <w:rPr>
          <w:rFonts w:ascii="Times New Roman" w:hAnsi="Times New Roman" w:cs="Times New Roman"/>
        </w:rPr>
        <w:t xml:space="preserve"> mil. eur. </w:t>
      </w:r>
    </w:p>
    <w:p w:rsidR="003A497B" w:rsidRPr="00352DA3"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sidRPr="00352DA3">
        <w:rPr>
          <w:rFonts w:ascii="Times New Roman" w:hAnsi="Times New Roman" w:cs="Times New Roman"/>
        </w:rPr>
        <w:t>Objem osobných výdavkov sa na rok 201</w:t>
      </w:r>
      <w:r>
        <w:rPr>
          <w:rFonts w:ascii="Times New Roman" w:hAnsi="Times New Roman" w:cs="Times New Roman"/>
        </w:rPr>
        <w:t>9</w:t>
      </w:r>
      <w:r w:rsidRPr="00352DA3">
        <w:rPr>
          <w:rFonts w:ascii="Times New Roman" w:hAnsi="Times New Roman" w:cs="Times New Roman"/>
        </w:rPr>
        <w:t xml:space="preserve"> rozpočtuje na úrovni </w:t>
      </w:r>
      <w:r>
        <w:rPr>
          <w:rFonts w:ascii="Times New Roman" w:hAnsi="Times New Roman" w:cs="Times New Roman"/>
        </w:rPr>
        <w:t>9</w:t>
      </w:r>
      <w:r w:rsidRPr="00352DA3">
        <w:rPr>
          <w:rFonts w:ascii="Times New Roman" w:hAnsi="Times New Roman" w:cs="Times New Roman"/>
        </w:rPr>
        <w:t>,</w:t>
      </w:r>
      <w:r>
        <w:rPr>
          <w:rFonts w:ascii="Times New Roman" w:hAnsi="Times New Roman" w:cs="Times New Roman"/>
        </w:rPr>
        <w:t>76</w:t>
      </w:r>
      <w:r w:rsidRPr="00352DA3">
        <w:rPr>
          <w:rFonts w:ascii="Times New Roman" w:hAnsi="Times New Roman" w:cs="Times New Roman"/>
        </w:rPr>
        <w:t xml:space="preserve"> mil. eur, čo v porovnaní so schváleným rozpočtom roku 201</w:t>
      </w:r>
      <w:r>
        <w:rPr>
          <w:rFonts w:ascii="Times New Roman" w:hAnsi="Times New Roman" w:cs="Times New Roman"/>
        </w:rPr>
        <w:t>8</w:t>
      </w:r>
      <w:r w:rsidRPr="00352DA3">
        <w:rPr>
          <w:rFonts w:ascii="Times New Roman" w:hAnsi="Times New Roman" w:cs="Times New Roman"/>
        </w:rPr>
        <w:t xml:space="preserve"> predstavuje zvýšenie o</w:t>
      </w:r>
      <w:r>
        <w:rPr>
          <w:rFonts w:ascii="Times New Roman" w:hAnsi="Times New Roman" w:cs="Times New Roman"/>
        </w:rPr>
        <w:t> 843 tis. eur.</w:t>
      </w:r>
    </w:p>
    <w:p w:rsidR="003A497B" w:rsidRPr="00352DA3"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sidRPr="00352DA3">
        <w:rPr>
          <w:rFonts w:ascii="Times New Roman" w:hAnsi="Times New Roman" w:cs="Times New Roman"/>
        </w:rPr>
        <w:t>Vo výdavkoch na tovary a služby na rok 201</w:t>
      </w:r>
      <w:r>
        <w:rPr>
          <w:rFonts w:ascii="Times New Roman" w:hAnsi="Times New Roman" w:cs="Times New Roman"/>
        </w:rPr>
        <w:t>9</w:t>
      </w:r>
      <w:r w:rsidRPr="00352DA3">
        <w:rPr>
          <w:rFonts w:ascii="Times New Roman" w:hAnsi="Times New Roman" w:cs="Times New Roman"/>
        </w:rPr>
        <w:t xml:space="preserve"> v sume </w:t>
      </w:r>
      <w:r>
        <w:rPr>
          <w:rFonts w:ascii="Times New Roman" w:hAnsi="Times New Roman" w:cs="Times New Roman"/>
        </w:rPr>
        <w:t>5,65</w:t>
      </w:r>
      <w:r w:rsidRPr="00352DA3">
        <w:rPr>
          <w:rFonts w:ascii="Times New Roman" w:hAnsi="Times New Roman" w:cs="Times New Roman"/>
        </w:rPr>
        <w:t xml:space="preserve"> mil. eur je </w:t>
      </w:r>
      <w:r>
        <w:rPr>
          <w:rFonts w:ascii="Times New Roman" w:hAnsi="Times New Roman" w:cs="Times New Roman"/>
        </w:rPr>
        <w:t xml:space="preserve">nárast </w:t>
      </w:r>
      <w:r w:rsidRPr="00352DA3">
        <w:rPr>
          <w:rFonts w:ascii="Times New Roman" w:hAnsi="Times New Roman" w:cs="Times New Roman"/>
        </w:rPr>
        <w:t>oproti schválenému rozpočtu roku 201</w:t>
      </w:r>
      <w:r>
        <w:rPr>
          <w:rFonts w:ascii="Times New Roman" w:hAnsi="Times New Roman" w:cs="Times New Roman"/>
        </w:rPr>
        <w:t>8</w:t>
      </w:r>
      <w:r w:rsidRPr="00352DA3">
        <w:rPr>
          <w:rFonts w:ascii="Times New Roman" w:hAnsi="Times New Roman" w:cs="Times New Roman"/>
        </w:rPr>
        <w:t xml:space="preserve"> o</w:t>
      </w:r>
      <w:r>
        <w:rPr>
          <w:rFonts w:ascii="Times New Roman" w:hAnsi="Times New Roman" w:cs="Times New Roman"/>
        </w:rPr>
        <w:t> 79,4</w:t>
      </w:r>
      <w:r w:rsidRPr="00352DA3">
        <w:rPr>
          <w:rFonts w:ascii="Times New Roman" w:hAnsi="Times New Roman" w:cs="Times New Roman"/>
        </w:rPr>
        <w:t xml:space="preserve"> tis. eur, t. j. o</w:t>
      </w:r>
      <w:r>
        <w:rPr>
          <w:rFonts w:ascii="Times New Roman" w:hAnsi="Times New Roman" w:cs="Times New Roman"/>
        </w:rPr>
        <w:t xml:space="preserve"> 1,42 % v súvislosti s rozpočtovaním výdavkov na podporu najmenej rozvinutých okresov, ktoré po podpísaní delimitačných protokolov od roku 2019 budú v kompetencii Úradu podpredsedu vlády SR pre investície a informatizáciu. </w:t>
      </w:r>
    </w:p>
    <w:p w:rsidR="003A497B" w:rsidRPr="00352DA3"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sidRPr="00352DA3">
        <w:rPr>
          <w:rFonts w:ascii="Times New Roman" w:hAnsi="Times New Roman" w:cs="Times New Roman"/>
        </w:rPr>
        <w:t>Bežné transfery na rok 201</w:t>
      </w:r>
      <w:r>
        <w:rPr>
          <w:rFonts w:ascii="Times New Roman" w:hAnsi="Times New Roman" w:cs="Times New Roman"/>
        </w:rPr>
        <w:t>9 rozpočtované v sume 6,92</w:t>
      </w:r>
      <w:r w:rsidRPr="00352DA3">
        <w:rPr>
          <w:rFonts w:ascii="Times New Roman" w:hAnsi="Times New Roman" w:cs="Times New Roman"/>
        </w:rPr>
        <w:t xml:space="preserve"> mil. eur </w:t>
      </w:r>
      <w:r>
        <w:rPr>
          <w:rFonts w:ascii="Times New Roman" w:hAnsi="Times New Roman" w:cs="Times New Roman"/>
        </w:rPr>
        <w:t xml:space="preserve">medziročne celkovo rastú </w:t>
      </w:r>
      <w:r w:rsidRPr="00700A5C">
        <w:rPr>
          <w:rFonts w:ascii="Times New Roman" w:hAnsi="Times New Roman" w:cs="Times New Roman"/>
        </w:rPr>
        <w:t>o</w:t>
      </w:r>
      <w:r>
        <w:rPr>
          <w:rFonts w:ascii="Times New Roman" w:hAnsi="Times New Roman" w:cs="Times New Roman"/>
        </w:rPr>
        <w:t> 34,7 tis. eur</w:t>
      </w:r>
      <w:r w:rsidRPr="00700A5C">
        <w:rPr>
          <w:rFonts w:ascii="Times New Roman" w:hAnsi="Times New Roman" w:cs="Times New Roman"/>
        </w:rPr>
        <w:t xml:space="preserve"> (</w:t>
      </w:r>
      <w:r>
        <w:rPr>
          <w:rFonts w:ascii="Times New Roman" w:hAnsi="Times New Roman" w:cs="Times New Roman"/>
        </w:rPr>
        <w:t>0,5</w:t>
      </w:r>
      <w:r w:rsidRPr="00700A5C">
        <w:rPr>
          <w:rFonts w:ascii="Times New Roman" w:hAnsi="Times New Roman" w:cs="Times New Roman"/>
        </w:rPr>
        <w:t xml:space="preserve"> %)</w:t>
      </w:r>
      <w:r>
        <w:rPr>
          <w:rFonts w:ascii="Times New Roman" w:hAnsi="Times New Roman" w:cs="Times New Roman"/>
        </w:rPr>
        <w:t xml:space="preserve"> v dôsledku</w:t>
      </w:r>
      <w:r w:rsidRPr="00700A5C">
        <w:rPr>
          <w:rFonts w:ascii="Times New Roman" w:hAnsi="Times New Roman" w:cs="Times New Roman"/>
        </w:rPr>
        <w:t xml:space="preserve"> </w:t>
      </w:r>
      <w:r>
        <w:rPr>
          <w:rFonts w:ascii="Times New Roman" w:hAnsi="Times New Roman" w:cs="Times New Roman"/>
        </w:rPr>
        <w:t>zvýšeného transferu pre príspevkovú organizáciu v súvislosti s valorizáciou platov.</w:t>
      </w:r>
    </w:p>
    <w:p w:rsidR="003A497B" w:rsidRPr="00352DA3" w:rsidRDefault="003A497B" w:rsidP="003A497B">
      <w:pPr>
        <w:ind w:firstLine="708"/>
        <w:jc w:val="both"/>
        <w:rPr>
          <w:rFonts w:ascii="Times New Roman" w:hAnsi="Times New Roman" w:cs="Times New Roman"/>
        </w:rPr>
      </w:pPr>
    </w:p>
    <w:p w:rsidR="003A497B" w:rsidRPr="00E06E42" w:rsidRDefault="003A497B" w:rsidP="003A497B">
      <w:pPr>
        <w:ind w:firstLine="708"/>
        <w:jc w:val="both"/>
        <w:rPr>
          <w:rFonts w:ascii="Times New Roman" w:hAnsi="Times New Roman" w:cs="Times New Roman"/>
        </w:rPr>
      </w:pPr>
      <w:r w:rsidRPr="00352DA3">
        <w:rPr>
          <w:rFonts w:ascii="Times New Roman" w:hAnsi="Times New Roman" w:cs="Times New Roman"/>
        </w:rPr>
        <w:t>Kapitálové výdavky sú na rok 201</w:t>
      </w:r>
      <w:r>
        <w:rPr>
          <w:rFonts w:ascii="Times New Roman" w:hAnsi="Times New Roman" w:cs="Times New Roman"/>
        </w:rPr>
        <w:t>9</w:t>
      </w:r>
      <w:r w:rsidRPr="00352DA3">
        <w:rPr>
          <w:rFonts w:ascii="Times New Roman" w:hAnsi="Times New Roman" w:cs="Times New Roman"/>
        </w:rPr>
        <w:t xml:space="preserve"> rozpočtované na úrovni </w:t>
      </w:r>
      <w:r>
        <w:rPr>
          <w:rFonts w:ascii="Times New Roman" w:hAnsi="Times New Roman" w:cs="Times New Roman"/>
        </w:rPr>
        <w:t>1,06</w:t>
      </w:r>
      <w:r w:rsidRPr="00352DA3">
        <w:rPr>
          <w:rFonts w:ascii="Times New Roman" w:hAnsi="Times New Roman" w:cs="Times New Roman"/>
        </w:rPr>
        <w:t xml:space="preserve"> mil. eur</w:t>
      </w:r>
      <w:r>
        <w:rPr>
          <w:rFonts w:ascii="Times New Roman" w:hAnsi="Times New Roman" w:cs="Times New Roman"/>
        </w:rPr>
        <w:t xml:space="preserve"> a </w:t>
      </w:r>
      <w:r w:rsidRPr="00352DA3">
        <w:rPr>
          <w:rFonts w:ascii="Times New Roman" w:hAnsi="Times New Roman" w:cs="Times New Roman"/>
        </w:rPr>
        <w:t xml:space="preserve">medziročne </w:t>
      </w:r>
      <w:r>
        <w:rPr>
          <w:rFonts w:ascii="Times New Roman" w:hAnsi="Times New Roman" w:cs="Times New Roman"/>
        </w:rPr>
        <w:t>sa nemenia.</w:t>
      </w:r>
      <w:r w:rsidRPr="003377DC">
        <w:rPr>
          <w:rFonts w:ascii="Times New Roman" w:hAnsi="Times New Roman" w:cs="Times New Roman"/>
        </w:rPr>
        <w:t xml:space="preserve"> </w:t>
      </w:r>
      <w:r w:rsidRPr="00352DA3">
        <w:rPr>
          <w:rFonts w:ascii="Times New Roman" w:hAnsi="Times New Roman" w:cs="Times New Roman"/>
        </w:rPr>
        <w:t xml:space="preserve">Rozpísané kapitálové výdavky kapitola použije na rekonštrukcie </w:t>
      </w:r>
      <w:r w:rsidRPr="00E06E42">
        <w:rPr>
          <w:rFonts w:ascii="Times New Roman" w:hAnsi="Times New Roman" w:cs="Times New Roman"/>
        </w:rPr>
        <w:t xml:space="preserve">a modernizácie objektov, obstaranie strojov, prístrojov a zariadení, a na </w:t>
      </w:r>
      <w:r>
        <w:rPr>
          <w:rFonts w:ascii="Times New Roman" w:hAnsi="Times New Roman" w:cs="Times New Roman"/>
        </w:rPr>
        <w:t>obstaranie výpočtovej techniky.</w:t>
      </w:r>
    </w:p>
    <w:p w:rsidR="003A497B" w:rsidRPr="00E06E42" w:rsidRDefault="003A497B" w:rsidP="003A497B">
      <w:pPr>
        <w:rPr>
          <w:rFonts w:ascii="Times New Roman" w:hAnsi="Times New Roman" w:cs="Times New Roman"/>
        </w:rPr>
      </w:pPr>
    </w:p>
    <w:p w:rsidR="003A497B" w:rsidRPr="00E06E42" w:rsidRDefault="003A497B" w:rsidP="003A497B">
      <w:pPr>
        <w:ind w:firstLine="708"/>
        <w:jc w:val="both"/>
        <w:rPr>
          <w:rFonts w:ascii="Times New Roman" w:hAnsi="Times New Roman" w:cs="Times New Roman"/>
        </w:rPr>
      </w:pPr>
      <w:r w:rsidRPr="00E06E42">
        <w:rPr>
          <w:rFonts w:ascii="Times New Roman" w:hAnsi="Times New Roman" w:cs="Times New Roman"/>
        </w:rPr>
        <w:t xml:space="preserve">Kapitola </w:t>
      </w:r>
      <w:r>
        <w:rPr>
          <w:rFonts w:ascii="Times New Roman" w:hAnsi="Times New Roman" w:cs="Times New Roman"/>
        </w:rPr>
        <w:t>na rok 2019 rozpočtuje výdavky na samostatných účtoch v </w:t>
      </w:r>
      <w:r w:rsidRPr="00191EAF">
        <w:rPr>
          <w:rFonts w:ascii="Times New Roman" w:hAnsi="Times New Roman" w:cs="Times New Roman"/>
        </w:rPr>
        <w:t xml:space="preserve">celkovej sume </w:t>
      </w:r>
      <w:r>
        <w:rPr>
          <w:rFonts w:ascii="Times New Roman" w:hAnsi="Times New Roman" w:cs="Times New Roman"/>
        </w:rPr>
        <w:br/>
        <w:t>12,1 mil. eur. Uvedené prostriedky sú určené na financovanie grantov Finančného mechanizmu EHP a Nórskeho finančného mechanizmu.</w:t>
      </w:r>
    </w:p>
    <w:p w:rsidR="003A497B" w:rsidRDefault="003A497B" w:rsidP="003A497B">
      <w:pPr>
        <w:ind w:firstLine="708"/>
        <w:jc w:val="both"/>
        <w:rPr>
          <w:rFonts w:ascii="Times New Roman" w:hAnsi="Times New Roman" w:cs="Times New Roman"/>
          <w:highlight w:val="yellow"/>
        </w:rPr>
      </w:pPr>
    </w:p>
    <w:p w:rsidR="003A497B" w:rsidRPr="00912A7B" w:rsidRDefault="003A497B" w:rsidP="003A497B">
      <w:pPr>
        <w:pStyle w:val="Nadpis5"/>
        <w:pBdr>
          <w:bottom w:val="single" w:sz="4" w:space="1" w:color="auto"/>
        </w:pBdr>
        <w:ind w:left="0"/>
        <w:rPr>
          <w:i w:val="0"/>
          <w:sz w:val="24"/>
          <w:lang w:eastAsia="sk-SK"/>
        </w:rPr>
      </w:pPr>
      <w:bookmarkStart w:id="238" w:name="_Toc494470106"/>
      <w:bookmarkStart w:id="239" w:name="_Toc494472282"/>
      <w:bookmarkStart w:id="240" w:name="_Toc526267707"/>
      <w:r w:rsidRPr="00912A7B">
        <w:rPr>
          <w:i w:val="0"/>
          <w:sz w:val="24"/>
          <w:lang w:eastAsia="sk-SK"/>
        </w:rPr>
        <w:lastRenderedPageBreak/>
        <w:t>Úrad podpredsedu vlády SR pre investície a informatizáciu</w:t>
      </w:r>
      <w:bookmarkEnd w:id="238"/>
      <w:bookmarkEnd w:id="239"/>
      <w:bookmarkEnd w:id="240"/>
    </w:p>
    <w:p w:rsidR="003A497B" w:rsidRDefault="003A497B" w:rsidP="003A497B"/>
    <w:tbl>
      <w:tblPr>
        <w:tblW w:w="5000" w:type="pct"/>
        <w:tblCellMar>
          <w:left w:w="70" w:type="dxa"/>
          <w:right w:w="70" w:type="dxa"/>
        </w:tblCellMar>
        <w:tblLook w:val="04A0" w:firstRow="1" w:lastRow="0" w:firstColumn="1" w:lastColumn="0" w:noHBand="0" w:noVBand="1"/>
      </w:tblPr>
      <w:tblGrid>
        <w:gridCol w:w="3116"/>
        <w:gridCol w:w="848"/>
        <w:gridCol w:w="850"/>
        <w:gridCol w:w="850"/>
        <w:gridCol w:w="848"/>
        <w:gridCol w:w="850"/>
        <w:gridCol w:w="850"/>
        <w:gridCol w:w="850"/>
      </w:tblGrid>
      <w:tr w:rsidR="003A497B" w:rsidRPr="00951C93" w:rsidTr="003E1809">
        <w:trPr>
          <w:trHeight w:val="255"/>
        </w:trPr>
        <w:tc>
          <w:tcPr>
            <w:tcW w:w="1719" w:type="pct"/>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3A497B" w:rsidRPr="00951C93" w:rsidRDefault="003A497B" w:rsidP="003E1809">
            <w:pPr>
              <w:rPr>
                <w:rFonts w:ascii="Times New Roman" w:hAnsi="Times New Roman" w:cs="Times New Roman"/>
                <w:b/>
                <w:bCs/>
                <w:color w:val="000000"/>
                <w:sz w:val="14"/>
                <w:szCs w:val="14"/>
              </w:rPr>
            </w:pPr>
            <w:r w:rsidRPr="00951C93">
              <w:rPr>
                <w:rFonts w:ascii="Times New Roman" w:hAnsi="Times New Roman" w:cs="Times New Roman"/>
                <w:b/>
                <w:bCs/>
                <w:color w:val="000000"/>
                <w:sz w:val="14"/>
                <w:szCs w:val="14"/>
              </w:rPr>
              <w:t> v eurách</w:t>
            </w:r>
          </w:p>
        </w:tc>
        <w:tc>
          <w:tcPr>
            <w:tcW w:w="468"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C633BE" w:rsidRDefault="003A497B" w:rsidP="003E1809">
            <w:pPr>
              <w:jc w:val="center"/>
              <w:rPr>
                <w:rFonts w:ascii="Times New Roman" w:hAnsi="Times New Roman" w:cs="Times New Roman"/>
                <w:b/>
                <w:bCs/>
                <w:color w:val="000000"/>
                <w:sz w:val="14"/>
                <w:szCs w:val="14"/>
                <w:lang w:eastAsia="sk-SK"/>
              </w:rPr>
            </w:pPr>
            <w:r w:rsidRPr="00C633BE">
              <w:rPr>
                <w:rFonts w:ascii="Times New Roman" w:hAnsi="Times New Roman" w:cs="Times New Roman"/>
                <w:b/>
                <w:bCs/>
                <w:color w:val="000000"/>
                <w:sz w:val="14"/>
                <w:szCs w:val="14"/>
              </w:rPr>
              <w:t>2016 S</w:t>
            </w:r>
          </w:p>
        </w:tc>
        <w:tc>
          <w:tcPr>
            <w:tcW w:w="469"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C633BE" w:rsidRDefault="003A497B" w:rsidP="003E1809">
            <w:pPr>
              <w:jc w:val="center"/>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2017 S</w:t>
            </w:r>
          </w:p>
        </w:tc>
        <w:tc>
          <w:tcPr>
            <w:tcW w:w="469"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C633BE" w:rsidRDefault="003A497B" w:rsidP="003E1809">
            <w:pPr>
              <w:jc w:val="center"/>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2018 R</w:t>
            </w:r>
          </w:p>
        </w:tc>
        <w:tc>
          <w:tcPr>
            <w:tcW w:w="468"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C633BE" w:rsidRDefault="003A497B" w:rsidP="003E1809">
            <w:pPr>
              <w:jc w:val="center"/>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2018 OS</w:t>
            </w:r>
          </w:p>
        </w:tc>
        <w:tc>
          <w:tcPr>
            <w:tcW w:w="469"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C633BE" w:rsidRDefault="003A497B" w:rsidP="003E1809">
            <w:pPr>
              <w:jc w:val="center"/>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2019 N</w:t>
            </w:r>
          </w:p>
        </w:tc>
        <w:tc>
          <w:tcPr>
            <w:tcW w:w="469"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C633BE" w:rsidRDefault="003A497B" w:rsidP="003E1809">
            <w:pPr>
              <w:jc w:val="center"/>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2020 N</w:t>
            </w:r>
          </w:p>
        </w:tc>
        <w:tc>
          <w:tcPr>
            <w:tcW w:w="469"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C633BE" w:rsidRDefault="003A497B" w:rsidP="003E1809">
            <w:pPr>
              <w:jc w:val="center"/>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2021 N</w:t>
            </w:r>
          </w:p>
        </w:tc>
      </w:tr>
      <w:tr w:rsidR="003A497B" w:rsidRPr="00951C93" w:rsidTr="003E1809">
        <w:trPr>
          <w:trHeight w:val="255"/>
        </w:trPr>
        <w:tc>
          <w:tcPr>
            <w:tcW w:w="1719" w:type="pct"/>
            <w:tcBorders>
              <w:top w:val="nil"/>
              <w:left w:val="single" w:sz="4" w:space="0" w:color="auto"/>
              <w:bottom w:val="single" w:sz="4" w:space="0" w:color="auto"/>
              <w:right w:val="single" w:sz="4" w:space="0" w:color="auto"/>
            </w:tcBorders>
            <w:shd w:val="clear" w:color="000000" w:fill="C0C0C0"/>
            <w:noWrap/>
            <w:vAlign w:val="center"/>
            <w:hideMark/>
          </w:tcPr>
          <w:p w:rsidR="003A497B" w:rsidRPr="00951C93" w:rsidRDefault="003A497B" w:rsidP="003E1809">
            <w:pPr>
              <w:rPr>
                <w:rFonts w:ascii="Times New Roman" w:hAnsi="Times New Roman" w:cs="Times New Roman"/>
                <w:b/>
                <w:bCs/>
                <w:color w:val="000000"/>
                <w:sz w:val="14"/>
                <w:szCs w:val="14"/>
              </w:rPr>
            </w:pPr>
            <w:r w:rsidRPr="00951C93">
              <w:rPr>
                <w:rFonts w:ascii="Times New Roman" w:hAnsi="Times New Roman" w:cs="Times New Roman"/>
                <w:b/>
                <w:bCs/>
                <w:color w:val="000000"/>
                <w:sz w:val="14"/>
                <w:szCs w:val="14"/>
              </w:rPr>
              <w:t>Zdroje príslušnej kapitoly</w:t>
            </w:r>
          </w:p>
        </w:tc>
        <w:tc>
          <w:tcPr>
            <w:tcW w:w="468" w:type="pct"/>
            <w:tcBorders>
              <w:top w:val="nil"/>
              <w:left w:val="single" w:sz="4" w:space="0" w:color="auto"/>
              <w:bottom w:val="single" w:sz="4" w:space="0" w:color="auto"/>
              <w:right w:val="single" w:sz="4" w:space="0" w:color="auto"/>
            </w:tcBorders>
            <w:shd w:val="clear" w:color="000000" w:fill="BFBFBF"/>
            <w:noWrap/>
            <w:vAlign w:val="bottom"/>
          </w:tcPr>
          <w:p w:rsidR="003A497B" w:rsidRPr="00C633BE" w:rsidRDefault="003A497B" w:rsidP="003E1809">
            <w:pPr>
              <w:jc w:val="right"/>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11 119 425</w:t>
            </w:r>
          </w:p>
        </w:tc>
        <w:tc>
          <w:tcPr>
            <w:tcW w:w="469" w:type="pct"/>
            <w:tcBorders>
              <w:top w:val="nil"/>
              <w:left w:val="nil"/>
              <w:bottom w:val="single" w:sz="4" w:space="0" w:color="auto"/>
              <w:right w:val="single" w:sz="4" w:space="0" w:color="auto"/>
            </w:tcBorders>
            <w:shd w:val="clear" w:color="000000" w:fill="BFBFBF"/>
            <w:noWrap/>
            <w:vAlign w:val="bottom"/>
          </w:tcPr>
          <w:p w:rsidR="003A497B" w:rsidRPr="00C633BE" w:rsidRDefault="003A497B" w:rsidP="003E1809">
            <w:pPr>
              <w:jc w:val="right"/>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22 307 958</w:t>
            </w:r>
          </w:p>
        </w:tc>
        <w:tc>
          <w:tcPr>
            <w:tcW w:w="469" w:type="pct"/>
            <w:tcBorders>
              <w:top w:val="nil"/>
              <w:left w:val="nil"/>
              <w:bottom w:val="single" w:sz="4" w:space="0" w:color="auto"/>
              <w:right w:val="single" w:sz="4" w:space="0" w:color="auto"/>
            </w:tcBorders>
            <w:shd w:val="clear" w:color="000000" w:fill="BFBFBF"/>
            <w:noWrap/>
            <w:vAlign w:val="bottom"/>
          </w:tcPr>
          <w:p w:rsidR="003A497B" w:rsidRPr="00C633BE" w:rsidRDefault="003A497B" w:rsidP="003E1809">
            <w:pPr>
              <w:jc w:val="right"/>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3 096 197</w:t>
            </w:r>
          </w:p>
        </w:tc>
        <w:tc>
          <w:tcPr>
            <w:tcW w:w="46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A497B" w:rsidRPr="006414B4" w:rsidRDefault="003A497B" w:rsidP="003E1809">
            <w:pPr>
              <w:jc w:val="right"/>
              <w:rPr>
                <w:rFonts w:ascii="Times New Roman" w:hAnsi="Times New Roman" w:cs="Times New Roman"/>
                <w:b/>
                <w:bCs/>
                <w:color w:val="000000"/>
                <w:sz w:val="14"/>
                <w:szCs w:val="14"/>
                <w:lang w:eastAsia="sk-SK"/>
              </w:rPr>
            </w:pPr>
            <w:r w:rsidRPr="006414B4">
              <w:rPr>
                <w:rFonts w:ascii="Times New Roman" w:hAnsi="Times New Roman" w:cs="Times New Roman"/>
                <w:b/>
                <w:bCs/>
                <w:color w:val="000000"/>
                <w:sz w:val="14"/>
                <w:szCs w:val="14"/>
              </w:rPr>
              <w:t>18 518 364</w:t>
            </w:r>
          </w:p>
        </w:tc>
        <w:tc>
          <w:tcPr>
            <w:tcW w:w="469"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A497B" w:rsidRPr="005A2D0D" w:rsidRDefault="003A497B" w:rsidP="003E1809">
            <w:pPr>
              <w:jc w:val="right"/>
              <w:rPr>
                <w:rFonts w:ascii="Times New Roman" w:hAnsi="Times New Roman" w:cs="Times New Roman"/>
                <w:b/>
                <w:bCs/>
                <w:color w:val="000000"/>
                <w:sz w:val="14"/>
                <w:szCs w:val="14"/>
                <w:lang w:eastAsia="sk-SK"/>
              </w:rPr>
            </w:pPr>
            <w:r w:rsidRPr="005A2D0D">
              <w:rPr>
                <w:rFonts w:ascii="Times New Roman" w:hAnsi="Times New Roman" w:cs="Times New Roman"/>
                <w:b/>
                <w:bCs/>
                <w:color w:val="000000"/>
                <w:sz w:val="14"/>
                <w:szCs w:val="14"/>
              </w:rPr>
              <w:t>10 486 929</w:t>
            </w:r>
          </w:p>
        </w:tc>
        <w:tc>
          <w:tcPr>
            <w:tcW w:w="469" w:type="pct"/>
            <w:tcBorders>
              <w:top w:val="single" w:sz="4" w:space="0" w:color="auto"/>
              <w:left w:val="nil"/>
              <w:bottom w:val="single" w:sz="4" w:space="0" w:color="auto"/>
              <w:right w:val="single" w:sz="4" w:space="0" w:color="auto"/>
            </w:tcBorders>
            <w:shd w:val="clear" w:color="000000" w:fill="BFBFBF"/>
            <w:noWrap/>
            <w:vAlign w:val="bottom"/>
            <w:hideMark/>
          </w:tcPr>
          <w:p w:rsidR="003A497B" w:rsidRPr="005A2D0D" w:rsidRDefault="003A497B" w:rsidP="003E1809">
            <w:pPr>
              <w:jc w:val="right"/>
              <w:rPr>
                <w:rFonts w:ascii="Times New Roman" w:hAnsi="Times New Roman" w:cs="Times New Roman"/>
                <w:b/>
                <w:bCs/>
                <w:color w:val="000000"/>
                <w:sz w:val="14"/>
                <w:szCs w:val="14"/>
              </w:rPr>
            </w:pPr>
            <w:r w:rsidRPr="005A2D0D">
              <w:rPr>
                <w:rFonts w:ascii="Times New Roman" w:hAnsi="Times New Roman" w:cs="Times New Roman"/>
                <w:b/>
                <w:bCs/>
                <w:color w:val="000000"/>
                <w:sz w:val="14"/>
                <w:szCs w:val="14"/>
              </w:rPr>
              <w:t>9 016 947</w:t>
            </w:r>
          </w:p>
        </w:tc>
        <w:tc>
          <w:tcPr>
            <w:tcW w:w="469" w:type="pct"/>
            <w:tcBorders>
              <w:top w:val="single" w:sz="4" w:space="0" w:color="auto"/>
              <w:left w:val="nil"/>
              <w:bottom w:val="single" w:sz="4" w:space="0" w:color="auto"/>
              <w:right w:val="single" w:sz="4" w:space="0" w:color="auto"/>
            </w:tcBorders>
            <w:shd w:val="clear" w:color="000000" w:fill="BFBFBF"/>
            <w:noWrap/>
            <w:vAlign w:val="bottom"/>
            <w:hideMark/>
          </w:tcPr>
          <w:p w:rsidR="003A497B" w:rsidRPr="005A2D0D" w:rsidRDefault="003A497B" w:rsidP="003E1809">
            <w:pPr>
              <w:jc w:val="right"/>
              <w:rPr>
                <w:rFonts w:ascii="Times New Roman" w:hAnsi="Times New Roman" w:cs="Times New Roman"/>
                <w:b/>
                <w:bCs/>
                <w:color w:val="000000"/>
                <w:sz w:val="14"/>
                <w:szCs w:val="14"/>
              </w:rPr>
            </w:pPr>
            <w:r w:rsidRPr="005A2D0D">
              <w:rPr>
                <w:rFonts w:ascii="Times New Roman" w:hAnsi="Times New Roman" w:cs="Times New Roman"/>
                <w:b/>
                <w:bCs/>
                <w:color w:val="000000"/>
                <w:sz w:val="14"/>
                <w:szCs w:val="14"/>
              </w:rPr>
              <w:t>8 154 393</w:t>
            </w:r>
          </w:p>
        </w:tc>
      </w:tr>
      <w:tr w:rsidR="003A497B" w:rsidRPr="00951C93" w:rsidTr="003E1809">
        <w:trPr>
          <w:trHeight w:val="255"/>
        </w:trPr>
        <w:tc>
          <w:tcPr>
            <w:tcW w:w="1719" w:type="pct"/>
            <w:tcBorders>
              <w:top w:val="nil"/>
              <w:left w:val="single" w:sz="4" w:space="0" w:color="auto"/>
              <w:bottom w:val="single" w:sz="4" w:space="0" w:color="auto"/>
              <w:right w:val="single" w:sz="4" w:space="0" w:color="auto"/>
            </w:tcBorders>
            <w:noWrap/>
            <w:vAlign w:val="center"/>
            <w:hideMark/>
          </w:tcPr>
          <w:p w:rsidR="003A497B" w:rsidRPr="00951C93" w:rsidRDefault="003A497B" w:rsidP="003E1809">
            <w:pPr>
              <w:rPr>
                <w:rFonts w:ascii="Times New Roman" w:hAnsi="Times New Roman" w:cs="Times New Roman"/>
                <w:b/>
                <w:color w:val="000000"/>
                <w:sz w:val="14"/>
                <w:szCs w:val="14"/>
              </w:rPr>
            </w:pPr>
            <w:r w:rsidRPr="00951C93">
              <w:rPr>
                <w:rFonts w:ascii="Times New Roman" w:hAnsi="Times New Roman" w:cs="Times New Roman"/>
                <w:b/>
                <w:color w:val="000000"/>
                <w:sz w:val="14"/>
                <w:szCs w:val="14"/>
              </w:rPr>
              <w:t xml:space="preserve">rozpočtové zdroje kapitoly </w:t>
            </w:r>
          </w:p>
        </w:tc>
        <w:tc>
          <w:tcPr>
            <w:tcW w:w="468" w:type="pct"/>
            <w:tcBorders>
              <w:top w:val="nil"/>
              <w:left w:val="single" w:sz="4" w:space="0" w:color="auto"/>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9 596 791</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5 591 118</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3 096 197</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3A497B" w:rsidRPr="006414B4" w:rsidRDefault="003A497B" w:rsidP="003E1809">
            <w:pPr>
              <w:jc w:val="right"/>
              <w:rPr>
                <w:rFonts w:ascii="Times New Roman" w:hAnsi="Times New Roman" w:cs="Times New Roman"/>
                <w:b/>
                <w:bCs/>
                <w:color w:val="000000"/>
                <w:sz w:val="14"/>
                <w:szCs w:val="14"/>
              </w:rPr>
            </w:pPr>
            <w:r w:rsidRPr="006414B4">
              <w:rPr>
                <w:rFonts w:ascii="Times New Roman" w:hAnsi="Times New Roman" w:cs="Times New Roman"/>
                <w:b/>
                <w:bCs/>
                <w:color w:val="000000"/>
                <w:sz w:val="14"/>
                <w:szCs w:val="14"/>
              </w:rPr>
              <w:t>10 135 456</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2D0D" w:rsidRDefault="003A497B" w:rsidP="003E1809">
            <w:pPr>
              <w:jc w:val="right"/>
              <w:rPr>
                <w:rFonts w:ascii="Times New Roman" w:hAnsi="Times New Roman" w:cs="Times New Roman"/>
                <w:b/>
                <w:bCs/>
                <w:color w:val="000000"/>
                <w:sz w:val="14"/>
                <w:szCs w:val="14"/>
              </w:rPr>
            </w:pPr>
            <w:r w:rsidRPr="005A2D0D">
              <w:rPr>
                <w:rFonts w:ascii="Times New Roman" w:hAnsi="Times New Roman" w:cs="Times New Roman"/>
                <w:b/>
                <w:bCs/>
                <w:color w:val="000000"/>
                <w:sz w:val="14"/>
                <w:szCs w:val="14"/>
              </w:rPr>
              <w:t>10 486 929</w:t>
            </w:r>
          </w:p>
        </w:tc>
        <w:tc>
          <w:tcPr>
            <w:tcW w:w="469" w:type="pct"/>
            <w:tcBorders>
              <w:top w:val="nil"/>
              <w:left w:val="nil"/>
              <w:bottom w:val="single" w:sz="4" w:space="0" w:color="auto"/>
              <w:right w:val="single" w:sz="4" w:space="0" w:color="auto"/>
            </w:tcBorders>
            <w:shd w:val="clear" w:color="auto" w:fill="auto"/>
            <w:noWrap/>
            <w:vAlign w:val="bottom"/>
            <w:hideMark/>
          </w:tcPr>
          <w:p w:rsidR="003A497B" w:rsidRPr="005A2D0D" w:rsidRDefault="003A497B" w:rsidP="003E1809">
            <w:pPr>
              <w:jc w:val="right"/>
              <w:rPr>
                <w:rFonts w:ascii="Times New Roman" w:hAnsi="Times New Roman" w:cs="Times New Roman"/>
                <w:b/>
                <w:bCs/>
                <w:color w:val="000000"/>
                <w:sz w:val="14"/>
                <w:szCs w:val="14"/>
              </w:rPr>
            </w:pPr>
            <w:r w:rsidRPr="005A2D0D">
              <w:rPr>
                <w:rFonts w:ascii="Times New Roman" w:hAnsi="Times New Roman" w:cs="Times New Roman"/>
                <w:b/>
                <w:bCs/>
                <w:color w:val="000000"/>
                <w:sz w:val="14"/>
                <w:szCs w:val="14"/>
              </w:rPr>
              <w:t>9 016 947</w:t>
            </w:r>
          </w:p>
        </w:tc>
        <w:tc>
          <w:tcPr>
            <w:tcW w:w="469" w:type="pct"/>
            <w:tcBorders>
              <w:top w:val="nil"/>
              <w:left w:val="nil"/>
              <w:bottom w:val="single" w:sz="4" w:space="0" w:color="auto"/>
              <w:right w:val="single" w:sz="4" w:space="0" w:color="auto"/>
            </w:tcBorders>
            <w:shd w:val="clear" w:color="auto" w:fill="auto"/>
            <w:noWrap/>
            <w:vAlign w:val="bottom"/>
            <w:hideMark/>
          </w:tcPr>
          <w:p w:rsidR="003A497B" w:rsidRPr="005A2D0D" w:rsidRDefault="003A497B" w:rsidP="003E1809">
            <w:pPr>
              <w:jc w:val="right"/>
              <w:rPr>
                <w:rFonts w:ascii="Times New Roman" w:hAnsi="Times New Roman" w:cs="Times New Roman"/>
                <w:b/>
                <w:bCs/>
                <w:color w:val="000000"/>
                <w:sz w:val="14"/>
                <w:szCs w:val="14"/>
              </w:rPr>
            </w:pPr>
            <w:r w:rsidRPr="005A2D0D">
              <w:rPr>
                <w:rFonts w:ascii="Times New Roman" w:hAnsi="Times New Roman" w:cs="Times New Roman"/>
                <w:b/>
                <w:bCs/>
                <w:color w:val="000000"/>
                <w:sz w:val="14"/>
                <w:szCs w:val="14"/>
              </w:rPr>
              <w:t>8 154 393</w:t>
            </w:r>
          </w:p>
        </w:tc>
      </w:tr>
      <w:tr w:rsidR="003A497B" w:rsidRPr="00951C93" w:rsidTr="003E1809">
        <w:trPr>
          <w:trHeight w:val="255"/>
        </w:trPr>
        <w:tc>
          <w:tcPr>
            <w:tcW w:w="1719" w:type="pct"/>
            <w:tcBorders>
              <w:top w:val="nil"/>
              <w:left w:val="single" w:sz="4" w:space="0" w:color="auto"/>
              <w:bottom w:val="single" w:sz="4" w:space="0" w:color="auto"/>
              <w:right w:val="single" w:sz="4" w:space="0" w:color="auto"/>
            </w:tcBorders>
            <w:noWrap/>
            <w:vAlign w:val="center"/>
            <w:hideMark/>
          </w:tcPr>
          <w:p w:rsidR="003A497B" w:rsidRPr="00951C93" w:rsidRDefault="003A497B" w:rsidP="003E1809">
            <w:pPr>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v tom: bežné výdavky  600</w:t>
            </w:r>
          </w:p>
        </w:tc>
        <w:tc>
          <w:tcPr>
            <w:tcW w:w="468" w:type="pct"/>
            <w:tcBorders>
              <w:top w:val="nil"/>
              <w:left w:val="single" w:sz="4" w:space="0" w:color="auto"/>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color w:val="000000"/>
                <w:sz w:val="14"/>
                <w:szCs w:val="14"/>
              </w:rPr>
            </w:pPr>
            <w:r w:rsidRPr="00C633BE">
              <w:rPr>
                <w:rFonts w:ascii="Times New Roman" w:hAnsi="Times New Roman" w:cs="Times New Roman"/>
                <w:color w:val="000000"/>
                <w:sz w:val="14"/>
                <w:szCs w:val="14"/>
              </w:rPr>
              <w:t>6 291 942</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color w:val="000000"/>
                <w:sz w:val="14"/>
                <w:szCs w:val="14"/>
              </w:rPr>
            </w:pPr>
            <w:r w:rsidRPr="00C633BE">
              <w:rPr>
                <w:rFonts w:ascii="Times New Roman" w:hAnsi="Times New Roman" w:cs="Times New Roman"/>
                <w:color w:val="000000"/>
                <w:sz w:val="14"/>
                <w:szCs w:val="14"/>
              </w:rPr>
              <w:t>5 279 002</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color w:val="000000"/>
                <w:sz w:val="14"/>
                <w:szCs w:val="14"/>
              </w:rPr>
            </w:pPr>
            <w:r w:rsidRPr="00C633BE">
              <w:rPr>
                <w:rFonts w:ascii="Times New Roman" w:hAnsi="Times New Roman" w:cs="Times New Roman"/>
                <w:color w:val="000000"/>
                <w:sz w:val="14"/>
                <w:szCs w:val="14"/>
              </w:rPr>
              <w:t>3 036 197</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3A497B" w:rsidRPr="006414B4" w:rsidRDefault="003A497B" w:rsidP="003E1809">
            <w:pPr>
              <w:jc w:val="right"/>
              <w:rPr>
                <w:rFonts w:ascii="Times New Roman" w:hAnsi="Times New Roman" w:cs="Times New Roman"/>
                <w:color w:val="000000"/>
                <w:sz w:val="14"/>
                <w:szCs w:val="14"/>
              </w:rPr>
            </w:pPr>
            <w:r w:rsidRPr="006414B4">
              <w:rPr>
                <w:rFonts w:ascii="Times New Roman" w:hAnsi="Times New Roman" w:cs="Times New Roman"/>
                <w:color w:val="000000"/>
                <w:sz w:val="14"/>
                <w:szCs w:val="14"/>
              </w:rPr>
              <w:t>8 185 912</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2D0D" w:rsidRDefault="003A497B" w:rsidP="003E1809">
            <w:pPr>
              <w:jc w:val="right"/>
              <w:rPr>
                <w:rFonts w:ascii="Times New Roman" w:hAnsi="Times New Roman" w:cs="Times New Roman"/>
                <w:color w:val="000000"/>
                <w:sz w:val="14"/>
                <w:szCs w:val="14"/>
              </w:rPr>
            </w:pPr>
            <w:r w:rsidRPr="005A2D0D">
              <w:rPr>
                <w:rFonts w:ascii="Times New Roman" w:hAnsi="Times New Roman" w:cs="Times New Roman"/>
                <w:color w:val="000000"/>
                <w:sz w:val="14"/>
                <w:szCs w:val="14"/>
              </w:rPr>
              <w:t>8 048 729</w:t>
            </w:r>
          </w:p>
        </w:tc>
        <w:tc>
          <w:tcPr>
            <w:tcW w:w="469" w:type="pct"/>
            <w:tcBorders>
              <w:top w:val="nil"/>
              <w:left w:val="nil"/>
              <w:bottom w:val="single" w:sz="4" w:space="0" w:color="auto"/>
              <w:right w:val="single" w:sz="4" w:space="0" w:color="auto"/>
            </w:tcBorders>
            <w:shd w:val="clear" w:color="auto" w:fill="auto"/>
            <w:noWrap/>
            <w:vAlign w:val="bottom"/>
            <w:hideMark/>
          </w:tcPr>
          <w:p w:rsidR="003A497B" w:rsidRPr="005A2D0D" w:rsidRDefault="003A497B" w:rsidP="003E1809">
            <w:pPr>
              <w:jc w:val="right"/>
              <w:rPr>
                <w:rFonts w:ascii="Times New Roman" w:hAnsi="Times New Roman" w:cs="Times New Roman"/>
                <w:color w:val="000000"/>
                <w:sz w:val="14"/>
                <w:szCs w:val="14"/>
              </w:rPr>
            </w:pPr>
            <w:r w:rsidRPr="005A2D0D">
              <w:rPr>
                <w:rFonts w:ascii="Times New Roman" w:hAnsi="Times New Roman" w:cs="Times New Roman"/>
                <w:color w:val="000000"/>
                <w:sz w:val="14"/>
                <w:szCs w:val="14"/>
              </w:rPr>
              <w:t>8 315 702</w:t>
            </w:r>
          </w:p>
        </w:tc>
        <w:tc>
          <w:tcPr>
            <w:tcW w:w="469" w:type="pct"/>
            <w:tcBorders>
              <w:top w:val="nil"/>
              <w:left w:val="nil"/>
              <w:bottom w:val="single" w:sz="4" w:space="0" w:color="auto"/>
              <w:right w:val="single" w:sz="4" w:space="0" w:color="auto"/>
            </w:tcBorders>
            <w:shd w:val="clear" w:color="auto" w:fill="auto"/>
            <w:noWrap/>
            <w:vAlign w:val="bottom"/>
            <w:hideMark/>
          </w:tcPr>
          <w:p w:rsidR="003A497B" w:rsidRPr="005A2D0D" w:rsidRDefault="003A497B" w:rsidP="003E1809">
            <w:pPr>
              <w:jc w:val="right"/>
              <w:rPr>
                <w:rFonts w:ascii="Times New Roman" w:hAnsi="Times New Roman" w:cs="Times New Roman"/>
                <w:color w:val="000000"/>
                <w:sz w:val="14"/>
                <w:szCs w:val="14"/>
              </w:rPr>
            </w:pPr>
            <w:r w:rsidRPr="005A2D0D">
              <w:rPr>
                <w:rFonts w:ascii="Times New Roman" w:hAnsi="Times New Roman" w:cs="Times New Roman"/>
                <w:color w:val="000000"/>
                <w:sz w:val="14"/>
                <w:szCs w:val="14"/>
              </w:rPr>
              <w:t>8 035 703</w:t>
            </w:r>
          </w:p>
        </w:tc>
      </w:tr>
      <w:tr w:rsidR="003A497B" w:rsidRPr="00951C93" w:rsidTr="003E1809">
        <w:trPr>
          <w:trHeight w:val="255"/>
        </w:trPr>
        <w:tc>
          <w:tcPr>
            <w:tcW w:w="1719" w:type="pct"/>
            <w:tcBorders>
              <w:top w:val="nil"/>
              <w:left w:val="single" w:sz="4" w:space="0" w:color="auto"/>
              <w:bottom w:val="single" w:sz="4" w:space="0" w:color="auto"/>
              <w:right w:val="single" w:sz="4" w:space="0" w:color="auto"/>
            </w:tcBorders>
            <w:noWrap/>
            <w:vAlign w:val="center"/>
            <w:hideMark/>
          </w:tcPr>
          <w:p w:rsidR="003A497B" w:rsidRPr="00951C93" w:rsidRDefault="003A497B" w:rsidP="003E1809">
            <w:pPr>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610 mzdy</w:t>
            </w:r>
          </w:p>
        </w:tc>
        <w:tc>
          <w:tcPr>
            <w:tcW w:w="468" w:type="pct"/>
            <w:tcBorders>
              <w:top w:val="nil"/>
              <w:left w:val="single" w:sz="4" w:space="0" w:color="auto"/>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color w:val="000000"/>
                <w:sz w:val="14"/>
                <w:szCs w:val="14"/>
              </w:rPr>
            </w:pPr>
            <w:r w:rsidRPr="00C633BE">
              <w:rPr>
                <w:rFonts w:ascii="Times New Roman" w:hAnsi="Times New Roman" w:cs="Times New Roman"/>
                <w:color w:val="000000"/>
                <w:sz w:val="14"/>
                <w:szCs w:val="14"/>
              </w:rPr>
              <w:t>2 434 322</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color w:val="000000"/>
                <w:sz w:val="14"/>
                <w:szCs w:val="14"/>
              </w:rPr>
            </w:pPr>
            <w:r w:rsidRPr="00C633BE">
              <w:rPr>
                <w:rFonts w:ascii="Times New Roman" w:hAnsi="Times New Roman" w:cs="Times New Roman"/>
                <w:color w:val="000000"/>
                <w:sz w:val="14"/>
                <w:szCs w:val="14"/>
              </w:rPr>
              <w:t>1 342 680</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color w:val="000000"/>
                <w:sz w:val="14"/>
                <w:szCs w:val="14"/>
              </w:rPr>
            </w:pPr>
            <w:r w:rsidRPr="00C633BE">
              <w:rPr>
                <w:rFonts w:ascii="Times New Roman" w:hAnsi="Times New Roman" w:cs="Times New Roman"/>
                <w:color w:val="000000"/>
                <w:sz w:val="14"/>
                <w:szCs w:val="14"/>
              </w:rPr>
              <w:t>751 446</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3A497B" w:rsidRPr="006414B4" w:rsidRDefault="003A497B" w:rsidP="003E1809">
            <w:pPr>
              <w:jc w:val="right"/>
              <w:rPr>
                <w:rFonts w:ascii="Times New Roman" w:hAnsi="Times New Roman" w:cs="Times New Roman"/>
                <w:color w:val="000000"/>
                <w:sz w:val="14"/>
                <w:szCs w:val="14"/>
              </w:rPr>
            </w:pPr>
            <w:r w:rsidRPr="006414B4">
              <w:rPr>
                <w:rFonts w:ascii="Times New Roman" w:hAnsi="Times New Roman" w:cs="Times New Roman"/>
                <w:color w:val="000000"/>
                <w:sz w:val="14"/>
                <w:szCs w:val="14"/>
              </w:rPr>
              <w:t>2 284 050</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2D0D" w:rsidRDefault="003A497B" w:rsidP="003E1809">
            <w:pPr>
              <w:jc w:val="right"/>
              <w:rPr>
                <w:rFonts w:ascii="Times New Roman" w:hAnsi="Times New Roman" w:cs="Times New Roman"/>
                <w:color w:val="000000"/>
                <w:sz w:val="14"/>
                <w:szCs w:val="14"/>
              </w:rPr>
            </w:pPr>
            <w:r w:rsidRPr="005A2D0D">
              <w:rPr>
                <w:rFonts w:ascii="Times New Roman" w:hAnsi="Times New Roman" w:cs="Times New Roman"/>
                <w:color w:val="000000"/>
                <w:sz w:val="14"/>
                <w:szCs w:val="14"/>
              </w:rPr>
              <w:t>2 648 782</w:t>
            </w:r>
          </w:p>
        </w:tc>
        <w:tc>
          <w:tcPr>
            <w:tcW w:w="469" w:type="pct"/>
            <w:tcBorders>
              <w:top w:val="nil"/>
              <w:left w:val="nil"/>
              <w:bottom w:val="single" w:sz="4" w:space="0" w:color="auto"/>
              <w:right w:val="single" w:sz="4" w:space="0" w:color="auto"/>
            </w:tcBorders>
            <w:shd w:val="clear" w:color="auto" w:fill="auto"/>
            <w:noWrap/>
            <w:vAlign w:val="bottom"/>
            <w:hideMark/>
          </w:tcPr>
          <w:p w:rsidR="003A497B" w:rsidRPr="005A2D0D" w:rsidRDefault="003A497B" w:rsidP="003E1809">
            <w:pPr>
              <w:jc w:val="right"/>
              <w:rPr>
                <w:rFonts w:ascii="Times New Roman" w:hAnsi="Times New Roman" w:cs="Times New Roman"/>
                <w:color w:val="000000"/>
                <w:sz w:val="14"/>
                <w:szCs w:val="14"/>
              </w:rPr>
            </w:pPr>
            <w:r w:rsidRPr="005A2D0D">
              <w:rPr>
                <w:rFonts w:ascii="Times New Roman" w:hAnsi="Times New Roman" w:cs="Times New Roman"/>
                <w:color w:val="000000"/>
                <w:sz w:val="14"/>
                <w:szCs w:val="14"/>
              </w:rPr>
              <w:t>2 648 782</w:t>
            </w:r>
          </w:p>
        </w:tc>
        <w:tc>
          <w:tcPr>
            <w:tcW w:w="469" w:type="pct"/>
            <w:tcBorders>
              <w:top w:val="nil"/>
              <w:left w:val="nil"/>
              <w:bottom w:val="single" w:sz="4" w:space="0" w:color="auto"/>
              <w:right w:val="single" w:sz="4" w:space="0" w:color="auto"/>
            </w:tcBorders>
            <w:shd w:val="clear" w:color="auto" w:fill="auto"/>
            <w:noWrap/>
            <w:vAlign w:val="bottom"/>
            <w:hideMark/>
          </w:tcPr>
          <w:p w:rsidR="003A497B" w:rsidRPr="005A2D0D" w:rsidRDefault="003A497B" w:rsidP="003E1809">
            <w:pPr>
              <w:jc w:val="right"/>
              <w:rPr>
                <w:rFonts w:ascii="Times New Roman" w:hAnsi="Times New Roman" w:cs="Times New Roman"/>
                <w:color w:val="000000"/>
                <w:sz w:val="14"/>
                <w:szCs w:val="14"/>
              </w:rPr>
            </w:pPr>
            <w:r w:rsidRPr="005A2D0D">
              <w:rPr>
                <w:rFonts w:ascii="Times New Roman" w:hAnsi="Times New Roman" w:cs="Times New Roman"/>
                <w:color w:val="000000"/>
                <w:sz w:val="14"/>
                <w:szCs w:val="14"/>
              </w:rPr>
              <w:t>2 648 782</w:t>
            </w:r>
          </w:p>
        </w:tc>
      </w:tr>
      <w:tr w:rsidR="003A497B" w:rsidRPr="00951C93" w:rsidTr="003E1809">
        <w:trPr>
          <w:trHeight w:val="255"/>
        </w:trPr>
        <w:tc>
          <w:tcPr>
            <w:tcW w:w="1719" w:type="pct"/>
            <w:tcBorders>
              <w:top w:val="nil"/>
              <w:left w:val="single" w:sz="4" w:space="0" w:color="auto"/>
              <w:bottom w:val="single" w:sz="4" w:space="0" w:color="auto"/>
              <w:right w:val="single" w:sz="4" w:space="0" w:color="auto"/>
            </w:tcBorders>
            <w:noWrap/>
            <w:vAlign w:val="center"/>
            <w:hideMark/>
          </w:tcPr>
          <w:p w:rsidR="003A497B" w:rsidRPr="00951C93" w:rsidRDefault="003A497B" w:rsidP="003E1809">
            <w:pPr>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620 odvody</w:t>
            </w:r>
          </w:p>
        </w:tc>
        <w:tc>
          <w:tcPr>
            <w:tcW w:w="468" w:type="pct"/>
            <w:tcBorders>
              <w:top w:val="nil"/>
              <w:left w:val="single" w:sz="4" w:space="0" w:color="auto"/>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color w:val="000000"/>
                <w:sz w:val="14"/>
                <w:szCs w:val="14"/>
              </w:rPr>
            </w:pPr>
            <w:r w:rsidRPr="00C633BE">
              <w:rPr>
                <w:rFonts w:ascii="Times New Roman" w:hAnsi="Times New Roman" w:cs="Times New Roman"/>
                <w:color w:val="000000"/>
                <w:sz w:val="14"/>
                <w:szCs w:val="14"/>
              </w:rPr>
              <w:t>923 064</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color w:val="000000"/>
                <w:sz w:val="14"/>
                <w:szCs w:val="14"/>
              </w:rPr>
            </w:pPr>
            <w:r w:rsidRPr="00C633BE">
              <w:rPr>
                <w:rFonts w:ascii="Times New Roman" w:hAnsi="Times New Roman" w:cs="Times New Roman"/>
                <w:color w:val="000000"/>
                <w:sz w:val="14"/>
                <w:szCs w:val="14"/>
              </w:rPr>
              <w:t>713 133</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color w:val="000000"/>
                <w:sz w:val="14"/>
                <w:szCs w:val="14"/>
              </w:rPr>
            </w:pPr>
            <w:r w:rsidRPr="00C633BE">
              <w:rPr>
                <w:rFonts w:ascii="Times New Roman" w:hAnsi="Times New Roman" w:cs="Times New Roman"/>
                <w:color w:val="000000"/>
                <w:sz w:val="14"/>
                <w:szCs w:val="14"/>
              </w:rPr>
              <w:t>334 631</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3A497B" w:rsidRPr="006414B4" w:rsidRDefault="003A497B" w:rsidP="003E1809">
            <w:pPr>
              <w:jc w:val="right"/>
              <w:rPr>
                <w:rFonts w:ascii="Times New Roman" w:hAnsi="Times New Roman" w:cs="Times New Roman"/>
                <w:color w:val="000000"/>
                <w:sz w:val="14"/>
                <w:szCs w:val="14"/>
              </w:rPr>
            </w:pPr>
            <w:r w:rsidRPr="006414B4">
              <w:rPr>
                <w:rFonts w:ascii="Times New Roman" w:hAnsi="Times New Roman" w:cs="Times New Roman"/>
                <w:color w:val="000000"/>
                <w:sz w:val="14"/>
                <w:szCs w:val="14"/>
              </w:rPr>
              <w:t>871 131</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2D0D" w:rsidRDefault="003A497B" w:rsidP="003E1809">
            <w:pPr>
              <w:jc w:val="right"/>
              <w:rPr>
                <w:rFonts w:ascii="Times New Roman" w:hAnsi="Times New Roman" w:cs="Times New Roman"/>
                <w:color w:val="000000"/>
                <w:sz w:val="14"/>
                <w:szCs w:val="14"/>
              </w:rPr>
            </w:pPr>
            <w:r w:rsidRPr="005A2D0D">
              <w:rPr>
                <w:rFonts w:ascii="Times New Roman" w:hAnsi="Times New Roman" w:cs="Times New Roman"/>
                <w:color w:val="000000"/>
                <w:sz w:val="14"/>
                <w:szCs w:val="14"/>
              </w:rPr>
              <w:t>925 749</w:t>
            </w:r>
          </w:p>
        </w:tc>
        <w:tc>
          <w:tcPr>
            <w:tcW w:w="469" w:type="pct"/>
            <w:tcBorders>
              <w:top w:val="nil"/>
              <w:left w:val="nil"/>
              <w:bottom w:val="single" w:sz="4" w:space="0" w:color="auto"/>
              <w:right w:val="single" w:sz="4" w:space="0" w:color="auto"/>
            </w:tcBorders>
            <w:shd w:val="clear" w:color="auto" w:fill="auto"/>
            <w:noWrap/>
            <w:vAlign w:val="bottom"/>
            <w:hideMark/>
          </w:tcPr>
          <w:p w:rsidR="003A497B" w:rsidRPr="005A2D0D" w:rsidRDefault="003A497B" w:rsidP="003E1809">
            <w:pPr>
              <w:jc w:val="right"/>
              <w:rPr>
                <w:rFonts w:ascii="Times New Roman" w:hAnsi="Times New Roman" w:cs="Times New Roman"/>
                <w:color w:val="000000"/>
                <w:sz w:val="14"/>
                <w:szCs w:val="14"/>
              </w:rPr>
            </w:pPr>
            <w:r w:rsidRPr="005A2D0D">
              <w:rPr>
                <w:rFonts w:ascii="Times New Roman" w:hAnsi="Times New Roman" w:cs="Times New Roman"/>
                <w:color w:val="000000"/>
                <w:sz w:val="14"/>
                <w:szCs w:val="14"/>
              </w:rPr>
              <w:t>925 749</w:t>
            </w:r>
          </w:p>
        </w:tc>
        <w:tc>
          <w:tcPr>
            <w:tcW w:w="469" w:type="pct"/>
            <w:tcBorders>
              <w:top w:val="nil"/>
              <w:left w:val="nil"/>
              <w:bottom w:val="single" w:sz="4" w:space="0" w:color="auto"/>
              <w:right w:val="single" w:sz="4" w:space="0" w:color="auto"/>
            </w:tcBorders>
            <w:shd w:val="clear" w:color="auto" w:fill="auto"/>
            <w:noWrap/>
            <w:vAlign w:val="bottom"/>
            <w:hideMark/>
          </w:tcPr>
          <w:p w:rsidR="003A497B" w:rsidRPr="005A2D0D" w:rsidRDefault="003A497B" w:rsidP="003E1809">
            <w:pPr>
              <w:jc w:val="right"/>
              <w:rPr>
                <w:rFonts w:ascii="Times New Roman" w:hAnsi="Times New Roman" w:cs="Times New Roman"/>
                <w:color w:val="000000"/>
                <w:sz w:val="14"/>
                <w:szCs w:val="14"/>
              </w:rPr>
            </w:pPr>
            <w:r w:rsidRPr="005A2D0D">
              <w:rPr>
                <w:rFonts w:ascii="Times New Roman" w:hAnsi="Times New Roman" w:cs="Times New Roman"/>
                <w:color w:val="000000"/>
                <w:sz w:val="14"/>
                <w:szCs w:val="14"/>
              </w:rPr>
              <w:t>925 749</w:t>
            </w:r>
          </w:p>
        </w:tc>
      </w:tr>
      <w:tr w:rsidR="003A497B" w:rsidRPr="00951C93" w:rsidTr="003E1809">
        <w:trPr>
          <w:trHeight w:val="255"/>
        </w:trPr>
        <w:tc>
          <w:tcPr>
            <w:tcW w:w="1719" w:type="pct"/>
            <w:tcBorders>
              <w:top w:val="nil"/>
              <w:left w:val="single" w:sz="4" w:space="0" w:color="auto"/>
              <w:bottom w:val="single" w:sz="4" w:space="0" w:color="auto"/>
              <w:right w:val="single" w:sz="4" w:space="0" w:color="auto"/>
            </w:tcBorders>
            <w:noWrap/>
            <w:vAlign w:val="center"/>
            <w:hideMark/>
          </w:tcPr>
          <w:p w:rsidR="003A497B" w:rsidRPr="00951C93" w:rsidRDefault="003A497B" w:rsidP="003E1809">
            <w:pPr>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630 tovary a služby</w:t>
            </w:r>
          </w:p>
        </w:tc>
        <w:tc>
          <w:tcPr>
            <w:tcW w:w="468" w:type="pct"/>
            <w:tcBorders>
              <w:top w:val="nil"/>
              <w:left w:val="single" w:sz="4" w:space="0" w:color="auto"/>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color w:val="000000"/>
                <w:sz w:val="14"/>
                <w:szCs w:val="14"/>
              </w:rPr>
            </w:pPr>
            <w:r w:rsidRPr="00C633BE">
              <w:rPr>
                <w:rFonts w:ascii="Times New Roman" w:hAnsi="Times New Roman" w:cs="Times New Roman"/>
                <w:color w:val="000000"/>
                <w:sz w:val="14"/>
                <w:szCs w:val="14"/>
              </w:rPr>
              <w:t>2 898 052</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color w:val="000000"/>
                <w:sz w:val="14"/>
                <w:szCs w:val="14"/>
              </w:rPr>
            </w:pPr>
            <w:r w:rsidRPr="00C633BE">
              <w:rPr>
                <w:rFonts w:ascii="Times New Roman" w:hAnsi="Times New Roman" w:cs="Times New Roman"/>
                <w:color w:val="000000"/>
                <w:sz w:val="14"/>
                <w:szCs w:val="14"/>
              </w:rPr>
              <w:t>3 146 713</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color w:val="000000"/>
                <w:sz w:val="14"/>
                <w:szCs w:val="14"/>
              </w:rPr>
            </w:pPr>
            <w:r w:rsidRPr="00C633BE">
              <w:rPr>
                <w:rFonts w:ascii="Times New Roman" w:hAnsi="Times New Roman" w:cs="Times New Roman"/>
                <w:color w:val="000000"/>
                <w:sz w:val="14"/>
                <w:szCs w:val="14"/>
              </w:rPr>
              <w:t>1 130 120</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3A497B" w:rsidRPr="006414B4" w:rsidRDefault="003A497B" w:rsidP="003E1809">
            <w:pPr>
              <w:jc w:val="right"/>
              <w:rPr>
                <w:rFonts w:ascii="Times New Roman" w:hAnsi="Times New Roman" w:cs="Times New Roman"/>
                <w:color w:val="000000"/>
                <w:sz w:val="14"/>
                <w:szCs w:val="14"/>
              </w:rPr>
            </w:pPr>
            <w:r w:rsidRPr="006414B4">
              <w:rPr>
                <w:rFonts w:ascii="Times New Roman" w:hAnsi="Times New Roman" w:cs="Times New Roman"/>
                <w:color w:val="000000"/>
                <w:sz w:val="14"/>
                <w:szCs w:val="14"/>
              </w:rPr>
              <w:t>4 222 699</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2D0D" w:rsidRDefault="003A497B" w:rsidP="003E1809">
            <w:pPr>
              <w:jc w:val="right"/>
              <w:rPr>
                <w:rFonts w:ascii="Times New Roman" w:hAnsi="Times New Roman" w:cs="Times New Roman"/>
                <w:color w:val="000000"/>
                <w:sz w:val="14"/>
                <w:szCs w:val="14"/>
              </w:rPr>
            </w:pPr>
            <w:r w:rsidRPr="005A2D0D">
              <w:rPr>
                <w:rFonts w:ascii="Times New Roman" w:hAnsi="Times New Roman" w:cs="Times New Roman"/>
                <w:color w:val="000000"/>
                <w:sz w:val="14"/>
                <w:szCs w:val="14"/>
              </w:rPr>
              <w:t>4 130 198</w:t>
            </w:r>
          </w:p>
        </w:tc>
        <w:tc>
          <w:tcPr>
            <w:tcW w:w="469" w:type="pct"/>
            <w:tcBorders>
              <w:top w:val="nil"/>
              <w:left w:val="nil"/>
              <w:bottom w:val="single" w:sz="4" w:space="0" w:color="auto"/>
              <w:right w:val="single" w:sz="4" w:space="0" w:color="auto"/>
            </w:tcBorders>
            <w:shd w:val="clear" w:color="auto" w:fill="auto"/>
            <w:noWrap/>
            <w:vAlign w:val="bottom"/>
            <w:hideMark/>
          </w:tcPr>
          <w:p w:rsidR="003A497B" w:rsidRPr="005A2D0D" w:rsidRDefault="003A497B" w:rsidP="003E1809">
            <w:pPr>
              <w:jc w:val="right"/>
              <w:rPr>
                <w:rFonts w:ascii="Times New Roman" w:hAnsi="Times New Roman" w:cs="Times New Roman"/>
                <w:color w:val="000000"/>
                <w:sz w:val="14"/>
                <w:szCs w:val="14"/>
              </w:rPr>
            </w:pPr>
            <w:r w:rsidRPr="005A2D0D">
              <w:rPr>
                <w:rFonts w:ascii="Times New Roman" w:hAnsi="Times New Roman" w:cs="Times New Roman"/>
                <w:color w:val="000000"/>
                <w:sz w:val="14"/>
                <w:szCs w:val="14"/>
              </w:rPr>
              <w:t>4 437 171</w:t>
            </w:r>
          </w:p>
        </w:tc>
        <w:tc>
          <w:tcPr>
            <w:tcW w:w="469" w:type="pct"/>
            <w:tcBorders>
              <w:top w:val="nil"/>
              <w:left w:val="nil"/>
              <w:bottom w:val="single" w:sz="4" w:space="0" w:color="auto"/>
              <w:right w:val="single" w:sz="4" w:space="0" w:color="auto"/>
            </w:tcBorders>
            <w:shd w:val="clear" w:color="auto" w:fill="auto"/>
            <w:noWrap/>
            <w:vAlign w:val="bottom"/>
            <w:hideMark/>
          </w:tcPr>
          <w:p w:rsidR="003A497B" w:rsidRPr="005A2D0D" w:rsidRDefault="003A497B" w:rsidP="003E1809">
            <w:pPr>
              <w:jc w:val="right"/>
              <w:rPr>
                <w:rFonts w:ascii="Times New Roman" w:hAnsi="Times New Roman" w:cs="Times New Roman"/>
                <w:color w:val="000000"/>
                <w:sz w:val="14"/>
                <w:szCs w:val="14"/>
              </w:rPr>
            </w:pPr>
            <w:r w:rsidRPr="005A2D0D">
              <w:rPr>
                <w:rFonts w:ascii="Times New Roman" w:hAnsi="Times New Roman" w:cs="Times New Roman"/>
                <w:color w:val="000000"/>
                <w:sz w:val="14"/>
                <w:szCs w:val="14"/>
              </w:rPr>
              <w:t>4 437 172</w:t>
            </w:r>
          </w:p>
        </w:tc>
      </w:tr>
      <w:tr w:rsidR="003A497B" w:rsidRPr="00951C93" w:rsidTr="003E1809">
        <w:trPr>
          <w:trHeight w:val="255"/>
        </w:trPr>
        <w:tc>
          <w:tcPr>
            <w:tcW w:w="1719" w:type="pct"/>
            <w:tcBorders>
              <w:top w:val="nil"/>
              <w:left w:val="single" w:sz="4" w:space="0" w:color="auto"/>
              <w:bottom w:val="single" w:sz="4" w:space="0" w:color="auto"/>
              <w:right w:val="single" w:sz="4" w:space="0" w:color="auto"/>
            </w:tcBorders>
            <w:noWrap/>
            <w:vAlign w:val="center"/>
            <w:hideMark/>
          </w:tcPr>
          <w:p w:rsidR="003A497B" w:rsidRPr="00951C93" w:rsidRDefault="003A497B" w:rsidP="003E1809">
            <w:pPr>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640 bežné transfery</w:t>
            </w:r>
          </w:p>
        </w:tc>
        <w:tc>
          <w:tcPr>
            <w:tcW w:w="468" w:type="pct"/>
            <w:tcBorders>
              <w:top w:val="nil"/>
              <w:left w:val="single" w:sz="4" w:space="0" w:color="auto"/>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color w:val="000000"/>
                <w:sz w:val="14"/>
                <w:szCs w:val="14"/>
              </w:rPr>
            </w:pPr>
            <w:r w:rsidRPr="00C633BE">
              <w:rPr>
                <w:rFonts w:ascii="Times New Roman" w:hAnsi="Times New Roman" w:cs="Times New Roman"/>
                <w:color w:val="000000"/>
                <w:sz w:val="14"/>
                <w:szCs w:val="14"/>
              </w:rPr>
              <w:t>36 504</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color w:val="000000"/>
                <w:sz w:val="14"/>
                <w:szCs w:val="14"/>
              </w:rPr>
            </w:pPr>
            <w:r w:rsidRPr="00C633BE">
              <w:rPr>
                <w:rFonts w:ascii="Times New Roman" w:hAnsi="Times New Roman" w:cs="Times New Roman"/>
                <w:color w:val="000000"/>
                <w:sz w:val="14"/>
                <w:szCs w:val="14"/>
              </w:rPr>
              <w:t>76 476</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color w:val="000000"/>
                <w:sz w:val="14"/>
                <w:szCs w:val="14"/>
              </w:rPr>
            </w:pPr>
            <w:r w:rsidRPr="00C633BE">
              <w:rPr>
                <w:rFonts w:ascii="Times New Roman" w:hAnsi="Times New Roman" w:cs="Times New Roman"/>
                <w:color w:val="000000"/>
                <w:sz w:val="14"/>
                <w:szCs w:val="14"/>
              </w:rPr>
              <w:t>820 000</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3A497B" w:rsidRPr="006414B4" w:rsidRDefault="003A497B" w:rsidP="003E1809">
            <w:pPr>
              <w:jc w:val="right"/>
              <w:rPr>
                <w:rFonts w:ascii="Times New Roman" w:hAnsi="Times New Roman" w:cs="Times New Roman"/>
                <w:color w:val="000000"/>
                <w:sz w:val="14"/>
                <w:szCs w:val="14"/>
              </w:rPr>
            </w:pPr>
            <w:r w:rsidRPr="006414B4">
              <w:rPr>
                <w:rFonts w:ascii="Times New Roman" w:hAnsi="Times New Roman" w:cs="Times New Roman"/>
                <w:color w:val="000000"/>
                <w:sz w:val="14"/>
                <w:szCs w:val="14"/>
              </w:rPr>
              <w:t>808 032</w:t>
            </w:r>
          </w:p>
        </w:tc>
        <w:tc>
          <w:tcPr>
            <w:tcW w:w="469"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2D0D" w:rsidRDefault="003A497B" w:rsidP="003E1809">
            <w:pPr>
              <w:jc w:val="right"/>
              <w:rPr>
                <w:rFonts w:ascii="Times New Roman" w:hAnsi="Times New Roman" w:cs="Times New Roman"/>
                <w:color w:val="000000"/>
                <w:sz w:val="14"/>
                <w:szCs w:val="14"/>
              </w:rPr>
            </w:pPr>
            <w:r w:rsidRPr="005A2D0D">
              <w:rPr>
                <w:rFonts w:ascii="Times New Roman" w:hAnsi="Times New Roman" w:cs="Times New Roman"/>
                <w:color w:val="000000"/>
                <w:sz w:val="14"/>
                <w:szCs w:val="14"/>
              </w:rPr>
              <w:t>344 000</w:t>
            </w:r>
          </w:p>
        </w:tc>
        <w:tc>
          <w:tcPr>
            <w:tcW w:w="469" w:type="pct"/>
            <w:tcBorders>
              <w:top w:val="nil"/>
              <w:left w:val="nil"/>
              <w:bottom w:val="single" w:sz="4" w:space="0" w:color="auto"/>
              <w:right w:val="single" w:sz="4" w:space="0" w:color="auto"/>
            </w:tcBorders>
            <w:shd w:val="clear" w:color="auto" w:fill="auto"/>
            <w:noWrap/>
            <w:vAlign w:val="bottom"/>
            <w:hideMark/>
          </w:tcPr>
          <w:p w:rsidR="003A497B" w:rsidRPr="005A2D0D" w:rsidRDefault="003A497B" w:rsidP="003E1809">
            <w:pPr>
              <w:jc w:val="right"/>
              <w:rPr>
                <w:rFonts w:ascii="Times New Roman" w:hAnsi="Times New Roman" w:cs="Times New Roman"/>
                <w:color w:val="000000"/>
                <w:sz w:val="14"/>
                <w:szCs w:val="14"/>
              </w:rPr>
            </w:pPr>
            <w:r w:rsidRPr="005A2D0D">
              <w:rPr>
                <w:rFonts w:ascii="Times New Roman" w:hAnsi="Times New Roman" w:cs="Times New Roman"/>
                <w:color w:val="000000"/>
                <w:sz w:val="14"/>
                <w:szCs w:val="14"/>
              </w:rPr>
              <w:t>304 000</w:t>
            </w:r>
          </w:p>
        </w:tc>
        <w:tc>
          <w:tcPr>
            <w:tcW w:w="469" w:type="pct"/>
            <w:tcBorders>
              <w:top w:val="nil"/>
              <w:left w:val="nil"/>
              <w:bottom w:val="single" w:sz="4" w:space="0" w:color="auto"/>
              <w:right w:val="single" w:sz="4" w:space="0" w:color="auto"/>
            </w:tcBorders>
            <w:shd w:val="clear" w:color="auto" w:fill="auto"/>
            <w:noWrap/>
            <w:vAlign w:val="bottom"/>
            <w:hideMark/>
          </w:tcPr>
          <w:p w:rsidR="003A497B" w:rsidRPr="005A2D0D" w:rsidRDefault="003A497B" w:rsidP="003E1809">
            <w:pPr>
              <w:jc w:val="right"/>
              <w:rPr>
                <w:rFonts w:ascii="Times New Roman" w:hAnsi="Times New Roman" w:cs="Times New Roman"/>
                <w:color w:val="000000"/>
                <w:sz w:val="14"/>
                <w:szCs w:val="14"/>
              </w:rPr>
            </w:pPr>
            <w:r w:rsidRPr="005A2D0D">
              <w:rPr>
                <w:rFonts w:ascii="Times New Roman" w:hAnsi="Times New Roman" w:cs="Times New Roman"/>
                <w:color w:val="000000"/>
                <w:sz w:val="14"/>
                <w:szCs w:val="14"/>
              </w:rPr>
              <w:t>24 000</w:t>
            </w:r>
          </w:p>
        </w:tc>
      </w:tr>
      <w:tr w:rsidR="003A497B" w:rsidRPr="00951C93" w:rsidTr="003E1809">
        <w:trPr>
          <w:trHeight w:val="255"/>
        </w:trPr>
        <w:tc>
          <w:tcPr>
            <w:tcW w:w="1719" w:type="pct"/>
            <w:tcBorders>
              <w:top w:val="nil"/>
              <w:left w:val="single" w:sz="4" w:space="0" w:color="auto"/>
              <w:bottom w:val="nil"/>
              <w:right w:val="single" w:sz="4" w:space="0" w:color="auto"/>
            </w:tcBorders>
            <w:noWrap/>
            <w:vAlign w:val="center"/>
            <w:hideMark/>
          </w:tcPr>
          <w:p w:rsidR="003A497B" w:rsidRPr="00951C93" w:rsidRDefault="003A497B" w:rsidP="003E1809">
            <w:pPr>
              <w:rPr>
                <w:rFonts w:ascii="Times New Roman" w:hAnsi="Times New Roman" w:cs="Times New Roman"/>
                <w:color w:val="000000"/>
                <w:sz w:val="14"/>
                <w:szCs w:val="14"/>
              </w:rPr>
            </w:pPr>
            <w:r w:rsidRPr="00951C93">
              <w:rPr>
                <w:rFonts w:ascii="Times New Roman" w:hAnsi="Times New Roman" w:cs="Times New Roman"/>
                <w:color w:val="000000"/>
                <w:sz w:val="14"/>
                <w:szCs w:val="14"/>
              </w:rPr>
              <w:t xml:space="preserve">               kapitálové výdavky 700</w:t>
            </w:r>
          </w:p>
        </w:tc>
        <w:tc>
          <w:tcPr>
            <w:tcW w:w="468" w:type="pct"/>
            <w:tcBorders>
              <w:top w:val="nil"/>
              <w:left w:val="single" w:sz="4" w:space="0" w:color="auto"/>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color w:val="000000"/>
                <w:sz w:val="14"/>
                <w:szCs w:val="14"/>
              </w:rPr>
            </w:pPr>
            <w:r w:rsidRPr="00C633BE">
              <w:rPr>
                <w:rFonts w:ascii="Times New Roman" w:hAnsi="Times New Roman" w:cs="Times New Roman"/>
                <w:color w:val="000000"/>
                <w:sz w:val="14"/>
                <w:szCs w:val="14"/>
              </w:rPr>
              <w:t>3 304 849</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color w:val="000000"/>
                <w:sz w:val="14"/>
                <w:szCs w:val="14"/>
              </w:rPr>
            </w:pPr>
            <w:r w:rsidRPr="00C633BE">
              <w:rPr>
                <w:rFonts w:ascii="Times New Roman" w:hAnsi="Times New Roman" w:cs="Times New Roman"/>
                <w:color w:val="000000"/>
                <w:sz w:val="14"/>
                <w:szCs w:val="14"/>
              </w:rPr>
              <w:t>312 116</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color w:val="000000"/>
                <w:sz w:val="14"/>
                <w:szCs w:val="14"/>
              </w:rPr>
            </w:pPr>
            <w:r w:rsidRPr="00C633BE">
              <w:rPr>
                <w:rFonts w:ascii="Times New Roman" w:hAnsi="Times New Roman" w:cs="Times New Roman"/>
                <w:color w:val="000000"/>
                <w:sz w:val="14"/>
                <w:szCs w:val="14"/>
              </w:rPr>
              <w:t>60 000</w:t>
            </w:r>
          </w:p>
        </w:tc>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3A497B" w:rsidRPr="006414B4" w:rsidRDefault="003A497B" w:rsidP="003E1809">
            <w:pPr>
              <w:jc w:val="right"/>
              <w:rPr>
                <w:rFonts w:ascii="Times New Roman" w:hAnsi="Times New Roman" w:cs="Times New Roman"/>
                <w:color w:val="000000"/>
                <w:sz w:val="14"/>
                <w:szCs w:val="14"/>
              </w:rPr>
            </w:pPr>
            <w:r w:rsidRPr="006414B4">
              <w:rPr>
                <w:rFonts w:ascii="Times New Roman" w:hAnsi="Times New Roman" w:cs="Times New Roman"/>
                <w:color w:val="000000"/>
                <w:sz w:val="14"/>
                <w:szCs w:val="14"/>
              </w:rPr>
              <w:t>1 949 544</w:t>
            </w:r>
          </w:p>
        </w:tc>
        <w:tc>
          <w:tcPr>
            <w:tcW w:w="469" w:type="pct"/>
            <w:tcBorders>
              <w:top w:val="nil"/>
              <w:left w:val="nil"/>
              <w:bottom w:val="single" w:sz="4" w:space="0" w:color="auto"/>
              <w:right w:val="single" w:sz="4" w:space="0" w:color="auto"/>
            </w:tcBorders>
            <w:shd w:val="clear" w:color="auto" w:fill="auto"/>
            <w:noWrap/>
            <w:vAlign w:val="bottom"/>
            <w:hideMark/>
          </w:tcPr>
          <w:p w:rsidR="003A497B" w:rsidRPr="00C633BE" w:rsidRDefault="003A497B" w:rsidP="003E1809">
            <w:pPr>
              <w:jc w:val="right"/>
              <w:rPr>
                <w:rFonts w:ascii="Times New Roman" w:hAnsi="Times New Roman" w:cs="Times New Roman"/>
                <w:color w:val="000000"/>
                <w:sz w:val="14"/>
                <w:szCs w:val="14"/>
              </w:rPr>
            </w:pPr>
            <w:r w:rsidRPr="00C633BE">
              <w:rPr>
                <w:rFonts w:ascii="Times New Roman" w:hAnsi="Times New Roman" w:cs="Times New Roman"/>
                <w:color w:val="000000"/>
                <w:sz w:val="14"/>
                <w:szCs w:val="14"/>
              </w:rPr>
              <w:t>2 438 200</w:t>
            </w:r>
          </w:p>
        </w:tc>
        <w:tc>
          <w:tcPr>
            <w:tcW w:w="469" w:type="pct"/>
            <w:tcBorders>
              <w:top w:val="nil"/>
              <w:left w:val="nil"/>
              <w:bottom w:val="single" w:sz="4" w:space="0" w:color="auto"/>
              <w:right w:val="single" w:sz="4" w:space="0" w:color="auto"/>
            </w:tcBorders>
            <w:shd w:val="clear" w:color="auto" w:fill="auto"/>
            <w:noWrap/>
            <w:vAlign w:val="bottom"/>
            <w:hideMark/>
          </w:tcPr>
          <w:p w:rsidR="003A497B" w:rsidRPr="00C633BE" w:rsidRDefault="003A497B" w:rsidP="003E1809">
            <w:pPr>
              <w:jc w:val="right"/>
              <w:rPr>
                <w:rFonts w:ascii="Times New Roman" w:hAnsi="Times New Roman" w:cs="Times New Roman"/>
                <w:color w:val="000000"/>
                <w:sz w:val="14"/>
                <w:szCs w:val="14"/>
              </w:rPr>
            </w:pPr>
            <w:r w:rsidRPr="00C633BE">
              <w:rPr>
                <w:rFonts w:ascii="Times New Roman" w:hAnsi="Times New Roman" w:cs="Times New Roman"/>
                <w:color w:val="000000"/>
                <w:sz w:val="14"/>
                <w:szCs w:val="14"/>
              </w:rPr>
              <w:t>701 245</w:t>
            </w:r>
          </w:p>
        </w:tc>
        <w:tc>
          <w:tcPr>
            <w:tcW w:w="469" w:type="pct"/>
            <w:tcBorders>
              <w:top w:val="nil"/>
              <w:left w:val="nil"/>
              <w:bottom w:val="single" w:sz="4" w:space="0" w:color="auto"/>
              <w:right w:val="single" w:sz="4" w:space="0" w:color="auto"/>
            </w:tcBorders>
            <w:shd w:val="clear" w:color="auto" w:fill="auto"/>
            <w:noWrap/>
            <w:vAlign w:val="bottom"/>
            <w:hideMark/>
          </w:tcPr>
          <w:p w:rsidR="003A497B" w:rsidRPr="00C633BE" w:rsidRDefault="003A497B" w:rsidP="003E1809">
            <w:pPr>
              <w:jc w:val="right"/>
              <w:rPr>
                <w:rFonts w:ascii="Times New Roman" w:hAnsi="Times New Roman" w:cs="Times New Roman"/>
                <w:color w:val="000000"/>
                <w:sz w:val="14"/>
                <w:szCs w:val="14"/>
              </w:rPr>
            </w:pPr>
            <w:r w:rsidRPr="00C633BE">
              <w:rPr>
                <w:rFonts w:ascii="Times New Roman" w:hAnsi="Times New Roman" w:cs="Times New Roman"/>
                <w:color w:val="000000"/>
                <w:sz w:val="14"/>
                <w:szCs w:val="14"/>
              </w:rPr>
              <w:t>118 690</w:t>
            </w:r>
          </w:p>
        </w:tc>
      </w:tr>
      <w:tr w:rsidR="003A497B" w:rsidRPr="00951C93" w:rsidTr="003E1809">
        <w:trPr>
          <w:trHeight w:val="255"/>
        </w:trPr>
        <w:tc>
          <w:tcPr>
            <w:tcW w:w="17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497B" w:rsidRPr="002019B6" w:rsidRDefault="003A497B" w:rsidP="003E1809">
            <w:pPr>
              <w:rPr>
                <w:rFonts w:ascii="Times New Roman" w:hAnsi="Times New Roman" w:cs="Times New Roman"/>
                <w:b/>
                <w:bCs/>
                <w:color w:val="000000"/>
                <w:sz w:val="14"/>
                <w:szCs w:val="14"/>
                <w:lang w:eastAsia="sk-SK"/>
              </w:rPr>
            </w:pPr>
            <w:r w:rsidRPr="002019B6">
              <w:rPr>
                <w:rFonts w:ascii="Times New Roman" w:hAnsi="Times New Roman" w:cs="Times New Roman"/>
                <w:b/>
                <w:bCs/>
                <w:color w:val="000000"/>
                <w:sz w:val="14"/>
                <w:szCs w:val="14"/>
              </w:rPr>
              <w:t>zdroje EÚ vrátane spolufinancovania</w:t>
            </w:r>
          </w:p>
        </w:tc>
        <w:tc>
          <w:tcPr>
            <w:tcW w:w="468" w:type="pct"/>
            <w:tcBorders>
              <w:top w:val="nil"/>
              <w:left w:val="single" w:sz="4" w:space="0" w:color="auto"/>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1 522 634</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1 000 456</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0</w:t>
            </w:r>
          </w:p>
        </w:tc>
        <w:tc>
          <w:tcPr>
            <w:tcW w:w="468" w:type="pct"/>
            <w:tcBorders>
              <w:top w:val="nil"/>
              <w:left w:val="single" w:sz="4" w:space="0" w:color="auto"/>
              <w:bottom w:val="single" w:sz="4" w:space="0" w:color="auto"/>
              <w:right w:val="single" w:sz="4" w:space="0" w:color="auto"/>
            </w:tcBorders>
            <w:shd w:val="clear" w:color="auto" w:fill="auto"/>
            <w:noWrap/>
            <w:vAlign w:val="bottom"/>
          </w:tcPr>
          <w:p w:rsidR="003A497B" w:rsidRPr="006414B4" w:rsidRDefault="003A497B" w:rsidP="003E1809">
            <w:pPr>
              <w:jc w:val="right"/>
              <w:rPr>
                <w:rFonts w:ascii="Times New Roman" w:hAnsi="Times New Roman" w:cs="Times New Roman"/>
                <w:b/>
                <w:bCs/>
                <w:color w:val="000000"/>
                <w:sz w:val="14"/>
                <w:szCs w:val="14"/>
              </w:rPr>
            </w:pPr>
            <w:r w:rsidRPr="006414B4">
              <w:rPr>
                <w:rFonts w:ascii="Times New Roman" w:hAnsi="Times New Roman" w:cs="Times New Roman"/>
                <w:b/>
                <w:bCs/>
                <w:color w:val="000000"/>
                <w:sz w:val="14"/>
                <w:szCs w:val="14"/>
              </w:rPr>
              <w:t>8 382 908</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0</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0</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0</w:t>
            </w:r>
          </w:p>
        </w:tc>
      </w:tr>
      <w:tr w:rsidR="003A497B" w:rsidRPr="00951C93" w:rsidTr="003E1809">
        <w:trPr>
          <w:trHeight w:val="255"/>
        </w:trPr>
        <w:tc>
          <w:tcPr>
            <w:tcW w:w="17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497B" w:rsidRPr="002019B6" w:rsidRDefault="003A497B" w:rsidP="003E1809">
            <w:pPr>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presun z minulých rokov §</w:t>
            </w:r>
            <w:r>
              <w:rPr>
                <w:rFonts w:ascii="Times New Roman" w:hAnsi="Times New Roman" w:cs="Times New Roman"/>
                <w:b/>
                <w:bCs/>
                <w:color w:val="000000"/>
                <w:sz w:val="14"/>
                <w:szCs w:val="14"/>
              </w:rPr>
              <w:t xml:space="preserve"> </w:t>
            </w:r>
            <w:r w:rsidRPr="00C633BE">
              <w:rPr>
                <w:rFonts w:ascii="Times New Roman" w:hAnsi="Times New Roman" w:cs="Times New Roman"/>
                <w:b/>
                <w:bCs/>
                <w:color w:val="000000"/>
                <w:sz w:val="14"/>
                <w:szCs w:val="14"/>
              </w:rPr>
              <w:t>8</w:t>
            </w:r>
            <w:r>
              <w:rPr>
                <w:rFonts w:ascii="Times New Roman" w:hAnsi="Times New Roman" w:cs="Times New Roman"/>
                <w:b/>
                <w:bCs/>
                <w:color w:val="000000"/>
                <w:sz w:val="14"/>
                <w:szCs w:val="14"/>
              </w:rPr>
              <w:t xml:space="preserve"> EÚ vrátane spolufin.</w:t>
            </w:r>
          </w:p>
        </w:tc>
        <w:tc>
          <w:tcPr>
            <w:tcW w:w="468" w:type="pct"/>
            <w:tcBorders>
              <w:top w:val="nil"/>
              <w:left w:val="single" w:sz="4" w:space="0" w:color="auto"/>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0</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15 716 384</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0</w:t>
            </w:r>
          </w:p>
        </w:tc>
        <w:tc>
          <w:tcPr>
            <w:tcW w:w="468"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0</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0</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0</w:t>
            </w:r>
          </w:p>
        </w:tc>
        <w:tc>
          <w:tcPr>
            <w:tcW w:w="469" w:type="pct"/>
            <w:tcBorders>
              <w:top w:val="nil"/>
              <w:left w:val="nil"/>
              <w:bottom w:val="single" w:sz="4" w:space="0" w:color="auto"/>
              <w:right w:val="single" w:sz="4" w:space="0" w:color="auto"/>
            </w:tcBorders>
            <w:shd w:val="clear" w:color="auto" w:fill="auto"/>
            <w:noWrap/>
            <w:vAlign w:val="bottom"/>
          </w:tcPr>
          <w:p w:rsidR="003A497B" w:rsidRPr="00C633BE" w:rsidRDefault="003A497B" w:rsidP="003E1809">
            <w:pPr>
              <w:jc w:val="right"/>
              <w:rPr>
                <w:rFonts w:ascii="Times New Roman" w:hAnsi="Times New Roman" w:cs="Times New Roman"/>
                <w:b/>
                <w:bCs/>
                <w:color w:val="000000"/>
                <w:sz w:val="14"/>
                <w:szCs w:val="14"/>
              </w:rPr>
            </w:pPr>
            <w:r w:rsidRPr="00C633BE">
              <w:rPr>
                <w:rFonts w:ascii="Times New Roman" w:hAnsi="Times New Roman" w:cs="Times New Roman"/>
                <w:b/>
                <w:bCs/>
                <w:color w:val="000000"/>
                <w:sz w:val="14"/>
                <w:szCs w:val="14"/>
              </w:rPr>
              <w:t>0</w:t>
            </w:r>
          </w:p>
        </w:tc>
      </w:tr>
    </w:tbl>
    <w:p w:rsidR="003A497B" w:rsidRPr="00951C93" w:rsidRDefault="003A497B" w:rsidP="003A497B">
      <w:pPr>
        <w:rPr>
          <w:rFonts w:ascii="Times New Roman" w:hAnsi="Times New Roman" w:cs="Times New Roman"/>
          <w:highlight w:val="yellow"/>
        </w:rPr>
      </w:pPr>
    </w:p>
    <w:p w:rsidR="003A497B" w:rsidRPr="00352DA3" w:rsidRDefault="003A497B" w:rsidP="003A497B">
      <w:pPr>
        <w:ind w:firstLine="708"/>
        <w:jc w:val="both"/>
        <w:rPr>
          <w:rFonts w:ascii="Times New Roman" w:hAnsi="Times New Roman" w:cs="Times New Roman"/>
        </w:rPr>
      </w:pPr>
      <w:r w:rsidRPr="00352DA3">
        <w:rPr>
          <w:rFonts w:ascii="Times New Roman" w:hAnsi="Times New Roman" w:cs="Times New Roman"/>
        </w:rPr>
        <w:t xml:space="preserve">Kapitola Úrad </w:t>
      </w:r>
      <w:r>
        <w:rPr>
          <w:rFonts w:ascii="Times New Roman" w:hAnsi="Times New Roman" w:cs="Times New Roman"/>
        </w:rPr>
        <w:t xml:space="preserve">podpredsedu vlády SR pre investície a informatizáciu </w:t>
      </w:r>
      <w:r w:rsidRPr="00352DA3">
        <w:rPr>
          <w:rFonts w:ascii="Times New Roman" w:hAnsi="Times New Roman" w:cs="Times New Roman"/>
        </w:rPr>
        <w:t>bude mať v roku 201</w:t>
      </w:r>
      <w:r>
        <w:rPr>
          <w:rFonts w:ascii="Times New Roman" w:hAnsi="Times New Roman" w:cs="Times New Roman"/>
        </w:rPr>
        <w:t>9</w:t>
      </w:r>
      <w:r w:rsidRPr="00352DA3">
        <w:rPr>
          <w:rFonts w:ascii="Times New Roman" w:hAnsi="Times New Roman" w:cs="Times New Roman"/>
        </w:rPr>
        <w:t xml:space="preserve"> k dispozícii celkové výdavky vo výške </w:t>
      </w:r>
      <w:r>
        <w:rPr>
          <w:rFonts w:ascii="Times New Roman" w:hAnsi="Times New Roman" w:cs="Times New Roman"/>
        </w:rPr>
        <w:t>10,5</w:t>
      </w:r>
      <w:r w:rsidRPr="00352DA3">
        <w:rPr>
          <w:rFonts w:ascii="Times New Roman" w:hAnsi="Times New Roman" w:cs="Times New Roman"/>
        </w:rPr>
        <w:t xml:space="preserve"> mil. eur, čo je v porovnaní so schváleným rozpočtom roku 201</w:t>
      </w:r>
      <w:r>
        <w:rPr>
          <w:rFonts w:ascii="Times New Roman" w:hAnsi="Times New Roman" w:cs="Times New Roman"/>
        </w:rPr>
        <w:t>8</w:t>
      </w:r>
      <w:r w:rsidRPr="00352DA3">
        <w:rPr>
          <w:rFonts w:ascii="Times New Roman" w:hAnsi="Times New Roman" w:cs="Times New Roman"/>
        </w:rPr>
        <w:t xml:space="preserve"> </w:t>
      </w:r>
      <w:r>
        <w:rPr>
          <w:rFonts w:ascii="Times New Roman" w:hAnsi="Times New Roman" w:cs="Times New Roman"/>
        </w:rPr>
        <w:t>viac</w:t>
      </w:r>
      <w:r w:rsidRPr="00352DA3">
        <w:rPr>
          <w:rFonts w:ascii="Times New Roman" w:hAnsi="Times New Roman" w:cs="Times New Roman"/>
        </w:rPr>
        <w:t xml:space="preserve"> o</w:t>
      </w:r>
      <w:r>
        <w:rPr>
          <w:rFonts w:ascii="Times New Roman" w:hAnsi="Times New Roman" w:cs="Times New Roman"/>
        </w:rPr>
        <w:t xml:space="preserve"> 7,39 mil. </w:t>
      </w:r>
      <w:r w:rsidRPr="00352DA3">
        <w:rPr>
          <w:rFonts w:ascii="Times New Roman" w:hAnsi="Times New Roman" w:cs="Times New Roman"/>
        </w:rPr>
        <w:t xml:space="preserve">eur. </w:t>
      </w:r>
    </w:p>
    <w:p w:rsidR="003A497B" w:rsidRPr="00352DA3" w:rsidRDefault="003A497B" w:rsidP="003A497B">
      <w:pPr>
        <w:ind w:firstLine="708"/>
        <w:jc w:val="both"/>
        <w:rPr>
          <w:rFonts w:ascii="Times New Roman" w:hAnsi="Times New Roman" w:cs="Times New Roman"/>
        </w:rPr>
      </w:pPr>
    </w:p>
    <w:p w:rsidR="003A497B" w:rsidRPr="00352DA3" w:rsidRDefault="003A497B" w:rsidP="003A497B">
      <w:pPr>
        <w:ind w:firstLine="708"/>
        <w:jc w:val="both"/>
        <w:rPr>
          <w:rFonts w:ascii="Times New Roman" w:hAnsi="Times New Roman" w:cs="Times New Roman"/>
        </w:rPr>
      </w:pPr>
      <w:r w:rsidRPr="00352DA3">
        <w:rPr>
          <w:rFonts w:ascii="Times New Roman" w:hAnsi="Times New Roman" w:cs="Times New Roman"/>
        </w:rPr>
        <w:t>Objem osobných výdavkov sa na rok 201</w:t>
      </w:r>
      <w:r>
        <w:rPr>
          <w:rFonts w:ascii="Times New Roman" w:hAnsi="Times New Roman" w:cs="Times New Roman"/>
        </w:rPr>
        <w:t>9</w:t>
      </w:r>
      <w:r w:rsidRPr="00352DA3">
        <w:rPr>
          <w:rFonts w:ascii="Times New Roman" w:hAnsi="Times New Roman" w:cs="Times New Roman"/>
        </w:rPr>
        <w:t xml:space="preserve"> rozpočtuje na úrovni </w:t>
      </w:r>
      <w:r>
        <w:rPr>
          <w:rFonts w:ascii="Times New Roman" w:hAnsi="Times New Roman" w:cs="Times New Roman"/>
        </w:rPr>
        <w:t>3,57</w:t>
      </w:r>
      <w:r w:rsidRPr="00352DA3">
        <w:rPr>
          <w:rFonts w:ascii="Times New Roman" w:hAnsi="Times New Roman" w:cs="Times New Roman"/>
        </w:rPr>
        <w:t xml:space="preserve"> mil. eur, čo v porovnaní so schváleným rozpočtom roku 201</w:t>
      </w:r>
      <w:r>
        <w:rPr>
          <w:rFonts w:ascii="Times New Roman" w:hAnsi="Times New Roman" w:cs="Times New Roman"/>
        </w:rPr>
        <w:t>8</w:t>
      </w:r>
      <w:r w:rsidRPr="00352DA3">
        <w:rPr>
          <w:rFonts w:ascii="Times New Roman" w:hAnsi="Times New Roman" w:cs="Times New Roman"/>
        </w:rPr>
        <w:t xml:space="preserve"> predstavuje z</w:t>
      </w:r>
      <w:r>
        <w:rPr>
          <w:rFonts w:ascii="Times New Roman" w:hAnsi="Times New Roman" w:cs="Times New Roman"/>
        </w:rPr>
        <w:t>výšenie</w:t>
      </w:r>
      <w:r w:rsidRPr="00352DA3">
        <w:rPr>
          <w:rFonts w:ascii="Times New Roman" w:hAnsi="Times New Roman" w:cs="Times New Roman"/>
        </w:rPr>
        <w:t xml:space="preserve"> o</w:t>
      </w:r>
      <w:r>
        <w:rPr>
          <w:rFonts w:ascii="Times New Roman" w:hAnsi="Times New Roman" w:cs="Times New Roman"/>
        </w:rPr>
        <w:t> 2,49 mil.</w:t>
      </w:r>
      <w:r w:rsidRPr="00352DA3">
        <w:rPr>
          <w:rFonts w:ascii="Times New Roman" w:hAnsi="Times New Roman" w:cs="Times New Roman"/>
        </w:rPr>
        <w:t xml:space="preserve"> eur.</w:t>
      </w:r>
      <w:r w:rsidRPr="00786B13">
        <w:t xml:space="preserve"> </w:t>
      </w:r>
      <w:r w:rsidR="00C473D8">
        <w:br/>
      </w:r>
      <w:r w:rsidRPr="00786B13">
        <w:rPr>
          <w:rFonts w:ascii="Times New Roman" w:hAnsi="Times New Roman" w:cs="Times New Roman"/>
        </w:rPr>
        <w:t>K</w:t>
      </w:r>
      <w:r>
        <w:rPr>
          <w:rFonts w:ascii="Times New Roman" w:hAnsi="Times New Roman" w:cs="Times New Roman"/>
        </w:rPr>
        <w:t xml:space="preserve"> </w:t>
      </w:r>
      <w:r w:rsidRPr="00786B13">
        <w:rPr>
          <w:rFonts w:ascii="Times New Roman" w:hAnsi="Times New Roman" w:cs="Times New Roman"/>
        </w:rPr>
        <w:t>nárastu dochádza v dôsledku premietnutia realizovaných rozpočtových opatrení z roku 2018, uskutočnených delimitácií a zabezpečenia novej legislatívy</w:t>
      </w:r>
      <w:r w:rsidRPr="00060E98">
        <w:rPr>
          <w:rFonts w:ascii="Times New Roman" w:hAnsi="Times New Roman" w:cs="Times New Roman"/>
        </w:rPr>
        <w:t>.</w:t>
      </w:r>
      <w:r>
        <w:rPr>
          <w:rFonts w:ascii="Times New Roman" w:hAnsi="Times New Roman" w:cs="Times New Roman"/>
        </w:rPr>
        <w:t xml:space="preserve"> V limite osobných výdavkov je </w:t>
      </w:r>
      <w:r w:rsidRPr="00352DA3">
        <w:rPr>
          <w:rFonts w:ascii="Times New Roman" w:hAnsi="Times New Roman" w:cs="Times New Roman"/>
        </w:rPr>
        <w:t>premietnut</w:t>
      </w:r>
      <w:r>
        <w:rPr>
          <w:rFonts w:ascii="Times New Roman" w:hAnsi="Times New Roman" w:cs="Times New Roman"/>
        </w:rPr>
        <w:t>á valorizácia</w:t>
      </w:r>
      <w:r w:rsidRPr="00352DA3">
        <w:rPr>
          <w:rFonts w:ascii="Times New Roman" w:hAnsi="Times New Roman" w:cs="Times New Roman"/>
        </w:rPr>
        <w:t xml:space="preserve"> </w:t>
      </w:r>
      <w:r>
        <w:rPr>
          <w:rFonts w:ascii="Times New Roman" w:hAnsi="Times New Roman" w:cs="Times New Roman"/>
        </w:rPr>
        <w:t>miezd zamestnancov</w:t>
      </w:r>
      <w:r w:rsidRPr="00352DA3">
        <w:rPr>
          <w:rFonts w:ascii="Times New Roman" w:hAnsi="Times New Roman" w:cs="Times New Roman"/>
        </w:rPr>
        <w:t xml:space="preserve"> z roku 201</w:t>
      </w:r>
      <w:r>
        <w:rPr>
          <w:rFonts w:ascii="Times New Roman" w:hAnsi="Times New Roman" w:cs="Times New Roman"/>
        </w:rPr>
        <w:t xml:space="preserve">8 </w:t>
      </w:r>
      <w:r w:rsidRPr="003F1E61">
        <w:rPr>
          <w:rFonts w:ascii="Times New Roman" w:hAnsi="Times New Roman" w:cs="Times New Roman"/>
        </w:rPr>
        <w:t>do nasledujúcich rokov</w:t>
      </w:r>
      <w:r>
        <w:rPr>
          <w:rFonts w:ascii="Times New Roman" w:hAnsi="Times New Roman" w:cs="Times New Roman"/>
        </w:rPr>
        <w:t>.</w:t>
      </w:r>
    </w:p>
    <w:p w:rsidR="003A497B" w:rsidRPr="00352DA3" w:rsidRDefault="003A497B" w:rsidP="003A497B">
      <w:pPr>
        <w:ind w:firstLine="708"/>
        <w:jc w:val="both"/>
        <w:rPr>
          <w:rFonts w:ascii="Times New Roman" w:hAnsi="Times New Roman" w:cs="Times New Roman"/>
        </w:rPr>
      </w:pPr>
    </w:p>
    <w:p w:rsidR="003A497B" w:rsidRPr="00060E98" w:rsidRDefault="003A497B" w:rsidP="003A497B">
      <w:pPr>
        <w:ind w:firstLine="708"/>
        <w:jc w:val="both"/>
        <w:rPr>
          <w:rFonts w:ascii="Times New Roman" w:hAnsi="Times New Roman" w:cs="Times New Roman"/>
        </w:rPr>
      </w:pPr>
      <w:r w:rsidRPr="00060E98">
        <w:rPr>
          <w:rFonts w:ascii="Times New Roman" w:hAnsi="Times New Roman" w:cs="Times New Roman"/>
        </w:rPr>
        <w:t>Vo výdavkoch na tovary a služby na rok 201</w:t>
      </w:r>
      <w:r>
        <w:rPr>
          <w:rFonts w:ascii="Times New Roman" w:hAnsi="Times New Roman" w:cs="Times New Roman"/>
        </w:rPr>
        <w:t>9</w:t>
      </w:r>
      <w:r w:rsidRPr="00060E98">
        <w:rPr>
          <w:rFonts w:ascii="Times New Roman" w:hAnsi="Times New Roman" w:cs="Times New Roman"/>
        </w:rPr>
        <w:t xml:space="preserve"> v sume </w:t>
      </w:r>
      <w:r>
        <w:rPr>
          <w:rFonts w:ascii="Times New Roman" w:hAnsi="Times New Roman" w:cs="Times New Roman"/>
        </w:rPr>
        <w:t>4,13</w:t>
      </w:r>
      <w:r w:rsidRPr="00060E98">
        <w:rPr>
          <w:rFonts w:ascii="Times New Roman" w:hAnsi="Times New Roman" w:cs="Times New Roman"/>
        </w:rPr>
        <w:t xml:space="preserve"> mil. eur je </w:t>
      </w:r>
      <w:r>
        <w:rPr>
          <w:rFonts w:ascii="Times New Roman" w:hAnsi="Times New Roman" w:cs="Times New Roman"/>
        </w:rPr>
        <w:t xml:space="preserve">nárast </w:t>
      </w:r>
      <w:r w:rsidRPr="00060E98">
        <w:rPr>
          <w:rFonts w:ascii="Times New Roman" w:hAnsi="Times New Roman" w:cs="Times New Roman"/>
        </w:rPr>
        <w:t>oproti schválenému rozpočtu roku 201</w:t>
      </w:r>
      <w:r>
        <w:rPr>
          <w:rFonts w:ascii="Times New Roman" w:hAnsi="Times New Roman" w:cs="Times New Roman"/>
        </w:rPr>
        <w:t>8</w:t>
      </w:r>
      <w:r w:rsidRPr="00060E98">
        <w:rPr>
          <w:rFonts w:ascii="Times New Roman" w:hAnsi="Times New Roman" w:cs="Times New Roman"/>
        </w:rPr>
        <w:t xml:space="preserve"> o</w:t>
      </w:r>
      <w:r>
        <w:rPr>
          <w:rFonts w:ascii="Times New Roman" w:hAnsi="Times New Roman" w:cs="Times New Roman"/>
        </w:rPr>
        <w:t> </w:t>
      </w:r>
      <w:r w:rsidRPr="00060E98">
        <w:rPr>
          <w:rFonts w:ascii="Times New Roman" w:hAnsi="Times New Roman" w:cs="Times New Roman"/>
        </w:rPr>
        <w:t xml:space="preserve">3 mil. eur, najmä z dôvodu </w:t>
      </w:r>
      <w:r>
        <w:rPr>
          <w:rFonts w:ascii="Times New Roman" w:hAnsi="Times New Roman" w:cs="Times New Roman"/>
        </w:rPr>
        <w:t>uskutočnených delimitácií informačných systémov z Ministerstva financií SR.</w:t>
      </w:r>
      <w:r w:rsidRPr="00060E98">
        <w:rPr>
          <w:rFonts w:ascii="Times New Roman" w:hAnsi="Times New Roman" w:cs="Times New Roman"/>
        </w:rPr>
        <w:t xml:space="preserve"> </w:t>
      </w:r>
    </w:p>
    <w:p w:rsidR="003A497B" w:rsidRPr="00060E98" w:rsidRDefault="003A497B" w:rsidP="003A497B">
      <w:pPr>
        <w:ind w:firstLine="708"/>
        <w:jc w:val="both"/>
        <w:rPr>
          <w:rFonts w:ascii="Times New Roman" w:hAnsi="Times New Roman" w:cs="Times New Roman"/>
        </w:rPr>
      </w:pPr>
    </w:p>
    <w:p w:rsidR="003A497B" w:rsidRPr="00060E98" w:rsidRDefault="003A497B" w:rsidP="003A497B">
      <w:pPr>
        <w:ind w:firstLine="708"/>
        <w:jc w:val="both"/>
        <w:rPr>
          <w:rFonts w:ascii="Times New Roman" w:hAnsi="Times New Roman" w:cs="Times New Roman"/>
        </w:rPr>
      </w:pPr>
      <w:r w:rsidRPr="00060E98">
        <w:rPr>
          <w:rFonts w:ascii="Times New Roman" w:hAnsi="Times New Roman" w:cs="Times New Roman"/>
        </w:rPr>
        <w:t>Bežné transfery na rok 201</w:t>
      </w:r>
      <w:r>
        <w:rPr>
          <w:rFonts w:ascii="Times New Roman" w:hAnsi="Times New Roman" w:cs="Times New Roman"/>
        </w:rPr>
        <w:t>9</w:t>
      </w:r>
      <w:r w:rsidRPr="00060E98">
        <w:rPr>
          <w:rFonts w:ascii="Times New Roman" w:hAnsi="Times New Roman" w:cs="Times New Roman"/>
        </w:rPr>
        <w:t xml:space="preserve"> rozpočtované v sume </w:t>
      </w:r>
      <w:r>
        <w:rPr>
          <w:rFonts w:ascii="Times New Roman" w:hAnsi="Times New Roman" w:cs="Times New Roman"/>
        </w:rPr>
        <w:t>344</w:t>
      </w:r>
      <w:r w:rsidRPr="00060E98">
        <w:rPr>
          <w:rFonts w:ascii="Times New Roman" w:hAnsi="Times New Roman" w:cs="Times New Roman"/>
        </w:rPr>
        <w:t xml:space="preserve"> tis. eur medziročne </w:t>
      </w:r>
      <w:r>
        <w:rPr>
          <w:rFonts w:ascii="Times New Roman" w:hAnsi="Times New Roman" w:cs="Times New Roman"/>
        </w:rPr>
        <w:t>klesajú o</w:t>
      </w:r>
      <w:r w:rsidRPr="00060E98">
        <w:rPr>
          <w:rFonts w:ascii="Times New Roman" w:hAnsi="Times New Roman" w:cs="Times New Roman"/>
        </w:rPr>
        <w:t> </w:t>
      </w:r>
      <w:r>
        <w:rPr>
          <w:rFonts w:ascii="Times New Roman" w:hAnsi="Times New Roman" w:cs="Times New Roman"/>
        </w:rPr>
        <w:br/>
        <w:t>476</w:t>
      </w:r>
      <w:r w:rsidRPr="00060E98">
        <w:rPr>
          <w:rFonts w:ascii="Times New Roman" w:hAnsi="Times New Roman" w:cs="Times New Roman"/>
        </w:rPr>
        <w:t xml:space="preserve"> tis. eur najmä v dôsledku </w:t>
      </w:r>
      <w:r>
        <w:rPr>
          <w:rFonts w:ascii="Times New Roman" w:hAnsi="Times New Roman" w:cs="Times New Roman"/>
        </w:rPr>
        <w:t>jednorazového zvýšenia v</w:t>
      </w:r>
      <w:r w:rsidRPr="00060E98">
        <w:rPr>
          <w:rFonts w:ascii="Times New Roman" w:hAnsi="Times New Roman" w:cs="Times New Roman"/>
        </w:rPr>
        <w:t>ýdavkov</w:t>
      </w:r>
      <w:r>
        <w:rPr>
          <w:rFonts w:ascii="Times New Roman" w:hAnsi="Times New Roman" w:cs="Times New Roman"/>
        </w:rPr>
        <w:t xml:space="preserve"> v roku 2018 v súvislosti s </w:t>
      </w:r>
      <w:r w:rsidRPr="00060E98">
        <w:rPr>
          <w:rFonts w:ascii="Times New Roman" w:hAnsi="Times New Roman" w:cs="Times New Roman"/>
        </w:rPr>
        <w:t>pilotn</w:t>
      </w:r>
      <w:r>
        <w:rPr>
          <w:rFonts w:ascii="Times New Roman" w:hAnsi="Times New Roman" w:cs="Times New Roman"/>
        </w:rPr>
        <w:t>ou</w:t>
      </w:r>
      <w:r w:rsidRPr="00060E98">
        <w:rPr>
          <w:rFonts w:ascii="Times New Roman" w:hAnsi="Times New Roman" w:cs="Times New Roman"/>
        </w:rPr>
        <w:t xml:space="preserve"> podpor</w:t>
      </w:r>
      <w:r>
        <w:rPr>
          <w:rFonts w:ascii="Times New Roman" w:hAnsi="Times New Roman" w:cs="Times New Roman"/>
        </w:rPr>
        <w:t>o</w:t>
      </w:r>
      <w:r w:rsidRPr="00060E98">
        <w:rPr>
          <w:rFonts w:ascii="Times New Roman" w:hAnsi="Times New Roman" w:cs="Times New Roman"/>
        </w:rPr>
        <w:t xml:space="preserve">u experimentálneho vývoja a inovácií pre budovanie rozumných miest v SR. </w:t>
      </w:r>
    </w:p>
    <w:p w:rsidR="003A497B" w:rsidRPr="00060E98"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sidRPr="00060E98">
        <w:rPr>
          <w:rFonts w:ascii="Times New Roman" w:hAnsi="Times New Roman" w:cs="Times New Roman"/>
        </w:rPr>
        <w:t>Kapitálové výdavky sú na rok 201</w:t>
      </w:r>
      <w:r>
        <w:rPr>
          <w:rFonts w:ascii="Times New Roman" w:hAnsi="Times New Roman" w:cs="Times New Roman"/>
        </w:rPr>
        <w:t>9</w:t>
      </w:r>
      <w:r w:rsidRPr="00060E98">
        <w:rPr>
          <w:rFonts w:ascii="Times New Roman" w:hAnsi="Times New Roman" w:cs="Times New Roman"/>
        </w:rPr>
        <w:t xml:space="preserve"> rozpočtované na úrovni </w:t>
      </w:r>
      <w:r>
        <w:rPr>
          <w:rFonts w:ascii="Times New Roman" w:hAnsi="Times New Roman" w:cs="Times New Roman"/>
        </w:rPr>
        <w:t>2,44 mil</w:t>
      </w:r>
      <w:r w:rsidRPr="00060E98">
        <w:rPr>
          <w:rFonts w:ascii="Times New Roman" w:hAnsi="Times New Roman" w:cs="Times New Roman"/>
        </w:rPr>
        <w:t xml:space="preserve">. eur a medziročne </w:t>
      </w:r>
      <w:r>
        <w:rPr>
          <w:rFonts w:ascii="Times New Roman" w:hAnsi="Times New Roman" w:cs="Times New Roman"/>
        </w:rPr>
        <w:t xml:space="preserve">rastú </w:t>
      </w:r>
      <w:r w:rsidRPr="00060E98">
        <w:rPr>
          <w:rFonts w:ascii="Times New Roman" w:hAnsi="Times New Roman" w:cs="Times New Roman"/>
        </w:rPr>
        <w:t>o</w:t>
      </w:r>
      <w:r>
        <w:rPr>
          <w:rFonts w:ascii="Times New Roman" w:hAnsi="Times New Roman" w:cs="Times New Roman"/>
        </w:rPr>
        <w:t> 2,38 mil. eur</w:t>
      </w:r>
      <w:r w:rsidRPr="00060E98">
        <w:rPr>
          <w:rFonts w:ascii="Times New Roman" w:hAnsi="Times New Roman" w:cs="Times New Roman"/>
        </w:rPr>
        <w:t xml:space="preserve">. </w:t>
      </w:r>
      <w:r>
        <w:rPr>
          <w:rFonts w:ascii="Times New Roman" w:hAnsi="Times New Roman" w:cs="Times New Roman"/>
        </w:rPr>
        <w:t xml:space="preserve">Nárast je spôsobený delimitáciou </w:t>
      </w:r>
      <w:r w:rsidRPr="00964CB3">
        <w:rPr>
          <w:rFonts w:ascii="Times New Roman" w:hAnsi="Times New Roman" w:cs="Times New Roman"/>
        </w:rPr>
        <w:t xml:space="preserve">informačných systémov z </w:t>
      </w:r>
      <w:r>
        <w:rPr>
          <w:rFonts w:ascii="Times New Roman" w:hAnsi="Times New Roman" w:cs="Times New Roman"/>
        </w:rPr>
        <w:t>M</w:t>
      </w:r>
      <w:r w:rsidRPr="00964CB3">
        <w:rPr>
          <w:rFonts w:ascii="Times New Roman" w:hAnsi="Times New Roman" w:cs="Times New Roman"/>
        </w:rPr>
        <w:t>inisterstva financií</w:t>
      </w:r>
      <w:r>
        <w:rPr>
          <w:rFonts w:ascii="Times New Roman" w:hAnsi="Times New Roman" w:cs="Times New Roman"/>
        </w:rPr>
        <w:t xml:space="preserve"> SR.</w:t>
      </w:r>
      <w:r w:rsidRPr="00352DA3">
        <w:rPr>
          <w:rFonts w:ascii="Times New Roman" w:hAnsi="Times New Roman" w:cs="Times New Roman"/>
        </w:rPr>
        <w:t xml:space="preserve"> </w:t>
      </w:r>
    </w:p>
    <w:p w:rsidR="003A497B" w:rsidRDefault="003A497B" w:rsidP="003A497B"/>
    <w:p w:rsidR="00EE1354" w:rsidRDefault="00EE1354" w:rsidP="003A497B"/>
    <w:p w:rsidR="00EE1354" w:rsidRDefault="00EE1354" w:rsidP="003A497B"/>
    <w:p w:rsidR="00EE1354" w:rsidRDefault="00EE1354" w:rsidP="003A497B"/>
    <w:p w:rsidR="00EE1354" w:rsidRDefault="00EE1354" w:rsidP="003A497B"/>
    <w:p w:rsidR="00EE1354" w:rsidRDefault="00EE1354" w:rsidP="003A497B"/>
    <w:p w:rsidR="00EE1354" w:rsidRDefault="00EE1354" w:rsidP="003A497B"/>
    <w:p w:rsidR="00EE1354" w:rsidRDefault="00EE1354" w:rsidP="003A497B"/>
    <w:p w:rsidR="00EE1354" w:rsidRDefault="00EE1354" w:rsidP="003A497B"/>
    <w:p w:rsidR="00EE1354" w:rsidRDefault="00EE1354" w:rsidP="003A497B"/>
    <w:p w:rsidR="00EE1354" w:rsidRDefault="00EE1354" w:rsidP="003A497B"/>
    <w:p w:rsidR="00EE1354" w:rsidRDefault="00EE1354" w:rsidP="003A497B"/>
    <w:p w:rsidR="00EE1354" w:rsidRDefault="00EE1354" w:rsidP="003A497B"/>
    <w:p w:rsidR="00EE1354" w:rsidRDefault="00EE1354" w:rsidP="003A497B"/>
    <w:p w:rsidR="00EE1354" w:rsidRDefault="00EE1354" w:rsidP="003A497B"/>
    <w:p w:rsidR="003A497B" w:rsidRPr="00912A7B" w:rsidRDefault="003A497B" w:rsidP="003A497B">
      <w:pPr>
        <w:pStyle w:val="Nadpis5"/>
        <w:pBdr>
          <w:bottom w:val="single" w:sz="4" w:space="1" w:color="auto"/>
        </w:pBdr>
        <w:ind w:left="0"/>
        <w:rPr>
          <w:i w:val="0"/>
          <w:sz w:val="24"/>
          <w:lang w:eastAsia="sk-SK"/>
        </w:rPr>
      </w:pPr>
      <w:bookmarkStart w:id="241" w:name="_Toc400551769"/>
      <w:bookmarkStart w:id="242" w:name="_Toc494470107"/>
      <w:bookmarkStart w:id="243" w:name="_Toc494472283"/>
      <w:bookmarkStart w:id="244" w:name="_Toc526267708"/>
      <w:r w:rsidRPr="00912A7B">
        <w:rPr>
          <w:i w:val="0"/>
          <w:sz w:val="24"/>
          <w:lang w:eastAsia="sk-SK"/>
        </w:rPr>
        <w:lastRenderedPageBreak/>
        <w:t>Kancelária Ústavného súdu SR</w:t>
      </w:r>
      <w:bookmarkEnd w:id="241"/>
      <w:bookmarkEnd w:id="242"/>
      <w:bookmarkEnd w:id="243"/>
      <w:bookmarkEnd w:id="244"/>
    </w:p>
    <w:p w:rsidR="003A497B" w:rsidRPr="004A3627" w:rsidRDefault="003A497B" w:rsidP="003A497B">
      <w:pPr>
        <w:rPr>
          <w:highlight w:val="yellow"/>
        </w:rPr>
      </w:pPr>
    </w:p>
    <w:tbl>
      <w:tblPr>
        <w:tblW w:w="5000" w:type="pct"/>
        <w:tblCellMar>
          <w:left w:w="70" w:type="dxa"/>
          <w:right w:w="70" w:type="dxa"/>
        </w:tblCellMar>
        <w:tblLook w:val="04A0" w:firstRow="1" w:lastRow="0" w:firstColumn="1" w:lastColumn="0" w:noHBand="0" w:noVBand="1"/>
      </w:tblPr>
      <w:tblGrid>
        <w:gridCol w:w="2415"/>
        <w:gridCol w:w="949"/>
        <w:gridCol w:w="949"/>
        <w:gridCol w:w="949"/>
        <w:gridCol w:w="950"/>
        <w:gridCol w:w="950"/>
        <w:gridCol w:w="950"/>
        <w:gridCol w:w="950"/>
      </w:tblGrid>
      <w:tr w:rsidR="003A497B" w:rsidRPr="00A22A2D" w:rsidTr="003E1809">
        <w:trPr>
          <w:trHeight w:hRule="exact" w:val="255"/>
        </w:trPr>
        <w:tc>
          <w:tcPr>
            <w:tcW w:w="1332"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A22A2D" w:rsidRDefault="003A497B" w:rsidP="003E1809">
            <w:pPr>
              <w:rPr>
                <w:rFonts w:ascii="Times New Roman" w:hAnsi="Times New Roman" w:cs="Times New Roman"/>
                <w:b/>
                <w:bCs/>
                <w:color w:val="000000"/>
                <w:sz w:val="14"/>
                <w:szCs w:val="14"/>
                <w:lang w:eastAsia="sk-SK"/>
              </w:rPr>
            </w:pPr>
            <w:r w:rsidRPr="00A22A2D">
              <w:rPr>
                <w:rFonts w:ascii="Times New Roman" w:hAnsi="Times New Roman" w:cs="Times New Roman"/>
                <w:b/>
                <w:bCs/>
                <w:color w:val="000000"/>
                <w:sz w:val="14"/>
                <w:szCs w:val="14"/>
                <w:lang w:eastAsia="sk-SK"/>
              </w:rPr>
              <w:t>v eurách</w:t>
            </w:r>
          </w:p>
        </w:tc>
        <w:tc>
          <w:tcPr>
            <w:tcW w:w="524"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A22A2D" w:rsidRDefault="003A497B" w:rsidP="003E1809">
            <w:pPr>
              <w:jc w:val="center"/>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2016 S</w:t>
            </w:r>
          </w:p>
        </w:tc>
        <w:tc>
          <w:tcPr>
            <w:tcW w:w="524"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A22A2D" w:rsidRDefault="003A497B" w:rsidP="003E1809">
            <w:pPr>
              <w:jc w:val="center"/>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2017 S</w:t>
            </w:r>
          </w:p>
        </w:tc>
        <w:tc>
          <w:tcPr>
            <w:tcW w:w="524"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A22A2D" w:rsidRDefault="003A497B" w:rsidP="003E1809">
            <w:pPr>
              <w:jc w:val="center"/>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2018 R</w:t>
            </w:r>
          </w:p>
        </w:tc>
        <w:tc>
          <w:tcPr>
            <w:tcW w:w="524"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A22A2D" w:rsidRDefault="003A497B" w:rsidP="003E1809">
            <w:pPr>
              <w:jc w:val="center"/>
              <w:rPr>
                <w:rFonts w:ascii="Times New Roman" w:hAnsi="Times New Roman" w:cs="Times New Roman"/>
                <w:b/>
                <w:bCs/>
                <w:color w:val="000000"/>
                <w:sz w:val="14"/>
                <w:szCs w:val="14"/>
                <w:lang w:eastAsia="sk-SK"/>
              </w:rPr>
            </w:pPr>
            <w:r w:rsidRPr="00A22A2D">
              <w:rPr>
                <w:rFonts w:ascii="Times New Roman" w:hAnsi="Times New Roman" w:cs="Times New Roman"/>
                <w:b/>
                <w:bCs/>
                <w:color w:val="000000"/>
                <w:sz w:val="14"/>
                <w:szCs w:val="14"/>
                <w:lang w:eastAsia="sk-SK"/>
              </w:rPr>
              <w:t>2018 OS</w:t>
            </w:r>
          </w:p>
        </w:tc>
        <w:tc>
          <w:tcPr>
            <w:tcW w:w="524"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A22A2D" w:rsidRDefault="003A497B" w:rsidP="003E1809">
            <w:pPr>
              <w:jc w:val="center"/>
              <w:rPr>
                <w:rFonts w:ascii="Times New Roman" w:hAnsi="Times New Roman" w:cs="Times New Roman"/>
                <w:b/>
                <w:bCs/>
                <w:color w:val="000000"/>
                <w:sz w:val="14"/>
                <w:szCs w:val="14"/>
                <w:lang w:eastAsia="sk-SK"/>
              </w:rPr>
            </w:pPr>
            <w:r w:rsidRPr="00A22A2D">
              <w:rPr>
                <w:rFonts w:ascii="Times New Roman" w:hAnsi="Times New Roman" w:cs="Times New Roman"/>
                <w:b/>
                <w:bCs/>
                <w:color w:val="000000"/>
                <w:sz w:val="14"/>
                <w:szCs w:val="14"/>
                <w:lang w:eastAsia="sk-SK"/>
              </w:rPr>
              <w:t>2019 N</w:t>
            </w:r>
          </w:p>
        </w:tc>
        <w:tc>
          <w:tcPr>
            <w:tcW w:w="524"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A22A2D" w:rsidRDefault="003A497B" w:rsidP="003E1809">
            <w:pPr>
              <w:jc w:val="center"/>
              <w:rPr>
                <w:rFonts w:ascii="Times New Roman" w:hAnsi="Times New Roman" w:cs="Times New Roman"/>
                <w:b/>
                <w:bCs/>
                <w:color w:val="000000"/>
                <w:sz w:val="14"/>
                <w:szCs w:val="14"/>
                <w:lang w:eastAsia="sk-SK"/>
              </w:rPr>
            </w:pPr>
            <w:r w:rsidRPr="00A22A2D">
              <w:rPr>
                <w:rFonts w:ascii="Times New Roman" w:hAnsi="Times New Roman" w:cs="Times New Roman"/>
                <w:b/>
                <w:bCs/>
                <w:color w:val="000000"/>
                <w:sz w:val="14"/>
                <w:szCs w:val="14"/>
                <w:lang w:eastAsia="sk-SK"/>
              </w:rPr>
              <w:t>2020 N</w:t>
            </w:r>
          </w:p>
        </w:tc>
        <w:tc>
          <w:tcPr>
            <w:tcW w:w="524"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A22A2D" w:rsidRDefault="003A497B" w:rsidP="003E1809">
            <w:pPr>
              <w:jc w:val="center"/>
              <w:rPr>
                <w:rFonts w:ascii="Times New Roman" w:hAnsi="Times New Roman" w:cs="Times New Roman"/>
                <w:b/>
                <w:bCs/>
                <w:color w:val="000000"/>
                <w:sz w:val="14"/>
                <w:szCs w:val="14"/>
                <w:lang w:eastAsia="sk-SK"/>
              </w:rPr>
            </w:pPr>
            <w:r w:rsidRPr="00A22A2D">
              <w:rPr>
                <w:rFonts w:ascii="Times New Roman" w:hAnsi="Times New Roman" w:cs="Times New Roman"/>
                <w:b/>
                <w:bCs/>
                <w:color w:val="000000"/>
                <w:sz w:val="14"/>
                <w:szCs w:val="14"/>
                <w:lang w:eastAsia="sk-SK"/>
              </w:rPr>
              <w:t>2021 N</w:t>
            </w:r>
          </w:p>
        </w:tc>
      </w:tr>
      <w:tr w:rsidR="003A497B" w:rsidRPr="00A22A2D" w:rsidTr="003E1809">
        <w:trPr>
          <w:trHeight w:hRule="exact" w:val="255"/>
        </w:trPr>
        <w:tc>
          <w:tcPr>
            <w:tcW w:w="1332"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A497B" w:rsidRPr="00A22A2D" w:rsidRDefault="003A497B" w:rsidP="003E1809">
            <w:pPr>
              <w:rPr>
                <w:rFonts w:ascii="Times New Roman" w:hAnsi="Times New Roman" w:cs="Times New Roman"/>
                <w:b/>
                <w:bCs/>
                <w:color w:val="000000"/>
                <w:sz w:val="14"/>
                <w:szCs w:val="14"/>
                <w:lang w:eastAsia="sk-SK"/>
              </w:rPr>
            </w:pPr>
            <w:r w:rsidRPr="00A22A2D">
              <w:rPr>
                <w:rFonts w:ascii="Times New Roman" w:hAnsi="Times New Roman" w:cs="Times New Roman"/>
                <w:b/>
                <w:bCs/>
                <w:color w:val="000000"/>
                <w:sz w:val="14"/>
                <w:szCs w:val="14"/>
                <w:lang w:eastAsia="sk-SK"/>
              </w:rPr>
              <w:t>zdroje príslušnej kapitoly vrátane 72e</w:t>
            </w:r>
          </w:p>
        </w:tc>
        <w:tc>
          <w:tcPr>
            <w:tcW w:w="524" w:type="pct"/>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4 692 439</w:t>
            </w:r>
          </w:p>
        </w:tc>
        <w:tc>
          <w:tcPr>
            <w:tcW w:w="524" w:type="pct"/>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A22A2D" w:rsidRDefault="003A497B" w:rsidP="003E1809">
            <w:pPr>
              <w:jc w:val="center"/>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 xml:space="preserve">      4 866 486</w:t>
            </w:r>
          </w:p>
        </w:tc>
        <w:tc>
          <w:tcPr>
            <w:tcW w:w="524" w:type="pct"/>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5 098 246</w:t>
            </w:r>
          </w:p>
        </w:tc>
        <w:tc>
          <w:tcPr>
            <w:tcW w:w="524" w:type="pct"/>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A22A2D" w:rsidRDefault="003A497B" w:rsidP="003E1809">
            <w:pPr>
              <w:jc w:val="right"/>
              <w:rPr>
                <w:rFonts w:ascii="Times New Roman" w:hAnsi="Times New Roman" w:cs="Times New Roman"/>
                <w:b/>
                <w:bCs/>
                <w:color w:val="000000"/>
                <w:sz w:val="14"/>
                <w:szCs w:val="14"/>
                <w:lang w:eastAsia="sk-SK"/>
              </w:rPr>
            </w:pPr>
            <w:r w:rsidRPr="00A22A2D">
              <w:rPr>
                <w:rFonts w:ascii="Times New Roman" w:hAnsi="Times New Roman" w:cs="Times New Roman"/>
                <w:b/>
                <w:bCs/>
                <w:color w:val="000000"/>
                <w:sz w:val="14"/>
                <w:szCs w:val="14"/>
                <w:lang w:eastAsia="sk-SK"/>
              </w:rPr>
              <w:t>5 304 510</w:t>
            </w:r>
          </w:p>
        </w:tc>
        <w:tc>
          <w:tcPr>
            <w:tcW w:w="524" w:type="pct"/>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A22A2D" w:rsidRDefault="003A497B" w:rsidP="003E1809">
            <w:pPr>
              <w:jc w:val="right"/>
              <w:rPr>
                <w:rFonts w:ascii="Times New Roman" w:hAnsi="Times New Roman" w:cs="Times New Roman"/>
                <w:b/>
                <w:bCs/>
                <w:color w:val="000000"/>
                <w:sz w:val="14"/>
                <w:szCs w:val="14"/>
                <w:lang w:eastAsia="sk-SK"/>
              </w:rPr>
            </w:pPr>
            <w:r w:rsidRPr="00A22A2D">
              <w:rPr>
                <w:rFonts w:ascii="Times New Roman" w:hAnsi="Times New Roman" w:cs="Times New Roman"/>
                <w:b/>
                <w:bCs/>
                <w:color w:val="000000"/>
                <w:sz w:val="14"/>
                <w:szCs w:val="14"/>
                <w:lang w:eastAsia="sk-SK"/>
              </w:rPr>
              <w:t>5 676 618</w:t>
            </w:r>
          </w:p>
        </w:tc>
        <w:tc>
          <w:tcPr>
            <w:tcW w:w="524" w:type="pct"/>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A22A2D" w:rsidRDefault="003A497B" w:rsidP="003E1809">
            <w:pPr>
              <w:jc w:val="right"/>
              <w:rPr>
                <w:rFonts w:ascii="Times New Roman" w:hAnsi="Times New Roman" w:cs="Times New Roman"/>
                <w:b/>
                <w:bCs/>
                <w:color w:val="000000"/>
                <w:sz w:val="14"/>
                <w:szCs w:val="14"/>
                <w:lang w:eastAsia="sk-SK"/>
              </w:rPr>
            </w:pPr>
            <w:r w:rsidRPr="00A22A2D">
              <w:rPr>
                <w:rFonts w:ascii="Times New Roman" w:hAnsi="Times New Roman" w:cs="Times New Roman"/>
                <w:b/>
                <w:bCs/>
                <w:color w:val="000000"/>
                <w:sz w:val="14"/>
                <w:szCs w:val="14"/>
                <w:lang w:eastAsia="sk-SK"/>
              </w:rPr>
              <w:t>5 553 851</w:t>
            </w:r>
          </w:p>
        </w:tc>
        <w:tc>
          <w:tcPr>
            <w:tcW w:w="524" w:type="pct"/>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A22A2D" w:rsidRDefault="003A497B" w:rsidP="003E1809">
            <w:pPr>
              <w:jc w:val="right"/>
              <w:rPr>
                <w:rFonts w:ascii="Times New Roman" w:hAnsi="Times New Roman" w:cs="Times New Roman"/>
                <w:b/>
                <w:bCs/>
                <w:color w:val="000000"/>
                <w:sz w:val="14"/>
                <w:szCs w:val="14"/>
                <w:lang w:eastAsia="sk-SK"/>
              </w:rPr>
            </w:pPr>
            <w:r w:rsidRPr="00A22A2D">
              <w:rPr>
                <w:rFonts w:ascii="Times New Roman" w:hAnsi="Times New Roman" w:cs="Times New Roman"/>
                <w:b/>
                <w:bCs/>
                <w:color w:val="000000"/>
                <w:sz w:val="14"/>
                <w:szCs w:val="14"/>
                <w:lang w:eastAsia="sk-SK"/>
              </w:rPr>
              <w:t>5 547 630</w:t>
            </w:r>
          </w:p>
        </w:tc>
      </w:tr>
      <w:tr w:rsidR="003A497B" w:rsidRPr="00A22A2D" w:rsidTr="003E1809">
        <w:trPr>
          <w:trHeight w:hRule="exact" w:val="255"/>
        </w:trPr>
        <w:tc>
          <w:tcPr>
            <w:tcW w:w="1332"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A497B" w:rsidRPr="00A22A2D" w:rsidRDefault="003A497B" w:rsidP="003E1809">
            <w:pPr>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zdroje príslušnej kapitoly</w:t>
            </w:r>
          </w:p>
        </w:tc>
        <w:tc>
          <w:tcPr>
            <w:tcW w:w="524"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4 692 439</w:t>
            </w:r>
          </w:p>
        </w:tc>
        <w:tc>
          <w:tcPr>
            <w:tcW w:w="524"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4 866 486</w:t>
            </w:r>
          </w:p>
        </w:tc>
        <w:tc>
          <w:tcPr>
            <w:tcW w:w="524"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5 098 146</w:t>
            </w:r>
          </w:p>
        </w:tc>
        <w:tc>
          <w:tcPr>
            <w:tcW w:w="524"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5 304 510</w:t>
            </w:r>
          </w:p>
        </w:tc>
        <w:tc>
          <w:tcPr>
            <w:tcW w:w="524"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5 676 618</w:t>
            </w:r>
          </w:p>
        </w:tc>
        <w:tc>
          <w:tcPr>
            <w:tcW w:w="524"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5 553 851</w:t>
            </w:r>
          </w:p>
        </w:tc>
        <w:tc>
          <w:tcPr>
            <w:tcW w:w="524"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5 547 630</w:t>
            </w:r>
          </w:p>
        </w:tc>
      </w:tr>
      <w:tr w:rsidR="003A497B" w:rsidRPr="00A22A2D" w:rsidTr="003E1809">
        <w:trPr>
          <w:trHeight w:hRule="exact" w:val="255"/>
        </w:trPr>
        <w:tc>
          <w:tcPr>
            <w:tcW w:w="1332"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b/>
                <w:bCs/>
                <w:color w:val="000000"/>
                <w:sz w:val="14"/>
                <w:szCs w:val="14"/>
                <w:lang w:eastAsia="sk-SK"/>
              </w:rPr>
            </w:pPr>
            <w:r w:rsidRPr="00A22A2D">
              <w:rPr>
                <w:rFonts w:ascii="Times New Roman" w:hAnsi="Times New Roman" w:cs="Times New Roman"/>
                <w:b/>
                <w:bCs/>
                <w:color w:val="000000"/>
                <w:sz w:val="14"/>
                <w:szCs w:val="14"/>
                <w:lang w:eastAsia="sk-SK"/>
              </w:rPr>
              <w:t xml:space="preserve">rozpočtové zdroje kapitoly </w:t>
            </w:r>
          </w:p>
        </w:tc>
        <w:tc>
          <w:tcPr>
            <w:tcW w:w="524" w:type="pct"/>
            <w:tcBorders>
              <w:top w:val="nil"/>
              <w:left w:val="nil"/>
              <w:bottom w:val="single" w:sz="4" w:space="0" w:color="auto"/>
              <w:right w:val="single" w:sz="4" w:space="0" w:color="auto"/>
            </w:tcBorders>
            <w:shd w:val="clear" w:color="000000" w:fill="FFFFFF"/>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4 490 375</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4 757 658</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5 098 146</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5 304 510</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5 676 618</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5 553 851</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5 547 630</w:t>
            </w:r>
          </w:p>
        </w:tc>
      </w:tr>
      <w:tr w:rsidR="003A497B" w:rsidRPr="00A22A2D" w:rsidTr="003E1809">
        <w:trPr>
          <w:trHeight w:hRule="exact" w:val="255"/>
        </w:trPr>
        <w:tc>
          <w:tcPr>
            <w:tcW w:w="1332"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 xml:space="preserve">    v tom: bežné výdavky  600</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4 451 118</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4 699 838</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4 955 846</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5 176 369</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5 320 018</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5 310 851</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5 356 030</w:t>
            </w:r>
          </w:p>
        </w:tc>
      </w:tr>
      <w:tr w:rsidR="003A497B" w:rsidRPr="00A22A2D" w:rsidTr="003E1809">
        <w:trPr>
          <w:trHeight w:hRule="exact" w:val="255"/>
        </w:trPr>
        <w:tc>
          <w:tcPr>
            <w:tcW w:w="1332"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 xml:space="preserve">                 610 mzdy</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2 361 867</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2 533 577</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2 726 672</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2 898 679</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2 999 029</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3 024 709</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3 063 229</w:t>
            </w:r>
          </w:p>
        </w:tc>
      </w:tr>
      <w:tr w:rsidR="003A497B" w:rsidRPr="00A22A2D" w:rsidTr="003E1809">
        <w:trPr>
          <w:trHeight w:hRule="exact" w:val="255"/>
        </w:trPr>
        <w:tc>
          <w:tcPr>
            <w:tcW w:w="1332"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 xml:space="preserve">                 620 odvody</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676 419</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745 984</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782 922</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830 784</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873 263</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902 139</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916 447</w:t>
            </w:r>
          </w:p>
        </w:tc>
      </w:tr>
      <w:tr w:rsidR="003A497B" w:rsidRPr="00A22A2D" w:rsidTr="003E1809">
        <w:trPr>
          <w:trHeight w:hRule="exact" w:val="255"/>
        </w:trPr>
        <w:tc>
          <w:tcPr>
            <w:tcW w:w="1332"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 xml:space="preserve">                 630 tovary a služby</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1 183 378</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1 177 443</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1 228 796</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highlight w:val="yellow"/>
                <w:lang w:eastAsia="sk-SK"/>
              </w:rPr>
            </w:pPr>
            <w:r w:rsidRPr="00A22A2D">
              <w:rPr>
                <w:rFonts w:ascii="Times New Roman" w:hAnsi="Times New Roman" w:cs="Times New Roman"/>
                <w:color w:val="000000"/>
                <w:sz w:val="14"/>
                <w:szCs w:val="14"/>
                <w:lang w:eastAsia="sk-SK"/>
              </w:rPr>
              <w:t>1 229 450</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1 220 580</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1 152 015</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1 139 419</w:t>
            </w:r>
          </w:p>
        </w:tc>
      </w:tr>
      <w:tr w:rsidR="003A497B" w:rsidRPr="00A22A2D" w:rsidTr="003E1809">
        <w:trPr>
          <w:trHeight w:hRule="exact" w:val="255"/>
        </w:trPr>
        <w:tc>
          <w:tcPr>
            <w:tcW w:w="1332"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 xml:space="preserve">                 640 bežné transfery</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229 454</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242 834</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217 456</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217 456</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227 046</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231 888</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236 835</w:t>
            </w:r>
          </w:p>
        </w:tc>
      </w:tr>
      <w:tr w:rsidR="003A497B" w:rsidRPr="00A22A2D" w:rsidTr="003E1809">
        <w:trPr>
          <w:trHeight w:hRule="exact" w:val="255"/>
        </w:trPr>
        <w:tc>
          <w:tcPr>
            <w:tcW w:w="1332"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 xml:space="preserve">               kapitálové výdavky 700</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39 257</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57 820</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142 400</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128 141</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356 600</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243 000</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191 600</w:t>
            </w:r>
          </w:p>
        </w:tc>
      </w:tr>
      <w:tr w:rsidR="003A497B" w:rsidRPr="00A22A2D" w:rsidTr="003E1809">
        <w:trPr>
          <w:trHeight w:hRule="exact" w:val="255"/>
        </w:trPr>
        <w:tc>
          <w:tcPr>
            <w:tcW w:w="1332"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b/>
                <w:bCs/>
                <w:color w:val="000000"/>
                <w:sz w:val="14"/>
                <w:szCs w:val="14"/>
                <w:lang w:eastAsia="sk-SK"/>
              </w:rPr>
            </w:pPr>
            <w:r w:rsidRPr="00A22A2D">
              <w:rPr>
                <w:rFonts w:ascii="Times New Roman" w:hAnsi="Times New Roman" w:cs="Times New Roman"/>
                <w:b/>
                <w:bCs/>
                <w:color w:val="000000"/>
                <w:sz w:val="14"/>
                <w:szCs w:val="14"/>
                <w:lang w:eastAsia="sk-SK"/>
              </w:rPr>
              <w:t xml:space="preserve">zdroje EÚ vrátane spolufinancovania: </w:t>
            </w:r>
          </w:p>
        </w:tc>
        <w:tc>
          <w:tcPr>
            <w:tcW w:w="524" w:type="pct"/>
            <w:tcBorders>
              <w:top w:val="nil"/>
              <w:left w:val="nil"/>
              <w:bottom w:val="single" w:sz="4" w:space="0" w:color="auto"/>
              <w:right w:val="single" w:sz="4" w:space="0" w:color="auto"/>
            </w:tcBorders>
            <w:shd w:val="clear" w:color="000000" w:fill="FFFFFF"/>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130 624</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r>
      <w:tr w:rsidR="003A497B" w:rsidRPr="00A22A2D" w:rsidTr="003E1809">
        <w:trPr>
          <w:trHeight w:hRule="exact" w:val="255"/>
        </w:trPr>
        <w:tc>
          <w:tcPr>
            <w:tcW w:w="1332"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 xml:space="preserve">    v tom: 2. program. obdobie  EÚ </w:t>
            </w:r>
          </w:p>
        </w:tc>
        <w:tc>
          <w:tcPr>
            <w:tcW w:w="524" w:type="pct"/>
            <w:tcBorders>
              <w:top w:val="nil"/>
              <w:left w:val="nil"/>
              <w:bottom w:val="single" w:sz="4" w:space="0" w:color="auto"/>
              <w:right w:val="single" w:sz="4" w:space="0" w:color="auto"/>
            </w:tcBorders>
            <w:shd w:val="clear" w:color="000000" w:fill="FFFFFF"/>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98 373</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r>
      <w:tr w:rsidR="003A497B" w:rsidRPr="00A22A2D" w:rsidTr="003E1809">
        <w:trPr>
          <w:trHeight w:hRule="exact" w:val="255"/>
        </w:trPr>
        <w:tc>
          <w:tcPr>
            <w:tcW w:w="1332"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 xml:space="preserve">             spolufinancovanie zo ŠR</w:t>
            </w:r>
          </w:p>
        </w:tc>
        <w:tc>
          <w:tcPr>
            <w:tcW w:w="524" w:type="pct"/>
            <w:tcBorders>
              <w:top w:val="nil"/>
              <w:left w:val="nil"/>
              <w:bottom w:val="single" w:sz="4" w:space="0" w:color="auto"/>
              <w:right w:val="single" w:sz="4" w:space="0" w:color="auto"/>
            </w:tcBorders>
            <w:shd w:val="clear" w:color="000000" w:fill="FFFFFF"/>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32 251</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4"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r>
      <w:tr w:rsidR="003A497B" w:rsidRPr="00A22A2D" w:rsidTr="003E1809">
        <w:trPr>
          <w:trHeight w:hRule="exact" w:val="255"/>
        </w:trPr>
        <w:tc>
          <w:tcPr>
            <w:tcW w:w="1332"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b/>
                <w:bCs/>
                <w:color w:val="000000"/>
                <w:sz w:val="14"/>
                <w:szCs w:val="14"/>
                <w:lang w:eastAsia="sk-SK"/>
              </w:rPr>
            </w:pPr>
            <w:r w:rsidRPr="00A22A2D">
              <w:rPr>
                <w:rFonts w:ascii="Times New Roman" w:hAnsi="Times New Roman" w:cs="Times New Roman"/>
                <w:b/>
                <w:bCs/>
                <w:color w:val="000000"/>
                <w:sz w:val="14"/>
                <w:szCs w:val="14"/>
                <w:lang w:eastAsia="sk-SK"/>
              </w:rPr>
              <w:t>presun z minulých rokov § 8</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71 440</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108 828</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 xml:space="preserve">                     0</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0</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0</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0</w:t>
            </w:r>
          </w:p>
        </w:tc>
      </w:tr>
      <w:tr w:rsidR="003A497B" w:rsidRPr="00A22A2D" w:rsidTr="003E1809">
        <w:trPr>
          <w:trHeight w:hRule="exact" w:val="255"/>
        </w:trPr>
        <w:tc>
          <w:tcPr>
            <w:tcW w:w="1332"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 xml:space="preserve">    v tom: štátny rozpočet</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71 440</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108 828</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0</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r>
      <w:tr w:rsidR="003A497B" w:rsidRPr="00A22A2D" w:rsidTr="003E1809">
        <w:trPr>
          <w:trHeight w:hRule="exact" w:val="255"/>
        </w:trPr>
        <w:tc>
          <w:tcPr>
            <w:tcW w:w="1332" w:type="pct"/>
            <w:tcBorders>
              <w:top w:val="nil"/>
              <w:left w:val="single" w:sz="4" w:space="0" w:color="auto"/>
              <w:bottom w:val="single" w:sz="4" w:space="0" w:color="auto"/>
              <w:right w:val="single" w:sz="4" w:space="0" w:color="auto"/>
            </w:tcBorders>
            <w:shd w:val="clear" w:color="000000" w:fill="FFFFFF"/>
            <w:noWrap/>
            <w:vAlign w:val="center"/>
            <w:hideMark/>
          </w:tcPr>
          <w:p w:rsidR="003A497B" w:rsidRPr="00A22A2D" w:rsidRDefault="003A497B" w:rsidP="003E1809">
            <w:pPr>
              <w:rPr>
                <w:rFonts w:ascii="Times New Roman" w:hAnsi="Times New Roman" w:cs="Times New Roman"/>
                <w:b/>
                <w:bCs/>
                <w:color w:val="000000"/>
                <w:sz w:val="14"/>
                <w:szCs w:val="14"/>
                <w:lang w:eastAsia="sk-SK"/>
              </w:rPr>
            </w:pPr>
            <w:r w:rsidRPr="00A22A2D">
              <w:rPr>
                <w:rFonts w:ascii="Times New Roman" w:eastAsiaTheme="minorHAnsi" w:hAnsi="Times New Roman" w:cs="Times New Roman"/>
                <w:b/>
                <w:bCs/>
                <w:sz w:val="14"/>
                <w:szCs w:val="14"/>
                <w:lang w:eastAsia="sk-SK"/>
              </w:rPr>
              <w:t>zdroj 72e*</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100</w:t>
            </w:r>
          </w:p>
        </w:tc>
        <w:tc>
          <w:tcPr>
            <w:tcW w:w="524"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100</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100</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100</w:t>
            </w:r>
          </w:p>
        </w:tc>
        <w:tc>
          <w:tcPr>
            <w:tcW w:w="524"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100</w:t>
            </w:r>
          </w:p>
        </w:tc>
      </w:tr>
    </w:tbl>
    <w:p w:rsidR="003A497B" w:rsidRPr="00A22A2D" w:rsidRDefault="003A497B" w:rsidP="003A497B">
      <w:pPr>
        <w:rPr>
          <w:rFonts w:ascii="Times New Roman" w:eastAsiaTheme="minorHAnsi" w:hAnsi="Times New Roman" w:cs="Times New Roman"/>
          <w:color w:val="000000"/>
          <w:sz w:val="16"/>
          <w:szCs w:val="16"/>
          <w:lang w:eastAsia="sk-SK"/>
        </w:rPr>
      </w:pPr>
      <w:r w:rsidRPr="00A22A2D">
        <w:rPr>
          <w:rFonts w:ascii="Times New Roman" w:eastAsiaTheme="minorHAnsi" w:hAnsi="Times New Roman" w:cs="Times New Roman"/>
          <w:color w:val="000000"/>
          <w:sz w:val="16"/>
          <w:szCs w:val="16"/>
          <w:lang w:eastAsia="sk-SK"/>
        </w:rPr>
        <w:t>* z poistného plnenia zo zmluvného poistenia alebo zo zákonného poistenia.</w:t>
      </w:r>
    </w:p>
    <w:p w:rsidR="003A497B" w:rsidRPr="00A22A2D" w:rsidRDefault="003A497B" w:rsidP="003A497B">
      <w:pPr>
        <w:rPr>
          <w:rFonts w:ascii="Times New Roman" w:eastAsiaTheme="minorHAnsi" w:hAnsi="Times New Roman" w:cs="Times New Roman"/>
          <w:color w:val="000000"/>
          <w:sz w:val="14"/>
          <w:szCs w:val="14"/>
          <w:lang w:eastAsia="sk-SK"/>
        </w:rPr>
      </w:pPr>
    </w:p>
    <w:tbl>
      <w:tblPr>
        <w:tblW w:w="5000" w:type="pct"/>
        <w:tblCellMar>
          <w:left w:w="70" w:type="dxa"/>
          <w:right w:w="70" w:type="dxa"/>
        </w:tblCellMar>
        <w:tblLook w:val="04A0" w:firstRow="1" w:lastRow="0" w:firstColumn="1" w:lastColumn="0" w:noHBand="0" w:noVBand="1"/>
      </w:tblPr>
      <w:tblGrid>
        <w:gridCol w:w="2399"/>
        <w:gridCol w:w="951"/>
        <w:gridCol w:w="952"/>
        <w:gridCol w:w="952"/>
        <w:gridCol w:w="952"/>
        <w:gridCol w:w="952"/>
        <w:gridCol w:w="952"/>
        <w:gridCol w:w="952"/>
      </w:tblGrid>
      <w:tr w:rsidR="003A497B" w:rsidRPr="00A22A2D" w:rsidTr="003E1809">
        <w:trPr>
          <w:trHeight w:hRule="exact" w:val="255"/>
        </w:trPr>
        <w:tc>
          <w:tcPr>
            <w:tcW w:w="13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A497B" w:rsidRPr="00A22A2D" w:rsidRDefault="003A497B" w:rsidP="003E1809">
            <w:pPr>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 xml:space="preserve">samostatné účty </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r>
    </w:tbl>
    <w:p w:rsidR="003A497B" w:rsidRPr="00A22A2D" w:rsidRDefault="003A497B" w:rsidP="003A497B"/>
    <w:p w:rsidR="003A497B" w:rsidRPr="00A22A2D" w:rsidRDefault="003A497B" w:rsidP="003A497B">
      <w:pPr>
        <w:ind w:firstLine="708"/>
        <w:jc w:val="both"/>
        <w:rPr>
          <w:rFonts w:ascii="Times New Roman" w:hAnsi="Times New Roman" w:cs="Times New Roman"/>
        </w:rPr>
      </w:pPr>
      <w:r w:rsidRPr="00A22A2D">
        <w:rPr>
          <w:rFonts w:ascii="Times New Roman" w:hAnsi="Times New Roman" w:cs="Times New Roman"/>
        </w:rPr>
        <w:t>Celkové výdavky kapitoly Kancelária Ústavného súdu SR sa na rok 2019 rozpočtujú v sume 5,68 mil. eur, medziročne rastú o 578 tis. eur, čo predstavuje 11,3 %.</w:t>
      </w:r>
    </w:p>
    <w:p w:rsidR="003A497B" w:rsidRPr="00A22A2D" w:rsidRDefault="003A497B" w:rsidP="003A497B">
      <w:pPr>
        <w:jc w:val="both"/>
        <w:rPr>
          <w:rFonts w:ascii="Times New Roman" w:hAnsi="Times New Roman" w:cs="Times New Roman"/>
          <w:highlight w:val="yellow"/>
        </w:rPr>
      </w:pPr>
    </w:p>
    <w:p w:rsidR="003A497B" w:rsidRPr="00A22A2D" w:rsidRDefault="003A497B" w:rsidP="00632E2F">
      <w:pPr>
        <w:spacing w:after="160" w:line="259" w:lineRule="auto"/>
        <w:ind w:firstLine="708"/>
        <w:jc w:val="both"/>
        <w:rPr>
          <w:rFonts w:ascii="Times New Roman" w:eastAsiaTheme="minorHAnsi" w:hAnsi="Times New Roman" w:cs="Times New Roman"/>
          <w:lang w:eastAsia="en-US"/>
        </w:rPr>
      </w:pPr>
      <w:r w:rsidRPr="00A22A2D">
        <w:rPr>
          <w:rFonts w:ascii="Times New Roman" w:hAnsi="Times New Roman" w:cs="Times New Roman"/>
        </w:rPr>
        <w:t>Osobné výdavky sa rozpočtujú v sume 3,87 mil. eur, čo predstavuje oproti schválenému rozpočtu na rok 2018 zvýšenie o 363 tis. eur, t. j. o 10,3 %.</w:t>
      </w:r>
      <w:r w:rsidRPr="00A22A2D">
        <w:rPr>
          <w:rFonts w:ascii="Times New Roman" w:eastAsiaTheme="minorHAnsi" w:hAnsi="Times New Roman" w:cs="Times New Roman"/>
          <w:lang w:eastAsia="en-US"/>
        </w:rPr>
        <w:t xml:space="preserve"> Uvedený nárast je spôsobený najmä premietnutím valorizácie platov zamestnancov z roku 2018, zabezpečením osobných výdavkov súvisiacich s personálnym posilnením úradu, zlepšením finančného ohodnotenia zamestnancov a zabezpečením platových náležitostí sudcov ústavného súdu vrátane aktuálneho zohľadnenia ich bydliska.</w:t>
      </w:r>
      <w:r w:rsidR="00632E2F">
        <w:rPr>
          <w:rFonts w:ascii="Times New Roman" w:eastAsiaTheme="minorHAnsi" w:hAnsi="Times New Roman" w:cs="Times New Roman"/>
          <w:lang w:eastAsia="en-US"/>
        </w:rPr>
        <w:t xml:space="preserve"> </w:t>
      </w:r>
    </w:p>
    <w:p w:rsidR="003A497B" w:rsidRPr="00A22A2D" w:rsidRDefault="003A497B" w:rsidP="003A497B">
      <w:pPr>
        <w:ind w:firstLine="708"/>
        <w:jc w:val="both"/>
        <w:rPr>
          <w:rFonts w:ascii="Times New Roman" w:hAnsi="Times New Roman" w:cs="Times New Roman"/>
        </w:rPr>
      </w:pPr>
      <w:r w:rsidRPr="00A22A2D">
        <w:rPr>
          <w:rFonts w:ascii="Times New Roman" w:hAnsi="Times New Roman" w:cs="Times New Roman"/>
        </w:rPr>
        <w:t xml:space="preserve">Tovary a služby sa rozpočtujú v sume 1,22 mil. eur, čo predstavuje úroveň roku 2018. V ich rámci sa zabezpečuje údržba a opravy budov, obstaranie nábytku pre novovymenovaných sudcov, obstaranie 15 ks osobných počítačov a obstaranie batérií do záložných zdrojov.  </w:t>
      </w:r>
    </w:p>
    <w:p w:rsidR="003A497B" w:rsidRPr="00A22A2D" w:rsidRDefault="003A497B" w:rsidP="003A497B">
      <w:pPr>
        <w:jc w:val="both"/>
        <w:rPr>
          <w:rFonts w:ascii="Times New Roman" w:hAnsi="Times New Roman" w:cs="Times New Roman"/>
        </w:rPr>
      </w:pPr>
    </w:p>
    <w:p w:rsidR="003A497B" w:rsidRPr="00A22A2D" w:rsidRDefault="003A497B" w:rsidP="003A497B">
      <w:pPr>
        <w:ind w:firstLine="708"/>
        <w:jc w:val="both"/>
        <w:rPr>
          <w:rFonts w:ascii="Times New Roman" w:hAnsi="Times New Roman" w:cs="Times New Roman"/>
          <w:bCs/>
        </w:rPr>
      </w:pPr>
      <w:r w:rsidRPr="00A22A2D">
        <w:rPr>
          <w:rFonts w:ascii="Times New Roman" w:hAnsi="Times New Roman" w:cs="Times New Roman"/>
        </w:rPr>
        <w:t>Bežné transfery sa rozpočtujú v sume 227 tis. eur, čo predstavuje medziročný nárast o 9,59 tis. eur, t. j. o 4,41 %. Nárast predstavujú zvýšené výdavky na príplatok k dôchodku za výkon funkcie sudcu.</w:t>
      </w:r>
    </w:p>
    <w:p w:rsidR="003A497B" w:rsidRPr="00A22A2D" w:rsidRDefault="003A497B" w:rsidP="003A497B">
      <w:pPr>
        <w:ind w:firstLine="708"/>
        <w:jc w:val="both"/>
        <w:rPr>
          <w:rFonts w:ascii="Times New Roman" w:hAnsi="Times New Roman" w:cs="Times New Roman"/>
          <w:highlight w:val="yellow"/>
        </w:rPr>
      </w:pPr>
      <w:r w:rsidRPr="00A22A2D">
        <w:rPr>
          <w:rFonts w:ascii="Times New Roman" w:hAnsi="Times New Roman" w:cs="Times New Roman"/>
          <w:highlight w:val="yellow"/>
        </w:rPr>
        <w:t xml:space="preserve">  </w:t>
      </w:r>
    </w:p>
    <w:p w:rsidR="003A497B" w:rsidRPr="00A22A2D" w:rsidRDefault="003A497B" w:rsidP="003A497B">
      <w:pPr>
        <w:autoSpaceDE w:val="0"/>
        <w:autoSpaceDN w:val="0"/>
        <w:adjustRightInd w:val="0"/>
        <w:ind w:firstLine="708"/>
        <w:jc w:val="both"/>
        <w:rPr>
          <w:rFonts w:ascii="Times New Roman" w:hAnsi="Times New Roman" w:cs="Times New Roman"/>
        </w:rPr>
      </w:pPr>
      <w:r w:rsidRPr="00A22A2D">
        <w:rPr>
          <w:rFonts w:ascii="Times New Roman" w:hAnsi="Times New Roman" w:cs="Times New Roman"/>
        </w:rPr>
        <w:t>Kapitálové výdavky sa rozpočtujú v sume 357 tis. eur. V porovnaní so schváleným rozpočtom na rok 2018 ide o nárast o 214 tis. eur, t. j. o 150 %. Zabezpečuje sa okrem iného klimatizácia budovy Ústavného súdu, rekonštrukcia vstupných priestorov, obstaranie osobného motorového vozidla, obstaranie 2 ks serverov a rozšírenie kapacity diskového poľa.</w:t>
      </w:r>
    </w:p>
    <w:p w:rsidR="003A497B" w:rsidRDefault="003A497B" w:rsidP="003A497B">
      <w:pPr>
        <w:autoSpaceDE w:val="0"/>
        <w:autoSpaceDN w:val="0"/>
        <w:adjustRightInd w:val="0"/>
        <w:ind w:firstLine="708"/>
        <w:jc w:val="both"/>
        <w:rPr>
          <w:rFonts w:ascii="Times New Roman" w:hAnsi="Times New Roman" w:cs="Times New Roman"/>
          <w:highlight w:val="yellow"/>
        </w:rPr>
      </w:pPr>
    </w:p>
    <w:p w:rsidR="00EE1354" w:rsidRDefault="00EE1354" w:rsidP="003A497B">
      <w:pPr>
        <w:autoSpaceDE w:val="0"/>
        <w:autoSpaceDN w:val="0"/>
        <w:adjustRightInd w:val="0"/>
        <w:ind w:firstLine="708"/>
        <w:jc w:val="both"/>
        <w:rPr>
          <w:rFonts w:ascii="Times New Roman" w:hAnsi="Times New Roman" w:cs="Times New Roman"/>
          <w:highlight w:val="yellow"/>
        </w:rPr>
      </w:pPr>
    </w:p>
    <w:p w:rsidR="00EE1354" w:rsidRDefault="00EE1354" w:rsidP="003A497B">
      <w:pPr>
        <w:autoSpaceDE w:val="0"/>
        <w:autoSpaceDN w:val="0"/>
        <w:adjustRightInd w:val="0"/>
        <w:ind w:firstLine="708"/>
        <w:jc w:val="both"/>
        <w:rPr>
          <w:rFonts w:ascii="Times New Roman" w:hAnsi="Times New Roman" w:cs="Times New Roman"/>
          <w:highlight w:val="yellow"/>
        </w:rPr>
      </w:pPr>
    </w:p>
    <w:p w:rsidR="00EE1354" w:rsidRDefault="00EE1354" w:rsidP="003A497B">
      <w:pPr>
        <w:autoSpaceDE w:val="0"/>
        <w:autoSpaceDN w:val="0"/>
        <w:adjustRightInd w:val="0"/>
        <w:ind w:firstLine="708"/>
        <w:jc w:val="both"/>
        <w:rPr>
          <w:rFonts w:ascii="Times New Roman" w:hAnsi="Times New Roman" w:cs="Times New Roman"/>
          <w:highlight w:val="yellow"/>
        </w:rPr>
      </w:pPr>
    </w:p>
    <w:p w:rsidR="00EE1354" w:rsidRDefault="00EE1354" w:rsidP="003A497B">
      <w:pPr>
        <w:autoSpaceDE w:val="0"/>
        <w:autoSpaceDN w:val="0"/>
        <w:adjustRightInd w:val="0"/>
        <w:ind w:firstLine="708"/>
        <w:jc w:val="both"/>
        <w:rPr>
          <w:rFonts w:ascii="Times New Roman" w:hAnsi="Times New Roman" w:cs="Times New Roman"/>
          <w:highlight w:val="yellow"/>
        </w:rPr>
      </w:pPr>
    </w:p>
    <w:p w:rsidR="00EE1354" w:rsidRDefault="00EE1354" w:rsidP="003A497B">
      <w:pPr>
        <w:autoSpaceDE w:val="0"/>
        <w:autoSpaceDN w:val="0"/>
        <w:adjustRightInd w:val="0"/>
        <w:ind w:firstLine="708"/>
        <w:jc w:val="both"/>
        <w:rPr>
          <w:rFonts w:ascii="Times New Roman" w:hAnsi="Times New Roman" w:cs="Times New Roman"/>
          <w:highlight w:val="yellow"/>
        </w:rPr>
      </w:pPr>
    </w:p>
    <w:p w:rsidR="00EE1354" w:rsidRDefault="00EE1354" w:rsidP="003A497B">
      <w:pPr>
        <w:autoSpaceDE w:val="0"/>
        <w:autoSpaceDN w:val="0"/>
        <w:adjustRightInd w:val="0"/>
        <w:ind w:firstLine="708"/>
        <w:jc w:val="both"/>
        <w:rPr>
          <w:rFonts w:ascii="Times New Roman" w:hAnsi="Times New Roman" w:cs="Times New Roman"/>
          <w:highlight w:val="yellow"/>
        </w:rPr>
      </w:pPr>
    </w:p>
    <w:p w:rsidR="003A497B" w:rsidRPr="00912A7B" w:rsidRDefault="003A497B" w:rsidP="003A497B">
      <w:pPr>
        <w:pStyle w:val="Nadpis5"/>
        <w:pBdr>
          <w:bottom w:val="single" w:sz="4" w:space="1" w:color="auto"/>
        </w:pBdr>
        <w:ind w:left="0"/>
        <w:rPr>
          <w:i w:val="0"/>
          <w:sz w:val="24"/>
          <w:lang w:eastAsia="sk-SK"/>
        </w:rPr>
      </w:pPr>
      <w:bookmarkStart w:id="245" w:name="_Toc494470108"/>
      <w:bookmarkStart w:id="246" w:name="_Toc494472284"/>
      <w:bookmarkStart w:id="247" w:name="_Toc526267709"/>
      <w:r w:rsidRPr="00912A7B">
        <w:rPr>
          <w:i w:val="0"/>
          <w:sz w:val="24"/>
          <w:lang w:eastAsia="sk-SK"/>
        </w:rPr>
        <w:lastRenderedPageBreak/>
        <w:t>Kancelária Najvyššieho súdu SR</w:t>
      </w:r>
      <w:bookmarkEnd w:id="245"/>
      <w:bookmarkEnd w:id="246"/>
      <w:bookmarkEnd w:id="247"/>
    </w:p>
    <w:p w:rsidR="003A497B" w:rsidRPr="00E14983" w:rsidRDefault="003A497B" w:rsidP="003A497B">
      <w:pPr>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330"/>
        <w:gridCol w:w="963"/>
        <w:gridCol w:w="962"/>
        <w:gridCol w:w="962"/>
        <w:gridCol w:w="962"/>
        <w:gridCol w:w="962"/>
        <w:gridCol w:w="962"/>
        <w:gridCol w:w="959"/>
      </w:tblGrid>
      <w:tr w:rsidR="003A497B" w:rsidRPr="00C22B35" w:rsidTr="003E1809">
        <w:trPr>
          <w:trHeight w:val="255"/>
        </w:trPr>
        <w:tc>
          <w:tcPr>
            <w:tcW w:w="128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4B17C2" w:rsidRDefault="003A497B" w:rsidP="003E1809">
            <w:pPr>
              <w:rPr>
                <w:rFonts w:ascii="Times New Roman" w:hAnsi="Times New Roman" w:cs="Times New Roman"/>
                <w:b/>
                <w:bCs/>
                <w:color w:val="000000"/>
                <w:sz w:val="14"/>
                <w:szCs w:val="14"/>
              </w:rPr>
            </w:pPr>
            <w:r w:rsidRPr="004B17C2">
              <w:rPr>
                <w:rFonts w:ascii="Times New Roman" w:hAnsi="Times New Roman" w:cs="Times New Roman"/>
                <w:b/>
                <w:bCs/>
                <w:color w:val="000000"/>
                <w:sz w:val="14"/>
                <w:szCs w:val="14"/>
              </w:rPr>
              <w:t> v eurách</w:t>
            </w:r>
          </w:p>
        </w:tc>
        <w:tc>
          <w:tcPr>
            <w:tcW w:w="531"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4B17C2" w:rsidRDefault="003A497B" w:rsidP="003E1809">
            <w:pPr>
              <w:jc w:val="center"/>
              <w:rPr>
                <w:rFonts w:ascii="Times New Roman" w:hAnsi="Times New Roman" w:cs="Times New Roman"/>
                <w:b/>
                <w:bCs/>
                <w:color w:val="000000"/>
                <w:sz w:val="14"/>
                <w:szCs w:val="14"/>
              </w:rPr>
            </w:pPr>
            <w:r w:rsidRPr="004B17C2">
              <w:rPr>
                <w:rFonts w:ascii="Times New Roman" w:hAnsi="Times New Roman" w:cs="Times New Roman"/>
                <w:b/>
                <w:bCs/>
                <w:color w:val="000000"/>
                <w:sz w:val="14"/>
                <w:szCs w:val="14"/>
              </w:rPr>
              <w:t>2016 S</w:t>
            </w:r>
          </w:p>
        </w:tc>
        <w:tc>
          <w:tcPr>
            <w:tcW w:w="531"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4B17C2" w:rsidRDefault="003A497B" w:rsidP="003E1809">
            <w:pPr>
              <w:jc w:val="center"/>
              <w:rPr>
                <w:rFonts w:ascii="Times New Roman" w:hAnsi="Times New Roman" w:cs="Times New Roman"/>
                <w:b/>
                <w:bCs/>
                <w:color w:val="000000"/>
                <w:sz w:val="14"/>
                <w:szCs w:val="14"/>
                <w:highlight w:val="yellow"/>
              </w:rPr>
            </w:pPr>
            <w:r w:rsidRPr="004B17C2">
              <w:rPr>
                <w:rFonts w:ascii="Times New Roman" w:hAnsi="Times New Roman" w:cs="Times New Roman"/>
                <w:b/>
                <w:bCs/>
                <w:color w:val="000000"/>
                <w:sz w:val="14"/>
                <w:szCs w:val="14"/>
              </w:rPr>
              <w:t xml:space="preserve">2017 S </w:t>
            </w:r>
          </w:p>
        </w:tc>
        <w:tc>
          <w:tcPr>
            <w:tcW w:w="531"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4B17C2" w:rsidRDefault="003A497B" w:rsidP="003E1809">
            <w:pPr>
              <w:jc w:val="center"/>
              <w:rPr>
                <w:rFonts w:ascii="Times New Roman" w:hAnsi="Times New Roman" w:cs="Times New Roman"/>
                <w:b/>
                <w:bCs/>
                <w:color w:val="000000"/>
                <w:sz w:val="14"/>
                <w:szCs w:val="14"/>
              </w:rPr>
            </w:pPr>
            <w:r w:rsidRPr="004B17C2">
              <w:rPr>
                <w:rFonts w:ascii="Times New Roman" w:hAnsi="Times New Roman" w:cs="Times New Roman"/>
                <w:b/>
                <w:bCs/>
                <w:color w:val="000000"/>
                <w:sz w:val="14"/>
                <w:szCs w:val="14"/>
              </w:rPr>
              <w:t>2018 R</w:t>
            </w:r>
          </w:p>
        </w:tc>
        <w:tc>
          <w:tcPr>
            <w:tcW w:w="531"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4B17C2" w:rsidRDefault="003A497B" w:rsidP="003E1809">
            <w:pPr>
              <w:jc w:val="center"/>
              <w:rPr>
                <w:rFonts w:ascii="Times New Roman" w:hAnsi="Times New Roman" w:cs="Times New Roman"/>
                <w:b/>
                <w:bCs/>
                <w:color w:val="000000"/>
                <w:sz w:val="14"/>
                <w:szCs w:val="14"/>
              </w:rPr>
            </w:pPr>
            <w:r w:rsidRPr="004B17C2">
              <w:rPr>
                <w:rFonts w:ascii="Times New Roman" w:hAnsi="Times New Roman" w:cs="Times New Roman"/>
                <w:b/>
                <w:bCs/>
                <w:color w:val="000000"/>
                <w:sz w:val="14"/>
                <w:szCs w:val="14"/>
              </w:rPr>
              <w:t>2018 OS</w:t>
            </w:r>
          </w:p>
        </w:tc>
        <w:tc>
          <w:tcPr>
            <w:tcW w:w="531"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4B17C2" w:rsidRDefault="003A497B" w:rsidP="003E1809">
            <w:pPr>
              <w:jc w:val="center"/>
              <w:rPr>
                <w:rFonts w:ascii="Times New Roman" w:hAnsi="Times New Roman" w:cs="Times New Roman"/>
                <w:b/>
                <w:bCs/>
                <w:color w:val="000000"/>
                <w:sz w:val="14"/>
                <w:szCs w:val="14"/>
              </w:rPr>
            </w:pPr>
            <w:r w:rsidRPr="004B17C2">
              <w:rPr>
                <w:rFonts w:ascii="Times New Roman" w:hAnsi="Times New Roman" w:cs="Times New Roman"/>
                <w:b/>
                <w:bCs/>
                <w:color w:val="000000"/>
                <w:sz w:val="14"/>
                <w:szCs w:val="14"/>
              </w:rPr>
              <w:t>2019 N</w:t>
            </w:r>
          </w:p>
        </w:tc>
        <w:tc>
          <w:tcPr>
            <w:tcW w:w="531"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4B17C2" w:rsidRDefault="003A497B" w:rsidP="003E1809">
            <w:pPr>
              <w:jc w:val="center"/>
              <w:rPr>
                <w:rFonts w:ascii="Times New Roman" w:hAnsi="Times New Roman" w:cs="Times New Roman"/>
                <w:b/>
                <w:bCs/>
                <w:color w:val="000000"/>
                <w:sz w:val="14"/>
                <w:szCs w:val="14"/>
              </w:rPr>
            </w:pPr>
            <w:r w:rsidRPr="004B17C2">
              <w:rPr>
                <w:rFonts w:ascii="Times New Roman" w:hAnsi="Times New Roman" w:cs="Times New Roman"/>
                <w:b/>
                <w:bCs/>
                <w:color w:val="000000"/>
                <w:sz w:val="14"/>
                <w:szCs w:val="14"/>
              </w:rPr>
              <w:t>2020 N</w:t>
            </w:r>
          </w:p>
        </w:tc>
        <w:tc>
          <w:tcPr>
            <w:tcW w:w="529"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4B17C2" w:rsidRDefault="003A497B" w:rsidP="003E1809">
            <w:pPr>
              <w:jc w:val="center"/>
              <w:rPr>
                <w:rFonts w:ascii="Times New Roman" w:hAnsi="Times New Roman" w:cs="Times New Roman"/>
                <w:b/>
                <w:bCs/>
                <w:color w:val="000000"/>
                <w:sz w:val="14"/>
                <w:szCs w:val="14"/>
              </w:rPr>
            </w:pPr>
            <w:r w:rsidRPr="004B17C2">
              <w:rPr>
                <w:rFonts w:ascii="Times New Roman" w:hAnsi="Times New Roman" w:cs="Times New Roman"/>
                <w:b/>
                <w:bCs/>
                <w:color w:val="000000"/>
                <w:sz w:val="14"/>
                <w:szCs w:val="14"/>
              </w:rPr>
              <w:t>2021 N</w:t>
            </w:r>
          </w:p>
        </w:tc>
      </w:tr>
      <w:tr w:rsidR="003A497B" w:rsidRPr="00C22B35" w:rsidTr="003E1809">
        <w:trPr>
          <w:trHeight w:val="255"/>
        </w:trPr>
        <w:tc>
          <w:tcPr>
            <w:tcW w:w="1285"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A497B" w:rsidRPr="004B17C2" w:rsidRDefault="003A497B" w:rsidP="003E1809">
            <w:pPr>
              <w:rPr>
                <w:rFonts w:ascii="Times New Roman" w:hAnsi="Times New Roman" w:cs="Times New Roman"/>
                <w:b/>
                <w:bCs/>
                <w:color w:val="000000"/>
                <w:sz w:val="14"/>
                <w:szCs w:val="14"/>
              </w:rPr>
            </w:pPr>
            <w:r w:rsidRPr="004B17C2">
              <w:rPr>
                <w:rFonts w:ascii="Times New Roman" w:hAnsi="Times New Roman" w:cs="Times New Roman"/>
                <w:b/>
                <w:bCs/>
                <w:color w:val="000000"/>
                <w:sz w:val="14"/>
                <w:szCs w:val="14"/>
              </w:rPr>
              <w:t>Zdroje príslušnej kapitoly</w:t>
            </w:r>
          </w:p>
        </w:tc>
        <w:tc>
          <w:tcPr>
            <w:tcW w:w="531" w:type="pct"/>
            <w:tcBorders>
              <w:top w:val="nil"/>
              <w:left w:val="nil"/>
              <w:bottom w:val="single" w:sz="4" w:space="0" w:color="auto"/>
              <w:right w:val="single" w:sz="4" w:space="0" w:color="auto"/>
            </w:tcBorders>
            <w:shd w:val="clear" w:color="auto" w:fill="BFBFBF" w:themeFill="background1" w:themeFillShade="BF"/>
            <w:vAlign w:val="center"/>
          </w:tcPr>
          <w:p w:rsidR="003A497B" w:rsidRPr="004B17C2" w:rsidRDefault="003A497B" w:rsidP="003E1809">
            <w:pPr>
              <w:jc w:val="right"/>
              <w:rPr>
                <w:rFonts w:ascii="Times New Roman" w:hAnsi="Times New Roman" w:cs="Times New Roman"/>
                <w:b/>
                <w:color w:val="000000"/>
                <w:sz w:val="14"/>
                <w:szCs w:val="14"/>
              </w:rPr>
            </w:pPr>
            <w:r w:rsidRPr="004B17C2">
              <w:rPr>
                <w:rFonts w:ascii="Times New Roman" w:hAnsi="Times New Roman" w:cs="Times New Roman"/>
                <w:b/>
                <w:color w:val="000000"/>
                <w:sz w:val="14"/>
                <w:szCs w:val="14"/>
              </w:rPr>
              <w:t>10 565 862</w:t>
            </w:r>
          </w:p>
        </w:tc>
        <w:tc>
          <w:tcPr>
            <w:tcW w:w="531" w:type="pct"/>
            <w:tcBorders>
              <w:top w:val="nil"/>
              <w:left w:val="nil"/>
              <w:bottom w:val="single" w:sz="4" w:space="0" w:color="auto"/>
              <w:right w:val="single" w:sz="4" w:space="0" w:color="auto"/>
            </w:tcBorders>
            <w:shd w:val="clear" w:color="auto" w:fill="BFBFBF" w:themeFill="background1" w:themeFillShade="BF"/>
            <w:vAlign w:val="center"/>
          </w:tcPr>
          <w:p w:rsidR="003A497B" w:rsidRPr="004B17C2" w:rsidRDefault="003A497B" w:rsidP="003E1809">
            <w:pPr>
              <w:jc w:val="right"/>
              <w:rPr>
                <w:rFonts w:ascii="Times New Roman" w:hAnsi="Times New Roman" w:cs="Times New Roman"/>
                <w:b/>
                <w:color w:val="000000"/>
                <w:sz w:val="14"/>
                <w:szCs w:val="14"/>
              </w:rPr>
            </w:pPr>
            <w:r w:rsidRPr="004B17C2">
              <w:rPr>
                <w:rFonts w:ascii="Times New Roman" w:hAnsi="Times New Roman" w:cs="Times New Roman"/>
                <w:b/>
                <w:color w:val="000000"/>
                <w:sz w:val="14"/>
                <w:szCs w:val="14"/>
              </w:rPr>
              <w:t>12 673 394</w:t>
            </w:r>
          </w:p>
        </w:tc>
        <w:tc>
          <w:tcPr>
            <w:tcW w:w="531" w:type="pct"/>
            <w:tcBorders>
              <w:top w:val="nil"/>
              <w:left w:val="nil"/>
              <w:bottom w:val="single" w:sz="4" w:space="0" w:color="auto"/>
              <w:right w:val="single" w:sz="4" w:space="0" w:color="auto"/>
            </w:tcBorders>
            <w:shd w:val="clear" w:color="auto" w:fill="BFBFBF" w:themeFill="background1" w:themeFillShade="BF"/>
            <w:vAlign w:val="center"/>
            <w:hideMark/>
          </w:tcPr>
          <w:p w:rsidR="003A497B" w:rsidRPr="004B17C2" w:rsidRDefault="003A497B" w:rsidP="003E1809">
            <w:pPr>
              <w:jc w:val="right"/>
              <w:rPr>
                <w:rFonts w:ascii="Times New Roman" w:hAnsi="Times New Roman" w:cs="Times New Roman"/>
                <w:b/>
                <w:color w:val="000000"/>
                <w:sz w:val="14"/>
                <w:szCs w:val="14"/>
                <w:highlight w:val="yellow"/>
              </w:rPr>
            </w:pPr>
            <w:r w:rsidRPr="004B17C2">
              <w:rPr>
                <w:rFonts w:ascii="Times New Roman" w:hAnsi="Times New Roman" w:cs="Times New Roman"/>
                <w:b/>
                <w:color w:val="000000"/>
                <w:sz w:val="14"/>
                <w:szCs w:val="14"/>
              </w:rPr>
              <w:t>15 363 940</w:t>
            </w:r>
          </w:p>
        </w:tc>
        <w:tc>
          <w:tcPr>
            <w:tcW w:w="531" w:type="pct"/>
            <w:tcBorders>
              <w:top w:val="nil"/>
              <w:left w:val="nil"/>
              <w:bottom w:val="single" w:sz="4" w:space="0" w:color="auto"/>
              <w:right w:val="single" w:sz="4" w:space="0" w:color="auto"/>
            </w:tcBorders>
            <w:shd w:val="clear" w:color="auto" w:fill="BFBFBF" w:themeFill="background1" w:themeFillShade="BF"/>
            <w:vAlign w:val="center"/>
          </w:tcPr>
          <w:p w:rsidR="003A497B" w:rsidRPr="000751E2" w:rsidRDefault="003A497B" w:rsidP="003E1809">
            <w:pPr>
              <w:jc w:val="right"/>
              <w:rPr>
                <w:rFonts w:ascii="Times New Roman" w:hAnsi="Times New Roman" w:cs="Times New Roman"/>
                <w:b/>
                <w:color w:val="000000"/>
                <w:sz w:val="14"/>
                <w:szCs w:val="14"/>
              </w:rPr>
            </w:pPr>
            <w:r>
              <w:rPr>
                <w:rFonts w:ascii="Times New Roman" w:hAnsi="Times New Roman" w:cs="Times New Roman"/>
                <w:b/>
                <w:color w:val="000000"/>
                <w:sz w:val="14"/>
                <w:szCs w:val="14"/>
              </w:rPr>
              <w:t>16 344 807</w:t>
            </w:r>
          </w:p>
        </w:tc>
        <w:tc>
          <w:tcPr>
            <w:tcW w:w="531" w:type="pct"/>
            <w:tcBorders>
              <w:top w:val="nil"/>
              <w:left w:val="nil"/>
              <w:bottom w:val="single" w:sz="4" w:space="0" w:color="auto"/>
              <w:right w:val="single" w:sz="4" w:space="0" w:color="auto"/>
            </w:tcBorders>
            <w:shd w:val="clear" w:color="auto" w:fill="BFBFBF" w:themeFill="background1" w:themeFillShade="BF"/>
            <w:vAlign w:val="center"/>
            <w:hideMark/>
          </w:tcPr>
          <w:p w:rsidR="003A497B" w:rsidRPr="004B17C2" w:rsidRDefault="003A497B" w:rsidP="003E1809">
            <w:pPr>
              <w:jc w:val="right"/>
              <w:rPr>
                <w:rFonts w:ascii="Times New Roman" w:hAnsi="Times New Roman" w:cs="Times New Roman"/>
                <w:b/>
                <w:color w:val="000000"/>
                <w:sz w:val="14"/>
                <w:szCs w:val="14"/>
                <w:highlight w:val="yellow"/>
              </w:rPr>
            </w:pPr>
            <w:r>
              <w:rPr>
                <w:rFonts w:ascii="Times New Roman" w:hAnsi="Times New Roman" w:cs="Times New Roman"/>
                <w:b/>
                <w:color w:val="000000"/>
                <w:sz w:val="14"/>
                <w:szCs w:val="14"/>
              </w:rPr>
              <w:t>19</w:t>
            </w:r>
            <w:r w:rsidRPr="004B17C2">
              <w:rPr>
                <w:rFonts w:ascii="Times New Roman" w:hAnsi="Times New Roman" w:cs="Times New Roman"/>
                <w:b/>
                <w:color w:val="000000"/>
                <w:sz w:val="14"/>
                <w:szCs w:val="14"/>
              </w:rPr>
              <w:t xml:space="preserve"> 023 400</w:t>
            </w:r>
          </w:p>
        </w:tc>
        <w:tc>
          <w:tcPr>
            <w:tcW w:w="531" w:type="pct"/>
            <w:tcBorders>
              <w:top w:val="nil"/>
              <w:left w:val="nil"/>
              <w:bottom w:val="single" w:sz="4" w:space="0" w:color="auto"/>
              <w:right w:val="single" w:sz="4" w:space="0" w:color="auto"/>
            </w:tcBorders>
            <w:shd w:val="clear" w:color="auto" w:fill="BFBFBF" w:themeFill="background1" w:themeFillShade="BF"/>
            <w:vAlign w:val="center"/>
            <w:hideMark/>
          </w:tcPr>
          <w:p w:rsidR="003A497B" w:rsidRPr="004B17C2" w:rsidRDefault="003A497B" w:rsidP="003E1809">
            <w:pPr>
              <w:jc w:val="right"/>
              <w:rPr>
                <w:rFonts w:ascii="Times New Roman" w:hAnsi="Times New Roman" w:cs="Times New Roman"/>
                <w:b/>
                <w:color w:val="000000"/>
                <w:sz w:val="14"/>
                <w:szCs w:val="14"/>
                <w:highlight w:val="yellow"/>
              </w:rPr>
            </w:pPr>
            <w:r w:rsidRPr="004B17C2">
              <w:rPr>
                <w:rFonts w:ascii="Times New Roman" w:hAnsi="Times New Roman" w:cs="Times New Roman"/>
                <w:b/>
                <w:color w:val="000000"/>
                <w:sz w:val="14"/>
                <w:szCs w:val="14"/>
              </w:rPr>
              <w:t>14 023 400</w:t>
            </w:r>
          </w:p>
        </w:tc>
        <w:tc>
          <w:tcPr>
            <w:tcW w:w="529" w:type="pct"/>
            <w:tcBorders>
              <w:top w:val="nil"/>
              <w:left w:val="nil"/>
              <w:bottom w:val="single" w:sz="4" w:space="0" w:color="auto"/>
              <w:right w:val="single" w:sz="4" w:space="0" w:color="auto"/>
            </w:tcBorders>
            <w:shd w:val="clear" w:color="auto" w:fill="BFBFBF" w:themeFill="background1" w:themeFillShade="BF"/>
            <w:vAlign w:val="center"/>
            <w:hideMark/>
          </w:tcPr>
          <w:p w:rsidR="003A497B" w:rsidRPr="004B17C2" w:rsidRDefault="003A497B" w:rsidP="003E1809">
            <w:pPr>
              <w:jc w:val="right"/>
              <w:rPr>
                <w:rFonts w:ascii="Times New Roman" w:hAnsi="Times New Roman" w:cs="Times New Roman"/>
                <w:b/>
                <w:color w:val="000000"/>
                <w:sz w:val="14"/>
                <w:szCs w:val="14"/>
                <w:highlight w:val="yellow"/>
              </w:rPr>
            </w:pPr>
            <w:r w:rsidRPr="004B17C2">
              <w:rPr>
                <w:rFonts w:ascii="Times New Roman" w:hAnsi="Times New Roman" w:cs="Times New Roman"/>
                <w:b/>
                <w:color w:val="000000"/>
                <w:sz w:val="14"/>
                <w:szCs w:val="14"/>
              </w:rPr>
              <w:t>14 023 400</w:t>
            </w:r>
          </w:p>
        </w:tc>
      </w:tr>
      <w:tr w:rsidR="003A497B" w:rsidRPr="00C22B35" w:rsidTr="003E1809">
        <w:trPr>
          <w:trHeight w:val="255"/>
        </w:trPr>
        <w:tc>
          <w:tcPr>
            <w:tcW w:w="1285" w:type="pct"/>
            <w:tcBorders>
              <w:top w:val="nil"/>
              <w:left w:val="single" w:sz="4" w:space="0" w:color="auto"/>
              <w:bottom w:val="single" w:sz="4" w:space="0" w:color="auto"/>
              <w:right w:val="single" w:sz="4" w:space="0" w:color="auto"/>
            </w:tcBorders>
            <w:shd w:val="clear" w:color="auto" w:fill="auto"/>
            <w:noWrap/>
            <w:vAlign w:val="center"/>
          </w:tcPr>
          <w:p w:rsidR="003A497B" w:rsidRPr="004B17C2" w:rsidRDefault="003A497B" w:rsidP="003E1809">
            <w:pPr>
              <w:rPr>
                <w:rFonts w:ascii="Times New Roman" w:hAnsi="Times New Roman" w:cs="Times New Roman"/>
                <w:b/>
                <w:color w:val="000000"/>
                <w:sz w:val="14"/>
                <w:szCs w:val="14"/>
              </w:rPr>
            </w:pPr>
            <w:r w:rsidRPr="004B17C2">
              <w:rPr>
                <w:rFonts w:ascii="Times New Roman" w:hAnsi="Times New Roman" w:cs="Times New Roman"/>
                <w:b/>
                <w:color w:val="000000"/>
                <w:sz w:val="14"/>
                <w:szCs w:val="14"/>
              </w:rPr>
              <w:t xml:space="preserve">rozpočtové zdroje kapitoly </w:t>
            </w:r>
          </w:p>
        </w:tc>
        <w:tc>
          <w:tcPr>
            <w:tcW w:w="531"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10 565 862</w:t>
            </w:r>
          </w:p>
        </w:tc>
        <w:tc>
          <w:tcPr>
            <w:tcW w:w="531"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12 553 394</w:t>
            </w:r>
          </w:p>
        </w:tc>
        <w:tc>
          <w:tcPr>
            <w:tcW w:w="531"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highlight w:val="yellow"/>
              </w:rPr>
            </w:pPr>
            <w:r w:rsidRPr="004B17C2">
              <w:rPr>
                <w:rFonts w:ascii="Times New Roman" w:hAnsi="Times New Roman" w:cs="Times New Roman"/>
                <w:color w:val="000000"/>
                <w:sz w:val="14"/>
                <w:szCs w:val="14"/>
              </w:rPr>
              <w:t>15 363 940</w:t>
            </w:r>
          </w:p>
        </w:tc>
        <w:tc>
          <w:tcPr>
            <w:tcW w:w="531" w:type="pct"/>
            <w:tcBorders>
              <w:top w:val="nil"/>
              <w:left w:val="nil"/>
              <w:bottom w:val="single" w:sz="4" w:space="0" w:color="auto"/>
              <w:right w:val="single" w:sz="4" w:space="0" w:color="auto"/>
            </w:tcBorders>
            <w:shd w:val="clear" w:color="auto" w:fill="auto"/>
            <w:noWrap/>
            <w:vAlign w:val="center"/>
          </w:tcPr>
          <w:p w:rsidR="003A497B" w:rsidRPr="000751E2"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16 344 807</w:t>
            </w:r>
          </w:p>
        </w:tc>
        <w:tc>
          <w:tcPr>
            <w:tcW w:w="531"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1</w:t>
            </w:r>
            <w:r>
              <w:rPr>
                <w:rFonts w:ascii="Times New Roman" w:hAnsi="Times New Roman" w:cs="Times New Roman"/>
                <w:color w:val="000000"/>
                <w:sz w:val="14"/>
                <w:szCs w:val="14"/>
              </w:rPr>
              <w:t>9</w:t>
            </w:r>
            <w:r w:rsidRPr="004B17C2">
              <w:rPr>
                <w:rFonts w:ascii="Times New Roman" w:hAnsi="Times New Roman" w:cs="Times New Roman"/>
                <w:color w:val="000000"/>
                <w:sz w:val="14"/>
                <w:szCs w:val="14"/>
              </w:rPr>
              <w:t> 023 400</w:t>
            </w:r>
          </w:p>
        </w:tc>
        <w:tc>
          <w:tcPr>
            <w:tcW w:w="531"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highlight w:val="yellow"/>
              </w:rPr>
            </w:pPr>
            <w:r w:rsidRPr="004B17C2">
              <w:rPr>
                <w:rFonts w:ascii="Times New Roman" w:hAnsi="Times New Roman" w:cs="Times New Roman"/>
                <w:color w:val="000000"/>
                <w:sz w:val="14"/>
                <w:szCs w:val="14"/>
              </w:rPr>
              <w:t>14 023 400</w:t>
            </w:r>
          </w:p>
        </w:tc>
        <w:tc>
          <w:tcPr>
            <w:tcW w:w="529"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highlight w:val="yellow"/>
              </w:rPr>
            </w:pPr>
            <w:r w:rsidRPr="004B17C2">
              <w:rPr>
                <w:rFonts w:ascii="Times New Roman" w:hAnsi="Times New Roman" w:cs="Times New Roman"/>
                <w:color w:val="000000"/>
                <w:sz w:val="14"/>
                <w:szCs w:val="14"/>
              </w:rPr>
              <w:t>14 023 400</w:t>
            </w:r>
          </w:p>
        </w:tc>
      </w:tr>
      <w:tr w:rsidR="003A497B" w:rsidRPr="00C22B35" w:rsidTr="003E1809">
        <w:trPr>
          <w:trHeight w:val="255"/>
        </w:trPr>
        <w:tc>
          <w:tcPr>
            <w:tcW w:w="1285" w:type="pct"/>
            <w:tcBorders>
              <w:top w:val="nil"/>
              <w:left w:val="single" w:sz="4" w:space="0" w:color="auto"/>
              <w:bottom w:val="single" w:sz="4" w:space="0" w:color="auto"/>
              <w:right w:val="single" w:sz="4" w:space="0" w:color="auto"/>
            </w:tcBorders>
            <w:shd w:val="clear" w:color="auto" w:fill="auto"/>
            <w:noWrap/>
            <w:vAlign w:val="center"/>
          </w:tcPr>
          <w:p w:rsidR="003A497B" w:rsidRPr="004B17C2" w:rsidRDefault="003A497B" w:rsidP="003E1809">
            <w:pPr>
              <w:rPr>
                <w:rFonts w:ascii="Times New Roman" w:hAnsi="Times New Roman" w:cs="Times New Roman"/>
                <w:color w:val="000000"/>
                <w:sz w:val="14"/>
                <w:szCs w:val="14"/>
              </w:rPr>
            </w:pPr>
            <w:r w:rsidRPr="004B17C2">
              <w:rPr>
                <w:rFonts w:ascii="Times New Roman" w:hAnsi="Times New Roman" w:cs="Times New Roman"/>
                <w:color w:val="000000"/>
                <w:sz w:val="14"/>
                <w:szCs w:val="14"/>
              </w:rPr>
              <w:t xml:space="preserve">    v tom: bežné výdavky  600</w:t>
            </w:r>
          </w:p>
        </w:tc>
        <w:tc>
          <w:tcPr>
            <w:tcW w:w="531"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10 558 049</w:t>
            </w:r>
          </w:p>
        </w:tc>
        <w:tc>
          <w:tcPr>
            <w:tcW w:w="531"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12 388 593</w:t>
            </w:r>
          </w:p>
        </w:tc>
        <w:tc>
          <w:tcPr>
            <w:tcW w:w="531"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highlight w:val="yellow"/>
              </w:rPr>
            </w:pPr>
            <w:r w:rsidRPr="004B17C2">
              <w:rPr>
                <w:rFonts w:ascii="Times New Roman" w:hAnsi="Times New Roman" w:cs="Times New Roman"/>
                <w:color w:val="000000"/>
                <w:sz w:val="14"/>
                <w:szCs w:val="14"/>
              </w:rPr>
              <w:t>12 313 940</w:t>
            </w:r>
          </w:p>
        </w:tc>
        <w:tc>
          <w:tcPr>
            <w:tcW w:w="531" w:type="pct"/>
            <w:tcBorders>
              <w:top w:val="nil"/>
              <w:left w:val="nil"/>
              <w:bottom w:val="single" w:sz="4" w:space="0" w:color="auto"/>
              <w:right w:val="single" w:sz="4" w:space="0" w:color="auto"/>
            </w:tcBorders>
            <w:shd w:val="clear" w:color="auto" w:fill="auto"/>
            <w:noWrap/>
            <w:vAlign w:val="center"/>
          </w:tcPr>
          <w:p w:rsidR="003A497B" w:rsidRPr="000751E2"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13 294 807</w:t>
            </w:r>
          </w:p>
        </w:tc>
        <w:tc>
          <w:tcPr>
            <w:tcW w:w="531"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12 973 400</w:t>
            </w:r>
          </w:p>
        </w:tc>
        <w:tc>
          <w:tcPr>
            <w:tcW w:w="531"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highlight w:val="yellow"/>
              </w:rPr>
            </w:pPr>
            <w:r w:rsidRPr="004B17C2">
              <w:rPr>
                <w:rFonts w:ascii="Times New Roman" w:hAnsi="Times New Roman" w:cs="Times New Roman"/>
                <w:color w:val="000000"/>
                <w:sz w:val="14"/>
                <w:szCs w:val="14"/>
              </w:rPr>
              <w:t>12 973 400</w:t>
            </w:r>
          </w:p>
        </w:tc>
        <w:tc>
          <w:tcPr>
            <w:tcW w:w="529"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highlight w:val="yellow"/>
              </w:rPr>
            </w:pPr>
            <w:r w:rsidRPr="004B17C2">
              <w:rPr>
                <w:rFonts w:ascii="Times New Roman" w:hAnsi="Times New Roman" w:cs="Times New Roman"/>
                <w:color w:val="000000"/>
                <w:sz w:val="14"/>
                <w:szCs w:val="14"/>
              </w:rPr>
              <w:t>12 973 400</w:t>
            </w:r>
          </w:p>
        </w:tc>
      </w:tr>
      <w:tr w:rsidR="003A497B" w:rsidRPr="00C22B35" w:rsidTr="003E1809">
        <w:trPr>
          <w:trHeight w:val="255"/>
        </w:trPr>
        <w:tc>
          <w:tcPr>
            <w:tcW w:w="1285" w:type="pct"/>
            <w:tcBorders>
              <w:top w:val="nil"/>
              <w:left w:val="single" w:sz="4" w:space="0" w:color="auto"/>
              <w:bottom w:val="single" w:sz="4" w:space="0" w:color="auto"/>
              <w:right w:val="single" w:sz="4" w:space="0" w:color="auto"/>
            </w:tcBorders>
            <w:shd w:val="clear" w:color="auto" w:fill="auto"/>
            <w:noWrap/>
            <w:vAlign w:val="center"/>
            <w:hideMark/>
          </w:tcPr>
          <w:p w:rsidR="003A497B" w:rsidRPr="004B17C2" w:rsidRDefault="003A497B" w:rsidP="003E1809">
            <w:pPr>
              <w:rPr>
                <w:rFonts w:ascii="Times New Roman" w:hAnsi="Times New Roman" w:cs="Times New Roman"/>
                <w:color w:val="000000"/>
                <w:sz w:val="14"/>
                <w:szCs w:val="14"/>
              </w:rPr>
            </w:pPr>
            <w:r w:rsidRPr="004B17C2">
              <w:rPr>
                <w:rFonts w:ascii="Times New Roman" w:hAnsi="Times New Roman" w:cs="Times New Roman"/>
                <w:color w:val="000000"/>
                <w:sz w:val="14"/>
                <w:szCs w:val="14"/>
              </w:rPr>
              <w:t xml:space="preserve">                              610 mzdy</w:t>
            </w:r>
          </w:p>
        </w:tc>
        <w:tc>
          <w:tcPr>
            <w:tcW w:w="531"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7 191 691</w:t>
            </w:r>
          </w:p>
        </w:tc>
        <w:tc>
          <w:tcPr>
            <w:tcW w:w="531"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8 110 956</w:t>
            </w:r>
          </w:p>
        </w:tc>
        <w:tc>
          <w:tcPr>
            <w:tcW w:w="531" w:type="pct"/>
            <w:tcBorders>
              <w:top w:val="nil"/>
              <w:left w:val="nil"/>
              <w:bottom w:val="single" w:sz="4" w:space="0" w:color="auto"/>
              <w:right w:val="single" w:sz="4" w:space="0" w:color="auto"/>
            </w:tcBorders>
            <w:shd w:val="clear" w:color="auto" w:fill="auto"/>
            <w:noWrap/>
            <w:vAlign w:val="center"/>
            <w:hideMark/>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8 537 550</w:t>
            </w:r>
          </w:p>
        </w:tc>
        <w:tc>
          <w:tcPr>
            <w:tcW w:w="531" w:type="pct"/>
            <w:tcBorders>
              <w:top w:val="nil"/>
              <w:left w:val="nil"/>
              <w:bottom w:val="single" w:sz="4" w:space="0" w:color="auto"/>
              <w:right w:val="single" w:sz="4" w:space="0" w:color="auto"/>
            </w:tcBorders>
            <w:shd w:val="clear" w:color="auto" w:fill="auto"/>
            <w:noWrap/>
            <w:vAlign w:val="center"/>
          </w:tcPr>
          <w:p w:rsidR="003A497B" w:rsidRPr="000751E2"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8 897 910</w:t>
            </w:r>
          </w:p>
        </w:tc>
        <w:tc>
          <w:tcPr>
            <w:tcW w:w="531" w:type="pct"/>
            <w:tcBorders>
              <w:top w:val="nil"/>
              <w:left w:val="nil"/>
              <w:bottom w:val="single" w:sz="4" w:space="0" w:color="auto"/>
              <w:right w:val="single" w:sz="4" w:space="0" w:color="auto"/>
            </w:tcBorders>
            <w:shd w:val="clear" w:color="auto" w:fill="auto"/>
            <w:noWrap/>
            <w:vAlign w:val="center"/>
            <w:hideMark/>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8 920 359</w:t>
            </w:r>
          </w:p>
        </w:tc>
        <w:tc>
          <w:tcPr>
            <w:tcW w:w="531" w:type="pct"/>
            <w:tcBorders>
              <w:top w:val="nil"/>
              <w:left w:val="nil"/>
              <w:bottom w:val="single" w:sz="4" w:space="0" w:color="auto"/>
              <w:right w:val="single" w:sz="4" w:space="0" w:color="auto"/>
            </w:tcBorders>
            <w:shd w:val="clear" w:color="auto" w:fill="auto"/>
            <w:noWrap/>
            <w:vAlign w:val="center"/>
            <w:hideMark/>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8 920 359</w:t>
            </w:r>
          </w:p>
        </w:tc>
        <w:tc>
          <w:tcPr>
            <w:tcW w:w="529" w:type="pct"/>
            <w:tcBorders>
              <w:top w:val="nil"/>
              <w:left w:val="nil"/>
              <w:bottom w:val="single" w:sz="4" w:space="0" w:color="auto"/>
              <w:right w:val="single" w:sz="4" w:space="0" w:color="auto"/>
            </w:tcBorders>
            <w:shd w:val="clear" w:color="auto" w:fill="auto"/>
            <w:noWrap/>
            <w:vAlign w:val="center"/>
            <w:hideMark/>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8 920 359</w:t>
            </w:r>
          </w:p>
        </w:tc>
      </w:tr>
      <w:tr w:rsidR="003A497B" w:rsidRPr="00C22B35" w:rsidTr="003E1809">
        <w:trPr>
          <w:trHeight w:val="255"/>
        </w:trPr>
        <w:tc>
          <w:tcPr>
            <w:tcW w:w="1285" w:type="pct"/>
            <w:tcBorders>
              <w:top w:val="nil"/>
              <w:left w:val="single" w:sz="4" w:space="0" w:color="auto"/>
              <w:bottom w:val="single" w:sz="4" w:space="0" w:color="auto"/>
              <w:right w:val="single" w:sz="4" w:space="0" w:color="auto"/>
            </w:tcBorders>
            <w:shd w:val="clear" w:color="auto" w:fill="auto"/>
            <w:noWrap/>
            <w:vAlign w:val="center"/>
            <w:hideMark/>
          </w:tcPr>
          <w:p w:rsidR="003A497B" w:rsidRPr="004B17C2" w:rsidRDefault="003A497B" w:rsidP="003E1809">
            <w:pPr>
              <w:rPr>
                <w:rFonts w:ascii="Times New Roman" w:hAnsi="Times New Roman" w:cs="Times New Roman"/>
                <w:color w:val="000000"/>
                <w:sz w:val="14"/>
                <w:szCs w:val="14"/>
              </w:rPr>
            </w:pPr>
            <w:r w:rsidRPr="004B17C2">
              <w:rPr>
                <w:rFonts w:ascii="Times New Roman" w:hAnsi="Times New Roman" w:cs="Times New Roman"/>
                <w:color w:val="000000"/>
                <w:sz w:val="14"/>
                <w:szCs w:val="14"/>
              </w:rPr>
              <w:t xml:space="preserve">                              620 odvody</w:t>
            </w:r>
          </w:p>
        </w:tc>
        <w:tc>
          <w:tcPr>
            <w:tcW w:w="531"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1 968 523</w:t>
            </w:r>
          </w:p>
        </w:tc>
        <w:tc>
          <w:tcPr>
            <w:tcW w:w="531"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2 536 994</w:t>
            </w:r>
          </w:p>
        </w:tc>
        <w:tc>
          <w:tcPr>
            <w:tcW w:w="531" w:type="pct"/>
            <w:tcBorders>
              <w:top w:val="nil"/>
              <w:left w:val="nil"/>
              <w:bottom w:val="single" w:sz="4" w:space="0" w:color="auto"/>
              <w:right w:val="single" w:sz="4" w:space="0" w:color="auto"/>
            </w:tcBorders>
            <w:shd w:val="clear" w:color="auto" w:fill="auto"/>
            <w:noWrap/>
            <w:vAlign w:val="center"/>
            <w:hideMark/>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2 680 138</w:t>
            </w:r>
          </w:p>
        </w:tc>
        <w:tc>
          <w:tcPr>
            <w:tcW w:w="531" w:type="pct"/>
            <w:tcBorders>
              <w:top w:val="nil"/>
              <w:left w:val="nil"/>
              <w:bottom w:val="single" w:sz="4" w:space="0" w:color="auto"/>
              <w:right w:val="single" w:sz="4" w:space="0" w:color="auto"/>
            </w:tcBorders>
            <w:shd w:val="clear" w:color="auto" w:fill="auto"/>
            <w:noWrap/>
            <w:vAlign w:val="center"/>
          </w:tcPr>
          <w:p w:rsidR="003A497B" w:rsidRPr="000751E2"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2 658 466</w:t>
            </w:r>
          </w:p>
        </w:tc>
        <w:tc>
          <w:tcPr>
            <w:tcW w:w="531" w:type="pct"/>
            <w:tcBorders>
              <w:top w:val="nil"/>
              <w:left w:val="nil"/>
              <w:bottom w:val="single" w:sz="4" w:space="0" w:color="auto"/>
              <w:right w:val="single" w:sz="4" w:space="0" w:color="auto"/>
            </w:tcBorders>
            <w:shd w:val="clear" w:color="auto" w:fill="auto"/>
            <w:noWrap/>
            <w:vAlign w:val="center"/>
            <w:hideMark/>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2 806 789</w:t>
            </w:r>
          </w:p>
        </w:tc>
        <w:tc>
          <w:tcPr>
            <w:tcW w:w="531" w:type="pct"/>
            <w:tcBorders>
              <w:top w:val="nil"/>
              <w:left w:val="nil"/>
              <w:bottom w:val="single" w:sz="4" w:space="0" w:color="auto"/>
              <w:right w:val="single" w:sz="4" w:space="0" w:color="auto"/>
            </w:tcBorders>
            <w:shd w:val="clear" w:color="auto" w:fill="auto"/>
            <w:noWrap/>
            <w:vAlign w:val="center"/>
            <w:hideMark/>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2 806 789</w:t>
            </w:r>
          </w:p>
        </w:tc>
        <w:tc>
          <w:tcPr>
            <w:tcW w:w="529" w:type="pct"/>
            <w:tcBorders>
              <w:top w:val="nil"/>
              <w:left w:val="nil"/>
              <w:bottom w:val="single" w:sz="4" w:space="0" w:color="auto"/>
              <w:right w:val="single" w:sz="4" w:space="0" w:color="auto"/>
            </w:tcBorders>
            <w:shd w:val="clear" w:color="auto" w:fill="auto"/>
            <w:noWrap/>
            <w:vAlign w:val="center"/>
            <w:hideMark/>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2 806 789</w:t>
            </w:r>
          </w:p>
        </w:tc>
      </w:tr>
      <w:tr w:rsidR="003A497B" w:rsidRPr="00C22B35" w:rsidTr="003E1809">
        <w:trPr>
          <w:trHeight w:val="255"/>
        </w:trPr>
        <w:tc>
          <w:tcPr>
            <w:tcW w:w="1285" w:type="pct"/>
            <w:tcBorders>
              <w:top w:val="nil"/>
              <w:left w:val="single" w:sz="4" w:space="0" w:color="auto"/>
              <w:bottom w:val="single" w:sz="4" w:space="0" w:color="auto"/>
              <w:right w:val="single" w:sz="4" w:space="0" w:color="auto"/>
            </w:tcBorders>
            <w:shd w:val="clear" w:color="auto" w:fill="auto"/>
            <w:noWrap/>
            <w:vAlign w:val="center"/>
            <w:hideMark/>
          </w:tcPr>
          <w:p w:rsidR="003A497B" w:rsidRPr="004B17C2" w:rsidRDefault="003A497B" w:rsidP="003E1809">
            <w:pPr>
              <w:rPr>
                <w:rFonts w:ascii="Times New Roman" w:hAnsi="Times New Roman" w:cs="Times New Roman"/>
                <w:color w:val="000000"/>
                <w:sz w:val="14"/>
                <w:szCs w:val="14"/>
              </w:rPr>
            </w:pPr>
            <w:r w:rsidRPr="004B17C2">
              <w:rPr>
                <w:rFonts w:ascii="Times New Roman" w:hAnsi="Times New Roman" w:cs="Times New Roman"/>
                <w:color w:val="000000"/>
                <w:sz w:val="14"/>
                <w:szCs w:val="14"/>
              </w:rPr>
              <w:t xml:space="preserve">                              630 tovary a služby</w:t>
            </w:r>
          </w:p>
        </w:tc>
        <w:tc>
          <w:tcPr>
            <w:tcW w:w="531"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1 124 249</w:t>
            </w:r>
          </w:p>
        </w:tc>
        <w:tc>
          <w:tcPr>
            <w:tcW w:w="531"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1 571 906</w:t>
            </w:r>
          </w:p>
        </w:tc>
        <w:tc>
          <w:tcPr>
            <w:tcW w:w="531" w:type="pct"/>
            <w:tcBorders>
              <w:top w:val="nil"/>
              <w:left w:val="nil"/>
              <w:bottom w:val="single" w:sz="4" w:space="0" w:color="auto"/>
              <w:right w:val="single" w:sz="4" w:space="0" w:color="auto"/>
            </w:tcBorders>
            <w:shd w:val="clear" w:color="auto" w:fill="auto"/>
            <w:noWrap/>
            <w:vAlign w:val="center"/>
            <w:hideMark/>
          </w:tcPr>
          <w:p w:rsidR="003A497B" w:rsidRPr="004B17C2" w:rsidRDefault="003A497B" w:rsidP="003E1809">
            <w:pPr>
              <w:jc w:val="right"/>
              <w:rPr>
                <w:rFonts w:ascii="Times New Roman" w:hAnsi="Times New Roman" w:cs="Times New Roman"/>
                <w:color w:val="000000"/>
                <w:sz w:val="14"/>
                <w:szCs w:val="14"/>
                <w:highlight w:val="yellow"/>
              </w:rPr>
            </w:pPr>
            <w:r w:rsidRPr="004B17C2">
              <w:rPr>
                <w:rFonts w:ascii="Times New Roman" w:hAnsi="Times New Roman" w:cs="Times New Roman"/>
                <w:color w:val="000000"/>
                <w:sz w:val="14"/>
                <w:szCs w:val="14"/>
              </w:rPr>
              <w:t>1 047 795</w:t>
            </w:r>
          </w:p>
        </w:tc>
        <w:tc>
          <w:tcPr>
            <w:tcW w:w="531" w:type="pct"/>
            <w:tcBorders>
              <w:top w:val="nil"/>
              <w:left w:val="nil"/>
              <w:bottom w:val="single" w:sz="4" w:space="0" w:color="auto"/>
              <w:right w:val="single" w:sz="4" w:space="0" w:color="auto"/>
            </w:tcBorders>
            <w:shd w:val="clear" w:color="auto" w:fill="auto"/>
            <w:noWrap/>
            <w:vAlign w:val="center"/>
          </w:tcPr>
          <w:p w:rsidR="003A497B" w:rsidRPr="000751E2"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1 634 165</w:t>
            </w:r>
          </w:p>
        </w:tc>
        <w:tc>
          <w:tcPr>
            <w:tcW w:w="531" w:type="pct"/>
            <w:tcBorders>
              <w:top w:val="nil"/>
              <w:left w:val="nil"/>
              <w:bottom w:val="single" w:sz="4" w:space="0" w:color="auto"/>
              <w:right w:val="single" w:sz="4" w:space="0" w:color="auto"/>
            </w:tcBorders>
            <w:shd w:val="clear" w:color="auto" w:fill="auto"/>
            <w:noWrap/>
            <w:vAlign w:val="center"/>
            <w:hideMark/>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1 197 795</w:t>
            </w:r>
          </w:p>
        </w:tc>
        <w:tc>
          <w:tcPr>
            <w:tcW w:w="531" w:type="pct"/>
            <w:tcBorders>
              <w:top w:val="nil"/>
              <w:left w:val="nil"/>
              <w:bottom w:val="single" w:sz="4" w:space="0" w:color="auto"/>
              <w:right w:val="single" w:sz="4" w:space="0" w:color="auto"/>
            </w:tcBorders>
            <w:shd w:val="clear" w:color="auto" w:fill="auto"/>
            <w:noWrap/>
            <w:vAlign w:val="center"/>
            <w:hideMark/>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1 197 795</w:t>
            </w:r>
          </w:p>
        </w:tc>
        <w:tc>
          <w:tcPr>
            <w:tcW w:w="529" w:type="pct"/>
            <w:tcBorders>
              <w:top w:val="nil"/>
              <w:left w:val="nil"/>
              <w:bottom w:val="single" w:sz="4" w:space="0" w:color="auto"/>
              <w:right w:val="single" w:sz="4" w:space="0" w:color="auto"/>
            </w:tcBorders>
            <w:shd w:val="clear" w:color="auto" w:fill="auto"/>
            <w:noWrap/>
            <w:vAlign w:val="center"/>
            <w:hideMark/>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1 197 795</w:t>
            </w:r>
          </w:p>
        </w:tc>
      </w:tr>
      <w:tr w:rsidR="003A497B" w:rsidRPr="00C22B35" w:rsidTr="003E1809">
        <w:trPr>
          <w:trHeight w:val="255"/>
        </w:trPr>
        <w:tc>
          <w:tcPr>
            <w:tcW w:w="1285" w:type="pct"/>
            <w:tcBorders>
              <w:top w:val="nil"/>
              <w:left w:val="single" w:sz="4" w:space="0" w:color="auto"/>
              <w:bottom w:val="single" w:sz="4" w:space="0" w:color="auto"/>
              <w:right w:val="single" w:sz="4" w:space="0" w:color="auto"/>
            </w:tcBorders>
            <w:shd w:val="clear" w:color="auto" w:fill="auto"/>
            <w:noWrap/>
            <w:vAlign w:val="center"/>
            <w:hideMark/>
          </w:tcPr>
          <w:p w:rsidR="003A497B" w:rsidRPr="004B17C2" w:rsidRDefault="003A497B" w:rsidP="003E1809">
            <w:pPr>
              <w:rPr>
                <w:rFonts w:ascii="Times New Roman" w:hAnsi="Times New Roman" w:cs="Times New Roman"/>
                <w:color w:val="000000"/>
                <w:sz w:val="14"/>
                <w:szCs w:val="14"/>
              </w:rPr>
            </w:pPr>
            <w:r w:rsidRPr="004B17C2">
              <w:rPr>
                <w:rFonts w:ascii="Times New Roman" w:hAnsi="Times New Roman" w:cs="Times New Roman"/>
                <w:color w:val="000000"/>
                <w:sz w:val="14"/>
                <w:szCs w:val="14"/>
              </w:rPr>
              <w:t xml:space="preserve">                              640 bežné transfery</w:t>
            </w:r>
          </w:p>
        </w:tc>
        <w:tc>
          <w:tcPr>
            <w:tcW w:w="531"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273 587</w:t>
            </w:r>
          </w:p>
        </w:tc>
        <w:tc>
          <w:tcPr>
            <w:tcW w:w="531"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168 738</w:t>
            </w:r>
          </w:p>
        </w:tc>
        <w:tc>
          <w:tcPr>
            <w:tcW w:w="531" w:type="pct"/>
            <w:tcBorders>
              <w:top w:val="nil"/>
              <w:left w:val="nil"/>
              <w:bottom w:val="single" w:sz="4" w:space="0" w:color="auto"/>
              <w:right w:val="single" w:sz="4" w:space="0" w:color="auto"/>
            </w:tcBorders>
            <w:shd w:val="clear" w:color="auto" w:fill="auto"/>
            <w:noWrap/>
            <w:vAlign w:val="center"/>
            <w:hideMark/>
          </w:tcPr>
          <w:p w:rsidR="003A497B" w:rsidRPr="004B17C2" w:rsidRDefault="003A497B" w:rsidP="003E1809">
            <w:pPr>
              <w:jc w:val="right"/>
              <w:rPr>
                <w:rFonts w:ascii="Times New Roman" w:hAnsi="Times New Roman" w:cs="Times New Roman"/>
                <w:color w:val="000000"/>
                <w:sz w:val="14"/>
                <w:szCs w:val="14"/>
                <w:highlight w:val="yellow"/>
              </w:rPr>
            </w:pPr>
            <w:r w:rsidRPr="004B17C2">
              <w:rPr>
                <w:rFonts w:ascii="Times New Roman" w:hAnsi="Times New Roman" w:cs="Times New Roman"/>
                <w:color w:val="000000"/>
                <w:sz w:val="14"/>
                <w:szCs w:val="14"/>
              </w:rPr>
              <w:t>48 457</w:t>
            </w:r>
          </w:p>
        </w:tc>
        <w:tc>
          <w:tcPr>
            <w:tcW w:w="531" w:type="pct"/>
            <w:tcBorders>
              <w:top w:val="nil"/>
              <w:left w:val="nil"/>
              <w:bottom w:val="single" w:sz="4" w:space="0" w:color="auto"/>
              <w:right w:val="single" w:sz="4" w:space="0" w:color="auto"/>
            </w:tcBorders>
            <w:shd w:val="clear" w:color="auto" w:fill="auto"/>
            <w:noWrap/>
            <w:vAlign w:val="center"/>
          </w:tcPr>
          <w:p w:rsidR="003A497B" w:rsidRPr="000751E2"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104 266</w:t>
            </w:r>
          </w:p>
        </w:tc>
        <w:tc>
          <w:tcPr>
            <w:tcW w:w="531" w:type="pct"/>
            <w:tcBorders>
              <w:top w:val="nil"/>
              <w:left w:val="nil"/>
              <w:bottom w:val="single" w:sz="4" w:space="0" w:color="auto"/>
              <w:right w:val="single" w:sz="4" w:space="0" w:color="auto"/>
            </w:tcBorders>
            <w:shd w:val="clear" w:color="auto" w:fill="auto"/>
            <w:noWrap/>
            <w:vAlign w:val="center"/>
            <w:hideMark/>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48 457</w:t>
            </w:r>
          </w:p>
        </w:tc>
        <w:tc>
          <w:tcPr>
            <w:tcW w:w="531" w:type="pct"/>
            <w:tcBorders>
              <w:top w:val="nil"/>
              <w:left w:val="nil"/>
              <w:bottom w:val="single" w:sz="4" w:space="0" w:color="auto"/>
              <w:right w:val="single" w:sz="4" w:space="0" w:color="auto"/>
            </w:tcBorders>
            <w:shd w:val="clear" w:color="auto" w:fill="auto"/>
            <w:noWrap/>
            <w:vAlign w:val="center"/>
            <w:hideMark/>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48 457</w:t>
            </w:r>
          </w:p>
        </w:tc>
        <w:tc>
          <w:tcPr>
            <w:tcW w:w="529" w:type="pct"/>
            <w:tcBorders>
              <w:top w:val="nil"/>
              <w:left w:val="nil"/>
              <w:bottom w:val="single" w:sz="4" w:space="0" w:color="auto"/>
              <w:right w:val="single" w:sz="4" w:space="0" w:color="auto"/>
            </w:tcBorders>
            <w:shd w:val="clear" w:color="auto" w:fill="auto"/>
            <w:noWrap/>
            <w:vAlign w:val="center"/>
            <w:hideMark/>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48 457</w:t>
            </w:r>
          </w:p>
        </w:tc>
      </w:tr>
      <w:tr w:rsidR="003A497B" w:rsidRPr="00C22B35" w:rsidTr="003E1809">
        <w:trPr>
          <w:trHeight w:val="255"/>
        </w:trPr>
        <w:tc>
          <w:tcPr>
            <w:tcW w:w="1285" w:type="pct"/>
            <w:tcBorders>
              <w:top w:val="nil"/>
              <w:left w:val="single" w:sz="4" w:space="0" w:color="auto"/>
              <w:bottom w:val="single" w:sz="4" w:space="0" w:color="auto"/>
              <w:right w:val="single" w:sz="4" w:space="0" w:color="auto"/>
            </w:tcBorders>
            <w:shd w:val="clear" w:color="auto" w:fill="auto"/>
            <w:noWrap/>
            <w:vAlign w:val="center"/>
            <w:hideMark/>
          </w:tcPr>
          <w:p w:rsidR="003A497B" w:rsidRPr="004B17C2" w:rsidRDefault="003A497B" w:rsidP="003E1809">
            <w:pPr>
              <w:rPr>
                <w:rFonts w:ascii="Times New Roman" w:hAnsi="Times New Roman" w:cs="Times New Roman"/>
                <w:color w:val="000000"/>
                <w:sz w:val="14"/>
                <w:szCs w:val="14"/>
              </w:rPr>
            </w:pPr>
            <w:r w:rsidRPr="004B17C2">
              <w:rPr>
                <w:rFonts w:ascii="Times New Roman" w:hAnsi="Times New Roman" w:cs="Times New Roman"/>
                <w:color w:val="000000"/>
                <w:sz w:val="14"/>
                <w:szCs w:val="14"/>
              </w:rPr>
              <w:t xml:space="preserve">               kapitálové výdavky 700</w:t>
            </w:r>
          </w:p>
        </w:tc>
        <w:tc>
          <w:tcPr>
            <w:tcW w:w="531"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7 813</w:t>
            </w:r>
          </w:p>
        </w:tc>
        <w:tc>
          <w:tcPr>
            <w:tcW w:w="531" w:type="pct"/>
            <w:tcBorders>
              <w:top w:val="nil"/>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164 801</w:t>
            </w:r>
          </w:p>
        </w:tc>
        <w:tc>
          <w:tcPr>
            <w:tcW w:w="531" w:type="pct"/>
            <w:tcBorders>
              <w:top w:val="nil"/>
              <w:left w:val="nil"/>
              <w:bottom w:val="single" w:sz="4" w:space="0" w:color="auto"/>
              <w:right w:val="single" w:sz="4" w:space="0" w:color="auto"/>
            </w:tcBorders>
            <w:shd w:val="clear" w:color="auto" w:fill="auto"/>
            <w:noWrap/>
            <w:vAlign w:val="center"/>
            <w:hideMark/>
          </w:tcPr>
          <w:p w:rsidR="003A497B" w:rsidRPr="004B17C2" w:rsidRDefault="003A497B" w:rsidP="003E1809">
            <w:pPr>
              <w:jc w:val="right"/>
              <w:rPr>
                <w:rFonts w:ascii="Times New Roman" w:hAnsi="Times New Roman" w:cs="Times New Roman"/>
                <w:color w:val="000000"/>
                <w:sz w:val="14"/>
                <w:szCs w:val="14"/>
                <w:highlight w:val="yellow"/>
              </w:rPr>
            </w:pPr>
            <w:r w:rsidRPr="004B17C2">
              <w:rPr>
                <w:rFonts w:ascii="Times New Roman" w:hAnsi="Times New Roman" w:cs="Times New Roman"/>
                <w:color w:val="000000"/>
                <w:sz w:val="14"/>
                <w:szCs w:val="14"/>
              </w:rPr>
              <w:t>3 050 000</w:t>
            </w:r>
          </w:p>
        </w:tc>
        <w:tc>
          <w:tcPr>
            <w:tcW w:w="531" w:type="pct"/>
            <w:tcBorders>
              <w:top w:val="nil"/>
              <w:left w:val="nil"/>
              <w:bottom w:val="single" w:sz="4" w:space="0" w:color="auto"/>
              <w:right w:val="single" w:sz="4" w:space="0" w:color="auto"/>
            </w:tcBorders>
            <w:shd w:val="clear" w:color="auto" w:fill="auto"/>
            <w:noWrap/>
            <w:vAlign w:val="center"/>
          </w:tcPr>
          <w:p w:rsidR="003A497B" w:rsidRPr="000751E2"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3 050 000</w:t>
            </w:r>
          </w:p>
        </w:tc>
        <w:tc>
          <w:tcPr>
            <w:tcW w:w="531" w:type="pct"/>
            <w:tcBorders>
              <w:top w:val="nil"/>
              <w:left w:val="nil"/>
              <w:bottom w:val="single" w:sz="4" w:space="0" w:color="auto"/>
              <w:right w:val="single" w:sz="4" w:space="0" w:color="auto"/>
            </w:tcBorders>
            <w:shd w:val="clear" w:color="auto" w:fill="auto"/>
            <w:noWrap/>
            <w:vAlign w:val="center"/>
            <w:hideMark/>
          </w:tcPr>
          <w:p w:rsidR="003A497B" w:rsidRPr="004B17C2"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6</w:t>
            </w:r>
            <w:r w:rsidRPr="004B17C2">
              <w:rPr>
                <w:rFonts w:ascii="Times New Roman" w:hAnsi="Times New Roman" w:cs="Times New Roman"/>
                <w:color w:val="000000"/>
                <w:sz w:val="14"/>
                <w:szCs w:val="14"/>
              </w:rPr>
              <w:t> 050 000</w:t>
            </w:r>
          </w:p>
        </w:tc>
        <w:tc>
          <w:tcPr>
            <w:tcW w:w="531" w:type="pct"/>
            <w:tcBorders>
              <w:top w:val="nil"/>
              <w:left w:val="nil"/>
              <w:bottom w:val="single" w:sz="4" w:space="0" w:color="auto"/>
              <w:right w:val="single" w:sz="4" w:space="0" w:color="auto"/>
            </w:tcBorders>
            <w:shd w:val="clear" w:color="auto" w:fill="auto"/>
            <w:noWrap/>
            <w:vAlign w:val="center"/>
            <w:hideMark/>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1 050 000</w:t>
            </w:r>
          </w:p>
        </w:tc>
        <w:tc>
          <w:tcPr>
            <w:tcW w:w="529" w:type="pct"/>
            <w:tcBorders>
              <w:top w:val="nil"/>
              <w:left w:val="nil"/>
              <w:bottom w:val="single" w:sz="4" w:space="0" w:color="auto"/>
              <w:right w:val="single" w:sz="4" w:space="0" w:color="auto"/>
            </w:tcBorders>
            <w:shd w:val="clear" w:color="auto" w:fill="auto"/>
            <w:noWrap/>
            <w:vAlign w:val="center"/>
            <w:hideMark/>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1 050 000</w:t>
            </w:r>
          </w:p>
        </w:tc>
      </w:tr>
      <w:tr w:rsidR="003A497B" w:rsidRPr="00C22B35" w:rsidTr="003E1809">
        <w:trPr>
          <w:trHeight w:val="255"/>
        </w:trPr>
        <w:tc>
          <w:tcPr>
            <w:tcW w:w="12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497B" w:rsidRPr="004B17C2" w:rsidRDefault="003A497B" w:rsidP="003E1809">
            <w:pPr>
              <w:rPr>
                <w:rFonts w:ascii="Times New Roman" w:hAnsi="Times New Roman" w:cs="Times New Roman"/>
                <w:b/>
                <w:color w:val="000000"/>
                <w:sz w:val="14"/>
                <w:szCs w:val="14"/>
              </w:rPr>
            </w:pPr>
            <w:r w:rsidRPr="004B17C2">
              <w:rPr>
                <w:rFonts w:ascii="Times New Roman" w:hAnsi="Times New Roman" w:cs="Times New Roman"/>
                <w:b/>
                <w:color w:val="000000"/>
                <w:sz w:val="14"/>
                <w:szCs w:val="14"/>
              </w:rPr>
              <w:t>presun z minulých rokov § 8 ŠR</w:t>
            </w:r>
          </w:p>
        </w:tc>
        <w:tc>
          <w:tcPr>
            <w:tcW w:w="531" w:type="pct"/>
            <w:tcBorders>
              <w:top w:val="single" w:sz="4" w:space="0" w:color="auto"/>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p>
        </w:tc>
        <w:tc>
          <w:tcPr>
            <w:tcW w:w="531" w:type="pct"/>
            <w:tcBorders>
              <w:top w:val="single" w:sz="4" w:space="0" w:color="auto"/>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r w:rsidRPr="004B17C2">
              <w:rPr>
                <w:rFonts w:ascii="Times New Roman" w:hAnsi="Times New Roman" w:cs="Times New Roman"/>
                <w:color w:val="000000"/>
                <w:sz w:val="14"/>
                <w:szCs w:val="14"/>
              </w:rPr>
              <w:t>120 000</w:t>
            </w:r>
          </w:p>
        </w:tc>
        <w:tc>
          <w:tcPr>
            <w:tcW w:w="531" w:type="pct"/>
            <w:tcBorders>
              <w:top w:val="single" w:sz="4" w:space="0" w:color="auto"/>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p>
        </w:tc>
        <w:tc>
          <w:tcPr>
            <w:tcW w:w="531" w:type="pct"/>
            <w:tcBorders>
              <w:top w:val="single" w:sz="4" w:space="0" w:color="auto"/>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p>
        </w:tc>
        <w:tc>
          <w:tcPr>
            <w:tcW w:w="531" w:type="pct"/>
            <w:tcBorders>
              <w:top w:val="single" w:sz="4" w:space="0" w:color="auto"/>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p>
        </w:tc>
        <w:tc>
          <w:tcPr>
            <w:tcW w:w="531" w:type="pct"/>
            <w:tcBorders>
              <w:top w:val="single" w:sz="4" w:space="0" w:color="auto"/>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p>
        </w:tc>
        <w:tc>
          <w:tcPr>
            <w:tcW w:w="529" w:type="pct"/>
            <w:tcBorders>
              <w:top w:val="single" w:sz="4" w:space="0" w:color="auto"/>
              <w:left w:val="nil"/>
              <w:bottom w:val="single" w:sz="4" w:space="0" w:color="auto"/>
              <w:right w:val="single" w:sz="4" w:space="0" w:color="auto"/>
            </w:tcBorders>
            <w:shd w:val="clear" w:color="auto" w:fill="auto"/>
            <w:noWrap/>
            <w:vAlign w:val="center"/>
          </w:tcPr>
          <w:p w:rsidR="003A497B" w:rsidRPr="004B17C2" w:rsidRDefault="003A497B" w:rsidP="003E1809">
            <w:pPr>
              <w:jc w:val="right"/>
              <w:rPr>
                <w:rFonts w:ascii="Times New Roman" w:hAnsi="Times New Roman" w:cs="Times New Roman"/>
                <w:color w:val="000000"/>
                <w:sz w:val="14"/>
                <w:szCs w:val="14"/>
              </w:rPr>
            </w:pPr>
          </w:p>
        </w:tc>
      </w:tr>
    </w:tbl>
    <w:p w:rsidR="003A497B" w:rsidRDefault="003A497B" w:rsidP="003A497B">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0"/>
        <w:gridCol w:w="963"/>
        <w:gridCol w:w="962"/>
        <w:gridCol w:w="962"/>
        <w:gridCol w:w="962"/>
        <w:gridCol w:w="962"/>
        <w:gridCol w:w="962"/>
        <w:gridCol w:w="959"/>
      </w:tblGrid>
      <w:tr w:rsidR="003A497B" w:rsidRPr="004C4D1E" w:rsidTr="003E1809">
        <w:trPr>
          <w:trHeight w:val="255"/>
        </w:trPr>
        <w:tc>
          <w:tcPr>
            <w:tcW w:w="1285" w:type="pct"/>
            <w:shd w:val="clear" w:color="auto" w:fill="auto"/>
            <w:noWrap/>
            <w:vAlign w:val="center"/>
            <w:hideMark/>
          </w:tcPr>
          <w:p w:rsidR="003A497B" w:rsidRPr="004C4D1E" w:rsidRDefault="003A497B" w:rsidP="003E1809">
            <w:pPr>
              <w:rPr>
                <w:rFonts w:ascii="Times New Roman" w:hAnsi="Times New Roman" w:cs="Times New Roman"/>
                <w:b/>
                <w:color w:val="000000"/>
                <w:sz w:val="14"/>
                <w:szCs w:val="14"/>
              </w:rPr>
            </w:pPr>
            <w:r w:rsidRPr="004C4D1E">
              <w:rPr>
                <w:rFonts w:ascii="Times New Roman" w:hAnsi="Times New Roman" w:cs="Times New Roman"/>
                <w:b/>
                <w:color w:val="000000"/>
                <w:sz w:val="14"/>
                <w:szCs w:val="14"/>
              </w:rPr>
              <w:t>Samostatné účty</w:t>
            </w:r>
          </w:p>
        </w:tc>
        <w:tc>
          <w:tcPr>
            <w:tcW w:w="531" w:type="pct"/>
            <w:shd w:val="clear" w:color="auto" w:fill="auto"/>
            <w:noWrap/>
            <w:vAlign w:val="center"/>
          </w:tcPr>
          <w:p w:rsidR="003A497B" w:rsidRPr="004C4D1E" w:rsidRDefault="003A497B" w:rsidP="003E1809">
            <w:pPr>
              <w:jc w:val="right"/>
              <w:rPr>
                <w:rFonts w:ascii="Times New Roman" w:hAnsi="Times New Roman" w:cs="Times New Roman"/>
                <w:b/>
                <w:color w:val="000000"/>
                <w:sz w:val="14"/>
                <w:szCs w:val="14"/>
              </w:rPr>
            </w:pPr>
            <w:r>
              <w:rPr>
                <w:rFonts w:ascii="Times New Roman" w:hAnsi="Times New Roman" w:cs="Times New Roman"/>
                <w:b/>
                <w:color w:val="000000"/>
                <w:sz w:val="14"/>
                <w:szCs w:val="14"/>
              </w:rPr>
              <w:t>110 064</w:t>
            </w:r>
          </w:p>
        </w:tc>
        <w:tc>
          <w:tcPr>
            <w:tcW w:w="531" w:type="pct"/>
            <w:shd w:val="clear" w:color="auto" w:fill="auto"/>
            <w:noWrap/>
            <w:vAlign w:val="center"/>
          </w:tcPr>
          <w:p w:rsidR="003A497B" w:rsidRPr="004C4D1E" w:rsidRDefault="003A497B" w:rsidP="003E1809">
            <w:pPr>
              <w:jc w:val="right"/>
              <w:rPr>
                <w:rFonts w:ascii="Times New Roman" w:hAnsi="Times New Roman" w:cs="Times New Roman"/>
                <w:b/>
                <w:color w:val="000000"/>
                <w:sz w:val="14"/>
                <w:szCs w:val="14"/>
              </w:rPr>
            </w:pPr>
            <w:r>
              <w:rPr>
                <w:rFonts w:ascii="Times New Roman" w:hAnsi="Times New Roman" w:cs="Times New Roman"/>
                <w:b/>
                <w:color w:val="000000"/>
                <w:sz w:val="14"/>
                <w:szCs w:val="14"/>
              </w:rPr>
              <w:t>0</w:t>
            </w:r>
          </w:p>
        </w:tc>
        <w:tc>
          <w:tcPr>
            <w:tcW w:w="531" w:type="pct"/>
            <w:shd w:val="clear" w:color="auto" w:fill="auto"/>
            <w:noWrap/>
            <w:vAlign w:val="center"/>
            <w:hideMark/>
          </w:tcPr>
          <w:p w:rsidR="003A497B" w:rsidRPr="004C4D1E" w:rsidRDefault="003A497B" w:rsidP="003E1809">
            <w:pPr>
              <w:jc w:val="right"/>
              <w:rPr>
                <w:rFonts w:ascii="Times New Roman" w:hAnsi="Times New Roman" w:cs="Times New Roman"/>
                <w:b/>
                <w:color w:val="000000"/>
                <w:sz w:val="14"/>
                <w:szCs w:val="14"/>
              </w:rPr>
            </w:pPr>
            <w:r>
              <w:rPr>
                <w:rFonts w:ascii="Times New Roman" w:hAnsi="Times New Roman" w:cs="Times New Roman"/>
                <w:b/>
                <w:color w:val="000000"/>
                <w:sz w:val="14"/>
                <w:szCs w:val="14"/>
              </w:rPr>
              <w:t>0</w:t>
            </w:r>
          </w:p>
        </w:tc>
        <w:tc>
          <w:tcPr>
            <w:tcW w:w="531" w:type="pct"/>
            <w:shd w:val="clear" w:color="auto" w:fill="auto"/>
            <w:noWrap/>
            <w:vAlign w:val="center"/>
            <w:hideMark/>
          </w:tcPr>
          <w:p w:rsidR="003A497B" w:rsidRPr="004C4D1E" w:rsidRDefault="003A497B" w:rsidP="003E1809">
            <w:pPr>
              <w:jc w:val="right"/>
              <w:rPr>
                <w:rFonts w:ascii="Times New Roman" w:hAnsi="Times New Roman" w:cs="Times New Roman"/>
                <w:b/>
                <w:color w:val="000000"/>
                <w:sz w:val="14"/>
                <w:szCs w:val="14"/>
              </w:rPr>
            </w:pPr>
            <w:r>
              <w:rPr>
                <w:rFonts w:ascii="Times New Roman" w:hAnsi="Times New Roman" w:cs="Times New Roman"/>
                <w:b/>
                <w:color w:val="000000"/>
                <w:sz w:val="14"/>
                <w:szCs w:val="14"/>
              </w:rPr>
              <w:t>0</w:t>
            </w:r>
          </w:p>
        </w:tc>
        <w:tc>
          <w:tcPr>
            <w:tcW w:w="531" w:type="pct"/>
            <w:shd w:val="clear" w:color="auto" w:fill="auto"/>
            <w:noWrap/>
            <w:vAlign w:val="center"/>
            <w:hideMark/>
          </w:tcPr>
          <w:p w:rsidR="003A497B" w:rsidRPr="004C4D1E" w:rsidRDefault="003A497B" w:rsidP="003E1809">
            <w:pPr>
              <w:jc w:val="right"/>
              <w:rPr>
                <w:rFonts w:ascii="Times New Roman" w:hAnsi="Times New Roman" w:cs="Times New Roman"/>
                <w:b/>
                <w:color w:val="000000"/>
                <w:sz w:val="14"/>
                <w:szCs w:val="14"/>
              </w:rPr>
            </w:pPr>
            <w:r>
              <w:rPr>
                <w:rFonts w:ascii="Times New Roman" w:hAnsi="Times New Roman" w:cs="Times New Roman"/>
                <w:b/>
                <w:color w:val="000000"/>
                <w:sz w:val="14"/>
                <w:szCs w:val="14"/>
              </w:rPr>
              <w:t>0</w:t>
            </w:r>
          </w:p>
        </w:tc>
        <w:tc>
          <w:tcPr>
            <w:tcW w:w="531" w:type="pct"/>
            <w:shd w:val="clear" w:color="auto" w:fill="auto"/>
            <w:noWrap/>
            <w:vAlign w:val="center"/>
            <w:hideMark/>
          </w:tcPr>
          <w:p w:rsidR="003A497B" w:rsidRPr="004C4D1E" w:rsidRDefault="003A497B" w:rsidP="003E1809">
            <w:pPr>
              <w:jc w:val="right"/>
              <w:rPr>
                <w:rFonts w:ascii="Times New Roman" w:hAnsi="Times New Roman" w:cs="Times New Roman"/>
                <w:b/>
                <w:color w:val="000000"/>
                <w:sz w:val="14"/>
                <w:szCs w:val="14"/>
              </w:rPr>
            </w:pPr>
            <w:r w:rsidRPr="004C4D1E">
              <w:rPr>
                <w:rFonts w:ascii="Times New Roman" w:hAnsi="Times New Roman" w:cs="Times New Roman"/>
                <w:b/>
                <w:color w:val="000000"/>
                <w:sz w:val="14"/>
                <w:szCs w:val="14"/>
              </w:rPr>
              <w:t>0</w:t>
            </w:r>
          </w:p>
        </w:tc>
        <w:tc>
          <w:tcPr>
            <w:tcW w:w="530" w:type="pct"/>
            <w:shd w:val="clear" w:color="auto" w:fill="auto"/>
            <w:noWrap/>
            <w:vAlign w:val="center"/>
            <w:hideMark/>
          </w:tcPr>
          <w:p w:rsidR="003A497B" w:rsidRPr="004C4D1E" w:rsidRDefault="003A497B" w:rsidP="003E1809">
            <w:pPr>
              <w:jc w:val="right"/>
              <w:rPr>
                <w:rFonts w:ascii="Times New Roman" w:hAnsi="Times New Roman" w:cs="Times New Roman"/>
                <w:b/>
                <w:color w:val="000000"/>
                <w:sz w:val="14"/>
                <w:szCs w:val="14"/>
              </w:rPr>
            </w:pPr>
            <w:r w:rsidRPr="004C4D1E">
              <w:rPr>
                <w:rFonts w:ascii="Times New Roman" w:hAnsi="Times New Roman" w:cs="Times New Roman"/>
                <w:b/>
                <w:color w:val="000000"/>
                <w:sz w:val="14"/>
                <w:szCs w:val="14"/>
              </w:rPr>
              <w:t>0</w:t>
            </w:r>
          </w:p>
        </w:tc>
      </w:tr>
    </w:tbl>
    <w:p w:rsidR="003A497B" w:rsidRDefault="003A497B" w:rsidP="003A497B">
      <w:pPr>
        <w:rPr>
          <w:rFonts w:ascii="Times New Roman" w:hAnsi="Times New Roman" w:cs="Times New Roman"/>
        </w:rPr>
      </w:pPr>
    </w:p>
    <w:p w:rsidR="003A497B" w:rsidRPr="00BA342D" w:rsidRDefault="003A497B" w:rsidP="003A497B">
      <w:pPr>
        <w:ind w:firstLine="708"/>
        <w:jc w:val="both"/>
        <w:rPr>
          <w:rFonts w:ascii="Times New Roman" w:hAnsi="Times New Roman" w:cs="Times New Roman"/>
        </w:rPr>
      </w:pPr>
      <w:r w:rsidRPr="00BA342D">
        <w:rPr>
          <w:rFonts w:ascii="Times New Roman" w:hAnsi="Times New Roman" w:cs="Times New Roman"/>
        </w:rPr>
        <w:t>Celkové výdavky kapitoly na rok 201</w:t>
      </w:r>
      <w:r>
        <w:rPr>
          <w:rFonts w:ascii="Times New Roman" w:hAnsi="Times New Roman" w:cs="Times New Roman"/>
        </w:rPr>
        <w:t>9</w:t>
      </w:r>
      <w:r w:rsidRPr="00BA342D">
        <w:rPr>
          <w:rFonts w:ascii="Times New Roman" w:hAnsi="Times New Roman" w:cs="Times New Roman"/>
        </w:rPr>
        <w:t xml:space="preserve"> sa rozpočtujú v sume 1</w:t>
      </w:r>
      <w:r>
        <w:rPr>
          <w:rFonts w:ascii="Times New Roman" w:hAnsi="Times New Roman" w:cs="Times New Roman"/>
        </w:rPr>
        <w:t>9</w:t>
      </w:r>
      <w:r w:rsidRPr="00BA342D">
        <w:rPr>
          <w:rFonts w:ascii="Times New Roman" w:hAnsi="Times New Roman" w:cs="Times New Roman"/>
        </w:rPr>
        <w:t>,</w:t>
      </w:r>
      <w:r>
        <w:rPr>
          <w:rFonts w:ascii="Times New Roman" w:hAnsi="Times New Roman" w:cs="Times New Roman"/>
        </w:rPr>
        <w:t>0</w:t>
      </w:r>
      <w:r w:rsidRPr="00BA342D">
        <w:rPr>
          <w:rFonts w:ascii="Times New Roman" w:hAnsi="Times New Roman" w:cs="Times New Roman"/>
        </w:rPr>
        <w:t xml:space="preserve"> mil. eur a oproti schválenému rozpočtu roku 201</w:t>
      </w:r>
      <w:r>
        <w:rPr>
          <w:rFonts w:ascii="Times New Roman" w:hAnsi="Times New Roman" w:cs="Times New Roman"/>
        </w:rPr>
        <w:t>8</w:t>
      </w:r>
      <w:r w:rsidRPr="00BA342D">
        <w:rPr>
          <w:rFonts w:ascii="Times New Roman" w:hAnsi="Times New Roman" w:cs="Times New Roman"/>
        </w:rPr>
        <w:t xml:space="preserve"> medziročne rastú o</w:t>
      </w:r>
      <w:r>
        <w:rPr>
          <w:rFonts w:ascii="Times New Roman" w:hAnsi="Times New Roman" w:cs="Times New Roman"/>
        </w:rPr>
        <w:t> 3,66</w:t>
      </w:r>
      <w:r w:rsidRPr="00BA342D">
        <w:rPr>
          <w:rFonts w:ascii="Times New Roman" w:hAnsi="Times New Roman" w:cs="Times New Roman"/>
        </w:rPr>
        <w:t xml:space="preserve"> </w:t>
      </w:r>
      <w:r>
        <w:rPr>
          <w:rFonts w:ascii="Times New Roman" w:hAnsi="Times New Roman" w:cs="Times New Roman"/>
        </w:rPr>
        <w:t>mil</w:t>
      </w:r>
      <w:r w:rsidRPr="00BA342D">
        <w:rPr>
          <w:rFonts w:ascii="Times New Roman" w:hAnsi="Times New Roman" w:cs="Times New Roman"/>
        </w:rPr>
        <w:t>. eur, t. j. o </w:t>
      </w:r>
      <w:r>
        <w:rPr>
          <w:rFonts w:ascii="Times New Roman" w:hAnsi="Times New Roman" w:cs="Times New Roman"/>
        </w:rPr>
        <w:t>23</w:t>
      </w:r>
      <w:r w:rsidRPr="00BA342D">
        <w:rPr>
          <w:rFonts w:ascii="Times New Roman" w:hAnsi="Times New Roman" w:cs="Times New Roman"/>
        </w:rPr>
        <w:t>,</w:t>
      </w:r>
      <w:r>
        <w:rPr>
          <w:rFonts w:ascii="Times New Roman" w:hAnsi="Times New Roman" w:cs="Times New Roman"/>
        </w:rPr>
        <w:t>8 %. Dôvodom je jednorazové zvýšenie kapitálových výdavkov v sume 3,0 mil. eur na i</w:t>
      </w:r>
      <w:r w:rsidRPr="009035E6">
        <w:rPr>
          <w:rFonts w:ascii="Times New Roman" w:hAnsi="Times New Roman" w:cs="Times New Roman"/>
        </w:rPr>
        <w:t>nformačno-komunikačné technológie</w:t>
      </w:r>
      <w:r>
        <w:rPr>
          <w:rFonts w:ascii="Times New Roman" w:hAnsi="Times New Roman" w:cs="Times New Roman"/>
        </w:rPr>
        <w:t>.</w:t>
      </w:r>
    </w:p>
    <w:p w:rsidR="003A497B" w:rsidRPr="00BA342D" w:rsidRDefault="003A497B" w:rsidP="003A497B">
      <w:pPr>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sidRPr="00C8030C">
        <w:rPr>
          <w:rFonts w:ascii="Times New Roman" w:hAnsi="Times New Roman" w:cs="Times New Roman"/>
        </w:rPr>
        <w:t>Na rok 201</w:t>
      </w:r>
      <w:r>
        <w:rPr>
          <w:rFonts w:ascii="Times New Roman" w:hAnsi="Times New Roman" w:cs="Times New Roman"/>
        </w:rPr>
        <w:t>9</w:t>
      </w:r>
      <w:r w:rsidRPr="00C8030C">
        <w:rPr>
          <w:rFonts w:ascii="Times New Roman" w:hAnsi="Times New Roman" w:cs="Times New Roman"/>
        </w:rPr>
        <w:t xml:space="preserve"> sa rozpočtujú osobné výdavky v sume </w:t>
      </w:r>
      <w:r>
        <w:rPr>
          <w:rFonts w:ascii="Times New Roman" w:hAnsi="Times New Roman" w:cs="Times New Roman"/>
        </w:rPr>
        <w:t>11</w:t>
      </w:r>
      <w:r w:rsidRPr="00C8030C">
        <w:rPr>
          <w:rFonts w:ascii="Times New Roman" w:hAnsi="Times New Roman" w:cs="Times New Roman"/>
        </w:rPr>
        <w:t>,</w:t>
      </w:r>
      <w:r>
        <w:rPr>
          <w:rFonts w:ascii="Times New Roman" w:hAnsi="Times New Roman" w:cs="Times New Roman"/>
        </w:rPr>
        <w:t>7</w:t>
      </w:r>
      <w:r w:rsidRPr="00C8030C">
        <w:rPr>
          <w:rFonts w:ascii="Times New Roman" w:hAnsi="Times New Roman" w:cs="Times New Roman"/>
        </w:rPr>
        <w:t xml:space="preserve"> mil. eur, čo predstavuje medziročný nárast o</w:t>
      </w:r>
      <w:r>
        <w:rPr>
          <w:rFonts w:ascii="Times New Roman" w:hAnsi="Times New Roman" w:cs="Times New Roman"/>
        </w:rPr>
        <w:t> 0,51</w:t>
      </w:r>
      <w:r w:rsidRPr="00C8030C">
        <w:rPr>
          <w:rFonts w:ascii="Times New Roman" w:hAnsi="Times New Roman" w:cs="Times New Roman"/>
        </w:rPr>
        <w:t xml:space="preserve"> </w:t>
      </w:r>
      <w:r>
        <w:rPr>
          <w:rFonts w:ascii="Times New Roman" w:hAnsi="Times New Roman" w:cs="Times New Roman"/>
        </w:rPr>
        <w:t>mil</w:t>
      </w:r>
      <w:r w:rsidRPr="00C8030C">
        <w:rPr>
          <w:rFonts w:ascii="Times New Roman" w:hAnsi="Times New Roman" w:cs="Times New Roman"/>
        </w:rPr>
        <w:t>. eur</w:t>
      </w:r>
      <w:r>
        <w:rPr>
          <w:rFonts w:ascii="Times New Roman" w:hAnsi="Times New Roman" w:cs="Times New Roman"/>
        </w:rPr>
        <w:t xml:space="preserve">, t. j. o 4,54 </w:t>
      </w:r>
      <w:r w:rsidRPr="006733FF">
        <w:rPr>
          <w:rFonts w:ascii="Times New Roman" w:hAnsi="Times New Roman" w:cs="Times New Roman"/>
        </w:rPr>
        <w:t xml:space="preserve">%. </w:t>
      </w:r>
      <w:r w:rsidRPr="0021414B">
        <w:rPr>
          <w:rFonts w:ascii="Times New Roman" w:hAnsi="Times New Roman" w:cs="Times New Roman"/>
        </w:rPr>
        <w:t>Dôvodom nárastu je najmä dopočet valorizácie platov zamestnancov z roku 2018</w:t>
      </w:r>
      <w:r w:rsidRPr="00C96EA2">
        <w:t xml:space="preserve"> </w:t>
      </w:r>
      <w:r w:rsidRPr="00C96EA2">
        <w:rPr>
          <w:rFonts w:ascii="Times New Roman" w:hAnsi="Times New Roman" w:cs="Times New Roman"/>
        </w:rPr>
        <w:t>do nasledujúcich rokov.</w:t>
      </w:r>
    </w:p>
    <w:p w:rsidR="003A497B"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sidRPr="00D003F3">
        <w:rPr>
          <w:rFonts w:ascii="Times New Roman" w:hAnsi="Times New Roman" w:cs="Times New Roman"/>
        </w:rPr>
        <w:t xml:space="preserve">Tovary a služby sa rozpočtujú v sume </w:t>
      </w:r>
      <w:r>
        <w:rPr>
          <w:rFonts w:ascii="Times New Roman" w:hAnsi="Times New Roman" w:cs="Times New Roman"/>
        </w:rPr>
        <w:t>1,19</w:t>
      </w:r>
      <w:r w:rsidRPr="00D003F3">
        <w:rPr>
          <w:rFonts w:ascii="Times New Roman" w:hAnsi="Times New Roman" w:cs="Times New Roman"/>
        </w:rPr>
        <w:t xml:space="preserve"> </w:t>
      </w:r>
      <w:r>
        <w:rPr>
          <w:rFonts w:ascii="Times New Roman" w:hAnsi="Times New Roman" w:cs="Times New Roman"/>
        </w:rPr>
        <w:t>mil</w:t>
      </w:r>
      <w:r w:rsidRPr="00D003F3">
        <w:rPr>
          <w:rFonts w:ascii="Times New Roman" w:hAnsi="Times New Roman" w:cs="Times New Roman"/>
        </w:rPr>
        <w:t>. eur a oproti schválenému rozpočtu roku 201</w:t>
      </w:r>
      <w:r>
        <w:rPr>
          <w:rFonts w:ascii="Times New Roman" w:hAnsi="Times New Roman" w:cs="Times New Roman"/>
        </w:rPr>
        <w:t>8</w:t>
      </w:r>
      <w:r w:rsidRPr="00D003F3">
        <w:rPr>
          <w:rFonts w:ascii="Times New Roman" w:hAnsi="Times New Roman" w:cs="Times New Roman"/>
        </w:rPr>
        <w:t xml:space="preserve"> medziročne </w:t>
      </w:r>
      <w:r>
        <w:rPr>
          <w:rFonts w:ascii="Times New Roman" w:hAnsi="Times New Roman" w:cs="Times New Roman"/>
        </w:rPr>
        <w:t>rast</w:t>
      </w:r>
      <w:r w:rsidRPr="00D003F3">
        <w:rPr>
          <w:rFonts w:ascii="Times New Roman" w:hAnsi="Times New Roman" w:cs="Times New Roman"/>
        </w:rPr>
        <w:t>ú o</w:t>
      </w:r>
      <w:r>
        <w:rPr>
          <w:rFonts w:ascii="Times New Roman" w:hAnsi="Times New Roman" w:cs="Times New Roman"/>
        </w:rPr>
        <w:t xml:space="preserve"> 150 </w:t>
      </w:r>
      <w:r w:rsidRPr="00D003F3">
        <w:rPr>
          <w:rFonts w:ascii="Times New Roman" w:hAnsi="Times New Roman" w:cs="Times New Roman"/>
        </w:rPr>
        <w:t>tis. eur, t. j. o </w:t>
      </w:r>
      <w:r>
        <w:rPr>
          <w:rFonts w:ascii="Times New Roman" w:hAnsi="Times New Roman" w:cs="Times New Roman"/>
        </w:rPr>
        <w:t>14</w:t>
      </w:r>
      <w:r w:rsidRPr="00D003F3">
        <w:rPr>
          <w:rFonts w:ascii="Times New Roman" w:hAnsi="Times New Roman" w:cs="Times New Roman"/>
        </w:rPr>
        <w:t>,</w:t>
      </w:r>
      <w:r>
        <w:rPr>
          <w:rFonts w:ascii="Times New Roman" w:hAnsi="Times New Roman" w:cs="Times New Roman"/>
        </w:rPr>
        <w:t>3</w:t>
      </w:r>
      <w:r w:rsidRPr="00D003F3">
        <w:rPr>
          <w:rFonts w:ascii="Times New Roman" w:hAnsi="Times New Roman" w:cs="Times New Roman"/>
        </w:rPr>
        <w:t xml:space="preserve"> %. </w:t>
      </w:r>
      <w:r>
        <w:rPr>
          <w:rFonts w:ascii="Times New Roman" w:hAnsi="Times New Roman" w:cs="Times New Roman"/>
        </w:rPr>
        <w:t xml:space="preserve">Dôvodom </w:t>
      </w:r>
      <w:r w:rsidRPr="002E62EA">
        <w:rPr>
          <w:rFonts w:ascii="Times New Roman" w:hAnsi="Times New Roman" w:cs="Times New Roman"/>
        </w:rPr>
        <w:t>je zvýšenie prostriedkov na bežnú prevádzku správy budovy.</w:t>
      </w:r>
    </w:p>
    <w:p w:rsidR="003A497B" w:rsidRPr="001438B9" w:rsidRDefault="003A497B" w:rsidP="003A497B">
      <w:pPr>
        <w:ind w:firstLine="708"/>
        <w:jc w:val="both"/>
        <w:rPr>
          <w:rFonts w:ascii="Times New Roman" w:hAnsi="Times New Roman" w:cs="Times New Roman"/>
          <w:highlight w:val="yellow"/>
        </w:rPr>
      </w:pPr>
    </w:p>
    <w:p w:rsidR="003A497B" w:rsidRDefault="003A497B" w:rsidP="003A497B">
      <w:pPr>
        <w:ind w:firstLine="708"/>
        <w:jc w:val="both"/>
        <w:rPr>
          <w:rFonts w:ascii="Times New Roman" w:hAnsi="Times New Roman" w:cs="Times New Roman"/>
        </w:rPr>
      </w:pPr>
      <w:r w:rsidRPr="006A5932">
        <w:rPr>
          <w:rFonts w:ascii="Times New Roman" w:hAnsi="Times New Roman" w:cs="Times New Roman"/>
        </w:rPr>
        <w:t xml:space="preserve">Bežné transfery sa rozpočtujú v sume </w:t>
      </w:r>
      <w:r>
        <w:rPr>
          <w:rFonts w:ascii="Times New Roman" w:hAnsi="Times New Roman" w:cs="Times New Roman"/>
        </w:rPr>
        <w:t xml:space="preserve">48 tis. eur, </w:t>
      </w:r>
      <w:r w:rsidRPr="002E62EA">
        <w:rPr>
          <w:rFonts w:ascii="Times New Roman" w:hAnsi="Times New Roman" w:cs="Times New Roman"/>
        </w:rPr>
        <w:t>čo je na úrovni roka 2018.</w:t>
      </w:r>
    </w:p>
    <w:p w:rsidR="003A497B" w:rsidRPr="001438B9" w:rsidRDefault="003A497B" w:rsidP="003A497B">
      <w:pPr>
        <w:ind w:firstLine="708"/>
        <w:jc w:val="both"/>
        <w:rPr>
          <w:rFonts w:ascii="Times New Roman" w:hAnsi="Times New Roman" w:cs="Times New Roman"/>
          <w:highlight w:val="yellow"/>
        </w:rPr>
      </w:pPr>
    </w:p>
    <w:p w:rsidR="003A497B" w:rsidRDefault="003A497B" w:rsidP="003A497B">
      <w:pPr>
        <w:ind w:firstLine="708"/>
        <w:jc w:val="both"/>
      </w:pPr>
      <w:r w:rsidRPr="00162F72">
        <w:rPr>
          <w:rFonts w:ascii="Times New Roman" w:hAnsi="Times New Roman" w:cs="Times New Roman"/>
        </w:rPr>
        <w:t xml:space="preserve">Kapitálové výdavky </w:t>
      </w:r>
      <w:r>
        <w:rPr>
          <w:rFonts w:ascii="Times New Roman" w:hAnsi="Times New Roman" w:cs="Times New Roman"/>
        </w:rPr>
        <w:t>sú na rok 2019</w:t>
      </w:r>
      <w:r w:rsidRPr="00162F72">
        <w:rPr>
          <w:rFonts w:ascii="Times New Roman" w:hAnsi="Times New Roman" w:cs="Times New Roman"/>
        </w:rPr>
        <w:t xml:space="preserve"> rozpočt</w:t>
      </w:r>
      <w:r>
        <w:rPr>
          <w:rFonts w:ascii="Times New Roman" w:hAnsi="Times New Roman" w:cs="Times New Roman"/>
        </w:rPr>
        <w:t>ované</w:t>
      </w:r>
      <w:r w:rsidRPr="00162F72">
        <w:rPr>
          <w:rFonts w:ascii="Times New Roman" w:hAnsi="Times New Roman" w:cs="Times New Roman"/>
        </w:rPr>
        <w:t xml:space="preserve"> v sume </w:t>
      </w:r>
      <w:r>
        <w:rPr>
          <w:rFonts w:ascii="Times New Roman" w:hAnsi="Times New Roman" w:cs="Times New Roman"/>
        </w:rPr>
        <w:t>6,05</w:t>
      </w:r>
      <w:r w:rsidRPr="00162F72">
        <w:rPr>
          <w:rFonts w:ascii="Times New Roman" w:hAnsi="Times New Roman" w:cs="Times New Roman"/>
        </w:rPr>
        <w:t xml:space="preserve"> </w:t>
      </w:r>
      <w:r>
        <w:rPr>
          <w:rFonts w:ascii="Times New Roman" w:hAnsi="Times New Roman" w:cs="Times New Roman"/>
        </w:rPr>
        <w:t>mil. eur,</w:t>
      </w:r>
      <w:r w:rsidRPr="00E64F78">
        <w:t xml:space="preserve"> </w:t>
      </w:r>
      <w:r w:rsidRPr="00E64F78">
        <w:rPr>
          <w:rFonts w:ascii="Times New Roman" w:hAnsi="Times New Roman" w:cs="Times New Roman"/>
        </w:rPr>
        <w:t xml:space="preserve">čo oproti roku 2018 predstavuje nárast o </w:t>
      </w:r>
      <w:r>
        <w:rPr>
          <w:rFonts w:ascii="Times New Roman" w:hAnsi="Times New Roman" w:cs="Times New Roman"/>
        </w:rPr>
        <w:t>3</w:t>
      </w:r>
      <w:r w:rsidRPr="00E64F78">
        <w:rPr>
          <w:rFonts w:ascii="Times New Roman" w:hAnsi="Times New Roman" w:cs="Times New Roman"/>
        </w:rPr>
        <w:t xml:space="preserve">,0 </w:t>
      </w:r>
      <w:r>
        <w:rPr>
          <w:rFonts w:ascii="Times New Roman" w:hAnsi="Times New Roman" w:cs="Times New Roman"/>
        </w:rPr>
        <w:t>mil</w:t>
      </w:r>
      <w:r w:rsidRPr="00E64F78">
        <w:rPr>
          <w:rFonts w:ascii="Times New Roman" w:hAnsi="Times New Roman" w:cs="Times New Roman"/>
        </w:rPr>
        <w:t xml:space="preserve">. eur, t. j. o </w:t>
      </w:r>
      <w:r>
        <w:rPr>
          <w:rFonts w:ascii="Times New Roman" w:hAnsi="Times New Roman" w:cs="Times New Roman"/>
        </w:rPr>
        <w:t>98</w:t>
      </w:r>
      <w:r w:rsidRPr="00E64F78">
        <w:rPr>
          <w:rFonts w:ascii="Times New Roman" w:hAnsi="Times New Roman" w:cs="Times New Roman"/>
        </w:rPr>
        <w:t>,</w:t>
      </w:r>
      <w:r>
        <w:rPr>
          <w:rFonts w:ascii="Times New Roman" w:hAnsi="Times New Roman" w:cs="Times New Roman"/>
        </w:rPr>
        <w:t xml:space="preserve">4 </w:t>
      </w:r>
      <w:r w:rsidRPr="00E64F78">
        <w:rPr>
          <w:rFonts w:ascii="Times New Roman" w:hAnsi="Times New Roman" w:cs="Times New Roman"/>
        </w:rPr>
        <w:t>%</w:t>
      </w:r>
      <w:r>
        <w:rPr>
          <w:rFonts w:ascii="Times New Roman" w:hAnsi="Times New Roman" w:cs="Times New Roman"/>
        </w:rPr>
        <w:t>.</w:t>
      </w:r>
      <w:r w:rsidRPr="00E64F78">
        <w:rPr>
          <w:rFonts w:ascii="Times New Roman" w:hAnsi="Times New Roman" w:cs="Times New Roman"/>
        </w:rPr>
        <w:t xml:space="preserve"> </w:t>
      </w:r>
      <w:r>
        <w:rPr>
          <w:rFonts w:ascii="Times New Roman" w:hAnsi="Times New Roman" w:cs="Times New Roman"/>
        </w:rPr>
        <w:t>V</w:t>
      </w:r>
      <w:r w:rsidRPr="002E62EA">
        <w:rPr>
          <w:rFonts w:ascii="Times New Roman" w:hAnsi="Times New Roman" w:cs="Times New Roman"/>
        </w:rPr>
        <w:t>ýdavky sú plánované na nákup kancelárskej techniky</w:t>
      </w:r>
      <w:r>
        <w:rPr>
          <w:rFonts w:ascii="Times New Roman" w:hAnsi="Times New Roman" w:cs="Times New Roman"/>
        </w:rPr>
        <w:t>, informačné technológie</w:t>
      </w:r>
      <w:r w:rsidRPr="002E62EA">
        <w:rPr>
          <w:rFonts w:ascii="Times New Roman" w:hAnsi="Times New Roman" w:cs="Times New Roman"/>
        </w:rPr>
        <w:t xml:space="preserve"> a rekonštrukciu a modernizáciu budovy Kancelárie Najvyššieho súdu</w:t>
      </w:r>
      <w:r>
        <w:rPr>
          <w:rFonts w:ascii="Times New Roman" w:hAnsi="Times New Roman" w:cs="Times New Roman"/>
        </w:rPr>
        <w:t xml:space="preserve"> SR</w:t>
      </w:r>
      <w:r w:rsidRPr="002E62EA">
        <w:rPr>
          <w:rFonts w:ascii="Times New Roman" w:hAnsi="Times New Roman" w:cs="Times New Roman"/>
        </w:rPr>
        <w:t>.</w:t>
      </w:r>
    </w:p>
    <w:p w:rsidR="003A497B" w:rsidRDefault="003A497B" w:rsidP="003A497B"/>
    <w:p w:rsidR="003A497B" w:rsidRPr="00912A7B" w:rsidRDefault="003A497B" w:rsidP="003A497B">
      <w:pPr>
        <w:pStyle w:val="Nadpis5"/>
        <w:pBdr>
          <w:bottom w:val="single" w:sz="4" w:space="1" w:color="auto"/>
        </w:pBdr>
        <w:ind w:left="0"/>
        <w:rPr>
          <w:i w:val="0"/>
          <w:sz w:val="24"/>
          <w:lang w:eastAsia="sk-SK"/>
        </w:rPr>
      </w:pPr>
      <w:bookmarkStart w:id="248" w:name="_Toc494470109"/>
      <w:bookmarkStart w:id="249" w:name="_Toc494472285"/>
      <w:bookmarkStart w:id="250" w:name="_Toc526267710"/>
      <w:r w:rsidRPr="00912A7B">
        <w:rPr>
          <w:i w:val="0"/>
          <w:sz w:val="24"/>
          <w:lang w:eastAsia="sk-SK"/>
        </w:rPr>
        <w:t>Kancelária Súdnej rady SR</w:t>
      </w:r>
      <w:bookmarkEnd w:id="248"/>
      <w:bookmarkEnd w:id="249"/>
      <w:bookmarkEnd w:id="250"/>
    </w:p>
    <w:p w:rsidR="003A497B" w:rsidRPr="00194386" w:rsidRDefault="003A497B" w:rsidP="003A497B">
      <w:pPr>
        <w:tabs>
          <w:tab w:val="left" w:pos="1275"/>
        </w:tabs>
      </w:pPr>
    </w:p>
    <w:tbl>
      <w:tblPr>
        <w:tblW w:w="9040" w:type="dxa"/>
        <w:tblInd w:w="55" w:type="dxa"/>
        <w:tblCellMar>
          <w:left w:w="70" w:type="dxa"/>
          <w:right w:w="70" w:type="dxa"/>
        </w:tblCellMar>
        <w:tblLook w:val="04A0" w:firstRow="1" w:lastRow="0" w:firstColumn="1" w:lastColumn="0" w:noHBand="0" w:noVBand="1"/>
      </w:tblPr>
      <w:tblGrid>
        <w:gridCol w:w="2320"/>
        <w:gridCol w:w="960"/>
        <w:gridCol w:w="960"/>
        <w:gridCol w:w="960"/>
        <w:gridCol w:w="960"/>
        <w:gridCol w:w="960"/>
        <w:gridCol w:w="960"/>
        <w:gridCol w:w="960"/>
      </w:tblGrid>
      <w:tr w:rsidR="003A497B" w:rsidRPr="00194386" w:rsidTr="003E1809">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194386" w:rsidRDefault="003A497B" w:rsidP="003E1809">
            <w:pPr>
              <w:rPr>
                <w:rFonts w:ascii="Times New Roman" w:hAnsi="Times New Roman" w:cs="Times New Roman"/>
                <w:b/>
                <w:bCs/>
                <w:color w:val="000000"/>
                <w:sz w:val="14"/>
                <w:szCs w:val="14"/>
                <w:lang w:eastAsia="sk-SK"/>
              </w:rPr>
            </w:pPr>
            <w:r w:rsidRPr="00194386">
              <w:rPr>
                <w:rFonts w:ascii="Times New Roman" w:hAnsi="Times New Roman" w:cs="Times New Roman"/>
                <w:b/>
                <w:bCs/>
                <w:color w:val="000000"/>
                <w:sz w:val="14"/>
                <w:szCs w:val="14"/>
                <w:lang w:eastAsia="sk-SK"/>
              </w:rPr>
              <w:t> v eurách</w:t>
            </w:r>
          </w:p>
        </w:tc>
        <w:tc>
          <w:tcPr>
            <w:tcW w:w="96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194386" w:rsidRDefault="003A497B" w:rsidP="003E1809">
            <w:pPr>
              <w:jc w:val="center"/>
              <w:rPr>
                <w:rFonts w:ascii="Times New Roman" w:hAnsi="Times New Roman" w:cs="Times New Roman"/>
                <w:b/>
                <w:sz w:val="14"/>
                <w:szCs w:val="14"/>
              </w:rPr>
            </w:pPr>
            <w:r w:rsidRPr="00194386">
              <w:rPr>
                <w:rFonts w:ascii="Times New Roman" w:hAnsi="Times New Roman" w:cs="Times New Roman"/>
                <w:b/>
                <w:sz w:val="14"/>
                <w:szCs w:val="14"/>
              </w:rPr>
              <w:t>2016 S</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194386" w:rsidRDefault="003A497B" w:rsidP="003E1809">
            <w:pPr>
              <w:jc w:val="center"/>
              <w:rPr>
                <w:rFonts w:ascii="Times New Roman" w:hAnsi="Times New Roman" w:cs="Times New Roman"/>
                <w:b/>
                <w:sz w:val="14"/>
                <w:szCs w:val="14"/>
              </w:rPr>
            </w:pPr>
            <w:r w:rsidRPr="00194386">
              <w:rPr>
                <w:rFonts w:ascii="Times New Roman" w:hAnsi="Times New Roman" w:cs="Times New Roman"/>
                <w:b/>
                <w:sz w:val="14"/>
                <w:szCs w:val="14"/>
              </w:rPr>
              <w:t>2017 S</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194386" w:rsidRDefault="003A497B" w:rsidP="003E1809">
            <w:pPr>
              <w:jc w:val="center"/>
              <w:rPr>
                <w:rFonts w:ascii="Times New Roman" w:hAnsi="Times New Roman" w:cs="Times New Roman"/>
                <w:b/>
                <w:sz w:val="14"/>
                <w:szCs w:val="14"/>
              </w:rPr>
            </w:pPr>
            <w:r w:rsidRPr="00194386">
              <w:rPr>
                <w:rFonts w:ascii="Times New Roman" w:hAnsi="Times New Roman" w:cs="Times New Roman"/>
                <w:b/>
                <w:sz w:val="14"/>
                <w:szCs w:val="14"/>
              </w:rPr>
              <w:t>2018 R</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194386" w:rsidRDefault="003A497B" w:rsidP="003E1809">
            <w:pPr>
              <w:jc w:val="center"/>
              <w:rPr>
                <w:rFonts w:ascii="Times New Roman" w:hAnsi="Times New Roman" w:cs="Times New Roman"/>
                <w:b/>
                <w:sz w:val="14"/>
                <w:szCs w:val="14"/>
              </w:rPr>
            </w:pPr>
            <w:r w:rsidRPr="00194386">
              <w:rPr>
                <w:rFonts w:ascii="Times New Roman" w:hAnsi="Times New Roman" w:cs="Times New Roman"/>
                <w:b/>
                <w:sz w:val="14"/>
                <w:szCs w:val="14"/>
              </w:rPr>
              <w:t>2018 OS</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194386" w:rsidRDefault="003A497B" w:rsidP="003E1809">
            <w:pPr>
              <w:jc w:val="center"/>
              <w:rPr>
                <w:rFonts w:ascii="Times New Roman" w:hAnsi="Times New Roman" w:cs="Times New Roman"/>
                <w:b/>
                <w:sz w:val="14"/>
                <w:szCs w:val="14"/>
              </w:rPr>
            </w:pPr>
            <w:r w:rsidRPr="00194386">
              <w:rPr>
                <w:rFonts w:ascii="Times New Roman" w:hAnsi="Times New Roman" w:cs="Times New Roman"/>
                <w:b/>
                <w:sz w:val="14"/>
                <w:szCs w:val="14"/>
              </w:rPr>
              <w:t>2019 N</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194386" w:rsidRDefault="003A497B" w:rsidP="003E1809">
            <w:pPr>
              <w:jc w:val="center"/>
              <w:rPr>
                <w:rFonts w:ascii="Times New Roman" w:hAnsi="Times New Roman" w:cs="Times New Roman"/>
                <w:b/>
                <w:sz w:val="14"/>
                <w:szCs w:val="14"/>
              </w:rPr>
            </w:pPr>
            <w:r w:rsidRPr="00194386">
              <w:rPr>
                <w:rFonts w:ascii="Times New Roman" w:hAnsi="Times New Roman" w:cs="Times New Roman"/>
                <w:b/>
                <w:sz w:val="14"/>
                <w:szCs w:val="14"/>
              </w:rPr>
              <w:t>2020 N</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194386" w:rsidRDefault="003A497B" w:rsidP="003E1809">
            <w:pPr>
              <w:jc w:val="center"/>
              <w:rPr>
                <w:rFonts w:ascii="Times New Roman" w:hAnsi="Times New Roman" w:cs="Times New Roman"/>
                <w:b/>
                <w:sz w:val="14"/>
                <w:szCs w:val="14"/>
              </w:rPr>
            </w:pPr>
            <w:r w:rsidRPr="00194386">
              <w:rPr>
                <w:rFonts w:ascii="Times New Roman" w:hAnsi="Times New Roman" w:cs="Times New Roman"/>
                <w:b/>
                <w:sz w:val="14"/>
                <w:szCs w:val="14"/>
              </w:rPr>
              <w:t>2021 N</w:t>
            </w:r>
          </w:p>
        </w:tc>
      </w:tr>
      <w:tr w:rsidR="003A497B" w:rsidRPr="00194386" w:rsidTr="003E1809">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3A497B" w:rsidRPr="00194386" w:rsidRDefault="003A497B" w:rsidP="003E1809">
            <w:pPr>
              <w:rPr>
                <w:rFonts w:ascii="Times New Roman" w:hAnsi="Times New Roman" w:cs="Times New Roman"/>
                <w:b/>
                <w:bCs/>
                <w:color w:val="000000"/>
                <w:sz w:val="14"/>
                <w:szCs w:val="14"/>
              </w:rPr>
            </w:pPr>
            <w:r w:rsidRPr="00194386">
              <w:rPr>
                <w:rFonts w:ascii="Times New Roman" w:hAnsi="Times New Roman" w:cs="Times New Roman"/>
                <w:b/>
                <w:bCs/>
                <w:color w:val="000000"/>
                <w:sz w:val="14"/>
                <w:szCs w:val="14"/>
              </w:rPr>
              <w:t>Zdroje príslušnej kapitoly</w:t>
            </w:r>
          </w:p>
        </w:tc>
        <w:tc>
          <w:tcPr>
            <w:tcW w:w="960" w:type="dxa"/>
            <w:tcBorders>
              <w:top w:val="nil"/>
              <w:left w:val="single" w:sz="4" w:space="0" w:color="auto"/>
              <w:bottom w:val="single" w:sz="4" w:space="0" w:color="auto"/>
              <w:right w:val="single" w:sz="4" w:space="0" w:color="auto"/>
            </w:tcBorders>
            <w:shd w:val="clear" w:color="000000" w:fill="BFBFBF"/>
            <w:vAlign w:val="bottom"/>
            <w:hideMark/>
          </w:tcPr>
          <w:p w:rsidR="003A497B" w:rsidRPr="00194386" w:rsidRDefault="003A497B" w:rsidP="003E1809">
            <w:pPr>
              <w:jc w:val="right"/>
              <w:rPr>
                <w:rFonts w:ascii="Times New Roman" w:hAnsi="Times New Roman" w:cs="Times New Roman"/>
                <w:b/>
                <w:sz w:val="14"/>
                <w:szCs w:val="14"/>
              </w:rPr>
            </w:pPr>
            <w:r w:rsidRPr="00194386">
              <w:rPr>
                <w:rFonts w:ascii="Times New Roman" w:hAnsi="Times New Roman" w:cs="Times New Roman"/>
                <w:b/>
                <w:sz w:val="14"/>
                <w:szCs w:val="14"/>
              </w:rPr>
              <w:t>717 831</w:t>
            </w:r>
          </w:p>
        </w:tc>
        <w:tc>
          <w:tcPr>
            <w:tcW w:w="960" w:type="dxa"/>
            <w:tcBorders>
              <w:top w:val="nil"/>
              <w:left w:val="nil"/>
              <w:bottom w:val="single" w:sz="4" w:space="0" w:color="auto"/>
              <w:right w:val="single" w:sz="4" w:space="0" w:color="auto"/>
            </w:tcBorders>
            <w:shd w:val="clear" w:color="000000" w:fill="BFBFBF"/>
            <w:vAlign w:val="bottom"/>
            <w:hideMark/>
          </w:tcPr>
          <w:p w:rsidR="003A497B" w:rsidRPr="00194386" w:rsidRDefault="003A497B" w:rsidP="003E1809">
            <w:pPr>
              <w:jc w:val="right"/>
              <w:rPr>
                <w:rFonts w:ascii="Times New Roman" w:hAnsi="Times New Roman" w:cs="Times New Roman"/>
                <w:b/>
                <w:sz w:val="14"/>
                <w:szCs w:val="14"/>
              </w:rPr>
            </w:pPr>
            <w:r w:rsidRPr="00194386">
              <w:rPr>
                <w:rFonts w:ascii="Times New Roman" w:hAnsi="Times New Roman" w:cs="Times New Roman"/>
                <w:b/>
                <w:sz w:val="14"/>
                <w:szCs w:val="14"/>
              </w:rPr>
              <w:t>871 627</w:t>
            </w:r>
          </w:p>
        </w:tc>
        <w:tc>
          <w:tcPr>
            <w:tcW w:w="960" w:type="dxa"/>
            <w:tcBorders>
              <w:top w:val="nil"/>
              <w:left w:val="nil"/>
              <w:bottom w:val="single" w:sz="4" w:space="0" w:color="auto"/>
              <w:right w:val="single" w:sz="4" w:space="0" w:color="auto"/>
            </w:tcBorders>
            <w:shd w:val="clear" w:color="000000" w:fill="BFBFBF"/>
            <w:vAlign w:val="bottom"/>
            <w:hideMark/>
          </w:tcPr>
          <w:p w:rsidR="003A497B" w:rsidRPr="00194386" w:rsidRDefault="003A497B" w:rsidP="003E1809">
            <w:pPr>
              <w:jc w:val="right"/>
              <w:rPr>
                <w:rFonts w:ascii="Times New Roman" w:hAnsi="Times New Roman" w:cs="Times New Roman"/>
                <w:b/>
                <w:sz w:val="14"/>
                <w:szCs w:val="14"/>
              </w:rPr>
            </w:pPr>
            <w:r w:rsidRPr="00194386">
              <w:rPr>
                <w:rFonts w:ascii="Times New Roman" w:hAnsi="Times New Roman" w:cs="Times New Roman"/>
                <w:b/>
                <w:sz w:val="14"/>
                <w:szCs w:val="14"/>
              </w:rPr>
              <w:t>780 741</w:t>
            </w:r>
          </w:p>
        </w:tc>
        <w:tc>
          <w:tcPr>
            <w:tcW w:w="96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3A497B" w:rsidRPr="00194386" w:rsidRDefault="003A497B" w:rsidP="003E1809">
            <w:pPr>
              <w:jc w:val="right"/>
              <w:rPr>
                <w:rFonts w:ascii="Times New Roman" w:hAnsi="Times New Roman" w:cs="Times New Roman"/>
                <w:b/>
                <w:bCs/>
                <w:color w:val="000000"/>
                <w:sz w:val="14"/>
                <w:szCs w:val="14"/>
                <w:lang w:eastAsia="sk-SK"/>
              </w:rPr>
            </w:pPr>
            <w:r w:rsidRPr="00194386">
              <w:rPr>
                <w:rFonts w:ascii="Times New Roman" w:hAnsi="Times New Roman" w:cs="Times New Roman"/>
                <w:b/>
                <w:bCs/>
                <w:color w:val="000000"/>
                <w:sz w:val="14"/>
                <w:szCs w:val="14"/>
              </w:rPr>
              <w:t>824 603</w:t>
            </w:r>
          </w:p>
        </w:tc>
        <w:tc>
          <w:tcPr>
            <w:tcW w:w="960" w:type="dxa"/>
            <w:tcBorders>
              <w:top w:val="single" w:sz="4" w:space="0" w:color="auto"/>
              <w:left w:val="nil"/>
              <w:bottom w:val="single" w:sz="4" w:space="0" w:color="auto"/>
              <w:right w:val="single" w:sz="4" w:space="0" w:color="auto"/>
            </w:tcBorders>
            <w:shd w:val="clear" w:color="000000" w:fill="BFBFBF"/>
            <w:vAlign w:val="bottom"/>
            <w:hideMark/>
          </w:tcPr>
          <w:p w:rsidR="003A497B" w:rsidRPr="00194386" w:rsidRDefault="003A497B" w:rsidP="003E1809">
            <w:pPr>
              <w:jc w:val="right"/>
              <w:rPr>
                <w:rFonts w:ascii="Times New Roman" w:hAnsi="Times New Roman" w:cs="Times New Roman"/>
                <w:b/>
                <w:sz w:val="14"/>
                <w:szCs w:val="14"/>
              </w:rPr>
            </w:pPr>
            <w:r w:rsidRPr="00194386">
              <w:rPr>
                <w:rFonts w:ascii="Times New Roman" w:hAnsi="Times New Roman" w:cs="Times New Roman"/>
                <w:b/>
                <w:sz w:val="14"/>
                <w:szCs w:val="14"/>
              </w:rPr>
              <w:t>959 075</w:t>
            </w:r>
          </w:p>
        </w:tc>
        <w:tc>
          <w:tcPr>
            <w:tcW w:w="960" w:type="dxa"/>
            <w:tcBorders>
              <w:top w:val="single" w:sz="4" w:space="0" w:color="auto"/>
              <w:left w:val="nil"/>
              <w:bottom w:val="single" w:sz="4" w:space="0" w:color="auto"/>
              <w:right w:val="single" w:sz="4" w:space="0" w:color="auto"/>
            </w:tcBorders>
            <w:shd w:val="clear" w:color="000000" w:fill="BFBFBF"/>
            <w:vAlign w:val="bottom"/>
            <w:hideMark/>
          </w:tcPr>
          <w:p w:rsidR="003A497B" w:rsidRPr="00194386" w:rsidRDefault="003A497B" w:rsidP="003E1809">
            <w:pPr>
              <w:jc w:val="right"/>
              <w:rPr>
                <w:rFonts w:ascii="Times New Roman" w:hAnsi="Times New Roman" w:cs="Times New Roman"/>
                <w:b/>
                <w:sz w:val="14"/>
                <w:szCs w:val="14"/>
              </w:rPr>
            </w:pPr>
            <w:r w:rsidRPr="00194386">
              <w:rPr>
                <w:rFonts w:ascii="Times New Roman" w:hAnsi="Times New Roman" w:cs="Times New Roman"/>
                <w:b/>
                <w:sz w:val="14"/>
                <w:szCs w:val="14"/>
              </w:rPr>
              <w:t>889 075</w:t>
            </w:r>
          </w:p>
        </w:tc>
        <w:tc>
          <w:tcPr>
            <w:tcW w:w="960" w:type="dxa"/>
            <w:tcBorders>
              <w:top w:val="single" w:sz="4" w:space="0" w:color="auto"/>
              <w:left w:val="nil"/>
              <w:bottom w:val="single" w:sz="4" w:space="0" w:color="auto"/>
              <w:right w:val="single" w:sz="4" w:space="0" w:color="auto"/>
            </w:tcBorders>
            <w:shd w:val="clear" w:color="000000" w:fill="BFBFBF"/>
            <w:vAlign w:val="bottom"/>
            <w:hideMark/>
          </w:tcPr>
          <w:p w:rsidR="003A497B" w:rsidRPr="00194386" w:rsidRDefault="003A497B" w:rsidP="003E1809">
            <w:pPr>
              <w:jc w:val="right"/>
              <w:rPr>
                <w:rFonts w:ascii="Times New Roman" w:hAnsi="Times New Roman" w:cs="Times New Roman"/>
                <w:b/>
                <w:sz w:val="14"/>
                <w:szCs w:val="14"/>
              </w:rPr>
            </w:pPr>
            <w:r w:rsidRPr="00194386">
              <w:rPr>
                <w:rFonts w:ascii="Times New Roman" w:hAnsi="Times New Roman" w:cs="Times New Roman"/>
                <w:b/>
                <w:sz w:val="14"/>
                <w:szCs w:val="14"/>
              </w:rPr>
              <w:t>889 075</w:t>
            </w:r>
          </w:p>
        </w:tc>
      </w:tr>
      <w:tr w:rsidR="003A497B" w:rsidRPr="00194386" w:rsidTr="003E1809">
        <w:trPr>
          <w:trHeight w:val="255"/>
        </w:trPr>
        <w:tc>
          <w:tcPr>
            <w:tcW w:w="2320" w:type="dxa"/>
            <w:tcBorders>
              <w:top w:val="nil"/>
              <w:left w:val="single" w:sz="4" w:space="0" w:color="auto"/>
              <w:bottom w:val="single" w:sz="4" w:space="0" w:color="auto"/>
              <w:right w:val="single" w:sz="4" w:space="0" w:color="auto"/>
            </w:tcBorders>
            <w:shd w:val="clear" w:color="auto" w:fill="FFFFFF" w:themeFill="background1"/>
            <w:noWrap/>
            <w:vAlign w:val="center"/>
          </w:tcPr>
          <w:p w:rsidR="003A497B" w:rsidRPr="00194386" w:rsidRDefault="003A497B" w:rsidP="003E1809">
            <w:pPr>
              <w:rPr>
                <w:rFonts w:ascii="Times New Roman" w:hAnsi="Times New Roman" w:cs="Times New Roman"/>
                <w:b/>
                <w:color w:val="000000"/>
                <w:sz w:val="14"/>
                <w:szCs w:val="14"/>
              </w:rPr>
            </w:pPr>
            <w:r w:rsidRPr="00194386">
              <w:rPr>
                <w:rFonts w:ascii="Times New Roman" w:hAnsi="Times New Roman" w:cs="Times New Roman"/>
                <w:b/>
                <w:color w:val="000000"/>
                <w:sz w:val="14"/>
                <w:szCs w:val="14"/>
              </w:rPr>
              <w:t xml:space="preserve"> rozpočtové zdroje kapitoly </w:t>
            </w: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3A497B" w:rsidRPr="00194386" w:rsidRDefault="003A497B" w:rsidP="003E1809">
            <w:pPr>
              <w:jc w:val="right"/>
              <w:rPr>
                <w:rFonts w:ascii="Times New Roman" w:hAnsi="Times New Roman" w:cs="Times New Roman"/>
                <w:b/>
                <w:sz w:val="14"/>
                <w:szCs w:val="14"/>
              </w:rPr>
            </w:pPr>
            <w:r w:rsidRPr="00194386">
              <w:rPr>
                <w:rFonts w:ascii="Times New Roman" w:hAnsi="Times New Roman" w:cs="Times New Roman"/>
                <w:b/>
                <w:sz w:val="14"/>
                <w:szCs w:val="14"/>
              </w:rPr>
              <w:t>613 207</w:t>
            </w:r>
          </w:p>
        </w:tc>
        <w:tc>
          <w:tcPr>
            <w:tcW w:w="960" w:type="dxa"/>
            <w:tcBorders>
              <w:top w:val="nil"/>
              <w:left w:val="nil"/>
              <w:bottom w:val="single" w:sz="4" w:space="0" w:color="auto"/>
              <w:right w:val="single" w:sz="4" w:space="0" w:color="auto"/>
            </w:tcBorders>
            <w:shd w:val="clear" w:color="auto" w:fill="auto"/>
            <w:noWrap/>
            <w:vAlign w:val="bottom"/>
          </w:tcPr>
          <w:p w:rsidR="003A497B" w:rsidRPr="00194386" w:rsidRDefault="003A497B" w:rsidP="003E1809">
            <w:pPr>
              <w:jc w:val="right"/>
              <w:rPr>
                <w:rFonts w:ascii="Times New Roman" w:hAnsi="Times New Roman" w:cs="Times New Roman"/>
                <w:b/>
                <w:sz w:val="14"/>
                <w:szCs w:val="14"/>
              </w:rPr>
            </w:pPr>
            <w:r w:rsidRPr="00194386">
              <w:rPr>
                <w:rFonts w:ascii="Times New Roman" w:hAnsi="Times New Roman" w:cs="Times New Roman"/>
                <w:b/>
                <w:sz w:val="14"/>
                <w:szCs w:val="14"/>
              </w:rPr>
              <w:t>807 252</w:t>
            </w:r>
          </w:p>
        </w:tc>
        <w:tc>
          <w:tcPr>
            <w:tcW w:w="960" w:type="dxa"/>
            <w:tcBorders>
              <w:top w:val="nil"/>
              <w:left w:val="nil"/>
              <w:bottom w:val="single" w:sz="4" w:space="0" w:color="auto"/>
              <w:right w:val="single" w:sz="4" w:space="0" w:color="auto"/>
            </w:tcBorders>
            <w:shd w:val="clear" w:color="auto" w:fill="auto"/>
            <w:noWrap/>
            <w:vAlign w:val="bottom"/>
          </w:tcPr>
          <w:p w:rsidR="003A497B" w:rsidRPr="00194386" w:rsidRDefault="003A497B" w:rsidP="003E1809">
            <w:pPr>
              <w:jc w:val="right"/>
              <w:rPr>
                <w:rFonts w:ascii="Times New Roman" w:hAnsi="Times New Roman" w:cs="Times New Roman"/>
                <w:b/>
                <w:sz w:val="14"/>
                <w:szCs w:val="14"/>
              </w:rPr>
            </w:pPr>
            <w:r w:rsidRPr="00194386">
              <w:rPr>
                <w:rFonts w:ascii="Times New Roman" w:hAnsi="Times New Roman" w:cs="Times New Roman"/>
                <w:b/>
                <w:sz w:val="14"/>
                <w:szCs w:val="14"/>
              </w:rPr>
              <w:t>780 741</w:t>
            </w:r>
          </w:p>
        </w:tc>
        <w:tc>
          <w:tcPr>
            <w:tcW w:w="960" w:type="dxa"/>
            <w:tcBorders>
              <w:top w:val="nil"/>
              <w:left w:val="single" w:sz="4" w:space="0" w:color="auto"/>
              <w:bottom w:val="single" w:sz="4" w:space="0" w:color="auto"/>
              <w:right w:val="single" w:sz="4" w:space="0" w:color="auto"/>
            </w:tcBorders>
            <w:shd w:val="clear" w:color="auto" w:fill="auto"/>
            <w:noWrap/>
            <w:vAlign w:val="bottom"/>
          </w:tcPr>
          <w:p w:rsidR="003A497B" w:rsidRPr="00194386" w:rsidRDefault="003A497B" w:rsidP="003E1809">
            <w:pPr>
              <w:jc w:val="right"/>
              <w:rPr>
                <w:rFonts w:ascii="Times New Roman" w:hAnsi="Times New Roman" w:cs="Times New Roman"/>
                <w:b/>
                <w:bCs/>
                <w:color w:val="000000"/>
                <w:sz w:val="14"/>
                <w:szCs w:val="14"/>
              </w:rPr>
            </w:pPr>
            <w:r w:rsidRPr="00194386">
              <w:rPr>
                <w:rFonts w:ascii="Times New Roman" w:hAnsi="Times New Roman" w:cs="Times New Roman"/>
                <w:b/>
                <w:bCs/>
                <w:color w:val="000000"/>
                <w:sz w:val="14"/>
                <w:szCs w:val="14"/>
              </w:rPr>
              <w:t>824 603</w:t>
            </w:r>
          </w:p>
        </w:tc>
        <w:tc>
          <w:tcPr>
            <w:tcW w:w="960" w:type="dxa"/>
            <w:tcBorders>
              <w:top w:val="nil"/>
              <w:left w:val="nil"/>
              <w:bottom w:val="single" w:sz="4" w:space="0" w:color="auto"/>
              <w:right w:val="single" w:sz="4" w:space="0" w:color="auto"/>
            </w:tcBorders>
            <w:shd w:val="clear" w:color="auto" w:fill="auto"/>
            <w:noWrap/>
            <w:vAlign w:val="bottom"/>
          </w:tcPr>
          <w:p w:rsidR="003A497B" w:rsidRPr="00194386" w:rsidRDefault="003A497B" w:rsidP="003E1809">
            <w:pPr>
              <w:jc w:val="right"/>
              <w:rPr>
                <w:rFonts w:ascii="Times New Roman" w:hAnsi="Times New Roman" w:cs="Times New Roman"/>
                <w:b/>
                <w:sz w:val="14"/>
                <w:szCs w:val="14"/>
              </w:rPr>
            </w:pPr>
            <w:r w:rsidRPr="00194386">
              <w:rPr>
                <w:rFonts w:ascii="Times New Roman" w:hAnsi="Times New Roman" w:cs="Times New Roman"/>
                <w:b/>
                <w:sz w:val="14"/>
                <w:szCs w:val="14"/>
              </w:rPr>
              <w:t>959 075</w:t>
            </w:r>
          </w:p>
        </w:tc>
        <w:tc>
          <w:tcPr>
            <w:tcW w:w="960" w:type="dxa"/>
            <w:tcBorders>
              <w:top w:val="nil"/>
              <w:left w:val="nil"/>
              <w:bottom w:val="single" w:sz="4" w:space="0" w:color="auto"/>
              <w:right w:val="single" w:sz="4" w:space="0" w:color="auto"/>
            </w:tcBorders>
            <w:shd w:val="clear" w:color="auto" w:fill="auto"/>
            <w:noWrap/>
            <w:vAlign w:val="bottom"/>
          </w:tcPr>
          <w:p w:rsidR="003A497B" w:rsidRPr="00194386" w:rsidRDefault="003A497B" w:rsidP="003E1809">
            <w:pPr>
              <w:jc w:val="right"/>
              <w:rPr>
                <w:rFonts w:ascii="Times New Roman" w:hAnsi="Times New Roman" w:cs="Times New Roman"/>
                <w:b/>
                <w:sz w:val="14"/>
                <w:szCs w:val="14"/>
              </w:rPr>
            </w:pPr>
            <w:r w:rsidRPr="00194386">
              <w:rPr>
                <w:rFonts w:ascii="Times New Roman" w:hAnsi="Times New Roman" w:cs="Times New Roman"/>
                <w:b/>
                <w:sz w:val="14"/>
                <w:szCs w:val="14"/>
              </w:rPr>
              <w:t>889 075</w:t>
            </w:r>
          </w:p>
        </w:tc>
        <w:tc>
          <w:tcPr>
            <w:tcW w:w="960" w:type="dxa"/>
            <w:tcBorders>
              <w:top w:val="nil"/>
              <w:left w:val="nil"/>
              <w:bottom w:val="single" w:sz="4" w:space="0" w:color="auto"/>
              <w:right w:val="single" w:sz="4" w:space="0" w:color="auto"/>
            </w:tcBorders>
            <w:shd w:val="clear" w:color="auto" w:fill="auto"/>
            <w:noWrap/>
            <w:vAlign w:val="bottom"/>
          </w:tcPr>
          <w:p w:rsidR="003A497B" w:rsidRPr="00194386" w:rsidRDefault="003A497B" w:rsidP="003E1809">
            <w:pPr>
              <w:jc w:val="right"/>
              <w:rPr>
                <w:rFonts w:ascii="Times New Roman" w:hAnsi="Times New Roman" w:cs="Times New Roman"/>
                <w:b/>
                <w:sz w:val="14"/>
                <w:szCs w:val="14"/>
              </w:rPr>
            </w:pPr>
            <w:r w:rsidRPr="00194386">
              <w:rPr>
                <w:rFonts w:ascii="Times New Roman" w:hAnsi="Times New Roman" w:cs="Times New Roman"/>
                <w:b/>
                <w:sz w:val="14"/>
                <w:szCs w:val="14"/>
              </w:rPr>
              <w:t>889 075</w:t>
            </w:r>
          </w:p>
        </w:tc>
      </w:tr>
      <w:tr w:rsidR="003A497B" w:rsidRPr="00194386" w:rsidTr="003E1809">
        <w:trPr>
          <w:trHeight w:val="255"/>
        </w:trPr>
        <w:tc>
          <w:tcPr>
            <w:tcW w:w="2320" w:type="dxa"/>
            <w:tcBorders>
              <w:top w:val="nil"/>
              <w:left w:val="single" w:sz="4" w:space="0" w:color="auto"/>
              <w:bottom w:val="single" w:sz="4" w:space="0" w:color="auto"/>
              <w:right w:val="single" w:sz="4" w:space="0" w:color="auto"/>
            </w:tcBorders>
            <w:noWrap/>
            <w:vAlign w:val="center"/>
            <w:hideMark/>
          </w:tcPr>
          <w:p w:rsidR="003A497B" w:rsidRPr="00194386" w:rsidRDefault="003A497B" w:rsidP="003E1809">
            <w:pPr>
              <w:rPr>
                <w:rFonts w:ascii="Times New Roman" w:hAnsi="Times New Roman" w:cs="Times New Roman"/>
                <w:color w:val="000000"/>
                <w:sz w:val="14"/>
                <w:szCs w:val="14"/>
              </w:rPr>
            </w:pPr>
            <w:r w:rsidRPr="00194386">
              <w:rPr>
                <w:rFonts w:ascii="Times New Roman" w:hAnsi="Times New Roman" w:cs="Times New Roman"/>
                <w:color w:val="000000"/>
                <w:sz w:val="14"/>
                <w:szCs w:val="14"/>
              </w:rPr>
              <w:t xml:space="preserve">   v tom: bežné výdavky  600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613 207</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801 526</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775 015</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color w:val="000000"/>
                <w:sz w:val="14"/>
                <w:szCs w:val="14"/>
              </w:rPr>
            </w:pPr>
            <w:r w:rsidRPr="00194386">
              <w:rPr>
                <w:rFonts w:ascii="Times New Roman" w:hAnsi="Times New Roman" w:cs="Times New Roman"/>
                <w:color w:val="000000"/>
                <w:sz w:val="14"/>
                <w:szCs w:val="14"/>
              </w:rPr>
              <w:t>767 567</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953 349</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883 349</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883 349</w:t>
            </w:r>
          </w:p>
        </w:tc>
      </w:tr>
      <w:tr w:rsidR="003A497B" w:rsidRPr="00194386" w:rsidTr="003E1809">
        <w:trPr>
          <w:trHeight w:val="255"/>
        </w:trPr>
        <w:tc>
          <w:tcPr>
            <w:tcW w:w="2320" w:type="dxa"/>
            <w:tcBorders>
              <w:top w:val="nil"/>
              <w:left w:val="single" w:sz="4" w:space="0" w:color="auto"/>
              <w:bottom w:val="single" w:sz="4" w:space="0" w:color="auto"/>
              <w:right w:val="single" w:sz="4" w:space="0" w:color="auto"/>
            </w:tcBorders>
            <w:noWrap/>
            <w:vAlign w:val="center"/>
            <w:hideMark/>
          </w:tcPr>
          <w:p w:rsidR="003A497B" w:rsidRPr="00194386" w:rsidRDefault="003A497B" w:rsidP="003E1809">
            <w:pPr>
              <w:rPr>
                <w:rFonts w:ascii="Times New Roman" w:hAnsi="Times New Roman" w:cs="Times New Roman"/>
                <w:color w:val="000000"/>
                <w:sz w:val="14"/>
                <w:szCs w:val="14"/>
              </w:rPr>
            </w:pPr>
            <w:r w:rsidRPr="00194386">
              <w:rPr>
                <w:rFonts w:ascii="Times New Roman" w:hAnsi="Times New Roman" w:cs="Times New Roman"/>
                <w:color w:val="000000"/>
                <w:sz w:val="14"/>
                <w:szCs w:val="14"/>
              </w:rPr>
              <w:t xml:space="preserve">                          610 mzdy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327 114</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359 848</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480 652</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color w:val="000000"/>
                <w:sz w:val="14"/>
                <w:szCs w:val="14"/>
              </w:rPr>
            </w:pPr>
            <w:r w:rsidRPr="00194386">
              <w:rPr>
                <w:rFonts w:ascii="Times New Roman" w:hAnsi="Times New Roman" w:cs="Times New Roman"/>
                <w:color w:val="000000"/>
                <w:sz w:val="14"/>
                <w:szCs w:val="14"/>
              </w:rPr>
              <w:t>498 571</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524 115</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524 115</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524 115</w:t>
            </w:r>
          </w:p>
        </w:tc>
      </w:tr>
      <w:tr w:rsidR="003A497B" w:rsidRPr="00194386" w:rsidTr="003E1809">
        <w:trPr>
          <w:trHeight w:val="255"/>
        </w:trPr>
        <w:tc>
          <w:tcPr>
            <w:tcW w:w="2320" w:type="dxa"/>
            <w:tcBorders>
              <w:top w:val="nil"/>
              <w:left w:val="single" w:sz="4" w:space="0" w:color="auto"/>
              <w:bottom w:val="single" w:sz="4" w:space="0" w:color="auto"/>
              <w:right w:val="single" w:sz="4" w:space="0" w:color="auto"/>
            </w:tcBorders>
            <w:noWrap/>
            <w:vAlign w:val="center"/>
            <w:hideMark/>
          </w:tcPr>
          <w:p w:rsidR="003A497B" w:rsidRPr="00194386" w:rsidRDefault="003A497B" w:rsidP="003E1809">
            <w:pPr>
              <w:rPr>
                <w:rFonts w:ascii="Times New Roman" w:hAnsi="Times New Roman" w:cs="Times New Roman"/>
                <w:color w:val="000000"/>
                <w:sz w:val="14"/>
                <w:szCs w:val="14"/>
              </w:rPr>
            </w:pPr>
            <w:r w:rsidRPr="00194386">
              <w:rPr>
                <w:rFonts w:ascii="Times New Roman" w:hAnsi="Times New Roman" w:cs="Times New Roman"/>
                <w:color w:val="000000"/>
                <w:sz w:val="14"/>
                <w:szCs w:val="14"/>
              </w:rPr>
              <w:t xml:space="preserve">                          620 odvody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103 435</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122 490</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155 510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color w:val="000000"/>
                <w:sz w:val="14"/>
                <w:szCs w:val="14"/>
              </w:rPr>
            </w:pPr>
            <w:r w:rsidRPr="00194386">
              <w:rPr>
                <w:rFonts w:ascii="Times New Roman" w:hAnsi="Times New Roman" w:cs="Times New Roman"/>
                <w:color w:val="000000"/>
                <w:sz w:val="14"/>
                <w:szCs w:val="14"/>
              </w:rPr>
              <w:t>110 143</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170 381</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170 381</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170 381</w:t>
            </w:r>
          </w:p>
        </w:tc>
      </w:tr>
      <w:tr w:rsidR="003A497B" w:rsidRPr="00194386" w:rsidTr="003E1809">
        <w:trPr>
          <w:trHeight w:val="255"/>
        </w:trPr>
        <w:tc>
          <w:tcPr>
            <w:tcW w:w="2320" w:type="dxa"/>
            <w:tcBorders>
              <w:top w:val="nil"/>
              <w:left w:val="single" w:sz="4" w:space="0" w:color="auto"/>
              <w:bottom w:val="single" w:sz="4" w:space="0" w:color="auto"/>
              <w:right w:val="single" w:sz="4" w:space="0" w:color="auto"/>
            </w:tcBorders>
            <w:noWrap/>
            <w:vAlign w:val="center"/>
            <w:hideMark/>
          </w:tcPr>
          <w:p w:rsidR="003A497B" w:rsidRPr="00194386" w:rsidRDefault="003A497B" w:rsidP="003E1809">
            <w:pPr>
              <w:rPr>
                <w:rFonts w:ascii="Times New Roman" w:hAnsi="Times New Roman" w:cs="Times New Roman"/>
                <w:color w:val="000000"/>
                <w:sz w:val="14"/>
                <w:szCs w:val="14"/>
              </w:rPr>
            </w:pPr>
            <w:r w:rsidRPr="00194386">
              <w:rPr>
                <w:rFonts w:ascii="Times New Roman" w:hAnsi="Times New Roman" w:cs="Times New Roman"/>
                <w:color w:val="000000"/>
                <w:sz w:val="14"/>
                <w:szCs w:val="14"/>
              </w:rPr>
              <w:t xml:space="preserve">                          630 tovary a služby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177 999</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293 396</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131 550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color w:val="000000"/>
                <w:sz w:val="14"/>
                <w:szCs w:val="14"/>
              </w:rPr>
            </w:pPr>
            <w:r w:rsidRPr="00194386">
              <w:rPr>
                <w:rFonts w:ascii="Times New Roman" w:hAnsi="Times New Roman" w:cs="Times New Roman"/>
                <w:color w:val="000000"/>
                <w:sz w:val="14"/>
                <w:szCs w:val="14"/>
              </w:rPr>
              <w:t>151 550</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251 550</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181 550</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181 550</w:t>
            </w:r>
          </w:p>
        </w:tc>
      </w:tr>
      <w:tr w:rsidR="003A497B" w:rsidRPr="00194386" w:rsidTr="003E1809">
        <w:trPr>
          <w:trHeight w:val="255"/>
        </w:trPr>
        <w:tc>
          <w:tcPr>
            <w:tcW w:w="2320" w:type="dxa"/>
            <w:tcBorders>
              <w:top w:val="nil"/>
              <w:left w:val="single" w:sz="4" w:space="0" w:color="auto"/>
              <w:bottom w:val="single" w:sz="4" w:space="0" w:color="auto"/>
              <w:right w:val="single" w:sz="4" w:space="0" w:color="auto"/>
            </w:tcBorders>
            <w:noWrap/>
            <w:vAlign w:val="center"/>
            <w:hideMark/>
          </w:tcPr>
          <w:p w:rsidR="003A497B" w:rsidRPr="00194386" w:rsidRDefault="003A497B" w:rsidP="003E1809">
            <w:pPr>
              <w:rPr>
                <w:rFonts w:ascii="Times New Roman" w:hAnsi="Times New Roman" w:cs="Times New Roman"/>
                <w:color w:val="000000"/>
                <w:sz w:val="14"/>
                <w:szCs w:val="14"/>
              </w:rPr>
            </w:pPr>
            <w:r w:rsidRPr="00194386">
              <w:rPr>
                <w:rFonts w:ascii="Times New Roman" w:hAnsi="Times New Roman" w:cs="Times New Roman"/>
                <w:color w:val="000000"/>
                <w:sz w:val="14"/>
                <w:szCs w:val="14"/>
              </w:rPr>
              <w:t xml:space="preserve">                          640 bežné transfery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4 659</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25 792</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7 303</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color w:val="000000"/>
                <w:sz w:val="14"/>
                <w:szCs w:val="14"/>
              </w:rPr>
            </w:pPr>
            <w:r w:rsidRPr="00194386">
              <w:rPr>
                <w:rFonts w:ascii="Times New Roman" w:hAnsi="Times New Roman" w:cs="Times New Roman"/>
                <w:color w:val="000000"/>
                <w:sz w:val="14"/>
                <w:szCs w:val="14"/>
              </w:rPr>
              <w:t>7 303</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7 303</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7 303</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7 303</w:t>
            </w:r>
          </w:p>
        </w:tc>
      </w:tr>
      <w:tr w:rsidR="003A497B" w:rsidRPr="00194386" w:rsidTr="003E1809">
        <w:trPr>
          <w:trHeight w:val="255"/>
        </w:trPr>
        <w:tc>
          <w:tcPr>
            <w:tcW w:w="2320" w:type="dxa"/>
            <w:tcBorders>
              <w:top w:val="nil"/>
              <w:left w:val="single" w:sz="4" w:space="0" w:color="auto"/>
              <w:bottom w:val="single" w:sz="4" w:space="0" w:color="auto"/>
              <w:right w:val="single" w:sz="4" w:space="0" w:color="auto"/>
            </w:tcBorders>
            <w:noWrap/>
            <w:vAlign w:val="center"/>
            <w:hideMark/>
          </w:tcPr>
          <w:p w:rsidR="003A497B" w:rsidRPr="00194386" w:rsidRDefault="003A497B" w:rsidP="003E1809">
            <w:pPr>
              <w:rPr>
                <w:rFonts w:ascii="Times New Roman" w:hAnsi="Times New Roman" w:cs="Times New Roman"/>
                <w:color w:val="000000"/>
                <w:sz w:val="14"/>
                <w:szCs w:val="14"/>
              </w:rPr>
            </w:pPr>
            <w:r w:rsidRPr="00194386">
              <w:rPr>
                <w:rFonts w:ascii="Times New Roman" w:hAnsi="Times New Roman" w:cs="Times New Roman"/>
                <w:color w:val="000000"/>
                <w:sz w:val="14"/>
                <w:szCs w:val="14"/>
              </w:rPr>
              <w:t xml:space="preserve">             kapitálové výdavky 700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0</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5 726</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5 726</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color w:val="000000"/>
                <w:sz w:val="14"/>
                <w:szCs w:val="14"/>
              </w:rPr>
            </w:pPr>
            <w:r w:rsidRPr="00194386">
              <w:rPr>
                <w:rFonts w:ascii="Times New Roman" w:hAnsi="Times New Roman" w:cs="Times New Roman"/>
                <w:color w:val="000000"/>
                <w:sz w:val="14"/>
                <w:szCs w:val="14"/>
              </w:rPr>
              <w:t>57 036</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5 726</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5 726</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sz w:val="14"/>
                <w:szCs w:val="14"/>
              </w:rPr>
            </w:pPr>
            <w:r w:rsidRPr="00194386">
              <w:rPr>
                <w:rFonts w:ascii="Times New Roman" w:hAnsi="Times New Roman" w:cs="Times New Roman"/>
                <w:sz w:val="14"/>
                <w:szCs w:val="14"/>
              </w:rPr>
              <w:t>5 726</w:t>
            </w:r>
          </w:p>
        </w:tc>
      </w:tr>
      <w:tr w:rsidR="003A497B" w:rsidRPr="00194386" w:rsidTr="003E1809">
        <w:trPr>
          <w:trHeight w:val="255"/>
        </w:trPr>
        <w:tc>
          <w:tcPr>
            <w:tcW w:w="2320" w:type="dxa"/>
            <w:tcBorders>
              <w:top w:val="nil"/>
              <w:left w:val="single" w:sz="4" w:space="0" w:color="auto"/>
              <w:bottom w:val="single" w:sz="4" w:space="0" w:color="auto"/>
              <w:right w:val="single" w:sz="4" w:space="0" w:color="auto"/>
            </w:tcBorders>
            <w:noWrap/>
            <w:vAlign w:val="center"/>
          </w:tcPr>
          <w:p w:rsidR="003A497B" w:rsidRPr="00194386" w:rsidRDefault="003A497B" w:rsidP="003E1809">
            <w:pPr>
              <w:rPr>
                <w:rFonts w:ascii="Times New Roman" w:hAnsi="Times New Roman" w:cs="Times New Roman"/>
                <w:b/>
                <w:color w:val="000000"/>
                <w:sz w:val="14"/>
                <w:szCs w:val="14"/>
              </w:rPr>
            </w:pPr>
            <w:r w:rsidRPr="00194386">
              <w:rPr>
                <w:rFonts w:ascii="Times New Roman" w:hAnsi="Times New Roman" w:cs="Times New Roman"/>
                <w:color w:val="000000"/>
                <w:sz w:val="14"/>
                <w:szCs w:val="14"/>
              </w:rPr>
              <w:t xml:space="preserve">  </w:t>
            </w:r>
            <w:r w:rsidRPr="00194386">
              <w:rPr>
                <w:rFonts w:ascii="Times New Roman" w:hAnsi="Times New Roman" w:cs="Times New Roman"/>
                <w:b/>
                <w:color w:val="000000"/>
                <w:sz w:val="14"/>
                <w:szCs w:val="14"/>
              </w:rPr>
              <w:t>presun z minulých rokov § 8 ŠR</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b/>
                <w:sz w:val="14"/>
                <w:szCs w:val="14"/>
              </w:rPr>
            </w:pPr>
            <w:r w:rsidRPr="00194386">
              <w:rPr>
                <w:rFonts w:ascii="Times New Roman" w:hAnsi="Times New Roman" w:cs="Times New Roman"/>
                <w:b/>
                <w:sz w:val="14"/>
                <w:szCs w:val="14"/>
              </w:rPr>
              <w:t>104 624</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b/>
                <w:sz w:val="14"/>
                <w:szCs w:val="14"/>
              </w:rPr>
            </w:pPr>
            <w:r w:rsidRPr="00194386">
              <w:rPr>
                <w:rFonts w:ascii="Times New Roman" w:hAnsi="Times New Roman" w:cs="Times New Roman"/>
                <w:b/>
                <w:sz w:val="14"/>
                <w:szCs w:val="14"/>
              </w:rPr>
              <w:t>64 375</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b/>
                <w:sz w:val="14"/>
                <w:szCs w:val="14"/>
              </w:rPr>
            </w:pPr>
            <w:r w:rsidRPr="00194386">
              <w:rPr>
                <w:rFonts w:ascii="Times New Roman" w:hAnsi="Times New Roman" w:cs="Times New Roman"/>
                <w:b/>
                <w:sz w:val="14"/>
                <w:szCs w:val="14"/>
              </w:rPr>
              <w:t>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b/>
                <w:sz w:val="14"/>
                <w:szCs w:val="14"/>
              </w:rPr>
            </w:pPr>
            <w:r w:rsidRPr="00194386">
              <w:rPr>
                <w:rFonts w:ascii="Times New Roman" w:hAnsi="Times New Roman" w:cs="Times New Roman"/>
                <w:b/>
                <w:sz w:val="14"/>
                <w:szCs w:val="14"/>
              </w:rPr>
              <w:t>0</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b/>
                <w:sz w:val="14"/>
                <w:szCs w:val="14"/>
              </w:rPr>
            </w:pPr>
            <w:r w:rsidRPr="00194386">
              <w:rPr>
                <w:rFonts w:ascii="Times New Roman" w:hAnsi="Times New Roman" w:cs="Times New Roman"/>
                <w:b/>
                <w:sz w:val="14"/>
                <w:szCs w:val="14"/>
              </w:rPr>
              <w:t>0</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b/>
                <w:sz w:val="14"/>
                <w:szCs w:val="14"/>
              </w:rPr>
            </w:pPr>
            <w:r w:rsidRPr="00194386">
              <w:rPr>
                <w:rFonts w:ascii="Times New Roman" w:hAnsi="Times New Roman" w:cs="Times New Roman"/>
                <w:b/>
                <w:sz w:val="14"/>
                <w:szCs w:val="14"/>
              </w:rPr>
              <w:t>0</w:t>
            </w:r>
          </w:p>
        </w:tc>
        <w:tc>
          <w:tcPr>
            <w:tcW w:w="960" w:type="dxa"/>
            <w:tcBorders>
              <w:top w:val="nil"/>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b/>
                <w:sz w:val="14"/>
                <w:szCs w:val="14"/>
              </w:rPr>
            </w:pPr>
            <w:r w:rsidRPr="00194386">
              <w:rPr>
                <w:rFonts w:ascii="Times New Roman" w:hAnsi="Times New Roman" w:cs="Times New Roman"/>
                <w:b/>
                <w:sz w:val="14"/>
                <w:szCs w:val="14"/>
              </w:rPr>
              <w:t>0</w:t>
            </w:r>
          </w:p>
        </w:tc>
      </w:tr>
    </w:tbl>
    <w:p w:rsidR="003A497B" w:rsidRPr="00194386" w:rsidRDefault="003A497B" w:rsidP="003A497B">
      <w:pPr>
        <w:ind w:firstLine="708"/>
        <w:jc w:val="both"/>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406"/>
        <w:gridCol w:w="949"/>
        <w:gridCol w:w="951"/>
        <w:gridCol w:w="952"/>
        <w:gridCol w:w="952"/>
        <w:gridCol w:w="952"/>
        <w:gridCol w:w="952"/>
        <w:gridCol w:w="948"/>
      </w:tblGrid>
      <w:tr w:rsidR="003A497B" w:rsidRPr="00194386" w:rsidTr="003E1809">
        <w:trPr>
          <w:trHeight w:val="261"/>
        </w:trPr>
        <w:tc>
          <w:tcPr>
            <w:tcW w:w="1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97B" w:rsidRPr="00194386" w:rsidRDefault="003A497B" w:rsidP="003E1809">
            <w:pPr>
              <w:rPr>
                <w:rFonts w:ascii="Times New Roman" w:hAnsi="Times New Roman" w:cs="Times New Roman"/>
                <w:b/>
                <w:bCs/>
                <w:color w:val="000000"/>
                <w:sz w:val="14"/>
                <w:szCs w:val="14"/>
                <w:lang w:eastAsia="sk-SK"/>
              </w:rPr>
            </w:pPr>
            <w:r w:rsidRPr="00194386">
              <w:rPr>
                <w:rFonts w:ascii="Times New Roman" w:hAnsi="Times New Roman" w:cs="Times New Roman"/>
                <w:b/>
                <w:bCs/>
                <w:color w:val="000000"/>
                <w:sz w:val="14"/>
                <w:szCs w:val="14"/>
                <w:lang w:eastAsia="sk-SK"/>
              </w:rPr>
              <w:t>Samostatné účty</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b/>
                <w:bCs/>
                <w:color w:val="000000"/>
                <w:sz w:val="14"/>
                <w:szCs w:val="14"/>
                <w:lang w:eastAsia="sk-SK"/>
              </w:rPr>
            </w:pPr>
            <w:r w:rsidRPr="00194386">
              <w:rPr>
                <w:rFonts w:ascii="Times New Roman" w:hAnsi="Times New Roman" w:cs="Times New Roman"/>
                <w:b/>
                <w:bCs/>
                <w:color w:val="000000"/>
                <w:sz w:val="14"/>
                <w:szCs w:val="14"/>
              </w:rPr>
              <w:t>4 753</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b/>
                <w:bCs/>
                <w:color w:val="000000"/>
                <w:sz w:val="14"/>
                <w:szCs w:val="14"/>
              </w:rPr>
            </w:pPr>
            <w:r w:rsidRPr="00194386">
              <w:rPr>
                <w:rFonts w:ascii="Times New Roman" w:hAnsi="Times New Roman" w:cs="Times New Roman"/>
                <w:b/>
                <w:bCs/>
                <w:color w:val="000000"/>
                <w:sz w:val="14"/>
                <w:szCs w:val="14"/>
              </w:rPr>
              <w:t>0</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b/>
                <w:bCs/>
                <w:color w:val="000000"/>
                <w:sz w:val="14"/>
                <w:szCs w:val="14"/>
              </w:rPr>
            </w:pPr>
            <w:r w:rsidRPr="00194386">
              <w:rPr>
                <w:rFonts w:ascii="Times New Roman" w:hAnsi="Times New Roman" w:cs="Times New Roman"/>
                <w:b/>
                <w:bCs/>
                <w:color w:val="000000"/>
                <w:sz w:val="14"/>
                <w:szCs w:val="14"/>
              </w:rPr>
              <w:t>0</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b/>
                <w:bCs/>
                <w:color w:val="000000"/>
                <w:sz w:val="14"/>
                <w:szCs w:val="14"/>
              </w:rPr>
            </w:pPr>
            <w:r w:rsidRPr="00194386">
              <w:rPr>
                <w:rFonts w:ascii="Times New Roman" w:hAnsi="Times New Roman" w:cs="Times New Roman"/>
                <w:b/>
                <w:bCs/>
                <w:color w:val="000000"/>
                <w:sz w:val="14"/>
                <w:szCs w:val="14"/>
              </w:rPr>
              <w:t>0</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b/>
                <w:bCs/>
                <w:color w:val="000000"/>
                <w:sz w:val="14"/>
                <w:szCs w:val="14"/>
              </w:rPr>
            </w:pPr>
            <w:r w:rsidRPr="00194386">
              <w:rPr>
                <w:rFonts w:ascii="Times New Roman" w:hAnsi="Times New Roman" w:cs="Times New Roman"/>
                <w:b/>
                <w:bCs/>
                <w:color w:val="000000"/>
                <w:sz w:val="14"/>
                <w:szCs w:val="14"/>
              </w:rPr>
              <w:t>0</w:t>
            </w:r>
          </w:p>
        </w:tc>
        <w:tc>
          <w:tcPr>
            <w:tcW w:w="525" w:type="pct"/>
            <w:tcBorders>
              <w:top w:val="single" w:sz="4" w:space="0" w:color="auto"/>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b/>
                <w:bCs/>
                <w:color w:val="000000"/>
                <w:sz w:val="14"/>
                <w:szCs w:val="14"/>
              </w:rPr>
            </w:pPr>
            <w:r w:rsidRPr="00194386">
              <w:rPr>
                <w:rFonts w:ascii="Times New Roman" w:hAnsi="Times New Roman" w:cs="Times New Roman"/>
                <w:b/>
                <w:bCs/>
                <w:color w:val="000000"/>
                <w:sz w:val="14"/>
                <w:szCs w:val="14"/>
              </w:rPr>
              <w:t>0</w:t>
            </w:r>
          </w:p>
        </w:tc>
        <w:tc>
          <w:tcPr>
            <w:tcW w:w="523" w:type="pct"/>
            <w:tcBorders>
              <w:top w:val="single" w:sz="4" w:space="0" w:color="auto"/>
              <w:left w:val="nil"/>
              <w:bottom w:val="single" w:sz="4" w:space="0" w:color="auto"/>
              <w:right w:val="single" w:sz="4" w:space="0" w:color="auto"/>
            </w:tcBorders>
            <w:shd w:val="clear" w:color="auto" w:fill="auto"/>
            <w:noWrap/>
            <w:vAlign w:val="bottom"/>
            <w:hideMark/>
          </w:tcPr>
          <w:p w:rsidR="003A497B" w:rsidRPr="00194386" w:rsidRDefault="003A497B" w:rsidP="003E1809">
            <w:pPr>
              <w:jc w:val="right"/>
              <w:rPr>
                <w:rFonts w:ascii="Times New Roman" w:hAnsi="Times New Roman" w:cs="Times New Roman"/>
                <w:b/>
                <w:bCs/>
                <w:color w:val="000000"/>
                <w:sz w:val="14"/>
                <w:szCs w:val="14"/>
              </w:rPr>
            </w:pPr>
            <w:r w:rsidRPr="00194386">
              <w:rPr>
                <w:rFonts w:ascii="Times New Roman" w:hAnsi="Times New Roman" w:cs="Times New Roman"/>
                <w:b/>
                <w:bCs/>
                <w:color w:val="000000"/>
                <w:sz w:val="14"/>
                <w:szCs w:val="14"/>
              </w:rPr>
              <w:t>0</w:t>
            </w:r>
          </w:p>
        </w:tc>
      </w:tr>
    </w:tbl>
    <w:p w:rsidR="003A497B" w:rsidRPr="00194386" w:rsidRDefault="003A497B" w:rsidP="003A497B">
      <w:pPr>
        <w:ind w:firstLine="708"/>
        <w:jc w:val="both"/>
        <w:rPr>
          <w:rFonts w:ascii="Times New Roman" w:hAnsi="Times New Roman" w:cs="Times New Roman"/>
        </w:rPr>
      </w:pPr>
    </w:p>
    <w:p w:rsidR="003A497B" w:rsidRPr="00194386" w:rsidRDefault="003A497B" w:rsidP="003A497B">
      <w:pPr>
        <w:ind w:firstLine="708"/>
        <w:jc w:val="both"/>
        <w:rPr>
          <w:rFonts w:ascii="Times New Roman" w:hAnsi="Times New Roman" w:cs="Times New Roman"/>
        </w:rPr>
      </w:pPr>
      <w:r w:rsidRPr="00194386">
        <w:rPr>
          <w:rFonts w:ascii="Times New Roman" w:hAnsi="Times New Roman" w:cs="Times New Roman"/>
        </w:rPr>
        <w:lastRenderedPageBreak/>
        <w:t xml:space="preserve">Celkové výdavky kapitoly na rok 2019 sa rozpočtujú v sume 959 tis. eur a oproti schválenému rozpočtu roku 2018 medziročne rastú o 178 tis. eur, t. j. o 22,8 %. </w:t>
      </w:r>
    </w:p>
    <w:p w:rsidR="003A497B" w:rsidRPr="00194386" w:rsidRDefault="003A497B" w:rsidP="003A497B">
      <w:pPr>
        <w:jc w:val="both"/>
        <w:rPr>
          <w:rFonts w:ascii="Times New Roman" w:hAnsi="Times New Roman" w:cs="Times New Roman"/>
        </w:rPr>
      </w:pPr>
    </w:p>
    <w:p w:rsidR="003A497B" w:rsidRPr="00194386" w:rsidRDefault="003A497B" w:rsidP="003A497B">
      <w:pPr>
        <w:ind w:firstLine="708"/>
        <w:jc w:val="both"/>
        <w:rPr>
          <w:rFonts w:ascii="Times New Roman" w:hAnsi="Times New Roman" w:cs="Times New Roman"/>
          <w:bCs/>
        </w:rPr>
      </w:pPr>
      <w:r w:rsidRPr="00194386">
        <w:rPr>
          <w:rFonts w:ascii="Times New Roman" w:hAnsi="Times New Roman" w:cs="Times New Roman"/>
        </w:rPr>
        <w:t>Na rok 2019 sa rozpočtujú osobné výdavky v sume 694 tis. eur, čo predstavuje medziročný nárast o 58,3 tis. eur. Nárast súvisí s premietnutím valorizácie platov z roku 2018 do nasledujúcich rokov a s personálnym posilnením Kancelárie súdnej rady SR.</w:t>
      </w:r>
    </w:p>
    <w:p w:rsidR="003A497B" w:rsidRPr="00194386" w:rsidRDefault="003A497B" w:rsidP="003A497B">
      <w:pPr>
        <w:jc w:val="both"/>
        <w:rPr>
          <w:rFonts w:ascii="Times New Roman" w:hAnsi="Times New Roman" w:cs="Times New Roman"/>
          <w:highlight w:val="yellow"/>
        </w:rPr>
      </w:pPr>
    </w:p>
    <w:p w:rsidR="003A497B" w:rsidRPr="00194386" w:rsidRDefault="003A497B" w:rsidP="003A497B">
      <w:pPr>
        <w:ind w:firstLine="708"/>
        <w:jc w:val="both"/>
        <w:rPr>
          <w:rFonts w:ascii="Times New Roman" w:hAnsi="Times New Roman" w:cs="Times New Roman"/>
        </w:rPr>
      </w:pPr>
      <w:r w:rsidRPr="00194386">
        <w:rPr>
          <w:rFonts w:ascii="Times New Roman" w:hAnsi="Times New Roman" w:cs="Times New Roman"/>
        </w:rPr>
        <w:t>Tovary a služby sa na rok 2019 rozpočtujú v sume 252 tis. eur, čo predstavuje medziročný nárast o 120 tis. eur, t. j. o 91,2 %. Nárast je zaznamenaný v dôsledku zvýšenia prevádzkových výdavkov na nájomné a výdavkov na usporiadanie Valného zhromaždenia Európskej siete súdnych rád v roku 2019.</w:t>
      </w:r>
    </w:p>
    <w:p w:rsidR="003A497B" w:rsidRPr="00194386" w:rsidRDefault="003A497B" w:rsidP="003A497B">
      <w:pPr>
        <w:jc w:val="both"/>
        <w:rPr>
          <w:rFonts w:ascii="Times New Roman" w:hAnsi="Times New Roman" w:cs="Times New Roman"/>
        </w:rPr>
      </w:pPr>
    </w:p>
    <w:p w:rsidR="003A497B" w:rsidRPr="00194386" w:rsidRDefault="003A497B" w:rsidP="003A497B">
      <w:pPr>
        <w:ind w:firstLine="708"/>
        <w:jc w:val="both"/>
        <w:rPr>
          <w:rFonts w:ascii="Times New Roman" w:hAnsi="Times New Roman" w:cs="Times New Roman"/>
        </w:rPr>
      </w:pPr>
      <w:r w:rsidRPr="00194386">
        <w:rPr>
          <w:rFonts w:ascii="Times New Roman" w:hAnsi="Times New Roman" w:cs="Times New Roman"/>
        </w:rPr>
        <w:t>Bežné transfery sa na rok 2019 rozpočtujú v sume 7,30 tis. eur, čo predstavuje úroveň schváleného rozpočtu roku 2018.</w:t>
      </w:r>
    </w:p>
    <w:p w:rsidR="003A497B" w:rsidRPr="00194386" w:rsidRDefault="003A497B" w:rsidP="003A497B">
      <w:pPr>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sidRPr="00194386">
        <w:rPr>
          <w:rFonts w:ascii="Times New Roman" w:hAnsi="Times New Roman" w:cs="Times New Roman"/>
        </w:rPr>
        <w:t>Kapitálové výdavky sa rozpočtujú v sume 5,73 tis. eur a medziročne sa nemenia. Kapitálové výdavky sa plánujú použiť na nákup kancelárskej techniky.</w:t>
      </w:r>
    </w:p>
    <w:p w:rsidR="003A497B" w:rsidRPr="00912A7B" w:rsidRDefault="003A497B" w:rsidP="003A497B">
      <w:pPr>
        <w:pStyle w:val="Nadpis5"/>
        <w:pBdr>
          <w:bottom w:val="single" w:sz="4" w:space="1" w:color="auto"/>
        </w:pBdr>
        <w:ind w:left="0"/>
        <w:rPr>
          <w:i w:val="0"/>
          <w:sz w:val="24"/>
          <w:lang w:eastAsia="sk-SK"/>
        </w:rPr>
      </w:pPr>
      <w:bookmarkStart w:id="251" w:name="_Toc494470110"/>
      <w:bookmarkStart w:id="252" w:name="_Toc494472286"/>
      <w:bookmarkStart w:id="253" w:name="_Toc526267711"/>
      <w:r w:rsidRPr="00912A7B">
        <w:rPr>
          <w:i w:val="0"/>
          <w:sz w:val="24"/>
          <w:lang w:eastAsia="sk-SK"/>
        </w:rPr>
        <w:t>Generálna prokuratúra SR</w:t>
      </w:r>
      <w:bookmarkEnd w:id="251"/>
      <w:bookmarkEnd w:id="252"/>
      <w:bookmarkEnd w:id="253"/>
    </w:p>
    <w:p w:rsidR="003A497B" w:rsidRPr="000F48E9" w:rsidRDefault="003A497B" w:rsidP="003A497B">
      <w:pPr>
        <w:jc w:val="both"/>
        <w:rPr>
          <w:rFonts w:ascii="Times New Roman" w:hAnsi="Times New Roman" w:cs="Times New Roman"/>
          <w:b/>
          <w:bCs/>
          <w:iCs/>
          <w:szCs w:val="26"/>
        </w:rPr>
      </w:pPr>
    </w:p>
    <w:tbl>
      <w:tblPr>
        <w:tblW w:w="5000" w:type="pct"/>
        <w:tblCellMar>
          <w:left w:w="70" w:type="dxa"/>
          <w:right w:w="70" w:type="dxa"/>
        </w:tblCellMar>
        <w:tblLook w:val="04A0" w:firstRow="1" w:lastRow="0" w:firstColumn="1" w:lastColumn="0" w:noHBand="0" w:noVBand="1"/>
      </w:tblPr>
      <w:tblGrid>
        <w:gridCol w:w="2895"/>
        <w:gridCol w:w="881"/>
        <w:gridCol w:w="881"/>
        <w:gridCol w:w="881"/>
        <w:gridCol w:w="881"/>
        <w:gridCol w:w="881"/>
        <w:gridCol w:w="881"/>
        <w:gridCol w:w="881"/>
      </w:tblGrid>
      <w:tr w:rsidR="003A497B" w:rsidRPr="00A22A2D" w:rsidTr="003E1809">
        <w:trPr>
          <w:trHeight w:hRule="exact" w:val="255"/>
        </w:trPr>
        <w:tc>
          <w:tcPr>
            <w:tcW w:w="159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A22A2D" w:rsidRDefault="003A497B" w:rsidP="003E1809">
            <w:pPr>
              <w:rPr>
                <w:rFonts w:ascii="Times New Roman" w:hAnsi="Times New Roman" w:cs="Times New Roman"/>
                <w:b/>
                <w:bCs/>
                <w:color w:val="000000"/>
                <w:sz w:val="14"/>
                <w:szCs w:val="14"/>
                <w:lang w:eastAsia="sk-SK"/>
              </w:rPr>
            </w:pPr>
            <w:r w:rsidRPr="00A22A2D">
              <w:rPr>
                <w:rFonts w:ascii="Times New Roman" w:hAnsi="Times New Roman" w:cs="Times New Roman"/>
                <w:b/>
                <w:bCs/>
                <w:color w:val="000000"/>
                <w:sz w:val="14"/>
                <w:szCs w:val="14"/>
                <w:lang w:eastAsia="sk-SK"/>
              </w:rPr>
              <w:t>v eurách</w:t>
            </w:r>
          </w:p>
        </w:tc>
        <w:tc>
          <w:tcPr>
            <w:tcW w:w="48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A22A2D" w:rsidRDefault="003A497B" w:rsidP="003E1809">
            <w:pPr>
              <w:jc w:val="center"/>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2016 S</w:t>
            </w:r>
          </w:p>
        </w:tc>
        <w:tc>
          <w:tcPr>
            <w:tcW w:w="48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A22A2D" w:rsidRDefault="003A497B" w:rsidP="003E1809">
            <w:pPr>
              <w:jc w:val="center"/>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2017 S</w:t>
            </w:r>
          </w:p>
        </w:tc>
        <w:tc>
          <w:tcPr>
            <w:tcW w:w="48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A22A2D" w:rsidRDefault="003A497B" w:rsidP="003E1809">
            <w:pPr>
              <w:jc w:val="center"/>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2018 R</w:t>
            </w:r>
          </w:p>
        </w:tc>
        <w:tc>
          <w:tcPr>
            <w:tcW w:w="48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A22A2D" w:rsidRDefault="003A497B" w:rsidP="003E1809">
            <w:pPr>
              <w:jc w:val="center"/>
              <w:rPr>
                <w:rFonts w:ascii="Times New Roman" w:hAnsi="Times New Roman" w:cs="Times New Roman"/>
                <w:b/>
                <w:bCs/>
                <w:color w:val="000000"/>
                <w:sz w:val="14"/>
                <w:szCs w:val="14"/>
                <w:lang w:eastAsia="sk-SK"/>
              </w:rPr>
            </w:pPr>
            <w:r w:rsidRPr="00A22A2D">
              <w:rPr>
                <w:rFonts w:ascii="Times New Roman" w:hAnsi="Times New Roman" w:cs="Times New Roman"/>
                <w:b/>
                <w:bCs/>
                <w:color w:val="000000"/>
                <w:sz w:val="14"/>
                <w:szCs w:val="14"/>
                <w:lang w:eastAsia="sk-SK"/>
              </w:rPr>
              <w:t>2018 OS</w:t>
            </w:r>
          </w:p>
        </w:tc>
        <w:tc>
          <w:tcPr>
            <w:tcW w:w="48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A22A2D" w:rsidRDefault="003A497B" w:rsidP="003E1809">
            <w:pPr>
              <w:jc w:val="center"/>
              <w:rPr>
                <w:rFonts w:ascii="Times New Roman" w:hAnsi="Times New Roman" w:cs="Times New Roman"/>
                <w:b/>
                <w:bCs/>
                <w:color w:val="000000"/>
                <w:sz w:val="14"/>
                <w:szCs w:val="14"/>
                <w:lang w:eastAsia="sk-SK"/>
              </w:rPr>
            </w:pPr>
            <w:r w:rsidRPr="00A22A2D">
              <w:rPr>
                <w:rFonts w:ascii="Times New Roman" w:hAnsi="Times New Roman" w:cs="Times New Roman"/>
                <w:b/>
                <w:bCs/>
                <w:color w:val="000000"/>
                <w:sz w:val="14"/>
                <w:szCs w:val="14"/>
                <w:lang w:eastAsia="sk-SK"/>
              </w:rPr>
              <w:t>2019 N</w:t>
            </w:r>
          </w:p>
        </w:tc>
        <w:tc>
          <w:tcPr>
            <w:tcW w:w="48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A22A2D" w:rsidRDefault="003A497B" w:rsidP="003E1809">
            <w:pPr>
              <w:jc w:val="center"/>
              <w:rPr>
                <w:rFonts w:ascii="Times New Roman" w:hAnsi="Times New Roman" w:cs="Times New Roman"/>
                <w:b/>
                <w:bCs/>
                <w:color w:val="000000"/>
                <w:sz w:val="14"/>
                <w:szCs w:val="14"/>
                <w:lang w:eastAsia="sk-SK"/>
              </w:rPr>
            </w:pPr>
            <w:r w:rsidRPr="00A22A2D">
              <w:rPr>
                <w:rFonts w:ascii="Times New Roman" w:hAnsi="Times New Roman" w:cs="Times New Roman"/>
                <w:b/>
                <w:bCs/>
                <w:color w:val="000000"/>
                <w:sz w:val="14"/>
                <w:szCs w:val="14"/>
                <w:lang w:eastAsia="sk-SK"/>
              </w:rPr>
              <w:t>2020 N</w:t>
            </w:r>
          </w:p>
        </w:tc>
        <w:tc>
          <w:tcPr>
            <w:tcW w:w="48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A22A2D" w:rsidRDefault="003A497B" w:rsidP="003E1809">
            <w:pPr>
              <w:jc w:val="center"/>
              <w:rPr>
                <w:rFonts w:ascii="Times New Roman" w:hAnsi="Times New Roman" w:cs="Times New Roman"/>
                <w:b/>
                <w:bCs/>
                <w:color w:val="000000"/>
                <w:sz w:val="14"/>
                <w:szCs w:val="14"/>
                <w:lang w:eastAsia="sk-SK"/>
              </w:rPr>
            </w:pPr>
            <w:r w:rsidRPr="00A22A2D">
              <w:rPr>
                <w:rFonts w:ascii="Times New Roman" w:hAnsi="Times New Roman" w:cs="Times New Roman"/>
                <w:b/>
                <w:bCs/>
                <w:color w:val="000000"/>
                <w:sz w:val="14"/>
                <w:szCs w:val="14"/>
                <w:lang w:eastAsia="sk-SK"/>
              </w:rPr>
              <w:t>2021 N</w:t>
            </w:r>
          </w:p>
        </w:tc>
      </w:tr>
      <w:tr w:rsidR="003A497B" w:rsidRPr="00A22A2D" w:rsidTr="003E1809">
        <w:trPr>
          <w:trHeight w:hRule="exact" w:val="255"/>
        </w:trPr>
        <w:tc>
          <w:tcPr>
            <w:tcW w:w="1597" w:type="pct"/>
            <w:tcBorders>
              <w:top w:val="nil"/>
              <w:left w:val="single" w:sz="4" w:space="0" w:color="auto"/>
              <w:bottom w:val="single" w:sz="4" w:space="0" w:color="auto"/>
              <w:right w:val="single" w:sz="4" w:space="0" w:color="auto"/>
            </w:tcBorders>
            <w:shd w:val="clear" w:color="000000" w:fill="BFBFBF"/>
            <w:noWrap/>
            <w:vAlign w:val="center"/>
            <w:hideMark/>
          </w:tcPr>
          <w:p w:rsidR="003A497B" w:rsidRPr="00A22A2D" w:rsidRDefault="003A497B" w:rsidP="003E1809">
            <w:pPr>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zdroje príslušnej kapitoly vrátane 72e</w:t>
            </w:r>
          </w:p>
        </w:tc>
        <w:tc>
          <w:tcPr>
            <w:tcW w:w="486" w:type="pct"/>
            <w:tcBorders>
              <w:top w:val="nil"/>
              <w:left w:val="nil"/>
              <w:bottom w:val="single" w:sz="4" w:space="0" w:color="auto"/>
              <w:right w:val="single" w:sz="4" w:space="0" w:color="auto"/>
            </w:tcBorders>
            <w:shd w:val="clear" w:color="000000" w:fill="BFBFBF"/>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93 392 284</w:t>
            </w:r>
          </w:p>
        </w:tc>
        <w:tc>
          <w:tcPr>
            <w:tcW w:w="486" w:type="pct"/>
            <w:tcBorders>
              <w:top w:val="nil"/>
              <w:left w:val="nil"/>
              <w:bottom w:val="single" w:sz="4" w:space="0" w:color="auto"/>
              <w:right w:val="single" w:sz="4" w:space="0" w:color="auto"/>
            </w:tcBorders>
            <w:shd w:val="clear" w:color="000000" w:fill="BFBFBF"/>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99 587 964</w:t>
            </w:r>
          </w:p>
        </w:tc>
        <w:tc>
          <w:tcPr>
            <w:tcW w:w="486" w:type="pct"/>
            <w:tcBorders>
              <w:top w:val="nil"/>
              <w:left w:val="nil"/>
              <w:bottom w:val="single" w:sz="4" w:space="0" w:color="auto"/>
              <w:right w:val="single" w:sz="4" w:space="0" w:color="auto"/>
            </w:tcBorders>
            <w:shd w:val="clear" w:color="000000" w:fill="BFBFBF"/>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98 894 576</w:t>
            </w:r>
          </w:p>
        </w:tc>
        <w:tc>
          <w:tcPr>
            <w:tcW w:w="486" w:type="pct"/>
            <w:tcBorders>
              <w:top w:val="nil"/>
              <w:left w:val="nil"/>
              <w:bottom w:val="single" w:sz="4" w:space="0" w:color="auto"/>
              <w:right w:val="single" w:sz="4" w:space="0" w:color="auto"/>
            </w:tcBorders>
            <w:shd w:val="clear" w:color="000000" w:fill="BFBFBF"/>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102 427 924</w:t>
            </w:r>
          </w:p>
        </w:tc>
        <w:tc>
          <w:tcPr>
            <w:tcW w:w="486" w:type="pct"/>
            <w:tcBorders>
              <w:top w:val="nil"/>
              <w:left w:val="nil"/>
              <w:bottom w:val="single" w:sz="4" w:space="0" w:color="auto"/>
              <w:right w:val="single" w:sz="4" w:space="0" w:color="auto"/>
            </w:tcBorders>
            <w:shd w:val="clear" w:color="000000" w:fill="BFBFBF"/>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106 705 475</w:t>
            </w:r>
          </w:p>
        </w:tc>
        <w:tc>
          <w:tcPr>
            <w:tcW w:w="486" w:type="pct"/>
            <w:tcBorders>
              <w:top w:val="nil"/>
              <w:left w:val="nil"/>
              <w:bottom w:val="single" w:sz="4" w:space="0" w:color="auto"/>
              <w:right w:val="single" w:sz="4" w:space="0" w:color="auto"/>
            </w:tcBorders>
            <w:shd w:val="clear" w:color="000000" w:fill="BFBFBF"/>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104 191 405</w:t>
            </w:r>
          </w:p>
        </w:tc>
        <w:tc>
          <w:tcPr>
            <w:tcW w:w="486" w:type="pct"/>
            <w:tcBorders>
              <w:top w:val="nil"/>
              <w:left w:val="nil"/>
              <w:bottom w:val="single" w:sz="4" w:space="0" w:color="auto"/>
              <w:right w:val="single" w:sz="4" w:space="0" w:color="auto"/>
            </w:tcBorders>
            <w:shd w:val="clear" w:color="000000" w:fill="BFBFBF"/>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102 545 289</w:t>
            </w:r>
          </w:p>
        </w:tc>
      </w:tr>
      <w:tr w:rsidR="003A497B" w:rsidRPr="00A22A2D" w:rsidTr="003E1809">
        <w:trPr>
          <w:trHeight w:hRule="exact" w:val="255"/>
        </w:trPr>
        <w:tc>
          <w:tcPr>
            <w:tcW w:w="1597" w:type="pct"/>
            <w:tcBorders>
              <w:top w:val="nil"/>
              <w:left w:val="single" w:sz="4" w:space="0" w:color="auto"/>
              <w:bottom w:val="single" w:sz="4" w:space="0" w:color="auto"/>
              <w:right w:val="single" w:sz="4" w:space="0" w:color="auto"/>
            </w:tcBorders>
            <w:shd w:val="clear" w:color="000000" w:fill="BFBFBF"/>
            <w:noWrap/>
            <w:vAlign w:val="center"/>
            <w:hideMark/>
          </w:tcPr>
          <w:p w:rsidR="003A497B" w:rsidRPr="00A22A2D" w:rsidRDefault="003A497B" w:rsidP="003E1809">
            <w:pPr>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zdroje príslušnej kapitoly</w:t>
            </w:r>
          </w:p>
        </w:tc>
        <w:tc>
          <w:tcPr>
            <w:tcW w:w="486" w:type="pct"/>
            <w:tcBorders>
              <w:top w:val="nil"/>
              <w:left w:val="nil"/>
              <w:bottom w:val="single" w:sz="4" w:space="0" w:color="auto"/>
              <w:right w:val="single" w:sz="4" w:space="0" w:color="auto"/>
            </w:tcBorders>
            <w:shd w:val="clear" w:color="000000" w:fill="BFBFBF"/>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93 392 284</w:t>
            </w:r>
          </w:p>
        </w:tc>
        <w:tc>
          <w:tcPr>
            <w:tcW w:w="486" w:type="pct"/>
            <w:tcBorders>
              <w:top w:val="nil"/>
              <w:left w:val="nil"/>
              <w:bottom w:val="single" w:sz="4" w:space="0" w:color="auto"/>
              <w:right w:val="single" w:sz="4" w:space="0" w:color="auto"/>
            </w:tcBorders>
            <w:shd w:val="clear" w:color="000000" w:fill="BFBFBF"/>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99 587 964</w:t>
            </w:r>
          </w:p>
        </w:tc>
        <w:tc>
          <w:tcPr>
            <w:tcW w:w="486" w:type="pct"/>
            <w:tcBorders>
              <w:top w:val="nil"/>
              <w:left w:val="nil"/>
              <w:bottom w:val="single" w:sz="4" w:space="0" w:color="auto"/>
              <w:right w:val="single" w:sz="4" w:space="0" w:color="auto"/>
            </w:tcBorders>
            <w:shd w:val="clear" w:color="000000" w:fill="BFBFBF"/>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98 894 576</w:t>
            </w:r>
          </w:p>
        </w:tc>
        <w:tc>
          <w:tcPr>
            <w:tcW w:w="486" w:type="pct"/>
            <w:tcBorders>
              <w:top w:val="nil"/>
              <w:left w:val="nil"/>
              <w:bottom w:val="single" w:sz="4" w:space="0" w:color="auto"/>
              <w:right w:val="single" w:sz="4" w:space="0" w:color="auto"/>
            </w:tcBorders>
            <w:shd w:val="clear" w:color="000000" w:fill="BFBFBF"/>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102 427 924</w:t>
            </w:r>
          </w:p>
        </w:tc>
        <w:tc>
          <w:tcPr>
            <w:tcW w:w="486" w:type="pct"/>
            <w:tcBorders>
              <w:top w:val="nil"/>
              <w:left w:val="nil"/>
              <w:bottom w:val="single" w:sz="4" w:space="0" w:color="auto"/>
              <w:right w:val="single" w:sz="4" w:space="0" w:color="auto"/>
            </w:tcBorders>
            <w:shd w:val="clear" w:color="000000" w:fill="BFBFBF"/>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106 705 475</w:t>
            </w:r>
          </w:p>
        </w:tc>
        <w:tc>
          <w:tcPr>
            <w:tcW w:w="486" w:type="pct"/>
            <w:tcBorders>
              <w:top w:val="nil"/>
              <w:left w:val="nil"/>
              <w:bottom w:val="single" w:sz="4" w:space="0" w:color="auto"/>
              <w:right w:val="single" w:sz="4" w:space="0" w:color="auto"/>
            </w:tcBorders>
            <w:shd w:val="clear" w:color="000000" w:fill="BFBFBF"/>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104 191 405</w:t>
            </w:r>
          </w:p>
        </w:tc>
        <w:tc>
          <w:tcPr>
            <w:tcW w:w="486" w:type="pct"/>
            <w:tcBorders>
              <w:top w:val="nil"/>
              <w:left w:val="nil"/>
              <w:bottom w:val="single" w:sz="4" w:space="0" w:color="auto"/>
              <w:right w:val="single" w:sz="4" w:space="0" w:color="auto"/>
            </w:tcBorders>
            <w:shd w:val="clear" w:color="000000" w:fill="BFBFBF"/>
            <w:vAlign w:val="bottom"/>
            <w:hideMark/>
          </w:tcPr>
          <w:p w:rsidR="003A497B" w:rsidRPr="00A22A2D" w:rsidRDefault="003A497B" w:rsidP="003E1809">
            <w:pPr>
              <w:jc w:val="right"/>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102 545 289</w:t>
            </w:r>
          </w:p>
        </w:tc>
      </w:tr>
      <w:tr w:rsidR="003A497B" w:rsidRPr="00A22A2D" w:rsidTr="003E1809">
        <w:trPr>
          <w:trHeight w:hRule="exact" w:val="255"/>
        </w:trPr>
        <w:tc>
          <w:tcPr>
            <w:tcW w:w="1597"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b/>
                <w:bCs/>
                <w:color w:val="000000"/>
                <w:sz w:val="14"/>
                <w:szCs w:val="14"/>
                <w:lang w:eastAsia="sk-SK"/>
              </w:rPr>
            </w:pPr>
            <w:r w:rsidRPr="00A22A2D">
              <w:rPr>
                <w:rFonts w:ascii="Times New Roman" w:hAnsi="Times New Roman" w:cs="Times New Roman"/>
                <w:b/>
                <w:bCs/>
                <w:color w:val="000000"/>
                <w:sz w:val="14"/>
                <w:szCs w:val="14"/>
                <w:lang w:eastAsia="sk-SK"/>
              </w:rPr>
              <w:t xml:space="preserve">rozpočtové zdroje kapitoly </w:t>
            </w:r>
          </w:p>
        </w:tc>
        <w:tc>
          <w:tcPr>
            <w:tcW w:w="486" w:type="pct"/>
            <w:tcBorders>
              <w:top w:val="nil"/>
              <w:left w:val="nil"/>
              <w:bottom w:val="single" w:sz="4" w:space="0" w:color="auto"/>
              <w:right w:val="single" w:sz="4" w:space="0" w:color="auto"/>
            </w:tcBorders>
            <w:shd w:val="clear" w:color="000000" w:fill="FFFFFF"/>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92 216 162</w:t>
            </w:r>
          </w:p>
        </w:tc>
        <w:tc>
          <w:tcPr>
            <w:tcW w:w="486" w:type="pct"/>
            <w:tcBorders>
              <w:top w:val="nil"/>
              <w:left w:val="nil"/>
              <w:bottom w:val="single" w:sz="4" w:space="0" w:color="auto"/>
              <w:right w:val="single" w:sz="4" w:space="0" w:color="auto"/>
            </w:tcBorders>
            <w:shd w:val="clear" w:color="000000" w:fill="FFFFFF"/>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97 201 749</w:t>
            </w:r>
          </w:p>
        </w:tc>
        <w:tc>
          <w:tcPr>
            <w:tcW w:w="486" w:type="pct"/>
            <w:tcBorders>
              <w:top w:val="nil"/>
              <w:left w:val="nil"/>
              <w:bottom w:val="single" w:sz="4" w:space="0" w:color="auto"/>
              <w:right w:val="single" w:sz="4" w:space="0" w:color="auto"/>
            </w:tcBorders>
            <w:shd w:val="clear" w:color="000000" w:fill="FFFFFF"/>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98 894 576</w:t>
            </w:r>
          </w:p>
        </w:tc>
        <w:tc>
          <w:tcPr>
            <w:tcW w:w="486" w:type="pct"/>
            <w:tcBorders>
              <w:top w:val="nil"/>
              <w:left w:val="nil"/>
              <w:bottom w:val="single" w:sz="4" w:space="0" w:color="auto"/>
              <w:right w:val="single" w:sz="4" w:space="0" w:color="auto"/>
            </w:tcBorders>
            <w:shd w:val="clear" w:color="000000" w:fill="FFFFFF"/>
            <w:vAlign w:val="bottom"/>
            <w:hideMark/>
          </w:tcPr>
          <w:p w:rsidR="003A497B" w:rsidRPr="00A22A2D" w:rsidRDefault="003A497B" w:rsidP="003E1809">
            <w:pPr>
              <w:jc w:val="right"/>
              <w:rPr>
                <w:rFonts w:ascii="Times New Roman" w:hAnsi="Times New Roman" w:cs="Times New Roman"/>
                <w:color w:val="000000"/>
                <w:sz w:val="14"/>
                <w:szCs w:val="14"/>
                <w:highlight w:val="yellow"/>
                <w:lang w:eastAsia="sk-SK"/>
              </w:rPr>
            </w:pPr>
            <w:r w:rsidRPr="00A22A2D">
              <w:rPr>
                <w:rFonts w:ascii="Times New Roman" w:hAnsi="Times New Roman" w:cs="Times New Roman"/>
                <w:color w:val="000000"/>
                <w:sz w:val="14"/>
                <w:szCs w:val="14"/>
                <w:lang w:eastAsia="sk-SK"/>
              </w:rPr>
              <w:t>102 427 924</w:t>
            </w:r>
          </w:p>
        </w:tc>
        <w:tc>
          <w:tcPr>
            <w:tcW w:w="486" w:type="pct"/>
            <w:tcBorders>
              <w:top w:val="nil"/>
              <w:left w:val="nil"/>
              <w:bottom w:val="single" w:sz="4" w:space="0" w:color="auto"/>
              <w:right w:val="single" w:sz="4" w:space="0" w:color="auto"/>
            </w:tcBorders>
            <w:shd w:val="clear" w:color="000000" w:fill="FFFFFF"/>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106 705 475</w:t>
            </w:r>
          </w:p>
        </w:tc>
        <w:tc>
          <w:tcPr>
            <w:tcW w:w="486" w:type="pct"/>
            <w:tcBorders>
              <w:top w:val="nil"/>
              <w:left w:val="nil"/>
              <w:bottom w:val="single" w:sz="4" w:space="0" w:color="auto"/>
              <w:right w:val="single" w:sz="4" w:space="0" w:color="auto"/>
            </w:tcBorders>
            <w:shd w:val="clear" w:color="000000" w:fill="FFFFFF"/>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104 191 405</w:t>
            </w:r>
          </w:p>
        </w:tc>
        <w:tc>
          <w:tcPr>
            <w:tcW w:w="486" w:type="pct"/>
            <w:tcBorders>
              <w:top w:val="nil"/>
              <w:left w:val="nil"/>
              <w:bottom w:val="single" w:sz="4" w:space="0" w:color="auto"/>
              <w:right w:val="single" w:sz="4" w:space="0" w:color="auto"/>
            </w:tcBorders>
            <w:shd w:val="clear" w:color="000000" w:fill="FFFFFF"/>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102 545 289</w:t>
            </w:r>
          </w:p>
        </w:tc>
      </w:tr>
      <w:tr w:rsidR="003A497B" w:rsidRPr="00A22A2D" w:rsidTr="003E1809">
        <w:trPr>
          <w:trHeight w:hRule="exact" w:val="255"/>
        </w:trPr>
        <w:tc>
          <w:tcPr>
            <w:tcW w:w="1597"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 xml:space="preserve">    v tom: bežné výdavky  600</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91 253 783</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94 684 158</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96 362 898</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color w:val="000000"/>
                <w:sz w:val="14"/>
                <w:szCs w:val="14"/>
                <w:highlight w:val="yellow"/>
                <w:lang w:eastAsia="sk-SK"/>
              </w:rPr>
            </w:pPr>
            <w:r w:rsidRPr="00A22A2D">
              <w:rPr>
                <w:rFonts w:ascii="Times New Roman" w:hAnsi="Times New Roman" w:cs="Times New Roman"/>
                <w:color w:val="000000"/>
                <w:sz w:val="14"/>
                <w:szCs w:val="14"/>
                <w:lang w:eastAsia="sk-SK"/>
              </w:rPr>
              <w:t>99 781 046</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102 028 990</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100 900 920</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100 574 804</w:t>
            </w:r>
          </w:p>
        </w:tc>
      </w:tr>
      <w:tr w:rsidR="003A497B" w:rsidRPr="00A22A2D" w:rsidTr="003E1809">
        <w:trPr>
          <w:trHeight w:hRule="exact" w:val="255"/>
        </w:trPr>
        <w:tc>
          <w:tcPr>
            <w:tcW w:w="1597"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 xml:space="preserve">                 610 mzdy</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55 283 855</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58 553 180</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59 249 592</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61 663 901</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62 018 830</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62 018 830</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62 018 830</w:t>
            </w:r>
          </w:p>
        </w:tc>
      </w:tr>
      <w:tr w:rsidR="003A497B" w:rsidRPr="00A22A2D" w:rsidTr="003E1809">
        <w:trPr>
          <w:trHeight w:hRule="exact" w:val="255"/>
        </w:trPr>
        <w:tc>
          <w:tcPr>
            <w:tcW w:w="1597"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 xml:space="preserve">                 620 odvody</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17 105 693</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19 419 900</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18 498 701</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19 288 486</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20 565 445</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20 565 445</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20 565 445</w:t>
            </w:r>
          </w:p>
        </w:tc>
      </w:tr>
      <w:tr w:rsidR="003A497B" w:rsidRPr="00A22A2D" w:rsidTr="003E1809">
        <w:trPr>
          <w:trHeight w:hRule="exact" w:val="255"/>
        </w:trPr>
        <w:tc>
          <w:tcPr>
            <w:tcW w:w="1597"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 xml:space="preserve">                 630 tovary a služby</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15 319 270</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13 311 782</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14 007 810</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14 221 864</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14 497 075</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13 736 850</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13 410 734</w:t>
            </w:r>
          </w:p>
        </w:tc>
      </w:tr>
      <w:tr w:rsidR="003A497B" w:rsidRPr="00A22A2D" w:rsidTr="003E1809">
        <w:trPr>
          <w:trHeight w:hRule="exact" w:val="255"/>
        </w:trPr>
        <w:tc>
          <w:tcPr>
            <w:tcW w:w="1597"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 xml:space="preserve">                 640 bežné transfery</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3 544 965</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3 399 296</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4 606 795</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4 606 795</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4 947 640</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4 579 795</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4 579 795</w:t>
            </w:r>
          </w:p>
        </w:tc>
      </w:tr>
      <w:tr w:rsidR="003A497B" w:rsidRPr="00A22A2D" w:rsidTr="003E1809">
        <w:trPr>
          <w:trHeight w:hRule="exact" w:val="255"/>
        </w:trPr>
        <w:tc>
          <w:tcPr>
            <w:tcW w:w="1597"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 xml:space="preserve">               kapitálové výdavky 700</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962 379</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2 517 591</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2 531 678</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2 646 878</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4 676 485</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3 290 485</w:t>
            </w:r>
          </w:p>
        </w:tc>
        <w:tc>
          <w:tcPr>
            <w:tcW w:w="486" w:type="pct"/>
            <w:tcBorders>
              <w:top w:val="nil"/>
              <w:left w:val="nil"/>
              <w:bottom w:val="single" w:sz="4" w:space="0" w:color="auto"/>
              <w:right w:val="single" w:sz="4" w:space="0" w:color="auto"/>
            </w:tcBorders>
            <w:shd w:val="clear" w:color="000000" w:fill="FFFFFF"/>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1 970 485</w:t>
            </w:r>
          </w:p>
        </w:tc>
      </w:tr>
      <w:tr w:rsidR="003A497B" w:rsidRPr="00A22A2D" w:rsidTr="003E1809">
        <w:trPr>
          <w:trHeight w:hRule="exact" w:val="255"/>
        </w:trPr>
        <w:tc>
          <w:tcPr>
            <w:tcW w:w="1597"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b/>
                <w:bCs/>
                <w:color w:val="000000"/>
                <w:sz w:val="14"/>
                <w:szCs w:val="14"/>
                <w:lang w:eastAsia="sk-SK"/>
              </w:rPr>
            </w:pPr>
            <w:r w:rsidRPr="00A22A2D">
              <w:rPr>
                <w:rFonts w:ascii="Times New Roman" w:hAnsi="Times New Roman" w:cs="Times New Roman"/>
                <w:b/>
                <w:bCs/>
                <w:color w:val="000000"/>
                <w:sz w:val="14"/>
                <w:szCs w:val="14"/>
                <w:lang w:eastAsia="sk-SK"/>
              </w:rPr>
              <w:t xml:space="preserve">zdroje EÚ vrátane spolufinancovania: </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21 008</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r>
      <w:tr w:rsidR="003A497B" w:rsidRPr="00A22A2D" w:rsidTr="003E1809">
        <w:trPr>
          <w:trHeight w:hRule="exact" w:val="255"/>
        </w:trPr>
        <w:tc>
          <w:tcPr>
            <w:tcW w:w="1597"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 xml:space="preserve">    v tom: 2. program. obdobie  EÚ </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15 821</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r>
      <w:tr w:rsidR="003A497B" w:rsidRPr="00A22A2D" w:rsidTr="003E1809">
        <w:trPr>
          <w:trHeight w:hRule="exact" w:val="255"/>
        </w:trPr>
        <w:tc>
          <w:tcPr>
            <w:tcW w:w="1597"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 xml:space="preserve">             spolufinancovanie zo ŠR</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5 187</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nil"/>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r>
      <w:tr w:rsidR="003A497B" w:rsidRPr="00A22A2D" w:rsidTr="003E1809">
        <w:trPr>
          <w:trHeight w:hRule="exact" w:val="255"/>
        </w:trPr>
        <w:tc>
          <w:tcPr>
            <w:tcW w:w="1597"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b/>
                <w:bCs/>
                <w:color w:val="000000"/>
                <w:sz w:val="14"/>
                <w:szCs w:val="14"/>
                <w:lang w:eastAsia="sk-SK"/>
              </w:rPr>
            </w:pPr>
            <w:r w:rsidRPr="00A22A2D">
              <w:rPr>
                <w:rFonts w:ascii="Times New Roman" w:hAnsi="Times New Roman" w:cs="Times New Roman"/>
                <w:b/>
                <w:bCs/>
                <w:color w:val="000000"/>
                <w:sz w:val="14"/>
                <w:szCs w:val="14"/>
                <w:lang w:eastAsia="sk-SK"/>
              </w:rPr>
              <w:t>presun z minulých rokov § 8</w:t>
            </w:r>
          </w:p>
        </w:tc>
        <w:tc>
          <w:tcPr>
            <w:tcW w:w="486"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1 155 114</w:t>
            </w:r>
          </w:p>
        </w:tc>
        <w:tc>
          <w:tcPr>
            <w:tcW w:w="486"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2 386 215</w:t>
            </w:r>
          </w:p>
        </w:tc>
        <w:tc>
          <w:tcPr>
            <w:tcW w:w="486"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0</w:t>
            </w:r>
          </w:p>
        </w:tc>
        <w:tc>
          <w:tcPr>
            <w:tcW w:w="486"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0</w:t>
            </w:r>
          </w:p>
        </w:tc>
        <w:tc>
          <w:tcPr>
            <w:tcW w:w="486"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0</w:t>
            </w:r>
          </w:p>
        </w:tc>
      </w:tr>
      <w:tr w:rsidR="003A497B" w:rsidRPr="00A22A2D" w:rsidTr="003E1809">
        <w:trPr>
          <w:trHeight w:hRule="exact" w:val="255"/>
        </w:trPr>
        <w:tc>
          <w:tcPr>
            <w:tcW w:w="1597" w:type="pct"/>
            <w:tcBorders>
              <w:top w:val="nil"/>
              <w:left w:val="single" w:sz="4" w:space="0" w:color="auto"/>
              <w:bottom w:val="single" w:sz="4" w:space="0" w:color="auto"/>
              <w:right w:val="single" w:sz="4" w:space="0" w:color="auto"/>
            </w:tcBorders>
            <w:shd w:val="clear" w:color="auto" w:fill="auto"/>
            <w:noWrap/>
            <w:vAlign w:val="center"/>
            <w:hideMark/>
          </w:tcPr>
          <w:p w:rsidR="003A497B" w:rsidRPr="00A22A2D" w:rsidRDefault="003A497B" w:rsidP="003E1809">
            <w:pPr>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 xml:space="preserve">    v tom: štátny rozpočet</w:t>
            </w:r>
          </w:p>
        </w:tc>
        <w:tc>
          <w:tcPr>
            <w:tcW w:w="486"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1 155 114</w:t>
            </w:r>
          </w:p>
        </w:tc>
        <w:tc>
          <w:tcPr>
            <w:tcW w:w="486"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2 386 215</w:t>
            </w:r>
          </w:p>
        </w:tc>
        <w:tc>
          <w:tcPr>
            <w:tcW w:w="486"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color w:val="000000"/>
                <w:sz w:val="14"/>
                <w:szCs w:val="14"/>
                <w:lang w:eastAsia="sk-SK"/>
              </w:rPr>
            </w:pPr>
            <w:r w:rsidRPr="00A22A2D">
              <w:rPr>
                <w:rFonts w:ascii="Times New Roman" w:hAnsi="Times New Roman" w:cs="Times New Roman"/>
                <w:color w:val="000000"/>
                <w:sz w:val="14"/>
                <w:szCs w:val="14"/>
                <w:lang w:eastAsia="sk-SK"/>
              </w:rPr>
              <w:t>0</w:t>
            </w:r>
          </w:p>
        </w:tc>
        <w:tc>
          <w:tcPr>
            <w:tcW w:w="486"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nil"/>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r>
    </w:tbl>
    <w:p w:rsidR="003A497B" w:rsidRPr="00A22A2D" w:rsidRDefault="003A497B" w:rsidP="003A497B">
      <w:pPr>
        <w:jc w:val="both"/>
        <w:rPr>
          <w:rFonts w:ascii="Times New Roman" w:hAnsi="Times New Roman" w:cs="Times New Roman"/>
          <w:b/>
          <w:bCs/>
          <w:iCs/>
          <w:szCs w:val="26"/>
        </w:rPr>
      </w:pPr>
    </w:p>
    <w:tbl>
      <w:tblPr>
        <w:tblW w:w="5000" w:type="pct"/>
        <w:tblCellMar>
          <w:left w:w="70" w:type="dxa"/>
          <w:right w:w="70" w:type="dxa"/>
        </w:tblCellMar>
        <w:tblLook w:val="04A0" w:firstRow="1" w:lastRow="0" w:firstColumn="1" w:lastColumn="0" w:noHBand="0" w:noVBand="1"/>
      </w:tblPr>
      <w:tblGrid>
        <w:gridCol w:w="2895"/>
        <w:gridCol w:w="881"/>
        <w:gridCol w:w="881"/>
        <w:gridCol w:w="881"/>
        <w:gridCol w:w="881"/>
        <w:gridCol w:w="881"/>
        <w:gridCol w:w="881"/>
        <w:gridCol w:w="881"/>
      </w:tblGrid>
      <w:tr w:rsidR="003A497B" w:rsidRPr="00A22A2D" w:rsidTr="003E1809">
        <w:trPr>
          <w:trHeight w:hRule="exact" w:val="255"/>
        </w:trPr>
        <w:tc>
          <w:tcPr>
            <w:tcW w:w="15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497B" w:rsidRPr="00A22A2D" w:rsidRDefault="003A497B" w:rsidP="003E1809">
            <w:pPr>
              <w:rPr>
                <w:rFonts w:ascii="Times New Roman" w:hAnsi="Times New Roman" w:cs="Times New Roman"/>
                <w:b/>
                <w:bCs/>
                <w:sz w:val="14"/>
                <w:szCs w:val="14"/>
                <w:lang w:eastAsia="sk-SK"/>
              </w:rPr>
            </w:pPr>
            <w:r w:rsidRPr="00A22A2D">
              <w:rPr>
                <w:rFonts w:ascii="Times New Roman" w:hAnsi="Times New Roman" w:cs="Times New Roman"/>
                <w:b/>
                <w:bCs/>
                <w:sz w:val="14"/>
                <w:szCs w:val="14"/>
                <w:lang w:eastAsia="sk-SK"/>
              </w:rPr>
              <w:t xml:space="preserve">samostatné účty </w:t>
            </w:r>
          </w:p>
        </w:tc>
        <w:tc>
          <w:tcPr>
            <w:tcW w:w="486" w:type="pct"/>
            <w:tcBorders>
              <w:top w:val="single" w:sz="4" w:space="0" w:color="auto"/>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687 882</w:t>
            </w:r>
          </w:p>
        </w:tc>
        <w:tc>
          <w:tcPr>
            <w:tcW w:w="486" w:type="pct"/>
            <w:tcBorders>
              <w:top w:val="single" w:sz="4" w:space="0" w:color="auto"/>
              <w:left w:val="nil"/>
              <w:bottom w:val="single" w:sz="4" w:space="0" w:color="auto"/>
              <w:right w:val="single" w:sz="4" w:space="0" w:color="auto"/>
            </w:tcBorders>
            <w:shd w:val="clear" w:color="auto" w:fill="auto"/>
            <w:noWrap/>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12</w:t>
            </w:r>
          </w:p>
        </w:tc>
        <w:tc>
          <w:tcPr>
            <w:tcW w:w="486" w:type="pct"/>
            <w:tcBorders>
              <w:top w:val="single" w:sz="4" w:space="0" w:color="auto"/>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single" w:sz="4" w:space="0" w:color="auto"/>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single" w:sz="4" w:space="0" w:color="auto"/>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single" w:sz="4" w:space="0" w:color="auto"/>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c>
          <w:tcPr>
            <w:tcW w:w="486" w:type="pct"/>
            <w:tcBorders>
              <w:top w:val="single" w:sz="4" w:space="0" w:color="auto"/>
              <w:left w:val="nil"/>
              <w:bottom w:val="single" w:sz="4" w:space="0" w:color="auto"/>
              <w:right w:val="single" w:sz="4" w:space="0" w:color="auto"/>
            </w:tcBorders>
            <w:shd w:val="clear" w:color="auto" w:fill="auto"/>
            <w:vAlign w:val="bottom"/>
            <w:hideMark/>
          </w:tcPr>
          <w:p w:rsidR="003A497B" w:rsidRPr="00A22A2D" w:rsidRDefault="003A497B" w:rsidP="003E1809">
            <w:pPr>
              <w:jc w:val="right"/>
              <w:rPr>
                <w:rFonts w:ascii="Times New Roman" w:hAnsi="Times New Roman" w:cs="Times New Roman"/>
                <w:sz w:val="14"/>
                <w:szCs w:val="14"/>
                <w:lang w:eastAsia="sk-SK"/>
              </w:rPr>
            </w:pPr>
            <w:r w:rsidRPr="00A22A2D">
              <w:rPr>
                <w:rFonts w:ascii="Times New Roman" w:hAnsi="Times New Roman" w:cs="Times New Roman"/>
                <w:sz w:val="14"/>
                <w:szCs w:val="14"/>
                <w:lang w:eastAsia="sk-SK"/>
              </w:rPr>
              <w:t>0</w:t>
            </w:r>
          </w:p>
        </w:tc>
      </w:tr>
    </w:tbl>
    <w:p w:rsidR="003A497B" w:rsidRPr="00A22A2D" w:rsidRDefault="003A497B" w:rsidP="003A497B">
      <w:pPr>
        <w:jc w:val="both"/>
        <w:rPr>
          <w:rFonts w:ascii="Times New Roman" w:hAnsi="Times New Roman" w:cs="Times New Roman"/>
          <w:b/>
          <w:bCs/>
          <w:iCs/>
          <w:szCs w:val="26"/>
        </w:rPr>
      </w:pPr>
    </w:p>
    <w:p w:rsidR="003A497B" w:rsidRPr="00A22A2D" w:rsidRDefault="003A497B" w:rsidP="003A497B">
      <w:pPr>
        <w:jc w:val="both"/>
        <w:rPr>
          <w:rFonts w:ascii="Times New Roman" w:hAnsi="Times New Roman" w:cs="Times New Roman"/>
          <w:b/>
          <w:bCs/>
          <w:iCs/>
          <w:szCs w:val="26"/>
        </w:rPr>
      </w:pPr>
    </w:p>
    <w:p w:rsidR="003A497B" w:rsidRPr="00A22A2D" w:rsidRDefault="003A497B" w:rsidP="003A497B">
      <w:pPr>
        <w:ind w:firstLine="709"/>
        <w:jc w:val="both"/>
        <w:rPr>
          <w:rFonts w:ascii="Times New Roman" w:hAnsi="Times New Roman" w:cs="Times New Roman"/>
        </w:rPr>
      </w:pPr>
      <w:r w:rsidRPr="00A22A2D">
        <w:rPr>
          <w:rFonts w:ascii="Times New Roman" w:hAnsi="Times New Roman" w:cs="Times New Roman"/>
        </w:rPr>
        <w:t>Celkové výdavky kapitoly Generálna prokuratúra SR sa na rok 2019 rozpočtujú v sume 107 mil. eur, oproti schválenému rozpočtu na rok 2018 rastú o 7,81 mil. eur, t. j. o 7,90 %.</w:t>
      </w:r>
    </w:p>
    <w:p w:rsidR="003A497B" w:rsidRPr="00A22A2D" w:rsidRDefault="003A497B" w:rsidP="003A497B">
      <w:pPr>
        <w:ind w:firstLine="709"/>
        <w:jc w:val="both"/>
        <w:rPr>
          <w:rFonts w:ascii="Times New Roman" w:hAnsi="Times New Roman" w:cs="Times New Roman"/>
        </w:rPr>
      </w:pPr>
    </w:p>
    <w:p w:rsidR="003A497B" w:rsidRPr="00A22A2D" w:rsidRDefault="003A497B" w:rsidP="003A497B">
      <w:pPr>
        <w:ind w:firstLine="709"/>
        <w:jc w:val="both"/>
        <w:rPr>
          <w:rFonts w:ascii="Times New Roman" w:hAnsi="Times New Roman" w:cs="Times New Roman"/>
          <w:bCs/>
        </w:rPr>
      </w:pPr>
      <w:r w:rsidRPr="00A22A2D">
        <w:rPr>
          <w:rFonts w:ascii="Times New Roman" w:hAnsi="Times New Roman" w:cs="Times New Roman"/>
        </w:rPr>
        <w:t xml:space="preserve">Osobné výdavky na rok 2019 sa rozpočtujú v sume 82,6 mil. eur, ktoré sú oproti schválenému rozpočtu na rok 2018 vyššie o 4,83 mil. eur, t. j. o 6,22 %. V návrhu rozpočtu osobných výdavkov na roky 2019 až 2021 je premietnutá valorizácia platov zamestnancov z roku 2018 na úrovni 4,8 %, dopočet zákonných náležitostí prokurátorov na úrovni prognózy </w:t>
      </w:r>
      <w:r w:rsidR="00C473D8">
        <w:rPr>
          <w:rFonts w:ascii="Times New Roman" w:hAnsi="Times New Roman" w:cs="Times New Roman"/>
        </w:rPr>
        <w:t>MF SR</w:t>
      </w:r>
      <w:r w:rsidRPr="00A22A2D">
        <w:rPr>
          <w:rFonts w:ascii="Times New Roman" w:hAnsi="Times New Roman" w:cs="Times New Roman"/>
        </w:rPr>
        <w:t xml:space="preserve"> a zvýšenie osobných výdavkov v sume 48,6 tis. eur v nadväznosti na schválenie </w:t>
      </w:r>
      <w:r w:rsidR="00C473D8">
        <w:rPr>
          <w:rFonts w:ascii="Times New Roman" w:hAnsi="Times New Roman" w:cs="Times New Roman"/>
        </w:rPr>
        <w:t>z</w:t>
      </w:r>
      <w:r w:rsidRPr="00A22A2D">
        <w:rPr>
          <w:rFonts w:ascii="Times New Roman" w:hAnsi="Times New Roman" w:cs="Times New Roman"/>
        </w:rPr>
        <w:t>ákona o niektorých opatreniach na zníženie administratívnej záťaže osôb využívaním informačných systémov verejnej správy.</w:t>
      </w:r>
    </w:p>
    <w:p w:rsidR="003A497B" w:rsidRPr="00A22A2D" w:rsidRDefault="003A497B" w:rsidP="003A497B">
      <w:pPr>
        <w:ind w:firstLine="709"/>
        <w:jc w:val="both"/>
        <w:rPr>
          <w:rFonts w:ascii="Times New Roman" w:hAnsi="Times New Roman" w:cs="Times New Roman"/>
          <w:bCs/>
          <w:highlight w:val="yellow"/>
        </w:rPr>
      </w:pPr>
    </w:p>
    <w:p w:rsidR="003A497B" w:rsidRPr="00A22A2D" w:rsidRDefault="003A497B" w:rsidP="003A497B">
      <w:pPr>
        <w:ind w:firstLine="709"/>
        <w:jc w:val="both"/>
        <w:rPr>
          <w:rFonts w:ascii="Times New Roman" w:hAnsi="Times New Roman" w:cs="Times New Roman"/>
        </w:rPr>
      </w:pPr>
      <w:r w:rsidRPr="00A22A2D">
        <w:rPr>
          <w:rFonts w:ascii="Times New Roman" w:hAnsi="Times New Roman" w:cs="Times New Roman"/>
        </w:rPr>
        <w:t xml:space="preserve">Tovary a služby sa rozpočtujú v sume 14,5 mil. eur, čo predstavuje oproti schválenému rozpočtu na rok 2018 nárast o 489 tis. eur, t. j. o 3,49 %. Výdavky sa použijú na zabezpečenie </w:t>
      </w:r>
      <w:r w:rsidRPr="00A22A2D">
        <w:rPr>
          <w:rFonts w:ascii="Times New Roman" w:hAnsi="Times New Roman" w:cs="Times New Roman"/>
        </w:rPr>
        <w:lastRenderedPageBreak/>
        <w:t>rozšírených kapacít VPN (virtuálna privátna sieť),</w:t>
      </w:r>
      <w:r w:rsidRPr="00A22A2D">
        <w:rPr>
          <w:rFonts w:asciiTheme="minorHAnsi" w:eastAsiaTheme="minorHAnsi" w:hAnsiTheme="minorHAnsi" w:cstheme="minorBidi"/>
          <w:sz w:val="22"/>
          <w:szCs w:val="22"/>
          <w:lang w:eastAsia="en-US"/>
        </w:rPr>
        <w:t xml:space="preserve"> </w:t>
      </w:r>
      <w:r w:rsidRPr="00A22A2D">
        <w:rPr>
          <w:rFonts w:ascii="Times New Roman" w:hAnsi="Times New Roman" w:cs="Times New Roman"/>
        </w:rPr>
        <w:t>úpravu centrálnej auditnej aplikácie,</w:t>
      </w:r>
      <w:r w:rsidRPr="00A22A2D">
        <w:rPr>
          <w:rFonts w:asciiTheme="minorHAnsi" w:eastAsiaTheme="minorHAnsi" w:hAnsiTheme="minorHAnsi" w:cstheme="minorBidi"/>
          <w:sz w:val="22"/>
          <w:szCs w:val="22"/>
          <w:lang w:eastAsia="en-US"/>
        </w:rPr>
        <w:t xml:space="preserve"> </w:t>
      </w:r>
      <w:r w:rsidRPr="00A22A2D">
        <w:rPr>
          <w:rFonts w:ascii="Times New Roman" w:hAnsi="Times New Roman" w:cs="Times New Roman"/>
        </w:rPr>
        <w:t>implementáciu systému bezpečnosti a backup systému, rozvoj informačného systému Patrícia, zriadenie e-deskov, zriadenie platobného modulu pre výpis alebo odpis registra trestov, zabezpečenie bezpečnostného projektu pre informačný systém Evidencia odsúdených osôb a zabezpečenie realizácie hodnotenia 5. kola Moneyval.</w:t>
      </w:r>
    </w:p>
    <w:p w:rsidR="003A497B" w:rsidRPr="00A22A2D" w:rsidRDefault="003A497B" w:rsidP="003A497B">
      <w:pPr>
        <w:ind w:firstLine="709"/>
        <w:jc w:val="both"/>
        <w:rPr>
          <w:rFonts w:ascii="Times New Roman" w:hAnsi="Times New Roman" w:cs="Times New Roman"/>
        </w:rPr>
      </w:pPr>
    </w:p>
    <w:p w:rsidR="003A497B" w:rsidRPr="00A22A2D" w:rsidRDefault="003A497B" w:rsidP="003A497B">
      <w:pPr>
        <w:ind w:firstLine="708"/>
        <w:jc w:val="both"/>
        <w:rPr>
          <w:rFonts w:ascii="Times New Roman" w:hAnsi="Times New Roman" w:cs="Times New Roman"/>
        </w:rPr>
      </w:pPr>
      <w:r w:rsidRPr="00A22A2D">
        <w:rPr>
          <w:rFonts w:ascii="Times New Roman" w:hAnsi="Times New Roman" w:cs="Times New Roman"/>
        </w:rPr>
        <w:t>Bežné transfery sa na rok 2019 rozpočtujú v sume 4,95 mil. eur, čo predstavuje oproti schválenému rozpočtu roku 2018 zvýšenie o 341 tis. eur, t. j. o 7,40 %. Nárast predstavuje hlavne odchodné pre 46 prokurátorov a nemocenské.</w:t>
      </w:r>
      <w:r w:rsidRPr="00A22A2D">
        <w:rPr>
          <w:rFonts w:ascii="Times New Roman" w:hAnsi="Times New Roman" w:cs="Times New Roman"/>
          <w:noProof/>
          <w:lang w:eastAsia="sk-SK"/>
        </w:rPr>
        <w:t xml:space="preserve"> Ide o finančné prostriedky potrebné na pokrytie zákonných nárokov prokurátorov a ostatných zamestnancov v sociálnej oblasti.</w:t>
      </w:r>
    </w:p>
    <w:p w:rsidR="003A497B" w:rsidRPr="00A22A2D" w:rsidRDefault="003A497B" w:rsidP="003A497B">
      <w:pPr>
        <w:ind w:firstLine="709"/>
        <w:jc w:val="both"/>
        <w:rPr>
          <w:rFonts w:ascii="Times New Roman" w:hAnsi="Times New Roman" w:cs="Times New Roman"/>
          <w:noProof/>
          <w:lang w:eastAsia="sk-SK"/>
        </w:rPr>
      </w:pPr>
    </w:p>
    <w:p w:rsidR="003A497B" w:rsidRPr="00A22A2D" w:rsidRDefault="003A497B" w:rsidP="003A497B">
      <w:pPr>
        <w:ind w:firstLine="709"/>
        <w:jc w:val="both"/>
        <w:rPr>
          <w:rFonts w:ascii="Times New Roman" w:hAnsi="Times New Roman" w:cs="Times New Roman"/>
          <w:noProof/>
          <w:lang w:eastAsia="sk-SK"/>
        </w:rPr>
      </w:pPr>
      <w:r w:rsidRPr="00A22A2D">
        <w:rPr>
          <w:rFonts w:ascii="Times New Roman" w:hAnsi="Times New Roman" w:cs="Times New Roman"/>
          <w:noProof/>
          <w:lang w:eastAsia="sk-SK"/>
        </w:rPr>
        <w:t>Kapitálové výdavky sa na rok 2019 rozpočtujú v sume 4,68 mil. eur, čo predstavuje  medziročný nárast o 2,14 mil. eur (84,7 %). Výrazne rastú hlavne výdavky na pripojenie informačného systému Patrícia GP SR na informačný systém Európskeho prokurátora a napojenie na eEvidence. Ďalšie kapitálové výdavky sa použijú na vybudovanie klimatizácie budovy Krajskej prokuratúry Bratislava, na rekonštrukciu vstupnej časti budovy Okresnej prokuratúry Prievidza, na prístavbu a rekonštrukciu budovy Okresnej prokuratúry Galanta, stavebné úpravy a rozšírenie priestorov budovy Okresnej prokuratúry Svidník, na hydroizoláciu strechy Okresnej prokuratúry Ružomberok, na rekonštrukciu priestorov Krajskej prokuratúry Košice, na rekonštrukciu vstupnej časti budovy Krajskej prokuratúry Banská Bystrica, na výmenu kanalizačných rozvodov v budove Generálnej prokuratúry SR a na nákup výpočtovej techniky, kancelárskych strojov a zariadení.</w:t>
      </w:r>
    </w:p>
    <w:p w:rsidR="003A497B" w:rsidRPr="00912A7B" w:rsidRDefault="003A497B" w:rsidP="003A497B">
      <w:pPr>
        <w:pStyle w:val="Nadpis5"/>
        <w:pBdr>
          <w:bottom w:val="single" w:sz="4" w:space="1" w:color="auto"/>
        </w:pBdr>
        <w:ind w:left="0"/>
        <w:rPr>
          <w:i w:val="0"/>
          <w:sz w:val="24"/>
          <w:lang w:eastAsia="sk-SK"/>
        </w:rPr>
      </w:pPr>
      <w:bookmarkStart w:id="254" w:name="_Toc400551772"/>
      <w:bookmarkStart w:id="255" w:name="_Toc494470111"/>
      <w:bookmarkStart w:id="256" w:name="_Toc494472287"/>
      <w:bookmarkStart w:id="257" w:name="_Toc526267712"/>
      <w:r w:rsidRPr="00912A7B">
        <w:rPr>
          <w:i w:val="0"/>
          <w:sz w:val="24"/>
          <w:lang w:eastAsia="sk-SK"/>
        </w:rPr>
        <w:t>Najvyšší kontrolný úrad SR</w:t>
      </w:r>
      <w:bookmarkEnd w:id="254"/>
      <w:bookmarkEnd w:id="255"/>
      <w:bookmarkEnd w:id="256"/>
      <w:bookmarkEnd w:id="257"/>
      <w:r w:rsidRPr="00912A7B">
        <w:rPr>
          <w:i w:val="0"/>
          <w:sz w:val="24"/>
          <w:lang w:eastAsia="sk-SK"/>
        </w:rPr>
        <w:t xml:space="preserve"> </w:t>
      </w:r>
    </w:p>
    <w:p w:rsidR="003A497B" w:rsidRPr="004A3627" w:rsidRDefault="003A497B" w:rsidP="003A497B">
      <w:pPr>
        <w:rPr>
          <w:highlight w:val="yellow"/>
        </w:rPr>
      </w:pPr>
    </w:p>
    <w:tbl>
      <w:tblPr>
        <w:tblW w:w="5000" w:type="pct"/>
        <w:tblCellMar>
          <w:left w:w="70" w:type="dxa"/>
          <w:right w:w="70" w:type="dxa"/>
        </w:tblCellMar>
        <w:tblLook w:val="04A0" w:firstRow="1" w:lastRow="0" w:firstColumn="1" w:lastColumn="0" w:noHBand="0" w:noVBand="1"/>
      </w:tblPr>
      <w:tblGrid>
        <w:gridCol w:w="3033"/>
        <w:gridCol w:w="860"/>
        <w:gridCol w:w="860"/>
        <w:gridCol w:w="861"/>
        <w:gridCol w:w="861"/>
        <w:gridCol w:w="861"/>
        <w:gridCol w:w="863"/>
        <w:gridCol w:w="863"/>
      </w:tblGrid>
      <w:tr w:rsidR="003A497B" w:rsidRPr="00335900" w:rsidTr="003E1809">
        <w:trPr>
          <w:trHeight w:val="259"/>
        </w:trPr>
        <w:tc>
          <w:tcPr>
            <w:tcW w:w="1673" w:type="pct"/>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3A497B" w:rsidRPr="00335900" w:rsidRDefault="003A497B" w:rsidP="003E1809">
            <w:pPr>
              <w:rPr>
                <w:rFonts w:ascii="Times New Roman" w:hAnsi="Times New Roman" w:cs="Times New Roman"/>
                <w:b/>
                <w:bCs/>
                <w:color w:val="000000"/>
                <w:sz w:val="14"/>
                <w:szCs w:val="14"/>
              </w:rPr>
            </w:pPr>
            <w:r w:rsidRPr="00335900">
              <w:rPr>
                <w:rFonts w:ascii="Times New Roman" w:hAnsi="Times New Roman" w:cs="Times New Roman"/>
                <w:b/>
                <w:bCs/>
                <w:color w:val="000000"/>
                <w:sz w:val="14"/>
                <w:szCs w:val="14"/>
              </w:rPr>
              <w:t> v eurách</w:t>
            </w:r>
          </w:p>
        </w:tc>
        <w:tc>
          <w:tcPr>
            <w:tcW w:w="475"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CD5F27" w:rsidRDefault="003A497B" w:rsidP="003E1809">
            <w:pPr>
              <w:jc w:val="center"/>
              <w:rPr>
                <w:rFonts w:ascii="Times New Roman" w:hAnsi="Times New Roman" w:cs="Times New Roman"/>
                <w:b/>
                <w:sz w:val="14"/>
                <w:szCs w:val="14"/>
              </w:rPr>
            </w:pPr>
            <w:r w:rsidRPr="00CD5F27">
              <w:rPr>
                <w:rFonts w:ascii="Times New Roman" w:hAnsi="Times New Roman" w:cs="Times New Roman"/>
                <w:b/>
                <w:sz w:val="14"/>
                <w:szCs w:val="14"/>
              </w:rPr>
              <w:t>2016 S</w:t>
            </w:r>
          </w:p>
        </w:tc>
        <w:tc>
          <w:tcPr>
            <w:tcW w:w="47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CD5F27" w:rsidRDefault="003A497B" w:rsidP="003E1809">
            <w:pPr>
              <w:jc w:val="center"/>
              <w:rPr>
                <w:rFonts w:ascii="Times New Roman" w:hAnsi="Times New Roman" w:cs="Times New Roman"/>
                <w:b/>
                <w:sz w:val="14"/>
                <w:szCs w:val="14"/>
              </w:rPr>
            </w:pPr>
            <w:r w:rsidRPr="00CD5F27">
              <w:rPr>
                <w:rFonts w:ascii="Times New Roman" w:hAnsi="Times New Roman" w:cs="Times New Roman"/>
                <w:b/>
                <w:sz w:val="14"/>
                <w:szCs w:val="14"/>
              </w:rPr>
              <w:t>2017 S</w:t>
            </w:r>
          </w:p>
        </w:tc>
        <w:tc>
          <w:tcPr>
            <w:tcW w:w="47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CD5F27" w:rsidRDefault="003A497B" w:rsidP="003E1809">
            <w:pPr>
              <w:jc w:val="center"/>
              <w:rPr>
                <w:rFonts w:ascii="Times New Roman" w:hAnsi="Times New Roman" w:cs="Times New Roman"/>
                <w:b/>
                <w:sz w:val="14"/>
                <w:szCs w:val="14"/>
              </w:rPr>
            </w:pPr>
            <w:r w:rsidRPr="00CD5F27">
              <w:rPr>
                <w:rFonts w:ascii="Times New Roman" w:hAnsi="Times New Roman" w:cs="Times New Roman"/>
                <w:b/>
                <w:sz w:val="14"/>
                <w:szCs w:val="14"/>
              </w:rPr>
              <w:t>2018 R</w:t>
            </w:r>
          </w:p>
        </w:tc>
        <w:tc>
          <w:tcPr>
            <w:tcW w:w="47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CD5F27" w:rsidRDefault="003A497B" w:rsidP="003E1809">
            <w:pPr>
              <w:jc w:val="center"/>
              <w:rPr>
                <w:rFonts w:ascii="Times New Roman" w:hAnsi="Times New Roman" w:cs="Times New Roman"/>
                <w:b/>
                <w:sz w:val="14"/>
                <w:szCs w:val="14"/>
              </w:rPr>
            </w:pPr>
            <w:r w:rsidRPr="00CD5F27">
              <w:rPr>
                <w:rFonts w:ascii="Times New Roman" w:hAnsi="Times New Roman" w:cs="Times New Roman"/>
                <w:b/>
                <w:sz w:val="14"/>
                <w:szCs w:val="14"/>
              </w:rPr>
              <w:t>2018 OS</w:t>
            </w:r>
          </w:p>
        </w:tc>
        <w:tc>
          <w:tcPr>
            <w:tcW w:w="475"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CD5F27" w:rsidRDefault="003A497B" w:rsidP="003E1809">
            <w:pPr>
              <w:jc w:val="center"/>
              <w:rPr>
                <w:rFonts w:ascii="Times New Roman" w:hAnsi="Times New Roman" w:cs="Times New Roman"/>
                <w:b/>
                <w:sz w:val="14"/>
                <w:szCs w:val="14"/>
              </w:rPr>
            </w:pPr>
            <w:r w:rsidRPr="00CD5F27">
              <w:rPr>
                <w:rFonts w:ascii="Times New Roman" w:hAnsi="Times New Roman" w:cs="Times New Roman"/>
                <w:b/>
                <w:sz w:val="14"/>
                <w:szCs w:val="14"/>
              </w:rPr>
              <w:t>2019 N</w:t>
            </w:r>
          </w:p>
        </w:tc>
        <w:tc>
          <w:tcPr>
            <w:tcW w:w="47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CD5F27" w:rsidRDefault="003A497B" w:rsidP="003E1809">
            <w:pPr>
              <w:jc w:val="center"/>
              <w:rPr>
                <w:rFonts w:ascii="Times New Roman" w:hAnsi="Times New Roman" w:cs="Times New Roman"/>
                <w:b/>
                <w:sz w:val="14"/>
                <w:szCs w:val="14"/>
              </w:rPr>
            </w:pPr>
            <w:r w:rsidRPr="00CD5F27">
              <w:rPr>
                <w:rFonts w:ascii="Times New Roman" w:hAnsi="Times New Roman" w:cs="Times New Roman"/>
                <w:b/>
                <w:sz w:val="14"/>
                <w:szCs w:val="14"/>
              </w:rPr>
              <w:t>2020 N</w:t>
            </w:r>
          </w:p>
        </w:tc>
        <w:tc>
          <w:tcPr>
            <w:tcW w:w="47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CD5F27" w:rsidRDefault="003A497B" w:rsidP="003E1809">
            <w:pPr>
              <w:jc w:val="center"/>
              <w:rPr>
                <w:rFonts w:ascii="Times New Roman" w:hAnsi="Times New Roman" w:cs="Times New Roman"/>
                <w:b/>
                <w:sz w:val="14"/>
                <w:szCs w:val="14"/>
              </w:rPr>
            </w:pPr>
            <w:r w:rsidRPr="00CD5F27">
              <w:rPr>
                <w:rFonts w:ascii="Times New Roman" w:hAnsi="Times New Roman" w:cs="Times New Roman"/>
                <w:b/>
                <w:sz w:val="14"/>
                <w:szCs w:val="14"/>
              </w:rPr>
              <w:t>2021 N</w:t>
            </w:r>
          </w:p>
        </w:tc>
      </w:tr>
      <w:tr w:rsidR="003A497B" w:rsidRPr="00335900" w:rsidTr="003E1809">
        <w:trPr>
          <w:trHeight w:val="259"/>
        </w:trPr>
        <w:tc>
          <w:tcPr>
            <w:tcW w:w="1673" w:type="pct"/>
            <w:tcBorders>
              <w:top w:val="nil"/>
              <w:left w:val="single" w:sz="4" w:space="0" w:color="auto"/>
              <w:bottom w:val="single" w:sz="4" w:space="0" w:color="auto"/>
              <w:right w:val="single" w:sz="4" w:space="0" w:color="auto"/>
            </w:tcBorders>
            <w:shd w:val="clear" w:color="000000" w:fill="C0C0C0"/>
            <w:noWrap/>
            <w:vAlign w:val="center"/>
            <w:hideMark/>
          </w:tcPr>
          <w:p w:rsidR="003A497B" w:rsidRPr="00335900" w:rsidRDefault="003A497B" w:rsidP="003E1809">
            <w:pPr>
              <w:rPr>
                <w:rFonts w:ascii="Times New Roman" w:hAnsi="Times New Roman" w:cs="Times New Roman"/>
                <w:b/>
                <w:bCs/>
                <w:color w:val="000000"/>
                <w:sz w:val="14"/>
                <w:szCs w:val="14"/>
              </w:rPr>
            </w:pPr>
            <w:r w:rsidRPr="00335900">
              <w:rPr>
                <w:rFonts w:ascii="Times New Roman" w:hAnsi="Times New Roman" w:cs="Times New Roman"/>
                <w:b/>
                <w:bCs/>
                <w:color w:val="000000"/>
                <w:sz w:val="14"/>
                <w:szCs w:val="14"/>
              </w:rPr>
              <w:t>Zdroje príslušnej kapitoly</w:t>
            </w:r>
          </w:p>
        </w:tc>
        <w:tc>
          <w:tcPr>
            <w:tcW w:w="475"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9 348 829</w:t>
            </w:r>
          </w:p>
        </w:tc>
        <w:tc>
          <w:tcPr>
            <w:tcW w:w="475" w:type="pct"/>
            <w:tcBorders>
              <w:top w:val="nil"/>
              <w:left w:val="nil"/>
              <w:bottom w:val="single" w:sz="4" w:space="0" w:color="auto"/>
              <w:right w:val="single" w:sz="4" w:space="0" w:color="auto"/>
            </w:tcBorders>
            <w:shd w:val="clear" w:color="000000" w:fill="BFBFBF"/>
            <w:noWrap/>
            <w:vAlign w:val="bottom"/>
            <w:hideMark/>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10 160 623</w:t>
            </w:r>
          </w:p>
        </w:tc>
        <w:tc>
          <w:tcPr>
            <w:tcW w:w="475" w:type="pct"/>
            <w:tcBorders>
              <w:top w:val="nil"/>
              <w:left w:val="nil"/>
              <w:bottom w:val="single" w:sz="4" w:space="0" w:color="auto"/>
              <w:right w:val="single" w:sz="4" w:space="0" w:color="auto"/>
            </w:tcBorders>
            <w:shd w:val="clear" w:color="000000" w:fill="BFBFBF"/>
            <w:noWrap/>
            <w:vAlign w:val="bottom"/>
            <w:hideMark/>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10 735 533</w:t>
            </w:r>
          </w:p>
        </w:tc>
        <w:tc>
          <w:tcPr>
            <w:tcW w:w="475"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3A497B" w:rsidRPr="00F13E89" w:rsidRDefault="003A497B" w:rsidP="003E1809">
            <w:pPr>
              <w:jc w:val="right"/>
              <w:rPr>
                <w:rFonts w:ascii="Times New Roman" w:hAnsi="Times New Roman" w:cs="Times New Roman"/>
                <w:b/>
                <w:bCs/>
                <w:color w:val="000000"/>
                <w:sz w:val="14"/>
                <w:szCs w:val="14"/>
                <w:lang w:eastAsia="sk-SK"/>
              </w:rPr>
            </w:pPr>
            <w:r w:rsidRPr="00F13E89">
              <w:rPr>
                <w:rFonts w:ascii="Times New Roman" w:hAnsi="Times New Roman" w:cs="Times New Roman"/>
                <w:b/>
                <w:bCs/>
                <w:color w:val="000000"/>
                <w:sz w:val="14"/>
                <w:szCs w:val="14"/>
              </w:rPr>
              <w:t>11 205 178</w:t>
            </w:r>
          </w:p>
        </w:tc>
        <w:tc>
          <w:tcPr>
            <w:tcW w:w="475" w:type="pct"/>
            <w:tcBorders>
              <w:top w:val="single" w:sz="4" w:space="0" w:color="auto"/>
              <w:left w:val="nil"/>
              <w:bottom w:val="single" w:sz="4" w:space="0" w:color="auto"/>
              <w:right w:val="single" w:sz="4" w:space="0" w:color="auto"/>
            </w:tcBorders>
            <w:shd w:val="clear" w:color="000000" w:fill="BFBFBF"/>
            <w:noWrap/>
            <w:vAlign w:val="bottom"/>
            <w:hideMark/>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10 910 889</w:t>
            </w:r>
          </w:p>
        </w:tc>
        <w:tc>
          <w:tcPr>
            <w:tcW w:w="476" w:type="pct"/>
            <w:tcBorders>
              <w:top w:val="single" w:sz="4" w:space="0" w:color="auto"/>
              <w:left w:val="nil"/>
              <w:bottom w:val="single" w:sz="4" w:space="0" w:color="auto"/>
              <w:right w:val="single" w:sz="4" w:space="0" w:color="auto"/>
            </w:tcBorders>
            <w:shd w:val="clear" w:color="000000" w:fill="BFBFBF"/>
            <w:noWrap/>
            <w:vAlign w:val="bottom"/>
            <w:hideMark/>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10 910 889</w:t>
            </w:r>
          </w:p>
        </w:tc>
        <w:tc>
          <w:tcPr>
            <w:tcW w:w="476" w:type="pct"/>
            <w:tcBorders>
              <w:top w:val="single" w:sz="4" w:space="0" w:color="auto"/>
              <w:left w:val="nil"/>
              <w:bottom w:val="single" w:sz="4" w:space="0" w:color="auto"/>
              <w:right w:val="single" w:sz="4" w:space="0" w:color="auto"/>
            </w:tcBorders>
            <w:shd w:val="clear" w:color="000000" w:fill="BFBFBF"/>
            <w:noWrap/>
            <w:vAlign w:val="bottom"/>
            <w:hideMark/>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10 910 889</w:t>
            </w:r>
          </w:p>
        </w:tc>
      </w:tr>
      <w:tr w:rsidR="003A497B" w:rsidRPr="00335900" w:rsidTr="003E1809">
        <w:trPr>
          <w:trHeight w:val="259"/>
        </w:trPr>
        <w:tc>
          <w:tcPr>
            <w:tcW w:w="1673" w:type="pct"/>
            <w:tcBorders>
              <w:top w:val="nil"/>
              <w:left w:val="single" w:sz="4" w:space="0" w:color="auto"/>
              <w:bottom w:val="single" w:sz="4" w:space="0" w:color="auto"/>
              <w:right w:val="single" w:sz="4" w:space="0" w:color="auto"/>
            </w:tcBorders>
            <w:noWrap/>
            <w:vAlign w:val="center"/>
            <w:hideMark/>
          </w:tcPr>
          <w:p w:rsidR="003A497B" w:rsidRPr="00335900" w:rsidRDefault="003A497B" w:rsidP="003E1809">
            <w:pPr>
              <w:rPr>
                <w:rFonts w:ascii="Times New Roman" w:hAnsi="Times New Roman" w:cs="Times New Roman"/>
                <w:b/>
                <w:color w:val="000000"/>
                <w:sz w:val="14"/>
                <w:szCs w:val="14"/>
              </w:rPr>
            </w:pPr>
            <w:r w:rsidRPr="00335900">
              <w:rPr>
                <w:rFonts w:ascii="Times New Roman" w:hAnsi="Times New Roman" w:cs="Times New Roman"/>
                <w:b/>
                <w:color w:val="000000"/>
                <w:sz w:val="14"/>
                <w:szCs w:val="14"/>
              </w:rPr>
              <w:t xml:space="preserve">rozpočtové zdroje kapitoly </w:t>
            </w:r>
          </w:p>
        </w:tc>
        <w:tc>
          <w:tcPr>
            <w:tcW w:w="475" w:type="pct"/>
            <w:tcBorders>
              <w:top w:val="nil"/>
              <w:left w:val="single" w:sz="4" w:space="0" w:color="auto"/>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9 205 844</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10 012 087</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10 735 533</w:t>
            </w:r>
          </w:p>
        </w:tc>
        <w:tc>
          <w:tcPr>
            <w:tcW w:w="475" w:type="pct"/>
            <w:tcBorders>
              <w:top w:val="nil"/>
              <w:left w:val="single" w:sz="4" w:space="0" w:color="auto"/>
              <w:bottom w:val="single" w:sz="4" w:space="0" w:color="auto"/>
              <w:right w:val="single" w:sz="4" w:space="0" w:color="auto"/>
            </w:tcBorders>
            <w:shd w:val="clear" w:color="auto" w:fill="auto"/>
            <w:noWrap/>
            <w:vAlign w:val="bottom"/>
          </w:tcPr>
          <w:p w:rsidR="003A497B" w:rsidRPr="00F13E89" w:rsidRDefault="003A497B" w:rsidP="003E1809">
            <w:pPr>
              <w:jc w:val="right"/>
              <w:rPr>
                <w:rFonts w:ascii="Times New Roman" w:hAnsi="Times New Roman" w:cs="Times New Roman"/>
                <w:b/>
                <w:bCs/>
                <w:color w:val="000000"/>
                <w:sz w:val="14"/>
                <w:szCs w:val="14"/>
              </w:rPr>
            </w:pPr>
            <w:r w:rsidRPr="00F13E89">
              <w:rPr>
                <w:rFonts w:ascii="Times New Roman" w:hAnsi="Times New Roman" w:cs="Times New Roman"/>
                <w:b/>
                <w:bCs/>
                <w:color w:val="000000"/>
                <w:sz w:val="14"/>
                <w:szCs w:val="14"/>
              </w:rPr>
              <w:t>11 186 491</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10 910 889</w:t>
            </w:r>
          </w:p>
        </w:tc>
        <w:tc>
          <w:tcPr>
            <w:tcW w:w="476"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10 910 889</w:t>
            </w:r>
          </w:p>
        </w:tc>
        <w:tc>
          <w:tcPr>
            <w:tcW w:w="476"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10 910 889</w:t>
            </w:r>
          </w:p>
        </w:tc>
      </w:tr>
      <w:tr w:rsidR="003A497B" w:rsidRPr="00335900" w:rsidTr="003E1809">
        <w:trPr>
          <w:trHeight w:val="259"/>
        </w:trPr>
        <w:tc>
          <w:tcPr>
            <w:tcW w:w="1673" w:type="pct"/>
            <w:tcBorders>
              <w:top w:val="nil"/>
              <w:left w:val="single" w:sz="4" w:space="0" w:color="auto"/>
              <w:bottom w:val="single" w:sz="4" w:space="0" w:color="auto"/>
              <w:right w:val="single" w:sz="4" w:space="0" w:color="auto"/>
            </w:tcBorders>
            <w:noWrap/>
            <w:vAlign w:val="center"/>
            <w:hideMark/>
          </w:tcPr>
          <w:p w:rsidR="003A497B" w:rsidRPr="00335900" w:rsidRDefault="003A497B" w:rsidP="003E1809">
            <w:pPr>
              <w:rPr>
                <w:rFonts w:ascii="Times New Roman" w:hAnsi="Times New Roman" w:cs="Times New Roman"/>
                <w:color w:val="000000"/>
                <w:sz w:val="14"/>
                <w:szCs w:val="14"/>
              </w:rPr>
            </w:pPr>
            <w:r w:rsidRPr="00335900">
              <w:rPr>
                <w:rFonts w:ascii="Times New Roman" w:hAnsi="Times New Roman" w:cs="Times New Roman"/>
                <w:color w:val="000000"/>
                <w:sz w:val="14"/>
                <w:szCs w:val="14"/>
              </w:rPr>
              <w:t xml:space="preserve">    v tom: bežné výdavky  600</w:t>
            </w:r>
          </w:p>
        </w:tc>
        <w:tc>
          <w:tcPr>
            <w:tcW w:w="475" w:type="pct"/>
            <w:tcBorders>
              <w:top w:val="nil"/>
              <w:left w:val="single" w:sz="4" w:space="0" w:color="auto"/>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9 147 540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9 734 188</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10 466 333</w:t>
            </w:r>
          </w:p>
        </w:tc>
        <w:tc>
          <w:tcPr>
            <w:tcW w:w="475" w:type="pct"/>
            <w:tcBorders>
              <w:top w:val="nil"/>
              <w:left w:val="single" w:sz="4" w:space="0" w:color="auto"/>
              <w:bottom w:val="single" w:sz="4" w:space="0" w:color="auto"/>
              <w:right w:val="single" w:sz="4" w:space="0" w:color="auto"/>
            </w:tcBorders>
            <w:shd w:val="clear" w:color="auto" w:fill="auto"/>
            <w:noWrap/>
            <w:vAlign w:val="bottom"/>
          </w:tcPr>
          <w:p w:rsidR="003A497B" w:rsidRPr="00F13E89" w:rsidRDefault="003A497B" w:rsidP="003E1809">
            <w:pPr>
              <w:jc w:val="right"/>
              <w:rPr>
                <w:rFonts w:ascii="Times New Roman" w:hAnsi="Times New Roman" w:cs="Times New Roman"/>
                <w:color w:val="000000"/>
                <w:sz w:val="14"/>
                <w:szCs w:val="14"/>
              </w:rPr>
            </w:pPr>
            <w:r w:rsidRPr="00F13E89">
              <w:rPr>
                <w:rFonts w:ascii="Times New Roman" w:hAnsi="Times New Roman" w:cs="Times New Roman"/>
                <w:color w:val="000000"/>
                <w:sz w:val="14"/>
                <w:szCs w:val="14"/>
              </w:rPr>
              <w:t>10 901 994</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10 798 989</w:t>
            </w:r>
          </w:p>
        </w:tc>
        <w:tc>
          <w:tcPr>
            <w:tcW w:w="476"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10 801 989</w:t>
            </w:r>
          </w:p>
        </w:tc>
        <w:tc>
          <w:tcPr>
            <w:tcW w:w="476"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10 826 089</w:t>
            </w:r>
          </w:p>
        </w:tc>
      </w:tr>
      <w:tr w:rsidR="003A497B" w:rsidRPr="00335900" w:rsidTr="003E1809">
        <w:trPr>
          <w:trHeight w:val="259"/>
        </w:trPr>
        <w:tc>
          <w:tcPr>
            <w:tcW w:w="1673" w:type="pct"/>
            <w:tcBorders>
              <w:top w:val="nil"/>
              <w:left w:val="single" w:sz="4" w:space="0" w:color="auto"/>
              <w:bottom w:val="single" w:sz="4" w:space="0" w:color="auto"/>
              <w:right w:val="single" w:sz="4" w:space="0" w:color="auto"/>
            </w:tcBorders>
            <w:noWrap/>
            <w:vAlign w:val="center"/>
            <w:hideMark/>
          </w:tcPr>
          <w:p w:rsidR="003A497B" w:rsidRPr="00335900" w:rsidRDefault="003A497B" w:rsidP="003E1809">
            <w:pPr>
              <w:rPr>
                <w:rFonts w:ascii="Times New Roman" w:hAnsi="Times New Roman" w:cs="Times New Roman"/>
                <w:color w:val="000000"/>
                <w:sz w:val="14"/>
                <w:szCs w:val="14"/>
              </w:rPr>
            </w:pPr>
            <w:r w:rsidRPr="00335900">
              <w:rPr>
                <w:rFonts w:ascii="Times New Roman" w:hAnsi="Times New Roman" w:cs="Times New Roman"/>
                <w:color w:val="000000"/>
                <w:sz w:val="14"/>
                <w:szCs w:val="14"/>
              </w:rPr>
              <w:t xml:space="preserve">                     610 mzdy</w:t>
            </w:r>
          </w:p>
        </w:tc>
        <w:tc>
          <w:tcPr>
            <w:tcW w:w="475" w:type="pct"/>
            <w:tcBorders>
              <w:top w:val="nil"/>
              <w:left w:val="single" w:sz="4" w:space="0" w:color="auto"/>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5 165 310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5 577 979</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5 918 308</w:t>
            </w:r>
          </w:p>
        </w:tc>
        <w:tc>
          <w:tcPr>
            <w:tcW w:w="475" w:type="pct"/>
            <w:tcBorders>
              <w:top w:val="nil"/>
              <w:left w:val="single" w:sz="4" w:space="0" w:color="auto"/>
              <w:bottom w:val="single" w:sz="4" w:space="0" w:color="auto"/>
              <w:right w:val="single" w:sz="4" w:space="0" w:color="auto"/>
            </w:tcBorders>
            <w:shd w:val="clear" w:color="auto" w:fill="auto"/>
            <w:noWrap/>
            <w:vAlign w:val="bottom"/>
          </w:tcPr>
          <w:p w:rsidR="003A497B" w:rsidRPr="00F13E89" w:rsidRDefault="003A497B" w:rsidP="003E1809">
            <w:pPr>
              <w:jc w:val="right"/>
              <w:rPr>
                <w:rFonts w:ascii="Times New Roman" w:hAnsi="Times New Roman" w:cs="Times New Roman"/>
                <w:color w:val="000000"/>
                <w:sz w:val="14"/>
                <w:szCs w:val="14"/>
              </w:rPr>
            </w:pPr>
            <w:r w:rsidRPr="00F13E89">
              <w:rPr>
                <w:rFonts w:ascii="Times New Roman" w:hAnsi="Times New Roman" w:cs="Times New Roman"/>
                <w:color w:val="000000"/>
                <w:sz w:val="14"/>
                <w:szCs w:val="14"/>
              </w:rPr>
              <w:t>6 170 014</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6 193 933</w:t>
            </w:r>
          </w:p>
        </w:tc>
        <w:tc>
          <w:tcPr>
            <w:tcW w:w="476"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6 193 933</w:t>
            </w:r>
          </w:p>
        </w:tc>
        <w:tc>
          <w:tcPr>
            <w:tcW w:w="476"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6 193 933</w:t>
            </w:r>
          </w:p>
        </w:tc>
      </w:tr>
      <w:tr w:rsidR="003A497B" w:rsidRPr="00335900" w:rsidTr="003E1809">
        <w:trPr>
          <w:trHeight w:val="259"/>
        </w:trPr>
        <w:tc>
          <w:tcPr>
            <w:tcW w:w="1673" w:type="pct"/>
            <w:tcBorders>
              <w:top w:val="nil"/>
              <w:left w:val="single" w:sz="4" w:space="0" w:color="auto"/>
              <w:bottom w:val="single" w:sz="4" w:space="0" w:color="auto"/>
              <w:right w:val="single" w:sz="4" w:space="0" w:color="auto"/>
            </w:tcBorders>
            <w:noWrap/>
            <w:vAlign w:val="center"/>
            <w:hideMark/>
          </w:tcPr>
          <w:p w:rsidR="003A497B" w:rsidRPr="00335900" w:rsidRDefault="003A497B" w:rsidP="003E1809">
            <w:pPr>
              <w:rPr>
                <w:rFonts w:ascii="Times New Roman" w:hAnsi="Times New Roman" w:cs="Times New Roman"/>
                <w:color w:val="000000"/>
                <w:sz w:val="14"/>
                <w:szCs w:val="14"/>
              </w:rPr>
            </w:pPr>
            <w:r w:rsidRPr="00335900">
              <w:rPr>
                <w:rFonts w:ascii="Times New Roman" w:hAnsi="Times New Roman" w:cs="Times New Roman"/>
                <w:color w:val="000000"/>
                <w:sz w:val="14"/>
                <w:szCs w:val="14"/>
              </w:rPr>
              <w:t xml:space="preserve">                     620 odvody</w:t>
            </w:r>
          </w:p>
        </w:tc>
        <w:tc>
          <w:tcPr>
            <w:tcW w:w="475" w:type="pct"/>
            <w:tcBorders>
              <w:top w:val="nil"/>
              <w:left w:val="single" w:sz="4" w:space="0" w:color="auto"/>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1 827 427</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2 001 471</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2 173 449</w:t>
            </w:r>
          </w:p>
        </w:tc>
        <w:tc>
          <w:tcPr>
            <w:tcW w:w="475" w:type="pct"/>
            <w:tcBorders>
              <w:top w:val="nil"/>
              <w:left w:val="single" w:sz="4" w:space="0" w:color="auto"/>
              <w:bottom w:val="single" w:sz="4" w:space="0" w:color="auto"/>
              <w:right w:val="single" w:sz="4" w:space="0" w:color="auto"/>
            </w:tcBorders>
            <w:shd w:val="clear" w:color="auto" w:fill="auto"/>
            <w:noWrap/>
            <w:vAlign w:val="bottom"/>
          </w:tcPr>
          <w:p w:rsidR="003A497B" w:rsidRPr="00F13E89" w:rsidRDefault="003A497B" w:rsidP="003E1809">
            <w:pPr>
              <w:jc w:val="right"/>
              <w:rPr>
                <w:rFonts w:ascii="Times New Roman" w:hAnsi="Times New Roman" w:cs="Times New Roman"/>
                <w:color w:val="000000"/>
                <w:sz w:val="14"/>
                <w:szCs w:val="14"/>
              </w:rPr>
            </w:pPr>
            <w:r w:rsidRPr="00F13E89">
              <w:rPr>
                <w:rFonts w:ascii="Times New Roman" w:hAnsi="Times New Roman" w:cs="Times New Roman"/>
                <w:color w:val="000000"/>
                <w:sz w:val="14"/>
                <w:szCs w:val="14"/>
              </w:rPr>
              <w:t>2 240 020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2 269 780</w:t>
            </w:r>
          </w:p>
        </w:tc>
        <w:tc>
          <w:tcPr>
            <w:tcW w:w="476"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2 284 780</w:t>
            </w:r>
          </w:p>
        </w:tc>
        <w:tc>
          <w:tcPr>
            <w:tcW w:w="476"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2 304 980</w:t>
            </w:r>
          </w:p>
        </w:tc>
      </w:tr>
      <w:tr w:rsidR="003A497B" w:rsidRPr="00335900" w:rsidTr="003E1809">
        <w:trPr>
          <w:trHeight w:val="259"/>
        </w:trPr>
        <w:tc>
          <w:tcPr>
            <w:tcW w:w="1673" w:type="pct"/>
            <w:tcBorders>
              <w:top w:val="nil"/>
              <w:left w:val="single" w:sz="4" w:space="0" w:color="auto"/>
              <w:bottom w:val="single" w:sz="4" w:space="0" w:color="auto"/>
              <w:right w:val="single" w:sz="4" w:space="0" w:color="auto"/>
            </w:tcBorders>
            <w:noWrap/>
            <w:vAlign w:val="center"/>
            <w:hideMark/>
          </w:tcPr>
          <w:p w:rsidR="003A497B" w:rsidRPr="00335900" w:rsidRDefault="003A497B" w:rsidP="003E1809">
            <w:pPr>
              <w:rPr>
                <w:rFonts w:ascii="Times New Roman" w:hAnsi="Times New Roman" w:cs="Times New Roman"/>
                <w:color w:val="000000"/>
                <w:sz w:val="14"/>
                <w:szCs w:val="14"/>
              </w:rPr>
            </w:pPr>
            <w:r w:rsidRPr="00335900">
              <w:rPr>
                <w:rFonts w:ascii="Times New Roman" w:hAnsi="Times New Roman" w:cs="Times New Roman"/>
                <w:color w:val="000000"/>
                <w:sz w:val="14"/>
                <w:szCs w:val="14"/>
              </w:rPr>
              <w:t xml:space="preserve">                     630 tovary a služby</w:t>
            </w:r>
          </w:p>
        </w:tc>
        <w:tc>
          <w:tcPr>
            <w:tcW w:w="475" w:type="pct"/>
            <w:tcBorders>
              <w:top w:val="nil"/>
              <w:left w:val="single" w:sz="4" w:space="0" w:color="auto"/>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2 088 050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2 068 909</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2 288 376</w:t>
            </w:r>
          </w:p>
        </w:tc>
        <w:tc>
          <w:tcPr>
            <w:tcW w:w="475" w:type="pct"/>
            <w:tcBorders>
              <w:top w:val="nil"/>
              <w:left w:val="single" w:sz="4" w:space="0" w:color="auto"/>
              <w:bottom w:val="single" w:sz="4" w:space="0" w:color="auto"/>
              <w:right w:val="single" w:sz="4" w:space="0" w:color="auto"/>
            </w:tcBorders>
            <w:shd w:val="clear" w:color="auto" w:fill="auto"/>
            <w:noWrap/>
            <w:vAlign w:val="bottom"/>
          </w:tcPr>
          <w:p w:rsidR="003A497B" w:rsidRPr="00F13E89" w:rsidRDefault="003A497B" w:rsidP="003E1809">
            <w:pPr>
              <w:jc w:val="right"/>
              <w:rPr>
                <w:rFonts w:ascii="Times New Roman" w:hAnsi="Times New Roman" w:cs="Times New Roman"/>
                <w:color w:val="000000"/>
                <w:sz w:val="14"/>
                <w:szCs w:val="14"/>
              </w:rPr>
            </w:pPr>
            <w:r w:rsidRPr="00F13E89">
              <w:rPr>
                <w:rFonts w:ascii="Times New Roman" w:hAnsi="Times New Roman" w:cs="Times New Roman"/>
                <w:color w:val="000000"/>
                <w:sz w:val="14"/>
                <w:szCs w:val="14"/>
              </w:rPr>
              <w:t>2 405 760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2 243 476</w:t>
            </w:r>
          </w:p>
        </w:tc>
        <w:tc>
          <w:tcPr>
            <w:tcW w:w="476"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2 231 476</w:t>
            </w:r>
          </w:p>
        </w:tc>
        <w:tc>
          <w:tcPr>
            <w:tcW w:w="476"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2 235 376</w:t>
            </w:r>
          </w:p>
        </w:tc>
      </w:tr>
      <w:tr w:rsidR="003A497B" w:rsidRPr="00335900" w:rsidTr="003E1809">
        <w:trPr>
          <w:trHeight w:val="259"/>
        </w:trPr>
        <w:tc>
          <w:tcPr>
            <w:tcW w:w="1673" w:type="pct"/>
            <w:tcBorders>
              <w:top w:val="nil"/>
              <w:left w:val="single" w:sz="4" w:space="0" w:color="auto"/>
              <w:bottom w:val="single" w:sz="4" w:space="0" w:color="auto"/>
              <w:right w:val="single" w:sz="4" w:space="0" w:color="auto"/>
            </w:tcBorders>
            <w:noWrap/>
            <w:vAlign w:val="center"/>
            <w:hideMark/>
          </w:tcPr>
          <w:p w:rsidR="003A497B" w:rsidRPr="00335900" w:rsidRDefault="003A497B" w:rsidP="003E1809">
            <w:pPr>
              <w:rPr>
                <w:rFonts w:ascii="Times New Roman" w:hAnsi="Times New Roman" w:cs="Times New Roman"/>
                <w:color w:val="000000"/>
                <w:sz w:val="14"/>
                <w:szCs w:val="14"/>
              </w:rPr>
            </w:pPr>
            <w:r w:rsidRPr="00335900">
              <w:rPr>
                <w:rFonts w:ascii="Times New Roman" w:hAnsi="Times New Roman" w:cs="Times New Roman"/>
                <w:color w:val="000000"/>
                <w:sz w:val="14"/>
                <w:szCs w:val="14"/>
              </w:rPr>
              <w:t xml:space="preserve">                     640 bežné transfery</w:t>
            </w:r>
          </w:p>
        </w:tc>
        <w:tc>
          <w:tcPr>
            <w:tcW w:w="475" w:type="pct"/>
            <w:tcBorders>
              <w:top w:val="nil"/>
              <w:left w:val="single" w:sz="4" w:space="0" w:color="auto"/>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66 753</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85 829</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86 200</w:t>
            </w:r>
          </w:p>
        </w:tc>
        <w:tc>
          <w:tcPr>
            <w:tcW w:w="475" w:type="pct"/>
            <w:tcBorders>
              <w:top w:val="nil"/>
              <w:left w:val="single" w:sz="4" w:space="0" w:color="auto"/>
              <w:bottom w:val="single" w:sz="4" w:space="0" w:color="auto"/>
              <w:right w:val="single" w:sz="4" w:space="0" w:color="auto"/>
            </w:tcBorders>
            <w:shd w:val="clear" w:color="auto" w:fill="auto"/>
            <w:noWrap/>
            <w:vAlign w:val="bottom"/>
          </w:tcPr>
          <w:p w:rsidR="003A497B" w:rsidRPr="00F13E89" w:rsidRDefault="003A497B" w:rsidP="003E1809">
            <w:pPr>
              <w:jc w:val="right"/>
              <w:rPr>
                <w:rFonts w:ascii="Times New Roman" w:hAnsi="Times New Roman" w:cs="Times New Roman"/>
                <w:color w:val="000000"/>
                <w:sz w:val="14"/>
                <w:szCs w:val="14"/>
              </w:rPr>
            </w:pPr>
            <w:r w:rsidRPr="00F13E89">
              <w:rPr>
                <w:rFonts w:ascii="Times New Roman" w:hAnsi="Times New Roman" w:cs="Times New Roman"/>
                <w:color w:val="000000"/>
                <w:sz w:val="14"/>
                <w:szCs w:val="14"/>
              </w:rPr>
              <w:t>86 200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91 800</w:t>
            </w:r>
          </w:p>
        </w:tc>
        <w:tc>
          <w:tcPr>
            <w:tcW w:w="476"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91 800</w:t>
            </w:r>
          </w:p>
        </w:tc>
        <w:tc>
          <w:tcPr>
            <w:tcW w:w="476"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91 800</w:t>
            </w:r>
          </w:p>
        </w:tc>
      </w:tr>
      <w:tr w:rsidR="003A497B" w:rsidRPr="00335900" w:rsidTr="003E1809">
        <w:trPr>
          <w:trHeight w:val="259"/>
        </w:trPr>
        <w:tc>
          <w:tcPr>
            <w:tcW w:w="1673" w:type="pct"/>
            <w:tcBorders>
              <w:top w:val="nil"/>
              <w:left w:val="single" w:sz="4" w:space="0" w:color="auto"/>
              <w:bottom w:val="single" w:sz="4" w:space="0" w:color="auto"/>
              <w:right w:val="single" w:sz="4" w:space="0" w:color="auto"/>
            </w:tcBorders>
            <w:noWrap/>
            <w:vAlign w:val="center"/>
            <w:hideMark/>
          </w:tcPr>
          <w:p w:rsidR="003A497B" w:rsidRPr="00335900" w:rsidRDefault="003A497B" w:rsidP="003E1809">
            <w:pPr>
              <w:rPr>
                <w:rFonts w:ascii="Times New Roman" w:hAnsi="Times New Roman" w:cs="Times New Roman"/>
                <w:color w:val="000000"/>
                <w:sz w:val="14"/>
                <w:szCs w:val="14"/>
              </w:rPr>
            </w:pPr>
            <w:r w:rsidRPr="00335900">
              <w:rPr>
                <w:rFonts w:ascii="Times New Roman" w:hAnsi="Times New Roman" w:cs="Times New Roman"/>
                <w:color w:val="000000"/>
                <w:sz w:val="14"/>
                <w:szCs w:val="14"/>
              </w:rPr>
              <w:t xml:space="preserve">                kapitálové výdavky 700</w:t>
            </w:r>
          </w:p>
        </w:tc>
        <w:tc>
          <w:tcPr>
            <w:tcW w:w="475" w:type="pct"/>
            <w:tcBorders>
              <w:top w:val="nil"/>
              <w:left w:val="single" w:sz="4" w:space="0" w:color="auto"/>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58 304</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277 899</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269 200</w:t>
            </w:r>
          </w:p>
        </w:tc>
        <w:tc>
          <w:tcPr>
            <w:tcW w:w="475" w:type="pct"/>
            <w:tcBorders>
              <w:top w:val="nil"/>
              <w:left w:val="single" w:sz="4" w:space="0" w:color="auto"/>
              <w:bottom w:val="single" w:sz="4" w:space="0" w:color="auto"/>
              <w:right w:val="single" w:sz="4" w:space="0" w:color="auto"/>
            </w:tcBorders>
            <w:shd w:val="clear" w:color="auto" w:fill="auto"/>
            <w:noWrap/>
            <w:vAlign w:val="bottom"/>
          </w:tcPr>
          <w:p w:rsidR="003A497B" w:rsidRPr="00F13E89" w:rsidRDefault="003A497B" w:rsidP="003E1809">
            <w:pPr>
              <w:jc w:val="right"/>
              <w:rPr>
                <w:rFonts w:ascii="Times New Roman" w:hAnsi="Times New Roman" w:cs="Times New Roman"/>
                <w:color w:val="000000"/>
                <w:sz w:val="14"/>
                <w:szCs w:val="14"/>
              </w:rPr>
            </w:pPr>
            <w:r w:rsidRPr="00F13E89">
              <w:rPr>
                <w:rFonts w:ascii="Times New Roman" w:hAnsi="Times New Roman" w:cs="Times New Roman"/>
                <w:color w:val="000000"/>
                <w:sz w:val="14"/>
                <w:szCs w:val="14"/>
              </w:rPr>
              <w:t>284 497</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111 900</w:t>
            </w:r>
          </w:p>
        </w:tc>
        <w:tc>
          <w:tcPr>
            <w:tcW w:w="476"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108 900</w:t>
            </w:r>
          </w:p>
        </w:tc>
        <w:tc>
          <w:tcPr>
            <w:tcW w:w="476"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84 800</w:t>
            </w:r>
          </w:p>
        </w:tc>
      </w:tr>
      <w:tr w:rsidR="003A497B" w:rsidRPr="00335900" w:rsidTr="003E1809">
        <w:trPr>
          <w:trHeight w:val="259"/>
        </w:trPr>
        <w:tc>
          <w:tcPr>
            <w:tcW w:w="1673" w:type="pct"/>
            <w:tcBorders>
              <w:top w:val="single" w:sz="4" w:space="0" w:color="auto"/>
              <w:left w:val="single" w:sz="4" w:space="0" w:color="auto"/>
              <w:bottom w:val="single" w:sz="4" w:space="0" w:color="auto"/>
              <w:right w:val="single" w:sz="4" w:space="0" w:color="auto"/>
            </w:tcBorders>
            <w:noWrap/>
            <w:vAlign w:val="center"/>
            <w:hideMark/>
          </w:tcPr>
          <w:p w:rsidR="003A497B" w:rsidRPr="00335900" w:rsidRDefault="003A497B" w:rsidP="003E1809">
            <w:pPr>
              <w:rPr>
                <w:rFonts w:ascii="Times New Roman" w:hAnsi="Times New Roman" w:cs="Times New Roman"/>
                <w:b/>
                <w:color w:val="000000"/>
                <w:sz w:val="14"/>
                <w:szCs w:val="14"/>
              </w:rPr>
            </w:pPr>
            <w:r w:rsidRPr="00335900">
              <w:rPr>
                <w:rFonts w:ascii="Times New Roman" w:hAnsi="Times New Roman" w:cs="Times New Roman"/>
                <w:b/>
                <w:color w:val="000000"/>
                <w:sz w:val="14"/>
                <w:szCs w:val="14"/>
              </w:rPr>
              <w:t>zdroje EÚ vrátane spolufinancovania</w:t>
            </w:r>
          </w:p>
        </w:tc>
        <w:tc>
          <w:tcPr>
            <w:tcW w:w="475" w:type="pct"/>
            <w:tcBorders>
              <w:top w:val="nil"/>
              <w:left w:val="single" w:sz="4" w:space="0" w:color="auto"/>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0</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0</w:t>
            </w:r>
          </w:p>
        </w:tc>
        <w:tc>
          <w:tcPr>
            <w:tcW w:w="475" w:type="pct"/>
            <w:tcBorders>
              <w:top w:val="nil"/>
              <w:left w:val="single" w:sz="4" w:space="0" w:color="auto"/>
              <w:bottom w:val="single" w:sz="4" w:space="0" w:color="auto"/>
              <w:right w:val="single" w:sz="4" w:space="0" w:color="auto"/>
            </w:tcBorders>
            <w:shd w:val="clear" w:color="auto" w:fill="auto"/>
            <w:noWrap/>
            <w:vAlign w:val="bottom"/>
          </w:tcPr>
          <w:p w:rsidR="003A497B" w:rsidRPr="00F13E89" w:rsidRDefault="003A497B" w:rsidP="003E1809">
            <w:pPr>
              <w:jc w:val="right"/>
              <w:rPr>
                <w:rFonts w:ascii="Times New Roman" w:hAnsi="Times New Roman" w:cs="Times New Roman"/>
                <w:b/>
                <w:bCs/>
                <w:color w:val="000000"/>
                <w:sz w:val="14"/>
                <w:szCs w:val="14"/>
              </w:rPr>
            </w:pPr>
            <w:r w:rsidRPr="00F13E89">
              <w:rPr>
                <w:rFonts w:ascii="Times New Roman" w:hAnsi="Times New Roman" w:cs="Times New Roman"/>
                <w:b/>
                <w:bCs/>
                <w:color w:val="000000"/>
                <w:sz w:val="14"/>
                <w:szCs w:val="14"/>
              </w:rPr>
              <w:t>18 687</w:t>
            </w:r>
          </w:p>
        </w:tc>
        <w:tc>
          <w:tcPr>
            <w:tcW w:w="475"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0</w:t>
            </w:r>
          </w:p>
        </w:tc>
        <w:tc>
          <w:tcPr>
            <w:tcW w:w="476"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0</w:t>
            </w:r>
          </w:p>
        </w:tc>
        <w:tc>
          <w:tcPr>
            <w:tcW w:w="476" w:type="pct"/>
            <w:tcBorders>
              <w:top w:val="nil"/>
              <w:left w:val="nil"/>
              <w:bottom w:val="single" w:sz="4" w:space="0" w:color="auto"/>
              <w:right w:val="single" w:sz="4" w:space="0" w:color="auto"/>
            </w:tcBorders>
            <w:shd w:val="clear" w:color="auto" w:fill="auto"/>
            <w:noWrap/>
            <w:vAlign w:val="bottom"/>
            <w:hideMark/>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0</w:t>
            </w:r>
          </w:p>
        </w:tc>
      </w:tr>
      <w:tr w:rsidR="003A497B" w:rsidRPr="00335900" w:rsidTr="003E1809">
        <w:trPr>
          <w:trHeight w:val="259"/>
        </w:trPr>
        <w:tc>
          <w:tcPr>
            <w:tcW w:w="16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A497B" w:rsidRPr="00335900" w:rsidRDefault="003A497B" w:rsidP="003E1809">
            <w:pPr>
              <w:rPr>
                <w:rFonts w:ascii="Times New Roman" w:hAnsi="Times New Roman" w:cs="Times New Roman"/>
                <w:b/>
                <w:bCs/>
                <w:color w:val="000000"/>
                <w:sz w:val="14"/>
                <w:szCs w:val="14"/>
                <w:lang w:eastAsia="sk-SK"/>
              </w:rPr>
            </w:pPr>
            <w:r w:rsidRPr="00335900">
              <w:rPr>
                <w:rFonts w:ascii="Times New Roman" w:hAnsi="Times New Roman" w:cs="Times New Roman"/>
                <w:b/>
                <w:bCs/>
                <w:color w:val="000000"/>
                <w:sz w:val="14"/>
                <w:szCs w:val="14"/>
              </w:rPr>
              <w:t>presun z minulých rokov §</w:t>
            </w:r>
            <w:r>
              <w:rPr>
                <w:rFonts w:ascii="Times New Roman" w:hAnsi="Times New Roman" w:cs="Times New Roman"/>
                <w:b/>
                <w:bCs/>
                <w:color w:val="000000"/>
                <w:sz w:val="14"/>
                <w:szCs w:val="14"/>
              </w:rPr>
              <w:t xml:space="preserve"> </w:t>
            </w:r>
            <w:r w:rsidRPr="00335900">
              <w:rPr>
                <w:rFonts w:ascii="Times New Roman" w:hAnsi="Times New Roman" w:cs="Times New Roman"/>
                <w:b/>
                <w:bCs/>
                <w:color w:val="000000"/>
                <w:sz w:val="14"/>
                <w:szCs w:val="14"/>
              </w:rPr>
              <w:t>8</w:t>
            </w:r>
          </w:p>
        </w:tc>
        <w:tc>
          <w:tcPr>
            <w:tcW w:w="475" w:type="pct"/>
            <w:tcBorders>
              <w:top w:val="nil"/>
              <w:left w:val="single" w:sz="4" w:space="0" w:color="auto"/>
              <w:bottom w:val="single" w:sz="4" w:space="0" w:color="auto"/>
              <w:right w:val="single" w:sz="4" w:space="0" w:color="auto"/>
            </w:tcBorders>
            <w:shd w:val="clear" w:color="auto" w:fill="auto"/>
            <w:noWrap/>
            <w:vAlign w:val="bottom"/>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142 985</w:t>
            </w:r>
          </w:p>
        </w:tc>
        <w:tc>
          <w:tcPr>
            <w:tcW w:w="475" w:type="pct"/>
            <w:tcBorders>
              <w:top w:val="nil"/>
              <w:left w:val="nil"/>
              <w:bottom w:val="single" w:sz="4" w:space="0" w:color="auto"/>
              <w:right w:val="single" w:sz="4" w:space="0" w:color="auto"/>
            </w:tcBorders>
            <w:shd w:val="clear" w:color="auto" w:fill="auto"/>
            <w:noWrap/>
            <w:vAlign w:val="bottom"/>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148 536</w:t>
            </w:r>
          </w:p>
        </w:tc>
        <w:tc>
          <w:tcPr>
            <w:tcW w:w="475" w:type="pct"/>
            <w:tcBorders>
              <w:top w:val="nil"/>
              <w:left w:val="nil"/>
              <w:bottom w:val="single" w:sz="4" w:space="0" w:color="auto"/>
              <w:right w:val="single" w:sz="4" w:space="0" w:color="auto"/>
            </w:tcBorders>
            <w:shd w:val="clear" w:color="auto" w:fill="auto"/>
            <w:noWrap/>
            <w:vAlign w:val="bottom"/>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0</w:t>
            </w:r>
          </w:p>
        </w:tc>
        <w:tc>
          <w:tcPr>
            <w:tcW w:w="475" w:type="pct"/>
            <w:tcBorders>
              <w:top w:val="nil"/>
              <w:left w:val="nil"/>
              <w:bottom w:val="single" w:sz="4" w:space="0" w:color="auto"/>
              <w:right w:val="single" w:sz="4" w:space="0" w:color="auto"/>
            </w:tcBorders>
            <w:shd w:val="clear" w:color="auto" w:fill="auto"/>
            <w:noWrap/>
            <w:vAlign w:val="bottom"/>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0</w:t>
            </w:r>
          </w:p>
        </w:tc>
        <w:tc>
          <w:tcPr>
            <w:tcW w:w="475" w:type="pct"/>
            <w:tcBorders>
              <w:top w:val="nil"/>
              <w:left w:val="nil"/>
              <w:bottom w:val="single" w:sz="4" w:space="0" w:color="auto"/>
              <w:right w:val="single" w:sz="4" w:space="0" w:color="auto"/>
            </w:tcBorders>
            <w:shd w:val="clear" w:color="auto" w:fill="auto"/>
            <w:noWrap/>
            <w:vAlign w:val="bottom"/>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0</w:t>
            </w:r>
          </w:p>
        </w:tc>
        <w:tc>
          <w:tcPr>
            <w:tcW w:w="476" w:type="pct"/>
            <w:tcBorders>
              <w:top w:val="nil"/>
              <w:left w:val="nil"/>
              <w:bottom w:val="single" w:sz="4" w:space="0" w:color="auto"/>
              <w:right w:val="single" w:sz="4" w:space="0" w:color="auto"/>
            </w:tcBorders>
            <w:shd w:val="clear" w:color="auto" w:fill="auto"/>
            <w:noWrap/>
            <w:vAlign w:val="bottom"/>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0</w:t>
            </w:r>
          </w:p>
        </w:tc>
        <w:tc>
          <w:tcPr>
            <w:tcW w:w="476" w:type="pct"/>
            <w:tcBorders>
              <w:top w:val="nil"/>
              <w:left w:val="nil"/>
              <w:bottom w:val="single" w:sz="4" w:space="0" w:color="auto"/>
              <w:right w:val="single" w:sz="4" w:space="0" w:color="auto"/>
            </w:tcBorders>
            <w:shd w:val="clear" w:color="auto" w:fill="auto"/>
            <w:noWrap/>
            <w:vAlign w:val="bottom"/>
          </w:tcPr>
          <w:p w:rsidR="003A497B" w:rsidRPr="00CD5F27" w:rsidRDefault="003A497B" w:rsidP="003E1809">
            <w:pPr>
              <w:jc w:val="right"/>
              <w:rPr>
                <w:rFonts w:ascii="Times New Roman" w:hAnsi="Times New Roman" w:cs="Times New Roman"/>
                <w:b/>
                <w:sz w:val="14"/>
                <w:szCs w:val="14"/>
              </w:rPr>
            </w:pPr>
            <w:r w:rsidRPr="00CD5F27">
              <w:rPr>
                <w:rFonts w:ascii="Times New Roman" w:hAnsi="Times New Roman" w:cs="Times New Roman"/>
                <w:b/>
                <w:sz w:val="14"/>
                <w:szCs w:val="14"/>
              </w:rPr>
              <w:t>0</w:t>
            </w:r>
          </w:p>
        </w:tc>
      </w:tr>
      <w:tr w:rsidR="003A497B" w:rsidRPr="00335900" w:rsidTr="003E1809">
        <w:trPr>
          <w:trHeight w:val="259"/>
        </w:trPr>
        <w:tc>
          <w:tcPr>
            <w:tcW w:w="1673" w:type="pct"/>
            <w:tcBorders>
              <w:top w:val="nil"/>
              <w:left w:val="single" w:sz="4" w:space="0" w:color="auto"/>
              <w:bottom w:val="single" w:sz="4" w:space="0" w:color="auto"/>
              <w:right w:val="single" w:sz="4" w:space="0" w:color="auto"/>
            </w:tcBorders>
            <w:shd w:val="clear" w:color="auto" w:fill="auto"/>
            <w:noWrap/>
            <w:vAlign w:val="center"/>
          </w:tcPr>
          <w:p w:rsidR="003A497B" w:rsidRPr="00335900" w:rsidRDefault="003A497B" w:rsidP="003E1809">
            <w:pPr>
              <w:rPr>
                <w:rFonts w:ascii="Times New Roman" w:hAnsi="Times New Roman" w:cs="Times New Roman"/>
                <w:color w:val="000000"/>
                <w:sz w:val="14"/>
                <w:szCs w:val="14"/>
              </w:rPr>
            </w:pPr>
            <w:r w:rsidRPr="00335900">
              <w:rPr>
                <w:rFonts w:ascii="Times New Roman" w:hAnsi="Times New Roman" w:cs="Times New Roman"/>
                <w:color w:val="000000"/>
                <w:sz w:val="14"/>
                <w:szCs w:val="14"/>
              </w:rPr>
              <w:t xml:space="preserve">   </w:t>
            </w:r>
            <w:r>
              <w:rPr>
                <w:rFonts w:ascii="Times New Roman" w:hAnsi="Times New Roman" w:cs="Times New Roman"/>
                <w:color w:val="000000"/>
                <w:sz w:val="14"/>
                <w:szCs w:val="14"/>
              </w:rPr>
              <w:t>v tom</w:t>
            </w:r>
            <w:r w:rsidRPr="00335900">
              <w:rPr>
                <w:rFonts w:ascii="Times New Roman" w:hAnsi="Times New Roman" w:cs="Times New Roman"/>
                <w:color w:val="000000"/>
                <w:sz w:val="14"/>
                <w:szCs w:val="14"/>
              </w:rPr>
              <w:t>: štátny rozpočet</w:t>
            </w:r>
          </w:p>
        </w:tc>
        <w:tc>
          <w:tcPr>
            <w:tcW w:w="475" w:type="pct"/>
            <w:tcBorders>
              <w:top w:val="nil"/>
              <w:left w:val="single" w:sz="4" w:space="0" w:color="auto"/>
              <w:bottom w:val="single" w:sz="4" w:space="0" w:color="auto"/>
              <w:right w:val="single" w:sz="4" w:space="0" w:color="auto"/>
            </w:tcBorders>
            <w:shd w:val="clear" w:color="auto" w:fill="auto"/>
            <w:noWrap/>
            <w:vAlign w:val="bottom"/>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88 952</w:t>
            </w:r>
          </w:p>
        </w:tc>
        <w:tc>
          <w:tcPr>
            <w:tcW w:w="475" w:type="pct"/>
            <w:tcBorders>
              <w:top w:val="nil"/>
              <w:left w:val="nil"/>
              <w:bottom w:val="single" w:sz="4" w:space="0" w:color="auto"/>
              <w:right w:val="single" w:sz="4" w:space="0" w:color="auto"/>
            </w:tcBorders>
            <w:shd w:val="clear" w:color="auto" w:fill="auto"/>
            <w:noWrap/>
            <w:vAlign w:val="bottom"/>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148 536</w:t>
            </w:r>
          </w:p>
        </w:tc>
        <w:tc>
          <w:tcPr>
            <w:tcW w:w="475" w:type="pct"/>
            <w:tcBorders>
              <w:top w:val="nil"/>
              <w:left w:val="nil"/>
              <w:bottom w:val="single" w:sz="4" w:space="0" w:color="auto"/>
              <w:right w:val="single" w:sz="4" w:space="0" w:color="auto"/>
            </w:tcBorders>
            <w:shd w:val="clear" w:color="auto" w:fill="auto"/>
            <w:noWrap/>
            <w:vAlign w:val="bottom"/>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0</w:t>
            </w:r>
          </w:p>
        </w:tc>
        <w:tc>
          <w:tcPr>
            <w:tcW w:w="475" w:type="pct"/>
            <w:tcBorders>
              <w:top w:val="nil"/>
              <w:left w:val="nil"/>
              <w:bottom w:val="single" w:sz="4" w:space="0" w:color="auto"/>
              <w:right w:val="single" w:sz="4" w:space="0" w:color="auto"/>
            </w:tcBorders>
            <w:shd w:val="clear" w:color="auto" w:fill="auto"/>
            <w:noWrap/>
            <w:vAlign w:val="bottom"/>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0</w:t>
            </w:r>
          </w:p>
        </w:tc>
        <w:tc>
          <w:tcPr>
            <w:tcW w:w="475" w:type="pct"/>
            <w:tcBorders>
              <w:top w:val="nil"/>
              <w:left w:val="nil"/>
              <w:bottom w:val="single" w:sz="4" w:space="0" w:color="auto"/>
              <w:right w:val="single" w:sz="4" w:space="0" w:color="auto"/>
            </w:tcBorders>
            <w:shd w:val="clear" w:color="auto" w:fill="auto"/>
            <w:noWrap/>
            <w:vAlign w:val="bottom"/>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0</w:t>
            </w:r>
          </w:p>
        </w:tc>
        <w:tc>
          <w:tcPr>
            <w:tcW w:w="476" w:type="pct"/>
            <w:tcBorders>
              <w:top w:val="nil"/>
              <w:left w:val="nil"/>
              <w:bottom w:val="single" w:sz="4" w:space="0" w:color="auto"/>
              <w:right w:val="single" w:sz="4" w:space="0" w:color="auto"/>
            </w:tcBorders>
            <w:shd w:val="clear" w:color="auto" w:fill="auto"/>
            <w:noWrap/>
            <w:vAlign w:val="bottom"/>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0</w:t>
            </w:r>
          </w:p>
        </w:tc>
        <w:tc>
          <w:tcPr>
            <w:tcW w:w="476" w:type="pct"/>
            <w:tcBorders>
              <w:top w:val="nil"/>
              <w:left w:val="nil"/>
              <w:bottom w:val="single" w:sz="4" w:space="0" w:color="auto"/>
              <w:right w:val="single" w:sz="4" w:space="0" w:color="auto"/>
            </w:tcBorders>
            <w:shd w:val="clear" w:color="auto" w:fill="auto"/>
            <w:noWrap/>
            <w:vAlign w:val="bottom"/>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0</w:t>
            </w:r>
          </w:p>
        </w:tc>
      </w:tr>
      <w:tr w:rsidR="003A497B" w:rsidRPr="00335900" w:rsidTr="003E1809">
        <w:trPr>
          <w:trHeight w:val="259"/>
        </w:trPr>
        <w:tc>
          <w:tcPr>
            <w:tcW w:w="1673" w:type="pct"/>
            <w:tcBorders>
              <w:top w:val="nil"/>
              <w:left w:val="single" w:sz="4" w:space="0" w:color="auto"/>
              <w:bottom w:val="single" w:sz="4" w:space="0" w:color="auto"/>
              <w:right w:val="single" w:sz="4" w:space="0" w:color="auto"/>
            </w:tcBorders>
            <w:shd w:val="clear" w:color="auto" w:fill="auto"/>
            <w:noWrap/>
            <w:vAlign w:val="center"/>
          </w:tcPr>
          <w:p w:rsidR="003A497B" w:rsidRPr="00335900" w:rsidRDefault="003A497B" w:rsidP="003E1809">
            <w:pPr>
              <w:rPr>
                <w:rFonts w:ascii="Times New Roman" w:hAnsi="Times New Roman" w:cs="Times New Roman"/>
                <w:color w:val="000000"/>
                <w:sz w:val="14"/>
                <w:szCs w:val="14"/>
              </w:rPr>
            </w:pPr>
            <w:r w:rsidRPr="00335900">
              <w:rPr>
                <w:rFonts w:ascii="Times New Roman" w:hAnsi="Times New Roman" w:cs="Times New Roman"/>
                <w:color w:val="000000"/>
                <w:sz w:val="14"/>
                <w:szCs w:val="14"/>
              </w:rPr>
              <w:t xml:space="preserve">               EÚ prostriedky vrátane spolufinancovania</w:t>
            </w:r>
          </w:p>
        </w:tc>
        <w:tc>
          <w:tcPr>
            <w:tcW w:w="475" w:type="pct"/>
            <w:tcBorders>
              <w:top w:val="nil"/>
              <w:left w:val="single" w:sz="4" w:space="0" w:color="auto"/>
              <w:bottom w:val="single" w:sz="4" w:space="0" w:color="auto"/>
              <w:right w:val="single" w:sz="4" w:space="0" w:color="auto"/>
            </w:tcBorders>
            <w:shd w:val="clear" w:color="auto" w:fill="auto"/>
            <w:noWrap/>
            <w:vAlign w:val="bottom"/>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54 033</w:t>
            </w:r>
          </w:p>
        </w:tc>
        <w:tc>
          <w:tcPr>
            <w:tcW w:w="475" w:type="pct"/>
            <w:tcBorders>
              <w:top w:val="nil"/>
              <w:left w:val="nil"/>
              <w:bottom w:val="single" w:sz="4" w:space="0" w:color="auto"/>
              <w:right w:val="single" w:sz="4" w:space="0" w:color="auto"/>
            </w:tcBorders>
            <w:shd w:val="clear" w:color="auto" w:fill="auto"/>
            <w:noWrap/>
            <w:vAlign w:val="bottom"/>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0</w:t>
            </w:r>
          </w:p>
        </w:tc>
        <w:tc>
          <w:tcPr>
            <w:tcW w:w="475" w:type="pct"/>
            <w:tcBorders>
              <w:top w:val="nil"/>
              <w:left w:val="nil"/>
              <w:bottom w:val="single" w:sz="4" w:space="0" w:color="auto"/>
              <w:right w:val="single" w:sz="4" w:space="0" w:color="auto"/>
            </w:tcBorders>
            <w:shd w:val="clear" w:color="auto" w:fill="auto"/>
            <w:noWrap/>
            <w:vAlign w:val="bottom"/>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0</w:t>
            </w:r>
          </w:p>
        </w:tc>
        <w:tc>
          <w:tcPr>
            <w:tcW w:w="475" w:type="pct"/>
            <w:tcBorders>
              <w:top w:val="nil"/>
              <w:left w:val="nil"/>
              <w:bottom w:val="single" w:sz="4" w:space="0" w:color="auto"/>
              <w:right w:val="single" w:sz="4" w:space="0" w:color="auto"/>
            </w:tcBorders>
            <w:shd w:val="clear" w:color="auto" w:fill="auto"/>
            <w:noWrap/>
            <w:vAlign w:val="bottom"/>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0</w:t>
            </w:r>
          </w:p>
        </w:tc>
        <w:tc>
          <w:tcPr>
            <w:tcW w:w="475" w:type="pct"/>
            <w:tcBorders>
              <w:top w:val="nil"/>
              <w:left w:val="nil"/>
              <w:bottom w:val="single" w:sz="4" w:space="0" w:color="auto"/>
              <w:right w:val="single" w:sz="4" w:space="0" w:color="auto"/>
            </w:tcBorders>
            <w:shd w:val="clear" w:color="auto" w:fill="auto"/>
            <w:noWrap/>
            <w:vAlign w:val="bottom"/>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0</w:t>
            </w:r>
          </w:p>
        </w:tc>
        <w:tc>
          <w:tcPr>
            <w:tcW w:w="476" w:type="pct"/>
            <w:tcBorders>
              <w:top w:val="nil"/>
              <w:left w:val="nil"/>
              <w:bottom w:val="single" w:sz="4" w:space="0" w:color="auto"/>
              <w:right w:val="single" w:sz="4" w:space="0" w:color="auto"/>
            </w:tcBorders>
            <w:shd w:val="clear" w:color="auto" w:fill="auto"/>
            <w:noWrap/>
            <w:vAlign w:val="bottom"/>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0</w:t>
            </w:r>
          </w:p>
        </w:tc>
        <w:tc>
          <w:tcPr>
            <w:tcW w:w="476" w:type="pct"/>
            <w:tcBorders>
              <w:top w:val="nil"/>
              <w:left w:val="nil"/>
              <w:bottom w:val="single" w:sz="4" w:space="0" w:color="auto"/>
              <w:right w:val="single" w:sz="4" w:space="0" w:color="auto"/>
            </w:tcBorders>
            <w:shd w:val="clear" w:color="auto" w:fill="auto"/>
            <w:noWrap/>
            <w:vAlign w:val="bottom"/>
          </w:tcPr>
          <w:p w:rsidR="003A497B" w:rsidRPr="00CD5F27" w:rsidRDefault="003A497B" w:rsidP="003E1809">
            <w:pPr>
              <w:jc w:val="right"/>
              <w:rPr>
                <w:rFonts w:ascii="Times New Roman" w:hAnsi="Times New Roman" w:cs="Times New Roman"/>
                <w:sz w:val="14"/>
                <w:szCs w:val="14"/>
              </w:rPr>
            </w:pPr>
            <w:r w:rsidRPr="00CD5F27">
              <w:rPr>
                <w:rFonts w:ascii="Times New Roman" w:hAnsi="Times New Roman" w:cs="Times New Roman"/>
                <w:sz w:val="14"/>
                <w:szCs w:val="14"/>
              </w:rPr>
              <w:t>0</w:t>
            </w:r>
          </w:p>
        </w:tc>
      </w:tr>
    </w:tbl>
    <w:p w:rsidR="003A497B" w:rsidRPr="00951C93" w:rsidRDefault="003A497B" w:rsidP="003A497B">
      <w:pPr>
        <w:jc w:val="both"/>
        <w:rPr>
          <w:rFonts w:ascii="Times New Roman" w:hAnsi="Times New Roman" w:cs="Times New Roman"/>
          <w:b/>
          <w:highlight w:val="yellow"/>
        </w:rPr>
      </w:pPr>
    </w:p>
    <w:p w:rsidR="003A497B" w:rsidRDefault="003A497B" w:rsidP="003A497B">
      <w:pPr>
        <w:ind w:firstLine="708"/>
        <w:jc w:val="both"/>
        <w:rPr>
          <w:rFonts w:ascii="Times New Roman" w:hAnsi="Times New Roman" w:cs="Times New Roman"/>
          <w:color w:val="000000"/>
        </w:rPr>
      </w:pPr>
    </w:p>
    <w:p w:rsidR="003A497B" w:rsidRPr="00AF1488" w:rsidRDefault="003A497B" w:rsidP="003A497B">
      <w:pPr>
        <w:ind w:firstLine="708"/>
        <w:jc w:val="both"/>
        <w:rPr>
          <w:rFonts w:ascii="Times New Roman" w:hAnsi="Times New Roman" w:cs="Times New Roman"/>
          <w:color w:val="000000"/>
        </w:rPr>
      </w:pPr>
      <w:r w:rsidRPr="00AF1488">
        <w:rPr>
          <w:rFonts w:ascii="Times New Roman" w:hAnsi="Times New Roman" w:cs="Times New Roman"/>
          <w:color w:val="000000"/>
        </w:rPr>
        <w:t>Výdavky kapitoly sa v roku 201</w:t>
      </w:r>
      <w:r>
        <w:rPr>
          <w:rFonts w:ascii="Times New Roman" w:hAnsi="Times New Roman" w:cs="Times New Roman"/>
          <w:color w:val="000000"/>
        </w:rPr>
        <w:t>9</w:t>
      </w:r>
      <w:r w:rsidRPr="00AF1488">
        <w:rPr>
          <w:rFonts w:ascii="Times New Roman" w:hAnsi="Times New Roman" w:cs="Times New Roman"/>
          <w:color w:val="000000"/>
        </w:rPr>
        <w:t xml:space="preserve"> rozpočtujú v sume </w:t>
      </w:r>
      <w:r>
        <w:rPr>
          <w:rFonts w:ascii="Times New Roman" w:hAnsi="Times New Roman" w:cs="Times New Roman"/>
          <w:color w:val="000000"/>
        </w:rPr>
        <w:t>10,9</w:t>
      </w:r>
      <w:r w:rsidRPr="00AF1488">
        <w:rPr>
          <w:rFonts w:ascii="Times New Roman" w:hAnsi="Times New Roman" w:cs="Times New Roman"/>
          <w:color w:val="000000"/>
        </w:rPr>
        <w:t xml:space="preserve"> mil. eur, čo je v porovnaní so schváleným rozpočtom roku 201</w:t>
      </w:r>
      <w:r>
        <w:rPr>
          <w:rFonts w:ascii="Times New Roman" w:hAnsi="Times New Roman" w:cs="Times New Roman"/>
          <w:color w:val="000000"/>
        </w:rPr>
        <w:t>8</w:t>
      </w:r>
      <w:r w:rsidRPr="00AF1488">
        <w:rPr>
          <w:rFonts w:ascii="Times New Roman" w:hAnsi="Times New Roman" w:cs="Times New Roman"/>
          <w:color w:val="000000"/>
        </w:rPr>
        <w:t xml:space="preserve"> </w:t>
      </w:r>
      <w:r>
        <w:rPr>
          <w:rFonts w:ascii="Times New Roman" w:hAnsi="Times New Roman" w:cs="Times New Roman"/>
          <w:color w:val="000000"/>
        </w:rPr>
        <w:t>viac</w:t>
      </w:r>
      <w:r w:rsidRPr="00AF1488">
        <w:rPr>
          <w:rFonts w:ascii="Times New Roman" w:hAnsi="Times New Roman" w:cs="Times New Roman"/>
          <w:color w:val="000000"/>
        </w:rPr>
        <w:t xml:space="preserve"> o</w:t>
      </w:r>
      <w:r>
        <w:rPr>
          <w:rFonts w:ascii="Times New Roman" w:hAnsi="Times New Roman" w:cs="Times New Roman"/>
          <w:color w:val="000000"/>
        </w:rPr>
        <w:t> 175</w:t>
      </w:r>
      <w:r w:rsidRPr="00AF1488">
        <w:rPr>
          <w:rFonts w:ascii="Times New Roman" w:hAnsi="Times New Roman" w:cs="Times New Roman"/>
          <w:color w:val="000000"/>
        </w:rPr>
        <w:t xml:space="preserve"> </w:t>
      </w:r>
      <w:r>
        <w:rPr>
          <w:rFonts w:ascii="Times New Roman" w:hAnsi="Times New Roman" w:cs="Times New Roman"/>
          <w:color w:val="000000"/>
        </w:rPr>
        <w:t>tis</w:t>
      </w:r>
      <w:r w:rsidRPr="00AF1488">
        <w:rPr>
          <w:rFonts w:ascii="Times New Roman" w:hAnsi="Times New Roman" w:cs="Times New Roman"/>
          <w:color w:val="000000"/>
        </w:rPr>
        <w:t>. eur, t. j. o</w:t>
      </w:r>
      <w:r>
        <w:rPr>
          <w:rFonts w:ascii="Times New Roman" w:hAnsi="Times New Roman" w:cs="Times New Roman"/>
          <w:color w:val="000000"/>
        </w:rPr>
        <w:t> 1,63</w:t>
      </w:r>
      <w:r w:rsidRPr="00AF1488">
        <w:rPr>
          <w:rFonts w:ascii="Times New Roman" w:hAnsi="Times New Roman" w:cs="Times New Roman"/>
          <w:color w:val="000000"/>
        </w:rPr>
        <w:t xml:space="preserve"> %. </w:t>
      </w:r>
    </w:p>
    <w:p w:rsidR="003A497B" w:rsidRPr="00AF1488" w:rsidRDefault="003A497B" w:rsidP="003A497B">
      <w:pPr>
        <w:ind w:firstLine="708"/>
        <w:jc w:val="both"/>
        <w:rPr>
          <w:rFonts w:ascii="Times New Roman" w:hAnsi="Times New Roman" w:cs="Times New Roman"/>
          <w:color w:val="000000"/>
        </w:rPr>
      </w:pPr>
    </w:p>
    <w:p w:rsidR="003A497B" w:rsidRPr="00AF1488" w:rsidRDefault="003A497B" w:rsidP="003A497B">
      <w:pPr>
        <w:ind w:firstLine="708"/>
        <w:jc w:val="both"/>
        <w:rPr>
          <w:rFonts w:ascii="Times New Roman" w:hAnsi="Times New Roman" w:cs="Times New Roman"/>
          <w:color w:val="000000"/>
        </w:rPr>
      </w:pPr>
      <w:r w:rsidRPr="00AF1488">
        <w:rPr>
          <w:rFonts w:ascii="Times New Roman" w:hAnsi="Times New Roman" w:cs="Times New Roman"/>
          <w:color w:val="000000"/>
        </w:rPr>
        <w:t>Objem osobných výdavkov sa na rok 201</w:t>
      </w:r>
      <w:r>
        <w:rPr>
          <w:rFonts w:ascii="Times New Roman" w:hAnsi="Times New Roman" w:cs="Times New Roman"/>
          <w:color w:val="000000"/>
        </w:rPr>
        <w:t>9</w:t>
      </w:r>
      <w:r w:rsidRPr="00AF1488">
        <w:rPr>
          <w:rFonts w:ascii="Times New Roman" w:hAnsi="Times New Roman" w:cs="Times New Roman"/>
          <w:color w:val="000000"/>
        </w:rPr>
        <w:t xml:space="preserve"> rozpočtuje na úrovni </w:t>
      </w:r>
      <w:r>
        <w:rPr>
          <w:rFonts w:ascii="Times New Roman" w:hAnsi="Times New Roman" w:cs="Times New Roman"/>
          <w:color w:val="000000"/>
        </w:rPr>
        <w:t>8,46</w:t>
      </w:r>
      <w:r w:rsidRPr="00AF1488">
        <w:rPr>
          <w:rFonts w:ascii="Times New Roman" w:hAnsi="Times New Roman" w:cs="Times New Roman"/>
          <w:color w:val="000000"/>
        </w:rPr>
        <w:t xml:space="preserve"> mil. eur, čo v porovnaní so schváleným rozpočtom na rok 201</w:t>
      </w:r>
      <w:r>
        <w:rPr>
          <w:rFonts w:ascii="Times New Roman" w:hAnsi="Times New Roman" w:cs="Times New Roman"/>
          <w:color w:val="000000"/>
        </w:rPr>
        <w:t>8</w:t>
      </w:r>
      <w:r w:rsidRPr="00AF1488">
        <w:rPr>
          <w:rFonts w:ascii="Times New Roman" w:hAnsi="Times New Roman" w:cs="Times New Roman"/>
          <w:color w:val="000000"/>
        </w:rPr>
        <w:t xml:space="preserve"> predstavuje </w:t>
      </w:r>
      <w:r>
        <w:rPr>
          <w:rFonts w:ascii="Times New Roman" w:hAnsi="Times New Roman" w:cs="Times New Roman"/>
          <w:color w:val="000000"/>
        </w:rPr>
        <w:t>náras</w:t>
      </w:r>
      <w:r w:rsidRPr="00AF1488">
        <w:rPr>
          <w:rFonts w:ascii="Times New Roman" w:hAnsi="Times New Roman" w:cs="Times New Roman"/>
          <w:color w:val="000000"/>
        </w:rPr>
        <w:t>t o </w:t>
      </w:r>
      <w:r>
        <w:rPr>
          <w:rFonts w:ascii="Times New Roman" w:hAnsi="Times New Roman" w:cs="Times New Roman"/>
          <w:color w:val="000000"/>
        </w:rPr>
        <w:t>372</w:t>
      </w:r>
      <w:r w:rsidRPr="00AF1488">
        <w:rPr>
          <w:rFonts w:ascii="Times New Roman" w:hAnsi="Times New Roman" w:cs="Times New Roman"/>
          <w:color w:val="000000"/>
        </w:rPr>
        <w:t xml:space="preserve"> tis. eur, t. j. o</w:t>
      </w:r>
      <w:r>
        <w:rPr>
          <w:rFonts w:ascii="Times New Roman" w:hAnsi="Times New Roman" w:cs="Times New Roman"/>
          <w:color w:val="000000"/>
        </w:rPr>
        <w:t> 4,6</w:t>
      </w:r>
      <w:r w:rsidRPr="00AF1488">
        <w:rPr>
          <w:rFonts w:ascii="Times New Roman" w:hAnsi="Times New Roman" w:cs="Times New Roman"/>
          <w:color w:val="000000"/>
        </w:rPr>
        <w:t xml:space="preserve"> %. Nárast </w:t>
      </w:r>
      <w:r>
        <w:rPr>
          <w:rFonts w:ascii="Times New Roman" w:hAnsi="Times New Roman" w:cs="Times New Roman"/>
          <w:color w:val="000000"/>
        </w:rPr>
        <w:t xml:space="preserve">súvisí s </w:t>
      </w:r>
      <w:r w:rsidRPr="00AF1488">
        <w:rPr>
          <w:rFonts w:ascii="Times New Roman" w:hAnsi="Times New Roman" w:cs="Times New Roman"/>
          <w:color w:val="000000"/>
        </w:rPr>
        <w:t>dopočtom valorizácie platov zamestnancov z roku 201</w:t>
      </w:r>
      <w:r>
        <w:rPr>
          <w:rFonts w:ascii="Times New Roman" w:hAnsi="Times New Roman" w:cs="Times New Roman"/>
          <w:color w:val="000000"/>
        </w:rPr>
        <w:t xml:space="preserve">8 </w:t>
      </w:r>
      <w:r w:rsidRPr="00064420">
        <w:rPr>
          <w:rFonts w:ascii="Times New Roman" w:hAnsi="Times New Roman" w:cs="Times New Roman"/>
          <w:color w:val="000000"/>
        </w:rPr>
        <w:t>do nasledujúcich rokov</w:t>
      </w:r>
      <w:r>
        <w:rPr>
          <w:rFonts w:ascii="Times New Roman" w:hAnsi="Times New Roman" w:cs="Times New Roman"/>
          <w:color w:val="000000"/>
        </w:rPr>
        <w:t>, ako aj so zohľadnením platových náležitostí predsedu a podpredsedov Najvyššieho kontrolného úradu SR vyplývajúcich zo zákona č. 340/2016 Z. z., ktorým sa dopĺňa zákon č. 120/1993 Z. z. o platových pomeroch niektorých ústavných činiteľov SR.</w:t>
      </w:r>
      <w:r w:rsidRPr="00AF1488">
        <w:rPr>
          <w:rFonts w:ascii="Times New Roman" w:hAnsi="Times New Roman" w:cs="Times New Roman"/>
          <w:color w:val="000000"/>
        </w:rPr>
        <w:t xml:space="preserve"> </w:t>
      </w:r>
    </w:p>
    <w:p w:rsidR="003A497B" w:rsidRPr="00AF1488" w:rsidRDefault="003A497B" w:rsidP="003A497B">
      <w:pPr>
        <w:ind w:firstLine="708"/>
        <w:jc w:val="both"/>
        <w:rPr>
          <w:rFonts w:ascii="Times New Roman" w:hAnsi="Times New Roman" w:cs="Times New Roman"/>
          <w:color w:val="000000"/>
        </w:rPr>
      </w:pPr>
    </w:p>
    <w:p w:rsidR="003A497B" w:rsidRDefault="003A497B" w:rsidP="003A497B">
      <w:pPr>
        <w:ind w:firstLine="708"/>
        <w:jc w:val="both"/>
        <w:rPr>
          <w:rFonts w:ascii="Times New Roman" w:hAnsi="Times New Roman" w:cs="Times New Roman"/>
          <w:color w:val="000000"/>
        </w:rPr>
      </w:pPr>
      <w:r w:rsidRPr="00AF1488">
        <w:rPr>
          <w:rFonts w:ascii="Times New Roman" w:hAnsi="Times New Roman" w:cs="Times New Roman"/>
          <w:color w:val="000000"/>
        </w:rPr>
        <w:lastRenderedPageBreak/>
        <w:t>Výdavky na tovary a služby sa v roku 201</w:t>
      </w:r>
      <w:r>
        <w:rPr>
          <w:rFonts w:ascii="Times New Roman" w:hAnsi="Times New Roman" w:cs="Times New Roman"/>
          <w:color w:val="000000"/>
        </w:rPr>
        <w:t>9</w:t>
      </w:r>
      <w:r w:rsidRPr="00AF1488">
        <w:rPr>
          <w:rFonts w:ascii="Times New Roman" w:hAnsi="Times New Roman" w:cs="Times New Roman"/>
          <w:color w:val="000000"/>
        </w:rPr>
        <w:t xml:space="preserve"> rozpočtujú na úrovni </w:t>
      </w:r>
      <w:r w:rsidRPr="004C0140">
        <w:rPr>
          <w:rFonts w:ascii="Times New Roman" w:hAnsi="Times New Roman" w:cs="Times New Roman"/>
          <w:color w:val="000000"/>
        </w:rPr>
        <w:t>2,24 mil</w:t>
      </w:r>
      <w:r w:rsidRPr="00AF1488">
        <w:rPr>
          <w:rFonts w:ascii="Times New Roman" w:hAnsi="Times New Roman" w:cs="Times New Roman"/>
          <w:color w:val="000000"/>
        </w:rPr>
        <w:t>. eur a oproti schválenému rozpočtu 201</w:t>
      </w:r>
      <w:r>
        <w:rPr>
          <w:rFonts w:ascii="Times New Roman" w:hAnsi="Times New Roman" w:cs="Times New Roman"/>
          <w:color w:val="000000"/>
        </w:rPr>
        <w:t>8</w:t>
      </w:r>
      <w:r w:rsidRPr="00AF1488">
        <w:rPr>
          <w:rFonts w:ascii="Times New Roman" w:hAnsi="Times New Roman" w:cs="Times New Roman"/>
          <w:color w:val="000000"/>
        </w:rPr>
        <w:t xml:space="preserve"> </w:t>
      </w:r>
      <w:r>
        <w:rPr>
          <w:rFonts w:ascii="Times New Roman" w:hAnsi="Times New Roman" w:cs="Times New Roman"/>
          <w:color w:val="000000"/>
        </w:rPr>
        <w:t xml:space="preserve">zaznamenávajú pokles </w:t>
      </w:r>
      <w:r w:rsidRPr="00AF1488">
        <w:rPr>
          <w:rFonts w:ascii="Times New Roman" w:hAnsi="Times New Roman" w:cs="Times New Roman"/>
          <w:color w:val="000000"/>
        </w:rPr>
        <w:t>o</w:t>
      </w:r>
      <w:r>
        <w:rPr>
          <w:rFonts w:ascii="Times New Roman" w:hAnsi="Times New Roman" w:cs="Times New Roman"/>
          <w:color w:val="000000"/>
        </w:rPr>
        <w:t> 44,9</w:t>
      </w:r>
      <w:r w:rsidRPr="00AF1488">
        <w:rPr>
          <w:rFonts w:ascii="Times New Roman" w:hAnsi="Times New Roman" w:cs="Times New Roman"/>
          <w:color w:val="000000"/>
        </w:rPr>
        <w:t xml:space="preserve"> tis. eur, t. j. o</w:t>
      </w:r>
      <w:r>
        <w:rPr>
          <w:rFonts w:ascii="Times New Roman" w:hAnsi="Times New Roman" w:cs="Times New Roman"/>
          <w:color w:val="000000"/>
        </w:rPr>
        <w:t xml:space="preserve"> 1,96 % </w:t>
      </w:r>
      <w:r w:rsidRPr="004C0140">
        <w:rPr>
          <w:rFonts w:ascii="Times New Roman" w:hAnsi="Times New Roman" w:cs="Times New Roman"/>
          <w:color w:val="000000"/>
        </w:rPr>
        <w:t>v dôsledku presunov uskutočnených kapitolou pri rozpise v prospech kapitálových výdavkov a bežných transferov.</w:t>
      </w:r>
    </w:p>
    <w:p w:rsidR="003A497B" w:rsidRPr="00AF1488" w:rsidRDefault="003A497B" w:rsidP="003A497B">
      <w:pPr>
        <w:ind w:firstLine="708"/>
        <w:jc w:val="both"/>
        <w:rPr>
          <w:rFonts w:ascii="Times New Roman" w:hAnsi="Times New Roman" w:cs="Times New Roman"/>
          <w:color w:val="000000"/>
        </w:rPr>
      </w:pPr>
    </w:p>
    <w:p w:rsidR="003A497B" w:rsidRPr="00AF1488" w:rsidRDefault="003A497B" w:rsidP="003A497B">
      <w:pPr>
        <w:ind w:firstLine="708"/>
        <w:jc w:val="both"/>
        <w:rPr>
          <w:rFonts w:ascii="Times New Roman" w:hAnsi="Times New Roman" w:cs="Times New Roman"/>
          <w:color w:val="000000"/>
        </w:rPr>
      </w:pPr>
      <w:r w:rsidRPr="00AF1488">
        <w:rPr>
          <w:rFonts w:ascii="Times New Roman" w:hAnsi="Times New Roman" w:cs="Times New Roman"/>
          <w:color w:val="000000"/>
        </w:rPr>
        <w:t>Bežné transfery rozpočtované na rok 201</w:t>
      </w:r>
      <w:r>
        <w:rPr>
          <w:rFonts w:ascii="Times New Roman" w:hAnsi="Times New Roman" w:cs="Times New Roman"/>
          <w:color w:val="000000"/>
        </w:rPr>
        <w:t>9</w:t>
      </w:r>
      <w:r w:rsidRPr="00AF1488">
        <w:rPr>
          <w:rFonts w:ascii="Times New Roman" w:hAnsi="Times New Roman" w:cs="Times New Roman"/>
          <w:color w:val="000000"/>
        </w:rPr>
        <w:t xml:space="preserve"> v sume </w:t>
      </w:r>
      <w:r>
        <w:rPr>
          <w:rFonts w:ascii="Times New Roman" w:hAnsi="Times New Roman" w:cs="Times New Roman"/>
          <w:color w:val="000000"/>
        </w:rPr>
        <w:t>91,8</w:t>
      </w:r>
      <w:r w:rsidRPr="00AF1488">
        <w:rPr>
          <w:rFonts w:ascii="Times New Roman" w:hAnsi="Times New Roman" w:cs="Times New Roman"/>
          <w:color w:val="000000"/>
        </w:rPr>
        <w:t xml:space="preserve"> tis. eur, sa oproti schválenému rozpočtu na rok 201</w:t>
      </w:r>
      <w:r>
        <w:rPr>
          <w:rFonts w:ascii="Times New Roman" w:hAnsi="Times New Roman" w:cs="Times New Roman"/>
          <w:color w:val="000000"/>
        </w:rPr>
        <w:t>8</w:t>
      </w:r>
      <w:r w:rsidRPr="00AF1488">
        <w:rPr>
          <w:rFonts w:ascii="Times New Roman" w:hAnsi="Times New Roman" w:cs="Times New Roman"/>
          <w:color w:val="000000"/>
        </w:rPr>
        <w:t xml:space="preserve"> zvýšili o</w:t>
      </w:r>
      <w:r>
        <w:rPr>
          <w:rFonts w:ascii="Times New Roman" w:hAnsi="Times New Roman" w:cs="Times New Roman"/>
          <w:color w:val="000000"/>
        </w:rPr>
        <w:t> 5,6</w:t>
      </w:r>
      <w:r w:rsidRPr="00AF1488">
        <w:rPr>
          <w:rFonts w:ascii="Times New Roman" w:hAnsi="Times New Roman" w:cs="Times New Roman"/>
          <w:color w:val="000000"/>
        </w:rPr>
        <w:t xml:space="preserve"> tis. eur, t. j. o</w:t>
      </w:r>
      <w:r>
        <w:rPr>
          <w:rFonts w:ascii="Times New Roman" w:hAnsi="Times New Roman" w:cs="Times New Roman"/>
          <w:color w:val="000000"/>
        </w:rPr>
        <w:t xml:space="preserve"> 6,5 </w:t>
      </w:r>
      <w:r w:rsidRPr="00AF1488">
        <w:rPr>
          <w:rFonts w:ascii="Times New Roman" w:hAnsi="Times New Roman" w:cs="Times New Roman"/>
          <w:color w:val="000000"/>
        </w:rPr>
        <w:t xml:space="preserve">%. </w:t>
      </w:r>
      <w:r w:rsidRPr="004C0140">
        <w:rPr>
          <w:rFonts w:ascii="Times New Roman" w:hAnsi="Times New Roman" w:cs="Times New Roman"/>
          <w:color w:val="000000"/>
        </w:rPr>
        <w:t>Nárast je rozpísaný najmä na odchodné.</w:t>
      </w:r>
      <w:r>
        <w:rPr>
          <w:rFonts w:ascii="Times New Roman" w:hAnsi="Times New Roman" w:cs="Times New Roman"/>
          <w:color w:val="000000"/>
        </w:rPr>
        <w:t xml:space="preserve"> </w:t>
      </w:r>
      <w:r w:rsidRPr="00AF1488">
        <w:rPr>
          <w:rFonts w:ascii="Times New Roman" w:hAnsi="Times New Roman" w:cs="Times New Roman"/>
          <w:color w:val="000000"/>
        </w:rPr>
        <w:t>V rámci bežných transferov sú rozpísané príspevky 2 medzinárodným organizáciám, v ktorých má Najvyšší kontrolný úrad SR členstvo.</w:t>
      </w:r>
    </w:p>
    <w:p w:rsidR="003A497B" w:rsidRPr="00AF1488" w:rsidRDefault="003A497B" w:rsidP="003A497B">
      <w:pPr>
        <w:ind w:firstLine="708"/>
        <w:jc w:val="both"/>
        <w:rPr>
          <w:rFonts w:ascii="Times New Roman" w:hAnsi="Times New Roman" w:cs="Times New Roman"/>
          <w:color w:val="000000"/>
        </w:rPr>
      </w:pPr>
    </w:p>
    <w:p w:rsidR="003A497B" w:rsidRDefault="003A497B" w:rsidP="003A497B">
      <w:pPr>
        <w:ind w:firstLine="708"/>
        <w:jc w:val="both"/>
        <w:rPr>
          <w:rFonts w:ascii="Times New Roman" w:hAnsi="Times New Roman" w:cs="Times New Roman"/>
          <w:color w:val="000000"/>
        </w:rPr>
      </w:pPr>
      <w:r w:rsidRPr="00AF1488">
        <w:rPr>
          <w:rFonts w:ascii="Times New Roman" w:hAnsi="Times New Roman" w:cs="Times New Roman"/>
          <w:color w:val="000000"/>
        </w:rPr>
        <w:t xml:space="preserve">Kapitálové výdavky vo výške </w:t>
      </w:r>
      <w:r>
        <w:rPr>
          <w:rFonts w:ascii="Times New Roman" w:hAnsi="Times New Roman" w:cs="Times New Roman"/>
          <w:color w:val="000000"/>
        </w:rPr>
        <w:t xml:space="preserve">112 </w:t>
      </w:r>
      <w:r w:rsidRPr="00AF1488">
        <w:rPr>
          <w:rFonts w:ascii="Times New Roman" w:hAnsi="Times New Roman" w:cs="Times New Roman"/>
          <w:color w:val="000000"/>
        </w:rPr>
        <w:t>tis. eur na rok 201</w:t>
      </w:r>
      <w:r>
        <w:rPr>
          <w:rFonts w:ascii="Times New Roman" w:hAnsi="Times New Roman" w:cs="Times New Roman"/>
          <w:color w:val="000000"/>
        </w:rPr>
        <w:t>9</w:t>
      </w:r>
      <w:r w:rsidRPr="00AF1488">
        <w:rPr>
          <w:rFonts w:ascii="Times New Roman" w:hAnsi="Times New Roman" w:cs="Times New Roman"/>
          <w:color w:val="000000"/>
        </w:rPr>
        <w:t xml:space="preserve"> s</w:t>
      </w:r>
      <w:r>
        <w:rPr>
          <w:rFonts w:ascii="Times New Roman" w:hAnsi="Times New Roman" w:cs="Times New Roman"/>
          <w:color w:val="000000"/>
        </w:rPr>
        <w:t xml:space="preserve">ú </w:t>
      </w:r>
      <w:r w:rsidRPr="00405DCB">
        <w:rPr>
          <w:rFonts w:ascii="Times New Roman" w:hAnsi="Times New Roman" w:cs="Times New Roman"/>
          <w:color w:val="000000"/>
        </w:rPr>
        <w:t>oproti schválenému rozpočtu 201</w:t>
      </w:r>
      <w:r>
        <w:rPr>
          <w:rFonts w:ascii="Times New Roman" w:hAnsi="Times New Roman" w:cs="Times New Roman"/>
          <w:color w:val="000000"/>
        </w:rPr>
        <w:t>8</w:t>
      </w:r>
      <w:r w:rsidRPr="00405DCB">
        <w:rPr>
          <w:rFonts w:ascii="Times New Roman" w:hAnsi="Times New Roman" w:cs="Times New Roman"/>
          <w:color w:val="000000"/>
        </w:rPr>
        <w:t xml:space="preserve"> </w:t>
      </w:r>
      <w:r>
        <w:rPr>
          <w:rFonts w:ascii="Times New Roman" w:hAnsi="Times New Roman" w:cs="Times New Roman"/>
          <w:color w:val="000000"/>
        </w:rPr>
        <w:t>nižšie o 157 tis. eur, t. j. o 58,4 %.</w:t>
      </w:r>
      <w:r w:rsidRPr="00AF1488">
        <w:rPr>
          <w:rFonts w:ascii="Times New Roman" w:hAnsi="Times New Roman" w:cs="Times New Roman"/>
          <w:color w:val="000000"/>
        </w:rPr>
        <w:t xml:space="preserve"> </w:t>
      </w:r>
      <w:r w:rsidRPr="004C0140">
        <w:rPr>
          <w:rFonts w:ascii="Times New Roman" w:hAnsi="Times New Roman" w:cs="Times New Roman"/>
          <w:color w:val="000000"/>
        </w:rPr>
        <w:t>Pokles je dôsledkom priznanej jednorazovej priority na kapitálových výdavkoch v roku 2018</w:t>
      </w:r>
      <w:r>
        <w:rPr>
          <w:rFonts w:ascii="Times New Roman" w:hAnsi="Times New Roman" w:cs="Times New Roman"/>
          <w:color w:val="000000"/>
        </w:rPr>
        <w:t>, ktorá bola určená na rekonštrukciu a modernizáciu školiaceho strediska v Bojniciach.</w:t>
      </w:r>
      <w:r w:rsidRPr="004C0140">
        <w:rPr>
          <w:rFonts w:ascii="Times New Roman" w:hAnsi="Times New Roman" w:cs="Times New Roman"/>
          <w:color w:val="000000"/>
        </w:rPr>
        <w:t xml:space="preserve"> Zároveň kapitola posilnila kapitálové výdavky presunom z tovarov a služieb pri rozpise limitov. Kapitálové výdavky budú použité na nákup osobných automobilov a výpočtovej techniky</w:t>
      </w:r>
      <w:r>
        <w:rPr>
          <w:rFonts w:ascii="Times New Roman" w:hAnsi="Times New Roman" w:cs="Times New Roman"/>
          <w:color w:val="000000"/>
        </w:rPr>
        <w:t>.</w:t>
      </w:r>
    </w:p>
    <w:p w:rsidR="003A497B" w:rsidRPr="00912A7B" w:rsidRDefault="003A497B" w:rsidP="003A497B">
      <w:pPr>
        <w:pStyle w:val="Nadpis5"/>
        <w:pBdr>
          <w:bottom w:val="single" w:sz="4" w:space="1" w:color="auto"/>
        </w:pBdr>
        <w:ind w:left="0"/>
        <w:rPr>
          <w:i w:val="0"/>
          <w:sz w:val="24"/>
          <w:lang w:eastAsia="sk-SK"/>
        </w:rPr>
      </w:pPr>
      <w:bookmarkStart w:id="258" w:name="_Toc494470112"/>
      <w:bookmarkStart w:id="259" w:name="_Toc494472288"/>
      <w:bookmarkStart w:id="260" w:name="_Toc526267713"/>
      <w:r w:rsidRPr="00912A7B">
        <w:rPr>
          <w:i w:val="0"/>
          <w:sz w:val="24"/>
          <w:lang w:eastAsia="sk-SK"/>
        </w:rPr>
        <w:t>Slovenská informačná služba</w:t>
      </w:r>
      <w:bookmarkEnd w:id="258"/>
      <w:bookmarkEnd w:id="259"/>
      <w:bookmarkEnd w:id="260"/>
    </w:p>
    <w:p w:rsidR="003A497B" w:rsidRPr="004A3627" w:rsidRDefault="003A497B" w:rsidP="003A497B">
      <w:pPr>
        <w:rPr>
          <w:highlight w:val="yellow"/>
        </w:rPr>
      </w:pPr>
    </w:p>
    <w:tbl>
      <w:tblPr>
        <w:tblW w:w="9067" w:type="dxa"/>
        <w:tblLayout w:type="fixed"/>
        <w:tblCellMar>
          <w:left w:w="70" w:type="dxa"/>
          <w:right w:w="70" w:type="dxa"/>
        </w:tblCellMar>
        <w:tblLook w:val="04A0" w:firstRow="1" w:lastRow="0" w:firstColumn="1" w:lastColumn="0" w:noHBand="0" w:noVBand="1"/>
      </w:tblPr>
      <w:tblGrid>
        <w:gridCol w:w="2405"/>
        <w:gridCol w:w="951"/>
        <w:gridCol w:w="952"/>
        <w:gridCol w:w="952"/>
        <w:gridCol w:w="951"/>
        <w:gridCol w:w="952"/>
        <w:gridCol w:w="952"/>
        <w:gridCol w:w="952"/>
      </w:tblGrid>
      <w:tr w:rsidR="003A497B" w:rsidRPr="008E07AB" w:rsidTr="003E1809">
        <w:trPr>
          <w:trHeight w:val="255"/>
        </w:trPr>
        <w:tc>
          <w:tcPr>
            <w:tcW w:w="240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8E07AB" w:rsidRDefault="003A497B" w:rsidP="003E1809">
            <w:pPr>
              <w:rPr>
                <w:rFonts w:ascii="Times New Roman" w:hAnsi="Times New Roman" w:cs="Times New Roman"/>
                <w:b/>
                <w:bCs/>
                <w:color w:val="000000"/>
                <w:sz w:val="14"/>
                <w:szCs w:val="14"/>
                <w:lang w:eastAsia="sk-SK"/>
              </w:rPr>
            </w:pPr>
            <w:r w:rsidRPr="008E07AB">
              <w:rPr>
                <w:rFonts w:ascii="Times New Roman" w:hAnsi="Times New Roman" w:cs="Times New Roman"/>
                <w:b/>
                <w:bCs/>
                <w:color w:val="000000"/>
                <w:sz w:val="14"/>
                <w:szCs w:val="14"/>
                <w:lang w:eastAsia="sk-SK"/>
              </w:rPr>
              <w:t>v eurách</w:t>
            </w:r>
          </w:p>
        </w:tc>
        <w:tc>
          <w:tcPr>
            <w:tcW w:w="951"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8E07AB" w:rsidRDefault="003A497B" w:rsidP="003E180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2016 S</w:t>
            </w:r>
          </w:p>
        </w:tc>
        <w:tc>
          <w:tcPr>
            <w:tcW w:w="95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8E07AB" w:rsidRDefault="003A497B" w:rsidP="003E180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2017 S</w:t>
            </w:r>
          </w:p>
        </w:tc>
        <w:tc>
          <w:tcPr>
            <w:tcW w:w="95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8E07AB" w:rsidRDefault="003A497B" w:rsidP="003E180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2018 R</w:t>
            </w:r>
          </w:p>
        </w:tc>
        <w:tc>
          <w:tcPr>
            <w:tcW w:w="951"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8E07AB" w:rsidRDefault="003A497B" w:rsidP="003E180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2018 OS</w:t>
            </w:r>
          </w:p>
        </w:tc>
        <w:tc>
          <w:tcPr>
            <w:tcW w:w="95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8E07AB" w:rsidRDefault="003A497B" w:rsidP="003E180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2019 N</w:t>
            </w:r>
          </w:p>
        </w:tc>
        <w:tc>
          <w:tcPr>
            <w:tcW w:w="95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8E07AB" w:rsidRDefault="003A497B" w:rsidP="003E180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2020 N</w:t>
            </w:r>
          </w:p>
        </w:tc>
        <w:tc>
          <w:tcPr>
            <w:tcW w:w="95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8E07AB" w:rsidRDefault="003A497B" w:rsidP="003E180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2021 N</w:t>
            </w:r>
          </w:p>
        </w:tc>
      </w:tr>
      <w:tr w:rsidR="003A497B" w:rsidRPr="008E07AB" w:rsidTr="003E1809">
        <w:trPr>
          <w:trHeight w:val="255"/>
        </w:trPr>
        <w:tc>
          <w:tcPr>
            <w:tcW w:w="2405"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A497B" w:rsidRPr="008E07AB" w:rsidRDefault="003A497B" w:rsidP="003E1809">
            <w:pPr>
              <w:rPr>
                <w:rFonts w:ascii="Times New Roman" w:hAnsi="Times New Roman" w:cs="Times New Roman"/>
                <w:b/>
                <w:bCs/>
                <w:color w:val="000000"/>
                <w:sz w:val="14"/>
                <w:szCs w:val="14"/>
                <w:lang w:eastAsia="sk-SK"/>
              </w:rPr>
            </w:pPr>
            <w:r w:rsidRPr="008E07AB">
              <w:rPr>
                <w:rFonts w:ascii="Times New Roman" w:hAnsi="Times New Roman" w:cs="Times New Roman"/>
                <w:b/>
                <w:bCs/>
                <w:color w:val="000000"/>
                <w:sz w:val="14"/>
                <w:szCs w:val="14"/>
                <w:lang w:eastAsia="sk-SK"/>
              </w:rPr>
              <w:t>Zdroje príslušnej kapitoly</w:t>
            </w: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A497B" w:rsidRPr="005E1606" w:rsidRDefault="003A497B" w:rsidP="003E1809">
            <w:pPr>
              <w:jc w:val="right"/>
              <w:rPr>
                <w:rFonts w:ascii="Times New Roman" w:hAnsi="Times New Roman" w:cs="Times New Roman"/>
                <w:b/>
                <w:bCs/>
                <w:color w:val="000000"/>
                <w:sz w:val="14"/>
                <w:szCs w:val="14"/>
                <w:lang w:eastAsia="sk-SK"/>
              </w:rPr>
            </w:pPr>
            <w:r w:rsidRPr="005E1606">
              <w:rPr>
                <w:rFonts w:ascii="Times New Roman" w:hAnsi="Times New Roman" w:cs="Times New Roman"/>
                <w:b/>
                <w:bCs/>
                <w:color w:val="000000"/>
                <w:sz w:val="14"/>
                <w:szCs w:val="14"/>
              </w:rPr>
              <w:t>47 012 378</w:t>
            </w:r>
          </w:p>
        </w:tc>
        <w:tc>
          <w:tcPr>
            <w:tcW w:w="95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5E1606" w:rsidRDefault="003A497B" w:rsidP="003E1809">
            <w:pPr>
              <w:jc w:val="right"/>
              <w:rPr>
                <w:rFonts w:ascii="Times New Roman" w:hAnsi="Times New Roman" w:cs="Times New Roman"/>
                <w:b/>
                <w:bCs/>
                <w:color w:val="000000"/>
                <w:sz w:val="14"/>
                <w:szCs w:val="14"/>
              </w:rPr>
            </w:pPr>
            <w:r w:rsidRPr="005E1606">
              <w:rPr>
                <w:rFonts w:ascii="Times New Roman" w:hAnsi="Times New Roman" w:cs="Times New Roman"/>
                <w:b/>
                <w:bCs/>
                <w:color w:val="000000"/>
                <w:sz w:val="14"/>
                <w:szCs w:val="14"/>
              </w:rPr>
              <w:t>52 659 464</w:t>
            </w:r>
          </w:p>
        </w:tc>
        <w:tc>
          <w:tcPr>
            <w:tcW w:w="95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5E1606" w:rsidRDefault="003A497B" w:rsidP="003E1809">
            <w:pPr>
              <w:jc w:val="right"/>
              <w:rPr>
                <w:rFonts w:ascii="Times New Roman" w:hAnsi="Times New Roman" w:cs="Times New Roman"/>
                <w:b/>
                <w:bCs/>
                <w:color w:val="000000"/>
                <w:sz w:val="14"/>
                <w:szCs w:val="14"/>
              </w:rPr>
            </w:pPr>
            <w:r w:rsidRPr="005E1606">
              <w:rPr>
                <w:rFonts w:ascii="Times New Roman" w:hAnsi="Times New Roman" w:cs="Times New Roman"/>
                <w:b/>
                <w:bCs/>
                <w:color w:val="000000"/>
                <w:sz w:val="14"/>
                <w:szCs w:val="14"/>
              </w:rPr>
              <w:t>52 997 882</w:t>
            </w:r>
          </w:p>
        </w:tc>
        <w:tc>
          <w:tcPr>
            <w:tcW w:w="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A497B" w:rsidRPr="00467415" w:rsidRDefault="003A497B" w:rsidP="003E1809">
            <w:pPr>
              <w:jc w:val="right"/>
              <w:rPr>
                <w:rFonts w:ascii="Times New Roman" w:hAnsi="Times New Roman" w:cs="Times New Roman"/>
                <w:b/>
                <w:bCs/>
                <w:color w:val="000000"/>
                <w:sz w:val="14"/>
                <w:szCs w:val="14"/>
                <w:lang w:eastAsia="sk-SK"/>
              </w:rPr>
            </w:pPr>
            <w:r w:rsidRPr="00467415">
              <w:rPr>
                <w:rFonts w:ascii="Times New Roman" w:hAnsi="Times New Roman" w:cs="Times New Roman"/>
                <w:b/>
                <w:bCs/>
                <w:color w:val="000000"/>
                <w:sz w:val="14"/>
                <w:szCs w:val="14"/>
              </w:rPr>
              <w:t>54 971 530</w:t>
            </w:r>
          </w:p>
        </w:tc>
        <w:tc>
          <w:tcPr>
            <w:tcW w:w="95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5E1606" w:rsidRDefault="003A497B" w:rsidP="003E1809">
            <w:pPr>
              <w:jc w:val="right"/>
              <w:rPr>
                <w:rFonts w:ascii="Times New Roman" w:hAnsi="Times New Roman" w:cs="Times New Roman"/>
                <w:b/>
                <w:bCs/>
                <w:color w:val="000000"/>
                <w:sz w:val="14"/>
                <w:szCs w:val="14"/>
              </w:rPr>
            </w:pPr>
            <w:r w:rsidRPr="005E1606">
              <w:rPr>
                <w:rFonts w:ascii="Times New Roman" w:hAnsi="Times New Roman" w:cs="Times New Roman"/>
                <w:b/>
                <w:bCs/>
                <w:color w:val="000000"/>
                <w:sz w:val="14"/>
                <w:szCs w:val="14"/>
              </w:rPr>
              <w:t>54 853 914</w:t>
            </w:r>
          </w:p>
        </w:tc>
        <w:tc>
          <w:tcPr>
            <w:tcW w:w="95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5E1606" w:rsidRDefault="003A497B" w:rsidP="003E1809">
            <w:pPr>
              <w:jc w:val="right"/>
              <w:rPr>
                <w:rFonts w:ascii="Times New Roman" w:hAnsi="Times New Roman" w:cs="Times New Roman"/>
                <w:b/>
                <w:bCs/>
                <w:color w:val="000000"/>
                <w:sz w:val="14"/>
                <w:szCs w:val="14"/>
              </w:rPr>
            </w:pPr>
            <w:r w:rsidRPr="005E1606">
              <w:rPr>
                <w:rFonts w:ascii="Times New Roman" w:hAnsi="Times New Roman" w:cs="Times New Roman"/>
                <w:b/>
                <w:bCs/>
                <w:color w:val="000000"/>
                <w:sz w:val="14"/>
                <w:szCs w:val="14"/>
              </w:rPr>
              <w:t>54 853 914</w:t>
            </w:r>
          </w:p>
        </w:tc>
        <w:tc>
          <w:tcPr>
            <w:tcW w:w="95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3A497B" w:rsidRPr="005E1606" w:rsidRDefault="003A497B" w:rsidP="003E1809">
            <w:pPr>
              <w:jc w:val="right"/>
              <w:rPr>
                <w:rFonts w:ascii="Times New Roman" w:hAnsi="Times New Roman" w:cs="Times New Roman"/>
                <w:b/>
                <w:bCs/>
                <w:color w:val="000000"/>
                <w:sz w:val="14"/>
                <w:szCs w:val="14"/>
              </w:rPr>
            </w:pPr>
            <w:r w:rsidRPr="005E1606">
              <w:rPr>
                <w:rFonts w:ascii="Times New Roman" w:hAnsi="Times New Roman" w:cs="Times New Roman"/>
                <w:b/>
                <w:bCs/>
                <w:color w:val="000000"/>
                <w:sz w:val="14"/>
                <w:szCs w:val="14"/>
              </w:rPr>
              <w:t>54 853 914</w:t>
            </w:r>
          </w:p>
        </w:tc>
      </w:tr>
      <w:tr w:rsidR="003A497B" w:rsidRPr="008E07AB" w:rsidTr="003E1809">
        <w:trPr>
          <w:trHeight w:val="25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A497B" w:rsidRPr="008E07AB" w:rsidRDefault="003A497B" w:rsidP="003E1809">
            <w:pPr>
              <w:rPr>
                <w:rFonts w:ascii="Times New Roman" w:hAnsi="Times New Roman" w:cs="Times New Roman"/>
                <w:b/>
                <w:bCs/>
                <w:color w:val="000000"/>
                <w:sz w:val="14"/>
                <w:szCs w:val="14"/>
                <w:lang w:eastAsia="sk-SK"/>
              </w:rPr>
            </w:pPr>
            <w:r w:rsidRPr="008E07AB">
              <w:rPr>
                <w:rFonts w:ascii="Times New Roman" w:hAnsi="Times New Roman" w:cs="Times New Roman"/>
                <w:b/>
                <w:bCs/>
                <w:color w:val="000000"/>
                <w:sz w:val="14"/>
                <w:szCs w:val="14"/>
                <w:lang w:eastAsia="sk-SK"/>
              </w:rPr>
              <w:t xml:space="preserve">rozpočtové zdroje kapitoly </w:t>
            </w:r>
          </w:p>
        </w:tc>
        <w:tc>
          <w:tcPr>
            <w:tcW w:w="951" w:type="dxa"/>
            <w:tcBorders>
              <w:top w:val="nil"/>
              <w:left w:val="single" w:sz="4" w:space="0" w:color="auto"/>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b/>
                <w:bCs/>
                <w:color w:val="000000"/>
                <w:sz w:val="14"/>
                <w:szCs w:val="14"/>
              </w:rPr>
            </w:pPr>
            <w:r w:rsidRPr="005E1606">
              <w:rPr>
                <w:rFonts w:ascii="Times New Roman" w:hAnsi="Times New Roman" w:cs="Times New Roman"/>
                <w:b/>
                <w:bCs/>
                <w:color w:val="000000"/>
                <w:sz w:val="14"/>
                <w:szCs w:val="14"/>
              </w:rPr>
              <w:t>47 012 378</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b/>
                <w:bCs/>
                <w:color w:val="000000"/>
                <w:sz w:val="14"/>
                <w:szCs w:val="14"/>
              </w:rPr>
            </w:pPr>
            <w:r w:rsidRPr="005E1606">
              <w:rPr>
                <w:rFonts w:ascii="Times New Roman" w:hAnsi="Times New Roman" w:cs="Times New Roman"/>
                <w:b/>
                <w:bCs/>
                <w:color w:val="000000"/>
                <w:sz w:val="14"/>
                <w:szCs w:val="14"/>
              </w:rPr>
              <w:t>52 659 464</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b/>
                <w:bCs/>
                <w:color w:val="000000"/>
                <w:sz w:val="14"/>
                <w:szCs w:val="14"/>
              </w:rPr>
            </w:pPr>
            <w:r w:rsidRPr="005E1606">
              <w:rPr>
                <w:rFonts w:ascii="Times New Roman" w:hAnsi="Times New Roman" w:cs="Times New Roman"/>
                <w:b/>
                <w:bCs/>
                <w:color w:val="000000"/>
                <w:sz w:val="14"/>
                <w:szCs w:val="14"/>
              </w:rPr>
              <w:t>52 997 882</w:t>
            </w:r>
          </w:p>
        </w:tc>
        <w:tc>
          <w:tcPr>
            <w:tcW w:w="951" w:type="dxa"/>
            <w:tcBorders>
              <w:top w:val="nil"/>
              <w:left w:val="single" w:sz="4" w:space="0" w:color="auto"/>
              <w:bottom w:val="single" w:sz="4" w:space="0" w:color="auto"/>
              <w:right w:val="single" w:sz="4" w:space="0" w:color="auto"/>
            </w:tcBorders>
            <w:shd w:val="clear" w:color="auto" w:fill="auto"/>
            <w:noWrap/>
            <w:vAlign w:val="bottom"/>
            <w:hideMark/>
          </w:tcPr>
          <w:p w:rsidR="003A497B" w:rsidRPr="00467415" w:rsidRDefault="003A497B" w:rsidP="003E1809">
            <w:pPr>
              <w:jc w:val="right"/>
              <w:rPr>
                <w:rFonts w:ascii="Times New Roman" w:hAnsi="Times New Roman" w:cs="Times New Roman"/>
                <w:b/>
                <w:bCs/>
                <w:color w:val="000000"/>
                <w:sz w:val="14"/>
                <w:szCs w:val="14"/>
              </w:rPr>
            </w:pPr>
            <w:r w:rsidRPr="00467415">
              <w:rPr>
                <w:rFonts w:ascii="Times New Roman" w:hAnsi="Times New Roman" w:cs="Times New Roman"/>
                <w:b/>
                <w:bCs/>
                <w:color w:val="000000"/>
                <w:sz w:val="14"/>
                <w:szCs w:val="14"/>
              </w:rPr>
              <w:t>54 971 530</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b/>
                <w:bCs/>
                <w:color w:val="000000"/>
                <w:sz w:val="14"/>
                <w:szCs w:val="14"/>
              </w:rPr>
            </w:pPr>
            <w:r w:rsidRPr="005E1606">
              <w:rPr>
                <w:rFonts w:ascii="Times New Roman" w:hAnsi="Times New Roman" w:cs="Times New Roman"/>
                <w:b/>
                <w:bCs/>
                <w:color w:val="000000"/>
                <w:sz w:val="14"/>
                <w:szCs w:val="14"/>
              </w:rPr>
              <w:t>54 853 914</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b/>
                <w:bCs/>
                <w:color w:val="000000"/>
                <w:sz w:val="14"/>
                <w:szCs w:val="14"/>
              </w:rPr>
            </w:pPr>
            <w:r w:rsidRPr="005E1606">
              <w:rPr>
                <w:rFonts w:ascii="Times New Roman" w:hAnsi="Times New Roman" w:cs="Times New Roman"/>
                <w:b/>
                <w:bCs/>
                <w:color w:val="000000"/>
                <w:sz w:val="14"/>
                <w:szCs w:val="14"/>
              </w:rPr>
              <w:t>54 853 914</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b/>
                <w:bCs/>
                <w:color w:val="000000"/>
                <w:sz w:val="14"/>
                <w:szCs w:val="14"/>
              </w:rPr>
            </w:pPr>
            <w:r w:rsidRPr="005E1606">
              <w:rPr>
                <w:rFonts w:ascii="Times New Roman" w:hAnsi="Times New Roman" w:cs="Times New Roman"/>
                <w:b/>
                <w:bCs/>
                <w:color w:val="000000"/>
                <w:sz w:val="14"/>
                <w:szCs w:val="14"/>
              </w:rPr>
              <w:t>54 853 914</w:t>
            </w:r>
          </w:p>
        </w:tc>
      </w:tr>
      <w:tr w:rsidR="003A497B" w:rsidRPr="008E07AB" w:rsidTr="003E1809">
        <w:trPr>
          <w:trHeight w:val="25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A497B" w:rsidRPr="008E07AB" w:rsidRDefault="003A497B" w:rsidP="003E1809">
            <w:pPr>
              <w:rPr>
                <w:rFonts w:ascii="Times New Roman" w:hAnsi="Times New Roman" w:cs="Times New Roman"/>
                <w:color w:val="000000"/>
                <w:sz w:val="14"/>
                <w:szCs w:val="14"/>
                <w:lang w:eastAsia="sk-SK"/>
              </w:rPr>
            </w:pPr>
            <w:r w:rsidRPr="008E07AB">
              <w:rPr>
                <w:rFonts w:ascii="Times New Roman" w:hAnsi="Times New Roman" w:cs="Times New Roman"/>
                <w:color w:val="000000"/>
                <w:sz w:val="14"/>
                <w:szCs w:val="14"/>
                <w:lang w:eastAsia="sk-SK"/>
              </w:rPr>
              <w:t xml:space="preserve">    v tom: bežné výdavky 600</w:t>
            </w:r>
          </w:p>
        </w:tc>
        <w:tc>
          <w:tcPr>
            <w:tcW w:w="951" w:type="dxa"/>
            <w:tcBorders>
              <w:top w:val="nil"/>
              <w:left w:val="single" w:sz="4" w:space="0" w:color="auto"/>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color w:val="000000"/>
                <w:sz w:val="14"/>
                <w:szCs w:val="14"/>
              </w:rPr>
            </w:pPr>
            <w:r w:rsidRPr="005E1606">
              <w:rPr>
                <w:rFonts w:ascii="Times New Roman" w:hAnsi="Times New Roman" w:cs="Times New Roman"/>
                <w:color w:val="000000"/>
                <w:sz w:val="14"/>
                <w:szCs w:val="14"/>
              </w:rPr>
              <w:t>46 012 556</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color w:val="000000"/>
                <w:sz w:val="14"/>
                <w:szCs w:val="14"/>
              </w:rPr>
            </w:pPr>
            <w:r w:rsidRPr="005E1606">
              <w:rPr>
                <w:rFonts w:ascii="Times New Roman" w:hAnsi="Times New Roman" w:cs="Times New Roman"/>
                <w:color w:val="000000"/>
                <w:sz w:val="14"/>
                <w:szCs w:val="14"/>
              </w:rPr>
              <w:t>48 661 060</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color w:val="000000"/>
                <w:sz w:val="14"/>
                <w:szCs w:val="14"/>
              </w:rPr>
            </w:pPr>
            <w:r w:rsidRPr="005E1606">
              <w:rPr>
                <w:rFonts w:ascii="Times New Roman" w:hAnsi="Times New Roman" w:cs="Times New Roman"/>
                <w:color w:val="000000"/>
                <w:sz w:val="14"/>
                <w:szCs w:val="14"/>
              </w:rPr>
              <w:t>48 997 882</w:t>
            </w:r>
          </w:p>
        </w:tc>
        <w:tc>
          <w:tcPr>
            <w:tcW w:w="951" w:type="dxa"/>
            <w:tcBorders>
              <w:top w:val="nil"/>
              <w:left w:val="single" w:sz="4" w:space="0" w:color="auto"/>
              <w:bottom w:val="single" w:sz="4" w:space="0" w:color="auto"/>
              <w:right w:val="single" w:sz="4" w:space="0" w:color="auto"/>
            </w:tcBorders>
            <w:shd w:val="clear" w:color="auto" w:fill="auto"/>
            <w:noWrap/>
            <w:vAlign w:val="bottom"/>
            <w:hideMark/>
          </w:tcPr>
          <w:p w:rsidR="003A497B" w:rsidRPr="00467415" w:rsidRDefault="003A497B" w:rsidP="003E1809">
            <w:pPr>
              <w:jc w:val="right"/>
              <w:rPr>
                <w:rFonts w:ascii="Times New Roman" w:hAnsi="Times New Roman" w:cs="Times New Roman"/>
                <w:color w:val="000000"/>
                <w:sz w:val="14"/>
                <w:szCs w:val="14"/>
              </w:rPr>
            </w:pPr>
            <w:r w:rsidRPr="00467415">
              <w:rPr>
                <w:rFonts w:ascii="Times New Roman" w:hAnsi="Times New Roman" w:cs="Times New Roman"/>
                <w:color w:val="000000"/>
                <w:sz w:val="14"/>
                <w:szCs w:val="14"/>
              </w:rPr>
              <w:t>50 971 530</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color w:val="000000"/>
                <w:sz w:val="14"/>
                <w:szCs w:val="14"/>
              </w:rPr>
            </w:pPr>
            <w:r w:rsidRPr="005E1606">
              <w:rPr>
                <w:rFonts w:ascii="Times New Roman" w:hAnsi="Times New Roman" w:cs="Times New Roman"/>
                <w:color w:val="000000"/>
                <w:sz w:val="14"/>
                <w:szCs w:val="14"/>
              </w:rPr>
              <w:t>50 853 914</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color w:val="000000"/>
                <w:sz w:val="14"/>
                <w:szCs w:val="14"/>
              </w:rPr>
            </w:pPr>
            <w:r w:rsidRPr="005E1606">
              <w:rPr>
                <w:rFonts w:ascii="Times New Roman" w:hAnsi="Times New Roman" w:cs="Times New Roman"/>
                <w:color w:val="000000"/>
                <w:sz w:val="14"/>
                <w:szCs w:val="14"/>
              </w:rPr>
              <w:t>50 853 914</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color w:val="000000"/>
                <w:sz w:val="14"/>
                <w:szCs w:val="14"/>
              </w:rPr>
            </w:pPr>
            <w:r w:rsidRPr="005E1606">
              <w:rPr>
                <w:rFonts w:ascii="Times New Roman" w:hAnsi="Times New Roman" w:cs="Times New Roman"/>
                <w:color w:val="000000"/>
                <w:sz w:val="14"/>
                <w:szCs w:val="14"/>
              </w:rPr>
              <w:t>50 853 914</w:t>
            </w:r>
          </w:p>
        </w:tc>
      </w:tr>
      <w:tr w:rsidR="003A497B" w:rsidRPr="008E07AB" w:rsidTr="003E1809">
        <w:trPr>
          <w:trHeight w:val="25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A497B" w:rsidRPr="008E07AB" w:rsidRDefault="003A497B" w:rsidP="003E1809">
            <w:pPr>
              <w:rPr>
                <w:rFonts w:ascii="Times New Roman" w:hAnsi="Times New Roman" w:cs="Times New Roman"/>
                <w:color w:val="000000"/>
                <w:sz w:val="14"/>
                <w:szCs w:val="14"/>
                <w:lang w:eastAsia="sk-SK"/>
              </w:rPr>
            </w:pPr>
            <w:r w:rsidRPr="008E07AB">
              <w:rPr>
                <w:rFonts w:ascii="Times New Roman" w:hAnsi="Times New Roman" w:cs="Times New Roman"/>
                <w:color w:val="000000"/>
                <w:sz w:val="14"/>
                <w:szCs w:val="14"/>
                <w:lang w:eastAsia="sk-SK"/>
              </w:rPr>
              <w:t xml:space="preserve">                           630 tovary a služby</w:t>
            </w:r>
          </w:p>
        </w:tc>
        <w:tc>
          <w:tcPr>
            <w:tcW w:w="951" w:type="dxa"/>
            <w:tcBorders>
              <w:top w:val="nil"/>
              <w:left w:val="single" w:sz="4" w:space="0" w:color="auto"/>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color w:val="000000"/>
                <w:sz w:val="14"/>
                <w:szCs w:val="14"/>
              </w:rPr>
            </w:pPr>
            <w:r w:rsidRPr="005E1606">
              <w:rPr>
                <w:rFonts w:ascii="Times New Roman" w:hAnsi="Times New Roman" w:cs="Times New Roman"/>
                <w:color w:val="000000"/>
                <w:sz w:val="14"/>
                <w:szCs w:val="14"/>
              </w:rPr>
              <w:t>46 012 556</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color w:val="000000"/>
                <w:sz w:val="14"/>
                <w:szCs w:val="14"/>
              </w:rPr>
            </w:pPr>
            <w:r w:rsidRPr="005E1606">
              <w:rPr>
                <w:rFonts w:ascii="Times New Roman" w:hAnsi="Times New Roman" w:cs="Times New Roman"/>
                <w:color w:val="000000"/>
                <w:sz w:val="14"/>
                <w:szCs w:val="14"/>
              </w:rPr>
              <w:t>48 661 060</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color w:val="000000"/>
                <w:sz w:val="14"/>
                <w:szCs w:val="14"/>
              </w:rPr>
            </w:pPr>
            <w:r w:rsidRPr="005E1606">
              <w:rPr>
                <w:rFonts w:ascii="Times New Roman" w:hAnsi="Times New Roman" w:cs="Times New Roman"/>
                <w:color w:val="000000"/>
                <w:sz w:val="14"/>
                <w:szCs w:val="14"/>
              </w:rPr>
              <w:t>48 997 882</w:t>
            </w:r>
          </w:p>
        </w:tc>
        <w:tc>
          <w:tcPr>
            <w:tcW w:w="951" w:type="dxa"/>
            <w:tcBorders>
              <w:top w:val="nil"/>
              <w:left w:val="single" w:sz="4" w:space="0" w:color="auto"/>
              <w:bottom w:val="single" w:sz="4" w:space="0" w:color="auto"/>
              <w:right w:val="single" w:sz="4" w:space="0" w:color="auto"/>
            </w:tcBorders>
            <w:shd w:val="clear" w:color="auto" w:fill="auto"/>
            <w:noWrap/>
            <w:vAlign w:val="bottom"/>
            <w:hideMark/>
          </w:tcPr>
          <w:p w:rsidR="003A497B" w:rsidRPr="00467415" w:rsidRDefault="003A497B" w:rsidP="003E1809">
            <w:pPr>
              <w:jc w:val="right"/>
              <w:rPr>
                <w:rFonts w:ascii="Times New Roman" w:hAnsi="Times New Roman" w:cs="Times New Roman"/>
                <w:color w:val="000000"/>
                <w:sz w:val="14"/>
                <w:szCs w:val="14"/>
              </w:rPr>
            </w:pPr>
            <w:r w:rsidRPr="00467415">
              <w:rPr>
                <w:rFonts w:ascii="Times New Roman" w:hAnsi="Times New Roman" w:cs="Times New Roman"/>
                <w:color w:val="000000"/>
                <w:sz w:val="14"/>
                <w:szCs w:val="14"/>
              </w:rPr>
              <w:t>50 971 530</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color w:val="000000"/>
                <w:sz w:val="14"/>
                <w:szCs w:val="14"/>
              </w:rPr>
            </w:pPr>
            <w:r w:rsidRPr="005E1606">
              <w:rPr>
                <w:rFonts w:ascii="Times New Roman" w:hAnsi="Times New Roman" w:cs="Times New Roman"/>
                <w:color w:val="000000"/>
                <w:sz w:val="14"/>
                <w:szCs w:val="14"/>
              </w:rPr>
              <w:t>50 853 914</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color w:val="000000"/>
                <w:sz w:val="14"/>
                <w:szCs w:val="14"/>
              </w:rPr>
            </w:pPr>
            <w:r w:rsidRPr="005E1606">
              <w:rPr>
                <w:rFonts w:ascii="Times New Roman" w:hAnsi="Times New Roman" w:cs="Times New Roman"/>
                <w:color w:val="000000"/>
                <w:sz w:val="14"/>
                <w:szCs w:val="14"/>
              </w:rPr>
              <w:t>50 853 914</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color w:val="000000"/>
                <w:sz w:val="14"/>
                <w:szCs w:val="14"/>
              </w:rPr>
            </w:pPr>
            <w:r w:rsidRPr="005E1606">
              <w:rPr>
                <w:rFonts w:ascii="Times New Roman" w:hAnsi="Times New Roman" w:cs="Times New Roman"/>
                <w:color w:val="000000"/>
                <w:sz w:val="14"/>
                <w:szCs w:val="14"/>
              </w:rPr>
              <w:t>50 853 914</w:t>
            </w:r>
          </w:p>
        </w:tc>
      </w:tr>
      <w:tr w:rsidR="003A497B" w:rsidRPr="008E07AB" w:rsidTr="003E1809">
        <w:trPr>
          <w:trHeight w:val="25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A497B" w:rsidRPr="008E07AB" w:rsidRDefault="003A497B" w:rsidP="003E1809">
            <w:pPr>
              <w:rPr>
                <w:rFonts w:ascii="Times New Roman" w:hAnsi="Times New Roman" w:cs="Times New Roman"/>
                <w:color w:val="000000"/>
                <w:sz w:val="14"/>
                <w:szCs w:val="14"/>
                <w:lang w:eastAsia="sk-SK"/>
              </w:rPr>
            </w:pPr>
            <w:r w:rsidRPr="008E07AB">
              <w:rPr>
                <w:rFonts w:ascii="Times New Roman" w:hAnsi="Times New Roman" w:cs="Times New Roman"/>
                <w:color w:val="000000"/>
                <w:sz w:val="14"/>
                <w:szCs w:val="14"/>
                <w:lang w:eastAsia="sk-SK"/>
              </w:rPr>
              <w:t xml:space="preserve">              kapitálové výdavky 700</w:t>
            </w:r>
          </w:p>
        </w:tc>
        <w:tc>
          <w:tcPr>
            <w:tcW w:w="951" w:type="dxa"/>
            <w:tcBorders>
              <w:top w:val="nil"/>
              <w:left w:val="single" w:sz="4" w:space="0" w:color="auto"/>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color w:val="000000"/>
                <w:sz w:val="14"/>
                <w:szCs w:val="14"/>
              </w:rPr>
            </w:pPr>
            <w:r w:rsidRPr="005E1606">
              <w:rPr>
                <w:rFonts w:ascii="Times New Roman" w:hAnsi="Times New Roman" w:cs="Times New Roman"/>
                <w:color w:val="000000"/>
                <w:sz w:val="14"/>
                <w:szCs w:val="14"/>
              </w:rPr>
              <w:t>999 822</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color w:val="000000"/>
                <w:sz w:val="14"/>
                <w:szCs w:val="14"/>
              </w:rPr>
            </w:pPr>
            <w:r w:rsidRPr="005E1606">
              <w:rPr>
                <w:rFonts w:ascii="Times New Roman" w:hAnsi="Times New Roman" w:cs="Times New Roman"/>
                <w:color w:val="000000"/>
                <w:sz w:val="14"/>
                <w:szCs w:val="14"/>
              </w:rPr>
              <w:t>3 998 404</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color w:val="000000"/>
                <w:sz w:val="14"/>
                <w:szCs w:val="14"/>
              </w:rPr>
            </w:pPr>
            <w:r w:rsidRPr="005E1606">
              <w:rPr>
                <w:rFonts w:ascii="Times New Roman" w:hAnsi="Times New Roman" w:cs="Times New Roman"/>
                <w:color w:val="000000"/>
                <w:sz w:val="14"/>
                <w:szCs w:val="14"/>
              </w:rPr>
              <w:t>4 000 000</w:t>
            </w:r>
          </w:p>
        </w:tc>
        <w:tc>
          <w:tcPr>
            <w:tcW w:w="951" w:type="dxa"/>
            <w:tcBorders>
              <w:top w:val="nil"/>
              <w:left w:val="single" w:sz="4" w:space="0" w:color="auto"/>
              <w:bottom w:val="single" w:sz="4" w:space="0" w:color="auto"/>
              <w:right w:val="single" w:sz="4" w:space="0" w:color="auto"/>
            </w:tcBorders>
            <w:shd w:val="clear" w:color="auto" w:fill="auto"/>
            <w:noWrap/>
            <w:vAlign w:val="bottom"/>
            <w:hideMark/>
          </w:tcPr>
          <w:p w:rsidR="003A497B" w:rsidRPr="00467415" w:rsidRDefault="003A497B" w:rsidP="003E1809">
            <w:pPr>
              <w:jc w:val="right"/>
              <w:rPr>
                <w:rFonts w:ascii="Times New Roman" w:hAnsi="Times New Roman" w:cs="Times New Roman"/>
                <w:color w:val="000000"/>
                <w:sz w:val="14"/>
                <w:szCs w:val="14"/>
              </w:rPr>
            </w:pPr>
            <w:r w:rsidRPr="00467415">
              <w:rPr>
                <w:rFonts w:ascii="Times New Roman" w:hAnsi="Times New Roman" w:cs="Times New Roman"/>
                <w:color w:val="000000"/>
                <w:sz w:val="14"/>
                <w:szCs w:val="14"/>
              </w:rPr>
              <w:t>4 000 000</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color w:val="000000"/>
                <w:sz w:val="14"/>
                <w:szCs w:val="14"/>
              </w:rPr>
            </w:pPr>
            <w:r w:rsidRPr="005E1606">
              <w:rPr>
                <w:rFonts w:ascii="Times New Roman" w:hAnsi="Times New Roman" w:cs="Times New Roman"/>
                <w:color w:val="000000"/>
                <w:sz w:val="14"/>
                <w:szCs w:val="14"/>
              </w:rPr>
              <w:t>4 000 000</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color w:val="000000"/>
                <w:sz w:val="14"/>
                <w:szCs w:val="14"/>
              </w:rPr>
            </w:pPr>
            <w:r w:rsidRPr="005E1606">
              <w:rPr>
                <w:rFonts w:ascii="Times New Roman" w:hAnsi="Times New Roman" w:cs="Times New Roman"/>
                <w:color w:val="000000"/>
                <w:sz w:val="14"/>
                <w:szCs w:val="14"/>
              </w:rPr>
              <w:t>4 000 000</w:t>
            </w:r>
          </w:p>
        </w:tc>
        <w:tc>
          <w:tcPr>
            <w:tcW w:w="952" w:type="dxa"/>
            <w:tcBorders>
              <w:top w:val="nil"/>
              <w:left w:val="nil"/>
              <w:bottom w:val="single" w:sz="4" w:space="0" w:color="auto"/>
              <w:right w:val="single" w:sz="4" w:space="0" w:color="auto"/>
            </w:tcBorders>
            <w:shd w:val="clear" w:color="auto" w:fill="auto"/>
            <w:noWrap/>
            <w:vAlign w:val="bottom"/>
            <w:hideMark/>
          </w:tcPr>
          <w:p w:rsidR="003A497B" w:rsidRPr="005E1606" w:rsidRDefault="003A497B" w:rsidP="003E1809">
            <w:pPr>
              <w:jc w:val="right"/>
              <w:rPr>
                <w:rFonts w:ascii="Times New Roman" w:hAnsi="Times New Roman" w:cs="Times New Roman"/>
                <w:color w:val="000000"/>
                <w:sz w:val="14"/>
                <w:szCs w:val="14"/>
              </w:rPr>
            </w:pPr>
            <w:r w:rsidRPr="005E1606">
              <w:rPr>
                <w:rFonts w:ascii="Times New Roman" w:hAnsi="Times New Roman" w:cs="Times New Roman"/>
                <w:color w:val="000000"/>
                <w:sz w:val="14"/>
                <w:szCs w:val="14"/>
              </w:rPr>
              <w:t>4 000 000</w:t>
            </w:r>
          </w:p>
        </w:tc>
      </w:tr>
    </w:tbl>
    <w:p w:rsidR="003A497B" w:rsidRPr="008E07AB" w:rsidRDefault="003A497B" w:rsidP="003A497B">
      <w:pPr>
        <w:jc w:val="both"/>
        <w:rPr>
          <w:rFonts w:ascii="Times New Roman" w:hAnsi="Times New Roman" w:cs="Times New Roman"/>
          <w:lang w:eastAsia="sk-SK"/>
        </w:rPr>
      </w:pPr>
    </w:p>
    <w:p w:rsidR="003A497B" w:rsidRPr="008E07AB" w:rsidRDefault="003A497B" w:rsidP="003A497B">
      <w:pPr>
        <w:ind w:firstLine="708"/>
        <w:jc w:val="both"/>
        <w:rPr>
          <w:rFonts w:ascii="Times New Roman" w:hAnsi="Times New Roman" w:cs="Times New Roman"/>
        </w:rPr>
      </w:pPr>
      <w:r w:rsidRPr="008E07AB">
        <w:rPr>
          <w:rFonts w:ascii="Times New Roman" w:hAnsi="Times New Roman" w:cs="Times New Roman"/>
        </w:rPr>
        <w:t xml:space="preserve">Celkové výdavky kapitoly v sume </w:t>
      </w:r>
      <w:r>
        <w:rPr>
          <w:rFonts w:ascii="Times New Roman" w:hAnsi="Times New Roman" w:cs="Times New Roman"/>
        </w:rPr>
        <w:t>54,9 mil. eur na rok 2019</w:t>
      </w:r>
      <w:r w:rsidRPr="008E07AB">
        <w:rPr>
          <w:rFonts w:ascii="Times New Roman" w:hAnsi="Times New Roman" w:cs="Times New Roman"/>
        </w:rPr>
        <w:t xml:space="preserve"> sú oprot</w:t>
      </w:r>
      <w:r>
        <w:rPr>
          <w:rFonts w:ascii="Times New Roman" w:hAnsi="Times New Roman" w:cs="Times New Roman"/>
        </w:rPr>
        <w:t>i schválenému rozpočtu roku 2018</w:t>
      </w:r>
      <w:r w:rsidRPr="008E07AB">
        <w:rPr>
          <w:rFonts w:ascii="Times New Roman" w:hAnsi="Times New Roman" w:cs="Times New Roman"/>
        </w:rPr>
        <w:t xml:space="preserve"> </w:t>
      </w:r>
      <w:r>
        <w:rPr>
          <w:rFonts w:ascii="Times New Roman" w:hAnsi="Times New Roman" w:cs="Times New Roman"/>
        </w:rPr>
        <w:t>vyššie</w:t>
      </w:r>
      <w:r w:rsidRPr="008E07AB">
        <w:rPr>
          <w:rFonts w:ascii="Times New Roman" w:hAnsi="Times New Roman" w:cs="Times New Roman"/>
        </w:rPr>
        <w:t xml:space="preserve"> o</w:t>
      </w:r>
      <w:r>
        <w:rPr>
          <w:rFonts w:ascii="Times New Roman" w:hAnsi="Times New Roman" w:cs="Times New Roman"/>
        </w:rPr>
        <w:t> 1,86 mil</w:t>
      </w:r>
      <w:r w:rsidRPr="008E07AB">
        <w:rPr>
          <w:rFonts w:ascii="Times New Roman" w:hAnsi="Times New Roman" w:cs="Times New Roman"/>
        </w:rPr>
        <w:t xml:space="preserve">. eur, čo predstavuje </w:t>
      </w:r>
      <w:r>
        <w:rPr>
          <w:rFonts w:ascii="Times New Roman" w:hAnsi="Times New Roman" w:cs="Times New Roman"/>
        </w:rPr>
        <w:t>nárast</w:t>
      </w:r>
      <w:r w:rsidRPr="008E07AB">
        <w:rPr>
          <w:rFonts w:ascii="Times New Roman" w:hAnsi="Times New Roman" w:cs="Times New Roman"/>
        </w:rPr>
        <w:t xml:space="preserve"> o</w:t>
      </w:r>
      <w:r>
        <w:rPr>
          <w:rFonts w:ascii="Times New Roman" w:hAnsi="Times New Roman" w:cs="Times New Roman"/>
        </w:rPr>
        <w:t> 3,50</w:t>
      </w:r>
      <w:r w:rsidRPr="008E07AB">
        <w:rPr>
          <w:rFonts w:ascii="Times New Roman" w:hAnsi="Times New Roman" w:cs="Times New Roman"/>
        </w:rPr>
        <w:t xml:space="preserve"> %. </w:t>
      </w:r>
    </w:p>
    <w:p w:rsidR="003A497B" w:rsidRPr="008E07AB" w:rsidRDefault="003A497B" w:rsidP="003A497B">
      <w:pPr>
        <w:spacing w:before="100" w:beforeAutospacing="1" w:after="100" w:afterAutospacing="1"/>
        <w:ind w:firstLine="708"/>
        <w:jc w:val="both"/>
        <w:rPr>
          <w:rFonts w:ascii="Times New Roman" w:hAnsi="Times New Roman" w:cs="Times New Roman"/>
        </w:rPr>
      </w:pPr>
      <w:r>
        <w:rPr>
          <w:rFonts w:ascii="Times New Roman" w:hAnsi="Times New Roman" w:cs="Times New Roman"/>
        </w:rPr>
        <w:t>V rámci tovarov a služieb sa rozpočtujú prostriedky na zabezpečenie základnej prevádzkovej činnosti</w:t>
      </w:r>
      <w:r w:rsidRPr="008E07AB">
        <w:rPr>
          <w:rFonts w:ascii="Times New Roman" w:hAnsi="Times New Roman" w:cs="Times New Roman"/>
        </w:rPr>
        <w:t xml:space="preserve"> Slovenskej informačnej služby vrátane osobných výdavkov</w:t>
      </w:r>
      <w:r>
        <w:rPr>
          <w:rFonts w:ascii="Times New Roman" w:hAnsi="Times New Roman" w:cs="Times New Roman"/>
        </w:rPr>
        <w:t xml:space="preserve"> a výdavkov na bežné transfery. </w:t>
      </w:r>
    </w:p>
    <w:p w:rsidR="003A497B" w:rsidRDefault="003A497B" w:rsidP="003A497B">
      <w:pPr>
        <w:ind w:firstLine="708"/>
        <w:jc w:val="both"/>
      </w:pPr>
      <w:r w:rsidRPr="00F02C58">
        <w:rPr>
          <w:rFonts w:ascii="Times New Roman" w:hAnsi="Times New Roman" w:cs="Times New Roman"/>
        </w:rPr>
        <w:t xml:space="preserve">Kapitálové výdavky na rok </w:t>
      </w:r>
      <w:r>
        <w:rPr>
          <w:rFonts w:ascii="Times New Roman" w:hAnsi="Times New Roman" w:cs="Times New Roman"/>
        </w:rPr>
        <w:t>2019</w:t>
      </w:r>
      <w:r w:rsidRPr="00F02C58">
        <w:rPr>
          <w:rFonts w:ascii="Times New Roman" w:hAnsi="Times New Roman" w:cs="Times New Roman"/>
        </w:rPr>
        <w:t xml:space="preserve"> sa rozpočtujú v sume 4,00 mil. eur</w:t>
      </w:r>
      <w:r>
        <w:rPr>
          <w:rFonts w:ascii="Times New Roman" w:hAnsi="Times New Roman" w:cs="Times New Roman"/>
        </w:rPr>
        <w:t>, a to najmä n</w:t>
      </w:r>
      <w:r w:rsidRPr="00F02C58">
        <w:rPr>
          <w:rFonts w:ascii="Times New Roman" w:hAnsi="Times New Roman" w:cs="Times New Roman"/>
        </w:rPr>
        <w:t>a</w:t>
      </w:r>
      <w:r>
        <w:rPr>
          <w:rFonts w:ascii="Times New Roman" w:hAnsi="Times New Roman" w:cs="Times New Roman"/>
        </w:rPr>
        <w:t xml:space="preserve"> zabezpečenie modernizácie </w:t>
      </w:r>
      <w:r w:rsidRPr="00F02C58">
        <w:rPr>
          <w:rFonts w:ascii="Times New Roman" w:hAnsi="Times New Roman" w:cs="Times New Roman"/>
        </w:rPr>
        <w:t>informačných</w:t>
      </w:r>
      <w:r>
        <w:rPr>
          <w:rFonts w:ascii="Times New Roman" w:hAnsi="Times New Roman" w:cs="Times New Roman"/>
        </w:rPr>
        <w:t xml:space="preserve"> a komunikačných technológií</w:t>
      </w:r>
      <w:r w:rsidRPr="00F02C58">
        <w:rPr>
          <w:rFonts w:ascii="Times New Roman" w:hAnsi="Times New Roman" w:cs="Times New Roman"/>
        </w:rPr>
        <w:t xml:space="preserve"> </w:t>
      </w:r>
      <w:r>
        <w:rPr>
          <w:rFonts w:ascii="Times New Roman" w:hAnsi="Times New Roman" w:cs="Times New Roman"/>
        </w:rPr>
        <w:t>Slovenskej informačnej služby</w:t>
      </w:r>
      <w:r w:rsidRPr="00F02C58">
        <w:rPr>
          <w:rFonts w:ascii="Times New Roman" w:hAnsi="Times New Roman" w:cs="Times New Roman"/>
        </w:rPr>
        <w:t>.</w:t>
      </w:r>
    </w:p>
    <w:p w:rsidR="003A497B" w:rsidRDefault="003A497B" w:rsidP="003A497B">
      <w:pPr>
        <w:rPr>
          <w:highlight w:val="yellow"/>
        </w:rPr>
      </w:pPr>
    </w:p>
    <w:p w:rsidR="00EE1354" w:rsidRDefault="00EE1354" w:rsidP="003A497B">
      <w:pPr>
        <w:rPr>
          <w:highlight w:val="yellow"/>
        </w:rPr>
      </w:pPr>
    </w:p>
    <w:p w:rsidR="00EE1354" w:rsidRDefault="00EE1354" w:rsidP="003A497B">
      <w:pPr>
        <w:rPr>
          <w:highlight w:val="yellow"/>
        </w:rPr>
      </w:pPr>
    </w:p>
    <w:p w:rsidR="00EE1354" w:rsidRDefault="00EE1354" w:rsidP="003A497B">
      <w:pPr>
        <w:rPr>
          <w:highlight w:val="yellow"/>
        </w:rPr>
      </w:pPr>
    </w:p>
    <w:p w:rsidR="00EE1354" w:rsidRDefault="00EE1354" w:rsidP="003A497B">
      <w:pPr>
        <w:rPr>
          <w:highlight w:val="yellow"/>
        </w:rPr>
      </w:pPr>
    </w:p>
    <w:p w:rsidR="00EE1354" w:rsidRDefault="00EE1354" w:rsidP="003A497B">
      <w:pPr>
        <w:rPr>
          <w:highlight w:val="yellow"/>
        </w:rPr>
      </w:pPr>
    </w:p>
    <w:p w:rsidR="00EE1354" w:rsidRDefault="00EE1354" w:rsidP="003A497B">
      <w:pPr>
        <w:rPr>
          <w:highlight w:val="yellow"/>
        </w:rPr>
      </w:pPr>
    </w:p>
    <w:p w:rsidR="00EE1354" w:rsidRDefault="00EE1354" w:rsidP="003A497B">
      <w:pPr>
        <w:rPr>
          <w:highlight w:val="yellow"/>
        </w:rPr>
      </w:pPr>
    </w:p>
    <w:p w:rsidR="00EE1354" w:rsidRDefault="00EE1354" w:rsidP="003A497B">
      <w:pPr>
        <w:rPr>
          <w:highlight w:val="yellow"/>
        </w:rPr>
      </w:pPr>
    </w:p>
    <w:p w:rsidR="00EE1354" w:rsidRDefault="00EE1354" w:rsidP="003A497B">
      <w:pPr>
        <w:rPr>
          <w:highlight w:val="yellow"/>
        </w:rPr>
      </w:pPr>
    </w:p>
    <w:p w:rsidR="00EE1354" w:rsidRDefault="00EE1354" w:rsidP="003A497B">
      <w:pPr>
        <w:rPr>
          <w:highlight w:val="yellow"/>
        </w:rPr>
      </w:pPr>
    </w:p>
    <w:p w:rsidR="00EE1354" w:rsidRDefault="00EE1354" w:rsidP="003A497B">
      <w:pPr>
        <w:rPr>
          <w:highlight w:val="yellow"/>
        </w:rPr>
      </w:pPr>
    </w:p>
    <w:p w:rsidR="00EE1354" w:rsidRDefault="00EE1354" w:rsidP="003A497B">
      <w:pPr>
        <w:rPr>
          <w:highlight w:val="yellow"/>
        </w:rPr>
      </w:pPr>
    </w:p>
    <w:p w:rsidR="00EE1354" w:rsidRPr="004A3627" w:rsidRDefault="00EE1354" w:rsidP="003A497B">
      <w:pPr>
        <w:rPr>
          <w:highlight w:val="yellow"/>
        </w:rPr>
      </w:pPr>
    </w:p>
    <w:p w:rsidR="003A497B" w:rsidRPr="00912A7B" w:rsidRDefault="003A497B" w:rsidP="003A497B">
      <w:pPr>
        <w:pStyle w:val="Nadpis5"/>
        <w:pBdr>
          <w:bottom w:val="single" w:sz="4" w:space="1" w:color="auto"/>
        </w:pBdr>
        <w:ind w:left="0"/>
        <w:rPr>
          <w:i w:val="0"/>
          <w:sz w:val="24"/>
          <w:lang w:eastAsia="sk-SK"/>
        </w:rPr>
      </w:pPr>
      <w:bookmarkStart w:id="261" w:name="_Toc494470113"/>
      <w:bookmarkStart w:id="262" w:name="_Toc494472289"/>
      <w:bookmarkStart w:id="263" w:name="_Toc526267714"/>
      <w:r w:rsidRPr="00912A7B">
        <w:rPr>
          <w:i w:val="0"/>
          <w:sz w:val="24"/>
          <w:lang w:eastAsia="sk-SK"/>
        </w:rPr>
        <w:lastRenderedPageBreak/>
        <w:t>Úrad geodézie, kartografie a katastra SR</w:t>
      </w:r>
      <w:bookmarkEnd w:id="261"/>
      <w:bookmarkEnd w:id="262"/>
      <w:bookmarkEnd w:id="263"/>
      <w:r w:rsidRPr="00912A7B">
        <w:rPr>
          <w:i w:val="0"/>
          <w:sz w:val="24"/>
          <w:lang w:eastAsia="sk-SK"/>
        </w:rPr>
        <w:t xml:space="preserve"> </w:t>
      </w:r>
    </w:p>
    <w:p w:rsidR="003A497B" w:rsidRPr="004A3627" w:rsidRDefault="003A497B" w:rsidP="003A497B">
      <w:pPr>
        <w:jc w:val="both"/>
        <w:rPr>
          <w:rFonts w:ascii="Times New Roman" w:hAnsi="Times New Roman"/>
          <w:highlight w:val="yellow"/>
        </w:rPr>
      </w:pPr>
    </w:p>
    <w:tbl>
      <w:tblPr>
        <w:tblW w:w="9062" w:type="dxa"/>
        <w:tblCellMar>
          <w:left w:w="70" w:type="dxa"/>
          <w:right w:w="70" w:type="dxa"/>
        </w:tblCellMar>
        <w:tblLook w:val="04A0" w:firstRow="1" w:lastRow="0" w:firstColumn="1" w:lastColumn="0" w:noHBand="0" w:noVBand="1"/>
      </w:tblPr>
      <w:tblGrid>
        <w:gridCol w:w="2636"/>
        <w:gridCol w:w="918"/>
        <w:gridCol w:w="918"/>
        <w:gridCol w:w="918"/>
        <w:gridCol w:w="918"/>
        <w:gridCol w:w="918"/>
        <w:gridCol w:w="918"/>
        <w:gridCol w:w="918"/>
      </w:tblGrid>
      <w:tr w:rsidR="003A497B" w:rsidRPr="00024066" w:rsidTr="003E1809">
        <w:trPr>
          <w:trHeight w:val="255"/>
        </w:trPr>
        <w:tc>
          <w:tcPr>
            <w:tcW w:w="263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024066" w:rsidRDefault="003A497B" w:rsidP="003E1809">
            <w:pPr>
              <w:rPr>
                <w:rFonts w:ascii="Times New Roman" w:hAnsi="Times New Roman" w:cs="Times New Roman"/>
                <w:b/>
                <w:bCs/>
                <w:color w:val="000000"/>
                <w:sz w:val="14"/>
                <w:szCs w:val="14"/>
                <w:lang w:eastAsia="sk-SK"/>
              </w:rPr>
            </w:pPr>
            <w:r w:rsidRPr="00024066">
              <w:rPr>
                <w:rFonts w:ascii="Times New Roman" w:hAnsi="Times New Roman" w:cs="Times New Roman"/>
                <w:b/>
                <w:bCs/>
                <w:color w:val="000000"/>
                <w:sz w:val="14"/>
                <w:szCs w:val="14"/>
                <w:lang w:eastAsia="sk-SK"/>
              </w:rPr>
              <w:t>v eurách</w:t>
            </w:r>
          </w:p>
        </w:tc>
        <w:tc>
          <w:tcPr>
            <w:tcW w:w="918"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024066" w:rsidRDefault="003A497B" w:rsidP="003E1809">
            <w:pPr>
              <w:jc w:val="center"/>
              <w:rPr>
                <w:rFonts w:ascii="Times New Roman" w:hAnsi="Times New Roman" w:cs="Times New Roman"/>
                <w:b/>
                <w:bCs/>
                <w:color w:val="000000"/>
                <w:sz w:val="14"/>
                <w:szCs w:val="14"/>
                <w:lang w:eastAsia="sk-SK"/>
              </w:rPr>
            </w:pPr>
            <w:r w:rsidRPr="00024066">
              <w:rPr>
                <w:rFonts w:ascii="Times New Roman" w:hAnsi="Times New Roman" w:cs="Times New Roman"/>
                <w:b/>
                <w:bCs/>
                <w:color w:val="000000"/>
                <w:sz w:val="14"/>
                <w:szCs w:val="14"/>
                <w:lang w:eastAsia="sk-SK"/>
              </w:rPr>
              <w:t>2016 S</w:t>
            </w:r>
          </w:p>
        </w:tc>
        <w:tc>
          <w:tcPr>
            <w:tcW w:w="918"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024066" w:rsidRDefault="003A497B" w:rsidP="003E1809">
            <w:pPr>
              <w:jc w:val="center"/>
              <w:rPr>
                <w:rFonts w:ascii="Times New Roman" w:hAnsi="Times New Roman" w:cs="Times New Roman"/>
                <w:b/>
                <w:bCs/>
                <w:color w:val="000000"/>
                <w:sz w:val="14"/>
                <w:szCs w:val="14"/>
                <w:lang w:eastAsia="sk-SK"/>
              </w:rPr>
            </w:pPr>
            <w:r w:rsidRPr="00024066">
              <w:rPr>
                <w:rFonts w:ascii="Times New Roman" w:hAnsi="Times New Roman" w:cs="Times New Roman"/>
                <w:b/>
                <w:bCs/>
                <w:color w:val="000000"/>
                <w:sz w:val="14"/>
                <w:szCs w:val="14"/>
                <w:lang w:eastAsia="sk-SK"/>
              </w:rPr>
              <w:t>2017 S</w:t>
            </w:r>
          </w:p>
        </w:tc>
        <w:tc>
          <w:tcPr>
            <w:tcW w:w="918"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024066" w:rsidRDefault="003A497B" w:rsidP="003E1809">
            <w:pPr>
              <w:jc w:val="center"/>
              <w:rPr>
                <w:rFonts w:ascii="Times New Roman" w:hAnsi="Times New Roman" w:cs="Times New Roman"/>
                <w:b/>
                <w:bCs/>
                <w:color w:val="000000"/>
                <w:sz w:val="14"/>
                <w:szCs w:val="14"/>
                <w:lang w:eastAsia="sk-SK"/>
              </w:rPr>
            </w:pPr>
            <w:r w:rsidRPr="00024066">
              <w:rPr>
                <w:rFonts w:ascii="Times New Roman" w:hAnsi="Times New Roman" w:cs="Times New Roman"/>
                <w:b/>
                <w:bCs/>
                <w:color w:val="000000"/>
                <w:sz w:val="14"/>
                <w:szCs w:val="14"/>
                <w:lang w:eastAsia="sk-SK"/>
              </w:rPr>
              <w:t>2018 R</w:t>
            </w:r>
          </w:p>
        </w:tc>
        <w:tc>
          <w:tcPr>
            <w:tcW w:w="918"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024066" w:rsidRDefault="003A497B" w:rsidP="003E1809">
            <w:pPr>
              <w:jc w:val="center"/>
              <w:rPr>
                <w:rFonts w:ascii="Times New Roman" w:hAnsi="Times New Roman" w:cs="Times New Roman"/>
                <w:b/>
                <w:bCs/>
                <w:color w:val="000000"/>
                <w:sz w:val="14"/>
                <w:szCs w:val="14"/>
                <w:lang w:eastAsia="sk-SK"/>
              </w:rPr>
            </w:pPr>
            <w:r w:rsidRPr="00024066">
              <w:rPr>
                <w:rFonts w:ascii="Times New Roman" w:hAnsi="Times New Roman" w:cs="Times New Roman"/>
                <w:b/>
                <w:bCs/>
                <w:color w:val="000000"/>
                <w:sz w:val="14"/>
                <w:szCs w:val="14"/>
                <w:lang w:eastAsia="sk-SK"/>
              </w:rPr>
              <w:t>2018 OS</w:t>
            </w:r>
          </w:p>
        </w:tc>
        <w:tc>
          <w:tcPr>
            <w:tcW w:w="918"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024066" w:rsidRDefault="003A497B" w:rsidP="003E1809">
            <w:pPr>
              <w:jc w:val="center"/>
              <w:rPr>
                <w:rFonts w:ascii="Times New Roman" w:hAnsi="Times New Roman" w:cs="Times New Roman"/>
                <w:b/>
                <w:bCs/>
                <w:color w:val="000000"/>
                <w:sz w:val="14"/>
                <w:szCs w:val="14"/>
                <w:lang w:eastAsia="sk-SK"/>
              </w:rPr>
            </w:pPr>
            <w:r w:rsidRPr="00024066">
              <w:rPr>
                <w:rFonts w:ascii="Times New Roman" w:hAnsi="Times New Roman" w:cs="Times New Roman"/>
                <w:b/>
                <w:bCs/>
                <w:color w:val="000000"/>
                <w:sz w:val="14"/>
                <w:szCs w:val="14"/>
                <w:lang w:eastAsia="sk-SK"/>
              </w:rPr>
              <w:t>2019 N</w:t>
            </w:r>
          </w:p>
        </w:tc>
        <w:tc>
          <w:tcPr>
            <w:tcW w:w="918"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024066" w:rsidRDefault="003A497B" w:rsidP="003E1809">
            <w:pPr>
              <w:jc w:val="center"/>
              <w:rPr>
                <w:rFonts w:ascii="Times New Roman" w:hAnsi="Times New Roman" w:cs="Times New Roman"/>
                <w:b/>
                <w:bCs/>
                <w:color w:val="000000"/>
                <w:sz w:val="14"/>
                <w:szCs w:val="14"/>
                <w:lang w:eastAsia="sk-SK"/>
              </w:rPr>
            </w:pPr>
            <w:r w:rsidRPr="00024066">
              <w:rPr>
                <w:rFonts w:ascii="Times New Roman" w:hAnsi="Times New Roman" w:cs="Times New Roman"/>
                <w:b/>
                <w:bCs/>
                <w:color w:val="000000"/>
                <w:sz w:val="14"/>
                <w:szCs w:val="14"/>
                <w:lang w:eastAsia="sk-SK"/>
              </w:rPr>
              <w:t>2020 N</w:t>
            </w:r>
          </w:p>
        </w:tc>
        <w:tc>
          <w:tcPr>
            <w:tcW w:w="918"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024066" w:rsidRDefault="003A497B" w:rsidP="003E1809">
            <w:pPr>
              <w:jc w:val="center"/>
              <w:rPr>
                <w:rFonts w:ascii="Times New Roman" w:hAnsi="Times New Roman" w:cs="Times New Roman"/>
                <w:b/>
                <w:bCs/>
                <w:color w:val="000000"/>
                <w:sz w:val="14"/>
                <w:szCs w:val="14"/>
                <w:lang w:eastAsia="sk-SK"/>
              </w:rPr>
            </w:pPr>
            <w:r w:rsidRPr="00024066">
              <w:rPr>
                <w:rFonts w:ascii="Times New Roman" w:hAnsi="Times New Roman" w:cs="Times New Roman"/>
                <w:b/>
                <w:bCs/>
                <w:color w:val="000000"/>
                <w:sz w:val="14"/>
                <w:szCs w:val="14"/>
                <w:lang w:eastAsia="sk-SK"/>
              </w:rPr>
              <w:t>2021 N</w:t>
            </w:r>
          </w:p>
        </w:tc>
      </w:tr>
      <w:tr w:rsidR="003A497B" w:rsidRPr="00024066" w:rsidTr="003E1809">
        <w:trPr>
          <w:trHeight w:val="255"/>
        </w:trPr>
        <w:tc>
          <w:tcPr>
            <w:tcW w:w="2636" w:type="dxa"/>
            <w:tcBorders>
              <w:top w:val="nil"/>
              <w:left w:val="single" w:sz="4" w:space="0" w:color="auto"/>
              <w:bottom w:val="single" w:sz="4" w:space="0" w:color="auto"/>
              <w:right w:val="single" w:sz="4" w:space="0" w:color="auto"/>
            </w:tcBorders>
            <w:shd w:val="clear" w:color="000000" w:fill="BFBFBF"/>
            <w:noWrap/>
            <w:vAlign w:val="center"/>
            <w:hideMark/>
          </w:tcPr>
          <w:p w:rsidR="003A497B" w:rsidRPr="00024066" w:rsidRDefault="003A497B" w:rsidP="003E1809">
            <w:pPr>
              <w:rPr>
                <w:rFonts w:ascii="Times New Roman" w:hAnsi="Times New Roman" w:cs="Times New Roman"/>
                <w:b/>
                <w:bCs/>
                <w:color w:val="000000"/>
                <w:sz w:val="14"/>
                <w:szCs w:val="14"/>
                <w:lang w:eastAsia="sk-SK"/>
              </w:rPr>
            </w:pPr>
            <w:r w:rsidRPr="00024066">
              <w:rPr>
                <w:rFonts w:ascii="Times New Roman" w:hAnsi="Times New Roman" w:cs="Times New Roman"/>
                <w:b/>
                <w:bCs/>
                <w:color w:val="000000"/>
                <w:sz w:val="14"/>
                <w:szCs w:val="14"/>
                <w:lang w:eastAsia="sk-SK"/>
              </w:rPr>
              <w:t>Zdroje príslušnej kapitoly</w:t>
            </w:r>
          </w:p>
        </w:tc>
        <w:tc>
          <w:tcPr>
            <w:tcW w:w="918" w:type="dxa"/>
            <w:tcBorders>
              <w:top w:val="nil"/>
              <w:left w:val="nil"/>
              <w:bottom w:val="single" w:sz="4" w:space="0" w:color="auto"/>
              <w:right w:val="single" w:sz="4" w:space="0" w:color="auto"/>
            </w:tcBorders>
            <w:shd w:val="clear" w:color="000000" w:fill="BFBFBF"/>
            <w:noWrap/>
            <w:vAlign w:val="bottom"/>
            <w:hideMark/>
          </w:tcPr>
          <w:p w:rsidR="003A497B" w:rsidRPr="00024066" w:rsidRDefault="003A497B" w:rsidP="003E1809">
            <w:pPr>
              <w:jc w:val="right"/>
              <w:rPr>
                <w:rFonts w:ascii="Times New Roman" w:hAnsi="Times New Roman" w:cs="Times New Roman"/>
                <w:b/>
                <w:bCs/>
                <w:color w:val="000000"/>
                <w:sz w:val="14"/>
                <w:szCs w:val="14"/>
                <w:lang w:eastAsia="sk-SK"/>
              </w:rPr>
            </w:pPr>
            <w:r w:rsidRPr="00024066">
              <w:rPr>
                <w:rFonts w:ascii="Times New Roman" w:hAnsi="Times New Roman" w:cs="Times New Roman"/>
                <w:b/>
                <w:bCs/>
                <w:color w:val="000000"/>
                <w:sz w:val="14"/>
                <w:szCs w:val="14"/>
                <w:lang w:eastAsia="sk-SK"/>
              </w:rPr>
              <w:t>16 240 974</w:t>
            </w:r>
          </w:p>
        </w:tc>
        <w:tc>
          <w:tcPr>
            <w:tcW w:w="918" w:type="dxa"/>
            <w:tcBorders>
              <w:top w:val="nil"/>
              <w:left w:val="nil"/>
              <w:bottom w:val="single" w:sz="4" w:space="0" w:color="auto"/>
              <w:right w:val="single" w:sz="4" w:space="0" w:color="auto"/>
            </w:tcBorders>
            <w:shd w:val="clear" w:color="000000" w:fill="BFBFBF"/>
            <w:noWrap/>
            <w:vAlign w:val="bottom"/>
            <w:hideMark/>
          </w:tcPr>
          <w:p w:rsidR="003A497B" w:rsidRPr="00024066" w:rsidRDefault="003A497B" w:rsidP="003E1809">
            <w:pPr>
              <w:jc w:val="right"/>
              <w:rPr>
                <w:rFonts w:ascii="Times New Roman" w:hAnsi="Times New Roman" w:cs="Times New Roman"/>
                <w:b/>
                <w:bCs/>
                <w:color w:val="000000"/>
                <w:sz w:val="14"/>
                <w:szCs w:val="14"/>
                <w:lang w:eastAsia="sk-SK"/>
              </w:rPr>
            </w:pPr>
            <w:r w:rsidRPr="00024066">
              <w:rPr>
                <w:rFonts w:ascii="Times New Roman" w:hAnsi="Times New Roman" w:cs="Times New Roman"/>
                <w:b/>
                <w:bCs/>
                <w:color w:val="000000"/>
                <w:sz w:val="14"/>
                <w:szCs w:val="14"/>
                <w:lang w:eastAsia="sk-SK"/>
              </w:rPr>
              <w:t>26 574 876</w:t>
            </w:r>
          </w:p>
        </w:tc>
        <w:tc>
          <w:tcPr>
            <w:tcW w:w="918" w:type="dxa"/>
            <w:tcBorders>
              <w:top w:val="nil"/>
              <w:left w:val="nil"/>
              <w:bottom w:val="single" w:sz="4" w:space="0" w:color="auto"/>
              <w:right w:val="single" w:sz="4" w:space="0" w:color="auto"/>
            </w:tcBorders>
            <w:shd w:val="clear" w:color="000000" w:fill="BFBFBF"/>
            <w:noWrap/>
            <w:vAlign w:val="bottom"/>
            <w:hideMark/>
          </w:tcPr>
          <w:p w:rsidR="003A497B" w:rsidRPr="00024066" w:rsidRDefault="003A497B" w:rsidP="003E1809">
            <w:pPr>
              <w:jc w:val="right"/>
              <w:rPr>
                <w:rFonts w:ascii="Times New Roman" w:hAnsi="Times New Roman" w:cs="Times New Roman"/>
                <w:b/>
                <w:bCs/>
                <w:color w:val="000000"/>
                <w:sz w:val="14"/>
                <w:szCs w:val="14"/>
                <w:lang w:eastAsia="sk-SK"/>
              </w:rPr>
            </w:pPr>
            <w:r w:rsidRPr="00024066">
              <w:rPr>
                <w:rFonts w:ascii="Times New Roman" w:hAnsi="Times New Roman" w:cs="Times New Roman"/>
                <w:b/>
                <w:bCs/>
                <w:color w:val="000000"/>
                <w:sz w:val="14"/>
                <w:szCs w:val="14"/>
                <w:lang w:eastAsia="sk-SK"/>
              </w:rPr>
              <w:t>22 044 125</w:t>
            </w:r>
          </w:p>
        </w:tc>
        <w:tc>
          <w:tcPr>
            <w:tcW w:w="918" w:type="dxa"/>
            <w:tcBorders>
              <w:top w:val="nil"/>
              <w:left w:val="nil"/>
              <w:bottom w:val="single" w:sz="4" w:space="0" w:color="auto"/>
              <w:right w:val="single" w:sz="4" w:space="0" w:color="auto"/>
            </w:tcBorders>
            <w:shd w:val="clear" w:color="000000" w:fill="BFBFBF"/>
            <w:noWrap/>
            <w:vAlign w:val="bottom"/>
            <w:hideMark/>
          </w:tcPr>
          <w:p w:rsidR="003A497B" w:rsidRPr="00024066" w:rsidRDefault="003A497B" w:rsidP="003E1809">
            <w:pPr>
              <w:jc w:val="right"/>
              <w:rPr>
                <w:rFonts w:ascii="Times New Roman" w:hAnsi="Times New Roman" w:cs="Times New Roman"/>
                <w:b/>
                <w:bCs/>
                <w:color w:val="000000"/>
                <w:sz w:val="14"/>
                <w:szCs w:val="14"/>
                <w:lang w:eastAsia="sk-SK"/>
              </w:rPr>
            </w:pPr>
            <w:r w:rsidRPr="00024066">
              <w:rPr>
                <w:rFonts w:ascii="Times New Roman" w:hAnsi="Times New Roman" w:cs="Times New Roman"/>
                <w:b/>
                <w:bCs/>
                <w:color w:val="000000"/>
                <w:sz w:val="14"/>
                <w:szCs w:val="14"/>
                <w:lang w:eastAsia="sk-SK"/>
              </w:rPr>
              <w:t>22 357 353</w:t>
            </w:r>
          </w:p>
        </w:tc>
        <w:tc>
          <w:tcPr>
            <w:tcW w:w="918" w:type="dxa"/>
            <w:tcBorders>
              <w:top w:val="nil"/>
              <w:left w:val="nil"/>
              <w:bottom w:val="single" w:sz="4" w:space="0" w:color="auto"/>
              <w:right w:val="single" w:sz="4" w:space="0" w:color="auto"/>
            </w:tcBorders>
            <w:shd w:val="clear" w:color="000000" w:fill="BFBFBF"/>
            <w:noWrap/>
            <w:vAlign w:val="bottom"/>
            <w:hideMark/>
          </w:tcPr>
          <w:p w:rsidR="003A497B" w:rsidRPr="00024066" w:rsidRDefault="003A497B" w:rsidP="003E1809">
            <w:pPr>
              <w:jc w:val="right"/>
              <w:rPr>
                <w:rFonts w:ascii="Times New Roman" w:hAnsi="Times New Roman" w:cs="Times New Roman"/>
                <w:b/>
                <w:bCs/>
                <w:color w:val="000000"/>
                <w:sz w:val="14"/>
                <w:szCs w:val="14"/>
                <w:lang w:eastAsia="sk-SK"/>
              </w:rPr>
            </w:pPr>
            <w:r w:rsidRPr="00024066">
              <w:rPr>
                <w:rFonts w:ascii="Times New Roman" w:hAnsi="Times New Roman" w:cs="Times New Roman"/>
                <w:b/>
                <w:bCs/>
                <w:color w:val="000000"/>
                <w:sz w:val="14"/>
                <w:szCs w:val="14"/>
                <w:lang w:eastAsia="sk-SK"/>
              </w:rPr>
              <w:t xml:space="preserve">22 </w:t>
            </w:r>
            <w:r>
              <w:rPr>
                <w:rFonts w:ascii="Times New Roman" w:hAnsi="Times New Roman" w:cs="Times New Roman"/>
                <w:b/>
                <w:bCs/>
                <w:color w:val="000000"/>
                <w:sz w:val="14"/>
                <w:szCs w:val="14"/>
                <w:lang w:eastAsia="sk-SK"/>
              </w:rPr>
              <w:t>2</w:t>
            </w:r>
            <w:r w:rsidRPr="00024066">
              <w:rPr>
                <w:rFonts w:ascii="Times New Roman" w:hAnsi="Times New Roman" w:cs="Times New Roman"/>
                <w:b/>
                <w:bCs/>
                <w:color w:val="000000"/>
                <w:sz w:val="14"/>
                <w:szCs w:val="14"/>
                <w:lang w:eastAsia="sk-SK"/>
              </w:rPr>
              <w:t>8</w:t>
            </w:r>
            <w:r>
              <w:rPr>
                <w:rFonts w:ascii="Times New Roman" w:hAnsi="Times New Roman" w:cs="Times New Roman"/>
                <w:b/>
                <w:bCs/>
                <w:color w:val="000000"/>
                <w:sz w:val="14"/>
                <w:szCs w:val="14"/>
                <w:lang w:eastAsia="sk-SK"/>
              </w:rPr>
              <w:t>2</w:t>
            </w:r>
            <w:r w:rsidRPr="00024066">
              <w:rPr>
                <w:rFonts w:ascii="Times New Roman" w:hAnsi="Times New Roman" w:cs="Times New Roman"/>
                <w:b/>
                <w:bCs/>
                <w:color w:val="000000"/>
                <w:sz w:val="14"/>
                <w:szCs w:val="14"/>
                <w:lang w:eastAsia="sk-SK"/>
              </w:rPr>
              <w:t xml:space="preserve"> 1</w:t>
            </w:r>
            <w:r>
              <w:rPr>
                <w:rFonts w:ascii="Times New Roman" w:hAnsi="Times New Roman" w:cs="Times New Roman"/>
                <w:b/>
                <w:bCs/>
                <w:color w:val="000000"/>
                <w:sz w:val="14"/>
                <w:szCs w:val="14"/>
                <w:lang w:eastAsia="sk-SK"/>
              </w:rPr>
              <w:t>87</w:t>
            </w:r>
          </w:p>
        </w:tc>
        <w:tc>
          <w:tcPr>
            <w:tcW w:w="918" w:type="dxa"/>
            <w:tcBorders>
              <w:top w:val="nil"/>
              <w:left w:val="nil"/>
              <w:bottom w:val="single" w:sz="4" w:space="0" w:color="auto"/>
              <w:right w:val="single" w:sz="4" w:space="0" w:color="auto"/>
            </w:tcBorders>
            <w:shd w:val="clear" w:color="000000" w:fill="BFBFBF"/>
            <w:noWrap/>
            <w:vAlign w:val="bottom"/>
            <w:hideMark/>
          </w:tcPr>
          <w:p w:rsidR="003A497B" w:rsidRPr="00024066" w:rsidRDefault="003A497B" w:rsidP="003E1809">
            <w:pPr>
              <w:jc w:val="right"/>
              <w:rPr>
                <w:rFonts w:ascii="Times New Roman" w:hAnsi="Times New Roman" w:cs="Times New Roman"/>
                <w:b/>
                <w:bCs/>
                <w:color w:val="000000"/>
                <w:sz w:val="14"/>
                <w:szCs w:val="14"/>
                <w:lang w:eastAsia="sk-SK"/>
              </w:rPr>
            </w:pPr>
            <w:r w:rsidRPr="00024066">
              <w:rPr>
                <w:rFonts w:ascii="Times New Roman" w:hAnsi="Times New Roman" w:cs="Times New Roman"/>
                <w:b/>
                <w:bCs/>
                <w:color w:val="000000"/>
                <w:sz w:val="14"/>
                <w:szCs w:val="14"/>
                <w:lang w:eastAsia="sk-SK"/>
              </w:rPr>
              <w:t>22 282 187</w:t>
            </w:r>
          </w:p>
        </w:tc>
        <w:tc>
          <w:tcPr>
            <w:tcW w:w="918" w:type="dxa"/>
            <w:tcBorders>
              <w:top w:val="nil"/>
              <w:left w:val="nil"/>
              <w:bottom w:val="single" w:sz="4" w:space="0" w:color="auto"/>
              <w:right w:val="single" w:sz="4" w:space="0" w:color="auto"/>
            </w:tcBorders>
            <w:shd w:val="clear" w:color="000000" w:fill="BFBFBF"/>
            <w:noWrap/>
            <w:vAlign w:val="bottom"/>
            <w:hideMark/>
          </w:tcPr>
          <w:p w:rsidR="003A497B" w:rsidRPr="00024066" w:rsidRDefault="003A497B" w:rsidP="003E1809">
            <w:pPr>
              <w:jc w:val="right"/>
              <w:rPr>
                <w:rFonts w:ascii="Times New Roman" w:hAnsi="Times New Roman" w:cs="Times New Roman"/>
                <w:b/>
                <w:bCs/>
                <w:color w:val="000000"/>
                <w:sz w:val="14"/>
                <w:szCs w:val="14"/>
                <w:lang w:eastAsia="sk-SK"/>
              </w:rPr>
            </w:pPr>
            <w:r w:rsidRPr="00024066">
              <w:rPr>
                <w:rFonts w:ascii="Times New Roman" w:hAnsi="Times New Roman" w:cs="Times New Roman"/>
                <w:b/>
                <w:bCs/>
                <w:color w:val="000000"/>
                <w:sz w:val="14"/>
                <w:szCs w:val="14"/>
                <w:lang w:eastAsia="sk-SK"/>
              </w:rPr>
              <w:t>22 282 187</w:t>
            </w:r>
          </w:p>
        </w:tc>
      </w:tr>
      <w:tr w:rsidR="003A497B" w:rsidRPr="00024066" w:rsidTr="003E1809">
        <w:trPr>
          <w:trHeight w:val="255"/>
        </w:trPr>
        <w:tc>
          <w:tcPr>
            <w:tcW w:w="2636" w:type="dxa"/>
            <w:tcBorders>
              <w:top w:val="nil"/>
              <w:left w:val="single" w:sz="4" w:space="0" w:color="auto"/>
              <w:bottom w:val="single" w:sz="4" w:space="0" w:color="auto"/>
              <w:right w:val="single" w:sz="4" w:space="0" w:color="auto"/>
            </w:tcBorders>
            <w:shd w:val="clear" w:color="auto" w:fill="auto"/>
            <w:noWrap/>
            <w:vAlign w:val="center"/>
            <w:hideMark/>
          </w:tcPr>
          <w:p w:rsidR="003A497B" w:rsidRPr="00024066" w:rsidRDefault="003A497B" w:rsidP="003E1809">
            <w:pPr>
              <w:rPr>
                <w:rFonts w:ascii="Times New Roman" w:hAnsi="Times New Roman" w:cs="Times New Roman"/>
                <w:b/>
                <w:bCs/>
                <w:color w:val="000000"/>
                <w:sz w:val="14"/>
                <w:szCs w:val="14"/>
                <w:lang w:eastAsia="sk-SK"/>
              </w:rPr>
            </w:pPr>
            <w:r w:rsidRPr="00024066">
              <w:rPr>
                <w:rFonts w:ascii="Times New Roman" w:hAnsi="Times New Roman" w:cs="Times New Roman"/>
                <w:b/>
                <w:bCs/>
                <w:color w:val="000000"/>
                <w:sz w:val="14"/>
                <w:szCs w:val="14"/>
                <w:lang w:eastAsia="sk-SK"/>
              </w:rPr>
              <w:t>rozpočtové zdroje kapitoly</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F967CD" w:rsidRDefault="003A497B" w:rsidP="003E1809">
            <w:pPr>
              <w:jc w:val="right"/>
              <w:rPr>
                <w:rFonts w:ascii="Times New Roman" w:hAnsi="Times New Roman" w:cs="Times New Roman"/>
                <w:b/>
                <w:color w:val="000000"/>
                <w:sz w:val="14"/>
                <w:szCs w:val="14"/>
                <w:lang w:eastAsia="sk-SK"/>
              </w:rPr>
            </w:pPr>
            <w:r w:rsidRPr="00F967CD">
              <w:rPr>
                <w:rFonts w:ascii="Times New Roman" w:hAnsi="Times New Roman" w:cs="Times New Roman"/>
                <w:b/>
                <w:color w:val="000000"/>
                <w:sz w:val="14"/>
                <w:szCs w:val="14"/>
                <w:lang w:eastAsia="sk-SK"/>
              </w:rPr>
              <w:t>15 112 570</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F967CD" w:rsidRDefault="003A497B" w:rsidP="003E1809">
            <w:pPr>
              <w:jc w:val="right"/>
              <w:rPr>
                <w:rFonts w:ascii="Times New Roman" w:hAnsi="Times New Roman" w:cs="Times New Roman"/>
                <w:b/>
                <w:color w:val="000000"/>
                <w:sz w:val="14"/>
                <w:szCs w:val="14"/>
                <w:lang w:eastAsia="sk-SK"/>
              </w:rPr>
            </w:pPr>
            <w:r w:rsidRPr="00F967CD">
              <w:rPr>
                <w:rFonts w:ascii="Times New Roman" w:hAnsi="Times New Roman" w:cs="Times New Roman"/>
                <w:b/>
                <w:color w:val="000000"/>
                <w:sz w:val="14"/>
                <w:szCs w:val="14"/>
                <w:lang w:eastAsia="sk-SK"/>
              </w:rPr>
              <w:t>26 407 568</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F967CD" w:rsidRDefault="003A497B" w:rsidP="003E1809">
            <w:pPr>
              <w:jc w:val="right"/>
              <w:rPr>
                <w:rFonts w:ascii="Times New Roman" w:hAnsi="Times New Roman" w:cs="Times New Roman"/>
                <w:b/>
                <w:color w:val="000000"/>
                <w:sz w:val="14"/>
                <w:szCs w:val="14"/>
                <w:lang w:eastAsia="sk-SK"/>
              </w:rPr>
            </w:pPr>
            <w:r w:rsidRPr="00F967CD">
              <w:rPr>
                <w:rFonts w:ascii="Times New Roman" w:hAnsi="Times New Roman" w:cs="Times New Roman"/>
                <w:b/>
                <w:color w:val="000000"/>
                <w:sz w:val="14"/>
                <w:szCs w:val="14"/>
                <w:lang w:eastAsia="sk-SK"/>
              </w:rPr>
              <w:t>22 044 125</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F967CD" w:rsidRDefault="003A497B" w:rsidP="003E1809">
            <w:pPr>
              <w:jc w:val="right"/>
              <w:rPr>
                <w:rFonts w:ascii="Times New Roman" w:hAnsi="Times New Roman" w:cs="Times New Roman"/>
                <w:b/>
                <w:color w:val="000000"/>
                <w:sz w:val="14"/>
                <w:szCs w:val="14"/>
                <w:lang w:eastAsia="sk-SK"/>
              </w:rPr>
            </w:pPr>
            <w:r w:rsidRPr="00F967CD">
              <w:rPr>
                <w:rFonts w:ascii="Times New Roman" w:hAnsi="Times New Roman" w:cs="Times New Roman"/>
                <w:b/>
                <w:color w:val="000000"/>
                <w:sz w:val="14"/>
                <w:szCs w:val="14"/>
                <w:lang w:eastAsia="sk-SK"/>
              </w:rPr>
              <w:t>21 313 898</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F967CD" w:rsidRDefault="003A497B" w:rsidP="003E1809">
            <w:pPr>
              <w:jc w:val="right"/>
              <w:rPr>
                <w:rFonts w:ascii="Times New Roman" w:hAnsi="Times New Roman" w:cs="Times New Roman"/>
                <w:b/>
                <w:color w:val="000000"/>
                <w:sz w:val="14"/>
                <w:szCs w:val="14"/>
                <w:lang w:eastAsia="sk-SK"/>
              </w:rPr>
            </w:pPr>
            <w:r w:rsidRPr="00F967CD">
              <w:rPr>
                <w:rFonts w:ascii="Times New Roman" w:hAnsi="Times New Roman" w:cs="Times New Roman"/>
                <w:b/>
                <w:color w:val="000000"/>
                <w:sz w:val="14"/>
                <w:szCs w:val="14"/>
                <w:lang w:eastAsia="sk-SK"/>
              </w:rPr>
              <w:t>22 282 187</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F967CD" w:rsidRDefault="003A497B" w:rsidP="003E1809">
            <w:pPr>
              <w:jc w:val="right"/>
              <w:rPr>
                <w:rFonts w:ascii="Times New Roman" w:hAnsi="Times New Roman" w:cs="Times New Roman"/>
                <w:b/>
                <w:color w:val="000000"/>
                <w:sz w:val="14"/>
                <w:szCs w:val="14"/>
                <w:lang w:eastAsia="sk-SK"/>
              </w:rPr>
            </w:pPr>
            <w:r w:rsidRPr="00F967CD">
              <w:rPr>
                <w:rFonts w:ascii="Times New Roman" w:hAnsi="Times New Roman" w:cs="Times New Roman"/>
                <w:b/>
                <w:color w:val="000000"/>
                <w:sz w:val="14"/>
                <w:szCs w:val="14"/>
                <w:lang w:eastAsia="sk-SK"/>
              </w:rPr>
              <w:t>22 282 187</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F967CD" w:rsidRDefault="003A497B" w:rsidP="003E1809">
            <w:pPr>
              <w:jc w:val="right"/>
              <w:rPr>
                <w:rFonts w:ascii="Times New Roman" w:hAnsi="Times New Roman" w:cs="Times New Roman"/>
                <w:b/>
                <w:color w:val="000000"/>
                <w:sz w:val="14"/>
                <w:szCs w:val="14"/>
                <w:lang w:eastAsia="sk-SK"/>
              </w:rPr>
            </w:pPr>
            <w:r w:rsidRPr="00F967CD">
              <w:rPr>
                <w:rFonts w:ascii="Times New Roman" w:hAnsi="Times New Roman" w:cs="Times New Roman"/>
                <w:b/>
                <w:color w:val="000000"/>
                <w:sz w:val="14"/>
                <w:szCs w:val="14"/>
                <w:lang w:eastAsia="sk-SK"/>
              </w:rPr>
              <w:t>22 282 187</w:t>
            </w:r>
          </w:p>
        </w:tc>
      </w:tr>
      <w:tr w:rsidR="003A497B" w:rsidRPr="00024066" w:rsidTr="003E1809">
        <w:trPr>
          <w:trHeight w:val="255"/>
        </w:trPr>
        <w:tc>
          <w:tcPr>
            <w:tcW w:w="2636" w:type="dxa"/>
            <w:tcBorders>
              <w:top w:val="nil"/>
              <w:left w:val="single" w:sz="4" w:space="0" w:color="auto"/>
              <w:bottom w:val="single" w:sz="4" w:space="0" w:color="auto"/>
              <w:right w:val="single" w:sz="4" w:space="0" w:color="auto"/>
            </w:tcBorders>
            <w:shd w:val="clear" w:color="auto" w:fill="auto"/>
            <w:noWrap/>
            <w:vAlign w:val="center"/>
            <w:hideMark/>
          </w:tcPr>
          <w:p w:rsidR="003A497B" w:rsidRPr="00024066" w:rsidRDefault="003A497B" w:rsidP="003E1809">
            <w:pPr>
              <w:ind w:firstLineChars="100" w:firstLine="140"/>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v tom: bežné výdavky  600</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14 426 608</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25 197 878</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20 144 125</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20 173 152</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19</w:t>
            </w:r>
            <w:r>
              <w:rPr>
                <w:rFonts w:ascii="Times New Roman" w:hAnsi="Times New Roman" w:cs="Times New Roman"/>
                <w:color w:val="000000"/>
                <w:sz w:val="14"/>
                <w:szCs w:val="14"/>
                <w:lang w:eastAsia="sk-SK"/>
              </w:rPr>
              <w:t xml:space="preserve"> 832 </w:t>
            </w:r>
            <w:r w:rsidRPr="00024066">
              <w:rPr>
                <w:rFonts w:ascii="Times New Roman" w:hAnsi="Times New Roman" w:cs="Times New Roman"/>
                <w:color w:val="000000"/>
                <w:sz w:val="14"/>
                <w:szCs w:val="14"/>
                <w:lang w:eastAsia="sk-SK"/>
              </w:rPr>
              <w:t>1</w:t>
            </w:r>
            <w:r>
              <w:rPr>
                <w:rFonts w:ascii="Times New Roman" w:hAnsi="Times New Roman" w:cs="Times New Roman"/>
                <w:color w:val="000000"/>
                <w:sz w:val="14"/>
                <w:szCs w:val="14"/>
                <w:lang w:eastAsia="sk-SK"/>
              </w:rPr>
              <w:t>87</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19 832 187</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20 282 187</w:t>
            </w:r>
          </w:p>
        </w:tc>
      </w:tr>
      <w:tr w:rsidR="003A497B" w:rsidRPr="00024066" w:rsidTr="003E1809">
        <w:trPr>
          <w:trHeight w:val="255"/>
        </w:trPr>
        <w:tc>
          <w:tcPr>
            <w:tcW w:w="2636" w:type="dxa"/>
            <w:tcBorders>
              <w:top w:val="nil"/>
              <w:left w:val="single" w:sz="4" w:space="0" w:color="auto"/>
              <w:bottom w:val="single" w:sz="4" w:space="0" w:color="auto"/>
              <w:right w:val="single" w:sz="4" w:space="0" w:color="auto"/>
            </w:tcBorders>
            <w:shd w:val="clear" w:color="auto" w:fill="auto"/>
            <w:noWrap/>
            <w:vAlign w:val="center"/>
            <w:hideMark/>
          </w:tcPr>
          <w:p w:rsidR="003A497B" w:rsidRPr="00024066" w:rsidRDefault="003A497B" w:rsidP="003E1809">
            <w:pPr>
              <w:ind w:firstLineChars="500" w:firstLine="700"/>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610 mzdy</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3 302 991</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3 128 339</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3 344 926</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3 606 264</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3 5</w:t>
            </w:r>
            <w:r w:rsidRPr="00024066">
              <w:rPr>
                <w:rFonts w:ascii="Times New Roman" w:hAnsi="Times New Roman" w:cs="Times New Roman"/>
                <w:color w:val="000000"/>
                <w:sz w:val="14"/>
                <w:szCs w:val="14"/>
                <w:lang w:eastAsia="sk-SK"/>
              </w:rPr>
              <w:t>0</w:t>
            </w:r>
            <w:r>
              <w:rPr>
                <w:rFonts w:ascii="Times New Roman" w:hAnsi="Times New Roman" w:cs="Times New Roman"/>
                <w:color w:val="000000"/>
                <w:sz w:val="14"/>
                <w:szCs w:val="14"/>
                <w:lang w:eastAsia="sk-SK"/>
              </w:rPr>
              <w:t>4</w:t>
            </w:r>
            <w:r w:rsidRPr="00024066">
              <w:rPr>
                <w:rFonts w:ascii="Times New Roman" w:hAnsi="Times New Roman" w:cs="Times New Roman"/>
                <w:color w:val="000000"/>
                <w:sz w:val="14"/>
                <w:szCs w:val="14"/>
                <w:lang w:eastAsia="sk-SK"/>
              </w:rPr>
              <w:t xml:space="preserve"> 4</w:t>
            </w:r>
            <w:r>
              <w:rPr>
                <w:rFonts w:ascii="Times New Roman" w:hAnsi="Times New Roman" w:cs="Times New Roman"/>
                <w:color w:val="000000"/>
                <w:sz w:val="14"/>
                <w:szCs w:val="14"/>
                <w:lang w:eastAsia="sk-SK"/>
              </w:rPr>
              <w:t>27</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3 504 427</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3 504 427</w:t>
            </w:r>
          </w:p>
        </w:tc>
      </w:tr>
      <w:tr w:rsidR="003A497B" w:rsidRPr="00024066" w:rsidTr="003E1809">
        <w:trPr>
          <w:trHeight w:val="255"/>
        </w:trPr>
        <w:tc>
          <w:tcPr>
            <w:tcW w:w="2636" w:type="dxa"/>
            <w:tcBorders>
              <w:top w:val="nil"/>
              <w:left w:val="single" w:sz="4" w:space="0" w:color="auto"/>
              <w:bottom w:val="single" w:sz="4" w:space="0" w:color="auto"/>
              <w:right w:val="single" w:sz="4" w:space="0" w:color="auto"/>
            </w:tcBorders>
            <w:shd w:val="clear" w:color="auto" w:fill="auto"/>
            <w:noWrap/>
            <w:vAlign w:val="center"/>
            <w:hideMark/>
          </w:tcPr>
          <w:p w:rsidR="003A497B" w:rsidRPr="00024066" w:rsidRDefault="003A497B" w:rsidP="003E1809">
            <w:pPr>
              <w:ind w:firstLineChars="500" w:firstLine="700"/>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620 odvody</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1 214 986</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1 162 642</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1 186 512</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1 238 401</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1 267</w:t>
            </w:r>
            <w:r w:rsidRPr="00024066">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797</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1 267 797</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1 267 797</w:t>
            </w:r>
          </w:p>
        </w:tc>
      </w:tr>
      <w:tr w:rsidR="003A497B" w:rsidRPr="00024066" w:rsidTr="003E1809">
        <w:trPr>
          <w:trHeight w:val="255"/>
        </w:trPr>
        <w:tc>
          <w:tcPr>
            <w:tcW w:w="2636" w:type="dxa"/>
            <w:tcBorders>
              <w:top w:val="nil"/>
              <w:left w:val="single" w:sz="4" w:space="0" w:color="auto"/>
              <w:bottom w:val="single" w:sz="4" w:space="0" w:color="auto"/>
              <w:right w:val="single" w:sz="4" w:space="0" w:color="auto"/>
            </w:tcBorders>
            <w:shd w:val="clear" w:color="auto" w:fill="auto"/>
            <w:noWrap/>
            <w:vAlign w:val="center"/>
            <w:hideMark/>
          </w:tcPr>
          <w:p w:rsidR="003A497B" w:rsidRPr="00024066" w:rsidRDefault="003A497B" w:rsidP="003E1809">
            <w:pPr>
              <w:ind w:firstLineChars="500" w:firstLine="700"/>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630 tovary a služby</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9 445 581</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20 399 220</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14 912 687</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14 628 487</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14</w:t>
            </w:r>
            <w:r>
              <w:rPr>
                <w:rFonts w:ascii="Times New Roman" w:hAnsi="Times New Roman" w:cs="Times New Roman"/>
                <w:color w:val="000000"/>
                <w:sz w:val="14"/>
                <w:szCs w:val="14"/>
                <w:lang w:eastAsia="sk-SK"/>
              </w:rPr>
              <w:t> 394 963</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14 394 963</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14 844 963</w:t>
            </w:r>
          </w:p>
        </w:tc>
      </w:tr>
      <w:tr w:rsidR="003A497B" w:rsidRPr="00024066" w:rsidTr="003E1809">
        <w:trPr>
          <w:trHeight w:val="255"/>
        </w:trPr>
        <w:tc>
          <w:tcPr>
            <w:tcW w:w="2636" w:type="dxa"/>
            <w:tcBorders>
              <w:top w:val="nil"/>
              <w:left w:val="single" w:sz="4" w:space="0" w:color="auto"/>
              <w:bottom w:val="single" w:sz="4" w:space="0" w:color="auto"/>
              <w:right w:val="single" w:sz="4" w:space="0" w:color="auto"/>
            </w:tcBorders>
            <w:shd w:val="clear" w:color="auto" w:fill="auto"/>
            <w:noWrap/>
            <w:vAlign w:val="center"/>
            <w:hideMark/>
          </w:tcPr>
          <w:p w:rsidR="003A497B" w:rsidRPr="00024066" w:rsidRDefault="003A497B" w:rsidP="003E1809">
            <w:pPr>
              <w:ind w:firstLineChars="500" w:firstLine="700"/>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640 bežné transfery</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463 050</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507 677</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700 000</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700 000</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665 000</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665 000</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665 000</w:t>
            </w:r>
          </w:p>
        </w:tc>
      </w:tr>
      <w:tr w:rsidR="003A497B" w:rsidRPr="00024066" w:rsidTr="003E1809">
        <w:trPr>
          <w:trHeight w:val="255"/>
        </w:trPr>
        <w:tc>
          <w:tcPr>
            <w:tcW w:w="2636" w:type="dxa"/>
            <w:tcBorders>
              <w:top w:val="nil"/>
              <w:left w:val="single" w:sz="4" w:space="0" w:color="auto"/>
              <w:bottom w:val="single" w:sz="4" w:space="0" w:color="auto"/>
              <w:right w:val="single" w:sz="4" w:space="0" w:color="auto"/>
            </w:tcBorders>
            <w:shd w:val="clear" w:color="auto" w:fill="auto"/>
            <w:noWrap/>
            <w:vAlign w:val="center"/>
            <w:hideMark/>
          </w:tcPr>
          <w:p w:rsidR="003A497B" w:rsidRPr="00024066" w:rsidRDefault="003A497B" w:rsidP="003E1809">
            <w:pPr>
              <w:ind w:firstLineChars="400" w:firstLine="560"/>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kapitálové výdavky 700</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685 962</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1 209 690</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1 900 000</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1 140 746</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2 450 000</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2 450 000</w:t>
            </w:r>
          </w:p>
        </w:tc>
        <w:tc>
          <w:tcPr>
            <w:tcW w:w="918" w:type="dxa"/>
            <w:tcBorders>
              <w:top w:val="nil"/>
              <w:left w:val="nil"/>
              <w:bottom w:val="single" w:sz="4" w:space="0" w:color="auto"/>
              <w:right w:val="single" w:sz="4" w:space="0" w:color="auto"/>
            </w:tcBorders>
            <w:shd w:val="clear" w:color="000000" w:fill="FFFFFF"/>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2 000 000</w:t>
            </w:r>
          </w:p>
        </w:tc>
      </w:tr>
      <w:tr w:rsidR="003A497B" w:rsidRPr="00024066" w:rsidTr="003E1809">
        <w:trPr>
          <w:trHeight w:val="255"/>
        </w:trPr>
        <w:tc>
          <w:tcPr>
            <w:tcW w:w="2636" w:type="dxa"/>
            <w:tcBorders>
              <w:top w:val="nil"/>
              <w:left w:val="single" w:sz="4" w:space="0" w:color="auto"/>
              <w:bottom w:val="single" w:sz="4" w:space="0" w:color="auto"/>
              <w:right w:val="single" w:sz="4" w:space="0" w:color="auto"/>
            </w:tcBorders>
            <w:shd w:val="clear" w:color="auto" w:fill="auto"/>
            <w:noWrap/>
            <w:vAlign w:val="center"/>
            <w:hideMark/>
          </w:tcPr>
          <w:p w:rsidR="003A497B" w:rsidRPr="00024066" w:rsidRDefault="003A497B" w:rsidP="003E1809">
            <w:pPr>
              <w:rPr>
                <w:rFonts w:ascii="Times New Roman" w:hAnsi="Times New Roman" w:cs="Times New Roman"/>
                <w:b/>
                <w:bCs/>
                <w:color w:val="000000"/>
                <w:sz w:val="14"/>
                <w:szCs w:val="14"/>
                <w:lang w:eastAsia="sk-SK"/>
              </w:rPr>
            </w:pPr>
            <w:r w:rsidRPr="00024066">
              <w:rPr>
                <w:rFonts w:ascii="Times New Roman" w:hAnsi="Times New Roman" w:cs="Times New Roman"/>
                <w:b/>
                <w:bCs/>
                <w:color w:val="000000"/>
                <w:sz w:val="14"/>
                <w:szCs w:val="14"/>
                <w:lang w:eastAsia="sk-SK"/>
              </w:rPr>
              <w:t xml:space="preserve">presun z minulých rokov § 8 </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F967CD" w:rsidRDefault="003A497B" w:rsidP="003E1809">
            <w:pPr>
              <w:jc w:val="right"/>
              <w:rPr>
                <w:rFonts w:ascii="Times New Roman" w:hAnsi="Times New Roman" w:cs="Times New Roman"/>
                <w:b/>
                <w:color w:val="000000"/>
                <w:sz w:val="14"/>
                <w:szCs w:val="14"/>
                <w:lang w:eastAsia="sk-SK"/>
              </w:rPr>
            </w:pPr>
            <w:r w:rsidRPr="00F967CD">
              <w:rPr>
                <w:rFonts w:ascii="Times New Roman" w:hAnsi="Times New Roman" w:cs="Times New Roman"/>
                <w:b/>
                <w:color w:val="000000"/>
                <w:sz w:val="14"/>
                <w:szCs w:val="14"/>
                <w:lang w:eastAsia="sk-SK"/>
              </w:rPr>
              <w:t>1 128 404</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F967CD" w:rsidRDefault="003A497B" w:rsidP="003E1809">
            <w:pPr>
              <w:jc w:val="right"/>
              <w:rPr>
                <w:rFonts w:ascii="Times New Roman" w:hAnsi="Times New Roman" w:cs="Times New Roman"/>
                <w:b/>
                <w:color w:val="000000"/>
                <w:sz w:val="14"/>
                <w:szCs w:val="14"/>
                <w:lang w:eastAsia="sk-SK"/>
              </w:rPr>
            </w:pPr>
            <w:r w:rsidRPr="00F967CD">
              <w:rPr>
                <w:rFonts w:ascii="Times New Roman" w:hAnsi="Times New Roman" w:cs="Times New Roman"/>
                <w:b/>
                <w:color w:val="000000"/>
                <w:sz w:val="14"/>
                <w:szCs w:val="14"/>
                <w:lang w:eastAsia="sk-SK"/>
              </w:rPr>
              <w:t>167 308</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F967CD" w:rsidRDefault="003A497B" w:rsidP="003E1809">
            <w:pPr>
              <w:jc w:val="right"/>
              <w:rPr>
                <w:rFonts w:ascii="Times New Roman" w:hAnsi="Times New Roman" w:cs="Times New Roman"/>
                <w:b/>
                <w:color w:val="000000"/>
                <w:sz w:val="14"/>
                <w:szCs w:val="14"/>
                <w:lang w:eastAsia="sk-SK"/>
              </w:rPr>
            </w:pPr>
            <w:r w:rsidRPr="00F967CD">
              <w:rPr>
                <w:rFonts w:ascii="Times New Roman" w:hAnsi="Times New Roman" w:cs="Times New Roman"/>
                <w:b/>
                <w:color w:val="000000"/>
                <w:sz w:val="14"/>
                <w:szCs w:val="14"/>
                <w:lang w:eastAsia="sk-SK"/>
              </w:rPr>
              <w:t>0</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F967CD" w:rsidRDefault="003A497B" w:rsidP="003E1809">
            <w:pPr>
              <w:jc w:val="right"/>
              <w:rPr>
                <w:rFonts w:ascii="Times New Roman" w:hAnsi="Times New Roman" w:cs="Times New Roman"/>
                <w:b/>
                <w:color w:val="000000"/>
                <w:sz w:val="14"/>
                <w:szCs w:val="14"/>
                <w:lang w:eastAsia="sk-SK"/>
              </w:rPr>
            </w:pPr>
            <w:r w:rsidRPr="00F967CD">
              <w:rPr>
                <w:rFonts w:ascii="Times New Roman" w:hAnsi="Times New Roman" w:cs="Times New Roman"/>
                <w:b/>
                <w:color w:val="000000"/>
                <w:sz w:val="14"/>
                <w:szCs w:val="14"/>
                <w:lang w:eastAsia="sk-SK"/>
              </w:rPr>
              <w:t>1 043 455</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F967CD" w:rsidRDefault="003A497B" w:rsidP="003E1809">
            <w:pPr>
              <w:jc w:val="right"/>
              <w:rPr>
                <w:rFonts w:ascii="Times New Roman" w:hAnsi="Times New Roman" w:cs="Times New Roman"/>
                <w:b/>
                <w:color w:val="000000"/>
                <w:sz w:val="14"/>
                <w:szCs w:val="14"/>
                <w:lang w:eastAsia="sk-SK"/>
              </w:rPr>
            </w:pPr>
            <w:r w:rsidRPr="00F967CD">
              <w:rPr>
                <w:rFonts w:ascii="Times New Roman" w:hAnsi="Times New Roman" w:cs="Times New Roman"/>
                <w:b/>
                <w:color w:val="000000"/>
                <w:sz w:val="14"/>
                <w:szCs w:val="14"/>
                <w:lang w:eastAsia="sk-SK"/>
              </w:rPr>
              <w:t>0</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F967CD" w:rsidRDefault="003A497B" w:rsidP="003E1809">
            <w:pPr>
              <w:jc w:val="right"/>
              <w:rPr>
                <w:rFonts w:ascii="Times New Roman" w:hAnsi="Times New Roman" w:cs="Times New Roman"/>
                <w:b/>
                <w:color w:val="000000"/>
                <w:sz w:val="14"/>
                <w:szCs w:val="14"/>
                <w:lang w:eastAsia="sk-SK"/>
              </w:rPr>
            </w:pPr>
            <w:r w:rsidRPr="00F967CD">
              <w:rPr>
                <w:rFonts w:ascii="Times New Roman" w:hAnsi="Times New Roman" w:cs="Times New Roman"/>
                <w:b/>
                <w:color w:val="000000"/>
                <w:sz w:val="14"/>
                <w:szCs w:val="14"/>
                <w:lang w:eastAsia="sk-SK"/>
              </w:rPr>
              <w:t>0</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F967CD" w:rsidRDefault="003A497B" w:rsidP="003E1809">
            <w:pPr>
              <w:jc w:val="right"/>
              <w:rPr>
                <w:rFonts w:ascii="Times New Roman" w:hAnsi="Times New Roman" w:cs="Times New Roman"/>
                <w:b/>
                <w:color w:val="000000"/>
                <w:sz w:val="14"/>
                <w:szCs w:val="14"/>
                <w:lang w:eastAsia="sk-SK"/>
              </w:rPr>
            </w:pPr>
            <w:r w:rsidRPr="00F967CD">
              <w:rPr>
                <w:rFonts w:ascii="Times New Roman" w:hAnsi="Times New Roman" w:cs="Times New Roman"/>
                <w:b/>
                <w:color w:val="000000"/>
                <w:sz w:val="14"/>
                <w:szCs w:val="14"/>
                <w:lang w:eastAsia="sk-SK"/>
              </w:rPr>
              <w:t>0</w:t>
            </w:r>
          </w:p>
        </w:tc>
      </w:tr>
      <w:tr w:rsidR="003A497B" w:rsidRPr="00024066" w:rsidTr="003E1809">
        <w:trPr>
          <w:trHeight w:val="255"/>
        </w:trPr>
        <w:tc>
          <w:tcPr>
            <w:tcW w:w="2636" w:type="dxa"/>
            <w:tcBorders>
              <w:top w:val="nil"/>
              <w:left w:val="single" w:sz="4" w:space="0" w:color="auto"/>
              <w:bottom w:val="single" w:sz="4" w:space="0" w:color="auto"/>
              <w:right w:val="single" w:sz="4" w:space="0" w:color="auto"/>
            </w:tcBorders>
            <w:shd w:val="clear" w:color="auto" w:fill="auto"/>
            <w:noWrap/>
            <w:vAlign w:val="center"/>
            <w:hideMark/>
          </w:tcPr>
          <w:p w:rsidR="003A497B" w:rsidRPr="00024066" w:rsidRDefault="003A497B" w:rsidP="003E1809">
            <w:pPr>
              <w:ind w:firstLineChars="100" w:firstLine="140"/>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v tom: štátny rozpočet</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1 075 921</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167 308</w:t>
            </w:r>
          </w:p>
        </w:tc>
        <w:tc>
          <w:tcPr>
            <w:tcW w:w="918" w:type="dxa"/>
            <w:tcBorders>
              <w:top w:val="nil"/>
              <w:left w:val="nil"/>
              <w:bottom w:val="single" w:sz="4" w:space="0" w:color="auto"/>
              <w:right w:val="single" w:sz="4" w:space="0" w:color="auto"/>
            </w:tcBorders>
            <w:shd w:val="clear" w:color="auto" w:fill="auto"/>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0</w:t>
            </w:r>
          </w:p>
        </w:tc>
        <w:tc>
          <w:tcPr>
            <w:tcW w:w="918" w:type="dxa"/>
            <w:tcBorders>
              <w:top w:val="nil"/>
              <w:left w:val="nil"/>
              <w:bottom w:val="single" w:sz="4" w:space="0" w:color="auto"/>
              <w:right w:val="single" w:sz="4" w:space="0" w:color="auto"/>
            </w:tcBorders>
            <w:shd w:val="clear" w:color="auto" w:fill="auto"/>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1 043 455</w:t>
            </w:r>
          </w:p>
        </w:tc>
        <w:tc>
          <w:tcPr>
            <w:tcW w:w="918" w:type="dxa"/>
            <w:tcBorders>
              <w:top w:val="nil"/>
              <w:left w:val="nil"/>
              <w:bottom w:val="single" w:sz="4" w:space="0" w:color="auto"/>
              <w:right w:val="single" w:sz="4" w:space="0" w:color="auto"/>
            </w:tcBorders>
            <w:shd w:val="clear" w:color="auto" w:fill="auto"/>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0</w:t>
            </w:r>
          </w:p>
        </w:tc>
        <w:tc>
          <w:tcPr>
            <w:tcW w:w="918" w:type="dxa"/>
            <w:tcBorders>
              <w:top w:val="nil"/>
              <w:left w:val="nil"/>
              <w:bottom w:val="single" w:sz="4" w:space="0" w:color="auto"/>
              <w:right w:val="single" w:sz="4" w:space="0" w:color="auto"/>
            </w:tcBorders>
            <w:shd w:val="clear" w:color="auto" w:fill="auto"/>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0</w:t>
            </w:r>
          </w:p>
        </w:tc>
        <w:tc>
          <w:tcPr>
            <w:tcW w:w="918" w:type="dxa"/>
            <w:tcBorders>
              <w:top w:val="nil"/>
              <w:left w:val="nil"/>
              <w:bottom w:val="single" w:sz="4" w:space="0" w:color="auto"/>
              <w:right w:val="single" w:sz="4" w:space="0" w:color="auto"/>
            </w:tcBorders>
            <w:shd w:val="clear" w:color="auto" w:fill="auto"/>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0</w:t>
            </w:r>
          </w:p>
        </w:tc>
      </w:tr>
      <w:tr w:rsidR="003A497B" w:rsidRPr="00024066" w:rsidTr="003E1809">
        <w:trPr>
          <w:trHeight w:val="255"/>
        </w:trPr>
        <w:tc>
          <w:tcPr>
            <w:tcW w:w="2636" w:type="dxa"/>
            <w:tcBorders>
              <w:top w:val="nil"/>
              <w:left w:val="single" w:sz="4" w:space="0" w:color="auto"/>
              <w:bottom w:val="single" w:sz="4" w:space="0" w:color="auto"/>
              <w:right w:val="single" w:sz="4" w:space="0" w:color="auto"/>
            </w:tcBorders>
            <w:shd w:val="clear" w:color="auto" w:fill="auto"/>
            <w:noWrap/>
            <w:vAlign w:val="center"/>
            <w:hideMark/>
          </w:tcPr>
          <w:p w:rsidR="003A497B" w:rsidRPr="00024066" w:rsidRDefault="003A497B" w:rsidP="003E1809">
            <w:pPr>
              <w:ind w:firstLineChars="300" w:firstLine="420"/>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 xml:space="preserve">   prostriedky EÚ</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39 525</w:t>
            </w:r>
          </w:p>
        </w:tc>
        <w:tc>
          <w:tcPr>
            <w:tcW w:w="918" w:type="dxa"/>
            <w:tcBorders>
              <w:top w:val="nil"/>
              <w:left w:val="nil"/>
              <w:bottom w:val="single" w:sz="4" w:space="0" w:color="auto"/>
              <w:right w:val="single" w:sz="4" w:space="0" w:color="auto"/>
            </w:tcBorders>
            <w:shd w:val="clear" w:color="auto" w:fill="auto"/>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0</w:t>
            </w:r>
          </w:p>
        </w:tc>
        <w:tc>
          <w:tcPr>
            <w:tcW w:w="918" w:type="dxa"/>
            <w:tcBorders>
              <w:top w:val="nil"/>
              <w:left w:val="nil"/>
              <w:bottom w:val="single" w:sz="4" w:space="0" w:color="auto"/>
              <w:right w:val="single" w:sz="4" w:space="0" w:color="auto"/>
            </w:tcBorders>
            <w:shd w:val="clear" w:color="auto" w:fill="auto"/>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0</w:t>
            </w:r>
          </w:p>
        </w:tc>
        <w:tc>
          <w:tcPr>
            <w:tcW w:w="918" w:type="dxa"/>
            <w:tcBorders>
              <w:top w:val="nil"/>
              <w:left w:val="nil"/>
              <w:bottom w:val="single" w:sz="4" w:space="0" w:color="auto"/>
              <w:right w:val="single" w:sz="4" w:space="0" w:color="auto"/>
            </w:tcBorders>
            <w:shd w:val="clear" w:color="auto" w:fill="auto"/>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0</w:t>
            </w:r>
          </w:p>
        </w:tc>
        <w:tc>
          <w:tcPr>
            <w:tcW w:w="918" w:type="dxa"/>
            <w:tcBorders>
              <w:top w:val="nil"/>
              <w:left w:val="nil"/>
              <w:bottom w:val="single" w:sz="4" w:space="0" w:color="auto"/>
              <w:right w:val="single" w:sz="4" w:space="0" w:color="auto"/>
            </w:tcBorders>
            <w:shd w:val="clear" w:color="auto" w:fill="auto"/>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0</w:t>
            </w:r>
          </w:p>
        </w:tc>
        <w:tc>
          <w:tcPr>
            <w:tcW w:w="918" w:type="dxa"/>
            <w:tcBorders>
              <w:top w:val="nil"/>
              <w:left w:val="nil"/>
              <w:bottom w:val="single" w:sz="4" w:space="0" w:color="auto"/>
              <w:right w:val="single" w:sz="4" w:space="0" w:color="auto"/>
            </w:tcBorders>
            <w:shd w:val="clear" w:color="auto" w:fill="auto"/>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0</w:t>
            </w:r>
          </w:p>
        </w:tc>
        <w:tc>
          <w:tcPr>
            <w:tcW w:w="918" w:type="dxa"/>
            <w:tcBorders>
              <w:top w:val="nil"/>
              <w:left w:val="nil"/>
              <w:bottom w:val="single" w:sz="4" w:space="0" w:color="auto"/>
              <w:right w:val="single" w:sz="4" w:space="0" w:color="auto"/>
            </w:tcBorders>
            <w:shd w:val="clear" w:color="auto" w:fill="auto"/>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0</w:t>
            </w:r>
          </w:p>
        </w:tc>
      </w:tr>
      <w:tr w:rsidR="003A497B" w:rsidRPr="00024066" w:rsidTr="003E1809">
        <w:trPr>
          <w:trHeight w:val="255"/>
        </w:trPr>
        <w:tc>
          <w:tcPr>
            <w:tcW w:w="2636" w:type="dxa"/>
            <w:tcBorders>
              <w:top w:val="nil"/>
              <w:left w:val="single" w:sz="4" w:space="0" w:color="auto"/>
              <w:bottom w:val="single" w:sz="4" w:space="0" w:color="auto"/>
              <w:right w:val="single" w:sz="4" w:space="0" w:color="auto"/>
            </w:tcBorders>
            <w:shd w:val="clear" w:color="auto" w:fill="auto"/>
            <w:noWrap/>
            <w:vAlign w:val="center"/>
            <w:hideMark/>
          </w:tcPr>
          <w:p w:rsidR="003A497B" w:rsidRPr="00024066" w:rsidRDefault="003A497B" w:rsidP="003E1809">
            <w:pPr>
              <w:ind w:firstLineChars="300" w:firstLine="420"/>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 xml:space="preserve">   spolufinancovanie zo ŠR</w:t>
            </w:r>
          </w:p>
        </w:tc>
        <w:tc>
          <w:tcPr>
            <w:tcW w:w="918" w:type="dxa"/>
            <w:tcBorders>
              <w:top w:val="nil"/>
              <w:left w:val="nil"/>
              <w:bottom w:val="single" w:sz="4" w:space="0" w:color="auto"/>
              <w:right w:val="single" w:sz="4" w:space="0" w:color="auto"/>
            </w:tcBorders>
            <w:shd w:val="clear" w:color="000000" w:fill="FFFFFF"/>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12 958</w:t>
            </w:r>
          </w:p>
        </w:tc>
        <w:tc>
          <w:tcPr>
            <w:tcW w:w="918" w:type="dxa"/>
            <w:tcBorders>
              <w:top w:val="nil"/>
              <w:left w:val="nil"/>
              <w:bottom w:val="single" w:sz="4" w:space="0" w:color="auto"/>
              <w:right w:val="single" w:sz="4" w:space="0" w:color="auto"/>
            </w:tcBorders>
            <w:shd w:val="clear" w:color="auto" w:fill="auto"/>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0</w:t>
            </w:r>
          </w:p>
        </w:tc>
        <w:tc>
          <w:tcPr>
            <w:tcW w:w="918" w:type="dxa"/>
            <w:tcBorders>
              <w:top w:val="nil"/>
              <w:left w:val="nil"/>
              <w:bottom w:val="single" w:sz="4" w:space="0" w:color="auto"/>
              <w:right w:val="single" w:sz="4" w:space="0" w:color="auto"/>
            </w:tcBorders>
            <w:shd w:val="clear" w:color="auto" w:fill="auto"/>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0</w:t>
            </w:r>
          </w:p>
        </w:tc>
        <w:tc>
          <w:tcPr>
            <w:tcW w:w="918" w:type="dxa"/>
            <w:tcBorders>
              <w:top w:val="nil"/>
              <w:left w:val="nil"/>
              <w:bottom w:val="single" w:sz="4" w:space="0" w:color="auto"/>
              <w:right w:val="single" w:sz="4" w:space="0" w:color="auto"/>
            </w:tcBorders>
            <w:shd w:val="clear" w:color="auto" w:fill="auto"/>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0</w:t>
            </w:r>
          </w:p>
        </w:tc>
        <w:tc>
          <w:tcPr>
            <w:tcW w:w="918" w:type="dxa"/>
            <w:tcBorders>
              <w:top w:val="nil"/>
              <w:left w:val="nil"/>
              <w:bottom w:val="single" w:sz="4" w:space="0" w:color="auto"/>
              <w:right w:val="single" w:sz="4" w:space="0" w:color="auto"/>
            </w:tcBorders>
            <w:shd w:val="clear" w:color="auto" w:fill="auto"/>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0</w:t>
            </w:r>
          </w:p>
        </w:tc>
        <w:tc>
          <w:tcPr>
            <w:tcW w:w="918" w:type="dxa"/>
            <w:tcBorders>
              <w:top w:val="nil"/>
              <w:left w:val="nil"/>
              <w:bottom w:val="single" w:sz="4" w:space="0" w:color="auto"/>
              <w:right w:val="single" w:sz="4" w:space="0" w:color="auto"/>
            </w:tcBorders>
            <w:shd w:val="clear" w:color="auto" w:fill="auto"/>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0</w:t>
            </w:r>
          </w:p>
        </w:tc>
        <w:tc>
          <w:tcPr>
            <w:tcW w:w="918" w:type="dxa"/>
            <w:tcBorders>
              <w:top w:val="nil"/>
              <w:left w:val="nil"/>
              <w:bottom w:val="single" w:sz="4" w:space="0" w:color="auto"/>
              <w:right w:val="single" w:sz="4" w:space="0" w:color="auto"/>
            </w:tcBorders>
            <w:shd w:val="clear" w:color="auto" w:fill="auto"/>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r w:rsidRPr="00024066">
              <w:rPr>
                <w:rFonts w:ascii="Times New Roman" w:hAnsi="Times New Roman" w:cs="Times New Roman"/>
                <w:color w:val="000000"/>
                <w:sz w:val="14"/>
                <w:szCs w:val="14"/>
                <w:lang w:eastAsia="sk-SK"/>
              </w:rPr>
              <w:t>0</w:t>
            </w:r>
          </w:p>
        </w:tc>
      </w:tr>
      <w:tr w:rsidR="003A497B" w:rsidRPr="00024066" w:rsidTr="003E1809">
        <w:trPr>
          <w:trHeight w:val="255"/>
        </w:trPr>
        <w:tc>
          <w:tcPr>
            <w:tcW w:w="2636" w:type="dxa"/>
            <w:tcBorders>
              <w:top w:val="nil"/>
              <w:left w:val="nil"/>
              <w:bottom w:val="nil"/>
              <w:right w:val="nil"/>
            </w:tcBorders>
            <w:shd w:val="clear" w:color="auto" w:fill="auto"/>
            <w:noWrap/>
            <w:vAlign w:val="bottom"/>
            <w:hideMark/>
          </w:tcPr>
          <w:p w:rsidR="003A497B" w:rsidRPr="00024066" w:rsidRDefault="003A497B" w:rsidP="003E1809">
            <w:pPr>
              <w:jc w:val="right"/>
              <w:rPr>
                <w:rFonts w:ascii="Times New Roman" w:hAnsi="Times New Roman" w:cs="Times New Roman"/>
                <w:color w:val="000000"/>
                <w:sz w:val="14"/>
                <w:szCs w:val="14"/>
                <w:lang w:eastAsia="sk-SK"/>
              </w:rPr>
            </w:pPr>
          </w:p>
        </w:tc>
        <w:tc>
          <w:tcPr>
            <w:tcW w:w="918" w:type="dxa"/>
            <w:tcBorders>
              <w:top w:val="nil"/>
              <w:left w:val="nil"/>
              <w:bottom w:val="nil"/>
              <w:right w:val="nil"/>
            </w:tcBorders>
            <w:shd w:val="clear" w:color="auto" w:fill="auto"/>
            <w:noWrap/>
            <w:vAlign w:val="bottom"/>
            <w:hideMark/>
          </w:tcPr>
          <w:p w:rsidR="003A497B" w:rsidRPr="00024066" w:rsidRDefault="003A497B" w:rsidP="003E1809">
            <w:pPr>
              <w:rPr>
                <w:rFonts w:ascii="Times New Roman" w:hAnsi="Times New Roman" w:cs="Times New Roman"/>
                <w:sz w:val="20"/>
                <w:szCs w:val="20"/>
                <w:lang w:eastAsia="sk-SK"/>
              </w:rPr>
            </w:pPr>
          </w:p>
        </w:tc>
        <w:tc>
          <w:tcPr>
            <w:tcW w:w="918" w:type="dxa"/>
            <w:tcBorders>
              <w:top w:val="nil"/>
              <w:left w:val="nil"/>
              <w:bottom w:val="nil"/>
              <w:right w:val="nil"/>
            </w:tcBorders>
            <w:shd w:val="clear" w:color="auto" w:fill="auto"/>
            <w:noWrap/>
            <w:vAlign w:val="bottom"/>
            <w:hideMark/>
          </w:tcPr>
          <w:p w:rsidR="003A497B" w:rsidRPr="00024066" w:rsidRDefault="003A497B" w:rsidP="003E1809">
            <w:pPr>
              <w:rPr>
                <w:rFonts w:ascii="Times New Roman" w:hAnsi="Times New Roman" w:cs="Times New Roman"/>
                <w:sz w:val="20"/>
                <w:szCs w:val="20"/>
                <w:lang w:eastAsia="sk-SK"/>
              </w:rPr>
            </w:pPr>
          </w:p>
        </w:tc>
        <w:tc>
          <w:tcPr>
            <w:tcW w:w="918" w:type="dxa"/>
            <w:tcBorders>
              <w:top w:val="nil"/>
              <w:left w:val="nil"/>
              <w:bottom w:val="nil"/>
              <w:right w:val="nil"/>
            </w:tcBorders>
            <w:shd w:val="clear" w:color="auto" w:fill="auto"/>
            <w:noWrap/>
            <w:vAlign w:val="bottom"/>
            <w:hideMark/>
          </w:tcPr>
          <w:p w:rsidR="003A497B" w:rsidRPr="00024066" w:rsidRDefault="003A497B" w:rsidP="003E1809">
            <w:pPr>
              <w:rPr>
                <w:rFonts w:ascii="Times New Roman" w:hAnsi="Times New Roman" w:cs="Times New Roman"/>
                <w:sz w:val="20"/>
                <w:szCs w:val="20"/>
                <w:lang w:eastAsia="sk-SK"/>
              </w:rPr>
            </w:pPr>
          </w:p>
        </w:tc>
        <w:tc>
          <w:tcPr>
            <w:tcW w:w="918" w:type="dxa"/>
            <w:tcBorders>
              <w:top w:val="nil"/>
              <w:left w:val="nil"/>
              <w:bottom w:val="nil"/>
              <w:right w:val="nil"/>
            </w:tcBorders>
            <w:shd w:val="clear" w:color="auto" w:fill="auto"/>
            <w:noWrap/>
            <w:vAlign w:val="bottom"/>
            <w:hideMark/>
          </w:tcPr>
          <w:p w:rsidR="003A497B" w:rsidRPr="00024066" w:rsidRDefault="003A497B" w:rsidP="003E1809">
            <w:pPr>
              <w:rPr>
                <w:rFonts w:ascii="Times New Roman" w:hAnsi="Times New Roman" w:cs="Times New Roman"/>
                <w:sz w:val="20"/>
                <w:szCs w:val="20"/>
                <w:lang w:eastAsia="sk-SK"/>
              </w:rPr>
            </w:pPr>
          </w:p>
        </w:tc>
        <w:tc>
          <w:tcPr>
            <w:tcW w:w="918" w:type="dxa"/>
            <w:tcBorders>
              <w:top w:val="nil"/>
              <w:left w:val="nil"/>
              <w:bottom w:val="nil"/>
              <w:right w:val="nil"/>
            </w:tcBorders>
            <w:shd w:val="clear" w:color="auto" w:fill="auto"/>
            <w:noWrap/>
            <w:vAlign w:val="bottom"/>
            <w:hideMark/>
          </w:tcPr>
          <w:p w:rsidR="003A497B" w:rsidRPr="00024066" w:rsidRDefault="003A497B" w:rsidP="003E1809">
            <w:pPr>
              <w:rPr>
                <w:rFonts w:ascii="Times New Roman" w:hAnsi="Times New Roman" w:cs="Times New Roman"/>
                <w:sz w:val="20"/>
                <w:szCs w:val="20"/>
                <w:lang w:eastAsia="sk-SK"/>
              </w:rPr>
            </w:pPr>
          </w:p>
        </w:tc>
        <w:tc>
          <w:tcPr>
            <w:tcW w:w="918" w:type="dxa"/>
            <w:tcBorders>
              <w:top w:val="nil"/>
              <w:left w:val="nil"/>
              <w:bottom w:val="nil"/>
              <w:right w:val="nil"/>
            </w:tcBorders>
            <w:shd w:val="clear" w:color="auto" w:fill="auto"/>
            <w:noWrap/>
            <w:vAlign w:val="bottom"/>
            <w:hideMark/>
          </w:tcPr>
          <w:p w:rsidR="003A497B" w:rsidRPr="00024066" w:rsidRDefault="003A497B" w:rsidP="003E1809">
            <w:pPr>
              <w:rPr>
                <w:rFonts w:ascii="Times New Roman" w:hAnsi="Times New Roman" w:cs="Times New Roman"/>
                <w:sz w:val="20"/>
                <w:szCs w:val="20"/>
                <w:lang w:eastAsia="sk-SK"/>
              </w:rPr>
            </w:pPr>
          </w:p>
        </w:tc>
        <w:tc>
          <w:tcPr>
            <w:tcW w:w="918" w:type="dxa"/>
            <w:tcBorders>
              <w:top w:val="nil"/>
              <w:left w:val="nil"/>
              <w:bottom w:val="nil"/>
              <w:right w:val="nil"/>
            </w:tcBorders>
            <w:shd w:val="clear" w:color="auto" w:fill="auto"/>
            <w:noWrap/>
            <w:vAlign w:val="bottom"/>
            <w:hideMark/>
          </w:tcPr>
          <w:p w:rsidR="003A497B" w:rsidRPr="00024066" w:rsidRDefault="003A497B" w:rsidP="003E1809">
            <w:pPr>
              <w:rPr>
                <w:rFonts w:ascii="Times New Roman" w:hAnsi="Times New Roman" w:cs="Times New Roman"/>
                <w:sz w:val="20"/>
                <w:szCs w:val="20"/>
                <w:lang w:eastAsia="sk-SK"/>
              </w:rPr>
            </w:pPr>
          </w:p>
        </w:tc>
      </w:tr>
      <w:tr w:rsidR="003A497B" w:rsidRPr="00024066" w:rsidTr="003E1809">
        <w:trPr>
          <w:trHeight w:val="255"/>
        </w:trPr>
        <w:tc>
          <w:tcPr>
            <w:tcW w:w="2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497B" w:rsidRPr="00024066" w:rsidRDefault="003A497B" w:rsidP="003E1809">
            <w:pPr>
              <w:rPr>
                <w:rFonts w:ascii="Times New Roman" w:hAnsi="Times New Roman" w:cs="Times New Roman"/>
                <w:b/>
                <w:bCs/>
                <w:color w:val="000000"/>
                <w:sz w:val="14"/>
                <w:szCs w:val="14"/>
                <w:lang w:eastAsia="sk-SK"/>
              </w:rPr>
            </w:pPr>
            <w:r w:rsidRPr="00024066">
              <w:rPr>
                <w:rFonts w:ascii="Times New Roman" w:hAnsi="Times New Roman" w:cs="Times New Roman"/>
                <w:b/>
                <w:bCs/>
                <w:color w:val="000000"/>
                <w:sz w:val="14"/>
                <w:szCs w:val="14"/>
                <w:lang w:eastAsia="sk-SK"/>
              </w:rPr>
              <w:t xml:space="preserve">Samostatné účty </w:t>
            </w:r>
          </w:p>
        </w:tc>
        <w:tc>
          <w:tcPr>
            <w:tcW w:w="918" w:type="dxa"/>
            <w:tcBorders>
              <w:top w:val="single" w:sz="4" w:space="0" w:color="auto"/>
              <w:left w:val="nil"/>
              <w:bottom w:val="single" w:sz="4" w:space="0" w:color="auto"/>
              <w:right w:val="single" w:sz="4" w:space="0" w:color="auto"/>
            </w:tcBorders>
            <w:shd w:val="clear" w:color="auto" w:fill="auto"/>
            <w:noWrap/>
            <w:vAlign w:val="bottom"/>
            <w:hideMark/>
          </w:tcPr>
          <w:p w:rsidR="003A497B" w:rsidRPr="00F967CD" w:rsidRDefault="003A497B" w:rsidP="003E1809">
            <w:pPr>
              <w:jc w:val="right"/>
              <w:rPr>
                <w:rFonts w:ascii="Times New Roman" w:hAnsi="Times New Roman" w:cs="Times New Roman"/>
                <w:b/>
                <w:color w:val="000000"/>
                <w:sz w:val="14"/>
                <w:szCs w:val="14"/>
                <w:lang w:eastAsia="sk-SK"/>
              </w:rPr>
            </w:pPr>
            <w:r w:rsidRPr="00F967CD">
              <w:rPr>
                <w:rFonts w:ascii="Times New Roman" w:hAnsi="Times New Roman" w:cs="Times New Roman"/>
                <w:b/>
                <w:color w:val="000000"/>
                <w:sz w:val="14"/>
                <w:szCs w:val="14"/>
                <w:lang w:eastAsia="sk-SK"/>
              </w:rPr>
              <w:t>78 000</w:t>
            </w:r>
          </w:p>
        </w:tc>
        <w:tc>
          <w:tcPr>
            <w:tcW w:w="918" w:type="dxa"/>
            <w:tcBorders>
              <w:top w:val="single" w:sz="4" w:space="0" w:color="auto"/>
              <w:left w:val="nil"/>
              <w:bottom w:val="single" w:sz="4" w:space="0" w:color="auto"/>
              <w:right w:val="single" w:sz="4" w:space="0" w:color="auto"/>
            </w:tcBorders>
            <w:shd w:val="clear" w:color="auto" w:fill="auto"/>
            <w:noWrap/>
            <w:vAlign w:val="bottom"/>
            <w:hideMark/>
          </w:tcPr>
          <w:p w:rsidR="003A497B" w:rsidRPr="00F967CD" w:rsidRDefault="003A497B" w:rsidP="003E1809">
            <w:pPr>
              <w:jc w:val="right"/>
              <w:rPr>
                <w:rFonts w:ascii="Times New Roman" w:hAnsi="Times New Roman" w:cs="Times New Roman"/>
                <w:b/>
                <w:color w:val="000000"/>
                <w:sz w:val="14"/>
                <w:szCs w:val="14"/>
                <w:lang w:eastAsia="sk-SK"/>
              </w:rPr>
            </w:pPr>
            <w:r w:rsidRPr="00F967CD">
              <w:rPr>
                <w:rFonts w:ascii="Times New Roman" w:hAnsi="Times New Roman" w:cs="Times New Roman"/>
                <w:b/>
                <w:color w:val="000000"/>
                <w:sz w:val="14"/>
                <w:szCs w:val="14"/>
                <w:lang w:eastAsia="sk-SK"/>
              </w:rPr>
              <w:t>165 000</w:t>
            </w:r>
          </w:p>
        </w:tc>
        <w:tc>
          <w:tcPr>
            <w:tcW w:w="918" w:type="dxa"/>
            <w:tcBorders>
              <w:top w:val="single" w:sz="4" w:space="0" w:color="auto"/>
              <w:left w:val="nil"/>
              <w:bottom w:val="single" w:sz="4" w:space="0" w:color="auto"/>
              <w:right w:val="single" w:sz="4" w:space="0" w:color="auto"/>
            </w:tcBorders>
            <w:shd w:val="clear" w:color="000000" w:fill="FFFFFF"/>
            <w:noWrap/>
            <w:vAlign w:val="bottom"/>
            <w:hideMark/>
          </w:tcPr>
          <w:p w:rsidR="003A497B" w:rsidRPr="00F967CD" w:rsidRDefault="003A497B" w:rsidP="003E1809">
            <w:pPr>
              <w:jc w:val="right"/>
              <w:rPr>
                <w:rFonts w:ascii="Times New Roman" w:hAnsi="Times New Roman" w:cs="Times New Roman"/>
                <w:b/>
                <w:color w:val="000000"/>
                <w:sz w:val="14"/>
                <w:szCs w:val="14"/>
                <w:lang w:eastAsia="sk-SK"/>
              </w:rPr>
            </w:pPr>
            <w:r w:rsidRPr="00F967CD">
              <w:rPr>
                <w:rFonts w:ascii="Times New Roman" w:hAnsi="Times New Roman" w:cs="Times New Roman"/>
                <w:b/>
                <w:color w:val="000000"/>
                <w:sz w:val="14"/>
                <w:szCs w:val="14"/>
                <w:lang w:eastAsia="sk-SK"/>
              </w:rPr>
              <w:t>0</w:t>
            </w:r>
          </w:p>
        </w:tc>
        <w:tc>
          <w:tcPr>
            <w:tcW w:w="918" w:type="dxa"/>
            <w:tcBorders>
              <w:top w:val="single" w:sz="4" w:space="0" w:color="auto"/>
              <w:left w:val="nil"/>
              <w:bottom w:val="single" w:sz="4" w:space="0" w:color="auto"/>
              <w:right w:val="single" w:sz="4" w:space="0" w:color="auto"/>
            </w:tcBorders>
            <w:shd w:val="clear" w:color="000000" w:fill="FFFFFF"/>
            <w:noWrap/>
            <w:vAlign w:val="bottom"/>
            <w:hideMark/>
          </w:tcPr>
          <w:p w:rsidR="003A497B" w:rsidRPr="00F967CD" w:rsidRDefault="003A497B" w:rsidP="003E1809">
            <w:pPr>
              <w:jc w:val="right"/>
              <w:rPr>
                <w:rFonts w:ascii="Times New Roman" w:hAnsi="Times New Roman" w:cs="Times New Roman"/>
                <w:b/>
                <w:color w:val="000000"/>
                <w:sz w:val="14"/>
                <w:szCs w:val="14"/>
                <w:lang w:eastAsia="sk-SK"/>
              </w:rPr>
            </w:pPr>
            <w:r w:rsidRPr="00F967CD">
              <w:rPr>
                <w:rFonts w:ascii="Times New Roman" w:hAnsi="Times New Roman" w:cs="Times New Roman"/>
                <w:b/>
                <w:color w:val="000000"/>
                <w:sz w:val="14"/>
                <w:szCs w:val="14"/>
                <w:lang w:eastAsia="sk-SK"/>
              </w:rPr>
              <w:t>0</w:t>
            </w:r>
          </w:p>
        </w:tc>
        <w:tc>
          <w:tcPr>
            <w:tcW w:w="918" w:type="dxa"/>
            <w:tcBorders>
              <w:top w:val="single" w:sz="4" w:space="0" w:color="auto"/>
              <w:left w:val="nil"/>
              <w:bottom w:val="single" w:sz="4" w:space="0" w:color="auto"/>
              <w:right w:val="single" w:sz="4" w:space="0" w:color="auto"/>
            </w:tcBorders>
            <w:shd w:val="clear" w:color="000000" w:fill="FFFFFF"/>
            <w:noWrap/>
            <w:vAlign w:val="bottom"/>
            <w:hideMark/>
          </w:tcPr>
          <w:p w:rsidR="003A497B" w:rsidRPr="00F967CD" w:rsidRDefault="003A497B" w:rsidP="003E1809">
            <w:pPr>
              <w:jc w:val="right"/>
              <w:rPr>
                <w:rFonts w:ascii="Times New Roman" w:hAnsi="Times New Roman" w:cs="Times New Roman"/>
                <w:b/>
                <w:color w:val="000000"/>
                <w:sz w:val="14"/>
                <w:szCs w:val="14"/>
                <w:lang w:eastAsia="sk-SK"/>
              </w:rPr>
            </w:pPr>
            <w:r w:rsidRPr="00F967CD">
              <w:rPr>
                <w:rFonts w:ascii="Times New Roman" w:hAnsi="Times New Roman" w:cs="Times New Roman"/>
                <w:b/>
                <w:color w:val="000000"/>
                <w:sz w:val="14"/>
                <w:szCs w:val="14"/>
                <w:lang w:eastAsia="sk-SK"/>
              </w:rPr>
              <w:t>0</w:t>
            </w:r>
          </w:p>
        </w:tc>
        <w:tc>
          <w:tcPr>
            <w:tcW w:w="918" w:type="dxa"/>
            <w:tcBorders>
              <w:top w:val="single" w:sz="4" w:space="0" w:color="auto"/>
              <w:left w:val="nil"/>
              <w:bottom w:val="single" w:sz="4" w:space="0" w:color="auto"/>
              <w:right w:val="single" w:sz="4" w:space="0" w:color="auto"/>
            </w:tcBorders>
            <w:shd w:val="clear" w:color="000000" w:fill="FFFFFF"/>
            <w:noWrap/>
            <w:vAlign w:val="bottom"/>
            <w:hideMark/>
          </w:tcPr>
          <w:p w:rsidR="003A497B" w:rsidRPr="00F967CD" w:rsidRDefault="003A497B" w:rsidP="003E1809">
            <w:pPr>
              <w:jc w:val="right"/>
              <w:rPr>
                <w:rFonts w:ascii="Times New Roman" w:hAnsi="Times New Roman" w:cs="Times New Roman"/>
                <w:b/>
                <w:color w:val="000000"/>
                <w:sz w:val="14"/>
                <w:szCs w:val="14"/>
                <w:lang w:eastAsia="sk-SK"/>
              </w:rPr>
            </w:pPr>
            <w:r w:rsidRPr="00F967CD">
              <w:rPr>
                <w:rFonts w:ascii="Times New Roman" w:hAnsi="Times New Roman" w:cs="Times New Roman"/>
                <w:b/>
                <w:color w:val="000000"/>
                <w:sz w:val="14"/>
                <w:szCs w:val="14"/>
                <w:lang w:eastAsia="sk-SK"/>
              </w:rPr>
              <w:t>0</w:t>
            </w:r>
          </w:p>
        </w:tc>
        <w:tc>
          <w:tcPr>
            <w:tcW w:w="918" w:type="dxa"/>
            <w:tcBorders>
              <w:top w:val="single" w:sz="4" w:space="0" w:color="auto"/>
              <w:left w:val="nil"/>
              <w:bottom w:val="single" w:sz="4" w:space="0" w:color="auto"/>
              <w:right w:val="single" w:sz="4" w:space="0" w:color="auto"/>
            </w:tcBorders>
            <w:shd w:val="clear" w:color="000000" w:fill="FFFFFF"/>
            <w:noWrap/>
            <w:vAlign w:val="bottom"/>
            <w:hideMark/>
          </w:tcPr>
          <w:p w:rsidR="003A497B" w:rsidRPr="00F967CD" w:rsidRDefault="003A497B" w:rsidP="003E1809">
            <w:pPr>
              <w:jc w:val="right"/>
              <w:rPr>
                <w:rFonts w:ascii="Times New Roman" w:hAnsi="Times New Roman" w:cs="Times New Roman"/>
                <w:b/>
                <w:color w:val="000000"/>
                <w:sz w:val="14"/>
                <w:szCs w:val="14"/>
                <w:lang w:eastAsia="sk-SK"/>
              </w:rPr>
            </w:pPr>
            <w:r w:rsidRPr="00F967CD">
              <w:rPr>
                <w:rFonts w:ascii="Times New Roman" w:hAnsi="Times New Roman" w:cs="Times New Roman"/>
                <w:b/>
                <w:color w:val="000000"/>
                <w:sz w:val="14"/>
                <w:szCs w:val="14"/>
                <w:lang w:eastAsia="sk-SK"/>
              </w:rPr>
              <w:t>0</w:t>
            </w:r>
          </w:p>
        </w:tc>
      </w:tr>
    </w:tbl>
    <w:p w:rsidR="003A497B" w:rsidRDefault="003A497B" w:rsidP="003A497B">
      <w:pPr>
        <w:jc w:val="both"/>
        <w:rPr>
          <w:rFonts w:ascii="Times New Roman" w:hAnsi="Times New Roman"/>
          <w:b/>
        </w:rPr>
      </w:pPr>
    </w:p>
    <w:p w:rsidR="003A497B" w:rsidRDefault="003A497B" w:rsidP="003A497B">
      <w:pPr>
        <w:ind w:firstLine="708"/>
        <w:jc w:val="both"/>
        <w:rPr>
          <w:rFonts w:ascii="Times New Roman" w:hAnsi="Times New Roman"/>
        </w:rPr>
      </w:pPr>
      <w:r w:rsidRPr="000138AC">
        <w:rPr>
          <w:rFonts w:ascii="Times New Roman" w:hAnsi="Times New Roman"/>
        </w:rPr>
        <w:t xml:space="preserve">Výdavky kapitoly Úradu geodézie, kartografie a katastra SR sa </w:t>
      </w:r>
      <w:r>
        <w:rPr>
          <w:rFonts w:ascii="Times New Roman" w:hAnsi="Times New Roman"/>
        </w:rPr>
        <w:t xml:space="preserve">na rok 2019 navrhujú vo výške 22,2 mil. eur, čo v porovnaní so schváleným rozpočtom na rok 2018 predstavuje nárast o 238 tis. eur, t. j. o 1,08 %. Uvedený nárast je spôsobený zvýšením osobných výdavkov z dôvodu valorizácie v roku 2018. </w:t>
      </w:r>
    </w:p>
    <w:p w:rsidR="003A497B" w:rsidRPr="000138AC" w:rsidRDefault="003A497B" w:rsidP="003A497B">
      <w:pPr>
        <w:jc w:val="both"/>
        <w:rPr>
          <w:rFonts w:ascii="Times New Roman" w:hAnsi="Times New Roman"/>
        </w:rPr>
      </w:pPr>
    </w:p>
    <w:p w:rsidR="003A497B" w:rsidRPr="00052306" w:rsidRDefault="003A497B" w:rsidP="003A497B">
      <w:pPr>
        <w:jc w:val="both"/>
        <w:rPr>
          <w:rFonts w:ascii="Times New Roman" w:hAnsi="Times New Roman"/>
        </w:rPr>
      </w:pPr>
      <w:r>
        <w:rPr>
          <w:rFonts w:ascii="Times New Roman" w:hAnsi="Times New Roman"/>
        </w:rPr>
        <w:tab/>
      </w:r>
      <w:r w:rsidRPr="000138AC">
        <w:rPr>
          <w:rFonts w:ascii="Times New Roman" w:hAnsi="Times New Roman"/>
        </w:rPr>
        <w:t>Osobné výdavky sa na rok 201</w:t>
      </w:r>
      <w:r>
        <w:rPr>
          <w:rFonts w:ascii="Times New Roman" w:hAnsi="Times New Roman"/>
        </w:rPr>
        <w:t>9</w:t>
      </w:r>
      <w:r w:rsidRPr="000138AC">
        <w:rPr>
          <w:rFonts w:ascii="Times New Roman" w:hAnsi="Times New Roman"/>
        </w:rPr>
        <w:t xml:space="preserve"> rozpočtujú v sume </w:t>
      </w:r>
      <w:r>
        <w:rPr>
          <w:rFonts w:ascii="Times New Roman" w:hAnsi="Times New Roman"/>
        </w:rPr>
        <w:t xml:space="preserve">4,77 </w:t>
      </w:r>
      <w:r w:rsidRPr="000138AC">
        <w:rPr>
          <w:rFonts w:ascii="Times New Roman" w:hAnsi="Times New Roman"/>
        </w:rPr>
        <w:t xml:space="preserve">mil. eur, čo v porovnaní </w:t>
      </w:r>
      <w:r w:rsidRPr="000138AC">
        <w:rPr>
          <w:rFonts w:ascii="Times New Roman" w:hAnsi="Times New Roman"/>
        </w:rPr>
        <w:br/>
        <w:t>so schváleným rozpočtom roku 201</w:t>
      </w:r>
      <w:r>
        <w:rPr>
          <w:rFonts w:ascii="Times New Roman" w:hAnsi="Times New Roman"/>
        </w:rPr>
        <w:t>8</w:t>
      </w:r>
      <w:r w:rsidRPr="000138AC">
        <w:rPr>
          <w:rFonts w:ascii="Times New Roman" w:hAnsi="Times New Roman"/>
        </w:rPr>
        <w:t xml:space="preserve"> predstavuje </w:t>
      </w:r>
      <w:r>
        <w:rPr>
          <w:rFonts w:ascii="Times New Roman" w:hAnsi="Times New Roman"/>
        </w:rPr>
        <w:t>nárast</w:t>
      </w:r>
      <w:r w:rsidRPr="000138AC">
        <w:rPr>
          <w:rFonts w:ascii="Times New Roman" w:hAnsi="Times New Roman"/>
        </w:rPr>
        <w:t xml:space="preserve"> o</w:t>
      </w:r>
      <w:r>
        <w:rPr>
          <w:rFonts w:ascii="Times New Roman" w:hAnsi="Times New Roman"/>
        </w:rPr>
        <w:t> 241</w:t>
      </w:r>
      <w:r w:rsidRPr="001B5907">
        <w:rPr>
          <w:rFonts w:ascii="Times New Roman" w:hAnsi="Times New Roman"/>
        </w:rPr>
        <w:t xml:space="preserve"> </w:t>
      </w:r>
      <w:r>
        <w:rPr>
          <w:rFonts w:ascii="Times New Roman" w:hAnsi="Times New Roman"/>
        </w:rPr>
        <w:t>tis</w:t>
      </w:r>
      <w:r w:rsidRPr="000138AC">
        <w:rPr>
          <w:rFonts w:ascii="Times New Roman" w:hAnsi="Times New Roman"/>
        </w:rPr>
        <w:t>. eur, t. j. o</w:t>
      </w:r>
      <w:r>
        <w:rPr>
          <w:rFonts w:ascii="Times New Roman" w:hAnsi="Times New Roman"/>
        </w:rPr>
        <w:t xml:space="preserve"> 5,31 %. </w:t>
      </w:r>
      <w:r>
        <w:rPr>
          <w:rFonts w:ascii="Times New Roman" w:hAnsi="Times New Roman"/>
        </w:rPr>
        <w:br/>
        <w:t>Uvedenú zmenu ovplyvnilo najmä premietnutie valorizácie platov zamestnancov z roku 2018 do nasledujúcich rokov.</w:t>
      </w:r>
    </w:p>
    <w:p w:rsidR="003A497B" w:rsidRPr="00EF0807" w:rsidRDefault="003A497B" w:rsidP="003A497B">
      <w:pPr>
        <w:shd w:val="clear" w:color="auto" w:fill="FFFFFF"/>
        <w:ind w:firstLine="708"/>
        <w:jc w:val="both"/>
        <w:rPr>
          <w:rFonts w:ascii="Times New Roman" w:hAnsi="Times New Roman" w:cs="Times New Roman"/>
        </w:rPr>
      </w:pPr>
    </w:p>
    <w:p w:rsidR="003A497B" w:rsidRDefault="003A497B" w:rsidP="003A497B">
      <w:pPr>
        <w:jc w:val="both"/>
        <w:rPr>
          <w:rFonts w:ascii="Times New Roman" w:hAnsi="Times New Roman"/>
        </w:rPr>
      </w:pPr>
      <w:r>
        <w:rPr>
          <w:rFonts w:ascii="Times New Roman" w:hAnsi="Times New Roman"/>
        </w:rPr>
        <w:tab/>
      </w:r>
      <w:r w:rsidRPr="000138AC">
        <w:rPr>
          <w:rFonts w:ascii="Times New Roman" w:hAnsi="Times New Roman"/>
        </w:rPr>
        <w:t xml:space="preserve">Výdavky na tovary a služby sú rozpočtované v sume </w:t>
      </w:r>
      <w:r>
        <w:rPr>
          <w:rFonts w:ascii="Times New Roman" w:hAnsi="Times New Roman"/>
        </w:rPr>
        <w:t>14,4 mil. eur a oproti</w:t>
      </w:r>
      <w:r w:rsidRPr="000138AC">
        <w:rPr>
          <w:rFonts w:ascii="Times New Roman" w:hAnsi="Times New Roman"/>
        </w:rPr>
        <w:t xml:space="preserve"> </w:t>
      </w:r>
      <w:r w:rsidRPr="000138AC">
        <w:rPr>
          <w:rFonts w:ascii="Times New Roman" w:hAnsi="Times New Roman"/>
        </w:rPr>
        <w:br/>
      </w:r>
      <w:r>
        <w:rPr>
          <w:rFonts w:ascii="Times New Roman" w:hAnsi="Times New Roman"/>
        </w:rPr>
        <w:t>schválené</w:t>
      </w:r>
      <w:r w:rsidRPr="000138AC">
        <w:rPr>
          <w:rFonts w:ascii="Times New Roman" w:hAnsi="Times New Roman"/>
        </w:rPr>
        <w:t>m</w:t>
      </w:r>
      <w:r>
        <w:rPr>
          <w:rFonts w:ascii="Times New Roman" w:hAnsi="Times New Roman"/>
        </w:rPr>
        <w:t>u</w:t>
      </w:r>
      <w:r w:rsidRPr="000138AC">
        <w:rPr>
          <w:rFonts w:ascii="Times New Roman" w:hAnsi="Times New Roman"/>
        </w:rPr>
        <w:t xml:space="preserve"> rozpočt</w:t>
      </w:r>
      <w:r>
        <w:rPr>
          <w:rFonts w:ascii="Times New Roman" w:hAnsi="Times New Roman"/>
        </w:rPr>
        <w:t>u</w:t>
      </w:r>
      <w:r w:rsidRPr="000138AC">
        <w:rPr>
          <w:rFonts w:ascii="Times New Roman" w:hAnsi="Times New Roman"/>
        </w:rPr>
        <w:t xml:space="preserve"> roku 201</w:t>
      </w:r>
      <w:r>
        <w:rPr>
          <w:rFonts w:ascii="Times New Roman" w:hAnsi="Times New Roman"/>
        </w:rPr>
        <w:t>8</w:t>
      </w:r>
      <w:r w:rsidRPr="000138AC">
        <w:rPr>
          <w:rFonts w:ascii="Times New Roman" w:hAnsi="Times New Roman"/>
        </w:rPr>
        <w:t xml:space="preserve"> </w:t>
      </w:r>
      <w:r>
        <w:rPr>
          <w:rFonts w:ascii="Times New Roman" w:hAnsi="Times New Roman"/>
        </w:rPr>
        <w:t>klesajú</w:t>
      </w:r>
      <w:r w:rsidRPr="000138AC">
        <w:rPr>
          <w:rFonts w:ascii="Times New Roman" w:hAnsi="Times New Roman"/>
        </w:rPr>
        <w:t xml:space="preserve"> o</w:t>
      </w:r>
      <w:r>
        <w:rPr>
          <w:rFonts w:ascii="Times New Roman" w:hAnsi="Times New Roman"/>
        </w:rPr>
        <w:t> 518 tis.</w:t>
      </w:r>
      <w:r w:rsidRPr="000138AC">
        <w:rPr>
          <w:rFonts w:ascii="Times New Roman" w:hAnsi="Times New Roman"/>
        </w:rPr>
        <w:t xml:space="preserve"> eur, t. j. o</w:t>
      </w:r>
      <w:r>
        <w:rPr>
          <w:rFonts w:ascii="Times New Roman" w:hAnsi="Times New Roman"/>
        </w:rPr>
        <w:t> 3,47 % v dôsledku zvýšenia rozpočtových zdrojov na kapitálové výdavky.</w:t>
      </w:r>
    </w:p>
    <w:p w:rsidR="003A497B" w:rsidRDefault="003A497B" w:rsidP="003A497B">
      <w:pPr>
        <w:jc w:val="both"/>
        <w:rPr>
          <w:rFonts w:ascii="Times New Roman" w:hAnsi="Times New Roman"/>
        </w:rPr>
      </w:pPr>
    </w:p>
    <w:p w:rsidR="003A497B" w:rsidRPr="00CE6D2F" w:rsidRDefault="003A497B" w:rsidP="003A497B">
      <w:pPr>
        <w:jc w:val="both"/>
        <w:rPr>
          <w:rFonts w:ascii="Times New Roman" w:hAnsi="Times New Roman"/>
        </w:rPr>
      </w:pPr>
      <w:r>
        <w:rPr>
          <w:rFonts w:ascii="Times New Roman" w:hAnsi="Times New Roman"/>
        </w:rPr>
        <w:tab/>
        <w:t>Výdavky na b</w:t>
      </w:r>
      <w:r w:rsidRPr="00CE6D2F">
        <w:rPr>
          <w:rFonts w:ascii="Times New Roman" w:hAnsi="Times New Roman"/>
        </w:rPr>
        <w:t xml:space="preserve">ežné transfery </w:t>
      </w:r>
      <w:r>
        <w:rPr>
          <w:rFonts w:ascii="Times New Roman" w:hAnsi="Times New Roman"/>
        </w:rPr>
        <w:t xml:space="preserve">v roku 2019 v sume 665 tis. eur v porovnaní so schváleným rozpočtom roku 2018 klesajú o 35 tis. eur, čo predstavuje pokles o 5 %. </w:t>
      </w:r>
      <w:r w:rsidRPr="00504117">
        <w:rPr>
          <w:rFonts w:ascii="Times New Roman" w:hAnsi="Times New Roman"/>
        </w:rPr>
        <w:t>Uvedené výdavky sú rozpočtované na nemocenské dávky platené zamestnávateľom, príspevok medzinárodnej organizácii, poplatok za členstvo v medzinárodných organizáciách a transfer príspevkovej organizácii.</w:t>
      </w:r>
    </w:p>
    <w:p w:rsidR="003A497B" w:rsidRPr="0015412D" w:rsidRDefault="003A497B" w:rsidP="003A497B">
      <w:pPr>
        <w:jc w:val="both"/>
        <w:rPr>
          <w:rFonts w:ascii="Times New Roman" w:hAnsi="Times New Roman"/>
        </w:rPr>
      </w:pPr>
    </w:p>
    <w:p w:rsidR="003A497B" w:rsidRPr="00504117" w:rsidRDefault="003A497B" w:rsidP="003A497B">
      <w:pPr>
        <w:ind w:firstLine="708"/>
        <w:jc w:val="both"/>
        <w:rPr>
          <w:rFonts w:ascii="Times New Roman" w:hAnsi="Times New Roman"/>
        </w:rPr>
      </w:pPr>
      <w:r w:rsidRPr="0015412D">
        <w:rPr>
          <w:rFonts w:ascii="Times New Roman" w:hAnsi="Times New Roman"/>
        </w:rPr>
        <w:t xml:space="preserve">Kapitálové výdavky </w:t>
      </w:r>
      <w:r>
        <w:rPr>
          <w:rFonts w:ascii="Times New Roman" w:hAnsi="Times New Roman"/>
        </w:rPr>
        <w:t xml:space="preserve">sa na rok 2019 rozpočtujú vo výške 2,45 mil. eur a medziročne rastú o 550 tis. eur, t. j. o 29,5 % v dôsledku vnútorného presunu z bežných výdavkov. Uvedené výdavky sú určené </w:t>
      </w:r>
      <w:r w:rsidRPr="00504117">
        <w:rPr>
          <w:rFonts w:ascii="Times New Roman" w:hAnsi="Times New Roman"/>
        </w:rPr>
        <w:t>na zabezpečenie digitálneho modelu terénu leteckým laserovým skenova</w:t>
      </w:r>
      <w:r>
        <w:rPr>
          <w:rFonts w:ascii="Times New Roman" w:hAnsi="Times New Roman"/>
        </w:rPr>
        <w:t>ním v objeme 900 tis. eur, na výdavky vyplývajúce</w:t>
      </w:r>
      <w:r w:rsidRPr="00504117">
        <w:rPr>
          <w:rFonts w:ascii="Times New Roman" w:hAnsi="Times New Roman"/>
        </w:rPr>
        <w:t xml:space="preserve"> z rámcovej zmluvy na poskytovanie služieb rozvoja ZB GIS v sume 500 tis. eur, ako aj na rekonštrukciu a modernizáciu stavieb v správe kapitoly v sume 450 tis. eur, obstaranie pre</w:t>
      </w:r>
      <w:r>
        <w:rPr>
          <w:rFonts w:ascii="Times New Roman" w:hAnsi="Times New Roman"/>
        </w:rPr>
        <w:t xml:space="preserve">vádzkových strojov a zariadení v sume </w:t>
      </w:r>
      <w:r>
        <w:rPr>
          <w:rFonts w:ascii="Times New Roman" w:hAnsi="Times New Roman"/>
        </w:rPr>
        <w:br/>
        <w:t>350 tis. eur a</w:t>
      </w:r>
      <w:r w:rsidRPr="00504117">
        <w:rPr>
          <w:rFonts w:ascii="Times New Roman" w:hAnsi="Times New Roman"/>
        </w:rPr>
        <w:t xml:space="preserve"> hardvéru a softvéru z dôvodu ich nevyhnutnej obnovy v celkovej sume </w:t>
      </w:r>
      <w:r w:rsidR="009B395B">
        <w:rPr>
          <w:rFonts w:ascii="Times New Roman" w:hAnsi="Times New Roman"/>
        </w:rPr>
        <w:br/>
      </w:r>
      <w:r w:rsidRPr="00504117">
        <w:rPr>
          <w:rFonts w:ascii="Times New Roman" w:hAnsi="Times New Roman"/>
        </w:rPr>
        <w:t xml:space="preserve">250 tis. </w:t>
      </w:r>
      <w:r w:rsidR="009B395B">
        <w:rPr>
          <w:rFonts w:ascii="Times New Roman" w:hAnsi="Times New Roman"/>
        </w:rPr>
        <w:t>eur</w:t>
      </w:r>
      <w:r w:rsidRPr="00504117">
        <w:rPr>
          <w:rFonts w:ascii="Times New Roman" w:hAnsi="Times New Roman"/>
        </w:rPr>
        <w:t>.</w:t>
      </w:r>
    </w:p>
    <w:p w:rsidR="003A497B" w:rsidRDefault="003A497B" w:rsidP="003A497B">
      <w:pPr>
        <w:rPr>
          <w:highlight w:val="yellow"/>
        </w:rPr>
      </w:pPr>
    </w:p>
    <w:p w:rsidR="00EE1354" w:rsidRDefault="00EE1354" w:rsidP="003A497B">
      <w:pPr>
        <w:rPr>
          <w:highlight w:val="yellow"/>
        </w:rPr>
      </w:pPr>
    </w:p>
    <w:p w:rsidR="00EE1354" w:rsidRDefault="00EE1354" w:rsidP="003A497B">
      <w:pPr>
        <w:rPr>
          <w:highlight w:val="yellow"/>
        </w:rPr>
      </w:pPr>
    </w:p>
    <w:p w:rsidR="00EE1354" w:rsidRDefault="00EE1354" w:rsidP="003A497B">
      <w:pPr>
        <w:rPr>
          <w:highlight w:val="yellow"/>
        </w:rPr>
      </w:pPr>
    </w:p>
    <w:p w:rsidR="00EE1354" w:rsidRPr="004A3627" w:rsidRDefault="00EE1354" w:rsidP="003A497B">
      <w:pPr>
        <w:rPr>
          <w:highlight w:val="yellow"/>
        </w:rPr>
      </w:pPr>
    </w:p>
    <w:p w:rsidR="003A497B" w:rsidRPr="00912A7B" w:rsidRDefault="003A497B" w:rsidP="003A497B">
      <w:pPr>
        <w:pStyle w:val="Nadpis5"/>
        <w:pBdr>
          <w:bottom w:val="single" w:sz="4" w:space="1" w:color="auto"/>
        </w:pBdr>
        <w:ind w:left="0"/>
        <w:rPr>
          <w:i w:val="0"/>
          <w:sz w:val="24"/>
          <w:lang w:eastAsia="sk-SK"/>
        </w:rPr>
      </w:pPr>
      <w:bookmarkStart w:id="264" w:name="_Toc494470114"/>
      <w:bookmarkStart w:id="265" w:name="_Toc494472290"/>
      <w:bookmarkStart w:id="266" w:name="_Toc526267715"/>
      <w:r w:rsidRPr="00912A7B">
        <w:rPr>
          <w:i w:val="0"/>
          <w:sz w:val="24"/>
          <w:lang w:eastAsia="sk-SK"/>
        </w:rPr>
        <w:lastRenderedPageBreak/>
        <w:t>Štatistický úrad SR</w:t>
      </w:r>
      <w:bookmarkEnd w:id="264"/>
      <w:bookmarkEnd w:id="265"/>
      <w:bookmarkEnd w:id="266"/>
    </w:p>
    <w:p w:rsidR="003A497B" w:rsidRDefault="003A497B" w:rsidP="003A497B">
      <w:pPr>
        <w:autoSpaceDE w:val="0"/>
        <w:autoSpaceDN w:val="0"/>
        <w:jc w:val="both"/>
        <w:rPr>
          <w:rFonts w:ascii="Times New Roman" w:hAnsi="Times New Roman" w:cs="Times New Roman"/>
          <w:color w:val="000000"/>
          <w:sz w:val="14"/>
          <w:szCs w:val="14"/>
          <w:lang w:eastAsia="sk-SK"/>
        </w:rPr>
      </w:pPr>
      <w:bookmarkStart w:id="267" w:name="_Toc494470115"/>
      <w:bookmarkStart w:id="268" w:name="_Toc494472291"/>
    </w:p>
    <w:p w:rsidR="00EE1354" w:rsidRDefault="00EE1354" w:rsidP="003A497B">
      <w:pPr>
        <w:autoSpaceDE w:val="0"/>
        <w:autoSpaceDN w:val="0"/>
        <w:jc w:val="both"/>
        <w:rPr>
          <w:rFonts w:ascii="Times New Roman" w:hAnsi="Times New Roman" w:cs="Times New Roman"/>
          <w:color w:val="000000"/>
          <w:sz w:val="14"/>
          <w:szCs w:val="14"/>
          <w:lang w:eastAsia="sk-SK"/>
        </w:rPr>
      </w:pPr>
    </w:p>
    <w:tbl>
      <w:tblPr>
        <w:tblW w:w="5000" w:type="pct"/>
        <w:tblCellMar>
          <w:left w:w="70" w:type="dxa"/>
          <w:right w:w="70" w:type="dxa"/>
        </w:tblCellMar>
        <w:tblLook w:val="04A0" w:firstRow="1" w:lastRow="0" w:firstColumn="1" w:lastColumn="0" w:noHBand="0" w:noVBand="1"/>
      </w:tblPr>
      <w:tblGrid>
        <w:gridCol w:w="2598"/>
        <w:gridCol w:w="934"/>
        <w:gridCol w:w="934"/>
        <w:gridCol w:w="934"/>
        <w:gridCol w:w="933"/>
        <w:gridCol w:w="933"/>
        <w:gridCol w:w="933"/>
        <w:gridCol w:w="863"/>
      </w:tblGrid>
      <w:tr w:rsidR="003A497B" w:rsidTr="003E1809">
        <w:trPr>
          <w:trHeight w:val="259"/>
        </w:trPr>
        <w:tc>
          <w:tcPr>
            <w:tcW w:w="1433"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Default="003A497B" w:rsidP="003E1809">
            <w:pPr>
              <w:spacing w:line="276" w:lineRule="auto"/>
              <w:rPr>
                <w:rFonts w:ascii="Times New Roman" w:hAnsi="Times New Roman" w:cs="Times New Roman"/>
                <w:b/>
                <w:bCs/>
                <w:color w:val="000000"/>
                <w:sz w:val="14"/>
                <w:szCs w:val="14"/>
              </w:rPr>
            </w:pPr>
            <w:r>
              <w:rPr>
                <w:rFonts w:ascii="Times New Roman" w:hAnsi="Times New Roman" w:cs="Times New Roman"/>
                <w:color w:val="000000"/>
                <w:sz w:val="14"/>
                <w:szCs w:val="14"/>
              </w:rPr>
              <w:br w:type="page"/>
            </w:r>
            <w:r>
              <w:rPr>
                <w:rFonts w:ascii="Times New Roman" w:hAnsi="Times New Roman" w:cs="Times New Roman"/>
                <w:b/>
                <w:bCs/>
                <w:color w:val="000000"/>
                <w:sz w:val="14"/>
                <w:szCs w:val="14"/>
              </w:rPr>
              <w:t> v eurách</w:t>
            </w:r>
          </w:p>
        </w:tc>
        <w:tc>
          <w:tcPr>
            <w:tcW w:w="515"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Default="003A497B" w:rsidP="003E1809">
            <w:pPr>
              <w:spacing w:line="276"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2016 S</w:t>
            </w:r>
          </w:p>
        </w:tc>
        <w:tc>
          <w:tcPr>
            <w:tcW w:w="515"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Default="003A497B" w:rsidP="003E1809">
            <w:pPr>
              <w:spacing w:line="276" w:lineRule="auto"/>
              <w:jc w:val="center"/>
              <w:rPr>
                <w:rFonts w:ascii="Times New Roman" w:hAnsi="Times New Roman" w:cs="Times New Roman"/>
                <w:b/>
                <w:bCs/>
                <w:color w:val="000000"/>
                <w:sz w:val="14"/>
                <w:szCs w:val="14"/>
                <w:highlight w:val="yellow"/>
              </w:rPr>
            </w:pPr>
            <w:r>
              <w:rPr>
                <w:rFonts w:ascii="Times New Roman" w:hAnsi="Times New Roman" w:cs="Times New Roman"/>
                <w:b/>
                <w:bCs/>
                <w:color w:val="000000"/>
                <w:sz w:val="14"/>
                <w:szCs w:val="14"/>
              </w:rPr>
              <w:t xml:space="preserve">2017 S </w:t>
            </w:r>
          </w:p>
        </w:tc>
        <w:tc>
          <w:tcPr>
            <w:tcW w:w="515"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Default="003A497B" w:rsidP="003E1809">
            <w:pPr>
              <w:spacing w:line="276"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2018 R</w:t>
            </w:r>
          </w:p>
        </w:tc>
        <w:tc>
          <w:tcPr>
            <w:tcW w:w="515"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Default="003A497B" w:rsidP="003E1809">
            <w:pPr>
              <w:spacing w:line="276"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2018 OS</w:t>
            </w:r>
          </w:p>
        </w:tc>
        <w:tc>
          <w:tcPr>
            <w:tcW w:w="515"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Default="003A497B" w:rsidP="003E1809">
            <w:pPr>
              <w:spacing w:line="276"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2019 N</w:t>
            </w:r>
          </w:p>
        </w:tc>
        <w:tc>
          <w:tcPr>
            <w:tcW w:w="515"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Default="003A497B" w:rsidP="003E1809">
            <w:pPr>
              <w:spacing w:line="276"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2020 N</w:t>
            </w:r>
          </w:p>
        </w:tc>
        <w:tc>
          <w:tcPr>
            <w:tcW w:w="476"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Default="003A497B" w:rsidP="003E1809">
            <w:pPr>
              <w:spacing w:line="276"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2021 N</w:t>
            </w:r>
          </w:p>
        </w:tc>
      </w:tr>
      <w:tr w:rsidR="003A497B" w:rsidTr="003E1809">
        <w:trPr>
          <w:trHeight w:val="259"/>
        </w:trPr>
        <w:tc>
          <w:tcPr>
            <w:tcW w:w="1433"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A497B" w:rsidRDefault="003A497B" w:rsidP="003E1809">
            <w:pPr>
              <w:spacing w:line="276" w:lineRule="auto"/>
              <w:rPr>
                <w:rFonts w:ascii="Times New Roman" w:hAnsi="Times New Roman" w:cs="Times New Roman"/>
                <w:b/>
                <w:bCs/>
                <w:color w:val="000000"/>
                <w:sz w:val="14"/>
                <w:szCs w:val="14"/>
              </w:rPr>
            </w:pPr>
            <w:r>
              <w:rPr>
                <w:rFonts w:ascii="Times New Roman" w:hAnsi="Times New Roman" w:cs="Times New Roman"/>
                <w:b/>
                <w:bCs/>
                <w:color w:val="000000"/>
                <w:sz w:val="14"/>
                <w:szCs w:val="14"/>
              </w:rPr>
              <w:t>Zdroje príslušnej kapitoly vrátane 72e</w:t>
            </w:r>
          </w:p>
        </w:tc>
        <w:tc>
          <w:tcPr>
            <w:tcW w:w="515"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Default="003A497B" w:rsidP="003E1809">
            <w:pPr>
              <w:spacing w:line="276" w:lineRule="auto"/>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21 731 653</w:t>
            </w:r>
          </w:p>
        </w:tc>
        <w:tc>
          <w:tcPr>
            <w:tcW w:w="515"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Default="003A497B" w:rsidP="003E1809">
            <w:pPr>
              <w:spacing w:line="276" w:lineRule="auto"/>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23 688 397</w:t>
            </w:r>
          </w:p>
        </w:tc>
        <w:tc>
          <w:tcPr>
            <w:tcW w:w="515"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Default="003A497B" w:rsidP="003E1809">
            <w:pPr>
              <w:spacing w:line="276" w:lineRule="auto"/>
              <w:jc w:val="right"/>
              <w:rPr>
                <w:rFonts w:ascii="Times New Roman" w:hAnsi="Times New Roman" w:cs="Times New Roman"/>
                <w:b/>
                <w:bCs/>
                <w:color w:val="000000"/>
                <w:sz w:val="14"/>
                <w:szCs w:val="14"/>
                <w:highlight w:val="yellow"/>
              </w:rPr>
            </w:pPr>
            <w:r>
              <w:rPr>
                <w:rFonts w:ascii="Times New Roman" w:hAnsi="Times New Roman" w:cs="Times New Roman"/>
                <w:b/>
                <w:bCs/>
                <w:color w:val="000000"/>
                <w:sz w:val="14"/>
                <w:szCs w:val="14"/>
              </w:rPr>
              <w:t>22 055 568</w:t>
            </w:r>
          </w:p>
        </w:tc>
        <w:tc>
          <w:tcPr>
            <w:tcW w:w="515"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Default="003A497B" w:rsidP="003E1809">
            <w:pPr>
              <w:spacing w:line="276" w:lineRule="auto"/>
              <w:jc w:val="right"/>
              <w:rPr>
                <w:rFonts w:ascii="Times New Roman" w:hAnsi="Times New Roman" w:cs="Times New Roman"/>
                <w:b/>
                <w:bCs/>
                <w:color w:val="000000"/>
                <w:sz w:val="14"/>
                <w:szCs w:val="14"/>
                <w:highlight w:val="yellow"/>
              </w:rPr>
            </w:pPr>
            <w:r>
              <w:rPr>
                <w:rFonts w:ascii="Times New Roman" w:hAnsi="Times New Roman" w:cs="Times New Roman"/>
                <w:b/>
                <w:bCs/>
                <w:color w:val="000000"/>
                <w:sz w:val="14"/>
                <w:szCs w:val="14"/>
              </w:rPr>
              <w:t>24 001 971</w:t>
            </w:r>
          </w:p>
        </w:tc>
        <w:tc>
          <w:tcPr>
            <w:tcW w:w="515"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Default="003A497B" w:rsidP="003E1809">
            <w:pPr>
              <w:spacing w:line="276" w:lineRule="auto"/>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32 931 511</w:t>
            </w:r>
          </w:p>
        </w:tc>
        <w:tc>
          <w:tcPr>
            <w:tcW w:w="515"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Default="003A497B" w:rsidP="003E1809">
            <w:pPr>
              <w:spacing w:line="276" w:lineRule="auto"/>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32 015 801</w:t>
            </w:r>
          </w:p>
        </w:tc>
        <w:tc>
          <w:tcPr>
            <w:tcW w:w="476"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Default="003A497B" w:rsidP="003E1809">
            <w:pPr>
              <w:spacing w:line="276" w:lineRule="auto"/>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30 156 101</w:t>
            </w:r>
          </w:p>
        </w:tc>
      </w:tr>
      <w:tr w:rsidR="003A497B" w:rsidTr="003E1809">
        <w:trPr>
          <w:trHeight w:val="259"/>
        </w:trPr>
        <w:tc>
          <w:tcPr>
            <w:tcW w:w="1433"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A497B" w:rsidRDefault="003A497B" w:rsidP="003E1809">
            <w:pPr>
              <w:spacing w:line="276" w:lineRule="auto"/>
              <w:rPr>
                <w:rFonts w:ascii="Times New Roman" w:hAnsi="Times New Roman" w:cs="Times New Roman"/>
                <w:b/>
                <w:bCs/>
                <w:color w:val="000000"/>
                <w:sz w:val="14"/>
                <w:szCs w:val="14"/>
              </w:rPr>
            </w:pPr>
            <w:r>
              <w:rPr>
                <w:rFonts w:ascii="Times New Roman" w:hAnsi="Times New Roman" w:cs="Times New Roman"/>
                <w:b/>
                <w:bCs/>
                <w:color w:val="000000"/>
                <w:sz w:val="14"/>
                <w:szCs w:val="14"/>
              </w:rPr>
              <w:t>Zdroje príslušnej kapitoly</w:t>
            </w:r>
          </w:p>
        </w:tc>
        <w:tc>
          <w:tcPr>
            <w:tcW w:w="515"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Default="003A497B" w:rsidP="003E1809">
            <w:pPr>
              <w:spacing w:line="276" w:lineRule="auto"/>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21 720 636</w:t>
            </w:r>
          </w:p>
        </w:tc>
        <w:tc>
          <w:tcPr>
            <w:tcW w:w="515"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Default="003A497B" w:rsidP="003E1809">
            <w:pPr>
              <w:spacing w:line="276" w:lineRule="auto"/>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23 688 397</w:t>
            </w:r>
          </w:p>
        </w:tc>
        <w:tc>
          <w:tcPr>
            <w:tcW w:w="515"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Default="003A497B" w:rsidP="003E1809">
            <w:pPr>
              <w:spacing w:line="276" w:lineRule="auto"/>
              <w:jc w:val="right"/>
              <w:rPr>
                <w:rFonts w:ascii="Times New Roman" w:hAnsi="Times New Roman" w:cs="Times New Roman"/>
                <w:b/>
                <w:bCs/>
                <w:color w:val="000000"/>
                <w:sz w:val="14"/>
                <w:szCs w:val="14"/>
                <w:highlight w:val="yellow"/>
              </w:rPr>
            </w:pPr>
            <w:r>
              <w:rPr>
                <w:rFonts w:ascii="Times New Roman" w:hAnsi="Times New Roman" w:cs="Times New Roman"/>
                <w:b/>
                <w:bCs/>
                <w:color w:val="000000"/>
                <w:sz w:val="14"/>
                <w:szCs w:val="14"/>
              </w:rPr>
              <w:t>22 055 568</w:t>
            </w:r>
          </w:p>
        </w:tc>
        <w:tc>
          <w:tcPr>
            <w:tcW w:w="515"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Default="003A497B" w:rsidP="003E1809">
            <w:pPr>
              <w:spacing w:line="276" w:lineRule="auto"/>
              <w:jc w:val="right"/>
              <w:rPr>
                <w:rFonts w:ascii="Times New Roman" w:hAnsi="Times New Roman" w:cs="Times New Roman"/>
                <w:b/>
                <w:bCs/>
                <w:color w:val="000000"/>
                <w:sz w:val="14"/>
                <w:szCs w:val="14"/>
                <w:highlight w:val="yellow"/>
              </w:rPr>
            </w:pPr>
            <w:r>
              <w:rPr>
                <w:rFonts w:ascii="Times New Roman" w:hAnsi="Times New Roman" w:cs="Times New Roman"/>
                <w:b/>
                <w:bCs/>
                <w:color w:val="000000"/>
                <w:sz w:val="14"/>
                <w:szCs w:val="14"/>
              </w:rPr>
              <w:t>24 001 971</w:t>
            </w:r>
          </w:p>
        </w:tc>
        <w:tc>
          <w:tcPr>
            <w:tcW w:w="515"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Default="003A497B" w:rsidP="003E1809">
            <w:pPr>
              <w:spacing w:line="276" w:lineRule="auto"/>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32 931 511</w:t>
            </w:r>
          </w:p>
        </w:tc>
        <w:tc>
          <w:tcPr>
            <w:tcW w:w="515"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Default="003A497B" w:rsidP="003E1809">
            <w:pPr>
              <w:spacing w:line="276" w:lineRule="auto"/>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32 015 801</w:t>
            </w:r>
          </w:p>
        </w:tc>
        <w:tc>
          <w:tcPr>
            <w:tcW w:w="476" w:type="pct"/>
            <w:tcBorders>
              <w:top w:val="nil"/>
              <w:left w:val="nil"/>
              <w:bottom w:val="single" w:sz="4" w:space="0" w:color="auto"/>
              <w:right w:val="single" w:sz="4" w:space="0" w:color="auto"/>
            </w:tcBorders>
            <w:shd w:val="clear" w:color="auto" w:fill="BFBFBF" w:themeFill="background1" w:themeFillShade="BF"/>
            <w:vAlign w:val="bottom"/>
            <w:hideMark/>
          </w:tcPr>
          <w:p w:rsidR="003A497B" w:rsidRDefault="003A497B" w:rsidP="003E1809">
            <w:pPr>
              <w:spacing w:line="276" w:lineRule="auto"/>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30 156 101</w:t>
            </w:r>
          </w:p>
        </w:tc>
      </w:tr>
      <w:tr w:rsidR="003A497B" w:rsidTr="003E1809">
        <w:trPr>
          <w:trHeight w:val="259"/>
        </w:trPr>
        <w:tc>
          <w:tcPr>
            <w:tcW w:w="1433" w:type="pct"/>
            <w:tcBorders>
              <w:top w:val="nil"/>
              <w:left w:val="single" w:sz="4" w:space="0" w:color="auto"/>
              <w:bottom w:val="single" w:sz="4" w:space="0" w:color="auto"/>
              <w:right w:val="single" w:sz="4" w:space="0" w:color="auto"/>
            </w:tcBorders>
            <w:noWrap/>
            <w:vAlign w:val="bottom"/>
            <w:hideMark/>
          </w:tcPr>
          <w:p w:rsidR="003A497B" w:rsidRDefault="003A497B" w:rsidP="003E1809">
            <w:pPr>
              <w:spacing w:line="276" w:lineRule="auto"/>
              <w:rPr>
                <w:rFonts w:ascii="Times New Roman" w:hAnsi="Times New Roman" w:cs="Times New Roman"/>
                <w:b/>
                <w:sz w:val="14"/>
                <w:szCs w:val="14"/>
              </w:rPr>
            </w:pPr>
            <w:r>
              <w:rPr>
                <w:rFonts w:ascii="Times New Roman" w:hAnsi="Times New Roman" w:cs="Times New Roman"/>
                <w:b/>
                <w:sz w:val="14"/>
                <w:szCs w:val="14"/>
              </w:rPr>
              <w:t>rozpočtové zdroje kapitoly</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21 113 015</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22 494 107</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highlight w:val="yellow"/>
              </w:rPr>
            </w:pPr>
            <w:r>
              <w:rPr>
                <w:rFonts w:ascii="Times New Roman" w:hAnsi="Times New Roman" w:cs="Times New Roman"/>
                <w:color w:val="000000"/>
                <w:sz w:val="14"/>
                <w:szCs w:val="14"/>
              </w:rPr>
              <w:t>22 055 568</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24 001 971</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32 931 511</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32 015 801</w:t>
            </w:r>
          </w:p>
        </w:tc>
        <w:tc>
          <w:tcPr>
            <w:tcW w:w="476"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30 156 101</w:t>
            </w:r>
          </w:p>
        </w:tc>
      </w:tr>
      <w:tr w:rsidR="003A497B" w:rsidTr="003E1809">
        <w:trPr>
          <w:trHeight w:val="259"/>
        </w:trPr>
        <w:tc>
          <w:tcPr>
            <w:tcW w:w="1433" w:type="pct"/>
            <w:tcBorders>
              <w:top w:val="nil"/>
              <w:left w:val="single" w:sz="4" w:space="0" w:color="auto"/>
              <w:bottom w:val="single" w:sz="4" w:space="0" w:color="auto"/>
              <w:right w:val="single" w:sz="4" w:space="0" w:color="auto"/>
            </w:tcBorders>
            <w:noWrap/>
            <w:vAlign w:val="bottom"/>
            <w:hideMark/>
          </w:tcPr>
          <w:p w:rsidR="003A497B" w:rsidRDefault="003A497B" w:rsidP="003E1809">
            <w:pPr>
              <w:spacing w:line="276" w:lineRule="auto"/>
              <w:rPr>
                <w:rFonts w:ascii="Times New Roman" w:hAnsi="Times New Roman" w:cs="Times New Roman"/>
                <w:sz w:val="14"/>
                <w:szCs w:val="14"/>
              </w:rPr>
            </w:pPr>
            <w:r>
              <w:rPr>
                <w:rFonts w:ascii="Times New Roman" w:hAnsi="Times New Roman" w:cs="Times New Roman"/>
                <w:sz w:val="14"/>
                <w:szCs w:val="14"/>
              </w:rPr>
              <w:t xml:space="preserve">  v tom: bežné výdavky 600</w:t>
            </w:r>
          </w:p>
        </w:tc>
        <w:tc>
          <w:tcPr>
            <w:tcW w:w="515" w:type="pct"/>
            <w:tcBorders>
              <w:top w:val="nil"/>
              <w:left w:val="nil"/>
              <w:bottom w:val="single" w:sz="4" w:space="0" w:color="auto"/>
              <w:right w:val="single" w:sz="4" w:space="0" w:color="auto"/>
            </w:tcBorders>
            <w:noWrap/>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20 969 778</w:t>
            </w:r>
          </w:p>
        </w:tc>
        <w:tc>
          <w:tcPr>
            <w:tcW w:w="515" w:type="pct"/>
            <w:tcBorders>
              <w:top w:val="nil"/>
              <w:left w:val="nil"/>
              <w:bottom w:val="single" w:sz="4" w:space="0" w:color="auto"/>
              <w:right w:val="single" w:sz="4" w:space="0" w:color="auto"/>
            </w:tcBorders>
            <w:noWrap/>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22 248 866</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highlight w:val="yellow"/>
              </w:rPr>
            </w:pPr>
            <w:r>
              <w:rPr>
                <w:rFonts w:ascii="Times New Roman" w:hAnsi="Times New Roman" w:cs="Times New Roman"/>
                <w:color w:val="000000"/>
                <w:sz w:val="14"/>
                <w:szCs w:val="14"/>
              </w:rPr>
              <w:t>21 615 568</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23 561 971</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highlight w:val="yellow"/>
              </w:rPr>
            </w:pPr>
            <w:r>
              <w:rPr>
                <w:rFonts w:ascii="Times New Roman" w:hAnsi="Times New Roman" w:cs="Times New Roman"/>
                <w:color w:val="000000"/>
                <w:sz w:val="14"/>
                <w:szCs w:val="14"/>
              </w:rPr>
              <w:t>28 341 511</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highlight w:val="yellow"/>
              </w:rPr>
            </w:pPr>
            <w:r>
              <w:rPr>
                <w:rFonts w:ascii="Times New Roman" w:hAnsi="Times New Roman" w:cs="Times New Roman"/>
                <w:color w:val="000000"/>
                <w:sz w:val="14"/>
                <w:szCs w:val="14"/>
              </w:rPr>
              <w:t>27 475 801</w:t>
            </w:r>
          </w:p>
        </w:tc>
        <w:tc>
          <w:tcPr>
            <w:tcW w:w="476"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highlight w:val="yellow"/>
              </w:rPr>
            </w:pPr>
            <w:r>
              <w:rPr>
                <w:rFonts w:ascii="Times New Roman" w:hAnsi="Times New Roman" w:cs="Times New Roman"/>
                <w:color w:val="000000"/>
                <w:sz w:val="14"/>
                <w:szCs w:val="14"/>
              </w:rPr>
              <w:t>25 766 101</w:t>
            </w:r>
          </w:p>
        </w:tc>
      </w:tr>
      <w:tr w:rsidR="003A497B" w:rsidTr="003E1809">
        <w:trPr>
          <w:trHeight w:val="259"/>
        </w:trPr>
        <w:tc>
          <w:tcPr>
            <w:tcW w:w="1433" w:type="pct"/>
            <w:tcBorders>
              <w:top w:val="nil"/>
              <w:left w:val="single" w:sz="4" w:space="0" w:color="auto"/>
              <w:bottom w:val="single" w:sz="4" w:space="0" w:color="auto"/>
              <w:right w:val="single" w:sz="4" w:space="0" w:color="auto"/>
            </w:tcBorders>
            <w:noWrap/>
            <w:vAlign w:val="bottom"/>
            <w:hideMark/>
          </w:tcPr>
          <w:p w:rsidR="003A497B" w:rsidRDefault="003A497B" w:rsidP="003E1809">
            <w:pPr>
              <w:spacing w:line="276" w:lineRule="auto"/>
              <w:rPr>
                <w:rFonts w:ascii="Times New Roman" w:hAnsi="Times New Roman" w:cs="Times New Roman"/>
                <w:color w:val="000000"/>
                <w:sz w:val="14"/>
                <w:szCs w:val="14"/>
              </w:rPr>
            </w:pPr>
            <w:r>
              <w:rPr>
                <w:rFonts w:ascii="Times New Roman" w:hAnsi="Times New Roman" w:cs="Times New Roman"/>
                <w:color w:val="000000"/>
                <w:sz w:val="14"/>
                <w:szCs w:val="14"/>
              </w:rPr>
              <w:t xml:space="preserve">                                 610 mzdy</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9 395 481</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9 903 540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highlight w:val="yellow"/>
              </w:rPr>
            </w:pPr>
            <w:r>
              <w:rPr>
                <w:rFonts w:ascii="Times New Roman" w:hAnsi="Times New Roman" w:cs="Times New Roman"/>
                <w:color w:val="000000"/>
                <w:sz w:val="14"/>
                <w:szCs w:val="14"/>
              </w:rPr>
              <w:t>10 041 575</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10 995 996</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12 042 174</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11 622 974</w:t>
            </w:r>
          </w:p>
        </w:tc>
        <w:tc>
          <w:tcPr>
            <w:tcW w:w="476"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11 022 974</w:t>
            </w:r>
          </w:p>
        </w:tc>
      </w:tr>
      <w:tr w:rsidR="003A497B" w:rsidTr="003E1809">
        <w:trPr>
          <w:trHeight w:val="259"/>
        </w:trPr>
        <w:tc>
          <w:tcPr>
            <w:tcW w:w="1433" w:type="pct"/>
            <w:tcBorders>
              <w:top w:val="nil"/>
              <w:left w:val="single" w:sz="4" w:space="0" w:color="auto"/>
              <w:bottom w:val="single" w:sz="4" w:space="0" w:color="auto"/>
              <w:right w:val="single" w:sz="4" w:space="0" w:color="auto"/>
            </w:tcBorders>
            <w:noWrap/>
            <w:vAlign w:val="bottom"/>
            <w:hideMark/>
          </w:tcPr>
          <w:p w:rsidR="003A497B" w:rsidRDefault="003A497B" w:rsidP="003E1809">
            <w:pPr>
              <w:spacing w:line="276" w:lineRule="auto"/>
              <w:rPr>
                <w:rFonts w:ascii="Times New Roman" w:hAnsi="Times New Roman" w:cs="Times New Roman"/>
                <w:color w:val="000000"/>
                <w:sz w:val="14"/>
                <w:szCs w:val="14"/>
              </w:rPr>
            </w:pPr>
            <w:r>
              <w:rPr>
                <w:rFonts w:ascii="Times New Roman" w:hAnsi="Times New Roman" w:cs="Times New Roman"/>
                <w:color w:val="000000"/>
                <w:sz w:val="14"/>
                <w:szCs w:val="14"/>
              </w:rPr>
              <w:t xml:space="preserve">                                 620 odvody</w:t>
            </w:r>
          </w:p>
        </w:tc>
        <w:tc>
          <w:tcPr>
            <w:tcW w:w="515" w:type="pct"/>
            <w:tcBorders>
              <w:top w:val="nil"/>
              <w:left w:val="nil"/>
              <w:bottom w:val="single" w:sz="4" w:space="0" w:color="auto"/>
              <w:right w:val="single" w:sz="4" w:space="0" w:color="auto"/>
            </w:tcBorders>
            <w:noWrap/>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3 682 922</w:t>
            </w:r>
          </w:p>
        </w:tc>
        <w:tc>
          <w:tcPr>
            <w:tcW w:w="515" w:type="pct"/>
            <w:tcBorders>
              <w:top w:val="nil"/>
              <w:left w:val="nil"/>
              <w:bottom w:val="single" w:sz="4" w:space="0" w:color="auto"/>
              <w:right w:val="single" w:sz="4" w:space="0" w:color="auto"/>
            </w:tcBorders>
            <w:noWrap/>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3 702 006</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highlight w:val="yellow"/>
              </w:rPr>
            </w:pPr>
            <w:r>
              <w:rPr>
                <w:rFonts w:ascii="Times New Roman" w:hAnsi="Times New Roman" w:cs="Times New Roman"/>
                <w:color w:val="000000"/>
                <w:sz w:val="14"/>
                <w:szCs w:val="14"/>
              </w:rPr>
              <w:t>3 678 728</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4 012 194</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highlight w:val="yellow"/>
              </w:rPr>
            </w:pPr>
            <w:r>
              <w:rPr>
                <w:rFonts w:ascii="Times New Roman" w:hAnsi="Times New Roman" w:cs="Times New Roman"/>
                <w:color w:val="000000"/>
                <w:sz w:val="14"/>
                <w:szCs w:val="14"/>
              </w:rPr>
              <w:t>4 379 387</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highlight w:val="yellow"/>
              </w:rPr>
            </w:pPr>
            <w:r>
              <w:rPr>
                <w:rFonts w:ascii="Times New Roman" w:hAnsi="Times New Roman" w:cs="Times New Roman"/>
                <w:color w:val="000000"/>
                <w:sz w:val="14"/>
                <w:szCs w:val="14"/>
              </w:rPr>
              <w:t>4 232 877</w:t>
            </w:r>
          </w:p>
        </w:tc>
        <w:tc>
          <w:tcPr>
            <w:tcW w:w="476"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highlight w:val="yellow"/>
              </w:rPr>
            </w:pPr>
            <w:r>
              <w:rPr>
                <w:rFonts w:ascii="Times New Roman" w:hAnsi="Times New Roman" w:cs="Times New Roman"/>
                <w:color w:val="000000"/>
                <w:sz w:val="14"/>
                <w:szCs w:val="14"/>
              </w:rPr>
              <w:t>4 023 177</w:t>
            </w:r>
          </w:p>
        </w:tc>
      </w:tr>
      <w:tr w:rsidR="003A497B" w:rsidTr="003E1809">
        <w:trPr>
          <w:trHeight w:val="259"/>
        </w:trPr>
        <w:tc>
          <w:tcPr>
            <w:tcW w:w="1433" w:type="pct"/>
            <w:tcBorders>
              <w:top w:val="nil"/>
              <w:left w:val="single" w:sz="4" w:space="0" w:color="auto"/>
              <w:bottom w:val="single" w:sz="4" w:space="0" w:color="auto"/>
              <w:right w:val="single" w:sz="4" w:space="0" w:color="auto"/>
            </w:tcBorders>
            <w:noWrap/>
            <w:vAlign w:val="bottom"/>
            <w:hideMark/>
          </w:tcPr>
          <w:p w:rsidR="003A497B" w:rsidRDefault="003A497B" w:rsidP="003E1809">
            <w:pPr>
              <w:spacing w:line="276" w:lineRule="auto"/>
              <w:rPr>
                <w:rFonts w:ascii="Times New Roman" w:hAnsi="Times New Roman" w:cs="Times New Roman"/>
                <w:color w:val="000000"/>
                <w:sz w:val="14"/>
                <w:szCs w:val="14"/>
              </w:rPr>
            </w:pPr>
            <w:r>
              <w:rPr>
                <w:rFonts w:ascii="Times New Roman" w:hAnsi="Times New Roman" w:cs="Times New Roman"/>
                <w:color w:val="000000"/>
                <w:sz w:val="14"/>
                <w:szCs w:val="14"/>
              </w:rPr>
              <w:t xml:space="preserve">                                 630 tovary a služby</w:t>
            </w:r>
          </w:p>
        </w:tc>
        <w:tc>
          <w:tcPr>
            <w:tcW w:w="515" w:type="pct"/>
            <w:tcBorders>
              <w:top w:val="nil"/>
              <w:left w:val="nil"/>
              <w:bottom w:val="single" w:sz="4" w:space="0" w:color="auto"/>
              <w:right w:val="single" w:sz="4" w:space="0" w:color="auto"/>
            </w:tcBorders>
            <w:noWrap/>
            <w:vAlign w:val="bottom"/>
            <w:hideMark/>
          </w:tcPr>
          <w:p w:rsidR="003A497B" w:rsidRDefault="003A497B" w:rsidP="003E1809">
            <w:pPr>
              <w:spacing w:line="276" w:lineRule="auto"/>
              <w:jc w:val="right"/>
              <w:rPr>
                <w:rFonts w:ascii="Times New Roman" w:hAnsi="Times New Roman" w:cs="Times New Roman"/>
                <w:sz w:val="14"/>
                <w:szCs w:val="14"/>
              </w:rPr>
            </w:pPr>
            <w:r>
              <w:rPr>
                <w:rFonts w:ascii="Times New Roman" w:hAnsi="Times New Roman" w:cs="Times New Roman"/>
                <w:sz w:val="14"/>
                <w:szCs w:val="14"/>
              </w:rPr>
              <w:t>6 839 020</w:t>
            </w:r>
          </w:p>
        </w:tc>
        <w:tc>
          <w:tcPr>
            <w:tcW w:w="515" w:type="pct"/>
            <w:tcBorders>
              <w:top w:val="nil"/>
              <w:left w:val="nil"/>
              <w:bottom w:val="single" w:sz="4" w:space="0" w:color="auto"/>
              <w:right w:val="single" w:sz="4" w:space="0" w:color="auto"/>
            </w:tcBorders>
            <w:noWrap/>
            <w:vAlign w:val="bottom"/>
            <w:hideMark/>
          </w:tcPr>
          <w:p w:rsidR="003A497B" w:rsidRDefault="003A497B" w:rsidP="003E1809">
            <w:pPr>
              <w:spacing w:line="276" w:lineRule="auto"/>
              <w:jc w:val="right"/>
              <w:rPr>
                <w:rFonts w:ascii="Times New Roman" w:hAnsi="Times New Roman" w:cs="Times New Roman"/>
                <w:sz w:val="14"/>
                <w:szCs w:val="14"/>
              </w:rPr>
            </w:pPr>
            <w:r>
              <w:rPr>
                <w:rFonts w:ascii="Times New Roman" w:hAnsi="Times New Roman" w:cs="Times New Roman"/>
                <w:sz w:val="14"/>
                <w:szCs w:val="14"/>
              </w:rPr>
              <w:t>7 559 183</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highlight w:val="yellow"/>
              </w:rPr>
            </w:pPr>
            <w:r>
              <w:rPr>
                <w:rFonts w:ascii="Times New Roman" w:hAnsi="Times New Roman" w:cs="Times New Roman"/>
                <w:color w:val="000000"/>
                <w:sz w:val="14"/>
                <w:szCs w:val="14"/>
              </w:rPr>
              <w:t>7 222 029</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7 853 467</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highlight w:val="yellow"/>
              </w:rPr>
            </w:pPr>
            <w:r>
              <w:rPr>
                <w:rFonts w:ascii="Times New Roman" w:hAnsi="Times New Roman" w:cs="Times New Roman"/>
                <w:color w:val="000000"/>
                <w:sz w:val="14"/>
                <w:szCs w:val="14"/>
              </w:rPr>
              <w:t>11 246 714</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highlight w:val="yellow"/>
              </w:rPr>
            </w:pPr>
            <w:r>
              <w:rPr>
                <w:rFonts w:ascii="Times New Roman" w:hAnsi="Times New Roman" w:cs="Times New Roman"/>
                <w:color w:val="000000"/>
                <w:sz w:val="14"/>
                <w:szCs w:val="14"/>
              </w:rPr>
              <w:t>10 946 714</w:t>
            </w:r>
          </w:p>
        </w:tc>
        <w:tc>
          <w:tcPr>
            <w:tcW w:w="476"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highlight w:val="yellow"/>
              </w:rPr>
            </w:pPr>
            <w:r>
              <w:rPr>
                <w:rFonts w:ascii="Times New Roman" w:hAnsi="Times New Roman" w:cs="Times New Roman"/>
                <w:color w:val="000000"/>
                <w:sz w:val="14"/>
                <w:szCs w:val="14"/>
              </w:rPr>
              <w:t>10 046 714</w:t>
            </w:r>
          </w:p>
        </w:tc>
      </w:tr>
      <w:tr w:rsidR="003A497B" w:rsidTr="003E1809">
        <w:trPr>
          <w:trHeight w:val="259"/>
        </w:trPr>
        <w:tc>
          <w:tcPr>
            <w:tcW w:w="1433" w:type="pct"/>
            <w:tcBorders>
              <w:top w:val="nil"/>
              <w:left w:val="single" w:sz="4" w:space="0" w:color="auto"/>
              <w:bottom w:val="single" w:sz="4" w:space="0" w:color="auto"/>
              <w:right w:val="single" w:sz="4" w:space="0" w:color="auto"/>
            </w:tcBorders>
            <w:noWrap/>
            <w:vAlign w:val="bottom"/>
            <w:hideMark/>
          </w:tcPr>
          <w:p w:rsidR="003A497B" w:rsidRDefault="003A497B" w:rsidP="003E1809">
            <w:pPr>
              <w:spacing w:line="276" w:lineRule="auto"/>
              <w:rPr>
                <w:rFonts w:ascii="Times New Roman" w:hAnsi="Times New Roman" w:cs="Times New Roman"/>
                <w:color w:val="000000"/>
                <w:sz w:val="14"/>
                <w:szCs w:val="14"/>
              </w:rPr>
            </w:pPr>
            <w:r>
              <w:rPr>
                <w:rFonts w:ascii="Times New Roman" w:hAnsi="Times New Roman" w:cs="Times New Roman"/>
                <w:color w:val="000000"/>
                <w:sz w:val="14"/>
                <w:szCs w:val="14"/>
              </w:rPr>
              <w:t xml:space="preserve">                                 640 bežné transfery</w:t>
            </w:r>
          </w:p>
        </w:tc>
        <w:tc>
          <w:tcPr>
            <w:tcW w:w="515" w:type="pct"/>
            <w:tcBorders>
              <w:top w:val="nil"/>
              <w:left w:val="nil"/>
              <w:bottom w:val="single" w:sz="4" w:space="0" w:color="auto"/>
              <w:right w:val="single" w:sz="4" w:space="0" w:color="auto"/>
            </w:tcBorders>
            <w:noWrap/>
            <w:vAlign w:val="bottom"/>
            <w:hideMark/>
          </w:tcPr>
          <w:p w:rsidR="003A497B" w:rsidRDefault="003A497B" w:rsidP="003E1809">
            <w:pPr>
              <w:spacing w:line="276" w:lineRule="auto"/>
              <w:jc w:val="right"/>
              <w:rPr>
                <w:rFonts w:ascii="Times New Roman" w:hAnsi="Times New Roman" w:cs="Times New Roman"/>
                <w:sz w:val="14"/>
                <w:szCs w:val="14"/>
              </w:rPr>
            </w:pPr>
            <w:r>
              <w:rPr>
                <w:rFonts w:ascii="Times New Roman" w:hAnsi="Times New Roman" w:cs="Times New Roman"/>
                <w:sz w:val="14"/>
                <w:szCs w:val="14"/>
              </w:rPr>
              <w:t>1 052 355</w:t>
            </w:r>
          </w:p>
        </w:tc>
        <w:tc>
          <w:tcPr>
            <w:tcW w:w="515" w:type="pct"/>
            <w:tcBorders>
              <w:top w:val="nil"/>
              <w:left w:val="nil"/>
              <w:bottom w:val="single" w:sz="4" w:space="0" w:color="auto"/>
              <w:right w:val="single" w:sz="4" w:space="0" w:color="auto"/>
            </w:tcBorders>
            <w:noWrap/>
            <w:vAlign w:val="bottom"/>
            <w:hideMark/>
          </w:tcPr>
          <w:p w:rsidR="003A497B" w:rsidRDefault="003A497B" w:rsidP="003E1809">
            <w:pPr>
              <w:spacing w:line="276" w:lineRule="auto"/>
              <w:jc w:val="right"/>
              <w:rPr>
                <w:rFonts w:ascii="Times New Roman" w:hAnsi="Times New Roman" w:cs="Times New Roman"/>
                <w:sz w:val="14"/>
                <w:szCs w:val="14"/>
              </w:rPr>
            </w:pPr>
            <w:r>
              <w:rPr>
                <w:rFonts w:ascii="Times New Roman" w:hAnsi="Times New Roman" w:cs="Times New Roman"/>
                <w:sz w:val="14"/>
                <w:szCs w:val="14"/>
              </w:rPr>
              <w:t>1 084 136</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highlight w:val="yellow"/>
              </w:rPr>
            </w:pPr>
            <w:r>
              <w:rPr>
                <w:rFonts w:ascii="Times New Roman" w:hAnsi="Times New Roman" w:cs="Times New Roman"/>
                <w:color w:val="000000"/>
                <w:sz w:val="14"/>
                <w:szCs w:val="14"/>
              </w:rPr>
              <w:t>673 236</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700 314</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673 236</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673 236</w:t>
            </w:r>
          </w:p>
        </w:tc>
        <w:tc>
          <w:tcPr>
            <w:tcW w:w="476"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673 236</w:t>
            </w:r>
          </w:p>
        </w:tc>
      </w:tr>
      <w:tr w:rsidR="003A497B" w:rsidTr="003E1809">
        <w:trPr>
          <w:trHeight w:val="259"/>
        </w:trPr>
        <w:tc>
          <w:tcPr>
            <w:tcW w:w="1433" w:type="pct"/>
            <w:tcBorders>
              <w:top w:val="nil"/>
              <w:left w:val="single" w:sz="4" w:space="0" w:color="auto"/>
              <w:bottom w:val="single" w:sz="4" w:space="0" w:color="auto"/>
              <w:right w:val="single" w:sz="4" w:space="0" w:color="auto"/>
            </w:tcBorders>
            <w:noWrap/>
            <w:vAlign w:val="bottom"/>
            <w:hideMark/>
          </w:tcPr>
          <w:p w:rsidR="003A497B" w:rsidRDefault="003A497B" w:rsidP="003E1809">
            <w:pPr>
              <w:spacing w:line="276" w:lineRule="auto"/>
              <w:rPr>
                <w:rFonts w:ascii="Times New Roman" w:hAnsi="Times New Roman" w:cs="Times New Roman"/>
                <w:sz w:val="14"/>
                <w:szCs w:val="14"/>
              </w:rPr>
            </w:pPr>
            <w:r>
              <w:rPr>
                <w:rFonts w:ascii="Times New Roman" w:hAnsi="Times New Roman" w:cs="Times New Roman"/>
                <w:sz w:val="14"/>
                <w:szCs w:val="14"/>
              </w:rPr>
              <w:t xml:space="preserve">                   kapitálové výdavky 700</w:t>
            </w:r>
          </w:p>
        </w:tc>
        <w:tc>
          <w:tcPr>
            <w:tcW w:w="515" w:type="pct"/>
            <w:tcBorders>
              <w:top w:val="nil"/>
              <w:left w:val="nil"/>
              <w:bottom w:val="single" w:sz="4" w:space="0" w:color="auto"/>
              <w:right w:val="single" w:sz="4" w:space="0" w:color="auto"/>
            </w:tcBorders>
            <w:noWrap/>
            <w:vAlign w:val="bottom"/>
            <w:hideMark/>
          </w:tcPr>
          <w:p w:rsidR="003A497B" w:rsidRDefault="003A497B" w:rsidP="003E1809">
            <w:pPr>
              <w:spacing w:line="276" w:lineRule="auto"/>
              <w:jc w:val="right"/>
              <w:rPr>
                <w:rFonts w:ascii="Times New Roman" w:hAnsi="Times New Roman" w:cs="Times New Roman"/>
                <w:sz w:val="14"/>
                <w:szCs w:val="14"/>
              </w:rPr>
            </w:pPr>
            <w:r>
              <w:rPr>
                <w:rFonts w:ascii="Times New Roman" w:hAnsi="Times New Roman" w:cs="Times New Roman"/>
                <w:sz w:val="14"/>
                <w:szCs w:val="14"/>
              </w:rPr>
              <w:t>143 238</w:t>
            </w:r>
          </w:p>
        </w:tc>
        <w:tc>
          <w:tcPr>
            <w:tcW w:w="515" w:type="pct"/>
            <w:tcBorders>
              <w:top w:val="nil"/>
              <w:left w:val="nil"/>
              <w:bottom w:val="single" w:sz="4" w:space="0" w:color="auto"/>
              <w:right w:val="single" w:sz="4" w:space="0" w:color="auto"/>
            </w:tcBorders>
            <w:noWrap/>
            <w:vAlign w:val="bottom"/>
            <w:hideMark/>
          </w:tcPr>
          <w:p w:rsidR="003A497B" w:rsidRDefault="003A497B" w:rsidP="003E1809">
            <w:pPr>
              <w:spacing w:line="276" w:lineRule="auto"/>
              <w:jc w:val="right"/>
              <w:rPr>
                <w:rFonts w:ascii="Times New Roman" w:hAnsi="Times New Roman" w:cs="Times New Roman"/>
                <w:sz w:val="14"/>
                <w:szCs w:val="14"/>
              </w:rPr>
            </w:pPr>
            <w:r>
              <w:rPr>
                <w:rFonts w:ascii="Times New Roman" w:hAnsi="Times New Roman" w:cs="Times New Roman"/>
                <w:sz w:val="14"/>
                <w:szCs w:val="14"/>
              </w:rPr>
              <w:t>245 242</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highlight w:val="yellow"/>
              </w:rPr>
            </w:pPr>
            <w:r>
              <w:rPr>
                <w:rFonts w:ascii="Times New Roman" w:hAnsi="Times New Roman" w:cs="Times New Roman"/>
                <w:color w:val="000000"/>
                <w:sz w:val="14"/>
                <w:szCs w:val="14"/>
              </w:rPr>
              <w:t>440 000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440 000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4 590 000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4 540 000</w:t>
            </w:r>
          </w:p>
        </w:tc>
        <w:tc>
          <w:tcPr>
            <w:tcW w:w="476"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4 390 000</w:t>
            </w:r>
          </w:p>
        </w:tc>
      </w:tr>
      <w:tr w:rsidR="003A497B" w:rsidTr="003E1809">
        <w:trPr>
          <w:trHeight w:val="259"/>
        </w:trPr>
        <w:tc>
          <w:tcPr>
            <w:tcW w:w="1433" w:type="pct"/>
            <w:tcBorders>
              <w:top w:val="nil"/>
              <w:left w:val="single" w:sz="4" w:space="0" w:color="auto"/>
              <w:bottom w:val="single" w:sz="4" w:space="0" w:color="auto"/>
              <w:right w:val="single" w:sz="4" w:space="0" w:color="auto"/>
            </w:tcBorders>
            <w:noWrap/>
            <w:vAlign w:val="bottom"/>
            <w:hideMark/>
          </w:tcPr>
          <w:p w:rsidR="003A497B" w:rsidRDefault="003A497B" w:rsidP="003E1809">
            <w:pPr>
              <w:spacing w:line="276" w:lineRule="auto"/>
              <w:rPr>
                <w:rFonts w:ascii="Times New Roman" w:hAnsi="Times New Roman" w:cs="Times New Roman"/>
                <w:b/>
                <w:sz w:val="14"/>
                <w:szCs w:val="14"/>
              </w:rPr>
            </w:pPr>
            <w:r>
              <w:rPr>
                <w:rFonts w:ascii="Times New Roman" w:hAnsi="Times New Roman" w:cs="Times New Roman"/>
                <w:b/>
                <w:sz w:val="14"/>
                <w:szCs w:val="14"/>
              </w:rPr>
              <w:t>presun z minulých rokov § 8</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607 621</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1 194 290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476"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3A497B" w:rsidTr="003E1809">
        <w:trPr>
          <w:trHeight w:val="259"/>
        </w:trPr>
        <w:tc>
          <w:tcPr>
            <w:tcW w:w="1433" w:type="pct"/>
            <w:tcBorders>
              <w:top w:val="nil"/>
              <w:left w:val="single" w:sz="4" w:space="0" w:color="auto"/>
              <w:bottom w:val="single" w:sz="4" w:space="0" w:color="auto"/>
              <w:right w:val="single" w:sz="4" w:space="0" w:color="auto"/>
            </w:tcBorders>
            <w:noWrap/>
            <w:vAlign w:val="bottom"/>
            <w:hideMark/>
          </w:tcPr>
          <w:p w:rsidR="003A497B" w:rsidRDefault="003A497B" w:rsidP="003E1809">
            <w:pPr>
              <w:spacing w:line="276" w:lineRule="auto"/>
              <w:rPr>
                <w:rFonts w:ascii="Times New Roman" w:hAnsi="Times New Roman" w:cs="Times New Roman"/>
                <w:sz w:val="14"/>
                <w:szCs w:val="14"/>
              </w:rPr>
            </w:pPr>
            <w:r>
              <w:rPr>
                <w:rFonts w:ascii="Times New Roman" w:hAnsi="Times New Roman" w:cs="Times New Roman"/>
                <w:sz w:val="14"/>
                <w:szCs w:val="14"/>
              </w:rPr>
              <w:t xml:space="preserve">    v tom: štátny rozpočet</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178 121</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1 194 290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476"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3A497B" w:rsidTr="003E1809">
        <w:trPr>
          <w:trHeight w:val="259"/>
        </w:trPr>
        <w:tc>
          <w:tcPr>
            <w:tcW w:w="1433" w:type="pct"/>
            <w:tcBorders>
              <w:top w:val="nil"/>
              <w:left w:val="single" w:sz="4" w:space="0" w:color="auto"/>
              <w:bottom w:val="single" w:sz="4" w:space="0" w:color="auto"/>
              <w:right w:val="single" w:sz="4" w:space="0" w:color="auto"/>
            </w:tcBorders>
            <w:noWrap/>
            <w:vAlign w:val="bottom"/>
            <w:hideMark/>
          </w:tcPr>
          <w:p w:rsidR="003A497B" w:rsidRDefault="003A497B" w:rsidP="003E1809">
            <w:pPr>
              <w:spacing w:line="276" w:lineRule="auto"/>
              <w:rPr>
                <w:rFonts w:ascii="Times New Roman" w:hAnsi="Times New Roman" w:cs="Times New Roman"/>
                <w:sz w:val="14"/>
                <w:szCs w:val="14"/>
              </w:rPr>
            </w:pPr>
            <w:r>
              <w:rPr>
                <w:rFonts w:ascii="Times New Roman" w:hAnsi="Times New Roman" w:cs="Times New Roman"/>
                <w:sz w:val="14"/>
                <w:szCs w:val="14"/>
              </w:rPr>
              <w:t xml:space="preserve">                EU prostriedky</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323 456</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476"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3A497B" w:rsidTr="003E1809">
        <w:trPr>
          <w:trHeight w:val="259"/>
        </w:trPr>
        <w:tc>
          <w:tcPr>
            <w:tcW w:w="1433" w:type="pct"/>
            <w:tcBorders>
              <w:top w:val="nil"/>
              <w:left w:val="single" w:sz="4" w:space="0" w:color="auto"/>
              <w:bottom w:val="single" w:sz="4" w:space="0" w:color="auto"/>
              <w:right w:val="single" w:sz="4" w:space="0" w:color="auto"/>
            </w:tcBorders>
            <w:noWrap/>
            <w:vAlign w:val="bottom"/>
            <w:hideMark/>
          </w:tcPr>
          <w:p w:rsidR="003A497B" w:rsidRDefault="003A497B" w:rsidP="003E1809">
            <w:pPr>
              <w:spacing w:line="276" w:lineRule="auto"/>
              <w:rPr>
                <w:rFonts w:ascii="Times New Roman" w:hAnsi="Times New Roman" w:cs="Times New Roman"/>
                <w:sz w:val="14"/>
                <w:szCs w:val="14"/>
              </w:rPr>
            </w:pPr>
            <w:r>
              <w:rPr>
                <w:rFonts w:ascii="Times New Roman" w:hAnsi="Times New Roman" w:cs="Times New Roman"/>
                <w:sz w:val="14"/>
                <w:szCs w:val="14"/>
              </w:rPr>
              <w:t xml:space="preserve">                spolufinancovanie zo ŠR</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106 043</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476"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3A497B" w:rsidTr="003E1809">
        <w:trPr>
          <w:trHeight w:val="259"/>
        </w:trPr>
        <w:tc>
          <w:tcPr>
            <w:tcW w:w="1433" w:type="pct"/>
            <w:tcBorders>
              <w:top w:val="single" w:sz="4" w:space="0" w:color="auto"/>
              <w:left w:val="single" w:sz="4" w:space="0" w:color="auto"/>
              <w:bottom w:val="single" w:sz="4" w:space="0" w:color="auto"/>
              <w:right w:val="single" w:sz="4" w:space="0" w:color="auto"/>
            </w:tcBorders>
            <w:noWrap/>
            <w:vAlign w:val="bottom"/>
            <w:hideMark/>
          </w:tcPr>
          <w:p w:rsidR="003A497B" w:rsidRDefault="003A497B" w:rsidP="003E1809">
            <w:pPr>
              <w:spacing w:line="276" w:lineRule="auto"/>
              <w:rPr>
                <w:rFonts w:ascii="Times New Roman" w:hAnsi="Times New Roman" w:cs="Times New Roman"/>
                <w:sz w:val="14"/>
                <w:szCs w:val="14"/>
              </w:rPr>
            </w:pPr>
            <w:r>
              <w:rPr>
                <w:rFonts w:ascii="Times New Roman" w:hAnsi="Times New Roman" w:cs="Times New Roman"/>
                <w:b/>
                <w:bCs/>
                <w:sz w:val="14"/>
                <w:szCs w:val="14"/>
              </w:rPr>
              <w:t>zdroj 72e*</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11 017</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515"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476" w:type="pct"/>
            <w:tcBorders>
              <w:top w:val="nil"/>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color w:val="000000"/>
                <w:sz w:val="14"/>
                <w:szCs w:val="14"/>
              </w:rPr>
            </w:pPr>
            <w:r>
              <w:rPr>
                <w:rFonts w:ascii="Times New Roman" w:hAnsi="Times New Roman" w:cs="Times New Roman"/>
                <w:color w:val="000000"/>
                <w:sz w:val="14"/>
                <w:szCs w:val="14"/>
              </w:rPr>
              <w:t>0</w:t>
            </w:r>
          </w:p>
        </w:tc>
      </w:tr>
    </w:tbl>
    <w:p w:rsidR="003A497B" w:rsidRDefault="003A497B" w:rsidP="003A497B">
      <w:pPr>
        <w:autoSpaceDE w:val="0"/>
        <w:autoSpaceDN w:val="0"/>
        <w:jc w:val="both"/>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z poistného plnenia zo zmluvného poistenia alebo zo zákonného poistenia</w:t>
      </w:r>
    </w:p>
    <w:p w:rsidR="003A497B" w:rsidRDefault="003A497B" w:rsidP="003A497B">
      <w:pPr>
        <w:autoSpaceDE w:val="0"/>
        <w:autoSpaceDN w:val="0"/>
        <w:jc w:val="both"/>
        <w:rPr>
          <w:rFonts w:ascii="Times New Roman" w:hAnsi="Times New Roman" w:cs="Times New Roman"/>
          <w:color w:val="000000"/>
          <w:sz w:val="14"/>
          <w:szCs w:val="14"/>
          <w:lang w:eastAsia="sk-SK"/>
        </w:rPr>
      </w:pPr>
    </w:p>
    <w:tbl>
      <w:tblPr>
        <w:tblW w:w="5000" w:type="pct"/>
        <w:tblCellMar>
          <w:left w:w="70" w:type="dxa"/>
          <w:right w:w="70" w:type="dxa"/>
        </w:tblCellMar>
        <w:tblLook w:val="04A0" w:firstRow="1" w:lastRow="0" w:firstColumn="1" w:lastColumn="0" w:noHBand="0" w:noVBand="1"/>
      </w:tblPr>
      <w:tblGrid>
        <w:gridCol w:w="2598"/>
        <w:gridCol w:w="934"/>
        <w:gridCol w:w="934"/>
        <w:gridCol w:w="934"/>
        <w:gridCol w:w="933"/>
        <w:gridCol w:w="933"/>
        <w:gridCol w:w="933"/>
        <w:gridCol w:w="863"/>
      </w:tblGrid>
      <w:tr w:rsidR="003A497B" w:rsidTr="003E1809">
        <w:trPr>
          <w:trHeight w:val="259"/>
        </w:trPr>
        <w:tc>
          <w:tcPr>
            <w:tcW w:w="1433" w:type="pct"/>
            <w:tcBorders>
              <w:top w:val="single" w:sz="4" w:space="0" w:color="auto"/>
              <w:left w:val="single" w:sz="4" w:space="0" w:color="auto"/>
              <w:bottom w:val="single" w:sz="4" w:space="0" w:color="auto"/>
              <w:right w:val="single" w:sz="4" w:space="0" w:color="auto"/>
            </w:tcBorders>
            <w:noWrap/>
            <w:vAlign w:val="bottom"/>
            <w:hideMark/>
          </w:tcPr>
          <w:p w:rsidR="003A497B" w:rsidRDefault="003A497B" w:rsidP="003E1809">
            <w:pPr>
              <w:spacing w:line="276" w:lineRule="auto"/>
              <w:rPr>
                <w:rFonts w:ascii="Times New Roman" w:hAnsi="Times New Roman" w:cs="Times New Roman"/>
                <w:sz w:val="14"/>
                <w:szCs w:val="14"/>
              </w:rPr>
            </w:pPr>
            <w:r>
              <w:rPr>
                <w:rFonts w:ascii="Times New Roman" w:hAnsi="Times New Roman" w:cs="Times New Roman"/>
                <w:b/>
                <w:bCs/>
                <w:sz w:val="14"/>
                <w:szCs w:val="14"/>
              </w:rPr>
              <w:t>Samostatné účty</w:t>
            </w:r>
          </w:p>
        </w:tc>
        <w:tc>
          <w:tcPr>
            <w:tcW w:w="515" w:type="pct"/>
            <w:tcBorders>
              <w:top w:val="single" w:sz="4" w:space="0" w:color="auto"/>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b/>
                <w:color w:val="000000"/>
                <w:sz w:val="14"/>
                <w:szCs w:val="14"/>
              </w:rPr>
            </w:pPr>
            <w:r>
              <w:rPr>
                <w:rFonts w:ascii="Times New Roman" w:hAnsi="Times New Roman" w:cs="Times New Roman"/>
                <w:b/>
                <w:color w:val="000000"/>
                <w:sz w:val="14"/>
                <w:szCs w:val="14"/>
              </w:rPr>
              <w:t>1 247 845</w:t>
            </w:r>
          </w:p>
        </w:tc>
        <w:tc>
          <w:tcPr>
            <w:tcW w:w="515" w:type="pct"/>
            <w:tcBorders>
              <w:top w:val="single" w:sz="4" w:space="0" w:color="auto"/>
              <w:left w:val="nil"/>
              <w:bottom w:val="single" w:sz="4" w:space="0" w:color="auto"/>
              <w:right w:val="single" w:sz="4" w:space="0" w:color="auto"/>
            </w:tcBorders>
            <w:vAlign w:val="bottom"/>
            <w:hideMark/>
          </w:tcPr>
          <w:p w:rsidR="003A497B" w:rsidRDefault="003A497B" w:rsidP="003E1809">
            <w:pPr>
              <w:spacing w:line="276" w:lineRule="auto"/>
              <w:jc w:val="right"/>
              <w:rPr>
                <w:rFonts w:ascii="Times New Roman" w:hAnsi="Times New Roman" w:cs="Times New Roman"/>
                <w:b/>
                <w:color w:val="000000"/>
                <w:sz w:val="14"/>
                <w:szCs w:val="14"/>
              </w:rPr>
            </w:pPr>
            <w:r>
              <w:rPr>
                <w:rFonts w:ascii="Times New Roman" w:hAnsi="Times New Roman" w:cs="Times New Roman"/>
                <w:b/>
                <w:color w:val="000000"/>
                <w:sz w:val="14"/>
                <w:szCs w:val="14"/>
              </w:rPr>
              <w:t>1 142 700</w:t>
            </w:r>
          </w:p>
        </w:tc>
        <w:tc>
          <w:tcPr>
            <w:tcW w:w="515" w:type="pct"/>
            <w:tcBorders>
              <w:top w:val="single" w:sz="4" w:space="0" w:color="auto"/>
              <w:left w:val="nil"/>
              <w:bottom w:val="single" w:sz="4" w:space="0" w:color="auto"/>
              <w:right w:val="single" w:sz="4" w:space="0" w:color="auto"/>
            </w:tcBorders>
            <w:shd w:val="clear" w:color="auto" w:fill="FFFFFF" w:themeFill="background1"/>
            <w:vAlign w:val="bottom"/>
            <w:hideMark/>
          </w:tcPr>
          <w:p w:rsidR="003A497B" w:rsidRDefault="003A497B" w:rsidP="003E1809">
            <w:pPr>
              <w:spacing w:line="276" w:lineRule="auto"/>
              <w:jc w:val="right"/>
              <w:rPr>
                <w:rFonts w:ascii="Times New Roman" w:hAnsi="Times New Roman" w:cs="Times New Roman"/>
                <w:b/>
                <w:color w:val="000000"/>
                <w:sz w:val="14"/>
                <w:szCs w:val="14"/>
                <w:highlight w:val="yellow"/>
              </w:rPr>
            </w:pPr>
            <w:r>
              <w:rPr>
                <w:rFonts w:ascii="Times New Roman" w:hAnsi="Times New Roman" w:cs="Times New Roman"/>
                <w:b/>
                <w:color w:val="000000"/>
                <w:sz w:val="14"/>
                <w:szCs w:val="14"/>
              </w:rPr>
              <w:t>1 287 000</w:t>
            </w:r>
          </w:p>
        </w:tc>
        <w:tc>
          <w:tcPr>
            <w:tcW w:w="515" w:type="pct"/>
            <w:tcBorders>
              <w:top w:val="single" w:sz="4" w:space="0" w:color="auto"/>
              <w:left w:val="nil"/>
              <w:bottom w:val="single" w:sz="4" w:space="0" w:color="auto"/>
              <w:right w:val="single" w:sz="4" w:space="0" w:color="auto"/>
            </w:tcBorders>
            <w:shd w:val="clear" w:color="auto" w:fill="FFFFFF" w:themeFill="background1"/>
            <w:vAlign w:val="bottom"/>
            <w:hideMark/>
          </w:tcPr>
          <w:p w:rsidR="003A497B" w:rsidRDefault="003A497B" w:rsidP="003E1809">
            <w:pPr>
              <w:spacing w:line="276" w:lineRule="auto"/>
              <w:jc w:val="right"/>
              <w:rPr>
                <w:rFonts w:ascii="Times New Roman" w:hAnsi="Times New Roman" w:cs="Times New Roman"/>
                <w:b/>
                <w:color w:val="000000"/>
                <w:sz w:val="14"/>
                <w:szCs w:val="14"/>
                <w:highlight w:val="yellow"/>
              </w:rPr>
            </w:pPr>
            <w:r>
              <w:rPr>
                <w:rFonts w:ascii="Times New Roman" w:hAnsi="Times New Roman" w:cs="Times New Roman"/>
                <w:b/>
                <w:color w:val="000000"/>
                <w:sz w:val="14"/>
                <w:szCs w:val="14"/>
              </w:rPr>
              <w:t>1 287 000</w:t>
            </w:r>
          </w:p>
        </w:tc>
        <w:tc>
          <w:tcPr>
            <w:tcW w:w="515" w:type="pct"/>
            <w:tcBorders>
              <w:top w:val="single" w:sz="4" w:space="0" w:color="auto"/>
              <w:left w:val="nil"/>
              <w:bottom w:val="single" w:sz="4" w:space="0" w:color="auto"/>
              <w:right w:val="single" w:sz="4" w:space="0" w:color="auto"/>
            </w:tcBorders>
            <w:shd w:val="clear" w:color="auto" w:fill="FFFFFF" w:themeFill="background1"/>
            <w:vAlign w:val="bottom"/>
            <w:hideMark/>
          </w:tcPr>
          <w:p w:rsidR="003A497B" w:rsidRDefault="003A497B" w:rsidP="003E1809">
            <w:pPr>
              <w:spacing w:line="276" w:lineRule="auto"/>
              <w:jc w:val="right"/>
              <w:rPr>
                <w:rFonts w:ascii="Times New Roman" w:hAnsi="Times New Roman" w:cs="Times New Roman"/>
                <w:b/>
                <w:bCs/>
                <w:sz w:val="14"/>
                <w:szCs w:val="14"/>
                <w:highlight w:val="yellow"/>
              </w:rPr>
            </w:pPr>
            <w:r>
              <w:rPr>
                <w:rFonts w:ascii="Times New Roman" w:hAnsi="Times New Roman" w:cs="Times New Roman"/>
                <w:b/>
                <w:bCs/>
                <w:sz w:val="14"/>
                <w:szCs w:val="14"/>
              </w:rPr>
              <w:t>1 157 000</w:t>
            </w:r>
          </w:p>
        </w:tc>
        <w:tc>
          <w:tcPr>
            <w:tcW w:w="515" w:type="pct"/>
            <w:tcBorders>
              <w:top w:val="single" w:sz="4" w:space="0" w:color="auto"/>
              <w:left w:val="nil"/>
              <w:bottom w:val="single" w:sz="4" w:space="0" w:color="auto"/>
              <w:right w:val="single" w:sz="4" w:space="0" w:color="auto"/>
            </w:tcBorders>
            <w:shd w:val="clear" w:color="auto" w:fill="FFFFFF" w:themeFill="background1"/>
            <w:vAlign w:val="bottom"/>
            <w:hideMark/>
          </w:tcPr>
          <w:p w:rsidR="003A497B" w:rsidRDefault="003A497B" w:rsidP="003E1809">
            <w:pPr>
              <w:spacing w:line="276" w:lineRule="auto"/>
              <w:jc w:val="right"/>
              <w:rPr>
                <w:rFonts w:ascii="Times New Roman" w:hAnsi="Times New Roman" w:cs="Times New Roman"/>
                <w:b/>
                <w:bCs/>
                <w:sz w:val="14"/>
                <w:szCs w:val="14"/>
                <w:highlight w:val="yellow"/>
              </w:rPr>
            </w:pPr>
            <w:r>
              <w:rPr>
                <w:rFonts w:ascii="Times New Roman" w:hAnsi="Times New Roman" w:cs="Times New Roman"/>
                <w:b/>
                <w:bCs/>
                <w:sz w:val="14"/>
                <w:szCs w:val="14"/>
              </w:rPr>
              <w:t>750 000</w:t>
            </w:r>
          </w:p>
        </w:tc>
        <w:tc>
          <w:tcPr>
            <w:tcW w:w="476" w:type="pct"/>
            <w:tcBorders>
              <w:top w:val="single" w:sz="4" w:space="0" w:color="auto"/>
              <w:left w:val="nil"/>
              <w:bottom w:val="single" w:sz="4" w:space="0" w:color="auto"/>
              <w:right w:val="single" w:sz="4" w:space="0" w:color="auto"/>
            </w:tcBorders>
            <w:shd w:val="clear" w:color="auto" w:fill="FFFFFF" w:themeFill="background1"/>
            <w:vAlign w:val="bottom"/>
            <w:hideMark/>
          </w:tcPr>
          <w:p w:rsidR="003A497B" w:rsidRDefault="003A497B" w:rsidP="003E1809">
            <w:pPr>
              <w:spacing w:line="276" w:lineRule="auto"/>
              <w:jc w:val="right"/>
              <w:rPr>
                <w:rFonts w:ascii="Times New Roman" w:hAnsi="Times New Roman" w:cs="Times New Roman"/>
                <w:b/>
                <w:bCs/>
                <w:sz w:val="14"/>
                <w:szCs w:val="14"/>
                <w:highlight w:val="yellow"/>
              </w:rPr>
            </w:pPr>
            <w:r>
              <w:rPr>
                <w:rFonts w:ascii="Times New Roman" w:hAnsi="Times New Roman" w:cs="Times New Roman"/>
                <w:b/>
                <w:bCs/>
                <w:sz w:val="14"/>
                <w:szCs w:val="14"/>
              </w:rPr>
              <w:t>750 000</w:t>
            </w:r>
          </w:p>
        </w:tc>
      </w:tr>
    </w:tbl>
    <w:p w:rsidR="003A497B" w:rsidRDefault="003A497B" w:rsidP="003A497B">
      <w:pPr>
        <w:autoSpaceDE w:val="0"/>
        <w:autoSpaceDN w:val="0"/>
        <w:jc w:val="both"/>
        <w:rPr>
          <w:rFonts w:ascii="Times New Roman" w:hAnsi="Times New Roman" w:cs="Times New Roman"/>
          <w:color w:val="000000"/>
          <w:sz w:val="14"/>
          <w:szCs w:val="14"/>
          <w:lang w:eastAsia="sk-SK"/>
        </w:rPr>
      </w:pPr>
    </w:p>
    <w:p w:rsidR="003A497B" w:rsidRDefault="003A497B" w:rsidP="003A497B">
      <w:pPr>
        <w:ind w:firstLine="708"/>
        <w:jc w:val="both"/>
        <w:rPr>
          <w:rFonts w:ascii="Times New Roman" w:hAnsi="Times New Roman" w:cs="Times New Roman"/>
        </w:rPr>
      </w:pPr>
      <w:r>
        <w:rPr>
          <w:rFonts w:ascii="Times New Roman" w:hAnsi="Times New Roman" w:cs="Times New Roman"/>
        </w:rPr>
        <w:t>Na rok 2019 sa pre kapitolu navrhuje limit výdavkov v sume 32,9 mil. eur, čo predstavuje nárast o 10,9 mil. eur, t. j. o 49,3 % v porovnaní so schváleným rozpočtom roku 2018. Po očistení o výdavky na voľby a Sčítanie obyvateľov, domov a bytov ide o nárast v sume 4,96 mil. eur (25,3 %).</w:t>
      </w:r>
    </w:p>
    <w:p w:rsidR="003A497B"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Pr>
          <w:rFonts w:ascii="Times New Roman" w:hAnsi="Times New Roman" w:cs="Times New Roman"/>
        </w:rPr>
        <w:t>Objem osobných výdavkov sa na rok 2019 rozpočtuje na úrovni 16,4 mil. eur, čo predstavuje oproti schválenému rozpočtu roku 2018 nárast o 2,70 mil. eur, t. j. o 19,7 %. Dôvodom nárastu je najmä dopočet valorizácie platov zamestnancov z roku 2018</w:t>
      </w:r>
      <w:r>
        <w:t xml:space="preserve"> </w:t>
      </w:r>
      <w:r w:rsidR="009B395B">
        <w:br/>
      </w:r>
      <w:r>
        <w:rPr>
          <w:rFonts w:ascii="Times New Roman" w:hAnsi="Times New Roman" w:cs="Times New Roman"/>
        </w:rPr>
        <w:t>do nasledujúcich rokov, posilnenie mzdovej úrovne zamestnancov a zvýšenie výdavkov v súvislosti s voľbami prezidenta, voľbami do Európskeho parlamentu a Sčítaním obyvateľov, domov a bytov v roku 2021.</w:t>
      </w:r>
    </w:p>
    <w:p w:rsidR="003A497B" w:rsidRDefault="003A497B" w:rsidP="003A497B">
      <w:pPr>
        <w:ind w:firstLine="708"/>
        <w:jc w:val="both"/>
        <w:rPr>
          <w:rFonts w:ascii="Times New Roman" w:hAnsi="Times New Roman" w:cs="Times New Roman"/>
          <w:highlight w:val="yellow"/>
        </w:rPr>
      </w:pPr>
    </w:p>
    <w:p w:rsidR="003A497B" w:rsidRDefault="003A497B" w:rsidP="003A497B">
      <w:pPr>
        <w:autoSpaceDE w:val="0"/>
        <w:autoSpaceDN w:val="0"/>
        <w:adjustRightInd w:val="0"/>
        <w:ind w:firstLine="708"/>
        <w:jc w:val="both"/>
        <w:rPr>
          <w:rFonts w:ascii="Times New Roman" w:hAnsi="Times New Roman" w:cs="Times New Roman"/>
        </w:rPr>
      </w:pPr>
      <w:r>
        <w:rPr>
          <w:rFonts w:ascii="Times New Roman" w:hAnsi="Times New Roman" w:cs="Times New Roman"/>
        </w:rPr>
        <w:t>Kapitola na tovary a služby rozpisuje sumu 11,2 mil. eur, čo je viac o 4,02 mil. eur, t. j. o 55,7 % oproti schválenému rozpočtu roku 2018. Dôvodom je nárast výdavkov na voľby a bežnú prevádzku úradu.</w:t>
      </w:r>
    </w:p>
    <w:p w:rsidR="003A497B" w:rsidRDefault="003A497B" w:rsidP="003A497B">
      <w:pPr>
        <w:jc w:val="both"/>
        <w:rPr>
          <w:rFonts w:ascii="Times New Roman" w:hAnsi="Times New Roman" w:cs="Times New Roman"/>
          <w:highlight w:val="yellow"/>
        </w:rPr>
      </w:pPr>
    </w:p>
    <w:p w:rsidR="003A497B" w:rsidRDefault="003A497B" w:rsidP="003A497B">
      <w:pPr>
        <w:ind w:firstLine="708"/>
        <w:jc w:val="both"/>
        <w:rPr>
          <w:rFonts w:ascii="Times New Roman" w:hAnsi="Times New Roman" w:cs="Times New Roman"/>
        </w:rPr>
      </w:pPr>
      <w:r>
        <w:rPr>
          <w:rFonts w:ascii="Times New Roman" w:hAnsi="Times New Roman" w:cs="Times New Roman"/>
        </w:rPr>
        <w:t>Výdavky na bežné transfery sa rozpisujú v sume 673 tis. eur, čo je na úrovni schváleného rozpočtu na rok 2018.</w:t>
      </w:r>
    </w:p>
    <w:p w:rsidR="003A497B" w:rsidRDefault="003A497B" w:rsidP="003A497B">
      <w:pPr>
        <w:jc w:val="both"/>
        <w:rPr>
          <w:rFonts w:ascii="Times New Roman" w:hAnsi="Times New Roman" w:cs="Times New Roman"/>
          <w:highlight w:val="yellow"/>
        </w:rPr>
      </w:pPr>
    </w:p>
    <w:p w:rsidR="003A497B" w:rsidRDefault="003A497B" w:rsidP="003A497B">
      <w:pPr>
        <w:autoSpaceDE w:val="0"/>
        <w:autoSpaceDN w:val="0"/>
        <w:adjustRightInd w:val="0"/>
        <w:ind w:firstLine="708"/>
        <w:jc w:val="both"/>
        <w:rPr>
          <w:rFonts w:ascii="Times New Roman" w:hAnsi="Times New Roman" w:cs="Times New Roman"/>
        </w:rPr>
      </w:pPr>
      <w:r>
        <w:rPr>
          <w:rFonts w:ascii="Times New Roman" w:hAnsi="Times New Roman" w:cs="Times New Roman"/>
        </w:rPr>
        <w:t>Kapitálové výdavky sa rozpisujú vo výške 4,59 mil. eur, čo je v porovnaní s rozpočtom na rok 2018 deväťnásobný nárast o 4,15 mil. eur. Dôvodom je nárast výdavkov na Sčítanie obyvateľov, domov a bytov a voľby.</w:t>
      </w:r>
    </w:p>
    <w:p w:rsidR="003A497B" w:rsidRDefault="003A497B" w:rsidP="003A497B">
      <w:pPr>
        <w:autoSpaceDE w:val="0"/>
        <w:autoSpaceDN w:val="0"/>
        <w:adjustRightInd w:val="0"/>
        <w:ind w:firstLine="708"/>
        <w:jc w:val="both"/>
        <w:rPr>
          <w:rFonts w:ascii="Times New Roman" w:hAnsi="Times New Roman" w:cs="Times New Roman"/>
          <w:highlight w:val="yellow"/>
        </w:rPr>
      </w:pPr>
    </w:p>
    <w:p w:rsidR="003A497B" w:rsidRDefault="003A497B" w:rsidP="003A497B">
      <w:pPr>
        <w:ind w:firstLine="708"/>
        <w:jc w:val="both"/>
        <w:rPr>
          <w:rFonts w:ascii="Times New Roman" w:hAnsi="Times New Roman" w:cs="Times New Roman"/>
          <w:highlight w:val="yellow"/>
        </w:rPr>
      </w:pPr>
      <w:r>
        <w:rPr>
          <w:rFonts w:ascii="Times New Roman" w:hAnsi="Times New Roman" w:cs="Times New Roman"/>
        </w:rPr>
        <w:t>Štatistický úrad SR na rok 2019 rozpočtuje výdavky na samostatných účtoch v celkovej sume 1,15 mil. eur. Prostriedky zo samostatných účtov sú určené na mzdové náklady zamestnancov podieľajúcich sa na prácach EÚ projektov, ich materiálne zabezpečenie, úhradu dohôd a zahraničné pracovné cesty.</w:t>
      </w:r>
    </w:p>
    <w:p w:rsidR="003A497B" w:rsidRDefault="003A497B" w:rsidP="003A497B">
      <w:pPr>
        <w:autoSpaceDE w:val="0"/>
        <w:autoSpaceDN w:val="0"/>
        <w:adjustRightInd w:val="0"/>
        <w:ind w:firstLine="708"/>
        <w:jc w:val="both"/>
        <w:rPr>
          <w:rFonts w:ascii="Times New Roman" w:hAnsi="Times New Roman" w:cs="Times New Roman"/>
        </w:rPr>
      </w:pPr>
    </w:p>
    <w:p w:rsidR="00EE1354" w:rsidRDefault="00EE1354" w:rsidP="003A497B">
      <w:pPr>
        <w:autoSpaceDE w:val="0"/>
        <w:autoSpaceDN w:val="0"/>
        <w:adjustRightInd w:val="0"/>
        <w:ind w:firstLine="708"/>
        <w:jc w:val="both"/>
        <w:rPr>
          <w:rFonts w:ascii="Times New Roman" w:hAnsi="Times New Roman" w:cs="Times New Roman"/>
        </w:rPr>
      </w:pPr>
    </w:p>
    <w:p w:rsidR="00EE1354" w:rsidRDefault="00EE1354" w:rsidP="003A497B">
      <w:pPr>
        <w:autoSpaceDE w:val="0"/>
        <w:autoSpaceDN w:val="0"/>
        <w:adjustRightInd w:val="0"/>
        <w:ind w:firstLine="708"/>
        <w:jc w:val="both"/>
        <w:rPr>
          <w:rFonts w:ascii="Times New Roman" w:hAnsi="Times New Roman" w:cs="Times New Roman"/>
        </w:rPr>
      </w:pPr>
    </w:p>
    <w:p w:rsidR="003A497B" w:rsidRDefault="003A497B" w:rsidP="003A497B">
      <w:pPr>
        <w:autoSpaceDE w:val="0"/>
        <w:autoSpaceDN w:val="0"/>
        <w:adjustRightInd w:val="0"/>
        <w:ind w:firstLine="708"/>
        <w:jc w:val="both"/>
        <w:rPr>
          <w:rFonts w:ascii="Times New Roman" w:hAnsi="Times New Roman" w:cs="Times New Roman"/>
        </w:rPr>
      </w:pPr>
      <w:r>
        <w:rPr>
          <w:rFonts w:ascii="Times New Roman" w:hAnsi="Times New Roman" w:cs="Times New Roman"/>
        </w:rPr>
        <w:lastRenderedPageBreak/>
        <w:t>Kapitola formou transferu zabezpečuje financovanie príspevkovej organizácie INFOSTAT na rok 2019 v sume 630 tis. eur.</w:t>
      </w:r>
    </w:p>
    <w:p w:rsidR="003A497B" w:rsidRDefault="003A497B" w:rsidP="003A497B">
      <w:pPr>
        <w:autoSpaceDE w:val="0"/>
        <w:autoSpaceDN w:val="0"/>
        <w:adjustRightInd w:val="0"/>
        <w:ind w:firstLine="708"/>
        <w:jc w:val="both"/>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478"/>
        <w:gridCol w:w="939"/>
        <w:gridCol w:w="939"/>
        <w:gridCol w:w="941"/>
        <w:gridCol w:w="939"/>
        <w:gridCol w:w="941"/>
        <w:gridCol w:w="939"/>
        <w:gridCol w:w="946"/>
      </w:tblGrid>
      <w:tr w:rsidR="003A497B" w:rsidTr="003E1809">
        <w:trPr>
          <w:trHeight w:val="259"/>
        </w:trPr>
        <w:tc>
          <w:tcPr>
            <w:tcW w:w="1368" w:type="pct"/>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3A497B" w:rsidRDefault="003A497B" w:rsidP="003E1809">
            <w:pPr>
              <w:spacing w:line="276" w:lineRule="auto"/>
              <w:rPr>
                <w:rFonts w:ascii="Times New Roman" w:hAnsi="Times New Roman" w:cs="Times New Roman"/>
                <w:b/>
                <w:color w:val="000000"/>
                <w:sz w:val="14"/>
                <w:szCs w:val="14"/>
              </w:rPr>
            </w:pPr>
            <w:r>
              <w:rPr>
                <w:rFonts w:ascii="Times New Roman" w:hAnsi="Times New Roman" w:cs="Times New Roman"/>
                <w:b/>
                <w:color w:val="000000"/>
                <w:sz w:val="14"/>
                <w:szCs w:val="14"/>
              </w:rPr>
              <w:t>v eurách</w:t>
            </w:r>
          </w:p>
        </w:tc>
        <w:tc>
          <w:tcPr>
            <w:tcW w:w="518" w:type="pct"/>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3A497B" w:rsidRDefault="003A497B" w:rsidP="003E1809">
            <w:pPr>
              <w:spacing w:line="276"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2016 S</w:t>
            </w:r>
          </w:p>
        </w:tc>
        <w:tc>
          <w:tcPr>
            <w:tcW w:w="518" w:type="pct"/>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3A497B" w:rsidRDefault="003A497B" w:rsidP="003E1809">
            <w:pPr>
              <w:spacing w:line="276" w:lineRule="auto"/>
              <w:jc w:val="center"/>
              <w:rPr>
                <w:rFonts w:ascii="Times New Roman" w:hAnsi="Times New Roman" w:cs="Times New Roman"/>
                <w:b/>
                <w:bCs/>
                <w:color w:val="000000"/>
                <w:sz w:val="14"/>
                <w:szCs w:val="14"/>
                <w:highlight w:val="yellow"/>
              </w:rPr>
            </w:pPr>
            <w:r>
              <w:rPr>
                <w:rFonts w:ascii="Times New Roman" w:hAnsi="Times New Roman" w:cs="Times New Roman"/>
                <w:b/>
                <w:bCs/>
                <w:color w:val="000000"/>
                <w:sz w:val="14"/>
                <w:szCs w:val="14"/>
              </w:rPr>
              <w:t xml:space="preserve">2017 S </w:t>
            </w:r>
          </w:p>
        </w:tc>
        <w:tc>
          <w:tcPr>
            <w:tcW w:w="519" w:type="pct"/>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3A497B" w:rsidRDefault="003A497B" w:rsidP="003E1809">
            <w:pPr>
              <w:spacing w:line="276"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2018 R</w:t>
            </w:r>
          </w:p>
        </w:tc>
        <w:tc>
          <w:tcPr>
            <w:tcW w:w="518" w:type="pct"/>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3A497B" w:rsidRDefault="003A497B" w:rsidP="003E1809">
            <w:pPr>
              <w:spacing w:line="276"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2018 OS</w:t>
            </w:r>
          </w:p>
        </w:tc>
        <w:tc>
          <w:tcPr>
            <w:tcW w:w="519" w:type="pct"/>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3A497B" w:rsidRDefault="003A497B" w:rsidP="003E1809">
            <w:pPr>
              <w:spacing w:line="276"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2019 N</w:t>
            </w:r>
          </w:p>
        </w:tc>
        <w:tc>
          <w:tcPr>
            <w:tcW w:w="518" w:type="pct"/>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3A497B" w:rsidRDefault="003A497B" w:rsidP="003E1809">
            <w:pPr>
              <w:spacing w:line="276"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2020 N</w:t>
            </w:r>
          </w:p>
        </w:tc>
        <w:tc>
          <w:tcPr>
            <w:tcW w:w="522" w:type="pct"/>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3A497B" w:rsidRDefault="003A497B" w:rsidP="003E1809">
            <w:pPr>
              <w:spacing w:line="276" w:lineRule="auto"/>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2021 N</w:t>
            </w:r>
          </w:p>
        </w:tc>
      </w:tr>
      <w:tr w:rsidR="003A497B" w:rsidTr="003E1809">
        <w:trPr>
          <w:trHeight w:val="259"/>
        </w:trPr>
        <w:tc>
          <w:tcPr>
            <w:tcW w:w="1368" w:type="pct"/>
            <w:tcBorders>
              <w:top w:val="single" w:sz="4" w:space="0" w:color="auto"/>
              <w:left w:val="single" w:sz="4" w:space="0" w:color="auto"/>
              <w:bottom w:val="single" w:sz="4" w:space="0" w:color="auto"/>
              <w:right w:val="single" w:sz="4" w:space="0" w:color="auto"/>
            </w:tcBorders>
            <w:noWrap/>
            <w:vAlign w:val="center"/>
            <w:hideMark/>
          </w:tcPr>
          <w:p w:rsidR="003A497B" w:rsidRDefault="003A497B" w:rsidP="003E1809">
            <w:pPr>
              <w:spacing w:line="276" w:lineRule="auto"/>
              <w:rPr>
                <w:rFonts w:ascii="Times New Roman" w:hAnsi="Times New Roman" w:cs="Times New Roman"/>
                <w:bCs/>
                <w:sz w:val="14"/>
                <w:szCs w:val="14"/>
              </w:rPr>
            </w:pPr>
            <w:r>
              <w:rPr>
                <w:rFonts w:ascii="Times New Roman" w:hAnsi="Times New Roman" w:cs="Times New Roman"/>
                <w:bCs/>
                <w:sz w:val="14"/>
                <w:szCs w:val="14"/>
              </w:rPr>
              <w:t>INFOSTAT</w:t>
            </w:r>
          </w:p>
        </w:tc>
        <w:tc>
          <w:tcPr>
            <w:tcW w:w="518" w:type="pct"/>
            <w:tcBorders>
              <w:top w:val="single" w:sz="4" w:space="0" w:color="auto"/>
              <w:left w:val="nil"/>
              <w:bottom w:val="single" w:sz="4" w:space="0" w:color="auto"/>
              <w:right w:val="single" w:sz="4" w:space="0" w:color="auto"/>
            </w:tcBorders>
            <w:vAlign w:val="center"/>
            <w:hideMark/>
          </w:tcPr>
          <w:p w:rsidR="003A497B" w:rsidRDefault="003A497B" w:rsidP="003E1809">
            <w:pPr>
              <w:spacing w:line="276" w:lineRule="auto"/>
              <w:jc w:val="right"/>
              <w:rPr>
                <w:rFonts w:ascii="Times New Roman" w:hAnsi="Times New Roman" w:cs="Times New Roman"/>
                <w:bCs/>
                <w:sz w:val="14"/>
                <w:szCs w:val="14"/>
              </w:rPr>
            </w:pPr>
            <w:r>
              <w:rPr>
                <w:rFonts w:ascii="Times New Roman" w:hAnsi="Times New Roman" w:cs="Times New Roman"/>
                <w:bCs/>
                <w:sz w:val="14"/>
                <w:szCs w:val="14"/>
              </w:rPr>
              <w:t>920 797</w:t>
            </w:r>
          </w:p>
        </w:tc>
        <w:tc>
          <w:tcPr>
            <w:tcW w:w="518" w:type="pct"/>
            <w:tcBorders>
              <w:top w:val="single" w:sz="4" w:space="0" w:color="auto"/>
              <w:left w:val="nil"/>
              <w:bottom w:val="single" w:sz="4" w:space="0" w:color="auto"/>
              <w:right w:val="single" w:sz="4" w:space="0" w:color="auto"/>
            </w:tcBorders>
            <w:vAlign w:val="center"/>
            <w:hideMark/>
          </w:tcPr>
          <w:p w:rsidR="003A497B" w:rsidRDefault="003A497B" w:rsidP="003E1809">
            <w:pPr>
              <w:spacing w:line="276" w:lineRule="auto"/>
              <w:jc w:val="right"/>
              <w:rPr>
                <w:rFonts w:ascii="Times New Roman" w:hAnsi="Times New Roman" w:cs="Times New Roman"/>
                <w:bCs/>
                <w:sz w:val="14"/>
                <w:szCs w:val="14"/>
              </w:rPr>
            </w:pPr>
            <w:r>
              <w:rPr>
                <w:rFonts w:ascii="Times New Roman" w:hAnsi="Times New Roman" w:cs="Times New Roman"/>
                <w:bCs/>
                <w:sz w:val="14"/>
                <w:szCs w:val="14"/>
              </w:rPr>
              <w:t>959 184</w:t>
            </w:r>
          </w:p>
        </w:tc>
        <w:tc>
          <w:tcPr>
            <w:tcW w:w="519" w:type="pct"/>
            <w:tcBorders>
              <w:top w:val="single" w:sz="4" w:space="0" w:color="auto"/>
              <w:left w:val="nil"/>
              <w:bottom w:val="single" w:sz="4" w:space="0" w:color="auto"/>
              <w:right w:val="single" w:sz="4" w:space="0" w:color="auto"/>
            </w:tcBorders>
            <w:vAlign w:val="center"/>
            <w:hideMark/>
          </w:tcPr>
          <w:p w:rsidR="003A497B" w:rsidRDefault="003A497B" w:rsidP="003E1809">
            <w:pPr>
              <w:spacing w:line="276" w:lineRule="auto"/>
              <w:jc w:val="right"/>
              <w:rPr>
                <w:rFonts w:ascii="Times New Roman" w:hAnsi="Times New Roman" w:cs="Times New Roman"/>
                <w:bCs/>
                <w:sz w:val="14"/>
                <w:szCs w:val="14"/>
                <w:highlight w:val="yellow"/>
              </w:rPr>
            </w:pPr>
            <w:r>
              <w:rPr>
                <w:rFonts w:ascii="Times New Roman" w:hAnsi="Times New Roman" w:cs="Times New Roman"/>
                <w:bCs/>
                <w:sz w:val="14"/>
                <w:szCs w:val="14"/>
              </w:rPr>
              <w:t>630 000</w:t>
            </w:r>
          </w:p>
        </w:tc>
        <w:tc>
          <w:tcPr>
            <w:tcW w:w="518" w:type="pct"/>
            <w:tcBorders>
              <w:top w:val="single" w:sz="4" w:space="0" w:color="auto"/>
              <w:left w:val="nil"/>
              <w:bottom w:val="single" w:sz="4" w:space="0" w:color="auto"/>
              <w:right w:val="single" w:sz="4" w:space="0" w:color="auto"/>
            </w:tcBorders>
            <w:vAlign w:val="center"/>
            <w:hideMark/>
          </w:tcPr>
          <w:p w:rsidR="003A497B" w:rsidRDefault="003A497B" w:rsidP="003E1809">
            <w:pPr>
              <w:spacing w:line="276" w:lineRule="auto"/>
              <w:jc w:val="right"/>
              <w:rPr>
                <w:rFonts w:ascii="Times New Roman" w:hAnsi="Times New Roman" w:cs="Times New Roman"/>
                <w:bCs/>
                <w:sz w:val="14"/>
                <w:szCs w:val="14"/>
                <w:highlight w:val="yellow"/>
              </w:rPr>
            </w:pPr>
            <w:r>
              <w:rPr>
                <w:rFonts w:ascii="Times New Roman" w:hAnsi="Times New Roman" w:cs="Times New Roman"/>
                <w:bCs/>
                <w:sz w:val="14"/>
                <w:szCs w:val="14"/>
              </w:rPr>
              <w:t>630 000</w:t>
            </w:r>
          </w:p>
        </w:tc>
        <w:tc>
          <w:tcPr>
            <w:tcW w:w="519" w:type="pct"/>
            <w:tcBorders>
              <w:top w:val="single" w:sz="4" w:space="0" w:color="auto"/>
              <w:left w:val="nil"/>
              <w:bottom w:val="single" w:sz="4" w:space="0" w:color="auto"/>
              <w:right w:val="single" w:sz="4" w:space="0" w:color="auto"/>
            </w:tcBorders>
            <w:vAlign w:val="center"/>
            <w:hideMark/>
          </w:tcPr>
          <w:p w:rsidR="003A497B" w:rsidRDefault="003A497B" w:rsidP="003E1809">
            <w:pPr>
              <w:spacing w:line="276" w:lineRule="auto"/>
              <w:jc w:val="right"/>
              <w:rPr>
                <w:rFonts w:ascii="Times New Roman" w:hAnsi="Times New Roman" w:cs="Times New Roman"/>
                <w:bCs/>
                <w:sz w:val="14"/>
                <w:szCs w:val="14"/>
              </w:rPr>
            </w:pPr>
            <w:r>
              <w:rPr>
                <w:rFonts w:ascii="Times New Roman" w:hAnsi="Times New Roman" w:cs="Times New Roman"/>
                <w:bCs/>
                <w:sz w:val="14"/>
                <w:szCs w:val="14"/>
              </w:rPr>
              <w:t>630 000</w:t>
            </w:r>
          </w:p>
        </w:tc>
        <w:tc>
          <w:tcPr>
            <w:tcW w:w="518" w:type="pct"/>
            <w:tcBorders>
              <w:top w:val="single" w:sz="4" w:space="0" w:color="auto"/>
              <w:left w:val="nil"/>
              <w:bottom w:val="single" w:sz="4" w:space="0" w:color="auto"/>
              <w:right w:val="single" w:sz="4" w:space="0" w:color="auto"/>
            </w:tcBorders>
            <w:vAlign w:val="center"/>
            <w:hideMark/>
          </w:tcPr>
          <w:p w:rsidR="003A497B" w:rsidRDefault="003A497B" w:rsidP="003E1809">
            <w:pPr>
              <w:spacing w:line="276" w:lineRule="auto"/>
              <w:jc w:val="right"/>
              <w:rPr>
                <w:rFonts w:ascii="Times New Roman" w:hAnsi="Times New Roman" w:cs="Times New Roman"/>
                <w:bCs/>
                <w:sz w:val="14"/>
                <w:szCs w:val="14"/>
              </w:rPr>
            </w:pPr>
            <w:r>
              <w:rPr>
                <w:rFonts w:ascii="Times New Roman" w:hAnsi="Times New Roman" w:cs="Times New Roman"/>
                <w:bCs/>
                <w:sz w:val="14"/>
                <w:szCs w:val="14"/>
              </w:rPr>
              <w:t>630 000</w:t>
            </w:r>
          </w:p>
        </w:tc>
        <w:tc>
          <w:tcPr>
            <w:tcW w:w="522" w:type="pct"/>
            <w:tcBorders>
              <w:top w:val="single" w:sz="4" w:space="0" w:color="auto"/>
              <w:left w:val="nil"/>
              <w:bottom w:val="single" w:sz="4" w:space="0" w:color="auto"/>
              <w:right w:val="single" w:sz="4" w:space="0" w:color="auto"/>
            </w:tcBorders>
            <w:vAlign w:val="center"/>
            <w:hideMark/>
          </w:tcPr>
          <w:p w:rsidR="003A497B" w:rsidRDefault="003A497B" w:rsidP="003E1809">
            <w:pPr>
              <w:spacing w:line="276" w:lineRule="auto"/>
              <w:jc w:val="right"/>
              <w:rPr>
                <w:rFonts w:ascii="Times New Roman" w:hAnsi="Times New Roman" w:cs="Times New Roman"/>
                <w:bCs/>
                <w:sz w:val="14"/>
                <w:szCs w:val="14"/>
              </w:rPr>
            </w:pPr>
            <w:r>
              <w:rPr>
                <w:rFonts w:ascii="Times New Roman" w:hAnsi="Times New Roman" w:cs="Times New Roman"/>
                <w:bCs/>
                <w:sz w:val="14"/>
                <w:szCs w:val="14"/>
              </w:rPr>
              <w:t>630 000</w:t>
            </w:r>
          </w:p>
        </w:tc>
      </w:tr>
    </w:tbl>
    <w:p w:rsidR="003A497B" w:rsidRPr="00912A7B" w:rsidRDefault="003A497B" w:rsidP="003A497B">
      <w:pPr>
        <w:pStyle w:val="Nadpis5"/>
        <w:pBdr>
          <w:bottom w:val="single" w:sz="4" w:space="1" w:color="auto"/>
        </w:pBdr>
        <w:ind w:left="0"/>
        <w:rPr>
          <w:i w:val="0"/>
          <w:sz w:val="24"/>
          <w:lang w:eastAsia="sk-SK"/>
        </w:rPr>
      </w:pPr>
      <w:bookmarkStart w:id="269" w:name="_Toc526267716"/>
      <w:r w:rsidRPr="00912A7B">
        <w:rPr>
          <w:i w:val="0"/>
          <w:sz w:val="24"/>
          <w:lang w:eastAsia="sk-SK"/>
        </w:rPr>
        <w:t>Úrad pre verejné obstarávanie</w:t>
      </w:r>
      <w:bookmarkEnd w:id="267"/>
      <w:bookmarkEnd w:id="268"/>
      <w:bookmarkEnd w:id="269"/>
    </w:p>
    <w:p w:rsidR="003A497B" w:rsidRPr="00E14983" w:rsidRDefault="003A497B" w:rsidP="003A497B">
      <w:pPr>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2529"/>
        <w:gridCol w:w="965"/>
        <w:gridCol w:w="965"/>
        <w:gridCol w:w="963"/>
        <w:gridCol w:w="962"/>
        <w:gridCol w:w="964"/>
        <w:gridCol w:w="913"/>
        <w:gridCol w:w="801"/>
      </w:tblGrid>
      <w:tr w:rsidR="003A497B" w:rsidRPr="00081506" w:rsidTr="003E1809">
        <w:trPr>
          <w:trHeight w:val="259"/>
        </w:trPr>
        <w:tc>
          <w:tcPr>
            <w:tcW w:w="139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081506" w:rsidRDefault="003A497B" w:rsidP="003E1809">
            <w:pPr>
              <w:rPr>
                <w:rFonts w:ascii="Times New Roman" w:hAnsi="Times New Roman" w:cs="Times New Roman"/>
                <w:b/>
                <w:bCs/>
                <w:color w:val="000000"/>
                <w:sz w:val="14"/>
                <w:szCs w:val="14"/>
              </w:rPr>
            </w:pPr>
            <w:r w:rsidRPr="00081506">
              <w:rPr>
                <w:rFonts w:ascii="Times New Roman" w:hAnsi="Times New Roman" w:cs="Times New Roman"/>
                <w:color w:val="000000"/>
                <w:sz w:val="14"/>
                <w:szCs w:val="14"/>
              </w:rPr>
              <w:br w:type="page"/>
            </w:r>
            <w:r w:rsidRPr="00081506">
              <w:rPr>
                <w:rFonts w:ascii="Times New Roman" w:hAnsi="Times New Roman" w:cs="Times New Roman"/>
                <w:b/>
                <w:bCs/>
                <w:color w:val="000000"/>
                <w:sz w:val="14"/>
                <w:szCs w:val="14"/>
              </w:rPr>
              <w:t> v eurách</w:t>
            </w:r>
          </w:p>
        </w:tc>
        <w:tc>
          <w:tcPr>
            <w:tcW w:w="5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3A497B" w:rsidRPr="00FA3C68" w:rsidRDefault="003A497B" w:rsidP="003E1809">
            <w:pPr>
              <w:jc w:val="center"/>
              <w:rPr>
                <w:rFonts w:ascii="Times New Roman" w:hAnsi="Times New Roman" w:cs="Times New Roman"/>
                <w:b/>
                <w:bCs/>
                <w:color w:val="000000"/>
                <w:sz w:val="14"/>
                <w:szCs w:val="14"/>
              </w:rPr>
            </w:pPr>
            <w:r w:rsidRPr="00FA3C68">
              <w:rPr>
                <w:rFonts w:ascii="Times New Roman" w:hAnsi="Times New Roman" w:cs="Times New Roman"/>
                <w:b/>
                <w:bCs/>
                <w:color w:val="000000"/>
                <w:sz w:val="14"/>
                <w:szCs w:val="14"/>
              </w:rPr>
              <w:t>2016 S</w:t>
            </w:r>
          </w:p>
        </w:tc>
        <w:tc>
          <w:tcPr>
            <w:tcW w:w="5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3A497B" w:rsidRPr="00FA3C68" w:rsidRDefault="003A497B" w:rsidP="003E1809">
            <w:pPr>
              <w:jc w:val="center"/>
              <w:rPr>
                <w:rFonts w:ascii="Times New Roman" w:hAnsi="Times New Roman" w:cs="Times New Roman"/>
                <w:b/>
                <w:bCs/>
                <w:color w:val="000000"/>
                <w:sz w:val="14"/>
                <w:szCs w:val="14"/>
                <w:highlight w:val="yellow"/>
              </w:rPr>
            </w:pPr>
            <w:r w:rsidRPr="00FA3C68">
              <w:rPr>
                <w:rFonts w:ascii="Times New Roman" w:hAnsi="Times New Roman" w:cs="Times New Roman"/>
                <w:b/>
                <w:bCs/>
                <w:color w:val="000000"/>
                <w:sz w:val="14"/>
                <w:szCs w:val="14"/>
              </w:rPr>
              <w:t xml:space="preserve">2017 S </w:t>
            </w:r>
          </w:p>
        </w:tc>
        <w:tc>
          <w:tcPr>
            <w:tcW w:w="53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3A497B" w:rsidRPr="00FA3C68" w:rsidRDefault="003A497B" w:rsidP="003E1809">
            <w:pPr>
              <w:jc w:val="center"/>
              <w:rPr>
                <w:rFonts w:ascii="Times New Roman" w:hAnsi="Times New Roman" w:cs="Times New Roman"/>
                <w:b/>
                <w:bCs/>
                <w:color w:val="000000"/>
                <w:sz w:val="14"/>
                <w:szCs w:val="14"/>
              </w:rPr>
            </w:pPr>
            <w:r w:rsidRPr="00FA3C68">
              <w:rPr>
                <w:rFonts w:ascii="Times New Roman" w:hAnsi="Times New Roman" w:cs="Times New Roman"/>
                <w:b/>
                <w:bCs/>
                <w:color w:val="000000"/>
                <w:sz w:val="14"/>
                <w:szCs w:val="14"/>
              </w:rPr>
              <w:t>2018 R</w:t>
            </w:r>
          </w:p>
        </w:tc>
        <w:tc>
          <w:tcPr>
            <w:tcW w:w="53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3A497B" w:rsidRPr="00FA3C68" w:rsidRDefault="003A497B" w:rsidP="003E1809">
            <w:pPr>
              <w:jc w:val="center"/>
              <w:rPr>
                <w:rFonts w:ascii="Times New Roman" w:hAnsi="Times New Roman" w:cs="Times New Roman"/>
                <w:b/>
                <w:bCs/>
                <w:color w:val="000000"/>
                <w:sz w:val="14"/>
                <w:szCs w:val="14"/>
              </w:rPr>
            </w:pPr>
            <w:r w:rsidRPr="00FA3C68">
              <w:rPr>
                <w:rFonts w:ascii="Times New Roman" w:hAnsi="Times New Roman" w:cs="Times New Roman"/>
                <w:b/>
                <w:bCs/>
                <w:color w:val="000000"/>
                <w:sz w:val="14"/>
                <w:szCs w:val="14"/>
              </w:rPr>
              <w:t>2018 OS</w:t>
            </w:r>
          </w:p>
        </w:tc>
        <w:tc>
          <w:tcPr>
            <w:tcW w:w="53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3A497B" w:rsidRPr="00FA3C68" w:rsidRDefault="003A497B" w:rsidP="003E1809">
            <w:pPr>
              <w:jc w:val="center"/>
              <w:rPr>
                <w:rFonts w:ascii="Times New Roman" w:hAnsi="Times New Roman" w:cs="Times New Roman"/>
                <w:b/>
                <w:bCs/>
                <w:color w:val="000000"/>
                <w:sz w:val="14"/>
                <w:szCs w:val="14"/>
              </w:rPr>
            </w:pPr>
            <w:r w:rsidRPr="00FA3C68">
              <w:rPr>
                <w:rFonts w:ascii="Times New Roman" w:hAnsi="Times New Roman" w:cs="Times New Roman"/>
                <w:b/>
                <w:bCs/>
                <w:color w:val="000000"/>
                <w:sz w:val="14"/>
                <w:szCs w:val="14"/>
              </w:rPr>
              <w:t>2019 N</w:t>
            </w:r>
          </w:p>
        </w:tc>
        <w:tc>
          <w:tcPr>
            <w:tcW w:w="504"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3A497B" w:rsidRPr="00FA3C68" w:rsidRDefault="003A497B" w:rsidP="003E1809">
            <w:pPr>
              <w:jc w:val="center"/>
              <w:rPr>
                <w:rFonts w:ascii="Times New Roman" w:hAnsi="Times New Roman" w:cs="Times New Roman"/>
                <w:b/>
                <w:bCs/>
                <w:color w:val="000000"/>
                <w:sz w:val="14"/>
                <w:szCs w:val="14"/>
              </w:rPr>
            </w:pPr>
            <w:r w:rsidRPr="00FA3C68">
              <w:rPr>
                <w:rFonts w:ascii="Times New Roman" w:hAnsi="Times New Roman" w:cs="Times New Roman"/>
                <w:b/>
                <w:bCs/>
                <w:color w:val="000000"/>
                <w:sz w:val="14"/>
                <w:szCs w:val="14"/>
              </w:rPr>
              <w:t>2020 N</w:t>
            </w:r>
          </w:p>
        </w:tc>
        <w:tc>
          <w:tcPr>
            <w:tcW w:w="442"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3A497B" w:rsidRPr="00FA3C68" w:rsidRDefault="003A497B" w:rsidP="003E1809">
            <w:pPr>
              <w:jc w:val="center"/>
              <w:rPr>
                <w:rFonts w:ascii="Times New Roman" w:hAnsi="Times New Roman" w:cs="Times New Roman"/>
                <w:b/>
                <w:bCs/>
                <w:color w:val="000000"/>
                <w:sz w:val="14"/>
                <w:szCs w:val="14"/>
              </w:rPr>
            </w:pPr>
            <w:r w:rsidRPr="00FA3C68">
              <w:rPr>
                <w:rFonts w:ascii="Times New Roman" w:hAnsi="Times New Roman" w:cs="Times New Roman"/>
                <w:b/>
                <w:bCs/>
                <w:color w:val="000000"/>
                <w:sz w:val="14"/>
                <w:szCs w:val="14"/>
              </w:rPr>
              <w:t>2021 N</w:t>
            </w:r>
          </w:p>
        </w:tc>
      </w:tr>
      <w:tr w:rsidR="003A497B" w:rsidRPr="00081506" w:rsidTr="003E1809">
        <w:trPr>
          <w:trHeight w:val="259"/>
        </w:trPr>
        <w:tc>
          <w:tcPr>
            <w:tcW w:w="1395"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A497B" w:rsidRPr="00081506" w:rsidRDefault="003A497B" w:rsidP="003E1809">
            <w:pPr>
              <w:rPr>
                <w:rFonts w:ascii="Times New Roman" w:hAnsi="Times New Roman" w:cs="Times New Roman"/>
                <w:b/>
                <w:bCs/>
                <w:color w:val="000000"/>
                <w:sz w:val="14"/>
                <w:szCs w:val="14"/>
              </w:rPr>
            </w:pPr>
            <w:r w:rsidRPr="00081506">
              <w:rPr>
                <w:rFonts w:ascii="Times New Roman" w:hAnsi="Times New Roman" w:cs="Times New Roman"/>
                <w:b/>
                <w:bCs/>
                <w:color w:val="000000"/>
                <w:sz w:val="14"/>
                <w:szCs w:val="14"/>
              </w:rPr>
              <w:t>Zdroje príslušnej kapitoly</w:t>
            </w:r>
          </w:p>
        </w:tc>
        <w:tc>
          <w:tcPr>
            <w:tcW w:w="532" w:type="pct"/>
            <w:tcBorders>
              <w:top w:val="nil"/>
              <w:left w:val="nil"/>
              <w:bottom w:val="single" w:sz="4" w:space="0" w:color="auto"/>
              <w:right w:val="single" w:sz="4" w:space="0" w:color="auto"/>
            </w:tcBorders>
            <w:shd w:val="clear" w:color="auto" w:fill="BFBFBF" w:themeFill="background1" w:themeFillShade="BF"/>
            <w:vAlign w:val="bottom"/>
          </w:tcPr>
          <w:p w:rsidR="003A497B" w:rsidRPr="00FA3C68" w:rsidRDefault="003A497B" w:rsidP="003E1809">
            <w:pPr>
              <w:jc w:val="right"/>
              <w:rPr>
                <w:rFonts w:ascii="Times New Roman" w:hAnsi="Times New Roman" w:cs="Times New Roman"/>
                <w:b/>
                <w:bCs/>
                <w:color w:val="000000"/>
                <w:sz w:val="14"/>
                <w:szCs w:val="14"/>
                <w:highlight w:val="yellow"/>
              </w:rPr>
            </w:pPr>
            <w:r w:rsidRPr="00FA3C68">
              <w:rPr>
                <w:rFonts w:ascii="Times New Roman" w:hAnsi="Times New Roman" w:cs="Times New Roman"/>
                <w:b/>
                <w:bCs/>
                <w:color w:val="000000"/>
                <w:sz w:val="14"/>
                <w:szCs w:val="14"/>
              </w:rPr>
              <w:t>8 625 748</w:t>
            </w:r>
          </w:p>
        </w:tc>
        <w:tc>
          <w:tcPr>
            <w:tcW w:w="532" w:type="pct"/>
            <w:tcBorders>
              <w:top w:val="nil"/>
              <w:left w:val="nil"/>
              <w:bottom w:val="single" w:sz="4" w:space="0" w:color="auto"/>
              <w:right w:val="single" w:sz="4" w:space="0" w:color="auto"/>
            </w:tcBorders>
            <w:shd w:val="clear" w:color="auto" w:fill="BFBFBF" w:themeFill="background1" w:themeFillShade="BF"/>
            <w:vAlign w:val="bottom"/>
          </w:tcPr>
          <w:p w:rsidR="003A497B" w:rsidRPr="00FA3C68" w:rsidRDefault="003A497B" w:rsidP="003E1809">
            <w:pPr>
              <w:jc w:val="right"/>
              <w:rPr>
                <w:rFonts w:ascii="Times New Roman" w:hAnsi="Times New Roman" w:cs="Times New Roman"/>
                <w:b/>
                <w:bCs/>
                <w:color w:val="000000"/>
                <w:sz w:val="14"/>
                <w:szCs w:val="14"/>
                <w:highlight w:val="yellow"/>
              </w:rPr>
            </w:pPr>
            <w:r w:rsidRPr="00FA3C68">
              <w:rPr>
                <w:rFonts w:ascii="Times New Roman" w:hAnsi="Times New Roman" w:cs="Times New Roman"/>
                <w:b/>
                <w:bCs/>
                <w:color w:val="000000"/>
                <w:sz w:val="14"/>
                <w:szCs w:val="14"/>
              </w:rPr>
              <w:t>8 100 950</w:t>
            </w:r>
          </w:p>
        </w:tc>
        <w:tc>
          <w:tcPr>
            <w:tcW w:w="531" w:type="pct"/>
            <w:tcBorders>
              <w:top w:val="nil"/>
              <w:left w:val="nil"/>
              <w:bottom w:val="single" w:sz="4" w:space="0" w:color="auto"/>
              <w:right w:val="single" w:sz="4" w:space="0" w:color="auto"/>
            </w:tcBorders>
            <w:shd w:val="clear" w:color="auto" w:fill="BFBFBF" w:themeFill="background1" w:themeFillShade="BF"/>
            <w:vAlign w:val="bottom"/>
          </w:tcPr>
          <w:p w:rsidR="003A497B" w:rsidRPr="00FA3C68" w:rsidRDefault="003A497B" w:rsidP="003E1809">
            <w:pPr>
              <w:jc w:val="right"/>
              <w:rPr>
                <w:rFonts w:ascii="Times New Roman" w:hAnsi="Times New Roman" w:cs="Times New Roman"/>
                <w:b/>
                <w:bCs/>
                <w:color w:val="000000"/>
                <w:sz w:val="14"/>
                <w:szCs w:val="14"/>
                <w:highlight w:val="yellow"/>
              </w:rPr>
            </w:pPr>
            <w:r w:rsidRPr="00FA3C68">
              <w:rPr>
                <w:rFonts w:ascii="Times New Roman" w:hAnsi="Times New Roman" w:cs="Times New Roman"/>
                <w:b/>
                <w:bCs/>
                <w:color w:val="000000"/>
                <w:sz w:val="14"/>
                <w:szCs w:val="14"/>
              </w:rPr>
              <w:t>7 547 667</w:t>
            </w:r>
          </w:p>
        </w:tc>
        <w:tc>
          <w:tcPr>
            <w:tcW w:w="531" w:type="pct"/>
            <w:tcBorders>
              <w:top w:val="nil"/>
              <w:left w:val="nil"/>
              <w:bottom w:val="single" w:sz="4" w:space="0" w:color="auto"/>
              <w:right w:val="single" w:sz="4" w:space="0" w:color="auto"/>
            </w:tcBorders>
            <w:shd w:val="clear" w:color="auto" w:fill="BFBFBF" w:themeFill="background1" w:themeFillShade="BF"/>
            <w:vAlign w:val="bottom"/>
          </w:tcPr>
          <w:p w:rsidR="003A497B" w:rsidRPr="0098446E" w:rsidRDefault="003A497B" w:rsidP="003E180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8 039 299</w:t>
            </w:r>
          </w:p>
        </w:tc>
        <w:tc>
          <w:tcPr>
            <w:tcW w:w="532" w:type="pct"/>
            <w:tcBorders>
              <w:top w:val="nil"/>
              <w:left w:val="nil"/>
              <w:bottom w:val="single" w:sz="4" w:space="0" w:color="auto"/>
              <w:right w:val="single" w:sz="4" w:space="0" w:color="auto"/>
            </w:tcBorders>
            <w:shd w:val="clear" w:color="auto" w:fill="BFBFBF" w:themeFill="background1" w:themeFillShade="BF"/>
            <w:vAlign w:val="bottom"/>
          </w:tcPr>
          <w:p w:rsidR="003A497B" w:rsidRPr="00FA3C68" w:rsidRDefault="003A497B" w:rsidP="003E180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9</w:t>
            </w:r>
            <w:r w:rsidRPr="00FA3C68">
              <w:rPr>
                <w:rFonts w:ascii="Times New Roman" w:hAnsi="Times New Roman" w:cs="Times New Roman"/>
                <w:b/>
                <w:bCs/>
                <w:color w:val="000000"/>
                <w:sz w:val="14"/>
                <w:szCs w:val="14"/>
              </w:rPr>
              <w:t> </w:t>
            </w:r>
            <w:r>
              <w:rPr>
                <w:rFonts w:ascii="Times New Roman" w:hAnsi="Times New Roman" w:cs="Times New Roman"/>
                <w:b/>
                <w:bCs/>
                <w:color w:val="000000"/>
                <w:sz w:val="14"/>
                <w:szCs w:val="14"/>
              </w:rPr>
              <w:t>3</w:t>
            </w:r>
            <w:r w:rsidRPr="00FA3C68">
              <w:rPr>
                <w:rFonts w:ascii="Times New Roman" w:hAnsi="Times New Roman" w:cs="Times New Roman"/>
                <w:b/>
                <w:bCs/>
                <w:color w:val="000000"/>
                <w:sz w:val="14"/>
                <w:szCs w:val="14"/>
              </w:rPr>
              <w:t>06 612</w:t>
            </w:r>
          </w:p>
        </w:tc>
        <w:tc>
          <w:tcPr>
            <w:tcW w:w="504" w:type="pct"/>
            <w:tcBorders>
              <w:top w:val="nil"/>
              <w:left w:val="nil"/>
              <w:bottom w:val="single" w:sz="4" w:space="0" w:color="auto"/>
              <w:right w:val="single" w:sz="4" w:space="0" w:color="auto"/>
            </w:tcBorders>
            <w:shd w:val="clear" w:color="auto" w:fill="BFBFBF" w:themeFill="background1" w:themeFillShade="BF"/>
            <w:vAlign w:val="bottom"/>
          </w:tcPr>
          <w:p w:rsidR="003A497B" w:rsidRPr="00FA3C68" w:rsidRDefault="003A497B" w:rsidP="003E1809">
            <w:pPr>
              <w:jc w:val="right"/>
              <w:rPr>
                <w:rFonts w:ascii="Times New Roman" w:hAnsi="Times New Roman" w:cs="Times New Roman"/>
                <w:b/>
                <w:bCs/>
                <w:color w:val="000000"/>
                <w:sz w:val="14"/>
                <w:szCs w:val="14"/>
              </w:rPr>
            </w:pPr>
            <w:r w:rsidRPr="00FA3C68">
              <w:rPr>
                <w:rFonts w:ascii="Times New Roman" w:hAnsi="Times New Roman" w:cs="Times New Roman"/>
                <w:b/>
                <w:bCs/>
                <w:color w:val="000000"/>
                <w:sz w:val="14"/>
                <w:szCs w:val="14"/>
              </w:rPr>
              <w:t>7 806 612</w:t>
            </w:r>
          </w:p>
        </w:tc>
        <w:tc>
          <w:tcPr>
            <w:tcW w:w="442" w:type="pct"/>
            <w:tcBorders>
              <w:top w:val="nil"/>
              <w:left w:val="nil"/>
              <w:bottom w:val="single" w:sz="4" w:space="0" w:color="auto"/>
              <w:right w:val="single" w:sz="4" w:space="0" w:color="auto"/>
            </w:tcBorders>
            <w:shd w:val="clear" w:color="auto" w:fill="BFBFBF" w:themeFill="background1" w:themeFillShade="BF"/>
            <w:vAlign w:val="bottom"/>
          </w:tcPr>
          <w:p w:rsidR="003A497B" w:rsidRPr="00FA3C68" w:rsidRDefault="003A497B" w:rsidP="003E1809">
            <w:pPr>
              <w:jc w:val="right"/>
              <w:rPr>
                <w:rFonts w:ascii="Times New Roman" w:hAnsi="Times New Roman" w:cs="Times New Roman"/>
                <w:b/>
                <w:bCs/>
                <w:color w:val="000000"/>
                <w:sz w:val="14"/>
                <w:szCs w:val="14"/>
              </w:rPr>
            </w:pPr>
            <w:r w:rsidRPr="00FA3C68">
              <w:rPr>
                <w:rFonts w:ascii="Times New Roman" w:hAnsi="Times New Roman" w:cs="Times New Roman"/>
                <w:b/>
                <w:bCs/>
                <w:color w:val="000000"/>
                <w:sz w:val="14"/>
                <w:szCs w:val="14"/>
              </w:rPr>
              <w:t>7 806 612</w:t>
            </w:r>
          </w:p>
        </w:tc>
      </w:tr>
      <w:tr w:rsidR="003A497B" w:rsidRPr="00081506" w:rsidTr="003E1809">
        <w:trPr>
          <w:trHeight w:val="259"/>
        </w:trPr>
        <w:tc>
          <w:tcPr>
            <w:tcW w:w="1395"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1506" w:rsidRDefault="003A497B" w:rsidP="003E1809">
            <w:pPr>
              <w:rPr>
                <w:rFonts w:ascii="Times New Roman" w:hAnsi="Times New Roman" w:cs="Times New Roman"/>
                <w:b/>
                <w:sz w:val="14"/>
                <w:szCs w:val="14"/>
              </w:rPr>
            </w:pPr>
            <w:r w:rsidRPr="00081506">
              <w:rPr>
                <w:rFonts w:ascii="Times New Roman" w:hAnsi="Times New Roman" w:cs="Times New Roman"/>
                <w:b/>
                <w:sz w:val="14"/>
                <w:szCs w:val="14"/>
              </w:rPr>
              <w:t>rozpoč</w:t>
            </w:r>
            <w:r>
              <w:rPr>
                <w:rFonts w:ascii="Times New Roman" w:hAnsi="Times New Roman" w:cs="Times New Roman"/>
                <w:b/>
                <w:sz w:val="14"/>
                <w:szCs w:val="14"/>
              </w:rPr>
              <w:t>tové zdroje kapitoly</w:t>
            </w:r>
          </w:p>
        </w:tc>
        <w:tc>
          <w:tcPr>
            <w:tcW w:w="532" w:type="pct"/>
            <w:tcBorders>
              <w:top w:val="nil"/>
              <w:left w:val="nil"/>
              <w:bottom w:val="single" w:sz="4" w:space="0" w:color="auto"/>
              <w:right w:val="single" w:sz="4" w:space="0" w:color="auto"/>
            </w:tcBorders>
            <w:shd w:val="clear" w:color="auto" w:fill="auto"/>
            <w:noWrap/>
            <w:vAlign w:val="bottom"/>
          </w:tcPr>
          <w:p w:rsidR="003A497B" w:rsidRPr="00FA3C68" w:rsidRDefault="003A497B" w:rsidP="003E1809">
            <w:pPr>
              <w:jc w:val="right"/>
              <w:rPr>
                <w:rFonts w:ascii="Times New Roman" w:hAnsi="Times New Roman" w:cs="Times New Roman"/>
                <w:color w:val="000000"/>
                <w:sz w:val="14"/>
                <w:szCs w:val="14"/>
                <w:highlight w:val="yellow"/>
              </w:rPr>
            </w:pPr>
            <w:r w:rsidRPr="00FA3C68">
              <w:rPr>
                <w:rFonts w:ascii="Times New Roman" w:hAnsi="Times New Roman" w:cs="Times New Roman"/>
                <w:color w:val="000000"/>
                <w:sz w:val="14"/>
                <w:szCs w:val="14"/>
              </w:rPr>
              <w:t>7 050 838</w:t>
            </w:r>
          </w:p>
        </w:tc>
        <w:tc>
          <w:tcPr>
            <w:tcW w:w="532" w:type="pct"/>
            <w:tcBorders>
              <w:top w:val="nil"/>
              <w:left w:val="nil"/>
              <w:bottom w:val="single" w:sz="4" w:space="0" w:color="auto"/>
              <w:right w:val="single" w:sz="4" w:space="0" w:color="auto"/>
            </w:tcBorders>
            <w:shd w:val="clear" w:color="auto" w:fill="auto"/>
            <w:noWrap/>
            <w:vAlign w:val="bottom"/>
          </w:tcPr>
          <w:p w:rsidR="003A497B" w:rsidRPr="00FA3C68" w:rsidRDefault="003A497B" w:rsidP="003E1809">
            <w:pPr>
              <w:jc w:val="right"/>
              <w:rPr>
                <w:rFonts w:ascii="Times New Roman" w:hAnsi="Times New Roman" w:cs="Times New Roman"/>
                <w:color w:val="000000"/>
                <w:sz w:val="14"/>
                <w:szCs w:val="14"/>
                <w:highlight w:val="yellow"/>
              </w:rPr>
            </w:pPr>
            <w:r w:rsidRPr="00FA3C68">
              <w:rPr>
                <w:rFonts w:ascii="Times New Roman" w:hAnsi="Times New Roman" w:cs="Times New Roman"/>
                <w:color w:val="000000"/>
                <w:sz w:val="14"/>
                <w:szCs w:val="14"/>
              </w:rPr>
              <w:t>6 851 402</w:t>
            </w:r>
          </w:p>
        </w:tc>
        <w:tc>
          <w:tcPr>
            <w:tcW w:w="531"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highlight w:val="yellow"/>
              </w:rPr>
            </w:pPr>
            <w:r w:rsidRPr="00FA3C68">
              <w:rPr>
                <w:rFonts w:ascii="Times New Roman" w:hAnsi="Times New Roman" w:cs="Times New Roman"/>
                <w:color w:val="000000"/>
                <w:sz w:val="14"/>
                <w:szCs w:val="14"/>
              </w:rPr>
              <w:t>7 547 667</w:t>
            </w:r>
          </w:p>
        </w:tc>
        <w:tc>
          <w:tcPr>
            <w:tcW w:w="531" w:type="pct"/>
            <w:tcBorders>
              <w:top w:val="nil"/>
              <w:left w:val="nil"/>
              <w:bottom w:val="single" w:sz="4" w:space="0" w:color="auto"/>
              <w:right w:val="single" w:sz="4" w:space="0" w:color="auto"/>
            </w:tcBorders>
            <w:shd w:val="clear" w:color="auto" w:fill="auto"/>
            <w:vAlign w:val="bottom"/>
          </w:tcPr>
          <w:p w:rsidR="003A497B" w:rsidRPr="0098446E" w:rsidRDefault="003A497B" w:rsidP="003E1809">
            <w:pPr>
              <w:jc w:val="right"/>
              <w:rPr>
                <w:rFonts w:ascii="Times New Roman" w:hAnsi="Times New Roman" w:cs="Times New Roman"/>
                <w:color w:val="000000"/>
                <w:sz w:val="14"/>
                <w:szCs w:val="14"/>
              </w:rPr>
            </w:pPr>
            <w:r w:rsidRPr="0098446E">
              <w:rPr>
                <w:rFonts w:ascii="Times New Roman" w:hAnsi="Times New Roman" w:cs="Times New Roman"/>
                <w:color w:val="000000"/>
                <w:sz w:val="14"/>
                <w:szCs w:val="14"/>
              </w:rPr>
              <w:t>7</w:t>
            </w:r>
            <w:r>
              <w:rPr>
                <w:rFonts w:ascii="Times New Roman" w:hAnsi="Times New Roman" w:cs="Times New Roman"/>
                <w:color w:val="000000"/>
                <w:sz w:val="14"/>
                <w:szCs w:val="14"/>
              </w:rPr>
              <w:t> 735 285</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9 306 612</w:t>
            </w:r>
          </w:p>
        </w:tc>
        <w:tc>
          <w:tcPr>
            <w:tcW w:w="504"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bCs/>
                <w:color w:val="000000"/>
                <w:sz w:val="14"/>
                <w:szCs w:val="14"/>
              </w:rPr>
            </w:pPr>
            <w:r w:rsidRPr="00FA3C68">
              <w:rPr>
                <w:rFonts w:ascii="Times New Roman" w:hAnsi="Times New Roman" w:cs="Times New Roman"/>
                <w:bCs/>
                <w:color w:val="000000"/>
                <w:sz w:val="14"/>
                <w:szCs w:val="14"/>
              </w:rPr>
              <w:t>7 806 612</w:t>
            </w:r>
          </w:p>
        </w:tc>
        <w:tc>
          <w:tcPr>
            <w:tcW w:w="44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bCs/>
                <w:color w:val="000000"/>
                <w:sz w:val="14"/>
                <w:szCs w:val="14"/>
              </w:rPr>
            </w:pPr>
            <w:r w:rsidRPr="00FA3C68">
              <w:rPr>
                <w:rFonts w:ascii="Times New Roman" w:hAnsi="Times New Roman" w:cs="Times New Roman"/>
                <w:bCs/>
                <w:color w:val="000000"/>
                <w:sz w:val="14"/>
                <w:szCs w:val="14"/>
              </w:rPr>
              <w:t>7 806 612</w:t>
            </w:r>
          </w:p>
        </w:tc>
      </w:tr>
      <w:tr w:rsidR="003A497B" w:rsidRPr="00081506" w:rsidTr="003E1809">
        <w:trPr>
          <w:trHeight w:val="259"/>
        </w:trPr>
        <w:tc>
          <w:tcPr>
            <w:tcW w:w="1395"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1506" w:rsidRDefault="003A497B" w:rsidP="003E1809">
            <w:pPr>
              <w:rPr>
                <w:rFonts w:ascii="Times New Roman" w:hAnsi="Times New Roman" w:cs="Times New Roman"/>
                <w:sz w:val="14"/>
                <w:szCs w:val="14"/>
              </w:rPr>
            </w:pPr>
            <w:r w:rsidRPr="00081506">
              <w:rPr>
                <w:rFonts w:ascii="Times New Roman" w:hAnsi="Times New Roman" w:cs="Times New Roman"/>
                <w:sz w:val="14"/>
                <w:szCs w:val="14"/>
              </w:rPr>
              <w:t xml:space="preserve">  v tom: bežné výdavky 600</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highlight w:val="yellow"/>
              </w:rPr>
            </w:pPr>
            <w:r w:rsidRPr="00FA3C68">
              <w:rPr>
                <w:rFonts w:ascii="Times New Roman" w:hAnsi="Times New Roman" w:cs="Times New Roman"/>
                <w:color w:val="000000"/>
                <w:sz w:val="14"/>
                <w:szCs w:val="14"/>
              </w:rPr>
              <w:t>6 841 721</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highlight w:val="yellow"/>
              </w:rPr>
            </w:pPr>
            <w:r w:rsidRPr="00FA3C68">
              <w:rPr>
                <w:rFonts w:ascii="Times New Roman" w:hAnsi="Times New Roman" w:cs="Times New Roman"/>
                <w:color w:val="000000"/>
                <w:sz w:val="14"/>
                <w:szCs w:val="14"/>
              </w:rPr>
              <w:t>6 841 137</w:t>
            </w:r>
          </w:p>
        </w:tc>
        <w:tc>
          <w:tcPr>
            <w:tcW w:w="531"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highlight w:val="yellow"/>
              </w:rPr>
            </w:pPr>
            <w:r w:rsidRPr="00FA3C68">
              <w:rPr>
                <w:rFonts w:ascii="Times New Roman" w:hAnsi="Times New Roman" w:cs="Times New Roman"/>
                <w:color w:val="000000"/>
                <w:sz w:val="14"/>
                <w:szCs w:val="14"/>
              </w:rPr>
              <w:t>7 517 667</w:t>
            </w:r>
          </w:p>
        </w:tc>
        <w:tc>
          <w:tcPr>
            <w:tcW w:w="531" w:type="pct"/>
            <w:tcBorders>
              <w:top w:val="nil"/>
              <w:left w:val="nil"/>
              <w:bottom w:val="single" w:sz="4" w:space="0" w:color="auto"/>
              <w:right w:val="single" w:sz="4" w:space="0" w:color="auto"/>
            </w:tcBorders>
            <w:shd w:val="clear" w:color="auto" w:fill="auto"/>
            <w:vAlign w:val="bottom"/>
          </w:tcPr>
          <w:p w:rsidR="003A497B" w:rsidRPr="0098446E" w:rsidRDefault="003A497B" w:rsidP="003E1809">
            <w:pPr>
              <w:jc w:val="right"/>
              <w:rPr>
                <w:rFonts w:ascii="Times New Roman" w:hAnsi="Times New Roman" w:cs="Times New Roman"/>
                <w:color w:val="000000"/>
                <w:sz w:val="14"/>
                <w:szCs w:val="14"/>
              </w:rPr>
            </w:pPr>
            <w:r w:rsidRPr="0098446E">
              <w:rPr>
                <w:rFonts w:ascii="Times New Roman" w:hAnsi="Times New Roman" w:cs="Times New Roman"/>
                <w:color w:val="000000"/>
                <w:sz w:val="14"/>
                <w:szCs w:val="14"/>
              </w:rPr>
              <w:t>7</w:t>
            </w:r>
            <w:r>
              <w:rPr>
                <w:rFonts w:ascii="Times New Roman" w:hAnsi="Times New Roman" w:cs="Times New Roman"/>
                <w:color w:val="000000"/>
                <w:sz w:val="14"/>
                <w:szCs w:val="14"/>
              </w:rPr>
              <w:t> 705 285</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7 776 612</w:t>
            </w:r>
          </w:p>
        </w:tc>
        <w:tc>
          <w:tcPr>
            <w:tcW w:w="504"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7 776 612</w:t>
            </w:r>
          </w:p>
        </w:tc>
        <w:tc>
          <w:tcPr>
            <w:tcW w:w="44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7 776 612</w:t>
            </w:r>
          </w:p>
        </w:tc>
      </w:tr>
      <w:tr w:rsidR="003A497B" w:rsidRPr="00081506" w:rsidTr="003E1809">
        <w:trPr>
          <w:trHeight w:val="259"/>
        </w:trPr>
        <w:tc>
          <w:tcPr>
            <w:tcW w:w="1395"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1506" w:rsidRDefault="003A497B" w:rsidP="003E1809">
            <w:pPr>
              <w:rPr>
                <w:rFonts w:ascii="Times New Roman" w:hAnsi="Times New Roman" w:cs="Times New Roman"/>
                <w:color w:val="000000"/>
                <w:sz w:val="14"/>
                <w:szCs w:val="14"/>
              </w:rPr>
            </w:pPr>
            <w:r w:rsidRPr="00081506">
              <w:rPr>
                <w:rFonts w:ascii="Times New Roman" w:hAnsi="Times New Roman" w:cs="Times New Roman"/>
                <w:color w:val="000000"/>
                <w:sz w:val="14"/>
                <w:szCs w:val="14"/>
              </w:rPr>
              <w:t xml:space="preserve">                                 610 mzdy</w:t>
            </w:r>
          </w:p>
        </w:tc>
        <w:tc>
          <w:tcPr>
            <w:tcW w:w="532" w:type="pct"/>
            <w:tcBorders>
              <w:top w:val="nil"/>
              <w:left w:val="nil"/>
              <w:bottom w:val="single" w:sz="4" w:space="0" w:color="auto"/>
              <w:right w:val="single" w:sz="4" w:space="0" w:color="auto"/>
            </w:tcBorders>
            <w:shd w:val="clear" w:color="auto" w:fill="auto"/>
            <w:noWrap/>
            <w:vAlign w:val="bottom"/>
          </w:tcPr>
          <w:p w:rsidR="003A497B" w:rsidRPr="00FA3C68" w:rsidRDefault="003A497B" w:rsidP="003E1809">
            <w:pPr>
              <w:jc w:val="right"/>
              <w:rPr>
                <w:rFonts w:ascii="Times New Roman" w:hAnsi="Times New Roman" w:cs="Times New Roman"/>
                <w:sz w:val="14"/>
                <w:szCs w:val="14"/>
                <w:highlight w:val="yellow"/>
              </w:rPr>
            </w:pPr>
            <w:r w:rsidRPr="00FA3C68">
              <w:rPr>
                <w:rFonts w:ascii="Times New Roman" w:hAnsi="Times New Roman" w:cs="Times New Roman"/>
                <w:sz w:val="14"/>
                <w:szCs w:val="14"/>
              </w:rPr>
              <w:t>3 376 226</w:t>
            </w:r>
          </w:p>
        </w:tc>
        <w:tc>
          <w:tcPr>
            <w:tcW w:w="532" w:type="pct"/>
            <w:tcBorders>
              <w:top w:val="nil"/>
              <w:left w:val="nil"/>
              <w:bottom w:val="single" w:sz="4" w:space="0" w:color="auto"/>
              <w:right w:val="single" w:sz="4" w:space="0" w:color="auto"/>
            </w:tcBorders>
            <w:shd w:val="clear" w:color="auto" w:fill="auto"/>
            <w:noWrap/>
            <w:vAlign w:val="bottom"/>
          </w:tcPr>
          <w:p w:rsidR="003A497B" w:rsidRPr="00FA3C68" w:rsidRDefault="003A497B" w:rsidP="003E1809">
            <w:pPr>
              <w:jc w:val="right"/>
              <w:rPr>
                <w:rFonts w:ascii="Times New Roman" w:hAnsi="Times New Roman" w:cs="Times New Roman"/>
                <w:sz w:val="14"/>
                <w:szCs w:val="14"/>
                <w:highlight w:val="yellow"/>
              </w:rPr>
            </w:pPr>
            <w:r w:rsidRPr="00FA3C68">
              <w:rPr>
                <w:rFonts w:ascii="Times New Roman" w:hAnsi="Times New Roman" w:cs="Times New Roman"/>
                <w:sz w:val="14"/>
                <w:szCs w:val="14"/>
              </w:rPr>
              <w:t>3 671 550</w:t>
            </w:r>
          </w:p>
        </w:tc>
        <w:tc>
          <w:tcPr>
            <w:tcW w:w="531"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highlight w:val="yellow"/>
              </w:rPr>
            </w:pPr>
            <w:r w:rsidRPr="00FA3C68">
              <w:rPr>
                <w:rFonts w:ascii="Times New Roman" w:hAnsi="Times New Roman" w:cs="Times New Roman"/>
                <w:color w:val="000000"/>
                <w:sz w:val="14"/>
                <w:szCs w:val="14"/>
              </w:rPr>
              <w:t>4 023 613</w:t>
            </w:r>
          </w:p>
        </w:tc>
        <w:tc>
          <w:tcPr>
            <w:tcW w:w="531" w:type="pct"/>
            <w:tcBorders>
              <w:top w:val="nil"/>
              <w:left w:val="nil"/>
              <w:bottom w:val="single" w:sz="4" w:space="0" w:color="auto"/>
              <w:right w:val="single" w:sz="4" w:space="0" w:color="auto"/>
            </w:tcBorders>
            <w:shd w:val="clear" w:color="auto" w:fill="auto"/>
            <w:vAlign w:val="bottom"/>
          </w:tcPr>
          <w:p w:rsidR="003A497B" w:rsidRPr="0098446E" w:rsidRDefault="003A497B" w:rsidP="003E1809">
            <w:pPr>
              <w:jc w:val="right"/>
              <w:rPr>
                <w:rFonts w:ascii="Times New Roman" w:hAnsi="Times New Roman" w:cs="Times New Roman"/>
                <w:color w:val="000000"/>
                <w:sz w:val="14"/>
                <w:szCs w:val="14"/>
              </w:rPr>
            </w:pPr>
            <w:r w:rsidRPr="0098446E">
              <w:rPr>
                <w:rFonts w:ascii="Times New Roman" w:hAnsi="Times New Roman" w:cs="Times New Roman"/>
                <w:color w:val="000000"/>
                <w:sz w:val="14"/>
                <w:szCs w:val="14"/>
              </w:rPr>
              <w:t>4 180 010</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4 215 691</w:t>
            </w:r>
          </w:p>
        </w:tc>
        <w:tc>
          <w:tcPr>
            <w:tcW w:w="504"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4 215 691</w:t>
            </w:r>
          </w:p>
        </w:tc>
        <w:tc>
          <w:tcPr>
            <w:tcW w:w="44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4 215 691</w:t>
            </w:r>
          </w:p>
        </w:tc>
      </w:tr>
      <w:tr w:rsidR="003A497B" w:rsidRPr="00081506" w:rsidTr="003E1809">
        <w:trPr>
          <w:trHeight w:val="259"/>
        </w:trPr>
        <w:tc>
          <w:tcPr>
            <w:tcW w:w="1395"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1506" w:rsidRDefault="003A497B" w:rsidP="003E1809">
            <w:pPr>
              <w:rPr>
                <w:rFonts w:ascii="Times New Roman" w:hAnsi="Times New Roman" w:cs="Times New Roman"/>
                <w:color w:val="000000"/>
                <w:sz w:val="14"/>
                <w:szCs w:val="14"/>
              </w:rPr>
            </w:pPr>
            <w:r w:rsidRPr="00081506">
              <w:rPr>
                <w:rFonts w:ascii="Times New Roman" w:hAnsi="Times New Roman" w:cs="Times New Roman"/>
                <w:color w:val="000000"/>
                <w:sz w:val="14"/>
                <w:szCs w:val="14"/>
              </w:rPr>
              <w:t xml:space="preserve">                                 620 odvody</w:t>
            </w:r>
          </w:p>
        </w:tc>
        <w:tc>
          <w:tcPr>
            <w:tcW w:w="532" w:type="pct"/>
            <w:tcBorders>
              <w:top w:val="nil"/>
              <w:left w:val="nil"/>
              <w:bottom w:val="single" w:sz="4" w:space="0" w:color="auto"/>
              <w:right w:val="single" w:sz="4" w:space="0" w:color="auto"/>
            </w:tcBorders>
            <w:shd w:val="clear" w:color="auto" w:fill="auto"/>
            <w:noWrap/>
            <w:vAlign w:val="bottom"/>
          </w:tcPr>
          <w:p w:rsidR="003A497B" w:rsidRPr="00FA3C68" w:rsidRDefault="003A497B" w:rsidP="003E1809">
            <w:pPr>
              <w:jc w:val="right"/>
              <w:rPr>
                <w:rFonts w:ascii="Times New Roman" w:hAnsi="Times New Roman" w:cs="Times New Roman"/>
                <w:sz w:val="14"/>
                <w:szCs w:val="14"/>
                <w:highlight w:val="yellow"/>
              </w:rPr>
            </w:pPr>
            <w:r w:rsidRPr="00FA3C68">
              <w:rPr>
                <w:rFonts w:ascii="Times New Roman" w:hAnsi="Times New Roman" w:cs="Times New Roman"/>
                <w:sz w:val="14"/>
                <w:szCs w:val="14"/>
              </w:rPr>
              <w:t>1 202 309</w:t>
            </w:r>
          </w:p>
        </w:tc>
        <w:tc>
          <w:tcPr>
            <w:tcW w:w="532" w:type="pct"/>
            <w:tcBorders>
              <w:top w:val="nil"/>
              <w:left w:val="nil"/>
              <w:bottom w:val="single" w:sz="4" w:space="0" w:color="auto"/>
              <w:right w:val="single" w:sz="4" w:space="0" w:color="auto"/>
            </w:tcBorders>
            <w:shd w:val="clear" w:color="auto" w:fill="auto"/>
            <w:noWrap/>
            <w:vAlign w:val="bottom"/>
          </w:tcPr>
          <w:p w:rsidR="003A497B" w:rsidRPr="00FA3C68" w:rsidRDefault="003A497B" w:rsidP="003E1809">
            <w:pPr>
              <w:jc w:val="right"/>
              <w:rPr>
                <w:rFonts w:ascii="Times New Roman" w:hAnsi="Times New Roman" w:cs="Times New Roman"/>
                <w:sz w:val="14"/>
                <w:szCs w:val="14"/>
                <w:highlight w:val="yellow"/>
              </w:rPr>
            </w:pPr>
            <w:r w:rsidRPr="00FA3C68">
              <w:rPr>
                <w:rFonts w:ascii="Times New Roman" w:hAnsi="Times New Roman" w:cs="Times New Roman"/>
                <w:sz w:val="14"/>
                <w:szCs w:val="14"/>
              </w:rPr>
              <w:t>1 312 900</w:t>
            </w:r>
          </w:p>
        </w:tc>
        <w:tc>
          <w:tcPr>
            <w:tcW w:w="531"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highlight w:val="yellow"/>
              </w:rPr>
            </w:pPr>
            <w:r w:rsidRPr="00FA3C68">
              <w:rPr>
                <w:rFonts w:ascii="Times New Roman" w:hAnsi="Times New Roman" w:cs="Times New Roman"/>
                <w:color w:val="000000"/>
                <w:sz w:val="14"/>
                <w:szCs w:val="14"/>
              </w:rPr>
              <w:t>1 455 452</w:t>
            </w:r>
          </w:p>
        </w:tc>
        <w:tc>
          <w:tcPr>
            <w:tcW w:w="531" w:type="pct"/>
            <w:tcBorders>
              <w:top w:val="nil"/>
              <w:left w:val="nil"/>
              <w:bottom w:val="single" w:sz="4" w:space="0" w:color="auto"/>
              <w:right w:val="single" w:sz="4" w:space="0" w:color="auto"/>
            </w:tcBorders>
            <w:shd w:val="clear" w:color="auto" w:fill="auto"/>
            <w:vAlign w:val="bottom"/>
          </w:tcPr>
          <w:p w:rsidR="003A497B" w:rsidRPr="0098446E" w:rsidRDefault="003A497B" w:rsidP="003E1809">
            <w:pPr>
              <w:jc w:val="right"/>
              <w:rPr>
                <w:rFonts w:ascii="Times New Roman" w:hAnsi="Times New Roman" w:cs="Times New Roman"/>
                <w:color w:val="000000"/>
                <w:sz w:val="14"/>
                <w:szCs w:val="14"/>
              </w:rPr>
            </w:pPr>
            <w:r w:rsidRPr="0098446E">
              <w:rPr>
                <w:rFonts w:ascii="Times New Roman" w:hAnsi="Times New Roman" w:cs="Times New Roman"/>
                <w:color w:val="000000"/>
                <w:sz w:val="14"/>
                <w:szCs w:val="14"/>
              </w:rPr>
              <w:t>1 485 958</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1 522 824</w:t>
            </w:r>
          </w:p>
        </w:tc>
        <w:tc>
          <w:tcPr>
            <w:tcW w:w="504"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1 522 824</w:t>
            </w:r>
          </w:p>
        </w:tc>
        <w:tc>
          <w:tcPr>
            <w:tcW w:w="44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1 522 824</w:t>
            </w:r>
          </w:p>
        </w:tc>
      </w:tr>
      <w:tr w:rsidR="003A497B" w:rsidRPr="00081506" w:rsidTr="003E1809">
        <w:trPr>
          <w:trHeight w:val="259"/>
        </w:trPr>
        <w:tc>
          <w:tcPr>
            <w:tcW w:w="1395"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1506" w:rsidRDefault="003A497B" w:rsidP="003E1809">
            <w:pPr>
              <w:rPr>
                <w:rFonts w:ascii="Times New Roman" w:hAnsi="Times New Roman" w:cs="Times New Roman"/>
                <w:color w:val="000000"/>
                <w:sz w:val="14"/>
                <w:szCs w:val="14"/>
              </w:rPr>
            </w:pPr>
            <w:r w:rsidRPr="00081506">
              <w:rPr>
                <w:rFonts w:ascii="Times New Roman" w:hAnsi="Times New Roman" w:cs="Times New Roman"/>
                <w:color w:val="000000"/>
                <w:sz w:val="14"/>
                <w:szCs w:val="14"/>
              </w:rPr>
              <w:t xml:space="preserve">                                 630 tovary a služby</w:t>
            </w:r>
          </w:p>
        </w:tc>
        <w:tc>
          <w:tcPr>
            <w:tcW w:w="532" w:type="pct"/>
            <w:tcBorders>
              <w:top w:val="nil"/>
              <w:left w:val="nil"/>
              <w:bottom w:val="single" w:sz="4" w:space="0" w:color="auto"/>
              <w:right w:val="single" w:sz="4" w:space="0" w:color="auto"/>
            </w:tcBorders>
            <w:shd w:val="clear" w:color="auto" w:fill="auto"/>
            <w:noWrap/>
            <w:vAlign w:val="bottom"/>
          </w:tcPr>
          <w:p w:rsidR="003A497B" w:rsidRPr="00FA3C68" w:rsidRDefault="003A497B" w:rsidP="003E1809">
            <w:pPr>
              <w:jc w:val="right"/>
              <w:rPr>
                <w:rFonts w:ascii="Times New Roman" w:hAnsi="Times New Roman" w:cs="Times New Roman"/>
                <w:sz w:val="14"/>
                <w:szCs w:val="14"/>
                <w:highlight w:val="yellow"/>
              </w:rPr>
            </w:pPr>
            <w:r w:rsidRPr="00FA3C68">
              <w:rPr>
                <w:rFonts w:ascii="Times New Roman" w:hAnsi="Times New Roman" w:cs="Times New Roman"/>
                <w:sz w:val="14"/>
                <w:szCs w:val="14"/>
              </w:rPr>
              <w:t>2 250 615</w:t>
            </w:r>
          </w:p>
        </w:tc>
        <w:tc>
          <w:tcPr>
            <w:tcW w:w="532" w:type="pct"/>
            <w:tcBorders>
              <w:top w:val="nil"/>
              <w:left w:val="nil"/>
              <w:bottom w:val="single" w:sz="4" w:space="0" w:color="auto"/>
              <w:right w:val="single" w:sz="4" w:space="0" w:color="auto"/>
            </w:tcBorders>
            <w:shd w:val="clear" w:color="auto" w:fill="auto"/>
            <w:noWrap/>
            <w:vAlign w:val="bottom"/>
          </w:tcPr>
          <w:p w:rsidR="003A497B" w:rsidRPr="00FA3C68" w:rsidRDefault="003A497B" w:rsidP="003E1809">
            <w:pPr>
              <w:jc w:val="right"/>
              <w:rPr>
                <w:rFonts w:ascii="Times New Roman" w:hAnsi="Times New Roman" w:cs="Times New Roman"/>
                <w:sz w:val="14"/>
                <w:szCs w:val="14"/>
                <w:highlight w:val="yellow"/>
              </w:rPr>
            </w:pPr>
            <w:r w:rsidRPr="00FA3C68">
              <w:rPr>
                <w:rFonts w:ascii="Times New Roman" w:hAnsi="Times New Roman" w:cs="Times New Roman"/>
                <w:sz w:val="14"/>
                <w:szCs w:val="14"/>
              </w:rPr>
              <w:t>1 825 697</w:t>
            </w:r>
          </w:p>
        </w:tc>
        <w:tc>
          <w:tcPr>
            <w:tcW w:w="531"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highlight w:val="yellow"/>
              </w:rPr>
            </w:pPr>
            <w:r w:rsidRPr="00FA3C68">
              <w:rPr>
                <w:rFonts w:ascii="Times New Roman" w:hAnsi="Times New Roman" w:cs="Times New Roman"/>
                <w:color w:val="000000"/>
                <w:sz w:val="14"/>
                <w:szCs w:val="14"/>
              </w:rPr>
              <w:t>2 023 602</w:t>
            </w:r>
          </w:p>
        </w:tc>
        <w:tc>
          <w:tcPr>
            <w:tcW w:w="531" w:type="pct"/>
            <w:tcBorders>
              <w:top w:val="nil"/>
              <w:left w:val="nil"/>
              <w:bottom w:val="single" w:sz="4" w:space="0" w:color="auto"/>
              <w:right w:val="single" w:sz="4" w:space="0" w:color="auto"/>
            </w:tcBorders>
            <w:shd w:val="clear" w:color="auto" w:fill="auto"/>
            <w:vAlign w:val="bottom"/>
          </w:tcPr>
          <w:p w:rsidR="003A497B" w:rsidRPr="0098446E" w:rsidRDefault="003A497B" w:rsidP="003E1809">
            <w:pPr>
              <w:jc w:val="right"/>
              <w:rPr>
                <w:rFonts w:ascii="Times New Roman" w:hAnsi="Times New Roman" w:cs="Times New Roman"/>
                <w:color w:val="000000"/>
                <w:sz w:val="14"/>
                <w:szCs w:val="14"/>
              </w:rPr>
            </w:pPr>
            <w:r w:rsidRPr="0098446E">
              <w:rPr>
                <w:rFonts w:ascii="Times New Roman" w:hAnsi="Times New Roman" w:cs="Times New Roman"/>
                <w:color w:val="000000"/>
                <w:sz w:val="14"/>
                <w:szCs w:val="14"/>
              </w:rPr>
              <w:t>2</w:t>
            </w:r>
            <w:r>
              <w:rPr>
                <w:rFonts w:ascii="Times New Roman" w:hAnsi="Times New Roman" w:cs="Times New Roman"/>
                <w:color w:val="000000"/>
                <w:sz w:val="14"/>
                <w:szCs w:val="14"/>
              </w:rPr>
              <w:t> 000 422</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2 013 097</w:t>
            </w:r>
          </w:p>
        </w:tc>
        <w:tc>
          <w:tcPr>
            <w:tcW w:w="504"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2 013 097</w:t>
            </w:r>
          </w:p>
        </w:tc>
        <w:tc>
          <w:tcPr>
            <w:tcW w:w="44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2 013 097</w:t>
            </w:r>
          </w:p>
        </w:tc>
      </w:tr>
      <w:tr w:rsidR="003A497B" w:rsidRPr="00081506" w:rsidTr="003E1809">
        <w:trPr>
          <w:trHeight w:val="259"/>
        </w:trPr>
        <w:tc>
          <w:tcPr>
            <w:tcW w:w="1395"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1506" w:rsidRDefault="003A497B" w:rsidP="003E1809">
            <w:pPr>
              <w:rPr>
                <w:rFonts w:ascii="Times New Roman" w:hAnsi="Times New Roman" w:cs="Times New Roman"/>
                <w:color w:val="000000"/>
                <w:sz w:val="14"/>
                <w:szCs w:val="14"/>
              </w:rPr>
            </w:pPr>
            <w:r w:rsidRPr="00081506">
              <w:rPr>
                <w:rFonts w:ascii="Times New Roman" w:hAnsi="Times New Roman" w:cs="Times New Roman"/>
                <w:color w:val="000000"/>
                <w:sz w:val="14"/>
                <w:szCs w:val="14"/>
              </w:rPr>
              <w:t xml:space="preserve">                                 640 bežné transfery</w:t>
            </w:r>
          </w:p>
        </w:tc>
        <w:tc>
          <w:tcPr>
            <w:tcW w:w="532" w:type="pct"/>
            <w:tcBorders>
              <w:top w:val="nil"/>
              <w:left w:val="nil"/>
              <w:bottom w:val="single" w:sz="4" w:space="0" w:color="auto"/>
              <w:right w:val="single" w:sz="4" w:space="0" w:color="auto"/>
            </w:tcBorders>
            <w:shd w:val="clear" w:color="auto" w:fill="auto"/>
            <w:noWrap/>
            <w:vAlign w:val="bottom"/>
          </w:tcPr>
          <w:p w:rsidR="003A497B" w:rsidRPr="00FA3C68" w:rsidRDefault="003A497B" w:rsidP="003E1809">
            <w:pPr>
              <w:jc w:val="right"/>
              <w:rPr>
                <w:rFonts w:ascii="Times New Roman" w:hAnsi="Times New Roman" w:cs="Times New Roman"/>
                <w:sz w:val="14"/>
                <w:szCs w:val="14"/>
                <w:highlight w:val="yellow"/>
              </w:rPr>
            </w:pPr>
            <w:r w:rsidRPr="00FA3C68">
              <w:rPr>
                <w:rFonts w:ascii="Times New Roman" w:hAnsi="Times New Roman" w:cs="Times New Roman"/>
                <w:sz w:val="14"/>
                <w:szCs w:val="14"/>
              </w:rPr>
              <w:t>12 571</w:t>
            </w:r>
          </w:p>
        </w:tc>
        <w:tc>
          <w:tcPr>
            <w:tcW w:w="532" w:type="pct"/>
            <w:tcBorders>
              <w:top w:val="nil"/>
              <w:left w:val="nil"/>
              <w:bottom w:val="single" w:sz="4" w:space="0" w:color="auto"/>
              <w:right w:val="single" w:sz="4" w:space="0" w:color="auto"/>
            </w:tcBorders>
            <w:shd w:val="clear" w:color="auto" w:fill="auto"/>
            <w:noWrap/>
            <w:vAlign w:val="bottom"/>
          </w:tcPr>
          <w:p w:rsidR="003A497B" w:rsidRPr="00FA3C68" w:rsidRDefault="003A497B" w:rsidP="003E1809">
            <w:pPr>
              <w:jc w:val="right"/>
              <w:rPr>
                <w:rFonts w:ascii="Times New Roman" w:hAnsi="Times New Roman" w:cs="Times New Roman"/>
                <w:sz w:val="14"/>
                <w:szCs w:val="14"/>
                <w:highlight w:val="yellow"/>
              </w:rPr>
            </w:pPr>
            <w:r w:rsidRPr="00FA3C68">
              <w:rPr>
                <w:rFonts w:ascii="Times New Roman" w:hAnsi="Times New Roman" w:cs="Times New Roman"/>
                <w:sz w:val="14"/>
                <w:szCs w:val="14"/>
              </w:rPr>
              <w:t>30 990</w:t>
            </w:r>
          </w:p>
        </w:tc>
        <w:tc>
          <w:tcPr>
            <w:tcW w:w="531"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15 000</w:t>
            </w:r>
          </w:p>
        </w:tc>
        <w:tc>
          <w:tcPr>
            <w:tcW w:w="531"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highlight w:val="yellow"/>
              </w:rPr>
            </w:pPr>
            <w:r>
              <w:rPr>
                <w:rFonts w:ascii="Times New Roman" w:hAnsi="Times New Roman" w:cs="Times New Roman"/>
                <w:color w:val="000000"/>
                <w:sz w:val="14"/>
                <w:szCs w:val="14"/>
              </w:rPr>
              <w:t>38 895</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25 000</w:t>
            </w:r>
          </w:p>
        </w:tc>
        <w:tc>
          <w:tcPr>
            <w:tcW w:w="504"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25 000</w:t>
            </w:r>
          </w:p>
        </w:tc>
        <w:tc>
          <w:tcPr>
            <w:tcW w:w="44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25 000</w:t>
            </w:r>
          </w:p>
        </w:tc>
      </w:tr>
      <w:tr w:rsidR="003A497B" w:rsidRPr="00081506" w:rsidTr="003E1809">
        <w:trPr>
          <w:trHeight w:val="259"/>
        </w:trPr>
        <w:tc>
          <w:tcPr>
            <w:tcW w:w="1395"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1506" w:rsidRDefault="003A497B" w:rsidP="003E1809">
            <w:pPr>
              <w:rPr>
                <w:rFonts w:ascii="Times New Roman" w:hAnsi="Times New Roman" w:cs="Times New Roman"/>
                <w:sz w:val="14"/>
                <w:szCs w:val="14"/>
              </w:rPr>
            </w:pPr>
            <w:r w:rsidRPr="00081506">
              <w:rPr>
                <w:rFonts w:ascii="Times New Roman" w:hAnsi="Times New Roman" w:cs="Times New Roman"/>
                <w:sz w:val="14"/>
                <w:szCs w:val="14"/>
              </w:rPr>
              <w:t xml:space="preserve">                   kapitálové výdavky 700</w:t>
            </w:r>
          </w:p>
        </w:tc>
        <w:tc>
          <w:tcPr>
            <w:tcW w:w="532" w:type="pct"/>
            <w:tcBorders>
              <w:top w:val="nil"/>
              <w:left w:val="nil"/>
              <w:bottom w:val="single" w:sz="4" w:space="0" w:color="auto"/>
              <w:right w:val="single" w:sz="4" w:space="0" w:color="auto"/>
            </w:tcBorders>
            <w:shd w:val="clear" w:color="auto" w:fill="auto"/>
            <w:noWrap/>
            <w:vAlign w:val="bottom"/>
          </w:tcPr>
          <w:p w:rsidR="003A497B" w:rsidRPr="00FA3C68" w:rsidRDefault="003A497B" w:rsidP="003E1809">
            <w:pPr>
              <w:jc w:val="right"/>
              <w:rPr>
                <w:rFonts w:ascii="Times New Roman" w:hAnsi="Times New Roman" w:cs="Times New Roman"/>
                <w:sz w:val="14"/>
                <w:szCs w:val="14"/>
                <w:highlight w:val="yellow"/>
              </w:rPr>
            </w:pPr>
            <w:r w:rsidRPr="00FA3C68">
              <w:rPr>
                <w:rFonts w:ascii="Times New Roman" w:hAnsi="Times New Roman" w:cs="Times New Roman"/>
                <w:sz w:val="14"/>
                <w:szCs w:val="14"/>
              </w:rPr>
              <w:t>209 117</w:t>
            </w:r>
          </w:p>
        </w:tc>
        <w:tc>
          <w:tcPr>
            <w:tcW w:w="532" w:type="pct"/>
            <w:tcBorders>
              <w:top w:val="nil"/>
              <w:left w:val="nil"/>
              <w:bottom w:val="single" w:sz="4" w:space="0" w:color="auto"/>
              <w:right w:val="single" w:sz="4" w:space="0" w:color="auto"/>
            </w:tcBorders>
            <w:shd w:val="clear" w:color="auto" w:fill="auto"/>
            <w:noWrap/>
            <w:vAlign w:val="bottom"/>
          </w:tcPr>
          <w:p w:rsidR="003A497B" w:rsidRPr="00FA3C68" w:rsidRDefault="003A497B" w:rsidP="003E1809">
            <w:pPr>
              <w:jc w:val="right"/>
              <w:rPr>
                <w:rFonts w:ascii="Times New Roman" w:hAnsi="Times New Roman" w:cs="Times New Roman"/>
                <w:sz w:val="14"/>
                <w:szCs w:val="14"/>
                <w:highlight w:val="yellow"/>
              </w:rPr>
            </w:pPr>
            <w:r w:rsidRPr="00FA3C68">
              <w:rPr>
                <w:rFonts w:ascii="Times New Roman" w:hAnsi="Times New Roman" w:cs="Times New Roman"/>
                <w:sz w:val="14"/>
                <w:szCs w:val="14"/>
              </w:rPr>
              <w:t>10 266</w:t>
            </w:r>
          </w:p>
        </w:tc>
        <w:tc>
          <w:tcPr>
            <w:tcW w:w="531"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30 000</w:t>
            </w:r>
          </w:p>
        </w:tc>
        <w:tc>
          <w:tcPr>
            <w:tcW w:w="531"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highlight w:val="yellow"/>
              </w:rPr>
            </w:pPr>
            <w:r w:rsidRPr="00FA3C68">
              <w:rPr>
                <w:rFonts w:ascii="Times New Roman" w:hAnsi="Times New Roman" w:cs="Times New Roman"/>
                <w:color w:val="000000"/>
                <w:sz w:val="14"/>
                <w:szCs w:val="14"/>
              </w:rPr>
              <w:t>30 000</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1 5</w:t>
            </w:r>
            <w:r w:rsidRPr="00FA3C68">
              <w:rPr>
                <w:rFonts w:ascii="Times New Roman" w:hAnsi="Times New Roman" w:cs="Times New Roman"/>
                <w:color w:val="000000"/>
                <w:sz w:val="14"/>
                <w:szCs w:val="14"/>
              </w:rPr>
              <w:t>30 000</w:t>
            </w:r>
          </w:p>
        </w:tc>
        <w:tc>
          <w:tcPr>
            <w:tcW w:w="504"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30 000</w:t>
            </w:r>
          </w:p>
        </w:tc>
        <w:tc>
          <w:tcPr>
            <w:tcW w:w="44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30 000</w:t>
            </w:r>
          </w:p>
        </w:tc>
      </w:tr>
      <w:tr w:rsidR="003A497B" w:rsidRPr="00081506" w:rsidTr="003E1809">
        <w:trPr>
          <w:trHeight w:val="259"/>
        </w:trPr>
        <w:tc>
          <w:tcPr>
            <w:tcW w:w="1395" w:type="pct"/>
            <w:tcBorders>
              <w:top w:val="nil"/>
              <w:left w:val="single" w:sz="4" w:space="0" w:color="auto"/>
              <w:bottom w:val="single" w:sz="4" w:space="0" w:color="auto"/>
              <w:right w:val="single" w:sz="4" w:space="0" w:color="auto"/>
            </w:tcBorders>
            <w:shd w:val="clear" w:color="auto" w:fill="auto"/>
            <w:noWrap/>
            <w:vAlign w:val="bottom"/>
          </w:tcPr>
          <w:p w:rsidR="003A497B" w:rsidRPr="00081506" w:rsidRDefault="003A497B" w:rsidP="003E1809">
            <w:pPr>
              <w:rPr>
                <w:rFonts w:ascii="Times New Roman" w:hAnsi="Times New Roman" w:cs="Times New Roman"/>
                <w:sz w:val="14"/>
                <w:szCs w:val="14"/>
              </w:rPr>
            </w:pPr>
            <w:r w:rsidRPr="00081506">
              <w:rPr>
                <w:rFonts w:ascii="Times New Roman" w:hAnsi="Times New Roman" w:cs="Times New Roman"/>
                <w:b/>
                <w:sz w:val="14"/>
                <w:szCs w:val="14"/>
              </w:rPr>
              <w:t>zdro</w:t>
            </w:r>
            <w:r>
              <w:rPr>
                <w:rFonts w:ascii="Times New Roman" w:hAnsi="Times New Roman" w:cs="Times New Roman"/>
                <w:b/>
                <w:sz w:val="14"/>
                <w:szCs w:val="14"/>
              </w:rPr>
              <w:t>je EÚ vrátane spolufinancovania</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279 172</w:t>
            </w:r>
          </w:p>
        </w:tc>
        <w:tc>
          <w:tcPr>
            <w:tcW w:w="531"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531"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304 014</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504"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44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r>
      <w:tr w:rsidR="003A497B" w:rsidRPr="00081506" w:rsidTr="003E1809">
        <w:trPr>
          <w:trHeight w:val="259"/>
        </w:trPr>
        <w:tc>
          <w:tcPr>
            <w:tcW w:w="1395" w:type="pct"/>
            <w:tcBorders>
              <w:top w:val="nil"/>
              <w:left w:val="single" w:sz="4" w:space="0" w:color="auto"/>
              <w:bottom w:val="single" w:sz="4" w:space="0" w:color="auto"/>
              <w:right w:val="single" w:sz="4" w:space="0" w:color="auto"/>
            </w:tcBorders>
            <w:shd w:val="clear" w:color="auto" w:fill="auto"/>
            <w:noWrap/>
            <w:vAlign w:val="bottom"/>
          </w:tcPr>
          <w:p w:rsidR="003A497B" w:rsidRPr="00081506" w:rsidRDefault="003A497B" w:rsidP="003E1809">
            <w:pPr>
              <w:rPr>
                <w:rFonts w:ascii="Times New Roman" w:hAnsi="Times New Roman" w:cs="Times New Roman"/>
                <w:sz w:val="14"/>
                <w:szCs w:val="14"/>
              </w:rPr>
            </w:pPr>
            <w:r w:rsidRPr="00081506">
              <w:rPr>
                <w:rFonts w:ascii="Times New Roman" w:hAnsi="Times New Roman" w:cs="Times New Roman"/>
                <w:sz w:val="14"/>
                <w:szCs w:val="14"/>
              </w:rPr>
              <w:t xml:space="preserve">                   3. programov</w:t>
            </w:r>
            <w:r>
              <w:rPr>
                <w:rFonts w:ascii="Times New Roman" w:hAnsi="Times New Roman" w:cs="Times New Roman"/>
                <w:sz w:val="14"/>
                <w:szCs w:val="14"/>
              </w:rPr>
              <w:t>é obdobie EÚ</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229 088</w:t>
            </w:r>
          </w:p>
        </w:tc>
        <w:tc>
          <w:tcPr>
            <w:tcW w:w="531"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531"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249 467</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504"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44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r>
      <w:tr w:rsidR="003A497B" w:rsidRPr="00081506" w:rsidTr="003E1809">
        <w:trPr>
          <w:trHeight w:val="259"/>
        </w:trPr>
        <w:tc>
          <w:tcPr>
            <w:tcW w:w="1395" w:type="pct"/>
            <w:tcBorders>
              <w:top w:val="nil"/>
              <w:left w:val="single" w:sz="4" w:space="0" w:color="auto"/>
              <w:bottom w:val="single" w:sz="4" w:space="0" w:color="auto"/>
              <w:right w:val="single" w:sz="4" w:space="0" w:color="auto"/>
            </w:tcBorders>
            <w:shd w:val="clear" w:color="auto" w:fill="auto"/>
            <w:noWrap/>
            <w:vAlign w:val="bottom"/>
          </w:tcPr>
          <w:p w:rsidR="003A497B" w:rsidRPr="00081506" w:rsidRDefault="003A497B" w:rsidP="003E1809">
            <w:pPr>
              <w:rPr>
                <w:rFonts w:ascii="Times New Roman" w:hAnsi="Times New Roman" w:cs="Times New Roman"/>
                <w:sz w:val="14"/>
                <w:szCs w:val="14"/>
              </w:rPr>
            </w:pPr>
            <w:r w:rsidRPr="00081506">
              <w:rPr>
                <w:rFonts w:ascii="Times New Roman" w:hAnsi="Times New Roman" w:cs="Times New Roman"/>
                <w:sz w:val="14"/>
                <w:szCs w:val="14"/>
              </w:rPr>
              <w:t xml:space="preserve">                   spolufinancovanie zo ŠR</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50 083</w:t>
            </w:r>
          </w:p>
        </w:tc>
        <w:tc>
          <w:tcPr>
            <w:tcW w:w="531"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531"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54 547</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504"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44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r>
      <w:tr w:rsidR="003A497B" w:rsidRPr="00081506" w:rsidTr="003E1809">
        <w:trPr>
          <w:trHeight w:val="259"/>
        </w:trPr>
        <w:tc>
          <w:tcPr>
            <w:tcW w:w="1395"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1506" w:rsidRDefault="003A497B" w:rsidP="003E1809">
            <w:pPr>
              <w:rPr>
                <w:rFonts w:ascii="Times New Roman" w:hAnsi="Times New Roman" w:cs="Times New Roman"/>
                <w:b/>
                <w:sz w:val="14"/>
                <w:szCs w:val="14"/>
              </w:rPr>
            </w:pPr>
            <w:r w:rsidRPr="00081506">
              <w:rPr>
                <w:rFonts w:ascii="Times New Roman" w:hAnsi="Times New Roman" w:cs="Times New Roman"/>
                <w:b/>
                <w:sz w:val="14"/>
                <w:szCs w:val="14"/>
              </w:rPr>
              <w:t>presun z minulých rokov §</w:t>
            </w:r>
            <w:r>
              <w:rPr>
                <w:rFonts w:ascii="Times New Roman" w:hAnsi="Times New Roman" w:cs="Times New Roman"/>
                <w:b/>
                <w:sz w:val="14"/>
                <w:szCs w:val="14"/>
              </w:rPr>
              <w:t xml:space="preserve"> </w:t>
            </w:r>
            <w:r w:rsidRPr="00081506">
              <w:rPr>
                <w:rFonts w:ascii="Times New Roman" w:hAnsi="Times New Roman" w:cs="Times New Roman"/>
                <w:b/>
                <w:sz w:val="14"/>
                <w:szCs w:val="14"/>
              </w:rPr>
              <w:t>8</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1 574 909</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970 376</w:t>
            </w:r>
          </w:p>
        </w:tc>
        <w:tc>
          <w:tcPr>
            <w:tcW w:w="531"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531"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highlight w:val="yellow"/>
              </w:rPr>
            </w:pPr>
            <w:r w:rsidRPr="00FA3C68">
              <w:rPr>
                <w:rFonts w:ascii="Times New Roman" w:hAnsi="Times New Roman" w:cs="Times New Roman"/>
                <w:color w:val="000000"/>
                <w:sz w:val="14"/>
                <w:szCs w:val="14"/>
              </w:rPr>
              <w:t>0</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504"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44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r>
      <w:tr w:rsidR="003A497B" w:rsidRPr="00081506" w:rsidTr="003E1809">
        <w:trPr>
          <w:trHeight w:val="259"/>
        </w:trPr>
        <w:tc>
          <w:tcPr>
            <w:tcW w:w="1395" w:type="pct"/>
            <w:tcBorders>
              <w:top w:val="nil"/>
              <w:left w:val="single" w:sz="4" w:space="0" w:color="auto"/>
              <w:bottom w:val="single" w:sz="4" w:space="0" w:color="auto"/>
              <w:right w:val="single" w:sz="4" w:space="0" w:color="auto"/>
            </w:tcBorders>
            <w:shd w:val="clear" w:color="auto" w:fill="auto"/>
            <w:noWrap/>
            <w:vAlign w:val="bottom"/>
          </w:tcPr>
          <w:p w:rsidR="003A497B" w:rsidRPr="00081506" w:rsidRDefault="003A497B" w:rsidP="003E1809">
            <w:pPr>
              <w:rPr>
                <w:rFonts w:ascii="Times New Roman" w:hAnsi="Times New Roman" w:cs="Times New Roman"/>
                <w:sz w:val="14"/>
                <w:szCs w:val="14"/>
              </w:rPr>
            </w:pPr>
            <w:r w:rsidRPr="00081506">
              <w:rPr>
                <w:rFonts w:ascii="Times New Roman" w:hAnsi="Times New Roman" w:cs="Times New Roman"/>
                <w:sz w:val="14"/>
                <w:szCs w:val="14"/>
              </w:rPr>
              <w:t xml:space="preserve">    v tom: štátny rozpočet</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1 076 393</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970 376</w:t>
            </w:r>
          </w:p>
        </w:tc>
        <w:tc>
          <w:tcPr>
            <w:tcW w:w="531"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531"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highlight w:val="yellow"/>
              </w:rPr>
            </w:pPr>
            <w:r w:rsidRPr="00FA3C68">
              <w:rPr>
                <w:rFonts w:ascii="Times New Roman" w:hAnsi="Times New Roman" w:cs="Times New Roman"/>
                <w:color w:val="000000"/>
                <w:sz w:val="14"/>
                <w:szCs w:val="14"/>
              </w:rPr>
              <w:t>0</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504"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44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r>
      <w:tr w:rsidR="003A497B" w:rsidRPr="00081506" w:rsidTr="003E1809">
        <w:trPr>
          <w:trHeight w:val="259"/>
        </w:trPr>
        <w:tc>
          <w:tcPr>
            <w:tcW w:w="1395"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1506" w:rsidRDefault="003A497B" w:rsidP="003E1809">
            <w:pPr>
              <w:rPr>
                <w:rFonts w:ascii="Times New Roman" w:hAnsi="Times New Roman" w:cs="Times New Roman"/>
                <w:sz w:val="14"/>
                <w:szCs w:val="14"/>
              </w:rPr>
            </w:pPr>
            <w:r w:rsidRPr="00081506">
              <w:rPr>
                <w:rFonts w:ascii="Times New Roman" w:hAnsi="Times New Roman" w:cs="Times New Roman"/>
                <w:sz w:val="14"/>
                <w:szCs w:val="14"/>
              </w:rPr>
              <w:t xml:space="preserve">                EU prostriedky</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406 863</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531"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531"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53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504"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c>
          <w:tcPr>
            <w:tcW w:w="442" w:type="pct"/>
            <w:tcBorders>
              <w:top w:val="nil"/>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color w:val="000000"/>
                <w:sz w:val="14"/>
                <w:szCs w:val="14"/>
              </w:rPr>
            </w:pPr>
            <w:r w:rsidRPr="00FA3C68">
              <w:rPr>
                <w:rFonts w:ascii="Times New Roman" w:hAnsi="Times New Roman" w:cs="Times New Roman"/>
                <w:color w:val="000000"/>
                <w:sz w:val="14"/>
                <w:szCs w:val="14"/>
              </w:rPr>
              <w:t>0</w:t>
            </w:r>
          </w:p>
        </w:tc>
      </w:tr>
      <w:tr w:rsidR="003A497B" w:rsidRPr="00081506" w:rsidTr="003E1809">
        <w:trPr>
          <w:trHeight w:val="259"/>
        </w:trPr>
        <w:tc>
          <w:tcPr>
            <w:tcW w:w="1395" w:type="pct"/>
            <w:tcBorders>
              <w:top w:val="nil"/>
              <w:left w:val="single" w:sz="4" w:space="0" w:color="auto"/>
              <w:bottom w:val="single" w:sz="4" w:space="0" w:color="auto"/>
              <w:right w:val="single" w:sz="4" w:space="0" w:color="auto"/>
            </w:tcBorders>
            <w:shd w:val="clear" w:color="auto" w:fill="auto"/>
            <w:noWrap/>
            <w:vAlign w:val="bottom"/>
            <w:hideMark/>
          </w:tcPr>
          <w:p w:rsidR="003A497B" w:rsidRPr="00081506" w:rsidRDefault="003A497B" w:rsidP="003E1809">
            <w:pPr>
              <w:rPr>
                <w:rFonts w:ascii="Times New Roman" w:hAnsi="Times New Roman" w:cs="Times New Roman"/>
                <w:sz w:val="14"/>
                <w:szCs w:val="14"/>
              </w:rPr>
            </w:pPr>
            <w:r w:rsidRPr="00081506">
              <w:rPr>
                <w:rFonts w:ascii="Times New Roman" w:hAnsi="Times New Roman" w:cs="Times New Roman"/>
                <w:sz w:val="14"/>
                <w:szCs w:val="14"/>
              </w:rPr>
              <w:t xml:space="preserve">                spolufinancovanie zo ŠR</w:t>
            </w:r>
          </w:p>
        </w:tc>
        <w:tc>
          <w:tcPr>
            <w:tcW w:w="532" w:type="pct"/>
            <w:tcBorders>
              <w:top w:val="single" w:sz="4" w:space="0" w:color="auto"/>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0</w:t>
            </w:r>
          </w:p>
        </w:tc>
        <w:tc>
          <w:tcPr>
            <w:tcW w:w="532" w:type="pct"/>
            <w:tcBorders>
              <w:top w:val="single" w:sz="4" w:space="0" w:color="auto"/>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bCs/>
                <w:color w:val="000000"/>
                <w:sz w:val="14"/>
                <w:szCs w:val="14"/>
                <w:highlight w:val="yellow"/>
              </w:rPr>
            </w:pPr>
            <w:r w:rsidRPr="00FA3C68">
              <w:rPr>
                <w:rFonts w:ascii="Times New Roman" w:hAnsi="Times New Roman" w:cs="Times New Roman"/>
                <w:bCs/>
                <w:color w:val="000000"/>
                <w:sz w:val="14"/>
                <w:szCs w:val="14"/>
              </w:rPr>
              <w:t>0</w:t>
            </w:r>
          </w:p>
        </w:tc>
        <w:tc>
          <w:tcPr>
            <w:tcW w:w="531" w:type="pct"/>
            <w:tcBorders>
              <w:top w:val="single" w:sz="4" w:space="0" w:color="auto"/>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0</w:t>
            </w:r>
          </w:p>
        </w:tc>
        <w:tc>
          <w:tcPr>
            <w:tcW w:w="531" w:type="pct"/>
            <w:tcBorders>
              <w:top w:val="single" w:sz="4" w:space="0" w:color="auto"/>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0</w:t>
            </w:r>
          </w:p>
        </w:tc>
        <w:tc>
          <w:tcPr>
            <w:tcW w:w="532" w:type="pct"/>
            <w:tcBorders>
              <w:top w:val="single" w:sz="4" w:space="0" w:color="auto"/>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0</w:t>
            </w:r>
          </w:p>
        </w:tc>
        <w:tc>
          <w:tcPr>
            <w:tcW w:w="504" w:type="pct"/>
            <w:tcBorders>
              <w:top w:val="single" w:sz="4" w:space="0" w:color="auto"/>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0</w:t>
            </w:r>
          </w:p>
        </w:tc>
        <w:tc>
          <w:tcPr>
            <w:tcW w:w="442" w:type="pct"/>
            <w:tcBorders>
              <w:top w:val="single" w:sz="4" w:space="0" w:color="auto"/>
              <w:left w:val="nil"/>
              <w:bottom w:val="single" w:sz="4" w:space="0" w:color="auto"/>
              <w:right w:val="single" w:sz="4" w:space="0" w:color="auto"/>
            </w:tcBorders>
            <w:shd w:val="clear" w:color="auto" w:fill="auto"/>
            <w:vAlign w:val="bottom"/>
          </w:tcPr>
          <w:p w:rsidR="003A497B" w:rsidRPr="00FA3C68" w:rsidRDefault="003A497B" w:rsidP="003E1809">
            <w:pPr>
              <w:jc w:val="right"/>
              <w:rPr>
                <w:rFonts w:ascii="Times New Roman" w:hAnsi="Times New Roman" w:cs="Times New Roman"/>
                <w:bCs/>
                <w:color w:val="000000"/>
                <w:sz w:val="14"/>
                <w:szCs w:val="14"/>
              </w:rPr>
            </w:pPr>
            <w:r>
              <w:rPr>
                <w:rFonts w:ascii="Times New Roman" w:hAnsi="Times New Roman" w:cs="Times New Roman"/>
                <w:bCs/>
                <w:color w:val="000000"/>
                <w:sz w:val="14"/>
                <w:szCs w:val="14"/>
              </w:rPr>
              <w:t>0</w:t>
            </w:r>
          </w:p>
        </w:tc>
      </w:tr>
    </w:tbl>
    <w:p w:rsidR="003A497B" w:rsidRDefault="003A497B" w:rsidP="003A497B">
      <w:pPr>
        <w:jc w:val="both"/>
        <w:rPr>
          <w:rFonts w:ascii="Times New Roman" w:hAnsi="Times New Roman" w:cs="Times New Roman"/>
          <w:b/>
          <w:bCs/>
          <w:color w:val="00000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29"/>
        <w:gridCol w:w="965"/>
        <w:gridCol w:w="965"/>
        <w:gridCol w:w="963"/>
        <w:gridCol w:w="962"/>
        <w:gridCol w:w="964"/>
        <w:gridCol w:w="913"/>
        <w:gridCol w:w="801"/>
      </w:tblGrid>
      <w:tr w:rsidR="003A497B" w:rsidRPr="00081506" w:rsidTr="003E1809">
        <w:trPr>
          <w:trHeight w:val="259"/>
        </w:trPr>
        <w:tc>
          <w:tcPr>
            <w:tcW w:w="1395" w:type="pct"/>
            <w:shd w:val="clear" w:color="auto" w:fill="auto"/>
            <w:noWrap/>
            <w:vAlign w:val="bottom"/>
            <w:hideMark/>
          </w:tcPr>
          <w:p w:rsidR="003A497B" w:rsidRPr="00274FB4" w:rsidRDefault="003A497B" w:rsidP="003E1809">
            <w:pPr>
              <w:rPr>
                <w:rFonts w:ascii="Times New Roman" w:hAnsi="Times New Roman" w:cs="Times New Roman"/>
                <w:b/>
                <w:sz w:val="14"/>
                <w:szCs w:val="14"/>
              </w:rPr>
            </w:pPr>
            <w:r w:rsidRPr="00274FB4">
              <w:rPr>
                <w:rFonts w:ascii="Times New Roman" w:hAnsi="Times New Roman" w:cs="Times New Roman"/>
                <w:b/>
                <w:sz w:val="14"/>
                <w:szCs w:val="14"/>
              </w:rPr>
              <w:t>Samostatné účty</w:t>
            </w:r>
          </w:p>
        </w:tc>
        <w:tc>
          <w:tcPr>
            <w:tcW w:w="532" w:type="pct"/>
            <w:shd w:val="clear" w:color="auto" w:fill="auto"/>
            <w:vAlign w:val="bottom"/>
          </w:tcPr>
          <w:p w:rsidR="003A497B" w:rsidRPr="00274FB4" w:rsidRDefault="003A497B" w:rsidP="003E1809">
            <w:pPr>
              <w:jc w:val="right"/>
              <w:rPr>
                <w:rFonts w:ascii="Times New Roman" w:hAnsi="Times New Roman" w:cs="Times New Roman"/>
                <w:b/>
                <w:color w:val="000000"/>
                <w:sz w:val="14"/>
                <w:szCs w:val="14"/>
              </w:rPr>
            </w:pPr>
            <w:r>
              <w:rPr>
                <w:rFonts w:ascii="Times New Roman" w:hAnsi="Times New Roman" w:cs="Times New Roman"/>
                <w:b/>
                <w:color w:val="000000"/>
                <w:sz w:val="14"/>
                <w:szCs w:val="14"/>
              </w:rPr>
              <w:t>44 000</w:t>
            </w:r>
          </w:p>
        </w:tc>
        <w:tc>
          <w:tcPr>
            <w:tcW w:w="532" w:type="pct"/>
            <w:shd w:val="clear" w:color="auto" w:fill="auto"/>
            <w:vAlign w:val="bottom"/>
          </w:tcPr>
          <w:p w:rsidR="003A497B" w:rsidRPr="00274FB4" w:rsidRDefault="003A497B" w:rsidP="003E1809">
            <w:pPr>
              <w:jc w:val="right"/>
              <w:rPr>
                <w:rFonts w:ascii="Times New Roman" w:hAnsi="Times New Roman" w:cs="Times New Roman"/>
                <w:b/>
                <w:color w:val="000000"/>
                <w:sz w:val="14"/>
                <w:szCs w:val="14"/>
              </w:rPr>
            </w:pPr>
            <w:r w:rsidRPr="00274FB4">
              <w:rPr>
                <w:rFonts w:ascii="Times New Roman" w:hAnsi="Times New Roman" w:cs="Times New Roman"/>
                <w:b/>
                <w:color w:val="000000"/>
                <w:sz w:val="14"/>
                <w:szCs w:val="14"/>
              </w:rPr>
              <w:t>0</w:t>
            </w:r>
          </w:p>
        </w:tc>
        <w:tc>
          <w:tcPr>
            <w:tcW w:w="531" w:type="pct"/>
            <w:shd w:val="clear" w:color="auto" w:fill="auto"/>
            <w:vAlign w:val="bottom"/>
          </w:tcPr>
          <w:p w:rsidR="003A497B" w:rsidRPr="00274FB4" w:rsidRDefault="003A497B" w:rsidP="003E1809">
            <w:pPr>
              <w:jc w:val="right"/>
              <w:rPr>
                <w:rFonts w:ascii="Times New Roman" w:hAnsi="Times New Roman" w:cs="Times New Roman"/>
                <w:b/>
                <w:color w:val="000000"/>
                <w:sz w:val="14"/>
                <w:szCs w:val="14"/>
              </w:rPr>
            </w:pPr>
            <w:r w:rsidRPr="00274FB4">
              <w:rPr>
                <w:rFonts w:ascii="Times New Roman" w:hAnsi="Times New Roman" w:cs="Times New Roman"/>
                <w:b/>
                <w:color w:val="000000"/>
                <w:sz w:val="14"/>
                <w:szCs w:val="14"/>
              </w:rPr>
              <w:t>0</w:t>
            </w:r>
          </w:p>
        </w:tc>
        <w:tc>
          <w:tcPr>
            <w:tcW w:w="531" w:type="pct"/>
            <w:shd w:val="clear" w:color="auto" w:fill="FFFFFF" w:themeFill="background1"/>
            <w:vAlign w:val="bottom"/>
          </w:tcPr>
          <w:p w:rsidR="003A497B" w:rsidRPr="00274FB4" w:rsidRDefault="003A497B" w:rsidP="003E1809">
            <w:pPr>
              <w:jc w:val="right"/>
              <w:rPr>
                <w:rFonts w:ascii="Times New Roman" w:hAnsi="Times New Roman" w:cs="Times New Roman"/>
                <w:b/>
                <w:color w:val="000000"/>
                <w:sz w:val="14"/>
                <w:szCs w:val="14"/>
              </w:rPr>
            </w:pPr>
            <w:r w:rsidRPr="00274FB4">
              <w:rPr>
                <w:rFonts w:ascii="Times New Roman" w:hAnsi="Times New Roman" w:cs="Times New Roman"/>
                <w:b/>
                <w:color w:val="000000"/>
                <w:sz w:val="14"/>
                <w:szCs w:val="14"/>
              </w:rPr>
              <w:t>0</w:t>
            </w:r>
          </w:p>
        </w:tc>
        <w:tc>
          <w:tcPr>
            <w:tcW w:w="532" w:type="pct"/>
            <w:shd w:val="clear" w:color="auto" w:fill="auto"/>
            <w:vAlign w:val="bottom"/>
          </w:tcPr>
          <w:p w:rsidR="003A497B" w:rsidRPr="00274FB4" w:rsidRDefault="003A497B" w:rsidP="003E1809">
            <w:pPr>
              <w:jc w:val="right"/>
              <w:rPr>
                <w:rFonts w:ascii="Times New Roman" w:hAnsi="Times New Roman" w:cs="Times New Roman"/>
                <w:b/>
                <w:color w:val="000000"/>
                <w:sz w:val="14"/>
                <w:szCs w:val="14"/>
              </w:rPr>
            </w:pPr>
            <w:r w:rsidRPr="00274FB4">
              <w:rPr>
                <w:rFonts w:ascii="Times New Roman" w:hAnsi="Times New Roman" w:cs="Times New Roman"/>
                <w:b/>
                <w:color w:val="000000"/>
                <w:sz w:val="14"/>
                <w:szCs w:val="14"/>
              </w:rPr>
              <w:t>0</w:t>
            </w:r>
          </w:p>
        </w:tc>
        <w:tc>
          <w:tcPr>
            <w:tcW w:w="504" w:type="pct"/>
            <w:shd w:val="clear" w:color="auto" w:fill="auto"/>
            <w:vAlign w:val="bottom"/>
          </w:tcPr>
          <w:p w:rsidR="003A497B" w:rsidRPr="00274FB4" w:rsidRDefault="003A497B" w:rsidP="003E1809">
            <w:pPr>
              <w:jc w:val="right"/>
              <w:rPr>
                <w:rFonts w:ascii="Times New Roman" w:hAnsi="Times New Roman" w:cs="Times New Roman"/>
                <w:b/>
                <w:color w:val="000000"/>
                <w:sz w:val="14"/>
                <w:szCs w:val="14"/>
              </w:rPr>
            </w:pPr>
            <w:r w:rsidRPr="00274FB4">
              <w:rPr>
                <w:rFonts w:ascii="Times New Roman" w:hAnsi="Times New Roman" w:cs="Times New Roman"/>
                <w:b/>
                <w:color w:val="000000"/>
                <w:sz w:val="14"/>
                <w:szCs w:val="14"/>
              </w:rPr>
              <w:t>0</w:t>
            </w:r>
          </w:p>
        </w:tc>
        <w:tc>
          <w:tcPr>
            <w:tcW w:w="442" w:type="pct"/>
            <w:shd w:val="clear" w:color="auto" w:fill="auto"/>
            <w:vAlign w:val="bottom"/>
          </w:tcPr>
          <w:p w:rsidR="003A497B" w:rsidRPr="00274FB4" w:rsidRDefault="003A497B" w:rsidP="003E1809">
            <w:pPr>
              <w:jc w:val="right"/>
              <w:rPr>
                <w:rFonts w:ascii="Times New Roman" w:hAnsi="Times New Roman" w:cs="Times New Roman"/>
                <w:b/>
                <w:color w:val="000000"/>
                <w:sz w:val="14"/>
                <w:szCs w:val="14"/>
              </w:rPr>
            </w:pPr>
            <w:r w:rsidRPr="00274FB4">
              <w:rPr>
                <w:rFonts w:ascii="Times New Roman" w:hAnsi="Times New Roman" w:cs="Times New Roman"/>
                <w:b/>
                <w:color w:val="000000"/>
                <w:sz w:val="14"/>
                <w:szCs w:val="14"/>
              </w:rPr>
              <w:t>0</w:t>
            </w:r>
          </w:p>
        </w:tc>
      </w:tr>
    </w:tbl>
    <w:p w:rsidR="003A497B" w:rsidRDefault="003A497B" w:rsidP="003A497B">
      <w:pPr>
        <w:jc w:val="both"/>
        <w:rPr>
          <w:rFonts w:ascii="Times New Roman" w:hAnsi="Times New Roman" w:cs="Times New Roman"/>
          <w:b/>
          <w:bCs/>
          <w:color w:val="000000"/>
          <w:highlight w:val="yellow"/>
        </w:rPr>
      </w:pPr>
    </w:p>
    <w:p w:rsidR="003A497B" w:rsidRPr="00C768DA" w:rsidRDefault="003A497B" w:rsidP="003A497B">
      <w:pPr>
        <w:ind w:firstLine="708"/>
        <w:jc w:val="both"/>
        <w:rPr>
          <w:rFonts w:ascii="Times New Roman" w:hAnsi="Times New Roman" w:cs="Times New Roman"/>
          <w:highlight w:val="yellow"/>
        </w:rPr>
      </w:pPr>
      <w:r w:rsidRPr="00A27852">
        <w:rPr>
          <w:rFonts w:ascii="Times New Roman" w:hAnsi="Times New Roman" w:cs="Times New Roman"/>
        </w:rPr>
        <w:t>Na rok 201</w:t>
      </w:r>
      <w:r>
        <w:rPr>
          <w:rFonts w:ascii="Times New Roman" w:hAnsi="Times New Roman" w:cs="Times New Roman"/>
        </w:rPr>
        <w:t xml:space="preserve">9 sa pre kapitolu </w:t>
      </w:r>
      <w:r w:rsidRPr="00A27852">
        <w:rPr>
          <w:rFonts w:ascii="Times New Roman" w:hAnsi="Times New Roman" w:cs="Times New Roman"/>
        </w:rPr>
        <w:t xml:space="preserve">navrhujú výdavky v sume </w:t>
      </w:r>
      <w:r>
        <w:rPr>
          <w:rFonts w:ascii="Times New Roman" w:hAnsi="Times New Roman" w:cs="Times New Roman"/>
        </w:rPr>
        <w:t>9</w:t>
      </w:r>
      <w:r w:rsidRPr="00A27852">
        <w:rPr>
          <w:rFonts w:ascii="Times New Roman" w:hAnsi="Times New Roman" w:cs="Times New Roman"/>
        </w:rPr>
        <w:t>,</w:t>
      </w:r>
      <w:r>
        <w:rPr>
          <w:rFonts w:ascii="Times New Roman" w:hAnsi="Times New Roman" w:cs="Times New Roman"/>
        </w:rPr>
        <w:t>31</w:t>
      </w:r>
      <w:r w:rsidRPr="00A27852">
        <w:rPr>
          <w:rFonts w:ascii="Times New Roman" w:hAnsi="Times New Roman" w:cs="Times New Roman"/>
        </w:rPr>
        <w:t xml:space="preserve"> mil. eur, čo predstavuje v porovnaní so schváleným rozpočtom roku 201</w:t>
      </w:r>
      <w:r>
        <w:rPr>
          <w:rFonts w:ascii="Times New Roman" w:hAnsi="Times New Roman" w:cs="Times New Roman"/>
        </w:rPr>
        <w:t>8</w:t>
      </w:r>
      <w:r w:rsidRPr="00A27852">
        <w:rPr>
          <w:rFonts w:ascii="Times New Roman" w:hAnsi="Times New Roman" w:cs="Times New Roman"/>
        </w:rPr>
        <w:t xml:space="preserve"> nárast o</w:t>
      </w:r>
      <w:r>
        <w:rPr>
          <w:rFonts w:ascii="Times New Roman" w:hAnsi="Times New Roman" w:cs="Times New Roman"/>
        </w:rPr>
        <w:t> 1,76</w:t>
      </w:r>
      <w:r w:rsidRPr="00A27852">
        <w:rPr>
          <w:rFonts w:ascii="Times New Roman" w:hAnsi="Times New Roman" w:cs="Times New Roman"/>
        </w:rPr>
        <w:t xml:space="preserve"> </w:t>
      </w:r>
      <w:r>
        <w:rPr>
          <w:rFonts w:ascii="Times New Roman" w:hAnsi="Times New Roman" w:cs="Times New Roman"/>
        </w:rPr>
        <w:t>mil</w:t>
      </w:r>
      <w:r w:rsidRPr="00A27852">
        <w:rPr>
          <w:rFonts w:ascii="Times New Roman" w:hAnsi="Times New Roman" w:cs="Times New Roman"/>
        </w:rPr>
        <w:t xml:space="preserve">. eur, t. j. o </w:t>
      </w:r>
      <w:r>
        <w:rPr>
          <w:rFonts w:ascii="Times New Roman" w:hAnsi="Times New Roman" w:cs="Times New Roman"/>
        </w:rPr>
        <w:t>23</w:t>
      </w:r>
      <w:r w:rsidRPr="00A27852">
        <w:rPr>
          <w:rFonts w:ascii="Times New Roman" w:hAnsi="Times New Roman" w:cs="Times New Roman"/>
        </w:rPr>
        <w:t>,</w:t>
      </w:r>
      <w:r>
        <w:rPr>
          <w:rFonts w:ascii="Times New Roman" w:hAnsi="Times New Roman" w:cs="Times New Roman"/>
        </w:rPr>
        <w:t>3</w:t>
      </w:r>
      <w:r w:rsidRPr="00A27852">
        <w:rPr>
          <w:rFonts w:ascii="Times New Roman" w:hAnsi="Times New Roman" w:cs="Times New Roman"/>
        </w:rPr>
        <w:t xml:space="preserve"> %</w:t>
      </w:r>
      <w:r>
        <w:rPr>
          <w:rFonts w:ascii="Times New Roman" w:hAnsi="Times New Roman" w:cs="Times New Roman"/>
        </w:rPr>
        <w:t>, z dôvodu valorizácie platov z roku 2018 a zvýšenia prostriedkov</w:t>
      </w:r>
      <w:r w:rsidRPr="006A3DD0">
        <w:t xml:space="preserve"> </w:t>
      </w:r>
      <w:r w:rsidRPr="006A3DD0">
        <w:rPr>
          <w:rFonts w:ascii="Times New Roman" w:hAnsi="Times New Roman" w:cs="Times New Roman"/>
        </w:rPr>
        <w:t>na rozvoj informačných systémov úradu</w:t>
      </w:r>
      <w:r>
        <w:rPr>
          <w:rFonts w:ascii="Times New Roman" w:hAnsi="Times New Roman" w:cs="Times New Roman"/>
        </w:rPr>
        <w:t>.</w:t>
      </w:r>
    </w:p>
    <w:p w:rsidR="003A497B" w:rsidRPr="00C768DA" w:rsidRDefault="003A497B" w:rsidP="003A497B">
      <w:pPr>
        <w:ind w:firstLine="708"/>
        <w:jc w:val="both"/>
        <w:rPr>
          <w:rFonts w:ascii="Times New Roman" w:hAnsi="Times New Roman" w:cs="Times New Roman"/>
          <w:highlight w:val="yellow"/>
        </w:rPr>
      </w:pPr>
    </w:p>
    <w:p w:rsidR="003A497B" w:rsidRPr="00A27852" w:rsidRDefault="003A497B" w:rsidP="003A497B">
      <w:pPr>
        <w:ind w:firstLine="708"/>
        <w:jc w:val="both"/>
        <w:rPr>
          <w:rFonts w:ascii="Times New Roman" w:hAnsi="Times New Roman" w:cs="Times New Roman"/>
        </w:rPr>
      </w:pPr>
      <w:r w:rsidRPr="00A27852">
        <w:rPr>
          <w:rFonts w:ascii="Times New Roman" w:hAnsi="Times New Roman" w:cs="Times New Roman"/>
        </w:rPr>
        <w:t>Objem osobných výdavkov sa na rok 201</w:t>
      </w:r>
      <w:r>
        <w:rPr>
          <w:rFonts w:ascii="Times New Roman" w:hAnsi="Times New Roman" w:cs="Times New Roman"/>
        </w:rPr>
        <w:t>9</w:t>
      </w:r>
      <w:r w:rsidRPr="00A27852">
        <w:rPr>
          <w:rFonts w:ascii="Times New Roman" w:hAnsi="Times New Roman" w:cs="Times New Roman"/>
        </w:rPr>
        <w:t xml:space="preserve"> rozpočtuje na úrovni 5,</w:t>
      </w:r>
      <w:r>
        <w:rPr>
          <w:rFonts w:ascii="Times New Roman" w:hAnsi="Times New Roman" w:cs="Times New Roman"/>
        </w:rPr>
        <w:t>74</w:t>
      </w:r>
      <w:r w:rsidRPr="00A27852">
        <w:rPr>
          <w:rFonts w:ascii="Times New Roman" w:hAnsi="Times New Roman" w:cs="Times New Roman"/>
        </w:rPr>
        <w:t xml:space="preserve"> mil. eur, čo oproti schválenému rozpočtu na rok 201</w:t>
      </w:r>
      <w:r>
        <w:rPr>
          <w:rFonts w:ascii="Times New Roman" w:hAnsi="Times New Roman" w:cs="Times New Roman"/>
        </w:rPr>
        <w:t>8</w:t>
      </w:r>
      <w:r w:rsidRPr="00A27852">
        <w:rPr>
          <w:rFonts w:ascii="Times New Roman" w:hAnsi="Times New Roman" w:cs="Times New Roman"/>
        </w:rPr>
        <w:t xml:space="preserve"> predstavuje nárast o 2</w:t>
      </w:r>
      <w:r>
        <w:rPr>
          <w:rFonts w:ascii="Times New Roman" w:hAnsi="Times New Roman" w:cs="Times New Roman"/>
        </w:rPr>
        <w:t>59</w:t>
      </w:r>
      <w:r w:rsidRPr="00A27852">
        <w:rPr>
          <w:rFonts w:ascii="Times New Roman" w:hAnsi="Times New Roman" w:cs="Times New Roman"/>
        </w:rPr>
        <w:t xml:space="preserve"> tis. eur, t. j. o </w:t>
      </w:r>
      <w:r>
        <w:rPr>
          <w:rFonts w:ascii="Times New Roman" w:hAnsi="Times New Roman" w:cs="Times New Roman"/>
        </w:rPr>
        <w:t>4</w:t>
      </w:r>
      <w:r w:rsidRPr="00A27852">
        <w:rPr>
          <w:rFonts w:ascii="Times New Roman" w:hAnsi="Times New Roman" w:cs="Times New Roman"/>
        </w:rPr>
        <w:t>,</w:t>
      </w:r>
      <w:r>
        <w:rPr>
          <w:rFonts w:ascii="Times New Roman" w:hAnsi="Times New Roman" w:cs="Times New Roman"/>
        </w:rPr>
        <w:t>73</w:t>
      </w:r>
      <w:r w:rsidRPr="00A27852">
        <w:rPr>
          <w:rFonts w:ascii="Times New Roman" w:hAnsi="Times New Roman" w:cs="Times New Roman"/>
        </w:rPr>
        <w:t xml:space="preserve"> %. </w:t>
      </w:r>
      <w:r w:rsidRPr="00E215E2">
        <w:rPr>
          <w:rFonts w:ascii="Times New Roman" w:hAnsi="Times New Roman" w:cs="Times New Roman"/>
        </w:rPr>
        <w:t>Dôvodom nárastu je najmä dopočet valorizácie platov zamestnancov z roku 2018</w:t>
      </w:r>
      <w:r w:rsidRPr="00181A90">
        <w:t xml:space="preserve"> </w:t>
      </w:r>
      <w:r w:rsidRPr="00181A90">
        <w:rPr>
          <w:rFonts w:ascii="Times New Roman" w:hAnsi="Times New Roman" w:cs="Times New Roman"/>
        </w:rPr>
        <w:t>do nasledujúcich rokov.</w:t>
      </w:r>
    </w:p>
    <w:p w:rsidR="003A497B" w:rsidRPr="00C768DA" w:rsidRDefault="003A497B" w:rsidP="003A497B">
      <w:pPr>
        <w:ind w:firstLine="708"/>
        <w:jc w:val="both"/>
        <w:rPr>
          <w:rFonts w:ascii="Times New Roman" w:hAnsi="Times New Roman" w:cs="Times New Roman"/>
          <w:highlight w:val="yellow"/>
        </w:rPr>
      </w:pPr>
      <w:r w:rsidRPr="00C768DA">
        <w:rPr>
          <w:rFonts w:ascii="Times New Roman" w:hAnsi="Times New Roman" w:cs="Times New Roman"/>
          <w:highlight w:val="yellow"/>
        </w:rPr>
        <w:t xml:space="preserve"> </w:t>
      </w:r>
    </w:p>
    <w:p w:rsidR="003A497B" w:rsidRDefault="003A497B" w:rsidP="003A497B">
      <w:pPr>
        <w:ind w:firstLine="708"/>
        <w:jc w:val="both"/>
        <w:rPr>
          <w:rFonts w:ascii="Times New Roman" w:hAnsi="Times New Roman" w:cs="Times New Roman"/>
        </w:rPr>
      </w:pPr>
      <w:r w:rsidRPr="00A331E6">
        <w:rPr>
          <w:rFonts w:ascii="Times New Roman" w:hAnsi="Times New Roman" w:cs="Times New Roman"/>
        </w:rPr>
        <w:t>Na tovary a služby sa v roku 201</w:t>
      </w:r>
      <w:r>
        <w:rPr>
          <w:rFonts w:ascii="Times New Roman" w:hAnsi="Times New Roman" w:cs="Times New Roman"/>
        </w:rPr>
        <w:t>9</w:t>
      </w:r>
      <w:r w:rsidRPr="00A331E6">
        <w:rPr>
          <w:rFonts w:ascii="Times New Roman" w:hAnsi="Times New Roman" w:cs="Times New Roman"/>
        </w:rPr>
        <w:t xml:space="preserve"> rozpisuje suma 2,0</w:t>
      </w:r>
      <w:r>
        <w:rPr>
          <w:rFonts w:ascii="Times New Roman" w:hAnsi="Times New Roman" w:cs="Times New Roman"/>
        </w:rPr>
        <w:t>1</w:t>
      </w:r>
      <w:r w:rsidRPr="00A331E6">
        <w:rPr>
          <w:rFonts w:ascii="Times New Roman" w:hAnsi="Times New Roman" w:cs="Times New Roman"/>
        </w:rPr>
        <w:t xml:space="preserve"> mil. eur, čo je v porovnaní so schváleným rozpočtom roku 201</w:t>
      </w:r>
      <w:r>
        <w:rPr>
          <w:rFonts w:ascii="Times New Roman" w:hAnsi="Times New Roman" w:cs="Times New Roman"/>
        </w:rPr>
        <w:t>8</w:t>
      </w:r>
      <w:r w:rsidRPr="00A331E6">
        <w:rPr>
          <w:rFonts w:ascii="Times New Roman" w:hAnsi="Times New Roman" w:cs="Times New Roman"/>
        </w:rPr>
        <w:t xml:space="preserve"> pokles o </w:t>
      </w:r>
      <w:r>
        <w:rPr>
          <w:rFonts w:ascii="Times New Roman" w:hAnsi="Times New Roman" w:cs="Times New Roman"/>
        </w:rPr>
        <w:t>10</w:t>
      </w:r>
      <w:r w:rsidRPr="00A331E6">
        <w:rPr>
          <w:rFonts w:ascii="Times New Roman" w:hAnsi="Times New Roman" w:cs="Times New Roman"/>
        </w:rPr>
        <w:t>,</w:t>
      </w:r>
      <w:r>
        <w:rPr>
          <w:rFonts w:ascii="Times New Roman" w:hAnsi="Times New Roman" w:cs="Times New Roman"/>
        </w:rPr>
        <w:t>5</w:t>
      </w:r>
      <w:r w:rsidRPr="00A331E6">
        <w:rPr>
          <w:rFonts w:ascii="Times New Roman" w:hAnsi="Times New Roman" w:cs="Times New Roman"/>
        </w:rPr>
        <w:t xml:space="preserve"> tis. eur, t. j. o</w:t>
      </w:r>
      <w:r>
        <w:rPr>
          <w:rFonts w:ascii="Times New Roman" w:hAnsi="Times New Roman" w:cs="Times New Roman"/>
        </w:rPr>
        <w:t> 0,5</w:t>
      </w:r>
      <w:r w:rsidRPr="00A331E6">
        <w:rPr>
          <w:rFonts w:ascii="Times New Roman" w:hAnsi="Times New Roman" w:cs="Times New Roman"/>
        </w:rPr>
        <w:t>2</w:t>
      </w:r>
      <w:r>
        <w:rPr>
          <w:rFonts w:ascii="Times New Roman" w:hAnsi="Times New Roman" w:cs="Times New Roman"/>
        </w:rPr>
        <w:t xml:space="preserve"> %,</w:t>
      </w:r>
      <w:r w:rsidRPr="00B96955">
        <w:t xml:space="preserve"> </w:t>
      </w:r>
      <w:r w:rsidRPr="00B96955">
        <w:rPr>
          <w:rFonts w:ascii="Times New Roman" w:hAnsi="Times New Roman" w:cs="Times New Roman"/>
        </w:rPr>
        <w:t xml:space="preserve">z dôvodu, že </w:t>
      </w:r>
      <w:r>
        <w:rPr>
          <w:rFonts w:ascii="Times New Roman" w:hAnsi="Times New Roman" w:cs="Times New Roman"/>
        </w:rPr>
        <w:t>úrad</w:t>
      </w:r>
      <w:r w:rsidRPr="00B96955">
        <w:rPr>
          <w:rFonts w:ascii="Times New Roman" w:hAnsi="Times New Roman" w:cs="Times New Roman"/>
        </w:rPr>
        <w:t xml:space="preserve"> si presunul časť výdavkov do kategórie bežné transfery.</w:t>
      </w:r>
    </w:p>
    <w:p w:rsidR="003A497B" w:rsidRPr="00C768DA" w:rsidRDefault="003A497B" w:rsidP="003A497B">
      <w:pPr>
        <w:ind w:firstLine="708"/>
        <w:jc w:val="both"/>
        <w:rPr>
          <w:rFonts w:ascii="Times New Roman" w:hAnsi="Times New Roman" w:cs="Times New Roman"/>
          <w:highlight w:val="yellow"/>
        </w:rPr>
      </w:pPr>
      <w:r w:rsidRPr="00A331E6">
        <w:rPr>
          <w:rFonts w:ascii="Times New Roman" w:hAnsi="Times New Roman" w:cs="Times New Roman"/>
        </w:rPr>
        <w:t xml:space="preserve"> </w:t>
      </w:r>
    </w:p>
    <w:p w:rsidR="003A497B" w:rsidRPr="00A331E6" w:rsidRDefault="003A497B" w:rsidP="003A497B">
      <w:pPr>
        <w:ind w:firstLine="708"/>
        <w:jc w:val="both"/>
        <w:rPr>
          <w:rFonts w:ascii="Times New Roman" w:hAnsi="Times New Roman"/>
        </w:rPr>
      </w:pPr>
      <w:r w:rsidRPr="00A331E6">
        <w:rPr>
          <w:rFonts w:ascii="Times New Roman" w:hAnsi="Times New Roman"/>
        </w:rPr>
        <w:t xml:space="preserve">Výdavky na bežné transfery sa rozpisujú v sume </w:t>
      </w:r>
      <w:r>
        <w:rPr>
          <w:rFonts w:ascii="Times New Roman" w:hAnsi="Times New Roman"/>
        </w:rPr>
        <w:t>2</w:t>
      </w:r>
      <w:r w:rsidRPr="00A331E6">
        <w:rPr>
          <w:rFonts w:ascii="Times New Roman" w:hAnsi="Times New Roman"/>
        </w:rPr>
        <w:t xml:space="preserve">5 tis. eur, </w:t>
      </w:r>
      <w:r w:rsidRPr="00B96955">
        <w:rPr>
          <w:rFonts w:ascii="Times New Roman" w:hAnsi="Times New Roman"/>
        </w:rPr>
        <w:t>čo oproti roku 2018 predstavuje nárast o 10,0 tis. eur</w:t>
      </w:r>
      <w:r>
        <w:rPr>
          <w:rFonts w:ascii="Times New Roman" w:hAnsi="Times New Roman"/>
        </w:rPr>
        <w:t xml:space="preserve">, t. j. o </w:t>
      </w:r>
      <w:r w:rsidRPr="00B96955">
        <w:rPr>
          <w:rFonts w:ascii="Times New Roman" w:hAnsi="Times New Roman"/>
        </w:rPr>
        <w:t>66,6</w:t>
      </w:r>
      <w:r>
        <w:rPr>
          <w:rFonts w:ascii="Times New Roman" w:hAnsi="Times New Roman"/>
        </w:rPr>
        <w:t xml:space="preserve"> </w:t>
      </w:r>
      <w:r w:rsidRPr="00B96955">
        <w:rPr>
          <w:rFonts w:ascii="Times New Roman" w:hAnsi="Times New Roman"/>
        </w:rPr>
        <w:t>%</w:t>
      </w:r>
      <w:r>
        <w:rPr>
          <w:rFonts w:ascii="Times New Roman" w:hAnsi="Times New Roman"/>
        </w:rPr>
        <w:t xml:space="preserve">, </w:t>
      </w:r>
      <w:r w:rsidRPr="00C678DB">
        <w:rPr>
          <w:rFonts w:ascii="Times New Roman" w:hAnsi="Times New Roman"/>
        </w:rPr>
        <w:t xml:space="preserve">z dôvodu, že </w:t>
      </w:r>
      <w:r>
        <w:rPr>
          <w:rFonts w:ascii="Times New Roman" w:hAnsi="Times New Roman"/>
        </w:rPr>
        <w:t>ú</w:t>
      </w:r>
      <w:r w:rsidRPr="00C678DB">
        <w:rPr>
          <w:rFonts w:ascii="Times New Roman" w:hAnsi="Times New Roman"/>
        </w:rPr>
        <w:t xml:space="preserve">rad si presunul časť výdavkov </w:t>
      </w:r>
      <w:r>
        <w:rPr>
          <w:rFonts w:ascii="Times New Roman" w:hAnsi="Times New Roman"/>
        </w:rPr>
        <w:t>z</w:t>
      </w:r>
      <w:r w:rsidRPr="00C678DB">
        <w:rPr>
          <w:rFonts w:ascii="Times New Roman" w:hAnsi="Times New Roman"/>
        </w:rPr>
        <w:t xml:space="preserve"> kategórie </w:t>
      </w:r>
      <w:r>
        <w:rPr>
          <w:rFonts w:ascii="Times New Roman" w:hAnsi="Times New Roman"/>
        </w:rPr>
        <w:t>tovary a služby</w:t>
      </w:r>
      <w:r w:rsidRPr="00C678DB">
        <w:rPr>
          <w:rFonts w:ascii="Times New Roman" w:hAnsi="Times New Roman"/>
        </w:rPr>
        <w:t>.</w:t>
      </w:r>
    </w:p>
    <w:p w:rsidR="003A497B" w:rsidRPr="00A331E6"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highlight w:val="yellow"/>
        </w:rPr>
      </w:pPr>
      <w:r w:rsidRPr="00A331E6">
        <w:rPr>
          <w:rFonts w:ascii="Times New Roman" w:hAnsi="Times New Roman" w:cs="Times New Roman"/>
        </w:rPr>
        <w:t>Kapitálové výdavky sú na rok 201</w:t>
      </w:r>
      <w:r>
        <w:rPr>
          <w:rFonts w:ascii="Times New Roman" w:hAnsi="Times New Roman" w:cs="Times New Roman"/>
        </w:rPr>
        <w:t>9</w:t>
      </w:r>
      <w:r w:rsidRPr="00A331E6">
        <w:rPr>
          <w:rFonts w:ascii="Times New Roman" w:hAnsi="Times New Roman" w:cs="Times New Roman"/>
        </w:rPr>
        <w:t xml:space="preserve"> rozpočtované v sume </w:t>
      </w:r>
      <w:r>
        <w:rPr>
          <w:rFonts w:ascii="Times New Roman" w:hAnsi="Times New Roman" w:cs="Times New Roman"/>
        </w:rPr>
        <w:t>1,53</w:t>
      </w:r>
      <w:r w:rsidRPr="00A331E6">
        <w:rPr>
          <w:rFonts w:ascii="Times New Roman" w:hAnsi="Times New Roman" w:cs="Times New Roman"/>
        </w:rPr>
        <w:t xml:space="preserve"> </w:t>
      </w:r>
      <w:r>
        <w:rPr>
          <w:rFonts w:ascii="Times New Roman" w:hAnsi="Times New Roman" w:cs="Times New Roman"/>
        </w:rPr>
        <w:t>mil</w:t>
      </w:r>
      <w:r w:rsidRPr="00A331E6">
        <w:rPr>
          <w:rFonts w:ascii="Times New Roman" w:hAnsi="Times New Roman" w:cs="Times New Roman"/>
        </w:rPr>
        <w:t xml:space="preserve">. eur, </w:t>
      </w:r>
      <w:r w:rsidRPr="00040115">
        <w:rPr>
          <w:rFonts w:ascii="Times New Roman" w:hAnsi="Times New Roman" w:cs="Times New Roman"/>
        </w:rPr>
        <w:t xml:space="preserve">čo oproti roku 2018 predstavuje nárast o </w:t>
      </w:r>
      <w:r>
        <w:rPr>
          <w:rFonts w:ascii="Times New Roman" w:hAnsi="Times New Roman" w:cs="Times New Roman"/>
        </w:rPr>
        <w:t>1</w:t>
      </w:r>
      <w:r w:rsidRPr="00040115">
        <w:rPr>
          <w:rFonts w:ascii="Times New Roman" w:hAnsi="Times New Roman" w:cs="Times New Roman"/>
        </w:rPr>
        <w:t>,</w:t>
      </w:r>
      <w:r>
        <w:rPr>
          <w:rFonts w:ascii="Times New Roman" w:hAnsi="Times New Roman" w:cs="Times New Roman"/>
        </w:rPr>
        <w:t>50</w:t>
      </w:r>
      <w:r w:rsidRPr="00040115">
        <w:rPr>
          <w:rFonts w:ascii="Times New Roman" w:hAnsi="Times New Roman" w:cs="Times New Roman"/>
        </w:rPr>
        <w:t xml:space="preserve"> </w:t>
      </w:r>
      <w:r>
        <w:rPr>
          <w:rFonts w:ascii="Times New Roman" w:hAnsi="Times New Roman" w:cs="Times New Roman"/>
        </w:rPr>
        <w:t>mil. eur,</w:t>
      </w:r>
      <w:r w:rsidRPr="00040115">
        <w:rPr>
          <w:rFonts w:ascii="Times New Roman" w:hAnsi="Times New Roman" w:cs="Times New Roman"/>
        </w:rPr>
        <w:t xml:space="preserve"> z dôvodu zvýšenia výdavkov na </w:t>
      </w:r>
      <w:r>
        <w:rPr>
          <w:rFonts w:ascii="Times New Roman" w:hAnsi="Times New Roman" w:cs="Times New Roman"/>
        </w:rPr>
        <w:t>rozvoj informačných systémov úradu.</w:t>
      </w:r>
    </w:p>
    <w:p w:rsidR="003A497B" w:rsidRDefault="003A497B" w:rsidP="003A497B">
      <w:pPr>
        <w:ind w:firstLine="708"/>
        <w:jc w:val="both"/>
        <w:rPr>
          <w:rFonts w:ascii="Times New Roman" w:hAnsi="Times New Roman" w:cs="Times New Roman"/>
          <w:highlight w:val="yellow"/>
        </w:rPr>
      </w:pPr>
    </w:p>
    <w:p w:rsidR="00EE1354" w:rsidRDefault="00EE1354" w:rsidP="003A497B">
      <w:pPr>
        <w:ind w:firstLine="708"/>
        <w:jc w:val="both"/>
        <w:rPr>
          <w:rFonts w:ascii="Times New Roman" w:hAnsi="Times New Roman" w:cs="Times New Roman"/>
          <w:highlight w:val="yellow"/>
        </w:rPr>
      </w:pPr>
    </w:p>
    <w:p w:rsidR="00EE1354" w:rsidRPr="004A3627" w:rsidRDefault="00EE1354" w:rsidP="003A497B">
      <w:pPr>
        <w:ind w:firstLine="708"/>
        <w:jc w:val="both"/>
        <w:rPr>
          <w:rFonts w:ascii="Times New Roman" w:hAnsi="Times New Roman" w:cs="Times New Roman"/>
          <w:highlight w:val="yellow"/>
        </w:rPr>
      </w:pPr>
    </w:p>
    <w:p w:rsidR="003A497B" w:rsidRPr="00912A7B" w:rsidRDefault="003A497B" w:rsidP="003A497B">
      <w:pPr>
        <w:pStyle w:val="Nadpis5"/>
        <w:pBdr>
          <w:bottom w:val="single" w:sz="4" w:space="1" w:color="auto"/>
        </w:pBdr>
        <w:ind w:left="0"/>
        <w:rPr>
          <w:i w:val="0"/>
          <w:sz w:val="24"/>
          <w:lang w:eastAsia="sk-SK"/>
        </w:rPr>
      </w:pPr>
      <w:bookmarkStart w:id="270" w:name="_Toc494470116"/>
      <w:bookmarkStart w:id="271" w:name="_Toc494472292"/>
      <w:bookmarkStart w:id="272" w:name="_Toc526267717"/>
      <w:r w:rsidRPr="00912A7B">
        <w:rPr>
          <w:i w:val="0"/>
          <w:sz w:val="24"/>
          <w:lang w:eastAsia="sk-SK"/>
        </w:rPr>
        <w:lastRenderedPageBreak/>
        <w:t>Úrad pre reguláciu sieťových odvetví</w:t>
      </w:r>
      <w:bookmarkEnd w:id="270"/>
      <w:bookmarkEnd w:id="271"/>
      <w:bookmarkEnd w:id="272"/>
    </w:p>
    <w:p w:rsidR="003A497B" w:rsidRPr="005F1146" w:rsidRDefault="003A497B" w:rsidP="003A497B">
      <w:pPr>
        <w:jc w:val="both"/>
        <w:rPr>
          <w:rFonts w:ascii="Times New Roman" w:hAnsi="Times New Roman" w:cs="Times New Roman"/>
        </w:rPr>
      </w:pPr>
      <w:bookmarkStart w:id="273" w:name="_Toc400551778"/>
      <w:bookmarkStart w:id="274" w:name="_Toc494470117"/>
      <w:bookmarkStart w:id="275" w:name="_Toc4944722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3"/>
        <w:gridCol w:w="939"/>
        <w:gridCol w:w="939"/>
        <w:gridCol w:w="939"/>
        <w:gridCol w:w="941"/>
        <w:gridCol w:w="941"/>
        <w:gridCol w:w="941"/>
        <w:gridCol w:w="939"/>
      </w:tblGrid>
      <w:tr w:rsidR="003A497B" w:rsidRPr="00E36727" w:rsidTr="003E1809">
        <w:trPr>
          <w:trHeight w:hRule="exact" w:val="255"/>
        </w:trPr>
        <w:tc>
          <w:tcPr>
            <w:tcW w:w="1370" w:type="pct"/>
            <w:shd w:val="clear" w:color="000000" w:fill="A6A6A6"/>
            <w:noWrap/>
            <w:vAlign w:val="center"/>
            <w:hideMark/>
          </w:tcPr>
          <w:p w:rsidR="003A497B" w:rsidRPr="00E36727" w:rsidRDefault="003A497B" w:rsidP="003E1809">
            <w:pPr>
              <w:rPr>
                <w:rFonts w:ascii="Times New Roman" w:hAnsi="Times New Roman" w:cs="Times New Roman"/>
                <w:b/>
                <w:bCs/>
                <w:color w:val="000000"/>
                <w:sz w:val="14"/>
                <w:szCs w:val="14"/>
                <w:lang w:eastAsia="sk-SK"/>
              </w:rPr>
            </w:pPr>
            <w:r w:rsidRPr="00E36727">
              <w:rPr>
                <w:rFonts w:ascii="Times New Roman" w:hAnsi="Times New Roman" w:cs="Times New Roman"/>
                <w:b/>
                <w:bCs/>
                <w:color w:val="000000"/>
                <w:sz w:val="14"/>
                <w:szCs w:val="14"/>
                <w:lang w:eastAsia="sk-SK"/>
              </w:rPr>
              <w:t> v eurách</w:t>
            </w:r>
          </w:p>
        </w:tc>
        <w:tc>
          <w:tcPr>
            <w:tcW w:w="518" w:type="pct"/>
            <w:shd w:val="clear" w:color="auto" w:fill="A6A6A6" w:themeFill="background1" w:themeFillShade="A6"/>
            <w:noWrap/>
            <w:vAlign w:val="center"/>
            <w:hideMark/>
          </w:tcPr>
          <w:p w:rsidR="003A497B" w:rsidRPr="00E36727" w:rsidRDefault="003A497B" w:rsidP="003E1809">
            <w:pPr>
              <w:jc w:val="center"/>
              <w:rPr>
                <w:rFonts w:ascii="Times New Roman" w:hAnsi="Times New Roman" w:cs="Times New Roman"/>
                <w:b/>
                <w:bCs/>
                <w:sz w:val="14"/>
                <w:szCs w:val="14"/>
              </w:rPr>
            </w:pPr>
            <w:r w:rsidRPr="00E36727">
              <w:rPr>
                <w:rFonts w:ascii="Times New Roman" w:hAnsi="Times New Roman" w:cs="Times New Roman"/>
                <w:b/>
                <w:bCs/>
                <w:sz w:val="14"/>
                <w:szCs w:val="14"/>
              </w:rPr>
              <w:t>2016 S</w:t>
            </w:r>
          </w:p>
        </w:tc>
        <w:tc>
          <w:tcPr>
            <w:tcW w:w="518" w:type="pct"/>
            <w:shd w:val="clear" w:color="auto" w:fill="A6A6A6" w:themeFill="background1" w:themeFillShade="A6"/>
            <w:noWrap/>
            <w:vAlign w:val="center"/>
            <w:hideMark/>
          </w:tcPr>
          <w:p w:rsidR="003A497B" w:rsidRPr="00E36727" w:rsidRDefault="003A497B" w:rsidP="003E1809">
            <w:pPr>
              <w:jc w:val="center"/>
              <w:rPr>
                <w:rFonts w:ascii="Times New Roman" w:hAnsi="Times New Roman" w:cs="Times New Roman"/>
                <w:b/>
                <w:bCs/>
                <w:sz w:val="14"/>
                <w:szCs w:val="14"/>
              </w:rPr>
            </w:pPr>
            <w:r w:rsidRPr="00E36727">
              <w:rPr>
                <w:rFonts w:ascii="Times New Roman" w:hAnsi="Times New Roman" w:cs="Times New Roman"/>
                <w:b/>
                <w:bCs/>
                <w:sz w:val="14"/>
                <w:szCs w:val="14"/>
              </w:rPr>
              <w:t>2017 S</w:t>
            </w:r>
          </w:p>
        </w:tc>
        <w:tc>
          <w:tcPr>
            <w:tcW w:w="518" w:type="pct"/>
            <w:shd w:val="clear" w:color="auto" w:fill="A6A6A6" w:themeFill="background1" w:themeFillShade="A6"/>
            <w:noWrap/>
            <w:vAlign w:val="center"/>
            <w:hideMark/>
          </w:tcPr>
          <w:p w:rsidR="003A497B" w:rsidRPr="00E36727" w:rsidRDefault="003A497B" w:rsidP="003E1809">
            <w:pPr>
              <w:jc w:val="center"/>
              <w:rPr>
                <w:rFonts w:ascii="Times New Roman" w:hAnsi="Times New Roman" w:cs="Times New Roman"/>
                <w:b/>
                <w:bCs/>
                <w:sz w:val="14"/>
                <w:szCs w:val="14"/>
              </w:rPr>
            </w:pPr>
            <w:r w:rsidRPr="00E36727">
              <w:rPr>
                <w:rFonts w:ascii="Times New Roman" w:hAnsi="Times New Roman" w:cs="Times New Roman"/>
                <w:b/>
                <w:bCs/>
                <w:sz w:val="14"/>
                <w:szCs w:val="14"/>
              </w:rPr>
              <w:t>2018 R</w:t>
            </w:r>
          </w:p>
        </w:tc>
        <w:tc>
          <w:tcPr>
            <w:tcW w:w="519" w:type="pct"/>
            <w:shd w:val="clear" w:color="auto" w:fill="A6A6A6" w:themeFill="background1" w:themeFillShade="A6"/>
            <w:noWrap/>
            <w:vAlign w:val="center"/>
            <w:hideMark/>
          </w:tcPr>
          <w:p w:rsidR="003A497B" w:rsidRPr="00E36727" w:rsidRDefault="003A497B" w:rsidP="003E1809">
            <w:pPr>
              <w:jc w:val="center"/>
              <w:rPr>
                <w:rFonts w:ascii="Times New Roman" w:hAnsi="Times New Roman" w:cs="Times New Roman"/>
                <w:b/>
                <w:bCs/>
                <w:sz w:val="14"/>
                <w:szCs w:val="14"/>
              </w:rPr>
            </w:pPr>
            <w:r w:rsidRPr="00E36727">
              <w:rPr>
                <w:rFonts w:ascii="Times New Roman" w:hAnsi="Times New Roman" w:cs="Times New Roman"/>
                <w:b/>
                <w:bCs/>
                <w:sz w:val="14"/>
                <w:szCs w:val="14"/>
              </w:rPr>
              <w:t>2018 OS</w:t>
            </w:r>
          </w:p>
        </w:tc>
        <w:tc>
          <w:tcPr>
            <w:tcW w:w="519" w:type="pct"/>
            <w:shd w:val="clear" w:color="auto" w:fill="A6A6A6" w:themeFill="background1" w:themeFillShade="A6"/>
            <w:noWrap/>
            <w:vAlign w:val="center"/>
            <w:hideMark/>
          </w:tcPr>
          <w:p w:rsidR="003A497B" w:rsidRPr="00E36727" w:rsidRDefault="003A497B" w:rsidP="003E1809">
            <w:pPr>
              <w:jc w:val="center"/>
              <w:rPr>
                <w:rFonts w:ascii="Times New Roman" w:hAnsi="Times New Roman" w:cs="Times New Roman"/>
                <w:b/>
                <w:bCs/>
                <w:sz w:val="14"/>
                <w:szCs w:val="14"/>
              </w:rPr>
            </w:pPr>
            <w:r w:rsidRPr="00E36727">
              <w:rPr>
                <w:rFonts w:ascii="Times New Roman" w:hAnsi="Times New Roman" w:cs="Times New Roman"/>
                <w:b/>
                <w:bCs/>
                <w:sz w:val="14"/>
                <w:szCs w:val="14"/>
              </w:rPr>
              <w:t>2019 N</w:t>
            </w:r>
          </w:p>
        </w:tc>
        <w:tc>
          <w:tcPr>
            <w:tcW w:w="519" w:type="pct"/>
            <w:shd w:val="clear" w:color="auto" w:fill="A6A6A6" w:themeFill="background1" w:themeFillShade="A6"/>
            <w:noWrap/>
            <w:vAlign w:val="center"/>
            <w:hideMark/>
          </w:tcPr>
          <w:p w:rsidR="003A497B" w:rsidRPr="00E36727" w:rsidRDefault="003A497B" w:rsidP="003E1809">
            <w:pPr>
              <w:jc w:val="center"/>
              <w:rPr>
                <w:rFonts w:ascii="Times New Roman" w:hAnsi="Times New Roman" w:cs="Times New Roman"/>
                <w:b/>
                <w:bCs/>
                <w:sz w:val="14"/>
                <w:szCs w:val="14"/>
              </w:rPr>
            </w:pPr>
            <w:r w:rsidRPr="00E36727">
              <w:rPr>
                <w:rFonts w:ascii="Times New Roman" w:hAnsi="Times New Roman" w:cs="Times New Roman"/>
                <w:b/>
                <w:bCs/>
                <w:sz w:val="14"/>
                <w:szCs w:val="14"/>
              </w:rPr>
              <w:t>2020 N</w:t>
            </w:r>
          </w:p>
        </w:tc>
        <w:tc>
          <w:tcPr>
            <w:tcW w:w="518" w:type="pct"/>
            <w:shd w:val="clear" w:color="auto" w:fill="A6A6A6" w:themeFill="background1" w:themeFillShade="A6"/>
            <w:noWrap/>
            <w:vAlign w:val="center"/>
            <w:hideMark/>
          </w:tcPr>
          <w:p w:rsidR="003A497B" w:rsidRPr="00E36727" w:rsidRDefault="003A497B" w:rsidP="003E1809">
            <w:pPr>
              <w:jc w:val="center"/>
              <w:rPr>
                <w:rFonts w:ascii="Times New Roman" w:hAnsi="Times New Roman" w:cs="Times New Roman"/>
                <w:b/>
                <w:bCs/>
                <w:sz w:val="14"/>
                <w:szCs w:val="14"/>
              </w:rPr>
            </w:pPr>
            <w:r w:rsidRPr="00E36727">
              <w:rPr>
                <w:rFonts w:ascii="Times New Roman" w:hAnsi="Times New Roman" w:cs="Times New Roman"/>
                <w:b/>
                <w:bCs/>
                <w:sz w:val="14"/>
                <w:szCs w:val="14"/>
              </w:rPr>
              <w:t>2021 N</w:t>
            </w:r>
          </w:p>
        </w:tc>
      </w:tr>
      <w:tr w:rsidR="003A497B" w:rsidRPr="00E36727" w:rsidTr="003E1809">
        <w:trPr>
          <w:trHeight w:hRule="exact" w:val="255"/>
        </w:trPr>
        <w:tc>
          <w:tcPr>
            <w:tcW w:w="1370" w:type="pct"/>
            <w:shd w:val="clear" w:color="auto" w:fill="BFBFBF" w:themeFill="background1" w:themeFillShade="BF"/>
            <w:noWrap/>
            <w:vAlign w:val="bottom"/>
            <w:hideMark/>
          </w:tcPr>
          <w:p w:rsidR="003A497B" w:rsidRPr="00E36727" w:rsidRDefault="003A497B" w:rsidP="003E1809">
            <w:pPr>
              <w:rPr>
                <w:rFonts w:ascii="Times New Roman" w:hAnsi="Times New Roman" w:cs="Times New Roman"/>
                <w:b/>
                <w:bCs/>
                <w:color w:val="000000"/>
                <w:sz w:val="14"/>
                <w:szCs w:val="14"/>
                <w:lang w:eastAsia="sk-SK"/>
              </w:rPr>
            </w:pPr>
            <w:r w:rsidRPr="00E36727">
              <w:rPr>
                <w:rFonts w:ascii="Times New Roman" w:hAnsi="Times New Roman" w:cs="Times New Roman"/>
                <w:b/>
                <w:bCs/>
                <w:color w:val="000000"/>
                <w:sz w:val="14"/>
                <w:szCs w:val="14"/>
                <w:lang w:eastAsia="sk-SK"/>
              </w:rPr>
              <w:t>Zdroje príslušnej kapitoly</w:t>
            </w:r>
          </w:p>
        </w:tc>
        <w:tc>
          <w:tcPr>
            <w:tcW w:w="518" w:type="pct"/>
            <w:shd w:val="clear" w:color="auto" w:fill="BFBFBF" w:themeFill="background1" w:themeFillShade="BF"/>
            <w:vAlign w:val="bottom"/>
            <w:hideMark/>
          </w:tcPr>
          <w:p w:rsidR="003A497B" w:rsidRPr="00E36727" w:rsidRDefault="003A497B" w:rsidP="003E1809">
            <w:pPr>
              <w:jc w:val="right"/>
              <w:rPr>
                <w:rFonts w:ascii="Times New Roman" w:hAnsi="Times New Roman" w:cs="Times New Roman"/>
                <w:b/>
                <w:bCs/>
                <w:color w:val="000000"/>
                <w:sz w:val="14"/>
                <w:szCs w:val="14"/>
              </w:rPr>
            </w:pPr>
            <w:r w:rsidRPr="00E36727">
              <w:rPr>
                <w:rFonts w:ascii="Times New Roman" w:hAnsi="Times New Roman" w:cs="Times New Roman"/>
                <w:b/>
                <w:bCs/>
                <w:color w:val="000000"/>
                <w:sz w:val="14"/>
                <w:szCs w:val="14"/>
              </w:rPr>
              <w:t>5 092 591</w:t>
            </w:r>
          </w:p>
        </w:tc>
        <w:tc>
          <w:tcPr>
            <w:tcW w:w="518" w:type="pct"/>
            <w:shd w:val="clear" w:color="auto" w:fill="BFBFBF" w:themeFill="background1" w:themeFillShade="BF"/>
            <w:vAlign w:val="bottom"/>
          </w:tcPr>
          <w:p w:rsidR="003A497B" w:rsidRPr="00E36727" w:rsidRDefault="003A497B" w:rsidP="003E1809">
            <w:pPr>
              <w:jc w:val="right"/>
              <w:rPr>
                <w:rFonts w:ascii="Times New Roman" w:hAnsi="Times New Roman" w:cs="Times New Roman"/>
                <w:b/>
                <w:bCs/>
                <w:color w:val="000000"/>
                <w:sz w:val="14"/>
                <w:szCs w:val="14"/>
              </w:rPr>
            </w:pPr>
            <w:r w:rsidRPr="00E36727">
              <w:rPr>
                <w:rFonts w:ascii="Times New Roman" w:hAnsi="Times New Roman" w:cs="Times New Roman"/>
                <w:b/>
                <w:bCs/>
                <w:color w:val="000000"/>
                <w:sz w:val="14"/>
                <w:szCs w:val="14"/>
              </w:rPr>
              <w:t>3 797 503</w:t>
            </w:r>
          </w:p>
        </w:tc>
        <w:tc>
          <w:tcPr>
            <w:tcW w:w="518" w:type="pct"/>
            <w:shd w:val="clear" w:color="auto" w:fill="BFBFBF" w:themeFill="background1" w:themeFillShade="BF"/>
            <w:vAlign w:val="bottom"/>
          </w:tcPr>
          <w:p w:rsidR="003A497B" w:rsidRPr="00E36727" w:rsidRDefault="003A497B" w:rsidP="003E1809">
            <w:pPr>
              <w:jc w:val="right"/>
              <w:rPr>
                <w:rFonts w:ascii="Times New Roman" w:hAnsi="Times New Roman" w:cs="Times New Roman"/>
                <w:b/>
                <w:bCs/>
                <w:color w:val="000000"/>
                <w:sz w:val="14"/>
                <w:szCs w:val="14"/>
              </w:rPr>
            </w:pPr>
            <w:r w:rsidRPr="00E36727">
              <w:rPr>
                <w:rFonts w:ascii="Times New Roman" w:hAnsi="Times New Roman" w:cs="Times New Roman"/>
                <w:b/>
                <w:bCs/>
                <w:color w:val="000000"/>
                <w:sz w:val="14"/>
                <w:szCs w:val="14"/>
              </w:rPr>
              <w:t>4 567 166</w:t>
            </w:r>
          </w:p>
        </w:tc>
        <w:tc>
          <w:tcPr>
            <w:tcW w:w="519" w:type="pct"/>
            <w:shd w:val="clear" w:color="auto" w:fill="BFBFBF" w:themeFill="background1" w:themeFillShade="BF"/>
            <w:vAlign w:val="bottom"/>
          </w:tcPr>
          <w:p w:rsidR="003A497B" w:rsidRPr="00E36727" w:rsidRDefault="003A497B" w:rsidP="003E1809">
            <w:pPr>
              <w:jc w:val="right"/>
              <w:rPr>
                <w:rFonts w:ascii="Times New Roman" w:hAnsi="Times New Roman" w:cs="Times New Roman"/>
                <w:b/>
                <w:bCs/>
                <w:color w:val="000000"/>
                <w:sz w:val="14"/>
                <w:szCs w:val="14"/>
                <w:lang w:eastAsia="sk-SK"/>
              </w:rPr>
            </w:pPr>
            <w:r w:rsidRPr="00E36727">
              <w:rPr>
                <w:rFonts w:ascii="Times New Roman" w:hAnsi="Times New Roman" w:cs="Times New Roman"/>
                <w:b/>
                <w:bCs/>
                <w:color w:val="000000"/>
                <w:sz w:val="14"/>
                <w:szCs w:val="14"/>
              </w:rPr>
              <w:t>4 703 856</w:t>
            </w:r>
          </w:p>
        </w:tc>
        <w:tc>
          <w:tcPr>
            <w:tcW w:w="519" w:type="pct"/>
            <w:shd w:val="clear" w:color="auto" w:fill="BFBFBF" w:themeFill="background1" w:themeFillShade="BF"/>
            <w:vAlign w:val="bottom"/>
          </w:tcPr>
          <w:p w:rsidR="003A497B" w:rsidRPr="00E36727" w:rsidRDefault="003A497B" w:rsidP="003E1809">
            <w:pPr>
              <w:jc w:val="right"/>
              <w:rPr>
                <w:rFonts w:ascii="Times New Roman" w:hAnsi="Times New Roman" w:cs="Times New Roman"/>
                <w:b/>
                <w:bCs/>
                <w:color w:val="000000"/>
                <w:sz w:val="14"/>
                <w:szCs w:val="14"/>
              </w:rPr>
            </w:pPr>
            <w:r w:rsidRPr="00E36727">
              <w:rPr>
                <w:rFonts w:ascii="Times New Roman" w:hAnsi="Times New Roman" w:cs="Times New Roman"/>
                <w:b/>
                <w:bCs/>
                <w:color w:val="000000"/>
                <w:sz w:val="14"/>
                <w:szCs w:val="14"/>
              </w:rPr>
              <w:t>4 472 072</w:t>
            </w:r>
          </w:p>
        </w:tc>
        <w:tc>
          <w:tcPr>
            <w:tcW w:w="519" w:type="pct"/>
            <w:shd w:val="clear" w:color="auto" w:fill="BFBFBF" w:themeFill="background1" w:themeFillShade="BF"/>
            <w:vAlign w:val="bottom"/>
          </w:tcPr>
          <w:p w:rsidR="003A497B" w:rsidRPr="00E36727" w:rsidRDefault="003A497B" w:rsidP="003E1809">
            <w:pPr>
              <w:jc w:val="right"/>
              <w:rPr>
                <w:rFonts w:ascii="Times New Roman" w:hAnsi="Times New Roman" w:cs="Times New Roman"/>
                <w:b/>
                <w:bCs/>
                <w:color w:val="000000"/>
                <w:sz w:val="14"/>
                <w:szCs w:val="14"/>
              </w:rPr>
            </w:pPr>
            <w:r w:rsidRPr="00E36727">
              <w:rPr>
                <w:rFonts w:ascii="Times New Roman" w:hAnsi="Times New Roman" w:cs="Times New Roman"/>
                <w:b/>
                <w:bCs/>
                <w:color w:val="000000"/>
                <w:sz w:val="14"/>
                <w:szCs w:val="14"/>
              </w:rPr>
              <w:t>4 425 072</w:t>
            </w:r>
          </w:p>
        </w:tc>
        <w:tc>
          <w:tcPr>
            <w:tcW w:w="518" w:type="pct"/>
            <w:shd w:val="clear" w:color="auto" w:fill="BFBFBF" w:themeFill="background1" w:themeFillShade="BF"/>
            <w:vAlign w:val="bottom"/>
          </w:tcPr>
          <w:p w:rsidR="003A497B" w:rsidRPr="00E36727" w:rsidRDefault="003A497B" w:rsidP="003E1809">
            <w:pPr>
              <w:jc w:val="right"/>
              <w:rPr>
                <w:rFonts w:ascii="Times New Roman" w:hAnsi="Times New Roman" w:cs="Times New Roman"/>
                <w:b/>
                <w:bCs/>
                <w:color w:val="000000"/>
                <w:sz w:val="14"/>
                <w:szCs w:val="14"/>
              </w:rPr>
            </w:pPr>
            <w:r w:rsidRPr="00E36727">
              <w:rPr>
                <w:rFonts w:ascii="Times New Roman" w:hAnsi="Times New Roman" w:cs="Times New Roman"/>
                <w:b/>
                <w:bCs/>
                <w:color w:val="000000"/>
                <w:sz w:val="14"/>
                <w:szCs w:val="14"/>
              </w:rPr>
              <w:t>4 425 072</w:t>
            </w:r>
          </w:p>
        </w:tc>
      </w:tr>
      <w:tr w:rsidR="003A497B" w:rsidRPr="00E36727" w:rsidTr="003E1809">
        <w:trPr>
          <w:trHeight w:hRule="exact" w:val="255"/>
        </w:trPr>
        <w:tc>
          <w:tcPr>
            <w:tcW w:w="1370" w:type="pct"/>
            <w:noWrap/>
            <w:vAlign w:val="bottom"/>
            <w:hideMark/>
          </w:tcPr>
          <w:p w:rsidR="003A497B" w:rsidRPr="00E36727" w:rsidRDefault="003A497B" w:rsidP="003E1809">
            <w:pPr>
              <w:rPr>
                <w:rFonts w:ascii="Times New Roman" w:hAnsi="Times New Roman" w:cs="Times New Roman"/>
                <w:color w:val="000000"/>
                <w:sz w:val="14"/>
                <w:szCs w:val="14"/>
                <w:lang w:eastAsia="sk-SK"/>
              </w:rPr>
            </w:pPr>
            <w:r w:rsidRPr="00E36727">
              <w:rPr>
                <w:rFonts w:ascii="Times New Roman" w:hAnsi="Times New Roman" w:cs="Times New Roman"/>
                <w:color w:val="000000"/>
                <w:sz w:val="14"/>
                <w:szCs w:val="14"/>
                <w:lang w:eastAsia="sk-SK"/>
              </w:rPr>
              <w:t xml:space="preserve">rozpočtové zdroje kapitoly  </w:t>
            </w:r>
          </w:p>
        </w:tc>
        <w:tc>
          <w:tcPr>
            <w:tcW w:w="518" w:type="pct"/>
            <w:shd w:val="clear" w:color="auto" w:fill="auto"/>
            <w:noWrap/>
            <w:vAlign w:val="bottom"/>
            <w:hideMark/>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5 044 386</w:t>
            </w:r>
          </w:p>
        </w:tc>
        <w:tc>
          <w:tcPr>
            <w:tcW w:w="518"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3 797 503</w:t>
            </w:r>
          </w:p>
        </w:tc>
        <w:tc>
          <w:tcPr>
            <w:tcW w:w="518"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4 567 166</w:t>
            </w:r>
          </w:p>
        </w:tc>
        <w:tc>
          <w:tcPr>
            <w:tcW w:w="519"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4 703 856</w:t>
            </w:r>
          </w:p>
        </w:tc>
        <w:tc>
          <w:tcPr>
            <w:tcW w:w="519"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4 472 072</w:t>
            </w:r>
          </w:p>
        </w:tc>
        <w:tc>
          <w:tcPr>
            <w:tcW w:w="519"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4 425 072</w:t>
            </w:r>
          </w:p>
        </w:tc>
        <w:tc>
          <w:tcPr>
            <w:tcW w:w="518"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4 425 072</w:t>
            </w:r>
          </w:p>
        </w:tc>
      </w:tr>
      <w:tr w:rsidR="003A497B" w:rsidRPr="00E36727" w:rsidTr="003E1809">
        <w:trPr>
          <w:trHeight w:hRule="exact" w:val="255"/>
        </w:trPr>
        <w:tc>
          <w:tcPr>
            <w:tcW w:w="1370" w:type="pct"/>
            <w:noWrap/>
            <w:vAlign w:val="bottom"/>
            <w:hideMark/>
          </w:tcPr>
          <w:p w:rsidR="003A497B" w:rsidRPr="00E36727" w:rsidRDefault="003A497B" w:rsidP="003E1809">
            <w:pPr>
              <w:rPr>
                <w:rFonts w:ascii="Times New Roman" w:hAnsi="Times New Roman" w:cs="Times New Roman"/>
                <w:color w:val="000000"/>
                <w:sz w:val="14"/>
                <w:szCs w:val="14"/>
                <w:lang w:eastAsia="sk-SK"/>
              </w:rPr>
            </w:pPr>
            <w:r w:rsidRPr="00E36727">
              <w:rPr>
                <w:rFonts w:ascii="Times New Roman" w:hAnsi="Times New Roman" w:cs="Times New Roman"/>
                <w:color w:val="000000"/>
                <w:sz w:val="14"/>
                <w:szCs w:val="14"/>
                <w:lang w:eastAsia="sk-SK"/>
              </w:rPr>
              <w:t xml:space="preserve">    v tom: bežné výdavky  600</w:t>
            </w:r>
          </w:p>
        </w:tc>
        <w:tc>
          <w:tcPr>
            <w:tcW w:w="518" w:type="pct"/>
            <w:shd w:val="clear" w:color="auto" w:fill="auto"/>
            <w:noWrap/>
            <w:vAlign w:val="bottom"/>
            <w:hideMark/>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5 020 387</w:t>
            </w:r>
          </w:p>
        </w:tc>
        <w:tc>
          <w:tcPr>
            <w:tcW w:w="518"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3 765 524</w:t>
            </w:r>
          </w:p>
        </w:tc>
        <w:tc>
          <w:tcPr>
            <w:tcW w:w="518"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4 397 966</w:t>
            </w:r>
          </w:p>
        </w:tc>
        <w:tc>
          <w:tcPr>
            <w:tcW w:w="519"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4 534 656</w:t>
            </w:r>
          </w:p>
        </w:tc>
        <w:tc>
          <w:tcPr>
            <w:tcW w:w="519"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4 411 572</w:t>
            </w:r>
          </w:p>
        </w:tc>
        <w:tc>
          <w:tcPr>
            <w:tcW w:w="519"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4 396 572</w:t>
            </w:r>
          </w:p>
        </w:tc>
        <w:tc>
          <w:tcPr>
            <w:tcW w:w="518"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4 396 572</w:t>
            </w:r>
          </w:p>
        </w:tc>
      </w:tr>
      <w:tr w:rsidR="003A497B" w:rsidRPr="00E36727" w:rsidTr="003E1809">
        <w:trPr>
          <w:trHeight w:hRule="exact" w:val="255"/>
        </w:trPr>
        <w:tc>
          <w:tcPr>
            <w:tcW w:w="1370" w:type="pct"/>
            <w:noWrap/>
            <w:vAlign w:val="bottom"/>
            <w:hideMark/>
          </w:tcPr>
          <w:p w:rsidR="003A497B" w:rsidRPr="00E36727" w:rsidRDefault="003A497B" w:rsidP="003E1809">
            <w:pPr>
              <w:rPr>
                <w:rFonts w:ascii="Times New Roman" w:hAnsi="Times New Roman" w:cs="Times New Roman"/>
                <w:color w:val="000000"/>
                <w:sz w:val="14"/>
                <w:szCs w:val="14"/>
                <w:lang w:eastAsia="sk-SK"/>
              </w:rPr>
            </w:pPr>
            <w:r w:rsidRPr="00E36727">
              <w:rPr>
                <w:rFonts w:ascii="Times New Roman" w:hAnsi="Times New Roman" w:cs="Times New Roman"/>
                <w:color w:val="000000"/>
                <w:sz w:val="14"/>
                <w:szCs w:val="14"/>
                <w:lang w:eastAsia="sk-SK"/>
              </w:rPr>
              <w:t xml:space="preserve">                            610 mzdy</w:t>
            </w:r>
          </w:p>
        </w:tc>
        <w:tc>
          <w:tcPr>
            <w:tcW w:w="518" w:type="pct"/>
            <w:shd w:val="clear" w:color="auto" w:fill="auto"/>
            <w:noWrap/>
            <w:vAlign w:val="bottom"/>
            <w:hideMark/>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1 905 164</w:t>
            </w:r>
          </w:p>
        </w:tc>
        <w:tc>
          <w:tcPr>
            <w:tcW w:w="518"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2 084 400</w:t>
            </w:r>
          </w:p>
        </w:tc>
        <w:tc>
          <w:tcPr>
            <w:tcW w:w="518"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2 442 345</w:t>
            </w:r>
          </w:p>
        </w:tc>
        <w:tc>
          <w:tcPr>
            <w:tcW w:w="519"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2 543 634</w:t>
            </w:r>
          </w:p>
        </w:tc>
        <w:tc>
          <w:tcPr>
            <w:tcW w:w="519"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2 559 578</w:t>
            </w:r>
          </w:p>
        </w:tc>
        <w:tc>
          <w:tcPr>
            <w:tcW w:w="519"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2 559 578</w:t>
            </w:r>
          </w:p>
        </w:tc>
        <w:tc>
          <w:tcPr>
            <w:tcW w:w="518"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2 559 578</w:t>
            </w:r>
          </w:p>
        </w:tc>
      </w:tr>
      <w:tr w:rsidR="003A497B" w:rsidRPr="00E36727" w:rsidTr="003E1809">
        <w:trPr>
          <w:trHeight w:hRule="exact" w:val="255"/>
        </w:trPr>
        <w:tc>
          <w:tcPr>
            <w:tcW w:w="1370" w:type="pct"/>
            <w:noWrap/>
            <w:vAlign w:val="bottom"/>
            <w:hideMark/>
          </w:tcPr>
          <w:p w:rsidR="003A497B" w:rsidRPr="00E36727" w:rsidRDefault="003A497B" w:rsidP="003E1809">
            <w:pPr>
              <w:rPr>
                <w:rFonts w:ascii="Times New Roman" w:hAnsi="Times New Roman" w:cs="Times New Roman"/>
                <w:color w:val="000000"/>
                <w:sz w:val="14"/>
                <w:szCs w:val="14"/>
                <w:lang w:eastAsia="sk-SK"/>
              </w:rPr>
            </w:pPr>
            <w:r w:rsidRPr="00E36727">
              <w:rPr>
                <w:rFonts w:ascii="Times New Roman" w:hAnsi="Times New Roman" w:cs="Times New Roman"/>
                <w:color w:val="000000"/>
                <w:sz w:val="14"/>
                <w:szCs w:val="14"/>
                <w:lang w:eastAsia="sk-SK"/>
              </w:rPr>
              <w:t xml:space="preserve">                            620 odvody</w:t>
            </w:r>
          </w:p>
        </w:tc>
        <w:tc>
          <w:tcPr>
            <w:tcW w:w="518" w:type="pct"/>
            <w:shd w:val="clear" w:color="auto" w:fill="auto"/>
            <w:noWrap/>
            <w:vAlign w:val="bottom"/>
            <w:hideMark/>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860 114</w:t>
            </w:r>
          </w:p>
        </w:tc>
        <w:tc>
          <w:tcPr>
            <w:tcW w:w="518"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857 509</w:t>
            </w:r>
          </w:p>
        </w:tc>
        <w:tc>
          <w:tcPr>
            <w:tcW w:w="518"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1 036 182</w:t>
            </w:r>
          </w:p>
        </w:tc>
        <w:tc>
          <w:tcPr>
            <w:tcW w:w="519"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1 071 583</w:t>
            </w:r>
          </w:p>
        </w:tc>
        <w:tc>
          <w:tcPr>
            <w:tcW w:w="519"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1 054 596</w:t>
            </w:r>
          </w:p>
        </w:tc>
        <w:tc>
          <w:tcPr>
            <w:tcW w:w="519"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1 054 596</w:t>
            </w:r>
          </w:p>
        </w:tc>
        <w:tc>
          <w:tcPr>
            <w:tcW w:w="518"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1 054 596</w:t>
            </w:r>
          </w:p>
        </w:tc>
      </w:tr>
      <w:tr w:rsidR="003A497B" w:rsidRPr="00E36727" w:rsidTr="003E1809">
        <w:trPr>
          <w:trHeight w:hRule="exact" w:val="255"/>
        </w:trPr>
        <w:tc>
          <w:tcPr>
            <w:tcW w:w="1370" w:type="pct"/>
            <w:noWrap/>
            <w:vAlign w:val="bottom"/>
            <w:hideMark/>
          </w:tcPr>
          <w:p w:rsidR="003A497B" w:rsidRPr="00E36727" w:rsidRDefault="003A497B" w:rsidP="003E1809">
            <w:pPr>
              <w:rPr>
                <w:rFonts w:ascii="Times New Roman" w:hAnsi="Times New Roman" w:cs="Times New Roman"/>
                <w:color w:val="000000"/>
                <w:sz w:val="14"/>
                <w:szCs w:val="14"/>
                <w:lang w:eastAsia="sk-SK"/>
              </w:rPr>
            </w:pPr>
            <w:r w:rsidRPr="00E36727">
              <w:rPr>
                <w:rFonts w:ascii="Times New Roman" w:hAnsi="Times New Roman" w:cs="Times New Roman"/>
                <w:color w:val="000000"/>
                <w:sz w:val="14"/>
                <w:szCs w:val="14"/>
                <w:lang w:eastAsia="sk-SK"/>
              </w:rPr>
              <w:t xml:space="preserve">                            630 tovary a služby</w:t>
            </w:r>
          </w:p>
        </w:tc>
        <w:tc>
          <w:tcPr>
            <w:tcW w:w="518" w:type="pct"/>
            <w:shd w:val="clear" w:color="auto" w:fill="auto"/>
            <w:noWrap/>
            <w:vAlign w:val="bottom"/>
            <w:hideMark/>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2 229 700</w:t>
            </w:r>
          </w:p>
        </w:tc>
        <w:tc>
          <w:tcPr>
            <w:tcW w:w="518"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775 538</w:t>
            </w:r>
          </w:p>
        </w:tc>
        <w:tc>
          <w:tcPr>
            <w:tcW w:w="518"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881 939</w:t>
            </w:r>
          </w:p>
        </w:tc>
        <w:tc>
          <w:tcPr>
            <w:tcW w:w="519"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870 664</w:t>
            </w:r>
          </w:p>
        </w:tc>
        <w:tc>
          <w:tcPr>
            <w:tcW w:w="519"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784 798</w:t>
            </w:r>
          </w:p>
        </w:tc>
        <w:tc>
          <w:tcPr>
            <w:tcW w:w="519"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769 798</w:t>
            </w:r>
          </w:p>
        </w:tc>
        <w:tc>
          <w:tcPr>
            <w:tcW w:w="518"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769 798</w:t>
            </w:r>
          </w:p>
        </w:tc>
      </w:tr>
      <w:tr w:rsidR="003A497B" w:rsidRPr="00E36727" w:rsidTr="003E1809">
        <w:trPr>
          <w:trHeight w:hRule="exact" w:val="255"/>
        </w:trPr>
        <w:tc>
          <w:tcPr>
            <w:tcW w:w="1370" w:type="pct"/>
            <w:noWrap/>
            <w:vAlign w:val="bottom"/>
            <w:hideMark/>
          </w:tcPr>
          <w:p w:rsidR="003A497B" w:rsidRPr="00E36727" w:rsidRDefault="003A497B" w:rsidP="003E1809">
            <w:pPr>
              <w:rPr>
                <w:rFonts w:ascii="Times New Roman" w:hAnsi="Times New Roman" w:cs="Times New Roman"/>
                <w:color w:val="000000"/>
                <w:sz w:val="14"/>
                <w:szCs w:val="14"/>
                <w:lang w:eastAsia="sk-SK"/>
              </w:rPr>
            </w:pPr>
            <w:r w:rsidRPr="00E36727">
              <w:rPr>
                <w:rFonts w:ascii="Times New Roman" w:hAnsi="Times New Roman" w:cs="Times New Roman"/>
                <w:color w:val="000000"/>
                <w:sz w:val="14"/>
                <w:szCs w:val="14"/>
                <w:lang w:eastAsia="sk-SK"/>
              </w:rPr>
              <w:t xml:space="preserve">                            640 bežné transfery</w:t>
            </w:r>
          </w:p>
        </w:tc>
        <w:tc>
          <w:tcPr>
            <w:tcW w:w="518" w:type="pct"/>
            <w:shd w:val="clear" w:color="auto" w:fill="auto"/>
            <w:noWrap/>
            <w:vAlign w:val="bottom"/>
            <w:hideMark/>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25 409</w:t>
            </w:r>
          </w:p>
        </w:tc>
        <w:tc>
          <w:tcPr>
            <w:tcW w:w="518"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48 077</w:t>
            </w:r>
          </w:p>
        </w:tc>
        <w:tc>
          <w:tcPr>
            <w:tcW w:w="518"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37 500</w:t>
            </w:r>
          </w:p>
        </w:tc>
        <w:tc>
          <w:tcPr>
            <w:tcW w:w="519"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48 775</w:t>
            </w:r>
          </w:p>
        </w:tc>
        <w:tc>
          <w:tcPr>
            <w:tcW w:w="519"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12 600</w:t>
            </w:r>
          </w:p>
        </w:tc>
        <w:tc>
          <w:tcPr>
            <w:tcW w:w="519"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12 600</w:t>
            </w:r>
          </w:p>
        </w:tc>
        <w:tc>
          <w:tcPr>
            <w:tcW w:w="518"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12 600</w:t>
            </w:r>
          </w:p>
        </w:tc>
      </w:tr>
      <w:tr w:rsidR="003A497B" w:rsidRPr="00E36727" w:rsidTr="003E1809">
        <w:trPr>
          <w:trHeight w:hRule="exact" w:val="255"/>
        </w:trPr>
        <w:tc>
          <w:tcPr>
            <w:tcW w:w="1370" w:type="pct"/>
            <w:noWrap/>
            <w:vAlign w:val="bottom"/>
            <w:hideMark/>
          </w:tcPr>
          <w:p w:rsidR="003A497B" w:rsidRPr="00E36727" w:rsidRDefault="003A497B" w:rsidP="003E1809">
            <w:pPr>
              <w:rPr>
                <w:rFonts w:ascii="Times New Roman" w:hAnsi="Times New Roman" w:cs="Times New Roman"/>
                <w:color w:val="000000"/>
                <w:sz w:val="14"/>
                <w:szCs w:val="14"/>
                <w:lang w:eastAsia="sk-SK"/>
              </w:rPr>
            </w:pPr>
            <w:r w:rsidRPr="00E36727">
              <w:rPr>
                <w:rFonts w:ascii="Times New Roman" w:hAnsi="Times New Roman" w:cs="Times New Roman"/>
                <w:color w:val="000000"/>
                <w:sz w:val="14"/>
                <w:szCs w:val="14"/>
                <w:lang w:eastAsia="sk-SK"/>
              </w:rPr>
              <w:t xml:space="preserve">               kapitálové výdavky 700</w:t>
            </w:r>
          </w:p>
        </w:tc>
        <w:tc>
          <w:tcPr>
            <w:tcW w:w="518" w:type="pct"/>
            <w:shd w:val="clear" w:color="auto" w:fill="auto"/>
            <w:noWrap/>
            <w:vAlign w:val="bottom"/>
            <w:hideMark/>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23 999</w:t>
            </w:r>
          </w:p>
        </w:tc>
        <w:tc>
          <w:tcPr>
            <w:tcW w:w="518"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31 979</w:t>
            </w:r>
          </w:p>
        </w:tc>
        <w:tc>
          <w:tcPr>
            <w:tcW w:w="518"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169 200</w:t>
            </w:r>
          </w:p>
        </w:tc>
        <w:tc>
          <w:tcPr>
            <w:tcW w:w="519"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169 200</w:t>
            </w:r>
          </w:p>
        </w:tc>
        <w:tc>
          <w:tcPr>
            <w:tcW w:w="519"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60 500</w:t>
            </w:r>
          </w:p>
        </w:tc>
        <w:tc>
          <w:tcPr>
            <w:tcW w:w="519"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28 500</w:t>
            </w:r>
          </w:p>
        </w:tc>
        <w:tc>
          <w:tcPr>
            <w:tcW w:w="518" w:type="pct"/>
            <w:shd w:val="clear" w:color="auto" w:fill="auto"/>
            <w:noWrap/>
            <w:vAlign w:val="bottom"/>
          </w:tcPr>
          <w:p w:rsidR="003A497B" w:rsidRPr="00E36727" w:rsidRDefault="003A497B" w:rsidP="003E1809">
            <w:pPr>
              <w:jc w:val="right"/>
              <w:rPr>
                <w:rFonts w:ascii="Times New Roman" w:hAnsi="Times New Roman" w:cs="Times New Roman"/>
                <w:color w:val="000000"/>
                <w:sz w:val="14"/>
                <w:szCs w:val="14"/>
              </w:rPr>
            </w:pPr>
            <w:r w:rsidRPr="00E36727">
              <w:rPr>
                <w:rFonts w:ascii="Times New Roman" w:hAnsi="Times New Roman" w:cs="Times New Roman"/>
                <w:color w:val="000000"/>
                <w:sz w:val="14"/>
                <w:szCs w:val="14"/>
              </w:rPr>
              <w:t>28 500</w:t>
            </w:r>
          </w:p>
        </w:tc>
      </w:tr>
    </w:tbl>
    <w:p w:rsidR="003A497B" w:rsidRDefault="003A497B" w:rsidP="003A497B">
      <w:pPr>
        <w:ind w:firstLine="708"/>
        <w:jc w:val="both"/>
        <w:rPr>
          <w:rFonts w:ascii="Times New Roman" w:hAnsi="Times New Roman"/>
        </w:rPr>
      </w:pPr>
    </w:p>
    <w:p w:rsidR="003A497B" w:rsidRDefault="003A497B" w:rsidP="003A497B">
      <w:pPr>
        <w:ind w:firstLine="708"/>
        <w:jc w:val="both"/>
        <w:rPr>
          <w:rFonts w:ascii="Times New Roman" w:hAnsi="Times New Roman"/>
        </w:rPr>
      </w:pPr>
      <w:r w:rsidRPr="008E1349">
        <w:rPr>
          <w:rFonts w:ascii="Times New Roman" w:hAnsi="Times New Roman"/>
        </w:rPr>
        <w:t xml:space="preserve">Výdavky </w:t>
      </w:r>
      <w:r>
        <w:rPr>
          <w:rFonts w:ascii="Times New Roman" w:hAnsi="Times New Roman"/>
        </w:rPr>
        <w:t xml:space="preserve">Úradu pre reguláciu sieťových odvetví </w:t>
      </w:r>
      <w:r w:rsidRPr="008E1349">
        <w:rPr>
          <w:rFonts w:ascii="Times New Roman" w:hAnsi="Times New Roman"/>
        </w:rPr>
        <w:t>sa v návrhu rozpočtu na rok 201</w:t>
      </w:r>
      <w:r>
        <w:rPr>
          <w:rFonts w:ascii="Times New Roman" w:hAnsi="Times New Roman"/>
        </w:rPr>
        <w:t>9 navrhujú vo výške 4,47 mil. eur, čo predstavuje pokles</w:t>
      </w:r>
      <w:r w:rsidRPr="008E1349">
        <w:rPr>
          <w:rFonts w:ascii="Times New Roman" w:hAnsi="Times New Roman"/>
        </w:rPr>
        <w:t xml:space="preserve"> oproti roku 201</w:t>
      </w:r>
      <w:r>
        <w:rPr>
          <w:rFonts w:ascii="Times New Roman" w:hAnsi="Times New Roman"/>
        </w:rPr>
        <w:t>8</w:t>
      </w:r>
      <w:r w:rsidRPr="008E1349">
        <w:rPr>
          <w:rFonts w:ascii="Times New Roman" w:hAnsi="Times New Roman"/>
        </w:rPr>
        <w:t xml:space="preserve"> o</w:t>
      </w:r>
      <w:r>
        <w:rPr>
          <w:rFonts w:ascii="Times New Roman" w:hAnsi="Times New Roman"/>
        </w:rPr>
        <w:t> 95 tis. eur</w:t>
      </w:r>
      <w:r w:rsidRPr="008E1349">
        <w:rPr>
          <w:rFonts w:ascii="Times New Roman" w:hAnsi="Times New Roman"/>
        </w:rPr>
        <w:t xml:space="preserve">, </w:t>
      </w:r>
      <w:r>
        <w:rPr>
          <w:rFonts w:ascii="Times New Roman" w:hAnsi="Times New Roman"/>
        </w:rPr>
        <w:br/>
      </w:r>
      <w:r w:rsidRPr="008E1349">
        <w:rPr>
          <w:rFonts w:ascii="Times New Roman" w:hAnsi="Times New Roman"/>
        </w:rPr>
        <w:t>t. j. o</w:t>
      </w:r>
      <w:r>
        <w:rPr>
          <w:rFonts w:ascii="Times New Roman" w:hAnsi="Times New Roman"/>
        </w:rPr>
        <w:t xml:space="preserve"> 2,08 </w:t>
      </w:r>
      <w:r w:rsidRPr="008E1349">
        <w:rPr>
          <w:rFonts w:ascii="Times New Roman" w:hAnsi="Times New Roman"/>
        </w:rPr>
        <w:t xml:space="preserve">%. </w:t>
      </w:r>
      <w:r>
        <w:rPr>
          <w:rFonts w:ascii="Times New Roman" w:hAnsi="Times New Roman"/>
        </w:rPr>
        <w:t>Tento pokles</w:t>
      </w:r>
      <w:r w:rsidRPr="008E1349">
        <w:rPr>
          <w:rFonts w:ascii="Times New Roman" w:hAnsi="Times New Roman"/>
        </w:rPr>
        <w:t xml:space="preserve"> </w:t>
      </w:r>
      <w:r>
        <w:rPr>
          <w:rFonts w:ascii="Times New Roman" w:hAnsi="Times New Roman"/>
        </w:rPr>
        <w:t>výdavkov je spôsobený zohľadnením potrieb kapitoly v roku 2018,  v súvislosti so zmenou zákona č. 250/2012 Z. z. o regulácii v sieťových odvetviach.</w:t>
      </w:r>
    </w:p>
    <w:p w:rsidR="003A497B" w:rsidRDefault="003A497B" w:rsidP="003A497B">
      <w:pPr>
        <w:ind w:firstLine="708"/>
        <w:jc w:val="both"/>
        <w:rPr>
          <w:rFonts w:ascii="Times New Roman" w:hAnsi="Times New Roman"/>
        </w:rPr>
      </w:pPr>
    </w:p>
    <w:p w:rsidR="003A497B" w:rsidRPr="00DC254B" w:rsidRDefault="003A497B" w:rsidP="003A497B">
      <w:pPr>
        <w:ind w:firstLine="708"/>
        <w:jc w:val="both"/>
        <w:rPr>
          <w:rFonts w:ascii="Times New Roman" w:hAnsi="Times New Roman"/>
        </w:rPr>
      </w:pPr>
      <w:r w:rsidRPr="00DC254B">
        <w:rPr>
          <w:rFonts w:ascii="Times New Roman" w:hAnsi="Times New Roman"/>
        </w:rPr>
        <w:t>Osobné výdavky sa na rok 2019 navrhujú vo výške 3,61 mil. eur a v porovnaní so schváleným rozpočtom na rok 2018 rastú o 136 tis. eur, t. j. o 3,9</w:t>
      </w:r>
      <w:r>
        <w:rPr>
          <w:rFonts w:ascii="Times New Roman" w:hAnsi="Times New Roman"/>
        </w:rPr>
        <w:t>0</w:t>
      </w:r>
      <w:r w:rsidRPr="00DC254B">
        <w:rPr>
          <w:rFonts w:ascii="Times New Roman" w:hAnsi="Times New Roman"/>
        </w:rPr>
        <w:t xml:space="preserve"> %. Nárast v oblasti osobných výdavkov je spôsobený zohľadnením 4,8 % valorizácie platových taríf pre zamestnancov v štátnej a verejnej službe, zrealizovanej</w:t>
      </w:r>
      <w:r>
        <w:rPr>
          <w:rFonts w:ascii="Times New Roman" w:hAnsi="Times New Roman"/>
        </w:rPr>
        <w:t xml:space="preserve"> v roku </w:t>
      </w:r>
      <w:r w:rsidRPr="00DC254B">
        <w:rPr>
          <w:rFonts w:ascii="Times New Roman" w:hAnsi="Times New Roman"/>
        </w:rPr>
        <w:t>2018 do nasledujúcich rokov.</w:t>
      </w:r>
    </w:p>
    <w:p w:rsidR="003A497B" w:rsidRPr="005F1146" w:rsidRDefault="003A497B" w:rsidP="003A497B">
      <w:pPr>
        <w:ind w:firstLine="708"/>
        <w:jc w:val="both"/>
        <w:rPr>
          <w:rFonts w:ascii="Times New Roman" w:hAnsi="Times New Roman"/>
        </w:rPr>
      </w:pPr>
    </w:p>
    <w:p w:rsidR="003A497B" w:rsidRPr="00A54E2D" w:rsidRDefault="003A497B" w:rsidP="003A497B">
      <w:pPr>
        <w:ind w:firstLine="708"/>
        <w:jc w:val="both"/>
        <w:rPr>
          <w:rFonts w:ascii="Times New Roman" w:hAnsi="Times New Roman"/>
        </w:rPr>
      </w:pPr>
      <w:r w:rsidRPr="005F1146">
        <w:rPr>
          <w:rFonts w:ascii="Times New Roman" w:hAnsi="Times New Roman"/>
        </w:rPr>
        <w:t xml:space="preserve">Výdavky v oblasti tovarov a služieb </w:t>
      </w:r>
      <w:r>
        <w:rPr>
          <w:rFonts w:ascii="Times New Roman" w:hAnsi="Times New Roman"/>
        </w:rPr>
        <w:t xml:space="preserve">sú </w:t>
      </w:r>
      <w:r w:rsidRPr="005F1146">
        <w:rPr>
          <w:rFonts w:ascii="Times New Roman" w:hAnsi="Times New Roman"/>
        </w:rPr>
        <w:t>na rok 201</w:t>
      </w:r>
      <w:r>
        <w:rPr>
          <w:rFonts w:ascii="Times New Roman" w:hAnsi="Times New Roman"/>
        </w:rPr>
        <w:t>9</w:t>
      </w:r>
      <w:r w:rsidRPr="005F1146">
        <w:rPr>
          <w:rFonts w:ascii="Times New Roman" w:hAnsi="Times New Roman"/>
        </w:rPr>
        <w:t xml:space="preserve"> navrhnuté v sume </w:t>
      </w:r>
      <w:r>
        <w:rPr>
          <w:rFonts w:ascii="Times New Roman" w:hAnsi="Times New Roman"/>
        </w:rPr>
        <w:t xml:space="preserve">785 tis. </w:t>
      </w:r>
      <w:r w:rsidRPr="005F1146">
        <w:rPr>
          <w:rFonts w:ascii="Times New Roman" w:hAnsi="Times New Roman"/>
        </w:rPr>
        <w:t xml:space="preserve">eur </w:t>
      </w:r>
      <w:r>
        <w:rPr>
          <w:rFonts w:ascii="Times New Roman" w:hAnsi="Times New Roman"/>
        </w:rPr>
        <w:t xml:space="preserve">       a v porovnaní s úrovňou schváleného rozpočtu 2018 klesajú o 97,1 tis. eur, t. j. 11,0 % v súvislosti so zapracovanými potrebami kapitoly v roku 2018, na základe zmeny</w:t>
      </w:r>
      <w:r w:rsidRPr="00A54E2D">
        <w:rPr>
          <w:rFonts w:ascii="Times New Roman" w:hAnsi="Times New Roman"/>
        </w:rPr>
        <w:t xml:space="preserve"> zákona </w:t>
      </w:r>
      <w:r>
        <w:rPr>
          <w:rFonts w:ascii="Times New Roman" w:hAnsi="Times New Roman"/>
        </w:rPr>
        <w:br/>
      </w:r>
      <w:r w:rsidRPr="00A54E2D">
        <w:rPr>
          <w:rFonts w:ascii="Times New Roman" w:hAnsi="Times New Roman"/>
        </w:rPr>
        <w:t>č. 250/2012 Z. z. o regulácii v sieťových odvetviach.</w:t>
      </w:r>
    </w:p>
    <w:p w:rsidR="003A497B" w:rsidRPr="005F1146" w:rsidRDefault="003A497B" w:rsidP="003A497B">
      <w:pPr>
        <w:ind w:firstLine="708"/>
        <w:jc w:val="both"/>
        <w:rPr>
          <w:rFonts w:ascii="Times New Roman" w:hAnsi="Times New Roman"/>
        </w:rPr>
      </w:pPr>
    </w:p>
    <w:p w:rsidR="003A497B" w:rsidRPr="00290407" w:rsidRDefault="003A497B" w:rsidP="003A497B">
      <w:pPr>
        <w:tabs>
          <w:tab w:val="left" w:pos="709"/>
        </w:tabs>
        <w:jc w:val="both"/>
        <w:rPr>
          <w:rFonts w:ascii="Times New Roman" w:hAnsi="Times New Roman"/>
          <w:b/>
        </w:rPr>
      </w:pPr>
      <w:r>
        <w:rPr>
          <w:rFonts w:ascii="Times New Roman" w:hAnsi="Times New Roman"/>
        </w:rPr>
        <w:tab/>
      </w:r>
      <w:r w:rsidRPr="00C63240">
        <w:rPr>
          <w:rFonts w:ascii="Times New Roman" w:hAnsi="Times New Roman"/>
        </w:rPr>
        <w:t>Výška bežných transferov</w:t>
      </w:r>
      <w:r>
        <w:rPr>
          <w:rFonts w:ascii="Times New Roman" w:hAnsi="Times New Roman"/>
        </w:rPr>
        <w:t xml:space="preserve"> v objeme 12,6 tis. eur</w:t>
      </w:r>
      <w:r w:rsidRPr="00C63240">
        <w:rPr>
          <w:rFonts w:ascii="Times New Roman" w:hAnsi="Times New Roman"/>
        </w:rPr>
        <w:t xml:space="preserve"> v limitoch kapitoly </w:t>
      </w:r>
      <w:r>
        <w:rPr>
          <w:rFonts w:ascii="Times New Roman" w:hAnsi="Times New Roman"/>
        </w:rPr>
        <w:t>na</w:t>
      </w:r>
      <w:r w:rsidRPr="00C63240">
        <w:rPr>
          <w:rFonts w:ascii="Times New Roman" w:hAnsi="Times New Roman"/>
        </w:rPr>
        <w:t xml:space="preserve"> rok 201</w:t>
      </w:r>
      <w:r>
        <w:rPr>
          <w:rFonts w:ascii="Times New Roman" w:hAnsi="Times New Roman"/>
        </w:rPr>
        <w:t>9</w:t>
      </w:r>
      <w:r w:rsidRPr="00C63240">
        <w:rPr>
          <w:rFonts w:ascii="Times New Roman" w:hAnsi="Times New Roman"/>
        </w:rPr>
        <w:t xml:space="preserve"> v porovnaní so schváleným rozpočtom roku 201</w:t>
      </w:r>
      <w:r>
        <w:rPr>
          <w:rFonts w:ascii="Times New Roman" w:hAnsi="Times New Roman"/>
        </w:rPr>
        <w:t>8</w:t>
      </w:r>
      <w:r w:rsidRPr="00C63240">
        <w:rPr>
          <w:rFonts w:ascii="Times New Roman" w:hAnsi="Times New Roman"/>
        </w:rPr>
        <w:t xml:space="preserve"> </w:t>
      </w:r>
      <w:r>
        <w:rPr>
          <w:rFonts w:ascii="Times New Roman" w:hAnsi="Times New Roman"/>
        </w:rPr>
        <w:t>klesá o 66,4</w:t>
      </w:r>
      <w:r w:rsidRPr="00290407">
        <w:rPr>
          <w:rFonts w:ascii="Times New Roman" w:hAnsi="Times New Roman"/>
        </w:rPr>
        <w:t xml:space="preserve"> % , t.</w:t>
      </w:r>
      <w:r>
        <w:rPr>
          <w:rFonts w:ascii="Times New Roman" w:hAnsi="Times New Roman"/>
        </w:rPr>
        <w:t xml:space="preserve"> </w:t>
      </w:r>
      <w:r w:rsidRPr="00290407">
        <w:rPr>
          <w:rFonts w:ascii="Times New Roman" w:hAnsi="Times New Roman"/>
        </w:rPr>
        <w:t xml:space="preserve">j. </w:t>
      </w:r>
      <w:r>
        <w:rPr>
          <w:rFonts w:ascii="Times New Roman" w:hAnsi="Times New Roman"/>
        </w:rPr>
        <w:t xml:space="preserve">o 24,9 tis. eur, </w:t>
      </w:r>
      <w:r w:rsidRPr="00657BA6">
        <w:rPr>
          <w:rFonts w:ascii="Times New Roman" w:hAnsi="Times New Roman" w:cs="Times New Roman"/>
        </w:rPr>
        <w:t xml:space="preserve">z  dôvodu </w:t>
      </w:r>
      <w:r>
        <w:rPr>
          <w:rFonts w:ascii="Times New Roman" w:hAnsi="Times New Roman" w:cs="Times New Roman"/>
        </w:rPr>
        <w:t xml:space="preserve">jednorazového </w:t>
      </w:r>
      <w:r w:rsidRPr="00657BA6">
        <w:rPr>
          <w:rFonts w:ascii="Times New Roman" w:hAnsi="Times New Roman" w:cs="Times New Roman"/>
        </w:rPr>
        <w:t xml:space="preserve">zabezpečenia dostatočných finančných prostriedkov </w:t>
      </w:r>
      <w:r>
        <w:rPr>
          <w:rFonts w:ascii="Times New Roman" w:hAnsi="Times New Roman" w:cs="Times New Roman"/>
        </w:rPr>
        <w:t xml:space="preserve">v roku 2018 </w:t>
      </w:r>
      <w:r w:rsidRPr="00657BA6">
        <w:rPr>
          <w:rFonts w:ascii="Times New Roman" w:hAnsi="Times New Roman" w:cs="Times New Roman"/>
        </w:rPr>
        <w:t xml:space="preserve">na odchodné </w:t>
      </w:r>
      <w:r>
        <w:rPr>
          <w:rFonts w:ascii="Times New Roman" w:hAnsi="Times New Roman" w:cs="Times New Roman"/>
        </w:rPr>
        <w:t>a odstupné pre zamestnancov.</w:t>
      </w:r>
    </w:p>
    <w:p w:rsidR="003A497B" w:rsidRPr="005F1146" w:rsidRDefault="003A497B" w:rsidP="003A497B">
      <w:pPr>
        <w:tabs>
          <w:tab w:val="left" w:pos="709"/>
        </w:tabs>
        <w:jc w:val="both"/>
        <w:rPr>
          <w:rFonts w:ascii="Times New Roman" w:hAnsi="Times New Roman"/>
        </w:rPr>
      </w:pPr>
      <w:r w:rsidRPr="005F1146">
        <w:rPr>
          <w:rFonts w:ascii="Times New Roman" w:hAnsi="Times New Roman"/>
        </w:rPr>
        <w:t xml:space="preserve"> </w:t>
      </w:r>
    </w:p>
    <w:p w:rsidR="003A497B" w:rsidRPr="008D5073" w:rsidRDefault="003A497B" w:rsidP="003A497B">
      <w:pPr>
        <w:tabs>
          <w:tab w:val="left" w:pos="709"/>
        </w:tabs>
        <w:jc w:val="both"/>
        <w:rPr>
          <w:rFonts w:ascii="Times New Roman" w:hAnsi="Times New Roman"/>
        </w:rPr>
      </w:pPr>
      <w:r>
        <w:rPr>
          <w:rFonts w:ascii="Times New Roman" w:hAnsi="Times New Roman"/>
        </w:rPr>
        <w:tab/>
      </w:r>
      <w:r w:rsidRPr="00290407">
        <w:rPr>
          <w:rFonts w:ascii="Times New Roman" w:hAnsi="Times New Roman"/>
        </w:rPr>
        <w:t>Rozpočet kapitálových výdavkov na rok 201</w:t>
      </w:r>
      <w:r>
        <w:rPr>
          <w:rFonts w:ascii="Times New Roman" w:hAnsi="Times New Roman"/>
        </w:rPr>
        <w:t>9 vo výške 60,5</w:t>
      </w:r>
      <w:r w:rsidRPr="00290407">
        <w:rPr>
          <w:rFonts w:ascii="Times New Roman" w:hAnsi="Times New Roman"/>
        </w:rPr>
        <w:t xml:space="preserve"> tis. eur </w:t>
      </w:r>
      <w:r>
        <w:rPr>
          <w:rFonts w:ascii="Times New Roman" w:hAnsi="Times New Roman"/>
        </w:rPr>
        <w:t>klesá o 64,2 %, teda o 108,7</w:t>
      </w:r>
      <w:r w:rsidRPr="00290407">
        <w:rPr>
          <w:rFonts w:ascii="Times New Roman" w:hAnsi="Times New Roman"/>
        </w:rPr>
        <w:t xml:space="preserve"> tis. eur</w:t>
      </w:r>
      <w:r>
        <w:rPr>
          <w:rFonts w:ascii="Times New Roman" w:hAnsi="Times New Roman"/>
        </w:rPr>
        <w:t>,</w:t>
      </w:r>
      <w:r w:rsidRPr="00290407">
        <w:rPr>
          <w:rFonts w:ascii="Times New Roman" w:hAnsi="Times New Roman"/>
        </w:rPr>
        <w:t xml:space="preserve"> čo</w:t>
      </w:r>
      <w:r>
        <w:rPr>
          <w:rFonts w:ascii="Times New Roman" w:hAnsi="Times New Roman"/>
        </w:rPr>
        <w:t xml:space="preserve"> je spôsobené zohľadnením jednorazových výdavkov v roku 2018, potrebných na obnovu </w:t>
      </w:r>
      <w:r w:rsidRPr="008D5073">
        <w:rPr>
          <w:rFonts w:ascii="Times New Roman" w:hAnsi="Times New Roman"/>
        </w:rPr>
        <w:t xml:space="preserve">zastaraného vozového parku a na čiastočnú výmenu nefunkčnej výpočtovej techniky. V rozpočte </w:t>
      </w:r>
      <w:r>
        <w:rPr>
          <w:rFonts w:ascii="Times New Roman" w:hAnsi="Times New Roman"/>
        </w:rPr>
        <w:t xml:space="preserve">kapitálových výdavkov </w:t>
      </w:r>
      <w:r w:rsidRPr="008D5073">
        <w:rPr>
          <w:rFonts w:ascii="Times New Roman" w:hAnsi="Times New Roman"/>
        </w:rPr>
        <w:t>na rok 2019 sú zapracované výdavky, potrebné na dofinancovanie e</w:t>
      </w:r>
      <w:r w:rsidR="00C017E3">
        <w:rPr>
          <w:rFonts w:ascii="Times New Roman" w:hAnsi="Times New Roman"/>
        </w:rPr>
        <w:t>–</w:t>
      </w:r>
      <w:r w:rsidRPr="008D5073">
        <w:rPr>
          <w:rFonts w:ascii="Times New Roman" w:hAnsi="Times New Roman"/>
        </w:rPr>
        <w:t>Gover</w:t>
      </w:r>
      <w:r>
        <w:rPr>
          <w:rFonts w:ascii="Times New Roman" w:hAnsi="Times New Roman"/>
        </w:rPr>
        <w:t>n</w:t>
      </w:r>
      <w:r w:rsidRPr="008D5073">
        <w:rPr>
          <w:rFonts w:ascii="Times New Roman" w:hAnsi="Times New Roman"/>
        </w:rPr>
        <w:t>mentu.</w:t>
      </w:r>
    </w:p>
    <w:p w:rsidR="003A497B" w:rsidRDefault="003A497B" w:rsidP="003A497B">
      <w:pPr>
        <w:tabs>
          <w:tab w:val="left" w:pos="709"/>
        </w:tabs>
        <w:jc w:val="both"/>
        <w:rPr>
          <w:rFonts w:ascii="Times New Roman" w:hAnsi="Times New Roman"/>
        </w:rPr>
      </w:pPr>
    </w:p>
    <w:p w:rsidR="00EE1354" w:rsidRDefault="00EE1354" w:rsidP="003A497B">
      <w:pPr>
        <w:tabs>
          <w:tab w:val="left" w:pos="709"/>
        </w:tabs>
        <w:jc w:val="both"/>
        <w:rPr>
          <w:rFonts w:ascii="Times New Roman" w:hAnsi="Times New Roman"/>
        </w:rPr>
      </w:pPr>
    </w:p>
    <w:p w:rsidR="00EE1354" w:rsidRDefault="00EE1354" w:rsidP="003A497B">
      <w:pPr>
        <w:tabs>
          <w:tab w:val="left" w:pos="709"/>
        </w:tabs>
        <w:jc w:val="both"/>
        <w:rPr>
          <w:rFonts w:ascii="Times New Roman" w:hAnsi="Times New Roman"/>
        </w:rPr>
      </w:pPr>
    </w:p>
    <w:p w:rsidR="00EE1354" w:rsidRDefault="00EE1354" w:rsidP="003A497B">
      <w:pPr>
        <w:tabs>
          <w:tab w:val="left" w:pos="709"/>
        </w:tabs>
        <w:jc w:val="both"/>
        <w:rPr>
          <w:rFonts w:ascii="Times New Roman" w:hAnsi="Times New Roman"/>
        </w:rPr>
      </w:pPr>
    </w:p>
    <w:p w:rsidR="00EE1354" w:rsidRDefault="00EE1354" w:rsidP="003A497B">
      <w:pPr>
        <w:tabs>
          <w:tab w:val="left" w:pos="709"/>
        </w:tabs>
        <w:jc w:val="both"/>
        <w:rPr>
          <w:rFonts w:ascii="Times New Roman" w:hAnsi="Times New Roman"/>
        </w:rPr>
      </w:pPr>
    </w:p>
    <w:p w:rsidR="00EE1354" w:rsidRDefault="00EE1354" w:rsidP="003A497B">
      <w:pPr>
        <w:tabs>
          <w:tab w:val="left" w:pos="709"/>
        </w:tabs>
        <w:jc w:val="both"/>
        <w:rPr>
          <w:rFonts w:ascii="Times New Roman" w:hAnsi="Times New Roman"/>
        </w:rPr>
      </w:pPr>
    </w:p>
    <w:p w:rsidR="00EE1354" w:rsidRDefault="00EE1354" w:rsidP="003A497B">
      <w:pPr>
        <w:tabs>
          <w:tab w:val="left" w:pos="709"/>
        </w:tabs>
        <w:jc w:val="both"/>
        <w:rPr>
          <w:rFonts w:ascii="Times New Roman" w:hAnsi="Times New Roman"/>
        </w:rPr>
      </w:pPr>
    </w:p>
    <w:p w:rsidR="00EE1354" w:rsidRDefault="00EE1354" w:rsidP="003A497B">
      <w:pPr>
        <w:tabs>
          <w:tab w:val="left" w:pos="709"/>
        </w:tabs>
        <w:jc w:val="both"/>
        <w:rPr>
          <w:rFonts w:ascii="Times New Roman" w:hAnsi="Times New Roman"/>
        </w:rPr>
      </w:pPr>
    </w:p>
    <w:p w:rsidR="00EE1354" w:rsidRDefault="00EE1354" w:rsidP="003A497B">
      <w:pPr>
        <w:tabs>
          <w:tab w:val="left" w:pos="709"/>
        </w:tabs>
        <w:jc w:val="both"/>
        <w:rPr>
          <w:rFonts w:ascii="Times New Roman" w:hAnsi="Times New Roman"/>
        </w:rPr>
      </w:pPr>
    </w:p>
    <w:p w:rsidR="00EE1354" w:rsidRDefault="00EE1354" w:rsidP="003A497B">
      <w:pPr>
        <w:tabs>
          <w:tab w:val="left" w:pos="709"/>
        </w:tabs>
        <w:jc w:val="both"/>
        <w:rPr>
          <w:rFonts w:ascii="Times New Roman" w:hAnsi="Times New Roman"/>
        </w:rPr>
      </w:pPr>
    </w:p>
    <w:p w:rsidR="00EE1354" w:rsidRDefault="00EE1354" w:rsidP="003A497B">
      <w:pPr>
        <w:tabs>
          <w:tab w:val="left" w:pos="709"/>
        </w:tabs>
        <w:jc w:val="both"/>
        <w:rPr>
          <w:rFonts w:ascii="Times New Roman" w:hAnsi="Times New Roman"/>
        </w:rPr>
      </w:pPr>
    </w:p>
    <w:p w:rsidR="00EE1354" w:rsidRDefault="00EE1354" w:rsidP="003A497B">
      <w:pPr>
        <w:tabs>
          <w:tab w:val="left" w:pos="709"/>
        </w:tabs>
        <w:jc w:val="both"/>
        <w:rPr>
          <w:rFonts w:ascii="Times New Roman" w:hAnsi="Times New Roman"/>
        </w:rPr>
      </w:pPr>
    </w:p>
    <w:p w:rsidR="00EE1354" w:rsidRDefault="00EE1354" w:rsidP="003A497B">
      <w:pPr>
        <w:tabs>
          <w:tab w:val="left" w:pos="709"/>
        </w:tabs>
        <w:jc w:val="both"/>
        <w:rPr>
          <w:rFonts w:ascii="Times New Roman" w:hAnsi="Times New Roman"/>
        </w:rPr>
      </w:pPr>
    </w:p>
    <w:p w:rsidR="003A497B" w:rsidRPr="00912A7B" w:rsidRDefault="003A497B" w:rsidP="003A497B">
      <w:pPr>
        <w:pStyle w:val="Nadpis5"/>
        <w:pBdr>
          <w:bottom w:val="single" w:sz="4" w:space="1" w:color="auto"/>
        </w:pBdr>
        <w:ind w:left="0"/>
        <w:rPr>
          <w:i w:val="0"/>
          <w:sz w:val="24"/>
          <w:lang w:eastAsia="sk-SK"/>
        </w:rPr>
      </w:pPr>
      <w:bookmarkStart w:id="276" w:name="_Toc526267718"/>
      <w:r w:rsidRPr="00912A7B">
        <w:rPr>
          <w:i w:val="0"/>
          <w:sz w:val="24"/>
          <w:lang w:eastAsia="sk-SK"/>
        </w:rPr>
        <w:lastRenderedPageBreak/>
        <w:t>Úrad jadrového dozoru SR</w:t>
      </w:r>
      <w:bookmarkEnd w:id="273"/>
      <w:bookmarkEnd w:id="274"/>
      <w:bookmarkEnd w:id="275"/>
      <w:bookmarkEnd w:id="276"/>
      <w:r w:rsidRPr="00912A7B">
        <w:rPr>
          <w:i w:val="0"/>
          <w:sz w:val="24"/>
          <w:lang w:eastAsia="sk-SK"/>
        </w:rPr>
        <w:t xml:space="preserve"> </w:t>
      </w:r>
    </w:p>
    <w:p w:rsidR="003A497B" w:rsidRPr="004A3627" w:rsidRDefault="003A497B" w:rsidP="003A497B">
      <w:pPr>
        <w:jc w:val="both"/>
        <w:rPr>
          <w:rFonts w:ascii="Times New Roman" w:hAnsi="Times New Roman" w:cs="Times New Roman"/>
          <w:highlight w:val="yellow"/>
          <w:lang w:eastAsia="sk-SK"/>
        </w:rPr>
      </w:pPr>
    </w:p>
    <w:tbl>
      <w:tblPr>
        <w:tblW w:w="5000" w:type="pct"/>
        <w:tblCellMar>
          <w:left w:w="70" w:type="dxa"/>
          <w:right w:w="70" w:type="dxa"/>
        </w:tblCellMar>
        <w:tblLook w:val="04A0" w:firstRow="1" w:lastRow="0" w:firstColumn="1" w:lastColumn="0" w:noHBand="0" w:noVBand="1"/>
      </w:tblPr>
      <w:tblGrid>
        <w:gridCol w:w="2973"/>
        <w:gridCol w:w="869"/>
        <w:gridCol w:w="870"/>
        <w:gridCol w:w="870"/>
        <w:gridCol w:w="870"/>
        <w:gridCol w:w="870"/>
        <w:gridCol w:w="870"/>
        <w:gridCol w:w="870"/>
      </w:tblGrid>
      <w:tr w:rsidR="003A497B" w:rsidRPr="00AE70B9" w:rsidTr="003E1809">
        <w:trPr>
          <w:trHeight w:val="255"/>
        </w:trPr>
        <w:tc>
          <w:tcPr>
            <w:tcW w:w="1640"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AE70B9" w:rsidRDefault="003A497B" w:rsidP="003E1809">
            <w:pPr>
              <w:rPr>
                <w:rFonts w:ascii="Times New Roman" w:hAnsi="Times New Roman" w:cs="Times New Roman"/>
                <w:b/>
                <w:bCs/>
                <w:color w:val="000000"/>
                <w:sz w:val="14"/>
                <w:szCs w:val="14"/>
                <w:lang w:eastAsia="sk-SK"/>
              </w:rPr>
            </w:pPr>
            <w:bookmarkStart w:id="277" w:name="_Toc400551779"/>
            <w:bookmarkStart w:id="278" w:name="_Toc463048276"/>
            <w:bookmarkStart w:id="279" w:name="_Toc494470118"/>
            <w:bookmarkStart w:id="280" w:name="_Toc494472294"/>
            <w:r w:rsidRPr="00AE70B9">
              <w:rPr>
                <w:rFonts w:ascii="Times New Roman" w:hAnsi="Times New Roman" w:cs="Times New Roman"/>
                <w:b/>
                <w:bCs/>
                <w:color w:val="000000"/>
                <w:sz w:val="14"/>
                <w:szCs w:val="14"/>
                <w:lang w:eastAsia="sk-SK"/>
              </w:rPr>
              <w:t>v eurách</w:t>
            </w:r>
          </w:p>
        </w:tc>
        <w:tc>
          <w:tcPr>
            <w:tcW w:w="479"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AE70B9" w:rsidRDefault="003A497B" w:rsidP="003E1809">
            <w:pPr>
              <w:jc w:val="center"/>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2016 S</w:t>
            </w:r>
          </w:p>
        </w:tc>
        <w:tc>
          <w:tcPr>
            <w:tcW w:w="480"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AE70B9" w:rsidRDefault="003A497B" w:rsidP="003E1809">
            <w:pPr>
              <w:jc w:val="center"/>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2017 S</w:t>
            </w:r>
          </w:p>
        </w:tc>
        <w:tc>
          <w:tcPr>
            <w:tcW w:w="480"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AE70B9" w:rsidRDefault="003A497B" w:rsidP="003E1809">
            <w:pPr>
              <w:jc w:val="center"/>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2018 R</w:t>
            </w:r>
          </w:p>
        </w:tc>
        <w:tc>
          <w:tcPr>
            <w:tcW w:w="480"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AE70B9" w:rsidRDefault="003A497B" w:rsidP="003E1809">
            <w:pPr>
              <w:jc w:val="center"/>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2018 OS</w:t>
            </w:r>
          </w:p>
        </w:tc>
        <w:tc>
          <w:tcPr>
            <w:tcW w:w="480"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AE70B9" w:rsidRDefault="003A497B" w:rsidP="003E1809">
            <w:pPr>
              <w:jc w:val="center"/>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2019 N</w:t>
            </w:r>
          </w:p>
        </w:tc>
        <w:tc>
          <w:tcPr>
            <w:tcW w:w="480"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AE70B9" w:rsidRDefault="003A497B" w:rsidP="003E1809">
            <w:pPr>
              <w:jc w:val="center"/>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2020 N</w:t>
            </w:r>
          </w:p>
        </w:tc>
        <w:tc>
          <w:tcPr>
            <w:tcW w:w="480"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AE70B9" w:rsidRDefault="003A497B" w:rsidP="003E1809">
            <w:pPr>
              <w:jc w:val="center"/>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2021 N</w:t>
            </w:r>
          </w:p>
        </w:tc>
      </w:tr>
      <w:tr w:rsidR="003A497B" w:rsidRPr="00AE70B9" w:rsidTr="003E1809">
        <w:trPr>
          <w:trHeight w:val="255"/>
        </w:trPr>
        <w:tc>
          <w:tcPr>
            <w:tcW w:w="1640" w:type="pct"/>
            <w:tcBorders>
              <w:top w:val="nil"/>
              <w:left w:val="single" w:sz="4" w:space="0" w:color="auto"/>
              <w:bottom w:val="single" w:sz="4" w:space="0" w:color="auto"/>
              <w:right w:val="single" w:sz="4" w:space="0" w:color="auto"/>
            </w:tcBorders>
            <w:shd w:val="clear" w:color="000000" w:fill="C0C0C0"/>
            <w:noWrap/>
            <w:vAlign w:val="center"/>
            <w:hideMark/>
          </w:tcPr>
          <w:p w:rsidR="003A497B" w:rsidRPr="00AE70B9" w:rsidRDefault="003A497B" w:rsidP="003E1809">
            <w:pPr>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Zdroje príslušnej kapitoly</w:t>
            </w:r>
          </w:p>
        </w:tc>
        <w:tc>
          <w:tcPr>
            <w:tcW w:w="479" w:type="pct"/>
            <w:tcBorders>
              <w:top w:val="nil"/>
              <w:left w:val="nil"/>
              <w:bottom w:val="single" w:sz="4" w:space="0" w:color="auto"/>
              <w:right w:val="single" w:sz="4" w:space="0" w:color="auto"/>
            </w:tcBorders>
            <w:shd w:val="clear" w:color="000000" w:fill="C0C0C0"/>
            <w:noWrap/>
            <w:vAlign w:val="bottom"/>
            <w:hideMark/>
          </w:tcPr>
          <w:p w:rsidR="003A497B" w:rsidRPr="00AE70B9" w:rsidRDefault="003A497B" w:rsidP="003E1809">
            <w:pPr>
              <w:jc w:val="right"/>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7 895 742</w:t>
            </w:r>
          </w:p>
        </w:tc>
        <w:tc>
          <w:tcPr>
            <w:tcW w:w="480" w:type="pct"/>
            <w:tcBorders>
              <w:top w:val="nil"/>
              <w:left w:val="nil"/>
              <w:bottom w:val="single" w:sz="4" w:space="0" w:color="auto"/>
              <w:right w:val="single" w:sz="4" w:space="0" w:color="auto"/>
            </w:tcBorders>
            <w:shd w:val="clear" w:color="000000" w:fill="C0C0C0"/>
            <w:noWrap/>
            <w:vAlign w:val="bottom"/>
            <w:hideMark/>
          </w:tcPr>
          <w:p w:rsidR="003A497B" w:rsidRPr="00AE70B9" w:rsidRDefault="003A497B" w:rsidP="003E1809">
            <w:pPr>
              <w:jc w:val="right"/>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8 437 177</w:t>
            </w:r>
          </w:p>
        </w:tc>
        <w:tc>
          <w:tcPr>
            <w:tcW w:w="480" w:type="pct"/>
            <w:tcBorders>
              <w:top w:val="nil"/>
              <w:left w:val="nil"/>
              <w:bottom w:val="single" w:sz="4" w:space="0" w:color="auto"/>
              <w:right w:val="single" w:sz="4" w:space="0" w:color="auto"/>
            </w:tcBorders>
            <w:shd w:val="clear" w:color="000000" w:fill="C0C0C0"/>
            <w:noWrap/>
            <w:vAlign w:val="bottom"/>
            <w:hideMark/>
          </w:tcPr>
          <w:p w:rsidR="003A497B" w:rsidRPr="00AE70B9" w:rsidRDefault="003A497B" w:rsidP="003E1809">
            <w:pPr>
              <w:jc w:val="right"/>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8 869 259</w:t>
            </w:r>
          </w:p>
        </w:tc>
        <w:tc>
          <w:tcPr>
            <w:tcW w:w="480" w:type="pct"/>
            <w:tcBorders>
              <w:top w:val="nil"/>
              <w:left w:val="nil"/>
              <w:bottom w:val="single" w:sz="4" w:space="0" w:color="auto"/>
              <w:right w:val="single" w:sz="4" w:space="0" w:color="auto"/>
            </w:tcBorders>
            <w:shd w:val="clear" w:color="000000" w:fill="C0C0C0"/>
            <w:noWrap/>
            <w:vAlign w:val="bottom"/>
            <w:hideMark/>
          </w:tcPr>
          <w:p w:rsidR="003A497B" w:rsidRPr="00AE70B9" w:rsidRDefault="003A497B" w:rsidP="003E1809">
            <w:pPr>
              <w:jc w:val="right"/>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9 071 602</w:t>
            </w:r>
          </w:p>
        </w:tc>
        <w:tc>
          <w:tcPr>
            <w:tcW w:w="480" w:type="pct"/>
            <w:tcBorders>
              <w:top w:val="nil"/>
              <w:left w:val="nil"/>
              <w:bottom w:val="single" w:sz="4" w:space="0" w:color="auto"/>
              <w:right w:val="single" w:sz="4" w:space="0" w:color="auto"/>
            </w:tcBorders>
            <w:shd w:val="clear" w:color="000000" w:fill="C0C0C0"/>
            <w:noWrap/>
            <w:vAlign w:val="bottom"/>
            <w:hideMark/>
          </w:tcPr>
          <w:p w:rsidR="003A497B" w:rsidRPr="00AE70B9" w:rsidRDefault="003A497B" w:rsidP="003E1809">
            <w:pPr>
              <w:jc w:val="right"/>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9 560 210</w:t>
            </w:r>
          </w:p>
        </w:tc>
        <w:tc>
          <w:tcPr>
            <w:tcW w:w="480" w:type="pct"/>
            <w:tcBorders>
              <w:top w:val="nil"/>
              <w:left w:val="nil"/>
              <w:bottom w:val="single" w:sz="4" w:space="0" w:color="auto"/>
              <w:right w:val="single" w:sz="4" w:space="0" w:color="auto"/>
            </w:tcBorders>
            <w:shd w:val="clear" w:color="000000" w:fill="C0C0C0"/>
            <w:noWrap/>
            <w:vAlign w:val="bottom"/>
            <w:hideMark/>
          </w:tcPr>
          <w:p w:rsidR="003A497B" w:rsidRPr="00AE70B9" w:rsidRDefault="003A497B" w:rsidP="003E1809">
            <w:pPr>
              <w:jc w:val="right"/>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9 304 210</w:t>
            </w:r>
          </w:p>
        </w:tc>
        <w:tc>
          <w:tcPr>
            <w:tcW w:w="480" w:type="pct"/>
            <w:tcBorders>
              <w:top w:val="nil"/>
              <w:left w:val="nil"/>
              <w:bottom w:val="single" w:sz="4" w:space="0" w:color="auto"/>
              <w:right w:val="single" w:sz="4" w:space="0" w:color="auto"/>
            </w:tcBorders>
            <w:shd w:val="clear" w:color="000000" w:fill="C0C0C0"/>
            <w:noWrap/>
            <w:vAlign w:val="bottom"/>
            <w:hideMark/>
          </w:tcPr>
          <w:p w:rsidR="003A497B" w:rsidRPr="00AE70B9" w:rsidRDefault="003A497B" w:rsidP="003E1809">
            <w:pPr>
              <w:jc w:val="right"/>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8 788 210</w:t>
            </w:r>
          </w:p>
        </w:tc>
      </w:tr>
      <w:tr w:rsidR="003A497B" w:rsidRPr="00AE70B9" w:rsidTr="003E1809">
        <w:trPr>
          <w:trHeight w:val="255"/>
        </w:trPr>
        <w:tc>
          <w:tcPr>
            <w:tcW w:w="1640" w:type="pct"/>
            <w:tcBorders>
              <w:top w:val="nil"/>
              <w:left w:val="single" w:sz="4" w:space="0" w:color="auto"/>
              <w:bottom w:val="single" w:sz="4" w:space="0" w:color="auto"/>
              <w:right w:val="single" w:sz="4" w:space="0" w:color="auto"/>
            </w:tcBorders>
            <w:shd w:val="clear" w:color="auto" w:fill="auto"/>
            <w:noWrap/>
            <w:vAlign w:val="center"/>
            <w:hideMark/>
          </w:tcPr>
          <w:p w:rsidR="003A497B" w:rsidRPr="00AE70B9" w:rsidRDefault="003A497B" w:rsidP="003E1809">
            <w:pPr>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 xml:space="preserve">rozpočtové zdroje kapitoly </w:t>
            </w:r>
          </w:p>
        </w:tc>
        <w:tc>
          <w:tcPr>
            <w:tcW w:w="479"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7 579 733</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8 377 607</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8 869 259</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9 071 602</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9 560 210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9 304 210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8 788 210</w:t>
            </w:r>
          </w:p>
        </w:tc>
      </w:tr>
      <w:tr w:rsidR="003A497B" w:rsidRPr="00AE70B9" w:rsidTr="003E1809">
        <w:trPr>
          <w:trHeight w:val="255"/>
        </w:trPr>
        <w:tc>
          <w:tcPr>
            <w:tcW w:w="1640" w:type="pct"/>
            <w:tcBorders>
              <w:top w:val="nil"/>
              <w:left w:val="single" w:sz="4" w:space="0" w:color="auto"/>
              <w:bottom w:val="single" w:sz="4" w:space="0" w:color="auto"/>
              <w:right w:val="single" w:sz="4" w:space="0" w:color="auto"/>
            </w:tcBorders>
            <w:shd w:val="clear" w:color="auto" w:fill="auto"/>
            <w:noWrap/>
            <w:vAlign w:val="center"/>
            <w:hideMark/>
          </w:tcPr>
          <w:p w:rsidR="003A497B" w:rsidRPr="00AE70B9" w:rsidRDefault="003A497B" w:rsidP="003E1809">
            <w:pPr>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 xml:space="preserve">    v tom: bežné výdavky  600</w:t>
            </w:r>
          </w:p>
        </w:tc>
        <w:tc>
          <w:tcPr>
            <w:tcW w:w="479"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7 418 137</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8 194 434</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8 721 259</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8 920 819</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9 332 410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9 096 710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8 596 410</w:t>
            </w:r>
          </w:p>
        </w:tc>
      </w:tr>
      <w:tr w:rsidR="003A497B" w:rsidRPr="00AE70B9" w:rsidTr="003E1809">
        <w:trPr>
          <w:trHeight w:val="255"/>
        </w:trPr>
        <w:tc>
          <w:tcPr>
            <w:tcW w:w="1640" w:type="pct"/>
            <w:tcBorders>
              <w:top w:val="nil"/>
              <w:left w:val="single" w:sz="4" w:space="0" w:color="auto"/>
              <w:bottom w:val="single" w:sz="4" w:space="0" w:color="auto"/>
              <w:right w:val="single" w:sz="4" w:space="0" w:color="auto"/>
            </w:tcBorders>
            <w:shd w:val="clear" w:color="auto" w:fill="auto"/>
            <w:noWrap/>
            <w:vAlign w:val="center"/>
            <w:hideMark/>
          </w:tcPr>
          <w:p w:rsidR="003A497B" w:rsidRPr="00AE70B9" w:rsidRDefault="003A497B" w:rsidP="003E1809">
            <w:pPr>
              <w:ind w:firstLineChars="1000" w:firstLine="1400"/>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610 mzdy</w:t>
            </w:r>
          </w:p>
        </w:tc>
        <w:tc>
          <w:tcPr>
            <w:tcW w:w="479"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3 164 928</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3 352 974</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3 406 313</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3 556 252</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3 603 580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3 603 580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3 603 580</w:t>
            </w:r>
          </w:p>
        </w:tc>
      </w:tr>
      <w:tr w:rsidR="003A497B" w:rsidRPr="00AE70B9" w:rsidTr="003E1809">
        <w:trPr>
          <w:trHeight w:val="255"/>
        </w:trPr>
        <w:tc>
          <w:tcPr>
            <w:tcW w:w="1640" w:type="pct"/>
            <w:tcBorders>
              <w:top w:val="nil"/>
              <w:left w:val="single" w:sz="4" w:space="0" w:color="auto"/>
              <w:bottom w:val="single" w:sz="4" w:space="0" w:color="auto"/>
              <w:right w:val="single" w:sz="4" w:space="0" w:color="auto"/>
            </w:tcBorders>
            <w:shd w:val="clear" w:color="auto" w:fill="auto"/>
            <w:noWrap/>
            <w:vAlign w:val="center"/>
            <w:hideMark/>
          </w:tcPr>
          <w:p w:rsidR="003A497B" w:rsidRPr="00AE70B9" w:rsidRDefault="003A497B" w:rsidP="003E1809">
            <w:pPr>
              <w:ind w:firstLineChars="1000" w:firstLine="1400"/>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620 odvody</w:t>
            </w:r>
          </w:p>
        </w:tc>
        <w:tc>
          <w:tcPr>
            <w:tcW w:w="479"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1 191 487</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1 332 631</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1 353 830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1 406 234</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1 403 002</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1 403 002</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1 403 002</w:t>
            </w:r>
          </w:p>
        </w:tc>
      </w:tr>
      <w:tr w:rsidR="003A497B" w:rsidRPr="00AE70B9" w:rsidTr="003E1809">
        <w:trPr>
          <w:trHeight w:val="255"/>
        </w:trPr>
        <w:tc>
          <w:tcPr>
            <w:tcW w:w="1640" w:type="pct"/>
            <w:tcBorders>
              <w:top w:val="nil"/>
              <w:left w:val="single" w:sz="4" w:space="0" w:color="auto"/>
              <w:bottom w:val="single" w:sz="4" w:space="0" w:color="auto"/>
              <w:right w:val="single" w:sz="4" w:space="0" w:color="auto"/>
            </w:tcBorders>
            <w:shd w:val="clear" w:color="auto" w:fill="auto"/>
            <w:noWrap/>
            <w:vAlign w:val="center"/>
            <w:hideMark/>
          </w:tcPr>
          <w:p w:rsidR="003A497B" w:rsidRPr="00AE70B9" w:rsidRDefault="003A497B" w:rsidP="003E1809">
            <w:pPr>
              <w:ind w:firstLineChars="1000" w:firstLine="1400"/>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630 tovary a služby</w:t>
            </w:r>
          </w:p>
        </w:tc>
        <w:tc>
          <w:tcPr>
            <w:tcW w:w="479"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2 222 350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2 380 889</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3 072 456</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3 069 673</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3 325 168</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3 109 468</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2 609 168</w:t>
            </w:r>
          </w:p>
        </w:tc>
      </w:tr>
      <w:tr w:rsidR="003A497B" w:rsidRPr="00AE70B9" w:rsidTr="003E1809">
        <w:trPr>
          <w:trHeight w:val="255"/>
        </w:trPr>
        <w:tc>
          <w:tcPr>
            <w:tcW w:w="1640" w:type="pct"/>
            <w:tcBorders>
              <w:top w:val="nil"/>
              <w:left w:val="single" w:sz="4" w:space="0" w:color="auto"/>
              <w:bottom w:val="single" w:sz="4" w:space="0" w:color="auto"/>
              <w:right w:val="single" w:sz="4" w:space="0" w:color="auto"/>
            </w:tcBorders>
            <w:shd w:val="clear" w:color="auto" w:fill="auto"/>
            <w:noWrap/>
            <w:vAlign w:val="center"/>
            <w:hideMark/>
          </w:tcPr>
          <w:p w:rsidR="003A497B" w:rsidRPr="00AE70B9" w:rsidRDefault="003A497B" w:rsidP="003E1809">
            <w:pPr>
              <w:ind w:firstLineChars="1000" w:firstLine="1400"/>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640 bežné transfery</w:t>
            </w:r>
          </w:p>
        </w:tc>
        <w:tc>
          <w:tcPr>
            <w:tcW w:w="479"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839 372</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1 127 940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888 660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888 660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1 000 660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980 660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980 660</w:t>
            </w:r>
          </w:p>
        </w:tc>
      </w:tr>
      <w:tr w:rsidR="003A497B" w:rsidRPr="00AE70B9" w:rsidTr="003E1809">
        <w:trPr>
          <w:trHeight w:val="255"/>
        </w:trPr>
        <w:tc>
          <w:tcPr>
            <w:tcW w:w="1640" w:type="pct"/>
            <w:tcBorders>
              <w:top w:val="nil"/>
              <w:left w:val="single" w:sz="4" w:space="0" w:color="auto"/>
              <w:bottom w:val="single" w:sz="4" w:space="0" w:color="auto"/>
              <w:right w:val="single" w:sz="4" w:space="0" w:color="auto"/>
            </w:tcBorders>
            <w:shd w:val="clear" w:color="auto" w:fill="auto"/>
            <w:noWrap/>
            <w:vAlign w:val="center"/>
            <w:hideMark/>
          </w:tcPr>
          <w:p w:rsidR="003A497B" w:rsidRPr="00AE70B9" w:rsidRDefault="003A497B" w:rsidP="003E1809">
            <w:pPr>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 xml:space="preserve">               kapitálové výdavky 700</w:t>
            </w:r>
          </w:p>
        </w:tc>
        <w:tc>
          <w:tcPr>
            <w:tcW w:w="479"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161 596</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183 173</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148 000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150 783</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227 800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207 500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191 800</w:t>
            </w:r>
          </w:p>
        </w:tc>
      </w:tr>
      <w:tr w:rsidR="003A497B" w:rsidRPr="00AE70B9" w:rsidTr="003E1809">
        <w:trPr>
          <w:trHeight w:val="255"/>
        </w:trPr>
        <w:tc>
          <w:tcPr>
            <w:tcW w:w="1640" w:type="pct"/>
            <w:tcBorders>
              <w:top w:val="nil"/>
              <w:left w:val="single" w:sz="4" w:space="0" w:color="auto"/>
              <w:bottom w:val="single" w:sz="4" w:space="0" w:color="auto"/>
              <w:right w:val="single" w:sz="4" w:space="0" w:color="auto"/>
            </w:tcBorders>
            <w:shd w:val="clear" w:color="auto" w:fill="auto"/>
            <w:noWrap/>
            <w:vAlign w:val="center"/>
            <w:hideMark/>
          </w:tcPr>
          <w:p w:rsidR="003A497B" w:rsidRPr="00AE70B9" w:rsidRDefault="003A497B" w:rsidP="003E1809">
            <w:pPr>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presun z minulých rokov § 8</w:t>
            </w:r>
          </w:p>
        </w:tc>
        <w:tc>
          <w:tcPr>
            <w:tcW w:w="479"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316 009</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59 570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0</w:t>
            </w:r>
          </w:p>
        </w:tc>
      </w:tr>
      <w:tr w:rsidR="003A497B" w:rsidRPr="00AE70B9" w:rsidTr="003E1809">
        <w:trPr>
          <w:trHeight w:val="255"/>
        </w:trPr>
        <w:tc>
          <w:tcPr>
            <w:tcW w:w="1640" w:type="pct"/>
            <w:tcBorders>
              <w:top w:val="nil"/>
              <w:left w:val="single" w:sz="4" w:space="0" w:color="auto"/>
              <w:bottom w:val="single" w:sz="4" w:space="0" w:color="auto"/>
              <w:right w:val="single" w:sz="4" w:space="0" w:color="auto"/>
            </w:tcBorders>
            <w:shd w:val="clear" w:color="auto" w:fill="auto"/>
            <w:noWrap/>
            <w:vAlign w:val="center"/>
            <w:hideMark/>
          </w:tcPr>
          <w:p w:rsidR="003A497B" w:rsidRPr="00AE70B9" w:rsidRDefault="003A497B" w:rsidP="003E1809">
            <w:pPr>
              <w:ind w:firstLineChars="100" w:firstLine="140"/>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v tom: štátny rozpočet</w:t>
            </w:r>
          </w:p>
        </w:tc>
        <w:tc>
          <w:tcPr>
            <w:tcW w:w="479"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316 009</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59 570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AE70B9" w:rsidRDefault="003A497B" w:rsidP="003E1809">
            <w:pPr>
              <w:jc w:val="right"/>
              <w:rPr>
                <w:rFonts w:ascii="Times New Roman" w:hAnsi="Times New Roman" w:cs="Times New Roman"/>
                <w:color w:val="000000"/>
                <w:sz w:val="14"/>
                <w:szCs w:val="14"/>
                <w:lang w:eastAsia="sk-SK"/>
              </w:rPr>
            </w:pPr>
            <w:r w:rsidRPr="00AE70B9">
              <w:rPr>
                <w:rFonts w:ascii="Times New Roman" w:hAnsi="Times New Roman" w:cs="Times New Roman"/>
                <w:color w:val="000000"/>
                <w:sz w:val="14"/>
                <w:szCs w:val="14"/>
                <w:lang w:eastAsia="sk-SK"/>
              </w:rPr>
              <w:t>0</w:t>
            </w:r>
          </w:p>
        </w:tc>
      </w:tr>
      <w:tr w:rsidR="003A497B" w:rsidRPr="00AE70B9" w:rsidTr="003E1809">
        <w:trPr>
          <w:trHeight w:val="255"/>
        </w:trPr>
        <w:tc>
          <w:tcPr>
            <w:tcW w:w="1640" w:type="pct"/>
            <w:tcBorders>
              <w:top w:val="nil"/>
              <w:left w:val="nil"/>
              <w:bottom w:val="single" w:sz="4" w:space="0" w:color="auto"/>
              <w:right w:val="nil"/>
            </w:tcBorders>
            <w:shd w:val="clear" w:color="000000" w:fill="FFFFFF"/>
            <w:noWrap/>
            <w:vAlign w:val="bottom"/>
            <w:hideMark/>
          </w:tcPr>
          <w:p w:rsidR="003A497B" w:rsidRPr="00AE70B9" w:rsidRDefault="003A497B" w:rsidP="003E1809">
            <w:pPr>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 </w:t>
            </w:r>
          </w:p>
        </w:tc>
        <w:tc>
          <w:tcPr>
            <w:tcW w:w="479" w:type="pct"/>
            <w:tcBorders>
              <w:top w:val="nil"/>
              <w:left w:val="nil"/>
              <w:bottom w:val="single" w:sz="4" w:space="0" w:color="auto"/>
              <w:right w:val="nil"/>
            </w:tcBorders>
            <w:shd w:val="clear" w:color="000000" w:fill="FFFFFF"/>
            <w:noWrap/>
            <w:vAlign w:val="bottom"/>
            <w:hideMark/>
          </w:tcPr>
          <w:p w:rsidR="003A497B" w:rsidRPr="00AE70B9" w:rsidRDefault="003A497B" w:rsidP="003E1809">
            <w:pPr>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vertAlign w:val="superscript"/>
                <w:lang w:eastAsia="sk-SK"/>
              </w:rPr>
              <w:t> </w:t>
            </w:r>
          </w:p>
        </w:tc>
        <w:tc>
          <w:tcPr>
            <w:tcW w:w="480" w:type="pct"/>
            <w:tcBorders>
              <w:top w:val="nil"/>
              <w:left w:val="nil"/>
              <w:bottom w:val="single" w:sz="4" w:space="0" w:color="auto"/>
              <w:right w:val="nil"/>
            </w:tcBorders>
            <w:shd w:val="clear" w:color="000000" w:fill="FFFFFF"/>
            <w:noWrap/>
            <w:vAlign w:val="bottom"/>
            <w:hideMark/>
          </w:tcPr>
          <w:p w:rsidR="003A497B" w:rsidRPr="00AE70B9" w:rsidRDefault="003A497B" w:rsidP="003E1809">
            <w:pPr>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vertAlign w:val="superscript"/>
                <w:lang w:eastAsia="sk-SK"/>
              </w:rPr>
              <w:t> </w:t>
            </w:r>
          </w:p>
        </w:tc>
        <w:tc>
          <w:tcPr>
            <w:tcW w:w="480" w:type="pct"/>
            <w:tcBorders>
              <w:top w:val="nil"/>
              <w:left w:val="nil"/>
              <w:bottom w:val="single" w:sz="4" w:space="0" w:color="auto"/>
              <w:right w:val="nil"/>
            </w:tcBorders>
            <w:shd w:val="clear" w:color="000000" w:fill="FFFFFF"/>
            <w:noWrap/>
            <w:vAlign w:val="bottom"/>
            <w:hideMark/>
          </w:tcPr>
          <w:p w:rsidR="003A497B" w:rsidRPr="00AE70B9" w:rsidRDefault="003A497B" w:rsidP="003E1809">
            <w:pPr>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vertAlign w:val="superscript"/>
                <w:lang w:eastAsia="sk-SK"/>
              </w:rPr>
              <w:t> </w:t>
            </w:r>
          </w:p>
        </w:tc>
        <w:tc>
          <w:tcPr>
            <w:tcW w:w="480" w:type="pct"/>
            <w:tcBorders>
              <w:top w:val="nil"/>
              <w:left w:val="nil"/>
              <w:bottom w:val="single" w:sz="4" w:space="0" w:color="auto"/>
              <w:right w:val="nil"/>
            </w:tcBorders>
            <w:shd w:val="clear" w:color="000000" w:fill="FFFFFF"/>
            <w:noWrap/>
            <w:vAlign w:val="bottom"/>
            <w:hideMark/>
          </w:tcPr>
          <w:p w:rsidR="003A497B" w:rsidRPr="00AE70B9" w:rsidRDefault="003A497B" w:rsidP="003E1809">
            <w:pPr>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vertAlign w:val="superscript"/>
                <w:lang w:eastAsia="sk-SK"/>
              </w:rPr>
              <w:t> </w:t>
            </w:r>
          </w:p>
        </w:tc>
        <w:tc>
          <w:tcPr>
            <w:tcW w:w="480" w:type="pct"/>
            <w:tcBorders>
              <w:top w:val="nil"/>
              <w:left w:val="nil"/>
              <w:bottom w:val="single" w:sz="4" w:space="0" w:color="auto"/>
              <w:right w:val="nil"/>
            </w:tcBorders>
            <w:shd w:val="clear" w:color="000000" w:fill="FFFFFF"/>
            <w:noWrap/>
            <w:vAlign w:val="bottom"/>
            <w:hideMark/>
          </w:tcPr>
          <w:p w:rsidR="003A497B" w:rsidRPr="00AE70B9" w:rsidRDefault="003A497B" w:rsidP="003E1809">
            <w:pPr>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vertAlign w:val="superscript"/>
                <w:lang w:eastAsia="sk-SK"/>
              </w:rPr>
              <w:t> </w:t>
            </w:r>
          </w:p>
        </w:tc>
        <w:tc>
          <w:tcPr>
            <w:tcW w:w="480" w:type="pct"/>
            <w:tcBorders>
              <w:top w:val="nil"/>
              <w:left w:val="nil"/>
              <w:bottom w:val="single" w:sz="4" w:space="0" w:color="auto"/>
              <w:right w:val="nil"/>
            </w:tcBorders>
            <w:shd w:val="clear" w:color="000000" w:fill="FFFFFF"/>
            <w:noWrap/>
            <w:vAlign w:val="bottom"/>
            <w:hideMark/>
          </w:tcPr>
          <w:p w:rsidR="003A497B" w:rsidRPr="00AE70B9" w:rsidRDefault="003A497B" w:rsidP="003E1809">
            <w:pPr>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vertAlign w:val="superscript"/>
                <w:lang w:eastAsia="sk-SK"/>
              </w:rPr>
              <w:t> </w:t>
            </w:r>
          </w:p>
        </w:tc>
        <w:tc>
          <w:tcPr>
            <w:tcW w:w="480" w:type="pct"/>
            <w:tcBorders>
              <w:top w:val="nil"/>
              <w:left w:val="nil"/>
              <w:bottom w:val="single" w:sz="4" w:space="0" w:color="auto"/>
              <w:right w:val="nil"/>
            </w:tcBorders>
            <w:shd w:val="clear" w:color="000000" w:fill="FFFFFF"/>
            <w:noWrap/>
            <w:vAlign w:val="bottom"/>
            <w:hideMark/>
          </w:tcPr>
          <w:p w:rsidR="003A497B" w:rsidRPr="00AE70B9" w:rsidRDefault="003A497B" w:rsidP="003E1809">
            <w:pPr>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vertAlign w:val="superscript"/>
                <w:lang w:eastAsia="sk-SK"/>
              </w:rPr>
              <w:t> </w:t>
            </w:r>
          </w:p>
        </w:tc>
      </w:tr>
      <w:tr w:rsidR="003A497B" w:rsidRPr="00AE70B9" w:rsidTr="003E1809">
        <w:trPr>
          <w:trHeight w:val="255"/>
        </w:trPr>
        <w:tc>
          <w:tcPr>
            <w:tcW w:w="1640" w:type="pct"/>
            <w:tcBorders>
              <w:top w:val="nil"/>
              <w:left w:val="single" w:sz="4" w:space="0" w:color="auto"/>
              <w:bottom w:val="single" w:sz="4" w:space="0" w:color="auto"/>
              <w:right w:val="single" w:sz="4" w:space="0" w:color="auto"/>
            </w:tcBorders>
            <w:shd w:val="clear" w:color="000000" w:fill="FFFFFF"/>
            <w:vAlign w:val="center"/>
            <w:hideMark/>
          </w:tcPr>
          <w:p w:rsidR="003A497B" w:rsidRPr="00AE70B9" w:rsidRDefault="003A497B" w:rsidP="003E1809">
            <w:pPr>
              <w:rPr>
                <w:rFonts w:ascii="Times New Roman" w:hAnsi="Times New Roman" w:cs="Times New Roman"/>
                <w:b/>
                <w:bCs/>
                <w:color w:val="000000"/>
                <w:sz w:val="14"/>
                <w:szCs w:val="14"/>
                <w:lang w:eastAsia="sk-SK"/>
              </w:rPr>
            </w:pPr>
            <w:r w:rsidRPr="00AE70B9">
              <w:rPr>
                <w:rFonts w:ascii="Times New Roman" w:hAnsi="Times New Roman" w:cs="Times New Roman"/>
                <w:b/>
                <w:bCs/>
                <w:color w:val="000000"/>
                <w:sz w:val="14"/>
                <w:szCs w:val="14"/>
                <w:lang w:eastAsia="sk-SK"/>
              </w:rPr>
              <w:t xml:space="preserve">Samostatné účty </w:t>
            </w:r>
          </w:p>
        </w:tc>
        <w:tc>
          <w:tcPr>
            <w:tcW w:w="479" w:type="pct"/>
            <w:tcBorders>
              <w:top w:val="nil"/>
              <w:left w:val="nil"/>
              <w:bottom w:val="single" w:sz="4" w:space="0" w:color="auto"/>
              <w:right w:val="single" w:sz="4" w:space="0" w:color="auto"/>
            </w:tcBorders>
            <w:shd w:val="clear" w:color="auto" w:fill="auto"/>
            <w:noWrap/>
            <w:vAlign w:val="bottom"/>
            <w:hideMark/>
          </w:tcPr>
          <w:p w:rsidR="003A497B" w:rsidRPr="00316231" w:rsidRDefault="003A497B" w:rsidP="003E1809">
            <w:pPr>
              <w:jc w:val="right"/>
              <w:rPr>
                <w:rFonts w:ascii="Times New Roman" w:hAnsi="Times New Roman" w:cs="Times New Roman"/>
                <w:b/>
                <w:color w:val="000000"/>
                <w:sz w:val="14"/>
                <w:szCs w:val="14"/>
                <w:lang w:eastAsia="sk-SK"/>
              </w:rPr>
            </w:pPr>
            <w:r w:rsidRPr="00316231">
              <w:rPr>
                <w:rFonts w:ascii="Times New Roman" w:hAnsi="Times New Roman" w:cs="Times New Roman"/>
                <w:b/>
                <w:color w:val="000000"/>
                <w:sz w:val="14"/>
                <w:szCs w:val="14"/>
                <w:lang w:eastAsia="sk-SK"/>
              </w:rPr>
              <w:t>308 807</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316231" w:rsidRDefault="003A497B" w:rsidP="003E1809">
            <w:pPr>
              <w:jc w:val="right"/>
              <w:rPr>
                <w:rFonts w:ascii="Times New Roman" w:hAnsi="Times New Roman" w:cs="Times New Roman"/>
                <w:b/>
                <w:color w:val="000000"/>
                <w:sz w:val="14"/>
                <w:szCs w:val="14"/>
                <w:lang w:eastAsia="sk-SK"/>
              </w:rPr>
            </w:pPr>
            <w:r w:rsidRPr="00316231">
              <w:rPr>
                <w:rFonts w:ascii="Times New Roman" w:hAnsi="Times New Roman" w:cs="Times New Roman"/>
                <w:b/>
                <w:color w:val="000000"/>
                <w:sz w:val="14"/>
                <w:szCs w:val="14"/>
                <w:lang w:eastAsia="sk-SK"/>
              </w:rPr>
              <w:t>13 934</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316231" w:rsidRDefault="003A497B" w:rsidP="003E1809">
            <w:pPr>
              <w:jc w:val="right"/>
              <w:rPr>
                <w:rFonts w:ascii="Times New Roman" w:hAnsi="Times New Roman" w:cs="Times New Roman"/>
                <w:b/>
                <w:color w:val="000000"/>
                <w:sz w:val="14"/>
                <w:szCs w:val="14"/>
                <w:lang w:eastAsia="sk-SK"/>
              </w:rPr>
            </w:pPr>
            <w:r w:rsidRPr="00316231">
              <w:rPr>
                <w:rFonts w:ascii="Times New Roman" w:hAnsi="Times New Roman" w:cs="Times New Roman"/>
                <w:b/>
                <w:color w:val="000000"/>
                <w:sz w:val="14"/>
                <w:szCs w:val="14"/>
                <w:lang w:eastAsia="sk-SK"/>
              </w:rPr>
              <w:t>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316231" w:rsidRDefault="003A497B" w:rsidP="003E1809">
            <w:pPr>
              <w:jc w:val="right"/>
              <w:rPr>
                <w:rFonts w:ascii="Times New Roman" w:hAnsi="Times New Roman" w:cs="Times New Roman"/>
                <w:b/>
                <w:color w:val="000000"/>
                <w:sz w:val="14"/>
                <w:szCs w:val="14"/>
                <w:lang w:eastAsia="sk-SK"/>
              </w:rPr>
            </w:pPr>
            <w:r w:rsidRPr="00316231">
              <w:rPr>
                <w:rFonts w:ascii="Times New Roman" w:hAnsi="Times New Roman" w:cs="Times New Roman"/>
                <w:b/>
                <w:color w:val="000000"/>
                <w:sz w:val="14"/>
                <w:szCs w:val="14"/>
                <w:lang w:eastAsia="sk-SK"/>
              </w:rPr>
              <w:t>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316231" w:rsidRDefault="003A497B" w:rsidP="003E1809">
            <w:pPr>
              <w:jc w:val="right"/>
              <w:rPr>
                <w:rFonts w:ascii="Times New Roman" w:hAnsi="Times New Roman" w:cs="Times New Roman"/>
                <w:b/>
                <w:color w:val="000000"/>
                <w:sz w:val="14"/>
                <w:szCs w:val="14"/>
                <w:lang w:eastAsia="sk-SK"/>
              </w:rPr>
            </w:pPr>
            <w:r w:rsidRPr="00316231">
              <w:rPr>
                <w:rFonts w:ascii="Times New Roman" w:hAnsi="Times New Roman" w:cs="Times New Roman"/>
                <w:b/>
                <w:color w:val="000000"/>
                <w:sz w:val="14"/>
                <w:szCs w:val="14"/>
                <w:lang w:eastAsia="sk-SK"/>
              </w:rPr>
              <w:t>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316231" w:rsidRDefault="003A497B" w:rsidP="003E1809">
            <w:pPr>
              <w:jc w:val="right"/>
              <w:rPr>
                <w:rFonts w:ascii="Times New Roman" w:hAnsi="Times New Roman" w:cs="Times New Roman"/>
                <w:b/>
                <w:color w:val="000000"/>
                <w:sz w:val="14"/>
                <w:szCs w:val="14"/>
                <w:lang w:eastAsia="sk-SK"/>
              </w:rPr>
            </w:pPr>
            <w:r w:rsidRPr="00316231">
              <w:rPr>
                <w:rFonts w:ascii="Times New Roman" w:hAnsi="Times New Roman" w:cs="Times New Roman"/>
                <w:b/>
                <w:color w:val="000000"/>
                <w:sz w:val="14"/>
                <w:szCs w:val="14"/>
                <w:lang w:eastAsia="sk-SK"/>
              </w:rPr>
              <w:t>0</w:t>
            </w:r>
          </w:p>
        </w:tc>
        <w:tc>
          <w:tcPr>
            <w:tcW w:w="480" w:type="pct"/>
            <w:tcBorders>
              <w:top w:val="nil"/>
              <w:left w:val="nil"/>
              <w:bottom w:val="single" w:sz="4" w:space="0" w:color="auto"/>
              <w:right w:val="single" w:sz="4" w:space="0" w:color="auto"/>
            </w:tcBorders>
            <w:shd w:val="clear" w:color="auto" w:fill="auto"/>
            <w:noWrap/>
            <w:vAlign w:val="bottom"/>
            <w:hideMark/>
          </w:tcPr>
          <w:p w:rsidR="003A497B" w:rsidRPr="00316231" w:rsidRDefault="003A497B" w:rsidP="003E1809">
            <w:pPr>
              <w:jc w:val="right"/>
              <w:rPr>
                <w:rFonts w:ascii="Times New Roman" w:hAnsi="Times New Roman" w:cs="Times New Roman"/>
                <w:b/>
                <w:color w:val="000000"/>
                <w:sz w:val="14"/>
                <w:szCs w:val="14"/>
                <w:lang w:eastAsia="sk-SK"/>
              </w:rPr>
            </w:pPr>
            <w:r w:rsidRPr="00316231">
              <w:rPr>
                <w:rFonts w:ascii="Times New Roman" w:hAnsi="Times New Roman" w:cs="Times New Roman"/>
                <w:b/>
                <w:color w:val="000000"/>
                <w:sz w:val="14"/>
                <w:szCs w:val="14"/>
                <w:lang w:eastAsia="sk-SK"/>
              </w:rPr>
              <w:t>0</w:t>
            </w:r>
          </w:p>
        </w:tc>
      </w:tr>
    </w:tbl>
    <w:p w:rsidR="003A497B" w:rsidRDefault="003A497B" w:rsidP="003A497B">
      <w:pPr>
        <w:jc w:val="both"/>
        <w:rPr>
          <w:rFonts w:ascii="Times New Roman" w:hAnsi="Times New Roman" w:cs="Times New Roman"/>
          <w:lang w:eastAsia="sk-SK"/>
        </w:rPr>
      </w:pPr>
    </w:p>
    <w:p w:rsidR="003A497B" w:rsidRDefault="003A497B" w:rsidP="003A497B">
      <w:pPr>
        <w:ind w:firstLine="708"/>
        <w:jc w:val="both"/>
        <w:rPr>
          <w:rFonts w:ascii="Times New Roman" w:hAnsi="Times New Roman" w:cs="Times New Roman"/>
        </w:rPr>
      </w:pPr>
      <w:r w:rsidRPr="0041039B">
        <w:rPr>
          <w:rFonts w:ascii="Times New Roman" w:hAnsi="Times New Roman" w:cs="Times New Roman"/>
        </w:rPr>
        <w:t xml:space="preserve">Výdavky kapitoly </w:t>
      </w:r>
      <w:r w:rsidRPr="0041039B">
        <w:rPr>
          <w:rFonts w:ascii="Times New Roman" w:hAnsi="Times New Roman" w:cs="Times New Roman"/>
          <w:lang w:eastAsia="sk-SK"/>
        </w:rPr>
        <w:t xml:space="preserve">Úradu jadrového dozoru </w:t>
      </w:r>
      <w:r>
        <w:rPr>
          <w:rFonts w:ascii="Times New Roman" w:hAnsi="Times New Roman" w:cs="Times New Roman"/>
          <w:lang w:eastAsia="sk-SK"/>
        </w:rPr>
        <w:t>SR sa</w:t>
      </w:r>
      <w:r w:rsidRPr="003F1E27">
        <w:rPr>
          <w:rFonts w:ascii="Times New Roman" w:hAnsi="Times New Roman" w:cs="Times New Roman"/>
          <w:lang w:eastAsia="sk-SK"/>
        </w:rPr>
        <w:t xml:space="preserve"> </w:t>
      </w:r>
      <w:r w:rsidRPr="003F1E27">
        <w:rPr>
          <w:rFonts w:ascii="Times New Roman" w:hAnsi="Times New Roman" w:cs="Times New Roman"/>
        </w:rPr>
        <w:t>na rok</w:t>
      </w:r>
      <w:r w:rsidRPr="0041039B">
        <w:rPr>
          <w:rFonts w:ascii="Times New Roman" w:hAnsi="Times New Roman" w:cs="Times New Roman"/>
        </w:rPr>
        <w:t xml:space="preserve"> 201</w:t>
      </w:r>
      <w:r>
        <w:rPr>
          <w:rFonts w:ascii="Times New Roman" w:hAnsi="Times New Roman" w:cs="Times New Roman"/>
        </w:rPr>
        <w:t xml:space="preserve">9 rozpočtujú v sume </w:t>
      </w:r>
      <w:r>
        <w:rPr>
          <w:rFonts w:ascii="Times New Roman" w:hAnsi="Times New Roman" w:cs="Times New Roman"/>
        </w:rPr>
        <w:br/>
        <w:t>9,56</w:t>
      </w:r>
      <w:r w:rsidRPr="0041039B">
        <w:rPr>
          <w:rFonts w:ascii="Times New Roman" w:hAnsi="Times New Roman" w:cs="Times New Roman"/>
        </w:rPr>
        <w:t xml:space="preserve"> mil. eur, čo je </w:t>
      </w:r>
      <w:r>
        <w:rPr>
          <w:rFonts w:ascii="Times New Roman" w:hAnsi="Times New Roman" w:cs="Times New Roman"/>
        </w:rPr>
        <w:t>oproti schválenému rozpočtu na rok 2018 o 691 tis. eur viac</w:t>
      </w:r>
      <w:r w:rsidRPr="0041039B">
        <w:rPr>
          <w:rFonts w:ascii="Times New Roman" w:hAnsi="Times New Roman" w:cs="Times New Roman"/>
        </w:rPr>
        <w:t>,</w:t>
      </w:r>
      <w:r>
        <w:rPr>
          <w:rFonts w:ascii="Times New Roman" w:hAnsi="Times New Roman" w:cs="Times New Roman"/>
        </w:rPr>
        <w:t xml:space="preserve"> t. j. </w:t>
      </w:r>
      <w:r>
        <w:rPr>
          <w:rFonts w:ascii="Times New Roman" w:hAnsi="Times New Roman" w:cs="Times New Roman"/>
        </w:rPr>
        <w:br/>
        <w:t xml:space="preserve">nárast predstavuje 7,79 %. </w:t>
      </w:r>
      <w:r w:rsidRPr="00264A59">
        <w:rPr>
          <w:rFonts w:ascii="Times New Roman" w:hAnsi="Times New Roman" w:cs="Times New Roman"/>
        </w:rPr>
        <w:t>Sú určené na financovanie výkonu štátneho dozoru nad jadrovou bezpečnosťou jadrových zariadení, nad nakladaním s rádioaktívnymi odpadmi, vyhoretým jadrovým palivom a ďalšími fázami palivového cyklu, nad jadrovými materiálmi, vrátane ich kontroly a evidencie, ako aj nad fyzickou ochranou jadrových zariadení a jadrových materiálov.</w:t>
      </w:r>
    </w:p>
    <w:p w:rsidR="003A497B" w:rsidRPr="0041039B" w:rsidRDefault="003A497B" w:rsidP="003A497B">
      <w:pPr>
        <w:jc w:val="both"/>
        <w:rPr>
          <w:rFonts w:ascii="Times New Roman" w:hAnsi="Times New Roman" w:cs="Times New Roman"/>
        </w:rPr>
      </w:pPr>
    </w:p>
    <w:p w:rsidR="003A497B" w:rsidRPr="00DA7877" w:rsidRDefault="003A497B" w:rsidP="003A497B">
      <w:pPr>
        <w:ind w:firstLine="708"/>
        <w:jc w:val="both"/>
        <w:rPr>
          <w:rFonts w:ascii="Times New Roman" w:hAnsi="Times New Roman" w:cs="Times New Roman"/>
        </w:rPr>
      </w:pPr>
      <w:r>
        <w:rPr>
          <w:rFonts w:ascii="Times New Roman" w:hAnsi="Times New Roman" w:cs="Times New Roman"/>
        </w:rPr>
        <w:t>Osobné výdavky sa na rok 2019 rozpočtujú v sume 5,01</w:t>
      </w:r>
      <w:r w:rsidRPr="0041039B">
        <w:rPr>
          <w:rFonts w:ascii="Times New Roman" w:hAnsi="Times New Roman" w:cs="Times New Roman"/>
        </w:rPr>
        <w:t xml:space="preserve"> mil. eur a</w:t>
      </w:r>
      <w:r>
        <w:rPr>
          <w:rFonts w:ascii="Times New Roman" w:hAnsi="Times New Roman" w:cs="Times New Roman"/>
        </w:rPr>
        <w:t> v porovnaní so schváleným rozpočtom roku 2018 rastú o 246 tis. eur, t. j. o 5,18</w:t>
      </w:r>
      <w:r w:rsidRPr="0041039B">
        <w:rPr>
          <w:rFonts w:ascii="Times New Roman" w:hAnsi="Times New Roman" w:cs="Times New Roman"/>
        </w:rPr>
        <w:t xml:space="preserve"> % </w:t>
      </w:r>
      <w:r w:rsidRPr="00DA7877">
        <w:rPr>
          <w:rFonts w:ascii="Times New Roman" w:hAnsi="Times New Roman" w:cs="Times New Roman"/>
        </w:rPr>
        <w:t>z</w:t>
      </w:r>
      <w:r>
        <w:rPr>
          <w:rFonts w:ascii="Times New Roman" w:hAnsi="Times New Roman" w:cs="Times New Roman"/>
        </w:rPr>
        <w:t> </w:t>
      </w:r>
      <w:r w:rsidRPr="00DA7877">
        <w:rPr>
          <w:rFonts w:ascii="Times New Roman" w:hAnsi="Times New Roman" w:cs="Times New Roman"/>
        </w:rPr>
        <w:t>dôvodu</w:t>
      </w:r>
      <w:r>
        <w:rPr>
          <w:rFonts w:ascii="Times New Roman" w:hAnsi="Times New Roman" w:cs="Times New Roman"/>
        </w:rPr>
        <w:t xml:space="preserve"> premietnutia</w:t>
      </w:r>
      <w:r w:rsidRPr="00DA7877">
        <w:rPr>
          <w:rFonts w:ascii="Times New Roman" w:hAnsi="Times New Roman" w:cs="Times New Roman"/>
        </w:rPr>
        <w:t xml:space="preserve"> valorizácie plato</w:t>
      </w:r>
      <w:r>
        <w:rPr>
          <w:rFonts w:ascii="Times New Roman" w:hAnsi="Times New Roman" w:cs="Times New Roman"/>
        </w:rPr>
        <w:t xml:space="preserve">v zamestnancov z roku 2018 do nasledujúcich rokov a zvýšenia limitu počtu zamestnancov o dve osoby, ktoré bolo riešené vnútorným presunom z kategórie tovarov a služieb v sume 47,8 tis. eur. </w:t>
      </w:r>
    </w:p>
    <w:p w:rsidR="003A497B" w:rsidRPr="0041039B" w:rsidRDefault="003A497B" w:rsidP="003A497B">
      <w:pPr>
        <w:ind w:firstLine="708"/>
        <w:jc w:val="both"/>
        <w:rPr>
          <w:rFonts w:ascii="Times New Roman" w:hAnsi="Times New Roman" w:cs="Times New Roman"/>
          <w:lang w:eastAsia="sk-SK"/>
        </w:rPr>
      </w:pPr>
    </w:p>
    <w:p w:rsidR="003A497B" w:rsidRPr="00DA7877" w:rsidRDefault="003A497B" w:rsidP="003A497B">
      <w:pPr>
        <w:ind w:firstLine="708"/>
        <w:jc w:val="both"/>
        <w:rPr>
          <w:rFonts w:ascii="Times New Roman" w:hAnsi="Times New Roman" w:cs="Times New Roman"/>
        </w:rPr>
      </w:pPr>
      <w:r w:rsidRPr="0041039B">
        <w:rPr>
          <w:rFonts w:ascii="Times New Roman" w:hAnsi="Times New Roman" w:cs="Times New Roman"/>
        </w:rPr>
        <w:t>Výdavky na tovary a služby sú v návr</w:t>
      </w:r>
      <w:r>
        <w:rPr>
          <w:rFonts w:ascii="Times New Roman" w:hAnsi="Times New Roman" w:cs="Times New Roman"/>
        </w:rPr>
        <w:t xml:space="preserve">hu rozpočtu na rok 2019 stanovené v sume </w:t>
      </w:r>
      <w:r>
        <w:rPr>
          <w:rFonts w:ascii="Times New Roman" w:hAnsi="Times New Roman" w:cs="Times New Roman"/>
        </w:rPr>
        <w:br/>
        <w:t>3,33</w:t>
      </w:r>
      <w:r w:rsidRPr="0041039B">
        <w:rPr>
          <w:rFonts w:ascii="Times New Roman" w:hAnsi="Times New Roman" w:cs="Times New Roman"/>
        </w:rPr>
        <w:t xml:space="preserve"> mil. eur, čo </w:t>
      </w:r>
      <w:r>
        <w:rPr>
          <w:rFonts w:ascii="Times New Roman" w:hAnsi="Times New Roman" w:cs="Times New Roman"/>
        </w:rPr>
        <w:t>predstavu</w:t>
      </w:r>
      <w:r w:rsidRPr="0041039B">
        <w:rPr>
          <w:rFonts w:ascii="Times New Roman" w:hAnsi="Times New Roman" w:cs="Times New Roman"/>
        </w:rPr>
        <w:t xml:space="preserve">je oproti </w:t>
      </w:r>
      <w:r>
        <w:rPr>
          <w:rFonts w:ascii="Times New Roman" w:hAnsi="Times New Roman" w:cs="Times New Roman"/>
        </w:rPr>
        <w:t xml:space="preserve">schválenému rozpočtu roku 2018 nárast o 252 tis. eur, </w:t>
      </w:r>
      <w:r>
        <w:rPr>
          <w:rFonts w:ascii="Times New Roman" w:hAnsi="Times New Roman" w:cs="Times New Roman"/>
        </w:rPr>
        <w:br/>
        <w:t>t. j. o 8,23</w:t>
      </w:r>
      <w:r w:rsidRPr="0041039B">
        <w:rPr>
          <w:rFonts w:ascii="Times New Roman" w:hAnsi="Times New Roman" w:cs="Times New Roman"/>
        </w:rPr>
        <w:t xml:space="preserve"> </w:t>
      </w:r>
      <w:r>
        <w:rPr>
          <w:rFonts w:ascii="Times New Roman" w:hAnsi="Times New Roman" w:cs="Times New Roman"/>
        </w:rPr>
        <w:t xml:space="preserve">% </w:t>
      </w:r>
      <w:r w:rsidRPr="00660CB7">
        <w:rPr>
          <w:rFonts w:ascii="Times New Roman" w:hAnsi="Times New Roman" w:cs="Times New Roman"/>
        </w:rPr>
        <w:t>z dôvodu zvýšenia limitu výdavkov v nadväznosti na zvýšenie príjmov kapitoly</w:t>
      </w:r>
      <w:r>
        <w:rPr>
          <w:rFonts w:ascii="Times New Roman" w:hAnsi="Times New Roman" w:cs="Times New Roman"/>
        </w:rPr>
        <w:t xml:space="preserve"> z titulu schválenia novely atómového zákona</w:t>
      </w:r>
      <w:r w:rsidRPr="00660CB7">
        <w:rPr>
          <w:rFonts w:ascii="Times New Roman" w:hAnsi="Times New Roman" w:cs="Times New Roman"/>
        </w:rPr>
        <w:t>.</w:t>
      </w:r>
    </w:p>
    <w:p w:rsidR="003A497B" w:rsidRPr="0041039B" w:rsidRDefault="003A497B" w:rsidP="003A497B">
      <w:pPr>
        <w:ind w:firstLine="708"/>
        <w:jc w:val="both"/>
        <w:rPr>
          <w:rFonts w:ascii="Times New Roman" w:hAnsi="Times New Roman" w:cs="Times New Roman"/>
        </w:rPr>
      </w:pPr>
    </w:p>
    <w:p w:rsidR="003A497B" w:rsidRPr="00FD444A" w:rsidRDefault="003A497B" w:rsidP="003A497B">
      <w:pPr>
        <w:ind w:firstLine="708"/>
        <w:jc w:val="both"/>
        <w:rPr>
          <w:rFonts w:ascii="Times New Roman" w:hAnsi="Times New Roman" w:cs="Times New Roman"/>
        </w:rPr>
      </w:pPr>
      <w:r w:rsidRPr="0041039B">
        <w:rPr>
          <w:rFonts w:ascii="Times New Roman" w:hAnsi="Times New Roman" w:cs="Times New Roman"/>
        </w:rPr>
        <w:t xml:space="preserve">Bežné transfery </w:t>
      </w:r>
      <w:r>
        <w:rPr>
          <w:rFonts w:ascii="Times New Roman" w:hAnsi="Times New Roman" w:cs="Times New Roman"/>
        </w:rPr>
        <w:t>sa v návrhu rozpočtu na rok 2019 rozpočtujú v sume 1,00 mil</w:t>
      </w:r>
      <w:r w:rsidRPr="0041039B">
        <w:rPr>
          <w:rFonts w:ascii="Times New Roman" w:hAnsi="Times New Roman" w:cs="Times New Roman"/>
        </w:rPr>
        <w:t>. eur</w:t>
      </w:r>
      <w:r>
        <w:rPr>
          <w:rFonts w:ascii="Times New Roman" w:hAnsi="Times New Roman" w:cs="Times New Roman"/>
        </w:rPr>
        <w:t xml:space="preserve"> a oproti schválenému rozpočtu na rok 2018 rastú o 112 tis. eur, t. j. o 12,6 % z dôvodu </w:t>
      </w:r>
      <w:r w:rsidRPr="00940662">
        <w:rPr>
          <w:rFonts w:ascii="Times New Roman" w:hAnsi="Times New Roman" w:cs="Times New Roman"/>
        </w:rPr>
        <w:t>zvýšenia limitu výdavkov v nadväznosti na zvýšenie príjmov kapitoly</w:t>
      </w:r>
      <w:r w:rsidRPr="0038310C">
        <w:rPr>
          <w:rFonts w:ascii="Times New Roman" w:hAnsi="Times New Roman" w:cs="Times New Roman"/>
        </w:rPr>
        <w:t>.</w:t>
      </w:r>
      <w:r>
        <w:rPr>
          <w:rFonts w:ascii="Times New Roman" w:hAnsi="Times New Roman" w:cs="Times New Roman"/>
        </w:rPr>
        <w:t xml:space="preserve"> V rámci bežných transferov sú rozpočtované výdavky na príspevky do medzinárodných organizácií v sume 950 tis. eur a transfery jednotlivcom v sume 50,7 tis. eur na odstupné a odchodné.</w:t>
      </w:r>
    </w:p>
    <w:p w:rsidR="003A497B" w:rsidRPr="0041039B"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sidRPr="0041039B">
        <w:rPr>
          <w:rFonts w:ascii="Times New Roman" w:hAnsi="Times New Roman" w:cs="Times New Roman"/>
        </w:rPr>
        <w:t>Kapitálové výdavky sú v návrhu rozpočtu na rok 201</w:t>
      </w:r>
      <w:r>
        <w:rPr>
          <w:rFonts w:ascii="Times New Roman" w:hAnsi="Times New Roman" w:cs="Times New Roman"/>
        </w:rPr>
        <w:t xml:space="preserve">9 rozpočtované v sume </w:t>
      </w:r>
      <w:r>
        <w:rPr>
          <w:rFonts w:ascii="Times New Roman" w:hAnsi="Times New Roman" w:cs="Times New Roman"/>
        </w:rPr>
        <w:br/>
        <w:t>228</w:t>
      </w:r>
      <w:r w:rsidRPr="0041039B">
        <w:rPr>
          <w:rFonts w:ascii="Times New Roman" w:hAnsi="Times New Roman" w:cs="Times New Roman"/>
        </w:rPr>
        <w:t xml:space="preserve"> tis. eur</w:t>
      </w:r>
      <w:r>
        <w:rPr>
          <w:rFonts w:ascii="Times New Roman" w:hAnsi="Times New Roman" w:cs="Times New Roman"/>
        </w:rPr>
        <w:t xml:space="preserve">, čo znamená, že </w:t>
      </w:r>
      <w:r w:rsidRPr="0041039B">
        <w:rPr>
          <w:rFonts w:ascii="Times New Roman" w:hAnsi="Times New Roman" w:cs="Times New Roman"/>
        </w:rPr>
        <w:t xml:space="preserve">oproti </w:t>
      </w:r>
      <w:r>
        <w:rPr>
          <w:rFonts w:ascii="Times New Roman" w:hAnsi="Times New Roman" w:cs="Times New Roman"/>
        </w:rPr>
        <w:t xml:space="preserve">schválenému rozpočtu na rok 2018 rastú o 79,8 tis. eur, t. j. o 53,9 %. </w:t>
      </w:r>
      <w:r w:rsidRPr="002E1E8E">
        <w:rPr>
          <w:rFonts w:ascii="Times New Roman" w:hAnsi="Times New Roman" w:cs="Times New Roman"/>
        </w:rPr>
        <w:t>Sú určené na zabezpečenie technického vybavenia v Centre havarijnej odozvy, obstaranie hardvéru, softvéru, komunikačnej infraštr</w:t>
      </w:r>
      <w:r>
        <w:rPr>
          <w:rFonts w:ascii="Times New Roman" w:hAnsi="Times New Roman" w:cs="Times New Roman"/>
        </w:rPr>
        <w:t xml:space="preserve">uktúry a rekonštrukciu softvéru. </w:t>
      </w:r>
      <w:r w:rsidRPr="0038310C">
        <w:rPr>
          <w:rFonts w:ascii="Times New Roman" w:hAnsi="Times New Roman" w:cs="Times New Roman"/>
        </w:rPr>
        <w:t>Časť z</w:t>
      </w:r>
      <w:r>
        <w:rPr>
          <w:rFonts w:ascii="Times New Roman" w:hAnsi="Times New Roman" w:cs="Times New Roman"/>
        </w:rPr>
        <w:t> rozpočtovaných kapitálových</w:t>
      </w:r>
      <w:r w:rsidRPr="0038310C">
        <w:rPr>
          <w:rFonts w:ascii="Times New Roman" w:hAnsi="Times New Roman" w:cs="Times New Roman"/>
        </w:rPr>
        <w:t xml:space="preserve"> </w:t>
      </w:r>
      <w:r>
        <w:rPr>
          <w:rFonts w:ascii="Times New Roman" w:hAnsi="Times New Roman" w:cs="Times New Roman"/>
        </w:rPr>
        <w:t>výdav</w:t>
      </w:r>
      <w:r w:rsidRPr="0038310C">
        <w:rPr>
          <w:rFonts w:ascii="Times New Roman" w:hAnsi="Times New Roman" w:cs="Times New Roman"/>
        </w:rPr>
        <w:t>kov sa použije na nákup 2 nových motorových vozidiel z dôvodu náhrady referentských vozidiel, ktorých prevádzka je už nehospodárna a</w:t>
      </w:r>
      <w:r>
        <w:rPr>
          <w:rFonts w:ascii="Times New Roman" w:hAnsi="Times New Roman" w:cs="Times New Roman"/>
        </w:rPr>
        <w:t> </w:t>
      </w:r>
      <w:r w:rsidRPr="0038310C">
        <w:rPr>
          <w:rFonts w:ascii="Times New Roman" w:hAnsi="Times New Roman" w:cs="Times New Roman"/>
        </w:rPr>
        <w:t>neefektívna</w:t>
      </w:r>
      <w:r>
        <w:rPr>
          <w:rFonts w:ascii="Times New Roman" w:hAnsi="Times New Roman" w:cs="Times New Roman"/>
        </w:rPr>
        <w:t>.</w:t>
      </w:r>
    </w:p>
    <w:p w:rsidR="00EE1354" w:rsidRDefault="00EE1354" w:rsidP="003A497B">
      <w:pPr>
        <w:ind w:firstLine="708"/>
        <w:jc w:val="both"/>
        <w:rPr>
          <w:rFonts w:ascii="Times New Roman" w:hAnsi="Times New Roman" w:cs="Times New Roman"/>
        </w:rPr>
      </w:pPr>
    </w:p>
    <w:p w:rsidR="00EE1354" w:rsidRDefault="00EE1354" w:rsidP="003A497B">
      <w:pPr>
        <w:ind w:firstLine="708"/>
        <w:jc w:val="both"/>
        <w:rPr>
          <w:rFonts w:ascii="Times New Roman" w:hAnsi="Times New Roman" w:cs="Times New Roman"/>
        </w:rPr>
      </w:pPr>
    </w:p>
    <w:p w:rsidR="00EE1354" w:rsidRDefault="00EE1354" w:rsidP="003A497B">
      <w:pPr>
        <w:ind w:firstLine="708"/>
        <w:jc w:val="both"/>
        <w:rPr>
          <w:rFonts w:ascii="Times New Roman" w:hAnsi="Times New Roman" w:cs="Times New Roman"/>
        </w:rPr>
      </w:pPr>
    </w:p>
    <w:p w:rsidR="00EE1354" w:rsidRDefault="00EE1354" w:rsidP="003A497B">
      <w:pPr>
        <w:ind w:firstLine="708"/>
        <w:jc w:val="both"/>
        <w:rPr>
          <w:rFonts w:ascii="Times New Roman" w:hAnsi="Times New Roman" w:cs="Times New Roman"/>
        </w:rPr>
      </w:pPr>
    </w:p>
    <w:p w:rsidR="003A497B" w:rsidRPr="00912A7B" w:rsidRDefault="003A497B" w:rsidP="003A497B">
      <w:pPr>
        <w:pStyle w:val="Nadpis5"/>
        <w:pBdr>
          <w:bottom w:val="single" w:sz="4" w:space="1" w:color="auto"/>
        </w:pBdr>
        <w:ind w:left="0"/>
        <w:rPr>
          <w:i w:val="0"/>
          <w:sz w:val="24"/>
          <w:lang w:eastAsia="sk-SK"/>
        </w:rPr>
      </w:pPr>
      <w:bookmarkStart w:id="281" w:name="_Toc526267719"/>
      <w:r w:rsidRPr="00912A7B">
        <w:rPr>
          <w:i w:val="0"/>
          <w:sz w:val="24"/>
          <w:lang w:eastAsia="sk-SK"/>
        </w:rPr>
        <w:lastRenderedPageBreak/>
        <w:t>Úrad priemyselného vlastníctva SR</w:t>
      </w:r>
      <w:bookmarkEnd w:id="277"/>
      <w:bookmarkEnd w:id="278"/>
      <w:bookmarkEnd w:id="279"/>
      <w:bookmarkEnd w:id="280"/>
      <w:bookmarkEnd w:id="281"/>
    </w:p>
    <w:p w:rsidR="003A497B" w:rsidRPr="004A3627" w:rsidRDefault="003A497B" w:rsidP="003A497B">
      <w:pPr>
        <w:spacing w:line="360" w:lineRule="auto"/>
        <w:jc w:val="both"/>
        <w:rPr>
          <w:rFonts w:ascii="Times New Roman" w:hAnsi="Times New Roman" w:cs="Times New Roman"/>
          <w:highlight w:val="yellow"/>
        </w:rPr>
      </w:pPr>
    </w:p>
    <w:tbl>
      <w:tblPr>
        <w:tblW w:w="5000" w:type="pct"/>
        <w:tblCellMar>
          <w:left w:w="70" w:type="dxa"/>
          <w:right w:w="70" w:type="dxa"/>
        </w:tblCellMar>
        <w:tblLook w:val="04A0" w:firstRow="1" w:lastRow="0" w:firstColumn="1" w:lastColumn="0" w:noHBand="0" w:noVBand="1"/>
      </w:tblPr>
      <w:tblGrid>
        <w:gridCol w:w="3554"/>
        <w:gridCol w:w="819"/>
        <w:gridCol w:w="745"/>
        <w:gridCol w:w="745"/>
        <w:gridCol w:w="763"/>
        <w:gridCol w:w="763"/>
        <w:gridCol w:w="763"/>
        <w:gridCol w:w="910"/>
      </w:tblGrid>
      <w:tr w:rsidR="003A497B" w:rsidRPr="0005330D" w:rsidTr="003E1809">
        <w:trPr>
          <w:trHeight w:hRule="exact" w:val="255"/>
        </w:trPr>
        <w:tc>
          <w:tcPr>
            <w:tcW w:w="1961" w:type="pct"/>
            <w:tcBorders>
              <w:top w:val="single" w:sz="4" w:space="0" w:color="auto"/>
              <w:left w:val="single" w:sz="4" w:space="0" w:color="auto"/>
              <w:bottom w:val="single" w:sz="4" w:space="0" w:color="auto"/>
              <w:right w:val="single" w:sz="4" w:space="0" w:color="auto"/>
            </w:tcBorders>
            <w:shd w:val="pct35" w:color="000000" w:fill="FFFFFF" w:themeFill="background1"/>
            <w:noWrap/>
            <w:vAlign w:val="center"/>
            <w:hideMark/>
          </w:tcPr>
          <w:p w:rsidR="003A497B" w:rsidRPr="008C483E" w:rsidRDefault="003A497B" w:rsidP="003E1809">
            <w:pPr>
              <w:rPr>
                <w:rFonts w:ascii="Times New Roman" w:hAnsi="Times New Roman" w:cs="Times New Roman"/>
                <w:b/>
                <w:bCs/>
                <w:color w:val="000000"/>
                <w:sz w:val="14"/>
                <w:szCs w:val="14"/>
                <w:lang w:eastAsia="sk-SK"/>
              </w:rPr>
            </w:pPr>
            <w:bookmarkStart w:id="282" w:name="_Toc400551780"/>
            <w:bookmarkStart w:id="283" w:name="_Toc494470119"/>
            <w:bookmarkStart w:id="284" w:name="_Toc494472295"/>
            <w:r w:rsidRPr="008C483E">
              <w:rPr>
                <w:rFonts w:ascii="Times New Roman" w:hAnsi="Times New Roman" w:cs="Times New Roman"/>
                <w:b/>
                <w:bCs/>
                <w:color w:val="000000"/>
                <w:sz w:val="14"/>
                <w:szCs w:val="14"/>
                <w:lang w:eastAsia="sk-SK"/>
              </w:rPr>
              <w:t>v eurách</w:t>
            </w:r>
          </w:p>
        </w:tc>
        <w:tc>
          <w:tcPr>
            <w:tcW w:w="452"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8C483E" w:rsidRDefault="003A497B" w:rsidP="003E1809">
            <w:pPr>
              <w:jc w:val="center"/>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 xml:space="preserve">2016 S </w:t>
            </w:r>
          </w:p>
        </w:tc>
        <w:tc>
          <w:tcPr>
            <w:tcW w:w="411"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8C483E" w:rsidRDefault="003A497B" w:rsidP="003E1809">
            <w:pPr>
              <w:jc w:val="center"/>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2017 S</w:t>
            </w:r>
          </w:p>
        </w:tc>
        <w:tc>
          <w:tcPr>
            <w:tcW w:w="411" w:type="pct"/>
            <w:tcBorders>
              <w:top w:val="single" w:sz="4" w:space="0" w:color="auto"/>
              <w:left w:val="nil"/>
              <w:bottom w:val="single" w:sz="4" w:space="0" w:color="auto"/>
              <w:right w:val="single" w:sz="4" w:space="0" w:color="auto"/>
            </w:tcBorders>
            <w:shd w:val="pct35" w:color="000000" w:fill="FFFFFF" w:themeFill="background1"/>
            <w:noWrap/>
            <w:vAlign w:val="center"/>
            <w:hideMark/>
          </w:tcPr>
          <w:p w:rsidR="003A497B" w:rsidRPr="008C483E" w:rsidRDefault="003A497B" w:rsidP="003E1809">
            <w:pPr>
              <w:jc w:val="center"/>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2018 R</w:t>
            </w:r>
          </w:p>
        </w:tc>
        <w:tc>
          <w:tcPr>
            <w:tcW w:w="421" w:type="pct"/>
            <w:tcBorders>
              <w:top w:val="single" w:sz="4" w:space="0" w:color="auto"/>
              <w:left w:val="nil"/>
              <w:bottom w:val="single" w:sz="4" w:space="0" w:color="auto"/>
              <w:right w:val="single" w:sz="4" w:space="0" w:color="auto"/>
            </w:tcBorders>
            <w:shd w:val="pct35" w:color="000000" w:fill="FFFFFF" w:themeFill="background1"/>
            <w:vAlign w:val="center"/>
            <w:hideMark/>
          </w:tcPr>
          <w:p w:rsidR="003A497B" w:rsidRPr="008C483E" w:rsidRDefault="003A497B" w:rsidP="003E1809">
            <w:pPr>
              <w:jc w:val="center"/>
              <w:rPr>
                <w:rFonts w:ascii="Times New Roman" w:hAnsi="Times New Roman" w:cs="Times New Roman"/>
                <w:b/>
                <w:bCs/>
                <w:sz w:val="14"/>
                <w:szCs w:val="14"/>
                <w:lang w:eastAsia="sk-SK"/>
              </w:rPr>
            </w:pPr>
            <w:r w:rsidRPr="008C483E">
              <w:rPr>
                <w:rFonts w:ascii="Times New Roman" w:hAnsi="Times New Roman" w:cs="Times New Roman"/>
                <w:b/>
                <w:bCs/>
                <w:sz w:val="14"/>
                <w:szCs w:val="14"/>
                <w:lang w:eastAsia="sk-SK"/>
              </w:rPr>
              <w:t>2018 OS</w:t>
            </w:r>
          </w:p>
        </w:tc>
        <w:tc>
          <w:tcPr>
            <w:tcW w:w="421" w:type="pct"/>
            <w:tcBorders>
              <w:top w:val="single" w:sz="4" w:space="0" w:color="auto"/>
              <w:left w:val="nil"/>
              <w:bottom w:val="single" w:sz="4" w:space="0" w:color="auto"/>
              <w:right w:val="single" w:sz="4" w:space="0" w:color="auto"/>
            </w:tcBorders>
            <w:shd w:val="pct35" w:color="000000" w:fill="FFFFFF" w:themeFill="background1"/>
            <w:vAlign w:val="center"/>
            <w:hideMark/>
          </w:tcPr>
          <w:p w:rsidR="003A497B" w:rsidRPr="008C483E" w:rsidRDefault="003A497B" w:rsidP="003E1809">
            <w:pPr>
              <w:jc w:val="center"/>
              <w:rPr>
                <w:rFonts w:ascii="Times New Roman" w:hAnsi="Times New Roman" w:cs="Times New Roman"/>
                <w:b/>
                <w:bCs/>
                <w:sz w:val="14"/>
                <w:szCs w:val="14"/>
                <w:lang w:eastAsia="sk-SK"/>
              </w:rPr>
            </w:pPr>
            <w:r w:rsidRPr="008C483E">
              <w:rPr>
                <w:rFonts w:ascii="Times New Roman" w:hAnsi="Times New Roman" w:cs="Times New Roman"/>
                <w:b/>
                <w:bCs/>
                <w:sz w:val="14"/>
                <w:szCs w:val="14"/>
                <w:lang w:eastAsia="sk-SK"/>
              </w:rPr>
              <w:t>2019 N</w:t>
            </w:r>
          </w:p>
        </w:tc>
        <w:tc>
          <w:tcPr>
            <w:tcW w:w="421" w:type="pct"/>
            <w:tcBorders>
              <w:top w:val="single" w:sz="4" w:space="0" w:color="auto"/>
              <w:left w:val="nil"/>
              <w:bottom w:val="single" w:sz="4" w:space="0" w:color="auto"/>
              <w:right w:val="single" w:sz="4" w:space="0" w:color="auto"/>
            </w:tcBorders>
            <w:shd w:val="pct35" w:color="000000" w:fill="FFFFFF" w:themeFill="background1"/>
            <w:vAlign w:val="center"/>
            <w:hideMark/>
          </w:tcPr>
          <w:p w:rsidR="003A497B" w:rsidRPr="008C483E" w:rsidRDefault="003A497B" w:rsidP="003E1809">
            <w:pPr>
              <w:jc w:val="center"/>
              <w:rPr>
                <w:rFonts w:ascii="Times New Roman" w:hAnsi="Times New Roman" w:cs="Times New Roman"/>
                <w:b/>
                <w:bCs/>
                <w:sz w:val="14"/>
                <w:szCs w:val="14"/>
                <w:lang w:eastAsia="sk-SK"/>
              </w:rPr>
            </w:pPr>
            <w:r w:rsidRPr="008C483E">
              <w:rPr>
                <w:rFonts w:ascii="Times New Roman" w:hAnsi="Times New Roman" w:cs="Times New Roman"/>
                <w:b/>
                <w:bCs/>
                <w:sz w:val="14"/>
                <w:szCs w:val="14"/>
                <w:lang w:eastAsia="sk-SK"/>
              </w:rPr>
              <w:t>2020 N</w:t>
            </w:r>
          </w:p>
        </w:tc>
        <w:tc>
          <w:tcPr>
            <w:tcW w:w="503" w:type="pct"/>
            <w:tcBorders>
              <w:top w:val="single" w:sz="4" w:space="0" w:color="auto"/>
              <w:left w:val="nil"/>
              <w:bottom w:val="single" w:sz="4" w:space="0" w:color="auto"/>
              <w:right w:val="single" w:sz="4" w:space="0" w:color="auto"/>
            </w:tcBorders>
            <w:shd w:val="pct35" w:color="000000" w:fill="FFFFFF" w:themeFill="background1"/>
            <w:vAlign w:val="center"/>
            <w:hideMark/>
          </w:tcPr>
          <w:p w:rsidR="003A497B" w:rsidRPr="008C483E" w:rsidRDefault="003A497B" w:rsidP="003E1809">
            <w:pPr>
              <w:jc w:val="center"/>
              <w:rPr>
                <w:rFonts w:ascii="Times New Roman" w:hAnsi="Times New Roman" w:cs="Times New Roman"/>
                <w:b/>
                <w:bCs/>
                <w:sz w:val="14"/>
                <w:szCs w:val="14"/>
                <w:lang w:eastAsia="sk-SK"/>
              </w:rPr>
            </w:pPr>
            <w:r w:rsidRPr="008C483E">
              <w:rPr>
                <w:rFonts w:ascii="Times New Roman" w:hAnsi="Times New Roman" w:cs="Times New Roman"/>
                <w:b/>
                <w:bCs/>
                <w:sz w:val="14"/>
                <w:szCs w:val="14"/>
                <w:lang w:eastAsia="sk-SK"/>
              </w:rPr>
              <w:t>2021 N</w:t>
            </w:r>
          </w:p>
        </w:tc>
      </w:tr>
      <w:tr w:rsidR="003A497B" w:rsidRPr="0005330D" w:rsidTr="003E1809">
        <w:trPr>
          <w:trHeight w:hRule="exact" w:val="255"/>
        </w:trPr>
        <w:tc>
          <w:tcPr>
            <w:tcW w:w="1961" w:type="pct"/>
            <w:tcBorders>
              <w:top w:val="single" w:sz="4" w:space="0" w:color="auto"/>
              <w:left w:val="single" w:sz="4" w:space="0" w:color="auto"/>
              <w:bottom w:val="single" w:sz="4" w:space="0" w:color="auto"/>
              <w:right w:val="single" w:sz="4" w:space="0" w:color="auto"/>
            </w:tcBorders>
            <w:shd w:val="pct25" w:color="000000" w:fill="FFFFFF" w:themeFill="background1"/>
            <w:noWrap/>
            <w:vAlign w:val="bottom"/>
            <w:hideMark/>
          </w:tcPr>
          <w:p w:rsidR="003A497B" w:rsidRPr="008C483E" w:rsidRDefault="003A497B" w:rsidP="003E1809">
            <w:pPr>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Zdroje príslušnej kapitoly</w:t>
            </w:r>
          </w:p>
        </w:tc>
        <w:tc>
          <w:tcPr>
            <w:tcW w:w="452"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3 029 039</w:t>
            </w:r>
          </w:p>
        </w:tc>
        <w:tc>
          <w:tcPr>
            <w:tcW w:w="411"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6 464 813</w:t>
            </w:r>
          </w:p>
        </w:tc>
        <w:tc>
          <w:tcPr>
            <w:tcW w:w="411"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3 444 174</w:t>
            </w:r>
          </w:p>
        </w:tc>
        <w:tc>
          <w:tcPr>
            <w:tcW w:w="421"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3 554 418</w:t>
            </w:r>
          </w:p>
        </w:tc>
        <w:tc>
          <w:tcPr>
            <w:tcW w:w="421"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3 581 509</w:t>
            </w:r>
          </w:p>
        </w:tc>
        <w:tc>
          <w:tcPr>
            <w:tcW w:w="421"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3 531 509</w:t>
            </w:r>
          </w:p>
        </w:tc>
        <w:tc>
          <w:tcPr>
            <w:tcW w:w="503" w:type="pct"/>
            <w:tcBorders>
              <w:top w:val="single" w:sz="4" w:space="0" w:color="auto"/>
              <w:left w:val="nil"/>
              <w:bottom w:val="single" w:sz="4" w:space="0" w:color="auto"/>
              <w:right w:val="single" w:sz="4" w:space="0" w:color="auto"/>
            </w:tcBorders>
            <w:shd w:val="pct25" w:color="000000" w:fill="FFFFFF" w:themeFill="background1"/>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3 531 509</w:t>
            </w:r>
          </w:p>
        </w:tc>
      </w:tr>
      <w:tr w:rsidR="003A497B" w:rsidRPr="0005330D" w:rsidTr="003E1809">
        <w:trPr>
          <w:trHeight w:hRule="exact" w:val="255"/>
        </w:trPr>
        <w:tc>
          <w:tcPr>
            <w:tcW w:w="1961"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483E" w:rsidRDefault="003A497B" w:rsidP="003E1809">
            <w:pPr>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Rozpočtové zdroje kapitoly</w:t>
            </w:r>
          </w:p>
        </w:tc>
        <w:tc>
          <w:tcPr>
            <w:tcW w:w="452"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3 029 039</w:t>
            </w:r>
          </w:p>
        </w:tc>
        <w:tc>
          <w:tcPr>
            <w:tcW w:w="411"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6 248 128</w:t>
            </w:r>
          </w:p>
        </w:tc>
        <w:tc>
          <w:tcPr>
            <w:tcW w:w="411"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3 444 174</w:t>
            </w:r>
          </w:p>
        </w:tc>
        <w:tc>
          <w:tcPr>
            <w:tcW w:w="421"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3 522 418</w:t>
            </w:r>
          </w:p>
        </w:tc>
        <w:tc>
          <w:tcPr>
            <w:tcW w:w="421"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3 581 509</w:t>
            </w:r>
          </w:p>
        </w:tc>
        <w:tc>
          <w:tcPr>
            <w:tcW w:w="421"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3 531 509</w:t>
            </w:r>
          </w:p>
        </w:tc>
        <w:tc>
          <w:tcPr>
            <w:tcW w:w="503"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3 531 509</w:t>
            </w:r>
          </w:p>
        </w:tc>
      </w:tr>
      <w:tr w:rsidR="003A497B" w:rsidRPr="0005330D" w:rsidTr="003E1809">
        <w:trPr>
          <w:trHeight w:hRule="exact" w:val="255"/>
        </w:trPr>
        <w:tc>
          <w:tcPr>
            <w:tcW w:w="1961"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483E" w:rsidRDefault="003A497B" w:rsidP="003E1809">
            <w:pPr>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 xml:space="preserve">    v tom: bežné výdavky  600</w:t>
            </w:r>
          </w:p>
        </w:tc>
        <w:tc>
          <w:tcPr>
            <w:tcW w:w="452"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2 999 039</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6 218 521</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3 386 257</w:t>
            </w:r>
          </w:p>
        </w:tc>
        <w:tc>
          <w:tcPr>
            <w:tcW w:w="421"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3 464 501</w:t>
            </w:r>
          </w:p>
        </w:tc>
        <w:tc>
          <w:tcPr>
            <w:tcW w:w="421"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3 501 509</w:t>
            </w:r>
          </w:p>
        </w:tc>
        <w:tc>
          <w:tcPr>
            <w:tcW w:w="421"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3 501 509</w:t>
            </w:r>
          </w:p>
        </w:tc>
        <w:tc>
          <w:tcPr>
            <w:tcW w:w="503"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3 501 509</w:t>
            </w:r>
          </w:p>
        </w:tc>
      </w:tr>
      <w:tr w:rsidR="003A497B" w:rsidRPr="0005330D" w:rsidTr="003E1809">
        <w:trPr>
          <w:trHeight w:hRule="exact" w:val="255"/>
        </w:trPr>
        <w:tc>
          <w:tcPr>
            <w:tcW w:w="1961"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483E" w:rsidRDefault="003A497B" w:rsidP="003E1809">
            <w:pPr>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 xml:space="preserve">                610 mzdy</w:t>
            </w:r>
          </w:p>
        </w:tc>
        <w:tc>
          <w:tcPr>
            <w:tcW w:w="452"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1 601 002</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1 754 397</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1 805 300</w:t>
            </w:r>
          </w:p>
        </w:tc>
        <w:tc>
          <w:tcPr>
            <w:tcW w:w="421"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1 887 185</w:t>
            </w:r>
          </w:p>
        </w:tc>
        <w:tc>
          <w:tcPr>
            <w:tcW w:w="421"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1 890 899</w:t>
            </w:r>
          </w:p>
        </w:tc>
        <w:tc>
          <w:tcPr>
            <w:tcW w:w="421"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1 890 899</w:t>
            </w:r>
          </w:p>
        </w:tc>
        <w:tc>
          <w:tcPr>
            <w:tcW w:w="503"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1 890 899</w:t>
            </w:r>
          </w:p>
        </w:tc>
      </w:tr>
      <w:tr w:rsidR="003A497B" w:rsidRPr="0005330D" w:rsidTr="003E1809">
        <w:trPr>
          <w:trHeight w:hRule="exact" w:val="255"/>
        </w:trPr>
        <w:tc>
          <w:tcPr>
            <w:tcW w:w="1961"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483E" w:rsidRDefault="003A497B" w:rsidP="003E1809">
            <w:pPr>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 xml:space="preserve">                620 odvody</w:t>
            </w:r>
          </w:p>
        </w:tc>
        <w:tc>
          <w:tcPr>
            <w:tcW w:w="452"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563 662</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719 218</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682 781</w:t>
            </w:r>
          </w:p>
        </w:tc>
        <w:tc>
          <w:tcPr>
            <w:tcW w:w="421"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711 140</w:t>
            </w:r>
          </w:p>
        </w:tc>
        <w:tc>
          <w:tcPr>
            <w:tcW w:w="421"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699 632</w:t>
            </w:r>
          </w:p>
        </w:tc>
        <w:tc>
          <w:tcPr>
            <w:tcW w:w="421"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699 632</w:t>
            </w:r>
          </w:p>
        </w:tc>
        <w:tc>
          <w:tcPr>
            <w:tcW w:w="503"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699 632</w:t>
            </w:r>
          </w:p>
        </w:tc>
      </w:tr>
      <w:tr w:rsidR="003A497B" w:rsidRPr="0005330D" w:rsidTr="003E1809">
        <w:trPr>
          <w:trHeight w:hRule="exact" w:val="255"/>
        </w:trPr>
        <w:tc>
          <w:tcPr>
            <w:tcW w:w="1961"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483E" w:rsidRDefault="003A497B" w:rsidP="003E1809">
            <w:pPr>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 xml:space="preserve">                630 tovary a služby</w:t>
            </w:r>
          </w:p>
        </w:tc>
        <w:tc>
          <w:tcPr>
            <w:tcW w:w="452"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675 141</w:t>
            </w:r>
          </w:p>
        </w:tc>
        <w:tc>
          <w:tcPr>
            <w:tcW w:w="411" w:type="pct"/>
            <w:tcBorders>
              <w:top w:val="nil"/>
              <w:left w:val="nil"/>
              <w:bottom w:val="single" w:sz="4" w:space="0" w:color="auto"/>
              <w:right w:val="single" w:sz="4" w:space="0" w:color="auto"/>
            </w:tcBorders>
            <w:shd w:val="clear" w:color="000000" w:fill="FFFFFF"/>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3 570 266</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755 676</w:t>
            </w:r>
          </w:p>
        </w:tc>
        <w:tc>
          <w:tcPr>
            <w:tcW w:w="421" w:type="pct"/>
            <w:tcBorders>
              <w:top w:val="nil"/>
              <w:left w:val="nil"/>
              <w:bottom w:val="single" w:sz="4" w:space="0" w:color="auto"/>
              <w:right w:val="single" w:sz="4" w:space="0" w:color="auto"/>
            </w:tcBorders>
            <w:shd w:val="clear" w:color="000000" w:fill="FFFFFF"/>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723 676</w:t>
            </w:r>
          </w:p>
        </w:tc>
        <w:tc>
          <w:tcPr>
            <w:tcW w:w="421" w:type="pct"/>
            <w:tcBorders>
              <w:top w:val="nil"/>
              <w:left w:val="nil"/>
              <w:bottom w:val="single" w:sz="4" w:space="0" w:color="auto"/>
              <w:right w:val="single" w:sz="4" w:space="0" w:color="auto"/>
            </w:tcBorders>
            <w:shd w:val="clear" w:color="000000" w:fill="FFFFFF"/>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768 478</w:t>
            </w:r>
          </w:p>
        </w:tc>
        <w:tc>
          <w:tcPr>
            <w:tcW w:w="421" w:type="pct"/>
            <w:tcBorders>
              <w:top w:val="nil"/>
              <w:left w:val="nil"/>
              <w:bottom w:val="single" w:sz="4" w:space="0" w:color="auto"/>
              <w:right w:val="single" w:sz="4" w:space="0" w:color="auto"/>
            </w:tcBorders>
            <w:shd w:val="clear" w:color="000000" w:fill="FFFFFF"/>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768 478</w:t>
            </w:r>
          </w:p>
        </w:tc>
        <w:tc>
          <w:tcPr>
            <w:tcW w:w="503" w:type="pct"/>
            <w:tcBorders>
              <w:top w:val="nil"/>
              <w:left w:val="nil"/>
              <w:bottom w:val="single" w:sz="4" w:space="0" w:color="auto"/>
              <w:right w:val="single" w:sz="4" w:space="0" w:color="auto"/>
            </w:tcBorders>
            <w:shd w:val="clear" w:color="000000" w:fill="FFFFFF"/>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768 478</w:t>
            </w:r>
          </w:p>
        </w:tc>
      </w:tr>
      <w:tr w:rsidR="003A497B" w:rsidRPr="0005330D" w:rsidTr="003E1809">
        <w:trPr>
          <w:trHeight w:hRule="exact" w:val="255"/>
        </w:trPr>
        <w:tc>
          <w:tcPr>
            <w:tcW w:w="1961"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483E" w:rsidRDefault="003A497B" w:rsidP="003E1809">
            <w:pPr>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 xml:space="preserve">                640 bežné transfery</w:t>
            </w:r>
          </w:p>
        </w:tc>
        <w:tc>
          <w:tcPr>
            <w:tcW w:w="452"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159 234</w:t>
            </w:r>
          </w:p>
        </w:tc>
        <w:tc>
          <w:tcPr>
            <w:tcW w:w="411"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174 640</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142 500</w:t>
            </w:r>
          </w:p>
        </w:tc>
        <w:tc>
          <w:tcPr>
            <w:tcW w:w="421"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142 500</w:t>
            </w:r>
          </w:p>
        </w:tc>
        <w:tc>
          <w:tcPr>
            <w:tcW w:w="421"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142 500</w:t>
            </w:r>
          </w:p>
        </w:tc>
        <w:tc>
          <w:tcPr>
            <w:tcW w:w="421"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142 500</w:t>
            </w:r>
          </w:p>
        </w:tc>
        <w:tc>
          <w:tcPr>
            <w:tcW w:w="503"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142 500</w:t>
            </w:r>
          </w:p>
        </w:tc>
      </w:tr>
      <w:tr w:rsidR="003A497B" w:rsidRPr="0005330D" w:rsidTr="003E1809">
        <w:trPr>
          <w:trHeight w:hRule="exact" w:val="255"/>
        </w:trPr>
        <w:tc>
          <w:tcPr>
            <w:tcW w:w="1961"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483E" w:rsidRDefault="003A497B" w:rsidP="003E1809">
            <w:pPr>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 xml:space="preserve">             kapitálové výdavky 700</w:t>
            </w:r>
          </w:p>
        </w:tc>
        <w:tc>
          <w:tcPr>
            <w:tcW w:w="452"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30 000</w:t>
            </w:r>
          </w:p>
        </w:tc>
        <w:tc>
          <w:tcPr>
            <w:tcW w:w="411" w:type="pct"/>
            <w:tcBorders>
              <w:top w:val="nil"/>
              <w:left w:val="nil"/>
              <w:bottom w:val="single" w:sz="4" w:space="0" w:color="auto"/>
              <w:right w:val="single" w:sz="4" w:space="0" w:color="auto"/>
            </w:tcBorders>
            <w:shd w:val="clear" w:color="000000" w:fill="FFFFFF"/>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29 607</w:t>
            </w:r>
          </w:p>
        </w:tc>
        <w:tc>
          <w:tcPr>
            <w:tcW w:w="411" w:type="pct"/>
            <w:tcBorders>
              <w:top w:val="nil"/>
              <w:left w:val="nil"/>
              <w:bottom w:val="single" w:sz="4" w:space="0" w:color="auto"/>
              <w:right w:val="single" w:sz="4" w:space="0" w:color="auto"/>
            </w:tcBorders>
            <w:shd w:val="clear" w:color="000000" w:fill="FFFFFF"/>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57 917</w:t>
            </w:r>
          </w:p>
        </w:tc>
        <w:tc>
          <w:tcPr>
            <w:tcW w:w="421" w:type="pct"/>
            <w:tcBorders>
              <w:top w:val="nil"/>
              <w:left w:val="nil"/>
              <w:bottom w:val="single" w:sz="4" w:space="0" w:color="auto"/>
              <w:right w:val="single" w:sz="4" w:space="0" w:color="auto"/>
            </w:tcBorders>
            <w:shd w:val="clear" w:color="000000" w:fill="FFFFFF"/>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57 917</w:t>
            </w:r>
          </w:p>
        </w:tc>
        <w:tc>
          <w:tcPr>
            <w:tcW w:w="421" w:type="pct"/>
            <w:tcBorders>
              <w:top w:val="nil"/>
              <w:left w:val="nil"/>
              <w:bottom w:val="single" w:sz="4" w:space="0" w:color="auto"/>
              <w:right w:val="single" w:sz="4" w:space="0" w:color="auto"/>
            </w:tcBorders>
            <w:shd w:val="clear" w:color="000000" w:fill="FFFFFF"/>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80 000</w:t>
            </w:r>
          </w:p>
        </w:tc>
        <w:tc>
          <w:tcPr>
            <w:tcW w:w="421" w:type="pct"/>
            <w:tcBorders>
              <w:top w:val="nil"/>
              <w:left w:val="nil"/>
              <w:bottom w:val="single" w:sz="4" w:space="0" w:color="auto"/>
              <w:right w:val="single" w:sz="4" w:space="0" w:color="auto"/>
            </w:tcBorders>
            <w:shd w:val="clear" w:color="000000" w:fill="FFFFFF"/>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30 000</w:t>
            </w:r>
          </w:p>
        </w:tc>
        <w:tc>
          <w:tcPr>
            <w:tcW w:w="503" w:type="pct"/>
            <w:tcBorders>
              <w:top w:val="nil"/>
              <w:left w:val="nil"/>
              <w:bottom w:val="single" w:sz="4" w:space="0" w:color="auto"/>
              <w:right w:val="single" w:sz="4" w:space="0" w:color="auto"/>
            </w:tcBorders>
            <w:shd w:val="clear" w:color="000000" w:fill="FFFFFF"/>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30 000</w:t>
            </w:r>
          </w:p>
        </w:tc>
      </w:tr>
      <w:tr w:rsidR="003A497B" w:rsidRPr="0005330D" w:rsidTr="003E1809">
        <w:trPr>
          <w:trHeight w:hRule="exact" w:val="255"/>
        </w:trPr>
        <w:tc>
          <w:tcPr>
            <w:tcW w:w="1961"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483E" w:rsidRDefault="003A497B" w:rsidP="003E1809">
            <w:pPr>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 xml:space="preserve">Presun z minulých rokov </w:t>
            </w:r>
          </w:p>
        </w:tc>
        <w:tc>
          <w:tcPr>
            <w:tcW w:w="452"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0</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216 685</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0</w:t>
            </w:r>
          </w:p>
        </w:tc>
        <w:tc>
          <w:tcPr>
            <w:tcW w:w="421"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32 000</w:t>
            </w:r>
          </w:p>
        </w:tc>
        <w:tc>
          <w:tcPr>
            <w:tcW w:w="421"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0</w:t>
            </w:r>
          </w:p>
        </w:tc>
        <w:tc>
          <w:tcPr>
            <w:tcW w:w="421"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0</w:t>
            </w:r>
          </w:p>
        </w:tc>
        <w:tc>
          <w:tcPr>
            <w:tcW w:w="503"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0</w:t>
            </w:r>
          </w:p>
        </w:tc>
      </w:tr>
      <w:tr w:rsidR="003A497B" w:rsidRPr="0005330D" w:rsidTr="003E1809">
        <w:trPr>
          <w:trHeight w:hRule="exact" w:val="255"/>
        </w:trPr>
        <w:tc>
          <w:tcPr>
            <w:tcW w:w="1961"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483E" w:rsidRDefault="003A497B" w:rsidP="003E1809">
            <w:pPr>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 xml:space="preserve">    v tom: štátny rozpočet</w:t>
            </w:r>
          </w:p>
        </w:tc>
        <w:tc>
          <w:tcPr>
            <w:tcW w:w="452"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0</w:t>
            </w:r>
          </w:p>
        </w:tc>
        <w:tc>
          <w:tcPr>
            <w:tcW w:w="411" w:type="pct"/>
            <w:tcBorders>
              <w:top w:val="nil"/>
              <w:left w:val="nil"/>
              <w:bottom w:val="single" w:sz="4" w:space="0" w:color="auto"/>
              <w:right w:val="single" w:sz="4" w:space="0" w:color="auto"/>
            </w:tcBorders>
            <w:shd w:val="clear" w:color="000000" w:fill="FFFFFF"/>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216 685</w:t>
            </w:r>
          </w:p>
        </w:tc>
        <w:tc>
          <w:tcPr>
            <w:tcW w:w="411" w:type="pct"/>
            <w:tcBorders>
              <w:top w:val="nil"/>
              <w:left w:val="nil"/>
              <w:bottom w:val="single" w:sz="4" w:space="0" w:color="auto"/>
              <w:right w:val="single" w:sz="4" w:space="0" w:color="auto"/>
            </w:tcBorders>
            <w:shd w:val="clear" w:color="000000" w:fill="FFFFFF"/>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0</w:t>
            </w:r>
          </w:p>
        </w:tc>
        <w:tc>
          <w:tcPr>
            <w:tcW w:w="421" w:type="pct"/>
            <w:tcBorders>
              <w:top w:val="nil"/>
              <w:left w:val="nil"/>
              <w:bottom w:val="single" w:sz="4" w:space="0" w:color="auto"/>
              <w:right w:val="single" w:sz="4" w:space="0" w:color="auto"/>
            </w:tcBorders>
            <w:shd w:val="clear" w:color="000000" w:fill="FFFFFF"/>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32 000</w:t>
            </w:r>
          </w:p>
        </w:tc>
        <w:tc>
          <w:tcPr>
            <w:tcW w:w="421" w:type="pct"/>
            <w:tcBorders>
              <w:top w:val="nil"/>
              <w:left w:val="nil"/>
              <w:bottom w:val="single" w:sz="4" w:space="0" w:color="auto"/>
              <w:right w:val="single" w:sz="4" w:space="0" w:color="auto"/>
            </w:tcBorders>
            <w:shd w:val="clear" w:color="000000" w:fill="FFFFFF"/>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0</w:t>
            </w:r>
          </w:p>
        </w:tc>
        <w:tc>
          <w:tcPr>
            <w:tcW w:w="421" w:type="pct"/>
            <w:tcBorders>
              <w:top w:val="nil"/>
              <w:left w:val="nil"/>
              <w:bottom w:val="single" w:sz="4" w:space="0" w:color="auto"/>
              <w:right w:val="single" w:sz="4" w:space="0" w:color="auto"/>
            </w:tcBorders>
            <w:shd w:val="clear" w:color="000000" w:fill="FFFFFF"/>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0</w:t>
            </w:r>
          </w:p>
        </w:tc>
        <w:tc>
          <w:tcPr>
            <w:tcW w:w="503" w:type="pct"/>
            <w:tcBorders>
              <w:top w:val="nil"/>
              <w:left w:val="nil"/>
              <w:bottom w:val="single" w:sz="4" w:space="0" w:color="auto"/>
              <w:right w:val="single" w:sz="4" w:space="0" w:color="auto"/>
            </w:tcBorders>
            <w:shd w:val="clear" w:color="000000" w:fill="FFFFFF"/>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0</w:t>
            </w:r>
          </w:p>
        </w:tc>
      </w:tr>
      <w:tr w:rsidR="003A497B" w:rsidRPr="0005330D" w:rsidTr="003E1809">
        <w:trPr>
          <w:trHeight w:hRule="exact" w:val="255"/>
        </w:trPr>
        <w:tc>
          <w:tcPr>
            <w:tcW w:w="1961" w:type="pct"/>
            <w:tcBorders>
              <w:top w:val="nil"/>
              <w:left w:val="nil"/>
              <w:bottom w:val="nil"/>
              <w:right w:val="nil"/>
            </w:tcBorders>
            <w:shd w:val="clear" w:color="auto" w:fill="auto"/>
            <w:noWrap/>
            <w:vAlign w:val="bottom"/>
            <w:hideMark/>
          </w:tcPr>
          <w:p w:rsidR="003A497B" w:rsidRPr="008C483E" w:rsidRDefault="003A497B" w:rsidP="003E1809">
            <w:pPr>
              <w:rPr>
                <w:rFonts w:ascii="Times New Roman" w:hAnsi="Times New Roman" w:cs="Times New Roman"/>
                <w:sz w:val="14"/>
                <w:szCs w:val="14"/>
                <w:lang w:eastAsia="sk-SK"/>
              </w:rPr>
            </w:pPr>
          </w:p>
        </w:tc>
        <w:tc>
          <w:tcPr>
            <w:tcW w:w="452" w:type="pct"/>
            <w:tcBorders>
              <w:top w:val="nil"/>
              <w:left w:val="nil"/>
              <w:bottom w:val="nil"/>
              <w:right w:val="nil"/>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p>
        </w:tc>
        <w:tc>
          <w:tcPr>
            <w:tcW w:w="411" w:type="pct"/>
            <w:tcBorders>
              <w:top w:val="nil"/>
              <w:left w:val="nil"/>
              <w:bottom w:val="nil"/>
              <w:right w:val="nil"/>
            </w:tcBorders>
            <w:shd w:val="clear" w:color="000000" w:fill="FFFFFF"/>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 </w:t>
            </w:r>
          </w:p>
        </w:tc>
        <w:tc>
          <w:tcPr>
            <w:tcW w:w="411" w:type="pct"/>
            <w:tcBorders>
              <w:top w:val="nil"/>
              <w:left w:val="nil"/>
              <w:bottom w:val="nil"/>
              <w:right w:val="nil"/>
            </w:tcBorders>
            <w:shd w:val="clear" w:color="000000" w:fill="FFFFFF"/>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 </w:t>
            </w:r>
          </w:p>
        </w:tc>
        <w:tc>
          <w:tcPr>
            <w:tcW w:w="421" w:type="pct"/>
            <w:tcBorders>
              <w:top w:val="nil"/>
              <w:left w:val="nil"/>
              <w:bottom w:val="nil"/>
              <w:right w:val="nil"/>
            </w:tcBorders>
            <w:shd w:val="clear" w:color="000000" w:fill="FFFFFF"/>
            <w:vAlign w:val="bottom"/>
            <w:hideMark/>
          </w:tcPr>
          <w:p w:rsidR="003A497B" w:rsidRPr="008C483E" w:rsidRDefault="003A497B" w:rsidP="003E1809">
            <w:pPr>
              <w:jc w:val="right"/>
              <w:rPr>
                <w:rFonts w:ascii="Times New Roman" w:hAnsi="Times New Roman" w:cs="Times New Roman"/>
                <w:color w:val="FF0000"/>
                <w:sz w:val="14"/>
                <w:szCs w:val="14"/>
                <w:lang w:eastAsia="sk-SK"/>
              </w:rPr>
            </w:pPr>
            <w:r w:rsidRPr="008C483E">
              <w:rPr>
                <w:rFonts w:ascii="Times New Roman" w:hAnsi="Times New Roman" w:cs="Times New Roman"/>
                <w:color w:val="FF0000"/>
                <w:sz w:val="14"/>
                <w:szCs w:val="14"/>
                <w:lang w:eastAsia="sk-SK"/>
              </w:rPr>
              <w:t> </w:t>
            </w:r>
          </w:p>
        </w:tc>
        <w:tc>
          <w:tcPr>
            <w:tcW w:w="421" w:type="pct"/>
            <w:tcBorders>
              <w:top w:val="nil"/>
              <w:left w:val="nil"/>
              <w:bottom w:val="nil"/>
              <w:right w:val="nil"/>
            </w:tcBorders>
            <w:shd w:val="clear" w:color="000000" w:fill="FFFFFF"/>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 </w:t>
            </w:r>
          </w:p>
        </w:tc>
        <w:tc>
          <w:tcPr>
            <w:tcW w:w="421" w:type="pct"/>
            <w:tcBorders>
              <w:top w:val="nil"/>
              <w:left w:val="nil"/>
              <w:bottom w:val="nil"/>
              <w:right w:val="nil"/>
            </w:tcBorders>
            <w:shd w:val="clear" w:color="000000" w:fill="FFFFFF"/>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 </w:t>
            </w:r>
          </w:p>
        </w:tc>
        <w:tc>
          <w:tcPr>
            <w:tcW w:w="503" w:type="pct"/>
            <w:tcBorders>
              <w:top w:val="nil"/>
              <w:left w:val="nil"/>
              <w:bottom w:val="nil"/>
              <w:right w:val="nil"/>
            </w:tcBorders>
            <w:shd w:val="clear" w:color="000000" w:fill="FFFFFF"/>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 </w:t>
            </w:r>
          </w:p>
        </w:tc>
      </w:tr>
      <w:tr w:rsidR="003A497B" w:rsidRPr="0005330D" w:rsidTr="003E1809">
        <w:trPr>
          <w:trHeight w:hRule="exact" w:val="255"/>
        </w:trPr>
        <w:tc>
          <w:tcPr>
            <w:tcW w:w="196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A497B" w:rsidRPr="008C483E" w:rsidRDefault="003A497B" w:rsidP="003E1809">
            <w:pPr>
              <w:rPr>
                <w:rFonts w:ascii="Times New Roman" w:hAnsi="Times New Roman" w:cs="Times New Roman"/>
                <w:b/>
                <w:bCs/>
                <w:sz w:val="14"/>
                <w:szCs w:val="14"/>
                <w:lang w:eastAsia="sk-SK"/>
              </w:rPr>
            </w:pPr>
            <w:r w:rsidRPr="008C483E">
              <w:rPr>
                <w:rFonts w:ascii="Times New Roman" w:hAnsi="Times New Roman" w:cs="Times New Roman"/>
                <w:b/>
                <w:bCs/>
                <w:sz w:val="14"/>
                <w:szCs w:val="14"/>
                <w:lang w:eastAsia="sk-SK"/>
              </w:rPr>
              <w:t>Samostatné účty</w:t>
            </w:r>
          </w:p>
        </w:tc>
        <w:tc>
          <w:tcPr>
            <w:tcW w:w="452" w:type="pct"/>
            <w:tcBorders>
              <w:top w:val="single" w:sz="4" w:space="0" w:color="auto"/>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b/>
                <w:bCs/>
                <w:sz w:val="14"/>
                <w:szCs w:val="14"/>
                <w:lang w:eastAsia="sk-SK"/>
              </w:rPr>
            </w:pPr>
            <w:r w:rsidRPr="008C483E">
              <w:rPr>
                <w:rFonts w:ascii="Times New Roman" w:hAnsi="Times New Roman" w:cs="Times New Roman"/>
                <w:b/>
                <w:bCs/>
                <w:sz w:val="14"/>
                <w:szCs w:val="14"/>
                <w:lang w:eastAsia="sk-SK"/>
              </w:rPr>
              <w:t>5 104 607</w:t>
            </w:r>
          </w:p>
        </w:tc>
        <w:tc>
          <w:tcPr>
            <w:tcW w:w="411" w:type="pct"/>
            <w:tcBorders>
              <w:top w:val="single" w:sz="4" w:space="0" w:color="auto"/>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b/>
                <w:bCs/>
                <w:sz w:val="14"/>
                <w:szCs w:val="14"/>
                <w:lang w:eastAsia="sk-SK"/>
              </w:rPr>
            </w:pPr>
            <w:r w:rsidRPr="008C483E">
              <w:rPr>
                <w:rFonts w:ascii="Times New Roman" w:hAnsi="Times New Roman" w:cs="Times New Roman"/>
                <w:b/>
                <w:bCs/>
                <w:sz w:val="14"/>
                <w:szCs w:val="14"/>
                <w:lang w:eastAsia="sk-SK"/>
              </w:rPr>
              <w:t>5 338 588</w:t>
            </w:r>
          </w:p>
        </w:tc>
        <w:tc>
          <w:tcPr>
            <w:tcW w:w="411" w:type="pct"/>
            <w:tcBorders>
              <w:top w:val="single" w:sz="4" w:space="0" w:color="auto"/>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0</w:t>
            </w:r>
          </w:p>
        </w:tc>
        <w:tc>
          <w:tcPr>
            <w:tcW w:w="421" w:type="pct"/>
            <w:tcBorders>
              <w:top w:val="single" w:sz="4" w:space="0" w:color="auto"/>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0</w:t>
            </w:r>
          </w:p>
        </w:tc>
        <w:tc>
          <w:tcPr>
            <w:tcW w:w="421" w:type="pct"/>
            <w:tcBorders>
              <w:top w:val="single" w:sz="4" w:space="0" w:color="auto"/>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b/>
                <w:bCs/>
                <w:sz w:val="14"/>
                <w:szCs w:val="14"/>
                <w:lang w:eastAsia="sk-SK"/>
              </w:rPr>
            </w:pPr>
            <w:r w:rsidRPr="008C483E">
              <w:rPr>
                <w:rFonts w:ascii="Times New Roman" w:hAnsi="Times New Roman" w:cs="Times New Roman"/>
                <w:b/>
                <w:bCs/>
                <w:sz w:val="14"/>
                <w:szCs w:val="14"/>
                <w:lang w:eastAsia="sk-SK"/>
              </w:rPr>
              <w:t>0</w:t>
            </w:r>
          </w:p>
        </w:tc>
        <w:tc>
          <w:tcPr>
            <w:tcW w:w="421" w:type="pct"/>
            <w:tcBorders>
              <w:top w:val="single" w:sz="4" w:space="0" w:color="auto"/>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b/>
                <w:bCs/>
                <w:sz w:val="14"/>
                <w:szCs w:val="14"/>
                <w:lang w:eastAsia="sk-SK"/>
              </w:rPr>
            </w:pPr>
            <w:r w:rsidRPr="008C483E">
              <w:rPr>
                <w:rFonts w:ascii="Times New Roman" w:hAnsi="Times New Roman" w:cs="Times New Roman"/>
                <w:b/>
                <w:bCs/>
                <w:sz w:val="14"/>
                <w:szCs w:val="14"/>
                <w:lang w:eastAsia="sk-SK"/>
              </w:rPr>
              <w:t>0</w:t>
            </w:r>
          </w:p>
        </w:tc>
        <w:tc>
          <w:tcPr>
            <w:tcW w:w="503" w:type="pct"/>
            <w:tcBorders>
              <w:top w:val="single" w:sz="4" w:space="0" w:color="auto"/>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b/>
                <w:bCs/>
                <w:sz w:val="14"/>
                <w:szCs w:val="14"/>
                <w:lang w:eastAsia="sk-SK"/>
              </w:rPr>
            </w:pPr>
            <w:r w:rsidRPr="008C483E">
              <w:rPr>
                <w:rFonts w:ascii="Times New Roman" w:hAnsi="Times New Roman" w:cs="Times New Roman"/>
                <w:b/>
                <w:bCs/>
                <w:sz w:val="14"/>
                <w:szCs w:val="14"/>
                <w:lang w:eastAsia="sk-SK"/>
              </w:rPr>
              <w:t>0</w:t>
            </w:r>
          </w:p>
        </w:tc>
      </w:tr>
    </w:tbl>
    <w:p w:rsidR="003A497B" w:rsidRPr="0015253F" w:rsidRDefault="003A497B" w:rsidP="003A497B">
      <w:pPr>
        <w:jc w:val="both"/>
        <w:rPr>
          <w:rFonts w:ascii="Times New Roman" w:hAnsi="Times New Roman" w:cs="Times New Roman"/>
          <w:b/>
          <w:bCs/>
          <w:noProof/>
          <w:sz w:val="22"/>
          <w:szCs w:val="22"/>
          <w:lang w:eastAsia="sk-SK"/>
        </w:rPr>
      </w:pPr>
    </w:p>
    <w:p w:rsidR="003A497B" w:rsidRPr="0015253F" w:rsidRDefault="003A497B" w:rsidP="00EE1354">
      <w:pPr>
        <w:jc w:val="both"/>
        <w:rPr>
          <w:rFonts w:ascii="Times New Roman" w:hAnsi="Times New Roman" w:cs="Times New Roman"/>
          <w:bCs/>
          <w:noProof/>
          <w:lang w:eastAsia="sk-SK"/>
        </w:rPr>
      </w:pPr>
      <w:r w:rsidRPr="0015253F">
        <w:rPr>
          <w:rFonts w:ascii="Times New Roman" w:hAnsi="Times New Roman" w:cs="Times New Roman"/>
          <w:bCs/>
          <w:noProof/>
          <w:lang w:eastAsia="sk-SK"/>
        </w:rPr>
        <w:tab/>
        <w:t>Výdavky kapitoly Úradu priemyselného vlastníctva SR (dalej len „ÚPV SR“) sú na rok 201</w:t>
      </w:r>
      <w:r>
        <w:rPr>
          <w:rFonts w:ascii="Times New Roman" w:hAnsi="Times New Roman" w:cs="Times New Roman"/>
          <w:bCs/>
          <w:noProof/>
          <w:lang w:eastAsia="sk-SK"/>
        </w:rPr>
        <w:t>9</w:t>
      </w:r>
      <w:r w:rsidRPr="0015253F">
        <w:rPr>
          <w:rFonts w:ascii="Times New Roman" w:hAnsi="Times New Roman" w:cs="Times New Roman"/>
          <w:bCs/>
          <w:noProof/>
          <w:lang w:eastAsia="sk-SK"/>
        </w:rPr>
        <w:t xml:space="preserve"> rozpočtované v celkovej sume </w:t>
      </w:r>
      <w:r w:rsidRPr="00A80E13">
        <w:rPr>
          <w:rFonts w:ascii="Times New Roman" w:hAnsi="Times New Roman" w:cs="Times New Roman"/>
          <w:bCs/>
          <w:noProof/>
          <w:lang w:eastAsia="sk-SK"/>
        </w:rPr>
        <w:t>3,58</w:t>
      </w:r>
      <w:r w:rsidRPr="0015253F">
        <w:rPr>
          <w:rFonts w:ascii="Times New Roman" w:hAnsi="Times New Roman" w:cs="Times New Roman"/>
          <w:bCs/>
          <w:noProof/>
          <w:lang w:eastAsia="sk-SK"/>
        </w:rPr>
        <w:t xml:space="preserve"> mil. eur. V porovnaní so schváleným rozpočtom na rok 201</w:t>
      </w:r>
      <w:r>
        <w:rPr>
          <w:rFonts w:ascii="Times New Roman" w:hAnsi="Times New Roman" w:cs="Times New Roman"/>
          <w:bCs/>
          <w:noProof/>
          <w:lang w:eastAsia="sk-SK"/>
        </w:rPr>
        <w:t>8</w:t>
      </w:r>
      <w:r w:rsidRPr="0015253F">
        <w:rPr>
          <w:rFonts w:ascii="Times New Roman" w:hAnsi="Times New Roman" w:cs="Times New Roman"/>
          <w:bCs/>
          <w:noProof/>
          <w:lang w:eastAsia="sk-SK"/>
        </w:rPr>
        <w:t xml:space="preserve"> </w:t>
      </w:r>
      <w:r w:rsidRPr="00A80E13">
        <w:rPr>
          <w:rFonts w:ascii="Times New Roman" w:hAnsi="Times New Roman" w:cs="Times New Roman"/>
          <w:bCs/>
          <w:noProof/>
          <w:lang w:eastAsia="sk-SK"/>
        </w:rPr>
        <w:t>rastú o 137 tis. eur, t. j. o 3,99 %,</w:t>
      </w:r>
      <w:r w:rsidRPr="0015253F">
        <w:rPr>
          <w:rFonts w:ascii="Times New Roman" w:hAnsi="Times New Roman" w:cs="Times New Roman"/>
          <w:bCs/>
          <w:noProof/>
          <w:lang w:eastAsia="sk-SK"/>
        </w:rPr>
        <w:t xml:space="preserve"> z dôvodu rastu bežných a</w:t>
      </w:r>
      <w:r>
        <w:rPr>
          <w:rFonts w:ascii="Times New Roman" w:hAnsi="Times New Roman" w:cs="Times New Roman"/>
          <w:bCs/>
          <w:noProof/>
          <w:lang w:eastAsia="sk-SK"/>
        </w:rPr>
        <w:t>j</w:t>
      </w:r>
      <w:r w:rsidRPr="0015253F">
        <w:rPr>
          <w:rFonts w:ascii="Times New Roman" w:hAnsi="Times New Roman" w:cs="Times New Roman"/>
          <w:bCs/>
          <w:noProof/>
          <w:lang w:eastAsia="sk-SK"/>
        </w:rPr>
        <w:t xml:space="preserve"> kapitálových výdavkov. </w:t>
      </w:r>
    </w:p>
    <w:p w:rsidR="003A497B" w:rsidRPr="0015253F" w:rsidRDefault="003A497B" w:rsidP="003A497B">
      <w:pPr>
        <w:jc w:val="both"/>
        <w:rPr>
          <w:rFonts w:ascii="Times New Roman" w:hAnsi="Times New Roman" w:cs="Times New Roman"/>
          <w:lang w:eastAsia="sk-SK"/>
        </w:rPr>
      </w:pPr>
    </w:p>
    <w:p w:rsidR="003A497B" w:rsidRDefault="003A497B" w:rsidP="003A497B">
      <w:pPr>
        <w:jc w:val="both"/>
        <w:rPr>
          <w:rFonts w:ascii="Times New Roman" w:hAnsi="Times New Roman" w:cs="Times New Roman"/>
          <w:lang w:eastAsia="sk-SK"/>
        </w:rPr>
      </w:pPr>
      <w:r w:rsidRPr="0015253F">
        <w:rPr>
          <w:rFonts w:ascii="Times New Roman" w:hAnsi="Times New Roman" w:cs="Times New Roman"/>
          <w:lang w:eastAsia="sk-SK"/>
        </w:rPr>
        <w:tab/>
        <w:t xml:space="preserve">Osobné výdavky v sume </w:t>
      </w:r>
      <w:r>
        <w:rPr>
          <w:rFonts w:ascii="Times New Roman" w:hAnsi="Times New Roman" w:cs="Times New Roman"/>
          <w:lang w:eastAsia="sk-SK"/>
        </w:rPr>
        <w:t>2,59</w:t>
      </w:r>
      <w:r w:rsidRPr="0015253F">
        <w:rPr>
          <w:rFonts w:ascii="Times New Roman" w:hAnsi="Times New Roman" w:cs="Times New Roman"/>
          <w:lang w:eastAsia="sk-SK"/>
        </w:rPr>
        <w:t xml:space="preserve"> mil. eur medziročne rastú o</w:t>
      </w:r>
      <w:r>
        <w:rPr>
          <w:rFonts w:ascii="Times New Roman" w:hAnsi="Times New Roman" w:cs="Times New Roman"/>
          <w:lang w:eastAsia="sk-SK"/>
        </w:rPr>
        <w:t xml:space="preserve"> 102 tis. eur, čo predstavuje 4,12 %. Vývoj osobných výdavkov ovplyvnilo najmä </w:t>
      </w:r>
      <w:r w:rsidRPr="001972CA">
        <w:rPr>
          <w:rFonts w:ascii="Times New Roman" w:hAnsi="Times New Roman" w:cs="Times New Roman"/>
          <w:lang w:eastAsia="sk-SK"/>
        </w:rPr>
        <w:t>premietnutie valorizácie</w:t>
      </w:r>
      <w:r>
        <w:rPr>
          <w:rFonts w:ascii="Times New Roman" w:hAnsi="Times New Roman" w:cs="Times New Roman"/>
          <w:lang w:eastAsia="sk-SK"/>
        </w:rPr>
        <w:t xml:space="preserve"> </w:t>
      </w:r>
      <w:r w:rsidRPr="0015253F">
        <w:rPr>
          <w:rFonts w:ascii="Times New Roman" w:hAnsi="Times New Roman" w:cs="Times New Roman"/>
          <w:lang w:eastAsia="sk-SK"/>
        </w:rPr>
        <w:t>platov zamestnancov z roku 201</w:t>
      </w:r>
      <w:r>
        <w:rPr>
          <w:rFonts w:ascii="Times New Roman" w:hAnsi="Times New Roman" w:cs="Times New Roman"/>
          <w:lang w:eastAsia="sk-SK"/>
        </w:rPr>
        <w:t>8</w:t>
      </w:r>
      <w:r w:rsidRPr="003B2AE3">
        <w:t xml:space="preserve"> </w:t>
      </w:r>
      <w:r w:rsidRPr="003B2AE3">
        <w:rPr>
          <w:rFonts w:ascii="Times New Roman" w:hAnsi="Times New Roman" w:cs="Times New Roman"/>
          <w:lang w:eastAsia="sk-SK"/>
        </w:rPr>
        <w:t>do nasledujúcich rokov</w:t>
      </w:r>
      <w:r>
        <w:rPr>
          <w:rFonts w:ascii="Times New Roman" w:hAnsi="Times New Roman" w:cs="Times New Roman"/>
          <w:lang w:eastAsia="sk-SK"/>
        </w:rPr>
        <w:t>.</w:t>
      </w:r>
    </w:p>
    <w:p w:rsidR="003A497B" w:rsidRDefault="003A497B" w:rsidP="003A497B">
      <w:pPr>
        <w:jc w:val="both"/>
        <w:rPr>
          <w:rFonts w:ascii="Times New Roman" w:hAnsi="Times New Roman" w:cs="Times New Roman"/>
          <w:lang w:eastAsia="sk-SK"/>
        </w:rPr>
      </w:pPr>
    </w:p>
    <w:p w:rsidR="003A497B" w:rsidRDefault="003A497B" w:rsidP="003A497B">
      <w:pPr>
        <w:jc w:val="both"/>
        <w:rPr>
          <w:rFonts w:ascii="Times New Roman" w:hAnsi="Times New Roman" w:cs="Times New Roman"/>
          <w:lang w:eastAsia="sk-SK"/>
        </w:rPr>
      </w:pPr>
      <w:r w:rsidRPr="0015253F">
        <w:rPr>
          <w:rFonts w:ascii="Times New Roman" w:hAnsi="Times New Roman" w:cs="Times New Roman"/>
          <w:lang w:eastAsia="sk-SK"/>
        </w:rPr>
        <w:tab/>
      </w:r>
      <w:r w:rsidRPr="00A80E13">
        <w:rPr>
          <w:rFonts w:ascii="Times New Roman" w:hAnsi="Times New Roman" w:cs="Times New Roman"/>
          <w:lang w:eastAsia="sk-SK"/>
        </w:rPr>
        <w:t>Výdavky na tovary a služby v sume 768 tis. eur medziročne rastú o 12,8 tis. eur, čo predstavuje 1,69 %</w:t>
      </w:r>
      <w:r>
        <w:rPr>
          <w:rFonts w:ascii="Times New Roman" w:hAnsi="Times New Roman" w:cs="Times New Roman"/>
          <w:lang w:eastAsia="sk-SK"/>
        </w:rPr>
        <w:t xml:space="preserve">, z dôvodu ich zvýšenia </w:t>
      </w:r>
      <w:r w:rsidRPr="00A80E13">
        <w:rPr>
          <w:rFonts w:ascii="Times New Roman" w:hAnsi="Times New Roman" w:cs="Times New Roman"/>
          <w:lang w:eastAsia="sk-SK"/>
        </w:rPr>
        <w:t xml:space="preserve">na ťarchu </w:t>
      </w:r>
      <w:r>
        <w:rPr>
          <w:rFonts w:ascii="Times New Roman" w:hAnsi="Times New Roman" w:cs="Times New Roman"/>
          <w:lang w:eastAsia="sk-SK"/>
        </w:rPr>
        <w:t xml:space="preserve">výdavkov na </w:t>
      </w:r>
      <w:r w:rsidRPr="00A80E13">
        <w:rPr>
          <w:rFonts w:ascii="Times New Roman" w:hAnsi="Times New Roman" w:cs="Times New Roman"/>
          <w:lang w:eastAsia="sk-SK"/>
        </w:rPr>
        <w:t>poistné</w:t>
      </w:r>
      <w:r>
        <w:rPr>
          <w:rFonts w:ascii="Times New Roman" w:hAnsi="Times New Roman" w:cs="Times New Roman"/>
          <w:lang w:eastAsia="sk-SK"/>
        </w:rPr>
        <w:t>, na základe rozhodnutia ÚPV SR.</w:t>
      </w:r>
    </w:p>
    <w:p w:rsidR="003A497B" w:rsidRPr="0015253F" w:rsidRDefault="003A497B" w:rsidP="003A497B">
      <w:pPr>
        <w:jc w:val="both"/>
        <w:rPr>
          <w:rFonts w:ascii="Times New Roman" w:hAnsi="Times New Roman" w:cs="Times New Roman"/>
          <w:lang w:eastAsia="sk-SK"/>
        </w:rPr>
      </w:pPr>
    </w:p>
    <w:p w:rsidR="003A497B" w:rsidRPr="0015253F" w:rsidRDefault="003A497B" w:rsidP="003A497B">
      <w:pPr>
        <w:jc w:val="both"/>
        <w:rPr>
          <w:rFonts w:ascii="Times New Roman" w:hAnsi="Times New Roman" w:cs="Times New Roman"/>
          <w:noProof/>
          <w:color w:val="000000"/>
          <w:lang w:eastAsia="sk-SK"/>
        </w:rPr>
      </w:pPr>
      <w:r w:rsidRPr="0015253F">
        <w:rPr>
          <w:rFonts w:ascii="Times New Roman" w:hAnsi="Times New Roman" w:cs="Times New Roman"/>
          <w:lang w:eastAsia="sk-SK"/>
        </w:rPr>
        <w:tab/>
      </w:r>
      <w:r w:rsidRPr="00A80E13">
        <w:rPr>
          <w:rFonts w:ascii="Times New Roman" w:hAnsi="Times New Roman" w:cs="Times New Roman"/>
          <w:lang w:eastAsia="sk-SK"/>
        </w:rPr>
        <w:t>Bežné transfery rozpočtované na rok 2019 v sume 143 tis. eur predstavujú úroveň schváleného rozpočtu na rok 201</w:t>
      </w:r>
      <w:r>
        <w:rPr>
          <w:rFonts w:ascii="Times New Roman" w:hAnsi="Times New Roman" w:cs="Times New Roman"/>
          <w:lang w:eastAsia="sk-SK"/>
        </w:rPr>
        <w:t>8</w:t>
      </w:r>
      <w:r w:rsidRPr="00A80E13">
        <w:rPr>
          <w:rFonts w:ascii="Times New Roman" w:hAnsi="Times New Roman" w:cs="Times New Roman"/>
          <w:lang w:eastAsia="sk-SK"/>
        </w:rPr>
        <w:t>.</w:t>
      </w:r>
      <w:r w:rsidRPr="0015253F">
        <w:rPr>
          <w:rFonts w:ascii="Times New Roman" w:hAnsi="Times New Roman" w:cs="Times New Roman"/>
          <w:noProof/>
          <w:color w:val="000000"/>
          <w:lang w:eastAsia="sk-SK"/>
        </w:rPr>
        <w:t xml:space="preserve"> </w:t>
      </w:r>
    </w:p>
    <w:p w:rsidR="003A497B" w:rsidRPr="0015253F" w:rsidRDefault="003A497B" w:rsidP="003A497B">
      <w:pPr>
        <w:jc w:val="both"/>
        <w:rPr>
          <w:rFonts w:ascii="Times New Roman" w:hAnsi="Times New Roman" w:cs="Times New Roman"/>
          <w:noProof/>
          <w:color w:val="000000"/>
          <w:lang w:eastAsia="sk-SK"/>
        </w:rPr>
      </w:pPr>
    </w:p>
    <w:p w:rsidR="003A497B" w:rsidRPr="0015253F" w:rsidRDefault="003A497B" w:rsidP="003A497B">
      <w:pPr>
        <w:ind w:firstLine="708"/>
        <w:jc w:val="both"/>
        <w:rPr>
          <w:rFonts w:ascii="Times New Roman" w:hAnsi="Times New Roman" w:cs="Times New Roman"/>
          <w:lang w:eastAsia="sk-SK"/>
        </w:rPr>
      </w:pPr>
      <w:r w:rsidRPr="00A80E13">
        <w:rPr>
          <w:rFonts w:ascii="Times New Roman" w:hAnsi="Times New Roman" w:cs="Times New Roman"/>
          <w:lang w:eastAsia="sk-SK"/>
        </w:rPr>
        <w:t>Kapitálové výdavky na rok 201</w:t>
      </w:r>
      <w:r>
        <w:rPr>
          <w:rFonts w:ascii="Times New Roman" w:hAnsi="Times New Roman" w:cs="Times New Roman"/>
          <w:lang w:eastAsia="sk-SK"/>
        </w:rPr>
        <w:t>9</w:t>
      </w:r>
      <w:r w:rsidRPr="00A80E13">
        <w:rPr>
          <w:rFonts w:ascii="Times New Roman" w:hAnsi="Times New Roman" w:cs="Times New Roman"/>
          <w:lang w:eastAsia="sk-SK"/>
        </w:rPr>
        <w:t xml:space="preserve"> v sume 80,0 tis. eur v porovnaní so schváleným ro</w:t>
      </w:r>
      <w:r>
        <w:rPr>
          <w:rFonts w:ascii="Times New Roman" w:hAnsi="Times New Roman" w:cs="Times New Roman"/>
          <w:lang w:eastAsia="sk-SK"/>
        </w:rPr>
        <w:t>zpočtom na rok 2018 rastú o 22,1</w:t>
      </w:r>
      <w:r w:rsidRPr="00A80E13">
        <w:rPr>
          <w:rFonts w:ascii="Times New Roman" w:hAnsi="Times New Roman" w:cs="Times New Roman"/>
          <w:lang w:eastAsia="sk-SK"/>
        </w:rPr>
        <w:t xml:space="preserve"> tis. eur, čo predstavuje 38,1 %, z dôvodu nevyhnutnej výmeny</w:t>
      </w:r>
      <w:r>
        <w:rPr>
          <w:rFonts w:ascii="Times New Roman" w:hAnsi="Times New Roman" w:cs="Times New Roman"/>
          <w:lang w:eastAsia="sk-SK"/>
        </w:rPr>
        <w:t xml:space="preserve"> nehospodárneho, </w:t>
      </w:r>
      <w:r w:rsidRPr="00A80E13">
        <w:rPr>
          <w:rFonts w:ascii="Times New Roman" w:hAnsi="Times New Roman" w:cs="Times New Roman"/>
          <w:lang w:eastAsia="sk-SK"/>
        </w:rPr>
        <w:t>zastaralého služobného vozidla</w:t>
      </w:r>
      <w:r>
        <w:rPr>
          <w:rFonts w:ascii="Times New Roman" w:hAnsi="Times New Roman" w:cs="Times New Roman"/>
          <w:lang w:eastAsia="sk-SK"/>
        </w:rPr>
        <w:t>.</w:t>
      </w:r>
    </w:p>
    <w:p w:rsidR="003A497B" w:rsidRPr="00912A7B" w:rsidRDefault="003A497B" w:rsidP="003A497B">
      <w:pPr>
        <w:pStyle w:val="Nadpis5"/>
        <w:pBdr>
          <w:bottom w:val="single" w:sz="4" w:space="1" w:color="auto"/>
        </w:pBdr>
        <w:ind w:left="0"/>
        <w:rPr>
          <w:i w:val="0"/>
          <w:sz w:val="24"/>
          <w:lang w:eastAsia="sk-SK"/>
        </w:rPr>
      </w:pPr>
      <w:bookmarkStart w:id="285" w:name="_Toc526267720"/>
      <w:r w:rsidRPr="00912A7B">
        <w:rPr>
          <w:i w:val="0"/>
          <w:sz w:val="24"/>
          <w:lang w:eastAsia="sk-SK"/>
        </w:rPr>
        <w:t>Úrad pre normalizáciu, metrológiu a skúšobníctvo SR</w:t>
      </w:r>
      <w:bookmarkEnd w:id="282"/>
      <w:bookmarkEnd w:id="283"/>
      <w:bookmarkEnd w:id="284"/>
      <w:bookmarkEnd w:id="285"/>
      <w:r w:rsidRPr="00912A7B">
        <w:rPr>
          <w:i w:val="0"/>
          <w:sz w:val="24"/>
          <w:lang w:eastAsia="sk-SK"/>
        </w:rPr>
        <w:t xml:space="preserve"> </w:t>
      </w:r>
      <w:bookmarkStart w:id="286" w:name="_Toc108849140"/>
      <w:bookmarkEnd w:id="286"/>
    </w:p>
    <w:p w:rsidR="003A497B" w:rsidRPr="004A3627" w:rsidRDefault="003A497B" w:rsidP="003A497B">
      <w:pPr>
        <w:rPr>
          <w:highlight w:val="yellow"/>
          <w:lang w:eastAsia="sk-SK"/>
        </w:rPr>
      </w:pPr>
    </w:p>
    <w:tbl>
      <w:tblPr>
        <w:tblW w:w="5000" w:type="pct"/>
        <w:tblCellMar>
          <w:left w:w="70" w:type="dxa"/>
          <w:right w:w="70" w:type="dxa"/>
        </w:tblCellMar>
        <w:tblLook w:val="04A0" w:firstRow="1" w:lastRow="0" w:firstColumn="1" w:lastColumn="0" w:noHBand="0" w:noVBand="1"/>
      </w:tblPr>
      <w:tblGrid>
        <w:gridCol w:w="2444"/>
        <w:gridCol w:w="946"/>
        <w:gridCol w:w="946"/>
        <w:gridCol w:w="946"/>
        <w:gridCol w:w="946"/>
        <w:gridCol w:w="946"/>
        <w:gridCol w:w="946"/>
        <w:gridCol w:w="942"/>
      </w:tblGrid>
      <w:tr w:rsidR="003A497B" w:rsidRPr="008D4B5C" w:rsidTr="003E1809">
        <w:trPr>
          <w:trHeight w:val="255"/>
        </w:trPr>
        <w:tc>
          <w:tcPr>
            <w:tcW w:w="1348"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8D4B5C" w:rsidRDefault="003A497B" w:rsidP="003E1809">
            <w:pPr>
              <w:rPr>
                <w:rFonts w:ascii="Times New Roman" w:hAnsi="Times New Roman" w:cs="Times New Roman"/>
                <w:b/>
                <w:bCs/>
                <w:color w:val="000000"/>
                <w:sz w:val="14"/>
                <w:szCs w:val="14"/>
                <w:lang w:eastAsia="sk-SK"/>
              </w:rPr>
            </w:pPr>
            <w:r w:rsidRPr="008D4B5C">
              <w:rPr>
                <w:rFonts w:ascii="Times New Roman" w:hAnsi="Times New Roman" w:cs="Times New Roman"/>
                <w:b/>
                <w:bCs/>
                <w:color w:val="000000"/>
                <w:sz w:val="14"/>
                <w:szCs w:val="14"/>
                <w:lang w:eastAsia="sk-SK"/>
              </w:rPr>
              <w:t>v eurách</w:t>
            </w:r>
          </w:p>
        </w:tc>
        <w:tc>
          <w:tcPr>
            <w:tcW w:w="52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8D4B5C" w:rsidRDefault="003A497B" w:rsidP="003E1809">
            <w:pPr>
              <w:jc w:val="center"/>
              <w:rPr>
                <w:rFonts w:ascii="Times New Roman" w:hAnsi="Times New Roman" w:cs="Times New Roman"/>
                <w:b/>
                <w:bCs/>
                <w:color w:val="000000"/>
                <w:sz w:val="14"/>
                <w:szCs w:val="14"/>
                <w:lang w:eastAsia="sk-SK"/>
              </w:rPr>
            </w:pPr>
            <w:r w:rsidRPr="008D4B5C">
              <w:rPr>
                <w:rFonts w:ascii="Times New Roman" w:hAnsi="Times New Roman" w:cs="Times New Roman"/>
                <w:b/>
                <w:bCs/>
                <w:color w:val="000000"/>
                <w:sz w:val="14"/>
                <w:szCs w:val="14"/>
                <w:lang w:eastAsia="sk-SK"/>
              </w:rPr>
              <w:t>2016 S</w:t>
            </w:r>
          </w:p>
        </w:tc>
        <w:tc>
          <w:tcPr>
            <w:tcW w:w="52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8D4B5C" w:rsidRDefault="003A497B" w:rsidP="003E1809">
            <w:pPr>
              <w:jc w:val="center"/>
              <w:rPr>
                <w:rFonts w:ascii="Times New Roman" w:hAnsi="Times New Roman" w:cs="Times New Roman"/>
                <w:b/>
                <w:bCs/>
                <w:color w:val="000000"/>
                <w:sz w:val="14"/>
                <w:szCs w:val="14"/>
                <w:lang w:eastAsia="sk-SK"/>
              </w:rPr>
            </w:pPr>
            <w:r w:rsidRPr="008D4B5C">
              <w:rPr>
                <w:rFonts w:ascii="Times New Roman" w:hAnsi="Times New Roman" w:cs="Times New Roman"/>
                <w:b/>
                <w:bCs/>
                <w:color w:val="000000"/>
                <w:sz w:val="14"/>
                <w:szCs w:val="14"/>
                <w:lang w:eastAsia="sk-SK"/>
              </w:rPr>
              <w:t>2017 S</w:t>
            </w:r>
          </w:p>
        </w:tc>
        <w:tc>
          <w:tcPr>
            <w:tcW w:w="52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8D4B5C" w:rsidRDefault="003A497B" w:rsidP="003E1809">
            <w:pPr>
              <w:jc w:val="center"/>
              <w:rPr>
                <w:rFonts w:ascii="Times New Roman" w:hAnsi="Times New Roman" w:cs="Times New Roman"/>
                <w:b/>
                <w:bCs/>
                <w:color w:val="000000"/>
                <w:sz w:val="14"/>
                <w:szCs w:val="14"/>
                <w:lang w:eastAsia="sk-SK"/>
              </w:rPr>
            </w:pPr>
            <w:r w:rsidRPr="008D4B5C">
              <w:rPr>
                <w:rFonts w:ascii="Times New Roman" w:hAnsi="Times New Roman" w:cs="Times New Roman"/>
                <w:b/>
                <w:bCs/>
                <w:color w:val="000000"/>
                <w:sz w:val="14"/>
                <w:szCs w:val="14"/>
                <w:lang w:eastAsia="sk-SK"/>
              </w:rPr>
              <w:t>2018 R</w:t>
            </w:r>
          </w:p>
        </w:tc>
        <w:tc>
          <w:tcPr>
            <w:tcW w:w="52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8D4B5C" w:rsidRDefault="003A497B" w:rsidP="003E1809">
            <w:pPr>
              <w:jc w:val="center"/>
              <w:rPr>
                <w:rFonts w:ascii="Times New Roman" w:hAnsi="Times New Roman" w:cs="Times New Roman"/>
                <w:b/>
                <w:bCs/>
                <w:color w:val="000000"/>
                <w:sz w:val="14"/>
                <w:szCs w:val="14"/>
                <w:lang w:eastAsia="sk-SK"/>
              </w:rPr>
            </w:pPr>
            <w:r w:rsidRPr="008D4B5C">
              <w:rPr>
                <w:rFonts w:ascii="Times New Roman" w:hAnsi="Times New Roman" w:cs="Times New Roman"/>
                <w:b/>
                <w:bCs/>
                <w:color w:val="000000"/>
                <w:sz w:val="14"/>
                <w:szCs w:val="14"/>
                <w:lang w:eastAsia="sk-SK"/>
              </w:rPr>
              <w:t>2018 OS</w:t>
            </w:r>
          </w:p>
        </w:tc>
        <w:tc>
          <w:tcPr>
            <w:tcW w:w="52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8D4B5C" w:rsidRDefault="003A497B" w:rsidP="003E1809">
            <w:pPr>
              <w:jc w:val="center"/>
              <w:rPr>
                <w:rFonts w:ascii="Times New Roman" w:hAnsi="Times New Roman" w:cs="Times New Roman"/>
                <w:b/>
                <w:bCs/>
                <w:color w:val="000000"/>
                <w:sz w:val="14"/>
                <w:szCs w:val="14"/>
                <w:lang w:eastAsia="sk-SK"/>
              </w:rPr>
            </w:pPr>
            <w:r w:rsidRPr="008D4B5C">
              <w:rPr>
                <w:rFonts w:ascii="Times New Roman" w:hAnsi="Times New Roman" w:cs="Times New Roman"/>
                <w:b/>
                <w:bCs/>
                <w:color w:val="000000"/>
                <w:sz w:val="14"/>
                <w:szCs w:val="14"/>
                <w:lang w:eastAsia="sk-SK"/>
              </w:rPr>
              <w:t>2019 N</w:t>
            </w:r>
          </w:p>
        </w:tc>
        <w:tc>
          <w:tcPr>
            <w:tcW w:w="522"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8D4B5C" w:rsidRDefault="003A497B" w:rsidP="003E1809">
            <w:pPr>
              <w:jc w:val="center"/>
              <w:rPr>
                <w:rFonts w:ascii="Times New Roman" w:hAnsi="Times New Roman" w:cs="Times New Roman"/>
                <w:b/>
                <w:bCs/>
                <w:color w:val="000000"/>
                <w:sz w:val="14"/>
                <w:szCs w:val="14"/>
                <w:lang w:eastAsia="sk-SK"/>
              </w:rPr>
            </w:pPr>
            <w:r w:rsidRPr="008D4B5C">
              <w:rPr>
                <w:rFonts w:ascii="Times New Roman" w:hAnsi="Times New Roman" w:cs="Times New Roman"/>
                <w:b/>
                <w:bCs/>
                <w:color w:val="000000"/>
                <w:sz w:val="14"/>
                <w:szCs w:val="14"/>
                <w:lang w:eastAsia="sk-SK"/>
              </w:rPr>
              <w:t>2020 N</w:t>
            </w:r>
          </w:p>
        </w:tc>
        <w:tc>
          <w:tcPr>
            <w:tcW w:w="520"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8D4B5C" w:rsidRDefault="003A497B" w:rsidP="003E1809">
            <w:pPr>
              <w:jc w:val="center"/>
              <w:rPr>
                <w:rFonts w:ascii="Times New Roman" w:hAnsi="Times New Roman" w:cs="Times New Roman"/>
                <w:b/>
                <w:bCs/>
                <w:color w:val="000000"/>
                <w:sz w:val="14"/>
                <w:szCs w:val="14"/>
                <w:lang w:eastAsia="sk-SK"/>
              </w:rPr>
            </w:pPr>
            <w:r w:rsidRPr="008D4B5C">
              <w:rPr>
                <w:rFonts w:ascii="Times New Roman" w:hAnsi="Times New Roman" w:cs="Times New Roman"/>
                <w:b/>
                <w:bCs/>
                <w:color w:val="000000"/>
                <w:sz w:val="14"/>
                <w:szCs w:val="14"/>
                <w:lang w:eastAsia="sk-SK"/>
              </w:rPr>
              <w:t>2021 N</w:t>
            </w:r>
          </w:p>
        </w:tc>
      </w:tr>
      <w:tr w:rsidR="003A497B" w:rsidRPr="008D4B5C" w:rsidTr="003E1809">
        <w:trPr>
          <w:trHeight w:val="255"/>
        </w:trPr>
        <w:tc>
          <w:tcPr>
            <w:tcW w:w="1348"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8D4B5C" w:rsidRDefault="003A497B" w:rsidP="003E1809">
            <w:pPr>
              <w:rPr>
                <w:rFonts w:ascii="Times New Roman" w:hAnsi="Times New Roman" w:cs="Times New Roman"/>
                <w:b/>
                <w:bCs/>
                <w:color w:val="000000"/>
                <w:sz w:val="14"/>
                <w:szCs w:val="14"/>
                <w:lang w:eastAsia="sk-SK"/>
              </w:rPr>
            </w:pPr>
            <w:r w:rsidRPr="008D4B5C">
              <w:rPr>
                <w:rFonts w:ascii="Times New Roman" w:hAnsi="Times New Roman" w:cs="Times New Roman"/>
                <w:b/>
                <w:bCs/>
                <w:color w:val="000000"/>
                <w:sz w:val="14"/>
                <w:szCs w:val="14"/>
                <w:lang w:eastAsia="sk-SK"/>
              </w:rPr>
              <w:t xml:space="preserve">Zdroje príslušnej kapitoly  </w:t>
            </w:r>
          </w:p>
        </w:tc>
        <w:tc>
          <w:tcPr>
            <w:tcW w:w="522" w:type="pct"/>
            <w:tcBorders>
              <w:top w:val="nil"/>
              <w:left w:val="nil"/>
              <w:bottom w:val="single" w:sz="4" w:space="0" w:color="auto"/>
              <w:right w:val="single" w:sz="4" w:space="0" w:color="auto"/>
            </w:tcBorders>
            <w:shd w:val="clear" w:color="000000" w:fill="BFBFBF"/>
            <w:noWrap/>
            <w:vAlign w:val="bottom"/>
            <w:hideMark/>
          </w:tcPr>
          <w:p w:rsidR="003A497B" w:rsidRPr="008D4B5C" w:rsidRDefault="003A497B" w:rsidP="003E1809">
            <w:pPr>
              <w:jc w:val="right"/>
              <w:rPr>
                <w:rFonts w:ascii="Times New Roman" w:hAnsi="Times New Roman" w:cs="Times New Roman"/>
                <w:b/>
                <w:bCs/>
                <w:color w:val="000000"/>
                <w:sz w:val="14"/>
                <w:szCs w:val="14"/>
                <w:lang w:eastAsia="sk-SK"/>
              </w:rPr>
            </w:pPr>
            <w:r w:rsidRPr="008D4B5C">
              <w:rPr>
                <w:rFonts w:ascii="Times New Roman" w:hAnsi="Times New Roman" w:cs="Times New Roman"/>
                <w:b/>
                <w:bCs/>
                <w:color w:val="000000"/>
                <w:sz w:val="14"/>
                <w:szCs w:val="14"/>
                <w:lang w:eastAsia="sk-SK"/>
              </w:rPr>
              <w:t>4 404 450</w:t>
            </w:r>
          </w:p>
        </w:tc>
        <w:tc>
          <w:tcPr>
            <w:tcW w:w="522" w:type="pct"/>
            <w:tcBorders>
              <w:top w:val="nil"/>
              <w:left w:val="nil"/>
              <w:bottom w:val="single" w:sz="4" w:space="0" w:color="auto"/>
              <w:right w:val="single" w:sz="4" w:space="0" w:color="auto"/>
            </w:tcBorders>
            <w:shd w:val="clear" w:color="000000" w:fill="BFBFBF"/>
            <w:noWrap/>
            <w:vAlign w:val="bottom"/>
            <w:hideMark/>
          </w:tcPr>
          <w:p w:rsidR="003A497B" w:rsidRPr="008D4B5C" w:rsidRDefault="003A497B" w:rsidP="003E1809">
            <w:pPr>
              <w:jc w:val="right"/>
              <w:rPr>
                <w:rFonts w:ascii="Times New Roman" w:hAnsi="Times New Roman" w:cs="Times New Roman"/>
                <w:b/>
                <w:bCs/>
                <w:color w:val="000000"/>
                <w:sz w:val="14"/>
                <w:szCs w:val="14"/>
                <w:lang w:eastAsia="sk-SK"/>
              </w:rPr>
            </w:pPr>
            <w:r w:rsidRPr="008D4B5C">
              <w:rPr>
                <w:rFonts w:ascii="Times New Roman" w:hAnsi="Times New Roman" w:cs="Times New Roman"/>
                <w:b/>
                <w:bCs/>
                <w:color w:val="000000"/>
                <w:sz w:val="14"/>
                <w:szCs w:val="14"/>
                <w:lang w:eastAsia="sk-SK"/>
              </w:rPr>
              <w:t>4 522 956</w:t>
            </w:r>
          </w:p>
        </w:tc>
        <w:tc>
          <w:tcPr>
            <w:tcW w:w="522" w:type="pct"/>
            <w:tcBorders>
              <w:top w:val="nil"/>
              <w:left w:val="nil"/>
              <w:bottom w:val="single" w:sz="4" w:space="0" w:color="auto"/>
              <w:right w:val="single" w:sz="4" w:space="0" w:color="auto"/>
            </w:tcBorders>
            <w:shd w:val="clear" w:color="000000" w:fill="BFBFBF"/>
            <w:noWrap/>
            <w:vAlign w:val="bottom"/>
            <w:hideMark/>
          </w:tcPr>
          <w:p w:rsidR="003A497B" w:rsidRPr="008D4B5C" w:rsidRDefault="003A497B" w:rsidP="003E1809">
            <w:pPr>
              <w:jc w:val="right"/>
              <w:rPr>
                <w:rFonts w:ascii="Times New Roman" w:hAnsi="Times New Roman" w:cs="Times New Roman"/>
                <w:b/>
                <w:bCs/>
                <w:color w:val="000000"/>
                <w:sz w:val="14"/>
                <w:szCs w:val="14"/>
                <w:lang w:eastAsia="sk-SK"/>
              </w:rPr>
            </w:pPr>
            <w:r w:rsidRPr="008D4B5C">
              <w:rPr>
                <w:rFonts w:ascii="Times New Roman" w:hAnsi="Times New Roman" w:cs="Times New Roman"/>
                <w:b/>
                <w:bCs/>
                <w:color w:val="000000"/>
                <w:sz w:val="14"/>
                <w:szCs w:val="14"/>
                <w:lang w:eastAsia="sk-SK"/>
              </w:rPr>
              <w:t>5 117 534</w:t>
            </w:r>
          </w:p>
        </w:tc>
        <w:tc>
          <w:tcPr>
            <w:tcW w:w="522" w:type="pct"/>
            <w:tcBorders>
              <w:top w:val="nil"/>
              <w:left w:val="nil"/>
              <w:bottom w:val="single" w:sz="4" w:space="0" w:color="auto"/>
              <w:right w:val="single" w:sz="4" w:space="0" w:color="auto"/>
            </w:tcBorders>
            <w:shd w:val="clear" w:color="000000" w:fill="BFBFBF"/>
            <w:noWrap/>
            <w:vAlign w:val="bottom"/>
            <w:hideMark/>
          </w:tcPr>
          <w:p w:rsidR="003A497B" w:rsidRPr="008D4B5C" w:rsidRDefault="003A497B" w:rsidP="003E1809">
            <w:pPr>
              <w:jc w:val="right"/>
              <w:rPr>
                <w:rFonts w:ascii="Times New Roman" w:hAnsi="Times New Roman" w:cs="Times New Roman"/>
                <w:b/>
                <w:bCs/>
                <w:color w:val="000000"/>
                <w:sz w:val="14"/>
                <w:szCs w:val="14"/>
                <w:lang w:eastAsia="sk-SK"/>
              </w:rPr>
            </w:pPr>
            <w:r w:rsidRPr="008D4B5C">
              <w:rPr>
                <w:rFonts w:ascii="Times New Roman" w:hAnsi="Times New Roman" w:cs="Times New Roman"/>
                <w:b/>
                <w:bCs/>
                <w:color w:val="000000"/>
                <w:sz w:val="14"/>
                <w:szCs w:val="14"/>
                <w:lang w:eastAsia="sk-SK"/>
              </w:rPr>
              <w:t xml:space="preserve">5 </w:t>
            </w:r>
            <w:r>
              <w:rPr>
                <w:rFonts w:ascii="Times New Roman" w:hAnsi="Times New Roman" w:cs="Times New Roman"/>
                <w:b/>
                <w:bCs/>
                <w:color w:val="000000"/>
                <w:sz w:val="14"/>
                <w:szCs w:val="14"/>
                <w:lang w:eastAsia="sk-SK"/>
              </w:rPr>
              <w:t>309</w:t>
            </w:r>
            <w:r w:rsidRPr="008D4B5C">
              <w:rPr>
                <w:rFonts w:ascii="Times New Roman" w:hAnsi="Times New Roman" w:cs="Times New Roman"/>
                <w:b/>
                <w:bCs/>
                <w:color w:val="000000"/>
                <w:sz w:val="14"/>
                <w:szCs w:val="14"/>
                <w:lang w:eastAsia="sk-SK"/>
              </w:rPr>
              <w:t xml:space="preserve"> </w:t>
            </w:r>
            <w:r>
              <w:rPr>
                <w:rFonts w:ascii="Times New Roman" w:hAnsi="Times New Roman" w:cs="Times New Roman"/>
                <w:b/>
                <w:bCs/>
                <w:color w:val="000000"/>
                <w:sz w:val="14"/>
                <w:szCs w:val="14"/>
                <w:lang w:eastAsia="sk-SK"/>
              </w:rPr>
              <w:t>652</w:t>
            </w:r>
          </w:p>
        </w:tc>
        <w:tc>
          <w:tcPr>
            <w:tcW w:w="522" w:type="pct"/>
            <w:tcBorders>
              <w:top w:val="nil"/>
              <w:left w:val="nil"/>
              <w:bottom w:val="single" w:sz="4" w:space="0" w:color="auto"/>
              <w:right w:val="single" w:sz="4" w:space="0" w:color="auto"/>
            </w:tcBorders>
            <w:shd w:val="clear" w:color="000000" w:fill="BFBFBF"/>
            <w:noWrap/>
            <w:vAlign w:val="bottom"/>
            <w:hideMark/>
          </w:tcPr>
          <w:p w:rsidR="003A497B" w:rsidRPr="008D4B5C" w:rsidRDefault="003A497B" w:rsidP="003E1809">
            <w:pPr>
              <w:jc w:val="right"/>
              <w:rPr>
                <w:rFonts w:ascii="Times New Roman" w:hAnsi="Times New Roman" w:cs="Times New Roman"/>
                <w:b/>
                <w:bCs/>
                <w:color w:val="000000"/>
                <w:sz w:val="14"/>
                <w:szCs w:val="14"/>
                <w:lang w:eastAsia="sk-SK"/>
              </w:rPr>
            </w:pPr>
            <w:r w:rsidRPr="008D4B5C">
              <w:rPr>
                <w:rFonts w:ascii="Times New Roman" w:hAnsi="Times New Roman" w:cs="Times New Roman"/>
                <w:b/>
                <w:bCs/>
                <w:color w:val="000000"/>
                <w:sz w:val="14"/>
                <w:szCs w:val="14"/>
                <w:lang w:eastAsia="sk-SK"/>
              </w:rPr>
              <w:t>6 160 266</w:t>
            </w:r>
          </w:p>
        </w:tc>
        <w:tc>
          <w:tcPr>
            <w:tcW w:w="522" w:type="pct"/>
            <w:tcBorders>
              <w:top w:val="nil"/>
              <w:left w:val="nil"/>
              <w:bottom w:val="single" w:sz="4" w:space="0" w:color="auto"/>
              <w:right w:val="single" w:sz="4" w:space="0" w:color="auto"/>
            </w:tcBorders>
            <w:shd w:val="clear" w:color="000000" w:fill="BFBFBF"/>
            <w:noWrap/>
            <w:vAlign w:val="bottom"/>
            <w:hideMark/>
          </w:tcPr>
          <w:p w:rsidR="003A497B" w:rsidRPr="008D4B5C" w:rsidRDefault="003A497B" w:rsidP="003E1809">
            <w:pPr>
              <w:jc w:val="right"/>
              <w:rPr>
                <w:rFonts w:ascii="Times New Roman" w:hAnsi="Times New Roman" w:cs="Times New Roman"/>
                <w:b/>
                <w:bCs/>
                <w:color w:val="000000"/>
                <w:sz w:val="14"/>
                <w:szCs w:val="14"/>
                <w:lang w:eastAsia="sk-SK"/>
              </w:rPr>
            </w:pPr>
            <w:r w:rsidRPr="008D4B5C">
              <w:rPr>
                <w:rFonts w:ascii="Times New Roman" w:hAnsi="Times New Roman" w:cs="Times New Roman"/>
                <w:b/>
                <w:bCs/>
                <w:color w:val="000000"/>
                <w:sz w:val="14"/>
                <w:szCs w:val="14"/>
                <w:lang w:eastAsia="sk-SK"/>
              </w:rPr>
              <w:t>5 727 388</w:t>
            </w:r>
          </w:p>
        </w:tc>
        <w:tc>
          <w:tcPr>
            <w:tcW w:w="520" w:type="pct"/>
            <w:tcBorders>
              <w:top w:val="nil"/>
              <w:left w:val="nil"/>
              <w:bottom w:val="single" w:sz="4" w:space="0" w:color="auto"/>
              <w:right w:val="single" w:sz="4" w:space="0" w:color="auto"/>
            </w:tcBorders>
            <w:shd w:val="clear" w:color="000000" w:fill="BFBFBF"/>
            <w:noWrap/>
            <w:vAlign w:val="bottom"/>
            <w:hideMark/>
          </w:tcPr>
          <w:p w:rsidR="003A497B" w:rsidRPr="008D4B5C" w:rsidRDefault="003A497B" w:rsidP="003E1809">
            <w:pPr>
              <w:jc w:val="right"/>
              <w:rPr>
                <w:rFonts w:ascii="Times New Roman" w:hAnsi="Times New Roman" w:cs="Times New Roman"/>
                <w:b/>
                <w:bCs/>
                <w:color w:val="000000"/>
                <w:sz w:val="14"/>
                <w:szCs w:val="14"/>
                <w:lang w:eastAsia="sk-SK"/>
              </w:rPr>
            </w:pPr>
            <w:r w:rsidRPr="008D4B5C">
              <w:rPr>
                <w:rFonts w:ascii="Times New Roman" w:hAnsi="Times New Roman" w:cs="Times New Roman"/>
                <w:b/>
                <w:bCs/>
                <w:color w:val="000000"/>
                <w:sz w:val="14"/>
                <w:szCs w:val="14"/>
                <w:lang w:eastAsia="sk-SK"/>
              </w:rPr>
              <w:t>5 727 388</w:t>
            </w:r>
          </w:p>
        </w:tc>
      </w:tr>
      <w:tr w:rsidR="003A497B" w:rsidRPr="008D4B5C" w:rsidTr="003E1809">
        <w:trPr>
          <w:trHeight w:val="255"/>
        </w:trPr>
        <w:tc>
          <w:tcPr>
            <w:tcW w:w="1348" w:type="pct"/>
            <w:tcBorders>
              <w:top w:val="nil"/>
              <w:left w:val="single" w:sz="4" w:space="0" w:color="auto"/>
              <w:bottom w:val="single" w:sz="4" w:space="0" w:color="auto"/>
              <w:right w:val="single" w:sz="4" w:space="0" w:color="auto"/>
            </w:tcBorders>
            <w:shd w:val="clear" w:color="auto" w:fill="auto"/>
            <w:noWrap/>
            <w:vAlign w:val="bottom"/>
            <w:hideMark/>
          </w:tcPr>
          <w:p w:rsidR="003A497B" w:rsidRPr="008D4B5C" w:rsidRDefault="003A497B" w:rsidP="003E1809">
            <w:pPr>
              <w:rPr>
                <w:rFonts w:ascii="Times New Roman" w:hAnsi="Times New Roman" w:cs="Times New Roman"/>
                <w:b/>
                <w:bCs/>
                <w:color w:val="000000"/>
                <w:sz w:val="14"/>
                <w:szCs w:val="14"/>
                <w:lang w:eastAsia="sk-SK"/>
              </w:rPr>
            </w:pPr>
            <w:r w:rsidRPr="008D4B5C">
              <w:rPr>
                <w:rFonts w:ascii="Times New Roman" w:hAnsi="Times New Roman" w:cs="Times New Roman"/>
                <w:b/>
                <w:bCs/>
                <w:color w:val="000000"/>
                <w:sz w:val="14"/>
                <w:szCs w:val="14"/>
                <w:lang w:eastAsia="sk-SK"/>
              </w:rPr>
              <w:t xml:space="preserve">rozpočtové zdroje kapitoly </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E079F1" w:rsidRDefault="003A497B" w:rsidP="003E1809">
            <w:pPr>
              <w:jc w:val="right"/>
              <w:rPr>
                <w:rFonts w:ascii="Times New Roman" w:hAnsi="Times New Roman" w:cs="Times New Roman"/>
                <w:b/>
                <w:color w:val="000000"/>
                <w:sz w:val="14"/>
                <w:szCs w:val="14"/>
                <w:lang w:eastAsia="sk-SK"/>
              </w:rPr>
            </w:pPr>
            <w:r w:rsidRPr="00E079F1">
              <w:rPr>
                <w:rFonts w:ascii="Times New Roman" w:hAnsi="Times New Roman" w:cs="Times New Roman"/>
                <w:b/>
                <w:color w:val="000000"/>
                <w:sz w:val="14"/>
                <w:szCs w:val="14"/>
                <w:lang w:eastAsia="sk-SK"/>
              </w:rPr>
              <w:t>4 404 450</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E079F1" w:rsidRDefault="003A497B" w:rsidP="003E1809">
            <w:pPr>
              <w:jc w:val="right"/>
              <w:rPr>
                <w:rFonts w:ascii="Times New Roman" w:hAnsi="Times New Roman" w:cs="Times New Roman"/>
                <w:b/>
                <w:color w:val="000000"/>
                <w:sz w:val="14"/>
                <w:szCs w:val="14"/>
                <w:lang w:eastAsia="sk-SK"/>
              </w:rPr>
            </w:pPr>
            <w:r w:rsidRPr="00E079F1">
              <w:rPr>
                <w:rFonts w:ascii="Times New Roman" w:hAnsi="Times New Roman" w:cs="Times New Roman"/>
                <w:b/>
                <w:color w:val="000000"/>
                <w:sz w:val="14"/>
                <w:szCs w:val="14"/>
                <w:lang w:eastAsia="sk-SK"/>
              </w:rPr>
              <w:t>4 425 813</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E079F1" w:rsidRDefault="003A497B" w:rsidP="003E1809">
            <w:pPr>
              <w:jc w:val="right"/>
              <w:rPr>
                <w:rFonts w:ascii="Times New Roman" w:hAnsi="Times New Roman" w:cs="Times New Roman"/>
                <w:b/>
                <w:color w:val="000000"/>
                <w:sz w:val="14"/>
                <w:szCs w:val="14"/>
                <w:lang w:eastAsia="sk-SK"/>
              </w:rPr>
            </w:pPr>
            <w:r w:rsidRPr="00E079F1">
              <w:rPr>
                <w:rFonts w:ascii="Times New Roman" w:hAnsi="Times New Roman" w:cs="Times New Roman"/>
                <w:b/>
                <w:color w:val="000000"/>
                <w:sz w:val="14"/>
                <w:szCs w:val="14"/>
                <w:lang w:eastAsia="sk-SK"/>
              </w:rPr>
              <w:t>5 117 534</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E079F1" w:rsidRDefault="003A497B" w:rsidP="003E1809">
            <w:pPr>
              <w:jc w:val="right"/>
              <w:rPr>
                <w:rFonts w:ascii="Times New Roman" w:hAnsi="Times New Roman" w:cs="Times New Roman"/>
                <w:b/>
                <w:color w:val="000000"/>
                <w:sz w:val="14"/>
                <w:szCs w:val="14"/>
                <w:lang w:eastAsia="sk-SK"/>
              </w:rPr>
            </w:pPr>
            <w:r w:rsidRPr="00E079F1">
              <w:rPr>
                <w:rFonts w:ascii="Times New Roman" w:hAnsi="Times New Roman" w:cs="Times New Roman"/>
                <w:b/>
                <w:color w:val="000000"/>
                <w:sz w:val="14"/>
                <w:szCs w:val="14"/>
                <w:lang w:eastAsia="sk-SK"/>
              </w:rPr>
              <w:t>5 307 419</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E079F1" w:rsidRDefault="003A497B" w:rsidP="003E1809">
            <w:pPr>
              <w:jc w:val="right"/>
              <w:rPr>
                <w:rFonts w:ascii="Times New Roman" w:hAnsi="Times New Roman" w:cs="Times New Roman"/>
                <w:b/>
                <w:color w:val="000000"/>
                <w:sz w:val="14"/>
                <w:szCs w:val="14"/>
                <w:lang w:eastAsia="sk-SK"/>
              </w:rPr>
            </w:pPr>
            <w:r w:rsidRPr="00E079F1">
              <w:rPr>
                <w:rFonts w:ascii="Times New Roman" w:hAnsi="Times New Roman" w:cs="Times New Roman"/>
                <w:b/>
                <w:color w:val="000000"/>
                <w:sz w:val="14"/>
                <w:szCs w:val="14"/>
                <w:lang w:eastAsia="sk-SK"/>
              </w:rPr>
              <w:t>6 160 266</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E079F1" w:rsidRDefault="003A497B" w:rsidP="003E1809">
            <w:pPr>
              <w:jc w:val="right"/>
              <w:rPr>
                <w:rFonts w:ascii="Times New Roman" w:hAnsi="Times New Roman" w:cs="Times New Roman"/>
                <w:b/>
                <w:color w:val="000000"/>
                <w:sz w:val="14"/>
                <w:szCs w:val="14"/>
                <w:lang w:eastAsia="sk-SK"/>
              </w:rPr>
            </w:pPr>
            <w:r w:rsidRPr="00E079F1">
              <w:rPr>
                <w:rFonts w:ascii="Times New Roman" w:hAnsi="Times New Roman" w:cs="Times New Roman"/>
                <w:b/>
                <w:color w:val="000000"/>
                <w:sz w:val="14"/>
                <w:szCs w:val="14"/>
                <w:lang w:eastAsia="sk-SK"/>
              </w:rPr>
              <w:t>5 727 388</w:t>
            </w:r>
          </w:p>
        </w:tc>
        <w:tc>
          <w:tcPr>
            <w:tcW w:w="520" w:type="pct"/>
            <w:tcBorders>
              <w:top w:val="nil"/>
              <w:left w:val="nil"/>
              <w:bottom w:val="single" w:sz="4" w:space="0" w:color="auto"/>
              <w:right w:val="single" w:sz="4" w:space="0" w:color="auto"/>
            </w:tcBorders>
            <w:shd w:val="clear" w:color="auto" w:fill="auto"/>
            <w:noWrap/>
            <w:vAlign w:val="bottom"/>
            <w:hideMark/>
          </w:tcPr>
          <w:p w:rsidR="003A497B" w:rsidRPr="00E079F1" w:rsidRDefault="003A497B" w:rsidP="003E1809">
            <w:pPr>
              <w:jc w:val="right"/>
              <w:rPr>
                <w:rFonts w:ascii="Times New Roman" w:hAnsi="Times New Roman" w:cs="Times New Roman"/>
                <w:b/>
                <w:color w:val="000000"/>
                <w:sz w:val="14"/>
                <w:szCs w:val="14"/>
                <w:lang w:eastAsia="sk-SK"/>
              </w:rPr>
            </w:pPr>
            <w:r w:rsidRPr="00E079F1">
              <w:rPr>
                <w:rFonts w:ascii="Times New Roman" w:hAnsi="Times New Roman" w:cs="Times New Roman"/>
                <w:b/>
                <w:color w:val="000000"/>
                <w:sz w:val="14"/>
                <w:szCs w:val="14"/>
                <w:lang w:eastAsia="sk-SK"/>
              </w:rPr>
              <w:t>5 727 388</w:t>
            </w:r>
          </w:p>
        </w:tc>
      </w:tr>
      <w:tr w:rsidR="003A497B" w:rsidRPr="008D4B5C" w:rsidTr="003E1809">
        <w:trPr>
          <w:trHeight w:val="255"/>
        </w:trPr>
        <w:tc>
          <w:tcPr>
            <w:tcW w:w="1348" w:type="pct"/>
            <w:tcBorders>
              <w:top w:val="nil"/>
              <w:left w:val="single" w:sz="4" w:space="0" w:color="auto"/>
              <w:bottom w:val="single" w:sz="4" w:space="0" w:color="auto"/>
              <w:right w:val="single" w:sz="4" w:space="0" w:color="auto"/>
            </w:tcBorders>
            <w:shd w:val="clear" w:color="auto" w:fill="auto"/>
            <w:noWrap/>
            <w:vAlign w:val="bottom"/>
            <w:hideMark/>
          </w:tcPr>
          <w:p w:rsidR="003A497B" w:rsidRPr="008D4B5C" w:rsidRDefault="003A497B" w:rsidP="003E1809">
            <w:pPr>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 xml:space="preserve">    v tom: bežné výdavky  600</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4 404 450</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4 395 859</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5 087 534</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5 2</w:t>
            </w:r>
            <w:r>
              <w:rPr>
                <w:rFonts w:ascii="Times New Roman" w:hAnsi="Times New Roman" w:cs="Times New Roman"/>
                <w:color w:val="000000"/>
                <w:sz w:val="14"/>
                <w:szCs w:val="14"/>
                <w:lang w:eastAsia="sk-SK"/>
              </w:rPr>
              <w:t>76</w:t>
            </w:r>
            <w:r w:rsidRPr="008D4B5C">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673</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5 743 866</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5 697 388</w:t>
            </w:r>
          </w:p>
        </w:tc>
        <w:tc>
          <w:tcPr>
            <w:tcW w:w="520"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5 697 388</w:t>
            </w:r>
          </w:p>
        </w:tc>
      </w:tr>
      <w:tr w:rsidR="003A497B" w:rsidRPr="008D4B5C" w:rsidTr="003E1809">
        <w:trPr>
          <w:trHeight w:val="255"/>
        </w:trPr>
        <w:tc>
          <w:tcPr>
            <w:tcW w:w="1348" w:type="pct"/>
            <w:tcBorders>
              <w:top w:val="nil"/>
              <w:left w:val="single" w:sz="4" w:space="0" w:color="auto"/>
              <w:bottom w:val="single" w:sz="4" w:space="0" w:color="auto"/>
              <w:right w:val="single" w:sz="4" w:space="0" w:color="auto"/>
            </w:tcBorders>
            <w:shd w:val="clear" w:color="auto" w:fill="auto"/>
            <w:noWrap/>
            <w:vAlign w:val="bottom"/>
            <w:hideMark/>
          </w:tcPr>
          <w:p w:rsidR="003A497B" w:rsidRPr="008D4B5C" w:rsidRDefault="003A497B" w:rsidP="003E1809">
            <w:pPr>
              <w:ind w:firstLineChars="100" w:firstLine="140"/>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 xml:space="preserve">                 610 mzdy</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1 740 318</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1 822 638</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1 814 530</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1</w:t>
            </w:r>
            <w:r>
              <w:rPr>
                <w:rFonts w:ascii="Times New Roman" w:hAnsi="Times New Roman" w:cs="Times New Roman"/>
                <w:color w:val="000000"/>
                <w:sz w:val="14"/>
                <w:szCs w:val="14"/>
                <w:lang w:eastAsia="sk-SK"/>
              </w:rPr>
              <w:t> 902 730</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2 194 987</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2 194 987</w:t>
            </w:r>
          </w:p>
        </w:tc>
        <w:tc>
          <w:tcPr>
            <w:tcW w:w="520"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2 194 987</w:t>
            </w:r>
          </w:p>
        </w:tc>
      </w:tr>
      <w:tr w:rsidR="003A497B" w:rsidRPr="008D4B5C" w:rsidTr="003E1809">
        <w:trPr>
          <w:trHeight w:val="255"/>
        </w:trPr>
        <w:tc>
          <w:tcPr>
            <w:tcW w:w="1348" w:type="pct"/>
            <w:tcBorders>
              <w:top w:val="nil"/>
              <w:left w:val="single" w:sz="4" w:space="0" w:color="auto"/>
              <w:bottom w:val="single" w:sz="4" w:space="0" w:color="auto"/>
              <w:right w:val="single" w:sz="4" w:space="0" w:color="auto"/>
            </w:tcBorders>
            <w:shd w:val="clear" w:color="auto" w:fill="auto"/>
            <w:noWrap/>
            <w:vAlign w:val="bottom"/>
            <w:hideMark/>
          </w:tcPr>
          <w:p w:rsidR="003A497B" w:rsidRPr="008D4B5C" w:rsidRDefault="003A497B" w:rsidP="003E1809">
            <w:pPr>
              <w:ind w:firstLineChars="100" w:firstLine="140"/>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 xml:space="preserve">                 620 odvody</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648 952</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708 347</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710 579</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7</w:t>
            </w:r>
            <w:r>
              <w:rPr>
                <w:rFonts w:ascii="Times New Roman" w:hAnsi="Times New Roman" w:cs="Times New Roman"/>
                <w:color w:val="000000"/>
                <w:sz w:val="14"/>
                <w:szCs w:val="14"/>
                <w:lang w:eastAsia="sk-SK"/>
              </w:rPr>
              <w:t>42</w:t>
            </w:r>
            <w:r w:rsidRPr="008D4B5C">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145</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837 740</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837 740</w:t>
            </w:r>
          </w:p>
        </w:tc>
        <w:tc>
          <w:tcPr>
            <w:tcW w:w="520"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837 740</w:t>
            </w:r>
          </w:p>
        </w:tc>
      </w:tr>
      <w:tr w:rsidR="003A497B" w:rsidRPr="008D4B5C" w:rsidTr="003E1809">
        <w:trPr>
          <w:trHeight w:val="255"/>
        </w:trPr>
        <w:tc>
          <w:tcPr>
            <w:tcW w:w="1348" w:type="pct"/>
            <w:tcBorders>
              <w:top w:val="nil"/>
              <w:left w:val="single" w:sz="4" w:space="0" w:color="auto"/>
              <w:bottom w:val="single" w:sz="4" w:space="0" w:color="auto"/>
              <w:right w:val="single" w:sz="4" w:space="0" w:color="auto"/>
            </w:tcBorders>
            <w:shd w:val="clear" w:color="auto" w:fill="auto"/>
            <w:noWrap/>
            <w:vAlign w:val="bottom"/>
            <w:hideMark/>
          </w:tcPr>
          <w:p w:rsidR="003A497B" w:rsidRPr="008D4B5C" w:rsidRDefault="003A497B" w:rsidP="003E1809">
            <w:pPr>
              <w:ind w:firstLineChars="100" w:firstLine="140"/>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 xml:space="preserve">                 630 tovary a služby</w:t>
            </w:r>
          </w:p>
        </w:tc>
        <w:tc>
          <w:tcPr>
            <w:tcW w:w="522" w:type="pct"/>
            <w:tcBorders>
              <w:top w:val="nil"/>
              <w:left w:val="nil"/>
              <w:bottom w:val="single" w:sz="4" w:space="0" w:color="auto"/>
              <w:right w:val="single" w:sz="4" w:space="0" w:color="auto"/>
            </w:tcBorders>
            <w:shd w:val="clear" w:color="000000" w:fill="FFFFFF"/>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1 035 948</w:t>
            </w:r>
          </w:p>
        </w:tc>
        <w:tc>
          <w:tcPr>
            <w:tcW w:w="522" w:type="pct"/>
            <w:tcBorders>
              <w:top w:val="nil"/>
              <w:left w:val="nil"/>
              <w:bottom w:val="single" w:sz="4" w:space="0" w:color="auto"/>
              <w:right w:val="single" w:sz="4" w:space="0" w:color="auto"/>
            </w:tcBorders>
            <w:shd w:val="clear" w:color="000000" w:fill="FFFFFF"/>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1 246 949</w:t>
            </w:r>
          </w:p>
        </w:tc>
        <w:tc>
          <w:tcPr>
            <w:tcW w:w="522" w:type="pct"/>
            <w:tcBorders>
              <w:top w:val="nil"/>
              <w:left w:val="nil"/>
              <w:bottom w:val="single" w:sz="4" w:space="0" w:color="auto"/>
              <w:right w:val="single" w:sz="4" w:space="0" w:color="auto"/>
            </w:tcBorders>
            <w:shd w:val="clear" w:color="000000" w:fill="FFFFFF"/>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1 446 438</w:t>
            </w:r>
          </w:p>
        </w:tc>
        <w:tc>
          <w:tcPr>
            <w:tcW w:w="522" w:type="pct"/>
            <w:tcBorders>
              <w:top w:val="nil"/>
              <w:left w:val="nil"/>
              <w:bottom w:val="single" w:sz="4" w:space="0" w:color="auto"/>
              <w:right w:val="single" w:sz="4" w:space="0" w:color="auto"/>
            </w:tcBorders>
            <w:shd w:val="clear" w:color="000000" w:fill="FFFFFF"/>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 xml:space="preserve">1 </w:t>
            </w:r>
            <w:r>
              <w:rPr>
                <w:rFonts w:ascii="Times New Roman" w:hAnsi="Times New Roman" w:cs="Times New Roman"/>
                <w:color w:val="000000"/>
                <w:sz w:val="14"/>
                <w:szCs w:val="14"/>
                <w:lang w:eastAsia="sk-SK"/>
              </w:rPr>
              <w:t>501</w:t>
            </w:r>
            <w:r w:rsidRPr="008D4B5C">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811</w:t>
            </w:r>
          </w:p>
        </w:tc>
        <w:tc>
          <w:tcPr>
            <w:tcW w:w="522" w:type="pct"/>
            <w:tcBorders>
              <w:top w:val="nil"/>
              <w:left w:val="nil"/>
              <w:bottom w:val="single" w:sz="4" w:space="0" w:color="auto"/>
              <w:right w:val="single" w:sz="4" w:space="0" w:color="auto"/>
            </w:tcBorders>
            <w:shd w:val="clear" w:color="000000" w:fill="FFFFFF"/>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1 489 247</w:t>
            </w:r>
          </w:p>
        </w:tc>
        <w:tc>
          <w:tcPr>
            <w:tcW w:w="522" w:type="pct"/>
            <w:tcBorders>
              <w:top w:val="nil"/>
              <w:left w:val="nil"/>
              <w:bottom w:val="single" w:sz="4" w:space="0" w:color="auto"/>
              <w:right w:val="single" w:sz="4" w:space="0" w:color="auto"/>
            </w:tcBorders>
            <w:shd w:val="clear" w:color="000000" w:fill="FFFFFF"/>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1 449 247</w:t>
            </w:r>
          </w:p>
        </w:tc>
        <w:tc>
          <w:tcPr>
            <w:tcW w:w="520" w:type="pct"/>
            <w:tcBorders>
              <w:top w:val="nil"/>
              <w:left w:val="nil"/>
              <w:bottom w:val="single" w:sz="4" w:space="0" w:color="auto"/>
              <w:right w:val="single" w:sz="4" w:space="0" w:color="auto"/>
            </w:tcBorders>
            <w:shd w:val="clear" w:color="000000" w:fill="FFFFFF"/>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1 449 247</w:t>
            </w:r>
          </w:p>
        </w:tc>
      </w:tr>
      <w:tr w:rsidR="003A497B" w:rsidRPr="008D4B5C" w:rsidTr="003E1809">
        <w:trPr>
          <w:trHeight w:val="255"/>
        </w:trPr>
        <w:tc>
          <w:tcPr>
            <w:tcW w:w="1348" w:type="pct"/>
            <w:tcBorders>
              <w:top w:val="nil"/>
              <w:left w:val="single" w:sz="4" w:space="0" w:color="auto"/>
              <w:bottom w:val="single" w:sz="4" w:space="0" w:color="auto"/>
              <w:right w:val="single" w:sz="4" w:space="0" w:color="auto"/>
            </w:tcBorders>
            <w:shd w:val="clear" w:color="auto" w:fill="auto"/>
            <w:noWrap/>
            <w:vAlign w:val="bottom"/>
            <w:hideMark/>
          </w:tcPr>
          <w:p w:rsidR="003A497B" w:rsidRPr="008D4B5C" w:rsidRDefault="003A497B" w:rsidP="003E1809">
            <w:pPr>
              <w:ind w:firstLineChars="100" w:firstLine="140"/>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 xml:space="preserve">                 640 bežné transfery</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979 232</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617 925</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1 115 987</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1 129 987</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1 221 892</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1 215 414</w:t>
            </w:r>
          </w:p>
        </w:tc>
        <w:tc>
          <w:tcPr>
            <w:tcW w:w="520"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1 215 414</w:t>
            </w:r>
          </w:p>
        </w:tc>
      </w:tr>
      <w:tr w:rsidR="003A497B" w:rsidRPr="008D4B5C" w:rsidTr="003E1809">
        <w:trPr>
          <w:trHeight w:val="255"/>
        </w:trPr>
        <w:tc>
          <w:tcPr>
            <w:tcW w:w="1348" w:type="pct"/>
            <w:tcBorders>
              <w:top w:val="nil"/>
              <w:left w:val="single" w:sz="4" w:space="0" w:color="auto"/>
              <w:bottom w:val="single" w:sz="4" w:space="0" w:color="auto"/>
              <w:right w:val="single" w:sz="4" w:space="0" w:color="auto"/>
            </w:tcBorders>
            <w:shd w:val="clear" w:color="auto" w:fill="auto"/>
            <w:noWrap/>
            <w:vAlign w:val="bottom"/>
            <w:hideMark/>
          </w:tcPr>
          <w:p w:rsidR="003A497B" w:rsidRPr="008D4B5C" w:rsidRDefault="003A497B" w:rsidP="003E1809">
            <w:pPr>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 xml:space="preserve">               kapitálové výdavky 700</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0</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29 954</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30 000</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30</w:t>
            </w:r>
            <w:r w:rsidRPr="008D4B5C">
              <w:rPr>
                <w:rFonts w:ascii="Times New Roman" w:hAnsi="Times New Roman" w:cs="Times New Roman"/>
                <w:color w:val="000000"/>
                <w:sz w:val="14"/>
                <w:szCs w:val="14"/>
                <w:lang w:eastAsia="sk-SK"/>
              </w:rPr>
              <w:t xml:space="preserve"> 7</w:t>
            </w:r>
            <w:r>
              <w:rPr>
                <w:rFonts w:ascii="Times New Roman" w:hAnsi="Times New Roman" w:cs="Times New Roman"/>
                <w:color w:val="000000"/>
                <w:sz w:val="14"/>
                <w:szCs w:val="14"/>
                <w:lang w:eastAsia="sk-SK"/>
              </w:rPr>
              <w:t>46</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416 400</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30 000</w:t>
            </w:r>
          </w:p>
        </w:tc>
        <w:tc>
          <w:tcPr>
            <w:tcW w:w="520"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30 000</w:t>
            </w:r>
          </w:p>
        </w:tc>
      </w:tr>
      <w:tr w:rsidR="003A497B" w:rsidRPr="008D4B5C" w:rsidTr="003E1809">
        <w:trPr>
          <w:trHeight w:val="255"/>
        </w:trPr>
        <w:tc>
          <w:tcPr>
            <w:tcW w:w="1348" w:type="pct"/>
            <w:tcBorders>
              <w:top w:val="nil"/>
              <w:left w:val="single" w:sz="4" w:space="0" w:color="auto"/>
              <w:bottom w:val="single" w:sz="4" w:space="0" w:color="auto"/>
              <w:right w:val="single" w:sz="4" w:space="0" w:color="auto"/>
            </w:tcBorders>
            <w:shd w:val="clear" w:color="auto" w:fill="auto"/>
            <w:noWrap/>
            <w:vAlign w:val="bottom"/>
            <w:hideMark/>
          </w:tcPr>
          <w:p w:rsidR="003A497B" w:rsidRPr="008D4B5C" w:rsidRDefault="003A497B" w:rsidP="003E1809">
            <w:pPr>
              <w:rPr>
                <w:rFonts w:ascii="Times New Roman" w:hAnsi="Times New Roman" w:cs="Times New Roman"/>
                <w:b/>
                <w:bCs/>
                <w:color w:val="000000"/>
                <w:sz w:val="14"/>
                <w:szCs w:val="14"/>
                <w:lang w:eastAsia="sk-SK"/>
              </w:rPr>
            </w:pPr>
            <w:r w:rsidRPr="008D4B5C">
              <w:rPr>
                <w:rFonts w:ascii="Times New Roman" w:hAnsi="Times New Roman" w:cs="Times New Roman"/>
                <w:b/>
                <w:bCs/>
                <w:color w:val="000000"/>
                <w:sz w:val="14"/>
                <w:szCs w:val="14"/>
                <w:lang w:eastAsia="sk-SK"/>
              </w:rPr>
              <w:t>presun z minulých rokov § 8</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E079F1" w:rsidRDefault="003A497B" w:rsidP="003E1809">
            <w:pPr>
              <w:jc w:val="right"/>
              <w:rPr>
                <w:rFonts w:ascii="Times New Roman" w:hAnsi="Times New Roman" w:cs="Times New Roman"/>
                <w:b/>
                <w:color w:val="000000"/>
                <w:sz w:val="14"/>
                <w:szCs w:val="14"/>
                <w:lang w:eastAsia="sk-SK"/>
              </w:rPr>
            </w:pPr>
            <w:r w:rsidRPr="00E079F1">
              <w:rPr>
                <w:rFonts w:ascii="Times New Roman" w:hAnsi="Times New Roman" w:cs="Times New Roman"/>
                <w:b/>
                <w:color w:val="000000"/>
                <w:sz w:val="14"/>
                <w:szCs w:val="14"/>
                <w:lang w:eastAsia="sk-SK"/>
              </w:rPr>
              <w:t>0</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E079F1" w:rsidRDefault="003A497B" w:rsidP="003E1809">
            <w:pPr>
              <w:jc w:val="right"/>
              <w:rPr>
                <w:rFonts w:ascii="Times New Roman" w:hAnsi="Times New Roman" w:cs="Times New Roman"/>
                <w:b/>
                <w:color w:val="000000"/>
                <w:sz w:val="14"/>
                <w:szCs w:val="14"/>
                <w:lang w:eastAsia="sk-SK"/>
              </w:rPr>
            </w:pPr>
            <w:r w:rsidRPr="00E079F1">
              <w:rPr>
                <w:rFonts w:ascii="Times New Roman" w:hAnsi="Times New Roman" w:cs="Times New Roman"/>
                <w:b/>
                <w:color w:val="000000"/>
                <w:sz w:val="14"/>
                <w:szCs w:val="14"/>
                <w:lang w:eastAsia="sk-SK"/>
              </w:rPr>
              <w:t>97 143</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E079F1" w:rsidRDefault="003A497B" w:rsidP="003E1809">
            <w:pPr>
              <w:jc w:val="right"/>
              <w:rPr>
                <w:rFonts w:ascii="Times New Roman" w:hAnsi="Times New Roman" w:cs="Times New Roman"/>
                <w:b/>
                <w:color w:val="000000"/>
                <w:sz w:val="14"/>
                <w:szCs w:val="14"/>
                <w:lang w:eastAsia="sk-SK"/>
              </w:rPr>
            </w:pPr>
            <w:r w:rsidRPr="00E079F1">
              <w:rPr>
                <w:rFonts w:ascii="Times New Roman" w:hAnsi="Times New Roman" w:cs="Times New Roman"/>
                <w:b/>
                <w:color w:val="000000"/>
                <w:sz w:val="14"/>
                <w:szCs w:val="14"/>
                <w:lang w:eastAsia="sk-SK"/>
              </w:rPr>
              <w:t>0</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E079F1" w:rsidRDefault="003A497B" w:rsidP="003E1809">
            <w:pPr>
              <w:jc w:val="right"/>
              <w:rPr>
                <w:rFonts w:ascii="Times New Roman" w:hAnsi="Times New Roman" w:cs="Times New Roman"/>
                <w:b/>
                <w:color w:val="000000"/>
                <w:sz w:val="14"/>
                <w:szCs w:val="14"/>
                <w:lang w:eastAsia="sk-SK"/>
              </w:rPr>
            </w:pPr>
            <w:r w:rsidRPr="00E079F1">
              <w:rPr>
                <w:rFonts w:ascii="Times New Roman" w:hAnsi="Times New Roman" w:cs="Times New Roman"/>
                <w:b/>
                <w:color w:val="000000"/>
                <w:sz w:val="14"/>
                <w:szCs w:val="14"/>
                <w:lang w:eastAsia="sk-SK"/>
              </w:rPr>
              <w:t>2 233</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E079F1" w:rsidRDefault="003A497B" w:rsidP="003E1809">
            <w:pPr>
              <w:jc w:val="right"/>
              <w:rPr>
                <w:rFonts w:ascii="Times New Roman" w:hAnsi="Times New Roman" w:cs="Times New Roman"/>
                <w:b/>
                <w:color w:val="000000"/>
                <w:sz w:val="14"/>
                <w:szCs w:val="14"/>
                <w:lang w:eastAsia="sk-SK"/>
              </w:rPr>
            </w:pPr>
            <w:r w:rsidRPr="00E079F1">
              <w:rPr>
                <w:rFonts w:ascii="Times New Roman" w:hAnsi="Times New Roman" w:cs="Times New Roman"/>
                <w:b/>
                <w:color w:val="000000"/>
                <w:sz w:val="14"/>
                <w:szCs w:val="14"/>
                <w:lang w:eastAsia="sk-SK"/>
              </w:rPr>
              <w:t>0</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E079F1" w:rsidRDefault="003A497B" w:rsidP="003E1809">
            <w:pPr>
              <w:jc w:val="right"/>
              <w:rPr>
                <w:rFonts w:ascii="Times New Roman" w:hAnsi="Times New Roman" w:cs="Times New Roman"/>
                <w:b/>
                <w:color w:val="000000"/>
                <w:sz w:val="14"/>
                <w:szCs w:val="14"/>
                <w:lang w:eastAsia="sk-SK"/>
              </w:rPr>
            </w:pPr>
            <w:r w:rsidRPr="00E079F1">
              <w:rPr>
                <w:rFonts w:ascii="Times New Roman" w:hAnsi="Times New Roman" w:cs="Times New Roman"/>
                <w:b/>
                <w:color w:val="000000"/>
                <w:sz w:val="14"/>
                <w:szCs w:val="14"/>
                <w:lang w:eastAsia="sk-SK"/>
              </w:rPr>
              <w:t>0</w:t>
            </w:r>
          </w:p>
        </w:tc>
        <w:tc>
          <w:tcPr>
            <w:tcW w:w="520" w:type="pct"/>
            <w:tcBorders>
              <w:top w:val="nil"/>
              <w:left w:val="nil"/>
              <w:bottom w:val="single" w:sz="4" w:space="0" w:color="auto"/>
              <w:right w:val="single" w:sz="4" w:space="0" w:color="auto"/>
            </w:tcBorders>
            <w:shd w:val="clear" w:color="auto" w:fill="auto"/>
            <w:noWrap/>
            <w:vAlign w:val="bottom"/>
            <w:hideMark/>
          </w:tcPr>
          <w:p w:rsidR="003A497B" w:rsidRPr="00E079F1" w:rsidRDefault="003A497B" w:rsidP="003E1809">
            <w:pPr>
              <w:jc w:val="right"/>
              <w:rPr>
                <w:rFonts w:ascii="Times New Roman" w:hAnsi="Times New Roman" w:cs="Times New Roman"/>
                <w:b/>
                <w:color w:val="000000"/>
                <w:sz w:val="14"/>
                <w:szCs w:val="14"/>
                <w:lang w:eastAsia="sk-SK"/>
              </w:rPr>
            </w:pPr>
            <w:r w:rsidRPr="00E079F1">
              <w:rPr>
                <w:rFonts w:ascii="Times New Roman" w:hAnsi="Times New Roman" w:cs="Times New Roman"/>
                <w:b/>
                <w:color w:val="000000"/>
                <w:sz w:val="14"/>
                <w:szCs w:val="14"/>
                <w:lang w:eastAsia="sk-SK"/>
              </w:rPr>
              <w:t>0</w:t>
            </w:r>
          </w:p>
        </w:tc>
      </w:tr>
      <w:tr w:rsidR="003A497B" w:rsidRPr="008D4B5C" w:rsidTr="003E1809">
        <w:trPr>
          <w:trHeight w:val="255"/>
        </w:trPr>
        <w:tc>
          <w:tcPr>
            <w:tcW w:w="1348" w:type="pct"/>
            <w:tcBorders>
              <w:top w:val="nil"/>
              <w:left w:val="single" w:sz="4" w:space="0" w:color="auto"/>
              <w:bottom w:val="single" w:sz="4" w:space="0" w:color="auto"/>
              <w:right w:val="single" w:sz="4" w:space="0" w:color="auto"/>
            </w:tcBorders>
            <w:shd w:val="clear" w:color="auto" w:fill="auto"/>
            <w:noWrap/>
            <w:vAlign w:val="bottom"/>
            <w:hideMark/>
          </w:tcPr>
          <w:p w:rsidR="003A497B" w:rsidRPr="008D4B5C" w:rsidRDefault="003A497B" w:rsidP="003E1809">
            <w:pPr>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 xml:space="preserve">    v tom: štátny rozpočet</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0</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97 143</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0</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2 233</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0</w:t>
            </w:r>
          </w:p>
        </w:tc>
        <w:tc>
          <w:tcPr>
            <w:tcW w:w="522"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0</w:t>
            </w:r>
          </w:p>
        </w:tc>
        <w:tc>
          <w:tcPr>
            <w:tcW w:w="520" w:type="pct"/>
            <w:tcBorders>
              <w:top w:val="nil"/>
              <w:left w:val="nil"/>
              <w:bottom w:val="single" w:sz="4" w:space="0" w:color="auto"/>
              <w:right w:val="single" w:sz="4" w:space="0" w:color="auto"/>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r w:rsidRPr="008D4B5C">
              <w:rPr>
                <w:rFonts w:ascii="Times New Roman" w:hAnsi="Times New Roman" w:cs="Times New Roman"/>
                <w:color w:val="000000"/>
                <w:sz w:val="14"/>
                <w:szCs w:val="14"/>
                <w:lang w:eastAsia="sk-SK"/>
              </w:rPr>
              <w:t>0</w:t>
            </w:r>
          </w:p>
        </w:tc>
      </w:tr>
      <w:tr w:rsidR="003A497B" w:rsidRPr="008D4B5C" w:rsidTr="003E1809">
        <w:trPr>
          <w:trHeight w:val="255"/>
        </w:trPr>
        <w:tc>
          <w:tcPr>
            <w:tcW w:w="1348" w:type="pct"/>
            <w:tcBorders>
              <w:top w:val="nil"/>
              <w:left w:val="nil"/>
              <w:bottom w:val="nil"/>
              <w:right w:val="nil"/>
            </w:tcBorders>
            <w:shd w:val="clear" w:color="auto" w:fill="auto"/>
            <w:noWrap/>
            <w:vAlign w:val="bottom"/>
            <w:hideMark/>
          </w:tcPr>
          <w:p w:rsidR="003A497B" w:rsidRPr="008D4B5C" w:rsidRDefault="003A497B" w:rsidP="003E1809">
            <w:pPr>
              <w:jc w:val="right"/>
              <w:rPr>
                <w:rFonts w:ascii="Times New Roman" w:hAnsi="Times New Roman" w:cs="Times New Roman"/>
                <w:color w:val="000000"/>
                <w:sz w:val="14"/>
                <w:szCs w:val="14"/>
                <w:lang w:eastAsia="sk-SK"/>
              </w:rPr>
            </w:pPr>
          </w:p>
        </w:tc>
        <w:tc>
          <w:tcPr>
            <w:tcW w:w="522" w:type="pct"/>
            <w:tcBorders>
              <w:top w:val="nil"/>
              <w:left w:val="nil"/>
              <w:bottom w:val="nil"/>
              <w:right w:val="nil"/>
            </w:tcBorders>
            <w:shd w:val="clear" w:color="auto" w:fill="auto"/>
            <w:noWrap/>
            <w:vAlign w:val="bottom"/>
            <w:hideMark/>
          </w:tcPr>
          <w:p w:rsidR="003A497B" w:rsidRPr="008D4B5C" w:rsidRDefault="003A497B" w:rsidP="003E1809">
            <w:pPr>
              <w:rPr>
                <w:rFonts w:ascii="Times New Roman" w:hAnsi="Times New Roman" w:cs="Times New Roman"/>
                <w:sz w:val="20"/>
                <w:szCs w:val="20"/>
                <w:lang w:eastAsia="sk-SK"/>
              </w:rPr>
            </w:pPr>
          </w:p>
        </w:tc>
        <w:tc>
          <w:tcPr>
            <w:tcW w:w="522" w:type="pct"/>
            <w:tcBorders>
              <w:top w:val="nil"/>
              <w:left w:val="nil"/>
              <w:bottom w:val="nil"/>
              <w:right w:val="nil"/>
            </w:tcBorders>
            <w:shd w:val="clear" w:color="auto" w:fill="auto"/>
            <w:noWrap/>
            <w:vAlign w:val="bottom"/>
            <w:hideMark/>
          </w:tcPr>
          <w:p w:rsidR="003A497B" w:rsidRPr="008D4B5C" w:rsidRDefault="003A497B" w:rsidP="003E1809">
            <w:pPr>
              <w:rPr>
                <w:rFonts w:ascii="Times New Roman" w:hAnsi="Times New Roman" w:cs="Times New Roman"/>
                <w:sz w:val="20"/>
                <w:szCs w:val="20"/>
                <w:lang w:eastAsia="sk-SK"/>
              </w:rPr>
            </w:pPr>
          </w:p>
        </w:tc>
        <w:tc>
          <w:tcPr>
            <w:tcW w:w="522" w:type="pct"/>
            <w:tcBorders>
              <w:top w:val="nil"/>
              <w:left w:val="nil"/>
              <w:bottom w:val="nil"/>
              <w:right w:val="nil"/>
            </w:tcBorders>
            <w:shd w:val="clear" w:color="auto" w:fill="auto"/>
            <w:noWrap/>
            <w:vAlign w:val="bottom"/>
            <w:hideMark/>
          </w:tcPr>
          <w:p w:rsidR="003A497B" w:rsidRPr="008D4B5C" w:rsidRDefault="003A497B" w:rsidP="003E1809">
            <w:pPr>
              <w:rPr>
                <w:rFonts w:ascii="Times New Roman" w:hAnsi="Times New Roman" w:cs="Times New Roman"/>
                <w:sz w:val="20"/>
                <w:szCs w:val="20"/>
                <w:lang w:eastAsia="sk-SK"/>
              </w:rPr>
            </w:pPr>
          </w:p>
        </w:tc>
        <w:tc>
          <w:tcPr>
            <w:tcW w:w="522" w:type="pct"/>
            <w:tcBorders>
              <w:top w:val="nil"/>
              <w:left w:val="nil"/>
              <w:bottom w:val="nil"/>
              <w:right w:val="nil"/>
            </w:tcBorders>
            <w:shd w:val="clear" w:color="auto" w:fill="auto"/>
            <w:noWrap/>
            <w:vAlign w:val="bottom"/>
            <w:hideMark/>
          </w:tcPr>
          <w:p w:rsidR="003A497B" w:rsidRPr="008D4B5C" w:rsidRDefault="003A497B" w:rsidP="003E1809">
            <w:pPr>
              <w:rPr>
                <w:rFonts w:ascii="Times New Roman" w:hAnsi="Times New Roman" w:cs="Times New Roman"/>
                <w:sz w:val="20"/>
                <w:szCs w:val="20"/>
                <w:lang w:eastAsia="sk-SK"/>
              </w:rPr>
            </w:pPr>
          </w:p>
        </w:tc>
        <w:tc>
          <w:tcPr>
            <w:tcW w:w="522" w:type="pct"/>
            <w:tcBorders>
              <w:top w:val="nil"/>
              <w:left w:val="nil"/>
              <w:bottom w:val="nil"/>
              <w:right w:val="nil"/>
            </w:tcBorders>
            <w:shd w:val="clear" w:color="auto" w:fill="auto"/>
            <w:noWrap/>
            <w:vAlign w:val="bottom"/>
            <w:hideMark/>
          </w:tcPr>
          <w:p w:rsidR="003A497B" w:rsidRPr="008D4B5C" w:rsidRDefault="003A497B" w:rsidP="003E1809">
            <w:pPr>
              <w:rPr>
                <w:rFonts w:ascii="Times New Roman" w:hAnsi="Times New Roman" w:cs="Times New Roman"/>
                <w:sz w:val="20"/>
                <w:szCs w:val="20"/>
                <w:lang w:eastAsia="sk-SK"/>
              </w:rPr>
            </w:pPr>
          </w:p>
        </w:tc>
        <w:tc>
          <w:tcPr>
            <w:tcW w:w="522" w:type="pct"/>
            <w:tcBorders>
              <w:top w:val="nil"/>
              <w:left w:val="nil"/>
              <w:bottom w:val="nil"/>
              <w:right w:val="nil"/>
            </w:tcBorders>
            <w:shd w:val="clear" w:color="auto" w:fill="auto"/>
            <w:noWrap/>
            <w:vAlign w:val="bottom"/>
            <w:hideMark/>
          </w:tcPr>
          <w:p w:rsidR="003A497B" w:rsidRPr="008D4B5C" w:rsidRDefault="003A497B" w:rsidP="003E1809">
            <w:pPr>
              <w:rPr>
                <w:rFonts w:ascii="Times New Roman" w:hAnsi="Times New Roman" w:cs="Times New Roman"/>
                <w:sz w:val="20"/>
                <w:szCs w:val="20"/>
                <w:lang w:eastAsia="sk-SK"/>
              </w:rPr>
            </w:pPr>
          </w:p>
        </w:tc>
        <w:tc>
          <w:tcPr>
            <w:tcW w:w="520" w:type="pct"/>
            <w:tcBorders>
              <w:top w:val="nil"/>
              <w:left w:val="nil"/>
              <w:bottom w:val="nil"/>
              <w:right w:val="nil"/>
            </w:tcBorders>
            <w:shd w:val="clear" w:color="auto" w:fill="auto"/>
            <w:noWrap/>
            <w:vAlign w:val="bottom"/>
            <w:hideMark/>
          </w:tcPr>
          <w:p w:rsidR="003A497B" w:rsidRPr="008D4B5C" w:rsidRDefault="003A497B" w:rsidP="003E1809">
            <w:pPr>
              <w:rPr>
                <w:rFonts w:ascii="Times New Roman" w:hAnsi="Times New Roman" w:cs="Times New Roman"/>
                <w:sz w:val="20"/>
                <w:szCs w:val="20"/>
                <w:lang w:eastAsia="sk-SK"/>
              </w:rPr>
            </w:pPr>
          </w:p>
        </w:tc>
      </w:tr>
      <w:tr w:rsidR="003A497B" w:rsidRPr="008D4B5C" w:rsidTr="003E1809">
        <w:trPr>
          <w:trHeight w:val="255"/>
        </w:trPr>
        <w:tc>
          <w:tcPr>
            <w:tcW w:w="1348"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3A497B" w:rsidRPr="008D4B5C" w:rsidRDefault="003A497B" w:rsidP="003E1809">
            <w:pPr>
              <w:rPr>
                <w:rFonts w:ascii="Times New Roman" w:hAnsi="Times New Roman" w:cs="Times New Roman"/>
                <w:b/>
                <w:bCs/>
                <w:color w:val="000000"/>
                <w:sz w:val="14"/>
                <w:szCs w:val="14"/>
                <w:lang w:eastAsia="sk-SK"/>
              </w:rPr>
            </w:pPr>
            <w:r w:rsidRPr="008D4B5C">
              <w:rPr>
                <w:rFonts w:ascii="Times New Roman" w:hAnsi="Times New Roman" w:cs="Times New Roman"/>
                <w:b/>
                <w:bCs/>
                <w:color w:val="000000"/>
                <w:sz w:val="14"/>
                <w:szCs w:val="14"/>
                <w:lang w:eastAsia="sk-SK"/>
              </w:rPr>
              <w:t xml:space="preserve">Samostatné účty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3A497B" w:rsidRPr="00E079F1" w:rsidRDefault="003A497B" w:rsidP="003E1809">
            <w:pPr>
              <w:jc w:val="right"/>
              <w:rPr>
                <w:rFonts w:ascii="Times New Roman" w:hAnsi="Times New Roman" w:cs="Times New Roman"/>
                <w:b/>
                <w:color w:val="000000"/>
                <w:sz w:val="14"/>
                <w:szCs w:val="14"/>
                <w:lang w:eastAsia="sk-SK"/>
              </w:rPr>
            </w:pPr>
            <w:r w:rsidRPr="00E079F1">
              <w:rPr>
                <w:rFonts w:ascii="Times New Roman" w:hAnsi="Times New Roman" w:cs="Times New Roman"/>
                <w:b/>
                <w:color w:val="000000"/>
                <w:sz w:val="14"/>
                <w:szCs w:val="14"/>
                <w:lang w:eastAsia="sk-SK"/>
              </w:rPr>
              <w:t>72 339</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3A497B" w:rsidRPr="00E079F1" w:rsidRDefault="003A497B" w:rsidP="003E1809">
            <w:pPr>
              <w:jc w:val="right"/>
              <w:rPr>
                <w:rFonts w:ascii="Times New Roman" w:hAnsi="Times New Roman" w:cs="Times New Roman"/>
                <w:b/>
                <w:color w:val="000000"/>
                <w:sz w:val="14"/>
                <w:szCs w:val="14"/>
                <w:lang w:eastAsia="sk-SK"/>
              </w:rPr>
            </w:pPr>
            <w:r w:rsidRPr="00E079F1">
              <w:rPr>
                <w:rFonts w:ascii="Times New Roman" w:hAnsi="Times New Roman" w:cs="Times New Roman"/>
                <w:b/>
                <w:color w:val="000000"/>
                <w:sz w:val="14"/>
                <w:szCs w:val="14"/>
                <w:lang w:eastAsia="sk-SK"/>
              </w:rPr>
              <w:t>66 157</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3A497B" w:rsidRPr="00E079F1" w:rsidRDefault="003A497B" w:rsidP="003E1809">
            <w:pPr>
              <w:jc w:val="right"/>
              <w:rPr>
                <w:rFonts w:ascii="Times New Roman" w:hAnsi="Times New Roman" w:cs="Times New Roman"/>
                <w:b/>
                <w:color w:val="000000"/>
                <w:sz w:val="14"/>
                <w:szCs w:val="14"/>
                <w:lang w:eastAsia="sk-SK"/>
              </w:rPr>
            </w:pPr>
            <w:r w:rsidRPr="00E079F1">
              <w:rPr>
                <w:rFonts w:ascii="Times New Roman" w:hAnsi="Times New Roman" w:cs="Times New Roman"/>
                <w:b/>
                <w:color w:val="000000"/>
                <w:sz w:val="14"/>
                <w:szCs w:val="14"/>
                <w:lang w:eastAsia="sk-SK"/>
              </w:rPr>
              <w:t>0</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3A497B" w:rsidRPr="00E079F1" w:rsidRDefault="003A497B" w:rsidP="003E1809">
            <w:pPr>
              <w:jc w:val="right"/>
              <w:rPr>
                <w:rFonts w:ascii="Times New Roman" w:hAnsi="Times New Roman" w:cs="Times New Roman"/>
                <w:b/>
                <w:color w:val="000000"/>
                <w:sz w:val="14"/>
                <w:szCs w:val="14"/>
                <w:lang w:eastAsia="sk-SK"/>
              </w:rPr>
            </w:pPr>
            <w:r w:rsidRPr="00E079F1">
              <w:rPr>
                <w:rFonts w:ascii="Times New Roman" w:hAnsi="Times New Roman" w:cs="Times New Roman"/>
                <w:b/>
                <w:color w:val="000000"/>
                <w:sz w:val="14"/>
                <w:szCs w:val="14"/>
                <w:lang w:eastAsia="sk-SK"/>
              </w:rPr>
              <w:t>0</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3A497B" w:rsidRPr="00E079F1" w:rsidRDefault="003A497B" w:rsidP="003E1809">
            <w:pPr>
              <w:jc w:val="right"/>
              <w:rPr>
                <w:rFonts w:ascii="Times New Roman" w:hAnsi="Times New Roman" w:cs="Times New Roman"/>
                <w:b/>
                <w:color w:val="000000"/>
                <w:sz w:val="14"/>
                <w:szCs w:val="14"/>
                <w:lang w:eastAsia="sk-SK"/>
              </w:rPr>
            </w:pPr>
            <w:r w:rsidRPr="00E079F1">
              <w:rPr>
                <w:rFonts w:ascii="Times New Roman" w:hAnsi="Times New Roman" w:cs="Times New Roman"/>
                <w:b/>
                <w:color w:val="000000"/>
                <w:sz w:val="14"/>
                <w:szCs w:val="14"/>
                <w:lang w:eastAsia="sk-SK"/>
              </w:rPr>
              <w:t>0</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3A497B" w:rsidRPr="00E079F1" w:rsidRDefault="003A497B" w:rsidP="003E1809">
            <w:pPr>
              <w:jc w:val="right"/>
              <w:rPr>
                <w:rFonts w:ascii="Times New Roman" w:hAnsi="Times New Roman" w:cs="Times New Roman"/>
                <w:b/>
                <w:color w:val="000000"/>
                <w:sz w:val="14"/>
                <w:szCs w:val="14"/>
                <w:lang w:eastAsia="sk-SK"/>
              </w:rPr>
            </w:pPr>
            <w:r w:rsidRPr="00E079F1">
              <w:rPr>
                <w:rFonts w:ascii="Times New Roman" w:hAnsi="Times New Roman" w:cs="Times New Roman"/>
                <w:b/>
                <w:color w:val="000000"/>
                <w:sz w:val="14"/>
                <w:szCs w:val="14"/>
                <w:lang w:eastAsia="sk-SK"/>
              </w:rPr>
              <w:t>0</w:t>
            </w:r>
          </w:p>
        </w:tc>
        <w:tc>
          <w:tcPr>
            <w:tcW w:w="520" w:type="pct"/>
            <w:tcBorders>
              <w:top w:val="single" w:sz="4" w:space="0" w:color="auto"/>
              <w:left w:val="nil"/>
              <w:bottom w:val="single" w:sz="4" w:space="0" w:color="auto"/>
              <w:right w:val="single" w:sz="4" w:space="0" w:color="auto"/>
            </w:tcBorders>
            <w:shd w:val="clear" w:color="auto" w:fill="auto"/>
            <w:noWrap/>
            <w:vAlign w:val="bottom"/>
            <w:hideMark/>
          </w:tcPr>
          <w:p w:rsidR="003A497B" w:rsidRPr="00E079F1" w:rsidRDefault="003A497B" w:rsidP="003E1809">
            <w:pPr>
              <w:jc w:val="right"/>
              <w:rPr>
                <w:rFonts w:ascii="Times New Roman" w:hAnsi="Times New Roman" w:cs="Times New Roman"/>
                <w:b/>
                <w:color w:val="000000"/>
                <w:sz w:val="14"/>
                <w:szCs w:val="14"/>
                <w:lang w:eastAsia="sk-SK"/>
              </w:rPr>
            </w:pPr>
            <w:r w:rsidRPr="00E079F1">
              <w:rPr>
                <w:rFonts w:ascii="Times New Roman" w:hAnsi="Times New Roman" w:cs="Times New Roman"/>
                <w:b/>
                <w:color w:val="000000"/>
                <w:sz w:val="14"/>
                <w:szCs w:val="14"/>
                <w:lang w:eastAsia="sk-SK"/>
              </w:rPr>
              <w:t>0</w:t>
            </w:r>
          </w:p>
        </w:tc>
      </w:tr>
    </w:tbl>
    <w:p w:rsidR="003A497B" w:rsidRDefault="003A497B" w:rsidP="003A497B">
      <w:pPr>
        <w:rPr>
          <w:lang w:eastAsia="sk-SK"/>
        </w:rPr>
      </w:pPr>
    </w:p>
    <w:p w:rsidR="003A497B" w:rsidRDefault="003A497B" w:rsidP="003A497B">
      <w:pPr>
        <w:jc w:val="both"/>
        <w:rPr>
          <w:rFonts w:ascii="Times New Roman" w:hAnsi="Times New Roman" w:cs="Times New Roman"/>
        </w:rPr>
      </w:pPr>
      <w:r>
        <w:rPr>
          <w:rFonts w:ascii="Times New Roman" w:hAnsi="Times New Roman" w:cs="Times New Roman"/>
        </w:rPr>
        <w:lastRenderedPageBreak/>
        <w:tab/>
      </w:r>
      <w:r w:rsidRPr="00486D32">
        <w:rPr>
          <w:rFonts w:ascii="Times New Roman" w:hAnsi="Times New Roman" w:cs="Times New Roman"/>
        </w:rPr>
        <w:t xml:space="preserve">Výdavky kapitoly Úradu pre normalizáciu, metrológiu a skúšobníctvo SR rozpočtované  na rok </w:t>
      </w:r>
      <w:r>
        <w:rPr>
          <w:rFonts w:ascii="Times New Roman" w:hAnsi="Times New Roman" w:cs="Times New Roman"/>
        </w:rPr>
        <w:t xml:space="preserve">2019 v sume 6,16 mil. eur </w:t>
      </w:r>
      <w:r w:rsidRPr="00486D32">
        <w:rPr>
          <w:rFonts w:ascii="Times New Roman" w:hAnsi="Times New Roman" w:cs="Times New Roman"/>
        </w:rPr>
        <w:t xml:space="preserve">sú oproti </w:t>
      </w:r>
      <w:r>
        <w:rPr>
          <w:rFonts w:ascii="Times New Roman" w:hAnsi="Times New Roman" w:cs="Times New Roman"/>
        </w:rPr>
        <w:t>schválenému rozpočtu na rok 2018</w:t>
      </w:r>
      <w:r w:rsidRPr="00486D32">
        <w:rPr>
          <w:rFonts w:ascii="Times New Roman" w:hAnsi="Times New Roman" w:cs="Times New Roman"/>
        </w:rPr>
        <w:t xml:space="preserve"> </w:t>
      </w:r>
      <w:r>
        <w:rPr>
          <w:rFonts w:ascii="Times New Roman" w:hAnsi="Times New Roman" w:cs="Times New Roman"/>
        </w:rPr>
        <w:t>vyššie</w:t>
      </w:r>
      <w:r w:rsidRPr="00486D32">
        <w:rPr>
          <w:rFonts w:ascii="Times New Roman" w:hAnsi="Times New Roman" w:cs="Times New Roman"/>
        </w:rPr>
        <w:t xml:space="preserve"> </w:t>
      </w:r>
      <w:r>
        <w:rPr>
          <w:rFonts w:ascii="Times New Roman" w:hAnsi="Times New Roman" w:cs="Times New Roman"/>
        </w:rPr>
        <w:br/>
      </w:r>
      <w:r w:rsidRPr="00486D32">
        <w:rPr>
          <w:rFonts w:ascii="Times New Roman" w:hAnsi="Times New Roman" w:cs="Times New Roman"/>
        </w:rPr>
        <w:t>o</w:t>
      </w:r>
      <w:r>
        <w:rPr>
          <w:rFonts w:ascii="Times New Roman" w:hAnsi="Times New Roman" w:cs="Times New Roman"/>
        </w:rPr>
        <w:t>  1,04 mil. eur, t. j. o 20,4 %, pričom kapitola zaznamenáva nárast výdavkov vo všetkých kategóriách.</w:t>
      </w:r>
    </w:p>
    <w:p w:rsidR="003A497B" w:rsidRPr="004547C1" w:rsidRDefault="003A497B" w:rsidP="003A497B">
      <w:pPr>
        <w:jc w:val="both"/>
        <w:rPr>
          <w:rFonts w:ascii="Times New Roman" w:hAnsi="Times New Roman" w:cs="Times New Roman"/>
        </w:rPr>
      </w:pPr>
    </w:p>
    <w:p w:rsidR="003A497B" w:rsidRDefault="003A497B" w:rsidP="003A497B">
      <w:pPr>
        <w:jc w:val="both"/>
        <w:rPr>
          <w:rFonts w:ascii="Times New Roman" w:hAnsi="Times New Roman" w:cs="Times New Roman"/>
        </w:rPr>
      </w:pPr>
      <w:r>
        <w:rPr>
          <w:rFonts w:ascii="Times New Roman" w:hAnsi="Times New Roman" w:cs="Times New Roman"/>
        </w:rPr>
        <w:tab/>
      </w:r>
      <w:r w:rsidRPr="004547C1">
        <w:rPr>
          <w:rFonts w:ascii="Times New Roman" w:hAnsi="Times New Roman" w:cs="Times New Roman"/>
        </w:rPr>
        <w:t xml:space="preserve">Osobné </w:t>
      </w:r>
      <w:r>
        <w:rPr>
          <w:rFonts w:ascii="Times New Roman" w:hAnsi="Times New Roman" w:cs="Times New Roman"/>
        </w:rPr>
        <w:t>výdavky sú na rok 2019 rozpočtované v sume 3,03</w:t>
      </w:r>
      <w:r w:rsidRPr="004547C1">
        <w:rPr>
          <w:rFonts w:ascii="Times New Roman" w:hAnsi="Times New Roman" w:cs="Times New Roman"/>
        </w:rPr>
        <w:t xml:space="preserve"> mil. eur </w:t>
      </w:r>
      <w:r>
        <w:rPr>
          <w:rFonts w:ascii="Times New Roman" w:hAnsi="Times New Roman" w:cs="Times New Roman"/>
        </w:rPr>
        <w:t xml:space="preserve">a </w:t>
      </w:r>
      <w:r w:rsidRPr="004547C1">
        <w:rPr>
          <w:rFonts w:ascii="Times New Roman" w:hAnsi="Times New Roman" w:cs="Times New Roman"/>
        </w:rPr>
        <w:t xml:space="preserve">oproti </w:t>
      </w:r>
      <w:r>
        <w:rPr>
          <w:rFonts w:ascii="Times New Roman" w:hAnsi="Times New Roman" w:cs="Times New Roman"/>
        </w:rPr>
        <w:t>schválenému rozpočtu na rok 2018 rastú o 508</w:t>
      </w:r>
      <w:r w:rsidRPr="004547C1">
        <w:rPr>
          <w:rFonts w:ascii="Times New Roman" w:hAnsi="Times New Roman" w:cs="Times New Roman"/>
        </w:rPr>
        <w:t xml:space="preserve"> tis. eur</w:t>
      </w:r>
      <w:r>
        <w:rPr>
          <w:rFonts w:ascii="Times New Roman" w:hAnsi="Times New Roman" w:cs="Times New Roman"/>
        </w:rPr>
        <w:t xml:space="preserve"> najmä </w:t>
      </w:r>
      <w:r w:rsidRPr="004547C1">
        <w:rPr>
          <w:rFonts w:ascii="Times New Roman" w:hAnsi="Times New Roman" w:cs="Times New Roman"/>
        </w:rPr>
        <w:t>z</w:t>
      </w:r>
      <w:r>
        <w:rPr>
          <w:rFonts w:ascii="Times New Roman" w:hAnsi="Times New Roman" w:cs="Times New Roman"/>
        </w:rPr>
        <w:t> </w:t>
      </w:r>
      <w:r w:rsidRPr="004547C1">
        <w:rPr>
          <w:rFonts w:ascii="Times New Roman" w:hAnsi="Times New Roman" w:cs="Times New Roman"/>
        </w:rPr>
        <w:t>dôvodu</w:t>
      </w:r>
      <w:r>
        <w:rPr>
          <w:rFonts w:ascii="Times New Roman" w:hAnsi="Times New Roman" w:cs="Times New Roman"/>
        </w:rPr>
        <w:t xml:space="preserve"> premietnutia</w:t>
      </w:r>
      <w:r w:rsidRPr="004547C1">
        <w:rPr>
          <w:rFonts w:ascii="Times New Roman" w:hAnsi="Times New Roman" w:cs="Times New Roman"/>
        </w:rPr>
        <w:t xml:space="preserve"> valorizácie </w:t>
      </w:r>
      <w:r>
        <w:rPr>
          <w:rFonts w:ascii="Times New Roman" w:hAnsi="Times New Roman" w:cs="Times New Roman"/>
        </w:rPr>
        <w:t>z roku 2018 do nasledujúcich rokov a tiež z dôvodu zabezpečenia plnenia nových úloh</w:t>
      </w:r>
      <w:r w:rsidRPr="004547C1">
        <w:rPr>
          <w:rFonts w:ascii="Times New Roman" w:hAnsi="Times New Roman" w:cs="Times New Roman"/>
        </w:rPr>
        <w:t>.</w:t>
      </w:r>
    </w:p>
    <w:p w:rsidR="003A497B" w:rsidRPr="004547C1" w:rsidRDefault="003A497B" w:rsidP="003A497B">
      <w:pPr>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sidRPr="004547C1">
        <w:rPr>
          <w:rFonts w:ascii="Times New Roman" w:hAnsi="Times New Roman" w:cs="Times New Roman"/>
        </w:rPr>
        <w:t>Výdavky na tovar</w:t>
      </w:r>
      <w:r>
        <w:rPr>
          <w:rFonts w:ascii="Times New Roman" w:hAnsi="Times New Roman" w:cs="Times New Roman"/>
        </w:rPr>
        <w:t>y a služby rozpočtované na rok 2019 v sume 1,49</w:t>
      </w:r>
      <w:r w:rsidRPr="004547C1">
        <w:rPr>
          <w:rFonts w:ascii="Times New Roman" w:hAnsi="Times New Roman" w:cs="Times New Roman"/>
        </w:rPr>
        <w:t xml:space="preserve"> mil. eur </w:t>
      </w:r>
      <w:r>
        <w:rPr>
          <w:rFonts w:ascii="Times New Roman" w:hAnsi="Times New Roman" w:cs="Times New Roman"/>
        </w:rPr>
        <w:t>rastú</w:t>
      </w:r>
      <w:r w:rsidRPr="004547C1">
        <w:rPr>
          <w:rFonts w:ascii="Times New Roman" w:hAnsi="Times New Roman" w:cs="Times New Roman"/>
        </w:rPr>
        <w:t xml:space="preserve"> </w:t>
      </w:r>
      <w:r>
        <w:rPr>
          <w:rFonts w:ascii="Times New Roman" w:hAnsi="Times New Roman" w:cs="Times New Roman"/>
        </w:rPr>
        <w:t>v porovnaní so</w:t>
      </w:r>
      <w:r w:rsidRPr="004547C1">
        <w:rPr>
          <w:rFonts w:ascii="Times New Roman" w:hAnsi="Times New Roman" w:cs="Times New Roman"/>
        </w:rPr>
        <w:t xml:space="preserve"> </w:t>
      </w:r>
      <w:r>
        <w:rPr>
          <w:rFonts w:ascii="Times New Roman" w:hAnsi="Times New Roman" w:cs="Times New Roman"/>
        </w:rPr>
        <w:t>schváleným rozpočtom na rok 2018 o 42,8</w:t>
      </w:r>
      <w:r w:rsidRPr="004547C1">
        <w:rPr>
          <w:rFonts w:ascii="Times New Roman" w:hAnsi="Times New Roman" w:cs="Times New Roman"/>
        </w:rPr>
        <w:t xml:space="preserve"> tis. eur</w:t>
      </w:r>
      <w:r>
        <w:rPr>
          <w:rFonts w:ascii="Times New Roman" w:hAnsi="Times New Roman" w:cs="Times New Roman"/>
        </w:rPr>
        <w:t>, t. j. o 2,96</w:t>
      </w:r>
      <w:r w:rsidRPr="004547C1">
        <w:rPr>
          <w:rFonts w:ascii="Times New Roman" w:hAnsi="Times New Roman" w:cs="Times New Roman"/>
        </w:rPr>
        <w:t xml:space="preserve"> %</w:t>
      </w:r>
      <w:r>
        <w:rPr>
          <w:rFonts w:ascii="Times New Roman" w:hAnsi="Times New Roman" w:cs="Times New Roman"/>
        </w:rPr>
        <w:t xml:space="preserve"> </w:t>
      </w:r>
      <w:r w:rsidRPr="006508EE">
        <w:rPr>
          <w:rFonts w:ascii="Times New Roman" w:hAnsi="Times New Roman" w:cs="Times New Roman"/>
        </w:rPr>
        <w:t xml:space="preserve">v nadväznosti na </w:t>
      </w:r>
      <w:r>
        <w:rPr>
          <w:rFonts w:ascii="Times New Roman" w:hAnsi="Times New Roman" w:cs="Times New Roman"/>
        </w:rPr>
        <w:t>rozpočtovanie jednorazových výdavkov v súvislosti s organizáciou 54. zasadnutia Medzinárodného výboru pre legálnu metrológiu v Bratislave</w:t>
      </w:r>
      <w:r w:rsidRPr="006508EE">
        <w:rPr>
          <w:rFonts w:ascii="Times New Roman" w:hAnsi="Times New Roman" w:cs="Times New Roman"/>
        </w:rPr>
        <w:t>.</w:t>
      </w:r>
    </w:p>
    <w:p w:rsidR="003A497B" w:rsidRPr="004547C1" w:rsidRDefault="003A497B" w:rsidP="003A497B">
      <w:pPr>
        <w:jc w:val="both"/>
        <w:rPr>
          <w:rFonts w:ascii="Times New Roman" w:hAnsi="Times New Roman" w:cs="Times New Roman"/>
        </w:rPr>
      </w:pPr>
    </w:p>
    <w:p w:rsidR="003A497B" w:rsidRDefault="003A497B" w:rsidP="003A497B">
      <w:pPr>
        <w:jc w:val="both"/>
        <w:rPr>
          <w:rFonts w:ascii="Times New Roman" w:hAnsi="Times New Roman" w:cs="Times New Roman"/>
        </w:rPr>
      </w:pPr>
      <w:r>
        <w:rPr>
          <w:rFonts w:ascii="Times New Roman" w:hAnsi="Times New Roman" w:cs="Times New Roman"/>
        </w:rPr>
        <w:tab/>
      </w:r>
      <w:r w:rsidRPr="004547C1">
        <w:rPr>
          <w:rFonts w:ascii="Times New Roman" w:hAnsi="Times New Roman" w:cs="Times New Roman"/>
        </w:rPr>
        <w:t>Výdavky na bežné transfe</w:t>
      </w:r>
      <w:r>
        <w:rPr>
          <w:rFonts w:ascii="Times New Roman" w:hAnsi="Times New Roman" w:cs="Times New Roman"/>
        </w:rPr>
        <w:t xml:space="preserve">ry v sume 1,22 mil. eur rastú </w:t>
      </w:r>
      <w:r w:rsidRPr="004547C1">
        <w:rPr>
          <w:rFonts w:ascii="Times New Roman" w:hAnsi="Times New Roman" w:cs="Times New Roman"/>
        </w:rPr>
        <w:t xml:space="preserve">oproti </w:t>
      </w:r>
      <w:r>
        <w:rPr>
          <w:rFonts w:ascii="Times New Roman" w:hAnsi="Times New Roman" w:cs="Times New Roman"/>
        </w:rPr>
        <w:t>schválenému rozpočtu na rok 2018 o 106 tis. eur, t. j. o 9,49 %</w:t>
      </w:r>
      <w:r w:rsidRPr="006776E8">
        <w:rPr>
          <w:rFonts w:ascii="Times New Roman" w:hAnsi="Times New Roman" w:cs="Times New Roman"/>
        </w:rPr>
        <w:t xml:space="preserve"> z</w:t>
      </w:r>
      <w:r>
        <w:rPr>
          <w:rFonts w:ascii="Times New Roman" w:hAnsi="Times New Roman" w:cs="Times New Roman"/>
        </w:rPr>
        <w:t> </w:t>
      </w:r>
      <w:r w:rsidRPr="006776E8">
        <w:rPr>
          <w:rFonts w:ascii="Times New Roman" w:hAnsi="Times New Roman" w:cs="Times New Roman"/>
        </w:rPr>
        <w:t>dôvodu</w:t>
      </w:r>
      <w:r>
        <w:rPr>
          <w:rFonts w:ascii="Times New Roman" w:hAnsi="Times New Roman" w:cs="Times New Roman"/>
        </w:rPr>
        <w:t xml:space="preserve"> valorizácie platov zamestnancov príspevkovej organizácie a zvýšenia transferu na úhradu členstva Slovenskej republiky v medzinárodných organizáciách.</w:t>
      </w:r>
    </w:p>
    <w:p w:rsidR="003A497B" w:rsidRPr="004547C1" w:rsidRDefault="003A497B" w:rsidP="003A497B">
      <w:pPr>
        <w:jc w:val="both"/>
        <w:rPr>
          <w:rFonts w:ascii="Times New Roman" w:hAnsi="Times New Roman" w:cs="Times New Roman"/>
        </w:rPr>
      </w:pPr>
    </w:p>
    <w:p w:rsidR="003A497B" w:rsidRPr="006776E8" w:rsidRDefault="003A497B" w:rsidP="003A497B">
      <w:pPr>
        <w:jc w:val="both"/>
        <w:rPr>
          <w:rFonts w:ascii="Times New Roman" w:hAnsi="Times New Roman" w:cs="Times New Roman"/>
        </w:rPr>
      </w:pPr>
      <w:r>
        <w:rPr>
          <w:rFonts w:ascii="Times New Roman" w:hAnsi="Times New Roman" w:cs="Times New Roman"/>
        </w:rPr>
        <w:tab/>
        <w:t>Kapitálové výdavky sú na rok 2019</w:t>
      </w:r>
      <w:r w:rsidRPr="006776E8">
        <w:rPr>
          <w:rFonts w:ascii="Times New Roman" w:hAnsi="Times New Roman" w:cs="Times New Roman"/>
        </w:rPr>
        <w:t xml:space="preserve"> </w:t>
      </w:r>
      <w:r>
        <w:rPr>
          <w:rFonts w:ascii="Times New Roman" w:hAnsi="Times New Roman" w:cs="Times New Roman"/>
        </w:rPr>
        <w:t xml:space="preserve">rozpočtované </w:t>
      </w:r>
      <w:r w:rsidRPr="006776E8">
        <w:rPr>
          <w:rFonts w:ascii="Times New Roman" w:hAnsi="Times New Roman" w:cs="Times New Roman"/>
        </w:rPr>
        <w:t xml:space="preserve">vo výške </w:t>
      </w:r>
      <w:r>
        <w:rPr>
          <w:rFonts w:ascii="Times New Roman" w:hAnsi="Times New Roman" w:cs="Times New Roman"/>
        </w:rPr>
        <w:t>416</w:t>
      </w:r>
      <w:r w:rsidRPr="006776E8">
        <w:rPr>
          <w:rFonts w:ascii="Times New Roman" w:hAnsi="Times New Roman" w:cs="Times New Roman"/>
        </w:rPr>
        <w:t xml:space="preserve"> </w:t>
      </w:r>
      <w:r>
        <w:rPr>
          <w:rFonts w:ascii="Times New Roman" w:hAnsi="Times New Roman" w:cs="Times New Roman"/>
        </w:rPr>
        <w:t>tis</w:t>
      </w:r>
      <w:r w:rsidRPr="006776E8">
        <w:rPr>
          <w:rFonts w:ascii="Times New Roman" w:hAnsi="Times New Roman" w:cs="Times New Roman"/>
        </w:rPr>
        <w:t>. eur.</w:t>
      </w:r>
      <w:r>
        <w:rPr>
          <w:rFonts w:ascii="Times New Roman" w:hAnsi="Times New Roman" w:cs="Times New Roman"/>
        </w:rPr>
        <w:t xml:space="preserve"> </w:t>
      </w:r>
      <w:r w:rsidRPr="006776E8">
        <w:rPr>
          <w:rFonts w:ascii="Times New Roman" w:hAnsi="Times New Roman" w:cs="Times New Roman"/>
        </w:rPr>
        <w:t xml:space="preserve">Sú </w:t>
      </w:r>
      <w:r>
        <w:rPr>
          <w:rFonts w:ascii="Times New Roman" w:hAnsi="Times New Roman" w:cs="Times New Roman"/>
        </w:rPr>
        <w:t xml:space="preserve">určené </w:t>
      </w:r>
      <w:r w:rsidRPr="002953B1">
        <w:rPr>
          <w:rFonts w:ascii="Times New Roman" w:hAnsi="Times New Roman" w:cs="Times New Roman"/>
        </w:rPr>
        <w:t>na financovanie nevyhnutných výdavkov v o</w:t>
      </w:r>
      <w:r>
        <w:rPr>
          <w:rFonts w:ascii="Times New Roman" w:hAnsi="Times New Roman" w:cs="Times New Roman"/>
        </w:rPr>
        <w:t>blasti informačných technológií</w:t>
      </w:r>
      <w:r w:rsidRPr="002953B1">
        <w:rPr>
          <w:rFonts w:ascii="Times New Roman" w:hAnsi="Times New Roman" w:cs="Times New Roman"/>
        </w:rPr>
        <w:t xml:space="preserve"> </w:t>
      </w:r>
      <w:r>
        <w:rPr>
          <w:rFonts w:ascii="Times New Roman" w:hAnsi="Times New Roman" w:cs="Times New Roman"/>
        </w:rPr>
        <w:t xml:space="preserve">v rámci </w:t>
      </w:r>
      <w:r w:rsidRPr="006776E8">
        <w:rPr>
          <w:rFonts w:ascii="Times New Roman" w:hAnsi="Times New Roman" w:cs="Times New Roman"/>
        </w:rPr>
        <w:t xml:space="preserve">programu Informačné technológie financované zo štátneho rozpočtu. </w:t>
      </w:r>
      <w:r>
        <w:rPr>
          <w:rFonts w:ascii="Times New Roman" w:hAnsi="Times New Roman" w:cs="Times New Roman"/>
        </w:rPr>
        <w:t>V rámci kapitálových výdavkov sa tiež navrhuje transfer pre príspevkovú organizáciu Slovenský metrologický ústav na obnovu etalónov.</w:t>
      </w:r>
    </w:p>
    <w:p w:rsidR="003A497B" w:rsidRPr="00912A7B" w:rsidRDefault="003A497B" w:rsidP="003A497B">
      <w:pPr>
        <w:pStyle w:val="Nadpis5"/>
        <w:pBdr>
          <w:bottom w:val="single" w:sz="4" w:space="1" w:color="auto"/>
        </w:pBdr>
        <w:ind w:left="0"/>
        <w:rPr>
          <w:i w:val="0"/>
          <w:sz w:val="24"/>
          <w:lang w:eastAsia="sk-SK"/>
        </w:rPr>
      </w:pPr>
      <w:bookmarkStart w:id="287" w:name="_Toc400551781"/>
      <w:bookmarkStart w:id="288" w:name="_Toc463048277"/>
      <w:bookmarkStart w:id="289" w:name="_Toc494470120"/>
      <w:bookmarkStart w:id="290" w:name="_Toc494472296"/>
      <w:bookmarkStart w:id="291" w:name="_Toc526267721"/>
      <w:r w:rsidRPr="00912A7B">
        <w:rPr>
          <w:i w:val="0"/>
          <w:sz w:val="24"/>
          <w:lang w:eastAsia="sk-SK"/>
        </w:rPr>
        <w:t>Protimonopolný úrad SR</w:t>
      </w:r>
      <w:bookmarkEnd w:id="287"/>
      <w:bookmarkEnd w:id="288"/>
      <w:bookmarkEnd w:id="289"/>
      <w:bookmarkEnd w:id="290"/>
      <w:bookmarkEnd w:id="291"/>
    </w:p>
    <w:p w:rsidR="003A497B" w:rsidRPr="004A3627" w:rsidRDefault="003A497B" w:rsidP="003A497B">
      <w:pPr>
        <w:spacing w:line="360" w:lineRule="auto"/>
        <w:rPr>
          <w:highlight w:val="yellow"/>
        </w:rPr>
      </w:pPr>
    </w:p>
    <w:tbl>
      <w:tblPr>
        <w:tblW w:w="5000" w:type="pct"/>
        <w:tblCellMar>
          <w:left w:w="70" w:type="dxa"/>
          <w:right w:w="70" w:type="dxa"/>
        </w:tblCellMar>
        <w:tblLook w:val="04A0" w:firstRow="1" w:lastRow="0" w:firstColumn="1" w:lastColumn="0" w:noHBand="0" w:noVBand="1"/>
      </w:tblPr>
      <w:tblGrid>
        <w:gridCol w:w="3395"/>
        <w:gridCol w:w="823"/>
        <w:gridCol w:w="823"/>
        <w:gridCol w:w="823"/>
        <w:gridCol w:w="823"/>
        <w:gridCol w:w="823"/>
        <w:gridCol w:w="823"/>
        <w:gridCol w:w="729"/>
      </w:tblGrid>
      <w:tr w:rsidR="003A497B" w:rsidRPr="001D6ECD" w:rsidTr="003E1809">
        <w:trPr>
          <w:trHeight w:val="255"/>
        </w:trPr>
        <w:tc>
          <w:tcPr>
            <w:tcW w:w="1874"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A497B" w:rsidRPr="008C483E" w:rsidRDefault="003A497B" w:rsidP="003E1809">
            <w:pPr>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v eurách</w:t>
            </w:r>
          </w:p>
        </w:tc>
        <w:tc>
          <w:tcPr>
            <w:tcW w:w="454" w:type="pct"/>
            <w:tcBorders>
              <w:top w:val="single" w:sz="4" w:space="0" w:color="auto"/>
              <w:left w:val="nil"/>
              <w:bottom w:val="single" w:sz="4" w:space="0" w:color="auto"/>
              <w:right w:val="single" w:sz="4" w:space="0" w:color="auto"/>
            </w:tcBorders>
            <w:shd w:val="clear" w:color="000000" w:fill="BFBFBF"/>
            <w:vAlign w:val="center"/>
            <w:hideMark/>
          </w:tcPr>
          <w:p w:rsidR="003A497B" w:rsidRPr="008C483E" w:rsidRDefault="003A497B" w:rsidP="003E1809">
            <w:pPr>
              <w:jc w:val="center"/>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2016 S</w:t>
            </w:r>
          </w:p>
        </w:tc>
        <w:tc>
          <w:tcPr>
            <w:tcW w:w="454" w:type="pct"/>
            <w:tcBorders>
              <w:top w:val="single" w:sz="4" w:space="0" w:color="auto"/>
              <w:left w:val="nil"/>
              <w:bottom w:val="single" w:sz="4" w:space="0" w:color="auto"/>
              <w:right w:val="single" w:sz="4" w:space="0" w:color="auto"/>
            </w:tcBorders>
            <w:shd w:val="clear" w:color="000000" w:fill="BFBFBF"/>
            <w:vAlign w:val="center"/>
            <w:hideMark/>
          </w:tcPr>
          <w:p w:rsidR="003A497B" w:rsidRPr="008C483E" w:rsidRDefault="003A497B" w:rsidP="003E1809">
            <w:pPr>
              <w:jc w:val="center"/>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2017 S</w:t>
            </w:r>
          </w:p>
        </w:tc>
        <w:tc>
          <w:tcPr>
            <w:tcW w:w="454" w:type="pct"/>
            <w:tcBorders>
              <w:top w:val="single" w:sz="4" w:space="0" w:color="auto"/>
              <w:left w:val="nil"/>
              <w:bottom w:val="single" w:sz="4" w:space="0" w:color="auto"/>
              <w:right w:val="single" w:sz="4" w:space="0" w:color="auto"/>
            </w:tcBorders>
            <w:shd w:val="clear" w:color="000000" w:fill="BFBFBF"/>
            <w:vAlign w:val="center"/>
            <w:hideMark/>
          </w:tcPr>
          <w:p w:rsidR="003A497B" w:rsidRPr="008C483E" w:rsidRDefault="003A497B" w:rsidP="003E1809">
            <w:pPr>
              <w:jc w:val="center"/>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2018 R</w:t>
            </w:r>
          </w:p>
        </w:tc>
        <w:tc>
          <w:tcPr>
            <w:tcW w:w="454" w:type="pct"/>
            <w:tcBorders>
              <w:top w:val="single" w:sz="4" w:space="0" w:color="auto"/>
              <w:left w:val="nil"/>
              <w:bottom w:val="single" w:sz="4" w:space="0" w:color="auto"/>
              <w:right w:val="single" w:sz="4" w:space="0" w:color="auto"/>
            </w:tcBorders>
            <w:shd w:val="clear" w:color="000000" w:fill="BFBFBF"/>
            <w:vAlign w:val="center"/>
            <w:hideMark/>
          </w:tcPr>
          <w:p w:rsidR="003A497B" w:rsidRPr="008C483E" w:rsidRDefault="003A497B" w:rsidP="003E1809">
            <w:pPr>
              <w:jc w:val="center"/>
              <w:rPr>
                <w:rFonts w:ascii="Times New Roman" w:hAnsi="Times New Roman" w:cs="Times New Roman"/>
                <w:b/>
                <w:bCs/>
                <w:sz w:val="14"/>
                <w:szCs w:val="14"/>
                <w:lang w:eastAsia="sk-SK"/>
              </w:rPr>
            </w:pPr>
            <w:r w:rsidRPr="008C483E">
              <w:rPr>
                <w:rFonts w:ascii="Times New Roman" w:hAnsi="Times New Roman" w:cs="Times New Roman"/>
                <w:b/>
                <w:bCs/>
                <w:sz w:val="14"/>
                <w:szCs w:val="14"/>
                <w:lang w:eastAsia="sk-SK"/>
              </w:rPr>
              <w:t>2018 OS</w:t>
            </w:r>
          </w:p>
        </w:tc>
        <w:tc>
          <w:tcPr>
            <w:tcW w:w="454" w:type="pct"/>
            <w:tcBorders>
              <w:top w:val="single" w:sz="4" w:space="0" w:color="auto"/>
              <w:left w:val="nil"/>
              <w:bottom w:val="single" w:sz="4" w:space="0" w:color="auto"/>
              <w:right w:val="single" w:sz="4" w:space="0" w:color="auto"/>
            </w:tcBorders>
            <w:shd w:val="clear" w:color="000000" w:fill="BFBFBF"/>
            <w:vAlign w:val="center"/>
            <w:hideMark/>
          </w:tcPr>
          <w:p w:rsidR="003A497B" w:rsidRPr="008C483E" w:rsidRDefault="003A497B" w:rsidP="003E1809">
            <w:pPr>
              <w:jc w:val="center"/>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2019 N</w:t>
            </w:r>
          </w:p>
        </w:tc>
        <w:tc>
          <w:tcPr>
            <w:tcW w:w="454" w:type="pct"/>
            <w:tcBorders>
              <w:top w:val="single" w:sz="4" w:space="0" w:color="auto"/>
              <w:left w:val="nil"/>
              <w:bottom w:val="single" w:sz="4" w:space="0" w:color="auto"/>
              <w:right w:val="single" w:sz="4" w:space="0" w:color="auto"/>
            </w:tcBorders>
            <w:shd w:val="clear" w:color="000000" w:fill="BFBFBF"/>
            <w:vAlign w:val="center"/>
            <w:hideMark/>
          </w:tcPr>
          <w:p w:rsidR="003A497B" w:rsidRPr="008C483E" w:rsidRDefault="003A497B" w:rsidP="003E1809">
            <w:pPr>
              <w:jc w:val="center"/>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2020 N</w:t>
            </w:r>
          </w:p>
        </w:tc>
        <w:tc>
          <w:tcPr>
            <w:tcW w:w="404" w:type="pct"/>
            <w:tcBorders>
              <w:top w:val="single" w:sz="4" w:space="0" w:color="auto"/>
              <w:left w:val="nil"/>
              <w:bottom w:val="single" w:sz="4" w:space="0" w:color="auto"/>
              <w:right w:val="single" w:sz="4" w:space="0" w:color="auto"/>
            </w:tcBorders>
            <w:shd w:val="clear" w:color="000000" w:fill="BFBFBF"/>
            <w:vAlign w:val="center"/>
            <w:hideMark/>
          </w:tcPr>
          <w:p w:rsidR="003A497B" w:rsidRPr="008C483E" w:rsidRDefault="003A497B" w:rsidP="003E1809">
            <w:pPr>
              <w:jc w:val="center"/>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2021 N</w:t>
            </w:r>
          </w:p>
        </w:tc>
      </w:tr>
      <w:tr w:rsidR="003A497B" w:rsidRPr="001D6ECD" w:rsidTr="003E1809">
        <w:trPr>
          <w:trHeight w:val="255"/>
        </w:trPr>
        <w:tc>
          <w:tcPr>
            <w:tcW w:w="1874" w:type="pct"/>
            <w:tcBorders>
              <w:top w:val="nil"/>
              <w:left w:val="single" w:sz="4" w:space="0" w:color="auto"/>
              <w:bottom w:val="single" w:sz="4" w:space="0" w:color="auto"/>
              <w:right w:val="single" w:sz="4" w:space="0" w:color="auto"/>
            </w:tcBorders>
            <w:shd w:val="clear" w:color="000000" w:fill="D9D9D9"/>
            <w:noWrap/>
            <w:vAlign w:val="bottom"/>
            <w:hideMark/>
          </w:tcPr>
          <w:p w:rsidR="003A497B" w:rsidRPr="008C483E" w:rsidRDefault="003A497B" w:rsidP="003E1809">
            <w:pPr>
              <w:rPr>
                <w:rFonts w:ascii="Times New Roman" w:hAnsi="Times New Roman" w:cs="Times New Roman"/>
                <w:b/>
                <w:bCs/>
                <w:sz w:val="14"/>
                <w:szCs w:val="14"/>
                <w:lang w:eastAsia="sk-SK"/>
              </w:rPr>
            </w:pPr>
            <w:r w:rsidRPr="008C483E">
              <w:rPr>
                <w:rFonts w:ascii="Times New Roman" w:hAnsi="Times New Roman" w:cs="Times New Roman"/>
                <w:b/>
                <w:bCs/>
                <w:sz w:val="14"/>
                <w:szCs w:val="14"/>
                <w:lang w:eastAsia="sk-SK"/>
              </w:rPr>
              <w:t>Zdroje príslušnej kapitoly</w:t>
            </w:r>
          </w:p>
        </w:tc>
        <w:tc>
          <w:tcPr>
            <w:tcW w:w="454" w:type="pct"/>
            <w:tcBorders>
              <w:top w:val="nil"/>
              <w:left w:val="nil"/>
              <w:bottom w:val="single" w:sz="4" w:space="0" w:color="auto"/>
              <w:right w:val="single" w:sz="4" w:space="0" w:color="auto"/>
            </w:tcBorders>
            <w:shd w:val="clear" w:color="000000" w:fill="D9D9D9"/>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2 716 195</w:t>
            </w:r>
          </w:p>
        </w:tc>
        <w:tc>
          <w:tcPr>
            <w:tcW w:w="454" w:type="pct"/>
            <w:tcBorders>
              <w:top w:val="nil"/>
              <w:left w:val="nil"/>
              <w:bottom w:val="single" w:sz="4" w:space="0" w:color="auto"/>
              <w:right w:val="single" w:sz="4" w:space="0" w:color="auto"/>
            </w:tcBorders>
            <w:shd w:val="clear" w:color="000000" w:fill="D9D9D9"/>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2 782 226</w:t>
            </w:r>
          </w:p>
        </w:tc>
        <w:tc>
          <w:tcPr>
            <w:tcW w:w="454" w:type="pct"/>
            <w:tcBorders>
              <w:top w:val="nil"/>
              <w:left w:val="nil"/>
              <w:bottom w:val="single" w:sz="4" w:space="0" w:color="auto"/>
              <w:right w:val="single" w:sz="4" w:space="0" w:color="auto"/>
            </w:tcBorders>
            <w:shd w:val="clear" w:color="000000" w:fill="D9D9D9"/>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2 788 247</w:t>
            </w:r>
          </w:p>
        </w:tc>
        <w:tc>
          <w:tcPr>
            <w:tcW w:w="454" w:type="pct"/>
            <w:tcBorders>
              <w:top w:val="nil"/>
              <w:left w:val="nil"/>
              <w:bottom w:val="single" w:sz="4" w:space="0" w:color="auto"/>
              <w:right w:val="single" w:sz="4" w:space="0" w:color="auto"/>
            </w:tcBorders>
            <w:shd w:val="clear" w:color="000000" w:fill="D9D9D9"/>
            <w:vAlign w:val="bottom"/>
            <w:hideMark/>
          </w:tcPr>
          <w:p w:rsidR="003A497B" w:rsidRPr="008C483E" w:rsidRDefault="003A497B" w:rsidP="003E1809">
            <w:pPr>
              <w:jc w:val="right"/>
              <w:rPr>
                <w:rFonts w:ascii="Times New Roman" w:hAnsi="Times New Roman" w:cs="Times New Roman"/>
                <w:b/>
                <w:bCs/>
                <w:sz w:val="14"/>
                <w:szCs w:val="14"/>
                <w:lang w:eastAsia="sk-SK"/>
              </w:rPr>
            </w:pPr>
            <w:r w:rsidRPr="008C483E">
              <w:rPr>
                <w:rFonts w:ascii="Times New Roman" w:hAnsi="Times New Roman" w:cs="Times New Roman"/>
                <w:b/>
                <w:bCs/>
                <w:sz w:val="14"/>
                <w:szCs w:val="14"/>
                <w:lang w:eastAsia="sk-SK"/>
              </w:rPr>
              <w:t>2 959 932</w:t>
            </w:r>
          </w:p>
        </w:tc>
        <w:tc>
          <w:tcPr>
            <w:tcW w:w="454" w:type="pct"/>
            <w:tcBorders>
              <w:top w:val="nil"/>
              <w:left w:val="nil"/>
              <w:bottom w:val="single" w:sz="4" w:space="0" w:color="auto"/>
              <w:right w:val="single" w:sz="4" w:space="0" w:color="auto"/>
            </w:tcBorders>
            <w:shd w:val="clear" w:color="000000" w:fill="D9D9D9"/>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2 877 027</w:t>
            </w:r>
          </w:p>
        </w:tc>
        <w:tc>
          <w:tcPr>
            <w:tcW w:w="454" w:type="pct"/>
            <w:tcBorders>
              <w:top w:val="nil"/>
              <w:left w:val="nil"/>
              <w:bottom w:val="single" w:sz="4" w:space="0" w:color="auto"/>
              <w:right w:val="single" w:sz="4" w:space="0" w:color="auto"/>
            </w:tcBorders>
            <w:shd w:val="clear" w:color="000000" w:fill="D9D9D9"/>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2 869 027</w:t>
            </w:r>
          </w:p>
        </w:tc>
        <w:tc>
          <w:tcPr>
            <w:tcW w:w="404" w:type="pct"/>
            <w:tcBorders>
              <w:top w:val="nil"/>
              <w:left w:val="nil"/>
              <w:bottom w:val="single" w:sz="4" w:space="0" w:color="auto"/>
              <w:right w:val="single" w:sz="4" w:space="0" w:color="auto"/>
            </w:tcBorders>
            <w:shd w:val="clear" w:color="000000" w:fill="D9D9D9"/>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2 829 027</w:t>
            </w:r>
          </w:p>
        </w:tc>
      </w:tr>
      <w:tr w:rsidR="003A497B" w:rsidRPr="001D6ECD" w:rsidTr="003E1809">
        <w:trPr>
          <w:trHeight w:val="255"/>
        </w:trPr>
        <w:tc>
          <w:tcPr>
            <w:tcW w:w="18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483E" w:rsidRDefault="003A497B" w:rsidP="003E1809">
            <w:pPr>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Rozpočtové zdroje kapitoly</w:t>
            </w:r>
          </w:p>
        </w:tc>
        <w:tc>
          <w:tcPr>
            <w:tcW w:w="454"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2 693 888</w:t>
            </w:r>
          </w:p>
        </w:tc>
        <w:tc>
          <w:tcPr>
            <w:tcW w:w="454"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2 678 944</w:t>
            </w:r>
          </w:p>
        </w:tc>
        <w:tc>
          <w:tcPr>
            <w:tcW w:w="454"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2 788 247</w:t>
            </w:r>
          </w:p>
        </w:tc>
        <w:tc>
          <w:tcPr>
            <w:tcW w:w="454"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b/>
                <w:bCs/>
                <w:sz w:val="14"/>
                <w:szCs w:val="14"/>
                <w:lang w:eastAsia="sk-SK"/>
              </w:rPr>
            </w:pPr>
            <w:r w:rsidRPr="008C483E">
              <w:rPr>
                <w:rFonts w:ascii="Times New Roman" w:hAnsi="Times New Roman" w:cs="Times New Roman"/>
                <w:b/>
                <w:bCs/>
                <w:sz w:val="14"/>
                <w:szCs w:val="14"/>
                <w:lang w:eastAsia="sk-SK"/>
              </w:rPr>
              <w:t>2 842 079</w:t>
            </w:r>
          </w:p>
        </w:tc>
        <w:tc>
          <w:tcPr>
            <w:tcW w:w="454"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2 877 027</w:t>
            </w:r>
          </w:p>
        </w:tc>
        <w:tc>
          <w:tcPr>
            <w:tcW w:w="454"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2 869 027</w:t>
            </w:r>
          </w:p>
        </w:tc>
        <w:tc>
          <w:tcPr>
            <w:tcW w:w="404"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2 829 027</w:t>
            </w:r>
          </w:p>
        </w:tc>
      </w:tr>
      <w:tr w:rsidR="003A497B" w:rsidRPr="001D6ECD" w:rsidTr="003E1809">
        <w:trPr>
          <w:trHeight w:val="255"/>
        </w:trPr>
        <w:tc>
          <w:tcPr>
            <w:tcW w:w="18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483E" w:rsidRDefault="003A497B" w:rsidP="003E1809">
            <w:pPr>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 xml:space="preserve">    v tom: bežné výdavky  600</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2 688 312</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2 678 944</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2 673 247</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2 762 079</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2 802 027</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2 794 027</w:t>
            </w:r>
          </w:p>
        </w:tc>
        <w:tc>
          <w:tcPr>
            <w:tcW w:w="40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2 794 027</w:t>
            </w:r>
          </w:p>
        </w:tc>
      </w:tr>
      <w:tr w:rsidR="003A497B" w:rsidRPr="001D6ECD" w:rsidTr="003E1809">
        <w:trPr>
          <w:trHeight w:val="255"/>
        </w:trPr>
        <w:tc>
          <w:tcPr>
            <w:tcW w:w="18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483E" w:rsidRDefault="003A497B" w:rsidP="003E1809">
            <w:pPr>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 xml:space="preserve">                610 mzdy</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1 414 638</w:t>
            </w:r>
          </w:p>
        </w:tc>
        <w:tc>
          <w:tcPr>
            <w:tcW w:w="45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1 451 827</w:t>
            </w:r>
          </w:p>
        </w:tc>
        <w:tc>
          <w:tcPr>
            <w:tcW w:w="45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1 447 572</w:t>
            </w:r>
          </w:p>
        </w:tc>
        <w:tc>
          <w:tcPr>
            <w:tcW w:w="45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1 513 590</w:t>
            </w:r>
          </w:p>
        </w:tc>
        <w:tc>
          <w:tcPr>
            <w:tcW w:w="45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1 516 000</w:t>
            </w:r>
          </w:p>
        </w:tc>
        <w:tc>
          <w:tcPr>
            <w:tcW w:w="45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1 516 000</w:t>
            </w:r>
          </w:p>
        </w:tc>
        <w:tc>
          <w:tcPr>
            <w:tcW w:w="40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1 516 000</w:t>
            </w:r>
          </w:p>
        </w:tc>
      </w:tr>
      <w:tr w:rsidR="003A497B" w:rsidRPr="001D6ECD" w:rsidTr="003E1809">
        <w:trPr>
          <w:trHeight w:val="255"/>
        </w:trPr>
        <w:tc>
          <w:tcPr>
            <w:tcW w:w="18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483E" w:rsidRDefault="003A497B" w:rsidP="003E1809">
            <w:pPr>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 xml:space="preserve">                620 odvody</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507 213</w:t>
            </w:r>
          </w:p>
        </w:tc>
        <w:tc>
          <w:tcPr>
            <w:tcW w:w="45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540 631</w:t>
            </w:r>
          </w:p>
        </w:tc>
        <w:tc>
          <w:tcPr>
            <w:tcW w:w="45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523 153</w:t>
            </w:r>
          </w:p>
        </w:tc>
        <w:tc>
          <w:tcPr>
            <w:tcW w:w="45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545 967</w:t>
            </w:r>
          </w:p>
        </w:tc>
        <w:tc>
          <w:tcPr>
            <w:tcW w:w="45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575 505</w:t>
            </w:r>
          </w:p>
        </w:tc>
        <w:tc>
          <w:tcPr>
            <w:tcW w:w="45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575 505</w:t>
            </w:r>
          </w:p>
        </w:tc>
        <w:tc>
          <w:tcPr>
            <w:tcW w:w="40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575 505</w:t>
            </w:r>
          </w:p>
        </w:tc>
      </w:tr>
      <w:tr w:rsidR="003A497B" w:rsidRPr="001D6ECD" w:rsidTr="003E1809">
        <w:trPr>
          <w:trHeight w:val="255"/>
        </w:trPr>
        <w:tc>
          <w:tcPr>
            <w:tcW w:w="18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483E" w:rsidRDefault="003A497B" w:rsidP="003E1809">
            <w:pPr>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 xml:space="preserve">                630 tovary a služby</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729 810</w:t>
            </w:r>
          </w:p>
        </w:tc>
        <w:tc>
          <w:tcPr>
            <w:tcW w:w="45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668</w:t>
            </w:r>
            <w:r>
              <w:rPr>
                <w:rFonts w:ascii="Times New Roman" w:hAnsi="Times New Roman" w:cs="Times New Roman"/>
                <w:color w:val="000000"/>
                <w:sz w:val="14"/>
                <w:szCs w:val="14"/>
                <w:lang w:eastAsia="sk-SK"/>
              </w:rPr>
              <w:t> </w:t>
            </w:r>
            <w:r w:rsidRPr="008C483E">
              <w:rPr>
                <w:rFonts w:ascii="Times New Roman" w:hAnsi="Times New Roman" w:cs="Times New Roman"/>
                <w:color w:val="000000"/>
                <w:sz w:val="14"/>
                <w:szCs w:val="14"/>
                <w:lang w:eastAsia="sk-SK"/>
              </w:rPr>
              <w:t>550</w:t>
            </w:r>
          </w:p>
        </w:tc>
        <w:tc>
          <w:tcPr>
            <w:tcW w:w="45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690 522</w:t>
            </w:r>
          </w:p>
        </w:tc>
        <w:tc>
          <w:tcPr>
            <w:tcW w:w="45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690 522</w:t>
            </w:r>
          </w:p>
        </w:tc>
        <w:tc>
          <w:tcPr>
            <w:tcW w:w="45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698 522</w:t>
            </w:r>
          </w:p>
        </w:tc>
        <w:tc>
          <w:tcPr>
            <w:tcW w:w="45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690 522</w:t>
            </w:r>
          </w:p>
        </w:tc>
        <w:tc>
          <w:tcPr>
            <w:tcW w:w="40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690 522</w:t>
            </w:r>
          </w:p>
        </w:tc>
      </w:tr>
      <w:tr w:rsidR="003A497B" w:rsidRPr="001D6ECD" w:rsidTr="003E1809">
        <w:trPr>
          <w:trHeight w:val="255"/>
        </w:trPr>
        <w:tc>
          <w:tcPr>
            <w:tcW w:w="18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483E" w:rsidRDefault="003A497B" w:rsidP="003E1809">
            <w:pPr>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 xml:space="preserve">                640 bežné transfery</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36 651</w:t>
            </w:r>
          </w:p>
        </w:tc>
        <w:tc>
          <w:tcPr>
            <w:tcW w:w="45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17 936</w:t>
            </w:r>
          </w:p>
        </w:tc>
        <w:tc>
          <w:tcPr>
            <w:tcW w:w="45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12 000</w:t>
            </w:r>
          </w:p>
        </w:tc>
        <w:tc>
          <w:tcPr>
            <w:tcW w:w="45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12 000</w:t>
            </w:r>
          </w:p>
        </w:tc>
        <w:tc>
          <w:tcPr>
            <w:tcW w:w="45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12 000</w:t>
            </w:r>
          </w:p>
        </w:tc>
        <w:tc>
          <w:tcPr>
            <w:tcW w:w="45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12 000</w:t>
            </w:r>
          </w:p>
        </w:tc>
        <w:tc>
          <w:tcPr>
            <w:tcW w:w="404" w:type="pct"/>
            <w:tcBorders>
              <w:top w:val="nil"/>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12 000</w:t>
            </w:r>
          </w:p>
        </w:tc>
      </w:tr>
      <w:tr w:rsidR="003A497B" w:rsidRPr="001D6ECD" w:rsidTr="003E1809">
        <w:trPr>
          <w:trHeight w:val="255"/>
        </w:trPr>
        <w:tc>
          <w:tcPr>
            <w:tcW w:w="18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483E" w:rsidRDefault="003A497B" w:rsidP="003E1809">
            <w:pPr>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 xml:space="preserve">             kapitálové výdavky 700</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5 576</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0</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115 000</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80 000</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75 000</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75 000</w:t>
            </w:r>
          </w:p>
        </w:tc>
        <w:tc>
          <w:tcPr>
            <w:tcW w:w="40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35 000</w:t>
            </w:r>
          </w:p>
        </w:tc>
      </w:tr>
      <w:tr w:rsidR="003A497B" w:rsidRPr="001D6ECD" w:rsidTr="003E1809">
        <w:trPr>
          <w:trHeight w:val="255"/>
        </w:trPr>
        <w:tc>
          <w:tcPr>
            <w:tcW w:w="18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483E" w:rsidRDefault="003A497B" w:rsidP="003E1809">
            <w:pPr>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 xml:space="preserve">Presun z minulých rokov </w:t>
            </w:r>
          </w:p>
        </w:tc>
        <w:tc>
          <w:tcPr>
            <w:tcW w:w="454"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22 307</w:t>
            </w:r>
          </w:p>
        </w:tc>
        <w:tc>
          <w:tcPr>
            <w:tcW w:w="454"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103 282</w:t>
            </w:r>
          </w:p>
        </w:tc>
        <w:tc>
          <w:tcPr>
            <w:tcW w:w="454"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0</w:t>
            </w:r>
          </w:p>
        </w:tc>
        <w:tc>
          <w:tcPr>
            <w:tcW w:w="454"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b/>
                <w:bCs/>
                <w:sz w:val="14"/>
                <w:szCs w:val="14"/>
                <w:lang w:eastAsia="sk-SK"/>
              </w:rPr>
            </w:pPr>
            <w:r w:rsidRPr="008C483E">
              <w:rPr>
                <w:rFonts w:ascii="Times New Roman" w:hAnsi="Times New Roman" w:cs="Times New Roman"/>
                <w:b/>
                <w:bCs/>
                <w:sz w:val="14"/>
                <w:szCs w:val="14"/>
                <w:lang w:eastAsia="sk-SK"/>
              </w:rPr>
              <w:t>117 853</w:t>
            </w:r>
          </w:p>
        </w:tc>
        <w:tc>
          <w:tcPr>
            <w:tcW w:w="454"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0</w:t>
            </w:r>
          </w:p>
        </w:tc>
        <w:tc>
          <w:tcPr>
            <w:tcW w:w="454"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0</w:t>
            </w:r>
          </w:p>
        </w:tc>
        <w:tc>
          <w:tcPr>
            <w:tcW w:w="404" w:type="pct"/>
            <w:tcBorders>
              <w:top w:val="nil"/>
              <w:left w:val="nil"/>
              <w:bottom w:val="single" w:sz="4" w:space="0" w:color="auto"/>
              <w:right w:val="single" w:sz="4" w:space="0" w:color="auto"/>
            </w:tcBorders>
            <w:shd w:val="clear" w:color="auto" w:fill="auto"/>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0</w:t>
            </w:r>
          </w:p>
        </w:tc>
      </w:tr>
      <w:tr w:rsidR="003A497B" w:rsidRPr="001D6ECD" w:rsidTr="003E1809">
        <w:trPr>
          <w:trHeight w:val="255"/>
        </w:trPr>
        <w:tc>
          <w:tcPr>
            <w:tcW w:w="18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483E" w:rsidRDefault="003A497B" w:rsidP="003E1809">
            <w:pPr>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 xml:space="preserve">    v tom: štátny rozpočet</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0</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28 211</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0</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35 000</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0</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0</w:t>
            </w:r>
          </w:p>
        </w:tc>
        <w:tc>
          <w:tcPr>
            <w:tcW w:w="40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0</w:t>
            </w:r>
          </w:p>
        </w:tc>
      </w:tr>
      <w:tr w:rsidR="003A497B" w:rsidRPr="001D6ECD" w:rsidTr="003E1809">
        <w:trPr>
          <w:trHeight w:val="255"/>
        </w:trPr>
        <w:tc>
          <w:tcPr>
            <w:tcW w:w="18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483E" w:rsidRDefault="003A497B" w:rsidP="003E1809">
            <w:pPr>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 xml:space="preserve">               EU prostriedky</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18 305</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61 603</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0</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67 989</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0</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0</w:t>
            </w:r>
          </w:p>
        </w:tc>
        <w:tc>
          <w:tcPr>
            <w:tcW w:w="40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0</w:t>
            </w:r>
          </w:p>
        </w:tc>
      </w:tr>
      <w:tr w:rsidR="003A497B" w:rsidRPr="001D6ECD" w:rsidTr="003E1809">
        <w:trPr>
          <w:trHeight w:val="255"/>
        </w:trPr>
        <w:tc>
          <w:tcPr>
            <w:tcW w:w="1874"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483E" w:rsidRDefault="003A497B" w:rsidP="003E1809">
            <w:pPr>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 xml:space="preserve">               spolufinancovanie zo ŠR</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4 002</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13 468</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color w:val="000000"/>
                <w:sz w:val="14"/>
                <w:szCs w:val="14"/>
                <w:lang w:eastAsia="sk-SK"/>
              </w:rPr>
            </w:pPr>
            <w:r w:rsidRPr="008C483E">
              <w:rPr>
                <w:rFonts w:ascii="Times New Roman" w:hAnsi="Times New Roman" w:cs="Times New Roman"/>
                <w:color w:val="000000"/>
                <w:sz w:val="14"/>
                <w:szCs w:val="14"/>
                <w:lang w:eastAsia="sk-SK"/>
              </w:rPr>
              <w:t>0</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14 864</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0</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0</w:t>
            </w:r>
          </w:p>
        </w:tc>
        <w:tc>
          <w:tcPr>
            <w:tcW w:w="404" w:type="pct"/>
            <w:tcBorders>
              <w:top w:val="nil"/>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r w:rsidRPr="008C483E">
              <w:rPr>
                <w:rFonts w:ascii="Times New Roman" w:hAnsi="Times New Roman" w:cs="Times New Roman"/>
                <w:sz w:val="14"/>
                <w:szCs w:val="14"/>
                <w:lang w:eastAsia="sk-SK"/>
              </w:rPr>
              <w:t>0</w:t>
            </w:r>
          </w:p>
        </w:tc>
      </w:tr>
      <w:tr w:rsidR="003A497B" w:rsidRPr="001D6ECD" w:rsidTr="003E1809">
        <w:trPr>
          <w:trHeight w:val="255"/>
        </w:trPr>
        <w:tc>
          <w:tcPr>
            <w:tcW w:w="1874" w:type="pct"/>
            <w:tcBorders>
              <w:top w:val="nil"/>
              <w:left w:val="nil"/>
              <w:bottom w:val="nil"/>
              <w:right w:val="nil"/>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p>
        </w:tc>
        <w:tc>
          <w:tcPr>
            <w:tcW w:w="454" w:type="pct"/>
            <w:tcBorders>
              <w:top w:val="nil"/>
              <w:left w:val="nil"/>
              <w:bottom w:val="nil"/>
              <w:right w:val="nil"/>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p>
        </w:tc>
        <w:tc>
          <w:tcPr>
            <w:tcW w:w="454" w:type="pct"/>
            <w:tcBorders>
              <w:top w:val="nil"/>
              <w:left w:val="nil"/>
              <w:bottom w:val="nil"/>
              <w:right w:val="nil"/>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p>
        </w:tc>
        <w:tc>
          <w:tcPr>
            <w:tcW w:w="454" w:type="pct"/>
            <w:tcBorders>
              <w:top w:val="nil"/>
              <w:left w:val="nil"/>
              <w:bottom w:val="nil"/>
              <w:right w:val="nil"/>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p>
        </w:tc>
        <w:tc>
          <w:tcPr>
            <w:tcW w:w="454" w:type="pct"/>
            <w:tcBorders>
              <w:top w:val="nil"/>
              <w:left w:val="nil"/>
              <w:bottom w:val="nil"/>
              <w:right w:val="nil"/>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p>
        </w:tc>
        <w:tc>
          <w:tcPr>
            <w:tcW w:w="454" w:type="pct"/>
            <w:tcBorders>
              <w:top w:val="nil"/>
              <w:left w:val="nil"/>
              <w:bottom w:val="nil"/>
              <w:right w:val="nil"/>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p>
        </w:tc>
        <w:tc>
          <w:tcPr>
            <w:tcW w:w="454" w:type="pct"/>
            <w:tcBorders>
              <w:top w:val="nil"/>
              <w:left w:val="nil"/>
              <w:bottom w:val="nil"/>
              <w:right w:val="nil"/>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p>
        </w:tc>
        <w:tc>
          <w:tcPr>
            <w:tcW w:w="404" w:type="pct"/>
            <w:tcBorders>
              <w:top w:val="nil"/>
              <w:left w:val="nil"/>
              <w:bottom w:val="nil"/>
              <w:right w:val="nil"/>
            </w:tcBorders>
            <w:shd w:val="clear" w:color="auto" w:fill="auto"/>
            <w:noWrap/>
            <w:vAlign w:val="bottom"/>
            <w:hideMark/>
          </w:tcPr>
          <w:p w:rsidR="003A497B" w:rsidRPr="008C483E" w:rsidRDefault="003A497B" w:rsidP="003E1809">
            <w:pPr>
              <w:jc w:val="right"/>
              <w:rPr>
                <w:rFonts w:ascii="Times New Roman" w:hAnsi="Times New Roman" w:cs="Times New Roman"/>
                <w:sz w:val="14"/>
                <w:szCs w:val="14"/>
                <w:lang w:eastAsia="sk-SK"/>
              </w:rPr>
            </w:pPr>
          </w:p>
        </w:tc>
      </w:tr>
      <w:tr w:rsidR="003A497B" w:rsidRPr="001D6ECD" w:rsidTr="003E1809">
        <w:trPr>
          <w:trHeight w:val="255"/>
        </w:trPr>
        <w:tc>
          <w:tcPr>
            <w:tcW w:w="1874"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A497B" w:rsidRPr="008C483E" w:rsidRDefault="003A497B" w:rsidP="003E1809">
            <w:pPr>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Samostatné účty</w:t>
            </w:r>
          </w:p>
        </w:tc>
        <w:tc>
          <w:tcPr>
            <w:tcW w:w="454" w:type="pct"/>
            <w:tcBorders>
              <w:top w:val="single" w:sz="4" w:space="0" w:color="auto"/>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31 577</w:t>
            </w:r>
          </w:p>
        </w:tc>
        <w:tc>
          <w:tcPr>
            <w:tcW w:w="454" w:type="pct"/>
            <w:tcBorders>
              <w:top w:val="single" w:sz="4" w:space="0" w:color="auto"/>
              <w:left w:val="nil"/>
              <w:bottom w:val="single" w:sz="4" w:space="0" w:color="auto"/>
              <w:right w:val="single" w:sz="4" w:space="0" w:color="auto"/>
            </w:tcBorders>
            <w:shd w:val="clear" w:color="000000" w:fill="FFFFFF"/>
            <w:noWrap/>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0</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b/>
                <w:bCs/>
                <w:color w:val="000000"/>
                <w:sz w:val="14"/>
                <w:szCs w:val="14"/>
                <w:lang w:eastAsia="sk-SK"/>
              </w:rPr>
            </w:pPr>
            <w:r w:rsidRPr="008C483E">
              <w:rPr>
                <w:rFonts w:ascii="Times New Roman" w:hAnsi="Times New Roman" w:cs="Times New Roman"/>
                <w:b/>
                <w:bCs/>
                <w:color w:val="000000"/>
                <w:sz w:val="14"/>
                <w:szCs w:val="14"/>
                <w:lang w:eastAsia="sk-SK"/>
              </w:rPr>
              <w:t>0</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b/>
                <w:bCs/>
                <w:sz w:val="14"/>
                <w:szCs w:val="14"/>
                <w:lang w:eastAsia="sk-SK"/>
              </w:rPr>
            </w:pPr>
            <w:r w:rsidRPr="008C483E">
              <w:rPr>
                <w:rFonts w:ascii="Times New Roman" w:hAnsi="Times New Roman" w:cs="Times New Roman"/>
                <w:b/>
                <w:bCs/>
                <w:sz w:val="14"/>
                <w:szCs w:val="14"/>
                <w:lang w:eastAsia="sk-SK"/>
              </w:rPr>
              <w:t>0</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b/>
                <w:bCs/>
                <w:sz w:val="14"/>
                <w:szCs w:val="14"/>
                <w:lang w:eastAsia="sk-SK"/>
              </w:rPr>
            </w:pPr>
            <w:r w:rsidRPr="008C483E">
              <w:rPr>
                <w:rFonts w:ascii="Times New Roman" w:hAnsi="Times New Roman" w:cs="Times New Roman"/>
                <w:b/>
                <w:bCs/>
                <w:sz w:val="14"/>
                <w:szCs w:val="14"/>
                <w:lang w:eastAsia="sk-SK"/>
              </w:rPr>
              <w:t>0</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b/>
                <w:bCs/>
                <w:sz w:val="14"/>
                <w:szCs w:val="14"/>
                <w:lang w:eastAsia="sk-SK"/>
              </w:rPr>
            </w:pPr>
            <w:r w:rsidRPr="008C483E">
              <w:rPr>
                <w:rFonts w:ascii="Times New Roman" w:hAnsi="Times New Roman" w:cs="Times New Roman"/>
                <w:b/>
                <w:bCs/>
                <w:sz w:val="14"/>
                <w:szCs w:val="14"/>
                <w:lang w:eastAsia="sk-SK"/>
              </w:rPr>
              <w:t>0</w:t>
            </w:r>
          </w:p>
        </w:tc>
        <w:tc>
          <w:tcPr>
            <w:tcW w:w="404" w:type="pct"/>
            <w:tcBorders>
              <w:top w:val="single" w:sz="4" w:space="0" w:color="auto"/>
              <w:left w:val="nil"/>
              <w:bottom w:val="single" w:sz="4" w:space="0" w:color="auto"/>
              <w:right w:val="single" w:sz="4" w:space="0" w:color="auto"/>
            </w:tcBorders>
            <w:shd w:val="clear" w:color="auto" w:fill="auto"/>
            <w:noWrap/>
            <w:vAlign w:val="bottom"/>
            <w:hideMark/>
          </w:tcPr>
          <w:p w:rsidR="003A497B" w:rsidRPr="008C483E" w:rsidRDefault="003A497B" w:rsidP="003E1809">
            <w:pPr>
              <w:jc w:val="right"/>
              <w:rPr>
                <w:rFonts w:ascii="Times New Roman" w:hAnsi="Times New Roman" w:cs="Times New Roman"/>
                <w:b/>
                <w:bCs/>
                <w:sz w:val="14"/>
                <w:szCs w:val="14"/>
                <w:lang w:eastAsia="sk-SK"/>
              </w:rPr>
            </w:pPr>
            <w:r w:rsidRPr="008C483E">
              <w:rPr>
                <w:rFonts w:ascii="Times New Roman" w:hAnsi="Times New Roman" w:cs="Times New Roman"/>
                <w:b/>
                <w:bCs/>
                <w:sz w:val="14"/>
                <w:szCs w:val="14"/>
                <w:lang w:eastAsia="sk-SK"/>
              </w:rPr>
              <w:t>0</w:t>
            </w:r>
          </w:p>
        </w:tc>
      </w:tr>
    </w:tbl>
    <w:p w:rsidR="003A497B" w:rsidRPr="001042F1" w:rsidRDefault="003A497B" w:rsidP="003A497B">
      <w:pPr>
        <w:spacing w:line="360" w:lineRule="auto"/>
        <w:jc w:val="both"/>
        <w:rPr>
          <w:rFonts w:ascii="Times New Roman" w:hAnsi="Times New Roman" w:cs="Times New Roman"/>
          <w:sz w:val="22"/>
          <w:szCs w:val="22"/>
          <w:lang w:eastAsia="sk-SK"/>
        </w:rPr>
      </w:pPr>
    </w:p>
    <w:p w:rsidR="003A497B" w:rsidRPr="001042F1" w:rsidRDefault="003A497B" w:rsidP="003A497B">
      <w:pPr>
        <w:jc w:val="both"/>
        <w:rPr>
          <w:rFonts w:ascii="Times New Roman" w:hAnsi="Times New Roman" w:cs="Times New Roman"/>
          <w:lang w:eastAsia="sk-SK"/>
        </w:rPr>
      </w:pPr>
      <w:r>
        <w:rPr>
          <w:rFonts w:ascii="Times New Roman" w:hAnsi="Times New Roman" w:cs="Times New Roman"/>
          <w:lang w:eastAsia="sk-SK"/>
        </w:rPr>
        <w:tab/>
      </w:r>
      <w:r w:rsidRPr="001042F1">
        <w:rPr>
          <w:rFonts w:ascii="Times New Roman" w:hAnsi="Times New Roman" w:cs="Times New Roman"/>
          <w:lang w:eastAsia="sk-SK"/>
        </w:rPr>
        <w:t>Výdavky kapitoly Protimonopolný úrad SR (ďalej len „PMÚ SR“) na rok 201</w:t>
      </w:r>
      <w:r>
        <w:rPr>
          <w:rFonts w:ascii="Times New Roman" w:hAnsi="Times New Roman" w:cs="Times New Roman"/>
          <w:lang w:eastAsia="sk-SK"/>
        </w:rPr>
        <w:t>9</w:t>
      </w:r>
      <w:r w:rsidRPr="001042F1">
        <w:rPr>
          <w:rFonts w:ascii="Times New Roman" w:hAnsi="Times New Roman" w:cs="Times New Roman"/>
          <w:lang w:eastAsia="sk-SK"/>
        </w:rPr>
        <w:t xml:space="preserve"> sú rozpočtované v sume </w:t>
      </w:r>
      <w:r>
        <w:rPr>
          <w:rFonts w:ascii="Times New Roman" w:hAnsi="Times New Roman" w:cs="Times New Roman"/>
          <w:lang w:eastAsia="sk-SK"/>
        </w:rPr>
        <w:t>2,88</w:t>
      </w:r>
      <w:r w:rsidRPr="001042F1">
        <w:rPr>
          <w:rFonts w:ascii="Times New Roman" w:hAnsi="Times New Roman" w:cs="Times New Roman"/>
          <w:lang w:eastAsia="sk-SK"/>
        </w:rPr>
        <w:t xml:space="preserve"> mil. eur, čo v porovnaní so schváleným rozpočtom na rok 201</w:t>
      </w:r>
      <w:r>
        <w:rPr>
          <w:rFonts w:ascii="Times New Roman" w:hAnsi="Times New Roman" w:cs="Times New Roman"/>
          <w:lang w:eastAsia="sk-SK"/>
        </w:rPr>
        <w:t>8</w:t>
      </w:r>
      <w:r w:rsidRPr="001042F1">
        <w:rPr>
          <w:rFonts w:ascii="Times New Roman" w:hAnsi="Times New Roman" w:cs="Times New Roman"/>
          <w:lang w:eastAsia="sk-SK"/>
        </w:rPr>
        <w:t xml:space="preserve"> predstavuje nárast o</w:t>
      </w:r>
      <w:r>
        <w:rPr>
          <w:rFonts w:ascii="Times New Roman" w:hAnsi="Times New Roman" w:cs="Times New Roman"/>
          <w:lang w:eastAsia="sk-SK"/>
        </w:rPr>
        <w:t> 88,8</w:t>
      </w:r>
      <w:r w:rsidRPr="001042F1">
        <w:rPr>
          <w:rFonts w:ascii="Times New Roman" w:hAnsi="Times New Roman" w:cs="Times New Roman"/>
          <w:lang w:eastAsia="sk-SK"/>
        </w:rPr>
        <w:t xml:space="preserve"> tis. eur, t. j. o</w:t>
      </w:r>
      <w:r>
        <w:rPr>
          <w:rFonts w:ascii="Times New Roman" w:hAnsi="Times New Roman" w:cs="Times New Roman"/>
          <w:lang w:eastAsia="sk-SK"/>
        </w:rPr>
        <w:t> 3,18</w:t>
      </w:r>
      <w:r w:rsidRPr="001042F1">
        <w:rPr>
          <w:rFonts w:ascii="Times New Roman" w:hAnsi="Times New Roman" w:cs="Times New Roman"/>
          <w:lang w:eastAsia="sk-SK"/>
        </w:rPr>
        <w:t xml:space="preserve"> %. </w:t>
      </w:r>
      <w:r>
        <w:rPr>
          <w:rFonts w:ascii="Times New Roman" w:hAnsi="Times New Roman" w:cs="Times New Roman"/>
          <w:lang w:eastAsia="sk-SK"/>
        </w:rPr>
        <w:t>Tento vývoj ovplyvnil</w:t>
      </w:r>
      <w:r w:rsidRPr="001042F1">
        <w:rPr>
          <w:rFonts w:ascii="Times New Roman" w:hAnsi="Times New Roman" w:cs="Times New Roman"/>
          <w:lang w:eastAsia="sk-SK"/>
        </w:rPr>
        <w:t xml:space="preserve"> </w:t>
      </w:r>
      <w:r>
        <w:rPr>
          <w:rFonts w:ascii="Times New Roman" w:hAnsi="Times New Roman" w:cs="Times New Roman"/>
          <w:lang w:eastAsia="sk-SK"/>
        </w:rPr>
        <w:t>nárast bežných výdavkov a pokles kapitálových výdavkov.</w:t>
      </w:r>
    </w:p>
    <w:p w:rsidR="003A497B" w:rsidRPr="001042F1" w:rsidRDefault="003A497B" w:rsidP="003A497B">
      <w:pPr>
        <w:jc w:val="both"/>
        <w:rPr>
          <w:rFonts w:ascii="Times New Roman" w:hAnsi="Times New Roman" w:cs="Times New Roman"/>
          <w:lang w:eastAsia="sk-SK"/>
        </w:rPr>
      </w:pPr>
    </w:p>
    <w:p w:rsidR="003A497B" w:rsidRDefault="003A497B" w:rsidP="003A497B">
      <w:pPr>
        <w:jc w:val="both"/>
        <w:rPr>
          <w:rFonts w:ascii="Times New Roman" w:hAnsi="Times New Roman" w:cs="Times New Roman"/>
          <w:lang w:eastAsia="sk-SK"/>
        </w:rPr>
      </w:pPr>
      <w:r>
        <w:rPr>
          <w:rFonts w:ascii="Times New Roman" w:hAnsi="Times New Roman" w:cs="Times New Roman"/>
          <w:lang w:eastAsia="sk-SK"/>
        </w:rPr>
        <w:tab/>
      </w:r>
      <w:r w:rsidRPr="001042F1">
        <w:rPr>
          <w:rFonts w:ascii="Times New Roman" w:hAnsi="Times New Roman" w:cs="Times New Roman"/>
          <w:lang w:eastAsia="sk-SK"/>
        </w:rPr>
        <w:t>Osobné výdavky sa na rok 201</w:t>
      </w:r>
      <w:r>
        <w:rPr>
          <w:rFonts w:ascii="Times New Roman" w:hAnsi="Times New Roman" w:cs="Times New Roman"/>
          <w:lang w:eastAsia="sk-SK"/>
        </w:rPr>
        <w:t>9 rozpočtujú vo výške 2,09</w:t>
      </w:r>
      <w:r w:rsidRPr="001042F1">
        <w:rPr>
          <w:rFonts w:ascii="Times New Roman" w:hAnsi="Times New Roman" w:cs="Times New Roman"/>
          <w:lang w:eastAsia="sk-SK"/>
        </w:rPr>
        <w:t xml:space="preserve"> mil. eur, čo predstavuje medziročný nárast o</w:t>
      </w:r>
      <w:r>
        <w:rPr>
          <w:rFonts w:ascii="Times New Roman" w:hAnsi="Times New Roman" w:cs="Times New Roman"/>
          <w:lang w:eastAsia="sk-SK"/>
        </w:rPr>
        <w:t> 121</w:t>
      </w:r>
      <w:r w:rsidRPr="001042F1">
        <w:rPr>
          <w:rFonts w:ascii="Times New Roman" w:hAnsi="Times New Roman" w:cs="Times New Roman"/>
          <w:lang w:eastAsia="sk-SK"/>
        </w:rPr>
        <w:t xml:space="preserve"> tis. eur, t. j. o</w:t>
      </w:r>
      <w:r>
        <w:rPr>
          <w:rFonts w:ascii="Times New Roman" w:hAnsi="Times New Roman" w:cs="Times New Roman"/>
          <w:lang w:eastAsia="sk-SK"/>
        </w:rPr>
        <w:t> 6,13</w:t>
      </w:r>
      <w:r w:rsidRPr="001042F1">
        <w:rPr>
          <w:rFonts w:ascii="Times New Roman" w:hAnsi="Times New Roman" w:cs="Times New Roman"/>
          <w:lang w:eastAsia="sk-SK"/>
        </w:rPr>
        <w:t xml:space="preserve"> %. Výdavky rastú z dôvodu </w:t>
      </w:r>
      <w:r>
        <w:rPr>
          <w:rFonts w:ascii="Times New Roman" w:hAnsi="Times New Roman" w:cs="Times New Roman"/>
          <w:lang w:eastAsia="sk-SK"/>
        </w:rPr>
        <w:t>premietnutia</w:t>
      </w:r>
      <w:r w:rsidRPr="001972CA">
        <w:rPr>
          <w:rFonts w:ascii="Times New Roman" w:hAnsi="Times New Roman" w:cs="Times New Roman"/>
          <w:lang w:eastAsia="sk-SK"/>
        </w:rPr>
        <w:t xml:space="preserve"> </w:t>
      </w:r>
      <w:r w:rsidRPr="001972CA">
        <w:rPr>
          <w:rFonts w:ascii="Times New Roman" w:hAnsi="Times New Roman" w:cs="Times New Roman"/>
          <w:lang w:eastAsia="sk-SK"/>
        </w:rPr>
        <w:lastRenderedPageBreak/>
        <w:t>valorizácie</w:t>
      </w:r>
      <w:r w:rsidRPr="001042F1">
        <w:rPr>
          <w:rFonts w:ascii="Times New Roman" w:hAnsi="Times New Roman" w:cs="Times New Roman"/>
          <w:lang w:eastAsia="sk-SK"/>
        </w:rPr>
        <w:t xml:space="preserve"> platov</w:t>
      </w:r>
      <w:r>
        <w:rPr>
          <w:rFonts w:ascii="Times New Roman" w:hAnsi="Times New Roman" w:cs="Times New Roman"/>
          <w:lang w:eastAsia="sk-SK"/>
        </w:rPr>
        <w:t xml:space="preserve"> zamestnancov </w:t>
      </w:r>
      <w:r w:rsidRPr="001042F1">
        <w:rPr>
          <w:rFonts w:ascii="Times New Roman" w:hAnsi="Times New Roman" w:cs="Times New Roman"/>
          <w:lang w:eastAsia="sk-SK"/>
        </w:rPr>
        <w:t>z roku 201</w:t>
      </w:r>
      <w:r>
        <w:rPr>
          <w:rFonts w:ascii="Times New Roman" w:hAnsi="Times New Roman" w:cs="Times New Roman"/>
          <w:lang w:eastAsia="sk-SK"/>
        </w:rPr>
        <w:t xml:space="preserve">8 </w:t>
      </w:r>
      <w:r w:rsidRPr="00E81FE9">
        <w:rPr>
          <w:rFonts w:ascii="Times New Roman" w:hAnsi="Times New Roman" w:cs="Times New Roman"/>
          <w:lang w:eastAsia="sk-SK"/>
        </w:rPr>
        <w:t xml:space="preserve">do nasledujúcich rokov </w:t>
      </w:r>
      <w:r>
        <w:rPr>
          <w:rFonts w:ascii="Times New Roman" w:hAnsi="Times New Roman" w:cs="Times New Roman"/>
          <w:lang w:eastAsia="sk-SK"/>
        </w:rPr>
        <w:t xml:space="preserve">a zvýšeného poistného z dôvodu nárastu zákonných nárokov zamestnancov. </w:t>
      </w:r>
    </w:p>
    <w:p w:rsidR="003A497B" w:rsidRPr="001F23B2" w:rsidRDefault="003A497B" w:rsidP="003A497B">
      <w:pPr>
        <w:jc w:val="both"/>
        <w:rPr>
          <w:rFonts w:ascii="Times New Roman" w:hAnsi="Times New Roman" w:cs="Times New Roman"/>
          <w:lang w:eastAsia="sk-SK"/>
        </w:rPr>
      </w:pPr>
    </w:p>
    <w:p w:rsidR="003A497B" w:rsidRDefault="003A497B" w:rsidP="003A497B">
      <w:pPr>
        <w:jc w:val="both"/>
        <w:rPr>
          <w:rFonts w:ascii="Times New Roman" w:hAnsi="Times New Roman" w:cs="Times New Roman"/>
          <w:lang w:eastAsia="sk-SK"/>
        </w:rPr>
      </w:pPr>
      <w:r>
        <w:rPr>
          <w:rFonts w:ascii="Times New Roman" w:hAnsi="Times New Roman" w:cs="Times New Roman"/>
          <w:lang w:eastAsia="sk-SK"/>
        </w:rPr>
        <w:tab/>
      </w:r>
      <w:r w:rsidRPr="001042F1">
        <w:rPr>
          <w:rFonts w:ascii="Times New Roman" w:hAnsi="Times New Roman" w:cs="Times New Roman"/>
          <w:lang w:eastAsia="sk-SK"/>
        </w:rPr>
        <w:t>Výdavky na tovary a služby sú v roku 201</w:t>
      </w:r>
      <w:r>
        <w:rPr>
          <w:rFonts w:ascii="Times New Roman" w:hAnsi="Times New Roman" w:cs="Times New Roman"/>
          <w:lang w:eastAsia="sk-SK"/>
        </w:rPr>
        <w:t>9</w:t>
      </w:r>
      <w:r w:rsidRPr="001042F1">
        <w:rPr>
          <w:rFonts w:ascii="Times New Roman" w:hAnsi="Times New Roman" w:cs="Times New Roman"/>
          <w:lang w:eastAsia="sk-SK"/>
        </w:rPr>
        <w:t xml:space="preserve"> rozpočtované v sume </w:t>
      </w:r>
      <w:r>
        <w:rPr>
          <w:rFonts w:ascii="Times New Roman" w:hAnsi="Times New Roman" w:cs="Times New Roman"/>
          <w:lang w:eastAsia="sk-SK"/>
        </w:rPr>
        <w:t>699</w:t>
      </w:r>
      <w:r w:rsidRPr="001042F1">
        <w:rPr>
          <w:rFonts w:ascii="Times New Roman" w:hAnsi="Times New Roman" w:cs="Times New Roman"/>
          <w:lang w:eastAsia="sk-SK"/>
        </w:rPr>
        <w:t xml:space="preserve"> tis. eur.</w:t>
      </w:r>
      <w:r>
        <w:rPr>
          <w:rFonts w:ascii="Times New Roman" w:hAnsi="Times New Roman" w:cs="Times New Roman"/>
          <w:lang w:eastAsia="sk-SK"/>
        </w:rPr>
        <w:br/>
      </w:r>
      <w:r w:rsidRPr="001042F1">
        <w:rPr>
          <w:rFonts w:ascii="Times New Roman" w:hAnsi="Times New Roman" w:cs="Times New Roman"/>
          <w:lang w:eastAsia="sk-SK"/>
        </w:rPr>
        <w:t>V porovnaní so schváleným rozpočtom na rok 201</w:t>
      </w:r>
      <w:r>
        <w:rPr>
          <w:rFonts w:ascii="Times New Roman" w:hAnsi="Times New Roman" w:cs="Times New Roman"/>
          <w:lang w:eastAsia="sk-SK"/>
        </w:rPr>
        <w:t>8</w:t>
      </w:r>
      <w:r w:rsidRPr="001042F1">
        <w:rPr>
          <w:rFonts w:ascii="Times New Roman" w:hAnsi="Times New Roman" w:cs="Times New Roman"/>
          <w:lang w:eastAsia="sk-SK"/>
        </w:rPr>
        <w:t xml:space="preserve"> rastú o</w:t>
      </w:r>
      <w:r>
        <w:rPr>
          <w:rFonts w:ascii="Times New Roman" w:hAnsi="Times New Roman" w:cs="Times New Roman"/>
          <w:lang w:eastAsia="sk-SK"/>
        </w:rPr>
        <w:t> 8,00</w:t>
      </w:r>
      <w:r w:rsidRPr="001042F1">
        <w:rPr>
          <w:rFonts w:ascii="Times New Roman" w:hAnsi="Times New Roman" w:cs="Times New Roman"/>
          <w:lang w:eastAsia="sk-SK"/>
        </w:rPr>
        <w:t xml:space="preserve"> tis. eur, čo predstavuje</w:t>
      </w:r>
      <w:r>
        <w:rPr>
          <w:rFonts w:ascii="Times New Roman" w:hAnsi="Times New Roman" w:cs="Times New Roman"/>
          <w:lang w:eastAsia="sk-SK"/>
        </w:rPr>
        <w:br/>
        <w:t>1,16</w:t>
      </w:r>
      <w:r w:rsidRPr="001042F1">
        <w:rPr>
          <w:rFonts w:ascii="Times New Roman" w:hAnsi="Times New Roman" w:cs="Times New Roman"/>
          <w:lang w:eastAsia="sk-SK"/>
        </w:rPr>
        <w:t xml:space="preserve"> %. </w:t>
      </w:r>
      <w:r>
        <w:rPr>
          <w:rFonts w:ascii="Times New Roman" w:hAnsi="Times New Roman" w:cs="Times New Roman"/>
          <w:lang w:eastAsia="sk-SK"/>
        </w:rPr>
        <w:t>Výdavky rastú z dôvodu zabezpečenia organizácie zasadnutia dvoch pracovných skupín EK – Pracovnej skupiny ECN pre otázky spolupráce a spravodlivý proces a Pracovnej skupiny pre implementáciu modernizácie štátnej pomoci.</w:t>
      </w:r>
    </w:p>
    <w:p w:rsidR="003A497B" w:rsidRPr="001042F1" w:rsidRDefault="003A497B" w:rsidP="003A497B">
      <w:pPr>
        <w:jc w:val="both"/>
        <w:rPr>
          <w:rFonts w:ascii="Times New Roman" w:hAnsi="Times New Roman" w:cs="Times New Roman"/>
          <w:lang w:eastAsia="sk-SK"/>
        </w:rPr>
      </w:pPr>
    </w:p>
    <w:p w:rsidR="003A497B" w:rsidRPr="001042F1" w:rsidRDefault="003A497B" w:rsidP="003A497B">
      <w:pPr>
        <w:jc w:val="both"/>
        <w:rPr>
          <w:rFonts w:ascii="Times New Roman" w:hAnsi="Times New Roman" w:cs="Times New Roman"/>
          <w:lang w:eastAsia="sk-SK"/>
        </w:rPr>
      </w:pPr>
      <w:r>
        <w:rPr>
          <w:rFonts w:ascii="Times New Roman" w:hAnsi="Times New Roman" w:cs="Times New Roman"/>
          <w:lang w:eastAsia="sk-SK"/>
        </w:rPr>
        <w:tab/>
      </w:r>
      <w:r w:rsidRPr="001042F1">
        <w:rPr>
          <w:rFonts w:ascii="Times New Roman" w:hAnsi="Times New Roman" w:cs="Times New Roman"/>
          <w:lang w:eastAsia="sk-SK"/>
        </w:rPr>
        <w:t>Výdavky na bežné transfery na rok 201</w:t>
      </w:r>
      <w:r>
        <w:rPr>
          <w:rFonts w:ascii="Times New Roman" w:hAnsi="Times New Roman" w:cs="Times New Roman"/>
          <w:lang w:eastAsia="sk-SK"/>
        </w:rPr>
        <w:t>9</w:t>
      </w:r>
      <w:r w:rsidRPr="001042F1">
        <w:rPr>
          <w:rFonts w:ascii="Times New Roman" w:hAnsi="Times New Roman" w:cs="Times New Roman"/>
          <w:lang w:eastAsia="sk-SK"/>
        </w:rPr>
        <w:t xml:space="preserve"> </w:t>
      </w:r>
      <w:r>
        <w:rPr>
          <w:rFonts w:ascii="Times New Roman" w:hAnsi="Times New Roman" w:cs="Times New Roman"/>
          <w:lang w:eastAsia="sk-SK"/>
        </w:rPr>
        <w:t>v sume</w:t>
      </w:r>
      <w:r w:rsidRPr="001042F1">
        <w:rPr>
          <w:rFonts w:ascii="Times New Roman" w:hAnsi="Times New Roman" w:cs="Times New Roman"/>
          <w:lang w:eastAsia="sk-SK"/>
        </w:rPr>
        <w:t xml:space="preserve"> </w:t>
      </w:r>
      <w:r>
        <w:rPr>
          <w:rFonts w:ascii="Times New Roman" w:hAnsi="Times New Roman" w:cs="Times New Roman"/>
          <w:lang w:eastAsia="sk-SK"/>
        </w:rPr>
        <w:t>12,0 tis. eur predstavujú úroveň schváleného rozpočtu na rok 2018.</w:t>
      </w:r>
    </w:p>
    <w:p w:rsidR="003A497B" w:rsidRPr="001042F1" w:rsidRDefault="003A497B" w:rsidP="003A497B">
      <w:pPr>
        <w:jc w:val="both"/>
        <w:rPr>
          <w:rFonts w:ascii="Times New Roman" w:hAnsi="Times New Roman" w:cs="Times New Roman"/>
          <w:lang w:eastAsia="sk-SK"/>
        </w:rPr>
      </w:pPr>
    </w:p>
    <w:p w:rsidR="003A497B" w:rsidRDefault="003A497B" w:rsidP="003A497B">
      <w:pPr>
        <w:jc w:val="both"/>
        <w:rPr>
          <w:rFonts w:ascii="Times New Roman" w:hAnsi="Times New Roman" w:cs="Times New Roman"/>
          <w:lang w:eastAsia="sk-SK"/>
        </w:rPr>
      </w:pPr>
      <w:r>
        <w:rPr>
          <w:rFonts w:ascii="Times New Roman" w:hAnsi="Times New Roman" w:cs="Times New Roman"/>
          <w:lang w:eastAsia="sk-SK"/>
        </w:rPr>
        <w:tab/>
      </w:r>
      <w:r w:rsidRPr="001042F1">
        <w:rPr>
          <w:rFonts w:ascii="Times New Roman" w:hAnsi="Times New Roman" w:cs="Times New Roman"/>
          <w:lang w:eastAsia="sk-SK"/>
        </w:rPr>
        <w:t xml:space="preserve">Kapitálové výdavky </w:t>
      </w:r>
      <w:r>
        <w:rPr>
          <w:rFonts w:ascii="Times New Roman" w:hAnsi="Times New Roman" w:cs="Times New Roman"/>
          <w:lang w:eastAsia="sk-SK"/>
        </w:rPr>
        <w:t>na rok 2019 klesajú v porovnaní so schváleným rozpočtom na rok 2018 o 40,0 tis. eur, t. j. o 34,8 % s tým, že v rozpočte kapitoly sú zohľadnené výdavky na elektronickú registratúru v sume požadovanej kapitolou.</w:t>
      </w:r>
    </w:p>
    <w:p w:rsidR="003A497B" w:rsidRPr="00912A7B" w:rsidRDefault="003A497B" w:rsidP="003A497B">
      <w:pPr>
        <w:pStyle w:val="Nadpis5"/>
        <w:pBdr>
          <w:bottom w:val="single" w:sz="4" w:space="1" w:color="auto"/>
        </w:pBdr>
        <w:ind w:left="0"/>
        <w:rPr>
          <w:i w:val="0"/>
          <w:sz w:val="24"/>
          <w:lang w:eastAsia="sk-SK"/>
        </w:rPr>
      </w:pPr>
      <w:bookmarkStart w:id="292" w:name="_Toc400551782"/>
      <w:bookmarkStart w:id="293" w:name="_Toc494470121"/>
      <w:bookmarkStart w:id="294" w:name="_Toc494472297"/>
      <w:bookmarkStart w:id="295" w:name="_Toc526267722"/>
      <w:r w:rsidRPr="00912A7B">
        <w:rPr>
          <w:i w:val="0"/>
          <w:sz w:val="24"/>
          <w:lang w:eastAsia="sk-SK"/>
        </w:rPr>
        <w:t>Národný bezpečnostný úrad</w:t>
      </w:r>
      <w:bookmarkEnd w:id="292"/>
      <w:bookmarkEnd w:id="293"/>
      <w:bookmarkEnd w:id="294"/>
      <w:bookmarkEnd w:id="295"/>
    </w:p>
    <w:p w:rsidR="003A497B" w:rsidRPr="004A3627" w:rsidRDefault="003A497B" w:rsidP="003A497B">
      <w:pPr>
        <w:jc w:val="both"/>
        <w:rPr>
          <w:rFonts w:ascii="Times New Roman" w:hAnsi="Times New Roman" w:cs="Times New Roman"/>
          <w:highlight w:val="yellow"/>
          <w:lang w:eastAsia="sk-SK"/>
        </w:rPr>
      </w:pPr>
    </w:p>
    <w:tbl>
      <w:tblPr>
        <w:tblW w:w="9067" w:type="dxa"/>
        <w:tblLayout w:type="fixed"/>
        <w:tblCellMar>
          <w:left w:w="70" w:type="dxa"/>
          <w:right w:w="70" w:type="dxa"/>
        </w:tblCellMar>
        <w:tblLook w:val="04A0" w:firstRow="1" w:lastRow="0" w:firstColumn="1" w:lastColumn="0" w:noHBand="0" w:noVBand="1"/>
      </w:tblPr>
      <w:tblGrid>
        <w:gridCol w:w="2830"/>
        <w:gridCol w:w="891"/>
        <w:gridCol w:w="891"/>
        <w:gridCol w:w="891"/>
        <w:gridCol w:w="891"/>
        <w:gridCol w:w="891"/>
        <w:gridCol w:w="891"/>
        <w:gridCol w:w="891"/>
      </w:tblGrid>
      <w:tr w:rsidR="003A497B" w:rsidRPr="00195119" w:rsidTr="003E1809">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195119" w:rsidRDefault="003A497B" w:rsidP="003E1809">
            <w:pPr>
              <w:rPr>
                <w:rFonts w:ascii="Times New Roman" w:hAnsi="Times New Roman" w:cs="Times New Roman"/>
                <w:b/>
                <w:bCs/>
                <w:color w:val="000000"/>
                <w:sz w:val="14"/>
                <w:szCs w:val="14"/>
                <w:lang w:eastAsia="sk-SK"/>
              </w:rPr>
            </w:pPr>
            <w:bookmarkStart w:id="296" w:name="RANGE!B2"/>
            <w:bookmarkEnd w:id="296"/>
            <w:r w:rsidRPr="00195119">
              <w:rPr>
                <w:rFonts w:ascii="Times New Roman" w:hAnsi="Times New Roman" w:cs="Times New Roman"/>
                <w:b/>
                <w:bCs/>
                <w:color w:val="000000"/>
                <w:sz w:val="14"/>
                <w:szCs w:val="14"/>
                <w:lang w:eastAsia="sk-SK"/>
              </w:rPr>
              <w:t>v eurách</w:t>
            </w:r>
          </w:p>
        </w:tc>
        <w:tc>
          <w:tcPr>
            <w:tcW w:w="891"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A40B42" w:rsidRDefault="003A497B" w:rsidP="003E1809">
            <w:pPr>
              <w:jc w:val="center"/>
              <w:rPr>
                <w:rFonts w:ascii="Times New Roman" w:hAnsi="Times New Roman" w:cs="Times New Roman"/>
                <w:b/>
                <w:bCs/>
                <w:color w:val="000000"/>
                <w:sz w:val="14"/>
                <w:szCs w:val="14"/>
                <w:lang w:eastAsia="sk-SK"/>
              </w:rPr>
            </w:pPr>
            <w:r w:rsidRPr="00A40B42">
              <w:rPr>
                <w:rFonts w:ascii="Times New Roman" w:hAnsi="Times New Roman" w:cs="Times New Roman"/>
                <w:b/>
                <w:bCs/>
                <w:color w:val="000000"/>
                <w:sz w:val="14"/>
                <w:szCs w:val="14"/>
              </w:rPr>
              <w:t>2016 S</w:t>
            </w:r>
          </w:p>
        </w:tc>
        <w:tc>
          <w:tcPr>
            <w:tcW w:w="891"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A40B42" w:rsidRDefault="003A497B" w:rsidP="003E1809">
            <w:pPr>
              <w:jc w:val="center"/>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2017 S</w:t>
            </w:r>
          </w:p>
        </w:tc>
        <w:tc>
          <w:tcPr>
            <w:tcW w:w="891"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A40B42" w:rsidRDefault="003A497B" w:rsidP="003E1809">
            <w:pPr>
              <w:jc w:val="center"/>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2018 R</w:t>
            </w:r>
          </w:p>
        </w:tc>
        <w:tc>
          <w:tcPr>
            <w:tcW w:w="891"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A40B42" w:rsidRDefault="003A497B" w:rsidP="003E1809">
            <w:pPr>
              <w:jc w:val="center"/>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2018 OS</w:t>
            </w:r>
          </w:p>
        </w:tc>
        <w:tc>
          <w:tcPr>
            <w:tcW w:w="891"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A40B42" w:rsidRDefault="003A497B" w:rsidP="003E1809">
            <w:pPr>
              <w:jc w:val="center"/>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2019 N</w:t>
            </w:r>
          </w:p>
        </w:tc>
        <w:tc>
          <w:tcPr>
            <w:tcW w:w="891"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A40B42" w:rsidRDefault="003A497B" w:rsidP="003E1809">
            <w:pPr>
              <w:jc w:val="center"/>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2020 N</w:t>
            </w:r>
          </w:p>
        </w:tc>
        <w:tc>
          <w:tcPr>
            <w:tcW w:w="891" w:type="dxa"/>
            <w:tcBorders>
              <w:top w:val="single" w:sz="4" w:space="0" w:color="auto"/>
              <w:left w:val="nil"/>
              <w:bottom w:val="single" w:sz="4" w:space="0" w:color="auto"/>
              <w:right w:val="single" w:sz="4" w:space="0" w:color="auto"/>
            </w:tcBorders>
            <w:shd w:val="clear" w:color="000000" w:fill="A6A6A6"/>
            <w:noWrap/>
            <w:vAlign w:val="center"/>
            <w:hideMark/>
          </w:tcPr>
          <w:p w:rsidR="003A497B" w:rsidRPr="00A40B42" w:rsidRDefault="003A497B" w:rsidP="003E1809">
            <w:pPr>
              <w:jc w:val="center"/>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2021 N</w:t>
            </w:r>
          </w:p>
        </w:tc>
      </w:tr>
      <w:tr w:rsidR="003A497B" w:rsidRPr="00195119" w:rsidTr="003E1809">
        <w:trPr>
          <w:trHeight w:val="255"/>
        </w:trPr>
        <w:tc>
          <w:tcPr>
            <w:tcW w:w="283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A497B" w:rsidRPr="00195119" w:rsidRDefault="003A497B" w:rsidP="003E1809">
            <w:pPr>
              <w:rPr>
                <w:rFonts w:ascii="Times New Roman" w:hAnsi="Times New Roman" w:cs="Times New Roman"/>
                <w:b/>
                <w:bCs/>
                <w:color w:val="000000"/>
                <w:sz w:val="14"/>
                <w:szCs w:val="14"/>
                <w:lang w:eastAsia="sk-SK"/>
              </w:rPr>
            </w:pPr>
            <w:r w:rsidRPr="00960686">
              <w:rPr>
                <w:rFonts w:ascii="Times New Roman" w:hAnsi="Times New Roman" w:cs="Times New Roman"/>
                <w:b/>
                <w:bCs/>
                <w:color w:val="000000"/>
                <w:sz w:val="14"/>
                <w:szCs w:val="14"/>
                <w:lang w:eastAsia="sk-SK"/>
              </w:rPr>
              <w:t>Zdroje príslušnej kapitoly vrátane 72e</w:t>
            </w:r>
          </w:p>
        </w:tc>
        <w:tc>
          <w:tcPr>
            <w:tcW w:w="89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12 034 564</w:t>
            </w:r>
          </w:p>
        </w:tc>
        <w:tc>
          <w:tcPr>
            <w:tcW w:w="891" w:type="dxa"/>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14 990 633</w:t>
            </w:r>
          </w:p>
        </w:tc>
        <w:tc>
          <w:tcPr>
            <w:tcW w:w="891" w:type="dxa"/>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9 051 351</w:t>
            </w:r>
          </w:p>
        </w:tc>
        <w:tc>
          <w:tcPr>
            <w:tcW w:w="89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A497B" w:rsidRPr="00B50A75" w:rsidRDefault="003A497B" w:rsidP="003E1809">
            <w:pPr>
              <w:jc w:val="right"/>
              <w:rPr>
                <w:rFonts w:ascii="Times New Roman" w:hAnsi="Times New Roman" w:cs="Times New Roman"/>
                <w:b/>
                <w:bCs/>
                <w:color w:val="000000"/>
                <w:sz w:val="14"/>
                <w:szCs w:val="14"/>
                <w:lang w:eastAsia="sk-SK"/>
              </w:rPr>
            </w:pPr>
            <w:r w:rsidRPr="00B50A75">
              <w:rPr>
                <w:rFonts w:ascii="Times New Roman" w:hAnsi="Times New Roman" w:cs="Times New Roman"/>
                <w:b/>
                <w:bCs/>
                <w:color w:val="000000"/>
                <w:sz w:val="14"/>
                <w:szCs w:val="14"/>
              </w:rPr>
              <w:t>9 757 566</w:t>
            </w:r>
          </w:p>
        </w:tc>
        <w:tc>
          <w:tcPr>
            <w:tcW w:w="891" w:type="dxa"/>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10 120 423</w:t>
            </w:r>
          </w:p>
        </w:tc>
        <w:tc>
          <w:tcPr>
            <w:tcW w:w="891" w:type="dxa"/>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10 120 423</w:t>
            </w:r>
          </w:p>
        </w:tc>
        <w:tc>
          <w:tcPr>
            <w:tcW w:w="891" w:type="dxa"/>
            <w:tcBorders>
              <w:top w:val="nil"/>
              <w:left w:val="nil"/>
              <w:bottom w:val="single" w:sz="4" w:space="0" w:color="auto"/>
              <w:right w:val="single" w:sz="4" w:space="0" w:color="auto"/>
            </w:tcBorders>
            <w:shd w:val="clear" w:color="auto" w:fill="BFBFBF" w:themeFill="background1" w:themeFillShade="BF"/>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10 120 423</w:t>
            </w:r>
          </w:p>
        </w:tc>
      </w:tr>
      <w:tr w:rsidR="003A497B" w:rsidRPr="00195119" w:rsidTr="003E1809">
        <w:trPr>
          <w:trHeight w:val="255"/>
        </w:trPr>
        <w:tc>
          <w:tcPr>
            <w:tcW w:w="2830"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3A497B" w:rsidRPr="00960686" w:rsidRDefault="003A497B" w:rsidP="003E1809">
            <w:pPr>
              <w:rPr>
                <w:rFonts w:ascii="Times New Roman" w:hAnsi="Times New Roman" w:cs="Times New Roman"/>
                <w:b/>
                <w:sz w:val="14"/>
                <w:szCs w:val="14"/>
              </w:rPr>
            </w:pPr>
            <w:r w:rsidRPr="00960686">
              <w:rPr>
                <w:rFonts w:ascii="Times New Roman" w:hAnsi="Times New Roman" w:cs="Times New Roman"/>
                <w:b/>
                <w:sz w:val="14"/>
                <w:szCs w:val="14"/>
              </w:rPr>
              <w:t>zdroje príslušnej kapitoly</w:t>
            </w:r>
          </w:p>
        </w:tc>
        <w:tc>
          <w:tcPr>
            <w:tcW w:w="891"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12 034 564</w:t>
            </w:r>
          </w:p>
        </w:tc>
        <w:tc>
          <w:tcPr>
            <w:tcW w:w="891" w:type="dxa"/>
            <w:tcBorders>
              <w:top w:val="nil"/>
              <w:left w:val="nil"/>
              <w:bottom w:val="single" w:sz="4" w:space="0" w:color="auto"/>
              <w:right w:val="single" w:sz="4" w:space="0" w:color="auto"/>
            </w:tcBorders>
            <w:shd w:val="clear" w:color="auto" w:fill="BFBFBF" w:themeFill="background1" w:themeFillShade="BF"/>
            <w:noWrap/>
            <w:vAlign w:val="bottom"/>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14 990 633</w:t>
            </w:r>
          </w:p>
        </w:tc>
        <w:tc>
          <w:tcPr>
            <w:tcW w:w="891" w:type="dxa"/>
            <w:tcBorders>
              <w:top w:val="nil"/>
              <w:left w:val="nil"/>
              <w:bottom w:val="single" w:sz="4" w:space="0" w:color="auto"/>
              <w:right w:val="single" w:sz="4" w:space="0" w:color="auto"/>
            </w:tcBorders>
            <w:shd w:val="clear" w:color="auto" w:fill="BFBFBF" w:themeFill="background1" w:themeFillShade="BF"/>
            <w:noWrap/>
            <w:vAlign w:val="bottom"/>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9 049 351</w:t>
            </w:r>
          </w:p>
        </w:tc>
        <w:tc>
          <w:tcPr>
            <w:tcW w:w="891"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3A497B" w:rsidRPr="00B50A75" w:rsidRDefault="003A497B" w:rsidP="003E1809">
            <w:pPr>
              <w:jc w:val="right"/>
              <w:rPr>
                <w:rFonts w:ascii="Times New Roman" w:hAnsi="Times New Roman" w:cs="Times New Roman"/>
                <w:b/>
                <w:bCs/>
                <w:color w:val="000000"/>
                <w:sz w:val="14"/>
                <w:szCs w:val="14"/>
              </w:rPr>
            </w:pPr>
            <w:r w:rsidRPr="00B50A75">
              <w:rPr>
                <w:rFonts w:ascii="Times New Roman" w:hAnsi="Times New Roman" w:cs="Times New Roman"/>
                <w:b/>
                <w:bCs/>
                <w:color w:val="000000"/>
                <w:sz w:val="14"/>
                <w:szCs w:val="14"/>
              </w:rPr>
              <w:t>9 754 256</w:t>
            </w:r>
          </w:p>
        </w:tc>
        <w:tc>
          <w:tcPr>
            <w:tcW w:w="891" w:type="dxa"/>
            <w:tcBorders>
              <w:top w:val="nil"/>
              <w:left w:val="nil"/>
              <w:bottom w:val="single" w:sz="4" w:space="0" w:color="auto"/>
              <w:right w:val="single" w:sz="4" w:space="0" w:color="auto"/>
            </w:tcBorders>
            <w:shd w:val="clear" w:color="auto" w:fill="BFBFBF" w:themeFill="background1" w:themeFillShade="BF"/>
            <w:noWrap/>
            <w:vAlign w:val="bottom"/>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10 118 423</w:t>
            </w:r>
          </w:p>
        </w:tc>
        <w:tc>
          <w:tcPr>
            <w:tcW w:w="891" w:type="dxa"/>
            <w:tcBorders>
              <w:top w:val="nil"/>
              <w:left w:val="nil"/>
              <w:bottom w:val="single" w:sz="4" w:space="0" w:color="auto"/>
              <w:right w:val="single" w:sz="4" w:space="0" w:color="auto"/>
            </w:tcBorders>
            <w:shd w:val="clear" w:color="auto" w:fill="BFBFBF" w:themeFill="background1" w:themeFillShade="BF"/>
            <w:noWrap/>
            <w:vAlign w:val="bottom"/>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10 118 423</w:t>
            </w:r>
          </w:p>
        </w:tc>
        <w:tc>
          <w:tcPr>
            <w:tcW w:w="891" w:type="dxa"/>
            <w:tcBorders>
              <w:top w:val="nil"/>
              <w:left w:val="nil"/>
              <w:bottom w:val="single" w:sz="4" w:space="0" w:color="auto"/>
              <w:right w:val="single" w:sz="4" w:space="0" w:color="auto"/>
            </w:tcBorders>
            <w:shd w:val="clear" w:color="auto" w:fill="BFBFBF" w:themeFill="background1" w:themeFillShade="BF"/>
            <w:noWrap/>
            <w:vAlign w:val="bottom"/>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10 118 423</w:t>
            </w:r>
          </w:p>
        </w:tc>
      </w:tr>
      <w:tr w:rsidR="003A497B" w:rsidRPr="00195119" w:rsidTr="003E1809">
        <w:trPr>
          <w:trHeight w:val="255"/>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3A497B" w:rsidRPr="00195119" w:rsidRDefault="003A497B" w:rsidP="003E1809">
            <w:pPr>
              <w:rPr>
                <w:rFonts w:ascii="Times New Roman" w:hAnsi="Times New Roman" w:cs="Times New Roman"/>
                <w:b/>
                <w:bCs/>
                <w:color w:val="000000"/>
                <w:sz w:val="14"/>
                <w:szCs w:val="14"/>
                <w:lang w:eastAsia="sk-SK"/>
              </w:rPr>
            </w:pPr>
            <w:r w:rsidRPr="00195119">
              <w:rPr>
                <w:rFonts w:ascii="Times New Roman" w:hAnsi="Times New Roman" w:cs="Times New Roman"/>
                <w:b/>
                <w:bCs/>
                <w:color w:val="000000"/>
                <w:sz w:val="14"/>
                <w:szCs w:val="14"/>
                <w:lang w:eastAsia="sk-SK"/>
              </w:rPr>
              <w:t xml:space="preserve">rozpočtové zdroje kapitoly </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8 237 713</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8 563 543</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9 049 351</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B50A75" w:rsidRDefault="003A497B" w:rsidP="003E1809">
            <w:pPr>
              <w:jc w:val="right"/>
              <w:rPr>
                <w:rFonts w:ascii="Times New Roman" w:hAnsi="Times New Roman" w:cs="Times New Roman"/>
                <w:b/>
                <w:bCs/>
                <w:color w:val="000000"/>
                <w:sz w:val="14"/>
                <w:szCs w:val="14"/>
              </w:rPr>
            </w:pPr>
            <w:r w:rsidRPr="00B50A75">
              <w:rPr>
                <w:rFonts w:ascii="Times New Roman" w:hAnsi="Times New Roman" w:cs="Times New Roman"/>
                <w:b/>
                <w:bCs/>
                <w:color w:val="000000"/>
                <w:sz w:val="14"/>
                <w:szCs w:val="14"/>
              </w:rPr>
              <w:t>8 284 768</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10 118 423</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10 118 423</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10 118 423</w:t>
            </w:r>
          </w:p>
        </w:tc>
      </w:tr>
      <w:tr w:rsidR="003A497B" w:rsidRPr="00195119" w:rsidTr="003E1809">
        <w:trPr>
          <w:trHeight w:val="255"/>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3A497B" w:rsidRPr="00195119" w:rsidRDefault="003A497B" w:rsidP="003E1809">
            <w:pPr>
              <w:rPr>
                <w:rFonts w:ascii="Times New Roman" w:hAnsi="Times New Roman" w:cs="Times New Roman"/>
                <w:color w:val="000000"/>
                <w:sz w:val="14"/>
                <w:szCs w:val="14"/>
                <w:lang w:eastAsia="sk-SK"/>
              </w:rPr>
            </w:pPr>
            <w:r w:rsidRPr="00195119">
              <w:rPr>
                <w:rFonts w:ascii="Times New Roman" w:hAnsi="Times New Roman" w:cs="Times New Roman"/>
                <w:color w:val="000000"/>
                <w:sz w:val="14"/>
                <w:szCs w:val="14"/>
                <w:lang w:eastAsia="sk-SK"/>
              </w:rPr>
              <w:t xml:space="preserve">    v tom: bežné výdavky  600</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8 072 282</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8 504 297</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9 049 351</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B50A75" w:rsidRDefault="003A497B" w:rsidP="003E1809">
            <w:pPr>
              <w:jc w:val="right"/>
              <w:rPr>
                <w:rFonts w:ascii="Times New Roman" w:hAnsi="Times New Roman" w:cs="Times New Roman"/>
                <w:color w:val="000000"/>
                <w:sz w:val="14"/>
                <w:szCs w:val="14"/>
              </w:rPr>
            </w:pPr>
            <w:r w:rsidRPr="00B50A75">
              <w:rPr>
                <w:rFonts w:ascii="Times New Roman" w:hAnsi="Times New Roman" w:cs="Times New Roman"/>
                <w:color w:val="000000"/>
                <w:sz w:val="14"/>
                <w:szCs w:val="14"/>
              </w:rPr>
              <w:t>8 284 768</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10 118 423</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10 118 423</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10 118 423</w:t>
            </w:r>
          </w:p>
        </w:tc>
      </w:tr>
      <w:tr w:rsidR="003A497B" w:rsidRPr="00195119" w:rsidTr="003E1809">
        <w:trPr>
          <w:trHeight w:val="255"/>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3A497B" w:rsidRPr="00195119" w:rsidRDefault="003A497B" w:rsidP="003E1809">
            <w:pPr>
              <w:rPr>
                <w:rFonts w:ascii="Times New Roman" w:hAnsi="Times New Roman" w:cs="Times New Roman"/>
                <w:color w:val="000000"/>
                <w:sz w:val="14"/>
                <w:szCs w:val="14"/>
                <w:lang w:eastAsia="sk-SK"/>
              </w:rPr>
            </w:pPr>
            <w:r w:rsidRPr="00195119">
              <w:rPr>
                <w:rFonts w:ascii="Times New Roman" w:hAnsi="Times New Roman" w:cs="Times New Roman"/>
                <w:color w:val="000000"/>
                <w:sz w:val="14"/>
                <w:szCs w:val="14"/>
                <w:lang w:eastAsia="sk-SK"/>
              </w:rPr>
              <w:t xml:space="preserve"> </w:t>
            </w:r>
            <w:r>
              <w:rPr>
                <w:rFonts w:ascii="Times New Roman" w:hAnsi="Times New Roman" w:cs="Times New Roman"/>
                <w:color w:val="000000"/>
                <w:sz w:val="14"/>
                <w:szCs w:val="14"/>
                <w:lang w:eastAsia="sk-SK"/>
              </w:rPr>
              <w:t xml:space="preserve">                          </w:t>
            </w:r>
            <w:r w:rsidRPr="00195119">
              <w:rPr>
                <w:rFonts w:ascii="Times New Roman" w:hAnsi="Times New Roman" w:cs="Times New Roman"/>
                <w:color w:val="000000"/>
                <w:sz w:val="14"/>
                <w:szCs w:val="14"/>
                <w:lang w:eastAsia="sk-SK"/>
              </w:rPr>
              <w:t xml:space="preserve"> 610 mzdy</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4 573 693</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4 792 233</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4 918 879</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B50A75" w:rsidRDefault="003A497B" w:rsidP="003E1809">
            <w:pPr>
              <w:jc w:val="right"/>
              <w:rPr>
                <w:rFonts w:ascii="Times New Roman" w:hAnsi="Times New Roman" w:cs="Times New Roman"/>
                <w:color w:val="000000"/>
                <w:sz w:val="14"/>
                <w:szCs w:val="14"/>
              </w:rPr>
            </w:pPr>
            <w:r w:rsidRPr="00B50A75">
              <w:rPr>
                <w:rFonts w:ascii="Times New Roman" w:hAnsi="Times New Roman" w:cs="Times New Roman"/>
                <w:color w:val="000000"/>
                <w:sz w:val="14"/>
                <w:szCs w:val="14"/>
              </w:rPr>
              <w:t>5 253 412</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5 413 246</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5 413 246</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5 413 246</w:t>
            </w:r>
          </w:p>
        </w:tc>
      </w:tr>
      <w:tr w:rsidR="003A497B" w:rsidRPr="00195119" w:rsidTr="003E1809">
        <w:trPr>
          <w:trHeight w:val="255"/>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3A497B" w:rsidRPr="00195119" w:rsidRDefault="003A497B" w:rsidP="003E1809">
            <w:pPr>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w:t>
            </w:r>
            <w:r w:rsidRPr="00195119">
              <w:rPr>
                <w:rFonts w:ascii="Times New Roman" w:hAnsi="Times New Roman" w:cs="Times New Roman"/>
                <w:color w:val="000000"/>
                <w:sz w:val="14"/>
                <w:szCs w:val="14"/>
                <w:lang w:eastAsia="sk-SK"/>
              </w:rPr>
              <w:t xml:space="preserve"> 620 odvody</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1 600 231</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1 711 721</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1 762 136</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B50A75" w:rsidRDefault="003A497B" w:rsidP="003E1809">
            <w:pPr>
              <w:jc w:val="right"/>
              <w:rPr>
                <w:rFonts w:ascii="Times New Roman" w:hAnsi="Times New Roman" w:cs="Times New Roman"/>
                <w:color w:val="000000"/>
                <w:sz w:val="14"/>
                <w:szCs w:val="14"/>
              </w:rPr>
            </w:pPr>
            <w:r w:rsidRPr="00B50A75">
              <w:rPr>
                <w:rFonts w:ascii="Times New Roman" w:hAnsi="Times New Roman" w:cs="Times New Roman"/>
                <w:color w:val="000000"/>
                <w:sz w:val="14"/>
                <w:szCs w:val="14"/>
              </w:rPr>
              <w:t>1 741 810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1 986 841</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1 986 841</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1 986 841</w:t>
            </w:r>
          </w:p>
        </w:tc>
      </w:tr>
      <w:tr w:rsidR="003A497B" w:rsidRPr="00195119" w:rsidTr="003E1809">
        <w:trPr>
          <w:trHeight w:val="255"/>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3A497B" w:rsidRPr="00195119" w:rsidRDefault="003A497B" w:rsidP="003E1809">
            <w:pPr>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w:t>
            </w:r>
            <w:r w:rsidRPr="00195119">
              <w:rPr>
                <w:rFonts w:ascii="Times New Roman" w:hAnsi="Times New Roman" w:cs="Times New Roman"/>
                <w:color w:val="000000"/>
                <w:sz w:val="14"/>
                <w:szCs w:val="14"/>
                <w:lang w:eastAsia="sk-SK"/>
              </w:rPr>
              <w:t>630 tovary a služby</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1 512 040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1 589 112</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1 994 968</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B50A75" w:rsidRDefault="003A497B" w:rsidP="003E1809">
            <w:pPr>
              <w:jc w:val="right"/>
              <w:rPr>
                <w:rFonts w:ascii="Times New Roman" w:hAnsi="Times New Roman" w:cs="Times New Roman"/>
                <w:color w:val="000000"/>
                <w:sz w:val="14"/>
                <w:szCs w:val="14"/>
              </w:rPr>
            </w:pPr>
            <w:r w:rsidRPr="00B50A75">
              <w:rPr>
                <w:rFonts w:ascii="Times New Roman" w:hAnsi="Times New Roman" w:cs="Times New Roman"/>
                <w:color w:val="000000"/>
                <w:sz w:val="14"/>
                <w:szCs w:val="14"/>
              </w:rPr>
              <w:t>890 548</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2 344 968</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2 344 968</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2 344 968</w:t>
            </w:r>
          </w:p>
        </w:tc>
      </w:tr>
      <w:tr w:rsidR="003A497B" w:rsidRPr="00195119" w:rsidTr="003E1809">
        <w:trPr>
          <w:trHeight w:val="255"/>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3A497B" w:rsidRPr="00195119" w:rsidRDefault="003A497B" w:rsidP="003E1809">
            <w:pPr>
              <w:rPr>
                <w:rFonts w:ascii="Times New Roman" w:hAnsi="Times New Roman" w:cs="Times New Roman"/>
                <w:color w:val="000000"/>
                <w:sz w:val="14"/>
                <w:szCs w:val="14"/>
                <w:lang w:eastAsia="sk-SK"/>
              </w:rPr>
            </w:pPr>
            <w:r>
              <w:rPr>
                <w:rFonts w:ascii="Times New Roman" w:hAnsi="Times New Roman" w:cs="Times New Roman"/>
                <w:color w:val="000000"/>
                <w:sz w:val="14"/>
                <w:szCs w:val="14"/>
                <w:lang w:eastAsia="sk-SK"/>
              </w:rPr>
              <w:t xml:space="preserve">                            </w:t>
            </w:r>
            <w:r w:rsidRPr="00195119">
              <w:rPr>
                <w:rFonts w:ascii="Times New Roman" w:hAnsi="Times New Roman" w:cs="Times New Roman"/>
                <w:color w:val="000000"/>
                <w:sz w:val="14"/>
                <w:szCs w:val="14"/>
                <w:lang w:eastAsia="sk-SK"/>
              </w:rPr>
              <w:t>640 bežné transfery</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386 319</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411 231</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373 368</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B50A75" w:rsidRDefault="003A497B" w:rsidP="003E1809">
            <w:pPr>
              <w:jc w:val="right"/>
              <w:rPr>
                <w:rFonts w:ascii="Times New Roman" w:hAnsi="Times New Roman" w:cs="Times New Roman"/>
                <w:color w:val="000000"/>
                <w:sz w:val="14"/>
                <w:szCs w:val="14"/>
              </w:rPr>
            </w:pPr>
            <w:r w:rsidRPr="00B50A75">
              <w:rPr>
                <w:rFonts w:ascii="Times New Roman" w:hAnsi="Times New Roman" w:cs="Times New Roman"/>
                <w:color w:val="000000"/>
                <w:sz w:val="14"/>
                <w:szCs w:val="14"/>
              </w:rPr>
              <w:t>398 998</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373 368</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373 368</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373 368</w:t>
            </w:r>
          </w:p>
        </w:tc>
      </w:tr>
      <w:tr w:rsidR="003A497B" w:rsidRPr="00195119" w:rsidTr="003E1809">
        <w:trPr>
          <w:trHeight w:val="255"/>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3A497B" w:rsidRPr="00195119" w:rsidRDefault="003A497B" w:rsidP="003E1809">
            <w:pPr>
              <w:rPr>
                <w:rFonts w:ascii="Times New Roman" w:hAnsi="Times New Roman" w:cs="Times New Roman"/>
                <w:color w:val="000000"/>
                <w:sz w:val="14"/>
                <w:szCs w:val="14"/>
                <w:lang w:eastAsia="sk-SK"/>
              </w:rPr>
            </w:pPr>
            <w:r w:rsidRPr="00195119">
              <w:rPr>
                <w:rFonts w:ascii="Times New Roman" w:hAnsi="Times New Roman" w:cs="Times New Roman"/>
                <w:color w:val="000000"/>
                <w:sz w:val="14"/>
                <w:szCs w:val="14"/>
                <w:lang w:eastAsia="sk-SK"/>
              </w:rPr>
              <w:t xml:space="preserve">               kapitálové výdavky 700</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165 431</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59 246</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0</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B50A75" w:rsidRDefault="003A497B" w:rsidP="003E1809">
            <w:pPr>
              <w:jc w:val="right"/>
              <w:rPr>
                <w:rFonts w:ascii="Times New Roman" w:hAnsi="Times New Roman" w:cs="Times New Roman"/>
                <w:color w:val="000000"/>
                <w:sz w:val="14"/>
                <w:szCs w:val="14"/>
              </w:rPr>
            </w:pPr>
            <w:r w:rsidRPr="00B50A75">
              <w:rPr>
                <w:rFonts w:ascii="Times New Roman" w:hAnsi="Times New Roman" w:cs="Times New Roman"/>
                <w:color w:val="000000"/>
                <w:sz w:val="14"/>
                <w:szCs w:val="14"/>
              </w:rPr>
              <w:t>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color w:val="000000"/>
                <w:sz w:val="14"/>
                <w:szCs w:val="14"/>
              </w:rPr>
            </w:pPr>
            <w:r w:rsidRPr="00A40B42">
              <w:rPr>
                <w:rFonts w:ascii="Times New Roman" w:hAnsi="Times New Roman" w:cs="Times New Roman"/>
                <w:color w:val="000000"/>
                <w:sz w:val="14"/>
                <w:szCs w:val="14"/>
              </w:rPr>
              <w:t>0</w:t>
            </w:r>
          </w:p>
        </w:tc>
      </w:tr>
      <w:tr w:rsidR="003A497B" w:rsidRPr="00195119" w:rsidTr="003E1809">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97B" w:rsidRPr="00563C4E" w:rsidRDefault="003A497B" w:rsidP="003E1809">
            <w:pPr>
              <w:rPr>
                <w:rFonts w:ascii="Times New Roman" w:hAnsi="Times New Roman" w:cs="Times New Roman"/>
                <w:b/>
                <w:sz w:val="14"/>
                <w:szCs w:val="14"/>
              </w:rPr>
            </w:pPr>
            <w:r w:rsidRPr="00563C4E">
              <w:rPr>
                <w:rFonts w:ascii="Times New Roman" w:hAnsi="Times New Roman" w:cs="Times New Roman"/>
                <w:b/>
                <w:sz w:val="14"/>
                <w:szCs w:val="14"/>
              </w:rPr>
              <w:t>presun z minulých rokov § 8</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3 796 850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6 427 090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0</w:t>
            </w:r>
          </w:p>
        </w:tc>
        <w:tc>
          <w:tcPr>
            <w:tcW w:w="891" w:type="dxa"/>
            <w:tcBorders>
              <w:top w:val="nil"/>
              <w:left w:val="single" w:sz="4" w:space="0" w:color="auto"/>
              <w:bottom w:val="single" w:sz="4" w:space="0" w:color="auto"/>
              <w:right w:val="single" w:sz="4" w:space="0" w:color="auto"/>
            </w:tcBorders>
            <w:shd w:val="clear" w:color="auto" w:fill="auto"/>
            <w:noWrap/>
            <w:vAlign w:val="bottom"/>
            <w:hideMark/>
          </w:tcPr>
          <w:p w:rsidR="003A497B" w:rsidRPr="00B50A75" w:rsidRDefault="003A497B" w:rsidP="003E1809">
            <w:pPr>
              <w:jc w:val="right"/>
              <w:rPr>
                <w:rFonts w:ascii="Times New Roman" w:hAnsi="Times New Roman" w:cs="Times New Roman"/>
                <w:b/>
                <w:bCs/>
                <w:color w:val="000000"/>
                <w:sz w:val="14"/>
                <w:szCs w:val="14"/>
              </w:rPr>
            </w:pPr>
            <w:r w:rsidRPr="00B50A75">
              <w:rPr>
                <w:rFonts w:ascii="Times New Roman" w:hAnsi="Times New Roman" w:cs="Times New Roman"/>
                <w:b/>
                <w:bCs/>
                <w:color w:val="000000"/>
                <w:sz w:val="14"/>
                <w:szCs w:val="14"/>
              </w:rPr>
              <w:t>1 469 488</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0</w:t>
            </w:r>
          </w:p>
        </w:tc>
        <w:tc>
          <w:tcPr>
            <w:tcW w:w="891" w:type="dxa"/>
            <w:tcBorders>
              <w:top w:val="nil"/>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0</w:t>
            </w:r>
          </w:p>
        </w:tc>
      </w:tr>
      <w:tr w:rsidR="003A497B" w:rsidRPr="00195119" w:rsidTr="003E1809">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497B" w:rsidRPr="00563C4E" w:rsidRDefault="003A497B" w:rsidP="003E1809">
            <w:pPr>
              <w:rPr>
                <w:rFonts w:ascii="Times New Roman" w:hAnsi="Times New Roman" w:cs="Times New Roman"/>
                <w:b/>
                <w:sz w:val="14"/>
                <w:szCs w:val="14"/>
              </w:rPr>
            </w:pPr>
            <w:r w:rsidRPr="00563C4E">
              <w:rPr>
                <w:rFonts w:ascii="Times New Roman" w:hAnsi="Times New Roman" w:cs="Times New Roman"/>
                <w:b/>
                <w:sz w:val="14"/>
                <w:szCs w:val="14"/>
              </w:rPr>
              <w:t>zdroj 72e*</w:t>
            </w:r>
          </w:p>
        </w:tc>
        <w:tc>
          <w:tcPr>
            <w:tcW w:w="891" w:type="dxa"/>
            <w:tcBorders>
              <w:top w:val="nil"/>
              <w:left w:val="single" w:sz="4" w:space="0" w:color="auto"/>
              <w:bottom w:val="single" w:sz="4" w:space="0" w:color="auto"/>
              <w:right w:val="single" w:sz="4" w:space="0" w:color="auto"/>
            </w:tcBorders>
            <w:shd w:val="clear" w:color="auto" w:fill="auto"/>
            <w:noWrap/>
            <w:vAlign w:val="bottom"/>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0</w:t>
            </w:r>
          </w:p>
        </w:tc>
        <w:tc>
          <w:tcPr>
            <w:tcW w:w="891" w:type="dxa"/>
            <w:tcBorders>
              <w:top w:val="nil"/>
              <w:left w:val="nil"/>
              <w:bottom w:val="single" w:sz="4" w:space="0" w:color="auto"/>
              <w:right w:val="single" w:sz="4" w:space="0" w:color="auto"/>
            </w:tcBorders>
            <w:shd w:val="clear" w:color="auto" w:fill="auto"/>
            <w:noWrap/>
            <w:vAlign w:val="bottom"/>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0</w:t>
            </w:r>
          </w:p>
        </w:tc>
        <w:tc>
          <w:tcPr>
            <w:tcW w:w="891" w:type="dxa"/>
            <w:tcBorders>
              <w:top w:val="nil"/>
              <w:left w:val="nil"/>
              <w:bottom w:val="single" w:sz="4" w:space="0" w:color="auto"/>
              <w:right w:val="single" w:sz="4" w:space="0" w:color="auto"/>
            </w:tcBorders>
            <w:shd w:val="clear" w:color="auto" w:fill="auto"/>
            <w:noWrap/>
            <w:vAlign w:val="bottom"/>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2 000</w:t>
            </w:r>
          </w:p>
        </w:tc>
        <w:tc>
          <w:tcPr>
            <w:tcW w:w="891" w:type="dxa"/>
            <w:tcBorders>
              <w:top w:val="nil"/>
              <w:left w:val="single" w:sz="4" w:space="0" w:color="auto"/>
              <w:bottom w:val="single" w:sz="4" w:space="0" w:color="auto"/>
              <w:right w:val="single" w:sz="4" w:space="0" w:color="auto"/>
            </w:tcBorders>
            <w:shd w:val="clear" w:color="auto" w:fill="auto"/>
            <w:noWrap/>
            <w:vAlign w:val="bottom"/>
          </w:tcPr>
          <w:p w:rsidR="003A497B" w:rsidRPr="00B50A75" w:rsidRDefault="003A497B" w:rsidP="003E1809">
            <w:pPr>
              <w:jc w:val="right"/>
              <w:rPr>
                <w:rFonts w:ascii="Times New Roman" w:hAnsi="Times New Roman" w:cs="Times New Roman"/>
                <w:b/>
                <w:bCs/>
                <w:color w:val="000000"/>
                <w:sz w:val="14"/>
                <w:szCs w:val="14"/>
              </w:rPr>
            </w:pPr>
            <w:r w:rsidRPr="00B50A75">
              <w:rPr>
                <w:rFonts w:ascii="Times New Roman" w:hAnsi="Times New Roman" w:cs="Times New Roman"/>
                <w:b/>
                <w:bCs/>
                <w:color w:val="000000"/>
                <w:sz w:val="14"/>
                <w:szCs w:val="14"/>
              </w:rPr>
              <w:t>3 310</w:t>
            </w:r>
          </w:p>
        </w:tc>
        <w:tc>
          <w:tcPr>
            <w:tcW w:w="891" w:type="dxa"/>
            <w:tcBorders>
              <w:top w:val="nil"/>
              <w:left w:val="nil"/>
              <w:bottom w:val="single" w:sz="4" w:space="0" w:color="auto"/>
              <w:right w:val="single" w:sz="4" w:space="0" w:color="auto"/>
            </w:tcBorders>
            <w:shd w:val="clear" w:color="auto" w:fill="auto"/>
            <w:noWrap/>
            <w:vAlign w:val="bottom"/>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2 000</w:t>
            </w:r>
          </w:p>
        </w:tc>
        <w:tc>
          <w:tcPr>
            <w:tcW w:w="891" w:type="dxa"/>
            <w:tcBorders>
              <w:top w:val="nil"/>
              <w:left w:val="nil"/>
              <w:bottom w:val="single" w:sz="4" w:space="0" w:color="auto"/>
              <w:right w:val="single" w:sz="4" w:space="0" w:color="auto"/>
            </w:tcBorders>
            <w:shd w:val="clear" w:color="auto" w:fill="auto"/>
            <w:noWrap/>
            <w:vAlign w:val="bottom"/>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2 000</w:t>
            </w:r>
          </w:p>
        </w:tc>
        <w:tc>
          <w:tcPr>
            <w:tcW w:w="891" w:type="dxa"/>
            <w:tcBorders>
              <w:top w:val="nil"/>
              <w:left w:val="nil"/>
              <w:bottom w:val="single" w:sz="4" w:space="0" w:color="auto"/>
              <w:right w:val="single" w:sz="4" w:space="0" w:color="auto"/>
            </w:tcBorders>
            <w:shd w:val="clear" w:color="auto" w:fill="auto"/>
            <w:noWrap/>
            <w:vAlign w:val="bottom"/>
          </w:tcPr>
          <w:p w:rsidR="003A497B" w:rsidRPr="002E32A7" w:rsidRDefault="003A497B" w:rsidP="003E1809">
            <w:pPr>
              <w:jc w:val="right"/>
              <w:rPr>
                <w:rFonts w:ascii="Times New Roman" w:hAnsi="Times New Roman" w:cs="Times New Roman"/>
                <w:b/>
                <w:bCs/>
                <w:color w:val="000000"/>
                <w:sz w:val="14"/>
                <w:szCs w:val="14"/>
              </w:rPr>
            </w:pPr>
            <w:r>
              <w:rPr>
                <w:rFonts w:ascii="Times New Roman" w:hAnsi="Times New Roman" w:cs="Times New Roman"/>
                <w:b/>
                <w:bCs/>
                <w:color w:val="000000"/>
                <w:sz w:val="14"/>
                <w:szCs w:val="14"/>
              </w:rPr>
              <w:t xml:space="preserve">2 </w:t>
            </w:r>
            <w:r w:rsidRPr="002E32A7">
              <w:rPr>
                <w:rFonts w:ascii="Times New Roman" w:hAnsi="Times New Roman" w:cs="Times New Roman"/>
                <w:b/>
                <w:bCs/>
                <w:color w:val="000000"/>
                <w:sz w:val="14"/>
                <w:szCs w:val="14"/>
              </w:rPr>
              <w:t>000</w:t>
            </w:r>
          </w:p>
        </w:tc>
      </w:tr>
    </w:tbl>
    <w:p w:rsidR="003A497B" w:rsidRPr="002E32A7" w:rsidRDefault="003A497B" w:rsidP="003A497B">
      <w:pPr>
        <w:pStyle w:val="Odsekzoznamu"/>
        <w:ind w:left="0"/>
        <w:jc w:val="both"/>
        <w:rPr>
          <w:rFonts w:ascii="Times New Roman" w:hAnsi="Times New Roman" w:cs="Times New Roman"/>
          <w:color w:val="000000"/>
          <w:sz w:val="12"/>
          <w:szCs w:val="12"/>
          <w:lang w:eastAsia="sk-SK"/>
        </w:rPr>
      </w:pPr>
      <w:r>
        <w:rPr>
          <w:rFonts w:ascii="Times New Roman" w:hAnsi="Times New Roman" w:cs="Times New Roman"/>
          <w:color w:val="000000"/>
          <w:sz w:val="12"/>
          <w:szCs w:val="12"/>
          <w:lang w:eastAsia="sk-SK"/>
        </w:rPr>
        <w:t xml:space="preserve">* </w:t>
      </w:r>
      <w:r w:rsidRPr="002E32A7">
        <w:rPr>
          <w:rFonts w:ascii="Times New Roman" w:hAnsi="Times New Roman" w:cs="Times New Roman"/>
          <w:color w:val="000000"/>
          <w:sz w:val="12"/>
          <w:szCs w:val="12"/>
          <w:lang w:eastAsia="sk-SK"/>
        </w:rPr>
        <w:t>z poistného plnenia zo zmluvného poistenia alebo zo zákonného poistenia</w:t>
      </w:r>
    </w:p>
    <w:p w:rsidR="003A497B" w:rsidRPr="006303A4" w:rsidRDefault="003A497B" w:rsidP="003A497B">
      <w:pPr>
        <w:jc w:val="both"/>
        <w:rPr>
          <w:rFonts w:ascii="Times New Roman" w:hAnsi="Times New Roman" w:cs="Times New Roman"/>
          <w:color w:val="000000"/>
          <w:sz w:val="12"/>
          <w:szCs w:val="12"/>
          <w:lang w:eastAsia="sk-SK"/>
        </w:rPr>
      </w:pPr>
    </w:p>
    <w:tbl>
      <w:tblPr>
        <w:tblW w:w="9067" w:type="dxa"/>
        <w:tblLayout w:type="fixed"/>
        <w:tblCellMar>
          <w:left w:w="70" w:type="dxa"/>
          <w:right w:w="70" w:type="dxa"/>
        </w:tblCellMar>
        <w:tblLook w:val="04A0" w:firstRow="1" w:lastRow="0" w:firstColumn="1" w:lastColumn="0" w:noHBand="0" w:noVBand="1"/>
      </w:tblPr>
      <w:tblGrid>
        <w:gridCol w:w="2830"/>
        <w:gridCol w:w="891"/>
        <w:gridCol w:w="891"/>
        <w:gridCol w:w="891"/>
        <w:gridCol w:w="891"/>
        <w:gridCol w:w="891"/>
        <w:gridCol w:w="891"/>
        <w:gridCol w:w="891"/>
      </w:tblGrid>
      <w:tr w:rsidR="003A497B" w:rsidRPr="006E02A4" w:rsidTr="003E1809">
        <w:trPr>
          <w:trHeight w:val="255"/>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7B" w:rsidRPr="006E02A4" w:rsidRDefault="003A497B" w:rsidP="003E1809">
            <w:pPr>
              <w:rPr>
                <w:rFonts w:ascii="Times New Roman" w:hAnsi="Times New Roman" w:cs="Times New Roman"/>
                <w:b/>
                <w:bCs/>
                <w:color w:val="000000"/>
                <w:sz w:val="14"/>
                <w:szCs w:val="14"/>
                <w:lang w:eastAsia="sk-SK"/>
              </w:rPr>
            </w:pPr>
            <w:r w:rsidRPr="006E02A4">
              <w:rPr>
                <w:rFonts w:ascii="Times New Roman" w:hAnsi="Times New Roman" w:cs="Times New Roman"/>
                <w:b/>
                <w:bCs/>
                <w:color w:val="000000"/>
                <w:sz w:val="14"/>
                <w:szCs w:val="14"/>
                <w:lang w:eastAsia="sk-SK"/>
              </w:rPr>
              <w:t>Samostatné účty</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b/>
                <w:bCs/>
                <w:color w:val="000000"/>
                <w:sz w:val="14"/>
                <w:szCs w:val="14"/>
                <w:lang w:eastAsia="sk-SK"/>
              </w:rPr>
            </w:pPr>
            <w:r w:rsidRPr="00A40B42">
              <w:rPr>
                <w:rFonts w:ascii="Times New Roman" w:hAnsi="Times New Roman" w:cs="Times New Roman"/>
                <w:b/>
                <w:bCs/>
                <w:color w:val="000000"/>
                <w:sz w:val="14"/>
                <w:szCs w:val="14"/>
              </w:rPr>
              <w:t>1 713 662</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1 863 414</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918 100</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897 216</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966 370</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966 370</w:t>
            </w:r>
          </w:p>
        </w:tc>
        <w:tc>
          <w:tcPr>
            <w:tcW w:w="891" w:type="dxa"/>
            <w:tcBorders>
              <w:top w:val="single" w:sz="4" w:space="0" w:color="auto"/>
              <w:left w:val="nil"/>
              <w:bottom w:val="single" w:sz="4" w:space="0" w:color="auto"/>
              <w:right w:val="single" w:sz="4" w:space="0" w:color="auto"/>
            </w:tcBorders>
            <w:shd w:val="clear" w:color="auto" w:fill="auto"/>
            <w:noWrap/>
            <w:vAlign w:val="bottom"/>
            <w:hideMark/>
          </w:tcPr>
          <w:p w:rsidR="003A497B" w:rsidRPr="00A40B42" w:rsidRDefault="003A497B" w:rsidP="003E1809">
            <w:pPr>
              <w:jc w:val="right"/>
              <w:rPr>
                <w:rFonts w:ascii="Times New Roman" w:hAnsi="Times New Roman" w:cs="Times New Roman"/>
                <w:b/>
                <w:bCs/>
                <w:color w:val="000000"/>
                <w:sz w:val="14"/>
                <w:szCs w:val="14"/>
              </w:rPr>
            </w:pPr>
            <w:r w:rsidRPr="00A40B42">
              <w:rPr>
                <w:rFonts w:ascii="Times New Roman" w:hAnsi="Times New Roman" w:cs="Times New Roman"/>
                <w:b/>
                <w:bCs/>
                <w:color w:val="000000"/>
                <w:sz w:val="14"/>
                <w:szCs w:val="14"/>
              </w:rPr>
              <w:t>966 370</w:t>
            </w:r>
          </w:p>
        </w:tc>
      </w:tr>
    </w:tbl>
    <w:p w:rsidR="003A497B" w:rsidRPr="009B4AE5" w:rsidRDefault="003A497B" w:rsidP="003A497B">
      <w:pPr>
        <w:jc w:val="both"/>
        <w:rPr>
          <w:rFonts w:ascii="Times New Roman" w:hAnsi="Times New Roman" w:cs="Times New Roman"/>
          <w:lang w:eastAsia="sk-SK"/>
        </w:rPr>
      </w:pPr>
    </w:p>
    <w:p w:rsidR="003A497B" w:rsidRPr="00E01E6C" w:rsidRDefault="003A497B" w:rsidP="003A497B">
      <w:pPr>
        <w:ind w:firstLine="708"/>
        <w:jc w:val="both"/>
        <w:rPr>
          <w:rFonts w:ascii="Times New Roman" w:hAnsi="Times New Roman" w:cs="Times New Roman"/>
        </w:rPr>
      </w:pPr>
      <w:r w:rsidRPr="00E01E6C">
        <w:rPr>
          <w:rFonts w:ascii="Times New Roman" w:hAnsi="Times New Roman" w:cs="Times New Roman"/>
        </w:rPr>
        <w:t>Celk</w:t>
      </w:r>
      <w:r>
        <w:rPr>
          <w:rFonts w:ascii="Times New Roman" w:hAnsi="Times New Roman" w:cs="Times New Roman"/>
        </w:rPr>
        <w:t>ové výdavky kapitoly na rok 2019 sa rozpočtujú v sume 10,1</w:t>
      </w:r>
      <w:r w:rsidRPr="00E01E6C">
        <w:rPr>
          <w:rFonts w:ascii="Times New Roman" w:hAnsi="Times New Roman" w:cs="Times New Roman"/>
        </w:rPr>
        <w:t xml:space="preserve"> mil. eur. Rozpočt</w:t>
      </w:r>
      <w:r>
        <w:rPr>
          <w:rFonts w:ascii="Times New Roman" w:hAnsi="Times New Roman" w:cs="Times New Roman"/>
        </w:rPr>
        <w:t>ové výdavky kapitoly na rok 2019</w:t>
      </w:r>
      <w:r w:rsidRPr="00E01E6C">
        <w:rPr>
          <w:rFonts w:ascii="Times New Roman" w:hAnsi="Times New Roman" w:cs="Times New Roman"/>
        </w:rPr>
        <w:t xml:space="preserve"> v porovnaní so </w:t>
      </w:r>
      <w:r>
        <w:rPr>
          <w:rFonts w:ascii="Times New Roman" w:hAnsi="Times New Roman" w:cs="Times New Roman"/>
        </w:rPr>
        <w:t>schváleným rozpočtom na rok 2018</w:t>
      </w:r>
      <w:r w:rsidRPr="00E01E6C">
        <w:rPr>
          <w:rFonts w:ascii="Times New Roman" w:hAnsi="Times New Roman" w:cs="Times New Roman"/>
        </w:rPr>
        <w:t xml:space="preserve"> rastú </w:t>
      </w:r>
      <w:r>
        <w:rPr>
          <w:rFonts w:ascii="Times New Roman" w:hAnsi="Times New Roman" w:cs="Times New Roman"/>
        </w:rPr>
        <w:br/>
      </w:r>
      <w:r w:rsidRPr="00E01E6C">
        <w:rPr>
          <w:rFonts w:ascii="Times New Roman" w:hAnsi="Times New Roman" w:cs="Times New Roman"/>
        </w:rPr>
        <w:t>o </w:t>
      </w:r>
      <w:r>
        <w:rPr>
          <w:rFonts w:ascii="Times New Roman" w:hAnsi="Times New Roman" w:cs="Times New Roman"/>
        </w:rPr>
        <w:t>1,07 mil. eur</w:t>
      </w:r>
      <w:r w:rsidRPr="00E01E6C">
        <w:rPr>
          <w:rFonts w:ascii="Times New Roman" w:hAnsi="Times New Roman" w:cs="Times New Roman"/>
        </w:rPr>
        <w:t>, t. j. o</w:t>
      </w:r>
      <w:r>
        <w:rPr>
          <w:rFonts w:ascii="Times New Roman" w:hAnsi="Times New Roman" w:cs="Times New Roman"/>
        </w:rPr>
        <w:t> 11,8</w:t>
      </w:r>
      <w:r w:rsidRPr="00E01E6C">
        <w:rPr>
          <w:rFonts w:ascii="Times New Roman" w:hAnsi="Times New Roman" w:cs="Times New Roman"/>
        </w:rPr>
        <w:t xml:space="preserve"> %.   </w:t>
      </w:r>
    </w:p>
    <w:p w:rsidR="003A497B" w:rsidRPr="009B4AE5" w:rsidRDefault="003A497B" w:rsidP="003A497B">
      <w:pPr>
        <w:ind w:firstLine="708"/>
        <w:jc w:val="both"/>
        <w:rPr>
          <w:rFonts w:ascii="Times New Roman" w:hAnsi="Times New Roman" w:cs="Times New Roman"/>
        </w:rPr>
      </w:pPr>
    </w:p>
    <w:p w:rsidR="003A497B" w:rsidRPr="009B4AE5" w:rsidRDefault="003A497B" w:rsidP="003A497B">
      <w:pPr>
        <w:ind w:firstLine="708"/>
        <w:jc w:val="both"/>
        <w:rPr>
          <w:rFonts w:ascii="Times New Roman" w:hAnsi="Times New Roman" w:cs="Times New Roman"/>
        </w:rPr>
      </w:pPr>
      <w:r>
        <w:rPr>
          <w:rFonts w:ascii="Times New Roman" w:hAnsi="Times New Roman" w:cs="Times New Roman"/>
        </w:rPr>
        <w:t>Osobné výdavky na rok 2019 sa rozpočtujú v sume 7,40</w:t>
      </w:r>
      <w:r w:rsidRPr="009B4AE5">
        <w:rPr>
          <w:rFonts w:ascii="Times New Roman" w:hAnsi="Times New Roman" w:cs="Times New Roman"/>
        </w:rPr>
        <w:t xml:space="preserve"> mil. eur, čo predstavuje oproti schv</w:t>
      </w:r>
      <w:r>
        <w:rPr>
          <w:rFonts w:ascii="Times New Roman" w:hAnsi="Times New Roman" w:cs="Times New Roman"/>
        </w:rPr>
        <w:t>álenému rozpočtu roku 2018</w:t>
      </w:r>
      <w:r w:rsidRPr="009B4AE5">
        <w:rPr>
          <w:rFonts w:ascii="Times New Roman" w:hAnsi="Times New Roman" w:cs="Times New Roman"/>
        </w:rPr>
        <w:t xml:space="preserve"> nárast o </w:t>
      </w:r>
      <w:r>
        <w:rPr>
          <w:rFonts w:ascii="Times New Roman" w:hAnsi="Times New Roman" w:cs="Times New Roman"/>
        </w:rPr>
        <w:t>719</w:t>
      </w:r>
      <w:r w:rsidRPr="009B4AE5">
        <w:rPr>
          <w:rFonts w:ascii="Times New Roman" w:hAnsi="Times New Roman" w:cs="Times New Roman"/>
        </w:rPr>
        <w:t xml:space="preserve"> tis. eur, t. j. o</w:t>
      </w:r>
      <w:r>
        <w:rPr>
          <w:rFonts w:ascii="Times New Roman" w:hAnsi="Times New Roman" w:cs="Times New Roman"/>
        </w:rPr>
        <w:t> 10,8</w:t>
      </w:r>
      <w:r w:rsidRPr="009B4AE5">
        <w:rPr>
          <w:rFonts w:ascii="Times New Roman" w:hAnsi="Times New Roman" w:cs="Times New Roman"/>
        </w:rPr>
        <w:t xml:space="preserve"> %. Tento nárast je spôsobený premietnutí</w:t>
      </w:r>
      <w:r>
        <w:rPr>
          <w:rFonts w:ascii="Times New Roman" w:hAnsi="Times New Roman" w:cs="Times New Roman"/>
        </w:rPr>
        <w:t xml:space="preserve">m valorizácie platov zamestnancov z roku 2018 do nasledujúcich rokov </w:t>
      </w:r>
      <w:r w:rsidRPr="00C454C1">
        <w:rPr>
          <w:rFonts w:ascii="Times New Roman" w:hAnsi="Times New Roman" w:cs="Times New Roman"/>
        </w:rPr>
        <w:t xml:space="preserve">a plnením </w:t>
      </w:r>
      <w:r>
        <w:rPr>
          <w:rFonts w:ascii="Times New Roman" w:hAnsi="Times New Roman" w:cs="Times New Roman"/>
        </w:rPr>
        <w:t xml:space="preserve">nových úloh v rámci kybernetickej bezpečnosti. </w:t>
      </w:r>
    </w:p>
    <w:p w:rsidR="003A497B" w:rsidRPr="009B4AE5" w:rsidRDefault="003A497B" w:rsidP="003A497B">
      <w:pPr>
        <w:ind w:firstLine="708"/>
        <w:jc w:val="both"/>
        <w:rPr>
          <w:rFonts w:ascii="Times New Roman" w:hAnsi="Times New Roman" w:cs="Times New Roman"/>
        </w:rPr>
      </w:pPr>
    </w:p>
    <w:p w:rsidR="003A497B" w:rsidRPr="009B4AE5" w:rsidRDefault="003A497B" w:rsidP="003A497B">
      <w:pPr>
        <w:ind w:firstLine="708"/>
        <w:jc w:val="both"/>
        <w:rPr>
          <w:rFonts w:ascii="Times New Roman" w:hAnsi="Times New Roman" w:cs="Times New Roman"/>
        </w:rPr>
      </w:pPr>
      <w:r>
        <w:rPr>
          <w:rFonts w:ascii="Times New Roman" w:hAnsi="Times New Roman" w:cs="Times New Roman"/>
        </w:rPr>
        <w:t>Tovary a služby na rok 2019</w:t>
      </w:r>
      <w:r w:rsidRPr="009B4AE5">
        <w:rPr>
          <w:rFonts w:ascii="Times New Roman" w:hAnsi="Times New Roman" w:cs="Times New Roman"/>
        </w:rPr>
        <w:t xml:space="preserve"> sa rozpočtujú v sume </w:t>
      </w:r>
      <w:r>
        <w:rPr>
          <w:rFonts w:ascii="Times New Roman" w:hAnsi="Times New Roman" w:cs="Times New Roman"/>
        </w:rPr>
        <w:t>2,34</w:t>
      </w:r>
      <w:r w:rsidRPr="009B4AE5">
        <w:rPr>
          <w:rFonts w:ascii="Times New Roman" w:hAnsi="Times New Roman" w:cs="Times New Roman"/>
        </w:rPr>
        <w:t xml:space="preserve"> mil. eur, </w:t>
      </w:r>
      <w:r>
        <w:rPr>
          <w:rFonts w:ascii="Times New Roman" w:hAnsi="Times New Roman" w:cs="Times New Roman"/>
        </w:rPr>
        <w:t xml:space="preserve">čo predstavuje oproti schválenému rozpočtu roku 2018 nárast o 350 tis. eur, t. j. o 17,5 % z dôvodu plnenia nových úloh v rámci kybernetickej bezpečnosti. </w:t>
      </w:r>
    </w:p>
    <w:p w:rsidR="003A497B" w:rsidRPr="009B4AE5" w:rsidRDefault="003A497B" w:rsidP="003A497B">
      <w:pPr>
        <w:ind w:firstLine="708"/>
        <w:jc w:val="both"/>
        <w:rPr>
          <w:rFonts w:ascii="Times New Roman" w:hAnsi="Times New Roman" w:cs="Times New Roman"/>
        </w:rPr>
      </w:pPr>
      <w:r>
        <w:rPr>
          <w:rFonts w:ascii="Times New Roman" w:hAnsi="Times New Roman" w:cs="Times New Roman"/>
        </w:rPr>
        <w:t xml:space="preserve"> </w:t>
      </w:r>
    </w:p>
    <w:p w:rsidR="003A497B" w:rsidRDefault="003A497B" w:rsidP="003A497B">
      <w:pPr>
        <w:ind w:firstLine="708"/>
        <w:jc w:val="both"/>
        <w:rPr>
          <w:rFonts w:ascii="Times New Roman" w:hAnsi="Times New Roman" w:cs="Times New Roman"/>
        </w:rPr>
      </w:pPr>
      <w:r>
        <w:rPr>
          <w:rFonts w:ascii="Times New Roman" w:hAnsi="Times New Roman" w:cs="Times New Roman"/>
        </w:rPr>
        <w:t>Bežné transfery na rok 2019</w:t>
      </w:r>
      <w:r w:rsidRPr="009B4AE5">
        <w:rPr>
          <w:rFonts w:ascii="Times New Roman" w:hAnsi="Times New Roman" w:cs="Times New Roman"/>
        </w:rPr>
        <w:t xml:space="preserve"> sa rozpočtujú v sume </w:t>
      </w:r>
      <w:r>
        <w:rPr>
          <w:rFonts w:ascii="Times New Roman" w:hAnsi="Times New Roman" w:cs="Times New Roman"/>
        </w:rPr>
        <w:t>373</w:t>
      </w:r>
      <w:r w:rsidRPr="009B4AE5">
        <w:rPr>
          <w:rFonts w:ascii="Times New Roman" w:hAnsi="Times New Roman" w:cs="Times New Roman"/>
        </w:rPr>
        <w:t xml:space="preserve"> tis. eur, </w:t>
      </w:r>
      <w:r w:rsidRPr="005D7E9D">
        <w:rPr>
          <w:rFonts w:ascii="Times New Roman" w:hAnsi="Times New Roman" w:cs="Times New Roman"/>
        </w:rPr>
        <w:t xml:space="preserve">čo </w:t>
      </w:r>
      <w:r>
        <w:rPr>
          <w:rFonts w:ascii="Times New Roman" w:hAnsi="Times New Roman" w:cs="Times New Roman"/>
        </w:rPr>
        <w:t xml:space="preserve">je na úrovni schváleného rozpočtu roku 2018. </w:t>
      </w:r>
    </w:p>
    <w:p w:rsidR="003A497B" w:rsidRPr="009B4AE5"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sidRPr="009B4AE5">
        <w:rPr>
          <w:rFonts w:ascii="Times New Roman" w:hAnsi="Times New Roman" w:cs="Times New Roman"/>
        </w:rPr>
        <w:t xml:space="preserve">Kapitola nerozpočtuje kapitálové výdavky. </w:t>
      </w:r>
    </w:p>
    <w:p w:rsidR="003A497B" w:rsidRDefault="003A497B" w:rsidP="003A497B">
      <w:pPr>
        <w:ind w:firstLine="708"/>
        <w:jc w:val="both"/>
        <w:rPr>
          <w:rFonts w:ascii="Times New Roman" w:hAnsi="Times New Roman" w:cs="Times New Roman"/>
        </w:rPr>
      </w:pPr>
    </w:p>
    <w:p w:rsidR="003A497B" w:rsidRPr="00F60E32" w:rsidRDefault="003A497B" w:rsidP="003A497B">
      <w:pPr>
        <w:jc w:val="both"/>
        <w:rPr>
          <w:rFonts w:ascii="Times New Roman" w:eastAsiaTheme="minorHAnsi" w:hAnsi="Times New Roman" w:cs="Times New Roman"/>
          <w:lang w:eastAsia="en-US"/>
        </w:rPr>
      </w:pPr>
      <w:r>
        <w:rPr>
          <w:rFonts w:ascii="Times New Roman" w:hAnsi="Times New Roman" w:cs="Times New Roman"/>
        </w:rPr>
        <w:lastRenderedPageBreak/>
        <w:tab/>
      </w:r>
      <w:r w:rsidRPr="00F60E32">
        <w:rPr>
          <w:rFonts w:ascii="Times New Roman" w:eastAsiaTheme="minorHAnsi" w:hAnsi="Times New Roman" w:cs="Times New Roman"/>
          <w:lang w:eastAsia="en-US"/>
        </w:rPr>
        <w:t xml:space="preserve">Kapitola v nadväznosti na § 17 ods. 4 zákona č. 523/2004 Z. z. o rozpočtových pravidlách verejnej správy </w:t>
      </w:r>
      <w:r>
        <w:rPr>
          <w:rFonts w:ascii="Times New Roman" w:eastAsiaTheme="minorHAnsi" w:hAnsi="Times New Roman" w:cs="Times New Roman"/>
          <w:lang w:eastAsia="en-US"/>
        </w:rPr>
        <w:t xml:space="preserve">a o zmene a doplnení niektorých zákonov </w:t>
      </w:r>
      <w:r w:rsidRPr="00F60E32">
        <w:rPr>
          <w:rFonts w:ascii="Times New Roman" w:eastAsiaTheme="minorHAnsi" w:hAnsi="Times New Roman" w:cs="Times New Roman"/>
          <w:lang w:eastAsia="en-US"/>
        </w:rPr>
        <w:t xml:space="preserve">v znení neskorších predpisov rozpočtuje tiež výdavky zodpovedajúce príjmom z poistného plnenia zo zmluvného poistenia alebo zo zákonného poistenia v sume </w:t>
      </w:r>
      <w:r>
        <w:rPr>
          <w:rFonts w:ascii="Times New Roman" w:eastAsiaTheme="minorHAnsi" w:hAnsi="Times New Roman" w:cs="Times New Roman"/>
          <w:lang w:eastAsia="en-US"/>
        </w:rPr>
        <w:t>2,00</w:t>
      </w:r>
      <w:r w:rsidRPr="00F60E32">
        <w:rPr>
          <w:rFonts w:ascii="Times New Roman" w:eastAsiaTheme="minorHAnsi" w:hAnsi="Times New Roman" w:cs="Times New Roman"/>
          <w:lang w:eastAsia="en-US"/>
        </w:rPr>
        <w:t xml:space="preserve"> tis. eur</w:t>
      </w:r>
      <w:r w:rsidRPr="00B7502E">
        <w:rPr>
          <w:rFonts w:ascii="Times New Roman" w:eastAsiaTheme="minorHAnsi" w:hAnsi="Times New Roman" w:cs="Times New Roman"/>
          <w:lang w:eastAsia="en-US"/>
        </w:rPr>
        <w:t xml:space="preserve">. </w:t>
      </w:r>
      <w:r w:rsidRPr="006B640F">
        <w:rPr>
          <w:rFonts w:ascii="Times New Roman" w:eastAsiaTheme="minorHAnsi" w:hAnsi="Times New Roman" w:cs="Times New Roman"/>
          <w:lang w:eastAsia="en-US"/>
        </w:rPr>
        <w:t>Tieto sú určené na financovanie opráv motorových vozidiel.</w:t>
      </w:r>
      <w:r w:rsidRPr="00B7502E">
        <w:rPr>
          <w:rFonts w:ascii="Times New Roman" w:eastAsiaTheme="minorHAnsi" w:hAnsi="Times New Roman" w:cs="Times New Roman"/>
          <w:lang w:eastAsia="en-US"/>
        </w:rPr>
        <w:t xml:space="preserve"> </w:t>
      </w:r>
    </w:p>
    <w:p w:rsidR="003A497B" w:rsidRPr="00F60E32" w:rsidRDefault="003A497B" w:rsidP="003A497B">
      <w:pPr>
        <w:jc w:val="both"/>
        <w:rPr>
          <w:rFonts w:ascii="Times New Roman" w:hAnsi="Times New Roman" w:cs="Times New Roman"/>
          <w:noProof/>
          <w:lang w:eastAsia="sk-SK"/>
        </w:rPr>
      </w:pPr>
    </w:p>
    <w:p w:rsidR="003A497B" w:rsidRPr="00F60E32" w:rsidRDefault="003A497B" w:rsidP="003A497B">
      <w:pPr>
        <w:ind w:firstLine="708"/>
        <w:jc w:val="both"/>
        <w:rPr>
          <w:rFonts w:ascii="Times New Roman" w:hAnsi="Times New Roman" w:cs="Times New Roman"/>
          <w:bCs/>
        </w:rPr>
      </w:pPr>
      <w:r>
        <w:rPr>
          <w:rFonts w:ascii="Times New Roman" w:hAnsi="Times New Roman" w:cs="Times New Roman"/>
          <w:noProof/>
          <w:lang w:eastAsia="sk-SK"/>
        </w:rPr>
        <w:t>Kapitola na rok 2019</w:t>
      </w:r>
      <w:r w:rsidRPr="0075575B">
        <w:rPr>
          <w:rFonts w:ascii="Times New Roman" w:hAnsi="Times New Roman" w:cs="Times New Roman"/>
          <w:noProof/>
          <w:lang w:eastAsia="sk-SK"/>
        </w:rPr>
        <w:t xml:space="preserve"> rozpočtuje výdavky na samostatnom účte v sume</w:t>
      </w:r>
      <w:r w:rsidRPr="0075575B">
        <w:rPr>
          <w:rFonts w:ascii="Times New Roman" w:hAnsi="Times New Roman" w:cs="Times New Roman"/>
          <w:noProof/>
          <w:lang w:eastAsia="sk-SK"/>
        </w:rPr>
        <w:br/>
      </w:r>
      <w:r>
        <w:rPr>
          <w:rFonts w:ascii="Times New Roman" w:hAnsi="Times New Roman" w:cs="Times New Roman"/>
          <w:bCs/>
        </w:rPr>
        <w:t>966</w:t>
      </w:r>
      <w:r w:rsidRPr="0075575B">
        <w:rPr>
          <w:rFonts w:ascii="Times New Roman" w:hAnsi="Times New Roman" w:cs="Times New Roman"/>
          <w:bCs/>
        </w:rPr>
        <w:t xml:space="preserve"> tis. eur. Uvedené prostriedky sú určené na financovanie sociálneho zabezpečenia </w:t>
      </w:r>
      <w:r w:rsidRPr="00B7502E">
        <w:rPr>
          <w:rFonts w:ascii="Times New Roman" w:hAnsi="Times New Roman" w:cs="Times New Roman"/>
          <w:bCs/>
        </w:rPr>
        <w:t xml:space="preserve">príslušníkov.                   </w:t>
      </w:r>
    </w:p>
    <w:p w:rsidR="003A497B" w:rsidRPr="00912A7B" w:rsidRDefault="003A497B" w:rsidP="003A497B">
      <w:pPr>
        <w:pStyle w:val="Nadpis5"/>
        <w:pBdr>
          <w:bottom w:val="single" w:sz="4" w:space="1" w:color="auto"/>
        </w:pBdr>
        <w:ind w:left="0"/>
        <w:rPr>
          <w:i w:val="0"/>
          <w:sz w:val="24"/>
          <w:lang w:eastAsia="sk-SK"/>
        </w:rPr>
      </w:pPr>
      <w:bookmarkStart w:id="297" w:name="_Toc400551783"/>
      <w:bookmarkStart w:id="298" w:name="_Toc494470122"/>
      <w:bookmarkStart w:id="299" w:name="_Toc494472298"/>
      <w:bookmarkStart w:id="300" w:name="_Toc526267723"/>
      <w:r w:rsidRPr="00912A7B">
        <w:rPr>
          <w:i w:val="0"/>
          <w:sz w:val="24"/>
          <w:lang w:eastAsia="sk-SK"/>
        </w:rPr>
        <w:t>Správa štátnych hmotných rezerv SR</w:t>
      </w:r>
      <w:bookmarkEnd w:id="297"/>
      <w:bookmarkEnd w:id="298"/>
      <w:bookmarkEnd w:id="299"/>
      <w:bookmarkEnd w:id="300"/>
    </w:p>
    <w:p w:rsidR="003A497B" w:rsidRPr="004A3627" w:rsidRDefault="003A497B" w:rsidP="003A497B">
      <w:pPr>
        <w:rPr>
          <w:highlight w:val="yellow"/>
          <w:lang w:eastAsia="sk-SK"/>
        </w:rPr>
      </w:pPr>
    </w:p>
    <w:tbl>
      <w:tblPr>
        <w:tblW w:w="9067" w:type="dxa"/>
        <w:tblLayout w:type="fixed"/>
        <w:tblCellMar>
          <w:left w:w="70" w:type="dxa"/>
          <w:right w:w="70" w:type="dxa"/>
        </w:tblCellMar>
        <w:tblLook w:val="04A0" w:firstRow="1" w:lastRow="0" w:firstColumn="1" w:lastColumn="0" w:noHBand="0" w:noVBand="1"/>
      </w:tblPr>
      <w:tblGrid>
        <w:gridCol w:w="2263"/>
        <w:gridCol w:w="972"/>
        <w:gridCol w:w="972"/>
        <w:gridCol w:w="972"/>
        <w:gridCol w:w="972"/>
        <w:gridCol w:w="972"/>
        <w:gridCol w:w="972"/>
        <w:gridCol w:w="972"/>
      </w:tblGrid>
      <w:tr w:rsidR="003A497B" w:rsidRPr="00BB5E1C" w:rsidTr="003E1809">
        <w:trPr>
          <w:trHeight w:val="255"/>
        </w:trPr>
        <w:tc>
          <w:tcPr>
            <w:tcW w:w="226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3A497B" w:rsidRPr="00BB5E1C" w:rsidRDefault="003A497B" w:rsidP="003E1809">
            <w:pPr>
              <w:rPr>
                <w:rFonts w:ascii="Times New Roman" w:hAnsi="Times New Roman" w:cs="Times New Roman"/>
                <w:b/>
                <w:bCs/>
                <w:color w:val="000000"/>
                <w:sz w:val="14"/>
                <w:szCs w:val="14"/>
                <w:lang w:eastAsia="sk-SK"/>
              </w:rPr>
            </w:pPr>
            <w:r w:rsidRPr="00BB5E1C">
              <w:rPr>
                <w:rFonts w:ascii="Times New Roman" w:hAnsi="Times New Roman" w:cs="Times New Roman"/>
                <w:b/>
                <w:bCs/>
                <w:color w:val="000000"/>
                <w:sz w:val="14"/>
                <w:szCs w:val="14"/>
                <w:lang w:eastAsia="sk-SK"/>
              </w:rPr>
              <w:t>v eurách</w:t>
            </w:r>
          </w:p>
        </w:tc>
        <w:tc>
          <w:tcPr>
            <w:tcW w:w="97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BB5E1C" w:rsidRDefault="003A497B" w:rsidP="003E180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2016</w:t>
            </w:r>
            <w:r w:rsidRPr="00BB5E1C">
              <w:rPr>
                <w:rFonts w:ascii="Times New Roman" w:hAnsi="Times New Roman" w:cs="Times New Roman"/>
                <w:b/>
                <w:bCs/>
                <w:color w:val="000000"/>
                <w:sz w:val="14"/>
                <w:szCs w:val="14"/>
                <w:lang w:eastAsia="sk-SK"/>
              </w:rPr>
              <w:t xml:space="preserve"> S</w:t>
            </w:r>
          </w:p>
        </w:tc>
        <w:tc>
          <w:tcPr>
            <w:tcW w:w="97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BB5E1C" w:rsidRDefault="003A497B" w:rsidP="003E180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2017</w:t>
            </w:r>
            <w:r w:rsidRPr="00BB5E1C">
              <w:rPr>
                <w:rFonts w:ascii="Times New Roman" w:hAnsi="Times New Roman" w:cs="Times New Roman"/>
                <w:b/>
                <w:bCs/>
                <w:color w:val="000000"/>
                <w:sz w:val="14"/>
                <w:szCs w:val="14"/>
                <w:lang w:eastAsia="sk-SK"/>
              </w:rPr>
              <w:t xml:space="preserve"> S</w:t>
            </w:r>
          </w:p>
        </w:tc>
        <w:tc>
          <w:tcPr>
            <w:tcW w:w="97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BB5E1C" w:rsidRDefault="003A497B" w:rsidP="003E180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2018</w:t>
            </w:r>
            <w:r w:rsidRPr="00BB5E1C">
              <w:rPr>
                <w:rFonts w:ascii="Times New Roman" w:hAnsi="Times New Roman" w:cs="Times New Roman"/>
                <w:b/>
                <w:bCs/>
                <w:color w:val="000000"/>
                <w:sz w:val="14"/>
                <w:szCs w:val="14"/>
                <w:lang w:eastAsia="sk-SK"/>
              </w:rPr>
              <w:t xml:space="preserve"> R</w:t>
            </w:r>
          </w:p>
        </w:tc>
        <w:tc>
          <w:tcPr>
            <w:tcW w:w="97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BB5E1C" w:rsidRDefault="003A497B" w:rsidP="003E180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2018 OS</w:t>
            </w:r>
          </w:p>
        </w:tc>
        <w:tc>
          <w:tcPr>
            <w:tcW w:w="97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BB5E1C" w:rsidRDefault="003A497B" w:rsidP="003E180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2019</w:t>
            </w:r>
            <w:r w:rsidRPr="00BB5E1C">
              <w:rPr>
                <w:rFonts w:ascii="Times New Roman" w:hAnsi="Times New Roman" w:cs="Times New Roman"/>
                <w:b/>
                <w:bCs/>
                <w:color w:val="000000"/>
                <w:sz w:val="14"/>
                <w:szCs w:val="14"/>
                <w:lang w:eastAsia="sk-SK"/>
              </w:rPr>
              <w:t xml:space="preserve"> N</w:t>
            </w:r>
          </w:p>
        </w:tc>
        <w:tc>
          <w:tcPr>
            <w:tcW w:w="97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BB5E1C" w:rsidRDefault="003A497B" w:rsidP="003E180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2020</w:t>
            </w:r>
            <w:r w:rsidRPr="00BB5E1C">
              <w:rPr>
                <w:rFonts w:ascii="Times New Roman" w:hAnsi="Times New Roman" w:cs="Times New Roman"/>
                <w:b/>
                <w:bCs/>
                <w:color w:val="000000"/>
                <w:sz w:val="14"/>
                <w:szCs w:val="14"/>
                <w:lang w:eastAsia="sk-SK"/>
              </w:rPr>
              <w:t xml:space="preserve"> N</w:t>
            </w:r>
          </w:p>
        </w:tc>
        <w:tc>
          <w:tcPr>
            <w:tcW w:w="972" w:type="dxa"/>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A497B" w:rsidRPr="00BB5E1C" w:rsidRDefault="003A497B" w:rsidP="003E1809">
            <w:pPr>
              <w:jc w:val="center"/>
              <w:rPr>
                <w:rFonts w:ascii="Times New Roman" w:hAnsi="Times New Roman" w:cs="Times New Roman"/>
                <w:b/>
                <w:bCs/>
                <w:color w:val="000000"/>
                <w:sz w:val="14"/>
                <w:szCs w:val="14"/>
                <w:lang w:eastAsia="sk-SK"/>
              </w:rPr>
            </w:pPr>
            <w:r>
              <w:rPr>
                <w:rFonts w:ascii="Times New Roman" w:hAnsi="Times New Roman" w:cs="Times New Roman"/>
                <w:b/>
                <w:bCs/>
                <w:color w:val="000000"/>
                <w:sz w:val="14"/>
                <w:szCs w:val="14"/>
                <w:lang w:eastAsia="sk-SK"/>
              </w:rPr>
              <w:t>2021</w:t>
            </w:r>
            <w:r w:rsidRPr="00BB5E1C">
              <w:rPr>
                <w:rFonts w:ascii="Times New Roman" w:hAnsi="Times New Roman" w:cs="Times New Roman"/>
                <w:b/>
                <w:bCs/>
                <w:color w:val="000000"/>
                <w:sz w:val="14"/>
                <w:szCs w:val="14"/>
                <w:lang w:eastAsia="sk-SK"/>
              </w:rPr>
              <w:t xml:space="preserve"> N</w:t>
            </w:r>
          </w:p>
        </w:tc>
      </w:tr>
      <w:tr w:rsidR="003A497B" w:rsidRPr="00BB5E1C" w:rsidTr="003E1809">
        <w:trPr>
          <w:trHeight w:val="255"/>
        </w:trPr>
        <w:tc>
          <w:tcPr>
            <w:tcW w:w="2263"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A497B" w:rsidRPr="00BB5E1C" w:rsidRDefault="003A497B" w:rsidP="003E1809">
            <w:pPr>
              <w:rPr>
                <w:rFonts w:ascii="Times New Roman" w:hAnsi="Times New Roman" w:cs="Times New Roman"/>
                <w:b/>
                <w:bCs/>
                <w:color w:val="000000"/>
                <w:sz w:val="14"/>
                <w:szCs w:val="14"/>
                <w:lang w:eastAsia="sk-SK"/>
              </w:rPr>
            </w:pPr>
            <w:r w:rsidRPr="00BB5E1C">
              <w:rPr>
                <w:rFonts w:ascii="Times New Roman" w:hAnsi="Times New Roman" w:cs="Times New Roman"/>
                <w:b/>
                <w:bCs/>
                <w:color w:val="000000"/>
                <w:sz w:val="14"/>
                <w:szCs w:val="14"/>
                <w:lang w:eastAsia="sk-SK"/>
              </w:rPr>
              <w:t>Zdroje príslušnej kapitoly</w:t>
            </w:r>
          </w:p>
        </w:tc>
        <w:tc>
          <w:tcPr>
            <w:tcW w:w="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3A497B" w:rsidRPr="004170A9" w:rsidRDefault="003A497B" w:rsidP="003E1809">
            <w:pPr>
              <w:jc w:val="right"/>
              <w:rPr>
                <w:rFonts w:ascii="Times New Roman" w:hAnsi="Times New Roman" w:cs="Times New Roman"/>
                <w:b/>
                <w:bCs/>
                <w:color w:val="000000"/>
                <w:sz w:val="14"/>
                <w:szCs w:val="14"/>
                <w:lang w:eastAsia="sk-SK"/>
              </w:rPr>
            </w:pPr>
            <w:r w:rsidRPr="004170A9">
              <w:rPr>
                <w:rFonts w:ascii="Times New Roman" w:hAnsi="Times New Roman" w:cs="Times New Roman"/>
                <w:b/>
                <w:bCs/>
                <w:color w:val="000000"/>
                <w:sz w:val="14"/>
                <w:szCs w:val="14"/>
              </w:rPr>
              <w:t>10 678 649</w:t>
            </w:r>
          </w:p>
        </w:tc>
        <w:tc>
          <w:tcPr>
            <w:tcW w:w="97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16 355 357</w:t>
            </w:r>
          </w:p>
        </w:tc>
        <w:tc>
          <w:tcPr>
            <w:tcW w:w="97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9 853 805</w:t>
            </w:r>
          </w:p>
        </w:tc>
        <w:tc>
          <w:tcPr>
            <w:tcW w:w="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3A497B" w:rsidRPr="00CB7B40" w:rsidRDefault="003A497B" w:rsidP="003E1809">
            <w:pPr>
              <w:jc w:val="right"/>
              <w:rPr>
                <w:rFonts w:ascii="Times New Roman" w:hAnsi="Times New Roman" w:cs="Times New Roman"/>
                <w:b/>
                <w:bCs/>
                <w:color w:val="000000"/>
                <w:sz w:val="14"/>
                <w:szCs w:val="14"/>
                <w:lang w:eastAsia="sk-SK"/>
              </w:rPr>
            </w:pPr>
            <w:r w:rsidRPr="00CB7B40">
              <w:rPr>
                <w:rFonts w:ascii="Times New Roman" w:hAnsi="Times New Roman" w:cs="Times New Roman"/>
                <w:b/>
                <w:bCs/>
                <w:color w:val="000000"/>
                <w:sz w:val="14"/>
                <w:szCs w:val="14"/>
              </w:rPr>
              <w:t>9 693 030</w:t>
            </w:r>
          </w:p>
        </w:tc>
        <w:tc>
          <w:tcPr>
            <w:tcW w:w="97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9 956 882</w:t>
            </w:r>
          </w:p>
        </w:tc>
        <w:tc>
          <w:tcPr>
            <w:tcW w:w="97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9 956 882</w:t>
            </w:r>
          </w:p>
        </w:tc>
        <w:tc>
          <w:tcPr>
            <w:tcW w:w="972"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9 956 882</w:t>
            </w:r>
          </w:p>
        </w:tc>
      </w:tr>
      <w:tr w:rsidR="003A497B" w:rsidRPr="00BB5E1C" w:rsidTr="003E1809">
        <w:trPr>
          <w:trHeight w:val="25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3A497B" w:rsidRPr="00BB5E1C" w:rsidRDefault="003A497B" w:rsidP="003E1809">
            <w:pPr>
              <w:rPr>
                <w:rFonts w:ascii="Times New Roman" w:hAnsi="Times New Roman" w:cs="Times New Roman"/>
                <w:b/>
                <w:bCs/>
                <w:color w:val="000000"/>
                <w:sz w:val="14"/>
                <w:szCs w:val="14"/>
                <w:lang w:eastAsia="sk-SK"/>
              </w:rPr>
            </w:pPr>
            <w:r w:rsidRPr="00BB5E1C">
              <w:rPr>
                <w:rFonts w:ascii="Times New Roman" w:hAnsi="Times New Roman" w:cs="Times New Roman"/>
                <w:b/>
                <w:bCs/>
                <w:color w:val="000000"/>
                <w:sz w:val="14"/>
                <w:szCs w:val="14"/>
                <w:lang w:eastAsia="sk-SK"/>
              </w:rPr>
              <w:t xml:space="preserve">rozpočtové zdroje kapitoly </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9 389 254</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16 355 357</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9 853 805</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3A497B" w:rsidRPr="00CB7B40" w:rsidRDefault="003A497B" w:rsidP="003E1809">
            <w:pPr>
              <w:jc w:val="right"/>
              <w:rPr>
                <w:rFonts w:ascii="Times New Roman" w:hAnsi="Times New Roman" w:cs="Times New Roman"/>
                <w:b/>
                <w:bCs/>
                <w:color w:val="000000"/>
                <w:sz w:val="14"/>
                <w:szCs w:val="14"/>
              </w:rPr>
            </w:pPr>
            <w:r w:rsidRPr="00CB7B40">
              <w:rPr>
                <w:rFonts w:ascii="Times New Roman" w:hAnsi="Times New Roman" w:cs="Times New Roman"/>
                <w:b/>
                <w:bCs/>
                <w:color w:val="000000"/>
                <w:sz w:val="14"/>
                <w:szCs w:val="14"/>
              </w:rPr>
              <w:t>6 803 155</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9 956 882</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9 956 882</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9 956 882</w:t>
            </w:r>
          </w:p>
        </w:tc>
      </w:tr>
      <w:tr w:rsidR="003A497B" w:rsidRPr="00BB5E1C" w:rsidTr="003E1809">
        <w:trPr>
          <w:trHeight w:val="25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3A497B" w:rsidRPr="00BB5E1C" w:rsidRDefault="003A497B" w:rsidP="003E1809">
            <w:pPr>
              <w:rPr>
                <w:rFonts w:ascii="Times New Roman" w:hAnsi="Times New Roman" w:cs="Times New Roman"/>
                <w:color w:val="000000"/>
                <w:sz w:val="14"/>
                <w:szCs w:val="14"/>
                <w:lang w:eastAsia="sk-SK"/>
              </w:rPr>
            </w:pPr>
            <w:r w:rsidRPr="00BB5E1C">
              <w:rPr>
                <w:rFonts w:ascii="Times New Roman" w:hAnsi="Times New Roman" w:cs="Times New Roman"/>
                <w:color w:val="000000"/>
                <w:sz w:val="14"/>
                <w:szCs w:val="14"/>
                <w:lang w:eastAsia="sk-SK"/>
              </w:rPr>
              <w:t xml:space="preserve">    v tom: bežné výdavky  600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8 441 901</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9 760 573</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9 605 549</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3A497B" w:rsidRPr="00CB7B40" w:rsidRDefault="003A497B" w:rsidP="003E1809">
            <w:pPr>
              <w:jc w:val="right"/>
              <w:rPr>
                <w:rFonts w:ascii="Times New Roman" w:hAnsi="Times New Roman" w:cs="Times New Roman"/>
                <w:color w:val="000000"/>
                <w:sz w:val="14"/>
                <w:szCs w:val="14"/>
              </w:rPr>
            </w:pPr>
            <w:r w:rsidRPr="00CB7B40">
              <w:rPr>
                <w:rFonts w:ascii="Times New Roman" w:hAnsi="Times New Roman" w:cs="Times New Roman"/>
                <w:color w:val="000000"/>
                <w:sz w:val="14"/>
                <w:szCs w:val="14"/>
              </w:rPr>
              <w:t>6 803 155</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9 956 882</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9 956 882</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9 956 882</w:t>
            </w:r>
          </w:p>
        </w:tc>
      </w:tr>
      <w:tr w:rsidR="003A497B" w:rsidRPr="00BB5E1C" w:rsidTr="003E1809">
        <w:trPr>
          <w:trHeight w:val="25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3A497B" w:rsidRPr="00BB5E1C" w:rsidRDefault="003A497B" w:rsidP="003E1809">
            <w:pPr>
              <w:rPr>
                <w:rFonts w:ascii="Times New Roman" w:hAnsi="Times New Roman" w:cs="Times New Roman"/>
                <w:color w:val="000000"/>
                <w:sz w:val="14"/>
                <w:szCs w:val="14"/>
                <w:lang w:eastAsia="sk-SK"/>
              </w:rPr>
            </w:pPr>
            <w:r w:rsidRPr="00BB5E1C">
              <w:rPr>
                <w:rFonts w:ascii="Times New Roman" w:hAnsi="Times New Roman" w:cs="Times New Roman"/>
                <w:color w:val="000000"/>
                <w:sz w:val="14"/>
                <w:szCs w:val="14"/>
                <w:lang w:eastAsia="sk-SK"/>
              </w:rPr>
              <w:t xml:space="preserve">                        610 mzdy</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1 546 301</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1 623 300</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1 617 346</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3A497B" w:rsidRPr="00CB7B40" w:rsidRDefault="003A497B" w:rsidP="003E1809">
            <w:pPr>
              <w:jc w:val="right"/>
              <w:rPr>
                <w:rFonts w:ascii="Times New Roman" w:hAnsi="Times New Roman" w:cs="Times New Roman"/>
                <w:color w:val="000000"/>
                <w:sz w:val="14"/>
                <w:szCs w:val="14"/>
              </w:rPr>
            </w:pPr>
            <w:r w:rsidRPr="00CB7B40">
              <w:rPr>
                <w:rFonts w:ascii="Times New Roman" w:hAnsi="Times New Roman" w:cs="Times New Roman"/>
                <w:color w:val="000000"/>
                <w:sz w:val="14"/>
                <w:szCs w:val="14"/>
              </w:rPr>
              <w:t>1 682 363</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1 693 923</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1 693 923</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1 693 923</w:t>
            </w:r>
          </w:p>
        </w:tc>
      </w:tr>
      <w:tr w:rsidR="003A497B" w:rsidRPr="00BB5E1C" w:rsidTr="003E1809">
        <w:trPr>
          <w:trHeight w:val="25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3A497B" w:rsidRPr="00BB5E1C" w:rsidRDefault="003A497B" w:rsidP="003E1809">
            <w:pPr>
              <w:rPr>
                <w:rFonts w:ascii="Times New Roman" w:hAnsi="Times New Roman" w:cs="Times New Roman"/>
                <w:color w:val="000000"/>
                <w:sz w:val="14"/>
                <w:szCs w:val="14"/>
                <w:lang w:eastAsia="sk-SK"/>
              </w:rPr>
            </w:pPr>
            <w:r w:rsidRPr="00BB5E1C">
              <w:rPr>
                <w:rFonts w:ascii="Times New Roman" w:hAnsi="Times New Roman" w:cs="Times New Roman"/>
                <w:color w:val="000000"/>
                <w:sz w:val="14"/>
                <w:szCs w:val="14"/>
                <w:lang w:eastAsia="sk-SK"/>
              </w:rPr>
              <w:t xml:space="preserve">                        620 odvody</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603 899</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626 177</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598 418</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3A497B" w:rsidRPr="00CB7B40" w:rsidRDefault="003A497B" w:rsidP="003E1809">
            <w:pPr>
              <w:jc w:val="right"/>
              <w:rPr>
                <w:rFonts w:ascii="Times New Roman" w:hAnsi="Times New Roman" w:cs="Times New Roman"/>
                <w:color w:val="000000"/>
                <w:sz w:val="14"/>
                <w:szCs w:val="14"/>
              </w:rPr>
            </w:pPr>
            <w:r w:rsidRPr="00CB7B40">
              <w:rPr>
                <w:rFonts w:ascii="Times New Roman" w:hAnsi="Times New Roman" w:cs="Times New Roman"/>
                <w:color w:val="000000"/>
                <w:sz w:val="14"/>
                <w:szCs w:val="14"/>
              </w:rPr>
              <w:t>620 882</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673 418</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673 418</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673 418</w:t>
            </w:r>
          </w:p>
        </w:tc>
      </w:tr>
      <w:tr w:rsidR="003A497B" w:rsidRPr="00BB5E1C" w:rsidTr="003E1809">
        <w:trPr>
          <w:trHeight w:val="25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3A497B" w:rsidRPr="00BB5E1C" w:rsidRDefault="003A497B" w:rsidP="003E1809">
            <w:pPr>
              <w:rPr>
                <w:rFonts w:ascii="Times New Roman" w:hAnsi="Times New Roman" w:cs="Times New Roman"/>
                <w:color w:val="000000"/>
                <w:sz w:val="14"/>
                <w:szCs w:val="14"/>
                <w:lang w:eastAsia="sk-SK"/>
              </w:rPr>
            </w:pPr>
            <w:r w:rsidRPr="00BB5E1C">
              <w:rPr>
                <w:rFonts w:ascii="Times New Roman" w:hAnsi="Times New Roman" w:cs="Times New Roman"/>
                <w:color w:val="000000"/>
                <w:sz w:val="14"/>
                <w:szCs w:val="14"/>
                <w:lang w:eastAsia="sk-SK"/>
              </w:rPr>
              <w:t xml:space="preserve">                        630 tovary a služby</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6 248 700</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7 472 057</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7 370 735</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3A497B" w:rsidRPr="00CB7B40" w:rsidRDefault="003A497B" w:rsidP="003E1809">
            <w:pPr>
              <w:jc w:val="right"/>
              <w:rPr>
                <w:rFonts w:ascii="Times New Roman" w:hAnsi="Times New Roman" w:cs="Times New Roman"/>
                <w:color w:val="000000"/>
                <w:sz w:val="14"/>
                <w:szCs w:val="14"/>
              </w:rPr>
            </w:pPr>
            <w:r w:rsidRPr="00CB7B40">
              <w:rPr>
                <w:rFonts w:ascii="Times New Roman" w:hAnsi="Times New Roman" w:cs="Times New Roman"/>
                <w:color w:val="000000"/>
                <w:sz w:val="14"/>
                <w:szCs w:val="14"/>
              </w:rPr>
              <w:t>4 480 860</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7 564 491</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7 562 991</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7 564 491</w:t>
            </w:r>
          </w:p>
        </w:tc>
      </w:tr>
      <w:tr w:rsidR="003A497B" w:rsidRPr="00BB5E1C" w:rsidTr="003E1809">
        <w:trPr>
          <w:trHeight w:val="25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3A497B" w:rsidRPr="00BB5E1C" w:rsidRDefault="003A497B" w:rsidP="003E1809">
            <w:pPr>
              <w:rPr>
                <w:rFonts w:ascii="Times New Roman" w:hAnsi="Times New Roman" w:cs="Times New Roman"/>
                <w:color w:val="000000"/>
                <w:sz w:val="14"/>
                <w:szCs w:val="14"/>
                <w:lang w:eastAsia="sk-SK"/>
              </w:rPr>
            </w:pPr>
            <w:r w:rsidRPr="00BB5E1C">
              <w:rPr>
                <w:rFonts w:ascii="Times New Roman" w:hAnsi="Times New Roman" w:cs="Times New Roman"/>
                <w:color w:val="000000"/>
                <w:sz w:val="14"/>
                <w:szCs w:val="14"/>
                <w:lang w:eastAsia="sk-SK"/>
              </w:rPr>
              <w:t xml:space="preserve">                        640 bežné transfery</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43 001</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39 038</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19 050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3A497B" w:rsidRPr="00CB7B40" w:rsidRDefault="003A497B" w:rsidP="003E1809">
            <w:pPr>
              <w:jc w:val="right"/>
              <w:rPr>
                <w:rFonts w:ascii="Times New Roman" w:hAnsi="Times New Roman" w:cs="Times New Roman"/>
                <w:color w:val="000000"/>
                <w:sz w:val="14"/>
                <w:szCs w:val="14"/>
              </w:rPr>
            </w:pPr>
            <w:r w:rsidRPr="00CB7B40">
              <w:rPr>
                <w:rFonts w:ascii="Times New Roman" w:hAnsi="Times New Roman" w:cs="Times New Roman"/>
                <w:color w:val="000000"/>
                <w:sz w:val="14"/>
                <w:szCs w:val="14"/>
              </w:rPr>
              <w:t>19 050</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25 050</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26 550</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25 050</w:t>
            </w:r>
          </w:p>
        </w:tc>
      </w:tr>
      <w:tr w:rsidR="003A497B" w:rsidRPr="00BB5E1C" w:rsidTr="003E1809">
        <w:trPr>
          <w:trHeight w:val="25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3A497B" w:rsidRPr="00BB5E1C" w:rsidRDefault="003A497B" w:rsidP="003E1809">
            <w:pPr>
              <w:rPr>
                <w:rFonts w:ascii="Times New Roman" w:hAnsi="Times New Roman" w:cs="Times New Roman"/>
                <w:color w:val="000000"/>
                <w:sz w:val="14"/>
                <w:szCs w:val="14"/>
                <w:lang w:eastAsia="sk-SK"/>
              </w:rPr>
            </w:pPr>
            <w:r w:rsidRPr="00BB5E1C">
              <w:rPr>
                <w:rFonts w:ascii="Times New Roman" w:hAnsi="Times New Roman" w:cs="Times New Roman"/>
                <w:color w:val="000000"/>
                <w:sz w:val="14"/>
                <w:szCs w:val="14"/>
                <w:lang w:eastAsia="sk-SK"/>
              </w:rPr>
              <w:t xml:space="preserve">               kapitálové výdavky 700</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947 353</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6 594 784</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248 256</w:t>
            </w:r>
          </w:p>
        </w:tc>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3A497B" w:rsidRPr="00CB7B40" w:rsidRDefault="003A497B" w:rsidP="003E1809">
            <w:pPr>
              <w:jc w:val="right"/>
              <w:rPr>
                <w:rFonts w:ascii="Times New Roman" w:hAnsi="Times New Roman" w:cs="Times New Roman"/>
                <w:color w:val="000000"/>
                <w:sz w:val="14"/>
                <w:szCs w:val="14"/>
              </w:rPr>
            </w:pPr>
            <w:r w:rsidRPr="00CB7B40">
              <w:rPr>
                <w:rFonts w:ascii="Times New Roman" w:hAnsi="Times New Roman" w:cs="Times New Roman"/>
                <w:color w:val="000000"/>
                <w:sz w:val="14"/>
                <w:szCs w:val="14"/>
              </w:rPr>
              <w:t>0</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0</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0</w:t>
            </w:r>
          </w:p>
        </w:tc>
        <w:tc>
          <w:tcPr>
            <w:tcW w:w="972" w:type="dxa"/>
            <w:tcBorders>
              <w:top w:val="nil"/>
              <w:left w:val="nil"/>
              <w:bottom w:val="single" w:sz="4" w:space="0" w:color="auto"/>
              <w:right w:val="single" w:sz="4" w:space="0" w:color="auto"/>
            </w:tcBorders>
            <w:shd w:val="clear" w:color="auto" w:fill="auto"/>
            <w:noWrap/>
            <w:vAlign w:val="bottom"/>
            <w:hideMark/>
          </w:tcPr>
          <w:p w:rsidR="003A497B" w:rsidRPr="004170A9" w:rsidRDefault="003A497B" w:rsidP="003E1809">
            <w:pPr>
              <w:jc w:val="right"/>
              <w:rPr>
                <w:rFonts w:ascii="Times New Roman" w:hAnsi="Times New Roman" w:cs="Times New Roman"/>
                <w:color w:val="000000"/>
                <w:sz w:val="14"/>
                <w:szCs w:val="14"/>
              </w:rPr>
            </w:pPr>
            <w:r w:rsidRPr="004170A9">
              <w:rPr>
                <w:rFonts w:ascii="Times New Roman" w:hAnsi="Times New Roman" w:cs="Times New Roman"/>
                <w:color w:val="000000"/>
                <w:sz w:val="14"/>
                <w:szCs w:val="14"/>
              </w:rPr>
              <w:t>0</w:t>
            </w:r>
          </w:p>
        </w:tc>
      </w:tr>
      <w:tr w:rsidR="003A497B" w:rsidRPr="00BB5E1C" w:rsidTr="003E1809">
        <w:trPr>
          <w:trHeight w:val="255"/>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3A497B" w:rsidRPr="00BB5E1C" w:rsidRDefault="003A497B" w:rsidP="003E1809">
            <w:pPr>
              <w:rPr>
                <w:rFonts w:ascii="Times New Roman" w:hAnsi="Times New Roman" w:cs="Times New Roman"/>
                <w:b/>
                <w:bCs/>
                <w:color w:val="000000"/>
                <w:sz w:val="14"/>
                <w:szCs w:val="14"/>
                <w:lang w:eastAsia="sk-SK"/>
              </w:rPr>
            </w:pPr>
            <w:r w:rsidRPr="00BB5E1C">
              <w:rPr>
                <w:rFonts w:ascii="Times New Roman" w:hAnsi="Times New Roman" w:cs="Times New Roman"/>
                <w:b/>
                <w:bCs/>
                <w:color w:val="000000"/>
                <w:sz w:val="14"/>
                <w:szCs w:val="14"/>
                <w:lang w:eastAsia="sk-SK"/>
              </w:rPr>
              <w:t>presun z minulých rokov</w:t>
            </w:r>
            <w:r>
              <w:rPr>
                <w:rFonts w:ascii="Times New Roman" w:hAnsi="Times New Roman" w:cs="Times New Roman"/>
                <w:b/>
                <w:bCs/>
                <w:color w:val="000000"/>
                <w:sz w:val="14"/>
                <w:szCs w:val="14"/>
                <w:lang w:eastAsia="sk-SK"/>
              </w:rPr>
              <w:t xml:space="preserve"> § 8</w:t>
            </w:r>
          </w:p>
        </w:tc>
        <w:tc>
          <w:tcPr>
            <w:tcW w:w="972" w:type="dxa"/>
            <w:tcBorders>
              <w:top w:val="nil"/>
              <w:left w:val="single" w:sz="4" w:space="0" w:color="auto"/>
              <w:bottom w:val="single" w:sz="4" w:space="0" w:color="auto"/>
              <w:right w:val="single" w:sz="4" w:space="0" w:color="auto"/>
            </w:tcBorders>
            <w:shd w:val="clear" w:color="auto" w:fill="auto"/>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1 289 395</w:t>
            </w:r>
          </w:p>
        </w:tc>
        <w:tc>
          <w:tcPr>
            <w:tcW w:w="972" w:type="dxa"/>
            <w:tcBorders>
              <w:top w:val="nil"/>
              <w:left w:val="nil"/>
              <w:bottom w:val="single" w:sz="4" w:space="0" w:color="auto"/>
              <w:right w:val="single" w:sz="4" w:space="0" w:color="auto"/>
            </w:tcBorders>
            <w:shd w:val="clear" w:color="auto" w:fill="auto"/>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0</w:t>
            </w:r>
          </w:p>
        </w:tc>
        <w:tc>
          <w:tcPr>
            <w:tcW w:w="972" w:type="dxa"/>
            <w:tcBorders>
              <w:top w:val="nil"/>
              <w:left w:val="nil"/>
              <w:bottom w:val="single" w:sz="4" w:space="0" w:color="auto"/>
              <w:right w:val="single" w:sz="4" w:space="0" w:color="auto"/>
            </w:tcBorders>
            <w:shd w:val="clear" w:color="auto" w:fill="auto"/>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0</w:t>
            </w:r>
          </w:p>
        </w:tc>
        <w:tc>
          <w:tcPr>
            <w:tcW w:w="972" w:type="dxa"/>
            <w:tcBorders>
              <w:top w:val="nil"/>
              <w:left w:val="single" w:sz="4" w:space="0" w:color="auto"/>
              <w:bottom w:val="single" w:sz="4" w:space="0" w:color="auto"/>
              <w:right w:val="single" w:sz="4" w:space="0" w:color="auto"/>
            </w:tcBorders>
            <w:shd w:val="clear" w:color="auto" w:fill="auto"/>
            <w:vAlign w:val="bottom"/>
            <w:hideMark/>
          </w:tcPr>
          <w:p w:rsidR="003A497B" w:rsidRPr="00CB7B40" w:rsidRDefault="003A497B" w:rsidP="003E1809">
            <w:pPr>
              <w:jc w:val="right"/>
              <w:rPr>
                <w:rFonts w:ascii="Times New Roman" w:hAnsi="Times New Roman" w:cs="Times New Roman"/>
                <w:b/>
                <w:bCs/>
                <w:color w:val="000000"/>
                <w:sz w:val="14"/>
                <w:szCs w:val="14"/>
              </w:rPr>
            </w:pPr>
            <w:r w:rsidRPr="00CB7B40">
              <w:rPr>
                <w:rFonts w:ascii="Times New Roman" w:hAnsi="Times New Roman" w:cs="Times New Roman"/>
                <w:b/>
                <w:bCs/>
                <w:color w:val="000000"/>
                <w:sz w:val="14"/>
                <w:szCs w:val="14"/>
              </w:rPr>
              <w:t>2 889 875</w:t>
            </w:r>
          </w:p>
        </w:tc>
        <w:tc>
          <w:tcPr>
            <w:tcW w:w="972" w:type="dxa"/>
            <w:tcBorders>
              <w:top w:val="nil"/>
              <w:left w:val="nil"/>
              <w:bottom w:val="single" w:sz="4" w:space="0" w:color="auto"/>
              <w:right w:val="single" w:sz="4" w:space="0" w:color="auto"/>
            </w:tcBorders>
            <w:shd w:val="clear" w:color="auto" w:fill="auto"/>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0</w:t>
            </w:r>
          </w:p>
        </w:tc>
        <w:tc>
          <w:tcPr>
            <w:tcW w:w="972" w:type="dxa"/>
            <w:tcBorders>
              <w:top w:val="nil"/>
              <w:left w:val="nil"/>
              <w:bottom w:val="single" w:sz="4" w:space="0" w:color="auto"/>
              <w:right w:val="single" w:sz="4" w:space="0" w:color="auto"/>
            </w:tcBorders>
            <w:shd w:val="clear" w:color="auto" w:fill="auto"/>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0</w:t>
            </w:r>
          </w:p>
        </w:tc>
        <w:tc>
          <w:tcPr>
            <w:tcW w:w="972" w:type="dxa"/>
            <w:tcBorders>
              <w:top w:val="nil"/>
              <w:left w:val="nil"/>
              <w:bottom w:val="single" w:sz="4" w:space="0" w:color="auto"/>
              <w:right w:val="single" w:sz="4" w:space="0" w:color="auto"/>
            </w:tcBorders>
            <w:shd w:val="clear" w:color="auto" w:fill="auto"/>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0</w:t>
            </w:r>
          </w:p>
        </w:tc>
      </w:tr>
    </w:tbl>
    <w:p w:rsidR="003A497B" w:rsidRDefault="003A497B" w:rsidP="003A497B">
      <w:pPr>
        <w:jc w:val="both"/>
        <w:rPr>
          <w:rFonts w:ascii="Times New Roman" w:hAnsi="Times New Roman" w:cs="Times New Roman"/>
          <w:highlight w:val="yellow"/>
          <w:lang w:eastAsia="sk-SK"/>
        </w:rPr>
      </w:pPr>
    </w:p>
    <w:tbl>
      <w:tblPr>
        <w:tblW w:w="9067" w:type="dxa"/>
        <w:tblCellMar>
          <w:left w:w="70" w:type="dxa"/>
          <w:right w:w="70" w:type="dxa"/>
        </w:tblCellMar>
        <w:tblLook w:val="04A0" w:firstRow="1" w:lastRow="0" w:firstColumn="1" w:lastColumn="0" w:noHBand="0" w:noVBand="1"/>
      </w:tblPr>
      <w:tblGrid>
        <w:gridCol w:w="2263"/>
        <w:gridCol w:w="972"/>
        <w:gridCol w:w="972"/>
        <w:gridCol w:w="972"/>
        <w:gridCol w:w="972"/>
        <w:gridCol w:w="972"/>
        <w:gridCol w:w="972"/>
        <w:gridCol w:w="972"/>
      </w:tblGrid>
      <w:tr w:rsidR="003A497B" w:rsidRPr="000F5CC7" w:rsidTr="003E1809">
        <w:trPr>
          <w:trHeight w:val="255"/>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97B" w:rsidRPr="000F5CC7" w:rsidRDefault="003A497B" w:rsidP="003E1809">
            <w:pPr>
              <w:rPr>
                <w:rFonts w:ascii="Times New Roman" w:hAnsi="Times New Roman" w:cs="Times New Roman"/>
                <w:b/>
                <w:bCs/>
                <w:color w:val="000000"/>
                <w:sz w:val="14"/>
                <w:szCs w:val="14"/>
                <w:lang w:eastAsia="sk-SK"/>
              </w:rPr>
            </w:pPr>
            <w:r w:rsidRPr="000F5CC7">
              <w:rPr>
                <w:rFonts w:ascii="Times New Roman" w:hAnsi="Times New Roman" w:cs="Times New Roman"/>
                <w:b/>
                <w:bCs/>
                <w:color w:val="000000"/>
                <w:sz w:val="14"/>
                <w:szCs w:val="14"/>
                <w:lang w:eastAsia="sk-SK"/>
              </w:rPr>
              <w:t>Samostatné účty</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A497B" w:rsidRPr="004170A9" w:rsidRDefault="003A497B" w:rsidP="003E1809">
            <w:pPr>
              <w:jc w:val="right"/>
              <w:rPr>
                <w:rFonts w:ascii="Times New Roman" w:hAnsi="Times New Roman" w:cs="Times New Roman"/>
                <w:b/>
                <w:bCs/>
                <w:color w:val="000000"/>
                <w:sz w:val="14"/>
                <w:szCs w:val="14"/>
                <w:lang w:eastAsia="sk-SK"/>
              </w:rPr>
            </w:pPr>
            <w:r w:rsidRPr="004170A9">
              <w:rPr>
                <w:rFonts w:ascii="Times New Roman" w:hAnsi="Times New Roman" w:cs="Times New Roman"/>
                <w:b/>
                <w:bCs/>
                <w:color w:val="000000"/>
                <w:sz w:val="14"/>
                <w:szCs w:val="14"/>
              </w:rPr>
              <w:t>3 712 129</w:t>
            </w:r>
          </w:p>
        </w:tc>
        <w:tc>
          <w:tcPr>
            <w:tcW w:w="972" w:type="dxa"/>
            <w:tcBorders>
              <w:top w:val="single" w:sz="4" w:space="0" w:color="auto"/>
              <w:left w:val="nil"/>
              <w:bottom w:val="single" w:sz="4" w:space="0" w:color="auto"/>
              <w:right w:val="single" w:sz="4" w:space="0" w:color="auto"/>
            </w:tcBorders>
            <w:shd w:val="clear" w:color="auto" w:fill="auto"/>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8 636 469</w:t>
            </w:r>
          </w:p>
        </w:tc>
        <w:tc>
          <w:tcPr>
            <w:tcW w:w="972" w:type="dxa"/>
            <w:tcBorders>
              <w:top w:val="single" w:sz="4" w:space="0" w:color="auto"/>
              <w:left w:val="nil"/>
              <w:bottom w:val="single" w:sz="4" w:space="0" w:color="auto"/>
              <w:right w:val="single" w:sz="4" w:space="0" w:color="auto"/>
            </w:tcBorders>
            <w:shd w:val="clear" w:color="auto" w:fill="auto"/>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12 263 000</w:t>
            </w:r>
          </w:p>
        </w:tc>
        <w:tc>
          <w:tcPr>
            <w:tcW w:w="972" w:type="dxa"/>
            <w:tcBorders>
              <w:top w:val="single" w:sz="4" w:space="0" w:color="auto"/>
              <w:left w:val="nil"/>
              <w:bottom w:val="single" w:sz="4" w:space="0" w:color="auto"/>
              <w:right w:val="single" w:sz="4" w:space="0" w:color="auto"/>
            </w:tcBorders>
            <w:shd w:val="clear" w:color="auto" w:fill="auto"/>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16 243 296</w:t>
            </w:r>
          </w:p>
        </w:tc>
        <w:tc>
          <w:tcPr>
            <w:tcW w:w="972" w:type="dxa"/>
            <w:tcBorders>
              <w:top w:val="single" w:sz="4" w:space="0" w:color="auto"/>
              <w:left w:val="nil"/>
              <w:bottom w:val="single" w:sz="4" w:space="0" w:color="auto"/>
              <w:right w:val="single" w:sz="4" w:space="0" w:color="auto"/>
            </w:tcBorders>
            <w:shd w:val="clear" w:color="auto" w:fill="auto"/>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17 684 340</w:t>
            </w:r>
          </w:p>
        </w:tc>
        <w:tc>
          <w:tcPr>
            <w:tcW w:w="972" w:type="dxa"/>
            <w:tcBorders>
              <w:top w:val="single" w:sz="4" w:space="0" w:color="auto"/>
              <w:left w:val="nil"/>
              <w:bottom w:val="single" w:sz="4" w:space="0" w:color="auto"/>
              <w:right w:val="single" w:sz="4" w:space="0" w:color="auto"/>
            </w:tcBorders>
            <w:shd w:val="clear" w:color="auto" w:fill="auto"/>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12 127 300</w:t>
            </w:r>
          </w:p>
        </w:tc>
        <w:tc>
          <w:tcPr>
            <w:tcW w:w="972" w:type="dxa"/>
            <w:tcBorders>
              <w:top w:val="single" w:sz="4" w:space="0" w:color="auto"/>
              <w:left w:val="nil"/>
              <w:bottom w:val="single" w:sz="4" w:space="0" w:color="auto"/>
              <w:right w:val="single" w:sz="4" w:space="0" w:color="auto"/>
            </w:tcBorders>
            <w:shd w:val="clear" w:color="auto" w:fill="auto"/>
            <w:vAlign w:val="bottom"/>
            <w:hideMark/>
          </w:tcPr>
          <w:p w:rsidR="003A497B" w:rsidRPr="004170A9" w:rsidRDefault="003A497B" w:rsidP="003E1809">
            <w:pPr>
              <w:jc w:val="right"/>
              <w:rPr>
                <w:rFonts w:ascii="Times New Roman" w:hAnsi="Times New Roman" w:cs="Times New Roman"/>
                <w:b/>
                <w:bCs/>
                <w:color w:val="000000"/>
                <w:sz w:val="14"/>
                <w:szCs w:val="14"/>
              </w:rPr>
            </w:pPr>
            <w:r w:rsidRPr="004170A9">
              <w:rPr>
                <w:rFonts w:ascii="Times New Roman" w:hAnsi="Times New Roman" w:cs="Times New Roman"/>
                <w:b/>
                <w:bCs/>
                <w:color w:val="000000"/>
                <w:sz w:val="14"/>
                <w:szCs w:val="14"/>
              </w:rPr>
              <w:t>10 724 740</w:t>
            </w:r>
          </w:p>
        </w:tc>
      </w:tr>
    </w:tbl>
    <w:p w:rsidR="003A497B" w:rsidRPr="008B2ACC" w:rsidRDefault="003A497B" w:rsidP="003A497B">
      <w:pPr>
        <w:jc w:val="both"/>
        <w:rPr>
          <w:rFonts w:ascii="Times New Roman" w:hAnsi="Times New Roman" w:cs="Times New Roman"/>
          <w:highlight w:val="yellow"/>
          <w:lang w:eastAsia="sk-SK"/>
        </w:rPr>
      </w:pPr>
    </w:p>
    <w:p w:rsidR="003A497B" w:rsidRPr="008B2ACC" w:rsidRDefault="003A497B" w:rsidP="003A497B">
      <w:pPr>
        <w:ind w:firstLine="708"/>
        <w:jc w:val="both"/>
        <w:rPr>
          <w:rFonts w:ascii="Times New Roman" w:hAnsi="Times New Roman" w:cs="Times New Roman"/>
        </w:rPr>
      </w:pPr>
      <w:r>
        <w:rPr>
          <w:rFonts w:ascii="Times New Roman" w:hAnsi="Times New Roman" w:cs="Times New Roman"/>
        </w:rPr>
        <w:t>Celkové výdavky na rok 2019</w:t>
      </w:r>
      <w:r w:rsidRPr="008B2ACC">
        <w:rPr>
          <w:rFonts w:ascii="Times New Roman" w:hAnsi="Times New Roman" w:cs="Times New Roman"/>
        </w:rPr>
        <w:t xml:space="preserve"> sa rozpočtujú v sume </w:t>
      </w:r>
      <w:r>
        <w:rPr>
          <w:rFonts w:ascii="Times New Roman" w:hAnsi="Times New Roman" w:cs="Times New Roman"/>
        </w:rPr>
        <w:t>9,96</w:t>
      </w:r>
      <w:r w:rsidRPr="008B2ACC">
        <w:rPr>
          <w:rFonts w:ascii="Times New Roman" w:hAnsi="Times New Roman" w:cs="Times New Roman"/>
        </w:rPr>
        <w:t xml:space="preserve"> mil. eur, čo predstavuje oproti </w:t>
      </w:r>
      <w:r>
        <w:rPr>
          <w:rFonts w:ascii="Times New Roman" w:hAnsi="Times New Roman" w:cs="Times New Roman"/>
        </w:rPr>
        <w:t>schválenému rozpočtu na rok 2018</w:t>
      </w:r>
      <w:r w:rsidRPr="008B2ACC">
        <w:rPr>
          <w:rFonts w:ascii="Times New Roman" w:hAnsi="Times New Roman" w:cs="Times New Roman"/>
        </w:rPr>
        <w:t xml:space="preserve"> </w:t>
      </w:r>
      <w:r>
        <w:rPr>
          <w:rFonts w:ascii="Times New Roman" w:hAnsi="Times New Roman" w:cs="Times New Roman"/>
        </w:rPr>
        <w:t>nárast</w:t>
      </w:r>
      <w:r w:rsidRPr="008B2ACC">
        <w:rPr>
          <w:rFonts w:ascii="Times New Roman" w:hAnsi="Times New Roman" w:cs="Times New Roman"/>
        </w:rPr>
        <w:t xml:space="preserve"> o</w:t>
      </w:r>
      <w:r>
        <w:rPr>
          <w:rFonts w:ascii="Times New Roman" w:hAnsi="Times New Roman" w:cs="Times New Roman"/>
        </w:rPr>
        <w:t> 103 tis. eur, t. j. o 1,05</w:t>
      </w:r>
      <w:r w:rsidRPr="008B2ACC">
        <w:rPr>
          <w:rFonts w:ascii="Times New Roman" w:hAnsi="Times New Roman" w:cs="Times New Roman"/>
        </w:rPr>
        <w:t xml:space="preserve"> %. </w:t>
      </w:r>
    </w:p>
    <w:p w:rsidR="003A497B" w:rsidRPr="008B2ACC" w:rsidRDefault="003A497B" w:rsidP="003A497B">
      <w:pPr>
        <w:jc w:val="both"/>
        <w:rPr>
          <w:rFonts w:ascii="Times New Roman" w:hAnsi="Times New Roman" w:cs="Times New Roman"/>
          <w:highlight w:val="yellow"/>
        </w:rPr>
      </w:pPr>
    </w:p>
    <w:p w:rsidR="003A497B" w:rsidRDefault="003A497B" w:rsidP="003A497B">
      <w:pPr>
        <w:ind w:firstLine="708"/>
        <w:jc w:val="both"/>
        <w:rPr>
          <w:rFonts w:ascii="Times New Roman" w:hAnsi="Times New Roman" w:cs="Times New Roman"/>
        </w:rPr>
      </w:pPr>
      <w:r>
        <w:rPr>
          <w:rFonts w:ascii="Times New Roman" w:hAnsi="Times New Roman" w:cs="Times New Roman"/>
        </w:rPr>
        <w:t>Osobné výdavky na rok 2019 sa rozpočtujú v sume 2,37</w:t>
      </w:r>
      <w:r w:rsidRPr="008B2ACC">
        <w:rPr>
          <w:rFonts w:ascii="Times New Roman" w:hAnsi="Times New Roman" w:cs="Times New Roman"/>
        </w:rPr>
        <w:t xml:space="preserve"> mil. eur, čo predstavuje oproti schváleném</w:t>
      </w:r>
      <w:r>
        <w:rPr>
          <w:rFonts w:ascii="Times New Roman" w:hAnsi="Times New Roman" w:cs="Times New Roman"/>
        </w:rPr>
        <w:t>u rozpočtu roku 2018</w:t>
      </w:r>
      <w:r w:rsidRPr="008B2ACC">
        <w:rPr>
          <w:rFonts w:ascii="Times New Roman" w:hAnsi="Times New Roman" w:cs="Times New Roman"/>
        </w:rPr>
        <w:t xml:space="preserve"> nárast o</w:t>
      </w:r>
      <w:r>
        <w:rPr>
          <w:rFonts w:ascii="Times New Roman" w:hAnsi="Times New Roman" w:cs="Times New Roman"/>
        </w:rPr>
        <w:t> 152</w:t>
      </w:r>
      <w:r w:rsidRPr="008B2ACC">
        <w:rPr>
          <w:rFonts w:ascii="Times New Roman" w:hAnsi="Times New Roman" w:cs="Times New Roman"/>
        </w:rPr>
        <w:t xml:space="preserve"> tis. eur, t. j. o</w:t>
      </w:r>
      <w:r>
        <w:rPr>
          <w:rFonts w:ascii="Times New Roman" w:hAnsi="Times New Roman" w:cs="Times New Roman"/>
        </w:rPr>
        <w:t> 6,84</w:t>
      </w:r>
      <w:r w:rsidRPr="008B2ACC">
        <w:rPr>
          <w:rFonts w:ascii="Times New Roman" w:hAnsi="Times New Roman" w:cs="Times New Roman"/>
        </w:rPr>
        <w:t xml:space="preserve"> %. Tento nárast je spôsobený</w:t>
      </w:r>
      <w:r>
        <w:rPr>
          <w:rFonts w:ascii="Times New Roman" w:hAnsi="Times New Roman" w:cs="Times New Roman"/>
        </w:rPr>
        <w:t xml:space="preserve"> </w:t>
      </w:r>
      <w:r w:rsidRPr="008B2ACC">
        <w:rPr>
          <w:rFonts w:ascii="Times New Roman" w:hAnsi="Times New Roman" w:cs="Times New Roman"/>
        </w:rPr>
        <w:t>premietnutí</w:t>
      </w:r>
      <w:r>
        <w:rPr>
          <w:rFonts w:ascii="Times New Roman" w:hAnsi="Times New Roman" w:cs="Times New Roman"/>
        </w:rPr>
        <w:t>m valorizácie platov zamestnancov z roku 2018</w:t>
      </w:r>
      <w:r w:rsidRPr="008B2ACC">
        <w:rPr>
          <w:rFonts w:ascii="Times New Roman" w:hAnsi="Times New Roman" w:cs="Times New Roman"/>
        </w:rPr>
        <w:t xml:space="preserve"> do nasledujúcich rokov</w:t>
      </w:r>
      <w:r>
        <w:rPr>
          <w:rFonts w:ascii="Times New Roman" w:hAnsi="Times New Roman" w:cs="Times New Roman"/>
        </w:rPr>
        <w:t xml:space="preserve"> a zvýšením poistného kapitolou o 48,5 tis. eur na úkor kapitálových výdavkov. </w:t>
      </w:r>
    </w:p>
    <w:p w:rsidR="003A497B" w:rsidRPr="008B2ACC" w:rsidRDefault="003A497B" w:rsidP="003A497B">
      <w:pPr>
        <w:ind w:firstLine="708"/>
        <w:jc w:val="both"/>
        <w:rPr>
          <w:rFonts w:ascii="Times New Roman" w:hAnsi="Times New Roman" w:cs="Times New Roman"/>
        </w:rPr>
      </w:pPr>
      <w:r w:rsidRPr="008B2ACC">
        <w:rPr>
          <w:rFonts w:ascii="Times New Roman" w:hAnsi="Times New Roman" w:cs="Times New Roman"/>
        </w:rPr>
        <w:t xml:space="preserve">  </w:t>
      </w:r>
    </w:p>
    <w:p w:rsidR="003A497B" w:rsidRDefault="003A497B" w:rsidP="003A497B">
      <w:pPr>
        <w:jc w:val="both"/>
        <w:rPr>
          <w:rFonts w:ascii="Times New Roman" w:hAnsi="Times New Roman" w:cs="Times New Roman"/>
        </w:rPr>
      </w:pPr>
      <w:r>
        <w:rPr>
          <w:rFonts w:ascii="Times New Roman" w:hAnsi="Times New Roman" w:cs="Times New Roman"/>
        </w:rPr>
        <w:tab/>
      </w:r>
      <w:r w:rsidRPr="008B2ACC">
        <w:rPr>
          <w:rFonts w:ascii="Times New Roman" w:hAnsi="Times New Roman" w:cs="Times New Roman"/>
        </w:rPr>
        <w:t xml:space="preserve">Tovary a služby </w:t>
      </w:r>
      <w:r>
        <w:rPr>
          <w:rFonts w:ascii="Times New Roman" w:hAnsi="Times New Roman" w:cs="Times New Roman"/>
        </w:rPr>
        <w:t>na rok 2019</w:t>
      </w:r>
      <w:r w:rsidRPr="008B2ACC">
        <w:rPr>
          <w:rFonts w:ascii="Times New Roman" w:hAnsi="Times New Roman" w:cs="Times New Roman"/>
        </w:rPr>
        <w:t xml:space="preserve"> sa rozpočtujú v sume </w:t>
      </w:r>
      <w:r>
        <w:rPr>
          <w:rFonts w:ascii="Times New Roman" w:hAnsi="Times New Roman" w:cs="Times New Roman"/>
        </w:rPr>
        <w:t>7,56</w:t>
      </w:r>
      <w:r w:rsidRPr="008B2ACC">
        <w:rPr>
          <w:rFonts w:ascii="Times New Roman" w:hAnsi="Times New Roman" w:cs="Times New Roman"/>
        </w:rPr>
        <w:t xml:space="preserve"> mil. eur, čo predstavuje oprot</w:t>
      </w:r>
      <w:r>
        <w:rPr>
          <w:rFonts w:ascii="Times New Roman" w:hAnsi="Times New Roman" w:cs="Times New Roman"/>
        </w:rPr>
        <w:t>i schválenému rozpočtu roku 2018</w:t>
      </w:r>
      <w:r w:rsidRPr="008B2ACC">
        <w:rPr>
          <w:rFonts w:ascii="Times New Roman" w:hAnsi="Times New Roman" w:cs="Times New Roman"/>
        </w:rPr>
        <w:t xml:space="preserve"> </w:t>
      </w:r>
      <w:r>
        <w:rPr>
          <w:rFonts w:ascii="Times New Roman" w:hAnsi="Times New Roman" w:cs="Times New Roman"/>
        </w:rPr>
        <w:t>nárast</w:t>
      </w:r>
      <w:r w:rsidRPr="008B2ACC">
        <w:rPr>
          <w:rFonts w:ascii="Times New Roman" w:hAnsi="Times New Roman" w:cs="Times New Roman"/>
        </w:rPr>
        <w:t xml:space="preserve"> o</w:t>
      </w:r>
      <w:r>
        <w:rPr>
          <w:rFonts w:ascii="Times New Roman" w:hAnsi="Times New Roman" w:cs="Times New Roman"/>
        </w:rPr>
        <w:t> 194 tis.</w:t>
      </w:r>
      <w:r w:rsidRPr="008B2ACC">
        <w:rPr>
          <w:rFonts w:ascii="Times New Roman" w:hAnsi="Times New Roman" w:cs="Times New Roman"/>
        </w:rPr>
        <w:t xml:space="preserve"> eur, t. j. o</w:t>
      </w:r>
      <w:r>
        <w:rPr>
          <w:rFonts w:ascii="Times New Roman" w:hAnsi="Times New Roman" w:cs="Times New Roman"/>
        </w:rPr>
        <w:t xml:space="preserve"> 2,63 %. Tieto výdavky kapitola zvýšila na úkor kapitálových výdavkov. </w:t>
      </w:r>
    </w:p>
    <w:p w:rsidR="003A497B" w:rsidRPr="008B2ACC" w:rsidRDefault="003A497B" w:rsidP="003A497B">
      <w:pPr>
        <w:ind w:firstLine="708"/>
        <w:jc w:val="both"/>
        <w:rPr>
          <w:rFonts w:ascii="Times New Roman" w:hAnsi="Times New Roman" w:cs="Times New Roman"/>
        </w:rPr>
      </w:pPr>
    </w:p>
    <w:p w:rsidR="003A497B" w:rsidRDefault="003A497B" w:rsidP="003A497B">
      <w:pPr>
        <w:ind w:firstLine="708"/>
        <w:jc w:val="both"/>
        <w:rPr>
          <w:rFonts w:ascii="Times New Roman" w:hAnsi="Times New Roman" w:cs="Times New Roman"/>
        </w:rPr>
      </w:pPr>
      <w:r>
        <w:rPr>
          <w:rFonts w:ascii="Times New Roman" w:hAnsi="Times New Roman" w:cs="Times New Roman"/>
        </w:rPr>
        <w:t>Bežné transfery na rok 2019</w:t>
      </w:r>
      <w:r w:rsidRPr="008B2ACC">
        <w:rPr>
          <w:rFonts w:ascii="Times New Roman" w:hAnsi="Times New Roman" w:cs="Times New Roman"/>
        </w:rPr>
        <w:t xml:space="preserve"> sa rozpočtujú v sume </w:t>
      </w:r>
      <w:r>
        <w:rPr>
          <w:rFonts w:ascii="Times New Roman" w:hAnsi="Times New Roman" w:cs="Times New Roman"/>
        </w:rPr>
        <w:t>25,1</w:t>
      </w:r>
      <w:r w:rsidRPr="008B2ACC">
        <w:rPr>
          <w:rFonts w:ascii="Times New Roman" w:hAnsi="Times New Roman" w:cs="Times New Roman"/>
        </w:rPr>
        <w:t xml:space="preserve"> tis. eur, čo predstavuje oprot</w:t>
      </w:r>
      <w:r>
        <w:rPr>
          <w:rFonts w:ascii="Times New Roman" w:hAnsi="Times New Roman" w:cs="Times New Roman"/>
        </w:rPr>
        <w:t xml:space="preserve">i schválenému rozpočtu roku 2018 nárast </w:t>
      </w:r>
      <w:r w:rsidRPr="008B2ACC">
        <w:rPr>
          <w:rFonts w:ascii="Times New Roman" w:hAnsi="Times New Roman" w:cs="Times New Roman"/>
        </w:rPr>
        <w:t>o</w:t>
      </w:r>
      <w:r>
        <w:rPr>
          <w:rFonts w:ascii="Times New Roman" w:hAnsi="Times New Roman" w:cs="Times New Roman"/>
        </w:rPr>
        <w:t> 6,00</w:t>
      </w:r>
      <w:r w:rsidRPr="008B2ACC">
        <w:rPr>
          <w:rFonts w:ascii="Times New Roman" w:hAnsi="Times New Roman" w:cs="Times New Roman"/>
        </w:rPr>
        <w:t xml:space="preserve"> tis. eur, t. j. o</w:t>
      </w:r>
      <w:r>
        <w:rPr>
          <w:rFonts w:ascii="Times New Roman" w:hAnsi="Times New Roman" w:cs="Times New Roman"/>
        </w:rPr>
        <w:t> 31,5</w:t>
      </w:r>
      <w:r w:rsidRPr="008B2ACC">
        <w:rPr>
          <w:rFonts w:ascii="Times New Roman" w:hAnsi="Times New Roman" w:cs="Times New Roman"/>
        </w:rPr>
        <w:t xml:space="preserve"> %.</w:t>
      </w:r>
      <w:r>
        <w:rPr>
          <w:rFonts w:ascii="Times New Roman" w:hAnsi="Times New Roman" w:cs="Times New Roman"/>
        </w:rPr>
        <w:t xml:space="preserve"> Nárast je spôsobený zvýšením výdavkov na nemocenské dávky. Tieto výdavky kapitola zvýšila na úkor kapitálových výdavkov. </w:t>
      </w:r>
    </w:p>
    <w:p w:rsidR="003A497B" w:rsidRDefault="003A497B" w:rsidP="003A497B">
      <w:pPr>
        <w:ind w:firstLine="708"/>
        <w:jc w:val="both"/>
        <w:rPr>
          <w:rFonts w:ascii="Times New Roman" w:hAnsi="Times New Roman" w:cs="Times New Roman"/>
        </w:rPr>
      </w:pPr>
      <w:r>
        <w:rPr>
          <w:rFonts w:ascii="Times New Roman" w:hAnsi="Times New Roman" w:cs="Times New Roman"/>
        </w:rPr>
        <w:t xml:space="preserve"> </w:t>
      </w:r>
    </w:p>
    <w:p w:rsidR="003A497B" w:rsidRPr="008B2ACC" w:rsidRDefault="003A497B" w:rsidP="003A497B">
      <w:pPr>
        <w:ind w:firstLine="708"/>
        <w:jc w:val="both"/>
        <w:rPr>
          <w:rFonts w:ascii="Times New Roman" w:hAnsi="Times New Roman" w:cs="Times New Roman"/>
        </w:rPr>
      </w:pPr>
      <w:r>
        <w:rPr>
          <w:rFonts w:ascii="Times New Roman" w:hAnsi="Times New Roman" w:cs="Times New Roman"/>
        </w:rPr>
        <w:t xml:space="preserve">Kapitola na rok 2019 rozpočtuje výdavky na samostatnom účte obmien a zámien v sume 17,7 mil. eur. </w:t>
      </w:r>
      <w:r w:rsidRPr="008B2ACC">
        <w:rPr>
          <w:rFonts w:ascii="Times New Roman" w:hAnsi="Times New Roman" w:cs="Times New Roman"/>
          <w:lang w:eastAsia="sk-SK"/>
        </w:rPr>
        <w:t xml:space="preserve">Prostredníctvom daného účtu sa zabezpečuje hospodárenie, t. j. obchodná činnosť pri nákupe a predaji štátnych hmotných rezerv v rámci obmien, zámien a pôžičiek. Uvedený účet sa používa tiež na pravidelné mesačné uhrádzanie dane z pridanej hodnoty. </w:t>
      </w:r>
    </w:p>
    <w:p w:rsidR="003A497B" w:rsidRPr="008B2ACC" w:rsidRDefault="003A497B" w:rsidP="003A497B">
      <w:pPr>
        <w:ind w:firstLine="708"/>
        <w:jc w:val="both"/>
        <w:rPr>
          <w:rFonts w:ascii="Times New Roman" w:hAnsi="Times New Roman" w:cs="Times New Roman"/>
          <w:lang w:eastAsia="sk-SK"/>
        </w:rPr>
      </w:pPr>
    </w:p>
    <w:p w:rsidR="00EE1354" w:rsidRDefault="00EE1354" w:rsidP="003A497B">
      <w:pPr>
        <w:ind w:firstLine="708"/>
        <w:jc w:val="both"/>
        <w:rPr>
          <w:rFonts w:ascii="Times New Roman" w:hAnsi="Times New Roman" w:cs="Times New Roman"/>
          <w:lang w:eastAsia="sk-SK"/>
        </w:rPr>
      </w:pPr>
    </w:p>
    <w:p w:rsidR="00EE1354" w:rsidRDefault="00EE1354" w:rsidP="003A497B">
      <w:pPr>
        <w:ind w:firstLine="708"/>
        <w:jc w:val="both"/>
        <w:rPr>
          <w:rFonts w:ascii="Times New Roman" w:hAnsi="Times New Roman" w:cs="Times New Roman"/>
          <w:lang w:eastAsia="sk-SK"/>
        </w:rPr>
      </w:pPr>
    </w:p>
    <w:p w:rsidR="00EE1354" w:rsidRDefault="00EE1354" w:rsidP="003A497B">
      <w:pPr>
        <w:ind w:firstLine="708"/>
        <w:jc w:val="both"/>
        <w:rPr>
          <w:rFonts w:ascii="Times New Roman" w:hAnsi="Times New Roman" w:cs="Times New Roman"/>
          <w:lang w:eastAsia="sk-SK"/>
        </w:rPr>
      </w:pPr>
    </w:p>
    <w:p w:rsidR="00EE1354" w:rsidRDefault="00EE1354" w:rsidP="003A497B">
      <w:pPr>
        <w:ind w:firstLine="708"/>
        <w:jc w:val="both"/>
        <w:rPr>
          <w:rFonts w:ascii="Times New Roman" w:hAnsi="Times New Roman" w:cs="Times New Roman"/>
          <w:lang w:eastAsia="sk-SK"/>
        </w:rPr>
      </w:pPr>
    </w:p>
    <w:p w:rsidR="003A497B" w:rsidRPr="00D17462" w:rsidRDefault="003A497B" w:rsidP="003A497B">
      <w:pPr>
        <w:ind w:firstLine="708"/>
        <w:jc w:val="both"/>
        <w:rPr>
          <w:rFonts w:ascii="Times New Roman" w:hAnsi="Times New Roman" w:cs="Times New Roman"/>
          <w:lang w:eastAsia="sk-SK"/>
        </w:rPr>
      </w:pPr>
      <w:r w:rsidRPr="00D17462">
        <w:rPr>
          <w:rFonts w:ascii="Times New Roman" w:hAnsi="Times New Roman" w:cs="Times New Roman"/>
          <w:lang w:eastAsia="sk-SK"/>
        </w:rPr>
        <w:lastRenderedPageBreak/>
        <w:t>Skutočný a očakávaný stav prostriedkov</w:t>
      </w:r>
      <w:r>
        <w:rPr>
          <w:rFonts w:ascii="Times New Roman" w:hAnsi="Times New Roman" w:cs="Times New Roman"/>
          <w:lang w:eastAsia="sk-SK"/>
        </w:rPr>
        <w:t xml:space="preserve"> na samostatnom účte</w:t>
      </w:r>
      <w:r w:rsidRPr="00D17462">
        <w:rPr>
          <w:rFonts w:ascii="Times New Roman" w:hAnsi="Times New Roman" w:cs="Times New Roman"/>
          <w:lang w:eastAsia="sk-SK"/>
        </w:rPr>
        <w:t xml:space="preserve"> kapitoly.</w:t>
      </w:r>
    </w:p>
    <w:p w:rsidR="003A497B" w:rsidRPr="00470C3B" w:rsidRDefault="003A497B" w:rsidP="003A497B">
      <w:pPr>
        <w:jc w:val="both"/>
        <w:rPr>
          <w:rFonts w:ascii="Times New Roman" w:hAnsi="Times New Roman" w:cs="Times New Roman"/>
          <w:lang w:eastAsia="sk-SK"/>
        </w:rPr>
      </w:pPr>
      <w:r w:rsidRPr="00470C3B">
        <w:rPr>
          <w:rFonts w:ascii="Times New Roman" w:hAnsi="Times New Roman" w:cs="Times New Roman"/>
          <w:lang w:eastAsia="sk-SK"/>
        </w:rPr>
        <w:t> </w:t>
      </w:r>
    </w:p>
    <w:tbl>
      <w:tblPr>
        <w:tblW w:w="5000" w:type="pct"/>
        <w:tblCellMar>
          <w:left w:w="0" w:type="dxa"/>
          <w:right w:w="0" w:type="dxa"/>
        </w:tblCellMar>
        <w:tblLook w:val="04A0" w:firstRow="1" w:lastRow="0" w:firstColumn="1" w:lastColumn="0" w:noHBand="0" w:noVBand="1"/>
      </w:tblPr>
      <w:tblGrid>
        <w:gridCol w:w="2458"/>
        <w:gridCol w:w="1100"/>
        <w:gridCol w:w="1100"/>
        <w:gridCol w:w="1102"/>
        <w:gridCol w:w="1100"/>
        <w:gridCol w:w="1100"/>
        <w:gridCol w:w="1102"/>
      </w:tblGrid>
      <w:tr w:rsidR="003A497B" w:rsidRPr="00470C3B" w:rsidTr="003E1809">
        <w:trPr>
          <w:trHeight w:val="217"/>
        </w:trPr>
        <w:tc>
          <w:tcPr>
            <w:tcW w:w="1356" w:type="pct"/>
            <w:tcBorders>
              <w:top w:val="single" w:sz="4" w:space="0" w:color="000000"/>
              <w:left w:val="single" w:sz="4" w:space="0" w:color="000000"/>
            </w:tcBorders>
            <w:shd w:val="clear" w:color="auto" w:fill="A6A6A6"/>
            <w:tcMar>
              <w:top w:w="0" w:type="dxa"/>
              <w:left w:w="70" w:type="dxa"/>
              <w:bottom w:w="0" w:type="dxa"/>
              <w:right w:w="70" w:type="dxa"/>
            </w:tcMar>
            <w:vAlign w:val="bottom"/>
            <w:hideMark/>
          </w:tcPr>
          <w:p w:rsidR="003A497B" w:rsidRPr="00470C3B" w:rsidRDefault="003A497B" w:rsidP="003E1809">
            <w:pPr>
              <w:rPr>
                <w:rFonts w:ascii="Times New Roman" w:hAnsi="Times New Roman" w:cs="Times New Roman"/>
                <w:b/>
                <w:bCs/>
                <w:color w:val="000000"/>
                <w:sz w:val="14"/>
                <w:szCs w:val="14"/>
              </w:rPr>
            </w:pPr>
          </w:p>
        </w:tc>
        <w:tc>
          <w:tcPr>
            <w:tcW w:w="607" w:type="pct"/>
            <w:tcBorders>
              <w:top w:val="single" w:sz="4" w:space="0" w:color="000000"/>
              <w:left w:val="single" w:sz="4" w:space="0" w:color="000000"/>
            </w:tcBorders>
            <w:shd w:val="clear" w:color="auto" w:fill="A6A6A6"/>
            <w:tcMar>
              <w:top w:w="0" w:type="dxa"/>
              <w:left w:w="70" w:type="dxa"/>
              <w:bottom w:w="0" w:type="dxa"/>
              <w:right w:w="70" w:type="dxa"/>
            </w:tcMar>
            <w:vAlign w:val="bottom"/>
            <w:hideMark/>
          </w:tcPr>
          <w:p w:rsidR="003A497B" w:rsidRPr="00470C3B" w:rsidRDefault="003A497B" w:rsidP="003E1809">
            <w:pPr>
              <w:jc w:val="center"/>
              <w:rPr>
                <w:rFonts w:ascii="Times New Roman" w:hAnsi="Times New Roman" w:cs="Times New Roman"/>
                <w:b/>
                <w:bCs/>
                <w:color w:val="000000"/>
                <w:sz w:val="14"/>
                <w:szCs w:val="14"/>
              </w:rPr>
            </w:pPr>
            <w:r w:rsidRPr="00470C3B">
              <w:rPr>
                <w:rFonts w:ascii="Times New Roman" w:hAnsi="Times New Roman" w:cs="Times New Roman"/>
                <w:b/>
                <w:bCs/>
                <w:color w:val="000000"/>
                <w:sz w:val="14"/>
                <w:szCs w:val="14"/>
              </w:rPr>
              <w:t>skutočnosť k</w:t>
            </w:r>
          </w:p>
        </w:tc>
        <w:tc>
          <w:tcPr>
            <w:tcW w:w="607" w:type="pct"/>
            <w:tcBorders>
              <w:top w:val="single" w:sz="4" w:space="0" w:color="000000"/>
              <w:left w:val="single" w:sz="4" w:space="0" w:color="000000"/>
            </w:tcBorders>
            <w:shd w:val="clear" w:color="auto" w:fill="A6A6A6"/>
            <w:tcMar>
              <w:top w:w="0" w:type="dxa"/>
              <w:left w:w="70" w:type="dxa"/>
              <w:bottom w:w="0" w:type="dxa"/>
              <w:right w:w="70" w:type="dxa"/>
            </w:tcMar>
            <w:vAlign w:val="bottom"/>
            <w:hideMark/>
          </w:tcPr>
          <w:p w:rsidR="003A497B" w:rsidRPr="00470C3B" w:rsidRDefault="003A497B" w:rsidP="003E1809">
            <w:pPr>
              <w:jc w:val="center"/>
              <w:rPr>
                <w:rFonts w:ascii="Times New Roman" w:hAnsi="Times New Roman" w:cs="Times New Roman"/>
                <w:b/>
                <w:bCs/>
                <w:color w:val="000000"/>
                <w:sz w:val="14"/>
                <w:szCs w:val="14"/>
              </w:rPr>
            </w:pPr>
            <w:r w:rsidRPr="00470C3B">
              <w:rPr>
                <w:rFonts w:ascii="Times New Roman" w:hAnsi="Times New Roman" w:cs="Times New Roman"/>
                <w:b/>
                <w:bCs/>
                <w:color w:val="000000"/>
                <w:sz w:val="14"/>
                <w:szCs w:val="14"/>
              </w:rPr>
              <w:t>skutočnosť k</w:t>
            </w:r>
          </w:p>
        </w:tc>
        <w:tc>
          <w:tcPr>
            <w:tcW w:w="608" w:type="pct"/>
            <w:tcBorders>
              <w:top w:val="single" w:sz="4" w:space="0" w:color="000000"/>
              <w:left w:val="single" w:sz="4" w:space="0" w:color="000000"/>
            </w:tcBorders>
            <w:shd w:val="clear" w:color="auto" w:fill="A6A6A6"/>
            <w:tcMar>
              <w:top w:w="0" w:type="dxa"/>
              <w:left w:w="70" w:type="dxa"/>
              <w:bottom w:w="0" w:type="dxa"/>
              <w:right w:w="70" w:type="dxa"/>
            </w:tcMar>
            <w:vAlign w:val="bottom"/>
            <w:hideMark/>
          </w:tcPr>
          <w:p w:rsidR="003A497B" w:rsidRPr="00470C3B" w:rsidRDefault="003A497B" w:rsidP="003E1809">
            <w:pPr>
              <w:jc w:val="center"/>
              <w:rPr>
                <w:rFonts w:ascii="Times New Roman" w:hAnsi="Times New Roman" w:cs="Times New Roman"/>
                <w:b/>
                <w:bCs/>
                <w:color w:val="000000"/>
                <w:sz w:val="14"/>
                <w:szCs w:val="14"/>
              </w:rPr>
            </w:pPr>
            <w:r w:rsidRPr="00470C3B">
              <w:rPr>
                <w:rFonts w:ascii="Times New Roman" w:hAnsi="Times New Roman" w:cs="Times New Roman"/>
                <w:b/>
                <w:bCs/>
                <w:color w:val="000000"/>
                <w:sz w:val="14"/>
                <w:szCs w:val="14"/>
              </w:rPr>
              <w:t>očakávaná</w:t>
            </w:r>
          </w:p>
        </w:tc>
        <w:tc>
          <w:tcPr>
            <w:tcW w:w="607" w:type="pct"/>
            <w:tcBorders>
              <w:top w:val="single" w:sz="4" w:space="0" w:color="000000"/>
              <w:left w:val="single" w:sz="4" w:space="0" w:color="000000"/>
            </w:tcBorders>
            <w:shd w:val="clear" w:color="auto" w:fill="A6A6A6"/>
            <w:tcMar>
              <w:top w:w="0" w:type="dxa"/>
              <w:left w:w="70" w:type="dxa"/>
              <w:bottom w:w="0" w:type="dxa"/>
              <w:right w:w="70" w:type="dxa"/>
            </w:tcMar>
            <w:vAlign w:val="bottom"/>
            <w:hideMark/>
          </w:tcPr>
          <w:p w:rsidR="003A497B" w:rsidRPr="00470C3B" w:rsidRDefault="003A497B" w:rsidP="003E1809">
            <w:pPr>
              <w:jc w:val="center"/>
              <w:rPr>
                <w:rFonts w:ascii="Times New Roman" w:hAnsi="Times New Roman" w:cs="Times New Roman"/>
                <w:b/>
                <w:bCs/>
                <w:color w:val="000000"/>
                <w:sz w:val="14"/>
                <w:szCs w:val="14"/>
              </w:rPr>
            </w:pPr>
            <w:r w:rsidRPr="00470C3B">
              <w:rPr>
                <w:rFonts w:ascii="Times New Roman" w:hAnsi="Times New Roman" w:cs="Times New Roman"/>
                <w:b/>
                <w:bCs/>
                <w:color w:val="000000"/>
                <w:sz w:val="14"/>
                <w:szCs w:val="14"/>
              </w:rPr>
              <w:t>očakávaná</w:t>
            </w:r>
          </w:p>
        </w:tc>
        <w:tc>
          <w:tcPr>
            <w:tcW w:w="607" w:type="pct"/>
            <w:tcBorders>
              <w:top w:val="single" w:sz="4" w:space="0" w:color="000000"/>
              <w:left w:val="single" w:sz="4" w:space="0" w:color="000000"/>
            </w:tcBorders>
            <w:shd w:val="clear" w:color="auto" w:fill="A6A6A6"/>
            <w:tcMar>
              <w:top w:w="0" w:type="dxa"/>
              <w:left w:w="70" w:type="dxa"/>
              <w:bottom w:w="0" w:type="dxa"/>
              <w:right w:w="70" w:type="dxa"/>
            </w:tcMar>
            <w:vAlign w:val="bottom"/>
            <w:hideMark/>
          </w:tcPr>
          <w:p w:rsidR="003A497B" w:rsidRPr="00470C3B" w:rsidRDefault="003A497B" w:rsidP="003E1809">
            <w:pPr>
              <w:jc w:val="center"/>
              <w:rPr>
                <w:rFonts w:ascii="Times New Roman" w:hAnsi="Times New Roman" w:cs="Times New Roman"/>
                <w:b/>
                <w:bCs/>
                <w:color w:val="000000"/>
                <w:sz w:val="14"/>
                <w:szCs w:val="14"/>
              </w:rPr>
            </w:pPr>
            <w:r w:rsidRPr="00470C3B">
              <w:rPr>
                <w:rFonts w:ascii="Times New Roman" w:hAnsi="Times New Roman" w:cs="Times New Roman"/>
                <w:b/>
                <w:bCs/>
                <w:color w:val="000000"/>
                <w:sz w:val="14"/>
                <w:szCs w:val="14"/>
              </w:rPr>
              <w:t>očakávaná</w:t>
            </w:r>
          </w:p>
        </w:tc>
        <w:tc>
          <w:tcPr>
            <w:tcW w:w="608" w:type="pct"/>
            <w:tcBorders>
              <w:top w:val="single" w:sz="4" w:space="0" w:color="000000"/>
              <w:left w:val="single" w:sz="4" w:space="0" w:color="000000"/>
              <w:right w:val="single" w:sz="4" w:space="0" w:color="000000"/>
            </w:tcBorders>
            <w:shd w:val="clear" w:color="auto" w:fill="A6A6A6"/>
            <w:tcMar>
              <w:top w:w="0" w:type="dxa"/>
              <w:left w:w="70" w:type="dxa"/>
              <w:bottom w:w="0" w:type="dxa"/>
              <w:right w:w="70" w:type="dxa"/>
            </w:tcMar>
            <w:vAlign w:val="bottom"/>
            <w:hideMark/>
          </w:tcPr>
          <w:p w:rsidR="003A497B" w:rsidRPr="00470C3B" w:rsidRDefault="003A497B" w:rsidP="003E1809">
            <w:pPr>
              <w:jc w:val="center"/>
              <w:rPr>
                <w:rFonts w:ascii="Times New Roman" w:hAnsi="Times New Roman" w:cs="Times New Roman"/>
                <w:b/>
                <w:bCs/>
                <w:color w:val="000000"/>
                <w:sz w:val="14"/>
                <w:szCs w:val="14"/>
              </w:rPr>
            </w:pPr>
            <w:r w:rsidRPr="00470C3B">
              <w:rPr>
                <w:rFonts w:ascii="Times New Roman" w:hAnsi="Times New Roman" w:cs="Times New Roman"/>
                <w:b/>
                <w:bCs/>
                <w:color w:val="000000"/>
                <w:sz w:val="14"/>
                <w:szCs w:val="14"/>
              </w:rPr>
              <w:t>očakávaná</w:t>
            </w:r>
          </w:p>
        </w:tc>
      </w:tr>
      <w:tr w:rsidR="003A497B" w:rsidRPr="00470C3B" w:rsidTr="003E1809">
        <w:trPr>
          <w:trHeight w:val="217"/>
        </w:trPr>
        <w:tc>
          <w:tcPr>
            <w:tcW w:w="1356" w:type="pct"/>
            <w:tcBorders>
              <w:left w:val="single" w:sz="4" w:space="0" w:color="000000"/>
            </w:tcBorders>
            <w:shd w:val="clear" w:color="auto" w:fill="A6A6A6" w:themeFill="background1" w:themeFillShade="A6"/>
            <w:tcMar>
              <w:top w:w="0" w:type="dxa"/>
              <w:left w:w="70" w:type="dxa"/>
              <w:bottom w:w="0" w:type="dxa"/>
              <w:right w:w="70" w:type="dxa"/>
            </w:tcMar>
            <w:vAlign w:val="bottom"/>
            <w:hideMark/>
          </w:tcPr>
          <w:p w:rsidR="003A497B" w:rsidRPr="00470C3B" w:rsidRDefault="003A497B" w:rsidP="003E1809">
            <w:pPr>
              <w:rPr>
                <w:rFonts w:ascii="Times New Roman" w:hAnsi="Times New Roman" w:cs="Times New Roman"/>
                <w:b/>
                <w:bCs/>
                <w:color w:val="000000"/>
                <w:sz w:val="14"/>
                <w:szCs w:val="14"/>
              </w:rPr>
            </w:pPr>
            <w:r w:rsidRPr="00470C3B">
              <w:rPr>
                <w:rFonts w:ascii="Times New Roman" w:hAnsi="Times New Roman" w:cs="Times New Roman"/>
                <w:b/>
                <w:bCs/>
                <w:color w:val="000000"/>
                <w:sz w:val="14"/>
                <w:szCs w:val="14"/>
              </w:rPr>
              <w:t> </w:t>
            </w:r>
          </w:p>
        </w:tc>
        <w:tc>
          <w:tcPr>
            <w:tcW w:w="607" w:type="pct"/>
            <w:tcBorders>
              <w:left w:val="single" w:sz="4" w:space="0" w:color="000000"/>
            </w:tcBorders>
            <w:shd w:val="clear" w:color="auto" w:fill="A6A6A6"/>
            <w:tcMar>
              <w:top w:w="0" w:type="dxa"/>
              <w:left w:w="70" w:type="dxa"/>
              <w:bottom w:w="0" w:type="dxa"/>
              <w:right w:w="70" w:type="dxa"/>
            </w:tcMar>
            <w:vAlign w:val="bottom"/>
            <w:hideMark/>
          </w:tcPr>
          <w:p w:rsidR="003A497B" w:rsidRPr="00470C3B" w:rsidRDefault="003A497B" w:rsidP="003E1809">
            <w:pPr>
              <w:jc w:val="center"/>
              <w:rPr>
                <w:rFonts w:ascii="Times New Roman" w:hAnsi="Times New Roman" w:cs="Times New Roman"/>
                <w:b/>
                <w:bCs/>
                <w:color w:val="000000"/>
                <w:sz w:val="14"/>
                <w:szCs w:val="14"/>
              </w:rPr>
            </w:pPr>
            <w:r w:rsidRPr="00470C3B">
              <w:rPr>
                <w:rFonts w:ascii="Times New Roman" w:hAnsi="Times New Roman" w:cs="Times New Roman"/>
                <w:b/>
                <w:bCs/>
                <w:color w:val="000000"/>
                <w:sz w:val="14"/>
                <w:szCs w:val="14"/>
              </w:rPr>
              <w:t> </w:t>
            </w:r>
          </w:p>
        </w:tc>
        <w:tc>
          <w:tcPr>
            <w:tcW w:w="607" w:type="pct"/>
            <w:tcBorders>
              <w:left w:val="single" w:sz="4" w:space="0" w:color="000000"/>
            </w:tcBorders>
            <w:shd w:val="clear" w:color="auto" w:fill="A6A6A6"/>
            <w:tcMar>
              <w:top w:w="0" w:type="dxa"/>
              <w:left w:w="70" w:type="dxa"/>
              <w:bottom w:w="0" w:type="dxa"/>
              <w:right w:w="70" w:type="dxa"/>
            </w:tcMar>
            <w:vAlign w:val="bottom"/>
            <w:hideMark/>
          </w:tcPr>
          <w:p w:rsidR="003A497B" w:rsidRPr="00470C3B" w:rsidRDefault="003A497B" w:rsidP="003E1809">
            <w:pPr>
              <w:jc w:val="center"/>
              <w:rPr>
                <w:rFonts w:ascii="Times New Roman" w:hAnsi="Times New Roman" w:cs="Times New Roman"/>
                <w:b/>
                <w:bCs/>
                <w:color w:val="000000"/>
                <w:sz w:val="14"/>
                <w:szCs w:val="14"/>
              </w:rPr>
            </w:pPr>
            <w:r w:rsidRPr="00470C3B">
              <w:rPr>
                <w:rFonts w:ascii="Times New Roman" w:hAnsi="Times New Roman" w:cs="Times New Roman"/>
                <w:b/>
                <w:bCs/>
                <w:color w:val="000000"/>
                <w:sz w:val="14"/>
                <w:szCs w:val="14"/>
              </w:rPr>
              <w:t> </w:t>
            </w:r>
          </w:p>
        </w:tc>
        <w:tc>
          <w:tcPr>
            <w:tcW w:w="608" w:type="pct"/>
            <w:tcBorders>
              <w:left w:val="single" w:sz="4" w:space="0" w:color="000000"/>
            </w:tcBorders>
            <w:shd w:val="clear" w:color="auto" w:fill="A6A6A6"/>
            <w:tcMar>
              <w:top w:w="0" w:type="dxa"/>
              <w:left w:w="70" w:type="dxa"/>
              <w:bottom w:w="0" w:type="dxa"/>
              <w:right w:w="70" w:type="dxa"/>
            </w:tcMar>
            <w:vAlign w:val="bottom"/>
            <w:hideMark/>
          </w:tcPr>
          <w:p w:rsidR="003A497B" w:rsidRPr="00470C3B" w:rsidRDefault="003A497B" w:rsidP="003E1809">
            <w:pPr>
              <w:jc w:val="center"/>
              <w:rPr>
                <w:rFonts w:ascii="Times New Roman" w:hAnsi="Times New Roman" w:cs="Times New Roman"/>
                <w:b/>
                <w:bCs/>
                <w:color w:val="000000"/>
                <w:sz w:val="14"/>
                <w:szCs w:val="14"/>
              </w:rPr>
            </w:pPr>
            <w:r w:rsidRPr="00470C3B">
              <w:rPr>
                <w:rFonts w:ascii="Times New Roman" w:hAnsi="Times New Roman" w:cs="Times New Roman"/>
                <w:b/>
                <w:bCs/>
                <w:color w:val="000000"/>
                <w:sz w:val="14"/>
                <w:szCs w:val="14"/>
              </w:rPr>
              <w:t>skutočnosť k</w:t>
            </w:r>
          </w:p>
        </w:tc>
        <w:tc>
          <w:tcPr>
            <w:tcW w:w="607" w:type="pct"/>
            <w:tcBorders>
              <w:left w:val="single" w:sz="4" w:space="0" w:color="000000"/>
            </w:tcBorders>
            <w:shd w:val="clear" w:color="auto" w:fill="A6A6A6"/>
            <w:tcMar>
              <w:top w:w="0" w:type="dxa"/>
              <w:left w:w="70" w:type="dxa"/>
              <w:bottom w:w="0" w:type="dxa"/>
              <w:right w:w="70" w:type="dxa"/>
            </w:tcMar>
            <w:vAlign w:val="bottom"/>
            <w:hideMark/>
          </w:tcPr>
          <w:p w:rsidR="003A497B" w:rsidRPr="00470C3B" w:rsidRDefault="003A497B" w:rsidP="003E1809">
            <w:pPr>
              <w:jc w:val="center"/>
              <w:rPr>
                <w:rFonts w:ascii="Times New Roman" w:hAnsi="Times New Roman" w:cs="Times New Roman"/>
                <w:b/>
                <w:bCs/>
                <w:color w:val="000000"/>
                <w:sz w:val="14"/>
                <w:szCs w:val="14"/>
              </w:rPr>
            </w:pPr>
            <w:r w:rsidRPr="00470C3B">
              <w:rPr>
                <w:rFonts w:ascii="Times New Roman" w:hAnsi="Times New Roman" w:cs="Times New Roman"/>
                <w:b/>
                <w:bCs/>
                <w:color w:val="000000"/>
                <w:sz w:val="14"/>
                <w:szCs w:val="14"/>
              </w:rPr>
              <w:t>skutočnosť k</w:t>
            </w:r>
          </w:p>
        </w:tc>
        <w:tc>
          <w:tcPr>
            <w:tcW w:w="607" w:type="pct"/>
            <w:tcBorders>
              <w:left w:val="single" w:sz="4" w:space="0" w:color="000000"/>
            </w:tcBorders>
            <w:shd w:val="clear" w:color="auto" w:fill="A6A6A6"/>
            <w:tcMar>
              <w:top w:w="0" w:type="dxa"/>
              <w:left w:w="70" w:type="dxa"/>
              <w:bottom w:w="0" w:type="dxa"/>
              <w:right w:w="70" w:type="dxa"/>
            </w:tcMar>
            <w:vAlign w:val="bottom"/>
            <w:hideMark/>
          </w:tcPr>
          <w:p w:rsidR="003A497B" w:rsidRPr="00470C3B" w:rsidRDefault="003A497B" w:rsidP="003E1809">
            <w:pPr>
              <w:jc w:val="center"/>
              <w:rPr>
                <w:rFonts w:ascii="Times New Roman" w:hAnsi="Times New Roman" w:cs="Times New Roman"/>
                <w:b/>
                <w:bCs/>
                <w:color w:val="000000"/>
                <w:sz w:val="14"/>
                <w:szCs w:val="14"/>
              </w:rPr>
            </w:pPr>
            <w:r w:rsidRPr="00470C3B">
              <w:rPr>
                <w:rFonts w:ascii="Times New Roman" w:hAnsi="Times New Roman" w:cs="Times New Roman"/>
                <w:b/>
                <w:bCs/>
                <w:color w:val="000000"/>
                <w:sz w:val="14"/>
                <w:szCs w:val="14"/>
              </w:rPr>
              <w:t>skutočnosť k</w:t>
            </w:r>
          </w:p>
        </w:tc>
        <w:tc>
          <w:tcPr>
            <w:tcW w:w="608" w:type="pct"/>
            <w:tcBorders>
              <w:left w:val="single" w:sz="4" w:space="0" w:color="000000"/>
              <w:right w:val="single" w:sz="4" w:space="0" w:color="000000"/>
            </w:tcBorders>
            <w:shd w:val="clear" w:color="auto" w:fill="A6A6A6"/>
            <w:tcMar>
              <w:top w:w="0" w:type="dxa"/>
              <w:left w:w="70" w:type="dxa"/>
              <w:bottom w:w="0" w:type="dxa"/>
              <w:right w:w="70" w:type="dxa"/>
            </w:tcMar>
            <w:vAlign w:val="bottom"/>
            <w:hideMark/>
          </w:tcPr>
          <w:p w:rsidR="003A497B" w:rsidRPr="00470C3B" w:rsidRDefault="003A497B" w:rsidP="003E1809">
            <w:pPr>
              <w:jc w:val="center"/>
              <w:rPr>
                <w:rFonts w:ascii="Times New Roman" w:hAnsi="Times New Roman" w:cs="Times New Roman"/>
                <w:b/>
                <w:bCs/>
                <w:color w:val="000000"/>
                <w:sz w:val="14"/>
                <w:szCs w:val="14"/>
              </w:rPr>
            </w:pPr>
            <w:r w:rsidRPr="00470C3B">
              <w:rPr>
                <w:rFonts w:ascii="Times New Roman" w:hAnsi="Times New Roman" w:cs="Times New Roman"/>
                <w:b/>
                <w:bCs/>
                <w:color w:val="000000"/>
                <w:sz w:val="14"/>
                <w:szCs w:val="14"/>
              </w:rPr>
              <w:t>skutočnosť k</w:t>
            </w:r>
          </w:p>
        </w:tc>
      </w:tr>
      <w:tr w:rsidR="003A497B" w:rsidRPr="00470C3B" w:rsidTr="003E1809">
        <w:trPr>
          <w:trHeight w:val="217"/>
        </w:trPr>
        <w:tc>
          <w:tcPr>
            <w:tcW w:w="1356" w:type="pct"/>
            <w:tcBorders>
              <w:left w:val="single" w:sz="4" w:space="0" w:color="000000"/>
              <w:bottom w:val="single" w:sz="4" w:space="0" w:color="000000"/>
            </w:tcBorders>
            <w:shd w:val="clear" w:color="auto" w:fill="A6A6A6"/>
            <w:tcMar>
              <w:top w:w="0" w:type="dxa"/>
              <w:left w:w="70" w:type="dxa"/>
              <w:bottom w:w="0" w:type="dxa"/>
              <w:right w:w="70" w:type="dxa"/>
            </w:tcMar>
            <w:vAlign w:val="bottom"/>
            <w:hideMark/>
          </w:tcPr>
          <w:p w:rsidR="003A497B" w:rsidRPr="00470C3B" w:rsidRDefault="003A497B" w:rsidP="003E1809">
            <w:pPr>
              <w:rPr>
                <w:rFonts w:ascii="Times New Roman" w:hAnsi="Times New Roman" w:cs="Times New Roman"/>
                <w:b/>
                <w:bCs/>
                <w:color w:val="000000"/>
                <w:sz w:val="14"/>
                <w:szCs w:val="14"/>
              </w:rPr>
            </w:pPr>
            <w:r w:rsidRPr="00470C3B">
              <w:rPr>
                <w:rFonts w:ascii="Times New Roman" w:hAnsi="Times New Roman" w:cs="Times New Roman"/>
                <w:b/>
                <w:bCs/>
                <w:color w:val="000000"/>
                <w:sz w:val="14"/>
                <w:szCs w:val="14"/>
              </w:rPr>
              <w:t> v eurách</w:t>
            </w:r>
          </w:p>
        </w:tc>
        <w:tc>
          <w:tcPr>
            <w:tcW w:w="607" w:type="pct"/>
            <w:tcBorders>
              <w:left w:val="single" w:sz="4" w:space="0" w:color="000000"/>
              <w:bottom w:val="single" w:sz="4" w:space="0" w:color="000000"/>
            </w:tcBorders>
            <w:shd w:val="clear" w:color="auto" w:fill="A6A6A6"/>
            <w:tcMar>
              <w:top w:w="0" w:type="dxa"/>
              <w:left w:w="70" w:type="dxa"/>
              <w:bottom w:w="0" w:type="dxa"/>
              <w:right w:w="70" w:type="dxa"/>
            </w:tcMar>
            <w:vAlign w:val="bottom"/>
            <w:hideMark/>
          </w:tcPr>
          <w:p w:rsidR="003A497B" w:rsidRPr="00470C3B" w:rsidRDefault="003A497B" w:rsidP="003E1809">
            <w:pPr>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31.12.2016</w:t>
            </w:r>
          </w:p>
        </w:tc>
        <w:tc>
          <w:tcPr>
            <w:tcW w:w="607" w:type="pct"/>
            <w:tcBorders>
              <w:left w:val="single" w:sz="4" w:space="0" w:color="000000"/>
              <w:bottom w:val="single" w:sz="4" w:space="0" w:color="000000"/>
            </w:tcBorders>
            <w:shd w:val="clear" w:color="auto" w:fill="A6A6A6"/>
            <w:tcMar>
              <w:top w:w="0" w:type="dxa"/>
              <w:left w:w="70" w:type="dxa"/>
              <w:bottom w:w="0" w:type="dxa"/>
              <w:right w:w="70" w:type="dxa"/>
            </w:tcMar>
            <w:vAlign w:val="bottom"/>
            <w:hideMark/>
          </w:tcPr>
          <w:p w:rsidR="003A497B" w:rsidRPr="00470C3B" w:rsidRDefault="003A497B" w:rsidP="003E1809">
            <w:pPr>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31.12.2017</w:t>
            </w:r>
          </w:p>
        </w:tc>
        <w:tc>
          <w:tcPr>
            <w:tcW w:w="608" w:type="pct"/>
            <w:tcBorders>
              <w:left w:val="single" w:sz="4" w:space="0" w:color="000000"/>
              <w:bottom w:val="single" w:sz="4" w:space="0" w:color="000000"/>
            </w:tcBorders>
            <w:shd w:val="clear" w:color="auto" w:fill="A6A6A6"/>
            <w:tcMar>
              <w:top w:w="0" w:type="dxa"/>
              <w:left w:w="70" w:type="dxa"/>
              <w:bottom w:w="0" w:type="dxa"/>
              <w:right w:w="70" w:type="dxa"/>
            </w:tcMar>
            <w:vAlign w:val="bottom"/>
            <w:hideMark/>
          </w:tcPr>
          <w:p w:rsidR="003A497B" w:rsidRPr="00470C3B" w:rsidRDefault="003A497B" w:rsidP="003E1809">
            <w:pPr>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31.12.2018</w:t>
            </w:r>
          </w:p>
        </w:tc>
        <w:tc>
          <w:tcPr>
            <w:tcW w:w="607" w:type="pct"/>
            <w:tcBorders>
              <w:left w:val="single" w:sz="4" w:space="0" w:color="000000"/>
              <w:bottom w:val="single" w:sz="4" w:space="0" w:color="000000"/>
            </w:tcBorders>
            <w:shd w:val="clear" w:color="auto" w:fill="A6A6A6"/>
            <w:tcMar>
              <w:top w:w="0" w:type="dxa"/>
              <w:left w:w="70" w:type="dxa"/>
              <w:bottom w:w="0" w:type="dxa"/>
              <w:right w:w="70" w:type="dxa"/>
            </w:tcMar>
            <w:vAlign w:val="bottom"/>
            <w:hideMark/>
          </w:tcPr>
          <w:p w:rsidR="003A497B" w:rsidRPr="00470C3B" w:rsidRDefault="003A497B" w:rsidP="003E1809">
            <w:pPr>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31.12.2019</w:t>
            </w:r>
          </w:p>
        </w:tc>
        <w:tc>
          <w:tcPr>
            <w:tcW w:w="607" w:type="pct"/>
            <w:tcBorders>
              <w:left w:val="single" w:sz="4" w:space="0" w:color="000000"/>
              <w:bottom w:val="single" w:sz="4" w:space="0" w:color="000000"/>
            </w:tcBorders>
            <w:shd w:val="clear" w:color="auto" w:fill="A6A6A6"/>
            <w:tcMar>
              <w:top w:w="0" w:type="dxa"/>
              <w:left w:w="70" w:type="dxa"/>
              <w:bottom w:w="0" w:type="dxa"/>
              <w:right w:w="70" w:type="dxa"/>
            </w:tcMar>
            <w:vAlign w:val="bottom"/>
            <w:hideMark/>
          </w:tcPr>
          <w:p w:rsidR="003A497B" w:rsidRPr="00470C3B" w:rsidRDefault="003A497B" w:rsidP="003E1809">
            <w:pPr>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31.12.2020</w:t>
            </w:r>
          </w:p>
        </w:tc>
        <w:tc>
          <w:tcPr>
            <w:tcW w:w="608" w:type="pct"/>
            <w:tcBorders>
              <w:left w:val="single" w:sz="4" w:space="0" w:color="000000"/>
              <w:bottom w:val="single" w:sz="4" w:space="0" w:color="000000"/>
              <w:right w:val="single" w:sz="4" w:space="0" w:color="000000"/>
            </w:tcBorders>
            <w:shd w:val="clear" w:color="auto" w:fill="A6A6A6"/>
            <w:tcMar>
              <w:top w:w="0" w:type="dxa"/>
              <w:left w:w="70" w:type="dxa"/>
              <w:bottom w:w="0" w:type="dxa"/>
              <w:right w:w="70" w:type="dxa"/>
            </w:tcMar>
            <w:vAlign w:val="bottom"/>
            <w:hideMark/>
          </w:tcPr>
          <w:p w:rsidR="003A497B" w:rsidRPr="00470C3B" w:rsidRDefault="003A497B" w:rsidP="003E1809">
            <w:pPr>
              <w:jc w:val="center"/>
              <w:rPr>
                <w:rFonts w:ascii="Times New Roman" w:hAnsi="Times New Roman" w:cs="Times New Roman"/>
                <w:b/>
                <w:bCs/>
                <w:color w:val="000000"/>
                <w:sz w:val="14"/>
                <w:szCs w:val="14"/>
              </w:rPr>
            </w:pPr>
            <w:r>
              <w:rPr>
                <w:rFonts w:ascii="Times New Roman" w:hAnsi="Times New Roman" w:cs="Times New Roman"/>
                <w:b/>
                <w:bCs/>
                <w:color w:val="000000"/>
                <w:sz w:val="14"/>
                <w:szCs w:val="14"/>
              </w:rPr>
              <w:t>31.12.2021</w:t>
            </w:r>
          </w:p>
        </w:tc>
      </w:tr>
      <w:tr w:rsidR="003A497B" w:rsidRPr="008B2ACC" w:rsidTr="003E1809">
        <w:trPr>
          <w:trHeight w:val="255"/>
        </w:trPr>
        <w:tc>
          <w:tcPr>
            <w:tcW w:w="135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3A497B" w:rsidRPr="00470C3B" w:rsidRDefault="003A497B" w:rsidP="003E1809">
            <w:pPr>
              <w:rPr>
                <w:rFonts w:ascii="Times New Roman" w:hAnsi="Times New Roman" w:cs="Times New Roman"/>
                <w:color w:val="000000"/>
                <w:sz w:val="14"/>
                <w:szCs w:val="14"/>
              </w:rPr>
            </w:pPr>
            <w:r>
              <w:rPr>
                <w:rFonts w:ascii="Times New Roman" w:hAnsi="Times New Roman" w:cs="Times New Roman"/>
                <w:color w:val="000000"/>
                <w:sz w:val="14"/>
                <w:szCs w:val="14"/>
              </w:rPr>
              <w:t xml:space="preserve">Prostriedky na samostatnom účte </w:t>
            </w:r>
          </w:p>
        </w:tc>
        <w:tc>
          <w:tcPr>
            <w:tcW w:w="607" w:type="pct"/>
            <w:tcBorders>
              <w:top w:val="single" w:sz="4" w:space="0" w:color="000000"/>
              <w:bottom w:val="single" w:sz="4" w:space="0" w:color="000000"/>
              <w:right w:val="single" w:sz="4" w:space="0" w:color="000000"/>
            </w:tcBorders>
            <w:tcMar>
              <w:top w:w="0" w:type="dxa"/>
              <w:left w:w="70" w:type="dxa"/>
              <w:bottom w:w="0" w:type="dxa"/>
              <w:right w:w="70" w:type="dxa"/>
            </w:tcMar>
            <w:vAlign w:val="bottom"/>
          </w:tcPr>
          <w:p w:rsidR="003A497B" w:rsidRPr="00470C3B"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11 268 339</w:t>
            </w:r>
          </w:p>
        </w:tc>
        <w:tc>
          <w:tcPr>
            <w:tcW w:w="607" w:type="pct"/>
            <w:tcBorders>
              <w:top w:val="single" w:sz="4" w:space="0" w:color="000000"/>
              <w:bottom w:val="single" w:sz="4" w:space="0" w:color="000000"/>
              <w:right w:val="single" w:sz="4" w:space="0" w:color="000000"/>
            </w:tcBorders>
            <w:tcMar>
              <w:top w:w="0" w:type="dxa"/>
              <w:left w:w="70" w:type="dxa"/>
              <w:bottom w:w="0" w:type="dxa"/>
              <w:right w:w="70" w:type="dxa"/>
            </w:tcMar>
            <w:vAlign w:val="bottom"/>
          </w:tcPr>
          <w:p w:rsidR="003A497B" w:rsidRPr="00470C3B"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11 386 894</w:t>
            </w:r>
          </w:p>
        </w:tc>
        <w:tc>
          <w:tcPr>
            <w:tcW w:w="608" w:type="pct"/>
            <w:tcBorders>
              <w:top w:val="single" w:sz="4" w:space="0" w:color="000000"/>
              <w:bottom w:val="single" w:sz="4" w:space="0" w:color="000000"/>
              <w:right w:val="single" w:sz="4" w:space="0" w:color="000000"/>
            </w:tcBorders>
            <w:tcMar>
              <w:top w:w="0" w:type="dxa"/>
              <w:left w:w="70" w:type="dxa"/>
              <w:bottom w:w="0" w:type="dxa"/>
              <w:right w:w="70" w:type="dxa"/>
            </w:tcMar>
            <w:vAlign w:val="bottom"/>
          </w:tcPr>
          <w:p w:rsidR="003A497B" w:rsidRPr="00470C3B"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6 912 554</w:t>
            </w:r>
          </w:p>
        </w:tc>
        <w:tc>
          <w:tcPr>
            <w:tcW w:w="607" w:type="pct"/>
            <w:tcBorders>
              <w:top w:val="single" w:sz="4" w:space="0" w:color="000000"/>
              <w:bottom w:val="single" w:sz="4" w:space="0" w:color="000000"/>
              <w:right w:val="single" w:sz="4" w:space="0" w:color="000000"/>
            </w:tcBorders>
            <w:tcMar>
              <w:top w:w="0" w:type="dxa"/>
              <w:left w:w="70" w:type="dxa"/>
              <w:bottom w:w="0" w:type="dxa"/>
              <w:right w:w="70" w:type="dxa"/>
            </w:tcMar>
            <w:vAlign w:val="bottom"/>
          </w:tcPr>
          <w:p w:rsidR="003A497B" w:rsidRPr="00470C3B"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7 227 110</w:t>
            </w:r>
          </w:p>
        </w:tc>
        <w:tc>
          <w:tcPr>
            <w:tcW w:w="607" w:type="pct"/>
            <w:tcBorders>
              <w:top w:val="single" w:sz="4" w:space="0" w:color="000000"/>
              <w:bottom w:val="single" w:sz="4" w:space="0" w:color="000000"/>
              <w:right w:val="single" w:sz="4" w:space="0" w:color="000000"/>
            </w:tcBorders>
            <w:tcMar>
              <w:top w:w="0" w:type="dxa"/>
              <w:left w:w="70" w:type="dxa"/>
              <w:bottom w:w="0" w:type="dxa"/>
              <w:right w:w="70" w:type="dxa"/>
            </w:tcMar>
            <w:vAlign w:val="bottom"/>
          </w:tcPr>
          <w:p w:rsidR="003A497B" w:rsidRPr="00470C3B"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6 530 410</w:t>
            </w:r>
          </w:p>
        </w:tc>
        <w:tc>
          <w:tcPr>
            <w:tcW w:w="608" w:type="pct"/>
            <w:tcBorders>
              <w:top w:val="single" w:sz="4" w:space="0" w:color="000000"/>
              <w:bottom w:val="single" w:sz="4" w:space="0" w:color="000000"/>
              <w:right w:val="single" w:sz="4" w:space="0" w:color="000000"/>
            </w:tcBorders>
            <w:tcMar>
              <w:top w:w="0" w:type="dxa"/>
              <w:left w:w="70" w:type="dxa"/>
              <w:bottom w:w="0" w:type="dxa"/>
              <w:right w:w="70" w:type="dxa"/>
            </w:tcMar>
            <w:vAlign w:val="bottom"/>
          </w:tcPr>
          <w:p w:rsidR="003A497B" w:rsidRPr="008B2ACC" w:rsidRDefault="003A497B" w:rsidP="003E1809">
            <w:pPr>
              <w:jc w:val="right"/>
              <w:rPr>
                <w:rFonts w:ascii="Times New Roman" w:hAnsi="Times New Roman" w:cs="Times New Roman"/>
                <w:color w:val="000000"/>
                <w:sz w:val="14"/>
                <w:szCs w:val="14"/>
              </w:rPr>
            </w:pPr>
            <w:r>
              <w:rPr>
                <w:rFonts w:ascii="Times New Roman" w:hAnsi="Times New Roman" w:cs="Times New Roman"/>
                <w:color w:val="000000"/>
                <w:sz w:val="14"/>
                <w:szCs w:val="14"/>
              </w:rPr>
              <w:t>5 550 410</w:t>
            </w:r>
          </w:p>
        </w:tc>
      </w:tr>
    </w:tbl>
    <w:p w:rsidR="003A497B" w:rsidRPr="00912A7B" w:rsidRDefault="003A497B" w:rsidP="003A497B">
      <w:pPr>
        <w:pStyle w:val="Nadpis5"/>
        <w:pBdr>
          <w:bottom w:val="single" w:sz="4" w:space="1" w:color="auto"/>
        </w:pBdr>
        <w:ind w:left="0"/>
        <w:rPr>
          <w:i w:val="0"/>
          <w:sz w:val="24"/>
          <w:lang w:eastAsia="sk-SK"/>
        </w:rPr>
      </w:pPr>
      <w:bookmarkStart w:id="301" w:name="_Toc494470123"/>
      <w:bookmarkStart w:id="302" w:name="_Toc494472299"/>
      <w:bookmarkStart w:id="303" w:name="_Toc526267724"/>
      <w:r w:rsidRPr="00912A7B">
        <w:rPr>
          <w:i w:val="0"/>
          <w:sz w:val="24"/>
          <w:lang w:eastAsia="sk-SK"/>
        </w:rPr>
        <w:t>Slovenská akadémia vied</w:t>
      </w:r>
      <w:bookmarkEnd w:id="301"/>
      <w:bookmarkEnd w:id="302"/>
      <w:bookmarkEnd w:id="303"/>
    </w:p>
    <w:p w:rsidR="003A497B" w:rsidRPr="004A3627" w:rsidRDefault="003A497B" w:rsidP="003A497B">
      <w:pPr>
        <w:rPr>
          <w:highlight w:val="yellow"/>
        </w:rPr>
      </w:pPr>
    </w:p>
    <w:tbl>
      <w:tblPr>
        <w:tblW w:w="5000" w:type="pct"/>
        <w:tblCellMar>
          <w:left w:w="70" w:type="dxa"/>
          <w:right w:w="70" w:type="dxa"/>
        </w:tblCellMar>
        <w:tblLook w:val="04A0" w:firstRow="1" w:lastRow="0" w:firstColumn="1" w:lastColumn="0" w:noHBand="0" w:noVBand="1"/>
      </w:tblPr>
      <w:tblGrid>
        <w:gridCol w:w="3517"/>
        <w:gridCol w:w="793"/>
        <w:gridCol w:w="792"/>
        <w:gridCol w:w="792"/>
        <w:gridCol w:w="792"/>
        <w:gridCol w:w="792"/>
        <w:gridCol w:w="792"/>
        <w:gridCol w:w="792"/>
      </w:tblGrid>
      <w:tr w:rsidR="003A497B" w:rsidRPr="00C84D85" w:rsidTr="003E1809">
        <w:trPr>
          <w:trHeight w:hRule="exact" w:val="255"/>
        </w:trPr>
        <w:tc>
          <w:tcPr>
            <w:tcW w:w="1939" w:type="pct"/>
            <w:tcBorders>
              <w:top w:val="single" w:sz="4" w:space="0" w:color="auto"/>
              <w:left w:val="single" w:sz="4" w:space="0" w:color="auto"/>
              <w:bottom w:val="single" w:sz="4" w:space="0" w:color="auto"/>
              <w:right w:val="single" w:sz="4" w:space="0" w:color="auto"/>
            </w:tcBorders>
            <w:shd w:val="pct35" w:color="000000" w:fill="auto"/>
            <w:noWrap/>
            <w:vAlign w:val="center"/>
            <w:hideMark/>
          </w:tcPr>
          <w:p w:rsidR="003A497B" w:rsidRPr="00C84D85" w:rsidRDefault="003A497B" w:rsidP="003E1809">
            <w:pPr>
              <w:rPr>
                <w:rFonts w:ascii="Times New Roman" w:hAnsi="Times New Roman" w:cs="Times New Roman"/>
                <w:b/>
                <w:bCs/>
                <w:sz w:val="14"/>
                <w:szCs w:val="14"/>
                <w:lang w:eastAsia="sk-SK"/>
              </w:rPr>
            </w:pPr>
            <w:r w:rsidRPr="00C84D85">
              <w:rPr>
                <w:rFonts w:ascii="Times New Roman" w:hAnsi="Times New Roman" w:cs="Times New Roman"/>
                <w:b/>
                <w:bCs/>
                <w:sz w:val="14"/>
                <w:szCs w:val="14"/>
                <w:lang w:eastAsia="sk-SK"/>
              </w:rPr>
              <w:t>v eurách</w:t>
            </w:r>
          </w:p>
        </w:tc>
        <w:tc>
          <w:tcPr>
            <w:tcW w:w="437"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C84D85" w:rsidRDefault="003A497B" w:rsidP="003E1809">
            <w:pPr>
              <w:jc w:val="center"/>
              <w:rPr>
                <w:rFonts w:ascii="Times New Roman" w:hAnsi="Times New Roman" w:cs="Times New Roman"/>
                <w:b/>
                <w:bCs/>
                <w:sz w:val="14"/>
                <w:szCs w:val="14"/>
                <w:lang w:eastAsia="sk-SK"/>
              </w:rPr>
            </w:pPr>
            <w:r w:rsidRPr="00C84D85">
              <w:rPr>
                <w:rFonts w:ascii="Times New Roman" w:hAnsi="Times New Roman" w:cs="Times New Roman"/>
                <w:b/>
                <w:bCs/>
                <w:sz w:val="14"/>
                <w:szCs w:val="14"/>
                <w:lang w:eastAsia="sk-SK"/>
              </w:rPr>
              <w:t>2016 S</w:t>
            </w:r>
          </w:p>
        </w:tc>
        <w:tc>
          <w:tcPr>
            <w:tcW w:w="437"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C84D85" w:rsidRDefault="003A497B" w:rsidP="003E1809">
            <w:pPr>
              <w:jc w:val="center"/>
              <w:rPr>
                <w:rFonts w:ascii="Times New Roman" w:hAnsi="Times New Roman" w:cs="Times New Roman"/>
                <w:b/>
                <w:bCs/>
                <w:sz w:val="14"/>
                <w:szCs w:val="14"/>
                <w:lang w:eastAsia="sk-SK"/>
              </w:rPr>
            </w:pPr>
            <w:r w:rsidRPr="00C84D85">
              <w:rPr>
                <w:rFonts w:ascii="Times New Roman" w:hAnsi="Times New Roman" w:cs="Times New Roman"/>
                <w:b/>
                <w:bCs/>
                <w:sz w:val="14"/>
                <w:szCs w:val="14"/>
                <w:lang w:eastAsia="sk-SK"/>
              </w:rPr>
              <w:t>2017 S</w:t>
            </w:r>
          </w:p>
        </w:tc>
        <w:tc>
          <w:tcPr>
            <w:tcW w:w="437"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C84D85" w:rsidRDefault="003A497B" w:rsidP="003E1809">
            <w:pPr>
              <w:jc w:val="center"/>
              <w:rPr>
                <w:rFonts w:ascii="Times New Roman" w:hAnsi="Times New Roman" w:cs="Times New Roman"/>
                <w:b/>
                <w:bCs/>
                <w:sz w:val="14"/>
                <w:szCs w:val="14"/>
                <w:lang w:eastAsia="sk-SK"/>
              </w:rPr>
            </w:pPr>
            <w:r w:rsidRPr="00C84D85">
              <w:rPr>
                <w:rFonts w:ascii="Times New Roman" w:hAnsi="Times New Roman" w:cs="Times New Roman"/>
                <w:b/>
                <w:bCs/>
                <w:sz w:val="14"/>
                <w:szCs w:val="14"/>
                <w:lang w:eastAsia="sk-SK"/>
              </w:rPr>
              <w:t>2018 R</w:t>
            </w:r>
          </w:p>
        </w:tc>
        <w:tc>
          <w:tcPr>
            <w:tcW w:w="437"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C84D85" w:rsidRDefault="003A497B" w:rsidP="003E1809">
            <w:pPr>
              <w:jc w:val="center"/>
              <w:rPr>
                <w:rFonts w:ascii="Times New Roman" w:hAnsi="Times New Roman" w:cs="Times New Roman"/>
                <w:b/>
                <w:bCs/>
                <w:sz w:val="14"/>
                <w:szCs w:val="14"/>
                <w:lang w:eastAsia="sk-SK"/>
              </w:rPr>
            </w:pPr>
            <w:r w:rsidRPr="00C84D85">
              <w:rPr>
                <w:rFonts w:ascii="Times New Roman" w:hAnsi="Times New Roman" w:cs="Times New Roman"/>
                <w:b/>
                <w:bCs/>
                <w:sz w:val="14"/>
                <w:szCs w:val="14"/>
                <w:lang w:eastAsia="sk-SK"/>
              </w:rPr>
              <w:t>2018 OS</w:t>
            </w:r>
          </w:p>
        </w:tc>
        <w:tc>
          <w:tcPr>
            <w:tcW w:w="437"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C84D85" w:rsidRDefault="003A497B" w:rsidP="003E1809">
            <w:pPr>
              <w:jc w:val="center"/>
              <w:rPr>
                <w:rFonts w:ascii="Times New Roman" w:hAnsi="Times New Roman" w:cs="Times New Roman"/>
                <w:b/>
                <w:bCs/>
                <w:sz w:val="14"/>
                <w:szCs w:val="14"/>
                <w:lang w:eastAsia="sk-SK"/>
              </w:rPr>
            </w:pPr>
            <w:r w:rsidRPr="00C84D85">
              <w:rPr>
                <w:rFonts w:ascii="Times New Roman" w:hAnsi="Times New Roman" w:cs="Times New Roman"/>
                <w:b/>
                <w:bCs/>
                <w:sz w:val="14"/>
                <w:szCs w:val="14"/>
                <w:lang w:eastAsia="sk-SK"/>
              </w:rPr>
              <w:t>2019 N</w:t>
            </w:r>
          </w:p>
        </w:tc>
        <w:tc>
          <w:tcPr>
            <w:tcW w:w="437"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C84D85" w:rsidRDefault="003A497B" w:rsidP="003E1809">
            <w:pPr>
              <w:jc w:val="center"/>
              <w:rPr>
                <w:rFonts w:ascii="Times New Roman" w:hAnsi="Times New Roman" w:cs="Times New Roman"/>
                <w:b/>
                <w:bCs/>
                <w:sz w:val="14"/>
                <w:szCs w:val="14"/>
                <w:lang w:eastAsia="sk-SK"/>
              </w:rPr>
            </w:pPr>
            <w:r w:rsidRPr="00C84D85">
              <w:rPr>
                <w:rFonts w:ascii="Times New Roman" w:hAnsi="Times New Roman" w:cs="Times New Roman"/>
                <w:b/>
                <w:bCs/>
                <w:sz w:val="14"/>
                <w:szCs w:val="14"/>
                <w:lang w:eastAsia="sk-SK"/>
              </w:rPr>
              <w:t>2020 N</w:t>
            </w:r>
          </w:p>
        </w:tc>
        <w:tc>
          <w:tcPr>
            <w:tcW w:w="437"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C84D85" w:rsidRDefault="003A497B" w:rsidP="003E1809">
            <w:pPr>
              <w:jc w:val="center"/>
              <w:rPr>
                <w:rFonts w:ascii="Times New Roman" w:hAnsi="Times New Roman" w:cs="Times New Roman"/>
                <w:b/>
                <w:bCs/>
                <w:sz w:val="14"/>
                <w:szCs w:val="14"/>
                <w:lang w:eastAsia="sk-SK"/>
              </w:rPr>
            </w:pPr>
            <w:r w:rsidRPr="00C84D85">
              <w:rPr>
                <w:rFonts w:ascii="Times New Roman" w:hAnsi="Times New Roman" w:cs="Times New Roman"/>
                <w:b/>
                <w:bCs/>
                <w:sz w:val="14"/>
                <w:szCs w:val="14"/>
                <w:lang w:eastAsia="sk-SK"/>
              </w:rPr>
              <w:t>2021 N</w:t>
            </w:r>
          </w:p>
        </w:tc>
      </w:tr>
      <w:tr w:rsidR="003A497B" w:rsidRPr="00C84D85" w:rsidTr="003E1809">
        <w:trPr>
          <w:trHeight w:hRule="exact" w:val="255"/>
        </w:trPr>
        <w:tc>
          <w:tcPr>
            <w:tcW w:w="1939" w:type="pct"/>
            <w:tcBorders>
              <w:top w:val="single" w:sz="4" w:space="0" w:color="auto"/>
              <w:left w:val="single" w:sz="4" w:space="0" w:color="auto"/>
              <w:bottom w:val="single" w:sz="4" w:space="0" w:color="auto"/>
              <w:right w:val="single" w:sz="4" w:space="0" w:color="auto"/>
            </w:tcBorders>
            <w:shd w:val="pct25" w:color="auto" w:fill="auto"/>
            <w:noWrap/>
            <w:vAlign w:val="bottom"/>
            <w:hideMark/>
          </w:tcPr>
          <w:p w:rsidR="003A497B" w:rsidRPr="00C84D85" w:rsidRDefault="003A497B" w:rsidP="003E1809">
            <w:pPr>
              <w:rPr>
                <w:rFonts w:ascii="Times New Roman" w:hAnsi="Times New Roman" w:cs="Times New Roman"/>
                <w:b/>
                <w:bCs/>
                <w:sz w:val="14"/>
                <w:szCs w:val="14"/>
                <w:lang w:eastAsia="sk-SK"/>
              </w:rPr>
            </w:pPr>
            <w:r w:rsidRPr="00C84D85">
              <w:rPr>
                <w:rFonts w:ascii="Times New Roman" w:hAnsi="Times New Roman" w:cs="Times New Roman"/>
                <w:b/>
                <w:bCs/>
                <w:sz w:val="14"/>
                <w:szCs w:val="14"/>
                <w:lang w:eastAsia="sk-SK"/>
              </w:rPr>
              <w:t>Zdroje príslušnej kapitoly vrátane 72e</w:t>
            </w:r>
          </w:p>
        </w:tc>
        <w:tc>
          <w:tcPr>
            <w:tcW w:w="437" w:type="pct"/>
            <w:tcBorders>
              <w:top w:val="single" w:sz="4" w:space="0" w:color="auto"/>
              <w:left w:val="nil"/>
              <w:bottom w:val="single" w:sz="4" w:space="0" w:color="auto"/>
              <w:right w:val="single" w:sz="4" w:space="0" w:color="auto"/>
            </w:tcBorders>
            <w:shd w:val="pct25" w:color="auto" w:fill="auto"/>
            <w:noWrap/>
            <w:vAlign w:val="bottom"/>
            <w:hideMark/>
          </w:tcPr>
          <w:p w:rsidR="003A497B" w:rsidRPr="00C84D85" w:rsidRDefault="003A497B" w:rsidP="003E1809">
            <w:pPr>
              <w:jc w:val="right"/>
              <w:rPr>
                <w:rFonts w:ascii="Times New Roman" w:hAnsi="Times New Roman" w:cs="Times New Roman"/>
                <w:b/>
                <w:bCs/>
                <w:sz w:val="14"/>
                <w:szCs w:val="14"/>
                <w:lang w:eastAsia="sk-SK"/>
              </w:rPr>
            </w:pPr>
            <w:r w:rsidRPr="00C84D85">
              <w:rPr>
                <w:rFonts w:ascii="Times New Roman" w:hAnsi="Times New Roman" w:cs="Times New Roman"/>
                <w:b/>
                <w:bCs/>
                <w:sz w:val="14"/>
                <w:szCs w:val="14"/>
                <w:lang w:eastAsia="sk-SK"/>
              </w:rPr>
              <w:t>65 384 371</w:t>
            </w:r>
          </w:p>
        </w:tc>
        <w:tc>
          <w:tcPr>
            <w:tcW w:w="437" w:type="pct"/>
            <w:tcBorders>
              <w:top w:val="single" w:sz="4" w:space="0" w:color="auto"/>
              <w:left w:val="nil"/>
              <w:bottom w:val="single" w:sz="4" w:space="0" w:color="auto"/>
              <w:right w:val="single" w:sz="4" w:space="0" w:color="auto"/>
            </w:tcBorders>
            <w:shd w:val="pct25" w:color="auto" w:fill="auto"/>
            <w:noWrap/>
            <w:vAlign w:val="bottom"/>
            <w:hideMark/>
          </w:tcPr>
          <w:p w:rsidR="003A497B" w:rsidRPr="00C84D85" w:rsidRDefault="003A497B" w:rsidP="003E1809">
            <w:pPr>
              <w:jc w:val="right"/>
              <w:rPr>
                <w:rFonts w:ascii="Times New Roman" w:hAnsi="Times New Roman" w:cs="Times New Roman"/>
                <w:b/>
                <w:bCs/>
                <w:sz w:val="14"/>
                <w:szCs w:val="14"/>
                <w:lang w:eastAsia="sk-SK"/>
              </w:rPr>
            </w:pPr>
            <w:r w:rsidRPr="00C84D85">
              <w:rPr>
                <w:rFonts w:ascii="Times New Roman" w:hAnsi="Times New Roman" w:cs="Times New Roman"/>
                <w:b/>
                <w:bCs/>
                <w:sz w:val="14"/>
                <w:szCs w:val="14"/>
                <w:lang w:eastAsia="sk-SK"/>
              </w:rPr>
              <w:t>66 587 184</w:t>
            </w:r>
          </w:p>
        </w:tc>
        <w:tc>
          <w:tcPr>
            <w:tcW w:w="437" w:type="pct"/>
            <w:tcBorders>
              <w:top w:val="single" w:sz="4" w:space="0" w:color="auto"/>
              <w:left w:val="nil"/>
              <w:bottom w:val="single" w:sz="4" w:space="0" w:color="auto"/>
              <w:right w:val="single" w:sz="4" w:space="0" w:color="auto"/>
            </w:tcBorders>
            <w:shd w:val="pct25" w:color="auto" w:fill="auto"/>
            <w:noWrap/>
            <w:vAlign w:val="bottom"/>
            <w:hideMark/>
          </w:tcPr>
          <w:p w:rsidR="003A497B" w:rsidRPr="00C84D85" w:rsidRDefault="003A497B" w:rsidP="003E1809">
            <w:pPr>
              <w:jc w:val="right"/>
              <w:rPr>
                <w:rFonts w:ascii="Times New Roman" w:hAnsi="Times New Roman" w:cs="Times New Roman"/>
                <w:b/>
                <w:bCs/>
                <w:sz w:val="14"/>
                <w:szCs w:val="14"/>
                <w:lang w:eastAsia="sk-SK"/>
              </w:rPr>
            </w:pPr>
            <w:r w:rsidRPr="00C84D85">
              <w:rPr>
                <w:rFonts w:ascii="Times New Roman" w:hAnsi="Times New Roman" w:cs="Times New Roman"/>
                <w:b/>
                <w:bCs/>
                <w:sz w:val="14"/>
                <w:szCs w:val="14"/>
                <w:lang w:eastAsia="sk-SK"/>
              </w:rPr>
              <w:t>67 102 604</w:t>
            </w:r>
          </w:p>
        </w:tc>
        <w:tc>
          <w:tcPr>
            <w:tcW w:w="437" w:type="pct"/>
            <w:tcBorders>
              <w:top w:val="single" w:sz="4" w:space="0" w:color="auto"/>
              <w:left w:val="nil"/>
              <w:bottom w:val="single" w:sz="4" w:space="0" w:color="auto"/>
              <w:right w:val="single" w:sz="4" w:space="0" w:color="auto"/>
            </w:tcBorders>
            <w:shd w:val="pct25" w:color="auto" w:fill="auto"/>
            <w:noWrap/>
            <w:vAlign w:val="bottom"/>
            <w:hideMark/>
          </w:tcPr>
          <w:p w:rsidR="003A497B" w:rsidRPr="00C84D85" w:rsidRDefault="003A497B" w:rsidP="003E1809">
            <w:pPr>
              <w:jc w:val="right"/>
              <w:rPr>
                <w:rFonts w:ascii="Times New Roman" w:hAnsi="Times New Roman" w:cs="Times New Roman"/>
                <w:b/>
                <w:bCs/>
                <w:sz w:val="14"/>
                <w:szCs w:val="14"/>
                <w:lang w:eastAsia="sk-SK"/>
              </w:rPr>
            </w:pPr>
            <w:r w:rsidRPr="00C84D85">
              <w:rPr>
                <w:rFonts w:ascii="Times New Roman" w:hAnsi="Times New Roman" w:cs="Times New Roman"/>
                <w:b/>
                <w:bCs/>
                <w:sz w:val="14"/>
                <w:szCs w:val="14"/>
                <w:lang w:eastAsia="sk-SK"/>
              </w:rPr>
              <w:t>72 195 065</w:t>
            </w:r>
          </w:p>
        </w:tc>
        <w:tc>
          <w:tcPr>
            <w:tcW w:w="437" w:type="pct"/>
            <w:tcBorders>
              <w:top w:val="single" w:sz="4" w:space="0" w:color="auto"/>
              <w:left w:val="nil"/>
              <w:bottom w:val="single" w:sz="4" w:space="0" w:color="auto"/>
              <w:right w:val="single" w:sz="4" w:space="0" w:color="auto"/>
            </w:tcBorders>
            <w:shd w:val="pct25" w:color="auto" w:fill="auto"/>
            <w:noWrap/>
            <w:vAlign w:val="bottom"/>
            <w:hideMark/>
          </w:tcPr>
          <w:p w:rsidR="003A497B" w:rsidRPr="00C84D85" w:rsidRDefault="003A497B" w:rsidP="003E1809">
            <w:pPr>
              <w:jc w:val="right"/>
              <w:rPr>
                <w:rFonts w:ascii="Times New Roman" w:hAnsi="Times New Roman" w:cs="Times New Roman"/>
                <w:b/>
                <w:bCs/>
                <w:sz w:val="14"/>
                <w:szCs w:val="14"/>
                <w:lang w:eastAsia="sk-SK"/>
              </w:rPr>
            </w:pPr>
            <w:r w:rsidRPr="00C84D85">
              <w:rPr>
                <w:rFonts w:ascii="Times New Roman" w:hAnsi="Times New Roman" w:cs="Times New Roman"/>
                <w:b/>
                <w:bCs/>
                <w:sz w:val="14"/>
                <w:szCs w:val="14"/>
                <w:lang w:eastAsia="sk-SK"/>
              </w:rPr>
              <w:t>69 413 550</w:t>
            </w:r>
          </w:p>
        </w:tc>
        <w:tc>
          <w:tcPr>
            <w:tcW w:w="437" w:type="pct"/>
            <w:tcBorders>
              <w:top w:val="single" w:sz="4" w:space="0" w:color="auto"/>
              <w:left w:val="nil"/>
              <w:bottom w:val="single" w:sz="4" w:space="0" w:color="auto"/>
              <w:right w:val="single" w:sz="4" w:space="0" w:color="auto"/>
            </w:tcBorders>
            <w:shd w:val="pct25" w:color="auto" w:fill="auto"/>
            <w:noWrap/>
            <w:vAlign w:val="bottom"/>
            <w:hideMark/>
          </w:tcPr>
          <w:p w:rsidR="003A497B" w:rsidRPr="00C84D85" w:rsidRDefault="003A497B" w:rsidP="003E1809">
            <w:pPr>
              <w:jc w:val="right"/>
              <w:rPr>
                <w:rFonts w:ascii="Times New Roman" w:hAnsi="Times New Roman" w:cs="Times New Roman"/>
                <w:b/>
                <w:bCs/>
                <w:sz w:val="14"/>
                <w:szCs w:val="14"/>
                <w:lang w:eastAsia="sk-SK"/>
              </w:rPr>
            </w:pPr>
            <w:r w:rsidRPr="00C84D85">
              <w:rPr>
                <w:rFonts w:ascii="Times New Roman" w:hAnsi="Times New Roman" w:cs="Times New Roman"/>
                <w:b/>
                <w:bCs/>
                <w:sz w:val="14"/>
                <w:szCs w:val="14"/>
                <w:lang w:eastAsia="sk-SK"/>
              </w:rPr>
              <w:t>69 413 550</w:t>
            </w:r>
          </w:p>
        </w:tc>
        <w:tc>
          <w:tcPr>
            <w:tcW w:w="437" w:type="pct"/>
            <w:tcBorders>
              <w:top w:val="single" w:sz="4" w:space="0" w:color="auto"/>
              <w:left w:val="nil"/>
              <w:bottom w:val="single" w:sz="4" w:space="0" w:color="auto"/>
              <w:right w:val="single" w:sz="4" w:space="0" w:color="auto"/>
            </w:tcBorders>
            <w:shd w:val="pct25" w:color="auto" w:fill="auto"/>
            <w:noWrap/>
            <w:vAlign w:val="bottom"/>
            <w:hideMark/>
          </w:tcPr>
          <w:p w:rsidR="003A497B" w:rsidRPr="00C84D85" w:rsidRDefault="003A497B" w:rsidP="003E1809">
            <w:pPr>
              <w:jc w:val="right"/>
              <w:rPr>
                <w:rFonts w:ascii="Times New Roman" w:hAnsi="Times New Roman" w:cs="Times New Roman"/>
                <w:b/>
                <w:bCs/>
                <w:sz w:val="14"/>
                <w:szCs w:val="14"/>
                <w:lang w:eastAsia="sk-SK"/>
              </w:rPr>
            </w:pPr>
            <w:r w:rsidRPr="00C84D85">
              <w:rPr>
                <w:rFonts w:ascii="Times New Roman" w:hAnsi="Times New Roman" w:cs="Times New Roman"/>
                <w:b/>
                <w:bCs/>
                <w:sz w:val="14"/>
                <w:szCs w:val="14"/>
                <w:lang w:eastAsia="sk-SK"/>
              </w:rPr>
              <w:t>69 413 550</w:t>
            </w:r>
          </w:p>
        </w:tc>
      </w:tr>
      <w:tr w:rsidR="003A497B" w:rsidRPr="00C84D85" w:rsidTr="003E1809">
        <w:trPr>
          <w:trHeight w:hRule="exact" w:val="255"/>
        </w:trPr>
        <w:tc>
          <w:tcPr>
            <w:tcW w:w="1939" w:type="pct"/>
            <w:tcBorders>
              <w:top w:val="single" w:sz="4" w:space="0" w:color="auto"/>
              <w:left w:val="single" w:sz="4" w:space="0" w:color="auto"/>
              <w:bottom w:val="single" w:sz="4" w:space="0" w:color="auto"/>
              <w:right w:val="single" w:sz="4" w:space="0" w:color="auto"/>
            </w:tcBorders>
            <w:shd w:val="pct25" w:color="auto" w:fill="auto"/>
            <w:noWrap/>
            <w:vAlign w:val="bottom"/>
            <w:hideMark/>
          </w:tcPr>
          <w:p w:rsidR="003A497B" w:rsidRPr="00C84D85" w:rsidRDefault="003A497B" w:rsidP="003E1809">
            <w:pPr>
              <w:rPr>
                <w:rFonts w:ascii="Times New Roman" w:hAnsi="Times New Roman" w:cs="Times New Roman"/>
                <w:b/>
                <w:bCs/>
                <w:sz w:val="14"/>
                <w:szCs w:val="14"/>
                <w:lang w:eastAsia="sk-SK"/>
              </w:rPr>
            </w:pPr>
            <w:r w:rsidRPr="00C84D85">
              <w:rPr>
                <w:rFonts w:ascii="Times New Roman" w:hAnsi="Times New Roman" w:cs="Times New Roman"/>
                <w:b/>
                <w:bCs/>
                <w:sz w:val="14"/>
                <w:szCs w:val="14"/>
                <w:lang w:eastAsia="sk-SK"/>
              </w:rPr>
              <w:t xml:space="preserve">zdroje príslušnej kapitoly </w:t>
            </w:r>
          </w:p>
        </w:tc>
        <w:tc>
          <w:tcPr>
            <w:tcW w:w="437" w:type="pct"/>
            <w:tcBorders>
              <w:top w:val="single" w:sz="4" w:space="0" w:color="auto"/>
              <w:left w:val="nil"/>
              <w:bottom w:val="single" w:sz="4" w:space="0" w:color="auto"/>
              <w:right w:val="single" w:sz="4" w:space="0" w:color="auto"/>
            </w:tcBorders>
            <w:shd w:val="pct25" w:color="auto" w:fill="auto"/>
            <w:vAlign w:val="bottom"/>
            <w:hideMark/>
          </w:tcPr>
          <w:p w:rsidR="003A497B" w:rsidRPr="00C84D85" w:rsidRDefault="003A497B" w:rsidP="003E1809">
            <w:pPr>
              <w:jc w:val="right"/>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65 304 762</w:t>
            </w:r>
          </w:p>
        </w:tc>
        <w:tc>
          <w:tcPr>
            <w:tcW w:w="437" w:type="pct"/>
            <w:tcBorders>
              <w:top w:val="single" w:sz="4" w:space="0" w:color="auto"/>
              <w:left w:val="nil"/>
              <w:bottom w:val="single" w:sz="4" w:space="0" w:color="auto"/>
              <w:right w:val="single" w:sz="4" w:space="0" w:color="auto"/>
            </w:tcBorders>
            <w:shd w:val="pct25" w:color="auto" w:fill="auto"/>
            <w:vAlign w:val="bottom"/>
            <w:hideMark/>
          </w:tcPr>
          <w:p w:rsidR="003A497B" w:rsidRPr="00C84D85" w:rsidRDefault="003A497B" w:rsidP="003E1809">
            <w:pPr>
              <w:jc w:val="right"/>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66 576 730</w:t>
            </w:r>
          </w:p>
        </w:tc>
        <w:tc>
          <w:tcPr>
            <w:tcW w:w="437" w:type="pct"/>
            <w:tcBorders>
              <w:top w:val="single" w:sz="4" w:space="0" w:color="auto"/>
              <w:left w:val="nil"/>
              <w:bottom w:val="single" w:sz="4" w:space="0" w:color="auto"/>
              <w:right w:val="single" w:sz="4" w:space="0" w:color="auto"/>
            </w:tcBorders>
            <w:shd w:val="pct25" w:color="auto" w:fill="auto"/>
            <w:vAlign w:val="bottom"/>
            <w:hideMark/>
          </w:tcPr>
          <w:p w:rsidR="003A497B" w:rsidRPr="00C84D85" w:rsidRDefault="003A497B" w:rsidP="003E1809">
            <w:pPr>
              <w:jc w:val="right"/>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67 102 604</w:t>
            </w:r>
          </w:p>
        </w:tc>
        <w:tc>
          <w:tcPr>
            <w:tcW w:w="437" w:type="pct"/>
            <w:tcBorders>
              <w:top w:val="single" w:sz="4" w:space="0" w:color="auto"/>
              <w:left w:val="nil"/>
              <w:bottom w:val="single" w:sz="4" w:space="0" w:color="auto"/>
              <w:right w:val="single" w:sz="4" w:space="0" w:color="auto"/>
            </w:tcBorders>
            <w:shd w:val="pct25" w:color="auto" w:fill="auto"/>
            <w:vAlign w:val="bottom"/>
            <w:hideMark/>
          </w:tcPr>
          <w:p w:rsidR="003A497B" w:rsidRPr="00C84D85" w:rsidRDefault="003A497B" w:rsidP="003E1809">
            <w:pPr>
              <w:jc w:val="right"/>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72 195 065</w:t>
            </w:r>
          </w:p>
        </w:tc>
        <w:tc>
          <w:tcPr>
            <w:tcW w:w="437" w:type="pct"/>
            <w:tcBorders>
              <w:top w:val="single" w:sz="4" w:space="0" w:color="auto"/>
              <w:left w:val="nil"/>
              <w:bottom w:val="single" w:sz="4" w:space="0" w:color="auto"/>
              <w:right w:val="single" w:sz="4" w:space="0" w:color="auto"/>
            </w:tcBorders>
            <w:shd w:val="pct25" w:color="auto" w:fill="auto"/>
            <w:vAlign w:val="bottom"/>
            <w:hideMark/>
          </w:tcPr>
          <w:p w:rsidR="003A497B" w:rsidRPr="00C84D85" w:rsidRDefault="003A497B" w:rsidP="003E1809">
            <w:pPr>
              <w:jc w:val="right"/>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69 413 550</w:t>
            </w:r>
          </w:p>
        </w:tc>
        <w:tc>
          <w:tcPr>
            <w:tcW w:w="437" w:type="pct"/>
            <w:tcBorders>
              <w:top w:val="single" w:sz="4" w:space="0" w:color="auto"/>
              <w:left w:val="nil"/>
              <w:bottom w:val="single" w:sz="4" w:space="0" w:color="auto"/>
              <w:right w:val="single" w:sz="4" w:space="0" w:color="auto"/>
            </w:tcBorders>
            <w:shd w:val="pct25" w:color="auto" w:fill="auto"/>
            <w:vAlign w:val="bottom"/>
            <w:hideMark/>
          </w:tcPr>
          <w:p w:rsidR="003A497B" w:rsidRPr="00C84D85" w:rsidRDefault="003A497B" w:rsidP="003E1809">
            <w:pPr>
              <w:jc w:val="right"/>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69 413 550</w:t>
            </w:r>
          </w:p>
        </w:tc>
        <w:tc>
          <w:tcPr>
            <w:tcW w:w="437" w:type="pct"/>
            <w:tcBorders>
              <w:top w:val="single" w:sz="4" w:space="0" w:color="auto"/>
              <w:left w:val="nil"/>
              <w:bottom w:val="single" w:sz="4" w:space="0" w:color="auto"/>
              <w:right w:val="single" w:sz="4" w:space="0" w:color="auto"/>
            </w:tcBorders>
            <w:shd w:val="pct25" w:color="auto" w:fill="auto"/>
            <w:vAlign w:val="bottom"/>
            <w:hideMark/>
          </w:tcPr>
          <w:p w:rsidR="003A497B" w:rsidRPr="00C84D85" w:rsidRDefault="003A497B" w:rsidP="003E1809">
            <w:pPr>
              <w:jc w:val="right"/>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69 413 550</w:t>
            </w:r>
          </w:p>
        </w:tc>
      </w:tr>
      <w:tr w:rsidR="003A497B" w:rsidRPr="00C84D85" w:rsidTr="003E1809">
        <w:trPr>
          <w:trHeight w:hRule="exact" w:val="255"/>
        </w:trPr>
        <w:tc>
          <w:tcPr>
            <w:tcW w:w="1939" w:type="pct"/>
            <w:tcBorders>
              <w:top w:val="nil"/>
              <w:left w:val="single" w:sz="4" w:space="0" w:color="auto"/>
              <w:bottom w:val="single" w:sz="4" w:space="0" w:color="auto"/>
              <w:right w:val="single" w:sz="4" w:space="0" w:color="auto"/>
            </w:tcBorders>
            <w:shd w:val="clear" w:color="auto" w:fill="auto"/>
            <w:noWrap/>
            <w:vAlign w:val="bottom"/>
            <w:hideMark/>
          </w:tcPr>
          <w:p w:rsidR="003A497B" w:rsidRPr="00C84D85" w:rsidRDefault="003A497B" w:rsidP="003E1809">
            <w:pPr>
              <w:rPr>
                <w:rFonts w:ascii="Times New Roman" w:hAnsi="Times New Roman" w:cs="Times New Roman"/>
                <w:sz w:val="14"/>
                <w:szCs w:val="14"/>
                <w:lang w:eastAsia="sk-SK"/>
              </w:rPr>
            </w:pPr>
            <w:r w:rsidRPr="00C84D85">
              <w:rPr>
                <w:rFonts w:ascii="Times New Roman" w:hAnsi="Times New Roman" w:cs="Times New Roman"/>
                <w:sz w:val="14"/>
                <w:szCs w:val="14"/>
                <w:lang w:eastAsia="sk-SK"/>
              </w:rPr>
              <w:t>rozpočtové zdroje kapitoly</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61 766 124</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65 722 981</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67 102 604</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70 108 847</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69 413 550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69 413 550</w:t>
            </w:r>
          </w:p>
        </w:tc>
        <w:tc>
          <w:tcPr>
            <w:tcW w:w="437" w:type="pct"/>
            <w:tcBorders>
              <w:top w:val="single" w:sz="4" w:space="0" w:color="auto"/>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69 413 550</w:t>
            </w:r>
          </w:p>
        </w:tc>
      </w:tr>
      <w:tr w:rsidR="003A497B" w:rsidRPr="00C84D85" w:rsidTr="003E1809">
        <w:trPr>
          <w:trHeight w:hRule="exact" w:val="255"/>
        </w:trPr>
        <w:tc>
          <w:tcPr>
            <w:tcW w:w="1939" w:type="pct"/>
            <w:tcBorders>
              <w:top w:val="nil"/>
              <w:left w:val="single" w:sz="4" w:space="0" w:color="auto"/>
              <w:bottom w:val="single" w:sz="4" w:space="0" w:color="auto"/>
              <w:right w:val="single" w:sz="4" w:space="0" w:color="auto"/>
            </w:tcBorders>
            <w:shd w:val="clear" w:color="auto" w:fill="auto"/>
            <w:noWrap/>
            <w:vAlign w:val="bottom"/>
            <w:hideMark/>
          </w:tcPr>
          <w:p w:rsidR="003A497B" w:rsidRPr="00C84D85" w:rsidRDefault="003A497B" w:rsidP="003E1809">
            <w:pPr>
              <w:rPr>
                <w:rFonts w:ascii="Times New Roman" w:hAnsi="Times New Roman" w:cs="Times New Roman"/>
                <w:sz w:val="14"/>
                <w:szCs w:val="14"/>
                <w:lang w:eastAsia="sk-SK"/>
              </w:rPr>
            </w:pPr>
            <w:r w:rsidRPr="00C84D85">
              <w:rPr>
                <w:rFonts w:ascii="Times New Roman" w:hAnsi="Times New Roman" w:cs="Times New Roman"/>
                <w:sz w:val="14"/>
                <w:szCs w:val="14"/>
                <w:lang w:eastAsia="sk-SK"/>
              </w:rPr>
              <w:t xml:space="preserve">     tom: bežné výdavky 600</w:t>
            </w:r>
          </w:p>
        </w:tc>
        <w:tc>
          <w:tcPr>
            <w:tcW w:w="437" w:type="pct"/>
            <w:tcBorders>
              <w:top w:val="nil"/>
              <w:left w:val="nil"/>
              <w:bottom w:val="single" w:sz="4" w:space="0" w:color="auto"/>
              <w:right w:val="single" w:sz="4" w:space="0" w:color="auto"/>
            </w:tcBorders>
            <w:shd w:val="clear" w:color="auto" w:fill="auto"/>
            <w:noWrap/>
            <w:vAlign w:val="bottom"/>
            <w:hideMark/>
          </w:tcPr>
          <w:p w:rsidR="003A497B" w:rsidRPr="00C84D85" w:rsidRDefault="003A497B" w:rsidP="003E1809">
            <w:pPr>
              <w:jc w:val="right"/>
              <w:rPr>
                <w:rFonts w:ascii="Times New Roman" w:hAnsi="Times New Roman" w:cs="Times New Roman"/>
                <w:sz w:val="14"/>
                <w:szCs w:val="14"/>
                <w:lang w:eastAsia="sk-SK"/>
              </w:rPr>
            </w:pPr>
            <w:r w:rsidRPr="00C84D85">
              <w:rPr>
                <w:rFonts w:ascii="Times New Roman" w:hAnsi="Times New Roman" w:cs="Times New Roman"/>
                <w:sz w:val="14"/>
                <w:szCs w:val="14"/>
                <w:lang w:eastAsia="sk-SK"/>
              </w:rPr>
              <w:t>61 551 775</w:t>
            </w:r>
          </w:p>
        </w:tc>
        <w:tc>
          <w:tcPr>
            <w:tcW w:w="437" w:type="pct"/>
            <w:tcBorders>
              <w:top w:val="nil"/>
              <w:left w:val="nil"/>
              <w:bottom w:val="single" w:sz="4" w:space="0" w:color="auto"/>
              <w:right w:val="single" w:sz="4" w:space="0" w:color="auto"/>
            </w:tcBorders>
            <w:shd w:val="clear" w:color="auto" w:fill="auto"/>
            <w:noWrap/>
            <w:vAlign w:val="bottom"/>
            <w:hideMark/>
          </w:tcPr>
          <w:p w:rsidR="003A497B" w:rsidRPr="00C84D85" w:rsidRDefault="003A497B" w:rsidP="003E1809">
            <w:pPr>
              <w:jc w:val="right"/>
              <w:rPr>
                <w:rFonts w:ascii="Times New Roman" w:hAnsi="Times New Roman" w:cs="Times New Roman"/>
                <w:sz w:val="14"/>
                <w:szCs w:val="14"/>
                <w:lang w:eastAsia="sk-SK"/>
              </w:rPr>
            </w:pPr>
            <w:r w:rsidRPr="00C84D85">
              <w:rPr>
                <w:rFonts w:ascii="Times New Roman" w:hAnsi="Times New Roman" w:cs="Times New Roman"/>
                <w:sz w:val="14"/>
                <w:szCs w:val="14"/>
                <w:lang w:eastAsia="sk-SK"/>
              </w:rPr>
              <w:t>65 068 932</w:t>
            </w:r>
          </w:p>
        </w:tc>
        <w:tc>
          <w:tcPr>
            <w:tcW w:w="437" w:type="pct"/>
            <w:tcBorders>
              <w:top w:val="nil"/>
              <w:left w:val="nil"/>
              <w:bottom w:val="single" w:sz="4" w:space="0" w:color="auto"/>
              <w:right w:val="single" w:sz="4" w:space="0" w:color="auto"/>
            </w:tcBorders>
            <w:shd w:val="clear" w:color="auto" w:fill="auto"/>
            <w:noWrap/>
            <w:vAlign w:val="bottom"/>
            <w:hideMark/>
          </w:tcPr>
          <w:p w:rsidR="003A497B" w:rsidRPr="00C84D85" w:rsidRDefault="003A497B" w:rsidP="003E1809">
            <w:pPr>
              <w:jc w:val="right"/>
              <w:rPr>
                <w:rFonts w:ascii="Times New Roman" w:hAnsi="Times New Roman" w:cs="Times New Roman"/>
                <w:sz w:val="14"/>
                <w:szCs w:val="14"/>
                <w:lang w:eastAsia="sk-SK"/>
              </w:rPr>
            </w:pPr>
            <w:r w:rsidRPr="00C84D85">
              <w:rPr>
                <w:rFonts w:ascii="Times New Roman" w:hAnsi="Times New Roman" w:cs="Times New Roman"/>
                <w:sz w:val="14"/>
                <w:szCs w:val="14"/>
                <w:lang w:eastAsia="sk-SK"/>
              </w:rPr>
              <w:t>66 462 971</w:t>
            </w:r>
          </w:p>
        </w:tc>
        <w:tc>
          <w:tcPr>
            <w:tcW w:w="437" w:type="pct"/>
            <w:tcBorders>
              <w:top w:val="nil"/>
              <w:left w:val="nil"/>
              <w:bottom w:val="single" w:sz="4" w:space="0" w:color="auto"/>
              <w:right w:val="single" w:sz="4" w:space="0" w:color="auto"/>
            </w:tcBorders>
            <w:shd w:val="clear" w:color="auto" w:fill="auto"/>
            <w:noWrap/>
            <w:vAlign w:val="bottom"/>
            <w:hideMark/>
          </w:tcPr>
          <w:p w:rsidR="003A497B" w:rsidRPr="00C84D85" w:rsidRDefault="003A497B" w:rsidP="003E1809">
            <w:pPr>
              <w:jc w:val="right"/>
              <w:rPr>
                <w:rFonts w:ascii="Times New Roman" w:hAnsi="Times New Roman" w:cs="Times New Roman"/>
                <w:sz w:val="14"/>
                <w:szCs w:val="14"/>
                <w:lang w:eastAsia="sk-SK"/>
              </w:rPr>
            </w:pPr>
            <w:r w:rsidRPr="00C84D85">
              <w:rPr>
                <w:rFonts w:ascii="Times New Roman" w:hAnsi="Times New Roman" w:cs="Times New Roman"/>
                <w:sz w:val="14"/>
                <w:szCs w:val="14"/>
                <w:lang w:eastAsia="sk-SK"/>
              </w:rPr>
              <w:t>69 460 892</w:t>
            </w:r>
          </w:p>
        </w:tc>
        <w:tc>
          <w:tcPr>
            <w:tcW w:w="437" w:type="pct"/>
            <w:tcBorders>
              <w:top w:val="nil"/>
              <w:left w:val="nil"/>
              <w:bottom w:val="single" w:sz="4" w:space="0" w:color="auto"/>
              <w:right w:val="single" w:sz="4" w:space="0" w:color="auto"/>
            </w:tcBorders>
            <w:shd w:val="clear" w:color="auto" w:fill="auto"/>
            <w:noWrap/>
            <w:vAlign w:val="bottom"/>
            <w:hideMark/>
          </w:tcPr>
          <w:p w:rsidR="003A497B" w:rsidRPr="00C84D85" w:rsidRDefault="003A497B" w:rsidP="003E1809">
            <w:pPr>
              <w:jc w:val="right"/>
              <w:rPr>
                <w:rFonts w:ascii="Times New Roman" w:hAnsi="Times New Roman" w:cs="Times New Roman"/>
                <w:sz w:val="14"/>
                <w:szCs w:val="14"/>
                <w:lang w:eastAsia="sk-SK"/>
              </w:rPr>
            </w:pPr>
            <w:r w:rsidRPr="00C84D85">
              <w:rPr>
                <w:rFonts w:ascii="Times New Roman" w:hAnsi="Times New Roman" w:cs="Times New Roman"/>
                <w:sz w:val="14"/>
                <w:szCs w:val="14"/>
                <w:lang w:eastAsia="sk-SK"/>
              </w:rPr>
              <w:t>68 773 917</w:t>
            </w:r>
          </w:p>
        </w:tc>
        <w:tc>
          <w:tcPr>
            <w:tcW w:w="437" w:type="pct"/>
            <w:tcBorders>
              <w:top w:val="nil"/>
              <w:left w:val="nil"/>
              <w:bottom w:val="single" w:sz="4" w:space="0" w:color="auto"/>
              <w:right w:val="single" w:sz="4" w:space="0" w:color="auto"/>
            </w:tcBorders>
            <w:shd w:val="clear" w:color="auto" w:fill="auto"/>
            <w:noWrap/>
            <w:vAlign w:val="bottom"/>
            <w:hideMark/>
          </w:tcPr>
          <w:p w:rsidR="003A497B" w:rsidRPr="00C84D85" w:rsidRDefault="003A497B" w:rsidP="003E1809">
            <w:pPr>
              <w:jc w:val="right"/>
              <w:rPr>
                <w:rFonts w:ascii="Times New Roman" w:hAnsi="Times New Roman" w:cs="Times New Roman"/>
                <w:sz w:val="14"/>
                <w:szCs w:val="14"/>
                <w:lang w:eastAsia="sk-SK"/>
              </w:rPr>
            </w:pPr>
            <w:r w:rsidRPr="00C84D85">
              <w:rPr>
                <w:rFonts w:ascii="Times New Roman" w:hAnsi="Times New Roman" w:cs="Times New Roman"/>
                <w:sz w:val="14"/>
                <w:szCs w:val="14"/>
                <w:lang w:eastAsia="sk-SK"/>
              </w:rPr>
              <w:t>68 773 917</w:t>
            </w:r>
          </w:p>
        </w:tc>
        <w:tc>
          <w:tcPr>
            <w:tcW w:w="437" w:type="pct"/>
            <w:tcBorders>
              <w:top w:val="nil"/>
              <w:left w:val="nil"/>
              <w:bottom w:val="single" w:sz="4" w:space="0" w:color="auto"/>
              <w:right w:val="single" w:sz="4" w:space="0" w:color="auto"/>
            </w:tcBorders>
            <w:shd w:val="clear" w:color="auto" w:fill="auto"/>
            <w:noWrap/>
            <w:vAlign w:val="bottom"/>
            <w:hideMark/>
          </w:tcPr>
          <w:p w:rsidR="003A497B" w:rsidRPr="00C84D85" w:rsidRDefault="003A497B" w:rsidP="003E1809">
            <w:pPr>
              <w:jc w:val="right"/>
              <w:rPr>
                <w:rFonts w:ascii="Times New Roman" w:hAnsi="Times New Roman" w:cs="Times New Roman"/>
                <w:sz w:val="14"/>
                <w:szCs w:val="14"/>
                <w:lang w:eastAsia="sk-SK"/>
              </w:rPr>
            </w:pPr>
            <w:r w:rsidRPr="00C84D85">
              <w:rPr>
                <w:rFonts w:ascii="Times New Roman" w:hAnsi="Times New Roman" w:cs="Times New Roman"/>
                <w:sz w:val="14"/>
                <w:szCs w:val="14"/>
                <w:lang w:eastAsia="sk-SK"/>
              </w:rPr>
              <w:t>68 773 917</w:t>
            </w:r>
          </w:p>
        </w:tc>
      </w:tr>
      <w:tr w:rsidR="003A497B" w:rsidRPr="00C84D85" w:rsidTr="003E1809">
        <w:trPr>
          <w:trHeight w:hRule="exact" w:val="255"/>
        </w:trPr>
        <w:tc>
          <w:tcPr>
            <w:tcW w:w="1939" w:type="pct"/>
            <w:tcBorders>
              <w:top w:val="nil"/>
              <w:left w:val="single" w:sz="4" w:space="0" w:color="auto"/>
              <w:bottom w:val="single" w:sz="4" w:space="0" w:color="auto"/>
              <w:right w:val="single" w:sz="4" w:space="0" w:color="auto"/>
            </w:tcBorders>
            <w:shd w:val="clear" w:color="auto" w:fill="auto"/>
            <w:noWrap/>
            <w:vAlign w:val="bottom"/>
            <w:hideMark/>
          </w:tcPr>
          <w:p w:rsidR="003A497B" w:rsidRPr="00C84D85" w:rsidRDefault="003A497B" w:rsidP="003E1809">
            <w:pPr>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 xml:space="preserve">                                    610 mzdy</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14 339 235</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13 467 857</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13 517 434</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12 959 404</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12 345 330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12 345 330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12 345 330</w:t>
            </w:r>
          </w:p>
        </w:tc>
      </w:tr>
      <w:tr w:rsidR="003A497B" w:rsidRPr="00C84D85" w:rsidTr="003E1809">
        <w:trPr>
          <w:trHeight w:hRule="exact" w:val="255"/>
        </w:trPr>
        <w:tc>
          <w:tcPr>
            <w:tcW w:w="1939" w:type="pct"/>
            <w:tcBorders>
              <w:top w:val="nil"/>
              <w:left w:val="single" w:sz="4" w:space="0" w:color="auto"/>
              <w:bottom w:val="single" w:sz="4" w:space="0" w:color="auto"/>
              <w:right w:val="single" w:sz="4" w:space="0" w:color="auto"/>
            </w:tcBorders>
            <w:shd w:val="clear" w:color="auto" w:fill="auto"/>
            <w:noWrap/>
            <w:vAlign w:val="bottom"/>
            <w:hideMark/>
          </w:tcPr>
          <w:p w:rsidR="003A497B" w:rsidRPr="00C84D85" w:rsidRDefault="003A497B" w:rsidP="003E1809">
            <w:pPr>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 xml:space="preserve">                                    620 odvody</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4 951 286</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4 708 676</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4 692 197</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4 202 949</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4 283 829</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4 283 829</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4 283 829</w:t>
            </w:r>
          </w:p>
        </w:tc>
      </w:tr>
      <w:tr w:rsidR="003A497B" w:rsidRPr="00C84D85" w:rsidTr="003E1809">
        <w:trPr>
          <w:trHeight w:hRule="exact" w:val="255"/>
        </w:trPr>
        <w:tc>
          <w:tcPr>
            <w:tcW w:w="1939" w:type="pct"/>
            <w:tcBorders>
              <w:top w:val="nil"/>
              <w:left w:val="single" w:sz="4" w:space="0" w:color="auto"/>
              <w:bottom w:val="single" w:sz="4" w:space="0" w:color="auto"/>
              <w:right w:val="single" w:sz="4" w:space="0" w:color="auto"/>
            </w:tcBorders>
            <w:shd w:val="clear" w:color="auto" w:fill="auto"/>
            <w:noWrap/>
            <w:vAlign w:val="bottom"/>
            <w:hideMark/>
          </w:tcPr>
          <w:p w:rsidR="003A497B" w:rsidRPr="00C84D85" w:rsidRDefault="003A497B" w:rsidP="003E1809">
            <w:pPr>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 xml:space="preserve">                                    630 tovary a služby</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6 305 165</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6 218 784</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6 923 668</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6 405 396</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6 545 453</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6 545 453</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6 545 453</w:t>
            </w:r>
          </w:p>
        </w:tc>
      </w:tr>
      <w:tr w:rsidR="003A497B" w:rsidRPr="00C84D85" w:rsidTr="003E1809">
        <w:trPr>
          <w:trHeight w:hRule="exact" w:val="255"/>
        </w:trPr>
        <w:tc>
          <w:tcPr>
            <w:tcW w:w="1939" w:type="pct"/>
            <w:tcBorders>
              <w:top w:val="nil"/>
              <w:left w:val="single" w:sz="4" w:space="0" w:color="auto"/>
              <w:bottom w:val="single" w:sz="4" w:space="0" w:color="auto"/>
              <w:right w:val="single" w:sz="4" w:space="0" w:color="auto"/>
            </w:tcBorders>
            <w:shd w:val="clear" w:color="auto" w:fill="auto"/>
            <w:noWrap/>
            <w:vAlign w:val="bottom"/>
            <w:hideMark/>
          </w:tcPr>
          <w:p w:rsidR="003A497B" w:rsidRPr="00C84D85" w:rsidRDefault="003A497B" w:rsidP="003E1809">
            <w:pPr>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 xml:space="preserve">                                    640 bežné transfery</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35 956 089</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40 673 615</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41 329 672</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45 893 143</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45 599 305</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45 599 305</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45 599 305</w:t>
            </w:r>
          </w:p>
        </w:tc>
      </w:tr>
      <w:tr w:rsidR="003A497B" w:rsidRPr="00C84D85" w:rsidTr="003E1809">
        <w:trPr>
          <w:trHeight w:hRule="exact" w:val="255"/>
        </w:trPr>
        <w:tc>
          <w:tcPr>
            <w:tcW w:w="1939" w:type="pct"/>
            <w:tcBorders>
              <w:top w:val="nil"/>
              <w:left w:val="single" w:sz="4" w:space="0" w:color="auto"/>
              <w:bottom w:val="single" w:sz="4" w:space="0" w:color="auto"/>
              <w:right w:val="single" w:sz="4" w:space="0" w:color="auto"/>
            </w:tcBorders>
            <w:shd w:val="clear" w:color="auto" w:fill="auto"/>
            <w:noWrap/>
            <w:vAlign w:val="bottom"/>
            <w:hideMark/>
          </w:tcPr>
          <w:p w:rsidR="003A497B" w:rsidRPr="00C84D85" w:rsidRDefault="003A497B" w:rsidP="003E1809">
            <w:pPr>
              <w:rPr>
                <w:rFonts w:ascii="Times New Roman" w:hAnsi="Times New Roman" w:cs="Times New Roman"/>
                <w:sz w:val="14"/>
                <w:szCs w:val="14"/>
                <w:lang w:eastAsia="sk-SK"/>
              </w:rPr>
            </w:pPr>
            <w:r w:rsidRPr="00C84D85">
              <w:rPr>
                <w:rFonts w:ascii="Times New Roman" w:hAnsi="Times New Roman" w:cs="Times New Roman"/>
                <w:sz w:val="14"/>
                <w:szCs w:val="14"/>
                <w:lang w:eastAsia="sk-SK"/>
              </w:rPr>
              <w:t xml:space="preserve">             kapitálové výdavky 700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214 348</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654 049</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639 633</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647 955</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639 633</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639 633</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639 633</w:t>
            </w:r>
          </w:p>
        </w:tc>
      </w:tr>
      <w:tr w:rsidR="003A497B" w:rsidRPr="00C84D85" w:rsidTr="003E1809">
        <w:trPr>
          <w:trHeight w:hRule="exact" w:val="255"/>
        </w:trPr>
        <w:tc>
          <w:tcPr>
            <w:tcW w:w="1939" w:type="pct"/>
            <w:tcBorders>
              <w:top w:val="nil"/>
              <w:left w:val="single" w:sz="4" w:space="0" w:color="auto"/>
              <w:bottom w:val="single" w:sz="4" w:space="0" w:color="auto"/>
              <w:right w:val="single" w:sz="4" w:space="0" w:color="auto"/>
            </w:tcBorders>
            <w:shd w:val="clear" w:color="auto" w:fill="auto"/>
            <w:noWrap/>
            <w:vAlign w:val="bottom"/>
            <w:hideMark/>
          </w:tcPr>
          <w:p w:rsidR="003A497B" w:rsidRPr="00C84D85" w:rsidRDefault="003A497B" w:rsidP="003E1809">
            <w:pPr>
              <w:rPr>
                <w:rFonts w:ascii="Times New Roman" w:hAnsi="Times New Roman" w:cs="Times New Roman"/>
                <w:sz w:val="14"/>
                <w:szCs w:val="14"/>
                <w:lang w:eastAsia="sk-SK"/>
              </w:rPr>
            </w:pPr>
            <w:r w:rsidRPr="00C84D85">
              <w:rPr>
                <w:rFonts w:ascii="Times New Roman" w:hAnsi="Times New Roman" w:cs="Times New Roman"/>
                <w:sz w:val="14"/>
                <w:szCs w:val="14"/>
                <w:lang w:eastAsia="sk-SK"/>
              </w:rPr>
              <w:t xml:space="preserve">zdroje EÚ vrátane spolufinancovania: </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163 553</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r>
      <w:tr w:rsidR="003A497B" w:rsidRPr="00C84D85" w:rsidTr="003E1809">
        <w:trPr>
          <w:trHeight w:hRule="exact" w:val="255"/>
        </w:trPr>
        <w:tc>
          <w:tcPr>
            <w:tcW w:w="1939" w:type="pct"/>
            <w:tcBorders>
              <w:top w:val="nil"/>
              <w:left w:val="single" w:sz="4" w:space="0" w:color="auto"/>
              <w:bottom w:val="single" w:sz="4" w:space="0" w:color="auto"/>
              <w:right w:val="single" w:sz="4" w:space="0" w:color="auto"/>
            </w:tcBorders>
            <w:shd w:val="clear" w:color="auto" w:fill="auto"/>
            <w:noWrap/>
            <w:vAlign w:val="bottom"/>
            <w:hideMark/>
          </w:tcPr>
          <w:p w:rsidR="003A497B" w:rsidRPr="00C84D85" w:rsidRDefault="003A497B" w:rsidP="003E1809">
            <w:pPr>
              <w:rPr>
                <w:rFonts w:ascii="Times New Roman" w:hAnsi="Times New Roman" w:cs="Times New Roman"/>
                <w:sz w:val="14"/>
                <w:szCs w:val="14"/>
                <w:lang w:eastAsia="sk-SK"/>
              </w:rPr>
            </w:pPr>
            <w:r w:rsidRPr="00C84D85">
              <w:rPr>
                <w:rFonts w:ascii="Times New Roman" w:hAnsi="Times New Roman" w:cs="Times New Roman"/>
                <w:sz w:val="14"/>
                <w:szCs w:val="14"/>
                <w:lang w:eastAsia="sk-SK"/>
              </w:rPr>
              <w:t xml:space="preserve">                2. programové obdobie EU</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139 015</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r>
      <w:tr w:rsidR="003A497B" w:rsidRPr="00C84D85" w:rsidTr="003E1809">
        <w:trPr>
          <w:trHeight w:hRule="exact" w:val="255"/>
        </w:trPr>
        <w:tc>
          <w:tcPr>
            <w:tcW w:w="1939" w:type="pct"/>
            <w:tcBorders>
              <w:top w:val="nil"/>
              <w:left w:val="single" w:sz="4" w:space="0" w:color="auto"/>
              <w:bottom w:val="single" w:sz="4" w:space="0" w:color="auto"/>
              <w:right w:val="single" w:sz="4" w:space="0" w:color="auto"/>
            </w:tcBorders>
            <w:shd w:val="clear" w:color="auto" w:fill="auto"/>
            <w:noWrap/>
            <w:vAlign w:val="bottom"/>
            <w:hideMark/>
          </w:tcPr>
          <w:p w:rsidR="003A497B" w:rsidRPr="00C84D85" w:rsidRDefault="003A497B" w:rsidP="003E1809">
            <w:pPr>
              <w:rPr>
                <w:rFonts w:ascii="Times New Roman" w:hAnsi="Times New Roman" w:cs="Times New Roman"/>
                <w:sz w:val="14"/>
                <w:szCs w:val="14"/>
                <w:lang w:eastAsia="sk-SK"/>
              </w:rPr>
            </w:pPr>
            <w:r w:rsidRPr="00C84D85">
              <w:rPr>
                <w:rFonts w:ascii="Times New Roman" w:hAnsi="Times New Roman" w:cs="Times New Roman"/>
                <w:sz w:val="14"/>
                <w:szCs w:val="14"/>
                <w:lang w:eastAsia="sk-SK"/>
              </w:rPr>
              <w:t xml:space="preserve">                    spolufinancovanie zo ŠR</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24 538</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r>
      <w:tr w:rsidR="003A497B" w:rsidRPr="00C84D85" w:rsidTr="003E1809">
        <w:trPr>
          <w:trHeight w:hRule="exact" w:val="255"/>
        </w:trPr>
        <w:tc>
          <w:tcPr>
            <w:tcW w:w="1939" w:type="pct"/>
            <w:tcBorders>
              <w:top w:val="nil"/>
              <w:left w:val="single" w:sz="4" w:space="0" w:color="auto"/>
              <w:bottom w:val="single" w:sz="4" w:space="0" w:color="auto"/>
              <w:right w:val="single" w:sz="4" w:space="0" w:color="auto"/>
            </w:tcBorders>
            <w:shd w:val="clear" w:color="auto" w:fill="auto"/>
            <w:noWrap/>
            <w:vAlign w:val="bottom"/>
            <w:hideMark/>
          </w:tcPr>
          <w:p w:rsidR="003A497B" w:rsidRPr="00C84D85" w:rsidRDefault="003A497B" w:rsidP="003E1809">
            <w:pPr>
              <w:rPr>
                <w:rFonts w:ascii="Times New Roman" w:hAnsi="Times New Roman" w:cs="Times New Roman"/>
                <w:sz w:val="14"/>
                <w:szCs w:val="14"/>
                <w:lang w:eastAsia="sk-SK"/>
              </w:rPr>
            </w:pPr>
            <w:r w:rsidRPr="00C84D85">
              <w:rPr>
                <w:rFonts w:ascii="Times New Roman" w:hAnsi="Times New Roman" w:cs="Times New Roman"/>
                <w:sz w:val="14"/>
                <w:szCs w:val="14"/>
                <w:lang w:eastAsia="sk-SK"/>
              </w:rPr>
              <w:t>presun z minulých rokov § 8</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3 375 085</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853 749</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2 086 218</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r>
      <w:tr w:rsidR="003A497B" w:rsidRPr="00C84D85" w:rsidTr="003E1809">
        <w:trPr>
          <w:trHeight w:hRule="exact" w:val="255"/>
        </w:trPr>
        <w:tc>
          <w:tcPr>
            <w:tcW w:w="1939" w:type="pct"/>
            <w:tcBorders>
              <w:top w:val="nil"/>
              <w:left w:val="single" w:sz="4" w:space="0" w:color="auto"/>
              <w:bottom w:val="single" w:sz="4" w:space="0" w:color="auto"/>
              <w:right w:val="single" w:sz="4" w:space="0" w:color="auto"/>
            </w:tcBorders>
            <w:shd w:val="clear" w:color="auto" w:fill="auto"/>
            <w:noWrap/>
            <w:vAlign w:val="bottom"/>
            <w:hideMark/>
          </w:tcPr>
          <w:p w:rsidR="003A497B" w:rsidRPr="00C84D85" w:rsidRDefault="003A497B" w:rsidP="003E1809">
            <w:pPr>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z toho: presuny z minulých rokov § 8 ŠR</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1 207 401</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853 749</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r>
      <w:tr w:rsidR="003A497B" w:rsidRPr="00C84D85" w:rsidTr="003E1809">
        <w:trPr>
          <w:trHeight w:hRule="exact" w:val="255"/>
        </w:trPr>
        <w:tc>
          <w:tcPr>
            <w:tcW w:w="1939" w:type="pct"/>
            <w:tcBorders>
              <w:top w:val="nil"/>
              <w:left w:val="single" w:sz="4" w:space="0" w:color="auto"/>
              <w:bottom w:val="single" w:sz="4" w:space="0" w:color="auto"/>
              <w:right w:val="single" w:sz="4" w:space="0" w:color="auto"/>
            </w:tcBorders>
            <w:shd w:val="clear" w:color="auto" w:fill="auto"/>
            <w:noWrap/>
            <w:vAlign w:val="bottom"/>
            <w:hideMark/>
          </w:tcPr>
          <w:p w:rsidR="003A497B" w:rsidRPr="00C84D85" w:rsidRDefault="003A497B" w:rsidP="003E1809">
            <w:pPr>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 xml:space="preserve">          presuny z minulých rokov z toho: EU </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1 870 146</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r>
      <w:tr w:rsidR="003A497B" w:rsidRPr="00C84D85" w:rsidTr="003E1809">
        <w:trPr>
          <w:trHeight w:hRule="exact" w:val="255"/>
        </w:trPr>
        <w:tc>
          <w:tcPr>
            <w:tcW w:w="1939" w:type="pct"/>
            <w:tcBorders>
              <w:top w:val="nil"/>
              <w:left w:val="single" w:sz="4" w:space="0" w:color="auto"/>
              <w:bottom w:val="single" w:sz="4" w:space="0" w:color="auto"/>
              <w:right w:val="single" w:sz="4" w:space="0" w:color="auto"/>
            </w:tcBorders>
            <w:shd w:val="clear" w:color="auto" w:fill="auto"/>
            <w:noWrap/>
            <w:vAlign w:val="bottom"/>
            <w:hideMark/>
          </w:tcPr>
          <w:p w:rsidR="003A497B" w:rsidRPr="00C84D85" w:rsidRDefault="003A497B" w:rsidP="003E1809">
            <w:pPr>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 xml:space="preserve">                                          spolufinancovanie zo ŠR</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297 538</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r>
      <w:tr w:rsidR="003A497B" w:rsidRPr="00C84D85" w:rsidTr="003E1809">
        <w:trPr>
          <w:trHeight w:hRule="exact" w:val="255"/>
        </w:trPr>
        <w:tc>
          <w:tcPr>
            <w:tcW w:w="1939" w:type="pct"/>
            <w:tcBorders>
              <w:top w:val="nil"/>
              <w:left w:val="single" w:sz="4" w:space="0" w:color="auto"/>
              <w:bottom w:val="single" w:sz="4" w:space="0" w:color="auto"/>
              <w:right w:val="single" w:sz="4" w:space="0" w:color="auto"/>
            </w:tcBorders>
            <w:shd w:val="clear" w:color="auto" w:fill="auto"/>
            <w:noWrap/>
            <w:vAlign w:val="bottom"/>
            <w:hideMark/>
          </w:tcPr>
          <w:p w:rsidR="003A497B" w:rsidRPr="00C84D85" w:rsidRDefault="003A497B" w:rsidP="003E1809">
            <w:pPr>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 17 ods. 4 zdroj 72e*</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79 609</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10 454</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0</w:t>
            </w:r>
          </w:p>
        </w:tc>
        <w:tc>
          <w:tcPr>
            <w:tcW w:w="437" w:type="pct"/>
            <w:tcBorders>
              <w:top w:val="nil"/>
              <w:left w:val="nil"/>
              <w:bottom w:val="single" w:sz="4" w:space="0" w:color="auto"/>
              <w:right w:val="single" w:sz="4" w:space="0" w:color="auto"/>
            </w:tcBorders>
            <w:shd w:val="clear" w:color="auto" w:fill="auto"/>
            <w:vAlign w:val="bottom"/>
            <w:hideMark/>
          </w:tcPr>
          <w:p w:rsidR="003A497B" w:rsidRPr="00C84D85" w:rsidRDefault="003A497B" w:rsidP="003E1809">
            <w:pPr>
              <w:jc w:val="right"/>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0</w:t>
            </w:r>
          </w:p>
        </w:tc>
      </w:tr>
    </w:tbl>
    <w:p w:rsidR="003A497B" w:rsidRDefault="003A497B" w:rsidP="003A497B">
      <w:pPr>
        <w:jc w:val="both"/>
        <w:rPr>
          <w:rFonts w:ascii="Times New Roman" w:hAnsi="Times New Roman" w:cs="Times New Roman"/>
          <w:color w:val="000000"/>
          <w:sz w:val="14"/>
          <w:szCs w:val="14"/>
          <w:lang w:eastAsia="sk-SK"/>
        </w:rPr>
      </w:pPr>
      <w:r>
        <w:rPr>
          <w:rFonts w:ascii="Times New Roman" w:hAnsi="Times New Roman" w:cs="Times New Roman"/>
          <w:sz w:val="14"/>
          <w:szCs w:val="14"/>
        </w:rPr>
        <w:t>*</w:t>
      </w:r>
      <w:r w:rsidR="00C017E3">
        <w:rPr>
          <w:rFonts w:ascii="Times New Roman" w:hAnsi="Times New Roman" w:cs="Times New Roman"/>
          <w:sz w:val="14"/>
          <w:szCs w:val="14"/>
        </w:rPr>
        <w:t xml:space="preserve"> </w:t>
      </w:r>
      <w:r w:rsidRPr="00EC45AB">
        <w:rPr>
          <w:rFonts w:ascii="Times New Roman" w:hAnsi="Times New Roman" w:cs="Times New Roman"/>
          <w:sz w:val="14"/>
          <w:szCs w:val="14"/>
        </w:rPr>
        <w:t xml:space="preserve">z poistného plnenia </w:t>
      </w:r>
      <w:r w:rsidRPr="00A629CF">
        <w:rPr>
          <w:rFonts w:ascii="Times New Roman" w:hAnsi="Times New Roman" w:cs="Times New Roman"/>
          <w:color w:val="000000"/>
          <w:sz w:val="14"/>
          <w:szCs w:val="14"/>
          <w:lang w:eastAsia="sk-SK"/>
        </w:rPr>
        <w:t>zo zmluvného poistenia alebo zo zákonného poistenia</w:t>
      </w:r>
    </w:p>
    <w:p w:rsidR="003A497B" w:rsidRPr="00F65DD8" w:rsidRDefault="003A497B" w:rsidP="003A497B">
      <w:pPr>
        <w:jc w:val="both"/>
        <w:rPr>
          <w:rFonts w:ascii="Times New Roman" w:hAnsi="Times New Roman" w:cs="Times New Roman"/>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1"/>
        <w:gridCol w:w="901"/>
        <w:gridCol w:w="825"/>
        <w:gridCol w:w="823"/>
        <w:gridCol w:w="823"/>
        <w:gridCol w:w="823"/>
        <w:gridCol w:w="823"/>
        <w:gridCol w:w="823"/>
      </w:tblGrid>
      <w:tr w:rsidR="003A497B" w:rsidRPr="00B21A3C" w:rsidTr="003E1809">
        <w:trPr>
          <w:trHeight w:hRule="exact" w:val="255"/>
        </w:trPr>
        <w:tc>
          <w:tcPr>
            <w:tcW w:w="1777" w:type="pct"/>
            <w:shd w:val="clear" w:color="auto" w:fill="auto"/>
            <w:noWrap/>
            <w:vAlign w:val="bottom"/>
            <w:hideMark/>
          </w:tcPr>
          <w:p w:rsidR="003A497B" w:rsidRPr="006D54D2" w:rsidRDefault="003A497B" w:rsidP="003E1809">
            <w:pPr>
              <w:rPr>
                <w:rFonts w:ascii="Times New Roman" w:hAnsi="Times New Roman" w:cs="Times New Roman"/>
                <w:sz w:val="14"/>
                <w:szCs w:val="14"/>
                <w:lang w:eastAsia="sk-SK"/>
              </w:rPr>
            </w:pPr>
            <w:r w:rsidRPr="006D54D2">
              <w:rPr>
                <w:rFonts w:ascii="Times New Roman" w:hAnsi="Times New Roman" w:cs="Times New Roman"/>
                <w:sz w:val="14"/>
                <w:szCs w:val="14"/>
                <w:lang w:eastAsia="sk-SK"/>
              </w:rPr>
              <w:t xml:space="preserve">samostatné účty </w:t>
            </w:r>
          </w:p>
        </w:tc>
        <w:tc>
          <w:tcPr>
            <w:tcW w:w="497" w:type="pct"/>
            <w:shd w:val="clear" w:color="auto" w:fill="auto"/>
            <w:noWrap/>
            <w:vAlign w:val="bottom"/>
            <w:hideMark/>
          </w:tcPr>
          <w:p w:rsidR="003A497B" w:rsidRPr="006D54D2" w:rsidRDefault="003A497B" w:rsidP="003E1809">
            <w:pPr>
              <w:jc w:val="right"/>
              <w:rPr>
                <w:rFonts w:ascii="Times New Roman" w:hAnsi="Times New Roman" w:cs="Times New Roman"/>
                <w:sz w:val="14"/>
                <w:szCs w:val="14"/>
                <w:lang w:eastAsia="sk-SK"/>
              </w:rPr>
            </w:pPr>
            <w:r w:rsidRPr="006D54D2">
              <w:rPr>
                <w:rFonts w:ascii="Times New Roman" w:hAnsi="Times New Roman" w:cs="Times New Roman"/>
                <w:sz w:val="14"/>
                <w:szCs w:val="14"/>
                <w:lang w:eastAsia="sk-SK"/>
              </w:rPr>
              <w:t>421 885</w:t>
            </w:r>
          </w:p>
        </w:tc>
        <w:tc>
          <w:tcPr>
            <w:tcW w:w="455" w:type="pct"/>
            <w:shd w:val="clear" w:color="auto" w:fill="auto"/>
            <w:vAlign w:val="bottom"/>
            <w:hideMark/>
          </w:tcPr>
          <w:p w:rsidR="003A497B" w:rsidRPr="006D54D2" w:rsidRDefault="003A497B" w:rsidP="003E1809">
            <w:pPr>
              <w:jc w:val="right"/>
              <w:rPr>
                <w:rFonts w:ascii="Times New Roman" w:hAnsi="Times New Roman" w:cs="Times New Roman"/>
                <w:sz w:val="14"/>
                <w:szCs w:val="14"/>
                <w:lang w:eastAsia="sk-SK"/>
              </w:rPr>
            </w:pPr>
            <w:r w:rsidRPr="006D54D2">
              <w:rPr>
                <w:rFonts w:ascii="Times New Roman" w:hAnsi="Times New Roman" w:cs="Times New Roman"/>
                <w:sz w:val="14"/>
                <w:szCs w:val="14"/>
                <w:lang w:eastAsia="sk-SK"/>
              </w:rPr>
              <w:t>1 158 252</w:t>
            </w:r>
          </w:p>
        </w:tc>
        <w:tc>
          <w:tcPr>
            <w:tcW w:w="454" w:type="pct"/>
            <w:shd w:val="clear" w:color="auto" w:fill="auto"/>
            <w:noWrap/>
            <w:vAlign w:val="bottom"/>
            <w:hideMark/>
          </w:tcPr>
          <w:p w:rsidR="003A497B" w:rsidRPr="006D54D2" w:rsidRDefault="003A497B" w:rsidP="003E1809">
            <w:pPr>
              <w:jc w:val="right"/>
              <w:rPr>
                <w:rFonts w:ascii="Times New Roman" w:hAnsi="Times New Roman" w:cs="Times New Roman"/>
                <w:sz w:val="14"/>
                <w:szCs w:val="14"/>
                <w:lang w:eastAsia="sk-SK"/>
              </w:rPr>
            </w:pPr>
            <w:r w:rsidRPr="006D54D2">
              <w:rPr>
                <w:rFonts w:ascii="Times New Roman" w:hAnsi="Times New Roman" w:cs="Times New Roman"/>
                <w:sz w:val="14"/>
                <w:szCs w:val="14"/>
                <w:lang w:eastAsia="sk-SK"/>
              </w:rPr>
              <w:t>717 594</w:t>
            </w:r>
          </w:p>
        </w:tc>
        <w:tc>
          <w:tcPr>
            <w:tcW w:w="454" w:type="pct"/>
            <w:shd w:val="clear" w:color="auto" w:fill="auto"/>
            <w:noWrap/>
            <w:vAlign w:val="bottom"/>
            <w:hideMark/>
          </w:tcPr>
          <w:p w:rsidR="003A497B" w:rsidRPr="000C4009" w:rsidRDefault="003A497B" w:rsidP="003E1809">
            <w:pPr>
              <w:jc w:val="right"/>
              <w:rPr>
                <w:rFonts w:ascii="Times New Roman" w:hAnsi="Times New Roman" w:cs="Times New Roman"/>
                <w:sz w:val="14"/>
                <w:szCs w:val="14"/>
              </w:rPr>
            </w:pPr>
            <w:r w:rsidRPr="000C4009">
              <w:rPr>
                <w:rFonts w:ascii="Times New Roman" w:hAnsi="Times New Roman" w:cs="Times New Roman"/>
                <w:sz w:val="14"/>
                <w:szCs w:val="14"/>
              </w:rPr>
              <w:t>1 533 774</w:t>
            </w:r>
          </w:p>
        </w:tc>
        <w:tc>
          <w:tcPr>
            <w:tcW w:w="454" w:type="pct"/>
            <w:shd w:val="clear" w:color="auto" w:fill="auto"/>
            <w:noWrap/>
            <w:vAlign w:val="bottom"/>
          </w:tcPr>
          <w:p w:rsidR="003A497B" w:rsidRPr="000C4009" w:rsidRDefault="003A497B" w:rsidP="003E1809">
            <w:pPr>
              <w:jc w:val="right"/>
              <w:rPr>
                <w:rFonts w:ascii="Times New Roman" w:hAnsi="Times New Roman" w:cs="Times New Roman"/>
                <w:sz w:val="14"/>
                <w:szCs w:val="14"/>
              </w:rPr>
            </w:pPr>
            <w:r>
              <w:rPr>
                <w:rFonts w:ascii="Times New Roman" w:hAnsi="Times New Roman" w:cs="Times New Roman"/>
                <w:sz w:val="14"/>
                <w:szCs w:val="14"/>
              </w:rPr>
              <w:t>588 558</w:t>
            </w:r>
          </w:p>
        </w:tc>
        <w:tc>
          <w:tcPr>
            <w:tcW w:w="454" w:type="pct"/>
            <w:shd w:val="clear" w:color="auto" w:fill="auto"/>
            <w:noWrap/>
            <w:vAlign w:val="bottom"/>
          </w:tcPr>
          <w:p w:rsidR="003A497B" w:rsidRPr="006B4DFB" w:rsidRDefault="003A497B" w:rsidP="003E1809">
            <w:pPr>
              <w:jc w:val="right"/>
              <w:rPr>
                <w:rFonts w:ascii="Times New Roman" w:hAnsi="Times New Roman" w:cs="Times New Roman"/>
                <w:sz w:val="14"/>
                <w:szCs w:val="14"/>
                <w:highlight w:val="yellow"/>
              </w:rPr>
            </w:pPr>
            <w:r w:rsidRPr="00BD4A1B">
              <w:rPr>
                <w:rFonts w:ascii="Times New Roman" w:hAnsi="Times New Roman" w:cs="Times New Roman"/>
                <w:sz w:val="14"/>
                <w:szCs w:val="14"/>
              </w:rPr>
              <w:t>568 994</w:t>
            </w:r>
          </w:p>
        </w:tc>
        <w:tc>
          <w:tcPr>
            <w:tcW w:w="454" w:type="pct"/>
            <w:shd w:val="clear" w:color="auto" w:fill="auto"/>
            <w:noWrap/>
            <w:vAlign w:val="bottom"/>
          </w:tcPr>
          <w:p w:rsidR="003A497B" w:rsidRPr="006B4DFB" w:rsidRDefault="003A497B" w:rsidP="003E1809">
            <w:pPr>
              <w:jc w:val="right"/>
              <w:rPr>
                <w:rFonts w:ascii="Times New Roman" w:hAnsi="Times New Roman" w:cs="Times New Roman"/>
                <w:sz w:val="14"/>
                <w:szCs w:val="14"/>
                <w:highlight w:val="yellow"/>
              </w:rPr>
            </w:pPr>
            <w:r w:rsidRPr="00BD4A1B">
              <w:rPr>
                <w:rFonts w:ascii="Times New Roman" w:hAnsi="Times New Roman" w:cs="Times New Roman"/>
                <w:sz w:val="14"/>
                <w:szCs w:val="14"/>
              </w:rPr>
              <w:t>497 572</w:t>
            </w:r>
          </w:p>
        </w:tc>
      </w:tr>
    </w:tbl>
    <w:p w:rsidR="003A497B" w:rsidRDefault="003A497B" w:rsidP="003A497B">
      <w:pPr>
        <w:ind w:firstLine="708"/>
        <w:jc w:val="both"/>
        <w:rPr>
          <w:rFonts w:ascii="Times New Roman" w:hAnsi="Times New Roman" w:cs="Times New Roman"/>
        </w:rPr>
      </w:pPr>
    </w:p>
    <w:p w:rsidR="003A497B" w:rsidRPr="008B2ACC" w:rsidRDefault="003A497B" w:rsidP="003A497B">
      <w:pPr>
        <w:ind w:firstLine="708"/>
        <w:jc w:val="both"/>
        <w:rPr>
          <w:rFonts w:ascii="Times New Roman" w:hAnsi="Times New Roman" w:cs="Times New Roman"/>
        </w:rPr>
      </w:pPr>
      <w:r w:rsidRPr="008B2ACC">
        <w:rPr>
          <w:rFonts w:ascii="Times New Roman" w:hAnsi="Times New Roman" w:cs="Times New Roman"/>
        </w:rPr>
        <w:t>Celkové zdroje Slovenskej akadémie vied (ďalej len „SAV“) na rok 201</w:t>
      </w:r>
      <w:r>
        <w:rPr>
          <w:rFonts w:ascii="Times New Roman" w:hAnsi="Times New Roman" w:cs="Times New Roman"/>
        </w:rPr>
        <w:t>9</w:t>
      </w:r>
      <w:r w:rsidRPr="008B2ACC">
        <w:rPr>
          <w:rFonts w:ascii="Times New Roman" w:hAnsi="Times New Roman" w:cs="Times New Roman"/>
        </w:rPr>
        <w:t xml:space="preserve"> sa rozpočtujú  v sume 6</w:t>
      </w:r>
      <w:r>
        <w:rPr>
          <w:rFonts w:ascii="Times New Roman" w:hAnsi="Times New Roman" w:cs="Times New Roman"/>
        </w:rPr>
        <w:t>9,4</w:t>
      </w:r>
      <w:r w:rsidRPr="008B2ACC">
        <w:rPr>
          <w:rFonts w:ascii="Times New Roman" w:hAnsi="Times New Roman" w:cs="Times New Roman"/>
        </w:rPr>
        <w:t xml:space="preserve"> mil. eur, čo predstavuje nárast oproti schválenému rozpočtu na rok 201</w:t>
      </w:r>
      <w:r>
        <w:rPr>
          <w:rFonts w:ascii="Times New Roman" w:hAnsi="Times New Roman" w:cs="Times New Roman"/>
        </w:rPr>
        <w:t>8</w:t>
      </w:r>
      <w:r w:rsidRPr="008B2ACC">
        <w:rPr>
          <w:rFonts w:ascii="Times New Roman" w:hAnsi="Times New Roman" w:cs="Times New Roman"/>
        </w:rPr>
        <w:t xml:space="preserve"> o</w:t>
      </w:r>
      <w:r>
        <w:rPr>
          <w:rFonts w:ascii="Times New Roman" w:hAnsi="Times New Roman" w:cs="Times New Roman"/>
        </w:rPr>
        <w:t> 2,31</w:t>
      </w:r>
      <w:r w:rsidRPr="008B2ACC">
        <w:rPr>
          <w:rFonts w:ascii="Times New Roman" w:hAnsi="Times New Roman" w:cs="Times New Roman"/>
        </w:rPr>
        <w:t xml:space="preserve"> mil. eur, t. j. o</w:t>
      </w:r>
      <w:r>
        <w:rPr>
          <w:rFonts w:ascii="Times New Roman" w:hAnsi="Times New Roman" w:cs="Times New Roman"/>
        </w:rPr>
        <w:t> 3,44</w:t>
      </w:r>
      <w:r w:rsidRPr="008B2ACC">
        <w:rPr>
          <w:rFonts w:ascii="Times New Roman" w:hAnsi="Times New Roman" w:cs="Times New Roman"/>
        </w:rPr>
        <w:t xml:space="preserve"> %. </w:t>
      </w:r>
    </w:p>
    <w:p w:rsidR="003A497B" w:rsidRDefault="00C017E3" w:rsidP="003A497B">
      <w:pPr>
        <w:jc w:val="both"/>
        <w:rPr>
          <w:rFonts w:ascii="Times New Roman" w:hAnsi="Times New Roman" w:cs="Times New Roman"/>
        </w:rPr>
      </w:pPr>
      <w:r>
        <w:rPr>
          <w:rFonts w:ascii="Times New Roman" w:hAnsi="Times New Roman" w:cs="Times New Roman"/>
        </w:rPr>
        <w:t xml:space="preserve"> </w:t>
      </w:r>
    </w:p>
    <w:p w:rsidR="003A497B" w:rsidRPr="008B2ACC" w:rsidRDefault="003A497B" w:rsidP="003A497B">
      <w:pPr>
        <w:ind w:firstLine="708"/>
        <w:jc w:val="both"/>
        <w:rPr>
          <w:rFonts w:ascii="Times New Roman" w:hAnsi="Times New Roman" w:cs="Times New Roman"/>
        </w:rPr>
      </w:pPr>
      <w:r w:rsidRPr="008B2ACC">
        <w:rPr>
          <w:rFonts w:ascii="Times New Roman" w:hAnsi="Times New Roman" w:cs="Times New Roman"/>
        </w:rPr>
        <w:t>Osobné výdavky rozpočtových organizácií na rok 201</w:t>
      </w:r>
      <w:r>
        <w:rPr>
          <w:rFonts w:ascii="Times New Roman" w:hAnsi="Times New Roman" w:cs="Times New Roman"/>
        </w:rPr>
        <w:t>9</w:t>
      </w:r>
      <w:r w:rsidRPr="008B2ACC">
        <w:rPr>
          <w:rFonts w:ascii="Times New Roman" w:hAnsi="Times New Roman" w:cs="Times New Roman"/>
        </w:rPr>
        <w:t xml:space="preserve"> oproti schválenému rozpočtu na rok 201</w:t>
      </w:r>
      <w:r>
        <w:rPr>
          <w:rFonts w:ascii="Times New Roman" w:hAnsi="Times New Roman" w:cs="Times New Roman"/>
        </w:rPr>
        <w:t>8</w:t>
      </w:r>
      <w:r w:rsidRPr="008B2ACC">
        <w:rPr>
          <w:rFonts w:ascii="Times New Roman" w:hAnsi="Times New Roman" w:cs="Times New Roman"/>
        </w:rPr>
        <w:t xml:space="preserve"> </w:t>
      </w:r>
      <w:r>
        <w:rPr>
          <w:rFonts w:ascii="Times New Roman" w:hAnsi="Times New Roman" w:cs="Times New Roman"/>
        </w:rPr>
        <w:t xml:space="preserve">klesajú </w:t>
      </w:r>
      <w:r w:rsidRPr="008B2ACC">
        <w:rPr>
          <w:rFonts w:ascii="Times New Roman" w:hAnsi="Times New Roman" w:cs="Times New Roman"/>
        </w:rPr>
        <w:t>o</w:t>
      </w:r>
      <w:r>
        <w:rPr>
          <w:rFonts w:ascii="Times New Roman" w:hAnsi="Times New Roman" w:cs="Times New Roman"/>
        </w:rPr>
        <w:t> 1,58</w:t>
      </w:r>
      <w:r w:rsidRPr="008B2ACC">
        <w:rPr>
          <w:rFonts w:ascii="Times New Roman" w:hAnsi="Times New Roman" w:cs="Times New Roman"/>
        </w:rPr>
        <w:t xml:space="preserve"> mil. eur, t. j. o</w:t>
      </w:r>
      <w:r>
        <w:rPr>
          <w:rFonts w:ascii="Times New Roman" w:hAnsi="Times New Roman" w:cs="Times New Roman"/>
        </w:rPr>
        <w:t> 8,68</w:t>
      </w:r>
      <w:r w:rsidRPr="008B2ACC">
        <w:rPr>
          <w:rFonts w:ascii="Times New Roman" w:hAnsi="Times New Roman" w:cs="Times New Roman"/>
        </w:rPr>
        <w:t xml:space="preserve"> %. </w:t>
      </w:r>
      <w:r w:rsidRPr="00800D83">
        <w:rPr>
          <w:rFonts w:ascii="Times New Roman" w:hAnsi="Times New Roman" w:cs="Times New Roman"/>
        </w:rPr>
        <w:t xml:space="preserve">V návrhu rozpočtu osobných výdavkov na roky 2019 až 2021 je premietnutá valorizácia platov zamestnancov z roku 2018 na úrovni 4,8 %. </w:t>
      </w:r>
      <w:r>
        <w:rPr>
          <w:rFonts w:ascii="Times New Roman" w:hAnsi="Times New Roman" w:cs="Times New Roman"/>
        </w:rPr>
        <w:t>Zároveň v objeme osobných výdavkov je premietnutý vplyv organizačnej zmeny hospodárenia z rozpočtovej na príspevkovú formu.</w:t>
      </w:r>
    </w:p>
    <w:p w:rsidR="003A497B" w:rsidRPr="008B2ACC" w:rsidRDefault="003A497B" w:rsidP="003A497B">
      <w:pPr>
        <w:jc w:val="both"/>
        <w:rPr>
          <w:rFonts w:ascii="Times New Roman" w:hAnsi="Times New Roman" w:cs="Times New Roman"/>
        </w:rPr>
      </w:pPr>
      <w:r w:rsidRPr="008B2ACC">
        <w:rPr>
          <w:rFonts w:ascii="Times New Roman" w:hAnsi="Times New Roman"/>
          <w:lang w:eastAsia="sk-SK"/>
        </w:rPr>
        <w:t> </w:t>
      </w:r>
      <w:r w:rsidRPr="008B2ACC">
        <w:rPr>
          <w:rFonts w:ascii="Times New Roman" w:hAnsi="Times New Roman"/>
          <w:lang w:eastAsia="sk-SK"/>
        </w:rPr>
        <w:tab/>
      </w:r>
    </w:p>
    <w:p w:rsidR="003A497B" w:rsidRPr="008B2ACC" w:rsidRDefault="003A497B" w:rsidP="003A497B">
      <w:pPr>
        <w:ind w:firstLine="708"/>
        <w:jc w:val="both"/>
        <w:rPr>
          <w:rFonts w:ascii="Times New Roman" w:hAnsi="Times New Roman"/>
          <w:lang w:eastAsia="sk-SK"/>
        </w:rPr>
      </w:pPr>
      <w:r w:rsidRPr="008B2ACC">
        <w:rPr>
          <w:rFonts w:ascii="Times New Roman" w:hAnsi="Times New Roman"/>
          <w:lang w:eastAsia="sk-SK"/>
        </w:rPr>
        <w:t>Výdavky na tovary a služby na rok 201</w:t>
      </w:r>
      <w:r>
        <w:rPr>
          <w:rFonts w:ascii="Times New Roman" w:hAnsi="Times New Roman"/>
          <w:lang w:eastAsia="sk-SK"/>
        </w:rPr>
        <w:t>9</w:t>
      </w:r>
      <w:r w:rsidRPr="008B2ACC">
        <w:rPr>
          <w:rFonts w:ascii="Times New Roman" w:hAnsi="Times New Roman"/>
          <w:lang w:eastAsia="sk-SK"/>
        </w:rPr>
        <w:t xml:space="preserve"> sa navrhujú v sume </w:t>
      </w:r>
      <w:r>
        <w:rPr>
          <w:rFonts w:ascii="Times New Roman" w:hAnsi="Times New Roman"/>
          <w:lang w:eastAsia="sk-SK"/>
        </w:rPr>
        <w:t xml:space="preserve">6,55 </w:t>
      </w:r>
      <w:r w:rsidRPr="008B2ACC">
        <w:rPr>
          <w:rFonts w:ascii="Times New Roman" w:hAnsi="Times New Roman"/>
          <w:lang w:eastAsia="sk-SK"/>
        </w:rPr>
        <w:t xml:space="preserve">mil. eur, čo predstavuje </w:t>
      </w:r>
      <w:r>
        <w:rPr>
          <w:rFonts w:ascii="Times New Roman" w:hAnsi="Times New Roman"/>
          <w:lang w:eastAsia="sk-SK"/>
        </w:rPr>
        <w:t>pokles</w:t>
      </w:r>
      <w:r w:rsidRPr="008B2ACC">
        <w:rPr>
          <w:rFonts w:ascii="Times New Roman" w:hAnsi="Times New Roman"/>
          <w:lang w:eastAsia="sk-SK"/>
        </w:rPr>
        <w:t xml:space="preserve"> o</w:t>
      </w:r>
      <w:r>
        <w:rPr>
          <w:rFonts w:ascii="Times New Roman" w:hAnsi="Times New Roman"/>
          <w:lang w:eastAsia="sk-SK"/>
        </w:rPr>
        <w:t> 0,38</w:t>
      </w:r>
      <w:r w:rsidRPr="008B2ACC">
        <w:rPr>
          <w:rFonts w:ascii="Times New Roman" w:hAnsi="Times New Roman"/>
          <w:lang w:eastAsia="sk-SK"/>
        </w:rPr>
        <w:t xml:space="preserve"> mil. eur, t. j. o</w:t>
      </w:r>
      <w:r>
        <w:rPr>
          <w:rFonts w:ascii="Times New Roman" w:hAnsi="Times New Roman"/>
          <w:lang w:eastAsia="sk-SK"/>
        </w:rPr>
        <w:t> 5,46</w:t>
      </w:r>
      <w:r w:rsidRPr="008B2ACC">
        <w:rPr>
          <w:rFonts w:ascii="Times New Roman" w:hAnsi="Times New Roman"/>
          <w:lang w:eastAsia="sk-SK"/>
        </w:rPr>
        <w:t xml:space="preserve"> % oproti schválenému rozpočtu na rok 201</w:t>
      </w:r>
      <w:r>
        <w:rPr>
          <w:rFonts w:ascii="Times New Roman" w:hAnsi="Times New Roman"/>
          <w:lang w:eastAsia="sk-SK"/>
        </w:rPr>
        <w:t>8</w:t>
      </w:r>
      <w:r w:rsidRPr="008B2ACC">
        <w:rPr>
          <w:rFonts w:ascii="Times New Roman" w:hAnsi="Times New Roman"/>
          <w:lang w:eastAsia="sk-SK"/>
        </w:rPr>
        <w:t xml:space="preserve">. Dôvodom </w:t>
      </w:r>
      <w:r>
        <w:rPr>
          <w:rFonts w:ascii="Times New Roman" w:hAnsi="Times New Roman"/>
          <w:lang w:eastAsia="sk-SK"/>
        </w:rPr>
        <w:t>poklesu</w:t>
      </w:r>
      <w:r w:rsidRPr="008B2ACC">
        <w:rPr>
          <w:rFonts w:ascii="Times New Roman" w:hAnsi="Times New Roman"/>
          <w:lang w:eastAsia="sk-SK"/>
        </w:rPr>
        <w:t xml:space="preserve"> výdavkov </w:t>
      </w:r>
      <w:r>
        <w:rPr>
          <w:rFonts w:ascii="Times New Roman" w:hAnsi="Times New Roman"/>
          <w:lang w:eastAsia="sk-SK"/>
        </w:rPr>
        <w:t>je zmena hospodárenia rozpočtových organizácií na príspevkové organizácie.</w:t>
      </w:r>
    </w:p>
    <w:p w:rsidR="003A497B" w:rsidRPr="008B2ACC" w:rsidRDefault="003A497B" w:rsidP="003A497B">
      <w:pPr>
        <w:jc w:val="both"/>
        <w:rPr>
          <w:rFonts w:ascii="Times New Roman" w:hAnsi="Times New Roman"/>
          <w:lang w:eastAsia="sk-SK"/>
        </w:rPr>
      </w:pPr>
    </w:p>
    <w:p w:rsidR="003A497B" w:rsidRPr="008B2ACC" w:rsidRDefault="003A497B" w:rsidP="003A497B">
      <w:pPr>
        <w:ind w:firstLine="708"/>
        <w:jc w:val="both"/>
        <w:rPr>
          <w:rFonts w:ascii="Times New Roman" w:hAnsi="Times New Roman"/>
          <w:lang w:eastAsia="sk-SK"/>
        </w:rPr>
      </w:pPr>
      <w:r w:rsidRPr="008B2ACC">
        <w:rPr>
          <w:rFonts w:ascii="Times New Roman" w:hAnsi="Times New Roman"/>
          <w:lang w:eastAsia="sk-SK"/>
        </w:rPr>
        <w:t>Rozpočtovaná úroveň bežných transferov na rok 201</w:t>
      </w:r>
      <w:r>
        <w:rPr>
          <w:rFonts w:ascii="Times New Roman" w:hAnsi="Times New Roman"/>
          <w:lang w:eastAsia="sk-SK"/>
        </w:rPr>
        <w:t>9</w:t>
      </w:r>
      <w:r w:rsidRPr="008B2ACC">
        <w:rPr>
          <w:rFonts w:ascii="Times New Roman" w:hAnsi="Times New Roman"/>
          <w:lang w:eastAsia="sk-SK"/>
        </w:rPr>
        <w:t xml:space="preserve"> v sume </w:t>
      </w:r>
      <w:r>
        <w:rPr>
          <w:rFonts w:ascii="Times New Roman" w:hAnsi="Times New Roman"/>
          <w:lang w:eastAsia="sk-SK"/>
        </w:rPr>
        <w:t>45,6</w:t>
      </w:r>
      <w:r w:rsidRPr="008B2ACC">
        <w:rPr>
          <w:rFonts w:ascii="Times New Roman" w:hAnsi="Times New Roman"/>
          <w:lang w:eastAsia="sk-SK"/>
        </w:rPr>
        <w:t xml:space="preserve"> mil. eur je oproti schválenému rozpočtu na rok 201</w:t>
      </w:r>
      <w:r>
        <w:rPr>
          <w:rFonts w:ascii="Times New Roman" w:hAnsi="Times New Roman"/>
          <w:lang w:eastAsia="sk-SK"/>
        </w:rPr>
        <w:t>8</w:t>
      </w:r>
      <w:r w:rsidRPr="008B2ACC">
        <w:rPr>
          <w:rFonts w:ascii="Times New Roman" w:hAnsi="Times New Roman"/>
          <w:lang w:eastAsia="sk-SK"/>
        </w:rPr>
        <w:t xml:space="preserve"> vyššia o</w:t>
      </w:r>
      <w:r>
        <w:rPr>
          <w:rFonts w:ascii="Times New Roman" w:hAnsi="Times New Roman"/>
          <w:lang w:eastAsia="sk-SK"/>
        </w:rPr>
        <w:t> 4,27</w:t>
      </w:r>
      <w:r w:rsidRPr="008B2ACC">
        <w:rPr>
          <w:rFonts w:ascii="Times New Roman" w:hAnsi="Times New Roman"/>
          <w:lang w:eastAsia="sk-SK"/>
        </w:rPr>
        <w:t xml:space="preserve"> mil. eur, t. j. o</w:t>
      </w:r>
      <w:r>
        <w:rPr>
          <w:rFonts w:ascii="Times New Roman" w:hAnsi="Times New Roman"/>
          <w:lang w:eastAsia="sk-SK"/>
        </w:rPr>
        <w:t> 10,3</w:t>
      </w:r>
      <w:r w:rsidRPr="008B2ACC">
        <w:rPr>
          <w:rFonts w:ascii="Times New Roman" w:hAnsi="Times New Roman"/>
          <w:lang w:eastAsia="sk-SK"/>
        </w:rPr>
        <w:t xml:space="preserve"> %. V náraste je premietnuté zvýšenie výdavkov z titulu zapracovania organizačných zmien</w:t>
      </w:r>
      <w:r>
        <w:rPr>
          <w:rFonts w:ascii="Times New Roman" w:hAnsi="Times New Roman"/>
          <w:lang w:eastAsia="sk-SK"/>
        </w:rPr>
        <w:t xml:space="preserve"> a ocenenia excelentných pracovísk. </w:t>
      </w:r>
    </w:p>
    <w:p w:rsidR="003A497B" w:rsidRPr="008B2ACC" w:rsidRDefault="003A497B" w:rsidP="003A497B">
      <w:pPr>
        <w:jc w:val="both"/>
        <w:rPr>
          <w:rFonts w:ascii="Times New Roman" w:hAnsi="Times New Roman"/>
          <w:lang w:eastAsia="sk-SK"/>
        </w:rPr>
      </w:pPr>
    </w:p>
    <w:p w:rsidR="003A497B" w:rsidRDefault="003A497B" w:rsidP="003A497B">
      <w:pPr>
        <w:ind w:firstLine="708"/>
        <w:jc w:val="both"/>
        <w:rPr>
          <w:rFonts w:ascii="Times New Roman" w:hAnsi="Times New Roman"/>
          <w:lang w:eastAsia="sk-SK"/>
        </w:rPr>
      </w:pPr>
      <w:r w:rsidRPr="008B2ACC">
        <w:rPr>
          <w:rFonts w:ascii="Times New Roman" w:hAnsi="Times New Roman"/>
          <w:lang w:eastAsia="sk-SK"/>
        </w:rPr>
        <w:t xml:space="preserve">Kapitálové výdavky </w:t>
      </w:r>
      <w:r>
        <w:rPr>
          <w:rFonts w:ascii="Times New Roman" w:hAnsi="Times New Roman"/>
          <w:lang w:eastAsia="sk-SK"/>
        </w:rPr>
        <w:t>v sume 0,64 mil. eur kopírujú úroveň schváleného rozpočtu roku 2018.</w:t>
      </w:r>
    </w:p>
    <w:p w:rsidR="003A497B" w:rsidRPr="008B2ACC" w:rsidRDefault="003A497B" w:rsidP="003A497B">
      <w:pPr>
        <w:ind w:firstLine="708"/>
        <w:jc w:val="both"/>
        <w:rPr>
          <w:rFonts w:ascii="Times New Roman" w:hAnsi="Times New Roman"/>
          <w:lang w:eastAsia="sk-SK"/>
        </w:rPr>
      </w:pPr>
    </w:p>
    <w:p w:rsidR="003A497B" w:rsidRPr="00F60E32" w:rsidRDefault="003A497B" w:rsidP="003A497B">
      <w:pPr>
        <w:ind w:firstLine="708"/>
        <w:jc w:val="both"/>
        <w:rPr>
          <w:rFonts w:ascii="Times New Roman" w:hAnsi="Times New Roman" w:cs="Times New Roman"/>
          <w:bCs/>
        </w:rPr>
      </w:pPr>
      <w:r w:rsidRPr="006D54D2">
        <w:rPr>
          <w:rFonts w:ascii="Times New Roman" w:hAnsi="Times New Roman" w:cs="Times New Roman"/>
          <w:noProof/>
          <w:lang w:eastAsia="sk-SK"/>
        </w:rPr>
        <w:t>SAV na rok 2019 rozpočtuje výdavky na samostaných účtoch v celkovej sume</w:t>
      </w:r>
      <w:r w:rsidRPr="006D54D2">
        <w:rPr>
          <w:rFonts w:ascii="Times New Roman" w:hAnsi="Times New Roman" w:cs="Times New Roman"/>
          <w:noProof/>
          <w:lang w:eastAsia="sk-SK"/>
        </w:rPr>
        <w:br/>
      </w:r>
      <w:r w:rsidRPr="006D54D2">
        <w:rPr>
          <w:rFonts w:ascii="Times New Roman" w:hAnsi="Times New Roman" w:cs="Times New Roman"/>
          <w:bCs/>
        </w:rPr>
        <w:t>0,</w:t>
      </w:r>
      <w:r>
        <w:rPr>
          <w:rFonts w:ascii="Times New Roman" w:hAnsi="Times New Roman" w:cs="Times New Roman"/>
          <w:bCs/>
        </w:rPr>
        <w:t>59</w:t>
      </w:r>
      <w:r w:rsidRPr="006D54D2">
        <w:rPr>
          <w:rFonts w:ascii="Times New Roman" w:hAnsi="Times New Roman" w:cs="Times New Roman"/>
          <w:bCs/>
        </w:rPr>
        <w:t xml:space="preserve"> mil. eur. Uvedené prostriedky sú určené na financovanie 7. rámcového programu EÚ, SASPRO</w:t>
      </w:r>
      <w:r>
        <w:rPr>
          <w:rFonts w:ascii="Times New Roman" w:hAnsi="Times New Roman" w:cs="Times New Roman"/>
          <w:bCs/>
        </w:rPr>
        <w:t>, program</w:t>
      </w:r>
      <w:r w:rsidRPr="006D54D2">
        <w:rPr>
          <w:rFonts w:ascii="Times New Roman" w:hAnsi="Times New Roman" w:cs="Times New Roman"/>
          <w:bCs/>
        </w:rPr>
        <w:t xml:space="preserve"> Horizont 2020, </w:t>
      </w:r>
      <w:r>
        <w:rPr>
          <w:rFonts w:ascii="Times New Roman" w:hAnsi="Times New Roman" w:cs="Times New Roman"/>
          <w:bCs/>
        </w:rPr>
        <w:t>ERA.NET</w:t>
      </w:r>
      <w:r w:rsidRPr="006D54D2">
        <w:rPr>
          <w:rFonts w:ascii="Times New Roman" w:hAnsi="Times New Roman" w:cs="Times New Roman"/>
          <w:bCs/>
        </w:rPr>
        <w:t xml:space="preserve">, </w:t>
      </w:r>
      <w:r>
        <w:rPr>
          <w:rFonts w:ascii="Times New Roman" w:hAnsi="Times New Roman" w:cs="Times New Roman"/>
          <w:bCs/>
        </w:rPr>
        <w:t>ESA, COST, IVF, NATO, CERN</w:t>
      </w:r>
      <w:r w:rsidRPr="006D54D2">
        <w:rPr>
          <w:rFonts w:ascii="Times New Roman" w:hAnsi="Times New Roman" w:cs="Times New Roman"/>
          <w:bCs/>
        </w:rPr>
        <w:t xml:space="preserve"> atď. a nákladov súvisiacich so stravovaním vrátane úhrad stravy.</w:t>
      </w:r>
    </w:p>
    <w:p w:rsidR="003A497B" w:rsidRPr="008B2ACC" w:rsidRDefault="003A497B" w:rsidP="003A497B">
      <w:pPr>
        <w:jc w:val="both"/>
        <w:rPr>
          <w:rFonts w:ascii="Times New Roman" w:hAnsi="Times New Roman"/>
          <w:lang w:eastAsia="sk-SK"/>
        </w:rPr>
      </w:pPr>
    </w:p>
    <w:p w:rsidR="003A497B" w:rsidRPr="008B2ACC" w:rsidRDefault="003A497B" w:rsidP="003A497B">
      <w:pPr>
        <w:ind w:firstLine="708"/>
        <w:jc w:val="both"/>
        <w:rPr>
          <w:rFonts w:ascii="Times New Roman" w:hAnsi="Times New Roman"/>
          <w:lang w:eastAsia="sk-SK"/>
        </w:rPr>
      </w:pPr>
      <w:r w:rsidRPr="008B2ACC">
        <w:rPr>
          <w:rFonts w:ascii="Times New Roman" w:hAnsi="Times New Roman"/>
          <w:lang w:eastAsia="sk-SK"/>
        </w:rPr>
        <w:t>Činnosť akadémie je zameraná na základný výskum, zúčastňuje sa aj na aplikovanom výskume a zabezpečuje tretí stupeň vysokoškolského vzdelávania.</w:t>
      </w:r>
    </w:p>
    <w:p w:rsidR="003A497B" w:rsidRDefault="003A497B" w:rsidP="003A497B">
      <w:pPr>
        <w:jc w:val="both"/>
        <w:rPr>
          <w:rFonts w:ascii="Times New Roman" w:hAnsi="Times New Roman"/>
          <w:b/>
          <w:bCs/>
          <w:lang w:eastAsia="sk-SK"/>
        </w:rPr>
      </w:pPr>
    </w:p>
    <w:p w:rsidR="003A497B" w:rsidRPr="008B2ACC" w:rsidRDefault="003A497B" w:rsidP="003A497B">
      <w:pPr>
        <w:jc w:val="both"/>
        <w:rPr>
          <w:rFonts w:ascii="Times New Roman" w:hAnsi="Times New Roman"/>
          <w:b/>
          <w:bCs/>
          <w:lang w:eastAsia="sk-SK"/>
        </w:rPr>
      </w:pPr>
      <w:r w:rsidRPr="008B2ACC">
        <w:rPr>
          <w:rFonts w:ascii="Times New Roman" w:hAnsi="Times New Roman"/>
          <w:b/>
          <w:bCs/>
          <w:lang w:eastAsia="sk-SK"/>
        </w:rPr>
        <w:t>Financovanie základného a aplikovaného výskumu </w:t>
      </w:r>
    </w:p>
    <w:p w:rsidR="003A497B" w:rsidRPr="008B2ACC" w:rsidRDefault="003A497B" w:rsidP="003A497B">
      <w:pPr>
        <w:jc w:val="both"/>
        <w:rPr>
          <w:rFonts w:ascii="Times New Roman" w:hAnsi="Times New Roman"/>
          <w:lang w:eastAsia="sk-SK"/>
        </w:rPr>
      </w:pPr>
    </w:p>
    <w:p w:rsidR="003A497B" w:rsidRDefault="003A497B" w:rsidP="003A497B">
      <w:pPr>
        <w:ind w:firstLine="708"/>
        <w:jc w:val="both"/>
        <w:rPr>
          <w:rFonts w:ascii="Times New Roman" w:hAnsi="Times New Roman"/>
          <w:lang w:eastAsia="sk-SK"/>
        </w:rPr>
      </w:pPr>
      <w:r w:rsidRPr="00C84D85">
        <w:rPr>
          <w:rFonts w:ascii="Times New Roman" w:hAnsi="Times New Roman"/>
          <w:lang w:eastAsia="sk-SK"/>
        </w:rPr>
        <w:t>SAV prostredníctvom svojich 22 rozpočtových organizácií vrátane úradu a 26 príspevkových organizácií zabezpečuje riešenie úloh základného výskumu a aplikovaného výskumu. Na činnosť organizácií v roku 2019 kapitola rozpísala celkové výdavky v sume 65,9 mil. eur vrátane výdavkov určených na IT financovaných zo štátneho rozpočtu, čo je oproti schválenému rozpočtu na rok 2018 viac o 2,09 mil. eur, t. j. </w:t>
      </w:r>
      <w:r w:rsidR="00C017E3">
        <w:rPr>
          <w:rFonts w:ascii="Times New Roman" w:hAnsi="Times New Roman"/>
          <w:lang w:eastAsia="sk-SK"/>
        </w:rPr>
        <w:t xml:space="preserve">o </w:t>
      </w:r>
      <w:r w:rsidRPr="00C84D85">
        <w:rPr>
          <w:rFonts w:ascii="Times New Roman" w:hAnsi="Times New Roman"/>
          <w:lang w:eastAsia="sk-SK"/>
        </w:rPr>
        <w:t>3,27 %.</w:t>
      </w:r>
      <w:r w:rsidRPr="008B2ACC">
        <w:rPr>
          <w:rFonts w:ascii="Times New Roman" w:hAnsi="Times New Roman"/>
          <w:lang w:eastAsia="sk-SK"/>
        </w:rPr>
        <w:t xml:space="preserve"> </w:t>
      </w:r>
      <w:r>
        <w:rPr>
          <w:rFonts w:ascii="Times New Roman" w:hAnsi="Times New Roman"/>
          <w:lang w:eastAsia="sk-SK"/>
        </w:rPr>
        <w:t xml:space="preserve"> </w:t>
      </w:r>
    </w:p>
    <w:p w:rsidR="003A497B" w:rsidRDefault="003A497B" w:rsidP="003A497B">
      <w:pPr>
        <w:ind w:firstLine="708"/>
        <w:jc w:val="both"/>
        <w:rPr>
          <w:rFonts w:ascii="Times New Roman" w:hAnsi="Times New Roman"/>
          <w:lang w:eastAsia="sk-SK"/>
        </w:rPr>
      </w:pPr>
    </w:p>
    <w:tbl>
      <w:tblPr>
        <w:tblW w:w="5000" w:type="pct"/>
        <w:tblCellMar>
          <w:left w:w="70" w:type="dxa"/>
          <w:right w:w="70" w:type="dxa"/>
        </w:tblCellMar>
        <w:tblLook w:val="04A0" w:firstRow="1" w:lastRow="0" w:firstColumn="1" w:lastColumn="0" w:noHBand="0" w:noVBand="1"/>
      </w:tblPr>
      <w:tblGrid>
        <w:gridCol w:w="3660"/>
        <w:gridCol w:w="772"/>
        <w:gridCol w:w="772"/>
        <w:gridCol w:w="772"/>
        <w:gridCol w:w="772"/>
        <w:gridCol w:w="772"/>
        <w:gridCol w:w="772"/>
        <w:gridCol w:w="770"/>
      </w:tblGrid>
      <w:tr w:rsidR="003A497B" w:rsidRPr="00C84D85" w:rsidTr="003E1809">
        <w:trPr>
          <w:trHeight w:hRule="exact" w:val="255"/>
        </w:trPr>
        <w:tc>
          <w:tcPr>
            <w:tcW w:w="2019" w:type="pct"/>
            <w:tcBorders>
              <w:top w:val="single" w:sz="4" w:space="0" w:color="auto"/>
              <w:left w:val="single" w:sz="4" w:space="0" w:color="auto"/>
              <w:bottom w:val="single" w:sz="4" w:space="0" w:color="auto"/>
              <w:right w:val="single" w:sz="4" w:space="0" w:color="auto"/>
            </w:tcBorders>
            <w:shd w:val="pct35" w:color="000000" w:fill="auto"/>
            <w:noWrap/>
            <w:vAlign w:val="center"/>
            <w:hideMark/>
          </w:tcPr>
          <w:p w:rsidR="003A497B" w:rsidRPr="00C84D85" w:rsidRDefault="003A497B" w:rsidP="003E1809">
            <w:pPr>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v eurách</w:t>
            </w:r>
          </w:p>
        </w:tc>
        <w:tc>
          <w:tcPr>
            <w:tcW w:w="426"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C84D85" w:rsidRDefault="003A497B" w:rsidP="003E1809">
            <w:pPr>
              <w:jc w:val="center"/>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2016 S</w:t>
            </w:r>
          </w:p>
        </w:tc>
        <w:tc>
          <w:tcPr>
            <w:tcW w:w="426"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C84D85" w:rsidRDefault="003A497B" w:rsidP="003E1809">
            <w:pPr>
              <w:jc w:val="center"/>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2017 S</w:t>
            </w:r>
          </w:p>
        </w:tc>
        <w:tc>
          <w:tcPr>
            <w:tcW w:w="426"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C84D85" w:rsidRDefault="003A497B" w:rsidP="003E1809">
            <w:pPr>
              <w:jc w:val="center"/>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2018 R</w:t>
            </w:r>
          </w:p>
        </w:tc>
        <w:tc>
          <w:tcPr>
            <w:tcW w:w="426"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C84D85" w:rsidRDefault="003A497B" w:rsidP="003E1809">
            <w:pPr>
              <w:jc w:val="center"/>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2018 OS</w:t>
            </w:r>
          </w:p>
        </w:tc>
        <w:tc>
          <w:tcPr>
            <w:tcW w:w="426"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C84D85" w:rsidRDefault="003A497B" w:rsidP="003E1809">
            <w:pPr>
              <w:jc w:val="center"/>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2019 N</w:t>
            </w:r>
          </w:p>
        </w:tc>
        <w:tc>
          <w:tcPr>
            <w:tcW w:w="426"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C84D85" w:rsidRDefault="003A497B" w:rsidP="003E1809">
            <w:pPr>
              <w:jc w:val="center"/>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2020 N</w:t>
            </w:r>
          </w:p>
        </w:tc>
        <w:tc>
          <w:tcPr>
            <w:tcW w:w="425"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C84D85" w:rsidRDefault="003A497B" w:rsidP="003E1809">
            <w:pPr>
              <w:jc w:val="center"/>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2021 N</w:t>
            </w:r>
          </w:p>
        </w:tc>
      </w:tr>
      <w:tr w:rsidR="003A497B" w:rsidRPr="00C84D85" w:rsidTr="003E1809">
        <w:trPr>
          <w:trHeight w:hRule="exact" w:val="255"/>
        </w:trPr>
        <w:tc>
          <w:tcPr>
            <w:tcW w:w="2019" w:type="pct"/>
            <w:tcBorders>
              <w:top w:val="single" w:sz="4" w:space="0" w:color="auto"/>
              <w:left w:val="single" w:sz="4" w:space="0" w:color="auto"/>
              <w:bottom w:val="single" w:sz="4" w:space="0" w:color="auto"/>
              <w:right w:val="single" w:sz="4" w:space="0" w:color="auto"/>
            </w:tcBorders>
            <w:shd w:val="pct25" w:color="000000" w:fill="auto"/>
            <w:noWrap/>
            <w:vAlign w:val="bottom"/>
            <w:hideMark/>
          </w:tcPr>
          <w:p w:rsidR="003A497B" w:rsidRPr="00C84D85" w:rsidRDefault="003A497B" w:rsidP="003E1809">
            <w:pPr>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Spolu výdavky</w:t>
            </w:r>
          </w:p>
        </w:tc>
        <w:tc>
          <w:tcPr>
            <w:tcW w:w="426" w:type="pct"/>
            <w:tcBorders>
              <w:top w:val="single" w:sz="4" w:space="0" w:color="auto"/>
              <w:left w:val="nil"/>
              <w:bottom w:val="single" w:sz="4" w:space="0" w:color="auto"/>
              <w:right w:val="single" w:sz="4" w:space="0" w:color="auto"/>
            </w:tcBorders>
            <w:shd w:val="pct25" w:color="000000" w:fill="auto"/>
            <w:noWrap/>
            <w:vAlign w:val="bottom"/>
            <w:hideMark/>
          </w:tcPr>
          <w:p w:rsidR="003A497B" w:rsidRPr="00C84D85" w:rsidRDefault="003A497B" w:rsidP="003E1809">
            <w:pPr>
              <w:jc w:val="right"/>
              <w:rPr>
                <w:rFonts w:ascii="Times New Roman" w:hAnsi="Times New Roman" w:cs="Times New Roman"/>
                <w:b/>
                <w:bCs/>
                <w:color w:val="000000"/>
                <w:sz w:val="14"/>
                <w:szCs w:val="14"/>
                <w:lang w:eastAsia="sk-SK"/>
              </w:rPr>
            </w:pPr>
            <w:r w:rsidRPr="00C84D85">
              <w:rPr>
                <w:rFonts w:ascii="Times New Roman" w:hAnsi="Times New Roman" w:cs="Times New Roman"/>
                <w:b/>
                <w:bCs/>
                <w:color w:val="000000"/>
                <w:sz w:val="14"/>
                <w:szCs w:val="14"/>
                <w:lang w:eastAsia="sk-SK"/>
              </w:rPr>
              <w:t>62 031 199</w:t>
            </w:r>
          </w:p>
        </w:tc>
        <w:tc>
          <w:tcPr>
            <w:tcW w:w="426" w:type="pct"/>
            <w:tcBorders>
              <w:top w:val="single" w:sz="4" w:space="0" w:color="auto"/>
              <w:left w:val="nil"/>
              <w:bottom w:val="single" w:sz="4" w:space="0" w:color="auto"/>
              <w:right w:val="single" w:sz="4" w:space="0" w:color="auto"/>
            </w:tcBorders>
            <w:shd w:val="pct25" w:color="000000" w:fill="auto"/>
            <w:noWrap/>
            <w:vAlign w:val="bottom"/>
            <w:hideMark/>
          </w:tcPr>
          <w:p w:rsidR="003A497B" w:rsidRPr="005A6E05" w:rsidRDefault="003A497B" w:rsidP="003E1809">
            <w:pPr>
              <w:jc w:val="right"/>
              <w:rPr>
                <w:rFonts w:ascii="Times New Roman" w:hAnsi="Times New Roman" w:cs="Times New Roman"/>
                <w:b/>
                <w:sz w:val="14"/>
                <w:szCs w:val="14"/>
              </w:rPr>
            </w:pPr>
            <w:r w:rsidRPr="005A6E05">
              <w:rPr>
                <w:rFonts w:ascii="Times New Roman" w:hAnsi="Times New Roman" w:cs="Times New Roman"/>
                <w:b/>
                <w:sz w:val="14"/>
                <w:szCs w:val="14"/>
              </w:rPr>
              <w:t>63 509 292</w:t>
            </w:r>
          </w:p>
        </w:tc>
        <w:tc>
          <w:tcPr>
            <w:tcW w:w="426" w:type="pct"/>
            <w:tcBorders>
              <w:top w:val="single" w:sz="4" w:space="0" w:color="auto"/>
              <w:left w:val="nil"/>
              <w:bottom w:val="single" w:sz="4" w:space="0" w:color="auto"/>
              <w:right w:val="single" w:sz="4" w:space="0" w:color="auto"/>
            </w:tcBorders>
            <w:shd w:val="pct25" w:color="000000" w:fill="auto"/>
            <w:noWrap/>
            <w:vAlign w:val="bottom"/>
            <w:hideMark/>
          </w:tcPr>
          <w:p w:rsidR="003A497B" w:rsidRPr="005A6E05" w:rsidRDefault="003A497B" w:rsidP="003E1809">
            <w:pPr>
              <w:jc w:val="right"/>
              <w:rPr>
                <w:rFonts w:ascii="Times New Roman" w:hAnsi="Times New Roman" w:cs="Times New Roman"/>
                <w:b/>
                <w:sz w:val="14"/>
                <w:szCs w:val="14"/>
              </w:rPr>
            </w:pPr>
            <w:r w:rsidRPr="005A6E05">
              <w:rPr>
                <w:rFonts w:ascii="Times New Roman" w:hAnsi="Times New Roman" w:cs="Times New Roman"/>
                <w:b/>
                <w:sz w:val="14"/>
                <w:szCs w:val="14"/>
              </w:rPr>
              <w:t>63 842 398</w:t>
            </w:r>
          </w:p>
        </w:tc>
        <w:tc>
          <w:tcPr>
            <w:tcW w:w="426" w:type="pct"/>
            <w:tcBorders>
              <w:top w:val="single" w:sz="4" w:space="0" w:color="auto"/>
              <w:left w:val="nil"/>
              <w:bottom w:val="single" w:sz="4" w:space="0" w:color="auto"/>
              <w:right w:val="single" w:sz="4" w:space="0" w:color="auto"/>
            </w:tcBorders>
            <w:shd w:val="pct25" w:color="000000" w:fill="auto"/>
            <w:noWrap/>
            <w:vAlign w:val="bottom"/>
            <w:hideMark/>
          </w:tcPr>
          <w:p w:rsidR="003A497B" w:rsidRPr="005A6E05" w:rsidRDefault="003A497B" w:rsidP="003E1809">
            <w:pPr>
              <w:jc w:val="right"/>
              <w:rPr>
                <w:rFonts w:ascii="Times New Roman" w:hAnsi="Times New Roman" w:cs="Times New Roman"/>
                <w:b/>
                <w:sz w:val="14"/>
                <w:szCs w:val="14"/>
              </w:rPr>
            </w:pPr>
            <w:r w:rsidRPr="005A6E05">
              <w:rPr>
                <w:rFonts w:ascii="Times New Roman" w:hAnsi="Times New Roman" w:cs="Times New Roman"/>
                <w:b/>
                <w:sz w:val="14"/>
                <w:szCs w:val="14"/>
              </w:rPr>
              <w:t>68 757 956</w:t>
            </w:r>
          </w:p>
        </w:tc>
        <w:tc>
          <w:tcPr>
            <w:tcW w:w="426" w:type="pct"/>
            <w:tcBorders>
              <w:top w:val="single" w:sz="4" w:space="0" w:color="auto"/>
              <w:left w:val="nil"/>
              <w:bottom w:val="single" w:sz="4" w:space="0" w:color="auto"/>
              <w:right w:val="single" w:sz="4" w:space="0" w:color="auto"/>
            </w:tcBorders>
            <w:shd w:val="pct25" w:color="000000" w:fill="auto"/>
            <w:noWrap/>
            <w:vAlign w:val="bottom"/>
            <w:hideMark/>
          </w:tcPr>
          <w:p w:rsidR="003A497B" w:rsidRPr="005A6E05" w:rsidRDefault="003A497B" w:rsidP="003E1809">
            <w:pPr>
              <w:jc w:val="right"/>
              <w:rPr>
                <w:rFonts w:ascii="Times New Roman" w:hAnsi="Times New Roman" w:cs="Times New Roman"/>
                <w:b/>
                <w:sz w:val="14"/>
                <w:szCs w:val="14"/>
              </w:rPr>
            </w:pPr>
            <w:r w:rsidRPr="005A6E05">
              <w:rPr>
                <w:rFonts w:ascii="Times New Roman" w:hAnsi="Times New Roman" w:cs="Times New Roman"/>
                <w:b/>
                <w:sz w:val="14"/>
                <w:szCs w:val="14"/>
              </w:rPr>
              <w:t>65 931 800</w:t>
            </w:r>
          </w:p>
        </w:tc>
        <w:tc>
          <w:tcPr>
            <w:tcW w:w="426" w:type="pct"/>
            <w:tcBorders>
              <w:top w:val="single" w:sz="4" w:space="0" w:color="auto"/>
              <w:left w:val="nil"/>
              <w:bottom w:val="single" w:sz="4" w:space="0" w:color="auto"/>
              <w:right w:val="single" w:sz="4" w:space="0" w:color="auto"/>
            </w:tcBorders>
            <w:shd w:val="pct25" w:color="000000" w:fill="auto"/>
            <w:noWrap/>
            <w:vAlign w:val="bottom"/>
            <w:hideMark/>
          </w:tcPr>
          <w:p w:rsidR="003A497B" w:rsidRPr="005A6E05" w:rsidRDefault="003A497B" w:rsidP="003E1809">
            <w:pPr>
              <w:jc w:val="right"/>
              <w:rPr>
                <w:rFonts w:ascii="Times New Roman" w:hAnsi="Times New Roman" w:cs="Times New Roman"/>
                <w:b/>
                <w:sz w:val="14"/>
                <w:szCs w:val="14"/>
              </w:rPr>
            </w:pPr>
            <w:r w:rsidRPr="005A6E05">
              <w:rPr>
                <w:rFonts w:ascii="Times New Roman" w:hAnsi="Times New Roman" w:cs="Times New Roman"/>
                <w:b/>
                <w:sz w:val="14"/>
                <w:szCs w:val="14"/>
              </w:rPr>
              <w:t>65 931 800</w:t>
            </w:r>
          </w:p>
        </w:tc>
        <w:tc>
          <w:tcPr>
            <w:tcW w:w="425" w:type="pct"/>
            <w:tcBorders>
              <w:top w:val="single" w:sz="4" w:space="0" w:color="auto"/>
              <w:left w:val="nil"/>
              <w:bottom w:val="single" w:sz="4" w:space="0" w:color="auto"/>
              <w:right w:val="single" w:sz="4" w:space="0" w:color="auto"/>
            </w:tcBorders>
            <w:shd w:val="pct25" w:color="000000" w:fill="auto"/>
            <w:noWrap/>
            <w:vAlign w:val="bottom"/>
            <w:hideMark/>
          </w:tcPr>
          <w:p w:rsidR="003A497B" w:rsidRPr="005A6E05" w:rsidRDefault="003A497B" w:rsidP="003E1809">
            <w:pPr>
              <w:jc w:val="right"/>
              <w:rPr>
                <w:rFonts w:ascii="Times New Roman" w:hAnsi="Times New Roman" w:cs="Times New Roman"/>
                <w:b/>
                <w:sz w:val="14"/>
                <w:szCs w:val="14"/>
              </w:rPr>
            </w:pPr>
            <w:r w:rsidRPr="005A6E05">
              <w:rPr>
                <w:rFonts w:ascii="Times New Roman" w:hAnsi="Times New Roman" w:cs="Times New Roman"/>
                <w:b/>
                <w:sz w:val="14"/>
                <w:szCs w:val="14"/>
              </w:rPr>
              <w:t>65 931 800</w:t>
            </w:r>
          </w:p>
        </w:tc>
      </w:tr>
      <w:tr w:rsidR="003A497B" w:rsidRPr="00C84D85" w:rsidTr="003E1809">
        <w:trPr>
          <w:trHeight w:hRule="exact" w:val="25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3A497B" w:rsidRPr="00C84D85" w:rsidRDefault="003A497B" w:rsidP="003E1809">
            <w:pPr>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Úrad SAV</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8 271 720</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6 237 412</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8 669 222</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13 848 195</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8 927 203</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9 067 443</w:t>
            </w:r>
          </w:p>
        </w:tc>
        <w:tc>
          <w:tcPr>
            <w:tcW w:w="425"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8 945 223</w:t>
            </w:r>
          </w:p>
        </w:tc>
      </w:tr>
      <w:tr w:rsidR="003A497B" w:rsidRPr="00C84D85" w:rsidTr="003E1809">
        <w:trPr>
          <w:trHeight w:hRule="exact" w:val="25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3A497B" w:rsidRPr="00C84D85" w:rsidRDefault="003A497B" w:rsidP="003E1809">
            <w:pPr>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 xml:space="preserve">rozpočtové organizácie </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21 061 611</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18 673 453</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16 728 533</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16 201 917</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14 177 765</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14 177 765</w:t>
            </w:r>
          </w:p>
        </w:tc>
        <w:tc>
          <w:tcPr>
            <w:tcW w:w="425"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14 177 765</w:t>
            </w:r>
          </w:p>
        </w:tc>
      </w:tr>
      <w:tr w:rsidR="003A497B" w:rsidRPr="00C84D85" w:rsidTr="003E1809">
        <w:trPr>
          <w:trHeight w:hRule="exact" w:val="25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3A497B" w:rsidRPr="00C84D85" w:rsidRDefault="003A497B" w:rsidP="003E1809">
            <w:pPr>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príspevkové organizácie</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32 697 868</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37 323 886</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37 720 792</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37 851 414</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41 944 901</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41 944 901</w:t>
            </w:r>
          </w:p>
        </w:tc>
        <w:tc>
          <w:tcPr>
            <w:tcW w:w="425"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41 944 901</w:t>
            </w:r>
          </w:p>
        </w:tc>
      </w:tr>
      <w:tr w:rsidR="003A497B" w:rsidRPr="00C84D85" w:rsidTr="003E1809">
        <w:trPr>
          <w:trHeight w:hRule="exact" w:val="25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3A497B" w:rsidRPr="00C84D85" w:rsidRDefault="003A497B" w:rsidP="003E1809">
            <w:pPr>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IT financované zo štátneho rozpočtu</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C84D85" w:rsidRDefault="003A497B" w:rsidP="003E1809">
            <w:pPr>
              <w:jc w:val="right"/>
              <w:rPr>
                <w:rFonts w:ascii="Times New Roman" w:hAnsi="Times New Roman" w:cs="Times New Roman"/>
                <w:color w:val="000000"/>
                <w:sz w:val="14"/>
                <w:szCs w:val="14"/>
                <w:lang w:eastAsia="sk-SK"/>
              </w:rPr>
            </w:pPr>
            <w:r w:rsidRPr="00C84D85">
              <w:rPr>
                <w:rFonts w:ascii="Times New Roman" w:hAnsi="Times New Roman" w:cs="Times New Roman"/>
                <w:color w:val="000000"/>
                <w:sz w:val="14"/>
                <w:szCs w:val="14"/>
                <w:lang w:eastAsia="sk-SK"/>
              </w:rPr>
              <w:t>0</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1 274 541</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723 851</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856 430</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881 931</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741 691</w:t>
            </w:r>
          </w:p>
        </w:tc>
        <w:tc>
          <w:tcPr>
            <w:tcW w:w="425"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rPr>
            </w:pPr>
            <w:r w:rsidRPr="005A6E05">
              <w:rPr>
                <w:rFonts w:ascii="Times New Roman" w:hAnsi="Times New Roman" w:cs="Times New Roman"/>
                <w:sz w:val="14"/>
                <w:szCs w:val="14"/>
              </w:rPr>
              <w:t>863 911</w:t>
            </w:r>
          </w:p>
        </w:tc>
      </w:tr>
    </w:tbl>
    <w:p w:rsidR="003A497B" w:rsidRPr="008B2ACC" w:rsidRDefault="003A497B" w:rsidP="003A497B">
      <w:pPr>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EE1354" w:rsidRDefault="00EE1354" w:rsidP="003A497B">
      <w:pPr>
        <w:ind w:firstLine="708"/>
        <w:jc w:val="both"/>
        <w:rPr>
          <w:rFonts w:ascii="Times New Roman" w:hAnsi="Times New Roman"/>
          <w:lang w:eastAsia="sk-SK"/>
        </w:rPr>
      </w:pPr>
    </w:p>
    <w:p w:rsidR="003A497B" w:rsidRDefault="003A497B" w:rsidP="003A497B">
      <w:pPr>
        <w:ind w:firstLine="708"/>
        <w:jc w:val="both"/>
        <w:rPr>
          <w:rFonts w:ascii="Times New Roman" w:hAnsi="Times New Roman"/>
          <w:lang w:eastAsia="sk-SK"/>
        </w:rPr>
      </w:pPr>
      <w:r w:rsidRPr="008B2ACC">
        <w:rPr>
          <w:rFonts w:ascii="Times New Roman" w:hAnsi="Times New Roman"/>
          <w:lang w:eastAsia="sk-SK"/>
        </w:rPr>
        <w:lastRenderedPageBreak/>
        <w:t xml:space="preserve">Prehľad rozpočtových </w:t>
      </w:r>
      <w:r>
        <w:rPr>
          <w:rFonts w:ascii="Times New Roman" w:hAnsi="Times New Roman"/>
          <w:lang w:eastAsia="sk-SK"/>
        </w:rPr>
        <w:t xml:space="preserve">organizácií </w:t>
      </w:r>
      <w:r w:rsidRPr="008B2ACC">
        <w:rPr>
          <w:rFonts w:ascii="Times New Roman" w:hAnsi="Times New Roman"/>
          <w:lang w:eastAsia="sk-SK"/>
        </w:rPr>
        <w:t xml:space="preserve">a príspevkových organizácií SAV </w:t>
      </w:r>
      <w:r>
        <w:rPr>
          <w:rFonts w:ascii="Times New Roman" w:hAnsi="Times New Roman"/>
          <w:lang w:eastAsia="sk-SK"/>
        </w:rPr>
        <w:t xml:space="preserve">bez IT financovaných zo ŠR </w:t>
      </w:r>
      <w:r w:rsidRPr="008B2ACC">
        <w:rPr>
          <w:rFonts w:ascii="Times New Roman" w:hAnsi="Times New Roman"/>
          <w:lang w:eastAsia="sk-SK"/>
        </w:rPr>
        <w:t>je uvedený nižšie.</w:t>
      </w:r>
      <w:r>
        <w:rPr>
          <w:rFonts w:ascii="Times New Roman" w:hAnsi="Times New Roman"/>
          <w:lang w:eastAsia="sk-SK"/>
        </w:rPr>
        <w:t xml:space="preserve"> </w:t>
      </w:r>
    </w:p>
    <w:p w:rsidR="003A497B" w:rsidRDefault="003A497B" w:rsidP="003A497B">
      <w:pPr>
        <w:ind w:firstLine="708"/>
        <w:jc w:val="both"/>
        <w:rPr>
          <w:rFonts w:ascii="Times New Roman" w:hAnsi="Times New Roman"/>
          <w:lang w:eastAsia="sk-SK"/>
        </w:rPr>
      </w:pPr>
    </w:p>
    <w:tbl>
      <w:tblPr>
        <w:tblW w:w="5109" w:type="pct"/>
        <w:tblCellMar>
          <w:left w:w="70" w:type="dxa"/>
          <w:right w:w="70" w:type="dxa"/>
        </w:tblCellMar>
        <w:tblLook w:val="04A0" w:firstRow="1" w:lastRow="0" w:firstColumn="1" w:lastColumn="0" w:noHBand="0" w:noVBand="1"/>
      </w:tblPr>
      <w:tblGrid>
        <w:gridCol w:w="315"/>
        <w:gridCol w:w="3484"/>
        <w:gridCol w:w="770"/>
        <w:gridCol w:w="841"/>
        <w:gridCol w:w="770"/>
        <w:gridCol w:w="770"/>
        <w:gridCol w:w="770"/>
        <w:gridCol w:w="770"/>
        <w:gridCol w:w="770"/>
      </w:tblGrid>
      <w:tr w:rsidR="003A497B" w:rsidRPr="00EE1354" w:rsidTr="00EE1354">
        <w:trPr>
          <w:trHeight w:hRule="exact" w:val="284"/>
        </w:trPr>
        <w:tc>
          <w:tcPr>
            <w:tcW w:w="2052" w:type="pct"/>
            <w:gridSpan w:val="2"/>
            <w:tcBorders>
              <w:top w:val="single" w:sz="4" w:space="0" w:color="auto"/>
              <w:left w:val="single" w:sz="4" w:space="0" w:color="auto"/>
              <w:bottom w:val="single" w:sz="4" w:space="0" w:color="auto"/>
              <w:right w:val="single" w:sz="4" w:space="0" w:color="000000"/>
            </w:tcBorders>
            <w:shd w:val="pct35" w:color="000000" w:fill="auto"/>
            <w:noWrap/>
            <w:vAlign w:val="center"/>
            <w:hideMark/>
          </w:tcPr>
          <w:p w:rsidR="003A497B" w:rsidRPr="00EE1354" w:rsidRDefault="003A497B" w:rsidP="003E1809">
            <w:pPr>
              <w:rPr>
                <w:rFonts w:ascii="Times New Roman" w:hAnsi="Times New Roman" w:cs="Times New Roman"/>
                <w:b/>
                <w:bCs/>
                <w:color w:val="000000"/>
                <w:sz w:val="14"/>
                <w:szCs w:val="14"/>
                <w:lang w:eastAsia="sk-SK"/>
              </w:rPr>
            </w:pPr>
            <w:r w:rsidRPr="00EE1354">
              <w:rPr>
                <w:rFonts w:ascii="Times New Roman" w:hAnsi="Times New Roman" w:cs="Times New Roman"/>
                <w:b/>
                <w:bCs/>
                <w:color w:val="000000"/>
                <w:sz w:val="14"/>
                <w:szCs w:val="14"/>
                <w:lang w:eastAsia="sk-SK"/>
              </w:rPr>
              <w:t>v eurách</w:t>
            </w:r>
          </w:p>
        </w:tc>
        <w:tc>
          <w:tcPr>
            <w:tcW w:w="416"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EE1354" w:rsidRDefault="003A497B" w:rsidP="003E1809">
            <w:pPr>
              <w:jc w:val="center"/>
              <w:rPr>
                <w:rFonts w:ascii="Times New Roman" w:hAnsi="Times New Roman" w:cs="Times New Roman"/>
                <w:b/>
                <w:bCs/>
                <w:color w:val="000000"/>
                <w:sz w:val="14"/>
                <w:szCs w:val="14"/>
                <w:lang w:eastAsia="sk-SK"/>
              </w:rPr>
            </w:pPr>
            <w:r w:rsidRPr="00EE1354">
              <w:rPr>
                <w:rFonts w:ascii="Times New Roman" w:hAnsi="Times New Roman" w:cs="Times New Roman"/>
                <w:b/>
                <w:bCs/>
                <w:color w:val="000000"/>
                <w:sz w:val="14"/>
                <w:szCs w:val="14"/>
                <w:lang w:eastAsia="sk-SK"/>
              </w:rPr>
              <w:t>2016 S</w:t>
            </w:r>
          </w:p>
        </w:tc>
        <w:tc>
          <w:tcPr>
            <w:tcW w:w="454"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EE1354" w:rsidRDefault="003A497B" w:rsidP="003E1809">
            <w:pPr>
              <w:jc w:val="center"/>
              <w:rPr>
                <w:rFonts w:ascii="Times New Roman" w:hAnsi="Times New Roman" w:cs="Times New Roman"/>
                <w:b/>
                <w:bCs/>
                <w:color w:val="000000"/>
                <w:sz w:val="14"/>
                <w:szCs w:val="14"/>
                <w:lang w:eastAsia="sk-SK"/>
              </w:rPr>
            </w:pPr>
            <w:r w:rsidRPr="00EE1354">
              <w:rPr>
                <w:rFonts w:ascii="Times New Roman" w:hAnsi="Times New Roman" w:cs="Times New Roman"/>
                <w:b/>
                <w:bCs/>
                <w:color w:val="000000"/>
                <w:sz w:val="14"/>
                <w:szCs w:val="14"/>
                <w:lang w:eastAsia="sk-SK"/>
              </w:rPr>
              <w:t>2017 S</w:t>
            </w:r>
          </w:p>
        </w:tc>
        <w:tc>
          <w:tcPr>
            <w:tcW w:w="416"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EE1354" w:rsidRDefault="003A497B" w:rsidP="003E1809">
            <w:pPr>
              <w:jc w:val="center"/>
              <w:rPr>
                <w:rFonts w:ascii="Times New Roman" w:hAnsi="Times New Roman" w:cs="Times New Roman"/>
                <w:b/>
                <w:bCs/>
                <w:color w:val="000000"/>
                <w:sz w:val="14"/>
                <w:szCs w:val="14"/>
                <w:lang w:eastAsia="sk-SK"/>
              </w:rPr>
            </w:pPr>
            <w:r w:rsidRPr="00EE1354">
              <w:rPr>
                <w:rFonts w:ascii="Times New Roman" w:hAnsi="Times New Roman" w:cs="Times New Roman"/>
                <w:b/>
                <w:bCs/>
                <w:color w:val="000000"/>
                <w:sz w:val="14"/>
                <w:szCs w:val="14"/>
                <w:lang w:eastAsia="sk-SK"/>
              </w:rPr>
              <w:t>2018 R</w:t>
            </w:r>
          </w:p>
        </w:tc>
        <w:tc>
          <w:tcPr>
            <w:tcW w:w="416"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EE1354" w:rsidRDefault="003A497B" w:rsidP="003E1809">
            <w:pPr>
              <w:jc w:val="center"/>
              <w:rPr>
                <w:rFonts w:ascii="Times New Roman" w:hAnsi="Times New Roman" w:cs="Times New Roman"/>
                <w:b/>
                <w:bCs/>
                <w:color w:val="000000"/>
                <w:sz w:val="14"/>
                <w:szCs w:val="14"/>
                <w:lang w:eastAsia="sk-SK"/>
              </w:rPr>
            </w:pPr>
            <w:r w:rsidRPr="00EE1354">
              <w:rPr>
                <w:rFonts w:ascii="Times New Roman" w:hAnsi="Times New Roman" w:cs="Times New Roman"/>
                <w:b/>
                <w:bCs/>
                <w:color w:val="000000"/>
                <w:sz w:val="14"/>
                <w:szCs w:val="14"/>
                <w:lang w:eastAsia="sk-SK"/>
              </w:rPr>
              <w:t>2018 OS</w:t>
            </w:r>
          </w:p>
        </w:tc>
        <w:tc>
          <w:tcPr>
            <w:tcW w:w="416"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EE1354" w:rsidRDefault="003A497B" w:rsidP="003E1809">
            <w:pPr>
              <w:jc w:val="center"/>
              <w:rPr>
                <w:rFonts w:ascii="Times New Roman" w:hAnsi="Times New Roman" w:cs="Times New Roman"/>
                <w:b/>
                <w:bCs/>
                <w:color w:val="000000"/>
                <w:sz w:val="14"/>
                <w:szCs w:val="14"/>
                <w:lang w:eastAsia="sk-SK"/>
              </w:rPr>
            </w:pPr>
            <w:r w:rsidRPr="00EE1354">
              <w:rPr>
                <w:rFonts w:ascii="Times New Roman" w:hAnsi="Times New Roman" w:cs="Times New Roman"/>
                <w:b/>
                <w:bCs/>
                <w:color w:val="000000"/>
                <w:sz w:val="14"/>
                <w:szCs w:val="14"/>
                <w:lang w:eastAsia="sk-SK"/>
              </w:rPr>
              <w:t>2019 N</w:t>
            </w:r>
          </w:p>
        </w:tc>
        <w:tc>
          <w:tcPr>
            <w:tcW w:w="416"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EE1354" w:rsidRDefault="003A497B" w:rsidP="003E1809">
            <w:pPr>
              <w:jc w:val="center"/>
              <w:rPr>
                <w:rFonts w:ascii="Times New Roman" w:hAnsi="Times New Roman" w:cs="Times New Roman"/>
                <w:b/>
                <w:bCs/>
                <w:color w:val="000000"/>
                <w:sz w:val="14"/>
                <w:szCs w:val="14"/>
                <w:lang w:eastAsia="sk-SK"/>
              </w:rPr>
            </w:pPr>
            <w:r w:rsidRPr="00EE1354">
              <w:rPr>
                <w:rFonts w:ascii="Times New Roman" w:hAnsi="Times New Roman" w:cs="Times New Roman"/>
                <w:b/>
                <w:bCs/>
                <w:color w:val="000000"/>
                <w:sz w:val="14"/>
                <w:szCs w:val="14"/>
                <w:lang w:eastAsia="sk-SK"/>
              </w:rPr>
              <w:t>2020 N</w:t>
            </w:r>
          </w:p>
        </w:tc>
        <w:tc>
          <w:tcPr>
            <w:tcW w:w="416"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EE1354" w:rsidRDefault="003A497B" w:rsidP="003E1809">
            <w:pPr>
              <w:jc w:val="center"/>
              <w:rPr>
                <w:rFonts w:ascii="Times New Roman" w:hAnsi="Times New Roman" w:cs="Times New Roman"/>
                <w:b/>
                <w:bCs/>
                <w:color w:val="000000"/>
                <w:sz w:val="14"/>
                <w:szCs w:val="14"/>
                <w:lang w:eastAsia="sk-SK"/>
              </w:rPr>
            </w:pPr>
            <w:r w:rsidRPr="00EE1354">
              <w:rPr>
                <w:rFonts w:ascii="Times New Roman" w:hAnsi="Times New Roman" w:cs="Times New Roman"/>
                <w:b/>
                <w:bCs/>
                <w:color w:val="000000"/>
                <w:sz w:val="14"/>
                <w:szCs w:val="14"/>
                <w:lang w:eastAsia="sk-SK"/>
              </w:rPr>
              <w:t>2021 N</w:t>
            </w:r>
          </w:p>
        </w:tc>
      </w:tr>
      <w:tr w:rsidR="003A497B" w:rsidRPr="00EE1354" w:rsidTr="00EE1354">
        <w:trPr>
          <w:trHeight w:hRule="exact" w:val="284"/>
        </w:trPr>
        <w:tc>
          <w:tcPr>
            <w:tcW w:w="2052" w:type="pct"/>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3A497B" w:rsidRPr="00EE1354" w:rsidRDefault="003A497B" w:rsidP="003E1809">
            <w:pPr>
              <w:rPr>
                <w:rFonts w:ascii="Times New Roman" w:hAnsi="Times New Roman" w:cs="Times New Roman"/>
                <w:b/>
                <w:bCs/>
                <w:color w:val="000000"/>
                <w:sz w:val="14"/>
                <w:szCs w:val="14"/>
                <w:lang w:eastAsia="sk-SK"/>
              </w:rPr>
            </w:pPr>
            <w:r w:rsidRPr="00EE1354">
              <w:rPr>
                <w:rFonts w:ascii="Times New Roman" w:hAnsi="Times New Roman" w:cs="Times New Roman"/>
                <w:b/>
                <w:bCs/>
                <w:color w:val="000000"/>
                <w:sz w:val="14"/>
                <w:szCs w:val="14"/>
                <w:lang w:eastAsia="sk-SK"/>
              </w:rPr>
              <w:t>Spolu rozpočtové organizácie SAV</w:t>
            </w:r>
          </w:p>
        </w:tc>
        <w:tc>
          <w:tcPr>
            <w:tcW w:w="416" w:type="pct"/>
            <w:tcBorders>
              <w:top w:val="nil"/>
              <w:left w:val="nil"/>
              <w:bottom w:val="single" w:sz="4" w:space="0" w:color="auto"/>
              <w:right w:val="single" w:sz="4" w:space="0" w:color="auto"/>
            </w:tcBorders>
            <w:shd w:val="clear" w:color="000000" w:fill="BFBFBF"/>
            <w:noWrap/>
            <w:vAlign w:val="bottom"/>
            <w:hideMark/>
          </w:tcPr>
          <w:p w:rsidR="003A497B" w:rsidRPr="00EE1354" w:rsidRDefault="003A497B" w:rsidP="003E1809">
            <w:pPr>
              <w:jc w:val="right"/>
              <w:rPr>
                <w:rFonts w:ascii="Times New Roman" w:hAnsi="Times New Roman" w:cs="Times New Roman"/>
                <w:b/>
                <w:bCs/>
                <w:color w:val="000000"/>
                <w:sz w:val="14"/>
                <w:szCs w:val="14"/>
                <w:lang w:eastAsia="sk-SK"/>
              </w:rPr>
            </w:pPr>
            <w:r w:rsidRPr="00EE1354">
              <w:rPr>
                <w:rFonts w:ascii="Times New Roman" w:hAnsi="Times New Roman" w:cs="Times New Roman"/>
                <w:b/>
                <w:bCs/>
                <w:color w:val="000000"/>
                <w:sz w:val="14"/>
                <w:szCs w:val="14"/>
                <w:lang w:eastAsia="sk-SK"/>
              </w:rPr>
              <w:t>21 061 611</w:t>
            </w:r>
          </w:p>
        </w:tc>
        <w:tc>
          <w:tcPr>
            <w:tcW w:w="454" w:type="pct"/>
            <w:tcBorders>
              <w:top w:val="nil"/>
              <w:left w:val="nil"/>
              <w:bottom w:val="single" w:sz="4" w:space="0" w:color="auto"/>
              <w:right w:val="single" w:sz="4" w:space="0" w:color="auto"/>
            </w:tcBorders>
            <w:shd w:val="clear" w:color="000000" w:fill="BFBFBF"/>
            <w:noWrap/>
            <w:vAlign w:val="bottom"/>
            <w:hideMark/>
          </w:tcPr>
          <w:p w:rsidR="003A497B" w:rsidRPr="00EE1354" w:rsidRDefault="003A497B" w:rsidP="003E1809">
            <w:pPr>
              <w:jc w:val="right"/>
              <w:rPr>
                <w:rFonts w:ascii="Times New Roman" w:hAnsi="Times New Roman" w:cs="Times New Roman"/>
                <w:b/>
                <w:bCs/>
                <w:color w:val="000000"/>
                <w:sz w:val="14"/>
                <w:szCs w:val="14"/>
                <w:lang w:eastAsia="sk-SK"/>
              </w:rPr>
            </w:pPr>
            <w:r w:rsidRPr="00EE1354">
              <w:rPr>
                <w:rFonts w:ascii="Times New Roman" w:hAnsi="Times New Roman" w:cs="Times New Roman"/>
                <w:b/>
                <w:bCs/>
                <w:color w:val="000000"/>
                <w:sz w:val="14"/>
                <w:szCs w:val="14"/>
                <w:lang w:eastAsia="sk-SK"/>
              </w:rPr>
              <w:t>18 673 453</w:t>
            </w:r>
          </w:p>
        </w:tc>
        <w:tc>
          <w:tcPr>
            <w:tcW w:w="416" w:type="pct"/>
            <w:tcBorders>
              <w:top w:val="nil"/>
              <w:left w:val="nil"/>
              <w:bottom w:val="single" w:sz="4" w:space="0" w:color="auto"/>
              <w:right w:val="single" w:sz="4" w:space="0" w:color="auto"/>
            </w:tcBorders>
            <w:shd w:val="clear" w:color="000000" w:fill="BFBFBF"/>
            <w:noWrap/>
            <w:vAlign w:val="bottom"/>
            <w:hideMark/>
          </w:tcPr>
          <w:p w:rsidR="003A497B" w:rsidRPr="00EE1354" w:rsidRDefault="003A497B" w:rsidP="003E1809">
            <w:pPr>
              <w:jc w:val="right"/>
              <w:rPr>
                <w:rFonts w:ascii="Times New Roman" w:hAnsi="Times New Roman" w:cs="Times New Roman"/>
                <w:b/>
                <w:bCs/>
                <w:color w:val="000000"/>
                <w:sz w:val="14"/>
                <w:szCs w:val="14"/>
                <w:lang w:eastAsia="sk-SK"/>
              </w:rPr>
            </w:pPr>
            <w:r w:rsidRPr="00EE1354">
              <w:rPr>
                <w:rFonts w:ascii="Times New Roman" w:hAnsi="Times New Roman" w:cs="Times New Roman"/>
                <w:b/>
                <w:bCs/>
                <w:color w:val="000000"/>
                <w:sz w:val="14"/>
                <w:szCs w:val="14"/>
                <w:lang w:eastAsia="sk-SK"/>
              </w:rPr>
              <w:t>16 728 533</w:t>
            </w:r>
          </w:p>
        </w:tc>
        <w:tc>
          <w:tcPr>
            <w:tcW w:w="416" w:type="pct"/>
            <w:tcBorders>
              <w:top w:val="nil"/>
              <w:left w:val="nil"/>
              <w:bottom w:val="single" w:sz="4" w:space="0" w:color="auto"/>
              <w:right w:val="single" w:sz="4" w:space="0" w:color="auto"/>
            </w:tcBorders>
            <w:shd w:val="clear" w:color="000000" w:fill="BFBFBF"/>
            <w:noWrap/>
            <w:vAlign w:val="bottom"/>
            <w:hideMark/>
          </w:tcPr>
          <w:p w:rsidR="003A497B" w:rsidRPr="00EE1354" w:rsidRDefault="003A497B" w:rsidP="003E1809">
            <w:pPr>
              <w:jc w:val="right"/>
              <w:rPr>
                <w:rFonts w:ascii="Times New Roman" w:hAnsi="Times New Roman" w:cs="Times New Roman"/>
                <w:b/>
                <w:bCs/>
                <w:color w:val="000000"/>
                <w:sz w:val="14"/>
                <w:szCs w:val="14"/>
                <w:lang w:eastAsia="sk-SK"/>
              </w:rPr>
            </w:pPr>
            <w:r w:rsidRPr="00EE1354">
              <w:rPr>
                <w:rFonts w:ascii="Times New Roman" w:hAnsi="Times New Roman" w:cs="Times New Roman"/>
                <w:b/>
                <w:bCs/>
                <w:color w:val="000000"/>
                <w:sz w:val="14"/>
                <w:szCs w:val="14"/>
                <w:lang w:eastAsia="sk-SK"/>
              </w:rPr>
              <w:t>16 201 917</w:t>
            </w:r>
          </w:p>
        </w:tc>
        <w:tc>
          <w:tcPr>
            <w:tcW w:w="416" w:type="pct"/>
            <w:tcBorders>
              <w:top w:val="nil"/>
              <w:left w:val="nil"/>
              <w:bottom w:val="single" w:sz="4" w:space="0" w:color="auto"/>
              <w:right w:val="single" w:sz="4" w:space="0" w:color="auto"/>
            </w:tcBorders>
            <w:shd w:val="clear" w:color="000000" w:fill="BFBFBF"/>
            <w:noWrap/>
            <w:vAlign w:val="bottom"/>
            <w:hideMark/>
          </w:tcPr>
          <w:p w:rsidR="003A497B" w:rsidRPr="00EE1354" w:rsidRDefault="003A497B" w:rsidP="003E1809">
            <w:pPr>
              <w:jc w:val="right"/>
              <w:rPr>
                <w:rFonts w:ascii="Times New Roman" w:hAnsi="Times New Roman" w:cs="Times New Roman"/>
                <w:b/>
                <w:bCs/>
                <w:color w:val="000000"/>
                <w:sz w:val="14"/>
                <w:szCs w:val="14"/>
                <w:lang w:eastAsia="sk-SK"/>
              </w:rPr>
            </w:pPr>
            <w:r w:rsidRPr="00EE1354">
              <w:rPr>
                <w:rFonts w:ascii="Times New Roman" w:hAnsi="Times New Roman" w:cs="Times New Roman"/>
                <w:b/>
                <w:bCs/>
                <w:color w:val="000000"/>
                <w:sz w:val="14"/>
                <w:szCs w:val="14"/>
                <w:lang w:eastAsia="sk-SK"/>
              </w:rPr>
              <w:t>14 177 765</w:t>
            </w:r>
          </w:p>
        </w:tc>
        <w:tc>
          <w:tcPr>
            <w:tcW w:w="416" w:type="pct"/>
            <w:tcBorders>
              <w:top w:val="nil"/>
              <w:left w:val="nil"/>
              <w:bottom w:val="single" w:sz="4" w:space="0" w:color="auto"/>
              <w:right w:val="single" w:sz="4" w:space="0" w:color="auto"/>
            </w:tcBorders>
            <w:shd w:val="clear" w:color="000000" w:fill="BFBFBF"/>
            <w:noWrap/>
            <w:vAlign w:val="bottom"/>
            <w:hideMark/>
          </w:tcPr>
          <w:p w:rsidR="003A497B" w:rsidRPr="00EE1354" w:rsidRDefault="003A497B" w:rsidP="003E1809">
            <w:pPr>
              <w:jc w:val="right"/>
              <w:rPr>
                <w:rFonts w:ascii="Times New Roman" w:hAnsi="Times New Roman" w:cs="Times New Roman"/>
                <w:b/>
                <w:bCs/>
                <w:color w:val="000000"/>
                <w:sz w:val="14"/>
                <w:szCs w:val="14"/>
                <w:lang w:eastAsia="sk-SK"/>
              </w:rPr>
            </w:pPr>
            <w:r w:rsidRPr="00EE1354">
              <w:rPr>
                <w:rFonts w:ascii="Times New Roman" w:hAnsi="Times New Roman" w:cs="Times New Roman"/>
                <w:b/>
                <w:bCs/>
                <w:color w:val="000000"/>
                <w:sz w:val="14"/>
                <w:szCs w:val="14"/>
                <w:lang w:eastAsia="sk-SK"/>
              </w:rPr>
              <w:t>14 177 765</w:t>
            </w:r>
          </w:p>
        </w:tc>
        <w:tc>
          <w:tcPr>
            <w:tcW w:w="416" w:type="pct"/>
            <w:tcBorders>
              <w:top w:val="nil"/>
              <w:left w:val="nil"/>
              <w:bottom w:val="single" w:sz="4" w:space="0" w:color="auto"/>
              <w:right w:val="single" w:sz="4" w:space="0" w:color="auto"/>
            </w:tcBorders>
            <w:shd w:val="clear" w:color="000000" w:fill="BFBFBF"/>
            <w:noWrap/>
            <w:vAlign w:val="bottom"/>
            <w:hideMark/>
          </w:tcPr>
          <w:p w:rsidR="003A497B" w:rsidRPr="00EE1354" w:rsidRDefault="003A497B" w:rsidP="003E1809">
            <w:pPr>
              <w:jc w:val="right"/>
              <w:rPr>
                <w:rFonts w:ascii="Times New Roman" w:hAnsi="Times New Roman" w:cs="Times New Roman"/>
                <w:b/>
                <w:bCs/>
                <w:color w:val="000000"/>
                <w:sz w:val="14"/>
                <w:szCs w:val="14"/>
                <w:lang w:eastAsia="sk-SK"/>
              </w:rPr>
            </w:pPr>
            <w:r w:rsidRPr="00EE1354">
              <w:rPr>
                <w:rFonts w:ascii="Times New Roman" w:hAnsi="Times New Roman" w:cs="Times New Roman"/>
                <w:b/>
                <w:bCs/>
                <w:color w:val="000000"/>
                <w:sz w:val="14"/>
                <w:szCs w:val="14"/>
                <w:lang w:eastAsia="sk-SK"/>
              </w:rPr>
              <w:t>14 177 765</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1.</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Technicko-hospodárska správa ústavov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1 188 507</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1 204 558</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1 108 261</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358 142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2.</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Astronomický ústav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961 473</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1 058 340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909 411</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1 004 026</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933 538</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933 538</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933 538</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3.</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Geografický ústav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553 179</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562 205</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560 546</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617 335</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600 650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600 650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600 650</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4.</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Archeologický ústav</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1 803 738</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1 784 672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1 651 641</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1 883 597</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1 757 700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1 757 700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1 757 700</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5.</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Matematický ústav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898 326</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926 103</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897 765</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945 364</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900 386</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900 386</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900 386</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6.</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Neurobiologický ústav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499 636</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521 362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495 648</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7.</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Historický ústav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1 361 234</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1 452 578</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1 332 954</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1 837 281</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1 383 285</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1 383 285</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1 383 285</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8.</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Ústav etnológie a sociálnej antropológie</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458 284</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539 685</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448 609</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466 865</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471 005</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471 005</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471 005</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9.</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Filozofický ústav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546 690</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580 680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497 246</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552 944</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499 109</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499 109</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499 109</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10.</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Ústav štátu a práva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336 894</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346 470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327 377</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339 388</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337 106</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337 106</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337 106</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11.</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Jazykovedný ústav Ľudovíta Štúra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1 122 028</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1 246 532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1 014 832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1 198 318</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1 184 936</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1 184 936</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1 184 936</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12.</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Technicko-hospodárska správa ústavov spoločenských vied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423 577</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434 050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410 465</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181 698</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13.</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Ústav dejín umenia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233 513</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243 602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231 090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75 584</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14.</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Ústredný archív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111 828</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119 618</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116 379</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34 035</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15.</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Ústav politických vied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261 761</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316 088</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235 769</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322 185</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238 272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238 272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238 272</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16.</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Ústav anorganickej chémie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1 263 135</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1 354 988</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1 074 758</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1 291 828</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1 124 292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1 124 292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1 124 292</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17.</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Ústav hudobnej vedy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258 268</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275 239</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268 705</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287 657</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286 426</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286 426</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286 426</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18.</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Ústav divadelnej a filmovej vedy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176 447</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177 582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178 124</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249 899</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428 639</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428 639</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428 639</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19.</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Ústredná knižnica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683 759</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660 392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647 849</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720 596</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760 198</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760 198</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760 198</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20.</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sz w:val="14"/>
                <w:szCs w:val="14"/>
                <w:lang w:eastAsia="sk-SK"/>
              </w:rPr>
            </w:pPr>
            <w:r w:rsidRPr="00EE1354">
              <w:rPr>
                <w:rFonts w:ascii="Times New Roman" w:hAnsi="Times New Roman" w:cs="Times New Roman"/>
                <w:sz w:val="14"/>
                <w:szCs w:val="14"/>
                <w:lang w:eastAsia="sk-SK"/>
              </w:rPr>
              <w:t xml:space="preserve">Centrum spoločenských a psychologických vied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1 053 393</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1 128 552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1 061 562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1 270 072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1 192 522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1 192 522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1 192 522</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21.</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Ústav pre výskum srdca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461 089</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472 627</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467 435</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22.</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Sociologický ústav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447 559</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513 963</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369 934</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469 888</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384 138</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384 138</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384 138</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23.</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Ústav výskumu sociálnej komunikácie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259 513</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307 742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279 262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305 367</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294 912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294 912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294 912</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24.</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Ústav orientalistiky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253 191</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280 814</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247 290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280 839</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264 584</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264 584</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264 584</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25.</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Ústav svetovej literatúry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387 143</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395 072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382 693</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436 561</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407 367</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407 367</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407 367</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26.</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Ústav slovenskej literatúry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486 200</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552 260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483 595</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564 515</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509 536</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509 536</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509 536</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27.</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Slavistický ústav Jána Stanislava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208 797</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199 128</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197 736</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233 082</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219 164</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219 164</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219 164</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28.</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Kongresové centrum Smolenice</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983 112</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1 018 551</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831 597</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274 851</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29.</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Ústav experimentálnej farmakológie a toxikológie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1 040 087</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30.</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Ústav molekulárnej biológie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1 134 547</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31.</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Ústav biochémie a genetiky živočíchov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743 126</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r>
      <w:tr w:rsidR="003A497B" w:rsidRPr="00EE1354" w:rsidTr="00EE1354">
        <w:trPr>
          <w:trHeight w:hRule="exact" w:val="284"/>
        </w:trPr>
        <w:tc>
          <w:tcPr>
            <w:tcW w:w="170" w:type="pct"/>
            <w:tcBorders>
              <w:top w:val="nil"/>
              <w:left w:val="single" w:sz="4" w:space="0" w:color="auto"/>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32.</w:t>
            </w:r>
          </w:p>
        </w:tc>
        <w:tc>
          <w:tcPr>
            <w:tcW w:w="1881"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rPr>
                <w:rFonts w:ascii="Times New Roman" w:hAnsi="Times New Roman" w:cs="Times New Roman"/>
                <w:color w:val="000000"/>
                <w:sz w:val="14"/>
                <w:szCs w:val="14"/>
                <w:lang w:eastAsia="sk-SK"/>
              </w:rPr>
            </w:pPr>
            <w:r w:rsidRPr="00EE1354">
              <w:rPr>
                <w:rFonts w:ascii="Times New Roman" w:hAnsi="Times New Roman" w:cs="Times New Roman"/>
                <w:color w:val="000000"/>
                <w:sz w:val="14"/>
                <w:szCs w:val="14"/>
                <w:lang w:eastAsia="sk-SK"/>
              </w:rPr>
              <w:t xml:space="preserve">Ústav experimentálnej fyziky </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461 577</w:t>
            </w:r>
          </w:p>
        </w:tc>
        <w:tc>
          <w:tcPr>
            <w:tcW w:w="454"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c>
          <w:tcPr>
            <w:tcW w:w="416" w:type="pct"/>
            <w:tcBorders>
              <w:top w:val="nil"/>
              <w:left w:val="nil"/>
              <w:bottom w:val="single" w:sz="4" w:space="0" w:color="auto"/>
              <w:right w:val="single" w:sz="4" w:space="0" w:color="auto"/>
            </w:tcBorders>
            <w:shd w:val="clear" w:color="auto" w:fill="auto"/>
            <w:noWrap/>
            <w:vAlign w:val="bottom"/>
            <w:hideMark/>
          </w:tcPr>
          <w:p w:rsidR="003A497B" w:rsidRPr="00EE1354" w:rsidRDefault="003A497B" w:rsidP="003E1809">
            <w:pPr>
              <w:jc w:val="right"/>
              <w:rPr>
                <w:rFonts w:ascii="Times New Roman" w:hAnsi="Times New Roman" w:cs="Times New Roman"/>
                <w:sz w:val="14"/>
                <w:szCs w:val="14"/>
                <w:lang w:eastAsia="sk-SK"/>
              </w:rPr>
            </w:pPr>
            <w:r w:rsidRPr="00EE1354">
              <w:rPr>
                <w:rFonts w:ascii="Times New Roman" w:hAnsi="Times New Roman" w:cs="Times New Roman"/>
                <w:sz w:val="14"/>
                <w:szCs w:val="14"/>
                <w:lang w:eastAsia="sk-SK"/>
              </w:rPr>
              <w:t>0</w:t>
            </w:r>
          </w:p>
        </w:tc>
      </w:tr>
    </w:tbl>
    <w:p w:rsidR="003A497B" w:rsidRDefault="003A497B" w:rsidP="003A497B">
      <w:pPr>
        <w:jc w:val="both"/>
        <w:rPr>
          <w:rFonts w:ascii="Times New Roman" w:hAnsi="Times New Roman"/>
          <w:sz w:val="14"/>
          <w:szCs w:val="14"/>
          <w:lang w:eastAsia="sk-SK"/>
        </w:rPr>
      </w:pPr>
      <w:r>
        <w:rPr>
          <w:rFonts w:ascii="Times New Roman" w:hAnsi="Times New Roman"/>
          <w:sz w:val="14"/>
          <w:szCs w:val="14"/>
          <w:lang w:eastAsia="sk-SK"/>
        </w:rPr>
        <w:t>Poznámka: V</w:t>
      </w:r>
      <w:r w:rsidRPr="008B2ACC">
        <w:rPr>
          <w:rFonts w:ascii="Times New Roman" w:hAnsi="Times New Roman"/>
          <w:sz w:val="14"/>
          <w:szCs w:val="14"/>
          <w:lang w:eastAsia="sk-SK"/>
        </w:rPr>
        <w:t xml:space="preserve"> skutočnosti za roky 201</w:t>
      </w:r>
      <w:r>
        <w:rPr>
          <w:rFonts w:ascii="Times New Roman" w:hAnsi="Times New Roman"/>
          <w:sz w:val="14"/>
          <w:szCs w:val="14"/>
          <w:lang w:eastAsia="sk-SK"/>
        </w:rPr>
        <w:t>6</w:t>
      </w:r>
      <w:r w:rsidRPr="008B2ACC">
        <w:rPr>
          <w:rFonts w:ascii="Times New Roman" w:hAnsi="Times New Roman"/>
          <w:sz w:val="14"/>
          <w:szCs w:val="14"/>
          <w:lang w:eastAsia="sk-SK"/>
        </w:rPr>
        <w:t xml:space="preserve"> a</w:t>
      </w:r>
      <w:r>
        <w:rPr>
          <w:rFonts w:ascii="Times New Roman" w:hAnsi="Times New Roman"/>
          <w:sz w:val="14"/>
          <w:szCs w:val="14"/>
          <w:lang w:eastAsia="sk-SK"/>
        </w:rPr>
        <w:t xml:space="preserve"> </w:t>
      </w:r>
      <w:r w:rsidRPr="008B2ACC">
        <w:rPr>
          <w:rFonts w:ascii="Times New Roman" w:hAnsi="Times New Roman"/>
          <w:sz w:val="14"/>
          <w:szCs w:val="14"/>
          <w:lang w:eastAsia="sk-SK"/>
        </w:rPr>
        <w:t>201</w:t>
      </w:r>
      <w:r>
        <w:rPr>
          <w:rFonts w:ascii="Times New Roman" w:hAnsi="Times New Roman"/>
          <w:sz w:val="14"/>
          <w:szCs w:val="14"/>
          <w:lang w:eastAsia="sk-SK"/>
        </w:rPr>
        <w:t>7</w:t>
      </w:r>
      <w:r w:rsidRPr="008B2ACC">
        <w:rPr>
          <w:rFonts w:ascii="Times New Roman" w:hAnsi="Times New Roman"/>
          <w:sz w:val="14"/>
          <w:szCs w:val="14"/>
          <w:lang w:eastAsia="sk-SK"/>
        </w:rPr>
        <w:t xml:space="preserve"> a očakávanej skutočnosti 201</w:t>
      </w:r>
      <w:r>
        <w:rPr>
          <w:rFonts w:ascii="Times New Roman" w:hAnsi="Times New Roman"/>
          <w:sz w:val="14"/>
          <w:szCs w:val="14"/>
          <w:lang w:eastAsia="sk-SK"/>
        </w:rPr>
        <w:t>8</w:t>
      </w:r>
      <w:r w:rsidRPr="008B2ACC">
        <w:rPr>
          <w:rFonts w:ascii="Times New Roman" w:hAnsi="Times New Roman"/>
          <w:sz w:val="14"/>
          <w:szCs w:val="14"/>
          <w:lang w:eastAsia="sk-SK"/>
        </w:rPr>
        <w:t xml:space="preserve"> sú zahrnuté aj prostriedky EÚ a spolufinancovanie zo ŠR</w:t>
      </w:r>
      <w:r>
        <w:rPr>
          <w:rFonts w:ascii="Times New Roman" w:hAnsi="Times New Roman"/>
          <w:sz w:val="14"/>
          <w:szCs w:val="14"/>
          <w:lang w:eastAsia="sk-SK"/>
        </w:rPr>
        <w:t>.</w:t>
      </w:r>
    </w:p>
    <w:p w:rsidR="003A497B" w:rsidRDefault="003A497B" w:rsidP="003A497B">
      <w:pPr>
        <w:jc w:val="both"/>
        <w:rPr>
          <w:rFonts w:ascii="Times New Roman" w:hAnsi="Times New Roman"/>
          <w:sz w:val="14"/>
          <w:szCs w:val="14"/>
          <w:lang w:eastAsia="sk-SK"/>
        </w:rPr>
      </w:pPr>
    </w:p>
    <w:p w:rsidR="00EE1354" w:rsidRDefault="00EE1354" w:rsidP="003A497B">
      <w:pPr>
        <w:jc w:val="both"/>
        <w:rPr>
          <w:rFonts w:ascii="Times New Roman" w:hAnsi="Times New Roman"/>
          <w:sz w:val="14"/>
          <w:szCs w:val="14"/>
          <w:lang w:eastAsia="sk-SK"/>
        </w:rPr>
      </w:pPr>
    </w:p>
    <w:p w:rsidR="00EE1354" w:rsidRDefault="00EE1354" w:rsidP="003A497B">
      <w:pPr>
        <w:jc w:val="both"/>
        <w:rPr>
          <w:rFonts w:ascii="Times New Roman" w:hAnsi="Times New Roman"/>
          <w:sz w:val="14"/>
          <w:szCs w:val="14"/>
          <w:lang w:eastAsia="sk-SK"/>
        </w:rPr>
      </w:pPr>
    </w:p>
    <w:p w:rsidR="00EE1354" w:rsidRDefault="00EE1354" w:rsidP="003A497B">
      <w:pPr>
        <w:jc w:val="both"/>
        <w:rPr>
          <w:rFonts w:ascii="Times New Roman" w:hAnsi="Times New Roman"/>
          <w:sz w:val="14"/>
          <w:szCs w:val="14"/>
          <w:lang w:eastAsia="sk-SK"/>
        </w:rPr>
      </w:pPr>
    </w:p>
    <w:p w:rsidR="00EE1354" w:rsidRDefault="00EE1354" w:rsidP="003A497B">
      <w:pPr>
        <w:jc w:val="both"/>
        <w:rPr>
          <w:rFonts w:ascii="Times New Roman" w:hAnsi="Times New Roman"/>
          <w:sz w:val="14"/>
          <w:szCs w:val="14"/>
          <w:lang w:eastAsia="sk-SK"/>
        </w:rPr>
      </w:pPr>
    </w:p>
    <w:p w:rsidR="00EE1354" w:rsidRDefault="00EE1354" w:rsidP="003A497B">
      <w:pPr>
        <w:jc w:val="both"/>
        <w:rPr>
          <w:rFonts w:ascii="Times New Roman" w:hAnsi="Times New Roman"/>
          <w:sz w:val="14"/>
          <w:szCs w:val="14"/>
          <w:lang w:eastAsia="sk-SK"/>
        </w:rPr>
      </w:pPr>
    </w:p>
    <w:p w:rsidR="00EE1354" w:rsidRDefault="00EE1354" w:rsidP="003A497B">
      <w:pPr>
        <w:jc w:val="both"/>
        <w:rPr>
          <w:rFonts w:ascii="Times New Roman" w:hAnsi="Times New Roman"/>
          <w:sz w:val="14"/>
          <w:szCs w:val="14"/>
          <w:lang w:eastAsia="sk-SK"/>
        </w:rPr>
      </w:pPr>
    </w:p>
    <w:p w:rsidR="00EE1354" w:rsidRDefault="00EE1354" w:rsidP="003A497B">
      <w:pPr>
        <w:jc w:val="both"/>
        <w:rPr>
          <w:rFonts w:ascii="Times New Roman" w:hAnsi="Times New Roman"/>
          <w:sz w:val="14"/>
          <w:szCs w:val="14"/>
          <w:lang w:eastAsia="sk-SK"/>
        </w:rPr>
      </w:pPr>
    </w:p>
    <w:p w:rsidR="00EE1354" w:rsidRDefault="00EE1354" w:rsidP="003A497B">
      <w:pPr>
        <w:jc w:val="both"/>
        <w:rPr>
          <w:rFonts w:ascii="Times New Roman" w:hAnsi="Times New Roman"/>
          <w:sz w:val="14"/>
          <w:szCs w:val="14"/>
          <w:lang w:eastAsia="sk-SK"/>
        </w:rPr>
      </w:pPr>
    </w:p>
    <w:p w:rsidR="00EE1354" w:rsidRDefault="00EE1354" w:rsidP="003A497B">
      <w:pPr>
        <w:jc w:val="both"/>
        <w:rPr>
          <w:rFonts w:ascii="Times New Roman" w:hAnsi="Times New Roman"/>
          <w:sz w:val="14"/>
          <w:szCs w:val="14"/>
          <w:lang w:eastAsia="sk-SK"/>
        </w:rPr>
      </w:pPr>
    </w:p>
    <w:p w:rsidR="00EE1354" w:rsidRDefault="00EE1354" w:rsidP="003A497B">
      <w:pPr>
        <w:jc w:val="both"/>
        <w:rPr>
          <w:rFonts w:ascii="Times New Roman" w:hAnsi="Times New Roman"/>
          <w:sz w:val="14"/>
          <w:szCs w:val="14"/>
          <w:lang w:eastAsia="sk-SK"/>
        </w:rPr>
      </w:pPr>
    </w:p>
    <w:p w:rsidR="00EE1354" w:rsidRDefault="00EE1354" w:rsidP="003A497B">
      <w:pPr>
        <w:jc w:val="both"/>
        <w:rPr>
          <w:rFonts w:ascii="Times New Roman" w:hAnsi="Times New Roman"/>
          <w:sz w:val="14"/>
          <w:szCs w:val="14"/>
          <w:lang w:eastAsia="sk-SK"/>
        </w:rPr>
      </w:pPr>
    </w:p>
    <w:p w:rsidR="00EE1354" w:rsidRDefault="00EE1354" w:rsidP="003A497B">
      <w:pPr>
        <w:jc w:val="both"/>
        <w:rPr>
          <w:rFonts w:ascii="Times New Roman" w:hAnsi="Times New Roman"/>
          <w:sz w:val="14"/>
          <w:szCs w:val="14"/>
          <w:lang w:eastAsia="sk-SK"/>
        </w:rPr>
      </w:pPr>
    </w:p>
    <w:p w:rsidR="00EE1354" w:rsidRDefault="00EE1354" w:rsidP="003A497B">
      <w:pPr>
        <w:jc w:val="both"/>
        <w:rPr>
          <w:rFonts w:ascii="Times New Roman" w:hAnsi="Times New Roman"/>
          <w:sz w:val="14"/>
          <w:szCs w:val="14"/>
          <w:lang w:eastAsia="sk-SK"/>
        </w:rPr>
      </w:pPr>
    </w:p>
    <w:p w:rsidR="00EE1354" w:rsidRDefault="00EE1354" w:rsidP="003A497B">
      <w:pPr>
        <w:jc w:val="both"/>
        <w:rPr>
          <w:rFonts w:ascii="Times New Roman" w:hAnsi="Times New Roman"/>
          <w:sz w:val="14"/>
          <w:szCs w:val="14"/>
          <w:lang w:eastAsia="sk-SK"/>
        </w:rPr>
      </w:pPr>
    </w:p>
    <w:p w:rsidR="00EE1354" w:rsidRDefault="00EE1354" w:rsidP="003A497B">
      <w:pPr>
        <w:jc w:val="both"/>
        <w:rPr>
          <w:rFonts w:ascii="Times New Roman" w:hAnsi="Times New Roman"/>
          <w:sz w:val="14"/>
          <w:szCs w:val="14"/>
          <w:lang w:eastAsia="sk-SK"/>
        </w:rPr>
      </w:pPr>
    </w:p>
    <w:p w:rsidR="00EE1354" w:rsidRDefault="00EE1354" w:rsidP="003A497B">
      <w:pPr>
        <w:jc w:val="both"/>
        <w:rPr>
          <w:rFonts w:ascii="Times New Roman" w:hAnsi="Times New Roman"/>
          <w:sz w:val="14"/>
          <w:szCs w:val="14"/>
          <w:lang w:eastAsia="sk-SK"/>
        </w:rPr>
      </w:pPr>
    </w:p>
    <w:p w:rsidR="00EE1354" w:rsidRDefault="00EE1354" w:rsidP="003A497B">
      <w:pPr>
        <w:jc w:val="both"/>
        <w:rPr>
          <w:rFonts w:ascii="Times New Roman" w:hAnsi="Times New Roman"/>
          <w:sz w:val="14"/>
          <w:szCs w:val="14"/>
          <w:lang w:eastAsia="sk-SK"/>
        </w:rPr>
      </w:pPr>
    </w:p>
    <w:p w:rsidR="00EE1354" w:rsidRDefault="00EE1354" w:rsidP="003A497B">
      <w:pPr>
        <w:jc w:val="both"/>
        <w:rPr>
          <w:rFonts w:ascii="Times New Roman" w:hAnsi="Times New Roman"/>
          <w:sz w:val="14"/>
          <w:szCs w:val="14"/>
          <w:lang w:eastAsia="sk-SK"/>
        </w:rPr>
      </w:pPr>
    </w:p>
    <w:p w:rsidR="00EE1354" w:rsidRDefault="00EE1354" w:rsidP="003A497B">
      <w:pPr>
        <w:jc w:val="both"/>
        <w:rPr>
          <w:rFonts w:ascii="Times New Roman" w:hAnsi="Times New Roman"/>
          <w:sz w:val="14"/>
          <w:szCs w:val="14"/>
          <w:lang w:eastAsia="sk-SK"/>
        </w:rPr>
      </w:pPr>
    </w:p>
    <w:p w:rsidR="00EE1354" w:rsidRDefault="00EE1354" w:rsidP="003A497B">
      <w:pPr>
        <w:jc w:val="both"/>
        <w:rPr>
          <w:rFonts w:ascii="Times New Roman" w:hAnsi="Times New Roman"/>
          <w:sz w:val="14"/>
          <w:szCs w:val="14"/>
          <w:lang w:eastAsia="sk-SK"/>
        </w:rPr>
      </w:pPr>
    </w:p>
    <w:tbl>
      <w:tblPr>
        <w:tblW w:w="5000" w:type="pct"/>
        <w:tblCellMar>
          <w:left w:w="70" w:type="dxa"/>
          <w:right w:w="70" w:type="dxa"/>
        </w:tblCellMar>
        <w:tblLook w:val="04A0" w:firstRow="1" w:lastRow="0" w:firstColumn="1" w:lastColumn="0" w:noHBand="0" w:noVBand="1"/>
      </w:tblPr>
      <w:tblGrid>
        <w:gridCol w:w="315"/>
        <w:gridCol w:w="3064"/>
        <w:gridCol w:w="819"/>
        <w:gridCol w:w="770"/>
        <w:gridCol w:w="819"/>
        <w:gridCol w:w="819"/>
        <w:gridCol w:w="819"/>
        <w:gridCol w:w="820"/>
        <w:gridCol w:w="817"/>
      </w:tblGrid>
      <w:tr w:rsidR="003A497B" w:rsidRPr="005A6E05" w:rsidTr="003E1809">
        <w:trPr>
          <w:trHeight w:hRule="exact" w:val="255"/>
        </w:trPr>
        <w:tc>
          <w:tcPr>
            <w:tcW w:w="1753" w:type="pct"/>
            <w:gridSpan w:val="2"/>
            <w:tcBorders>
              <w:top w:val="single" w:sz="4" w:space="0" w:color="auto"/>
              <w:left w:val="single" w:sz="4" w:space="0" w:color="auto"/>
              <w:bottom w:val="single" w:sz="4" w:space="0" w:color="auto"/>
              <w:right w:val="single" w:sz="4" w:space="0" w:color="000000"/>
            </w:tcBorders>
            <w:shd w:val="pct35" w:color="000000" w:fill="auto"/>
            <w:noWrap/>
            <w:vAlign w:val="center"/>
            <w:hideMark/>
          </w:tcPr>
          <w:p w:rsidR="003A497B" w:rsidRPr="005A6E05" w:rsidRDefault="003A497B" w:rsidP="003E1809">
            <w:pPr>
              <w:rPr>
                <w:rFonts w:ascii="Times New Roman" w:hAnsi="Times New Roman" w:cs="Times New Roman"/>
                <w:b/>
                <w:bCs/>
                <w:color w:val="000000"/>
                <w:sz w:val="14"/>
                <w:szCs w:val="14"/>
                <w:lang w:eastAsia="sk-SK"/>
              </w:rPr>
            </w:pPr>
            <w:r w:rsidRPr="005A6E05">
              <w:rPr>
                <w:rFonts w:ascii="Times New Roman" w:hAnsi="Times New Roman" w:cs="Times New Roman"/>
                <w:b/>
                <w:bCs/>
                <w:color w:val="000000"/>
                <w:sz w:val="14"/>
                <w:szCs w:val="14"/>
                <w:lang w:eastAsia="sk-SK"/>
              </w:rPr>
              <w:lastRenderedPageBreak/>
              <w:t>v eurách</w:t>
            </w:r>
          </w:p>
        </w:tc>
        <w:tc>
          <w:tcPr>
            <w:tcW w:w="473"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5A6E05" w:rsidRDefault="003A497B" w:rsidP="003E1809">
            <w:pPr>
              <w:jc w:val="center"/>
              <w:rPr>
                <w:rFonts w:ascii="Times New Roman" w:hAnsi="Times New Roman" w:cs="Times New Roman"/>
                <w:b/>
                <w:bCs/>
                <w:color w:val="000000"/>
                <w:sz w:val="14"/>
                <w:szCs w:val="14"/>
                <w:lang w:eastAsia="sk-SK"/>
              </w:rPr>
            </w:pPr>
            <w:r w:rsidRPr="005A6E05">
              <w:rPr>
                <w:rFonts w:ascii="Times New Roman" w:hAnsi="Times New Roman" w:cs="Times New Roman"/>
                <w:b/>
                <w:bCs/>
                <w:color w:val="000000"/>
                <w:sz w:val="14"/>
                <w:szCs w:val="14"/>
                <w:lang w:eastAsia="sk-SK"/>
              </w:rPr>
              <w:t>2016 S</w:t>
            </w:r>
          </w:p>
        </w:tc>
        <w:tc>
          <w:tcPr>
            <w:tcW w:w="411"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5A6E05" w:rsidRDefault="003A497B" w:rsidP="003E1809">
            <w:pPr>
              <w:jc w:val="center"/>
              <w:rPr>
                <w:rFonts w:ascii="Times New Roman" w:hAnsi="Times New Roman" w:cs="Times New Roman"/>
                <w:b/>
                <w:bCs/>
                <w:color w:val="000000"/>
                <w:sz w:val="14"/>
                <w:szCs w:val="14"/>
                <w:lang w:eastAsia="sk-SK"/>
              </w:rPr>
            </w:pPr>
            <w:r w:rsidRPr="005A6E05">
              <w:rPr>
                <w:rFonts w:ascii="Times New Roman" w:hAnsi="Times New Roman" w:cs="Times New Roman"/>
                <w:b/>
                <w:bCs/>
                <w:color w:val="000000"/>
                <w:sz w:val="14"/>
                <w:szCs w:val="14"/>
                <w:lang w:eastAsia="sk-SK"/>
              </w:rPr>
              <w:t>2017 S</w:t>
            </w:r>
          </w:p>
        </w:tc>
        <w:tc>
          <w:tcPr>
            <w:tcW w:w="473"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5A6E05" w:rsidRDefault="003A497B" w:rsidP="003E1809">
            <w:pPr>
              <w:jc w:val="center"/>
              <w:rPr>
                <w:rFonts w:ascii="Times New Roman" w:hAnsi="Times New Roman" w:cs="Times New Roman"/>
                <w:b/>
                <w:bCs/>
                <w:color w:val="000000"/>
                <w:sz w:val="14"/>
                <w:szCs w:val="14"/>
                <w:lang w:eastAsia="sk-SK"/>
              </w:rPr>
            </w:pPr>
            <w:r w:rsidRPr="005A6E05">
              <w:rPr>
                <w:rFonts w:ascii="Times New Roman" w:hAnsi="Times New Roman" w:cs="Times New Roman"/>
                <w:b/>
                <w:bCs/>
                <w:color w:val="000000"/>
                <w:sz w:val="14"/>
                <w:szCs w:val="14"/>
                <w:lang w:eastAsia="sk-SK"/>
              </w:rPr>
              <w:t>2018 R</w:t>
            </w:r>
          </w:p>
        </w:tc>
        <w:tc>
          <w:tcPr>
            <w:tcW w:w="473"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5A6E05" w:rsidRDefault="003A497B" w:rsidP="003E1809">
            <w:pPr>
              <w:jc w:val="center"/>
              <w:rPr>
                <w:rFonts w:ascii="Times New Roman" w:hAnsi="Times New Roman" w:cs="Times New Roman"/>
                <w:b/>
                <w:bCs/>
                <w:color w:val="000000"/>
                <w:sz w:val="14"/>
                <w:szCs w:val="14"/>
                <w:lang w:eastAsia="sk-SK"/>
              </w:rPr>
            </w:pPr>
            <w:r w:rsidRPr="005A6E05">
              <w:rPr>
                <w:rFonts w:ascii="Times New Roman" w:hAnsi="Times New Roman" w:cs="Times New Roman"/>
                <w:b/>
                <w:bCs/>
                <w:color w:val="000000"/>
                <w:sz w:val="14"/>
                <w:szCs w:val="14"/>
                <w:lang w:eastAsia="sk-SK"/>
              </w:rPr>
              <w:t>2018 OS</w:t>
            </w:r>
          </w:p>
        </w:tc>
        <w:tc>
          <w:tcPr>
            <w:tcW w:w="473"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5A6E05" w:rsidRDefault="003A497B" w:rsidP="003E1809">
            <w:pPr>
              <w:jc w:val="center"/>
              <w:rPr>
                <w:rFonts w:ascii="Times New Roman" w:hAnsi="Times New Roman" w:cs="Times New Roman"/>
                <w:b/>
                <w:bCs/>
                <w:color w:val="000000"/>
                <w:sz w:val="14"/>
                <w:szCs w:val="14"/>
                <w:lang w:eastAsia="sk-SK"/>
              </w:rPr>
            </w:pPr>
            <w:r w:rsidRPr="005A6E05">
              <w:rPr>
                <w:rFonts w:ascii="Times New Roman" w:hAnsi="Times New Roman" w:cs="Times New Roman"/>
                <w:b/>
                <w:bCs/>
                <w:color w:val="000000"/>
                <w:sz w:val="14"/>
                <w:szCs w:val="14"/>
                <w:lang w:eastAsia="sk-SK"/>
              </w:rPr>
              <w:t>2019 N</w:t>
            </w:r>
          </w:p>
        </w:tc>
        <w:tc>
          <w:tcPr>
            <w:tcW w:w="473"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5A6E05" w:rsidRDefault="003A497B" w:rsidP="003E1809">
            <w:pPr>
              <w:jc w:val="center"/>
              <w:rPr>
                <w:rFonts w:ascii="Times New Roman" w:hAnsi="Times New Roman" w:cs="Times New Roman"/>
                <w:b/>
                <w:bCs/>
                <w:color w:val="000000"/>
                <w:sz w:val="14"/>
                <w:szCs w:val="14"/>
                <w:lang w:eastAsia="sk-SK"/>
              </w:rPr>
            </w:pPr>
            <w:r w:rsidRPr="005A6E05">
              <w:rPr>
                <w:rFonts w:ascii="Times New Roman" w:hAnsi="Times New Roman" w:cs="Times New Roman"/>
                <w:b/>
                <w:bCs/>
                <w:color w:val="000000"/>
                <w:sz w:val="14"/>
                <w:szCs w:val="14"/>
                <w:lang w:eastAsia="sk-SK"/>
              </w:rPr>
              <w:t>2020 N</w:t>
            </w:r>
          </w:p>
        </w:tc>
        <w:tc>
          <w:tcPr>
            <w:tcW w:w="473"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5A6E05" w:rsidRDefault="003A497B" w:rsidP="003E1809">
            <w:pPr>
              <w:jc w:val="center"/>
              <w:rPr>
                <w:rFonts w:ascii="Times New Roman" w:hAnsi="Times New Roman" w:cs="Times New Roman"/>
                <w:b/>
                <w:bCs/>
                <w:color w:val="000000"/>
                <w:sz w:val="14"/>
                <w:szCs w:val="14"/>
                <w:lang w:eastAsia="sk-SK"/>
              </w:rPr>
            </w:pPr>
            <w:r w:rsidRPr="005A6E05">
              <w:rPr>
                <w:rFonts w:ascii="Times New Roman" w:hAnsi="Times New Roman" w:cs="Times New Roman"/>
                <w:b/>
                <w:bCs/>
                <w:color w:val="000000"/>
                <w:sz w:val="14"/>
                <w:szCs w:val="14"/>
                <w:lang w:eastAsia="sk-SK"/>
              </w:rPr>
              <w:t>2021 N</w:t>
            </w:r>
          </w:p>
        </w:tc>
      </w:tr>
      <w:tr w:rsidR="003A497B" w:rsidRPr="005A6E05" w:rsidTr="003E1809">
        <w:trPr>
          <w:trHeight w:hRule="exact" w:val="255"/>
        </w:trPr>
        <w:tc>
          <w:tcPr>
            <w:tcW w:w="1753" w:type="pct"/>
            <w:gridSpan w:val="2"/>
            <w:tcBorders>
              <w:top w:val="single" w:sz="4" w:space="0" w:color="auto"/>
              <w:left w:val="single" w:sz="4" w:space="0" w:color="auto"/>
              <w:bottom w:val="single" w:sz="4" w:space="0" w:color="auto"/>
              <w:right w:val="single" w:sz="4" w:space="0" w:color="000000"/>
            </w:tcBorders>
            <w:shd w:val="pct25" w:color="000000" w:fill="auto"/>
            <w:noWrap/>
            <w:vAlign w:val="bottom"/>
            <w:hideMark/>
          </w:tcPr>
          <w:p w:rsidR="003A497B" w:rsidRPr="005A6E05" w:rsidRDefault="003A497B" w:rsidP="003E1809">
            <w:pPr>
              <w:rPr>
                <w:rFonts w:ascii="Times New Roman" w:hAnsi="Times New Roman" w:cs="Times New Roman"/>
                <w:b/>
                <w:bCs/>
                <w:color w:val="000000"/>
                <w:sz w:val="14"/>
                <w:szCs w:val="14"/>
                <w:lang w:eastAsia="sk-SK"/>
              </w:rPr>
            </w:pPr>
            <w:r w:rsidRPr="005A6E05">
              <w:rPr>
                <w:rFonts w:ascii="Times New Roman" w:hAnsi="Times New Roman" w:cs="Times New Roman"/>
                <w:b/>
                <w:bCs/>
                <w:color w:val="000000"/>
                <w:sz w:val="14"/>
                <w:szCs w:val="14"/>
                <w:lang w:eastAsia="sk-SK"/>
              </w:rPr>
              <w:t>Spolu príspevkové organizácie SAV</w:t>
            </w:r>
          </w:p>
        </w:tc>
        <w:tc>
          <w:tcPr>
            <w:tcW w:w="473" w:type="pct"/>
            <w:tcBorders>
              <w:top w:val="single" w:sz="4" w:space="0" w:color="auto"/>
              <w:left w:val="nil"/>
              <w:bottom w:val="single" w:sz="4" w:space="0" w:color="auto"/>
              <w:right w:val="single" w:sz="4" w:space="0" w:color="auto"/>
            </w:tcBorders>
            <w:shd w:val="pct25" w:color="000000" w:fill="auto"/>
            <w:noWrap/>
            <w:vAlign w:val="bottom"/>
            <w:hideMark/>
          </w:tcPr>
          <w:p w:rsidR="003A497B" w:rsidRPr="005A6E05" w:rsidRDefault="003A497B" w:rsidP="003E1809">
            <w:pPr>
              <w:jc w:val="right"/>
              <w:rPr>
                <w:rFonts w:ascii="Times New Roman" w:hAnsi="Times New Roman" w:cs="Times New Roman"/>
                <w:b/>
                <w:bCs/>
                <w:color w:val="000000"/>
                <w:sz w:val="14"/>
                <w:szCs w:val="14"/>
                <w:lang w:eastAsia="sk-SK"/>
              </w:rPr>
            </w:pPr>
            <w:r w:rsidRPr="005A6E05">
              <w:rPr>
                <w:rFonts w:ascii="Times New Roman" w:hAnsi="Times New Roman" w:cs="Times New Roman"/>
                <w:b/>
                <w:bCs/>
                <w:color w:val="000000"/>
                <w:sz w:val="14"/>
                <w:szCs w:val="14"/>
                <w:lang w:eastAsia="sk-SK"/>
              </w:rPr>
              <w:t>32 697 868</w:t>
            </w:r>
          </w:p>
        </w:tc>
        <w:tc>
          <w:tcPr>
            <w:tcW w:w="411" w:type="pct"/>
            <w:tcBorders>
              <w:top w:val="single" w:sz="4" w:space="0" w:color="auto"/>
              <w:left w:val="nil"/>
              <w:bottom w:val="single" w:sz="4" w:space="0" w:color="auto"/>
              <w:right w:val="single" w:sz="4" w:space="0" w:color="auto"/>
            </w:tcBorders>
            <w:shd w:val="pct25" w:color="000000" w:fill="auto"/>
            <w:noWrap/>
            <w:vAlign w:val="bottom"/>
            <w:hideMark/>
          </w:tcPr>
          <w:p w:rsidR="003A497B" w:rsidRPr="005A6E05" w:rsidRDefault="003A497B" w:rsidP="003E1809">
            <w:pPr>
              <w:jc w:val="right"/>
              <w:rPr>
                <w:rFonts w:ascii="Times New Roman" w:hAnsi="Times New Roman" w:cs="Times New Roman"/>
                <w:b/>
                <w:bCs/>
                <w:color w:val="000000"/>
                <w:sz w:val="14"/>
                <w:szCs w:val="14"/>
                <w:lang w:eastAsia="sk-SK"/>
              </w:rPr>
            </w:pPr>
            <w:r w:rsidRPr="005A6E05">
              <w:rPr>
                <w:rFonts w:ascii="Times New Roman" w:hAnsi="Times New Roman" w:cs="Times New Roman"/>
                <w:b/>
                <w:bCs/>
                <w:color w:val="000000"/>
                <w:sz w:val="14"/>
                <w:szCs w:val="14"/>
                <w:lang w:eastAsia="sk-SK"/>
              </w:rPr>
              <w:t>37 323 886</w:t>
            </w:r>
          </w:p>
        </w:tc>
        <w:tc>
          <w:tcPr>
            <w:tcW w:w="473" w:type="pct"/>
            <w:tcBorders>
              <w:top w:val="single" w:sz="4" w:space="0" w:color="auto"/>
              <w:left w:val="nil"/>
              <w:bottom w:val="single" w:sz="4" w:space="0" w:color="auto"/>
              <w:right w:val="single" w:sz="4" w:space="0" w:color="auto"/>
            </w:tcBorders>
            <w:shd w:val="pct25" w:color="000000" w:fill="auto"/>
            <w:noWrap/>
            <w:vAlign w:val="bottom"/>
            <w:hideMark/>
          </w:tcPr>
          <w:p w:rsidR="003A497B" w:rsidRPr="005A6E05" w:rsidRDefault="003A497B" w:rsidP="003E1809">
            <w:pPr>
              <w:jc w:val="right"/>
              <w:rPr>
                <w:rFonts w:ascii="Times New Roman" w:hAnsi="Times New Roman" w:cs="Times New Roman"/>
                <w:b/>
                <w:bCs/>
                <w:color w:val="000000"/>
                <w:sz w:val="14"/>
                <w:szCs w:val="14"/>
                <w:lang w:eastAsia="sk-SK"/>
              </w:rPr>
            </w:pPr>
            <w:r w:rsidRPr="005A6E05">
              <w:rPr>
                <w:rFonts w:ascii="Times New Roman" w:hAnsi="Times New Roman" w:cs="Times New Roman"/>
                <w:b/>
                <w:bCs/>
                <w:color w:val="000000"/>
                <w:sz w:val="14"/>
                <w:szCs w:val="14"/>
                <w:lang w:eastAsia="sk-SK"/>
              </w:rPr>
              <w:t>37 720 792</w:t>
            </w:r>
          </w:p>
        </w:tc>
        <w:tc>
          <w:tcPr>
            <w:tcW w:w="473" w:type="pct"/>
            <w:tcBorders>
              <w:top w:val="single" w:sz="4" w:space="0" w:color="auto"/>
              <w:left w:val="nil"/>
              <w:bottom w:val="single" w:sz="4" w:space="0" w:color="auto"/>
              <w:right w:val="single" w:sz="4" w:space="0" w:color="auto"/>
            </w:tcBorders>
            <w:shd w:val="pct25" w:color="000000" w:fill="auto"/>
            <w:noWrap/>
            <w:vAlign w:val="bottom"/>
            <w:hideMark/>
          </w:tcPr>
          <w:p w:rsidR="003A497B" w:rsidRPr="005A6E05" w:rsidRDefault="003A497B" w:rsidP="003E1809">
            <w:pPr>
              <w:jc w:val="right"/>
              <w:rPr>
                <w:rFonts w:ascii="Times New Roman" w:hAnsi="Times New Roman" w:cs="Times New Roman"/>
                <w:b/>
                <w:bCs/>
                <w:color w:val="000000"/>
                <w:sz w:val="14"/>
                <w:szCs w:val="14"/>
                <w:lang w:eastAsia="sk-SK"/>
              </w:rPr>
            </w:pPr>
            <w:r w:rsidRPr="005A6E05">
              <w:rPr>
                <w:rFonts w:ascii="Times New Roman" w:hAnsi="Times New Roman" w:cs="Times New Roman"/>
                <w:b/>
                <w:bCs/>
                <w:color w:val="000000"/>
                <w:sz w:val="14"/>
                <w:szCs w:val="14"/>
                <w:lang w:eastAsia="sk-SK"/>
              </w:rPr>
              <w:t>37 851 414</w:t>
            </w:r>
          </w:p>
        </w:tc>
        <w:tc>
          <w:tcPr>
            <w:tcW w:w="473" w:type="pct"/>
            <w:tcBorders>
              <w:top w:val="single" w:sz="4" w:space="0" w:color="auto"/>
              <w:left w:val="nil"/>
              <w:bottom w:val="single" w:sz="4" w:space="0" w:color="auto"/>
              <w:right w:val="single" w:sz="4" w:space="0" w:color="auto"/>
            </w:tcBorders>
            <w:shd w:val="pct25" w:color="000000" w:fill="auto"/>
            <w:noWrap/>
            <w:vAlign w:val="bottom"/>
            <w:hideMark/>
          </w:tcPr>
          <w:p w:rsidR="003A497B" w:rsidRPr="005A6E05" w:rsidRDefault="003A497B" w:rsidP="003E1809">
            <w:pPr>
              <w:jc w:val="right"/>
              <w:rPr>
                <w:rFonts w:ascii="Times New Roman" w:hAnsi="Times New Roman" w:cs="Times New Roman"/>
                <w:b/>
                <w:bCs/>
                <w:color w:val="000000"/>
                <w:sz w:val="14"/>
                <w:szCs w:val="14"/>
                <w:lang w:eastAsia="sk-SK"/>
              </w:rPr>
            </w:pPr>
            <w:r w:rsidRPr="005A6E05">
              <w:rPr>
                <w:rFonts w:ascii="Times New Roman" w:hAnsi="Times New Roman" w:cs="Times New Roman"/>
                <w:b/>
                <w:bCs/>
                <w:color w:val="000000"/>
                <w:sz w:val="14"/>
                <w:szCs w:val="14"/>
                <w:lang w:eastAsia="sk-SK"/>
              </w:rPr>
              <w:t>41 944 901</w:t>
            </w:r>
          </w:p>
        </w:tc>
        <w:tc>
          <w:tcPr>
            <w:tcW w:w="473" w:type="pct"/>
            <w:tcBorders>
              <w:top w:val="single" w:sz="4" w:space="0" w:color="auto"/>
              <w:left w:val="nil"/>
              <w:bottom w:val="single" w:sz="4" w:space="0" w:color="auto"/>
              <w:right w:val="single" w:sz="4" w:space="0" w:color="auto"/>
            </w:tcBorders>
            <w:shd w:val="pct25" w:color="000000" w:fill="auto"/>
            <w:noWrap/>
            <w:vAlign w:val="bottom"/>
            <w:hideMark/>
          </w:tcPr>
          <w:p w:rsidR="003A497B" w:rsidRPr="005A6E05" w:rsidRDefault="003A497B" w:rsidP="003E1809">
            <w:pPr>
              <w:jc w:val="right"/>
              <w:rPr>
                <w:rFonts w:ascii="Times New Roman" w:hAnsi="Times New Roman" w:cs="Times New Roman"/>
                <w:b/>
                <w:bCs/>
                <w:color w:val="000000"/>
                <w:sz w:val="14"/>
                <w:szCs w:val="14"/>
                <w:lang w:eastAsia="sk-SK"/>
              </w:rPr>
            </w:pPr>
            <w:r w:rsidRPr="005A6E05">
              <w:rPr>
                <w:rFonts w:ascii="Times New Roman" w:hAnsi="Times New Roman" w:cs="Times New Roman"/>
                <w:b/>
                <w:bCs/>
                <w:color w:val="000000"/>
                <w:sz w:val="14"/>
                <w:szCs w:val="14"/>
                <w:lang w:eastAsia="sk-SK"/>
              </w:rPr>
              <w:t>41 944 901</w:t>
            </w:r>
          </w:p>
        </w:tc>
        <w:tc>
          <w:tcPr>
            <w:tcW w:w="473" w:type="pct"/>
            <w:tcBorders>
              <w:top w:val="single" w:sz="4" w:space="0" w:color="auto"/>
              <w:left w:val="nil"/>
              <w:bottom w:val="single" w:sz="4" w:space="0" w:color="auto"/>
              <w:right w:val="single" w:sz="4" w:space="0" w:color="auto"/>
            </w:tcBorders>
            <w:shd w:val="pct25" w:color="000000" w:fill="auto"/>
            <w:noWrap/>
            <w:vAlign w:val="bottom"/>
            <w:hideMark/>
          </w:tcPr>
          <w:p w:rsidR="003A497B" w:rsidRPr="005A6E05" w:rsidRDefault="003A497B" w:rsidP="003E1809">
            <w:pPr>
              <w:jc w:val="right"/>
              <w:rPr>
                <w:rFonts w:ascii="Times New Roman" w:hAnsi="Times New Roman" w:cs="Times New Roman"/>
                <w:b/>
                <w:bCs/>
                <w:color w:val="000000"/>
                <w:sz w:val="14"/>
                <w:szCs w:val="14"/>
                <w:lang w:eastAsia="sk-SK"/>
              </w:rPr>
            </w:pPr>
            <w:r w:rsidRPr="005A6E05">
              <w:rPr>
                <w:rFonts w:ascii="Times New Roman" w:hAnsi="Times New Roman" w:cs="Times New Roman"/>
                <w:b/>
                <w:bCs/>
                <w:color w:val="000000"/>
                <w:sz w:val="14"/>
                <w:szCs w:val="14"/>
                <w:lang w:eastAsia="sk-SK"/>
              </w:rPr>
              <w:t>41 944 901</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Fyzikálny ústav </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1 696 190</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1 906 711</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1 591 931</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2 040 274</w:t>
            </w:r>
          </w:p>
        </w:tc>
        <w:tc>
          <w:tcPr>
            <w:tcW w:w="473" w:type="pct"/>
            <w:tcBorders>
              <w:top w:val="nil"/>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1 696 387</w:t>
            </w:r>
          </w:p>
        </w:tc>
        <w:tc>
          <w:tcPr>
            <w:tcW w:w="473" w:type="pct"/>
            <w:tcBorders>
              <w:top w:val="nil"/>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1 696 387</w:t>
            </w:r>
          </w:p>
        </w:tc>
        <w:tc>
          <w:tcPr>
            <w:tcW w:w="473" w:type="pct"/>
            <w:tcBorders>
              <w:top w:val="nil"/>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1 696 387</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Ústav geotechniky </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905 048</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931 733</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859 676</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963 191</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880 776</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880 776</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880 776</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3.</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Ústav stavebníctva a architektúry </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978 338</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824 591</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893 273</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848 257</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956 597</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956 597</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956 597</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4.</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Ústav hydrológie </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682 787</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677 324</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668 074</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707 814</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713 092</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713 092</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713 092</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5.</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Chemický ústav </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1 596 677</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1 892 833</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1 865 449</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2 185 578</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2 051 701</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2 051 701</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2 051 701</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6.</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Ústav molekulárnej biológie </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0</w:t>
            </w:r>
          </w:p>
        </w:tc>
        <w:tc>
          <w:tcPr>
            <w:tcW w:w="411" w:type="pct"/>
            <w:tcBorders>
              <w:top w:val="nil"/>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1 154 430</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1 103 009</w:t>
            </w:r>
          </w:p>
        </w:tc>
        <w:tc>
          <w:tcPr>
            <w:tcW w:w="473" w:type="pct"/>
            <w:tcBorders>
              <w:top w:val="nil"/>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1 168 711</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1 139 423</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1 139 423</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1 139 423</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Veda, vydavateľstvo SAV</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261 428</w:t>
            </w:r>
          </w:p>
        </w:tc>
        <w:tc>
          <w:tcPr>
            <w:tcW w:w="411" w:type="pct"/>
            <w:tcBorders>
              <w:top w:val="single" w:sz="4" w:space="0" w:color="auto"/>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275 197</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205 936</w:t>
            </w:r>
          </w:p>
        </w:tc>
        <w:tc>
          <w:tcPr>
            <w:tcW w:w="473" w:type="pct"/>
            <w:tcBorders>
              <w:top w:val="single" w:sz="4" w:space="0" w:color="auto"/>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65 896</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0</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0</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0</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8.</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Ústav materiálového výskumu </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1 140 732</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1 178 524</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1 130 605</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1 542 244</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1 646 261</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1 646 261</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1 646 261</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9.</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Ústav experimentálnej fyziky </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1 581 292</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2 038 114</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1 949 017</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2 108 706</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2 045 676</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2 045 676</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2 045 676</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10.</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Ústav fyziológie hospodárskych zvierat </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683 637</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681 823</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669 550</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0</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0</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0</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0</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11.</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Encyklopedický ústav </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758 680</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734 365</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764 920</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227 989</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0</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0</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0</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12.</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C017E3">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Výpočtové stredisko (Centrum spo</w:t>
            </w:r>
            <w:r w:rsidR="00C017E3">
              <w:rPr>
                <w:rFonts w:ascii="Times New Roman" w:hAnsi="Times New Roman" w:cs="Times New Roman"/>
                <w:color w:val="000000"/>
                <w:sz w:val="14"/>
                <w:szCs w:val="14"/>
                <w:lang w:eastAsia="sk-SK"/>
              </w:rPr>
              <w:t>lo</w:t>
            </w:r>
            <w:r w:rsidRPr="005A6E05">
              <w:rPr>
                <w:rFonts w:ascii="Times New Roman" w:hAnsi="Times New Roman" w:cs="Times New Roman"/>
                <w:color w:val="000000"/>
                <w:sz w:val="14"/>
                <w:szCs w:val="14"/>
                <w:lang w:eastAsia="sk-SK"/>
              </w:rPr>
              <w:t>čných činnost</w:t>
            </w:r>
            <w:r w:rsidR="00C017E3">
              <w:rPr>
                <w:rFonts w:ascii="Times New Roman" w:hAnsi="Times New Roman" w:cs="Times New Roman"/>
                <w:color w:val="000000"/>
                <w:sz w:val="14"/>
                <w:szCs w:val="14"/>
                <w:lang w:eastAsia="sk-SK"/>
              </w:rPr>
              <w:t>í</w:t>
            </w:r>
            <w:r w:rsidRPr="005A6E05">
              <w:rPr>
                <w:rFonts w:ascii="Times New Roman" w:hAnsi="Times New Roman" w:cs="Times New Roman"/>
                <w:color w:val="000000"/>
                <w:sz w:val="14"/>
                <w:szCs w:val="14"/>
                <w:lang w:eastAsia="sk-SK"/>
              </w:rPr>
              <w:t>)</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961 011</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980 886</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962 455</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1 003 587</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3 598 351</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3 598 351</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3 598 351</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13.</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Ústav materiálov a mechaniky strojov </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1 102 888</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1 048 715</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3 862 090</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1 294 797</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3 370 062</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3 370 062</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3 370 062</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14.</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sz w:val="14"/>
                <w:szCs w:val="14"/>
                <w:lang w:eastAsia="sk-SK"/>
              </w:rPr>
            </w:pPr>
            <w:r w:rsidRPr="005A6E05">
              <w:rPr>
                <w:rFonts w:ascii="Times New Roman" w:hAnsi="Times New Roman" w:cs="Times New Roman"/>
                <w:sz w:val="14"/>
                <w:szCs w:val="14"/>
                <w:lang w:eastAsia="sk-SK"/>
              </w:rPr>
              <w:t xml:space="preserve">Centrum biovied </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711 841</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1 560 849</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1 419 514</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2 077 104</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2 001 448</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2 001 448</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2 001 448</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15.</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Ústav polymérov</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1 309 754</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1 375 113</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1 139 535</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1 301 240</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1 130 826</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1 130 826</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1 130 826</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16.</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Ústav vied o Zemi </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1 643 343</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1 659 896</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1 577 819</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1 745 570</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1 673 435</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1 673 435</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1 673 435</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17.</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Parazitologický ústav </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826 586</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888 867</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859 841</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917 987</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901 557</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901 557</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901 557</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18.</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Ústav merania </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919 311</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965 332</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906 036</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978 894</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972 207</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972 207</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972 207</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19.</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Elektrotechnický ústav </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1 692 225</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1 909 044</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1 587 189</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1 842 013</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1 650 439</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1 650 439</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1 650 439</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20.</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Ústav experimentálnej farmakológie a toxikológie </w:t>
            </w:r>
          </w:p>
        </w:tc>
        <w:tc>
          <w:tcPr>
            <w:tcW w:w="473" w:type="pct"/>
            <w:tcBorders>
              <w:top w:val="nil"/>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0</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982 547</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934 038</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1 156 238</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2 178 428</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2 178 428</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2 178 428</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21.</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Ústav normálnej a patologickej fyziológie </w:t>
            </w:r>
          </w:p>
        </w:tc>
        <w:tc>
          <w:tcPr>
            <w:tcW w:w="473" w:type="pct"/>
            <w:tcBorders>
              <w:top w:val="single" w:sz="4" w:space="0" w:color="auto"/>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680 312</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717 467</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683 379</w:t>
            </w:r>
          </w:p>
        </w:tc>
        <w:tc>
          <w:tcPr>
            <w:tcW w:w="473" w:type="pct"/>
            <w:tcBorders>
              <w:top w:val="nil"/>
              <w:left w:val="nil"/>
              <w:bottom w:val="nil"/>
              <w:right w:val="nil"/>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0</w:t>
            </w:r>
          </w:p>
        </w:tc>
        <w:tc>
          <w:tcPr>
            <w:tcW w:w="473" w:type="pct"/>
            <w:tcBorders>
              <w:top w:val="single" w:sz="4" w:space="0" w:color="auto"/>
              <w:left w:val="single" w:sz="4" w:space="0" w:color="auto"/>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0</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0</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0</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22.</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Ústav ekológie lesa </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1 456 939</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1 481 409</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1 419 134</w:t>
            </w:r>
          </w:p>
        </w:tc>
        <w:tc>
          <w:tcPr>
            <w:tcW w:w="473" w:type="pct"/>
            <w:tcBorders>
              <w:top w:val="single" w:sz="4" w:space="0" w:color="auto"/>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1 542 138</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1 547 964</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1 547 964</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1 547 964</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23.</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Centrum biológie rastlín a biodiverzity</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1 336 863</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2 045 844</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1 918 495</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2 080 310</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1 977 292</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1 977 292</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1 977 292</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24.</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Ústav zoológie </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720 408</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741 763</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756 951</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807 630</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791 661</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791 661</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791 661</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25.</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Ústav krajinnej ekológie </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700 683</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723 862</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702 510</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784 155</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750 173</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750 173</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750 173</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26.</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Ekonomický ústav </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772 519</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795 932</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764 063</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386 942</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810 253</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810 253</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810 253</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27.</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Ústav informatiky </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1 411 104</w:t>
            </w:r>
          </w:p>
        </w:tc>
        <w:tc>
          <w:tcPr>
            <w:tcW w:w="411"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1 470 691</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1 390 904</w:t>
            </w:r>
          </w:p>
        </w:tc>
        <w:tc>
          <w:tcPr>
            <w:tcW w:w="473" w:type="pct"/>
            <w:tcBorders>
              <w:top w:val="nil"/>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1 554 171</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1 514 412</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1 514 412</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1 514 412</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28.</w:t>
            </w:r>
          </w:p>
        </w:tc>
        <w:tc>
          <w:tcPr>
            <w:tcW w:w="1598" w:type="pct"/>
            <w:tcBorders>
              <w:top w:val="nil"/>
              <w:left w:val="nil"/>
              <w:bottom w:val="nil"/>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Neuroimunologický ústav </w:t>
            </w:r>
          </w:p>
        </w:tc>
        <w:tc>
          <w:tcPr>
            <w:tcW w:w="473" w:type="pct"/>
            <w:tcBorders>
              <w:top w:val="nil"/>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577 139</w:t>
            </w:r>
          </w:p>
        </w:tc>
        <w:tc>
          <w:tcPr>
            <w:tcW w:w="411" w:type="pct"/>
            <w:tcBorders>
              <w:top w:val="nil"/>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678 605</w:t>
            </w:r>
          </w:p>
        </w:tc>
        <w:tc>
          <w:tcPr>
            <w:tcW w:w="473" w:type="pct"/>
            <w:tcBorders>
              <w:top w:val="nil"/>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575 808</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686 377</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618 361</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618 361</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618 361</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29.</w:t>
            </w:r>
          </w:p>
        </w:tc>
        <w:tc>
          <w:tcPr>
            <w:tcW w:w="1598" w:type="pct"/>
            <w:tcBorders>
              <w:top w:val="single" w:sz="4" w:space="0" w:color="auto"/>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Biomedicínske centrum</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5 189 587</w:t>
            </w:r>
          </w:p>
        </w:tc>
        <w:tc>
          <w:tcPr>
            <w:tcW w:w="411"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4 974 466</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4 559 591</w:t>
            </w:r>
          </w:p>
        </w:tc>
        <w:tc>
          <w:tcPr>
            <w:tcW w:w="473" w:type="pct"/>
            <w:tcBorders>
              <w:top w:val="single" w:sz="4" w:space="0" w:color="auto"/>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5 709 323</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5 318 294</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5 318 294</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5 318 294</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30.</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Centrum pre využitie pokročilých materiálov </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0</w:t>
            </w:r>
          </w:p>
        </w:tc>
        <w:tc>
          <w:tcPr>
            <w:tcW w:w="411"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26 953</w:t>
            </w:r>
          </w:p>
        </w:tc>
        <w:tc>
          <w:tcPr>
            <w:tcW w:w="473" w:type="pct"/>
            <w:tcBorders>
              <w:top w:val="single" w:sz="4" w:space="0" w:color="auto"/>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0</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124 278</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9 825</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9 825</w:t>
            </w:r>
          </w:p>
        </w:tc>
        <w:tc>
          <w:tcPr>
            <w:tcW w:w="473" w:type="pct"/>
            <w:tcBorders>
              <w:top w:val="single" w:sz="4" w:space="0" w:color="auto"/>
              <w:left w:val="nil"/>
              <w:bottom w:val="nil"/>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9 825</w:t>
            </w:r>
          </w:p>
        </w:tc>
      </w:tr>
      <w:tr w:rsidR="003A497B" w:rsidRPr="005A6E05" w:rsidTr="003E1809">
        <w:trPr>
          <w:trHeight w:hRule="exact" w:val="255"/>
        </w:trPr>
        <w:tc>
          <w:tcPr>
            <w:tcW w:w="154" w:type="pct"/>
            <w:tcBorders>
              <w:top w:val="nil"/>
              <w:left w:val="single" w:sz="4" w:space="0" w:color="auto"/>
              <w:bottom w:val="single" w:sz="4" w:space="0" w:color="auto"/>
              <w:right w:val="single" w:sz="4" w:space="0" w:color="auto"/>
            </w:tcBorders>
            <w:shd w:val="clear" w:color="auto" w:fill="auto"/>
            <w:noWrap/>
            <w:vAlign w:val="bottom"/>
            <w:hideMark/>
          </w:tcPr>
          <w:p w:rsidR="003A497B" w:rsidRPr="005A6E05" w:rsidRDefault="003A497B" w:rsidP="003E1809">
            <w:pPr>
              <w:jc w:val="cente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31.</w:t>
            </w:r>
          </w:p>
        </w:tc>
        <w:tc>
          <w:tcPr>
            <w:tcW w:w="1598"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 xml:space="preserve">Ústav genetiky a biotechnológie rastlín </w:t>
            </w:r>
          </w:p>
        </w:tc>
        <w:tc>
          <w:tcPr>
            <w:tcW w:w="473" w:type="pct"/>
            <w:tcBorders>
              <w:top w:val="single" w:sz="4" w:space="0" w:color="auto"/>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400 546</w:t>
            </w:r>
          </w:p>
        </w:tc>
        <w:tc>
          <w:tcPr>
            <w:tcW w:w="411" w:type="pct"/>
            <w:tcBorders>
              <w:top w:val="single" w:sz="4" w:space="0" w:color="auto"/>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0</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0</w:t>
            </w:r>
          </w:p>
        </w:tc>
        <w:tc>
          <w:tcPr>
            <w:tcW w:w="473" w:type="pct"/>
            <w:tcBorders>
              <w:top w:val="nil"/>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sz w:val="14"/>
                <w:szCs w:val="14"/>
                <w:lang w:eastAsia="sk-SK"/>
              </w:rPr>
            </w:pPr>
            <w:r w:rsidRPr="005A6E05">
              <w:rPr>
                <w:rFonts w:ascii="Times New Roman" w:hAnsi="Times New Roman" w:cs="Times New Roman"/>
                <w:sz w:val="14"/>
                <w:szCs w:val="14"/>
                <w:lang w:eastAsia="sk-SK"/>
              </w:rPr>
              <w:t>0</w:t>
            </w:r>
          </w:p>
        </w:tc>
        <w:tc>
          <w:tcPr>
            <w:tcW w:w="473" w:type="pct"/>
            <w:tcBorders>
              <w:top w:val="single" w:sz="4" w:space="0" w:color="auto"/>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0</w:t>
            </w:r>
          </w:p>
        </w:tc>
        <w:tc>
          <w:tcPr>
            <w:tcW w:w="473" w:type="pct"/>
            <w:tcBorders>
              <w:top w:val="single" w:sz="4" w:space="0" w:color="auto"/>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0</w:t>
            </w:r>
          </w:p>
        </w:tc>
        <w:tc>
          <w:tcPr>
            <w:tcW w:w="473" w:type="pct"/>
            <w:tcBorders>
              <w:top w:val="single" w:sz="4" w:space="0" w:color="auto"/>
              <w:left w:val="nil"/>
              <w:bottom w:val="single" w:sz="4" w:space="0" w:color="auto"/>
              <w:right w:val="single" w:sz="4" w:space="0" w:color="auto"/>
            </w:tcBorders>
            <w:shd w:val="clear" w:color="auto" w:fill="auto"/>
            <w:noWrap/>
            <w:vAlign w:val="bottom"/>
            <w:hideMark/>
          </w:tcPr>
          <w:p w:rsidR="003A497B" w:rsidRPr="005A6E05" w:rsidRDefault="003A497B" w:rsidP="003E1809">
            <w:pPr>
              <w:jc w:val="right"/>
              <w:rPr>
                <w:rFonts w:ascii="Times New Roman" w:hAnsi="Times New Roman" w:cs="Times New Roman"/>
                <w:color w:val="000000"/>
                <w:sz w:val="14"/>
                <w:szCs w:val="14"/>
                <w:lang w:eastAsia="sk-SK"/>
              </w:rPr>
            </w:pPr>
            <w:r w:rsidRPr="005A6E05">
              <w:rPr>
                <w:rFonts w:ascii="Times New Roman" w:hAnsi="Times New Roman" w:cs="Times New Roman"/>
                <w:color w:val="000000"/>
                <w:sz w:val="14"/>
                <w:szCs w:val="14"/>
                <w:lang w:eastAsia="sk-SK"/>
              </w:rPr>
              <w:t>0</w:t>
            </w:r>
          </w:p>
        </w:tc>
      </w:tr>
    </w:tbl>
    <w:p w:rsidR="003A497B" w:rsidRDefault="003A497B" w:rsidP="003A497B">
      <w:pPr>
        <w:jc w:val="both"/>
        <w:rPr>
          <w:rFonts w:ascii="Times New Roman" w:hAnsi="Times New Roman"/>
          <w:lang w:eastAsia="sk-SK"/>
        </w:rPr>
      </w:pPr>
      <w:r>
        <w:rPr>
          <w:rFonts w:ascii="Times New Roman" w:hAnsi="Times New Roman"/>
          <w:sz w:val="14"/>
          <w:szCs w:val="14"/>
          <w:lang w:eastAsia="sk-SK"/>
        </w:rPr>
        <w:t>Poznámka: V</w:t>
      </w:r>
      <w:r w:rsidRPr="00246363">
        <w:rPr>
          <w:rFonts w:ascii="Times New Roman" w:hAnsi="Times New Roman"/>
          <w:sz w:val="14"/>
          <w:szCs w:val="14"/>
          <w:lang w:eastAsia="sk-SK"/>
        </w:rPr>
        <w:t xml:space="preserve"> skutočnosti za roky 201</w:t>
      </w:r>
      <w:r>
        <w:rPr>
          <w:rFonts w:ascii="Times New Roman" w:hAnsi="Times New Roman"/>
          <w:sz w:val="14"/>
          <w:szCs w:val="14"/>
          <w:lang w:eastAsia="sk-SK"/>
        </w:rPr>
        <w:t>6</w:t>
      </w:r>
      <w:r w:rsidRPr="00246363">
        <w:rPr>
          <w:rFonts w:ascii="Times New Roman" w:hAnsi="Times New Roman"/>
          <w:sz w:val="14"/>
          <w:szCs w:val="14"/>
          <w:lang w:eastAsia="sk-SK"/>
        </w:rPr>
        <w:t xml:space="preserve"> a 201</w:t>
      </w:r>
      <w:r>
        <w:rPr>
          <w:rFonts w:ascii="Times New Roman" w:hAnsi="Times New Roman"/>
          <w:sz w:val="14"/>
          <w:szCs w:val="14"/>
          <w:lang w:eastAsia="sk-SK"/>
        </w:rPr>
        <w:t>7</w:t>
      </w:r>
      <w:r w:rsidRPr="00246363">
        <w:rPr>
          <w:rFonts w:ascii="Times New Roman" w:hAnsi="Times New Roman"/>
          <w:sz w:val="14"/>
          <w:szCs w:val="14"/>
          <w:lang w:eastAsia="sk-SK"/>
        </w:rPr>
        <w:t xml:space="preserve"> a očakávanej skutočnosti 201</w:t>
      </w:r>
      <w:r>
        <w:rPr>
          <w:rFonts w:ascii="Times New Roman" w:hAnsi="Times New Roman"/>
          <w:sz w:val="14"/>
          <w:szCs w:val="14"/>
          <w:lang w:eastAsia="sk-SK"/>
        </w:rPr>
        <w:t>8</w:t>
      </w:r>
      <w:r w:rsidRPr="00246363">
        <w:rPr>
          <w:rFonts w:ascii="Times New Roman" w:hAnsi="Times New Roman"/>
          <w:sz w:val="14"/>
          <w:szCs w:val="14"/>
          <w:lang w:eastAsia="sk-SK"/>
        </w:rPr>
        <w:t xml:space="preserve"> sú zahrnuté aj prostriedky EÚ a spolufinancovanie zo ŠR</w:t>
      </w:r>
      <w:r>
        <w:rPr>
          <w:rFonts w:ascii="Times New Roman" w:hAnsi="Times New Roman"/>
          <w:sz w:val="14"/>
          <w:szCs w:val="14"/>
          <w:lang w:eastAsia="sk-SK"/>
        </w:rPr>
        <w:t>.</w:t>
      </w:r>
    </w:p>
    <w:p w:rsidR="003A497B" w:rsidRDefault="003A497B" w:rsidP="003A497B">
      <w:pPr>
        <w:jc w:val="both"/>
        <w:rPr>
          <w:rFonts w:ascii="Times New Roman" w:hAnsi="Times New Roman"/>
          <w:lang w:eastAsia="sk-SK"/>
        </w:rPr>
      </w:pPr>
    </w:p>
    <w:p w:rsidR="003A497B" w:rsidRPr="008B2ACC" w:rsidRDefault="003A497B" w:rsidP="003A497B">
      <w:pPr>
        <w:jc w:val="both"/>
        <w:rPr>
          <w:rFonts w:ascii="Times New Roman" w:hAnsi="Times New Roman"/>
          <w:lang w:eastAsia="sk-SK"/>
        </w:rPr>
      </w:pPr>
      <w:r w:rsidRPr="008B2ACC">
        <w:rPr>
          <w:rFonts w:ascii="Times New Roman" w:hAnsi="Times New Roman"/>
          <w:b/>
          <w:bCs/>
          <w:lang w:eastAsia="sk-SK"/>
        </w:rPr>
        <w:t>Financovanie tretieho stupňa vysokoškolského vzdelávania</w:t>
      </w:r>
      <w:r w:rsidRPr="008B2ACC">
        <w:rPr>
          <w:rFonts w:ascii="Times New Roman" w:hAnsi="Times New Roman"/>
          <w:lang w:eastAsia="sk-SK"/>
        </w:rPr>
        <w:t> </w:t>
      </w:r>
    </w:p>
    <w:p w:rsidR="003A497B" w:rsidRPr="008B2ACC" w:rsidRDefault="003A497B" w:rsidP="003A497B">
      <w:pPr>
        <w:jc w:val="both"/>
        <w:rPr>
          <w:rFonts w:ascii="Times New Roman" w:hAnsi="Times New Roman"/>
          <w:lang w:eastAsia="sk-SK"/>
        </w:rPr>
      </w:pPr>
    </w:p>
    <w:p w:rsidR="003A497B" w:rsidRDefault="003A497B" w:rsidP="003A497B">
      <w:pPr>
        <w:ind w:firstLine="708"/>
        <w:jc w:val="both"/>
        <w:rPr>
          <w:rFonts w:ascii="Times New Roman" w:hAnsi="Times New Roman"/>
          <w:lang w:eastAsia="sk-SK"/>
        </w:rPr>
      </w:pPr>
      <w:r w:rsidRPr="008B2ACC">
        <w:rPr>
          <w:rFonts w:ascii="Times New Roman" w:hAnsi="Times New Roman"/>
          <w:lang w:eastAsia="sk-SK"/>
        </w:rPr>
        <w:t>SAV ako externá vzdelávacia inštitúcia sa podieľa na výchove nových generácií vedeckých pracovníkov v širokej palete vedných odborov. Zo svojho rozpočtu hradí nielen prostriedky na štipendiá, ale aj náklady spojené s vedeckou činnosťou doktorandov. Na rok 201</w:t>
      </w:r>
      <w:r>
        <w:rPr>
          <w:rFonts w:ascii="Times New Roman" w:hAnsi="Times New Roman"/>
          <w:lang w:eastAsia="sk-SK"/>
        </w:rPr>
        <w:t>9</w:t>
      </w:r>
      <w:r w:rsidRPr="008B2ACC">
        <w:rPr>
          <w:rFonts w:ascii="Times New Roman" w:hAnsi="Times New Roman"/>
          <w:lang w:eastAsia="sk-SK"/>
        </w:rPr>
        <w:t xml:space="preserve"> SAV rozpísala výdavky na tretí stupeň vysokoškolského vzdelávania </w:t>
      </w:r>
      <w:r>
        <w:rPr>
          <w:rFonts w:ascii="Times New Roman" w:hAnsi="Times New Roman"/>
          <w:lang w:eastAsia="sk-SK"/>
        </w:rPr>
        <w:t>oproti schválenému rozpočtu roku 2018</w:t>
      </w:r>
      <w:r w:rsidRPr="008B2ACC">
        <w:rPr>
          <w:rFonts w:ascii="Times New Roman" w:hAnsi="Times New Roman"/>
          <w:lang w:eastAsia="sk-SK"/>
        </w:rPr>
        <w:t xml:space="preserve"> </w:t>
      </w:r>
      <w:r>
        <w:rPr>
          <w:rFonts w:ascii="Times New Roman" w:hAnsi="Times New Roman"/>
          <w:lang w:eastAsia="sk-SK"/>
        </w:rPr>
        <w:t>viac o 0,22</w:t>
      </w:r>
      <w:r w:rsidRPr="008B2ACC">
        <w:rPr>
          <w:rFonts w:ascii="Times New Roman" w:hAnsi="Times New Roman"/>
          <w:lang w:eastAsia="sk-SK"/>
        </w:rPr>
        <w:t xml:space="preserve"> mil. eur</w:t>
      </w:r>
      <w:r>
        <w:rPr>
          <w:rFonts w:ascii="Times New Roman" w:hAnsi="Times New Roman"/>
          <w:lang w:eastAsia="sk-SK"/>
        </w:rPr>
        <w:t>, t. j. 6,80 %</w:t>
      </w:r>
      <w:r w:rsidRPr="008B2ACC">
        <w:rPr>
          <w:rFonts w:ascii="Times New Roman" w:hAnsi="Times New Roman"/>
          <w:lang w:eastAsia="sk-SK"/>
        </w:rPr>
        <w:t xml:space="preserve">. </w:t>
      </w:r>
      <w:r>
        <w:rPr>
          <w:rFonts w:ascii="Times New Roman" w:hAnsi="Times New Roman"/>
          <w:lang w:eastAsia="sk-SK"/>
        </w:rPr>
        <w:t>V</w:t>
      </w:r>
      <w:r w:rsidRPr="008B2ACC">
        <w:rPr>
          <w:rFonts w:ascii="Times New Roman" w:hAnsi="Times New Roman"/>
          <w:lang w:eastAsia="sk-SK"/>
        </w:rPr>
        <w:t>ýdavky na štipendiá</w:t>
      </w:r>
      <w:r>
        <w:rPr>
          <w:rFonts w:ascii="Times New Roman" w:hAnsi="Times New Roman"/>
          <w:lang w:eastAsia="sk-SK"/>
        </w:rPr>
        <w:t xml:space="preserve"> </w:t>
      </w:r>
      <w:r w:rsidRPr="008B2ACC">
        <w:rPr>
          <w:rFonts w:ascii="Times New Roman" w:hAnsi="Times New Roman"/>
          <w:lang w:eastAsia="sk-SK"/>
        </w:rPr>
        <w:t>sú rozpočtované</w:t>
      </w:r>
      <w:r>
        <w:rPr>
          <w:rFonts w:ascii="Times New Roman" w:hAnsi="Times New Roman"/>
          <w:lang w:eastAsia="sk-SK"/>
        </w:rPr>
        <w:t xml:space="preserve"> v sume</w:t>
      </w:r>
      <w:r w:rsidRPr="008B2ACC">
        <w:rPr>
          <w:rFonts w:ascii="Times New Roman" w:hAnsi="Times New Roman"/>
          <w:lang w:eastAsia="sk-SK"/>
        </w:rPr>
        <w:t xml:space="preserve"> 3,</w:t>
      </w:r>
      <w:r>
        <w:rPr>
          <w:rFonts w:ascii="Times New Roman" w:hAnsi="Times New Roman"/>
          <w:lang w:eastAsia="sk-SK"/>
        </w:rPr>
        <w:t>41</w:t>
      </w:r>
      <w:r w:rsidRPr="008B2ACC">
        <w:rPr>
          <w:rFonts w:ascii="Times New Roman" w:hAnsi="Times New Roman"/>
          <w:lang w:eastAsia="sk-SK"/>
        </w:rPr>
        <w:t xml:space="preserve"> mil. eur</w:t>
      </w:r>
      <w:r>
        <w:rPr>
          <w:rFonts w:ascii="Times New Roman" w:hAnsi="Times New Roman"/>
          <w:lang w:eastAsia="sk-SK"/>
        </w:rPr>
        <w:t>.</w:t>
      </w:r>
      <w:r w:rsidRPr="008B2ACC">
        <w:rPr>
          <w:rFonts w:ascii="Times New Roman" w:hAnsi="Times New Roman"/>
          <w:lang w:eastAsia="sk-SK"/>
        </w:rPr>
        <w:t xml:space="preserve"> </w:t>
      </w:r>
    </w:p>
    <w:p w:rsidR="003A497B" w:rsidRDefault="003A497B" w:rsidP="003A497B">
      <w:pPr>
        <w:ind w:firstLine="708"/>
        <w:jc w:val="both"/>
        <w:rPr>
          <w:rFonts w:ascii="Times New Roman" w:hAnsi="Times New Roman"/>
          <w:lang w:eastAsia="sk-SK"/>
        </w:rPr>
      </w:pPr>
    </w:p>
    <w:tbl>
      <w:tblPr>
        <w:tblW w:w="5000" w:type="pct"/>
        <w:tblCellMar>
          <w:left w:w="70" w:type="dxa"/>
          <w:right w:w="70" w:type="dxa"/>
        </w:tblCellMar>
        <w:tblLook w:val="04A0" w:firstRow="1" w:lastRow="0" w:firstColumn="1" w:lastColumn="0" w:noHBand="0" w:noVBand="1"/>
      </w:tblPr>
      <w:tblGrid>
        <w:gridCol w:w="3806"/>
        <w:gridCol w:w="751"/>
        <w:gridCol w:w="751"/>
        <w:gridCol w:w="751"/>
        <w:gridCol w:w="751"/>
        <w:gridCol w:w="751"/>
        <w:gridCol w:w="751"/>
        <w:gridCol w:w="750"/>
      </w:tblGrid>
      <w:tr w:rsidR="003A497B" w:rsidRPr="008C04FB" w:rsidTr="003E1809">
        <w:trPr>
          <w:trHeight w:hRule="exact" w:val="255"/>
        </w:trPr>
        <w:tc>
          <w:tcPr>
            <w:tcW w:w="2019" w:type="pct"/>
            <w:tcBorders>
              <w:top w:val="single" w:sz="4" w:space="0" w:color="auto"/>
              <w:left w:val="single" w:sz="4" w:space="0" w:color="auto"/>
              <w:bottom w:val="single" w:sz="4" w:space="0" w:color="auto"/>
              <w:right w:val="single" w:sz="4" w:space="0" w:color="auto"/>
            </w:tcBorders>
            <w:shd w:val="pct35" w:color="000000" w:fill="auto"/>
            <w:noWrap/>
            <w:vAlign w:val="center"/>
            <w:hideMark/>
          </w:tcPr>
          <w:p w:rsidR="003A497B" w:rsidRPr="008C04FB" w:rsidRDefault="003A497B" w:rsidP="003E1809">
            <w:pPr>
              <w:rPr>
                <w:rFonts w:ascii="Times New Roman" w:hAnsi="Times New Roman" w:cs="Times New Roman"/>
                <w:b/>
                <w:bCs/>
                <w:color w:val="000000"/>
                <w:sz w:val="14"/>
                <w:szCs w:val="14"/>
                <w:lang w:eastAsia="sk-SK"/>
              </w:rPr>
            </w:pPr>
            <w:r w:rsidRPr="008C04FB">
              <w:rPr>
                <w:rFonts w:ascii="Times New Roman" w:hAnsi="Times New Roman" w:cs="Times New Roman"/>
                <w:b/>
                <w:bCs/>
                <w:color w:val="000000"/>
                <w:sz w:val="14"/>
                <w:szCs w:val="14"/>
                <w:lang w:eastAsia="sk-SK"/>
              </w:rPr>
              <w:t>v eurách</w:t>
            </w:r>
          </w:p>
        </w:tc>
        <w:tc>
          <w:tcPr>
            <w:tcW w:w="426"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8C04FB" w:rsidRDefault="003A497B" w:rsidP="003E1809">
            <w:pPr>
              <w:jc w:val="center"/>
              <w:rPr>
                <w:rFonts w:ascii="Times New Roman" w:hAnsi="Times New Roman" w:cs="Times New Roman"/>
                <w:b/>
                <w:bCs/>
                <w:color w:val="000000"/>
                <w:sz w:val="14"/>
                <w:szCs w:val="14"/>
                <w:lang w:eastAsia="sk-SK"/>
              </w:rPr>
            </w:pPr>
            <w:r w:rsidRPr="008C04FB">
              <w:rPr>
                <w:rFonts w:ascii="Times New Roman" w:hAnsi="Times New Roman" w:cs="Times New Roman"/>
                <w:b/>
                <w:bCs/>
                <w:color w:val="000000"/>
                <w:sz w:val="14"/>
                <w:szCs w:val="14"/>
                <w:lang w:eastAsia="sk-SK"/>
              </w:rPr>
              <w:t>2016 S</w:t>
            </w:r>
          </w:p>
        </w:tc>
        <w:tc>
          <w:tcPr>
            <w:tcW w:w="426"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8C04FB" w:rsidRDefault="003A497B" w:rsidP="003E1809">
            <w:pPr>
              <w:jc w:val="center"/>
              <w:rPr>
                <w:rFonts w:ascii="Times New Roman" w:hAnsi="Times New Roman" w:cs="Times New Roman"/>
                <w:b/>
                <w:bCs/>
                <w:color w:val="000000"/>
                <w:sz w:val="14"/>
                <w:szCs w:val="14"/>
                <w:lang w:eastAsia="sk-SK"/>
              </w:rPr>
            </w:pPr>
            <w:r w:rsidRPr="008C04FB">
              <w:rPr>
                <w:rFonts w:ascii="Times New Roman" w:hAnsi="Times New Roman" w:cs="Times New Roman"/>
                <w:b/>
                <w:bCs/>
                <w:color w:val="000000"/>
                <w:sz w:val="14"/>
                <w:szCs w:val="14"/>
                <w:lang w:eastAsia="sk-SK"/>
              </w:rPr>
              <w:t>2017 S</w:t>
            </w:r>
          </w:p>
        </w:tc>
        <w:tc>
          <w:tcPr>
            <w:tcW w:w="426"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8C04FB" w:rsidRDefault="003A497B" w:rsidP="003E1809">
            <w:pPr>
              <w:jc w:val="center"/>
              <w:rPr>
                <w:rFonts w:ascii="Times New Roman" w:hAnsi="Times New Roman" w:cs="Times New Roman"/>
                <w:b/>
                <w:bCs/>
                <w:color w:val="000000"/>
                <w:sz w:val="14"/>
                <w:szCs w:val="14"/>
                <w:lang w:eastAsia="sk-SK"/>
              </w:rPr>
            </w:pPr>
            <w:r w:rsidRPr="008C04FB">
              <w:rPr>
                <w:rFonts w:ascii="Times New Roman" w:hAnsi="Times New Roman" w:cs="Times New Roman"/>
                <w:b/>
                <w:bCs/>
                <w:color w:val="000000"/>
                <w:sz w:val="14"/>
                <w:szCs w:val="14"/>
                <w:lang w:eastAsia="sk-SK"/>
              </w:rPr>
              <w:t>2018 R</w:t>
            </w:r>
          </w:p>
        </w:tc>
        <w:tc>
          <w:tcPr>
            <w:tcW w:w="426"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8C04FB" w:rsidRDefault="003A497B" w:rsidP="003E1809">
            <w:pPr>
              <w:jc w:val="center"/>
              <w:rPr>
                <w:rFonts w:ascii="Times New Roman" w:hAnsi="Times New Roman" w:cs="Times New Roman"/>
                <w:b/>
                <w:bCs/>
                <w:color w:val="000000"/>
                <w:sz w:val="14"/>
                <w:szCs w:val="14"/>
                <w:lang w:eastAsia="sk-SK"/>
              </w:rPr>
            </w:pPr>
            <w:r w:rsidRPr="008C04FB">
              <w:rPr>
                <w:rFonts w:ascii="Times New Roman" w:hAnsi="Times New Roman" w:cs="Times New Roman"/>
                <w:b/>
                <w:bCs/>
                <w:color w:val="000000"/>
                <w:sz w:val="14"/>
                <w:szCs w:val="14"/>
                <w:lang w:eastAsia="sk-SK"/>
              </w:rPr>
              <w:t>2018 OS</w:t>
            </w:r>
          </w:p>
        </w:tc>
        <w:tc>
          <w:tcPr>
            <w:tcW w:w="426"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8C04FB" w:rsidRDefault="003A497B" w:rsidP="003E1809">
            <w:pPr>
              <w:jc w:val="center"/>
              <w:rPr>
                <w:rFonts w:ascii="Times New Roman" w:hAnsi="Times New Roman" w:cs="Times New Roman"/>
                <w:b/>
                <w:bCs/>
                <w:color w:val="000000"/>
                <w:sz w:val="14"/>
                <w:szCs w:val="14"/>
                <w:lang w:eastAsia="sk-SK"/>
              </w:rPr>
            </w:pPr>
            <w:r w:rsidRPr="008C04FB">
              <w:rPr>
                <w:rFonts w:ascii="Times New Roman" w:hAnsi="Times New Roman" w:cs="Times New Roman"/>
                <w:b/>
                <w:bCs/>
                <w:color w:val="000000"/>
                <w:sz w:val="14"/>
                <w:szCs w:val="14"/>
                <w:lang w:eastAsia="sk-SK"/>
              </w:rPr>
              <w:t>2019 N</w:t>
            </w:r>
          </w:p>
        </w:tc>
        <w:tc>
          <w:tcPr>
            <w:tcW w:w="426"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8C04FB" w:rsidRDefault="003A497B" w:rsidP="003E1809">
            <w:pPr>
              <w:jc w:val="center"/>
              <w:rPr>
                <w:rFonts w:ascii="Times New Roman" w:hAnsi="Times New Roman" w:cs="Times New Roman"/>
                <w:b/>
                <w:bCs/>
                <w:color w:val="000000"/>
                <w:sz w:val="14"/>
                <w:szCs w:val="14"/>
                <w:lang w:eastAsia="sk-SK"/>
              </w:rPr>
            </w:pPr>
            <w:r w:rsidRPr="008C04FB">
              <w:rPr>
                <w:rFonts w:ascii="Times New Roman" w:hAnsi="Times New Roman" w:cs="Times New Roman"/>
                <w:b/>
                <w:bCs/>
                <w:color w:val="000000"/>
                <w:sz w:val="14"/>
                <w:szCs w:val="14"/>
                <w:lang w:eastAsia="sk-SK"/>
              </w:rPr>
              <w:t>2020 N</w:t>
            </w:r>
          </w:p>
        </w:tc>
        <w:tc>
          <w:tcPr>
            <w:tcW w:w="426" w:type="pct"/>
            <w:tcBorders>
              <w:top w:val="single" w:sz="4" w:space="0" w:color="auto"/>
              <w:left w:val="nil"/>
              <w:bottom w:val="single" w:sz="4" w:space="0" w:color="auto"/>
              <w:right w:val="single" w:sz="4" w:space="0" w:color="auto"/>
            </w:tcBorders>
            <w:shd w:val="pct35" w:color="000000" w:fill="auto"/>
            <w:noWrap/>
            <w:vAlign w:val="center"/>
            <w:hideMark/>
          </w:tcPr>
          <w:p w:rsidR="003A497B" w:rsidRPr="008C04FB" w:rsidRDefault="003A497B" w:rsidP="003E1809">
            <w:pPr>
              <w:jc w:val="center"/>
              <w:rPr>
                <w:rFonts w:ascii="Times New Roman" w:hAnsi="Times New Roman" w:cs="Times New Roman"/>
                <w:b/>
                <w:bCs/>
                <w:color w:val="000000"/>
                <w:sz w:val="14"/>
                <w:szCs w:val="14"/>
                <w:lang w:eastAsia="sk-SK"/>
              </w:rPr>
            </w:pPr>
            <w:r w:rsidRPr="008C04FB">
              <w:rPr>
                <w:rFonts w:ascii="Times New Roman" w:hAnsi="Times New Roman" w:cs="Times New Roman"/>
                <w:b/>
                <w:bCs/>
                <w:color w:val="000000"/>
                <w:sz w:val="14"/>
                <w:szCs w:val="14"/>
                <w:lang w:eastAsia="sk-SK"/>
              </w:rPr>
              <w:t>2021 N</w:t>
            </w:r>
          </w:p>
        </w:tc>
      </w:tr>
      <w:tr w:rsidR="003A497B" w:rsidRPr="008C04FB" w:rsidTr="003E1809">
        <w:trPr>
          <w:trHeight w:hRule="exact" w:val="255"/>
        </w:trPr>
        <w:tc>
          <w:tcPr>
            <w:tcW w:w="2019" w:type="pct"/>
            <w:tcBorders>
              <w:top w:val="single" w:sz="4" w:space="0" w:color="auto"/>
              <w:left w:val="single" w:sz="4" w:space="0" w:color="auto"/>
              <w:bottom w:val="single" w:sz="4" w:space="0" w:color="auto"/>
              <w:right w:val="single" w:sz="4" w:space="0" w:color="auto"/>
            </w:tcBorders>
            <w:shd w:val="pct25" w:color="000000" w:fill="auto"/>
            <w:noWrap/>
            <w:vAlign w:val="bottom"/>
            <w:hideMark/>
          </w:tcPr>
          <w:p w:rsidR="003A497B" w:rsidRPr="008C04FB" w:rsidRDefault="003A497B" w:rsidP="003E1809">
            <w:pPr>
              <w:rPr>
                <w:rFonts w:ascii="Times New Roman" w:hAnsi="Times New Roman" w:cs="Times New Roman"/>
                <w:b/>
                <w:bCs/>
                <w:color w:val="000000"/>
                <w:sz w:val="14"/>
                <w:szCs w:val="14"/>
                <w:lang w:eastAsia="sk-SK"/>
              </w:rPr>
            </w:pPr>
            <w:r w:rsidRPr="008C04FB">
              <w:rPr>
                <w:rFonts w:ascii="Times New Roman" w:hAnsi="Times New Roman" w:cs="Times New Roman"/>
                <w:b/>
                <w:bCs/>
                <w:color w:val="000000"/>
                <w:sz w:val="14"/>
                <w:szCs w:val="14"/>
                <w:lang w:eastAsia="sk-SK"/>
              </w:rPr>
              <w:t>Výdavky na doktorandov vrátane ďalšieho vzdelávania spolu</w:t>
            </w:r>
          </w:p>
        </w:tc>
        <w:tc>
          <w:tcPr>
            <w:tcW w:w="426" w:type="pct"/>
            <w:tcBorders>
              <w:top w:val="single" w:sz="4" w:space="0" w:color="auto"/>
              <w:left w:val="nil"/>
              <w:bottom w:val="single" w:sz="4" w:space="0" w:color="auto"/>
              <w:right w:val="single" w:sz="4" w:space="0" w:color="auto"/>
            </w:tcBorders>
            <w:shd w:val="pct25" w:color="000000" w:fill="auto"/>
            <w:noWrap/>
            <w:vAlign w:val="bottom"/>
            <w:hideMark/>
          </w:tcPr>
          <w:p w:rsidR="003A497B" w:rsidRPr="008C04FB" w:rsidRDefault="003A497B" w:rsidP="003E1809">
            <w:pPr>
              <w:jc w:val="right"/>
              <w:rPr>
                <w:rFonts w:ascii="Times New Roman" w:hAnsi="Times New Roman" w:cs="Times New Roman"/>
                <w:b/>
                <w:bCs/>
                <w:color w:val="000000"/>
                <w:sz w:val="14"/>
                <w:szCs w:val="14"/>
                <w:lang w:eastAsia="sk-SK"/>
              </w:rPr>
            </w:pPr>
            <w:r w:rsidRPr="008C04FB">
              <w:rPr>
                <w:rFonts w:ascii="Times New Roman" w:hAnsi="Times New Roman" w:cs="Times New Roman"/>
                <w:b/>
                <w:bCs/>
                <w:color w:val="000000"/>
                <w:sz w:val="14"/>
                <w:szCs w:val="14"/>
                <w:lang w:eastAsia="sk-SK"/>
              </w:rPr>
              <w:t>3 273 563</w:t>
            </w:r>
          </w:p>
        </w:tc>
        <w:tc>
          <w:tcPr>
            <w:tcW w:w="426" w:type="pct"/>
            <w:tcBorders>
              <w:top w:val="single" w:sz="4" w:space="0" w:color="auto"/>
              <w:left w:val="nil"/>
              <w:bottom w:val="single" w:sz="4" w:space="0" w:color="auto"/>
              <w:right w:val="single" w:sz="4" w:space="0" w:color="auto"/>
            </w:tcBorders>
            <w:shd w:val="pct25" w:color="000000" w:fill="auto"/>
            <w:noWrap/>
            <w:vAlign w:val="bottom"/>
            <w:hideMark/>
          </w:tcPr>
          <w:p w:rsidR="003A497B" w:rsidRPr="008C04FB" w:rsidRDefault="003A497B" w:rsidP="003E1809">
            <w:pPr>
              <w:jc w:val="right"/>
              <w:rPr>
                <w:rFonts w:ascii="Times New Roman" w:hAnsi="Times New Roman" w:cs="Times New Roman"/>
                <w:b/>
                <w:bCs/>
                <w:color w:val="000000"/>
                <w:sz w:val="14"/>
                <w:szCs w:val="14"/>
                <w:lang w:eastAsia="sk-SK"/>
              </w:rPr>
            </w:pPr>
            <w:r w:rsidRPr="008C04FB">
              <w:rPr>
                <w:rFonts w:ascii="Times New Roman" w:hAnsi="Times New Roman" w:cs="Times New Roman"/>
                <w:b/>
                <w:bCs/>
                <w:color w:val="000000"/>
                <w:sz w:val="14"/>
                <w:szCs w:val="14"/>
                <w:lang w:eastAsia="sk-SK"/>
              </w:rPr>
              <w:t>3 067 438</w:t>
            </w:r>
          </w:p>
        </w:tc>
        <w:tc>
          <w:tcPr>
            <w:tcW w:w="426" w:type="pct"/>
            <w:tcBorders>
              <w:top w:val="single" w:sz="4" w:space="0" w:color="auto"/>
              <w:left w:val="nil"/>
              <w:bottom w:val="single" w:sz="4" w:space="0" w:color="auto"/>
              <w:right w:val="single" w:sz="4" w:space="0" w:color="auto"/>
            </w:tcBorders>
            <w:shd w:val="pct25" w:color="000000" w:fill="auto"/>
            <w:noWrap/>
            <w:vAlign w:val="bottom"/>
            <w:hideMark/>
          </w:tcPr>
          <w:p w:rsidR="003A497B" w:rsidRPr="008C04FB" w:rsidRDefault="003A497B" w:rsidP="003E1809">
            <w:pPr>
              <w:jc w:val="right"/>
              <w:rPr>
                <w:rFonts w:ascii="Times New Roman" w:hAnsi="Times New Roman" w:cs="Times New Roman"/>
                <w:b/>
                <w:bCs/>
                <w:color w:val="000000"/>
                <w:sz w:val="14"/>
                <w:szCs w:val="14"/>
                <w:lang w:eastAsia="sk-SK"/>
              </w:rPr>
            </w:pPr>
            <w:r w:rsidRPr="008C04FB">
              <w:rPr>
                <w:rFonts w:ascii="Times New Roman" w:hAnsi="Times New Roman" w:cs="Times New Roman"/>
                <w:b/>
                <w:bCs/>
                <w:color w:val="000000"/>
                <w:sz w:val="14"/>
                <w:szCs w:val="14"/>
                <w:lang w:eastAsia="sk-SK"/>
              </w:rPr>
              <w:t>3 260 206</w:t>
            </w:r>
          </w:p>
        </w:tc>
        <w:tc>
          <w:tcPr>
            <w:tcW w:w="426" w:type="pct"/>
            <w:tcBorders>
              <w:top w:val="single" w:sz="4" w:space="0" w:color="auto"/>
              <w:left w:val="nil"/>
              <w:bottom w:val="single" w:sz="4" w:space="0" w:color="auto"/>
              <w:right w:val="single" w:sz="4" w:space="0" w:color="auto"/>
            </w:tcBorders>
            <w:shd w:val="pct25" w:color="000000" w:fill="auto"/>
            <w:noWrap/>
            <w:vAlign w:val="bottom"/>
            <w:hideMark/>
          </w:tcPr>
          <w:p w:rsidR="003A497B" w:rsidRPr="008C04FB" w:rsidRDefault="003A497B" w:rsidP="003E1809">
            <w:pPr>
              <w:jc w:val="right"/>
              <w:rPr>
                <w:rFonts w:ascii="Times New Roman" w:hAnsi="Times New Roman" w:cs="Times New Roman"/>
                <w:b/>
                <w:bCs/>
                <w:color w:val="000000"/>
                <w:sz w:val="14"/>
                <w:szCs w:val="14"/>
                <w:lang w:eastAsia="sk-SK"/>
              </w:rPr>
            </w:pPr>
            <w:r w:rsidRPr="008C04FB">
              <w:rPr>
                <w:rFonts w:ascii="Times New Roman" w:hAnsi="Times New Roman" w:cs="Times New Roman"/>
                <w:b/>
                <w:bCs/>
                <w:color w:val="000000"/>
                <w:sz w:val="14"/>
                <w:szCs w:val="14"/>
                <w:lang w:eastAsia="sk-SK"/>
              </w:rPr>
              <w:t>3 304 400</w:t>
            </w:r>
          </w:p>
        </w:tc>
        <w:tc>
          <w:tcPr>
            <w:tcW w:w="426" w:type="pct"/>
            <w:tcBorders>
              <w:top w:val="single" w:sz="4" w:space="0" w:color="auto"/>
              <w:left w:val="nil"/>
              <w:bottom w:val="single" w:sz="4" w:space="0" w:color="auto"/>
              <w:right w:val="single" w:sz="4" w:space="0" w:color="auto"/>
            </w:tcBorders>
            <w:shd w:val="pct25" w:color="000000" w:fill="auto"/>
            <w:noWrap/>
            <w:vAlign w:val="bottom"/>
            <w:hideMark/>
          </w:tcPr>
          <w:p w:rsidR="003A497B" w:rsidRPr="008C04FB" w:rsidRDefault="003A497B" w:rsidP="003E1809">
            <w:pPr>
              <w:jc w:val="right"/>
              <w:rPr>
                <w:rFonts w:ascii="Times New Roman" w:hAnsi="Times New Roman" w:cs="Times New Roman"/>
                <w:b/>
                <w:bCs/>
                <w:color w:val="000000"/>
                <w:sz w:val="14"/>
                <w:szCs w:val="14"/>
                <w:lang w:eastAsia="sk-SK"/>
              </w:rPr>
            </w:pPr>
            <w:r w:rsidRPr="008C04FB">
              <w:rPr>
                <w:rFonts w:ascii="Times New Roman" w:hAnsi="Times New Roman" w:cs="Times New Roman"/>
                <w:b/>
                <w:bCs/>
                <w:color w:val="000000"/>
                <w:sz w:val="14"/>
                <w:szCs w:val="14"/>
                <w:lang w:eastAsia="sk-SK"/>
              </w:rPr>
              <w:t>3 481 750</w:t>
            </w:r>
          </w:p>
        </w:tc>
        <w:tc>
          <w:tcPr>
            <w:tcW w:w="426" w:type="pct"/>
            <w:tcBorders>
              <w:top w:val="single" w:sz="4" w:space="0" w:color="auto"/>
              <w:left w:val="nil"/>
              <w:bottom w:val="single" w:sz="4" w:space="0" w:color="auto"/>
              <w:right w:val="single" w:sz="4" w:space="0" w:color="auto"/>
            </w:tcBorders>
            <w:shd w:val="pct25" w:color="000000" w:fill="auto"/>
            <w:noWrap/>
            <w:vAlign w:val="bottom"/>
            <w:hideMark/>
          </w:tcPr>
          <w:p w:rsidR="003A497B" w:rsidRPr="008C04FB" w:rsidRDefault="003A497B" w:rsidP="003E1809">
            <w:pPr>
              <w:jc w:val="right"/>
              <w:rPr>
                <w:rFonts w:ascii="Times New Roman" w:hAnsi="Times New Roman" w:cs="Times New Roman"/>
                <w:b/>
                <w:bCs/>
                <w:color w:val="000000"/>
                <w:sz w:val="14"/>
                <w:szCs w:val="14"/>
                <w:lang w:eastAsia="sk-SK"/>
              </w:rPr>
            </w:pPr>
            <w:r w:rsidRPr="008C04FB">
              <w:rPr>
                <w:rFonts w:ascii="Times New Roman" w:hAnsi="Times New Roman" w:cs="Times New Roman"/>
                <w:b/>
                <w:bCs/>
                <w:color w:val="000000"/>
                <w:sz w:val="14"/>
                <w:szCs w:val="14"/>
                <w:lang w:eastAsia="sk-SK"/>
              </w:rPr>
              <w:t>3 481 750</w:t>
            </w:r>
          </w:p>
        </w:tc>
        <w:tc>
          <w:tcPr>
            <w:tcW w:w="426" w:type="pct"/>
            <w:tcBorders>
              <w:top w:val="single" w:sz="4" w:space="0" w:color="auto"/>
              <w:left w:val="nil"/>
              <w:bottom w:val="single" w:sz="4" w:space="0" w:color="auto"/>
              <w:right w:val="single" w:sz="4" w:space="0" w:color="auto"/>
            </w:tcBorders>
            <w:shd w:val="pct25" w:color="000000" w:fill="auto"/>
            <w:noWrap/>
            <w:vAlign w:val="bottom"/>
            <w:hideMark/>
          </w:tcPr>
          <w:p w:rsidR="003A497B" w:rsidRPr="008C04FB" w:rsidRDefault="003A497B" w:rsidP="003E1809">
            <w:pPr>
              <w:jc w:val="right"/>
              <w:rPr>
                <w:rFonts w:ascii="Times New Roman" w:hAnsi="Times New Roman" w:cs="Times New Roman"/>
                <w:b/>
                <w:bCs/>
                <w:color w:val="000000"/>
                <w:sz w:val="14"/>
                <w:szCs w:val="14"/>
                <w:lang w:eastAsia="sk-SK"/>
              </w:rPr>
            </w:pPr>
            <w:r w:rsidRPr="008C04FB">
              <w:rPr>
                <w:rFonts w:ascii="Times New Roman" w:hAnsi="Times New Roman" w:cs="Times New Roman"/>
                <w:b/>
                <w:bCs/>
                <w:color w:val="000000"/>
                <w:sz w:val="14"/>
                <w:szCs w:val="14"/>
                <w:lang w:eastAsia="sk-SK"/>
              </w:rPr>
              <w:t>3 481 750</w:t>
            </w:r>
          </w:p>
        </w:tc>
      </w:tr>
      <w:tr w:rsidR="003A497B" w:rsidRPr="008C04FB" w:rsidTr="003E1809">
        <w:trPr>
          <w:trHeight w:hRule="exact" w:val="25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04FB" w:rsidRDefault="003A497B" w:rsidP="003E1809">
            <w:pPr>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 xml:space="preserve">z toho: tovary a služby na doktorandov </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8C04FB" w:rsidRDefault="003A497B" w:rsidP="003E1809">
            <w:pPr>
              <w:jc w:val="right"/>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77 822</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8C04FB" w:rsidRDefault="003A497B" w:rsidP="003E1809">
            <w:pPr>
              <w:jc w:val="right"/>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55 625</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8C04FB" w:rsidRDefault="003A497B" w:rsidP="003E1809">
            <w:pPr>
              <w:jc w:val="right"/>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79 854</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8C04FB" w:rsidRDefault="003A497B" w:rsidP="003E1809">
            <w:pPr>
              <w:jc w:val="right"/>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14 769</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8C04FB" w:rsidRDefault="003A497B" w:rsidP="003E1809">
            <w:pPr>
              <w:jc w:val="right"/>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60 234</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8C04FB" w:rsidRDefault="003A497B" w:rsidP="003E1809">
            <w:pPr>
              <w:jc w:val="right"/>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60 234</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8C04FB" w:rsidRDefault="003A497B" w:rsidP="003E1809">
            <w:pPr>
              <w:jc w:val="right"/>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60 234</w:t>
            </w:r>
          </w:p>
        </w:tc>
      </w:tr>
      <w:tr w:rsidR="003A497B" w:rsidRPr="008C04FB" w:rsidTr="003E1809">
        <w:trPr>
          <w:trHeight w:hRule="exact" w:val="25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04FB" w:rsidRDefault="003A497B" w:rsidP="003E1809">
            <w:pPr>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 xml:space="preserve">           štipendiá doktorandov vrátane ostat</w:t>
            </w:r>
            <w:r>
              <w:rPr>
                <w:rFonts w:ascii="Times New Roman" w:hAnsi="Times New Roman" w:cs="Times New Roman"/>
                <w:color w:val="000000"/>
                <w:sz w:val="14"/>
                <w:szCs w:val="14"/>
                <w:lang w:eastAsia="sk-SK"/>
              </w:rPr>
              <w:t>ného</w:t>
            </w:r>
            <w:r w:rsidRPr="008C04FB">
              <w:rPr>
                <w:rFonts w:ascii="Times New Roman" w:hAnsi="Times New Roman" w:cs="Times New Roman"/>
                <w:color w:val="000000"/>
                <w:sz w:val="14"/>
                <w:szCs w:val="14"/>
                <w:lang w:eastAsia="sk-SK"/>
              </w:rPr>
              <w:t xml:space="preserve"> príspevku</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8C04FB" w:rsidRDefault="003A497B" w:rsidP="003E1809">
            <w:pPr>
              <w:jc w:val="right"/>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3 168 579</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8C04FB" w:rsidRDefault="003A497B" w:rsidP="003E1809">
            <w:pPr>
              <w:jc w:val="right"/>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3 006 627</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8C04FB" w:rsidRDefault="003A497B" w:rsidP="003E1809">
            <w:pPr>
              <w:jc w:val="right"/>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3 172 952</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8C04FB" w:rsidRDefault="003A497B" w:rsidP="003E1809">
            <w:pPr>
              <w:jc w:val="right"/>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3 282 551</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8C04FB" w:rsidRDefault="003A497B" w:rsidP="003E1809">
            <w:pPr>
              <w:jc w:val="right"/>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3 414 150</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8C04FB" w:rsidRDefault="003A497B" w:rsidP="003E1809">
            <w:pPr>
              <w:jc w:val="right"/>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3 414 150</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8C04FB" w:rsidRDefault="003A497B" w:rsidP="003E1809">
            <w:pPr>
              <w:jc w:val="right"/>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3 414 150</w:t>
            </w:r>
          </w:p>
        </w:tc>
      </w:tr>
      <w:tr w:rsidR="003A497B" w:rsidRPr="008C04FB" w:rsidTr="003E1809">
        <w:trPr>
          <w:trHeight w:hRule="exact" w:val="255"/>
        </w:trPr>
        <w:tc>
          <w:tcPr>
            <w:tcW w:w="2019" w:type="pct"/>
            <w:tcBorders>
              <w:top w:val="nil"/>
              <w:left w:val="single" w:sz="4" w:space="0" w:color="auto"/>
              <w:bottom w:val="single" w:sz="4" w:space="0" w:color="auto"/>
              <w:right w:val="single" w:sz="4" w:space="0" w:color="auto"/>
            </w:tcBorders>
            <w:shd w:val="clear" w:color="auto" w:fill="auto"/>
            <w:noWrap/>
            <w:vAlign w:val="bottom"/>
            <w:hideMark/>
          </w:tcPr>
          <w:p w:rsidR="003A497B" w:rsidRPr="008C04FB" w:rsidRDefault="003A497B" w:rsidP="003E1809">
            <w:pPr>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 xml:space="preserve">           IT financované zo štátneho rozpočtu</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8C04FB" w:rsidRDefault="003A497B" w:rsidP="003E1809">
            <w:pPr>
              <w:jc w:val="right"/>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0</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8C04FB" w:rsidRDefault="003A497B" w:rsidP="003E1809">
            <w:pPr>
              <w:jc w:val="right"/>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5 186</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8C04FB" w:rsidRDefault="003A497B" w:rsidP="003E1809">
            <w:pPr>
              <w:jc w:val="right"/>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7 400</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8C04FB" w:rsidRDefault="003A497B" w:rsidP="003E1809">
            <w:pPr>
              <w:jc w:val="right"/>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7 080</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8C04FB" w:rsidRDefault="003A497B" w:rsidP="003E1809">
            <w:pPr>
              <w:jc w:val="right"/>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7 366</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8C04FB" w:rsidRDefault="003A497B" w:rsidP="003E1809">
            <w:pPr>
              <w:jc w:val="right"/>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7 366</w:t>
            </w:r>
          </w:p>
        </w:tc>
        <w:tc>
          <w:tcPr>
            <w:tcW w:w="426" w:type="pct"/>
            <w:tcBorders>
              <w:top w:val="nil"/>
              <w:left w:val="nil"/>
              <w:bottom w:val="single" w:sz="4" w:space="0" w:color="auto"/>
              <w:right w:val="single" w:sz="4" w:space="0" w:color="auto"/>
            </w:tcBorders>
            <w:shd w:val="clear" w:color="auto" w:fill="auto"/>
            <w:noWrap/>
            <w:vAlign w:val="bottom"/>
            <w:hideMark/>
          </w:tcPr>
          <w:p w:rsidR="003A497B" w:rsidRPr="008C04FB" w:rsidRDefault="003A497B" w:rsidP="003E1809">
            <w:pPr>
              <w:jc w:val="right"/>
              <w:rPr>
                <w:rFonts w:ascii="Times New Roman" w:hAnsi="Times New Roman" w:cs="Times New Roman"/>
                <w:color w:val="000000"/>
                <w:sz w:val="14"/>
                <w:szCs w:val="14"/>
                <w:lang w:eastAsia="sk-SK"/>
              </w:rPr>
            </w:pPr>
            <w:r w:rsidRPr="008C04FB">
              <w:rPr>
                <w:rFonts w:ascii="Times New Roman" w:hAnsi="Times New Roman" w:cs="Times New Roman"/>
                <w:color w:val="000000"/>
                <w:sz w:val="14"/>
                <w:szCs w:val="14"/>
                <w:lang w:eastAsia="sk-SK"/>
              </w:rPr>
              <w:t>7 366</w:t>
            </w:r>
          </w:p>
        </w:tc>
      </w:tr>
    </w:tbl>
    <w:p w:rsidR="003A497B" w:rsidRDefault="003A497B" w:rsidP="003A497B">
      <w:pPr>
        <w:ind w:firstLine="708"/>
        <w:jc w:val="both"/>
        <w:rPr>
          <w:rFonts w:ascii="Times New Roman" w:hAnsi="Times New Roman"/>
          <w:lang w:eastAsia="sk-SK"/>
        </w:rPr>
      </w:pPr>
    </w:p>
    <w:p w:rsidR="003A497B" w:rsidRDefault="003A497B" w:rsidP="003A497B">
      <w:pPr>
        <w:jc w:val="both"/>
        <w:rPr>
          <w:rFonts w:ascii="Times New Roman" w:hAnsi="Times New Roman"/>
          <w:lang w:eastAsia="sk-SK"/>
        </w:rPr>
      </w:pPr>
    </w:p>
    <w:p w:rsidR="00EE1354" w:rsidRDefault="00EE1354" w:rsidP="003A497B">
      <w:pPr>
        <w:jc w:val="both"/>
        <w:rPr>
          <w:rFonts w:ascii="Times New Roman" w:hAnsi="Times New Roman"/>
          <w:lang w:eastAsia="sk-SK"/>
        </w:rPr>
      </w:pPr>
    </w:p>
    <w:p w:rsidR="00EE1354" w:rsidRDefault="00EE1354" w:rsidP="003A497B">
      <w:pPr>
        <w:jc w:val="both"/>
        <w:rPr>
          <w:rFonts w:ascii="Times New Roman" w:hAnsi="Times New Roman"/>
          <w:lang w:eastAsia="sk-SK"/>
        </w:rPr>
      </w:pPr>
    </w:p>
    <w:p w:rsidR="00EE1354" w:rsidRDefault="00EE1354" w:rsidP="003A497B">
      <w:pPr>
        <w:jc w:val="both"/>
        <w:rPr>
          <w:rFonts w:ascii="Times New Roman" w:hAnsi="Times New Roman"/>
          <w:lang w:eastAsia="sk-SK"/>
        </w:rPr>
      </w:pPr>
    </w:p>
    <w:p w:rsidR="003A497B" w:rsidRDefault="003A497B" w:rsidP="003A497B">
      <w:pPr>
        <w:spacing w:after="200" w:line="276" w:lineRule="auto"/>
        <w:jc w:val="both"/>
        <w:rPr>
          <w:rFonts w:ascii="Times New Roman" w:hAnsi="Times New Roman" w:cs="Times New Roman"/>
          <w:b/>
        </w:rPr>
      </w:pPr>
      <w:r w:rsidRPr="006D465C">
        <w:rPr>
          <w:rFonts w:ascii="Times New Roman" w:hAnsi="Times New Roman" w:cs="Times New Roman"/>
          <w:b/>
        </w:rPr>
        <w:lastRenderedPageBreak/>
        <w:t>Informačné technológie financované zo štátneho rozpočtu</w:t>
      </w:r>
    </w:p>
    <w:tbl>
      <w:tblPr>
        <w:tblW w:w="5000" w:type="pct"/>
        <w:tblCellMar>
          <w:left w:w="70" w:type="dxa"/>
          <w:right w:w="70" w:type="dxa"/>
        </w:tblCellMar>
        <w:tblLook w:val="04A0" w:firstRow="1" w:lastRow="0" w:firstColumn="1" w:lastColumn="0" w:noHBand="0" w:noVBand="1"/>
      </w:tblPr>
      <w:tblGrid>
        <w:gridCol w:w="2771"/>
        <w:gridCol w:w="899"/>
        <w:gridCol w:w="899"/>
        <w:gridCol w:w="899"/>
        <w:gridCol w:w="899"/>
        <w:gridCol w:w="899"/>
        <w:gridCol w:w="899"/>
        <w:gridCol w:w="897"/>
      </w:tblGrid>
      <w:tr w:rsidR="003A497B" w:rsidRPr="00786CF1" w:rsidTr="003E1809">
        <w:trPr>
          <w:trHeight w:hRule="exact" w:val="255"/>
        </w:trPr>
        <w:tc>
          <w:tcPr>
            <w:tcW w:w="1529"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3A497B" w:rsidRPr="00786CF1" w:rsidRDefault="003A497B" w:rsidP="003E1809">
            <w:pPr>
              <w:rPr>
                <w:rFonts w:ascii="Times New Roman" w:hAnsi="Times New Roman" w:cs="Times New Roman"/>
                <w:b/>
                <w:bCs/>
                <w:color w:val="000000"/>
                <w:sz w:val="14"/>
                <w:szCs w:val="14"/>
                <w:lang w:eastAsia="sk-SK"/>
              </w:rPr>
            </w:pPr>
            <w:r w:rsidRPr="00786CF1">
              <w:rPr>
                <w:rFonts w:ascii="Times New Roman" w:hAnsi="Times New Roman" w:cs="Times New Roman"/>
                <w:b/>
                <w:bCs/>
                <w:color w:val="000000"/>
                <w:sz w:val="14"/>
                <w:szCs w:val="14"/>
                <w:lang w:eastAsia="sk-SK"/>
              </w:rPr>
              <w:t>v eurách</w:t>
            </w:r>
          </w:p>
        </w:tc>
        <w:tc>
          <w:tcPr>
            <w:tcW w:w="49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786CF1" w:rsidRDefault="003A497B" w:rsidP="003E1809">
            <w:pPr>
              <w:jc w:val="center"/>
              <w:rPr>
                <w:rFonts w:ascii="Times New Roman" w:hAnsi="Times New Roman" w:cs="Times New Roman"/>
                <w:b/>
                <w:bCs/>
                <w:color w:val="000000"/>
                <w:sz w:val="14"/>
                <w:szCs w:val="14"/>
                <w:lang w:eastAsia="sk-SK"/>
              </w:rPr>
            </w:pPr>
            <w:r w:rsidRPr="00786CF1">
              <w:rPr>
                <w:rFonts w:ascii="Times New Roman" w:hAnsi="Times New Roman" w:cs="Times New Roman"/>
                <w:b/>
                <w:bCs/>
                <w:color w:val="000000"/>
                <w:sz w:val="14"/>
                <w:szCs w:val="14"/>
                <w:lang w:eastAsia="sk-SK"/>
              </w:rPr>
              <w:t>2016 S</w:t>
            </w:r>
          </w:p>
        </w:tc>
        <w:tc>
          <w:tcPr>
            <w:tcW w:w="49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786CF1" w:rsidRDefault="003A497B" w:rsidP="003E1809">
            <w:pPr>
              <w:jc w:val="center"/>
              <w:rPr>
                <w:rFonts w:ascii="Times New Roman" w:hAnsi="Times New Roman" w:cs="Times New Roman"/>
                <w:b/>
                <w:bCs/>
                <w:color w:val="000000"/>
                <w:sz w:val="14"/>
                <w:szCs w:val="14"/>
                <w:lang w:eastAsia="sk-SK"/>
              </w:rPr>
            </w:pPr>
            <w:r w:rsidRPr="00786CF1">
              <w:rPr>
                <w:rFonts w:ascii="Times New Roman" w:hAnsi="Times New Roman" w:cs="Times New Roman"/>
                <w:b/>
                <w:bCs/>
                <w:color w:val="000000"/>
                <w:sz w:val="14"/>
                <w:szCs w:val="14"/>
                <w:lang w:eastAsia="sk-SK"/>
              </w:rPr>
              <w:t>2017 S</w:t>
            </w:r>
          </w:p>
        </w:tc>
        <w:tc>
          <w:tcPr>
            <w:tcW w:w="49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786CF1" w:rsidRDefault="003A497B" w:rsidP="003E1809">
            <w:pPr>
              <w:jc w:val="center"/>
              <w:rPr>
                <w:rFonts w:ascii="Times New Roman" w:hAnsi="Times New Roman" w:cs="Times New Roman"/>
                <w:b/>
                <w:bCs/>
                <w:color w:val="000000"/>
                <w:sz w:val="14"/>
                <w:szCs w:val="14"/>
                <w:lang w:eastAsia="sk-SK"/>
              </w:rPr>
            </w:pPr>
            <w:r w:rsidRPr="00786CF1">
              <w:rPr>
                <w:rFonts w:ascii="Times New Roman" w:hAnsi="Times New Roman" w:cs="Times New Roman"/>
                <w:b/>
                <w:bCs/>
                <w:color w:val="000000"/>
                <w:sz w:val="14"/>
                <w:szCs w:val="14"/>
                <w:lang w:eastAsia="sk-SK"/>
              </w:rPr>
              <w:t>2018 R</w:t>
            </w:r>
          </w:p>
        </w:tc>
        <w:tc>
          <w:tcPr>
            <w:tcW w:w="49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786CF1" w:rsidRDefault="003A497B" w:rsidP="003E1809">
            <w:pPr>
              <w:jc w:val="center"/>
              <w:rPr>
                <w:rFonts w:ascii="Times New Roman" w:hAnsi="Times New Roman" w:cs="Times New Roman"/>
                <w:b/>
                <w:bCs/>
                <w:color w:val="000000"/>
                <w:sz w:val="14"/>
                <w:szCs w:val="14"/>
                <w:lang w:eastAsia="sk-SK"/>
              </w:rPr>
            </w:pPr>
            <w:r w:rsidRPr="00786CF1">
              <w:rPr>
                <w:rFonts w:ascii="Times New Roman" w:hAnsi="Times New Roman" w:cs="Times New Roman"/>
                <w:b/>
                <w:bCs/>
                <w:color w:val="000000"/>
                <w:sz w:val="14"/>
                <w:szCs w:val="14"/>
                <w:lang w:eastAsia="sk-SK"/>
              </w:rPr>
              <w:t>2018 OS</w:t>
            </w:r>
          </w:p>
        </w:tc>
        <w:tc>
          <w:tcPr>
            <w:tcW w:w="49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786CF1" w:rsidRDefault="003A497B" w:rsidP="003E1809">
            <w:pPr>
              <w:jc w:val="center"/>
              <w:rPr>
                <w:rFonts w:ascii="Times New Roman" w:hAnsi="Times New Roman" w:cs="Times New Roman"/>
                <w:b/>
                <w:bCs/>
                <w:color w:val="000000"/>
                <w:sz w:val="14"/>
                <w:szCs w:val="14"/>
                <w:lang w:eastAsia="sk-SK"/>
              </w:rPr>
            </w:pPr>
            <w:r w:rsidRPr="00786CF1">
              <w:rPr>
                <w:rFonts w:ascii="Times New Roman" w:hAnsi="Times New Roman" w:cs="Times New Roman"/>
                <w:b/>
                <w:bCs/>
                <w:color w:val="000000"/>
                <w:sz w:val="14"/>
                <w:szCs w:val="14"/>
                <w:lang w:eastAsia="sk-SK"/>
              </w:rPr>
              <w:t>2019 N</w:t>
            </w:r>
          </w:p>
        </w:tc>
        <w:tc>
          <w:tcPr>
            <w:tcW w:w="49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786CF1" w:rsidRDefault="003A497B" w:rsidP="003E1809">
            <w:pPr>
              <w:jc w:val="center"/>
              <w:rPr>
                <w:rFonts w:ascii="Times New Roman" w:hAnsi="Times New Roman" w:cs="Times New Roman"/>
                <w:b/>
                <w:bCs/>
                <w:color w:val="000000"/>
                <w:sz w:val="14"/>
                <w:szCs w:val="14"/>
                <w:lang w:eastAsia="sk-SK"/>
              </w:rPr>
            </w:pPr>
            <w:r w:rsidRPr="00786CF1">
              <w:rPr>
                <w:rFonts w:ascii="Times New Roman" w:hAnsi="Times New Roman" w:cs="Times New Roman"/>
                <w:b/>
                <w:bCs/>
                <w:color w:val="000000"/>
                <w:sz w:val="14"/>
                <w:szCs w:val="14"/>
                <w:lang w:eastAsia="sk-SK"/>
              </w:rPr>
              <w:t>2020 N</w:t>
            </w:r>
          </w:p>
        </w:tc>
        <w:tc>
          <w:tcPr>
            <w:tcW w:w="496" w:type="pct"/>
            <w:tcBorders>
              <w:top w:val="single" w:sz="4" w:space="0" w:color="auto"/>
              <w:left w:val="nil"/>
              <w:bottom w:val="single" w:sz="4" w:space="0" w:color="auto"/>
              <w:right w:val="single" w:sz="4" w:space="0" w:color="auto"/>
            </w:tcBorders>
            <w:shd w:val="clear" w:color="000000" w:fill="A6A6A6"/>
            <w:noWrap/>
            <w:vAlign w:val="center"/>
            <w:hideMark/>
          </w:tcPr>
          <w:p w:rsidR="003A497B" w:rsidRPr="00786CF1" w:rsidRDefault="003A497B" w:rsidP="003E1809">
            <w:pPr>
              <w:jc w:val="center"/>
              <w:rPr>
                <w:rFonts w:ascii="Times New Roman" w:hAnsi="Times New Roman" w:cs="Times New Roman"/>
                <w:b/>
                <w:bCs/>
                <w:color w:val="000000"/>
                <w:sz w:val="14"/>
                <w:szCs w:val="14"/>
                <w:lang w:eastAsia="sk-SK"/>
              </w:rPr>
            </w:pPr>
            <w:r w:rsidRPr="00786CF1">
              <w:rPr>
                <w:rFonts w:ascii="Times New Roman" w:hAnsi="Times New Roman" w:cs="Times New Roman"/>
                <w:b/>
                <w:bCs/>
                <w:color w:val="000000"/>
                <w:sz w:val="14"/>
                <w:szCs w:val="14"/>
                <w:lang w:eastAsia="sk-SK"/>
              </w:rPr>
              <w:t>2021 N</w:t>
            </w:r>
          </w:p>
        </w:tc>
      </w:tr>
      <w:tr w:rsidR="003A497B" w:rsidRPr="00786CF1" w:rsidTr="003E1809">
        <w:trPr>
          <w:trHeight w:hRule="exact" w:val="255"/>
        </w:trPr>
        <w:tc>
          <w:tcPr>
            <w:tcW w:w="1529" w:type="pct"/>
            <w:tcBorders>
              <w:top w:val="nil"/>
              <w:left w:val="single" w:sz="4" w:space="0" w:color="auto"/>
              <w:bottom w:val="single" w:sz="4" w:space="0" w:color="auto"/>
              <w:right w:val="single" w:sz="4" w:space="0" w:color="auto"/>
            </w:tcBorders>
            <w:shd w:val="clear" w:color="000000" w:fill="BFBFBF"/>
            <w:noWrap/>
            <w:vAlign w:val="bottom"/>
            <w:hideMark/>
          </w:tcPr>
          <w:p w:rsidR="003A497B" w:rsidRPr="00786CF1" w:rsidRDefault="003A497B" w:rsidP="003E1809">
            <w:pPr>
              <w:rPr>
                <w:rFonts w:ascii="Times New Roman" w:hAnsi="Times New Roman" w:cs="Times New Roman"/>
                <w:b/>
                <w:bCs/>
                <w:sz w:val="14"/>
                <w:szCs w:val="14"/>
                <w:lang w:eastAsia="sk-SK"/>
              </w:rPr>
            </w:pPr>
            <w:r w:rsidRPr="00786CF1">
              <w:rPr>
                <w:rFonts w:ascii="Times New Roman" w:hAnsi="Times New Roman" w:cs="Times New Roman"/>
                <w:b/>
                <w:bCs/>
                <w:sz w:val="14"/>
                <w:szCs w:val="14"/>
                <w:lang w:eastAsia="sk-SK"/>
              </w:rPr>
              <w:t>IT financované zo ŠR spolu</w:t>
            </w:r>
          </w:p>
        </w:tc>
        <w:tc>
          <w:tcPr>
            <w:tcW w:w="496" w:type="pct"/>
            <w:tcBorders>
              <w:top w:val="nil"/>
              <w:left w:val="nil"/>
              <w:bottom w:val="single" w:sz="4" w:space="0" w:color="auto"/>
              <w:right w:val="single" w:sz="4" w:space="0" w:color="auto"/>
            </w:tcBorders>
            <w:shd w:val="clear" w:color="000000" w:fill="BFBFBF"/>
            <w:noWrap/>
            <w:vAlign w:val="bottom"/>
            <w:hideMark/>
          </w:tcPr>
          <w:p w:rsidR="003A497B" w:rsidRPr="00786CF1" w:rsidRDefault="003A497B" w:rsidP="003E1809">
            <w:pPr>
              <w:jc w:val="right"/>
              <w:rPr>
                <w:rFonts w:ascii="Times New Roman" w:hAnsi="Times New Roman" w:cs="Times New Roman"/>
                <w:b/>
                <w:bCs/>
                <w:sz w:val="14"/>
                <w:szCs w:val="14"/>
                <w:lang w:eastAsia="sk-SK"/>
              </w:rPr>
            </w:pPr>
            <w:r w:rsidRPr="00786CF1">
              <w:rPr>
                <w:rFonts w:ascii="Times New Roman" w:hAnsi="Times New Roman" w:cs="Times New Roman"/>
                <w:b/>
                <w:bCs/>
                <w:sz w:val="14"/>
                <w:szCs w:val="14"/>
                <w:lang w:eastAsia="sk-SK"/>
              </w:rPr>
              <w:t>0</w:t>
            </w:r>
          </w:p>
        </w:tc>
        <w:tc>
          <w:tcPr>
            <w:tcW w:w="496" w:type="pct"/>
            <w:tcBorders>
              <w:top w:val="nil"/>
              <w:left w:val="nil"/>
              <w:bottom w:val="single" w:sz="4" w:space="0" w:color="auto"/>
              <w:right w:val="single" w:sz="4" w:space="0" w:color="auto"/>
            </w:tcBorders>
            <w:shd w:val="clear" w:color="000000" w:fill="BFBFBF"/>
            <w:noWrap/>
            <w:vAlign w:val="bottom"/>
            <w:hideMark/>
          </w:tcPr>
          <w:p w:rsidR="003A497B" w:rsidRPr="00786CF1" w:rsidRDefault="003A497B" w:rsidP="003E1809">
            <w:pPr>
              <w:jc w:val="right"/>
              <w:rPr>
                <w:rFonts w:ascii="Times New Roman" w:hAnsi="Times New Roman" w:cs="Times New Roman"/>
                <w:b/>
                <w:bCs/>
                <w:sz w:val="14"/>
                <w:szCs w:val="14"/>
                <w:lang w:eastAsia="sk-SK"/>
              </w:rPr>
            </w:pPr>
            <w:r w:rsidRPr="00786CF1">
              <w:rPr>
                <w:rFonts w:ascii="Times New Roman" w:hAnsi="Times New Roman" w:cs="Times New Roman"/>
                <w:b/>
                <w:bCs/>
                <w:sz w:val="14"/>
                <w:szCs w:val="14"/>
                <w:lang w:eastAsia="sk-SK"/>
              </w:rPr>
              <w:t>1 279 649</w:t>
            </w:r>
          </w:p>
        </w:tc>
        <w:tc>
          <w:tcPr>
            <w:tcW w:w="496" w:type="pct"/>
            <w:tcBorders>
              <w:top w:val="nil"/>
              <w:left w:val="nil"/>
              <w:bottom w:val="single" w:sz="4" w:space="0" w:color="auto"/>
              <w:right w:val="single" w:sz="4" w:space="0" w:color="auto"/>
            </w:tcBorders>
            <w:shd w:val="clear" w:color="000000" w:fill="BFBFBF"/>
            <w:noWrap/>
            <w:vAlign w:val="bottom"/>
            <w:hideMark/>
          </w:tcPr>
          <w:p w:rsidR="003A497B" w:rsidRPr="00786CF1" w:rsidRDefault="003A497B" w:rsidP="003E1809">
            <w:pPr>
              <w:jc w:val="right"/>
              <w:rPr>
                <w:rFonts w:ascii="Times New Roman" w:hAnsi="Times New Roman" w:cs="Times New Roman"/>
                <w:b/>
                <w:bCs/>
                <w:sz w:val="14"/>
                <w:szCs w:val="14"/>
                <w:lang w:eastAsia="sk-SK"/>
              </w:rPr>
            </w:pPr>
            <w:r w:rsidRPr="00786CF1">
              <w:rPr>
                <w:rFonts w:ascii="Times New Roman" w:hAnsi="Times New Roman" w:cs="Times New Roman"/>
                <w:b/>
                <w:bCs/>
                <w:sz w:val="14"/>
                <w:szCs w:val="14"/>
                <w:lang w:eastAsia="sk-SK"/>
              </w:rPr>
              <w:t>731 251</w:t>
            </w:r>
          </w:p>
        </w:tc>
        <w:tc>
          <w:tcPr>
            <w:tcW w:w="496" w:type="pct"/>
            <w:tcBorders>
              <w:top w:val="nil"/>
              <w:left w:val="nil"/>
              <w:bottom w:val="single" w:sz="4" w:space="0" w:color="auto"/>
              <w:right w:val="single" w:sz="4" w:space="0" w:color="auto"/>
            </w:tcBorders>
            <w:shd w:val="clear" w:color="000000" w:fill="BFBFBF"/>
            <w:noWrap/>
            <w:vAlign w:val="bottom"/>
            <w:hideMark/>
          </w:tcPr>
          <w:p w:rsidR="003A497B" w:rsidRPr="00786CF1" w:rsidRDefault="003A497B" w:rsidP="003E1809">
            <w:pPr>
              <w:jc w:val="right"/>
              <w:rPr>
                <w:rFonts w:ascii="Times New Roman" w:hAnsi="Times New Roman" w:cs="Times New Roman"/>
                <w:b/>
                <w:bCs/>
                <w:sz w:val="14"/>
                <w:szCs w:val="14"/>
                <w:lang w:eastAsia="sk-SK"/>
              </w:rPr>
            </w:pPr>
            <w:r w:rsidRPr="00786CF1">
              <w:rPr>
                <w:rFonts w:ascii="Times New Roman" w:hAnsi="Times New Roman" w:cs="Times New Roman"/>
                <w:b/>
                <w:bCs/>
                <w:sz w:val="14"/>
                <w:szCs w:val="14"/>
                <w:lang w:eastAsia="sk-SK"/>
              </w:rPr>
              <w:t>863 510</w:t>
            </w:r>
          </w:p>
        </w:tc>
        <w:tc>
          <w:tcPr>
            <w:tcW w:w="496" w:type="pct"/>
            <w:tcBorders>
              <w:top w:val="nil"/>
              <w:left w:val="nil"/>
              <w:bottom w:val="single" w:sz="4" w:space="0" w:color="auto"/>
              <w:right w:val="single" w:sz="4" w:space="0" w:color="auto"/>
            </w:tcBorders>
            <w:shd w:val="clear" w:color="000000" w:fill="BFBFBF"/>
            <w:noWrap/>
            <w:vAlign w:val="bottom"/>
            <w:hideMark/>
          </w:tcPr>
          <w:p w:rsidR="003A497B" w:rsidRPr="00786CF1" w:rsidRDefault="003A497B" w:rsidP="003E1809">
            <w:pPr>
              <w:jc w:val="right"/>
              <w:rPr>
                <w:rFonts w:ascii="Times New Roman" w:hAnsi="Times New Roman" w:cs="Times New Roman"/>
                <w:b/>
                <w:bCs/>
                <w:sz w:val="14"/>
                <w:szCs w:val="14"/>
                <w:lang w:eastAsia="sk-SK"/>
              </w:rPr>
            </w:pPr>
            <w:r w:rsidRPr="00786CF1">
              <w:rPr>
                <w:rFonts w:ascii="Times New Roman" w:hAnsi="Times New Roman" w:cs="Times New Roman"/>
                <w:b/>
                <w:bCs/>
                <w:sz w:val="14"/>
                <w:szCs w:val="14"/>
                <w:lang w:eastAsia="sk-SK"/>
              </w:rPr>
              <w:t>889 297</w:t>
            </w:r>
          </w:p>
        </w:tc>
        <w:tc>
          <w:tcPr>
            <w:tcW w:w="496" w:type="pct"/>
            <w:tcBorders>
              <w:top w:val="nil"/>
              <w:left w:val="nil"/>
              <w:bottom w:val="single" w:sz="4" w:space="0" w:color="auto"/>
              <w:right w:val="single" w:sz="4" w:space="0" w:color="auto"/>
            </w:tcBorders>
            <w:shd w:val="clear" w:color="000000" w:fill="BFBFBF"/>
            <w:noWrap/>
            <w:vAlign w:val="bottom"/>
            <w:hideMark/>
          </w:tcPr>
          <w:p w:rsidR="003A497B" w:rsidRPr="00786CF1" w:rsidRDefault="003A497B" w:rsidP="003E1809">
            <w:pPr>
              <w:jc w:val="right"/>
              <w:rPr>
                <w:rFonts w:ascii="Times New Roman" w:hAnsi="Times New Roman" w:cs="Times New Roman"/>
                <w:b/>
                <w:bCs/>
                <w:sz w:val="14"/>
                <w:szCs w:val="14"/>
                <w:lang w:eastAsia="sk-SK"/>
              </w:rPr>
            </w:pPr>
            <w:r w:rsidRPr="00786CF1">
              <w:rPr>
                <w:rFonts w:ascii="Times New Roman" w:hAnsi="Times New Roman" w:cs="Times New Roman"/>
                <w:b/>
                <w:bCs/>
                <w:sz w:val="14"/>
                <w:szCs w:val="14"/>
                <w:lang w:eastAsia="sk-SK"/>
              </w:rPr>
              <w:t>749 057</w:t>
            </w:r>
          </w:p>
        </w:tc>
        <w:tc>
          <w:tcPr>
            <w:tcW w:w="496" w:type="pct"/>
            <w:tcBorders>
              <w:top w:val="nil"/>
              <w:left w:val="nil"/>
              <w:bottom w:val="single" w:sz="4" w:space="0" w:color="auto"/>
              <w:right w:val="single" w:sz="4" w:space="0" w:color="auto"/>
            </w:tcBorders>
            <w:shd w:val="clear" w:color="000000" w:fill="BFBFBF"/>
            <w:noWrap/>
            <w:vAlign w:val="bottom"/>
            <w:hideMark/>
          </w:tcPr>
          <w:p w:rsidR="003A497B" w:rsidRPr="00786CF1" w:rsidRDefault="003A497B" w:rsidP="003E1809">
            <w:pPr>
              <w:jc w:val="right"/>
              <w:rPr>
                <w:rFonts w:ascii="Times New Roman" w:hAnsi="Times New Roman" w:cs="Times New Roman"/>
                <w:b/>
                <w:bCs/>
                <w:sz w:val="14"/>
                <w:szCs w:val="14"/>
                <w:lang w:eastAsia="sk-SK"/>
              </w:rPr>
            </w:pPr>
            <w:r w:rsidRPr="00786CF1">
              <w:rPr>
                <w:rFonts w:ascii="Times New Roman" w:hAnsi="Times New Roman" w:cs="Times New Roman"/>
                <w:b/>
                <w:bCs/>
                <w:sz w:val="14"/>
                <w:szCs w:val="14"/>
                <w:lang w:eastAsia="sk-SK"/>
              </w:rPr>
              <w:t>871 277</w:t>
            </w:r>
          </w:p>
        </w:tc>
      </w:tr>
      <w:tr w:rsidR="003A497B" w:rsidRPr="00786CF1" w:rsidTr="003E1809">
        <w:trPr>
          <w:trHeight w:hRule="exact" w:val="255"/>
        </w:trPr>
        <w:tc>
          <w:tcPr>
            <w:tcW w:w="1529" w:type="pct"/>
            <w:tcBorders>
              <w:top w:val="nil"/>
              <w:left w:val="single" w:sz="4" w:space="0" w:color="auto"/>
              <w:bottom w:val="single" w:sz="4" w:space="0" w:color="auto"/>
              <w:right w:val="single" w:sz="4" w:space="0" w:color="auto"/>
            </w:tcBorders>
            <w:shd w:val="clear" w:color="auto" w:fill="auto"/>
            <w:noWrap/>
            <w:vAlign w:val="bottom"/>
            <w:hideMark/>
          </w:tcPr>
          <w:p w:rsidR="003A497B" w:rsidRPr="00786CF1" w:rsidRDefault="003A497B" w:rsidP="003E1809">
            <w:pPr>
              <w:rPr>
                <w:rFonts w:ascii="Times New Roman" w:hAnsi="Times New Roman" w:cs="Times New Roman"/>
                <w:color w:val="000000"/>
                <w:sz w:val="14"/>
                <w:szCs w:val="14"/>
                <w:lang w:eastAsia="sk-SK"/>
              </w:rPr>
            </w:pPr>
            <w:r w:rsidRPr="00786CF1">
              <w:rPr>
                <w:rFonts w:ascii="Times New Roman" w:hAnsi="Times New Roman" w:cs="Times New Roman"/>
                <w:color w:val="000000"/>
                <w:sz w:val="14"/>
                <w:szCs w:val="14"/>
                <w:lang w:eastAsia="sk-SK"/>
              </w:rPr>
              <w:t>Systémy vnútornej správy</w:t>
            </w:r>
          </w:p>
        </w:tc>
        <w:tc>
          <w:tcPr>
            <w:tcW w:w="496" w:type="pct"/>
            <w:tcBorders>
              <w:top w:val="nil"/>
              <w:left w:val="nil"/>
              <w:bottom w:val="single" w:sz="4" w:space="0" w:color="auto"/>
              <w:right w:val="single" w:sz="4" w:space="0" w:color="auto"/>
            </w:tcBorders>
            <w:shd w:val="clear" w:color="auto" w:fill="auto"/>
            <w:noWrap/>
            <w:vAlign w:val="bottom"/>
            <w:hideMark/>
          </w:tcPr>
          <w:p w:rsidR="003A497B" w:rsidRPr="00786CF1" w:rsidRDefault="003A497B" w:rsidP="003E1809">
            <w:pPr>
              <w:jc w:val="right"/>
              <w:rPr>
                <w:rFonts w:ascii="Times New Roman" w:hAnsi="Times New Roman" w:cs="Times New Roman"/>
                <w:color w:val="000000"/>
                <w:sz w:val="14"/>
                <w:szCs w:val="14"/>
                <w:lang w:eastAsia="sk-SK"/>
              </w:rPr>
            </w:pPr>
            <w:r w:rsidRPr="00786CF1">
              <w:rPr>
                <w:rFonts w:ascii="Times New Roman" w:hAnsi="Times New Roman" w:cs="Times New Roman"/>
                <w:color w:val="000000"/>
                <w:sz w:val="14"/>
                <w:szCs w:val="14"/>
                <w:lang w:eastAsia="sk-SK"/>
              </w:rPr>
              <w:t>0</w:t>
            </w:r>
          </w:p>
        </w:tc>
        <w:tc>
          <w:tcPr>
            <w:tcW w:w="496" w:type="pct"/>
            <w:tcBorders>
              <w:top w:val="nil"/>
              <w:left w:val="nil"/>
              <w:bottom w:val="single" w:sz="4" w:space="0" w:color="auto"/>
              <w:right w:val="single" w:sz="4" w:space="0" w:color="auto"/>
            </w:tcBorders>
            <w:shd w:val="clear" w:color="auto" w:fill="auto"/>
            <w:noWrap/>
            <w:vAlign w:val="bottom"/>
            <w:hideMark/>
          </w:tcPr>
          <w:p w:rsidR="003A497B" w:rsidRPr="00786CF1" w:rsidRDefault="003A497B" w:rsidP="003E1809">
            <w:pPr>
              <w:jc w:val="right"/>
              <w:rPr>
                <w:rFonts w:ascii="Times New Roman" w:hAnsi="Times New Roman" w:cs="Times New Roman"/>
                <w:color w:val="000000"/>
                <w:sz w:val="14"/>
                <w:szCs w:val="14"/>
                <w:lang w:eastAsia="sk-SK"/>
              </w:rPr>
            </w:pPr>
            <w:r w:rsidRPr="00786CF1">
              <w:rPr>
                <w:rFonts w:ascii="Times New Roman" w:hAnsi="Times New Roman" w:cs="Times New Roman"/>
                <w:color w:val="000000"/>
                <w:sz w:val="14"/>
                <w:szCs w:val="14"/>
                <w:lang w:eastAsia="sk-SK"/>
              </w:rPr>
              <w:t>159 658</w:t>
            </w:r>
          </w:p>
        </w:tc>
        <w:tc>
          <w:tcPr>
            <w:tcW w:w="496" w:type="pct"/>
            <w:tcBorders>
              <w:top w:val="nil"/>
              <w:left w:val="nil"/>
              <w:bottom w:val="single" w:sz="4" w:space="0" w:color="auto"/>
              <w:right w:val="single" w:sz="4" w:space="0" w:color="auto"/>
            </w:tcBorders>
            <w:shd w:val="clear" w:color="auto" w:fill="auto"/>
            <w:noWrap/>
            <w:vAlign w:val="bottom"/>
            <w:hideMark/>
          </w:tcPr>
          <w:p w:rsidR="003A497B" w:rsidRPr="00786CF1" w:rsidRDefault="003A497B" w:rsidP="003E1809">
            <w:pPr>
              <w:jc w:val="right"/>
              <w:rPr>
                <w:rFonts w:ascii="Times New Roman" w:hAnsi="Times New Roman" w:cs="Times New Roman"/>
                <w:color w:val="000000"/>
                <w:sz w:val="14"/>
                <w:szCs w:val="14"/>
                <w:lang w:eastAsia="sk-SK"/>
              </w:rPr>
            </w:pPr>
            <w:r w:rsidRPr="00786CF1">
              <w:rPr>
                <w:rFonts w:ascii="Times New Roman" w:hAnsi="Times New Roman" w:cs="Times New Roman"/>
                <w:color w:val="000000"/>
                <w:sz w:val="14"/>
                <w:szCs w:val="14"/>
                <w:lang w:eastAsia="sk-SK"/>
              </w:rPr>
              <w:t>36 600</w:t>
            </w:r>
          </w:p>
        </w:tc>
        <w:tc>
          <w:tcPr>
            <w:tcW w:w="496" w:type="pct"/>
            <w:tcBorders>
              <w:top w:val="nil"/>
              <w:left w:val="nil"/>
              <w:bottom w:val="single" w:sz="4" w:space="0" w:color="auto"/>
              <w:right w:val="single" w:sz="4" w:space="0" w:color="auto"/>
            </w:tcBorders>
            <w:shd w:val="clear" w:color="auto" w:fill="auto"/>
            <w:noWrap/>
            <w:vAlign w:val="bottom"/>
            <w:hideMark/>
          </w:tcPr>
          <w:p w:rsidR="003A497B" w:rsidRPr="00786CF1" w:rsidRDefault="003A497B" w:rsidP="003E1809">
            <w:pPr>
              <w:jc w:val="right"/>
              <w:rPr>
                <w:rFonts w:ascii="Times New Roman" w:hAnsi="Times New Roman" w:cs="Times New Roman"/>
                <w:color w:val="000000"/>
                <w:sz w:val="14"/>
                <w:szCs w:val="14"/>
                <w:lang w:eastAsia="sk-SK"/>
              </w:rPr>
            </w:pPr>
            <w:r w:rsidRPr="00786CF1">
              <w:rPr>
                <w:rFonts w:ascii="Times New Roman" w:hAnsi="Times New Roman" w:cs="Times New Roman"/>
                <w:color w:val="000000"/>
                <w:sz w:val="14"/>
                <w:szCs w:val="14"/>
                <w:lang w:eastAsia="sk-SK"/>
              </w:rPr>
              <w:t>59 515</w:t>
            </w:r>
          </w:p>
        </w:tc>
        <w:tc>
          <w:tcPr>
            <w:tcW w:w="496" w:type="pct"/>
            <w:tcBorders>
              <w:top w:val="nil"/>
              <w:left w:val="nil"/>
              <w:bottom w:val="single" w:sz="4" w:space="0" w:color="auto"/>
              <w:right w:val="single" w:sz="4" w:space="0" w:color="auto"/>
            </w:tcBorders>
            <w:shd w:val="clear" w:color="auto" w:fill="auto"/>
            <w:noWrap/>
            <w:vAlign w:val="bottom"/>
            <w:hideMark/>
          </w:tcPr>
          <w:p w:rsidR="003A497B" w:rsidRPr="00786CF1" w:rsidRDefault="003A497B" w:rsidP="003E1809">
            <w:pPr>
              <w:jc w:val="right"/>
              <w:rPr>
                <w:rFonts w:ascii="Times New Roman" w:hAnsi="Times New Roman" w:cs="Times New Roman"/>
                <w:color w:val="000000"/>
                <w:sz w:val="14"/>
                <w:szCs w:val="14"/>
                <w:lang w:eastAsia="sk-SK"/>
              </w:rPr>
            </w:pPr>
            <w:r w:rsidRPr="00786CF1">
              <w:rPr>
                <w:rFonts w:ascii="Times New Roman" w:hAnsi="Times New Roman" w:cs="Times New Roman"/>
                <w:color w:val="000000"/>
                <w:sz w:val="14"/>
                <w:szCs w:val="14"/>
                <w:lang w:eastAsia="sk-SK"/>
              </w:rPr>
              <w:t>34 572</w:t>
            </w:r>
          </w:p>
        </w:tc>
        <w:tc>
          <w:tcPr>
            <w:tcW w:w="496" w:type="pct"/>
            <w:tcBorders>
              <w:top w:val="nil"/>
              <w:left w:val="nil"/>
              <w:bottom w:val="single" w:sz="4" w:space="0" w:color="auto"/>
              <w:right w:val="single" w:sz="4" w:space="0" w:color="auto"/>
            </w:tcBorders>
            <w:shd w:val="clear" w:color="auto" w:fill="auto"/>
            <w:noWrap/>
            <w:vAlign w:val="bottom"/>
            <w:hideMark/>
          </w:tcPr>
          <w:p w:rsidR="003A497B" w:rsidRPr="00786CF1" w:rsidRDefault="003A497B" w:rsidP="003E1809">
            <w:pPr>
              <w:jc w:val="right"/>
              <w:rPr>
                <w:rFonts w:ascii="Times New Roman" w:hAnsi="Times New Roman" w:cs="Times New Roman"/>
                <w:color w:val="000000"/>
                <w:sz w:val="14"/>
                <w:szCs w:val="14"/>
                <w:lang w:eastAsia="sk-SK"/>
              </w:rPr>
            </w:pPr>
            <w:r w:rsidRPr="00786CF1">
              <w:rPr>
                <w:rFonts w:ascii="Times New Roman" w:hAnsi="Times New Roman" w:cs="Times New Roman"/>
                <w:color w:val="000000"/>
                <w:sz w:val="14"/>
                <w:szCs w:val="14"/>
                <w:lang w:eastAsia="sk-SK"/>
              </w:rPr>
              <w:t>34 572</w:t>
            </w:r>
          </w:p>
        </w:tc>
        <w:tc>
          <w:tcPr>
            <w:tcW w:w="496" w:type="pct"/>
            <w:tcBorders>
              <w:top w:val="nil"/>
              <w:left w:val="nil"/>
              <w:bottom w:val="single" w:sz="4" w:space="0" w:color="auto"/>
              <w:right w:val="single" w:sz="4" w:space="0" w:color="auto"/>
            </w:tcBorders>
            <w:shd w:val="clear" w:color="auto" w:fill="auto"/>
            <w:noWrap/>
            <w:vAlign w:val="bottom"/>
            <w:hideMark/>
          </w:tcPr>
          <w:p w:rsidR="003A497B" w:rsidRPr="00786CF1" w:rsidRDefault="003A497B" w:rsidP="003E1809">
            <w:pPr>
              <w:jc w:val="right"/>
              <w:rPr>
                <w:rFonts w:ascii="Times New Roman" w:hAnsi="Times New Roman" w:cs="Times New Roman"/>
                <w:color w:val="000000"/>
                <w:sz w:val="14"/>
                <w:szCs w:val="14"/>
                <w:lang w:eastAsia="sk-SK"/>
              </w:rPr>
            </w:pPr>
            <w:r w:rsidRPr="00786CF1">
              <w:rPr>
                <w:rFonts w:ascii="Times New Roman" w:hAnsi="Times New Roman" w:cs="Times New Roman"/>
                <w:color w:val="000000"/>
                <w:sz w:val="14"/>
                <w:szCs w:val="14"/>
                <w:lang w:eastAsia="sk-SK"/>
              </w:rPr>
              <w:t>34 572</w:t>
            </w:r>
          </w:p>
        </w:tc>
      </w:tr>
      <w:tr w:rsidR="003A497B" w:rsidRPr="00786CF1" w:rsidTr="003E1809">
        <w:trPr>
          <w:trHeight w:hRule="exact" w:val="255"/>
        </w:trPr>
        <w:tc>
          <w:tcPr>
            <w:tcW w:w="1529" w:type="pct"/>
            <w:tcBorders>
              <w:top w:val="nil"/>
              <w:left w:val="single" w:sz="4" w:space="0" w:color="auto"/>
              <w:bottom w:val="single" w:sz="4" w:space="0" w:color="auto"/>
              <w:right w:val="single" w:sz="4" w:space="0" w:color="auto"/>
            </w:tcBorders>
            <w:shd w:val="clear" w:color="auto" w:fill="auto"/>
            <w:noWrap/>
            <w:vAlign w:val="bottom"/>
            <w:hideMark/>
          </w:tcPr>
          <w:p w:rsidR="003A497B" w:rsidRPr="00786CF1" w:rsidRDefault="003A497B" w:rsidP="003E1809">
            <w:pPr>
              <w:rPr>
                <w:rFonts w:ascii="Times New Roman" w:hAnsi="Times New Roman" w:cs="Times New Roman"/>
                <w:sz w:val="14"/>
                <w:szCs w:val="14"/>
                <w:lang w:eastAsia="sk-SK"/>
              </w:rPr>
            </w:pPr>
            <w:r w:rsidRPr="00786CF1">
              <w:rPr>
                <w:rFonts w:ascii="Times New Roman" w:hAnsi="Times New Roman" w:cs="Times New Roman"/>
                <w:sz w:val="14"/>
                <w:szCs w:val="14"/>
                <w:lang w:eastAsia="sk-SK"/>
              </w:rPr>
              <w:t>Špecializované systémy</w:t>
            </w:r>
          </w:p>
        </w:tc>
        <w:tc>
          <w:tcPr>
            <w:tcW w:w="496" w:type="pct"/>
            <w:tcBorders>
              <w:top w:val="nil"/>
              <w:left w:val="nil"/>
              <w:bottom w:val="single" w:sz="4" w:space="0" w:color="auto"/>
              <w:right w:val="single" w:sz="4" w:space="0" w:color="auto"/>
            </w:tcBorders>
            <w:shd w:val="clear" w:color="auto" w:fill="auto"/>
            <w:noWrap/>
            <w:vAlign w:val="bottom"/>
            <w:hideMark/>
          </w:tcPr>
          <w:p w:rsidR="003A497B" w:rsidRPr="00786CF1" w:rsidRDefault="003A497B" w:rsidP="003E1809">
            <w:pPr>
              <w:jc w:val="right"/>
              <w:rPr>
                <w:rFonts w:ascii="Times New Roman" w:hAnsi="Times New Roman" w:cs="Times New Roman"/>
                <w:sz w:val="14"/>
                <w:szCs w:val="14"/>
                <w:lang w:eastAsia="sk-SK"/>
              </w:rPr>
            </w:pPr>
            <w:r w:rsidRPr="00786CF1">
              <w:rPr>
                <w:rFonts w:ascii="Times New Roman" w:hAnsi="Times New Roman" w:cs="Times New Roman"/>
                <w:sz w:val="14"/>
                <w:szCs w:val="14"/>
                <w:lang w:eastAsia="sk-SK"/>
              </w:rPr>
              <w:t>0</w:t>
            </w:r>
          </w:p>
        </w:tc>
        <w:tc>
          <w:tcPr>
            <w:tcW w:w="496" w:type="pct"/>
            <w:tcBorders>
              <w:top w:val="nil"/>
              <w:left w:val="nil"/>
              <w:bottom w:val="single" w:sz="4" w:space="0" w:color="auto"/>
              <w:right w:val="single" w:sz="4" w:space="0" w:color="auto"/>
            </w:tcBorders>
            <w:shd w:val="clear" w:color="auto" w:fill="auto"/>
            <w:noWrap/>
            <w:vAlign w:val="bottom"/>
            <w:hideMark/>
          </w:tcPr>
          <w:p w:rsidR="003A497B" w:rsidRPr="00786CF1" w:rsidRDefault="003A497B" w:rsidP="003E1809">
            <w:pPr>
              <w:jc w:val="right"/>
              <w:rPr>
                <w:rFonts w:ascii="Times New Roman" w:hAnsi="Times New Roman" w:cs="Times New Roman"/>
                <w:sz w:val="14"/>
                <w:szCs w:val="14"/>
                <w:lang w:eastAsia="sk-SK"/>
              </w:rPr>
            </w:pPr>
            <w:r w:rsidRPr="00786CF1">
              <w:rPr>
                <w:rFonts w:ascii="Times New Roman" w:hAnsi="Times New Roman" w:cs="Times New Roman"/>
                <w:sz w:val="14"/>
                <w:szCs w:val="14"/>
                <w:lang w:eastAsia="sk-SK"/>
              </w:rPr>
              <w:t>95 841</w:t>
            </w:r>
          </w:p>
        </w:tc>
        <w:tc>
          <w:tcPr>
            <w:tcW w:w="496" w:type="pct"/>
            <w:tcBorders>
              <w:top w:val="nil"/>
              <w:left w:val="nil"/>
              <w:bottom w:val="single" w:sz="4" w:space="0" w:color="auto"/>
              <w:right w:val="single" w:sz="4" w:space="0" w:color="auto"/>
            </w:tcBorders>
            <w:shd w:val="clear" w:color="auto" w:fill="auto"/>
            <w:noWrap/>
            <w:vAlign w:val="bottom"/>
            <w:hideMark/>
          </w:tcPr>
          <w:p w:rsidR="003A497B" w:rsidRPr="00786CF1" w:rsidRDefault="003A497B" w:rsidP="003E1809">
            <w:pPr>
              <w:jc w:val="right"/>
              <w:rPr>
                <w:rFonts w:ascii="Times New Roman" w:hAnsi="Times New Roman" w:cs="Times New Roman"/>
                <w:sz w:val="14"/>
                <w:szCs w:val="14"/>
                <w:lang w:eastAsia="sk-SK"/>
              </w:rPr>
            </w:pPr>
            <w:r w:rsidRPr="00786CF1">
              <w:rPr>
                <w:rFonts w:ascii="Times New Roman" w:hAnsi="Times New Roman" w:cs="Times New Roman"/>
                <w:sz w:val="14"/>
                <w:szCs w:val="14"/>
                <w:lang w:eastAsia="sk-SK"/>
              </w:rPr>
              <w:t>45 395</w:t>
            </w:r>
          </w:p>
        </w:tc>
        <w:tc>
          <w:tcPr>
            <w:tcW w:w="496" w:type="pct"/>
            <w:tcBorders>
              <w:top w:val="nil"/>
              <w:left w:val="nil"/>
              <w:bottom w:val="single" w:sz="4" w:space="0" w:color="auto"/>
              <w:right w:val="single" w:sz="4" w:space="0" w:color="auto"/>
            </w:tcBorders>
            <w:shd w:val="clear" w:color="auto" w:fill="auto"/>
            <w:noWrap/>
            <w:vAlign w:val="bottom"/>
            <w:hideMark/>
          </w:tcPr>
          <w:p w:rsidR="003A497B" w:rsidRPr="00786CF1" w:rsidRDefault="003A497B" w:rsidP="003E1809">
            <w:pPr>
              <w:jc w:val="right"/>
              <w:rPr>
                <w:rFonts w:ascii="Times New Roman" w:hAnsi="Times New Roman" w:cs="Times New Roman"/>
                <w:sz w:val="14"/>
                <w:szCs w:val="14"/>
                <w:lang w:eastAsia="sk-SK"/>
              </w:rPr>
            </w:pPr>
            <w:r w:rsidRPr="00786CF1">
              <w:rPr>
                <w:rFonts w:ascii="Times New Roman" w:hAnsi="Times New Roman" w:cs="Times New Roman"/>
                <w:sz w:val="14"/>
                <w:szCs w:val="14"/>
                <w:lang w:eastAsia="sk-SK"/>
              </w:rPr>
              <w:t>41 991</w:t>
            </w:r>
          </w:p>
        </w:tc>
        <w:tc>
          <w:tcPr>
            <w:tcW w:w="496" w:type="pct"/>
            <w:tcBorders>
              <w:top w:val="nil"/>
              <w:left w:val="nil"/>
              <w:bottom w:val="single" w:sz="4" w:space="0" w:color="auto"/>
              <w:right w:val="single" w:sz="4" w:space="0" w:color="auto"/>
            </w:tcBorders>
            <w:shd w:val="clear" w:color="auto" w:fill="auto"/>
            <w:noWrap/>
            <w:vAlign w:val="bottom"/>
            <w:hideMark/>
          </w:tcPr>
          <w:p w:rsidR="003A497B" w:rsidRPr="00786CF1" w:rsidRDefault="003A497B" w:rsidP="003E1809">
            <w:pPr>
              <w:jc w:val="right"/>
              <w:rPr>
                <w:rFonts w:ascii="Times New Roman" w:hAnsi="Times New Roman" w:cs="Times New Roman"/>
                <w:sz w:val="14"/>
                <w:szCs w:val="14"/>
                <w:lang w:eastAsia="sk-SK"/>
              </w:rPr>
            </w:pPr>
            <w:r w:rsidRPr="00786CF1">
              <w:rPr>
                <w:rFonts w:ascii="Times New Roman" w:hAnsi="Times New Roman" w:cs="Times New Roman"/>
                <w:sz w:val="14"/>
                <w:szCs w:val="14"/>
                <w:lang w:eastAsia="sk-SK"/>
              </w:rPr>
              <w:t>15 272</w:t>
            </w:r>
          </w:p>
        </w:tc>
        <w:tc>
          <w:tcPr>
            <w:tcW w:w="496" w:type="pct"/>
            <w:tcBorders>
              <w:top w:val="nil"/>
              <w:left w:val="nil"/>
              <w:bottom w:val="single" w:sz="4" w:space="0" w:color="auto"/>
              <w:right w:val="single" w:sz="4" w:space="0" w:color="auto"/>
            </w:tcBorders>
            <w:shd w:val="clear" w:color="auto" w:fill="auto"/>
            <w:noWrap/>
            <w:vAlign w:val="bottom"/>
            <w:hideMark/>
          </w:tcPr>
          <w:p w:rsidR="003A497B" w:rsidRPr="00786CF1" w:rsidRDefault="003A497B" w:rsidP="003E1809">
            <w:pPr>
              <w:jc w:val="right"/>
              <w:rPr>
                <w:rFonts w:ascii="Times New Roman" w:hAnsi="Times New Roman" w:cs="Times New Roman"/>
                <w:sz w:val="14"/>
                <w:szCs w:val="14"/>
                <w:lang w:eastAsia="sk-SK"/>
              </w:rPr>
            </w:pPr>
            <w:r w:rsidRPr="00786CF1">
              <w:rPr>
                <w:rFonts w:ascii="Times New Roman" w:hAnsi="Times New Roman" w:cs="Times New Roman"/>
                <w:sz w:val="14"/>
                <w:szCs w:val="14"/>
                <w:lang w:eastAsia="sk-SK"/>
              </w:rPr>
              <w:t>15 272</w:t>
            </w:r>
          </w:p>
        </w:tc>
        <w:tc>
          <w:tcPr>
            <w:tcW w:w="496" w:type="pct"/>
            <w:tcBorders>
              <w:top w:val="nil"/>
              <w:left w:val="nil"/>
              <w:bottom w:val="single" w:sz="4" w:space="0" w:color="auto"/>
              <w:right w:val="single" w:sz="4" w:space="0" w:color="auto"/>
            </w:tcBorders>
            <w:shd w:val="clear" w:color="auto" w:fill="auto"/>
            <w:noWrap/>
            <w:vAlign w:val="bottom"/>
            <w:hideMark/>
          </w:tcPr>
          <w:p w:rsidR="003A497B" w:rsidRPr="00786CF1" w:rsidRDefault="003A497B" w:rsidP="003E1809">
            <w:pPr>
              <w:jc w:val="right"/>
              <w:rPr>
                <w:rFonts w:ascii="Times New Roman" w:hAnsi="Times New Roman" w:cs="Times New Roman"/>
                <w:sz w:val="14"/>
                <w:szCs w:val="14"/>
                <w:lang w:eastAsia="sk-SK"/>
              </w:rPr>
            </w:pPr>
            <w:r w:rsidRPr="00786CF1">
              <w:rPr>
                <w:rFonts w:ascii="Times New Roman" w:hAnsi="Times New Roman" w:cs="Times New Roman"/>
                <w:sz w:val="14"/>
                <w:szCs w:val="14"/>
                <w:lang w:eastAsia="sk-SK"/>
              </w:rPr>
              <w:t>15 272</w:t>
            </w:r>
          </w:p>
        </w:tc>
      </w:tr>
      <w:tr w:rsidR="003A497B" w:rsidRPr="00786CF1" w:rsidTr="003E1809">
        <w:trPr>
          <w:trHeight w:hRule="exact" w:val="255"/>
        </w:trPr>
        <w:tc>
          <w:tcPr>
            <w:tcW w:w="1529" w:type="pct"/>
            <w:tcBorders>
              <w:top w:val="nil"/>
              <w:left w:val="single" w:sz="4" w:space="0" w:color="auto"/>
              <w:bottom w:val="single" w:sz="4" w:space="0" w:color="auto"/>
              <w:right w:val="single" w:sz="4" w:space="0" w:color="auto"/>
            </w:tcBorders>
            <w:shd w:val="clear" w:color="auto" w:fill="auto"/>
            <w:noWrap/>
            <w:vAlign w:val="bottom"/>
            <w:hideMark/>
          </w:tcPr>
          <w:p w:rsidR="003A497B" w:rsidRPr="00786CF1" w:rsidRDefault="003A497B" w:rsidP="003E1809">
            <w:pPr>
              <w:rPr>
                <w:rFonts w:ascii="Times New Roman" w:hAnsi="Times New Roman" w:cs="Times New Roman"/>
                <w:sz w:val="14"/>
                <w:szCs w:val="14"/>
                <w:lang w:eastAsia="sk-SK"/>
              </w:rPr>
            </w:pPr>
            <w:r w:rsidRPr="00786CF1">
              <w:rPr>
                <w:rFonts w:ascii="Times New Roman" w:hAnsi="Times New Roman" w:cs="Times New Roman"/>
                <w:sz w:val="14"/>
                <w:szCs w:val="14"/>
                <w:lang w:eastAsia="sk-SK"/>
              </w:rPr>
              <w:t>Podpora infraštruktúry</w:t>
            </w:r>
          </w:p>
        </w:tc>
        <w:tc>
          <w:tcPr>
            <w:tcW w:w="496" w:type="pct"/>
            <w:tcBorders>
              <w:top w:val="nil"/>
              <w:left w:val="nil"/>
              <w:bottom w:val="single" w:sz="4" w:space="0" w:color="auto"/>
              <w:right w:val="single" w:sz="4" w:space="0" w:color="auto"/>
            </w:tcBorders>
            <w:shd w:val="clear" w:color="auto" w:fill="auto"/>
            <w:noWrap/>
            <w:vAlign w:val="bottom"/>
            <w:hideMark/>
          </w:tcPr>
          <w:p w:rsidR="003A497B" w:rsidRPr="00786CF1" w:rsidRDefault="003A497B" w:rsidP="003E1809">
            <w:pPr>
              <w:jc w:val="right"/>
              <w:rPr>
                <w:rFonts w:ascii="Times New Roman" w:hAnsi="Times New Roman" w:cs="Times New Roman"/>
                <w:sz w:val="14"/>
                <w:szCs w:val="14"/>
                <w:lang w:eastAsia="sk-SK"/>
              </w:rPr>
            </w:pPr>
            <w:r w:rsidRPr="00786CF1">
              <w:rPr>
                <w:rFonts w:ascii="Times New Roman" w:hAnsi="Times New Roman" w:cs="Times New Roman"/>
                <w:sz w:val="14"/>
                <w:szCs w:val="14"/>
                <w:lang w:eastAsia="sk-SK"/>
              </w:rPr>
              <w:t>0</w:t>
            </w:r>
          </w:p>
        </w:tc>
        <w:tc>
          <w:tcPr>
            <w:tcW w:w="496" w:type="pct"/>
            <w:tcBorders>
              <w:top w:val="nil"/>
              <w:left w:val="nil"/>
              <w:bottom w:val="single" w:sz="4" w:space="0" w:color="auto"/>
              <w:right w:val="single" w:sz="4" w:space="0" w:color="auto"/>
            </w:tcBorders>
            <w:shd w:val="clear" w:color="auto" w:fill="auto"/>
            <w:noWrap/>
            <w:vAlign w:val="bottom"/>
            <w:hideMark/>
          </w:tcPr>
          <w:p w:rsidR="003A497B" w:rsidRPr="00786CF1" w:rsidRDefault="003A497B" w:rsidP="003E1809">
            <w:pPr>
              <w:jc w:val="right"/>
              <w:rPr>
                <w:rFonts w:ascii="Times New Roman" w:hAnsi="Times New Roman" w:cs="Times New Roman"/>
                <w:sz w:val="14"/>
                <w:szCs w:val="14"/>
                <w:lang w:eastAsia="sk-SK"/>
              </w:rPr>
            </w:pPr>
            <w:r w:rsidRPr="00786CF1">
              <w:rPr>
                <w:rFonts w:ascii="Times New Roman" w:hAnsi="Times New Roman" w:cs="Times New Roman"/>
                <w:sz w:val="14"/>
                <w:szCs w:val="14"/>
                <w:lang w:eastAsia="sk-SK"/>
              </w:rPr>
              <w:t>1 024 150</w:t>
            </w:r>
          </w:p>
        </w:tc>
        <w:tc>
          <w:tcPr>
            <w:tcW w:w="496" w:type="pct"/>
            <w:tcBorders>
              <w:top w:val="nil"/>
              <w:left w:val="nil"/>
              <w:bottom w:val="single" w:sz="4" w:space="0" w:color="auto"/>
              <w:right w:val="single" w:sz="4" w:space="0" w:color="auto"/>
            </w:tcBorders>
            <w:shd w:val="clear" w:color="auto" w:fill="auto"/>
            <w:noWrap/>
            <w:vAlign w:val="bottom"/>
            <w:hideMark/>
          </w:tcPr>
          <w:p w:rsidR="003A497B" w:rsidRPr="00786CF1" w:rsidRDefault="003A497B" w:rsidP="003E1809">
            <w:pPr>
              <w:jc w:val="right"/>
              <w:rPr>
                <w:rFonts w:ascii="Times New Roman" w:hAnsi="Times New Roman" w:cs="Times New Roman"/>
                <w:sz w:val="14"/>
                <w:szCs w:val="14"/>
                <w:lang w:eastAsia="sk-SK"/>
              </w:rPr>
            </w:pPr>
            <w:r w:rsidRPr="00786CF1">
              <w:rPr>
                <w:rFonts w:ascii="Times New Roman" w:hAnsi="Times New Roman" w:cs="Times New Roman"/>
                <w:sz w:val="14"/>
                <w:szCs w:val="14"/>
                <w:lang w:eastAsia="sk-SK"/>
              </w:rPr>
              <w:t>649 256</w:t>
            </w:r>
          </w:p>
        </w:tc>
        <w:tc>
          <w:tcPr>
            <w:tcW w:w="496" w:type="pct"/>
            <w:tcBorders>
              <w:top w:val="nil"/>
              <w:left w:val="nil"/>
              <w:bottom w:val="single" w:sz="4" w:space="0" w:color="auto"/>
              <w:right w:val="single" w:sz="4" w:space="0" w:color="auto"/>
            </w:tcBorders>
            <w:shd w:val="clear" w:color="auto" w:fill="auto"/>
            <w:noWrap/>
            <w:vAlign w:val="bottom"/>
            <w:hideMark/>
          </w:tcPr>
          <w:p w:rsidR="003A497B" w:rsidRPr="00786CF1" w:rsidRDefault="003A497B" w:rsidP="003E1809">
            <w:pPr>
              <w:jc w:val="right"/>
              <w:rPr>
                <w:rFonts w:ascii="Times New Roman" w:hAnsi="Times New Roman" w:cs="Times New Roman"/>
                <w:sz w:val="14"/>
                <w:szCs w:val="14"/>
                <w:lang w:eastAsia="sk-SK"/>
              </w:rPr>
            </w:pPr>
            <w:r w:rsidRPr="00786CF1">
              <w:rPr>
                <w:rFonts w:ascii="Times New Roman" w:hAnsi="Times New Roman" w:cs="Times New Roman"/>
                <w:sz w:val="14"/>
                <w:szCs w:val="14"/>
                <w:lang w:eastAsia="sk-SK"/>
              </w:rPr>
              <w:t>762 004</w:t>
            </w:r>
          </w:p>
        </w:tc>
        <w:tc>
          <w:tcPr>
            <w:tcW w:w="496" w:type="pct"/>
            <w:tcBorders>
              <w:top w:val="nil"/>
              <w:left w:val="nil"/>
              <w:bottom w:val="single" w:sz="4" w:space="0" w:color="auto"/>
              <w:right w:val="single" w:sz="4" w:space="0" w:color="auto"/>
            </w:tcBorders>
            <w:shd w:val="clear" w:color="auto" w:fill="auto"/>
            <w:noWrap/>
            <w:vAlign w:val="bottom"/>
            <w:hideMark/>
          </w:tcPr>
          <w:p w:rsidR="003A497B" w:rsidRPr="00786CF1" w:rsidRDefault="003A497B" w:rsidP="003E1809">
            <w:pPr>
              <w:jc w:val="right"/>
              <w:rPr>
                <w:rFonts w:ascii="Times New Roman" w:hAnsi="Times New Roman" w:cs="Times New Roman"/>
                <w:sz w:val="14"/>
                <w:szCs w:val="14"/>
                <w:lang w:eastAsia="sk-SK"/>
              </w:rPr>
            </w:pPr>
            <w:r w:rsidRPr="00786CF1">
              <w:rPr>
                <w:rFonts w:ascii="Times New Roman" w:hAnsi="Times New Roman" w:cs="Times New Roman"/>
                <w:sz w:val="14"/>
                <w:szCs w:val="14"/>
                <w:lang w:eastAsia="sk-SK"/>
              </w:rPr>
              <w:t>839 453</w:t>
            </w:r>
          </w:p>
        </w:tc>
        <w:tc>
          <w:tcPr>
            <w:tcW w:w="496" w:type="pct"/>
            <w:tcBorders>
              <w:top w:val="nil"/>
              <w:left w:val="nil"/>
              <w:bottom w:val="single" w:sz="4" w:space="0" w:color="auto"/>
              <w:right w:val="single" w:sz="4" w:space="0" w:color="auto"/>
            </w:tcBorders>
            <w:shd w:val="clear" w:color="auto" w:fill="auto"/>
            <w:noWrap/>
            <w:vAlign w:val="bottom"/>
            <w:hideMark/>
          </w:tcPr>
          <w:p w:rsidR="003A497B" w:rsidRPr="00786CF1" w:rsidRDefault="003A497B" w:rsidP="003E1809">
            <w:pPr>
              <w:jc w:val="right"/>
              <w:rPr>
                <w:rFonts w:ascii="Times New Roman" w:hAnsi="Times New Roman" w:cs="Times New Roman"/>
                <w:sz w:val="14"/>
                <w:szCs w:val="14"/>
                <w:lang w:eastAsia="sk-SK"/>
              </w:rPr>
            </w:pPr>
            <w:r w:rsidRPr="00786CF1">
              <w:rPr>
                <w:rFonts w:ascii="Times New Roman" w:hAnsi="Times New Roman" w:cs="Times New Roman"/>
                <w:sz w:val="14"/>
                <w:szCs w:val="14"/>
                <w:lang w:eastAsia="sk-SK"/>
              </w:rPr>
              <w:t>699 213</w:t>
            </w:r>
          </w:p>
        </w:tc>
        <w:tc>
          <w:tcPr>
            <w:tcW w:w="496" w:type="pct"/>
            <w:tcBorders>
              <w:top w:val="nil"/>
              <w:left w:val="nil"/>
              <w:bottom w:val="single" w:sz="4" w:space="0" w:color="auto"/>
              <w:right w:val="single" w:sz="4" w:space="0" w:color="auto"/>
            </w:tcBorders>
            <w:shd w:val="clear" w:color="auto" w:fill="auto"/>
            <w:noWrap/>
            <w:vAlign w:val="bottom"/>
            <w:hideMark/>
          </w:tcPr>
          <w:p w:rsidR="003A497B" w:rsidRPr="00786CF1" w:rsidRDefault="003A497B" w:rsidP="003E1809">
            <w:pPr>
              <w:jc w:val="right"/>
              <w:rPr>
                <w:rFonts w:ascii="Times New Roman" w:hAnsi="Times New Roman" w:cs="Times New Roman"/>
                <w:sz w:val="14"/>
                <w:szCs w:val="14"/>
                <w:lang w:eastAsia="sk-SK"/>
              </w:rPr>
            </w:pPr>
            <w:r w:rsidRPr="00786CF1">
              <w:rPr>
                <w:rFonts w:ascii="Times New Roman" w:hAnsi="Times New Roman" w:cs="Times New Roman"/>
                <w:sz w:val="14"/>
                <w:szCs w:val="14"/>
                <w:lang w:eastAsia="sk-SK"/>
              </w:rPr>
              <w:t>821 433</w:t>
            </w:r>
          </w:p>
        </w:tc>
      </w:tr>
    </w:tbl>
    <w:p w:rsidR="003A497B" w:rsidRDefault="003A497B" w:rsidP="003A497B"/>
    <w:p w:rsidR="003A497B" w:rsidRDefault="003A497B" w:rsidP="003A497B">
      <w:pPr>
        <w:spacing w:after="200"/>
        <w:ind w:firstLine="709"/>
        <w:contextualSpacing/>
        <w:jc w:val="both"/>
        <w:rPr>
          <w:rFonts w:ascii="Times New Roman" w:hAnsi="Times New Roman" w:cs="Times New Roman"/>
        </w:rPr>
      </w:pPr>
      <w:r>
        <w:rPr>
          <w:rFonts w:ascii="Times New Roman" w:hAnsi="Times New Roman" w:cs="Times New Roman"/>
        </w:rPr>
        <w:t xml:space="preserve">SAV ako účastník medzirezortného podprogramu vykonala presuny výdavkov rozpočtovaných na programe Výskum a vývoj v prírodných, technických, lekárskych a spoločenských vedách a ich zabezpečenie do medzirezortného podprogramu. </w:t>
      </w:r>
    </w:p>
    <w:p w:rsidR="003A497B" w:rsidRDefault="003A497B" w:rsidP="003A497B">
      <w:pPr>
        <w:spacing w:after="200"/>
        <w:ind w:firstLine="709"/>
        <w:contextualSpacing/>
        <w:jc w:val="both"/>
        <w:rPr>
          <w:rFonts w:ascii="Times New Roman" w:hAnsi="Times New Roman" w:cs="Times New Roman"/>
        </w:rPr>
      </w:pPr>
    </w:p>
    <w:p w:rsidR="001A34BE" w:rsidRPr="00AF27A9" w:rsidRDefault="001A34BE" w:rsidP="001A34BE">
      <w:pPr>
        <w:pStyle w:val="Nadpis5"/>
        <w:pBdr>
          <w:bottom w:val="single" w:sz="4" w:space="1" w:color="auto"/>
        </w:pBdr>
        <w:ind w:left="0"/>
        <w:rPr>
          <w:i w:val="0"/>
          <w:sz w:val="24"/>
          <w:lang w:eastAsia="sk-SK"/>
        </w:rPr>
      </w:pPr>
      <w:bookmarkStart w:id="304" w:name="_Toc526267725"/>
      <w:r w:rsidRPr="00AF27A9">
        <w:rPr>
          <w:i w:val="0"/>
          <w:sz w:val="24"/>
          <w:lang w:eastAsia="sk-SK"/>
        </w:rPr>
        <w:t>Všeobecná pokladničná správa</w:t>
      </w:r>
      <w:bookmarkEnd w:id="304"/>
    </w:p>
    <w:p w:rsidR="005C5842" w:rsidRDefault="005C5842" w:rsidP="005C5842">
      <w:pPr>
        <w:ind w:firstLine="709"/>
        <w:jc w:val="both"/>
      </w:pPr>
    </w:p>
    <w:p w:rsidR="005C5842" w:rsidRDefault="005C5842" w:rsidP="005C5842">
      <w:pPr>
        <w:ind w:firstLine="709"/>
        <w:jc w:val="both"/>
        <w:rPr>
          <w:rFonts w:ascii="Times New Roman" w:hAnsi="Times New Roman"/>
        </w:rPr>
      </w:pPr>
      <w:r w:rsidRPr="0006072B">
        <w:rPr>
          <w:rFonts w:ascii="Times New Roman" w:hAnsi="Times New Roman"/>
        </w:rPr>
        <w:t xml:space="preserve">V kapitole Všeobecná pokladničná správa (ďalej len „VPS“) sú obsiahnuté výdavky štátneho rozpočtu, ktoré nesúvisia s výdavkami ostatných kapitol, vrátane výdavkov spojených so správou </w:t>
      </w:r>
      <w:r>
        <w:rPr>
          <w:rFonts w:ascii="Times New Roman" w:hAnsi="Times New Roman"/>
        </w:rPr>
        <w:t>š</w:t>
      </w:r>
      <w:r w:rsidRPr="0006072B">
        <w:rPr>
          <w:rFonts w:ascii="Times New Roman" w:hAnsi="Times New Roman"/>
        </w:rPr>
        <w:t>tátneho dlhu. V rámci kapitoly sú rozpočtované aj prostriedky súvisiace s činnosťou Kancelárie verejného ochrancu práv, Rady pre vysielanie a retransmisiu a Úradu na ochranu osobných údajov</w:t>
      </w:r>
      <w:r>
        <w:rPr>
          <w:rFonts w:ascii="Times New Roman" w:hAnsi="Times New Roman"/>
        </w:rPr>
        <w:t xml:space="preserve"> SR</w:t>
      </w:r>
      <w:r w:rsidRPr="0006072B">
        <w:rPr>
          <w:rFonts w:ascii="Times New Roman" w:hAnsi="Times New Roman"/>
        </w:rPr>
        <w:t>. Zároveň sa rozpočtujú aj transfery na činnosť Ústavu pamäti národa, Slovenského národného strediska pre ľudské práva, Úradu komisára pre deti a Úradu komisára pre osoby so zdravotným postihnutím.</w:t>
      </w:r>
    </w:p>
    <w:p w:rsidR="005C5842" w:rsidRDefault="005C5842" w:rsidP="005C5842">
      <w:pPr>
        <w:ind w:firstLine="709"/>
        <w:jc w:val="both"/>
        <w:rPr>
          <w:rFonts w:ascii="Times New Roman" w:hAnsi="Times New Roman"/>
        </w:rPr>
      </w:pPr>
    </w:p>
    <w:p w:rsidR="005C5842" w:rsidRDefault="005C5842" w:rsidP="005C5842">
      <w:pPr>
        <w:ind w:firstLine="709"/>
        <w:jc w:val="both"/>
        <w:rPr>
          <w:rFonts w:ascii="Times New Roman" w:hAnsi="Times New Roman"/>
        </w:rPr>
      </w:pPr>
      <w:r>
        <w:rPr>
          <w:rFonts w:ascii="Times New Roman" w:hAnsi="Times New Roman"/>
        </w:rPr>
        <w:t>Medzi programovo alokované výdavky patria výdavky spojené</w:t>
      </w:r>
      <w:r w:rsidRPr="00D217CE">
        <w:rPr>
          <w:rFonts w:ascii="Times New Roman" w:hAnsi="Times New Roman"/>
        </w:rPr>
        <w:t xml:space="preserve"> so správou </w:t>
      </w:r>
      <w:r>
        <w:rPr>
          <w:rFonts w:ascii="Times New Roman" w:hAnsi="Times New Roman"/>
        </w:rPr>
        <w:t>š</w:t>
      </w:r>
      <w:r w:rsidRPr="00D217CE">
        <w:rPr>
          <w:rFonts w:ascii="Times New Roman" w:hAnsi="Times New Roman"/>
        </w:rPr>
        <w:t>tátneho dlhu</w:t>
      </w:r>
      <w:r>
        <w:rPr>
          <w:rFonts w:ascii="Times New Roman" w:hAnsi="Times New Roman"/>
        </w:rPr>
        <w:t xml:space="preserve">, </w:t>
      </w:r>
      <w:r w:rsidRPr="00D217CE">
        <w:rPr>
          <w:rFonts w:ascii="Times New Roman" w:hAnsi="Times New Roman"/>
        </w:rPr>
        <w:t>Kanc</w:t>
      </w:r>
      <w:r>
        <w:rPr>
          <w:rFonts w:ascii="Times New Roman" w:hAnsi="Times New Roman"/>
        </w:rPr>
        <w:t xml:space="preserve">elárie verejného ochrancu práv </w:t>
      </w:r>
      <w:r w:rsidRPr="00D217CE">
        <w:rPr>
          <w:rFonts w:ascii="Times New Roman" w:hAnsi="Times New Roman"/>
        </w:rPr>
        <w:t>a Úradu na ochranu osobných údajov</w:t>
      </w:r>
      <w:r>
        <w:rPr>
          <w:rFonts w:ascii="Times New Roman" w:hAnsi="Times New Roman"/>
        </w:rPr>
        <w:t xml:space="preserve"> SR. Aj keď nie sú ostatné výdavky kapitoly programovo alokované, sú rozpočtované na konkrétne účely.</w:t>
      </w:r>
    </w:p>
    <w:p w:rsidR="005C5842" w:rsidRDefault="005C5842" w:rsidP="005C5842">
      <w:pPr>
        <w:ind w:firstLine="709"/>
        <w:jc w:val="both"/>
        <w:rPr>
          <w:rFonts w:ascii="Times New Roman" w:hAnsi="Times New Roman"/>
        </w:rPr>
      </w:pPr>
    </w:p>
    <w:p w:rsidR="005C5842" w:rsidRPr="0006072B" w:rsidRDefault="005C5842" w:rsidP="005C5842">
      <w:pPr>
        <w:ind w:firstLine="709"/>
        <w:jc w:val="both"/>
        <w:rPr>
          <w:rFonts w:ascii="Times New Roman" w:hAnsi="Times New Roman"/>
        </w:rPr>
      </w:pPr>
      <w:r w:rsidRPr="009B3992">
        <w:rPr>
          <w:rFonts w:ascii="Times New Roman" w:hAnsi="Times New Roman"/>
        </w:rPr>
        <w:t>V zmysle pripravovaného zákona na ochranu oznamovateľov sa v priebehu roka 2019 predpokladá zaradenie novej štátnej rozpočtovej organizácie Úrad na ochranu oznamovateľov do kapitoly VPS.</w:t>
      </w:r>
    </w:p>
    <w:p w:rsidR="005C5842" w:rsidRPr="0006072B" w:rsidRDefault="005C5842" w:rsidP="005C5842">
      <w:pPr>
        <w:ind w:firstLine="709"/>
        <w:jc w:val="both"/>
        <w:rPr>
          <w:rFonts w:ascii="Times New Roman" w:hAnsi="Times New Roman"/>
        </w:rPr>
      </w:pPr>
    </w:p>
    <w:p w:rsidR="005C5842" w:rsidRPr="0006072B" w:rsidRDefault="005C5842" w:rsidP="005C5842">
      <w:pPr>
        <w:ind w:firstLine="709"/>
        <w:jc w:val="both"/>
        <w:rPr>
          <w:rFonts w:ascii="Times New Roman" w:hAnsi="Times New Roman"/>
        </w:rPr>
      </w:pPr>
      <w:r w:rsidRPr="0006072B">
        <w:rPr>
          <w:rFonts w:ascii="Times New Roman" w:hAnsi="Times New Roman"/>
        </w:rPr>
        <w:t>Výdavky kapito</w:t>
      </w:r>
      <w:r>
        <w:rPr>
          <w:rFonts w:ascii="Times New Roman" w:hAnsi="Times New Roman"/>
        </w:rPr>
        <w:t xml:space="preserve">ly na rok 2019 predstavujú </w:t>
      </w:r>
      <w:r w:rsidRPr="00BD615E">
        <w:rPr>
          <w:rFonts w:ascii="Times New Roman" w:hAnsi="Times New Roman"/>
        </w:rPr>
        <w:t>3</w:t>
      </w:r>
      <w:r>
        <w:rPr>
          <w:rFonts w:ascii="Times New Roman" w:hAnsi="Times New Roman"/>
        </w:rPr>
        <w:t xml:space="preserve">,62 mld. eur, čo je v porovnaní </w:t>
      </w:r>
      <w:r>
        <w:rPr>
          <w:rFonts w:ascii="Times New Roman" w:hAnsi="Times New Roman"/>
        </w:rPr>
        <w:br/>
        <w:t xml:space="preserve">so schváleným </w:t>
      </w:r>
      <w:r w:rsidRPr="009672FB">
        <w:rPr>
          <w:rFonts w:ascii="Times New Roman" w:hAnsi="Times New Roman"/>
        </w:rPr>
        <w:t>rozpočtom na rok 201</w:t>
      </w:r>
      <w:r>
        <w:rPr>
          <w:rFonts w:ascii="Times New Roman" w:hAnsi="Times New Roman"/>
        </w:rPr>
        <w:t>8</w:t>
      </w:r>
      <w:r w:rsidRPr="009672FB">
        <w:rPr>
          <w:rFonts w:ascii="Times New Roman" w:hAnsi="Times New Roman"/>
        </w:rPr>
        <w:t xml:space="preserve"> </w:t>
      </w:r>
      <w:r>
        <w:rPr>
          <w:rFonts w:ascii="Times New Roman" w:hAnsi="Times New Roman"/>
        </w:rPr>
        <w:t xml:space="preserve">viac </w:t>
      </w:r>
      <w:r w:rsidRPr="0001605F">
        <w:rPr>
          <w:rFonts w:ascii="Times New Roman" w:hAnsi="Times New Roman"/>
        </w:rPr>
        <w:t>o </w:t>
      </w:r>
      <w:r>
        <w:rPr>
          <w:rFonts w:ascii="Times New Roman" w:hAnsi="Times New Roman"/>
        </w:rPr>
        <w:t>18</w:t>
      </w:r>
      <w:r w:rsidRPr="002941E1">
        <w:rPr>
          <w:rFonts w:ascii="Times New Roman" w:hAnsi="Times New Roman"/>
        </w:rPr>
        <w:t>,</w:t>
      </w:r>
      <w:r>
        <w:rPr>
          <w:rFonts w:ascii="Times New Roman" w:hAnsi="Times New Roman"/>
        </w:rPr>
        <w:t>6</w:t>
      </w:r>
      <w:r w:rsidRPr="00BD615E">
        <w:rPr>
          <w:rFonts w:ascii="Times New Roman" w:hAnsi="Times New Roman"/>
        </w:rPr>
        <w:t xml:space="preserve"> %, t. j. o</w:t>
      </w:r>
      <w:r>
        <w:rPr>
          <w:rFonts w:ascii="Times New Roman" w:hAnsi="Times New Roman"/>
        </w:rPr>
        <w:t> 0,57</w:t>
      </w:r>
      <w:r w:rsidRPr="00BD615E">
        <w:rPr>
          <w:rFonts w:ascii="Times New Roman" w:hAnsi="Times New Roman"/>
        </w:rPr>
        <w:t xml:space="preserve"> </w:t>
      </w:r>
      <w:r>
        <w:rPr>
          <w:rFonts w:ascii="Times New Roman" w:hAnsi="Times New Roman"/>
        </w:rPr>
        <w:t xml:space="preserve">mld. </w:t>
      </w:r>
      <w:r w:rsidRPr="0001605F">
        <w:rPr>
          <w:rFonts w:ascii="Times New Roman" w:hAnsi="Times New Roman"/>
        </w:rPr>
        <w:t>eur.</w:t>
      </w:r>
    </w:p>
    <w:p w:rsidR="005C5842" w:rsidRPr="0006072B" w:rsidRDefault="005C5842" w:rsidP="005C5842">
      <w:pPr>
        <w:ind w:firstLine="709"/>
        <w:jc w:val="both"/>
        <w:rPr>
          <w:rFonts w:ascii="Times New Roman" w:hAnsi="Times New Roman"/>
        </w:rPr>
      </w:pPr>
    </w:p>
    <w:p w:rsidR="005C5842" w:rsidRPr="0006072B" w:rsidRDefault="005C5842" w:rsidP="005C5842">
      <w:pPr>
        <w:ind w:firstLine="709"/>
        <w:jc w:val="both"/>
        <w:rPr>
          <w:rFonts w:ascii="Times New Roman" w:hAnsi="Times New Roman"/>
        </w:rPr>
      </w:pPr>
      <w:r w:rsidRPr="0006072B">
        <w:rPr>
          <w:rFonts w:ascii="Times New Roman" w:hAnsi="Times New Roman"/>
        </w:rPr>
        <w:t xml:space="preserve">Výdavky kapitoly možno rozčleniť do piatich základných skupín. </w:t>
      </w:r>
    </w:p>
    <w:p w:rsidR="005C5842" w:rsidRPr="0006072B" w:rsidRDefault="005C5842" w:rsidP="005C5842">
      <w:pPr>
        <w:ind w:firstLine="709"/>
        <w:jc w:val="both"/>
        <w:rPr>
          <w:rFonts w:ascii="Times New Roman" w:hAnsi="Times New Roman"/>
        </w:rPr>
      </w:pP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32"/>
        <w:gridCol w:w="992"/>
        <w:gridCol w:w="992"/>
        <w:gridCol w:w="992"/>
        <w:gridCol w:w="992"/>
        <w:gridCol w:w="992"/>
        <w:gridCol w:w="992"/>
        <w:gridCol w:w="992"/>
      </w:tblGrid>
      <w:tr w:rsidR="005C5842" w:rsidRPr="00F534F3" w:rsidTr="009A178E">
        <w:trPr>
          <w:trHeight w:val="283"/>
        </w:trPr>
        <w:tc>
          <w:tcPr>
            <w:tcW w:w="2132" w:type="dxa"/>
            <w:tcBorders>
              <w:bottom w:val="single" w:sz="4" w:space="0" w:color="auto"/>
            </w:tcBorders>
            <w:shd w:val="clear" w:color="auto" w:fill="A6A6A6"/>
            <w:noWrap/>
            <w:vAlign w:val="center"/>
          </w:tcPr>
          <w:p w:rsidR="005C5842" w:rsidRPr="00F534F3" w:rsidRDefault="005C5842" w:rsidP="009A178E">
            <w:pPr>
              <w:rPr>
                <w:rFonts w:ascii="Times New Roman" w:hAnsi="Times New Roman"/>
                <w:b/>
                <w:bCs/>
                <w:sz w:val="14"/>
                <w:szCs w:val="14"/>
                <w:lang w:eastAsia="sk-SK"/>
              </w:rPr>
            </w:pPr>
            <w:bookmarkStart w:id="305" w:name="OLE_LINK1"/>
            <w:r w:rsidRPr="00F534F3">
              <w:rPr>
                <w:rFonts w:ascii="Times New Roman" w:hAnsi="Times New Roman"/>
                <w:b/>
                <w:bCs/>
                <w:sz w:val="14"/>
                <w:szCs w:val="14"/>
                <w:lang w:eastAsia="sk-SK"/>
              </w:rPr>
              <w:t>v eurách</w:t>
            </w:r>
          </w:p>
        </w:tc>
        <w:tc>
          <w:tcPr>
            <w:tcW w:w="992" w:type="dxa"/>
            <w:tcBorders>
              <w:top w:val="single" w:sz="4" w:space="0" w:color="auto"/>
              <w:left w:val="nil"/>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sidRPr="00F534F3">
              <w:rPr>
                <w:rFonts w:ascii="Times New Roman" w:hAnsi="Times New Roman"/>
                <w:b/>
                <w:sz w:val="14"/>
                <w:szCs w:val="14"/>
                <w:lang w:eastAsia="sk-SK"/>
              </w:rPr>
              <w:t>2016 S</w:t>
            </w: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sidRPr="00F534F3">
              <w:rPr>
                <w:rFonts w:ascii="Times New Roman" w:hAnsi="Times New Roman"/>
                <w:b/>
                <w:sz w:val="14"/>
                <w:szCs w:val="14"/>
                <w:lang w:eastAsia="sk-SK"/>
              </w:rPr>
              <w:t xml:space="preserve">2017 </w:t>
            </w:r>
            <w:r>
              <w:rPr>
                <w:rFonts w:ascii="Times New Roman" w:hAnsi="Times New Roman"/>
                <w:b/>
                <w:sz w:val="14"/>
                <w:szCs w:val="14"/>
                <w:lang w:eastAsia="sk-SK"/>
              </w:rPr>
              <w:t>S</w:t>
            </w: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Pr>
                <w:rFonts w:ascii="Times New Roman" w:hAnsi="Times New Roman"/>
                <w:b/>
                <w:sz w:val="14"/>
                <w:szCs w:val="14"/>
                <w:lang w:eastAsia="sk-SK"/>
              </w:rPr>
              <w:t>2018 R</w:t>
            </w: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Pr>
                <w:rFonts w:ascii="Times New Roman" w:hAnsi="Times New Roman"/>
                <w:b/>
                <w:sz w:val="14"/>
                <w:szCs w:val="14"/>
                <w:lang w:eastAsia="sk-SK"/>
              </w:rPr>
              <w:t>2018 OS</w:t>
            </w:r>
          </w:p>
        </w:tc>
        <w:tc>
          <w:tcPr>
            <w:tcW w:w="992" w:type="dxa"/>
            <w:tcBorders>
              <w:top w:val="single" w:sz="4" w:space="0" w:color="auto"/>
              <w:left w:val="nil"/>
              <w:bottom w:val="single" w:sz="4" w:space="0" w:color="auto"/>
              <w:right w:val="single" w:sz="4" w:space="0" w:color="auto"/>
            </w:tcBorders>
            <w:shd w:val="clear" w:color="auto" w:fill="A6A6A6"/>
            <w:noWrap/>
            <w:vAlign w:val="bottom"/>
          </w:tcPr>
          <w:p w:rsidR="005C5842" w:rsidRPr="00F534F3" w:rsidRDefault="005C5842" w:rsidP="009A178E">
            <w:pPr>
              <w:jc w:val="center"/>
              <w:rPr>
                <w:rFonts w:ascii="Times New Roman" w:hAnsi="Times New Roman"/>
                <w:b/>
                <w:sz w:val="14"/>
                <w:szCs w:val="14"/>
                <w:lang w:eastAsia="sk-SK"/>
              </w:rPr>
            </w:pPr>
            <w:r w:rsidRPr="00F534F3">
              <w:rPr>
                <w:rFonts w:ascii="Times New Roman" w:hAnsi="Times New Roman"/>
                <w:b/>
                <w:sz w:val="14"/>
                <w:szCs w:val="14"/>
                <w:lang w:eastAsia="sk-SK"/>
              </w:rPr>
              <w:t>2019 N</w:t>
            </w:r>
          </w:p>
        </w:tc>
        <w:tc>
          <w:tcPr>
            <w:tcW w:w="992" w:type="dxa"/>
            <w:tcBorders>
              <w:top w:val="single" w:sz="4" w:space="0" w:color="auto"/>
              <w:left w:val="nil"/>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sidRPr="00F534F3">
              <w:rPr>
                <w:rFonts w:ascii="Times New Roman" w:hAnsi="Times New Roman"/>
                <w:b/>
                <w:sz w:val="14"/>
                <w:szCs w:val="14"/>
                <w:lang w:eastAsia="sk-SK"/>
              </w:rPr>
              <w:t>2020 N</w:t>
            </w:r>
          </w:p>
        </w:tc>
        <w:tc>
          <w:tcPr>
            <w:tcW w:w="992" w:type="dxa"/>
            <w:tcBorders>
              <w:top w:val="single" w:sz="4" w:space="0" w:color="auto"/>
              <w:left w:val="nil"/>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Pr>
                <w:rFonts w:ascii="Times New Roman" w:hAnsi="Times New Roman"/>
                <w:b/>
                <w:sz w:val="14"/>
                <w:szCs w:val="14"/>
                <w:lang w:eastAsia="sk-SK"/>
              </w:rPr>
              <w:t>2021 N</w:t>
            </w:r>
          </w:p>
        </w:tc>
      </w:tr>
      <w:tr w:rsidR="005C5842" w:rsidRPr="0026326A" w:rsidTr="009A178E">
        <w:trPr>
          <w:trHeight w:val="283"/>
        </w:trPr>
        <w:tc>
          <w:tcPr>
            <w:tcW w:w="2132" w:type="dxa"/>
            <w:shd w:val="clear" w:color="auto" w:fill="BFBFBF"/>
            <w:noWrap/>
            <w:vAlign w:val="bottom"/>
          </w:tcPr>
          <w:p w:rsidR="005C5842" w:rsidRPr="0026326A" w:rsidRDefault="005C5842" w:rsidP="009A178E">
            <w:pPr>
              <w:rPr>
                <w:rFonts w:ascii="Times New Roman" w:hAnsi="Times New Roman"/>
                <w:b/>
                <w:bCs/>
                <w:sz w:val="14"/>
                <w:szCs w:val="14"/>
                <w:lang w:eastAsia="sk-SK"/>
              </w:rPr>
            </w:pPr>
            <w:r w:rsidRPr="0026326A">
              <w:rPr>
                <w:rFonts w:ascii="Times New Roman" w:hAnsi="Times New Roman"/>
                <w:b/>
                <w:bCs/>
                <w:sz w:val="14"/>
                <w:szCs w:val="14"/>
                <w:lang w:eastAsia="sk-SK"/>
              </w:rPr>
              <w:t>Výdavky spolu</w:t>
            </w:r>
          </w:p>
        </w:tc>
        <w:tc>
          <w:tcPr>
            <w:tcW w:w="992" w:type="dxa"/>
            <w:shd w:val="clear" w:color="auto" w:fill="BFBFBF"/>
            <w:vAlign w:val="bottom"/>
          </w:tcPr>
          <w:p w:rsidR="005C5842" w:rsidRPr="0026326A" w:rsidRDefault="005C5842" w:rsidP="009A178E">
            <w:pPr>
              <w:jc w:val="right"/>
              <w:rPr>
                <w:rFonts w:ascii="Times New Roman" w:hAnsi="Times New Roman"/>
                <w:b/>
                <w:sz w:val="14"/>
                <w:szCs w:val="14"/>
                <w:lang w:eastAsia="sk-SK"/>
              </w:rPr>
            </w:pPr>
            <w:r w:rsidRPr="0026326A">
              <w:rPr>
                <w:rFonts w:ascii="Times New Roman" w:hAnsi="Times New Roman"/>
                <w:b/>
                <w:sz w:val="14"/>
                <w:szCs w:val="14"/>
                <w:lang w:eastAsia="sk-SK"/>
              </w:rPr>
              <w:t xml:space="preserve">2 252 154 467 </w:t>
            </w:r>
          </w:p>
        </w:tc>
        <w:tc>
          <w:tcPr>
            <w:tcW w:w="992" w:type="dxa"/>
            <w:shd w:val="clear" w:color="auto" w:fill="BFBFBF"/>
            <w:vAlign w:val="bottom"/>
          </w:tcPr>
          <w:p w:rsidR="005C5842" w:rsidRPr="0026326A" w:rsidRDefault="005C5842" w:rsidP="009A178E">
            <w:pPr>
              <w:jc w:val="right"/>
              <w:rPr>
                <w:rFonts w:ascii="Times New Roman" w:hAnsi="Times New Roman"/>
                <w:b/>
                <w:sz w:val="14"/>
                <w:szCs w:val="14"/>
                <w:lang w:eastAsia="sk-SK"/>
              </w:rPr>
            </w:pPr>
            <w:r w:rsidRPr="0026326A">
              <w:rPr>
                <w:rFonts w:ascii="Times New Roman" w:hAnsi="Times New Roman"/>
                <w:b/>
                <w:bCs/>
                <w:sz w:val="14"/>
                <w:szCs w:val="14"/>
                <w:lang w:eastAsia="sk-SK"/>
              </w:rPr>
              <w:t>2 274 479 265</w:t>
            </w:r>
          </w:p>
        </w:tc>
        <w:tc>
          <w:tcPr>
            <w:tcW w:w="992" w:type="dxa"/>
            <w:shd w:val="clear" w:color="auto" w:fill="BFBFBF"/>
            <w:vAlign w:val="bottom"/>
          </w:tcPr>
          <w:p w:rsidR="005C5842" w:rsidRPr="0026326A" w:rsidRDefault="005C5842" w:rsidP="009A178E">
            <w:pPr>
              <w:jc w:val="right"/>
              <w:rPr>
                <w:rFonts w:ascii="Times New Roman" w:hAnsi="Times New Roman"/>
                <w:b/>
                <w:sz w:val="14"/>
                <w:szCs w:val="14"/>
                <w:lang w:eastAsia="sk-SK"/>
              </w:rPr>
            </w:pPr>
            <w:r w:rsidRPr="0026326A">
              <w:rPr>
                <w:rFonts w:ascii="Times New Roman" w:hAnsi="Times New Roman"/>
                <w:b/>
                <w:bCs/>
                <w:sz w:val="14"/>
                <w:szCs w:val="14"/>
                <w:lang w:eastAsia="sk-SK"/>
              </w:rPr>
              <w:t>3 056 033 817</w:t>
            </w:r>
          </w:p>
        </w:tc>
        <w:tc>
          <w:tcPr>
            <w:tcW w:w="992" w:type="dxa"/>
            <w:shd w:val="clear" w:color="auto" w:fill="BFBFBF"/>
            <w:vAlign w:val="bottom"/>
          </w:tcPr>
          <w:p w:rsidR="005C5842" w:rsidRPr="0026326A" w:rsidRDefault="005C5842" w:rsidP="009A178E">
            <w:pPr>
              <w:jc w:val="right"/>
              <w:rPr>
                <w:rFonts w:ascii="Times New Roman" w:hAnsi="Times New Roman"/>
                <w:b/>
                <w:sz w:val="14"/>
                <w:szCs w:val="14"/>
                <w:lang w:eastAsia="sk-SK"/>
              </w:rPr>
            </w:pPr>
            <w:r>
              <w:rPr>
                <w:rFonts w:ascii="Times New Roman" w:hAnsi="Times New Roman"/>
                <w:b/>
                <w:sz w:val="14"/>
                <w:szCs w:val="14"/>
                <w:lang w:eastAsia="sk-SK"/>
              </w:rPr>
              <w:t>2 323 901 577</w:t>
            </w:r>
          </w:p>
        </w:tc>
        <w:tc>
          <w:tcPr>
            <w:tcW w:w="992" w:type="dxa"/>
            <w:shd w:val="clear" w:color="auto" w:fill="BFBFBF"/>
            <w:noWrap/>
            <w:vAlign w:val="bottom"/>
          </w:tcPr>
          <w:p w:rsidR="005C5842" w:rsidRPr="0026326A" w:rsidRDefault="005C5842" w:rsidP="009A178E">
            <w:pPr>
              <w:jc w:val="right"/>
              <w:rPr>
                <w:rFonts w:ascii="Times New Roman" w:hAnsi="Times New Roman"/>
                <w:b/>
                <w:sz w:val="14"/>
                <w:szCs w:val="14"/>
                <w:lang w:eastAsia="sk-SK"/>
              </w:rPr>
            </w:pPr>
            <w:r>
              <w:rPr>
                <w:rFonts w:ascii="Times New Roman" w:hAnsi="Times New Roman"/>
                <w:b/>
                <w:sz w:val="14"/>
                <w:szCs w:val="14"/>
                <w:lang w:eastAsia="sk-SK"/>
              </w:rPr>
              <w:t>3 623 189 658</w:t>
            </w:r>
          </w:p>
        </w:tc>
        <w:tc>
          <w:tcPr>
            <w:tcW w:w="992" w:type="dxa"/>
            <w:shd w:val="clear" w:color="auto" w:fill="BFBFBF"/>
            <w:vAlign w:val="bottom"/>
          </w:tcPr>
          <w:p w:rsidR="005C5842" w:rsidRPr="0026326A" w:rsidRDefault="005C5842" w:rsidP="009A178E">
            <w:pPr>
              <w:jc w:val="center"/>
              <w:rPr>
                <w:rFonts w:ascii="Times New Roman" w:hAnsi="Times New Roman"/>
                <w:b/>
                <w:sz w:val="14"/>
                <w:szCs w:val="14"/>
                <w:lang w:eastAsia="sk-SK"/>
              </w:rPr>
            </w:pPr>
            <w:r>
              <w:rPr>
                <w:rFonts w:ascii="Times New Roman" w:hAnsi="Times New Roman"/>
                <w:b/>
                <w:sz w:val="14"/>
                <w:szCs w:val="14"/>
                <w:lang w:eastAsia="sk-SK"/>
              </w:rPr>
              <w:t>4 296 895 605</w:t>
            </w:r>
          </w:p>
        </w:tc>
        <w:tc>
          <w:tcPr>
            <w:tcW w:w="992" w:type="dxa"/>
            <w:shd w:val="clear" w:color="auto" w:fill="BFBFBF"/>
            <w:vAlign w:val="bottom"/>
          </w:tcPr>
          <w:p w:rsidR="005C5842" w:rsidRPr="0026326A" w:rsidRDefault="005C5842" w:rsidP="009A178E">
            <w:pPr>
              <w:jc w:val="center"/>
              <w:rPr>
                <w:rFonts w:ascii="Times New Roman" w:hAnsi="Times New Roman"/>
                <w:b/>
                <w:sz w:val="14"/>
                <w:szCs w:val="14"/>
                <w:lang w:eastAsia="sk-SK"/>
              </w:rPr>
            </w:pPr>
            <w:r>
              <w:rPr>
                <w:rFonts w:ascii="Times New Roman" w:hAnsi="Times New Roman"/>
                <w:b/>
                <w:sz w:val="14"/>
                <w:szCs w:val="14"/>
                <w:lang w:eastAsia="sk-SK"/>
              </w:rPr>
              <w:t>4 558 426 271</w:t>
            </w:r>
          </w:p>
        </w:tc>
      </w:tr>
      <w:tr w:rsidR="005C5842" w:rsidRPr="0026326A" w:rsidTr="009A178E">
        <w:trPr>
          <w:trHeight w:val="283"/>
        </w:trPr>
        <w:tc>
          <w:tcPr>
            <w:tcW w:w="2132" w:type="dxa"/>
            <w:shd w:val="clear" w:color="000000" w:fill="FFFFFF"/>
            <w:noWrap/>
            <w:vAlign w:val="bottom"/>
          </w:tcPr>
          <w:p w:rsidR="005C5842" w:rsidRPr="0026326A" w:rsidRDefault="005C5842" w:rsidP="009A178E">
            <w:pPr>
              <w:rPr>
                <w:rFonts w:ascii="Times New Roman" w:hAnsi="Times New Roman"/>
                <w:bCs/>
                <w:sz w:val="14"/>
                <w:szCs w:val="14"/>
                <w:lang w:eastAsia="sk-SK"/>
              </w:rPr>
            </w:pPr>
            <w:r w:rsidRPr="0026326A">
              <w:rPr>
                <w:rFonts w:ascii="Times New Roman" w:hAnsi="Times New Roman"/>
                <w:bCs/>
                <w:sz w:val="14"/>
                <w:szCs w:val="14"/>
                <w:lang w:eastAsia="sk-SK"/>
              </w:rPr>
              <w:t>Rezervy</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sidRPr="0026326A">
              <w:rPr>
                <w:rFonts w:ascii="Times New Roman" w:hAnsi="Times New Roman"/>
                <w:bCs/>
                <w:sz w:val="14"/>
                <w:szCs w:val="14"/>
                <w:lang w:eastAsia="sk-SK"/>
              </w:rPr>
              <w:t>432 624</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sidRPr="0026326A">
              <w:rPr>
                <w:rFonts w:ascii="Times New Roman" w:hAnsi="Times New Roman"/>
                <w:bCs/>
                <w:sz w:val="14"/>
                <w:szCs w:val="14"/>
                <w:lang w:eastAsia="sk-SK"/>
              </w:rPr>
              <w:t>4 465 519</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sidRPr="0026326A">
              <w:rPr>
                <w:rFonts w:ascii="Times New Roman" w:hAnsi="Times New Roman"/>
                <w:bCs/>
                <w:sz w:val="14"/>
                <w:szCs w:val="14"/>
                <w:lang w:eastAsia="sk-SK"/>
              </w:rPr>
              <w:t>598 866 754</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Pr>
                <w:rFonts w:ascii="Times New Roman" w:hAnsi="Times New Roman"/>
                <w:bCs/>
                <w:sz w:val="14"/>
                <w:szCs w:val="14"/>
                <w:lang w:eastAsia="sk-SK"/>
              </w:rPr>
              <w:t>128 484 387</w:t>
            </w:r>
          </w:p>
        </w:tc>
        <w:tc>
          <w:tcPr>
            <w:tcW w:w="992" w:type="dxa"/>
            <w:shd w:val="clear" w:color="000000" w:fill="FFFFFF"/>
            <w:noWrap/>
            <w:vAlign w:val="bottom"/>
          </w:tcPr>
          <w:p w:rsidR="005C5842" w:rsidRPr="0026326A" w:rsidRDefault="005C5842" w:rsidP="009A178E">
            <w:pPr>
              <w:jc w:val="right"/>
              <w:rPr>
                <w:rFonts w:ascii="Times New Roman" w:hAnsi="Times New Roman"/>
                <w:bCs/>
                <w:sz w:val="14"/>
                <w:szCs w:val="14"/>
                <w:lang w:eastAsia="sk-SK"/>
              </w:rPr>
            </w:pPr>
            <w:r>
              <w:rPr>
                <w:rFonts w:ascii="Times New Roman" w:hAnsi="Times New Roman"/>
                <w:bCs/>
                <w:sz w:val="14"/>
                <w:szCs w:val="14"/>
                <w:lang w:eastAsia="sk-SK"/>
              </w:rPr>
              <w:t>1 168 228 348</w:t>
            </w:r>
          </w:p>
        </w:tc>
        <w:tc>
          <w:tcPr>
            <w:tcW w:w="992" w:type="dxa"/>
            <w:shd w:val="clear" w:color="000000" w:fill="FFFFFF"/>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1 743 657 914</w:t>
            </w:r>
          </w:p>
        </w:tc>
        <w:tc>
          <w:tcPr>
            <w:tcW w:w="992" w:type="dxa"/>
            <w:shd w:val="clear" w:color="000000" w:fill="FFFFFF"/>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2 191 486 519</w:t>
            </w:r>
          </w:p>
        </w:tc>
      </w:tr>
      <w:tr w:rsidR="005C5842" w:rsidRPr="0026326A" w:rsidTr="009A178E">
        <w:trPr>
          <w:trHeight w:val="283"/>
        </w:trPr>
        <w:tc>
          <w:tcPr>
            <w:tcW w:w="2132" w:type="dxa"/>
            <w:shd w:val="clear" w:color="000000" w:fill="FFFFFF"/>
            <w:noWrap/>
            <w:vAlign w:val="bottom"/>
          </w:tcPr>
          <w:p w:rsidR="005C5842" w:rsidRPr="0026326A" w:rsidRDefault="005C5842" w:rsidP="009A178E">
            <w:pPr>
              <w:rPr>
                <w:rFonts w:ascii="Times New Roman" w:hAnsi="Times New Roman"/>
                <w:bCs/>
                <w:sz w:val="14"/>
                <w:szCs w:val="14"/>
                <w:lang w:eastAsia="sk-SK"/>
              </w:rPr>
            </w:pPr>
            <w:r w:rsidRPr="0026326A">
              <w:rPr>
                <w:rFonts w:ascii="Times New Roman" w:hAnsi="Times New Roman"/>
                <w:bCs/>
                <w:sz w:val="14"/>
                <w:szCs w:val="14"/>
                <w:lang w:eastAsia="sk-SK"/>
              </w:rPr>
              <w:t>Finančné vzťahy súvisiace s rozpočtom EÚ</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sidRPr="0026326A">
              <w:rPr>
                <w:rFonts w:ascii="Times New Roman" w:hAnsi="Times New Roman"/>
                <w:bCs/>
                <w:sz w:val="14"/>
                <w:szCs w:val="14"/>
                <w:lang w:eastAsia="sk-SK"/>
              </w:rPr>
              <w:t>658 521 541</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sidRPr="0026326A">
              <w:rPr>
                <w:rFonts w:ascii="Times New Roman" w:hAnsi="Times New Roman"/>
                <w:bCs/>
                <w:sz w:val="14"/>
                <w:szCs w:val="14"/>
                <w:lang w:eastAsia="sk-SK"/>
              </w:rPr>
              <w:t>653 596 693</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sidRPr="0026326A">
              <w:rPr>
                <w:rFonts w:ascii="Times New Roman" w:hAnsi="Times New Roman"/>
                <w:bCs/>
                <w:sz w:val="14"/>
                <w:szCs w:val="14"/>
                <w:lang w:eastAsia="sk-SK"/>
              </w:rPr>
              <w:t>918 286 386</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Pr>
                <w:rFonts w:ascii="Times New Roman" w:hAnsi="Times New Roman"/>
                <w:bCs/>
                <w:sz w:val="14"/>
                <w:szCs w:val="14"/>
                <w:lang w:eastAsia="sk-SK"/>
              </w:rPr>
              <w:t>803 021 683</w:t>
            </w:r>
          </w:p>
        </w:tc>
        <w:tc>
          <w:tcPr>
            <w:tcW w:w="992" w:type="dxa"/>
            <w:shd w:val="clear" w:color="000000" w:fill="FFFFFF"/>
            <w:noWrap/>
            <w:vAlign w:val="bottom"/>
          </w:tcPr>
          <w:p w:rsidR="005C5842" w:rsidRPr="0026326A" w:rsidRDefault="005C5842" w:rsidP="009A178E">
            <w:pPr>
              <w:jc w:val="right"/>
              <w:rPr>
                <w:rFonts w:ascii="Times New Roman" w:hAnsi="Times New Roman"/>
                <w:bCs/>
                <w:sz w:val="14"/>
                <w:szCs w:val="14"/>
                <w:lang w:eastAsia="sk-SK"/>
              </w:rPr>
            </w:pPr>
            <w:r>
              <w:rPr>
                <w:rFonts w:ascii="Times New Roman" w:hAnsi="Times New Roman"/>
                <w:bCs/>
                <w:sz w:val="14"/>
                <w:szCs w:val="14"/>
                <w:lang w:eastAsia="sk-SK"/>
              </w:rPr>
              <w:t>1 083 617 720</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Pr>
                <w:rFonts w:ascii="Times New Roman" w:hAnsi="Times New Roman"/>
                <w:bCs/>
                <w:sz w:val="14"/>
                <w:szCs w:val="14"/>
                <w:lang w:eastAsia="sk-SK"/>
              </w:rPr>
              <w:t>1 157 948 728</w:t>
            </w:r>
          </w:p>
        </w:tc>
        <w:tc>
          <w:tcPr>
            <w:tcW w:w="992" w:type="dxa"/>
            <w:shd w:val="clear" w:color="000000" w:fill="FFFFFF"/>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 xml:space="preserve">1 083 018 971 </w:t>
            </w:r>
          </w:p>
        </w:tc>
      </w:tr>
      <w:tr w:rsidR="005C5842" w:rsidRPr="0026326A" w:rsidTr="009A178E">
        <w:trPr>
          <w:trHeight w:val="283"/>
        </w:trPr>
        <w:tc>
          <w:tcPr>
            <w:tcW w:w="2132" w:type="dxa"/>
            <w:shd w:val="clear" w:color="000000" w:fill="FFFFFF"/>
            <w:noWrap/>
            <w:vAlign w:val="bottom"/>
          </w:tcPr>
          <w:p w:rsidR="005C5842" w:rsidRPr="0026326A" w:rsidRDefault="005C5842" w:rsidP="009A178E">
            <w:pPr>
              <w:rPr>
                <w:rFonts w:ascii="Times New Roman" w:hAnsi="Times New Roman"/>
                <w:bCs/>
                <w:sz w:val="14"/>
                <w:szCs w:val="14"/>
                <w:lang w:eastAsia="sk-SK"/>
              </w:rPr>
            </w:pPr>
            <w:r w:rsidRPr="0026326A">
              <w:rPr>
                <w:rFonts w:ascii="Times New Roman" w:hAnsi="Times New Roman"/>
                <w:bCs/>
                <w:sz w:val="14"/>
                <w:szCs w:val="14"/>
                <w:lang w:eastAsia="sk-SK"/>
              </w:rPr>
              <w:t>Výdavky spojené so správou štátneho dlhu</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sidRPr="0026326A">
              <w:rPr>
                <w:rFonts w:ascii="Times New Roman" w:hAnsi="Times New Roman"/>
                <w:bCs/>
                <w:sz w:val="14"/>
                <w:szCs w:val="14"/>
                <w:lang w:eastAsia="sk-SK"/>
              </w:rPr>
              <w:t>1 174 997 075</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sidRPr="0026326A">
              <w:rPr>
                <w:rFonts w:ascii="Times New Roman" w:hAnsi="Times New Roman"/>
                <w:bCs/>
                <w:sz w:val="14"/>
                <w:szCs w:val="14"/>
                <w:lang w:eastAsia="sk-SK"/>
              </w:rPr>
              <w:t>1 166 569 326</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sidRPr="0026326A">
              <w:rPr>
                <w:rFonts w:ascii="Times New Roman" w:hAnsi="Times New Roman"/>
                <w:bCs/>
                <w:sz w:val="14"/>
                <w:szCs w:val="14"/>
                <w:lang w:eastAsia="sk-SK"/>
              </w:rPr>
              <w:t>1 151 189 376</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Pr>
                <w:rFonts w:ascii="Times New Roman" w:hAnsi="Times New Roman"/>
                <w:bCs/>
                <w:sz w:val="14"/>
                <w:szCs w:val="14"/>
                <w:lang w:eastAsia="sk-SK"/>
              </w:rPr>
              <w:t xml:space="preserve">1 140 622 322 </w:t>
            </w:r>
          </w:p>
        </w:tc>
        <w:tc>
          <w:tcPr>
            <w:tcW w:w="992" w:type="dxa"/>
            <w:shd w:val="clear" w:color="000000" w:fill="FFFFFF"/>
            <w:noWrap/>
            <w:vAlign w:val="bottom"/>
          </w:tcPr>
          <w:p w:rsidR="005C5842" w:rsidRPr="0026326A" w:rsidRDefault="005C5842" w:rsidP="009A178E">
            <w:pPr>
              <w:jc w:val="right"/>
              <w:rPr>
                <w:rFonts w:ascii="Times New Roman" w:hAnsi="Times New Roman"/>
                <w:bCs/>
                <w:sz w:val="14"/>
                <w:szCs w:val="14"/>
                <w:lang w:eastAsia="sk-SK"/>
              </w:rPr>
            </w:pPr>
            <w:r w:rsidRPr="0026326A">
              <w:rPr>
                <w:rFonts w:ascii="Times New Roman" w:hAnsi="Times New Roman"/>
                <w:bCs/>
                <w:sz w:val="14"/>
                <w:szCs w:val="14"/>
                <w:lang w:eastAsia="sk-SK"/>
              </w:rPr>
              <w:t>1</w:t>
            </w:r>
            <w:r>
              <w:rPr>
                <w:rFonts w:ascii="Times New Roman" w:hAnsi="Times New Roman"/>
                <w:bCs/>
                <w:sz w:val="14"/>
                <w:szCs w:val="14"/>
                <w:lang w:eastAsia="sk-SK"/>
              </w:rPr>
              <w:t> </w:t>
            </w:r>
            <w:r w:rsidRPr="0026326A">
              <w:rPr>
                <w:rFonts w:ascii="Times New Roman" w:hAnsi="Times New Roman"/>
                <w:bCs/>
                <w:sz w:val="14"/>
                <w:szCs w:val="14"/>
                <w:lang w:eastAsia="sk-SK"/>
              </w:rPr>
              <w:t>1</w:t>
            </w:r>
            <w:r>
              <w:rPr>
                <w:rFonts w:ascii="Times New Roman" w:hAnsi="Times New Roman"/>
                <w:bCs/>
                <w:sz w:val="14"/>
                <w:szCs w:val="14"/>
                <w:lang w:eastAsia="sk-SK"/>
              </w:rPr>
              <w:t>78 597 390</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sidRPr="0026326A">
              <w:rPr>
                <w:rFonts w:ascii="Times New Roman" w:hAnsi="Times New Roman"/>
                <w:bCs/>
                <w:sz w:val="14"/>
                <w:szCs w:val="14"/>
                <w:lang w:eastAsia="sk-SK"/>
              </w:rPr>
              <w:t>1</w:t>
            </w:r>
            <w:r>
              <w:rPr>
                <w:rFonts w:ascii="Times New Roman" w:hAnsi="Times New Roman"/>
                <w:bCs/>
                <w:sz w:val="14"/>
                <w:szCs w:val="14"/>
                <w:lang w:eastAsia="sk-SK"/>
              </w:rPr>
              <w:t> </w:t>
            </w:r>
            <w:r w:rsidRPr="0026326A">
              <w:rPr>
                <w:rFonts w:ascii="Times New Roman" w:hAnsi="Times New Roman"/>
                <w:bCs/>
                <w:sz w:val="14"/>
                <w:szCs w:val="14"/>
                <w:lang w:eastAsia="sk-SK"/>
              </w:rPr>
              <w:t>2</w:t>
            </w:r>
            <w:r>
              <w:rPr>
                <w:rFonts w:ascii="Times New Roman" w:hAnsi="Times New Roman"/>
                <w:bCs/>
                <w:sz w:val="14"/>
                <w:szCs w:val="14"/>
                <w:lang w:eastAsia="sk-SK"/>
              </w:rPr>
              <w:t>57 365 222</w:t>
            </w:r>
          </w:p>
        </w:tc>
        <w:tc>
          <w:tcPr>
            <w:tcW w:w="992" w:type="dxa"/>
            <w:shd w:val="clear" w:color="000000" w:fill="FFFFFF"/>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w:t>
            </w:r>
            <w:r>
              <w:rPr>
                <w:rFonts w:ascii="Times New Roman" w:hAnsi="Times New Roman"/>
                <w:sz w:val="14"/>
                <w:szCs w:val="14"/>
                <w:lang w:eastAsia="sk-SK"/>
              </w:rPr>
              <w:t> </w:t>
            </w:r>
            <w:r w:rsidRPr="0026326A">
              <w:rPr>
                <w:rFonts w:ascii="Times New Roman" w:hAnsi="Times New Roman"/>
                <w:sz w:val="14"/>
                <w:szCs w:val="14"/>
                <w:lang w:eastAsia="sk-SK"/>
              </w:rPr>
              <w:t>17</w:t>
            </w:r>
            <w:r>
              <w:rPr>
                <w:rFonts w:ascii="Times New Roman" w:hAnsi="Times New Roman"/>
                <w:sz w:val="14"/>
                <w:szCs w:val="14"/>
                <w:lang w:eastAsia="sk-SK"/>
              </w:rPr>
              <w:t>9 661 403</w:t>
            </w:r>
          </w:p>
        </w:tc>
      </w:tr>
      <w:tr w:rsidR="005C5842" w:rsidRPr="0026326A" w:rsidTr="009A178E">
        <w:trPr>
          <w:trHeight w:val="283"/>
        </w:trPr>
        <w:tc>
          <w:tcPr>
            <w:tcW w:w="2132" w:type="dxa"/>
            <w:shd w:val="clear" w:color="000000" w:fill="FFFFFF"/>
            <w:noWrap/>
            <w:vAlign w:val="bottom"/>
          </w:tcPr>
          <w:p w:rsidR="005C5842" w:rsidRPr="0026326A" w:rsidRDefault="005C5842" w:rsidP="009A178E">
            <w:pPr>
              <w:rPr>
                <w:rFonts w:ascii="Times New Roman" w:hAnsi="Times New Roman"/>
                <w:bCs/>
                <w:sz w:val="14"/>
                <w:szCs w:val="14"/>
                <w:lang w:eastAsia="sk-SK"/>
              </w:rPr>
            </w:pPr>
            <w:r w:rsidRPr="0026326A">
              <w:rPr>
                <w:rFonts w:ascii="Times New Roman" w:hAnsi="Times New Roman"/>
                <w:bCs/>
                <w:sz w:val="14"/>
                <w:szCs w:val="14"/>
                <w:lang w:eastAsia="sk-SK"/>
              </w:rPr>
              <w:t>Finančné vzťahy k Sociálnej poisťovni</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sidRPr="0026326A">
              <w:rPr>
                <w:rFonts w:ascii="Times New Roman" w:hAnsi="Times New Roman"/>
                <w:bCs/>
                <w:sz w:val="14"/>
                <w:szCs w:val="14"/>
                <w:lang w:eastAsia="sk-SK"/>
              </w:rPr>
              <w:t>365 323 874</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sidRPr="0026326A">
              <w:rPr>
                <w:rFonts w:ascii="Times New Roman" w:hAnsi="Times New Roman"/>
                <w:bCs/>
                <w:sz w:val="14"/>
                <w:szCs w:val="14"/>
                <w:lang w:eastAsia="sk-SK"/>
              </w:rPr>
              <w:t>415 325 000</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sidRPr="0026326A">
              <w:rPr>
                <w:rFonts w:ascii="Times New Roman" w:hAnsi="Times New Roman"/>
                <w:bCs/>
                <w:sz w:val="14"/>
                <w:szCs w:val="14"/>
                <w:lang w:eastAsia="sk-SK"/>
              </w:rPr>
              <w:t>255 391 612</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Pr>
                <w:rFonts w:ascii="Times New Roman" w:hAnsi="Times New Roman"/>
                <w:bCs/>
                <w:sz w:val="14"/>
                <w:szCs w:val="14"/>
                <w:lang w:eastAsia="sk-SK"/>
              </w:rPr>
              <w:t>106 413 175</w:t>
            </w:r>
          </w:p>
        </w:tc>
        <w:tc>
          <w:tcPr>
            <w:tcW w:w="992" w:type="dxa"/>
            <w:shd w:val="clear" w:color="000000" w:fill="FFFFFF"/>
            <w:noWrap/>
            <w:vAlign w:val="bottom"/>
          </w:tcPr>
          <w:p w:rsidR="005C5842" w:rsidRPr="0026326A" w:rsidRDefault="005C5842" w:rsidP="009A178E">
            <w:pPr>
              <w:jc w:val="right"/>
              <w:rPr>
                <w:rFonts w:ascii="Times New Roman" w:hAnsi="Times New Roman"/>
                <w:bCs/>
                <w:sz w:val="14"/>
                <w:szCs w:val="14"/>
                <w:lang w:eastAsia="sk-SK"/>
              </w:rPr>
            </w:pPr>
            <w:r>
              <w:rPr>
                <w:rFonts w:ascii="Times New Roman" w:hAnsi="Times New Roman"/>
                <w:bCs/>
                <w:sz w:val="14"/>
                <w:szCs w:val="14"/>
                <w:lang w:eastAsia="sk-SK"/>
              </w:rPr>
              <w:t>0</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Pr>
                <w:rFonts w:ascii="Times New Roman" w:hAnsi="Times New Roman"/>
                <w:bCs/>
                <w:sz w:val="14"/>
                <w:szCs w:val="14"/>
                <w:lang w:eastAsia="sk-SK"/>
              </w:rPr>
              <w:t>0</w:t>
            </w:r>
          </w:p>
        </w:tc>
        <w:tc>
          <w:tcPr>
            <w:tcW w:w="992" w:type="dxa"/>
            <w:shd w:val="clear" w:color="000000" w:fill="FFFFFF"/>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r>
      <w:tr w:rsidR="005C5842" w:rsidRPr="0026326A" w:rsidTr="009A178E">
        <w:trPr>
          <w:trHeight w:val="283"/>
        </w:trPr>
        <w:tc>
          <w:tcPr>
            <w:tcW w:w="2132" w:type="dxa"/>
            <w:shd w:val="clear" w:color="000000" w:fill="FFFFFF"/>
            <w:noWrap/>
            <w:vAlign w:val="bottom"/>
          </w:tcPr>
          <w:p w:rsidR="005C5842" w:rsidRPr="0026326A" w:rsidRDefault="005C5842" w:rsidP="009A178E">
            <w:pPr>
              <w:rPr>
                <w:rFonts w:ascii="Times New Roman" w:hAnsi="Times New Roman"/>
                <w:bCs/>
                <w:sz w:val="14"/>
                <w:szCs w:val="14"/>
                <w:lang w:eastAsia="sk-SK"/>
              </w:rPr>
            </w:pPr>
            <w:r w:rsidRPr="0026326A">
              <w:rPr>
                <w:rFonts w:ascii="Times New Roman" w:hAnsi="Times New Roman"/>
                <w:bCs/>
                <w:sz w:val="14"/>
                <w:szCs w:val="14"/>
                <w:lang w:eastAsia="sk-SK"/>
              </w:rPr>
              <w:t>Ostatné</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sidRPr="0026326A">
              <w:rPr>
                <w:rFonts w:ascii="Times New Roman" w:hAnsi="Times New Roman"/>
                <w:bCs/>
                <w:sz w:val="14"/>
                <w:szCs w:val="14"/>
                <w:lang w:eastAsia="sk-SK"/>
              </w:rPr>
              <w:t>52 879 353</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sidRPr="0026326A">
              <w:rPr>
                <w:rFonts w:ascii="Times New Roman" w:hAnsi="Times New Roman"/>
                <w:bCs/>
                <w:sz w:val="14"/>
                <w:szCs w:val="14"/>
                <w:lang w:eastAsia="sk-SK"/>
              </w:rPr>
              <w:t>34 522 726</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sidRPr="0026326A">
              <w:rPr>
                <w:rFonts w:ascii="Times New Roman" w:hAnsi="Times New Roman"/>
                <w:bCs/>
                <w:sz w:val="14"/>
                <w:szCs w:val="14"/>
                <w:lang w:eastAsia="sk-SK"/>
              </w:rPr>
              <w:t>132 299 689</w:t>
            </w:r>
          </w:p>
        </w:tc>
        <w:tc>
          <w:tcPr>
            <w:tcW w:w="992" w:type="dxa"/>
            <w:shd w:val="clear" w:color="000000" w:fill="FFFFFF"/>
            <w:vAlign w:val="bottom"/>
          </w:tcPr>
          <w:p w:rsidR="005C5842" w:rsidRPr="0026326A" w:rsidRDefault="005C5842" w:rsidP="009A178E">
            <w:pPr>
              <w:jc w:val="right"/>
              <w:rPr>
                <w:rFonts w:ascii="Times New Roman" w:hAnsi="Times New Roman"/>
                <w:bCs/>
                <w:sz w:val="14"/>
                <w:szCs w:val="14"/>
                <w:lang w:eastAsia="sk-SK"/>
              </w:rPr>
            </w:pPr>
            <w:r>
              <w:rPr>
                <w:rFonts w:ascii="Times New Roman" w:hAnsi="Times New Roman"/>
                <w:bCs/>
                <w:sz w:val="14"/>
                <w:szCs w:val="14"/>
                <w:lang w:eastAsia="sk-SK"/>
              </w:rPr>
              <w:t>145 360 010</w:t>
            </w:r>
          </w:p>
        </w:tc>
        <w:tc>
          <w:tcPr>
            <w:tcW w:w="992" w:type="dxa"/>
            <w:shd w:val="clear" w:color="000000" w:fill="FFFFFF"/>
            <w:noWrap/>
            <w:vAlign w:val="bottom"/>
          </w:tcPr>
          <w:p w:rsidR="005C5842" w:rsidRPr="0026326A" w:rsidRDefault="005C5842" w:rsidP="009A178E">
            <w:pPr>
              <w:jc w:val="right"/>
              <w:rPr>
                <w:rFonts w:ascii="Times New Roman" w:hAnsi="Times New Roman"/>
                <w:bCs/>
                <w:sz w:val="14"/>
                <w:szCs w:val="14"/>
                <w:lang w:eastAsia="sk-SK"/>
              </w:rPr>
            </w:pPr>
            <w:r>
              <w:rPr>
                <w:rFonts w:ascii="Times New Roman" w:hAnsi="Times New Roman"/>
                <w:bCs/>
                <w:sz w:val="14"/>
                <w:szCs w:val="14"/>
                <w:lang w:eastAsia="sk-SK"/>
              </w:rPr>
              <w:t>192 746 200</w:t>
            </w:r>
          </w:p>
        </w:tc>
        <w:tc>
          <w:tcPr>
            <w:tcW w:w="992" w:type="dxa"/>
            <w:shd w:val="clear" w:color="000000" w:fill="FFFFFF"/>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137 923 741</w:t>
            </w:r>
          </w:p>
        </w:tc>
        <w:tc>
          <w:tcPr>
            <w:tcW w:w="992" w:type="dxa"/>
            <w:shd w:val="clear" w:color="000000" w:fill="FFFFFF"/>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104 259 378</w:t>
            </w:r>
          </w:p>
        </w:tc>
      </w:tr>
      <w:bookmarkEnd w:id="305"/>
    </w:tbl>
    <w:p w:rsidR="005C5842" w:rsidRPr="0026326A" w:rsidRDefault="005C5842" w:rsidP="005C5842">
      <w:pPr>
        <w:jc w:val="both"/>
        <w:rPr>
          <w:rFonts w:ascii="Times New Roman" w:hAnsi="Times New Roman"/>
          <w:b/>
          <w:iCs/>
        </w:rPr>
      </w:pPr>
    </w:p>
    <w:p w:rsidR="005C5842" w:rsidRDefault="005C5842" w:rsidP="005C5842">
      <w:pPr>
        <w:jc w:val="both"/>
        <w:rPr>
          <w:rFonts w:ascii="Times New Roman" w:hAnsi="Times New Roman"/>
          <w:b/>
          <w:iCs/>
        </w:rPr>
      </w:pPr>
    </w:p>
    <w:p w:rsidR="005C5842" w:rsidRDefault="005C5842" w:rsidP="005C5842">
      <w:pPr>
        <w:jc w:val="both"/>
        <w:rPr>
          <w:rFonts w:ascii="Times New Roman" w:hAnsi="Times New Roman"/>
          <w:b/>
          <w:iCs/>
        </w:rPr>
      </w:pPr>
    </w:p>
    <w:p w:rsidR="005C5842" w:rsidRDefault="005C5842" w:rsidP="005C5842">
      <w:pPr>
        <w:jc w:val="both"/>
        <w:rPr>
          <w:rFonts w:ascii="Times New Roman" w:hAnsi="Times New Roman"/>
          <w:b/>
          <w:iCs/>
        </w:rPr>
      </w:pPr>
    </w:p>
    <w:p w:rsidR="005C5842" w:rsidRDefault="005C5842" w:rsidP="005C5842">
      <w:pPr>
        <w:jc w:val="both"/>
        <w:rPr>
          <w:rFonts w:ascii="Times New Roman" w:hAnsi="Times New Roman"/>
          <w:b/>
          <w:iCs/>
        </w:rPr>
      </w:pPr>
    </w:p>
    <w:p w:rsidR="005C5842" w:rsidRDefault="005C5842" w:rsidP="005C5842">
      <w:pPr>
        <w:jc w:val="both"/>
        <w:rPr>
          <w:rFonts w:ascii="Times New Roman" w:hAnsi="Times New Roman"/>
          <w:b/>
          <w:iCs/>
        </w:rPr>
      </w:pPr>
    </w:p>
    <w:p w:rsidR="005C5842" w:rsidRDefault="005C5842" w:rsidP="005C5842">
      <w:pPr>
        <w:jc w:val="both"/>
        <w:rPr>
          <w:rFonts w:ascii="Times New Roman" w:hAnsi="Times New Roman"/>
          <w:b/>
          <w:iCs/>
        </w:rPr>
      </w:pPr>
    </w:p>
    <w:p w:rsidR="005C5842" w:rsidRPr="0026326A" w:rsidRDefault="005C5842" w:rsidP="005C5842">
      <w:pPr>
        <w:jc w:val="both"/>
        <w:rPr>
          <w:rFonts w:ascii="Times New Roman" w:hAnsi="Times New Roman"/>
          <w:iCs/>
        </w:rPr>
      </w:pPr>
      <w:r w:rsidRPr="0026326A">
        <w:rPr>
          <w:rFonts w:ascii="Times New Roman" w:hAnsi="Times New Roman"/>
          <w:b/>
          <w:iCs/>
        </w:rPr>
        <w:lastRenderedPageBreak/>
        <w:t>Rezervy</w:t>
      </w:r>
    </w:p>
    <w:p w:rsidR="005C5842" w:rsidRPr="0026326A" w:rsidRDefault="005C5842" w:rsidP="005C5842">
      <w:pPr>
        <w:ind w:firstLine="709"/>
        <w:jc w:val="both"/>
        <w:rPr>
          <w:rFonts w:ascii="Times New Roman" w:hAnsi="Times New Roman"/>
        </w:rPr>
      </w:pPr>
    </w:p>
    <w:tbl>
      <w:tblPr>
        <w:tblW w:w="5000" w:type="pct"/>
        <w:tblCellMar>
          <w:left w:w="70" w:type="dxa"/>
          <w:right w:w="70" w:type="dxa"/>
        </w:tblCellMar>
        <w:tblLook w:val="04A0" w:firstRow="1" w:lastRow="0" w:firstColumn="1" w:lastColumn="0" w:noHBand="0" w:noVBand="1"/>
      </w:tblPr>
      <w:tblGrid>
        <w:gridCol w:w="2125"/>
        <w:gridCol w:w="988"/>
        <w:gridCol w:w="988"/>
        <w:gridCol w:w="986"/>
        <w:gridCol w:w="988"/>
        <w:gridCol w:w="1015"/>
        <w:gridCol w:w="988"/>
        <w:gridCol w:w="984"/>
      </w:tblGrid>
      <w:tr w:rsidR="005C5842" w:rsidRPr="0026326A" w:rsidTr="009A178E">
        <w:trPr>
          <w:trHeight w:val="283"/>
        </w:trPr>
        <w:tc>
          <w:tcPr>
            <w:tcW w:w="1172"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5C5842" w:rsidRPr="0026326A" w:rsidRDefault="005C5842" w:rsidP="009A178E">
            <w:pPr>
              <w:rPr>
                <w:rFonts w:ascii="Times New Roman" w:hAnsi="Times New Roman"/>
                <w:b/>
                <w:bCs/>
                <w:sz w:val="14"/>
                <w:szCs w:val="14"/>
                <w:lang w:eastAsia="sk-SK"/>
              </w:rPr>
            </w:pPr>
            <w:bookmarkStart w:id="306" w:name="OLE_LINK4"/>
            <w:bookmarkStart w:id="307" w:name="OLE_LINK5"/>
            <w:r w:rsidRPr="0026326A">
              <w:rPr>
                <w:rFonts w:ascii="Times New Roman" w:hAnsi="Times New Roman"/>
                <w:b/>
                <w:bCs/>
                <w:sz w:val="14"/>
                <w:szCs w:val="14"/>
                <w:lang w:eastAsia="sk-SK"/>
              </w:rPr>
              <w:t>v eurách</w:t>
            </w:r>
          </w:p>
        </w:tc>
        <w:tc>
          <w:tcPr>
            <w:tcW w:w="545" w:type="pct"/>
            <w:tcBorders>
              <w:top w:val="single" w:sz="4" w:space="0" w:color="auto"/>
              <w:left w:val="nil"/>
              <w:bottom w:val="single" w:sz="4" w:space="0" w:color="auto"/>
              <w:right w:val="single" w:sz="4" w:space="0" w:color="auto"/>
            </w:tcBorders>
            <w:shd w:val="clear" w:color="auto" w:fill="A6A6A6"/>
            <w:vAlign w:val="bottom"/>
          </w:tcPr>
          <w:p w:rsidR="005C5842" w:rsidRPr="0026326A" w:rsidRDefault="005C5842" w:rsidP="009A178E">
            <w:pPr>
              <w:jc w:val="center"/>
              <w:rPr>
                <w:rFonts w:ascii="Times New Roman" w:hAnsi="Times New Roman"/>
                <w:b/>
                <w:sz w:val="14"/>
                <w:szCs w:val="14"/>
                <w:lang w:eastAsia="sk-SK"/>
              </w:rPr>
            </w:pPr>
            <w:r w:rsidRPr="0026326A">
              <w:rPr>
                <w:rFonts w:ascii="Times New Roman" w:hAnsi="Times New Roman"/>
                <w:b/>
                <w:sz w:val="14"/>
                <w:szCs w:val="14"/>
                <w:lang w:eastAsia="sk-SK"/>
              </w:rPr>
              <w:t>2016 S</w:t>
            </w:r>
          </w:p>
        </w:tc>
        <w:tc>
          <w:tcPr>
            <w:tcW w:w="545" w:type="pct"/>
            <w:tcBorders>
              <w:top w:val="single" w:sz="4" w:space="0" w:color="auto"/>
              <w:left w:val="single" w:sz="4" w:space="0" w:color="auto"/>
              <w:bottom w:val="single" w:sz="4" w:space="0" w:color="auto"/>
              <w:right w:val="single" w:sz="4" w:space="0" w:color="auto"/>
            </w:tcBorders>
            <w:shd w:val="clear" w:color="auto" w:fill="A6A6A6"/>
            <w:vAlign w:val="bottom"/>
          </w:tcPr>
          <w:p w:rsidR="005C5842" w:rsidRPr="0026326A" w:rsidRDefault="005C5842" w:rsidP="009A178E">
            <w:pPr>
              <w:jc w:val="center"/>
              <w:rPr>
                <w:rFonts w:ascii="Times New Roman" w:hAnsi="Times New Roman"/>
                <w:b/>
                <w:sz w:val="14"/>
                <w:szCs w:val="14"/>
                <w:lang w:eastAsia="sk-SK"/>
              </w:rPr>
            </w:pPr>
            <w:r w:rsidRPr="0026326A">
              <w:rPr>
                <w:rFonts w:ascii="Times New Roman" w:hAnsi="Times New Roman"/>
                <w:b/>
                <w:sz w:val="14"/>
                <w:szCs w:val="14"/>
                <w:lang w:eastAsia="sk-SK"/>
              </w:rPr>
              <w:t>2017 S</w:t>
            </w:r>
          </w:p>
        </w:tc>
        <w:tc>
          <w:tcPr>
            <w:tcW w:w="544" w:type="pct"/>
            <w:tcBorders>
              <w:top w:val="single" w:sz="4" w:space="0" w:color="auto"/>
              <w:left w:val="single" w:sz="4" w:space="0" w:color="auto"/>
              <w:bottom w:val="single" w:sz="4" w:space="0" w:color="auto"/>
              <w:right w:val="single" w:sz="4" w:space="0" w:color="auto"/>
            </w:tcBorders>
            <w:shd w:val="clear" w:color="auto" w:fill="A6A6A6"/>
            <w:vAlign w:val="bottom"/>
          </w:tcPr>
          <w:p w:rsidR="005C5842" w:rsidRPr="0026326A" w:rsidRDefault="005C5842" w:rsidP="009A178E">
            <w:pPr>
              <w:jc w:val="center"/>
              <w:rPr>
                <w:rFonts w:ascii="Times New Roman" w:hAnsi="Times New Roman"/>
                <w:b/>
                <w:sz w:val="14"/>
                <w:szCs w:val="14"/>
                <w:lang w:eastAsia="sk-SK"/>
              </w:rPr>
            </w:pPr>
            <w:r w:rsidRPr="0026326A">
              <w:rPr>
                <w:rFonts w:ascii="Times New Roman" w:hAnsi="Times New Roman"/>
                <w:b/>
                <w:sz w:val="14"/>
                <w:szCs w:val="14"/>
                <w:lang w:eastAsia="sk-SK"/>
              </w:rPr>
              <w:t>2018 R</w:t>
            </w:r>
          </w:p>
        </w:tc>
        <w:tc>
          <w:tcPr>
            <w:tcW w:w="545" w:type="pct"/>
            <w:tcBorders>
              <w:top w:val="single" w:sz="4" w:space="0" w:color="auto"/>
              <w:left w:val="single" w:sz="4" w:space="0" w:color="auto"/>
              <w:bottom w:val="single" w:sz="4" w:space="0" w:color="auto"/>
              <w:right w:val="single" w:sz="4" w:space="0" w:color="auto"/>
            </w:tcBorders>
            <w:shd w:val="clear" w:color="auto" w:fill="A6A6A6"/>
            <w:vAlign w:val="bottom"/>
          </w:tcPr>
          <w:p w:rsidR="005C5842" w:rsidRPr="0026326A" w:rsidRDefault="005C5842" w:rsidP="009A178E">
            <w:pPr>
              <w:jc w:val="center"/>
              <w:rPr>
                <w:rFonts w:ascii="Times New Roman" w:hAnsi="Times New Roman"/>
                <w:b/>
                <w:sz w:val="14"/>
                <w:szCs w:val="14"/>
                <w:lang w:eastAsia="sk-SK"/>
              </w:rPr>
            </w:pPr>
            <w:r w:rsidRPr="0026326A">
              <w:rPr>
                <w:rFonts w:ascii="Times New Roman" w:hAnsi="Times New Roman"/>
                <w:b/>
                <w:sz w:val="14"/>
                <w:szCs w:val="14"/>
                <w:lang w:eastAsia="sk-SK"/>
              </w:rPr>
              <w:t>2018 OS</w:t>
            </w:r>
          </w:p>
        </w:tc>
        <w:tc>
          <w:tcPr>
            <w:tcW w:w="560" w:type="pct"/>
            <w:tcBorders>
              <w:top w:val="single" w:sz="4" w:space="0" w:color="auto"/>
              <w:left w:val="nil"/>
              <w:bottom w:val="single" w:sz="4" w:space="0" w:color="auto"/>
              <w:right w:val="single" w:sz="4" w:space="0" w:color="auto"/>
            </w:tcBorders>
            <w:shd w:val="clear" w:color="auto" w:fill="A6A6A6"/>
            <w:noWrap/>
            <w:vAlign w:val="bottom"/>
          </w:tcPr>
          <w:p w:rsidR="005C5842" w:rsidRPr="0026326A" w:rsidRDefault="005C5842" w:rsidP="009A178E">
            <w:pPr>
              <w:jc w:val="center"/>
              <w:rPr>
                <w:rFonts w:ascii="Times New Roman" w:hAnsi="Times New Roman"/>
                <w:b/>
                <w:sz w:val="14"/>
                <w:szCs w:val="14"/>
                <w:lang w:eastAsia="sk-SK"/>
              </w:rPr>
            </w:pPr>
            <w:r w:rsidRPr="0026326A">
              <w:rPr>
                <w:rFonts w:ascii="Times New Roman" w:hAnsi="Times New Roman"/>
                <w:b/>
                <w:sz w:val="14"/>
                <w:szCs w:val="14"/>
                <w:lang w:eastAsia="sk-SK"/>
              </w:rPr>
              <w:t>2019 N</w:t>
            </w:r>
          </w:p>
        </w:tc>
        <w:tc>
          <w:tcPr>
            <w:tcW w:w="545" w:type="pct"/>
            <w:tcBorders>
              <w:top w:val="single" w:sz="4" w:space="0" w:color="auto"/>
              <w:left w:val="nil"/>
              <w:bottom w:val="single" w:sz="4" w:space="0" w:color="auto"/>
              <w:right w:val="single" w:sz="4" w:space="0" w:color="auto"/>
            </w:tcBorders>
            <w:shd w:val="clear" w:color="auto" w:fill="A6A6A6"/>
            <w:vAlign w:val="bottom"/>
          </w:tcPr>
          <w:p w:rsidR="005C5842" w:rsidRPr="0026326A" w:rsidRDefault="005C5842" w:rsidP="009A178E">
            <w:pPr>
              <w:jc w:val="center"/>
              <w:rPr>
                <w:rFonts w:ascii="Times New Roman" w:hAnsi="Times New Roman"/>
                <w:b/>
                <w:sz w:val="14"/>
                <w:szCs w:val="14"/>
                <w:lang w:eastAsia="sk-SK"/>
              </w:rPr>
            </w:pPr>
            <w:r w:rsidRPr="0026326A">
              <w:rPr>
                <w:rFonts w:ascii="Times New Roman" w:hAnsi="Times New Roman"/>
                <w:b/>
                <w:sz w:val="14"/>
                <w:szCs w:val="14"/>
                <w:lang w:eastAsia="sk-SK"/>
              </w:rPr>
              <w:t>2020 N</w:t>
            </w:r>
          </w:p>
        </w:tc>
        <w:tc>
          <w:tcPr>
            <w:tcW w:w="543" w:type="pct"/>
            <w:tcBorders>
              <w:top w:val="single" w:sz="4" w:space="0" w:color="auto"/>
              <w:left w:val="nil"/>
              <w:bottom w:val="single" w:sz="4" w:space="0" w:color="auto"/>
              <w:right w:val="single" w:sz="4" w:space="0" w:color="auto"/>
            </w:tcBorders>
            <w:shd w:val="clear" w:color="auto" w:fill="A6A6A6"/>
            <w:vAlign w:val="bottom"/>
          </w:tcPr>
          <w:p w:rsidR="005C5842" w:rsidRPr="0026326A" w:rsidRDefault="005C5842" w:rsidP="009A178E">
            <w:pPr>
              <w:jc w:val="center"/>
              <w:rPr>
                <w:rFonts w:ascii="Times New Roman" w:hAnsi="Times New Roman"/>
                <w:b/>
                <w:sz w:val="14"/>
                <w:szCs w:val="14"/>
                <w:lang w:eastAsia="sk-SK"/>
              </w:rPr>
            </w:pPr>
            <w:r w:rsidRPr="0026326A">
              <w:rPr>
                <w:rFonts w:ascii="Times New Roman" w:hAnsi="Times New Roman"/>
                <w:b/>
                <w:sz w:val="14"/>
                <w:szCs w:val="14"/>
                <w:lang w:eastAsia="sk-SK"/>
              </w:rPr>
              <w:t>2021 N</w:t>
            </w:r>
          </w:p>
        </w:tc>
      </w:tr>
      <w:tr w:rsidR="005C5842" w:rsidRPr="0026326A" w:rsidTr="009A178E">
        <w:trPr>
          <w:trHeight w:val="283"/>
        </w:trPr>
        <w:tc>
          <w:tcPr>
            <w:tcW w:w="1172" w:type="pct"/>
            <w:tcBorders>
              <w:top w:val="single" w:sz="4" w:space="0" w:color="auto"/>
              <w:left w:val="single" w:sz="4" w:space="0" w:color="auto"/>
              <w:bottom w:val="single" w:sz="4" w:space="0" w:color="auto"/>
              <w:right w:val="single" w:sz="4" w:space="0" w:color="auto"/>
            </w:tcBorders>
            <w:shd w:val="clear" w:color="auto" w:fill="BFBFBF"/>
            <w:noWrap/>
            <w:vAlign w:val="bottom"/>
          </w:tcPr>
          <w:p w:rsidR="005C5842" w:rsidRPr="0026326A" w:rsidRDefault="005C5842" w:rsidP="009A178E">
            <w:pPr>
              <w:rPr>
                <w:rFonts w:ascii="Times New Roman" w:hAnsi="Times New Roman"/>
                <w:b/>
                <w:bCs/>
                <w:sz w:val="14"/>
                <w:szCs w:val="14"/>
                <w:lang w:eastAsia="sk-SK"/>
              </w:rPr>
            </w:pPr>
            <w:r w:rsidRPr="0026326A">
              <w:rPr>
                <w:rFonts w:ascii="Times New Roman" w:hAnsi="Times New Roman"/>
                <w:b/>
                <w:bCs/>
                <w:sz w:val="14"/>
                <w:szCs w:val="14"/>
                <w:lang w:eastAsia="sk-SK"/>
              </w:rPr>
              <w:t>Rezervy</w:t>
            </w:r>
          </w:p>
        </w:tc>
        <w:tc>
          <w:tcPr>
            <w:tcW w:w="545" w:type="pct"/>
            <w:tcBorders>
              <w:top w:val="single" w:sz="4" w:space="0" w:color="auto"/>
              <w:left w:val="nil"/>
              <w:bottom w:val="single" w:sz="4" w:space="0" w:color="auto"/>
              <w:right w:val="single" w:sz="4" w:space="0" w:color="auto"/>
            </w:tcBorders>
            <w:shd w:val="clear" w:color="auto" w:fill="BFBFBF"/>
            <w:vAlign w:val="bottom"/>
          </w:tcPr>
          <w:p w:rsidR="005C5842" w:rsidRPr="0026326A" w:rsidRDefault="005C5842" w:rsidP="009A178E">
            <w:pPr>
              <w:jc w:val="right"/>
              <w:rPr>
                <w:rFonts w:ascii="Times New Roman" w:hAnsi="Times New Roman"/>
                <w:b/>
                <w:bCs/>
                <w:sz w:val="14"/>
                <w:szCs w:val="14"/>
                <w:lang w:eastAsia="sk-SK"/>
              </w:rPr>
            </w:pPr>
            <w:r w:rsidRPr="0026326A">
              <w:rPr>
                <w:rFonts w:ascii="Times New Roman" w:hAnsi="Times New Roman"/>
                <w:b/>
                <w:bCs/>
                <w:sz w:val="14"/>
                <w:szCs w:val="14"/>
                <w:lang w:eastAsia="sk-SK"/>
              </w:rPr>
              <w:t>432 624</w:t>
            </w:r>
          </w:p>
        </w:tc>
        <w:tc>
          <w:tcPr>
            <w:tcW w:w="545" w:type="pct"/>
            <w:tcBorders>
              <w:top w:val="single" w:sz="4" w:space="0" w:color="auto"/>
              <w:left w:val="single" w:sz="4" w:space="0" w:color="auto"/>
              <w:bottom w:val="single" w:sz="4" w:space="0" w:color="auto"/>
              <w:right w:val="single" w:sz="4" w:space="0" w:color="auto"/>
            </w:tcBorders>
            <w:shd w:val="clear" w:color="auto" w:fill="BFBFBF"/>
            <w:vAlign w:val="bottom"/>
          </w:tcPr>
          <w:p w:rsidR="005C5842" w:rsidRPr="0026326A" w:rsidRDefault="005C5842" w:rsidP="009A178E">
            <w:pPr>
              <w:jc w:val="right"/>
              <w:rPr>
                <w:rFonts w:ascii="Times New Roman" w:hAnsi="Times New Roman"/>
                <w:b/>
                <w:bCs/>
                <w:sz w:val="14"/>
                <w:szCs w:val="14"/>
                <w:lang w:eastAsia="sk-SK"/>
              </w:rPr>
            </w:pPr>
            <w:r w:rsidRPr="0026326A">
              <w:rPr>
                <w:rFonts w:ascii="Times New Roman" w:hAnsi="Times New Roman"/>
                <w:b/>
                <w:bCs/>
                <w:sz w:val="14"/>
                <w:szCs w:val="14"/>
                <w:lang w:eastAsia="sk-SK"/>
              </w:rPr>
              <w:t>4 465 519</w:t>
            </w:r>
          </w:p>
        </w:tc>
        <w:tc>
          <w:tcPr>
            <w:tcW w:w="544" w:type="pct"/>
            <w:tcBorders>
              <w:top w:val="single" w:sz="4" w:space="0" w:color="auto"/>
              <w:left w:val="single" w:sz="4" w:space="0" w:color="auto"/>
              <w:bottom w:val="single" w:sz="4" w:space="0" w:color="auto"/>
              <w:right w:val="single" w:sz="4" w:space="0" w:color="auto"/>
            </w:tcBorders>
            <w:shd w:val="clear" w:color="auto" w:fill="BFBFBF"/>
            <w:vAlign w:val="bottom"/>
          </w:tcPr>
          <w:p w:rsidR="005C5842" w:rsidRPr="0026326A" w:rsidRDefault="005C5842" w:rsidP="009A178E">
            <w:pPr>
              <w:jc w:val="right"/>
              <w:rPr>
                <w:rFonts w:ascii="Times New Roman" w:hAnsi="Times New Roman"/>
                <w:b/>
                <w:bCs/>
                <w:sz w:val="14"/>
                <w:szCs w:val="14"/>
                <w:lang w:eastAsia="sk-SK"/>
              </w:rPr>
            </w:pPr>
            <w:r w:rsidRPr="0026326A">
              <w:rPr>
                <w:rFonts w:ascii="Times New Roman" w:hAnsi="Times New Roman"/>
                <w:b/>
                <w:bCs/>
                <w:sz w:val="14"/>
                <w:szCs w:val="14"/>
                <w:lang w:eastAsia="sk-SK"/>
              </w:rPr>
              <w:t>598 866 754</w:t>
            </w:r>
          </w:p>
        </w:tc>
        <w:tc>
          <w:tcPr>
            <w:tcW w:w="545" w:type="pct"/>
            <w:tcBorders>
              <w:top w:val="single" w:sz="4" w:space="0" w:color="auto"/>
              <w:left w:val="single" w:sz="4" w:space="0" w:color="auto"/>
              <w:bottom w:val="single" w:sz="4" w:space="0" w:color="auto"/>
              <w:right w:val="single" w:sz="4" w:space="0" w:color="auto"/>
            </w:tcBorders>
            <w:shd w:val="clear" w:color="auto" w:fill="BFBFBF"/>
            <w:vAlign w:val="bottom"/>
          </w:tcPr>
          <w:p w:rsidR="005C5842" w:rsidRPr="0026326A" w:rsidRDefault="005C5842" w:rsidP="009A178E">
            <w:pPr>
              <w:jc w:val="right"/>
              <w:rPr>
                <w:rFonts w:ascii="Times New Roman" w:hAnsi="Times New Roman"/>
                <w:b/>
                <w:bCs/>
                <w:sz w:val="14"/>
                <w:szCs w:val="14"/>
                <w:lang w:eastAsia="sk-SK"/>
              </w:rPr>
            </w:pPr>
            <w:r>
              <w:rPr>
                <w:rFonts w:ascii="Times New Roman" w:hAnsi="Times New Roman"/>
                <w:b/>
                <w:bCs/>
                <w:sz w:val="14"/>
                <w:szCs w:val="14"/>
                <w:lang w:eastAsia="sk-SK"/>
              </w:rPr>
              <w:t>128 484 387</w:t>
            </w:r>
          </w:p>
        </w:tc>
        <w:tc>
          <w:tcPr>
            <w:tcW w:w="560" w:type="pct"/>
            <w:tcBorders>
              <w:top w:val="single" w:sz="4" w:space="0" w:color="auto"/>
              <w:left w:val="nil"/>
              <w:bottom w:val="single" w:sz="4" w:space="0" w:color="auto"/>
              <w:right w:val="single" w:sz="4" w:space="0" w:color="auto"/>
            </w:tcBorders>
            <w:shd w:val="clear" w:color="auto" w:fill="BFBFBF"/>
            <w:noWrap/>
            <w:vAlign w:val="bottom"/>
          </w:tcPr>
          <w:p w:rsidR="005C5842" w:rsidRPr="0026326A" w:rsidRDefault="005C5842" w:rsidP="009A178E">
            <w:pPr>
              <w:jc w:val="right"/>
              <w:rPr>
                <w:rFonts w:ascii="Times New Roman" w:hAnsi="Times New Roman"/>
                <w:b/>
                <w:bCs/>
                <w:sz w:val="14"/>
                <w:szCs w:val="14"/>
                <w:lang w:eastAsia="sk-SK"/>
              </w:rPr>
            </w:pPr>
            <w:r>
              <w:rPr>
                <w:rFonts w:ascii="Times New Roman" w:hAnsi="Times New Roman"/>
                <w:b/>
                <w:bCs/>
                <w:sz w:val="14"/>
                <w:szCs w:val="14"/>
                <w:lang w:eastAsia="sk-SK"/>
              </w:rPr>
              <w:t>1 168 228 348</w:t>
            </w:r>
          </w:p>
        </w:tc>
        <w:tc>
          <w:tcPr>
            <w:tcW w:w="545" w:type="pct"/>
            <w:tcBorders>
              <w:top w:val="single" w:sz="4" w:space="0" w:color="auto"/>
              <w:left w:val="nil"/>
              <w:bottom w:val="single" w:sz="4" w:space="0" w:color="auto"/>
              <w:right w:val="single" w:sz="4" w:space="0" w:color="auto"/>
            </w:tcBorders>
            <w:shd w:val="clear" w:color="auto" w:fill="BFBFBF"/>
            <w:vAlign w:val="bottom"/>
          </w:tcPr>
          <w:p w:rsidR="005C5842" w:rsidRPr="0026326A" w:rsidRDefault="005C5842" w:rsidP="009A178E">
            <w:pPr>
              <w:jc w:val="right"/>
              <w:rPr>
                <w:rFonts w:ascii="Times New Roman" w:hAnsi="Times New Roman"/>
                <w:b/>
                <w:sz w:val="14"/>
                <w:szCs w:val="14"/>
                <w:lang w:eastAsia="sk-SK"/>
              </w:rPr>
            </w:pPr>
            <w:r>
              <w:rPr>
                <w:rFonts w:ascii="Times New Roman" w:hAnsi="Times New Roman"/>
                <w:b/>
                <w:sz w:val="14"/>
                <w:szCs w:val="14"/>
                <w:lang w:eastAsia="sk-SK"/>
              </w:rPr>
              <w:t>1 743 657 914</w:t>
            </w:r>
          </w:p>
        </w:tc>
        <w:tc>
          <w:tcPr>
            <w:tcW w:w="543" w:type="pct"/>
            <w:tcBorders>
              <w:top w:val="single" w:sz="4" w:space="0" w:color="auto"/>
              <w:left w:val="nil"/>
              <w:bottom w:val="single" w:sz="4" w:space="0" w:color="auto"/>
              <w:right w:val="single" w:sz="4" w:space="0" w:color="auto"/>
            </w:tcBorders>
            <w:shd w:val="clear" w:color="auto" w:fill="BFBFBF"/>
            <w:vAlign w:val="bottom"/>
          </w:tcPr>
          <w:p w:rsidR="005C5842" w:rsidRPr="0026326A" w:rsidRDefault="005C5842" w:rsidP="009A178E">
            <w:pPr>
              <w:jc w:val="right"/>
              <w:rPr>
                <w:rFonts w:ascii="Times New Roman" w:hAnsi="Times New Roman"/>
                <w:b/>
                <w:sz w:val="14"/>
                <w:szCs w:val="14"/>
                <w:lang w:eastAsia="sk-SK"/>
              </w:rPr>
            </w:pPr>
            <w:r>
              <w:rPr>
                <w:rFonts w:ascii="Times New Roman" w:hAnsi="Times New Roman"/>
                <w:b/>
                <w:sz w:val="14"/>
                <w:szCs w:val="14"/>
                <w:lang w:eastAsia="sk-SK"/>
              </w:rPr>
              <w:t>2 191 486 519</w:t>
            </w:r>
          </w:p>
        </w:tc>
      </w:tr>
      <w:tr w:rsidR="005C5842" w:rsidRPr="0026326A" w:rsidTr="009A178E">
        <w:trPr>
          <w:trHeight w:val="227"/>
        </w:trPr>
        <w:tc>
          <w:tcPr>
            <w:tcW w:w="1172" w:type="pct"/>
            <w:tcBorders>
              <w:top w:val="nil"/>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Rezerva vlády</w:t>
            </w:r>
          </w:p>
        </w:tc>
        <w:tc>
          <w:tcPr>
            <w:tcW w:w="545" w:type="pct"/>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18 424</w:t>
            </w:r>
          </w:p>
        </w:tc>
        <w:tc>
          <w:tcPr>
            <w:tcW w:w="545" w:type="pct"/>
            <w:tcBorders>
              <w:top w:val="nil"/>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2 186 292</w:t>
            </w:r>
          </w:p>
        </w:tc>
        <w:tc>
          <w:tcPr>
            <w:tcW w:w="544" w:type="pct"/>
            <w:tcBorders>
              <w:top w:val="nil"/>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5 000 000</w:t>
            </w:r>
          </w:p>
        </w:tc>
        <w:tc>
          <w:tcPr>
            <w:tcW w:w="545" w:type="pct"/>
            <w:tcBorders>
              <w:top w:val="nil"/>
              <w:left w:val="single" w:sz="4" w:space="0" w:color="auto"/>
              <w:bottom w:val="single" w:sz="4" w:space="0" w:color="auto"/>
              <w:right w:val="single" w:sz="4" w:space="0" w:color="auto"/>
            </w:tcBorders>
            <w:vAlign w:val="bottom"/>
          </w:tcPr>
          <w:p w:rsidR="005C5842" w:rsidRPr="002375B6" w:rsidRDefault="005C5842" w:rsidP="009A178E">
            <w:pPr>
              <w:jc w:val="right"/>
              <w:rPr>
                <w:rFonts w:ascii="Times New Roman" w:hAnsi="Times New Roman"/>
                <w:bCs/>
                <w:sz w:val="14"/>
                <w:szCs w:val="14"/>
                <w:lang w:eastAsia="sk-SK"/>
              </w:rPr>
            </w:pPr>
            <w:r>
              <w:rPr>
                <w:rFonts w:ascii="Times New Roman" w:hAnsi="Times New Roman"/>
                <w:bCs/>
                <w:sz w:val="14"/>
                <w:szCs w:val="14"/>
                <w:lang w:eastAsia="sk-SK"/>
              </w:rPr>
              <w:t>4 426 330</w:t>
            </w:r>
          </w:p>
        </w:tc>
        <w:tc>
          <w:tcPr>
            <w:tcW w:w="560" w:type="pct"/>
            <w:tcBorders>
              <w:top w:val="nil"/>
              <w:left w:val="nil"/>
              <w:bottom w:val="single" w:sz="4" w:space="0" w:color="auto"/>
              <w:right w:val="single" w:sz="4" w:space="0" w:color="auto"/>
            </w:tcBorders>
            <w:noWrap/>
            <w:vAlign w:val="bottom"/>
          </w:tcPr>
          <w:p w:rsidR="005C5842" w:rsidRPr="002375B6" w:rsidRDefault="005C5842" w:rsidP="009A178E">
            <w:pPr>
              <w:jc w:val="right"/>
              <w:rPr>
                <w:rFonts w:ascii="Times New Roman" w:hAnsi="Times New Roman"/>
                <w:bCs/>
                <w:sz w:val="14"/>
                <w:szCs w:val="14"/>
                <w:lang w:eastAsia="sk-SK"/>
              </w:rPr>
            </w:pPr>
            <w:r w:rsidRPr="002375B6">
              <w:rPr>
                <w:rFonts w:ascii="Times New Roman" w:hAnsi="Times New Roman"/>
                <w:bCs/>
                <w:sz w:val="14"/>
                <w:szCs w:val="14"/>
                <w:lang w:eastAsia="sk-SK"/>
              </w:rPr>
              <w:t>5 000 000</w:t>
            </w:r>
          </w:p>
        </w:tc>
        <w:tc>
          <w:tcPr>
            <w:tcW w:w="545" w:type="pct"/>
            <w:tcBorders>
              <w:top w:val="nil"/>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5 000 000</w:t>
            </w:r>
          </w:p>
        </w:tc>
        <w:tc>
          <w:tcPr>
            <w:tcW w:w="543" w:type="pct"/>
            <w:tcBorders>
              <w:top w:val="nil"/>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5 000 000</w:t>
            </w:r>
          </w:p>
        </w:tc>
      </w:tr>
      <w:tr w:rsidR="005C5842" w:rsidRPr="0026326A" w:rsidTr="009A178E">
        <w:trPr>
          <w:trHeight w:val="227"/>
        </w:trPr>
        <w:tc>
          <w:tcPr>
            <w:tcW w:w="1172" w:type="pct"/>
            <w:tcBorders>
              <w:top w:val="nil"/>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Rezerva na realizáciu súdnych a exekučných rozhodnutí  a na výdavky  súvisiace s vrátenými príjmami z minulých rokov</w:t>
            </w:r>
          </w:p>
        </w:tc>
        <w:tc>
          <w:tcPr>
            <w:tcW w:w="545" w:type="pct"/>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414 200</w:t>
            </w:r>
          </w:p>
        </w:tc>
        <w:tc>
          <w:tcPr>
            <w:tcW w:w="545" w:type="pct"/>
            <w:tcBorders>
              <w:top w:val="nil"/>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1 939 858</w:t>
            </w:r>
          </w:p>
        </w:tc>
        <w:tc>
          <w:tcPr>
            <w:tcW w:w="544" w:type="pct"/>
            <w:tcBorders>
              <w:top w:val="nil"/>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10 000 000</w:t>
            </w:r>
          </w:p>
        </w:tc>
        <w:tc>
          <w:tcPr>
            <w:tcW w:w="545" w:type="pct"/>
            <w:tcBorders>
              <w:top w:val="nil"/>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bCs/>
                <w:sz w:val="14"/>
                <w:szCs w:val="14"/>
                <w:lang w:eastAsia="sk-SK"/>
              </w:rPr>
              <w:t>4 081 219</w:t>
            </w:r>
          </w:p>
        </w:tc>
        <w:tc>
          <w:tcPr>
            <w:tcW w:w="560" w:type="pct"/>
            <w:tcBorders>
              <w:top w:val="nil"/>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10 000 000</w:t>
            </w:r>
          </w:p>
        </w:tc>
        <w:tc>
          <w:tcPr>
            <w:tcW w:w="545" w:type="pct"/>
            <w:tcBorders>
              <w:top w:val="nil"/>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10 000 000</w:t>
            </w:r>
          </w:p>
        </w:tc>
        <w:tc>
          <w:tcPr>
            <w:tcW w:w="543" w:type="pct"/>
            <w:tcBorders>
              <w:top w:val="nil"/>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10 000 000</w:t>
            </w:r>
          </w:p>
        </w:tc>
      </w:tr>
      <w:tr w:rsidR="005C5842" w:rsidRPr="0026326A" w:rsidTr="009A178E">
        <w:trPr>
          <w:trHeight w:val="227"/>
        </w:trPr>
        <w:tc>
          <w:tcPr>
            <w:tcW w:w="1172" w:type="pct"/>
            <w:tcBorders>
              <w:top w:val="nil"/>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Rezerva na riešenie vplyvov nových zákonných úprav a iných vplyvov</w:t>
            </w:r>
          </w:p>
        </w:tc>
        <w:tc>
          <w:tcPr>
            <w:tcW w:w="545" w:type="pct"/>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545" w:type="pct"/>
            <w:tcBorders>
              <w:top w:val="nil"/>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544" w:type="pct"/>
            <w:tcBorders>
              <w:top w:val="nil"/>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106 653 330</w:t>
            </w:r>
          </w:p>
        </w:tc>
        <w:tc>
          <w:tcPr>
            <w:tcW w:w="545" w:type="pct"/>
            <w:tcBorders>
              <w:top w:val="nil"/>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bCs/>
                <w:sz w:val="14"/>
                <w:szCs w:val="14"/>
                <w:lang w:eastAsia="sk-SK"/>
              </w:rPr>
              <w:t>4 440 000</w:t>
            </w:r>
          </w:p>
        </w:tc>
        <w:tc>
          <w:tcPr>
            <w:tcW w:w="560" w:type="pct"/>
            <w:tcBorders>
              <w:top w:val="nil"/>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400 000 000</w:t>
            </w:r>
          </w:p>
        </w:tc>
        <w:tc>
          <w:tcPr>
            <w:tcW w:w="545" w:type="pct"/>
            <w:tcBorders>
              <w:top w:val="nil"/>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400 000 000</w:t>
            </w:r>
          </w:p>
        </w:tc>
        <w:tc>
          <w:tcPr>
            <w:tcW w:w="543" w:type="pct"/>
            <w:tcBorders>
              <w:top w:val="nil"/>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400 000 000</w:t>
            </w:r>
          </w:p>
        </w:tc>
      </w:tr>
      <w:tr w:rsidR="005C5842" w:rsidRPr="0026326A" w:rsidTr="009A178E">
        <w:trPr>
          <w:trHeight w:val="227"/>
        </w:trPr>
        <w:tc>
          <w:tcPr>
            <w:tcW w:w="1172" w:type="pct"/>
            <w:tcBorders>
              <w:top w:val="nil"/>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 xml:space="preserve">Rezerva na riešenie krízových situácií </w:t>
            </w:r>
          </w:p>
        </w:tc>
        <w:tc>
          <w:tcPr>
            <w:tcW w:w="545" w:type="pct"/>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545" w:type="pct"/>
            <w:tcBorders>
              <w:top w:val="nil"/>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339 369</w:t>
            </w:r>
          </w:p>
        </w:tc>
        <w:tc>
          <w:tcPr>
            <w:tcW w:w="544" w:type="pct"/>
            <w:tcBorders>
              <w:top w:val="nil"/>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11 000 000</w:t>
            </w:r>
          </w:p>
        </w:tc>
        <w:tc>
          <w:tcPr>
            <w:tcW w:w="545" w:type="pct"/>
            <w:tcBorders>
              <w:top w:val="nil"/>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bCs/>
                <w:sz w:val="14"/>
                <w:szCs w:val="14"/>
                <w:lang w:eastAsia="sk-SK"/>
              </w:rPr>
              <w:t>9 881 682</w:t>
            </w:r>
          </w:p>
        </w:tc>
        <w:tc>
          <w:tcPr>
            <w:tcW w:w="560" w:type="pct"/>
            <w:tcBorders>
              <w:top w:val="nil"/>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11 000 000</w:t>
            </w:r>
          </w:p>
        </w:tc>
        <w:tc>
          <w:tcPr>
            <w:tcW w:w="545" w:type="pct"/>
            <w:tcBorders>
              <w:top w:val="nil"/>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11 000 000</w:t>
            </w:r>
          </w:p>
        </w:tc>
        <w:tc>
          <w:tcPr>
            <w:tcW w:w="543" w:type="pct"/>
            <w:tcBorders>
              <w:top w:val="nil"/>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11 000 000</w:t>
            </w:r>
          </w:p>
        </w:tc>
      </w:tr>
      <w:tr w:rsidR="005C5842" w:rsidRPr="0026326A" w:rsidTr="009A178E">
        <w:trPr>
          <w:trHeight w:val="227"/>
        </w:trPr>
        <w:tc>
          <w:tcPr>
            <w:tcW w:w="1172" w:type="pct"/>
            <w:tcBorders>
              <w:top w:val="nil"/>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Rezerva na mzdy a poistné</w:t>
            </w:r>
          </w:p>
        </w:tc>
        <w:tc>
          <w:tcPr>
            <w:tcW w:w="545" w:type="pct"/>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545" w:type="pct"/>
            <w:tcBorders>
              <w:top w:val="nil"/>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544" w:type="pct"/>
            <w:tcBorders>
              <w:top w:val="nil"/>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167 770 747</w:t>
            </w:r>
          </w:p>
        </w:tc>
        <w:tc>
          <w:tcPr>
            <w:tcW w:w="545" w:type="pct"/>
            <w:tcBorders>
              <w:top w:val="nil"/>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bCs/>
                <w:sz w:val="14"/>
                <w:szCs w:val="14"/>
                <w:lang w:eastAsia="sk-SK"/>
              </w:rPr>
              <w:t>16 117 837</w:t>
            </w:r>
          </w:p>
        </w:tc>
        <w:tc>
          <w:tcPr>
            <w:tcW w:w="560" w:type="pct"/>
            <w:tcBorders>
              <w:top w:val="nil"/>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592 228 348</w:t>
            </w:r>
          </w:p>
        </w:tc>
        <w:tc>
          <w:tcPr>
            <w:tcW w:w="545" w:type="pct"/>
            <w:tcBorders>
              <w:top w:val="nil"/>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1 137 657 914</w:t>
            </w:r>
          </w:p>
        </w:tc>
        <w:tc>
          <w:tcPr>
            <w:tcW w:w="543" w:type="pct"/>
            <w:tcBorders>
              <w:top w:val="nil"/>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1 265 486 519</w:t>
            </w:r>
          </w:p>
        </w:tc>
      </w:tr>
      <w:tr w:rsidR="005C5842" w:rsidRPr="0026326A" w:rsidTr="009A178E">
        <w:trPr>
          <w:trHeight w:val="227"/>
        </w:trPr>
        <w:tc>
          <w:tcPr>
            <w:tcW w:w="1172" w:type="pct"/>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Rezerva na významné investície</w:t>
            </w:r>
          </w:p>
        </w:tc>
        <w:tc>
          <w:tcPr>
            <w:tcW w:w="545" w:type="pct"/>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545" w:type="pct"/>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544" w:type="pct"/>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158 442 677</w:t>
            </w:r>
          </w:p>
        </w:tc>
        <w:tc>
          <w:tcPr>
            <w:tcW w:w="545" w:type="pct"/>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bCs/>
                <w:sz w:val="14"/>
                <w:szCs w:val="14"/>
                <w:lang w:eastAsia="sk-SK"/>
              </w:rPr>
              <w:t>81 610 320</w:t>
            </w:r>
          </w:p>
        </w:tc>
        <w:tc>
          <w:tcPr>
            <w:tcW w:w="560" w:type="pct"/>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0</w:t>
            </w:r>
          </w:p>
        </w:tc>
        <w:tc>
          <w:tcPr>
            <w:tcW w:w="545" w:type="pct"/>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0</w:t>
            </w:r>
          </w:p>
        </w:tc>
        <w:tc>
          <w:tcPr>
            <w:tcW w:w="543" w:type="pct"/>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0</w:t>
            </w:r>
          </w:p>
        </w:tc>
      </w:tr>
      <w:tr w:rsidR="005C5842" w:rsidRPr="0026326A" w:rsidTr="009A178E">
        <w:trPr>
          <w:trHeight w:val="227"/>
        </w:trPr>
        <w:tc>
          <w:tcPr>
            <w:tcW w:w="1172" w:type="pct"/>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 xml:space="preserve">Rezerva na </w:t>
            </w:r>
            <w:r>
              <w:rPr>
                <w:rFonts w:ascii="Times New Roman" w:hAnsi="Times New Roman"/>
                <w:sz w:val="14"/>
                <w:szCs w:val="14"/>
                <w:lang w:eastAsia="sk-SK"/>
              </w:rPr>
              <w:t>rok 2019</w:t>
            </w:r>
          </w:p>
        </w:tc>
        <w:tc>
          <w:tcPr>
            <w:tcW w:w="545" w:type="pct"/>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E70811">
              <w:rPr>
                <w:rFonts w:ascii="Times New Roman" w:hAnsi="Times New Roman"/>
                <w:sz w:val="14"/>
                <w:szCs w:val="14"/>
                <w:lang w:eastAsia="sk-SK"/>
              </w:rPr>
              <w:t>0</w:t>
            </w:r>
          </w:p>
        </w:tc>
        <w:tc>
          <w:tcPr>
            <w:tcW w:w="545" w:type="pct"/>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E70811">
              <w:rPr>
                <w:rFonts w:ascii="Times New Roman" w:hAnsi="Times New Roman"/>
                <w:sz w:val="14"/>
                <w:szCs w:val="14"/>
                <w:lang w:eastAsia="sk-SK"/>
              </w:rPr>
              <w:t>0</w:t>
            </w:r>
          </w:p>
        </w:tc>
        <w:tc>
          <w:tcPr>
            <w:tcW w:w="544" w:type="pct"/>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bCs/>
                <w:sz w:val="14"/>
                <w:szCs w:val="14"/>
                <w:lang w:eastAsia="sk-SK"/>
              </w:rPr>
            </w:pPr>
            <w:r w:rsidRPr="00E70811">
              <w:rPr>
                <w:rFonts w:ascii="Times New Roman" w:hAnsi="Times New Roman"/>
                <w:bCs/>
                <w:sz w:val="14"/>
                <w:szCs w:val="14"/>
                <w:lang w:eastAsia="sk-SK"/>
              </w:rPr>
              <w:t>0</w:t>
            </w:r>
          </w:p>
        </w:tc>
        <w:tc>
          <w:tcPr>
            <w:tcW w:w="545" w:type="pct"/>
            <w:tcBorders>
              <w:top w:val="single" w:sz="4" w:space="0" w:color="auto"/>
              <w:left w:val="single" w:sz="4" w:space="0" w:color="auto"/>
              <w:bottom w:val="single" w:sz="4" w:space="0" w:color="auto"/>
              <w:right w:val="single" w:sz="4" w:space="0" w:color="auto"/>
            </w:tcBorders>
            <w:vAlign w:val="bottom"/>
          </w:tcPr>
          <w:p w:rsidR="005C5842" w:rsidRDefault="005C5842" w:rsidP="009A178E">
            <w:pPr>
              <w:jc w:val="right"/>
              <w:rPr>
                <w:rFonts w:ascii="Times New Roman" w:hAnsi="Times New Roman"/>
                <w:bCs/>
                <w:sz w:val="14"/>
                <w:szCs w:val="14"/>
                <w:lang w:eastAsia="sk-SK"/>
              </w:rPr>
            </w:pPr>
            <w:r w:rsidRPr="00E70811">
              <w:rPr>
                <w:rFonts w:ascii="Times New Roman" w:hAnsi="Times New Roman"/>
                <w:bCs/>
                <w:sz w:val="14"/>
                <w:szCs w:val="14"/>
                <w:lang w:eastAsia="sk-SK"/>
              </w:rPr>
              <w:t>0</w:t>
            </w:r>
          </w:p>
        </w:tc>
        <w:tc>
          <w:tcPr>
            <w:tcW w:w="560" w:type="pct"/>
            <w:tcBorders>
              <w:top w:val="single" w:sz="4" w:space="0" w:color="auto"/>
              <w:left w:val="nil"/>
              <w:bottom w:val="single" w:sz="4" w:space="0" w:color="auto"/>
              <w:right w:val="single" w:sz="4" w:space="0" w:color="auto"/>
            </w:tcBorders>
            <w:noWrap/>
            <w:vAlign w:val="bottom"/>
          </w:tcPr>
          <w:p w:rsidR="005C5842" w:rsidRDefault="005C5842" w:rsidP="009A178E">
            <w:pPr>
              <w:jc w:val="right"/>
              <w:rPr>
                <w:rFonts w:ascii="Times New Roman" w:hAnsi="Times New Roman"/>
                <w:sz w:val="14"/>
                <w:szCs w:val="14"/>
                <w:lang w:eastAsia="sk-SK"/>
              </w:rPr>
            </w:pPr>
            <w:r>
              <w:rPr>
                <w:rFonts w:ascii="Times New Roman" w:hAnsi="Times New Roman"/>
                <w:sz w:val="14"/>
                <w:szCs w:val="14"/>
                <w:lang w:eastAsia="sk-SK"/>
              </w:rPr>
              <w:t>150 000 000</w:t>
            </w:r>
          </w:p>
        </w:tc>
        <w:tc>
          <w:tcPr>
            <w:tcW w:w="545" w:type="pct"/>
            <w:tcBorders>
              <w:top w:val="single" w:sz="4" w:space="0" w:color="auto"/>
              <w:left w:val="nil"/>
              <w:bottom w:val="single" w:sz="4" w:space="0" w:color="auto"/>
              <w:right w:val="single" w:sz="4" w:space="0" w:color="auto"/>
            </w:tcBorders>
            <w:vAlign w:val="bottom"/>
          </w:tcPr>
          <w:p w:rsidR="005C5842" w:rsidRDefault="005C5842" w:rsidP="009A178E">
            <w:pPr>
              <w:jc w:val="right"/>
              <w:rPr>
                <w:rFonts w:ascii="Times New Roman" w:hAnsi="Times New Roman"/>
                <w:sz w:val="14"/>
                <w:szCs w:val="14"/>
                <w:lang w:eastAsia="sk-SK"/>
              </w:rPr>
            </w:pPr>
            <w:r>
              <w:rPr>
                <w:rFonts w:ascii="Times New Roman" w:hAnsi="Times New Roman"/>
                <w:sz w:val="14"/>
                <w:szCs w:val="14"/>
                <w:lang w:eastAsia="sk-SK"/>
              </w:rPr>
              <w:t>0</w:t>
            </w:r>
          </w:p>
        </w:tc>
        <w:tc>
          <w:tcPr>
            <w:tcW w:w="543" w:type="pct"/>
            <w:tcBorders>
              <w:top w:val="single" w:sz="4" w:space="0" w:color="auto"/>
              <w:left w:val="nil"/>
              <w:bottom w:val="single" w:sz="4" w:space="0" w:color="auto"/>
              <w:right w:val="single" w:sz="4" w:space="0" w:color="auto"/>
            </w:tcBorders>
            <w:vAlign w:val="bottom"/>
          </w:tcPr>
          <w:p w:rsidR="005C5842" w:rsidRDefault="005C5842" w:rsidP="009A178E">
            <w:pPr>
              <w:jc w:val="right"/>
              <w:rPr>
                <w:rFonts w:ascii="Times New Roman" w:hAnsi="Times New Roman"/>
                <w:sz w:val="14"/>
                <w:szCs w:val="14"/>
                <w:lang w:eastAsia="sk-SK"/>
              </w:rPr>
            </w:pPr>
            <w:r>
              <w:rPr>
                <w:rFonts w:ascii="Times New Roman" w:hAnsi="Times New Roman"/>
                <w:sz w:val="14"/>
                <w:szCs w:val="14"/>
                <w:lang w:eastAsia="sk-SK"/>
              </w:rPr>
              <w:t>0</w:t>
            </w:r>
          </w:p>
        </w:tc>
      </w:tr>
      <w:tr w:rsidR="005C5842" w:rsidRPr="0026326A" w:rsidTr="009A178E">
        <w:trPr>
          <w:trHeight w:val="227"/>
        </w:trPr>
        <w:tc>
          <w:tcPr>
            <w:tcW w:w="1172" w:type="pct"/>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Rezerva na zhoršenie daňových a nedaňových príjmov</w:t>
            </w:r>
          </w:p>
        </w:tc>
        <w:tc>
          <w:tcPr>
            <w:tcW w:w="545" w:type="pct"/>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545" w:type="pct"/>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544" w:type="pct"/>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140 000 000</w:t>
            </w:r>
          </w:p>
        </w:tc>
        <w:tc>
          <w:tcPr>
            <w:tcW w:w="545" w:type="pct"/>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bCs/>
                <w:sz w:val="14"/>
                <w:szCs w:val="14"/>
                <w:lang w:eastAsia="sk-SK"/>
              </w:rPr>
              <w:t>7 927 000</w:t>
            </w:r>
          </w:p>
        </w:tc>
        <w:tc>
          <w:tcPr>
            <w:tcW w:w="560" w:type="pct"/>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545" w:type="pct"/>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543" w:type="pct"/>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r>
      <w:tr w:rsidR="005C5842" w:rsidRPr="00E70811" w:rsidTr="009A178E">
        <w:trPr>
          <w:trHeight w:val="227"/>
        </w:trPr>
        <w:tc>
          <w:tcPr>
            <w:tcW w:w="1172" w:type="pct"/>
            <w:tcBorders>
              <w:top w:val="single" w:sz="4" w:space="0" w:color="auto"/>
              <w:left w:val="single" w:sz="4" w:space="0" w:color="auto"/>
              <w:bottom w:val="single" w:sz="4" w:space="0" w:color="auto"/>
              <w:right w:val="single" w:sz="4" w:space="0" w:color="auto"/>
            </w:tcBorders>
            <w:vAlign w:val="bottom"/>
          </w:tcPr>
          <w:p w:rsidR="005C5842" w:rsidRPr="00DD00BE" w:rsidRDefault="005C5842" w:rsidP="009A178E">
            <w:pPr>
              <w:rPr>
                <w:rFonts w:ascii="Times New Roman" w:hAnsi="Times New Roman"/>
                <w:sz w:val="14"/>
                <w:szCs w:val="14"/>
                <w:lang w:eastAsia="sk-SK"/>
              </w:rPr>
            </w:pPr>
            <w:r w:rsidRPr="00DD00BE">
              <w:rPr>
                <w:rFonts w:ascii="Times New Roman" w:hAnsi="Times New Roman"/>
                <w:sz w:val="14"/>
                <w:szCs w:val="14"/>
                <w:lang w:eastAsia="sk-SK"/>
              </w:rPr>
              <w:t>Rezerva na vývoj ekonomického cyklu</w:t>
            </w:r>
          </w:p>
        </w:tc>
        <w:tc>
          <w:tcPr>
            <w:tcW w:w="545" w:type="pct"/>
            <w:tcBorders>
              <w:top w:val="single" w:sz="4" w:space="0" w:color="auto"/>
              <w:left w:val="nil"/>
              <w:bottom w:val="single" w:sz="4" w:space="0" w:color="auto"/>
              <w:right w:val="single" w:sz="4" w:space="0" w:color="auto"/>
            </w:tcBorders>
            <w:vAlign w:val="bottom"/>
          </w:tcPr>
          <w:p w:rsidR="005C5842" w:rsidRPr="00DD00BE" w:rsidRDefault="005C5842" w:rsidP="009A178E">
            <w:pPr>
              <w:jc w:val="right"/>
              <w:rPr>
                <w:rFonts w:ascii="Times New Roman" w:hAnsi="Times New Roman"/>
                <w:sz w:val="14"/>
                <w:szCs w:val="14"/>
                <w:lang w:eastAsia="sk-SK"/>
              </w:rPr>
            </w:pPr>
            <w:r w:rsidRPr="00DD00BE">
              <w:rPr>
                <w:rFonts w:ascii="Times New Roman" w:hAnsi="Times New Roman"/>
                <w:sz w:val="14"/>
                <w:szCs w:val="14"/>
                <w:lang w:eastAsia="sk-SK"/>
              </w:rPr>
              <w:t>0</w:t>
            </w:r>
          </w:p>
        </w:tc>
        <w:tc>
          <w:tcPr>
            <w:tcW w:w="545" w:type="pct"/>
            <w:tcBorders>
              <w:top w:val="single" w:sz="4" w:space="0" w:color="auto"/>
              <w:left w:val="single" w:sz="4" w:space="0" w:color="auto"/>
              <w:bottom w:val="single" w:sz="4" w:space="0" w:color="auto"/>
              <w:right w:val="single" w:sz="4" w:space="0" w:color="auto"/>
            </w:tcBorders>
            <w:vAlign w:val="bottom"/>
          </w:tcPr>
          <w:p w:rsidR="005C5842" w:rsidRPr="00DD00BE" w:rsidRDefault="005C5842" w:rsidP="009A178E">
            <w:pPr>
              <w:jc w:val="right"/>
              <w:rPr>
                <w:rFonts w:ascii="Times New Roman" w:hAnsi="Times New Roman"/>
                <w:sz w:val="14"/>
                <w:szCs w:val="14"/>
                <w:lang w:eastAsia="sk-SK"/>
              </w:rPr>
            </w:pPr>
            <w:r w:rsidRPr="00DD00BE">
              <w:rPr>
                <w:rFonts w:ascii="Times New Roman" w:hAnsi="Times New Roman"/>
                <w:sz w:val="14"/>
                <w:szCs w:val="14"/>
                <w:lang w:eastAsia="sk-SK"/>
              </w:rPr>
              <w:t>0</w:t>
            </w:r>
          </w:p>
        </w:tc>
        <w:tc>
          <w:tcPr>
            <w:tcW w:w="544" w:type="pct"/>
            <w:tcBorders>
              <w:top w:val="single" w:sz="4" w:space="0" w:color="auto"/>
              <w:left w:val="single" w:sz="4" w:space="0" w:color="auto"/>
              <w:bottom w:val="single" w:sz="4" w:space="0" w:color="auto"/>
              <w:right w:val="single" w:sz="4" w:space="0" w:color="auto"/>
            </w:tcBorders>
            <w:vAlign w:val="bottom"/>
          </w:tcPr>
          <w:p w:rsidR="005C5842" w:rsidRPr="00DD00BE" w:rsidRDefault="005C5842" w:rsidP="009A178E">
            <w:pPr>
              <w:jc w:val="right"/>
              <w:rPr>
                <w:rFonts w:ascii="Times New Roman" w:hAnsi="Times New Roman"/>
                <w:bCs/>
                <w:sz w:val="14"/>
                <w:szCs w:val="14"/>
                <w:lang w:eastAsia="sk-SK"/>
              </w:rPr>
            </w:pPr>
            <w:r w:rsidRPr="00DD00BE">
              <w:rPr>
                <w:rFonts w:ascii="Times New Roman" w:hAnsi="Times New Roman"/>
                <w:bCs/>
                <w:sz w:val="14"/>
                <w:szCs w:val="14"/>
                <w:lang w:eastAsia="sk-SK"/>
              </w:rPr>
              <w:t>0</w:t>
            </w:r>
          </w:p>
        </w:tc>
        <w:tc>
          <w:tcPr>
            <w:tcW w:w="545" w:type="pct"/>
            <w:tcBorders>
              <w:top w:val="single" w:sz="4" w:space="0" w:color="auto"/>
              <w:left w:val="single" w:sz="4" w:space="0" w:color="auto"/>
              <w:bottom w:val="single" w:sz="4" w:space="0" w:color="auto"/>
              <w:right w:val="single" w:sz="4" w:space="0" w:color="auto"/>
            </w:tcBorders>
            <w:vAlign w:val="bottom"/>
          </w:tcPr>
          <w:p w:rsidR="005C5842" w:rsidRPr="00DD00BE" w:rsidRDefault="005C5842" w:rsidP="009A178E">
            <w:pPr>
              <w:jc w:val="right"/>
              <w:rPr>
                <w:rFonts w:ascii="Times New Roman" w:hAnsi="Times New Roman"/>
                <w:bCs/>
                <w:sz w:val="14"/>
                <w:szCs w:val="14"/>
                <w:lang w:eastAsia="sk-SK"/>
              </w:rPr>
            </w:pPr>
            <w:r w:rsidRPr="00DD00BE">
              <w:rPr>
                <w:rFonts w:ascii="Times New Roman" w:hAnsi="Times New Roman"/>
                <w:bCs/>
                <w:sz w:val="14"/>
                <w:szCs w:val="14"/>
                <w:lang w:eastAsia="sk-SK"/>
              </w:rPr>
              <w:t>0</w:t>
            </w:r>
          </w:p>
        </w:tc>
        <w:tc>
          <w:tcPr>
            <w:tcW w:w="560" w:type="pct"/>
            <w:tcBorders>
              <w:top w:val="single" w:sz="4" w:space="0" w:color="auto"/>
              <w:left w:val="nil"/>
              <w:bottom w:val="single" w:sz="4" w:space="0" w:color="auto"/>
              <w:right w:val="single" w:sz="4" w:space="0" w:color="auto"/>
            </w:tcBorders>
            <w:noWrap/>
            <w:vAlign w:val="bottom"/>
          </w:tcPr>
          <w:p w:rsidR="005C5842" w:rsidRPr="00DD00BE" w:rsidRDefault="005C5842" w:rsidP="009A178E">
            <w:pPr>
              <w:jc w:val="right"/>
              <w:rPr>
                <w:rFonts w:ascii="Times New Roman" w:hAnsi="Times New Roman"/>
                <w:sz w:val="14"/>
                <w:szCs w:val="14"/>
                <w:lang w:eastAsia="sk-SK"/>
              </w:rPr>
            </w:pPr>
            <w:r w:rsidRPr="00DD00BE">
              <w:rPr>
                <w:rFonts w:ascii="Times New Roman" w:hAnsi="Times New Roman"/>
                <w:sz w:val="14"/>
                <w:szCs w:val="14"/>
                <w:lang w:eastAsia="sk-SK"/>
              </w:rPr>
              <w:t>0</w:t>
            </w:r>
          </w:p>
        </w:tc>
        <w:tc>
          <w:tcPr>
            <w:tcW w:w="545" w:type="pct"/>
            <w:tcBorders>
              <w:top w:val="single" w:sz="4" w:space="0" w:color="auto"/>
              <w:left w:val="nil"/>
              <w:bottom w:val="single" w:sz="4" w:space="0" w:color="auto"/>
              <w:right w:val="single" w:sz="4" w:space="0" w:color="auto"/>
            </w:tcBorders>
            <w:vAlign w:val="bottom"/>
          </w:tcPr>
          <w:p w:rsidR="005C5842" w:rsidRPr="00DD00BE" w:rsidRDefault="005C5842" w:rsidP="004A227E">
            <w:pPr>
              <w:jc w:val="right"/>
              <w:rPr>
                <w:rFonts w:ascii="Times New Roman" w:hAnsi="Times New Roman"/>
                <w:sz w:val="14"/>
                <w:szCs w:val="14"/>
                <w:lang w:eastAsia="sk-SK"/>
              </w:rPr>
            </w:pPr>
            <w:r w:rsidRPr="00DD00BE">
              <w:rPr>
                <w:rFonts w:ascii="Times New Roman" w:hAnsi="Times New Roman"/>
                <w:sz w:val="14"/>
                <w:szCs w:val="14"/>
                <w:lang w:eastAsia="sk-SK"/>
              </w:rPr>
              <w:t>180 000 000</w:t>
            </w:r>
          </w:p>
        </w:tc>
        <w:tc>
          <w:tcPr>
            <w:tcW w:w="543" w:type="pct"/>
            <w:tcBorders>
              <w:top w:val="single" w:sz="4" w:space="0" w:color="auto"/>
              <w:left w:val="nil"/>
              <w:bottom w:val="single" w:sz="4" w:space="0" w:color="auto"/>
              <w:right w:val="single" w:sz="4" w:space="0" w:color="auto"/>
            </w:tcBorders>
            <w:vAlign w:val="bottom"/>
          </w:tcPr>
          <w:p w:rsidR="005C5842" w:rsidRPr="00DD00BE" w:rsidRDefault="005C5842" w:rsidP="009A178E">
            <w:pPr>
              <w:jc w:val="right"/>
              <w:rPr>
                <w:rFonts w:ascii="Times New Roman" w:hAnsi="Times New Roman"/>
                <w:sz w:val="14"/>
                <w:szCs w:val="14"/>
                <w:lang w:eastAsia="sk-SK"/>
              </w:rPr>
            </w:pPr>
            <w:r w:rsidRPr="00DD00BE">
              <w:rPr>
                <w:rFonts w:ascii="Times New Roman" w:hAnsi="Times New Roman"/>
                <w:sz w:val="14"/>
                <w:szCs w:val="14"/>
                <w:lang w:eastAsia="sk-SK"/>
              </w:rPr>
              <w:t>500 000 000</w:t>
            </w:r>
          </w:p>
        </w:tc>
      </w:tr>
      <w:bookmarkEnd w:id="306"/>
      <w:bookmarkEnd w:id="307"/>
    </w:tbl>
    <w:p w:rsidR="005C5842" w:rsidRDefault="005C5842" w:rsidP="005C5842">
      <w:pPr>
        <w:ind w:firstLine="708"/>
        <w:jc w:val="both"/>
        <w:rPr>
          <w:rFonts w:ascii="Times New Roman" w:hAnsi="Times New Roman"/>
        </w:rPr>
      </w:pPr>
    </w:p>
    <w:p w:rsidR="005C5842" w:rsidRDefault="005C5842" w:rsidP="005C5842">
      <w:pPr>
        <w:ind w:firstLine="708"/>
        <w:jc w:val="both"/>
        <w:rPr>
          <w:rFonts w:ascii="Times New Roman" w:hAnsi="Times New Roman"/>
        </w:rPr>
      </w:pPr>
      <w:r>
        <w:rPr>
          <w:rFonts w:ascii="Times New Roman" w:hAnsi="Times New Roman"/>
        </w:rPr>
        <w:t xml:space="preserve">Na krytie nepredvídaných a mimoriadnych potrieb súvisiacich </w:t>
      </w:r>
      <w:r w:rsidRPr="0006072B">
        <w:rPr>
          <w:rFonts w:ascii="Times New Roman" w:hAnsi="Times New Roman"/>
        </w:rPr>
        <w:t>so zabezpečením plnenia vnútorných a zahraničných úloh Slovenskej republiky</w:t>
      </w:r>
      <w:r>
        <w:rPr>
          <w:rFonts w:ascii="Times New Roman" w:hAnsi="Times New Roman"/>
        </w:rPr>
        <w:t xml:space="preserve"> je rozpočtovaná</w:t>
      </w:r>
      <w:r w:rsidRPr="00016A33">
        <w:rPr>
          <w:rFonts w:ascii="Times New Roman" w:hAnsi="Times New Roman"/>
        </w:rPr>
        <w:t xml:space="preserve"> </w:t>
      </w:r>
      <w:r w:rsidRPr="0006072B">
        <w:rPr>
          <w:rFonts w:ascii="Times New Roman" w:hAnsi="Times New Roman"/>
        </w:rPr>
        <w:t>rezerva vlády</w:t>
      </w:r>
      <w:r>
        <w:rPr>
          <w:rFonts w:ascii="Times New Roman" w:hAnsi="Times New Roman"/>
        </w:rPr>
        <w:t>. Rezerva vlády sa rozpočtuje v sume 5,0 mil. eur, čo je rovnaká úroveň ako v rokoch 2017 a 2018.</w:t>
      </w:r>
      <w:r w:rsidRPr="0006072B">
        <w:rPr>
          <w:rFonts w:ascii="Times New Roman" w:hAnsi="Times New Roman"/>
        </w:rPr>
        <w:t xml:space="preserve"> O použití prostriedkov rezervy rozhoduje vláda na návrh ministra financií.</w:t>
      </w:r>
    </w:p>
    <w:p w:rsidR="005C5842" w:rsidRDefault="005C5842" w:rsidP="005C5842">
      <w:pPr>
        <w:ind w:firstLine="708"/>
        <w:jc w:val="both"/>
        <w:rPr>
          <w:rFonts w:ascii="Times New Roman" w:hAnsi="Times New Roman"/>
        </w:rPr>
      </w:pPr>
    </w:p>
    <w:p w:rsidR="005C5842" w:rsidRPr="0006072B" w:rsidRDefault="005C5842" w:rsidP="005C5842">
      <w:pPr>
        <w:ind w:firstLine="708"/>
        <w:jc w:val="both"/>
        <w:rPr>
          <w:rFonts w:ascii="Times New Roman" w:hAnsi="Times New Roman"/>
        </w:rPr>
      </w:pPr>
      <w:r>
        <w:rPr>
          <w:rFonts w:ascii="Times New Roman" w:hAnsi="Times New Roman"/>
        </w:rPr>
        <w:t xml:space="preserve">V rámci rezervy na riešenie vplyvov nových zákonných úprav sa rozpočtujú výdavky súvisiace s pripravovanými legislatívnymi zmenami. </w:t>
      </w:r>
    </w:p>
    <w:p w:rsidR="005C5842" w:rsidRPr="0006072B" w:rsidRDefault="005C5842" w:rsidP="005C5842">
      <w:pPr>
        <w:ind w:firstLine="709"/>
        <w:jc w:val="both"/>
        <w:rPr>
          <w:rFonts w:ascii="Times New Roman" w:hAnsi="Times New Roman"/>
        </w:rPr>
      </w:pPr>
    </w:p>
    <w:p w:rsidR="005C5842" w:rsidRDefault="005C5842" w:rsidP="005C5842">
      <w:pPr>
        <w:ind w:firstLine="709"/>
        <w:jc w:val="both"/>
        <w:rPr>
          <w:rFonts w:ascii="Times New Roman" w:hAnsi="Times New Roman"/>
        </w:rPr>
      </w:pPr>
      <w:r w:rsidRPr="0006072B">
        <w:rPr>
          <w:rFonts w:ascii="Times New Roman" w:hAnsi="Times New Roman"/>
        </w:rPr>
        <w:t xml:space="preserve">Rozhodujúcu časť rezervy na riešenie krízových situácií tvoria výdavky, ktoré </w:t>
      </w:r>
      <w:r>
        <w:rPr>
          <w:rFonts w:ascii="Times New Roman" w:hAnsi="Times New Roman"/>
        </w:rPr>
        <w:t xml:space="preserve">sa použijú </w:t>
      </w:r>
      <w:r w:rsidRPr="0006072B">
        <w:rPr>
          <w:rFonts w:ascii="Times New Roman" w:hAnsi="Times New Roman"/>
        </w:rPr>
        <w:t xml:space="preserve">v prípade povodní, živelných pohrôm, resp. </w:t>
      </w:r>
      <w:r>
        <w:rPr>
          <w:rFonts w:ascii="Times New Roman" w:hAnsi="Times New Roman"/>
        </w:rPr>
        <w:t>na odškodnenie</w:t>
      </w:r>
      <w:r w:rsidRPr="0006072B">
        <w:rPr>
          <w:rFonts w:ascii="Times New Roman" w:hAnsi="Times New Roman"/>
        </w:rPr>
        <w:t xml:space="preserve"> pri mimoriadnych udalostiach a krízových situáciách. Časť prostriedkov sa vyčleňuje ako rezerva, ktorej tvorba vyplýva zo zákona č. 387/2002 Z. z. o riadení štátu v krízových situáciách mimo času vojny a vojnového stavu.</w:t>
      </w:r>
    </w:p>
    <w:p w:rsidR="005C5842" w:rsidRDefault="005C5842" w:rsidP="005C5842">
      <w:pPr>
        <w:ind w:firstLine="709"/>
        <w:jc w:val="both"/>
        <w:rPr>
          <w:rFonts w:ascii="Times New Roman" w:hAnsi="Times New Roman"/>
        </w:rPr>
      </w:pPr>
    </w:p>
    <w:p w:rsidR="005C5842" w:rsidRDefault="005C5842" w:rsidP="005C5842">
      <w:pPr>
        <w:ind w:firstLine="709"/>
        <w:jc w:val="both"/>
        <w:rPr>
          <w:rFonts w:ascii="Times New Roman" w:hAnsi="Times New Roman"/>
        </w:rPr>
      </w:pPr>
      <w:r w:rsidRPr="00E3463F">
        <w:rPr>
          <w:rFonts w:ascii="Times New Roman" w:hAnsi="Times New Roman"/>
        </w:rPr>
        <w:t xml:space="preserve">V kapitole </w:t>
      </w:r>
      <w:r>
        <w:rPr>
          <w:rFonts w:ascii="Times New Roman" w:hAnsi="Times New Roman"/>
        </w:rPr>
        <w:t>VPS</w:t>
      </w:r>
      <w:r w:rsidRPr="00E3463F">
        <w:rPr>
          <w:rFonts w:ascii="Times New Roman" w:hAnsi="Times New Roman"/>
        </w:rPr>
        <w:t xml:space="preserve"> sa v časti </w:t>
      </w:r>
      <w:r>
        <w:rPr>
          <w:rFonts w:ascii="Times New Roman" w:hAnsi="Times New Roman"/>
        </w:rPr>
        <w:t>r</w:t>
      </w:r>
      <w:r w:rsidRPr="00E3463F">
        <w:rPr>
          <w:rFonts w:ascii="Times New Roman" w:hAnsi="Times New Roman"/>
        </w:rPr>
        <w:t>ezerva na mzdy a poistné rozpočtujú osobné výdavky v sume 0,59 mld. eur na rok 2019, v sume 1,14 mld. eur na rok 2020 a v sume 1,27 mld. eur na rok 2021 najmä na:</w:t>
      </w:r>
    </w:p>
    <w:p w:rsidR="005C5842" w:rsidRPr="00E3463F" w:rsidRDefault="005C5842" w:rsidP="005C5842">
      <w:pPr>
        <w:ind w:firstLine="709"/>
        <w:jc w:val="both"/>
        <w:rPr>
          <w:rFonts w:ascii="Times New Roman" w:hAnsi="Times New Roman"/>
        </w:rPr>
      </w:pPr>
    </w:p>
    <w:p w:rsidR="005C5842" w:rsidRDefault="005C5842" w:rsidP="005C5842">
      <w:pPr>
        <w:numPr>
          <w:ilvl w:val="0"/>
          <w:numId w:val="9"/>
        </w:numPr>
        <w:spacing w:after="160"/>
        <w:ind w:left="714" w:hanging="357"/>
        <w:contextualSpacing/>
        <w:jc w:val="both"/>
        <w:rPr>
          <w:rFonts w:ascii="Times New Roman" w:hAnsi="Times New Roman" w:cs="Times New Roman"/>
        </w:rPr>
      </w:pPr>
      <w:r w:rsidRPr="00E3463F">
        <w:rPr>
          <w:rFonts w:ascii="Times New Roman" w:hAnsi="Times New Roman" w:cs="Times New Roman"/>
        </w:rPr>
        <w:t xml:space="preserve">valorizáciu platov zamestnancov od 1. januára 2019 na úrovni 10 % v zmysle vyhlásenia zástupcov sociálnych partnerov k dohode o kolektívnych zmluvách vyššieho stupňa v štátnej službe a vo verejnej službe na roky 2019 a 2020, vrátane 10% zvýšenia platov štátnych zamestnancov v služobnom pomere, </w:t>
      </w:r>
    </w:p>
    <w:p w:rsidR="005C5842" w:rsidRPr="00E3463F" w:rsidRDefault="005C5842" w:rsidP="005C5842">
      <w:pPr>
        <w:spacing w:after="160"/>
        <w:ind w:left="714"/>
        <w:contextualSpacing/>
        <w:jc w:val="both"/>
        <w:rPr>
          <w:rFonts w:ascii="Times New Roman" w:hAnsi="Times New Roman" w:cs="Times New Roman"/>
        </w:rPr>
      </w:pPr>
    </w:p>
    <w:p w:rsidR="005C5842" w:rsidRDefault="005C5842" w:rsidP="005C5842">
      <w:pPr>
        <w:numPr>
          <w:ilvl w:val="0"/>
          <w:numId w:val="9"/>
        </w:numPr>
        <w:spacing w:after="160"/>
        <w:ind w:left="714" w:hanging="357"/>
        <w:contextualSpacing/>
        <w:jc w:val="both"/>
        <w:rPr>
          <w:rFonts w:ascii="Times New Roman" w:hAnsi="Times New Roman" w:cs="Times New Roman"/>
        </w:rPr>
      </w:pPr>
      <w:r w:rsidRPr="00E3463F">
        <w:rPr>
          <w:rFonts w:ascii="Times New Roman" w:hAnsi="Times New Roman" w:cs="Times New Roman"/>
        </w:rPr>
        <w:t>realizáciu zvýhodneného odmeňovania začínajúcich učiteľov od 1. septembra 2019 v súlade s Národným programom rozvoja výchovy a vzdelávania schvále</w:t>
      </w:r>
      <w:r>
        <w:rPr>
          <w:rFonts w:ascii="Times New Roman" w:hAnsi="Times New Roman" w:cs="Times New Roman"/>
        </w:rPr>
        <w:t>ným vládou Slovenskej republiky,</w:t>
      </w:r>
    </w:p>
    <w:p w:rsidR="005C5842" w:rsidRPr="00E3463F" w:rsidRDefault="005C5842" w:rsidP="005C5842">
      <w:pPr>
        <w:spacing w:after="160"/>
        <w:contextualSpacing/>
        <w:jc w:val="both"/>
        <w:rPr>
          <w:rFonts w:ascii="Times New Roman" w:hAnsi="Times New Roman" w:cs="Times New Roman"/>
        </w:rPr>
      </w:pPr>
    </w:p>
    <w:p w:rsidR="005C5842" w:rsidRDefault="005C5842" w:rsidP="005C5842">
      <w:pPr>
        <w:numPr>
          <w:ilvl w:val="0"/>
          <w:numId w:val="9"/>
        </w:numPr>
        <w:spacing w:after="160"/>
        <w:ind w:left="714" w:hanging="357"/>
        <w:contextualSpacing/>
        <w:jc w:val="both"/>
        <w:rPr>
          <w:rFonts w:ascii="Times New Roman" w:hAnsi="Times New Roman" w:cs="Times New Roman"/>
        </w:rPr>
      </w:pPr>
      <w:r w:rsidRPr="00E3463F">
        <w:rPr>
          <w:rFonts w:ascii="Times New Roman" w:hAnsi="Times New Roman" w:cs="Times New Roman"/>
        </w:rPr>
        <w:t>realizáciu zákona, ktorým sa mení a dopĺňa zákon č. 553/2003 Z. z. o odmeňovaní niektorých zamestnancov pri výkone práce vo verejnom záujme a o zmene a doplnení niektorých zákonov v znení neskorších predpisov a ktorým sa menia a dopĺňajú niektoré zákony, k prijatiu ktorého sa zaviazala vláda Slovenskej republiky vo svojom Programovom vyhlásení na roky 2016 – 2020.</w:t>
      </w:r>
    </w:p>
    <w:p w:rsidR="005C5842" w:rsidRPr="000E6F63" w:rsidRDefault="005C5842" w:rsidP="005C5842">
      <w:pPr>
        <w:ind w:firstLine="709"/>
        <w:jc w:val="both"/>
        <w:rPr>
          <w:rFonts w:ascii="Times New Roman" w:hAnsi="Times New Roman"/>
        </w:rPr>
      </w:pPr>
    </w:p>
    <w:p w:rsidR="005C5842" w:rsidRPr="000E6F63" w:rsidRDefault="005C5842" w:rsidP="005C5842">
      <w:pPr>
        <w:ind w:firstLine="709"/>
        <w:jc w:val="both"/>
        <w:rPr>
          <w:rFonts w:ascii="Times New Roman" w:hAnsi="Times New Roman"/>
        </w:rPr>
      </w:pPr>
      <w:r w:rsidRPr="00DD00BE">
        <w:rPr>
          <w:rFonts w:ascii="Times New Roman" w:hAnsi="Times New Roman"/>
        </w:rPr>
        <w:lastRenderedPageBreak/>
        <w:t xml:space="preserve">Zároveň sa v kapitole VPS rozpočtuje rezerva na rok 2019 vo výške </w:t>
      </w:r>
      <w:r w:rsidR="003943F0">
        <w:rPr>
          <w:rFonts w:ascii="Times New Roman" w:hAnsi="Times New Roman"/>
        </w:rPr>
        <w:t>150</w:t>
      </w:r>
      <w:r w:rsidRPr="00DD00BE">
        <w:rPr>
          <w:rFonts w:ascii="Times New Roman" w:hAnsi="Times New Roman"/>
        </w:rPr>
        <w:t xml:space="preserve"> m</w:t>
      </w:r>
      <w:r w:rsidR="003943F0">
        <w:rPr>
          <w:rFonts w:ascii="Times New Roman" w:hAnsi="Times New Roman"/>
        </w:rPr>
        <w:t>il</w:t>
      </w:r>
      <w:r w:rsidRPr="00DD00BE">
        <w:rPr>
          <w:rFonts w:ascii="Times New Roman" w:hAnsi="Times New Roman"/>
        </w:rPr>
        <w:t>. eur, ktorá môže byť v prípade potreby využitá na investície a infraštruktúrne projekty. Na roky 2020 a 2021 bola vytvorená rezerva na vývoj ekonomického cyklu.</w:t>
      </w:r>
      <w:r w:rsidRPr="000E6F63">
        <w:rPr>
          <w:rFonts w:ascii="Times New Roman" w:hAnsi="Times New Roman"/>
        </w:rPr>
        <w:t xml:space="preserve"> </w:t>
      </w:r>
    </w:p>
    <w:p w:rsidR="005C5842" w:rsidRPr="0006072B" w:rsidRDefault="005C5842" w:rsidP="005C5842">
      <w:pPr>
        <w:ind w:firstLine="709"/>
        <w:jc w:val="both"/>
        <w:rPr>
          <w:rFonts w:ascii="Times New Roman" w:hAnsi="Times New Roman"/>
        </w:rPr>
      </w:pPr>
    </w:p>
    <w:p w:rsidR="005C5842" w:rsidRPr="0006072B" w:rsidRDefault="005C5842" w:rsidP="005C5842">
      <w:pPr>
        <w:jc w:val="both"/>
        <w:rPr>
          <w:rFonts w:ascii="Times New Roman" w:hAnsi="Times New Roman"/>
          <w:iCs/>
        </w:rPr>
      </w:pPr>
      <w:r w:rsidRPr="0006072B">
        <w:rPr>
          <w:rFonts w:ascii="Times New Roman" w:hAnsi="Times New Roman"/>
          <w:b/>
          <w:bCs/>
          <w:iCs/>
        </w:rPr>
        <w:t>Finančné vzťahy súvisiace s rozpočtom EÚ</w:t>
      </w:r>
    </w:p>
    <w:p w:rsidR="005C5842" w:rsidRPr="0006072B" w:rsidRDefault="005C5842" w:rsidP="005C5842">
      <w:pPr>
        <w:jc w:val="both"/>
        <w:rPr>
          <w:rFonts w:ascii="Times New Roman" w:hAnsi="Times New Roman"/>
          <w:sz w:val="16"/>
        </w:rPr>
      </w:pPr>
    </w:p>
    <w:tbl>
      <w:tblPr>
        <w:tblW w:w="5000" w:type="pct"/>
        <w:tblCellMar>
          <w:left w:w="70" w:type="dxa"/>
          <w:right w:w="70" w:type="dxa"/>
        </w:tblCellMar>
        <w:tblLook w:val="04A0" w:firstRow="1" w:lastRow="0" w:firstColumn="1" w:lastColumn="0" w:noHBand="0" w:noVBand="1"/>
      </w:tblPr>
      <w:tblGrid>
        <w:gridCol w:w="2132"/>
        <w:gridCol w:w="990"/>
        <w:gridCol w:w="990"/>
        <w:gridCol w:w="990"/>
        <w:gridCol w:w="990"/>
        <w:gridCol w:w="990"/>
        <w:gridCol w:w="990"/>
        <w:gridCol w:w="990"/>
      </w:tblGrid>
      <w:tr w:rsidR="005C5842" w:rsidRPr="00F534F3" w:rsidTr="009A178E">
        <w:trPr>
          <w:trHeight w:val="270"/>
        </w:trPr>
        <w:tc>
          <w:tcPr>
            <w:tcW w:w="1176" w:type="pct"/>
            <w:tcBorders>
              <w:top w:val="single" w:sz="4" w:space="0" w:color="auto"/>
              <w:left w:val="single" w:sz="4" w:space="0" w:color="auto"/>
              <w:bottom w:val="single" w:sz="4" w:space="0" w:color="auto"/>
              <w:right w:val="single" w:sz="4" w:space="0" w:color="auto"/>
            </w:tcBorders>
            <w:shd w:val="clear" w:color="auto" w:fill="A6A6A6"/>
            <w:noWrap/>
            <w:vAlign w:val="bottom"/>
          </w:tcPr>
          <w:p w:rsidR="005C5842" w:rsidRPr="00F534F3" w:rsidRDefault="005C5842" w:rsidP="009A178E">
            <w:pPr>
              <w:rPr>
                <w:rFonts w:ascii="Times New Roman" w:hAnsi="Times New Roman"/>
                <w:b/>
                <w:bCs/>
                <w:sz w:val="14"/>
                <w:szCs w:val="14"/>
                <w:lang w:eastAsia="sk-SK"/>
              </w:rPr>
            </w:pPr>
            <w:bookmarkStart w:id="308" w:name="OLE_LINK7"/>
            <w:bookmarkStart w:id="309" w:name="OLE_LINK8"/>
            <w:bookmarkStart w:id="310" w:name="OLE_LINK9"/>
            <w:r w:rsidRPr="00F534F3">
              <w:rPr>
                <w:rFonts w:ascii="Times New Roman" w:hAnsi="Times New Roman"/>
                <w:b/>
                <w:bCs/>
                <w:sz w:val="14"/>
                <w:szCs w:val="14"/>
                <w:lang w:eastAsia="sk-SK"/>
              </w:rPr>
              <w:t>v eurách</w:t>
            </w:r>
          </w:p>
        </w:tc>
        <w:tc>
          <w:tcPr>
            <w:tcW w:w="546" w:type="pct"/>
            <w:tcBorders>
              <w:top w:val="single" w:sz="4" w:space="0" w:color="auto"/>
              <w:left w:val="nil"/>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sidRPr="00F534F3">
              <w:rPr>
                <w:rFonts w:ascii="Times New Roman" w:hAnsi="Times New Roman"/>
                <w:b/>
                <w:sz w:val="14"/>
                <w:szCs w:val="14"/>
                <w:lang w:eastAsia="sk-SK"/>
              </w:rPr>
              <w:t>2016 S</w:t>
            </w:r>
          </w:p>
        </w:tc>
        <w:tc>
          <w:tcPr>
            <w:tcW w:w="546" w:type="pct"/>
            <w:tcBorders>
              <w:top w:val="single" w:sz="4" w:space="0" w:color="auto"/>
              <w:left w:val="single" w:sz="4" w:space="0" w:color="auto"/>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sidRPr="00F534F3">
              <w:rPr>
                <w:rFonts w:ascii="Times New Roman" w:hAnsi="Times New Roman"/>
                <w:b/>
                <w:sz w:val="14"/>
                <w:szCs w:val="14"/>
                <w:lang w:eastAsia="sk-SK"/>
              </w:rPr>
              <w:t xml:space="preserve">2017 </w:t>
            </w:r>
            <w:r>
              <w:rPr>
                <w:rFonts w:ascii="Times New Roman" w:hAnsi="Times New Roman"/>
                <w:b/>
                <w:sz w:val="14"/>
                <w:szCs w:val="14"/>
                <w:lang w:eastAsia="sk-SK"/>
              </w:rPr>
              <w:t>S</w:t>
            </w:r>
          </w:p>
        </w:tc>
        <w:tc>
          <w:tcPr>
            <w:tcW w:w="546" w:type="pct"/>
            <w:tcBorders>
              <w:top w:val="single" w:sz="4" w:space="0" w:color="auto"/>
              <w:left w:val="single" w:sz="4" w:space="0" w:color="auto"/>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Pr>
                <w:rFonts w:ascii="Times New Roman" w:hAnsi="Times New Roman"/>
                <w:b/>
                <w:sz w:val="14"/>
                <w:szCs w:val="14"/>
                <w:lang w:eastAsia="sk-SK"/>
              </w:rPr>
              <w:t>2018 R</w:t>
            </w:r>
          </w:p>
        </w:tc>
        <w:tc>
          <w:tcPr>
            <w:tcW w:w="546" w:type="pct"/>
            <w:tcBorders>
              <w:top w:val="single" w:sz="4" w:space="0" w:color="auto"/>
              <w:left w:val="single" w:sz="4" w:space="0" w:color="auto"/>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Pr>
                <w:rFonts w:ascii="Times New Roman" w:hAnsi="Times New Roman"/>
                <w:b/>
                <w:sz w:val="14"/>
                <w:szCs w:val="14"/>
                <w:lang w:eastAsia="sk-SK"/>
              </w:rPr>
              <w:t>2018 OS</w:t>
            </w:r>
          </w:p>
        </w:tc>
        <w:tc>
          <w:tcPr>
            <w:tcW w:w="546" w:type="pct"/>
            <w:tcBorders>
              <w:top w:val="single" w:sz="4" w:space="0" w:color="auto"/>
              <w:left w:val="nil"/>
              <w:bottom w:val="single" w:sz="4" w:space="0" w:color="auto"/>
              <w:right w:val="single" w:sz="4" w:space="0" w:color="auto"/>
            </w:tcBorders>
            <w:shd w:val="clear" w:color="auto" w:fill="A6A6A6"/>
            <w:noWrap/>
            <w:vAlign w:val="bottom"/>
          </w:tcPr>
          <w:p w:rsidR="005C5842" w:rsidRPr="00F534F3" w:rsidRDefault="005C5842" w:rsidP="009A178E">
            <w:pPr>
              <w:jc w:val="center"/>
              <w:rPr>
                <w:rFonts w:ascii="Times New Roman" w:hAnsi="Times New Roman"/>
                <w:b/>
                <w:sz w:val="14"/>
                <w:szCs w:val="14"/>
                <w:lang w:eastAsia="sk-SK"/>
              </w:rPr>
            </w:pPr>
            <w:r w:rsidRPr="00F534F3">
              <w:rPr>
                <w:rFonts w:ascii="Times New Roman" w:hAnsi="Times New Roman"/>
                <w:b/>
                <w:sz w:val="14"/>
                <w:szCs w:val="14"/>
                <w:lang w:eastAsia="sk-SK"/>
              </w:rPr>
              <w:t>2019 N</w:t>
            </w:r>
          </w:p>
        </w:tc>
        <w:tc>
          <w:tcPr>
            <w:tcW w:w="546" w:type="pct"/>
            <w:tcBorders>
              <w:top w:val="single" w:sz="4" w:space="0" w:color="auto"/>
              <w:left w:val="nil"/>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sidRPr="00F534F3">
              <w:rPr>
                <w:rFonts w:ascii="Times New Roman" w:hAnsi="Times New Roman"/>
                <w:b/>
                <w:sz w:val="14"/>
                <w:szCs w:val="14"/>
                <w:lang w:eastAsia="sk-SK"/>
              </w:rPr>
              <w:t>2020 N</w:t>
            </w:r>
          </w:p>
        </w:tc>
        <w:tc>
          <w:tcPr>
            <w:tcW w:w="546" w:type="pct"/>
            <w:tcBorders>
              <w:top w:val="single" w:sz="4" w:space="0" w:color="auto"/>
              <w:left w:val="nil"/>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Pr>
                <w:rFonts w:ascii="Times New Roman" w:hAnsi="Times New Roman"/>
                <w:b/>
                <w:sz w:val="14"/>
                <w:szCs w:val="14"/>
                <w:lang w:eastAsia="sk-SK"/>
              </w:rPr>
              <w:t>2021 N</w:t>
            </w:r>
          </w:p>
        </w:tc>
      </w:tr>
      <w:tr w:rsidR="005C5842" w:rsidRPr="00F534F3" w:rsidTr="009A178E">
        <w:trPr>
          <w:trHeight w:val="422"/>
        </w:trPr>
        <w:tc>
          <w:tcPr>
            <w:tcW w:w="1176" w:type="pct"/>
            <w:tcBorders>
              <w:top w:val="single" w:sz="4" w:space="0" w:color="auto"/>
              <w:left w:val="single" w:sz="4" w:space="0" w:color="auto"/>
              <w:bottom w:val="single" w:sz="4" w:space="0" w:color="auto"/>
              <w:right w:val="single" w:sz="4" w:space="0" w:color="auto"/>
            </w:tcBorders>
            <w:shd w:val="clear" w:color="auto" w:fill="BFBFBF"/>
            <w:vAlign w:val="bottom"/>
          </w:tcPr>
          <w:p w:rsidR="005C5842" w:rsidRPr="0026326A" w:rsidRDefault="005C5842" w:rsidP="009A178E">
            <w:pPr>
              <w:rPr>
                <w:rFonts w:ascii="Times New Roman" w:hAnsi="Times New Roman"/>
                <w:b/>
                <w:bCs/>
                <w:sz w:val="14"/>
                <w:szCs w:val="14"/>
                <w:lang w:eastAsia="sk-SK"/>
              </w:rPr>
            </w:pPr>
            <w:r w:rsidRPr="0026326A">
              <w:rPr>
                <w:rFonts w:ascii="Times New Roman" w:hAnsi="Times New Roman"/>
                <w:b/>
                <w:bCs/>
                <w:sz w:val="14"/>
                <w:szCs w:val="14"/>
                <w:lang w:eastAsia="sk-SK"/>
              </w:rPr>
              <w:t>Finančné vzťahy súvisiace s rozpočtom EÚ</w:t>
            </w:r>
          </w:p>
        </w:tc>
        <w:tc>
          <w:tcPr>
            <w:tcW w:w="546" w:type="pct"/>
            <w:tcBorders>
              <w:top w:val="single" w:sz="4" w:space="0" w:color="auto"/>
              <w:left w:val="nil"/>
              <w:bottom w:val="single" w:sz="4" w:space="0" w:color="auto"/>
              <w:right w:val="single" w:sz="4" w:space="0" w:color="auto"/>
            </w:tcBorders>
            <w:shd w:val="clear" w:color="auto" w:fill="BFBFBF"/>
            <w:vAlign w:val="bottom"/>
          </w:tcPr>
          <w:p w:rsidR="005C5842" w:rsidRPr="0026326A" w:rsidRDefault="005C5842" w:rsidP="009A178E">
            <w:pPr>
              <w:jc w:val="right"/>
              <w:rPr>
                <w:rFonts w:ascii="Times New Roman" w:hAnsi="Times New Roman"/>
                <w:b/>
                <w:bCs/>
                <w:sz w:val="14"/>
                <w:szCs w:val="14"/>
                <w:lang w:eastAsia="sk-SK"/>
              </w:rPr>
            </w:pPr>
            <w:r w:rsidRPr="0026326A">
              <w:rPr>
                <w:rFonts w:ascii="Times New Roman" w:hAnsi="Times New Roman"/>
                <w:b/>
                <w:bCs/>
                <w:sz w:val="14"/>
                <w:szCs w:val="14"/>
                <w:lang w:eastAsia="sk-SK"/>
              </w:rPr>
              <w:t>658 521 541</w:t>
            </w:r>
          </w:p>
        </w:tc>
        <w:tc>
          <w:tcPr>
            <w:tcW w:w="546" w:type="pct"/>
            <w:tcBorders>
              <w:top w:val="single" w:sz="4" w:space="0" w:color="auto"/>
              <w:left w:val="single" w:sz="4" w:space="0" w:color="auto"/>
              <w:bottom w:val="single" w:sz="4" w:space="0" w:color="auto"/>
              <w:right w:val="single" w:sz="4" w:space="0" w:color="auto"/>
            </w:tcBorders>
            <w:shd w:val="clear" w:color="auto" w:fill="BFBFBF"/>
            <w:vAlign w:val="bottom"/>
          </w:tcPr>
          <w:p w:rsidR="005C5842" w:rsidRPr="0026326A" w:rsidRDefault="005C5842" w:rsidP="009A178E">
            <w:pPr>
              <w:jc w:val="right"/>
              <w:rPr>
                <w:rFonts w:ascii="Times New Roman" w:hAnsi="Times New Roman"/>
                <w:b/>
                <w:bCs/>
                <w:sz w:val="14"/>
                <w:szCs w:val="14"/>
                <w:lang w:eastAsia="sk-SK"/>
              </w:rPr>
            </w:pPr>
            <w:r w:rsidRPr="0026326A">
              <w:rPr>
                <w:rFonts w:ascii="Times New Roman" w:hAnsi="Times New Roman"/>
                <w:b/>
                <w:bCs/>
                <w:sz w:val="14"/>
                <w:szCs w:val="14"/>
                <w:lang w:eastAsia="sk-SK"/>
              </w:rPr>
              <w:t>653 596 693</w:t>
            </w:r>
          </w:p>
        </w:tc>
        <w:tc>
          <w:tcPr>
            <w:tcW w:w="546" w:type="pct"/>
            <w:tcBorders>
              <w:top w:val="single" w:sz="4" w:space="0" w:color="auto"/>
              <w:left w:val="single" w:sz="4" w:space="0" w:color="auto"/>
              <w:bottom w:val="single" w:sz="4" w:space="0" w:color="auto"/>
              <w:right w:val="single" w:sz="4" w:space="0" w:color="auto"/>
            </w:tcBorders>
            <w:shd w:val="clear" w:color="auto" w:fill="BFBFBF"/>
            <w:vAlign w:val="bottom"/>
          </w:tcPr>
          <w:p w:rsidR="005C5842" w:rsidRPr="0026326A" w:rsidRDefault="005C5842" w:rsidP="009A178E">
            <w:pPr>
              <w:jc w:val="right"/>
              <w:rPr>
                <w:rFonts w:ascii="Times New Roman" w:hAnsi="Times New Roman"/>
                <w:b/>
                <w:sz w:val="14"/>
                <w:szCs w:val="14"/>
                <w:lang w:eastAsia="sk-SK"/>
              </w:rPr>
            </w:pPr>
            <w:r w:rsidRPr="0026326A">
              <w:rPr>
                <w:rFonts w:ascii="Times New Roman" w:hAnsi="Times New Roman"/>
                <w:b/>
                <w:bCs/>
                <w:sz w:val="14"/>
                <w:szCs w:val="14"/>
                <w:lang w:eastAsia="sk-SK"/>
              </w:rPr>
              <w:t>918 286 386</w:t>
            </w:r>
          </w:p>
        </w:tc>
        <w:tc>
          <w:tcPr>
            <w:tcW w:w="546" w:type="pct"/>
            <w:tcBorders>
              <w:top w:val="single" w:sz="4" w:space="0" w:color="auto"/>
              <w:left w:val="single" w:sz="4" w:space="0" w:color="auto"/>
              <w:bottom w:val="single" w:sz="4" w:space="0" w:color="auto"/>
              <w:right w:val="single" w:sz="4" w:space="0" w:color="auto"/>
            </w:tcBorders>
            <w:shd w:val="clear" w:color="auto" w:fill="BFBFBF"/>
            <w:vAlign w:val="bottom"/>
          </w:tcPr>
          <w:p w:rsidR="005C5842" w:rsidRPr="0026326A" w:rsidRDefault="005C5842" w:rsidP="009A178E">
            <w:pPr>
              <w:jc w:val="right"/>
              <w:rPr>
                <w:rFonts w:ascii="Times New Roman" w:hAnsi="Times New Roman"/>
                <w:b/>
                <w:bCs/>
                <w:sz w:val="14"/>
                <w:szCs w:val="14"/>
                <w:lang w:eastAsia="sk-SK"/>
              </w:rPr>
            </w:pPr>
            <w:r>
              <w:rPr>
                <w:rFonts w:ascii="Times New Roman" w:hAnsi="Times New Roman"/>
                <w:b/>
                <w:bCs/>
                <w:sz w:val="14"/>
                <w:szCs w:val="14"/>
                <w:lang w:eastAsia="sk-SK"/>
              </w:rPr>
              <w:t>803 021 683</w:t>
            </w:r>
          </w:p>
        </w:tc>
        <w:tc>
          <w:tcPr>
            <w:tcW w:w="546" w:type="pct"/>
            <w:tcBorders>
              <w:top w:val="single" w:sz="4" w:space="0" w:color="auto"/>
              <w:left w:val="nil"/>
              <w:bottom w:val="single" w:sz="4" w:space="0" w:color="auto"/>
              <w:right w:val="single" w:sz="4" w:space="0" w:color="auto"/>
            </w:tcBorders>
            <w:shd w:val="clear" w:color="auto" w:fill="BFBFBF"/>
            <w:noWrap/>
            <w:vAlign w:val="bottom"/>
          </w:tcPr>
          <w:p w:rsidR="005C5842" w:rsidRPr="00F162F0" w:rsidRDefault="005C5842" w:rsidP="009A178E">
            <w:pPr>
              <w:jc w:val="right"/>
              <w:rPr>
                <w:rFonts w:ascii="Times New Roman" w:hAnsi="Times New Roman"/>
                <w:b/>
                <w:bCs/>
                <w:sz w:val="14"/>
                <w:szCs w:val="14"/>
                <w:lang w:eastAsia="sk-SK"/>
              </w:rPr>
            </w:pPr>
            <w:r w:rsidRPr="00F162F0">
              <w:rPr>
                <w:rFonts w:ascii="Times New Roman" w:hAnsi="Times New Roman"/>
                <w:b/>
                <w:bCs/>
                <w:sz w:val="14"/>
                <w:szCs w:val="14"/>
                <w:lang w:eastAsia="sk-SK"/>
              </w:rPr>
              <w:t>1 083 617 720</w:t>
            </w:r>
          </w:p>
        </w:tc>
        <w:tc>
          <w:tcPr>
            <w:tcW w:w="546" w:type="pct"/>
            <w:tcBorders>
              <w:top w:val="single" w:sz="4" w:space="0" w:color="auto"/>
              <w:left w:val="nil"/>
              <w:bottom w:val="single" w:sz="4" w:space="0" w:color="auto"/>
              <w:right w:val="single" w:sz="4" w:space="0" w:color="auto"/>
            </w:tcBorders>
            <w:shd w:val="clear" w:color="auto" w:fill="BFBFBF"/>
            <w:vAlign w:val="bottom"/>
          </w:tcPr>
          <w:p w:rsidR="005C5842" w:rsidRPr="00F162F0" w:rsidRDefault="005C5842" w:rsidP="009A178E">
            <w:pPr>
              <w:jc w:val="right"/>
              <w:rPr>
                <w:rFonts w:ascii="Times New Roman" w:hAnsi="Times New Roman"/>
                <w:b/>
                <w:bCs/>
                <w:sz w:val="14"/>
                <w:szCs w:val="14"/>
                <w:lang w:eastAsia="sk-SK"/>
              </w:rPr>
            </w:pPr>
            <w:r w:rsidRPr="00F162F0">
              <w:rPr>
                <w:rFonts w:ascii="Times New Roman" w:hAnsi="Times New Roman"/>
                <w:b/>
                <w:bCs/>
                <w:sz w:val="14"/>
                <w:szCs w:val="14"/>
                <w:lang w:eastAsia="sk-SK"/>
              </w:rPr>
              <w:t>1 157 948 728</w:t>
            </w:r>
          </w:p>
        </w:tc>
        <w:tc>
          <w:tcPr>
            <w:tcW w:w="546" w:type="pct"/>
            <w:tcBorders>
              <w:top w:val="single" w:sz="4" w:space="0" w:color="auto"/>
              <w:left w:val="nil"/>
              <w:bottom w:val="single" w:sz="4" w:space="0" w:color="auto"/>
              <w:right w:val="single" w:sz="4" w:space="0" w:color="auto"/>
            </w:tcBorders>
            <w:shd w:val="clear" w:color="auto" w:fill="BFBFBF"/>
            <w:vAlign w:val="bottom"/>
          </w:tcPr>
          <w:p w:rsidR="005C5842" w:rsidRPr="00F162F0" w:rsidRDefault="005C5842" w:rsidP="009A178E">
            <w:pPr>
              <w:jc w:val="right"/>
              <w:rPr>
                <w:rFonts w:ascii="Times New Roman" w:hAnsi="Times New Roman"/>
                <w:b/>
                <w:bCs/>
                <w:sz w:val="14"/>
                <w:szCs w:val="14"/>
                <w:lang w:eastAsia="sk-SK"/>
              </w:rPr>
            </w:pPr>
            <w:r w:rsidRPr="00F162F0">
              <w:rPr>
                <w:rFonts w:ascii="Times New Roman" w:hAnsi="Times New Roman"/>
                <w:b/>
                <w:sz w:val="14"/>
                <w:szCs w:val="14"/>
                <w:lang w:eastAsia="sk-SK"/>
              </w:rPr>
              <w:t>1 083</w:t>
            </w:r>
            <w:r>
              <w:rPr>
                <w:rFonts w:ascii="Times New Roman" w:hAnsi="Times New Roman"/>
                <w:b/>
                <w:sz w:val="14"/>
                <w:szCs w:val="14"/>
                <w:lang w:eastAsia="sk-SK"/>
              </w:rPr>
              <w:t> </w:t>
            </w:r>
            <w:r w:rsidRPr="00F162F0">
              <w:rPr>
                <w:rFonts w:ascii="Times New Roman" w:hAnsi="Times New Roman"/>
                <w:b/>
                <w:sz w:val="14"/>
                <w:szCs w:val="14"/>
                <w:lang w:eastAsia="sk-SK"/>
              </w:rPr>
              <w:t>018</w:t>
            </w:r>
            <w:r>
              <w:rPr>
                <w:rFonts w:ascii="Times New Roman" w:hAnsi="Times New Roman"/>
                <w:b/>
                <w:sz w:val="14"/>
                <w:szCs w:val="14"/>
                <w:lang w:eastAsia="sk-SK"/>
              </w:rPr>
              <w:t xml:space="preserve"> 971</w:t>
            </w:r>
            <w:r w:rsidRPr="00F162F0">
              <w:rPr>
                <w:rFonts w:ascii="Times New Roman" w:hAnsi="Times New Roman"/>
                <w:b/>
                <w:sz w:val="14"/>
                <w:szCs w:val="14"/>
                <w:lang w:eastAsia="sk-SK"/>
              </w:rPr>
              <w:t xml:space="preserve"> </w:t>
            </w:r>
          </w:p>
        </w:tc>
      </w:tr>
      <w:tr w:rsidR="005C5842" w:rsidRPr="00F534F3" w:rsidTr="009A178E">
        <w:trPr>
          <w:trHeight w:val="370"/>
        </w:trPr>
        <w:tc>
          <w:tcPr>
            <w:tcW w:w="117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Výdavky na financovanie finančných mechanizmov</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2 051 601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 1 658 824</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2 317 369</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2 317 369</w:t>
            </w:r>
          </w:p>
        </w:tc>
        <w:tc>
          <w:tcPr>
            <w:tcW w:w="546" w:type="pct"/>
            <w:tcBorders>
              <w:top w:val="single" w:sz="4" w:space="0" w:color="auto"/>
              <w:left w:val="nil"/>
              <w:bottom w:val="single" w:sz="4" w:space="0" w:color="auto"/>
              <w:right w:val="single" w:sz="4" w:space="0" w:color="auto"/>
            </w:tcBorders>
            <w:shd w:val="clear" w:color="auto" w:fill="FFFFFF" w:themeFill="background1"/>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2 250 223</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3 328 761</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2 576 127</w:t>
            </w:r>
          </w:p>
        </w:tc>
      </w:tr>
      <w:tr w:rsidR="005C5842" w:rsidRPr="00F534F3" w:rsidTr="009A178E">
        <w:trPr>
          <w:trHeight w:val="340"/>
        </w:trPr>
        <w:tc>
          <w:tcPr>
            <w:tcW w:w="117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Odvody do všeobecného rozpočtu EÚ</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634 795 552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634 172 156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768 122 000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732 800 000</w:t>
            </w:r>
          </w:p>
        </w:tc>
        <w:tc>
          <w:tcPr>
            <w:tcW w:w="546" w:type="pct"/>
            <w:tcBorders>
              <w:top w:val="single" w:sz="4" w:space="0" w:color="auto"/>
              <w:left w:val="nil"/>
              <w:bottom w:val="single" w:sz="4" w:space="0" w:color="auto"/>
              <w:right w:val="single" w:sz="4" w:space="0" w:color="auto"/>
            </w:tcBorders>
            <w:shd w:val="clear" w:color="auto" w:fill="FFFFFF" w:themeFill="background1"/>
            <w:noWrap/>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839 667 561</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871</w:t>
            </w:r>
            <w:r>
              <w:rPr>
                <w:rFonts w:ascii="Times New Roman" w:hAnsi="Times New Roman"/>
                <w:sz w:val="14"/>
                <w:szCs w:val="14"/>
                <w:lang w:eastAsia="sk-SK"/>
              </w:rPr>
              <w:t> 016 515</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87</w:t>
            </w:r>
            <w:r>
              <w:rPr>
                <w:rFonts w:ascii="Times New Roman" w:hAnsi="Times New Roman"/>
                <w:sz w:val="14"/>
                <w:szCs w:val="14"/>
                <w:lang w:eastAsia="sk-SK"/>
              </w:rPr>
              <w:t>1 599 069</w:t>
            </w:r>
          </w:p>
        </w:tc>
      </w:tr>
      <w:tr w:rsidR="005C5842" w:rsidRPr="00F534F3" w:rsidTr="009A178E">
        <w:trPr>
          <w:trHeight w:val="340"/>
        </w:trPr>
        <w:tc>
          <w:tcPr>
            <w:tcW w:w="117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Príspevky SR do  Európskeho rozvojového fondu</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10 505 456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12 603 016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17 641 000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17 641 000</w:t>
            </w:r>
          </w:p>
        </w:tc>
        <w:tc>
          <w:tcPr>
            <w:tcW w:w="546" w:type="pct"/>
            <w:tcBorders>
              <w:top w:val="single" w:sz="4" w:space="0" w:color="auto"/>
              <w:left w:val="nil"/>
              <w:bottom w:val="single" w:sz="4" w:space="0" w:color="auto"/>
              <w:right w:val="single" w:sz="4" w:space="0" w:color="auto"/>
            </w:tcBorders>
            <w:shd w:val="clear" w:color="auto" w:fill="FFFFFF" w:themeFill="background1"/>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17 934 000</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17 934 000</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18 676 000</w:t>
            </w:r>
          </w:p>
        </w:tc>
      </w:tr>
      <w:tr w:rsidR="005C5842" w:rsidRPr="00F534F3" w:rsidTr="009A178E">
        <w:trPr>
          <w:trHeight w:val="340"/>
        </w:trPr>
        <w:tc>
          <w:tcPr>
            <w:tcW w:w="117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Rezerva na prostriedky Európskej únie a odvody Európskej únii</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11 109 500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130 206 017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50 220 391</w:t>
            </w:r>
          </w:p>
        </w:tc>
        <w:tc>
          <w:tcPr>
            <w:tcW w:w="546" w:type="pct"/>
            <w:tcBorders>
              <w:top w:val="single" w:sz="4" w:space="0" w:color="auto"/>
              <w:left w:val="nil"/>
              <w:bottom w:val="single" w:sz="4" w:space="0" w:color="auto"/>
              <w:right w:val="single" w:sz="4" w:space="0" w:color="auto"/>
            </w:tcBorders>
            <w:shd w:val="clear" w:color="auto" w:fill="FFFFFF" w:themeFill="background1"/>
            <w:noWrap/>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223 765 936</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265 669 452</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190 167 775</w:t>
            </w:r>
          </w:p>
        </w:tc>
      </w:tr>
      <w:tr w:rsidR="005C5842" w:rsidRPr="00F534F3" w:rsidTr="009A178E">
        <w:trPr>
          <w:trHeight w:val="340"/>
        </w:trPr>
        <w:tc>
          <w:tcPr>
            <w:tcW w:w="1176" w:type="pct"/>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 xml:space="preserve">Výdavky na finančné opravy a zrušenia záväzkov EK </w:t>
            </w:r>
          </w:p>
        </w:tc>
        <w:tc>
          <w:tcPr>
            <w:tcW w:w="546" w:type="pct"/>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59 433</w:t>
            </w:r>
          </w:p>
        </w:tc>
        <w:tc>
          <w:tcPr>
            <w:tcW w:w="546" w:type="pct"/>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5 162 697</w:t>
            </w:r>
          </w:p>
        </w:tc>
        <w:tc>
          <w:tcPr>
            <w:tcW w:w="546" w:type="pct"/>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546" w:type="pct"/>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42 923</w:t>
            </w:r>
          </w:p>
        </w:tc>
        <w:tc>
          <w:tcPr>
            <w:tcW w:w="546" w:type="pct"/>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546" w:type="pct"/>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546" w:type="pct"/>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r>
      <w:bookmarkEnd w:id="308"/>
      <w:bookmarkEnd w:id="309"/>
      <w:bookmarkEnd w:id="310"/>
    </w:tbl>
    <w:p w:rsidR="005C5842" w:rsidRPr="0006072B" w:rsidRDefault="005C5842" w:rsidP="005C5842">
      <w:pPr>
        <w:jc w:val="both"/>
        <w:rPr>
          <w:rFonts w:ascii="Times New Roman" w:hAnsi="Times New Roman"/>
          <w:sz w:val="18"/>
          <w:szCs w:val="18"/>
        </w:rPr>
      </w:pPr>
    </w:p>
    <w:p w:rsidR="005C5842" w:rsidRDefault="005C5842" w:rsidP="005C5842">
      <w:pPr>
        <w:ind w:firstLine="709"/>
        <w:jc w:val="both"/>
        <w:rPr>
          <w:rFonts w:ascii="Times New Roman" w:hAnsi="Times New Roman"/>
          <w:bCs/>
        </w:rPr>
      </w:pPr>
      <w:r>
        <w:rPr>
          <w:rFonts w:ascii="Times New Roman" w:hAnsi="Times New Roman"/>
          <w:bCs/>
        </w:rPr>
        <w:t>Výdavky na financovanie finančných mechanizmov na roky 2019 až 2021 zaradené v tejto skupine predstavujú zdroje určené na financovanie finančného mechanizmu EHP a Nórskeho finančného mechanizmu. Výdavky na spolufinancovanie týchto nástrojov sa rozpočtujú na rok 2019 v </w:t>
      </w:r>
      <w:r w:rsidRPr="001D141D">
        <w:rPr>
          <w:rFonts w:ascii="Times New Roman" w:hAnsi="Times New Roman"/>
          <w:bCs/>
        </w:rPr>
        <w:t>sume</w:t>
      </w:r>
      <w:r>
        <w:rPr>
          <w:rFonts w:ascii="Times New Roman" w:hAnsi="Times New Roman"/>
          <w:bCs/>
        </w:rPr>
        <w:t xml:space="preserve"> takmer</w:t>
      </w:r>
      <w:r w:rsidRPr="001D141D">
        <w:rPr>
          <w:rFonts w:ascii="Times New Roman" w:hAnsi="Times New Roman"/>
          <w:bCs/>
        </w:rPr>
        <w:t xml:space="preserve"> 2,3</w:t>
      </w:r>
      <w:r>
        <w:rPr>
          <w:rFonts w:ascii="Times New Roman" w:hAnsi="Times New Roman"/>
          <w:bCs/>
        </w:rPr>
        <w:t xml:space="preserve"> mil. eur.</w:t>
      </w:r>
    </w:p>
    <w:p w:rsidR="005C5842" w:rsidRDefault="005C5842" w:rsidP="005C5842">
      <w:pPr>
        <w:jc w:val="both"/>
        <w:rPr>
          <w:rFonts w:ascii="Times New Roman" w:hAnsi="Times New Roman"/>
          <w:bCs/>
        </w:rPr>
      </w:pPr>
    </w:p>
    <w:p w:rsidR="005C5842" w:rsidRDefault="005C5842" w:rsidP="005C5842">
      <w:pPr>
        <w:ind w:firstLine="709"/>
        <w:jc w:val="both"/>
        <w:rPr>
          <w:rFonts w:ascii="Times New Roman" w:hAnsi="Times New Roman"/>
          <w:bCs/>
        </w:rPr>
      </w:pPr>
      <w:r>
        <w:rPr>
          <w:rFonts w:ascii="Times New Roman" w:hAnsi="Times New Roman"/>
          <w:bCs/>
        </w:rPr>
        <w:t xml:space="preserve">Pri výpočte predpokladanej výšky odvodov SR do všeobecného rozpočtu EÚ na roky 2019 až 2021 zohľadnilo </w:t>
      </w:r>
      <w:r w:rsidRPr="009C10E4">
        <w:rPr>
          <w:rFonts w:ascii="Times New Roman" w:hAnsi="Times New Roman"/>
          <w:bCs/>
        </w:rPr>
        <w:t>Ministerstvo financií SR najmä návrh rozpočtu EÚ na rok 2019, závery zasadnutia Poradného výboru pre vlastné zdroje, viacročný finančný rámec EÚ na roky 2014 až 2020,</w:t>
      </w:r>
      <w:r>
        <w:rPr>
          <w:rFonts w:ascii="Times New Roman" w:hAnsi="Times New Roman"/>
          <w:bCs/>
        </w:rPr>
        <w:t xml:space="preserve"> ako aj návrh viacročného finančného rámca </w:t>
      </w:r>
      <w:r w:rsidR="00C017E3">
        <w:rPr>
          <w:rFonts w:ascii="Times New Roman" w:hAnsi="Times New Roman"/>
          <w:bCs/>
        </w:rPr>
        <w:t>na</w:t>
      </w:r>
      <w:r>
        <w:rPr>
          <w:rFonts w:ascii="Times New Roman" w:hAnsi="Times New Roman"/>
          <w:bCs/>
        </w:rPr>
        <w:t xml:space="preserve"> roky 2021 až 2027. Odhad odvodov SR do všeobecného rozpočtu EÚ je vypracovaný podľa platnej legislatívy pre vlastné zdroje EÚ. </w:t>
      </w:r>
    </w:p>
    <w:p w:rsidR="005C5842" w:rsidRDefault="005C5842" w:rsidP="005C5842">
      <w:pPr>
        <w:ind w:firstLine="709"/>
        <w:jc w:val="both"/>
        <w:rPr>
          <w:rFonts w:ascii="Times New Roman" w:hAnsi="Times New Roman"/>
          <w:bCs/>
        </w:rPr>
      </w:pPr>
    </w:p>
    <w:p w:rsidR="005C5842" w:rsidRDefault="005C5842" w:rsidP="005C5842">
      <w:pPr>
        <w:ind w:firstLine="709"/>
        <w:jc w:val="both"/>
        <w:rPr>
          <w:rFonts w:ascii="Times New Roman" w:hAnsi="Times New Roman"/>
          <w:bCs/>
        </w:rPr>
      </w:pPr>
      <w:r w:rsidRPr="00975100">
        <w:rPr>
          <w:rFonts w:ascii="Times New Roman" w:hAnsi="Times New Roman"/>
          <w:bCs/>
        </w:rPr>
        <w:t xml:space="preserve">Odhad príspevkov SR do Európskeho rozvojového fondu </w:t>
      </w:r>
      <w:r>
        <w:rPr>
          <w:rFonts w:ascii="Times New Roman" w:hAnsi="Times New Roman"/>
          <w:bCs/>
        </w:rPr>
        <w:t>na rok 2019</w:t>
      </w:r>
      <w:r w:rsidRPr="00975100">
        <w:rPr>
          <w:rFonts w:ascii="Times New Roman" w:hAnsi="Times New Roman"/>
          <w:bCs/>
        </w:rPr>
        <w:t xml:space="preserve"> je vypracovaný na základe aktuálnej legislatívy a informácie Európskej komisie o budúcich príspevkoch</w:t>
      </w:r>
      <w:r>
        <w:rPr>
          <w:rFonts w:ascii="Times New Roman" w:hAnsi="Times New Roman"/>
          <w:bCs/>
        </w:rPr>
        <w:t xml:space="preserve"> do fondu</w:t>
      </w:r>
      <w:r w:rsidRPr="00975100">
        <w:rPr>
          <w:rFonts w:ascii="Times New Roman" w:hAnsi="Times New Roman"/>
          <w:bCs/>
        </w:rPr>
        <w:t>.</w:t>
      </w:r>
    </w:p>
    <w:p w:rsidR="005C5842" w:rsidRDefault="005C5842" w:rsidP="005C5842">
      <w:pPr>
        <w:ind w:firstLine="709"/>
        <w:jc w:val="both"/>
        <w:rPr>
          <w:rFonts w:ascii="Times New Roman" w:hAnsi="Times New Roman"/>
          <w:bCs/>
        </w:rPr>
      </w:pPr>
    </w:p>
    <w:p w:rsidR="005C5842" w:rsidRPr="00E34DF0" w:rsidRDefault="005C5842" w:rsidP="005C5842">
      <w:pPr>
        <w:ind w:firstLine="709"/>
        <w:jc w:val="both"/>
        <w:rPr>
          <w:rFonts w:ascii="Times New Roman" w:hAnsi="Times New Roman"/>
          <w:bCs/>
        </w:rPr>
      </w:pPr>
      <w:r>
        <w:rPr>
          <w:rFonts w:ascii="Times New Roman" w:hAnsi="Times New Roman"/>
          <w:bCs/>
        </w:rPr>
        <w:t xml:space="preserve">Štruktúra rezervy na prostriedky EÚ a odvody EÚ je nasledovná. </w:t>
      </w:r>
    </w:p>
    <w:p w:rsidR="005C5842" w:rsidRPr="00E34DF0" w:rsidRDefault="005C5842" w:rsidP="005C5842">
      <w:pPr>
        <w:ind w:firstLine="709"/>
        <w:jc w:val="both"/>
        <w:rPr>
          <w:rFonts w:ascii="Times New Roman" w:hAnsi="Times New Roman"/>
          <w:bCs/>
        </w:rPr>
      </w:pPr>
    </w:p>
    <w:tbl>
      <w:tblPr>
        <w:tblW w:w="9076" w:type="dxa"/>
        <w:tblInd w:w="-5" w:type="dxa"/>
        <w:tblLayout w:type="fixed"/>
        <w:tblCellMar>
          <w:left w:w="70" w:type="dxa"/>
          <w:right w:w="70" w:type="dxa"/>
        </w:tblCellMar>
        <w:tblLook w:val="04A0" w:firstRow="1" w:lastRow="0" w:firstColumn="1" w:lastColumn="0" w:noHBand="0" w:noVBand="1"/>
      </w:tblPr>
      <w:tblGrid>
        <w:gridCol w:w="2132"/>
        <w:gridCol w:w="992"/>
        <w:gridCol w:w="992"/>
        <w:gridCol w:w="992"/>
        <w:gridCol w:w="992"/>
        <w:gridCol w:w="992"/>
        <w:gridCol w:w="992"/>
        <w:gridCol w:w="992"/>
      </w:tblGrid>
      <w:tr w:rsidR="005C5842" w:rsidRPr="00F534F3" w:rsidTr="009A178E">
        <w:trPr>
          <w:trHeight w:val="279"/>
        </w:trPr>
        <w:tc>
          <w:tcPr>
            <w:tcW w:w="2132"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5C5842" w:rsidRPr="00F534F3" w:rsidRDefault="005C5842" w:rsidP="009A178E">
            <w:pPr>
              <w:rPr>
                <w:rFonts w:ascii="Times New Roman" w:hAnsi="Times New Roman"/>
                <w:b/>
                <w:bCs/>
                <w:sz w:val="14"/>
                <w:szCs w:val="14"/>
                <w:lang w:eastAsia="sk-SK"/>
              </w:rPr>
            </w:pPr>
            <w:bookmarkStart w:id="311" w:name="OLE_LINK10"/>
            <w:r w:rsidRPr="00F534F3">
              <w:rPr>
                <w:rFonts w:ascii="Times New Roman" w:hAnsi="Times New Roman"/>
                <w:b/>
                <w:bCs/>
                <w:sz w:val="14"/>
                <w:szCs w:val="14"/>
                <w:lang w:eastAsia="sk-SK"/>
              </w:rPr>
              <w:t>v eurách</w:t>
            </w:r>
          </w:p>
        </w:tc>
        <w:tc>
          <w:tcPr>
            <w:tcW w:w="992" w:type="dxa"/>
            <w:tcBorders>
              <w:top w:val="single" w:sz="4" w:space="0" w:color="auto"/>
              <w:left w:val="nil"/>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bCs/>
                <w:sz w:val="14"/>
                <w:szCs w:val="14"/>
                <w:lang w:eastAsia="sk-SK"/>
              </w:rPr>
            </w:pPr>
            <w:r w:rsidRPr="00F534F3">
              <w:rPr>
                <w:rFonts w:ascii="Times New Roman" w:hAnsi="Times New Roman"/>
                <w:b/>
                <w:bCs/>
                <w:sz w:val="14"/>
                <w:szCs w:val="14"/>
                <w:lang w:eastAsia="sk-SK"/>
              </w:rPr>
              <w:t>2016 S</w:t>
            </w: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Pr>
                <w:rFonts w:ascii="Times New Roman" w:hAnsi="Times New Roman"/>
                <w:b/>
                <w:sz w:val="14"/>
                <w:szCs w:val="14"/>
                <w:lang w:eastAsia="sk-SK"/>
              </w:rPr>
              <w:t>2017 S</w:t>
            </w: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Pr>
                <w:rFonts w:ascii="Times New Roman" w:hAnsi="Times New Roman"/>
                <w:b/>
                <w:sz w:val="14"/>
                <w:szCs w:val="14"/>
                <w:lang w:eastAsia="sk-SK"/>
              </w:rPr>
              <w:t>2018 R</w:t>
            </w: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Pr>
                <w:rFonts w:ascii="Times New Roman" w:hAnsi="Times New Roman"/>
                <w:b/>
                <w:sz w:val="14"/>
                <w:szCs w:val="14"/>
                <w:lang w:eastAsia="sk-SK"/>
              </w:rPr>
              <w:t>2018 OS</w:t>
            </w:r>
          </w:p>
        </w:tc>
        <w:tc>
          <w:tcPr>
            <w:tcW w:w="992" w:type="dxa"/>
            <w:tcBorders>
              <w:top w:val="single" w:sz="4" w:space="0" w:color="auto"/>
              <w:left w:val="nil"/>
              <w:bottom w:val="single" w:sz="4" w:space="0" w:color="auto"/>
              <w:right w:val="single" w:sz="4" w:space="0" w:color="auto"/>
            </w:tcBorders>
            <w:shd w:val="clear" w:color="auto" w:fill="A6A6A6"/>
            <w:noWrap/>
            <w:vAlign w:val="bottom"/>
          </w:tcPr>
          <w:p w:rsidR="005C5842" w:rsidRPr="00F534F3" w:rsidRDefault="005C5842" w:rsidP="009A178E">
            <w:pPr>
              <w:jc w:val="center"/>
              <w:rPr>
                <w:rFonts w:ascii="Times New Roman" w:hAnsi="Times New Roman"/>
                <w:b/>
                <w:sz w:val="14"/>
                <w:szCs w:val="14"/>
                <w:lang w:eastAsia="sk-SK"/>
              </w:rPr>
            </w:pPr>
            <w:r>
              <w:rPr>
                <w:rFonts w:ascii="Times New Roman" w:hAnsi="Times New Roman"/>
                <w:b/>
                <w:sz w:val="14"/>
                <w:szCs w:val="14"/>
                <w:lang w:eastAsia="sk-SK"/>
              </w:rPr>
              <w:t>2019</w:t>
            </w:r>
            <w:r w:rsidRPr="00F534F3">
              <w:rPr>
                <w:rFonts w:ascii="Times New Roman" w:hAnsi="Times New Roman"/>
                <w:b/>
                <w:sz w:val="14"/>
                <w:szCs w:val="14"/>
                <w:lang w:eastAsia="sk-SK"/>
              </w:rPr>
              <w:t xml:space="preserve"> N</w:t>
            </w:r>
          </w:p>
        </w:tc>
        <w:tc>
          <w:tcPr>
            <w:tcW w:w="992" w:type="dxa"/>
            <w:tcBorders>
              <w:top w:val="single" w:sz="4" w:space="0" w:color="auto"/>
              <w:left w:val="nil"/>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sidRPr="00F534F3">
              <w:rPr>
                <w:rFonts w:ascii="Times New Roman" w:hAnsi="Times New Roman"/>
                <w:b/>
                <w:sz w:val="14"/>
                <w:szCs w:val="14"/>
                <w:lang w:eastAsia="sk-SK"/>
              </w:rPr>
              <w:t>2020 N</w:t>
            </w:r>
          </w:p>
        </w:tc>
        <w:tc>
          <w:tcPr>
            <w:tcW w:w="992" w:type="dxa"/>
            <w:tcBorders>
              <w:top w:val="single" w:sz="4" w:space="0" w:color="auto"/>
              <w:left w:val="nil"/>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Pr>
                <w:rFonts w:ascii="Times New Roman" w:hAnsi="Times New Roman"/>
                <w:b/>
                <w:sz w:val="14"/>
                <w:szCs w:val="14"/>
                <w:lang w:eastAsia="sk-SK"/>
              </w:rPr>
              <w:t>2021 N</w:t>
            </w:r>
          </w:p>
        </w:tc>
      </w:tr>
      <w:tr w:rsidR="005C5842" w:rsidRPr="00F534F3" w:rsidTr="009A178E">
        <w:trPr>
          <w:trHeight w:val="592"/>
        </w:trPr>
        <w:tc>
          <w:tcPr>
            <w:tcW w:w="2132"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5C5842" w:rsidRPr="0026326A" w:rsidRDefault="005C5842" w:rsidP="009A178E">
            <w:pPr>
              <w:rPr>
                <w:rFonts w:ascii="Times New Roman" w:hAnsi="Times New Roman"/>
                <w:b/>
                <w:sz w:val="14"/>
                <w:szCs w:val="14"/>
                <w:lang w:eastAsia="sk-SK"/>
              </w:rPr>
            </w:pPr>
            <w:r w:rsidRPr="0026326A">
              <w:rPr>
                <w:rFonts w:ascii="Times New Roman" w:hAnsi="Times New Roman"/>
                <w:b/>
                <w:sz w:val="14"/>
                <w:szCs w:val="14"/>
                <w:lang w:eastAsia="sk-SK"/>
              </w:rPr>
              <w:t>Rezerva na  prostriedky Európskej únie a odvody Európskej únii,  v tom:</w:t>
            </w:r>
          </w:p>
        </w:tc>
        <w:tc>
          <w:tcPr>
            <w:tcW w:w="992" w:type="dxa"/>
            <w:tcBorders>
              <w:top w:val="single" w:sz="4" w:space="0" w:color="auto"/>
              <w:left w:val="nil"/>
              <w:bottom w:val="single" w:sz="4" w:space="0" w:color="auto"/>
              <w:right w:val="single" w:sz="4" w:space="0" w:color="auto"/>
            </w:tcBorders>
            <w:shd w:val="clear" w:color="auto" w:fill="BFBFBF"/>
            <w:vAlign w:val="bottom"/>
          </w:tcPr>
          <w:p w:rsidR="005C5842" w:rsidRPr="0026326A" w:rsidRDefault="005C5842" w:rsidP="009A178E">
            <w:pPr>
              <w:jc w:val="right"/>
              <w:rPr>
                <w:rFonts w:ascii="Times New Roman" w:hAnsi="Times New Roman"/>
                <w:b/>
                <w:sz w:val="14"/>
                <w:szCs w:val="14"/>
                <w:lang w:eastAsia="sk-SK"/>
              </w:rPr>
            </w:pPr>
            <w:r w:rsidRPr="0026326A">
              <w:rPr>
                <w:rFonts w:ascii="Times New Roman" w:hAnsi="Times New Roman"/>
                <w:b/>
                <w:sz w:val="14"/>
                <w:szCs w:val="14"/>
                <w:lang w:eastAsia="sk-SK"/>
              </w:rPr>
              <w:t>11 109 500</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bottom"/>
          </w:tcPr>
          <w:p w:rsidR="005C5842" w:rsidRPr="0026326A" w:rsidRDefault="005C5842" w:rsidP="009A178E">
            <w:pPr>
              <w:jc w:val="right"/>
              <w:rPr>
                <w:rFonts w:ascii="Times New Roman" w:hAnsi="Times New Roman"/>
                <w:b/>
                <w:sz w:val="14"/>
                <w:szCs w:val="14"/>
                <w:lang w:eastAsia="sk-SK"/>
              </w:rPr>
            </w:pPr>
            <w:r w:rsidRPr="0026326A">
              <w:rPr>
                <w:rFonts w:ascii="Times New Roman" w:hAnsi="Times New Roman"/>
                <w:b/>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bottom"/>
          </w:tcPr>
          <w:p w:rsidR="005C5842" w:rsidRPr="0026326A" w:rsidRDefault="005C5842" w:rsidP="009A178E">
            <w:pPr>
              <w:jc w:val="right"/>
              <w:rPr>
                <w:rFonts w:ascii="Times New Roman" w:hAnsi="Times New Roman"/>
                <w:b/>
                <w:sz w:val="14"/>
                <w:szCs w:val="14"/>
                <w:lang w:eastAsia="sk-SK"/>
              </w:rPr>
            </w:pPr>
            <w:r w:rsidRPr="0026326A">
              <w:rPr>
                <w:rFonts w:ascii="Times New Roman" w:hAnsi="Times New Roman"/>
                <w:b/>
                <w:bCs/>
                <w:sz w:val="14"/>
                <w:szCs w:val="14"/>
                <w:lang w:eastAsia="sk-SK"/>
              </w:rPr>
              <w:t>130 206 017</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bottom"/>
          </w:tcPr>
          <w:p w:rsidR="005C5842" w:rsidRPr="0026326A" w:rsidRDefault="005C5842" w:rsidP="009A178E">
            <w:pPr>
              <w:jc w:val="right"/>
              <w:rPr>
                <w:rFonts w:ascii="Times New Roman" w:hAnsi="Times New Roman"/>
                <w:b/>
                <w:sz w:val="14"/>
                <w:szCs w:val="14"/>
                <w:lang w:eastAsia="sk-SK"/>
              </w:rPr>
            </w:pPr>
            <w:r>
              <w:rPr>
                <w:rFonts w:ascii="Times New Roman" w:hAnsi="Times New Roman"/>
                <w:b/>
                <w:sz w:val="14"/>
                <w:szCs w:val="14"/>
                <w:lang w:eastAsia="sk-SK"/>
              </w:rPr>
              <w:t xml:space="preserve">50 220 391 </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5C5842" w:rsidRPr="00966D5F" w:rsidRDefault="005C5842" w:rsidP="009A178E">
            <w:pPr>
              <w:jc w:val="right"/>
              <w:rPr>
                <w:rFonts w:ascii="Times New Roman" w:hAnsi="Times New Roman"/>
                <w:b/>
                <w:sz w:val="14"/>
                <w:szCs w:val="14"/>
                <w:lang w:eastAsia="sk-SK"/>
              </w:rPr>
            </w:pPr>
            <w:r>
              <w:rPr>
                <w:rFonts w:ascii="Times New Roman" w:hAnsi="Times New Roman"/>
                <w:b/>
                <w:sz w:val="14"/>
                <w:szCs w:val="14"/>
                <w:lang w:eastAsia="sk-SK"/>
              </w:rPr>
              <w:t>223 765 936</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5C5842" w:rsidRPr="00966D5F" w:rsidRDefault="005C5842" w:rsidP="009A178E">
            <w:pPr>
              <w:jc w:val="right"/>
              <w:rPr>
                <w:rFonts w:ascii="Times New Roman" w:hAnsi="Times New Roman"/>
                <w:b/>
                <w:sz w:val="14"/>
                <w:szCs w:val="14"/>
                <w:lang w:eastAsia="sk-SK"/>
              </w:rPr>
            </w:pPr>
            <w:r>
              <w:rPr>
                <w:rFonts w:ascii="Times New Roman" w:hAnsi="Times New Roman"/>
                <w:b/>
                <w:sz w:val="14"/>
                <w:szCs w:val="14"/>
                <w:lang w:eastAsia="sk-SK"/>
              </w:rPr>
              <w:t>265 669 452</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5C5842" w:rsidRPr="00966D5F" w:rsidRDefault="005C5842" w:rsidP="009A178E">
            <w:pPr>
              <w:jc w:val="right"/>
              <w:rPr>
                <w:rFonts w:ascii="Times New Roman" w:hAnsi="Times New Roman"/>
                <w:b/>
                <w:sz w:val="14"/>
                <w:szCs w:val="14"/>
                <w:lang w:eastAsia="sk-SK"/>
              </w:rPr>
            </w:pPr>
            <w:r>
              <w:rPr>
                <w:rFonts w:ascii="Times New Roman" w:hAnsi="Times New Roman"/>
                <w:b/>
                <w:sz w:val="14"/>
                <w:szCs w:val="14"/>
                <w:lang w:eastAsia="sk-SK"/>
              </w:rPr>
              <w:t>190 167 775</w:t>
            </w:r>
          </w:p>
        </w:tc>
      </w:tr>
      <w:tr w:rsidR="005C5842" w:rsidRPr="00F534F3" w:rsidTr="009A178E">
        <w:trPr>
          <w:trHeight w:val="281"/>
        </w:trPr>
        <w:tc>
          <w:tcPr>
            <w:tcW w:w="21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 xml:space="preserve">rýchlejšia realizácia a väčší počet projektov </w:t>
            </w:r>
          </w:p>
        </w:tc>
        <w:tc>
          <w:tcPr>
            <w:tcW w:w="992" w:type="dxa"/>
            <w:tcBorders>
              <w:top w:val="single" w:sz="4" w:space="0" w:color="auto"/>
              <w:left w:val="nil"/>
              <w:bottom w:val="single" w:sz="4" w:space="0" w:color="auto"/>
              <w:right w:val="single" w:sz="4" w:space="0" w:color="auto"/>
            </w:tcBorders>
            <w:shd w:val="clear" w:color="auto" w:fill="auto"/>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124 206 017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48 220 391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217 765 936</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259 669 452</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184 116 746</w:t>
            </w:r>
          </w:p>
        </w:tc>
      </w:tr>
      <w:tr w:rsidR="005C5842" w:rsidRPr="00F534F3" w:rsidTr="009A178E">
        <w:trPr>
          <w:trHeight w:val="352"/>
        </w:trPr>
        <w:tc>
          <w:tcPr>
            <w:tcW w:w="2132" w:type="dxa"/>
            <w:tcBorders>
              <w:top w:val="nil"/>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 xml:space="preserve">ďalšie výdavky súvisiace                        s financovaním spoločných programov </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11 109 400</w:t>
            </w:r>
          </w:p>
        </w:tc>
        <w:tc>
          <w:tcPr>
            <w:tcW w:w="992" w:type="dxa"/>
            <w:tcBorders>
              <w:top w:val="nil"/>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nil"/>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1 000 000</w:t>
            </w:r>
          </w:p>
        </w:tc>
        <w:tc>
          <w:tcPr>
            <w:tcW w:w="992" w:type="dxa"/>
            <w:tcBorders>
              <w:top w:val="nil"/>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 xml:space="preserve">1 000 000 </w:t>
            </w:r>
          </w:p>
        </w:tc>
        <w:tc>
          <w:tcPr>
            <w:tcW w:w="992" w:type="dxa"/>
            <w:tcBorders>
              <w:top w:val="nil"/>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1 000 000</w:t>
            </w:r>
          </w:p>
        </w:tc>
        <w:tc>
          <w:tcPr>
            <w:tcW w:w="992" w:type="dxa"/>
            <w:tcBorders>
              <w:top w:val="nil"/>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1 000 000</w:t>
            </w:r>
          </w:p>
        </w:tc>
        <w:tc>
          <w:tcPr>
            <w:tcW w:w="992" w:type="dxa"/>
            <w:tcBorders>
              <w:top w:val="nil"/>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1 000 000</w:t>
            </w:r>
          </w:p>
        </w:tc>
      </w:tr>
      <w:tr w:rsidR="005C5842" w:rsidRPr="00F534F3" w:rsidTr="009A178E">
        <w:trPr>
          <w:trHeight w:val="352"/>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rPr>
            </w:pPr>
            <w:r w:rsidRPr="0026326A">
              <w:rPr>
                <w:rFonts w:ascii="Times New Roman" w:hAnsi="Times New Roman"/>
                <w:sz w:val="14"/>
                <w:szCs w:val="14"/>
              </w:rPr>
              <w:t>zefektívnenie systému finančného riadenia EÚ fondov a iných finančných nástrojov</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5 000 000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1 000 000</w:t>
            </w:r>
          </w:p>
        </w:tc>
        <w:tc>
          <w:tcPr>
            <w:tcW w:w="992" w:type="dxa"/>
            <w:tcBorders>
              <w:top w:val="single" w:sz="4" w:space="0" w:color="auto"/>
              <w:left w:val="single" w:sz="4" w:space="0" w:color="auto"/>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5 000 000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5 000 000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5</w:t>
            </w:r>
            <w:r>
              <w:rPr>
                <w:rFonts w:ascii="Times New Roman" w:hAnsi="Times New Roman"/>
                <w:sz w:val="14"/>
                <w:szCs w:val="14"/>
                <w:lang w:eastAsia="sk-SK"/>
              </w:rPr>
              <w:t> </w:t>
            </w:r>
            <w:r w:rsidRPr="0026326A">
              <w:rPr>
                <w:rFonts w:ascii="Times New Roman" w:hAnsi="Times New Roman"/>
                <w:sz w:val="14"/>
                <w:szCs w:val="14"/>
                <w:lang w:eastAsia="sk-SK"/>
              </w:rPr>
              <w:t>0</w:t>
            </w:r>
            <w:r>
              <w:rPr>
                <w:rFonts w:ascii="Times New Roman" w:hAnsi="Times New Roman"/>
                <w:sz w:val="14"/>
                <w:szCs w:val="14"/>
                <w:lang w:eastAsia="sk-SK"/>
              </w:rPr>
              <w:t>51 029</w:t>
            </w:r>
          </w:p>
        </w:tc>
      </w:tr>
      <w:tr w:rsidR="005C5842" w:rsidRPr="0006072B" w:rsidTr="009A178E">
        <w:trPr>
          <w:trHeight w:val="352"/>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 xml:space="preserve">bankové poplatky súvisiace s odvodmi do všeobecného rozpočtu EÚ </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 xml:space="preserve">100 </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r>
      <w:bookmarkEnd w:id="311"/>
    </w:tbl>
    <w:p w:rsidR="005C5842" w:rsidRPr="0006072B" w:rsidRDefault="005C5842" w:rsidP="005C5842">
      <w:pPr>
        <w:ind w:firstLine="709"/>
        <w:jc w:val="both"/>
        <w:rPr>
          <w:rFonts w:ascii="Times New Roman" w:hAnsi="Times New Roman"/>
          <w:bCs/>
        </w:rPr>
      </w:pPr>
    </w:p>
    <w:p w:rsidR="005C5842" w:rsidRDefault="005C5842" w:rsidP="005C5842">
      <w:pPr>
        <w:ind w:firstLine="709"/>
        <w:jc w:val="both"/>
        <w:rPr>
          <w:rFonts w:ascii="Times New Roman" w:hAnsi="Times New Roman"/>
        </w:rPr>
      </w:pPr>
      <w:r w:rsidRPr="0006072B">
        <w:rPr>
          <w:rFonts w:ascii="Times New Roman" w:hAnsi="Times New Roman"/>
        </w:rPr>
        <w:t xml:space="preserve">Rezerva na prostriedky Európskej únie a odvody Európskej únii sa rozpočtuje </w:t>
      </w:r>
      <w:r w:rsidRPr="0006072B">
        <w:rPr>
          <w:rFonts w:ascii="Times New Roman" w:hAnsi="Times New Roman"/>
        </w:rPr>
        <w:br/>
        <w:t xml:space="preserve">na administrovanie štrukturálnych fondov, Kohézneho fondu, príjmov z poľnohospodárskych fondov, na prípadné korekcie za poskytnuté prostriedky EÚ, na rýchlejšiu realizáciu a väčší počet projektov,  na výdavky na zefektívnenie systému finančného riadenia EÚ fondov a iných finančných nástrojov. Slúži na krytie nevyhnutých a nepredvídaných výdavkov, ktoré vzniknú v tejto oblasti v priebehu roka. </w:t>
      </w:r>
    </w:p>
    <w:p w:rsidR="005C5842" w:rsidRPr="00854E4B" w:rsidRDefault="005C5842" w:rsidP="005C5842">
      <w:pPr>
        <w:spacing w:after="240"/>
        <w:jc w:val="both"/>
        <w:rPr>
          <w:rFonts w:ascii="Times New Roman" w:hAnsi="Times New Roman"/>
          <w:b/>
          <w:bCs/>
          <w:iCs/>
        </w:rPr>
      </w:pPr>
      <w:r w:rsidRPr="00854E4B">
        <w:rPr>
          <w:rFonts w:ascii="Times New Roman" w:hAnsi="Times New Roman"/>
          <w:b/>
          <w:bCs/>
          <w:iCs/>
        </w:rPr>
        <w:lastRenderedPageBreak/>
        <w:t>Výdavky spojené so správou štátneho dlhu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2"/>
        <w:gridCol w:w="991"/>
        <w:gridCol w:w="991"/>
        <w:gridCol w:w="990"/>
        <w:gridCol w:w="990"/>
        <w:gridCol w:w="990"/>
        <w:gridCol w:w="990"/>
        <w:gridCol w:w="988"/>
      </w:tblGrid>
      <w:tr w:rsidR="005C5842" w:rsidRPr="00854E4B" w:rsidTr="009A178E">
        <w:trPr>
          <w:trHeight w:val="283"/>
          <w:jc w:val="center"/>
        </w:trPr>
        <w:tc>
          <w:tcPr>
            <w:tcW w:w="1177" w:type="pct"/>
            <w:tcBorders>
              <w:bottom w:val="single" w:sz="4" w:space="0" w:color="auto"/>
            </w:tcBorders>
            <w:shd w:val="clear" w:color="auto" w:fill="BFBFBF"/>
            <w:noWrap/>
            <w:vAlign w:val="bottom"/>
            <w:hideMark/>
          </w:tcPr>
          <w:p w:rsidR="005C5842" w:rsidRPr="00854E4B" w:rsidRDefault="005C5842" w:rsidP="009A178E">
            <w:pPr>
              <w:rPr>
                <w:rFonts w:ascii="Times New Roman" w:hAnsi="Times New Roman" w:cs="Times New Roman"/>
                <w:b/>
                <w:bCs/>
                <w:color w:val="000000"/>
                <w:sz w:val="14"/>
                <w:szCs w:val="14"/>
                <w:lang w:eastAsia="sk-SK"/>
              </w:rPr>
            </w:pPr>
            <w:r w:rsidRPr="00854E4B">
              <w:rPr>
                <w:rFonts w:ascii="Times New Roman" w:hAnsi="Times New Roman" w:cs="Times New Roman"/>
                <w:b/>
                <w:bCs/>
                <w:color w:val="000000"/>
                <w:sz w:val="14"/>
                <w:szCs w:val="14"/>
                <w:lang w:eastAsia="sk-SK"/>
              </w:rPr>
              <w:t>v eurách</w:t>
            </w:r>
          </w:p>
        </w:tc>
        <w:tc>
          <w:tcPr>
            <w:tcW w:w="547" w:type="pct"/>
            <w:tcBorders>
              <w:bottom w:val="single" w:sz="4" w:space="0" w:color="auto"/>
            </w:tcBorders>
            <w:shd w:val="clear" w:color="auto" w:fill="BFBFBF"/>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2016 S</w:t>
            </w:r>
          </w:p>
        </w:tc>
        <w:tc>
          <w:tcPr>
            <w:tcW w:w="547" w:type="pct"/>
            <w:tcBorders>
              <w:bottom w:val="single" w:sz="4" w:space="0" w:color="auto"/>
            </w:tcBorders>
            <w:shd w:val="clear" w:color="auto" w:fill="BFBFBF"/>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2017 S</w:t>
            </w:r>
          </w:p>
        </w:tc>
        <w:tc>
          <w:tcPr>
            <w:tcW w:w="546" w:type="pct"/>
            <w:tcBorders>
              <w:bottom w:val="single" w:sz="4" w:space="0" w:color="auto"/>
            </w:tcBorders>
            <w:shd w:val="clear" w:color="auto" w:fill="BFBFBF"/>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2018 R</w:t>
            </w:r>
          </w:p>
        </w:tc>
        <w:tc>
          <w:tcPr>
            <w:tcW w:w="546" w:type="pct"/>
            <w:tcBorders>
              <w:bottom w:val="single" w:sz="4" w:space="0" w:color="auto"/>
            </w:tcBorders>
            <w:shd w:val="clear" w:color="auto" w:fill="BFBFBF"/>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2018 OS</w:t>
            </w:r>
          </w:p>
        </w:tc>
        <w:tc>
          <w:tcPr>
            <w:tcW w:w="546" w:type="pct"/>
            <w:tcBorders>
              <w:bottom w:val="single" w:sz="4" w:space="0" w:color="auto"/>
            </w:tcBorders>
            <w:shd w:val="clear" w:color="auto" w:fill="BFBFBF"/>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2019 N</w:t>
            </w:r>
          </w:p>
        </w:tc>
        <w:tc>
          <w:tcPr>
            <w:tcW w:w="546" w:type="pct"/>
            <w:tcBorders>
              <w:bottom w:val="single" w:sz="4" w:space="0" w:color="auto"/>
            </w:tcBorders>
            <w:shd w:val="clear" w:color="auto" w:fill="BFBFBF"/>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2020 N</w:t>
            </w:r>
          </w:p>
        </w:tc>
        <w:tc>
          <w:tcPr>
            <w:tcW w:w="545" w:type="pct"/>
            <w:tcBorders>
              <w:bottom w:val="single" w:sz="4" w:space="0" w:color="auto"/>
            </w:tcBorders>
            <w:shd w:val="clear" w:color="auto" w:fill="BFBFBF"/>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2021 N</w:t>
            </w:r>
          </w:p>
        </w:tc>
      </w:tr>
      <w:tr w:rsidR="005C5842" w:rsidRPr="00854E4B" w:rsidTr="009A178E">
        <w:trPr>
          <w:trHeight w:val="283"/>
          <w:jc w:val="center"/>
        </w:trPr>
        <w:tc>
          <w:tcPr>
            <w:tcW w:w="1177" w:type="pct"/>
            <w:shd w:val="clear" w:color="auto" w:fill="FFFFFF"/>
            <w:vAlign w:val="bottom"/>
            <w:hideMark/>
          </w:tcPr>
          <w:p w:rsidR="005C5842" w:rsidRPr="00854E4B" w:rsidRDefault="005C5842" w:rsidP="009A178E">
            <w:pPr>
              <w:rPr>
                <w:rFonts w:ascii="Times New Roman" w:hAnsi="Times New Roman"/>
                <w:sz w:val="14"/>
                <w:szCs w:val="14"/>
              </w:rPr>
            </w:pPr>
            <w:r w:rsidRPr="00854E4B">
              <w:rPr>
                <w:rFonts w:ascii="Times New Roman" w:hAnsi="Times New Roman"/>
                <w:sz w:val="14"/>
                <w:szCs w:val="14"/>
              </w:rPr>
              <w:t>Dlhová služba (transfer zo ŠR na saldo účet)</w:t>
            </w:r>
          </w:p>
        </w:tc>
        <w:tc>
          <w:tcPr>
            <w:tcW w:w="547" w:type="pct"/>
            <w:shd w:val="clear" w:color="auto" w:fill="FFFFFF"/>
            <w:vAlign w:val="bottom"/>
          </w:tcPr>
          <w:p w:rsidR="005C5842" w:rsidRPr="00854E4B" w:rsidRDefault="005C5842" w:rsidP="009A178E">
            <w:pPr>
              <w:jc w:val="right"/>
              <w:rPr>
                <w:rFonts w:ascii="Times New Roman" w:hAnsi="Times New Roman"/>
                <w:sz w:val="14"/>
                <w:szCs w:val="14"/>
              </w:rPr>
            </w:pPr>
            <w:r w:rsidRPr="00854E4B">
              <w:rPr>
                <w:rFonts w:ascii="Times New Roman" w:hAnsi="Times New Roman"/>
                <w:sz w:val="14"/>
                <w:szCs w:val="14"/>
              </w:rPr>
              <w:t>1 174 727 075</w:t>
            </w:r>
          </w:p>
        </w:tc>
        <w:tc>
          <w:tcPr>
            <w:tcW w:w="547" w:type="pct"/>
            <w:shd w:val="clear" w:color="auto" w:fill="FFFFFF"/>
            <w:vAlign w:val="bottom"/>
          </w:tcPr>
          <w:p w:rsidR="005C5842" w:rsidRPr="00854E4B" w:rsidRDefault="005C5842" w:rsidP="009A178E">
            <w:pPr>
              <w:jc w:val="right"/>
              <w:rPr>
                <w:rFonts w:ascii="Times New Roman" w:hAnsi="Times New Roman"/>
                <w:sz w:val="14"/>
                <w:szCs w:val="14"/>
              </w:rPr>
            </w:pPr>
            <w:r w:rsidRPr="00854E4B">
              <w:rPr>
                <w:rFonts w:ascii="Times New Roman" w:hAnsi="Times New Roman"/>
                <w:sz w:val="14"/>
                <w:szCs w:val="14"/>
              </w:rPr>
              <w:t>1 166 299 326</w:t>
            </w:r>
          </w:p>
        </w:tc>
        <w:tc>
          <w:tcPr>
            <w:tcW w:w="546" w:type="pct"/>
            <w:shd w:val="clear" w:color="auto" w:fill="FFFFFF"/>
            <w:vAlign w:val="bottom"/>
          </w:tcPr>
          <w:p w:rsidR="005C5842" w:rsidRPr="00854E4B" w:rsidRDefault="005C5842" w:rsidP="009A178E">
            <w:pPr>
              <w:jc w:val="right"/>
              <w:rPr>
                <w:rFonts w:ascii="Times New Roman" w:hAnsi="Times New Roman"/>
                <w:sz w:val="14"/>
                <w:szCs w:val="14"/>
              </w:rPr>
            </w:pPr>
            <w:r w:rsidRPr="00854E4B">
              <w:rPr>
                <w:rFonts w:ascii="Times New Roman" w:hAnsi="Times New Roman"/>
                <w:sz w:val="14"/>
                <w:szCs w:val="14"/>
              </w:rPr>
              <w:t>1 150 919 375</w:t>
            </w:r>
          </w:p>
        </w:tc>
        <w:tc>
          <w:tcPr>
            <w:tcW w:w="546" w:type="pct"/>
            <w:shd w:val="clear" w:color="auto" w:fill="FFFFFF"/>
            <w:vAlign w:val="bottom"/>
          </w:tcPr>
          <w:p w:rsidR="005C5842" w:rsidRPr="00854E4B" w:rsidRDefault="005C5842" w:rsidP="009A178E">
            <w:pPr>
              <w:jc w:val="right"/>
              <w:rPr>
                <w:rFonts w:ascii="Times New Roman" w:hAnsi="Times New Roman"/>
                <w:sz w:val="14"/>
                <w:szCs w:val="14"/>
              </w:rPr>
            </w:pPr>
            <w:r w:rsidRPr="00854E4B">
              <w:rPr>
                <w:rFonts w:ascii="Times New Roman" w:hAnsi="Times New Roman"/>
                <w:sz w:val="14"/>
                <w:szCs w:val="14"/>
              </w:rPr>
              <w:t>1 140 352 321</w:t>
            </w:r>
          </w:p>
        </w:tc>
        <w:tc>
          <w:tcPr>
            <w:tcW w:w="546" w:type="pct"/>
            <w:shd w:val="clear" w:color="auto" w:fill="FFFFFF"/>
            <w:vAlign w:val="bottom"/>
          </w:tcPr>
          <w:p w:rsidR="005C5842" w:rsidRPr="00854E4B" w:rsidRDefault="005C5842" w:rsidP="009A178E">
            <w:pPr>
              <w:jc w:val="right"/>
              <w:rPr>
                <w:rFonts w:ascii="Times New Roman" w:hAnsi="Times New Roman"/>
                <w:sz w:val="14"/>
                <w:szCs w:val="14"/>
              </w:rPr>
            </w:pPr>
            <w:r w:rsidRPr="00854E4B">
              <w:rPr>
                <w:rFonts w:ascii="Times New Roman" w:hAnsi="Times New Roman"/>
                <w:sz w:val="14"/>
                <w:szCs w:val="14"/>
              </w:rPr>
              <w:t>1 178 327 389</w:t>
            </w:r>
          </w:p>
        </w:tc>
        <w:tc>
          <w:tcPr>
            <w:tcW w:w="546" w:type="pct"/>
            <w:shd w:val="clear" w:color="auto" w:fill="FFFFFF"/>
            <w:vAlign w:val="bottom"/>
          </w:tcPr>
          <w:p w:rsidR="005C5842" w:rsidRPr="00854E4B" w:rsidRDefault="005C5842" w:rsidP="009A178E">
            <w:pPr>
              <w:jc w:val="right"/>
              <w:rPr>
                <w:rFonts w:ascii="Times New Roman" w:hAnsi="Times New Roman"/>
                <w:sz w:val="14"/>
                <w:szCs w:val="14"/>
              </w:rPr>
            </w:pPr>
            <w:r w:rsidRPr="00854E4B">
              <w:rPr>
                <w:rFonts w:ascii="Times New Roman" w:hAnsi="Times New Roman"/>
                <w:sz w:val="14"/>
                <w:szCs w:val="14"/>
              </w:rPr>
              <w:t>1 257 095 221</w:t>
            </w:r>
          </w:p>
        </w:tc>
        <w:tc>
          <w:tcPr>
            <w:tcW w:w="545" w:type="pct"/>
            <w:shd w:val="clear" w:color="auto" w:fill="FFFFFF"/>
            <w:vAlign w:val="bottom"/>
          </w:tcPr>
          <w:p w:rsidR="005C5842" w:rsidRPr="00854E4B" w:rsidRDefault="005C5842" w:rsidP="009A178E">
            <w:pPr>
              <w:jc w:val="right"/>
              <w:rPr>
                <w:rFonts w:ascii="Times New Roman" w:hAnsi="Times New Roman"/>
                <w:sz w:val="14"/>
                <w:szCs w:val="14"/>
              </w:rPr>
            </w:pPr>
            <w:r w:rsidRPr="00854E4B">
              <w:rPr>
                <w:rFonts w:ascii="Times New Roman" w:hAnsi="Times New Roman"/>
                <w:sz w:val="14"/>
                <w:szCs w:val="14"/>
              </w:rPr>
              <w:t>1 179 391 402</w:t>
            </w:r>
          </w:p>
        </w:tc>
      </w:tr>
      <w:tr w:rsidR="005C5842" w:rsidRPr="00854E4B" w:rsidTr="009A178E">
        <w:trPr>
          <w:trHeight w:val="283"/>
          <w:jc w:val="center"/>
        </w:trPr>
        <w:tc>
          <w:tcPr>
            <w:tcW w:w="1177" w:type="pct"/>
            <w:shd w:val="clear" w:color="auto" w:fill="FFFFFF"/>
            <w:vAlign w:val="bottom"/>
          </w:tcPr>
          <w:p w:rsidR="005C5842" w:rsidRPr="00854E4B" w:rsidRDefault="005C5842" w:rsidP="009A178E">
            <w:pPr>
              <w:rPr>
                <w:rFonts w:ascii="Times New Roman" w:hAnsi="Times New Roman"/>
                <w:sz w:val="14"/>
                <w:szCs w:val="14"/>
              </w:rPr>
            </w:pPr>
            <w:r w:rsidRPr="00854E4B">
              <w:rPr>
                <w:rFonts w:ascii="Times New Roman" w:hAnsi="Times New Roman"/>
                <w:sz w:val="14"/>
                <w:szCs w:val="14"/>
              </w:rPr>
              <w:t>Manipulačné poplatky</w:t>
            </w:r>
          </w:p>
        </w:tc>
        <w:tc>
          <w:tcPr>
            <w:tcW w:w="547" w:type="pct"/>
            <w:shd w:val="clear" w:color="auto" w:fill="FFFFFF"/>
            <w:vAlign w:val="bottom"/>
          </w:tcPr>
          <w:p w:rsidR="005C5842" w:rsidRPr="00854E4B" w:rsidRDefault="005C5842" w:rsidP="009A178E">
            <w:pPr>
              <w:jc w:val="right"/>
              <w:rPr>
                <w:rFonts w:ascii="Times New Roman" w:hAnsi="Times New Roman"/>
                <w:sz w:val="14"/>
                <w:szCs w:val="14"/>
              </w:rPr>
            </w:pPr>
            <w:r w:rsidRPr="00854E4B">
              <w:rPr>
                <w:rFonts w:ascii="Times New Roman" w:hAnsi="Times New Roman"/>
                <w:sz w:val="14"/>
                <w:szCs w:val="14"/>
              </w:rPr>
              <w:t>270 000</w:t>
            </w:r>
          </w:p>
        </w:tc>
        <w:tc>
          <w:tcPr>
            <w:tcW w:w="547" w:type="pct"/>
            <w:shd w:val="clear" w:color="auto" w:fill="FFFFFF"/>
            <w:vAlign w:val="bottom"/>
          </w:tcPr>
          <w:p w:rsidR="005C5842" w:rsidRPr="00854E4B" w:rsidRDefault="005C5842" w:rsidP="009A178E">
            <w:pPr>
              <w:jc w:val="right"/>
              <w:rPr>
                <w:rFonts w:ascii="Times New Roman" w:hAnsi="Times New Roman"/>
                <w:sz w:val="14"/>
                <w:szCs w:val="14"/>
              </w:rPr>
            </w:pPr>
            <w:r w:rsidRPr="00854E4B">
              <w:rPr>
                <w:rFonts w:ascii="Times New Roman" w:hAnsi="Times New Roman"/>
                <w:sz w:val="14"/>
                <w:szCs w:val="14"/>
              </w:rPr>
              <w:t>270 000</w:t>
            </w:r>
          </w:p>
        </w:tc>
        <w:tc>
          <w:tcPr>
            <w:tcW w:w="546" w:type="pct"/>
            <w:shd w:val="clear" w:color="auto" w:fill="FFFFFF"/>
            <w:vAlign w:val="bottom"/>
          </w:tcPr>
          <w:p w:rsidR="005C5842" w:rsidRPr="00854E4B" w:rsidRDefault="005C5842" w:rsidP="009A178E">
            <w:pPr>
              <w:jc w:val="right"/>
              <w:rPr>
                <w:rFonts w:ascii="Times New Roman" w:hAnsi="Times New Roman"/>
                <w:sz w:val="14"/>
                <w:szCs w:val="14"/>
              </w:rPr>
            </w:pPr>
            <w:r w:rsidRPr="00854E4B">
              <w:rPr>
                <w:rFonts w:ascii="Times New Roman" w:hAnsi="Times New Roman"/>
                <w:sz w:val="14"/>
                <w:szCs w:val="14"/>
              </w:rPr>
              <w:t>270 001</w:t>
            </w:r>
          </w:p>
        </w:tc>
        <w:tc>
          <w:tcPr>
            <w:tcW w:w="546" w:type="pct"/>
            <w:shd w:val="clear" w:color="auto" w:fill="FFFFFF"/>
            <w:vAlign w:val="bottom"/>
          </w:tcPr>
          <w:p w:rsidR="005C5842" w:rsidRPr="00854E4B" w:rsidRDefault="005C5842" w:rsidP="009A178E">
            <w:pPr>
              <w:jc w:val="right"/>
              <w:rPr>
                <w:rFonts w:ascii="Times New Roman" w:hAnsi="Times New Roman"/>
                <w:sz w:val="14"/>
                <w:szCs w:val="14"/>
              </w:rPr>
            </w:pPr>
            <w:r w:rsidRPr="00854E4B">
              <w:rPr>
                <w:rFonts w:ascii="Times New Roman" w:hAnsi="Times New Roman"/>
                <w:sz w:val="14"/>
                <w:szCs w:val="14"/>
              </w:rPr>
              <w:t>270 001</w:t>
            </w:r>
          </w:p>
        </w:tc>
        <w:tc>
          <w:tcPr>
            <w:tcW w:w="546" w:type="pct"/>
            <w:shd w:val="clear" w:color="auto" w:fill="FFFFFF"/>
            <w:vAlign w:val="bottom"/>
          </w:tcPr>
          <w:p w:rsidR="005C5842" w:rsidRPr="00854E4B" w:rsidRDefault="005C5842" w:rsidP="009A178E">
            <w:pPr>
              <w:jc w:val="right"/>
              <w:rPr>
                <w:rFonts w:ascii="Times New Roman" w:hAnsi="Times New Roman"/>
                <w:sz w:val="14"/>
                <w:szCs w:val="14"/>
              </w:rPr>
            </w:pPr>
            <w:r w:rsidRPr="00854E4B">
              <w:rPr>
                <w:rFonts w:ascii="Times New Roman" w:hAnsi="Times New Roman"/>
                <w:sz w:val="14"/>
                <w:szCs w:val="14"/>
              </w:rPr>
              <w:t>270 001</w:t>
            </w:r>
          </w:p>
        </w:tc>
        <w:tc>
          <w:tcPr>
            <w:tcW w:w="546" w:type="pct"/>
            <w:shd w:val="clear" w:color="auto" w:fill="FFFFFF"/>
            <w:vAlign w:val="bottom"/>
          </w:tcPr>
          <w:p w:rsidR="005C5842" w:rsidRPr="00854E4B" w:rsidRDefault="005C5842" w:rsidP="009A178E">
            <w:pPr>
              <w:jc w:val="right"/>
              <w:rPr>
                <w:rFonts w:ascii="Times New Roman" w:hAnsi="Times New Roman"/>
                <w:sz w:val="14"/>
                <w:szCs w:val="14"/>
              </w:rPr>
            </w:pPr>
            <w:r w:rsidRPr="00854E4B">
              <w:rPr>
                <w:rFonts w:ascii="Times New Roman" w:hAnsi="Times New Roman"/>
                <w:sz w:val="14"/>
                <w:szCs w:val="14"/>
              </w:rPr>
              <w:t>270 001</w:t>
            </w:r>
          </w:p>
        </w:tc>
        <w:tc>
          <w:tcPr>
            <w:tcW w:w="545" w:type="pct"/>
            <w:shd w:val="clear" w:color="auto" w:fill="FFFFFF"/>
            <w:vAlign w:val="bottom"/>
          </w:tcPr>
          <w:p w:rsidR="005C5842" w:rsidRPr="00854E4B" w:rsidRDefault="005C5842" w:rsidP="009A178E">
            <w:pPr>
              <w:jc w:val="right"/>
              <w:rPr>
                <w:rFonts w:ascii="Times New Roman" w:hAnsi="Times New Roman"/>
                <w:sz w:val="14"/>
                <w:szCs w:val="14"/>
              </w:rPr>
            </w:pPr>
            <w:r w:rsidRPr="00854E4B">
              <w:rPr>
                <w:rFonts w:ascii="Times New Roman" w:hAnsi="Times New Roman"/>
                <w:sz w:val="14"/>
                <w:szCs w:val="14"/>
              </w:rPr>
              <w:t>270 001</w:t>
            </w:r>
          </w:p>
        </w:tc>
      </w:tr>
      <w:tr w:rsidR="005C5842" w:rsidRPr="00854E4B" w:rsidTr="009A178E">
        <w:trPr>
          <w:trHeight w:val="283"/>
          <w:jc w:val="center"/>
        </w:trPr>
        <w:tc>
          <w:tcPr>
            <w:tcW w:w="1177" w:type="pct"/>
            <w:shd w:val="clear" w:color="auto" w:fill="auto"/>
            <w:vAlign w:val="bottom"/>
          </w:tcPr>
          <w:p w:rsidR="005C5842" w:rsidRPr="00854E4B" w:rsidRDefault="005C5842" w:rsidP="009A178E">
            <w:pPr>
              <w:rPr>
                <w:rFonts w:ascii="Times New Roman" w:hAnsi="Times New Roman"/>
                <w:sz w:val="14"/>
                <w:szCs w:val="14"/>
              </w:rPr>
            </w:pPr>
            <w:r w:rsidRPr="00854E4B">
              <w:rPr>
                <w:rFonts w:ascii="Times New Roman" w:hAnsi="Times New Roman"/>
                <w:sz w:val="14"/>
                <w:szCs w:val="14"/>
              </w:rPr>
              <w:t>Výdavky spojené so správou štátneho dlhu</w:t>
            </w:r>
          </w:p>
        </w:tc>
        <w:tc>
          <w:tcPr>
            <w:tcW w:w="547" w:type="pct"/>
            <w:shd w:val="clear" w:color="auto" w:fill="auto"/>
            <w:vAlign w:val="bottom"/>
          </w:tcPr>
          <w:p w:rsidR="005C5842" w:rsidRPr="00854E4B" w:rsidRDefault="005C5842" w:rsidP="009A178E">
            <w:pPr>
              <w:jc w:val="right"/>
              <w:rPr>
                <w:rFonts w:ascii="Times New Roman" w:hAnsi="Times New Roman"/>
                <w:sz w:val="14"/>
                <w:szCs w:val="14"/>
              </w:rPr>
            </w:pPr>
            <w:r w:rsidRPr="00854E4B">
              <w:rPr>
                <w:rFonts w:ascii="Times New Roman" w:hAnsi="Times New Roman"/>
                <w:sz w:val="14"/>
                <w:szCs w:val="14"/>
              </w:rPr>
              <w:t>1 174 997 075</w:t>
            </w:r>
          </w:p>
        </w:tc>
        <w:tc>
          <w:tcPr>
            <w:tcW w:w="547" w:type="pct"/>
            <w:shd w:val="clear" w:color="000000" w:fill="FFFFFF"/>
            <w:vAlign w:val="bottom"/>
          </w:tcPr>
          <w:p w:rsidR="005C5842" w:rsidRPr="00854E4B" w:rsidRDefault="005C5842" w:rsidP="009A178E">
            <w:pPr>
              <w:jc w:val="right"/>
              <w:rPr>
                <w:rFonts w:ascii="Times New Roman" w:hAnsi="Times New Roman"/>
                <w:sz w:val="14"/>
                <w:szCs w:val="14"/>
              </w:rPr>
            </w:pPr>
            <w:r w:rsidRPr="00854E4B">
              <w:rPr>
                <w:rFonts w:ascii="Times New Roman" w:hAnsi="Times New Roman"/>
                <w:sz w:val="14"/>
                <w:szCs w:val="14"/>
              </w:rPr>
              <w:t>1 166 569 326</w:t>
            </w:r>
          </w:p>
        </w:tc>
        <w:tc>
          <w:tcPr>
            <w:tcW w:w="546" w:type="pct"/>
            <w:shd w:val="clear" w:color="auto" w:fill="auto"/>
            <w:vAlign w:val="bottom"/>
          </w:tcPr>
          <w:p w:rsidR="005C5842" w:rsidRPr="00854E4B" w:rsidRDefault="005C5842" w:rsidP="009A178E">
            <w:pPr>
              <w:jc w:val="right"/>
              <w:rPr>
                <w:rFonts w:ascii="Times New Roman" w:hAnsi="Times New Roman"/>
                <w:sz w:val="14"/>
                <w:szCs w:val="14"/>
              </w:rPr>
            </w:pPr>
            <w:r w:rsidRPr="00854E4B">
              <w:rPr>
                <w:rFonts w:ascii="Times New Roman" w:hAnsi="Times New Roman"/>
                <w:sz w:val="14"/>
                <w:szCs w:val="14"/>
              </w:rPr>
              <w:t>1 151 189 376</w:t>
            </w:r>
          </w:p>
        </w:tc>
        <w:tc>
          <w:tcPr>
            <w:tcW w:w="546" w:type="pct"/>
            <w:shd w:val="clear" w:color="auto" w:fill="auto"/>
            <w:vAlign w:val="bottom"/>
          </w:tcPr>
          <w:p w:rsidR="005C5842" w:rsidRPr="00854E4B" w:rsidRDefault="005C5842" w:rsidP="009A178E">
            <w:pPr>
              <w:jc w:val="right"/>
              <w:rPr>
                <w:rFonts w:ascii="Times New Roman" w:hAnsi="Times New Roman"/>
                <w:sz w:val="14"/>
                <w:szCs w:val="14"/>
              </w:rPr>
            </w:pPr>
            <w:r w:rsidRPr="00854E4B">
              <w:rPr>
                <w:rFonts w:ascii="Times New Roman" w:hAnsi="Times New Roman"/>
                <w:sz w:val="14"/>
                <w:szCs w:val="14"/>
              </w:rPr>
              <w:t>1 140 622 322</w:t>
            </w:r>
          </w:p>
        </w:tc>
        <w:tc>
          <w:tcPr>
            <w:tcW w:w="546" w:type="pct"/>
            <w:shd w:val="clear" w:color="auto" w:fill="auto"/>
            <w:vAlign w:val="bottom"/>
          </w:tcPr>
          <w:p w:rsidR="005C5842" w:rsidRPr="00854E4B" w:rsidRDefault="005C5842" w:rsidP="009A178E">
            <w:pPr>
              <w:jc w:val="right"/>
              <w:rPr>
                <w:rFonts w:ascii="Times New Roman" w:hAnsi="Times New Roman"/>
                <w:sz w:val="14"/>
                <w:szCs w:val="14"/>
              </w:rPr>
            </w:pPr>
            <w:r w:rsidRPr="00854E4B">
              <w:rPr>
                <w:rFonts w:ascii="Times New Roman" w:hAnsi="Times New Roman"/>
                <w:sz w:val="14"/>
                <w:szCs w:val="14"/>
              </w:rPr>
              <w:t>1 178 597 390</w:t>
            </w:r>
          </w:p>
        </w:tc>
        <w:tc>
          <w:tcPr>
            <w:tcW w:w="546" w:type="pct"/>
            <w:shd w:val="clear" w:color="auto" w:fill="auto"/>
            <w:vAlign w:val="bottom"/>
          </w:tcPr>
          <w:p w:rsidR="005C5842" w:rsidRPr="00854E4B" w:rsidRDefault="005C5842" w:rsidP="009A178E">
            <w:pPr>
              <w:jc w:val="right"/>
              <w:rPr>
                <w:rFonts w:ascii="Times New Roman" w:hAnsi="Times New Roman"/>
                <w:sz w:val="14"/>
                <w:szCs w:val="14"/>
              </w:rPr>
            </w:pPr>
            <w:r w:rsidRPr="00854E4B">
              <w:rPr>
                <w:rFonts w:ascii="Times New Roman" w:hAnsi="Times New Roman"/>
                <w:sz w:val="14"/>
                <w:szCs w:val="14"/>
              </w:rPr>
              <w:t>1 257 365 222</w:t>
            </w:r>
          </w:p>
        </w:tc>
        <w:tc>
          <w:tcPr>
            <w:tcW w:w="545" w:type="pct"/>
            <w:shd w:val="clear" w:color="auto" w:fill="auto"/>
            <w:vAlign w:val="bottom"/>
          </w:tcPr>
          <w:p w:rsidR="005C5842" w:rsidRPr="00854E4B" w:rsidRDefault="005C5842" w:rsidP="009A178E">
            <w:pPr>
              <w:jc w:val="right"/>
              <w:rPr>
                <w:rFonts w:ascii="Times New Roman" w:hAnsi="Times New Roman"/>
                <w:sz w:val="14"/>
                <w:szCs w:val="14"/>
              </w:rPr>
            </w:pPr>
            <w:r w:rsidRPr="00854E4B">
              <w:rPr>
                <w:rFonts w:ascii="Times New Roman" w:hAnsi="Times New Roman"/>
                <w:sz w:val="14"/>
                <w:szCs w:val="14"/>
              </w:rPr>
              <w:t>1 179 661 403</w:t>
            </w:r>
          </w:p>
        </w:tc>
      </w:tr>
    </w:tbl>
    <w:p w:rsidR="005C5842" w:rsidRPr="00854E4B" w:rsidRDefault="005C5842" w:rsidP="005C5842">
      <w:pPr>
        <w:jc w:val="both"/>
        <w:rPr>
          <w:rFonts w:ascii="Times New Roman" w:hAnsi="Times New Roman"/>
          <w:b/>
          <w:bCs/>
          <w:iCs/>
        </w:rPr>
      </w:pPr>
    </w:p>
    <w:p w:rsidR="005C5842" w:rsidRPr="00854E4B" w:rsidRDefault="005C5842" w:rsidP="005C5842">
      <w:pPr>
        <w:ind w:firstLine="708"/>
        <w:jc w:val="both"/>
        <w:rPr>
          <w:rFonts w:ascii="Times New Roman" w:hAnsi="Times New Roman" w:cs="Times New Roman"/>
          <w:iCs/>
          <w:strike/>
        </w:rPr>
      </w:pPr>
      <w:r w:rsidRPr="00854E4B">
        <w:rPr>
          <w:rFonts w:ascii="Times New Roman" w:hAnsi="Times New Roman" w:cs="Times New Roman"/>
          <w:iCs/>
        </w:rPr>
        <w:t xml:space="preserve">Mierny nárast výdavkov spojených so správou štátneho dlhu v roku 2019 je spôsobený očakávaním nárastu úrokových výnosov na finančnom trhu a rastom nominálneho dlhu, čo sa premietne do nárastu úrokových nákladov spojených s novými emisiami štátnych cenných papierov. </w:t>
      </w:r>
    </w:p>
    <w:p w:rsidR="005C5842" w:rsidRDefault="005C5842" w:rsidP="005C5842">
      <w:pPr>
        <w:spacing w:before="100" w:beforeAutospacing="1" w:after="100" w:afterAutospacing="1"/>
        <w:ind w:firstLine="709"/>
        <w:jc w:val="both"/>
        <w:rPr>
          <w:rFonts w:ascii="Times New Roman" w:hAnsi="Times New Roman" w:cs="Times New Roman"/>
          <w:iCs/>
        </w:rPr>
      </w:pPr>
      <w:r w:rsidRPr="00854E4B">
        <w:rPr>
          <w:rFonts w:ascii="Times New Roman" w:hAnsi="Times New Roman" w:cs="Times New Roman"/>
          <w:iCs/>
        </w:rPr>
        <w:t>Vo výdavkoch spojených so správou štátneho dlhu sú zahrnuté aj náklady na úhradu úrokového diferenciálu pre Národnú banku Slovenska v súvislosti s operáciami s Medzinárodným menovým fondom. Sú tu zahrnuté aj manipulačné poplatky platené bankám v súvislosti so správou a vedením účtov vzťahujúcich sa k pohľadávkam Slovenskej republiky v zahraničí.</w:t>
      </w:r>
    </w:p>
    <w:p w:rsidR="005C5842" w:rsidRPr="00854E4B" w:rsidRDefault="005C5842" w:rsidP="005C5842">
      <w:pPr>
        <w:rPr>
          <w:rFonts w:ascii="Times New Roman" w:hAnsi="Times New Roman" w:cs="Times New Roman"/>
          <w:i/>
          <w:iCs/>
          <w:u w:val="single"/>
        </w:rPr>
      </w:pPr>
      <w:r w:rsidRPr="00854E4B">
        <w:rPr>
          <w:rFonts w:ascii="Times New Roman" w:hAnsi="Times New Roman" w:cs="Times New Roman"/>
          <w:i/>
          <w:iCs/>
          <w:u w:val="single"/>
        </w:rPr>
        <w:t>Základné predpoklady pri rozpočtovaní nákladov na financovanie štátneho dlhu</w:t>
      </w:r>
    </w:p>
    <w:p w:rsidR="005C5842" w:rsidRPr="00854E4B" w:rsidRDefault="005C5842" w:rsidP="005C5842">
      <w:pPr>
        <w:rPr>
          <w:rFonts w:ascii="Times New Roman" w:hAnsi="Times New Roman" w:cs="Times New Roman"/>
          <w:b/>
          <w:i/>
          <w:iCs/>
          <w:u w:val="single"/>
        </w:rPr>
      </w:pPr>
    </w:p>
    <w:p w:rsidR="005C5842" w:rsidRPr="00854E4B" w:rsidRDefault="005C5842" w:rsidP="005C5842">
      <w:pPr>
        <w:contextualSpacing/>
        <w:rPr>
          <w:rFonts w:ascii="Times New Roman" w:hAnsi="Times New Roman" w:cs="Times New Roman"/>
          <w:i/>
        </w:rPr>
      </w:pPr>
      <w:r w:rsidRPr="00854E4B">
        <w:rPr>
          <w:rFonts w:ascii="Times New Roman" w:hAnsi="Times New Roman" w:cs="Times New Roman"/>
          <w:i/>
        </w:rPr>
        <w:t>A. Celková hodnota štátneho dlhu</w:t>
      </w:r>
    </w:p>
    <w:p w:rsidR="005C5842" w:rsidRPr="00854E4B" w:rsidRDefault="005C5842" w:rsidP="005C5842">
      <w:pPr>
        <w:jc w:val="both"/>
        <w:rPr>
          <w:rFonts w:ascii="Times New Roman" w:hAnsi="Times New Roman" w:cs="Times New Roman"/>
          <w:highlight w:val="yellow"/>
        </w:rPr>
      </w:pPr>
    </w:p>
    <w:p w:rsidR="005C5842" w:rsidRPr="00854E4B" w:rsidRDefault="005C5842" w:rsidP="005C5842">
      <w:pPr>
        <w:spacing w:after="120"/>
        <w:ind w:firstLine="709"/>
        <w:jc w:val="both"/>
        <w:rPr>
          <w:rFonts w:ascii="Times New Roman" w:hAnsi="Times New Roman" w:cs="Times New Roman"/>
        </w:rPr>
      </w:pPr>
      <w:r w:rsidRPr="00854E4B">
        <w:rPr>
          <w:rFonts w:ascii="Times New Roman" w:hAnsi="Times New Roman" w:cs="Times New Roman"/>
        </w:rPr>
        <w:t xml:space="preserve">Štátny dlh sa bude postupne </w:t>
      </w:r>
      <w:r w:rsidR="00C017E3">
        <w:rPr>
          <w:rFonts w:ascii="Times New Roman" w:hAnsi="Times New Roman" w:cs="Times New Roman"/>
        </w:rPr>
        <w:t>zvyšovať</w:t>
      </w:r>
      <w:r w:rsidRPr="00854E4B">
        <w:rPr>
          <w:rFonts w:ascii="Times New Roman" w:hAnsi="Times New Roman" w:cs="Times New Roman"/>
        </w:rPr>
        <w:t xml:space="preserve"> predovšetkým z dôvodu deficitov štátneho rozpočtu</w:t>
      </w:r>
      <w:r w:rsidRPr="00854E4B">
        <w:rPr>
          <w:rFonts w:ascii="Times New Roman" w:hAnsi="Times New Roman" w:cs="Times New Roman"/>
          <w:color w:val="000000"/>
        </w:rPr>
        <w:t xml:space="preserve">. Veľkosť štátneho dlhu bude ovplyvňovať aj hodnota pôžičiek zo Systému štátnej pokladnice, pretože časť zdrojov, potrebných na krytie finančných potrieb štátu, získava Ministerstvo financií SR z tohto zdroja. Vplyv na veľkosť štátneho dlhu bude mať aj hodnota finančných zdrojov, ktoré bude Ministerstvo financií SR ukladať krátkodobo </w:t>
      </w:r>
      <w:r w:rsidRPr="00854E4B">
        <w:rPr>
          <w:rFonts w:ascii="Times New Roman" w:hAnsi="Times New Roman" w:cs="Times New Roman"/>
        </w:rPr>
        <w:t>na finančnom trhu s cieľom mať k dispozícii okamžitú rezervu na krytie neočakávaných výkyvov cash flow štátu.</w:t>
      </w:r>
    </w:p>
    <w:p w:rsidR="005C5842" w:rsidRPr="00854E4B" w:rsidRDefault="005C5842" w:rsidP="005C5842">
      <w:pPr>
        <w:ind w:firstLine="708"/>
        <w:jc w:val="both"/>
        <w:rPr>
          <w:rFonts w:ascii="Times New Roman" w:hAnsi="Times New Roman" w:cs="Times New Roman"/>
        </w:rPr>
      </w:pPr>
      <w:r w:rsidRPr="00854E4B">
        <w:rPr>
          <w:rFonts w:ascii="Times New Roman" w:hAnsi="Times New Roman" w:cs="Times New Roman"/>
        </w:rPr>
        <w:t>Predpokladaný vývoj deficitu štátneho rozpočtu bude nasledovný:</w:t>
      </w:r>
    </w:p>
    <w:p w:rsidR="005C5842" w:rsidRPr="00854E4B" w:rsidRDefault="005C5842" w:rsidP="005C5842">
      <w:pPr>
        <w:tabs>
          <w:tab w:val="right" w:pos="9072"/>
        </w:tabs>
        <w:ind w:firstLine="708"/>
        <w:jc w:val="both"/>
        <w:rPr>
          <w:rFonts w:ascii="Times New Roman" w:hAnsi="Times New Roman" w:cs="Times New Roman"/>
          <w:sz w:val="16"/>
          <w:szCs w:val="16"/>
        </w:rPr>
      </w:pPr>
      <w:r w:rsidRPr="00854E4B">
        <w:rPr>
          <w:rFonts w:ascii="Times New Roman" w:hAnsi="Times New Roman" w:cs="Times New Roman"/>
          <w:sz w:val="16"/>
          <w:szCs w:val="16"/>
        </w:rPr>
        <w:t xml:space="preserve">                                                                                                                                                                   </w:t>
      </w: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0"/>
        <w:gridCol w:w="993"/>
        <w:gridCol w:w="993"/>
        <w:gridCol w:w="993"/>
        <w:gridCol w:w="993"/>
        <w:gridCol w:w="993"/>
        <w:gridCol w:w="993"/>
        <w:gridCol w:w="987"/>
      </w:tblGrid>
      <w:tr w:rsidR="005C5842" w:rsidRPr="00854E4B" w:rsidTr="009A178E">
        <w:trPr>
          <w:trHeight w:val="283"/>
          <w:jc w:val="center"/>
        </w:trPr>
        <w:tc>
          <w:tcPr>
            <w:tcW w:w="1174" w:type="pct"/>
            <w:shd w:val="clear" w:color="auto" w:fill="BFBFBF"/>
            <w:noWrap/>
            <w:vAlign w:val="bottom"/>
            <w:hideMark/>
          </w:tcPr>
          <w:p w:rsidR="005C5842" w:rsidRPr="00854E4B" w:rsidRDefault="005C5842" w:rsidP="009A178E">
            <w:pP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v mld. eur</w:t>
            </w:r>
          </w:p>
        </w:tc>
        <w:tc>
          <w:tcPr>
            <w:tcW w:w="547" w:type="pct"/>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2016 S</w:t>
            </w:r>
          </w:p>
        </w:tc>
        <w:tc>
          <w:tcPr>
            <w:tcW w:w="547" w:type="pct"/>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2017 S</w:t>
            </w:r>
          </w:p>
        </w:tc>
        <w:tc>
          <w:tcPr>
            <w:tcW w:w="547" w:type="pct"/>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2018 R</w:t>
            </w:r>
          </w:p>
        </w:tc>
        <w:tc>
          <w:tcPr>
            <w:tcW w:w="547" w:type="pct"/>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2018 OS</w:t>
            </w:r>
          </w:p>
        </w:tc>
        <w:tc>
          <w:tcPr>
            <w:tcW w:w="547" w:type="pct"/>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2019 N</w:t>
            </w:r>
          </w:p>
        </w:tc>
        <w:tc>
          <w:tcPr>
            <w:tcW w:w="547" w:type="pct"/>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2020 N</w:t>
            </w:r>
          </w:p>
        </w:tc>
        <w:tc>
          <w:tcPr>
            <w:tcW w:w="547" w:type="pct"/>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2021 N</w:t>
            </w:r>
          </w:p>
        </w:tc>
      </w:tr>
      <w:tr w:rsidR="005C5842" w:rsidRPr="00854E4B" w:rsidTr="009A178E">
        <w:trPr>
          <w:trHeight w:val="283"/>
          <w:jc w:val="center"/>
        </w:trPr>
        <w:tc>
          <w:tcPr>
            <w:tcW w:w="1174" w:type="pct"/>
            <w:shd w:val="clear" w:color="auto" w:fill="auto"/>
            <w:noWrap/>
            <w:vAlign w:val="bottom"/>
            <w:hideMark/>
          </w:tcPr>
          <w:p w:rsidR="005C5842" w:rsidRPr="009A178E" w:rsidRDefault="005C5842" w:rsidP="009A178E">
            <w:pPr>
              <w:rPr>
                <w:rFonts w:ascii="Times New Roman" w:hAnsi="Times New Roman" w:cs="Times New Roman"/>
                <w:sz w:val="14"/>
                <w:szCs w:val="14"/>
                <w:lang w:eastAsia="sk-SK"/>
              </w:rPr>
            </w:pPr>
            <w:r w:rsidRPr="009A178E">
              <w:rPr>
                <w:rFonts w:ascii="Times New Roman" w:hAnsi="Times New Roman" w:cs="Times New Roman"/>
                <w:sz w:val="14"/>
                <w:szCs w:val="14"/>
                <w:lang w:eastAsia="sk-SK"/>
              </w:rPr>
              <w:t xml:space="preserve">Deficit ŠR </w:t>
            </w:r>
          </w:p>
        </w:tc>
        <w:tc>
          <w:tcPr>
            <w:tcW w:w="547" w:type="pct"/>
            <w:shd w:val="clear" w:color="auto" w:fill="auto"/>
            <w:noWrap/>
            <w:vAlign w:val="bottom"/>
            <w:hideMark/>
          </w:tcPr>
          <w:p w:rsidR="005C5842" w:rsidRPr="009A178E" w:rsidRDefault="005C5842" w:rsidP="009A178E">
            <w:pPr>
              <w:jc w:val="right"/>
              <w:rPr>
                <w:rFonts w:ascii="Times New Roman" w:hAnsi="Times New Roman" w:cs="Times New Roman"/>
                <w:sz w:val="14"/>
                <w:szCs w:val="14"/>
                <w:lang w:eastAsia="sk-SK"/>
              </w:rPr>
            </w:pPr>
          </w:p>
          <w:p w:rsidR="005C5842" w:rsidRPr="009A178E" w:rsidRDefault="005C5842" w:rsidP="009A178E">
            <w:pPr>
              <w:jc w:val="right"/>
              <w:rPr>
                <w:rFonts w:ascii="Times New Roman" w:hAnsi="Times New Roman" w:cs="Times New Roman"/>
                <w:sz w:val="14"/>
                <w:szCs w:val="14"/>
                <w:lang w:eastAsia="sk-SK"/>
              </w:rPr>
            </w:pPr>
            <w:r w:rsidRPr="009A178E">
              <w:rPr>
                <w:rFonts w:ascii="Times New Roman" w:hAnsi="Times New Roman" w:cs="Times New Roman"/>
                <w:sz w:val="14"/>
                <w:szCs w:val="14"/>
                <w:lang w:eastAsia="sk-SK"/>
              </w:rPr>
              <w:t>0,980</w:t>
            </w:r>
          </w:p>
        </w:tc>
        <w:tc>
          <w:tcPr>
            <w:tcW w:w="547" w:type="pct"/>
            <w:shd w:val="clear" w:color="auto" w:fill="auto"/>
            <w:noWrap/>
            <w:vAlign w:val="bottom"/>
            <w:hideMark/>
          </w:tcPr>
          <w:p w:rsidR="005C5842" w:rsidRPr="009A178E" w:rsidRDefault="005C5842" w:rsidP="009A178E">
            <w:pPr>
              <w:jc w:val="right"/>
              <w:rPr>
                <w:rFonts w:ascii="Times New Roman" w:hAnsi="Times New Roman" w:cs="Times New Roman"/>
                <w:sz w:val="14"/>
                <w:szCs w:val="14"/>
                <w:lang w:eastAsia="sk-SK"/>
              </w:rPr>
            </w:pPr>
            <w:r w:rsidRPr="009A178E">
              <w:rPr>
                <w:rFonts w:ascii="Times New Roman" w:hAnsi="Times New Roman" w:cs="Times New Roman"/>
                <w:sz w:val="14"/>
                <w:szCs w:val="14"/>
                <w:lang w:eastAsia="sk-SK"/>
              </w:rPr>
              <w:t>1,220</w:t>
            </w:r>
          </w:p>
        </w:tc>
        <w:tc>
          <w:tcPr>
            <w:tcW w:w="547" w:type="pct"/>
            <w:shd w:val="clear" w:color="auto" w:fill="auto"/>
            <w:vAlign w:val="bottom"/>
            <w:hideMark/>
          </w:tcPr>
          <w:p w:rsidR="005C5842" w:rsidRPr="009A178E" w:rsidRDefault="005C5842" w:rsidP="009A178E">
            <w:pPr>
              <w:jc w:val="right"/>
              <w:rPr>
                <w:rFonts w:ascii="Times New Roman" w:hAnsi="Times New Roman" w:cs="Times New Roman"/>
                <w:sz w:val="14"/>
                <w:szCs w:val="14"/>
                <w:lang w:eastAsia="sk-SK"/>
              </w:rPr>
            </w:pPr>
            <w:r w:rsidRPr="009A178E">
              <w:rPr>
                <w:rFonts w:ascii="Times New Roman" w:hAnsi="Times New Roman" w:cs="Times New Roman"/>
                <w:sz w:val="14"/>
                <w:szCs w:val="14"/>
                <w:lang w:eastAsia="sk-SK"/>
              </w:rPr>
              <w:t>1,973</w:t>
            </w:r>
          </w:p>
        </w:tc>
        <w:tc>
          <w:tcPr>
            <w:tcW w:w="547" w:type="pct"/>
            <w:shd w:val="clear" w:color="auto" w:fill="auto"/>
            <w:vAlign w:val="bottom"/>
            <w:hideMark/>
          </w:tcPr>
          <w:p w:rsidR="005C5842" w:rsidRPr="009A178E" w:rsidRDefault="005C5842" w:rsidP="009A178E">
            <w:pPr>
              <w:jc w:val="right"/>
              <w:rPr>
                <w:rFonts w:ascii="Times New Roman" w:hAnsi="Times New Roman" w:cs="Times New Roman"/>
                <w:color w:val="000000" w:themeColor="text1"/>
                <w:sz w:val="14"/>
                <w:szCs w:val="14"/>
                <w:lang w:eastAsia="sk-SK"/>
              </w:rPr>
            </w:pPr>
            <w:r w:rsidRPr="009A178E">
              <w:rPr>
                <w:rFonts w:ascii="Times New Roman" w:hAnsi="Times New Roman" w:cs="Times New Roman"/>
                <w:color w:val="000000" w:themeColor="text1"/>
                <w:sz w:val="14"/>
                <w:szCs w:val="14"/>
                <w:lang w:eastAsia="sk-SK"/>
              </w:rPr>
              <w:t>1,134</w:t>
            </w:r>
          </w:p>
        </w:tc>
        <w:tc>
          <w:tcPr>
            <w:tcW w:w="547" w:type="pct"/>
            <w:shd w:val="clear" w:color="000000" w:fill="FFFFFF"/>
            <w:vAlign w:val="bottom"/>
          </w:tcPr>
          <w:p w:rsidR="005C5842" w:rsidRPr="009A178E" w:rsidRDefault="005C5842" w:rsidP="009A178E">
            <w:pPr>
              <w:jc w:val="right"/>
              <w:rPr>
                <w:rFonts w:ascii="Times New Roman" w:hAnsi="Times New Roman" w:cs="Times New Roman"/>
                <w:color w:val="000000" w:themeColor="text1"/>
                <w:sz w:val="14"/>
                <w:szCs w:val="14"/>
                <w:lang w:eastAsia="sk-SK"/>
              </w:rPr>
            </w:pPr>
            <w:r w:rsidRPr="009A178E">
              <w:rPr>
                <w:rFonts w:ascii="Times New Roman" w:hAnsi="Times New Roman" w:cs="Times New Roman"/>
                <w:color w:val="000000" w:themeColor="text1"/>
                <w:sz w:val="14"/>
                <w:szCs w:val="14"/>
                <w:lang w:eastAsia="sk-SK"/>
              </w:rPr>
              <w:t>2,138</w:t>
            </w:r>
          </w:p>
        </w:tc>
        <w:tc>
          <w:tcPr>
            <w:tcW w:w="547" w:type="pct"/>
            <w:shd w:val="clear" w:color="000000" w:fill="FFFFFF"/>
            <w:vAlign w:val="bottom"/>
          </w:tcPr>
          <w:p w:rsidR="005C5842" w:rsidRPr="009A178E" w:rsidRDefault="005C5842" w:rsidP="009A178E">
            <w:pPr>
              <w:jc w:val="right"/>
              <w:rPr>
                <w:rFonts w:ascii="Times New Roman" w:hAnsi="Times New Roman" w:cs="Times New Roman"/>
                <w:color w:val="000000" w:themeColor="text1"/>
                <w:sz w:val="14"/>
                <w:szCs w:val="14"/>
                <w:lang w:eastAsia="sk-SK"/>
              </w:rPr>
            </w:pPr>
            <w:r w:rsidRPr="009A178E">
              <w:rPr>
                <w:rFonts w:ascii="Times New Roman" w:hAnsi="Times New Roman" w:cs="Times New Roman"/>
                <w:color w:val="000000" w:themeColor="text1"/>
                <w:sz w:val="14"/>
                <w:szCs w:val="14"/>
                <w:lang w:eastAsia="sk-SK"/>
              </w:rPr>
              <w:t>2,211</w:t>
            </w:r>
          </w:p>
        </w:tc>
        <w:tc>
          <w:tcPr>
            <w:tcW w:w="547" w:type="pct"/>
            <w:shd w:val="clear" w:color="000000" w:fill="FFFFFF"/>
            <w:vAlign w:val="bottom"/>
          </w:tcPr>
          <w:p w:rsidR="005C5842" w:rsidRPr="009A178E" w:rsidRDefault="005C5842" w:rsidP="009A178E">
            <w:pPr>
              <w:jc w:val="right"/>
              <w:rPr>
                <w:rFonts w:ascii="Times New Roman" w:hAnsi="Times New Roman" w:cs="Times New Roman"/>
                <w:color w:val="000000" w:themeColor="text1"/>
                <w:sz w:val="14"/>
                <w:szCs w:val="14"/>
                <w:lang w:eastAsia="sk-SK"/>
              </w:rPr>
            </w:pPr>
            <w:r w:rsidRPr="009A178E">
              <w:rPr>
                <w:rFonts w:ascii="Times New Roman" w:hAnsi="Times New Roman" w:cs="Times New Roman"/>
                <w:color w:val="000000" w:themeColor="text1"/>
                <w:sz w:val="14"/>
                <w:szCs w:val="14"/>
                <w:lang w:eastAsia="sk-SK"/>
              </w:rPr>
              <w:t>1,899</w:t>
            </w:r>
          </w:p>
        </w:tc>
      </w:tr>
    </w:tbl>
    <w:p w:rsidR="005C5842" w:rsidRPr="00854E4B" w:rsidRDefault="005C5842" w:rsidP="005C5842">
      <w:pPr>
        <w:jc w:val="both"/>
        <w:rPr>
          <w:rFonts w:ascii="Times New Roman" w:hAnsi="Times New Roman" w:cs="Times New Roman"/>
        </w:rPr>
      </w:pPr>
    </w:p>
    <w:p w:rsidR="005C5842" w:rsidRPr="00854E4B" w:rsidRDefault="005C5842" w:rsidP="005C5842">
      <w:pPr>
        <w:ind w:firstLine="708"/>
        <w:jc w:val="both"/>
        <w:rPr>
          <w:rFonts w:ascii="Times New Roman" w:hAnsi="Times New Roman"/>
        </w:rPr>
      </w:pPr>
      <w:r w:rsidRPr="00854E4B">
        <w:rPr>
          <w:rFonts w:ascii="Times New Roman" w:hAnsi="Times New Roman"/>
        </w:rPr>
        <w:t>Š</w:t>
      </w:r>
      <w:r w:rsidR="00C017E3">
        <w:rPr>
          <w:rFonts w:ascii="Times New Roman" w:hAnsi="Times New Roman"/>
        </w:rPr>
        <w:t>tátny dlh je v zmysle zákona o š</w:t>
      </w:r>
      <w:r w:rsidRPr="00854E4B">
        <w:rPr>
          <w:rFonts w:ascii="Times New Roman" w:hAnsi="Times New Roman"/>
        </w:rPr>
        <w:t>tátnom dlhu a štátnych zárukách hodnota záväzkov z minulých rokov (najmä emitované štátne dlhopisy, štátne pokladničné poukážky, vládne úvery, medzinárodné záväzky, prijaté kolaterály a krátkodobé pôžičky na peňažnom trhu). Štátny dlh sa bude pravdepodobne v nasledujúcich rokoch k 31.</w:t>
      </w:r>
      <w:r w:rsidR="00C017E3">
        <w:rPr>
          <w:rFonts w:ascii="Times New Roman" w:hAnsi="Times New Roman"/>
        </w:rPr>
        <w:t xml:space="preserve"> </w:t>
      </w:r>
      <w:r w:rsidRPr="00854E4B">
        <w:rPr>
          <w:rFonts w:ascii="Times New Roman" w:hAnsi="Times New Roman"/>
        </w:rPr>
        <w:t>12. vyvíjať nasledovne:</w:t>
      </w:r>
    </w:p>
    <w:p w:rsidR="005C5842" w:rsidRPr="00854E4B" w:rsidRDefault="005C5842" w:rsidP="005C5842">
      <w:pPr>
        <w:ind w:left="7080" w:firstLine="708"/>
        <w:jc w:val="both"/>
        <w:rPr>
          <w:rFonts w:ascii="Times New Roman" w:hAnsi="Times New Roman"/>
          <w:sz w:val="16"/>
          <w:szCs w:val="16"/>
        </w:rPr>
      </w:pPr>
      <w:r w:rsidRPr="00854E4B">
        <w:rPr>
          <w:rFonts w:ascii="Times New Roman" w:hAnsi="Times New Roman"/>
          <w:sz w:val="16"/>
          <w:szCs w:val="1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2"/>
        <w:gridCol w:w="991"/>
        <w:gridCol w:w="991"/>
        <w:gridCol w:w="990"/>
        <w:gridCol w:w="990"/>
        <w:gridCol w:w="990"/>
        <w:gridCol w:w="990"/>
        <w:gridCol w:w="988"/>
      </w:tblGrid>
      <w:tr w:rsidR="005C5842" w:rsidRPr="00854E4B" w:rsidTr="009A178E">
        <w:trPr>
          <w:trHeight w:val="283"/>
          <w:jc w:val="center"/>
        </w:trPr>
        <w:tc>
          <w:tcPr>
            <w:tcW w:w="1177" w:type="pct"/>
            <w:shd w:val="clear" w:color="auto" w:fill="BFBFBF"/>
            <w:noWrap/>
            <w:vAlign w:val="bottom"/>
            <w:hideMark/>
          </w:tcPr>
          <w:p w:rsidR="005C5842" w:rsidRPr="00854E4B" w:rsidRDefault="005C5842" w:rsidP="009A178E">
            <w:pPr>
              <w:rPr>
                <w:rFonts w:ascii="Times New Roman" w:hAnsi="Times New Roman" w:cs="Times New Roman"/>
                <w:b/>
                <w:bCs/>
                <w:color w:val="000000"/>
                <w:sz w:val="14"/>
                <w:szCs w:val="14"/>
                <w:lang w:eastAsia="sk-SK"/>
              </w:rPr>
            </w:pPr>
            <w:r w:rsidRPr="00854E4B">
              <w:rPr>
                <w:rFonts w:ascii="Times New Roman" w:hAnsi="Times New Roman" w:cs="Times New Roman"/>
                <w:b/>
                <w:bCs/>
                <w:color w:val="000000"/>
                <w:sz w:val="14"/>
                <w:szCs w:val="14"/>
                <w:lang w:eastAsia="sk-SK"/>
              </w:rPr>
              <w:t>v mld. eur</w:t>
            </w:r>
          </w:p>
        </w:tc>
        <w:tc>
          <w:tcPr>
            <w:tcW w:w="547" w:type="pct"/>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2016 S</w:t>
            </w:r>
          </w:p>
        </w:tc>
        <w:tc>
          <w:tcPr>
            <w:tcW w:w="547" w:type="pct"/>
            <w:tcBorders>
              <w:bottom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2017 S</w:t>
            </w:r>
          </w:p>
        </w:tc>
        <w:tc>
          <w:tcPr>
            <w:tcW w:w="546" w:type="pct"/>
            <w:tcBorders>
              <w:bottom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2018 R</w:t>
            </w:r>
          </w:p>
        </w:tc>
        <w:tc>
          <w:tcPr>
            <w:tcW w:w="546" w:type="pct"/>
            <w:tcBorders>
              <w:bottom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2018 OS</w:t>
            </w:r>
          </w:p>
        </w:tc>
        <w:tc>
          <w:tcPr>
            <w:tcW w:w="546" w:type="pct"/>
            <w:tcBorders>
              <w:bottom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2019 N</w:t>
            </w:r>
          </w:p>
        </w:tc>
        <w:tc>
          <w:tcPr>
            <w:tcW w:w="546" w:type="pct"/>
            <w:tcBorders>
              <w:bottom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2020 N</w:t>
            </w:r>
          </w:p>
        </w:tc>
        <w:tc>
          <w:tcPr>
            <w:tcW w:w="545" w:type="pct"/>
            <w:tcBorders>
              <w:bottom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2021 N</w:t>
            </w:r>
          </w:p>
        </w:tc>
      </w:tr>
      <w:tr w:rsidR="005C5842" w:rsidRPr="00854E4B" w:rsidTr="009A178E">
        <w:trPr>
          <w:trHeight w:val="283"/>
          <w:jc w:val="center"/>
        </w:trPr>
        <w:tc>
          <w:tcPr>
            <w:tcW w:w="1177" w:type="pct"/>
            <w:shd w:val="clear" w:color="auto" w:fill="auto"/>
            <w:noWrap/>
            <w:vAlign w:val="bottom"/>
            <w:hideMark/>
          </w:tcPr>
          <w:p w:rsidR="005C5842" w:rsidRPr="00854E4B" w:rsidRDefault="005C5842" w:rsidP="009A178E">
            <w:pPr>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 xml:space="preserve">Štátny dlh </w:t>
            </w:r>
          </w:p>
        </w:tc>
        <w:tc>
          <w:tcPr>
            <w:tcW w:w="547" w:type="pct"/>
            <w:shd w:val="clear" w:color="auto" w:fill="auto"/>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40,289</w:t>
            </w:r>
          </w:p>
        </w:tc>
        <w:tc>
          <w:tcPr>
            <w:tcW w:w="547"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41,765</w:t>
            </w:r>
          </w:p>
        </w:tc>
        <w:tc>
          <w:tcPr>
            <w:tcW w:w="546"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43,093</w:t>
            </w:r>
          </w:p>
        </w:tc>
        <w:tc>
          <w:tcPr>
            <w:tcW w:w="546"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42,563</w:t>
            </w:r>
          </w:p>
        </w:tc>
        <w:tc>
          <w:tcPr>
            <w:tcW w:w="546"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44,411</w:t>
            </w:r>
          </w:p>
        </w:tc>
        <w:tc>
          <w:tcPr>
            <w:tcW w:w="546"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46,196</w:t>
            </w:r>
          </w:p>
        </w:tc>
        <w:tc>
          <w:tcPr>
            <w:tcW w:w="545"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47,858</w:t>
            </w:r>
          </w:p>
        </w:tc>
      </w:tr>
      <w:tr w:rsidR="005C5842" w:rsidRPr="00854E4B" w:rsidTr="009A178E">
        <w:trPr>
          <w:trHeight w:val="283"/>
          <w:jc w:val="center"/>
        </w:trPr>
        <w:tc>
          <w:tcPr>
            <w:tcW w:w="1177" w:type="pct"/>
            <w:shd w:val="clear" w:color="auto" w:fill="auto"/>
            <w:noWrap/>
            <w:vAlign w:val="bottom"/>
            <w:hideMark/>
          </w:tcPr>
          <w:p w:rsidR="005C5842" w:rsidRPr="00854E4B" w:rsidRDefault="005C5842" w:rsidP="009A178E">
            <w:pPr>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Štátna pokladnica</w:t>
            </w:r>
          </w:p>
        </w:tc>
        <w:tc>
          <w:tcPr>
            <w:tcW w:w="547" w:type="pct"/>
            <w:shd w:val="clear" w:color="auto" w:fill="auto"/>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7,356</w:t>
            </w:r>
          </w:p>
        </w:tc>
        <w:tc>
          <w:tcPr>
            <w:tcW w:w="547"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8,249</w:t>
            </w:r>
          </w:p>
        </w:tc>
        <w:tc>
          <w:tcPr>
            <w:tcW w:w="546"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8,344</w:t>
            </w:r>
          </w:p>
        </w:tc>
        <w:tc>
          <w:tcPr>
            <w:tcW w:w="546"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8,683</w:t>
            </w:r>
          </w:p>
        </w:tc>
        <w:tc>
          <w:tcPr>
            <w:tcW w:w="546"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9,117</w:t>
            </w:r>
          </w:p>
        </w:tc>
        <w:tc>
          <w:tcPr>
            <w:tcW w:w="546"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9,658</w:t>
            </w:r>
          </w:p>
        </w:tc>
        <w:tc>
          <w:tcPr>
            <w:tcW w:w="545"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9,997</w:t>
            </w:r>
          </w:p>
        </w:tc>
      </w:tr>
      <w:tr w:rsidR="005C5842" w:rsidRPr="00854E4B" w:rsidTr="009A178E">
        <w:trPr>
          <w:trHeight w:val="283"/>
          <w:jc w:val="center"/>
        </w:trPr>
        <w:tc>
          <w:tcPr>
            <w:tcW w:w="1177" w:type="pct"/>
            <w:shd w:val="clear" w:color="auto" w:fill="auto"/>
            <w:noWrap/>
            <w:vAlign w:val="bottom"/>
            <w:hideMark/>
          </w:tcPr>
          <w:p w:rsidR="005C5842" w:rsidRPr="00854E4B" w:rsidRDefault="005C5842" w:rsidP="009A178E">
            <w:pPr>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Spolu</w:t>
            </w:r>
          </w:p>
        </w:tc>
        <w:tc>
          <w:tcPr>
            <w:tcW w:w="547" w:type="pct"/>
            <w:shd w:val="clear" w:color="auto" w:fill="auto"/>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47,645</w:t>
            </w:r>
          </w:p>
        </w:tc>
        <w:tc>
          <w:tcPr>
            <w:tcW w:w="547"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50,014</w:t>
            </w:r>
          </w:p>
        </w:tc>
        <w:tc>
          <w:tcPr>
            <w:tcW w:w="546"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51,437</w:t>
            </w:r>
          </w:p>
        </w:tc>
        <w:tc>
          <w:tcPr>
            <w:tcW w:w="546"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51,246</w:t>
            </w:r>
          </w:p>
        </w:tc>
        <w:tc>
          <w:tcPr>
            <w:tcW w:w="546"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53,528</w:t>
            </w:r>
          </w:p>
        </w:tc>
        <w:tc>
          <w:tcPr>
            <w:tcW w:w="546"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55,854</w:t>
            </w:r>
          </w:p>
        </w:tc>
        <w:tc>
          <w:tcPr>
            <w:tcW w:w="545"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57,855</w:t>
            </w:r>
          </w:p>
        </w:tc>
      </w:tr>
    </w:tbl>
    <w:p w:rsidR="005C5842" w:rsidRPr="00854E4B" w:rsidRDefault="005C5842" w:rsidP="005C5842">
      <w:pPr>
        <w:contextualSpacing/>
        <w:rPr>
          <w:rFonts w:ascii="Times New Roman" w:hAnsi="Times New Roman" w:cs="Times New Roman"/>
          <w:i/>
        </w:rPr>
      </w:pPr>
    </w:p>
    <w:p w:rsidR="005C5842" w:rsidRPr="00854E4B" w:rsidRDefault="005C5842" w:rsidP="005C5842">
      <w:pPr>
        <w:contextualSpacing/>
        <w:rPr>
          <w:rFonts w:ascii="Times New Roman" w:hAnsi="Times New Roman" w:cs="Times New Roman"/>
          <w:i/>
        </w:rPr>
      </w:pPr>
      <w:r w:rsidRPr="00854E4B">
        <w:rPr>
          <w:rFonts w:ascii="Times New Roman" w:hAnsi="Times New Roman" w:cs="Times New Roman"/>
          <w:i/>
        </w:rPr>
        <w:t>B. Úročenie štátneho dlhu</w:t>
      </w:r>
    </w:p>
    <w:p w:rsidR="005C5842" w:rsidRPr="00854E4B" w:rsidRDefault="005C5842" w:rsidP="005C5842">
      <w:pPr>
        <w:contextualSpacing/>
        <w:jc w:val="both"/>
        <w:rPr>
          <w:rFonts w:ascii="Times New Roman" w:hAnsi="Times New Roman" w:cs="Times New Roman"/>
        </w:rPr>
      </w:pPr>
    </w:p>
    <w:p w:rsidR="005C5842" w:rsidRPr="00854E4B" w:rsidRDefault="005C5842" w:rsidP="005C5842">
      <w:pPr>
        <w:ind w:firstLine="708"/>
        <w:contextualSpacing/>
        <w:jc w:val="both"/>
        <w:rPr>
          <w:rFonts w:ascii="Times New Roman" w:hAnsi="Times New Roman" w:cs="Times New Roman"/>
        </w:rPr>
      </w:pPr>
      <w:r w:rsidRPr="00854E4B">
        <w:rPr>
          <w:rFonts w:ascii="Times New Roman" w:hAnsi="Times New Roman" w:cs="Times New Roman"/>
        </w:rPr>
        <w:t>Rozhodujúca časť štátneho dlhu – viac ako 99,98 % (k 31.</w:t>
      </w:r>
      <w:r w:rsidR="00C017E3">
        <w:rPr>
          <w:rFonts w:ascii="Times New Roman" w:hAnsi="Times New Roman" w:cs="Times New Roman"/>
        </w:rPr>
        <w:t xml:space="preserve"> </w:t>
      </w:r>
      <w:r w:rsidRPr="00854E4B">
        <w:rPr>
          <w:rFonts w:ascii="Times New Roman" w:hAnsi="Times New Roman" w:cs="Times New Roman"/>
        </w:rPr>
        <w:t>8.</w:t>
      </w:r>
      <w:r w:rsidR="00C017E3">
        <w:rPr>
          <w:rFonts w:ascii="Times New Roman" w:hAnsi="Times New Roman" w:cs="Times New Roman"/>
        </w:rPr>
        <w:t xml:space="preserve"> </w:t>
      </w:r>
      <w:r w:rsidRPr="00854E4B">
        <w:rPr>
          <w:rFonts w:ascii="Times New Roman" w:hAnsi="Times New Roman" w:cs="Times New Roman"/>
        </w:rPr>
        <w:t>2018) - má zafixované úročenie na niekoľko rokov vopred. Zmena úrokových</w:t>
      </w:r>
      <w:r>
        <w:rPr>
          <w:rFonts w:ascii="Times New Roman" w:hAnsi="Times New Roman" w:cs="Times New Roman"/>
        </w:rPr>
        <w:t xml:space="preserve"> sadzieb na finančnom trhu sa v </w:t>
      </w:r>
      <w:r w:rsidRPr="00854E4B">
        <w:rPr>
          <w:rFonts w:ascii="Times New Roman" w:hAnsi="Times New Roman" w:cs="Times New Roman"/>
        </w:rPr>
        <w:t xml:space="preserve">úrokových nákladoch na štátny dlh preto prejaví len postupne. Nové dlhopisy, ktoré sú vydávané na krytie </w:t>
      </w:r>
      <w:r w:rsidRPr="00854E4B">
        <w:rPr>
          <w:rFonts w:ascii="Times New Roman" w:hAnsi="Times New Roman" w:cs="Times New Roman"/>
          <w:color w:val="000000"/>
        </w:rPr>
        <w:t xml:space="preserve">nových deficitov štátneho rozpočtu a ako náhrada splatných štátnych dlhopisov, budú vydávané </w:t>
      </w:r>
      <w:r w:rsidRPr="00854E4B">
        <w:rPr>
          <w:rFonts w:ascii="Times New Roman" w:hAnsi="Times New Roman" w:cs="Times New Roman"/>
        </w:rPr>
        <w:t xml:space="preserve">v danom roku s aktuálnymi trhovými úrokovými sadzbami. Okrem </w:t>
      </w:r>
      <w:r w:rsidRPr="00854E4B">
        <w:rPr>
          <w:rFonts w:ascii="Times New Roman" w:hAnsi="Times New Roman" w:cs="Times New Roman"/>
        </w:rPr>
        <w:lastRenderedPageBreak/>
        <w:t>toho sa v každom roku precení časť portfólia, ktorá je úročená pohyblivou úrokovou sadzbou, aktuálne táto časť dosahuje približne 0,02 %</w:t>
      </w:r>
      <w:r w:rsidRPr="00854E4B">
        <w:rPr>
          <w:rFonts w:ascii="Times New Roman" w:hAnsi="Times New Roman" w:cs="Times New Roman"/>
          <w:color w:val="FF0000"/>
        </w:rPr>
        <w:t xml:space="preserve"> </w:t>
      </w:r>
      <w:r w:rsidRPr="00854E4B">
        <w:rPr>
          <w:rFonts w:ascii="Times New Roman" w:hAnsi="Times New Roman" w:cs="Times New Roman"/>
        </w:rPr>
        <w:t>celého portfólia (okrem zdrojov Štátnej pokladnice). Dlhopisy s pohyblivou úrokovou sadzbou sa vydávajú na základe Stratégie riadenia štátneho dlhu s cieľom pokrytia investorského dopytu</w:t>
      </w:r>
      <w:r>
        <w:rPr>
          <w:rFonts w:ascii="Times New Roman" w:hAnsi="Times New Roman" w:cs="Times New Roman"/>
        </w:rPr>
        <w:t>, ktorý je zameraný prevažne na </w:t>
      </w:r>
      <w:r w:rsidRPr="00854E4B">
        <w:rPr>
          <w:rFonts w:ascii="Times New Roman" w:hAnsi="Times New Roman" w:cs="Times New Roman"/>
        </w:rPr>
        <w:t>aktíva s pohyblivou úrokovou sadzbou.</w:t>
      </w:r>
    </w:p>
    <w:p w:rsidR="005C5842" w:rsidRPr="00854E4B" w:rsidRDefault="005C5842" w:rsidP="005C5842">
      <w:pPr>
        <w:spacing w:after="200" w:line="276" w:lineRule="auto"/>
        <w:contextualSpacing/>
        <w:jc w:val="both"/>
        <w:rPr>
          <w:rFonts w:ascii="Times New Roman" w:eastAsia="Calibri" w:hAnsi="Times New Roman" w:cs="Times New Roman"/>
          <w:i/>
          <w:sz w:val="22"/>
          <w:szCs w:val="36"/>
          <w:lang w:eastAsia="en-US"/>
        </w:rPr>
      </w:pPr>
    </w:p>
    <w:p w:rsidR="005C5842" w:rsidRPr="00854E4B" w:rsidRDefault="005C5842" w:rsidP="005C5842">
      <w:pPr>
        <w:ind w:firstLine="708"/>
        <w:contextualSpacing/>
        <w:jc w:val="both"/>
        <w:rPr>
          <w:rFonts w:ascii="Times New Roman" w:hAnsi="Times New Roman" w:cs="Times New Roman"/>
        </w:rPr>
      </w:pPr>
      <w:r w:rsidRPr="00854E4B">
        <w:rPr>
          <w:rFonts w:ascii="Times New Roman" w:hAnsi="Times New Roman" w:cs="Times New Roman"/>
        </w:rPr>
        <w:t>V nasledujúcich rokoch si bude Ministerstvo financií SR musieť na finančných trhoch požičať nasledovné sumy:</w:t>
      </w:r>
    </w:p>
    <w:p w:rsidR="005C5842" w:rsidRPr="00854E4B" w:rsidRDefault="005C5842" w:rsidP="005C5842">
      <w:pPr>
        <w:ind w:firstLine="708"/>
        <w:contextualSpacing/>
        <w:jc w:val="both"/>
        <w:rPr>
          <w:rFonts w:ascii="Times New Roman" w:hAnsi="Times New Roman" w:cs="Times New Roman"/>
          <w:sz w:val="16"/>
          <w:szCs w:val="16"/>
        </w:rPr>
      </w:pPr>
      <w:r w:rsidRPr="00854E4B">
        <w:rPr>
          <w:rFonts w:ascii="Times New Roman" w:hAnsi="Times New Roman" w:cs="Times New Roman"/>
          <w:sz w:val="16"/>
          <w:szCs w:val="16"/>
        </w:rPr>
        <w:t xml:space="preserve">                                                                                                                                                                                            </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0"/>
        <w:gridCol w:w="991"/>
        <w:gridCol w:w="991"/>
        <w:gridCol w:w="991"/>
        <w:gridCol w:w="991"/>
        <w:gridCol w:w="991"/>
        <w:gridCol w:w="991"/>
        <w:gridCol w:w="987"/>
      </w:tblGrid>
      <w:tr w:rsidR="005C5842" w:rsidRPr="00854E4B" w:rsidTr="009A178E">
        <w:trPr>
          <w:trHeight w:val="283"/>
          <w:jc w:val="center"/>
        </w:trPr>
        <w:tc>
          <w:tcPr>
            <w:tcW w:w="1187" w:type="pct"/>
            <w:shd w:val="clear" w:color="auto" w:fill="BFBFBF"/>
            <w:noWrap/>
            <w:vAlign w:val="bottom"/>
            <w:hideMark/>
          </w:tcPr>
          <w:p w:rsidR="005C5842" w:rsidRPr="00854E4B" w:rsidRDefault="005C5842" w:rsidP="009A178E">
            <w:pPr>
              <w:rPr>
                <w:rFonts w:ascii="Times New Roman" w:hAnsi="Times New Roman" w:cs="Times New Roman"/>
                <w:b/>
                <w:bCs/>
                <w:color w:val="000000"/>
                <w:sz w:val="14"/>
                <w:szCs w:val="14"/>
                <w:lang w:eastAsia="sk-SK"/>
              </w:rPr>
            </w:pPr>
            <w:r w:rsidRPr="00854E4B">
              <w:rPr>
                <w:rFonts w:ascii="Times New Roman" w:hAnsi="Times New Roman" w:cs="Times New Roman"/>
                <w:b/>
                <w:bCs/>
                <w:color w:val="000000"/>
                <w:sz w:val="14"/>
                <w:szCs w:val="14"/>
                <w:lang w:eastAsia="sk-SK"/>
              </w:rPr>
              <w:t>v mld. eur</w:t>
            </w:r>
          </w:p>
        </w:tc>
        <w:tc>
          <w:tcPr>
            <w:tcW w:w="545" w:type="pct"/>
            <w:shd w:val="clear" w:color="auto" w:fill="BFBFBF"/>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2016 S</w:t>
            </w:r>
          </w:p>
        </w:tc>
        <w:tc>
          <w:tcPr>
            <w:tcW w:w="545" w:type="pct"/>
            <w:tcBorders>
              <w:bottom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2017 S</w:t>
            </w:r>
          </w:p>
        </w:tc>
        <w:tc>
          <w:tcPr>
            <w:tcW w:w="545" w:type="pct"/>
            <w:tcBorders>
              <w:bottom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2018 R</w:t>
            </w:r>
          </w:p>
        </w:tc>
        <w:tc>
          <w:tcPr>
            <w:tcW w:w="545" w:type="pct"/>
            <w:tcBorders>
              <w:bottom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2018 OS</w:t>
            </w:r>
          </w:p>
        </w:tc>
        <w:tc>
          <w:tcPr>
            <w:tcW w:w="545" w:type="pct"/>
            <w:tcBorders>
              <w:bottom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2019 N</w:t>
            </w:r>
          </w:p>
        </w:tc>
        <w:tc>
          <w:tcPr>
            <w:tcW w:w="545" w:type="pct"/>
            <w:tcBorders>
              <w:bottom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2020 N</w:t>
            </w:r>
          </w:p>
        </w:tc>
        <w:tc>
          <w:tcPr>
            <w:tcW w:w="544" w:type="pct"/>
            <w:tcBorders>
              <w:bottom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2021 N</w:t>
            </w:r>
          </w:p>
        </w:tc>
      </w:tr>
      <w:tr w:rsidR="005C5842" w:rsidRPr="00854E4B" w:rsidTr="009A178E">
        <w:trPr>
          <w:trHeight w:val="283"/>
          <w:jc w:val="center"/>
        </w:trPr>
        <w:tc>
          <w:tcPr>
            <w:tcW w:w="1187" w:type="pct"/>
            <w:shd w:val="clear" w:color="auto" w:fill="auto"/>
            <w:noWrap/>
            <w:vAlign w:val="bottom"/>
            <w:hideMark/>
          </w:tcPr>
          <w:p w:rsidR="005C5842" w:rsidRPr="009A178E" w:rsidRDefault="005C5842" w:rsidP="009A178E">
            <w:pPr>
              <w:rPr>
                <w:rFonts w:ascii="Times New Roman" w:hAnsi="Times New Roman" w:cs="Times New Roman"/>
                <w:color w:val="000000"/>
                <w:sz w:val="14"/>
                <w:szCs w:val="14"/>
                <w:lang w:eastAsia="sk-SK"/>
              </w:rPr>
            </w:pPr>
            <w:r w:rsidRPr="009A178E">
              <w:rPr>
                <w:rFonts w:ascii="Times New Roman" w:hAnsi="Times New Roman" w:cs="Times New Roman"/>
                <w:color w:val="000000"/>
                <w:sz w:val="14"/>
                <w:szCs w:val="14"/>
                <w:lang w:eastAsia="sk-SK"/>
              </w:rPr>
              <w:t xml:space="preserve">Deficit ŠR </w:t>
            </w:r>
          </w:p>
        </w:tc>
        <w:tc>
          <w:tcPr>
            <w:tcW w:w="545" w:type="pct"/>
            <w:shd w:val="clear" w:color="auto" w:fill="auto"/>
            <w:vAlign w:val="bottom"/>
          </w:tcPr>
          <w:p w:rsidR="005C5842" w:rsidRPr="009A178E" w:rsidRDefault="005C5842" w:rsidP="009A178E">
            <w:pPr>
              <w:jc w:val="right"/>
              <w:rPr>
                <w:rFonts w:ascii="Times New Roman" w:hAnsi="Times New Roman" w:cs="Times New Roman"/>
                <w:sz w:val="14"/>
                <w:szCs w:val="14"/>
                <w:lang w:eastAsia="sk-SK"/>
              </w:rPr>
            </w:pPr>
            <w:r w:rsidRPr="009A178E">
              <w:rPr>
                <w:rFonts w:ascii="Times New Roman" w:hAnsi="Times New Roman" w:cs="Times New Roman"/>
                <w:sz w:val="14"/>
                <w:szCs w:val="14"/>
                <w:lang w:eastAsia="sk-SK"/>
              </w:rPr>
              <w:t>0,980</w:t>
            </w:r>
          </w:p>
        </w:tc>
        <w:tc>
          <w:tcPr>
            <w:tcW w:w="545" w:type="pct"/>
            <w:shd w:val="clear" w:color="auto" w:fill="auto"/>
            <w:vAlign w:val="bottom"/>
          </w:tcPr>
          <w:p w:rsidR="005C5842" w:rsidRPr="009A178E" w:rsidRDefault="005C5842" w:rsidP="009A178E">
            <w:pPr>
              <w:jc w:val="right"/>
              <w:rPr>
                <w:rFonts w:ascii="Times New Roman" w:hAnsi="Times New Roman" w:cs="Times New Roman"/>
                <w:sz w:val="14"/>
                <w:szCs w:val="14"/>
                <w:lang w:eastAsia="sk-SK"/>
              </w:rPr>
            </w:pPr>
            <w:r w:rsidRPr="009A178E">
              <w:rPr>
                <w:rFonts w:ascii="Times New Roman" w:hAnsi="Times New Roman" w:cs="Times New Roman"/>
                <w:sz w:val="14"/>
                <w:szCs w:val="14"/>
                <w:lang w:eastAsia="sk-SK"/>
              </w:rPr>
              <w:t>1,220</w:t>
            </w:r>
          </w:p>
        </w:tc>
        <w:tc>
          <w:tcPr>
            <w:tcW w:w="545" w:type="pct"/>
            <w:shd w:val="clear" w:color="auto" w:fill="auto"/>
            <w:vAlign w:val="bottom"/>
          </w:tcPr>
          <w:p w:rsidR="005C5842" w:rsidRPr="009A178E" w:rsidRDefault="005C5842" w:rsidP="009A178E">
            <w:pPr>
              <w:jc w:val="right"/>
              <w:rPr>
                <w:rFonts w:ascii="Times New Roman" w:hAnsi="Times New Roman" w:cs="Times New Roman"/>
                <w:sz w:val="14"/>
                <w:szCs w:val="14"/>
                <w:lang w:eastAsia="sk-SK"/>
              </w:rPr>
            </w:pPr>
            <w:r w:rsidRPr="009A178E">
              <w:rPr>
                <w:rFonts w:ascii="Times New Roman" w:hAnsi="Times New Roman" w:cs="Times New Roman"/>
                <w:sz w:val="14"/>
                <w:szCs w:val="14"/>
                <w:lang w:eastAsia="sk-SK"/>
              </w:rPr>
              <w:t>1,973</w:t>
            </w:r>
          </w:p>
        </w:tc>
        <w:tc>
          <w:tcPr>
            <w:tcW w:w="545" w:type="pct"/>
            <w:shd w:val="clear" w:color="auto" w:fill="auto"/>
            <w:vAlign w:val="bottom"/>
          </w:tcPr>
          <w:p w:rsidR="005C5842" w:rsidRPr="009A178E" w:rsidRDefault="005C5842" w:rsidP="009A178E">
            <w:pPr>
              <w:jc w:val="right"/>
              <w:rPr>
                <w:rFonts w:ascii="Times New Roman" w:hAnsi="Times New Roman" w:cs="Times New Roman"/>
                <w:sz w:val="14"/>
                <w:szCs w:val="14"/>
                <w:lang w:eastAsia="sk-SK"/>
              </w:rPr>
            </w:pPr>
            <w:r w:rsidRPr="009A178E">
              <w:rPr>
                <w:rFonts w:ascii="Times New Roman" w:hAnsi="Times New Roman" w:cs="Times New Roman"/>
                <w:color w:val="000000" w:themeColor="text1"/>
                <w:sz w:val="14"/>
                <w:szCs w:val="14"/>
                <w:lang w:eastAsia="sk-SK"/>
              </w:rPr>
              <w:t>1,134</w:t>
            </w:r>
          </w:p>
        </w:tc>
        <w:tc>
          <w:tcPr>
            <w:tcW w:w="545" w:type="pct"/>
            <w:shd w:val="clear" w:color="auto" w:fill="auto"/>
            <w:vAlign w:val="bottom"/>
          </w:tcPr>
          <w:p w:rsidR="005C5842" w:rsidRPr="009A178E" w:rsidRDefault="005C5842" w:rsidP="009A178E">
            <w:pPr>
              <w:jc w:val="right"/>
              <w:rPr>
                <w:rFonts w:ascii="Times New Roman" w:hAnsi="Times New Roman" w:cs="Times New Roman"/>
                <w:sz w:val="14"/>
                <w:szCs w:val="14"/>
                <w:lang w:eastAsia="sk-SK"/>
              </w:rPr>
            </w:pPr>
            <w:r w:rsidRPr="009A178E">
              <w:rPr>
                <w:rFonts w:ascii="Times New Roman" w:hAnsi="Times New Roman" w:cs="Times New Roman"/>
                <w:color w:val="000000" w:themeColor="text1"/>
                <w:sz w:val="14"/>
                <w:szCs w:val="14"/>
                <w:lang w:eastAsia="sk-SK"/>
              </w:rPr>
              <w:t>2,138</w:t>
            </w:r>
          </w:p>
        </w:tc>
        <w:tc>
          <w:tcPr>
            <w:tcW w:w="545" w:type="pct"/>
            <w:shd w:val="clear" w:color="auto" w:fill="auto"/>
            <w:vAlign w:val="bottom"/>
          </w:tcPr>
          <w:p w:rsidR="005C5842" w:rsidRPr="009A178E" w:rsidRDefault="005C5842" w:rsidP="009A178E">
            <w:pPr>
              <w:jc w:val="right"/>
              <w:rPr>
                <w:rFonts w:ascii="Times New Roman" w:hAnsi="Times New Roman" w:cs="Times New Roman"/>
                <w:sz w:val="14"/>
                <w:szCs w:val="14"/>
                <w:lang w:eastAsia="sk-SK"/>
              </w:rPr>
            </w:pPr>
            <w:r w:rsidRPr="009A178E">
              <w:rPr>
                <w:rFonts w:ascii="Times New Roman" w:hAnsi="Times New Roman" w:cs="Times New Roman"/>
                <w:color w:val="000000" w:themeColor="text1"/>
                <w:sz w:val="14"/>
                <w:szCs w:val="14"/>
                <w:lang w:eastAsia="sk-SK"/>
              </w:rPr>
              <w:t>2,211</w:t>
            </w:r>
          </w:p>
        </w:tc>
        <w:tc>
          <w:tcPr>
            <w:tcW w:w="544" w:type="pct"/>
            <w:shd w:val="clear" w:color="auto" w:fill="auto"/>
            <w:vAlign w:val="bottom"/>
          </w:tcPr>
          <w:p w:rsidR="005C5842" w:rsidRPr="009A178E" w:rsidRDefault="005C5842" w:rsidP="009A178E">
            <w:pPr>
              <w:jc w:val="right"/>
              <w:rPr>
                <w:rFonts w:ascii="Times New Roman" w:hAnsi="Times New Roman" w:cs="Times New Roman"/>
                <w:sz w:val="14"/>
                <w:szCs w:val="14"/>
                <w:lang w:eastAsia="sk-SK"/>
              </w:rPr>
            </w:pPr>
            <w:r w:rsidRPr="009A178E">
              <w:rPr>
                <w:rFonts w:ascii="Times New Roman" w:hAnsi="Times New Roman" w:cs="Times New Roman"/>
                <w:color w:val="000000" w:themeColor="text1"/>
                <w:sz w:val="14"/>
                <w:szCs w:val="14"/>
                <w:lang w:eastAsia="sk-SK"/>
              </w:rPr>
              <w:t>1,899</w:t>
            </w:r>
          </w:p>
        </w:tc>
      </w:tr>
      <w:tr w:rsidR="005C5842" w:rsidRPr="00854E4B" w:rsidTr="009A178E">
        <w:trPr>
          <w:trHeight w:val="283"/>
          <w:jc w:val="center"/>
        </w:trPr>
        <w:tc>
          <w:tcPr>
            <w:tcW w:w="1187" w:type="pct"/>
            <w:shd w:val="clear" w:color="auto" w:fill="auto"/>
            <w:noWrap/>
            <w:vAlign w:val="bottom"/>
            <w:hideMark/>
          </w:tcPr>
          <w:p w:rsidR="005C5842" w:rsidRPr="00854E4B" w:rsidRDefault="005C5842" w:rsidP="009A178E">
            <w:pPr>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 xml:space="preserve">Splatný štátny dlh </w:t>
            </w:r>
          </w:p>
        </w:tc>
        <w:tc>
          <w:tcPr>
            <w:tcW w:w="545" w:type="pct"/>
            <w:shd w:val="clear" w:color="auto" w:fill="auto"/>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4,789</w:t>
            </w:r>
          </w:p>
        </w:tc>
        <w:tc>
          <w:tcPr>
            <w:tcW w:w="545"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5,711</w:t>
            </w:r>
          </w:p>
        </w:tc>
        <w:tc>
          <w:tcPr>
            <w:tcW w:w="545"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3,066</w:t>
            </w:r>
          </w:p>
        </w:tc>
        <w:tc>
          <w:tcPr>
            <w:tcW w:w="545"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3,216</w:t>
            </w:r>
          </w:p>
        </w:tc>
        <w:tc>
          <w:tcPr>
            <w:tcW w:w="545"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2,567</w:t>
            </w:r>
          </w:p>
        </w:tc>
        <w:tc>
          <w:tcPr>
            <w:tcW w:w="545"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3,015</w:t>
            </w:r>
          </w:p>
        </w:tc>
        <w:tc>
          <w:tcPr>
            <w:tcW w:w="544"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1,689</w:t>
            </w:r>
          </w:p>
        </w:tc>
      </w:tr>
      <w:tr w:rsidR="005C5842" w:rsidRPr="00854E4B" w:rsidTr="009A178E">
        <w:trPr>
          <w:trHeight w:val="283"/>
          <w:jc w:val="center"/>
        </w:trPr>
        <w:tc>
          <w:tcPr>
            <w:tcW w:w="1187" w:type="pct"/>
            <w:shd w:val="clear" w:color="auto" w:fill="auto"/>
            <w:noWrap/>
            <w:vAlign w:val="bottom"/>
            <w:hideMark/>
          </w:tcPr>
          <w:p w:rsidR="005C5842" w:rsidRPr="00854E4B" w:rsidRDefault="005C5842" w:rsidP="009A178E">
            <w:pPr>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Celková finančná potreba MF SR</w:t>
            </w:r>
          </w:p>
        </w:tc>
        <w:tc>
          <w:tcPr>
            <w:tcW w:w="545" w:type="pct"/>
            <w:shd w:val="clear" w:color="auto" w:fill="auto"/>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5,469</w:t>
            </w:r>
          </w:p>
        </w:tc>
        <w:tc>
          <w:tcPr>
            <w:tcW w:w="545"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6,931</w:t>
            </w:r>
          </w:p>
        </w:tc>
        <w:tc>
          <w:tcPr>
            <w:tcW w:w="545"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5,039</w:t>
            </w:r>
          </w:p>
        </w:tc>
        <w:tc>
          <w:tcPr>
            <w:tcW w:w="545"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4,3</w:t>
            </w:r>
            <w:r>
              <w:rPr>
                <w:rFonts w:ascii="Times New Roman" w:hAnsi="Times New Roman" w:cs="Times New Roman"/>
                <w:sz w:val="14"/>
                <w:szCs w:val="14"/>
                <w:lang w:eastAsia="sk-SK"/>
              </w:rPr>
              <w:t>50</w:t>
            </w:r>
          </w:p>
        </w:tc>
        <w:tc>
          <w:tcPr>
            <w:tcW w:w="545"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4,</w:t>
            </w:r>
            <w:r>
              <w:rPr>
                <w:rFonts w:ascii="Times New Roman" w:hAnsi="Times New Roman" w:cs="Times New Roman"/>
                <w:sz w:val="14"/>
                <w:szCs w:val="14"/>
                <w:lang w:eastAsia="sk-SK"/>
              </w:rPr>
              <w:t>705</w:t>
            </w:r>
          </w:p>
        </w:tc>
        <w:tc>
          <w:tcPr>
            <w:tcW w:w="545"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5,226</w:t>
            </w:r>
          </w:p>
        </w:tc>
        <w:tc>
          <w:tcPr>
            <w:tcW w:w="544" w:type="pct"/>
            <w:shd w:val="clear" w:color="auto" w:fill="FFFFFF"/>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3,</w:t>
            </w:r>
            <w:r>
              <w:rPr>
                <w:rFonts w:ascii="Times New Roman" w:hAnsi="Times New Roman" w:cs="Times New Roman"/>
                <w:sz w:val="14"/>
                <w:szCs w:val="14"/>
                <w:lang w:eastAsia="sk-SK"/>
              </w:rPr>
              <w:t>588</w:t>
            </w:r>
          </w:p>
        </w:tc>
      </w:tr>
    </w:tbl>
    <w:p w:rsidR="005C5842" w:rsidRPr="00854E4B" w:rsidRDefault="005C5842" w:rsidP="005C5842">
      <w:pPr>
        <w:jc w:val="both"/>
        <w:rPr>
          <w:rFonts w:ascii="Times New Roman" w:hAnsi="Times New Roman"/>
          <w:highlight w:val="yellow"/>
        </w:rPr>
      </w:pPr>
    </w:p>
    <w:p w:rsidR="005C5842" w:rsidRPr="00854E4B" w:rsidRDefault="005C5842" w:rsidP="005C5842">
      <w:pPr>
        <w:ind w:firstLine="708"/>
        <w:jc w:val="both"/>
        <w:rPr>
          <w:rFonts w:ascii="Times New Roman" w:hAnsi="Times New Roman"/>
        </w:rPr>
      </w:pPr>
      <w:r w:rsidRPr="00854E4B">
        <w:rPr>
          <w:rFonts w:ascii="Times New Roman" w:hAnsi="Times New Roman"/>
        </w:rPr>
        <w:t xml:space="preserve">Kľúčovým predpokladom pri tvorbe rozpočtu nákladov štátneho dlhu sú očakávané úrokové sadzby na finančnom trhu. Tie sú jedným z parametrov makroekonomického vývoja, o ktorých diskutuje Výbor pre makroekonomické prognózy v gescii Ministerstva financií SR. </w:t>
      </w:r>
    </w:p>
    <w:p w:rsidR="005C5842" w:rsidRPr="00854E4B" w:rsidRDefault="005C5842" w:rsidP="005C5842">
      <w:pPr>
        <w:ind w:firstLine="708"/>
        <w:jc w:val="both"/>
        <w:rPr>
          <w:rFonts w:ascii="Times New Roman" w:hAnsi="Times New Roman"/>
        </w:rPr>
      </w:pPr>
    </w:p>
    <w:tbl>
      <w:tblPr>
        <w:tblW w:w="50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6"/>
        <w:gridCol w:w="1437"/>
        <w:gridCol w:w="1437"/>
        <w:gridCol w:w="1435"/>
        <w:gridCol w:w="1400"/>
      </w:tblGrid>
      <w:tr w:rsidR="005C5842" w:rsidRPr="00854E4B" w:rsidTr="009A178E">
        <w:trPr>
          <w:trHeight w:val="283"/>
          <w:jc w:val="center"/>
        </w:trPr>
        <w:tc>
          <w:tcPr>
            <w:tcW w:w="1869" w:type="pct"/>
            <w:shd w:val="clear" w:color="auto" w:fill="BFBFBF"/>
            <w:noWrap/>
            <w:vAlign w:val="bottom"/>
            <w:hideMark/>
          </w:tcPr>
          <w:p w:rsidR="005C5842" w:rsidRPr="00854E4B" w:rsidRDefault="005C5842" w:rsidP="009A178E">
            <w:pPr>
              <w:rPr>
                <w:rFonts w:ascii="Times New Roman" w:hAnsi="Times New Roman" w:cs="Times New Roman"/>
                <w:b/>
                <w:bCs/>
                <w:color w:val="000000"/>
                <w:sz w:val="14"/>
                <w:szCs w:val="14"/>
                <w:lang w:eastAsia="sk-SK"/>
              </w:rPr>
            </w:pPr>
          </w:p>
        </w:tc>
        <w:tc>
          <w:tcPr>
            <w:tcW w:w="788" w:type="pct"/>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2018 P</w:t>
            </w:r>
          </w:p>
        </w:tc>
        <w:tc>
          <w:tcPr>
            <w:tcW w:w="788" w:type="pct"/>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2019 P</w:t>
            </w:r>
          </w:p>
        </w:tc>
        <w:tc>
          <w:tcPr>
            <w:tcW w:w="787" w:type="pct"/>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2020 P</w:t>
            </w:r>
          </w:p>
        </w:tc>
        <w:tc>
          <w:tcPr>
            <w:tcW w:w="768" w:type="pct"/>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2021 P</w:t>
            </w:r>
          </w:p>
        </w:tc>
      </w:tr>
      <w:tr w:rsidR="005C5842" w:rsidRPr="00854E4B" w:rsidTr="009A178E">
        <w:trPr>
          <w:trHeight w:val="283"/>
          <w:jc w:val="center"/>
        </w:trPr>
        <w:tc>
          <w:tcPr>
            <w:tcW w:w="1869" w:type="pct"/>
            <w:shd w:val="clear" w:color="auto" w:fill="auto"/>
            <w:noWrap/>
            <w:vAlign w:val="bottom"/>
            <w:hideMark/>
          </w:tcPr>
          <w:p w:rsidR="005C5842" w:rsidRPr="00854E4B" w:rsidRDefault="005C5842" w:rsidP="009A178E">
            <w:pPr>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Základná sadzba ECB</w:t>
            </w:r>
          </w:p>
        </w:tc>
        <w:tc>
          <w:tcPr>
            <w:tcW w:w="788" w:type="pct"/>
            <w:shd w:val="clear" w:color="auto" w:fill="auto"/>
            <w:noWrap/>
            <w:vAlign w:val="bottom"/>
            <w:hideMark/>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0,00 %</w:t>
            </w:r>
          </w:p>
        </w:tc>
        <w:tc>
          <w:tcPr>
            <w:tcW w:w="788"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0,03 %</w:t>
            </w:r>
          </w:p>
        </w:tc>
        <w:tc>
          <w:tcPr>
            <w:tcW w:w="787"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0,35 %</w:t>
            </w:r>
          </w:p>
        </w:tc>
        <w:tc>
          <w:tcPr>
            <w:tcW w:w="768"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0,67 %</w:t>
            </w:r>
          </w:p>
        </w:tc>
      </w:tr>
      <w:tr w:rsidR="005C5842" w:rsidRPr="00854E4B" w:rsidTr="009A178E">
        <w:trPr>
          <w:trHeight w:val="283"/>
          <w:jc w:val="center"/>
        </w:trPr>
        <w:tc>
          <w:tcPr>
            <w:tcW w:w="1869" w:type="pct"/>
            <w:shd w:val="clear" w:color="auto" w:fill="auto"/>
            <w:noWrap/>
            <w:vAlign w:val="bottom"/>
            <w:hideMark/>
          </w:tcPr>
          <w:p w:rsidR="005C5842" w:rsidRPr="00854E4B" w:rsidRDefault="005C5842" w:rsidP="009A178E">
            <w:pPr>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EONIA</w:t>
            </w:r>
          </w:p>
        </w:tc>
        <w:tc>
          <w:tcPr>
            <w:tcW w:w="788" w:type="pct"/>
            <w:shd w:val="clear" w:color="auto" w:fill="auto"/>
            <w:noWrap/>
            <w:vAlign w:val="bottom"/>
            <w:hideMark/>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-0,36 %</w:t>
            </w:r>
          </w:p>
        </w:tc>
        <w:tc>
          <w:tcPr>
            <w:tcW w:w="788"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-0,22 %</w:t>
            </w:r>
          </w:p>
        </w:tc>
        <w:tc>
          <w:tcPr>
            <w:tcW w:w="787"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0,06 %</w:t>
            </w:r>
          </w:p>
        </w:tc>
        <w:tc>
          <w:tcPr>
            <w:tcW w:w="768"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0,34 %</w:t>
            </w:r>
          </w:p>
        </w:tc>
      </w:tr>
      <w:tr w:rsidR="005C5842" w:rsidRPr="00854E4B" w:rsidTr="009A178E">
        <w:trPr>
          <w:trHeight w:val="283"/>
          <w:jc w:val="center"/>
        </w:trPr>
        <w:tc>
          <w:tcPr>
            <w:tcW w:w="1869" w:type="pct"/>
            <w:shd w:val="clear" w:color="auto" w:fill="auto"/>
            <w:noWrap/>
            <w:vAlign w:val="bottom"/>
            <w:hideMark/>
          </w:tcPr>
          <w:p w:rsidR="005C5842" w:rsidRPr="00854E4B" w:rsidRDefault="005C5842" w:rsidP="009A178E">
            <w:pPr>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3 - mesačný EURIBOR</w:t>
            </w:r>
          </w:p>
        </w:tc>
        <w:tc>
          <w:tcPr>
            <w:tcW w:w="788" w:type="pct"/>
            <w:shd w:val="clear" w:color="auto" w:fill="auto"/>
            <w:noWrap/>
            <w:vAlign w:val="bottom"/>
            <w:hideMark/>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-0,31 %</w:t>
            </w:r>
          </w:p>
        </w:tc>
        <w:tc>
          <w:tcPr>
            <w:tcW w:w="788"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-0,23 %</w:t>
            </w:r>
          </w:p>
        </w:tc>
        <w:tc>
          <w:tcPr>
            <w:tcW w:w="787"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0,16 %</w:t>
            </w:r>
          </w:p>
        </w:tc>
        <w:tc>
          <w:tcPr>
            <w:tcW w:w="768"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0,39 %</w:t>
            </w:r>
          </w:p>
        </w:tc>
      </w:tr>
      <w:tr w:rsidR="005C5842" w:rsidRPr="00854E4B" w:rsidTr="009A178E">
        <w:trPr>
          <w:trHeight w:val="283"/>
          <w:jc w:val="center"/>
        </w:trPr>
        <w:tc>
          <w:tcPr>
            <w:tcW w:w="1869" w:type="pct"/>
            <w:shd w:val="clear" w:color="auto" w:fill="auto"/>
            <w:noWrap/>
            <w:vAlign w:val="bottom"/>
            <w:hideMark/>
          </w:tcPr>
          <w:p w:rsidR="005C5842" w:rsidRPr="00854E4B" w:rsidRDefault="005C5842" w:rsidP="009A178E">
            <w:pPr>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6 - mesačný EURIBOR</w:t>
            </w:r>
          </w:p>
        </w:tc>
        <w:tc>
          <w:tcPr>
            <w:tcW w:w="788" w:type="pct"/>
            <w:shd w:val="clear" w:color="auto" w:fill="auto"/>
            <w:noWrap/>
            <w:vAlign w:val="bottom"/>
            <w:hideMark/>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-0,22 %</w:t>
            </w:r>
          </w:p>
        </w:tc>
        <w:tc>
          <w:tcPr>
            <w:tcW w:w="788"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-0,09 %</w:t>
            </w:r>
          </w:p>
        </w:tc>
        <w:tc>
          <w:tcPr>
            <w:tcW w:w="787"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0,29 %</w:t>
            </w:r>
          </w:p>
        </w:tc>
        <w:tc>
          <w:tcPr>
            <w:tcW w:w="768"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0,52 %</w:t>
            </w:r>
          </w:p>
        </w:tc>
      </w:tr>
      <w:tr w:rsidR="005C5842" w:rsidRPr="00854E4B" w:rsidTr="009A178E">
        <w:trPr>
          <w:trHeight w:val="283"/>
          <w:jc w:val="center"/>
        </w:trPr>
        <w:tc>
          <w:tcPr>
            <w:tcW w:w="1869" w:type="pct"/>
            <w:shd w:val="clear" w:color="auto" w:fill="auto"/>
            <w:noWrap/>
            <w:vAlign w:val="bottom"/>
            <w:hideMark/>
          </w:tcPr>
          <w:p w:rsidR="005C5842" w:rsidRPr="00854E4B" w:rsidRDefault="005C5842" w:rsidP="009A178E">
            <w:pPr>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1 rok</w:t>
            </w:r>
          </w:p>
        </w:tc>
        <w:tc>
          <w:tcPr>
            <w:tcW w:w="788" w:type="pct"/>
            <w:shd w:val="clear" w:color="auto" w:fill="auto"/>
            <w:noWrap/>
            <w:vAlign w:val="bottom"/>
            <w:hideMark/>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-0,46 %</w:t>
            </w:r>
          </w:p>
        </w:tc>
        <w:tc>
          <w:tcPr>
            <w:tcW w:w="788"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-0,33 %</w:t>
            </w:r>
          </w:p>
        </w:tc>
        <w:tc>
          <w:tcPr>
            <w:tcW w:w="787"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-0,13 %</w:t>
            </w:r>
          </w:p>
        </w:tc>
        <w:tc>
          <w:tcPr>
            <w:tcW w:w="768"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0,02 %</w:t>
            </w:r>
          </w:p>
        </w:tc>
      </w:tr>
      <w:tr w:rsidR="005C5842" w:rsidRPr="00854E4B" w:rsidTr="009A178E">
        <w:trPr>
          <w:trHeight w:val="283"/>
          <w:jc w:val="center"/>
        </w:trPr>
        <w:tc>
          <w:tcPr>
            <w:tcW w:w="1869" w:type="pct"/>
            <w:shd w:val="clear" w:color="auto" w:fill="auto"/>
            <w:noWrap/>
            <w:vAlign w:val="bottom"/>
            <w:hideMark/>
          </w:tcPr>
          <w:p w:rsidR="005C5842" w:rsidRPr="00854E4B" w:rsidRDefault="005C5842" w:rsidP="009A178E">
            <w:pPr>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5 rokov</w:t>
            </w:r>
          </w:p>
        </w:tc>
        <w:tc>
          <w:tcPr>
            <w:tcW w:w="788" w:type="pct"/>
            <w:shd w:val="clear" w:color="auto" w:fill="auto"/>
            <w:noWrap/>
            <w:vAlign w:val="bottom"/>
            <w:hideMark/>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0,00 %</w:t>
            </w:r>
          </w:p>
        </w:tc>
        <w:tc>
          <w:tcPr>
            <w:tcW w:w="788"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0,23 %</w:t>
            </w:r>
          </w:p>
        </w:tc>
        <w:tc>
          <w:tcPr>
            <w:tcW w:w="787"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0,45 %</w:t>
            </w:r>
          </w:p>
        </w:tc>
        <w:tc>
          <w:tcPr>
            <w:tcW w:w="768"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0,63 %</w:t>
            </w:r>
          </w:p>
        </w:tc>
      </w:tr>
      <w:tr w:rsidR="005C5842" w:rsidRPr="00854E4B" w:rsidTr="009A178E">
        <w:trPr>
          <w:trHeight w:val="283"/>
          <w:jc w:val="center"/>
        </w:trPr>
        <w:tc>
          <w:tcPr>
            <w:tcW w:w="1869" w:type="pct"/>
            <w:shd w:val="clear" w:color="auto" w:fill="auto"/>
            <w:noWrap/>
            <w:vAlign w:val="bottom"/>
            <w:hideMark/>
          </w:tcPr>
          <w:p w:rsidR="005C5842" w:rsidRPr="00854E4B" w:rsidRDefault="005C5842" w:rsidP="009A178E">
            <w:pPr>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10 rokov</w:t>
            </w:r>
          </w:p>
        </w:tc>
        <w:tc>
          <w:tcPr>
            <w:tcW w:w="788" w:type="pct"/>
            <w:shd w:val="clear" w:color="auto" w:fill="auto"/>
            <w:noWrap/>
            <w:vAlign w:val="bottom"/>
            <w:hideMark/>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1,04 %</w:t>
            </w:r>
          </w:p>
        </w:tc>
        <w:tc>
          <w:tcPr>
            <w:tcW w:w="788"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1,26 %</w:t>
            </w:r>
          </w:p>
        </w:tc>
        <w:tc>
          <w:tcPr>
            <w:tcW w:w="787"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1,47 %</w:t>
            </w:r>
          </w:p>
        </w:tc>
        <w:tc>
          <w:tcPr>
            <w:tcW w:w="768"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1,64 %</w:t>
            </w:r>
          </w:p>
        </w:tc>
      </w:tr>
      <w:tr w:rsidR="005C5842" w:rsidRPr="00854E4B" w:rsidTr="009A178E">
        <w:trPr>
          <w:trHeight w:val="283"/>
          <w:jc w:val="center"/>
        </w:trPr>
        <w:tc>
          <w:tcPr>
            <w:tcW w:w="1869" w:type="pct"/>
            <w:shd w:val="clear" w:color="auto" w:fill="auto"/>
            <w:noWrap/>
            <w:vAlign w:val="bottom"/>
            <w:hideMark/>
          </w:tcPr>
          <w:p w:rsidR="005C5842" w:rsidRPr="00854E4B" w:rsidRDefault="005C5842" w:rsidP="009A178E">
            <w:pPr>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15 rokov</w:t>
            </w:r>
          </w:p>
        </w:tc>
        <w:tc>
          <w:tcPr>
            <w:tcW w:w="788" w:type="pct"/>
            <w:shd w:val="clear" w:color="auto" w:fill="auto"/>
            <w:noWrap/>
            <w:vAlign w:val="bottom"/>
            <w:hideMark/>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1,56 %</w:t>
            </w:r>
          </w:p>
        </w:tc>
        <w:tc>
          <w:tcPr>
            <w:tcW w:w="788"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1,78 %</w:t>
            </w:r>
          </w:p>
        </w:tc>
        <w:tc>
          <w:tcPr>
            <w:tcW w:w="787"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1,99 %</w:t>
            </w:r>
          </w:p>
        </w:tc>
        <w:tc>
          <w:tcPr>
            <w:tcW w:w="768"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2,14 %</w:t>
            </w:r>
          </w:p>
        </w:tc>
      </w:tr>
      <w:tr w:rsidR="005C5842" w:rsidRPr="00854E4B" w:rsidTr="009A178E">
        <w:trPr>
          <w:trHeight w:val="283"/>
          <w:jc w:val="center"/>
        </w:trPr>
        <w:tc>
          <w:tcPr>
            <w:tcW w:w="1869" w:type="pct"/>
            <w:shd w:val="clear" w:color="auto" w:fill="auto"/>
            <w:noWrap/>
            <w:vAlign w:val="bottom"/>
            <w:hideMark/>
          </w:tcPr>
          <w:p w:rsidR="005C5842" w:rsidRPr="00854E4B" w:rsidRDefault="005C5842" w:rsidP="009A178E">
            <w:pPr>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20 rokov</w:t>
            </w:r>
          </w:p>
        </w:tc>
        <w:tc>
          <w:tcPr>
            <w:tcW w:w="788" w:type="pct"/>
            <w:shd w:val="clear" w:color="auto" w:fill="auto"/>
            <w:noWrap/>
            <w:vAlign w:val="bottom"/>
            <w:hideMark/>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1,73 %</w:t>
            </w:r>
          </w:p>
        </w:tc>
        <w:tc>
          <w:tcPr>
            <w:tcW w:w="788"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1,95 %</w:t>
            </w:r>
          </w:p>
        </w:tc>
        <w:tc>
          <w:tcPr>
            <w:tcW w:w="787"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2,15 %</w:t>
            </w:r>
          </w:p>
        </w:tc>
        <w:tc>
          <w:tcPr>
            <w:tcW w:w="768" w:type="pct"/>
            <w:shd w:val="clear" w:color="auto" w:fill="auto"/>
            <w:noWrap/>
            <w:vAlign w:val="bottom"/>
          </w:tcPr>
          <w:p w:rsidR="005C5842" w:rsidRPr="00854E4B" w:rsidRDefault="005C5842" w:rsidP="009A178E">
            <w:pPr>
              <w:jc w:val="center"/>
              <w:rPr>
                <w:rFonts w:ascii="Times New Roman" w:hAnsi="Times New Roman" w:cs="Times New Roman"/>
                <w:color w:val="000000" w:themeColor="text1"/>
                <w:sz w:val="14"/>
                <w:szCs w:val="14"/>
                <w:lang w:eastAsia="sk-SK"/>
              </w:rPr>
            </w:pPr>
            <w:r w:rsidRPr="00854E4B">
              <w:rPr>
                <w:rFonts w:ascii="Times New Roman" w:hAnsi="Times New Roman" w:cs="Times New Roman"/>
                <w:color w:val="000000" w:themeColor="text1"/>
                <w:sz w:val="14"/>
                <w:szCs w:val="14"/>
                <w:lang w:eastAsia="sk-SK"/>
              </w:rPr>
              <w:t>2,31 %</w:t>
            </w:r>
          </w:p>
        </w:tc>
      </w:tr>
    </w:tbl>
    <w:p w:rsidR="005C5842" w:rsidRPr="00854E4B" w:rsidRDefault="005C5842" w:rsidP="005C5842">
      <w:pPr>
        <w:spacing w:after="200" w:line="276" w:lineRule="auto"/>
        <w:contextualSpacing/>
        <w:jc w:val="center"/>
        <w:rPr>
          <w:rFonts w:ascii="Times New Roman" w:eastAsia="Calibri" w:hAnsi="Times New Roman" w:cs="Times New Roman"/>
          <w:i/>
          <w:sz w:val="22"/>
          <w:szCs w:val="36"/>
          <w:lang w:eastAsia="en-US"/>
        </w:rPr>
      </w:pPr>
    </w:p>
    <w:p w:rsidR="005C5842" w:rsidRPr="00854E4B" w:rsidRDefault="005C5842" w:rsidP="005C5842">
      <w:pPr>
        <w:contextualSpacing/>
        <w:rPr>
          <w:rFonts w:ascii="Times New Roman" w:hAnsi="Times New Roman" w:cs="Times New Roman"/>
          <w:i/>
        </w:rPr>
      </w:pPr>
      <w:r w:rsidRPr="00854E4B">
        <w:rPr>
          <w:rFonts w:ascii="Times New Roman" w:hAnsi="Times New Roman" w:cs="Times New Roman"/>
          <w:i/>
        </w:rPr>
        <w:t>C. Iné predpoklady</w:t>
      </w:r>
    </w:p>
    <w:p w:rsidR="005C5842" w:rsidRPr="00854E4B" w:rsidRDefault="005C5842" w:rsidP="005C5842">
      <w:pPr>
        <w:jc w:val="both"/>
        <w:rPr>
          <w:rFonts w:ascii="Times New Roman" w:hAnsi="Times New Roman" w:cs="Times New Roman"/>
        </w:rPr>
      </w:pPr>
    </w:p>
    <w:p w:rsidR="005C5842" w:rsidRPr="00854E4B" w:rsidRDefault="005C5842" w:rsidP="005C5842">
      <w:pPr>
        <w:ind w:firstLine="360"/>
        <w:jc w:val="both"/>
        <w:rPr>
          <w:rFonts w:ascii="Times New Roman" w:hAnsi="Times New Roman" w:cs="Times New Roman"/>
        </w:rPr>
      </w:pPr>
      <w:r w:rsidRPr="00854E4B">
        <w:rPr>
          <w:rFonts w:ascii="Times New Roman" w:hAnsi="Times New Roman" w:cs="Times New Roman"/>
        </w:rPr>
        <w:t>Celkové náklady na štátny dlh môžu v menšej miere ovplyvniť aj niektoré iné vplyvy, medzi ktoré napríklad patria:</w:t>
      </w:r>
    </w:p>
    <w:p w:rsidR="005C5842" w:rsidRPr="00854E4B" w:rsidRDefault="005C5842" w:rsidP="005C5842">
      <w:pPr>
        <w:ind w:left="720"/>
        <w:contextualSpacing/>
        <w:jc w:val="both"/>
        <w:rPr>
          <w:rFonts w:ascii="Times New Roman" w:hAnsi="Times New Roman" w:cs="Times New Roman"/>
        </w:rPr>
      </w:pPr>
    </w:p>
    <w:p w:rsidR="005C5842" w:rsidRPr="00854E4B" w:rsidRDefault="005C5842" w:rsidP="005C5842">
      <w:pPr>
        <w:numPr>
          <w:ilvl w:val="0"/>
          <w:numId w:val="9"/>
        </w:numPr>
        <w:spacing w:after="160" w:line="259" w:lineRule="auto"/>
        <w:contextualSpacing/>
        <w:jc w:val="both"/>
        <w:rPr>
          <w:rFonts w:ascii="Times New Roman" w:hAnsi="Times New Roman" w:cs="Times New Roman"/>
        </w:rPr>
      </w:pPr>
      <w:r w:rsidRPr="00854E4B">
        <w:rPr>
          <w:rFonts w:ascii="Times New Roman" w:hAnsi="Times New Roman" w:cs="Times New Roman"/>
        </w:rPr>
        <w:t>Rýchlosť – dynamika rastu deficitu štátneho rozpočtu v priebehu roka. Ak deficit rastie rýchlejšie už v prvom polroku, výsledkom sú väčšie úrokové náklady v porovnaní so</w:t>
      </w:r>
      <w:r>
        <w:rPr>
          <w:rFonts w:ascii="Times New Roman" w:hAnsi="Times New Roman" w:cs="Times New Roman"/>
        </w:rPr>
        <w:t> </w:t>
      </w:r>
      <w:r w:rsidRPr="00854E4B">
        <w:rPr>
          <w:rFonts w:ascii="Times New Roman" w:hAnsi="Times New Roman" w:cs="Times New Roman"/>
        </w:rPr>
        <w:t xml:space="preserve">situáciou, keď deficit významne rastie až v závere roka, pokiaľ sú kryté novými emisiami štátnych dlhopisov. </w:t>
      </w:r>
    </w:p>
    <w:p w:rsidR="005C5842" w:rsidRPr="00854E4B" w:rsidRDefault="005C5842" w:rsidP="005C5842">
      <w:pPr>
        <w:ind w:left="720"/>
        <w:contextualSpacing/>
        <w:jc w:val="both"/>
        <w:rPr>
          <w:rFonts w:ascii="Times New Roman" w:hAnsi="Times New Roman" w:cs="Times New Roman"/>
        </w:rPr>
      </w:pPr>
    </w:p>
    <w:p w:rsidR="005C5842" w:rsidRPr="00854E4B" w:rsidRDefault="005C5842" w:rsidP="005C5842">
      <w:pPr>
        <w:numPr>
          <w:ilvl w:val="0"/>
          <w:numId w:val="9"/>
        </w:numPr>
        <w:spacing w:after="160" w:line="259" w:lineRule="auto"/>
        <w:contextualSpacing/>
        <w:jc w:val="both"/>
        <w:rPr>
          <w:rFonts w:ascii="Times New Roman" w:hAnsi="Times New Roman" w:cs="Times New Roman"/>
        </w:rPr>
      </w:pPr>
      <w:r w:rsidRPr="00854E4B">
        <w:rPr>
          <w:rFonts w:ascii="Times New Roman" w:hAnsi="Times New Roman" w:cs="Times New Roman"/>
        </w:rPr>
        <w:t>Štruktúra emitovaných štátnych dlhopisov a emisná politika v priebehu bežného roka. Ak Ministerstvo financií SR emituje dlhopisy s kratšou dobou splatnosti, úrokové sadzby sú zvyčajne menšie. Nevýhodou je však väčšie refinančné riziko a úrokové riziko. A naopak, pri dlhších splatnostiach sú síce úroky väčšie, ale štát má väčšiu istotu stability pri financovaní štátneho dlhu.</w:t>
      </w:r>
    </w:p>
    <w:p w:rsidR="005C5842" w:rsidRDefault="005C5842" w:rsidP="005C5842">
      <w:pPr>
        <w:spacing w:before="720"/>
        <w:rPr>
          <w:rFonts w:ascii="Times New Roman" w:hAnsi="Times New Roman" w:cs="Times New Roman"/>
          <w:i/>
          <w:u w:val="single"/>
        </w:rPr>
      </w:pPr>
    </w:p>
    <w:p w:rsidR="005C5842" w:rsidRPr="00854E4B" w:rsidRDefault="005C5842" w:rsidP="005C5842">
      <w:pPr>
        <w:spacing w:before="720"/>
        <w:rPr>
          <w:rFonts w:ascii="Times New Roman" w:hAnsi="Times New Roman" w:cs="Times New Roman"/>
          <w:i/>
          <w:iCs/>
          <w:u w:val="single"/>
        </w:rPr>
      </w:pPr>
      <w:r w:rsidRPr="00854E4B">
        <w:rPr>
          <w:rFonts w:ascii="Times New Roman" w:hAnsi="Times New Roman" w:cs="Times New Roman"/>
          <w:i/>
          <w:u w:val="single"/>
        </w:rPr>
        <w:lastRenderedPageBreak/>
        <w:t xml:space="preserve">Náklady </w:t>
      </w:r>
      <w:r w:rsidRPr="00854E4B">
        <w:rPr>
          <w:rFonts w:ascii="Times New Roman" w:hAnsi="Times New Roman" w:cs="Times New Roman"/>
          <w:i/>
          <w:iCs/>
          <w:u w:val="single"/>
        </w:rPr>
        <w:t>na financovanie štátneho dlhu (transfer zo štátneho rozpočtu na saldo účet)</w:t>
      </w:r>
    </w:p>
    <w:p w:rsidR="005C5842" w:rsidRPr="00854E4B" w:rsidRDefault="005C5842" w:rsidP="005C5842">
      <w:pPr>
        <w:jc w:val="both"/>
        <w:rPr>
          <w:rFonts w:ascii="Times New Roman" w:hAnsi="Times New Roman"/>
        </w:rPr>
      </w:pPr>
    </w:p>
    <w:p w:rsidR="005C5842" w:rsidRPr="00854E4B" w:rsidRDefault="005C5842" w:rsidP="005C5842">
      <w:pPr>
        <w:spacing w:after="120"/>
        <w:ind w:firstLine="709"/>
        <w:jc w:val="both"/>
        <w:rPr>
          <w:rFonts w:ascii="Times New Roman" w:hAnsi="Times New Roman"/>
        </w:rPr>
      </w:pPr>
      <w:r w:rsidRPr="00854E4B">
        <w:rPr>
          <w:rFonts w:ascii="Times New Roman" w:hAnsi="Times New Roman"/>
        </w:rPr>
        <w:t>Zmeny úrokových sadzieb a zmeny deficitov štátneho rozpočtu sa prejavujú v zmene nákladov na štátny dlh. Celkové zaťaženie verejných financií úrokovými nákladmi sa sleduje dvoma spôsobmi:</w:t>
      </w:r>
    </w:p>
    <w:p w:rsidR="005C5842" w:rsidRPr="00854E4B" w:rsidRDefault="005C5842" w:rsidP="005C5842">
      <w:pPr>
        <w:numPr>
          <w:ilvl w:val="0"/>
          <w:numId w:val="10"/>
        </w:numPr>
        <w:spacing w:after="120" w:line="259" w:lineRule="auto"/>
        <w:ind w:left="425" w:hanging="425"/>
        <w:contextualSpacing/>
        <w:jc w:val="both"/>
        <w:rPr>
          <w:rFonts w:ascii="Times New Roman" w:hAnsi="Times New Roman"/>
        </w:rPr>
      </w:pPr>
      <w:r w:rsidRPr="00854E4B">
        <w:rPr>
          <w:rFonts w:ascii="Times New Roman" w:hAnsi="Times New Roman"/>
        </w:rPr>
        <w:t>Akruálne náklady (časovo rozlíšené) zodpovedajú nákladom na daný kalendárny rok, a to bez ohľadu na to, či sa úroky vyplatia v danom roku alebo až v ďalších rokoch. Akruálne sledovanie a vykazovanie nákladov presnejšie odzrkadľuje reálne náklady štátu na dlhovú službu v jednotlivých rokoch.</w:t>
      </w:r>
    </w:p>
    <w:p w:rsidR="005C5842" w:rsidRPr="00854E4B" w:rsidRDefault="005C5842" w:rsidP="005C5842">
      <w:pPr>
        <w:jc w:val="right"/>
        <w:rPr>
          <w:rFonts w:ascii="Times New Roman" w:hAnsi="Times New Roman"/>
        </w:rPr>
      </w:pPr>
    </w:p>
    <w:tbl>
      <w:tblPr>
        <w:tblW w:w="9049" w:type="dxa"/>
        <w:jc w:val="center"/>
        <w:tblCellMar>
          <w:left w:w="70" w:type="dxa"/>
          <w:right w:w="70" w:type="dxa"/>
        </w:tblCellMar>
        <w:tblLook w:val="04A0" w:firstRow="1" w:lastRow="0" w:firstColumn="1" w:lastColumn="0" w:noHBand="0" w:noVBand="1"/>
      </w:tblPr>
      <w:tblGrid>
        <w:gridCol w:w="3090"/>
        <w:gridCol w:w="852"/>
        <w:gridCol w:w="852"/>
        <w:gridCol w:w="851"/>
        <w:gridCol w:w="851"/>
        <w:gridCol w:w="851"/>
        <w:gridCol w:w="851"/>
        <w:gridCol w:w="851"/>
      </w:tblGrid>
      <w:tr w:rsidR="005C5842" w:rsidRPr="00854E4B" w:rsidTr="009A178E">
        <w:trPr>
          <w:trHeight w:hRule="exact" w:val="283"/>
          <w:jc w:val="center"/>
        </w:trPr>
        <w:tc>
          <w:tcPr>
            <w:tcW w:w="309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5C5842" w:rsidRPr="00854E4B" w:rsidRDefault="005C5842" w:rsidP="009A178E">
            <w:pPr>
              <w:rPr>
                <w:rFonts w:ascii="Times New Roman" w:hAnsi="Times New Roman" w:cs="Times New Roman"/>
                <w:b/>
                <w:bCs/>
                <w:color w:val="000000"/>
                <w:sz w:val="14"/>
                <w:szCs w:val="14"/>
                <w:lang w:eastAsia="sk-SK"/>
              </w:rPr>
            </w:pPr>
            <w:r w:rsidRPr="00854E4B">
              <w:rPr>
                <w:rFonts w:ascii="Times New Roman" w:hAnsi="Times New Roman" w:cs="Times New Roman"/>
                <w:b/>
                <w:bCs/>
                <w:color w:val="000000"/>
                <w:sz w:val="14"/>
                <w:szCs w:val="14"/>
                <w:lang w:eastAsia="sk-SK"/>
              </w:rPr>
              <w:t>Akruálne (časovo rozlíšené) náklady (v mil. eur)</w:t>
            </w:r>
          </w:p>
        </w:tc>
        <w:tc>
          <w:tcPr>
            <w:tcW w:w="852" w:type="dxa"/>
            <w:tcBorders>
              <w:top w:val="single" w:sz="4" w:space="0" w:color="auto"/>
              <w:left w:val="nil"/>
              <w:bottom w:val="single" w:sz="4" w:space="0" w:color="auto"/>
              <w:right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2016 S</w:t>
            </w:r>
          </w:p>
        </w:tc>
        <w:tc>
          <w:tcPr>
            <w:tcW w:w="852" w:type="dxa"/>
            <w:tcBorders>
              <w:top w:val="single" w:sz="4" w:space="0" w:color="auto"/>
              <w:left w:val="nil"/>
              <w:bottom w:val="single" w:sz="4" w:space="0" w:color="auto"/>
              <w:right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2017 S</w:t>
            </w:r>
          </w:p>
        </w:tc>
        <w:tc>
          <w:tcPr>
            <w:tcW w:w="851" w:type="dxa"/>
            <w:tcBorders>
              <w:top w:val="single" w:sz="4" w:space="0" w:color="auto"/>
              <w:left w:val="nil"/>
              <w:bottom w:val="single" w:sz="4" w:space="0" w:color="auto"/>
              <w:right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2018 R</w:t>
            </w:r>
          </w:p>
        </w:tc>
        <w:tc>
          <w:tcPr>
            <w:tcW w:w="851" w:type="dxa"/>
            <w:tcBorders>
              <w:top w:val="single" w:sz="4" w:space="0" w:color="auto"/>
              <w:left w:val="nil"/>
              <w:bottom w:val="single" w:sz="4" w:space="0" w:color="auto"/>
              <w:right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2018 OS</w:t>
            </w:r>
          </w:p>
        </w:tc>
        <w:tc>
          <w:tcPr>
            <w:tcW w:w="851" w:type="dxa"/>
            <w:tcBorders>
              <w:top w:val="single" w:sz="4" w:space="0" w:color="auto"/>
              <w:left w:val="nil"/>
              <w:bottom w:val="single" w:sz="4" w:space="0" w:color="auto"/>
              <w:right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2019 N</w:t>
            </w:r>
          </w:p>
        </w:tc>
        <w:tc>
          <w:tcPr>
            <w:tcW w:w="851" w:type="dxa"/>
            <w:tcBorders>
              <w:top w:val="single" w:sz="4" w:space="0" w:color="auto"/>
              <w:left w:val="nil"/>
              <w:bottom w:val="single" w:sz="4" w:space="0" w:color="auto"/>
              <w:right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2020 N</w:t>
            </w:r>
          </w:p>
        </w:tc>
        <w:tc>
          <w:tcPr>
            <w:tcW w:w="851" w:type="dxa"/>
            <w:tcBorders>
              <w:top w:val="single" w:sz="4" w:space="0" w:color="auto"/>
              <w:left w:val="nil"/>
              <w:bottom w:val="single" w:sz="4" w:space="0" w:color="auto"/>
              <w:right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2021 N</w:t>
            </w:r>
          </w:p>
        </w:tc>
      </w:tr>
      <w:tr w:rsidR="005C5842" w:rsidRPr="00854E4B" w:rsidTr="009A178E">
        <w:trPr>
          <w:trHeight w:val="283"/>
          <w:jc w:val="center"/>
        </w:trPr>
        <w:tc>
          <w:tcPr>
            <w:tcW w:w="3090" w:type="dxa"/>
            <w:tcBorders>
              <w:top w:val="nil"/>
              <w:left w:val="single" w:sz="4" w:space="0" w:color="auto"/>
              <w:bottom w:val="single" w:sz="4" w:space="0" w:color="auto"/>
              <w:right w:val="single" w:sz="4" w:space="0" w:color="auto"/>
            </w:tcBorders>
            <w:shd w:val="clear" w:color="auto" w:fill="auto"/>
            <w:noWrap/>
            <w:vAlign w:val="bottom"/>
            <w:hideMark/>
          </w:tcPr>
          <w:p w:rsidR="005C5842" w:rsidRPr="00854E4B" w:rsidRDefault="005C5842" w:rsidP="009A178E">
            <w:pPr>
              <w:ind w:left="201" w:hanging="201"/>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1.Úroky a diskont štátnych cenných papierov</w:t>
            </w:r>
          </w:p>
        </w:tc>
        <w:tc>
          <w:tcPr>
            <w:tcW w:w="852" w:type="dxa"/>
            <w:tcBorders>
              <w:top w:val="nil"/>
              <w:left w:val="nil"/>
              <w:bottom w:val="single" w:sz="4" w:space="0" w:color="auto"/>
              <w:right w:val="single" w:sz="4" w:space="0" w:color="auto"/>
            </w:tcBorders>
            <w:shd w:val="clear" w:color="auto" w:fill="auto"/>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1 090,39</w:t>
            </w:r>
          </w:p>
        </w:tc>
        <w:tc>
          <w:tcPr>
            <w:tcW w:w="852"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985,11</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1 013,88</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1 006,34</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1 006,02</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978,40</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987,06</w:t>
            </w:r>
          </w:p>
        </w:tc>
      </w:tr>
      <w:tr w:rsidR="005C5842" w:rsidRPr="00854E4B" w:rsidTr="009A178E">
        <w:trPr>
          <w:trHeight w:val="283"/>
          <w:jc w:val="center"/>
        </w:trPr>
        <w:tc>
          <w:tcPr>
            <w:tcW w:w="3090" w:type="dxa"/>
            <w:tcBorders>
              <w:top w:val="nil"/>
              <w:left w:val="single" w:sz="4" w:space="0" w:color="auto"/>
              <w:bottom w:val="single" w:sz="4" w:space="0" w:color="auto"/>
              <w:right w:val="single" w:sz="4" w:space="0" w:color="auto"/>
            </w:tcBorders>
            <w:shd w:val="clear" w:color="auto" w:fill="auto"/>
            <w:noWrap/>
            <w:vAlign w:val="bottom"/>
            <w:hideMark/>
          </w:tcPr>
          <w:p w:rsidR="005C5842" w:rsidRPr="00854E4B" w:rsidRDefault="005C5842" w:rsidP="009A178E">
            <w:pPr>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2. Úroky z prijatých vládnych úverov</w:t>
            </w:r>
          </w:p>
        </w:tc>
        <w:tc>
          <w:tcPr>
            <w:tcW w:w="852" w:type="dxa"/>
            <w:tcBorders>
              <w:top w:val="nil"/>
              <w:left w:val="nil"/>
              <w:bottom w:val="single" w:sz="4" w:space="0" w:color="auto"/>
              <w:right w:val="single" w:sz="4" w:space="0" w:color="auto"/>
            </w:tcBorders>
            <w:shd w:val="clear" w:color="auto" w:fill="auto"/>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62,65</w:t>
            </w:r>
          </w:p>
        </w:tc>
        <w:tc>
          <w:tcPr>
            <w:tcW w:w="852"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63,54</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63,11</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63,09</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58,97</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57,50</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56,95</w:t>
            </w:r>
          </w:p>
        </w:tc>
      </w:tr>
      <w:tr w:rsidR="005C5842" w:rsidRPr="00854E4B" w:rsidTr="009A178E">
        <w:trPr>
          <w:trHeight w:val="283"/>
          <w:jc w:val="center"/>
        </w:trPr>
        <w:tc>
          <w:tcPr>
            <w:tcW w:w="3090" w:type="dxa"/>
            <w:tcBorders>
              <w:top w:val="nil"/>
              <w:left w:val="single" w:sz="4" w:space="0" w:color="auto"/>
              <w:bottom w:val="single" w:sz="4" w:space="0" w:color="auto"/>
              <w:right w:val="single" w:sz="4" w:space="0" w:color="auto"/>
            </w:tcBorders>
            <w:shd w:val="clear" w:color="auto" w:fill="auto"/>
            <w:noWrap/>
            <w:vAlign w:val="bottom"/>
            <w:hideMark/>
          </w:tcPr>
          <w:p w:rsidR="005C5842" w:rsidRPr="00854E4B" w:rsidRDefault="005C5842" w:rsidP="009A178E">
            <w:pPr>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3. Poplatky</w:t>
            </w:r>
          </w:p>
        </w:tc>
        <w:tc>
          <w:tcPr>
            <w:tcW w:w="852" w:type="dxa"/>
            <w:tcBorders>
              <w:top w:val="nil"/>
              <w:left w:val="nil"/>
              <w:bottom w:val="single" w:sz="4" w:space="0" w:color="auto"/>
              <w:right w:val="single" w:sz="4" w:space="0" w:color="auto"/>
            </w:tcBorders>
            <w:shd w:val="clear" w:color="auto" w:fill="auto"/>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5,42</w:t>
            </w:r>
          </w:p>
        </w:tc>
        <w:tc>
          <w:tcPr>
            <w:tcW w:w="852"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8,81</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12,33</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10,00</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12,00</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12,00</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12,00</w:t>
            </w:r>
          </w:p>
        </w:tc>
      </w:tr>
      <w:tr w:rsidR="005C5842" w:rsidRPr="00854E4B" w:rsidTr="009A178E">
        <w:trPr>
          <w:trHeight w:val="283"/>
          <w:jc w:val="center"/>
        </w:trPr>
        <w:tc>
          <w:tcPr>
            <w:tcW w:w="3090" w:type="dxa"/>
            <w:tcBorders>
              <w:top w:val="nil"/>
              <w:left w:val="single" w:sz="4" w:space="0" w:color="auto"/>
              <w:bottom w:val="single" w:sz="4" w:space="0" w:color="auto"/>
              <w:right w:val="single" w:sz="4" w:space="0" w:color="auto"/>
            </w:tcBorders>
            <w:shd w:val="clear" w:color="auto" w:fill="auto"/>
            <w:noWrap/>
            <w:vAlign w:val="bottom"/>
            <w:hideMark/>
          </w:tcPr>
          <w:p w:rsidR="005C5842" w:rsidRPr="00854E4B" w:rsidRDefault="005C5842" w:rsidP="009A178E">
            <w:pPr>
              <w:ind w:left="201" w:hanging="201"/>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4. Úroky platené ŠP (refinančný systém) + obchody</w:t>
            </w:r>
          </w:p>
        </w:tc>
        <w:tc>
          <w:tcPr>
            <w:tcW w:w="852" w:type="dxa"/>
            <w:tcBorders>
              <w:top w:val="nil"/>
              <w:left w:val="nil"/>
              <w:bottom w:val="single" w:sz="4" w:space="0" w:color="auto"/>
              <w:right w:val="single" w:sz="4" w:space="0" w:color="auto"/>
            </w:tcBorders>
            <w:shd w:val="clear" w:color="auto" w:fill="auto"/>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51,53</w:t>
            </w:r>
          </w:p>
        </w:tc>
        <w:tc>
          <w:tcPr>
            <w:tcW w:w="852"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54,88</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58,05</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62,80</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58,69</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52,97</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67,20</w:t>
            </w:r>
          </w:p>
        </w:tc>
      </w:tr>
      <w:tr w:rsidR="005C5842" w:rsidRPr="00854E4B" w:rsidTr="009A178E">
        <w:trPr>
          <w:trHeight w:val="283"/>
          <w:jc w:val="center"/>
        </w:trPr>
        <w:tc>
          <w:tcPr>
            <w:tcW w:w="309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C5842" w:rsidRPr="00854E4B" w:rsidRDefault="005C5842" w:rsidP="009A178E">
            <w:pPr>
              <w:rPr>
                <w:rFonts w:ascii="Times New Roman" w:hAnsi="Times New Roman" w:cs="Times New Roman"/>
                <w:bCs/>
                <w:color w:val="000000"/>
                <w:sz w:val="14"/>
                <w:szCs w:val="14"/>
                <w:lang w:eastAsia="sk-SK"/>
              </w:rPr>
            </w:pPr>
            <w:r w:rsidRPr="00854E4B">
              <w:rPr>
                <w:rFonts w:ascii="Times New Roman" w:hAnsi="Times New Roman" w:cs="Times New Roman"/>
                <w:bCs/>
                <w:color w:val="000000"/>
                <w:sz w:val="14"/>
                <w:szCs w:val="14"/>
                <w:lang w:eastAsia="sk-SK"/>
              </w:rPr>
              <w:t>Spolu</w:t>
            </w:r>
          </w:p>
        </w:tc>
        <w:tc>
          <w:tcPr>
            <w:tcW w:w="852"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1 209,99</w:t>
            </w:r>
          </w:p>
        </w:tc>
        <w:tc>
          <w:tcPr>
            <w:tcW w:w="852"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1 112,34</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1 147,37</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1 142,23</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1 135,68</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1 100,87</w:t>
            </w:r>
          </w:p>
        </w:tc>
        <w:tc>
          <w:tcPr>
            <w:tcW w:w="851" w:type="dxa"/>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1 123,21</w:t>
            </w:r>
          </w:p>
        </w:tc>
      </w:tr>
    </w:tbl>
    <w:p w:rsidR="005C5842" w:rsidRPr="00854E4B" w:rsidRDefault="005C5842" w:rsidP="005C5842">
      <w:pPr>
        <w:spacing w:after="200" w:line="276" w:lineRule="auto"/>
        <w:jc w:val="both"/>
        <w:rPr>
          <w:rFonts w:ascii="Times New Roman" w:eastAsia="Calibri" w:hAnsi="Times New Roman" w:cs="Times New Roman"/>
          <w:sz w:val="22"/>
          <w:szCs w:val="36"/>
          <w:lang w:eastAsia="en-US"/>
        </w:rPr>
      </w:pPr>
    </w:p>
    <w:p w:rsidR="005C5842" w:rsidRPr="00854E4B" w:rsidRDefault="005C5842" w:rsidP="005C5842">
      <w:pPr>
        <w:ind w:left="426" w:hanging="426"/>
        <w:contextualSpacing/>
        <w:jc w:val="both"/>
        <w:rPr>
          <w:rFonts w:ascii="Times New Roman" w:hAnsi="Times New Roman"/>
          <w:highlight w:val="yellow"/>
        </w:rPr>
      </w:pPr>
      <w:r w:rsidRPr="00854E4B">
        <w:rPr>
          <w:rFonts w:ascii="Times New Roman" w:hAnsi="Times New Roman"/>
        </w:rPr>
        <w:t>2.  Hotovostné náklady na štátny dlh sú dané hodnotou výdavkov, ktoré sa v danom roku vyplatia zo štátneho rozpočtu.</w:t>
      </w:r>
      <w:r w:rsidRPr="00854E4B">
        <w:rPr>
          <w:rFonts w:ascii="Times New Roman" w:hAnsi="Times New Roman"/>
          <w:color w:val="FF0000"/>
        </w:rPr>
        <w:t xml:space="preserve"> </w:t>
      </w:r>
    </w:p>
    <w:p w:rsidR="005C5842" w:rsidRPr="00854E4B" w:rsidRDefault="005C5842" w:rsidP="005C5842">
      <w:pPr>
        <w:jc w:val="center"/>
        <w:rPr>
          <w:rFonts w:ascii="Times New Roman" w:hAnsi="Times New Roman"/>
        </w:rPr>
      </w:pPr>
    </w:p>
    <w:tbl>
      <w:tblPr>
        <w:tblW w:w="4987" w:type="pct"/>
        <w:tblCellMar>
          <w:left w:w="70" w:type="dxa"/>
          <w:right w:w="70" w:type="dxa"/>
        </w:tblCellMar>
        <w:tblLook w:val="04A0" w:firstRow="1" w:lastRow="0" w:firstColumn="1" w:lastColumn="0" w:noHBand="0" w:noVBand="1"/>
      </w:tblPr>
      <w:tblGrid>
        <w:gridCol w:w="3067"/>
        <w:gridCol w:w="822"/>
        <w:gridCol w:w="826"/>
        <w:gridCol w:w="826"/>
        <w:gridCol w:w="1023"/>
        <w:gridCol w:w="826"/>
        <w:gridCol w:w="826"/>
        <w:gridCol w:w="822"/>
      </w:tblGrid>
      <w:tr w:rsidR="005C5842" w:rsidRPr="00854E4B" w:rsidTr="009A178E">
        <w:trPr>
          <w:trHeight w:val="283"/>
        </w:trPr>
        <w:tc>
          <w:tcPr>
            <w:tcW w:w="1696"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5C5842" w:rsidRPr="00854E4B" w:rsidRDefault="005C5842" w:rsidP="009A178E">
            <w:pPr>
              <w:rPr>
                <w:rFonts w:ascii="Times New Roman" w:hAnsi="Times New Roman" w:cs="Times New Roman"/>
                <w:b/>
                <w:bCs/>
                <w:color w:val="000000"/>
                <w:sz w:val="14"/>
                <w:szCs w:val="14"/>
                <w:lang w:eastAsia="sk-SK"/>
              </w:rPr>
            </w:pPr>
            <w:r w:rsidRPr="00854E4B">
              <w:rPr>
                <w:rFonts w:ascii="Times New Roman" w:hAnsi="Times New Roman" w:cs="Times New Roman"/>
                <w:b/>
                <w:bCs/>
                <w:color w:val="000000"/>
                <w:sz w:val="14"/>
                <w:szCs w:val="14"/>
                <w:lang w:eastAsia="sk-SK"/>
              </w:rPr>
              <w:t>Hotovostné náklady (v mil. eur)</w:t>
            </w:r>
          </w:p>
        </w:tc>
        <w:tc>
          <w:tcPr>
            <w:tcW w:w="455" w:type="pct"/>
            <w:tcBorders>
              <w:top w:val="single" w:sz="4" w:space="0" w:color="auto"/>
              <w:left w:val="nil"/>
              <w:bottom w:val="single" w:sz="4" w:space="0" w:color="auto"/>
              <w:right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2016 S</w:t>
            </w:r>
          </w:p>
        </w:tc>
        <w:tc>
          <w:tcPr>
            <w:tcW w:w="457" w:type="pct"/>
            <w:tcBorders>
              <w:top w:val="single" w:sz="4" w:space="0" w:color="auto"/>
              <w:left w:val="nil"/>
              <w:bottom w:val="single" w:sz="4" w:space="0" w:color="auto"/>
              <w:right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2017 S</w:t>
            </w:r>
          </w:p>
        </w:tc>
        <w:tc>
          <w:tcPr>
            <w:tcW w:w="457" w:type="pct"/>
            <w:tcBorders>
              <w:top w:val="single" w:sz="4" w:space="0" w:color="auto"/>
              <w:left w:val="nil"/>
              <w:bottom w:val="single" w:sz="4" w:space="0" w:color="auto"/>
              <w:right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2018 R</w:t>
            </w:r>
          </w:p>
        </w:tc>
        <w:tc>
          <w:tcPr>
            <w:tcW w:w="566" w:type="pct"/>
            <w:tcBorders>
              <w:top w:val="single" w:sz="4" w:space="0" w:color="auto"/>
              <w:left w:val="nil"/>
              <w:bottom w:val="single" w:sz="4" w:space="0" w:color="auto"/>
              <w:right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2018 OS</w:t>
            </w:r>
          </w:p>
        </w:tc>
        <w:tc>
          <w:tcPr>
            <w:tcW w:w="457" w:type="pct"/>
            <w:tcBorders>
              <w:top w:val="single" w:sz="4" w:space="0" w:color="auto"/>
              <w:left w:val="nil"/>
              <w:bottom w:val="single" w:sz="4" w:space="0" w:color="auto"/>
              <w:right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2019 N</w:t>
            </w:r>
          </w:p>
        </w:tc>
        <w:tc>
          <w:tcPr>
            <w:tcW w:w="457" w:type="pct"/>
            <w:tcBorders>
              <w:top w:val="single" w:sz="4" w:space="0" w:color="auto"/>
              <w:left w:val="nil"/>
              <w:bottom w:val="single" w:sz="4" w:space="0" w:color="auto"/>
              <w:right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2020 N</w:t>
            </w:r>
          </w:p>
        </w:tc>
        <w:tc>
          <w:tcPr>
            <w:tcW w:w="455" w:type="pct"/>
            <w:tcBorders>
              <w:top w:val="single" w:sz="4" w:space="0" w:color="auto"/>
              <w:left w:val="nil"/>
              <w:bottom w:val="single" w:sz="4" w:space="0" w:color="auto"/>
              <w:right w:val="single" w:sz="4" w:space="0" w:color="auto"/>
            </w:tcBorders>
            <w:shd w:val="clear" w:color="auto" w:fill="BFBFBF"/>
            <w:noWrap/>
            <w:vAlign w:val="bottom"/>
            <w:hideMark/>
          </w:tcPr>
          <w:p w:rsidR="005C5842" w:rsidRPr="00854E4B" w:rsidRDefault="005C5842" w:rsidP="009A178E">
            <w:pPr>
              <w:jc w:val="center"/>
              <w:rPr>
                <w:rFonts w:ascii="Times New Roman" w:hAnsi="Times New Roman" w:cs="Times New Roman"/>
                <w:b/>
                <w:bCs/>
                <w:sz w:val="14"/>
                <w:szCs w:val="14"/>
                <w:lang w:eastAsia="sk-SK"/>
              </w:rPr>
            </w:pPr>
            <w:r w:rsidRPr="00854E4B">
              <w:rPr>
                <w:rFonts w:ascii="Times New Roman" w:hAnsi="Times New Roman" w:cs="Times New Roman"/>
                <w:b/>
                <w:bCs/>
                <w:sz w:val="14"/>
                <w:szCs w:val="14"/>
                <w:lang w:eastAsia="sk-SK"/>
              </w:rPr>
              <w:t>2021 N</w:t>
            </w:r>
          </w:p>
        </w:tc>
      </w:tr>
      <w:tr w:rsidR="005C5842" w:rsidRPr="00854E4B" w:rsidTr="009A178E">
        <w:trPr>
          <w:trHeight w:val="283"/>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rsidR="005C5842" w:rsidRPr="00854E4B" w:rsidRDefault="005C5842" w:rsidP="009A178E">
            <w:pPr>
              <w:ind w:left="214" w:hanging="214"/>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1. Úroky a diskont štátnych cenných papierov</w:t>
            </w:r>
          </w:p>
        </w:tc>
        <w:tc>
          <w:tcPr>
            <w:tcW w:w="455" w:type="pct"/>
            <w:tcBorders>
              <w:top w:val="nil"/>
              <w:left w:val="nil"/>
              <w:bottom w:val="single" w:sz="4" w:space="0" w:color="auto"/>
              <w:right w:val="single" w:sz="4" w:space="0" w:color="auto"/>
            </w:tcBorders>
            <w:shd w:val="clear" w:color="auto" w:fill="auto"/>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1 066,86</w:t>
            </w:r>
          </w:p>
        </w:tc>
        <w:tc>
          <w:tcPr>
            <w:tcW w:w="457"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1 047,22</w:t>
            </w:r>
          </w:p>
        </w:tc>
        <w:tc>
          <w:tcPr>
            <w:tcW w:w="457"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1 017,52</w:t>
            </w:r>
          </w:p>
        </w:tc>
        <w:tc>
          <w:tcPr>
            <w:tcW w:w="566"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1 009,29</w:t>
            </w:r>
          </w:p>
        </w:tc>
        <w:tc>
          <w:tcPr>
            <w:tcW w:w="457"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1 047,12</w:t>
            </w:r>
          </w:p>
        </w:tc>
        <w:tc>
          <w:tcPr>
            <w:tcW w:w="457"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1 134,40</w:t>
            </w:r>
          </w:p>
        </w:tc>
        <w:tc>
          <w:tcPr>
            <w:tcW w:w="455"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1 042,96</w:t>
            </w:r>
          </w:p>
        </w:tc>
      </w:tr>
      <w:tr w:rsidR="005C5842" w:rsidRPr="00854E4B" w:rsidTr="009A178E">
        <w:trPr>
          <w:trHeight w:val="283"/>
        </w:trPr>
        <w:tc>
          <w:tcPr>
            <w:tcW w:w="1696" w:type="pct"/>
            <w:tcBorders>
              <w:top w:val="nil"/>
              <w:left w:val="single" w:sz="4" w:space="0" w:color="auto"/>
              <w:bottom w:val="single" w:sz="4" w:space="0" w:color="auto"/>
              <w:right w:val="single" w:sz="4" w:space="0" w:color="auto"/>
            </w:tcBorders>
            <w:shd w:val="clear" w:color="auto" w:fill="auto"/>
            <w:noWrap/>
            <w:vAlign w:val="bottom"/>
            <w:hideMark/>
          </w:tcPr>
          <w:p w:rsidR="005C5842" w:rsidRPr="00854E4B" w:rsidRDefault="005C5842" w:rsidP="009A178E">
            <w:pPr>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2. Úroky z prijatých vládnych úverov</w:t>
            </w:r>
          </w:p>
        </w:tc>
        <w:tc>
          <w:tcPr>
            <w:tcW w:w="455" w:type="pct"/>
            <w:tcBorders>
              <w:top w:val="nil"/>
              <w:left w:val="nil"/>
              <w:bottom w:val="single" w:sz="4" w:space="0" w:color="auto"/>
              <w:right w:val="single" w:sz="4" w:space="0" w:color="auto"/>
            </w:tcBorders>
            <w:shd w:val="clear" w:color="auto" w:fill="auto"/>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60,64</w:t>
            </w:r>
          </w:p>
        </w:tc>
        <w:tc>
          <w:tcPr>
            <w:tcW w:w="457"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63,19</w:t>
            </w:r>
          </w:p>
        </w:tc>
        <w:tc>
          <w:tcPr>
            <w:tcW w:w="457"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63,32</w:t>
            </w:r>
          </w:p>
        </w:tc>
        <w:tc>
          <w:tcPr>
            <w:tcW w:w="566"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63,31</w:t>
            </w:r>
          </w:p>
        </w:tc>
        <w:tc>
          <w:tcPr>
            <w:tcW w:w="457"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60,52</w:t>
            </w:r>
          </w:p>
        </w:tc>
        <w:tc>
          <w:tcPr>
            <w:tcW w:w="457"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57,72</w:t>
            </w:r>
          </w:p>
        </w:tc>
        <w:tc>
          <w:tcPr>
            <w:tcW w:w="455"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57,23</w:t>
            </w:r>
          </w:p>
        </w:tc>
      </w:tr>
      <w:tr w:rsidR="005C5842" w:rsidRPr="00854E4B" w:rsidTr="009A178E">
        <w:trPr>
          <w:trHeight w:val="283"/>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5842" w:rsidRPr="00854E4B" w:rsidRDefault="005C5842" w:rsidP="009A178E">
            <w:pPr>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3. Poplatky</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5,42</w:t>
            </w:r>
          </w:p>
        </w:tc>
        <w:tc>
          <w:tcPr>
            <w:tcW w:w="457"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8,81</w:t>
            </w:r>
          </w:p>
        </w:tc>
        <w:tc>
          <w:tcPr>
            <w:tcW w:w="457"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12,33</w:t>
            </w:r>
          </w:p>
        </w:tc>
        <w:tc>
          <w:tcPr>
            <w:tcW w:w="566"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10,00</w:t>
            </w:r>
          </w:p>
        </w:tc>
        <w:tc>
          <w:tcPr>
            <w:tcW w:w="457"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12,00</w:t>
            </w:r>
          </w:p>
        </w:tc>
        <w:tc>
          <w:tcPr>
            <w:tcW w:w="457"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12,00</w:t>
            </w:r>
          </w:p>
        </w:tc>
        <w:tc>
          <w:tcPr>
            <w:tcW w:w="455"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12,00</w:t>
            </w:r>
          </w:p>
        </w:tc>
      </w:tr>
      <w:tr w:rsidR="005C5842" w:rsidRPr="00854E4B" w:rsidTr="009A178E">
        <w:trPr>
          <w:trHeight w:val="283"/>
        </w:trPr>
        <w:tc>
          <w:tcPr>
            <w:tcW w:w="16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5842" w:rsidRPr="00854E4B" w:rsidRDefault="005C5842" w:rsidP="009A178E">
            <w:pPr>
              <w:ind w:left="214" w:hanging="214"/>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4. Úroky platené ŠP (refinančný systém) + obchody</w:t>
            </w:r>
          </w:p>
        </w:tc>
        <w:tc>
          <w:tcPr>
            <w:tcW w:w="455" w:type="pct"/>
            <w:tcBorders>
              <w:top w:val="single" w:sz="4" w:space="0" w:color="auto"/>
              <w:left w:val="nil"/>
              <w:bottom w:val="single" w:sz="4" w:space="0" w:color="auto"/>
              <w:right w:val="single" w:sz="4" w:space="0" w:color="auto"/>
            </w:tcBorders>
            <w:shd w:val="clear" w:color="auto" w:fill="auto"/>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41,81</w:t>
            </w:r>
          </w:p>
        </w:tc>
        <w:tc>
          <w:tcPr>
            <w:tcW w:w="457"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47,07</w:t>
            </w:r>
          </w:p>
        </w:tc>
        <w:tc>
          <w:tcPr>
            <w:tcW w:w="457"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57,75</w:t>
            </w:r>
          </w:p>
        </w:tc>
        <w:tc>
          <w:tcPr>
            <w:tcW w:w="566"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57,75</w:t>
            </w:r>
          </w:p>
        </w:tc>
        <w:tc>
          <w:tcPr>
            <w:tcW w:w="457"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58,69</w:t>
            </w:r>
          </w:p>
        </w:tc>
        <w:tc>
          <w:tcPr>
            <w:tcW w:w="457"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52,97</w:t>
            </w:r>
          </w:p>
        </w:tc>
        <w:tc>
          <w:tcPr>
            <w:tcW w:w="455"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67,20</w:t>
            </w:r>
          </w:p>
        </w:tc>
      </w:tr>
      <w:tr w:rsidR="005C5842" w:rsidRPr="00854E4B" w:rsidTr="009A178E">
        <w:trPr>
          <w:trHeight w:val="283"/>
        </w:trPr>
        <w:tc>
          <w:tcPr>
            <w:tcW w:w="169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C5842" w:rsidRPr="00854E4B" w:rsidRDefault="005C5842" w:rsidP="009A178E">
            <w:pPr>
              <w:rPr>
                <w:rFonts w:ascii="Times New Roman" w:hAnsi="Times New Roman" w:cs="Times New Roman"/>
                <w:color w:val="000000"/>
                <w:sz w:val="14"/>
                <w:szCs w:val="14"/>
                <w:lang w:eastAsia="sk-SK"/>
              </w:rPr>
            </w:pPr>
            <w:r w:rsidRPr="00854E4B">
              <w:rPr>
                <w:rFonts w:ascii="Times New Roman" w:hAnsi="Times New Roman" w:cs="Times New Roman"/>
                <w:color w:val="000000"/>
                <w:sz w:val="14"/>
                <w:szCs w:val="14"/>
                <w:lang w:eastAsia="sk-SK"/>
              </w:rPr>
              <w:t>Spolu (transfer zo ŠR na saldo účet)</w:t>
            </w:r>
          </w:p>
        </w:tc>
        <w:tc>
          <w:tcPr>
            <w:tcW w:w="455"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1 174,73</w:t>
            </w:r>
          </w:p>
        </w:tc>
        <w:tc>
          <w:tcPr>
            <w:tcW w:w="457"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1 166,30</w:t>
            </w:r>
          </w:p>
        </w:tc>
        <w:tc>
          <w:tcPr>
            <w:tcW w:w="457"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1 150,92</w:t>
            </w:r>
          </w:p>
        </w:tc>
        <w:tc>
          <w:tcPr>
            <w:tcW w:w="566"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1 140,35</w:t>
            </w:r>
          </w:p>
        </w:tc>
        <w:tc>
          <w:tcPr>
            <w:tcW w:w="457"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1 178,33</w:t>
            </w:r>
          </w:p>
        </w:tc>
        <w:tc>
          <w:tcPr>
            <w:tcW w:w="457"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1 257,09</w:t>
            </w:r>
          </w:p>
        </w:tc>
        <w:tc>
          <w:tcPr>
            <w:tcW w:w="455" w:type="pct"/>
            <w:tcBorders>
              <w:top w:val="single" w:sz="4" w:space="0" w:color="auto"/>
              <w:left w:val="nil"/>
              <w:bottom w:val="single" w:sz="4" w:space="0" w:color="auto"/>
              <w:right w:val="single" w:sz="4" w:space="0" w:color="auto"/>
            </w:tcBorders>
            <w:shd w:val="clear" w:color="auto" w:fill="FFFFFF"/>
            <w:noWrap/>
            <w:vAlign w:val="bottom"/>
          </w:tcPr>
          <w:p w:rsidR="005C5842" w:rsidRPr="00854E4B" w:rsidRDefault="005C5842" w:rsidP="009A178E">
            <w:pPr>
              <w:jc w:val="right"/>
              <w:rPr>
                <w:rFonts w:ascii="Times New Roman" w:hAnsi="Times New Roman" w:cs="Times New Roman"/>
                <w:sz w:val="14"/>
                <w:szCs w:val="14"/>
                <w:lang w:eastAsia="sk-SK"/>
              </w:rPr>
            </w:pPr>
            <w:r w:rsidRPr="00854E4B">
              <w:rPr>
                <w:rFonts w:ascii="Times New Roman" w:hAnsi="Times New Roman" w:cs="Times New Roman"/>
                <w:sz w:val="14"/>
                <w:szCs w:val="14"/>
                <w:lang w:eastAsia="sk-SK"/>
              </w:rPr>
              <w:t>1 179,39</w:t>
            </w:r>
          </w:p>
        </w:tc>
      </w:tr>
    </w:tbl>
    <w:p w:rsidR="005C5842" w:rsidRPr="00544CC8" w:rsidRDefault="005C5842" w:rsidP="005C5842">
      <w:pPr>
        <w:jc w:val="both"/>
        <w:rPr>
          <w:rFonts w:ascii="Times New Roman" w:hAnsi="Times New Roman"/>
          <w:sz w:val="14"/>
          <w:szCs w:val="18"/>
        </w:rPr>
      </w:pPr>
      <w:r w:rsidRPr="00544CC8">
        <w:rPr>
          <w:rFonts w:ascii="Times New Roman" w:hAnsi="Times New Roman"/>
          <w:sz w:val="14"/>
          <w:szCs w:val="18"/>
        </w:rPr>
        <w:t>Pozn.: V roku 2012 sa v zmysle zákona č. 291/2002 Z.</w:t>
      </w:r>
      <w:r w:rsidR="00544CC8" w:rsidRPr="00544CC8">
        <w:rPr>
          <w:rFonts w:ascii="Times New Roman" w:hAnsi="Times New Roman"/>
          <w:sz w:val="14"/>
          <w:szCs w:val="18"/>
        </w:rPr>
        <w:t xml:space="preserve"> </w:t>
      </w:r>
      <w:r w:rsidRPr="00544CC8">
        <w:rPr>
          <w:rFonts w:ascii="Times New Roman" w:hAnsi="Times New Roman"/>
          <w:sz w:val="14"/>
          <w:szCs w:val="18"/>
        </w:rPr>
        <w:t>z. o Štátnej pokladnici a o zmene a doplnení niektorých zákonov v znení neskorších predpisov pre efektívne fungovanie obsluhy štátneho dlhu zriadil samostatný účet štátnych rozpočtových organizácií (tzv. saldo účet Štátneho dlhu). Uvedený účet slúži pre výdavkové a príjmové transakcie vykonávané ARDAL v mene MF SR. Stav na tomto účte sa pravidelne mesačne a ku koncu roka vyrovnáva transferom z výdavkového účtu štátneho rozpočtu na nulový zostatok. Tieto transfery predstavujú čisté výdavky štátneho rozpočtu na obsluhu štátneho dlhu.</w:t>
      </w:r>
    </w:p>
    <w:p w:rsidR="005C5842" w:rsidRPr="00854E4B" w:rsidRDefault="005C5842" w:rsidP="005C5842">
      <w:pPr>
        <w:spacing w:after="160" w:line="259" w:lineRule="auto"/>
        <w:rPr>
          <w:rFonts w:asciiTheme="minorHAnsi" w:eastAsiaTheme="minorHAnsi" w:hAnsiTheme="minorHAnsi" w:cstheme="minorBidi"/>
          <w:sz w:val="22"/>
          <w:szCs w:val="22"/>
          <w:lang w:eastAsia="en-US"/>
        </w:rPr>
      </w:pPr>
    </w:p>
    <w:p w:rsidR="005C5842" w:rsidRPr="0006072B" w:rsidRDefault="005C5842" w:rsidP="005C5842">
      <w:pPr>
        <w:jc w:val="both"/>
        <w:rPr>
          <w:rFonts w:ascii="Times New Roman" w:hAnsi="Times New Roman"/>
          <w:b/>
          <w:bCs/>
          <w:iCs/>
        </w:rPr>
      </w:pPr>
      <w:r w:rsidRPr="0006072B">
        <w:rPr>
          <w:rFonts w:ascii="Times New Roman" w:hAnsi="Times New Roman"/>
          <w:b/>
          <w:bCs/>
          <w:iCs/>
        </w:rPr>
        <w:t>Finančné vzťahy k Sociálnej poisťovni</w:t>
      </w:r>
    </w:p>
    <w:p w:rsidR="005C5842" w:rsidRPr="0006072B" w:rsidRDefault="005C5842" w:rsidP="005C5842">
      <w:pPr>
        <w:jc w:val="both"/>
        <w:rPr>
          <w:rFonts w:ascii="Times New Roman" w:hAnsi="Times New Roman"/>
          <w:b/>
          <w:bCs/>
          <w:iCs/>
        </w:rPr>
      </w:pPr>
    </w:p>
    <w:tbl>
      <w:tblPr>
        <w:tblW w:w="9076" w:type="dxa"/>
        <w:tblInd w:w="55" w:type="dxa"/>
        <w:tblLayout w:type="fixed"/>
        <w:tblCellMar>
          <w:left w:w="70" w:type="dxa"/>
          <w:right w:w="70" w:type="dxa"/>
        </w:tblCellMar>
        <w:tblLook w:val="04A0" w:firstRow="1" w:lastRow="0" w:firstColumn="1" w:lastColumn="0" w:noHBand="0" w:noVBand="1"/>
      </w:tblPr>
      <w:tblGrid>
        <w:gridCol w:w="2132"/>
        <w:gridCol w:w="992"/>
        <w:gridCol w:w="992"/>
        <w:gridCol w:w="992"/>
        <w:gridCol w:w="992"/>
        <w:gridCol w:w="992"/>
        <w:gridCol w:w="992"/>
        <w:gridCol w:w="992"/>
      </w:tblGrid>
      <w:tr w:rsidR="005C5842" w:rsidRPr="0006072B" w:rsidTr="009A178E">
        <w:trPr>
          <w:trHeight w:val="283"/>
        </w:trPr>
        <w:tc>
          <w:tcPr>
            <w:tcW w:w="2132"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5C5842" w:rsidRPr="00F534F3" w:rsidRDefault="005C5842" w:rsidP="009A178E">
            <w:pPr>
              <w:rPr>
                <w:rFonts w:ascii="Times New Roman" w:hAnsi="Times New Roman"/>
                <w:b/>
                <w:bCs/>
                <w:sz w:val="14"/>
                <w:szCs w:val="14"/>
                <w:lang w:eastAsia="sk-SK"/>
              </w:rPr>
            </w:pPr>
            <w:r w:rsidRPr="00F534F3">
              <w:rPr>
                <w:rFonts w:ascii="Times New Roman" w:hAnsi="Times New Roman"/>
                <w:b/>
                <w:bCs/>
                <w:sz w:val="14"/>
                <w:szCs w:val="14"/>
                <w:lang w:eastAsia="sk-SK"/>
              </w:rPr>
              <w:t>v eurách</w:t>
            </w:r>
          </w:p>
        </w:tc>
        <w:tc>
          <w:tcPr>
            <w:tcW w:w="992" w:type="dxa"/>
            <w:tcBorders>
              <w:top w:val="single" w:sz="4" w:space="0" w:color="auto"/>
              <w:left w:val="nil"/>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bCs/>
                <w:sz w:val="14"/>
                <w:szCs w:val="14"/>
                <w:lang w:eastAsia="sk-SK"/>
              </w:rPr>
            </w:pPr>
            <w:r w:rsidRPr="00F534F3">
              <w:rPr>
                <w:rFonts w:ascii="Times New Roman" w:hAnsi="Times New Roman"/>
                <w:b/>
                <w:bCs/>
                <w:sz w:val="14"/>
                <w:szCs w:val="14"/>
                <w:lang w:eastAsia="sk-SK"/>
              </w:rPr>
              <w:t>2016 S</w:t>
            </w: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Pr>
                <w:rFonts w:ascii="Times New Roman" w:hAnsi="Times New Roman"/>
                <w:b/>
                <w:sz w:val="14"/>
                <w:szCs w:val="14"/>
                <w:lang w:eastAsia="sk-SK"/>
              </w:rPr>
              <w:t>2017 S</w:t>
            </w: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Pr>
                <w:rFonts w:ascii="Times New Roman" w:hAnsi="Times New Roman"/>
                <w:b/>
                <w:sz w:val="14"/>
                <w:szCs w:val="14"/>
                <w:lang w:eastAsia="sk-SK"/>
              </w:rPr>
              <w:t>2018 R</w:t>
            </w: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Pr>
                <w:rFonts w:ascii="Times New Roman" w:hAnsi="Times New Roman"/>
                <w:b/>
                <w:sz w:val="14"/>
                <w:szCs w:val="14"/>
                <w:lang w:eastAsia="sk-SK"/>
              </w:rPr>
              <w:t>2018 OS</w:t>
            </w:r>
          </w:p>
        </w:tc>
        <w:tc>
          <w:tcPr>
            <w:tcW w:w="992" w:type="dxa"/>
            <w:tcBorders>
              <w:top w:val="single" w:sz="4" w:space="0" w:color="auto"/>
              <w:left w:val="nil"/>
              <w:bottom w:val="single" w:sz="4" w:space="0" w:color="auto"/>
              <w:right w:val="single" w:sz="4" w:space="0" w:color="auto"/>
            </w:tcBorders>
            <w:shd w:val="clear" w:color="auto" w:fill="A6A6A6"/>
            <w:noWrap/>
            <w:vAlign w:val="bottom"/>
          </w:tcPr>
          <w:p w:rsidR="005C5842" w:rsidRPr="00F534F3" w:rsidRDefault="005C5842" w:rsidP="009A178E">
            <w:pPr>
              <w:jc w:val="center"/>
              <w:rPr>
                <w:rFonts w:ascii="Times New Roman" w:hAnsi="Times New Roman"/>
                <w:b/>
                <w:sz w:val="14"/>
                <w:szCs w:val="14"/>
                <w:lang w:eastAsia="sk-SK"/>
              </w:rPr>
            </w:pPr>
            <w:r>
              <w:rPr>
                <w:rFonts w:ascii="Times New Roman" w:hAnsi="Times New Roman"/>
                <w:b/>
                <w:sz w:val="14"/>
                <w:szCs w:val="14"/>
                <w:lang w:eastAsia="sk-SK"/>
              </w:rPr>
              <w:t>2019</w:t>
            </w:r>
            <w:r w:rsidRPr="00F534F3">
              <w:rPr>
                <w:rFonts w:ascii="Times New Roman" w:hAnsi="Times New Roman"/>
                <w:b/>
                <w:sz w:val="14"/>
                <w:szCs w:val="14"/>
                <w:lang w:eastAsia="sk-SK"/>
              </w:rPr>
              <w:t xml:space="preserve"> N</w:t>
            </w:r>
          </w:p>
        </w:tc>
        <w:tc>
          <w:tcPr>
            <w:tcW w:w="992" w:type="dxa"/>
            <w:tcBorders>
              <w:top w:val="single" w:sz="4" w:space="0" w:color="auto"/>
              <w:left w:val="nil"/>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sidRPr="00F534F3">
              <w:rPr>
                <w:rFonts w:ascii="Times New Roman" w:hAnsi="Times New Roman"/>
                <w:b/>
                <w:sz w:val="14"/>
                <w:szCs w:val="14"/>
                <w:lang w:eastAsia="sk-SK"/>
              </w:rPr>
              <w:t>2020 N</w:t>
            </w:r>
          </w:p>
        </w:tc>
        <w:tc>
          <w:tcPr>
            <w:tcW w:w="992" w:type="dxa"/>
            <w:tcBorders>
              <w:top w:val="single" w:sz="4" w:space="0" w:color="auto"/>
              <w:left w:val="nil"/>
              <w:bottom w:val="single" w:sz="4" w:space="0" w:color="auto"/>
              <w:right w:val="single" w:sz="4" w:space="0" w:color="auto"/>
            </w:tcBorders>
            <w:shd w:val="clear" w:color="auto" w:fill="A6A6A6"/>
            <w:vAlign w:val="bottom"/>
          </w:tcPr>
          <w:p w:rsidR="005C5842" w:rsidRPr="00F534F3" w:rsidRDefault="005C5842" w:rsidP="009A178E">
            <w:pPr>
              <w:jc w:val="center"/>
              <w:rPr>
                <w:rFonts w:ascii="Times New Roman" w:hAnsi="Times New Roman"/>
                <w:b/>
                <w:sz w:val="14"/>
                <w:szCs w:val="14"/>
                <w:lang w:eastAsia="sk-SK"/>
              </w:rPr>
            </w:pPr>
            <w:r>
              <w:rPr>
                <w:rFonts w:ascii="Times New Roman" w:hAnsi="Times New Roman"/>
                <w:b/>
                <w:sz w:val="14"/>
                <w:szCs w:val="14"/>
                <w:lang w:eastAsia="sk-SK"/>
              </w:rPr>
              <w:t>2021 N</w:t>
            </w:r>
          </w:p>
        </w:tc>
      </w:tr>
      <w:tr w:rsidR="005C5842" w:rsidRPr="00C81B35" w:rsidTr="009A178E">
        <w:trPr>
          <w:trHeight w:val="283"/>
        </w:trPr>
        <w:tc>
          <w:tcPr>
            <w:tcW w:w="213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C5842" w:rsidRPr="00F81075" w:rsidRDefault="005C5842" w:rsidP="009A178E">
            <w:pPr>
              <w:rPr>
                <w:rFonts w:ascii="Times New Roman" w:hAnsi="Times New Roman"/>
                <w:bCs/>
                <w:sz w:val="14"/>
                <w:szCs w:val="14"/>
                <w:lang w:eastAsia="sk-SK"/>
              </w:rPr>
            </w:pPr>
            <w:r>
              <w:rPr>
                <w:rFonts w:ascii="Times New Roman" w:hAnsi="Times New Roman"/>
                <w:bCs/>
                <w:sz w:val="14"/>
                <w:szCs w:val="14"/>
                <w:lang w:eastAsia="sk-SK"/>
              </w:rPr>
              <w:t>Finančné vzťahy k</w:t>
            </w:r>
            <w:r w:rsidRPr="00F81075">
              <w:rPr>
                <w:rFonts w:ascii="Times New Roman" w:hAnsi="Times New Roman"/>
                <w:bCs/>
                <w:sz w:val="14"/>
                <w:szCs w:val="14"/>
                <w:lang w:eastAsia="sk-SK"/>
              </w:rPr>
              <w:t xml:space="preserve">  Sociálnej poisťovni</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rsidR="005C5842" w:rsidRPr="00F81075" w:rsidRDefault="005C5842" w:rsidP="009A178E">
            <w:pPr>
              <w:jc w:val="right"/>
              <w:rPr>
                <w:rFonts w:ascii="Times New Roman" w:hAnsi="Times New Roman"/>
                <w:bCs/>
                <w:sz w:val="14"/>
                <w:szCs w:val="14"/>
                <w:lang w:eastAsia="sk-SK"/>
              </w:rPr>
            </w:pPr>
            <w:r w:rsidRPr="00F81075">
              <w:rPr>
                <w:rFonts w:ascii="Times New Roman" w:hAnsi="Times New Roman"/>
                <w:bCs/>
                <w:sz w:val="14"/>
                <w:szCs w:val="14"/>
                <w:lang w:eastAsia="sk-SK"/>
              </w:rPr>
              <w:t>365 323 874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C5842" w:rsidRPr="006A0D7F" w:rsidRDefault="005C5842" w:rsidP="009A178E">
            <w:pPr>
              <w:jc w:val="right"/>
              <w:rPr>
                <w:rFonts w:ascii="Times New Roman" w:hAnsi="Times New Roman"/>
                <w:bCs/>
                <w:sz w:val="14"/>
                <w:szCs w:val="14"/>
                <w:lang w:eastAsia="sk-SK"/>
              </w:rPr>
            </w:pPr>
            <w:r w:rsidRPr="006A0D7F">
              <w:rPr>
                <w:rFonts w:ascii="Times New Roman" w:hAnsi="Times New Roman"/>
                <w:bCs/>
                <w:sz w:val="14"/>
                <w:szCs w:val="14"/>
                <w:lang w:eastAsia="sk-SK"/>
              </w:rPr>
              <w:t>415 325 000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C5842" w:rsidRPr="006A0D7F" w:rsidRDefault="005C5842" w:rsidP="009A178E">
            <w:pPr>
              <w:jc w:val="right"/>
              <w:rPr>
                <w:rFonts w:ascii="Times New Roman" w:hAnsi="Times New Roman"/>
                <w:bCs/>
                <w:sz w:val="14"/>
                <w:szCs w:val="14"/>
                <w:lang w:eastAsia="sk-SK"/>
              </w:rPr>
            </w:pPr>
            <w:r w:rsidRPr="006A0D7F">
              <w:rPr>
                <w:rFonts w:ascii="Times New Roman" w:hAnsi="Times New Roman"/>
                <w:bCs/>
                <w:sz w:val="14"/>
                <w:szCs w:val="14"/>
                <w:lang w:eastAsia="sk-SK"/>
              </w:rPr>
              <w:t>255 391 612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C5842" w:rsidRPr="00CE6B53" w:rsidRDefault="00544CC8" w:rsidP="009A178E">
            <w:pPr>
              <w:jc w:val="center"/>
              <w:rPr>
                <w:rFonts w:ascii="Times New Roman" w:hAnsi="Times New Roman"/>
                <w:bCs/>
                <w:color w:val="00B050"/>
                <w:sz w:val="14"/>
                <w:szCs w:val="14"/>
                <w:lang w:eastAsia="sk-SK"/>
              </w:rPr>
            </w:pPr>
            <w:r>
              <w:rPr>
                <w:rFonts w:ascii="Times New Roman" w:hAnsi="Times New Roman"/>
                <w:bCs/>
                <w:sz w:val="14"/>
                <w:szCs w:val="14"/>
                <w:lang w:eastAsia="sk-SK"/>
              </w:rPr>
              <w:t xml:space="preserve">   </w:t>
            </w:r>
            <w:r w:rsidR="005C5842">
              <w:rPr>
                <w:rFonts w:ascii="Times New Roman" w:hAnsi="Times New Roman"/>
                <w:bCs/>
                <w:sz w:val="14"/>
                <w:szCs w:val="14"/>
                <w:lang w:eastAsia="sk-SK"/>
              </w:rPr>
              <w:t>106 413 175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5C5842" w:rsidRPr="003C3F2C" w:rsidRDefault="005C5842" w:rsidP="009A178E">
            <w:pPr>
              <w:jc w:val="right"/>
              <w:rPr>
                <w:rFonts w:ascii="Times New Roman" w:hAnsi="Times New Roman"/>
                <w:bCs/>
                <w:sz w:val="14"/>
                <w:szCs w:val="14"/>
                <w:lang w:eastAsia="sk-SK"/>
              </w:rPr>
            </w:pPr>
            <w:r>
              <w:rPr>
                <w:rFonts w:ascii="Times New Roman" w:hAnsi="Times New Roman"/>
                <w:bCs/>
                <w:sz w:val="14"/>
                <w:szCs w:val="14"/>
                <w:lang w:eastAsia="sk-SK"/>
              </w:rPr>
              <w:t>0</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rsidR="005C5842" w:rsidRPr="003C3F2C" w:rsidRDefault="005C5842" w:rsidP="009A178E">
            <w:pPr>
              <w:jc w:val="right"/>
              <w:rPr>
                <w:rFonts w:ascii="Times New Roman" w:hAnsi="Times New Roman"/>
                <w:bCs/>
                <w:sz w:val="14"/>
                <w:szCs w:val="14"/>
                <w:lang w:eastAsia="sk-SK"/>
              </w:rPr>
            </w:pPr>
            <w:r>
              <w:rPr>
                <w:rFonts w:ascii="Times New Roman" w:hAnsi="Times New Roman"/>
                <w:bCs/>
                <w:sz w:val="14"/>
                <w:szCs w:val="14"/>
                <w:lang w:eastAsia="sk-SK"/>
              </w:rPr>
              <w:t>0</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rsidR="005C5842" w:rsidRPr="003C3F2C" w:rsidRDefault="005C5842" w:rsidP="009A178E">
            <w:pPr>
              <w:jc w:val="right"/>
              <w:rPr>
                <w:rFonts w:ascii="Times New Roman" w:hAnsi="Times New Roman"/>
                <w:sz w:val="14"/>
                <w:szCs w:val="14"/>
                <w:lang w:eastAsia="sk-SK"/>
              </w:rPr>
            </w:pPr>
            <w:r w:rsidRPr="003C3F2C">
              <w:rPr>
                <w:rFonts w:ascii="Times New Roman" w:hAnsi="Times New Roman"/>
                <w:sz w:val="14"/>
                <w:szCs w:val="14"/>
                <w:lang w:eastAsia="sk-SK"/>
              </w:rPr>
              <w:t>0</w:t>
            </w:r>
          </w:p>
        </w:tc>
      </w:tr>
    </w:tbl>
    <w:p w:rsidR="005C5842" w:rsidRDefault="005C5842" w:rsidP="005C5842">
      <w:pPr>
        <w:jc w:val="both"/>
        <w:rPr>
          <w:rFonts w:ascii="Times New Roman" w:hAnsi="Times New Roman"/>
          <w:b/>
          <w:iCs/>
        </w:rPr>
      </w:pPr>
    </w:p>
    <w:p w:rsidR="005C5842" w:rsidRDefault="005C5842" w:rsidP="005C5842">
      <w:pPr>
        <w:jc w:val="both"/>
        <w:rPr>
          <w:rFonts w:ascii="Times New Roman" w:hAnsi="Times New Roman"/>
          <w:b/>
          <w:iCs/>
        </w:rPr>
      </w:pPr>
    </w:p>
    <w:p w:rsidR="005C5842" w:rsidRDefault="005C5842" w:rsidP="005C5842">
      <w:pPr>
        <w:jc w:val="both"/>
        <w:rPr>
          <w:rFonts w:ascii="Times New Roman" w:hAnsi="Times New Roman"/>
          <w:b/>
          <w:iCs/>
        </w:rPr>
      </w:pPr>
    </w:p>
    <w:p w:rsidR="005C5842" w:rsidRDefault="005C5842" w:rsidP="005C5842">
      <w:pPr>
        <w:jc w:val="both"/>
        <w:rPr>
          <w:rFonts w:ascii="Times New Roman" w:hAnsi="Times New Roman"/>
          <w:b/>
          <w:iCs/>
        </w:rPr>
      </w:pPr>
    </w:p>
    <w:p w:rsidR="005C5842" w:rsidRDefault="005C5842" w:rsidP="005C5842">
      <w:pPr>
        <w:jc w:val="both"/>
        <w:rPr>
          <w:rFonts w:ascii="Times New Roman" w:hAnsi="Times New Roman"/>
          <w:b/>
          <w:iCs/>
        </w:rPr>
      </w:pPr>
    </w:p>
    <w:p w:rsidR="005C5842" w:rsidRDefault="005C5842" w:rsidP="005C5842">
      <w:pPr>
        <w:jc w:val="both"/>
        <w:rPr>
          <w:rFonts w:ascii="Times New Roman" w:hAnsi="Times New Roman"/>
          <w:b/>
          <w:iCs/>
        </w:rPr>
      </w:pPr>
    </w:p>
    <w:p w:rsidR="005C5842" w:rsidRDefault="005C5842" w:rsidP="005C5842">
      <w:pPr>
        <w:jc w:val="both"/>
        <w:rPr>
          <w:rFonts w:ascii="Times New Roman" w:hAnsi="Times New Roman"/>
          <w:b/>
          <w:iCs/>
        </w:rPr>
      </w:pPr>
    </w:p>
    <w:p w:rsidR="005C5842" w:rsidRDefault="005C5842" w:rsidP="005C5842">
      <w:pPr>
        <w:jc w:val="both"/>
        <w:rPr>
          <w:rFonts w:ascii="Times New Roman" w:hAnsi="Times New Roman"/>
          <w:b/>
          <w:iCs/>
        </w:rPr>
      </w:pPr>
    </w:p>
    <w:p w:rsidR="00544CC8" w:rsidRDefault="00544CC8" w:rsidP="005C5842">
      <w:pPr>
        <w:jc w:val="both"/>
        <w:rPr>
          <w:rFonts w:ascii="Times New Roman" w:hAnsi="Times New Roman"/>
          <w:b/>
          <w:iCs/>
        </w:rPr>
      </w:pPr>
    </w:p>
    <w:p w:rsidR="00544CC8" w:rsidRDefault="00544CC8" w:rsidP="005C5842">
      <w:pPr>
        <w:jc w:val="both"/>
        <w:rPr>
          <w:rFonts w:ascii="Times New Roman" w:hAnsi="Times New Roman"/>
          <w:b/>
          <w:iCs/>
        </w:rPr>
      </w:pPr>
    </w:p>
    <w:p w:rsidR="005C5842" w:rsidRDefault="005C5842" w:rsidP="005C5842">
      <w:pPr>
        <w:jc w:val="both"/>
        <w:rPr>
          <w:rFonts w:ascii="Times New Roman" w:hAnsi="Times New Roman"/>
          <w:b/>
          <w:iCs/>
        </w:rPr>
      </w:pPr>
    </w:p>
    <w:p w:rsidR="005C5842" w:rsidRDefault="005C5842" w:rsidP="005C5842">
      <w:pPr>
        <w:jc w:val="both"/>
        <w:rPr>
          <w:rFonts w:ascii="Times New Roman" w:hAnsi="Times New Roman"/>
          <w:b/>
          <w:iCs/>
        </w:rPr>
      </w:pPr>
    </w:p>
    <w:p w:rsidR="005C5842" w:rsidRDefault="005C5842" w:rsidP="005C5842">
      <w:pPr>
        <w:jc w:val="both"/>
        <w:rPr>
          <w:rFonts w:ascii="Times New Roman" w:hAnsi="Times New Roman"/>
          <w:b/>
          <w:iCs/>
        </w:rPr>
      </w:pPr>
    </w:p>
    <w:p w:rsidR="005C5842" w:rsidRDefault="005C5842" w:rsidP="005C5842">
      <w:pPr>
        <w:jc w:val="both"/>
        <w:rPr>
          <w:rFonts w:ascii="Times New Roman" w:hAnsi="Times New Roman"/>
          <w:b/>
          <w:iCs/>
        </w:rPr>
      </w:pPr>
    </w:p>
    <w:p w:rsidR="005C5842" w:rsidRPr="0006072B" w:rsidRDefault="005C5842" w:rsidP="005C5842">
      <w:pPr>
        <w:jc w:val="both"/>
        <w:rPr>
          <w:rFonts w:ascii="Times New Roman" w:hAnsi="Times New Roman"/>
          <w:b/>
          <w:iCs/>
        </w:rPr>
      </w:pPr>
      <w:r w:rsidRPr="0006072B">
        <w:rPr>
          <w:rFonts w:ascii="Times New Roman" w:hAnsi="Times New Roman"/>
          <w:b/>
          <w:iCs/>
        </w:rPr>
        <w:lastRenderedPageBreak/>
        <w:t>Ostatné výdavky</w:t>
      </w:r>
    </w:p>
    <w:p w:rsidR="005C5842" w:rsidRPr="0006072B" w:rsidRDefault="005C5842" w:rsidP="005C5842">
      <w:pPr>
        <w:jc w:val="both"/>
        <w:rPr>
          <w:rFonts w:ascii="Times New Roman" w:hAnsi="Times New Roman"/>
          <w:b/>
          <w:iCs/>
        </w:rPr>
      </w:pPr>
    </w:p>
    <w:tbl>
      <w:tblPr>
        <w:tblW w:w="9079" w:type="dxa"/>
        <w:tblInd w:w="55" w:type="dxa"/>
        <w:tblLayout w:type="fixed"/>
        <w:tblCellMar>
          <w:left w:w="70" w:type="dxa"/>
          <w:right w:w="70" w:type="dxa"/>
        </w:tblCellMar>
        <w:tblLook w:val="04A0" w:firstRow="1" w:lastRow="0" w:firstColumn="1" w:lastColumn="0" w:noHBand="0" w:noVBand="1"/>
      </w:tblPr>
      <w:tblGrid>
        <w:gridCol w:w="2132"/>
        <w:gridCol w:w="992"/>
        <w:gridCol w:w="992"/>
        <w:gridCol w:w="992"/>
        <w:gridCol w:w="992"/>
        <w:gridCol w:w="993"/>
        <w:gridCol w:w="993"/>
        <w:gridCol w:w="993"/>
      </w:tblGrid>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rsidR="005C5842" w:rsidRPr="0026326A" w:rsidRDefault="005C5842" w:rsidP="009A178E">
            <w:pPr>
              <w:rPr>
                <w:rFonts w:ascii="Times New Roman" w:hAnsi="Times New Roman"/>
                <w:b/>
                <w:bCs/>
                <w:sz w:val="14"/>
                <w:szCs w:val="14"/>
                <w:lang w:eastAsia="sk-SK"/>
              </w:rPr>
            </w:pPr>
            <w:bookmarkStart w:id="312" w:name="OLE_LINK11"/>
            <w:r w:rsidRPr="0026326A">
              <w:rPr>
                <w:rFonts w:ascii="Times New Roman" w:hAnsi="Times New Roman"/>
                <w:b/>
                <w:bCs/>
                <w:sz w:val="14"/>
                <w:szCs w:val="14"/>
                <w:lang w:eastAsia="sk-SK"/>
              </w:rPr>
              <w:t>v eurách</w:t>
            </w:r>
          </w:p>
        </w:tc>
        <w:tc>
          <w:tcPr>
            <w:tcW w:w="992" w:type="dxa"/>
            <w:tcBorders>
              <w:top w:val="single" w:sz="4" w:space="0" w:color="auto"/>
              <w:left w:val="nil"/>
              <w:bottom w:val="single" w:sz="4" w:space="0" w:color="auto"/>
              <w:right w:val="single" w:sz="4" w:space="0" w:color="auto"/>
            </w:tcBorders>
            <w:shd w:val="clear" w:color="auto" w:fill="A6A6A6"/>
            <w:vAlign w:val="bottom"/>
          </w:tcPr>
          <w:p w:rsidR="005C5842" w:rsidRPr="0026326A" w:rsidRDefault="005C5842" w:rsidP="009A178E">
            <w:pPr>
              <w:jc w:val="center"/>
              <w:rPr>
                <w:rFonts w:ascii="Times New Roman" w:hAnsi="Times New Roman"/>
                <w:b/>
                <w:bCs/>
                <w:sz w:val="14"/>
                <w:szCs w:val="14"/>
                <w:lang w:eastAsia="sk-SK"/>
              </w:rPr>
            </w:pPr>
            <w:r w:rsidRPr="0026326A">
              <w:rPr>
                <w:rFonts w:ascii="Times New Roman" w:hAnsi="Times New Roman"/>
                <w:b/>
                <w:bCs/>
                <w:sz w:val="14"/>
                <w:szCs w:val="14"/>
                <w:lang w:eastAsia="sk-SK"/>
              </w:rPr>
              <w:t>2016 S</w:t>
            </w: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rsidR="005C5842" w:rsidRPr="0026326A" w:rsidRDefault="005C5842" w:rsidP="009A178E">
            <w:pPr>
              <w:jc w:val="center"/>
              <w:rPr>
                <w:rFonts w:ascii="Times New Roman" w:hAnsi="Times New Roman"/>
                <w:b/>
                <w:sz w:val="14"/>
                <w:szCs w:val="14"/>
                <w:lang w:eastAsia="sk-SK"/>
              </w:rPr>
            </w:pPr>
            <w:r w:rsidRPr="0026326A">
              <w:rPr>
                <w:rFonts w:ascii="Times New Roman" w:hAnsi="Times New Roman"/>
                <w:b/>
                <w:sz w:val="14"/>
                <w:szCs w:val="14"/>
                <w:lang w:eastAsia="sk-SK"/>
              </w:rPr>
              <w:t>2017 S</w:t>
            </w: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rsidR="005C5842" w:rsidRPr="0026326A" w:rsidRDefault="005C5842" w:rsidP="009A178E">
            <w:pPr>
              <w:jc w:val="center"/>
              <w:rPr>
                <w:rFonts w:ascii="Times New Roman" w:hAnsi="Times New Roman"/>
                <w:b/>
                <w:sz w:val="14"/>
                <w:szCs w:val="14"/>
                <w:lang w:eastAsia="sk-SK"/>
              </w:rPr>
            </w:pPr>
            <w:r w:rsidRPr="0026326A">
              <w:rPr>
                <w:rFonts w:ascii="Times New Roman" w:hAnsi="Times New Roman"/>
                <w:b/>
                <w:sz w:val="14"/>
                <w:szCs w:val="14"/>
                <w:lang w:eastAsia="sk-SK"/>
              </w:rPr>
              <w:t>2018 R</w:t>
            </w: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rsidR="005C5842" w:rsidRPr="0026326A" w:rsidRDefault="005C5842" w:rsidP="009A178E">
            <w:pPr>
              <w:jc w:val="center"/>
              <w:rPr>
                <w:rFonts w:ascii="Times New Roman" w:hAnsi="Times New Roman"/>
                <w:b/>
                <w:sz w:val="14"/>
                <w:szCs w:val="14"/>
                <w:lang w:eastAsia="sk-SK"/>
              </w:rPr>
            </w:pPr>
            <w:r w:rsidRPr="0026326A">
              <w:rPr>
                <w:rFonts w:ascii="Times New Roman" w:hAnsi="Times New Roman"/>
                <w:b/>
                <w:sz w:val="14"/>
                <w:szCs w:val="14"/>
                <w:lang w:eastAsia="sk-SK"/>
              </w:rPr>
              <w:t>2018 OS</w:t>
            </w:r>
          </w:p>
        </w:tc>
        <w:tc>
          <w:tcPr>
            <w:tcW w:w="993" w:type="dxa"/>
            <w:tcBorders>
              <w:top w:val="single" w:sz="4" w:space="0" w:color="auto"/>
              <w:left w:val="nil"/>
              <w:bottom w:val="single" w:sz="4" w:space="0" w:color="auto"/>
              <w:right w:val="single" w:sz="4" w:space="0" w:color="auto"/>
            </w:tcBorders>
            <w:shd w:val="clear" w:color="auto" w:fill="A6A6A6"/>
            <w:noWrap/>
            <w:vAlign w:val="bottom"/>
          </w:tcPr>
          <w:p w:rsidR="005C5842" w:rsidRPr="0026326A" w:rsidRDefault="005C5842" w:rsidP="009A178E">
            <w:pPr>
              <w:jc w:val="center"/>
              <w:rPr>
                <w:rFonts w:ascii="Times New Roman" w:hAnsi="Times New Roman"/>
                <w:b/>
                <w:sz w:val="14"/>
                <w:szCs w:val="14"/>
                <w:lang w:eastAsia="sk-SK"/>
              </w:rPr>
            </w:pPr>
            <w:r w:rsidRPr="0026326A">
              <w:rPr>
                <w:rFonts w:ascii="Times New Roman" w:hAnsi="Times New Roman"/>
                <w:b/>
                <w:sz w:val="14"/>
                <w:szCs w:val="14"/>
                <w:lang w:eastAsia="sk-SK"/>
              </w:rPr>
              <w:t>2019 N</w:t>
            </w:r>
          </w:p>
        </w:tc>
        <w:tc>
          <w:tcPr>
            <w:tcW w:w="993" w:type="dxa"/>
            <w:tcBorders>
              <w:top w:val="single" w:sz="4" w:space="0" w:color="auto"/>
              <w:left w:val="nil"/>
              <w:bottom w:val="single" w:sz="4" w:space="0" w:color="auto"/>
              <w:right w:val="single" w:sz="4" w:space="0" w:color="auto"/>
            </w:tcBorders>
            <w:shd w:val="clear" w:color="auto" w:fill="A6A6A6"/>
            <w:vAlign w:val="bottom"/>
          </w:tcPr>
          <w:p w:rsidR="005C5842" w:rsidRPr="0026326A" w:rsidRDefault="005C5842" w:rsidP="009A178E">
            <w:pPr>
              <w:jc w:val="center"/>
              <w:rPr>
                <w:rFonts w:ascii="Times New Roman" w:hAnsi="Times New Roman"/>
                <w:b/>
                <w:sz w:val="14"/>
                <w:szCs w:val="14"/>
                <w:lang w:eastAsia="sk-SK"/>
              </w:rPr>
            </w:pPr>
            <w:r w:rsidRPr="0026326A">
              <w:rPr>
                <w:rFonts w:ascii="Times New Roman" w:hAnsi="Times New Roman"/>
                <w:b/>
                <w:sz w:val="14"/>
                <w:szCs w:val="14"/>
                <w:lang w:eastAsia="sk-SK"/>
              </w:rPr>
              <w:t>2020 N</w:t>
            </w:r>
          </w:p>
        </w:tc>
        <w:tc>
          <w:tcPr>
            <w:tcW w:w="993" w:type="dxa"/>
            <w:tcBorders>
              <w:top w:val="single" w:sz="4" w:space="0" w:color="auto"/>
              <w:left w:val="nil"/>
              <w:bottom w:val="single" w:sz="4" w:space="0" w:color="auto"/>
              <w:right w:val="single" w:sz="4" w:space="0" w:color="auto"/>
            </w:tcBorders>
            <w:shd w:val="clear" w:color="auto" w:fill="A6A6A6"/>
            <w:vAlign w:val="bottom"/>
          </w:tcPr>
          <w:p w:rsidR="005C5842" w:rsidRPr="0026326A" w:rsidRDefault="005C5842" w:rsidP="009A178E">
            <w:pPr>
              <w:jc w:val="center"/>
              <w:rPr>
                <w:rFonts w:ascii="Times New Roman" w:hAnsi="Times New Roman"/>
                <w:b/>
                <w:sz w:val="14"/>
                <w:szCs w:val="14"/>
                <w:lang w:eastAsia="sk-SK"/>
              </w:rPr>
            </w:pPr>
            <w:r w:rsidRPr="0026326A">
              <w:rPr>
                <w:rFonts w:ascii="Times New Roman" w:hAnsi="Times New Roman"/>
                <w:b/>
                <w:sz w:val="14"/>
                <w:szCs w:val="14"/>
                <w:lang w:eastAsia="sk-SK"/>
              </w:rPr>
              <w:t>2021 N</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5C5842" w:rsidRPr="0026326A" w:rsidRDefault="005C5842" w:rsidP="009A178E">
            <w:pPr>
              <w:rPr>
                <w:rFonts w:ascii="Times New Roman" w:hAnsi="Times New Roman"/>
                <w:b/>
                <w:bCs/>
                <w:sz w:val="14"/>
                <w:szCs w:val="14"/>
                <w:lang w:eastAsia="sk-SK"/>
              </w:rPr>
            </w:pPr>
            <w:r w:rsidRPr="0026326A">
              <w:rPr>
                <w:rFonts w:ascii="Times New Roman" w:hAnsi="Times New Roman"/>
                <w:b/>
                <w:bCs/>
                <w:sz w:val="14"/>
                <w:szCs w:val="14"/>
                <w:lang w:eastAsia="sk-SK"/>
              </w:rPr>
              <w:t>Ostatné</w:t>
            </w:r>
          </w:p>
        </w:tc>
        <w:tc>
          <w:tcPr>
            <w:tcW w:w="992" w:type="dxa"/>
            <w:tcBorders>
              <w:top w:val="single" w:sz="4" w:space="0" w:color="auto"/>
              <w:left w:val="nil"/>
              <w:bottom w:val="single" w:sz="4" w:space="0" w:color="auto"/>
              <w:right w:val="single" w:sz="4" w:space="0" w:color="auto"/>
            </w:tcBorders>
            <w:shd w:val="clear" w:color="auto" w:fill="BFBFBF"/>
            <w:vAlign w:val="bottom"/>
          </w:tcPr>
          <w:p w:rsidR="005C5842" w:rsidRPr="0026326A" w:rsidRDefault="005C5842" w:rsidP="009A178E">
            <w:pPr>
              <w:jc w:val="right"/>
              <w:rPr>
                <w:rFonts w:ascii="Times New Roman" w:hAnsi="Times New Roman"/>
                <w:b/>
                <w:bCs/>
                <w:sz w:val="14"/>
                <w:szCs w:val="14"/>
                <w:lang w:eastAsia="sk-SK"/>
              </w:rPr>
            </w:pPr>
            <w:r w:rsidRPr="0026326A">
              <w:rPr>
                <w:rFonts w:ascii="Times New Roman" w:hAnsi="Times New Roman"/>
                <w:b/>
                <w:bCs/>
                <w:sz w:val="14"/>
                <w:szCs w:val="14"/>
                <w:lang w:eastAsia="sk-SK"/>
              </w:rPr>
              <w:t>52 879 353*</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bottom"/>
          </w:tcPr>
          <w:p w:rsidR="005C5842" w:rsidRPr="0026326A" w:rsidRDefault="005C5842" w:rsidP="009A178E">
            <w:pPr>
              <w:jc w:val="right"/>
              <w:rPr>
                <w:rFonts w:ascii="Times New Roman" w:hAnsi="Times New Roman"/>
                <w:b/>
                <w:bCs/>
                <w:sz w:val="14"/>
                <w:szCs w:val="14"/>
                <w:lang w:eastAsia="sk-SK"/>
              </w:rPr>
            </w:pPr>
            <w:r w:rsidRPr="0026326A">
              <w:rPr>
                <w:rFonts w:ascii="Times New Roman" w:hAnsi="Times New Roman"/>
                <w:b/>
                <w:bCs/>
                <w:sz w:val="14"/>
                <w:szCs w:val="14"/>
                <w:lang w:eastAsia="sk-SK"/>
              </w:rPr>
              <w:t>34 522</w:t>
            </w:r>
            <w:r>
              <w:rPr>
                <w:rFonts w:ascii="Times New Roman" w:hAnsi="Times New Roman"/>
                <w:b/>
                <w:bCs/>
                <w:sz w:val="14"/>
                <w:szCs w:val="14"/>
                <w:lang w:eastAsia="sk-SK"/>
              </w:rPr>
              <w:t> </w:t>
            </w:r>
            <w:r w:rsidRPr="0026326A">
              <w:rPr>
                <w:rFonts w:ascii="Times New Roman" w:hAnsi="Times New Roman"/>
                <w:b/>
                <w:bCs/>
                <w:sz w:val="14"/>
                <w:szCs w:val="14"/>
                <w:lang w:eastAsia="sk-SK"/>
              </w:rPr>
              <w:t>726*</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bottom"/>
          </w:tcPr>
          <w:p w:rsidR="005C5842" w:rsidRPr="0026326A" w:rsidRDefault="005C5842" w:rsidP="009A178E">
            <w:pPr>
              <w:jc w:val="right"/>
              <w:rPr>
                <w:rFonts w:ascii="Times New Roman" w:hAnsi="Times New Roman"/>
                <w:b/>
                <w:bCs/>
                <w:sz w:val="14"/>
                <w:szCs w:val="14"/>
                <w:lang w:eastAsia="sk-SK"/>
              </w:rPr>
            </w:pPr>
            <w:r w:rsidRPr="0026326A">
              <w:rPr>
                <w:rFonts w:ascii="Times New Roman" w:hAnsi="Times New Roman"/>
                <w:b/>
                <w:bCs/>
                <w:sz w:val="14"/>
                <w:szCs w:val="14"/>
                <w:lang w:eastAsia="sk-SK"/>
              </w:rPr>
              <w:t>132 299 689</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bottom"/>
          </w:tcPr>
          <w:p w:rsidR="005C5842" w:rsidRPr="0026326A" w:rsidRDefault="005C5842" w:rsidP="009A178E">
            <w:pPr>
              <w:jc w:val="right"/>
              <w:rPr>
                <w:rFonts w:ascii="Times New Roman" w:hAnsi="Times New Roman"/>
                <w:b/>
                <w:bCs/>
                <w:sz w:val="14"/>
                <w:szCs w:val="14"/>
                <w:lang w:eastAsia="sk-SK"/>
              </w:rPr>
            </w:pPr>
            <w:r>
              <w:rPr>
                <w:rFonts w:ascii="Times New Roman" w:hAnsi="Times New Roman"/>
                <w:b/>
                <w:bCs/>
                <w:sz w:val="14"/>
                <w:szCs w:val="14"/>
                <w:lang w:eastAsia="sk-SK"/>
              </w:rPr>
              <w:t>184 949 489</w:t>
            </w:r>
            <w:r w:rsidRPr="0026326A">
              <w:rPr>
                <w:rFonts w:ascii="Times New Roman" w:hAnsi="Times New Roman"/>
                <w:b/>
                <w:bCs/>
                <w:sz w:val="14"/>
                <w:szCs w:val="14"/>
                <w:lang w:eastAsia="sk-SK"/>
              </w:rPr>
              <w:t>*</w:t>
            </w:r>
            <w:r>
              <w:rPr>
                <w:rFonts w:ascii="Times New Roman" w:hAnsi="Times New Roman"/>
                <w:b/>
                <w:bCs/>
                <w:sz w:val="14"/>
                <w:szCs w:val="14"/>
                <w:lang w:eastAsia="sk-SK"/>
              </w:rPr>
              <w:t xml:space="preserve"> </w:t>
            </w:r>
          </w:p>
        </w:tc>
        <w:tc>
          <w:tcPr>
            <w:tcW w:w="993" w:type="dxa"/>
            <w:tcBorders>
              <w:top w:val="single" w:sz="4" w:space="0" w:color="auto"/>
              <w:left w:val="nil"/>
              <w:bottom w:val="single" w:sz="4" w:space="0" w:color="auto"/>
              <w:right w:val="single" w:sz="4" w:space="0" w:color="auto"/>
            </w:tcBorders>
            <w:shd w:val="clear" w:color="auto" w:fill="BFBFBF"/>
            <w:vAlign w:val="bottom"/>
          </w:tcPr>
          <w:p w:rsidR="005C5842" w:rsidRPr="0026326A" w:rsidRDefault="005C5842" w:rsidP="009A178E">
            <w:pPr>
              <w:jc w:val="right"/>
              <w:rPr>
                <w:rFonts w:ascii="Times New Roman" w:hAnsi="Times New Roman"/>
                <w:b/>
                <w:bCs/>
                <w:sz w:val="14"/>
                <w:szCs w:val="14"/>
                <w:lang w:eastAsia="sk-SK"/>
              </w:rPr>
            </w:pPr>
            <w:r>
              <w:rPr>
                <w:rFonts w:ascii="Times New Roman" w:hAnsi="Times New Roman"/>
                <w:b/>
                <w:bCs/>
                <w:sz w:val="14"/>
                <w:szCs w:val="14"/>
                <w:lang w:eastAsia="sk-SK"/>
              </w:rPr>
              <w:t>192 746 200</w:t>
            </w:r>
          </w:p>
        </w:tc>
        <w:tc>
          <w:tcPr>
            <w:tcW w:w="993" w:type="dxa"/>
            <w:tcBorders>
              <w:top w:val="single" w:sz="4" w:space="0" w:color="auto"/>
              <w:left w:val="nil"/>
              <w:bottom w:val="single" w:sz="4" w:space="0" w:color="auto"/>
              <w:right w:val="single" w:sz="4" w:space="0" w:color="auto"/>
            </w:tcBorders>
            <w:shd w:val="clear" w:color="auto" w:fill="BFBFBF"/>
            <w:vAlign w:val="bottom"/>
          </w:tcPr>
          <w:p w:rsidR="005C5842" w:rsidRPr="0026326A" w:rsidRDefault="005C5842" w:rsidP="009A178E">
            <w:pPr>
              <w:jc w:val="right"/>
              <w:rPr>
                <w:rFonts w:ascii="Times New Roman" w:hAnsi="Times New Roman"/>
                <w:b/>
                <w:sz w:val="14"/>
                <w:szCs w:val="14"/>
                <w:lang w:eastAsia="sk-SK"/>
              </w:rPr>
            </w:pPr>
            <w:r>
              <w:rPr>
                <w:rFonts w:ascii="Times New Roman" w:hAnsi="Times New Roman"/>
                <w:b/>
                <w:sz w:val="14"/>
                <w:szCs w:val="14"/>
                <w:lang w:eastAsia="sk-SK"/>
              </w:rPr>
              <w:t>137 923 741</w:t>
            </w:r>
          </w:p>
        </w:tc>
        <w:tc>
          <w:tcPr>
            <w:tcW w:w="993" w:type="dxa"/>
            <w:tcBorders>
              <w:top w:val="single" w:sz="4" w:space="0" w:color="auto"/>
              <w:left w:val="nil"/>
              <w:bottom w:val="single" w:sz="4" w:space="0" w:color="auto"/>
              <w:right w:val="single" w:sz="4" w:space="0" w:color="auto"/>
            </w:tcBorders>
            <w:shd w:val="clear" w:color="auto" w:fill="BFBFBF"/>
            <w:vAlign w:val="bottom"/>
          </w:tcPr>
          <w:p w:rsidR="005C5842" w:rsidRPr="0026326A" w:rsidRDefault="005C5842" w:rsidP="009A178E">
            <w:pPr>
              <w:jc w:val="right"/>
              <w:rPr>
                <w:rFonts w:ascii="Times New Roman" w:hAnsi="Times New Roman"/>
                <w:b/>
                <w:sz w:val="14"/>
                <w:szCs w:val="14"/>
                <w:lang w:eastAsia="sk-SK"/>
              </w:rPr>
            </w:pPr>
            <w:r>
              <w:rPr>
                <w:rFonts w:ascii="Times New Roman" w:hAnsi="Times New Roman"/>
                <w:b/>
                <w:sz w:val="14"/>
                <w:szCs w:val="14"/>
                <w:lang w:eastAsia="sk-SK"/>
              </w:rPr>
              <w:t>104 259 378</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 xml:space="preserve">Úhrada majetkovej ujmy </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1 060 383</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716 986</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1 195 000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1 195 000</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1 010 000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863 000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827 000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 xml:space="preserve">Príspevky politickým stranám a politickým hnutiam </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30 410 869</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9 223 669</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9 300 000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9 300 000</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9 300 000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38 850 000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11 100 000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shd w:val="clear" w:color="auto" w:fill="auto"/>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Výdavky na všeobecne prospešné služby a dotácie na individuálne potreby obcí</w:t>
            </w:r>
          </w:p>
        </w:tc>
        <w:tc>
          <w:tcPr>
            <w:tcW w:w="992" w:type="dxa"/>
            <w:tcBorders>
              <w:top w:val="single" w:sz="4" w:space="0" w:color="auto"/>
              <w:left w:val="nil"/>
              <w:bottom w:val="single" w:sz="4" w:space="0" w:color="auto"/>
              <w:right w:val="single" w:sz="4" w:space="0" w:color="auto"/>
            </w:tcBorders>
            <w:shd w:val="clear" w:color="auto" w:fill="auto"/>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4 561 896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C5842" w:rsidRPr="0026326A" w:rsidRDefault="005C5842" w:rsidP="009A178E">
            <w:pPr>
              <w:jc w:val="right"/>
              <w:rPr>
                <w:rFonts w:ascii="Times New Roman" w:hAnsi="Times New Roman"/>
                <w:bCs/>
                <w:sz w:val="14"/>
                <w:szCs w:val="14"/>
                <w:lang w:eastAsia="sk-SK"/>
              </w:rPr>
            </w:pPr>
            <w:r w:rsidRPr="0026326A">
              <w:rPr>
                <w:rFonts w:ascii="Times New Roman" w:hAnsi="Times New Roman"/>
                <w:bCs/>
                <w:sz w:val="14"/>
                <w:szCs w:val="14"/>
                <w:lang w:eastAsia="sk-SK"/>
              </w:rPr>
              <w:t>6 473 902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C5842" w:rsidRPr="0026326A" w:rsidRDefault="005C5842" w:rsidP="009A178E">
            <w:pPr>
              <w:jc w:val="right"/>
              <w:rPr>
                <w:rFonts w:ascii="Times New Roman" w:hAnsi="Times New Roman"/>
                <w:bCs/>
                <w:sz w:val="14"/>
                <w:szCs w:val="14"/>
                <w:lang w:eastAsia="sk-SK"/>
              </w:rPr>
            </w:pPr>
            <w:r w:rsidRPr="0026326A">
              <w:rPr>
                <w:rFonts w:ascii="Times New Roman" w:hAnsi="Times New Roman"/>
                <w:bCs/>
                <w:sz w:val="14"/>
                <w:szCs w:val="14"/>
                <w:lang w:eastAsia="sk-SK"/>
              </w:rPr>
              <w:t>3 300 000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9 052 165</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3 300 000</w:t>
            </w:r>
          </w:p>
        </w:tc>
        <w:tc>
          <w:tcPr>
            <w:tcW w:w="993" w:type="dxa"/>
            <w:tcBorders>
              <w:top w:val="single" w:sz="4" w:space="0" w:color="auto"/>
              <w:left w:val="nil"/>
              <w:bottom w:val="single" w:sz="4" w:space="0" w:color="auto"/>
              <w:right w:val="single" w:sz="4" w:space="0" w:color="auto"/>
            </w:tcBorders>
            <w:shd w:val="clear" w:color="auto" w:fill="auto"/>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3 300 000</w:t>
            </w:r>
          </w:p>
        </w:tc>
        <w:tc>
          <w:tcPr>
            <w:tcW w:w="993" w:type="dxa"/>
            <w:tcBorders>
              <w:top w:val="single" w:sz="4" w:space="0" w:color="auto"/>
              <w:left w:val="nil"/>
              <w:bottom w:val="single" w:sz="4" w:space="0" w:color="auto"/>
              <w:right w:val="single" w:sz="4" w:space="0" w:color="auto"/>
            </w:tcBorders>
            <w:shd w:val="clear" w:color="auto" w:fill="auto"/>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3 300 000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 xml:space="preserve">Štátny príspevok pre mladomanželov na mladomanželské úvery a na pôžičky mladým manželom </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12 394</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6 755</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7 000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7 000</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2 500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1 500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1 000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Úhrada poplatkov Štátnej pokladnici</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260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560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2 800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2 800</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2 800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2 800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2 800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 xml:space="preserve">Výdavky na administratívny poplatok EIB </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5 000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5 000</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5 000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5 000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5 000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Dotácie na záchranu a obnovu kultúrnych pamiatok pre obce</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2 000 000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2 400 000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2 400 000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2 400 000</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2 </w:t>
            </w:r>
            <w:r>
              <w:rPr>
                <w:rFonts w:ascii="Times New Roman" w:hAnsi="Times New Roman"/>
                <w:sz w:val="14"/>
                <w:szCs w:val="14"/>
                <w:lang w:eastAsia="sk-SK"/>
              </w:rPr>
              <w:t>690</w:t>
            </w:r>
            <w:r w:rsidRPr="0026326A">
              <w:rPr>
                <w:rFonts w:ascii="Times New Roman" w:hAnsi="Times New Roman"/>
                <w:sz w:val="14"/>
                <w:szCs w:val="14"/>
                <w:lang w:eastAsia="sk-SK"/>
              </w:rPr>
              <w:t xml:space="preserve">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2 640 000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2 640 000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Zahraničná ekonomická pomoc</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3 164 736</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4 170 601</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3 500 000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3 465 000</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4 020 000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4 200 000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4 500 000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Výdavky na audit verejnej správy</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1 438 200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 xml:space="preserve">1 680 000 </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1 680 000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1 680 000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Výdavky na zastupovanie pri medzinárodných arbitrážach</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4 994 000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3 808 000</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5 000 000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5 000 000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5 000 000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Výdavky na plnenie multilicenčnej zmluvy s Microsoft</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18 609 754</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 xml:space="preserve">18 609 754 </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18 534 000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18 534 000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18 534 000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Výdavky pre NASES</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6 093 503</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966CC9" w:rsidP="009A178E">
            <w:pPr>
              <w:jc w:val="right"/>
              <w:rPr>
                <w:rFonts w:ascii="Times New Roman" w:hAnsi="Times New Roman"/>
                <w:sz w:val="14"/>
                <w:szCs w:val="14"/>
                <w:lang w:eastAsia="sk-SK"/>
              </w:rPr>
            </w:pPr>
            <w:r>
              <w:rPr>
                <w:rFonts w:ascii="Times New Roman" w:hAnsi="Times New Roman"/>
                <w:sz w:val="14"/>
                <w:szCs w:val="14"/>
                <w:lang w:eastAsia="sk-SK"/>
              </w:rPr>
              <w:t>5 534 299</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 xml:space="preserve"> 6 104 299</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6 104 299</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Výdavky na sanačné a základné rekonštrukčné práce – Rusovce</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1 000 000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870 000</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Výdavky na Štipendium M. Filka (uzn. vl. 99/2017)</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200 000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200 000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200 000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200 000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Výdavky na kontrolné známky</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1 700 000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782 000</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1 700 000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1 700 000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1 700 000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Výdavky na príspevky do medzinárodných organizácií</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22 135 060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21 026 032</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21 026 032</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21 026 032</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Výdavky na podporu najmenej rozvinutých okresov</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12 902 000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9 118 000</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12 902 000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12 887 000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2 902 000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Ročné zúčtovanie poistného plateného štátom</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22 422 699</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22 422 699</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66CC9">
            <w:pPr>
              <w:jc w:val="right"/>
              <w:rPr>
                <w:rFonts w:ascii="Times New Roman" w:hAnsi="Times New Roman"/>
                <w:sz w:val="14"/>
                <w:szCs w:val="14"/>
                <w:lang w:eastAsia="sk-SK"/>
              </w:rPr>
            </w:pPr>
            <w:r>
              <w:rPr>
                <w:rFonts w:ascii="Times New Roman" w:hAnsi="Times New Roman"/>
                <w:sz w:val="14"/>
                <w:szCs w:val="14"/>
                <w:lang w:eastAsia="sk-SK"/>
              </w:rPr>
              <w:t>32 </w:t>
            </w:r>
            <w:r w:rsidR="00966CC9">
              <w:rPr>
                <w:rFonts w:ascii="Times New Roman" w:hAnsi="Times New Roman"/>
                <w:sz w:val="14"/>
                <w:szCs w:val="14"/>
                <w:lang w:eastAsia="sk-SK"/>
              </w:rPr>
              <w:t>570</w:t>
            </w:r>
            <w:r>
              <w:rPr>
                <w:rFonts w:ascii="Times New Roman" w:hAnsi="Times New Roman"/>
                <w:sz w:val="14"/>
                <w:szCs w:val="14"/>
                <w:lang w:eastAsia="sk-SK"/>
              </w:rPr>
              <w:t xml:space="preserve">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8C4992" w:rsidRDefault="005C5842" w:rsidP="005E711C">
            <w:pPr>
              <w:rPr>
                <w:rFonts w:ascii="Times New Roman" w:hAnsi="Times New Roman"/>
                <w:sz w:val="14"/>
                <w:szCs w:val="14"/>
                <w:highlight w:val="yellow"/>
                <w:lang w:eastAsia="sk-SK"/>
              </w:rPr>
            </w:pPr>
            <w:r w:rsidRPr="008925E9">
              <w:rPr>
                <w:rFonts w:ascii="Times New Roman" w:hAnsi="Times New Roman"/>
                <w:sz w:val="14"/>
                <w:szCs w:val="14"/>
                <w:lang w:eastAsia="sk-SK"/>
              </w:rPr>
              <w:t xml:space="preserve">Výdavky na platbu za poistencov štátu do verejného </w:t>
            </w:r>
            <w:r>
              <w:rPr>
                <w:rFonts w:ascii="Times New Roman" w:hAnsi="Times New Roman"/>
                <w:sz w:val="14"/>
                <w:szCs w:val="14"/>
                <w:lang w:eastAsia="sk-SK"/>
              </w:rPr>
              <w:t xml:space="preserve">zdravotného </w:t>
            </w:r>
            <w:r w:rsidRPr="008925E9">
              <w:rPr>
                <w:rFonts w:ascii="Times New Roman" w:hAnsi="Times New Roman"/>
                <w:sz w:val="14"/>
                <w:szCs w:val="14"/>
                <w:lang w:eastAsia="sk-SK"/>
              </w:rPr>
              <w:t>poistenia</w:t>
            </w:r>
          </w:p>
        </w:tc>
        <w:tc>
          <w:tcPr>
            <w:tcW w:w="992" w:type="dxa"/>
            <w:tcBorders>
              <w:top w:val="single" w:sz="4" w:space="0" w:color="auto"/>
              <w:left w:val="nil"/>
              <w:bottom w:val="single" w:sz="4" w:space="0" w:color="auto"/>
              <w:right w:val="single" w:sz="4" w:space="0" w:color="auto"/>
            </w:tcBorders>
            <w:shd w:val="clear" w:color="auto" w:fill="auto"/>
            <w:vAlign w:val="bottom"/>
          </w:tcPr>
          <w:p w:rsidR="005C5842" w:rsidRPr="008C4992" w:rsidRDefault="005C5842" w:rsidP="009A178E">
            <w:pPr>
              <w:jc w:val="right"/>
              <w:rPr>
                <w:rFonts w:ascii="Times New Roman" w:hAnsi="Times New Roman"/>
                <w:sz w:val="14"/>
                <w:szCs w:val="14"/>
                <w:lang w:eastAsia="sk-SK"/>
              </w:rPr>
            </w:pPr>
            <w:r w:rsidRPr="008C4992">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C5842" w:rsidRPr="008C4992" w:rsidRDefault="005C5842" w:rsidP="009A178E">
            <w:pPr>
              <w:jc w:val="right"/>
              <w:rPr>
                <w:rFonts w:ascii="Times New Roman" w:hAnsi="Times New Roman"/>
                <w:sz w:val="14"/>
                <w:szCs w:val="14"/>
                <w:lang w:eastAsia="sk-SK"/>
              </w:rPr>
            </w:pPr>
            <w:r w:rsidRPr="008C4992">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C5842" w:rsidRPr="008C4992" w:rsidRDefault="005C5842" w:rsidP="009A178E">
            <w:pPr>
              <w:jc w:val="right"/>
              <w:rPr>
                <w:rFonts w:ascii="Times New Roman" w:hAnsi="Times New Roman"/>
                <w:bCs/>
                <w:sz w:val="14"/>
                <w:szCs w:val="14"/>
                <w:lang w:eastAsia="sk-SK"/>
              </w:rPr>
            </w:pPr>
            <w:r w:rsidRPr="008C4992">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5C5842" w:rsidRPr="008C4992" w:rsidRDefault="005C5842" w:rsidP="009A178E">
            <w:pPr>
              <w:jc w:val="right"/>
              <w:rPr>
                <w:rFonts w:ascii="Times New Roman" w:hAnsi="Times New Roman"/>
                <w:sz w:val="14"/>
                <w:szCs w:val="14"/>
                <w:lang w:eastAsia="sk-SK"/>
              </w:rPr>
            </w:pPr>
            <w:r w:rsidRPr="008C4992">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noWrap/>
            <w:vAlign w:val="bottom"/>
          </w:tcPr>
          <w:p w:rsidR="005C5842" w:rsidRPr="008925E9" w:rsidRDefault="005C5842" w:rsidP="009A178E">
            <w:pPr>
              <w:jc w:val="right"/>
              <w:rPr>
                <w:rFonts w:ascii="Times New Roman" w:hAnsi="Times New Roman"/>
                <w:sz w:val="14"/>
                <w:szCs w:val="14"/>
                <w:lang w:eastAsia="sk-SK"/>
              </w:rPr>
            </w:pPr>
            <w:r w:rsidRPr="008925E9">
              <w:rPr>
                <w:rFonts w:ascii="Times New Roman" w:hAnsi="Times New Roman"/>
                <w:sz w:val="14"/>
                <w:szCs w:val="14"/>
                <w:lang w:eastAsia="sk-SK"/>
              </w:rPr>
              <w:t>50 000 000</w:t>
            </w:r>
          </w:p>
        </w:tc>
        <w:tc>
          <w:tcPr>
            <w:tcW w:w="993" w:type="dxa"/>
            <w:tcBorders>
              <w:top w:val="single" w:sz="4" w:space="0" w:color="auto"/>
              <w:left w:val="nil"/>
              <w:bottom w:val="single" w:sz="4" w:space="0" w:color="auto"/>
              <w:right w:val="single" w:sz="4" w:space="0" w:color="auto"/>
            </w:tcBorders>
            <w:vAlign w:val="bottom"/>
          </w:tcPr>
          <w:p w:rsidR="005C5842" w:rsidRPr="008925E9" w:rsidRDefault="005C5842" w:rsidP="009A178E">
            <w:pPr>
              <w:jc w:val="right"/>
              <w:rPr>
                <w:rFonts w:ascii="Times New Roman" w:hAnsi="Times New Roman"/>
                <w:sz w:val="14"/>
                <w:szCs w:val="14"/>
                <w:lang w:eastAsia="sk-SK"/>
              </w:rPr>
            </w:pPr>
            <w:r w:rsidRPr="008925E9">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vAlign w:val="bottom"/>
          </w:tcPr>
          <w:p w:rsidR="005C5842" w:rsidRPr="008925E9" w:rsidRDefault="005C5842" w:rsidP="009A178E">
            <w:pPr>
              <w:jc w:val="right"/>
              <w:rPr>
                <w:rFonts w:ascii="Times New Roman" w:hAnsi="Times New Roman"/>
                <w:sz w:val="14"/>
                <w:szCs w:val="14"/>
                <w:lang w:eastAsia="sk-SK"/>
              </w:rPr>
            </w:pPr>
            <w:r w:rsidRPr="008925E9">
              <w:rPr>
                <w:rFonts w:ascii="Times New Roman" w:hAnsi="Times New Roman"/>
                <w:sz w:val="14"/>
                <w:szCs w:val="14"/>
                <w:lang w:eastAsia="sk-SK"/>
              </w:rPr>
              <w:t>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Výdavky súvisiace s nájmom budovy SZ v Bruseli</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969 583</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217 089</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Výdavky na DEUS a DCOM</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3 599 285</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6 204 407</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5 818 853</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5 120 609</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Realizácia úloh vyplývajúcich z uznesení vlády</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4 5</w:t>
            </w:r>
            <w:r w:rsidRPr="0026326A">
              <w:rPr>
                <w:rFonts w:ascii="Times New Roman" w:hAnsi="Times New Roman"/>
                <w:sz w:val="14"/>
                <w:szCs w:val="14"/>
                <w:lang w:eastAsia="sk-SK"/>
              </w:rPr>
              <w:t>08 706</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2 300 000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 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11 294 476</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Výdavky na vybrané investície</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1 000 000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2 500 000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26 775 733</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Výdavky na výplatu úrokov z nadmerných odpočtov</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1 527 420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884 523</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379 000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121 500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111 500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highlight w:val="yellow"/>
                <w:lang w:eastAsia="sk-SK"/>
              </w:rPr>
            </w:pPr>
            <w:r w:rsidRPr="0026326A">
              <w:rPr>
                <w:rFonts w:ascii="Times New Roman" w:hAnsi="Times New Roman"/>
                <w:sz w:val="14"/>
                <w:szCs w:val="14"/>
                <w:lang w:eastAsia="sk-SK"/>
              </w:rPr>
              <w:t>Výdavky na športovú infraštruktúru -</w:t>
            </w:r>
            <w:r w:rsidR="00C017E3">
              <w:rPr>
                <w:rFonts w:ascii="Times New Roman" w:hAnsi="Times New Roman"/>
                <w:sz w:val="14"/>
                <w:szCs w:val="14"/>
                <w:lang w:eastAsia="sk-SK"/>
              </w:rPr>
              <w:t xml:space="preserve"> </w:t>
            </w:r>
            <w:r w:rsidRPr="0026326A">
              <w:rPr>
                <w:rFonts w:ascii="Times New Roman" w:hAnsi="Times New Roman"/>
                <w:sz w:val="14"/>
                <w:szCs w:val="14"/>
                <w:lang w:eastAsia="sk-SK"/>
              </w:rPr>
              <w:t xml:space="preserve">NTC Košice, a. s., </w:t>
            </w:r>
            <w:r w:rsidRPr="0026326A">
              <w:rPr>
                <w:rFonts w:ascii="Times New Roman" w:hAnsi="Times New Roman"/>
                <w:sz w:val="14"/>
                <w:szCs w:val="14"/>
                <w:shd w:val="clear" w:color="auto" w:fill="FFFFFF" w:themeFill="background1"/>
                <w:lang w:eastAsia="sk-SK"/>
              </w:rPr>
              <w:t>(uzn</w:t>
            </w:r>
            <w:r w:rsidRPr="0026326A">
              <w:rPr>
                <w:rFonts w:ascii="Times New Roman" w:hAnsi="Times New Roman"/>
                <w:sz w:val="14"/>
                <w:szCs w:val="14"/>
                <w:lang w:eastAsia="sk-SK"/>
              </w:rPr>
              <w:t>. vl. 183/2017)</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3 000 000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3 000 000</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3 000 000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Výdavky na 100. výročie osláv vzniku ČSR (uzn. vl. 282/2017)</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4 853 810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47 500</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Výdavky na riešenie dopravy v SZ časti Bratislavy (uzn. vl. 598/2017)</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5 100 000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6 700 000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11 200 000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Rada pre vysielanie a retransmisiu</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1 119 599</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1 333 631</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1 382 957</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1 414 877</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w:t>
            </w:r>
            <w:r>
              <w:rPr>
                <w:rFonts w:ascii="Times New Roman" w:hAnsi="Times New Roman"/>
                <w:sz w:val="14"/>
                <w:szCs w:val="14"/>
                <w:lang w:eastAsia="sk-SK"/>
              </w:rPr>
              <w:t> </w:t>
            </w:r>
            <w:r w:rsidRPr="0026326A">
              <w:rPr>
                <w:rFonts w:ascii="Times New Roman" w:hAnsi="Times New Roman"/>
                <w:sz w:val="14"/>
                <w:szCs w:val="14"/>
                <w:lang w:eastAsia="sk-SK"/>
              </w:rPr>
              <w:t>43</w:t>
            </w:r>
            <w:r>
              <w:rPr>
                <w:rFonts w:ascii="Times New Roman" w:hAnsi="Times New Roman"/>
                <w:sz w:val="14"/>
                <w:szCs w:val="14"/>
                <w:lang w:eastAsia="sk-SK"/>
              </w:rPr>
              <w:t>9 796</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w:t>
            </w:r>
            <w:r>
              <w:rPr>
                <w:rFonts w:ascii="Times New Roman" w:hAnsi="Times New Roman"/>
                <w:sz w:val="14"/>
                <w:szCs w:val="14"/>
                <w:lang w:eastAsia="sk-SK"/>
              </w:rPr>
              <w:t> </w:t>
            </w:r>
            <w:r w:rsidRPr="0026326A">
              <w:rPr>
                <w:rFonts w:ascii="Times New Roman" w:hAnsi="Times New Roman"/>
                <w:sz w:val="14"/>
                <w:szCs w:val="14"/>
                <w:lang w:eastAsia="sk-SK"/>
              </w:rPr>
              <w:t>45</w:t>
            </w:r>
            <w:r>
              <w:rPr>
                <w:rFonts w:ascii="Times New Roman" w:hAnsi="Times New Roman"/>
                <w:sz w:val="14"/>
                <w:szCs w:val="14"/>
                <w:lang w:eastAsia="sk-SK"/>
              </w:rPr>
              <w:t>9 266</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w:t>
            </w:r>
            <w:r>
              <w:rPr>
                <w:rFonts w:ascii="Times New Roman" w:hAnsi="Times New Roman"/>
                <w:sz w:val="14"/>
                <w:szCs w:val="14"/>
                <w:lang w:eastAsia="sk-SK"/>
              </w:rPr>
              <w:t> </w:t>
            </w:r>
            <w:r w:rsidRPr="0026326A">
              <w:rPr>
                <w:rFonts w:ascii="Times New Roman" w:hAnsi="Times New Roman"/>
                <w:sz w:val="14"/>
                <w:szCs w:val="14"/>
                <w:lang w:eastAsia="sk-SK"/>
              </w:rPr>
              <w:t>47</w:t>
            </w:r>
            <w:r>
              <w:rPr>
                <w:rFonts w:ascii="Times New Roman" w:hAnsi="Times New Roman"/>
                <w:sz w:val="14"/>
                <w:szCs w:val="14"/>
                <w:lang w:eastAsia="sk-SK"/>
              </w:rPr>
              <w:t>9 647</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Kancelária verejného ochrancu práv</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1 180 637</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1 269 052</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1 535 649</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1 592 524</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w:t>
            </w:r>
            <w:r>
              <w:rPr>
                <w:rFonts w:ascii="Times New Roman" w:hAnsi="Times New Roman"/>
                <w:sz w:val="14"/>
                <w:szCs w:val="14"/>
                <w:lang w:eastAsia="sk-SK"/>
              </w:rPr>
              <w:t> 704 759</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w:t>
            </w:r>
            <w:r>
              <w:rPr>
                <w:rFonts w:ascii="Times New Roman" w:hAnsi="Times New Roman"/>
                <w:sz w:val="14"/>
                <w:szCs w:val="14"/>
                <w:lang w:eastAsia="sk-SK"/>
              </w:rPr>
              <w:t> </w:t>
            </w:r>
            <w:r w:rsidRPr="0026326A">
              <w:rPr>
                <w:rFonts w:ascii="Times New Roman" w:hAnsi="Times New Roman"/>
                <w:sz w:val="14"/>
                <w:szCs w:val="14"/>
                <w:lang w:eastAsia="sk-SK"/>
              </w:rPr>
              <w:t>5</w:t>
            </w:r>
            <w:r>
              <w:rPr>
                <w:rFonts w:ascii="Times New Roman" w:hAnsi="Times New Roman"/>
                <w:sz w:val="14"/>
                <w:szCs w:val="14"/>
                <w:lang w:eastAsia="sk-SK"/>
              </w:rPr>
              <w:t>84 329</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w:t>
            </w:r>
            <w:r>
              <w:rPr>
                <w:rFonts w:ascii="Times New Roman" w:hAnsi="Times New Roman"/>
                <w:sz w:val="14"/>
                <w:szCs w:val="14"/>
                <w:lang w:eastAsia="sk-SK"/>
              </w:rPr>
              <w:t> 584 329</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Úrad na ochranu osobných údajov SR</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1 103 814</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1 231 948</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1 163 853</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 xml:space="preserve">1 199 252 </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w:t>
            </w:r>
            <w:r>
              <w:rPr>
                <w:rFonts w:ascii="Times New Roman" w:hAnsi="Times New Roman"/>
                <w:sz w:val="14"/>
                <w:szCs w:val="14"/>
                <w:lang w:eastAsia="sk-SK"/>
              </w:rPr>
              <w:t> 442 463</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w:t>
            </w:r>
            <w:r>
              <w:rPr>
                <w:rFonts w:ascii="Times New Roman" w:hAnsi="Times New Roman"/>
                <w:sz w:val="14"/>
                <w:szCs w:val="14"/>
                <w:lang w:eastAsia="sk-SK"/>
              </w:rPr>
              <w:t> 442 463</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w:t>
            </w:r>
            <w:r>
              <w:rPr>
                <w:rFonts w:ascii="Times New Roman" w:hAnsi="Times New Roman"/>
                <w:sz w:val="14"/>
                <w:szCs w:val="14"/>
                <w:lang w:eastAsia="sk-SK"/>
              </w:rPr>
              <w:t> 442 463</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Úrad na ochranu oznamovateľov</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bCs/>
                <w:sz w:val="14"/>
                <w:szCs w:val="14"/>
                <w:lang w:eastAsia="sk-SK"/>
              </w:rPr>
            </w:pPr>
            <w:r w:rsidRPr="0026326A">
              <w:rPr>
                <w:rFonts w:ascii="Times New Roman" w:hAnsi="Times New Roman"/>
                <w:bCs/>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bCs/>
                <w:sz w:val="14"/>
                <w:szCs w:val="14"/>
                <w:lang w:eastAsia="sk-SK"/>
              </w:rPr>
            </w:pPr>
            <w:r w:rsidRPr="0026326A">
              <w:rPr>
                <w:rFonts w:ascii="Times New Roman" w:hAnsi="Times New Roman"/>
                <w:bCs/>
                <w:sz w:val="14"/>
                <w:szCs w:val="14"/>
                <w:lang w:eastAsia="sk-SK"/>
              </w:rPr>
              <w:t>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0</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369 370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260 500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255 500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 xml:space="preserve">Transfer Ústavu pamäti národa </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1 546 930</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1 635 403</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1 671 391</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1 772 455</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w:t>
            </w:r>
            <w:r>
              <w:rPr>
                <w:rFonts w:ascii="Times New Roman" w:hAnsi="Times New Roman"/>
                <w:sz w:val="14"/>
                <w:szCs w:val="14"/>
                <w:lang w:eastAsia="sk-SK"/>
              </w:rPr>
              <w:t> 915 829</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w:t>
            </w:r>
            <w:r>
              <w:rPr>
                <w:rFonts w:ascii="Times New Roman" w:hAnsi="Times New Roman"/>
                <w:sz w:val="14"/>
                <w:szCs w:val="14"/>
                <w:lang w:eastAsia="sk-SK"/>
              </w:rPr>
              <w:t> 865 829</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1</w:t>
            </w:r>
            <w:r>
              <w:rPr>
                <w:rFonts w:ascii="Times New Roman" w:hAnsi="Times New Roman"/>
                <w:sz w:val="14"/>
                <w:szCs w:val="14"/>
                <w:lang w:eastAsia="sk-SK"/>
              </w:rPr>
              <w:t> 865 829</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Transfer Slovenskému národnému stredisku pre ľudské práva</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548 242</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553 242</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565 356</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565 356</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787 215</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750 640</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750 640</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Transfer Úradu komisára pre deti</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324 546</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353 489</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387 905</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397 905</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453 108</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453 108</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453 108</w:t>
            </w:r>
          </w:p>
        </w:tc>
      </w:tr>
      <w:tr w:rsidR="005C5842" w:rsidRPr="0006072B" w:rsidTr="009A178E">
        <w:trPr>
          <w:trHeight w:val="227"/>
        </w:trPr>
        <w:tc>
          <w:tcPr>
            <w:tcW w:w="213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rPr>
                <w:rFonts w:ascii="Times New Roman" w:hAnsi="Times New Roman"/>
                <w:sz w:val="14"/>
                <w:szCs w:val="14"/>
                <w:lang w:eastAsia="sk-SK"/>
              </w:rPr>
            </w:pPr>
            <w:r w:rsidRPr="0026326A">
              <w:rPr>
                <w:rFonts w:ascii="Times New Roman" w:hAnsi="Times New Roman"/>
                <w:sz w:val="14"/>
                <w:szCs w:val="14"/>
                <w:lang w:eastAsia="sk-SK"/>
              </w:rPr>
              <w:t>Transfer Úradu komisára pre osoby so zdravotným postihnutím</w:t>
            </w:r>
          </w:p>
        </w:tc>
        <w:tc>
          <w:tcPr>
            <w:tcW w:w="992"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333 046</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353 489</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bCs/>
                <w:sz w:val="14"/>
                <w:szCs w:val="14"/>
                <w:lang w:eastAsia="sk-SK"/>
              </w:rPr>
              <w:t>437 464</w:t>
            </w:r>
          </w:p>
        </w:tc>
        <w:tc>
          <w:tcPr>
            <w:tcW w:w="992" w:type="dxa"/>
            <w:tcBorders>
              <w:top w:val="single" w:sz="4" w:space="0" w:color="auto"/>
              <w:left w:val="single" w:sz="4" w:space="0" w:color="auto"/>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Pr>
                <w:rFonts w:ascii="Times New Roman" w:hAnsi="Times New Roman"/>
                <w:sz w:val="14"/>
                <w:szCs w:val="14"/>
                <w:lang w:eastAsia="sk-SK"/>
              </w:rPr>
              <w:t>437 464</w:t>
            </w:r>
          </w:p>
        </w:tc>
        <w:tc>
          <w:tcPr>
            <w:tcW w:w="993" w:type="dxa"/>
            <w:tcBorders>
              <w:top w:val="single" w:sz="4" w:space="0" w:color="auto"/>
              <w:left w:val="nil"/>
              <w:bottom w:val="single" w:sz="4" w:space="0" w:color="auto"/>
              <w:right w:val="single" w:sz="4" w:space="0" w:color="auto"/>
            </w:tcBorders>
            <w:noWrap/>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473 622</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473 622</w:t>
            </w:r>
          </w:p>
        </w:tc>
        <w:tc>
          <w:tcPr>
            <w:tcW w:w="993" w:type="dxa"/>
            <w:tcBorders>
              <w:top w:val="single" w:sz="4" w:space="0" w:color="auto"/>
              <w:left w:val="nil"/>
              <w:bottom w:val="single" w:sz="4" w:space="0" w:color="auto"/>
              <w:right w:val="single" w:sz="4" w:space="0" w:color="auto"/>
            </w:tcBorders>
            <w:vAlign w:val="bottom"/>
          </w:tcPr>
          <w:p w:rsidR="005C5842" w:rsidRPr="0026326A" w:rsidRDefault="005C5842" w:rsidP="009A178E">
            <w:pPr>
              <w:jc w:val="right"/>
              <w:rPr>
                <w:rFonts w:ascii="Times New Roman" w:hAnsi="Times New Roman"/>
                <w:sz w:val="14"/>
                <w:szCs w:val="14"/>
                <w:lang w:eastAsia="sk-SK"/>
              </w:rPr>
            </w:pPr>
            <w:r w:rsidRPr="0026326A">
              <w:rPr>
                <w:rFonts w:ascii="Times New Roman" w:hAnsi="Times New Roman"/>
                <w:sz w:val="14"/>
                <w:szCs w:val="14"/>
                <w:lang w:eastAsia="sk-SK"/>
              </w:rPr>
              <w:t>473 622</w:t>
            </w:r>
          </w:p>
        </w:tc>
      </w:tr>
    </w:tbl>
    <w:bookmarkEnd w:id="312"/>
    <w:p w:rsidR="005C5842" w:rsidRPr="00045231" w:rsidRDefault="005C5842" w:rsidP="005C5842">
      <w:pPr>
        <w:ind w:left="142" w:hanging="142"/>
        <w:jc w:val="both"/>
        <w:rPr>
          <w:rFonts w:ascii="Times New Roman" w:hAnsi="Times New Roman"/>
          <w:sz w:val="14"/>
          <w:szCs w:val="14"/>
        </w:rPr>
      </w:pPr>
      <w:r w:rsidRPr="0006072B">
        <w:rPr>
          <w:rFonts w:ascii="Times New Roman" w:hAnsi="Times New Roman"/>
          <w:sz w:val="14"/>
          <w:szCs w:val="14"/>
        </w:rPr>
        <w:t>*</w:t>
      </w:r>
      <w:r>
        <w:rPr>
          <w:rFonts w:ascii="Times New Roman" w:hAnsi="Times New Roman"/>
          <w:sz w:val="14"/>
          <w:szCs w:val="14"/>
        </w:rPr>
        <w:t xml:space="preserve"> </w:t>
      </w:r>
      <w:r w:rsidRPr="0006072B">
        <w:rPr>
          <w:rFonts w:ascii="Times New Roman" w:hAnsi="Times New Roman"/>
          <w:sz w:val="14"/>
          <w:szCs w:val="14"/>
        </w:rPr>
        <w:t>Do skutočnos</w:t>
      </w:r>
      <w:r>
        <w:rPr>
          <w:rFonts w:ascii="Times New Roman" w:hAnsi="Times New Roman"/>
          <w:sz w:val="14"/>
          <w:szCs w:val="14"/>
        </w:rPr>
        <w:t>ti za roky 2016 a 2017</w:t>
      </w:r>
      <w:r w:rsidRPr="0006072B">
        <w:rPr>
          <w:rFonts w:ascii="Times New Roman" w:hAnsi="Times New Roman"/>
          <w:sz w:val="14"/>
          <w:szCs w:val="14"/>
        </w:rPr>
        <w:t xml:space="preserve"> a oč</w:t>
      </w:r>
      <w:r>
        <w:rPr>
          <w:rFonts w:ascii="Times New Roman" w:hAnsi="Times New Roman"/>
          <w:sz w:val="14"/>
          <w:szCs w:val="14"/>
        </w:rPr>
        <w:t>akávanej skutočnosti na rok 2018</w:t>
      </w:r>
      <w:r w:rsidRPr="0006072B">
        <w:rPr>
          <w:rFonts w:ascii="Times New Roman" w:hAnsi="Times New Roman"/>
          <w:sz w:val="14"/>
          <w:szCs w:val="14"/>
        </w:rPr>
        <w:t xml:space="preserve"> sú dopočítané výdavky, ktoré</w:t>
      </w:r>
      <w:r>
        <w:rPr>
          <w:rFonts w:ascii="Times New Roman" w:hAnsi="Times New Roman"/>
          <w:sz w:val="14"/>
          <w:szCs w:val="14"/>
        </w:rPr>
        <w:t xml:space="preserve"> nie sú rozpočtované v roku 2018</w:t>
      </w:r>
      <w:r w:rsidRPr="0006072B">
        <w:rPr>
          <w:rFonts w:ascii="Times New Roman" w:hAnsi="Times New Roman"/>
          <w:sz w:val="14"/>
          <w:szCs w:val="14"/>
        </w:rPr>
        <w:t xml:space="preserve"> a v návrh</w:t>
      </w:r>
      <w:r>
        <w:rPr>
          <w:rFonts w:ascii="Times New Roman" w:hAnsi="Times New Roman"/>
          <w:sz w:val="14"/>
          <w:szCs w:val="14"/>
        </w:rPr>
        <w:t>u rozpočtu kapitoly na roky 2019 až 2021</w:t>
      </w:r>
      <w:r w:rsidRPr="0006072B">
        <w:rPr>
          <w:rFonts w:ascii="Times New Roman" w:hAnsi="Times New Roman"/>
          <w:sz w:val="14"/>
          <w:szCs w:val="14"/>
        </w:rPr>
        <w:t xml:space="preserve">. </w:t>
      </w:r>
    </w:p>
    <w:p w:rsidR="005C5842" w:rsidRDefault="005C5842" w:rsidP="005C5842">
      <w:pPr>
        <w:ind w:firstLine="709"/>
        <w:jc w:val="both"/>
        <w:rPr>
          <w:rFonts w:ascii="Times New Roman" w:hAnsi="Times New Roman"/>
        </w:rPr>
      </w:pPr>
    </w:p>
    <w:p w:rsidR="005C5842" w:rsidRDefault="005C5842" w:rsidP="005C5842">
      <w:pPr>
        <w:ind w:firstLine="708"/>
        <w:jc w:val="both"/>
        <w:rPr>
          <w:rFonts w:ascii="Times New Roman" w:hAnsi="Times New Roman"/>
        </w:rPr>
      </w:pPr>
      <w:r>
        <w:rPr>
          <w:rFonts w:ascii="Times New Roman" w:hAnsi="Times New Roman"/>
        </w:rPr>
        <w:t xml:space="preserve">V tejto skupine sú zaradené výdavky, ktoré sa opakujú viac rokov a ich úhrada vyplýva z uzatvorených zmlúv na dlhšie obdobie, napr. úhrada majetkovej ujmy, výdavky na plnenie zmluvy s Microsoft. Patria sem aj výdavky vyplývajúce z prijatých zákonov, ako sú príspevky politickým stranám a politickým hnutiam, štátny príspevok pre mladomanželov </w:t>
      </w:r>
      <w:r>
        <w:rPr>
          <w:rFonts w:ascii="Times New Roman" w:hAnsi="Times New Roman"/>
        </w:rPr>
        <w:br/>
      </w:r>
      <w:r>
        <w:rPr>
          <w:rFonts w:ascii="Times New Roman" w:hAnsi="Times New Roman"/>
        </w:rPr>
        <w:lastRenderedPageBreak/>
        <w:t>na mladomanželské úvery, dotácie na záchranu a obnovu kultúrnych pamiatok pre obce, príspevky na podporu najmenej rozvinutých okresov, výdavky na DEUS a DCOM a</w:t>
      </w:r>
      <w:r w:rsidRPr="003154BA">
        <w:rPr>
          <w:rFonts w:ascii="Times New Roman" w:hAnsi="Times New Roman" w:cs="Times New Roman"/>
          <w:lang w:eastAsia="sk-SK"/>
        </w:rPr>
        <w:t xml:space="preserve"> ročné zúčtov</w:t>
      </w:r>
      <w:r>
        <w:rPr>
          <w:rFonts w:ascii="Times New Roman" w:hAnsi="Times New Roman" w:cs="Times New Roman"/>
          <w:lang w:eastAsia="sk-SK"/>
        </w:rPr>
        <w:t>anie poistného plateného štátom.</w:t>
      </w:r>
    </w:p>
    <w:p w:rsidR="005C5842" w:rsidRDefault="005C5842" w:rsidP="005C5842">
      <w:pPr>
        <w:ind w:firstLine="709"/>
        <w:jc w:val="both"/>
        <w:rPr>
          <w:rFonts w:ascii="Times New Roman" w:hAnsi="Times New Roman"/>
        </w:rPr>
      </w:pPr>
    </w:p>
    <w:p w:rsidR="005C5842" w:rsidRPr="0006072B" w:rsidRDefault="005C5842" w:rsidP="005C5842">
      <w:pPr>
        <w:ind w:firstLine="709"/>
        <w:jc w:val="both"/>
        <w:rPr>
          <w:rFonts w:ascii="Times New Roman" w:hAnsi="Times New Roman"/>
        </w:rPr>
      </w:pPr>
      <w:r>
        <w:rPr>
          <w:rFonts w:ascii="Times New Roman" w:hAnsi="Times New Roman"/>
        </w:rPr>
        <w:t>Z výdavkového</w:t>
      </w:r>
      <w:r w:rsidRPr="0006072B">
        <w:rPr>
          <w:rFonts w:ascii="Times New Roman" w:hAnsi="Times New Roman"/>
        </w:rPr>
        <w:t xml:space="preserve"> titul</w:t>
      </w:r>
      <w:r>
        <w:rPr>
          <w:rFonts w:ascii="Times New Roman" w:hAnsi="Times New Roman"/>
        </w:rPr>
        <w:t>u</w:t>
      </w:r>
      <w:r w:rsidRPr="0006072B">
        <w:rPr>
          <w:rFonts w:ascii="Times New Roman" w:hAnsi="Times New Roman"/>
        </w:rPr>
        <w:t xml:space="preserve"> Zahraničná ekonomická pomoc má</w:t>
      </w:r>
      <w:r>
        <w:rPr>
          <w:rFonts w:ascii="Times New Roman" w:hAnsi="Times New Roman"/>
        </w:rPr>
        <w:t xml:space="preserve"> suma 4,0</w:t>
      </w:r>
      <w:r w:rsidRPr="009C7459">
        <w:rPr>
          <w:rFonts w:ascii="Times New Roman" w:hAnsi="Times New Roman"/>
        </w:rPr>
        <w:t xml:space="preserve"> mil</w:t>
      </w:r>
      <w:r>
        <w:rPr>
          <w:rFonts w:ascii="Times New Roman" w:hAnsi="Times New Roman"/>
        </w:rPr>
        <w:t>. eur</w:t>
      </w:r>
      <w:r w:rsidRPr="0006072B">
        <w:rPr>
          <w:rFonts w:ascii="Times New Roman" w:hAnsi="Times New Roman"/>
        </w:rPr>
        <w:t xml:space="preserve"> charakter rozvojovej spolupráce. </w:t>
      </w:r>
    </w:p>
    <w:p w:rsidR="005C5842" w:rsidRPr="0006072B" w:rsidRDefault="005C5842" w:rsidP="005C5842">
      <w:pPr>
        <w:jc w:val="both"/>
        <w:rPr>
          <w:rFonts w:ascii="Times New Roman" w:hAnsi="Times New Roman"/>
        </w:rPr>
      </w:pPr>
    </w:p>
    <w:p w:rsidR="005C5842" w:rsidRDefault="005C5842" w:rsidP="005C5842">
      <w:pPr>
        <w:ind w:firstLine="709"/>
        <w:jc w:val="both"/>
        <w:rPr>
          <w:rFonts w:ascii="Times New Roman" w:hAnsi="Times New Roman"/>
          <w:highlight w:val="yellow"/>
        </w:rPr>
      </w:pPr>
      <w:r w:rsidRPr="00835928">
        <w:rPr>
          <w:rFonts w:ascii="Times New Roman" w:hAnsi="Times New Roman"/>
        </w:rPr>
        <w:t>V roku 2019</w:t>
      </w:r>
      <w:r>
        <w:rPr>
          <w:rFonts w:ascii="Times New Roman" w:hAnsi="Times New Roman"/>
        </w:rPr>
        <w:t xml:space="preserve"> je v kapitole VPS zaradený nový výdavkový titul</w:t>
      </w:r>
      <w:r w:rsidRPr="00835928">
        <w:rPr>
          <w:rFonts w:ascii="Times New Roman" w:hAnsi="Times New Roman"/>
        </w:rPr>
        <w:t xml:space="preserve"> </w:t>
      </w:r>
      <w:r w:rsidRPr="003A75F6">
        <w:rPr>
          <w:rFonts w:ascii="Times New Roman" w:hAnsi="Times New Roman"/>
        </w:rPr>
        <w:t>v zmysle uznesenia vlády č. 598 z 13. decembra 2017</w:t>
      </w:r>
      <w:r>
        <w:rPr>
          <w:rFonts w:ascii="Times New Roman" w:hAnsi="Times New Roman"/>
        </w:rPr>
        <w:t xml:space="preserve"> </w:t>
      </w:r>
      <w:r w:rsidRPr="003A75F6">
        <w:rPr>
          <w:rFonts w:ascii="Times New Roman" w:hAnsi="Times New Roman"/>
        </w:rPr>
        <w:t xml:space="preserve">na </w:t>
      </w:r>
      <w:r>
        <w:rPr>
          <w:rFonts w:ascii="Times New Roman" w:hAnsi="Times New Roman"/>
        </w:rPr>
        <w:t>riešenie dopravnej situácie</w:t>
      </w:r>
      <w:r w:rsidRPr="003A75F6">
        <w:rPr>
          <w:rFonts w:ascii="Times New Roman" w:hAnsi="Times New Roman"/>
        </w:rPr>
        <w:t xml:space="preserve"> v severozápadnej časti</w:t>
      </w:r>
      <w:r>
        <w:rPr>
          <w:rFonts w:ascii="Times New Roman" w:hAnsi="Times New Roman"/>
        </w:rPr>
        <w:t xml:space="preserve"> mesta Bratislava. Zároveň sa na rok 2019 rozpočtujú výdavky na platbu za poistencov štátu </w:t>
      </w:r>
      <w:r>
        <w:rPr>
          <w:rFonts w:ascii="Times New Roman" w:hAnsi="Times New Roman"/>
        </w:rPr>
        <w:br/>
        <w:t xml:space="preserve">do verejného zdravotného poistenia vo výške 50 mil. eur. </w:t>
      </w:r>
    </w:p>
    <w:p w:rsidR="005C5842" w:rsidRPr="0006072B" w:rsidRDefault="005C5842" w:rsidP="005C5842">
      <w:pPr>
        <w:ind w:firstLine="709"/>
        <w:jc w:val="both"/>
        <w:rPr>
          <w:rFonts w:ascii="Times New Roman" w:hAnsi="Times New Roman"/>
        </w:rPr>
      </w:pPr>
    </w:p>
    <w:p w:rsidR="005C5842" w:rsidRDefault="005C5842" w:rsidP="005C5842">
      <w:pPr>
        <w:ind w:firstLine="709"/>
        <w:jc w:val="both"/>
        <w:rPr>
          <w:rFonts w:ascii="Times New Roman" w:hAnsi="Times New Roman"/>
          <w:bCs/>
          <w:szCs w:val="18"/>
        </w:rPr>
      </w:pPr>
      <w:r>
        <w:rPr>
          <w:rFonts w:ascii="Times New Roman" w:hAnsi="Times New Roman"/>
        </w:rPr>
        <w:t>V nadväznosti na novelu</w:t>
      </w:r>
      <w:r w:rsidRPr="0006072B">
        <w:rPr>
          <w:rFonts w:ascii="Times New Roman" w:hAnsi="Times New Roman"/>
        </w:rPr>
        <w:t xml:space="preserve"> zákona č. 336/2015 Z. z. o podpore najmenej rozvinutých okresov a o zmene a doplnení niektorých zákonov</w:t>
      </w:r>
      <w:r>
        <w:rPr>
          <w:rFonts w:ascii="Times New Roman" w:hAnsi="Times New Roman"/>
        </w:rPr>
        <w:t xml:space="preserve"> sa v roku 2019 počíta s rozšírením zoznamu najmenej rozvinutých okresov, pričom suma výdavkov rozpočtovaných na tento účel</w:t>
      </w:r>
      <w:r w:rsidRPr="0006072B">
        <w:rPr>
          <w:rFonts w:ascii="Times New Roman" w:hAnsi="Times New Roman"/>
        </w:rPr>
        <w:t xml:space="preserve"> </w:t>
      </w:r>
      <w:r w:rsidRPr="0006072B">
        <w:rPr>
          <w:rFonts w:ascii="Times New Roman" w:hAnsi="Times New Roman"/>
          <w:bCs/>
          <w:szCs w:val="18"/>
        </w:rPr>
        <w:t>v rozpočte</w:t>
      </w:r>
      <w:r w:rsidRPr="0006072B">
        <w:rPr>
          <w:rFonts w:ascii="Times New Roman" w:hAnsi="Times New Roman"/>
        </w:rPr>
        <w:t xml:space="preserve"> kapitoly VPS </w:t>
      </w:r>
      <w:r>
        <w:rPr>
          <w:rFonts w:ascii="Times New Roman" w:hAnsi="Times New Roman"/>
        </w:rPr>
        <w:t>v roku 2019</w:t>
      </w:r>
      <w:r w:rsidRPr="0006072B">
        <w:rPr>
          <w:rFonts w:ascii="Times New Roman" w:hAnsi="Times New Roman"/>
        </w:rPr>
        <w:t xml:space="preserve"> </w:t>
      </w:r>
      <w:r>
        <w:rPr>
          <w:rFonts w:ascii="Times New Roman" w:hAnsi="Times New Roman"/>
        </w:rPr>
        <w:t>zostáva na úrovni</w:t>
      </w:r>
      <w:r>
        <w:rPr>
          <w:rFonts w:ascii="Times New Roman" w:hAnsi="Times New Roman"/>
          <w:bCs/>
          <w:szCs w:val="18"/>
        </w:rPr>
        <w:t xml:space="preserve"> 12,9</w:t>
      </w:r>
      <w:r w:rsidRPr="0006072B">
        <w:rPr>
          <w:rFonts w:ascii="Times New Roman" w:hAnsi="Times New Roman"/>
          <w:bCs/>
          <w:szCs w:val="18"/>
        </w:rPr>
        <w:t xml:space="preserve"> mil. eur.</w:t>
      </w:r>
    </w:p>
    <w:p w:rsidR="005C5842" w:rsidRDefault="005C5842" w:rsidP="005C5842">
      <w:pPr>
        <w:ind w:firstLine="709"/>
        <w:jc w:val="both"/>
        <w:rPr>
          <w:rFonts w:ascii="Times New Roman" w:hAnsi="Times New Roman"/>
          <w:bCs/>
          <w:szCs w:val="18"/>
        </w:rPr>
      </w:pPr>
    </w:p>
    <w:p w:rsidR="005C5842" w:rsidRPr="006E3096" w:rsidRDefault="005C5842" w:rsidP="005C5842">
      <w:pPr>
        <w:jc w:val="both"/>
        <w:rPr>
          <w:rFonts w:ascii="Times New Roman" w:hAnsi="Times New Roman"/>
          <w:b/>
          <w:bCs/>
          <w:szCs w:val="18"/>
        </w:rPr>
      </w:pPr>
      <w:r w:rsidRPr="006E3096">
        <w:rPr>
          <w:rFonts w:ascii="Times New Roman" w:hAnsi="Times New Roman"/>
          <w:b/>
          <w:bCs/>
          <w:szCs w:val="18"/>
        </w:rPr>
        <w:t>Hospodárenie s rozpočtovými rezervami</w:t>
      </w:r>
    </w:p>
    <w:p w:rsidR="005C5842" w:rsidRDefault="005C5842" w:rsidP="005C5842">
      <w:pPr>
        <w:ind w:firstLine="720"/>
        <w:jc w:val="both"/>
        <w:rPr>
          <w:rFonts w:ascii="Times New Roman" w:eastAsia="Calibri" w:hAnsi="Times New Roman" w:cs="Times New Roman"/>
        </w:rPr>
      </w:pPr>
    </w:p>
    <w:p w:rsidR="005C5842" w:rsidRPr="006E3096" w:rsidRDefault="005C5842" w:rsidP="005C5842">
      <w:pPr>
        <w:ind w:firstLine="720"/>
        <w:jc w:val="both"/>
        <w:rPr>
          <w:rFonts w:ascii="Times New Roman" w:eastAsia="Calibri" w:hAnsi="Times New Roman" w:cs="Times New Roman"/>
        </w:rPr>
      </w:pPr>
      <w:r w:rsidRPr="000F25A9">
        <w:rPr>
          <w:rFonts w:ascii="Times New Roman" w:eastAsia="Calibri" w:hAnsi="Times New Roman" w:cs="Times New Roman"/>
        </w:rPr>
        <w:t>Na krytie nepredvídaných výdavkov nevyhnutných na zabezpečenie rozpočtového hospodárenia alebo na krytie zníženia rozpočtovaných príjmov sa v zmysle § 10 ods. 4  zákona č.  523/2004 Z. z. o rozpočtových pravidlách verejnej správy a o zmene a doplnení niektorých zákonov v znení neskorších predpisov vytvárajú v štátnom rozpočte rozpočtové rezervy. Štruktúra vybraných rozpočtových rezerv</w:t>
      </w:r>
      <w:r>
        <w:rPr>
          <w:rFonts w:ascii="Times New Roman" w:eastAsia="Calibri" w:hAnsi="Times New Roman" w:cs="Times New Roman"/>
        </w:rPr>
        <w:t xml:space="preserve">, objem schválený zákonom č. 333/2017 </w:t>
      </w:r>
      <w:r w:rsidR="0042475B">
        <w:rPr>
          <w:rFonts w:ascii="Times New Roman" w:eastAsia="Calibri" w:hAnsi="Times New Roman" w:cs="Times New Roman"/>
        </w:rPr>
        <w:t xml:space="preserve">Z. z. </w:t>
      </w:r>
      <w:r>
        <w:rPr>
          <w:rFonts w:ascii="Times New Roman" w:eastAsia="Calibri" w:hAnsi="Times New Roman" w:cs="Times New Roman"/>
        </w:rPr>
        <w:t>o štátnom rozpočte na rok 2018</w:t>
      </w:r>
      <w:r w:rsidRPr="000F25A9">
        <w:rPr>
          <w:rFonts w:ascii="Times New Roman" w:eastAsia="Calibri" w:hAnsi="Times New Roman" w:cs="Times New Roman"/>
        </w:rPr>
        <w:t>, použitie a zostatok rezerv sú ob</w:t>
      </w:r>
      <w:r>
        <w:rPr>
          <w:rFonts w:ascii="Times New Roman" w:eastAsia="Calibri" w:hAnsi="Times New Roman" w:cs="Times New Roman"/>
        </w:rPr>
        <w:t>siahnuté v nasledovnej tabuľke:</w:t>
      </w:r>
    </w:p>
    <w:p w:rsidR="005C5842" w:rsidRPr="000F25A9" w:rsidRDefault="005C5842" w:rsidP="005C5842">
      <w:pPr>
        <w:jc w:val="both"/>
        <w:rPr>
          <w:rFonts w:ascii="Arial Narrow" w:eastAsia="Calibri" w:hAnsi="Arial Narrow"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2266"/>
        <w:gridCol w:w="2128"/>
        <w:gridCol w:w="2403"/>
      </w:tblGrid>
      <w:tr w:rsidR="005C5842" w:rsidRPr="000F25A9" w:rsidTr="009A178E">
        <w:trPr>
          <w:trHeight w:val="283"/>
        </w:trPr>
        <w:tc>
          <w:tcPr>
            <w:tcW w:w="1250" w:type="pct"/>
            <w:shd w:val="clear" w:color="auto" w:fill="A6A6A6" w:themeFill="background1" w:themeFillShade="A6"/>
            <w:tcMar>
              <w:top w:w="0" w:type="dxa"/>
              <w:left w:w="70" w:type="dxa"/>
              <w:bottom w:w="0" w:type="dxa"/>
              <w:right w:w="70" w:type="dxa"/>
            </w:tcMar>
            <w:vAlign w:val="center"/>
            <w:hideMark/>
          </w:tcPr>
          <w:p w:rsidR="005C5842" w:rsidRPr="000F25A9" w:rsidRDefault="005C5842" w:rsidP="009A178E">
            <w:pPr>
              <w:rPr>
                <w:rFonts w:ascii="Times New Roman" w:eastAsia="Calibri" w:hAnsi="Times New Roman" w:cs="Times New Roman"/>
                <w:b/>
                <w:bCs/>
                <w:sz w:val="14"/>
                <w:szCs w:val="14"/>
              </w:rPr>
            </w:pPr>
            <w:r>
              <w:rPr>
                <w:rFonts w:ascii="Times New Roman" w:eastAsia="Calibri" w:hAnsi="Times New Roman" w:cs="Times New Roman"/>
                <w:b/>
                <w:bCs/>
                <w:sz w:val="14"/>
                <w:szCs w:val="14"/>
              </w:rPr>
              <w:t>v eurách</w:t>
            </w:r>
          </w:p>
        </w:tc>
        <w:tc>
          <w:tcPr>
            <w:tcW w:w="1250" w:type="pct"/>
            <w:shd w:val="clear" w:color="auto" w:fill="A6A6A6" w:themeFill="background1" w:themeFillShade="A6"/>
            <w:tcMar>
              <w:top w:w="0" w:type="dxa"/>
              <w:left w:w="70" w:type="dxa"/>
              <w:bottom w:w="0" w:type="dxa"/>
              <w:right w:w="70" w:type="dxa"/>
            </w:tcMar>
            <w:vAlign w:val="center"/>
            <w:hideMark/>
          </w:tcPr>
          <w:p w:rsidR="005C5842" w:rsidRPr="000F25A9" w:rsidRDefault="005C5842" w:rsidP="009A178E">
            <w:pPr>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Schválený rozpočet 2018</w:t>
            </w:r>
          </w:p>
        </w:tc>
        <w:tc>
          <w:tcPr>
            <w:tcW w:w="1174" w:type="pct"/>
            <w:shd w:val="clear" w:color="auto" w:fill="A6A6A6" w:themeFill="background1" w:themeFillShade="A6"/>
            <w:tcMar>
              <w:top w:w="0" w:type="dxa"/>
              <w:left w:w="70" w:type="dxa"/>
              <w:bottom w:w="0" w:type="dxa"/>
              <w:right w:w="70" w:type="dxa"/>
            </w:tcMar>
            <w:vAlign w:val="center"/>
            <w:hideMark/>
          </w:tcPr>
          <w:p w:rsidR="005C5842" w:rsidRPr="000F25A9" w:rsidRDefault="005C5842" w:rsidP="009A178E">
            <w:pPr>
              <w:jc w:val="center"/>
              <w:rPr>
                <w:rFonts w:ascii="Times New Roman" w:eastAsia="Calibri" w:hAnsi="Times New Roman" w:cs="Times New Roman"/>
                <w:b/>
                <w:bCs/>
                <w:sz w:val="14"/>
                <w:szCs w:val="14"/>
              </w:rPr>
            </w:pPr>
            <w:r>
              <w:rPr>
                <w:rFonts w:ascii="Times New Roman" w:eastAsia="Calibri" w:hAnsi="Times New Roman" w:cs="Times New Roman"/>
                <w:b/>
                <w:bCs/>
                <w:sz w:val="14"/>
                <w:szCs w:val="14"/>
              </w:rPr>
              <w:t xml:space="preserve">Použitie rezerv </w:t>
            </w:r>
            <w:r w:rsidRPr="000F25A9">
              <w:rPr>
                <w:rFonts w:ascii="Times New Roman" w:eastAsia="Calibri" w:hAnsi="Times New Roman" w:cs="Times New Roman"/>
                <w:b/>
                <w:bCs/>
                <w:sz w:val="14"/>
                <w:szCs w:val="14"/>
              </w:rPr>
              <w:t>k 31.</w:t>
            </w:r>
            <w:r>
              <w:rPr>
                <w:rFonts w:ascii="Times New Roman" w:eastAsia="Calibri" w:hAnsi="Times New Roman" w:cs="Times New Roman"/>
                <w:b/>
                <w:bCs/>
                <w:sz w:val="14"/>
                <w:szCs w:val="14"/>
              </w:rPr>
              <w:t xml:space="preserve"> </w:t>
            </w:r>
            <w:r w:rsidRPr="000F25A9">
              <w:rPr>
                <w:rFonts w:ascii="Times New Roman" w:eastAsia="Calibri" w:hAnsi="Times New Roman" w:cs="Times New Roman"/>
                <w:b/>
                <w:bCs/>
                <w:sz w:val="14"/>
                <w:szCs w:val="14"/>
              </w:rPr>
              <w:t>8.</w:t>
            </w:r>
            <w:r>
              <w:rPr>
                <w:rFonts w:ascii="Times New Roman" w:eastAsia="Calibri" w:hAnsi="Times New Roman" w:cs="Times New Roman"/>
                <w:b/>
                <w:bCs/>
                <w:sz w:val="14"/>
                <w:szCs w:val="14"/>
              </w:rPr>
              <w:t xml:space="preserve"> 2018</w:t>
            </w:r>
          </w:p>
        </w:tc>
        <w:tc>
          <w:tcPr>
            <w:tcW w:w="1326" w:type="pct"/>
            <w:shd w:val="clear" w:color="auto" w:fill="A6A6A6" w:themeFill="background1" w:themeFillShade="A6"/>
            <w:tcMar>
              <w:top w:w="0" w:type="dxa"/>
              <w:left w:w="70" w:type="dxa"/>
              <w:bottom w:w="0" w:type="dxa"/>
              <w:right w:w="70" w:type="dxa"/>
            </w:tcMar>
            <w:vAlign w:val="center"/>
            <w:hideMark/>
          </w:tcPr>
          <w:p w:rsidR="005C5842" w:rsidRPr="000F25A9" w:rsidRDefault="005C5842" w:rsidP="009A178E">
            <w:pPr>
              <w:rPr>
                <w:rFonts w:ascii="Times New Roman" w:eastAsia="Calibri" w:hAnsi="Times New Roman" w:cs="Times New Roman"/>
                <w:b/>
                <w:bCs/>
                <w:sz w:val="14"/>
                <w:szCs w:val="14"/>
              </w:rPr>
            </w:pPr>
            <w:r>
              <w:rPr>
                <w:rFonts w:ascii="Times New Roman" w:eastAsia="Calibri" w:hAnsi="Times New Roman" w:cs="Times New Roman"/>
                <w:b/>
                <w:bCs/>
                <w:sz w:val="14"/>
                <w:szCs w:val="14"/>
              </w:rPr>
              <w:t xml:space="preserve">Nevyčerpaný zostatok </w:t>
            </w:r>
            <w:r w:rsidRPr="000F25A9">
              <w:rPr>
                <w:rFonts w:ascii="Times New Roman" w:eastAsia="Calibri" w:hAnsi="Times New Roman" w:cs="Times New Roman"/>
                <w:b/>
                <w:bCs/>
                <w:sz w:val="14"/>
                <w:szCs w:val="14"/>
              </w:rPr>
              <w:t>k</w:t>
            </w:r>
            <w:r w:rsidRPr="000F25A9">
              <w:rPr>
                <w:rFonts w:ascii="Times New Roman" w:eastAsia="Calibri" w:hAnsi="Times New Roman" w:cs="Times New Roman"/>
                <w:b/>
                <w:bCs/>
                <w:color w:val="1F497D"/>
                <w:sz w:val="14"/>
                <w:szCs w:val="14"/>
              </w:rPr>
              <w:t xml:space="preserve"> </w:t>
            </w:r>
            <w:r w:rsidRPr="000F25A9">
              <w:rPr>
                <w:rFonts w:ascii="Times New Roman" w:eastAsia="Calibri" w:hAnsi="Times New Roman" w:cs="Times New Roman"/>
                <w:b/>
                <w:bCs/>
                <w:sz w:val="14"/>
                <w:szCs w:val="14"/>
              </w:rPr>
              <w:t>31.</w:t>
            </w:r>
            <w:r>
              <w:rPr>
                <w:rFonts w:ascii="Times New Roman" w:eastAsia="Calibri" w:hAnsi="Times New Roman" w:cs="Times New Roman"/>
                <w:b/>
                <w:bCs/>
                <w:sz w:val="14"/>
                <w:szCs w:val="14"/>
              </w:rPr>
              <w:t xml:space="preserve"> 8.</w:t>
            </w:r>
            <w:r w:rsidR="00C017E3">
              <w:rPr>
                <w:rFonts w:ascii="Times New Roman" w:eastAsia="Calibri" w:hAnsi="Times New Roman" w:cs="Times New Roman"/>
                <w:b/>
                <w:bCs/>
                <w:sz w:val="14"/>
                <w:szCs w:val="14"/>
              </w:rPr>
              <w:t xml:space="preserve"> </w:t>
            </w:r>
            <w:r>
              <w:rPr>
                <w:rFonts w:ascii="Times New Roman" w:eastAsia="Calibri" w:hAnsi="Times New Roman" w:cs="Times New Roman"/>
                <w:b/>
                <w:bCs/>
                <w:sz w:val="14"/>
                <w:szCs w:val="14"/>
              </w:rPr>
              <w:t>2018</w:t>
            </w:r>
          </w:p>
        </w:tc>
      </w:tr>
      <w:tr w:rsidR="005C5842" w:rsidRPr="000F25A9" w:rsidTr="009A178E">
        <w:trPr>
          <w:trHeight w:val="283"/>
        </w:trPr>
        <w:tc>
          <w:tcPr>
            <w:tcW w:w="1250" w:type="pct"/>
            <w:shd w:val="clear" w:color="auto" w:fill="BFBFBF" w:themeFill="background1" w:themeFillShade="BF"/>
            <w:tcMar>
              <w:top w:w="0" w:type="dxa"/>
              <w:left w:w="70" w:type="dxa"/>
              <w:bottom w:w="0" w:type="dxa"/>
              <w:right w:w="70" w:type="dxa"/>
            </w:tcMar>
            <w:vAlign w:val="center"/>
          </w:tcPr>
          <w:p w:rsidR="005C5842" w:rsidRDefault="005C5842" w:rsidP="009A178E">
            <w:pPr>
              <w:rPr>
                <w:rFonts w:ascii="Times New Roman" w:eastAsia="Calibri" w:hAnsi="Times New Roman" w:cs="Times New Roman"/>
                <w:b/>
                <w:bCs/>
                <w:sz w:val="14"/>
                <w:szCs w:val="14"/>
              </w:rPr>
            </w:pPr>
            <w:r>
              <w:rPr>
                <w:rFonts w:ascii="Times New Roman" w:eastAsia="Calibri" w:hAnsi="Times New Roman" w:cs="Times New Roman"/>
                <w:b/>
                <w:bCs/>
                <w:sz w:val="14"/>
                <w:szCs w:val="14"/>
              </w:rPr>
              <w:t>Rozpočtové rezervy</w:t>
            </w:r>
          </w:p>
        </w:tc>
        <w:tc>
          <w:tcPr>
            <w:tcW w:w="1250" w:type="pct"/>
            <w:shd w:val="clear" w:color="auto" w:fill="BFBFBF" w:themeFill="background1" w:themeFillShade="BF"/>
            <w:tcMar>
              <w:top w:w="0" w:type="dxa"/>
              <w:left w:w="70" w:type="dxa"/>
              <w:bottom w:w="0" w:type="dxa"/>
              <w:right w:w="70" w:type="dxa"/>
            </w:tcMar>
            <w:vAlign w:val="center"/>
          </w:tcPr>
          <w:p w:rsidR="005C5842" w:rsidRPr="00062677" w:rsidRDefault="005C5842" w:rsidP="009A178E">
            <w:pPr>
              <w:jc w:val="right"/>
              <w:rPr>
                <w:rFonts w:ascii="Times New Roman" w:eastAsia="Calibri" w:hAnsi="Times New Roman" w:cs="Times New Roman"/>
                <w:b/>
                <w:bCs/>
                <w:sz w:val="14"/>
                <w:szCs w:val="14"/>
              </w:rPr>
            </w:pPr>
            <w:r w:rsidRPr="00062677">
              <w:rPr>
                <w:rFonts w:ascii="Times New Roman" w:eastAsia="Calibri" w:hAnsi="Times New Roman" w:cs="Times New Roman"/>
                <w:b/>
                <w:bCs/>
                <w:sz w:val="14"/>
                <w:szCs w:val="14"/>
              </w:rPr>
              <w:t>136 706 017,00</w:t>
            </w:r>
          </w:p>
        </w:tc>
        <w:tc>
          <w:tcPr>
            <w:tcW w:w="1174" w:type="pct"/>
            <w:shd w:val="clear" w:color="auto" w:fill="BFBFBF" w:themeFill="background1" w:themeFillShade="BF"/>
            <w:tcMar>
              <w:top w:w="0" w:type="dxa"/>
              <w:left w:w="70" w:type="dxa"/>
              <w:bottom w:w="0" w:type="dxa"/>
              <w:right w:w="70" w:type="dxa"/>
            </w:tcMar>
            <w:vAlign w:val="center"/>
          </w:tcPr>
          <w:p w:rsidR="005C5842" w:rsidRPr="0026326A" w:rsidRDefault="005C5842" w:rsidP="009A178E">
            <w:pPr>
              <w:jc w:val="right"/>
              <w:rPr>
                <w:rFonts w:ascii="Times New Roman" w:eastAsia="Calibri" w:hAnsi="Times New Roman" w:cs="Times New Roman"/>
                <w:b/>
                <w:bCs/>
                <w:sz w:val="14"/>
                <w:szCs w:val="14"/>
              </w:rPr>
            </w:pPr>
            <w:r>
              <w:rPr>
                <w:rFonts w:ascii="Times New Roman" w:eastAsia="Calibri" w:hAnsi="Times New Roman" w:cs="Times New Roman"/>
                <w:b/>
                <w:bCs/>
                <w:sz w:val="14"/>
                <w:szCs w:val="14"/>
              </w:rPr>
              <w:t>86 692 920,69</w:t>
            </w:r>
          </w:p>
        </w:tc>
        <w:tc>
          <w:tcPr>
            <w:tcW w:w="1326" w:type="pct"/>
            <w:shd w:val="clear" w:color="auto" w:fill="BFBFBF" w:themeFill="background1" w:themeFillShade="BF"/>
            <w:tcMar>
              <w:top w:w="0" w:type="dxa"/>
              <w:left w:w="70" w:type="dxa"/>
              <w:bottom w:w="0" w:type="dxa"/>
              <w:right w:w="70" w:type="dxa"/>
            </w:tcMar>
            <w:vAlign w:val="center"/>
          </w:tcPr>
          <w:p w:rsidR="005C5842" w:rsidRPr="0026326A" w:rsidRDefault="005C5842" w:rsidP="009A178E">
            <w:pPr>
              <w:ind w:left="720"/>
              <w:contextualSpacing/>
              <w:jc w:val="right"/>
              <w:rPr>
                <w:rFonts w:ascii="Times New Roman" w:eastAsia="Calibri" w:hAnsi="Times New Roman" w:cs="Times New Roman"/>
                <w:b/>
                <w:bCs/>
                <w:sz w:val="14"/>
                <w:szCs w:val="14"/>
                <w:lang w:eastAsia="sk-SK"/>
              </w:rPr>
            </w:pPr>
            <w:r>
              <w:rPr>
                <w:rFonts w:ascii="Times New Roman" w:eastAsia="Calibri" w:hAnsi="Times New Roman" w:cs="Times New Roman"/>
                <w:b/>
                <w:bCs/>
                <w:sz w:val="14"/>
                <w:szCs w:val="14"/>
                <w:lang w:eastAsia="sk-SK"/>
              </w:rPr>
              <w:t>53 093 841,66</w:t>
            </w:r>
          </w:p>
        </w:tc>
      </w:tr>
      <w:tr w:rsidR="005C5842" w:rsidRPr="000F25A9" w:rsidTr="009A178E">
        <w:trPr>
          <w:trHeight w:val="283"/>
        </w:trPr>
        <w:tc>
          <w:tcPr>
            <w:tcW w:w="1250" w:type="pct"/>
            <w:tcMar>
              <w:top w:w="0" w:type="dxa"/>
              <w:left w:w="70" w:type="dxa"/>
              <w:bottom w:w="0" w:type="dxa"/>
              <w:right w:w="70" w:type="dxa"/>
            </w:tcMar>
            <w:vAlign w:val="center"/>
            <w:hideMark/>
          </w:tcPr>
          <w:p w:rsidR="005C5842" w:rsidRPr="000F25A9" w:rsidRDefault="005C5842" w:rsidP="009A178E">
            <w:pPr>
              <w:rPr>
                <w:rFonts w:ascii="Times New Roman" w:eastAsia="Calibri" w:hAnsi="Times New Roman" w:cs="Times New Roman"/>
                <w:sz w:val="14"/>
                <w:szCs w:val="14"/>
              </w:rPr>
            </w:pPr>
            <w:r w:rsidRPr="000F25A9">
              <w:rPr>
                <w:rFonts w:ascii="Times New Roman" w:eastAsia="Calibri" w:hAnsi="Times New Roman" w:cs="Times New Roman"/>
                <w:sz w:val="14"/>
                <w:szCs w:val="14"/>
              </w:rPr>
              <w:t>Rezerva vlády SR</w:t>
            </w:r>
          </w:p>
        </w:tc>
        <w:tc>
          <w:tcPr>
            <w:tcW w:w="1250" w:type="pct"/>
            <w:tcMar>
              <w:top w:w="0" w:type="dxa"/>
              <w:left w:w="70" w:type="dxa"/>
              <w:bottom w:w="0" w:type="dxa"/>
              <w:right w:w="70" w:type="dxa"/>
            </w:tcMar>
            <w:vAlign w:val="center"/>
            <w:hideMark/>
          </w:tcPr>
          <w:p w:rsidR="005C5842" w:rsidRPr="00062677" w:rsidRDefault="005C5842" w:rsidP="009A178E">
            <w:pPr>
              <w:jc w:val="right"/>
              <w:rPr>
                <w:rFonts w:ascii="Times New Roman" w:eastAsia="Calibri" w:hAnsi="Times New Roman" w:cs="Times New Roman"/>
                <w:sz w:val="14"/>
                <w:szCs w:val="14"/>
              </w:rPr>
            </w:pPr>
            <w:r w:rsidRPr="00062677">
              <w:rPr>
                <w:rFonts w:ascii="Times New Roman" w:eastAsia="Calibri" w:hAnsi="Times New Roman" w:cs="Times New Roman"/>
                <w:sz w:val="14"/>
                <w:szCs w:val="14"/>
              </w:rPr>
              <w:t>5 000 000,00</w:t>
            </w:r>
          </w:p>
        </w:tc>
        <w:tc>
          <w:tcPr>
            <w:tcW w:w="1174" w:type="pct"/>
            <w:tcMar>
              <w:top w:w="0" w:type="dxa"/>
              <w:left w:w="70" w:type="dxa"/>
              <w:bottom w:w="0" w:type="dxa"/>
              <w:right w:w="70" w:type="dxa"/>
            </w:tcMar>
            <w:vAlign w:val="center"/>
          </w:tcPr>
          <w:p w:rsidR="005C5842" w:rsidRPr="0026326A" w:rsidRDefault="005C5842" w:rsidP="009A178E">
            <w:pPr>
              <w:jc w:val="right"/>
              <w:rPr>
                <w:rFonts w:ascii="Times New Roman" w:eastAsia="Calibri" w:hAnsi="Times New Roman" w:cs="Times New Roman"/>
                <w:sz w:val="14"/>
                <w:szCs w:val="14"/>
              </w:rPr>
            </w:pPr>
            <w:r w:rsidRPr="0026326A">
              <w:rPr>
                <w:rFonts w:ascii="Times New Roman" w:eastAsia="Calibri" w:hAnsi="Times New Roman" w:cs="Times New Roman"/>
                <w:sz w:val="14"/>
                <w:szCs w:val="14"/>
              </w:rPr>
              <w:t>4 426 330,00</w:t>
            </w:r>
          </w:p>
        </w:tc>
        <w:tc>
          <w:tcPr>
            <w:tcW w:w="1326" w:type="pct"/>
            <w:tcMar>
              <w:top w:w="0" w:type="dxa"/>
              <w:left w:w="70" w:type="dxa"/>
              <w:bottom w:w="0" w:type="dxa"/>
              <w:right w:w="70" w:type="dxa"/>
            </w:tcMar>
            <w:vAlign w:val="bottom"/>
          </w:tcPr>
          <w:p w:rsidR="005C5842" w:rsidRPr="0026326A" w:rsidRDefault="005C5842" w:rsidP="009A178E">
            <w:pPr>
              <w:jc w:val="right"/>
              <w:rPr>
                <w:rFonts w:ascii="Times New Roman" w:eastAsia="Calibri" w:hAnsi="Times New Roman" w:cs="Times New Roman"/>
                <w:sz w:val="14"/>
                <w:szCs w:val="14"/>
              </w:rPr>
            </w:pPr>
            <w:r w:rsidRPr="0026326A">
              <w:rPr>
                <w:rFonts w:ascii="Times New Roman" w:eastAsia="Calibri" w:hAnsi="Times New Roman" w:cs="Times New Roman"/>
                <w:sz w:val="14"/>
                <w:szCs w:val="14"/>
              </w:rPr>
              <w:t>573 670,00</w:t>
            </w:r>
          </w:p>
        </w:tc>
      </w:tr>
      <w:tr w:rsidR="005C5842" w:rsidRPr="000F25A9" w:rsidTr="009A178E">
        <w:trPr>
          <w:trHeight w:val="283"/>
        </w:trPr>
        <w:tc>
          <w:tcPr>
            <w:tcW w:w="1250" w:type="pct"/>
            <w:tcMar>
              <w:top w:w="0" w:type="dxa"/>
              <w:left w:w="70" w:type="dxa"/>
              <w:bottom w:w="0" w:type="dxa"/>
              <w:right w:w="70" w:type="dxa"/>
            </w:tcMar>
            <w:vAlign w:val="center"/>
            <w:hideMark/>
          </w:tcPr>
          <w:p w:rsidR="005C5842" w:rsidRPr="000F25A9" w:rsidRDefault="005C5842" w:rsidP="009A178E">
            <w:pPr>
              <w:rPr>
                <w:rFonts w:ascii="Times New Roman" w:eastAsia="Calibri" w:hAnsi="Times New Roman" w:cs="Times New Roman"/>
                <w:sz w:val="14"/>
                <w:szCs w:val="14"/>
              </w:rPr>
            </w:pPr>
            <w:r w:rsidRPr="000F25A9">
              <w:rPr>
                <w:rFonts w:ascii="Times New Roman" w:eastAsia="Calibri" w:hAnsi="Times New Roman" w:cs="Times New Roman"/>
                <w:sz w:val="14"/>
                <w:szCs w:val="14"/>
              </w:rPr>
              <w:t>Rezerva predsedu vlády SR</w:t>
            </w:r>
          </w:p>
        </w:tc>
        <w:tc>
          <w:tcPr>
            <w:tcW w:w="1250" w:type="pct"/>
            <w:tcMar>
              <w:top w:w="0" w:type="dxa"/>
              <w:left w:w="70" w:type="dxa"/>
              <w:bottom w:w="0" w:type="dxa"/>
              <w:right w:w="70" w:type="dxa"/>
            </w:tcMar>
            <w:vAlign w:val="center"/>
            <w:hideMark/>
          </w:tcPr>
          <w:p w:rsidR="005C5842" w:rsidRPr="00062677" w:rsidRDefault="005C5842" w:rsidP="009A178E">
            <w:pPr>
              <w:jc w:val="right"/>
              <w:rPr>
                <w:rFonts w:ascii="Times New Roman" w:eastAsia="Calibri" w:hAnsi="Times New Roman" w:cs="Times New Roman"/>
                <w:sz w:val="14"/>
                <w:szCs w:val="14"/>
              </w:rPr>
            </w:pPr>
            <w:r w:rsidRPr="00062677">
              <w:rPr>
                <w:rFonts w:ascii="Times New Roman" w:eastAsia="Calibri" w:hAnsi="Times New Roman" w:cs="Times New Roman"/>
                <w:sz w:val="14"/>
                <w:szCs w:val="14"/>
              </w:rPr>
              <w:t>1 500 000,00</w:t>
            </w:r>
          </w:p>
        </w:tc>
        <w:tc>
          <w:tcPr>
            <w:tcW w:w="1174" w:type="pct"/>
            <w:tcMar>
              <w:top w:w="0" w:type="dxa"/>
              <w:left w:w="70" w:type="dxa"/>
              <w:bottom w:w="0" w:type="dxa"/>
              <w:right w:w="70" w:type="dxa"/>
            </w:tcMar>
            <w:vAlign w:val="center"/>
          </w:tcPr>
          <w:p w:rsidR="005C5842" w:rsidRPr="0026326A" w:rsidRDefault="005C5842" w:rsidP="009A178E">
            <w:pPr>
              <w:jc w:val="right"/>
              <w:rPr>
                <w:rFonts w:ascii="Times New Roman" w:eastAsia="Calibri" w:hAnsi="Times New Roman" w:cs="Times New Roman"/>
                <w:sz w:val="14"/>
                <w:szCs w:val="14"/>
              </w:rPr>
            </w:pPr>
            <w:r>
              <w:rPr>
                <w:rFonts w:ascii="Times New Roman" w:eastAsia="Calibri" w:hAnsi="Times New Roman" w:cs="Times New Roman"/>
                <w:sz w:val="14"/>
                <w:szCs w:val="14"/>
              </w:rPr>
              <w:t>2 280 964,80</w:t>
            </w:r>
          </w:p>
        </w:tc>
        <w:tc>
          <w:tcPr>
            <w:tcW w:w="1326" w:type="pct"/>
            <w:tcMar>
              <w:top w:w="0" w:type="dxa"/>
              <w:left w:w="70" w:type="dxa"/>
              <w:bottom w:w="0" w:type="dxa"/>
              <w:right w:w="70" w:type="dxa"/>
            </w:tcMar>
            <w:vAlign w:val="bottom"/>
          </w:tcPr>
          <w:p w:rsidR="005C5842" w:rsidRPr="0026326A" w:rsidRDefault="005C5842" w:rsidP="009A178E">
            <w:pPr>
              <w:jc w:val="right"/>
              <w:rPr>
                <w:rFonts w:ascii="Times New Roman" w:eastAsia="Calibri" w:hAnsi="Times New Roman" w:cs="Times New Roman"/>
                <w:sz w:val="14"/>
                <w:szCs w:val="14"/>
              </w:rPr>
            </w:pPr>
            <w:r>
              <w:rPr>
                <w:rFonts w:ascii="Times New Roman" w:eastAsia="Calibri" w:hAnsi="Times New Roman" w:cs="Times New Roman"/>
                <w:sz w:val="14"/>
                <w:szCs w:val="14"/>
              </w:rPr>
              <w:t>2 299 780,55</w:t>
            </w:r>
            <w:r w:rsidRPr="0026326A">
              <w:rPr>
                <w:rFonts w:ascii="Times New Roman" w:eastAsia="Calibri" w:hAnsi="Times New Roman" w:cs="Times New Roman"/>
                <w:sz w:val="14"/>
                <w:szCs w:val="14"/>
              </w:rPr>
              <w:t>*</w:t>
            </w:r>
          </w:p>
        </w:tc>
      </w:tr>
      <w:tr w:rsidR="005C5842" w:rsidRPr="000F25A9" w:rsidTr="009A178E">
        <w:trPr>
          <w:trHeight w:val="283"/>
        </w:trPr>
        <w:tc>
          <w:tcPr>
            <w:tcW w:w="1250" w:type="pct"/>
            <w:tcMar>
              <w:top w:w="0" w:type="dxa"/>
              <w:left w:w="70" w:type="dxa"/>
              <w:bottom w:w="0" w:type="dxa"/>
              <w:right w:w="70" w:type="dxa"/>
            </w:tcMar>
            <w:vAlign w:val="center"/>
            <w:hideMark/>
          </w:tcPr>
          <w:p w:rsidR="005C5842" w:rsidRPr="000F25A9" w:rsidRDefault="005C5842" w:rsidP="009A178E">
            <w:pPr>
              <w:rPr>
                <w:rFonts w:ascii="Times New Roman" w:eastAsia="Calibri" w:hAnsi="Times New Roman" w:cs="Times New Roman"/>
                <w:sz w:val="14"/>
                <w:szCs w:val="14"/>
              </w:rPr>
            </w:pPr>
            <w:r w:rsidRPr="000F25A9">
              <w:rPr>
                <w:rFonts w:ascii="Times New Roman" w:eastAsia="Calibri" w:hAnsi="Times New Roman" w:cs="Times New Roman"/>
                <w:sz w:val="14"/>
                <w:szCs w:val="14"/>
              </w:rPr>
              <w:t>Rezerva na prostriedky EÚ a odvody do EÚ</w:t>
            </w:r>
          </w:p>
        </w:tc>
        <w:tc>
          <w:tcPr>
            <w:tcW w:w="1250" w:type="pct"/>
            <w:tcMar>
              <w:top w:w="0" w:type="dxa"/>
              <w:left w:w="70" w:type="dxa"/>
              <w:bottom w:w="0" w:type="dxa"/>
              <w:right w:w="70" w:type="dxa"/>
            </w:tcMar>
            <w:vAlign w:val="center"/>
            <w:hideMark/>
          </w:tcPr>
          <w:p w:rsidR="005C5842" w:rsidRPr="00062677" w:rsidRDefault="005C5842" w:rsidP="009A178E">
            <w:pPr>
              <w:jc w:val="right"/>
              <w:rPr>
                <w:rFonts w:ascii="Times New Roman" w:eastAsia="Calibri" w:hAnsi="Times New Roman" w:cs="Times New Roman"/>
                <w:sz w:val="14"/>
                <w:szCs w:val="14"/>
              </w:rPr>
            </w:pPr>
            <w:r w:rsidRPr="00062677">
              <w:rPr>
                <w:rFonts w:ascii="Times New Roman" w:eastAsia="Calibri" w:hAnsi="Times New Roman" w:cs="Times New Roman"/>
                <w:sz w:val="14"/>
                <w:szCs w:val="14"/>
              </w:rPr>
              <w:t>130 206 017,00</w:t>
            </w:r>
          </w:p>
        </w:tc>
        <w:tc>
          <w:tcPr>
            <w:tcW w:w="1174" w:type="pct"/>
            <w:tcMar>
              <w:top w:w="0" w:type="dxa"/>
              <w:left w:w="70" w:type="dxa"/>
              <w:bottom w:w="0" w:type="dxa"/>
              <w:right w:w="70" w:type="dxa"/>
            </w:tcMar>
            <w:vAlign w:val="center"/>
          </w:tcPr>
          <w:p w:rsidR="005C5842" w:rsidRPr="0026326A" w:rsidRDefault="005C5842" w:rsidP="009A178E">
            <w:pPr>
              <w:jc w:val="right"/>
              <w:rPr>
                <w:rFonts w:ascii="Times New Roman" w:eastAsia="Calibri" w:hAnsi="Times New Roman" w:cs="Times New Roman"/>
                <w:sz w:val="14"/>
                <w:szCs w:val="14"/>
              </w:rPr>
            </w:pPr>
            <w:r w:rsidRPr="0026326A">
              <w:rPr>
                <w:rFonts w:ascii="Times New Roman" w:eastAsia="Calibri" w:hAnsi="Times New Roman" w:cs="Times New Roman"/>
                <w:sz w:val="14"/>
                <w:szCs w:val="14"/>
              </w:rPr>
              <w:t>79 985 625,89</w:t>
            </w:r>
          </w:p>
        </w:tc>
        <w:tc>
          <w:tcPr>
            <w:tcW w:w="1326" w:type="pct"/>
            <w:tcMar>
              <w:top w:w="0" w:type="dxa"/>
              <w:left w:w="70" w:type="dxa"/>
              <w:bottom w:w="0" w:type="dxa"/>
              <w:right w:w="70" w:type="dxa"/>
            </w:tcMar>
            <w:vAlign w:val="bottom"/>
          </w:tcPr>
          <w:p w:rsidR="005C5842" w:rsidRPr="0026326A" w:rsidRDefault="005C5842" w:rsidP="009A178E">
            <w:pPr>
              <w:jc w:val="right"/>
              <w:rPr>
                <w:rFonts w:ascii="Times New Roman" w:eastAsia="Calibri" w:hAnsi="Times New Roman" w:cs="Times New Roman"/>
                <w:sz w:val="14"/>
                <w:szCs w:val="14"/>
              </w:rPr>
            </w:pPr>
            <w:r w:rsidRPr="0026326A">
              <w:rPr>
                <w:rFonts w:ascii="Times New Roman" w:eastAsia="Calibri" w:hAnsi="Times New Roman" w:cs="Times New Roman"/>
                <w:sz w:val="14"/>
                <w:szCs w:val="14"/>
              </w:rPr>
              <w:t>50 220 391,11</w:t>
            </w:r>
          </w:p>
        </w:tc>
      </w:tr>
    </w:tbl>
    <w:p w:rsidR="005C5842" w:rsidRPr="000F25A9" w:rsidRDefault="005C5842" w:rsidP="005C5842">
      <w:pPr>
        <w:rPr>
          <w:rFonts w:ascii="Times New Roman" w:hAnsi="Times New Roman"/>
          <w:sz w:val="14"/>
          <w:szCs w:val="14"/>
        </w:rPr>
      </w:pPr>
      <w:r w:rsidRPr="000F25A9">
        <w:rPr>
          <w:rFonts w:ascii="Times New Roman" w:hAnsi="Times New Roman"/>
          <w:sz w:val="14"/>
          <w:szCs w:val="14"/>
        </w:rPr>
        <w:t>* vrátane nevyčerpaného zostatku z roku 201</w:t>
      </w:r>
      <w:r>
        <w:rPr>
          <w:rFonts w:ascii="Times New Roman" w:hAnsi="Times New Roman"/>
          <w:sz w:val="14"/>
          <w:szCs w:val="14"/>
        </w:rPr>
        <w:t>6</w:t>
      </w:r>
      <w:r w:rsidRPr="000F25A9">
        <w:rPr>
          <w:rFonts w:ascii="Times New Roman" w:hAnsi="Times New Roman"/>
          <w:sz w:val="14"/>
          <w:szCs w:val="14"/>
        </w:rPr>
        <w:t xml:space="preserve"> a 201</w:t>
      </w:r>
      <w:r>
        <w:rPr>
          <w:rFonts w:ascii="Times New Roman" w:hAnsi="Times New Roman"/>
          <w:sz w:val="14"/>
          <w:szCs w:val="14"/>
        </w:rPr>
        <w:t>7</w:t>
      </w:r>
    </w:p>
    <w:p w:rsidR="005C5842" w:rsidRPr="007E544D" w:rsidRDefault="005C5842" w:rsidP="005C5842">
      <w:pPr>
        <w:rPr>
          <w:rFonts w:ascii="Times New Roman" w:eastAsia="Calibri" w:hAnsi="Times New Roman" w:cs="Times New Roman"/>
        </w:rPr>
      </w:pPr>
    </w:p>
    <w:p w:rsidR="005C5842" w:rsidRPr="007A751B" w:rsidRDefault="005C5842" w:rsidP="005C5842">
      <w:pPr>
        <w:jc w:val="both"/>
        <w:rPr>
          <w:rFonts w:ascii="Times New Roman" w:hAnsi="Times New Roman" w:cs="Times New Roman"/>
          <w:i/>
          <w:u w:val="single"/>
        </w:rPr>
      </w:pPr>
      <w:r w:rsidRPr="007A751B">
        <w:rPr>
          <w:rFonts w:ascii="Times New Roman" w:hAnsi="Times New Roman" w:cs="Times New Roman"/>
          <w:i/>
          <w:u w:val="single"/>
        </w:rPr>
        <w:t>Rada pre vysielanie a retransmisiu (RVR)</w:t>
      </w:r>
    </w:p>
    <w:p w:rsidR="005C5842" w:rsidRPr="007A751B" w:rsidRDefault="005C5842" w:rsidP="005C5842">
      <w:pPr>
        <w:jc w:val="both"/>
        <w:rPr>
          <w:rFonts w:ascii="Times New Roman" w:hAnsi="Times New Roman" w:cs="Times New Roman"/>
        </w:rPr>
      </w:pPr>
    </w:p>
    <w:p w:rsidR="005C5842" w:rsidRPr="007A751B" w:rsidRDefault="005C5842" w:rsidP="005C5842">
      <w:pPr>
        <w:ind w:firstLine="720"/>
        <w:jc w:val="both"/>
        <w:rPr>
          <w:rFonts w:ascii="Times New Roman" w:eastAsia="Calibri" w:hAnsi="Times New Roman" w:cs="Times New Roman"/>
        </w:rPr>
      </w:pPr>
      <w:r w:rsidRPr="007A751B">
        <w:rPr>
          <w:rFonts w:ascii="Times New Roman" w:eastAsia="Calibri" w:hAnsi="Times New Roman" w:cs="Times New Roman"/>
        </w:rPr>
        <w:t xml:space="preserve">Celkové výdavky RVR sú rozpočtované vo výške 1,44 mil. eur. V porovnaní </w:t>
      </w:r>
      <w:r w:rsidRPr="007A751B">
        <w:rPr>
          <w:rFonts w:ascii="Times New Roman" w:eastAsia="Calibri" w:hAnsi="Times New Roman" w:cs="Times New Roman"/>
        </w:rPr>
        <w:br/>
        <w:t xml:space="preserve">so schváleným rozpočtom na rok 2018 dochádza v roku 2019 k nárastu výdavkov </w:t>
      </w:r>
      <w:r w:rsidRPr="007A751B">
        <w:rPr>
          <w:rFonts w:ascii="Times New Roman" w:eastAsia="Calibri" w:hAnsi="Times New Roman" w:cs="Times New Roman"/>
        </w:rPr>
        <w:br/>
        <w:t xml:space="preserve">o 56,8 tis. eur, t. j. </w:t>
      </w:r>
      <w:r w:rsidR="00C017E3">
        <w:rPr>
          <w:rFonts w:ascii="Times New Roman" w:eastAsia="Calibri" w:hAnsi="Times New Roman" w:cs="Times New Roman"/>
        </w:rPr>
        <w:t xml:space="preserve">o </w:t>
      </w:r>
      <w:r w:rsidRPr="007A751B">
        <w:rPr>
          <w:rFonts w:ascii="Times New Roman" w:eastAsia="Calibri" w:hAnsi="Times New Roman" w:cs="Times New Roman"/>
        </w:rPr>
        <w:t>4,11 %.</w:t>
      </w:r>
    </w:p>
    <w:p w:rsidR="005C5842" w:rsidRPr="007A751B" w:rsidRDefault="005C5842" w:rsidP="005C5842">
      <w:pPr>
        <w:ind w:firstLine="720"/>
        <w:jc w:val="both"/>
        <w:rPr>
          <w:rFonts w:ascii="Times New Roman" w:eastAsia="Calibri" w:hAnsi="Times New Roman" w:cs="Times New Roman"/>
        </w:rPr>
      </w:pPr>
    </w:p>
    <w:p w:rsidR="005C5842" w:rsidRPr="007A751B" w:rsidRDefault="005C5842" w:rsidP="005C5842">
      <w:pPr>
        <w:ind w:firstLine="720"/>
        <w:jc w:val="both"/>
        <w:rPr>
          <w:rFonts w:ascii="Times New Roman" w:eastAsia="Calibri" w:hAnsi="Times New Roman" w:cs="Times New Roman"/>
        </w:rPr>
      </w:pPr>
      <w:r w:rsidRPr="007A751B">
        <w:rPr>
          <w:rFonts w:ascii="Times New Roman" w:eastAsia="Calibri" w:hAnsi="Times New Roman" w:cs="Times New Roman"/>
        </w:rPr>
        <w:t xml:space="preserve">Osobné výdavky sa navrhujú vo výške 875 tis. eur. Nárast osobných výdavkov </w:t>
      </w:r>
      <w:r w:rsidR="00C017E3">
        <w:rPr>
          <w:rFonts w:ascii="Times New Roman" w:eastAsia="Calibri" w:hAnsi="Times New Roman" w:cs="Times New Roman"/>
        </w:rPr>
        <w:br/>
      </w:r>
      <w:r w:rsidRPr="007A751B">
        <w:rPr>
          <w:rFonts w:ascii="Times New Roman" w:eastAsia="Calibri" w:hAnsi="Times New Roman" w:cs="Times New Roman"/>
        </w:rPr>
        <w:t xml:space="preserve">o 38,4 tis. eur, t. j. </w:t>
      </w:r>
      <w:r w:rsidR="00C017E3">
        <w:rPr>
          <w:rFonts w:ascii="Times New Roman" w:eastAsia="Calibri" w:hAnsi="Times New Roman" w:cs="Times New Roman"/>
        </w:rPr>
        <w:t xml:space="preserve">o </w:t>
      </w:r>
      <w:r w:rsidRPr="007A751B">
        <w:rPr>
          <w:rFonts w:ascii="Times New Roman" w:eastAsia="Calibri" w:hAnsi="Times New Roman" w:cs="Times New Roman"/>
        </w:rPr>
        <w:t>4,59 % je spôsobený najmä zohľadnením valorizácie platov z roku 2018.</w:t>
      </w:r>
    </w:p>
    <w:p w:rsidR="005C5842" w:rsidRPr="007A751B" w:rsidRDefault="005C5842" w:rsidP="005C5842">
      <w:pPr>
        <w:ind w:firstLine="720"/>
        <w:jc w:val="both"/>
        <w:rPr>
          <w:rFonts w:ascii="Times New Roman" w:eastAsia="Calibri" w:hAnsi="Times New Roman" w:cs="Times New Roman"/>
        </w:rPr>
      </w:pPr>
    </w:p>
    <w:p w:rsidR="005C5842" w:rsidRPr="007A751B" w:rsidRDefault="005C5842" w:rsidP="005C5842">
      <w:pPr>
        <w:ind w:firstLine="720"/>
        <w:jc w:val="both"/>
        <w:rPr>
          <w:rFonts w:ascii="Times New Roman" w:eastAsia="Calibri" w:hAnsi="Times New Roman" w:cs="Times New Roman"/>
        </w:rPr>
      </w:pPr>
      <w:r w:rsidRPr="007A751B">
        <w:rPr>
          <w:rFonts w:ascii="Times New Roman" w:eastAsia="Calibri" w:hAnsi="Times New Roman" w:cs="Times New Roman"/>
        </w:rPr>
        <w:t xml:space="preserve">Výdavky na tovary a služby sa rozpočtujú v sume 555 tis. eur, čo je oproti schválenému rozpočtu na rok 2018 viac o 17,3 tis. eur, t. j. 3,22 %. Medziročnú zmenu ovplyvnilo rozpočtovanie výdavkov na zriadenie medzinárodného sekretariátu pre účely zahraničnej agendy. V rámci tovarov a služieb sa rozpočtujú aj odmeny členov RVR. </w:t>
      </w:r>
    </w:p>
    <w:p w:rsidR="005C5842" w:rsidRPr="007A751B" w:rsidRDefault="005C5842" w:rsidP="005C5842">
      <w:pPr>
        <w:ind w:firstLine="708"/>
        <w:jc w:val="both"/>
        <w:rPr>
          <w:rFonts w:ascii="Times New Roman" w:eastAsia="Calibri" w:hAnsi="Times New Roman" w:cs="Times New Roman"/>
        </w:rPr>
      </w:pPr>
    </w:p>
    <w:p w:rsidR="005C5842" w:rsidRDefault="005C5842" w:rsidP="005C5842">
      <w:pPr>
        <w:ind w:firstLine="708"/>
        <w:jc w:val="both"/>
        <w:rPr>
          <w:rFonts w:ascii="Times New Roman" w:eastAsia="Calibri" w:hAnsi="Times New Roman" w:cs="Times New Roman"/>
        </w:rPr>
      </w:pPr>
      <w:r w:rsidRPr="007A751B">
        <w:rPr>
          <w:rFonts w:ascii="Times New Roman" w:eastAsia="Calibri" w:hAnsi="Times New Roman" w:cs="Times New Roman"/>
        </w:rPr>
        <w:t xml:space="preserve">Bežné transfery sú rozpočtované v sume 10,4 tis. eur, medziročne rastú o 1,18 tis. eur, t. j. rastú o 12,8 % z dôvodu zvýšenia výdavkov na odchodné. </w:t>
      </w:r>
    </w:p>
    <w:p w:rsidR="005C5842" w:rsidRPr="007A751B" w:rsidRDefault="005C5842" w:rsidP="005C5842">
      <w:pPr>
        <w:ind w:firstLine="708"/>
        <w:jc w:val="both"/>
        <w:rPr>
          <w:rFonts w:ascii="Times New Roman" w:eastAsia="Calibri" w:hAnsi="Times New Roman" w:cs="Times New Roman"/>
        </w:rPr>
      </w:pPr>
    </w:p>
    <w:p w:rsidR="005C5842" w:rsidRPr="007607C5" w:rsidRDefault="005C5842" w:rsidP="005C5842">
      <w:pPr>
        <w:ind w:firstLine="708"/>
        <w:jc w:val="both"/>
        <w:rPr>
          <w:rFonts w:ascii="Times New Roman" w:eastAsia="Calibri" w:hAnsi="Times New Roman" w:cs="Times New Roman"/>
        </w:rPr>
      </w:pPr>
    </w:p>
    <w:p w:rsidR="005C5842" w:rsidRPr="007A751B" w:rsidRDefault="005C5842" w:rsidP="005C5842">
      <w:pPr>
        <w:jc w:val="both"/>
        <w:rPr>
          <w:rFonts w:ascii="Times New Roman" w:hAnsi="Times New Roman" w:cs="Times New Roman"/>
          <w:i/>
          <w:u w:val="single"/>
        </w:rPr>
      </w:pPr>
      <w:r w:rsidRPr="007A751B">
        <w:rPr>
          <w:rFonts w:ascii="Times New Roman" w:hAnsi="Times New Roman" w:cs="Times New Roman"/>
          <w:i/>
          <w:u w:val="single"/>
        </w:rPr>
        <w:lastRenderedPageBreak/>
        <w:t>Kancelária verejného ochrancu práv (KVOP)</w:t>
      </w:r>
    </w:p>
    <w:p w:rsidR="005C5842" w:rsidRPr="007A751B" w:rsidRDefault="005C5842" w:rsidP="005C5842">
      <w:pPr>
        <w:jc w:val="both"/>
        <w:rPr>
          <w:rFonts w:ascii="Times New Roman" w:hAnsi="Times New Roman" w:cs="Times New Roman"/>
        </w:rPr>
      </w:pPr>
    </w:p>
    <w:p w:rsidR="005C5842" w:rsidRPr="007A751B" w:rsidRDefault="005C5842" w:rsidP="005C5842">
      <w:pPr>
        <w:ind w:firstLine="708"/>
        <w:jc w:val="both"/>
        <w:rPr>
          <w:rFonts w:ascii="Times New Roman" w:eastAsia="Calibri" w:hAnsi="Times New Roman" w:cs="Times New Roman"/>
        </w:rPr>
      </w:pPr>
      <w:r w:rsidRPr="007A751B">
        <w:rPr>
          <w:rFonts w:ascii="Times New Roman" w:eastAsia="Calibri" w:hAnsi="Times New Roman" w:cs="Times New Roman"/>
        </w:rPr>
        <w:t xml:space="preserve">Na rok 2019 sa pre organizáciu navrhuje limit výdavkov vo výške 1,70 mil. eur, čo je v porovnaní so schváleným rozpočtom na rok 2018 viac o 169 tis. eur, t. j. </w:t>
      </w:r>
      <w:r w:rsidR="00C017E3">
        <w:rPr>
          <w:rFonts w:ascii="Times New Roman" w:eastAsia="Calibri" w:hAnsi="Times New Roman" w:cs="Times New Roman"/>
        </w:rPr>
        <w:t>o</w:t>
      </w:r>
      <w:r w:rsidRPr="007A751B">
        <w:rPr>
          <w:rFonts w:ascii="Times New Roman" w:eastAsia="Calibri" w:hAnsi="Times New Roman" w:cs="Times New Roman"/>
        </w:rPr>
        <w:t xml:space="preserve"> 11,0 %. </w:t>
      </w:r>
    </w:p>
    <w:p w:rsidR="005C5842" w:rsidRPr="007A751B" w:rsidRDefault="005C5842" w:rsidP="005C5842">
      <w:pPr>
        <w:ind w:firstLine="708"/>
        <w:jc w:val="both"/>
        <w:rPr>
          <w:rFonts w:ascii="Times New Roman" w:eastAsia="Calibri" w:hAnsi="Times New Roman" w:cs="Times New Roman"/>
        </w:rPr>
      </w:pPr>
    </w:p>
    <w:p w:rsidR="005C5842" w:rsidRPr="007A751B" w:rsidRDefault="005C5842" w:rsidP="005C5842">
      <w:pPr>
        <w:ind w:firstLine="708"/>
        <w:jc w:val="both"/>
        <w:rPr>
          <w:rFonts w:ascii="Times New Roman" w:eastAsia="Calibri" w:hAnsi="Times New Roman" w:cs="Times New Roman"/>
        </w:rPr>
      </w:pPr>
      <w:r w:rsidRPr="007A751B">
        <w:rPr>
          <w:rFonts w:ascii="Times New Roman" w:eastAsia="Calibri" w:hAnsi="Times New Roman" w:cs="Times New Roman"/>
        </w:rPr>
        <w:t xml:space="preserve">Objem osobných výdavkov sa na rok 2019 rozpočtuje v sume 1,16 mil. eur, čo  v porovnaní so schváleným rozpočtom na rok 2018 predstavuje nárast o 49,7 tis. eur, t. j. </w:t>
      </w:r>
      <w:r w:rsidRPr="007A751B">
        <w:rPr>
          <w:rFonts w:ascii="Times New Roman" w:eastAsia="Calibri" w:hAnsi="Times New Roman" w:cs="Times New Roman"/>
        </w:rPr>
        <w:br/>
        <w:t>rast o 4,47 %. Tento nárast je spôsobený premietnutím valorizácie platov z roku 2018.</w:t>
      </w:r>
    </w:p>
    <w:p w:rsidR="005C5842" w:rsidRPr="007A751B" w:rsidRDefault="005C5842" w:rsidP="005C5842">
      <w:pPr>
        <w:ind w:firstLine="708"/>
        <w:jc w:val="both"/>
        <w:rPr>
          <w:rFonts w:ascii="Times New Roman" w:eastAsia="Calibri" w:hAnsi="Times New Roman" w:cs="Times New Roman"/>
        </w:rPr>
      </w:pPr>
    </w:p>
    <w:p w:rsidR="005C5842" w:rsidRPr="007A751B" w:rsidRDefault="005C5842" w:rsidP="005C5842">
      <w:pPr>
        <w:ind w:firstLine="708"/>
        <w:jc w:val="both"/>
        <w:rPr>
          <w:rFonts w:ascii="Times New Roman" w:eastAsia="Calibri" w:hAnsi="Times New Roman" w:cs="Times New Roman"/>
        </w:rPr>
      </w:pPr>
      <w:r w:rsidRPr="007A751B">
        <w:rPr>
          <w:rFonts w:ascii="Times New Roman" w:eastAsia="Calibri" w:hAnsi="Times New Roman" w:cs="Times New Roman"/>
        </w:rPr>
        <w:t xml:space="preserve">Výdavky na tovary a služby sú na rok 2019 rozpočtované na úrovni 388 tis. eur. </w:t>
      </w:r>
    </w:p>
    <w:p w:rsidR="005C5842" w:rsidRPr="007A751B" w:rsidRDefault="005C5842" w:rsidP="005C5842">
      <w:pPr>
        <w:ind w:firstLine="708"/>
        <w:jc w:val="both"/>
        <w:rPr>
          <w:rFonts w:ascii="Times New Roman" w:eastAsia="Calibri" w:hAnsi="Times New Roman" w:cs="Times New Roman"/>
        </w:rPr>
      </w:pPr>
    </w:p>
    <w:p w:rsidR="005C5842" w:rsidRPr="007A751B" w:rsidRDefault="005C5842" w:rsidP="005C5842">
      <w:pPr>
        <w:ind w:firstLine="708"/>
        <w:jc w:val="both"/>
        <w:rPr>
          <w:rFonts w:ascii="Times New Roman" w:eastAsia="Calibri" w:hAnsi="Times New Roman" w:cs="Times New Roman"/>
        </w:rPr>
      </w:pPr>
      <w:r w:rsidRPr="007A751B">
        <w:rPr>
          <w:rFonts w:ascii="Times New Roman" w:eastAsia="Calibri" w:hAnsi="Times New Roman" w:cs="Times New Roman"/>
        </w:rPr>
        <w:t xml:space="preserve">Bežné transfery sa rozpočtujú v sume 11,3 tis. eur, čo je v porovnaní so schváleným rozpočtom na rok 2018 pokles o 6,07 tis. eur, t. j. </w:t>
      </w:r>
      <w:r w:rsidR="00C017E3">
        <w:rPr>
          <w:rFonts w:ascii="Times New Roman" w:eastAsia="Calibri" w:hAnsi="Times New Roman" w:cs="Times New Roman"/>
        </w:rPr>
        <w:t xml:space="preserve">o </w:t>
      </w:r>
      <w:r w:rsidRPr="007A751B">
        <w:rPr>
          <w:rFonts w:ascii="Times New Roman" w:eastAsia="Calibri" w:hAnsi="Times New Roman" w:cs="Times New Roman"/>
        </w:rPr>
        <w:t>35,1 %. Medziročnú zmenu ovplyvnilo najmä rozpočtovanie nižších výdavkov na odchodné.</w:t>
      </w:r>
    </w:p>
    <w:p w:rsidR="005C5842" w:rsidRPr="007A751B" w:rsidRDefault="005C5842" w:rsidP="005C5842">
      <w:pPr>
        <w:ind w:firstLine="708"/>
        <w:jc w:val="both"/>
        <w:rPr>
          <w:rFonts w:ascii="Times New Roman" w:eastAsia="Calibri" w:hAnsi="Times New Roman" w:cs="Times New Roman"/>
        </w:rPr>
      </w:pPr>
    </w:p>
    <w:p w:rsidR="005C5842" w:rsidRPr="007A751B" w:rsidRDefault="005C5842" w:rsidP="005C5842">
      <w:pPr>
        <w:ind w:firstLine="708"/>
        <w:jc w:val="both"/>
        <w:rPr>
          <w:rFonts w:ascii="Times New Roman" w:eastAsia="Calibri" w:hAnsi="Times New Roman" w:cs="Times New Roman"/>
        </w:rPr>
      </w:pPr>
      <w:r w:rsidRPr="007A751B">
        <w:rPr>
          <w:rFonts w:ascii="Times New Roman" w:eastAsia="Calibri" w:hAnsi="Times New Roman" w:cs="Times New Roman"/>
        </w:rPr>
        <w:t xml:space="preserve">Na kapitálové výdavky sa rozpočtuje suma 145 tis. eur, čo je v porovnaní so schváleným rozpočtom na rok 2018 nárast o 128 tis. eur. Medziročná zmena je ovplyvnená rozpočtovaním výdavkov na elektronický systém registratúry. </w:t>
      </w:r>
    </w:p>
    <w:p w:rsidR="005C5842" w:rsidRPr="007A751B" w:rsidRDefault="005C5842" w:rsidP="005C5842">
      <w:pPr>
        <w:ind w:firstLine="708"/>
        <w:jc w:val="both"/>
        <w:rPr>
          <w:rFonts w:ascii="Times New Roman" w:hAnsi="Times New Roman" w:cs="Times New Roman"/>
        </w:rPr>
      </w:pPr>
    </w:p>
    <w:p w:rsidR="005C5842" w:rsidRPr="007A751B" w:rsidRDefault="005C5842" w:rsidP="005C5842">
      <w:pPr>
        <w:rPr>
          <w:rFonts w:ascii="Times New Roman" w:hAnsi="Times New Roman" w:cs="Times New Roman"/>
          <w:i/>
          <w:u w:val="single"/>
        </w:rPr>
      </w:pPr>
      <w:r w:rsidRPr="007A751B">
        <w:rPr>
          <w:rFonts w:ascii="Times New Roman" w:hAnsi="Times New Roman" w:cs="Times New Roman"/>
          <w:i/>
          <w:u w:val="single"/>
        </w:rPr>
        <w:t>Úrad na ochranu osobných údajov SR (ÚOOÚ SR)</w:t>
      </w:r>
    </w:p>
    <w:p w:rsidR="005C5842" w:rsidRPr="007A751B" w:rsidRDefault="005C5842" w:rsidP="005C5842">
      <w:pPr>
        <w:rPr>
          <w:rFonts w:ascii="Times New Roman" w:hAnsi="Times New Roman" w:cs="Times New Roman"/>
          <w:i/>
          <w:u w:val="single"/>
        </w:rPr>
      </w:pPr>
    </w:p>
    <w:p w:rsidR="005C5842" w:rsidRPr="007A751B" w:rsidRDefault="005C5842" w:rsidP="005C5842">
      <w:pPr>
        <w:ind w:firstLine="708"/>
        <w:jc w:val="both"/>
        <w:rPr>
          <w:rFonts w:ascii="Times New Roman" w:eastAsia="Calibri" w:hAnsi="Times New Roman" w:cs="Times New Roman"/>
        </w:rPr>
      </w:pPr>
      <w:r w:rsidRPr="007A751B">
        <w:rPr>
          <w:rFonts w:ascii="Times New Roman" w:eastAsia="Calibri" w:hAnsi="Times New Roman" w:cs="Times New Roman"/>
        </w:rPr>
        <w:t xml:space="preserve">Na rok 2019 sa pre organizáciu navrhuje limit výdavkov vo výške 1,44 mil. eur, čo je v porovnaní so schváleným rozpočtom na rok 2018 viac o 279 tis. eur, t. j. </w:t>
      </w:r>
      <w:r w:rsidR="00C017E3">
        <w:rPr>
          <w:rFonts w:ascii="Times New Roman" w:eastAsia="Calibri" w:hAnsi="Times New Roman" w:cs="Times New Roman"/>
        </w:rPr>
        <w:t xml:space="preserve">o </w:t>
      </w:r>
      <w:r w:rsidRPr="007A751B">
        <w:rPr>
          <w:rFonts w:ascii="Times New Roman" w:eastAsia="Calibri" w:hAnsi="Times New Roman" w:cs="Times New Roman"/>
        </w:rPr>
        <w:t>23,9 %.</w:t>
      </w:r>
    </w:p>
    <w:p w:rsidR="005C5842" w:rsidRPr="007A751B" w:rsidRDefault="005C5842" w:rsidP="005C5842">
      <w:pPr>
        <w:ind w:firstLine="708"/>
        <w:jc w:val="both"/>
        <w:rPr>
          <w:rFonts w:ascii="Times New Roman" w:eastAsia="Calibri" w:hAnsi="Times New Roman" w:cs="Times New Roman"/>
        </w:rPr>
      </w:pPr>
    </w:p>
    <w:p w:rsidR="005C5842" w:rsidRPr="007A751B" w:rsidRDefault="005C5842" w:rsidP="005C5842">
      <w:pPr>
        <w:ind w:firstLine="708"/>
        <w:jc w:val="both"/>
        <w:rPr>
          <w:rFonts w:ascii="Times New Roman" w:eastAsia="Calibri" w:hAnsi="Times New Roman" w:cs="Times New Roman"/>
        </w:rPr>
      </w:pPr>
      <w:r w:rsidRPr="007A751B">
        <w:rPr>
          <w:rFonts w:ascii="Times New Roman" w:eastAsia="Calibri" w:hAnsi="Times New Roman" w:cs="Times New Roman"/>
        </w:rPr>
        <w:t xml:space="preserve">Objem osobných výdavkov sa na rok 2019 rozpočtuje v sume 1,19 mil. eur, </w:t>
      </w:r>
      <w:r w:rsidRPr="007A751B">
        <w:rPr>
          <w:rFonts w:ascii="Times New Roman" w:eastAsia="Calibri" w:hAnsi="Times New Roman" w:cs="Times New Roman"/>
        </w:rPr>
        <w:br/>
        <w:t xml:space="preserve">čo v porovnaní so schváleným rozpočtom na rok 2018 predstavuje nárast o 279 tis. eur, t. j. </w:t>
      </w:r>
      <w:r w:rsidRPr="007A751B">
        <w:rPr>
          <w:rFonts w:ascii="Times New Roman" w:eastAsia="Calibri" w:hAnsi="Times New Roman" w:cs="Times New Roman"/>
        </w:rPr>
        <w:br/>
        <w:t xml:space="preserve">30,6 %. Tento nárast je spôsobený premietnutím valorizácie platov z roku 2018 v sume </w:t>
      </w:r>
      <w:r w:rsidR="00C017E3">
        <w:rPr>
          <w:rFonts w:ascii="Times New Roman" w:eastAsia="Calibri" w:hAnsi="Times New Roman" w:cs="Times New Roman"/>
        </w:rPr>
        <w:br/>
      </w:r>
      <w:r w:rsidRPr="007A751B">
        <w:rPr>
          <w:rFonts w:ascii="Times New Roman" w:eastAsia="Calibri" w:hAnsi="Times New Roman" w:cs="Times New Roman"/>
        </w:rPr>
        <w:t>43,6 tis. eur, zohľadnením osobných výdavkov pre 3 zamestnancov nového odboru pre akreditáciu v sume 71,4 tis. eur a posilnenie odmeňovania a prijatie nových právnikov v sume 164 tis. eur.</w:t>
      </w:r>
    </w:p>
    <w:p w:rsidR="005C5842" w:rsidRPr="007A751B" w:rsidRDefault="005C5842" w:rsidP="005C5842">
      <w:pPr>
        <w:ind w:firstLine="708"/>
        <w:jc w:val="both"/>
        <w:rPr>
          <w:rFonts w:ascii="Times New Roman" w:eastAsia="Calibri" w:hAnsi="Times New Roman" w:cs="Times New Roman"/>
        </w:rPr>
      </w:pPr>
    </w:p>
    <w:p w:rsidR="005C5842" w:rsidRPr="007A751B" w:rsidRDefault="005C5842" w:rsidP="005C5842">
      <w:pPr>
        <w:ind w:firstLine="708"/>
        <w:jc w:val="both"/>
        <w:rPr>
          <w:rFonts w:ascii="Times New Roman" w:eastAsia="Calibri" w:hAnsi="Times New Roman" w:cs="Times New Roman"/>
        </w:rPr>
      </w:pPr>
      <w:r w:rsidRPr="007A751B">
        <w:rPr>
          <w:rFonts w:ascii="Times New Roman" w:eastAsia="Calibri" w:hAnsi="Times New Roman" w:cs="Times New Roman"/>
        </w:rPr>
        <w:t>Výdavky na tovary a služby sú na rok 2019 rozpočtované na úrovni predošlého roka, t. j. v objeme 248 tis. eur.</w:t>
      </w:r>
    </w:p>
    <w:p w:rsidR="005C5842" w:rsidRPr="007A751B" w:rsidRDefault="005C5842" w:rsidP="005C5842">
      <w:pPr>
        <w:ind w:firstLine="708"/>
        <w:jc w:val="both"/>
        <w:rPr>
          <w:rFonts w:ascii="Times New Roman" w:eastAsia="Calibri" w:hAnsi="Times New Roman" w:cs="Times New Roman"/>
        </w:rPr>
      </w:pPr>
    </w:p>
    <w:p w:rsidR="005C5842" w:rsidRPr="007A751B" w:rsidRDefault="005C5842" w:rsidP="005C5842">
      <w:pPr>
        <w:ind w:firstLine="708"/>
        <w:jc w:val="both"/>
        <w:rPr>
          <w:rFonts w:ascii="Times New Roman" w:eastAsia="Calibri" w:hAnsi="Times New Roman" w:cs="Times New Roman"/>
        </w:rPr>
      </w:pPr>
      <w:r w:rsidRPr="007A751B">
        <w:rPr>
          <w:rFonts w:ascii="Times New Roman" w:eastAsia="Calibri" w:hAnsi="Times New Roman" w:cs="Times New Roman"/>
        </w:rPr>
        <w:t xml:space="preserve">Výdavky na bežné transfery sú na rok 2019 rozpočtované v sume 5,00 tis. eur a medziročne sa nemenia. </w:t>
      </w:r>
    </w:p>
    <w:p w:rsidR="005C5842" w:rsidRPr="007A751B" w:rsidRDefault="005C5842" w:rsidP="005C5842">
      <w:pPr>
        <w:ind w:firstLine="708"/>
        <w:jc w:val="both"/>
        <w:rPr>
          <w:rFonts w:ascii="Times New Roman" w:eastAsia="Calibri" w:hAnsi="Times New Roman" w:cs="Times New Roman"/>
        </w:rPr>
      </w:pPr>
    </w:p>
    <w:p w:rsidR="005C5842" w:rsidRPr="007A751B" w:rsidRDefault="005C5842" w:rsidP="005C5842">
      <w:pPr>
        <w:ind w:firstLine="708"/>
        <w:jc w:val="both"/>
        <w:rPr>
          <w:rFonts w:ascii="Times New Roman" w:eastAsia="Calibri" w:hAnsi="Times New Roman" w:cs="Times New Roman"/>
        </w:rPr>
      </w:pPr>
      <w:r w:rsidRPr="007A751B">
        <w:rPr>
          <w:rFonts w:ascii="Times New Roman" w:eastAsia="Calibri" w:hAnsi="Times New Roman" w:cs="Times New Roman"/>
        </w:rPr>
        <w:t>Kapitálové výdavky sa na rok 2019 nerozpočtujú.</w:t>
      </w:r>
    </w:p>
    <w:p w:rsidR="005C5842" w:rsidRPr="007A751B" w:rsidRDefault="005C5842" w:rsidP="005C5842">
      <w:pPr>
        <w:ind w:firstLine="708"/>
        <w:jc w:val="both"/>
        <w:rPr>
          <w:rFonts w:ascii="Times New Roman" w:eastAsia="Calibri" w:hAnsi="Times New Roman" w:cs="Times New Roman"/>
        </w:rPr>
      </w:pPr>
    </w:p>
    <w:p w:rsidR="005C5842" w:rsidRPr="007A751B" w:rsidRDefault="005C5842" w:rsidP="005C5842">
      <w:pPr>
        <w:jc w:val="both"/>
        <w:rPr>
          <w:rFonts w:ascii="Times New Roman" w:hAnsi="Times New Roman" w:cs="Times New Roman"/>
          <w:i/>
          <w:u w:val="single"/>
        </w:rPr>
      </w:pPr>
      <w:r w:rsidRPr="007A751B">
        <w:rPr>
          <w:rFonts w:ascii="Times New Roman" w:hAnsi="Times New Roman" w:cs="Times New Roman"/>
          <w:i/>
          <w:u w:val="single"/>
        </w:rPr>
        <w:t xml:space="preserve">Ústav pamäti národa (ÚPN) </w:t>
      </w:r>
    </w:p>
    <w:p w:rsidR="005C5842" w:rsidRPr="007A751B" w:rsidRDefault="005C5842" w:rsidP="005C5842">
      <w:pPr>
        <w:ind w:firstLine="709"/>
        <w:jc w:val="both"/>
        <w:rPr>
          <w:rFonts w:ascii="Times New Roman" w:hAnsi="Times New Roman"/>
        </w:rPr>
      </w:pPr>
    </w:p>
    <w:p w:rsidR="005C5842" w:rsidRPr="007A751B" w:rsidRDefault="005C5842" w:rsidP="005C5842">
      <w:pPr>
        <w:ind w:firstLine="709"/>
        <w:jc w:val="both"/>
        <w:rPr>
          <w:rFonts w:ascii="Times New Roman" w:hAnsi="Times New Roman"/>
        </w:rPr>
      </w:pPr>
      <w:r w:rsidRPr="007A751B">
        <w:rPr>
          <w:rFonts w:ascii="Times New Roman" w:hAnsi="Times New Roman"/>
        </w:rPr>
        <w:t xml:space="preserve">Transfer na činnosť verejnoprávnej ustanovizne ÚPN na rok 2019 je rozpočtovaný v sume 1,92 mil. eur, čo je oproti schválenému rozpočtu na rok 2018 viac o 244 tis. eur, t. j. o 14,6 %. Medziročnú zmenu ovplyvnila najmä valorizácia platov z roku 2018 vo výške </w:t>
      </w:r>
      <w:r w:rsidR="00C017E3">
        <w:rPr>
          <w:rFonts w:ascii="Times New Roman" w:hAnsi="Times New Roman"/>
        </w:rPr>
        <w:br/>
      </w:r>
      <w:r w:rsidRPr="007A751B">
        <w:rPr>
          <w:rFonts w:ascii="Times New Roman" w:hAnsi="Times New Roman"/>
        </w:rPr>
        <w:t>52,8 tis. eur, navýšenie osobných výdavkov na stabilizáciu zamestnancov vo výške 120 tis. eur a premietnutie výdavkov na nový automobil a na predsedníctvo siete úradov v sume 50 tis. eur.</w:t>
      </w:r>
    </w:p>
    <w:p w:rsidR="005C5842" w:rsidRPr="007A751B" w:rsidRDefault="005C5842" w:rsidP="005C5842">
      <w:pPr>
        <w:jc w:val="both"/>
        <w:rPr>
          <w:rFonts w:ascii="Times New Roman" w:hAnsi="Times New Roman" w:cs="Times New Roman"/>
          <w:i/>
          <w:u w:val="single"/>
        </w:rPr>
      </w:pPr>
    </w:p>
    <w:p w:rsidR="005C5842" w:rsidRPr="007A751B" w:rsidRDefault="005C5842" w:rsidP="005C5842">
      <w:pPr>
        <w:jc w:val="both"/>
        <w:rPr>
          <w:rFonts w:ascii="Times New Roman" w:hAnsi="Times New Roman" w:cs="Times New Roman"/>
          <w:i/>
          <w:iCs/>
          <w:u w:val="single"/>
        </w:rPr>
      </w:pPr>
      <w:r w:rsidRPr="007A751B">
        <w:rPr>
          <w:rFonts w:ascii="Times New Roman" w:hAnsi="Times New Roman" w:cs="Times New Roman"/>
          <w:i/>
          <w:iCs/>
          <w:u w:val="single"/>
        </w:rPr>
        <w:t>Slovenské národné stredisko pre ľudské práva (SNSĽP)</w:t>
      </w:r>
    </w:p>
    <w:p w:rsidR="005C5842" w:rsidRPr="007A751B" w:rsidRDefault="005C5842" w:rsidP="005C5842">
      <w:pPr>
        <w:jc w:val="both"/>
        <w:rPr>
          <w:rFonts w:ascii="Times New Roman" w:hAnsi="Times New Roman" w:cs="Times New Roman"/>
        </w:rPr>
      </w:pPr>
    </w:p>
    <w:p w:rsidR="005C5842" w:rsidRPr="007A751B" w:rsidRDefault="005C5842" w:rsidP="005C5842">
      <w:pPr>
        <w:ind w:firstLine="708"/>
        <w:jc w:val="both"/>
        <w:rPr>
          <w:rFonts w:ascii="Times New Roman" w:hAnsi="Times New Roman" w:cs="Times New Roman"/>
        </w:rPr>
      </w:pPr>
      <w:r w:rsidRPr="007A751B">
        <w:rPr>
          <w:rFonts w:ascii="Times New Roman" w:hAnsi="Times New Roman" w:cs="Times New Roman"/>
        </w:rPr>
        <w:t xml:space="preserve">Transfer na činnosť pre nezávislú právnickú osobu Slovenské národné stredisko </w:t>
      </w:r>
      <w:r>
        <w:rPr>
          <w:rFonts w:ascii="Times New Roman" w:hAnsi="Times New Roman" w:cs="Times New Roman"/>
        </w:rPr>
        <w:t>pre </w:t>
      </w:r>
      <w:r w:rsidRPr="007A751B">
        <w:rPr>
          <w:rFonts w:ascii="Times New Roman" w:hAnsi="Times New Roman" w:cs="Times New Roman"/>
        </w:rPr>
        <w:t xml:space="preserve">ľudské práva na rok 2019 je vo výške 787 tis. eur, čo je oproti schválenému rozpočtu na rok </w:t>
      </w:r>
      <w:r w:rsidRPr="007A751B">
        <w:rPr>
          <w:rFonts w:ascii="Times New Roman" w:hAnsi="Times New Roman" w:cs="Times New Roman"/>
        </w:rPr>
        <w:lastRenderedPageBreak/>
        <w:t xml:space="preserve">2018 viac o 222 tis. eur, t. j. o 39,2 %. Medziročnú zmenu ovplyvnila najmä valorizácia platov z roku 2018 vo výške 15,1 tis. eur a premietnutie výdavkov na nové úlohy národného garanta v oblasti ľudských práv vo výške 207 tis. eur. </w:t>
      </w:r>
    </w:p>
    <w:p w:rsidR="005C5842" w:rsidRDefault="005C5842" w:rsidP="005C5842">
      <w:pPr>
        <w:snapToGrid w:val="0"/>
        <w:jc w:val="both"/>
        <w:rPr>
          <w:rFonts w:ascii="Times New Roman" w:hAnsi="Times New Roman" w:cs="Times New Roman"/>
          <w:i/>
          <w:color w:val="000000"/>
          <w:u w:val="single"/>
          <w:lang w:eastAsia="sk-SK"/>
        </w:rPr>
      </w:pPr>
    </w:p>
    <w:p w:rsidR="005C5842" w:rsidRPr="007A751B" w:rsidRDefault="005C5842" w:rsidP="005C5842">
      <w:pPr>
        <w:snapToGrid w:val="0"/>
        <w:jc w:val="both"/>
        <w:rPr>
          <w:rFonts w:ascii="Times New Roman" w:hAnsi="Times New Roman" w:cs="Times New Roman"/>
          <w:i/>
          <w:color w:val="000000"/>
          <w:u w:val="single"/>
          <w:lang w:eastAsia="sk-SK"/>
        </w:rPr>
      </w:pPr>
      <w:r w:rsidRPr="007A751B">
        <w:rPr>
          <w:rFonts w:ascii="Times New Roman" w:hAnsi="Times New Roman" w:cs="Times New Roman"/>
          <w:i/>
          <w:color w:val="000000"/>
          <w:u w:val="single"/>
          <w:lang w:eastAsia="sk-SK"/>
        </w:rPr>
        <w:t xml:space="preserve">Úrad komisára pre deti (ÚKD) </w:t>
      </w:r>
    </w:p>
    <w:p w:rsidR="005C5842" w:rsidRPr="007A751B" w:rsidRDefault="005C5842" w:rsidP="005C5842">
      <w:pPr>
        <w:snapToGrid w:val="0"/>
        <w:jc w:val="both"/>
        <w:rPr>
          <w:rFonts w:ascii="Times New Roman" w:hAnsi="Times New Roman" w:cs="Times New Roman"/>
          <w:i/>
          <w:color w:val="000000"/>
          <w:u w:val="single"/>
          <w:lang w:eastAsia="sk-SK"/>
        </w:rPr>
      </w:pPr>
    </w:p>
    <w:p w:rsidR="005C5842" w:rsidRPr="007A751B" w:rsidRDefault="005C5842" w:rsidP="005C5842">
      <w:pPr>
        <w:ind w:firstLine="708"/>
        <w:jc w:val="both"/>
        <w:rPr>
          <w:rFonts w:ascii="Times New Roman" w:hAnsi="Times New Roman" w:cs="Times New Roman"/>
        </w:rPr>
      </w:pPr>
      <w:r w:rsidRPr="007A751B">
        <w:rPr>
          <w:rFonts w:ascii="Times New Roman" w:hAnsi="Times New Roman" w:cs="Times New Roman"/>
          <w:color w:val="000000"/>
          <w:lang w:eastAsia="sk-SK"/>
        </w:rPr>
        <w:t xml:space="preserve">Transfer na činnosť komisára pre deti je na rok 2019 rozpočtovaný vo výške </w:t>
      </w:r>
      <w:r w:rsidR="00C017E3">
        <w:rPr>
          <w:rFonts w:ascii="Times New Roman" w:hAnsi="Times New Roman" w:cs="Times New Roman"/>
          <w:color w:val="000000"/>
          <w:lang w:eastAsia="sk-SK"/>
        </w:rPr>
        <w:br/>
      </w:r>
      <w:r w:rsidRPr="007A751B">
        <w:rPr>
          <w:rFonts w:ascii="Times New Roman" w:hAnsi="Times New Roman" w:cs="Times New Roman"/>
          <w:color w:val="000000"/>
          <w:lang w:eastAsia="sk-SK"/>
        </w:rPr>
        <w:t xml:space="preserve">453 tis. eur, </w:t>
      </w:r>
      <w:r w:rsidRPr="007A751B">
        <w:rPr>
          <w:rFonts w:ascii="Times New Roman" w:hAnsi="Times New Roman" w:cs="Times New Roman"/>
        </w:rPr>
        <w:t xml:space="preserve">čo je v porovnaní so schváleným rozpočtom na rok 2018 viac o 65,2 tis. eur, t. j. </w:t>
      </w:r>
      <w:r w:rsidR="00C017E3">
        <w:rPr>
          <w:rFonts w:ascii="Times New Roman" w:hAnsi="Times New Roman" w:cs="Times New Roman"/>
        </w:rPr>
        <w:br/>
        <w:t xml:space="preserve">o </w:t>
      </w:r>
      <w:r w:rsidRPr="007A751B">
        <w:rPr>
          <w:rFonts w:ascii="Times New Roman" w:hAnsi="Times New Roman" w:cs="Times New Roman"/>
        </w:rPr>
        <w:t xml:space="preserve">16,8 %. Medziročnú zmenu ovplyvnila valorizácia platov z roku 2018 v sume 14,1 tis. eur, zvýšenie osobných a prevádzkových výdavkov v sume 51,1 tis. eur. </w:t>
      </w:r>
    </w:p>
    <w:p w:rsidR="005C5842" w:rsidRPr="007A751B" w:rsidRDefault="005C5842" w:rsidP="005C5842">
      <w:pPr>
        <w:snapToGrid w:val="0"/>
        <w:jc w:val="both"/>
        <w:rPr>
          <w:rFonts w:ascii="Times New Roman" w:hAnsi="Times New Roman" w:cs="Times New Roman"/>
          <w:i/>
          <w:color w:val="000000"/>
          <w:u w:val="single"/>
          <w:lang w:eastAsia="sk-SK"/>
        </w:rPr>
      </w:pPr>
    </w:p>
    <w:p w:rsidR="005C5842" w:rsidRPr="007A751B" w:rsidRDefault="005C5842" w:rsidP="005C5842">
      <w:pPr>
        <w:snapToGrid w:val="0"/>
        <w:jc w:val="both"/>
        <w:rPr>
          <w:rFonts w:ascii="Times New Roman" w:hAnsi="Times New Roman" w:cs="Times New Roman"/>
          <w:i/>
          <w:color w:val="000000"/>
          <w:u w:val="single"/>
          <w:lang w:eastAsia="sk-SK"/>
        </w:rPr>
      </w:pPr>
      <w:r w:rsidRPr="007A751B">
        <w:rPr>
          <w:rFonts w:ascii="Times New Roman" w:hAnsi="Times New Roman" w:cs="Times New Roman"/>
          <w:i/>
          <w:color w:val="000000"/>
          <w:u w:val="single"/>
          <w:lang w:eastAsia="sk-SK"/>
        </w:rPr>
        <w:t>Úrad komisára pre osoby so zdravotným postihnutím (ÚKOZP)</w:t>
      </w:r>
    </w:p>
    <w:p w:rsidR="005C5842" w:rsidRPr="007A751B" w:rsidRDefault="005C5842" w:rsidP="005C5842">
      <w:pPr>
        <w:snapToGrid w:val="0"/>
        <w:jc w:val="both"/>
        <w:rPr>
          <w:rFonts w:ascii="Times New Roman" w:hAnsi="Times New Roman" w:cs="Times New Roman"/>
          <w:i/>
          <w:color w:val="000000"/>
          <w:u w:val="single"/>
          <w:lang w:eastAsia="sk-SK"/>
        </w:rPr>
      </w:pPr>
    </w:p>
    <w:p w:rsidR="005C5842" w:rsidRPr="007A751B" w:rsidRDefault="005C5842" w:rsidP="005C5842">
      <w:pPr>
        <w:ind w:firstLine="708"/>
        <w:jc w:val="both"/>
        <w:rPr>
          <w:rFonts w:ascii="Times New Roman" w:hAnsi="Times New Roman" w:cs="Times New Roman"/>
        </w:rPr>
      </w:pPr>
      <w:r w:rsidRPr="007A751B">
        <w:rPr>
          <w:rFonts w:ascii="Times New Roman" w:hAnsi="Times New Roman" w:cs="Times New Roman"/>
          <w:color w:val="000000"/>
          <w:lang w:eastAsia="sk-SK"/>
        </w:rPr>
        <w:t xml:space="preserve">Transfer na činnosť komisára pre osoby so zdravotným postihnutím je na rok 2019 rozpočtovaný vo výške 474 tis. eur, </w:t>
      </w:r>
      <w:r w:rsidRPr="007A751B">
        <w:rPr>
          <w:rFonts w:ascii="Times New Roman" w:hAnsi="Times New Roman" w:cs="Times New Roman"/>
        </w:rPr>
        <w:t>čo je v porovnaní so schváleným rozpočtom na rok 2018 viac o 36,2 tis. eur, t. j.  </w:t>
      </w:r>
      <w:r w:rsidR="00C017E3">
        <w:rPr>
          <w:rFonts w:ascii="Times New Roman" w:hAnsi="Times New Roman" w:cs="Times New Roman"/>
        </w:rPr>
        <w:t xml:space="preserve">o </w:t>
      </w:r>
      <w:r w:rsidRPr="007A751B">
        <w:rPr>
          <w:rFonts w:ascii="Times New Roman" w:hAnsi="Times New Roman" w:cs="Times New Roman"/>
        </w:rPr>
        <w:t>8,27 %. Medziročnú zmenu ovplyvnila valorizácia platov z roku 2018 v sume 13,1 tis. eur a zvýšenie osobných výdavkov pre nového zamestnanca v sume 23 tis. eur v súvislosti s rastom agendy úradu.</w:t>
      </w:r>
    </w:p>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454A3F" w:rsidRDefault="00454A3F" w:rsidP="001A34BE"/>
    <w:p w:rsidR="00241AEA" w:rsidRDefault="00241AEA" w:rsidP="001A34BE"/>
    <w:p w:rsidR="001A34BE" w:rsidRDefault="001A34BE" w:rsidP="001A34BE"/>
    <w:p w:rsidR="001A34BE" w:rsidRDefault="001A34BE" w:rsidP="001A34BE"/>
    <w:p w:rsidR="009C536E" w:rsidRPr="001B3C8A" w:rsidRDefault="00672D9A" w:rsidP="00672D9A">
      <w:pPr>
        <w:pStyle w:val="Nadpis1"/>
        <w:spacing w:before="0" w:after="0"/>
        <w:rPr>
          <w:rFonts w:ascii="Times New Roman" w:hAnsi="Times New Roman" w:cs="Times New Roman"/>
          <w:sz w:val="28"/>
          <w:szCs w:val="28"/>
        </w:rPr>
      </w:pPr>
      <w:bookmarkStart w:id="313" w:name="_Toc526273193"/>
      <w:r w:rsidRPr="00DC4235">
        <w:rPr>
          <w:rFonts w:ascii="Times New Roman" w:hAnsi="Times New Roman" w:cs="Times New Roman"/>
          <w:sz w:val="28"/>
          <w:szCs w:val="28"/>
        </w:rPr>
        <w:lastRenderedPageBreak/>
        <w:t xml:space="preserve">5. </w:t>
      </w:r>
      <w:r w:rsidR="009C536E" w:rsidRPr="00DC4235">
        <w:rPr>
          <w:rFonts w:ascii="Times New Roman" w:hAnsi="Times New Roman" w:cs="Times New Roman"/>
          <w:sz w:val="28"/>
          <w:szCs w:val="28"/>
        </w:rPr>
        <w:t>Štátne finančné aktíva</w:t>
      </w:r>
      <w:bookmarkEnd w:id="313"/>
    </w:p>
    <w:p w:rsidR="00CE37B1" w:rsidRPr="002677A6" w:rsidRDefault="00CE37B1" w:rsidP="00CE37B1">
      <w:pPr>
        <w:ind w:firstLine="708"/>
        <w:jc w:val="both"/>
        <w:rPr>
          <w:rFonts w:ascii="Times New Roman" w:hAnsi="Times New Roman" w:cs="Times New Roman"/>
        </w:rPr>
      </w:pPr>
    </w:p>
    <w:p w:rsidR="00CE37B1" w:rsidRPr="002677A6" w:rsidRDefault="00CE37B1" w:rsidP="00CE37B1">
      <w:pPr>
        <w:ind w:firstLine="708"/>
        <w:jc w:val="both"/>
        <w:rPr>
          <w:rFonts w:ascii="Times New Roman" w:hAnsi="Times New Roman" w:cs="Times New Roman"/>
        </w:rPr>
      </w:pPr>
      <w:r w:rsidRPr="002677A6">
        <w:rPr>
          <w:rFonts w:ascii="Times New Roman" w:hAnsi="Times New Roman" w:cs="Times New Roman"/>
        </w:rPr>
        <w:t xml:space="preserve">Štátne finančné aktíva sú definované zákonom č. 523/2004 Z. z. o rozpočtových pravidlách verejnej správy a o zmene a doplnení niektorých zákonov v znení neskorších predpisov. </w:t>
      </w:r>
    </w:p>
    <w:p w:rsidR="00CE37B1" w:rsidRPr="002677A6" w:rsidRDefault="00CE37B1" w:rsidP="00CE37B1">
      <w:pPr>
        <w:ind w:firstLine="708"/>
        <w:jc w:val="both"/>
        <w:rPr>
          <w:rFonts w:ascii="Times New Roman" w:hAnsi="Times New Roman" w:cs="Times New Roman"/>
          <w:sz w:val="12"/>
          <w:szCs w:val="12"/>
        </w:rPr>
      </w:pPr>
    </w:p>
    <w:tbl>
      <w:tblPr>
        <w:tblW w:w="5000" w:type="pct"/>
        <w:jc w:val="center"/>
        <w:tblCellMar>
          <w:left w:w="70" w:type="dxa"/>
          <w:right w:w="70" w:type="dxa"/>
        </w:tblCellMar>
        <w:tblLook w:val="04A0" w:firstRow="1" w:lastRow="0" w:firstColumn="1" w:lastColumn="0" w:noHBand="0" w:noVBand="1"/>
      </w:tblPr>
      <w:tblGrid>
        <w:gridCol w:w="3553"/>
        <w:gridCol w:w="787"/>
        <w:gridCol w:w="787"/>
        <w:gridCol w:w="787"/>
        <w:gridCol w:w="787"/>
        <w:gridCol w:w="787"/>
        <w:gridCol w:w="787"/>
        <w:gridCol w:w="787"/>
      </w:tblGrid>
      <w:tr w:rsidR="00CE37B1" w:rsidRPr="000E1E98" w:rsidTr="00963F86">
        <w:trPr>
          <w:trHeight w:val="405"/>
          <w:jc w:val="center"/>
        </w:trPr>
        <w:tc>
          <w:tcPr>
            <w:tcW w:w="1960" w:type="pct"/>
            <w:tcBorders>
              <w:top w:val="single" w:sz="4" w:space="0" w:color="auto"/>
              <w:left w:val="single" w:sz="4" w:space="0" w:color="auto"/>
              <w:bottom w:val="single" w:sz="4" w:space="0" w:color="auto"/>
              <w:right w:val="single" w:sz="4" w:space="0" w:color="auto"/>
            </w:tcBorders>
            <w:shd w:val="clear" w:color="000000" w:fill="A6A6A6"/>
            <w:vAlign w:val="center"/>
            <w:hideMark/>
          </w:tcPr>
          <w:p w:rsidR="00CE37B1" w:rsidRPr="000E1E98" w:rsidRDefault="00CE37B1" w:rsidP="00963F86">
            <w:pPr>
              <w:rPr>
                <w:rFonts w:ascii="Times New Roman" w:hAnsi="Times New Roman" w:cs="Times New Roman"/>
                <w:b/>
                <w:bCs/>
                <w:sz w:val="14"/>
                <w:szCs w:val="14"/>
                <w:lang w:eastAsia="sk-SK"/>
              </w:rPr>
            </w:pPr>
            <w:bookmarkStart w:id="314" w:name="_Toc457904310"/>
            <w:bookmarkStart w:id="315" w:name="_Toc463049707"/>
            <w:r w:rsidRPr="000E1E98">
              <w:rPr>
                <w:rFonts w:ascii="Times New Roman" w:hAnsi="Times New Roman" w:cs="Times New Roman"/>
                <w:b/>
                <w:bCs/>
                <w:sz w:val="14"/>
                <w:szCs w:val="14"/>
                <w:lang w:eastAsia="sk-SK"/>
              </w:rPr>
              <w:t>Rozpočtové operácie ŠFA</w:t>
            </w:r>
            <w:r w:rsidRPr="000E1E98">
              <w:rPr>
                <w:rFonts w:ascii="Times New Roman" w:hAnsi="Times New Roman" w:cs="Times New Roman"/>
                <w:b/>
                <w:bCs/>
                <w:sz w:val="14"/>
                <w:szCs w:val="14"/>
                <w:lang w:eastAsia="sk-SK"/>
              </w:rPr>
              <w:br/>
            </w:r>
            <w:r w:rsidRPr="000E1E98">
              <w:rPr>
                <w:rFonts w:ascii="Times New Roman" w:hAnsi="Times New Roman" w:cs="Times New Roman"/>
                <w:sz w:val="14"/>
                <w:szCs w:val="14"/>
                <w:lang w:eastAsia="sk-SK"/>
              </w:rPr>
              <w:t>(v tis. eur; ESA 2010)</w:t>
            </w:r>
          </w:p>
        </w:tc>
        <w:tc>
          <w:tcPr>
            <w:tcW w:w="434" w:type="pct"/>
            <w:tcBorders>
              <w:top w:val="single" w:sz="4" w:space="0" w:color="auto"/>
              <w:left w:val="nil"/>
              <w:bottom w:val="single" w:sz="4" w:space="0" w:color="auto"/>
              <w:right w:val="single" w:sz="4" w:space="0" w:color="auto"/>
            </w:tcBorders>
            <w:shd w:val="clear" w:color="000000" w:fill="A6A6A6"/>
            <w:noWrap/>
            <w:vAlign w:val="center"/>
            <w:hideMark/>
          </w:tcPr>
          <w:p w:rsidR="00CE37B1" w:rsidRPr="000E1E98" w:rsidRDefault="00CE37B1" w:rsidP="00963F86">
            <w:pPr>
              <w:jc w:val="center"/>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2016 S</w:t>
            </w:r>
          </w:p>
        </w:tc>
        <w:tc>
          <w:tcPr>
            <w:tcW w:w="434" w:type="pct"/>
            <w:tcBorders>
              <w:top w:val="single" w:sz="4" w:space="0" w:color="auto"/>
              <w:left w:val="nil"/>
              <w:bottom w:val="single" w:sz="4" w:space="0" w:color="auto"/>
              <w:right w:val="single" w:sz="4" w:space="0" w:color="auto"/>
            </w:tcBorders>
            <w:shd w:val="clear" w:color="000000" w:fill="A6A6A6"/>
            <w:noWrap/>
            <w:vAlign w:val="center"/>
            <w:hideMark/>
          </w:tcPr>
          <w:p w:rsidR="00CE37B1" w:rsidRPr="000E1E98" w:rsidRDefault="00CE37B1" w:rsidP="00963F86">
            <w:pPr>
              <w:jc w:val="center"/>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2017 S</w:t>
            </w:r>
          </w:p>
        </w:tc>
        <w:tc>
          <w:tcPr>
            <w:tcW w:w="434" w:type="pct"/>
            <w:tcBorders>
              <w:top w:val="single" w:sz="4" w:space="0" w:color="auto"/>
              <w:left w:val="nil"/>
              <w:bottom w:val="single" w:sz="4" w:space="0" w:color="auto"/>
              <w:right w:val="single" w:sz="4" w:space="0" w:color="auto"/>
            </w:tcBorders>
            <w:shd w:val="clear" w:color="000000" w:fill="A6A6A6"/>
            <w:noWrap/>
            <w:vAlign w:val="center"/>
            <w:hideMark/>
          </w:tcPr>
          <w:p w:rsidR="00CE37B1" w:rsidRPr="000E1E98" w:rsidRDefault="00CE37B1" w:rsidP="00963F86">
            <w:pPr>
              <w:jc w:val="center"/>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2018 R</w:t>
            </w:r>
          </w:p>
        </w:tc>
        <w:tc>
          <w:tcPr>
            <w:tcW w:w="434" w:type="pct"/>
            <w:tcBorders>
              <w:top w:val="single" w:sz="4" w:space="0" w:color="auto"/>
              <w:left w:val="nil"/>
              <w:bottom w:val="single" w:sz="4" w:space="0" w:color="auto"/>
              <w:right w:val="single" w:sz="4" w:space="0" w:color="auto"/>
            </w:tcBorders>
            <w:shd w:val="clear" w:color="000000" w:fill="A6A6A6"/>
            <w:noWrap/>
            <w:vAlign w:val="center"/>
            <w:hideMark/>
          </w:tcPr>
          <w:p w:rsidR="00CE37B1" w:rsidRPr="000E1E98" w:rsidRDefault="00CE37B1" w:rsidP="00963F86">
            <w:pPr>
              <w:jc w:val="center"/>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2018 OS</w:t>
            </w:r>
          </w:p>
        </w:tc>
        <w:tc>
          <w:tcPr>
            <w:tcW w:w="434" w:type="pct"/>
            <w:tcBorders>
              <w:top w:val="single" w:sz="4" w:space="0" w:color="auto"/>
              <w:left w:val="nil"/>
              <w:bottom w:val="single" w:sz="4" w:space="0" w:color="auto"/>
              <w:right w:val="single" w:sz="4" w:space="0" w:color="auto"/>
            </w:tcBorders>
            <w:shd w:val="clear" w:color="000000" w:fill="A6A6A6"/>
            <w:noWrap/>
            <w:vAlign w:val="center"/>
            <w:hideMark/>
          </w:tcPr>
          <w:p w:rsidR="00CE37B1" w:rsidRPr="000E1E98" w:rsidRDefault="00CE37B1" w:rsidP="00963F86">
            <w:pPr>
              <w:jc w:val="center"/>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2019 N</w:t>
            </w:r>
          </w:p>
        </w:tc>
        <w:tc>
          <w:tcPr>
            <w:tcW w:w="434" w:type="pct"/>
            <w:tcBorders>
              <w:top w:val="single" w:sz="4" w:space="0" w:color="auto"/>
              <w:left w:val="nil"/>
              <w:bottom w:val="single" w:sz="4" w:space="0" w:color="auto"/>
              <w:right w:val="single" w:sz="4" w:space="0" w:color="auto"/>
            </w:tcBorders>
            <w:shd w:val="clear" w:color="000000" w:fill="A6A6A6"/>
            <w:noWrap/>
            <w:vAlign w:val="center"/>
            <w:hideMark/>
          </w:tcPr>
          <w:p w:rsidR="00CE37B1" w:rsidRPr="000E1E98" w:rsidRDefault="00CE37B1" w:rsidP="00963F86">
            <w:pPr>
              <w:jc w:val="center"/>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2020 N</w:t>
            </w:r>
          </w:p>
        </w:tc>
        <w:tc>
          <w:tcPr>
            <w:tcW w:w="434" w:type="pct"/>
            <w:tcBorders>
              <w:top w:val="single" w:sz="4" w:space="0" w:color="auto"/>
              <w:left w:val="nil"/>
              <w:bottom w:val="single" w:sz="4" w:space="0" w:color="auto"/>
              <w:right w:val="single" w:sz="4" w:space="0" w:color="auto"/>
            </w:tcBorders>
            <w:shd w:val="clear" w:color="000000" w:fill="A6A6A6"/>
            <w:noWrap/>
            <w:vAlign w:val="center"/>
            <w:hideMark/>
          </w:tcPr>
          <w:p w:rsidR="00CE37B1" w:rsidRPr="000E1E98" w:rsidRDefault="00CE37B1" w:rsidP="00963F86">
            <w:pPr>
              <w:jc w:val="center"/>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2021 N</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000000" w:fill="BFBFBF"/>
            <w:noWrap/>
            <w:vAlign w:val="center"/>
            <w:hideMark/>
          </w:tcPr>
          <w:p w:rsidR="00CE37B1" w:rsidRPr="000E1E98" w:rsidRDefault="00CE37B1" w:rsidP="00963F86">
            <w:pPr>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 xml:space="preserve">1. Príjmy </w:t>
            </w:r>
            <w:r w:rsidRPr="000E1E98">
              <w:rPr>
                <w:rFonts w:ascii="Times New Roman" w:hAnsi="Times New Roman" w:cs="Times New Roman"/>
                <w:sz w:val="14"/>
                <w:szCs w:val="14"/>
                <w:lang w:eastAsia="sk-SK"/>
              </w:rPr>
              <w:t xml:space="preserve">- zvýšenie ŠFA </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E65A85" w:rsidP="00963F86">
            <w:pPr>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245 525,7</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E65A85" w:rsidP="00963F86">
            <w:pPr>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346 286,8</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419 994,2</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381 987,2</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364 423,8</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380 636,8</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150 344,0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1.1. dividendy z FNM SR / MH Manažment, a. s.</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47,3</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17,3</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9,8</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9,8</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9,8</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9,8</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10,0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 xml:space="preserve">1.2. osobitný odvod vybraných finančných inštitúcií </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119 772,0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127 284,0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133 646,0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134 212,0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143 076,0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152 316,0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1.3. osobitný odvod z podnikania v regulov. odvetviach</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E65A85" w:rsidP="00963F86">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111 489,0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E65A85" w:rsidP="00963F86">
            <w:pPr>
              <w:jc w:val="right"/>
              <w:rPr>
                <w:rFonts w:ascii="Times New Roman" w:hAnsi="Times New Roman" w:cs="Times New Roman"/>
                <w:sz w:val="14"/>
                <w:szCs w:val="14"/>
                <w:lang w:eastAsia="sk-SK"/>
              </w:rPr>
            </w:pPr>
            <w:r>
              <w:rPr>
                <w:rFonts w:ascii="Times New Roman" w:hAnsi="Times New Roman" w:cs="Times New Roman"/>
                <w:sz w:val="14"/>
                <w:szCs w:val="14"/>
                <w:lang w:eastAsia="sk-SK"/>
              </w:rPr>
              <w:t>157 701,0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175 653,0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161 728,0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125 452,0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129 246,0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88 636,0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1.4. splátka pohľadávok štátu</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19,6</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14,5</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15,0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15,0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15,0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15,0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15,0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1.5. príjmy zo splátok úver. a pôžič. - NFV (FO)</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9 141,2</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61 270,0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79 638,0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54 990,0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95 871,0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99 050,0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61 683,0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1.6.  príjem z predaja ubyt. kapacít zahr. investorov</w:t>
            </w:r>
            <w:r w:rsidRPr="000E1E98">
              <w:rPr>
                <w:rFonts w:ascii="Times New Roman" w:hAnsi="Times New Roman" w:cs="Times New Roman"/>
                <w:sz w:val="14"/>
                <w:szCs w:val="14"/>
                <w:lang w:eastAsia="sk-SK"/>
              </w:rPr>
              <w:br/>
              <w:t xml:space="preserve">        Čierna voda - Kia/Hyundai - MH SR (FO)</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31 032,4</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31 032,4</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1.7. splátka NFV MH Invest II. - Veľká Ida (KT)</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2 454,3</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1.8. vklad do ZI MH Invest II. - priemyselný park Nitra -</w:t>
            </w:r>
            <w:r w:rsidRPr="000E1E98">
              <w:rPr>
                <w:rFonts w:ascii="Times New Roman" w:hAnsi="Times New Roman" w:cs="Times New Roman"/>
                <w:sz w:val="14"/>
                <w:szCs w:val="14"/>
                <w:lang w:eastAsia="sk-SK"/>
              </w:rPr>
              <w:br/>
              <w:t xml:space="preserve">       vrátenie (KT)</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2 602,3</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000000" w:fill="BFBFBF"/>
            <w:noWrap/>
            <w:vAlign w:val="center"/>
            <w:hideMark/>
          </w:tcPr>
          <w:p w:rsidR="00CE37B1" w:rsidRPr="000E1E98" w:rsidRDefault="00CE37B1" w:rsidP="00963F86">
            <w:pPr>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2. Výdavky</w:t>
            </w:r>
            <w:r w:rsidRPr="000E1E98">
              <w:rPr>
                <w:rFonts w:ascii="Times New Roman" w:hAnsi="Times New Roman" w:cs="Times New Roman"/>
                <w:sz w:val="14"/>
                <w:szCs w:val="14"/>
                <w:lang w:eastAsia="sk-SK"/>
              </w:rPr>
              <w:t xml:space="preserve"> - zníženie ŠFA </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384 868,8</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190 231,7</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87 082,8</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347 829,6</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62 950,8</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13 169,8</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17 632,0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2.1. prevod prostr. z dividend v zmysle bodu 1.1. do ŠR</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47,3</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17,3</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9,8</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9,8</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9,8</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9,8</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10,0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2.2. poskyt. úver. a pôž., účasť v medzin. organizáciách</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80,0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3 410,0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24 080,0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3 680,0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47 160,0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9 170,0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13 632,0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i/>
                <w:iCs/>
                <w:color w:val="000000"/>
                <w:sz w:val="14"/>
                <w:szCs w:val="14"/>
                <w:lang w:eastAsia="sk-SK"/>
              </w:rPr>
            </w:pPr>
            <w:r w:rsidRPr="000E1E98">
              <w:rPr>
                <w:rFonts w:ascii="Times New Roman" w:hAnsi="Times New Roman" w:cs="Times New Roman"/>
                <w:i/>
                <w:iCs/>
                <w:color w:val="000000"/>
                <w:sz w:val="14"/>
                <w:szCs w:val="14"/>
                <w:lang w:eastAsia="sk-SK"/>
              </w:rPr>
              <w:t>2.2.1. doplnenie zdrojov IDA a príspevok k financovaniu</w:t>
            </w:r>
            <w:r w:rsidRPr="000E1E98">
              <w:rPr>
                <w:rFonts w:ascii="Times New Roman" w:hAnsi="Times New Roman" w:cs="Times New Roman"/>
                <w:i/>
                <w:iCs/>
                <w:color w:val="000000"/>
                <w:sz w:val="14"/>
                <w:szCs w:val="14"/>
                <w:lang w:eastAsia="sk-SK"/>
              </w:rPr>
              <w:br/>
              <w:t xml:space="preserve">          MDRI (KT)</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i/>
                <w:iCs/>
                <w:sz w:val="14"/>
                <w:szCs w:val="14"/>
                <w:lang w:eastAsia="sk-SK"/>
              </w:rPr>
            </w:pPr>
            <w:r w:rsidRPr="000E1E98">
              <w:rPr>
                <w:rFonts w:ascii="Times New Roman" w:hAnsi="Times New Roman" w:cs="Times New Roman"/>
                <w:i/>
                <w:iCs/>
                <w:sz w:val="14"/>
                <w:szCs w:val="14"/>
                <w:lang w:eastAsia="sk-SK"/>
              </w:rPr>
              <w:t>80,0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i/>
                <w:iCs/>
                <w:sz w:val="14"/>
                <w:szCs w:val="14"/>
                <w:lang w:eastAsia="sk-SK"/>
              </w:rPr>
            </w:pPr>
            <w:r w:rsidRPr="000E1E98">
              <w:rPr>
                <w:rFonts w:ascii="Times New Roman" w:hAnsi="Times New Roman" w:cs="Times New Roman"/>
                <w:i/>
                <w:iCs/>
                <w:sz w:val="14"/>
                <w:szCs w:val="14"/>
                <w:lang w:eastAsia="sk-SK"/>
              </w:rPr>
              <w:t>80,0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i/>
                <w:iCs/>
                <w:sz w:val="14"/>
                <w:szCs w:val="14"/>
                <w:lang w:eastAsia="sk-SK"/>
              </w:rPr>
            </w:pPr>
            <w:r w:rsidRPr="000E1E98">
              <w:rPr>
                <w:rFonts w:ascii="Times New Roman" w:hAnsi="Times New Roman" w:cs="Times New Roman"/>
                <w:i/>
                <w:iCs/>
                <w:sz w:val="14"/>
                <w:szCs w:val="14"/>
                <w:lang w:eastAsia="sk-SK"/>
              </w:rPr>
              <w:t>3 080,0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i/>
                <w:iCs/>
                <w:sz w:val="14"/>
                <w:szCs w:val="14"/>
                <w:lang w:eastAsia="sk-SK"/>
              </w:rPr>
            </w:pPr>
            <w:r w:rsidRPr="000E1E98">
              <w:rPr>
                <w:rFonts w:ascii="Times New Roman" w:hAnsi="Times New Roman" w:cs="Times New Roman"/>
                <w:i/>
                <w:iCs/>
                <w:sz w:val="14"/>
                <w:szCs w:val="14"/>
                <w:lang w:eastAsia="sk-SK"/>
              </w:rPr>
              <w:t>2 680,0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i/>
                <w:iCs/>
                <w:sz w:val="14"/>
                <w:szCs w:val="14"/>
                <w:lang w:eastAsia="sk-SK"/>
              </w:rPr>
            </w:pPr>
            <w:r w:rsidRPr="000E1E98">
              <w:rPr>
                <w:rFonts w:ascii="Times New Roman" w:hAnsi="Times New Roman" w:cs="Times New Roman"/>
                <w:i/>
                <w:iCs/>
                <w:sz w:val="14"/>
                <w:szCs w:val="14"/>
                <w:lang w:eastAsia="sk-SK"/>
              </w:rPr>
              <w:t>90,0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i/>
                <w:iCs/>
                <w:sz w:val="14"/>
                <w:szCs w:val="14"/>
                <w:lang w:eastAsia="sk-SK"/>
              </w:rPr>
            </w:pPr>
            <w:r w:rsidRPr="000E1E98">
              <w:rPr>
                <w:rFonts w:ascii="Times New Roman" w:hAnsi="Times New Roman" w:cs="Times New Roman"/>
                <w:i/>
                <w:iCs/>
                <w:sz w:val="14"/>
                <w:szCs w:val="14"/>
                <w:lang w:eastAsia="sk-SK"/>
              </w:rPr>
              <w:t>100,0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i/>
                <w:iCs/>
                <w:sz w:val="14"/>
                <w:szCs w:val="14"/>
                <w:lang w:eastAsia="sk-SK"/>
              </w:rPr>
            </w:pPr>
            <w:r w:rsidRPr="000E1E98">
              <w:rPr>
                <w:rFonts w:ascii="Times New Roman" w:hAnsi="Times New Roman" w:cs="Times New Roman"/>
                <w:i/>
                <w:iCs/>
                <w:sz w:val="14"/>
                <w:szCs w:val="14"/>
                <w:lang w:eastAsia="sk-SK"/>
              </w:rPr>
              <w:t>3 130,0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i/>
                <w:iCs/>
                <w:color w:val="000000"/>
                <w:sz w:val="14"/>
                <w:szCs w:val="14"/>
                <w:lang w:eastAsia="sk-SK"/>
              </w:rPr>
            </w:pPr>
            <w:r w:rsidRPr="000E1E98">
              <w:rPr>
                <w:rFonts w:ascii="Times New Roman" w:hAnsi="Times New Roman" w:cs="Times New Roman"/>
                <w:i/>
                <w:iCs/>
                <w:color w:val="000000"/>
                <w:sz w:val="14"/>
                <w:szCs w:val="14"/>
                <w:lang w:eastAsia="sk-SK"/>
              </w:rPr>
              <w:t>2.2.2. ostatné (FO)</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i/>
                <w:iCs/>
                <w:sz w:val="14"/>
                <w:szCs w:val="14"/>
                <w:lang w:eastAsia="sk-SK"/>
              </w:rPr>
            </w:pPr>
            <w:r w:rsidRPr="000E1E98">
              <w:rPr>
                <w:rFonts w:ascii="Times New Roman" w:hAnsi="Times New Roman" w:cs="Times New Roman"/>
                <w:i/>
                <w:iCs/>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i/>
                <w:iCs/>
                <w:sz w:val="14"/>
                <w:szCs w:val="14"/>
                <w:lang w:eastAsia="sk-SK"/>
              </w:rPr>
            </w:pPr>
            <w:r w:rsidRPr="000E1E98">
              <w:rPr>
                <w:rFonts w:ascii="Times New Roman" w:hAnsi="Times New Roman" w:cs="Times New Roman"/>
                <w:i/>
                <w:iCs/>
                <w:sz w:val="14"/>
                <w:szCs w:val="14"/>
                <w:lang w:eastAsia="sk-SK"/>
              </w:rPr>
              <w:t>3 330,0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i/>
                <w:iCs/>
                <w:sz w:val="14"/>
                <w:szCs w:val="14"/>
                <w:lang w:eastAsia="sk-SK"/>
              </w:rPr>
            </w:pPr>
            <w:r w:rsidRPr="000E1E98">
              <w:rPr>
                <w:rFonts w:ascii="Times New Roman" w:hAnsi="Times New Roman" w:cs="Times New Roman"/>
                <w:i/>
                <w:iCs/>
                <w:sz w:val="14"/>
                <w:szCs w:val="14"/>
                <w:lang w:eastAsia="sk-SK"/>
              </w:rPr>
              <w:t>21 000,0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i/>
                <w:iCs/>
                <w:sz w:val="14"/>
                <w:szCs w:val="14"/>
                <w:lang w:eastAsia="sk-SK"/>
              </w:rPr>
            </w:pPr>
            <w:r w:rsidRPr="000E1E98">
              <w:rPr>
                <w:rFonts w:ascii="Times New Roman" w:hAnsi="Times New Roman" w:cs="Times New Roman"/>
                <w:i/>
                <w:iCs/>
                <w:sz w:val="14"/>
                <w:szCs w:val="14"/>
                <w:lang w:eastAsia="sk-SK"/>
              </w:rPr>
              <w:t>1 000,0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i/>
                <w:iCs/>
                <w:sz w:val="14"/>
                <w:szCs w:val="14"/>
                <w:lang w:eastAsia="sk-SK"/>
              </w:rPr>
            </w:pPr>
            <w:r w:rsidRPr="000E1E98">
              <w:rPr>
                <w:rFonts w:ascii="Times New Roman" w:hAnsi="Times New Roman" w:cs="Times New Roman"/>
                <w:i/>
                <w:iCs/>
                <w:sz w:val="14"/>
                <w:szCs w:val="14"/>
                <w:lang w:eastAsia="sk-SK"/>
              </w:rPr>
              <w:t>47 070,0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i/>
                <w:iCs/>
                <w:sz w:val="14"/>
                <w:szCs w:val="14"/>
                <w:lang w:eastAsia="sk-SK"/>
              </w:rPr>
            </w:pPr>
            <w:r w:rsidRPr="000E1E98">
              <w:rPr>
                <w:rFonts w:ascii="Times New Roman" w:hAnsi="Times New Roman" w:cs="Times New Roman"/>
                <w:i/>
                <w:iCs/>
                <w:sz w:val="14"/>
                <w:szCs w:val="14"/>
                <w:lang w:eastAsia="sk-SK"/>
              </w:rPr>
              <w:t>9 070,0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i/>
                <w:iCs/>
                <w:sz w:val="14"/>
                <w:szCs w:val="14"/>
                <w:lang w:eastAsia="sk-SK"/>
              </w:rPr>
            </w:pPr>
            <w:r w:rsidRPr="000E1E98">
              <w:rPr>
                <w:rFonts w:ascii="Times New Roman" w:hAnsi="Times New Roman" w:cs="Times New Roman"/>
                <w:i/>
                <w:iCs/>
                <w:sz w:val="14"/>
                <w:szCs w:val="14"/>
                <w:lang w:eastAsia="sk-SK"/>
              </w:rPr>
              <w:t>10 502,0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2.3. vklad do ZI MH Invest (KT)</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130 000,0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118 935,9</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62 993,0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15 781,0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3 990,0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3 990,0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2.4. vklad do ZI MH Invest II (KT)</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12 854,6</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28 026,0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2.5. vklad do ZI NDS, a. s. - projekt D4 / R7 (KT)</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220 000,0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 xml:space="preserve">2.6. realizácia záruky MF SR voči SZRB, a.s. </w:t>
            </w:r>
            <w:r w:rsidRPr="000E1E98">
              <w:rPr>
                <w:rFonts w:ascii="Times New Roman" w:hAnsi="Times New Roman" w:cs="Times New Roman"/>
                <w:i/>
                <w:iCs/>
                <w:sz w:val="14"/>
                <w:szCs w:val="14"/>
                <w:lang w:eastAsia="sk-SK"/>
              </w:rPr>
              <w:t>(odv. úver)</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227,2</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135,7</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58,0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2.7. NFV pre mesto Martin (FO)</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2 500,0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2.8. NFV pre Brat. - Staré mesto; uzn.vl. 570/2017 (FO)</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2 000,0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2.9. NFV pre mesto Košice; uzn.vl. 71/2018 (FO)</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14 500,0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2.10. Odpustenie časti NFV pre obec Ľubotice (KT)</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2.11. Odpustenie časti NFV pre mesto Žilina (KT)</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3 111,9</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2.12. vklad do ZI MH Invest II. - odkúpenie OSK</w:t>
            </w:r>
            <w:r w:rsidRPr="000E1E98">
              <w:rPr>
                <w:rFonts w:ascii="Times New Roman" w:hAnsi="Times New Roman" w:cs="Times New Roman"/>
                <w:sz w:val="14"/>
                <w:szCs w:val="14"/>
                <w:lang w:eastAsia="sk-SK"/>
              </w:rPr>
              <w:br/>
              <w:t xml:space="preserve">         od mesta Žiliny (KT)</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10 345,5</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2.13. NFV pre Univerzitu Pavla Jozefa Šafárika</w:t>
            </w:r>
            <w:r w:rsidRPr="000E1E98">
              <w:rPr>
                <w:rFonts w:ascii="Times New Roman" w:hAnsi="Times New Roman" w:cs="Times New Roman"/>
                <w:sz w:val="14"/>
                <w:szCs w:val="14"/>
                <w:lang w:eastAsia="sk-SK"/>
              </w:rPr>
              <w:br/>
              <w:t xml:space="preserve">         v Košiciach (FO)</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3 000,0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2.14. vklad do ZI MH Invest II. - priem. park Nitra (KT)</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2 602,3</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2.15.  vklad do ZI NDS, a. s. (KT)</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19 505,8</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2.16. vklad do ZI Letisková spoločnosť Žilina, a. s. (KT)</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199,1</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2.17. vklad do ZI Letecké opravovne Trenčín, a.s. (KT)</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20 000,0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2.18. vklad do ZI Letisko M. R. Štefánika (KT)</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1,9</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2.19.  NFV Národná transfúzna služba SR (FO)</w:t>
            </w:r>
            <w:r w:rsidRPr="000E1E98">
              <w:rPr>
                <w:rFonts w:ascii="Times New Roman" w:hAnsi="Times New Roman" w:cs="Times New Roman"/>
                <w:sz w:val="14"/>
                <w:szCs w:val="14"/>
                <w:lang w:eastAsia="sk-SK"/>
              </w:rPr>
              <w:br/>
              <w:t xml:space="preserve">          uzn. vl. č. 425/2017</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28 000,0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2.20.  MH SR - ZI novej spol. - príprava Strategického</w:t>
            </w:r>
            <w:r w:rsidRPr="000E1E98">
              <w:rPr>
                <w:rFonts w:ascii="Times New Roman" w:hAnsi="Times New Roman" w:cs="Times New Roman"/>
                <w:sz w:val="14"/>
                <w:szCs w:val="14"/>
                <w:lang w:eastAsia="sk-SK"/>
              </w:rPr>
              <w:br/>
              <w:t xml:space="preserve">          parku Haniska (KT)</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5,0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2.21.  MH SR - zvýš. ZI MH Invest II. a InvEast SR</w:t>
            </w:r>
            <w:r w:rsidRPr="000E1E98">
              <w:rPr>
                <w:rFonts w:ascii="Times New Roman" w:hAnsi="Times New Roman" w:cs="Times New Roman"/>
                <w:sz w:val="14"/>
                <w:szCs w:val="14"/>
                <w:lang w:eastAsia="sk-SK"/>
              </w:rPr>
              <w:br/>
              <w:t xml:space="preserve">          (Strateg. park Haniska) (KT)</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2 000,0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2.22. MZ SR - 1. etapa Koncepcie oddlženia ZZ (KT)</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109 557,5</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 xml:space="preserve">2.23. MZ SR - odpl. postúp. pohľ. na poistnom Soc. poisť. </w:t>
            </w:r>
            <w:r w:rsidRPr="000E1E98">
              <w:rPr>
                <w:rFonts w:ascii="Times New Roman" w:hAnsi="Times New Roman" w:cs="Times New Roman"/>
                <w:sz w:val="14"/>
                <w:szCs w:val="14"/>
                <w:lang w:eastAsia="sk-SK"/>
              </w:rPr>
              <w:br/>
              <w:t xml:space="preserve">         na Debitum, a.s. (KT)</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187 219,3</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2.24. NFV pre mesto Bardejov (FO)</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800,0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E65A85">
        <w:trPr>
          <w:trHeight w:val="255"/>
          <w:jc w:val="center"/>
        </w:trPr>
        <w:tc>
          <w:tcPr>
            <w:tcW w:w="1960" w:type="pct"/>
            <w:tcBorders>
              <w:top w:val="nil"/>
              <w:left w:val="single" w:sz="4" w:space="0" w:color="auto"/>
              <w:bottom w:val="single" w:sz="4" w:space="0" w:color="auto"/>
              <w:right w:val="single" w:sz="4" w:space="0" w:color="auto"/>
            </w:tcBorders>
            <w:shd w:val="clear" w:color="000000" w:fill="BFBFBF"/>
            <w:vAlign w:val="center"/>
            <w:hideMark/>
          </w:tcPr>
          <w:p w:rsidR="00CE37B1" w:rsidRPr="000E1E98" w:rsidRDefault="00CE37B1" w:rsidP="00963F86">
            <w:pPr>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 xml:space="preserve">Saldo rozpočtových operácií </w:t>
            </w:r>
          </w:p>
        </w:tc>
        <w:tc>
          <w:tcPr>
            <w:tcW w:w="434" w:type="pct"/>
            <w:tcBorders>
              <w:top w:val="nil"/>
              <w:left w:val="nil"/>
              <w:bottom w:val="single" w:sz="4" w:space="0" w:color="auto"/>
              <w:right w:val="single" w:sz="4" w:space="0" w:color="auto"/>
            </w:tcBorders>
            <w:shd w:val="clear" w:color="000000" w:fill="BFBFBF"/>
            <w:noWrap/>
            <w:vAlign w:val="center"/>
          </w:tcPr>
          <w:p w:rsidR="00CE37B1" w:rsidRPr="000E1E98" w:rsidRDefault="00E65A85" w:rsidP="00E65A85">
            <w:pPr>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-139 343,1</w:t>
            </w:r>
          </w:p>
        </w:tc>
        <w:tc>
          <w:tcPr>
            <w:tcW w:w="434" w:type="pct"/>
            <w:tcBorders>
              <w:top w:val="nil"/>
              <w:left w:val="nil"/>
              <w:bottom w:val="single" w:sz="4" w:space="0" w:color="auto"/>
              <w:right w:val="single" w:sz="4" w:space="0" w:color="auto"/>
            </w:tcBorders>
            <w:shd w:val="clear" w:color="000000" w:fill="BFBFBF"/>
            <w:noWrap/>
            <w:vAlign w:val="center"/>
          </w:tcPr>
          <w:p w:rsidR="00CE37B1" w:rsidRPr="000E1E98" w:rsidRDefault="00E65A85" w:rsidP="00963F86">
            <w:pPr>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156 055,1</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332 911,4</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34 157,6</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301 473,0</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367 467,0</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132 712,0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noWrap/>
            <w:vAlign w:val="center"/>
            <w:hideMark/>
          </w:tcPr>
          <w:p w:rsidR="00CE37B1" w:rsidRPr="000E1E98" w:rsidRDefault="00CE37B1" w:rsidP="00963F86">
            <w:pPr>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Vylúčenie finančných operácií</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-3 641,2</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-57 940,0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-89 670,4</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-39 722,4</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-48 801,0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-89 980,0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-51 181,0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noWrap/>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 xml:space="preserve">      vylúčenie príjmových FO</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-9 141,2</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-61 270,0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-110 670,4</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-86 022,4</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-95 871,0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-99 050,0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-61 683,0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auto" w:fill="auto"/>
            <w:noWrap/>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 xml:space="preserve">      vylúčenie výdavkových FO</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5 500,0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3 330,0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21 000,0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46 300,0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47 070,0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9 070,0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10 502,0</w:t>
            </w:r>
          </w:p>
        </w:tc>
      </w:tr>
      <w:tr w:rsidR="00CE37B1" w:rsidRPr="000E1E98" w:rsidTr="00FE3985">
        <w:trPr>
          <w:trHeight w:val="255"/>
          <w:jc w:val="center"/>
        </w:trPr>
        <w:tc>
          <w:tcPr>
            <w:tcW w:w="1960" w:type="pct"/>
            <w:tcBorders>
              <w:top w:val="nil"/>
              <w:left w:val="single" w:sz="4" w:space="0" w:color="auto"/>
              <w:bottom w:val="single" w:sz="4" w:space="0" w:color="auto"/>
              <w:right w:val="single" w:sz="4" w:space="0" w:color="auto"/>
            </w:tcBorders>
            <w:shd w:val="clear" w:color="auto" w:fill="auto"/>
            <w:noWrap/>
            <w:vAlign w:val="center"/>
            <w:hideMark/>
          </w:tcPr>
          <w:p w:rsidR="00CE37B1" w:rsidRPr="000E1E98" w:rsidRDefault="00CE37B1" w:rsidP="00963F86">
            <w:pPr>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Ostatné úpravy</w:t>
            </w:r>
          </w:p>
        </w:tc>
        <w:tc>
          <w:tcPr>
            <w:tcW w:w="434" w:type="pct"/>
            <w:tcBorders>
              <w:top w:val="nil"/>
              <w:left w:val="nil"/>
              <w:bottom w:val="single" w:sz="4" w:space="0" w:color="auto"/>
              <w:right w:val="single" w:sz="4" w:space="0" w:color="auto"/>
            </w:tcBorders>
            <w:shd w:val="clear" w:color="auto" w:fill="auto"/>
            <w:noWrap/>
            <w:vAlign w:val="center"/>
          </w:tcPr>
          <w:p w:rsidR="00CE37B1" w:rsidRPr="000E1E98" w:rsidRDefault="00FE3985" w:rsidP="00963F86">
            <w:pPr>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0,3</w:t>
            </w:r>
          </w:p>
        </w:tc>
        <w:tc>
          <w:tcPr>
            <w:tcW w:w="434" w:type="pct"/>
            <w:tcBorders>
              <w:top w:val="nil"/>
              <w:left w:val="nil"/>
              <w:bottom w:val="single" w:sz="4" w:space="0" w:color="auto"/>
              <w:right w:val="single" w:sz="4" w:space="0" w:color="auto"/>
            </w:tcBorders>
            <w:shd w:val="clear" w:color="auto" w:fill="auto"/>
            <w:noWrap/>
            <w:vAlign w:val="center"/>
          </w:tcPr>
          <w:p w:rsidR="00CE37B1" w:rsidRPr="000E1E98" w:rsidRDefault="00FE3985" w:rsidP="00963F86">
            <w:pPr>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-2,1</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-15,0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0,0</w:t>
            </w:r>
          </w:p>
        </w:tc>
      </w:tr>
      <w:tr w:rsidR="00CE37B1" w:rsidRPr="000E1E98" w:rsidTr="00E65A85">
        <w:trPr>
          <w:trHeight w:val="420"/>
          <w:jc w:val="center"/>
        </w:trPr>
        <w:tc>
          <w:tcPr>
            <w:tcW w:w="1960" w:type="pct"/>
            <w:tcBorders>
              <w:top w:val="nil"/>
              <w:left w:val="single" w:sz="4" w:space="0" w:color="auto"/>
              <w:bottom w:val="single" w:sz="4" w:space="0" w:color="auto"/>
              <w:right w:val="single" w:sz="4" w:space="0" w:color="auto"/>
            </w:tcBorders>
            <w:shd w:val="clear" w:color="000000" w:fill="BFBFBF"/>
            <w:vAlign w:val="center"/>
            <w:hideMark/>
          </w:tcPr>
          <w:p w:rsidR="00CE37B1" w:rsidRPr="000E1E98" w:rsidRDefault="00CE37B1" w:rsidP="00963F86">
            <w:pPr>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Saldo rozpočtových operácií bez FO</w:t>
            </w:r>
            <w:r w:rsidRPr="000E1E98">
              <w:rPr>
                <w:rFonts w:ascii="Times New Roman" w:hAnsi="Times New Roman" w:cs="Times New Roman"/>
                <w:b/>
                <w:bCs/>
                <w:sz w:val="14"/>
                <w:szCs w:val="14"/>
                <w:lang w:eastAsia="sk-SK"/>
              </w:rPr>
              <w:br/>
            </w:r>
            <w:r w:rsidRPr="000E1E98">
              <w:rPr>
                <w:rFonts w:ascii="Times New Roman" w:hAnsi="Times New Roman" w:cs="Times New Roman"/>
                <w:sz w:val="14"/>
                <w:szCs w:val="14"/>
                <w:lang w:eastAsia="sk-SK"/>
              </w:rPr>
              <w:t>(vplyv na RVS v metodike ESA 2010)</w:t>
            </w:r>
          </w:p>
        </w:tc>
        <w:tc>
          <w:tcPr>
            <w:tcW w:w="434" w:type="pct"/>
            <w:tcBorders>
              <w:top w:val="nil"/>
              <w:left w:val="nil"/>
              <w:bottom w:val="single" w:sz="4" w:space="0" w:color="auto"/>
              <w:right w:val="single" w:sz="4" w:space="0" w:color="auto"/>
            </w:tcBorders>
            <w:shd w:val="clear" w:color="000000" w:fill="BFBFBF"/>
            <w:noWrap/>
            <w:vAlign w:val="center"/>
          </w:tcPr>
          <w:p w:rsidR="00CE37B1" w:rsidRPr="000E1E98" w:rsidRDefault="00E65A85" w:rsidP="00E65A85">
            <w:pPr>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-142 984,0</w:t>
            </w:r>
          </w:p>
        </w:tc>
        <w:tc>
          <w:tcPr>
            <w:tcW w:w="434" w:type="pct"/>
            <w:tcBorders>
              <w:top w:val="nil"/>
              <w:left w:val="nil"/>
              <w:bottom w:val="single" w:sz="4" w:space="0" w:color="auto"/>
              <w:right w:val="single" w:sz="4" w:space="0" w:color="auto"/>
            </w:tcBorders>
            <w:shd w:val="clear" w:color="000000" w:fill="BFBFBF"/>
            <w:noWrap/>
            <w:vAlign w:val="center"/>
          </w:tcPr>
          <w:p w:rsidR="00CE37B1" w:rsidRPr="000E1E98" w:rsidRDefault="00E65A85" w:rsidP="00963F86">
            <w:pPr>
              <w:jc w:val="right"/>
              <w:rPr>
                <w:rFonts w:ascii="Times New Roman" w:hAnsi="Times New Roman" w:cs="Times New Roman"/>
                <w:b/>
                <w:bCs/>
                <w:sz w:val="14"/>
                <w:szCs w:val="14"/>
                <w:lang w:eastAsia="sk-SK"/>
              </w:rPr>
            </w:pPr>
            <w:r>
              <w:rPr>
                <w:rFonts w:ascii="Times New Roman" w:hAnsi="Times New Roman" w:cs="Times New Roman"/>
                <w:b/>
                <w:bCs/>
                <w:sz w:val="14"/>
                <w:szCs w:val="14"/>
                <w:lang w:eastAsia="sk-SK"/>
              </w:rPr>
              <w:t>98 113,0</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243 226,0</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-5 564,8</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252 672,0</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277 487,0</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81 531,0</w:t>
            </w:r>
          </w:p>
        </w:tc>
      </w:tr>
    </w:tbl>
    <w:p w:rsidR="00CE37B1" w:rsidRDefault="00CE37B1" w:rsidP="00CE37B1">
      <w:pPr>
        <w:ind w:firstLine="708"/>
        <w:jc w:val="both"/>
        <w:rPr>
          <w:rFonts w:ascii="Times New Roman" w:hAnsi="Times New Roman" w:cs="Times New Roman"/>
        </w:rPr>
      </w:pPr>
    </w:p>
    <w:p w:rsidR="00CE37B1" w:rsidRPr="002677A6" w:rsidRDefault="00CE37B1" w:rsidP="00CE37B1">
      <w:pPr>
        <w:ind w:firstLine="708"/>
        <w:jc w:val="both"/>
        <w:rPr>
          <w:rFonts w:ascii="Times New Roman" w:hAnsi="Times New Roman" w:cs="Times New Roman"/>
        </w:rPr>
      </w:pPr>
      <w:r w:rsidRPr="002677A6">
        <w:rPr>
          <w:rFonts w:ascii="Times New Roman" w:hAnsi="Times New Roman" w:cs="Times New Roman"/>
        </w:rPr>
        <w:lastRenderedPageBreak/>
        <w:t>Finančné operácie so štátnymi finančnými aktívami a iné operácie, ktoré ovplyvňujú stav štátnych finančných aktív, nie sú súčasťou príjmov a výdavkov štátneho rozpočtu.</w:t>
      </w:r>
    </w:p>
    <w:p w:rsidR="00CE37B1" w:rsidRPr="002677A6" w:rsidRDefault="00CE37B1" w:rsidP="00CE37B1"/>
    <w:p w:rsidR="00CE37B1" w:rsidRPr="002677A6" w:rsidRDefault="00CE37B1" w:rsidP="00CE37B1">
      <w:pPr>
        <w:keepNext/>
        <w:outlineLvl w:val="1"/>
        <w:rPr>
          <w:rFonts w:ascii="Times New Roman" w:hAnsi="Times New Roman" w:cs="Times New Roman"/>
        </w:rPr>
      </w:pPr>
      <w:bookmarkStart w:id="316" w:name="_Toc526273194"/>
      <w:r w:rsidRPr="002677A6">
        <w:rPr>
          <w:rFonts w:ascii="Times New Roman" w:hAnsi="Times New Roman" w:cs="Times New Roman"/>
          <w:b/>
          <w:bCs/>
        </w:rPr>
        <w:t>5.1. Príjmové operácie</w:t>
      </w:r>
      <w:bookmarkEnd w:id="314"/>
      <w:bookmarkEnd w:id="315"/>
      <w:bookmarkEnd w:id="316"/>
    </w:p>
    <w:p w:rsidR="00CE37B1" w:rsidRPr="002677A6" w:rsidRDefault="00CE37B1" w:rsidP="00CE37B1">
      <w:pPr>
        <w:ind w:firstLine="708"/>
        <w:jc w:val="both"/>
        <w:rPr>
          <w:rFonts w:ascii="Times New Roman" w:hAnsi="Times New Roman" w:cs="Times New Roman"/>
          <w:highlight w:val="yellow"/>
          <w:u w:val="single"/>
        </w:rPr>
      </w:pPr>
    </w:p>
    <w:p w:rsidR="00CE37B1" w:rsidRPr="002677A6" w:rsidRDefault="00CE37B1" w:rsidP="00CE37B1">
      <w:pPr>
        <w:adjustRightInd w:val="0"/>
        <w:jc w:val="both"/>
        <w:rPr>
          <w:rFonts w:ascii="Times New Roman" w:hAnsi="Times New Roman" w:cs="Times New Roman"/>
        </w:rPr>
      </w:pPr>
      <w:r w:rsidRPr="002677A6">
        <w:rPr>
          <w:rFonts w:ascii="Times New Roman" w:hAnsi="Times New Roman" w:cs="Times New Roman"/>
        </w:rPr>
        <w:t>5.1.1.</w:t>
      </w:r>
      <w:r w:rsidRPr="002677A6">
        <w:rPr>
          <w:rFonts w:ascii="Times New Roman" w:hAnsi="Times New Roman" w:cs="Times New Roman"/>
        </w:rPr>
        <w:tab/>
        <w:t xml:space="preserve">Príjmy z dividend od spoločností s majetkovou účasťou MH Manažment, a. s. sa </w:t>
      </w:r>
      <w:r>
        <w:rPr>
          <w:rFonts w:ascii="Times New Roman" w:hAnsi="Times New Roman" w:cs="Times New Roman"/>
        </w:rPr>
        <w:t xml:space="preserve">v roku 2019 </w:t>
      </w:r>
      <w:r w:rsidRPr="002677A6">
        <w:rPr>
          <w:rFonts w:ascii="Times New Roman" w:hAnsi="Times New Roman" w:cs="Times New Roman"/>
        </w:rPr>
        <w:t xml:space="preserve">rozpočtujú </w:t>
      </w:r>
      <w:r>
        <w:rPr>
          <w:rFonts w:ascii="Times New Roman" w:hAnsi="Times New Roman" w:cs="Times New Roman"/>
        </w:rPr>
        <w:t>n</w:t>
      </w:r>
      <w:r w:rsidRPr="002677A6">
        <w:rPr>
          <w:rFonts w:ascii="Times New Roman" w:hAnsi="Times New Roman" w:cs="Times New Roman"/>
        </w:rPr>
        <w:t>a úrovni 9,8 tis. eur a predstavujú príjem dividend od spoločnosti Trnavská teplárenská, a. s.</w:t>
      </w:r>
    </w:p>
    <w:p w:rsidR="00CE37B1" w:rsidRPr="002677A6" w:rsidRDefault="00CE37B1" w:rsidP="00CE37B1">
      <w:pPr>
        <w:jc w:val="both"/>
        <w:rPr>
          <w:rFonts w:ascii="Times New Roman" w:hAnsi="Times New Roman" w:cs="Times New Roman"/>
        </w:rPr>
      </w:pPr>
    </w:p>
    <w:p w:rsidR="00CE37B1" w:rsidRDefault="00CE37B1" w:rsidP="00CE37B1">
      <w:pPr>
        <w:adjustRightInd w:val="0"/>
        <w:jc w:val="both"/>
        <w:rPr>
          <w:rFonts w:ascii="Times New Roman" w:hAnsi="Times New Roman" w:cs="Times New Roman"/>
        </w:rPr>
      </w:pPr>
      <w:r w:rsidRPr="002677A6">
        <w:rPr>
          <w:rFonts w:ascii="Times New Roman" w:hAnsi="Times New Roman" w:cs="Times New Roman"/>
        </w:rPr>
        <w:t>5.1.2.</w:t>
      </w:r>
      <w:r w:rsidRPr="002677A6">
        <w:rPr>
          <w:rFonts w:ascii="Times New Roman" w:hAnsi="Times New Roman" w:cs="Times New Roman"/>
        </w:rPr>
        <w:tab/>
        <w:t>O</w:t>
      </w:r>
      <w:r>
        <w:rPr>
          <w:rFonts w:ascii="Times New Roman" w:hAnsi="Times New Roman" w:cs="Times New Roman"/>
        </w:rPr>
        <w:t>sobitný o</w:t>
      </w:r>
      <w:r w:rsidRPr="002677A6">
        <w:rPr>
          <w:rFonts w:ascii="Times New Roman" w:hAnsi="Times New Roman" w:cs="Times New Roman"/>
        </w:rPr>
        <w:t xml:space="preserve">dvod pre vybrané finančné inštitúcie </w:t>
      </w:r>
      <w:r>
        <w:rPr>
          <w:rFonts w:ascii="Times New Roman" w:hAnsi="Times New Roman" w:cs="Times New Roman"/>
        </w:rPr>
        <w:t xml:space="preserve">predstavuje štátne finančné aktíva, ktoré </w:t>
      </w:r>
      <w:r w:rsidRPr="00C546B4">
        <w:rPr>
          <w:rFonts w:ascii="Times New Roman" w:hAnsi="Times New Roman" w:cs="Times New Roman"/>
        </w:rPr>
        <w:t>sú účelovo určené na krytie nákladov spojených s riešením finančných kríz v bankovom sektore</w:t>
      </w:r>
      <w:r>
        <w:rPr>
          <w:rFonts w:ascii="Times New Roman" w:hAnsi="Times New Roman" w:cs="Times New Roman"/>
        </w:rPr>
        <w:t>,</w:t>
      </w:r>
      <w:r w:rsidRPr="00C546B4">
        <w:rPr>
          <w:rFonts w:ascii="Times New Roman" w:hAnsi="Times New Roman" w:cs="Times New Roman"/>
        </w:rPr>
        <w:t xml:space="preserve"> na ochranu stability bankového sektora Slovenskej republiky</w:t>
      </w:r>
      <w:r>
        <w:rPr>
          <w:rFonts w:ascii="Times New Roman" w:hAnsi="Times New Roman" w:cs="Times New Roman"/>
        </w:rPr>
        <w:t xml:space="preserve"> a </w:t>
      </w:r>
      <w:r w:rsidRPr="00C546B4">
        <w:rPr>
          <w:rFonts w:ascii="Times New Roman" w:hAnsi="Times New Roman" w:cs="Times New Roman"/>
        </w:rPr>
        <w:t xml:space="preserve">možno </w:t>
      </w:r>
      <w:r>
        <w:rPr>
          <w:rFonts w:ascii="Times New Roman" w:hAnsi="Times New Roman" w:cs="Times New Roman"/>
        </w:rPr>
        <w:t xml:space="preserve">ich </w:t>
      </w:r>
      <w:r w:rsidRPr="00C546B4">
        <w:rPr>
          <w:rFonts w:ascii="Times New Roman" w:hAnsi="Times New Roman" w:cs="Times New Roman"/>
        </w:rPr>
        <w:t>použiť aj na doplnenie zdrojov Fondu ochrany vkladov potrebných na výdavky z dôvodu výplaty náhrad za nedostupné vklady.</w:t>
      </w:r>
      <w:r>
        <w:rPr>
          <w:rFonts w:ascii="Times New Roman" w:hAnsi="Times New Roman" w:cs="Times New Roman"/>
        </w:rPr>
        <w:t xml:space="preserve"> V zmysle §</w:t>
      </w:r>
      <w:r w:rsidR="0042475B">
        <w:rPr>
          <w:rFonts w:ascii="Times New Roman" w:hAnsi="Times New Roman" w:cs="Times New Roman"/>
        </w:rPr>
        <w:t xml:space="preserve"> </w:t>
      </w:r>
      <w:r>
        <w:rPr>
          <w:rFonts w:ascii="Times New Roman" w:hAnsi="Times New Roman" w:cs="Times New Roman"/>
        </w:rPr>
        <w:t xml:space="preserve">3 ods. 2 zákona č. 384/2011 Z. z. </w:t>
      </w:r>
      <w:r w:rsidRPr="00140715">
        <w:rPr>
          <w:rFonts w:ascii="Times New Roman" w:hAnsi="Times New Roman" w:cs="Times New Roman"/>
        </w:rPr>
        <w:t>o osobitnom odvode vybraných finančných inštitúcií a o doplnení niektorých zákonov</w:t>
      </w:r>
      <w:r>
        <w:rPr>
          <w:rFonts w:ascii="Times New Roman" w:hAnsi="Times New Roman" w:cs="Times New Roman"/>
        </w:rPr>
        <w:t xml:space="preserve"> je od roku 2021 sadzba odvodu vo výške 0 %.</w:t>
      </w:r>
    </w:p>
    <w:p w:rsidR="00CE37B1" w:rsidRPr="002677A6" w:rsidRDefault="00CE37B1" w:rsidP="00CE37B1">
      <w:pPr>
        <w:jc w:val="both"/>
        <w:rPr>
          <w:rFonts w:ascii="Times New Roman" w:hAnsi="Times New Roman" w:cs="Times New Roman"/>
        </w:rPr>
      </w:pPr>
    </w:p>
    <w:p w:rsidR="00CE37B1" w:rsidRDefault="00CE37B1" w:rsidP="00CE37B1">
      <w:pPr>
        <w:jc w:val="both"/>
        <w:rPr>
          <w:rFonts w:ascii="Times New Roman" w:hAnsi="Times New Roman" w:cs="Times New Roman"/>
        </w:rPr>
      </w:pPr>
      <w:r w:rsidRPr="002677A6">
        <w:rPr>
          <w:rFonts w:ascii="Times New Roman" w:hAnsi="Times New Roman" w:cs="Times New Roman"/>
        </w:rPr>
        <w:t>5.1.3.</w:t>
      </w:r>
      <w:r w:rsidRPr="002677A6">
        <w:rPr>
          <w:rFonts w:ascii="Times New Roman" w:hAnsi="Times New Roman" w:cs="Times New Roman"/>
        </w:rPr>
        <w:tab/>
        <w:t>Príjmy z osobitného odvodu z podnikania v regulovaných odvetviach, v zmysle zákona č. 235/2012 Z. z.</w:t>
      </w:r>
      <w:r w:rsidRPr="002677A6">
        <w:t xml:space="preserve"> </w:t>
      </w:r>
      <w:r w:rsidRPr="002677A6">
        <w:rPr>
          <w:rFonts w:ascii="Times New Roman" w:hAnsi="Times New Roman" w:cs="Times New Roman"/>
        </w:rPr>
        <w:t xml:space="preserve">o osobitnom odvode z podnikania v regulovaných odvetviach a o zmene a doplnení niektorých zákonov, slúžia na perspektívne vytvorenie účelovo určenej osobitnej časti štátnych finančných aktív, z ktorých sa budú financovať prioritné projekty vlády. </w:t>
      </w:r>
    </w:p>
    <w:p w:rsidR="00CE37B1" w:rsidRDefault="00CE37B1" w:rsidP="00CE37B1">
      <w:pPr>
        <w:jc w:val="both"/>
        <w:rPr>
          <w:rFonts w:ascii="Times New Roman" w:hAnsi="Times New Roman" w:cs="Times New Roman"/>
        </w:rPr>
      </w:pPr>
    </w:p>
    <w:p w:rsidR="00CE37B1" w:rsidRPr="002677A6" w:rsidRDefault="00CE37B1" w:rsidP="00CE37B1">
      <w:pPr>
        <w:jc w:val="both"/>
        <w:rPr>
          <w:rFonts w:ascii="Times New Roman" w:hAnsi="Times New Roman" w:cs="Times New Roman"/>
        </w:rPr>
      </w:pPr>
      <w:r>
        <w:rPr>
          <w:rFonts w:ascii="Times New Roman" w:hAnsi="Times New Roman" w:cs="Times New Roman"/>
        </w:rPr>
        <w:t>5.1.4</w:t>
      </w:r>
      <w:r>
        <w:rPr>
          <w:rFonts w:ascii="Times New Roman" w:hAnsi="Times New Roman" w:cs="Times New Roman"/>
        </w:rPr>
        <w:tab/>
      </w:r>
      <w:r w:rsidRPr="002677A6">
        <w:rPr>
          <w:rFonts w:ascii="Times New Roman" w:hAnsi="Times New Roman" w:cs="Times New Roman"/>
        </w:rPr>
        <w:t>Do pôsobnosti Ministerstva financií SR patrí správa a vymáhanie pohľadávok štátu z titulu prídelu doplnkového pozemkového majetku presídlencom z Maďarska na základe Dohody medzi Československom a Maďarskom o výmene obyvateľstva publikovanej pod</w:t>
      </w:r>
      <w:r w:rsidRPr="002677A6">
        <w:rPr>
          <w:rFonts w:ascii="Times New Roman" w:hAnsi="Times New Roman" w:cs="Times New Roman"/>
        </w:rPr>
        <w:br/>
        <w:t>č. 145/1946 Zb. Celková pohľadávka štátu voči týmto fyzickým osobám bola k 3</w:t>
      </w:r>
      <w:r>
        <w:rPr>
          <w:rFonts w:ascii="Times New Roman" w:hAnsi="Times New Roman" w:cs="Times New Roman"/>
        </w:rPr>
        <w:t>1</w:t>
      </w:r>
      <w:r w:rsidRPr="002677A6">
        <w:rPr>
          <w:rFonts w:ascii="Times New Roman" w:hAnsi="Times New Roman" w:cs="Times New Roman"/>
        </w:rPr>
        <w:t xml:space="preserve">. </w:t>
      </w:r>
      <w:r>
        <w:rPr>
          <w:rFonts w:ascii="Times New Roman" w:hAnsi="Times New Roman" w:cs="Times New Roman"/>
        </w:rPr>
        <w:t>máju 2018</w:t>
      </w:r>
      <w:r w:rsidRPr="002677A6">
        <w:rPr>
          <w:rFonts w:ascii="Times New Roman" w:hAnsi="Times New Roman" w:cs="Times New Roman"/>
        </w:rPr>
        <w:t xml:space="preserve"> v sume </w:t>
      </w:r>
      <w:r>
        <w:rPr>
          <w:rFonts w:ascii="Times New Roman" w:hAnsi="Times New Roman" w:cs="Times New Roman"/>
        </w:rPr>
        <w:t>238,9</w:t>
      </w:r>
      <w:r w:rsidRPr="002677A6">
        <w:rPr>
          <w:rFonts w:ascii="Times New Roman" w:hAnsi="Times New Roman" w:cs="Times New Roman"/>
        </w:rPr>
        <w:t xml:space="preserve"> tis. eur. Príjmy z tohto titulu sa v jednotlivých rokoch predpokladajú konštantne na úrovni 15 tis. eur.                                                                                                                                                                                                                                                                                                                                                                                                                               </w:t>
      </w:r>
    </w:p>
    <w:p w:rsidR="00CE37B1" w:rsidRPr="002677A6" w:rsidRDefault="00CE37B1" w:rsidP="00CE37B1">
      <w:pPr>
        <w:jc w:val="both"/>
        <w:rPr>
          <w:rFonts w:ascii="Times New Roman" w:hAnsi="Times New Roman" w:cs="Times New Roman"/>
        </w:rPr>
      </w:pPr>
    </w:p>
    <w:p w:rsidR="00CE37B1" w:rsidRPr="002677A6" w:rsidRDefault="00CE37B1" w:rsidP="00CE37B1">
      <w:pPr>
        <w:jc w:val="both"/>
        <w:rPr>
          <w:rFonts w:ascii="Times New Roman" w:hAnsi="Times New Roman" w:cs="Times New Roman"/>
        </w:rPr>
      </w:pPr>
      <w:r w:rsidRPr="002677A6">
        <w:rPr>
          <w:rFonts w:ascii="Times New Roman" w:hAnsi="Times New Roman" w:cs="Times New Roman"/>
        </w:rPr>
        <w:t>5.1.</w:t>
      </w:r>
      <w:r>
        <w:rPr>
          <w:rFonts w:ascii="Times New Roman" w:hAnsi="Times New Roman" w:cs="Times New Roman"/>
        </w:rPr>
        <w:t>5</w:t>
      </w:r>
      <w:r w:rsidRPr="002677A6">
        <w:rPr>
          <w:rFonts w:ascii="Times New Roman" w:hAnsi="Times New Roman" w:cs="Times New Roman"/>
        </w:rPr>
        <w:t>.</w:t>
      </w:r>
      <w:r w:rsidRPr="002677A6">
        <w:rPr>
          <w:rFonts w:ascii="Times New Roman" w:hAnsi="Times New Roman" w:cs="Times New Roman"/>
        </w:rPr>
        <w:tab/>
        <w:t xml:space="preserve">Príjmy splátok návratných finančných výpomocí v pôsobnosti kapitoly Všeobecná pokladničná správa </w:t>
      </w:r>
      <w:r>
        <w:rPr>
          <w:rFonts w:ascii="Times New Roman" w:hAnsi="Times New Roman" w:cs="Times New Roman"/>
        </w:rPr>
        <w:t>s</w:t>
      </w:r>
      <w:r w:rsidRPr="002677A6">
        <w:rPr>
          <w:rFonts w:ascii="Times New Roman" w:hAnsi="Times New Roman" w:cs="Times New Roman"/>
        </w:rPr>
        <w:t>a v zmysle splátkových kalendárov očakávajú v jednotlivých rokoch rozpočtového rámca 201</w:t>
      </w:r>
      <w:r>
        <w:rPr>
          <w:rFonts w:ascii="Times New Roman" w:hAnsi="Times New Roman" w:cs="Times New Roman"/>
        </w:rPr>
        <w:t>9</w:t>
      </w:r>
      <w:r w:rsidRPr="002677A6">
        <w:rPr>
          <w:rFonts w:ascii="Times New Roman" w:hAnsi="Times New Roman" w:cs="Times New Roman"/>
        </w:rPr>
        <w:t xml:space="preserve"> až 202</w:t>
      </w:r>
      <w:r>
        <w:rPr>
          <w:rFonts w:ascii="Times New Roman" w:hAnsi="Times New Roman" w:cs="Times New Roman"/>
        </w:rPr>
        <w:t>1</w:t>
      </w:r>
      <w:r w:rsidRPr="002677A6">
        <w:rPr>
          <w:rFonts w:ascii="Times New Roman" w:hAnsi="Times New Roman" w:cs="Times New Roman"/>
        </w:rPr>
        <w:t xml:space="preserve"> </w:t>
      </w:r>
      <w:r>
        <w:rPr>
          <w:rFonts w:ascii="Times New Roman" w:hAnsi="Times New Roman" w:cs="Times New Roman"/>
        </w:rPr>
        <w:t>nasledovne.</w:t>
      </w:r>
    </w:p>
    <w:p w:rsidR="00CE37B1" w:rsidRPr="00B10051" w:rsidRDefault="00CE37B1" w:rsidP="00CE37B1">
      <w:pPr>
        <w:jc w:val="both"/>
        <w:rPr>
          <w:rFonts w:ascii="Times New Roman" w:hAnsi="Times New Roman" w:cs="Times New Roman"/>
          <w:sz w:val="12"/>
          <w:szCs w:val="12"/>
        </w:rPr>
      </w:pPr>
    </w:p>
    <w:tbl>
      <w:tblPr>
        <w:tblW w:w="5000" w:type="pct"/>
        <w:jc w:val="center"/>
        <w:tblCellMar>
          <w:left w:w="70" w:type="dxa"/>
          <w:right w:w="70" w:type="dxa"/>
        </w:tblCellMar>
        <w:tblLook w:val="04A0" w:firstRow="1" w:lastRow="0" w:firstColumn="1" w:lastColumn="0" w:noHBand="0" w:noVBand="1"/>
      </w:tblPr>
      <w:tblGrid>
        <w:gridCol w:w="3553"/>
        <w:gridCol w:w="787"/>
        <w:gridCol w:w="787"/>
        <w:gridCol w:w="787"/>
        <w:gridCol w:w="787"/>
        <w:gridCol w:w="787"/>
        <w:gridCol w:w="787"/>
        <w:gridCol w:w="787"/>
      </w:tblGrid>
      <w:tr w:rsidR="00CE37B1" w:rsidRPr="000E1E98" w:rsidTr="00963F86">
        <w:trPr>
          <w:trHeight w:val="420"/>
          <w:jc w:val="center"/>
        </w:trPr>
        <w:tc>
          <w:tcPr>
            <w:tcW w:w="1960" w:type="pct"/>
            <w:tcBorders>
              <w:top w:val="single" w:sz="4" w:space="0" w:color="auto"/>
              <w:left w:val="single" w:sz="4" w:space="0" w:color="auto"/>
              <w:bottom w:val="single" w:sz="4" w:space="0" w:color="auto"/>
              <w:right w:val="single" w:sz="4" w:space="0" w:color="auto"/>
            </w:tcBorders>
            <w:shd w:val="clear" w:color="000000" w:fill="A6A6A6"/>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b/>
                <w:bCs/>
                <w:sz w:val="14"/>
                <w:szCs w:val="14"/>
                <w:lang w:eastAsia="sk-SK"/>
              </w:rPr>
              <w:t>Všeobecná pokladničná správa</w:t>
            </w:r>
            <w:r w:rsidRPr="000E1E98">
              <w:rPr>
                <w:rFonts w:ascii="Times New Roman" w:hAnsi="Times New Roman" w:cs="Times New Roman"/>
                <w:sz w:val="14"/>
                <w:szCs w:val="14"/>
                <w:lang w:eastAsia="sk-SK"/>
              </w:rPr>
              <w:br/>
              <w:t>(v tis. eur)</w:t>
            </w:r>
          </w:p>
        </w:tc>
        <w:tc>
          <w:tcPr>
            <w:tcW w:w="434" w:type="pct"/>
            <w:tcBorders>
              <w:top w:val="single" w:sz="4" w:space="0" w:color="auto"/>
              <w:left w:val="nil"/>
              <w:bottom w:val="single" w:sz="4" w:space="0" w:color="auto"/>
              <w:right w:val="single" w:sz="4" w:space="0" w:color="auto"/>
            </w:tcBorders>
            <w:shd w:val="clear" w:color="000000" w:fill="A6A6A6"/>
            <w:noWrap/>
            <w:vAlign w:val="center"/>
            <w:hideMark/>
          </w:tcPr>
          <w:p w:rsidR="00CE37B1" w:rsidRPr="000E1E98" w:rsidRDefault="00CE37B1" w:rsidP="00963F86">
            <w:pPr>
              <w:jc w:val="center"/>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2016 S</w:t>
            </w:r>
          </w:p>
        </w:tc>
        <w:tc>
          <w:tcPr>
            <w:tcW w:w="434" w:type="pct"/>
            <w:tcBorders>
              <w:top w:val="single" w:sz="4" w:space="0" w:color="auto"/>
              <w:left w:val="nil"/>
              <w:bottom w:val="single" w:sz="4" w:space="0" w:color="auto"/>
              <w:right w:val="single" w:sz="4" w:space="0" w:color="auto"/>
            </w:tcBorders>
            <w:shd w:val="clear" w:color="000000" w:fill="A6A6A6"/>
            <w:noWrap/>
            <w:vAlign w:val="center"/>
            <w:hideMark/>
          </w:tcPr>
          <w:p w:rsidR="00CE37B1" w:rsidRPr="000E1E98" w:rsidRDefault="00CE37B1" w:rsidP="00963F86">
            <w:pPr>
              <w:jc w:val="center"/>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2017 S</w:t>
            </w:r>
          </w:p>
        </w:tc>
        <w:tc>
          <w:tcPr>
            <w:tcW w:w="434" w:type="pct"/>
            <w:tcBorders>
              <w:top w:val="single" w:sz="4" w:space="0" w:color="auto"/>
              <w:left w:val="nil"/>
              <w:bottom w:val="single" w:sz="4" w:space="0" w:color="auto"/>
              <w:right w:val="single" w:sz="4" w:space="0" w:color="auto"/>
            </w:tcBorders>
            <w:shd w:val="clear" w:color="000000" w:fill="A6A6A6"/>
            <w:noWrap/>
            <w:vAlign w:val="center"/>
            <w:hideMark/>
          </w:tcPr>
          <w:p w:rsidR="00CE37B1" w:rsidRPr="000E1E98" w:rsidRDefault="00CE37B1" w:rsidP="00963F86">
            <w:pPr>
              <w:jc w:val="center"/>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2018 R</w:t>
            </w:r>
          </w:p>
        </w:tc>
        <w:tc>
          <w:tcPr>
            <w:tcW w:w="434" w:type="pct"/>
            <w:tcBorders>
              <w:top w:val="single" w:sz="4" w:space="0" w:color="auto"/>
              <w:left w:val="nil"/>
              <w:bottom w:val="single" w:sz="4" w:space="0" w:color="auto"/>
              <w:right w:val="single" w:sz="4" w:space="0" w:color="auto"/>
            </w:tcBorders>
            <w:shd w:val="clear" w:color="000000" w:fill="A6A6A6"/>
            <w:noWrap/>
            <w:vAlign w:val="center"/>
            <w:hideMark/>
          </w:tcPr>
          <w:p w:rsidR="00CE37B1" w:rsidRPr="000E1E98" w:rsidRDefault="00CE37B1" w:rsidP="00963F86">
            <w:pPr>
              <w:jc w:val="center"/>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2018 OS</w:t>
            </w:r>
          </w:p>
        </w:tc>
        <w:tc>
          <w:tcPr>
            <w:tcW w:w="434" w:type="pct"/>
            <w:tcBorders>
              <w:top w:val="single" w:sz="4" w:space="0" w:color="auto"/>
              <w:left w:val="nil"/>
              <w:bottom w:val="single" w:sz="4" w:space="0" w:color="auto"/>
              <w:right w:val="single" w:sz="4" w:space="0" w:color="auto"/>
            </w:tcBorders>
            <w:shd w:val="clear" w:color="000000" w:fill="A6A6A6"/>
            <w:noWrap/>
            <w:vAlign w:val="center"/>
            <w:hideMark/>
          </w:tcPr>
          <w:p w:rsidR="00CE37B1" w:rsidRPr="000E1E98" w:rsidRDefault="00CE37B1" w:rsidP="00963F86">
            <w:pPr>
              <w:jc w:val="center"/>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2019 N</w:t>
            </w:r>
          </w:p>
        </w:tc>
        <w:tc>
          <w:tcPr>
            <w:tcW w:w="434" w:type="pct"/>
            <w:tcBorders>
              <w:top w:val="single" w:sz="4" w:space="0" w:color="auto"/>
              <w:left w:val="nil"/>
              <w:bottom w:val="single" w:sz="4" w:space="0" w:color="auto"/>
              <w:right w:val="single" w:sz="4" w:space="0" w:color="auto"/>
            </w:tcBorders>
            <w:shd w:val="clear" w:color="000000" w:fill="A6A6A6"/>
            <w:noWrap/>
            <w:vAlign w:val="center"/>
            <w:hideMark/>
          </w:tcPr>
          <w:p w:rsidR="00CE37B1" w:rsidRPr="000E1E98" w:rsidRDefault="00CE37B1" w:rsidP="00963F86">
            <w:pPr>
              <w:jc w:val="center"/>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2020 N</w:t>
            </w:r>
          </w:p>
        </w:tc>
        <w:tc>
          <w:tcPr>
            <w:tcW w:w="434" w:type="pct"/>
            <w:tcBorders>
              <w:top w:val="single" w:sz="4" w:space="0" w:color="auto"/>
              <w:left w:val="nil"/>
              <w:bottom w:val="single" w:sz="4" w:space="0" w:color="auto"/>
              <w:right w:val="single" w:sz="4" w:space="0" w:color="auto"/>
            </w:tcBorders>
            <w:shd w:val="clear" w:color="000000" w:fill="A6A6A6"/>
            <w:noWrap/>
            <w:vAlign w:val="center"/>
            <w:hideMark/>
          </w:tcPr>
          <w:p w:rsidR="00CE37B1" w:rsidRPr="000E1E98" w:rsidRDefault="00CE37B1" w:rsidP="00963F86">
            <w:pPr>
              <w:jc w:val="center"/>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2021 N</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noWrap/>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 xml:space="preserve">  - splátka NFV mesto Košice</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500,0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1 000,0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1 500,0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1 500,0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16 300,0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2 000,0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2 200,0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noWrap/>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 xml:space="preserve">  - splátka NFV mesto Martin</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250,0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250,0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250,0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250,0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250,0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250,0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 xml:space="preserve">  -  splátka NFV obec Ľubotice </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15,0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noWrap/>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 xml:space="preserve">  - splátka NFV mesto Bratislava</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10 000,0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2 500,0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2 500,0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 xml:space="preserve">  -  splátka NFV Univerzita Pavla Jozefa Šafárika Košice</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1 000,0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500,0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1 000,0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1 500,0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 xml:space="preserve">  -  splátka NFV Agentúra pre núdz. zás. ropy a rop. výrob.</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60 000,0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66 868,0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50 000,0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78 306,0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64 800,0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56 633,0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 xml:space="preserve">  -  splátka NFV Národná transfúzna služba SR</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28 000,0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noWrap/>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 xml:space="preserve">  - splátka NFV mesto Bardejov</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100,0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 xml:space="preserve">  -  splátka NFV mesto Žilina (obytný súbor Krasňany)</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8 621,2</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40"/>
          <w:jc w:val="center"/>
        </w:trPr>
        <w:tc>
          <w:tcPr>
            <w:tcW w:w="1960" w:type="pct"/>
            <w:tcBorders>
              <w:top w:val="nil"/>
              <w:left w:val="single" w:sz="4" w:space="0" w:color="auto"/>
              <w:bottom w:val="single" w:sz="4" w:space="0" w:color="auto"/>
              <w:right w:val="single" w:sz="4" w:space="0" w:color="auto"/>
            </w:tcBorders>
            <w:shd w:val="clear" w:color="auto" w:fill="auto"/>
            <w:vAlign w:val="center"/>
            <w:hideMark/>
          </w:tcPr>
          <w:p w:rsidR="00CE37B1" w:rsidRPr="000E1E98" w:rsidRDefault="00CE37B1" w:rsidP="00963F86">
            <w:pPr>
              <w:rPr>
                <w:rFonts w:ascii="Times New Roman" w:hAnsi="Times New Roman" w:cs="Times New Roman"/>
                <w:sz w:val="14"/>
                <w:szCs w:val="14"/>
                <w:lang w:eastAsia="sk-SK"/>
              </w:rPr>
            </w:pPr>
            <w:r w:rsidRPr="000E1E98">
              <w:rPr>
                <w:rFonts w:ascii="Times New Roman" w:hAnsi="Times New Roman" w:cs="Times New Roman"/>
                <w:sz w:val="14"/>
                <w:szCs w:val="14"/>
                <w:lang w:eastAsia="sk-SK"/>
              </w:rPr>
              <w:t xml:space="preserve">  -   splátka NFV MHInvest II. - Samsung</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2 720,0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c>
          <w:tcPr>
            <w:tcW w:w="434" w:type="pct"/>
            <w:tcBorders>
              <w:top w:val="nil"/>
              <w:left w:val="nil"/>
              <w:bottom w:val="single" w:sz="4" w:space="0" w:color="auto"/>
              <w:right w:val="single" w:sz="4" w:space="0" w:color="auto"/>
            </w:tcBorders>
            <w:shd w:val="clear" w:color="auto" w:fill="auto"/>
            <w:noWrap/>
            <w:vAlign w:val="center"/>
            <w:hideMark/>
          </w:tcPr>
          <w:p w:rsidR="00CE37B1" w:rsidRPr="000E1E98" w:rsidRDefault="00CE37B1" w:rsidP="00963F86">
            <w:pPr>
              <w:jc w:val="right"/>
              <w:rPr>
                <w:rFonts w:ascii="Times New Roman" w:hAnsi="Times New Roman" w:cs="Times New Roman"/>
                <w:sz w:val="14"/>
                <w:szCs w:val="14"/>
                <w:lang w:eastAsia="sk-SK"/>
              </w:rPr>
            </w:pPr>
            <w:r w:rsidRPr="000E1E98">
              <w:rPr>
                <w:rFonts w:ascii="Times New Roman" w:hAnsi="Times New Roman" w:cs="Times New Roman"/>
                <w:sz w:val="14"/>
                <w:szCs w:val="14"/>
                <w:lang w:eastAsia="sk-SK"/>
              </w:rPr>
              <w:t>0,0</w:t>
            </w:r>
          </w:p>
        </w:tc>
      </w:tr>
      <w:tr w:rsidR="00CE37B1" w:rsidRPr="000E1E98" w:rsidTr="00963F86">
        <w:trPr>
          <w:trHeight w:val="255"/>
          <w:jc w:val="center"/>
        </w:trPr>
        <w:tc>
          <w:tcPr>
            <w:tcW w:w="1960" w:type="pct"/>
            <w:tcBorders>
              <w:top w:val="nil"/>
              <w:left w:val="single" w:sz="4" w:space="0" w:color="auto"/>
              <w:bottom w:val="single" w:sz="4" w:space="0" w:color="auto"/>
              <w:right w:val="single" w:sz="4" w:space="0" w:color="auto"/>
            </w:tcBorders>
            <w:shd w:val="clear" w:color="000000" w:fill="BFBFBF"/>
            <w:noWrap/>
            <w:vAlign w:val="center"/>
            <w:hideMark/>
          </w:tcPr>
          <w:p w:rsidR="00CE37B1" w:rsidRPr="000E1E98" w:rsidRDefault="00CE37B1" w:rsidP="00963F86">
            <w:pPr>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Celkom</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9 141,2</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61 270,0</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79 638,0</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54 990,0</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95 871,0</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99 050,0</w:t>
            </w:r>
          </w:p>
        </w:tc>
        <w:tc>
          <w:tcPr>
            <w:tcW w:w="434" w:type="pct"/>
            <w:tcBorders>
              <w:top w:val="nil"/>
              <w:left w:val="nil"/>
              <w:bottom w:val="single" w:sz="4" w:space="0" w:color="auto"/>
              <w:right w:val="single" w:sz="4" w:space="0" w:color="auto"/>
            </w:tcBorders>
            <w:shd w:val="clear" w:color="000000" w:fill="BFBFBF"/>
            <w:noWrap/>
            <w:vAlign w:val="center"/>
            <w:hideMark/>
          </w:tcPr>
          <w:p w:rsidR="00CE37B1" w:rsidRPr="000E1E98" w:rsidRDefault="00CE37B1" w:rsidP="00963F86">
            <w:pPr>
              <w:jc w:val="right"/>
              <w:rPr>
                <w:rFonts w:ascii="Times New Roman" w:hAnsi="Times New Roman" w:cs="Times New Roman"/>
                <w:b/>
                <w:bCs/>
                <w:sz w:val="14"/>
                <w:szCs w:val="14"/>
                <w:lang w:eastAsia="sk-SK"/>
              </w:rPr>
            </w:pPr>
            <w:r w:rsidRPr="000E1E98">
              <w:rPr>
                <w:rFonts w:ascii="Times New Roman" w:hAnsi="Times New Roman" w:cs="Times New Roman"/>
                <w:b/>
                <w:bCs/>
                <w:sz w:val="14"/>
                <w:szCs w:val="14"/>
                <w:lang w:eastAsia="sk-SK"/>
              </w:rPr>
              <w:t>61 683,0</w:t>
            </w:r>
          </w:p>
        </w:tc>
      </w:tr>
    </w:tbl>
    <w:p w:rsidR="00CE37B1" w:rsidRPr="002677A6" w:rsidRDefault="00CE37B1" w:rsidP="00CE37B1">
      <w:pPr>
        <w:jc w:val="both"/>
        <w:rPr>
          <w:rFonts w:ascii="Times New Roman" w:hAnsi="Times New Roman" w:cs="Times New Roman"/>
        </w:rPr>
      </w:pPr>
    </w:p>
    <w:p w:rsidR="00CE37B1" w:rsidRPr="002677A6" w:rsidRDefault="00CE37B1" w:rsidP="00CE37B1">
      <w:pPr>
        <w:numPr>
          <w:ilvl w:val="0"/>
          <w:numId w:val="7"/>
        </w:numPr>
        <w:jc w:val="both"/>
        <w:rPr>
          <w:rFonts w:ascii="Times New Roman" w:hAnsi="Times New Roman" w:cs="Times New Roman"/>
        </w:rPr>
      </w:pPr>
      <w:r w:rsidRPr="002677A6">
        <w:rPr>
          <w:rFonts w:ascii="Times New Roman" w:hAnsi="Times New Roman" w:cs="Times New Roman"/>
        </w:rPr>
        <w:t xml:space="preserve">mestu Košice bola v rokoch 2014 a 2015 poskytnutá návratná finančná výpomoc v celkovej výške 20 000 tis. eur so splatnosťou na 10 rokov, s odkladom splátok na 1 rok, na financovanie projektov realizovaných na území mesta Košice s účelovým použitím na prípravu projektovej dokumentácie a súvislé opravy a rekonštrukcie komunikácií, modernizáciu električkových tratí a stratégiu rozvoja dopravy a dopravných stavieb realizovaných v rámci Operačného programu doprava, prioritná os č. 4 a na výstavbu </w:t>
      </w:r>
      <w:r w:rsidRPr="002677A6">
        <w:rPr>
          <w:rFonts w:ascii="Times New Roman" w:hAnsi="Times New Roman" w:cs="Times New Roman"/>
        </w:rPr>
        <w:lastRenderedPageBreak/>
        <w:t>futbalového štadióna</w:t>
      </w:r>
      <w:r>
        <w:rPr>
          <w:rFonts w:ascii="Times New Roman" w:hAnsi="Times New Roman" w:cs="Times New Roman"/>
        </w:rPr>
        <w:t xml:space="preserve">. V roku 2018 bola poskytnutá mestu Košice návratná finančná výpomoc vo výške 14 500 tis. eur </w:t>
      </w:r>
      <w:r w:rsidRPr="004C06C9">
        <w:rPr>
          <w:rFonts w:ascii="Times New Roman" w:hAnsi="Times New Roman" w:cs="Times New Roman"/>
        </w:rPr>
        <w:t xml:space="preserve">na projekt </w:t>
      </w:r>
      <w:r>
        <w:rPr>
          <w:rFonts w:ascii="Times New Roman" w:hAnsi="Times New Roman" w:cs="Times New Roman"/>
        </w:rPr>
        <w:t>„</w:t>
      </w:r>
      <w:r w:rsidRPr="004C06C9">
        <w:rPr>
          <w:rFonts w:ascii="Times New Roman" w:hAnsi="Times New Roman" w:cs="Times New Roman"/>
        </w:rPr>
        <w:t>Modernizácia električkových tratí v Košiciach – 2. etapa – 1. časť</w:t>
      </w:r>
      <w:r>
        <w:rPr>
          <w:rFonts w:ascii="Times New Roman" w:hAnsi="Times New Roman" w:cs="Times New Roman"/>
        </w:rPr>
        <w:t>“ s predpokladanou splatnosťou do 31. decembra 2019</w:t>
      </w:r>
      <w:r w:rsidRPr="002677A6">
        <w:rPr>
          <w:rFonts w:ascii="Times New Roman" w:hAnsi="Times New Roman" w:cs="Times New Roman"/>
        </w:rPr>
        <w:t>;</w:t>
      </w:r>
    </w:p>
    <w:p w:rsidR="00CE37B1" w:rsidRPr="002677A6" w:rsidRDefault="00CE37B1" w:rsidP="00CE37B1">
      <w:pPr>
        <w:jc w:val="both"/>
        <w:rPr>
          <w:rFonts w:ascii="Times New Roman" w:hAnsi="Times New Roman" w:cs="Times New Roman"/>
          <w:bCs/>
        </w:rPr>
      </w:pPr>
    </w:p>
    <w:p w:rsidR="00CE37B1" w:rsidRPr="002677A6" w:rsidRDefault="00CE37B1" w:rsidP="00CE37B1">
      <w:pPr>
        <w:numPr>
          <w:ilvl w:val="0"/>
          <w:numId w:val="7"/>
        </w:numPr>
        <w:jc w:val="both"/>
        <w:rPr>
          <w:rFonts w:ascii="Times New Roman" w:hAnsi="Times New Roman" w:cs="Times New Roman"/>
        </w:rPr>
      </w:pPr>
      <w:r w:rsidRPr="002677A6">
        <w:rPr>
          <w:rFonts w:ascii="Times New Roman" w:hAnsi="Times New Roman" w:cs="Times New Roman"/>
        </w:rPr>
        <w:t xml:space="preserve">v roku 2016 bola mestu Martin, v zmysle uznesenia vlády SR č. 118 z 30. marca 2016, poskytnutá návratná finančná výpomoc zo štátnych finančných aktív vo výške </w:t>
      </w:r>
      <w:r w:rsidRPr="002677A6">
        <w:rPr>
          <w:rFonts w:ascii="Times New Roman" w:hAnsi="Times New Roman" w:cs="Times New Roman"/>
        </w:rPr>
        <w:br/>
        <w:t xml:space="preserve">2 500 tis. eur so splatnosťou na 10 rokov na zabezpečenie samosprávnych funkcií mesta. Splácanie bude prebiehať v pravidelných ročných splátkach vo výške </w:t>
      </w:r>
      <w:r w:rsidRPr="002677A6">
        <w:rPr>
          <w:rFonts w:ascii="Times New Roman" w:hAnsi="Times New Roman" w:cs="Times New Roman"/>
        </w:rPr>
        <w:br/>
        <w:t>250 tis. eur;</w:t>
      </w:r>
    </w:p>
    <w:p w:rsidR="00CE37B1" w:rsidRPr="002677A6" w:rsidRDefault="00CE37B1" w:rsidP="00CE37B1">
      <w:pPr>
        <w:ind w:left="720"/>
        <w:jc w:val="both"/>
        <w:rPr>
          <w:rFonts w:ascii="Times New Roman" w:hAnsi="Times New Roman" w:cs="Times New Roman"/>
        </w:rPr>
      </w:pPr>
    </w:p>
    <w:p w:rsidR="00CE37B1" w:rsidRPr="002677A6" w:rsidRDefault="00CE37B1" w:rsidP="00CE37B1">
      <w:pPr>
        <w:numPr>
          <w:ilvl w:val="0"/>
          <w:numId w:val="7"/>
        </w:numPr>
        <w:jc w:val="both"/>
        <w:rPr>
          <w:rFonts w:ascii="Times New Roman" w:hAnsi="Times New Roman" w:cs="Times New Roman"/>
        </w:rPr>
      </w:pPr>
      <w:r w:rsidRPr="002677A6">
        <w:rPr>
          <w:rFonts w:ascii="Times New Roman" w:hAnsi="Times New Roman" w:cs="Times New Roman"/>
        </w:rPr>
        <w:t xml:space="preserve">obci Ľubotice bola poskytnutá v roku 2014, v zmysle uznesenia vlády SR č. 537 </w:t>
      </w:r>
      <w:r w:rsidRPr="002677A6">
        <w:rPr>
          <w:rFonts w:ascii="Times New Roman" w:hAnsi="Times New Roman" w:cs="Times New Roman"/>
        </w:rPr>
        <w:br/>
        <w:t xml:space="preserve">z 29. októbra 2014, návratná finančná výpomoc vo výške 200 tis. eur na preklenutie dočasného nedostatku finančných prostriedkov, ktoré sú výlučne určené na úhradu definitívneho urovnania vzájomných vzťahov a odstránenia sporov medzi spoločnosťou MIJOSTA, jej spoločníkmi a obcou Ľubotice. Vláda SR svojim uznesením č. 361 </w:t>
      </w:r>
      <w:r w:rsidRPr="002677A6">
        <w:rPr>
          <w:rFonts w:ascii="Times New Roman" w:hAnsi="Times New Roman" w:cs="Times New Roman"/>
        </w:rPr>
        <w:br/>
        <w:t>z 30. augusta 2016 schválila odpustenie časti návratnej finančnej výpomoci poskytnutej obci Ľubotice v sume 100 tis. eur</w:t>
      </w:r>
      <w:r>
        <w:rPr>
          <w:rFonts w:ascii="Times New Roman" w:hAnsi="Times New Roman" w:cs="Times New Roman"/>
        </w:rPr>
        <w:t>.</w:t>
      </w:r>
      <w:r w:rsidRPr="00582834">
        <w:rPr>
          <w:rFonts w:ascii="Times New Roman" w:hAnsi="Times New Roman" w:cs="Times New Roman"/>
        </w:rPr>
        <w:t xml:space="preserve"> </w:t>
      </w:r>
      <w:r>
        <w:rPr>
          <w:rFonts w:ascii="Times New Roman" w:hAnsi="Times New Roman" w:cs="Times New Roman"/>
        </w:rPr>
        <w:t>Návratná finančná výpomoc je splatná do 12. septembra 2019</w:t>
      </w:r>
      <w:r w:rsidRPr="002677A6">
        <w:rPr>
          <w:rFonts w:ascii="Times New Roman" w:hAnsi="Times New Roman" w:cs="Times New Roman"/>
        </w:rPr>
        <w:t>;</w:t>
      </w:r>
    </w:p>
    <w:p w:rsidR="00CE37B1" w:rsidRPr="002677A6" w:rsidRDefault="00CE37B1" w:rsidP="00CE37B1">
      <w:pPr>
        <w:ind w:left="720"/>
        <w:jc w:val="both"/>
        <w:rPr>
          <w:rFonts w:ascii="Times New Roman" w:hAnsi="Times New Roman" w:cs="Times New Roman"/>
        </w:rPr>
      </w:pPr>
    </w:p>
    <w:p w:rsidR="00CE37B1" w:rsidRPr="003C4F1C" w:rsidRDefault="00CE37B1" w:rsidP="00CE37B1">
      <w:pPr>
        <w:numPr>
          <w:ilvl w:val="0"/>
          <w:numId w:val="7"/>
        </w:numPr>
        <w:jc w:val="both"/>
        <w:rPr>
          <w:rFonts w:ascii="Times New Roman" w:hAnsi="Times New Roman" w:cs="Times New Roman"/>
        </w:rPr>
      </w:pPr>
      <w:r w:rsidRPr="003C4F1C">
        <w:rPr>
          <w:rFonts w:ascii="Times New Roman" w:hAnsi="Times New Roman" w:cs="Times New Roman"/>
        </w:rPr>
        <w:t xml:space="preserve">v roku 2014 bola mestu Bratislava, v zmysle uznesenia vlády SR č. 111 z 12. marca 2014, poskytnutá návratná finančná výpomoc zo štátnych finančných aktív vo výške </w:t>
      </w:r>
      <w:r w:rsidRPr="003C4F1C">
        <w:rPr>
          <w:rFonts w:ascii="Times New Roman" w:hAnsi="Times New Roman" w:cs="Times New Roman"/>
        </w:rPr>
        <w:br/>
        <w:t>2 500 tis. eur na rozvoj a podporu plnenia funkcií Bratislavy ako hlavného mesta Slovenskej republiky, kto</w:t>
      </w:r>
      <w:r>
        <w:rPr>
          <w:rFonts w:ascii="Times New Roman" w:hAnsi="Times New Roman" w:cs="Times New Roman"/>
        </w:rPr>
        <w:t>rá mala byť pôvodne splatená do</w:t>
      </w:r>
      <w:r w:rsidRPr="001D5CD0">
        <w:rPr>
          <w:rFonts w:ascii="Times New Roman" w:hAnsi="Times New Roman" w:cs="Times New Roman"/>
        </w:rPr>
        <w:t xml:space="preserve"> 31. októbra</w:t>
      </w:r>
      <w:r>
        <w:rPr>
          <w:rFonts w:ascii="Times New Roman" w:hAnsi="Times New Roman" w:cs="Times New Roman"/>
        </w:rPr>
        <w:t xml:space="preserve"> </w:t>
      </w:r>
      <w:r w:rsidRPr="003C4F1C">
        <w:rPr>
          <w:rFonts w:ascii="Times New Roman" w:hAnsi="Times New Roman" w:cs="Times New Roman"/>
        </w:rPr>
        <w:t xml:space="preserve">2016. Uznesením vlády SR č. 399 z 8. júla 2015 bola táto navýšená na celkovú čiastku vo výške 10 000 tis. eur so splatnosťou najneskôr do 31. decembra 2018. Uznesením vlády č. 570/2017 bola predĺžená </w:t>
      </w:r>
      <w:r>
        <w:rPr>
          <w:rFonts w:ascii="Times New Roman" w:hAnsi="Times New Roman" w:cs="Times New Roman"/>
        </w:rPr>
        <w:t>s</w:t>
      </w:r>
      <w:r w:rsidRPr="003C4F1C">
        <w:rPr>
          <w:rFonts w:ascii="Times New Roman" w:hAnsi="Times New Roman" w:cs="Times New Roman"/>
        </w:rPr>
        <w:t>plátka návratnej finančnej výpomoci v objeme 2</w:t>
      </w:r>
      <w:r>
        <w:rPr>
          <w:rFonts w:ascii="Times New Roman" w:hAnsi="Times New Roman" w:cs="Times New Roman"/>
        </w:rPr>
        <w:t> </w:t>
      </w:r>
      <w:r w:rsidRPr="003C4F1C">
        <w:rPr>
          <w:rFonts w:ascii="Times New Roman" w:hAnsi="Times New Roman" w:cs="Times New Roman"/>
        </w:rPr>
        <w:t>5</w:t>
      </w:r>
      <w:r>
        <w:rPr>
          <w:rFonts w:ascii="Times New Roman" w:hAnsi="Times New Roman" w:cs="Times New Roman"/>
        </w:rPr>
        <w:t>00 tis. eur</w:t>
      </w:r>
      <w:r w:rsidRPr="003C4F1C">
        <w:rPr>
          <w:rFonts w:ascii="Times New Roman" w:hAnsi="Times New Roman" w:cs="Times New Roman"/>
        </w:rPr>
        <w:t xml:space="preserve"> do konca roka 2020 a výpomoc v objeme 7</w:t>
      </w:r>
      <w:r>
        <w:rPr>
          <w:rFonts w:ascii="Times New Roman" w:hAnsi="Times New Roman" w:cs="Times New Roman"/>
        </w:rPr>
        <w:t> 500 tis. eur</w:t>
      </w:r>
      <w:r w:rsidRPr="003C4F1C">
        <w:rPr>
          <w:rFonts w:ascii="Times New Roman" w:hAnsi="Times New Roman" w:cs="Times New Roman"/>
        </w:rPr>
        <w:t xml:space="preserve"> </w:t>
      </w:r>
      <w:r>
        <w:rPr>
          <w:rFonts w:ascii="Times New Roman" w:hAnsi="Times New Roman" w:cs="Times New Roman"/>
        </w:rPr>
        <w:t xml:space="preserve">splatiť </w:t>
      </w:r>
      <w:r w:rsidRPr="003C4F1C">
        <w:rPr>
          <w:rFonts w:ascii="Times New Roman" w:hAnsi="Times New Roman" w:cs="Times New Roman"/>
        </w:rPr>
        <w:t>v rokoch 2021 až 2023, a to v rovnomerných splátkach po 2</w:t>
      </w:r>
      <w:r>
        <w:rPr>
          <w:rFonts w:ascii="Times New Roman" w:hAnsi="Times New Roman" w:cs="Times New Roman"/>
        </w:rPr>
        <w:t> 500 tis. eur</w:t>
      </w:r>
      <w:r w:rsidRPr="003C4F1C">
        <w:rPr>
          <w:rFonts w:ascii="Times New Roman" w:hAnsi="Times New Roman" w:cs="Times New Roman"/>
        </w:rPr>
        <w:t xml:space="preserve"> ročne;</w:t>
      </w:r>
    </w:p>
    <w:p w:rsidR="00CE37B1" w:rsidRPr="002677A6" w:rsidRDefault="00CE37B1" w:rsidP="00CE37B1">
      <w:pPr>
        <w:ind w:left="720"/>
        <w:jc w:val="both"/>
        <w:rPr>
          <w:rFonts w:ascii="Times New Roman" w:hAnsi="Times New Roman" w:cs="Times New Roman"/>
        </w:rPr>
      </w:pPr>
    </w:p>
    <w:p w:rsidR="00CE37B1" w:rsidRPr="002677A6" w:rsidRDefault="00CE37B1" w:rsidP="00CE37B1">
      <w:pPr>
        <w:numPr>
          <w:ilvl w:val="0"/>
          <w:numId w:val="7"/>
        </w:numPr>
        <w:jc w:val="both"/>
        <w:rPr>
          <w:rFonts w:ascii="Times New Roman" w:hAnsi="Times New Roman" w:cs="Times New Roman"/>
        </w:rPr>
      </w:pPr>
      <w:r w:rsidRPr="002677A6">
        <w:rPr>
          <w:rFonts w:ascii="Times New Roman" w:hAnsi="Times New Roman" w:cs="Times New Roman"/>
        </w:rPr>
        <w:t>v roku 2016 bola Univerzite Pavla Jozefa Šafárika v Košiciach, v zmysle uznesenia vlády č. 597 z 14. decembra 2016, poskytnutá návratná finančná výpomoc zo štátnych finančných aktív vo výške 3 000 tis. eur na elimináciu následkov požiaru budovy Prírodovedeckej fakul</w:t>
      </w:r>
      <w:r>
        <w:rPr>
          <w:rFonts w:ascii="Times New Roman" w:hAnsi="Times New Roman" w:cs="Times New Roman"/>
        </w:rPr>
        <w:t>ty UPJŠ</w:t>
      </w:r>
      <w:r w:rsidRPr="002677A6">
        <w:rPr>
          <w:rFonts w:ascii="Times New Roman" w:hAnsi="Times New Roman" w:cs="Times New Roman"/>
        </w:rPr>
        <w:t>;</w:t>
      </w:r>
    </w:p>
    <w:p w:rsidR="00CE37B1" w:rsidRPr="002677A6" w:rsidRDefault="00CE37B1" w:rsidP="00CE37B1">
      <w:pPr>
        <w:jc w:val="both"/>
        <w:rPr>
          <w:rFonts w:ascii="Times New Roman" w:hAnsi="Times New Roman" w:cs="Times New Roman"/>
        </w:rPr>
      </w:pPr>
    </w:p>
    <w:p w:rsidR="00CE37B1" w:rsidRDefault="00CE37B1" w:rsidP="00CE37B1">
      <w:pPr>
        <w:numPr>
          <w:ilvl w:val="0"/>
          <w:numId w:val="7"/>
        </w:numPr>
        <w:jc w:val="both"/>
        <w:rPr>
          <w:rFonts w:ascii="Times New Roman" w:hAnsi="Times New Roman" w:cs="Times New Roman"/>
        </w:rPr>
      </w:pPr>
      <w:r w:rsidRPr="002677A6">
        <w:rPr>
          <w:rFonts w:ascii="Times New Roman" w:hAnsi="Times New Roman" w:cs="Times New Roman"/>
        </w:rPr>
        <w:t>v roku 2014 bola Agentúre pre núdzové zásoby ropy a ropných výrobkov (ďalej „Agentúra“), v zmysle uznesenia vlády SR č. 581 z 20. novembra 2014, poskytnutá návratná finančná výpomoc zo štátnych finančných aktív vo výške 520 000 tis. eur. Pôvodne sa Agentúra zaviazala splatiť návratnú finančnú výpomoc jednorazovo v termíne do 16. decembra 2024. Zároveň však zmluva o návratnej finančnej výpomoci umožňuje predčasné splatenie celkovej sumy alebo jej častí, k čomu v</w:t>
      </w:r>
      <w:r>
        <w:rPr>
          <w:rFonts w:ascii="Times New Roman" w:hAnsi="Times New Roman" w:cs="Times New Roman"/>
        </w:rPr>
        <w:t> súčasnosti Agentúra pristupuje;</w:t>
      </w:r>
    </w:p>
    <w:p w:rsidR="00CE37B1" w:rsidRDefault="00CE37B1" w:rsidP="00CE37B1">
      <w:pPr>
        <w:pStyle w:val="Odsekzoznamu"/>
        <w:rPr>
          <w:rFonts w:ascii="Times New Roman" w:hAnsi="Times New Roman" w:cs="Times New Roman"/>
        </w:rPr>
      </w:pPr>
    </w:p>
    <w:p w:rsidR="00CE37B1" w:rsidRPr="002677A6" w:rsidRDefault="00CE37B1" w:rsidP="00CE37B1">
      <w:pPr>
        <w:numPr>
          <w:ilvl w:val="0"/>
          <w:numId w:val="7"/>
        </w:numPr>
        <w:jc w:val="both"/>
        <w:rPr>
          <w:rFonts w:ascii="Times New Roman" w:hAnsi="Times New Roman" w:cs="Times New Roman"/>
        </w:rPr>
      </w:pPr>
      <w:r>
        <w:rPr>
          <w:rFonts w:ascii="Times New Roman" w:hAnsi="Times New Roman" w:cs="Times New Roman"/>
        </w:rPr>
        <w:t>v roku 2018 bola poskytnutá, v zmysle uznesenia vlády SR č. 425 z 13. septembra 2017, návratná finančná výpomoc pre Národnú transfúznu službu SR na úhradu jej záväzkov po lehote splatnosti (istina). Dlžník sa zaviazal uvedenú sumu vrátiť najneskôr v termíne do 31. decembra 2020;</w:t>
      </w:r>
    </w:p>
    <w:p w:rsidR="00CE37B1" w:rsidRDefault="00CE37B1" w:rsidP="00CE37B1">
      <w:pPr>
        <w:ind w:left="720"/>
        <w:jc w:val="both"/>
        <w:rPr>
          <w:rFonts w:ascii="Times New Roman" w:hAnsi="Times New Roman" w:cs="Times New Roman"/>
        </w:rPr>
      </w:pPr>
    </w:p>
    <w:p w:rsidR="00CE37B1" w:rsidRPr="00BD16A7" w:rsidRDefault="00CE37B1" w:rsidP="00CE37B1">
      <w:pPr>
        <w:numPr>
          <w:ilvl w:val="0"/>
          <w:numId w:val="7"/>
        </w:numPr>
        <w:jc w:val="both"/>
        <w:rPr>
          <w:rFonts w:ascii="Times New Roman" w:hAnsi="Times New Roman" w:cs="Times New Roman"/>
        </w:rPr>
      </w:pPr>
      <w:r w:rsidRPr="00BD16A7">
        <w:rPr>
          <w:rFonts w:ascii="Times New Roman" w:hAnsi="Times New Roman" w:cs="Times New Roman"/>
        </w:rPr>
        <w:t xml:space="preserve">v roku 2018 bola poskytnutá, v zmysle uznesenia vlády SR č. 307 zo 4. júla 2018, návratná finančná výpomoc pre Mesto Bardejov na dostavbu oddychového areálu  Základnej školy sídlisko Vinbarg. Splácanie bude prebiehať v pravidelných ročných splátkach vo </w:t>
      </w:r>
      <w:r>
        <w:rPr>
          <w:rFonts w:ascii="Times New Roman" w:hAnsi="Times New Roman" w:cs="Times New Roman"/>
        </w:rPr>
        <w:t>výške 100 tis. eur od roku 2021.</w:t>
      </w:r>
    </w:p>
    <w:p w:rsidR="00CE37B1" w:rsidRPr="002677A6" w:rsidRDefault="00CE37B1" w:rsidP="00CE37B1">
      <w:pPr>
        <w:keepNext/>
        <w:spacing w:before="240" w:after="60"/>
        <w:outlineLvl w:val="1"/>
        <w:rPr>
          <w:rFonts w:ascii="Times New Roman" w:hAnsi="Times New Roman" w:cs="Times New Roman"/>
        </w:rPr>
      </w:pPr>
      <w:bookmarkStart w:id="317" w:name="_Toc457904311"/>
      <w:bookmarkStart w:id="318" w:name="_Toc463049708"/>
      <w:bookmarkStart w:id="319" w:name="_Toc526273195"/>
      <w:r w:rsidRPr="002677A6">
        <w:rPr>
          <w:rFonts w:ascii="Times New Roman" w:hAnsi="Times New Roman" w:cs="Times New Roman"/>
          <w:b/>
          <w:bCs/>
        </w:rPr>
        <w:lastRenderedPageBreak/>
        <w:t>5.2. Výdavkové operácie</w:t>
      </w:r>
      <w:bookmarkEnd w:id="317"/>
      <w:bookmarkEnd w:id="318"/>
      <w:bookmarkEnd w:id="319"/>
    </w:p>
    <w:p w:rsidR="00CE37B1" w:rsidRPr="002677A6" w:rsidRDefault="00CE37B1" w:rsidP="00CE37B1">
      <w:pPr>
        <w:rPr>
          <w:rFonts w:ascii="Times New Roman" w:hAnsi="Times New Roman" w:cs="Times New Roman"/>
        </w:rPr>
      </w:pPr>
    </w:p>
    <w:p w:rsidR="00CE37B1" w:rsidRDefault="00CE37B1" w:rsidP="00CE37B1">
      <w:pPr>
        <w:jc w:val="both"/>
        <w:rPr>
          <w:rFonts w:ascii="Times New Roman" w:hAnsi="Times New Roman" w:cs="Times New Roman"/>
        </w:rPr>
      </w:pPr>
      <w:bookmarkStart w:id="320" w:name="_Toc116476500"/>
      <w:r w:rsidRPr="002677A6">
        <w:rPr>
          <w:rFonts w:ascii="Times New Roman" w:hAnsi="Times New Roman" w:cs="Times New Roman"/>
        </w:rPr>
        <w:t xml:space="preserve">5.2.1. </w:t>
      </w:r>
      <w:r w:rsidRPr="002677A6">
        <w:rPr>
          <w:rFonts w:ascii="Times New Roman" w:hAnsi="Times New Roman" w:cs="Times New Roman"/>
        </w:rPr>
        <w:tab/>
        <w:t>Príjmy v zmysle bodu 5.1.1. sa v jednotlivých rokoch rozpočtového rámca 201</w:t>
      </w:r>
      <w:r>
        <w:rPr>
          <w:rFonts w:ascii="Times New Roman" w:hAnsi="Times New Roman" w:cs="Times New Roman"/>
        </w:rPr>
        <w:t>9</w:t>
      </w:r>
      <w:r w:rsidRPr="002677A6">
        <w:rPr>
          <w:rFonts w:ascii="Times New Roman" w:hAnsi="Times New Roman" w:cs="Times New Roman"/>
        </w:rPr>
        <w:t xml:space="preserve"> až 202</w:t>
      </w:r>
      <w:r>
        <w:rPr>
          <w:rFonts w:ascii="Times New Roman" w:hAnsi="Times New Roman" w:cs="Times New Roman"/>
        </w:rPr>
        <w:t>1</w:t>
      </w:r>
      <w:r w:rsidRPr="002677A6">
        <w:rPr>
          <w:rFonts w:ascii="Times New Roman" w:hAnsi="Times New Roman" w:cs="Times New Roman"/>
        </w:rPr>
        <w:t xml:space="preserve"> v rovnakej výške ako vstúpia do príjmov štátnych finančných aktív prevedú do príjmov štátneho rozpočtu. </w:t>
      </w:r>
    </w:p>
    <w:p w:rsidR="00CE37B1" w:rsidRPr="002677A6" w:rsidRDefault="00CE37B1" w:rsidP="00CE37B1">
      <w:pPr>
        <w:jc w:val="both"/>
        <w:rPr>
          <w:rFonts w:ascii="Times New Roman" w:hAnsi="Times New Roman" w:cs="Times New Roman"/>
        </w:rPr>
      </w:pPr>
    </w:p>
    <w:p w:rsidR="00CE37B1" w:rsidRDefault="00CE37B1" w:rsidP="00CE37B1">
      <w:pPr>
        <w:jc w:val="both"/>
        <w:rPr>
          <w:rFonts w:ascii="Times New Roman" w:hAnsi="Times New Roman" w:cs="Times New Roman"/>
        </w:rPr>
      </w:pPr>
      <w:r w:rsidRPr="002677A6">
        <w:rPr>
          <w:rFonts w:ascii="Times New Roman" w:hAnsi="Times New Roman" w:cs="Times New Roman"/>
        </w:rPr>
        <w:t>5.2.2.</w:t>
      </w:r>
      <w:r w:rsidRPr="002677A6">
        <w:rPr>
          <w:rFonts w:ascii="Times New Roman" w:hAnsi="Times New Roman" w:cs="Times New Roman"/>
        </w:rPr>
        <w:tab/>
        <w:t>V jednotlivých rokoch rozpočtového rámca 201</w:t>
      </w:r>
      <w:r>
        <w:rPr>
          <w:rFonts w:ascii="Times New Roman" w:hAnsi="Times New Roman" w:cs="Times New Roman"/>
        </w:rPr>
        <w:t>9</w:t>
      </w:r>
      <w:r w:rsidRPr="002677A6">
        <w:rPr>
          <w:rFonts w:ascii="Times New Roman" w:hAnsi="Times New Roman" w:cs="Times New Roman"/>
        </w:rPr>
        <w:t xml:space="preserve"> až 202</w:t>
      </w:r>
      <w:r>
        <w:rPr>
          <w:rFonts w:ascii="Times New Roman" w:hAnsi="Times New Roman" w:cs="Times New Roman"/>
        </w:rPr>
        <w:t>1</w:t>
      </w:r>
      <w:r w:rsidRPr="002677A6">
        <w:rPr>
          <w:rFonts w:ascii="Times New Roman" w:hAnsi="Times New Roman" w:cs="Times New Roman"/>
        </w:rPr>
        <w:t xml:space="preserve"> sa rozpočtujú </w:t>
      </w:r>
      <w:r>
        <w:rPr>
          <w:rFonts w:ascii="Times New Roman" w:hAnsi="Times New Roman" w:cs="Times New Roman"/>
        </w:rPr>
        <w:t xml:space="preserve">nasledovné </w:t>
      </w:r>
      <w:r w:rsidRPr="002677A6">
        <w:rPr>
          <w:rFonts w:ascii="Times New Roman" w:hAnsi="Times New Roman" w:cs="Times New Roman"/>
        </w:rPr>
        <w:t>finančné operácie na strane výdavkov štátnych finančných aktív.</w:t>
      </w:r>
    </w:p>
    <w:p w:rsidR="00CE37B1" w:rsidRPr="002677A6" w:rsidRDefault="00CE37B1" w:rsidP="00CE37B1">
      <w:pPr>
        <w:jc w:val="both"/>
        <w:rPr>
          <w:rFonts w:ascii="Times New Roman" w:hAnsi="Times New Roman" w:cs="Times New Roman"/>
        </w:rPr>
      </w:pPr>
    </w:p>
    <w:tbl>
      <w:tblPr>
        <w:tblW w:w="9161" w:type="dxa"/>
        <w:jc w:val="center"/>
        <w:tblCellMar>
          <w:left w:w="70" w:type="dxa"/>
          <w:right w:w="70" w:type="dxa"/>
        </w:tblCellMar>
        <w:tblLook w:val="04A0" w:firstRow="1" w:lastRow="0" w:firstColumn="1" w:lastColumn="0" w:noHBand="0" w:noVBand="1"/>
      </w:tblPr>
      <w:tblGrid>
        <w:gridCol w:w="3421"/>
        <w:gridCol w:w="820"/>
        <w:gridCol w:w="820"/>
        <w:gridCol w:w="820"/>
        <w:gridCol w:w="820"/>
        <w:gridCol w:w="820"/>
        <w:gridCol w:w="820"/>
        <w:gridCol w:w="820"/>
      </w:tblGrid>
      <w:tr w:rsidR="00CE37B1" w:rsidRPr="00461245" w:rsidTr="00963F86">
        <w:trPr>
          <w:trHeight w:val="255"/>
          <w:jc w:val="center"/>
        </w:trPr>
        <w:tc>
          <w:tcPr>
            <w:tcW w:w="3421"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CE37B1" w:rsidRPr="00461245" w:rsidRDefault="00CE37B1" w:rsidP="00963F86">
            <w:pPr>
              <w:rPr>
                <w:rFonts w:ascii="Times New Roman" w:hAnsi="Times New Roman" w:cs="Times New Roman"/>
                <w:sz w:val="14"/>
                <w:szCs w:val="14"/>
                <w:lang w:eastAsia="sk-SK"/>
              </w:rPr>
            </w:pPr>
            <w:r w:rsidRPr="00461245">
              <w:rPr>
                <w:rFonts w:ascii="Times New Roman" w:hAnsi="Times New Roman" w:cs="Times New Roman"/>
                <w:sz w:val="14"/>
                <w:szCs w:val="14"/>
                <w:lang w:eastAsia="sk-SK"/>
              </w:rPr>
              <w:t>(v tis. eur)</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CE37B1" w:rsidRPr="00461245" w:rsidRDefault="00CE37B1" w:rsidP="00963F86">
            <w:pPr>
              <w:jc w:val="center"/>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2016 S</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CE37B1" w:rsidRPr="00461245" w:rsidRDefault="00CE37B1" w:rsidP="00963F86">
            <w:pPr>
              <w:jc w:val="center"/>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2017 S</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CE37B1" w:rsidRPr="00461245" w:rsidRDefault="00CE37B1" w:rsidP="00963F86">
            <w:pPr>
              <w:jc w:val="center"/>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2018 R</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CE37B1" w:rsidRPr="00461245" w:rsidRDefault="00CE37B1" w:rsidP="00963F86">
            <w:pPr>
              <w:jc w:val="center"/>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2018 OS</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CE37B1" w:rsidRPr="00461245" w:rsidRDefault="00CE37B1" w:rsidP="00963F86">
            <w:pPr>
              <w:jc w:val="center"/>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2019 N</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CE37B1" w:rsidRPr="00461245" w:rsidRDefault="00CE37B1" w:rsidP="00963F86">
            <w:pPr>
              <w:jc w:val="center"/>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2020 N</w:t>
            </w:r>
          </w:p>
        </w:tc>
        <w:tc>
          <w:tcPr>
            <w:tcW w:w="820" w:type="dxa"/>
            <w:tcBorders>
              <w:top w:val="single" w:sz="4" w:space="0" w:color="auto"/>
              <w:left w:val="nil"/>
              <w:bottom w:val="single" w:sz="4" w:space="0" w:color="auto"/>
              <w:right w:val="single" w:sz="4" w:space="0" w:color="auto"/>
            </w:tcBorders>
            <w:shd w:val="clear" w:color="000000" w:fill="A6A6A6"/>
            <w:noWrap/>
            <w:vAlign w:val="center"/>
            <w:hideMark/>
          </w:tcPr>
          <w:p w:rsidR="00CE37B1" w:rsidRPr="00461245" w:rsidRDefault="00CE37B1" w:rsidP="00963F86">
            <w:pPr>
              <w:jc w:val="center"/>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2021 N</w:t>
            </w:r>
          </w:p>
        </w:tc>
      </w:tr>
      <w:tr w:rsidR="00CE37B1" w:rsidRPr="00461245" w:rsidTr="00963F86">
        <w:trPr>
          <w:trHeight w:val="600"/>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CE37B1" w:rsidRPr="00461245" w:rsidRDefault="00CE37B1" w:rsidP="00963F86">
            <w:pPr>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 xml:space="preserve">IDA* </w:t>
            </w:r>
            <w:r w:rsidRPr="00461245">
              <w:rPr>
                <w:rFonts w:ascii="Times New Roman" w:hAnsi="Times New Roman" w:cs="Times New Roman"/>
                <w:sz w:val="14"/>
                <w:szCs w:val="14"/>
                <w:lang w:eastAsia="sk-SK"/>
              </w:rPr>
              <w:t>- Medzinárodné združenie pre rozvoj</w:t>
            </w:r>
            <w:r w:rsidRPr="00461245">
              <w:rPr>
                <w:rFonts w:ascii="Times New Roman" w:hAnsi="Times New Roman" w:cs="Times New Roman"/>
                <w:sz w:val="14"/>
                <w:szCs w:val="14"/>
                <w:lang w:eastAsia="sk-SK"/>
              </w:rPr>
              <w:br/>
              <w:t xml:space="preserve">             </w:t>
            </w:r>
            <w:r w:rsidRPr="00461245">
              <w:rPr>
                <w:rFonts w:ascii="Times New Roman" w:hAnsi="Times New Roman" w:cs="Times New Roman"/>
                <w:i/>
                <w:iCs/>
                <w:sz w:val="14"/>
                <w:szCs w:val="14"/>
                <w:lang w:eastAsia="sk-SK"/>
              </w:rPr>
              <w:t>Príspevok  k financovaniu Iniciatívy</w:t>
            </w:r>
            <w:r w:rsidRPr="00461245">
              <w:rPr>
                <w:rFonts w:ascii="Times New Roman" w:hAnsi="Times New Roman" w:cs="Times New Roman"/>
                <w:i/>
                <w:iCs/>
                <w:sz w:val="14"/>
                <w:szCs w:val="14"/>
                <w:lang w:eastAsia="sk-SK"/>
              </w:rPr>
              <w:br/>
              <w:t xml:space="preserve">             na multilat. odpustenie dlhov (MDRI) (KT)</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80,0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80,0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80,0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80,0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90,0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100,0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130,0</w:t>
            </w:r>
          </w:p>
        </w:tc>
      </w:tr>
      <w:tr w:rsidR="00CE37B1" w:rsidRPr="00461245" w:rsidTr="00963F86">
        <w:trPr>
          <w:trHeight w:val="420"/>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CE37B1" w:rsidRPr="00461245" w:rsidRDefault="00CE37B1" w:rsidP="00963F86">
            <w:pPr>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 xml:space="preserve">IDA* </w:t>
            </w:r>
            <w:r w:rsidRPr="00461245">
              <w:rPr>
                <w:rFonts w:ascii="Times New Roman" w:hAnsi="Times New Roman" w:cs="Times New Roman"/>
                <w:sz w:val="14"/>
                <w:szCs w:val="14"/>
                <w:lang w:eastAsia="sk-SK"/>
              </w:rPr>
              <w:t>- Medzinárodné združenie pre rozvoj</w:t>
            </w:r>
            <w:r w:rsidRPr="00461245">
              <w:rPr>
                <w:rFonts w:ascii="Times New Roman" w:hAnsi="Times New Roman" w:cs="Times New Roman"/>
                <w:sz w:val="14"/>
                <w:szCs w:val="14"/>
                <w:lang w:eastAsia="sk-SK"/>
              </w:rPr>
              <w:br/>
              <w:t xml:space="preserve">          </w:t>
            </w:r>
            <w:r w:rsidRPr="00461245">
              <w:rPr>
                <w:rFonts w:ascii="Times New Roman" w:hAnsi="Times New Roman" w:cs="Times New Roman"/>
                <w:i/>
                <w:iCs/>
                <w:sz w:val="14"/>
                <w:szCs w:val="14"/>
                <w:lang w:eastAsia="sk-SK"/>
              </w:rPr>
              <w:t xml:space="preserve">   Príspevok na doplnenie zdrojov IDA (KT)</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3 000,0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2 600,0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3 000,0</w:t>
            </w:r>
          </w:p>
        </w:tc>
      </w:tr>
      <w:tr w:rsidR="00CE37B1" w:rsidRPr="00461245" w:rsidTr="00963F86">
        <w:trPr>
          <w:trHeight w:val="420"/>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CE37B1" w:rsidRPr="00461245" w:rsidRDefault="00CE37B1" w:rsidP="00963F86">
            <w:pPr>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 xml:space="preserve">IBRD </w:t>
            </w:r>
            <w:r w:rsidRPr="00461245">
              <w:rPr>
                <w:rFonts w:ascii="Times New Roman" w:hAnsi="Times New Roman" w:cs="Times New Roman"/>
                <w:sz w:val="14"/>
                <w:szCs w:val="14"/>
                <w:lang w:eastAsia="sk-SK"/>
              </w:rPr>
              <w:t>- Medzinárodná banka pre obnovu a rozvoj</w:t>
            </w:r>
            <w:r w:rsidRPr="00461245">
              <w:rPr>
                <w:rFonts w:ascii="Times New Roman" w:hAnsi="Times New Roman" w:cs="Times New Roman"/>
                <w:sz w:val="14"/>
                <w:szCs w:val="14"/>
                <w:lang w:eastAsia="sk-SK"/>
              </w:rPr>
              <w:br/>
              <w:t xml:space="preserve">             </w:t>
            </w:r>
            <w:r w:rsidRPr="00461245">
              <w:rPr>
                <w:rFonts w:ascii="Times New Roman" w:hAnsi="Times New Roman" w:cs="Times New Roman"/>
                <w:i/>
                <w:iCs/>
                <w:sz w:val="14"/>
                <w:szCs w:val="14"/>
                <w:lang w:eastAsia="sk-SK"/>
              </w:rPr>
              <w:t>Rezerva na valorizáciu akcii SR</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1 000,0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1 000,0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1 000,0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1 000,0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1 000,0</w:t>
            </w:r>
          </w:p>
        </w:tc>
      </w:tr>
      <w:tr w:rsidR="00CE37B1" w:rsidRPr="00461245" w:rsidTr="00963F86">
        <w:trPr>
          <w:trHeight w:val="420"/>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CE37B1" w:rsidRPr="00461245" w:rsidRDefault="00CE37B1" w:rsidP="00963F86">
            <w:pPr>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 xml:space="preserve">IBRD* </w:t>
            </w:r>
            <w:r w:rsidRPr="00461245">
              <w:rPr>
                <w:rFonts w:ascii="Times New Roman" w:hAnsi="Times New Roman" w:cs="Times New Roman"/>
                <w:sz w:val="14"/>
                <w:szCs w:val="14"/>
                <w:lang w:eastAsia="sk-SK"/>
              </w:rPr>
              <w:t>- Medzinárodná banka pre obnovu a rozvoj</w:t>
            </w:r>
            <w:r w:rsidRPr="00461245">
              <w:rPr>
                <w:rFonts w:ascii="Times New Roman" w:hAnsi="Times New Roman" w:cs="Times New Roman"/>
                <w:sz w:val="14"/>
                <w:szCs w:val="14"/>
                <w:lang w:eastAsia="sk-SK"/>
              </w:rPr>
              <w:br/>
              <w:t xml:space="preserve">                </w:t>
            </w:r>
            <w:r w:rsidRPr="00461245">
              <w:rPr>
                <w:rFonts w:ascii="Times New Roman" w:hAnsi="Times New Roman" w:cs="Times New Roman"/>
                <w:i/>
                <w:iCs/>
                <w:sz w:val="14"/>
                <w:szCs w:val="14"/>
                <w:lang w:eastAsia="sk-SK"/>
              </w:rPr>
              <w:t>Všeobecné zvýšenie základného imania</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6 000,0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1 650,0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1 650,0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1 650,0</w:t>
            </w:r>
          </w:p>
        </w:tc>
      </w:tr>
      <w:tr w:rsidR="00CE37B1" w:rsidRPr="00461245" w:rsidTr="00963F86">
        <w:trPr>
          <w:trHeight w:val="420"/>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CE37B1" w:rsidRPr="00461245" w:rsidRDefault="00CE37B1" w:rsidP="00963F86">
            <w:pPr>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 xml:space="preserve">IBRD* </w:t>
            </w:r>
            <w:r w:rsidRPr="00461245">
              <w:rPr>
                <w:rFonts w:ascii="Times New Roman" w:hAnsi="Times New Roman" w:cs="Times New Roman"/>
                <w:sz w:val="14"/>
                <w:szCs w:val="14"/>
                <w:lang w:eastAsia="sk-SK"/>
              </w:rPr>
              <w:t>- Medzinárodná banka pre obnovu a rozvoj</w:t>
            </w:r>
            <w:r w:rsidRPr="00461245">
              <w:rPr>
                <w:rFonts w:ascii="Times New Roman" w:hAnsi="Times New Roman" w:cs="Times New Roman"/>
                <w:sz w:val="14"/>
                <w:szCs w:val="14"/>
                <w:lang w:eastAsia="sk-SK"/>
              </w:rPr>
              <w:br/>
              <w:t xml:space="preserve">                </w:t>
            </w:r>
            <w:r w:rsidRPr="00461245">
              <w:rPr>
                <w:rFonts w:ascii="Times New Roman" w:hAnsi="Times New Roman" w:cs="Times New Roman"/>
                <w:i/>
                <w:iCs/>
                <w:sz w:val="14"/>
                <w:szCs w:val="14"/>
                <w:lang w:eastAsia="sk-SK"/>
              </w:rPr>
              <w:t>Selektívne zvýšenie základného imania</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400,0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400,0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400,0</w:t>
            </w:r>
          </w:p>
        </w:tc>
      </w:tr>
      <w:tr w:rsidR="00CE37B1" w:rsidRPr="00461245" w:rsidTr="00963F86">
        <w:trPr>
          <w:trHeight w:val="420"/>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CE37B1" w:rsidRPr="00461245" w:rsidRDefault="00CE37B1" w:rsidP="00963F86">
            <w:pPr>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 xml:space="preserve">IFC* </w:t>
            </w:r>
            <w:r w:rsidRPr="00461245">
              <w:rPr>
                <w:rFonts w:ascii="Times New Roman" w:hAnsi="Times New Roman" w:cs="Times New Roman"/>
                <w:sz w:val="14"/>
                <w:szCs w:val="14"/>
                <w:lang w:eastAsia="sk-SK"/>
              </w:rPr>
              <w:t>- Medzinárodná finančná korporácia</w:t>
            </w:r>
            <w:r w:rsidRPr="00461245">
              <w:rPr>
                <w:rFonts w:ascii="Times New Roman" w:hAnsi="Times New Roman" w:cs="Times New Roman"/>
                <w:sz w:val="14"/>
                <w:szCs w:val="14"/>
                <w:lang w:eastAsia="sk-SK"/>
              </w:rPr>
              <w:br/>
              <w:t xml:space="preserve">            Všeobecné z</w:t>
            </w:r>
            <w:r w:rsidRPr="00461245">
              <w:rPr>
                <w:rFonts w:ascii="Times New Roman" w:hAnsi="Times New Roman" w:cs="Times New Roman"/>
                <w:i/>
                <w:iCs/>
                <w:sz w:val="14"/>
                <w:szCs w:val="14"/>
                <w:lang w:eastAsia="sk-SK"/>
              </w:rPr>
              <w:t>výšenie základného imania</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4 000,0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1 860,0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1 860,0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1 860,0</w:t>
            </w:r>
          </w:p>
        </w:tc>
      </w:tr>
      <w:tr w:rsidR="00CE37B1" w:rsidRPr="00461245" w:rsidTr="00963F86">
        <w:trPr>
          <w:trHeight w:val="420"/>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CE37B1" w:rsidRPr="00461245" w:rsidRDefault="00CE37B1" w:rsidP="00963F86">
            <w:pPr>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 xml:space="preserve">IFC* </w:t>
            </w:r>
            <w:r w:rsidRPr="00461245">
              <w:rPr>
                <w:rFonts w:ascii="Times New Roman" w:hAnsi="Times New Roman" w:cs="Times New Roman"/>
                <w:sz w:val="14"/>
                <w:szCs w:val="14"/>
                <w:lang w:eastAsia="sk-SK"/>
              </w:rPr>
              <w:t>- Medzinárodná finančná korporácia</w:t>
            </w:r>
            <w:r w:rsidRPr="00461245">
              <w:rPr>
                <w:rFonts w:ascii="Times New Roman" w:hAnsi="Times New Roman" w:cs="Times New Roman"/>
                <w:sz w:val="14"/>
                <w:szCs w:val="14"/>
                <w:lang w:eastAsia="sk-SK"/>
              </w:rPr>
              <w:br/>
              <w:t xml:space="preserve">            Selektívne z</w:t>
            </w:r>
            <w:r w:rsidRPr="00461245">
              <w:rPr>
                <w:rFonts w:ascii="Times New Roman" w:hAnsi="Times New Roman" w:cs="Times New Roman"/>
                <w:i/>
                <w:iCs/>
                <w:sz w:val="14"/>
                <w:szCs w:val="14"/>
                <w:lang w:eastAsia="sk-SK"/>
              </w:rPr>
              <w:t>výšenie základného imania</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1 160,0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1 160,0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1 160,0</w:t>
            </w:r>
          </w:p>
        </w:tc>
      </w:tr>
      <w:tr w:rsidR="00CE37B1" w:rsidRPr="00461245" w:rsidTr="00963F86">
        <w:trPr>
          <w:trHeight w:val="420"/>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CE37B1" w:rsidRPr="00461245" w:rsidRDefault="00CE37B1" w:rsidP="00963F86">
            <w:pPr>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EIB</w:t>
            </w:r>
            <w:r w:rsidRPr="00461245">
              <w:rPr>
                <w:rFonts w:ascii="Times New Roman" w:hAnsi="Times New Roman" w:cs="Times New Roman"/>
                <w:sz w:val="14"/>
                <w:szCs w:val="14"/>
                <w:lang w:eastAsia="sk-SK"/>
              </w:rPr>
              <w:t xml:space="preserve"> - Európska investičná banka</w:t>
            </w:r>
            <w:r w:rsidRPr="00461245">
              <w:rPr>
                <w:rFonts w:ascii="Times New Roman" w:hAnsi="Times New Roman" w:cs="Times New Roman"/>
                <w:sz w:val="14"/>
                <w:szCs w:val="14"/>
                <w:lang w:eastAsia="sk-SK"/>
              </w:rPr>
              <w:br/>
              <w:t xml:space="preserve">          </w:t>
            </w:r>
            <w:r w:rsidRPr="00461245">
              <w:rPr>
                <w:rFonts w:ascii="Times New Roman" w:hAnsi="Times New Roman" w:cs="Times New Roman"/>
                <w:i/>
                <w:iCs/>
                <w:sz w:val="14"/>
                <w:szCs w:val="14"/>
                <w:lang w:eastAsia="sk-SK"/>
              </w:rPr>
              <w:t>Zvýšenie základného imania</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10 000,0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35 000,0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r>
      <w:tr w:rsidR="00CE37B1" w:rsidRPr="00461245" w:rsidTr="00963F86">
        <w:trPr>
          <w:trHeight w:val="420"/>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CE37B1" w:rsidRPr="00461245" w:rsidRDefault="00CE37B1" w:rsidP="00963F86">
            <w:pPr>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 xml:space="preserve">MIB </w:t>
            </w:r>
            <w:r w:rsidRPr="00461245">
              <w:rPr>
                <w:rFonts w:ascii="Times New Roman" w:hAnsi="Times New Roman" w:cs="Times New Roman"/>
                <w:sz w:val="14"/>
                <w:szCs w:val="14"/>
                <w:lang w:eastAsia="sk-SK"/>
              </w:rPr>
              <w:t>- Medzinárodná invetičná banka</w:t>
            </w:r>
            <w:r w:rsidRPr="00461245">
              <w:rPr>
                <w:rFonts w:ascii="Times New Roman" w:hAnsi="Times New Roman" w:cs="Times New Roman"/>
                <w:sz w:val="14"/>
                <w:szCs w:val="14"/>
                <w:lang w:eastAsia="sk-SK"/>
              </w:rPr>
              <w:br/>
              <w:t xml:space="preserve">        </w:t>
            </w:r>
            <w:r w:rsidRPr="00461245">
              <w:rPr>
                <w:rFonts w:ascii="Times New Roman" w:hAnsi="Times New Roman" w:cs="Times New Roman"/>
                <w:i/>
                <w:iCs/>
                <w:sz w:val="14"/>
                <w:szCs w:val="14"/>
                <w:lang w:eastAsia="sk-SK"/>
              </w:rPr>
              <w:t xml:space="preserve">   Zvýšenie základného imania</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3 000,0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4 432,0</w:t>
            </w:r>
          </w:p>
        </w:tc>
      </w:tr>
      <w:tr w:rsidR="00CE37B1" w:rsidRPr="00461245" w:rsidTr="00963F86">
        <w:trPr>
          <w:trHeight w:val="420"/>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CE37B1" w:rsidRPr="00461245" w:rsidRDefault="00CE37B1" w:rsidP="00963F86">
            <w:pPr>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RB RE</w:t>
            </w:r>
            <w:r w:rsidRPr="00461245">
              <w:rPr>
                <w:rFonts w:ascii="Times New Roman" w:hAnsi="Times New Roman" w:cs="Times New Roman"/>
                <w:sz w:val="14"/>
                <w:szCs w:val="14"/>
                <w:lang w:eastAsia="sk-SK"/>
              </w:rPr>
              <w:t xml:space="preserve"> - Rozvojová banka Rady Európy</w:t>
            </w:r>
            <w:r w:rsidRPr="00461245">
              <w:rPr>
                <w:rFonts w:ascii="Times New Roman" w:hAnsi="Times New Roman" w:cs="Times New Roman"/>
                <w:sz w:val="14"/>
                <w:szCs w:val="14"/>
                <w:lang w:eastAsia="sk-SK"/>
              </w:rPr>
              <w:br/>
              <w:t xml:space="preserve">               </w:t>
            </w:r>
            <w:r w:rsidRPr="00461245">
              <w:rPr>
                <w:rFonts w:ascii="Times New Roman" w:hAnsi="Times New Roman" w:cs="Times New Roman"/>
                <w:i/>
                <w:iCs/>
                <w:sz w:val="14"/>
                <w:szCs w:val="14"/>
                <w:lang w:eastAsia="sk-SK"/>
              </w:rPr>
              <w:t>Zvýšenie základného imania</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6 000,0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r>
      <w:tr w:rsidR="00CE37B1" w:rsidRPr="00461245" w:rsidTr="00963F86">
        <w:trPr>
          <w:trHeight w:val="420"/>
          <w:jc w:val="center"/>
        </w:trPr>
        <w:tc>
          <w:tcPr>
            <w:tcW w:w="3421" w:type="dxa"/>
            <w:tcBorders>
              <w:top w:val="nil"/>
              <w:left w:val="single" w:sz="4" w:space="0" w:color="auto"/>
              <w:bottom w:val="single" w:sz="4" w:space="0" w:color="auto"/>
              <w:right w:val="single" w:sz="4" w:space="0" w:color="auto"/>
            </w:tcBorders>
            <w:shd w:val="clear" w:color="auto" w:fill="auto"/>
            <w:vAlign w:val="center"/>
            <w:hideMark/>
          </w:tcPr>
          <w:p w:rsidR="00CE37B1" w:rsidRPr="00461245" w:rsidRDefault="00CE37B1" w:rsidP="00963F86">
            <w:pPr>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EIF</w:t>
            </w:r>
            <w:r w:rsidRPr="00461245">
              <w:rPr>
                <w:rFonts w:ascii="Times New Roman" w:hAnsi="Times New Roman" w:cs="Times New Roman"/>
                <w:sz w:val="14"/>
                <w:szCs w:val="14"/>
                <w:lang w:eastAsia="sk-SK"/>
              </w:rPr>
              <w:t xml:space="preserve"> - Európsky investičný fond</w:t>
            </w:r>
            <w:r w:rsidRPr="00461245">
              <w:rPr>
                <w:rFonts w:ascii="Times New Roman" w:hAnsi="Times New Roman" w:cs="Times New Roman"/>
                <w:b/>
                <w:bCs/>
                <w:sz w:val="14"/>
                <w:szCs w:val="14"/>
                <w:lang w:eastAsia="sk-SK"/>
              </w:rPr>
              <w:br/>
              <w:t xml:space="preserve">         </w:t>
            </w:r>
            <w:r w:rsidRPr="00461245">
              <w:rPr>
                <w:rFonts w:ascii="Times New Roman" w:hAnsi="Times New Roman" w:cs="Times New Roman"/>
                <w:i/>
                <w:iCs/>
                <w:sz w:val="14"/>
                <w:szCs w:val="14"/>
                <w:lang w:eastAsia="sk-SK"/>
              </w:rPr>
              <w:t xml:space="preserve"> Vklad do Stredoeur. fondu fondov rozvoj. kapitálu</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3 330,0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c>
          <w:tcPr>
            <w:tcW w:w="820" w:type="dxa"/>
            <w:tcBorders>
              <w:top w:val="nil"/>
              <w:left w:val="nil"/>
              <w:bottom w:val="single" w:sz="4" w:space="0" w:color="auto"/>
              <w:right w:val="single" w:sz="4" w:space="0" w:color="auto"/>
            </w:tcBorders>
            <w:shd w:val="clear" w:color="auto" w:fill="auto"/>
            <w:vAlign w:val="center"/>
            <w:hideMark/>
          </w:tcPr>
          <w:p w:rsidR="00CE37B1" w:rsidRPr="00461245" w:rsidRDefault="00CE37B1" w:rsidP="00963F86">
            <w:pPr>
              <w:jc w:val="right"/>
              <w:rPr>
                <w:rFonts w:ascii="Times New Roman" w:hAnsi="Times New Roman" w:cs="Times New Roman"/>
                <w:sz w:val="14"/>
                <w:szCs w:val="14"/>
                <w:lang w:eastAsia="sk-SK"/>
              </w:rPr>
            </w:pPr>
            <w:r w:rsidRPr="00461245">
              <w:rPr>
                <w:rFonts w:ascii="Times New Roman" w:hAnsi="Times New Roman" w:cs="Times New Roman"/>
                <w:sz w:val="14"/>
                <w:szCs w:val="14"/>
                <w:lang w:eastAsia="sk-SK"/>
              </w:rPr>
              <w:t>0,0</w:t>
            </w:r>
          </w:p>
        </w:tc>
      </w:tr>
      <w:tr w:rsidR="00CE37B1" w:rsidRPr="00461245" w:rsidTr="00963F86">
        <w:trPr>
          <w:trHeight w:val="255"/>
          <w:jc w:val="center"/>
        </w:trPr>
        <w:tc>
          <w:tcPr>
            <w:tcW w:w="3421" w:type="dxa"/>
            <w:tcBorders>
              <w:top w:val="nil"/>
              <w:left w:val="single" w:sz="4" w:space="0" w:color="auto"/>
              <w:bottom w:val="single" w:sz="4" w:space="0" w:color="auto"/>
              <w:right w:val="single" w:sz="4" w:space="0" w:color="auto"/>
            </w:tcBorders>
            <w:shd w:val="clear" w:color="000000" w:fill="BFBFBF"/>
            <w:vAlign w:val="center"/>
            <w:hideMark/>
          </w:tcPr>
          <w:p w:rsidR="00CE37B1" w:rsidRPr="00461245" w:rsidRDefault="00CE37B1" w:rsidP="00963F86">
            <w:pPr>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SPOLU</w:t>
            </w:r>
          </w:p>
        </w:tc>
        <w:tc>
          <w:tcPr>
            <w:tcW w:w="820" w:type="dxa"/>
            <w:tcBorders>
              <w:top w:val="nil"/>
              <w:left w:val="nil"/>
              <w:bottom w:val="single" w:sz="4" w:space="0" w:color="auto"/>
              <w:right w:val="single" w:sz="4" w:space="0" w:color="auto"/>
            </w:tcBorders>
            <w:shd w:val="clear" w:color="000000" w:fill="BFBFBF"/>
            <w:noWrap/>
            <w:vAlign w:val="center"/>
            <w:hideMark/>
          </w:tcPr>
          <w:p w:rsidR="00CE37B1" w:rsidRPr="00461245" w:rsidRDefault="00CE37B1" w:rsidP="00963F86">
            <w:pPr>
              <w:jc w:val="right"/>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80,0</w:t>
            </w:r>
          </w:p>
        </w:tc>
        <w:tc>
          <w:tcPr>
            <w:tcW w:w="820" w:type="dxa"/>
            <w:tcBorders>
              <w:top w:val="nil"/>
              <w:left w:val="nil"/>
              <w:bottom w:val="single" w:sz="4" w:space="0" w:color="auto"/>
              <w:right w:val="single" w:sz="4" w:space="0" w:color="auto"/>
            </w:tcBorders>
            <w:shd w:val="clear" w:color="000000" w:fill="BFBFBF"/>
            <w:noWrap/>
            <w:vAlign w:val="center"/>
            <w:hideMark/>
          </w:tcPr>
          <w:p w:rsidR="00CE37B1" w:rsidRPr="00461245" w:rsidRDefault="00CE37B1" w:rsidP="00963F86">
            <w:pPr>
              <w:jc w:val="right"/>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3 410,0</w:t>
            </w:r>
          </w:p>
        </w:tc>
        <w:tc>
          <w:tcPr>
            <w:tcW w:w="820" w:type="dxa"/>
            <w:tcBorders>
              <w:top w:val="nil"/>
              <w:left w:val="nil"/>
              <w:bottom w:val="single" w:sz="4" w:space="0" w:color="auto"/>
              <w:right w:val="single" w:sz="4" w:space="0" w:color="auto"/>
            </w:tcBorders>
            <w:shd w:val="clear" w:color="000000" w:fill="BFBFBF"/>
            <w:noWrap/>
            <w:vAlign w:val="center"/>
            <w:hideMark/>
          </w:tcPr>
          <w:p w:rsidR="00CE37B1" w:rsidRPr="00461245" w:rsidRDefault="00CE37B1" w:rsidP="00963F86">
            <w:pPr>
              <w:jc w:val="right"/>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24 080,0</w:t>
            </w:r>
          </w:p>
        </w:tc>
        <w:tc>
          <w:tcPr>
            <w:tcW w:w="820" w:type="dxa"/>
            <w:tcBorders>
              <w:top w:val="nil"/>
              <w:left w:val="nil"/>
              <w:bottom w:val="single" w:sz="4" w:space="0" w:color="auto"/>
              <w:right w:val="single" w:sz="4" w:space="0" w:color="auto"/>
            </w:tcBorders>
            <w:shd w:val="clear" w:color="000000" w:fill="BFBFBF"/>
            <w:noWrap/>
            <w:vAlign w:val="center"/>
            <w:hideMark/>
          </w:tcPr>
          <w:p w:rsidR="00CE37B1" w:rsidRPr="00461245" w:rsidRDefault="00CE37B1" w:rsidP="00963F86">
            <w:pPr>
              <w:jc w:val="right"/>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3 680,0</w:t>
            </w:r>
          </w:p>
        </w:tc>
        <w:tc>
          <w:tcPr>
            <w:tcW w:w="820" w:type="dxa"/>
            <w:tcBorders>
              <w:top w:val="nil"/>
              <w:left w:val="nil"/>
              <w:bottom w:val="single" w:sz="4" w:space="0" w:color="auto"/>
              <w:right w:val="single" w:sz="4" w:space="0" w:color="auto"/>
            </w:tcBorders>
            <w:shd w:val="clear" w:color="000000" w:fill="BFBFBF"/>
            <w:noWrap/>
            <w:vAlign w:val="center"/>
            <w:hideMark/>
          </w:tcPr>
          <w:p w:rsidR="00CE37B1" w:rsidRPr="00461245" w:rsidRDefault="00CE37B1" w:rsidP="00963F86">
            <w:pPr>
              <w:jc w:val="right"/>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47 160,0</w:t>
            </w:r>
          </w:p>
        </w:tc>
        <w:tc>
          <w:tcPr>
            <w:tcW w:w="820" w:type="dxa"/>
            <w:tcBorders>
              <w:top w:val="nil"/>
              <w:left w:val="nil"/>
              <w:bottom w:val="single" w:sz="4" w:space="0" w:color="auto"/>
              <w:right w:val="single" w:sz="4" w:space="0" w:color="auto"/>
            </w:tcBorders>
            <w:shd w:val="clear" w:color="000000" w:fill="BFBFBF"/>
            <w:noWrap/>
            <w:vAlign w:val="center"/>
            <w:hideMark/>
          </w:tcPr>
          <w:p w:rsidR="00CE37B1" w:rsidRPr="00461245" w:rsidRDefault="00CE37B1" w:rsidP="00963F86">
            <w:pPr>
              <w:jc w:val="right"/>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9 170,0</w:t>
            </w:r>
          </w:p>
        </w:tc>
        <w:tc>
          <w:tcPr>
            <w:tcW w:w="820" w:type="dxa"/>
            <w:tcBorders>
              <w:top w:val="nil"/>
              <w:left w:val="nil"/>
              <w:bottom w:val="single" w:sz="4" w:space="0" w:color="auto"/>
              <w:right w:val="single" w:sz="4" w:space="0" w:color="auto"/>
            </w:tcBorders>
            <w:shd w:val="clear" w:color="000000" w:fill="BFBFBF"/>
            <w:noWrap/>
            <w:vAlign w:val="center"/>
            <w:hideMark/>
          </w:tcPr>
          <w:p w:rsidR="00CE37B1" w:rsidRPr="00461245" w:rsidRDefault="00CE37B1" w:rsidP="00963F86">
            <w:pPr>
              <w:jc w:val="right"/>
              <w:rPr>
                <w:rFonts w:ascii="Times New Roman" w:hAnsi="Times New Roman" w:cs="Times New Roman"/>
                <w:b/>
                <w:bCs/>
                <w:sz w:val="14"/>
                <w:szCs w:val="14"/>
                <w:lang w:eastAsia="sk-SK"/>
              </w:rPr>
            </w:pPr>
            <w:r w:rsidRPr="00461245">
              <w:rPr>
                <w:rFonts w:ascii="Times New Roman" w:hAnsi="Times New Roman" w:cs="Times New Roman"/>
                <w:b/>
                <w:bCs/>
                <w:sz w:val="14"/>
                <w:szCs w:val="14"/>
                <w:lang w:eastAsia="sk-SK"/>
              </w:rPr>
              <w:t>13 632,0</w:t>
            </w:r>
          </w:p>
        </w:tc>
      </w:tr>
      <w:tr w:rsidR="00CE37B1" w:rsidRPr="00461245" w:rsidTr="00963F86">
        <w:trPr>
          <w:trHeight w:val="255"/>
          <w:jc w:val="center"/>
        </w:trPr>
        <w:tc>
          <w:tcPr>
            <w:tcW w:w="9161" w:type="dxa"/>
            <w:gridSpan w:val="8"/>
            <w:tcBorders>
              <w:top w:val="single" w:sz="4" w:space="0" w:color="auto"/>
              <w:left w:val="nil"/>
              <w:bottom w:val="nil"/>
              <w:right w:val="nil"/>
            </w:tcBorders>
            <w:shd w:val="clear" w:color="auto" w:fill="auto"/>
            <w:hideMark/>
          </w:tcPr>
          <w:p w:rsidR="00CE37B1" w:rsidRPr="00461245" w:rsidRDefault="00CE37B1" w:rsidP="00963F86">
            <w:pPr>
              <w:rPr>
                <w:rFonts w:ascii="Times New Roman" w:hAnsi="Times New Roman" w:cs="Times New Roman"/>
                <w:sz w:val="14"/>
                <w:szCs w:val="14"/>
                <w:lang w:eastAsia="sk-SK"/>
              </w:rPr>
            </w:pPr>
            <w:r w:rsidRPr="00461245">
              <w:rPr>
                <w:rFonts w:ascii="Times New Roman" w:hAnsi="Times New Roman" w:cs="Times New Roman"/>
                <w:sz w:val="14"/>
                <w:szCs w:val="14"/>
                <w:lang w:eastAsia="sk-SK"/>
              </w:rPr>
              <w:t>* - oficiálna rozvojová pomoc (ODA)</w:t>
            </w:r>
          </w:p>
        </w:tc>
      </w:tr>
    </w:tbl>
    <w:p w:rsidR="00CE37B1" w:rsidRPr="002677A6" w:rsidRDefault="00CE37B1" w:rsidP="00CE37B1">
      <w:pPr>
        <w:autoSpaceDE w:val="0"/>
        <w:autoSpaceDN w:val="0"/>
        <w:adjustRightInd w:val="0"/>
        <w:jc w:val="both"/>
        <w:rPr>
          <w:rFonts w:ascii="Times New Roman" w:hAnsi="Times New Roman" w:cs="Times New Roman"/>
        </w:rPr>
      </w:pPr>
    </w:p>
    <w:p w:rsidR="00CE37B1" w:rsidRPr="002677A6" w:rsidRDefault="00CE37B1" w:rsidP="00CE37B1">
      <w:pPr>
        <w:jc w:val="both"/>
        <w:rPr>
          <w:rFonts w:ascii="Times New Roman" w:hAnsi="Times New Roman" w:cs="Times New Roman"/>
        </w:rPr>
      </w:pPr>
      <w:r>
        <w:rPr>
          <w:rFonts w:ascii="Times New Roman" w:hAnsi="Times New Roman" w:cs="Times New Roman"/>
          <w:i/>
        </w:rPr>
        <w:t xml:space="preserve">IDA – </w:t>
      </w:r>
      <w:r w:rsidRPr="002677A6">
        <w:rPr>
          <w:rFonts w:ascii="Times New Roman" w:hAnsi="Times New Roman" w:cs="Times New Roman"/>
          <w:i/>
        </w:rPr>
        <w:t>Medzinárodné združenie pre rozvoj – príspevok k financovaniu Iniciatívy na multilaterálne odpustenie dlhov</w:t>
      </w:r>
    </w:p>
    <w:p w:rsidR="00CE37B1" w:rsidRPr="002677A6" w:rsidRDefault="00CE37B1" w:rsidP="00CE37B1">
      <w:pPr>
        <w:jc w:val="both"/>
        <w:rPr>
          <w:rFonts w:ascii="Times New Roman" w:hAnsi="Times New Roman" w:cs="Times New Roman"/>
        </w:rPr>
      </w:pPr>
      <w:r w:rsidRPr="002677A6">
        <w:rPr>
          <w:rFonts w:ascii="Times New Roman" w:hAnsi="Times New Roman" w:cs="Times New Roman"/>
        </w:rPr>
        <w:t>Pristúpením SR k financovaniu Iniciatívy pre multilaterálne odpustenie dlhov (MDRI) v rámci Medzinárodného združenia pre rozvoj (IDA)</w:t>
      </w:r>
      <w:r>
        <w:rPr>
          <w:rFonts w:ascii="Times New Roman" w:hAnsi="Times New Roman" w:cs="Times New Roman"/>
        </w:rPr>
        <w:t xml:space="preserve"> sa v rokoch 2018 až 2028 očakávajú výdavky v celkovej výške 1 310 tis. eur. </w:t>
      </w:r>
      <w:r w:rsidRPr="002677A6">
        <w:rPr>
          <w:rFonts w:ascii="Times New Roman" w:hAnsi="Times New Roman" w:cs="Times New Roman"/>
        </w:rPr>
        <w:t>Príspevky sú vykazované ako oficiálna rozvojová spolupráca SR.</w:t>
      </w:r>
    </w:p>
    <w:p w:rsidR="00CE37B1" w:rsidRDefault="00CE37B1" w:rsidP="00CE37B1">
      <w:pPr>
        <w:jc w:val="both"/>
        <w:rPr>
          <w:rFonts w:ascii="Times New Roman" w:hAnsi="Times New Roman" w:cs="Times New Roman"/>
          <w:i/>
          <w:iCs/>
        </w:rPr>
      </w:pPr>
    </w:p>
    <w:p w:rsidR="00CE37B1" w:rsidRPr="002677A6" w:rsidRDefault="00CE37B1" w:rsidP="00CE37B1">
      <w:pPr>
        <w:jc w:val="both"/>
        <w:rPr>
          <w:rFonts w:ascii="Times New Roman" w:hAnsi="Times New Roman" w:cs="Times New Roman"/>
          <w:i/>
          <w:iCs/>
        </w:rPr>
      </w:pPr>
      <w:r>
        <w:rPr>
          <w:rFonts w:ascii="Times New Roman" w:hAnsi="Times New Roman" w:cs="Times New Roman"/>
          <w:i/>
          <w:iCs/>
        </w:rPr>
        <w:t xml:space="preserve">IDA – </w:t>
      </w:r>
      <w:r w:rsidRPr="002677A6">
        <w:rPr>
          <w:rFonts w:ascii="Times New Roman" w:hAnsi="Times New Roman" w:cs="Times New Roman"/>
          <w:i/>
          <w:iCs/>
        </w:rPr>
        <w:t>Medzinárodné združenie pre rozvoj – príspevok na doplnenie zdrojov</w:t>
      </w:r>
    </w:p>
    <w:p w:rsidR="00CE37B1" w:rsidRDefault="00CE37B1" w:rsidP="00CE37B1">
      <w:pPr>
        <w:jc w:val="both"/>
        <w:rPr>
          <w:rFonts w:ascii="Times New Roman" w:hAnsi="Times New Roman" w:cs="Times New Roman"/>
        </w:rPr>
      </w:pPr>
      <w:r w:rsidRPr="003B1AB2">
        <w:rPr>
          <w:rFonts w:ascii="Times New Roman" w:hAnsi="Times New Roman" w:cs="Times New Roman"/>
        </w:rPr>
        <w:t xml:space="preserve">V roku 2020 budú prebiehať rokovania členských štátov IDA týkajúce sa 19. doplnenia zdrojov IDA. V tejto súvislosti je potrebné zabezpečiť financovanie príspevku vo výške 3 000 </w:t>
      </w:r>
      <w:r>
        <w:rPr>
          <w:rFonts w:ascii="Times New Roman" w:hAnsi="Times New Roman" w:cs="Times New Roman"/>
        </w:rPr>
        <w:t xml:space="preserve">tis. </w:t>
      </w:r>
      <w:r w:rsidRPr="003B1AB2">
        <w:rPr>
          <w:rFonts w:ascii="Times New Roman" w:hAnsi="Times New Roman" w:cs="Times New Roman"/>
        </w:rPr>
        <w:t>eur v roku 2021. Príspevok bude vykázaný ako oficiálna rozvojová spolupráca SR.</w:t>
      </w:r>
    </w:p>
    <w:p w:rsidR="00CE37B1" w:rsidRDefault="00CE37B1" w:rsidP="00CE37B1">
      <w:pPr>
        <w:jc w:val="both"/>
        <w:rPr>
          <w:rFonts w:ascii="Times New Roman" w:hAnsi="Times New Roman" w:cs="Times New Roman"/>
          <w:i/>
          <w:iCs/>
        </w:rPr>
      </w:pPr>
    </w:p>
    <w:p w:rsidR="00CE37B1" w:rsidRPr="002677A6" w:rsidRDefault="00CE37B1" w:rsidP="00CE37B1">
      <w:pPr>
        <w:jc w:val="both"/>
        <w:rPr>
          <w:rFonts w:ascii="Times New Roman" w:hAnsi="Times New Roman" w:cs="Times New Roman"/>
          <w:i/>
          <w:iCs/>
        </w:rPr>
      </w:pPr>
      <w:r>
        <w:rPr>
          <w:rFonts w:ascii="Times New Roman" w:hAnsi="Times New Roman" w:cs="Times New Roman"/>
          <w:i/>
          <w:iCs/>
        </w:rPr>
        <w:t xml:space="preserve">IBRD – </w:t>
      </w:r>
      <w:r w:rsidRPr="002677A6">
        <w:rPr>
          <w:rFonts w:ascii="Times New Roman" w:hAnsi="Times New Roman" w:cs="Times New Roman"/>
          <w:i/>
          <w:iCs/>
        </w:rPr>
        <w:t>Medzinárodná banka pre obnovu a rozvoj – rezerva na valorizáciu akcií SR</w:t>
      </w:r>
    </w:p>
    <w:p w:rsidR="00CE37B1" w:rsidRPr="002677A6" w:rsidRDefault="00CE37B1" w:rsidP="00CE37B1">
      <w:pPr>
        <w:jc w:val="both"/>
        <w:rPr>
          <w:rFonts w:ascii="Times New Roman" w:hAnsi="Times New Roman" w:cs="Times New Roman"/>
          <w:u w:val="single"/>
        </w:rPr>
      </w:pPr>
      <w:r w:rsidRPr="002677A6">
        <w:rPr>
          <w:rFonts w:ascii="Times New Roman" w:hAnsi="Times New Roman" w:cs="Times New Roman"/>
        </w:rPr>
        <w:t>V rámci rozpočtového rámca na roky 201</w:t>
      </w:r>
      <w:r>
        <w:rPr>
          <w:rFonts w:ascii="Times New Roman" w:hAnsi="Times New Roman" w:cs="Times New Roman"/>
        </w:rPr>
        <w:t>9</w:t>
      </w:r>
      <w:r w:rsidRPr="002677A6">
        <w:rPr>
          <w:rFonts w:ascii="Times New Roman" w:hAnsi="Times New Roman" w:cs="Times New Roman"/>
        </w:rPr>
        <w:t xml:space="preserve"> až 202</w:t>
      </w:r>
      <w:r>
        <w:rPr>
          <w:rFonts w:ascii="Times New Roman" w:hAnsi="Times New Roman" w:cs="Times New Roman"/>
        </w:rPr>
        <w:t>1</w:t>
      </w:r>
      <w:r w:rsidRPr="002677A6">
        <w:rPr>
          <w:rFonts w:ascii="Times New Roman" w:hAnsi="Times New Roman" w:cs="Times New Roman"/>
        </w:rPr>
        <w:t xml:space="preserve"> je potrebné vyčleniť 3</w:t>
      </w:r>
      <w:r>
        <w:rPr>
          <w:rFonts w:ascii="Times New Roman" w:hAnsi="Times New Roman" w:cs="Times New Roman"/>
        </w:rPr>
        <w:t xml:space="preserve"> 00</w:t>
      </w:r>
      <w:r w:rsidRPr="002677A6">
        <w:rPr>
          <w:rFonts w:ascii="Times New Roman" w:hAnsi="Times New Roman" w:cs="Times New Roman"/>
        </w:rPr>
        <w:t xml:space="preserve">0 </w:t>
      </w:r>
      <w:r>
        <w:rPr>
          <w:rFonts w:ascii="Times New Roman" w:hAnsi="Times New Roman" w:cs="Times New Roman"/>
        </w:rPr>
        <w:t>tis</w:t>
      </w:r>
      <w:r w:rsidRPr="002677A6">
        <w:rPr>
          <w:rFonts w:ascii="Times New Roman" w:hAnsi="Times New Roman" w:cs="Times New Roman"/>
        </w:rPr>
        <w:t xml:space="preserve">. eur </w:t>
      </w:r>
      <w:r w:rsidRPr="002677A6">
        <w:rPr>
          <w:rFonts w:ascii="Times New Roman" w:hAnsi="Times New Roman" w:cs="Times New Roman"/>
        </w:rPr>
        <w:br/>
        <w:t>(1</w:t>
      </w:r>
      <w:r>
        <w:rPr>
          <w:rFonts w:ascii="Times New Roman" w:hAnsi="Times New Roman" w:cs="Times New Roman"/>
        </w:rPr>
        <w:t> </w:t>
      </w:r>
      <w:r w:rsidRPr="002677A6">
        <w:rPr>
          <w:rFonts w:ascii="Times New Roman" w:hAnsi="Times New Roman" w:cs="Times New Roman"/>
        </w:rPr>
        <w:t>0</w:t>
      </w:r>
      <w:r>
        <w:rPr>
          <w:rFonts w:ascii="Times New Roman" w:hAnsi="Times New Roman" w:cs="Times New Roman"/>
        </w:rPr>
        <w:t>00 tis.</w:t>
      </w:r>
      <w:r w:rsidRPr="002677A6">
        <w:rPr>
          <w:rFonts w:ascii="Times New Roman" w:hAnsi="Times New Roman" w:cs="Times New Roman"/>
        </w:rPr>
        <w:t xml:space="preserve"> eur ročne) ako rezervu na valorizáciu akcií SR v IBRD, a to v súvislosti s tým, že hodnota akcií, nakoľko je evidovaná v USD, sa mení v závislosti od zmeny kurzu EUR voči USD. K úhrade predmetnej rezervy dôjde v prípade, že pohyb kurzu USD/EUR za fiškálny rok Svetovej banky presiahne úroveň 5 % zo splateného základného imania SR v IBRD – podiel v národnej mene euro.</w:t>
      </w:r>
    </w:p>
    <w:bookmarkEnd w:id="320"/>
    <w:p w:rsidR="00CE37B1" w:rsidRDefault="00CE37B1" w:rsidP="00CE37B1">
      <w:pPr>
        <w:jc w:val="both"/>
        <w:rPr>
          <w:rFonts w:ascii="Times New Roman" w:hAnsi="Times New Roman" w:cs="Times New Roman"/>
          <w:i/>
          <w:iCs/>
        </w:rPr>
      </w:pPr>
    </w:p>
    <w:p w:rsidR="00CE37B1" w:rsidRPr="002677A6" w:rsidRDefault="00CE37B1" w:rsidP="00CE37B1">
      <w:pPr>
        <w:jc w:val="both"/>
        <w:rPr>
          <w:rFonts w:ascii="Times New Roman" w:hAnsi="Times New Roman" w:cs="Times New Roman"/>
          <w:i/>
          <w:iCs/>
        </w:rPr>
      </w:pPr>
      <w:r>
        <w:rPr>
          <w:rFonts w:ascii="Times New Roman" w:hAnsi="Times New Roman" w:cs="Times New Roman"/>
          <w:i/>
          <w:iCs/>
        </w:rPr>
        <w:lastRenderedPageBreak/>
        <w:t xml:space="preserve">IBRD – </w:t>
      </w:r>
      <w:r w:rsidRPr="002677A6">
        <w:rPr>
          <w:rFonts w:ascii="Times New Roman" w:hAnsi="Times New Roman" w:cs="Times New Roman"/>
          <w:i/>
          <w:iCs/>
        </w:rPr>
        <w:t>Medzinárodná banka pre obnovu a</w:t>
      </w:r>
      <w:r>
        <w:rPr>
          <w:rFonts w:ascii="Times New Roman" w:hAnsi="Times New Roman" w:cs="Times New Roman"/>
          <w:i/>
          <w:iCs/>
        </w:rPr>
        <w:t> </w:t>
      </w:r>
      <w:r w:rsidRPr="002677A6">
        <w:rPr>
          <w:rFonts w:ascii="Times New Roman" w:hAnsi="Times New Roman" w:cs="Times New Roman"/>
          <w:i/>
          <w:iCs/>
        </w:rPr>
        <w:t>rozvoj</w:t>
      </w:r>
      <w:r>
        <w:rPr>
          <w:rFonts w:ascii="Times New Roman" w:hAnsi="Times New Roman" w:cs="Times New Roman"/>
          <w:i/>
          <w:iCs/>
        </w:rPr>
        <w:t xml:space="preserve"> a </w:t>
      </w:r>
      <w:r w:rsidRPr="006C0997">
        <w:rPr>
          <w:rFonts w:ascii="Times New Roman" w:hAnsi="Times New Roman" w:cs="Times New Roman"/>
          <w:i/>
          <w:iCs/>
        </w:rPr>
        <w:t xml:space="preserve">IFC - Medzinárodná </w:t>
      </w:r>
      <w:r>
        <w:rPr>
          <w:rFonts w:ascii="Times New Roman" w:hAnsi="Times New Roman" w:cs="Times New Roman"/>
          <w:i/>
          <w:iCs/>
        </w:rPr>
        <w:t>finančná korporácia</w:t>
      </w:r>
      <w:r w:rsidRPr="002677A6">
        <w:rPr>
          <w:rFonts w:ascii="Times New Roman" w:hAnsi="Times New Roman" w:cs="Times New Roman"/>
          <w:i/>
          <w:iCs/>
        </w:rPr>
        <w:t xml:space="preserve"> – </w:t>
      </w:r>
      <w:r>
        <w:rPr>
          <w:rFonts w:ascii="Times New Roman" w:hAnsi="Times New Roman" w:cs="Times New Roman"/>
          <w:i/>
          <w:iCs/>
        </w:rPr>
        <w:t>zvýšenie základného imania</w:t>
      </w:r>
    </w:p>
    <w:p w:rsidR="00CE37B1" w:rsidRDefault="00CE37B1" w:rsidP="00CE37B1">
      <w:pPr>
        <w:jc w:val="both"/>
        <w:rPr>
          <w:rFonts w:ascii="Times New Roman" w:hAnsi="Times New Roman" w:cs="Times New Roman"/>
        </w:rPr>
      </w:pPr>
      <w:r w:rsidRPr="006C0997">
        <w:rPr>
          <w:rFonts w:ascii="Times New Roman" w:hAnsi="Times New Roman" w:cs="Times New Roman"/>
        </w:rPr>
        <w:t xml:space="preserve">Od roku 2015 prebieha revízia kapitálu v rámci IBRD a IFC. Dohoda guvernérov skupiny Svetovej banky o potenciálnom navyšovaní základného imania bola dosiahnutá počas Jarných zasadnutí MMF a skupiny Svetovej banky v apríli 2018 s realizáciou od roku 2019 až do roku 2023. </w:t>
      </w:r>
      <w:r>
        <w:rPr>
          <w:rFonts w:ascii="Times New Roman" w:hAnsi="Times New Roman" w:cs="Times New Roman"/>
        </w:rPr>
        <w:t xml:space="preserve">V rokoch 2019 až 2021 môže účasť SR dosiahnuť 5 070 tis. eur ročne. </w:t>
      </w:r>
      <w:r w:rsidRPr="006C0997">
        <w:rPr>
          <w:rFonts w:ascii="Times New Roman" w:hAnsi="Times New Roman" w:cs="Times New Roman"/>
        </w:rPr>
        <w:t>Príspev</w:t>
      </w:r>
      <w:r>
        <w:rPr>
          <w:rFonts w:ascii="Times New Roman" w:hAnsi="Times New Roman" w:cs="Times New Roman"/>
        </w:rPr>
        <w:t>ky</w:t>
      </w:r>
      <w:r w:rsidRPr="006C0997">
        <w:rPr>
          <w:rFonts w:ascii="Times New Roman" w:hAnsi="Times New Roman" w:cs="Times New Roman"/>
        </w:rPr>
        <w:t xml:space="preserve"> bud</w:t>
      </w:r>
      <w:r>
        <w:rPr>
          <w:rFonts w:ascii="Times New Roman" w:hAnsi="Times New Roman" w:cs="Times New Roman"/>
        </w:rPr>
        <w:t>ú</w:t>
      </w:r>
      <w:r w:rsidRPr="006C0997">
        <w:rPr>
          <w:rFonts w:ascii="Times New Roman" w:hAnsi="Times New Roman" w:cs="Times New Roman"/>
        </w:rPr>
        <w:t xml:space="preserve"> vykázan</w:t>
      </w:r>
      <w:r>
        <w:rPr>
          <w:rFonts w:ascii="Times New Roman" w:hAnsi="Times New Roman" w:cs="Times New Roman"/>
        </w:rPr>
        <w:t>é</w:t>
      </w:r>
      <w:r w:rsidRPr="006C0997">
        <w:rPr>
          <w:rFonts w:ascii="Times New Roman" w:hAnsi="Times New Roman" w:cs="Times New Roman"/>
        </w:rPr>
        <w:t xml:space="preserve"> ako oficiálna rozvojová </w:t>
      </w:r>
      <w:r>
        <w:rPr>
          <w:rFonts w:ascii="Times New Roman" w:hAnsi="Times New Roman" w:cs="Times New Roman"/>
        </w:rPr>
        <w:t>pomoc</w:t>
      </w:r>
      <w:r w:rsidRPr="006C0997">
        <w:rPr>
          <w:rFonts w:ascii="Times New Roman" w:hAnsi="Times New Roman" w:cs="Times New Roman"/>
        </w:rPr>
        <w:t xml:space="preserve"> SR.</w:t>
      </w:r>
      <w:r>
        <w:rPr>
          <w:rFonts w:ascii="Times New Roman" w:hAnsi="Times New Roman" w:cs="Times New Roman"/>
        </w:rPr>
        <w:t xml:space="preserve"> V prípade IFC sa navrhuje aj konverzia nerozdeleného zisku na splatený základný kapitál (automaticky a bez úhrady), pri ktorej SR získa 29 526 akcií v hodnote 1000 USD za jednu akciu a zvýši si tak účtovne vklad štátu v IFC.</w:t>
      </w:r>
    </w:p>
    <w:p w:rsidR="00CE37B1" w:rsidRDefault="00CE37B1" w:rsidP="00CE37B1">
      <w:pPr>
        <w:jc w:val="both"/>
        <w:rPr>
          <w:rFonts w:ascii="Arial Narrow" w:hAnsi="Arial Narrow" w:cs="Arial Narrow"/>
        </w:rPr>
      </w:pPr>
    </w:p>
    <w:p w:rsidR="00CE37B1" w:rsidRPr="002677A6" w:rsidRDefault="00CE37B1" w:rsidP="00CE37B1">
      <w:pPr>
        <w:jc w:val="both"/>
        <w:rPr>
          <w:rFonts w:ascii="Times New Roman" w:hAnsi="Times New Roman" w:cs="Times New Roman"/>
          <w:i/>
          <w:iCs/>
        </w:rPr>
      </w:pPr>
      <w:r w:rsidRPr="002677A6">
        <w:rPr>
          <w:rFonts w:ascii="Times New Roman" w:hAnsi="Times New Roman" w:cs="Times New Roman"/>
          <w:i/>
          <w:iCs/>
        </w:rPr>
        <w:t>EI</w:t>
      </w:r>
      <w:r>
        <w:rPr>
          <w:rFonts w:ascii="Times New Roman" w:hAnsi="Times New Roman" w:cs="Times New Roman"/>
          <w:i/>
          <w:iCs/>
        </w:rPr>
        <w:t xml:space="preserve">B – Európska investičná banka – </w:t>
      </w:r>
      <w:r w:rsidRPr="002677A6">
        <w:rPr>
          <w:rFonts w:ascii="Times New Roman" w:hAnsi="Times New Roman" w:cs="Times New Roman"/>
          <w:i/>
          <w:iCs/>
        </w:rPr>
        <w:t>zvýšenie základného imania</w:t>
      </w:r>
    </w:p>
    <w:p w:rsidR="00CE37B1" w:rsidRPr="002677A6" w:rsidRDefault="00CE37B1" w:rsidP="00CE37B1">
      <w:pPr>
        <w:jc w:val="both"/>
        <w:rPr>
          <w:rFonts w:ascii="Times New Roman" w:hAnsi="Times New Roman" w:cs="Times New Roman"/>
        </w:rPr>
      </w:pPr>
      <w:r w:rsidRPr="003A5B67">
        <w:rPr>
          <w:rFonts w:ascii="Times New Roman" w:hAnsi="Times New Roman" w:cs="Times New Roman"/>
        </w:rPr>
        <w:t xml:space="preserve">V roku 2018 sa očakávajú diskusie k otázke finančného zabezpečenia EIB, likvidity EIB, dopadov Brexitu na EIB a tým aj možné diskusie k navýšeniu základného imania EIB. V tejto súvislosti  </w:t>
      </w:r>
      <w:r>
        <w:rPr>
          <w:rFonts w:ascii="Times New Roman" w:hAnsi="Times New Roman" w:cs="Times New Roman"/>
        </w:rPr>
        <w:t xml:space="preserve">sa </w:t>
      </w:r>
      <w:r w:rsidRPr="003A5B67">
        <w:rPr>
          <w:rFonts w:ascii="Times New Roman" w:hAnsi="Times New Roman" w:cs="Times New Roman"/>
        </w:rPr>
        <w:t>navrhuje zabezpečiť financovanie účasti SR na splatenom</w:t>
      </w:r>
      <w:r>
        <w:rPr>
          <w:rFonts w:ascii="Times New Roman" w:hAnsi="Times New Roman" w:cs="Times New Roman"/>
        </w:rPr>
        <w:t xml:space="preserve"> základnom imaní EIB vo výške 35</w:t>
      </w:r>
      <w:r w:rsidRPr="003A5B67">
        <w:rPr>
          <w:rFonts w:ascii="Times New Roman" w:hAnsi="Times New Roman" w:cs="Times New Roman"/>
        </w:rPr>
        <w:t xml:space="preserve"> 000 </w:t>
      </w:r>
      <w:r>
        <w:rPr>
          <w:rFonts w:ascii="Times New Roman" w:hAnsi="Times New Roman" w:cs="Times New Roman"/>
        </w:rPr>
        <w:t xml:space="preserve">tis. </w:t>
      </w:r>
      <w:r w:rsidRPr="003A5B67">
        <w:rPr>
          <w:rFonts w:ascii="Times New Roman" w:hAnsi="Times New Roman" w:cs="Times New Roman"/>
        </w:rPr>
        <w:t>eur v roku 2019.</w:t>
      </w:r>
    </w:p>
    <w:p w:rsidR="00CE37B1" w:rsidRPr="002677A6" w:rsidRDefault="00CE37B1" w:rsidP="00CE37B1">
      <w:pPr>
        <w:jc w:val="both"/>
        <w:rPr>
          <w:rFonts w:ascii="Times New Roman" w:hAnsi="Times New Roman" w:cs="Times New Roman"/>
        </w:rPr>
      </w:pPr>
    </w:p>
    <w:p w:rsidR="00CE37B1" w:rsidRPr="002677A6" w:rsidRDefault="00CE37B1" w:rsidP="00CE37B1">
      <w:pPr>
        <w:jc w:val="both"/>
        <w:rPr>
          <w:rFonts w:ascii="Times New Roman" w:hAnsi="Times New Roman" w:cs="Times New Roman"/>
          <w:i/>
          <w:iCs/>
        </w:rPr>
      </w:pPr>
      <w:r w:rsidRPr="002677A6">
        <w:rPr>
          <w:rFonts w:ascii="Times New Roman" w:hAnsi="Times New Roman" w:cs="Times New Roman"/>
          <w:i/>
          <w:iCs/>
        </w:rPr>
        <w:t xml:space="preserve">MIB </w:t>
      </w:r>
      <w:r>
        <w:rPr>
          <w:rFonts w:ascii="Times New Roman" w:hAnsi="Times New Roman" w:cs="Times New Roman"/>
          <w:i/>
          <w:iCs/>
        </w:rPr>
        <w:t>–</w:t>
      </w:r>
      <w:r w:rsidRPr="002677A6">
        <w:rPr>
          <w:rFonts w:ascii="Times New Roman" w:hAnsi="Times New Roman" w:cs="Times New Roman"/>
          <w:i/>
          <w:iCs/>
        </w:rPr>
        <w:t xml:space="preserve"> </w:t>
      </w:r>
      <w:r>
        <w:rPr>
          <w:rFonts w:ascii="Times New Roman" w:hAnsi="Times New Roman" w:cs="Times New Roman"/>
          <w:i/>
          <w:iCs/>
        </w:rPr>
        <w:t xml:space="preserve">Medzinárodná investičná banka – </w:t>
      </w:r>
      <w:r w:rsidRPr="002677A6">
        <w:rPr>
          <w:rFonts w:ascii="Times New Roman" w:hAnsi="Times New Roman" w:cs="Times New Roman"/>
          <w:i/>
          <w:iCs/>
        </w:rPr>
        <w:t>zvýšenie základného imania</w:t>
      </w:r>
    </w:p>
    <w:p w:rsidR="00CE37B1" w:rsidRPr="000A6450" w:rsidRDefault="00CE37B1" w:rsidP="00CE37B1">
      <w:pPr>
        <w:jc w:val="both"/>
        <w:rPr>
          <w:rFonts w:ascii="Times New Roman" w:hAnsi="Times New Roman" w:cs="Times New Roman"/>
        </w:rPr>
      </w:pPr>
      <w:r w:rsidRPr="002677A6">
        <w:rPr>
          <w:rFonts w:ascii="Times New Roman" w:hAnsi="Times New Roman" w:cs="Times New Roman"/>
        </w:rPr>
        <w:t xml:space="preserve">MIB </w:t>
      </w:r>
      <w:r>
        <w:rPr>
          <w:rFonts w:ascii="Times New Roman" w:hAnsi="Times New Roman" w:cs="Times New Roman"/>
        </w:rPr>
        <w:t>implementuje</w:t>
      </w:r>
      <w:r w:rsidRPr="002677A6">
        <w:rPr>
          <w:rFonts w:ascii="Times New Roman" w:hAnsi="Times New Roman" w:cs="Times New Roman"/>
        </w:rPr>
        <w:t xml:space="preserve"> novú stratégiu rozvoja na roky 2018 až 2022, v rámci ktorej sa predpokladá diskusia o zvyšovaní základného imania v roku 2019 s realizáciou v rok</w:t>
      </w:r>
      <w:r>
        <w:rPr>
          <w:rFonts w:ascii="Times New Roman" w:hAnsi="Times New Roman" w:cs="Times New Roman"/>
        </w:rPr>
        <w:t>och</w:t>
      </w:r>
      <w:r w:rsidRPr="002677A6">
        <w:rPr>
          <w:rFonts w:ascii="Times New Roman" w:hAnsi="Times New Roman" w:cs="Times New Roman"/>
        </w:rPr>
        <w:t xml:space="preserve"> 2020</w:t>
      </w:r>
      <w:r>
        <w:rPr>
          <w:rFonts w:ascii="Times New Roman" w:hAnsi="Times New Roman" w:cs="Times New Roman"/>
        </w:rPr>
        <w:t xml:space="preserve"> až 2022.</w:t>
      </w:r>
      <w:r w:rsidRPr="000A6450">
        <w:rPr>
          <w:rFonts w:ascii="Times New Roman" w:hAnsi="Times New Roman" w:cs="Times New Roman"/>
        </w:rPr>
        <w:t xml:space="preserve"> V tejto súvislosti </w:t>
      </w:r>
      <w:r>
        <w:rPr>
          <w:rFonts w:ascii="Times New Roman" w:hAnsi="Times New Roman" w:cs="Times New Roman"/>
        </w:rPr>
        <w:t xml:space="preserve">sa </w:t>
      </w:r>
      <w:r w:rsidRPr="000A6450">
        <w:rPr>
          <w:rFonts w:ascii="Times New Roman" w:hAnsi="Times New Roman" w:cs="Times New Roman"/>
        </w:rPr>
        <w:t>navrhuje predbežne zabezpečiť financovanie účasti SR na splatenom základnom imaní MIB vo výške 3</w:t>
      </w:r>
      <w:r>
        <w:rPr>
          <w:rFonts w:ascii="Times New Roman" w:hAnsi="Times New Roman" w:cs="Times New Roman"/>
        </w:rPr>
        <w:t xml:space="preserve"> 000 tis. eur v roku 2020 a 4 </w:t>
      </w:r>
      <w:r w:rsidRPr="000A6450">
        <w:rPr>
          <w:rFonts w:ascii="Times New Roman" w:hAnsi="Times New Roman" w:cs="Times New Roman"/>
        </w:rPr>
        <w:t xml:space="preserve">432 </w:t>
      </w:r>
      <w:r>
        <w:rPr>
          <w:rFonts w:ascii="Times New Roman" w:hAnsi="Times New Roman" w:cs="Times New Roman"/>
        </w:rPr>
        <w:t>tis.</w:t>
      </w:r>
      <w:r w:rsidRPr="000A6450">
        <w:rPr>
          <w:rFonts w:ascii="Times New Roman" w:hAnsi="Times New Roman" w:cs="Times New Roman"/>
        </w:rPr>
        <w:t xml:space="preserve"> eur v roku 2021.</w:t>
      </w:r>
    </w:p>
    <w:p w:rsidR="00CE37B1" w:rsidRDefault="00CE37B1" w:rsidP="00CE37B1">
      <w:pPr>
        <w:jc w:val="both"/>
        <w:rPr>
          <w:rFonts w:ascii="Times New Roman" w:hAnsi="Times New Roman" w:cs="Times New Roman"/>
        </w:rPr>
      </w:pPr>
    </w:p>
    <w:p w:rsidR="00CE37B1" w:rsidRPr="00CA3191" w:rsidRDefault="00CE37B1" w:rsidP="00CE37B1">
      <w:pPr>
        <w:jc w:val="both"/>
        <w:rPr>
          <w:rFonts w:ascii="Times New Roman" w:hAnsi="Times New Roman" w:cs="Times New Roman"/>
          <w:i/>
          <w:iCs/>
        </w:rPr>
      </w:pPr>
      <w:r w:rsidRPr="00CA3191">
        <w:rPr>
          <w:rFonts w:ascii="Times New Roman" w:hAnsi="Times New Roman" w:cs="Times New Roman"/>
          <w:i/>
          <w:iCs/>
        </w:rPr>
        <w:t>RB</w:t>
      </w:r>
      <w:r>
        <w:rPr>
          <w:rFonts w:ascii="Times New Roman" w:hAnsi="Times New Roman" w:cs="Times New Roman"/>
          <w:i/>
          <w:iCs/>
        </w:rPr>
        <w:t xml:space="preserve"> </w:t>
      </w:r>
      <w:r w:rsidRPr="00CA3191">
        <w:rPr>
          <w:rFonts w:ascii="Times New Roman" w:hAnsi="Times New Roman" w:cs="Times New Roman"/>
          <w:i/>
          <w:iCs/>
        </w:rPr>
        <w:t xml:space="preserve">RE </w:t>
      </w:r>
      <w:r>
        <w:rPr>
          <w:rFonts w:ascii="Times New Roman" w:hAnsi="Times New Roman" w:cs="Times New Roman"/>
          <w:i/>
          <w:iCs/>
        </w:rPr>
        <w:t>–</w:t>
      </w:r>
      <w:r w:rsidRPr="00CA3191">
        <w:rPr>
          <w:rFonts w:ascii="Times New Roman" w:hAnsi="Times New Roman" w:cs="Times New Roman"/>
          <w:i/>
          <w:iCs/>
        </w:rPr>
        <w:t xml:space="preserve"> Rozvojová banka Rady Európy – zvýšenie základného imania:</w:t>
      </w:r>
    </w:p>
    <w:p w:rsidR="00CE37B1" w:rsidRDefault="00CE37B1" w:rsidP="00CE37B1">
      <w:pPr>
        <w:jc w:val="both"/>
        <w:rPr>
          <w:rFonts w:ascii="Times New Roman" w:hAnsi="Times New Roman" w:cs="Times New Roman"/>
        </w:rPr>
      </w:pPr>
      <w:r w:rsidRPr="00CA3191">
        <w:rPr>
          <w:rFonts w:ascii="Times New Roman" w:hAnsi="Times New Roman" w:cs="Times New Roman"/>
        </w:rPr>
        <w:t>Rozvojový plán RB</w:t>
      </w:r>
      <w:r>
        <w:rPr>
          <w:rFonts w:ascii="Times New Roman" w:hAnsi="Times New Roman" w:cs="Times New Roman"/>
        </w:rPr>
        <w:t xml:space="preserve"> RE na roky 2017 až </w:t>
      </w:r>
      <w:r w:rsidRPr="00CA3191">
        <w:rPr>
          <w:rFonts w:ascii="Times New Roman" w:hAnsi="Times New Roman" w:cs="Times New Roman"/>
        </w:rPr>
        <w:t>2019 zavádza požiadavku na revíziu kapitálu banky, pričom podrobné preskúmanie kapitálovej primeranosti RB</w:t>
      </w:r>
      <w:r>
        <w:rPr>
          <w:rFonts w:ascii="Times New Roman" w:hAnsi="Times New Roman" w:cs="Times New Roman"/>
        </w:rPr>
        <w:t xml:space="preserve"> </w:t>
      </w:r>
      <w:r w:rsidRPr="00CA3191">
        <w:rPr>
          <w:rFonts w:ascii="Times New Roman" w:hAnsi="Times New Roman" w:cs="Times New Roman"/>
        </w:rPr>
        <w:t xml:space="preserve">RE by malo byť predložené do konca roka 2018. V tejto súvislosti </w:t>
      </w:r>
      <w:r>
        <w:rPr>
          <w:rFonts w:ascii="Times New Roman" w:hAnsi="Times New Roman" w:cs="Times New Roman"/>
        </w:rPr>
        <w:t xml:space="preserve">sa </w:t>
      </w:r>
      <w:r w:rsidRPr="00CA3191">
        <w:rPr>
          <w:rFonts w:ascii="Times New Roman" w:hAnsi="Times New Roman" w:cs="Times New Roman"/>
        </w:rPr>
        <w:t>navrhuje zabezpečiť financovanie účasti SR na splatenom</w:t>
      </w:r>
      <w:r>
        <w:rPr>
          <w:rFonts w:ascii="Times New Roman" w:hAnsi="Times New Roman" w:cs="Times New Roman"/>
        </w:rPr>
        <w:t xml:space="preserve"> základnom imaní RBRE vo výške 6</w:t>
      </w:r>
      <w:r w:rsidRPr="00CA3191">
        <w:rPr>
          <w:rFonts w:ascii="Times New Roman" w:hAnsi="Times New Roman" w:cs="Times New Roman"/>
        </w:rPr>
        <w:t xml:space="preserve"> 000 </w:t>
      </w:r>
      <w:r>
        <w:rPr>
          <w:rFonts w:ascii="Times New Roman" w:hAnsi="Times New Roman" w:cs="Times New Roman"/>
        </w:rPr>
        <w:t>tis.</w:t>
      </w:r>
      <w:r w:rsidRPr="00CA3191">
        <w:rPr>
          <w:rFonts w:ascii="Times New Roman" w:hAnsi="Times New Roman" w:cs="Times New Roman"/>
        </w:rPr>
        <w:t xml:space="preserve"> eur v roku 2019.</w:t>
      </w:r>
    </w:p>
    <w:p w:rsidR="00CE37B1" w:rsidRDefault="00CE37B1" w:rsidP="00CE37B1">
      <w:pPr>
        <w:jc w:val="both"/>
        <w:rPr>
          <w:rFonts w:ascii="Times New Roman" w:hAnsi="Times New Roman" w:cs="Times New Roman"/>
        </w:rPr>
      </w:pPr>
    </w:p>
    <w:p w:rsidR="00CE37B1" w:rsidRPr="002677A6" w:rsidRDefault="00CE37B1" w:rsidP="00CE37B1">
      <w:pPr>
        <w:jc w:val="both"/>
        <w:rPr>
          <w:rFonts w:ascii="Times New Roman" w:hAnsi="Times New Roman" w:cs="Times New Roman"/>
        </w:rPr>
      </w:pPr>
      <w:r w:rsidRPr="000A6450">
        <w:rPr>
          <w:rFonts w:ascii="Times New Roman" w:hAnsi="Times New Roman" w:cs="Times New Roman"/>
        </w:rPr>
        <w:t>5.2.3.</w:t>
      </w:r>
      <w:r w:rsidRPr="000A6450">
        <w:rPr>
          <w:rFonts w:ascii="Times New Roman" w:hAnsi="Times New Roman" w:cs="Times New Roman"/>
        </w:rPr>
        <w:tab/>
        <w:t>V súvislosti s dobudovaním priemyselnej zóny Nitra – Mlynárce sa predpokladá uskutočniť zdrojové posilnenie spoločnosti MH Invest, s. r. o.</w:t>
      </w:r>
    </w:p>
    <w:p w:rsidR="00FF5093" w:rsidRPr="002677A6" w:rsidRDefault="00FF5093" w:rsidP="00FF5093">
      <w:pPr>
        <w:ind w:firstLine="708"/>
        <w:jc w:val="both"/>
        <w:rPr>
          <w:rFonts w:ascii="Times New Roman" w:hAnsi="Times New Roman" w:cs="Times New Roman"/>
        </w:rPr>
      </w:pPr>
    </w:p>
    <w:sectPr w:rsidR="00FF5093" w:rsidRPr="002677A6" w:rsidSect="00207C6D">
      <w:footerReference w:type="default" r:id="rId45"/>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F05" w:rsidRDefault="00A44F05" w:rsidP="00686060">
      <w:r>
        <w:separator/>
      </w:r>
    </w:p>
  </w:endnote>
  <w:endnote w:type="continuationSeparator" w:id="0">
    <w:p w:rsidR="00A44F05" w:rsidRDefault="00A44F05" w:rsidP="0068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0BC" w:rsidRPr="000A4CD0" w:rsidRDefault="004650BC">
    <w:pPr>
      <w:pStyle w:val="Pta"/>
      <w:jc w:val="center"/>
      <w:rPr>
        <w:rFonts w:ascii="Times New Roman" w:hAnsi="Times New Roman"/>
      </w:rPr>
    </w:pPr>
    <w:r w:rsidRPr="000A4CD0">
      <w:rPr>
        <w:rFonts w:ascii="Times New Roman" w:hAnsi="Times New Roman"/>
      </w:rPr>
      <w:fldChar w:fldCharType="begin"/>
    </w:r>
    <w:r w:rsidRPr="000A4CD0">
      <w:rPr>
        <w:rFonts w:ascii="Times New Roman" w:hAnsi="Times New Roman"/>
      </w:rPr>
      <w:instrText>PAGE   \* MERGEFORMAT</w:instrText>
    </w:r>
    <w:r w:rsidRPr="000A4CD0">
      <w:rPr>
        <w:rFonts w:ascii="Times New Roman" w:hAnsi="Times New Roman"/>
      </w:rPr>
      <w:fldChar w:fldCharType="separate"/>
    </w:r>
    <w:r w:rsidR="00E165BB">
      <w:rPr>
        <w:rFonts w:ascii="Times New Roman" w:hAnsi="Times New Roman"/>
        <w:noProof/>
      </w:rPr>
      <w:t>51</w:t>
    </w:r>
    <w:r w:rsidRPr="000A4CD0">
      <w:rPr>
        <w:rFonts w:ascii="Times New Roman" w:hAnsi="Times New Roman"/>
      </w:rPr>
      <w:fldChar w:fldCharType="end"/>
    </w:r>
  </w:p>
  <w:p w:rsidR="004650BC" w:rsidRDefault="004650B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F05" w:rsidRDefault="00A44F05" w:rsidP="00686060">
      <w:r>
        <w:separator/>
      </w:r>
    </w:p>
  </w:footnote>
  <w:footnote w:type="continuationSeparator" w:id="0">
    <w:p w:rsidR="00A44F05" w:rsidRDefault="00A44F05" w:rsidP="00686060">
      <w:r>
        <w:continuationSeparator/>
      </w:r>
    </w:p>
  </w:footnote>
  <w:footnote w:id="1">
    <w:p w:rsidR="004650BC" w:rsidRPr="005408A2" w:rsidRDefault="004650BC" w:rsidP="005408A2">
      <w:pPr>
        <w:pStyle w:val="Textpoznmkypodiarou"/>
        <w:rPr>
          <w:sz w:val="16"/>
          <w:szCs w:val="16"/>
        </w:rPr>
      </w:pPr>
      <w:r w:rsidRPr="005408A2">
        <w:rPr>
          <w:rStyle w:val="Odkaznapoznmkupodiarou"/>
          <w:sz w:val="16"/>
          <w:szCs w:val="16"/>
        </w:rPr>
        <w:footnoteRef/>
      </w:r>
      <w:r w:rsidRPr="005408A2">
        <w:rPr>
          <w:sz w:val="16"/>
          <w:szCs w:val="16"/>
        </w:rPr>
        <w:t xml:space="preserve"> Súkromné investície bez JLR a D4/R7</w:t>
      </w:r>
      <w:r>
        <w:rPr>
          <w:sz w:val="16"/>
          <w:szCs w:val="16"/>
        </w:rPr>
        <w:t>.</w:t>
      </w:r>
    </w:p>
  </w:footnote>
  <w:footnote w:id="2">
    <w:p w:rsidR="004650BC" w:rsidRPr="005408A2" w:rsidRDefault="004650BC" w:rsidP="005408A2">
      <w:pPr>
        <w:pStyle w:val="Textpoznmkypodiarou"/>
        <w:jc w:val="both"/>
        <w:rPr>
          <w:sz w:val="16"/>
          <w:szCs w:val="16"/>
        </w:rPr>
      </w:pPr>
      <w:r w:rsidRPr="005408A2">
        <w:rPr>
          <w:rStyle w:val="Odkaznapoznmkupodiarou"/>
          <w:sz w:val="16"/>
          <w:szCs w:val="16"/>
        </w:rPr>
        <w:footnoteRef/>
      </w:r>
      <w:r w:rsidRPr="005408A2">
        <w:rPr>
          <w:sz w:val="16"/>
          <w:szCs w:val="16"/>
        </w:rPr>
        <w:t xml:space="preserve"> Nezahŕňa cudzincov, naopak zahŕňa Slovákov pracujúcich v zahraničí a pracovníkov na aktivačných prácach.</w:t>
      </w:r>
    </w:p>
  </w:footnote>
  <w:footnote w:id="3">
    <w:p w:rsidR="004650BC" w:rsidRPr="005408A2" w:rsidRDefault="004650BC" w:rsidP="005408A2">
      <w:pPr>
        <w:pStyle w:val="Textpoznmkypodiarou"/>
        <w:jc w:val="both"/>
        <w:rPr>
          <w:sz w:val="18"/>
        </w:rPr>
      </w:pPr>
      <w:r w:rsidRPr="005408A2">
        <w:rPr>
          <w:rStyle w:val="Odkaznapoznmkupodiarou"/>
          <w:sz w:val="16"/>
          <w:szCs w:val="18"/>
        </w:rPr>
        <w:footnoteRef/>
      </w:r>
      <w:r w:rsidRPr="005408A2">
        <w:rPr>
          <w:sz w:val="16"/>
          <w:szCs w:val="18"/>
        </w:rPr>
        <w:t xml:space="preserve"> Hoci kolektívne vyjednávanie nebolo uzavreté, makroekonomická prognóza predpokladá 10 %-nú valorizáciou miezd všetkých pracovníkov verejného sektora v rokoch 2019 a 2020.</w:t>
      </w:r>
    </w:p>
  </w:footnote>
  <w:footnote w:id="4">
    <w:p w:rsidR="004650BC" w:rsidRPr="00A126A1" w:rsidRDefault="004650BC" w:rsidP="00655B0D">
      <w:pPr>
        <w:pStyle w:val="Textpoznmkypodiarou"/>
        <w:jc w:val="both"/>
        <w:rPr>
          <w:sz w:val="16"/>
          <w:szCs w:val="16"/>
        </w:rPr>
      </w:pPr>
      <w:r w:rsidRPr="00A126A1">
        <w:rPr>
          <w:rStyle w:val="Odkaznapoznmkupodiarou"/>
          <w:sz w:val="16"/>
          <w:szCs w:val="16"/>
        </w:rPr>
        <w:footnoteRef/>
      </w:r>
      <w:r w:rsidRPr="00A126A1">
        <w:rPr>
          <w:sz w:val="16"/>
          <w:szCs w:val="16"/>
        </w:rPr>
        <w:t xml:space="preserve"> V zmysle metodiky ESA 2010 sa v štátnom rozpočte zaznamenávajú </w:t>
      </w:r>
      <w:r>
        <w:rPr>
          <w:sz w:val="16"/>
          <w:szCs w:val="16"/>
        </w:rPr>
        <w:t xml:space="preserve">tie </w:t>
      </w:r>
      <w:r w:rsidRPr="00A126A1">
        <w:rPr>
          <w:sz w:val="16"/>
          <w:szCs w:val="16"/>
        </w:rPr>
        <w:t xml:space="preserve">daňové príjmy samosprávy, </w:t>
      </w:r>
      <w:r>
        <w:rPr>
          <w:sz w:val="16"/>
          <w:szCs w:val="16"/>
        </w:rPr>
        <w:t>o ktorých rozhoduje vláda (štát). Daňové príjmy, o ktorých rozhoduje samospráva sama (miestne dane) sú naďalej zaznamenané ako ich daňové príjmy podľa metodiky ESA 2010.</w:t>
      </w:r>
    </w:p>
  </w:footnote>
  <w:footnote w:id="5">
    <w:p w:rsidR="004650BC" w:rsidRPr="004B0A56" w:rsidRDefault="004650BC" w:rsidP="00033975">
      <w:pPr>
        <w:pStyle w:val="Textpoznmkypodiarou"/>
        <w:ind w:left="113" w:hanging="113"/>
        <w:jc w:val="both"/>
        <w:rPr>
          <w:sz w:val="16"/>
          <w:szCs w:val="16"/>
        </w:rPr>
      </w:pPr>
      <w:r w:rsidRPr="004B0A56">
        <w:rPr>
          <w:rStyle w:val="Odkaznapoznmkupodiarou"/>
          <w:sz w:val="16"/>
          <w:szCs w:val="16"/>
        </w:rPr>
        <w:footnoteRef/>
      </w:r>
      <w:r w:rsidRPr="004B0A56">
        <w:rPr>
          <w:rFonts w:cs="Arial Narrow"/>
          <w:sz w:val="16"/>
          <w:szCs w:val="16"/>
        </w:rPr>
        <w:t xml:space="preserve"> Všetky uvádzané hodnoty sú počítané v metodike, ktorá sa používa pri posudzovaní plnenia maastrichtského kritéria pre výšku hrubého dlhu verejnej správy – tzv. maastrichtský hrubý dlh verejnej správy. Dlh verejnej správy je vyjadrený ako podiel na HDP.</w:t>
      </w:r>
    </w:p>
  </w:footnote>
  <w:footnote w:id="6">
    <w:p w:rsidR="004650BC" w:rsidRPr="007B4261" w:rsidRDefault="004650BC" w:rsidP="00033975">
      <w:pPr>
        <w:pStyle w:val="Textpoznmkypodiarou"/>
        <w:jc w:val="both"/>
        <w:rPr>
          <w:sz w:val="16"/>
          <w:szCs w:val="16"/>
        </w:rPr>
      </w:pPr>
      <w:r w:rsidRPr="007B4261">
        <w:rPr>
          <w:rStyle w:val="Odkaznapoznmkupodiarou"/>
          <w:sz w:val="16"/>
          <w:szCs w:val="16"/>
        </w:rPr>
        <w:footnoteRef/>
      </w:r>
      <w:r w:rsidRPr="007B4261">
        <w:rPr>
          <w:sz w:val="16"/>
          <w:szCs w:val="16"/>
        </w:rPr>
        <w:t xml:space="preserve"> Primárne saldo predstavuje saldo verejnej správy očistené o úrokové náklady.</w:t>
      </w:r>
    </w:p>
  </w:footnote>
  <w:footnote w:id="7">
    <w:p w:rsidR="004650BC" w:rsidRPr="004B0A56" w:rsidRDefault="004650BC" w:rsidP="00033975">
      <w:pPr>
        <w:pStyle w:val="Textpoznmkypodiarou"/>
        <w:ind w:left="113" w:hanging="113"/>
        <w:jc w:val="both"/>
        <w:rPr>
          <w:sz w:val="16"/>
          <w:szCs w:val="16"/>
        </w:rPr>
      </w:pPr>
      <w:r w:rsidRPr="004B0A56">
        <w:rPr>
          <w:rStyle w:val="Odkaznapoznmkupodiarou"/>
          <w:sz w:val="16"/>
          <w:szCs w:val="16"/>
        </w:rPr>
        <w:footnoteRef/>
      </w:r>
      <w:r w:rsidRPr="004B0A56">
        <w:rPr>
          <w:sz w:val="16"/>
          <w:szCs w:val="16"/>
        </w:rPr>
        <w:t xml:space="preserve"> Diskont pri emisii štátnych dlhopisov a štátnych pokladničných poukážok zvyšuje dlh, keďže v okamihu emisie dlhopisov narastú záväzky štátu o menovitú hodnotu dlhopisov. Štát však získava v hotovosti nižšiu sumu (zníženú o diskont). Naopak, diskont pri splatení štátnych dlhopisov znižuje dlh. Dôvodom je skutočnosť, že k nárastu dlhu dochádza už pri emisii dlhopisov, a to v nominálnej hodnote dlhopisu a nie pri ich splatení.</w:t>
      </w:r>
    </w:p>
  </w:footnote>
  <w:footnote w:id="8">
    <w:p w:rsidR="004650BC" w:rsidRPr="00A9294D" w:rsidRDefault="004650BC" w:rsidP="002B3068">
      <w:pPr>
        <w:pStyle w:val="Textpoznmkypodiarou"/>
        <w:jc w:val="both"/>
        <w:rPr>
          <w:sz w:val="18"/>
        </w:rPr>
      </w:pPr>
      <w:r w:rsidRPr="00A9294D">
        <w:rPr>
          <w:rStyle w:val="Odkaznapoznmkupodiarou"/>
          <w:sz w:val="16"/>
          <w:szCs w:val="18"/>
        </w:rPr>
        <w:footnoteRef/>
      </w:r>
      <w:r w:rsidRPr="00A9294D">
        <w:rPr>
          <w:sz w:val="18"/>
        </w:rPr>
        <w:t xml:space="preserve"> </w:t>
      </w:r>
      <w:r w:rsidRPr="00A9294D">
        <w:rPr>
          <w:sz w:val="16"/>
          <w:szCs w:val="18"/>
        </w:rPr>
        <w:t>Ak je priemerná odchýlka prognózy člena (vyjadrená v %) od prognózy MF SR v intervale &lt;-1; 1&gt;, prognóza MF SR je realistická, ak je väčšia ako 1, tak prognóza MF SR je podhodnotená a ak je menšia ako -1, vtedy je nadhodnotená. Jednotlivé odchýlky v rokoch majú rozdielne váhy pri výpočte celkovej odchýlky od prognózy MFSR v závislosti od dôležitosti pre najbližší rozpočtový rok.</w:t>
      </w:r>
    </w:p>
  </w:footnote>
  <w:footnote w:id="9">
    <w:p w:rsidR="004650BC" w:rsidRDefault="004650BC">
      <w:pPr>
        <w:pStyle w:val="Textpoznmkypodiarou"/>
      </w:pPr>
      <w:r w:rsidRPr="00570A08">
        <w:rPr>
          <w:rStyle w:val="Odkaznapoznmkupodiarou"/>
          <w:sz w:val="16"/>
        </w:rPr>
        <w:footnoteRef/>
      </w:r>
      <w:r w:rsidRPr="00570A08">
        <w:rPr>
          <w:sz w:val="16"/>
        </w:rPr>
        <w:t xml:space="preserve"> § 8 ods. 2 zákona č. 523/2004 Z. z. o rozpočtových pravidlách verejnej správy </w:t>
      </w:r>
      <w:r>
        <w:rPr>
          <w:sz w:val="16"/>
        </w:rPr>
        <w:t>a o zmene a doplnení niektorých zákonov v znení neskorších predpisov.</w:t>
      </w:r>
    </w:p>
  </w:footnote>
  <w:footnote w:id="10">
    <w:p w:rsidR="004650BC" w:rsidRPr="000570FC" w:rsidRDefault="004650BC" w:rsidP="002B3068">
      <w:pPr>
        <w:pStyle w:val="Textpoznmkypodiarou"/>
        <w:rPr>
          <w:rFonts w:asciiTheme="minorHAnsi" w:hAnsiTheme="minorHAnsi"/>
          <w:sz w:val="16"/>
        </w:rPr>
      </w:pPr>
      <w:r w:rsidRPr="000570FC">
        <w:rPr>
          <w:rStyle w:val="Odkaznapoznmkupodiarou"/>
          <w:sz w:val="16"/>
        </w:rPr>
        <w:footnoteRef/>
      </w:r>
      <w:r w:rsidRPr="000570FC">
        <w:rPr>
          <w:rStyle w:val="Odkaznapoznmkupodiarou"/>
          <w:sz w:val="16"/>
        </w:rPr>
        <w:t xml:space="preserve"> </w:t>
      </w:r>
      <w:r w:rsidRPr="000570FC">
        <w:rPr>
          <w:sz w:val="16"/>
        </w:rPr>
        <w:t>Starobní, predčasní starobní, invalidní ako aj tí, ktorí poberajú výsluhový dôchodok (alebo invalidný výsluhový dôchodku) po dovŕšení dôchodkového veku.</w:t>
      </w:r>
    </w:p>
  </w:footnote>
  <w:footnote w:id="11">
    <w:p w:rsidR="004650BC" w:rsidRPr="00BA254F" w:rsidRDefault="004650BC" w:rsidP="002B3068">
      <w:pPr>
        <w:pStyle w:val="Textpoznmkypodiarou"/>
        <w:jc w:val="both"/>
        <w:rPr>
          <w:sz w:val="16"/>
        </w:rPr>
      </w:pPr>
      <w:r w:rsidRPr="00BA254F">
        <w:rPr>
          <w:rStyle w:val="Odkaznapoznmkupodiarou"/>
          <w:sz w:val="16"/>
        </w:rPr>
        <w:footnoteRef/>
      </w:r>
      <w:r w:rsidRPr="00BA254F">
        <w:rPr>
          <w:sz w:val="16"/>
        </w:rPr>
        <w:t xml:space="preserve"> Nezdaniteľná časť základu dane na daňovníka (NČZD) je definovaná ako 19,2-násobok životného minima platného k 1. januáru príslušného roka.</w:t>
      </w:r>
    </w:p>
  </w:footnote>
  <w:footnote w:id="12">
    <w:p w:rsidR="004650BC" w:rsidRPr="008F1D17" w:rsidRDefault="004650BC" w:rsidP="00CA25F9">
      <w:pPr>
        <w:pStyle w:val="Textpoznmkypodiarou"/>
        <w:ind w:left="113" w:hanging="113"/>
        <w:jc w:val="both"/>
        <w:rPr>
          <w:sz w:val="16"/>
          <w:szCs w:val="16"/>
        </w:rPr>
      </w:pPr>
      <w:r w:rsidRPr="008F1D17">
        <w:rPr>
          <w:rStyle w:val="Odkaznapoznmkupodiarou"/>
          <w:sz w:val="16"/>
          <w:szCs w:val="16"/>
        </w:rPr>
        <w:footnoteRef/>
      </w:r>
      <w:r w:rsidRPr="008F1D17">
        <w:rPr>
          <w:sz w:val="16"/>
          <w:szCs w:val="16"/>
        </w:rPr>
        <w:t xml:space="preserve"> Manuál zverejňovania daňových </w:t>
      </w:r>
      <w:r w:rsidRPr="00907A05">
        <w:rPr>
          <w:sz w:val="16"/>
          <w:szCs w:val="16"/>
        </w:rPr>
        <w:t xml:space="preserve">výdavkov </w:t>
      </w:r>
      <w:hyperlink r:id="rId1" w:history="1">
        <w:r w:rsidRPr="00907A05">
          <w:rPr>
            <w:rStyle w:val="Hypertextovprepojenie"/>
            <w:color w:val="auto"/>
            <w:sz w:val="16"/>
            <w:szCs w:val="16"/>
          </w:rPr>
          <w:t>http://www.finance.gov.sk/Default.aspx?CatID=9761</w:t>
        </w:r>
      </w:hyperlink>
      <w:r w:rsidRPr="00907A05">
        <w:rPr>
          <w:sz w:val="16"/>
          <w:szCs w:val="16"/>
        </w:rPr>
        <w:t xml:space="preserve">. Spôsob </w:t>
      </w:r>
      <w:r w:rsidRPr="008F1D17">
        <w:rPr>
          <w:sz w:val="16"/>
          <w:szCs w:val="16"/>
        </w:rPr>
        <w:t>zverejňo</w:t>
      </w:r>
      <w:r>
        <w:rPr>
          <w:sz w:val="16"/>
          <w:szCs w:val="16"/>
        </w:rPr>
        <w:t>vania údajov o daňových výdavkoch</w:t>
      </w:r>
      <w:r w:rsidRPr="008F1D17">
        <w:rPr>
          <w:sz w:val="16"/>
          <w:szCs w:val="16"/>
        </w:rPr>
        <w:t xml:space="preserve"> reflektuje aj odporúčania EK (viac v manuáli).</w:t>
      </w:r>
    </w:p>
  </w:footnote>
  <w:footnote w:id="13">
    <w:p w:rsidR="004650BC" w:rsidRPr="00A309AF" w:rsidRDefault="004650BC" w:rsidP="00CA25F9">
      <w:pPr>
        <w:pStyle w:val="Textpoznmkypodiarou"/>
        <w:ind w:left="113" w:hanging="113"/>
        <w:jc w:val="both"/>
        <w:rPr>
          <w:rFonts w:ascii="Arial Narrow" w:hAnsi="Arial Narrow"/>
          <w:sz w:val="16"/>
          <w:szCs w:val="16"/>
        </w:rPr>
      </w:pPr>
      <w:r w:rsidRPr="008F1D17">
        <w:rPr>
          <w:rStyle w:val="Odkaznapoznmkupodiarou"/>
          <w:sz w:val="16"/>
          <w:szCs w:val="16"/>
        </w:rPr>
        <w:footnoteRef/>
      </w:r>
      <w:r w:rsidRPr="008F1D17">
        <w:rPr>
          <w:sz w:val="16"/>
          <w:szCs w:val="16"/>
        </w:rPr>
        <w:t xml:space="preserve"> Príkladom daňového benchmarku v podobe štrukturálneho daňového výdavku je napríklad plnenie medzinárodných zmlúv v oblasti daní (zmluvy o zamedzení dvojitého zdanenia) alebo povinné oslobodenia od dane vyplývajúce z legislatívy v EÚ (najmä v nepriamych daniach).</w:t>
      </w:r>
    </w:p>
  </w:footnote>
  <w:footnote w:id="14">
    <w:p w:rsidR="004650BC" w:rsidRPr="008F1D17" w:rsidRDefault="004650BC" w:rsidP="00CA25F9">
      <w:pPr>
        <w:pStyle w:val="Textpoznmkypodiarou"/>
        <w:ind w:left="113" w:hanging="113"/>
        <w:jc w:val="both"/>
        <w:rPr>
          <w:sz w:val="16"/>
          <w:szCs w:val="16"/>
        </w:rPr>
      </w:pPr>
      <w:r w:rsidRPr="008F1D17">
        <w:rPr>
          <w:rStyle w:val="Odkaznapoznmkupodiarou"/>
          <w:sz w:val="16"/>
          <w:szCs w:val="16"/>
        </w:rPr>
        <w:footnoteRef/>
      </w:r>
      <w:r w:rsidRPr="008F1D17">
        <w:rPr>
          <w:sz w:val="16"/>
          <w:szCs w:val="16"/>
        </w:rPr>
        <w:t xml:space="preserve"> Nevyhnutnou podmienkou na identifikovanie daňového výdavku je splnenie prvých troch kritérií. Pre ilustráciu uvádzame príklad daňového výdavku, </w:t>
      </w:r>
      <w:r>
        <w:rPr>
          <w:sz w:val="16"/>
          <w:szCs w:val="16"/>
        </w:rPr>
        <w:t>pri</w:t>
      </w:r>
      <w:r w:rsidRPr="008F1D17">
        <w:rPr>
          <w:sz w:val="16"/>
          <w:szCs w:val="16"/>
        </w:rPr>
        <w:t> ktoro</w:t>
      </w:r>
      <w:r>
        <w:rPr>
          <w:sz w:val="16"/>
          <w:szCs w:val="16"/>
        </w:rPr>
        <w:t>m</w:t>
      </w:r>
      <w:r w:rsidRPr="008F1D17">
        <w:rPr>
          <w:sz w:val="16"/>
          <w:szCs w:val="16"/>
        </w:rPr>
        <w:t xml:space="preserve"> nedochádza k selektívnosti. Ide o aplikáciu daňových odpisov. Rozdielna doba/sadzba daňových odpisov oproti účtovným odpisom sa považuje za štrukturálny daňový výdavok, je súčasťou benchmarku. Umožnenie zrýchleného odpisovania ešte nad rámec daňových odpisov v daňovom zákone sa však už považuje za daňový výdavok. Ide však o neselektívne zvýhodnenie odpisovania pre všetkých nad rámec základnej línie odpisovania majetku v zákone, za účelom podpory investícií do hmotného majetku.   </w:t>
      </w:r>
    </w:p>
  </w:footnote>
  <w:footnote w:id="15">
    <w:p w:rsidR="004650BC" w:rsidRDefault="004650BC" w:rsidP="00CA25F9">
      <w:pPr>
        <w:pStyle w:val="Textpoznmkypodiarou"/>
        <w:ind w:left="113" w:hanging="113"/>
        <w:jc w:val="both"/>
        <w:rPr>
          <w:rFonts w:ascii="Arial Narrow" w:hAnsi="Arial Narrow"/>
          <w:sz w:val="16"/>
          <w:szCs w:val="16"/>
        </w:rPr>
      </w:pPr>
      <w:r w:rsidRPr="008F1D17">
        <w:rPr>
          <w:rStyle w:val="Odkaznapoznmkupodiarou"/>
          <w:sz w:val="16"/>
          <w:szCs w:val="16"/>
        </w:rPr>
        <w:footnoteRef/>
      </w:r>
      <w:r w:rsidRPr="008F1D17">
        <w:rPr>
          <w:sz w:val="16"/>
          <w:szCs w:val="16"/>
        </w:rPr>
        <w:t xml:space="preserve"> </w:t>
      </w:r>
      <w:r w:rsidRPr="008F1D17">
        <w:rPr>
          <w:color w:val="000000"/>
          <w:sz w:val="16"/>
          <w:szCs w:val="16"/>
        </w:rPr>
        <w:t>Subjekty verejnej správy sú povinné zostavovať svoj rozpočet najmenej na tri rozpočtové roky. Súčasťou návrhu rozpočtu je aj schválený rozpočet na bežný rozpočtový rok, údaje o očakávanej skutočnosti bežného rozpočtového roka a údaje o skutočnom plnení rozpočtu za predchádzajúce dva rozpočtové roky.</w:t>
      </w:r>
    </w:p>
  </w:footnote>
  <w:footnote w:id="16">
    <w:p w:rsidR="004650BC" w:rsidRPr="000059D8" w:rsidRDefault="004650BC" w:rsidP="0011703B">
      <w:pPr>
        <w:pStyle w:val="Textpoznmkypodiarou"/>
        <w:rPr>
          <w:sz w:val="16"/>
          <w:szCs w:val="16"/>
        </w:rPr>
      </w:pPr>
      <w:r w:rsidRPr="00985D7B">
        <w:rPr>
          <w:rStyle w:val="Odkaznapoznmkupodiarou"/>
          <w:sz w:val="16"/>
          <w:szCs w:val="16"/>
        </w:rPr>
        <w:footnoteRef/>
      </w:r>
      <w:r w:rsidRPr="00985D7B">
        <w:rPr>
          <w:sz w:val="16"/>
          <w:szCs w:val="16"/>
        </w:rPr>
        <w:t xml:space="preserve"> </w:t>
      </w:r>
      <w:hyperlink r:id="rId2" w:history="1">
        <w:r w:rsidRPr="00985D7B">
          <w:rPr>
            <w:rStyle w:val="Hypertextovprepojenie"/>
            <w:color w:val="auto"/>
            <w:sz w:val="16"/>
            <w:szCs w:val="16"/>
          </w:rPr>
          <w:t>https://www.finance.gov.sk/Default.aspx?CatID=9595</w:t>
        </w:r>
      </w:hyperlink>
    </w:p>
  </w:footnote>
  <w:footnote w:id="17">
    <w:p w:rsidR="004650BC" w:rsidRDefault="004650BC" w:rsidP="003A497B">
      <w:pPr>
        <w:pStyle w:val="Textpoznmkypodiarou"/>
      </w:pPr>
      <w:r>
        <w:rPr>
          <w:rStyle w:val="Odkaznapoznmkupodiarou"/>
        </w:rPr>
        <w:footnoteRef/>
      </w:r>
      <w:r>
        <w:t xml:space="preserve"> </w:t>
      </w:r>
      <w:r w:rsidRPr="00571888">
        <w:rPr>
          <w:sz w:val="16"/>
          <w:szCs w:val="16"/>
        </w:rPr>
        <w:t>Miera zamestnanosti osôb vo veku 20 - 64 rokov v 2. štvrťroku 2018 v porovnaní s 2. štvrťrokom 2017 vzrástla o 0,9 p. b. na 72 %. Zdroj: ŠÚ SR</w:t>
      </w:r>
    </w:p>
  </w:footnote>
  <w:footnote w:id="18">
    <w:p w:rsidR="004650BC" w:rsidRPr="003E2EA9" w:rsidRDefault="004650BC" w:rsidP="003A497B">
      <w:pPr>
        <w:pStyle w:val="Textpoznmkypodiarou"/>
        <w:jc w:val="both"/>
        <w:rPr>
          <w:sz w:val="16"/>
          <w:szCs w:val="16"/>
        </w:rPr>
      </w:pPr>
      <w:r w:rsidRPr="003E2EA9">
        <w:rPr>
          <w:rStyle w:val="Odkaznapoznmkupodiarou"/>
          <w:sz w:val="16"/>
          <w:szCs w:val="16"/>
        </w:rPr>
        <w:footnoteRef/>
      </w:r>
      <w:r w:rsidRPr="003E2EA9">
        <w:rPr>
          <w:sz w:val="16"/>
          <w:szCs w:val="16"/>
        </w:rPr>
        <w:t xml:space="preserve"> V medzinárodných porovnania</w:t>
      </w:r>
      <w:r>
        <w:rPr>
          <w:sz w:val="16"/>
          <w:szCs w:val="16"/>
        </w:rPr>
        <w:t>ch</w:t>
      </w:r>
      <w:r w:rsidRPr="003E2EA9">
        <w:rPr>
          <w:sz w:val="16"/>
          <w:szCs w:val="16"/>
        </w:rPr>
        <w:t xml:space="preserve"> sa uprednostňuje použitie očakávanej dĺžky života žien, pretože menej podlieha negatívnym vplyvom životného štýlu (fajčenie, vysoká spotreba alkoholu, a</w:t>
      </w:r>
      <w:r>
        <w:rPr>
          <w:sz w:val="16"/>
          <w:szCs w:val="16"/>
        </w:rPr>
        <w:t> </w:t>
      </w:r>
      <w:r w:rsidRPr="003E2EA9">
        <w:rPr>
          <w:sz w:val="16"/>
          <w:szCs w:val="16"/>
        </w:rPr>
        <w:t>pod</w:t>
      </w:r>
      <w:r>
        <w:rPr>
          <w:sz w:val="16"/>
          <w:szCs w:val="16"/>
        </w:rPr>
        <w:t>.</w:t>
      </w:r>
      <w:r w:rsidRPr="003E2EA9">
        <w:rPr>
          <w:sz w:val="16"/>
          <w:szCs w:val="16"/>
        </w:rPr>
        <w:t>) a zároveň majú ženy menej rizikové správanie.</w:t>
      </w:r>
    </w:p>
  </w:footnote>
  <w:footnote w:id="19">
    <w:p w:rsidR="004650BC" w:rsidRPr="003E2EA9" w:rsidRDefault="004650BC" w:rsidP="003A497B">
      <w:pPr>
        <w:pStyle w:val="Textpoznmkypodiarou"/>
        <w:rPr>
          <w:sz w:val="16"/>
          <w:szCs w:val="16"/>
        </w:rPr>
      </w:pPr>
      <w:r w:rsidRPr="003E2EA9">
        <w:rPr>
          <w:rStyle w:val="Odkaznapoznmkupodiarou"/>
          <w:sz w:val="16"/>
          <w:szCs w:val="16"/>
        </w:rPr>
        <w:footnoteRef/>
      </w:r>
      <w:r w:rsidRPr="003E2EA9">
        <w:rPr>
          <w:sz w:val="16"/>
          <w:szCs w:val="16"/>
        </w:rPr>
        <w:t xml:space="preserve"> http://www.finance.gov.sk/Default.aspx?CatID=9301</w:t>
      </w:r>
    </w:p>
  </w:footnote>
  <w:footnote w:id="20">
    <w:p w:rsidR="004650BC" w:rsidRPr="00C03503" w:rsidRDefault="004650BC" w:rsidP="003A497B">
      <w:pPr>
        <w:pStyle w:val="Textpoznmkypodiarou"/>
        <w:rPr>
          <w:sz w:val="16"/>
          <w:szCs w:val="16"/>
        </w:rPr>
      </w:pPr>
      <w:r w:rsidRPr="00C03503">
        <w:rPr>
          <w:rStyle w:val="Odkaznapoznmkupodiarou"/>
          <w:sz w:val="16"/>
          <w:szCs w:val="16"/>
        </w:rPr>
        <w:footnoteRef/>
      </w:r>
      <w:r w:rsidRPr="00C03503">
        <w:rPr>
          <w:sz w:val="16"/>
          <w:szCs w:val="16"/>
        </w:rPr>
        <w:t xml:space="preserve"> T.</w:t>
      </w:r>
      <w:r>
        <w:rPr>
          <w:sz w:val="16"/>
          <w:szCs w:val="16"/>
        </w:rPr>
        <w:t xml:space="preserve"> </w:t>
      </w:r>
      <w:r w:rsidRPr="00C03503">
        <w:rPr>
          <w:sz w:val="16"/>
          <w:szCs w:val="16"/>
        </w:rPr>
        <w:t>j. všetkých povolaní okrem lekárov, farmaceutov a fyzikov.</w:t>
      </w:r>
    </w:p>
  </w:footnote>
  <w:footnote w:id="21">
    <w:p w:rsidR="004650BC" w:rsidRPr="003C37CE" w:rsidRDefault="004650BC" w:rsidP="003A497B">
      <w:pPr>
        <w:contextualSpacing/>
        <w:jc w:val="both"/>
        <w:rPr>
          <w:rFonts w:ascii="Arial Narrow" w:hAnsi="Arial Narrow"/>
          <w:sz w:val="16"/>
          <w:szCs w:val="16"/>
        </w:rPr>
      </w:pPr>
      <w:r w:rsidRPr="004650BC">
        <w:rPr>
          <w:rStyle w:val="Odkaznapoznmkupodiarou"/>
          <w:rFonts w:ascii="Times New Roman" w:hAnsi="Times New Roman"/>
          <w:sz w:val="16"/>
          <w:szCs w:val="16"/>
        </w:rPr>
        <w:footnoteRef/>
      </w:r>
      <w:r w:rsidRPr="004650BC">
        <w:rPr>
          <w:rStyle w:val="Odkaznapoznmkupodiarou"/>
          <w:rFonts w:ascii="Times New Roman" w:hAnsi="Times New Roman"/>
          <w:sz w:val="16"/>
          <w:szCs w:val="16"/>
        </w:rPr>
        <w:t xml:space="preserve"> </w:t>
      </w:r>
      <w:r w:rsidRPr="004650BC">
        <w:rPr>
          <w:rFonts w:ascii="Times New Roman" w:eastAsiaTheme="minorHAnsi" w:hAnsi="Times New Roman" w:cs="Times New Roman"/>
          <w:sz w:val="16"/>
          <w:szCs w:val="16"/>
          <w:lang w:eastAsia="en-US"/>
        </w:rPr>
        <w:t>I</w:t>
      </w:r>
      <w:r w:rsidRPr="003C37CE">
        <w:rPr>
          <w:rFonts w:ascii="Times New Roman" w:eastAsiaTheme="minorHAnsi" w:hAnsi="Times New Roman" w:cs="Times New Roman"/>
          <w:sz w:val="16"/>
          <w:szCs w:val="16"/>
          <w:lang w:eastAsia="en-US"/>
        </w:rPr>
        <w:t>de o lieky s tzv. úzkou terapeutickou šírkou – t.j. rozdiel medzi účinnou a toxickou dávkou liečiva je malý (C01AA05 digoxín, B01AA03 warfarín, R03DA04 theophylin, N05AN01 lithium, N03AB02 phenytoin, N03AF01 carbamazepin, S01AA11 gentamycin, J01XA01 vankomycin) a pri diagnózach veľmi citlivých na stabilnú hladinu liečiva (pacienti s diabetes melitus I. typu a celú skupinu A10A – inzulíny a ich analógy, pacienti s epilepsiou a skupina N03, pacienti s Parkinsonovou chorobou a skupina N04, pacienti na imunosupresívnej a imunostimulačnej liečbe a teda opatrnosť je na mieste pri celej skupinu L03 a L04).</w:t>
      </w:r>
    </w:p>
  </w:footnote>
  <w:footnote w:id="22">
    <w:p w:rsidR="004650BC" w:rsidRPr="003C37CE" w:rsidRDefault="004650BC" w:rsidP="003A497B">
      <w:pPr>
        <w:pStyle w:val="Textpoznmkypodiarou"/>
        <w:rPr>
          <w:sz w:val="16"/>
          <w:szCs w:val="16"/>
        </w:rPr>
      </w:pPr>
      <w:r w:rsidRPr="003C37CE">
        <w:rPr>
          <w:rStyle w:val="Odkaznapoznmkupodiarou"/>
          <w:sz w:val="16"/>
          <w:szCs w:val="16"/>
        </w:rPr>
        <w:footnoteRef/>
      </w:r>
      <w:r w:rsidRPr="003C37CE">
        <w:rPr>
          <w:sz w:val="16"/>
          <w:szCs w:val="16"/>
        </w:rPr>
        <w:t xml:space="preserve"> Základný funkčný typ je produkt rovnocenný s inými porovnateľnými typmi alebo vyhotoveniami, spomedzi ktorých má najnižšiu cenu.</w:t>
      </w:r>
    </w:p>
  </w:footnote>
  <w:footnote w:id="23">
    <w:p w:rsidR="004650BC" w:rsidRPr="003C37CE" w:rsidRDefault="004650BC" w:rsidP="003A497B">
      <w:pPr>
        <w:pStyle w:val="Textpoznmkypodiarou"/>
        <w:rPr>
          <w:sz w:val="16"/>
          <w:szCs w:val="16"/>
        </w:rPr>
      </w:pPr>
      <w:r w:rsidRPr="003C37CE">
        <w:rPr>
          <w:rStyle w:val="Odkaznapoznmkupodiarou"/>
          <w:sz w:val="16"/>
          <w:szCs w:val="16"/>
        </w:rPr>
        <w:footnoteRef/>
      </w:r>
      <w:r w:rsidRPr="003C37CE">
        <w:rPr>
          <w:sz w:val="16"/>
          <w:szCs w:val="16"/>
        </w:rPr>
        <w:t xml:space="preserve"> K indukovanej spotrebe dochádza, ak je spotreba vyvolaná inými ako medicínskymi potrebami. Defenzívna preskripcia znamená predpisovanie vyšetrení, ktoré neboli potrebné, tzv. „pre istotu“.  </w:t>
      </w:r>
    </w:p>
  </w:footnote>
  <w:footnote w:id="24">
    <w:p w:rsidR="004650BC" w:rsidRPr="00D909EE" w:rsidRDefault="004650BC" w:rsidP="003A497B">
      <w:pPr>
        <w:pStyle w:val="Textpoznmkypodiarou"/>
        <w:rPr>
          <w:sz w:val="14"/>
          <w:szCs w:val="14"/>
        </w:rPr>
      </w:pPr>
      <w:r w:rsidRPr="003C37CE">
        <w:rPr>
          <w:rStyle w:val="Odkaznapoznmkupodiarou"/>
          <w:sz w:val="16"/>
          <w:szCs w:val="16"/>
        </w:rPr>
        <w:footnoteRef/>
      </w:r>
      <w:r w:rsidRPr="003C37CE">
        <w:rPr>
          <w:sz w:val="16"/>
          <w:szCs w:val="16"/>
        </w:rPr>
        <w:t xml:space="preserve"> Klinické vyšetrenie je súhrn úkonov lekára s účelom zistenia ochorenia. Zahŕňa napríklad anamnézu a fyzikálne vyšetrenie (vyšetrenie zmyslami lekára)</w:t>
      </w:r>
    </w:p>
  </w:footnote>
  <w:footnote w:id="25">
    <w:p w:rsidR="004650BC" w:rsidRPr="003E2EA9" w:rsidRDefault="004650BC" w:rsidP="003A497B">
      <w:pPr>
        <w:pStyle w:val="Textpoznmkypodiarou"/>
        <w:rPr>
          <w:sz w:val="16"/>
          <w:szCs w:val="16"/>
        </w:rPr>
      </w:pPr>
      <w:r w:rsidRPr="003E2EA9">
        <w:rPr>
          <w:rStyle w:val="Odkaznapoznmkupodiarou"/>
          <w:sz w:val="16"/>
          <w:szCs w:val="16"/>
        </w:rPr>
        <w:footnoteRef/>
      </w:r>
      <w:r w:rsidRPr="003E2EA9">
        <w:rPr>
          <w:sz w:val="16"/>
          <w:szCs w:val="16"/>
        </w:rPr>
        <w:t xml:space="preserve"> Cieľom štúdie je do roku 2030 výrazne skvalitniť a zefektívniť ústavnú zdravotnú starostlivosť.</w:t>
      </w:r>
      <w:r w:rsidRPr="003E2EA9">
        <w:rPr>
          <w:b/>
          <w:sz w:val="16"/>
          <w:szCs w:val="16"/>
        </w:rPr>
        <w:t xml:space="preserve"> </w:t>
      </w:r>
      <w:r w:rsidRPr="003E2EA9">
        <w:rPr>
          <w:sz w:val="16"/>
          <w:szCs w:val="16"/>
        </w:rPr>
        <w:t xml:space="preserve">Štúdiu vypracovala spoločnosť Boston Consulting Group (BCG), objednávateľom štúdie bola Asociácia zdravotných poisťovní, BCG spolupracovalo s MZ SR, </w:t>
      </w:r>
      <w:r w:rsidRPr="00311C89">
        <w:rPr>
          <w:sz w:val="16"/>
          <w:szCs w:val="16"/>
        </w:rPr>
        <w:t>poisťovňami</w:t>
      </w:r>
      <w:r w:rsidRPr="003E2EA9">
        <w:rPr>
          <w:sz w:val="16"/>
          <w:szCs w:val="16"/>
        </w:rPr>
        <w:t xml:space="preserve"> a MF SR</w:t>
      </w:r>
    </w:p>
  </w:footnote>
  <w:footnote w:id="26">
    <w:p w:rsidR="004650BC" w:rsidRPr="003E2EA9" w:rsidRDefault="004650BC" w:rsidP="003A497B">
      <w:pPr>
        <w:pStyle w:val="Textpoznmkypodiarou"/>
        <w:rPr>
          <w:sz w:val="16"/>
          <w:szCs w:val="16"/>
        </w:rPr>
      </w:pPr>
      <w:r w:rsidRPr="003E2EA9">
        <w:rPr>
          <w:rStyle w:val="Odkaznapoznmkupodiarou"/>
          <w:sz w:val="16"/>
          <w:szCs w:val="16"/>
        </w:rPr>
        <w:footnoteRef/>
      </w:r>
      <w:r w:rsidRPr="003E2EA9">
        <w:rPr>
          <w:sz w:val="16"/>
          <w:szCs w:val="16"/>
        </w:rPr>
        <w:t xml:space="preserve"> Úsporné opatrenia prinesú zníženie výdavkov nemocniciam, vo výdavkoch VZP sa to neprejaví</w:t>
      </w:r>
      <w:r w:rsidR="00632E2F">
        <w:rPr>
          <w:sz w:val="16"/>
          <w:szCs w:val="16"/>
        </w:rPr>
        <w:t>.</w:t>
      </w:r>
    </w:p>
  </w:footnote>
  <w:footnote w:id="27">
    <w:p w:rsidR="004650BC" w:rsidRPr="00CA73CE" w:rsidRDefault="004650BC" w:rsidP="003A497B">
      <w:pPr>
        <w:pStyle w:val="Textpoznmkypodiarou"/>
        <w:rPr>
          <w:sz w:val="16"/>
          <w:szCs w:val="16"/>
        </w:rPr>
      </w:pPr>
      <w:r w:rsidRPr="003E2EA9">
        <w:rPr>
          <w:rStyle w:val="Odkaznapoznmkupodiarou"/>
          <w:sz w:val="16"/>
          <w:szCs w:val="16"/>
        </w:rPr>
        <w:footnoteRef/>
      </w:r>
      <w:r w:rsidRPr="003E2EA9">
        <w:rPr>
          <w:sz w:val="16"/>
          <w:szCs w:val="16"/>
        </w:rPr>
        <w:t xml:space="preserve"> Vrátenie sumy doplatkov pre skupiny ohrozené chudobou (dôchodcov, deti) v prípade prekročenia stanoveného limitu</w:t>
      </w:r>
      <w:r w:rsidR="00632E2F">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D5C55"/>
    <w:multiLevelType w:val="hybridMultilevel"/>
    <w:tmpl w:val="EDDC992E"/>
    <w:lvl w:ilvl="0" w:tplc="D600541A">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D7A39E3"/>
    <w:multiLevelType w:val="hybridMultilevel"/>
    <w:tmpl w:val="CBFC34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D5D05"/>
    <w:multiLevelType w:val="multilevel"/>
    <w:tmpl w:val="99B42C70"/>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1E3C2C08"/>
    <w:multiLevelType w:val="hybridMultilevel"/>
    <w:tmpl w:val="35B25614"/>
    <w:lvl w:ilvl="0" w:tplc="5D7237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7373493"/>
    <w:multiLevelType w:val="hybridMultilevel"/>
    <w:tmpl w:val="EEC6B2AA"/>
    <w:lvl w:ilvl="0" w:tplc="BFDE347C">
      <w:start w:val="4"/>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2A1C9E"/>
    <w:multiLevelType w:val="hybridMultilevel"/>
    <w:tmpl w:val="187822B6"/>
    <w:lvl w:ilvl="0" w:tplc="13F4FC14">
      <w:start w:val="108"/>
      <w:numFmt w:val="bullet"/>
      <w:lvlText w:val="-"/>
      <w:lvlJc w:val="left"/>
      <w:pPr>
        <w:tabs>
          <w:tab w:val="num" w:pos="720"/>
        </w:tabs>
        <w:ind w:left="720" w:hanging="360"/>
      </w:pPr>
      <w:rPr>
        <w:rFonts w:ascii="Arial Narrow" w:eastAsia="Times New Roman" w:hAnsi="Arial Narrow" w:hint="default"/>
      </w:rPr>
    </w:lvl>
    <w:lvl w:ilvl="1" w:tplc="36B8B6F2">
      <w:start w:val="1"/>
      <w:numFmt w:val="bullet"/>
      <w:lvlText w:val="o"/>
      <w:lvlJc w:val="left"/>
      <w:pPr>
        <w:tabs>
          <w:tab w:val="num" w:pos="1440"/>
        </w:tabs>
        <w:ind w:left="1440" w:hanging="360"/>
      </w:pPr>
      <w:rPr>
        <w:rFonts w:ascii="Courier New" w:hAnsi="Courier New" w:hint="default"/>
      </w:rPr>
    </w:lvl>
    <w:lvl w:ilvl="2" w:tplc="027C9A4C">
      <w:start w:val="1"/>
      <w:numFmt w:val="bullet"/>
      <w:lvlText w:val=""/>
      <w:lvlJc w:val="left"/>
      <w:pPr>
        <w:tabs>
          <w:tab w:val="num" w:pos="2160"/>
        </w:tabs>
        <w:ind w:left="2160" w:hanging="360"/>
      </w:pPr>
      <w:rPr>
        <w:rFonts w:ascii="Wingdings" w:hAnsi="Wingdings" w:hint="default"/>
      </w:rPr>
    </w:lvl>
    <w:lvl w:ilvl="3" w:tplc="E3C474D6">
      <w:start w:val="1"/>
      <w:numFmt w:val="bullet"/>
      <w:lvlText w:val=""/>
      <w:lvlJc w:val="left"/>
      <w:pPr>
        <w:tabs>
          <w:tab w:val="num" w:pos="2880"/>
        </w:tabs>
        <w:ind w:left="2880" w:hanging="360"/>
      </w:pPr>
      <w:rPr>
        <w:rFonts w:ascii="Symbol" w:hAnsi="Symbol" w:hint="default"/>
      </w:rPr>
    </w:lvl>
    <w:lvl w:ilvl="4" w:tplc="CACED980">
      <w:start w:val="1"/>
      <w:numFmt w:val="bullet"/>
      <w:lvlText w:val="o"/>
      <w:lvlJc w:val="left"/>
      <w:pPr>
        <w:tabs>
          <w:tab w:val="num" w:pos="3600"/>
        </w:tabs>
        <w:ind w:left="3600" w:hanging="360"/>
      </w:pPr>
      <w:rPr>
        <w:rFonts w:ascii="Courier New" w:hAnsi="Courier New" w:hint="default"/>
      </w:rPr>
    </w:lvl>
    <w:lvl w:ilvl="5" w:tplc="A6BABA0E">
      <w:start w:val="1"/>
      <w:numFmt w:val="bullet"/>
      <w:lvlText w:val=""/>
      <w:lvlJc w:val="left"/>
      <w:pPr>
        <w:tabs>
          <w:tab w:val="num" w:pos="4320"/>
        </w:tabs>
        <w:ind w:left="4320" w:hanging="360"/>
      </w:pPr>
      <w:rPr>
        <w:rFonts w:ascii="Wingdings" w:hAnsi="Wingdings" w:hint="default"/>
      </w:rPr>
    </w:lvl>
    <w:lvl w:ilvl="6" w:tplc="3E92E4A0">
      <w:start w:val="1"/>
      <w:numFmt w:val="bullet"/>
      <w:lvlText w:val=""/>
      <w:lvlJc w:val="left"/>
      <w:pPr>
        <w:tabs>
          <w:tab w:val="num" w:pos="5040"/>
        </w:tabs>
        <w:ind w:left="5040" w:hanging="360"/>
      </w:pPr>
      <w:rPr>
        <w:rFonts w:ascii="Symbol" w:hAnsi="Symbol" w:hint="default"/>
      </w:rPr>
    </w:lvl>
    <w:lvl w:ilvl="7" w:tplc="7BBAF032">
      <w:start w:val="1"/>
      <w:numFmt w:val="bullet"/>
      <w:lvlText w:val="o"/>
      <w:lvlJc w:val="left"/>
      <w:pPr>
        <w:tabs>
          <w:tab w:val="num" w:pos="5760"/>
        </w:tabs>
        <w:ind w:left="5760" w:hanging="360"/>
      </w:pPr>
      <w:rPr>
        <w:rFonts w:ascii="Courier New" w:hAnsi="Courier New" w:hint="default"/>
      </w:rPr>
    </w:lvl>
    <w:lvl w:ilvl="8" w:tplc="78B4015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B06A8"/>
    <w:multiLevelType w:val="hybridMultilevel"/>
    <w:tmpl w:val="122C83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0A2A3A"/>
    <w:multiLevelType w:val="hybridMultilevel"/>
    <w:tmpl w:val="1DDE33B4"/>
    <w:lvl w:ilvl="0" w:tplc="041B0001">
      <w:start w:val="1"/>
      <w:numFmt w:val="bullet"/>
      <w:lvlText w:val=""/>
      <w:lvlJc w:val="left"/>
      <w:pPr>
        <w:ind w:left="360" w:hanging="360"/>
      </w:pPr>
      <w:rPr>
        <w:rFonts w:ascii="Symbol" w:hAnsi="Symbol" w:hint="default"/>
        <w:i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524904AE"/>
    <w:multiLevelType w:val="hybridMultilevel"/>
    <w:tmpl w:val="2FA65E52"/>
    <w:lvl w:ilvl="0" w:tplc="813E9368">
      <w:start w:val="1"/>
      <w:numFmt w:val="decimal"/>
      <w:pStyle w:val="List0"/>
      <w:lvlText w:val="%1."/>
      <w:lvlJc w:val="left"/>
      <w:pPr>
        <w:ind w:left="720" w:hanging="360"/>
      </w:pPr>
      <w:rPr>
        <w:rFonts w:cs="Times New Roman" w:hint="default"/>
      </w:rPr>
    </w:lvl>
    <w:lvl w:ilvl="1" w:tplc="041B0003" w:tentative="1">
      <w:start w:val="1"/>
      <w:numFmt w:val="lowerLetter"/>
      <w:lvlText w:val="%2."/>
      <w:lvlJc w:val="left"/>
      <w:pPr>
        <w:ind w:left="1440" w:hanging="360"/>
      </w:pPr>
      <w:rPr>
        <w:rFonts w:cs="Times New Roman"/>
      </w:rPr>
    </w:lvl>
    <w:lvl w:ilvl="2" w:tplc="041B0005" w:tentative="1">
      <w:start w:val="1"/>
      <w:numFmt w:val="lowerRoman"/>
      <w:lvlText w:val="%3."/>
      <w:lvlJc w:val="right"/>
      <w:pPr>
        <w:ind w:left="2160" w:hanging="180"/>
      </w:pPr>
      <w:rPr>
        <w:rFonts w:cs="Times New Roman"/>
      </w:rPr>
    </w:lvl>
    <w:lvl w:ilvl="3" w:tplc="041B0001" w:tentative="1">
      <w:start w:val="1"/>
      <w:numFmt w:val="decimal"/>
      <w:lvlText w:val="%4."/>
      <w:lvlJc w:val="left"/>
      <w:pPr>
        <w:ind w:left="2880" w:hanging="360"/>
      </w:pPr>
      <w:rPr>
        <w:rFonts w:cs="Times New Roman"/>
      </w:rPr>
    </w:lvl>
    <w:lvl w:ilvl="4" w:tplc="041B0003" w:tentative="1">
      <w:start w:val="1"/>
      <w:numFmt w:val="lowerLetter"/>
      <w:lvlText w:val="%5."/>
      <w:lvlJc w:val="left"/>
      <w:pPr>
        <w:ind w:left="3600" w:hanging="360"/>
      </w:pPr>
      <w:rPr>
        <w:rFonts w:cs="Times New Roman"/>
      </w:rPr>
    </w:lvl>
    <w:lvl w:ilvl="5" w:tplc="041B0005" w:tentative="1">
      <w:start w:val="1"/>
      <w:numFmt w:val="lowerRoman"/>
      <w:lvlText w:val="%6."/>
      <w:lvlJc w:val="right"/>
      <w:pPr>
        <w:ind w:left="4320" w:hanging="180"/>
      </w:pPr>
      <w:rPr>
        <w:rFonts w:cs="Times New Roman"/>
      </w:rPr>
    </w:lvl>
    <w:lvl w:ilvl="6" w:tplc="041B0001" w:tentative="1">
      <w:start w:val="1"/>
      <w:numFmt w:val="decimal"/>
      <w:lvlText w:val="%7."/>
      <w:lvlJc w:val="left"/>
      <w:pPr>
        <w:ind w:left="5040" w:hanging="360"/>
      </w:pPr>
      <w:rPr>
        <w:rFonts w:cs="Times New Roman"/>
      </w:rPr>
    </w:lvl>
    <w:lvl w:ilvl="7" w:tplc="041B0003" w:tentative="1">
      <w:start w:val="1"/>
      <w:numFmt w:val="lowerLetter"/>
      <w:lvlText w:val="%8."/>
      <w:lvlJc w:val="left"/>
      <w:pPr>
        <w:ind w:left="5760" w:hanging="360"/>
      </w:pPr>
      <w:rPr>
        <w:rFonts w:cs="Times New Roman"/>
      </w:rPr>
    </w:lvl>
    <w:lvl w:ilvl="8" w:tplc="041B0005" w:tentative="1">
      <w:start w:val="1"/>
      <w:numFmt w:val="lowerRoman"/>
      <w:lvlText w:val="%9."/>
      <w:lvlJc w:val="right"/>
      <w:pPr>
        <w:ind w:left="6480" w:hanging="180"/>
      </w:pPr>
      <w:rPr>
        <w:rFonts w:cs="Times New Roman"/>
      </w:rPr>
    </w:lvl>
  </w:abstractNum>
  <w:abstractNum w:abstractNumId="9" w15:restartNumberingAfterBreak="0">
    <w:nsid w:val="5D4B53D3"/>
    <w:multiLevelType w:val="hybridMultilevel"/>
    <w:tmpl w:val="1D1E8F66"/>
    <w:lvl w:ilvl="0" w:tplc="A9D006B2">
      <w:start w:val="1"/>
      <w:numFmt w:val="decimal"/>
      <w:lvlText w:val="%1)"/>
      <w:lvlJc w:val="left"/>
      <w:pPr>
        <w:ind w:left="720" w:hanging="360"/>
      </w:pPr>
      <w:rPr>
        <w:rFonts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2175B48"/>
    <w:multiLevelType w:val="hybridMultilevel"/>
    <w:tmpl w:val="F998E4CE"/>
    <w:lvl w:ilvl="0" w:tplc="041B0001">
      <w:start w:val="1"/>
      <w:numFmt w:val="bullet"/>
      <w:lvlText w:val=""/>
      <w:lvlJc w:val="left"/>
      <w:pPr>
        <w:ind w:left="360" w:hanging="360"/>
      </w:pPr>
      <w:rPr>
        <w:rFonts w:ascii="Symbol" w:hAnsi="Symbol" w:hint="default"/>
        <w:i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0484B"/>
    <w:multiLevelType w:val="hybridMultilevel"/>
    <w:tmpl w:val="815C1D24"/>
    <w:lvl w:ilvl="0" w:tplc="797868D2">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474769F"/>
    <w:multiLevelType w:val="hybridMultilevel"/>
    <w:tmpl w:val="1C984A44"/>
    <w:lvl w:ilvl="0" w:tplc="041B0001">
      <w:start w:val="1"/>
      <w:numFmt w:val="bullet"/>
      <w:lvlText w:val=""/>
      <w:lvlJc w:val="left"/>
      <w:pPr>
        <w:ind w:left="360" w:hanging="360"/>
      </w:pPr>
      <w:rPr>
        <w:rFonts w:ascii="Symbol" w:hAnsi="Symbol"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CD27369"/>
    <w:multiLevelType w:val="multilevel"/>
    <w:tmpl w:val="3F52B3E6"/>
    <w:lvl w:ilvl="0">
      <w:start w:val="4"/>
      <w:numFmt w:val="decimal"/>
      <w:lvlText w:val="%1."/>
      <w:lvlJc w:val="left"/>
      <w:pPr>
        <w:ind w:left="720" w:hanging="360"/>
      </w:pPr>
      <w:rPr>
        <w:rFonts w:cs="Times New Roman" w:hint="default"/>
      </w:rPr>
    </w:lvl>
    <w:lvl w:ilvl="1">
      <w:start w:val="2"/>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6E4B75EA"/>
    <w:multiLevelType w:val="hybridMultilevel"/>
    <w:tmpl w:val="8DC2C21C"/>
    <w:lvl w:ilvl="0" w:tplc="0409000F">
      <w:start w:val="1"/>
      <w:numFmt w:val="decimal"/>
      <w:lvlText w:val="%1."/>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D4277C"/>
    <w:multiLevelType w:val="hybridMultilevel"/>
    <w:tmpl w:val="25127B22"/>
    <w:lvl w:ilvl="0" w:tplc="8BEC8928">
      <w:start w:val="2018"/>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7DF31E5A"/>
    <w:multiLevelType w:val="hybridMultilevel"/>
    <w:tmpl w:val="84DC6B90"/>
    <w:lvl w:ilvl="0" w:tplc="041B0001">
      <w:start w:val="1"/>
      <w:numFmt w:val="bullet"/>
      <w:lvlText w:val=""/>
      <w:lvlJc w:val="left"/>
      <w:pPr>
        <w:ind w:left="720" w:hanging="360"/>
      </w:pPr>
      <w:rPr>
        <w:rFonts w:ascii="Symbol" w:hAnsi="Symbol" w:hint="default"/>
      </w:rPr>
    </w:lvl>
    <w:lvl w:ilvl="1" w:tplc="0812DFDE">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DF570CE"/>
    <w:multiLevelType w:val="hybridMultilevel"/>
    <w:tmpl w:val="BC5230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4"/>
  </w:num>
  <w:num w:numId="4">
    <w:abstractNumId w:val="11"/>
  </w:num>
  <w:num w:numId="5">
    <w:abstractNumId w:val="3"/>
  </w:num>
  <w:num w:numId="6">
    <w:abstractNumId w:val="9"/>
  </w:num>
  <w:num w:numId="7">
    <w:abstractNumId w:val="5"/>
  </w:num>
  <w:num w:numId="8">
    <w:abstractNumId w:val="4"/>
  </w:num>
  <w:num w:numId="9">
    <w:abstractNumId w:val="6"/>
  </w:num>
  <w:num w:numId="10">
    <w:abstractNumId w:val="0"/>
  </w:num>
  <w:num w:numId="11">
    <w:abstractNumId w:val="15"/>
  </w:num>
  <w:num w:numId="12">
    <w:abstractNumId w:val="12"/>
  </w:num>
  <w:num w:numId="13">
    <w:abstractNumId w:val="1"/>
  </w:num>
  <w:num w:numId="14">
    <w:abstractNumId w:val="18"/>
  </w:num>
  <w:num w:numId="15">
    <w:abstractNumId w:val="17"/>
  </w:num>
  <w:num w:numId="16">
    <w:abstractNumId w:val="7"/>
  </w:num>
  <w:num w:numId="17">
    <w:abstractNumId w:val="10"/>
  </w:num>
  <w:num w:numId="18">
    <w:abstractNumId w:val="13"/>
  </w:num>
  <w:num w:numId="19">
    <w:abstractNumId w:val="16"/>
  </w:num>
  <w:num w:numId="20">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5B8"/>
    <w:rsid w:val="000007D6"/>
    <w:rsid w:val="00000BA3"/>
    <w:rsid w:val="00000DBC"/>
    <w:rsid w:val="00000E4E"/>
    <w:rsid w:val="0000120A"/>
    <w:rsid w:val="000013DE"/>
    <w:rsid w:val="000019F9"/>
    <w:rsid w:val="00001C03"/>
    <w:rsid w:val="000020C8"/>
    <w:rsid w:val="00002298"/>
    <w:rsid w:val="00002CC6"/>
    <w:rsid w:val="0000326B"/>
    <w:rsid w:val="0000340F"/>
    <w:rsid w:val="00003767"/>
    <w:rsid w:val="00003D9C"/>
    <w:rsid w:val="00003FE6"/>
    <w:rsid w:val="00004034"/>
    <w:rsid w:val="00004326"/>
    <w:rsid w:val="000045F3"/>
    <w:rsid w:val="000046F7"/>
    <w:rsid w:val="00004837"/>
    <w:rsid w:val="0000535F"/>
    <w:rsid w:val="000059D8"/>
    <w:rsid w:val="00005E14"/>
    <w:rsid w:val="0000616E"/>
    <w:rsid w:val="00006769"/>
    <w:rsid w:val="00006900"/>
    <w:rsid w:val="00006CB2"/>
    <w:rsid w:val="0000703F"/>
    <w:rsid w:val="0000714F"/>
    <w:rsid w:val="000073D6"/>
    <w:rsid w:val="00007918"/>
    <w:rsid w:val="00007C8A"/>
    <w:rsid w:val="00007CF6"/>
    <w:rsid w:val="0001001B"/>
    <w:rsid w:val="00010059"/>
    <w:rsid w:val="0001021E"/>
    <w:rsid w:val="00010ACD"/>
    <w:rsid w:val="000117C8"/>
    <w:rsid w:val="00011EC5"/>
    <w:rsid w:val="00012093"/>
    <w:rsid w:val="0001234F"/>
    <w:rsid w:val="000127F2"/>
    <w:rsid w:val="000129DE"/>
    <w:rsid w:val="00012A45"/>
    <w:rsid w:val="00012A88"/>
    <w:rsid w:val="00012FA2"/>
    <w:rsid w:val="00013328"/>
    <w:rsid w:val="0001366B"/>
    <w:rsid w:val="00013763"/>
    <w:rsid w:val="00013832"/>
    <w:rsid w:val="000138AC"/>
    <w:rsid w:val="00013C75"/>
    <w:rsid w:val="0001400A"/>
    <w:rsid w:val="000145AF"/>
    <w:rsid w:val="00014A97"/>
    <w:rsid w:val="000151A0"/>
    <w:rsid w:val="000156E3"/>
    <w:rsid w:val="00016183"/>
    <w:rsid w:val="000163AB"/>
    <w:rsid w:val="000163CE"/>
    <w:rsid w:val="00016969"/>
    <w:rsid w:val="000173BC"/>
    <w:rsid w:val="0001745C"/>
    <w:rsid w:val="00017B5E"/>
    <w:rsid w:val="000201A1"/>
    <w:rsid w:val="00020782"/>
    <w:rsid w:val="00020AEF"/>
    <w:rsid w:val="00020DA1"/>
    <w:rsid w:val="000213CF"/>
    <w:rsid w:val="00021923"/>
    <w:rsid w:val="0002195D"/>
    <w:rsid w:val="0002282E"/>
    <w:rsid w:val="00022B7C"/>
    <w:rsid w:val="00022F49"/>
    <w:rsid w:val="00023611"/>
    <w:rsid w:val="000237E9"/>
    <w:rsid w:val="00023EBD"/>
    <w:rsid w:val="000240F3"/>
    <w:rsid w:val="000248F0"/>
    <w:rsid w:val="00024F04"/>
    <w:rsid w:val="000256F2"/>
    <w:rsid w:val="00025785"/>
    <w:rsid w:val="000258AE"/>
    <w:rsid w:val="00025BC8"/>
    <w:rsid w:val="00025F5A"/>
    <w:rsid w:val="0002614B"/>
    <w:rsid w:val="00026761"/>
    <w:rsid w:val="00027001"/>
    <w:rsid w:val="00027130"/>
    <w:rsid w:val="0002716C"/>
    <w:rsid w:val="00027197"/>
    <w:rsid w:val="000271A7"/>
    <w:rsid w:val="00027543"/>
    <w:rsid w:val="00027851"/>
    <w:rsid w:val="00027E9F"/>
    <w:rsid w:val="00030427"/>
    <w:rsid w:val="00030E47"/>
    <w:rsid w:val="0003107C"/>
    <w:rsid w:val="0003125D"/>
    <w:rsid w:val="00031A3C"/>
    <w:rsid w:val="0003200F"/>
    <w:rsid w:val="00032113"/>
    <w:rsid w:val="0003234B"/>
    <w:rsid w:val="00032910"/>
    <w:rsid w:val="0003293F"/>
    <w:rsid w:val="00032B88"/>
    <w:rsid w:val="00032FC0"/>
    <w:rsid w:val="00033093"/>
    <w:rsid w:val="0003340C"/>
    <w:rsid w:val="00033975"/>
    <w:rsid w:val="0003397F"/>
    <w:rsid w:val="00033CA5"/>
    <w:rsid w:val="000340CE"/>
    <w:rsid w:val="000341BC"/>
    <w:rsid w:val="000346E5"/>
    <w:rsid w:val="000346F7"/>
    <w:rsid w:val="00034732"/>
    <w:rsid w:val="000347B4"/>
    <w:rsid w:val="000349B0"/>
    <w:rsid w:val="00034D83"/>
    <w:rsid w:val="00035016"/>
    <w:rsid w:val="00035322"/>
    <w:rsid w:val="00035A41"/>
    <w:rsid w:val="00035C5E"/>
    <w:rsid w:val="000360E8"/>
    <w:rsid w:val="0003653E"/>
    <w:rsid w:val="00036600"/>
    <w:rsid w:val="00036B1A"/>
    <w:rsid w:val="00036C63"/>
    <w:rsid w:val="000373BC"/>
    <w:rsid w:val="00037E80"/>
    <w:rsid w:val="000406BC"/>
    <w:rsid w:val="000407B0"/>
    <w:rsid w:val="00040923"/>
    <w:rsid w:val="00040AB6"/>
    <w:rsid w:val="00040ADE"/>
    <w:rsid w:val="00040D12"/>
    <w:rsid w:val="00040F8D"/>
    <w:rsid w:val="00041007"/>
    <w:rsid w:val="00041084"/>
    <w:rsid w:val="000412F7"/>
    <w:rsid w:val="00041894"/>
    <w:rsid w:val="00041BA5"/>
    <w:rsid w:val="00041DE5"/>
    <w:rsid w:val="00042765"/>
    <w:rsid w:val="00042774"/>
    <w:rsid w:val="00043A07"/>
    <w:rsid w:val="00043A6C"/>
    <w:rsid w:val="00043DCE"/>
    <w:rsid w:val="00043E44"/>
    <w:rsid w:val="000449C5"/>
    <w:rsid w:val="00044D70"/>
    <w:rsid w:val="00044DA5"/>
    <w:rsid w:val="00044E51"/>
    <w:rsid w:val="000451F2"/>
    <w:rsid w:val="00045695"/>
    <w:rsid w:val="000456FC"/>
    <w:rsid w:val="0004608D"/>
    <w:rsid w:val="0004676D"/>
    <w:rsid w:val="000467A5"/>
    <w:rsid w:val="000467C0"/>
    <w:rsid w:val="0004684B"/>
    <w:rsid w:val="00046983"/>
    <w:rsid w:val="00046A09"/>
    <w:rsid w:val="00047174"/>
    <w:rsid w:val="0004733F"/>
    <w:rsid w:val="00047481"/>
    <w:rsid w:val="000477E0"/>
    <w:rsid w:val="00047A93"/>
    <w:rsid w:val="00047D8F"/>
    <w:rsid w:val="00047F7E"/>
    <w:rsid w:val="0005007F"/>
    <w:rsid w:val="000509BB"/>
    <w:rsid w:val="00051040"/>
    <w:rsid w:val="000510B5"/>
    <w:rsid w:val="0005143E"/>
    <w:rsid w:val="00051449"/>
    <w:rsid w:val="000516F8"/>
    <w:rsid w:val="00051821"/>
    <w:rsid w:val="00051996"/>
    <w:rsid w:val="00052266"/>
    <w:rsid w:val="00052306"/>
    <w:rsid w:val="000524CC"/>
    <w:rsid w:val="0005284A"/>
    <w:rsid w:val="0005313A"/>
    <w:rsid w:val="0005342F"/>
    <w:rsid w:val="0005360A"/>
    <w:rsid w:val="00053DE4"/>
    <w:rsid w:val="00054455"/>
    <w:rsid w:val="000544D9"/>
    <w:rsid w:val="0005468B"/>
    <w:rsid w:val="00055CD2"/>
    <w:rsid w:val="000560A3"/>
    <w:rsid w:val="000561B5"/>
    <w:rsid w:val="000562A6"/>
    <w:rsid w:val="0005640E"/>
    <w:rsid w:val="0005646D"/>
    <w:rsid w:val="00056633"/>
    <w:rsid w:val="00056FC2"/>
    <w:rsid w:val="000570FC"/>
    <w:rsid w:val="0005716C"/>
    <w:rsid w:val="000578FA"/>
    <w:rsid w:val="000603B2"/>
    <w:rsid w:val="000607EB"/>
    <w:rsid w:val="0006094E"/>
    <w:rsid w:val="000610D4"/>
    <w:rsid w:val="000613F5"/>
    <w:rsid w:val="00061416"/>
    <w:rsid w:val="000614D5"/>
    <w:rsid w:val="00061895"/>
    <w:rsid w:val="00061A75"/>
    <w:rsid w:val="000623A8"/>
    <w:rsid w:val="00062677"/>
    <w:rsid w:val="0006294F"/>
    <w:rsid w:val="00062E19"/>
    <w:rsid w:val="000630EC"/>
    <w:rsid w:val="00063169"/>
    <w:rsid w:val="00063BD7"/>
    <w:rsid w:val="00063C24"/>
    <w:rsid w:val="00064099"/>
    <w:rsid w:val="00064239"/>
    <w:rsid w:val="00064746"/>
    <w:rsid w:val="00064935"/>
    <w:rsid w:val="00064B3F"/>
    <w:rsid w:val="000652F2"/>
    <w:rsid w:val="00065555"/>
    <w:rsid w:val="00065F93"/>
    <w:rsid w:val="0006601E"/>
    <w:rsid w:val="000667A1"/>
    <w:rsid w:val="00066C85"/>
    <w:rsid w:val="00067030"/>
    <w:rsid w:val="00067143"/>
    <w:rsid w:val="000702A2"/>
    <w:rsid w:val="00070535"/>
    <w:rsid w:val="00070643"/>
    <w:rsid w:val="00070AEC"/>
    <w:rsid w:val="00071059"/>
    <w:rsid w:val="0007141F"/>
    <w:rsid w:val="0007190C"/>
    <w:rsid w:val="00071F8B"/>
    <w:rsid w:val="000720DC"/>
    <w:rsid w:val="000721CE"/>
    <w:rsid w:val="0007256B"/>
    <w:rsid w:val="00072650"/>
    <w:rsid w:val="000728E3"/>
    <w:rsid w:val="000729C7"/>
    <w:rsid w:val="00072B94"/>
    <w:rsid w:val="0007357D"/>
    <w:rsid w:val="000736F2"/>
    <w:rsid w:val="00073916"/>
    <w:rsid w:val="00073E08"/>
    <w:rsid w:val="0007437D"/>
    <w:rsid w:val="000746AC"/>
    <w:rsid w:val="00074972"/>
    <w:rsid w:val="00074F0B"/>
    <w:rsid w:val="00075062"/>
    <w:rsid w:val="0007535E"/>
    <w:rsid w:val="00075388"/>
    <w:rsid w:val="00075AD6"/>
    <w:rsid w:val="00075B17"/>
    <w:rsid w:val="00075F58"/>
    <w:rsid w:val="00075FC4"/>
    <w:rsid w:val="000763FF"/>
    <w:rsid w:val="00076CF6"/>
    <w:rsid w:val="00076E1E"/>
    <w:rsid w:val="000772DE"/>
    <w:rsid w:val="000776C4"/>
    <w:rsid w:val="00077921"/>
    <w:rsid w:val="00077B8E"/>
    <w:rsid w:val="00077E62"/>
    <w:rsid w:val="00077F89"/>
    <w:rsid w:val="0008002F"/>
    <w:rsid w:val="000802D3"/>
    <w:rsid w:val="0008033F"/>
    <w:rsid w:val="000805C3"/>
    <w:rsid w:val="00080787"/>
    <w:rsid w:val="000807C4"/>
    <w:rsid w:val="000807F7"/>
    <w:rsid w:val="0008104C"/>
    <w:rsid w:val="00081478"/>
    <w:rsid w:val="00081750"/>
    <w:rsid w:val="0008177F"/>
    <w:rsid w:val="00081A79"/>
    <w:rsid w:val="00082657"/>
    <w:rsid w:val="00083024"/>
    <w:rsid w:val="00083074"/>
    <w:rsid w:val="000838A4"/>
    <w:rsid w:val="00083C0F"/>
    <w:rsid w:val="00083CF3"/>
    <w:rsid w:val="00083FA8"/>
    <w:rsid w:val="00083FB3"/>
    <w:rsid w:val="00084A84"/>
    <w:rsid w:val="00084B4A"/>
    <w:rsid w:val="00084D81"/>
    <w:rsid w:val="00085543"/>
    <w:rsid w:val="00085B5D"/>
    <w:rsid w:val="00085CFF"/>
    <w:rsid w:val="00085D05"/>
    <w:rsid w:val="000867D0"/>
    <w:rsid w:val="00086816"/>
    <w:rsid w:val="0008689E"/>
    <w:rsid w:val="00086FAC"/>
    <w:rsid w:val="000870B6"/>
    <w:rsid w:val="00087412"/>
    <w:rsid w:val="00087745"/>
    <w:rsid w:val="000877B0"/>
    <w:rsid w:val="00087D73"/>
    <w:rsid w:val="000906B5"/>
    <w:rsid w:val="000913C8"/>
    <w:rsid w:val="000916A9"/>
    <w:rsid w:val="00091707"/>
    <w:rsid w:val="00091FBB"/>
    <w:rsid w:val="00092179"/>
    <w:rsid w:val="000922F4"/>
    <w:rsid w:val="000926BC"/>
    <w:rsid w:val="00092779"/>
    <w:rsid w:val="000927E5"/>
    <w:rsid w:val="00092AC7"/>
    <w:rsid w:val="00092BB8"/>
    <w:rsid w:val="00092D90"/>
    <w:rsid w:val="00092E50"/>
    <w:rsid w:val="00093106"/>
    <w:rsid w:val="000931B8"/>
    <w:rsid w:val="0009327D"/>
    <w:rsid w:val="00093D92"/>
    <w:rsid w:val="000941EE"/>
    <w:rsid w:val="00094345"/>
    <w:rsid w:val="0009442E"/>
    <w:rsid w:val="00094A33"/>
    <w:rsid w:val="00094A97"/>
    <w:rsid w:val="00094EA7"/>
    <w:rsid w:val="000953B8"/>
    <w:rsid w:val="000955BD"/>
    <w:rsid w:val="00095744"/>
    <w:rsid w:val="0009590F"/>
    <w:rsid w:val="000959A5"/>
    <w:rsid w:val="00095A03"/>
    <w:rsid w:val="0009688A"/>
    <w:rsid w:val="00096C2D"/>
    <w:rsid w:val="00096DEF"/>
    <w:rsid w:val="0009701F"/>
    <w:rsid w:val="00097A35"/>
    <w:rsid w:val="00097A93"/>
    <w:rsid w:val="000A011A"/>
    <w:rsid w:val="000A0313"/>
    <w:rsid w:val="000A045E"/>
    <w:rsid w:val="000A0550"/>
    <w:rsid w:val="000A07DB"/>
    <w:rsid w:val="000A08CB"/>
    <w:rsid w:val="000A14EE"/>
    <w:rsid w:val="000A1A8C"/>
    <w:rsid w:val="000A21A8"/>
    <w:rsid w:val="000A2488"/>
    <w:rsid w:val="000A2C95"/>
    <w:rsid w:val="000A34A9"/>
    <w:rsid w:val="000A3871"/>
    <w:rsid w:val="000A393F"/>
    <w:rsid w:val="000A3AA2"/>
    <w:rsid w:val="000A42E3"/>
    <w:rsid w:val="000A466A"/>
    <w:rsid w:val="000A4CD0"/>
    <w:rsid w:val="000A52B3"/>
    <w:rsid w:val="000A550B"/>
    <w:rsid w:val="000A56F9"/>
    <w:rsid w:val="000A58E4"/>
    <w:rsid w:val="000A5ADA"/>
    <w:rsid w:val="000A6090"/>
    <w:rsid w:val="000A6169"/>
    <w:rsid w:val="000A6170"/>
    <w:rsid w:val="000A6F15"/>
    <w:rsid w:val="000A756A"/>
    <w:rsid w:val="000A770F"/>
    <w:rsid w:val="000A79C9"/>
    <w:rsid w:val="000A7BDB"/>
    <w:rsid w:val="000A7D26"/>
    <w:rsid w:val="000B01BC"/>
    <w:rsid w:val="000B0A11"/>
    <w:rsid w:val="000B14CE"/>
    <w:rsid w:val="000B1C47"/>
    <w:rsid w:val="000B1E5C"/>
    <w:rsid w:val="000B2087"/>
    <w:rsid w:val="000B20AF"/>
    <w:rsid w:val="000B20EF"/>
    <w:rsid w:val="000B249B"/>
    <w:rsid w:val="000B2985"/>
    <w:rsid w:val="000B2B8C"/>
    <w:rsid w:val="000B2F5D"/>
    <w:rsid w:val="000B2FEF"/>
    <w:rsid w:val="000B3047"/>
    <w:rsid w:val="000B3405"/>
    <w:rsid w:val="000B34FC"/>
    <w:rsid w:val="000B3AF8"/>
    <w:rsid w:val="000B3C7C"/>
    <w:rsid w:val="000B3DD1"/>
    <w:rsid w:val="000B41E8"/>
    <w:rsid w:val="000B4441"/>
    <w:rsid w:val="000B4758"/>
    <w:rsid w:val="000B47C2"/>
    <w:rsid w:val="000B5448"/>
    <w:rsid w:val="000B580D"/>
    <w:rsid w:val="000B58B7"/>
    <w:rsid w:val="000B5B6C"/>
    <w:rsid w:val="000B5C64"/>
    <w:rsid w:val="000B5F64"/>
    <w:rsid w:val="000B6060"/>
    <w:rsid w:val="000B67CA"/>
    <w:rsid w:val="000B6C7B"/>
    <w:rsid w:val="000B71D8"/>
    <w:rsid w:val="000B7241"/>
    <w:rsid w:val="000B7499"/>
    <w:rsid w:val="000B75A9"/>
    <w:rsid w:val="000B7737"/>
    <w:rsid w:val="000B79A0"/>
    <w:rsid w:val="000C05A6"/>
    <w:rsid w:val="000C0A84"/>
    <w:rsid w:val="000C0ABF"/>
    <w:rsid w:val="000C0E95"/>
    <w:rsid w:val="000C1023"/>
    <w:rsid w:val="000C11C9"/>
    <w:rsid w:val="000C11DC"/>
    <w:rsid w:val="000C22CA"/>
    <w:rsid w:val="000C2DA1"/>
    <w:rsid w:val="000C342B"/>
    <w:rsid w:val="000C34B1"/>
    <w:rsid w:val="000C3558"/>
    <w:rsid w:val="000C355B"/>
    <w:rsid w:val="000C387B"/>
    <w:rsid w:val="000C39D5"/>
    <w:rsid w:val="000C3E1F"/>
    <w:rsid w:val="000C44DC"/>
    <w:rsid w:val="000C4D20"/>
    <w:rsid w:val="000C4E5B"/>
    <w:rsid w:val="000C558A"/>
    <w:rsid w:val="000C570A"/>
    <w:rsid w:val="000C5CC2"/>
    <w:rsid w:val="000C5E66"/>
    <w:rsid w:val="000C60F9"/>
    <w:rsid w:val="000C617C"/>
    <w:rsid w:val="000C66C2"/>
    <w:rsid w:val="000C687C"/>
    <w:rsid w:val="000C6A96"/>
    <w:rsid w:val="000C6BEF"/>
    <w:rsid w:val="000C6F14"/>
    <w:rsid w:val="000C6F6C"/>
    <w:rsid w:val="000C71BA"/>
    <w:rsid w:val="000C71BD"/>
    <w:rsid w:val="000C77FE"/>
    <w:rsid w:val="000C79D7"/>
    <w:rsid w:val="000D016B"/>
    <w:rsid w:val="000D0417"/>
    <w:rsid w:val="000D1123"/>
    <w:rsid w:val="000D11A1"/>
    <w:rsid w:val="000D1217"/>
    <w:rsid w:val="000D163D"/>
    <w:rsid w:val="000D1CF9"/>
    <w:rsid w:val="000D23B5"/>
    <w:rsid w:val="000D260E"/>
    <w:rsid w:val="000D26DC"/>
    <w:rsid w:val="000D3301"/>
    <w:rsid w:val="000D398E"/>
    <w:rsid w:val="000D40B7"/>
    <w:rsid w:val="000D424F"/>
    <w:rsid w:val="000D4291"/>
    <w:rsid w:val="000D4638"/>
    <w:rsid w:val="000D4769"/>
    <w:rsid w:val="000D4781"/>
    <w:rsid w:val="000D4CFA"/>
    <w:rsid w:val="000D4E06"/>
    <w:rsid w:val="000D4F3B"/>
    <w:rsid w:val="000D5151"/>
    <w:rsid w:val="000D58E4"/>
    <w:rsid w:val="000D5A0D"/>
    <w:rsid w:val="000D5AE8"/>
    <w:rsid w:val="000D5B8A"/>
    <w:rsid w:val="000D60CC"/>
    <w:rsid w:val="000D64F6"/>
    <w:rsid w:val="000D6674"/>
    <w:rsid w:val="000D6902"/>
    <w:rsid w:val="000D6AD2"/>
    <w:rsid w:val="000D6CAD"/>
    <w:rsid w:val="000D72BA"/>
    <w:rsid w:val="000D77F2"/>
    <w:rsid w:val="000D7A98"/>
    <w:rsid w:val="000D7C9E"/>
    <w:rsid w:val="000D7CCD"/>
    <w:rsid w:val="000E0425"/>
    <w:rsid w:val="000E053D"/>
    <w:rsid w:val="000E0952"/>
    <w:rsid w:val="000E0E13"/>
    <w:rsid w:val="000E13AA"/>
    <w:rsid w:val="000E1664"/>
    <w:rsid w:val="000E1675"/>
    <w:rsid w:val="000E21AA"/>
    <w:rsid w:val="000E2B09"/>
    <w:rsid w:val="000E2D81"/>
    <w:rsid w:val="000E3547"/>
    <w:rsid w:val="000E36B6"/>
    <w:rsid w:val="000E39BD"/>
    <w:rsid w:val="000E41A9"/>
    <w:rsid w:val="000E4B53"/>
    <w:rsid w:val="000E4C03"/>
    <w:rsid w:val="000E4C75"/>
    <w:rsid w:val="000E4CA5"/>
    <w:rsid w:val="000E5772"/>
    <w:rsid w:val="000E6064"/>
    <w:rsid w:val="000E6159"/>
    <w:rsid w:val="000E63FA"/>
    <w:rsid w:val="000E69CB"/>
    <w:rsid w:val="000E715E"/>
    <w:rsid w:val="000E76EC"/>
    <w:rsid w:val="000E7827"/>
    <w:rsid w:val="000F00DA"/>
    <w:rsid w:val="000F01DC"/>
    <w:rsid w:val="000F03AF"/>
    <w:rsid w:val="000F0531"/>
    <w:rsid w:val="000F0533"/>
    <w:rsid w:val="000F0B1D"/>
    <w:rsid w:val="000F14D0"/>
    <w:rsid w:val="000F167B"/>
    <w:rsid w:val="000F17A1"/>
    <w:rsid w:val="000F1B8F"/>
    <w:rsid w:val="000F237A"/>
    <w:rsid w:val="000F2651"/>
    <w:rsid w:val="000F2767"/>
    <w:rsid w:val="000F2A0A"/>
    <w:rsid w:val="000F2B3D"/>
    <w:rsid w:val="000F35AE"/>
    <w:rsid w:val="000F35D3"/>
    <w:rsid w:val="000F35DF"/>
    <w:rsid w:val="000F36A1"/>
    <w:rsid w:val="000F3DA7"/>
    <w:rsid w:val="000F3DD4"/>
    <w:rsid w:val="000F442A"/>
    <w:rsid w:val="000F4575"/>
    <w:rsid w:val="000F461A"/>
    <w:rsid w:val="000F4BBF"/>
    <w:rsid w:val="000F5058"/>
    <w:rsid w:val="000F5082"/>
    <w:rsid w:val="000F51F2"/>
    <w:rsid w:val="000F5214"/>
    <w:rsid w:val="000F56EE"/>
    <w:rsid w:val="000F58AB"/>
    <w:rsid w:val="000F5FD3"/>
    <w:rsid w:val="000F6B5E"/>
    <w:rsid w:val="000F6D17"/>
    <w:rsid w:val="000F7251"/>
    <w:rsid w:val="000F73F6"/>
    <w:rsid w:val="000F7AF3"/>
    <w:rsid w:val="000F7C5F"/>
    <w:rsid w:val="000F7D73"/>
    <w:rsid w:val="000F7FC4"/>
    <w:rsid w:val="00100B6C"/>
    <w:rsid w:val="00101951"/>
    <w:rsid w:val="00101B11"/>
    <w:rsid w:val="00101DE6"/>
    <w:rsid w:val="00102677"/>
    <w:rsid w:val="001028B6"/>
    <w:rsid w:val="00102980"/>
    <w:rsid w:val="001036A9"/>
    <w:rsid w:val="001037D9"/>
    <w:rsid w:val="001038AA"/>
    <w:rsid w:val="00103DE7"/>
    <w:rsid w:val="001041F5"/>
    <w:rsid w:val="0010422C"/>
    <w:rsid w:val="001045C4"/>
    <w:rsid w:val="0010481B"/>
    <w:rsid w:val="001051E3"/>
    <w:rsid w:val="00105665"/>
    <w:rsid w:val="00105A80"/>
    <w:rsid w:val="00105EF1"/>
    <w:rsid w:val="001061C9"/>
    <w:rsid w:val="00106253"/>
    <w:rsid w:val="00106AB8"/>
    <w:rsid w:val="00106B4B"/>
    <w:rsid w:val="00106F36"/>
    <w:rsid w:val="00106F85"/>
    <w:rsid w:val="00107484"/>
    <w:rsid w:val="00107966"/>
    <w:rsid w:val="00107B9E"/>
    <w:rsid w:val="00107F63"/>
    <w:rsid w:val="001101FC"/>
    <w:rsid w:val="001102BA"/>
    <w:rsid w:val="00111261"/>
    <w:rsid w:val="0011143F"/>
    <w:rsid w:val="001118C1"/>
    <w:rsid w:val="00111C32"/>
    <w:rsid w:val="0011204D"/>
    <w:rsid w:val="00112053"/>
    <w:rsid w:val="00112328"/>
    <w:rsid w:val="001123BD"/>
    <w:rsid w:val="00112425"/>
    <w:rsid w:val="001126CD"/>
    <w:rsid w:val="00112AE8"/>
    <w:rsid w:val="00113480"/>
    <w:rsid w:val="001134B0"/>
    <w:rsid w:val="00113563"/>
    <w:rsid w:val="001136C3"/>
    <w:rsid w:val="0011479B"/>
    <w:rsid w:val="00115151"/>
    <w:rsid w:val="00115341"/>
    <w:rsid w:val="00115B0F"/>
    <w:rsid w:val="00115D51"/>
    <w:rsid w:val="001162A8"/>
    <w:rsid w:val="001163EF"/>
    <w:rsid w:val="0011703B"/>
    <w:rsid w:val="00117510"/>
    <w:rsid w:val="0011755B"/>
    <w:rsid w:val="001175C2"/>
    <w:rsid w:val="0011763A"/>
    <w:rsid w:val="001178ED"/>
    <w:rsid w:val="00117C63"/>
    <w:rsid w:val="00120052"/>
    <w:rsid w:val="001206B1"/>
    <w:rsid w:val="00120AC9"/>
    <w:rsid w:val="00120FB8"/>
    <w:rsid w:val="001212E7"/>
    <w:rsid w:val="00121452"/>
    <w:rsid w:val="00121C91"/>
    <w:rsid w:val="00121DA6"/>
    <w:rsid w:val="00121F8D"/>
    <w:rsid w:val="001221DB"/>
    <w:rsid w:val="00122559"/>
    <w:rsid w:val="001226AD"/>
    <w:rsid w:val="001229E0"/>
    <w:rsid w:val="00122A7D"/>
    <w:rsid w:val="00122E60"/>
    <w:rsid w:val="00123F9C"/>
    <w:rsid w:val="00124505"/>
    <w:rsid w:val="00124EEE"/>
    <w:rsid w:val="00124FFC"/>
    <w:rsid w:val="00125285"/>
    <w:rsid w:val="001257EE"/>
    <w:rsid w:val="00125A48"/>
    <w:rsid w:val="00125D2F"/>
    <w:rsid w:val="00125DDB"/>
    <w:rsid w:val="001265CC"/>
    <w:rsid w:val="00126B79"/>
    <w:rsid w:val="00126BE2"/>
    <w:rsid w:val="00126BF5"/>
    <w:rsid w:val="001271A5"/>
    <w:rsid w:val="00127C02"/>
    <w:rsid w:val="001302F7"/>
    <w:rsid w:val="00130E97"/>
    <w:rsid w:val="00131090"/>
    <w:rsid w:val="001310EC"/>
    <w:rsid w:val="0013116B"/>
    <w:rsid w:val="001312A3"/>
    <w:rsid w:val="00131494"/>
    <w:rsid w:val="00131CC0"/>
    <w:rsid w:val="00131CC8"/>
    <w:rsid w:val="0013265E"/>
    <w:rsid w:val="0013332D"/>
    <w:rsid w:val="0013343C"/>
    <w:rsid w:val="001337C0"/>
    <w:rsid w:val="00133BD0"/>
    <w:rsid w:val="00133FF5"/>
    <w:rsid w:val="0013403D"/>
    <w:rsid w:val="00134764"/>
    <w:rsid w:val="00134BBA"/>
    <w:rsid w:val="0013526D"/>
    <w:rsid w:val="00135968"/>
    <w:rsid w:val="00135C01"/>
    <w:rsid w:val="0013608B"/>
    <w:rsid w:val="00136532"/>
    <w:rsid w:val="001365FE"/>
    <w:rsid w:val="001366CA"/>
    <w:rsid w:val="00136A22"/>
    <w:rsid w:val="00136DB3"/>
    <w:rsid w:val="00136FEE"/>
    <w:rsid w:val="00137527"/>
    <w:rsid w:val="00137ACE"/>
    <w:rsid w:val="00137D29"/>
    <w:rsid w:val="00137EC6"/>
    <w:rsid w:val="00137FD4"/>
    <w:rsid w:val="0014023D"/>
    <w:rsid w:val="0014089C"/>
    <w:rsid w:val="001409C2"/>
    <w:rsid w:val="001409E6"/>
    <w:rsid w:val="00140B42"/>
    <w:rsid w:val="00140C47"/>
    <w:rsid w:val="00141057"/>
    <w:rsid w:val="00141460"/>
    <w:rsid w:val="00141719"/>
    <w:rsid w:val="00141AD1"/>
    <w:rsid w:val="00142093"/>
    <w:rsid w:val="001424B1"/>
    <w:rsid w:val="001424B2"/>
    <w:rsid w:val="00142710"/>
    <w:rsid w:val="00142793"/>
    <w:rsid w:val="001432C6"/>
    <w:rsid w:val="001434F9"/>
    <w:rsid w:val="00143865"/>
    <w:rsid w:val="00143E43"/>
    <w:rsid w:val="001440CC"/>
    <w:rsid w:val="001443CB"/>
    <w:rsid w:val="00144825"/>
    <w:rsid w:val="001454E9"/>
    <w:rsid w:val="001457D7"/>
    <w:rsid w:val="001469B0"/>
    <w:rsid w:val="00146A56"/>
    <w:rsid w:val="00146B2B"/>
    <w:rsid w:val="00146C61"/>
    <w:rsid w:val="00146DEC"/>
    <w:rsid w:val="00146EFE"/>
    <w:rsid w:val="00146F35"/>
    <w:rsid w:val="00147008"/>
    <w:rsid w:val="00147167"/>
    <w:rsid w:val="00147C45"/>
    <w:rsid w:val="00150B40"/>
    <w:rsid w:val="001510E9"/>
    <w:rsid w:val="00151329"/>
    <w:rsid w:val="00151398"/>
    <w:rsid w:val="001515D7"/>
    <w:rsid w:val="0015184B"/>
    <w:rsid w:val="001519BC"/>
    <w:rsid w:val="00151A43"/>
    <w:rsid w:val="00151CA4"/>
    <w:rsid w:val="0015239B"/>
    <w:rsid w:val="001523A5"/>
    <w:rsid w:val="0015265F"/>
    <w:rsid w:val="001527C0"/>
    <w:rsid w:val="0015322E"/>
    <w:rsid w:val="001537FC"/>
    <w:rsid w:val="001539C1"/>
    <w:rsid w:val="00153F1C"/>
    <w:rsid w:val="00154A86"/>
    <w:rsid w:val="00154C3C"/>
    <w:rsid w:val="00154CF4"/>
    <w:rsid w:val="001552DC"/>
    <w:rsid w:val="00155753"/>
    <w:rsid w:val="0015598A"/>
    <w:rsid w:val="00155DAE"/>
    <w:rsid w:val="001560E7"/>
    <w:rsid w:val="00156650"/>
    <w:rsid w:val="001568F0"/>
    <w:rsid w:val="001569FD"/>
    <w:rsid w:val="00156E68"/>
    <w:rsid w:val="001573B4"/>
    <w:rsid w:val="00157493"/>
    <w:rsid w:val="00157C53"/>
    <w:rsid w:val="00157DC4"/>
    <w:rsid w:val="00157DF9"/>
    <w:rsid w:val="00160534"/>
    <w:rsid w:val="0016113A"/>
    <w:rsid w:val="0016150C"/>
    <w:rsid w:val="00161570"/>
    <w:rsid w:val="0016176C"/>
    <w:rsid w:val="001619DE"/>
    <w:rsid w:val="00161EFC"/>
    <w:rsid w:val="0016231F"/>
    <w:rsid w:val="001628FE"/>
    <w:rsid w:val="00162AC2"/>
    <w:rsid w:val="00162D53"/>
    <w:rsid w:val="00163380"/>
    <w:rsid w:val="001637AD"/>
    <w:rsid w:val="00163FC2"/>
    <w:rsid w:val="00164137"/>
    <w:rsid w:val="001643EF"/>
    <w:rsid w:val="00164406"/>
    <w:rsid w:val="001645CC"/>
    <w:rsid w:val="001649F3"/>
    <w:rsid w:val="00164A59"/>
    <w:rsid w:val="00164AFA"/>
    <w:rsid w:val="00164CAF"/>
    <w:rsid w:val="001655FD"/>
    <w:rsid w:val="00165CC8"/>
    <w:rsid w:val="00165ECE"/>
    <w:rsid w:val="00166052"/>
    <w:rsid w:val="00166A45"/>
    <w:rsid w:val="00167091"/>
    <w:rsid w:val="0016717B"/>
    <w:rsid w:val="0016727A"/>
    <w:rsid w:val="00167BE3"/>
    <w:rsid w:val="00167F38"/>
    <w:rsid w:val="001701B9"/>
    <w:rsid w:val="0017041B"/>
    <w:rsid w:val="0017084C"/>
    <w:rsid w:val="00170932"/>
    <w:rsid w:val="001710AA"/>
    <w:rsid w:val="001712E5"/>
    <w:rsid w:val="0017147E"/>
    <w:rsid w:val="00171550"/>
    <w:rsid w:val="00171A06"/>
    <w:rsid w:val="00171DB2"/>
    <w:rsid w:val="00171E96"/>
    <w:rsid w:val="00172579"/>
    <w:rsid w:val="001731D0"/>
    <w:rsid w:val="00173266"/>
    <w:rsid w:val="001732A5"/>
    <w:rsid w:val="0017357D"/>
    <w:rsid w:val="00173DBD"/>
    <w:rsid w:val="00173E5B"/>
    <w:rsid w:val="00173EFE"/>
    <w:rsid w:val="00173F90"/>
    <w:rsid w:val="00173FA0"/>
    <w:rsid w:val="00174074"/>
    <w:rsid w:val="0017439D"/>
    <w:rsid w:val="00175052"/>
    <w:rsid w:val="00175AD5"/>
    <w:rsid w:val="0017626B"/>
    <w:rsid w:val="001768B3"/>
    <w:rsid w:val="001770E0"/>
    <w:rsid w:val="0017733B"/>
    <w:rsid w:val="00177394"/>
    <w:rsid w:val="0017765A"/>
    <w:rsid w:val="00177D78"/>
    <w:rsid w:val="001801B7"/>
    <w:rsid w:val="00180A47"/>
    <w:rsid w:val="00180AEE"/>
    <w:rsid w:val="0018187F"/>
    <w:rsid w:val="00181CEF"/>
    <w:rsid w:val="00181E9F"/>
    <w:rsid w:val="001821A0"/>
    <w:rsid w:val="00182205"/>
    <w:rsid w:val="001827EA"/>
    <w:rsid w:val="00182806"/>
    <w:rsid w:val="00182C75"/>
    <w:rsid w:val="00182EDB"/>
    <w:rsid w:val="00183266"/>
    <w:rsid w:val="0018340B"/>
    <w:rsid w:val="001834D5"/>
    <w:rsid w:val="00183CB2"/>
    <w:rsid w:val="00183D41"/>
    <w:rsid w:val="00183EB3"/>
    <w:rsid w:val="001843AF"/>
    <w:rsid w:val="001859CE"/>
    <w:rsid w:val="00186162"/>
    <w:rsid w:val="001862DE"/>
    <w:rsid w:val="00186401"/>
    <w:rsid w:val="00186523"/>
    <w:rsid w:val="001868A9"/>
    <w:rsid w:val="001869DA"/>
    <w:rsid w:val="00186DE6"/>
    <w:rsid w:val="00187341"/>
    <w:rsid w:val="0018736B"/>
    <w:rsid w:val="00187CB9"/>
    <w:rsid w:val="001901C7"/>
    <w:rsid w:val="00190737"/>
    <w:rsid w:val="001909FF"/>
    <w:rsid w:val="00190CBD"/>
    <w:rsid w:val="00190D45"/>
    <w:rsid w:val="00190F3C"/>
    <w:rsid w:val="00191B5E"/>
    <w:rsid w:val="00191D5C"/>
    <w:rsid w:val="00191D9B"/>
    <w:rsid w:val="0019227C"/>
    <w:rsid w:val="001924A6"/>
    <w:rsid w:val="001924EA"/>
    <w:rsid w:val="00192C14"/>
    <w:rsid w:val="00192C87"/>
    <w:rsid w:val="00193066"/>
    <w:rsid w:val="00193117"/>
    <w:rsid w:val="001933F9"/>
    <w:rsid w:val="00193426"/>
    <w:rsid w:val="00193466"/>
    <w:rsid w:val="00194FA8"/>
    <w:rsid w:val="001954B7"/>
    <w:rsid w:val="00195F2E"/>
    <w:rsid w:val="001962E7"/>
    <w:rsid w:val="0019661F"/>
    <w:rsid w:val="00196969"/>
    <w:rsid w:val="00196B8B"/>
    <w:rsid w:val="001972C6"/>
    <w:rsid w:val="001975E3"/>
    <w:rsid w:val="001976B1"/>
    <w:rsid w:val="00197BE4"/>
    <w:rsid w:val="00197DF7"/>
    <w:rsid w:val="00197E29"/>
    <w:rsid w:val="001A03CF"/>
    <w:rsid w:val="001A057E"/>
    <w:rsid w:val="001A09E3"/>
    <w:rsid w:val="001A0ACA"/>
    <w:rsid w:val="001A0D10"/>
    <w:rsid w:val="001A1333"/>
    <w:rsid w:val="001A286F"/>
    <w:rsid w:val="001A2946"/>
    <w:rsid w:val="001A2964"/>
    <w:rsid w:val="001A2AD4"/>
    <w:rsid w:val="001A2CEA"/>
    <w:rsid w:val="001A2F0F"/>
    <w:rsid w:val="001A312B"/>
    <w:rsid w:val="001A34BE"/>
    <w:rsid w:val="001A360A"/>
    <w:rsid w:val="001A431C"/>
    <w:rsid w:val="001A4398"/>
    <w:rsid w:val="001A460B"/>
    <w:rsid w:val="001A47F1"/>
    <w:rsid w:val="001A4AE9"/>
    <w:rsid w:val="001A4CB9"/>
    <w:rsid w:val="001A4D64"/>
    <w:rsid w:val="001A4E18"/>
    <w:rsid w:val="001A4EB8"/>
    <w:rsid w:val="001A56E7"/>
    <w:rsid w:val="001A5795"/>
    <w:rsid w:val="001A58A3"/>
    <w:rsid w:val="001A5B34"/>
    <w:rsid w:val="001A5E78"/>
    <w:rsid w:val="001A61E6"/>
    <w:rsid w:val="001A6810"/>
    <w:rsid w:val="001A6C07"/>
    <w:rsid w:val="001A7409"/>
    <w:rsid w:val="001A7F27"/>
    <w:rsid w:val="001B02A2"/>
    <w:rsid w:val="001B0A38"/>
    <w:rsid w:val="001B0DD5"/>
    <w:rsid w:val="001B10C6"/>
    <w:rsid w:val="001B1312"/>
    <w:rsid w:val="001B13BB"/>
    <w:rsid w:val="001B16F2"/>
    <w:rsid w:val="001B2117"/>
    <w:rsid w:val="001B234E"/>
    <w:rsid w:val="001B2421"/>
    <w:rsid w:val="001B299A"/>
    <w:rsid w:val="001B2B64"/>
    <w:rsid w:val="001B2F67"/>
    <w:rsid w:val="001B320A"/>
    <w:rsid w:val="001B32CE"/>
    <w:rsid w:val="001B3331"/>
    <w:rsid w:val="001B3733"/>
    <w:rsid w:val="001B3899"/>
    <w:rsid w:val="001B3C8A"/>
    <w:rsid w:val="001B4131"/>
    <w:rsid w:val="001B4244"/>
    <w:rsid w:val="001B437F"/>
    <w:rsid w:val="001B4427"/>
    <w:rsid w:val="001B46B9"/>
    <w:rsid w:val="001B4E62"/>
    <w:rsid w:val="001B53BB"/>
    <w:rsid w:val="001B5513"/>
    <w:rsid w:val="001B56F9"/>
    <w:rsid w:val="001B585C"/>
    <w:rsid w:val="001B5907"/>
    <w:rsid w:val="001B5B49"/>
    <w:rsid w:val="001B5D35"/>
    <w:rsid w:val="001B5F85"/>
    <w:rsid w:val="001B603E"/>
    <w:rsid w:val="001B6355"/>
    <w:rsid w:val="001B6582"/>
    <w:rsid w:val="001B6C6B"/>
    <w:rsid w:val="001B7005"/>
    <w:rsid w:val="001B756C"/>
    <w:rsid w:val="001B7762"/>
    <w:rsid w:val="001B77C9"/>
    <w:rsid w:val="001C0215"/>
    <w:rsid w:val="001C02F1"/>
    <w:rsid w:val="001C03AA"/>
    <w:rsid w:val="001C04EF"/>
    <w:rsid w:val="001C0597"/>
    <w:rsid w:val="001C0654"/>
    <w:rsid w:val="001C0920"/>
    <w:rsid w:val="001C0A60"/>
    <w:rsid w:val="001C15B0"/>
    <w:rsid w:val="001C15BC"/>
    <w:rsid w:val="001C15C4"/>
    <w:rsid w:val="001C1625"/>
    <w:rsid w:val="001C19B9"/>
    <w:rsid w:val="001C1A42"/>
    <w:rsid w:val="001C1AC2"/>
    <w:rsid w:val="001C1B7F"/>
    <w:rsid w:val="001C242B"/>
    <w:rsid w:val="001C244C"/>
    <w:rsid w:val="001C2554"/>
    <w:rsid w:val="001C26BA"/>
    <w:rsid w:val="001C2D88"/>
    <w:rsid w:val="001C2EAA"/>
    <w:rsid w:val="001C30CE"/>
    <w:rsid w:val="001C3441"/>
    <w:rsid w:val="001C35F1"/>
    <w:rsid w:val="001C3C5E"/>
    <w:rsid w:val="001C3D01"/>
    <w:rsid w:val="001C4495"/>
    <w:rsid w:val="001C450A"/>
    <w:rsid w:val="001C4580"/>
    <w:rsid w:val="001C4B30"/>
    <w:rsid w:val="001C53DC"/>
    <w:rsid w:val="001C57F4"/>
    <w:rsid w:val="001C5832"/>
    <w:rsid w:val="001C5A4C"/>
    <w:rsid w:val="001C5A5F"/>
    <w:rsid w:val="001C5D43"/>
    <w:rsid w:val="001C631E"/>
    <w:rsid w:val="001C6D8E"/>
    <w:rsid w:val="001C6DEB"/>
    <w:rsid w:val="001C6F00"/>
    <w:rsid w:val="001C7C12"/>
    <w:rsid w:val="001C7CC8"/>
    <w:rsid w:val="001C7F48"/>
    <w:rsid w:val="001C7F69"/>
    <w:rsid w:val="001D0242"/>
    <w:rsid w:val="001D026C"/>
    <w:rsid w:val="001D0855"/>
    <w:rsid w:val="001D0DAA"/>
    <w:rsid w:val="001D186A"/>
    <w:rsid w:val="001D23D5"/>
    <w:rsid w:val="001D2EA8"/>
    <w:rsid w:val="001D2F6B"/>
    <w:rsid w:val="001D30BB"/>
    <w:rsid w:val="001D3284"/>
    <w:rsid w:val="001D3822"/>
    <w:rsid w:val="001D3D52"/>
    <w:rsid w:val="001D3E7C"/>
    <w:rsid w:val="001D4128"/>
    <w:rsid w:val="001D4318"/>
    <w:rsid w:val="001D4D8A"/>
    <w:rsid w:val="001D5490"/>
    <w:rsid w:val="001D558F"/>
    <w:rsid w:val="001D5649"/>
    <w:rsid w:val="001D5825"/>
    <w:rsid w:val="001D5843"/>
    <w:rsid w:val="001D60A6"/>
    <w:rsid w:val="001D61C7"/>
    <w:rsid w:val="001D66F7"/>
    <w:rsid w:val="001D676F"/>
    <w:rsid w:val="001D6DDF"/>
    <w:rsid w:val="001D701C"/>
    <w:rsid w:val="001D7187"/>
    <w:rsid w:val="001D7224"/>
    <w:rsid w:val="001D7457"/>
    <w:rsid w:val="001D74E6"/>
    <w:rsid w:val="001D756F"/>
    <w:rsid w:val="001D77CA"/>
    <w:rsid w:val="001E0695"/>
    <w:rsid w:val="001E0AA8"/>
    <w:rsid w:val="001E0BB4"/>
    <w:rsid w:val="001E0D65"/>
    <w:rsid w:val="001E0D9F"/>
    <w:rsid w:val="001E0E89"/>
    <w:rsid w:val="001E0FBE"/>
    <w:rsid w:val="001E1928"/>
    <w:rsid w:val="001E1EBB"/>
    <w:rsid w:val="001E2241"/>
    <w:rsid w:val="001E2D09"/>
    <w:rsid w:val="001E2D19"/>
    <w:rsid w:val="001E2DAC"/>
    <w:rsid w:val="001E2EB9"/>
    <w:rsid w:val="001E2EF6"/>
    <w:rsid w:val="001E2FC2"/>
    <w:rsid w:val="001E339C"/>
    <w:rsid w:val="001E376B"/>
    <w:rsid w:val="001E3A02"/>
    <w:rsid w:val="001E3AAC"/>
    <w:rsid w:val="001E3BD4"/>
    <w:rsid w:val="001E3DEB"/>
    <w:rsid w:val="001E42D4"/>
    <w:rsid w:val="001E4985"/>
    <w:rsid w:val="001E50A6"/>
    <w:rsid w:val="001E5F29"/>
    <w:rsid w:val="001E645A"/>
    <w:rsid w:val="001E668F"/>
    <w:rsid w:val="001E6CC2"/>
    <w:rsid w:val="001E763B"/>
    <w:rsid w:val="001E7725"/>
    <w:rsid w:val="001E7C9A"/>
    <w:rsid w:val="001E7DAE"/>
    <w:rsid w:val="001E7E42"/>
    <w:rsid w:val="001F0505"/>
    <w:rsid w:val="001F0B68"/>
    <w:rsid w:val="001F102C"/>
    <w:rsid w:val="001F12AB"/>
    <w:rsid w:val="001F1306"/>
    <w:rsid w:val="001F1DD1"/>
    <w:rsid w:val="001F1FF9"/>
    <w:rsid w:val="001F20CD"/>
    <w:rsid w:val="001F2A86"/>
    <w:rsid w:val="001F2AFE"/>
    <w:rsid w:val="001F2B07"/>
    <w:rsid w:val="001F2C76"/>
    <w:rsid w:val="001F2F77"/>
    <w:rsid w:val="001F3191"/>
    <w:rsid w:val="001F3259"/>
    <w:rsid w:val="001F386B"/>
    <w:rsid w:val="001F4338"/>
    <w:rsid w:val="001F437C"/>
    <w:rsid w:val="001F458B"/>
    <w:rsid w:val="001F46B9"/>
    <w:rsid w:val="001F4A90"/>
    <w:rsid w:val="001F4CBB"/>
    <w:rsid w:val="001F4D65"/>
    <w:rsid w:val="001F4E83"/>
    <w:rsid w:val="001F5089"/>
    <w:rsid w:val="001F52C6"/>
    <w:rsid w:val="001F553A"/>
    <w:rsid w:val="001F5A47"/>
    <w:rsid w:val="001F6144"/>
    <w:rsid w:val="001F6429"/>
    <w:rsid w:val="001F6AA1"/>
    <w:rsid w:val="001F7020"/>
    <w:rsid w:val="001F725C"/>
    <w:rsid w:val="001F77AD"/>
    <w:rsid w:val="001F77AE"/>
    <w:rsid w:val="001F7815"/>
    <w:rsid w:val="002003E2"/>
    <w:rsid w:val="002008A9"/>
    <w:rsid w:val="00200A01"/>
    <w:rsid w:val="00200A54"/>
    <w:rsid w:val="00200B5A"/>
    <w:rsid w:val="00200CDE"/>
    <w:rsid w:val="00200DED"/>
    <w:rsid w:val="00201275"/>
    <w:rsid w:val="002013B6"/>
    <w:rsid w:val="00201513"/>
    <w:rsid w:val="00201774"/>
    <w:rsid w:val="00201992"/>
    <w:rsid w:val="00201BAE"/>
    <w:rsid w:val="00201E2F"/>
    <w:rsid w:val="00201F3A"/>
    <w:rsid w:val="002026C0"/>
    <w:rsid w:val="00202892"/>
    <w:rsid w:val="002033E3"/>
    <w:rsid w:val="002037B5"/>
    <w:rsid w:val="002048C0"/>
    <w:rsid w:val="00204BAC"/>
    <w:rsid w:val="00204CE4"/>
    <w:rsid w:val="00204DC9"/>
    <w:rsid w:val="0020517F"/>
    <w:rsid w:val="002051E6"/>
    <w:rsid w:val="002052F8"/>
    <w:rsid w:val="00205509"/>
    <w:rsid w:val="00205559"/>
    <w:rsid w:val="00205DAF"/>
    <w:rsid w:val="00205DEF"/>
    <w:rsid w:val="00205EBF"/>
    <w:rsid w:val="002063D8"/>
    <w:rsid w:val="00206D4E"/>
    <w:rsid w:val="00207669"/>
    <w:rsid w:val="00207B1D"/>
    <w:rsid w:val="00207C6D"/>
    <w:rsid w:val="00207E18"/>
    <w:rsid w:val="002101B8"/>
    <w:rsid w:val="002106DF"/>
    <w:rsid w:val="0021091E"/>
    <w:rsid w:val="00210B79"/>
    <w:rsid w:val="00210C2B"/>
    <w:rsid w:val="00210DEF"/>
    <w:rsid w:val="00211071"/>
    <w:rsid w:val="00211270"/>
    <w:rsid w:val="00211690"/>
    <w:rsid w:val="00211D95"/>
    <w:rsid w:val="00211DD6"/>
    <w:rsid w:val="00212460"/>
    <w:rsid w:val="00212649"/>
    <w:rsid w:val="00213100"/>
    <w:rsid w:val="002132FD"/>
    <w:rsid w:val="00213989"/>
    <w:rsid w:val="00213D24"/>
    <w:rsid w:val="00214775"/>
    <w:rsid w:val="00214D60"/>
    <w:rsid w:val="0021545C"/>
    <w:rsid w:val="00215CED"/>
    <w:rsid w:val="00216ADA"/>
    <w:rsid w:val="00216C48"/>
    <w:rsid w:val="002177E7"/>
    <w:rsid w:val="00217EB5"/>
    <w:rsid w:val="0022040F"/>
    <w:rsid w:val="002208B3"/>
    <w:rsid w:val="00220BA4"/>
    <w:rsid w:val="00221107"/>
    <w:rsid w:val="002211A9"/>
    <w:rsid w:val="0022158B"/>
    <w:rsid w:val="00221D64"/>
    <w:rsid w:val="00222214"/>
    <w:rsid w:val="002229FF"/>
    <w:rsid w:val="00222BA3"/>
    <w:rsid w:val="00222F10"/>
    <w:rsid w:val="002233EC"/>
    <w:rsid w:val="002236B1"/>
    <w:rsid w:val="00223D04"/>
    <w:rsid w:val="00224047"/>
    <w:rsid w:val="00224607"/>
    <w:rsid w:val="00224820"/>
    <w:rsid w:val="002249E5"/>
    <w:rsid w:val="002256FB"/>
    <w:rsid w:val="00225C03"/>
    <w:rsid w:val="00225FC0"/>
    <w:rsid w:val="0022623B"/>
    <w:rsid w:val="002262D2"/>
    <w:rsid w:val="002262D8"/>
    <w:rsid w:val="002268D3"/>
    <w:rsid w:val="00226A54"/>
    <w:rsid w:val="00226C64"/>
    <w:rsid w:val="00226DE7"/>
    <w:rsid w:val="0022701F"/>
    <w:rsid w:val="00227BC3"/>
    <w:rsid w:val="00227E98"/>
    <w:rsid w:val="00230511"/>
    <w:rsid w:val="002305BC"/>
    <w:rsid w:val="002308AD"/>
    <w:rsid w:val="00230C08"/>
    <w:rsid w:val="00230C2E"/>
    <w:rsid w:val="00230D0C"/>
    <w:rsid w:val="00230D3C"/>
    <w:rsid w:val="00231897"/>
    <w:rsid w:val="0023195B"/>
    <w:rsid w:val="00231A46"/>
    <w:rsid w:val="00231C6A"/>
    <w:rsid w:val="00231CFD"/>
    <w:rsid w:val="002321D0"/>
    <w:rsid w:val="00232645"/>
    <w:rsid w:val="002326F2"/>
    <w:rsid w:val="00232A8A"/>
    <w:rsid w:val="00232B4E"/>
    <w:rsid w:val="00232B7E"/>
    <w:rsid w:val="002331AA"/>
    <w:rsid w:val="0023345B"/>
    <w:rsid w:val="002335CF"/>
    <w:rsid w:val="002338D7"/>
    <w:rsid w:val="0023473A"/>
    <w:rsid w:val="0023498D"/>
    <w:rsid w:val="00234A49"/>
    <w:rsid w:val="00235344"/>
    <w:rsid w:val="002354F2"/>
    <w:rsid w:val="00235B6E"/>
    <w:rsid w:val="00235C83"/>
    <w:rsid w:val="00235DC7"/>
    <w:rsid w:val="00235F16"/>
    <w:rsid w:val="00236EF5"/>
    <w:rsid w:val="002376A3"/>
    <w:rsid w:val="00237789"/>
    <w:rsid w:val="00237C98"/>
    <w:rsid w:val="00240156"/>
    <w:rsid w:val="00240196"/>
    <w:rsid w:val="00240691"/>
    <w:rsid w:val="0024089C"/>
    <w:rsid w:val="00240FD1"/>
    <w:rsid w:val="002411A6"/>
    <w:rsid w:val="002411BE"/>
    <w:rsid w:val="002414C0"/>
    <w:rsid w:val="00241504"/>
    <w:rsid w:val="0024163A"/>
    <w:rsid w:val="00241795"/>
    <w:rsid w:val="00241AEA"/>
    <w:rsid w:val="00241C88"/>
    <w:rsid w:val="0024255E"/>
    <w:rsid w:val="002426CD"/>
    <w:rsid w:val="00242772"/>
    <w:rsid w:val="00242C82"/>
    <w:rsid w:val="00242CC9"/>
    <w:rsid w:val="002434E4"/>
    <w:rsid w:val="00243657"/>
    <w:rsid w:val="0024372A"/>
    <w:rsid w:val="0024372D"/>
    <w:rsid w:val="00243A7F"/>
    <w:rsid w:val="00243F79"/>
    <w:rsid w:val="002440B9"/>
    <w:rsid w:val="00244818"/>
    <w:rsid w:val="00244B9F"/>
    <w:rsid w:val="00244DA4"/>
    <w:rsid w:val="002454C2"/>
    <w:rsid w:val="002454E3"/>
    <w:rsid w:val="002457AA"/>
    <w:rsid w:val="00245A07"/>
    <w:rsid w:val="00245BC8"/>
    <w:rsid w:val="002469F4"/>
    <w:rsid w:val="00246AFA"/>
    <w:rsid w:val="00247464"/>
    <w:rsid w:val="002479C5"/>
    <w:rsid w:val="00247A84"/>
    <w:rsid w:val="00247BAB"/>
    <w:rsid w:val="00247C6E"/>
    <w:rsid w:val="002503BB"/>
    <w:rsid w:val="00251061"/>
    <w:rsid w:val="00251105"/>
    <w:rsid w:val="0025119B"/>
    <w:rsid w:val="00251313"/>
    <w:rsid w:val="00251502"/>
    <w:rsid w:val="0025157F"/>
    <w:rsid w:val="0025161A"/>
    <w:rsid w:val="00251703"/>
    <w:rsid w:val="00252451"/>
    <w:rsid w:val="00252A0B"/>
    <w:rsid w:val="00252AFD"/>
    <w:rsid w:val="002530BD"/>
    <w:rsid w:val="00253371"/>
    <w:rsid w:val="0025355A"/>
    <w:rsid w:val="00253A6D"/>
    <w:rsid w:val="00253B3A"/>
    <w:rsid w:val="002544D4"/>
    <w:rsid w:val="002546ED"/>
    <w:rsid w:val="002547B7"/>
    <w:rsid w:val="00254B90"/>
    <w:rsid w:val="00254C4D"/>
    <w:rsid w:val="00254DEF"/>
    <w:rsid w:val="002554F7"/>
    <w:rsid w:val="0025572C"/>
    <w:rsid w:val="00255A9E"/>
    <w:rsid w:val="00255F9B"/>
    <w:rsid w:val="00256171"/>
    <w:rsid w:val="00256907"/>
    <w:rsid w:val="00256955"/>
    <w:rsid w:val="00256D60"/>
    <w:rsid w:val="00257903"/>
    <w:rsid w:val="002579B2"/>
    <w:rsid w:val="00257E12"/>
    <w:rsid w:val="00260649"/>
    <w:rsid w:val="00260A8E"/>
    <w:rsid w:val="00260C60"/>
    <w:rsid w:val="002614F9"/>
    <w:rsid w:val="00261764"/>
    <w:rsid w:val="00261E5F"/>
    <w:rsid w:val="00262233"/>
    <w:rsid w:val="00262A6F"/>
    <w:rsid w:val="00262F5D"/>
    <w:rsid w:val="00263474"/>
    <w:rsid w:val="002637C8"/>
    <w:rsid w:val="00263A95"/>
    <w:rsid w:val="00263B07"/>
    <w:rsid w:val="00263C1A"/>
    <w:rsid w:val="00263C6C"/>
    <w:rsid w:val="00263DAF"/>
    <w:rsid w:val="00263DD1"/>
    <w:rsid w:val="00263E69"/>
    <w:rsid w:val="00263FE6"/>
    <w:rsid w:val="002640B6"/>
    <w:rsid w:val="00264DB9"/>
    <w:rsid w:val="0026527B"/>
    <w:rsid w:val="0026536C"/>
    <w:rsid w:val="002655D7"/>
    <w:rsid w:val="00265657"/>
    <w:rsid w:val="00265B36"/>
    <w:rsid w:val="00265C01"/>
    <w:rsid w:val="00265CF5"/>
    <w:rsid w:val="00265F60"/>
    <w:rsid w:val="00265FBE"/>
    <w:rsid w:val="002662E0"/>
    <w:rsid w:val="0026634B"/>
    <w:rsid w:val="0026655B"/>
    <w:rsid w:val="00266885"/>
    <w:rsid w:val="002668A0"/>
    <w:rsid w:val="00266A4B"/>
    <w:rsid w:val="00266C65"/>
    <w:rsid w:val="002670ED"/>
    <w:rsid w:val="002673EC"/>
    <w:rsid w:val="00267711"/>
    <w:rsid w:val="00270124"/>
    <w:rsid w:val="002701C0"/>
    <w:rsid w:val="002709DA"/>
    <w:rsid w:val="00270A09"/>
    <w:rsid w:val="00270AB1"/>
    <w:rsid w:val="0027133F"/>
    <w:rsid w:val="002718FE"/>
    <w:rsid w:val="00271B73"/>
    <w:rsid w:val="002720A1"/>
    <w:rsid w:val="0027239A"/>
    <w:rsid w:val="00272613"/>
    <w:rsid w:val="00272B32"/>
    <w:rsid w:val="00272EFA"/>
    <w:rsid w:val="00272FDB"/>
    <w:rsid w:val="00273061"/>
    <w:rsid w:val="00273138"/>
    <w:rsid w:val="00273576"/>
    <w:rsid w:val="0027388E"/>
    <w:rsid w:val="00273EF3"/>
    <w:rsid w:val="00273EF8"/>
    <w:rsid w:val="002746B7"/>
    <w:rsid w:val="002746CF"/>
    <w:rsid w:val="00274DA0"/>
    <w:rsid w:val="00274DC2"/>
    <w:rsid w:val="00275188"/>
    <w:rsid w:val="0027545A"/>
    <w:rsid w:val="002754E5"/>
    <w:rsid w:val="002759CD"/>
    <w:rsid w:val="00275EC2"/>
    <w:rsid w:val="00275F42"/>
    <w:rsid w:val="00276982"/>
    <w:rsid w:val="00276FAD"/>
    <w:rsid w:val="002777ED"/>
    <w:rsid w:val="00277F6E"/>
    <w:rsid w:val="002800D4"/>
    <w:rsid w:val="0028028E"/>
    <w:rsid w:val="0028044F"/>
    <w:rsid w:val="00280657"/>
    <w:rsid w:val="002806D1"/>
    <w:rsid w:val="00280EF2"/>
    <w:rsid w:val="00280FF4"/>
    <w:rsid w:val="00281A3A"/>
    <w:rsid w:val="00281AFF"/>
    <w:rsid w:val="00281C58"/>
    <w:rsid w:val="00281CBF"/>
    <w:rsid w:val="00282379"/>
    <w:rsid w:val="002823E2"/>
    <w:rsid w:val="00282472"/>
    <w:rsid w:val="0028287A"/>
    <w:rsid w:val="00282AC0"/>
    <w:rsid w:val="00282BC4"/>
    <w:rsid w:val="00283191"/>
    <w:rsid w:val="00283394"/>
    <w:rsid w:val="002835EE"/>
    <w:rsid w:val="00283F45"/>
    <w:rsid w:val="00283FEE"/>
    <w:rsid w:val="0028421B"/>
    <w:rsid w:val="00284267"/>
    <w:rsid w:val="002849E2"/>
    <w:rsid w:val="002853B7"/>
    <w:rsid w:val="0028541E"/>
    <w:rsid w:val="00285784"/>
    <w:rsid w:val="00285CDE"/>
    <w:rsid w:val="00285D45"/>
    <w:rsid w:val="00286242"/>
    <w:rsid w:val="0028637A"/>
    <w:rsid w:val="002867A0"/>
    <w:rsid w:val="00286DB5"/>
    <w:rsid w:val="00287289"/>
    <w:rsid w:val="00287802"/>
    <w:rsid w:val="0029006A"/>
    <w:rsid w:val="002900AD"/>
    <w:rsid w:val="00290564"/>
    <w:rsid w:val="0029088B"/>
    <w:rsid w:val="00290902"/>
    <w:rsid w:val="00290CB6"/>
    <w:rsid w:val="00291734"/>
    <w:rsid w:val="002917DE"/>
    <w:rsid w:val="002917EE"/>
    <w:rsid w:val="00291C28"/>
    <w:rsid w:val="00292326"/>
    <w:rsid w:val="0029258B"/>
    <w:rsid w:val="002926E8"/>
    <w:rsid w:val="00292727"/>
    <w:rsid w:val="00292F86"/>
    <w:rsid w:val="00293C67"/>
    <w:rsid w:val="00293D5F"/>
    <w:rsid w:val="002943F8"/>
    <w:rsid w:val="0029475A"/>
    <w:rsid w:val="00294806"/>
    <w:rsid w:val="00294D18"/>
    <w:rsid w:val="00295040"/>
    <w:rsid w:val="002953BE"/>
    <w:rsid w:val="002959E6"/>
    <w:rsid w:val="00295BC8"/>
    <w:rsid w:val="00295E14"/>
    <w:rsid w:val="002964B5"/>
    <w:rsid w:val="00296745"/>
    <w:rsid w:val="00296A24"/>
    <w:rsid w:val="00296EC4"/>
    <w:rsid w:val="00296F87"/>
    <w:rsid w:val="0029704C"/>
    <w:rsid w:val="0029733F"/>
    <w:rsid w:val="00297575"/>
    <w:rsid w:val="00297589"/>
    <w:rsid w:val="00297723"/>
    <w:rsid w:val="002A0245"/>
    <w:rsid w:val="002A02E6"/>
    <w:rsid w:val="002A02F2"/>
    <w:rsid w:val="002A0355"/>
    <w:rsid w:val="002A0B1B"/>
    <w:rsid w:val="002A0E43"/>
    <w:rsid w:val="002A140B"/>
    <w:rsid w:val="002A17A2"/>
    <w:rsid w:val="002A17D1"/>
    <w:rsid w:val="002A186B"/>
    <w:rsid w:val="002A209B"/>
    <w:rsid w:val="002A20BB"/>
    <w:rsid w:val="002A256B"/>
    <w:rsid w:val="002A2581"/>
    <w:rsid w:val="002A2B34"/>
    <w:rsid w:val="002A2BB3"/>
    <w:rsid w:val="002A33FE"/>
    <w:rsid w:val="002A37B0"/>
    <w:rsid w:val="002A39D2"/>
    <w:rsid w:val="002A3BD5"/>
    <w:rsid w:val="002A3E5B"/>
    <w:rsid w:val="002A43D6"/>
    <w:rsid w:val="002A4497"/>
    <w:rsid w:val="002A4872"/>
    <w:rsid w:val="002A4FCD"/>
    <w:rsid w:val="002A5253"/>
    <w:rsid w:val="002A62F2"/>
    <w:rsid w:val="002A6A01"/>
    <w:rsid w:val="002A6C2C"/>
    <w:rsid w:val="002A7320"/>
    <w:rsid w:val="002A76EF"/>
    <w:rsid w:val="002A7A31"/>
    <w:rsid w:val="002A7AD7"/>
    <w:rsid w:val="002A7B1C"/>
    <w:rsid w:val="002A7C8F"/>
    <w:rsid w:val="002B0047"/>
    <w:rsid w:val="002B012F"/>
    <w:rsid w:val="002B02EA"/>
    <w:rsid w:val="002B09EF"/>
    <w:rsid w:val="002B107F"/>
    <w:rsid w:val="002B116D"/>
    <w:rsid w:val="002B129E"/>
    <w:rsid w:val="002B13C8"/>
    <w:rsid w:val="002B13E1"/>
    <w:rsid w:val="002B1683"/>
    <w:rsid w:val="002B17C5"/>
    <w:rsid w:val="002B2027"/>
    <w:rsid w:val="002B2604"/>
    <w:rsid w:val="002B28D9"/>
    <w:rsid w:val="002B2CA8"/>
    <w:rsid w:val="002B3068"/>
    <w:rsid w:val="002B317E"/>
    <w:rsid w:val="002B361D"/>
    <w:rsid w:val="002B3B35"/>
    <w:rsid w:val="002B3D4F"/>
    <w:rsid w:val="002B4784"/>
    <w:rsid w:val="002B4961"/>
    <w:rsid w:val="002B4AFF"/>
    <w:rsid w:val="002B51BA"/>
    <w:rsid w:val="002B53F5"/>
    <w:rsid w:val="002B55A8"/>
    <w:rsid w:val="002B566C"/>
    <w:rsid w:val="002B6944"/>
    <w:rsid w:val="002B6A04"/>
    <w:rsid w:val="002B6FD7"/>
    <w:rsid w:val="002B714C"/>
    <w:rsid w:val="002B7A16"/>
    <w:rsid w:val="002B7C20"/>
    <w:rsid w:val="002B7C8E"/>
    <w:rsid w:val="002B7D0D"/>
    <w:rsid w:val="002B7D79"/>
    <w:rsid w:val="002B7FD7"/>
    <w:rsid w:val="002C00CB"/>
    <w:rsid w:val="002C082B"/>
    <w:rsid w:val="002C08CE"/>
    <w:rsid w:val="002C0D88"/>
    <w:rsid w:val="002C10E6"/>
    <w:rsid w:val="002C1D12"/>
    <w:rsid w:val="002C1E1D"/>
    <w:rsid w:val="002C1EB1"/>
    <w:rsid w:val="002C21DD"/>
    <w:rsid w:val="002C24CF"/>
    <w:rsid w:val="002C254E"/>
    <w:rsid w:val="002C2CE9"/>
    <w:rsid w:val="002C36F7"/>
    <w:rsid w:val="002C4488"/>
    <w:rsid w:val="002C44D0"/>
    <w:rsid w:val="002C452F"/>
    <w:rsid w:val="002C47C4"/>
    <w:rsid w:val="002C4AED"/>
    <w:rsid w:val="002C4DCA"/>
    <w:rsid w:val="002C5401"/>
    <w:rsid w:val="002C5701"/>
    <w:rsid w:val="002C580D"/>
    <w:rsid w:val="002C6235"/>
    <w:rsid w:val="002C63B6"/>
    <w:rsid w:val="002C68CE"/>
    <w:rsid w:val="002C6D2F"/>
    <w:rsid w:val="002C6F98"/>
    <w:rsid w:val="002C6FBF"/>
    <w:rsid w:val="002C7959"/>
    <w:rsid w:val="002C7E38"/>
    <w:rsid w:val="002D039C"/>
    <w:rsid w:val="002D06F5"/>
    <w:rsid w:val="002D07B9"/>
    <w:rsid w:val="002D08D9"/>
    <w:rsid w:val="002D164A"/>
    <w:rsid w:val="002D1952"/>
    <w:rsid w:val="002D230D"/>
    <w:rsid w:val="002D24E6"/>
    <w:rsid w:val="002D25F3"/>
    <w:rsid w:val="002D2901"/>
    <w:rsid w:val="002D2CE1"/>
    <w:rsid w:val="002D3196"/>
    <w:rsid w:val="002D333F"/>
    <w:rsid w:val="002D341C"/>
    <w:rsid w:val="002D351E"/>
    <w:rsid w:val="002D3B90"/>
    <w:rsid w:val="002D3C7F"/>
    <w:rsid w:val="002D43CE"/>
    <w:rsid w:val="002D45B0"/>
    <w:rsid w:val="002D460D"/>
    <w:rsid w:val="002D4690"/>
    <w:rsid w:val="002D46B4"/>
    <w:rsid w:val="002D54B6"/>
    <w:rsid w:val="002D54D6"/>
    <w:rsid w:val="002D5957"/>
    <w:rsid w:val="002D5A54"/>
    <w:rsid w:val="002D5B22"/>
    <w:rsid w:val="002D5F0E"/>
    <w:rsid w:val="002D6156"/>
    <w:rsid w:val="002D64F2"/>
    <w:rsid w:val="002D6BF7"/>
    <w:rsid w:val="002D6C0D"/>
    <w:rsid w:val="002D79F8"/>
    <w:rsid w:val="002D7BA8"/>
    <w:rsid w:val="002D7E6B"/>
    <w:rsid w:val="002E007F"/>
    <w:rsid w:val="002E0178"/>
    <w:rsid w:val="002E02BE"/>
    <w:rsid w:val="002E03BE"/>
    <w:rsid w:val="002E052C"/>
    <w:rsid w:val="002E0BD7"/>
    <w:rsid w:val="002E1C8C"/>
    <w:rsid w:val="002E21EB"/>
    <w:rsid w:val="002E240D"/>
    <w:rsid w:val="002E2679"/>
    <w:rsid w:val="002E2D02"/>
    <w:rsid w:val="002E38F5"/>
    <w:rsid w:val="002E393B"/>
    <w:rsid w:val="002E413F"/>
    <w:rsid w:val="002E41C3"/>
    <w:rsid w:val="002E4347"/>
    <w:rsid w:val="002E4499"/>
    <w:rsid w:val="002E45BF"/>
    <w:rsid w:val="002E52A8"/>
    <w:rsid w:val="002E5306"/>
    <w:rsid w:val="002E547E"/>
    <w:rsid w:val="002E6296"/>
    <w:rsid w:val="002E66B7"/>
    <w:rsid w:val="002E67C3"/>
    <w:rsid w:val="002E67D1"/>
    <w:rsid w:val="002E6B98"/>
    <w:rsid w:val="002E6C5A"/>
    <w:rsid w:val="002E702B"/>
    <w:rsid w:val="002E7335"/>
    <w:rsid w:val="002E7339"/>
    <w:rsid w:val="002E740A"/>
    <w:rsid w:val="002E7DE9"/>
    <w:rsid w:val="002E7F1C"/>
    <w:rsid w:val="002F0580"/>
    <w:rsid w:val="002F0882"/>
    <w:rsid w:val="002F09C1"/>
    <w:rsid w:val="002F0A0B"/>
    <w:rsid w:val="002F0BE9"/>
    <w:rsid w:val="002F0C91"/>
    <w:rsid w:val="002F1AF0"/>
    <w:rsid w:val="002F2214"/>
    <w:rsid w:val="002F2506"/>
    <w:rsid w:val="002F2FC7"/>
    <w:rsid w:val="002F3520"/>
    <w:rsid w:val="002F3616"/>
    <w:rsid w:val="002F3656"/>
    <w:rsid w:val="002F3F61"/>
    <w:rsid w:val="002F4292"/>
    <w:rsid w:val="002F453C"/>
    <w:rsid w:val="002F463D"/>
    <w:rsid w:val="002F48C9"/>
    <w:rsid w:val="002F497B"/>
    <w:rsid w:val="002F49BA"/>
    <w:rsid w:val="002F4DD7"/>
    <w:rsid w:val="002F4F0E"/>
    <w:rsid w:val="002F5492"/>
    <w:rsid w:val="002F5561"/>
    <w:rsid w:val="002F5817"/>
    <w:rsid w:val="002F5D74"/>
    <w:rsid w:val="002F6623"/>
    <w:rsid w:val="002F6797"/>
    <w:rsid w:val="002F698A"/>
    <w:rsid w:val="002F69C2"/>
    <w:rsid w:val="002F6CBF"/>
    <w:rsid w:val="002F7008"/>
    <w:rsid w:val="002F71B9"/>
    <w:rsid w:val="002F750E"/>
    <w:rsid w:val="002F7BB0"/>
    <w:rsid w:val="002F7FF0"/>
    <w:rsid w:val="003002DB"/>
    <w:rsid w:val="00300604"/>
    <w:rsid w:val="0030060E"/>
    <w:rsid w:val="003007D7"/>
    <w:rsid w:val="00300857"/>
    <w:rsid w:val="00300E07"/>
    <w:rsid w:val="00301270"/>
    <w:rsid w:val="00301289"/>
    <w:rsid w:val="003013B9"/>
    <w:rsid w:val="00301632"/>
    <w:rsid w:val="00301967"/>
    <w:rsid w:val="00301E29"/>
    <w:rsid w:val="003020EE"/>
    <w:rsid w:val="0030374F"/>
    <w:rsid w:val="003041AC"/>
    <w:rsid w:val="003046E7"/>
    <w:rsid w:val="00304BCB"/>
    <w:rsid w:val="00304D03"/>
    <w:rsid w:val="00305559"/>
    <w:rsid w:val="003057D7"/>
    <w:rsid w:val="00306102"/>
    <w:rsid w:val="00306DBF"/>
    <w:rsid w:val="00307016"/>
    <w:rsid w:val="003073FD"/>
    <w:rsid w:val="00307449"/>
    <w:rsid w:val="003074FA"/>
    <w:rsid w:val="003076AD"/>
    <w:rsid w:val="003104DF"/>
    <w:rsid w:val="003107E9"/>
    <w:rsid w:val="003114A5"/>
    <w:rsid w:val="003114D3"/>
    <w:rsid w:val="003115F8"/>
    <w:rsid w:val="00311684"/>
    <w:rsid w:val="00311A4C"/>
    <w:rsid w:val="00311A75"/>
    <w:rsid w:val="00311D8D"/>
    <w:rsid w:val="003128C3"/>
    <w:rsid w:val="00312C85"/>
    <w:rsid w:val="00312D35"/>
    <w:rsid w:val="003135E0"/>
    <w:rsid w:val="00313892"/>
    <w:rsid w:val="003139A6"/>
    <w:rsid w:val="00313D66"/>
    <w:rsid w:val="00313E01"/>
    <w:rsid w:val="0031421A"/>
    <w:rsid w:val="0031462E"/>
    <w:rsid w:val="00315413"/>
    <w:rsid w:val="003155E8"/>
    <w:rsid w:val="00315924"/>
    <w:rsid w:val="003160E7"/>
    <w:rsid w:val="00316611"/>
    <w:rsid w:val="0031798E"/>
    <w:rsid w:val="00317D30"/>
    <w:rsid w:val="00317FC6"/>
    <w:rsid w:val="00320572"/>
    <w:rsid w:val="00320AC7"/>
    <w:rsid w:val="00320E06"/>
    <w:rsid w:val="00320EC8"/>
    <w:rsid w:val="00321188"/>
    <w:rsid w:val="00321752"/>
    <w:rsid w:val="00321A00"/>
    <w:rsid w:val="00321B93"/>
    <w:rsid w:val="00321EB2"/>
    <w:rsid w:val="00321F96"/>
    <w:rsid w:val="0032210A"/>
    <w:rsid w:val="00322424"/>
    <w:rsid w:val="00322C89"/>
    <w:rsid w:val="00324024"/>
    <w:rsid w:val="0032432F"/>
    <w:rsid w:val="00324519"/>
    <w:rsid w:val="00324535"/>
    <w:rsid w:val="003249B3"/>
    <w:rsid w:val="00324C8D"/>
    <w:rsid w:val="00324D0E"/>
    <w:rsid w:val="00325153"/>
    <w:rsid w:val="00325186"/>
    <w:rsid w:val="00325218"/>
    <w:rsid w:val="003252ED"/>
    <w:rsid w:val="0032572E"/>
    <w:rsid w:val="0032583A"/>
    <w:rsid w:val="00325DD2"/>
    <w:rsid w:val="00327102"/>
    <w:rsid w:val="003271AD"/>
    <w:rsid w:val="00327211"/>
    <w:rsid w:val="003274D5"/>
    <w:rsid w:val="00327C10"/>
    <w:rsid w:val="00327CB6"/>
    <w:rsid w:val="0033037E"/>
    <w:rsid w:val="0033078B"/>
    <w:rsid w:val="00330A2B"/>
    <w:rsid w:val="00330D13"/>
    <w:rsid w:val="00331035"/>
    <w:rsid w:val="00331330"/>
    <w:rsid w:val="00331355"/>
    <w:rsid w:val="003316AF"/>
    <w:rsid w:val="003316FE"/>
    <w:rsid w:val="00331D56"/>
    <w:rsid w:val="003324C2"/>
    <w:rsid w:val="00332AD6"/>
    <w:rsid w:val="00332EF0"/>
    <w:rsid w:val="0033339F"/>
    <w:rsid w:val="00333416"/>
    <w:rsid w:val="003336BC"/>
    <w:rsid w:val="003336E4"/>
    <w:rsid w:val="00333EBA"/>
    <w:rsid w:val="00333F2D"/>
    <w:rsid w:val="00334039"/>
    <w:rsid w:val="0033436D"/>
    <w:rsid w:val="003357C8"/>
    <w:rsid w:val="00335DF5"/>
    <w:rsid w:val="003362A2"/>
    <w:rsid w:val="0033666F"/>
    <w:rsid w:val="00336B7B"/>
    <w:rsid w:val="0033714F"/>
    <w:rsid w:val="00337811"/>
    <w:rsid w:val="0033785B"/>
    <w:rsid w:val="003379AD"/>
    <w:rsid w:val="003402B8"/>
    <w:rsid w:val="003402BB"/>
    <w:rsid w:val="00340737"/>
    <w:rsid w:val="0034078C"/>
    <w:rsid w:val="00340AB7"/>
    <w:rsid w:val="00340D3B"/>
    <w:rsid w:val="00340D7E"/>
    <w:rsid w:val="00341058"/>
    <w:rsid w:val="00341607"/>
    <w:rsid w:val="003419C1"/>
    <w:rsid w:val="00341AF7"/>
    <w:rsid w:val="00341BE0"/>
    <w:rsid w:val="0034297C"/>
    <w:rsid w:val="00342B39"/>
    <w:rsid w:val="00343FB2"/>
    <w:rsid w:val="003440B0"/>
    <w:rsid w:val="00344352"/>
    <w:rsid w:val="0034436A"/>
    <w:rsid w:val="003443E0"/>
    <w:rsid w:val="003445E5"/>
    <w:rsid w:val="00344B7B"/>
    <w:rsid w:val="0034564B"/>
    <w:rsid w:val="00345706"/>
    <w:rsid w:val="003457EA"/>
    <w:rsid w:val="00345906"/>
    <w:rsid w:val="00346449"/>
    <w:rsid w:val="003465A5"/>
    <w:rsid w:val="00346795"/>
    <w:rsid w:val="00346ECE"/>
    <w:rsid w:val="00347180"/>
    <w:rsid w:val="003475FE"/>
    <w:rsid w:val="0034788B"/>
    <w:rsid w:val="00347B77"/>
    <w:rsid w:val="003503AA"/>
    <w:rsid w:val="00350745"/>
    <w:rsid w:val="003507FC"/>
    <w:rsid w:val="00350BF7"/>
    <w:rsid w:val="00350C9C"/>
    <w:rsid w:val="00350E4F"/>
    <w:rsid w:val="00350E51"/>
    <w:rsid w:val="00350F56"/>
    <w:rsid w:val="003516A8"/>
    <w:rsid w:val="00351859"/>
    <w:rsid w:val="003519DD"/>
    <w:rsid w:val="003520E8"/>
    <w:rsid w:val="00352B1F"/>
    <w:rsid w:val="00352FC6"/>
    <w:rsid w:val="0035366F"/>
    <w:rsid w:val="00353BCD"/>
    <w:rsid w:val="0035400D"/>
    <w:rsid w:val="003542F2"/>
    <w:rsid w:val="00354BF0"/>
    <w:rsid w:val="00354C79"/>
    <w:rsid w:val="0035552A"/>
    <w:rsid w:val="00355B6A"/>
    <w:rsid w:val="00356532"/>
    <w:rsid w:val="003565E5"/>
    <w:rsid w:val="00356F66"/>
    <w:rsid w:val="0035713D"/>
    <w:rsid w:val="00357218"/>
    <w:rsid w:val="00357480"/>
    <w:rsid w:val="003576E1"/>
    <w:rsid w:val="00357D21"/>
    <w:rsid w:val="00357D52"/>
    <w:rsid w:val="003605EE"/>
    <w:rsid w:val="00360930"/>
    <w:rsid w:val="00360AC4"/>
    <w:rsid w:val="00360B43"/>
    <w:rsid w:val="00360C53"/>
    <w:rsid w:val="00360C97"/>
    <w:rsid w:val="00360C98"/>
    <w:rsid w:val="00361D57"/>
    <w:rsid w:val="003628A9"/>
    <w:rsid w:val="003632B6"/>
    <w:rsid w:val="00363639"/>
    <w:rsid w:val="00363797"/>
    <w:rsid w:val="00363F41"/>
    <w:rsid w:val="0036418B"/>
    <w:rsid w:val="0036440F"/>
    <w:rsid w:val="00364555"/>
    <w:rsid w:val="003645E7"/>
    <w:rsid w:val="0036467C"/>
    <w:rsid w:val="00364E09"/>
    <w:rsid w:val="00365411"/>
    <w:rsid w:val="0036580A"/>
    <w:rsid w:val="00365F22"/>
    <w:rsid w:val="003666B5"/>
    <w:rsid w:val="00367004"/>
    <w:rsid w:val="003670AD"/>
    <w:rsid w:val="0036724E"/>
    <w:rsid w:val="003674E2"/>
    <w:rsid w:val="0036751C"/>
    <w:rsid w:val="003677E6"/>
    <w:rsid w:val="00367D1E"/>
    <w:rsid w:val="00370245"/>
    <w:rsid w:val="00370674"/>
    <w:rsid w:val="00370A77"/>
    <w:rsid w:val="00370E22"/>
    <w:rsid w:val="00371968"/>
    <w:rsid w:val="003719B0"/>
    <w:rsid w:val="00371F50"/>
    <w:rsid w:val="00371FED"/>
    <w:rsid w:val="00372332"/>
    <w:rsid w:val="003723C8"/>
    <w:rsid w:val="0037285C"/>
    <w:rsid w:val="0037360E"/>
    <w:rsid w:val="00373785"/>
    <w:rsid w:val="003737FA"/>
    <w:rsid w:val="00373EA4"/>
    <w:rsid w:val="003743FB"/>
    <w:rsid w:val="00374D69"/>
    <w:rsid w:val="003754D7"/>
    <w:rsid w:val="00375642"/>
    <w:rsid w:val="00375C06"/>
    <w:rsid w:val="00376431"/>
    <w:rsid w:val="003767E1"/>
    <w:rsid w:val="00376B46"/>
    <w:rsid w:val="00377079"/>
    <w:rsid w:val="00377508"/>
    <w:rsid w:val="0037769E"/>
    <w:rsid w:val="00380249"/>
    <w:rsid w:val="0038065F"/>
    <w:rsid w:val="00380A73"/>
    <w:rsid w:val="00380C4B"/>
    <w:rsid w:val="00380C76"/>
    <w:rsid w:val="00380FB6"/>
    <w:rsid w:val="0038140E"/>
    <w:rsid w:val="003818EE"/>
    <w:rsid w:val="003819C2"/>
    <w:rsid w:val="00381BCA"/>
    <w:rsid w:val="0038217A"/>
    <w:rsid w:val="003829A5"/>
    <w:rsid w:val="00382A43"/>
    <w:rsid w:val="00382C01"/>
    <w:rsid w:val="00382C0B"/>
    <w:rsid w:val="00382F0B"/>
    <w:rsid w:val="00382FB6"/>
    <w:rsid w:val="00383159"/>
    <w:rsid w:val="003839C7"/>
    <w:rsid w:val="00383A1E"/>
    <w:rsid w:val="003842BC"/>
    <w:rsid w:val="00384499"/>
    <w:rsid w:val="00384DE2"/>
    <w:rsid w:val="00384E73"/>
    <w:rsid w:val="00385532"/>
    <w:rsid w:val="00385779"/>
    <w:rsid w:val="00385DB5"/>
    <w:rsid w:val="00385FB2"/>
    <w:rsid w:val="00386959"/>
    <w:rsid w:val="00386B06"/>
    <w:rsid w:val="0038711F"/>
    <w:rsid w:val="003879A2"/>
    <w:rsid w:val="003879FB"/>
    <w:rsid w:val="00387FD4"/>
    <w:rsid w:val="0039023D"/>
    <w:rsid w:val="0039074D"/>
    <w:rsid w:val="00390B69"/>
    <w:rsid w:val="00390E3D"/>
    <w:rsid w:val="0039129E"/>
    <w:rsid w:val="00391753"/>
    <w:rsid w:val="00391CBF"/>
    <w:rsid w:val="00391D0F"/>
    <w:rsid w:val="00391DEC"/>
    <w:rsid w:val="003923C1"/>
    <w:rsid w:val="00392517"/>
    <w:rsid w:val="003925D9"/>
    <w:rsid w:val="00392640"/>
    <w:rsid w:val="0039294D"/>
    <w:rsid w:val="003929C0"/>
    <w:rsid w:val="003929D6"/>
    <w:rsid w:val="00392A10"/>
    <w:rsid w:val="00392DA7"/>
    <w:rsid w:val="00392EE9"/>
    <w:rsid w:val="00392F4F"/>
    <w:rsid w:val="00393257"/>
    <w:rsid w:val="003939BD"/>
    <w:rsid w:val="00393C2F"/>
    <w:rsid w:val="00393E2E"/>
    <w:rsid w:val="003943F0"/>
    <w:rsid w:val="00394400"/>
    <w:rsid w:val="00394687"/>
    <w:rsid w:val="003949BF"/>
    <w:rsid w:val="00394E30"/>
    <w:rsid w:val="0039538B"/>
    <w:rsid w:val="003953D9"/>
    <w:rsid w:val="00395535"/>
    <w:rsid w:val="00395553"/>
    <w:rsid w:val="0039556C"/>
    <w:rsid w:val="0039572F"/>
    <w:rsid w:val="00395B17"/>
    <w:rsid w:val="00395B1A"/>
    <w:rsid w:val="00395C65"/>
    <w:rsid w:val="0039637B"/>
    <w:rsid w:val="00396593"/>
    <w:rsid w:val="00396613"/>
    <w:rsid w:val="0039670D"/>
    <w:rsid w:val="00396745"/>
    <w:rsid w:val="00396934"/>
    <w:rsid w:val="003969E3"/>
    <w:rsid w:val="00397067"/>
    <w:rsid w:val="00397A74"/>
    <w:rsid w:val="003A003E"/>
    <w:rsid w:val="003A0075"/>
    <w:rsid w:val="003A0459"/>
    <w:rsid w:val="003A04E1"/>
    <w:rsid w:val="003A07C3"/>
    <w:rsid w:val="003A0801"/>
    <w:rsid w:val="003A0B5C"/>
    <w:rsid w:val="003A0C01"/>
    <w:rsid w:val="003A0D58"/>
    <w:rsid w:val="003A0F77"/>
    <w:rsid w:val="003A14E1"/>
    <w:rsid w:val="003A2496"/>
    <w:rsid w:val="003A260B"/>
    <w:rsid w:val="003A2C8F"/>
    <w:rsid w:val="003A2DBD"/>
    <w:rsid w:val="003A3306"/>
    <w:rsid w:val="003A389A"/>
    <w:rsid w:val="003A44E4"/>
    <w:rsid w:val="003A4848"/>
    <w:rsid w:val="003A497B"/>
    <w:rsid w:val="003A4A1E"/>
    <w:rsid w:val="003A4BA4"/>
    <w:rsid w:val="003A5088"/>
    <w:rsid w:val="003A518E"/>
    <w:rsid w:val="003A5849"/>
    <w:rsid w:val="003A58BB"/>
    <w:rsid w:val="003A5BCB"/>
    <w:rsid w:val="003A649A"/>
    <w:rsid w:val="003A6857"/>
    <w:rsid w:val="003A696A"/>
    <w:rsid w:val="003A6EE2"/>
    <w:rsid w:val="003A7177"/>
    <w:rsid w:val="003A771E"/>
    <w:rsid w:val="003A79D7"/>
    <w:rsid w:val="003A7CD9"/>
    <w:rsid w:val="003A7CEA"/>
    <w:rsid w:val="003B01F0"/>
    <w:rsid w:val="003B0455"/>
    <w:rsid w:val="003B067F"/>
    <w:rsid w:val="003B0930"/>
    <w:rsid w:val="003B0AC7"/>
    <w:rsid w:val="003B0D4C"/>
    <w:rsid w:val="003B128B"/>
    <w:rsid w:val="003B1296"/>
    <w:rsid w:val="003B12DE"/>
    <w:rsid w:val="003B1590"/>
    <w:rsid w:val="003B1833"/>
    <w:rsid w:val="003B1959"/>
    <w:rsid w:val="003B1BED"/>
    <w:rsid w:val="003B2277"/>
    <w:rsid w:val="003B25B9"/>
    <w:rsid w:val="003B27ED"/>
    <w:rsid w:val="003B2C4B"/>
    <w:rsid w:val="003B2E7F"/>
    <w:rsid w:val="003B2F4C"/>
    <w:rsid w:val="003B30ED"/>
    <w:rsid w:val="003B34D0"/>
    <w:rsid w:val="003B35BF"/>
    <w:rsid w:val="003B3DB0"/>
    <w:rsid w:val="003B3DF7"/>
    <w:rsid w:val="003B4482"/>
    <w:rsid w:val="003B45E3"/>
    <w:rsid w:val="003B4748"/>
    <w:rsid w:val="003B4769"/>
    <w:rsid w:val="003B4813"/>
    <w:rsid w:val="003B49C8"/>
    <w:rsid w:val="003B4D2F"/>
    <w:rsid w:val="003B4E24"/>
    <w:rsid w:val="003B4E45"/>
    <w:rsid w:val="003B4F8D"/>
    <w:rsid w:val="003B5553"/>
    <w:rsid w:val="003B5A7E"/>
    <w:rsid w:val="003B60B5"/>
    <w:rsid w:val="003B61F7"/>
    <w:rsid w:val="003B67DE"/>
    <w:rsid w:val="003B6A36"/>
    <w:rsid w:val="003B708D"/>
    <w:rsid w:val="003B7926"/>
    <w:rsid w:val="003C0081"/>
    <w:rsid w:val="003C06BD"/>
    <w:rsid w:val="003C096F"/>
    <w:rsid w:val="003C0EC2"/>
    <w:rsid w:val="003C15ED"/>
    <w:rsid w:val="003C16FC"/>
    <w:rsid w:val="003C22A9"/>
    <w:rsid w:val="003C2539"/>
    <w:rsid w:val="003C25DE"/>
    <w:rsid w:val="003C25F7"/>
    <w:rsid w:val="003C2903"/>
    <w:rsid w:val="003C2D5D"/>
    <w:rsid w:val="003C31FF"/>
    <w:rsid w:val="003C32D2"/>
    <w:rsid w:val="003C3448"/>
    <w:rsid w:val="003C3EF3"/>
    <w:rsid w:val="003C49F5"/>
    <w:rsid w:val="003C4B42"/>
    <w:rsid w:val="003C5444"/>
    <w:rsid w:val="003C5ACA"/>
    <w:rsid w:val="003C6579"/>
    <w:rsid w:val="003C6607"/>
    <w:rsid w:val="003C6E5E"/>
    <w:rsid w:val="003C7423"/>
    <w:rsid w:val="003C764C"/>
    <w:rsid w:val="003C7C9D"/>
    <w:rsid w:val="003C7DA1"/>
    <w:rsid w:val="003C7F9D"/>
    <w:rsid w:val="003D0205"/>
    <w:rsid w:val="003D08AF"/>
    <w:rsid w:val="003D0D91"/>
    <w:rsid w:val="003D0DC9"/>
    <w:rsid w:val="003D1016"/>
    <w:rsid w:val="003D15ED"/>
    <w:rsid w:val="003D1D20"/>
    <w:rsid w:val="003D2655"/>
    <w:rsid w:val="003D2C43"/>
    <w:rsid w:val="003D3090"/>
    <w:rsid w:val="003D3732"/>
    <w:rsid w:val="003D3AFD"/>
    <w:rsid w:val="003D410A"/>
    <w:rsid w:val="003D49BA"/>
    <w:rsid w:val="003D4EEF"/>
    <w:rsid w:val="003D51EA"/>
    <w:rsid w:val="003D52DF"/>
    <w:rsid w:val="003D53E4"/>
    <w:rsid w:val="003D5AD1"/>
    <w:rsid w:val="003D62B1"/>
    <w:rsid w:val="003D6351"/>
    <w:rsid w:val="003D6543"/>
    <w:rsid w:val="003D6978"/>
    <w:rsid w:val="003D6A2D"/>
    <w:rsid w:val="003D6B23"/>
    <w:rsid w:val="003D6BC2"/>
    <w:rsid w:val="003D6D46"/>
    <w:rsid w:val="003D7066"/>
    <w:rsid w:val="003E005E"/>
    <w:rsid w:val="003E07B9"/>
    <w:rsid w:val="003E0A78"/>
    <w:rsid w:val="003E0CB3"/>
    <w:rsid w:val="003E0F90"/>
    <w:rsid w:val="003E14DC"/>
    <w:rsid w:val="003E1656"/>
    <w:rsid w:val="003E1809"/>
    <w:rsid w:val="003E2635"/>
    <w:rsid w:val="003E2A82"/>
    <w:rsid w:val="003E2CF3"/>
    <w:rsid w:val="003E3740"/>
    <w:rsid w:val="003E3962"/>
    <w:rsid w:val="003E3B97"/>
    <w:rsid w:val="003E3CE2"/>
    <w:rsid w:val="003E44CF"/>
    <w:rsid w:val="003E4A26"/>
    <w:rsid w:val="003E4F10"/>
    <w:rsid w:val="003E50C7"/>
    <w:rsid w:val="003E527F"/>
    <w:rsid w:val="003E5345"/>
    <w:rsid w:val="003E53A0"/>
    <w:rsid w:val="003E5495"/>
    <w:rsid w:val="003E5733"/>
    <w:rsid w:val="003E57A7"/>
    <w:rsid w:val="003E5977"/>
    <w:rsid w:val="003E59D7"/>
    <w:rsid w:val="003E605B"/>
    <w:rsid w:val="003E6466"/>
    <w:rsid w:val="003E6572"/>
    <w:rsid w:val="003E662E"/>
    <w:rsid w:val="003E6895"/>
    <w:rsid w:val="003E6E37"/>
    <w:rsid w:val="003E6F39"/>
    <w:rsid w:val="003E6F40"/>
    <w:rsid w:val="003E70FB"/>
    <w:rsid w:val="003E7596"/>
    <w:rsid w:val="003E7A34"/>
    <w:rsid w:val="003E7CD4"/>
    <w:rsid w:val="003E7E51"/>
    <w:rsid w:val="003F0114"/>
    <w:rsid w:val="003F05CF"/>
    <w:rsid w:val="003F0849"/>
    <w:rsid w:val="003F084E"/>
    <w:rsid w:val="003F1DCB"/>
    <w:rsid w:val="003F1F54"/>
    <w:rsid w:val="003F204A"/>
    <w:rsid w:val="003F217A"/>
    <w:rsid w:val="003F2567"/>
    <w:rsid w:val="003F2ED6"/>
    <w:rsid w:val="003F31E1"/>
    <w:rsid w:val="003F335A"/>
    <w:rsid w:val="003F3487"/>
    <w:rsid w:val="003F3500"/>
    <w:rsid w:val="003F3978"/>
    <w:rsid w:val="003F3C90"/>
    <w:rsid w:val="003F3F4E"/>
    <w:rsid w:val="003F3FE8"/>
    <w:rsid w:val="003F42E5"/>
    <w:rsid w:val="003F4302"/>
    <w:rsid w:val="003F48F1"/>
    <w:rsid w:val="003F49DB"/>
    <w:rsid w:val="003F5180"/>
    <w:rsid w:val="003F5A9E"/>
    <w:rsid w:val="003F5CDE"/>
    <w:rsid w:val="003F5EF0"/>
    <w:rsid w:val="003F6475"/>
    <w:rsid w:val="003F65F4"/>
    <w:rsid w:val="003F66B4"/>
    <w:rsid w:val="003F66CF"/>
    <w:rsid w:val="003F696D"/>
    <w:rsid w:val="003F6B2F"/>
    <w:rsid w:val="003F72CC"/>
    <w:rsid w:val="003F7AA6"/>
    <w:rsid w:val="003F7B06"/>
    <w:rsid w:val="003F7B80"/>
    <w:rsid w:val="004003CE"/>
    <w:rsid w:val="004007B1"/>
    <w:rsid w:val="0040084D"/>
    <w:rsid w:val="00400AA7"/>
    <w:rsid w:val="00400D91"/>
    <w:rsid w:val="00401282"/>
    <w:rsid w:val="00401628"/>
    <w:rsid w:val="00401B7D"/>
    <w:rsid w:val="00401E63"/>
    <w:rsid w:val="0040236C"/>
    <w:rsid w:val="004025CC"/>
    <w:rsid w:val="0040276D"/>
    <w:rsid w:val="00403092"/>
    <w:rsid w:val="0040391A"/>
    <w:rsid w:val="004047FD"/>
    <w:rsid w:val="00404BCC"/>
    <w:rsid w:val="00404DFF"/>
    <w:rsid w:val="00405842"/>
    <w:rsid w:val="00405DBB"/>
    <w:rsid w:val="00406E9E"/>
    <w:rsid w:val="0040747F"/>
    <w:rsid w:val="00407CD1"/>
    <w:rsid w:val="00410195"/>
    <w:rsid w:val="00410388"/>
    <w:rsid w:val="00410A87"/>
    <w:rsid w:val="00410D65"/>
    <w:rsid w:val="00411126"/>
    <w:rsid w:val="0041130A"/>
    <w:rsid w:val="00411AB8"/>
    <w:rsid w:val="00411F57"/>
    <w:rsid w:val="00411FCC"/>
    <w:rsid w:val="0041266E"/>
    <w:rsid w:val="0041285E"/>
    <w:rsid w:val="00412AB1"/>
    <w:rsid w:val="004131AD"/>
    <w:rsid w:val="0041404C"/>
    <w:rsid w:val="004140BC"/>
    <w:rsid w:val="004153CE"/>
    <w:rsid w:val="0041546B"/>
    <w:rsid w:val="0041584E"/>
    <w:rsid w:val="00415B99"/>
    <w:rsid w:val="00415F06"/>
    <w:rsid w:val="00416291"/>
    <w:rsid w:val="004162E7"/>
    <w:rsid w:val="004162EA"/>
    <w:rsid w:val="0041637D"/>
    <w:rsid w:val="00416448"/>
    <w:rsid w:val="004166D9"/>
    <w:rsid w:val="004169ED"/>
    <w:rsid w:val="00416A3E"/>
    <w:rsid w:val="00416B8A"/>
    <w:rsid w:val="00416CDB"/>
    <w:rsid w:val="00417484"/>
    <w:rsid w:val="00417892"/>
    <w:rsid w:val="00417982"/>
    <w:rsid w:val="00417B5C"/>
    <w:rsid w:val="00420011"/>
    <w:rsid w:val="004205AF"/>
    <w:rsid w:val="00420A8A"/>
    <w:rsid w:val="00420AF8"/>
    <w:rsid w:val="0042109F"/>
    <w:rsid w:val="004214E2"/>
    <w:rsid w:val="00421529"/>
    <w:rsid w:val="004215AB"/>
    <w:rsid w:val="00421712"/>
    <w:rsid w:val="00421A9A"/>
    <w:rsid w:val="00421D16"/>
    <w:rsid w:val="00422229"/>
    <w:rsid w:val="00422242"/>
    <w:rsid w:val="0042232C"/>
    <w:rsid w:val="00422EBF"/>
    <w:rsid w:val="004233E3"/>
    <w:rsid w:val="00423564"/>
    <w:rsid w:val="00423832"/>
    <w:rsid w:val="00423872"/>
    <w:rsid w:val="00423CBA"/>
    <w:rsid w:val="00423F1A"/>
    <w:rsid w:val="00423F34"/>
    <w:rsid w:val="004240CC"/>
    <w:rsid w:val="004241E8"/>
    <w:rsid w:val="0042442D"/>
    <w:rsid w:val="004244E1"/>
    <w:rsid w:val="0042475B"/>
    <w:rsid w:val="00425BB8"/>
    <w:rsid w:val="00425D90"/>
    <w:rsid w:val="00426116"/>
    <w:rsid w:val="00426134"/>
    <w:rsid w:val="004261B0"/>
    <w:rsid w:val="00427504"/>
    <w:rsid w:val="004275C7"/>
    <w:rsid w:val="004276F5"/>
    <w:rsid w:val="00427A27"/>
    <w:rsid w:val="00427CA4"/>
    <w:rsid w:val="00430430"/>
    <w:rsid w:val="00430827"/>
    <w:rsid w:val="00430F57"/>
    <w:rsid w:val="004310AF"/>
    <w:rsid w:val="004313AE"/>
    <w:rsid w:val="0043160E"/>
    <w:rsid w:val="00431B75"/>
    <w:rsid w:val="00431F54"/>
    <w:rsid w:val="00432138"/>
    <w:rsid w:val="00432211"/>
    <w:rsid w:val="004325A6"/>
    <w:rsid w:val="004325D6"/>
    <w:rsid w:val="0043265F"/>
    <w:rsid w:val="00432AC8"/>
    <w:rsid w:val="00432E4D"/>
    <w:rsid w:val="00433146"/>
    <w:rsid w:val="0043367D"/>
    <w:rsid w:val="00434198"/>
    <w:rsid w:val="00434645"/>
    <w:rsid w:val="0043464A"/>
    <w:rsid w:val="004347E8"/>
    <w:rsid w:val="00434822"/>
    <w:rsid w:val="00434907"/>
    <w:rsid w:val="00435576"/>
    <w:rsid w:val="004356C0"/>
    <w:rsid w:val="004357B5"/>
    <w:rsid w:val="0043666E"/>
    <w:rsid w:val="00437DE1"/>
    <w:rsid w:val="00437F62"/>
    <w:rsid w:val="00440892"/>
    <w:rsid w:val="00440D34"/>
    <w:rsid w:val="0044132A"/>
    <w:rsid w:val="004413CF"/>
    <w:rsid w:val="004419A8"/>
    <w:rsid w:val="00441DB5"/>
    <w:rsid w:val="0044289B"/>
    <w:rsid w:val="004430C1"/>
    <w:rsid w:val="00443292"/>
    <w:rsid w:val="004438DF"/>
    <w:rsid w:val="00443EE9"/>
    <w:rsid w:val="004440E8"/>
    <w:rsid w:val="00444144"/>
    <w:rsid w:val="0044437C"/>
    <w:rsid w:val="00444578"/>
    <w:rsid w:val="00444A2C"/>
    <w:rsid w:val="0044568B"/>
    <w:rsid w:val="00447045"/>
    <w:rsid w:val="0044713D"/>
    <w:rsid w:val="0044729B"/>
    <w:rsid w:val="00447458"/>
    <w:rsid w:val="00447A03"/>
    <w:rsid w:val="00447B92"/>
    <w:rsid w:val="004502DC"/>
    <w:rsid w:val="00450531"/>
    <w:rsid w:val="0045055B"/>
    <w:rsid w:val="00450760"/>
    <w:rsid w:val="004508BD"/>
    <w:rsid w:val="00450B27"/>
    <w:rsid w:val="00450B4B"/>
    <w:rsid w:val="0045165D"/>
    <w:rsid w:val="00451CE3"/>
    <w:rsid w:val="004520F2"/>
    <w:rsid w:val="00452139"/>
    <w:rsid w:val="0045231E"/>
    <w:rsid w:val="00452AF3"/>
    <w:rsid w:val="00452E1F"/>
    <w:rsid w:val="0045355E"/>
    <w:rsid w:val="004545B4"/>
    <w:rsid w:val="00454685"/>
    <w:rsid w:val="00454853"/>
    <w:rsid w:val="00454A3F"/>
    <w:rsid w:val="00454F3B"/>
    <w:rsid w:val="00455101"/>
    <w:rsid w:val="0045542E"/>
    <w:rsid w:val="00455865"/>
    <w:rsid w:val="004558C0"/>
    <w:rsid w:val="00455AD7"/>
    <w:rsid w:val="0045657D"/>
    <w:rsid w:val="0045682D"/>
    <w:rsid w:val="00456AAB"/>
    <w:rsid w:val="00456F79"/>
    <w:rsid w:val="00457027"/>
    <w:rsid w:val="0045774A"/>
    <w:rsid w:val="004577D4"/>
    <w:rsid w:val="0045790E"/>
    <w:rsid w:val="00457B78"/>
    <w:rsid w:val="00457CC0"/>
    <w:rsid w:val="00457F59"/>
    <w:rsid w:val="00460303"/>
    <w:rsid w:val="004604B9"/>
    <w:rsid w:val="004605D1"/>
    <w:rsid w:val="004609C2"/>
    <w:rsid w:val="004609E2"/>
    <w:rsid w:val="00460D4C"/>
    <w:rsid w:val="00460FC8"/>
    <w:rsid w:val="004611C7"/>
    <w:rsid w:val="00461390"/>
    <w:rsid w:val="004616D9"/>
    <w:rsid w:val="00461900"/>
    <w:rsid w:val="004619B0"/>
    <w:rsid w:val="00461E16"/>
    <w:rsid w:val="00461F88"/>
    <w:rsid w:val="004620A7"/>
    <w:rsid w:val="00462551"/>
    <w:rsid w:val="004626C7"/>
    <w:rsid w:val="00462802"/>
    <w:rsid w:val="00462B1A"/>
    <w:rsid w:val="00462B6C"/>
    <w:rsid w:val="00462C0D"/>
    <w:rsid w:val="00463318"/>
    <w:rsid w:val="004634B0"/>
    <w:rsid w:val="00463B8C"/>
    <w:rsid w:val="00463FC3"/>
    <w:rsid w:val="004642BA"/>
    <w:rsid w:val="004642C9"/>
    <w:rsid w:val="00464919"/>
    <w:rsid w:val="00464A3F"/>
    <w:rsid w:val="00464CC4"/>
    <w:rsid w:val="004650BC"/>
    <w:rsid w:val="004654B3"/>
    <w:rsid w:val="004658BF"/>
    <w:rsid w:val="00465C55"/>
    <w:rsid w:val="00465CAC"/>
    <w:rsid w:val="004662B6"/>
    <w:rsid w:val="00466672"/>
    <w:rsid w:val="00466DF0"/>
    <w:rsid w:val="00466E09"/>
    <w:rsid w:val="004670AE"/>
    <w:rsid w:val="00467BC9"/>
    <w:rsid w:val="00467C79"/>
    <w:rsid w:val="00467CBE"/>
    <w:rsid w:val="00470128"/>
    <w:rsid w:val="00470364"/>
    <w:rsid w:val="00470D37"/>
    <w:rsid w:val="00471079"/>
    <w:rsid w:val="004711C0"/>
    <w:rsid w:val="00471211"/>
    <w:rsid w:val="004712DF"/>
    <w:rsid w:val="004713F8"/>
    <w:rsid w:val="0047160B"/>
    <w:rsid w:val="00471B83"/>
    <w:rsid w:val="00471C54"/>
    <w:rsid w:val="00471D68"/>
    <w:rsid w:val="004725C1"/>
    <w:rsid w:val="00472828"/>
    <w:rsid w:val="0047283E"/>
    <w:rsid w:val="0047320D"/>
    <w:rsid w:val="0047339D"/>
    <w:rsid w:val="00473832"/>
    <w:rsid w:val="00473EEF"/>
    <w:rsid w:val="00473F3D"/>
    <w:rsid w:val="004740E3"/>
    <w:rsid w:val="004744AE"/>
    <w:rsid w:val="0047499C"/>
    <w:rsid w:val="00475106"/>
    <w:rsid w:val="00475510"/>
    <w:rsid w:val="0047566D"/>
    <w:rsid w:val="00475681"/>
    <w:rsid w:val="004758CF"/>
    <w:rsid w:val="00475AE8"/>
    <w:rsid w:val="00475D48"/>
    <w:rsid w:val="00475DA4"/>
    <w:rsid w:val="004766C3"/>
    <w:rsid w:val="00476911"/>
    <w:rsid w:val="00476B8F"/>
    <w:rsid w:val="00476D4B"/>
    <w:rsid w:val="00476D75"/>
    <w:rsid w:val="00476FD0"/>
    <w:rsid w:val="00477474"/>
    <w:rsid w:val="004776F5"/>
    <w:rsid w:val="004778D1"/>
    <w:rsid w:val="00477ED3"/>
    <w:rsid w:val="00477F81"/>
    <w:rsid w:val="0048020E"/>
    <w:rsid w:val="00480330"/>
    <w:rsid w:val="00480C3B"/>
    <w:rsid w:val="00480FB6"/>
    <w:rsid w:val="004810D9"/>
    <w:rsid w:val="0048144B"/>
    <w:rsid w:val="0048180B"/>
    <w:rsid w:val="00481975"/>
    <w:rsid w:val="00481D7F"/>
    <w:rsid w:val="00482077"/>
    <w:rsid w:val="004824A8"/>
    <w:rsid w:val="0048264B"/>
    <w:rsid w:val="00482BBD"/>
    <w:rsid w:val="00482F9E"/>
    <w:rsid w:val="00482FCD"/>
    <w:rsid w:val="00483058"/>
    <w:rsid w:val="0048350A"/>
    <w:rsid w:val="00483B1E"/>
    <w:rsid w:val="00483B2D"/>
    <w:rsid w:val="00483BAC"/>
    <w:rsid w:val="0048415A"/>
    <w:rsid w:val="004845B1"/>
    <w:rsid w:val="00484634"/>
    <w:rsid w:val="004848B1"/>
    <w:rsid w:val="00484980"/>
    <w:rsid w:val="00484E08"/>
    <w:rsid w:val="004852BC"/>
    <w:rsid w:val="00485628"/>
    <w:rsid w:val="00485AC0"/>
    <w:rsid w:val="00485E2E"/>
    <w:rsid w:val="004861AC"/>
    <w:rsid w:val="00486438"/>
    <w:rsid w:val="004866FE"/>
    <w:rsid w:val="004869CE"/>
    <w:rsid w:val="00487081"/>
    <w:rsid w:val="004870BF"/>
    <w:rsid w:val="004871E1"/>
    <w:rsid w:val="00487695"/>
    <w:rsid w:val="004876EF"/>
    <w:rsid w:val="0048785C"/>
    <w:rsid w:val="00487B72"/>
    <w:rsid w:val="00490465"/>
    <w:rsid w:val="004909F7"/>
    <w:rsid w:val="00490F46"/>
    <w:rsid w:val="00491805"/>
    <w:rsid w:val="0049193C"/>
    <w:rsid w:val="00491A3A"/>
    <w:rsid w:val="00491E11"/>
    <w:rsid w:val="004925BA"/>
    <w:rsid w:val="00492863"/>
    <w:rsid w:val="004928C5"/>
    <w:rsid w:val="004929FA"/>
    <w:rsid w:val="00492A42"/>
    <w:rsid w:val="00492ADE"/>
    <w:rsid w:val="00492BF5"/>
    <w:rsid w:val="004933E6"/>
    <w:rsid w:val="00493557"/>
    <w:rsid w:val="00493838"/>
    <w:rsid w:val="00493B8D"/>
    <w:rsid w:val="0049420A"/>
    <w:rsid w:val="0049495B"/>
    <w:rsid w:val="00494F92"/>
    <w:rsid w:val="00495725"/>
    <w:rsid w:val="0049585B"/>
    <w:rsid w:val="004959CE"/>
    <w:rsid w:val="00495E4D"/>
    <w:rsid w:val="0049634D"/>
    <w:rsid w:val="004965B1"/>
    <w:rsid w:val="004968DB"/>
    <w:rsid w:val="00497129"/>
    <w:rsid w:val="0049718F"/>
    <w:rsid w:val="00497648"/>
    <w:rsid w:val="00497990"/>
    <w:rsid w:val="004A01B6"/>
    <w:rsid w:val="004A098B"/>
    <w:rsid w:val="004A09CD"/>
    <w:rsid w:val="004A0AAC"/>
    <w:rsid w:val="004A0D32"/>
    <w:rsid w:val="004A0FE5"/>
    <w:rsid w:val="004A1110"/>
    <w:rsid w:val="004A1157"/>
    <w:rsid w:val="004A1A75"/>
    <w:rsid w:val="004A1A79"/>
    <w:rsid w:val="004A1E6D"/>
    <w:rsid w:val="004A2124"/>
    <w:rsid w:val="004A219E"/>
    <w:rsid w:val="004A227E"/>
    <w:rsid w:val="004A2A64"/>
    <w:rsid w:val="004A3657"/>
    <w:rsid w:val="004A4238"/>
    <w:rsid w:val="004A442B"/>
    <w:rsid w:val="004A4868"/>
    <w:rsid w:val="004A4B66"/>
    <w:rsid w:val="004A4F2C"/>
    <w:rsid w:val="004A4FEB"/>
    <w:rsid w:val="004A5382"/>
    <w:rsid w:val="004A548A"/>
    <w:rsid w:val="004A5FED"/>
    <w:rsid w:val="004A6055"/>
    <w:rsid w:val="004A6155"/>
    <w:rsid w:val="004A6164"/>
    <w:rsid w:val="004A67A9"/>
    <w:rsid w:val="004A692C"/>
    <w:rsid w:val="004A6CCA"/>
    <w:rsid w:val="004A6DC4"/>
    <w:rsid w:val="004A7215"/>
    <w:rsid w:val="004B0094"/>
    <w:rsid w:val="004B034E"/>
    <w:rsid w:val="004B1015"/>
    <w:rsid w:val="004B11A9"/>
    <w:rsid w:val="004B1221"/>
    <w:rsid w:val="004B1237"/>
    <w:rsid w:val="004B17E7"/>
    <w:rsid w:val="004B18FB"/>
    <w:rsid w:val="004B225A"/>
    <w:rsid w:val="004B23AE"/>
    <w:rsid w:val="004B25D0"/>
    <w:rsid w:val="004B2C80"/>
    <w:rsid w:val="004B2CEC"/>
    <w:rsid w:val="004B33C0"/>
    <w:rsid w:val="004B3662"/>
    <w:rsid w:val="004B3A46"/>
    <w:rsid w:val="004B3B69"/>
    <w:rsid w:val="004B3B79"/>
    <w:rsid w:val="004B3E41"/>
    <w:rsid w:val="004B3F5F"/>
    <w:rsid w:val="004B4479"/>
    <w:rsid w:val="004B45DB"/>
    <w:rsid w:val="004B488F"/>
    <w:rsid w:val="004B4F15"/>
    <w:rsid w:val="004B4F6F"/>
    <w:rsid w:val="004B5356"/>
    <w:rsid w:val="004B5E26"/>
    <w:rsid w:val="004B6109"/>
    <w:rsid w:val="004B663A"/>
    <w:rsid w:val="004B68CD"/>
    <w:rsid w:val="004B6B4A"/>
    <w:rsid w:val="004B6B64"/>
    <w:rsid w:val="004B6BB0"/>
    <w:rsid w:val="004B6E57"/>
    <w:rsid w:val="004B70A2"/>
    <w:rsid w:val="004B71CC"/>
    <w:rsid w:val="004B7D85"/>
    <w:rsid w:val="004C034F"/>
    <w:rsid w:val="004C0F44"/>
    <w:rsid w:val="004C172E"/>
    <w:rsid w:val="004C1908"/>
    <w:rsid w:val="004C1C86"/>
    <w:rsid w:val="004C22BF"/>
    <w:rsid w:val="004C24E6"/>
    <w:rsid w:val="004C26D8"/>
    <w:rsid w:val="004C29A4"/>
    <w:rsid w:val="004C2C1A"/>
    <w:rsid w:val="004C2C9F"/>
    <w:rsid w:val="004C2CE3"/>
    <w:rsid w:val="004C34C1"/>
    <w:rsid w:val="004C3B89"/>
    <w:rsid w:val="004C3C23"/>
    <w:rsid w:val="004C4928"/>
    <w:rsid w:val="004C4CFB"/>
    <w:rsid w:val="004C54A8"/>
    <w:rsid w:val="004C564F"/>
    <w:rsid w:val="004C57AE"/>
    <w:rsid w:val="004C58DD"/>
    <w:rsid w:val="004C59B0"/>
    <w:rsid w:val="004C5E2C"/>
    <w:rsid w:val="004C630B"/>
    <w:rsid w:val="004C6B3D"/>
    <w:rsid w:val="004C6EF8"/>
    <w:rsid w:val="004C6FD5"/>
    <w:rsid w:val="004C7075"/>
    <w:rsid w:val="004C74D6"/>
    <w:rsid w:val="004C7E2B"/>
    <w:rsid w:val="004D0047"/>
    <w:rsid w:val="004D049A"/>
    <w:rsid w:val="004D061E"/>
    <w:rsid w:val="004D0750"/>
    <w:rsid w:val="004D0ED3"/>
    <w:rsid w:val="004D0FC4"/>
    <w:rsid w:val="004D15E1"/>
    <w:rsid w:val="004D19B7"/>
    <w:rsid w:val="004D19FC"/>
    <w:rsid w:val="004D1A03"/>
    <w:rsid w:val="004D1CF5"/>
    <w:rsid w:val="004D1F14"/>
    <w:rsid w:val="004D2018"/>
    <w:rsid w:val="004D2AD0"/>
    <w:rsid w:val="004D2ECE"/>
    <w:rsid w:val="004D349F"/>
    <w:rsid w:val="004D380E"/>
    <w:rsid w:val="004D3EBF"/>
    <w:rsid w:val="004D41BE"/>
    <w:rsid w:val="004D424B"/>
    <w:rsid w:val="004D43E0"/>
    <w:rsid w:val="004D449D"/>
    <w:rsid w:val="004D4907"/>
    <w:rsid w:val="004D4BF6"/>
    <w:rsid w:val="004D4C69"/>
    <w:rsid w:val="004D4E31"/>
    <w:rsid w:val="004D5110"/>
    <w:rsid w:val="004D562D"/>
    <w:rsid w:val="004D57AF"/>
    <w:rsid w:val="004D691F"/>
    <w:rsid w:val="004D69D3"/>
    <w:rsid w:val="004D6D69"/>
    <w:rsid w:val="004D6E37"/>
    <w:rsid w:val="004D773C"/>
    <w:rsid w:val="004D77CD"/>
    <w:rsid w:val="004D7BA4"/>
    <w:rsid w:val="004E06C8"/>
    <w:rsid w:val="004E0B0C"/>
    <w:rsid w:val="004E0C20"/>
    <w:rsid w:val="004E0E43"/>
    <w:rsid w:val="004E0E4C"/>
    <w:rsid w:val="004E19EB"/>
    <w:rsid w:val="004E1ACF"/>
    <w:rsid w:val="004E1E70"/>
    <w:rsid w:val="004E1E92"/>
    <w:rsid w:val="004E2068"/>
    <w:rsid w:val="004E2E08"/>
    <w:rsid w:val="004E30EE"/>
    <w:rsid w:val="004E3B8E"/>
    <w:rsid w:val="004E3D40"/>
    <w:rsid w:val="004E44EF"/>
    <w:rsid w:val="004E497F"/>
    <w:rsid w:val="004E4A7C"/>
    <w:rsid w:val="004E4BED"/>
    <w:rsid w:val="004E4C19"/>
    <w:rsid w:val="004E5097"/>
    <w:rsid w:val="004E50F2"/>
    <w:rsid w:val="004E51DA"/>
    <w:rsid w:val="004E54AB"/>
    <w:rsid w:val="004E59C7"/>
    <w:rsid w:val="004E5C8E"/>
    <w:rsid w:val="004E5CA8"/>
    <w:rsid w:val="004E6000"/>
    <w:rsid w:val="004E601E"/>
    <w:rsid w:val="004E657E"/>
    <w:rsid w:val="004E669E"/>
    <w:rsid w:val="004E6709"/>
    <w:rsid w:val="004E6862"/>
    <w:rsid w:val="004E6A98"/>
    <w:rsid w:val="004E6CB7"/>
    <w:rsid w:val="004E734F"/>
    <w:rsid w:val="004E7403"/>
    <w:rsid w:val="004E744B"/>
    <w:rsid w:val="004E7501"/>
    <w:rsid w:val="004E7628"/>
    <w:rsid w:val="004E7B57"/>
    <w:rsid w:val="004F01E4"/>
    <w:rsid w:val="004F0692"/>
    <w:rsid w:val="004F06B6"/>
    <w:rsid w:val="004F06C8"/>
    <w:rsid w:val="004F0925"/>
    <w:rsid w:val="004F0A62"/>
    <w:rsid w:val="004F1396"/>
    <w:rsid w:val="004F17B7"/>
    <w:rsid w:val="004F17C2"/>
    <w:rsid w:val="004F18D7"/>
    <w:rsid w:val="004F2133"/>
    <w:rsid w:val="004F2788"/>
    <w:rsid w:val="004F3BCB"/>
    <w:rsid w:val="004F3FE4"/>
    <w:rsid w:val="004F4072"/>
    <w:rsid w:val="004F412D"/>
    <w:rsid w:val="004F42DD"/>
    <w:rsid w:val="004F445A"/>
    <w:rsid w:val="004F471F"/>
    <w:rsid w:val="004F4D40"/>
    <w:rsid w:val="004F53EA"/>
    <w:rsid w:val="004F56AE"/>
    <w:rsid w:val="004F5C89"/>
    <w:rsid w:val="004F5EB6"/>
    <w:rsid w:val="004F615D"/>
    <w:rsid w:val="004F615E"/>
    <w:rsid w:val="004F6709"/>
    <w:rsid w:val="004F70D7"/>
    <w:rsid w:val="004F7183"/>
    <w:rsid w:val="004F725D"/>
    <w:rsid w:val="004F7473"/>
    <w:rsid w:val="004F7528"/>
    <w:rsid w:val="004F7821"/>
    <w:rsid w:val="004F7F40"/>
    <w:rsid w:val="005000F8"/>
    <w:rsid w:val="00500127"/>
    <w:rsid w:val="005003AF"/>
    <w:rsid w:val="005005E8"/>
    <w:rsid w:val="0050079E"/>
    <w:rsid w:val="005007AB"/>
    <w:rsid w:val="00500849"/>
    <w:rsid w:val="00500CDA"/>
    <w:rsid w:val="005010DF"/>
    <w:rsid w:val="00501274"/>
    <w:rsid w:val="00501428"/>
    <w:rsid w:val="00501AC0"/>
    <w:rsid w:val="00501F0B"/>
    <w:rsid w:val="00501F66"/>
    <w:rsid w:val="00502053"/>
    <w:rsid w:val="00502073"/>
    <w:rsid w:val="00502318"/>
    <w:rsid w:val="0050234E"/>
    <w:rsid w:val="005023B5"/>
    <w:rsid w:val="005024CB"/>
    <w:rsid w:val="005025F4"/>
    <w:rsid w:val="005027D4"/>
    <w:rsid w:val="00502944"/>
    <w:rsid w:val="00502D49"/>
    <w:rsid w:val="0050308C"/>
    <w:rsid w:val="0050346F"/>
    <w:rsid w:val="005052B4"/>
    <w:rsid w:val="00505B70"/>
    <w:rsid w:val="00505E2B"/>
    <w:rsid w:val="00505EA9"/>
    <w:rsid w:val="00506168"/>
    <w:rsid w:val="00506918"/>
    <w:rsid w:val="00506B3F"/>
    <w:rsid w:val="00506CEA"/>
    <w:rsid w:val="005100E0"/>
    <w:rsid w:val="005100FB"/>
    <w:rsid w:val="00510868"/>
    <w:rsid w:val="00510CC6"/>
    <w:rsid w:val="0051115E"/>
    <w:rsid w:val="005117B9"/>
    <w:rsid w:val="00511EC4"/>
    <w:rsid w:val="00512239"/>
    <w:rsid w:val="0051264D"/>
    <w:rsid w:val="00512B3E"/>
    <w:rsid w:val="00512B62"/>
    <w:rsid w:val="00512DEA"/>
    <w:rsid w:val="00512E75"/>
    <w:rsid w:val="0051330F"/>
    <w:rsid w:val="0051338F"/>
    <w:rsid w:val="00513413"/>
    <w:rsid w:val="005138EB"/>
    <w:rsid w:val="00513D63"/>
    <w:rsid w:val="00514253"/>
    <w:rsid w:val="00514358"/>
    <w:rsid w:val="0051477E"/>
    <w:rsid w:val="0051520B"/>
    <w:rsid w:val="00515262"/>
    <w:rsid w:val="00515349"/>
    <w:rsid w:val="0051599F"/>
    <w:rsid w:val="00515CF9"/>
    <w:rsid w:val="00515D6A"/>
    <w:rsid w:val="005166DD"/>
    <w:rsid w:val="005169EC"/>
    <w:rsid w:val="00516D55"/>
    <w:rsid w:val="0051766A"/>
    <w:rsid w:val="005177A8"/>
    <w:rsid w:val="0051783F"/>
    <w:rsid w:val="00517887"/>
    <w:rsid w:val="0051793E"/>
    <w:rsid w:val="00517B45"/>
    <w:rsid w:val="005201CD"/>
    <w:rsid w:val="005202DC"/>
    <w:rsid w:val="005208D3"/>
    <w:rsid w:val="00520CD8"/>
    <w:rsid w:val="005210C2"/>
    <w:rsid w:val="005211FC"/>
    <w:rsid w:val="005217B1"/>
    <w:rsid w:val="00521ED7"/>
    <w:rsid w:val="00521F86"/>
    <w:rsid w:val="0052258E"/>
    <w:rsid w:val="005225C9"/>
    <w:rsid w:val="00522E39"/>
    <w:rsid w:val="00522E7E"/>
    <w:rsid w:val="0052320B"/>
    <w:rsid w:val="005232BF"/>
    <w:rsid w:val="00523301"/>
    <w:rsid w:val="00523A44"/>
    <w:rsid w:val="00523C3C"/>
    <w:rsid w:val="00523E30"/>
    <w:rsid w:val="005245D0"/>
    <w:rsid w:val="00524964"/>
    <w:rsid w:val="00524B22"/>
    <w:rsid w:val="00524BBF"/>
    <w:rsid w:val="00524C3A"/>
    <w:rsid w:val="00524CF6"/>
    <w:rsid w:val="00524E20"/>
    <w:rsid w:val="00524F48"/>
    <w:rsid w:val="0052521F"/>
    <w:rsid w:val="005255DA"/>
    <w:rsid w:val="00525741"/>
    <w:rsid w:val="0052584C"/>
    <w:rsid w:val="00525C8D"/>
    <w:rsid w:val="00525EA0"/>
    <w:rsid w:val="00525F1C"/>
    <w:rsid w:val="00525F44"/>
    <w:rsid w:val="00526154"/>
    <w:rsid w:val="0052690A"/>
    <w:rsid w:val="00526C77"/>
    <w:rsid w:val="00527068"/>
    <w:rsid w:val="00527397"/>
    <w:rsid w:val="005277AD"/>
    <w:rsid w:val="00530175"/>
    <w:rsid w:val="00530344"/>
    <w:rsid w:val="005304E7"/>
    <w:rsid w:val="00530A28"/>
    <w:rsid w:val="00530F74"/>
    <w:rsid w:val="00531098"/>
    <w:rsid w:val="00531118"/>
    <w:rsid w:val="0053115B"/>
    <w:rsid w:val="005313F8"/>
    <w:rsid w:val="005315EA"/>
    <w:rsid w:val="005316B0"/>
    <w:rsid w:val="005318FA"/>
    <w:rsid w:val="005319BB"/>
    <w:rsid w:val="00531EA6"/>
    <w:rsid w:val="0053246F"/>
    <w:rsid w:val="00532AD2"/>
    <w:rsid w:val="00532B7E"/>
    <w:rsid w:val="00532BCE"/>
    <w:rsid w:val="00532C5B"/>
    <w:rsid w:val="00532E17"/>
    <w:rsid w:val="00533544"/>
    <w:rsid w:val="00533780"/>
    <w:rsid w:val="005339F6"/>
    <w:rsid w:val="00534590"/>
    <w:rsid w:val="00534A62"/>
    <w:rsid w:val="00534AC6"/>
    <w:rsid w:val="005352AF"/>
    <w:rsid w:val="005353CB"/>
    <w:rsid w:val="005358BD"/>
    <w:rsid w:val="00535FA0"/>
    <w:rsid w:val="005360D8"/>
    <w:rsid w:val="00536407"/>
    <w:rsid w:val="005368F2"/>
    <w:rsid w:val="00536BCF"/>
    <w:rsid w:val="00536D5A"/>
    <w:rsid w:val="00536E71"/>
    <w:rsid w:val="00536FE2"/>
    <w:rsid w:val="005372BE"/>
    <w:rsid w:val="0053771D"/>
    <w:rsid w:val="00537AD1"/>
    <w:rsid w:val="0054013E"/>
    <w:rsid w:val="0054020A"/>
    <w:rsid w:val="005408A2"/>
    <w:rsid w:val="00540F1A"/>
    <w:rsid w:val="00541526"/>
    <w:rsid w:val="005415D5"/>
    <w:rsid w:val="00541722"/>
    <w:rsid w:val="005418DE"/>
    <w:rsid w:val="005422E4"/>
    <w:rsid w:val="0054270A"/>
    <w:rsid w:val="0054285B"/>
    <w:rsid w:val="00542B41"/>
    <w:rsid w:val="00542F23"/>
    <w:rsid w:val="005435DB"/>
    <w:rsid w:val="00543D6C"/>
    <w:rsid w:val="00544CC8"/>
    <w:rsid w:val="0054556C"/>
    <w:rsid w:val="00545768"/>
    <w:rsid w:val="00545AA2"/>
    <w:rsid w:val="0054601C"/>
    <w:rsid w:val="00546499"/>
    <w:rsid w:val="00546681"/>
    <w:rsid w:val="0054702A"/>
    <w:rsid w:val="00551182"/>
    <w:rsid w:val="005511BE"/>
    <w:rsid w:val="005512E7"/>
    <w:rsid w:val="00551739"/>
    <w:rsid w:val="00551C05"/>
    <w:rsid w:val="00551FF8"/>
    <w:rsid w:val="00552165"/>
    <w:rsid w:val="0055231C"/>
    <w:rsid w:val="00552D0B"/>
    <w:rsid w:val="005533A0"/>
    <w:rsid w:val="005537F0"/>
    <w:rsid w:val="00554634"/>
    <w:rsid w:val="00554CA0"/>
    <w:rsid w:val="00554F22"/>
    <w:rsid w:val="00554FED"/>
    <w:rsid w:val="00555B39"/>
    <w:rsid w:val="00555F06"/>
    <w:rsid w:val="00556D3C"/>
    <w:rsid w:val="00556D93"/>
    <w:rsid w:val="00556E15"/>
    <w:rsid w:val="005573C4"/>
    <w:rsid w:val="00557708"/>
    <w:rsid w:val="00557ABE"/>
    <w:rsid w:val="00557BA3"/>
    <w:rsid w:val="00557DCD"/>
    <w:rsid w:val="005604B9"/>
    <w:rsid w:val="005607CF"/>
    <w:rsid w:val="00560E6F"/>
    <w:rsid w:val="005615B9"/>
    <w:rsid w:val="0056185E"/>
    <w:rsid w:val="00561A93"/>
    <w:rsid w:val="0056243A"/>
    <w:rsid w:val="0056276E"/>
    <w:rsid w:val="0056353F"/>
    <w:rsid w:val="00563C2F"/>
    <w:rsid w:val="00563D5C"/>
    <w:rsid w:val="00563D8D"/>
    <w:rsid w:val="005643DB"/>
    <w:rsid w:val="00564D8C"/>
    <w:rsid w:val="00565016"/>
    <w:rsid w:val="005652D8"/>
    <w:rsid w:val="005657A8"/>
    <w:rsid w:val="00565A8E"/>
    <w:rsid w:val="00565E78"/>
    <w:rsid w:val="00566BA4"/>
    <w:rsid w:val="00566BF7"/>
    <w:rsid w:val="00566C7D"/>
    <w:rsid w:val="005676B6"/>
    <w:rsid w:val="00567BB2"/>
    <w:rsid w:val="00567F08"/>
    <w:rsid w:val="00567FDB"/>
    <w:rsid w:val="0057011B"/>
    <w:rsid w:val="00570285"/>
    <w:rsid w:val="00570303"/>
    <w:rsid w:val="00570A08"/>
    <w:rsid w:val="00570C49"/>
    <w:rsid w:val="00570C5C"/>
    <w:rsid w:val="0057111E"/>
    <w:rsid w:val="00571E92"/>
    <w:rsid w:val="00571F9C"/>
    <w:rsid w:val="005721B2"/>
    <w:rsid w:val="0057261A"/>
    <w:rsid w:val="0057285A"/>
    <w:rsid w:val="00572B9B"/>
    <w:rsid w:val="00572F2E"/>
    <w:rsid w:val="0057315E"/>
    <w:rsid w:val="0057324E"/>
    <w:rsid w:val="00574614"/>
    <w:rsid w:val="005749F9"/>
    <w:rsid w:val="00574B9A"/>
    <w:rsid w:val="00574C7A"/>
    <w:rsid w:val="00574E23"/>
    <w:rsid w:val="00575908"/>
    <w:rsid w:val="00575B05"/>
    <w:rsid w:val="00575CA2"/>
    <w:rsid w:val="00575F10"/>
    <w:rsid w:val="00576014"/>
    <w:rsid w:val="0057617F"/>
    <w:rsid w:val="0057660B"/>
    <w:rsid w:val="00576710"/>
    <w:rsid w:val="0057672A"/>
    <w:rsid w:val="00576B94"/>
    <w:rsid w:val="00576E43"/>
    <w:rsid w:val="00576F14"/>
    <w:rsid w:val="00576FDD"/>
    <w:rsid w:val="005774ED"/>
    <w:rsid w:val="00577501"/>
    <w:rsid w:val="005775AB"/>
    <w:rsid w:val="00577641"/>
    <w:rsid w:val="005779EA"/>
    <w:rsid w:val="00577ADD"/>
    <w:rsid w:val="005804A4"/>
    <w:rsid w:val="00580782"/>
    <w:rsid w:val="00580E85"/>
    <w:rsid w:val="00580F88"/>
    <w:rsid w:val="00581598"/>
    <w:rsid w:val="00581A5F"/>
    <w:rsid w:val="00581BFB"/>
    <w:rsid w:val="00581DFC"/>
    <w:rsid w:val="0058217D"/>
    <w:rsid w:val="00582341"/>
    <w:rsid w:val="005823CB"/>
    <w:rsid w:val="005825F4"/>
    <w:rsid w:val="00583648"/>
    <w:rsid w:val="00584249"/>
    <w:rsid w:val="005842E2"/>
    <w:rsid w:val="0058478C"/>
    <w:rsid w:val="00584CC9"/>
    <w:rsid w:val="00584E0E"/>
    <w:rsid w:val="00584E3C"/>
    <w:rsid w:val="00585AC7"/>
    <w:rsid w:val="00585BB9"/>
    <w:rsid w:val="005868E9"/>
    <w:rsid w:val="00586907"/>
    <w:rsid w:val="005870CF"/>
    <w:rsid w:val="00587214"/>
    <w:rsid w:val="00587783"/>
    <w:rsid w:val="00587D87"/>
    <w:rsid w:val="00587DBC"/>
    <w:rsid w:val="00590023"/>
    <w:rsid w:val="0059018F"/>
    <w:rsid w:val="0059020F"/>
    <w:rsid w:val="00590489"/>
    <w:rsid w:val="0059099E"/>
    <w:rsid w:val="00590CFC"/>
    <w:rsid w:val="00591058"/>
    <w:rsid w:val="00591088"/>
    <w:rsid w:val="00591536"/>
    <w:rsid w:val="0059162E"/>
    <w:rsid w:val="00592762"/>
    <w:rsid w:val="00592C80"/>
    <w:rsid w:val="00592E8B"/>
    <w:rsid w:val="00593266"/>
    <w:rsid w:val="00593AEE"/>
    <w:rsid w:val="00593C8E"/>
    <w:rsid w:val="005940BE"/>
    <w:rsid w:val="0059415D"/>
    <w:rsid w:val="00594443"/>
    <w:rsid w:val="00594E69"/>
    <w:rsid w:val="00594F5C"/>
    <w:rsid w:val="005953FE"/>
    <w:rsid w:val="00595620"/>
    <w:rsid w:val="0059629B"/>
    <w:rsid w:val="00596FBE"/>
    <w:rsid w:val="0059702E"/>
    <w:rsid w:val="00597514"/>
    <w:rsid w:val="00597E7D"/>
    <w:rsid w:val="005A061A"/>
    <w:rsid w:val="005A09B0"/>
    <w:rsid w:val="005A0B92"/>
    <w:rsid w:val="005A120A"/>
    <w:rsid w:val="005A15E9"/>
    <w:rsid w:val="005A1C04"/>
    <w:rsid w:val="005A1DD5"/>
    <w:rsid w:val="005A1FF1"/>
    <w:rsid w:val="005A2029"/>
    <w:rsid w:val="005A28F5"/>
    <w:rsid w:val="005A2D76"/>
    <w:rsid w:val="005A2FA0"/>
    <w:rsid w:val="005A34FA"/>
    <w:rsid w:val="005A3C9C"/>
    <w:rsid w:val="005A452F"/>
    <w:rsid w:val="005A46B2"/>
    <w:rsid w:val="005A4C51"/>
    <w:rsid w:val="005A4D3F"/>
    <w:rsid w:val="005A5113"/>
    <w:rsid w:val="005A56BA"/>
    <w:rsid w:val="005A578D"/>
    <w:rsid w:val="005A5802"/>
    <w:rsid w:val="005A6090"/>
    <w:rsid w:val="005A775C"/>
    <w:rsid w:val="005A7E49"/>
    <w:rsid w:val="005B00B3"/>
    <w:rsid w:val="005B0391"/>
    <w:rsid w:val="005B0593"/>
    <w:rsid w:val="005B0B9B"/>
    <w:rsid w:val="005B130C"/>
    <w:rsid w:val="005B20A5"/>
    <w:rsid w:val="005B20F1"/>
    <w:rsid w:val="005B2551"/>
    <w:rsid w:val="005B29E5"/>
    <w:rsid w:val="005B2B13"/>
    <w:rsid w:val="005B320F"/>
    <w:rsid w:val="005B334D"/>
    <w:rsid w:val="005B3407"/>
    <w:rsid w:val="005B3CD8"/>
    <w:rsid w:val="005B44C1"/>
    <w:rsid w:val="005B4FBB"/>
    <w:rsid w:val="005B502B"/>
    <w:rsid w:val="005B51C6"/>
    <w:rsid w:val="005B541D"/>
    <w:rsid w:val="005B5696"/>
    <w:rsid w:val="005B5AEC"/>
    <w:rsid w:val="005B5C27"/>
    <w:rsid w:val="005B5DA4"/>
    <w:rsid w:val="005B5ED6"/>
    <w:rsid w:val="005B6343"/>
    <w:rsid w:val="005B65B9"/>
    <w:rsid w:val="005B6C36"/>
    <w:rsid w:val="005B6FE2"/>
    <w:rsid w:val="005C0133"/>
    <w:rsid w:val="005C01D7"/>
    <w:rsid w:val="005C02AF"/>
    <w:rsid w:val="005C039E"/>
    <w:rsid w:val="005C050A"/>
    <w:rsid w:val="005C05B7"/>
    <w:rsid w:val="005C0638"/>
    <w:rsid w:val="005C07F3"/>
    <w:rsid w:val="005C09BE"/>
    <w:rsid w:val="005C0A78"/>
    <w:rsid w:val="005C14CA"/>
    <w:rsid w:val="005C153D"/>
    <w:rsid w:val="005C1751"/>
    <w:rsid w:val="005C28A0"/>
    <w:rsid w:val="005C2C4F"/>
    <w:rsid w:val="005C2D20"/>
    <w:rsid w:val="005C2D93"/>
    <w:rsid w:val="005C39E3"/>
    <w:rsid w:val="005C3D60"/>
    <w:rsid w:val="005C4097"/>
    <w:rsid w:val="005C428A"/>
    <w:rsid w:val="005C44AB"/>
    <w:rsid w:val="005C463E"/>
    <w:rsid w:val="005C4794"/>
    <w:rsid w:val="005C485D"/>
    <w:rsid w:val="005C4BBE"/>
    <w:rsid w:val="005C50CC"/>
    <w:rsid w:val="005C522A"/>
    <w:rsid w:val="005C5842"/>
    <w:rsid w:val="005C5A59"/>
    <w:rsid w:val="005C61B6"/>
    <w:rsid w:val="005C639F"/>
    <w:rsid w:val="005C66DA"/>
    <w:rsid w:val="005C698C"/>
    <w:rsid w:val="005C6D8D"/>
    <w:rsid w:val="005C6DB2"/>
    <w:rsid w:val="005C6DD3"/>
    <w:rsid w:val="005C71EA"/>
    <w:rsid w:val="005C72B3"/>
    <w:rsid w:val="005C76BA"/>
    <w:rsid w:val="005C78FA"/>
    <w:rsid w:val="005C7C35"/>
    <w:rsid w:val="005C7CE5"/>
    <w:rsid w:val="005C7DF1"/>
    <w:rsid w:val="005D038A"/>
    <w:rsid w:val="005D0B07"/>
    <w:rsid w:val="005D0BC1"/>
    <w:rsid w:val="005D0E14"/>
    <w:rsid w:val="005D111E"/>
    <w:rsid w:val="005D1280"/>
    <w:rsid w:val="005D14DD"/>
    <w:rsid w:val="005D1541"/>
    <w:rsid w:val="005D1631"/>
    <w:rsid w:val="005D1928"/>
    <w:rsid w:val="005D1A7E"/>
    <w:rsid w:val="005D1D9B"/>
    <w:rsid w:val="005D21B1"/>
    <w:rsid w:val="005D24B8"/>
    <w:rsid w:val="005D2795"/>
    <w:rsid w:val="005D2BC3"/>
    <w:rsid w:val="005D2C6C"/>
    <w:rsid w:val="005D2E3A"/>
    <w:rsid w:val="005D2FCD"/>
    <w:rsid w:val="005D3045"/>
    <w:rsid w:val="005D32BC"/>
    <w:rsid w:val="005D33D8"/>
    <w:rsid w:val="005D382E"/>
    <w:rsid w:val="005D3AA8"/>
    <w:rsid w:val="005D3EA9"/>
    <w:rsid w:val="005D4055"/>
    <w:rsid w:val="005D4576"/>
    <w:rsid w:val="005D4590"/>
    <w:rsid w:val="005D4C01"/>
    <w:rsid w:val="005D4EB5"/>
    <w:rsid w:val="005D50DE"/>
    <w:rsid w:val="005D52F2"/>
    <w:rsid w:val="005D53E3"/>
    <w:rsid w:val="005D57C9"/>
    <w:rsid w:val="005D58DC"/>
    <w:rsid w:val="005D5CA3"/>
    <w:rsid w:val="005D5D19"/>
    <w:rsid w:val="005D6597"/>
    <w:rsid w:val="005D65C3"/>
    <w:rsid w:val="005D6A8D"/>
    <w:rsid w:val="005D6C7C"/>
    <w:rsid w:val="005D6C7F"/>
    <w:rsid w:val="005D6CB8"/>
    <w:rsid w:val="005D6D7C"/>
    <w:rsid w:val="005D6D9E"/>
    <w:rsid w:val="005D75C0"/>
    <w:rsid w:val="005D7829"/>
    <w:rsid w:val="005D7C6E"/>
    <w:rsid w:val="005D7F2F"/>
    <w:rsid w:val="005E016A"/>
    <w:rsid w:val="005E045F"/>
    <w:rsid w:val="005E074B"/>
    <w:rsid w:val="005E0A1D"/>
    <w:rsid w:val="005E0C2F"/>
    <w:rsid w:val="005E0D8E"/>
    <w:rsid w:val="005E11DA"/>
    <w:rsid w:val="005E1608"/>
    <w:rsid w:val="005E1AA7"/>
    <w:rsid w:val="005E1E15"/>
    <w:rsid w:val="005E2996"/>
    <w:rsid w:val="005E31B0"/>
    <w:rsid w:val="005E3471"/>
    <w:rsid w:val="005E3A08"/>
    <w:rsid w:val="005E41D5"/>
    <w:rsid w:val="005E4B6C"/>
    <w:rsid w:val="005E4C09"/>
    <w:rsid w:val="005E4C8E"/>
    <w:rsid w:val="005E4E1C"/>
    <w:rsid w:val="005E5420"/>
    <w:rsid w:val="005E5793"/>
    <w:rsid w:val="005E5D6E"/>
    <w:rsid w:val="005E5FE5"/>
    <w:rsid w:val="005E642B"/>
    <w:rsid w:val="005E6729"/>
    <w:rsid w:val="005E69D3"/>
    <w:rsid w:val="005E6A8B"/>
    <w:rsid w:val="005E6B4C"/>
    <w:rsid w:val="005E6C1C"/>
    <w:rsid w:val="005E6E03"/>
    <w:rsid w:val="005E6EB8"/>
    <w:rsid w:val="005E6EE7"/>
    <w:rsid w:val="005E6F95"/>
    <w:rsid w:val="005E711C"/>
    <w:rsid w:val="005E74DB"/>
    <w:rsid w:val="005E7C75"/>
    <w:rsid w:val="005E7CA1"/>
    <w:rsid w:val="005E7FF4"/>
    <w:rsid w:val="005F029D"/>
    <w:rsid w:val="005F0923"/>
    <w:rsid w:val="005F0C30"/>
    <w:rsid w:val="005F0D50"/>
    <w:rsid w:val="005F0D8E"/>
    <w:rsid w:val="005F1146"/>
    <w:rsid w:val="005F24B6"/>
    <w:rsid w:val="005F26C6"/>
    <w:rsid w:val="005F26DD"/>
    <w:rsid w:val="005F3204"/>
    <w:rsid w:val="005F38B5"/>
    <w:rsid w:val="005F3C7B"/>
    <w:rsid w:val="005F3EC3"/>
    <w:rsid w:val="005F4319"/>
    <w:rsid w:val="005F44C6"/>
    <w:rsid w:val="005F453C"/>
    <w:rsid w:val="005F548B"/>
    <w:rsid w:val="005F5504"/>
    <w:rsid w:val="005F5940"/>
    <w:rsid w:val="005F5D42"/>
    <w:rsid w:val="005F6146"/>
    <w:rsid w:val="005F61A8"/>
    <w:rsid w:val="005F6524"/>
    <w:rsid w:val="005F6B0A"/>
    <w:rsid w:val="005F6BCE"/>
    <w:rsid w:val="005F6D12"/>
    <w:rsid w:val="005F7280"/>
    <w:rsid w:val="005F72D9"/>
    <w:rsid w:val="005F772A"/>
    <w:rsid w:val="005F7B7A"/>
    <w:rsid w:val="005F7C24"/>
    <w:rsid w:val="00600139"/>
    <w:rsid w:val="00600229"/>
    <w:rsid w:val="0060024D"/>
    <w:rsid w:val="00600387"/>
    <w:rsid w:val="00600668"/>
    <w:rsid w:val="00600713"/>
    <w:rsid w:val="00600F09"/>
    <w:rsid w:val="0060134B"/>
    <w:rsid w:val="00601359"/>
    <w:rsid w:val="00601435"/>
    <w:rsid w:val="0060209C"/>
    <w:rsid w:val="0060215F"/>
    <w:rsid w:val="006027A6"/>
    <w:rsid w:val="0060281F"/>
    <w:rsid w:val="00602C76"/>
    <w:rsid w:val="006032D2"/>
    <w:rsid w:val="00603536"/>
    <w:rsid w:val="00603AA7"/>
    <w:rsid w:val="00604130"/>
    <w:rsid w:val="00604281"/>
    <w:rsid w:val="006043CC"/>
    <w:rsid w:val="00604670"/>
    <w:rsid w:val="0060511B"/>
    <w:rsid w:val="0060523B"/>
    <w:rsid w:val="0060545C"/>
    <w:rsid w:val="006054A1"/>
    <w:rsid w:val="00605890"/>
    <w:rsid w:val="00605A3B"/>
    <w:rsid w:val="00605D80"/>
    <w:rsid w:val="00605F02"/>
    <w:rsid w:val="00606167"/>
    <w:rsid w:val="0060685C"/>
    <w:rsid w:val="00606AC6"/>
    <w:rsid w:val="00607526"/>
    <w:rsid w:val="00607C68"/>
    <w:rsid w:val="00607E67"/>
    <w:rsid w:val="00610015"/>
    <w:rsid w:val="0061026C"/>
    <w:rsid w:val="00610457"/>
    <w:rsid w:val="006107CF"/>
    <w:rsid w:val="0061119C"/>
    <w:rsid w:val="0061183A"/>
    <w:rsid w:val="0061184E"/>
    <w:rsid w:val="00611D99"/>
    <w:rsid w:val="00612065"/>
    <w:rsid w:val="006124C1"/>
    <w:rsid w:val="00612D47"/>
    <w:rsid w:val="00612F33"/>
    <w:rsid w:val="0061312C"/>
    <w:rsid w:val="006132BD"/>
    <w:rsid w:val="006133E6"/>
    <w:rsid w:val="0061359F"/>
    <w:rsid w:val="00613E9A"/>
    <w:rsid w:val="00614645"/>
    <w:rsid w:val="00614A7A"/>
    <w:rsid w:val="00614C9D"/>
    <w:rsid w:val="00614D8C"/>
    <w:rsid w:val="00614F0C"/>
    <w:rsid w:val="00614F80"/>
    <w:rsid w:val="00615A5D"/>
    <w:rsid w:val="00615FAD"/>
    <w:rsid w:val="006162CD"/>
    <w:rsid w:val="00616D42"/>
    <w:rsid w:val="00616E80"/>
    <w:rsid w:val="00617261"/>
    <w:rsid w:val="006173A7"/>
    <w:rsid w:val="006175B8"/>
    <w:rsid w:val="0061764A"/>
    <w:rsid w:val="006177DD"/>
    <w:rsid w:val="00617A29"/>
    <w:rsid w:val="00617CAB"/>
    <w:rsid w:val="0062017D"/>
    <w:rsid w:val="006202CF"/>
    <w:rsid w:val="00620B6C"/>
    <w:rsid w:val="00620C31"/>
    <w:rsid w:val="006218DB"/>
    <w:rsid w:val="0062192F"/>
    <w:rsid w:val="00621ECE"/>
    <w:rsid w:val="0062247C"/>
    <w:rsid w:val="00622952"/>
    <w:rsid w:val="00622A79"/>
    <w:rsid w:val="00622BCB"/>
    <w:rsid w:val="00623064"/>
    <w:rsid w:val="00623D30"/>
    <w:rsid w:val="00623F61"/>
    <w:rsid w:val="006240BA"/>
    <w:rsid w:val="00624107"/>
    <w:rsid w:val="00624260"/>
    <w:rsid w:val="00624531"/>
    <w:rsid w:val="006256D8"/>
    <w:rsid w:val="00625712"/>
    <w:rsid w:val="0062575E"/>
    <w:rsid w:val="00625D7E"/>
    <w:rsid w:val="0062691D"/>
    <w:rsid w:val="00626AE9"/>
    <w:rsid w:val="0062712C"/>
    <w:rsid w:val="00627855"/>
    <w:rsid w:val="00627C59"/>
    <w:rsid w:val="00627D1D"/>
    <w:rsid w:val="00630433"/>
    <w:rsid w:val="00630928"/>
    <w:rsid w:val="00630D75"/>
    <w:rsid w:val="006314F0"/>
    <w:rsid w:val="006316DD"/>
    <w:rsid w:val="006317EE"/>
    <w:rsid w:val="0063183F"/>
    <w:rsid w:val="00631CA6"/>
    <w:rsid w:val="00632133"/>
    <w:rsid w:val="00632267"/>
    <w:rsid w:val="0063248B"/>
    <w:rsid w:val="00632E2F"/>
    <w:rsid w:val="00633018"/>
    <w:rsid w:val="0063370D"/>
    <w:rsid w:val="006337AE"/>
    <w:rsid w:val="006338E5"/>
    <w:rsid w:val="00633C95"/>
    <w:rsid w:val="00633DA9"/>
    <w:rsid w:val="00633EE2"/>
    <w:rsid w:val="00634126"/>
    <w:rsid w:val="006346A6"/>
    <w:rsid w:val="00634B54"/>
    <w:rsid w:val="00634D1A"/>
    <w:rsid w:val="00635039"/>
    <w:rsid w:val="0063505C"/>
    <w:rsid w:val="006353C5"/>
    <w:rsid w:val="006354B1"/>
    <w:rsid w:val="006356BD"/>
    <w:rsid w:val="006356DC"/>
    <w:rsid w:val="00635B97"/>
    <w:rsid w:val="00636A8B"/>
    <w:rsid w:val="00637537"/>
    <w:rsid w:val="00640596"/>
    <w:rsid w:val="006405CB"/>
    <w:rsid w:val="00640C5E"/>
    <w:rsid w:val="00641916"/>
    <w:rsid w:val="00641A7D"/>
    <w:rsid w:val="00641FB4"/>
    <w:rsid w:val="006420AE"/>
    <w:rsid w:val="006422CA"/>
    <w:rsid w:val="00642309"/>
    <w:rsid w:val="0064230D"/>
    <w:rsid w:val="006426C8"/>
    <w:rsid w:val="006429AA"/>
    <w:rsid w:val="00642E86"/>
    <w:rsid w:val="00642E98"/>
    <w:rsid w:val="00643ABA"/>
    <w:rsid w:val="00643E32"/>
    <w:rsid w:val="006440D9"/>
    <w:rsid w:val="00644A49"/>
    <w:rsid w:val="00644D55"/>
    <w:rsid w:val="00644E48"/>
    <w:rsid w:val="0064518F"/>
    <w:rsid w:val="006454D5"/>
    <w:rsid w:val="00645E41"/>
    <w:rsid w:val="00646CB7"/>
    <w:rsid w:val="006471C9"/>
    <w:rsid w:val="006472E1"/>
    <w:rsid w:val="00647AC8"/>
    <w:rsid w:val="00647B49"/>
    <w:rsid w:val="00647EA5"/>
    <w:rsid w:val="0065058B"/>
    <w:rsid w:val="0065068D"/>
    <w:rsid w:val="00651600"/>
    <w:rsid w:val="00651E5D"/>
    <w:rsid w:val="00651F8D"/>
    <w:rsid w:val="006520D8"/>
    <w:rsid w:val="0065226D"/>
    <w:rsid w:val="006527C0"/>
    <w:rsid w:val="0065296E"/>
    <w:rsid w:val="00652C88"/>
    <w:rsid w:val="00652D1D"/>
    <w:rsid w:val="00653524"/>
    <w:rsid w:val="0065356C"/>
    <w:rsid w:val="00653A8A"/>
    <w:rsid w:val="00653A95"/>
    <w:rsid w:val="00653A96"/>
    <w:rsid w:val="00653E1D"/>
    <w:rsid w:val="0065405D"/>
    <w:rsid w:val="0065425E"/>
    <w:rsid w:val="00654395"/>
    <w:rsid w:val="0065444B"/>
    <w:rsid w:val="00654D67"/>
    <w:rsid w:val="00655206"/>
    <w:rsid w:val="0065566D"/>
    <w:rsid w:val="00655688"/>
    <w:rsid w:val="00655B0D"/>
    <w:rsid w:val="006560EB"/>
    <w:rsid w:val="006561B2"/>
    <w:rsid w:val="006565C6"/>
    <w:rsid w:val="006566E5"/>
    <w:rsid w:val="006567C7"/>
    <w:rsid w:val="00656A53"/>
    <w:rsid w:val="00656AA6"/>
    <w:rsid w:val="00656D4E"/>
    <w:rsid w:val="006572A9"/>
    <w:rsid w:val="00657C64"/>
    <w:rsid w:val="00660038"/>
    <w:rsid w:val="00660114"/>
    <w:rsid w:val="00660244"/>
    <w:rsid w:val="006608C3"/>
    <w:rsid w:val="00660B72"/>
    <w:rsid w:val="00660C99"/>
    <w:rsid w:val="00660E0F"/>
    <w:rsid w:val="00660EF7"/>
    <w:rsid w:val="0066143D"/>
    <w:rsid w:val="006618BE"/>
    <w:rsid w:val="00661BE8"/>
    <w:rsid w:val="00661C5E"/>
    <w:rsid w:val="00661C64"/>
    <w:rsid w:val="00661F24"/>
    <w:rsid w:val="006620EA"/>
    <w:rsid w:val="006621A1"/>
    <w:rsid w:val="0066243B"/>
    <w:rsid w:val="0066250E"/>
    <w:rsid w:val="006628A8"/>
    <w:rsid w:val="00662B8F"/>
    <w:rsid w:val="00662CE5"/>
    <w:rsid w:val="00662E21"/>
    <w:rsid w:val="006633B9"/>
    <w:rsid w:val="0066357D"/>
    <w:rsid w:val="00664339"/>
    <w:rsid w:val="00664ACC"/>
    <w:rsid w:val="0066516E"/>
    <w:rsid w:val="00665229"/>
    <w:rsid w:val="00665A8F"/>
    <w:rsid w:val="00665D1C"/>
    <w:rsid w:val="0066603A"/>
    <w:rsid w:val="0066640C"/>
    <w:rsid w:val="00666BEC"/>
    <w:rsid w:val="00666E15"/>
    <w:rsid w:val="006670F0"/>
    <w:rsid w:val="0066746C"/>
    <w:rsid w:val="00667AA5"/>
    <w:rsid w:val="00667C60"/>
    <w:rsid w:val="00667F88"/>
    <w:rsid w:val="0067016F"/>
    <w:rsid w:val="006702B2"/>
    <w:rsid w:val="00670346"/>
    <w:rsid w:val="00670F51"/>
    <w:rsid w:val="0067118D"/>
    <w:rsid w:val="0067157E"/>
    <w:rsid w:val="00671582"/>
    <w:rsid w:val="00671604"/>
    <w:rsid w:val="006716F0"/>
    <w:rsid w:val="00671751"/>
    <w:rsid w:val="0067187C"/>
    <w:rsid w:val="006719D1"/>
    <w:rsid w:val="00671A32"/>
    <w:rsid w:val="006723BB"/>
    <w:rsid w:val="00672CDB"/>
    <w:rsid w:val="00672D9A"/>
    <w:rsid w:val="00672E0B"/>
    <w:rsid w:val="006731D1"/>
    <w:rsid w:val="00673AE0"/>
    <w:rsid w:val="00673DA2"/>
    <w:rsid w:val="00673DE4"/>
    <w:rsid w:val="00673E39"/>
    <w:rsid w:val="00673F07"/>
    <w:rsid w:val="006740BA"/>
    <w:rsid w:val="00674160"/>
    <w:rsid w:val="006744A0"/>
    <w:rsid w:val="00674F95"/>
    <w:rsid w:val="006759EA"/>
    <w:rsid w:val="00675ECB"/>
    <w:rsid w:val="00676397"/>
    <w:rsid w:val="0067657D"/>
    <w:rsid w:val="00676B87"/>
    <w:rsid w:val="00676D1D"/>
    <w:rsid w:val="00677738"/>
    <w:rsid w:val="00677820"/>
    <w:rsid w:val="006778F0"/>
    <w:rsid w:val="00677C83"/>
    <w:rsid w:val="00677E58"/>
    <w:rsid w:val="00680316"/>
    <w:rsid w:val="00680649"/>
    <w:rsid w:val="00680C3C"/>
    <w:rsid w:val="00680C5D"/>
    <w:rsid w:val="0068100C"/>
    <w:rsid w:val="00681090"/>
    <w:rsid w:val="00681681"/>
    <w:rsid w:val="00681973"/>
    <w:rsid w:val="00681C1D"/>
    <w:rsid w:val="00682898"/>
    <w:rsid w:val="006829B5"/>
    <w:rsid w:val="00682CA4"/>
    <w:rsid w:val="006830D1"/>
    <w:rsid w:val="006833E5"/>
    <w:rsid w:val="00683FC4"/>
    <w:rsid w:val="0068435A"/>
    <w:rsid w:val="006843B1"/>
    <w:rsid w:val="00684662"/>
    <w:rsid w:val="00684B88"/>
    <w:rsid w:val="00684C1F"/>
    <w:rsid w:val="00684DDE"/>
    <w:rsid w:val="00684F28"/>
    <w:rsid w:val="006850B2"/>
    <w:rsid w:val="0068515F"/>
    <w:rsid w:val="006851F2"/>
    <w:rsid w:val="00685417"/>
    <w:rsid w:val="0068563A"/>
    <w:rsid w:val="0068587B"/>
    <w:rsid w:val="00685913"/>
    <w:rsid w:val="00685BA2"/>
    <w:rsid w:val="00686060"/>
    <w:rsid w:val="00686581"/>
    <w:rsid w:val="006865D8"/>
    <w:rsid w:val="00686D3B"/>
    <w:rsid w:val="00686E28"/>
    <w:rsid w:val="006871EE"/>
    <w:rsid w:val="006874C4"/>
    <w:rsid w:val="00687845"/>
    <w:rsid w:val="00687D01"/>
    <w:rsid w:val="006901F2"/>
    <w:rsid w:val="00690268"/>
    <w:rsid w:val="006903F5"/>
    <w:rsid w:val="006907D7"/>
    <w:rsid w:val="00690E76"/>
    <w:rsid w:val="00691059"/>
    <w:rsid w:val="00691416"/>
    <w:rsid w:val="0069143D"/>
    <w:rsid w:val="0069189F"/>
    <w:rsid w:val="00691A8A"/>
    <w:rsid w:val="00691C69"/>
    <w:rsid w:val="006934AE"/>
    <w:rsid w:val="006935B8"/>
    <w:rsid w:val="006935F5"/>
    <w:rsid w:val="00693779"/>
    <w:rsid w:val="00693A5D"/>
    <w:rsid w:val="00693D82"/>
    <w:rsid w:val="00693FCE"/>
    <w:rsid w:val="006940CF"/>
    <w:rsid w:val="006941F4"/>
    <w:rsid w:val="00694668"/>
    <w:rsid w:val="00694B2D"/>
    <w:rsid w:val="00694F52"/>
    <w:rsid w:val="006959C6"/>
    <w:rsid w:val="006960DB"/>
    <w:rsid w:val="00696361"/>
    <w:rsid w:val="006963C6"/>
    <w:rsid w:val="0069683D"/>
    <w:rsid w:val="00696B83"/>
    <w:rsid w:val="00696BFB"/>
    <w:rsid w:val="006970C6"/>
    <w:rsid w:val="00697129"/>
    <w:rsid w:val="006972D9"/>
    <w:rsid w:val="00697747"/>
    <w:rsid w:val="00697A72"/>
    <w:rsid w:val="00697FDF"/>
    <w:rsid w:val="006A0468"/>
    <w:rsid w:val="006A0C75"/>
    <w:rsid w:val="006A0D05"/>
    <w:rsid w:val="006A0D8F"/>
    <w:rsid w:val="006A0EAA"/>
    <w:rsid w:val="006A10DA"/>
    <w:rsid w:val="006A1250"/>
    <w:rsid w:val="006A1BF3"/>
    <w:rsid w:val="006A24CF"/>
    <w:rsid w:val="006A25A4"/>
    <w:rsid w:val="006A25E3"/>
    <w:rsid w:val="006A26B6"/>
    <w:rsid w:val="006A29E5"/>
    <w:rsid w:val="006A2BBE"/>
    <w:rsid w:val="006A2FDB"/>
    <w:rsid w:val="006A2FE4"/>
    <w:rsid w:val="006A37FC"/>
    <w:rsid w:val="006A3A55"/>
    <w:rsid w:val="006A4DEA"/>
    <w:rsid w:val="006A5230"/>
    <w:rsid w:val="006A54E4"/>
    <w:rsid w:val="006A565D"/>
    <w:rsid w:val="006A5B2A"/>
    <w:rsid w:val="006A63CB"/>
    <w:rsid w:val="006A6565"/>
    <w:rsid w:val="006A65EE"/>
    <w:rsid w:val="006A6643"/>
    <w:rsid w:val="006A6688"/>
    <w:rsid w:val="006A6AA1"/>
    <w:rsid w:val="006A6B85"/>
    <w:rsid w:val="006A77BF"/>
    <w:rsid w:val="006A78EF"/>
    <w:rsid w:val="006A7CDD"/>
    <w:rsid w:val="006A7E09"/>
    <w:rsid w:val="006B0347"/>
    <w:rsid w:val="006B04AF"/>
    <w:rsid w:val="006B05ED"/>
    <w:rsid w:val="006B09CD"/>
    <w:rsid w:val="006B09EE"/>
    <w:rsid w:val="006B0B01"/>
    <w:rsid w:val="006B0C7A"/>
    <w:rsid w:val="006B1B96"/>
    <w:rsid w:val="006B1E2B"/>
    <w:rsid w:val="006B21C5"/>
    <w:rsid w:val="006B24FD"/>
    <w:rsid w:val="006B2664"/>
    <w:rsid w:val="006B2873"/>
    <w:rsid w:val="006B3918"/>
    <w:rsid w:val="006B3F58"/>
    <w:rsid w:val="006B4065"/>
    <w:rsid w:val="006B4539"/>
    <w:rsid w:val="006B4678"/>
    <w:rsid w:val="006B4F54"/>
    <w:rsid w:val="006B5136"/>
    <w:rsid w:val="006B5E4F"/>
    <w:rsid w:val="006B5FDC"/>
    <w:rsid w:val="006B6D67"/>
    <w:rsid w:val="006B7281"/>
    <w:rsid w:val="006B7FB3"/>
    <w:rsid w:val="006B7FFC"/>
    <w:rsid w:val="006C007D"/>
    <w:rsid w:val="006C0482"/>
    <w:rsid w:val="006C1133"/>
    <w:rsid w:val="006C184E"/>
    <w:rsid w:val="006C1A0D"/>
    <w:rsid w:val="006C239D"/>
    <w:rsid w:val="006C2485"/>
    <w:rsid w:val="006C28C9"/>
    <w:rsid w:val="006C33A5"/>
    <w:rsid w:val="006C3654"/>
    <w:rsid w:val="006C415B"/>
    <w:rsid w:val="006C425E"/>
    <w:rsid w:val="006C42E1"/>
    <w:rsid w:val="006C43AD"/>
    <w:rsid w:val="006C4890"/>
    <w:rsid w:val="006C49B0"/>
    <w:rsid w:val="006C4D46"/>
    <w:rsid w:val="006C50B9"/>
    <w:rsid w:val="006C52EB"/>
    <w:rsid w:val="006C5932"/>
    <w:rsid w:val="006C5B94"/>
    <w:rsid w:val="006C618F"/>
    <w:rsid w:val="006C6894"/>
    <w:rsid w:val="006C6985"/>
    <w:rsid w:val="006C698B"/>
    <w:rsid w:val="006C6ACC"/>
    <w:rsid w:val="006C6B44"/>
    <w:rsid w:val="006C6BDE"/>
    <w:rsid w:val="006C7558"/>
    <w:rsid w:val="006C767B"/>
    <w:rsid w:val="006C7A17"/>
    <w:rsid w:val="006C7DC4"/>
    <w:rsid w:val="006D0057"/>
    <w:rsid w:val="006D00BC"/>
    <w:rsid w:val="006D03DE"/>
    <w:rsid w:val="006D0428"/>
    <w:rsid w:val="006D05AC"/>
    <w:rsid w:val="006D079A"/>
    <w:rsid w:val="006D0844"/>
    <w:rsid w:val="006D09F3"/>
    <w:rsid w:val="006D0FE6"/>
    <w:rsid w:val="006D136B"/>
    <w:rsid w:val="006D14FF"/>
    <w:rsid w:val="006D1C9A"/>
    <w:rsid w:val="006D22FB"/>
    <w:rsid w:val="006D2968"/>
    <w:rsid w:val="006D2B2F"/>
    <w:rsid w:val="006D395F"/>
    <w:rsid w:val="006D3AF9"/>
    <w:rsid w:val="006D3B62"/>
    <w:rsid w:val="006D3C67"/>
    <w:rsid w:val="006D3D92"/>
    <w:rsid w:val="006D41B4"/>
    <w:rsid w:val="006D45E1"/>
    <w:rsid w:val="006D4698"/>
    <w:rsid w:val="006D4ABC"/>
    <w:rsid w:val="006D568E"/>
    <w:rsid w:val="006D5834"/>
    <w:rsid w:val="006D5AA2"/>
    <w:rsid w:val="006D5B64"/>
    <w:rsid w:val="006D5DA2"/>
    <w:rsid w:val="006D5F31"/>
    <w:rsid w:val="006D6005"/>
    <w:rsid w:val="006D6260"/>
    <w:rsid w:val="006D6D1E"/>
    <w:rsid w:val="006D6D4E"/>
    <w:rsid w:val="006D6E0F"/>
    <w:rsid w:val="006D713F"/>
    <w:rsid w:val="006D7323"/>
    <w:rsid w:val="006D73F2"/>
    <w:rsid w:val="006D76DA"/>
    <w:rsid w:val="006D7D37"/>
    <w:rsid w:val="006E009A"/>
    <w:rsid w:val="006E01F2"/>
    <w:rsid w:val="006E05D6"/>
    <w:rsid w:val="006E0A1A"/>
    <w:rsid w:val="006E0C6A"/>
    <w:rsid w:val="006E0EAE"/>
    <w:rsid w:val="006E0EE0"/>
    <w:rsid w:val="006E1061"/>
    <w:rsid w:val="006E12D7"/>
    <w:rsid w:val="006E19CD"/>
    <w:rsid w:val="006E1F2B"/>
    <w:rsid w:val="006E23F7"/>
    <w:rsid w:val="006E24F1"/>
    <w:rsid w:val="006E26E4"/>
    <w:rsid w:val="006E341A"/>
    <w:rsid w:val="006E36A8"/>
    <w:rsid w:val="006E3764"/>
    <w:rsid w:val="006E3F30"/>
    <w:rsid w:val="006E41EA"/>
    <w:rsid w:val="006E4935"/>
    <w:rsid w:val="006E4DAD"/>
    <w:rsid w:val="006E534A"/>
    <w:rsid w:val="006E59B3"/>
    <w:rsid w:val="006E5D0C"/>
    <w:rsid w:val="006E5F03"/>
    <w:rsid w:val="006E601E"/>
    <w:rsid w:val="006E662D"/>
    <w:rsid w:val="006E672A"/>
    <w:rsid w:val="006E691D"/>
    <w:rsid w:val="006E6C15"/>
    <w:rsid w:val="006E7492"/>
    <w:rsid w:val="006E79D9"/>
    <w:rsid w:val="006E7B75"/>
    <w:rsid w:val="006E7BEA"/>
    <w:rsid w:val="006F03A2"/>
    <w:rsid w:val="006F0860"/>
    <w:rsid w:val="006F0BC8"/>
    <w:rsid w:val="006F0EBF"/>
    <w:rsid w:val="006F15F0"/>
    <w:rsid w:val="006F1740"/>
    <w:rsid w:val="006F1846"/>
    <w:rsid w:val="006F1B46"/>
    <w:rsid w:val="006F1FA3"/>
    <w:rsid w:val="006F218F"/>
    <w:rsid w:val="006F2221"/>
    <w:rsid w:val="006F2569"/>
    <w:rsid w:val="006F2613"/>
    <w:rsid w:val="006F278A"/>
    <w:rsid w:val="006F2A61"/>
    <w:rsid w:val="006F3703"/>
    <w:rsid w:val="006F3FBB"/>
    <w:rsid w:val="006F412C"/>
    <w:rsid w:val="006F43FE"/>
    <w:rsid w:val="006F4AF8"/>
    <w:rsid w:val="006F4CA6"/>
    <w:rsid w:val="006F4DC5"/>
    <w:rsid w:val="006F5048"/>
    <w:rsid w:val="006F5750"/>
    <w:rsid w:val="006F5EB1"/>
    <w:rsid w:val="006F5F9E"/>
    <w:rsid w:val="006F6444"/>
    <w:rsid w:val="006F6B97"/>
    <w:rsid w:val="006F6FE3"/>
    <w:rsid w:val="006F7005"/>
    <w:rsid w:val="006F7083"/>
    <w:rsid w:val="006F7444"/>
    <w:rsid w:val="006F757F"/>
    <w:rsid w:val="006F779A"/>
    <w:rsid w:val="006F77C1"/>
    <w:rsid w:val="007006BF"/>
    <w:rsid w:val="007007E9"/>
    <w:rsid w:val="007009D1"/>
    <w:rsid w:val="00700E91"/>
    <w:rsid w:val="00701644"/>
    <w:rsid w:val="00701A39"/>
    <w:rsid w:val="0070234F"/>
    <w:rsid w:val="0070256B"/>
    <w:rsid w:val="00702592"/>
    <w:rsid w:val="00702D6A"/>
    <w:rsid w:val="007033BB"/>
    <w:rsid w:val="00703577"/>
    <w:rsid w:val="00703C25"/>
    <w:rsid w:val="00703D12"/>
    <w:rsid w:val="00703ED7"/>
    <w:rsid w:val="007040AB"/>
    <w:rsid w:val="007040AD"/>
    <w:rsid w:val="007044C8"/>
    <w:rsid w:val="00704CE0"/>
    <w:rsid w:val="00704E71"/>
    <w:rsid w:val="0070510D"/>
    <w:rsid w:val="007057BB"/>
    <w:rsid w:val="007058AA"/>
    <w:rsid w:val="00706091"/>
    <w:rsid w:val="007061F1"/>
    <w:rsid w:val="007070C3"/>
    <w:rsid w:val="007073CF"/>
    <w:rsid w:val="00707465"/>
    <w:rsid w:val="0070746D"/>
    <w:rsid w:val="00707E80"/>
    <w:rsid w:val="0071031E"/>
    <w:rsid w:val="0071044D"/>
    <w:rsid w:val="00710777"/>
    <w:rsid w:val="0071094E"/>
    <w:rsid w:val="00710982"/>
    <w:rsid w:val="0071098E"/>
    <w:rsid w:val="00710FA0"/>
    <w:rsid w:val="00711C5D"/>
    <w:rsid w:val="00711D59"/>
    <w:rsid w:val="00712142"/>
    <w:rsid w:val="007122D9"/>
    <w:rsid w:val="007123D9"/>
    <w:rsid w:val="0071240F"/>
    <w:rsid w:val="007125CB"/>
    <w:rsid w:val="00712784"/>
    <w:rsid w:val="00712828"/>
    <w:rsid w:val="00712B74"/>
    <w:rsid w:val="00712C1A"/>
    <w:rsid w:val="00712CCA"/>
    <w:rsid w:val="00712DA5"/>
    <w:rsid w:val="0071413F"/>
    <w:rsid w:val="0071432C"/>
    <w:rsid w:val="0071494A"/>
    <w:rsid w:val="00714B71"/>
    <w:rsid w:val="00714D57"/>
    <w:rsid w:val="00714E2E"/>
    <w:rsid w:val="00714FB7"/>
    <w:rsid w:val="00715304"/>
    <w:rsid w:val="00715720"/>
    <w:rsid w:val="00715FB0"/>
    <w:rsid w:val="007162B5"/>
    <w:rsid w:val="0071665D"/>
    <w:rsid w:val="00716B9E"/>
    <w:rsid w:val="00716EA6"/>
    <w:rsid w:val="0071729F"/>
    <w:rsid w:val="007172E7"/>
    <w:rsid w:val="007173F0"/>
    <w:rsid w:val="007173F3"/>
    <w:rsid w:val="00717858"/>
    <w:rsid w:val="00717DA1"/>
    <w:rsid w:val="00720034"/>
    <w:rsid w:val="00720470"/>
    <w:rsid w:val="0072064F"/>
    <w:rsid w:val="00720836"/>
    <w:rsid w:val="00720B92"/>
    <w:rsid w:val="00720D26"/>
    <w:rsid w:val="0072154C"/>
    <w:rsid w:val="0072194A"/>
    <w:rsid w:val="00721C15"/>
    <w:rsid w:val="00721D18"/>
    <w:rsid w:val="00721DCD"/>
    <w:rsid w:val="00722711"/>
    <w:rsid w:val="0072280A"/>
    <w:rsid w:val="00722B20"/>
    <w:rsid w:val="0072301E"/>
    <w:rsid w:val="007231F3"/>
    <w:rsid w:val="007232D0"/>
    <w:rsid w:val="0072354C"/>
    <w:rsid w:val="0072394F"/>
    <w:rsid w:val="00723E97"/>
    <w:rsid w:val="00723F83"/>
    <w:rsid w:val="0072539E"/>
    <w:rsid w:val="00725505"/>
    <w:rsid w:val="00725A45"/>
    <w:rsid w:val="00725EC9"/>
    <w:rsid w:val="007260BA"/>
    <w:rsid w:val="007260E9"/>
    <w:rsid w:val="00726A9E"/>
    <w:rsid w:val="00726B87"/>
    <w:rsid w:val="00726DC9"/>
    <w:rsid w:val="00726E45"/>
    <w:rsid w:val="0072767C"/>
    <w:rsid w:val="0072768E"/>
    <w:rsid w:val="0072777E"/>
    <w:rsid w:val="00730295"/>
    <w:rsid w:val="0073071C"/>
    <w:rsid w:val="0073082A"/>
    <w:rsid w:val="00730CC8"/>
    <w:rsid w:val="00731520"/>
    <w:rsid w:val="0073161B"/>
    <w:rsid w:val="00731629"/>
    <w:rsid w:val="007317FE"/>
    <w:rsid w:val="007319E3"/>
    <w:rsid w:val="0073229E"/>
    <w:rsid w:val="007329BB"/>
    <w:rsid w:val="007329FB"/>
    <w:rsid w:val="00732AC4"/>
    <w:rsid w:val="00732E0B"/>
    <w:rsid w:val="00732EDA"/>
    <w:rsid w:val="007338A9"/>
    <w:rsid w:val="00733BD3"/>
    <w:rsid w:val="007342D5"/>
    <w:rsid w:val="0073461E"/>
    <w:rsid w:val="0073471B"/>
    <w:rsid w:val="007347A0"/>
    <w:rsid w:val="00734AA8"/>
    <w:rsid w:val="007358E9"/>
    <w:rsid w:val="00735BD6"/>
    <w:rsid w:val="00735E67"/>
    <w:rsid w:val="00736155"/>
    <w:rsid w:val="00736729"/>
    <w:rsid w:val="00736824"/>
    <w:rsid w:val="00736B32"/>
    <w:rsid w:val="00736F26"/>
    <w:rsid w:val="007372F9"/>
    <w:rsid w:val="007375DF"/>
    <w:rsid w:val="00737923"/>
    <w:rsid w:val="00737B8B"/>
    <w:rsid w:val="00737F59"/>
    <w:rsid w:val="0074083F"/>
    <w:rsid w:val="007408FE"/>
    <w:rsid w:val="00740CCE"/>
    <w:rsid w:val="00740D44"/>
    <w:rsid w:val="00740E09"/>
    <w:rsid w:val="007411F7"/>
    <w:rsid w:val="007413F0"/>
    <w:rsid w:val="00741F7F"/>
    <w:rsid w:val="007426EF"/>
    <w:rsid w:val="00742C04"/>
    <w:rsid w:val="00742E49"/>
    <w:rsid w:val="0074313E"/>
    <w:rsid w:val="00743450"/>
    <w:rsid w:val="0074389A"/>
    <w:rsid w:val="007442F9"/>
    <w:rsid w:val="00744397"/>
    <w:rsid w:val="007448A9"/>
    <w:rsid w:val="007448ED"/>
    <w:rsid w:val="00744A1C"/>
    <w:rsid w:val="0074556E"/>
    <w:rsid w:val="00745916"/>
    <w:rsid w:val="00745978"/>
    <w:rsid w:val="00745FDE"/>
    <w:rsid w:val="00746979"/>
    <w:rsid w:val="00747094"/>
    <w:rsid w:val="0074791D"/>
    <w:rsid w:val="00747A7F"/>
    <w:rsid w:val="00747ED1"/>
    <w:rsid w:val="00750418"/>
    <w:rsid w:val="007505D0"/>
    <w:rsid w:val="00750D4D"/>
    <w:rsid w:val="00750DE0"/>
    <w:rsid w:val="00750FC2"/>
    <w:rsid w:val="00750FCE"/>
    <w:rsid w:val="0075151B"/>
    <w:rsid w:val="00751684"/>
    <w:rsid w:val="00751906"/>
    <w:rsid w:val="00751D31"/>
    <w:rsid w:val="007520A4"/>
    <w:rsid w:val="00752974"/>
    <w:rsid w:val="00752C44"/>
    <w:rsid w:val="00752ED5"/>
    <w:rsid w:val="00753089"/>
    <w:rsid w:val="0075311A"/>
    <w:rsid w:val="00753489"/>
    <w:rsid w:val="00753747"/>
    <w:rsid w:val="00753764"/>
    <w:rsid w:val="007539D0"/>
    <w:rsid w:val="00753C95"/>
    <w:rsid w:val="007542C3"/>
    <w:rsid w:val="007547DC"/>
    <w:rsid w:val="00754CD0"/>
    <w:rsid w:val="007551D0"/>
    <w:rsid w:val="007553BA"/>
    <w:rsid w:val="00755E6A"/>
    <w:rsid w:val="0075629E"/>
    <w:rsid w:val="007563F5"/>
    <w:rsid w:val="007566FE"/>
    <w:rsid w:val="007570D8"/>
    <w:rsid w:val="0075731D"/>
    <w:rsid w:val="00757366"/>
    <w:rsid w:val="007574E8"/>
    <w:rsid w:val="007577FB"/>
    <w:rsid w:val="00757C29"/>
    <w:rsid w:val="00757DCD"/>
    <w:rsid w:val="00760373"/>
    <w:rsid w:val="007603A1"/>
    <w:rsid w:val="007604F8"/>
    <w:rsid w:val="007609EF"/>
    <w:rsid w:val="00760E0A"/>
    <w:rsid w:val="00761505"/>
    <w:rsid w:val="007615DD"/>
    <w:rsid w:val="00761786"/>
    <w:rsid w:val="00761A3C"/>
    <w:rsid w:val="00761FE1"/>
    <w:rsid w:val="007621B3"/>
    <w:rsid w:val="00762280"/>
    <w:rsid w:val="00762449"/>
    <w:rsid w:val="00762828"/>
    <w:rsid w:val="00762B94"/>
    <w:rsid w:val="00762E6F"/>
    <w:rsid w:val="007632BF"/>
    <w:rsid w:val="00763375"/>
    <w:rsid w:val="00763BB6"/>
    <w:rsid w:val="00763ED7"/>
    <w:rsid w:val="00764839"/>
    <w:rsid w:val="0076515C"/>
    <w:rsid w:val="00765839"/>
    <w:rsid w:val="0076587C"/>
    <w:rsid w:val="00765942"/>
    <w:rsid w:val="00765B45"/>
    <w:rsid w:val="00765CD6"/>
    <w:rsid w:val="007660E8"/>
    <w:rsid w:val="00766374"/>
    <w:rsid w:val="007667E8"/>
    <w:rsid w:val="00766A26"/>
    <w:rsid w:val="00766C1E"/>
    <w:rsid w:val="00766C81"/>
    <w:rsid w:val="00766CD3"/>
    <w:rsid w:val="007675F6"/>
    <w:rsid w:val="0076782F"/>
    <w:rsid w:val="00767B04"/>
    <w:rsid w:val="00767C2F"/>
    <w:rsid w:val="00770432"/>
    <w:rsid w:val="0077078A"/>
    <w:rsid w:val="00770F17"/>
    <w:rsid w:val="00770FEF"/>
    <w:rsid w:val="0077111F"/>
    <w:rsid w:val="00771224"/>
    <w:rsid w:val="00771A4F"/>
    <w:rsid w:val="00771BB9"/>
    <w:rsid w:val="007722B1"/>
    <w:rsid w:val="00772645"/>
    <w:rsid w:val="0077319B"/>
    <w:rsid w:val="00774579"/>
    <w:rsid w:val="00774E6E"/>
    <w:rsid w:val="0077510E"/>
    <w:rsid w:val="007753C2"/>
    <w:rsid w:val="007754F9"/>
    <w:rsid w:val="0077553B"/>
    <w:rsid w:val="007755D7"/>
    <w:rsid w:val="0077575F"/>
    <w:rsid w:val="007757CF"/>
    <w:rsid w:val="00775AA4"/>
    <w:rsid w:val="00775B92"/>
    <w:rsid w:val="00776843"/>
    <w:rsid w:val="0077691F"/>
    <w:rsid w:val="00776B85"/>
    <w:rsid w:val="00777520"/>
    <w:rsid w:val="0077762A"/>
    <w:rsid w:val="007779E3"/>
    <w:rsid w:val="00777B7A"/>
    <w:rsid w:val="00777DAB"/>
    <w:rsid w:val="007803FC"/>
    <w:rsid w:val="00780DAF"/>
    <w:rsid w:val="00780EEA"/>
    <w:rsid w:val="00780F62"/>
    <w:rsid w:val="007813AB"/>
    <w:rsid w:val="00782B39"/>
    <w:rsid w:val="00782D6A"/>
    <w:rsid w:val="0078341A"/>
    <w:rsid w:val="00783571"/>
    <w:rsid w:val="007835DF"/>
    <w:rsid w:val="00783649"/>
    <w:rsid w:val="00783715"/>
    <w:rsid w:val="00783807"/>
    <w:rsid w:val="00783AB2"/>
    <w:rsid w:val="00783B5C"/>
    <w:rsid w:val="00783C3F"/>
    <w:rsid w:val="00783C95"/>
    <w:rsid w:val="00783F44"/>
    <w:rsid w:val="007842EC"/>
    <w:rsid w:val="00784584"/>
    <w:rsid w:val="007845EB"/>
    <w:rsid w:val="007849F7"/>
    <w:rsid w:val="00784AAF"/>
    <w:rsid w:val="00785542"/>
    <w:rsid w:val="007857D8"/>
    <w:rsid w:val="00786076"/>
    <w:rsid w:val="007860D9"/>
    <w:rsid w:val="0078655C"/>
    <w:rsid w:val="00786613"/>
    <w:rsid w:val="00786766"/>
    <w:rsid w:val="007869E2"/>
    <w:rsid w:val="00786E51"/>
    <w:rsid w:val="00787240"/>
    <w:rsid w:val="007874D0"/>
    <w:rsid w:val="007877AE"/>
    <w:rsid w:val="00787F32"/>
    <w:rsid w:val="00790020"/>
    <w:rsid w:val="00790350"/>
    <w:rsid w:val="0079038E"/>
    <w:rsid w:val="00790413"/>
    <w:rsid w:val="007905B1"/>
    <w:rsid w:val="007905FE"/>
    <w:rsid w:val="00790C6B"/>
    <w:rsid w:val="007911EF"/>
    <w:rsid w:val="0079140B"/>
    <w:rsid w:val="0079143E"/>
    <w:rsid w:val="00791719"/>
    <w:rsid w:val="00791875"/>
    <w:rsid w:val="00791D01"/>
    <w:rsid w:val="00792143"/>
    <w:rsid w:val="00792A33"/>
    <w:rsid w:val="00792E32"/>
    <w:rsid w:val="007932E3"/>
    <w:rsid w:val="00793499"/>
    <w:rsid w:val="007935DA"/>
    <w:rsid w:val="0079392E"/>
    <w:rsid w:val="00793BC8"/>
    <w:rsid w:val="00793C11"/>
    <w:rsid w:val="00793C5A"/>
    <w:rsid w:val="00794A7D"/>
    <w:rsid w:val="00794C75"/>
    <w:rsid w:val="00794F81"/>
    <w:rsid w:val="007951EB"/>
    <w:rsid w:val="007956F4"/>
    <w:rsid w:val="00795743"/>
    <w:rsid w:val="0079576C"/>
    <w:rsid w:val="00795E73"/>
    <w:rsid w:val="0079629C"/>
    <w:rsid w:val="00796925"/>
    <w:rsid w:val="007975A6"/>
    <w:rsid w:val="00797776"/>
    <w:rsid w:val="00797954"/>
    <w:rsid w:val="00797C89"/>
    <w:rsid w:val="00797F34"/>
    <w:rsid w:val="007A01E1"/>
    <w:rsid w:val="007A04EE"/>
    <w:rsid w:val="007A059F"/>
    <w:rsid w:val="007A07F6"/>
    <w:rsid w:val="007A0E10"/>
    <w:rsid w:val="007A0F75"/>
    <w:rsid w:val="007A10FD"/>
    <w:rsid w:val="007A185E"/>
    <w:rsid w:val="007A2513"/>
    <w:rsid w:val="007A27F9"/>
    <w:rsid w:val="007A2981"/>
    <w:rsid w:val="007A29BE"/>
    <w:rsid w:val="007A2B28"/>
    <w:rsid w:val="007A31E2"/>
    <w:rsid w:val="007A3549"/>
    <w:rsid w:val="007A3867"/>
    <w:rsid w:val="007A3B68"/>
    <w:rsid w:val="007A3D9E"/>
    <w:rsid w:val="007A3F16"/>
    <w:rsid w:val="007A431C"/>
    <w:rsid w:val="007A4355"/>
    <w:rsid w:val="007A4B3D"/>
    <w:rsid w:val="007A4F35"/>
    <w:rsid w:val="007A4FD0"/>
    <w:rsid w:val="007A5003"/>
    <w:rsid w:val="007A503A"/>
    <w:rsid w:val="007A5090"/>
    <w:rsid w:val="007A5A20"/>
    <w:rsid w:val="007A5A7D"/>
    <w:rsid w:val="007A65FC"/>
    <w:rsid w:val="007A68FB"/>
    <w:rsid w:val="007A6D89"/>
    <w:rsid w:val="007A7225"/>
    <w:rsid w:val="007A7299"/>
    <w:rsid w:val="007A73FE"/>
    <w:rsid w:val="007A79C6"/>
    <w:rsid w:val="007A7C87"/>
    <w:rsid w:val="007A7F51"/>
    <w:rsid w:val="007B0391"/>
    <w:rsid w:val="007B04D3"/>
    <w:rsid w:val="007B05C1"/>
    <w:rsid w:val="007B0843"/>
    <w:rsid w:val="007B0A8E"/>
    <w:rsid w:val="007B0D93"/>
    <w:rsid w:val="007B0F84"/>
    <w:rsid w:val="007B10AC"/>
    <w:rsid w:val="007B159B"/>
    <w:rsid w:val="007B240D"/>
    <w:rsid w:val="007B253F"/>
    <w:rsid w:val="007B2690"/>
    <w:rsid w:val="007B26AA"/>
    <w:rsid w:val="007B2954"/>
    <w:rsid w:val="007B2E7E"/>
    <w:rsid w:val="007B30DA"/>
    <w:rsid w:val="007B3437"/>
    <w:rsid w:val="007B35DF"/>
    <w:rsid w:val="007B3DF3"/>
    <w:rsid w:val="007B3ECE"/>
    <w:rsid w:val="007B3F00"/>
    <w:rsid w:val="007B426A"/>
    <w:rsid w:val="007B476D"/>
    <w:rsid w:val="007B497D"/>
    <w:rsid w:val="007B528F"/>
    <w:rsid w:val="007B5757"/>
    <w:rsid w:val="007B5A3E"/>
    <w:rsid w:val="007B6029"/>
    <w:rsid w:val="007B6421"/>
    <w:rsid w:val="007B663F"/>
    <w:rsid w:val="007B6774"/>
    <w:rsid w:val="007B67C0"/>
    <w:rsid w:val="007B6AD7"/>
    <w:rsid w:val="007B6CB1"/>
    <w:rsid w:val="007B7746"/>
    <w:rsid w:val="007B78CC"/>
    <w:rsid w:val="007B78D9"/>
    <w:rsid w:val="007C009F"/>
    <w:rsid w:val="007C0391"/>
    <w:rsid w:val="007C096B"/>
    <w:rsid w:val="007C09CF"/>
    <w:rsid w:val="007C12DD"/>
    <w:rsid w:val="007C1525"/>
    <w:rsid w:val="007C16DA"/>
    <w:rsid w:val="007C1D8F"/>
    <w:rsid w:val="007C24D9"/>
    <w:rsid w:val="007C2622"/>
    <w:rsid w:val="007C2BD0"/>
    <w:rsid w:val="007C2CDB"/>
    <w:rsid w:val="007C2CEA"/>
    <w:rsid w:val="007C2D24"/>
    <w:rsid w:val="007C39BB"/>
    <w:rsid w:val="007C3D10"/>
    <w:rsid w:val="007C4066"/>
    <w:rsid w:val="007C4153"/>
    <w:rsid w:val="007C4585"/>
    <w:rsid w:val="007C48D3"/>
    <w:rsid w:val="007C4968"/>
    <w:rsid w:val="007C4973"/>
    <w:rsid w:val="007C4AF2"/>
    <w:rsid w:val="007C5692"/>
    <w:rsid w:val="007C579C"/>
    <w:rsid w:val="007C5F40"/>
    <w:rsid w:val="007C600D"/>
    <w:rsid w:val="007C69CB"/>
    <w:rsid w:val="007C6C80"/>
    <w:rsid w:val="007C6F2B"/>
    <w:rsid w:val="007C70BD"/>
    <w:rsid w:val="007C726F"/>
    <w:rsid w:val="007C789C"/>
    <w:rsid w:val="007C7F92"/>
    <w:rsid w:val="007D0094"/>
    <w:rsid w:val="007D0A92"/>
    <w:rsid w:val="007D0B84"/>
    <w:rsid w:val="007D0FF5"/>
    <w:rsid w:val="007D102C"/>
    <w:rsid w:val="007D13F3"/>
    <w:rsid w:val="007D142F"/>
    <w:rsid w:val="007D1B4E"/>
    <w:rsid w:val="007D1FDF"/>
    <w:rsid w:val="007D28CC"/>
    <w:rsid w:val="007D344A"/>
    <w:rsid w:val="007D38D0"/>
    <w:rsid w:val="007D39F4"/>
    <w:rsid w:val="007D3CE5"/>
    <w:rsid w:val="007D3CE7"/>
    <w:rsid w:val="007D3D52"/>
    <w:rsid w:val="007D4218"/>
    <w:rsid w:val="007D439B"/>
    <w:rsid w:val="007D44F1"/>
    <w:rsid w:val="007D4A1F"/>
    <w:rsid w:val="007D4F68"/>
    <w:rsid w:val="007D5399"/>
    <w:rsid w:val="007D551D"/>
    <w:rsid w:val="007D5602"/>
    <w:rsid w:val="007D5614"/>
    <w:rsid w:val="007D5C52"/>
    <w:rsid w:val="007D5E1D"/>
    <w:rsid w:val="007D5F10"/>
    <w:rsid w:val="007D607E"/>
    <w:rsid w:val="007D61D3"/>
    <w:rsid w:val="007D652D"/>
    <w:rsid w:val="007D6A3C"/>
    <w:rsid w:val="007D72E7"/>
    <w:rsid w:val="007D73DB"/>
    <w:rsid w:val="007D7622"/>
    <w:rsid w:val="007E0884"/>
    <w:rsid w:val="007E0A23"/>
    <w:rsid w:val="007E0D1B"/>
    <w:rsid w:val="007E0D85"/>
    <w:rsid w:val="007E0E26"/>
    <w:rsid w:val="007E0F3C"/>
    <w:rsid w:val="007E10E9"/>
    <w:rsid w:val="007E1AD5"/>
    <w:rsid w:val="007E1DE6"/>
    <w:rsid w:val="007E213C"/>
    <w:rsid w:val="007E2528"/>
    <w:rsid w:val="007E2B26"/>
    <w:rsid w:val="007E2BBF"/>
    <w:rsid w:val="007E3490"/>
    <w:rsid w:val="007E349F"/>
    <w:rsid w:val="007E3859"/>
    <w:rsid w:val="007E3874"/>
    <w:rsid w:val="007E3B62"/>
    <w:rsid w:val="007E4B5C"/>
    <w:rsid w:val="007E4DC2"/>
    <w:rsid w:val="007E51A8"/>
    <w:rsid w:val="007E52B4"/>
    <w:rsid w:val="007E57E7"/>
    <w:rsid w:val="007E621F"/>
    <w:rsid w:val="007E62D1"/>
    <w:rsid w:val="007E6305"/>
    <w:rsid w:val="007E648E"/>
    <w:rsid w:val="007E6614"/>
    <w:rsid w:val="007E79BD"/>
    <w:rsid w:val="007E7B97"/>
    <w:rsid w:val="007E7B9D"/>
    <w:rsid w:val="007E7C8D"/>
    <w:rsid w:val="007F051C"/>
    <w:rsid w:val="007F06FB"/>
    <w:rsid w:val="007F0E6E"/>
    <w:rsid w:val="007F1433"/>
    <w:rsid w:val="007F159F"/>
    <w:rsid w:val="007F16C4"/>
    <w:rsid w:val="007F1FA1"/>
    <w:rsid w:val="007F257E"/>
    <w:rsid w:val="007F25A4"/>
    <w:rsid w:val="007F27A0"/>
    <w:rsid w:val="007F27FF"/>
    <w:rsid w:val="007F2C8A"/>
    <w:rsid w:val="007F32A7"/>
    <w:rsid w:val="007F3446"/>
    <w:rsid w:val="007F382C"/>
    <w:rsid w:val="007F3CB9"/>
    <w:rsid w:val="007F448D"/>
    <w:rsid w:val="007F45AD"/>
    <w:rsid w:val="007F5370"/>
    <w:rsid w:val="007F5C52"/>
    <w:rsid w:val="007F5E42"/>
    <w:rsid w:val="007F5F9F"/>
    <w:rsid w:val="007F5FA2"/>
    <w:rsid w:val="007F61D6"/>
    <w:rsid w:val="007F6432"/>
    <w:rsid w:val="007F66EE"/>
    <w:rsid w:val="007F6707"/>
    <w:rsid w:val="007F6953"/>
    <w:rsid w:val="007F6A67"/>
    <w:rsid w:val="007F6C61"/>
    <w:rsid w:val="007F72D0"/>
    <w:rsid w:val="007F7628"/>
    <w:rsid w:val="007F7EB6"/>
    <w:rsid w:val="007F7F20"/>
    <w:rsid w:val="008000CA"/>
    <w:rsid w:val="00800244"/>
    <w:rsid w:val="00800588"/>
    <w:rsid w:val="008008BC"/>
    <w:rsid w:val="00800B7C"/>
    <w:rsid w:val="00800F3D"/>
    <w:rsid w:val="008011B0"/>
    <w:rsid w:val="0080176A"/>
    <w:rsid w:val="00801843"/>
    <w:rsid w:val="00801C8C"/>
    <w:rsid w:val="00801DC3"/>
    <w:rsid w:val="00802138"/>
    <w:rsid w:val="0080262F"/>
    <w:rsid w:val="008029A4"/>
    <w:rsid w:val="00802BB3"/>
    <w:rsid w:val="00802C42"/>
    <w:rsid w:val="008032B6"/>
    <w:rsid w:val="008036B4"/>
    <w:rsid w:val="00803BF6"/>
    <w:rsid w:val="00803E31"/>
    <w:rsid w:val="00804294"/>
    <w:rsid w:val="00804989"/>
    <w:rsid w:val="00804A9F"/>
    <w:rsid w:val="0080542E"/>
    <w:rsid w:val="0080549C"/>
    <w:rsid w:val="008061F5"/>
    <w:rsid w:val="0080663D"/>
    <w:rsid w:val="00806CB6"/>
    <w:rsid w:val="0080716D"/>
    <w:rsid w:val="00807DD4"/>
    <w:rsid w:val="00807F1B"/>
    <w:rsid w:val="00807FE2"/>
    <w:rsid w:val="00810A90"/>
    <w:rsid w:val="00810B1B"/>
    <w:rsid w:val="008111E8"/>
    <w:rsid w:val="00811A0B"/>
    <w:rsid w:val="00811C80"/>
    <w:rsid w:val="00813390"/>
    <w:rsid w:val="0081387C"/>
    <w:rsid w:val="00814B4E"/>
    <w:rsid w:val="00814DE3"/>
    <w:rsid w:val="008150E2"/>
    <w:rsid w:val="00815441"/>
    <w:rsid w:val="008155D2"/>
    <w:rsid w:val="008155E2"/>
    <w:rsid w:val="008156C0"/>
    <w:rsid w:val="00816072"/>
    <w:rsid w:val="0081630F"/>
    <w:rsid w:val="00816401"/>
    <w:rsid w:val="008164FE"/>
    <w:rsid w:val="00816691"/>
    <w:rsid w:val="008166E3"/>
    <w:rsid w:val="00816DA4"/>
    <w:rsid w:val="00817762"/>
    <w:rsid w:val="0082050F"/>
    <w:rsid w:val="00820547"/>
    <w:rsid w:val="00820722"/>
    <w:rsid w:val="00820742"/>
    <w:rsid w:val="00820ADC"/>
    <w:rsid w:val="00820B25"/>
    <w:rsid w:val="00820BA8"/>
    <w:rsid w:val="00820E8E"/>
    <w:rsid w:val="008213A1"/>
    <w:rsid w:val="00821969"/>
    <w:rsid w:val="008219AB"/>
    <w:rsid w:val="00821CE1"/>
    <w:rsid w:val="00821FAF"/>
    <w:rsid w:val="00822A20"/>
    <w:rsid w:val="00822D60"/>
    <w:rsid w:val="00823168"/>
    <w:rsid w:val="008233A2"/>
    <w:rsid w:val="00823453"/>
    <w:rsid w:val="00823615"/>
    <w:rsid w:val="00823806"/>
    <w:rsid w:val="00823847"/>
    <w:rsid w:val="0082390A"/>
    <w:rsid w:val="00823A46"/>
    <w:rsid w:val="00823F4F"/>
    <w:rsid w:val="00824237"/>
    <w:rsid w:val="008246DE"/>
    <w:rsid w:val="00824A50"/>
    <w:rsid w:val="00825348"/>
    <w:rsid w:val="00825403"/>
    <w:rsid w:val="00825462"/>
    <w:rsid w:val="0082560C"/>
    <w:rsid w:val="00825BDD"/>
    <w:rsid w:val="00825E18"/>
    <w:rsid w:val="008266DE"/>
    <w:rsid w:val="00826852"/>
    <w:rsid w:val="00826B34"/>
    <w:rsid w:val="00826E16"/>
    <w:rsid w:val="00826F68"/>
    <w:rsid w:val="00827AEE"/>
    <w:rsid w:val="00827B9D"/>
    <w:rsid w:val="00827F2E"/>
    <w:rsid w:val="00827F5D"/>
    <w:rsid w:val="00827FCA"/>
    <w:rsid w:val="0083016C"/>
    <w:rsid w:val="008302C8"/>
    <w:rsid w:val="00830BC0"/>
    <w:rsid w:val="00830F87"/>
    <w:rsid w:val="00831204"/>
    <w:rsid w:val="008316DE"/>
    <w:rsid w:val="00831829"/>
    <w:rsid w:val="00831C87"/>
    <w:rsid w:val="008327A0"/>
    <w:rsid w:val="00832A7E"/>
    <w:rsid w:val="00832AC4"/>
    <w:rsid w:val="00832BDA"/>
    <w:rsid w:val="00832DAC"/>
    <w:rsid w:val="00832EED"/>
    <w:rsid w:val="008333C8"/>
    <w:rsid w:val="00833627"/>
    <w:rsid w:val="00833B62"/>
    <w:rsid w:val="00833BAB"/>
    <w:rsid w:val="00833E53"/>
    <w:rsid w:val="008340D5"/>
    <w:rsid w:val="0083460F"/>
    <w:rsid w:val="008348E6"/>
    <w:rsid w:val="00834B08"/>
    <w:rsid w:val="00835573"/>
    <w:rsid w:val="0083598D"/>
    <w:rsid w:val="008359A8"/>
    <w:rsid w:val="00835B57"/>
    <w:rsid w:val="00835BB7"/>
    <w:rsid w:val="00835CCD"/>
    <w:rsid w:val="00835E62"/>
    <w:rsid w:val="00835FD0"/>
    <w:rsid w:val="00836258"/>
    <w:rsid w:val="008363A9"/>
    <w:rsid w:val="008365B4"/>
    <w:rsid w:val="0083667D"/>
    <w:rsid w:val="008369CA"/>
    <w:rsid w:val="00837C4E"/>
    <w:rsid w:val="00837FCB"/>
    <w:rsid w:val="0084001F"/>
    <w:rsid w:val="00840339"/>
    <w:rsid w:val="00840378"/>
    <w:rsid w:val="00840B08"/>
    <w:rsid w:val="0084107B"/>
    <w:rsid w:val="00841427"/>
    <w:rsid w:val="008414C0"/>
    <w:rsid w:val="008419E2"/>
    <w:rsid w:val="00841B92"/>
    <w:rsid w:val="00841BE5"/>
    <w:rsid w:val="0084243D"/>
    <w:rsid w:val="0084255D"/>
    <w:rsid w:val="008426F9"/>
    <w:rsid w:val="00842799"/>
    <w:rsid w:val="00842BC0"/>
    <w:rsid w:val="00842F1C"/>
    <w:rsid w:val="0084317A"/>
    <w:rsid w:val="008434BA"/>
    <w:rsid w:val="00843773"/>
    <w:rsid w:val="008437D7"/>
    <w:rsid w:val="00843CE4"/>
    <w:rsid w:val="00843DA3"/>
    <w:rsid w:val="00844A09"/>
    <w:rsid w:val="00844BE1"/>
    <w:rsid w:val="00844C9A"/>
    <w:rsid w:val="00845455"/>
    <w:rsid w:val="00845E3B"/>
    <w:rsid w:val="00846228"/>
    <w:rsid w:val="00846A97"/>
    <w:rsid w:val="00846B14"/>
    <w:rsid w:val="00846E64"/>
    <w:rsid w:val="00846E87"/>
    <w:rsid w:val="00846FCD"/>
    <w:rsid w:val="00850813"/>
    <w:rsid w:val="008509BA"/>
    <w:rsid w:val="00850B46"/>
    <w:rsid w:val="00850E64"/>
    <w:rsid w:val="0085110B"/>
    <w:rsid w:val="008518C6"/>
    <w:rsid w:val="00851E58"/>
    <w:rsid w:val="008520B3"/>
    <w:rsid w:val="00852104"/>
    <w:rsid w:val="008522E6"/>
    <w:rsid w:val="0085267E"/>
    <w:rsid w:val="00853736"/>
    <w:rsid w:val="008540B6"/>
    <w:rsid w:val="0085417B"/>
    <w:rsid w:val="008543B7"/>
    <w:rsid w:val="008544F1"/>
    <w:rsid w:val="0085471D"/>
    <w:rsid w:val="00854A81"/>
    <w:rsid w:val="00854F99"/>
    <w:rsid w:val="00854FB1"/>
    <w:rsid w:val="008553FF"/>
    <w:rsid w:val="00855401"/>
    <w:rsid w:val="00855928"/>
    <w:rsid w:val="00855F30"/>
    <w:rsid w:val="0085607B"/>
    <w:rsid w:val="008568B5"/>
    <w:rsid w:val="00856BA5"/>
    <w:rsid w:val="00856CE2"/>
    <w:rsid w:val="00856F0F"/>
    <w:rsid w:val="0085737C"/>
    <w:rsid w:val="00857418"/>
    <w:rsid w:val="00857993"/>
    <w:rsid w:val="00857A15"/>
    <w:rsid w:val="00857CBA"/>
    <w:rsid w:val="00857D57"/>
    <w:rsid w:val="00857FC7"/>
    <w:rsid w:val="008600BC"/>
    <w:rsid w:val="00860484"/>
    <w:rsid w:val="00860556"/>
    <w:rsid w:val="008606BA"/>
    <w:rsid w:val="0086077D"/>
    <w:rsid w:val="008614BC"/>
    <w:rsid w:val="008614C7"/>
    <w:rsid w:val="008617E3"/>
    <w:rsid w:val="008621C0"/>
    <w:rsid w:val="008629FB"/>
    <w:rsid w:val="00862C92"/>
    <w:rsid w:val="00862EE3"/>
    <w:rsid w:val="00863295"/>
    <w:rsid w:val="00863490"/>
    <w:rsid w:val="00863536"/>
    <w:rsid w:val="008646BF"/>
    <w:rsid w:val="0086479C"/>
    <w:rsid w:val="00864A5E"/>
    <w:rsid w:val="00865DB1"/>
    <w:rsid w:val="008665C1"/>
    <w:rsid w:val="0086678A"/>
    <w:rsid w:val="0086689B"/>
    <w:rsid w:val="00866BF5"/>
    <w:rsid w:val="0086723E"/>
    <w:rsid w:val="008673D3"/>
    <w:rsid w:val="00867414"/>
    <w:rsid w:val="008674EE"/>
    <w:rsid w:val="008675D6"/>
    <w:rsid w:val="00867637"/>
    <w:rsid w:val="0086775F"/>
    <w:rsid w:val="00867C2E"/>
    <w:rsid w:val="00867DEF"/>
    <w:rsid w:val="008700B4"/>
    <w:rsid w:val="0087041F"/>
    <w:rsid w:val="00870F4D"/>
    <w:rsid w:val="00871364"/>
    <w:rsid w:val="0087173A"/>
    <w:rsid w:val="00871881"/>
    <w:rsid w:val="008726B8"/>
    <w:rsid w:val="00872969"/>
    <w:rsid w:val="00872D73"/>
    <w:rsid w:val="00872EF7"/>
    <w:rsid w:val="00873368"/>
    <w:rsid w:val="00873670"/>
    <w:rsid w:val="0087388E"/>
    <w:rsid w:val="00873BAE"/>
    <w:rsid w:val="00873F0A"/>
    <w:rsid w:val="0087411C"/>
    <w:rsid w:val="0087443D"/>
    <w:rsid w:val="0087457F"/>
    <w:rsid w:val="00874C9B"/>
    <w:rsid w:val="00875321"/>
    <w:rsid w:val="00875552"/>
    <w:rsid w:val="00875A60"/>
    <w:rsid w:val="00875B3D"/>
    <w:rsid w:val="00875D50"/>
    <w:rsid w:val="008763D1"/>
    <w:rsid w:val="00876711"/>
    <w:rsid w:val="0087683B"/>
    <w:rsid w:val="00876BAA"/>
    <w:rsid w:val="00877728"/>
    <w:rsid w:val="0087792B"/>
    <w:rsid w:val="00877F43"/>
    <w:rsid w:val="00880793"/>
    <w:rsid w:val="00880831"/>
    <w:rsid w:val="00880A0D"/>
    <w:rsid w:val="00880EF8"/>
    <w:rsid w:val="00880EFF"/>
    <w:rsid w:val="0088104F"/>
    <w:rsid w:val="0088105A"/>
    <w:rsid w:val="008817E2"/>
    <w:rsid w:val="00882213"/>
    <w:rsid w:val="008827AD"/>
    <w:rsid w:val="00882A78"/>
    <w:rsid w:val="00882F7E"/>
    <w:rsid w:val="0088402A"/>
    <w:rsid w:val="008848F0"/>
    <w:rsid w:val="00884CA8"/>
    <w:rsid w:val="00884E9A"/>
    <w:rsid w:val="00884EC2"/>
    <w:rsid w:val="00885581"/>
    <w:rsid w:val="00885FC1"/>
    <w:rsid w:val="00886039"/>
    <w:rsid w:val="008864E6"/>
    <w:rsid w:val="008869FB"/>
    <w:rsid w:val="00886B8A"/>
    <w:rsid w:val="00886C08"/>
    <w:rsid w:val="00886F00"/>
    <w:rsid w:val="008870C2"/>
    <w:rsid w:val="008879D0"/>
    <w:rsid w:val="00890308"/>
    <w:rsid w:val="0089083C"/>
    <w:rsid w:val="00890E67"/>
    <w:rsid w:val="00891150"/>
    <w:rsid w:val="00891249"/>
    <w:rsid w:val="008914BF"/>
    <w:rsid w:val="008916E1"/>
    <w:rsid w:val="0089184B"/>
    <w:rsid w:val="0089195A"/>
    <w:rsid w:val="00891A04"/>
    <w:rsid w:val="00891B8B"/>
    <w:rsid w:val="0089212F"/>
    <w:rsid w:val="008926DA"/>
    <w:rsid w:val="0089281E"/>
    <w:rsid w:val="00892829"/>
    <w:rsid w:val="008929C5"/>
    <w:rsid w:val="00892BD5"/>
    <w:rsid w:val="00892F28"/>
    <w:rsid w:val="00892F76"/>
    <w:rsid w:val="00893601"/>
    <w:rsid w:val="00893727"/>
    <w:rsid w:val="00894022"/>
    <w:rsid w:val="008943B5"/>
    <w:rsid w:val="00895076"/>
    <w:rsid w:val="00895128"/>
    <w:rsid w:val="0089527D"/>
    <w:rsid w:val="008952A7"/>
    <w:rsid w:val="008953E7"/>
    <w:rsid w:val="00895B22"/>
    <w:rsid w:val="00895C2D"/>
    <w:rsid w:val="00895C3F"/>
    <w:rsid w:val="00895CD2"/>
    <w:rsid w:val="00895CFD"/>
    <w:rsid w:val="008962FC"/>
    <w:rsid w:val="00896684"/>
    <w:rsid w:val="0089689E"/>
    <w:rsid w:val="0089694E"/>
    <w:rsid w:val="00896984"/>
    <w:rsid w:val="008970E2"/>
    <w:rsid w:val="00897216"/>
    <w:rsid w:val="008979AD"/>
    <w:rsid w:val="00897DEB"/>
    <w:rsid w:val="008A0083"/>
    <w:rsid w:val="008A035B"/>
    <w:rsid w:val="008A064C"/>
    <w:rsid w:val="008A0B8F"/>
    <w:rsid w:val="008A1661"/>
    <w:rsid w:val="008A1816"/>
    <w:rsid w:val="008A1B65"/>
    <w:rsid w:val="008A1B75"/>
    <w:rsid w:val="008A28A2"/>
    <w:rsid w:val="008A3D4B"/>
    <w:rsid w:val="008A3F1F"/>
    <w:rsid w:val="008A4290"/>
    <w:rsid w:val="008A4812"/>
    <w:rsid w:val="008A4A2F"/>
    <w:rsid w:val="008A4E72"/>
    <w:rsid w:val="008A4F9D"/>
    <w:rsid w:val="008A51BA"/>
    <w:rsid w:val="008A554F"/>
    <w:rsid w:val="008A59D7"/>
    <w:rsid w:val="008A5FDF"/>
    <w:rsid w:val="008A63F4"/>
    <w:rsid w:val="008A665C"/>
    <w:rsid w:val="008A66C2"/>
    <w:rsid w:val="008A71FA"/>
    <w:rsid w:val="008A7501"/>
    <w:rsid w:val="008A7717"/>
    <w:rsid w:val="008A7A12"/>
    <w:rsid w:val="008A7D40"/>
    <w:rsid w:val="008B019C"/>
    <w:rsid w:val="008B0417"/>
    <w:rsid w:val="008B0582"/>
    <w:rsid w:val="008B0663"/>
    <w:rsid w:val="008B0718"/>
    <w:rsid w:val="008B07D4"/>
    <w:rsid w:val="008B0E6F"/>
    <w:rsid w:val="008B0EC2"/>
    <w:rsid w:val="008B1B74"/>
    <w:rsid w:val="008B21B9"/>
    <w:rsid w:val="008B2403"/>
    <w:rsid w:val="008B244B"/>
    <w:rsid w:val="008B274D"/>
    <w:rsid w:val="008B2CB1"/>
    <w:rsid w:val="008B374A"/>
    <w:rsid w:val="008B38EB"/>
    <w:rsid w:val="008B3A98"/>
    <w:rsid w:val="008B3B75"/>
    <w:rsid w:val="008B3B7B"/>
    <w:rsid w:val="008B3D61"/>
    <w:rsid w:val="008B3F5D"/>
    <w:rsid w:val="008B400B"/>
    <w:rsid w:val="008B41E9"/>
    <w:rsid w:val="008B4A07"/>
    <w:rsid w:val="008B4B63"/>
    <w:rsid w:val="008B4E04"/>
    <w:rsid w:val="008B55A3"/>
    <w:rsid w:val="008B55AA"/>
    <w:rsid w:val="008B58C0"/>
    <w:rsid w:val="008B5976"/>
    <w:rsid w:val="008B5A39"/>
    <w:rsid w:val="008B608C"/>
    <w:rsid w:val="008B61E0"/>
    <w:rsid w:val="008B680F"/>
    <w:rsid w:val="008B6B73"/>
    <w:rsid w:val="008B6BDD"/>
    <w:rsid w:val="008B6C9B"/>
    <w:rsid w:val="008B74A2"/>
    <w:rsid w:val="008B752C"/>
    <w:rsid w:val="008B798A"/>
    <w:rsid w:val="008B7BA3"/>
    <w:rsid w:val="008B7CED"/>
    <w:rsid w:val="008C06C6"/>
    <w:rsid w:val="008C0A2A"/>
    <w:rsid w:val="008C0B9B"/>
    <w:rsid w:val="008C0D1D"/>
    <w:rsid w:val="008C0E75"/>
    <w:rsid w:val="008C1199"/>
    <w:rsid w:val="008C12B6"/>
    <w:rsid w:val="008C1913"/>
    <w:rsid w:val="008C21E8"/>
    <w:rsid w:val="008C233C"/>
    <w:rsid w:val="008C26C9"/>
    <w:rsid w:val="008C27EE"/>
    <w:rsid w:val="008C2C18"/>
    <w:rsid w:val="008C31D3"/>
    <w:rsid w:val="008C350A"/>
    <w:rsid w:val="008C3A44"/>
    <w:rsid w:val="008C3CB9"/>
    <w:rsid w:val="008C3CE1"/>
    <w:rsid w:val="008C3E7F"/>
    <w:rsid w:val="008C3F43"/>
    <w:rsid w:val="008C3F49"/>
    <w:rsid w:val="008C424E"/>
    <w:rsid w:val="008C4E29"/>
    <w:rsid w:val="008C4F76"/>
    <w:rsid w:val="008C5180"/>
    <w:rsid w:val="008C51E8"/>
    <w:rsid w:val="008C52CB"/>
    <w:rsid w:val="008C58CF"/>
    <w:rsid w:val="008C5913"/>
    <w:rsid w:val="008C5CD7"/>
    <w:rsid w:val="008C5E2D"/>
    <w:rsid w:val="008C6061"/>
    <w:rsid w:val="008C6810"/>
    <w:rsid w:val="008C689E"/>
    <w:rsid w:val="008C6C63"/>
    <w:rsid w:val="008C6DDD"/>
    <w:rsid w:val="008C71C2"/>
    <w:rsid w:val="008C73E2"/>
    <w:rsid w:val="008C7439"/>
    <w:rsid w:val="008C7505"/>
    <w:rsid w:val="008C75F3"/>
    <w:rsid w:val="008C7890"/>
    <w:rsid w:val="008C790A"/>
    <w:rsid w:val="008C7978"/>
    <w:rsid w:val="008C79E5"/>
    <w:rsid w:val="008C7A18"/>
    <w:rsid w:val="008C7CBD"/>
    <w:rsid w:val="008C7EDE"/>
    <w:rsid w:val="008D0739"/>
    <w:rsid w:val="008D1015"/>
    <w:rsid w:val="008D12A5"/>
    <w:rsid w:val="008D141E"/>
    <w:rsid w:val="008D222B"/>
    <w:rsid w:val="008D277C"/>
    <w:rsid w:val="008D2A63"/>
    <w:rsid w:val="008D35F9"/>
    <w:rsid w:val="008D378B"/>
    <w:rsid w:val="008D4054"/>
    <w:rsid w:val="008D40BA"/>
    <w:rsid w:val="008D4A74"/>
    <w:rsid w:val="008D4AEC"/>
    <w:rsid w:val="008D4C53"/>
    <w:rsid w:val="008D54F5"/>
    <w:rsid w:val="008D55FF"/>
    <w:rsid w:val="008D5941"/>
    <w:rsid w:val="008D59C6"/>
    <w:rsid w:val="008D5DC6"/>
    <w:rsid w:val="008D5ED4"/>
    <w:rsid w:val="008D61D0"/>
    <w:rsid w:val="008D6200"/>
    <w:rsid w:val="008D673C"/>
    <w:rsid w:val="008D6782"/>
    <w:rsid w:val="008D6C90"/>
    <w:rsid w:val="008D6FC0"/>
    <w:rsid w:val="008D72CD"/>
    <w:rsid w:val="008D73EA"/>
    <w:rsid w:val="008D77FB"/>
    <w:rsid w:val="008D7B17"/>
    <w:rsid w:val="008D7B3C"/>
    <w:rsid w:val="008D7E2E"/>
    <w:rsid w:val="008E002C"/>
    <w:rsid w:val="008E02F4"/>
    <w:rsid w:val="008E064A"/>
    <w:rsid w:val="008E1349"/>
    <w:rsid w:val="008E17C6"/>
    <w:rsid w:val="008E17E7"/>
    <w:rsid w:val="008E1D60"/>
    <w:rsid w:val="008E260C"/>
    <w:rsid w:val="008E2B9D"/>
    <w:rsid w:val="008E2C1A"/>
    <w:rsid w:val="008E2E7B"/>
    <w:rsid w:val="008E2E85"/>
    <w:rsid w:val="008E30EC"/>
    <w:rsid w:val="008E326F"/>
    <w:rsid w:val="008E347A"/>
    <w:rsid w:val="008E39D2"/>
    <w:rsid w:val="008E39DD"/>
    <w:rsid w:val="008E3AF8"/>
    <w:rsid w:val="008E3F74"/>
    <w:rsid w:val="008E40E9"/>
    <w:rsid w:val="008E49DE"/>
    <w:rsid w:val="008E49E7"/>
    <w:rsid w:val="008E4C5C"/>
    <w:rsid w:val="008E4F7B"/>
    <w:rsid w:val="008E5195"/>
    <w:rsid w:val="008E5403"/>
    <w:rsid w:val="008E5961"/>
    <w:rsid w:val="008E59CA"/>
    <w:rsid w:val="008E5C09"/>
    <w:rsid w:val="008E6381"/>
    <w:rsid w:val="008E65D2"/>
    <w:rsid w:val="008E680A"/>
    <w:rsid w:val="008E68C6"/>
    <w:rsid w:val="008E6B75"/>
    <w:rsid w:val="008E7042"/>
    <w:rsid w:val="008E71BA"/>
    <w:rsid w:val="008E7242"/>
    <w:rsid w:val="008E79D8"/>
    <w:rsid w:val="008E7C18"/>
    <w:rsid w:val="008E7D3D"/>
    <w:rsid w:val="008E7DDA"/>
    <w:rsid w:val="008E7F17"/>
    <w:rsid w:val="008F00DF"/>
    <w:rsid w:val="008F0114"/>
    <w:rsid w:val="008F0392"/>
    <w:rsid w:val="008F066B"/>
    <w:rsid w:val="008F06E6"/>
    <w:rsid w:val="008F0891"/>
    <w:rsid w:val="008F08CA"/>
    <w:rsid w:val="008F1A44"/>
    <w:rsid w:val="008F20C4"/>
    <w:rsid w:val="008F22E4"/>
    <w:rsid w:val="008F2CDB"/>
    <w:rsid w:val="008F31B2"/>
    <w:rsid w:val="008F31DB"/>
    <w:rsid w:val="008F337A"/>
    <w:rsid w:val="008F3684"/>
    <w:rsid w:val="008F3D10"/>
    <w:rsid w:val="008F4314"/>
    <w:rsid w:val="008F4B35"/>
    <w:rsid w:val="008F5181"/>
    <w:rsid w:val="008F52DF"/>
    <w:rsid w:val="008F5308"/>
    <w:rsid w:val="008F58EF"/>
    <w:rsid w:val="008F598F"/>
    <w:rsid w:val="008F6430"/>
    <w:rsid w:val="008F652A"/>
    <w:rsid w:val="008F68A3"/>
    <w:rsid w:val="008F69F9"/>
    <w:rsid w:val="008F6D51"/>
    <w:rsid w:val="008F71C3"/>
    <w:rsid w:val="008F75F9"/>
    <w:rsid w:val="008F7611"/>
    <w:rsid w:val="008F76D0"/>
    <w:rsid w:val="008F78C7"/>
    <w:rsid w:val="008F7BC1"/>
    <w:rsid w:val="00900AD7"/>
    <w:rsid w:val="00900EC4"/>
    <w:rsid w:val="00900FA4"/>
    <w:rsid w:val="00901566"/>
    <w:rsid w:val="00901762"/>
    <w:rsid w:val="00901C6C"/>
    <w:rsid w:val="009023BD"/>
    <w:rsid w:val="0090261E"/>
    <w:rsid w:val="009028D0"/>
    <w:rsid w:val="00902D9E"/>
    <w:rsid w:val="00902EDB"/>
    <w:rsid w:val="00902F05"/>
    <w:rsid w:val="009031D7"/>
    <w:rsid w:val="0090336A"/>
    <w:rsid w:val="009035E9"/>
    <w:rsid w:val="00903622"/>
    <w:rsid w:val="00903984"/>
    <w:rsid w:val="00905345"/>
    <w:rsid w:val="00905448"/>
    <w:rsid w:val="0090553C"/>
    <w:rsid w:val="00905ECA"/>
    <w:rsid w:val="00906237"/>
    <w:rsid w:val="009066C3"/>
    <w:rsid w:val="00906B02"/>
    <w:rsid w:val="00906D10"/>
    <w:rsid w:val="009070F1"/>
    <w:rsid w:val="0090736E"/>
    <w:rsid w:val="00907552"/>
    <w:rsid w:val="00907896"/>
    <w:rsid w:val="00907A05"/>
    <w:rsid w:val="00910047"/>
    <w:rsid w:val="00910244"/>
    <w:rsid w:val="009104E3"/>
    <w:rsid w:val="00910710"/>
    <w:rsid w:val="00910914"/>
    <w:rsid w:val="009109D3"/>
    <w:rsid w:val="00910E31"/>
    <w:rsid w:val="009112FB"/>
    <w:rsid w:val="009114C0"/>
    <w:rsid w:val="00912055"/>
    <w:rsid w:val="009122F8"/>
    <w:rsid w:val="009123BF"/>
    <w:rsid w:val="009123C5"/>
    <w:rsid w:val="0091288A"/>
    <w:rsid w:val="00912BC5"/>
    <w:rsid w:val="00912EBC"/>
    <w:rsid w:val="009130D2"/>
    <w:rsid w:val="00913156"/>
    <w:rsid w:val="009131C0"/>
    <w:rsid w:val="009132D2"/>
    <w:rsid w:val="00913400"/>
    <w:rsid w:val="009134F4"/>
    <w:rsid w:val="009136E2"/>
    <w:rsid w:val="00913714"/>
    <w:rsid w:val="00913DDC"/>
    <w:rsid w:val="00913DFC"/>
    <w:rsid w:val="00913F6B"/>
    <w:rsid w:val="009146FB"/>
    <w:rsid w:val="00915AB6"/>
    <w:rsid w:val="00915F1A"/>
    <w:rsid w:val="00916148"/>
    <w:rsid w:val="009166EF"/>
    <w:rsid w:val="00916C8D"/>
    <w:rsid w:val="00917223"/>
    <w:rsid w:val="009172F5"/>
    <w:rsid w:val="009173A3"/>
    <w:rsid w:val="0091758C"/>
    <w:rsid w:val="009176AD"/>
    <w:rsid w:val="00917B9B"/>
    <w:rsid w:val="00917D95"/>
    <w:rsid w:val="00917E7F"/>
    <w:rsid w:val="00917F7D"/>
    <w:rsid w:val="009202A0"/>
    <w:rsid w:val="00920493"/>
    <w:rsid w:val="009205A5"/>
    <w:rsid w:val="00920606"/>
    <w:rsid w:val="00920B9B"/>
    <w:rsid w:val="00920D94"/>
    <w:rsid w:val="00920D9E"/>
    <w:rsid w:val="00920F81"/>
    <w:rsid w:val="00921303"/>
    <w:rsid w:val="009223EB"/>
    <w:rsid w:val="00922407"/>
    <w:rsid w:val="0092294A"/>
    <w:rsid w:val="00922BF8"/>
    <w:rsid w:val="00923520"/>
    <w:rsid w:val="009239B6"/>
    <w:rsid w:val="00923CBB"/>
    <w:rsid w:val="0092401E"/>
    <w:rsid w:val="00924468"/>
    <w:rsid w:val="009245C1"/>
    <w:rsid w:val="00924CC2"/>
    <w:rsid w:val="00925AE6"/>
    <w:rsid w:val="00925E68"/>
    <w:rsid w:val="00925F5D"/>
    <w:rsid w:val="0092601D"/>
    <w:rsid w:val="009262C1"/>
    <w:rsid w:val="0092668D"/>
    <w:rsid w:val="009266D0"/>
    <w:rsid w:val="00926B71"/>
    <w:rsid w:val="00926CC4"/>
    <w:rsid w:val="00926D4D"/>
    <w:rsid w:val="00927C8D"/>
    <w:rsid w:val="00927D37"/>
    <w:rsid w:val="0093060B"/>
    <w:rsid w:val="00930696"/>
    <w:rsid w:val="0093078E"/>
    <w:rsid w:val="00930B49"/>
    <w:rsid w:val="00930CCE"/>
    <w:rsid w:val="009310B3"/>
    <w:rsid w:val="0093138E"/>
    <w:rsid w:val="009317BE"/>
    <w:rsid w:val="009318B3"/>
    <w:rsid w:val="00931F3B"/>
    <w:rsid w:val="00931FB9"/>
    <w:rsid w:val="00932624"/>
    <w:rsid w:val="00932B61"/>
    <w:rsid w:val="00932BC4"/>
    <w:rsid w:val="00932FCC"/>
    <w:rsid w:val="0093377A"/>
    <w:rsid w:val="00933ACA"/>
    <w:rsid w:val="00933D32"/>
    <w:rsid w:val="00933D3B"/>
    <w:rsid w:val="00934461"/>
    <w:rsid w:val="0093447C"/>
    <w:rsid w:val="009347D0"/>
    <w:rsid w:val="00934AFD"/>
    <w:rsid w:val="00934C7E"/>
    <w:rsid w:val="00934E15"/>
    <w:rsid w:val="009356A1"/>
    <w:rsid w:val="00935824"/>
    <w:rsid w:val="00935C8E"/>
    <w:rsid w:val="00935D5B"/>
    <w:rsid w:val="00935F32"/>
    <w:rsid w:val="0093602E"/>
    <w:rsid w:val="009361CE"/>
    <w:rsid w:val="00936336"/>
    <w:rsid w:val="0093643A"/>
    <w:rsid w:val="009365D6"/>
    <w:rsid w:val="00936FDC"/>
    <w:rsid w:val="00937188"/>
    <w:rsid w:val="009376E2"/>
    <w:rsid w:val="009377C5"/>
    <w:rsid w:val="00937D95"/>
    <w:rsid w:val="00937F50"/>
    <w:rsid w:val="00940019"/>
    <w:rsid w:val="0094053F"/>
    <w:rsid w:val="00940567"/>
    <w:rsid w:val="00940845"/>
    <w:rsid w:val="00940B62"/>
    <w:rsid w:val="009413F5"/>
    <w:rsid w:val="00941656"/>
    <w:rsid w:val="009419F3"/>
    <w:rsid w:val="00941A11"/>
    <w:rsid w:val="00941C5D"/>
    <w:rsid w:val="00941DB9"/>
    <w:rsid w:val="00942623"/>
    <w:rsid w:val="00942A4F"/>
    <w:rsid w:val="00942D9C"/>
    <w:rsid w:val="00942EF3"/>
    <w:rsid w:val="00942F6F"/>
    <w:rsid w:val="009436A7"/>
    <w:rsid w:val="00943F5B"/>
    <w:rsid w:val="00944125"/>
    <w:rsid w:val="0094414C"/>
    <w:rsid w:val="009448D0"/>
    <w:rsid w:val="00944A7C"/>
    <w:rsid w:val="00944D79"/>
    <w:rsid w:val="0094508A"/>
    <w:rsid w:val="009454C3"/>
    <w:rsid w:val="00945D86"/>
    <w:rsid w:val="00945DC2"/>
    <w:rsid w:val="009461F8"/>
    <w:rsid w:val="00946292"/>
    <w:rsid w:val="00947379"/>
    <w:rsid w:val="00947811"/>
    <w:rsid w:val="00947A3E"/>
    <w:rsid w:val="00947DF6"/>
    <w:rsid w:val="00947F33"/>
    <w:rsid w:val="009504E8"/>
    <w:rsid w:val="009509E8"/>
    <w:rsid w:val="00950B5F"/>
    <w:rsid w:val="009512B0"/>
    <w:rsid w:val="00951C93"/>
    <w:rsid w:val="00951D54"/>
    <w:rsid w:val="00952082"/>
    <w:rsid w:val="009523DA"/>
    <w:rsid w:val="009525B7"/>
    <w:rsid w:val="0095287F"/>
    <w:rsid w:val="00952E2C"/>
    <w:rsid w:val="00953258"/>
    <w:rsid w:val="00953961"/>
    <w:rsid w:val="00953C3F"/>
    <w:rsid w:val="00953EAF"/>
    <w:rsid w:val="009540CE"/>
    <w:rsid w:val="00954415"/>
    <w:rsid w:val="00954453"/>
    <w:rsid w:val="0095470C"/>
    <w:rsid w:val="00954985"/>
    <w:rsid w:val="0095504E"/>
    <w:rsid w:val="00955A58"/>
    <w:rsid w:val="00955E4D"/>
    <w:rsid w:val="0095615C"/>
    <w:rsid w:val="009561D8"/>
    <w:rsid w:val="0095675C"/>
    <w:rsid w:val="00956955"/>
    <w:rsid w:val="00956BDE"/>
    <w:rsid w:val="00956DC5"/>
    <w:rsid w:val="00956E7A"/>
    <w:rsid w:val="009575B0"/>
    <w:rsid w:val="009575FF"/>
    <w:rsid w:val="00957D65"/>
    <w:rsid w:val="00957F25"/>
    <w:rsid w:val="00960596"/>
    <w:rsid w:val="009605A4"/>
    <w:rsid w:val="00960639"/>
    <w:rsid w:val="00960856"/>
    <w:rsid w:val="00961935"/>
    <w:rsid w:val="00961A79"/>
    <w:rsid w:val="00961BD1"/>
    <w:rsid w:val="0096202A"/>
    <w:rsid w:val="009627BF"/>
    <w:rsid w:val="009628F3"/>
    <w:rsid w:val="009629CF"/>
    <w:rsid w:val="00962BD8"/>
    <w:rsid w:val="009633E7"/>
    <w:rsid w:val="00963C46"/>
    <w:rsid w:val="00963DA3"/>
    <w:rsid w:val="00963DFF"/>
    <w:rsid w:val="00963E7C"/>
    <w:rsid w:val="00963F86"/>
    <w:rsid w:val="00964032"/>
    <w:rsid w:val="0096468B"/>
    <w:rsid w:val="00964B0F"/>
    <w:rsid w:val="00964B1E"/>
    <w:rsid w:val="00964C25"/>
    <w:rsid w:val="00964C46"/>
    <w:rsid w:val="00965010"/>
    <w:rsid w:val="00965200"/>
    <w:rsid w:val="0096535B"/>
    <w:rsid w:val="0096644D"/>
    <w:rsid w:val="0096646C"/>
    <w:rsid w:val="00966483"/>
    <w:rsid w:val="009664E8"/>
    <w:rsid w:val="00966645"/>
    <w:rsid w:val="00966CC9"/>
    <w:rsid w:val="00967C44"/>
    <w:rsid w:val="00970531"/>
    <w:rsid w:val="009705D3"/>
    <w:rsid w:val="0097075E"/>
    <w:rsid w:val="00970780"/>
    <w:rsid w:val="00970939"/>
    <w:rsid w:val="009718A6"/>
    <w:rsid w:val="00971FD3"/>
    <w:rsid w:val="00972075"/>
    <w:rsid w:val="00972166"/>
    <w:rsid w:val="0097240A"/>
    <w:rsid w:val="009724AE"/>
    <w:rsid w:val="009747D4"/>
    <w:rsid w:val="00974AAC"/>
    <w:rsid w:val="00974AD2"/>
    <w:rsid w:val="0097530D"/>
    <w:rsid w:val="00975477"/>
    <w:rsid w:val="00975F77"/>
    <w:rsid w:val="00975FD8"/>
    <w:rsid w:val="00976089"/>
    <w:rsid w:val="009765BE"/>
    <w:rsid w:val="009769EF"/>
    <w:rsid w:val="00977054"/>
    <w:rsid w:val="0097716C"/>
    <w:rsid w:val="009771C4"/>
    <w:rsid w:val="0097747C"/>
    <w:rsid w:val="009776EA"/>
    <w:rsid w:val="009778F8"/>
    <w:rsid w:val="00977D13"/>
    <w:rsid w:val="00977D6D"/>
    <w:rsid w:val="00977E7F"/>
    <w:rsid w:val="00980179"/>
    <w:rsid w:val="00980302"/>
    <w:rsid w:val="00980888"/>
    <w:rsid w:val="00980B37"/>
    <w:rsid w:val="00980C31"/>
    <w:rsid w:val="00980EB0"/>
    <w:rsid w:val="00981114"/>
    <w:rsid w:val="009815AF"/>
    <w:rsid w:val="00981FFD"/>
    <w:rsid w:val="00982225"/>
    <w:rsid w:val="009823B1"/>
    <w:rsid w:val="00982559"/>
    <w:rsid w:val="009839FC"/>
    <w:rsid w:val="00983F29"/>
    <w:rsid w:val="00984116"/>
    <w:rsid w:val="0098411F"/>
    <w:rsid w:val="0098428A"/>
    <w:rsid w:val="009842FA"/>
    <w:rsid w:val="0098447B"/>
    <w:rsid w:val="0098453E"/>
    <w:rsid w:val="00984A2C"/>
    <w:rsid w:val="0098514F"/>
    <w:rsid w:val="0098537D"/>
    <w:rsid w:val="00985745"/>
    <w:rsid w:val="009858CD"/>
    <w:rsid w:val="00985A21"/>
    <w:rsid w:val="00985D7B"/>
    <w:rsid w:val="0098607B"/>
    <w:rsid w:val="00986326"/>
    <w:rsid w:val="00986368"/>
    <w:rsid w:val="009864ED"/>
    <w:rsid w:val="00986658"/>
    <w:rsid w:val="00986FCC"/>
    <w:rsid w:val="00987180"/>
    <w:rsid w:val="00987464"/>
    <w:rsid w:val="00987479"/>
    <w:rsid w:val="00987618"/>
    <w:rsid w:val="00987D49"/>
    <w:rsid w:val="0099007C"/>
    <w:rsid w:val="009906A2"/>
    <w:rsid w:val="009909A2"/>
    <w:rsid w:val="0099106C"/>
    <w:rsid w:val="00991420"/>
    <w:rsid w:val="009916E6"/>
    <w:rsid w:val="009917BF"/>
    <w:rsid w:val="009917F3"/>
    <w:rsid w:val="00991962"/>
    <w:rsid w:val="00991A83"/>
    <w:rsid w:val="00991CB4"/>
    <w:rsid w:val="00991D3E"/>
    <w:rsid w:val="0099217D"/>
    <w:rsid w:val="00992A8C"/>
    <w:rsid w:val="00992BC9"/>
    <w:rsid w:val="00992CC5"/>
    <w:rsid w:val="00993297"/>
    <w:rsid w:val="009935CE"/>
    <w:rsid w:val="00993659"/>
    <w:rsid w:val="00993938"/>
    <w:rsid w:val="00993AAA"/>
    <w:rsid w:val="009942BF"/>
    <w:rsid w:val="009946F1"/>
    <w:rsid w:val="00994A96"/>
    <w:rsid w:val="00994D8D"/>
    <w:rsid w:val="00994DDD"/>
    <w:rsid w:val="00994FDF"/>
    <w:rsid w:val="009950C9"/>
    <w:rsid w:val="00995309"/>
    <w:rsid w:val="00995ABA"/>
    <w:rsid w:val="00996137"/>
    <w:rsid w:val="00996660"/>
    <w:rsid w:val="00996E37"/>
    <w:rsid w:val="00997252"/>
    <w:rsid w:val="00997D6C"/>
    <w:rsid w:val="00997F98"/>
    <w:rsid w:val="009A052F"/>
    <w:rsid w:val="009A0547"/>
    <w:rsid w:val="009A0920"/>
    <w:rsid w:val="009A0DDC"/>
    <w:rsid w:val="009A0DF3"/>
    <w:rsid w:val="009A1030"/>
    <w:rsid w:val="009A1664"/>
    <w:rsid w:val="009A166A"/>
    <w:rsid w:val="009A178E"/>
    <w:rsid w:val="009A1A4B"/>
    <w:rsid w:val="009A1F87"/>
    <w:rsid w:val="009A219D"/>
    <w:rsid w:val="009A27BE"/>
    <w:rsid w:val="009A27F8"/>
    <w:rsid w:val="009A2822"/>
    <w:rsid w:val="009A2D15"/>
    <w:rsid w:val="009A2D31"/>
    <w:rsid w:val="009A2D71"/>
    <w:rsid w:val="009A2E4A"/>
    <w:rsid w:val="009A32F7"/>
    <w:rsid w:val="009A3689"/>
    <w:rsid w:val="009A3754"/>
    <w:rsid w:val="009A3A81"/>
    <w:rsid w:val="009A3C00"/>
    <w:rsid w:val="009A45DA"/>
    <w:rsid w:val="009A4B95"/>
    <w:rsid w:val="009A4D2D"/>
    <w:rsid w:val="009A5341"/>
    <w:rsid w:val="009A5707"/>
    <w:rsid w:val="009A5805"/>
    <w:rsid w:val="009A5DCC"/>
    <w:rsid w:val="009A5E8A"/>
    <w:rsid w:val="009A637C"/>
    <w:rsid w:val="009A6AFD"/>
    <w:rsid w:val="009A6B9C"/>
    <w:rsid w:val="009A753D"/>
    <w:rsid w:val="009A7929"/>
    <w:rsid w:val="009B03C8"/>
    <w:rsid w:val="009B0789"/>
    <w:rsid w:val="009B0DC8"/>
    <w:rsid w:val="009B139D"/>
    <w:rsid w:val="009B152D"/>
    <w:rsid w:val="009B1D75"/>
    <w:rsid w:val="009B1F41"/>
    <w:rsid w:val="009B1FC7"/>
    <w:rsid w:val="009B1FDF"/>
    <w:rsid w:val="009B20D3"/>
    <w:rsid w:val="009B2113"/>
    <w:rsid w:val="009B2444"/>
    <w:rsid w:val="009B244D"/>
    <w:rsid w:val="009B32D3"/>
    <w:rsid w:val="009B330D"/>
    <w:rsid w:val="009B395A"/>
    <w:rsid w:val="009B395B"/>
    <w:rsid w:val="009B421F"/>
    <w:rsid w:val="009B4C40"/>
    <w:rsid w:val="009B4FCB"/>
    <w:rsid w:val="009B559D"/>
    <w:rsid w:val="009B5F91"/>
    <w:rsid w:val="009B722B"/>
    <w:rsid w:val="009B7258"/>
    <w:rsid w:val="009B75E8"/>
    <w:rsid w:val="009B778E"/>
    <w:rsid w:val="009B7B5A"/>
    <w:rsid w:val="009B7BA5"/>
    <w:rsid w:val="009C0081"/>
    <w:rsid w:val="009C03A3"/>
    <w:rsid w:val="009C055B"/>
    <w:rsid w:val="009C0D41"/>
    <w:rsid w:val="009C0DF8"/>
    <w:rsid w:val="009C1003"/>
    <w:rsid w:val="009C1056"/>
    <w:rsid w:val="009C1D90"/>
    <w:rsid w:val="009C2ACC"/>
    <w:rsid w:val="009C2B17"/>
    <w:rsid w:val="009C2CA6"/>
    <w:rsid w:val="009C2F8D"/>
    <w:rsid w:val="009C30B2"/>
    <w:rsid w:val="009C336A"/>
    <w:rsid w:val="009C37FC"/>
    <w:rsid w:val="009C38DF"/>
    <w:rsid w:val="009C391D"/>
    <w:rsid w:val="009C3AF3"/>
    <w:rsid w:val="009C3B8E"/>
    <w:rsid w:val="009C3E35"/>
    <w:rsid w:val="009C3F05"/>
    <w:rsid w:val="009C3F41"/>
    <w:rsid w:val="009C4331"/>
    <w:rsid w:val="009C4915"/>
    <w:rsid w:val="009C536E"/>
    <w:rsid w:val="009C552A"/>
    <w:rsid w:val="009C5566"/>
    <w:rsid w:val="009C563B"/>
    <w:rsid w:val="009C5731"/>
    <w:rsid w:val="009C573E"/>
    <w:rsid w:val="009C5A4F"/>
    <w:rsid w:val="009C5A84"/>
    <w:rsid w:val="009C5E8D"/>
    <w:rsid w:val="009C64D8"/>
    <w:rsid w:val="009C657E"/>
    <w:rsid w:val="009C6618"/>
    <w:rsid w:val="009C6629"/>
    <w:rsid w:val="009C669A"/>
    <w:rsid w:val="009C6E4B"/>
    <w:rsid w:val="009C75B4"/>
    <w:rsid w:val="009C7B86"/>
    <w:rsid w:val="009C7BD3"/>
    <w:rsid w:val="009C7C34"/>
    <w:rsid w:val="009C7E89"/>
    <w:rsid w:val="009D072F"/>
    <w:rsid w:val="009D09AC"/>
    <w:rsid w:val="009D0C16"/>
    <w:rsid w:val="009D1096"/>
    <w:rsid w:val="009D15EB"/>
    <w:rsid w:val="009D16C2"/>
    <w:rsid w:val="009D185D"/>
    <w:rsid w:val="009D1884"/>
    <w:rsid w:val="009D1A0E"/>
    <w:rsid w:val="009D1DC2"/>
    <w:rsid w:val="009D212D"/>
    <w:rsid w:val="009D290A"/>
    <w:rsid w:val="009D2A34"/>
    <w:rsid w:val="009D2F03"/>
    <w:rsid w:val="009D3022"/>
    <w:rsid w:val="009D318C"/>
    <w:rsid w:val="009D3764"/>
    <w:rsid w:val="009D3886"/>
    <w:rsid w:val="009D3C49"/>
    <w:rsid w:val="009D3E29"/>
    <w:rsid w:val="009D3E47"/>
    <w:rsid w:val="009D4042"/>
    <w:rsid w:val="009D4362"/>
    <w:rsid w:val="009D4406"/>
    <w:rsid w:val="009D46FC"/>
    <w:rsid w:val="009D4C2D"/>
    <w:rsid w:val="009D51A6"/>
    <w:rsid w:val="009D53CF"/>
    <w:rsid w:val="009D5632"/>
    <w:rsid w:val="009D58D4"/>
    <w:rsid w:val="009D5AD1"/>
    <w:rsid w:val="009D5ED7"/>
    <w:rsid w:val="009D67F5"/>
    <w:rsid w:val="009D68EE"/>
    <w:rsid w:val="009D6E2F"/>
    <w:rsid w:val="009D7395"/>
    <w:rsid w:val="009D7414"/>
    <w:rsid w:val="009D748D"/>
    <w:rsid w:val="009D7601"/>
    <w:rsid w:val="009D7B5D"/>
    <w:rsid w:val="009D7BAA"/>
    <w:rsid w:val="009E0E9E"/>
    <w:rsid w:val="009E1B2F"/>
    <w:rsid w:val="009E20B8"/>
    <w:rsid w:val="009E2581"/>
    <w:rsid w:val="009E286B"/>
    <w:rsid w:val="009E35DF"/>
    <w:rsid w:val="009E3811"/>
    <w:rsid w:val="009E3CCF"/>
    <w:rsid w:val="009E407A"/>
    <w:rsid w:val="009E4383"/>
    <w:rsid w:val="009E46C6"/>
    <w:rsid w:val="009E4ED2"/>
    <w:rsid w:val="009E5A95"/>
    <w:rsid w:val="009E5C4F"/>
    <w:rsid w:val="009E5DE4"/>
    <w:rsid w:val="009E65C6"/>
    <w:rsid w:val="009E664E"/>
    <w:rsid w:val="009E6884"/>
    <w:rsid w:val="009E69A1"/>
    <w:rsid w:val="009E6F9C"/>
    <w:rsid w:val="009E70A2"/>
    <w:rsid w:val="009E745C"/>
    <w:rsid w:val="009E76E1"/>
    <w:rsid w:val="009E797C"/>
    <w:rsid w:val="009E7EBF"/>
    <w:rsid w:val="009F0105"/>
    <w:rsid w:val="009F05C2"/>
    <w:rsid w:val="009F08A1"/>
    <w:rsid w:val="009F0E60"/>
    <w:rsid w:val="009F1024"/>
    <w:rsid w:val="009F1578"/>
    <w:rsid w:val="009F17B3"/>
    <w:rsid w:val="009F186E"/>
    <w:rsid w:val="009F1980"/>
    <w:rsid w:val="009F1A6D"/>
    <w:rsid w:val="009F2340"/>
    <w:rsid w:val="009F24F7"/>
    <w:rsid w:val="009F2B7C"/>
    <w:rsid w:val="009F2E97"/>
    <w:rsid w:val="009F2EF6"/>
    <w:rsid w:val="009F3142"/>
    <w:rsid w:val="009F356C"/>
    <w:rsid w:val="009F399C"/>
    <w:rsid w:val="009F3C03"/>
    <w:rsid w:val="009F409E"/>
    <w:rsid w:val="009F439B"/>
    <w:rsid w:val="009F47AF"/>
    <w:rsid w:val="009F49A1"/>
    <w:rsid w:val="009F4B83"/>
    <w:rsid w:val="009F4BE3"/>
    <w:rsid w:val="009F4D57"/>
    <w:rsid w:val="009F4D68"/>
    <w:rsid w:val="009F502D"/>
    <w:rsid w:val="009F509A"/>
    <w:rsid w:val="009F530A"/>
    <w:rsid w:val="009F58D8"/>
    <w:rsid w:val="009F5930"/>
    <w:rsid w:val="009F5A11"/>
    <w:rsid w:val="009F5C86"/>
    <w:rsid w:val="009F675D"/>
    <w:rsid w:val="009F72EA"/>
    <w:rsid w:val="009F7512"/>
    <w:rsid w:val="009F7746"/>
    <w:rsid w:val="00A00B7D"/>
    <w:rsid w:val="00A00B8A"/>
    <w:rsid w:val="00A00D3B"/>
    <w:rsid w:val="00A01205"/>
    <w:rsid w:val="00A012F4"/>
    <w:rsid w:val="00A01544"/>
    <w:rsid w:val="00A02145"/>
    <w:rsid w:val="00A02808"/>
    <w:rsid w:val="00A02ED7"/>
    <w:rsid w:val="00A035C0"/>
    <w:rsid w:val="00A03741"/>
    <w:rsid w:val="00A03A58"/>
    <w:rsid w:val="00A03BAE"/>
    <w:rsid w:val="00A03E18"/>
    <w:rsid w:val="00A03FC4"/>
    <w:rsid w:val="00A043AB"/>
    <w:rsid w:val="00A045F7"/>
    <w:rsid w:val="00A04CEC"/>
    <w:rsid w:val="00A04F25"/>
    <w:rsid w:val="00A05515"/>
    <w:rsid w:val="00A058B0"/>
    <w:rsid w:val="00A058CA"/>
    <w:rsid w:val="00A058D8"/>
    <w:rsid w:val="00A065EE"/>
    <w:rsid w:val="00A069D7"/>
    <w:rsid w:val="00A06EE5"/>
    <w:rsid w:val="00A0707E"/>
    <w:rsid w:val="00A075A3"/>
    <w:rsid w:val="00A07969"/>
    <w:rsid w:val="00A07C35"/>
    <w:rsid w:val="00A07CE2"/>
    <w:rsid w:val="00A07E0C"/>
    <w:rsid w:val="00A07F7B"/>
    <w:rsid w:val="00A10084"/>
    <w:rsid w:val="00A10A4D"/>
    <w:rsid w:val="00A10F12"/>
    <w:rsid w:val="00A11298"/>
    <w:rsid w:val="00A11310"/>
    <w:rsid w:val="00A11430"/>
    <w:rsid w:val="00A125C2"/>
    <w:rsid w:val="00A12E4D"/>
    <w:rsid w:val="00A1307E"/>
    <w:rsid w:val="00A13D87"/>
    <w:rsid w:val="00A13F28"/>
    <w:rsid w:val="00A13F81"/>
    <w:rsid w:val="00A13FDE"/>
    <w:rsid w:val="00A14130"/>
    <w:rsid w:val="00A145A4"/>
    <w:rsid w:val="00A145D9"/>
    <w:rsid w:val="00A1485D"/>
    <w:rsid w:val="00A14AA2"/>
    <w:rsid w:val="00A14DAE"/>
    <w:rsid w:val="00A14E3E"/>
    <w:rsid w:val="00A15197"/>
    <w:rsid w:val="00A15808"/>
    <w:rsid w:val="00A15995"/>
    <w:rsid w:val="00A15E20"/>
    <w:rsid w:val="00A15E5A"/>
    <w:rsid w:val="00A163E4"/>
    <w:rsid w:val="00A16528"/>
    <w:rsid w:val="00A165A2"/>
    <w:rsid w:val="00A166BE"/>
    <w:rsid w:val="00A16727"/>
    <w:rsid w:val="00A16DFF"/>
    <w:rsid w:val="00A17387"/>
    <w:rsid w:val="00A1762B"/>
    <w:rsid w:val="00A17BFB"/>
    <w:rsid w:val="00A2015A"/>
    <w:rsid w:val="00A20755"/>
    <w:rsid w:val="00A20854"/>
    <w:rsid w:val="00A210B7"/>
    <w:rsid w:val="00A21493"/>
    <w:rsid w:val="00A214FF"/>
    <w:rsid w:val="00A218E7"/>
    <w:rsid w:val="00A219D0"/>
    <w:rsid w:val="00A21AC2"/>
    <w:rsid w:val="00A22084"/>
    <w:rsid w:val="00A22457"/>
    <w:rsid w:val="00A22492"/>
    <w:rsid w:val="00A2260F"/>
    <w:rsid w:val="00A22A66"/>
    <w:rsid w:val="00A230BF"/>
    <w:rsid w:val="00A235F0"/>
    <w:rsid w:val="00A23F29"/>
    <w:rsid w:val="00A23FBE"/>
    <w:rsid w:val="00A2455B"/>
    <w:rsid w:val="00A24760"/>
    <w:rsid w:val="00A247F3"/>
    <w:rsid w:val="00A24C94"/>
    <w:rsid w:val="00A24E6A"/>
    <w:rsid w:val="00A24EA0"/>
    <w:rsid w:val="00A2632F"/>
    <w:rsid w:val="00A266E1"/>
    <w:rsid w:val="00A26CA0"/>
    <w:rsid w:val="00A26F66"/>
    <w:rsid w:val="00A274CE"/>
    <w:rsid w:val="00A27658"/>
    <w:rsid w:val="00A27673"/>
    <w:rsid w:val="00A27BE2"/>
    <w:rsid w:val="00A27C4C"/>
    <w:rsid w:val="00A308A3"/>
    <w:rsid w:val="00A30DE8"/>
    <w:rsid w:val="00A30DEF"/>
    <w:rsid w:val="00A31079"/>
    <w:rsid w:val="00A311FB"/>
    <w:rsid w:val="00A3128E"/>
    <w:rsid w:val="00A3132A"/>
    <w:rsid w:val="00A3172F"/>
    <w:rsid w:val="00A31E54"/>
    <w:rsid w:val="00A3218E"/>
    <w:rsid w:val="00A324F0"/>
    <w:rsid w:val="00A3290F"/>
    <w:rsid w:val="00A329BB"/>
    <w:rsid w:val="00A3318A"/>
    <w:rsid w:val="00A3348C"/>
    <w:rsid w:val="00A33828"/>
    <w:rsid w:val="00A33FC7"/>
    <w:rsid w:val="00A34507"/>
    <w:rsid w:val="00A34E7B"/>
    <w:rsid w:val="00A351EA"/>
    <w:rsid w:val="00A3584E"/>
    <w:rsid w:val="00A358A3"/>
    <w:rsid w:val="00A363EC"/>
    <w:rsid w:val="00A3648A"/>
    <w:rsid w:val="00A36B92"/>
    <w:rsid w:val="00A36B99"/>
    <w:rsid w:val="00A376FD"/>
    <w:rsid w:val="00A378A1"/>
    <w:rsid w:val="00A37C59"/>
    <w:rsid w:val="00A37F55"/>
    <w:rsid w:val="00A401D6"/>
    <w:rsid w:val="00A4096E"/>
    <w:rsid w:val="00A40F95"/>
    <w:rsid w:val="00A41162"/>
    <w:rsid w:val="00A41438"/>
    <w:rsid w:val="00A4185B"/>
    <w:rsid w:val="00A41C70"/>
    <w:rsid w:val="00A41C9A"/>
    <w:rsid w:val="00A42348"/>
    <w:rsid w:val="00A429CA"/>
    <w:rsid w:val="00A431FB"/>
    <w:rsid w:val="00A4342F"/>
    <w:rsid w:val="00A43525"/>
    <w:rsid w:val="00A43868"/>
    <w:rsid w:val="00A43933"/>
    <w:rsid w:val="00A43F18"/>
    <w:rsid w:val="00A44307"/>
    <w:rsid w:val="00A4437D"/>
    <w:rsid w:val="00A44403"/>
    <w:rsid w:val="00A4449C"/>
    <w:rsid w:val="00A44601"/>
    <w:rsid w:val="00A4487E"/>
    <w:rsid w:val="00A44F05"/>
    <w:rsid w:val="00A454F8"/>
    <w:rsid w:val="00A455D6"/>
    <w:rsid w:val="00A45ACC"/>
    <w:rsid w:val="00A45B67"/>
    <w:rsid w:val="00A46002"/>
    <w:rsid w:val="00A461ED"/>
    <w:rsid w:val="00A46345"/>
    <w:rsid w:val="00A46A30"/>
    <w:rsid w:val="00A46A9D"/>
    <w:rsid w:val="00A46D0A"/>
    <w:rsid w:val="00A46EC7"/>
    <w:rsid w:val="00A47060"/>
    <w:rsid w:val="00A4793E"/>
    <w:rsid w:val="00A47A71"/>
    <w:rsid w:val="00A47C91"/>
    <w:rsid w:val="00A47FAF"/>
    <w:rsid w:val="00A47FC5"/>
    <w:rsid w:val="00A5079E"/>
    <w:rsid w:val="00A5087A"/>
    <w:rsid w:val="00A509DF"/>
    <w:rsid w:val="00A50D99"/>
    <w:rsid w:val="00A5116C"/>
    <w:rsid w:val="00A511AE"/>
    <w:rsid w:val="00A512FF"/>
    <w:rsid w:val="00A51377"/>
    <w:rsid w:val="00A515D7"/>
    <w:rsid w:val="00A51F8E"/>
    <w:rsid w:val="00A5207C"/>
    <w:rsid w:val="00A520EC"/>
    <w:rsid w:val="00A52604"/>
    <w:rsid w:val="00A5263A"/>
    <w:rsid w:val="00A5272D"/>
    <w:rsid w:val="00A53B35"/>
    <w:rsid w:val="00A53C4E"/>
    <w:rsid w:val="00A53C64"/>
    <w:rsid w:val="00A542E5"/>
    <w:rsid w:val="00A54583"/>
    <w:rsid w:val="00A546BE"/>
    <w:rsid w:val="00A54747"/>
    <w:rsid w:val="00A54832"/>
    <w:rsid w:val="00A54A9A"/>
    <w:rsid w:val="00A54CC7"/>
    <w:rsid w:val="00A5501B"/>
    <w:rsid w:val="00A55C82"/>
    <w:rsid w:val="00A55D76"/>
    <w:rsid w:val="00A567F9"/>
    <w:rsid w:val="00A5694C"/>
    <w:rsid w:val="00A56F5E"/>
    <w:rsid w:val="00A57B6B"/>
    <w:rsid w:val="00A57CCB"/>
    <w:rsid w:val="00A60039"/>
    <w:rsid w:val="00A61202"/>
    <w:rsid w:val="00A61399"/>
    <w:rsid w:val="00A6152D"/>
    <w:rsid w:val="00A61B03"/>
    <w:rsid w:val="00A61BA6"/>
    <w:rsid w:val="00A61C94"/>
    <w:rsid w:val="00A6215D"/>
    <w:rsid w:val="00A62A24"/>
    <w:rsid w:val="00A62AFC"/>
    <w:rsid w:val="00A62BB8"/>
    <w:rsid w:val="00A62E5A"/>
    <w:rsid w:val="00A6327D"/>
    <w:rsid w:val="00A635A5"/>
    <w:rsid w:val="00A63BA2"/>
    <w:rsid w:val="00A63ED1"/>
    <w:rsid w:val="00A64545"/>
    <w:rsid w:val="00A64624"/>
    <w:rsid w:val="00A64A9C"/>
    <w:rsid w:val="00A64F96"/>
    <w:rsid w:val="00A651C3"/>
    <w:rsid w:val="00A66669"/>
    <w:rsid w:val="00A66B12"/>
    <w:rsid w:val="00A66CF6"/>
    <w:rsid w:val="00A66DB6"/>
    <w:rsid w:val="00A66DD7"/>
    <w:rsid w:val="00A6758D"/>
    <w:rsid w:val="00A677EE"/>
    <w:rsid w:val="00A679A8"/>
    <w:rsid w:val="00A67CA2"/>
    <w:rsid w:val="00A700AD"/>
    <w:rsid w:val="00A70367"/>
    <w:rsid w:val="00A7046B"/>
    <w:rsid w:val="00A70CC4"/>
    <w:rsid w:val="00A71175"/>
    <w:rsid w:val="00A71D50"/>
    <w:rsid w:val="00A7232A"/>
    <w:rsid w:val="00A7267D"/>
    <w:rsid w:val="00A7273A"/>
    <w:rsid w:val="00A72A30"/>
    <w:rsid w:val="00A72A38"/>
    <w:rsid w:val="00A72D20"/>
    <w:rsid w:val="00A72F8B"/>
    <w:rsid w:val="00A735F0"/>
    <w:rsid w:val="00A73986"/>
    <w:rsid w:val="00A73A92"/>
    <w:rsid w:val="00A73B73"/>
    <w:rsid w:val="00A74300"/>
    <w:rsid w:val="00A74A4C"/>
    <w:rsid w:val="00A74D26"/>
    <w:rsid w:val="00A74DB0"/>
    <w:rsid w:val="00A754D9"/>
    <w:rsid w:val="00A7566C"/>
    <w:rsid w:val="00A75C1C"/>
    <w:rsid w:val="00A75C47"/>
    <w:rsid w:val="00A75CDB"/>
    <w:rsid w:val="00A75E1A"/>
    <w:rsid w:val="00A7667E"/>
    <w:rsid w:val="00A76B62"/>
    <w:rsid w:val="00A77791"/>
    <w:rsid w:val="00A778E6"/>
    <w:rsid w:val="00A77AA6"/>
    <w:rsid w:val="00A77E36"/>
    <w:rsid w:val="00A77E6A"/>
    <w:rsid w:val="00A80395"/>
    <w:rsid w:val="00A804E9"/>
    <w:rsid w:val="00A8072F"/>
    <w:rsid w:val="00A80A39"/>
    <w:rsid w:val="00A80B1C"/>
    <w:rsid w:val="00A80DC0"/>
    <w:rsid w:val="00A80FCC"/>
    <w:rsid w:val="00A81443"/>
    <w:rsid w:val="00A818FC"/>
    <w:rsid w:val="00A820F9"/>
    <w:rsid w:val="00A822CF"/>
    <w:rsid w:val="00A8272D"/>
    <w:rsid w:val="00A82A60"/>
    <w:rsid w:val="00A82C81"/>
    <w:rsid w:val="00A8306F"/>
    <w:rsid w:val="00A83364"/>
    <w:rsid w:val="00A833AB"/>
    <w:rsid w:val="00A833D3"/>
    <w:rsid w:val="00A835EA"/>
    <w:rsid w:val="00A83865"/>
    <w:rsid w:val="00A844A9"/>
    <w:rsid w:val="00A847E2"/>
    <w:rsid w:val="00A84A65"/>
    <w:rsid w:val="00A84C7B"/>
    <w:rsid w:val="00A858AC"/>
    <w:rsid w:val="00A85A25"/>
    <w:rsid w:val="00A863E4"/>
    <w:rsid w:val="00A86B36"/>
    <w:rsid w:val="00A86DDD"/>
    <w:rsid w:val="00A86FF0"/>
    <w:rsid w:val="00A870F8"/>
    <w:rsid w:val="00A872BD"/>
    <w:rsid w:val="00A8735F"/>
    <w:rsid w:val="00A8755D"/>
    <w:rsid w:val="00A875F5"/>
    <w:rsid w:val="00A87886"/>
    <w:rsid w:val="00A87903"/>
    <w:rsid w:val="00A87B76"/>
    <w:rsid w:val="00A87D25"/>
    <w:rsid w:val="00A90214"/>
    <w:rsid w:val="00A90478"/>
    <w:rsid w:val="00A906CF"/>
    <w:rsid w:val="00A90C92"/>
    <w:rsid w:val="00A90F5D"/>
    <w:rsid w:val="00A90F9F"/>
    <w:rsid w:val="00A90FEF"/>
    <w:rsid w:val="00A91E08"/>
    <w:rsid w:val="00A92529"/>
    <w:rsid w:val="00A9263E"/>
    <w:rsid w:val="00A92853"/>
    <w:rsid w:val="00A92917"/>
    <w:rsid w:val="00A9294D"/>
    <w:rsid w:val="00A93050"/>
    <w:rsid w:val="00A936F2"/>
    <w:rsid w:val="00A93AC9"/>
    <w:rsid w:val="00A93AD0"/>
    <w:rsid w:val="00A94100"/>
    <w:rsid w:val="00A94288"/>
    <w:rsid w:val="00A947B8"/>
    <w:rsid w:val="00A94C25"/>
    <w:rsid w:val="00A94C4E"/>
    <w:rsid w:val="00A95028"/>
    <w:rsid w:val="00A950EC"/>
    <w:rsid w:val="00A95181"/>
    <w:rsid w:val="00A95339"/>
    <w:rsid w:val="00A95632"/>
    <w:rsid w:val="00A958A4"/>
    <w:rsid w:val="00A962FD"/>
    <w:rsid w:val="00A96472"/>
    <w:rsid w:val="00A96547"/>
    <w:rsid w:val="00A96A4F"/>
    <w:rsid w:val="00A96EBF"/>
    <w:rsid w:val="00A9737F"/>
    <w:rsid w:val="00A9752C"/>
    <w:rsid w:val="00AA0522"/>
    <w:rsid w:val="00AA0527"/>
    <w:rsid w:val="00AA0744"/>
    <w:rsid w:val="00AA0ABD"/>
    <w:rsid w:val="00AA0CAB"/>
    <w:rsid w:val="00AA0F70"/>
    <w:rsid w:val="00AA1498"/>
    <w:rsid w:val="00AA167A"/>
    <w:rsid w:val="00AA172F"/>
    <w:rsid w:val="00AA194C"/>
    <w:rsid w:val="00AA2E3D"/>
    <w:rsid w:val="00AA2FA0"/>
    <w:rsid w:val="00AA3439"/>
    <w:rsid w:val="00AA35C3"/>
    <w:rsid w:val="00AA3D40"/>
    <w:rsid w:val="00AA3DCF"/>
    <w:rsid w:val="00AA425C"/>
    <w:rsid w:val="00AA447F"/>
    <w:rsid w:val="00AA55E0"/>
    <w:rsid w:val="00AA5634"/>
    <w:rsid w:val="00AA56CF"/>
    <w:rsid w:val="00AA582C"/>
    <w:rsid w:val="00AA5EA5"/>
    <w:rsid w:val="00AA6273"/>
    <w:rsid w:val="00AA66F7"/>
    <w:rsid w:val="00AA6C13"/>
    <w:rsid w:val="00AA6C75"/>
    <w:rsid w:val="00AA6CA5"/>
    <w:rsid w:val="00AA716F"/>
    <w:rsid w:val="00AA72D7"/>
    <w:rsid w:val="00AA7B5B"/>
    <w:rsid w:val="00AB0566"/>
    <w:rsid w:val="00AB09D0"/>
    <w:rsid w:val="00AB0DEC"/>
    <w:rsid w:val="00AB1713"/>
    <w:rsid w:val="00AB1AD5"/>
    <w:rsid w:val="00AB1BA4"/>
    <w:rsid w:val="00AB1C1C"/>
    <w:rsid w:val="00AB1FC9"/>
    <w:rsid w:val="00AB21C8"/>
    <w:rsid w:val="00AB249A"/>
    <w:rsid w:val="00AB2C69"/>
    <w:rsid w:val="00AB2C9E"/>
    <w:rsid w:val="00AB304C"/>
    <w:rsid w:val="00AB3FE2"/>
    <w:rsid w:val="00AB4090"/>
    <w:rsid w:val="00AB4122"/>
    <w:rsid w:val="00AB482D"/>
    <w:rsid w:val="00AB4946"/>
    <w:rsid w:val="00AB54FB"/>
    <w:rsid w:val="00AB57F4"/>
    <w:rsid w:val="00AB5DB0"/>
    <w:rsid w:val="00AB612D"/>
    <w:rsid w:val="00AB61E8"/>
    <w:rsid w:val="00AB6B05"/>
    <w:rsid w:val="00AB714A"/>
    <w:rsid w:val="00AB726D"/>
    <w:rsid w:val="00AB7302"/>
    <w:rsid w:val="00AB79FE"/>
    <w:rsid w:val="00AB7A61"/>
    <w:rsid w:val="00AB7AC3"/>
    <w:rsid w:val="00AB7B0C"/>
    <w:rsid w:val="00AC01CE"/>
    <w:rsid w:val="00AC05EF"/>
    <w:rsid w:val="00AC0AB8"/>
    <w:rsid w:val="00AC1062"/>
    <w:rsid w:val="00AC1642"/>
    <w:rsid w:val="00AC1AC1"/>
    <w:rsid w:val="00AC1AEE"/>
    <w:rsid w:val="00AC1E9D"/>
    <w:rsid w:val="00AC1EFA"/>
    <w:rsid w:val="00AC1F04"/>
    <w:rsid w:val="00AC1F27"/>
    <w:rsid w:val="00AC2767"/>
    <w:rsid w:val="00AC27A0"/>
    <w:rsid w:val="00AC298C"/>
    <w:rsid w:val="00AC2BA4"/>
    <w:rsid w:val="00AC2BD2"/>
    <w:rsid w:val="00AC2C10"/>
    <w:rsid w:val="00AC2CCE"/>
    <w:rsid w:val="00AC2D25"/>
    <w:rsid w:val="00AC2EA6"/>
    <w:rsid w:val="00AC341E"/>
    <w:rsid w:val="00AC3665"/>
    <w:rsid w:val="00AC4060"/>
    <w:rsid w:val="00AC43FC"/>
    <w:rsid w:val="00AC4645"/>
    <w:rsid w:val="00AC4702"/>
    <w:rsid w:val="00AC477B"/>
    <w:rsid w:val="00AC4C69"/>
    <w:rsid w:val="00AC501F"/>
    <w:rsid w:val="00AC57E0"/>
    <w:rsid w:val="00AC5A5B"/>
    <w:rsid w:val="00AC5BD8"/>
    <w:rsid w:val="00AC5EC0"/>
    <w:rsid w:val="00AC66E4"/>
    <w:rsid w:val="00AC67B2"/>
    <w:rsid w:val="00AC67B4"/>
    <w:rsid w:val="00AC6EAB"/>
    <w:rsid w:val="00AC6FB4"/>
    <w:rsid w:val="00AC7490"/>
    <w:rsid w:val="00AC7C84"/>
    <w:rsid w:val="00AD01FB"/>
    <w:rsid w:val="00AD0D81"/>
    <w:rsid w:val="00AD0DAC"/>
    <w:rsid w:val="00AD0DC1"/>
    <w:rsid w:val="00AD0DF7"/>
    <w:rsid w:val="00AD1199"/>
    <w:rsid w:val="00AD16AE"/>
    <w:rsid w:val="00AD18E7"/>
    <w:rsid w:val="00AD1BCD"/>
    <w:rsid w:val="00AD1E50"/>
    <w:rsid w:val="00AD2066"/>
    <w:rsid w:val="00AD287E"/>
    <w:rsid w:val="00AD2A4D"/>
    <w:rsid w:val="00AD2D2D"/>
    <w:rsid w:val="00AD2E8E"/>
    <w:rsid w:val="00AD2FF5"/>
    <w:rsid w:val="00AD3033"/>
    <w:rsid w:val="00AD3CD2"/>
    <w:rsid w:val="00AD3D2D"/>
    <w:rsid w:val="00AD3E04"/>
    <w:rsid w:val="00AD3FB5"/>
    <w:rsid w:val="00AD402D"/>
    <w:rsid w:val="00AD41AB"/>
    <w:rsid w:val="00AD41ED"/>
    <w:rsid w:val="00AD42BA"/>
    <w:rsid w:val="00AD46DF"/>
    <w:rsid w:val="00AD4C04"/>
    <w:rsid w:val="00AD4C08"/>
    <w:rsid w:val="00AD5341"/>
    <w:rsid w:val="00AD553C"/>
    <w:rsid w:val="00AD56F1"/>
    <w:rsid w:val="00AD5799"/>
    <w:rsid w:val="00AD596A"/>
    <w:rsid w:val="00AD5DE9"/>
    <w:rsid w:val="00AD5F57"/>
    <w:rsid w:val="00AD6238"/>
    <w:rsid w:val="00AD67D2"/>
    <w:rsid w:val="00AD6B35"/>
    <w:rsid w:val="00AD6B43"/>
    <w:rsid w:val="00AD6DB3"/>
    <w:rsid w:val="00AD71A4"/>
    <w:rsid w:val="00AD74CB"/>
    <w:rsid w:val="00AD7B56"/>
    <w:rsid w:val="00AD7F1E"/>
    <w:rsid w:val="00AE0072"/>
    <w:rsid w:val="00AE012F"/>
    <w:rsid w:val="00AE06BB"/>
    <w:rsid w:val="00AE0A9E"/>
    <w:rsid w:val="00AE0CE9"/>
    <w:rsid w:val="00AE0D5E"/>
    <w:rsid w:val="00AE0EF9"/>
    <w:rsid w:val="00AE1336"/>
    <w:rsid w:val="00AE239D"/>
    <w:rsid w:val="00AE2699"/>
    <w:rsid w:val="00AE27FF"/>
    <w:rsid w:val="00AE28E6"/>
    <w:rsid w:val="00AE29E5"/>
    <w:rsid w:val="00AE2E96"/>
    <w:rsid w:val="00AE2F9E"/>
    <w:rsid w:val="00AE3397"/>
    <w:rsid w:val="00AE3AC1"/>
    <w:rsid w:val="00AE3FBB"/>
    <w:rsid w:val="00AE4068"/>
    <w:rsid w:val="00AE4106"/>
    <w:rsid w:val="00AE4752"/>
    <w:rsid w:val="00AE490B"/>
    <w:rsid w:val="00AE4A74"/>
    <w:rsid w:val="00AE4C70"/>
    <w:rsid w:val="00AE5986"/>
    <w:rsid w:val="00AE6FDC"/>
    <w:rsid w:val="00AE711F"/>
    <w:rsid w:val="00AE712C"/>
    <w:rsid w:val="00AE7FE1"/>
    <w:rsid w:val="00AF01C0"/>
    <w:rsid w:val="00AF0290"/>
    <w:rsid w:val="00AF07C8"/>
    <w:rsid w:val="00AF0A9A"/>
    <w:rsid w:val="00AF0B4E"/>
    <w:rsid w:val="00AF0B73"/>
    <w:rsid w:val="00AF15FB"/>
    <w:rsid w:val="00AF1601"/>
    <w:rsid w:val="00AF1675"/>
    <w:rsid w:val="00AF1808"/>
    <w:rsid w:val="00AF1976"/>
    <w:rsid w:val="00AF19E0"/>
    <w:rsid w:val="00AF1F07"/>
    <w:rsid w:val="00AF22D3"/>
    <w:rsid w:val="00AF27A9"/>
    <w:rsid w:val="00AF2906"/>
    <w:rsid w:val="00AF31DF"/>
    <w:rsid w:val="00AF328B"/>
    <w:rsid w:val="00AF335C"/>
    <w:rsid w:val="00AF3C69"/>
    <w:rsid w:val="00AF4658"/>
    <w:rsid w:val="00AF49AE"/>
    <w:rsid w:val="00AF4BD6"/>
    <w:rsid w:val="00AF4F29"/>
    <w:rsid w:val="00AF51E2"/>
    <w:rsid w:val="00AF54E1"/>
    <w:rsid w:val="00AF550B"/>
    <w:rsid w:val="00AF5615"/>
    <w:rsid w:val="00AF59FA"/>
    <w:rsid w:val="00AF60C0"/>
    <w:rsid w:val="00AF644C"/>
    <w:rsid w:val="00AF6484"/>
    <w:rsid w:val="00AF64E4"/>
    <w:rsid w:val="00AF6637"/>
    <w:rsid w:val="00AF6D27"/>
    <w:rsid w:val="00AF7234"/>
    <w:rsid w:val="00AF779D"/>
    <w:rsid w:val="00AF78D8"/>
    <w:rsid w:val="00AF7AC8"/>
    <w:rsid w:val="00AF7E17"/>
    <w:rsid w:val="00B002CE"/>
    <w:rsid w:val="00B00530"/>
    <w:rsid w:val="00B00537"/>
    <w:rsid w:val="00B00B6F"/>
    <w:rsid w:val="00B01713"/>
    <w:rsid w:val="00B01A33"/>
    <w:rsid w:val="00B01C2C"/>
    <w:rsid w:val="00B0225C"/>
    <w:rsid w:val="00B0235F"/>
    <w:rsid w:val="00B028ED"/>
    <w:rsid w:val="00B029FC"/>
    <w:rsid w:val="00B02C8A"/>
    <w:rsid w:val="00B02C9C"/>
    <w:rsid w:val="00B0330B"/>
    <w:rsid w:val="00B037CE"/>
    <w:rsid w:val="00B03939"/>
    <w:rsid w:val="00B03BE6"/>
    <w:rsid w:val="00B04029"/>
    <w:rsid w:val="00B0481A"/>
    <w:rsid w:val="00B050CD"/>
    <w:rsid w:val="00B0527D"/>
    <w:rsid w:val="00B052BD"/>
    <w:rsid w:val="00B05583"/>
    <w:rsid w:val="00B05E12"/>
    <w:rsid w:val="00B06158"/>
    <w:rsid w:val="00B07088"/>
    <w:rsid w:val="00B07698"/>
    <w:rsid w:val="00B077AB"/>
    <w:rsid w:val="00B07863"/>
    <w:rsid w:val="00B07A57"/>
    <w:rsid w:val="00B07A5A"/>
    <w:rsid w:val="00B07CAE"/>
    <w:rsid w:val="00B07F06"/>
    <w:rsid w:val="00B1024A"/>
    <w:rsid w:val="00B1122D"/>
    <w:rsid w:val="00B11459"/>
    <w:rsid w:val="00B1168E"/>
    <w:rsid w:val="00B1195D"/>
    <w:rsid w:val="00B11C7D"/>
    <w:rsid w:val="00B125B2"/>
    <w:rsid w:val="00B12743"/>
    <w:rsid w:val="00B1281F"/>
    <w:rsid w:val="00B12BEC"/>
    <w:rsid w:val="00B12C0A"/>
    <w:rsid w:val="00B12D25"/>
    <w:rsid w:val="00B1492B"/>
    <w:rsid w:val="00B14E05"/>
    <w:rsid w:val="00B1502B"/>
    <w:rsid w:val="00B15348"/>
    <w:rsid w:val="00B15420"/>
    <w:rsid w:val="00B1543F"/>
    <w:rsid w:val="00B154E7"/>
    <w:rsid w:val="00B15692"/>
    <w:rsid w:val="00B15789"/>
    <w:rsid w:val="00B1578A"/>
    <w:rsid w:val="00B159D6"/>
    <w:rsid w:val="00B15BC1"/>
    <w:rsid w:val="00B15CB2"/>
    <w:rsid w:val="00B163C9"/>
    <w:rsid w:val="00B1697E"/>
    <w:rsid w:val="00B16E39"/>
    <w:rsid w:val="00B202B9"/>
    <w:rsid w:val="00B20913"/>
    <w:rsid w:val="00B209CF"/>
    <w:rsid w:val="00B21114"/>
    <w:rsid w:val="00B21987"/>
    <w:rsid w:val="00B21BD8"/>
    <w:rsid w:val="00B22572"/>
    <w:rsid w:val="00B232A0"/>
    <w:rsid w:val="00B232F1"/>
    <w:rsid w:val="00B233A5"/>
    <w:rsid w:val="00B233F8"/>
    <w:rsid w:val="00B235B6"/>
    <w:rsid w:val="00B237A1"/>
    <w:rsid w:val="00B23E6C"/>
    <w:rsid w:val="00B2416D"/>
    <w:rsid w:val="00B24F6E"/>
    <w:rsid w:val="00B253D8"/>
    <w:rsid w:val="00B25487"/>
    <w:rsid w:val="00B264B8"/>
    <w:rsid w:val="00B26539"/>
    <w:rsid w:val="00B2691E"/>
    <w:rsid w:val="00B26AE5"/>
    <w:rsid w:val="00B26C59"/>
    <w:rsid w:val="00B2733B"/>
    <w:rsid w:val="00B27C81"/>
    <w:rsid w:val="00B27C8F"/>
    <w:rsid w:val="00B27CE3"/>
    <w:rsid w:val="00B27F8E"/>
    <w:rsid w:val="00B3044C"/>
    <w:rsid w:val="00B30785"/>
    <w:rsid w:val="00B30C3D"/>
    <w:rsid w:val="00B31004"/>
    <w:rsid w:val="00B310C2"/>
    <w:rsid w:val="00B31170"/>
    <w:rsid w:val="00B31771"/>
    <w:rsid w:val="00B31828"/>
    <w:rsid w:val="00B31838"/>
    <w:rsid w:val="00B31C9D"/>
    <w:rsid w:val="00B31D78"/>
    <w:rsid w:val="00B31E2A"/>
    <w:rsid w:val="00B31E96"/>
    <w:rsid w:val="00B3202C"/>
    <w:rsid w:val="00B32465"/>
    <w:rsid w:val="00B32611"/>
    <w:rsid w:val="00B326BF"/>
    <w:rsid w:val="00B32958"/>
    <w:rsid w:val="00B32C56"/>
    <w:rsid w:val="00B32C57"/>
    <w:rsid w:val="00B32D0F"/>
    <w:rsid w:val="00B33059"/>
    <w:rsid w:val="00B330B7"/>
    <w:rsid w:val="00B3350B"/>
    <w:rsid w:val="00B33951"/>
    <w:rsid w:val="00B339E1"/>
    <w:rsid w:val="00B33A8C"/>
    <w:rsid w:val="00B3443A"/>
    <w:rsid w:val="00B344CA"/>
    <w:rsid w:val="00B34660"/>
    <w:rsid w:val="00B349C5"/>
    <w:rsid w:val="00B34CB4"/>
    <w:rsid w:val="00B34ECE"/>
    <w:rsid w:val="00B354BF"/>
    <w:rsid w:val="00B3555A"/>
    <w:rsid w:val="00B3569C"/>
    <w:rsid w:val="00B3587A"/>
    <w:rsid w:val="00B359AD"/>
    <w:rsid w:val="00B35A00"/>
    <w:rsid w:val="00B35C0E"/>
    <w:rsid w:val="00B3617F"/>
    <w:rsid w:val="00B369AD"/>
    <w:rsid w:val="00B37238"/>
    <w:rsid w:val="00B3784B"/>
    <w:rsid w:val="00B378B3"/>
    <w:rsid w:val="00B37BDF"/>
    <w:rsid w:val="00B37E7D"/>
    <w:rsid w:val="00B40093"/>
    <w:rsid w:val="00B403BE"/>
    <w:rsid w:val="00B404D6"/>
    <w:rsid w:val="00B4057F"/>
    <w:rsid w:val="00B406C7"/>
    <w:rsid w:val="00B40CDD"/>
    <w:rsid w:val="00B40F69"/>
    <w:rsid w:val="00B4106B"/>
    <w:rsid w:val="00B41353"/>
    <w:rsid w:val="00B41E8D"/>
    <w:rsid w:val="00B425DD"/>
    <w:rsid w:val="00B42A14"/>
    <w:rsid w:val="00B42CB9"/>
    <w:rsid w:val="00B43415"/>
    <w:rsid w:val="00B44259"/>
    <w:rsid w:val="00B4427F"/>
    <w:rsid w:val="00B446D1"/>
    <w:rsid w:val="00B447F4"/>
    <w:rsid w:val="00B449F4"/>
    <w:rsid w:val="00B44B67"/>
    <w:rsid w:val="00B44D55"/>
    <w:rsid w:val="00B44F95"/>
    <w:rsid w:val="00B450AD"/>
    <w:rsid w:val="00B4606A"/>
    <w:rsid w:val="00B46305"/>
    <w:rsid w:val="00B463EE"/>
    <w:rsid w:val="00B46E82"/>
    <w:rsid w:val="00B47A95"/>
    <w:rsid w:val="00B47D07"/>
    <w:rsid w:val="00B47FF7"/>
    <w:rsid w:val="00B502F9"/>
    <w:rsid w:val="00B5043A"/>
    <w:rsid w:val="00B50523"/>
    <w:rsid w:val="00B50552"/>
    <w:rsid w:val="00B508B0"/>
    <w:rsid w:val="00B50982"/>
    <w:rsid w:val="00B512BD"/>
    <w:rsid w:val="00B51783"/>
    <w:rsid w:val="00B51DCB"/>
    <w:rsid w:val="00B5225B"/>
    <w:rsid w:val="00B528D5"/>
    <w:rsid w:val="00B53025"/>
    <w:rsid w:val="00B534CB"/>
    <w:rsid w:val="00B53FDF"/>
    <w:rsid w:val="00B54010"/>
    <w:rsid w:val="00B54058"/>
    <w:rsid w:val="00B54088"/>
    <w:rsid w:val="00B540D6"/>
    <w:rsid w:val="00B546D3"/>
    <w:rsid w:val="00B54900"/>
    <w:rsid w:val="00B54A99"/>
    <w:rsid w:val="00B54D9F"/>
    <w:rsid w:val="00B54E0E"/>
    <w:rsid w:val="00B54FCE"/>
    <w:rsid w:val="00B552D6"/>
    <w:rsid w:val="00B55354"/>
    <w:rsid w:val="00B55549"/>
    <w:rsid w:val="00B55A46"/>
    <w:rsid w:val="00B56009"/>
    <w:rsid w:val="00B56650"/>
    <w:rsid w:val="00B567FD"/>
    <w:rsid w:val="00B5697C"/>
    <w:rsid w:val="00B56ED8"/>
    <w:rsid w:val="00B5724A"/>
    <w:rsid w:val="00B575A4"/>
    <w:rsid w:val="00B577E2"/>
    <w:rsid w:val="00B578FB"/>
    <w:rsid w:val="00B57A9D"/>
    <w:rsid w:val="00B57B0D"/>
    <w:rsid w:val="00B57D36"/>
    <w:rsid w:val="00B57FF4"/>
    <w:rsid w:val="00B60647"/>
    <w:rsid w:val="00B60865"/>
    <w:rsid w:val="00B61698"/>
    <w:rsid w:val="00B61832"/>
    <w:rsid w:val="00B61A06"/>
    <w:rsid w:val="00B61C92"/>
    <w:rsid w:val="00B62A9B"/>
    <w:rsid w:val="00B635A0"/>
    <w:rsid w:val="00B63A9F"/>
    <w:rsid w:val="00B63C39"/>
    <w:rsid w:val="00B63C7F"/>
    <w:rsid w:val="00B63F8E"/>
    <w:rsid w:val="00B63FFB"/>
    <w:rsid w:val="00B6476A"/>
    <w:rsid w:val="00B647A9"/>
    <w:rsid w:val="00B64E6F"/>
    <w:rsid w:val="00B6539F"/>
    <w:rsid w:val="00B6575E"/>
    <w:rsid w:val="00B65969"/>
    <w:rsid w:val="00B6622E"/>
    <w:rsid w:val="00B6638E"/>
    <w:rsid w:val="00B66B2C"/>
    <w:rsid w:val="00B66C34"/>
    <w:rsid w:val="00B66DC5"/>
    <w:rsid w:val="00B66E60"/>
    <w:rsid w:val="00B66E80"/>
    <w:rsid w:val="00B6735A"/>
    <w:rsid w:val="00B67733"/>
    <w:rsid w:val="00B7039C"/>
    <w:rsid w:val="00B709EE"/>
    <w:rsid w:val="00B70A01"/>
    <w:rsid w:val="00B70DDE"/>
    <w:rsid w:val="00B7136E"/>
    <w:rsid w:val="00B713A9"/>
    <w:rsid w:val="00B7150B"/>
    <w:rsid w:val="00B71754"/>
    <w:rsid w:val="00B71B64"/>
    <w:rsid w:val="00B71CE2"/>
    <w:rsid w:val="00B72847"/>
    <w:rsid w:val="00B7298B"/>
    <w:rsid w:val="00B72A1A"/>
    <w:rsid w:val="00B72A4B"/>
    <w:rsid w:val="00B72D29"/>
    <w:rsid w:val="00B73131"/>
    <w:rsid w:val="00B73ECA"/>
    <w:rsid w:val="00B73EF4"/>
    <w:rsid w:val="00B73F45"/>
    <w:rsid w:val="00B7481D"/>
    <w:rsid w:val="00B748E1"/>
    <w:rsid w:val="00B74D9C"/>
    <w:rsid w:val="00B752D0"/>
    <w:rsid w:val="00B75463"/>
    <w:rsid w:val="00B75536"/>
    <w:rsid w:val="00B7574C"/>
    <w:rsid w:val="00B75891"/>
    <w:rsid w:val="00B75BF0"/>
    <w:rsid w:val="00B76446"/>
    <w:rsid w:val="00B76AAA"/>
    <w:rsid w:val="00B76B72"/>
    <w:rsid w:val="00B76F8E"/>
    <w:rsid w:val="00B77227"/>
    <w:rsid w:val="00B77359"/>
    <w:rsid w:val="00B77AAE"/>
    <w:rsid w:val="00B77B27"/>
    <w:rsid w:val="00B80361"/>
    <w:rsid w:val="00B807E5"/>
    <w:rsid w:val="00B8084C"/>
    <w:rsid w:val="00B81327"/>
    <w:rsid w:val="00B81532"/>
    <w:rsid w:val="00B81D50"/>
    <w:rsid w:val="00B81F92"/>
    <w:rsid w:val="00B8205A"/>
    <w:rsid w:val="00B82103"/>
    <w:rsid w:val="00B82477"/>
    <w:rsid w:val="00B82506"/>
    <w:rsid w:val="00B8341D"/>
    <w:rsid w:val="00B83482"/>
    <w:rsid w:val="00B83685"/>
    <w:rsid w:val="00B8472C"/>
    <w:rsid w:val="00B847DF"/>
    <w:rsid w:val="00B84845"/>
    <w:rsid w:val="00B84940"/>
    <w:rsid w:val="00B851F0"/>
    <w:rsid w:val="00B85378"/>
    <w:rsid w:val="00B8620F"/>
    <w:rsid w:val="00B867F3"/>
    <w:rsid w:val="00B86AA0"/>
    <w:rsid w:val="00B86B09"/>
    <w:rsid w:val="00B86BA6"/>
    <w:rsid w:val="00B86F55"/>
    <w:rsid w:val="00B870AF"/>
    <w:rsid w:val="00B878AA"/>
    <w:rsid w:val="00B87B81"/>
    <w:rsid w:val="00B90750"/>
    <w:rsid w:val="00B9089F"/>
    <w:rsid w:val="00B90CC5"/>
    <w:rsid w:val="00B90E5A"/>
    <w:rsid w:val="00B90EC4"/>
    <w:rsid w:val="00B91115"/>
    <w:rsid w:val="00B9167F"/>
    <w:rsid w:val="00B9183F"/>
    <w:rsid w:val="00B91FA2"/>
    <w:rsid w:val="00B921F6"/>
    <w:rsid w:val="00B92490"/>
    <w:rsid w:val="00B92678"/>
    <w:rsid w:val="00B928B3"/>
    <w:rsid w:val="00B928B6"/>
    <w:rsid w:val="00B9329B"/>
    <w:rsid w:val="00B93403"/>
    <w:rsid w:val="00B93B8D"/>
    <w:rsid w:val="00B93EFF"/>
    <w:rsid w:val="00B940B5"/>
    <w:rsid w:val="00B940CD"/>
    <w:rsid w:val="00B944B0"/>
    <w:rsid w:val="00B946FA"/>
    <w:rsid w:val="00B94AEC"/>
    <w:rsid w:val="00B9532C"/>
    <w:rsid w:val="00B95367"/>
    <w:rsid w:val="00B95A5D"/>
    <w:rsid w:val="00B96730"/>
    <w:rsid w:val="00B96D42"/>
    <w:rsid w:val="00B974D8"/>
    <w:rsid w:val="00B9772F"/>
    <w:rsid w:val="00B9782C"/>
    <w:rsid w:val="00B97A09"/>
    <w:rsid w:val="00B97BB2"/>
    <w:rsid w:val="00B97CD7"/>
    <w:rsid w:val="00BA01BF"/>
    <w:rsid w:val="00BA0292"/>
    <w:rsid w:val="00BA051A"/>
    <w:rsid w:val="00BA0661"/>
    <w:rsid w:val="00BA0A43"/>
    <w:rsid w:val="00BA0AEF"/>
    <w:rsid w:val="00BA0D1B"/>
    <w:rsid w:val="00BA0F16"/>
    <w:rsid w:val="00BA0F58"/>
    <w:rsid w:val="00BA12EB"/>
    <w:rsid w:val="00BA14D7"/>
    <w:rsid w:val="00BA1770"/>
    <w:rsid w:val="00BA1BE5"/>
    <w:rsid w:val="00BA1BF7"/>
    <w:rsid w:val="00BA254F"/>
    <w:rsid w:val="00BA2B5B"/>
    <w:rsid w:val="00BA2CC8"/>
    <w:rsid w:val="00BA2E46"/>
    <w:rsid w:val="00BA30E9"/>
    <w:rsid w:val="00BA37F7"/>
    <w:rsid w:val="00BA3BAF"/>
    <w:rsid w:val="00BA42B8"/>
    <w:rsid w:val="00BA43C5"/>
    <w:rsid w:val="00BA4D12"/>
    <w:rsid w:val="00BA52D5"/>
    <w:rsid w:val="00BA54D7"/>
    <w:rsid w:val="00BA5C54"/>
    <w:rsid w:val="00BA5FA6"/>
    <w:rsid w:val="00BA6090"/>
    <w:rsid w:val="00BA64B6"/>
    <w:rsid w:val="00BA6AC4"/>
    <w:rsid w:val="00BA6E73"/>
    <w:rsid w:val="00BA6E79"/>
    <w:rsid w:val="00BA7020"/>
    <w:rsid w:val="00BA7347"/>
    <w:rsid w:val="00BA7AF9"/>
    <w:rsid w:val="00BA7DA1"/>
    <w:rsid w:val="00BB01BF"/>
    <w:rsid w:val="00BB03EB"/>
    <w:rsid w:val="00BB05C1"/>
    <w:rsid w:val="00BB06AD"/>
    <w:rsid w:val="00BB0B70"/>
    <w:rsid w:val="00BB0E22"/>
    <w:rsid w:val="00BB1A5D"/>
    <w:rsid w:val="00BB22DF"/>
    <w:rsid w:val="00BB2906"/>
    <w:rsid w:val="00BB2920"/>
    <w:rsid w:val="00BB2D22"/>
    <w:rsid w:val="00BB37D8"/>
    <w:rsid w:val="00BB411E"/>
    <w:rsid w:val="00BB4546"/>
    <w:rsid w:val="00BB4604"/>
    <w:rsid w:val="00BB4C4F"/>
    <w:rsid w:val="00BB5299"/>
    <w:rsid w:val="00BB586C"/>
    <w:rsid w:val="00BB590A"/>
    <w:rsid w:val="00BB5FFC"/>
    <w:rsid w:val="00BB6664"/>
    <w:rsid w:val="00BB6775"/>
    <w:rsid w:val="00BB74AC"/>
    <w:rsid w:val="00BC02E3"/>
    <w:rsid w:val="00BC04DC"/>
    <w:rsid w:val="00BC0665"/>
    <w:rsid w:val="00BC0BD0"/>
    <w:rsid w:val="00BC12B4"/>
    <w:rsid w:val="00BC1545"/>
    <w:rsid w:val="00BC1617"/>
    <w:rsid w:val="00BC175F"/>
    <w:rsid w:val="00BC19A0"/>
    <w:rsid w:val="00BC19A7"/>
    <w:rsid w:val="00BC1D71"/>
    <w:rsid w:val="00BC21D5"/>
    <w:rsid w:val="00BC2D0E"/>
    <w:rsid w:val="00BC334C"/>
    <w:rsid w:val="00BC3569"/>
    <w:rsid w:val="00BC36CD"/>
    <w:rsid w:val="00BC39DE"/>
    <w:rsid w:val="00BC3DBC"/>
    <w:rsid w:val="00BC3F2C"/>
    <w:rsid w:val="00BC3F78"/>
    <w:rsid w:val="00BC4668"/>
    <w:rsid w:val="00BC46FB"/>
    <w:rsid w:val="00BC487D"/>
    <w:rsid w:val="00BC4A93"/>
    <w:rsid w:val="00BC4DD0"/>
    <w:rsid w:val="00BC5443"/>
    <w:rsid w:val="00BC5AEB"/>
    <w:rsid w:val="00BC5CF3"/>
    <w:rsid w:val="00BC5E0A"/>
    <w:rsid w:val="00BC5E41"/>
    <w:rsid w:val="00BC6689"/>
    <w:rsid w:val="00BC6797"/>
    <w:rsid w:val="00BC6DE1"/>
    <w:rsid w:val="00BC6E82"/>
    <w:rsid w:val="00BC6EFE"/>
    <w:rsid w:val="00BC73A9"/>
    <w:rsid w:val="00BC771B"/>
    <w:rsid w:val="00BC798E"/>
    <w:rsid w:val="00BC79E2"/>
    <w:rsid w:val="00BC7AF6"/>
    <w:rsid w:val="00BC7B22"/>
    <w:rsid w:val="00BD05D7"/>
    <w:rsid w:val="00BD063E"/>
    <w:rsid w:val="00BD0658"/>
    <w:rsid w:val="00BD0F57"/>
    <w:rsid w:val="00BD0F62"/>
    <w:rsid w:val="00BD1087"/>
    <w:rsid w:val="00BD1175"/>
    <w:rsid w:val="00BD1196"/>
    <w:rsid w:val="00BD11C7"/>
    <w:rsid w:val="00BD152D"/>
    <w:rsid w:val="00BD20D1"/>
    <w:rsid w:val="00BD221D"/>
    <w:rsid w:val="00BD24AE"/>
    <w:rsid w:val="00BD297F"/>
    <w:rsid w:val="00BD32C3"/>
    <w:rsid w:val="00BD3807"/>
    <w:rsid w:val="00BD3C6A"/>
    <w:rsid w:val="00BD404D"/>
    <w:rsid w:val="00BD4098"/>
    <w:rsid w:val="00BD4192"/>
    <w:rsid w:val="00BD49BF"/>
    <w:rsid w:val="00BD4CD7"/>
    <w:rsid w:val="00BD4EF6"/>
    <w:rsid w:val="00BD4F70"/>
    <w:rsid w:val="00BD5195"/>
    <w:rsid w:val="00BD5252"/>
    <w:rsid w:val="00BD5A16"/>
    <w:rsid w:val="00BD5B15"/>
    <w:rsid w:val="00BD5E26"/>
    <w:rsid w:val="00BD5F00"/>
    <w:rsid w:val="00BD5F24"/>
    <w:rsid w:val="00BD616A"/>
    <w:rsid w:val="00BD6388"/>
    <w:rsid w:val="00BD6454"/>
    <w:rsid w:val="00BD68A0"/>
    <w:rsid w:val="00BD6F86"/>
    <w:rsid w:val="00BD7141"/>
    <w:rsid w:val="00BD7A50"/>
    <w:rsid w:val="00BD7B9C"/>
    <w:rsid w:val="00BE01BB"/>
    <w:rsid w:val="00BE01E5"/>
    <w:rsid w:val="00BE02E6"/>
    <w:rsid w:val="00BE0A20"/>
    <w:rsid w:val="00BE0D17"/>
    <w:rsid w:val="00BE0FAB"/>
    <w:rsid w:val="00BE1236"/>
    <w:rsid w:val="00BE130E"/>
    <w:rsid w:val="00BE1480"/>
    <w:rsid w:val="00BE15D3"/>
    <w:rsid w:val="00BE1960"/>
    <w:rsid w:val="00BE19A7"/>
    <w:rsid w:val="00BE1A60"/>
    <w:rsid w:val="00BE1FD2"/>
    <w:rsid w:val="00BE20CC"/>
    <w:rsid w:val="00BE2267"/>
    <w:rsid w:val="00BE28B1"/>
    <w:rsid w:val="00BE2958"/>
    <w:rsid w:val="00BE2A1B"/>
    <w:rsid w:val="00BE2EF0"/>
    <w:rsid w:val="00BE2F09"/>
    <w:rsid w:val="00BE3250"/>
    <w:rsid w:val="00BE3BAA"/>
    <w:rsid w:val="00BE4159"/>
    <w:rsid w:val="00BE4489"/>
    <w:rsid w:val="00BE512D"/>
    <w:rsid w:val="00BE518B"/>
    <w:rsid w:val="00BE6177"/>
    <w:rsid w:val="00BE7149"/>
    <w:rsid w:val="00BE718F"/>
    <w:rsid w:val="00BE72C6"/>
    <w:rsid w:val="00BE751F"/>
    <w:rsid w:val="00BE77CA"/>
    <w:rsid w:val="00BE7990"/>
    <w:rsid w:val="00BE7F73"/>
    <w:rsid w:val="00BF003E"/>
    <w:rsid w:val="00BF0936"/>
    <w:rsid w:val="00BF0994"/>
    <w:rsid w:val="00BF09DD"/>
    <w:rsid w:val="00BF0E6D"/>
    <w:rsid w:val="00BF0F4E"/>
    <w:rsid w:val="00BF100B"/>
    <w:rsid w:val="00BF129C"/>
    <w:rsid w:val="00BF167B"/>
    <w:rsid w:val="00BF1928"/>
    <w:rsid w:val="00BF1A5C"/>
    <w:rsid w:val="00BF1B49"/>
    <w:rsid w:val="00BF268E"/>
    <w:rsid w:val="00BF2CFF"/>
    <w:rsid w:val="00BF2E01"/>
    <w:rsid w:val="00BF3293"/>
    <w:rsid w:val="00BF3502"/>
    <w:rsid w:val="00BF37B3"/>
    <w:rsid w:val="00BF3B2E"/>
    <w:rsid w:val="00BF3FA9"/>
    <w:rsid w:val="00BF44CA"/>
    <w:rsid w:val="00BF46B3"/>
    <w:rsid w:val="00BF4BDF"/>
    <w:rsid w:val="00BF4D8F"/>
    <w:rsid w:val="00BF5045"/>
    <w:rsid w:val="00BF5CB5"/>
    <w:rsid w:val="00BF5F0E"/>
    <w:rsid w:val="00BF649C"/>
    <w:rsid w:val="00BF6586"/>
    <w:rsid w:val="00BF6664"/>
    <w:rsid w:val="00BF6896"/>
    <w:rsid w:val="00BF6919"/>
    <w:rsid w:val="00BF6B71"/>
    <w:rsid w:val="00BF6B93"/>
    <w:rsid w:val="00BF6F02"/>
    <w:rsid w:val="00BF752B"/>
    <w:rsid w:val="00BF7E42"/>
    <w:rsid w:val="00BF7E4A"/>
    <w:rsid w:val="00C0041F"/>
    <w:rsid w:val="00C00496"/>
    <w:rsid w:val="00C00B56"/>
    <w:rsid w:val="00C00E6E"/>
    <w:rsid w:val="00C017D9"/>
    <w:rsid w:val="00C017E3"/>
    <w:rsid w:val="00C01924"/>
    <w:rsid w:val="00C01B53"/>
    <w:rsid w:val="00C01FBC"/>
    <w:rsid w:val="00C025EF"/>
    <w:rsid w:val="00C02656"/>
    <w:rsid w:val="00C02AF8"/>
    <w:rsid w:val="00C02C28"/>
    <w:rsid w:val="00C03022"/>
    <w:rsid w:val="00C03132"/>
    <w:rsid w:val="00C031D2"/>
    <w:rsid w:val="00C03E07"/>
    <w:rsid w:val="00C03E61"/>
    <w:rsid w:val="00C04143"/>
    <w:rsid w:val="00C0419F"/>
    <w:rsid w:val="00C043F2"/>
    <w:rsid w:val="00C05A14"/>
    <w:rsid w:val="00C05A1C"/>
    <w:rsid w:val="00C06760"/>
    <w:rsid w:val="00C06A87"/>
    <w:rsid w:val="00C06F78"/>
    <w:rsid w:val="00C07548"/>
    <w:rsid w:val="00C07960"/>
    <w:rsid w:val="00C07BD1"/>
    <w:rsid w:val="00C07C56"/>
    <w:rsid w:val="00C10824"/>
    <w:rsid w:val="00C1096D"/>
    <w:rsid w:val="00C10AF7"/>
    <w:rsid w:val="00C10BAD"/>
    <w:rsid w:val="00C10BC3"/>
    <w:rsid w:val="00C10D8B"/>
    <w:rsid w:val="00C11562"/>
    <w:rsid w:val="00C117F0"/>
    <w:rsid w:val="00C11EDB"/>
    <w:rsid w:val="00C12505"/>
    <w:rsid w:val="00C126E3"/>
    <w:rsid w:val="00C12756"/>
    <w:rsid w:val="00C1288B"/>
    <w:rsid w:val="00C128EC"/>
    <w:rsid w:val="00C12B77"/>
    <w:rsid w:val="00C12C61"/>
    <w:rsid w:val="00C12FCD"/>
    <w:rsid w:val="00C1320D"/>
    <w:rsid w:val="00C13A14"/>
    <w:rsid w:val="00C13D37"/>
    <w:rsid w:val="00C13E49"/>
    <w:rsid w:val="00C14127"/>
    <w:rsid w:val="00C14758"/>
    <w:rsid w:val="00C14C79"/>
    <w:rsid w:val="00C14CF2"/>
    <w:rsid w:val="00C1565B"/>
    <w:rsid w:val="00C157CC"/>
    <w:rsid w:val="00C15BFD"/>
    <w:rsid w:val="00C168B0"/>
    <w:rsid w:val="00C16B77"/>
    <w:rsid w:val="00C17560"/>
    <w:rsid w:val="00C17BDF"/>
    <w:rsid w:val="00C17E5C"/>
    <w:rsid w:val="00C17F88"/>
    <w:rsid w:val="00C202CE"/>
    <w:rsid w:val="00C20423"/>
    <w:rsid w:val="00C211D7"/>
    <w:rsid w:val="00C2128F"/>
    <w:rsid w:val="00C212A0"/>
    <w:rsid w:val="00C2246C"/>
    <w:rsid w:val="00C22B35"/>
    <w:rsid w:val="00C22F42"/>
    <w:rsid w:val="00C2398F"/>
    <w:rsid w:val="00C25067"/>
    <w:rsid w:val="00C254EE"/>
    <w:rsid w:val="00C25E75"/>
    <w:rsid w:val="00C25F11"/>
    <w:rsid w:val="00C2633E"/>
    <w:rsid w:val="00C26660"/>
    <w:rsid w:val="00C26A8A"/>
    <w:rsid w:val="00C26BF7"/>
    <w:rsid w:val="00C26C7F"/>
    <w:rsid w:val="00C27299"/>
    <w:rsid w:val="00C27C12"/>
    <w:rsid w:val="00C27ED5"/>
    <w:rsid w:val="00C3001C"/>
    <w:rsid w:val="00C30187"/>
    <w:rsid w:val="00C30226"/>
    <w:rsid w:val="00C30439"/>
    <w:rsid w:val="00C3067E"/>
    <w:rsid w:val="00C3082A"/>
    <w:rsid w:val="00C30944"/>
    <w:rsid w:val="00C30F36"/>
    <w:rsid w:val="00C30F5A"/>
    <w:rsid w:val="00C3105A"/>
    <w:rsid w:val="00C311BC"/>
    <w:rsid w:val="00C3180F"/>
    <w:rsid w:val="00C3188C"/>
    <w:rsid w:val="00C31B22"/>
    <w:rsid w:val="00C31C8B"/>
    <w:rsid w:val="00C31D1F"/>
    <w:rsid w:val="00C322D7"/>
    <w:rsid w:val="00C329AC"/>
    <w:rsid w:val="00C33144"/>
    <w:rsid w:val="00C334B0"/>
    <w:rsid w:val="00C33723"/>
    <w:rsid w:val="00C33836"/>
    <w:rsid w:val="00C33B31"/>
    <w:rsid w:val="00C34294"/>
    <w:rsid w:val="00C345F0"/>
    <w:rsid w:val="00C34FCB"/>
    <w:rsid w:val="00C354D0"/>
    <w:rsid w:val="00C35ADC"/>
    <w:rsid w:val="00C35D73"/>
    <w:rsid w:val="00C36281"/>
    <w:rsid w:val="00C363DD"/>
    <w:rsid w:val="00C364F2"/>
    <w:rsid w:val="00C36B9C"/>
    <w:rsid w:val="00C36C07"/>
    <w:rsid w:val="00C3759D"/>
    <w:rsid w:val="00C379F3"/>
    <w:rsid w:val="00C37D4B"/>
    <w:rsid w:val="00C40318"/>
    <w:rsid w:val="00C4043C"/>
    <w:rsid w:val="00C410E3"/>
    <w:rsid w:val="00C411ED"/>
    <w:rsid w:val="00C41B40"/>
    <w:rsid w:val="00C41BBC"/>
    <w:rsid w:val="00C420B9"/>
    <w:rsid w:val="00C42163"/>
    <w:rsid w:val="00C421E9"/>
    <w:rsid w:val="00C42719"/>
    <w:rsid w:val="00C42ABE"/>
    <w:rsid w:val="00C42AD1"/>
    <w:rsid w:val="00C43357"/>
    <w:rsid w:val="00C433D9"/>
    <w:rsid w:val="00C437FD"/>
    <w:rsid w:val="00C44040"/>
    <w:rsid w:val="00C4420B"/>
    <w:rsid w:val="00C4432E"/>
    <w:rsid w:val="00C445B5"/>
    <w:rsid w:val="00C446C6"/>
    <w:rsid w:val="00C44790"/>
    <w:rsid w:val="00C44CBE"/>
    <w:rsid w:val="00C44DC2"/>
    <w:rsid w:val="00C44EC3"/>
    <w:rsid w:val="00C44F57"/>
    <w:rsid w:val="00C450B8"/>
    <w:rsid w:val="00C45351"/>
    <w:rsid w:val="00C45467"/>
    <w:rsid w:val="00C4553A"/>
    <w:rsid w:val="00C457E4"/>
    <w:rsid w:val="00C45821"/>
    <w:rsid w:val="00C46684"/>
    <w:rsid w:val="00C46853"/>
    <w:rsid w:val="00C46F67"/>
    <w:rsid w:val="00C473D8"/>
    <w:rsid w:val="00C475F7"/>
    <w:rsid w:val="00C47D0B"/>
    <w:rsid w:val="00C47D94"/>
    <w:rsid w:val="00C47EB6"/>
    <w:rsid w:val="00C47EDB"/>
    <w:rsid w:val="00C50460"/>
    <w:rsid w:val="00C50AC8"/>
    <w:rsid w:val="00C50B79"/>
    <w:rsid w:val="00C5100E"/>
    <w:rsid w:val="00C5119B"/>
    <w:rsid w:val="00C51743"/>
    <w:rsid w:val="00C51D13"/>
    <w:rsid w:val="00C5212C"/>
    <w:rsid w:val="00C52482"/>
    <w:rsid w:val="00C5271C"/>
    <w:rsid w:val="00C52C02"/>
    <w:rsid w:val="00C53072"/>
    <w:rsid w:val="00C535AA"/>
    <w:rsid w:val="00C536C1"/>
    <w:rsid w:val="00C5370D"/>
    <w:rsid w:val="00C5408F"/>
    <w:rsid w:val="00C5411B"/>
    <w:rsid w:val="00C54202"/>
    <w:rsid w:val="00C544B5"/>
    <w:rsid w:val="00C544F8"/>
    <w:rsid w:val="00C54708"/>
    <w:rsid w:val="00C555A4"/>
    <w:rsid w:val="00C557CB"/>
    <w:rsid w:val="00C559A8"/>
    <w:rsid w:val="00C55C08"/>
    <w:rsid w:val="00C55CA7"/>
    <w:rsid w:val="00C56ABF"/>
    <w:rsid w:val="00C57948"/>
    <w:rsid w:val="00C57BF0"/>
    <w:rsid w:val="00C57F86"/>
    <w:rsid w:val="00C603B1"/>
    <w:rsid w:val="00C6076D"/>
    <w:rsid w:val="00C607EC"/>
    <w:rsid w:val="00C608D2"/>
    <w:rsid w:val="00C6090D"/>
    <w:rsid w:val="00C6094E"/>
    <w:rsid w:val="00C60B50"/>
    <w:rsid w:val="00C60C62"/>
    <w:rsid w:val="00C610FF"/>
    <w:rsid w:val="00C61A34"/>
    <w:rsid w:val="00C61B33"/>
    <w:rsid w:val="00C61D0C"/>
    <w:rsid w:val="00C61F8A"/>
    <w:rsid w:val="00C62099"/>
    <w:rsid w:val="00C62210"/>
    <w:rsid w:val="00C62292"/>
    <w:rsid w:val="00C62ED0"/>
    <w:rsid w:val="00C6310D"/>
    <w:rsid w:val="00C63240"/>
    <w:rsid w:val="00C63973"/>
    <w:rsid w:val="00C63A69"/>
    <w:rsid w:val="00C640B3"/>
    <w:rsid w:val="00C644DE"/>
    <w:rsid w:val="00C64532"/>
    <w:rsid w:val="00C64C12"/>
    <w:rsid w:val="00C65094"/>
    <w:rsid w:val="00C650FA"/>
    <w:rsid w:val="00C657CA"/>
    <w:rsid w:val="00C659E9"/>
    <w:rsid w:val="00C66243"/>
    <w:rsid w:val="00C6647A"/>
    <w:rsid w:val="00C66608"/>
    <w:rsid w:val="00C66836"/>
    <w:rsid w:val="00C67385"/>
    <w:rsid w:val="00C6747B"/>
    <w:rsid w:val="00C67687"/>
    <w:rsid w:val="00C678F1"/>
    <w:rsid w:val="00C67A2B"/>
    <w:rsid w:val="00C67B6E"/>
    <w:rsid w:val="00C70081"/>
    <w:rsid w:val="00C700DC"/>
    <w:rsid w:val="00C70107"/>
    <w:rsid w:val="00C7025B"/>
    <w:rsid w:val="00C702B2"/>
    <w:rsid w:val="00C704F4"/>
    <w:rsid w:val="00C71164"/>
    <w:rsid w:val="00C72046"/>
    <w:rsid w:val="00C721C3"/>
    <w:rsid w:val="00C726D9"/>
    <w:rsid w:val="00C72AE8"/>
    <w:rsid w:val="00C72D1D"/>
    <w:rsid w:val="00C72F49"/>
    <w:rsid w:val="00C73308"/>
    <w:rsid w:val="00C73834"/>
    <w:rsid w:val="00C73A65"/>
    <w:rsid w:val="00C73ECC"/>
    <w:rsid w:val="00C74096"/>
    <w:rsid w:val="00C74335"/>
    <w:rsid w:val="00C743F7"/>
    <w:rsid w:val="00C7452F"/>
    <w:rsid w:val="00C7584E"/>
    <w:rsid w:val="00C75F9A"/>
    <w:rsid w:val="00C7623A"/>
    <w:rsid w:val="00C76881"/>
    <w:rsid w:val="00C768B7"/>
    <w:rsid w:val="00C76BD4"/>
    <w:rsid w:val="00C76D00"/>
    <w:rsid w:val="00C7709D"/>
    <w:rsid w:val="00C770EB"/>
    <w:rsid w:val="00C7721B"/>
    <w:rsid w:val="00C7778A"/>
    <w:rsid w:val="00C777FA"/>
    <w:rsid w:val="00C80444"/>
    <w:rsid w:val="00C81020"/>
    <w:rsid w:val="00C82054"/>
    <w:rsid w:val="00C821FC"/>
    <w:rsid w:val="00C823E7"/>
    <w:rsid w:val="00C825B4"/>
    <w:rsid w:val="00C82807"/>
    <w:rsid w:val="00C82DB9"/>
    <w:rsid w:val="00C8308C"/>
    <w:rsid w:val="00C830D8"/>
    <w:rsid w:val="00C83388"/>
    <w:rsid w:val="00C836B9"/>
    <w:rsid w:val="00C83798"/>
    <w:rsid w:val="00C83970"/>
    <w:rsid w:val="00C83C67"/>
    <w:rsid w:val="00C83E7A"/>
    <w:rsid w:val="00C83F64"/>
    <w:rsid w:val="00C84085"/>
    <w:rsid w:val="00C84449"/>
    <w:rsid w:val="00C84770"/>
    <w:rsid w:val="00C848C4"/>
    <w:rsid w:val="00C848EE"/>
    <w:rsid w:val="00C853E3"/>
    <w:rsid w:val="00C860E5"/>
    <w:rsid w:val="00C8635F"/>
    <w:rsid w:val="00C86D5A"/>
    <w:rsid w:val="00C871E5"/>
    <w:rsid w:val="00C8722E"/>
    <w:rsid w:val="00C872DC"/>
    <w:rsid w:val="00C873E2"/>
    <w:rsid w:val="00C875F6"/>
    <w:rsid w:val="00C90235"/>
    <w:rsid w:val="00C90432"/>
    <w:rsid w:val="00C90492"/>
    <w:rsid w:val="00C904D9"/>
    <w:rsid w:val="00C90B5F"/>
    <w:rsid w:val="00C90D1F"/>
    <w:rsid w:val="00C90DEA"/>
    <w:rsid w:val="00C9175B"/>
    <w:rsid w:val="00C91801"/>
    <w:rsid w:val="00C91B73"/>
    <w:rsid w:val="00C9224C"/>
    <w:rsid w:val="00C926A1"/>
    <w:rsid w:val="00C9290A"/>
    <w:rsid w:val="00C9320A"/>
    <w:rsid w:val="00C9337E"/>
    <w:rsid w:val="00C935D2"/>
    <w:rsid w:val="00C93718"/>
    <w:rsid w:val="00C93766"/>
    <w:rsid w:val="00C94253"/>
    <w:rsid w:val="00C9449F"/>
    <w:rsid w:val="00C94736"/>
    <w:rsid w:val="00C94B06"/>
    <w:rsid w:val="00C94FE6"/>
    <w:rsid w:val="00C953CE"/>
    <w:rsid w:val="00C956E7"/>
    <w:rsid w:val="00C9580C"/>
    <w:rsid w:val="00C95D88"/>
    <w:rsid w:val="00C9613A"/>
    <w:rsid w:val="00C96795"/>
    <w:rsid w:val="00C96910"/>
    <w:rsid w:val="00C96B58"/>
    <w:rsid w:val="00C96B83"/>
    <w:rsid w:val="00C96D91"/>
    <w:rsid w:val="00C96D9C"/>
    <w:rsid w:val="00CA055B"/>
    <w:rsid w:val="00CA083C"/>
    <w:rsid w:val="00CA0B2B"/>
    <w:rsid w:val="00CA145A"/>
    <w:rsid w:val="00CA1B9E"/>
    <w:rsid w:val="00CA21AC"/>
    <w:rsid w:val="00CA25F9"/>
    <w:rsid w:val="00CA2687"/>
    <w:rsid w:val="00CA2901"/>
    <w:rsid w:val="00CA29B2"/>
    <w:rsid w:val="00CA308D"/>
    <w:rsid w:val="00CA30A1"/>
    <w:rsid w:val="00CA3838"/>
    <w:rsid w:val="00CA38B5"/>
    <w:rsid w:val="00CA427C"/>
    <w:rsid w:val="00CA49B0"/>
    <w:rsid w:val="00CA4EC6"/>
    <w:rsid w:val="00CA5239"/>
    <w:rsid w:val="00CA58D5"/>
    <w:rsid w:val="00CA5AD0"/>
    <w:rsid w:val="00CA5D5D"/>
    <w:rsid w:val="00CA67B1"/>
    <w:rsid w:val="00CA6906"/>
    <w:rsid w:val="00CA6A4C"/>
    <w:rsid w:val="00CA6CC8"/>
    <w:rsid w:val="00CA6D85"/>
    <w:rsid w:val="00CA7502"/>
    <w:rsid w:val="00CA7857"/>
    <w:rsid w:val="00CA79D5"/>
    <w:rsid w:val="00CB00FD"/>
    <w:rsid w:val="00CB01D4"/>
    <w:rsid w:val="00CB0694"/>
    <w:rsid w:val="00CB08A6"/>
    <w:rsid w:val="00CB155B"/>
    <w:rsid w:val="00CB350B"/>
    <w:rsid w:val="00CB38CE"/>
    <w:rsid w:val="00CB476C"/>
    <w:rsid w:val="00CB4841"/>
    <w:rsid w:val="00CB4980"/>
    <w:rsid w:val="00CB4BEB"/>
    <w:rsid w:val="00CB53A7"/>
    <w:rsid w:val="00CB580D"/>
    <w:rsid w:val="00CB583D"/>
    <w:rsid w:val="00CB5B66"/>
    <w:rsid w:val="00CB6230"/>
    <w:rsid w:val="00CB6460"/>
    <w:rsid w:val="00CB65F1"/>
    <w:rsid w:val="00CB696F"/>
    <w:rsid w:val="00CB6DF3"/>
    <w:rsid w:val="00CB76E3"/>
    <w:rsid w:val="00CB7848"/>
    <w:rsid w:val="00CB78BB"/>
    <w:rsid w:val="00CB7B10"/>
    <w:rsid w:val="00CC0016"/>
    <w:rsid w:val="00CC01BA"/>
    <w:rsid w:val="00CC085A"/>
    <w:rsid w:val="00CC0BFD"/>
    <w:rsid w:val="00CC103D"/>
    <w:rsid w:val="00CC16D2"/>
    <w:rsid w:val="00CC1959"/>
    <w:rsid w:val="00CC1A34"/>
    <w:rsid w:val="00CC1C20"/>
    <w:rsid w:val="00CC1F63"/>
    <w:rsid w:val="00CC277B"/>
    <w:rsid w:val="00CC27A4"/>
    <w:rsid w:val="00CC2C99"/>
    <w:rsid w:val="00CC37E9"/>
    <w:rsid w:val="00CC3EC8"/>
    <w:rsid w:val="00CC4883"/>
    <w:rsid w:val="00CC50F6"/>
    <w:rsid w:val="00CC58F4"/>
    <w:rsid w:val="00CC5CAF"/>
    <w:rsid w:val="00CC65B4"/>
    <w:rsid w:val="00CC69DA"/>
    <w:rsid w:val="00CC6BB9"/>
    <w:rsid w:val="00CC760A"/>
    <w:rsid w:val="00CC77E3"/>
    <w:rsid w:val="00CC79DE"/>
    <w:rsid w:val="00CC7CE9"/>
    <w:rsid w:val="00CD01CC"/>
    <w:rsid w:val="00CD01F7"/>
    <w:rsid w:val="00CD054D"/>
    <w:rsid w:val="00CD0B3D"/>
    <w:rsid w:val="00CD0B67"/>
    <w:rsid w:val="00CD0D44"/>
    <w:rsid w:val="00CD1FE4"/>
    <w:rsid w:val="00CD2149"/>
    <w:rsid w:val="00CD216D"/>
    <w:rsid w:val="00CD21B0"/>
    <w:rsid w:val="00CD2C7D"/>
    <w:rsid w:val="00CD35A5"/>
    <w:rsid w:val="00CD37C6"/>
    <w:rsid w:val="00CD42E4"/>
    <w:rsid w:val="00CD451B"/>
    <w:rsid w:val="00CD4931"/>
    <w:rsid w:val="00CD4BFF"/>
    <w:rsid w:val="00CD4F3B"/>
    <w:rsid w:val="00CD5972"/>
    <w:rsid w:val="00CD5B67"/>
    <w:rsid w:val="00CD5B95"/>
    <w:rsid w:val="00CD5D01"/>
    <w:rsid w:val="00CD607B"/>
    <w:rsid w:val="00CD6110"/>
    <w:rsid w:val="00CD6288"/>
    <w:rsid w:val="00CD65C8"/>
    <w:rsid w:val="00CD6B2F"/>
    <w:rsid w:val="00CD6D45"/>
    <w:rsid w:val="00CD6F35"/>
    <w:rsid w:val="00CD7143"/>
    <w:rsid w:val="00CE03CF"/>
    <w:rsid w:val="00CE06A0"/>
    <w:rsid w:val="00CE0982"/>
    <w:rsid w:val="00CE1042"/>
    <w:rsid w:val="00CE1297"/>
    <w:rsid w:val="00CE1A59"/>
    <w:rsid w:val="00CE1F2C"/>
    <w:rsid w:val="00CE24F8"/>
    <w:rsid w:val="00CE2645"/>
    <w:rsid w:val="00CE26FC"/>
    <w:rsid w:val="00CE29A0"/>
    <w:rsid w:val="00CE2B7F"/>
    <w:rsid w:val="00CE2F7F"/>
    <w:rsid w:val="00CE31DB"/>
    <w:rsid w:val="00CE31FE"/>
    <w:rsid w:val="00CE3489"/>
    <w:rsid w:val="00CE3605"/>
    <w:rsid w:val="00CE371E"/>
    <w:rsid w:val="00CE37B1"/>
    <w:rsid w:val="00CE3D5B"/>
    <w:rsid w:val="00CE3F5A"/>
    <w:rsid w:val="00CE42CB"/>
    <w:rsid w:val="00CE4409"/>
    <w:rsid w:val="00CE46F9"/>
    <w:rsid w:val="00CE4B65"/>
    <w:rsid w:val="00CE4C25"/>
    <w:rsid w:val="00CE4C43"/>
    <w:rsid w:val="00CE4CC3"/>
    <w:rsid w:val="00CE4E31"/>
    <w:rsid w:val="00CE547A"/>
    <w:rsid w:val="00CE58F8"/>
    <w:rsid w:val="00CE5E3E"/>
    <w:rsid w:val="00CE6132"/>
    <w:rsid w:val="00CE6691"/>
    <w:rsid w:val="00CE6ECA"/>
    <w:rsid w:val="00CE6FA6"/>
    <w:rsid w:val="00CE7047"/>
    <w:rsid w:val="00CE7470"/>
    <w:rsid w:val="00CE7D16"/>
    <w:rsid w:val="00CE7D6C"/>
    <w:rsid w:val="00CF005D"/>
    <w:rsid w:val="00CF0262"/>
    <w:rsid w:val="00CF0745"/>
    <w:rsid w:val="00CF0906"/>
    <w:rsid w:val="00CF0B79"/>
    <w:rsid w:val="00CF1015"/>
    <w:rsid w:val="00CF13A8"/>
    <w:rsid w:val="00CF173C"/>
    <w:rsid w:val="00CF183F"/>
    <w:rsid w:val="00CF1F4E"/>
    <w:rsid w:val="00CF2038"/>
    <w:rsid w:val="00CF20B1"/>
    <w:rsid w:val="00CF2179"/>
    <w:rsid w:val="00CF3D2C"/>
    <w:rsid w:val="00CF3E6A"/>
    <w:rsid w:val="00CF424F"/>
    <w:rsid w:val="00CF45FD"/>
    <w:rsid w:val="00CF4AFE"/>
    <w:rsid w:val="00CF5593"/>
    <w:rsid w:val="00CF56AF"/>
    <w:rsid w:val="00CF587B"/>
    <w:rsid w:val="00CF5CA0"/>
    <w:rsid w:val="00CF5CAA"/>
    <w:rsid w:val="00CF5EDC"/>
    <w:rsid w:val="00CF5EEC"/>
    <w:rsid w:val="00CF610F"/>
    <w:rsid w:val="00CF68E3"/>
    <w:rsid w:val="00CF7234"/>
    <w:rsid w:val="00CF74D3"/>
    <w:rsid w:val="00CF764C"/>
    <w:rsid w:val="00CF79F1"/>
    <w:rsid w:val="00CF7DCD"/>
    <w:rsid w:val="00CF7EB6"/>
    <w:rsid w:val="00D00465"/>
    <w:rsid w:val="00D009B2"/>
    <w:rsid w:val="00D00A36"/>
    <w:rsid w:val="00D00D72"/>
    <w:rsid w:val="00D01412"/>
    <w:rsid w:val="00D0170F"/>
    <w:rsid w:val="00D01ACA"/>
    <w:rsid w:val="00D01C5D"/>
    <w:rsid w:val="00D01F5D"/>
    <w:rsid w:val="00D02555"/>
    <w:rsid w:val="00D02799"/>
    <w:rsid w:val="00D034B0"/>
    <w:rsid w:val="00D03959"/>
    <w:rsid w:val="00D03C04"/>
    <w:rsid w:val="00D03C96"/>
    <w:rsid w:val="00D03E0F"/>
    <w:rsid w:val="00D0496A"/>
    <w:rsid w:val="00D04984"/>
    <w:rsid w:val="00D04AC6"/>
    <w:rsid w:val="00D05076"/>
    <w:rsid w:val="00D056EF"/>
    <w:rsid w:val="00D059C4"/>
    <w:rsid w:val="00D05D21"/>
    <w:rsid w:val="00D06097"/>
    <w:rsid w:val="00D0654C"/>
    <w:rsid w:val="00D06553"/>
    <w:rsid w:val="00D06603"/>
    <w:rsid w:val="00D066EE"/>
    <w:rsid w:val="00D07045"/>
    <w:rsid w:val="00D0778B"/>
    <w:rsid w:val="00D07939"/>
    <w:rsid w:val="00D1091E"/>
    <w:rsid w:val="00D10ADA"/>
    <w:rsid w:val="00D10ECC"/>
    <w:rsid w:val="00D10ECE"/>
    <w:rsid w:val="00D118D1"/>
    <w:rsid w:val="00D11B1E"/>
    <w:rsid w:val="00D11CCD"/>
    <w:rsid w:val="00D12005"/>
    <w:rsid w:val="00D121D5"/>
    <w:rsid w:val="00D122D8"/>
    <w:rsid w:val="00D1245B"/>
    <w:rsid w:val="00D12689"/>
    <w:rsid w:val="00D13811"/>
    <w:rsid w:val="00D1399F"/>
    <w:rsid w:val="00D13B0D"/>
    <w:rsid w:val="00D13BBE"/>
    <w:rsid w:val="00D13F94"/>
    <w:rsid w:val="00D14010"/>
    <w:rsid w:val="00D14362"/>
    <w:rsid w:val="00D1484F"/>
    <w:rsid w:val="00D1490D"/>
    <w:rsid w:val="00D15074"/>
    <w:rsid w:val="00D15233"/>
    <w:rsid w:val="00D153B2"/>
    <w:rsid w:val="00D15611"/>
    <w:rsid w:val="00D158BB"/>
    <w:rsid w:val="00D16002"/>
    <w:rsid w:val="00D16AA1"/>
    <w:rsid w:val="00D1700B"/>
    <w:rsid w:val="00D173D7"/>
    <w:rsid w:val="00D174CB"/>
    <w:rsid w:val="00D178BA"/>
    <w:rsid w:val="00D17A7D"/>
    <w:rsid w:val="00D17C4C"/>
    <w:rsid w:val="00D201A1"/>
    <w:rsid w:val="00D205B2"/>
    <w:rsid w:val="00D208FC"/>
    <w:rsid w:val="00D20B90"/>
    <w:rsid w:val="00D20DC1"/>
    <w:rsid w:val="00D20F52"/>
    <w:rsid w:val="00D2159E"/>
    <w:rsid w:val="00D21F4A"/>
    <w:rsid w:val="00D222E2"/>
    <w:rsid w:val="00D2234F"/>
    <w:rsid w:val="00D22479"/>
    <w:rsid w:val="00D226E9"/>
    <w:rsid w:val="00D22A70"/>
    <w:rsid w:val="00D22D83"/>
    <w:rsid w:val="00D22EE1"/>
    <w:rsid w:val="00D22EFA"/>
    <w:rsid w:val="00D22F59"/>
    <w:rsid w:val="00D230D7"/>
    <w:rsid w:val="00D2350F"/>
    <w:rsid w:val="00D23C98"/>
    <w:rsid w:val="00D2436A"/>
    <w:rsid w:val="00D2481F"/>
    <w:rsid w:val="00D2498F"/>
    <w:rsid w:val="00D24F22"/>
    <w:rsid w:val="00D251FF"/>
    <w:rsid w:val="00D2525B"/>
    <w:rsid w:val="00D25480"/>
    <w:rsid w:val="00D25983"/>
    <w:rsid w:val="00D25A48"/>
    <w:rsid w:val="00D25F2A"/>
    <w:rsid w:val="00D26052"/>
    <w:rsid w:val="00D263D9"/>
    <w:rsid w:val="00D264FC"/>
    <w:rsid w:val="00D26552"/>
    <w:rsid w:val="00D268A1"/>
    <w:rsid w:val="00D26B25"/>
    <w:rsid w:val="00D27130"/>
    <w:rsid w:val="00D27B85"/>
    <w:rsid w:val="00D3071C"/>
    <w:rsid w:val="00D30D01"/>
    <w:rsid w:val="00D3146C"/>
    <w:rsid w:val="00D31F3E"/>
    <w:rsid w:val="00D326D1"/>
    <w:rsid w:val="00D328CE"/>
    <w:rsid w:val="00D32E1A"/>
    <w:rsid w:val="00D32E4A"/>
    <w:rsid w:val="00D33299"/>
    <w:rsid w:val="00D3345D"/>
    <w:rsid w:val="00D33460"/>
    <w:rsid w:val="00D337E5"/>
    <w:rsid w:val="00D33B38"/>
    <w:rsid w:val="00D33C05"/>
    <w:rsid w:val="00D33C55"/>
    <w:rsid w:val="00D34351"/>
    <w:rsid w:val="00D34536"/>
    <w:rsid w:val="00D347E2"/>
    <w:rsid w:val="00D34BA6"/>
    <w:rsid w:val="00D352DC"/>
    <w:rsid w:val="00D359D3"/>
    <w:rsid w:val="00D35B06"/>
    <w:rsid w:val="00D35D84"/>
    <w:rsid w:val="00D36152"/>
    <w:rsid w:val="00D366EF"/>
    <w:rsid w:val="00D3681A"/>
    <w:rsid w:val="00D36E0B"/>
    <w:rsid w:val="00D3769E"/>
    <w:rsid w:val="00D37A95"/>
    <w:rsid w:val="00D37BF1"/>
    <w:rsid w:val="00D37CB3"/>
    <w:rsid w:val="00D40715"/>
    <w:rsid w:val="00D40EEE"/>
    <w:rsid w:val="00D40F22"/>
    <w:rsid w:val="00D41558"/>
    <w:rsid w:val="00D41819"/>
    <w:rsid w:val="00D425B9"/>
    <w:rsid w:val="00D430BF"/>
    <w:rsid w:val="00D437C8"/>
    <w:rsid w:val="00D44433"/>
    <w:rsid w:val="00D444F1"/>
    <w:rsid w:val="00D4499F"/>
    <w:rsid w:val="00D44D61"/>
    <w:rsid w:val="00D44E14"/>
    <w:rsid w:val="00D44EB9"/>
    <w:rsid w:val="00D45435"/>
    <w:rsid w:val="00D45F47"/>
    <w:rsid w:val="00D45F4A"/>
    <w:rsid w:val="00D460E4"/>
    <w:rsid w:val="00D46320"/>
    <w:rsid w:val="00D469B0"/>
    <w:rsid w:val="00D469DA"/>
    <w:rsid w:val="00D46C07"/>
    <w:rsid w:val="00D46D07"/>
    <w:rsid w:val="00D46FFD"/>
    <w:rsid w:val="00D47626"/>
    <w:rsid w:val="00D4782A"/>
    <w:rsid w:val="00D47DDF"/>
    <w:rsid w:val="00D47DF9"/>
    <w:rsid w:val="00D50563"/>
    <w:rsid w:val="00D50DC2"/>
    <w:rsid w:val="00D51236"/>
    <w:rsid w:val="00D513F9"/>
    <w:rsid w:val="00D514CD"/>
    <w:rsid w:val="00D51B3B"/>
    <w:rsid w:val="00D51B5A"/>
    <w:rsid w:val="00D51D82"/>
    <w:rsid w:val="00D51E0E"/>
    <w:rsid w:val="00D521B4"/>
    <w:rsid w:val="00D52331"/>
    <w:rsid w:val="00D52579"/>
    <w:rsid w:val="00D52B8E"/>
    <w:rsid w:val="00D52CF8"/>
    <w:rsid w:val="00D52E0A"/>
    <w:rsid w:val="00D52EBD"/>
    <w:rsid w:val="00D5362D"/>
    <w:rsid w:val="00D5393D"/>
    <w:rsid w:val="00D53BCA"/>
    <w:rsid w:val="00D53FDB"/>
    <w:rsid w:val="00D54013"/>
    <w:rsid w:val="00D54705"/>
    <w:rsid w:val="00D54775"/>
    <w:rsid w:val="00D54D95"/>
    <w:rsid w:val="00D54FC0"/>
    <w:rsid w:val="00D5503D"/>
    <w:rsid w:val="00D551B5"/>
    <w:rsid w:val="00D55664"/>
    <w:rsid w:val="00D5568C"/>
    <w:rsid w:val="00D557CB"/>
    <w:rsid w:val="00D55957"/>
    <w:rsid w:val="00D55E7D"/>
    <w:rsid w:val="00D56599"/>
    <w:rsid w:val="00D567B7"/>
    <w:rsid w:val="00D56821"/>
    <w:rsid w:val="00D5689C"/>
    <w:rsid w:val="00D5690E"/>
    <w:rsid w:val="00D56966"/>
    <w:rsid w:val="00D56A34"/>
    <w:rsid w:val="00D56AD4"/>
    <w:rsid w:val="00D56C80"/>
    <w:rsid w:val="00D56F75"/>
    <w:rsid w:val="00D57243"/>
    <w:rsid w:val="00D572B2"/>
    <w:rsid w:val="00D575E2"/>
    <w:rsid w:val="00D57674"/>
    <w:rsid w:val="00D579A5"/>
    <w:rsid w:val="00D57D88"/>
    <w:rsid w:val="00D57F1F"/>
    <w:rsid w:val="00D601AA"/>
    <w:rsid w:val="00D602BA"/>
    <w:rsid w:val="00D607C5"/>
    <w:rsid w:val="00D61062"/>
    <w:rsid w:val="00D61737"/>
    <w:rsid w:val="00D617A0"/>
    <w:rsid w:val="00D6195B"/>
    <w:rsid w:val="00D61971"/>
    <w:rsid w:val="00D6236F"/>
    <w:rsid w:val="00D632C5"/>
    <w:rsid w:val="00D63386"/>
    <w:rsid w:val="00D63F0C"/>
    <w:rsid w:val="00D64463"/>
    <w:rsid w:val="00D64D01"/>
    <w:rsid w:val="00D652A5"/>
    <w:rsid w:val="00D65515"/>
    <w:rsid w:val="00D65F3B"/>
    <w:rsid w:val="00D6621A"/>
    <w:rsid w:val="00D6621B"/>
    <w:rsid w:val="00D66251"/>
    <w:rsid w:val="00D66988"/>
    <w:rsid w:val="00D66A3A"/>
    <w:rsid w:val="00D66AD9"/>
    <w:rsid w:val="00D66B89"/>
    <w:rsid w:val="00D66C05"/>
    <w:rsid w:val="00D67955"/>
    <w:rsid w:val="00D67F6D"/>
    <w:rsid w:val="00D70C3F"/>
    <w:rsid w:val="00D71578"/>
    <w:rsid w:val="00D720F0"/>
    <w:rsid w:val="00D72314"/>
    <w:rsid w:val="00D7264B"/>
    <w:rsid w:val="00D726DD"/>
    <w:rsid w:val="00D72796"/>
    <w:rsid w:val="00D72D3B"/>
    <w:rsid w:val="00D73488"/>
    <w:rsid w:val="00D7351B"/>
    <w:rsid w:val="00D752F7"/>
    <w:rsid w:val="00D75B54"/>
    <w:rsid w:val="00D75E61"/>
    <w:rsid w:val="00D76212"/>
    <w:rsid w:val="00D762C7"/>
    <w:rsid w:val="00D7666D"/>
    <w:rsid w:val="00D7719B"/>
    <w:rsid w:val="00D772DA"/>
    <w:rsid w:val="00D7736E"/>
    <w:rsid w:val="00D77930"/>
    <w:rsid w:val="00D77E6A"/>
    <w:rsid w:val="00D77FBB"/>
    <w:rsid w:val="00D801D4"/>
    <w:rsid w:val="00D80394"/>
    <w:rsid w:val="00D805B7"/>
    <w:rsid w:val="00D80A3D"/>
    <w:rsid w:val="00D80CD3"/>
    <w:rsid w:val="00D80D1C"/>
    <w:rsid w:val="00D80D78"/>
    <w:rsid w:val="00D80F49"/>
    <w:rsid w:val="00D80F65"/>
    <w:rsid w:val="00D8135C"/>
    <w:rsid w:val="00D8154A"/>
    <w:rsid w:val="00D81680"/>
    <w:rsid w:val="00D81C7A"/>
    <w:rsid w:val="00D8214B"/>
    <w:rsid w:val="00D822B4"/>
    <w:rsid w:val="00D829BE"/>
    <w:rsid w:val="00D83116"/>
    <w:rsid w:val="00D836E3"/>
    <w:rsid w:val="00D83AD5"/>
    <w:rsid w:val="00D83F50"/>
    <w:rsid w:val="00D84471"/>
    <w:rsid w:val="00D845F7"/>
    <w:rsid w:val="00D84B8E"/>
    <w:rsid w:val="00D84BC9"/>
    <w:rsid w:val="00D853DD"/>
    <w:rsid w:val="00D8544D"/>
    <w:rsid w:val="00D85507"/>
    <w:rsid w:val="00D85813"/>
    <w:rsid w:val="00D85AB2"/>
    <w:rsid w:val="00D85CD0"/>
    <w:rsid w:val="00D85DA6"/>
    <w:rsid w:val="00D85F15"/>
    <w:rsid w:val="00D86001"/>
    <w:rsid w:val="00D86453"/>
    <w:rsid w:val="00D865ED"/>
    <w:rsid w:val="00D86D46"/>
    <w:rsid w:val="00D870E5"/>
    <w:rsid w:val="00D873B7"/>
    <w:rsid w:val="00D87745"/>
    <w:rsid w:val="00D8792D"/>
    <w:rsid w:val="00D87C14"/>
    <w:rsid w:val="00D9016E"/>
    <w:rsid w:val="00D90363"/>
    <w:rsid w:val="00D905F8"/>
    <w:rsid w:val="00D91157"/>
    <w:rsid w:val="00D911B5"/>
    <w:rsid w:val="00D91367"/>
    <w:rsid w:val="00D91DBB"/>
    <w:rsid w:val="00D9250E"/>
    <w:rsid w:val="00D92535"/>
    <w:rsid w:val="00D92B31"/>
    <w:rsid w:val="00D92B6A"/>
    <w:rsid w:val="00D92D57"/>
    <w:rsid w:val="00D92D5C"/>
    <w:rsid w:val="00D92E07"/>
    <w:rsid w:val="00D935D3"/>
    <w:rsid w:val="00D93A66"/>
    <w:rsid w:val="00D94731"/>
    <w:rsid w:val="00D94FB7"/>
    <w:rsid w:val="00D9521E"/>
    <w:rsid w:val="00D956C4"/>
    <w:rsid w:val="00D95782"/>
    <w:rsid w:val="00D95A50"/>
    <w:rsid w:val="00D95A9C"/>
    <w:rsid w:val="00D95C80"/>
    <w:rsid w:val="00D95D2F"/>
    <w:rsid w:val="00D96A6F"/>
    <w:rsid w:val="00D96D73"/>
    <w:rsid w:val="00D96DF0"/>
    <w:rsid w:val="00D9703C"/>
    <w:rsid w:val="00D9728B"/>
    <w:rsid w:val="00D97A8E"/>
    <w:rsid w:val="00D97E28"/>
    <w:rsid w:val="00DA018E"/>
    <w:rsid w:val="00DA040B"/>
    <w:rsid w:val="00DA0915"/>
    <w:rsid w:val="00DA1049"/>
    <w:rsid w:val="00DA2A6E"/>
    <w:rsid w:val="00DA2FBD"/>
    <w:rsid w:val="00DA3257"/>
    <w:rsid w:val="00DA32B2"/>
    <w:rsid w:val="00DA3324"/>
    <w:rsid w:val="00DA3353"/>
    <w:rsid w:val="00DA37BC"/>
    <w:rsid w:val="00DA3B74"/>
    <w:rsid w:val="00DA3D5A"/>
    <w:rsid w:val="00DA43F4"/>
    <w:rsid w:val="00DA4982"/>
    <w:rsid w:val="00DA4AD5"/>
    <w:rsid w:val="00DA4F7A"/>
    <w:rsid w:val="00DA5180"/>
    <w:rsid w:val="00DA5273"/>
    <w:rsid w:val="00DA5324"/>
    <w:rsid w:val="00DA544C"/>
    <w:rsid w:val="00DA5DE8"/>
    <w:rsid w:val="00DA6551"/>
    <w:rsid w:val="00DA6562"/>
    <w:rsid w:val="00DA675E"/>
    <w:rsid w:val="00DA68DD"/>
    <w:rsid w:val="00DA6CF5"/>
    <w:rsid w:val="00DA7343"/>
    <w:rsid w:val="00DA7407"/>
    <w:rsid w:val="00DA7BA7"/>
    <w:rsid w:val="00DB0C97"/>
    <w:rsid w:val="00DB11BC"/>
    <w:rsid w:val="00DB14FA"/>
    <w:rsid w:val="00DB2297"/>
    <w:rsid w:val="00DB2388"/>
    <w:rsid w:val="00DB24E1"/>
    <w:rsid w:val="00DB2710"/>
    <w:rsid w:val="00DB282F"/>
    <w:rsid w:val="00DB294B"/>
    <w:rsid w:val="00DB2A2A"/>
    <w:rsid w:val="00DB2B15"/>
    <w:rsid w:val="00DB2C55"/>
    <w:rsid w:val="00DB2E64"/>
    <w:rsid w:val="00DB3013"/>
    <w:rsid w:val="00DB33D0"/>
    <w:rsid w:val="00DB386E"/>
    <w:rsid w:val="00DB39D3"/>
    <w:rsid w:val="00DB39DD"/>
    <w:rsid w:val="00DB3B8D"/>
    <w:rsid w:val="00DB3D82"/>
    <w:rsid w:val="00DB44AA"/>
    <w:rsid w:val="00DB46CF"/>
    <w:rsid w:val="00DB4A1F"/>
    <w:rsid w:val="00DB5021"/>
    <w:rsid w:val="00DB50F7"/>
    <w:rsid w:val="00DB55CB"/>
    <w:rsid w:val="00DB561E"/>
    <w:rsid w:val="00DB58D3"/>
    <w:rsid w:val="00DB68A8"/>
    <w:rsid w:val="00DB78D3"/>
    <w:rsid w:val="00DB7C94"/>
    <w:rsid w:val="00DC04D1"/>
    <w:rsid w:val="00DC08DD"/>
    <w:rsid w:val="00DC0CD5"/>
    <w:rsid w:val="00DC0DED"/>
    <w:rsid w:val="00DC12BC"/>
    <w:rsid w:val="00DC232E"/>
    <w:rsid w:val="00DC2918"/>
    <w:rsid w:val="00DC3398"/>
    <w:rsid w:val="00DC354C"/>
    <w:rsid w:val="00DC3567"/>
    <w:rsid w:val="00DC387A"/>
    <w:rsid w:val="00DC3DC9"/>
    <w:rsid w:val="00DC4235"/>
    <w:rsid w:val="00DC4383"/>
    <w:rsid w:val="00DC44A8"/>
    <w:rsid w:val="00DC4666"/>
    <w:rsid w:val="00DC4784"/>
    <w:rsid w:val="00DC4951"/>
    <w:rsid w:val="00DC4D89"/>
    <w:rsid w:val="00DC4F6C"/>
    <w:rsid w:val="00DC5AE7"/>
    <w:rsid w:val="00DC6879"/>
    <w:rsid w:val="00DC68BB"/>
    <w:rsid w:val="00DC6ACF"/>
    <w:rsid w:val="00DC718D"/>
    <w:rsid w:val="00DC71B7"/>
    <w:rsid w:val="00DC74AB"/>
    <w:rsid w:val="00DC75B1"/>
    <w:rsid w:val="00DC7838"/>
    <w:rsid w:val="00DC795E"/>
    <w:rsid w:val="00DC7970"/>
    <w:rsid w:val="00DC7BE6"/>
    <w:rsid w:val="00DD00BE"/>
    <w:rsid w:val="00DD05C1"/>
    <w:rsid w:val="00DD0629"/>
    <w:rsid w:val="00DD0962"/>
    <w:rsid w:val="00DD0BCA"/>
    <w:rsid w:val="00DD1469"/>
    <w:rsid w:val="00DD1570"/>
    <w:rsid w:val="00DD1A6A"/>
    <w:rsid w:val="00DD1AC2"/>
    <w:rsid w:val="00DD282F"/>
    <w:rsid w:val="00DD2F57"/>
    <w:rsid w:val="00DD30B3"/>
    <w:rsid w:val="00DD329B"/>
    <w:rsid w:val="00DD33AA"/>
    <w:rsid w:val="00DD38EB"/>
    <w:rsid w:val="00DD3967"/>
    <w:rsid w:val="00DD3F54"/>
    <w:rsid w:val="00DD434E"/>
    <w:rsid w:val="00DD45D6"/>
    <w:rsid w:val="00DD4F20"/>
    <w:rsid w:val="00DD52DF"/>
    <w:rsid w:val="00DD5482"/>
    <w:rsid w:val="00DD5735"/>
    <w:rsid w:val="00DD5F2D"/>
    <w:rsid w:val="00DD6013"/>
    <w:rsid w:val="00DD6F7A"/>
    <w:rsid w:val="00DD7187"/>
    <w:rsid w:val="00DD719C"/>
    <w:rsid w:val="00DD75F4"/>
    <w:rsid w:val="00DE0282"/>
    <w:rsid w:val="00DE06E0"/>
    <w:rsid w:val="00DE0945"/>
    <w:rsid w:val="00DE1419"/>
    <w:rsid w:val="00DE17F4"/>
    <w:rsid w:val="00DE1D6D"/>
    <w:rsid w:val="00DE21B2"/>
    <w:rsid w:val="00DE22B6"/>
    <w:rsid w:val="00DE2316"/>
    <w:rsid w:val="00DE2F5F"/>
    <w:rsid w:val="00DE321F"/>
    <w:rsid w:val="00DE33FD"/>
    <w:rsid w:val="00DE3523"/>
    <w:rsid w:val="00DE3850"/>
    <w:rsid w:val="00DE3B92"/>
    <w:rsid w:val="00DE3D9B"/>
    <w:rsid w:val="00DE4113"/>
    <w:rsid w:val="00DE44F0"/>
    <w:rsid w:val="00DE58E5"/>
    <w:rsid w:val="00DE5C77"/>
    <w:rsid w:val="00DE5E75"/>
    <w:rsid w:val="00DE619A"/>
    <w:rsid w:val="00DE6810"/>
    <w:rsid w:val="00DE6BB3"/>
    <w:rsid w:val="00DE719F"/>
    <w:rsid w:val="00DE732B"/>
    <w:rsid w:val="00DE7F41"/>
    <w:rsid w:val="00DF02A9"/>
    <w:rsid w:val="00DF0EF9"/>
    <w:rsid w:val="00DF1424"/>
    <w:rsid w:val="00DF1A7D"/>
    <w:rsid w:val="00DF1B35"/>
    <w:rsid w:val="00DF1EAE"/>
    <w:rsid w:val="00DF25E1"/>
    <w:rsid w:val="00DF25E2"/>
    <w:rsid w:val="00DF265D"/>
    <w:rsid w:val="00DF2D19"/>
    <w:rsid w:val="00DF2E3E"/>
    <w:rsid w:val="00DF3786"/>
    <w:rsid w:val="00DF4150"/>
    <w:rsid w:val="00DF4402"/>
    <w:rsid w:val="00DF47C0"/>
    <w:rsid w:val="00DF4EF4"/>
    <w:rsid w:val="00DF5065"/>
    <w:rsid w:val="00DF5234"/>
    <w:rsid w:val="00DF5388"/>
    <w:rsid w:val="00DF55E0"/>
    <w:rsid w:val="00DF56AE"/>
    <w:rsid w:val="00DF5C23"/>
    <w:rsid w:val="00DF5D12"/>
    <w:rsid w:val="00DF625E"/>
    <w:rsid w:val="00DF6296"/>
    <w:rsid w:val="00DF6732"/>
    <w:rsid w:val="00DF69B4"/>
    <w:rsid w:val="00DF6F12"/>
    <w:rsid w:val="00DF6F15"/>
    <w:rsid w:val="00DF7400"/>
    <w:rsid w:val="00DF7450"/>
    <w:rsid w:val="00DF75BA"/>
    <w:rsid w:val="00DF7829"/>
    <w:rsid w:val="00DF783F"/>
    <w:rsid w:val="00DF7953"/>
    <w:rsid w:val="00DF7BB6"/>
    <w:rsid w:val="00DF7BCB"/>
    <w:rsid w:val="00DF7E0F"/>
    <w:rsid w:val="00E000E8"/>
    <w:rsid w:val="00E004CF"/>
    <w:rsid w:val="00E00D54"/>
    <w:rsid w:val="00E00ED3"/>
    <w:rsid w:val="00E00F8C"/>
    <w:rsid w:val="00E00FE4"/>
    <w:rsid w:val="00E01465"/>
    <w:rsid w:val="00E0149C"/>
    <w:rsid w:val="00E01AF0"/>
    <w:rsid w:val="00E01D0E"/>
    <w:rsid w:val="00E01F15"/>
    <w:rsid w:val="00E01FD1"/>
    <w:rsid w:val="00E03374"/>
    <w:rsid w:val="00E03CB2"/>
    <w:rsid w:val="00E0443C"/>
    <w:rsid w:val="00E04925"/>
    <w:rsid w:val="00E04A30"/>
    <w:rsid w:val="00E04A6B"/>
    <w:rsid w:val="00E04B6E"/>
    <w:rsid w:val="00E05309"/>
    <w:rsid w:val="00E0560A"/>
    <w:rsid w:val="00E05C37"/>
    <w:rsid w:val="00E060A1"/>
    <w:rsid w:val="00E06BE2"/>
    <w:rsid w:val="00E0757C"/>
    <w:rsid w:val="00E075EE"/>
    <w:rsid w:val="00E1015E"/>
    <w:rsid w:val="00E108D4"/>
    <w:rsid w:val="00E1117B"/>
    <w:rsid w:val="00E113D9"/>
    <w:rsid w:val="00E11BAB"/>
    <w:rsid w:val="00E11CEA"/>
    <w:rsid w:val="00E1206F"/>
    <w:rsid w:val="00E12080"/>
    <w:rsid w:val="00E12138"/>
    <w:rsid w:val="00E12AE5"/>
    <w:rsid w:val="00E1335F"/>
    <w:rsid w:val="00E133EF"/>
    <w:rsid w:val="00E143BD"/>
    <w:rsid w:val="00E144EC"/>
    <w:rsid w:val="00E14983"/>
    <w:rsid w:val="00E14D12"/>
    <w:rsid w:val="00E1581C"/>
    <w:rsid w:val="00E158EA"/>
    <w:rsid w:val="00E15BAF"/>
    <w:rsid w:val="00E161EE"/>
    <w:rsid w:val="00E16238"/>
    <w:rsid w:val="00E165BB"/>
    <w:rsid w:val="00E1690F"/>
    <w:rsid w:val="00E16941"/>
    <w:rsid w:val="00E169FF"/>
    <w:rsid w:val="00E16C12"/>
    <w:rsid w:val="00E17593"/>
    <w:rsid w:val="00E17B28"/>
    <w:rsid w:val="00E17B2A"/>
    <w:rsid w:val="00E17F67"/>
    <w:rsid w:val="00E207EB"/>
    <w:rsid w:val="00E20B5D"/>
    <w:rsid w:val="00E20D35"/>
    <w:rsid w:val="00E21428"/>
    <w:rsid w:val="00E216AE"/>
    <w:rsid w:val="00E21B27"/>
    <w:rsid w:val="00E21EE3"/>
    <w:rsid w:val="00E21F0E"/>
    <w:rsid w:val="00E223E3"/>
    <w:rsid w:val="00E223E8"/>
    <w:rsid w:val="00E226FA"/>
    <w:rsid w:val="00E22AA7"/>
    <w:rsid w:val="00E22B6E"/>
    <w:rsid w:val="00E22E09"/>
    <w:rsid w:val="00E234E1"/>
    <w:rsid w:val="00E23CCC"/>
    <w:rsid w:val="00E23D70"/>
    <w:rsid w:val="00E244ED"/>
    <w:rsid w:val="00E246E2"/>
    <w:rsid w:val="00E24D87"/>
    <w:rsid w:val="00E24F5D"/>
    <w:rsid w:val="00E24FB7"/>
    <w:rsid w:val="00E25298"/>
    <w:rsid w:val="00E2563D"/>
    <w:rsid w:val="00E2591B"/>
    <w:rsid w:val="00E25F14"/>
    <w:rsid w:val="00E26502"/>
    <w:rsid w:val="00E26774"/>
    <w:rsid w:val="00E26B38"/>
    <w:rsid w:val="00E26B57"/>
    <w:rsid w:val="00E26F1C"/>
    <w:rsid w:val="00E27286"/>
    <w:rsid w:val="00E27296"/>
    <w:rsid w:val="00E274F5"/>
    <w:rsid w:val="00E274FB"/>
    <w:rsid w:val="00E306D6"/>
    <w:rsid w:val="00E30873"/>
    <w:rsid w:val="00E3087D"/>
    <w:rsid w:val="00E30F10"/>
    <w:rsid w:val="00E311CB"/>
    <w:rsid w:val="00E31D72"/>
    <w:rsid w:val="00E31F78"/>
    <w:rsid w:val="00E32791"/>
    <w:rsid w:val="00E32C4F"/>
    <w:rsid w:val="00E3389E"/>
    <w:rsid w:val="00E33940"/>
    <w:rsid w:val="00E33F89"/>
    <w:rsid w:val="00E3450E"/>
    <w:rsid w:val="00E34568"/>
    <w:rsid w:val="00E3540F"/>
    <w:rsid w:val="00E3545E"/>
    <w:rsid w:val="00E35EB6"/>
    <w:rsid w:val="00E35F37"/>
    <w:rsid w:val="00E360FF"/>
    <w:rsid w:val="00E367D3"/>
    <w:rsid w:val="00E36AAE"/>
    <w:rsid w:val="00E36EDD"/>
    <w:rsid w:val="00E36FEB"/>
    <w:rsid w:val="00E372C7"/>
    <w:rsid w:val="00E3799D"/>
    <w:rsid w:val="00E37B7C"/>
    <w:rsid w:val="00E4010F"/>
    <w:rsid w:val="00E40206"/>
    <w:rsid w:val="00E4029B"/>
    <w:rsid w:val="00E402AE"/>
    <w:rsid w:val="00E40A95"/>
    <w:rsid w:val="00E40F9F"/>
    <w:rsid w:val="00E412C3"/>
    <w:rsid w:val="00E41867"/>
    <w:rsid w:val="00E41961"/>
    <w:rsid w:val="00E41E47"/>
    <w:rsid w:val="00E41EDF"/>
    <w:rsid w:val="00E41F77"/>
    <w:rsid w:val="00E4310E"/>
    <w:rsid w:val="00E44A21"/>
    <w:rsid w:val="00E44C97"/>
    <w:rsid w:val="00E44DB9"/>
    <w:rsid w:val="00E45253"/>
    <w:rsid w:val="00E45255"/>
    <w:rsid w:val="00E45503"/>
    <w:rsid w:val="00E46C2A"/>
    <w:rsid w:val="00E46D66"/>
    <w:rsid w:val="00E477EA"/>
    <w:rsid w:val="00E478E7"/>
    <w:rsid w:val="00E47DDA"/>
    <w:rsid w:val="00E47F69"/>
    <w:rsid w:val="00E506E8"/>
    <w:rsid w:val="00E50D65"/>
    <w:rsid w:val="00E50DA4"/>
    <w:rsid w:val="00E50DE6"/>
    <w:rsid w:val="00E51092"/>
    <w:rsid w:val="00E510C0"/>
    <w:rsid w:val="00E51515"/>
    <w:rsid w:val="00E517BD"/>
    <w:rsid w:val="00E52500"/>
    <w:rsid w:val="00E52AA5"/>
    <w:rsid w:val="00E52FC2"/>
    <w:rsid w:val="00E53687"/>
    <w:rsid w:val="00E539AE"/>
    <w:rsid w:val="00E53E74"/>
    <w:rsid w:val="00E53EAD"/>
    <w:rsid w:val="00E5441A"/>
    <w:rsid w:val="00E5478C"/>
    <w:rsid w:val="00E551C6"/>
    <w:rsid w:val="00E551DF"/>
    <w:rsid w:val="00E55438"/>
    <w:rsid w:val="00E55838"/>
    <w:rsid w:val="00E55D50"/>
    <w:rsid w:val="00E56535"/>
    <w:rsid w:val="00E568E8"/>
    <w:rsid w:val="00E56B7A"/>
    <w:rsid w:val="00E56CE0"/>
    <w:rsid w:val="00E571E7"/>
    <w:rsid w:val="00E57D57"/>
    <w:rsid w:val="00E57DE7"/>
    <w:rsid w:val="00E6030B"/>
    <w:rsid w:val="00E6041E"/>
    <w:rsid w:val="00E60A99"/>
    <w:rsid w:val="00E60AD1"/>
    <w:rsid w:val="00E61253"/>
    <w:rsid w:val="00E61348"/>
    <w:rsid w:val="00E61395"/>
    <w:rsid w:val="00E613EA"/>
    <w:rsid w:val="00E616C3"/>
    <w:rsid w:val="00E61A6A"/>
    <w:rsid w:val="00E61E10"/>
    <w:rsid w:val="00E62142"/>
    <w:rsid w:val="00E6273B"/>
    <w:rsid w:val="00E62B33"/>
    <w:rsid w:val="00E62B71"/>
    <w:rsid w:val="00E630EB"/>
    <w:rsid w:val="00E63668"/>
    <w:rsid w:val="00E63AA0"/>
    <w:rsid w:val="00E63C1D"/>
    <w:rsid w:val="00E63F17"/>
    <w:rsid w:val="00E63F43"/>
    <w:rsid w:val="00E640B8"/>
    <w:rsid w:val="00E641C0"/>
    <w:rsid w:val="00E64647"/>
    <w:rsid w:val="00E64748"/>
    <w:rsid w:val="00E64854"/>
    <w:rsid w:val="00E64C3C"/>
    <w:rsid w:val="00E6506C"/>
    <w:rsid w:val="00E652D7"/>
    <w:rsid w:val="00E655AB"/>
    <w:rsid w:val="00E65673"/>
    <w:rsid w:val="00E65A85"/>
    <w:rsid w:val="00E65E96"/>
    <w:rsid w:val="00E66033"/>
    <w:rsid w:val="00E66266"/>
    <w:rsid w:val="00E665F9"/>
    <w:rsid w:val="00E6676E"/>
    <w:rsid w:val="00E66928"/>
    <w:rsid w:val="00E66AE9"/>
    <w:rsid w:val="00E66EFB"/>
    <w:rsid w:val="00E66FD2"/>
    <w:rsid w:val="00E66FE9"/>
    <w:rsid w:val="00E67070"/>
    <w:rsid w:val="00E67542"/>
    <w:rsid w:val="00E67586"/>
    <w:rsid w:val="00E67A45"/>
    <w:rsid w:val="00E70BA2"/>
    <w:rsid w:val="00E7104C"/>
    <w:rsid w:val="00E711CD"/>
    <w:rsid w:val="00E7157E"/>
    <w:rsid w:val="00E715D7"/>
    <w:rsid w:val="00E7170B"/>
    <w:rsid w:val="00E71ACE"/>
    <w:rsid w:val="00E71EC8"/>
    <w:rsid w:val="00E721F2"/>
    <w:rsid w:val="00E722DC"/>
    <w:rsid w:val="00E7244D"/>
    <w:rsid w:val="00E7250A"/>
    <w:rsid w:val="00E72852"/>
    <w:rsid w:val="00E73849"/>
    <w:rsid w:val="00E74203"/>
    <w:rsid w:val="00E748D8"/>
    <w:rsid w:val="00E750CF"/>
    <w:rsid w:val="00E75212"/>
    <w:rsid w:val="00E75221"/>
    <w:rsid w:val="00E7549F"/>
    <w:rsid w:val="00E75745"/>
    <w:rsid w:val="00E762D0"/>
    <w:rsid w:val="00E763A6"/>
    <w:rsid w:val="00E7650E"/>
    <w:rsid w:val="00E765C9"/>
    <w:rsid w:val="00E76B8C"/>
    <w:rsid w:val="00E76C4F"/>
    <w:rsid w:val="00E770D4"/>
    <w:rsid w:val="00E77398"/>
    <w:rsid w:val="00E7796D"/>
    <w:rsid w:val="00E779DA"/>
    <w:rsid w:val="00E77C26"/>
    <w:rsid w:val="00E77E21"/>
    <w:rsid w:val="00E802E1"/>
    <w:rsid w:val="00E803E1"/>
    <w:rsid w:val="00E806A5"/>
    <w:rsid w:val="00E80747"/>
    <w:rsid w:val="00E811A7"/>
    <w:rsid w:val="00E8126B"/>
    <w:rsid w:val="00E81276"/>
    <w:rsid w:val="00E8137D"/>
    <w:rsid w:val="00E81A4C"/>
    <w:rsid w:val="00E82AE0"/>
    <w:rsid w:val="00E82B99"/>
    <w:rsid w:val="00E842E1"/>
    <w:rsid w:val="00E84CA4"/>
    <w:rsid w:val="00E85C06"/>
    <w:rsid w:val="00E86316"/>
    <w:rsid w:val="00E8642E"/>
    <w:rsid w:val="00E86466"/>
    <w:rsid w:val="00E868BC"/>
    <w:rsid w:val="00E86A4D"/>
    <w:rsid w:val="00E86B14"/>
    <w:rsid w:val="00E86F00"/>
    <w:rsid w:val="00E8745D"/>
    <w:rsid w:val="00E87539"/>
    <w:rsid w:val="00E87573"/>
    <w:rsid w:val="00E8759D"/>
    <w:rsid w:val="00E87A44"/>
    <w:rsid w:val="00E87D94"/>
    <w:rsid w:val="00E87FB0"/>
    <w:rsid w:val="00E903E0"/>
    <w:rsid w:val="00E90683"/>
    <w:rsid w:val="00E906E6"/>
    <w:rsid w:val="00E91052"/>
    <w:rsid w:val="00E91829"/>
    <w:rsid w:val="00E923C5"/>
    <w:rsid w:val="00E93851"/>
    <w:rsid w:val="00E93AB6"/>
    <w:rsid w:val="00E93BD1"/>
    <w:rsid w:val="00E9447B"/>
    <w:rsid w:val="00E944E8"/>
    <w:rsid w:val="00E94CC2"/>
    <w:rsid w:val="00E94DFD"/>
    <w:rsid w:val="00E94EE0"/>
    <w:rsid w:val="00E9503A"/>
    <w:rsid w:val="00E951EF"/>
    <w:rsid w:val="00E9562F"/>
    <w:rsid w:val="00E957D9"/>
    <w:rsid w:val="00E95C97"/>
    <w:rsid w:val="00E95E2E"/>
    <w:rsid w:val="00E9626E"/>
    <w:rsid w:val="00E9677F"/>
    <w:rsid w:val="00E968CE"/>
    <w:rsid w:val="00E96B0B"/>
    <w:rsid w:val="00E96F07"/>
    <w:rsid w:val="00E970CC"/>
    <w:rsid w:val="00E970D7"/>
    <w:rsid w:val="00E976D3"/>
    <w:rsid w:val="00E97D83"/>
    <w:rsid w:val="00EA0276"/>
    <w:rsid w:val="00EA0A62"/>
    <w:rsid w:val="00EA0FDB"/>
    <w:rsid w:val="00EA0FFF"/>
    <w:rsid w:val="00EA1364"/>
    <w:rsid w:val="00EA18AC"/>
    <w:rsid w:val="00EA1A9B"/>
    <w:rsid w:val="00EA1C04"/>
    <w:rsid w:val="00EA24A7"/>
    <w:rsid w:val="00EA24EE"/>
    <w:rsid w:val="00EA2902"/>
    <w:rsid w:val="00EA2B24"/>
    <w:rsid w:val="00EA2CDB"/>
    <w:rsid w:val="00EA2D39"/>
    <w:rsid w:val="00EA3209"/>
    <w:rsid w:val="00EA34A8"/>
    <w:rsid w:val="00EA3947"/>
    <w:rsid w:val="00EA3A44"/>
    <w:rsid w:val="00EA3CC1"/>
    <w:rsid w:val="00EA3ED9"/>
    <w:rsid w:val="00EA4611"/>
    <w:rsid w:val="00EA4D79"/>
    <w:rsid w:val="00EA527B"/>
    <w:rsid w:val="00EA53ED"/>
    <w:rsid w:val="00EA57B5"/>
    <w:rsid w:val="00EA622E"/>
    <w:rsid w:val="00EA62EB"/>
    <w:rsid w:val="00EA655C"/>
    <w:rsid w:val="00EA6630"/>
    <w:rsid w:val="00EA671A"/>
    <w:rsid w:val="00EA6970"/>
    <w:rsid w:val="00EA76D7"/>
    <w:rsid w:val="00EA79B6"/>
    <w:rsid w:val="00EA7A39"/>
    <w:rsid w:val="00EA7D89"/>
    <w:rsid w:val="00EA7E0D"/>
    <w:rsid w:val="00EB049E"/>
    <w:rsid w:val="00EB06AC"/>
    <w:rsid w:val="00EB0BF9"/>
    <w:rsid w:val="00EB105B"/>
    <w:rsid w:val="00EB1288"/>
    <w:rsid w:val="00EB1317"/>
    <w:rsid w:val="00EB1567"/>
    <w:rsid w:val="00EB1BD6"/>
    <w:rsid w:val="00EB205C"/>
    <w:rsid w:val="00EB213A"/>
    <w:rsid w:val="00EB226B"/>
    <w:rsid w:val="00EB22A0"/>
    <w:rsid w:val="00EB254F"/>
    <w:rsid w:val="00EB2637"/>
    <w:rsid w:val="00EB2644"/>
    <w:rsid w:val="00EB2FBE"/>
    <w:rsid w:val="00EB32D7"/>
    <w:rsid w:val="00EB4156"/>
    <w:rsid w:val="00EB4182"/>
    <w:rsid w:val="00EB425D"/>
    <w:rsid w:val="00EB42D6"/>
    <w:rsid w:val="00EB4DFF"/>
    <w:rsid w:val="00EB4EC5"/>
    <w:rsid w:val="00EB4FDE"/>
    <w:rsid w:val="00EB53A4"/>
    <w:rsid w:val="00EB5D4F"/>
    <w:rsid w:val="00EB632F"/>
    <w:rsid w:val="00EB6939"/>
    <w:rsid w:val="00EB6989"/>
    <w:rsid w:val="00EB6995"/>
    <w:rsid w:val="00EB6A9B"/>
    <w:rsid w:val="00EB6C70"/>
    <w:rsid w:val="00EB72BB"/>
    <w:rsid w:val="00EC00C9"/>
    <w:rsid w:val="00EC0308"/>
    <w:rsid w:val="00EC06B7"/>
    <w:rsid w:val="00EC09BC"/>
    <w:rsid w:val="00EC11DA"/>
    <w:rsid w:val="00EC15ED"/>
    <w:rsid w:val="00EC15FC"/>
    <w:rsid w:val="00EC1831"/>
    <w:rsid w:val="00EC1A0D"/>
    <w:rsid w:val="00EC1D61"/>
    <w:rsid w:val="00EC2063"/>
    <w:rsid w:val="00EC27DE"/>
    <w:rsid w:val="00EC28E8"/>
    <w:rsid w:val="00EC2F29"/>
    <w:rsid w:val="00EC34C2"/>
    <w:rsid w:val="00EC3A75"/>
    <w:rsid w:val="00EC3AEA"/>
    <w:rsid w:val="00EC3B6C"/>
    <w:rsid w:val="00EC3BBB"/>
    <w:rsid w:val="00EC3CC6"/>
    <w:rsid w:val="00EC3D64"/>
    <w:rsid w:val="00EC3DDF"/>
    <w:rsid w:val="00EC3F31"/>
    <w:rsid w:val="00EC41C8"/>
    <w:rsid w:val="00EC4887"/>
    <w:rsid w:val="00EC4894"/>
    <w:rsid w:val="00EC5128"/>
    <w:rsid w:val="00EC5245"/>
    <w:rsid w:val="00EC5729"/>
    <w:rsid w:val="00EC574B"/>
    <w:rsid w:val="00EC63AA"/>
    <w:rsid w:val="00EC66CE"/>
    <w:rsid w:val="00EC67DD"/>
    <w:rsid w:val="00EC6A5B"/>
    <w:rsid w:val="00EC7D87"/>
    <w:rsid w:val="00EC7F4F"/>
    <w:rsid w:val="00ED0C4C"/>
    <w:rsid w:val="00ED0F9E"/>
    <w:rsid w:val="00ED10CB"/>
    <w:rsid w:val="00ED14F2"/>
    <w:rsid w:val="00ED1739"/>
    <w:rsid w:val="00ED17FC"/>
    <w:rsid w:val="00ED2645"/>
    <w:rsid w:val="00ED2A7A"/>
    <w:rsid w:val="00ED2C1D"/>
    <w:rsid w:val="00ED2F10"/>
    <w:rsid w:val="00ED3059"/>
    <w:rsid w:val="00ED3236"/>
    <w:rsid w:val="00ED341D"/>
    <w:rsid w:val="00ED391F"/>
    <w:rsid w:val="00ED3982"/>
    <w:rsid w:val="00ED3B87"/>
    <w:rsid w:val="00ED4151"/>
    <w:rsid w:val="00ED41E0"/>
    <w:rsid w:val="00ED4408"/>
    <w:rsid w:val="00ED462B"/>
    <w:rsid w:val="00ED4D03"/>
    <w:rsid w:val="00ED4DB4"/>
    <w:rsid w:val="00ED4ECE"/>
    <w:rsid w:val="00ED5141"/>
    <w:rsid w:val="00ED525E"/>
    <w:rsid w:val="00ED59BE"/>
    <w:rsid w:val="00ED5ADE"/>
    <w:rsid w:val="00ED6436"/>
    <w:rsid w:val="00ED64D8"/>
    <w:rsid w:val="00ED71E3"/>
    <w:rsid w:val="00ED7474"/>
    <w:rsid w:val="00ED76D2"/>
    <w:rsid w:val="00ED7A37"/>
    <w:rsid w:val="00ED7AF0"/>
    <w:rsid w:val="00ED7FE8"/>
    <w:rsid w:val="00EE0333"/>
    <w:rsid w:val="00EE036F"/>
    <w:rsid w:val="00EE03F4"/>
    <w:rsid w:val="00EE0542"/>
    <w:rsid w:val="00EE0740"/>
    <w:rsid w:val="00EE09A7"/>
    <w:rsid w:val="00EE0CD7"/>
    <w:rsid w:val="00EE0DFC"/>
    <w:rsid w:val="00EE0EE6"/>
    <w:rsid w:val="00EE0EE8"/>
    <w:rsid w:val="00EE0F8A"/>
    <w:rsid w:val="00EE1004"/>
    <w:rsid w:val="00EE1354"/>
    <w:rsid w:val="00EE135C"/>
    <w:rsid w:val="00EE17DC"/>
    <w:rsid w:val="00EE1A61"/>
    <w:rsid w:val="00EE20EA"/>
    <w:rsid w:val="00EE318C"/>
    <w:rsid w:val="00EE319A"/>
    <w:rsid w:val="00EE3205"/>
    <w:rsid w:val="00EE3518"/>
    <w:rsid w:val="00EE3A25"/>
    <w:rsid w:val="00EE3CD2"/>
    <w:rsid w:val="00EE4344"/>
    <w:rsid w:val="00EE4372"/>
    <w:rsid w:val="00EE4581"/>
    <w:rsid w:val="00EE4EFC"/>
    <w:rsid w:val="00EE51C4"/>
    <w:rsid w:val="00EE547F"/>
    <w:rsid w:val="00EE5542"/>
    <w:rsid w:val="00EE5614"/>
    <w:rsid w:val="00EE5706"/>
    <w:rsid w:val="00EE57DE"/>
    <w:rsid w:val="00EE58BF"/>
    <w:rsid w:val="00EE5CE2"/>
    <w:rsid w:val="00EE63F4"/>
    <w:rsid w:val="00EE6500"/>
    <w:rsid w:val="00EE68AD"/>
    <w:rsid w:val="00EE6E0F"/>
    <w:rsid w:val="00EE72D2"/>
    <w:rsid w:val="00EE753E"/>
    <w:rsid w:val="00EE7B1F"/>
    <w:rsid w:val="00EE7EA3"/>
    <w:rsid w:val="00EF0807"/>
    <w:rsid w:val="00EF16B2"/>
    <w:rsid w:val="00EF1A0D"/>
    <w:rsid w:val="00EF1C7E"/>
    <w:rsid w:val="00EF1FCB"/>
    <w:rsid w:val="00EF2B22"/>
    <w:rsid w:val="00EF2C91"/>
    <w:rsid w:val="00EF31ED"/>
    <w:rsid w:val="00EF336A"/>
    <w:rsid w:val="00EF399B"/>
    <w:rsid w:val="00EF3A1A"/>
    <w:rsid w:val="00EF3B2E"/>
    <w:rsid w:val="00EF4E9F"/>
    <w:rsid w:val="00EF50BF"/>
    <w:rsid w:val="00EF5732"/>
    <w:rsid w:val="00EF5ADC"/>
    <w:rsid w:val="00EF6043"/>
    <w:rsid w:val="00EF6733"/>
    <w:rsid w:val="00EF7000"/>
    <w:rsid w:val="00EF727D"/>
    <w:rsid w:val="00EF75B3"/>
    <w:rsid w:val="00EF76C0"/>
    <w:rsid w:val="00EF781F"/>
    <w:rsid w:val="00EF786B"/>
    <w:rsid w:val="00EF78F7"/>
    <w:rsid w:val="00EF7A8A"/>
    <w:rsid w:val="00EF7B08"/>
    <w:rsid w:val="00EF7D00"/>
    <w:rsid w:val="00EF7E4F"/>
    <w:rsid w:val="00EF7F58"/>
    <w:rsid w:val="00F00922"/>
    <w:rsid w:val="00F00A7D"/>
    <w:rsid w:val="00F00DB9"/>
    <w:rsid w:val="00F00E4B"/>
    <w:rsid w:val="00F01205"/>
    <w:rsid w:val="00F014C4"/>
    <w:rsid w:val="00F018A1"/>
    <w:rsid w:val="00F01F22"/>
    <w:rsid w:val="00F02103"/>
    <w:rsid w:val="00F0235C"/>
    <w:rsid w:val="00F02904"/>
    <w:rsid w:val="00F02A28"/>
    <w:rsid w:val="00F02AAB"/>
    <w:rsid w:val="00F02FF3"/>
    <w:rsid w:val="00F030AE"/>
    <w:rsid w:val="00F0329C"/>
    <w:rsid w:val="00F032E1"/>
    <w:rsid w:val="00F034A1"/>
    <w:rsid w:val="00F03C2A"/>
    <w:rsid w:val="00F03CB5"/>
    <w:rsid w:val="00F03D9A"/>
    <w:rsid w:val="00F03ECC"/>
    <w:rsid w:val="00F04D73"/>
    <w:rsid w:val="00F04FC6"/>
    <w:rsid w:val="00F052F6"/>
    <w:rsid w:val="00F0533B"/>
    <w:rsid w:val="00F054B4"/>
    <w:rsid w:val="00F05552"/>
    <w:rsid w:val="00F05C34"/>
    <w:rsid w:val="00F063BE"/>
    <w:rsid w:val="00F0665B"/>
    <w:rsid w:val="00F0693C"/>
    <w:rsid w:val="00F06BD3"/>
    <w:rsid w:val="00F06E39"/>
    <w:rsid w:val="00F06E9B"/>
    <w:rsid w:val="00F06FC6"/>
    <w:rsid w:val="00F0781B"/>
    <w:rsid w:val="00F07A54"/>
    <w:rsid w:val="00F07EF0"/>
    <w:rsid w:val="00F10A3B"/>
    <w:rsid w:val="00F10B2B"/>
    <w:rsid w:val="00F10EDF"/>
    <w:rsid w:val="00F112AF"/>
    <w:rsid w:val="00F11A71"/>
    <w:rsid w:val="00F11BEF"/>
    <w:rsid w:val="00F120E2"/>
    <w:rsid w:val="00F12C8B"/>
    <w:rsid w:val="00F12CBD"/>
    <w:rsid w:val="00F13612"/>
    <w:rsid w:val="00F13A25"/>
    <w:rsid w:val="00F13AC6"/>
    <w:rsid w:val="00F143CC"/>
    <w:rsid w:val="00F157F6"/>
    <w:rsid w:val="00F159B9"/>
    <w:rsid w:val="00F15DAE"/>
    <w:rsid w:val="00F16124"/>
    <w:rsid w:val="00F16607"/>
    <w:rsid w:val="00F167FC"/>
    <w:rsid w:val="00F16919"/>
    <w:rsid w:val="00F169F5"/>
    <w:rsid w:val="00F16D4E"/>
    <w:rsid w:val="00F16E51"/>
    <w:rsid w:val="00F175DC"/>
    <w:rsid w:val="00F176A8"/>
    <w:rsid w:val="00F17844"/>
    <w:rsid w:val="00F206C0"/>
    <w:rsid w:val="00F20BB5"/>
    <w:rsid w:val="00F20FF6"/>
    <w:rsid w:val="00F217D3"/>
    <w:rsid w:val="00F21D66"/>
    <w:rsid w:val="00F21E56"/>
    <w:rsid w:val="00F2254A"/>
    <w:rsid w:val="00F228D8"/>
    <w:rsid w:val="00F22C03"/>
    <w:rsid w:val="00F22CFD"/>
    <w:rsid w:val="00F22E8B"/>
    <w:rsid w:val="00F23121"/>
    <w:rsid w:val="00F23220"/>
    <w:rsid w:val="00F23274"/>
    <w:rsid w:val="00F23316"/>
    <w:rsid w:val="00F236F4"/>
    <w:rsid w:val="00F23973"/>
    <w:rsid w:val="00F23A0B"/>
    <w:rsid w:val="00F23D8A"/>
    <w:rsid w:val="00F23FE1"/>
    <w:rsid w:val="00F240D6"/>
    <w:rsid w:val="00F2414A"/>
    <w:rsid w:val="00F24569"/>
    <w:rsid w:val="00F24581"/>
    <w:rsid w:val="00F248A1"/>
    <w:rsid w:val="00F24CF8"/>
    <w:rsid w:val="00F2528D"/>
    <w:rsid w:val="00F2618D"/>
    <w:rsid w:val="00F262F6"/>
    <w:rsid w:val="00F26615"/>
    <w:rsid w:val="00F26773"/>
    <w:rsid w:val="00F26BE7"/>
    <w:rsid w:val="00F26C05"/>
    <w:rsid w:val="00F26DB2"/>
    <w:rsid w:val="00F26FEF"/>
    <w:rsid w:val="00F275B6"/>
    <w:rsid w:val="00F278B7"/>
    <w:rsid w:val="00F27CC0"/>
    <w:rsid w:val="00F30258"/>
    <w:rsid w:val="00F303C2"/>
    <w:rsid w:val="00F303DD"/>
    <w:rsid w:val="00F3093E"/>
    <w:rsid w:val="00F30AAF"/>
    <w:rsid w:val="00F30CE3"/>
    <w:rsid w:val="00F30F1A"/>
    <w:rsid w:val="00F315F9"/>
    <w:rsid w:val="00F31A7C"/>
    <w:rsid w:val="00F31DDF"/>
    <w:rsid w:val="00F32392"/>
    <w:rsid w:val="00F32DD2"/>
    <w:rsid w:val="00F33258"/>
    <w:rsid w:val="00F333D0"/>
    <w:rsid w:val="00F33684"/>
    <w:rsid w:val="00F33708"/>
    <w:rsid w:val="00F3383D"/>
    <w:rsid w:val="00F33922"/>
    <w:rsid w:val="00F33AB4"/>
    <w:rsid w:val="00F33AC4"/>
    <w:rsid w:val="00F33B19"/>
    <w:rsid w:val="00F33BB4"/>
    <w:rsid w:val="00F33D44"/>
    <w:rsid w:val="00F34196"/>
    <w:rsid w:val="00F3429C"/>
    <w:rsid w:val="00F3454A"/>
    <w:rsid w:val="00F34F55"/>
    <w:rsid w:val="00F355C9"/>
    <w:rsid w:val="00F35682"/>
    <w:rsid w:val="00F358AE"/>
    <w:rsid w:val="00F359AB"/>
    <w:rsid w:val="00F35B6A"/>
    <w:rsid w:val="00F35CA3"/>
    <w:rsid w:val="00F35EF2"/>
    <w:rsid w:val="00F3636E"/>
    <w:rsid w:val="00F369BB"/>
    <w:rsid w:val="00F36AEA"/>
    <w:rsid w:val="00F36BED"/>
    <w:rsid w:val="00F3752E"/>
    <w:rsid w:val="00F37844"/>
    <w:rsid w:val="00F37CC8"/>
    <w:rsid w:val="00F37CCD"/>
    <w:rsid w:val="00F400E1"/>
    <w:rsid w:val="00F40195"/>
    <w:rsid w:val="00F401CF"/>
    <w:rsid w:val="00F401E5"/>
    <w:rsid w:val="00F4037B"/>
    <w:rsid w:val="00F406DC"/>
    <w:rsid w:val="00F40851"/>
    <w:rsid w:val="00F40865"/>
    <w:rsid w:val="00F408CB"/>
    <w:rsid w:val="00F40D97"/>
    <w:rsid w:val="00F41108"/>
    <w:rsid w:val="00F41AE1"/>
    <w:rsid w:val="00F420E4"/>
    <w:rsid w:val="00F420EF"/>
    <w:rsid w:val="00F42491"/>
    <w:rsid w:val="00F4253E"/>
    <w:rsid w:val="00F42898"/>
    <w:rsid w:val="00F42914"/>
    <w:rsid w:val="00F4294C"/>
    <w:rsid w:val="00F42A0D"/>
    <w:rsid w:val="00F42F84"/>
    <w:rsid w:val="00F43F3D"/>
    <w:rsid w:val="00F44156"/>
    <w:rsid w:val="00F45123"/>
    <w:rsid w:val="00F457CF"/>
    <w:rsid w:val="00F467F4"/>
    <w:rsid w:val="00F46B1A"/>
    <w:rsid w:val="00F46C48"/>
    <w:rsid w:val="00F46E69"/>
    <w:rsid w:val="00F47438"/>
    <w:rsid w:val="00F4771B"/>
    <w:rsid w:val="00F47995"/>
    <w:rsid w:val="00F4799F"/>
    <w:rsid w:val="00F47C1F"/>
    <w:rsid w:val="00F47F77"/>
    <w:rsid w:val="00F50857"/>
    <w:rsid w:val="00F50BBC"/>
    <w:rsid w:val="00F51075"/>
    <w:rsid w:val="00F51356"/>
    <w:rsid w:val="00F51BF9"/>
    <w:rsid w:val="00F51F11"/>
    <w:rsid w:val="00F51F35"/>
    <w:rsid w:val="00F5208B"/>
    <w:rsid w:val="00F52D1E"/>
    <w:rsid w:val="00F53363"/>
    <w:rsid w:val="00F53C2D"/>
    <w:rsid w:val="00F540A8"/>
    <w:rsid w:val="00F54417"/>
    <w:rsid w:val="00F54814"/>
    <w:rsid w:val="00F54965"/>
    <w:rsid w:val="00F551CD"/>
    <w:rsid w:val="00F5594B"/>
    <w:rsid w:val="00F55B8B"/>
    <w:rsid w:val="00F55FB3"/>
    <w:rsid w:val="00F564BD"/>
    <w:rsid w:val="00F572EF"/>
    <w:rsid w:val="00F5735C"/>
    <w:rsid w:val="00F575E2"/>
    <w:rsid w:val="00F576BD"/>
    <w:rsid w:val="00F57CE2"/>
    <w:rsid w:val="00F57F02"/>
    <w:rsid w:val="00F600DF"/>
    <w:rsid w:val="00F603A5"/>
    <w:rsid w:val="00F60442"/>
    <w:rsid w:val="00F6056A"/>
    <w:rsid w:val="00F6068E"/>
    <w:rsid w:val="00F6077E"/>
    <w:rsid w:val="00F609D6"/>
    <w:rsid w:val="00F611B8"/>
    <w:rsid w:val="00F6136D"/>
    <w:rsid w:val="00F615FB"/>
    <w:rsid w:val="00F6175C"/>
    <w:rsid w:val="00F618F5"/>
    <w:rsid w:val="00F61B15"/>
    <w:rsid w:val="00F61DBE"/>
    <w:rsid w:val="00F61E5F"/>
    <w:rsid w:val="00F61F09"/>
    <w:rsid w:val="00F622F3"/>
    <w:rsid w:val="00F62977"/>
    <w:rsid w:val="00F62C2A"/>
    <w:rsid w:val="00F63540"/>
    <w:rsid w:val="00F63634"/>
    <w:rsid w:val="00F6375D"/>
    <w:rsid w:val="00F65109"/>
    <w:rsid w:val="00F65666"/>
    <w:rsid w:val="00F6566A"/>
    <w:rsid w:val="00F65B7C"/>
    <w:rsid w:val="00F6670C"/>
    <w:rsid w:val="00F668B3"/>
    <w:rsid w:val="00F66EBC"/>
    <w:rsid w:val="00F67592"/>
    <w:rsid w:val="00F67668"/>
    <w:rsid w:val="00F6771D"/>
    <w:rsid w:val="00F6777C"/>
    <w:rsid w:val="00F6791C"/>
    <w:rsid w:val="00F67A73"/>
    <w:rsid w:val="00F67F0F"/>
    <w:rsid w:val="00F67F42"/>
    <w:rsid w:val="00F7089B"/>
    <w:rsid w:val="00F7091B"/>
    <w:rsid w:val="00F70AA4"/>
    <w:rsid w:val="00F70FA0"/>
    <w:rsid w:val="00F70FB5"/>
    <w:rsid w:val="00F7137F"/>
    <w:rsid w:val="00F71809"/>
    <w:rsid w:val="00F71870"/>
    <w:rsid w:val="00F71A90"/>
    <w:rsid w:val="00F7214C"/>
    <w:rsid w:val="00F72547"/>
    <w:rsid w:val="00F72CBF"/>
    <w:rsid w:val="00F73303"/>
    <w:rsid w:val="00F7341F"/>
    <w:rsid w:val="00F73664"/>
    <w:rsid w:val="00F73F85"/>
    <w:rsid w:val="00F74771"/>
    <w:rsid w:val="00F75619"/>
    <w:rsid w:val="00F75A87"/>
    <w:rsid w:val="00F76116"/>
    <w:rsid w:val="00F765BC"/>
    <w:rsid w:val="00F76730"/>
    <w:rsid w:val="00F76FDB"/>
    <w:rsid w:val="00F772DC"/>
    <w:rsid w:val="00F774F1"/>
    <w:rsid w:val="00F77748"/>
    <w:rsid w:val="00F778A9"/>
    <w:rsid w:val="00F77E82"/>
    <w:rsid w:val="00F800F6"/>
    <w:rsid w:val="00F80871"/>
    <w:rsid w:val="00F80D80"/>
    <w:rsid w:val="00F81157"/>
    <w:rsid w:val="00F815A4"/>
    <w:rsid w:val="00F816B5"/>
    <w:rsid w:val="00F817C3"/>
    <w:rsid w:val="00F81C1A"/>
    <w:rsid w:val="00F81CCF"/>
    <w:rsid w:val="00F82291"/>
    <w:rsid w:val="00F82425"/>
    <w:rsid w:val="00F8268B"/>
    <w:rsid w:val="00F82A18"/>
    <w:rsid w:val="00F835C9"/>
    <w:rsid w:val="00F83A1D"/>
    <w:rsid w:val="00F83AA9"/>
    <w:rsid w:val="00F83CD9"/>
    <w:rsid w:val="00F83E34"/>
    <w:rsid w:val="00F83E90"/>
    <w:rsid w:val="00F840D5"/>
    <w:rsid w:val="00F84325"/>
    <w:rsid w:val="00F84821"/>
    <w:rsid w:val="00F849CA"/>
    <w:rsid w:val="00F84A9D"/>
    <w:rsid w:val="00F84E98"/>
    <w:rsid w:val="00F854B6"/>
    <w:rsid w:val="00F85AF0"/>
    <w:rsid w:val="00F86222"/>
    <w:rsid w:val="00F86310"/>
    <w:rsid w:val="00F863F7"/>
    <w:rsid w:val="00F866B9"/>
    <w:rsid w:val="00F866FA"/>
    <w:rsid w:val="00F86A7F"/>
    <w:rsid w:val="00F86DE4"/>
    <w:rsid w:val="00F8741E"/>
    <w:rsid w:val="00F874B1"/>
    <w:rsid w:val="00F87514"/>
    <w:rsid w:val="00F87B8E"/>
    <w:rsid w:val="00F90229"/>
    <w:rsid w:val="00F9073B"/>
    <w:rsid w:val="00F907C8"/>
    <w:rsid w:val="00F90840"/>
    <w:rsid w:val="00F90A2C"/>
    <w:rsid w:val="00F90A86"/>
    <w:rsid w:val="00F90C43"/>
    <w:rsid w:val="00F90D44"/>
    <w:rsid w:val="00F9102A"/>
    <w:rsid w:val="00F913E4"/>
    <w:rsid w:val="00F914DD"/>
    <w:rsid w:val="00F91657"/>
    <w:rsid w:val="00F916BD"/>
    <w:rsid w:val="00F9184D"/>
    <w:rsid w:val="00F919AE"/>
    <w:rsid w:val="00F91B1F"/>
    <w:rsid w:val="00F91E56"/>
    <w:rsid w:val="00F91EBE"/>
    <w:rsid w:val="00F92145"/>
    <w:rsid w:val="00F9255C"/>
    <w:rsid w:val="00F92F5F"/>
    <w:rsid w:val="00F93F62"/>
    <w:rsid w:val="00F9563E"/>
    <w:rsid w:val="00F957C3"/>
    <w:rsid w:val="00F95CC5"/>
    <w:rsid w:val="00F95D7A"/>
    <w:rsid w:val="00F95E5B"/>
    <w:rsid w:val="00F960BF"/>
    <w:rsid w:val="00F9631F"/>
    <w:rsid w:val="00F964F9"/>
    <w:rsid w:val="00F9666E"/>
    <w:rsid w:val="00F969FB"/>
    <w:rsid w:val="00F9780B"/>
    <w:rsid w:val="00F97968"/>
    <w:rsid w:val="00F97C92"/>
    <w:rsid w:val="00FA03A8"/>
    <w:rsid w:val="00FA1047"/>
    <w:rsid w:val="00FA11E9"/>
    <w:rsid w:val="00FA1A78"/>
    <w:rsid w:val="00FA233D"/>
    <w:rsid w:val="00FA254F"/>
    <w:rsid w:val="00FA2627"/>
    <w:rsid w:val="00FA28CC"/>
    <w:rsid w:val="00FA29B6"/>
    <w:rsid w:val="00FA2DDF"/>
    <w:rsid w:val="00FA3483"/>
    <w:rsid w:val="00FA35CE"/>
    <w:rsid w:val="00FA38EF"/>
    <w:rsid w:val="00FA3C29"/>
    <w:rsid w:val="00FA40EE"/>
    <w:rsid w:val="00FA410F"/>
    <w:rsid w:val="00FA41D7"/>
    <w:rsid w:val="00FA4300"/>
    <w:rsid w:val="00FA4643"/>
    <w:rsid w:val="00FA46AD"/>
    <w:rsid w:val="00FA4C65"/>
    <w:rsid w:val="00FA53DA"/>
    <w:rsid w:val="00FA5558"/>
    <w:rsid w:val="00FA5758"/>
    <w:rsid w:val="00FA5831"/>
    <w:rsid w:val="00FA58A9"/>
    <w:rsid w:val="00FA5AFB"/>
    <w:rsid w:val="00FA5C5C"/>
    <w:rsid w:val="00FA5CEB"/>
    <w:rsid w:val="00FA6310"/>
    <w:rsid w:val="00FA644C"/>
    <w:rsid w:val="00FA6626"/>
    <w:rsid w:val="00FA67C9"/>
    <w:rsid w:val="00FA68B2"/>
    <w:rsid w:val="00FA69C2"/>
    <w:rsid w:val="00FA6C75"/>
    <w:rsid w:val="00FA716B"/>
    <w:rsid w:val="00FA7623"/>
    <w:rsid w:val="00FA7A48"/>
    <w:rsid w:val="00FA7A5F"/>
    <w:rsid w:val="00FA7C04"/>
    <w:rsid w:val="00FA7C0C"/>
    <w:rsid w:val="00FA7C3C"/>
    <w:rsid w:val="00FA7F5B"/>
    <w:rsid w:val="00FB009D"/>
    <w:rsid w:val="00FB088B"/>
    <w:rsid w:val="00FB093A"/>
    <w:rsid w:val="00FB0A48"/>
    <w:rsid w:val="00FB0A72"/>
    <w:rsid w:val="00FB101F"/>
    <w:rsid w:val="00FB1441"/>
    <w:rsid w:val="00FB18F6"/>
    <w:rsid w:val="00FB19F3"/>
    <w:rsid w:val="00FB1A1B"/>
    <w:rsid w:val="00FB201C"/>
    <w:rsid w:val="00FB3003"/>
    <w:rsid w:val="00FB374D"/>
    <w:rsid w:val="00FB37F2"/>
    <w:rsid w:val="00FB3961"/>
    <w:rsid w:val="00FB3A33"/>
    <w:rsid w:val="00FB42DF"/>
    <w:rsid w:val="00FB43A3"/>
    <w:rsid w:val="00FB4423"/>
    <w:rsid w:val="00FB45DF"/>
    <w:rsid w:val="00FB48DD"/>
    <w:rsid w:val="00FB4AB6"/>
    <w:rsid w:val="00FB4F15"/>
    <w:rsid w:val="00FB5006"/>
    <w:rsid w:val="00FB50A7"/>
    <w:rsid w:val="00FB5169"/>
    <w:rsid w:val="00FB54E4"/>
    <w:rsid w:val="00FB5EC8"/>
    <w:rsid w:val="00FB61AE"/>
    <w:rsid w:val="00FB6327"/>
    <w:rsid w:val="00FB6444"/>
    <w:rsid w:val="00FB6BD7"/>
    <w:rsid w:val="00FB6C47"/>
    <w:rsid w:val="00FB752A"/>
    <w:rsid w:val="00FB7C4A"/>
    <w:rsid w:val="00FB7CC4"/>
    <w:rsid w:val="00FB7CF0"/>
    <w:rsid w:val="00FB7D29"/>
    <w:rsid w:val="00FB7D36"/>
    <w:rsid w:val="00FC0081"/>
    <w:rsid w:val="00FC00A1"/>
    <w:rsid w:val="00FC03AC"/>
    <w:rsid w:val="00FC0D51"/>
    <w:rsid w:val="00FC0DCF"/>
    <w:rsid w:val="00FC11CC"/>
    <w:rsid w:val="00FC13EE"/>
    <w:rsid w:val="00FC1428"/>
    <w:rsid w:val="00FC18E7"/>
    <w:rsid w:val="00FC1B6D"/>
    <w:rsid w:val="00FC1D27"/>
    <w:rsid w:val="00FC23D0"/>
    <w:rsid w:val="00FC299A"/>
    <w:rsid w:val="00FC29B7"/>
    <w:rsid w:val="00FC2F38"/>
    <w:rsid w:val="00FC38E1"/>
    <w:rsid w:val="00FC3D44"/>
    <w:rsid w:val="00FC469F"/>
    <w:rsid w:val="00FC4830"/>
    <w:rsid w:val="00FC4A90"/>
    <w:rsid w:val="00FC4B6C"/>
    <w:rsid w:val="00FC52C6"/>
    <w:rsid w:val="00FC5977"/>
    <w:rsid w:val="00FC60D8"/>
    <w:rsid w:val="00FC6442"/>
    <w:rsid w:val="00FC727B"/>
    <w:rsid w:val="00FC7FB9"/>
    <w:rsid w:val="00FD03D4"/>
    <w:rsid w:val="00FD0A8D"/>
    <w:rsid w:val="00FD0C8E"/>
    <w:rsid w:val="00FD11D0"/>
    <w:rsid w:val="00FD1265"/>
    <w:rsid w:val="00FD1387"/>
    <w:rsid w:val="00FD149C"/>
    <w:rsid w:val="00FD15D3"/>
    <w:rsid w:val="00FD1864"/>
    <w:rsid w:val="00FD21AA"/>
    <w:rsid w:val="00FD21BE"/>
    <w:rsid w:val="00FD230D"/>
    <w:rsid w:val="00FD2362"/>
    <w:rsid w:val="00FD26D8"/>
    <w:rsid w:val="00FD27EC"/>
    <w:rsid w:val="00FD2918"/>
    <w:rsid w:val="00FD2C0D"/>
    <w:rsid w:val="00FD2E16"/>
    <w:rsid w:val="00FD3133"/>
    <w:rsid w:val="00FD323F"/>
    <w:rsid w:val="00FD3476"/>
    <w:rsid w:val="00FD396F"/>
    <w:rsid w:val="00FD3BAC"/>
    <w:rsid w:val="00FD3EDC"/>
    <w:rsid w:val="00FD4387"/>
    <w:rsid w:val="00FD471D"/>
    <w:rsid w:val="00FD490F"/>
    <w:rsid w:val="00FD534C"/>
    <w:rsid w:val="00FD57C4"/>
    <w:rsid w:val="00FD5C35"/>
    <w:rsid w:val="00FD5CDC"/>
    <w:rsid w:val="00FD6022"/>
    <w:rsid w:val="00FD62A0"/>
    <w:rsid w:val="00FD63C3"/>
    <w:rsid w:val="00FD65A1"/>
    <w:rsid w:val="00FD6B53"/>
    <w:rsid w:val="00FD704D"/>
    <w:rsid w:val="00FD76F5"/>
    <w:rsid w:val="00FD7719"/>
    <w:rsid w:val="00FD7F56"/>
    <w:rsid w:val="00FE02E8"/>
    <w:rsid w:val="00FE0386"/>
    <w:rsid w:val="00FE0416"/>
    <w:rsid w:val="00FE06A9"/>
    <w:rsid w:val="00FE0F32"/>
    <w:rsid w:val="00FE0FB2"/>
    <w:rsid w:val="00FE1170"/>
    <w:rsid w:val="00FE1358"/>
    <w:rsid w:val="00FE19A4"/>
    <w:rsid w:val="00FE1FFF"/>
    <w:rsid w:val="00FE2192"/>
    <w:rsid w:val="00FE2440"/>
    <w:rsid w:val="00FE25D8"/>
    <w:rsid w:val="00FE26B0"/>
    <w:rsid w:val="00FE2DA5"/>
    <w:rsid w:val="00FE2EB9"/>
    <w:rsid w:val="00FE2F08"/>
    <w:rsid w:val="00FE3331"/>
    <w:rsid w:val="00FE354B"/>
    <w:rsid w:val="00FE3985"/>
    <w:rsid w:val="00FE3A84"/>
    <w:rsid w:val="00FE4440"/>
    <w:rsid w:val="00FE4474"/>
    <w:rsid w:val="00FE454A"/>
    <w:rsid w:val="00FE455F"/>
    <w:rsid w:val="00FE461B"/>
    <w:rsid w:val="00FE4782"/>
    <w:rsid w:val="00FE4845"/>
    <w:rsid w:val="00FE4FF1"/>
    <w:rsid w:val="00FE4FF6"/>
    <w:rsid w:val="00FE5163"/>
    <w:rsid w:val="00FE53E9"/>
    <w:rsid w:val="00FE5847"/>
    <w:rsid w:val="00FE5B4F"/>
    <w:rsid w:val="00FE5F9A"/>
    <w:rsid w:val="00FE66CD"/>
    <w:rsid w:val="00FE6847"/>
    <w:rsid w:val="00FE714B"/>
    <w:rsid w:val="00FE71E3"/>
    <w:rsid w:val="00FE7349"/>
    <w:rsid w:val="00FE7697"/>
    <w:rsid w:val="00FE77CF"/>
    <w:rsid w:val="00FE7905"/>
    <w:rsid w:val="00FE7ECE"/>
    <w:rsid w:val="00FF0791"/>
    <w:rsid w:val="00FF0F94"/>
    <w:rsid w:val="00FF0FFD"/>
    <w:rsid w:val="00FF179F"/>
    <w:rsid w:val="00FF27EB"/>
    <w:rsid w:val="00FF2C84"/>
    <w:rsid w:val="00FF301A"/>
    <w:rsid w:val="00FF3180"/>
    <w:rsid w:val="00FF3861"/>
    <w:rsid w:val="00FF40CF"/>
    <w:rsid w:val="00FF4330"/>
    <w:rsid w:val="00FF43A2"/>
    <w:rsid w:val="00FF4420"/>
    <w:rsid w:val="00FF442B"/>
    <w:rsid w:val="00FF4DCB"/>
    <w:rsid w:val="00FF4F35"/>
    <w:rsid w:val="00FF4F53"/>
    <w:rsid w:val="00FF5093"/>
    <w:rsid w:val="00FF5202"/>
    <w:rsid w:val="00FF528F"/>
    <w:rsid w:val="00FF5788"/>
    <w:rsid w:val="00FF5B0A"/>
    <w:rsid w:val="00FF5B52"/>
    <w:rsid w:val="00FF6075"/>
    <w:rsid w:val="00FF6604"/>
    <w:rsid w:val="00FF6D63"/>
    <w:rsid w:val="00FF76F8"/>
    <w:rsid w:val="00FF7D8E"/>
    <w:rsid w:val="00FF7F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D4361D-A15E-419F-AAF4-FF9FF30C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35B8"/>
    <w:rPr>
      <w:rFonts w:ascii="Courier" w:hAnsi="Courier" w:cs="Courier"/>
      <w:sz w:val="24"/>
      <w:szCs w:val="24"/>
      <w:lang w:eastAsia="cs-CZ"/>
    </w:rPr>
  </w:style>
  <w:style w:type="paragraph" w:styleId="Nadpis1">
    <w:name w:val="heading 1"/>
    <w:aliases w:val="Char5 Char,Nadpis 1 Char Char,Heading 1 Char Char Char Char Char,Heading 1 Char Char Char Char,Heading 1 Char Char Char,Čo robí (časť)"/>
    <w:basedOn w:val="Normlny"/>
    <w:next w:val="Normlny"/>
    <w:link w:val="Nadpis1Char"/>
    <w:uiPriority w:val="9"/>
    <w:qFormat/>
    <w:rsid w:val="006935B8"/>
    <w:pPr>
      <w:keepNext/>
      <w:spacing w:before="240" w:after="60"/>
      <w:outlineLvl w:val="0"/>
    </w:pPr>
    <w:rPr>
      <w:rFonts w:ascii="Arial" w:hAnsi="Arial" w:cs="Arial"/>
      <w:b/>
      <w:bCs/>
      <w:kern w:val="32"/>
      <w:sz w:val="32"/>
      <w:szCs w:val="32"/>
    </w:rPr>
  </w:style>
  <w:style w:type="paragraph" w:styleId="Nadpis2">
    <w:name w:val="heading 2"/>
    <w:aliases w:val="Nadpis 2 Char Char Char,Nadpis 2 Char Char Char Char,Nadpis 2 Char Char,Úloha"/>
    <w:basedOn w:val="Normlny"/>
    <w:next w:val="Normlny"/>
    <w:link w:val="Nadpis2Char"/>
    <w:uiPriority w:val="9"/>
    <w:qFormat/>
    <w:rsid w:val="006935B8"/>
    <w:pPr>
      <w:keepNext/>
      <w:spacing w:before="240" w:after="60"/>
      <w:outlineLvl w:val="1"/>
    </w:pPr>
    <w:rPr>
      <w:rFonts w:ascii="Arial" w:hAnsi="Arial" w:cs="Times New Roman"/>
      <w:b/>
      <w:bCs/>
      <w:i/>
      <w:iCs/>
      <w:sz w:val="28"/>
      <w:szCs w:val="28"/>
    </w:rPr>
  </w:style>
  <w:style w:type="paragraph" w:styleId="Nadpis3">
    <w:name w:val="heading 3"/>
    <w:aliases w:val="Char4 Char,Nadpis 3 Char Char,Heading 3 Char Char Char,Podúloha"/>
    <w:basedOn w:val="Normlny"/>
    <w:next w:val="Normlny"/>
    <w:link w:val="Nadpis3Char"/>
    <w:uiPriority w:val="99"/>
    <w:qFormat/>
    <w:rsid w:val="00992BC9"/>
    <w:pPr>
      <w:keepNext/>
      <w:spacing w:before="240" w:after="60"/>
      <w:outlineLvl w:val="2"/>
    </w:pPr>
    <w:rPr>
      <w:rFonts w:ascii="Arial" w:hAnsi="Arial" w:cs="Times New Roman"/>
      <w:b/>
      <w:bCs/>
      <w:sz w:val="26"/>
      <w:szCs w:val="26"/>
    </w:rPr>
  </w:style>
  <w:style w:type="paragraph" w:styleId="Nadpis4">
    <w:name w:val="heading 4"/>
    <w:aliases w:val="Char Char,Nadpis 4 Char Char,Heading 4 Char Char Char,Termín"/>
    <w:basedOn w:val="Normlny"/>
    <w:next w:val="Normlny"/>
    <w:link w:val="Nadpis4Char"/>
    <w:uiPriority w:val="99"/>
    <w:qFormat/>
    <w:rsid w:val="00992BC9"/>
    <w:pPr>
      <w:keepNext/>
      <w:jc w:val="both"/>
      <w:outlineLvl w:val="3"/>
    </w:pPr>
    <w:rPr>
      <w:rFonts w:ascii="Arial" w:hAnsi="Arial" w:cs="Times New Roman"/>
      <w:b/>
      <w:bCs/>
      <w:sz w:val="20"/>
      <w:szCs w:val="20"/>
    </w:rPr>
  </w:style>
  <w:style w:type="paragraph" w:styleId="Nadpis5">
    <w:name w:val="heading 5"/>
    <w:basedOn w:val="Normlny"/>
    <w:next w:val="Normlny"/>
    <w:link w:val="Nadpis5Char"/>
    <w:uiPriority w:val="99"/>
    <w:qFormat/>
    <w:rsid w:val="006F7083"/>
    <w:pPr>
      <w:tabs>
        <w:tab w:val="num" w:pos="3240"/>
      </w:tabs>
      <w:spacing w:before="240" w:after="60"/>
      <w:ind w:left="2880"/>
      <w:outlineLvl w:val="4"/>
    </w:pPr>
    <w:rPr>
      <w:rFonts w:ascii="Times New Roman" w:hAnsi="Times New Roman" w:cs="Times New Roman"/>
      <w:b/>
      <w:bCs/>
      <w:i/>
      <w:iCs/>
      <w:sz w:val="26"/>
      <w:szCs w:val="26"/>
    </w:rPr>
  </w:style>
  <w:style w:type="paragraph" w:styleId="Nadpis6">
    <w:name w:val="heading 6"/>
    <w:basedOn w:val="Normlny"/>
    <w:next w:val="Normlny"/>
    <w:link w:val="Nadpis6Char"/>
    <w:uiPriority w:val="99"/>
    <w:qFormat/>
    <w:rsid w:val="006F7083"/>
    <w:pPr>
      <w:tabs>
        <w:tab w:val="num" w:pos="3960"/>
      </w:tabs>
      <w:spacing w:before="240" w:after="60"/>
      <w:ind w:left="3600"/>
      <w:outlineLvl w:val="5"/>
    </w:pPr>
    <w:rPr>
      <w:rFonts w:ascii="Times New Roman" w:hAnsi="Times New Roman" w:cs="Times New Roman"/>
      <w:b/>
      <w:bCs/>
      <w:sz w:val="22"/>
      <w:szCs w:val="22"/>
    </w:rPr>
  </w:style>
  <w:style w:type="paragraph" w:styleId="Nadpis7">
    <w:name w:val="heading 7"/>
    <w:basedOn w:val="Normlny"/>
    <w:next w:val="Normlny"/>
    <w:link w:val="Nadpis7Char"/>
    <w:uiPriority w:val="99"/>
    <w:qFormat/>
    <w:rsid w:val="006F7083"/>
    <w:pPr>
      <w:tabs>
        <w:tab w:val="num" w:pos="4680"/>
      </w:tabs>
      <w:spacing w:before="240" w:after="60"/>
      <w:ind w:left="4320"/>
      <w:outlineLvl w:val="6"/>
    </w:pPr>
    <w:rPr>
      <w:rFonts w:ascii="Times New Roman" w:hAnsi="Times New Roman" w:cs="Times New Roman"/>
    </w:rPr>
  </w:style>
  <w:style w:type="paragraph" w:styleId="Nadpis8">
    <w:name w:val="heading 8"/>
    <w:basedOn w:val="Normlny"/>
    <w:next w:val="Normlny"/>
    <w:link w:val="Nadpis8Char"/>
    <w:uiPriority w:val="99"/>
    <w:qFormat/>
    <w:rsid w:val="006F7083"/>
    <w:pPr>
      <w:tabs>
        <w:tab w:val="num" w:pos="5400"/>
      </w:tabs>
      <w:spacing w:before="240" w:after="60"/>
      <w:ind w:left="5040"/>
      <w:outlineLvl w:val="7"/>
    </w:pPr>
    <w:rPr>
      <w:rFonts w:ascii="Times New Roman" w:hAnsi="Times New Roman" w:cs="Times New Roman"/>
      <w:i/>
      <w:iCs/>
    </w:rPr>
  </w:style>
  <w:style w:type="paragraph" w:styleId="Nadpis9">
    <w:name w:val="heading 9"/>
    <w:basedOn w:val="Normlny"/>
    <w:next w:val="Normlny"/>
    <w:link w:val="Nadpis9Char"/>
    <w:uiPriority w:val="99"/>
    <w:qFormat/>
    <w:rsid w:val="006F7083"/>
    <w:pPr>
      <w:tabs>
        <w:tab w:val="num" w:pos="6120"/>
      </w:tabs>
      <w:spacing w:before="240" w:after="60"/>
      <w:ind w:left="5760"/>
      <w:outlineLvl w:val="8"/>
    </w:pPr>
    <w:rPr>
      <w:rFonts w:ascii="Arial" w:hAnsi="Arial" w:cs="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Char5 Char Char,Nadpis 1 Char Char Char,Heading 1 Char Char Char Char Char Char,Heading 1 Char Char Char Char Char1,Heading 1 Char Char Char Char1,Čo robí (časť) Char"/>
    <w:basedOn w:val="Predvolenpsmoodseku"/>
    <w:link w:val="Nadpis1"/>
    <w:uiPriority w:val="9"/>
    <w:locked/>
    <w:rsid w:val="006935B8"/>
    <w:rPr>
      <w:rFonts w:ascii="Arial" w:hAnsi="Arial" w:cs="Times New Roman"/>
      <w:b/>
      <w:kern w:val="32"/>
      <w:sz w:val="32"/>
      <w:lang w:val="x-none" w:eastAsia="cs-CZ"/>
    </w:rPr>
  </w:style>
  <w:style w:type="character" w:customStyle="1" w:styleId="Nadpis2Char">
    <w:name w:val="Nadpis 2 Char"/>
    <w:aliases w:val="Nadpis 2 Char Char Char Char1,Nadpis 2 Char Char Char Char Char,Nadpis 2 Char Char Char1,Úloha Char"/>
    <w:basedOn w:val="Predvolenpsmoodseku"/>
    <w:link w:val="Nadpis2"/>
    <w:uiPriority w:val="9"/>
    <w:locked/>
    <w:rsid w:val="008C27EE"/>
    <w:rPr>
      <w:rFonts w:ascii="Arial" w:hAnsi="Arial" w:cs="Times New Roman"/>
      <w:b/>
      <w:i/>
      <w:sz w:val="28"/>
      <w:lang w:val="x-none" w:eastAsia="cs-CZ"/>
    </w:rPr>
  </w:style>
  <w:style w:type="character" w:customStyle="1" w:styleId="Nadpis3Char">
    <w:name w:val="Nadpis 3 Char"/>
    <w:aliases w:val="Char4 Char Char,Nadpis 3 Char Char Char,Heading 3 Char Char Char Char,Podúloha Char"/>
    <w:basedOn w:val="Predvolenpsmoodseku"/>
    <w:link w:val="Nadpis3"/>
    <w:uiPriority w:val="99"/>
    <w:locked/>
    <w:rsid w:val="00992BC9"/>
    <w:rPr>
      <w:rFonts w:ascii="Arial" w:hAnsi="Arial" w:cs="Times New Roman"/>
      <w:b/>
      <w:sz w:val="26"/>
      <w:lang w:val="x-none" w:eastAsia="cs-CZ"/>
    </w:rPr>
  </w:style>
  <w:style w:type="character" w:customStyle="1" w:styleId="Nadpis4Char">
    <w:name w:val="Nadpis 4 Char"/>
    <w:aliases w:val="Char Char Char,Nadpis 4 Char Char Char,Heading 4 Char Char Char Char,Termín Char"/>
    <w:basedOn w:val="Predvolenpsmoodseku"/>
    <w:link w:val="Nadpis4"/>
    <w:uiPriority w:val="99"/>
    <w:locked/>
    <w:rsid w:val="00992BC9"/>
    <w:rPr>
      <w:rFonts w:ascii="Arial" w:hAnsi="Arial" w:cs="Times New Roman"/>
      <w:b/>
    </w:rPr>
  </w:style>
  <w:style w:type="character" w:customStyle="1" w:styleId="Nadpis5Char">
    <w:name w:val="Nadpis 5 Char"/>
    <w:basedOn w:val="Predvolenpsmoodseku"/>
    <w:link w:val="Nadpis5"/>
    <w:uiPriority w:val="99"/>
    <w:locked/>
    <w:rsid w:val="006F7083"/>
    <w:rPr>
      <w:rFonts w:cs="Times New Roman"/>
      <w:b/>
      <w:i/>
      <w:sz w:val="26"/>
      <w:lang w:val="x-none" w:eastAsia="cs-CZ"/>
    </w:rPr>
  </w:style>
  <w:style w:type="character" w:customStyle="1" w:styleId="Nadpis6Char">
    <w:name w:val="Nadpis 6 Char"/>
    <w:basedOn w:val="Predvolenpsmoodseku"/>
    <w:link w:val="Nadpis6"/>
    <w:uiPriority w:val="99"/>
    <w:locked/>
    <w:rsid w:val="006F7083"/>
    <w:rPr>
      <w:rFonts w:cs="Times New Roman"/>
      <w:b/>
      <w:sz w:val="22"/>
      <w:lang w:val="x-none" w:eastAsia="cs-CZ"/>
    </w:rPr>
  </w:style>
  <w:style w:type="character" w:customStyle="1" w:styleId="Nadpis7Char">
    <w:name w:val="Nadpis 7 Char"/>
    <w:basedOn w:val="Predvolenpsmoodseku"/>
    <w:link w:val="Nadpis7"/>
    <w:uiPriority w:val="99"/>
    <w:locked/>
    <w:rsid w:val="006F7083"/>
    <w:rPr>
      <w:rFonts w:cs="Times New Roman"/>
      <w:sz w:val="24"/>
      <w:lang w:val="x-none" w:eastAsia="cs-CZ"/>
    </w:rPr>
  </w:style>
  <w:style w:type="character" w:customStyle="1" w:styleId="Nadpis8Char">
    <w:name w:val="Nadpis 8 Char"/>
    <w:basedOn w:val="Predvolenpsmoodseku"/>
    <w:link w:val="Nadpis8"/>
    <w:uiPriority w:val="99"/>
    <w:locked/>
    <w:rsid w:val="006F7083"/>
    <w:rPr>
      <w:rFonts w:cs="Times New Roman"/>
      <w:i/>
      <w:sz w:val="24"/>
      <w:lang w:val="x-none" w:eastAsia="cs-CZ"/>
    </w:rPr>
  </w:style>
  <w:style w:type="character" w:customStyle="1" w:styleId="Nadpis9Char">
    <w:name w:val="Nadpis 9 Char"/>
    <w:basedOn w:val="Predvolenpsmoodseku"/>
    <w:link w:val="Nadpis9"/>
    <w:uiPriority w:val="99"/>
    <w:locked/>
    <w:rsid w:val="006F7083"/>
    <w:rPr>
      <w:rFonts w:ascii="Arial" w:hAnsi="Arial" w:cs="Times New Roman"/>
      <w:sz w:val="22"/>
      <w:lang w:val="x-none" w:eastAsia="cs-CZ"/>
    </w:rPr>
  </w:style>
  <w:style w:type="paragraph" w:styleId="Zkladntext">
    <w:name w:val="Body Text"/>
    <w:aliases w:val="Char14 Char Char,Základný text Char Char,Body Text Char Char Char Char Char,Body Text Char Char Char Char,Char14 Char,Body Text Char Char Char"/>
    <w:basedOn w:val="Normlny"/>
    <w:link w:val="ZkladntextChar"/>
    <w:uiPriority w:val="99"/>
    <w:qFormat/>
    <w:rsid w:val="006935B8"/>
    <w:pPr>
      <w:jc w:val="both"/>
    </w:pPr>
  </w:style>
  <w:style w:type="character" w:customStyle="1" w:styleId="ZkladntextChar">
    <w:name w:val="Základný text Char"/>
    <w:aliases w:val="Char14 Char Char Char,Základný text Char Char Char,Body Text Char Char Char Char Char Char,Body Text Char Char Char Char Char1,Char14 Char Char1,Body Text Char Char Char Char1"/>
    <w:basedOn w:val="Predvolenpsmoodseku"/>
    <w:link w:val="Zkladntext"/>
    <w:uiPriority w:val="99"/>
    <w:locked/>
    <w:rsid w:val="006935B8"/>
    <w:rPr>
      <w:rFonts w:ascii="Courier" w:hAnsi="Courier" w:cs="Times New Roman"/>
      <w:sz w:val="24"/>
      <w:lang w:val="sk-SK" w:eastAsia="cs-CZ"/>
    </w:rPr>
  </w:style>
  <w:style w:type="paragraph" w:styleId="Zarkazkladnhotextu">
    <w:name w:val="Body Text Indent"/>
    <w:aliases w:val="Char8 Char"/>
    <w:basedOn w:val="Normlny"/>
    <w:link w:val="ZarkazkladnhotextuChar"/>
    <w:uiPriority w:val="99"/>
    <w:qFormat/>
    <w:rsid w:val="006935B8"/>
    <w:pPr>
      <w:spacing w:after="120" w:line="480" w:lineRule="auto"/>
    </w:pPr>
  </w:style>
  <w:style w:type="character" w:customStyle="1" w:styleId="ZarkazkladnhotextuChar">
    <w:name w:val="Zarážka základného textu Char"/>
    <w:aliases w:val="Char8 Char Char"/>
    <w:basedOn w:val="Predvolenpsmoodseku"/>
    <w:link w:val="Zarkazkladnhotextu"/>
    <w:uiPriority w:val="99"/>
    <w:locked/>
    <w:rsid w:val="006935B8"/>
    <w:rPr>
      <w:rFonts w:ascii="Courier" w:hAnsi="Courier" w:cs="Times New Roman"/>
      <w:sz w:val="24"/>
      <w:lang w:val="sk-SK" w:eastAsia="cs-CZ"/>
    </w:rPr>
  </w:style>
  <w:style w:type="paragraph" w:customStyle="1" w:styleId="Zakladnystyl">
    <w:name w:val="Zakladny styl"/>
    <w:qFormat/>
    <w:rsid w:val="00C777FA"/>
    <w:rPr>
      <w:sz w:val="24"/>
      <w:szCs w:val="24"/>
    </w:rPr>
  </w:style>
  <w:style w:type="paragraph" w:customStyle="1" w:styleId="CharCharCharCharChar1">
    <w:name w:val="Char Char Char Char Char1"/>
    <w:basedOn w:val="Normlny"/>
    <w:uiPriority w:val="99"/>
    <w:qFormat/>
    <w:rsid w:val="00390B69"/>
    <w:pPr>
      <w:spacing w:after="160" w:line="240" w:lineRule="exact"/>
    </w:pPr>
    <w:rPr>
      <w:rFonts w:ascii="Tahoma" w:hAnsi="Tahoma" w:cs="Tahoma"/>
      <w:sz w:val="20"/>
      <w:szCs w:val="20"/>
      <w:lang w:val="en-US" w:eastAsia="en-US"/>
    </w:rPr>
  </w:style>
  <w:style w:type="paragraph" w:customStyle="1" w:styleId="Zarkazkladnhotextu1">
    <w:name w:val="Zarážka základného textu1"/>
    <w:basedOn w:val="Normlny"/>
    <w:link w:val="BodyTextIndentChar"/>
    <w:qFormat/>
    <w:rsid w:val="00390B69"/>
    <w:pPr>
      <w:spacing w:after="120"/>
      <w:ind w:left="283"/>
    </w:pPr>
  </w:style>
  <w:style w:type="character" w:customStyle="1" w:styleId="BodyTextIndentChar">
    <w:name w:val="Body Text Indent Char"/>
    <w:link w:val="Zarkazkladnhotextu1"/>
    <w:locked/>
    <w:rsid w:val="00390B69"/>
    <w:rPr>
      <w:rFonts w:ascii="Courier" w:hAnsi="Courier"/>
      <w:sz w:val="24"/>
      <w:lang w:val="x-none" w:eastAsia="cs-CZ"/>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uiPriority w:val="99"/>
    <w:qFormat/>
    <w:rsid w:val="008333C8"/>
    <w:pPr>
      <w:spacing w:after="160" w:line="240" w:lineRule="exact"/>
    </w:pPr>
    <w:rPr>
      <w:rFonts w:ascii="Tahoma" w:hAnsi="Tahoma" w:cs="Times New Roman"/>
      <w:sz w:val="20"/>
      <w:szCs w:val="20"/>
      <w:lang w:val="en-US" w:eastAsia="en-US"/>
    </w:rPr>
  </w:style>
  <w:style w:type="paragraph" w:customStyle="1" w:styleId="Zarkazkladnhotextu2">
    <w:name w:val="Zarážka základného textu2"/>
    <w:basedOn w:val="Normlny"/>
    <w:uiPriority w:val="99"/>
    <w:qFormat/>
    <w:rsid w:val="000E6159"/>
    <w:pPr>
      <w:spacing w:after="120"/>
      <w:ind w:left="283"/>
    </w:pPr>
  </w:style>
  <w:style w:type="paragraph" w:styleId="Textbubliny">
    <w:name w:val="Balloon Text"/>
    <w:aliases w:val="Char13 Char,Text bubliny Char Char,Balloon Text Char Char"/>
    <w:basedOn w:val="Normlny"/>
    <w:link w:val="TextbublinyChar"/>
    <w:uiPriority w:val="99"/>
    <w:semiHidden/>
    <w:unhideWhenUsed/>
    <w:qFormat/>
    <w:rsid w:val="00175AD5"/>
    <w:rPr>
      <w:rFonts w:ascii="Tahoma" w:hAnsi="Tahoma" w:cs="Times New Roman"/>
      <w:sz w:val="16"/>
      <w:szCs w:val="16"/>
    </w:rPr>
  </w:style>
  <w:style w:type="character" w:customStyle="1" w:styleId="TextbublinyChar">
    <w:name w:val="Text bubliny Char"/>
    <w:aliases w:val="Char13 Char Char,Text bubliny Char Char Char,Balloon Text Char Char Char"/>
    <w:basedOn w:val="Predvolenpsmoodseku"/>
    <w:link w:val="Textbubliny"/>
    <w:uiPriority w:val="99"/>
    <w:semiHidden/>
    <w:locked/>
    <w:rsid w:val="00175AD5"/>
    <w:rPr>
      <w:rFonts w:ascii="Tahoma" w:hAnsi="Tahoma" w:cs="Times New Roman"/>
      <w:sz w:val="16"/>
      <w:lang w:val="x-none" w:eastAsia="cs-CZ"/>
    </w:rPr>
  </w:style>
  <w:style w:type="paragraph" w:styleId="Odsekzoznamu">
    <w:name w:val="List Paragraph"/>
    <w:aliases w:val="body,Odsek zoznamu2,Dot pt,No Spacing1,List Paragraph Char Char Char,Indicator Text,Numbered Para 1,List Paragraph à moi,LISTA,Listaszerű bekezdés2,Listaszerű bekezdés3,Listaszerű bekezdés1,Odsek zoznamu4,F5 List Paragraph,Recommendation,3"/>
    <w:basedOn w:val="Normlny"/>
    <w:link w:val="OdsekzoznamuChar"/>
    <w:uiPriority w:val="34"/>
    <w:qFormat/>
    <w:rsid w:val="00C02AF8"/>
    <w:pPr>
      <w:ind w:left="720"/>
      <w:contextualSpacing/>
    </w:pPr>
  </w:style>
  <w:style w:type="paragraph" w:styleId="Hlavika">
    <w:name w:val="header"/>
    <w:aliases w:val="Hlavička Char Char Char"/>
    <w:basedOn w:val="Normlny"/>
    <w:link w:val="HlavikaChar"/>
    <w:uiPriority w:val="99"/>
    <w:unhideWhenUsed/>
    <w:qFormat/>
    <w:rsid w:val="00686060"/>
    <w:pPr>
      <w:tabs>
        <w:tab w:val="center" w:pos="4536"/>
        <w:tab w:val="right" w:pos="9072"/>
      </w:tabs>
    </w:pPr>
    <w:rPr>
      <w:rFonts w:cs="Times New Roman"/>
    </w:rPr>
  </w:style>
  <w:style w:type="character" w:customStyle="1" w:styleId="HlavikaChar">
    <w:name w:val="Hlavička Char"/>
    <w:aliases w:val="Hlavička Char Char Char Char"/>
    <w:basedOn w:val="Predvolenpsmoodseku"/>
    <w:link w:val="Hlavika"/>
    <w:uiPriority w:val="99"/>
    <w:locked/>
    <w:rsid w:val="00686060"/>
    <w:rPr>
      <w:rFonts w:ascii="Courier" w:hAnsi="Courier" w:cs="Times New Roman"/>
      <w:sz w:val="24"/>
      <w:lang w:val="x-none" w:eastAsia="cs-CZ"/>
    </w:rPr>
  </w:style>
  <w:style w:type="paragraph" w:styleId="Pta">
    <w:name w:val="footer"/>
    <w:aliases w:val="Char11 Char,Päta Char Char,Footer Char Char Char"/>
    <w:basedOn w:val="Normlny"/>
    <w:link w:val="PtaChar"/>
    <w:uiPriority w:val="99"/>
    <w:unhideWhenUsed/>
    <w:qFormat/>
    <w:rsid w:val="00686060"/>
    <w:pPr>
      <w:tabs>
        <w:tab w:val="center" w:pos="4536"/>
        <w:tab w:val="right" w:pos="9072"/>
      </w:tabs>
    </w:pPr>
    <w:rPr>
      <w:rFonts w:cs="Times New Roman"/>
    </w:rPr>
  </w:style>
  <w:style w:type="character" w:customStyle="1" w:styleId="PtaChar">
    <w:name w:val="Päta Char"/>
    <w:aliases w:val="Char11 Char Char,Päta Char Char Char,Footer Char Char Char Char"/>
    <w:basedOn w:val="Predvolenpsmoodseku"/>
    <w:link w:val="Pta"/>
    <w:uiPriority w:val="99"/>
    <w:locked/>
    <w:rsid w:val="00686060"/>
    <w:rPr>
      <w:rFonts w:ascii="Courier" w:hAnsi="Courier" w:cs="Times New Roman"/>
      <w:sz w:val="24"/>
      <w:lang w:val="x-none" w:eastAsia="cs-CZ"/>
    </w:rPr>
  </w:style>
  <w:style w:type="paragraph" w:customStyle="1" w:styleId="Zkladntext0">
    <w:name w:val="Základní text"/>
    <w:qFormat/>
    <w:rsid w:val="008C27EE"/>
    <w:pPr>
      <w:snapToGrid w:val="0"/>
    </w:pPr>
    <w:rPr>
      <w:color w:val="000000"/>
      <w:sz w:val="24"/>
    </w:rPr>
  </w:style>
  <w:style w:type="paragraph" w:customStyle="1" w:styleId="Default">
    <w:name w:val="Default"/>
    <w:qFormat/>
    <w:rsid w:val="005D1A7E"/>
    <w:pPr>
      <w:autoSpaceDE w:val="0"/>
      <w:autoSpaceDN w:val="0"/>
      <w:adjustRightInd w:val="0"/>
    </w:pPr>
    <w:rPr>
      <w:rFonts w:ascii="Arial" w:hAnsi="Arial" w:cs="Arial"/>
      <w:color w:val="000000"/>
      <w:sz w:val="24"/>
      <w:szCs w:val="24"/>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f"/>
    <w:basedOn w:val="Normlny"/>
    <w:link w:val="TextpoznmkypodiarouChar"/>
    <w:uiPriority w:val="99"/>
    <w:unhideWhenUsed/>
    <w:qFormat/>
    <w:rsid w:val="008C51E8"/>
    <w:rPr>
      <w:rFonts w:ascii="Times New Roman" w:hAnsi="Times New Roman" w:cs="Times New Roman"/>
      <w:sz w:val="20"/>
      <w:szCs w:val="20"/>
      <w:lang w:eastAsia="sk-SK"/>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f Char"/>
    <w:basedOn w:val="Predvolenpsmoodseku"/>
    <w:link w:val="Textpoznmkypodiarou"/>
    <w:uiPriority w:val="99"/>
    <w:locked/>
    <w:rsid w:val="008C51E8"/>
    <w:rPr>
      <w:rFonts w:cs="Times New Roman"/>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Footnote symbol"/>
    <w:basedOn w:val="Predvolenpsmoodseku"/>
    <w:uiPriority w:val="99"/>
    <w:unhideWhenUsed/>
    <w:rsid w:val="008C51E8"/>
    <w:rPr>
      <w:rFonts w:cs="Times New Roman"/>
      <w:vertAlign w:val="superscript"/>
    </w:rPr>
  </w:style>
  <w:style w:type="paragraph" w:customStyle="1" w:styleId="CharChar2">
    <w:name w:val="Char Char2"/>
    <w:basedOn w:val="Normlny"/>
    <w:uiPriority w:val="99"/>
    <w:qFormat/>
    <w:rsid w:val="00992BC9"/>
    <w:pPr>
      <w:spacing w:after="160" w:line="240" w:lineRule="exact"/>
    </w:pPr>
    <w:rPr>
      <w:rFonts w:ascii="Tahoma" w:hAnsi="Tahoma" w:cs="Tahoma"/>
      <w:sz w:val="20"/>
      <w:szCs w:val="20"/>
      <w:lang w:val="en-US" w:eastAsia="en-US"/>
    </w:rPr>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Normlny"/>
    <w:uiPriority w:val="99"/>
    <w:qFormat/>
    <w:rsid w:val="00992BC9"/>
    <w:pPr>
      <w:spacing w:after="160" w:line="240" w:lineRule="exact"/>
    </w:pPr>
    <w:rPr>
      <w:rFonts w:ascii="Tahoma" w:hAnsi="Tahoma" w:cs="Tahoma"/>
      <w:sz w:val="20"/>
      <w:szCs w:val="20"/>
      <w:lang w:val="en-US" w:eastAsia="en-US"/>
    </w:rPr>
  </w:style>
  <w:style w:type="paragraph" w:styleId="Zkladntext2">
    <w:name w:val="Body Text 2"/>
    <w:aliases w:val="Základný text 2 Char Char,Body Text 2 Char Char Char"/>
    <w:basedOn w:val="Normlny"/>
    <w:link w:val="Zkladntext2Char"/>
    <w:uiPriority w:val="99"/>
    <w:qFormat/>
    <w:rsid w:val="00992BC9"/>
    <w:pPr>
      <w:spacing w:after="120" w:line="480" w:lineRule="auto"/>
    </w:pPr>
    <w:rPr>
      <w:rFonts w:cs="Times New Roman"/>
    </w:rPr>
  </w:style>
  <w:style w:type="character" w:customStyle="1" w:styleId="Zkladntext2Char">
    <w:name w:val="Základný text 2 Char"/>
    <w:aliases w:val="Základný text 2 Char Char Char,Body Text 2 Char Char Char Char"/>
    <w:basedOn w:val="Predvolenpsmoodseku"/>
    <w:link w:val="Zkladntext2"/>
    <w:uiPriority w:val="99"/>
    <w:locked/>
    <w:rsid w:val="00992BC9"/>
    <w:rPr>
      <w:rFonts w:ascii="Courier" w:hAnsi="Courier" w:cs="Times New Roman"/>
      <w:sz w:val="24"/>
    </w:rPr>
  </w:style>
  <w:style w:type="paragraph" w:customStyle="1" w:styleId="INGBodyText">
    <w:name w:val="ING Body Text"/>
    <w:basedOn w:val="Normlny"/>
    <w:uiPriority w:val="99"/>
    <w:qFormat/>
    <w:rsid w:val="00992BC9"/>
    <w:pPr>
      <w:spacing w:after="160" w:line="280" w:lineRule="exact"/>
      <w:jc w:val="both"/>
    </w:pPr>
    <w:rPr>
      <w:rFonts w:ascii="Arial" w:hAnsi="Arial" w:cs="Arial"/>
      <w:color w:val="000000"/>
      <w:sz w:val="19"/>
      <w:szCs w:val="19"/>
      <w:lang w:val="en-GB" w:eastAsia="en-US"/>
    </w:rPr>
  </w:style>
  <w:style w:type="character" w:styleId="slostrany">
    <w:name w:val="page number"/>
    <w:basedOn w:val="Predvolenpsmoodseku"/>
    <w:uiPriority w:val="99"/>
    <w:rsid w:val="00992BC9"/>
    <w:rPr>
      <w:rFonts w:cs="Times New Roman"/>
    </w:rPr>
  </w:style>
  <w:style w:type="paragraph" w:styleId="Zarkazkladnhotextu20">
    <w:name w:val="Body Text Indent 2"/>
    <w:aliases w:val="Char10 Char,Zarážka základného textu 2 Char Char,Body Text Indent 2 Char Char Char"/>
    <w:basedOn w:val="Normlny"/>
    <w:link w:val="Zarkazkladnhotextu2Char"/>
    <w:uiPriority w:val="99"/>
    <w:qFormat/>
    <w:rsid w:val="00992BC9"/>
    <w:pPr>
      <w:spacing w:after="120" w:line="480" w:lineRule="auto"/>
      <w:ind w:left="283"/>
    </w:pPr>
    <w:rPr>
      <w:rFonts w:cs="Times New Roman"/>
    </w:rPr>
  </w:style>
  <w:style w:type="character" w:customStyle="1" w:styleId="Zarkazkladnhotextu2Char">
    <w:name w:val="Zarážka základného textu 2 Char"/>
    <w:aliases w:val="Char10 Char Char,Zarážka základného textu 2 Char Char Char,Body Text Indent 2 Char Char Char Char"/>
    <w:basedOn w:val="Predvolenpsmoodseku"/>
    <w:link w:val="Zarkazkladnhotextu20"/>
    <w:uiPriority w:val="99"/>
    <w:locked/>
    <w:rsid w:val="00992BC9"/>
    <w:rPr>
      <w:rFonts w:ascii="Courier" w:hAnsi="Courier" w:cs="Times New Roman"/>
      <w:sz w:val="24"/>
    </w:rPr>
  </w:style>
  <w:style w:type="character" w:customStyle="1" w:styleId="truktradokumentuChar">
    <w:name w:val="Štruktúra dokumentu Char"/>
    <w:aliases w:val="Char9 Char Char,Štruktúra dokumentu Char Char Char,Document Map Char Char Char"/>
    <w:link w:val="truktradokumentu"/>
    <w:uiPriority w:val="99"/>
    <w:semiHidden/>
    <w:locked/>
    <w:rsid w:val="00992BC9"/>
    <w:rPr>
      <w:rFonts w:ascii="Tahoma" w:hAnsi="Tahoma"/>
      <w:sz w:val="24"/>
      <w:shd w:val="clear" w:color="auto" w:fill="000080"/>
    </w:rPr>
  </w:style>
  <w:style w:type="paragraph" w:styleId="truktradokumentu">
    <w:name w:val="Document Map"/>
    <w:aliases w:val="Char9 Char,Štruktúra dokumentu Char Char,Document Map Char Char"/>
    <w:basedOn w:val="Normlny"/>
    <w:link w:val="truktradokumentuChar"/>
    <w:uiPriority w:val="99"/>
    <w:semiHidden/>
    <w:qFormat/>
    <w:rsid w:val="00992BC9"/>
    <w:pPr>
      <w:shd w:val="clear" w:color="auto" w:fill="000080"/>
    </w:pPr>
    <w:rPr>
      <w:rFonts w:ascii="Tahoma" w:hAnsi="Tahoma" w:cs="Times New Roman"/>
    </w:rPr>
  </w:style>
  <w:style w:type="character" w:customStyle="1" w:styleId="truktradokumentuChar1">
    <w:name w:val="Štruktúra dokumentu Char1"/>
    <w:aliases w:val="Char9 Char Char1,Štruktúra dokumentu Char Char Char1,Document Map Char Char Char1"/>
    <w:basedOn w:val="Predvolenpsmoodseku"/>
    <w:uiPriority w:val="99"/>
    <w:semiHidden/>
    <w:rPr>
      <w:rFonts w:ascii="Tahoma" w:hAnsi="Tahoma" w:cs="Tahoma"/>
      <w:sz w:val="16"/>
      <w:szCs w:val="16"/>
      <w:lang w:eastAsia="cs-CZ"/>
    </w:rPr>
  </w:style>
  <w:style w:type="character" w:customStyle="1" w:styleId="truktradokumentuChar1621">
    <w:name w:val="Štruktúra dokumentu Char1621"/>
    <w:aliases w:val="Char9 Char Char1622,Štruktúra dokumentu Char Char Char1622,Document Map Char Char Char1622"/>
    <w:basedOn w:val="Predvolenpsmoodseku"/>
    <w:uiPriority w:val="99"/>
    <w:semiHidden/>
    <w:rPr>
      <w:rFonts w:ascii="Tahoma" w:hAnsi="Tahoma" w:cs="Tahoma"/>
      <w:sz w:val="16"/>
      <w:szCs w:val="16"/>
      <w:lang w:val="x-none" w:eastAsia="cs-CZ"/>
    </w:rPr>
  </w:style>
  <w:style w:type="character" w:customStyle="1" w:styleId="truktradokumentuChar1620">
    <w:name w:val="Štruktúra dokumentu Char1620"/>
    <w:aliases w:val="Char9 Char Char1621,Štruktúra dokumentu Char Char Char1621,Document Map Char Char Char1621"/>
    <w:basedOn w:val="Predvolenpsmoodseku"/>
    <w:uiPriority w:val="99"/>
    <w:semiHidden/>
    <w:rPr>
      <w:rFonts w:ascii="Tahoma" w:hAnsi="Tahoma" w:cs="Tahoma"/>
      <w:sz w:val="16"/>
      <w:szCs w:val="16"/>
      <w:lang w:val="x-none" w:eastAsia="cs-CZ"/>
    </w:rPr>
  </w:style>
  <w:style w:type="character" w:customStyle="1" w:styleId="truktradokumentuChar1614">
    <w:name w:val="Štruktúra dokumentu Char1614"/>
    <w:aliases w:val="Char9 Char Char1615,Štruktúra dokumentu Char Char Char1615,Document Map Char Char Char1615"/>
    <w:basedOn w:val="Predvolenpsmoodseku"/>
    <w:uiPriority w:val="99"/>
    <w:semiHidden/>
    <w:rPr>
      <w:rFonts w:ascii="Tahoma" w:hAnsi="Tahoma" w:cs="Tahoma"/>
      <w:sz w:val="16"/>
      <w:szCs w:val="16"/>
      <w:lang w:val="x-none" w:eastAsia="cs-CZ"/>
    </w:rPr>
  </w:style>
  <w:style w:type="character" w:customStyle="1" w:styleId="truktradokumentuChar1613">
    <w:name w:val="Štruktúra dokumentu Char1613"/>
    <w:aliases w:val="Char9 Char Char1614,Štruktúra dokumentu Char Char Char1614,Document Map Char Char Char1614"/>
    <w:basedOn w:val="Predvolenpsmoodseku"/>
    <w:uiPriority w:val="99"/>
    <w:semiHidden/>
    <w:rPr>
      <w:rFonts w:ascii="Tahoma" w:hAnsi="Tahoma" w:cs="Tahoma"/>
      <w:sz w:val="16"/>
      <w:szCs w:val="16"/>
      <w:lang w:val="x-none" w:eastAsia="cs-CZ"/>
    </w:rPr>
  </w:style>
  <w:style w:type="character" w:customStyle="1" w:styleId="truktradokumentuChar1612">
    <w:name w:val="Štruktúra dokumentu Char1612"/>
    <w:aliases w:val="Char9 Char Char1613,Štruktúra dokumentu Char Char Char1613,Document Map Char Char Char1613"/>
    <w:basedOn w:val="Predvolenpsmoodseku"/>
    <w:uiPriority w:val="99"/>
    <w:semiHidden/>
    <w:rPr>
      <w:rFonts w:ascii="Tahoma" w:hAnsi="Tahoma" w:cs="Tahoma"/>
      <w:sz w:val="16"/>
      <w:szCs w:val="16"/>
      <w:lang w:val="x-none" w:eastAsia="cs-CZ"/>
    </w:rPr>
  </w:style>
  <w:style w:type="character" w:customStyle="1" w:styleId="truktradokumentuChar1611">
    <w:name w:val="Štruktúra dokumentu Char1611"/>
    <w:aliases w:val="Char9 Char Char1612,Štruktúra dokumentu Char Char Char1612,Document Map Char Char Char1612"/>
    <w:basedOn w:val="Predvolenpsmoodseku"/>
    <w:uiPriority w:val="99"/>
    <w:semiHidden/>
    <w:rPr>
      <w:rFonts w:ascii="Tahoma" w:hAnsi="Tahoma" w:cs="Tahoma"/>
      <w:sz w:val="16"/>
      <w:szCs w:val="16"/>
      <w:lang w:val="x-none" w:eastAsia="cs-CZ"/>
    </w:rPr>
  </w:style>
  <w:style w:type="character" w:customStyle="1" w:styleId="truktradokumentuChar1610">
    <w:name w:val="Štruktúra dokumentu Char1610"/>
    <w:aliases w:val="Char9 Char Char1611,Štruktúra dokumentu Char Char Char1611,Document Map Char Char Char1611"/>
    <w:basedOn w:val="Predvolenpsmoodseku"/>
    <w:uiPriority w:val="99"/>
    <w:semiHidden/>
    <w:rPr>
      <w:rFonts w:ascii="Tahoma" w:hAnsi="Tahoma" w:cs="Tahoma"/>
      <w:sz w:val="16"/>
      <w:szCs w:val="16"/>
      <w:lang w:val="x-none" w:eastAsia="cs-CZ"/>
    </w:rPr>
  </w:style>
  <w:style w:type="character" w:customStyle="1" w:styleId="truktradokumentuChar1609">
    <w:name w:val="Štruktúra dokumentu Char1609"/>
    <w:aliases w:val="Char9 Char Char1610,Štruktúra dokumentu Char Char Char1610,Document Map Char Char Char1610"/>
    <w:basedOn w:val="Predvolenpsmoodseku"/>
    <w:uiPriority w:val="99"/>
    <w:semiHidden/>
    <w:rPr>
      <w:rFonts w:ascii="Tahoma" w:hAnsi="Tahoma" w:cs="Tahoma"/>
      <w:sz w:val="16"/>
      <w:szCs w:val="16"/>
      <w:lang w:val="x-none" w:eastAsia="cs-CZ"/>
    </w:rPr>
  </w:style>
  <w:style w:type="character" w:customStyle="1" w:styleId="truktradokumentuChar1608">
    <w:name w:val="Štruktúra dokumentu Char1608"/>
    <w:aliases w:val="Char9 Char Char1609,Štruktúra dokumentu Char Char Char1609,Document Map Char Char Char1609"/>
    <w:basedOn w:val="Predvolenpsmoodseku"/>
    <w:uiPriority w:val="99"/>
    <w:semiHidden/>
    <w:rPr>
      <w:rFonts w:ascii="Tahoma" w:hAnsi="Tahoma" w:cs="Tahoma"/>
      <w:sz w:val="16"/>
      <w:szCs w:val="16"/>
      <w:lang w:val="x-none" w:eastAsia="cs-CZ"/>
    </w:rPr>
  </w:style>
  <w:style w:type="character" w:customStyle="1" w:styleId="truktradokumentuChar1607">
    <w:name w:val="Štruktúra dokumentu Char1607"/>
    <w:aliases w:val="Char9 Char Char1608,Štruktúra dokumentu Char Char Char1608,Document Map Char Char Char1608"/>
    <w:basedOn w:val="Predvolenpsmoodseku"/>
    <w:uiPriority w:val="99"/>
    <w:semiHidden/>
    <w:rPr>
      <w:rFonts w:ascii="Tahoma" w:hAnsi="Tahoma" w:cs="Tahoma"/>
      <w:sz w:val="16"/>
      <w:szCs w:val="16"/>
      <w:lang w:val="x-none" w:eastAsia="cs-CZ"/>
    </w:rPr>
  </w:style>
  <w:style w:type="character" w:customStyle="1" w:styleId="truktradokumentuChar1606">
    <w:name w:val="Štruktúra dokumentu Char1606"/>
    <w:aliases w:val="Char9 Char Char1607,Štruktúra dokumentu Char Char Char1607,Document Map Char Char Char1607"/>
    <w:basedOn w:val="Predvolenpsmoodseku"/>
    <w:uiPriority w:val="99"/>
    <w:semiHidden/>
    <w:rPr>
      <w:rFonts w:ascii="Tahoma" w:hAnsi="Tahoma" w:cs="Tahoma"/>
      <w:sz w:val="16"/>
      <w:szCs w:val="16"/>
      <w:lang w:val="x-none" w:eastAsia="cs-CZ"/>
    </w:rPr>
  </w:style>
  <w:style w:type="character" w:customStyle="1" w:styleId="truktradokumentuChar1605">
    <w:name w:val="Štruktúra dokumentu Char1605"/>
    <w:aliases w:val="Char9 Char Char1606,Štruktúra dokumentu Char Char Char1606,Document Map Char Char Char1606"/>
    <w:basedOn w:val="Predvolenpsmoodseku"/>
    <w:uiPriority w:val="99"/>
    <w:semiHidden/>
    <w:rPr>
      <w:rFonts w:ascii="Tahoma" w:hAnsi="Tahoma" w:cs="Tahoma"/>
      <w:sz w:val="16"/>
      <w:szCs w:val="16"/>
      <w:lang w:val="x-none" w:eastAsia="cs-CZ"/>
    </w:rPr>
  </w:style>
  <w:style w:type="character" w:customStyle="1" w:styleId="truktradokumentuChar1604">
    <w:name w:val="Štruktúra dokumentu Char1604"/>
    <w:aliases w:val="Char9 Char Char1605,Štruktúra dokumentu Char Char Char1605,Document Map Char Char Char1605"/>
    <w:basedOn w:val="Predvolenpsmoodseku"/>
    <w:uiPriority w:val="99"/>
    <w:semiHidden/>
    <w:rPr>
      <w:rFonts w:ascii="Tahoma" w:hAnsi="Tahoma" w:cs="Tahoma"/>
      <w:sz w:val="16"/>
      <w:szCs w:val="16"/>
      <w:lang w:val="x-none" w:eastAsia="cs-CZ"/>
    </w:rPr>
  </w:style>
  <w:style w:type="character" w:customStyle="1" w:styleId="truktradokumentuChar1603">
    <w:name w:val="Štruktúra dokumentu Char1603"/>
    <w:aliases w:val="Char9 Char Char1604,Štruktúra dokumentu Char Char Char1604,Document Map Char Char Char1604"/>
    <w:basedOn w:val="Predvolenpsmoodseku"/>
    <w:uiPriority w:val="99"/>
    <w:semiHidden/>
    <w:rPr>
      <w:rFonts w:ascii="Tahoma" w:hAnsi="Tahoma" w:cs="Tahoma"/>
      <w:sz w:val="16"/>
      <w:szCs w:val="16"/>
      <w:lang w:val="x-none" w:eastAsia="cs-CZ"/>
    </w:rPr>
  </w:style>
  <w:style w:type="character" w:customStyle="1" w:styleId="truktradokumentuChar1602">
    <w:name w:val="Štruktúra dokumentu Char1602"/>
    <w:aliases w:val="Char9 Char Char1603,Štruktúra dokumentu Char Char Char1603,Document Map Char Char Char1603"/>
    <w:basedOn w:val="Predvolenpsmoodseku"/>
    <w:uiPriority w:val="99"/>
    <w:semiHidden/>
    <w:rPr>
      <w:rFonts w:ascii="Tahoma" w:hAnsi="Tahoma" w:cs="Tahoma"/>
      <w:sz w:val="16"/>
      <w:szCs w:val="16"/>
      <w:lang w:val="x-none" w:eastAsia="cs-CZ"/>
    </w:rPr>
  </w:style>
  <w:style w:type="character" w:customStyle="1" w:styleId="truktradokumentuChar1601">
    <w:name w:val="Štruktúra dokumentu Char1601"/>
    <w:aliases w:val="Char9 Char Char1602,Štruktúra dokumentu Char Char Char1602,Document Map Char Char Char1602"/>
    <w:basedOn w:val="Predvolenpsmoodseku"/>
    <w:uiPriority w:val="99"/>
    <w:semiHidden/>
    <w:rPr>
      <w:rFonts w:ascii="Tahoma" w:hAnsi="Tahoma" w:cs="Tahoma"/>
      <w:sz w:val="16"/>
      <w:szCs w:val="16"/>
      <w:lang w:val="x-none" w:eastAsia="cs-CZ"/>
    </w:rPr>
  </w:style>
  <w:style w:type="character" w:customStyle="1" w:styleId="truktradokumentuChar1600">
    <w:name w:val="Štruktúra dokumentu Char1600"/>
    <w:aliases w:val="Char9 Char Char1601,Štruktúra dokumentu Char Char Char1601,Document Map Char Char Char1601"/>
    <w:basedOn w:val="Predvolenpsmoodseku"/>
    <w:uiPriority w:val="99"/>
    <w:semiHidden/>
    <w:rPr>
      <w:rFonts w:ascii="Tahoma" w:hAnsi="Tahoma" w:cs="Tahoma"/>
      <w:sz w:val="16"/>
      <w:szCs w:val="16"/>
      <w:lang w:val="x-none" w:eastAsia="cs-CZ"/>
    </w:rPr>
  </w:style>
  <w:style w:type="character" w:customStyle="1" w:styleId="truktradokumentuChar1599">
    <w:name w:val="Štruktúra dokumentu Char1599"/>
    <w:aliases w:val="Char9 Char Char1600,Štruktúra dokumentu Char Char Char1600,Document Map Char Char Char1600"/>
    <w:basedOn w:val="Predvolenpsmoodseku"/>
    <w:uiPriority w:val="99"/>
    <w:semiHidden/>
    <w:rPr>
      <w:rFonts w:ascii="Tahoma" w:hAnsi="Tahoma" w:cs="Tahoma"/>
      <w:sz w:val="16"/>
      <w:szCs w:val="16"/>
      <w:lang w:val="x-none" w:eastAsia="cs-CZ"/>
    </w:rPr>
  </w:style>
  <w:style w:type="character" w:customStyle="1" w:styleId="truktradokumentuChar1598">
    <w:name w:val="Štruktúra dokumentu Char1598"/>
    <w:aliases w:val="Char9 Char Char1599,Štruktúra dokumentu Char Char Char1599,Document Map Char Char Char1599"/>
    <w:basedOn w:val="Predvolenpsmoodseku"/>
    <w:uiPriority w:val="99"/>
    <w:semiHidden/>
    <w:rPr>
      <w:rFonts w:ascii="Tahoma" w:hAnsi="Tahoma" w:cs="Tahoma"/>
      <w:sz w:val="16"/>
      <w:szCs w:val="16"/>
      <w:lang w:val="x-none" w:eastAsia="cs-CZ"/>
    </w:rPr>
  </w:style>
  <w:style w:type="character" w:customStyle="1" w:styleId="truktradokumentuChar1597">
    <w:name w:val="Štruktúra dokumentu Char1597"/>
    <w:aliases w:val="Char9 Char Char1598,Štruktúra dokumentu Char Char Char1598,Document Map Char Char Char1598"/>
    <w:basedOn w:val="Predvolenpsmoodseku"/>
    <w:uiPriority w:val="99"/>
    <w:semiHidden/>
    <w:rPr>
      <w:rFonts w:ascii="Tahoma" w:hAnsi="Tahoma" w:cs="Tahoma"/>
      <w:sz w:val="16"/>
      <w:szCs w:val="16"/>
      <w:lang w:val="x-none" w:eastAsia="cs-CZ"/>
    </w:rPr>
  </w:style>
  <w:style w:type="character" w:customStyle="1" w:styleId="truktradokumentuChar1596">
    <w:name w:val="Štruktúra dokumentu Char1596"/>
    <w:aliases w:val="Char9 Char Char1597,Štruktúra dokumentu Char Char Char1597,Document Map Char Char Char1597"/>
    <w:basedOn w:val="Predvolenpsmoodseku"/>
    <w:uiPriority w:val="99"/>
    <w:semiHidden/>
    <w:rPr>
      <w:rFonts w:ascii="Tahoma" w:hAnsi="Tahoma" w:cs="Tahoma"/>
      <w:sz w:val="16"/>
      <w:szCs w:val="16"/>
      <w:lang w:val="x-none" w:eastAsia="cs-CZ"/>
    </w:rPr>
  </w:style>
  <w:style w:type="character" w:customStyle="1" w:styleId="truktradokumentuChar1595">
    <w:name w:val="Štruktúra dokumentu Char1595"/>
    <w:aliases w:val="Char9 Char Char1596,Štruktúra dokumentu Char Char Char1596,Document Map Char Char Char1596"/>
    <w:basedOn w:val="Predvolenpsmoodseku"/>
    <w:uiPriority w:val="99"/>
    <w:semiHidden/>
    <w:rPr>
      <w:rFonts w:ascii="Tahoma" w:hAnsi="Tahoma" w:cs="Tahoma"/>
      <w:sz w:val="16"/>
      <w:szCs w:val="16"/>
      <w:lang w:val="x-none" w:eastAsia="cs-CZ"/>
    </w:rPr>
  </w:style>
  <w:style w:type="character" w:customStyle="1" w:styleId="truktradokumentuChar1594">
    <w:name w:val="Štruktúra dokumentu Char1594"/>
    <w:aliases w:val="Char9 Char Char1595,Štruktúra dokumentu Char Char Char1595,Document Map Char Char Char1595"/>
    <w:basedOn w:val="Predvolenpsmoodseku"/>
    <w:uiPriority w:val="99"/>
    <w:semiHidden/>
    <w:rPr>
      <w:rFonts w:ascii="Tahoma" w:hAnsi="Tahoma" w:cs="Tahoma"/>
      <w:sz w:val="16"/>
      <w:szCs w:val="16"/>
      <w:lang w:val="x-none" w:eastAsia="cs-CZ"/>
    </w:rPr>
  </w:style>
  <w:style w:type="character" w:customStyle="1" w:styleId="truktradokumentuChar1593">
    <w:name w:val="Štruktúra dokumentu Char1593"/>
    <w:aliases w:val="Char9 Char Char1594,Štruktúra dokumentu Char Char Char1594,Document Map Char Char Char1594"/>
    <w:basedOn w:val="Predvolenpsmoodseku"/>
    <w:uiPriority w:val="99"/>
    <w:semiHidden/>
    <w:rPr>
      <w:rFonts w:ascii="Tahoma" w:hAnsi="Tahoma" w:cs="Tahoma"/>
      <w:sz w:val="16"/>
      <w:szCs w:val="16"/>
      <w:lang w:val="x-none" w:eastAsia="cs-CZ"/>
    </w:rPr>
  </w:style>
  <w:style w:type="character" w:customStyle="1" w:styleId="truktradokumentuChar1592">
    <w:name w:val="Štruktúra dokumentu Char1592"/>
    <w:aliases w:val="Char9 Char Char1593,Štruktúra dokumentu Char Char Char1593,Document Map Char Char Char1593"/>
    <w:basedOn w:val="Predvolenpsmoodseku"/>
    <w:uiPriority w:val="99"/>
    <w:semiHidden/>
    <w:rPr>
      <w:rFonts w:ascii="Tahoma" w:hAnsi="Tahoma" w:cs="Tahoma"/>
      <w:sz w:val="16"/>
      <w:szCs w:val="16"/>
      <w:lang w:val="x-none" w:eastAsia="cs-CZ"/>
    </w:rPr>
  </w:style>
  <w:style w:type="character" w:customStyle="1" w:styleId="truktradokumentuChar1591">
    <w:name w:val="Štruktúra dokumentu Char1591"/>
    <w:aliases w:val="Char9 Char Char1592,Štruktúra dokumentu Char Char Char1592,Document Map Char Char Char1592"/>
    <w:basedOn w:val="Predvolenpsmoodseku"/>
    <w:uiPriority w:val="99"/>
    <w:semiHidden/>
    <w:rPr>
      <w:rFonts w:ascii="Tahoma" w:hAnsi="Tahoma" w:cs="Tahoma"/>
      <w:sz w:val="16"/>
      <w:szCs w:val="16"/>
      <w:lang w:val="x-none" w:eastAsia="cs-CZ"/>
    </w:rPr>
  </w:style>
  <w:style w:type="character" w:customStyle="1" w:styleId="truktradokumentuChar1590">
    <w:name w:val="Štruktúra dokumentu Char1590"/>
    <w:aliases w:val="Char9 Char Char1591,Štruktúra dokumentu Char Char Char1591,Document Map Char Char Char1591"/>
    <w:basedOn w:val="Predvolenpsmoodseku"/>
    <w:uiPriority w:val="99"/>
    <w:semiHidden/>
    <w:rPr>
      <w:rFonts w:ascii="Tahoma" w:hAnsi="Tahoma" w:cs="Tahoma"/>
      <w:sz w:val="16"/>
      <w:szCs w:val="16"/>
      <w:lang w:val="x-none" w:eastAsia="cs-CZ"/>
    </w:rPr>
  </w:style>
  <w:style w:type="character" w:customStyle="1" w:styleId="truktradokumentuChar1589">
    <w:name w:val="Štruktúra dokumentu Char1589"/>
    <w:aliases w:val="Char9 Char Char1590,Štruktúra dokumentu Char Char Char1590,Document Map Char Char Char1590"/>
    <w:basedOn w:val="Predvolenpsmoodseku"/>
    <w:uiPriority w:val="99"/>
    <w:semiHidden/>
    <w:rPr>
      <w:rFonts w:ascii="Tahoma" w:hAnsi="Tahoma" w:cs="Tahoma"/>
      <w:sz w:val="16"/>
      <w:szCs w:val="16"/>
      <w:lang w:val="x-none" w:eastAsia="cs-CZ"/>
    </w:rPr>
  </w:style>
  <w:style w:type="character" w:customStyle="1" w:styleId="truktradokumentuChar1588">
    <w:name w:val="Štruktúra dokumentu Char1588"/>
    <w:aliases w:val="Char9 Char Char1589,Štruktúra dokumentu Char Char Char1589,Document Map Char Char Char1589"/>
    <w:basedOn w:val="Predvolenpsmoodseku"/>
    <w:uiPriority w:val="99"/>
    <w:semiHidden/>
    <w:rPr>
      <w:rFonts w:ascii="Tahoma" w:hAnsi="Tahoma" w:cs="Tahoma"/>
      <w:sz w:val="16"/>
      <w:szCs w:val="16"/>
      <w:lang w:val="x-none" w:eastAsia="cs-CZ"/>
    </w:rPr>
  </w:style>
  <w:style w:type="character" w:customStyle="1" w:styleId="truktradokumentuChar1587">
    <w:name w:val="Štruktúra dokumentu Char1587"/>
    <w:aliases w:val="Char9 Char Char1588,Štruktúra dokumentu Char Char Char1588,Document Map Char Char Char1588"/>
    <w:basedOn w:val="Predvolenpsmoodseku"/>
    <w:uiPriority w:val="99"/>
    <w:semiHidden/>
    <w:rPr>
      <w:rFonts w:ascii="Tahoma" w:hAnsi="Tahoma" w:cs="Tahoma"/>
      <w:sz w:val="16"/>
      <w:szCs w:val="16"/>
      <w:lang w:val="x-none" w:eastAsia="cs-CZ"/>
    </w:rPr>
  </w:style>
  <w:style w:type="character" w:customStyle="1" w:styleId="truktradokumentuChar1586">
    <w:name w:val="Štruktúra dokumentu Char1586"/>
    <w:aliases w:val="Char9 Char Char1587,Štruktúra dokumentu Char Char Char1587,Document Map Char Char Char1587"/>
    <w:basedOn w:val="Predvolenpsmoodseku"/>
    <w:uiPriority w:val="99"/>
    <w:semiHidden/>
    <w:rPr>
      <w:rFonts w:ascii="Tahoma" w:hAnsi="Tahoma" w:cs="Tahoma"/>
      <w:sz w:val="16"/>
      <w:szCs w:val="16"/>
      <w:lang w:val="x-none" w:eastAsia="cs-CZ"/>
    </w:rPr>
  </w:style>
  <w:style w:type="character" w:customStyle="1" w:styleId="truktradokumentuChar1585">
    <w:name w:val="Štruktúra dokumentu Char1585"/>
    <w:aliases w:val="Char9 Char Char1586,Štruktúra dokumentu Char Char Char1586,Document Map Char Char Char1586"/>
    <w:basedOn w:val="Predvolenpsmoodseku"/>
    <w:uiPriority w:val="99"/>
    <w:semiHidden/>
    <w:rPr>
      <w:rFonts w:ascii="Tahoma" w:hAnsi="Tahoma" w:cs="Tahoma"/>
      <w:sz w:val="16"/>
      <w:szCs w:val="16"/>
      <w:lang w:val="x-none" w:eastAsia="cs-CZ"/>
    </w:rPr>
  </w:style>
  <w:style w:type="character" w:customStyle="1" w:styleId="truktradokumentuChar1584">
    <w:name w:val="Štruktúra dokumentu Char1584"/>
    <w:aliases w:val="Char9 Char Char1585,Štruktúra dokumentu Char Char Char1585,Document Map Char Char Char1585"/>
    <w:basedOn w:val="Predvolenpsmoodseku"/>
    <w:uiPriority w:val="99"/>
    <w:semiHidden/>
    <w:rPr>
      <w:rFonts w:ascii="Tahoma" w:hAnsi="Tahoma" w:cs="Tahoma"/>
      <w:sz w:val="16"/>
      <w:szCs w:val="16"/>
      <w:lang w:val="x-none" w:eastAsia="cs-CZ"/>
    </w:rPr>
  </w:style>
  <w:style w:type="character" w:customStyle="1" w:styleId="truktradokumentuChar1583">
    <w:name w:val="Štruktúra dokumentu Char1583"/>
    <w:aliases w:val="Char9 Char Char1584,Štruktúra dokumentu Char Char Char1584,Document Map Char Char Char1584"/>
    <w:basedOn w:val="Predvolenpsmoodseku"/>
    <w:uiPriority w:val="99"/>
    <w:semiHidden/>
    <w:rPr>
      <w:rFonts w:ascii="Tahoma" w:hAnsi="Tahoma" w:cs="Tahoma"/>
      <w:sz w:val="16"/>
      <w:szCs w:val="16"/>
      <w:lang w:val="x-none" w:eastAsia="cs-CZ"/>
    </w:rPr>
  </w:style>
  <w:style w:type="character" w:customStyle="1" w:styleId="truktradokumentuChar1582">
    <w:name w:val="Štruktúra dokumentu Char1582"/>
    <w:aliases w:val="Char9 Char Char1583,Štruktúra dokumentu Char Char Char1583,Document Map Char Char Char1583"/>
    <w:basedOn w:val="Predvolenpsmoodseku"/>
    <w:uiPriority w:val="99"/>
    <w:semiHidden/>
    <w:rPr>
      <w:rFonts w:ascii="Tahoma" w:hAnsi="Tahoma" w:cs="Tahoma"/>
      <w:sz w:val="16"/>
      <w:szCs w:val="16"/>
      <w:lang w:val="x-none" w:eastAsia="cs-CZ"/>
    </w:rPr>
  </w:style>
  <w:style w:type="character" w:customStyle="1" w:styleId="truktradokumentuChar1581">
    <w:name w:val="Štruktúra dokumentu Char1581"/>
    <w:aliases w:val="Char9 Char Char1582,Štruktúra dokumentu Char Char Char1582,Document Map Char Char Char1582"/>
    <w:basedOn w:val="Predvolenpsmoodseku"/>
    <w:uiPriority w:val="99"/>
    <w:semiHidden/>
    <w:rPr>
      <w:rFonts w:ascii="Tahoma" w:hAnsi="Tahoma" w:cs="Tahoma"/>
      <w:sz w:val="16"/>
      <w:szCs w:val="16"/>
      <w:lang w:val="x-none" w:eastAsia="cs-CZ"/>
    </w:rPr>
  </w:style>
  <w:style w:type="character" w:customStyle="1" w:styleId="truktradokumentuChar1580">
    <w:name w:val="Štruktúra dokumentu Char1580"/>
    <w:aliases w:val="Char9 Char Char1581,Štruktúra dokumentu Char Char Char1581,Document Map Char Char Char1581"/>
    <w:basedOn w:val="Predvolenpsmoodseku"/>
    <w:uiPriority w:val="99"/>
    <w:semiHidden/>
    <w:rPr>
      <w:rFonts w:ascii="Tahoma" w:hAnsi="Tahoma" w:cs="Tahoma"/>
      <w:sz w:val="16"/>
      <w:szCs w:val="16"/>
      <w:lang w:val="x-none" w:eastAsia="cs-CZ"/>
    </w:rPr>
  </w:style>
  <w:style w:type="character" w:customStyle="1" w:styleId="truktradokumentuChar1579">
    <w:name w:val="Štruktúra dokumentu Char1579"/>
    <w:aliases w:val="Char9 Char Char1580,Štruktúra dokumentu Char Char Char1580,Document Map Char Char Char1580"/>
    <w:basedOn w:val="Predvolenpsmoodseku"/>
    <w:uiPriority w:val="99"/>
    <w:semiHidden/>
    <w:rPr>
      <w:rFonts w:ascii="Tahoma" w:hAnsi="Tahoma" w:cs="Tahoma"/>
      <w:sz w:val="16"/>
      <w:szCs w:val="16"/>
      <w:lang w:val="x-none" w:eastAsia="cs-CZ"/>
    </w:rPr>
  </w:style>
  <w:style w:type="character" w:customStyle="1" w:styleId="truktradokumentuChar1578">
    <w:name w:val="Štruktúra dokumentu Char1578"/>
    <w:aliases w:val="Char9 Char Char1579,Štruktúra dokumentu Char Char Char1579,Document Map Char Char Char1579"/>
    <w:basedOn w:val="Predvolenpsmoodseku"/>
    <w:uiPriority w:val="99"/>
    <w:semiHidden/>
    <w:rPr>
      <w:rFonts w:ascii="Tahoma" w:hAnsi="Tahoma" w:cs="Tahoma"/>
      <w:sz w:val="16"/>
      <w:szCs w:val="16"/>
      <w:lang w:val="x-none" w:eastAsia="cs-CZ"/>
    </w:rPr>
  </w:style>
  <w:style w:type="character" w:customStyle="1" w:styleId="truktradokumentuChar1577">
    <w:name w:val="Štruktúra dokumentu Char1577"/>
    <w:aliases w:val="Char9 Char Char1578,Štruktúra dokumentu Char Char Char1578,Document Map Char Char Char1578"/>
    <w:basedOn w:val="Predvolenpsmoodseku"/>
    <w:uiPriority w:val="99"/>
    <w:semiHidden/>
    <w:rPr>
      <w:rFonts w:ascii="Tahoma" w:hAnsi="Tahoma" w:cs="Tahoma"/>
      <w:sz w:val="16"/>
      <w:szCs w:val="16"/>
      <w:lang w:val="x-none" w:eastAsia="cs-CZ"/>
    </w:rPr>
  </w:style>
  <w:style w:type="character" w:customStyle="1" w:styleId="truktradokumentuChar1576">
    <w:name w:val="Štruktúra dokumentu Char1576"/>
    <w:aliases w:val="Char9 Char Char1577,Štruktúra dokumentu Char Char Char1577,Document Map Char Char Char1577"/>
    <w:basedOn w:val="Predvolenpsmoodseku"/>
    <w:uiPriority w:val="99"/>
    <w:semiHidden/>
    <w:rPr>
      <w:rFonts w:ascii="Tahoma" w:hAnsi="Tahoma" w:cs="Tahoma"/>
      <w:sz w:val="16"/>
      <w:szCs w:val="16"/>
      <w:lang w:val="x-none" w:eastAsia="cs-CZ"/>
    </w:rPr>
  </w:style>
  <w:style w:type="character" w:customStyle="1" w:styleId="truktradokumentuChar1575">
    <w:name w:val="Štruktúra dokumentu Char1575"/>
    <w:aliases w:val="Char9 Char Char1576,Štruktúra dokumentu Char Char Char1576,Document Map Char Char Char1576"/>
    <w:basedOn w:val="Predvolenpsmoodseku"/>
    <w:uiPriority w:val="99"/>
    <w:semiHidden/>
    <w:rPr>
      <w:rFonts w:ascii="Tahoma" w:hAnsi="Tahoma" w:cs="Tahoma"/>
      <w:sz w:val="16"/>
      <w:szCs w:val="16"/>
      <w:lang w:val="x-none" w:eastAsia="cs-CZ"/>
    </w:rPr>
  </w:style>
  <w:style w:type="character" w:customStyle="1" w:styleId="truktradokumentuChar1574">
    <w:name w:val="Štruktúra dokumentu Char1574"/>
    <w:aliases w:val="Char9 Char Char1575,Štruktúra dokumentu Char Char Char1575,Document Map Char Char Char1575"/>
    <w:basedOn w:val="Predvolenpsmoodseku"/>
    <w:uiPriority w:val="99"/>
    <w:semiHidden/>
    <w:rPr>
      <w:rFonts w:ascii="Tahoma" w:hAnsi="Tahoma" w:cs="Tahoma"/>
      <w:sz w:val="16"/>
      <w:szCs w:val="16"/>
      <w:lang w:val="x-none" w:eastAsia="cs-CZ"/>
    </w:rPr>
  </w:style>
  <w:style w:type="character" w:customStyle="1" w:styleId="truktradokumentuChar1573">
    <w:name w:val="Štruktúra dokumentu Char1573"/>
    <w:aliases w:val="Char9 Char Char1574,Štruktúra dokumentu Char Char Char1574,Document Map Char Char Char1574"/>
    <w:basedOn w:val="Predvolenpsmoodseku"/>
    <w:uiPriority w:val="99"/>
    <w:semiHidden/>
    <w:rPr>
      <w:rFonts w:ascii="Tahoma" w:hAnsi="Tahoma" w:cs="Tahoma"/>
      <w:sz w:val="16"/>
      <w:szCs w:val="16"/>
      <w:lang w:val="x-none" w:eastAsia="cs-CZ"/>
    </w:rPr>
  </w:style>
  <w:style w:type="character" w:customStyle="1" w:styleId="truktradokumentuChar1572">
    <w:name w:val="Štruktúra dokumentu Char1572"/>
    <w:aliases w:val="Char9 Char Char1573,Štruktúra dokumentu Char Char Char1573,Document Map Char Char Char1573"/>
    <w:basedOn w:val="Predvolenpsmoodseku"/>
    <w:uiPriority w:val="99"/>
    <w:semiHidden/>
    <w:rPr>
      <w:rFonts w:ascii="Tahoma" w:hAnsi="Tahoma" w:cs="Tahoma"/>
      <w:sz w:val="16"/>
      <w:szCs w:val="16"/>
      <w:lang w:val="x-none" w:eastAsia="cs-CZ"/>
    </w:rPr>
  </w:style>
  <w:style w:type="character" w:customStyle="1" w:styleId="truktradokumentuChar1571">
    <w:name w:val="Štruktúra dokumentu Char1571"/>
    <w:aliases w:val="Char9 Char Char1572,Štruktúra dokumentu Char Char Char1572,Document Map Char Char Char1572"/>
    <w:basedOn w:val="Predvolenpsmoodseku"/>
    <w:uiPriority w:val="99"/>
    <w:semiHidden/>
    <w:rPr>
      <w:rFonts w:ascii="Tahoma" w:hAnsi="Tahoma" w:cs="Tahoma"/>
      <w:sz w:val="16"/>
      <w:szCs w:val="16"/>
      <w:lang w:val="x-none" w:eastAsia="cs-CZ"/>
    </w:rPr>
  </w:style>
  <w:style w:type="character" w:customStyle="1" w:styleId="truktradokumentuChar1570">
    <w:name w:val="Štruktúra dokumentu Char1570"/>
    <w:aliases w:val="Char9 Char Char1571,Štruktúra dokumentu Char Char Char1571,Document Map Char Char Char1571"/>
    <w:basedOn w:val="Predvolenpsmoodseku"/>
    <w:uiPriority w:val="99"/>
    <w:semiHidden/>
    <w:rPr>
      <w:rFonts w:ascii="Tahoma" w:hAnsi="Tahoma" w:cs="Tahoma"/>
      <w:sz w:val="16"/>
      <w:szCs w:val="16"/>
      <w:lang w:val="x-none" w:eastAsia="cs-CZ"/>
    </w:rPr>
  </w:style>
  <w:style w:type="character" w:customStyle="1" w:styleId="truktradokumentuChar1569">
    <w:name w:val="Štruktúra dokumentu Char1569"/>
    <w:aliases w:val="Char9 Char Char1570,Štruktúra dokumentu Char Char Char1570,Document Map Char Char Char1570"/>
    <w:basedOn w:val="Predvolenpsmoodseku"/>
    <w:uiPriority w:val="99"/>
    <w:semiHidden/>
    <w:rPr>
      <w:rFonts w:ascii="Tahoma" w:hAnsi="Tahoma" w:cs="Tahoma"/>
      <w:sz w:val="16"/>
      <w:szCs w:val="16"/>
      <w:lang w:val="x-none" w:eastAsia="cs-CZ"/>
    </w:rPr>
  </w:style>
  <w:style w:type="character" w:customStyle="1" w:styleId="truktradokumentuChar1568">
    <w:name w:val="Štruktúra dokumentu Char1568"/>
    <w:aliases w:val="Char9 Char Char1569,Štruktúra dokumentu Char Char Char1569,Document Map Char Char Char1569"/>
    <w:basedOn w:val="Predvolenpsmoodseku"/>
    <w:uiPriority w:val="99"/>
    <w:semiHidden/>
    <w:rPr>
      <w:rFonts w:ascii="Tahoma" w:hAnsi="Tahoma" w:cs="Tahoma"/>
      <w:sz w:val="16"/>
      <w:szCs w:val="16"/>
      <w:lang w:val="x-none" w:eastAsia="cs-CZ"/>
    </w:rPr>
  </w:style>
  <w:style w:type="character" w:customStyle="1" w:styleId="truktradokumentuChar1567">
    <w:name w:val="Štruktúra dokumentu Char1567"/>
    <w:aliases w:val="Char9 Char Char1568,Štruktúra dokumentu Char Char Char1568,Document Map Char Char Char1568"/>
    <w:basedOn w:val="Predvolenpsmoodseku"/>
    <w:uiPriority w:val="99"/>
    <w:semiHidden/>
    <w:rPr>
      <w:rFonts w:ascii="Tahoma" w:hAnsi="Tahoma" w:cs="Tahoma"/>
      <w:sz w:val="16"/>
      <w:szCs w:val="16"/>
      <w:lang w:val="x-none" w:eastAsia="cs-CZ"/>
    </w:rPr>
  </w:style>
  <w:style w:type="character" w:customStyle="1" w:styleId="truktradokumentuChar1566">
    <w:name w:val="Štruktúra dokumentu Char1566"/>
    <w:aliases w:val="Char9 Char Char1567,Štruktúra dokumentu Char Char Char1567,Document Map Char Char Char1567"/>
    <w:basedOn w:val="Predvolenpsmoodseku"/>
    <w:uiPriority w:val="99"/>
    <w:semiHidden/>
    <w:rPr>
      <w:rFonts w:ascii="Tahoma" w:hAnsi="Tahoma" w:cs="Tahoma"/>
      <w:sz w:val="16"/>
      <w:szCs w:val="16"/>
      <w:lang w:val="x-none" w:eastAsia="cs-CZ"/>
    </w:rPr>
  </w:style>
  <w:style w:type="character" w:customStyle="1" w:styleId="truktradokumentuChar1565">
    <w:name w:val="Štruktúra dokumentu Char1565"/>
    <w:aliases w:val="Char9 Char Char1566,Štruktúra dokumentu Char Char Char1566,Document Map Char Char Char1566"/>
    <w:basedOn w:val="Predvolenpsmoodseku"/>
    <w:uiPriority w:val="99"/>
    <w:semiHidden/>
    <w:rPr>
      <w:rFonts w:ascii="Tahoma" w:hAnsi="Tahoma" w:cs="Tahoma"/>
      <w:sz w:val="16"/>
      <w:szCs w:val="16"/>
      <w:lang w:val="x-none" w:eastAsia="cs-CZ"/>
    </w:rPr>
  </w:style>
  <w:style w:type="character" w:customStyle="1" w:styleId="truktradokumentuChar1564">
    <w:name w:val="Štruktúra dokumentu Char1564"/>
    <w:aliases w:val="Char9 Char Char1565,Štruktúra dokumentu Char Char Char1565,Document Map Char Char Char1565"/>
    <w:basedOn w:val="Predvolenpsmoodseku"/>
    <w:uiPriority w:val="99"/>
    <w:semiHidden/>
    <w:rPr>
      <w:rFonts w:ascii="Tahoma" w:hAnsi="Tahoma" w:cs="Tahoma"/>
      <w:sz w:val="16"/>
      <w:szCs w:val="16"/>
      <w:lang w:val="x-none" w:eastAsia="cs-CZ"/>
    </w:rPr>
  </w:style>
  <w:style w:type="character" w:customStyle="1" w:styleId="truktradokumentuChar1563">
    <w:name w:val="Štruktúra dokumentu Char1563"/>
    <w:aliases w:val="Char9 Char Char1564,Štruktúra dokumentu Char Char Char1564,Document Map Char Char Char1564"/>
    <w:basedOn w:val="Predvolenpsmoodseku"/>
    <w:uiPriority w:val="99"/>
    <w:semiHidden/>
    <w:rPr>
      <w:rFonts w:ascii="Tahoma" w:hAnsi="Tahoma" w:cs="Tahoma"/>
      <w:sz w:val="16"/>
      <w:szCs w:val="16"/>
      <w:lang w:val="x-none" w:eastAsia="cs-CZ"/>
    </w:rPr>
  </w:style>
  <w:style w:type="character" w:customStyle="1" w:styleId="truktradokumentuChar1562">
    <w:name w:val="Štruktúra dokumentu Char1562"/>
    <w:aliases w:val="Char9 Char Char1563,Štruktúra dokumentu Char Char Char1563,Document Map Char Char Char1563"/>
    <w:basedOn w:val="Predvolenpsmoodseku"/>
    <w:uiPriority w:val="99"/>
    <w:semiHidden/>
    <w:rPr>
      <w:rFonts w:ascii="Tahoma" w:hAnsi="Tahoma" w:cs="Tahoma"/>
      <w:sz w:val="16"/>
      <w:szCs w:val="16"/>
      <w:lang w:val="x-none" w:eastAsia="cs-CZ"/>
    </w:rPr>
  </w:style>
  <w:style w:type="character" w:customStyle="1" w:styleId="truktradokumentuChar1561">
    <w:name w:val="Štruktúra dokumentu Char1561"/>
    <w:aliases w:val="Char9 Char Char1562,Štruktúra dokumentu Char Char Char1562,Document Map Char Char Char1562"/>
    <w:basedOn w:val="Predvolenpsmoodseku"/>
    <w:uiPriority w:val="99"/>
    <w:semiHidden/>
    <w:rPr>
      <w:rFonts w:ascii="Tahoma" w:hAnsi="Tahoma" w:cs="Tahoma"/>
      <w:sz w:val="16"/>
      <w:szCs w:val="16"/>
      <w:lang w:val="x-none" w:eastAsia="cs-CZ"/>
    </w:rPr>
  </w:style>
  <w:style w:type="character" w:customStyle="1" w:styleId="truktradokumentuChar1560">
    <w:name w:val="Štruktúra dokumentu Char1560"/>
    <w:aliases w:val="Char9 Char Char1561,Štruktúra dokumentu Char Char Char1561,Document Map Char Char Char1561"/>
    <w:basedOn w:val="Predvolenpsmoodseku"/>
    <w:uiPriority w:val="99"/>
    <w:semiHidden/>
    <w:rPr>
      <w:rFonts w:ascii="Tahoma" w:hAnsi="Tahoma" w:cs="Tahoma"/>
      <w:sz w:val="16"/>
      <w:szCs w:val="16"/>
      <w:lang w:val="x-none" w:eastAsia="cs-CZ"/>
    </w:rPr>
  </w:style>
  <w:style w:type="character" w:customStyle="1" w:styleId="truktradokumentuChar1559">
    <w:name w:val="Štruktúra dokumentu Char1559"/>
    <w:aliases w:val="Char9 Char Char1560,Štruktúra dokumentu Char Char Char1560,Document Map Char Char Char1560"/>
    <w:basedOn w:val="Predvolenpsmoodseku"/>
    <w:uiPriority w:val="99"/>
    <w:semiHidden/>
    <w:rPr>
      <w:rFonts w:ascii="Tahoma" w:hAnsi="Tahoma" w:cs="Tahoma"/>
      <w:sz w:val="16"/>
      <w:szCs w:val="16"/>
      <w:lang w:val="x-none" w:eastAsia="cs-CZ"/>
    </w:rPr>
  </w:style>
  <w:style w:type="character" w:customStyle="1" w:styleId="truktradokumentuChar1558">
    <w:name w:val="Štruktúra dokumentu Char1558"/>
    <w:aliases w:val="Char9 Char Char1559,Štruktúra dokumentu Char Char Char1559,Document Map Char Char Char1559"/>
    <w:basedOn w:val="Predvolenpsmoodseku"/>
    <w:uiPriority w:val="99"/>
    <w:semiHidden/>
    <w:rPr>
      <w:rFonts w:ascii="Tahoma" w:hAnsi="Tahoma" w:cs="Tahoma"/>
      <w:sz w:val="16"/>
      <w:szCs w:val="16"/>
      <w:lang w:val="x-none" w:eastAsia="cs-CZ"/>
    </w:rPr>
  </w:style>
  <w:style w:type="character" w:customStyle="1" w:styleId="truktradokumentuChar1557">
    <w:name w:val="Štruktúra dokumentu Char1557"/>
    <w:aliases w:val="Char9 Char Char1558,Štruktúra dokumentu Char Char Char1558,Document Map Char Char Char1558"/>
    <w:basedOn w:val="Predvolenpsmoodseku"/>
    <w:uiPriority w:val="99"/>
    <w:semiHidden/>
    <w:rPr>
      <w:rFonts w:ascii="Tahoma" w:hAnsi="Tahoma" w:cs="Tahoma"/>
      <w:sz w:val="16"/>
      <w:szCs w:val="16"/>
      <w:lang w:val="x-none" w:eastAsia="cs-CZ"/>
    </w:rPr>
  </w:style>
  <w:style w:type="character" w:customStyle="1" w:styleId="truktradokumentuChar1556">
    <w:name w:val="Štruktúra dokumentu Char1556"/>
    <w:aliases w:val="Char9 Char Char1557,Štruktúra dokumentu Char Char Char1557,Document Map Char Char Char1557"/>
    <w:basedOn w:val="Predvolenpsmoodseku"/>
    <w:uiPriority w:val="99"/>
    <w:semiHidden/>
    <w:rPr>
      <w:rFonts w:ascii="Tahoma" w:hAnsi="Tahoma" w:cs="Tahoma"/>
      <w:sz w:val="16"/>
      <w:szCs w:val="16"/>
      <w:lang w:val="x-none" w:eastAsia="cs-CZ"/>
    </w:rPr>
  </w:style>
  <w:style w:type="character" w:customStyle="1" w:styleId="truktradokumentuChar1555">
    <w:name w:val="Štruktúra dokumentu Char1555"/>
    <w:aliases w:val="Char9 Char Char1556,Štruktúra dokumentu Char Char Char1556,Document Map Char Char Char1556"/>
    <w:basedOn w:val="Predvolenpsmoodseku"/>
    <w:uiPriority w:val="99"/>
    <w:semiHidden/>
    <w:rPr>
      <w:rFonts w:ascii="Tahoma" w:hAnsi="Tahoma" w:cs="Tahoma"/>
      <w:sz w:val="16"/>
      <w:szCs w:val="16"/>
      <w:lang w:val="x-none" w:eastAsia="cs-CZ"/>
    </w:rPr>
  </w:style>
  <w:style w:type="character" w:customStyle="1" w:styleId="truktradokumentuChar1554">
    <w:name w:val="Štruktúra dokumentu Char1554"/>
    <w:aliases w:val="Char9 Char Char1555,Štruktúra dokumentu Char Char Char1555,Document Map Char Char Char1555"/>
    <w:basedOn w:val="Predvolenpsmoodseku"/>
    <w:uiPriority w:val="99"/>
    <w:semiHidden/>
    <w:rPr>
      <w:rFonts w:ascii="Tahoma" w:hAnsi="Tahoma" w:cs="Tahoma"/>
      <w:sz w:val="16"/>
      <w:szCs w:val="16"/>
      <w:lang w:val="x-none" w:eastAsia="cs-CZ"/>
    </w:rPr>
  </w:style>
  <w:style w:type="character" w:customStyle="1" w:styleId="truktradokumentuChar1553">
    <w:name w:val="Štruktúra dokumentu Char1553"/>
    <w:aliases w:val="Char9 Char Char1554,Štruktúra dokumentu Char Char Char1554,Document Map Char Char Char1554"/>
    <w:basedOn w:val="Predvolenpsmoodseku"/>
    <w:uiPriority w:val="99"/>
    <w:semiHidden/>
    <w:rPr>
      <w:rFonts w:ascii="Tahoma" w:hAnsi="Tahoma" w:cs="Tahoma"/>
      <w:sz w:val="16"/>
      <w:szCs w:val="16"/>
      <w:lang w:val="x-none" w:eastAsia="cs-CZ"/>
    </w:rPr>
  </w:style>
  <w:style w:type="character" w:customStyle="1" w:styleId="truktradokumentuChar1552">
    <w:name w:val="Štruktúra dokumentu Char1552"/>
    <w:aliases w:val="Char9 Char Char1553,Štruktúra dokumentu Char Char Char1553,Document Map Char Char Char1553"/>
    <w:basedOn w:val="Predvolenpsmoodseku"/>
    <w:uiPriority w:val="99"/>
    <w:semiHidden/>
    <w:rPr>
      <w:rFonts w:ascii="Tahoma" w:hAnsi="Tahoma" w:cs="Tahoma"/>
      <w:sz w:val="16"/>
      <w:szCs w:val="16"/>
      <w:lang w:val="x-none" w:eastAsia="cs-CZ"/>
    </w:rPr>
  </w:style>
  <w:style w:type="character" w:customStyle="1" w:styleId="truktradokumentuChar1551">
    <w:name w:val="Štruktúra dokumentu Char1551"/>
    <w:aliases w:val="Char9 Char Char1552,Štruktúra dokumentu Char Char Char1552,Document Map Char Char Char1552"/>
    <w:basedOn w:val="Predvolenpsmoodseku"/>
    <w:uiPriority w:val="99"/>
    <w:semiHidden/>
    <w:rPr>
      <w:rFonts w:ascii="Tahoma" w:hAnsi="Tahoma" w:cs="Tahoma"/>
      <w:sz w:val="16"/>
      <w:szCs w:val="16"/>
      <w:lang w:val="x-none" w:eastAsia="cs-CZ"/>
    </w:rPr>
  </w:style>
  <w:style w:type="character" w:customStyle="1" w:styleId="truktradokumentuChar1550">
    <w:name w:val="Štruktúra dokumentu Char1550"/>
    <w:aliases w:val="Char9 Char Char1551,Štruktúra dokumentu Char Char Char1551,Document Map Char Char Char1551"/>
    <w:basedOn w:val="Predvolenpsmoodseku"/>
    <w:uiPriority w:val="99"/>
    <w:semiHidden/>
    <w:rPr>
      <w:rFonts w:ascii="Tahoma" w:hAnsi="Tahoma" w:cs="Tahoma"/>
      <w:sz w:val="16"/>
      <w:szCs w:val="16"/>
      <w:lang w:val="x-none" w:eastAsia="cs-CZ"/>
    </w:rPr>
  </w:style>
  <w:style w:type="character" w:customStyle="1" w:styleId="truktradokumentuChar1549">
    <w:name w:val="Štruktúra dokumentu Char1549"/>
    <w:aliases w:val="Char9 Char Char1550,Štruktúra dokumentu Char Char Char1550,Document Map Char Char Char1550"/>
    <w:basedOn w:val="Predvolenpsmoodseku"/>
    <w:uiPriority w:val="99"/>
    <w:semiHidden/>
    <w:rPr>
      <w:rFonts w:ascii="Tahoma" w:hAnsi="Tahoma" w:cs="Tahoma"/>
      <w:sz w:val="16"/>
      <w:szCs w:val="16"/>
      <w:lang w:val="x-none" w:eastAsia="cs-CZ"/>
    </w:rPr>
  </w:style>
  <w:style w:type="character" w:customStyle="1" w:styleId="truktradokumentuChar1548">
    <w:name w:val="Štruktúra dokumentu Char1548"/>
    <w:aliases w:val="Char9 Char Char1549,Štruktúra dokumentu Char Char Char1549,Document Map Char Char Char1549"/>
    <w:basedOn w:val="Predvolenpsmoodseku"/>
    <w:uiPriority w:val="99"/>
    <w:semiHidden/>
    <w:rPr>
      <w:rFonts w:ascii="Tahoma" w:hAnsi="Tahoma" w:cs="Tahoma"/>
      <w:sz w:val="16"/>
      <w:szCs w:val="16"/>
      <w:lang w:val="x-none" w:eastAsia="cs-CZ"/>
    </w:rPr>
  </w:style>
  <w:style w:type="character" w:customStyle="1" w:styleId="truktradokumentuChar1547">
    <w:name w:val="Štruktúra dokumentu Char1547"/>
    <w:aliases w:val="Char9 Char Char1548,Štruktúra dokumentu Char Char Char1548,Document Map Char Char Char1548"/>
    <w:basedOn w:val="Predvolenpsmoodseku"/>
    <w:uiPriority w:val="99"/>
    <w:semiHidden/>
    <w:rPr>
      <w:rFonts w:ascii="Tahoma" w:hAnsi="Tahoma" w:cs="Tahoma"/>
      <w:sz w:val="16"/>
      <w:szCs w:val="16"/>
      <w:lang w:val="x-none" w:eastAsia="cs-CZ"/>
    </w:rPr>
  </w:style>
  <w:style w:type="character" w:customStyle="1" w:styleId="truktradokumentuChar1546">
    <w:name w:val="Štruktúra dokumentu Char1546"/>
    <w:aliases w:val="Char9 Char Char1547,Štruktúra dokumentu Char Char Char1547,Document Map Char Char Char1547"/>
    <w:basedOn w:val="Predvolenpsmoodseku"/>
    <w:uiPriority w:val="99"/>
    <w:semiHidden/>
    <w:rPr>
      <w:rFonts w:ascii="Tahoma" w:hAnsi="Tahoma" w:cs="Tahoma"/>
      <w:sz w:val="16"/>
      <w:szCs w:val="16"/>
      <w:lang w:val="x-none" w:eastAsia="cs-CZ"/>
    </w:rPr>
  </w:style>
  <w:style w:type="character" w:customStyle="1" w:styleId="truktradokumentuChar1545">
    <w:name w:val="Štruktúra dokumentu Char1545"/>
    <w:aliases w:val="Char9 Char Char1546,Štruktúra dokumentu Char Char Char1546,Document Map Char Char Char1546"/>
    <w:basedOn w:val="Predvolenpsmoodseku"/>
    <w:uiPriority w:val="99"/>
    <w:semiHidden/>
    <w:rPr>
      <w:rFonts w:ascii="Tahoma" w:hAnsi="Tahoma" w:cs="Tahoma"/>
      <w:sz w:val="16"/>
      <w:szCs w:val="16"/>
      <w:lang w:val="x-none" w:eastAsia="cs-CZ"/>
    </w:rPr>
  </w:style>
  <w:style w:type="character" w:customStyle="1" w:styleId="truktradokumentuChar1544">
    <w:name w:val="Štruktúra dokumentu Char1544"/>
    <w:aliases w:val="Char9 Char Char1545,Štruktúra dokumentu Char Char Char1545,Document Map Char Char Char1545"/>
    <w:basedOn w:val="Predvolenpsmoodseku"/>
    <w:uiPriority w:val="99"/>
    <w:semiHidden/>
    <w:rPr>
      <w:rFonts w:ascii="Tahoma" w:hAnsi="Tahoma" w:cs="Tahoma"/>
      <w:sz w:val="16"/>
      <w:szCs w:val="16"/>
      <w:lang w:val="x-none" w:eastAsia="cs-CZ"/>
    </w:rPr>
  </w:style>
  <w:style w:type="character" w:customStyle="1" w:styleId="truktradokumentuChar1543">
    <w:name w:val="Štruktúra dokumentu Char1543"/>
    <w:aliases w:val="Char9 Char Char1544,Štruktúra dokumentu Char Char Char1544,Document Map Char Char Char1544"/>
    <w:basedOn w:val="Predvolenpsmoodseku"/>
    <w:uiPriority w:val="99"/>
    <w:semiHidden/>
    <w:rPr>
      <w:rFonts w:ascii="Tahoma" w:hAnsi="Tahoma" w:cs="Tahoma"/>
      <w:sz w:val="16"/>
      <w:szCs w:val="16"/>
      <w:lang w:val="x-none" w:eastAsia="cs-CZ"/>
    </w:rPr>
  </w:style>
  <w:style w:type="character" w:customStyle="1" w:styleId="truktradokumentuChar1542">
    <w:name w:val="Štruktúra dokumentu Char1542"/>
    <w:aliases w:val="Char9 Char Char1543,Štruktúra dokumentu Char Char Char1543,Document Map Char Char Char1543"/>
    <w:basedOn w:val="Predvolenpsmoodseku"/>
    <w:uiPriority w:val="99"/>
    <w:semiHidden/>
    <w:rPr>
      <w:rFonts w:ascii="Tahoma" w:hAnsi="Tahoma" w:cs="Tahoma"/>
      <w:sz w:val="16"/>
      <w:szCs w:val="16"/>
      <w:lang w:val="x-none" w:eastAsia="cs-CZ"/>
    </w:rPr>
  </w:style>
  <w:style w:type="character" w:customStyle="1" w:styleId="truktradokumentuChar1541">
    <w:name w:val="Štruktúra dokumentu Char1541"/>
    <w:aliases w:val="Char9 Char Char1542,Štruktúra dokumentu Char Char Char1542,Document Map Char Char Char1542"/>
    <w:basedOn w:val="Predvolenpsmoodseku"/>
    <w:uiPriority w:val="99"/>
    <w:semiHidden/>
    <w:rPr>
      <w:rFonts w:ascii="Tahoma" w:hAnsi="Tahoma" w:cs="Tahoma"/>
      <w:sz w:val="16"/>
      <w:szCs w:val="16"/>
      <w:lang w:val="x-none" w:eastAsia="cs-CZ"/>
    </w:rPr>
  </w:style>
  <w:style w:type="character" w:customStyle="1" w:styleId="truktradokumentuChar1540">
    <w:name w:val="Štruktúra dokumentu Char1540"/>
    <w:aliases w:val="Char9 Char Char1541,Štruktúra dokumentu Char Char Char1541,Document Map Char Char Char1541"/>
    <w:basedOn w:val="Predvolenpsmoodseku"/>
    <w:uiPriority w:val="99"/>
    <w:semiHidden/>
    <w:rPr>
      <w:rFonts w:ascii="Tahoma" w:hAnsi="Tahoma" w:cs="Tahoma"/>
      <w:sz w:val="16"/>
      <w:szCs w:val="16"/>
      <w:lang w:val="x-none" w:eastAsia="cs-CZ"/>
    </w:rPr>
  </w:style>
  <w:style w:type="character" w:customStyle="1" w:styleId="truktradokumentuChar1539">
    <w:name w:val="Štruktúra dokumentu Char1539"/>
    <w:aliases w:val="Char9 Char Char1540,Štruktúra dokumentu Char Char Char1540,Document Map Char Char Char1540"/>
    <w:basedOn w:val="Predvolenpsmoodseku"/>
    <w:uiPriority w:val="99"/>
    <w:semiHidden/>
    <w:rPr>
      <w:rFonts w:ascii="Tahoma" w:hAnsi="Tahoma" w:cs="Tahoma"/>
      <w:sz w:val="16"/>
      <w:szCs w:val="16"/>
      <w:lang w:val="x-none" w:eastAsia="cs-CZ"/>
    </w:rPr>
  </w:style>
  <w:style w:type="character" w:customStyle="1" w:styleId="truktradokumentuChar1538">
    <w:name w:val="Štruktúra dokumentu Char1538"/>
    <w:aliases w:val="Char9 Char Char1539,Štruktúra dokumentu Char Char Char1539,Document Map Char Char Char1539"/>
    <w:basedOn w:val="Predvolenpsmoodseku"/>
    <w:uiPriority w:val="99"/>
    <w:semiHidden/>
    <w:rPr>
      <w:rFonts w:ascii="Tahoma" w:hAnsi="Tahoma" w:cs="Tahoma"/>
      <w:sz w:val="16"/>
      <w:szCs w:val="16"/>
      <w:lang w:val="x-none" w:eastAsia="cs-CZ"/>
    </w:rPr>
  </w:style>
  <w:style w:type="character" w:customStyle="1" w:styleId="truktradokumentuChar1537">
    <w:name w:val="Štruktúra dokumentu Char1537"/>
    <w:aliases w:val="Char9 Char Char1538,Štruktúra dokumentu Char Char Char1538,Document Map Char Char Char1538"/>
    <w:basedOn w:val="Predvolenpsmoodseku"/>
    <w:uiPriority w:val="99"/>
    <w:semiHidden/>
    <w:rPr>
      <w:rFonts w:ascii="Tahoma" w:hAnsi="Tahoma" w:cs="Tahoma"/>
      <w:sz w:val="16"/>
      <w:szCs w:val="16"/>
      <w:lang w:val="x-none" w:eastAsia="cs-CZ"/>
    </w:rPr>
  </w:style>
  <w:style w:type="character" w:customStyle="1" w:styleId="truktradokumentuChar1536">
    <w:name w:val="Štruktúra dokumentu Char1536"/>
    <w:aliases w:val="Char9 Char Char1537,Štruktúra dokumentu Char Char Char1537,Document Map Char Char Char1537"/>
    <w:basedOn w:val="Predvolenpsmoodseku"/>
    <w:uiPriority w:val="99"/>
    <w:semiHidden/>
    <w:rPr>
      <w:rFonts w:ascii="Tahoma" w:hAnsi="Tahoma" w:cs="Tahoma"/>
      <w:sz w:val="16"/>
      <w:szCs w:val="16"/>
      <w:lang w:val="x-none" w:eastAsia="cs-CZ"/>
    </w:rPr>
  </w:style>
  <w:style w:type="character" w:customStyle="1" w:styleId="truktradokumentuChar1535">
    <w:name w:val="Štruktúra dokumentu Char1535"/>
    <w:aliases w:val="Char9 Char Char1536,Štruktúra dokumentu Char Char Char1536,Document Map Char Char Char1536"/>
    <w:basedOn w:val="Predvolenpsmoodseku"/>
    <w:uiPriority w:val="99"/>
    <w:semiHidden/>
    <w:rPr>
      <w:rFonts w:ascii="Tahoma" w:hAnsi="Tahoma" w:cs="Tahoma"/>
      <w:sz w:val="16"/>
      <w:szCs w:val="16"/>
      <w:lang w:val="x-none" w:eastAsia="cs-CZ"/>
    </w:rPr>
  </w:style>
  <w:style w:type="character" w:customStyle="1" w:styleId="truktradokumentuChar1534">
    <w:name w:val="Štruktúra dokumentu Char1534"/>
    <w:aliases w:val="Char9 Char Char1535,Štruktúra dokumentu Char Char Char1535,Document Map Char Char Char1535"/>
    <w:basedOn w:val="Predvolenpsmoodseku"/>
    <w:uiPriority w:val="99"/>
    <w:semiHidden/>
    <w:rPr>
      <w:rFonts w:ascii="Tahoma" w:hAnsi="Tahoma" w:cs="Tahoma"/>
      <w:sz w:val="16"/>
      <w:szCs w:val="16"/>
      <w:lang w:val="x-none" w:eastAsia="cs-CZ"/>
    </w:rPr>
  </w:style>
  <w:style w:type="character" w:customStyle="1" w:styleId="truktradokumentuChar1533">
    <w:name w:val="Štruktúra dokumentu Char1533"/>
    <w:aliases w:val="Char9 Char Char1534,Štruktúra dokumentu Char Char Char1534,Document Map Char Char Char1534"/>
    <w:basedOn w:val="Predvolenpsmoodseku"/>
    <w:uiPriority w:val="99"/>
    <w:semiHidden/>
    <w:rPr>
      <w:rFonts w:ascii="Tahoma" w:hAnsi="Tahoma" w:cs="Tahoma"/>
      <w:sz w:val="16"/>
      <w:szCs w:val="16"/>
      <w:lang w:val="x-none" w:eastAsia="cs-CZ"/>
    </w:rPr>
  </w:style>
  <w:style w:type="character" w:customStyle="1" w:styleId="truktradokumentuChar1532">
    <w:name w:val="Štruktúra dokumentu Char1532"/>
    <w:aliases w:val="Char9 Char Char1533,Štruktúra dokumentu Char Char Char1533,Document Map Char Char Char1533"/>
    <w:basedOn w:val="Predvolenpsmoodseku"/>
    <w:uiPriority w:val="99"/>
    <w:semiHidden/>
    <w:rPr>
      <w:rFonts w:ascii="Tahoma" w:hAnsi="Tahoma" w:cs="Tahoma"/>
      <w:sz w:val="16"/>
      <w:szCs w:val="16"/>
      <w:lang w:val="x-none" w:eastAsia="cs-CZ"/>
    </w:rPr>
  </w:style>
  <w:style w:type="character" w:customStyle="1" w:styleId="truktradokumentuChar1531">
    <w:name w:val="Štruktúra dokumentu Char1531"/>
    <w:aliases w:val="Char9 Char Char1532,Štruktúra dokumentu Char Char Char1532,Document Map Char Char Char1532"/>
    <w:basedOn w:val="Predvolenpsmoodseku"/>
    <w:uiPriority w:val="99"/>
    <w:semiHidden/>
    <w:rPr>
      <w:rFonts w:ascii="Tahoma" w:hAnsi="Tahoma" w:cs="Tahoma"/>
      <w:sz w:val="16"/>
      <w:szCs w:val="16"/>
      <w:lang w:val="x-none" w:eastAsia="cs-CZ"/>
    </w:rPr>
  </w:style>
  <w:style w:type="character" w:customStyle="1" w:styleId="truktradokumentuChar1530">
    <w:name w:val="Štruktúra dokumentu Char1530"/>
    <w:aliases w:val="Char9 Char Char1531,Štruktúra dokumentu Char Char Char1531,Document Map Char Char Char1531"/>
    <w:basedOn w:val="Predvolenpsmoodseku"/>
    <w:uiPriority w:val="99"/>
    <w:semiHidden/>
    <w:rPr>
      <w:rFonts w:ascii="Tahoma" w:hAnsi="Tahoma" w:cs="Tahoma"/>
      <w:sz w:val="16"/>
      <w:szCs w:val="16"/>
      <w:lang w:val="x-none" w:eastAsia="cs-CZ"/>
    </w:rPr>
  </w:style>
  <w:style w:type="character" w:customStyle="1" w:styleId="truktradokumentuChar1529">
    <w:name w:val="Štruktúra dokumentu Char1529"/>
    <w:aliases w:val="Char9 Char Char1530,Štruktúra dokumentu Char Char Char1530,Document Map Char Char Char1530"/>
    <w:basedOn w:val="Predvolenpsmoodseku"/>
    <w:uiPriority w:val="99"/>
    <w:semiHidden/>
    <w:rPr>
      <w:rFonts w:ascii="Tahoma" w:hAnsi="Tahoma" w:cs="Tahoma"/>
      <w:sz w:val="16"/>
      <w:szCs w:val="16"/>
      <w:lang w:val="x-none" w:eastAsia="cs-CZ"/>
    </w:rPr>
  </w:style>
  <w:style w:type="character" w:customStyle="1" w:styleId="truktradokumentuChar1528">
    <w:name w:val="Štruktúra dokumentu Char1528"/>
    <w:aliases w:val="Char9 Char Char1529,Štruktúra dokumentu Char Char Char1529,Document Map Char Char Char1529"/>
    <w:basedOn w:val="Predvolenpsmoodseku"/>
    <w:uiPriority w:val="99"/>
    <w:semiHidden/>
    <w:rPr>
      <w:rFonts w:ascii="Tahoma" w:hAnsi="Tahoma" w:cs="Tahoma"/>
      <w:sz w:val="16"/>
      <w:szCs w:val="16"/>
      <w:lang w:val="x-none" w:eastAsia="cs-CZ"/>
    </w:rPr>
  </w:style>
  <w:style w:type="character" w:customStyle="1" w:styleId="truktradokumentuChar1527">
    <w:name w:val="Štruktúra dokumentu Char1527"/>
    <w:aliases w:val="Char9 Char Char1528,Štruktúra dokumentu Char Char Char1528,Document Map Char Char Char1528"/>
    <w:basedOn w:val="Predvolenpsmoodseku"/>
    <w:uiPriority w:val="99"/>
    <w:semiHidden/>
    <w:rPr>
      <w:rFonts w:ascii="Tahoma" w:hAnsi="Tahoma" w:cs="Tahoma"/>
      <w:sz w:val="16"/>
      <w:szCs w:val="16"/>
      <w:lang w:val="x-none" w:eastAsia="cs-CZ"/>
    </w:rPr>
  </w:style>
  <w:style w:type="character" w:customStyle="1" w:styleId="truktradokumentuChar1526">
    <w:name w:val="Štruktúra dokumentu Char1526"/>
    <w:aliases w:val="Char9 Char Char1527,Štruktúra dokumentu Char Char Char1527,Document Map Char Char Char1527"/>
    <w:basedOn w:val="Predvolenpsmoodseku"/>
    <w:uiPriority w:val="99"/>
    <w:semiHidden/>
    <w:rPr>
      <w:rFonts w:ascii="Tahoma" w:hAnsi="Tahoma" w:cs="Tahoma"/>
      <w:sz w:val="16"/>
      <w:szCs w:val="16"/>
      <w:lang w:val="x-none" w:eastAsia="cs-CZ"/>
    </w:rPr>
  </w:style>
  <w:style w:type="character" w:customStyle="1" w:styleId="truktradokumentuChar1525">
    <w:name w:val="Štruktúra dokumentu Char1525"/>
    <w:aliases w:val="Char9 Char Char1526,Štruktúra dokumentu Char Char Char1526,Document Map Char Char Char1526"/>
    <w:basedOn w:val="Predvolenpsmoodseku"/>
    <w:uiPriority w:val="99"/>
    <w:semiHidden/>
    <w:rPr>
      <w:rFonts w:ascii="Tahoma" w:hAnsi="Tahoma" w:cs="Tahoma"/>
      <w:sz w:val="16"/>
      <w:szCs w:val="16"/>
      <w:lang w:val="x-none" w:eastAsia="cs-CZ"/>
    </w:rPr>
  </w:style>
  <w:style w:type="character" w:customStyle="1" w:styleId="truktradokumentuChar1524">
    <w:name w:val="Štruktúra dokumentu Char1524"/>
    <w:aliases w:val="Char9 Char Char1525,Štruktúra dokumentu Char Char Char1525,Document Map Char Char Char1525"/>
    <w:basedOn w:val="Predvolenpsmoodseku"/>
    <w:uiPriority w:val="99"/>
    <w:semiHidden/>
    <w:rPr>
      <w:rFonts w:ascii="Tahoma" w:hAnsi="Tahoma" w:cs="Tahoma"/>
      <w:sz w:val="16"/>
      <w:szCs w:val="16"/>
      <w:lang w:val="x-none" w:eastAsia="cs-CZ"/>
    </w:rPr>
  </w:style>
  <w:style w:type="character" w:customStyle="1" w:styleId="truktradokumentuChar1523">
    <w:name w:val="Štruktúra dokumentu Char1523"/>
    <w:aliases w:val="Char9 Char Char1524,Štruktúra dokumentu Char Char Char1524,Document Map Char Char Char1524"/>
    <w:basedOn w:val="Predvolenpsmoodseku"/>
    <w:uiPriority w:val="99"/>
    <w:semiHidden/>
    <w:rPr>
      <w:rFonts w:ascii="Tahoma" w:hAnsi="Tahoma" w:cs="Tahoma"/>
      <w:sz w:val="16"/>
      <w:szCs w:val="16"/>
      <w:lang w:val="x-none" w:eastAsia="cs-CZ"/>
    </w:rPr>
  </w:style>
  <w:style w:type="character" w:customStyle="1" w:styleId="truktradokumentuChar1522">
    <w:name w:val="Štruktúra dokumentu Char1522"/>
    <w:aliases w:val="Char9 Char Char1523,Štruktúra dokumentu Char Char Char1523,Document Map Char Char Char1523"/>
    <w:basedOn w:val="Predvolenpsmoodseku"/>
    <w:uiPriority w:val="99"/>
    <w:semiHidden/>
    <w:rPr>
      <w:rFonts w:ascii="Tahoma" w:hAnsi="Tahoma" w:cs="Tahoma"/>
      <w:sz w:val="16"/>
      <w:szCs w:val="16"/>
      <w:lang w:val="x-none" w:eastAsia="cs-CZ"/>
    </w:rPr>
  </w:style>
  <w:style w:type="character" w:customStyle="1" w:styleId="truktradokumentuChar1521">
    <w:name w:val="Štruktúra dokumentu Char1521"/>
    <w:aliases w:val="Char9 Char Char1522,Štruktúra dokumentu Char Char Char1522,Document Map Char Char Char1522"/>
    <w:basedOn w:val="Predvolenpsmoodseku"/>
    <w:uiPriority w:val="99"/>
    <w:semiHidden/>
    <w:rPr>
      <w:rFonts w:ascii="Tahoma" w:hAnsi="Tahoma" w:cs="Tahoma"/>
      <w:sz w:val="16"/>
      <w:szCs w:val="16"/>
      <w:lang w:val="x-none" w:eastAsia="cs-CZ"/>
    </w:rPr>
  </w:style>
  <w:style w:type="character" w:customStyle="1" w:styleId="truktradokumentuChar1520">
    <w:name w:val="Štruktúra dokumentu Char1520"/>
    <w:aliases w:val="Char9 Char Char1521,Štruktúra dokumentu Char Char Char1521,Document Map Char Char Char1521"/>
    <w:basedOn w:val="Predvolenpsmoodseku"/>
    <w:uiPriority w:val="99"/>
    <w:semiHidden/>
    <w:rPr>
      <w:rFonts w:ascii="Tahoma" w:hAnsi="Tahoma" w:cs="Tahoma"/>
      <w:sz w:val="16"/>
      <w:szCs w:val="16"/>
      <w:lang w:val="x-none" w:eastAsia="cs-CZ"/>
    </w:rPr>
  </w:style>
  <w:style w:type="character" w:customStyle="1" w:styleId="truktradokumentuChar1519">
    <w:name w:val="Štruktúra dokumentu Char1519"/>
    <w:aliases w:val="Char9 Char Char1520,Štruktúra dokumentu Char Char Char1520,Document Map Char Char Char1520"/>
    <w:basedOn w:val="Predvolenpsmoodseku"/>
    <w:uiPriority w:val="99"/>
    <w:semiHidden/>
    <w:rPr>
      <w:rFonts w:ascii="Tahoma" w:hAnsi="Tahoma" w:cs="Tahoma"/>
      <w:sz w:val="16"/>
      <w:szCs w:val="16"/>
      <w:lang w:val="x-none" w:eastAsia="cs-CZ"/>
    </w:rPr>
  </w:style>
  <w:style w:type="character" w:customStyle="1" w:styleId="truktradokumentuChar1518">
    <w:name w:val="Štruktúra dokumentu Char1518"/>
    <w:aliases w:val="Char9 Char Char1519,Štruktúra dokumentu Char Char Char1519,Document Map Char Char Char1519"/>
    <w:basedOn w:val="Predvolenpsmoodseku"/>
    <w:uiPriority w:val="99"/>
    <w:semiHidden/>
    <w:rPr>
      <w:rFonts w:ascii="Tahoma" w:hAnsi="Tahoma" w:cs="Tahoma"/>
      <w:sz w:val="16"/>
      <w:szCs w:val="16"/>
      <w:lang w:val="x-none" w:eastAsia="cs-CZ"/>
    </w:rPr>
  </w:style>
  <w:style w:type="character" w:customStyle="1" w:styleId="truktradokumentuChar1517">
    <w:name w:val="Štruktúra dokumentu Char1517"/>
    <w:aliases w:val="Char9 Char Char1518,Štruktúra dokumentu Char Char Char1518,Document Map Char Char Char1518"/>
    <w:basedOn w:val="Predvolenpsmoodseku"/>
    <w:uiPriority w:val="99"/>
    <w:semiHidden/>
    <w:rPr>
      <w:rFonts w:ascii="Tahoma" w:hAnsi="Tahoma" w:cs="Tahoma"/>
      <w:sz w:val="16"/>
      <w:szCs w:val="16"/>
      <w:lang w:val="x-none" w:eastAsia="cs-CZ"/>
    </w:rPr>
  </w:style>
  <w:style w:type="character" w:customStyle="1" w:styleId="truktradokumentuChar1516">
    <w:name w:val="Štruktúra dokumentu Char1516"/>
    <w:aliases w:val="Char9 Char Char1517,Štruktúra dokumentu Char Char Char1517,Document Map Char Char Char1517"/>
    <w:basedOn w:val="Predvolenpsmoodseku"/>
    <w:uiPriority w:val="99"/>
    <w:semiHidden/>
    <w:rPr>
      <w:rFonts w:ascii="Tahoma" w:hAnsi="Tahoma" w:cs="Tahoma"/>
      <w:sz w:val="16"/>
      <w:szCs w:val="16"/>
      <w:lang w:val="x-none" w:eastAsia="cs-CZ"/>
    </w:rPr>
  </w:style>
  <w:style w:type="character" w:customStyle="1" w:styleId="truktradokumentuChar1515">
    <w:name w:val="Štruktúra dokumentu Char1515"/>
    <w:aliases w:val="Char9 Char Char1516,Štruktúra dokumentu Char Char Char1516,Document Map Char Char Char1516"/>
    <w:basedOn w:val="Predvolenpsmoodseku"/>
    <w:uiPriority w:val="99"/>
    <w:semiHidden/>
    <w:rPr>
      <w:rFonts w:ascii="Tahoma" w:hAnsi="Tahoma" w:cs="Tahoma"/>
      <w:sz w:val="16"/>
      <w:szCs w:val="16"/>
      <w:lang w:val="x-none" w:eastAsia="cs-CZ"/>
    </w:rPr>
  </w:style>
  <w:style w:type="character" w:customStyle="1" w:styleId="truktradokumentuChar1514">
    <w:name w:val="Štruktúra dokumentu Char1514"/>
    <w:aliases w:val="Char9 Char Char1515,Štruktúra dokumentu Char Char Char1515,Document Map Char Char Char1515"/>
    <w:basedOn w:val="Predvolenpsmoodseku"/>
    <w:uiPriority w:val="99"/>
    <w:semiHidden/>
    <w:rPr>
      <w:rFonts w:ascii="Tahoma" w:hAnsi="Tahoma" w:cs="Tahoma"/>
      <w:sz w:val="16"/>
      <w:szCs w:val="16"/>
      <w:lang w:val="x-none" w:eastAsia="cs-CZ"/>
    </w:rPr>
  </w:style>
  <w:style w:type="character" w:customStyle="1" w:styleId="truktradokumentuChar1513">
    <w:name w:val="Štruktúra dokumentu Char1513"/>
    <w:aliases w:val="Char9 Char Char1514,Štruktúra dokumentu Char Char Char1514,Document Map Char Char Char1514"/>
    <w:uiPriority w:val="99"/>
    <w:semiHidden/>
    <w:rPr>
      <w:rFonts w:ascii="Tahoma" w:hAnsi="Tahoma"/>
      <w:sz w:val="16"/>
      <w:lang w:val="x-none" w:eastAsia="cs-CZ"/>
    </w:rPr>
  </w:style>
  <w:style w:type="character" w:customStyle="1" w:styleId="truktradokumentuChar1512">
    <w:name w:val="Štruktúra dokumentu Char1512"/>
    <w:aliases w:val="Char9 Char Char1513,Štruktúra dokumentu Char Char Char1513,Document Map Char Char Char1513"/>
    <w:uiPriority w:val="99"/>
    <w:semiHidden/>
    <w:rPr>
      <w:rFonts w:ascii="Tahoma" w:hAnsi="Tahoma"/>
      <w:sz w:val="16"/>
      <w:lang w:val="x-none" w:eastAsia="cs-CZ"/>
    </w:rPr>
  </w:style>
  <w:style w:type="character" w:customStyle="1" w:styleId="truktradokumentuChar1511">
    <w:name w:val="Štruktúra dokumentu Char1511"/>
    <w:aliases w:val="Char9 Char Char1512,Štruktúra dokumentu Char Char Char1512,Document Map Char Char Char1512"/>
    <w:uiPriority w:val="99"/>
    <w:semiHidden/>
    <w:rPr>
      <w:rFonts w:ascii="Tahoma" w:hAnsi="Tahoma"/>
      <w:sz w:val="16"/>
      <w:lang w:val="x-none" w:eastAsia="cs-CZ"/>
    </w:rPr>
  </w:style>
  <w:style w:type="character" w:customStyle="1" w:styleId="truktradokumentuChar1510">
    <w:name w:val="Štruktúra dokumentu Char1510"/>
    <w:aliases w:val="Char9 Char Char1511,Štruktúra dokumentu Char Char Char1511,Document Map Char Char Char1511"/>
    <w:uiPriority w:val="99"/>
    <w:semiHidden/>
    <w:rPr>
      <w:rFonts w:ascii="Tahoma" w:hAnsi="Tahoma"/>
      <w:sz w:val="16"/>
      <w:lang w:val="x-none" w:eastAsia="cs-CZ"/>
    </w:rPr>
  </w:style>
  <w:style w:type="character" w:customStyle="1" w:styleId="truktradokumentuChar1509">
    <w:name w:val="Štruktúra dokumentu Char1509"/>
    <w:aliases w:val="Char9 Char Char1510,Štruktúra dokumentu Char Char Char1510,Document Map Char Char Char1510"/>
    <w:uiPriority w:val="99"/>
    <w:semiHidden/>
    <w:rPr>
      <w:rFonts w:ascii="Tahoma" w:hAnsi="Tahoma"/>
      <w:sz w:val="16"/>
      <w:lang w:val="x-none" w:eastAsia="cs-CZ"/>
    </w:rPr>
  </w:style>
  <w:style w:type="character" w:customStyle="1" w:styleId="truktradokumentuChar1508">
    <w:name w:val="Štruktúra dokumentu Char1508"/>
    <w:aliases w:val="Char9 Char Char1509,Štruktúra dokumentu Char Char Char1509,Document Map Char Char Char1509"/>
    <w:uiPriority w:val="99"/>
    <w:semiHidden/>
    <w:rPr>
      <w:rFonts w:ascii="Tahoma" w:hAnsi="Tahoma"/>
      <w:sz w:val="16"/>
      <w:lang w:val="x-none" w:eastAsia="cs-CZ"/>
    </w:rPr>
  </w:style>
  <w:style w:type="character" w:customStyle="1" w:styleId="truktradokumentuChar1507">
    <w:name w:val="Štruktúra dokumentu Char1507"/>
    <w:aliases w:val="Char9 Char Char1508,Štruktúra dokumentu Char Char Char1508,Document Map Char Char Char1508"/>
    <w:uiPriority w:val="99"/>
    <w:semiHidden/>
    <w:rPr>
      <w:rFonts w:ascii="Tahoma" w:hAnsi="Tahoma"/>
      <w:sz w:val="16"/>
      <w:lang w:val="x-none" w:eastAsia="cs-CZ"/>
    </w:rPr>
  </w:style>
  <w:style w:type="character" w:customStyle="1" w:styleId="truktradokumentuChar1506">
    <w:name w:val="Štruktúra dokumentu Char1506"/>
    <w:aliases w:val="Char9 Char Char1507,Štruktúra dokumentu Char Char Char1507,Document Map Char Char Char1507"/>
    <w:uiPriority w:val="99"/>
    <w:semiHidden/>
    <w:rPr>
      <w:rFonts w:ascii="Tahoma" w:hAnsi="Tahoma"/>
      <w:sz w:val="16"/>
      <w:lang w:val="x-none" w:eastAsia="cs-CZ"/>
    </w:rPr>
  </w:style>
  <w:style w:type="character" w:customStyle="1" w:styleId="truktradokumentuChar1505">
    <w:name w:val="Štruktúra dokumentu Char1505"/>
    <w:aliases w:val="Char9 Char Char1506,Štruktúra dokumentu Char Char Char1506,Document Map Char Char Char1506"/>
    <w:uiPriority w:val="99"/>
    <w:semiHidden/>
    <w:rPr>
      <w:rFonts w:ascii="Tahoma" w:hAnsi="Tahoma"/>
      <w:sz w:val="16"/>
      <w:lang w:val="x-none" w:eastAsia="cs-CZ"/>
    </w:rPr>
  </w:style>
  <w:style w:type="character" w:customStyle="1" w:styleId="truktradokumentuChar1504">
    <w:name w:val="Štruktúra dokumentu Char1504"/>
    <w:aliases w:val="Char9 Char Char1505,Štruktúra dokumentu Char Char Char1505,Document Map Char Char Char1505"/>
    <w:uiPriority w:val="99"/>
    <w:semiHidden/>
    <w:rPr>
      <w:rFonts w:ascii="Tahoma" w:hAnsi="Tahoma"/>
      <w:sz w:val="16"/>
      <w:lang w:val="x-none" w:eastAsia="cs-CZ"/>
    </w:rPr>
  </w:style>
  <w:style w:type="character" w:customStyle="1" w:styleId="truktradokumentuChar1503">
    <w:name w:val="Štruktúra dokumentu Char1503"/>
    <w:aliases w:val="Char9 Char Char1504,Štruktúra dokumentu Char Char Char1504,Document Map Char Char Char1504"/>
    <w:uiPriority w:val="99"/>
    <w:semiHidden/>
    <w:rPr>
      <w:rFonts w:ascii="Tahoma" w:hAnsi="Tahoma"/>
      <w:sz w:val="16"/>
      <w:lang w:val="x-none" w:eastAsia="cs-CZ"/>
    </w:rPr>
  </w:style>
  <w:style w:type="character" w:customStyle="1" w:styleId="truktradokumentuChar1502">
    <w:name w:val="Štruktúra dokumentu Char1502"/>
    <w:aliases w:val="Char9 Char Char1503,Štruktúra dokumentu Char Char Char1503,Document Map Char Char Char1503"/>
    <w:uiPriority w:val="99"/>
    <w:semiHidden/>
    <w:rPr>
      <w:rFonts w:ascii="Tahoma" w:hAnsi="Tahoma"/>
      <w:sz w:val="16"/>
      <w:lang w:val="x-none" w:eastAsia="cs-CZ"/>
    </w:rPr>
  </w:style>
  <w:style w:type="character" w:customStyle="1" w:styleId="truktradokumentuChar1501">
    <w:name w:val="Štruktúra dokumentu Char1501"/>
    <w:aliases w:val="Char9 Char Char1502,Štruktúra dokumentu Char Char Char1502,Document Map Char Char Char1502"/>
    <w:uiPriority w:val="99"/>
    <w:semiHidden/>
    <w:rPr>
      <w:rFonts w:ascii="Tahoma" w:hAnsi="Tahoma"/>
      <w:sz w:val="16"/>
      <w:lang w:val="x-none" w:eastAsia="cs-CZ"/>
    </w:rPr>
  </w:style>
  <w:style w:type="character" w:customStyle="1" w:styleId="truktradokumentuChar1500">
    <w:name w:val="Štruktúra dokumentu Char1500"/>
    <w:aliases w:val="Char9 Char Char1501,Štruktúra dokumentu Char Char Char1501,Document Map Char Char Char1501"/>
    <w:uiPriority w:val="99"/>
    <w:semiHidden/>
    <w:rPr>
      <w:rFonts w:ascii="Tahoma" w:hAnsi="Tahoma"/>
      <w:sz w:val="16"/>
      <w:lang w:val="x-none" w:eastAsia="cs-CZ"/>
    </w:rPr>
  </w:style>
  <w:style w:type="character" w:customStyle="1" w:styleId="truktradokumentuChar1499">
    <w:name w:val="Štruktúra dokumentu Char1499"/>
    <w:aliases w:val="Char9 Char Char1500,Štruktúra dokumentu Char Char Char1500,Document Map Char Char Char1500"/>
    <w:uiPriority w:val="99"/>
    <w:semiHidden/>
    <w:rPr>
      <w:rFonts w:ascii="Tahoma" w:hAnsi="Tahoma"/>
      <w:sz w:val="16"/>
      <w:lang w:val="x-none" w:eastAsia="cs-CZ"/>
    </w:rPr>
  </w:style>
  <w:style w:type="character" w:customStyle="1" w:styleId="truktradokumentuChar1498">
    <w:name w:val="Štruktúra dokumentu Char1498"/>
    <w:aliases w:val="Char9 Char Char1499,Štruktúra dokumentu Char Char Char1499,Document Map Char Char Char1499"/>
    <w:uiPriority w:val="99"/>
    <w:semiHidden/>
    <w:rPr>
      <w:rFonts w:ascii="Tahoma" w:hAnsi="Tahoma"/>
      <w:sz w:val="16"/>
      <w:lang w:val="x-none" w:eastAsia="cs-CZ"/>
    </w:rPr>
  </w:style>
  <w:style w:type="character" w:customStyle="1" w:styleId="truktradokumentuChar1497">
    <w:name w:val="Štruktúra dokumentu Char1497"/>
    <w:aliases w:val="Char9 Char Char1498,Štruktúra dokumentu Char Char Char1498,Document Map Char Char Char1498"/>
    <w:uiPriority w:val="99"/>
    <w:semiHidden/>
    <w:rPr>
      <w:rFonts w:ascii="Tahoma" w:hAnsi="Tahoma"/>
      <w:sz w:val="16"/>
      <w:lang w:val="x-none" w:eastAsia="cs-CZ"/>
    </w:rPr>
  </w:style>
  <w:style w:type="character" w:customStyle="1" w:styleId="truktradokumentuChar1496">
    <w:name w:val="Štruktúra dokumentu Char1496"/>
    <w:aliases w:val="Char9 Char Char1497,Štruktúra dokumentu Char Char Char1497,Document Map Char Char Char1497"/>
    <w:uiPriority w:val="99"/>
    <w:semiHidden/>
    <w:rPr>
      <w:rFonts w:ascii="Tahoma" w:hAnsi="Tahoma"/>
      <w:sz w:val="16"/>
      <w:lang w:val="x-none" w:eastAsia="cs-CZ"/>
    </w:rPr>
  </w:style>
  <w:style w:type="character" w:customStyle="1" w:styleId="truktradokumentuChar1495">
    <w:name w:val="Štruktúra dokumentu Char1495"/>
    <w:aliases w:val="Char9 Char Char1496,Štruktúra dokumentu Char Char Char1496,Document Map Char Char Char1496"/>
    <w:uiPriority w:val="99"/>
    <w:semiHidden/>
    <w:rPr>
      <w:rFonts w:ascii="Tahoma" w:hAnsi="Tahoma"/>
      <w:sz w:val="16"/>
      <w:lang w:val="x-none" w:eastAsia="cs-CZ"/>
    </w:rPr>
  </w:style>
  <w:style w:type="character" w:customStyle="1" w:styleId="truktradokumentuChar1494">
    <w:name w:val="Štruktúra dokumentu Char1494"/>
    <w:aliases w:val="Char9 Char Char1495,Štruktúra dokumentu Char Char Char1495,Document Map Char Char Char1495"/>
    <w:uiPriority w:val="99"/>
    <w:semiHidden/>
    <w:rPr>
      <w:rFonts w:ascii="Tahoma" w:hAnsi="Tahoma"/>
      <w:sz w:val="16"/>
      <w:lang w:val="x-none" w:eastAsia="cs-CZ"/>
    </w:rPr>
  </w:style>
  <w:style w:type="character" w:customStyle="1" w:styleId="truktradokumentuChar1493">
    <w:name w:val="Štruktúra dokumentu Char1493"/>
    <w:aliases w:val="Char9 Char Char1494,Štruktúra dokumentu Char Char Char1494,Document Map Char Char Char1494"/>
    <w:uiPriority w:val="99"/>
    <w:semiHidden/>
    <w:rPr>
      <w:rFonts w:ascii="Tahoma" w:hAnsi="Tahoma"/>
      <w:sz w:val="16"/>
      <w:lang w:val="x-none" w:eastAsia="cs-CZ"/>
    </w:rPr>
  </w:style>
  <w:style w:type="character" w:customStyle="1" w:styleId="truktradokumentuChar1492">
    <w:name w:val="Štruktúra dokumentu Char1492"/>
    <w:aliases w:val="Char9 Char Char1493,Štruktúra dokumentu Char Char Char1493,Document Map Char Char Char1493"/>
    <w:uiPriority w:val="99"/>
    <w:semiHidden/>
    <w:rPr>
      <w:rFonts w:ascii="Tahoma" w:hAnsi="Tahoma"/>
      <w:sz w:val="16"/>
      <w:lang w:val="x-none" w:eastAsia="cs-CZ"/>
    </w:rPr>
  </w:style>
  <w:style w:type="character" w:customStyle="1" w:styleId="truktradokumentuChar1491">
    <w:name w:val="Štruktúra dokumentu Char1491"/>
    <w:aliases w:val="Char9 Char Char1492,Štruktúra dokumentu Char Char Char1492,Document Map Char Char Char1492"/>
    <w:uiPriority w:val="99"/>
    <w:semiHidden/>
    <w:rPr>
      <w:rFonts w:ascii="Tahoma" w:hAnsi="Tahoma"/>
      <w:sz w:val="16"/>
      <w:lang w:val="x-none" w:eastAsia="cs-CZ"/>
    </w:rPr>
  </w:style>
  <w:style w:type="character" w:customStyle="1" w:styleId="truktradokumentuChar1490">
    <w:name w:val="Štruktúra dokumentu Char1490"/>
    <w:aliases w:val="Char9 Char Char1491,Štruktúra dokumentu Char Char Char1491,Document Map Char Char Char1491"/>
    <w:uiPriority w:val="99"/>
    <w:semiHidden/>
    <w:rPr>
      <w:rFonts w:ascii="Tahoma" w:hAnsi="Tahoma"/>
      <w:sz w:val="16"/>
      <w:lang w:val="x-none" w:eastAsia="cs-CZ"/>
    </w:rPr>
  </w:style>
  <w:style w:type="character" w:customStyle="1" w:styleId="truktradokumentuChar1489">
    <w:name w:val="Štruktúra dokumentu Char1489"/>
    <w:aliases w:val="Char9 Char Char1490,Štruktúra dokumentu Char Char Char1490,Document Map Char Char Char1490"/>
    <w:uiPriority w:val="99"/>
    <w:semiHidden/>
    <w:rPr>
      <w:rFonts w:ascii="Tahoma" w:hAnsi="Tahoma"/>
      <w:sz w:val="16"/>
      <w:lang w:val="x-none" w:eastAsia="cs-CZ"/>
    </w:rPr>
  </w:style>
  <w:style w:type="character" w:customStyle="1" w:styleId="truktradokumentuChar1488">
    <w:name w:val="Štruktúra dokumentu Char1488"/>
    <w:aliases w:val="Char9 Char Char1489,Štruktúra dokumentu Char Char Char1489,Document Map Char Char Char1489"/>
    <w:uiPriority w:val="99"/>
    <w:semiHidden/>
    <w:rPr>
      <w:rFonts w:ascii="Tahoma" w:hAnsi="Tahoma"/>
      <w:sz w:val="16"/>
      <w:lang w:val="x-none" w:eastAsia="cs-CZ"/>
    </w:rPr>
  </w:style>
  <w:style w:type="character" w:customStyle="1" w:styleId="truktradokumentuChar1487">
    <w:name w:val="Štruktúra dokumentu Char1487"/>
    <w:aliases w:val="Char9 Char Char1488,Štruktúra dokumentu Char Char Char1488,Document Map Char Char Char1488"/>
    <w:uiPriority w:val="99"/>
    <w:semiHidden/>
    <w:rPr>
      <w:rFonts w:ascii="Tahoma" w:hAnsi="Tahoma"/>
      <w:sz w:val="16"/>
      <w:lang w:val="x-none" w:eastAsia="cs-CZ"/>
    </w:rPr>
  </w:style>
  <w:style w:type="character" w:customStyle="1" w:styleId="truktradokumentuChar1486">
    <w:name w:val="Štruktúra dokumentu Char1486"/>
    <w:aliases w:val="Char9 Char Char1487,Štruktúra dokumentu Char Char Char1487,Document Map Char Char Char1487"/>
    <w:uiPriority w:val="99"/>
    <w:semiHidden/>
    <w:rPr>
      <w:rFonts w:ascii="Tahoma" w:hAnsi="Tahoma"/>
      <w:sz w:val="16"/>
      <w:lang w:val="x-none" w:eastAsia="cs-CZ"/>
    </w:rPr>
  </w:style>
  <w:style w:type="character" w:customStyle="1" w:styleId="truktradokumentuChar1485">
    <w:name w:val="Štruktúra dokumentu Char1485"/>
    <w:aliases w:val="Char9 Char Char1486,Štruktúra dokumentu Char Char Char1486,Document Map Char Char Char1486"/>
    <w:uiPriority w:val="99"/>
    <w:semiHidden/>
    <w:rPr>
      <w:rFonts w:ascii="Tahoma" w:hAnsi="Tahoma"/>
      <w:sz w:val="16"/>
      <w:lang w:val="x-none" w:eastAsia="cs-CZ"/>
    </w:rPr>
  </w:style>
  <w:style w:type="character" w:customStyle="1" w:styleId="truktradokumentuChar1484">
    <w:name w:val="Štruktúra dokumentu Char1484"/>
    <w:aliases w:val="Char9 Char Char1485,Štruktúra dokumentu Char Char Char1485,Document Map Char Char Char1485"/>
    <w:uiPriority w:val="99"/>
    <w:semiHidden/>
    <w:rPr>
      <w:rFonts w:ascii="Tahoma" w:hAnsi="Tahoma"/>
      <w:sz w:val="16"/>
      <w:lang w:val="x-none" w:eastAsia="cs-CZ"/>
    </w:rPr>
  </w:style>
  <w:style w:type="character" w:customStyle="1" w:styleId="truktradokumentuChar1483">
    <w:name w:val="Štruktúra dokumentu Char1483"/>
    <w:aliases w:val="Char9 Char Char1484,Štruktúra dokumentu Char Char Char1484,Document Map Char Char Char1484"/>
    <w:uiPriority w:val="99"/>
    <w:semiHidden/>
    <w:rPr>
      <w:rFonts w:ascii="Tahoma" w:hAnsi="Tahoma"/>
      <w:sz w:val="16"/>
      <w:lang w:val="x-none" w:eastAsia="cs-CZ"/>
    </w:rPr>
  </w:style>
  <w:style w:type="character" w:customStyle="1" w:styleId="truktradokumentuChar1482">
    <w:name w:val="Štruktúra dokumentu Char1482"/>
    <w:aliases w:val="Char9 Char Char1483,Štruktúra dokumentu Char Char Char1483,Document Map Char Char Char1483"/>
    <w:uiPriority w:val="99"/>
    <w:semiHidden/>
    <w:rPr>
      <w:rFonts w:ascii="Tahoma" w:hAnsi="Tahoma"/>
      <w:sz w:val="16"/>
      <w:lang w:val="x-none" w:eastAsia="cs-CZ"/>
    </w:rPr>
  </w:style>
  <w:style w:type="character" w:customStyle="1" w:styleId="truktradokumentuChar1481">
    <w:name w:val="Štruktúra dokumentu Char1481"/>
    <w:aliases w:val="Char9 Char Char1482,Štruktúra dokumentu Char Char Char1482,Document Map Char Char Char1482"/>
    <w:uiPriority w:val="99"/>
    <w:semiHidden/>
    <w:rPr>
      <w:rFonts w:ascii="Tahoma" w:hAnsi="Tahoma"/>
      <w:sz w:val="16"/>
      <w:lang w:val="x-none" w:eastAsia="cs-CZ"/>
    </w:rPr>
  </w:style>
  <w:style w:type="character" w:customStyle="1" w:styleId="truktradokumentuChar1480">
    <w:name w:val="Štruktúra dokumentu Char1480"/>
    <w:aliases w:val="Char9 Char Char1481,Štruktúra dokumentu Char Char Char1481,Document Map Char Char Char1481"/>
    <w:uiPriority w:val="99"/>
    <w:semiHidden/>
    <w:rPr>
      <w:rFonts w:ascii="Tahoma" w:hAnsi="Tahoma"/>
      <w:sz w:val="16"/>
      <w:lang w:val="x-none" w:eastAsia="cs-CZ"/>
    </w:rPr>
  </w:style>
  <w:style w:type="character" w:customStyle="1" w:styleId="truktradokumentuChar1479">
    <w:name w:val="Štruktúra dokumentu Char1479"/>
    <w:aliases w:val="Char9 Char Char1480,Štruktúra dokumentu Char Char Char1480,Document Map Char Char Char1480"/>
    <w:uiPriority w:val="99"/>
    <w:semiHidden/>
    <w:rPr>
      <w:rFonts w:ascii="Tahoma" w:hAnsi="Tahoma"/>
      <w:sz w:val="16"/>
      <w:lang w:val="x-none" w:eastAsia="cs-CZ"/>
    </w:rPr>
  </w:style>
  <w:style w:type="character" w:customStyle="1" w:styleId="truktradokumentuChar1478">
    <w:name w:val="Štruktúra dokumentu Char1478"/>
    <w:aliases w:val="Char9 Char Char1479,Štruktúra dokumentu Char Char Char1479,Document Map Char Char Char1479"/>
    <w:uiPriority w:val="99"/>
    <w:semiHidden/>
    <w:rPr>
      <w:rFonts w:ascii="Tahoma" w:hAnsi="Tahoma"/>
      <w:sz w:val="16"/>
      <w:lang w:val="x-none" w:eastAsia="cs-CZ"/>
    </w:rPr>
  </w:style>
  <w:style w:type="character" w:customStyle="1" w:styleId="truktradokumentuChar1477">
    <w:name w:val="Štruktúra dokumentu Char1477"/>
    <w:aliases w:val="Char9 Char Char1478,Štruktúra dokumentu Char Char Char1478,Document Map Char Char Char1478"/>
    <w:uiPriority w:val="99"/>
    <w:semiHidden/>
    <w:rPr>
      <w:rFonts w:ascii="Tahoma" w:hAnsi="Tahoma"/>
      <w:sz w:val="16"/>
      <w:lang w:val="x-none" w:eastAsia="cs-CZ"/>
    </w:rPr>
  </w:style>
  <w:style w:type="character" w:customStyle="1" w:styleId="truktradokumentuChar1476">
    <w:name w:val="Štruktúra dokumentu Char1476"/>
    <w:aliases w:val="Char9 Char Char1477,Štruktúra dokumentu Char Char Char1477,Document Map Char Char Char1477"/>
    <w:uiPriority w:val="99"/>
    <w:semiHidden/>
    <w:rPr>
      <w:rFonts w:ascii="Tahoma" w:hAnsi="Tahoma"/>
      <w:sz w:val="16"/>
      <w:lang w:val="x-none" w:eastAsia="cs-CZ"/>
    </w:rPr>
  </w:style>
  <w:style w:type="character" w:customStyle="1" w:styleId="truktradokumentuChar1475">
    <w:name w:val="Štruktúra dokumentu Char1475"/>
    <w:aliases w:val="Char9 Char Char1476,Štruktúra dokumentu Char Char Char1476,Document Map Char Char Char1476"/>
    <w:uiPriority w:val="99"/>
    <w:semiHidden/>
    <w:rPr>
      <w:rFonts w:ascii="Tahoma" w:hAnsi="Tahoma"/>
      <w:sz w:val="16"/>
      <w:lang w:val="x-none" w:eastAsia="cs-CZ"/>
    </w:rPr>
  </w:style>
  <w:style w:type="character" w:customStyle="1" w:styleId="truktradokumentuChar1474">
    <w:name w:val="Štruktúra dokumentu Char1474"/>
    <w:aliases w:val="Char9 Char Char1475,Štruktúra dokumentu Char Char Char1475,Document Map Char Char Char1475"/>
    <w:uiPriority w:val="99"/>
    <w:semiHidden/>
    <w:rPr>
      <w:rFonts w:ascii="Tahoma" w:hAnsi="Tahoma"/>
      <w:sz w:val="16"/>
      <w:lang w:val="x-none" w:eastAsia="cs-CZ"/>
    </w:rPr>
  </w:style>
  <w:style w:type="character" w:customStyle="1" w:styleId="truktradokumentuChar1473">
    <w:name w:val="Štruktúra dokumentu Char1473"/>
    <w:aliases w:val="Char9 Char Char1474,Štruktúra dokumentu Char Char Char1474,Document Map Char Char Char1474"/>
    <w:uiPriority w:val="99"/>
    <w:semiHidden/>
    <w:rPr>
      <w:rFonts w:ascii="Tahoma" w:hAnsi="Tahoma"/>
      <w:sz w:val="16"/>
      <w:lang w:val="x-none" w:eastAsia="cs-CZ"/>
    </w:rPr>
  </w:style>
  <w:style w:type="character" w:customStyle="1" w:styleId="truktradokumentuChar1472">
    <w:name w:val="Štruktúra dokumentu Char1472"/>
    <w:aliases w:val="Char9 Char Char1473,Štruktúra dokumentu Char Char Char1473,Document Map Char Char Char1473"/>
    <w:uiPriority w:val="99"/>
    <w:semiHidden/>
    <w:rPr>
      <w:rFonts w:ascii="Tahoma" w:hAnsi="Tahoma"/>
      <w:sz w:val="16"/>
      <w:lang w:val="x-none" w:eastAsia="cs-CZ"/>
    </w:rPr>
  </w:style>
  <w:style w:type="character" w:customStyle="1" w:styleId="truktradokumentuChar1471">
    <w:name w:val="Štruktúra dokumentu Char1471"/>
    <w:aliases w:val="Char9 Char Char1472,Štruktúra dokumentu Char Char Char1472,Document Map Char Char Char1472"/>
    <w:uiPriority w:val="99"/>
    <w:semiHidden/>
    <w:rPr>
      <w:rFonts w:ascii="Tahoma" w:hAnsi="Tahoma"/>
      <w:sz w:val="16"/>
      <w:lang w:val="x-none" w:eastAsia="cs-CZ"/>
    </w:rPr>
  </w:style>
  <w:style w:type="character" w:customStyle="1" w:styleId="truktradokumentuChar1470">
    <w:name w:val="Štruktúra dokumentu Char1470"/>
    <w:aliases w:val="Char9 Char Char1471,Štruktúra dokumentu Char Char Char1471,Document Map Char Char Char1471"/>
    <w:uiPriority w:val="99"/>
    <w:semiHidden/>
    <w:rPr>
      <w:rFonts w:ascii="Tahoma" w:hAnsi="Tahoma"/>
      <w:sz w:val="16"/>
      <w:lang w:val="x-none" w:eastAsia="cs-CZ"/>
    </w:rPr>
  </w:style>
  <w:style w:type="character" w:customStyle="1" w:styleId="truktradokumentuChar1469">
    <w:name w:val="Štruktúra dokumentu Char1469"/>
    <w:aliases w:val="Char9 Char Char1470,Štruktúra dokumentu Char Char Char1470,Document Map Char Char Char1470"/>
    <w:uiPriority w:val="99"/>
    <w:semiHidden/>
    <w:rPr>
      <w:rFonts w:ascii="Tahoma" w:hAnsi="Tahoma"/>
      <w:sz w:val="16"/>
      <w:lang w:val="x-none" w:eastAsia="cs-CZ"/>
    </w:rPr>
  </w:style>
  <w:style w:type="character" w:customStyle="1" w:styleId="truktradokumentuChar1468">
    <w:name w:val="Štruktúra dokumentu Char1468"/>
    <w:aliases w:val="Char9 Char Char1469,Štruktúra dokumentu Char Char Char1469,Document Map Char Char Char1469"/>
    <w:uiPriority w:val="99"/>
    <w:semiHidden/>
    <w:rPr>
      <w:rFonts w:ascii="Tahoma" w:hAnsi="Tahoma"/>
      <w:sz w:val="16"/>
      <w:lang w:val="x-none" w:eastAsia="cs-CZ"/>
    </w:rPr>
  </w:style>
  <w:style w:type="character" w:customStyle="1" w:styleId="truktradokumentuChar1467">
    <w:name w:val="Štruktúra dokumentu Char1467"/>
    <w:aliases w:val="Char9 Char Char1468,Štruktúra dokumentu Char Char Char1468,Document Map Char Char Char1468"/>
    <w:uiPriority w:val="99"/>
    <w:semiHidden/>
    <w:rPr>
      <w:rFonts w:ascii="Tahoma" w:hAnsi="Tahoma"/>
      <w:sz w:val="16"/>
      <w:lang w:val="x-none" w:eastAsia="cs-CZ"/>
    </w:rPr>
  </w:style>
  <w:style w:type="character" w:customStyle="1" w:styleId="truktradokumentuChar1466">
    <w:name w:val="Štruktúra dokumentu Char1466"/>
    <w:aliases w:val="Char9 Char Char1467,Štruktúra dokumentu Char Char Char1467,Document Map Char Char Char1467"/>
    <w:uiPriority w:val="99"/>
    <w:semiHidden/>
    <w:rPr>
      <w:rFonts w:ascii="Tahoma" w:hAnsi="Tahoma"/>
      <w:sz w:val="16"/>
      <w:lang w:val="x-none" w:eastAsia="cs-CZ"/>
    </w:rPr>
  </w:style>
  <w:style w:type="character" w:customStyle="1" w:styleId="truktradokumentuChar1465">
    <w:name w:val="Štruktúra dokumentu Char1465"/>
    <w:aliases w:val="Char9 Char Char1466,Štruktúra dokumentu Char Char Char1466,Document Map Char Char Char1466"/>
    <w:uiPriority w:val="99"/>
    <w:semiHidden/>
    <w:rPr>
      <w:rFonts w:ascii="Tahoma" w:hAnsi="Tahoma"/>
      <w:sz w:val="16"/>
      <w:lang w:val="x-none" w:eastAsia="cs-CZ"/>
    </w:rPr>
  </w:style>
  <w:style w:type="character" w:customStyle="1" w:styleId="truktradokumentuChar1464">
    <w:name w:val="Štruktúra dokumentu Char1464"/>
    <w:aliases w:val="Char9 Char Char1465,Štruktúra dokumentu Char Char Char1465,Document Map Char Char Char1465"/>
    <w:uiPriority w:val="99"/>
    <w:semiHidden/>
    <w:rPr>
      <w:rFonts w:ascii="Tahoma" w:hAnsi="Tahoma"/>
      <w:sz w:val="16"/>
      <w:lang w:val="x-none" w:eastAsia="cs-CZ"/>
    </w:rPr>
  </w:style>
  <w:style w:type="character" w:customStyle="1" w:styleId="truktradokumentuChar1463">
    <w:name w:val="Štruktúra dokumentu Char1463"/>
    <w:aliases w:val="Char9 Char Char1464,Štruktúra dokumentu Char Char Char1464,Document Map Char Char Char1464"/>
    <w:uiPriority w:val="99"/>
    <w:semiHidden/>
    <w:rPr>
      <w:rFonts w:ascii="Tahoma" w:hAnsi="Tahoma"/>
      <w:sz w:val="16"/>
      <w:lang w:val="x-none" w:eastAsia="cs-CZ"/>
    </w:rPr>
  </w:style>
  <w:style w:type="character" w:customStyle="1" w:styleId="truktradokumentuChar1462">
    <w:name w:val="Štruktúra dokumentu Char1462"/>
    <w:aliases w:val="Char9 Char Char1463,Štruktúra dokumentu Char Char Char1463,Document Map Char Char Char1463"/>
    <w:uiPriority w:val="99"/>
    <w:semiHidden/>
    <w:rPr>
      <w:rFonts w:ascii="Tahoma" w:hAnsi="Tahoma"/>
      <w:sz w:val="16"/>
      <w:lang w:val="x-none" w:eastAsia="cs-CZ"/>
    </w:rPr>
  </w:style>
  <w:style w:type="character" w:customStyle="1" w:styleId="truktradokumentuChar1461">
    <w:name w:val="Štruktúra dokumentu Char1461"/>
    <w:aliases w:val="Char9 Char Char1462,Štruktúra dokumentu Char Char Char1462,Document Map Char Char Char1462"/>
    <w:uiPriority w:val="99"/>
    <w:semiHidden/>
    <w:rPr>
      <w:rFonts w:ascii="Tahoma" w:hAnsi="Tahoma"/>
      <w:sz w:val="16"/>
      <w:lang w:val="x-none" w:eastAsia="cs-CZ"/>
    </w:rPr>
  </w:style>
  <w:style w:type="character" w:customStyle="1" w:styleId="truktradokumentuChar1460">
    <w:name w:val="Štruktúra dokumentu Char1460"/>
    <w:aliases w:val="Char9 Char Char1461,Štruktúra dokumentu Char Char Char1461,Document Map Char Char Char1461"/>
    <w:uiPriority w:val="99"/>
    <w:semiHidden/>
    <w:rPr>
      <w:rFonts w:ascii="Tahoma" w:hAnsi="Tahoma"/>
      <w:sz w:val="16"/>
      <w:lang w:val="x-none" w:eastAsia="cs-CZ"/>
    </w:rPr>
  </w:style>
  <w:style w:type="character" w:customStyle="1" w:styleId="truktradokumentuChar1459">
    <w:name w:val="Štruktúra dokumentu Char1459"/>
    <w:aliases w:val="Char9 Char Char1460,Štruktúra dokumentu Char Char Char1460,Document Map Char Char Char1460"/>
    <w:uiPriority w:val="99"/>
    <w:semiHidden/>
    <w:rPr>
      <w:rFonts w:ascii="Tahoma" w:hAnsi="Tahoma"/>
      <w:sz w:val="16"/>
      <w:lang w:val="x-none" w:eastAsia="cs-CZ"/>
    </w:rPr>
  </w:style>
  <w:style w:type="character" w:customStyle="1" w:styleId="truktradokumentuChar1458">
    <w:name w:val="Štruktúra dokumentu Char1458"/>
    <w:aliases w:val="Char9 Char Char1459,Štruktúra dokumentu Char Char Char1459,Document Map Char Char Char1459"/>
    <w:uiPriority w:val="99"/>
    <w:semiHidden/>
    <w:rPr>
      <w:rFonts w:ascii="Tahoma" w:hAnsi="Tahoma"/>
      <w:sz w:val="16"/>
      <w:lang w:val="x-none" w:eastAsia="cs-CZ"/>
    </w:rPr>
  </w:style>
  <w:style w:type="character" w:customStyle="1" w:styleId="truktradokumentuChar1457">
    <w:name w:val="Štruktúra dokumentu Char1457"/>
    <w:aliases w:val="Char9 Char Char1458,Štruktúra dokumentu Char Char Char1458,Document Map Char Char Char1458"/>
    <w:uiPriority w:val="99"/>
    <w:semiHidden/>
    <w:rPr>
      <w:rFonts w:ascii="Tahoma" w:hAnsi="Tahoma"/>
      <w:sz w:val="16"/>
      <w:lang w:val="x-none" w:eastAsia="cs-CZ"/>
    </w:rPr>
  </w:style>
  <w:style w:type="character" w:customStyle="1" w:styleId="truktradokumentuChar1456">
    <w:name w:val="Štruktúra dokumentu Char1456"/>
    <w:aliases w:val="Char9 Char Char1457,Štruktúra dokumentu Char Char Char1457,Document Map Char Char Char1457"/>
    <w:uiPriority w:val="99"/>
    <w:semiHidden/>
    <w:rPr>
      <w:rFonts w:ascii="Tahoma" w:hAnsi="Tahoma"/>
      <w:sz w:val="16"/>
      <w:lang w:val="x-none" w:eastAsia="cs-CZ"/>
    </w:rPr>
  </w:style>
  <w:style w:type="character" w:customStyle="1" w:styleId="truktradokumentuChar1455">
    <w:name w:val="Štruktúra dokumentu Char1455"/>
    <w:aliases w:val="Char9 Char Char1456,Štruktúra dokumentu Char Char Char1456,Document Map Char Char Char1456"/>
    <w:uiPriority w:val="99"/>
    <w:semiHidden/>
    <w:rPr>
      <w:rFonts w:ascii="Tahoma" w:hAnsi="Tahoma"/>
      <w:sz w:val="16"/>
      <w:lang w:val="x-none" w:eastAsia="cs-CZ"/>
    </w:rPr>
  </w:style>
  <w:style w:type="character" w:customStyle="1" w:styleId="truktradokumentuChar1454">
    <w:name w:val="Štruktúra dokumentu Char1454"/>
    <w:aliases w:val="Char9 Char Char1455,Štruktúra dokumentu Char Char Char1455,Document Map Char Char Char1455"/>
    <w:uiPriority w:val="99"/>
    <w:semiHidden/>
    <w:rPr>
      <w:rFonts w:ascii="Tahoma" w:hAnsi="Tahoma"/>
      <w:sz w:val="16"/>
      <w:lang w:val="x-none" w:eastAsia="cs-CZ"/>
    </w:rPr>
  </w:style>
  <w:style w:type="character" w:customStyle="1" w:styleId="truktradokumentuChar1453">
    <w:name w:val="Štruktúra dokumentu Char1453"/>
    <w:aliases w:val="Char9 Char Char1454,Štruktúra dokumentu Char Char Char1454,Document Map Char Char Char1454"/>
    <w:uiPriority w:val="99"/>
    <w:semiHidden/>
    <w:rPr>
      <w:rFonts w:ascii="Tahoma" w:hAnsi="Tahoma"/>
      <w:sz w:val="16"/>
      <w:lang w:val="x-none" w:eastAsia="cs-CZ"/>
    </w:rPr>
  </w:style>
  <w:style w:type="character" w:customStyle="1" w:styleId="truktradokumentuChar1452">
    <w:name w:val="Štruktúra dokumentu Char1452"/>
    <w:aliases w:val="Char9 Char Char1453,Štruktúra dokumentu Char Char Char1453,Document Map Char Char Char1453"/>
    <w:uiPriority w:val="99"/>
    <w:semiHidden/>
    <w:rPr>
      <w:rFonts w:ascii="Tahoma" w:hAnsi="Tahoma"/>
      <w:sz w:val="16"/>
      <w:lang w:val="x-none" w:eastAsia="cs-CZ"/>
    </w:rPr>
  </w:style>
  <w:style w:type="character" w:customStyle="1" w:styleId="truktradokumentuChar1451">
    <w:name w:val="Štruktúra dokumentu Char1451"/>
    <w:aliases w:val="Char9 Char Char1452,Štruktúra dokumentu Char Char Char1452,Document Map Char Char Char1452"/>
    <w:uiPriority w:val="99"/>
    <w:semiHidden/>
    <w:rPr>
      <w:rFonts w:ascii="Tahoma" w:hAnsi="Tahoma"/>
      <w:sz w:val="16"/>
      <w:lang w:val="x-none" w:eastAsia="cs-CZ"/>
    </w:rPr>
  </w:style>
  <w:style w:type="character" w:customStyle="1" w:styleId="truktradokumentuChar1450">
    <w:name w:val="Štruktúra dokumentu Char1450"/>
    <w:aliases w:val="Char9 Char Char1451,Štruktúra dokumentu Char Char Char1451,Document Map Char Char Char1451"/>
    <w:uiPriority w:val="99"/>
    <w:semiHidden/>
    <w:rPr>
      <w:rFonts w:ascii="Tahoma" w:hAnsi="Tahoma"/>
      <w:sz w:val="16"/>
      <w:lang w:val="x-none" w:eastAsia="cs-CZ"/>
    </w:rPr>
  </w:style>
  <w:style w:type="character" w:customStyle="1" w:styleId="truktradokumentuChar1449">
    <w:name w:val="Štruktúra dokumentu Char1449"/>
    <w:aliases w:val="Char9 Char Char1450,Štruktúra dokumentu Char Char Char1450,Document Map Char Char Char1450"/>
    <w:uiPriority w:val="99"/>
    <w:semiHidden/>
    <w:rPr>
      <w:rFonts w:ascii="Tahoma" w:hAnsi="Tahoma"/>
      <w:sz w:val="16"/>
      <w:lang w:val="x-none" w:eastAsia="cs-CZ"/>
    </w:rPr>
  </w:style>
  <w:style w:type="character" w:customStyle="1" w:styleId="truktradokumentuChar1448">
    <w:name w:val="Štruktúra dokumentu Char1448"/>
    <w:aliases w:val="Char9 Char Char1449,Štruktúra dokumentu Char Char Char1449,Document Map Char Char Char1449"/>
    <w:uiPriority w:val="99"/>
    <w:semiHidden/>
    <w:rPr>
      <w:rFonts w:ascii="Tahoma" w:hAnsi="Tahoma"/>
      <w:sz w:val="16"/>
      <w:lang w:val="x-none" w:eastAsia="cs-CZ"/>
    </w:rPr>
  </w:style>
  <w:style w:type="character" w:customStyle="1" w:styleId="truktradokumentuChar1447">
    <w:name w:val="Štruktúra dokumentu Char1447"/>
    <w:aliases w:val="Char9 Char Char1448,Štruktúra dokumentu Char Char Char1448,Document Map Char Char Char1448"/>
    <w:uiPriority w:val="99"/>
    <w:semiHidden/>
    <w:rPr>
      <w:rFonts w:ascii="Tahoma" w:hAnsi="Tahoma"/>
      <w:sz w:val="16"/>
      <w:lang w:val="x-none" w:eastAsia="cs-CZ"/>
    </w:rPr>
  </w:style>
  <w:style w:type="character" w:customStyle="1" w:styleId="truktradokumentuChar1446">
    <w:name w:val="Štruktúra dokumentu Char1446"/>
    <w:aliases w:val="Char9 Char Char1447,Štruktúra dokumentu Char Char Char1447,Document Map Char Char Char1447"/>
    <w:uiPriority w:val="99"/>
    <w:semiHidden/>
    <w:rPr>
      <w:rFonts w:ascii="Tahoma" w:hAnsi="Tahoma"/>
      <w:sz w:val="16"/>
      <w:lang w:val="x-none" w:eastAsia="cs-CZ"/>
    </w:rPr>
  </w:style>
  <w:style w:type="character" w:customStyle="1" w:styleId="truktradokumentuChar1445">
    <w:name w:val="Štruktúra dokumentu Char1445"/>
    <w:aliases w:val="Char9 Char Char1446,Štruktúra dokumentu Char Char Char1446,Document Map Char Char Char1446"/>
    <w:uiPriority w:val="99"/>
    <w:semiHidden/>
    <w:rPr>
      <w:rFonts w:ascii="Tahoma" w:hAnsi="Tahoma"/>
      <w:sz w:val="16"/>
      <w:lang w:val="x-none" w:eastAsia="cs-CZ"/>
    </w:rPr>
  </w:style>
  <w:style w:type="character" w:customStyle="1" w:styleId="truktradokumentuChar1444">
    <w:name w:val="Štruktúra dokumentu Char1444"/>
    <w:aliases w:val="Char9 Char Char1445,Štruktúra dokumentu Char Char Char1445,Document Map Char Char Char1445"/>
    <w:uiPriority w:val="99"/>
    <w:semiHidden/>
    <w:rPr>
      <w:rFonts w:ascii="Tahoma" w:hAnsi="Tahoma"/>
      <w:sz w:val="16"/>
      <w:lang w:val="x-none" w:eastAsia="cs-CZ"/>
    </w:rPr>
  </w:style>
  <w:style w:type="character" w:customStyle="1" w:styleId="truktradokumentuChar1443">
    <w:name w:val="Štruktúra dokumentu Char1443"/>
    <w:aliases w:val="Char9 Char Char1444,Štruktúra dokumentu Char Char Char1444,Document Map Char Char Char1444"/>
    <w:uiPriority w:val="99"/>
    <w:semiHidden/>
    <w:rPr>
      <w:rFonts w:ascii="Tahoma" w:hAnsi="Tahoma"/>
      <w:sz w:val="16"/>
      <w:lang w:val="x-none" w:eastAsia="cs-CZ"/>
    </w:rPr>
  </w:style>
  <w:style w:type="character" w:customStyle="1" w:styleId="truktradokumentuChar1442">
    <w:name w:val="Štruktúra dokumentu Char1442"/>
    <w:aliases w:val="Char9 Char Char1443,Štruktúra dokumentu Char Char Char1443,Document Map Char Char Char1443"/>
    <w:uiPriority w:val="99"/>
    <w:semiHidden/>
    <w:rPr>
      <w:rFonts w:ascii="Tahoma" w:hAnsi="Tahoma"/>
      <w:sz w:val="16"/>
      <w:lang w:val="x-none" w:eastAsia="cs-CZ"/>
    </w:rPr>
  </w:style>
  <w:style w:type="character" w:customStyle="1" w:styleId="truktradokumentuChar1441">
    <w:name w:val="Štruktúra dokumentu Char1441"/>
    <w:aliases w:val="Char9 Char Char1442,Štruktúra dokumentu Char Char Char1442,Document Map Char Char Char1442"/>
    <w:uiPriority w:val="99"/>
    <w:semiHidden/>
    <w:rPr>
      <w:rFonts w:ascii="Tahoma" w:hAnsi="Tahoma"/>
      <w:sz w:val="16"/>
      <w:lang w:val="x-none" w:eastAsia="cs-CZ"/>
    </w:rPr>
  </w:style>
  <w:style w:type="character" w:customStyle="1" w:styleId="truktradokumentuChar1440">
    <w:name w:val="Štruktúra dokumentu Char1440"/>
    <w:aliases w:val="Char9 Char Char1441,Štruktúra dokumentu Char Char Char1441,Document Map Char Char Char1441"/>
    <w:uiPriority w:val="99"/>
    <w:semiHidden/>
    <w:rPr>
      <w:rFonts w:ascii="Tahoma" w:hAnsi="Tahoma"/>
      <w:sz w:val="16"/>
      <w:lang w:val="x-none" w:eastAsia="cs-CZ"/>
    </w:rPr>
  </w:style>
  <w:style w:type="character" w:customStyle="1" w:styleId="truktradokumentuChar1439">
    <w:name w:val="Štruktúra dokumentu Char1439"/>
    <w:aliases w:val="Char9 Char Char1440,Štruktúra dokumentu Char Char Char1440,Document Map Char Char Char1440"/>
    <w:uiPriority w:val="99"/>
    <w:semiHidden/>
    <w:rPr>
      <w:rFonts w:ascii="Tahoma" w:hAnsi="Tahoma"/>
      <w:sz w:val="16"/>
      <w:lang w:val="x-none" w:eastAsia="cs-CZ"/>
    </w:rPr>
  </w:style>
  <w:style w:type="character" w:customStyle="1" w:styleId="truktradokumentuChar1438">
    <w:name w:val="Štruktúra dokumentu Char1438"/>
    <w:aliases w:val="Char9 Char Char1439,Štruktúra dokumentu Char Char Char1439,Document Map Char Char Char1439"/>
    <w:uiPriority w:val="99"/>
    <w:semiHidden/>
    <w:rPr>
      <w:rFonts w:ascii="Tahoma" w:hAnsi="Tahoma"/>
      <w:sz w:val="16"/>
      <w:lang w:val="x-none" w:eastAsia="cs-CZ"/>
    </w:rPr>
  </w:style>
  <w:style w:type="character" w:customStyle="1" w:styleId="truktradokumentuChar1437">
    <w:name w:val="Štruktúra dokumentu Char1437"/>
    <w:aliases w:val="Char9 Char Char1438,Štruktúra dokumentu Char Char Char1438,Document Map Char Char Char1438"/>
    <w:uiPriority w:val="99"/>
    <w:semiHidden/>
    <w:rPr>
      <w:rFonts w:ascii="Tahoma" w:hAnsi="Tahoma"/>
      <w:sz w:val="16"/>
      <w:lang w:val="x-none" w:eastAsia="cs-CZ"/>
    </w:rPr>
  </w:style>
  <w:style w:type="character" w:customStyle="1" w:styleId="truktradokumentuChar1436">
    <w:name w:val="Štruktúra dokumentu Char1436"/>
    <w:aliases w:val="Char9 Char Char1437,Štruktúra dokumentu Char Char Char1437,Document Map Char Char Char1437"/>
    <w:uiPriority w:val="99"/>
    <w:semiHidden/>
    <w:rPr>
      <w:rFonts w:ascii="Tahoma" w:hAnsi="Tahoma"/>
      <w:sz w:val="16"/>
      <w:lang w:val="x-none" w:eastAsia="cs-CZ"/>
    </w:rPr>
  </w:style>
  <w:style w:type="character" w:customStyle="1" w:styleId="truktradokumentuChar1435">
    <w:name w:val="Štruktúra dokumentu Char1435"/>
    <w:aliases w:val="Char9 Char Char1436,Štruktúra dokumentu Char Char Char1436,Document Map Char Char Char1436"/>
    <w:uiPriority w:val="99"/>
    <w:semiHidden/>
    <w:rPr>
      <w:rFonts w:ascii="Tahoma" w:hAnsi="Tahoma"/>
      <w:sz w:val="16"/>
      <w:lang w:val="x-none" w:eastAsia="cs-CZ"/>
    </w:rPr>
  </w:style>
  <w:style w:type="character" w:customStyle="1" w:styleId="truktradokumentuChar1434">
    <w:name w:val="Štruktúra dokumentu Char1434"/>
    <w:aliases w:val="Char9 Char Char1435,Štruktúra dokumentu Char Char Char1435,Document Map Char Char Char1435"/>
    <w:uiPriority w:val="99"/>
    <w:semiHidden/>
    <w:rPr>
      <w:rFonts w:ascii="Tahoma" w:hAnsi="Tahoma"/>
      <w:sz w:val="16"/>
      <w:lang w:val="x-none" w:eastAsia="cs-CZ"/>
    </w:rPr>
  </w:style>
  <w:style w:type="character" w:customStyle="1" w:styleId="truktradokumentuChar1433">
    <w:name w:val="Štruktúra dokumentu Char1433"/>
    <w:aliases w:val="Char9 Char Char1434,Štruktúra dokumentu Char Char Char1434,Document Map Char Char Char1434"/>
    <w:uiPriority w:val="99"/>
    <w:semiHidden/>
    <w:rPr>
      <w:rFonts w:ascii="Tahoma" w:hAnsi="Tahoma"/>
      <w:sz w:val="16"/>
      <w:lang w:val="x-none" w:eastAsia="cs-CZ"/>
    </w:rPr>
  </w:style>
  <w:style w:type="character" w:customStyle="1" w:styleId="truktradokumentuChar1432">
    <w:name w:val="Štruktúra dokumentu Char1432"/>
    <w:aliases w:val="Char9 Char Char1433,Štruktúra dokumentu Char Char Char1433,Document Map Char Char Char1433"/>
    <w:uiPriority w:val="99"/>
    <w:semiHidden/>
    <w:rPr>
      <w:rFonts w:ascii="Tahoma" w:hAnsi="Tahoma"/>
      <w:sz w:val="16"/>
      <w:lang w:val="x-none" w:eastAsia="cs-CZ"/>
    </w:rPr>
  </w:style>
  <w:style w:type="character" w:customStyle="1" w:styleId="truktradokumentuChar1431">
    <w:name w:val="Štruktúra dokumentu Char1431"/>
    <w:aliases w:val="Char9 Char Char1432,Štruktúra dokumentu Char Char Char1432,Document Map Char Char Char1432"/>
    <w:uiPriority w:val="99"/>
    <w:semiHidden/>
    <w:rPr>
      <w:rFonts w:ascii="Tahoma" w:hAnsi="Tahoma"/>
      <w:sz w:val="16"/>
      <w:lang w:val="x-none" w:eastAsia="cs-CZ"/>
    </w:rPr>
  </w:style>
  <w:style w:type="character" w:customStyle="1" w:styleId="truktradokumentuChar1430">
    <w:name w:val="Štruktúra dokumentu Char1430"/>
    <w:aliases w:val="Char9 Char Char1431,Štruktúra dokumentu Char Char Char1431,Document Map Char Char Char1431"/>
    <w:uiPriority w:val="99"/>
    <w:semiHidden/>
    <w:rPr>
      <w:rFonts w:ascii="Tahoma" w:hAnsi="Tahoma"/>
      <w:sz w:val="16"/>
      <w:lang w:val="x-none" w:eastAsia="cs-CZ"/>
    </w:rPr>
  </w:style>
  <w:style w:type="character" w:customStyle="1" w:styleId="truktradokumentuChar1429">
    <w:name w:val="Štruktúra dokumentu Char1429"/>
    <w:aliases w:val="Char9 Char Char1430,Štruktúra dokumentu Char Char Char1430,Document Map Char Char Char1430"/>
    <w:uiPriority w:val="99"/>
    <w:semiHidden/>
    <w:rPr>
      <w:rFonts w:ascii="Tahoma" w:hAnsi="Tahoma"/>
      <w:sz w:val="16"/>
      <w:lang w:val="x-none" w:eastAsia="cs-CZ"/>
    </w:rPr>
  </w:style>
  <w:style w:type="character" w:customStyle="1" w:styleId="truktradokumentuChar1428">
    <w:name w:val="Štruktúra dokumentu Char1428"/>
    <w:aliases w:val="Char9 Char Char1429,Štruktúra dokumentu Char Char Char1429,Document Map Char Char Char1429"/>
    <w:uiPriority w:val="99"/>
    <w:semiHidden/>
    <w:rPr>
      <w:rFonts w:ascii="Tahoma" w:hAnsi="Tahoma"/>
      <w:sz w:val="16"/>
      <w:lang w:val="x-none" w:eastAsia="cs-CZ"/>
    </w:rPr>
  </w:style>
  <w:style w:type="character" w:customStyle="1" w:styleId="truktradokumentuChar1427">
    <w:name w:val="Štruktúra dokumentu Char1427"/>
    <w:aliases w:val="Char9 Char Char1428,Štruktúra dokumentu Char Char Char1428,Document Map Char Char Char1428"/>
    <w:uiPriority w:val="99"/>
    <w:semiHidden/>
    <w:rPr>
      <w:rFonts w:ascii="Tahoma" w:hAnsi="Tahoma"/>
      <w:sz w:val="16"/>
      <w:lang w:val="x-none" w:eastAsia="cs-CZ"/>
    </w:rPr>
  </w:style>
  <w:style w:type="character" w:customStyle="1" w:styleId="truktradokumentuChar1426">
    <w:name w:val="Štruktúra dokumentu Char1426"/>
    <w:aliases w:val="Char9 Char Char1427,Štruktúra dokumentu Char Char Char1427,Document Map Char Char Char1427"/>
    <w:uiPriority w:val="99"/>
    <w:semiHidden/>
    <w:rPr>
      <w:rFonts w:ascii="Tahoma" w:hAnsi="Tahoma"/>
      <w:sz w:val="16"/>
      <w:lang w:val="x-none" w:eastAsia="cs-CZ"/>
    </w:rPr>
  </w:style>
  <w:style w:type="character" w:customStyle="1" w:styleId="truktradokumentuChar1425">
    <w:name w:val="Štruktúra dokumentu Char1425"/>
    <w:aliases w:val="Char9 Char Char1426,Štruktúra dokumentu Char Char Char1426,Document Map Char Char Char1426"/>
    <w:uiPriority w:val="99"/>
    <w:semiHidden/>
    <w:rPr>
      <w:rFonts w:ascii="Tahoma" w:hAnsi="Tahoma"/>
      <w:sz w:val="16"/>
      <w:lang w:val="x-none" w:eastAsia="cs-CZ"/>
    </w:rPr>
  </w:style>
  <w:style w:type="character" w:customStyle="1" w:styleId="truktradokumentuChar1424">
    <w:name w:val="Štruktúra dokumentu Char1424"/>
    <w:aliases w:val="Char9 Char Char1425,Štruktúra dokumentu Char Char Char1425,Document Map Char Char Char1425"/>
    <w:uiPriority w:val="99"/>
    <w:semiHidden/>
    <w:rPr>
      <w:rFonts w:ascii="Tahoma" w:hAnsi="Tahoma"/>
      <w:sz w:val="16"/>
      <w:lang w:val="x-none" w:eastAsia="cs-CZ"/>
    </w:rPr>
  </w:style>
  <w:style w:type="character" w:customStyle="1" w:styleId="truktradokumentuChar1423">
    <w:name w:val="Štruktúra dokumentu Char1423"/>
    <w:aliases w:val="Char9 Char Char1424,Štruktúra dokumentu Char Char Char1424,Document Map Char Char Char1424"/>
    <w:uiPriority w:val="99"/>
    <w:semiHidden/>
    <w:rPr>
      <w:rFonts w:ascii="Tahoma" w:hAnsi="Tahoma"/>
      <w:sz w:val="16"/>
      <w:lang w:val="x-none" w:eastAsia="cs-CZ"/>
    </w:rPr>
  </w:style>
  <w:style w:type="character" w:customStyle="1" w:styleId="truktradokumentuChar1422">
    <w:name w:val="Štruktúra dokumentu Char1422"/>
    <w:aliases w:val="Char9 Char Char1423,Štruktúra dokumentu Char Char Char1423,Document Map Char Char Char1423"/>
    <w:uiPriority w:val="99"/>
    <w:semiHidden/>
    <w:rPr>
      <w:rFonts w:ascii="Tahoma" w:hAnsi="Tahoma"/>
      <w:sz w:val="16"/>
      <w:lang w:val="x-none" w:eastAsia="cs-CZ"/>
    </w:rPr>
  </w:style>
  <w:style w:type="character" w:customStyle="1" w:styleId="truktradokumentuChar1421">
    <w:name w:val="Štruktúra dokumentu Char1421"/>
    <w:aliases w:val="Char9 Char Char1422,Štruktúra dokumentu Char Char Char1422,Document Map Char Char Char1422"/>
    <w:uiPriority w:val="99"/>
    <w:semiHidden/>
    <w:rPr>
      <w:rFonts w:ascii="Tahoma" w:hAnsi="Tahoma"/>
      <w:sz w:val="16"/>
      <w:lang w:val="x-none" w:eastAsia="cs-CZ"/>
    </w:rPr>
  </w:style>
  <w:style w:type="character" w:customStyle="1" w:styleId="truktradokumentuChar1420">
    <w:name w:val="Štruktúra dokumentu Char1420"/>
    <w:aliases w:val="Char9 Char Char1421,Štruktúra dokumentu Char Char Char1421,Document Map Char Char Char1421"/>
    <w:uiPriority w:val="99"/>
    <w:semiHidden/>
    <w:rPr>
      <w:rFonts w:ascii="Tahoma" w:hAnsi="Tahoma"/>
      <w:sz w:val="16"/>
      <w:lang w:val="x-none" w:eastAsia="cs-CZ"/>
    </w:rPr>
  </w:style>
  <w:style w:type="character" w:customStyle="1" w:styleId="truktradokumentuChar1419">
    <w:name w:val="Štruktúra dokumentu Char1419"/>
    <w:aliases w:val="Char9 Char Char1420,Štruktúra dokumentu Char Char Char1420,Document Map Char Char Char1420"/>
    <w:uiPriority w:val="99"/>
    <w:semiHidden/>
    <w:rPr>
      <w:rFonts w:ascii="Tahoma" w:hAnsi="Tahoma"/>
      <w:sz w:val="16"/>
      <w:lang w:val="x-none" w:eastAsia="cs-CZ"/>
    </w:rPr>
  </w:style>
  <w:style w:type="character" w:customStyle="1" w:styleId="truktradokumentuChar1418">
    <w:name w:val="Štruktúra dokumentu Char1418"/>
    <w:aliases w:val="Char9 Char Char1419,Štruktúra dokumentu Char Char Char1419,Document Map Char Char Char1419"/>
    <w:uiPriority w:val="99"/>
    <w:semiHidden/>
    <w:rPr>
      <w:rFonts w:ascii="Tahoma" w:hAnsi="Tahoma"/>
      <w:sz w:val="16"/>
      <w:lang w:val="x-none" w:eastAsia="cs-CZ"/>
    </w:rPr>
  </w:style>
  <w:style w:type="character" w:customStyle="1" w:styleId="truktradokumentuChar1417">
    <w:name w:val="Štruktúra dokumentu Char1417"/>
    <w:aliases w:val="Char9 Char Char1418,Štruktúra dokumentu Char Char Char1418,Document Map Char Char Char1418"/>
    <w:uiPriority w:val="99"/>
    <w:semiHidden/>
    <w:rPr>
      <w:rFonts w:ascii="Tahoma" w:hAnsi="Tahoma"/>
      <w:sz w:val="16"/>
      <w:lang w:val="x-none" w:eastAsia="cs-CZ"/>
    </w:rPr>
  </w:style>
  <w:style w:type="character" w:customStyle="1" w:styleId="truktradokumentuChar1416">
    <w:name w:val="Štruktúra dokumentu Char1416"/>
    <w:aliases w:val="Char9 Char Char1417,Štruktúra dokumentu Char Char Char1417,Document Map Char Char Char1417"/>
    <w:uiPriority w:val="99"/>
    <w:semiHidden/>
    <w:rPr>
      <w:rFonts w:ascii="Tahoma" w:hAnsi="Tahoma"/>
      <w:sz w:val="16"/>
      <w:lang w:val="x-none" w:eastAsia="cs-CZ"/>
    </w:rPr>
  </w:style>
  <w:style w:type="character" w:customStyle="1" w:styleId="truktradokumentuChar1415">
    <w:name w:val="Štruktúra dokumentu Char1415"/>
    <w:aliases w:val="Char9 Char Char1416,Štruktúra dokumentu Char Char Char1416,Document Map Char Char Char1416"/>
    <w:uiPriority w:val="99"/>
    <w:semiHidden/>
    <w:rPr>
      <w:rFonts w:ascii="Tahoma" w:hAnsi="Tahoma"/>
      <w:sz w:val="16"/>
      <w:lang w:val="x-none" w:eastAsia="cs-CZ"/>
    </w:rPr>
  </w:style>
  <w:style w:type="character" w:customStyle="1" w:styleId="truktradokumentuChar1414">
    <w:name w:val="Štruktúra dokumentu Char1414"/>
    <w:aliases w:val="Char9 Char Char1415,Štruktúra dokumentu Char Char Char1415,Document Map Char Char Char1415"/>
    <w:uiPriority w:val="99"/>
    <w:semiHidden/>
    <w:rPr>
      <w:rFonts w:ascii="Tahoma" w:hAnsi="Tahoma"/>
      <w:sz w:val="16"/>
      <w:lang w:val="x-none" w:eastAsia="cs-CZ"/>
    </w:rPr>
  </w:style>
  <w:style w:type="character" w:customStyle="1" w:styleId="truktradokumentuChar1413">
    <w:name w:val="Štruktúra dokumentu Char1413"/>
    <w:aliases w:val="Char9 Char Char1414,Štruktúra dokumentu Char Char Char1414,Document Map Char Char Char1414"/>
    <w:uiPriority w:val="99"/>
    <w:semiHidden/>
    <w:rPr>
      <w:rFonts w:ascii="Tahoma" w:hAnsi="Tahoma"/>
      <w:sz w:val="16"/>
      <w:lang w:val="x-none" w:eastAsia="cs-CZ"/>
    </w:rPr>
  </w:style>
  <w:style w:type="character" w:customStyle="1" w:styleId="truktradokumentuChar1412">
    <w:name w:val="Štruktúra dokumentu Char1412"/>
    <w:aliases w:val="Char9 Char Char1413,Štruktúra dokumentu Char Char Char1413,Document Map Char Char Char1413"/>
    <w:uiPriority w:val="99"/>
    <w:semiHidden/>
    <w:rPr>
      <w:rFonts w:ascii="Tahoma" w:hAnsi="Tahoma"/>
      <w:sz w:val="16"/>
      <w:lang w:val="x-none" w:eastAsia="cs-CZ"/>
    </w:rPr>
  </w:style>
  <w:style w:type="character" w:customStyle="1" w:styleId="truktradokumentuChar1411">
    <w:name w:val="Štruktúra dokumentu Char1411"/>
    <w:aliases w:val="Char9 Char Char1412,Štruktúra dokumentu Char Char Char1412,Document Map Char Char Char1412"/>
    <w:uiPriority w:val="99"/>
    <w:semiHidden/>
    <w:rPr>
      <w:rFonts w:ascii="Tahoma" w:hAnsi="Tahoma"/>
      <w:sz w:val="16"/>
      <w:lang w:val="x-none" w:eastAsia="cs-CZ"/>
    </w:rPr>
  </w:style>
  <w:style w:type="character" w:customStyle="1" w:styleId="truktradokumentuChar1410">
    <w:name w:val="Štruktúra dokumentu Char1410"/>
    <w:aliases w:val="Char9 Char Char1411,Štruktúra dokumentu Char Char Char1411,Document Map Char Char Char1411"/>
    <w:uiPriority w:val="99"/>
    <w:semiHidden/>
    <w:rPr>
      <w:rFonts w:ascii="Tahoma" w:hAnsi="Tahoma"/>
      <w:sz w:val="16"/>
      <w:lang w:val="x-none" w:eastAsia="cs-CZ"/>
    </w:rPr>
  </w:style>
  <w:style w:type="character" w:customStyle="1" w:styleId="truktradokumentuChar1409">
    <w:name w:val="Štruktúra dokumentu Char1409"/>
    <w:aliases w:val="Char9 Char Char1410,Štruktúra dokumentu Char Char Char1410,Document Map Char Char Char1410"/>
    <w:uiPriority w:val="99"/>
    <w:semiHidden/>
    <w:rPr>
      <w:rFonts w:ascii="Tahoma" w:hAnsi="Tahoma"/>
      <w:sz w:val="16"/>
      <w:lang w:val="x-none" w:eastAsia="cs-CZ"/>
    </w:rPr>
  </w:style>
  <w:style w:type="character" w:customStyle="1" w:styleId="truktradokumentuChar1408">
    <w:name w:val="Štruktúra dokumentu Char1408"/>
    <w:aliases w:val="Char9 Char Char1409,Štruktúra dokumentu Char Char Char1409,Document Map Char Char Char1409"/>
    <w:uiPriority w:val="99"/>
    <w:semiHidden/>
    <w:rPr>
      <w:rFonts w:ascii="Tahoma" w:hAnsi="Tahoma"/>
      <w:sz w:val="16"/>
      <w:lang w:val="x-none" w:eastAsia="cs-CZ"/>
    </w:rPr>
  </w:style>
  <w:style w:type="character" w:customStyle="1" w:styleId="truktradokumentuChar1407">
    <w:name w:val="Štruktúra dokumentu Char1407"/>
    <w:aliases w:val="Char9 Char Char1408,Štruktúra dokumentu Char Char Char1408,Document Map Char Char Char1408"/>
    <w:uiPriority w:val="99"/>
    <w:semiHidden/>
    <w:rPr>
      <w:rFonts w:ascii="Tahoma" w:hAnsi="Tahoma"/>
      <w:sz w:val="16"/>
      <w:lang w:val="x-none" w:eastAsia="cs-CZ"/>
    </w:rPr>
  </w:style>
  <w:style w:type="character" w:customStyle="1" w:styleId="truktradokumentuChar1406">
    <w:name w:val="Štruktúra dokumentu Char1406"/>
    <w:aliases w:val="Char9 Char Char1407,Štruktúra dokumentu Char Char Char1407,Document Map Char Char Char1407"/>
    <w:uiPriority w:val="99"/>
    <w:semiHidden/>
    <w:rPr>
      <w:rFonts w:ascii="Tahoma" w:hAnsi="Tahoma"/>
      <w:sz w:val="16"/>
      <w:lang w:val="x-none" w:eastAsia="cs-CZ"/>
    </w:rPr>
  </w:style>
  <w:style w:type="character" w:customStyle="1" w:styleId="truktradokumentuChar1405">
    <w:name w:val="Štruktúra dokumentu Char1405"/>
    <w:aliases w:val="Char9 Char Char1406,Štruktúra dokumentu Char Char Char1406,Document Map Char Char Char1406"/>
    <w:uiPriority w:val="99"/>
    <w:semiHidden/>
    <w:rPr>
      <w:rFonts w:ascii="Tahoma" w:hAnsi="Tahoma"/>
      <w:sz w:val="16"/>
      <w:lang w:val="x-none" w:eastAsia="cs-CZ"/>
    </w:rPr>
  </w:style>
  <w:style w:type="character" w:customStyle="1" w:styleId="truktradokumentuChar1404">
    <w:name w:val="Štruktúra dokumentu Char1404"/>
    <w:aliases w:val="Char9 Char Char1405,Štruktúra dokumentu Char Char Char1405,Document Map Char Char Char1405"/>
    <w:uiPriority w:val="99"/>
    <w:semiHidden/>
    <w:rPr>
      <w:rFonts w:ascii="Tahoma" w:hAnsi="Tahoma"/>
      <w:sz w:val="16"/>
      <w:lang w:val="x-none" w:eastAsia="cs-CZ"/>
    </w:rPr>
  </w:style>
  <w:style w:type="character" w:customStyle="1" w:styleId="truktradokumentuChar1403">
    <w:name w:val="Štruktúra dokumentu Char1403"/>
    <w:aliases w:val="Char9 Char Char1404,Štruktúra dokumentu Char Char Char1404,Document Map Char Char Char1404"/>
    <w:uiPriority w:val="99"/>
    <w:semiHidden/>
    <w:rPr>
      <w:rFonts w:ascii="Tahoma" w:hAnsi="Tahoma"/>
      <w:sz w:val="16"/>
      <w:lang w:val="x-none" w:eastAsia="cs-CZ"/>
    </w:rPr>
  </w:style>
  <w:style w:type="character" w:customStyle="1" w:styleId="truktradokumentuChar1402">
    <w:name w:val="Štruktúra dokumentu Char1402"/>
    <w:aliases w:val="Char9 Char Char1403,Štruktúra dokumentu Char Char Char1403,Document Map Char Char Char1403"/>
    <w:uiPriority w:val="99"/>
    <w:semiHidden/>
    <w:rPr>
      <w:rFonts w:ascii="Tahoma" w:hAnsi="Tahoma"/>
      <w:sz w:val="16"/>
      <w:lang w:val="x-none" w:eastAsia="cs-CZ"/>
    </w:rPr>
  </w:style>
  <w:style w:type="character" w:customStyle="1" w:styleId="truktradokumentuChar1401">
    <w:name w:val="Štruktúra dokumentu Char1401"/>
    <w:aliases w:val="Char9 Char Char1402,Štruktúra dokumentu Char Char Char1402,Document Map Char Char Char1402"/>
    <w:uiPriority w:val="99"/>
    <w:semiHidden/>
    <w:rPr>
      <w:rFonts w:ascii="Tahoma" w:hAnsi="Tahoma"/>
      <w:sz w:val="16"/>
      <w:lang w:val="x-none" w:eastAsia="cs-CZ"/>
    </w:rPr>
  </w:style>
  <w:style w:type="character" w:customStyle="1" w:styleId="truktradokumentuChar1400">
    <w:name w:val="Štruktúra dokumentu Char1400"/>
    <w:aliases w:val="Char9 Char Char1401,Štruktúra dokumentu Char Char Char1401,Document Map Char Char Char1401"/>
    <w:uiPriority w:val="99"/>
    <w:semiHidden/>
    <w:rPr>
      <w:rFonts w:ascii="Tahoma" w:hAnsi="Tahoma"/>
      <w:sz w:val="16"/>
      <w:lang w:val="x-none" w:eastAsia="cs-CZ"/>
    </w:rPr>
  </w:style>
  <w:style w:type="character" w:customStyle="1" w:styleId="truktradokumentuChar1399">
    <w:name w:val="Štruktúra dokumentu Char1399"/>
    <w:aliases w:val="Char9 Char Char1400,Štruktúra dokumentu Char Char Char1400,Document Map Char Char Char1400"/>
    <w:uiPriority w:val="99"/>
    <w:semiHidden/>
    <w:rPr>
      <w:rFonts w:ascii="Tahoma" w:hAnsi="Tahoma"/>
      <w:sz w:val="16"/>
      <w:lang w:val="x-none" w:eastAsia="cs-CZ"/>
    </w:rPr>
  </w:style>
  <w:style w:type="character" w:customStyle="1" w:styleId="truktradokumentuChar1398">
    <w:name w:val="Štruktúra dokumentu Char1398"/>
    <w:aliases w:val="Char9 Char Char1399,Štruktúra dokumentu Char Char Char1399,Document Map Char Char Char1399"/>
    <w:uiPriority w:val="99"/>
    <w:semiHidden/>
    <w:rPr>
      <w:rFonts w:ascii="Tahoma" w:hAnsi="Tahoma"/>
      <w:sz w:val="16"/>
      <w:lang w:val="x-none" w:eastAsia="cs-CZ"/>
    </w:rPr>
  </w:style>
  <w:style w:type="character" w:customStyle="1" w:styleId="truktradokumentuChar1397">
    <w:name w:val="Štruktúra dokumentu Char1397"/>
    <w:aliases w:val="Char9 Char Char1398,Štruktúra dokumentu Char Char Char1398,Document Map Char Char Char1398"/>
    <w:uiPriority w:val="99"/>
    <w:semiHidden/>
    <w:rPr>
      <w:rFonts w:ascii="Tahoma" w:hAnsi="Tahoma"/>
      <w:sz w:val="16"/>
      <w:lang w:val="x-none" w:eastAsia="cs-CZ"/>
    </w:rPr>
  </w:style>
  <w:style w:type="character" w:customStyle="1" w:styleId="truktradokumentuChar1396">
    <w:name w:val="Štruktúra dokumentu Char1396"/>
    <w:aliases w:val="Char9 Char Char1397,Štruktúra dokumentu Char Char Char1397,Document Map Char Char Char1397"/>
    <w:uiPriority w:val="99"/>
    <w:semiHidden/>
    <w:rPr>
      <w:rFonts w:ascii="Tahoma" w:hAnsi="Tahoma"/>
      <w:sz w:val="16"/>
      <w:lang w:val="x-none" w:eastAsia="cs-CZ"/>
    </w:rPr>
  </w:style>
  <w:style w:type="character" w:customStyle="1" w:styleId="truktradokumentuChar1395">
    <w:name w:val="Štruktúra dokumentu Char1395"/>
    <w:aliases w:val="Char9 Char Char1396,Štruktúra dokumentu Char Char Char1396,Document Map Char Char Char1396"/>
    <w:uiPriority w:val="99"/>
    <w:semiHidden/>
    <w:rPr>
      <w:rFonts w:ascii="Tahoma" w:hAnsi="Tahoma"/>
      <w:sz w:val="16"/>
      <w:lang w:val="x-none" w:eastAsia="cs-CZ"/>
    </w:rPr>
  </w:style>
  <w:style w:type="character" w:customStyle="1" w:styleId="truktradokumentuChar1394">
    <w:name w:val="Štruktúra dokumentu Char1394"/>
    <w:aliases w:val="Char9 Char Char1395,Štruktúra dokumentu Char Char Char1395,Document Map Char Char Char1395"/>
    <w:uiPriority w:val="99"/>
    <w:semiHidden/>
    <w:rPr>
      <w:rFonts w:ascii="Tahoma" w:hAnsi="Tahoma"/>
      <w:sz w:val="16"/>
      <w:lang w:val="x-none" w:eastAsia="cs-CZ"/>
    </w:rPr>
  </w:style>
  <w:style w:type="character" w:customStyle="1" w:styleId="truktradokumentuChar1393">
    <w:name w:val="Štruktúra dokumentu Char1393"/>
    <w:aliases w:val="Char9 Char Char1394,Štruktúra dokumentu Char Char Char1394,Document Map Char Char Char1394"/>
    <w:uiPriority w:val="99"/>
    <w:semiHidden/>
    <w:rPr>
      <w:rFonts w:ascii="Tahoma" w:hAnsi="Tahoma"/>
      <w:sz w:val="16"/>
      <w:lang w:val="x-none" w:eastAsia="cs-CZ"/>
    </w:rPr>
  </w:style>
  <w:style w:type="character" w:customStyle="1" w:styleId="truktradokumentuChar1392">
    <w:name w:val="Štruktúra dokumentu Char1392"/>
    <w:aliases w:val="Char9 Char Char1393,Štruktúra dokumentu Char Char Char1393,Document Map Char Char Char1393"/>
    <w:uiPriority w:val="99"/>
    <w:semiHidden/>
    <w:rPr>
      <w:rFonts w:ascii="Tahoma" w:hAnsi="Tahoma"/>
      <w:sz w:val="16"/>
      <w:lang w:val="x-none" w:eastAsia="cs-CZ"/>
    </w:rPr>
  </w:style>
  <w:style w:type="character" w:customStyle="1" w:styleId="truktradokumentuChar1391">
    <w:name w:val="Štruktúra dokumentu Char1391"/>
    <w:aliases w:val="Char9 Char Char1392,Štruktúra dokumentu Char Char Char1392,Document Map Char Char Char1392"/>
    <w:uiPriority w:val="99"/>
    <w:semiHidden/>
    <w:rPr>
      <w:rFonts w:ascii="Tahoma" w:hAnsi="Tahoma"/>
      <w:sz w:val="16"/>
      <w:lang w:val="x-none" w:eastAsia="cs-CZ"/>
    </w:rPr>
  </w:style>
  <w:style w:type="character" w:customStyle="1" w:styleId="truktradokumentuChar1390">
    <w:name w:val="Štruktúra dokumentu Char1390"/>
    <w:aliases w:val="Char9 Char Char1391,Štruktúra dokumentu Char Char Char1391,Document Map Char Char Char1391"/>
    <w:uiPriority w:val="99"/>
    <w:semiHidden/>
    <w:rPr>
      <w:rFonts w:ascii="Tahoma" w:hAnsi="Tahoma"/>
      <w:sz w:val="16"/>
      <w:lang w:val="x-none" w:eastAsia="cs-CZ"/>
    </w:rPr>
  </w:style>
  <w:style w:type="character" w:customStyle="1" w:styleId="truktradokumentuChar1389">
    <w:name w:val="Štruktúra dokumentu Char1389"/>
    <w:aliases w:val="Char9 Char Char1390,Štruktúra dokumentu Char Char Char1390,Document Map Char Char Char1390"/>
    <w:uiPriority w:val="99"/>
    <w:semiHidden/>
    <w:rPr>
      <w:rFonts w:ascii="Tahoma" w:hAnsi="Tahoma"/>
      <w:sz w:val="16"/>
      <w:lang w:val="x-none" w:eastAsia="cs-CZ"/>
    </w:rPr>
  </w:style>
  <w:style w:type="character" w:customStyle="1" w:styleId="truktradokumentuChar1388">
    <w:name w:val="Štruktúra dokumentu Char1388"/>
    <w:aliases w:val="Char9 Char Char1389,Štruktúra dokumentu Char Char Char1389,Document Map Char Char Char1389"/>
    <w:uiPriority w:val="99"/>
    <w:semiHidden/>
    <w:rPr>
      <w:rFonts w:ascii="Tahoma" w:hAnsi="Tahoma"/>
      <w:sz w:val="16"/>
      <w:lang w:val="x-none" w:eastAsia="cs-CZ"/>
    </w:rPr>
  </w:style>
  <w:style w:type="character" w:customStyle="1" w:styleId="truktradokumentuChar1387">
    <w:name w:val="Štruktúra dokumentu Char1387"/>
    <w:aliases w:val="Char9 Char Char1388,Štruktúra dokumentu Char Char Char1388,Document Map Char Char Char1388"/>
    <w:uiPriority w:val="99"/>
    <w:semiHidden/>
    <w:rPr>
      <w:rFonts w:ascii="Tahoma" w:hAnsi="Tahoma"/>
      <w:sz w:val="16"/>
      <w:lang w:val="x-none" w:eastAsia="cs-CZ"/>
    </w:rPr>
  </w:style>
  <w:style w:type="character" w:customStyle="1" w:styleId="truktradokumentuChar1386">
    <w:name w:val="Štruktúra dokumentu Char1386"/>
    <w:aliases w:val="Char9 Char Char1387,Štruktúra dokumentu Char Char Char1387,Document Map Char Char Char1387"/>
    <w:uiPriority w:val="99"/>
    <w:semiHidden/>
    <w:rPr>
      <w:rFonts w:ascii="Tahoma" w:hAnsi="Tahoma"/>
      <w:sz w:val="16"/>
      <w:lang w:val="x-none" w:eastAsia="cs-CZ"/>
    </w:rPr>
  </w:style>
  <w:style w:type="character" w:customStyle="1" w:styleId="truktradokumentuChar1385">
    <w:name w:val="Štruktúra dokumentu Char1385"/>
    <w:aliases w:val="Char9 Char Char1386,Štruktúra dokumentu Char Char Char1386,Document Map Char Char Char1386"/>
    <w:uiPriority w:val="99"/>
    <w:semiHidden/>
    <w:rPr>
      <w:rFonts w:ascii="Tahoma" w:hAnsi="Tahoma"/>
      <w:sz w:val="16"/>
      <w:lang w:val="x-none" w:eastAsia="cs-CZ"/>
    </w:rPr>
  </w:style>
  <w:style w:type="character" w:customStyle="1" w:styleId="truktradokumentuChar1384">
    <w:name w:val="Štruktúra dokumentu Char1384"/>
    <w:aliases w:val="Char9 Char Char1385,Štruktúra dokumentu Char Char Char1385,Document Map Char Char Char1385"/>
    <w:uiPriority w:val="99"/>
    <w:semiHidden/>
    <w:rPr>
      <w:rFonts w:ascii="Tahoma" w:hAnsi="Tahoma"/>
      <w:sz w:val="16"/>
      <w:lang w:val="x-none" w:eastAsia="cs-CZ"/>
    </w:rPr>
  </w:style>
  <w:style w:type="character" w:customStyle="1" w:styleId="truktradokumentuChar1383">
    <w:name w:val="Štruktúra dokumentu Char1383"/>
    <w:aliases w:val="Char9 Char Char1384,Štruktúra dokumentu Char Char Char1384,Document Map Char Char Char1384"/>
    <w:uiPriority w:val="99"/>
    <w:semiHidden/>
    <w:rPr>
      <w:rFonts w:ascii="Tahoma" w:hAnsi="Tahoma"/>
      <w:sz w:val="16"/>
      <w:lang w:val="x-none" w:eastAsia="cs-CZ"/>
    </w:rPr>
  </w:style>
  <w:style w:type="character" w:customStyle="1" w:styleId="truktradokumentuChar1382">
    <w:name w:val="Štruktúra dokumentu Char1382"/>
    <w:aliases w:val="Char9 Char Char1383,Štruktúra dokumentu Char Char Char1383,Document Map Char Char Char1383"/>
    <w:uiPriority w:val="99"/>
    <w:semiHidden/>
    <w:rPr>
      <w:rFonts w:ascii="Tahoma" w:hAnsi="Tahoma"/>
      <w:sz w:val="16"/>
      <w:lang w:val="x-none" w:eastAsia="cs-CZ"/>
    </w:rPr>
  </w:style>
  <w:style w:type="character" w:customStyle="1" w:styleId="truktradokumentuChar1381">
    <w:name w:val="Štruktúra dokumentu Char1381"/>
    <w:aliases w:val="Char9 Char Char1382,Štruktúra dokumentu Char Char Char1382,Document Map Char Char Char1382"/>
    <w:uiPriority w:val="99"/>
    <w:semiHidden/>
    <w:rPr>
      <w:rFonts w:ascii="Tahoma" w:hAnsi="Tahoma"/>
      <w:sz w:val="16"/>
      <w:lang w:val="x-none" w:eastAsia="cs-CZ"/>
    </w:rPr>
  </w:style>
  <w:style w:type="character" w:customStyle="1" w:styleId="truktradokumentuChar1380">
    <w:name w:val="Štruktúra dokumentu Char1380"/>
    <w:aliases w:val="Char9 Char Char1381,Štruktúra dokumentu Char Char Char1381,Document Map Char Char Char1381"/>
    <w:uiPriority w:val="99"/>
    <w:semiHidden/>
    <w:rPr>
      <w:rFonts w:ascii="Tahoma" w:hAnsi="Tahoma"/>
      <w:sz w:val="16"/>
      <w:lang w:val="x-none" w:eastAsia="cs-CZ"/>
    </w:rPr>
  </w:style>
  <w:style w:type="character" w:customStyle="1" w:styleId="truktradokumentuChar1379">
    <w:name w:val="Štruktúra dokumentu Char1379"/>
    <w:aliases w:val="Char9 Char Char1380,Štruktúra dokumentu Char Char Char1380,Document Map Char Char Char1380"/>
    <w:uiPriority w:val="99"/>
    <w:semiHidden/>
    <w:rPr>
      <w:rFonts w:ascii="Tahoma" w:hAnsi="Tahoma"/>
      <w:sz w:val="16"/>
      <w:lang w:val="x-none" w:eastAsia="cs-CZ"/>
    </w:rPr>
  </w:style>
  <w:style w:type="character" w:customStyle="1" w:styleId="truktradokumentuChar1378">
    <w:name w:val="Štruktúra dokumentu Char1378"/>
    <w:aliases w:val="Char9 Char Char1379,Štruktúra dokumentu Char Char Char1379,Document Map Char Char Char1379"/>
    <w:uiPriority w:val="99"/>
    <w:semiHidden/>
    <w:rPr>
      <w:rFonts w:ascii="Tahoma" w:hAnsi="Tahoma"/>
      <w:sz w:val="16"/>
      <w:lang w:val="x-none" w:eastAsia="cs-CZ"/>
    </w:rPr>
  </w:style>
  <w:style w:type="character" w:customStyle="1" w:styleId="truktradokumentuChar1377">
    <w:name w:val="Štruktúra dokumentu Char1377"/>
    <w:aliases w:val="Char9 Char Char1378,Štruktúra dokumentu Char Char Char1378,Document Map Char Char Char1378"/>
    <w:uiPriority w:val="99"/>
    <w:semiHidden/>
    <w:rPr>
      <w:rFonts w:ascii="Tahoma" w:hAnsi="Tahoma"/>
      <w:sz w:val="16"/>
      <w:lang w:val="x-none" w:eastAsia="cs-CZ"/>
    </w:rPr>
  </w:style>
  <w:style w:type="character" w:customStyle="1" w:styleId="truktradokumentuChar1376">
    <w:name w:val="Štruktúra dokumentu Char1376"/>
    <w:aliases w:val="Char9 Char Char1377,Štruktúra dokumentu Char Char Char1377,Document Map Char Char Char1377"/>
    <w:uiPriority w:val="99"/>
    <w:semiHidden/>
    <w:rPr>
      <w:rFonts w:ascii="Tahoma" w:hAnsi="Tahoma"/>
      <w:sz w:val="16"/>
      <w:lang w:val="x-none" w:eastAsia="cs-CZ"/>
    </w:rPr>
  </w:style>
  <w:style w:type="character" w:customStyle="1" w:styleId="truktradokumentuChar1375">
    <w:name w:val="Štruktúra dokumentu Char1375"/>
    <w:aliases w:val="Char9 Char Char1376,Štruktúra dokumentu Char Char Char1376,Document Map Char Char Char1376"/>
    <w:uiPriority w:val="99"/>
    <w:semiHidden/>
    <w:rPr>
      <w:rFonts w:ascii="Tahoma" w:hAnsi="Tahoma"/>
      <w:sz w:val="16"/>
      <w:lang w:val="x-none" w:eastAsia="cs-CZ"/>
    </w:rPr>
  </w:style>
  <w:style w:type="character" w:customStyle="1" w:styleId="truktradokumentuChar1374">
    <w:name w:val="Štruktúra dokumentu Char1374"/>
    <w:aliases w:val="Char9 Char Char1375,Štruktúra dokumentu Char Char Char1375,Document Map Char Char Char1375"/>
    <w:uiPriority w:val="99"/>
    <w:semiHidden/>
    <w:rPr>
      <w:rFonts w:ascii="Tahoma" w:hAnsi="Tahoma"/>
      <w:sz w:val="16"/>
      <w:lang w:val="x-none" w:eastAsia="cs-CZ"/>
    </w:rPr>
  </w:style>
  <w:style w:type="character" w:customStyle="1" w:styleId="truktradokumentuChar1373">
    <w:name w:val="Štruktúra dokumentu Char1373"/>
    <w:aliases w:val="Char9 Char Char1374,Štruktúra dokumentu Char Char Char1374,Document Map Char Char Char1374"/>
    <w:uiPriority w:val="99"/>
    <w:semiHidden/>
    <w:rPr>
      <w:rFonts w:ascii="Tahoma" w:hAnsi="Tahoma"/>
      <w:sz w:val="16"/>
      <w:lang w:val="x-none" w:eastAsia="cs-CZ"/>
    </w:rPr>
  </w:style>
  <w:style w:type="character" w:customStyle="1" w:styleId="truktradokumentuChar1372">
    <w:name w:val="Štruktúra dokumentu Char1372"/>
    <w:aliases w:val="Char9 Char Char1373,Štruktúra dokumentu Char Char Char1373,Document Map Char Char Char1373"/>
    <w:uiPriority w:val="99"/>
    <w:semiHidden/>
    <w:rPr>
      <w:rFonts w:ascii="Tahoma" w:hAnsi="Tahoma"/>
      <w:sz w:val="16"/>
      <w:lang w:val="x-none" w:eastAsia="cs-CZ"/>
    </w:rPr>
  </w:style>
  <w:style w:type="character" w:customStyle="1" w:styleId="truktradokumentuChar1371">
    <w:name w:val="Štruktúra dokumentu Char1371"/>
    <w:aliases w:val="Char9 Char Char1372,Štruktúra dokumentu Char Char Char1372,Document Map Char Char Char1372"/>
    <w:uiPriority w:val="99"/>
    <w:semiHidden/>
    <w:rPr>
      <w:rFonts w:ascii="Tahoma" w:hAnsi="Tahoma"/>
      <w:sz w:val="16"/>
      <w:lang w:val="x-none" w:eastAsia="cs-CZ"/>
    </w:rPr>
  </w:style>
  <w:style w:type="character" w:customStyle="1" w:styleId="truktradokumentuChar1370">
    <w:name w:val="Štruktúra dokumentu Char1370"/>
    <w:aliases w:val="Char9 Char Char1371,Štruktúra dokumentu Char Char Char1371,Document Map Char Char Char1371"/>
    <w:uiPriority w:val="99"/>
    <w:semiHidden/>
    <w:rPr>
      <w:rFonts w:ascii="Tahoma" w:hAnsi="Tahoma"/>
      <w:sz w:val="16"/>
      <w:lang w:val="x-none" w:eastAsia="cs-CZ"/>
    </w:rPr>
  </w:style>
  <w:style w:type="character" w:customStyle="1" w:styleId="truktradokumentuChar1369">
    <w:name w:val="Štruktúra dokumentu Char1369"/>
    <w:aliases w:val="Char9 Char Char1370,Štruktúra dokumentu Char Char Char1370,Document Map Char Char Char1370"/>
    <w:uiPriority w:val="99"/>
    <w:semiHidden/>
    <w:rPr>
      <w:rFonts w:ascii="Tahoma" w:hAnsi="Tahoma"/>
      <w:sz w:val="16"/>
      <w:lang w:val="x-none" w:eastAsia="cs-CZ"/>
    </w:rPr>
  </w:style>
  <w:style w:type="character" w:customStyle="1" w:styleId="truktradokumentuChar1368">
    <w:name w:val="Štruktúra dokumentu Char1368"/>
    <w:aliases w:val="Char9 Char Char1369,Štruktúra dokumentu Char Char Char1369,Document Map Char Char Char1369"/>
    <w:uiPriority w:val="99"/>
    <w:semiHidden/>
    <w:rPr>
      <w:rFonts w:ascii="Tahoma" w:hAnsi="Tahoma"/>
      <w:sz w:val="16"/>
      <w:lang w:val="x-none" w:eastAsia="cs-CZ"/>
    </w:rPr>
  </w:style>
  <w:style w:type="character" w:customStyle="1" w:styleId="truktradokumentuChar1367">
    <w:name w:val="Štruktúra dokumentu Char1367"/>
    <w:aliases w:val="Char9 Char Char1368,Štruktúra dokumentu Char Char Char1368,Document Map Char Char Char1368"/>
    <w:uiPriority w:val="99"/>
    <w:semiHidden/>
    <w:rPr>
      <w:rFonts w:ascii="Tahoma" w:hAnsi="Tahoma"/>
      <w:sz w:val="16"/>
      <w:lang w:val="x-none" w:eastAsia="cs-CZ"/>
    </w:rPr>
  </w:style>
  <w:style w:type="character" w:customStyle="1" w:styleId="truktradokumentuChar1366">
    <w:name w:val="Štruktúra dokumentu Char1366"/>
    <w:aliases w:val="Char9 Char Char1367,Štruktúra dokumentu Char Char Char1367,Document Map Char Char Char1367"/>
    <w:uiPriority w:val="99"/>
    <w:semiHidden/>
    <w:rPr>
      <w:rFonts w:ascii="Tahoma" w:hAnsi="Tahoma"/>
      <w:sz w:val="16"/>
      <w:lang w:val="x-none" w:eastAsia="cs-CZ"/>
    </w:rPr>
  </w:style>
  <w:style w:type="character" w:customStyle="1" w:styleId="truktradokumentuChar1365">
    <w:name w:val="Štruktúra dokumentu Char1365"/>
    <w:aliases w:val="Char9 Char Char1366,Štruktúra dokumentu Char Char Char1366,Document Map Char Char Char1366"/>
    <w:uiPriority w:val="99"/>
    <w:semiHidden/>
    <w:rPr>
      <w:rFonts w:ascii="Tahoma" w:hAnsi="Tahoma"/>
      <w:sz w:val="16"/>
      <w:lang w:val="x-none" w:eastAsia="cs-CZ"/>
    </w:rPr>
  </w:style>
  <w:style w:type="character" w:customStyle="1" w:styleId="truktradokumentuChar1364">
    <w:name w:val="Štruktúra dokumentu Char1364"/>
    <w:aliases w:val="Char9 Char Char1365,Štruktúra dokumentu Char Char Char1365,Document Map Char Char Char1365"/>
    <w:uiPriority w:val="99"/>
    <w:semiHidden/>
    <w:rPr>
      <w:rFonts w:ascii="Tahoma" w:hAnsi="Tahoma"/>
      <w:sz w:val="16"/>
      <w:lang w:val="x-none" w:eastAsia="cs-CZ"/>
    </w:rPr>
  </w:style>
  <w:style w:type="character" w:customStyle="1" w:styleId="truktradokumentuChar1363">
    <w:name w:val="Štruktúra dokumentu Char1363"/>
    <w:aliases w:val="Char9 Char Char1364,Štruktúra dokumentu Char Char Char1364,Document Map Char Char Char1364"/>
    <w:uiPriority w:val="99"/>
    <w:semiHidden/>
    <w:rPr>
      <w:rFonts w:ascii="Tahoma" w:hAnsi="Tahoma"/>
      <w:sz w:val="16"/>
      <w:lang w:val="x-none" w:eastAsia="cs-CZ"/>
    </w:rPr>
  </w:style>
  <w:style w:type="character" w:customStyle="1" w:styleId="truktradokumentuChar1362">
    <w:name w:val="Štruktúra dokumentu Char1362"/>
    <w:aliases w:val="Char9 Char Char1363,Štruktúra dokumentu Char Char Char1363,Document Map Char Char Char1363"/>
    <w:uiPriority w:val="99"/>
    <w:semiHidden/>
    <w:rPr>
      <w:rFonts w:ascii="Tahoma" w:hAnsi="Tahoma"/>
      <w:sz w:val="16"/>
      <w:lang w:val="x-none" w:eastAsia="cs-CZ"/>
    </w:rPr>
  </w:style>
  <w:style w:type="character" w:customStyle="1" w:styleId="truktradokumentuChar1361">
    <w:name w:val="Štruktúra dokumentu Char1361"/>
    <w:aliases w:val="Char9 Char Char1362,Štruktúra dokumentu Char Char Char1362,Document Map Char Char Char1362"/>
    <w:uiPriority w:val="99"/>
    <w:semiHidden/>
    <w:rPr>
      <w:rFonts w:ascii="Tahoma" w:hAnsi="Tahoma"/>
      <w:sz w:val="16"/>
      <w:lang w:val="x-none" w:eastAsia="cs-CZ"/>
    </w:rPr>
  </w:style>
  <w:style w:type="character" w:customStyle="1" w:styleId="truktradokumentuChar1360">
    <w:name w:val="Štruktúra dokumentu Char1360"/>
    <w:aliases w:val="Char9 Char Char1361,Štruktúra dokumentu Char Char Char1361,Document Map Char Char Char1361"/>
    <w:uiPriority w:val="99"/>
    <w:semiHidden/>
    <w:rPr>
      <w:rFonts w:ascii="Tahoma" w:hAnsi="Tahoma"/>
      <w:sz w:val="16"/>
      <w:lang w:val="x-none" w:eastAsia="cs-CZ"/>
    </w:rPr>
  </w:style>
  <w:style w:type="character" w:customStyle="1" w:styleId="truktradokumentuChar1359">
    <w:name w:val="Štruktúra dokumentu Char1359"/>
    <w:aliases w:val="Char9 Char Char1360,Štruktúra dokumentu Char Char Char1360,Document Map Char Char Char1360"/>
    <w:uiPriority w:val="99"/>
    <w:semiHidden/>
    <w:rPr>
      <w:rFonts w:ascii="Tahoma" w:hAnsi="Tahoma"/>
      <w:sz w:val="16"/>
      <w:lang w:val="x-none" w:eastAsia="cs-CZ"/>
    </w:rPr>
  </w:style>
  <w:style w:type="character" w:customStyle="1" w:styleId="truktradokumentuChar1358">
    <w:name w:val="Štruktúra dokumentu Char1358"/>
    <w:aliases w:val="Char9 Char Char1359,Štruktúra dokumentu Char Char Char1359,Document Map Char Char Char1359"/>
    <w:uiPriority w:val="99"/>
    <w:semiHidden/>
    <w:rPr>
      <w:rFonts w:ascii="Tahoma" w:hAnsi="Tahoma"/>
      <w:sz w:val="16"/>
      <w:lang w:val="x-none" w:eastAsia="cs-CZ"/>
    </w:rPr>
  </w:style>
  <w:style w:type="character" w:customStyle="1" w:styleId="truktradokumentuChar1357">
    <w:name w:val="Štruktúra dokumentu Char1357"/>
    <w:aliases w:val="Char9 Char Char1358,Štruktúra dokumentu Char Char Char1358,Document Map Char Char Char1358"/>
    <w:uiPriority w:val="99"/>
    <w:semiHidden/>
    <w:rPr>
      <w:rFonts w:ascii="Tahoma" w:hAnsi="Tahoma"/>
      <w:sz w:val="16"/>
      <w:lang w:val="x-none" w:eastAsia="cs-CZ"/>
    </w:rPr>
  </w:style>
  <w:style w:type="character" w:customStyle="1" w:styleId="truktradokumentuChar1356">
    <w:name w:val="Štruktúra dokumentu Char1356"/>
    <w:aliases w:val="Char9 Char Char1357,Štruktúra dokumentu Char Char Char1357,Document Map Char Char Char1357"/>
    <w:uiPriority w:val="99"/>
    <w:semiHidden/>
    <w:rPr>
      <w:rFonts w:ascii="Tahoma" w:hAnsi="Tahoma"/>
      <w:sz w:val="16"/>
      <w:lang w:val="x-none" w:eastAsia="cs-CZ"/>
    </w:rPr>
  </w:style>
  <w:style w:type="character" w:customStyle="1" w:styleId="truktradokumentuChar1355">
    <w:name w:val="Štruktúra dokumentu Char1355"/>
    <w:aliases w:val="Char9 Char Char1356,Štruktúra dokumentu Char Char Char1356,Document Map Char Char Char1356"/>
    <w:uiPriority w:val="99"/>
    <w:semiHidden/>
    <w:rPr>
      <w:rFonts w:ascii="Tahoma" w:hAnsi="Tahoma"/>
      <w:sz w:val="16"/>
      <w:lang w:val="x-none" w:eastAsia="cs-CZ"/>
    </w:rPr>
  </w:style>
  <w:style w:type="character" w:customStyle="1" w:styleId="truktradokumentuChar1354">
    <w:name w:val="Štruktúra dokumentu Char1354"/>
    <w:aliases w:val="Char9 Char Char1355,Štruktúra dokumentu Char Char Char1355,Document Map Char Char Char1355"/>
    <w:uiPriority w:val="99"/>
    <w:semiHidden/>
    <w:rPr>
      <w:rFonts w:ascii="Tahoma" w:hAnsi="Tahoma"/>
      <w:sz w:val="16"/>
      <w:lang w:val="x-none" w:eastAsia="cs-CZ"/>
    </w:rPr>
  </w:style>
  <w:style w:type="character" w:customStyle="1" w:styleId="truktradokumentuChar1353">
    <w:name w:val="Štruktúra dokumentu Char1353"/>
    <w:aliases w:val="Char9 Char Char1354,Štruktúra dokumentu Char Char Char1354,Document Map Char Char Char1354"/>
    <w:uiPriority w:val="99"/>
    <w:semiHidden/>
    <w:rPr>
      <w:rFonts w:ascii="Tahoma" w:hAnsi="Tahoma"/>
      <w:sz w:val="16"/>
      <w:lang w:val="x-none" w:eastAsia="cs-CZ"/>
    </w:rPr>
  </w:style>
  <w:style w:type="character" w:customStyle="1" w:styleId="truktradokumentuChar1352">
    <w:name w:val="Štruktúra dokumentu Char1352"/>
    <w:aliases w:val="Char9 Char Char1353,Štruktúra dokumentu Char Char Char1353,Document Map Char Char Char1353"/>
    <w:uiPriority w:val="99"/>
    <w:semiHidden/>
    <w:rPr>
      <w:rFonts w:ascii="Tahoma" w:hAnsi="Tahoma"/>
      <w:sz w:val="16"/>
      <w:lang w:val="x-none" w:eastAsia="cs-CZ"/>
    </w:rPr>
  </w:style>
  <w:style w:type="character" w:customStyle="1" w:styleId="truktradokumentuChar1351">
    <w:name w:val="Štruktúra dokumentu Char1351"/>
    <w:aliases w:val="Char9 Char Char1352,Štruktúra dokumentu Char Char Char1352,Document Map Char Char Char1352"/>
    <w:uiPriority w:val="99"/>
    <w:semiHidden/>
    <w:rPr>
      <w:rFonts w:ascii="Tahoma" w:hAnsi="Tahoma"/>
      <w:sz w:val="16"/>
      <w:lang w:val="x-none" w:eastAsia="cs-CZ"/>
    </w:rPr>
  </w:style>
  <w:style w:type="character" w:customStyle="1" w:styleId="truktradokumentuChar1350">
    <w:name w:val="Štruktúra dokumentu Char1350"/>
    <w:aliases w:val="Char9 Char Char1351,Štruktúra dokumentu Char Char Char1351,Document Map Char Char Char1351"/>
    <w:uiPriority w:val="99"/>
    <w:semiHidden/>
    <w:rPr>
      <w:rFonts w:ascii="Tahoma" w:hAnsi="Tahoma"/>
      <w:sz w:val="16"/>
      <w:lang w:val="x-none" w:eastAsia="cs-CZ"/>
    </w:rPr>
  </w:style>
  <w:style w:type="character" w:customStyle="1" w:styleId="truktradokumentuChar1349">
    <w:name w:val="Štruktúra dokumentu Char1349"/>
    <w:aliases w:val="Char9 Char Char1350,Štruktúra dokumentu Char Char Char1350,Document Map Char Char Char1350"/>
    <w:uiPriority w:val="99"/>
    <w:semiHidden/>
    <w:rPr>
      <w:rFonts w:ascii="Tahoma" w:hAnsi="Tahoma"/>
      <w:sz w:val="16"/>
      <w:lang w:val="x-none" w:eastAsia="cs-CZ"/>
    </w:rPr>
  </w:style>
  <w:style w:type="character" w:customStyle="1" w:styleId="truktradokumentuChar1348">
    <w:name w:val="Štruktúra dokumentu Char1348"/>
    <w:aliases w:val="Char9 Char Char1349,Štruktúra dokumentu Char Char Char1349,Document Map Char Char Char1349"/>
    <w:uiPriority w:val="99"/>
    <w:semiHidden/>
    <w:rPr>
      <w:rFonts w:ascii="Tahoma" w:hAnsi="Tahoma"/>
      <w:sz w:val="16"/>
      <w:lang w:val="x-none" w:eastAsia="cs-CZ"/>
    </w:rPr>
  </w:style>
  <w:style w:type="character" w:customStyle="1" w:styleId="truktradokumentuChar1347">
    <w:name w:val="Štruktúra dokumentu Char1347"/>
    <w:aliases w:val="Char9 Char Char1348,Štruktúra dokumentu Char Char Char1348,Document Map Char Char Char1348"/>
    <w:uiPriority w:val="99"/>
    <w:semiHidden/>
    <w:rPr>
      <w:rFonts w:ascii="Tahoma" w:hAnsi="Tahoma"/>
      <w:sz w:val="16"/>
      <w:lang w:val="x-none" w:eastAsia="cs-CZ"/>
    </w:rPr>
  </w:style>
  <w:style w:type="character" w:customStyle="1" w:styleId="truktradokumentuChar1346">
    <w:name w:val="Štruktúra dokumentu Char1346"/>
    <w:aliases w:val="Char9 Char Char1347,Štruktúra dokumentu Char Char Char1347,Document Map Char Char Char1347"/>
    <w:uiPriority w:val="99"/>
    <w:semiHidden/>
    <w:rPr>
      <w:rFonts w:ascii="Tahoma" w:hAnsi="Tahoma"/>
      <w:sz w:val="16"/>
      <w:lang w:val="x-none" w:eastAsia="cs-CZ"/>
    </w:rPr>
  </w:style>
  <w:style w:type="character" w:customStyle="1" w:styleId="truktradokumentuChar1345">
    <w:name w:val="Štruktúra dokumentu Char1345"/>
    <w:aliases w:val="Char9 Char Char1346,Štruktúra dokumentu Char Char Char1346,Document Map Char Char Char1346"/>
    <w:uiPriority w:val="99"/>
    <w:semiHidden/>
    <w:rPr>
      <w:rFonts w:ascii="Tahoma" w:hAnsi="Tahoma"/>
      <w:sz w:val="16"/>
      <w:lang w:val="x-none" w:eastAsia="cs-CZ"/>
    </w:rPr>
  </w:style>
  <w:style w:type="character" w:customStyle="1" w:styleId="truktradokumentuChar1344">
    <w:name w:val="Štruktúra dokumentu Char1344"/>
    <w:aliases w:val="Char9 Char Char1345,Štruktúra dokumentu Char Char Char1345,Document Map Char Char Char1345"/>
    <w:uiPriority w:val="99"/>
    <w:semiHidden/>
    <w:rPr>
      <w:rFonts w:ascii="Tahoma" w:hAnsi="Tahoma"/>
      <w:sz w:val="16"/>
      <w:lang w:val="x-none" w:eastAsia="cs-CZ"/>
    </w:rPr>
  </w:style>
  <w:style w:type="character" w:customStyle="1" w:styleId="truktradokumentuChar1343">
    <w:name w:val="Štruktúra dokumentu Char1343"/>
    <w:aliases w:val="Char9 Char Char1344,Štruktúra dokumentu Char Char Char1344,Document Map Char Char Char1344"/>
    <w:uiPriority w:val="99"/>
    <w:semiHidden/>
    <w:rPr>
      <w:rFonts w:ascii="Tahoma" w:hAnsi="Tahoma"/>
      <w:sz w:val="16"/>
      <w:lang w:val="x-none" w:eastAsia="cs-CZ"/>
    </w:rPr>
  </w:style>
  <w:style w:type="character" w:customStyle="1" w:styleId="truktradokumentuChar1342">
    <w:name w:val="Štruktúra dokumentu Char1342"/>
    <w:aliases w:val="Char9 Char Char1343,Štruktúra dokumentu Char Char Char1343,Document Map Char Char Char1343"/>
    <w:uiPriority w:val="99"/>
    <w:semiHidden/>
    <w:rPr>
      <w:rFonts w:ascii="Tahoma" w:hAnsi="Tahoma"/>
      <w:sz w:val="16"/>
      <w:lang w:val="x-none" w:eastAsia="cs-CZ"/>
    </w:rPr>
  </w:style>
  <w:style w:type="character" w:customStyle="1" w:styleId="truktradokumentuChar1341">
    <w:name w:val="Štruktúra dokumentu Char1341"/>
    <w:aliases w:val="Char9 Char Char1342,Štruktúra dokumentu Char Char Char1342,Document Map Char Char Char1342"/>
    <w:uiPriority w:val="99"/>
    <w:semiHidden/>
    <w:rPr>
      <w:rFonts w:ascii="Tahoma" w:hAnsi="Tahoma"/>
      <w:sz w:val="16"/>
      <w:lang w:val="x-none" w:eastAsia="cs-CZ"/>
    </w:rPr>
  </w:style>
  <w:style w:type="character" w:customStyle="1" w:styleId="truktradokumentuChar1340">
    <w:name w:val="Štruktúra dokumentu Char1340"/>
    <w:aliases w:val="Char9 Char Char1341,Štruktúra dokumentu Char Char Char1341,Document Map Char Char Char1341"/>
    <w:uiPriority w:val="99"/>
    <w:semiHidden/>
    <w:rPr>
      <w:rFonts w:ascii="Tahoma" w:hAnsi="Tahoma"/>
      <w:sz w:val="16"/>
      <w:lang w:val="x-none" w:eastAsia="cs-CZ"/>
    </w:rPr>
  </w:style>
  <w:style w:type="character" w:customStyle="1" w:styleId="truktradokumentuChar1339">
    <w:name w:val="Štruktúra dokumentu Char1339"/>
    <w:aliases w:val="Char9 Char Char1340,Štruktúra dokumentu Char Char Char1340,Document Map Char Char Char1340"/>
    <w:uiPriority w:val="99"/>
    <w:semiHidden/>
    <w:rPr>
      <w:rFonts w:ascii="Tahoma" w:hAnsi="Tahoma"/>
      <w:sz w:val="16"/>
      <w:lang w:val="x-none" w:eastAsia="cs-CZ"/>
    </w:rPr>
  </w:style>
  <w:style w:type="character" w:customStyle="1" w:styleId="truktradokumentuChar1338">
    <w:name w:val="Štruktúra dokumentu Char1338"/>
    <w:aliases w:val="Char9 Char Char1339,Štruktúra dokumentu Char Char Char1339,Document Map Char Char Char1339"/>
    <w:uiPriority w:val="99"/>
    <w:semiHidden/>
    <w:rPr>
      <w:rFonts w:ascii="Tahoma" w:hAnsi="Tahoma"/>
      <w:sz w:val="16"/>
      <w:lang w:val="x-none" w:eastAsia="cs-CZ"/>
    </w:rPr>
  </w:style>
  <w:style w:type="character" w:customStyle="1" w:styleId="truktradokumentuChar1337">
    <w:name w:val="Štruktúra dokumentu Char1337"/>
    <w:aliases w:val="Char9 Char Char1338,Štruktúra dokumentu Char Char Char1338,Document Map Char Char Char1338"/>
    <w:uiPriority w:val="99"/>
    <w:semiHidden/>
    <w:rPr>
      <w:rFonts w:ascii="Tahoma" w:hAnsi="Tahoma"/>
      <w:sz w:val="16"/>
      <w:lang w:val="x-none" w:eastAsia="cs-CZ"/>
    </w:rPr>
  </w:style>
  <w:style w:type="character" w:customStyle="1" w:styleId="truktradokumentuChar1336">
    <w:name w:val="Štruktúra dokumentu Char1336"/>
    <w:aliases w:val="Char9 Char Char1337,Štruktúra dokumentu Char Char Char1337,Document Map Char Char Char1337"/>
    <w:uiPriority w:val="99"/>
    <w:semiHidden/>
    <w:rPr>
      <w:rFonts w:ascii="Tahoma" w:hAnsi="Tahoma"/>
      <w:sz w:val="16"/>
      <w:lang w:val="x-none" w:eastAsia="cs-CZ"/>
    </w:rPr>
  </w:style>
  <w:style w:type="character" w:customStyle="1" w:styleId="truktradokumentuChar1335">
    <w:name w:val="Štruktúra dokumentu Char1335"/>
    <w:aliases w:val="Char9 Char Char1336,Štruktúra dokumentu Char Char Char1336,Document Map Char Char Char1336"/>
    <w:uiPriority w:val="99"/>
    <w:semiHidden/>
    <w:rPr>
      <w:rFonts w:ascii="Tahoma" w:hAnsi="Tahoma"/>
      <w:sz w:val="16"/>
      <w:lang w:val="x-none" w:eastAsia="cs-CZ"/>
    </w:rPr>
  </w:style>
  <w:style w:type="character" w:customStyle="1" w:styleId="truktradokumentuChar1334">
    <w:name w:val="Štruktúra dokumentu Char1334"/>
    <w:aliases w:val="Char9 Char Char1335,Štruktúra dokumentu Char Char Char1335,Document Map Char Char Char1335"/>
    <w:uiPriority w:val="99"/>
    <w:semiHidden/>
    <w:rPr>
      <w:rFonts w:ascii="Tahoma" w:hAnsi="Tahoma"/>
      <w:sz w:val="16"/>
      <w:lang w:val="x-none" w:eastAsia="cs-CZ"/>
    </w:rPr>
  </w:style>
  <w:style w:type="character" w:customStyle="1" w:styleId="truktradokumentuChar1333">
    <w:name w:val="Štruktúra dokumentu Char1333"/>
    <w:aliases w:val="Char9 Char Char1334,Štruktúra dokumentu Char Char Char1334,Document Map Char Char Char1334"/>
    <w:uiPriority w:val="99"/>
    <w:semiHidden/>
    <w:rPr>
      <w:rFonts w:ascii="Tahoma" w:hAnsi="Tahoma"/>
      <w:sz w:val="16"/>
      <w:lang w:val="x-none" w:eastAsia="cs-CZ"/>
    </w:rPr>
  </w:style>
  <w:style w:type="character" w:customStyle="1" w:styleId="truktradokumentuChar1332">
    <w:name w:val="Štruktúra dokumentu Char1332"/>
    <w:aliases w:val="Char9 Char Char1333,Štruktúra dokumentu Char Char Char1333,Document Map Char Char Char1333"/>
    <w:uiPriority w:val="99"/>
    <w:semiHidden/>
    <w:rPr>
      <w:rFonts w:ascii="Tahoma" w:hAnsi="Tahoma"/>
      <w:sz w:val="16"/>
      <w:lang w:val="x-none" w:eastAsia="cs-CZ"/>
    </w:rPr>
  </w:style>
  <w:style w:type="character" w:customStyle="1" w:styleId="truktradokumentuChar1331">
    <w:name w:val="Štruktúra dokumentu Char1331"/>
    <w:aliases w:val="Char9 Char Char1332,Štruktúra dokumentu Char Char Char1332,Document Map Char Char Char1332"/>
    <w:uiPriority w:val="99"/>
    <w:semiHidden/>
    <w:rPr>
      <w:rFonts w:ascii="Tahoma" w:hAnsi="Tahoma"/>
      <w:sz w:val="16"/>
      <w:lang w:val="x-none" w:eastAsia="cs-CZ"/>
    </w:rPr>
  </w:style>
  <w:style w:type="character" w:customStyle="1" w:styleId="truktradokumentuChar1330">
    <w:name w:val="Štruktúra dokumentu Char1330"/>
    <w:aliases w:val="Char9 Char Char1331,Štruktúra dokumentu Char Char Char1331,Document Map Char Char Char1331"/>
    <w:uiPriority w:val="99"/>
    <w:semiHidden/>
    <w:rPr>
      <w:rFonts w:ascii="Tahoma" w:hAnsi="Tahoma"/>
      <w:sz w:val="16"/>
      <w:lang w:val="x-none" w:eastAsia="cs-CZ"/>
    </w:rPr>
  </w:style>
  <w:style w:type="character" w:customStyle="1" w:styleId="truktradokumentuChar1329">
    <w:name w:val="Štruktúra dokumentu Char1329"/>
    <w:aliases w:val="Char9 Char Char1330,Štruktúra dokumentu Char Char Char1330,Document Map Char Char Char1330"/>
    <w:uiPriority w:val="99"/>
    <w:semiHidden/>
    <w:rPr>
      <w:rFonts w:ascii="Tahoma" w:hAnsi="Tahoma"/>
      <w:sz w:val="16"/>
      <w:lang w:val="x-none" w:eastAsia="cs-CZ"/>
    </w:rPr>
  </w:style>
  <w:style w:type="character" w:customStyle="1" w:styleId="truktradokumentuChar1328">
    <w:name w:val="Štruktúra dokumentu Char1328"/>
    <w:aliases w:val="Char9 Char Char1329,Štruktúra dokumentu Char Char Char1329,Document Map Char Char Char1329"/>
    <w:uiPriority w:val="99"/>
    <w:semiHidden/>
    <w:rPr>
      <w:rFonts w:ascii="Tahoma" w:hAnsi="Tahoma"/>
      <w:sz w:val="16"/>
      <w:lang w:val="x-none" w:eastAsia="cs-CZ"/>
    </w:rPr>
  </w:style>
  <w:style w:type="character" w:customStyle="1" w:styleId="truktradokumentuChar1327">
    <w:name w:val="Štruktúra dokumentu Char1327"/>
    <w:aliases w:val="Char9 Char Char1328,Štruktúra dokumentu Char Char Char1328,Document Map Char Char Char1328"/>
    <w:uiPriority w:val="99"/>
    <w:semiHidden/>
    <w:rPr>
      <w:rFonts w:ascii="Tahoma" w:hAnsi="Tahoma"/>
      <w:sz w:val="16"/>
      <w:lang w:val="x-none" w:eastAsia="cs-CZ"/>
    </w:rPr>
  </w:style>
  <w:style w:type="character" w:customStyle="1" w:styleId="truktradokumentuChar1326">
    <w:name w:val="Štruktúra dokumentu Char1326"/>
    <w:aliases w:val="Char9 Char Char1327,Štruktúra dokumentu Char Char Char1327,Document Map Char Char Char1327"/>
    <w:uiPriority w:val="99"/>
    <w:semiHidden/>
    <w:rPr>
      <w:rFonts w:ascii="Tahoma" w:hAnsi="Tahoma"/>
      <w:sz w:val="16"/>
      <w:lang w:val="x-none" w:eastAsia="cs-CZ"/>
    </w:rPr>
  </w:style>
  <w:style w:type="character" w:customStyle="1" w:styleId="truktradokumentuChar1325">
    <w:name w:val="Štruktúra dokumentu Char1325"/>
    <w:aliases w:val="Char9 Char Char1326,Štruktúra dokumentu Char Char Char1326,Document Map Char Char Char1326"/>
    <w:uiPriority w:val="99"/>
    <w:semiHidden/>
    <w:rPr>
      <w:rFonts w:ascii="Tahoma" w:hAnsi="Tahoma"/>
      <w:sz w:val="16"/>
      <w:lang w:val="x-none" w:eastAsia="cs-CZ"/>
    </w:rPr>
  </w:style>
  <w:style w:type="character" w:customStyle="1" w:styleId="truktradokumentuChar1324">
    <w:name w:val="Štruktúra dokumentu Char1324"/>
    <w:aliases w:val="Char9 Char Char1325,Štruktúra dokumentu Char Char Char1325,Document Map Char Char Char1325"/>
    <w:uiPriority w:val="99"/>
    <w:semiHidden/>
    <w:rPr>
      <w:rFonts w:ascii="Tahoma" w:hAnsi="Tahoma"/>
      <w:sz w:val="16"/>
      <w:lang w:val="x-none" w:eastAsia="cs-CZ"/>
    </w:rPr>
  </w:style>
  <w:style w:type="character" w:customStyle="1" w:styleId="truktradokumentuChar1323">
    <w:name w:val="Štruktúra dokumentu Char1323"/>
    <w:aliases w:val="Char9 Char Char1324,Štruktúra dokumentu Char Char Char1324,Document Map Char Char Char1324"/>
    <w:uiPriority w:val="99"/>
    <w:semiHidden/>
    <w:rPr>
      <w:rFonts w:ascii="Tahoma" w:hAnsi="Tahoma"/>
      <w:sz w:val="16"/>
      <w:lang w:val="x-none" w:eastAsia="cs-CZ"/>
    </w:rPr>
  </w:style>
  <w:style w:type="character" w:customStyle="1" w:styleId="truktradokumentuChar1322">
    <w:name w:val="Štruktúra dokumentu Char1322"/>
    <w:aliases w:val="Char9 Char Char1323,Štruktúra dokumentu Char Char Char1323,Document Map Char Char Char1323"/>
    <w:uiPriority w:val="99"/>
    <w:semiHidden/>
    <w:rPr>
      <w:rFonts w:ascii="Tahoma" w:hAnsi="Tahoma"/>
      <w:sz w:val="16"/>
      <w:lang w:val="x-none" w:eastAsia="cs-CZ"/>
    </w:rPr>
  </w:style>
  <w:style w:type="character" w:customStyle="1" w:styleId="truktradokumentuChar1321">
    <w:name w:val="Štruktúra dokumentu Char1321"/>
    <w:aliases w:val="Char9 Char Char1322,Štruktúra dokumentu Char Char Char1322,Document Map Char Char Char1322"/>
    <w:uiPriority w:val="99"/>
    <w:semiHidden/>
    <w:rPr>
      <w:rFonts w:ascii="Tahoma" w:hAnsi="Tahoma"/>
      <w:sz w:val="16"/>
      <w:lang w:val="x-none" w:eastAsia="cs-CZ"/>
    </w:rPr>
  </w:style>
  <w:style w:type="character" w:customStyle="1" w:styleId="truktradokumentuChar1320">
    <w:name w:val="Štruktúra dokumentu Char1320"/>
    <w:aliases w:val="Char9 Char Char1321,Štruktúra dokumentu Char Char Char1321,Document Map Char Char Char1321"/>
    <w:uiPriority w:val="99"/>
    <w:semiHidden/>
    <w:rPr>
      <w:rFonts w:ascii="Tahoma" w:hAnsi="Tahoma"/>
      <w:sz w:val="16"/>
      <w:lang w:val="x-none" w:eastAsia="cs-CZ"/>
    </w:rPr>
  </w:style>
  <w:style w:type="character" w:customStyle="1" w:styleId="truktradokumentuChar1319">
    <w:name w:val="Štruktúra dokumentu Char1319"/>
    <w:aliases w:val="Char9 Char Char1320,Štruktúra dokumentu Char Char Char1320,Document Map Char Char Char1320"/>
    <w:uiPriority w:val="99"/>
    <w:semiHidden/>
    <w:rPr>
      <w:rFonts w:ascii="Tahoma" w:hAnsi="Tahoma"/>
      <w:sz w:val="16"/>
      <w:lang w:val="x-none" w:eastAsia="cs-CZ"/>
    </w:rPr>
  </w:style>
  <w:style w:type="character" w:customStyle="1" w:styleId="truktradokumentuChar1318">
    <w:name w:val="Štruktúra dokumentu Char1318"/>
    <w:aliases w:val="Char9 Char Char1319,Štruktúra dokumentu Char Char Char1319,Document Map Char Char Char1319"/>
    <w:uiPriority w:val="99"/>
    <w:semiHidden/>
    <w:rPr>
      <w:rFonts w:ascii="Tahoma" w:hAnsi="Tahoma"/>
      <w:sz w:val="16"/>
      <w:lang w:val="x-none" w:eastAsia="cs-CZ"/>
    </w:rPr>
  </w:style>
  <w:style w:type="character" w:customStyle="1" w:styleId="truktradokumentuChar1317">
    <w:name w:val="Štruktúra dokumentu Char1317"/>
    <w:aliases w:val="Char9 Char Char1318,Štruktúra dokumentu Char Char Char1318,Document Map Char Char Char1318"/>
    <w:uiPriority w:val="99"/>
    <w:semiHidden/>
    <w:rPr>
      <w:rFonts w:ascii="Tahoma" w:hAnsi="Tahoma"/>
      <w:sz w:val="16"/>
      <w:lang w:val="x-none" w:eastAsia="cs-CZ"/>
    </w:rPr>
  </w:style>
  <w:style w:type="character" w:customStyle="1" w:styleId="truktradokumentuChar1316">
    <w:name w:val="Štruktúra dokumentu Char1316"/>
    <w:aliases w:val="Char9 Char Char1317,Štruktúra dokumentu Char Char Char1317,Document Map Char Char Char1317"/>
    <w:uiPriority w:val="99"/>
    <w:semiHidden/>
    <w:rPr>
      <w:rFonts w:ascii="Tahoma" w:hAnsi="Tahoma"/>
      <w:sz w:val="16"/>
      <w:lang w:val="x-none" w:eastAsia="cs-CZ"/>
    </w:rPr>
  </w:style>
  <w:style w:type="character" w:customStyle="1" w:styleId="truktradokumentuChar1315">
    <w:name w:val="Štruktúra dokumentu Char1315"/>
    <w:aliases w:val="Char9 Char Char1316,Štruktúra dokumentu Char Char Char1316,Document Map Char Char Char1316"/>
    <w:uiPriority w:val="99"/>
    <w:semiHidden/>
    <w:rPr>
      <w:rFonts w:ascii="Tahoma" w:hAnsi="Tahoma"/>
      <w:sz w:val="16"/>
      <w:lang w:val="x-none" w:eastAsia="cs-CZ"/>
    </w:rPr>
  </w:style>
  <w:style w:type="character" w:customStyle="1" w:styleId="truktradokumentuChar1314">
    <w:name w:val="Štruktúra dokumentu Char1314"/>
    <w:aliases w:val="Char9 Char Char1315,Štruktúra dokumentu Char Char Char1315,Document Map Char Char Char1315"/>
    <w:uiPriority w:val="99"/>
    <w:semiHidden/>
    <w:rPr>
      <w:rFonts w:ascii="Tahoma" w:hAnsi="Tahoma"/>
      <w:sz w:val="16"/>
      <w:lang w:val="x-none" w:eastAsia="cs-CZ"/>
    </w:rPr>
  </w:style>
  <w:style w:type="character" w:customStyle="1" w:styleId="truktradokumentuChar1313">
    <w:name w:val="Štruktúra dokumentu Char1313"/>
    <w:aliases w:val="Char9 Char Char1314,Štruktúra dokumentu Char Char Char1314,Document Map Char Char Char1314"/>
    <w:uiPriority w:val="99"/>
    <w:semiHidden/>
    <w:rPr>
      <w:rFonts w:ascii="Tahoma" w:hAnsi="Tahoma"/>
      <w:sz w:val="16"/>
      <w:lang w:val="x-none" w:eastAsia="cs-CZ"/>
    </w:rPr>
  </w:style>
  <w:style w:type="character" w:customStyle="1" w:styleId="truktradokumentuChar1312">
    <w:name w:val="Štruktúra dokumentu Char1312"/>
    <w:aliases w:val="Char9 Char Char1313,Štruktúra dokumentu Char Char Char1313,Document Map Char Char Char1313"/>
    <w:uiPriority w:val="99"/>
    <w:semiHidden/>
    <w:rPr>
      <w:rFonts w:ascii="Tahoma" w:hAnsi="Tahoma"/>
      <w:sz w:val="16"/>
      <w:lang w:val="x-none" w:eastAsia="cs-CZ"/>
    </w:rPr>
  </w:style>
  <w:style w:type="character" w:customStyle="1" w:styleId="truktradokumentuChar1311">
    <w:name w:val="Štruktúra dokumentu Char1311"/>
    <w:aliases w:val="Char9 Char Char1312,Štruktúra dokumentu Char Char Char1312,Document Map Char Char Char1312"/>
    <w:uiPriority w:val="99"/>
    <w:semiHidden/>
    <w:rPr>
      <w:rFonts w:ascii="Tahoma" w:hAnsi="Tahoma"/>
      <w:sz w:val="16"/>
      <w:lang w:val="x-none" w:eastAsia="cs-CZ"/>
    </w:rPr>
  </w:style>
  <w:style w:type="character" w:customStyle="1" w:styleId="truktradokumentuChar1310">
    <w:name w:val="Štruktúra dokumentu Char1310"/>
    <w:aliases w:val="Char9 Char Char1311,Štruktúra dokumentu Char Char Char1311,Document Map Char Char Char1311"/>
    <w:uiPriority w:val="99"/>
    <w:semiHidden/>
    <w:rPr>
      <w:rFonts w:ascii="Tahoma" w:hAnsi="Tahoma"/>
      <w:sz w:val="16"/>
      <w:lang w:val="x-none" w:eastAsia="cs-CZ"/>
    </w:rPr>
  </w:style>
  <w:style w:type="character" w:customStyle="1" w:styleId="truktradokumentuChar1309">
    <w:name w:val="Štruktúra dokumentu Char1309"/>
    <w:aliases w:val="Char9 Char Char1310,Štruktúra dokumentu Char Char Char1310,Document Map Char Char Char1310"/>
    <w:uiPriority w:val="99"/>
    <w:semiHidden/>
    <w:rPr>
      <w:rFonts w:ascii="Tahoma" w:hAnsi="Tahoma"/>
      <w:sz w:val="16"/>
      <w:lang w:val="x-none" w:eastAsia="cs-CZ"/>
    </w:rPr>
  </w:style>
  <w:style w:type="character" w:customStyle="1" w:styleId="truktradokumentuChar1308">
    <w:name w:val="Štruktúra dokumentu Char1308"/>
    <w:aliases w:val="Char9 Char Char1309,Štruktúra dokumentu Char Char Char1309,Document Map Char Char Char1309"/>
    <w:uiPriority w:val="99"/>
    <w:semiHidden/>
    <w:rPr>
      <w:rFonts w:ascii="Tahoma" w:hAnsi="Tahoma"/>
      <w:sz w:val="16"/>
      <w:lang w:val="x-none" w:eastAsia="cs-CZ"/>
    </w:rPr>
  </w:style>
  <w:style w:type="character" w:customStyle="1" w:styleId="truktradokumentuChar1307">
    <w:name w:val="Štruktúra dokumentu Char1307"/>
    <w:aliases w:val="Char9 Char Char1308,Štruktúra dokumentu Char Char Char1308,Document Map Char Char Char1308"/>
    <w:uiPriority w:val="99"/>
    <w:semiHidden/>
    <w:rPr>
      <w:rFonts w:ascii="Tahoma" w:hAnsi="Tahoma"/>
      <w:sz w:val="16"/>
      <w:lang w:val="x-none" w:eastAsia="cs-CZ"/>
    </w:rPr>
  </w:style>
  <w:style w:type="character" w:customStyle="1" w:styleId="truktradokumentuChar1306">
    <w:name w:val="Štruktúra dokumentu Char1306"/>
    <w:aliases w:val="Char9 Char Char1307,Štruktúra dokumentu Char Char Char1307,Document Map Char Char Char1307"/>
    <w:uiPriority w:val="99"/>
    <w:semiHidden/>
    <w:rPr>
      <w:rFonts w:ascii="Tahoma" w:hAnsi="Tahoma"/>
      <w:sz w:val="16"/>
      <w:lang w:val="x-none" w:eastAsia="cs-CZ"/>
    </w:rPr>
  </w:style>
  <w:style w:type="character" w:customStyle="1" w:styleId="truktradokumentuChar1305">
    <w:name w:val="Štruktúra dokumentu Char1305"/>
    <w:aliases w:val="Char9 Char Char1306,Štruktúra dokumentu Char Char Char1306,Document Map Char Char Char1306"/>
    <w:uiPriority w:val="99"/>
    <w:semiHidden/>
    <w:rPr>
      <w:rFonts w:ascii="Tahoma" w:hAnsi="Tahoma"/>
      <w:sz w:val="16"/>
      <w:lang w:val="x-none" w:eastAsia="cs-CZ"/>
    </w:rPr>
  </w:style>
  <w:style w:type="character" w:customStyle="1" w:styleId="truktradokumentuChar1304">
    <w:name w:val="Štruktúra dokumentu Char1304"/>
    <w:aliases w:val="Char9 Char Char1305,Štruktúra dokumentu Char Char Char1305,Document Map Char Char Char1305"/>
    <w:uiPriority w:val="99"/>
    <w:semiHidden/>
    <w:rPr>
      <w:rFonts w:ascii="Tahoma" w:hAnsi="Tahoma"/>
      <w:sz w:val="16"/>
      <w:lang w:val="x-none" w:eastAsia="cs-CZ"/>
    </w:rPr>
  </w:style>
  <w:style w:type="character" w:customStyle="1" w:styleId="truktradokumentuChar1303">
    <w:name w:val="Štruktúra dokumentu Char1303"/>
    <w:aliases w:val="Char9 Char Char1304,Štruktúra dokumentu Char Char Char1304,Document Map Char Char Char1304"/>
    <w:uiPriority w:val="99"/>
    <w:semiHidden/>
    <w:rPr>
      <w:rFonts w:ascii="Tahoma" w:hAnsi="Tahoma"/>
      <w:sz w:val="16"/>
      <w:lang w:val="x-none" w:eastAsia="cs-CZ"/>
    </w:rPr>
  </w:style>
  <w:style w:type="character" w:customStyle="1" w:styleId="truktradokumentuChar1302">
    <w:name w:val="Štruktúra dokumentu Char1302"/>
    <w:aliases w:val="Char9 Char Char1303,Štruktúra dokumentu Char Char Char1303,Document Map Char Char Char1303"/>
    <w:uiPriority w:val="99"/>
    <w:semiHidden/>
    <w:rPr>
      <w:rFonts w:ascii="Tahoma" w:hAnsi="Tahoma"/>
      <w:sz w:val="16"/>
      <w:lang w:val="x-none" w:eastAsia="cs-CZ"/>
    </w:rPr>
  </w:style>
  <w:style w:type="character" w:customStyle="1" w:styleId="truktradokumentuChar1301">
    <w:name w:val="Štruktúra dokumentu Char1301"/>
    <w:aliases w:val="Char9 Char Char1302,Štruktúra dokumentu Char Char Char1302,Document Map Char Char Char1302"/>
    <w:uiPriority w:val="99"/>
    <w:semiHidden/>
    <w:rPr>
      <w:rFonts w:ascii="Tahoma" w:hAnsi="Tahoma"/>
      <w:sz w:val="16"/>
      <w:lang w:val="x-none" w:eastAsia="cs-CZ"/>
    </w:rPr>
  </w:style>
  <w:style w:type="character" w:customStyle="1" w:styleId="truktradokumentuChar1300">
    <w:name w:val="Štruktúra dokumentu Char1300"/>
    <w:aliases w:val="Char9 Char Char1301,Štruktúra dokumentu Char Char Char1301,Document Map Char Char Char1301"/>
    <w:uiPriority w:val="99"/>
    <w:semiHidden/>
    <w:rPr>
      <w:rFonts w:ascii="Tahoma" w:hAnsi="Tahoma"/>
      <w:sz w:val="16"/>
      <w:lang w:val="x-none" w:eastAsia="cs-CZ"/>
    </w:rPr>
  </w:style>
  <w:style w:type="character" w:customStyle="1" w:styleId="truktradokumentuChar1299">
    <w:name w:val="Štruktúra dokumentu Char1299"/>
    <w:aliases w:val="Char9 Char Char1300,Štruktúra dokumentu Char Char Char1300,Document Map Char Char Char1300"/>
    <w:uiPriority w:val="99"/>
    <w:semiHidden/>
    <w:rPr>
      <w:rFonts w:ascii="Tahoma" w:hAnsi="Tahoma"/>
      <w:sz w:val="16"/>
      <w:lang w:val="x-none" w:eastAsia="cs-CZ"/>
    </w:rPr>
  </w:style>
  <w:style w:type="character" w:customStyle="1" w:styleId="truktradokumentuChar1298">
    <w:name w:val="Štruktúra dokumentu Char1298"/>
    <w:aliases w:val="Char9 Char Char1299,Štruktúra dokumentu Char Char Char1299,Document Map Char Char Char1299"/>
    <w:uiPriority w:val="99"/>
    <w:semiHidden/>
    <w:rPr>
      <w:rFonts w:ascii="Tahoma" w:hAnsi="Tahoma"/>
      <w:sz w:val="16"/>
      <w:lang w:val="x-none" w:eastAsia="cs-CZ"/>
    </w:rPr>
  </w:style>
  <w:style w:type="character" w:customStyle="1" w:styleId="truktradokumentuChar1297">
    <w:name w:val="Štruktúra dokumentu Char1297"/>
    <w:aliases w:val="Char9 Char Char1298,Štruktúra dokumentu Char Char Char1298,Document Map Char Char Char1298"/>
    <w:uiPriority w:val="99"/>
    <w:semiHidden/>
    <w:rPr>
      <w:rFonts w:ascii="Tahoma" w:hAnsi="Tahoma"/>
      <w:sz w:val="16"/>
      <w:lang w:val="x-none" w:eastAsia="cs-CZ"/>
    </w:rPr>
  </w:style>
  <w:style w:type="character" w:customStyle="1" w:styleId="truktradokumentuChar1296">
    <w:name w:val="Štruktúra dokumentu Char1296"/>
    <w:aliases w:val="Char9 Char Char1297,Štruktúra dokumentu Char Char Char1297,Document Map Char Char Char1297"/>
    <w:uiPriority w:val="99"/>
    <w:semiHidden/>
    <w:rPr>
      <w:rFonts w:ascii="Tahoma" w:hAnsi="Tahoma"/>
      <w:sz w:val="16"/>
      <w:lang w:val="x-none" w:eastAsia="cs-CZ"/>
    </w:rPr>
  </w:style>
  <w:style w:type="character" w:customStyle="1" w:styleId="truktradokumentuChar1295">
    <w:name w:val="Štruktúra dokumentu Char1295"/>
    <w:aliases w:val="Char9 Char Char1296,Štruktúra dokumentu Char Char Char1296,Document Map Char Char Char1296"/>
    <w:uiPriority w:val="99"/>
    <w:semiHidden/>
    <w:rPr>
      <w:rFonts w:ascii="Tahoma" w:hAnsi="Tahoma"/>
      <w:sz w:val="16"/>
      <w:lang w:val="x-none" w:eastAsia="cs-CZ"/>
    </w:rPr>
  </w:style>
  <w:style w:type="character" w:customStyle="1" w:styleId="truktradokumentuChar1294">
    <w:name w:val="Štruktúra dokumentu Char1294"/>
    <w:aliases w:val="Char9 Char Char1295,Štruktúra dokumentu Char Char Char1295,Document Map Char Char Char1295"/>
    <w:uiPriority w:val="99"/>
    <w:semiHidden/>
    <w:rPr>
      <w:rFonts w:ascii="Tahoma" w:hAnsi="Tahoma"/>
      <w:sz w:val="16"/>
      <w:lang w:val="x-none" w:eastAsia="cs-CZ"/>
    </w:rPr>
  </w:style>
  <w:style w:type="character" w:customStyle="1" w:styleId="truktradokumentuChar1293">
    <w:name w:val="Štruktúra dokumentu Char1293"/>
    <w:aliases w:val="Char9 Char Char1294,Štruktúra dokumentu Char Char Char1294,Document Map Char Char Char1294"/>
    <w:uiPriority w:val="99"/>
    <w:semiHidden/>
    <w:rPr>
      <w:rFonts w:ascii="Tahoma" w:hAnsi="Tahoma"/>
      <w:sz w:val="16"/>
      <w:lang w:val="x-none" w:eastAsia="cs-CZ"/>
    </w:rPr>
  </w:style>
  <w:style w:type="character" w:customStyle="1" w:styleId="truktradokumentuChar1292">
    <w:name w:val="Štruktúra dokumentu Char1292"/>
    <w:aliases w:val="Char9 Char Char1293,Štruktúra dokumentu Char Char Char1293,Document Map Char Char Char1293"/>
    <w:uiPriority w:val="99"/>
    <w:semiHidden/>
    <w:rPr>
      <w:rFonts w:ascii="Tahoma" w:hAnsi="Tahoma"/>
      <w:sz w:val="16"/>
      <w:lang w:val="x-none" w:eastAsia="cs-CZ"/>
    </w:rPr>
  </w:style>
  <w:style w:type="character" w:customStyle="1" w:styleId="truktradokumentuChar1291">
    <w:name w:val="Štruktúra dokumentu Char1291"/>
    <w:aliases w:val="Char9 Char Char1292,Štruktúra dokumentu Char Char Char1292,Document Map Char Char Char1292"/>
    <w:uiPriority w:val="99"/>
    <w:semiHidden/>
    <w:rPr>
      <w:rFonts w:ascii="Tahoma" w:hAnsi="Tahoma"/>
      <w:sz w:val="16"/>
      <w:lang w:val="x-none" w:eastAsia="cs-CZ"/>
    </w:rPr>
  </w:style>
  <w:style w:type="character" w:customStyle="1" w:styleId="truktradokumentuChar1290">
    <w:name w:val="Štruktúra dokumentu Char1290"/>
    <w:aliases w:val="Char9 Char Char1291,Štruktúra dokumentu Char Char Char1291,Document Map Char Char Char1291"/>
    <w:uiPriority w:val="99"/>
    <w:semiHidden/>
    <w:rPr>
      <w:rFonts w:ascii="Tahoma" w:hAnsi="Tahoma"/>
      <w:sz w:val="16"/>
      <w:lang w:val="x-none" w:eastAsia="cs-CZ"/>
    </w:rPr>
  </w:style>
  <w:style w:type="character" w:customStyle="1" w:styleId="truktradokumentuChar1289">
    <w:name w:val="Štruktúra dokumentu Char1289"/>
    <w:aliases w:val="Char9 Char Char1290,Štruktúra dokumentu Char Char Char1290,Document Map Char Char Char1290"/>
    <w:uiPriority w:val="99"/>
    <w:semiHidden/>
    <w:rPr>
      <w:rFonts w:ascii="Tahoma" w:hAnsi="Tahoma"/>
      <w:sz w:val="16"/>
      <w:lang w:val="x-none" w:eastAsia="cs-CZ"/>
    </w:rPr>
  </w:style>
  <w:style w:type="character" w:customStyle="1" w:styleId="truktradokumentuChar1288">
    <w:name w:val="Štruktúra dokumentu Char1288"/>
    <w:aliases w:val="Char9 Char Char1289,Štruktúra dokumentu Char Char Char1289,Document Map Char Char Char1289"/>
    <w:uiPriority w:val="99"/>
    <w:semiHidden/>
    <w:rPr>
      <w:rFonts w:ascii="Tahoma" w:hAnsi="Tahoma"/>
      <w:sz w:val="16"/>
      <w:lang w:val="x-none" w:eastAsia="cs-CZ"/>
    </w:rPr>
  </w:style>
  <w:style w:type="character" w:customStyle="1" w:styleId="truktradokumentuChar1287">
    <w:name w:val="Štruktúra dokumentu Char1287"/>
    <w:aliases w:val="Char9 Char Char1288,Štruktúra dokumentu Char Char Char1288,Document Map Char Char Char1288"/>
    <w:uiPriority w:val="99"/>
    <w:semiHidden/>
    <w:rPr>
      <w:rFonts w:ascii="Tahoma" w:hAnsi="Tahoma"/>
      <w:sz w:val="16"/>
      <w:lang w:val="x-none" w:eastAsia="cs-CZ"/>
    </w:rPr>
  </w:style>
  <w:style w:type="character" w:customStyle="1" w:styleId="truktradokumentuChar1286">
    <w:name w:val="Štruktúra dokumentu Char1286"/>
    <w:aliases w:val="Char9 Char Char1287,Štruktúra dokumentu Char Char Char1287,Document Map Char Char Char1287"/>
    <w:uiPriority w:val="99"/>
    <w:semiHidden/>
    <w:rPr>
      <w:rFonts w:ascii="Tahoma" w:hAnsi="Tahoma"/>
      <w:sz w:val="16"/>
      <w:lang w:val="x-none" w:eastAsia="cs-CZ"/>
    </w:rPr>
  </w:style>
  <w:style w:type="character" w:customStyle="1" w:styleId="truktradokumentuChar1285">
    <w:name w:val="Štruktúra dokumentu Char1285"/>
    <w:aliases w:val="Char9 Char Char1286,Štruktúra dokumentu Char Char Char1286,Document Map Char Char Char1286"/>
    <w:uiPriority w:val="99"/>
    <w:semiHidden/>
    <w:rPr>
      <w:rFonts w:ascii="Tahoma" w:hAnsi="Tahoma"/>
      <w:sz w:val="16"/>
      <w:lang w:val="x-none" w:eastAsia="cs-CZ"/>
    </w:rPr>
  </w:style>
  <w:style w:type="character" w:customStyle="1" w:styleId="truktradokumentuChar1284">
    <w:name w:val="Štruktúra dokumentu Char1284"/>
    <w:aliases w:val="Char9 Char Char1285,Štruktúra dokumentu Char Char Char1285,Document Map Char Char Char1285"/>
    <w:uiPriority w:val="99"/>
    <w:semiHidden/>
    <w:rPr>
      <w:rFonts w:ascii="Tahoma" w:hAnsi="Tahoma"/>
      <w:sz w:val="16"/>
      <w:lang w:val="x-none" w:eastAsia="cs-CZ"/>
    </w:rPr>
  </w:style>
  <w:style w:type="character" w:customStyle="1" w:styleId="truktradokumentuChar1283">
    <w:name w:val="Štruktúra dokumentu Char1283"/>
    <w:aliases w:val="Char9 Char Char1284,Štruktúra dokumentu Char Char Char1284,Document Map Char Char Char1284"/>
    <w:uiPriority w:val="99"/>
    <w:semiHidden/>
    <w:rPr>
      <w:rFonts w:ascii="Tahoma" w:hAnsi="Tahoma"/>
      <w:sz w:val="16"/>
      <w:lang w:val="x-none" w:eastAsia="cs-CZ"/>
    </w:rPr>
  </w:style>
  <w:style w:type="character" w:customStyle="1" w:styleId="truktradokumentuChar1282">
    <w:name w:val="Štruktúra dokumentu Char1282"/>
    <w:aliases w:val="Char9 Char Char1283,Štruktúra dokumentu Char Char Char1283,Document Map Char Char Char1283"/>
    <w:uiPriority w:val="99"/>
    <w:semiHidden/>
    <w:rPr>
      <w:rFonts w:ascii="Tahoma" w:hAnsi="Tahoma"/>
      <w:sz w:val="16"/>
      <w:lang w:val="x-none" w:eastAsia="cs-CZ"/>
    </w:rPr>
  </w:style>
  <w:style w:type="character" w:customStyle="1" w:styleId="truktradokumentuChar1281">
    <w:name w:val="Štruktúra dokumentu Char1281"/>
    <w:aliases w:val="Char9 Char Char1282,Štruktúra dokumentu Char Char Char1282,Document Map Char Char Char1282"/>
    <w:uiPriority w:val="99"/>
    <w:semiHidden/>
    <w:rPr>
      <w:rFonts w:ascii="Tahoma" w:hAnsi="Tahoma"/>
      <w:sz w:val="16"/>
      <w:lang w:val="x-none" w:eastAsia="cs-CZ"/>
    </w:rPr>
  </w:style>
  <w:style w:type="character" w:customStyle="1" w:styleId="truktradokumentuChar1280">
    <w:name w:val="Štruktúra dokumentu Char1280"/>
    <w:aliases w:val="Char9 Char Char1281,Štruktúra dokumentu Char Char Char1281,Document Map Char Char Char1281"/>
    <w:uiPriority w:val="99"/>
    <w:semiHidden/>
    <w:rPr>
      <w:rFonts w:ascii="Tahoma" w:hAnsi="Tahoma"/>
      <w:sz w:val="16"/>
      <w:lang w:val="x-none" w:eastAsia="cs-CZ"/>
    </w:rPr>
  </w:style>
  <w:style w:type="character" w:customStyle="1" w:styleId="truktradokumentuChar1279">
    <w:name w:val="Štruktúra dokumentu Char1279"/>
    <w:aliases w:val="Char9 Char Char1280,Štruktúra dokumentu Char Char Char1280,Document Map Char Char Char1280"/>
    <w:uiPriority w:val="99"/>
    <w:semiHidden/>
    <w:rPr>
      <w:rFonts w:ascii="Tahoma" w:hAnsi="Tahoma"/>
      <w:sz w:val="16"/>
      <w:lang w:val="x-none" w:eastAsia="cs-CZ"/>
    </w:rPr>
  </w:style>
  <w:style w:type="character" w:customStyle="1" w:styleId="truktradokumentuChar1278">
    <w:name w:val="Štruktúra dokumentu Char1278"/>
    <w:aliases w:val="Char9 Char Char1279,Štruktúra dokumentu Char Char Char1279,Document Map Char Char Char1279"/>
    <w:uiPriority w:val="99"/>
    <w:semiHidden/>
    <w:rPr>
      <w:rFonts w:ascii="Tahoma" w:hAnsi="Tahoma"/>
      <w:sz w:val="16"/>
      <w:lang w:val="x-none" w:eastAsia="cs-CZ"/>
    </w:rPr>
  </w:style>
  <w:style w:type="character" w:customStyle="1" w:styleId="truktradokumentuChar1277">
    <w:name w:val="Štruktúra dokumentu Char1277"/>
    <w:aliases w:val="Char9 Char Char1278,Štruktúra dokumentu Char Char Char1278,Document Map Char Char Char1278"/>
    <w:uiPriority w:val="99"/>
    <w:semiHidden/>
    <w:rPr>
      <w:rFonts w:ascii="Tahoma" w:hAnsi="Tahoma"/>
      <w:sz w:val="16"/>
      <w:lang w:val="x-none" w:eastAsia="cs-CZ"/>
    </w:rPr>
  </w:style>
  <w:style w:type="character" w:customStyle="1" w:styleId="truktradokumentuChar1276">
    <w:name w:val="Štruktúra dokumentu Char1276"/>
    <w:aliases w:val="Char9 Char Char1277,Štruktúra dokumentu Char Char Char1277,Document Map Char Char Char1277"/>
    <w:uiPriority w:val="99"/>
    <w:semiHidden/>
    <w:rPr>
      <w:rFonts w:ascii="Tahoma" w:hAnsi="Tahoma"/>
      <w:sz w:val="16"/>
      <w:lang w:val="x-none" w:eastAsia="cs-CZ"/>
    </w:rPr>
  </w:style>
  <w:style w:type="character" w:customStyle="1" w:styleId="truktradokumentuChar1275">
    <w:name w:val="Štruktúra dokumentu Char1275"/>
    <w:aliases w:val="Char9 Char Char1276,Štruktúra dokumentu Char Char Char1276,Document Map Char Char Char1276"/>
    <w:uiPriority w:val="99"/>
    <w:semiHidden/>
    <w:rPr>
      <w:rFonts w:ascii="Tahoma" w:hAnsi="Tahoma"/>
      <w:sz w:val="16"/>
      <w:lang w:val="x-none" w:eastAsia="cs-CZ"/>
    </w:rPr>
  </w:style>
  <w:style w:type="character" w:customStyle="1" w:styleId="truktradokumentuChar1274">
    <w:name w:val="Štruktúra dokumentu Char1274"/>
    <w:aliases w:val="Char9 Char Char1275,Štruktúra dokumentu Char Char Char1275,Document Map Char Char Char1275"/>
    <w:uiPriority w:val="99"/>
    <w:semiHidden/>
    <w:rPr>
      <w:rFonts w:ascii="Tahoma" w:hAnsi="Tahoma"/>
      <w:sz w:val="16"/>
      <w:lang w:val="x-none" w:eastAsia="cs-CZ"/>
    </w:rPr>
  </w:style>
  <w:style w:type="character" w:customStyle="1" w:styleId="truktradokumentuChar1273">
    <w:name w:val="Štruktúra dokumentu Char1273"/>
    <w:aliases w:val="Char9 Char Char1274,Štruktúra dokumentu Char Char Char1274,Document Map Char Char Char1274"/>
    <w:uiPriority w:val="99"/>
    <w:semiHidden/>
    <w:rPr>
      <w:rFonts w:ascii="Tahoma" w:hAnsi="Tahoma"/>
      <w:sz w:val="16"/>
      <w:lang w:val="x-none" w:eastAsia="cs-CZ"/>
    </w:rPr>
  </w:style>
  <w:style w:type="character" w:customStyle="1" w:styleId="truktradokumentuChar1272">
    <w:name w:val="Štruktúra dokumentu Char1272"/>
    <w:aliases w:val="Char9 Char Char1273,Štruktúra dokumentu Char Char Char1273,Document Map Char Char Char1273"/>
    <w:uiPriority w:val="99"/>
    <w:semiHidden/>
    <w:rPr>
      <w:rFonts w:ascii="Tahoma" w:hAnsi="Tahoma"/>
      <w:sz w:val="16"/>
      <w:lang w:val="x-none" w:eastAsia="cs-CZ"/>
    </w:rPr>
  </w:style>
  <w:style w:type="character" w:customStyle="1" w:styleId="truktradokumentuChar1271">
    <w:name w:val="Štruktúra dokumentu Char1271"/>
    <w:aliases w:val="Char9 Char Char1272,Štruktúra dokumentu Char Char Char1272,Document Map Char Char Char1272"/>
    <w:uiPriority w:val="99"/>
    <w:semiHidden/>
    <w:rPr>
      <w:rFonts w:ascii="Tahoma" w:hAnsi="Tahoma"/>
      <w:sz w:val="16"/>
      <w:lang w:val="x-none" w:eastAsia="cs-CZ"/>
    </w:rPr>
  </w:style>
  <w:style w:type="character" w:customStyle="1" w:styleId="truktradokumentuChar1270">
    <w:name w:val="Štruktúra dokumentu Char1270"/>
    <w:aliases w:val="Char9 Char Char1271,Štruktúra dokumentu Char Char Char1271,Document Map Char Char Char1271"/>
    <w:uiPriority w:val="99"/>
    <w:semiHidden/>
    <w:rPr>
      <w:rFonts w:ascii="Tahoma" w:hAnsi="Tahoma"/>
      <w:sz w:val="16"/>
      <w:lang w:val="x-none" w:eastAsia="cs-CZ"/>
    </w:rPr>
  </w:style>
  <w:style w:type="character" w:customStyle="1" w:styleId="truktradokumentuChar1269">
    <w:name w:val="Štruktúra dokumentu Char1269"/>
    <w:aliases w:val="Char9 Char Char1270,Štruktúra dokumentu Char Char Char1270,Document Map Char Char Char1270"/>
    <w:uiPriority w:val="99"/>
    <w:semiHidden/>
    <w:rPr>
      <w:rFonts w:ascii="Tahoma" w:hAnsi="Tahoma"/>
      <w:sz w:val="16"/>
      <w:lang w:val="x-none" w:eastAsia="cs-CZ"/>
    </w:rPr>
  </w:style>
  <w:style w:type="character" w:customStyle="1" w:styleId="truktradokumentuChar1268">
    <w:name w:val="Štruktúra dokumentu Char1268"/>
    <w:aliases w:val="Char9 Char Char1269,Štruktúra dokumentu Char Char Char1269,Document Map Char Char Char1269"/>
    <w:uiPriority w:val="99"/>
    <w:semiHidden/>
    <w:rPr>
      <w:rFonts w:ascii="Tahoma" w:hAnsi="Tahoma"/>
      <w:sz w:val="16"/>
      <w:lang w:val="x-none" w:eastAsia="cs-CZ"/>
    </w:rPr>
  </w:style>
  <w:style w:type="character" w:customStyle="1" w:styleId="truktradokumentuChar1267">
    <w:name w:val="Štruktúra dokumentu Char1267"/>
    <w:aliases w:val="Char9 Char Char1268,Štruktúra dokumentu Char Char Char1268,Document Map Char Char Char1268"/>
    <w:uiPriority w:val="99"/>
    <w:semiHidden/>
    <w:rPr>
      <w:rFonts w:ascii="Tahoma" w:hAnsi="Tahoma"/>
      <w:sz w:val="16"/>
      <w:lang w:val="x-none" w:eastAsia="cs-CZ"/>
    </w:rPr>
  </w:style>
  <w:style w:type="character" w:customStyle="1" w:styleId="truktradokumentuChar1266">
    <w:name w:val="Štruktúra dokumentu Char1266"/>
    <w:aliases w:val="Char9 Char Char1267,Štruktúra dokumentu Char Char Char1267,Document Map Char Char Char1267"/>
    <w:uiPriority w:val="99"/>
    <w:semiHidden/>
    <w:rPr>
      <w:rFonts w:ascii="Tahoma" w:hAnsi="Tahoma"/>
      <w:sz w:val="16"/>
      <w:lang w:val="x-none" w:eastAsia="cs-CZ"/>
    </w:rPr>
  </w:style>
  <w:style w:type="character" w:customStyle="1" w:styleId="truktradokumentuChar1265">
    <w:name w:val="Štruktúra dokumentu Char1265"/>
    <w:aliases w:val="Char9 Char Char1266,Štruktúra dokumentu Char Char Char1266,Document Map Char Char Char1266"/>
    <w:uiPriority w:val="99"/>
    <w:semiHidden/>
    <w:rPr>
      <w:rFonts w:ascii="Tahoma" w:hAnsi="Tahoma"/>
      <w:sz w:val="16"/>
      <w:lang w:val="x-none" w:eastAsia="cs-CZ"/>
    </w:rPr>
  </w:style>
  <w:style w:type="character" w:customStyle="1" w:styleId="truktradokumentuChar1264">
    <w:name w:val="Štruktúra dokumentu Char1264"/>
    <w:aliases w:val="Char9 Char Char1265,Štruktúra dokumentu Char Char Char1265,Document Map Char Char Char1265"/>
    <w:uiPriority w:val="99"/>
    <w:semiHidden/>
    <w:rPr>
      <w:rFonts w:ascii="Tahoma" w:hAnsi="Tahoma"/>
      <w:sz w:val="16"/>
      <w:lang w:val="x-none" w:eastAsia="cs-CZ"/>
    </w:rPr>
  </w:style>
  <w:style w:type="character" w:customStyle="1" w:styleId="truktradokumentuChar1263">
    <w:name w:val="Štruktúra dokumentu Char1263"/>
    <w:aliases w:val="Char9 Char Char1264,Štruktúra dokumentu Char Char Char1264,Document Map Char Char Char1264"/>
    <w:uiPriority w:val="99"/>
    <w:semiHidden/>
    <w:rPr>
      <w:rFonts w:ascii="Tahoma" w:hAnsi="Tahoma"/>
      <w:sz w:val="16"/>
      <w:lang w:val="x-none" w:eastAsia="cs-CZ"/>
    </w:rPr>
  </w:style>
  <w:style w:type="character" w:customStyle="1" w:styleId="truktradokumentuChar1262">
    <w:name w:val="Štruktúra dokumentu Char1262"/>
    <w:aliases w:val="Char9 Char Char1263,Štruktúra dokumentu Char Char Char1263,Document Map Char Char Char1263"/>
    <w:uiPriority w:val="99"/>
    <w:semiHidden/>
    <w:rPr>
      <w:rFonts w:ascii="Tahoma" w:hAnsi="Tahoma"/>
      <w:sz w:val="16"/>
      <w:lang w:val="x-none" w:eastAsia="cs-CZ"/>
    </w:rPr>
  </w:style>
  <w:style w:type="character" w:customStyle="1" w:styleId="truktradokumentuChar1261">
    <w:name w:val="Štruktúra dokumentu Char1261"/>
    <w:aliases w:val="Char9 Char Char1262,Štruktúra dokumentu Char Char Char1262,Document Map Char Char Char1262"/>
    <w:uiPriority w:val="99"/>
    <w:semiHidden/>
    <w:rPr>
      <w:rFonts w:ascii="Tahoma" w:hAnsi="Tahoma"/>
      <w:sz w:val="16"/>
      <w:lang w:val="x-none" w:eastAsia="cs-CZ"/>
    </w:rPr>
  </w:style>
  <w:style w:type="character" w:customStyle="1" w:styleId="truktradokumentuChar1260">
    <w:name w:val="Štruktúra dokumentu Char1260"/>
    <w:aliases w:val="Char9 Char Char1261,Štruktúra dokumentu Char Char Char1261,Document Map Char Char Char1261"/>
    <w:uiPriority w:val="99"/>
    <w:semiHidden/>
    <w:rPr>
      <w:rFonts w:ascii="Tahoma" w:hAnsi="Tahoma"/>
      <w:sz w:val="16"/>
      <w:lang w:val="x-none" w:eastAsia="cs-CZ"/>
    </w:rPr>
  </w:style>
  <w:style w:type="character" w:customStyle="1" w:styleId="truktradokumentuChar1259">
    <w:name w:val="Štruktúra dokumentu Char1259"/>
    <w:aliases w:val="Char9 Char Char1260,Štruktúra dokumentu Char Char Char1260,Document Map Char Char Char1260"/>
    <w:uiPriority w:val="99"/>
    <w:semiHidden/>
    <w:rPr>
      <w:rFonts w:ascii="Tahoma" w:hAnsi="Tahoma"/>
      <w:sz w:val="16"/>
      <w:lang w:val="x-none" w:eastAsia="cs-CZ"/>
    </w:rPr>
  </w:style>
  <w:style w:type="character" w:customStyle="1" w:styleId="truktradokumentuChar1258">
    <w:name w:val="Štruktúra dokumentu Char1258"/>
    <w:aliases w:val="Char9 Char Char1259,Štruktúra dokumentu Char Char Char1259,Document Map Char Char Char1259"/>
    <w:uiPriority w:val="99"/>
    <w:semiHidden/>
    <w:rPr>
      <w:rFonts w:ascii="Tahoma" w:hAnsi="Tahoma"/>
      <w:sz w:val="16"/>
      <w:lang w:val="x-none" w:eastAsia="cs-CZ"/>
    </w:rPr>
  </w:style>
  <w:style w:type="character" w:customStyle="1" w:styleId="truktradokumentuChar1257">
    <w:name w:val="Štruktúra dokumentu Char1257"/>
    <w:aliases w:val="Char9 Char Char1258,Štruktúra dokumentu Char Char Char1258,Document Map Char Char Char1258"/>
    <w:uiPriority w:val="99"/>
    <w:semiHidden/>
    <w:rPr>
      <w:rFonts w:ascii="Tahoma" w:hAnsi="Tahoma"/>
      <w:sz w:val="16"/>
      <w:lang w:val="x-none" w:eastAsia="cs-CZ"/>
    </w:rPr>
  </w:style>
  <w:style w:type="character" w:customStyle="1" w:styleId="truktradokumentuChar1256">
    <w:name w:val="Štruktúra dokumentu Char1256"/>
    <w:aliases w:val="Char9 Char Char1257,Štruktúra dokumentu Char Char Char1257,Document Map Char Char Char1257"/>
    <w:uiPriority w:val="99"/>
    <w:semiHidden/>
    <w:rPr>
      <w:rFonts w:ascii="Tahoma" w:hAnsi="Tahoma"/>
      <w:sz w:val="16"/>
      <w:lang w:val="x-none" w:eastAsia="cs-CZ"/>
    </w:rPr>
  </w:style>
  <w:style w:type="character" w:customStyle="1" w:styleId="truktradokumentuChar1255">
    <w:name w:val="Štruktúra dokumentu Char1255"/>
    <w:aliases w:val="Char9 Char Char1256,Štruktúra dokumentu Char Char Char1256,Document Map Char Char Char1256"/>
    <w:uiPriority w:val="99"/>
    <w:semiHidden/>
    <w:rPr>
      <w:rFonts w:ascii="Tahoma" w:hAnsi="Tahoma"/>
      <w:sz w:val="16"/>
      <w:lang w:val="x-none" w:eastAsia="cs-CZ"/>
    </w:rPr>
  </w:style>
  <w:style w:type="character" w:customStyle="1" w:styleId="truktradokumentuChar1254">
    <w:name w:val="Štruktúra dokumentu Char1254"/>
    <w:aliases w:val="Char9 Char Char1255,Štruktúra dokumentu Char Char Char1255,Document Map Char Char Char1255"/>
    <w:uiPriority w:val="99"/>
    <w:semiHidden/>
    <w:rPr>
      <w:rFonts w:ascii="Tahoma" w:hAnsi="Tahoma"/>
      <w:sz w:val="16"/>
      <w:lang w:val="x-none" w:eastAsia="cs-CZ"/>
    </w:rPr>
  </w:style>
  <w:style w:type="character" w:customStyle="1" w:styleId="truktradokumentuChar1253">
    <w:name w:val="Štruktúra dokumentu Char1253"/>
    <w:aliases w:val="Char9 Char Char1254,Štruktúra dokumentu Char Char Char1254,Document Map Char Char Char1254"/>
    <w:uiPriority w:val="99"/>
    <w:semiHidden/>
    <w:rPr>
      <w:rFonts w:ascii="Tahoma" w:hAnsi="Tahoma"/>
      <w:sz w:val="16"/>
      <w:lang w:val="x-none" w:eastAsia="cs-CZ"/>
    </w:rPr>
  </w:style>
  <w:style w:type="character" w:customStyle="1" w:styleId="truktradokumentuChar1252">
    <w:name w:val="Štruktúra dokumentu Char1252"/>
    <w:aliases w:val="Char9 Char Char1253,Štruktúra dokumentu Char Char Char1253,Document Map Char Char Char1253"/>
    <w:uiPriority w:val="99"/>
    <w:semiHidden/>
    <w:rPr>
      <w:rFonts w:ascii="Tahoma" w:hAnsi="Tahoma"/>
      <w:sz w:val="16"/>
      <w:lang w:val="x-none" w:eastAsia="cs-CZ"/>
    </w:rPr>
  </w:style>
  <w:style w:type="character" w:customStyle="1" w:styleId="truktradokumentuChar1251">
    <w:name w:val="Štruktúra dokumentu Char1251"/>
    <w:aliases w:val="Char9 Char Char1252,Štruktúra dokumentu Char Char Char1252,Document Map Char Char Char1252"/>
    <w:uiPriority w:val="99"/>
    <w:semiHidden/>
    <w:rPr>
      <w:rFonts w:ascii="Tahoma" w:hAnsi="Tahoma"/>
      <w:sz w:val="16"/>
      <w:lang w:val="x-none" w:eastAsia="cs-CZ"/>
    </w:rPr>
  </w:style>
  <w:style w:type="character" w:customStyle="1" w:styleId="truktradokumentuChar1250">
    <w:name w:val="Štruktúra dokumentu Char1250"/>
    <w:aliases w:val="Char9 Char Char1251,Štruktúra dokumentu Char Char Char1251,Document Map Char Char Char1251"/>
    <w:uiPriority w:val="99"/>
    <w:semiHidden/>
    <w:rPr>
      <w:rFonts w:ascii="Tahoma" w:hAnsi="Tahoma"/>
      <w:sz w:val="16"/>
      <w:lang w:val="x-none" w:eastAsia="cs-CZ"/>
    </w:rPr>
  </w:style>
  <w:style w:type="character" w:customStyle="1" w:styleId="truktradokumentuChar1249">
    <w:name w:val="Štruktúra dokumentu Char1249"/>
    <w:aliases w:val="Char9 Char Char1250,Štruktúra dokumentu Char Char Char1250,Document Map Char Char Char1250"/>
    <w:uiPriority w:val="99"/>
    <w:semiHidden/>
    <w:rPr>
      <w:rFonts w:ascii="Tahoma" w:hAnsi="Tahoma"/>
      <w:sz w:val="16"/>
      <w:lang w:val="x-none" w:eastAsia="cs-CZ"/>
    </w:rPr>
  </w:style>
  <w:style w:type="character" w:customStyle="1" w:styleId="truktradokumentuChar1248">
    <w:name w:val="Štruktúra dokumentu Char1248"/>
    <w:aliases w:val="Char9 Char Char1249,Štruktúra dokumentu Char Char Char1249,Document Map Char Char Char1249"/>
    <w:uiPriority w:val="99"/>
    <w:semiHidden/>
    <w:rPr>
      <w:rFonts w:ascii="Tahoma" w:hAnsi="Tahoma"/>
      <w:sz w:val="16"/>
      <w:lang w:val="x-none" w:eastAsia="cs-CZ"/>
    </w:rPr>
  </w:style>
  <w:style w:type="character" w:customStyle="1" w:styleId="truktradokumentuChar1247">
    <w:name w:val="Štruktúra dokumentu Char1247"/>
    <w:aliases w:val="Char9 Char Char1248,Štruktúra dokumentu Char Char Char1248,Document Map Char Char Char1248"/>
    <w:uiPriority w:val="99"/>
    <w:semiHidden/>
    <w:rPr>
      <w:rFonts w:ascii="Tahoma" w:hAnsi="Tahoma"/>
      <w:sz w:val="16"/>
      <w:lang w:val="x-none" w:eastAsia="cs-CZ"/>
    </w:rPr>
  </w:style>
  <w:style w:type="character" w:customStyle="1" w:styleId="truktradokumentuChar1246">
    <w:name w:val="Štruktúra dokumentu Char1246"/>
    <w:aliases w:val="Char9 Char Char1247,Štruktúra dokumentu Char Char Char1247,Document Map Char Char Char1247"/>
    <w:uiPriority w:val="99"/>
    <w:semiHidden/>
    <w:rPr>
      <w:rFonts w:ascii="Tahoma" w:hAnsi="Tahoma"/>
      <w:sz w:val="16"/>
      <w:lang w:val="x-none" w:eastAsia="cs-CZ"/>
    </w:rPr>
  </w:style>
  <w:style w:type="character" w:customStyle="1" w:styleId="truktradokumentuChar1245">
    <w:name w:val="Štruktúra dokumentu Char1245"/>
    <w:aliases w:val="Char9 Char Char1246,Štruktúra dokumentu Char Char Char1246,Document Map Char Char Char1246"/>
    <w:uiPriority w:val="99"/>
    <w:semiHidden/>
    <w:rPr>
      <w:rFonts w:ascii="Tahoma" w:hAnsi="Tahoma"/>
      <w:sz w:val="16"/>
      <w:lang w:val="x-none" w:eastAsia="cs-CZ"/>
    </w:rPr>
  </w:style>
  <w:style w:type="character" w:customStyle="1" w:styleId="truktradokumentuChar1244">
    <w:name w:val="Štruktúra dokumentu Char1244"/>
    <w:aliases w:val="Char9 Char Char1245,Štruktúra dokumentu Char Char Char1245,Document Map Char Char Char1245"/>
    <w:uiPriority w:val="99"/>
    <w:semiHidden/>
    <w:rPr>
      <w:rFonts w:ascii="Tahoma" w:hAnsi="Tahoma"/>
      <w:sz w:val="16"/>
      <w:lang w:val="x-none" w:eastAsia="cs-CZ"/>
    </w:rPr>
  </w:style>
  <w:style w:type="character" w:customStyle="1" w:styleId="truktradokumentuChar1243">
    <w:name w:val="Štruktúra dokumentu Char1243"/>
    <w:aliases w:val="Char9 Char Char1244,Štruktúra dokumentu Char Char Char1244,Document Map Char Char Char1244"/>
    <w:uiPriority w:val="99"/>
    <w:semiHidden/>
    <w:rPr>
      <w:rFonts w:ascii="Tahoma" w:hAnsi="Tahoma"/>
      <w:sz w:val="16"/>
      <w:lang w:val="x-none" w:eastAsia="cs-CZ"/>
    </w:rPr>
  </w:style>
  <w:style w:type="character" w:customStyle="1" w:styleId="truktradokumentuChar1242">
    <w:name w:val="Štruktúra dokumentu Char1242"/>
    <w:aliases w:val="Char9 Char Char1243,Štruktúra dokumentu Char Char Char1243,Document Map Char Char Char1243"/>
    <w:uiPriority w:val="99"/>
    <w:semiHidden/>
    <w:rPr>
      <w:rFonts w:ascii="Tahoma" w:hAnsi="Tahoma"/>
      <w:sz w:val="16"/>
      <w:lang w:val="x-none" w:eastAsia="cs-CZ"/>
    </w:rPr>
  </w:style>
  <w:style w:type="character" w:customStyle="1" w:styleId="truktradokumentuChar1241">
    <w:name w:val="Štruktúra dokumentu Char1241"/>
    <w:aliases w:val="Char9 Char Char1242,Štruktúra dokumentu Char Char Char1242,Document Map Char Char Char1242"/>
    <w:uiPriority w:val="99"/>
    <w:semiHidden/>
    <w:rPr>
      <w:rFonts w:ascii="Tahoma" w:hAnsi="Tahoma"/>
      <w:sz w:val="16"/>
      <w:lang w:val="x-none" w:eastAsia="cs-CZ"/>
    </w:rPr>
  </w:style>
  <w:style w:type="character" w:customStyle="1" w:styleId="truktradokumentuChar1240">
    <w:name w:val="Štruktúra dokumentu Char1240"/>
    <w:aliases w:val="Char9 Char Char1241,Štruktúra dokumentu Char Char Char1241,Document Map Char Char Char1241"/>
    <w:uiPriority w:val="99"/>
    <w:semiHidden/>
    <w:rPr>
      <w:rFonts w:ascii="Tahoma" w:hAnsi="Tahoma"/>
      <w:sz w:val="16"/>
      <w:lang w:val="x-none" w:eastAsia="cs-CZ"/>
    </w:rPr>
  </w:style>
  <w:style w:type="character" w:customStyle="1" w:styleId="truktradokumentuChar1239">
    <w:name w:val="Štruktúra dokumentu Char1239"/>
    <w:aliases w:val="Char9 Char Char1240,Štruktúra dokumentu Char Char Char1240,Document Map Char Char Char1240"/>
    <w:uiPriority w:val="99"/>
    <w:semiHidden/>
    <w:rPr>
      <w:rFonts w:ascii="Tahoma" w:hAnsi="Tahoma"/>
      <w:sz w:val="16"/>
      <w:lang w:val="x-none" w:eastAsia="cs-CZ"/>
    </w:rPr>
  </w:style>
  <w:style w:type="character" w:customStyle="1" w:styleId="truktradokumentuChar1238">
    <w:name w:val="Štruktúra dokumentu Char1238"/>
    <w:aliases w:val="Char9 Char Char1239,Štruktúra dokumentu Char Char Char1239,Document Map Char Char Char1239"/>
    <w:uiPriority w:val="99"/>
    <w:semiHidden/>
    <w:rPr>
      <w:rFonts w:ascii="Tahoma" w:hAnsi="Tahoma"/>
      <w:sz w:val="16"/>
      <w:lang w:val="x-none" w:eastAsia="cs-CZ"/>
    </w:rPr>
  </w:style>
  <w:style w:type="character" w:customStyle="1" w:styleId="truktradokumentuChar1237">
    <w:name w:val="Štruktúra dokumentu Char1237"/>
    <w:aliases w:val="Char9 Char Char1238,Štruktúra dokumentu Char Char Char1238,Document Map Char Char Char1238"/>
    <w:uiPriority w:val="99"/>
    <w:semiHidden/>
    <w:rPr>
      <w:rFonts w:ascii="Tahoma" w:hAnsi="Tahoma"/>
      <w:sz w:val="16"/>
      <w:lang w:val="x-none" w:eastAsia="cs-CZ"/>
    </w:rPr>
  </w:style>
  <w:style w:type="character" w:customStyle="1" w:styleId="truktradokumentuChar1236">
    <w:name w:val="Štruktúra dokumentu Char1236"/>
    <w:aliases w:val="Char9 Char Char1237,Štruktúra dokumentu Char Char Char1237,Document Map Char Char Char1237"/>
    <w:uiPriority w:val="99"/>
    <w:semiHidden/>
    <w:rPr>
      <w:rFonts w:ascii="Tahoma" w:hAnsi="Tahoma"/>
      <w:sz w:val="16"/>
      <w:lang w:val="x-none" w:eastAsia="cs-CZ"/>
    </w:rPr>
  </w:style>
  <w:style w:type="character" w:customStyle="1" w:styleId="truktradokumentuChar1235">
    <w:name w:val="Štruktúra dokumentu Char1235"/>
    <w:aliases w:val="Char9 Char Char1236,Štruktúra dokumentu Char Char Char1236,Document Map Char Char Char1236"/>
    <w:uiPriority w:val="99"/>
    <w:semiHidden/>
    <w:rPr>
      <w:rFonts w:ascii="Tahoma" w:hAnsi="Tahoma"/>
      <w:sz w:val="16"/>
      <w:lang w:val="x-none" w:eastAsia="cs-CZ"/>
    </w:rPr>
  </w:style>
  <w:style w:type="character" w:customStyle="1" w:styleId="truktradokumentuChar1234">
    <w:name w:val="Štruktúra dokumentu Char1234"/>
    <w:aliases w:val="Char9 Char Char1235,Štruktúra dokumentu Char Char Char1235,Document Map Char Char Char1235"/>
    <w:uiPriority w:val="99"/>
    <w:semiHidden/>
    <w:rPr>
      <w:rFonts w:ascii="Tahoma" w:hAnsi="Tahoma"/>
      <w:sz w:val="16"/>
      <w:lang w:val="x-none" w:eastAsia="cs-CZ"/>
    </w:rPr>
  </w:style>
  <w:style w:type="character" w:customStyle="1" w:styleId="truktradokumentuChar1233">
    <w:name w:val="Štruktúra dokumentu Char1233"/>
    <w:aliases w:val="Char9 Char Char1234,Štruktúra dokumentu Char Char Char1234,Document Map Char Char Char1234"/>
    <w:uiPriority w:val="99"/>
    <w:semiHidden/>
    <w:rPr>
      <w:rFonts w:ascii="Tahoma" w:hAnsi="Tahoma"/>
      <w:sz w:val="16"/>
      <w:lang w:val="x-none" w:eastAsia="cs-CZ"/>
    </w:rPr>
  </w:style>
  <w:style w:type="character" w:customStyle="1" w:styleId="truktradokumentuChar1232">
    <w:name w:val="Štruktúra dokumentu Char1232"/>
    <w:aliases w:val="Char9 Char Char1233,Štruktúra dokumentu Char Char Char1233,Document Map Char Char Char1233"/>
    <w:uiPriority w:val="99"/>
    <w:semiHidden/>
    <w:rPr>
      <w:rFonts w:ascii="Tahoma" w:hAnsi="Tahoma"/>
      <w:sz w:val="16"/>
      <w:lang w:val="x-none" w:eastAsia="cs-CZ"/>
    </w:rPr>
  </w:style>
  <w:style w:type="character" w:customStyle="1" w:styleId="truktradokumentuChar1231">
    <w:name w:val="Štruktúra dokumentu Char1231"/>
    <w:aliases w:val="Char9 Char Char1232,Štruktúra dokumentu Char Char Char1232,Document Map Char Char Char1232"/>
    <w:uiPriority w:val="99"/>
    <w:semiHidden/>
    <w:rPr>
      <w:rFonts w:ascii="Tahoma" w:hAnsi="Tahoma"/>
      <w:sz w:val="16"/>
      <w:lang w:val="x-none" w:eastAsia="cs-CZ"/>
    </w:rPr>
  </w:style>
  <w:style w:type="character" w:customStyle="1" w:styleId="truktradokumentuChar1230">
    <w:name w:val="Štruktúra dokumentu Char1230"/>
    <w:aliases w:val="Char9 Char Char1231,Štruktúra dokumentu Char Char Char1231,Document Map Char Char Char1231"/>
    <w:uiPriority w:val="99"/>
    <w:semiHidden/>
    <w:rPr>
      <w:rFonts w:ascii="Tahoma" w:hAnsi="Tahoma"/>
      <w:sz w:val="16"/>
      <w:lang w:val="x-none" w:eastAsia="cs-CZ"/>
    </w:rPr>
  </w:style>
  <w:style w:type="character" w:customStyle="1" w:styleId="truktradokumentuChar1229">
    <w:name w:val="Štruktúra dokumentu Char1229"/>
    <w:aliases w:val="Char9 Char Char1230,Štruktúra dokumentu Char Char Char1230,Document Map Char Char Char1230"/>
    <w:uiPriority w:val="99"/>
    <w:semiHidden/>
    <w:rPr>
      <w:rFonts w:ascii="Tahoma" w:hAnsi="Tahoma"/>
      <w:sz w:val="16"/>
      <w:lang w:val="x-none" w:eastAsia="cs-CZ"/>
    </w:rPr>
  </w:style>
  <w:style w:type="character" w:customStyle="1" w:styleId="truktradokumentuChar1228">
    <w:name w:val="Štruktúra dokumentu Char1228"/>
    <w:aliases w:val="Char9 Char Char1229,Štruktúra dokumentu Char Char Char1229,Document Map Char Char Char1229"/>
    <w:uiPriority w:val="99"/>
    <w:semiHidden/>
    <w:rPr>
      <w:rFonts w:ascii="Tahoma" w:hAnsi="Tahoma"/>
      <w:sz w:val="16"/>
      <w:lang w:val="x-none" w:eastAsia="cs-CZ"/>
    </w:rPr>
  </w:style>
  <w:style w:type="character" w:customStyle="1" w:styleId="truktradokumentuChar1227">
    <w:name w:val="Štruktúra dokumentu Char1227"/>
    <w:aliases w:val="Char9 Char Char1228,Štruktúra dokumentu Char Char Char1228,Document Map Char Char Char1228"/>
    <w:uiPriority w:val="99"/>
    <w:semiHidden/>
    <w:rPr>
      <w:rFonts w:ascii="Tahoma" w:hAnsi="Tahoma"/>
      <w:sz w:val="16"/>
      <w:lang w:val="x-none" w:eastAsia="cs-CZ"/>
    </w:rPr>
  </w:style>
  <w:style w:type="character" w:customStyle="1" w:styleId="truktradokumentuChar1226">
    <w:name w:val="Štruktúra dokumentu Char1226"/>
    <w:aliases w:val="Char9 Char Char1227,Štruktúra dokumentu Char Char Char1227,Document Map Char Char Char1227"/>
    <w:uiPriority w:val="99"/>
    <w:semiHidden/>
    <w:rPr>
      <w:rFonts w:ascii="Tahoma" w:hAnsi="Tahoma"/>
      <w:sz w:val="16"/>
      <w:lang w:val="x-none" w:eastAsia="cs-CZ"/>
    </w:rPr>
  </w:style>
  <w:style w:type="character" w:customStyle="1" w:styleId="truktradokumentuChar1225">
    <w:name w:val="Štruktúra dokumentu Char1225"/>
    <w:aliases w:val="Char9 Char Char1226,Štruktúra dokumentu Char Char Char1226,Document Map Char Char Char1226"/>
    <w:uiPriority w:val="99"/>
    <w:semiHidden/>
    <w:rPr>
      <w:rFonts w:ascii="Tahoma" w:hAnsi="Tahoma"/>
      <w:sz w:val="16"/>
      <w:lang w:val="x-none" w:eastAsia="cs-CZ"/>
    </w:rPr>
  </w:style>
  <w:style w:type="character" w:customStyle="1" w:styleId="truktradokumentuChar1224">
    <w:name w:val="Štruktúra dokumentu Char1224"/>
    <w:aliases w:val="Char9 Char Char1225,Štruktúra dokumentu Char Char Char1225,Document Map Char Char Char1225"/>
    <w:uiPriority w:val="99"/>
    <w:semiHidden/>
    <w:rPr>
      <w:rFonts w:ascii="Tahoma" w:hAnsi="Tahoma"/>
      <w:sz w:val="16"/>
      <w:lang w:val="x-none" w:eastAsia="cs-CZ"/>
    </w:rPr>
  </w:style>
  <w:style w:type="character" w:customStyle="1" w:styleId="truktradokumentuChar1223">
    <w:name w:val="Štruktúra dokumentu Char1223"/>
    <w:aliases w:val="Char9 Char Char1224,Štruktúra dokumentu Char Char Char1224,Document Map Char Char Char1224"/>
    <w:uiPriority w:val="99"/>
    <w:semiHidden/>
    <w:rPr>
      <w:rFonts w:ascii="Tahoma" w:hAnsi="Tahoma"/>
      <w:sz w:val="16"/>
      <w:lang w:val="x-none" w:eastAsia="cs-CZ"/>
    </w:rPr>
  </w:style>
  <w:style w:type="character" w:customStyle="1" w:styleId="truktradokumentuChar1222">
    <w:name w:val="Štruktúra dokumentu Char1222"/>
    <w:aliases w:val="Char9 Char Char1223,Štruktúra dokumentu Char Char Char1223,Document Map Char Char Char1223"/>
    <w:uiPriority w:val="99"/>
    <w:semiHidden/>
    <w:rPr>
      <w:rFonts w:ascii="Tahoma" w:hAnsi="Tahoma"/>
      <w:sz w:val="16"/>
      <w:lang w:val="x-none" w:eastAsia="cs-CZ"/>
    </w:rPr>
  </w:style>
  <w:style w:type="character" w:customStyle="1" w:styleId="truktradokumentuChar1221">
    <w:name w:val="Štruktúra dokumentu Char1221"/>
    <w:aliases w:val="Char9 Char Char1222,Štruktúra dokumentu Char Char Char1222,Document Map Char Char Char1222"/>
    <w:uiPriority w:val="99"/>
    <w:semiHidden/>
    <w:rPr>
      <w:rFonts w:ascii="Tahoma" w:hAnsi="Tahoma"/>
      <w:sz w:val="16"/>
      <w:lang w:val="x-none" w:eastAsia="cs-CZ"/>
    </w:rPr>
  </w:style>
  <w:style w:type="character" w:customStyle="1" w:styleId="truktradokumentuChar1220">
    <w:name w:val="Štruktúra dokumentu Char1220"/>
    <w:aliases w:val="Char9 Char Char1221,Štruktúra dokumentu Char Char Char1221,Document Map Char Char Char1221"/>
    <w:uiPriority w:val="99"/>
    <w:semiHidden/>
    <w:rPr>
      <w:rFonts w:ascii="Tahoma" w:hAnsi="Tahoma"/>
      <w:sz w:val="16"/>
      <w:lang w:val="x-none" w:eastAsia="cs-CZ"/>
    </w:rPr>
  </w:style>
  <w:style w:type="character" w:customStyle="1" w:styleId="truktradokumentuChar1219">
    <w:name w:val="Štruktúra dokumentu Char1219"/>
    <w:aliases w:val="Char9 Char Char1220,Štruktúra dokumentu Char Char Char1220,Document Map Char Char Char1220"/>
    <w:uiPriority w:val="99"/>
    <w:semiHidden/>
    <w:rPr>
      <w:rFonts w:ascii="Tahoma" w:hAnsi="Tahoma"/>
      <w:sz w:val="16"/>
      <w:lang w:val="x-none" w:eastAsia="cs-CZ"/>
    </w:rPr>
  </w:style>
  <w:style w:type="character" w:customStyle="1" w:styleId="truktradokumentuChar1218">
    <w:name w:val="Štruktúra dokumentu Char1218"/>
    <w:aliases w:val="Char9 Char Char1219,Štruktúra dokumentu Char Char Char1219,Document Map Char Char Char1219"/>
    <w:uiPriority w:val="99"/>
    <w:semiHidden/>
    <w:rPr>
      <w:rFonts w:ascii="Tahoma" w:hAnsi="Tahoma"/>
      <w:sz w:val="16"/>
      <w:lang w:val="x-none" w:eastAsia="cs-CZ"/>
    </w:rPr>
  </w:style>
  <w:style w:type="character" w:customStyle="1" w:styleId="truktradokumentuChar1217">
    <w:name w:val="Štruktúra dokumentu Char1217"/>
    <w:aliases w:val="Char9 Char Char1218,Štruktúra dokumentu Char Char Char1218,Document Map Char Char Char1218"/>
    <w:uiPriority w:val="99"/>
    <w:semiHidden/>
    <w:rPr>
      <w:rFonts w:ascii="Tahoma" w:hAnsi="Tahoma"/>
      <w:sz w:val="16"/>
      <w:lang w:val="x-none" w:eastAsia="cs-CZ"/>
    </w:rPr>
  </w:style>
  <w:style w:type="character" w:customStyle="1" w:styleId="truktradokumentuChar1216">
    <w:name w:val="Štruktúra dokumentu Char1216"/>
    <w:aliases w:val="Char9 Char Char1217,Štruktúra dokumentu Char Char Char1217,Document Map Char Char Char1217"/>
    <w:uiPriority w:val="99"/>
    <w:semiHidden/>
    <w:rPr>
      <w:rFonts w:ascii="Tahoma" w:hAnsi="Tahoma"/>
      <w:sz w:val="16"/>
      <w:lang w:val="x-none" w:eastAsia="cs-CZ"/>
    </w:rPr>
  </w:style>
  <w:style w:type="character" w:customStyle="1" w:styleId="truktradokumentuChar1215">
    <w:name w:val="Štruktúra dokumentu Char1215"/>
    <w:aliases w:val="Char9 Char Char1216,Štruktúra dokumentu Char Char Char1216,Document Map Char Char Char1216"/>
    <w:uiPriority w:val="99"/>
    <w:semiHidden/>
    <w:rPr>
      <w:rFonts w:ascii="Tahoma" w:hAnsi="Tahoma"/>
      <w:sz w:val="16"/>
      <w:lang w:val="x-none" w:eastAsia="cs-CZ"/>
    </w:rPr>
  </w:style>
  <w:style w:type="character" w:customStyle="1" w:styleId="truktradokumentuChar1214">
    <w:name w:val="Štruktúra dokumentu Char1214"/>
    <w:aliases w:val="Char9 Char Char1215,Štruktúra dokumentu Char Char Char1215,Document Map Char Char Char1215"/>
    <w:uiPriority w:val="99"/>
    <w:semiHidden/>
    <w:rPr>
      <w:rFonts w:ascii="Tahoma" w:hAnsi="Tahoma"/>
      <w:sz w:val="16"/>
      <w:lang w:val="x-none" w:eastAsia="cs-CZ"/>
    </w:rPr>
  </w:style>
  <w:style w:type="character" w:customStyle="1" w:styleId="truktradokumentuChar1213">
    <w:name w:val="Štruktúra dokumentu Char1213"/>
    <w:aliases w:val="Char9 Char Char1214,Štruktúra dokumentu Char Char Char1214,Document Map Char Char Char1214"/>
    <w:uiPriority w:val="99"/>
    <w:semiHidden/>
    <w:rPr>
      <w:rFonts w:ascii="Tahoma" w:hAnsi="Tahoma"/>
      <w:sz w:val="16"/>
      <w:lang w:val="x-none" w:eastAsia="cs-CZ"/>
    </w:rPr>
  </w:style>
  <w:style w:type="character" w:customStyle="1" w:styleId="truktradokumentuChar1212">
    <w:name w:val="Štruktúra dokumentu Char1212"/>
    <w:aliases w:val="Char9 Char Char1213,Štruktúra dokumentu Char Char Char1213,Document Map Char Char Char1213"/>
    <w:uiPriority w:val="99"/>
    <w:semiHidden/>
    <w:rPr>
      <w:rFonts w:ascii="Tahoma" w:hAnsi="Tahoma"/>
      <w:sz w:val="16"/>
      <w:lang w:val="x-none" w:eastAsia="cs-CZ"/>
    </w:rPr>
  </w:style>
  <w:style w:type="character" w:customStyle="1" w:styleId="truktradokumentuChar1211">
    <w:name w:val="Štruktúra dokumentu Char1211"/>
    <w:aliases w:val="Char9 Char Char1212,Štruktúra dokumentu Char Char Char1212,Document Map Char Char Char1212"/>
    <w:uiPriority w:val="99"/>
    <w:semiHidden/>
    <w:rPr>
      <w:rFonts w:ascii="Tahoma" w:hAnsi="Tahoma"/>
      <w:sz w:val="16"/>
      <w:lang w:val="x-none" w:eastAsia="cs-CZ"/>
    </w:rPr>
  </w:style>
  <w:style w:type="character" w:customStyle="1" w:styleId="truktradokumentuChar1210">
    <w:name w:val="Štruktúra dokumentu Char1210"/>
    <w:aliases w:val="Char9 Char Char1211,Štruktúra dokumentu Char Char Char1211,Document Map Char Char Char1211"/>
    <w:uiPriority w:val="99"/>
    <w:semiHidden/>
    <w:rPr>
      <w:rFonts w:ascii="Tahoma" w:hAnsi="Tahoma"/>
      <w:sz w:val="16"/>
      <w:lang w:val="x-none" w:eastAsia="cs-CZ"/>
    </w:rPr>
  </w:style>
  <w:style w:type="character" w:customStyle="1" w:styleId="truktradokumentuChar1209">
    <w:name w:val="Štruktúra dokumentu Char1209"/>
    <w:aliases w:val="Char9 Char Char1210,Štruktúra dokumentu Char Char Char1210,Document Map Char Char Char1210"/>
    <w:uiPriority w:val="99"/>
    <w:semiHidden/>
    <w:rPr>
      <w:rFonts w:ascii="Tahoma" w:hAnsi="Tahoma"/>
      <w:sz w:val="16"/>
      <w:lang w:val="x-none" w:eastAsia="cs-CZ"/>
    </w:rPr>
  </w:style>
  <w:style w:type="character" w:customStyle="1" w:styleId="truktradokumentuChar1208">
    <w:name w:val="Štruktúra dokumentu Char1208"/>
    <w:aliases w:val="Char9 Char Char1209,Štruktúra dokumentu Char Char Char1209,Document Map Char Char Char1209"/>
    <w:uiPriority w:val="99"/>
    <w:semiHidden/>
    <w:rPr>
      <w:rFonts w:ascii="Tahoma" w:hAnsi="Tahoma"/>
      <w:sz w:val="16"/>
      <w:lang w:val="x-none" w:eastAsia="cs-CZ"/>
    </w:rPr>
  </w:style>
  <w:style w:type="character" w:customStyle="1" w:styleId="truktradokumentuChar1207">
    <w:name w:val="Štruktúra dokumentu Char1207"/>
    <w:aliases w:val="Char9 Char Char1208,Štruktúra dokumentu Char Char Char1208,Document Map Char Char Char1208"/>
    <w:uiPriority w:val="99"/>
    <w:semiHidden/>
    <w:rPr>
      <w:rFonts w:ascii="Tahoma" w:hAnsi="Tahoma"/>
      <w:sz w:val="16"/>
      <w:lang w:val="x-none" w:eastAsia="cs-CZ"/>
    </w:rPr>
  </w:style>
  <w:style w:type="character" w:customStyle="1" w:styleId="truktradokumentuChar1206">
    <w:name w:val="Štruktúra dokumentu Char1206"/>
    <w:aliases w:val="Char9 Char Char1207,Štruktúra dokumentu Char Char Char1207,Document Map Char Char Char1207"/>
    <w:uiPriority w:val="99"/>
    <w:semiHidden/>
    <w:rPr>
      <w:rFonts w:ascii="Tahoma" w:hAnsi="Tahoma"/>
      <w:sz w:val="16"/>
      <w:lang w:val="x-none" w:eastAsia="cs-CZ"/>
    </w:rPr>
  </w:style>
  <w:style w:type="character" w:customStyle="1" w:styleId="truktradokumentuChar1205">
    <w:name w:val="Štruktúra dokumentu Char1205"/>
    <w:aliases w:val="Char9 Char Char1206,Štruktúra dokumentu Char Char Char1206,Document Map Char Char Char1206"/>
    <w:uiPriority w:val="99"/>
    <w:semiHidden/>
    <w:rPr>
      <w:rFonts w:ascii="Tahoma" w:hAnsi="Tahoma"/>
      <w:sz w:val="16"/>
      <w:lang w:val="x-none" w:eastAsia="cs-CZ"/>
    </w:rPr>
  </w:style>
  <w:style w:type="character" w:customStyle="1" w:styleId="truktradokumentuChar1204">
    <w:name w:val="Štruktúra dokumentu Char1204"/>
    <w:aliases w:val="Char9 Char Char1205,Štruktúra dokumentu Char Char Char1205,Document Map Char Char Char1205"/>
    <w:uiPriority w:val="99"/>
    <w:semiHidden/>
    <w:rPr>
      <w:rFonts w:ascii="Tahoma" w:hAnsi="Tahoma"/>
      <w:sz w:val="16"/>
      <w:lang w:val="x-none" w:eastAsia="cs-CZ"/>
    </w:rPr>
  </w:style>
  <w:style w:type="character" w:customStyle="1" w:styleId="truktradokumentuChar1203">
    <w:name w:val="Štruktúra dokumentu Char1203"/>
    <w:aliases w:val="Char9 Char Char1204,Štruktúra dokumentu Char Char Char1204,Document Map Char Char Char1204"/>
    <w:uiPriority w:val="99"/>
    <w:semiHidden/>
    <w:rPr>
      <w:rFonts w:ascii="Tahoma" w:hAnsi="Tahoma"/>
      <w:sz w:val="16"/>
      <w:lang w:val="x-none" w:eastAsia="cs-CZ"/>
    </w:rPr>
  </w:style>
  <w:style w:type="character" w:customStyle="1" w:styleId="truktradokumentuChar1202">
    <w:name w:val="Štruktúra dokumentu Char1202"/>
    <w:aliases w:val="Char9 Char Char1203,Štruktúra dokumentu Char Char Char1203,Document Map Char Char Char1203"/>
    <w:uiPriority w:val="99"/>
    <w:semiHidden/>
    <w:rPr>
      <w:rFonts w:ascii="Tahoma" w:hAnsi="Tahoma"/>
      <w:sz w:val="16"/>
      <w:lang w:val="x-none" w:eastAsia="cs-CZ"/>
    </w:rPr>
  </w:style>
  <w:style w:type="character" w:customStyle="1" w:styleId="truktradokumentuChar1201">
    <w:name w:val="Štruktúra dokumentu Char1201"/>
    <w:aliases w:val="Char9 Char Char1202,Štruktúra dokumentu Char Char Char1202,Document Map Char Char Char1202"/>
    <w:uiPriority w:val="99"/>
    <w:semiHidden/>
    <w:rPr>
      <w:rFonts w:ascii="Tahoma" w:hAnsi="Tahoma"/>
      <w:sz w:val="16"/>
      <w:lang w:val="x-none" w:eastAsia="cs-CZ"/>
    </w:rPr>
  </w:style>
  <w:style w:type="character" w:customStyle="1" w:styleId="truktradokumentuChar1200">
    <w:name w:val="Štruktúra dokumentu Char1200"/>
    <w:aliases w:val="Char9 Char Char1201,Štruktúra dokumentu Char Char Char1201,Document Map Char Char Char1201"/>
    <w:uiPriority w:val="99"/>
    <w:semiHidden/>
    <w:rPr>
      <w:rFonts w:ascii="Tahoma" w:hAnsi="Tahoma"/>
      <w:sz w:val="16"/>
      <w:lang w:val="x-none" w:eastAsia="cs-CZ"/>
    </w:rPr>
  </w:style>
  <w:style w:type="character" w:customStyle="1" w:styleId="truktradokumentuChar1199">
    <w:name w:val="Štruktúra dokumentu Char1199"/>
    <w:aliases w:val="Char9 Char Char1200,Štruktúra dokumentu Char Char Char1200,Document Map Char Char Char1200"/>
    <w:uiPriority w:val="99"/>
    <w:semiHidden/>
    <w:rPr>
      <w:rFonts w:ascii="Tahoma" w:hAnsi="Tahoma"/>
      <w:sz w:val="16"/>
      <w:lang w:val="x-none" w:eastAsia="cs-CZ"/>
    </w:rPr>
  </w:style>
  <w:style w:type="character" w:customStyle="1" w:styleId="truktradokumentuChar1198">
    <w:name w:val="Štruktúra dokumentu Char1198"/>
    <w:aliases w:val="Char9 Char Char1199,Štruktúra dokumentu Char Char Char1199,Document Map Char Char Char1199"/>
    <w:uiPriority w:val="99"/>
    <w:semiHidden/>
    <w:rPr>
      <w:rFonts w:ascii="Tahoma" w:hAnsi="Tahoma"/>
      <w:sz w:val="16"/>
      <w:lang w:val="x-none" w:eastAsia="cs-CZ"/>
    </w:rPr>
  </w:style>
  <w:style w:type="character" w:customStyle="1" w:styleId="truktradokumentuChar1197">
    <w:name w:val="Štruktúra dokumentu Char1197"/>
    <w:aliases w:val="Char9 Char Char1198,Štruktúra dokumentu Char Char Char1198,Document Map Char Char Char1198"/>
    <w:uiPriority w:val="99"/>
    <w:semiHidden/>
    <w:rPr>
      <w:rFonts w:ascii="Tahoma" w:hAnsi="Tahoma"/>
      <w:sz w:val="16"/>
      <w:lang w:val="x-none" w:eastAsia="cs-CZ"/>
    </w:rPr>
  </w:style>
  <w:style w:type="character" w:customStyle="1" w:styleId="truktradokumentuChar1196">
    <w:name w:val="Štruktúra dokumentu Char1196"/>
    <w:aliases w:val="Char9 Char Char1197,Štruktúra dokumentu Char Char Char1197,Document Map Char Char Char1197"/>
    <w:uiPriority w:val="99"/>
    <w:semiHidden/>
    <w:rPr>
      <w:rFonts w:ascii="Tahoma" w:hAnsi="Tahoma"/>
      <w:sz w:val="16"/>
      <w:lang w:val="x-none" w:eastAsia="cs-CZ"/>
    </w:rPr>
  </w:style>
  <w:style w:type="character" w:customStyle="1" w:styleId="truktradokumentuChar1195">
    <w:name w:val="Štruktúra dokumentu Char1195"/>
    <w:aliases w:val="Char9 Char Char1196,Štruktúra dokumentu Char Char Char1196,Document Map Char Char Char1196"/>
    <w:uiPriority w:val="99"/>
    <w:semiHidden/>
    <w:rPr>
      <w:rFonts w:ascii="Tahoma" w:hAnsi="Tahoma"/>
      <w:sz w:val="16"/>
      <w:lang w:val="x-none" w:eastAsia="cs-CZ"/>
    </w:rPr>
  </w:style>
  <w:style w:type="character" w:customStyle="1" w:styleId="truktradokumentuChar1194">
    <w:name w:val="Štruktúra dokumentu Char1194"/>
    <w:aliases w:val="Char9 Char Char1195,Štruktúra dokumentu Char Char Char1195,Document Map Char Char Char1195"/>
    <w:uiPriority w:val="99"/>
    <w:semiHidden/>
    <w:rPr>
      <w:rFonts w:ascii="Tahoma" w:hAnsi="Tahoma"/>
      <w:sz w:val="16"/>
      <w:lang w:val="x-none" w:eastAsia="cs-CZ"/>
    </w:rPr>
  </w:style>
  <w:style w:type="character" w:customStyle="1" w:styleId="truktradokumentuChar1193">
    <w:name w:val="Štruktúra dokumentu Char1193"/>
    <w:aliases w:val="Char9 Char Char1194,Štruktúra dokumentu Char Char Char1194,Document Map Char Char Char1194"/>
    <w:uiPriority w:val="99"/>
    <w:semiHidden/>
    <w:rPr>
      <w:rFonts w:ascii="Tahoma" w:hAnsi="Tahoma"/>
      <w:sz w:val="16"/>
      <w:lang w:val="x-none" w:eastAsia="cs-CZ"/>
    </w:rPr>
  </w:style>
  <w:style w:type="character" w:customStyle="1" w:styleId="truktradokumentuChar1192">
    <w:name w:val="Štruktúra dokumentu Char1192"/>
    <w:aliases w:val="Char9 Char Char1193,Štruktúra dokumentu Char Char Char1193,Document Map Char Char Char1193"/>
    <w:uiPriority w:val="99"/>
    <w:semiHidden/>
    <w:rPr>
      <w:rFonts w:ascii="Tahoma" w:hAnsi="Tahoma"/>
      <w:sz w:val="16"/>
      <w:lang w:val="x-none" w:eastAsia="cs-CZ"/>
    </w:rPr>
  </w:style>
  <w:style w:type="character" w:customStyle="1" w:styleId="truktradokumentuChar1191">
    <w:name w:val="Štruktúra dokumentu Char1191"/>
    <w:aliases w:val="Char9 Char Char1192,Štruktúra dokumentu Char Char Char1192,Document Map Char Char Char1192"/>
    <w:uiPriority w:val="99"/>
    <w:semiHidden/>
    <w:rPr>
      <w:rFonts w:ascii="Tahoma" w:hAnsi="Tahoma"/>
      <w:sz w:val="16"/>
      <w:lang w:val="x-none" w:eastAsia="cs-CZ"/>
    </w:rPr>
  </w:style>
  <w:style w:type="character" w:customStyle="1" w:styleId="truktradokumentuChar1190">
    <w:name w:val="Štruktúra dokumentu Char1190"/>
    <w:aliases w:val="Char9 Char Char1191,Štruktúra dokumentu Char Char Char1191,Document Map Char Char Char1191"/>
    <w:uiPriority w:val="99"/>
    <w:semiHidden/>
    <w:rPr>
      <w:rFonts w:ascii="Tahoma" w:hAnsi="Tahoma"/>
      <w:sz w:val="16"/>
      <w:lang w:val="x-none" w:eastAsia="cs-CZ"/>
    </w:rPr>
  </w:style>
  <w:style w:type="character" w:customStyle="1" w:styleId="truktradokumentuChar1189">
    <w:name w:val="Štruktúra dokumentu Char1189"/>
    <w:aliases w:val="Char9 Char Char1190,Štruktúra dokumentu Char Char Char1190,Document Map Char Char Char1190"/>
    <w:uiPriority w:val="99"/>
    <w:semiHidden/>
    <w:rPr>
      <w:rFonts w:ascii="Tahoma" w:hAnsi="Tahoma"/>
      <w:sz w:val="16"/>
      <w:lang w:val="x-none" w:eastAsia="cs-CZ"/>
    </w:rPr>
  </w:style>
  <w:style w:type="character" w:customStyle="1" w:styleId="truktradokumentuChar1188">
    <w:name w:val="Štruktúra dokumentu Char1188"/>
    <w:aliases w:val="Char9 Char Char1189,Štruktúra dokumentu Char Char Char1189,Document Map Char Char Char1189"/>
    <w:uiPriority w:val="99"/>
    <w:semiHidden/>
    <w:rPr>
      <w:rFonts w:ascii="Tahoma" w:hAnsi="Tahoma"/>
      <w:sz w:val="16"/>
      <w:lang w:val="x-none" w:eastAsia="cs-CZ"/>
    </w:rPr>
  </w:style>
  <w:style w:type="character" w:customStyle="1" w:styleId="truktradokumentuChar1187">
    <w:name w:val="Štruktúra dokumentu Char1187"/>
    <w:aliases w:val="Char9 Char Char1188,Štruktúra dokumentu Char Char Char1188,Document Map Char Char Char1188"/>
    <w:uiPriority w:val="99"/>
    <w:semiHidden/>
    <w:rPr>
      <w:rFonts w:ascii="Tahoma" w:hAnsi="Tahoma"/>
      <w:sz w:val="16"/>
      <w:lang w:val="x-none" w:eastAsia="cs-CZ"/>
    </w:rPr>
  </w:style>
  <w:style w:type="character" w:customStyle="1" w:styleId="truktradokumentuChar1186">
    <w:name w:val="Štruktúra dokumentu Char1186"/>
    <w:aliases w:val="Char9 Char Char1187,Štruktúra dokumentu Char Char Char1187,Document Map Char Char Char1187"/>
    <w:uiPriority w:val="99"/>
    <w:semiHidden/>
    <w:rPr>
      <w:rFonts w:ascii="Tahoma" w:hAnsi="Tahoma"/>
      <w:sz w:val="16"/>
      <w:lang w:val="x-none" w:eastAsia="cs-CZ"/>
    </w:rPr>
  </w:style>
  <w:style w:type="character" w:customStyle="1" w:styleId="truktradokumentuChar1185">
    <w:name w:val="Štruktúra dokumentu Char1185"/>
    <w:aliases w:val="Char9 Char Char1186,Štruktúra dokumentu Char Char Char1186,Document Map Char Char Char1186"/>
    <w:uiPriority w:val="99"/>
    <w:semiHidden/>
    <w:rPr>
      <w:rFonts w:ascii="Tahoma" w:hAnsi="Tahoma"/>
      <w:sz w:val="16"/>
      <w:lang w:val="x-none" w:eastAsia="cs-CZ"/>
    </w:rPr>
  </w:style>
  <w:style w:type="character" w:customStyle="1" w:styleId="truktradokumentuChar1184">
    <w:name w:val="Štruktúra dokumentu Char1184"/>
    <w:aliases w:val="Char9 Char Char1185,Štruktúra dokumentu Char Char Char1185,Document Map Char Char Char1185"/>
    <w:uiPriority w:val="99"/>
    <w:semiHidden/>
    <w:rPr>
      <w:rFonts w:ascii="Tahoma" w:hAnsi="Tahoma"/>
      <w:sz w:val="16"/>
      <w:lang w:val="x-none" w:eastAsia="cs-CZ"/>
    </w:rPr>
  </w:style>
  <w:style w:type="character" w:customStyle="1" w:styleId="truktradokumentuChar1183">
    <w:name w:val="Štruktúra dokumentu Char1183"/>
    <w:aliases w:val="Char9 Char Char1184,Štruktúra dokumentu Char Char Char1184,Document Map Char Char Char1184"/>
    <w:uiPriority w:val="99"/>
    <w:semiHidden/>
    <w:rPr>
      <w:rFonts w:ascii="Tahoma" w:hAnsi="Tahoma"/>
      <w:sz w:val="16"/>
      <w:lang w:val="x-none" w:eastAsia="cs-CZ"/>
    </w:rPr>
  </w:style>
  <w:style w:type="character" w:customStyle="1" w:styleId="truktradokumentuChar1182">
    <w:name w:val="Štruktúra dokumentu Char1182"/>
    <w:aliases w:val="Char9 Char Char1183,Štruktúra dokumentu Char Char Char1183,Document Map Char Char Char1183"/>
    <w:uiPriority w:val="99"/>
    <w:semiHidden/>
    <w:rPr>
      <w:rFonts w:ascii="Tahoma" w:hAnsi="Tahoma"/>
      <w:sz w:val="16"/>
      <w:lang w:val="x-none" w:eastAsia="cs-CZ"/>
    </w:rPr>
  </w:style>
  <w:style w:type="character" w:customStyle="1" w:styleId="truktradokumentuChar1181">
    <w:name w:val="Štruktúra dokumentu Char1181"/>
    <w:aliases w:val="Char9 Char Char1182,Štruktúra dokumentu Char Char Char1182,Document Map Char Char Char1182"/>
    <w:uiPriority w:val="99"/>
    <w:semiHidden/>
    <w:rPr>
      <w:rFonts w:ascii="Tahoma" w:hAnsi="Tahoma"/>
      <w:sz w:val="16"/>
      <w:lang w:val="x-none" w:eastAsia="cs-CZ"/>
    </w:rPr>
  </w:style>
  <w:style w:type="character" w:customStyle="1" w:styleId="truktradokumentuChar1180">
    <w:name w:val="Štruktúra dokumentu Char1180"/>
    <w:aliases w:val="Char9 Char Char1181,Štruktúra dokumentu Char Char Char1181,Document Map Char Char Char1181"/>
    <w:uiPriority w:val="99"/>
    <w:semiHidden/>
    <w:rPr>
      <w:rFonts w:ascii="Tahoma" w:hAnsi="Tahoma"/>
      <w:sz w:val="16"/>
      <w:lang w:val="x-none" w:eastAsia="cs-CZ"/>
    </w:rPr>
  </w:style>
  <w:style w:type="character" w:customStyle="1" w:styleId="truktradokumentuChar1179">
    <w:name w:val="Štruktúra dokumentu Char1179"/>
    <w:aliases w:val="Char9 Char Char1180,Štruktúra dokumentu Char Char Char1180,Document Map Char Char Char1180"/>
    <w:uiPriority w:val="99"/>
    <w:semiHidden/>
    <w:rPr>
      <w:rFonts w:ascii="Tahoma" w:hAnsi="Tahoma"/>
      <w:sz w:val="16"/>
      <w:lang w:val="x-none" w:eastAsia="cs-CZ"/>
    </w:rPr>
  </w:style>
  <w:style w:type="character" w:customStyle="1" w:styleId="truktradokumentuChar1178">
    <w:name w:val="Štruktúra dokumentu Char1178"/>
    <w:aliases w:val="Char9 Char Char1179,Štruktúra dokumentu Char Char Char1179,Document Map Char Char Char1179"/>
    <w:uiPriority w:val="99"/>
    <w:semiHidden/>
    <w:rPr>
      <w:rFonts w:ascii="Tahoma" w:hAnsi="Tahoma"/>
      <w:sz w:val="16"/>
      <w:lang w:val="x-none" w:eastAsia="cs-CZ"/>
    </w:rPr>
  </w:style>
  <w:style w:type="character" w:customStyle="1" w:styleId="truktradokumentuChar1177">
    <w:name w:val="Štruktúra dokumentu Char1177"/>
    <w:aliases w:val="Char9 Char Char1178,Štruktúra dokumentu Char Char Char1178,Document Map Char Char Char1178"/>
    <w:uiPriority w:val="99"/>
    <w:semiHidden/>
    <w:rPr>
      <w:rFonts w:ascii="Tahoma" w:hAnsi="Tahoma"/>
      <w:sz w:val="16"/>
      <w:lang w:val="x-none" w:eastAsia="cs-CZ"/>
    </w:rPr>
  </w:style>
  <w:style w:type="character" w:customStyle="1" w:styleId="truktradokumentuChar1176">
    <w:name w:val="Štruktúra dokumentu Char1176"/>
    <w:aliases w:val="Char9 Char Char1177,Štruktúra dokumentu Char Char Char1177,Document Map Char Char Char1177"/>
    <w:uiPriority w:val="99"/>
    <w:semiHidden/>
    <w:rPr>
      <w:rFonts w:ascii="Tahoma" w:hAnsi="Tahoma"/>
      <w:sz w:val="16"/>
      <w:lang w:val="x-none" w:eastAsia="cs-CZ"/>
    </w:rPr>
  </w:style>
  <w:style w:type="character" w:customStyle="1" w:styleId="truktradokumentuChar1175">
    <w:name w:val="Štruktúra dokumentu Char1175"/>
    <w:aliases w:val="Char9 Char Char1176,Štruktúra dokumentu Char Char Char1176,Document Map Char Char Char1176"/>
    <w:uiPriority w:val="99"/>
    <w:semiHidden/>
    <w:rPr>
      <w:rFonts w:ascii="Tahoma" w:hAnsi="Tahoma"/>
      <w:sz w:val="16"/>
      <w:lang w:val="x-none" w:eastAsia="cs-CZ"/>
    </w:rPr>
  </w:style>
  <w:style w:type="character" w:customStyle="1" w:styleId="truktradokumentuChar1174">
    <w:name w:val="Štruktúra dokumentu Char1174"/>
    <w:aliases w:val="Char9 Char Char1175,Štruktúra dokumentu Char Char Char1175,Document Map Char Char Char1175"/>
    <w:uiPriority w:val="99"/>
    <w:semiHidden/>
    <w:rPr>
      <w:rFonts w:ascii="Tahoma" w:hAnsi="Tahoma"/>
      <w:sz w:val="16"/>
      <w:lang w:val="x-none" w:eastAsia="cs-CZ"/>
    </w:rPr>
  </w:style>
  <w:style w:type="character" w:customStyle="1" w:styleId="truktradokumentuChar1173">
    <w:name w:val="Štruktúra dokumentu Char1173"/>
    <w:aliases w:val="Char9 Char Char1174,Štruktúra dokumentu Char Char Char1174,Document Map Char Char Char1174"/>
    <w:uiPriority w:val="99"/>
    <w:semiHidden/>
    <w:rPr>
      <w:rFonts w:ascii="Tahoma" w:hAnsi="Tahoma"/>
      <w:sz w:val="16"/>
      <w:lang w:val="x-none" w:eastAsia="cs-CZ"/>
    </w:rPr>
  </w:style>
  <w:style w:type="character" w:customStyle="1" w:styleId="truktradokumentuChar1172">
    <w:name w:val="Štruktúra dokumentu Char1172"/>
    <w:aliases w:val="Char9 Char Char1173,Štruktúra dokumentu Char Char Char1173,Document Map Char Char Char1173"/>
    <w:uiPriority w:val="99"/>
    <w:semiHidden/>
    <w:rPr>
      <w:rFonts w:ascii="Tahoma" w:hAnsi="Tahoma"/>
      <w:sz w:val="16"/>
      <w:lang w:val="x-none" w:eastAsia="cs-CZ"/>
    </w:rPr>
  </w:style>
  <w:style w:type="character" w:customStyle="1" w:styleId="truktradokumentuChar1171">
    <w:name w:val="Štruktúra dokumentu Char1171"/>
    <w:aliases w:val="Char9 Char Char1172,Štruktúra dokumentu Char Char Char1172,Document Map Char Char Char1172"/>
    <w:uiPriority w:val="99"/>
    <w:semiHidden/>
    <w:rPr>
      <w:rFonts w:ascii="Tahoma" w:hAnsi="Tahoma"/>
      <w:sz w:val="16"/>
      <w:lang w:val="x-none" w:eastAsia="cs-CZ"/>
    </w:rPr>
  </w:style>
  <w:style w:type="character" w:customStyle="1" w:styleId="truktradokumentuChar1165">
    <w:name w:val="Štruktúra dokumentu Char1165"/>
    <w:aliases w:val="Char9 Char Char1166,Štruktúra dokumentu Char Char Char1166,Document Map Char Char Char1166"/>
    <w:uiPriority w:val="99"/>
    <w:semiHidden/>
    <w:rPr>
      <w:rFonts w:ascii="Tahoma" w:hAnsi="Tahoma"/>
      <w:sz w:val="16"/>
      <w:lang w:val="x-none" w:eastAsia="cs-CZ"/>
    </w:rPr>
  </w:style>
  <w:style w:type="character" w:customStyle="1" w:styleId="truktradokumentuChar1164">
    <w:name w:val="Štruktúra dokumentu Char1164"/>
    <w:aliases w:val="Char9 Char Char1165,Štruktúra dokumentu Char Char Char1165,Document Map Char Char Char1165"/>
    <w:uiPriority w:val="99"/>
    <w:semiHidden/>
    <w:rPr>
      <w:rFonts w:ascii="Tahoma" w:hAnsi="Tahoma"/>
      <w:sz w:val="16"/>
      <w:lang w:val="x-none" w:eastAsia="cs-CZ"/>
    </w:rPr>
  </w:style>
  <w:style w:type="character" w:customStyle="1" w:styleId="truktradokumentuChar1163">
    <w:name w:val="Štruktúra dokumentu Char1163"/>
    <w:aliases w:val="Char9 Char Char1164,Štruktúra dokumentu Char Char Char1164,Document Map Char Char Char1164"/>
    <w:uiPriority w:val="99"/>
    <w:semiHidden/>
    <w:rPr>
      <w:rFonts w:ascii="Tahoma" w:hAnsi="Tahoma"/>
      <w:sz w:val="16"/>
      <w:lang w:val="x-none" w:eastAsia="cs-CZ"/>
    </w:rPr>
  </w:style>
  <w:style w:type="character" w:customStyle="1" w:styleId="truktradokumentuChar1162">
    <w:name w:val="Štruktúra dokumentu Char1162"/>
    <w:aliases w:val="Char9 Char Char1163,Štruktúra dokumentu Char Char Char1163,Document Map Char Char Char1163"/>
    <w:uiPriority w:val="99"/>
    <w:semiHidden/>
    <w:rPr>
      <w:rFonts w:ascii="Tahoma" w:hAnsi="Tahoma"/>
      <w:sz w:val="16"/>
      <w:lang w:val="x-none" w:eastAsia="cs-CZ"/>
    </w:rPr>
  </w:style>
  <w:style w:type="character" w:customStyle="1" w:styleId="truktradokumentuChar1161">
    <w:name w:val="Štruktúra dokumentu Char1161"/>
    <w:aliases w:val="Char9 Char Char1162,Štruktúra dokumentu Char Char Char1162,Document Map Char Char Char1162"/>
    <w:uiPriority w:val="99"/>
    <w:semiHidden/>
    <w:rPr>
      <w:rFonts w:ascii="Tahoma" w:hAnsi="Tahoma"/>
      <w:sz w:val="16"/>
      <w:lang w:val="x-none" w:eastAsia="cs-CZ"/>
    </w:rPr>
  </w:style>
  <w:style w:type="character" w:customStyle="1" w:styleId="truktradokumentuChar1160">
    <w:name w:val="Štruktúra dokumentu Char1160"/>
    <w:aliases w:val="Char9 Char Char1161,Štruktúra dokumentu Char Char Char1161,Document Map Char Char Char1161"/>
    <w:uiPriority w:val="99"/>
    <w:semiHidden/>
    <w:rPr>
      <w:rFonts w:ascii="Tahoma" w:hAnsi="Tahoma"/>
      <w:sz w:val="16"/>
      <w:lang w:val="x-none" w:eastAsia="cs-CZ"/>
    </w:rPr>
  </w:style>
  <w:style w:type="character" w:customStyle="1" w:styleId="truktradokumentuChar1159">
    <w:name w:val="Štruktúra dokumentu Char1159"/>
    <w:aliases w:val="Char9 Char Char1160,Štruktúra dokumentu Char Char Char1160,Document Map Char Char Char1160"/>
    <w:uiPriority w:val="99"/>
    <w:semiHidden/>
    <w:rPr>
      <w:rFonts w:ascii="Tahoma" w:hAnsi="Tahoma"/>
      <w:sz w:val="16"/>
      <w:lang w:val="x-none" w:eastAsia="cs-CZ"/>
    </w:rPr>
  </w:style>
  <w:style w:type="character" w:customStyle="1" w:styleId="truktradokumentuChar1158">
    <w:name w:val="Štruktúra dokumentu Char1158"/>
    <w:aliases w:val="Char9 Char Char1159,Štruktúra dokumentu Char Char Char1159,Document Map Char Char Char1159"/>
    <w:uiPriority w:val="99"/>
    <w:semiHidden/>
    <w:rPr>
      <w:rFonts w:ascii="Tahoma" w:hAnsi="Tahoma"/>
      <w:sz w:val="16"/>
      <w:lang w:val="x-none" w:eastAsia="cs-CZ"/>
    </w:rPr>
  </w:style>
  <w:style w:type="character" w:customStyle="1" w:styleId="truktradokumentuChar1157">
    <w:name w:val="Štruktúra dokumentu Char1157"/>
    <w:aliases w:val="Char9 Char Char1158,Štruktúra dokumentu Char Char Char1158,Document Map Char Char Char1158"/>
    <w:uiPriority w:val="99"/>
    <w:semiHidden/>
    <w:rPr>
      <w:rFonts w:ascii="Tahoma" w:hAnsi="Tahoma"/>
      <w:sz w:val="16"/>
      <w:lang w:val="x-none" w:eastAsia="cs-CZ"/>
    </w:rPr>
  </w:style>
  <w:style w:type="character" w:customStyle="1" w:styleId="truktradokumentuChar1156">
    <w:name w:val="Štruktúra dokumentu Char1156"/>
    <w:aliases w:val="Char9 Char Char1157,Štruktúra dokumentu Char Char Char1157,Document Map Char Char Char1157"/>
    <w:uiPriority w:val="99"/>
    <w:semiHidden/>
    <w:rPr>
      <w:rFonts w:ascii="Tahoma" w:hAnsi="Tahoma"/>
      <w:sz w:val="16"/>
      <w:lang w:val="x-none" w:eastAsia="cs-CZ"/>
    </w:rPr>
  </w:style>
  <w:style w:type="character" w:customStyle="1" w:styleId="truktradokumentuChar1155">
    <w:name w:val="Štruktúra dokumentu Char1155"/>
    <w:aliases w:val="Char9 Char Char1156,Štruktúra dokumentu Char Char Char1156,Document Map Char Char Char1156"/>
    <w:uiPriority w:val="99"/>
    <w:semiHidden/>
    <w:rPr>
      <w:rFonts w:ascii="Tahoma" w:hAnsi="Tahoma"/>
      <w:sz w:val="16"/>
      <w:lang w:val="x-none" w:eastAsia="cs-CZ"/>
    </w:rPr>
  </w:style>
  <w:style w:type="character" w:customStyle="1" w:styleId="truktradokumentuChar1154">
    <w:name w:val="Štruktúra dokumentu Char1154"/>
    <w:aliases w:val="Char9 Char Char1155,Štruktúra dokumentu Char Char Char1155,Document Map Char Char Char1155"/>
    <w:uiPriority w:val="99"/>
    <w:semiHidden/>
    <w:rPr>
      <w:rFonts w:ascii="Tahoma" w:hAnsi="Tahoma"/>
      <w:sz w:val="16"/>
      <w:lang w:val="x-none" w:eastAsia="cs-CZ"/>
    </w:rPr>
  </w:style>
  <w:style w:type="character" w:customStyle="1" w:styleId="truktradokumentuChar1153">
    <w:name w:val="Štruktúra dokumentu Char1153"/>
    <w:aliases w:val="Char9 Char Char1154,Štruktúra dokumentu Char Char Char1154,Document Map Char Char Char1154"/>
    <w:uiPriority w:val="99"/>
    <w:semiHidden/>
    <w:rPr>
      <w:rFonts w:ascii="Tahoma" w:hAnsi="Tahoma"/>
      <w:sz w:val="16"/>
      <w:lang w:val="x-none" w:eastAsia="cs-CZ"/>
    </w:rPr>
  </w:style>
  <w:style w:type="character" w:customStyle="1" w:styleId="truktradokumentuChar1152">
    <w:name w:val="Štruktúra dokumentu Char1152"/>
    <w:aliases w:val="Char9 Char Char1153,Štruktúra dokumentu Char Char Char1153,Document Map Char Char Char1153"/>
    <w:uiPriority w:val="99"/>
    <w:semiHidden/>
    <w:rPr>
      <w:rFonts w:ascii="Tahoma" w:hAnsi="Tahoma"/>
      <w:sz w:val="16"/>
      <w:lang w:val="x-none" w:eastAsia="cs-CZ"/>
    </w:rPr>
  </w:style>
  <w:style w:type="character" w:customStyle="1" w:styleId="truktradokumentuChar1151">
    <w:name w:val="Štruktúra dokumentu Char1151"/>
    <w:aliases w:val="Char9 Char Char1152,Štruktúra dokumentu Char Char Char1152,Document Map Char Char Char1152"/>
    <w:uiPriority w:val="99"/>
    <w:semiHidden/>
    <w:rPr>
      <w:rFonts w:ascii="Tahoma" w:hAnsi="Tahoma"/>
      <w:sz w:val="16"/>
      <w:lang w:val="x-none" w:eastAsia="cs-CZ"/>
    </w:rPr>
  </w:style>
  <w:style w:type="character" w:customStyle="1" w:styleId="truktradokumentuChar1150">
    <w:name w:val="Štruktúra dokumentu Char1150"/>
    <w:aliases w:val="Char9 Char Char1151,Štruktúra dokumentu Char Char Char1151,Document Map Char Char Char1151"/>
    <w:uiPriority w:val="99"/>
    <w:semiHidden/>
    <w:rPr>
      <w:rFonts w:ascii="Tahoma" w:hAnsi="Tahoma"/>
      <w:sz w:val="16"/>
      <w:lang w:val="x-none" w:eastAsia="cs-CZ"/>
    </w:rPr>
  </w:style>
  <w:style w:type="character" w:customStyle="1" w:styleId="truktradokumentuChar1149">
    <w:name w:val="Štruktúra dokumentu Char1149"/>
    <w:aliases w:val="Char9 Char Char1150,Štruktúra dokumentu Char Char Char1150,Document Map Char Char Char1150"/>
    <w:uiPriority w:val="99"/>
    <w:semiHidden/>
    <w:rPr>
      <w:rFonts w:ascii="Tahoma" w:hAnsi="Tahoma"/>
      <w:sz w:val="16"/>
      <w:lang w:val="x-none" w:eastAsia="cs-CZ"/>
    </w:rPr>
  </w:style>
  <w:style w:type="character" w:customStyle="1" w:styleId="truktradokumentuChar1148">
    <w:name w:val="Štruktúra dokumentu Char1148"/>
    <w:aliases w:val="Char9 Char Char1149,Štruktúra dokumentu Char Char Char1149,Document Map Char Char Char1149"/>
    <w:uiPriority w:val="99"/>
    <w:semiHidden/>
    <w:rPr>
      <w:rFonts w:ascii="Tahoma" w:hAnsi="Tahoma"/>
      <w:sz w:val="16"/>
      <w:lang w:val="x-none" w:eastAsia="cs-CZ"/>
    </w:rPr>
  </w:style>
  <w:style w:type="character" w:customStyle="1" w:styleId="truktradokumentuChar1147">
    <w:name w:val="Štruktúra dokumentu Char1147"/>
    <w:aliases w:val="Char9 Char Char1148,Štruktúra dokumentu Char Char Char1148,Document Map Char Char Char1148"/>
    <w:uiPriority w:val="99"/>
    <w:semiHidden/>
    <w:rPr>
      <w:rFonts w:ascii="Tahoma" w:hAnsi="Tahoma"/>
      <w:sz w:val="16"/>
      <w:lang w:val="x-none" w:eastAsia="cs-CZ"/>
    </w:rPr>
  </w:style>
  <w:style w:type="character" w:customStyle="1" w:styleId="truktradokumentuChar1146">
    <w:name w:val="Štruktúra dokumentu Char1146"/>
    <w:aliases w:val="Char9 Char Char1147,Štruktúra dokumentu Char Char Char1147,Document Map Char Char Char1147"/>
    <w:uiPriority w:val="99"/>
    <w:semiHidden/>
    <w:rPr>
      <w:rFonts w:ascii="Tahoma" w:hAnsi="Tahoma"/>
      <w:sz w:val="16"/>
      <w:lang w:val="x-none" w:eastAsia="cs-CZ"/>
    </w:rPr>
  </w:style>
  <w:style w:type="character" w:customStyle="1" w:styleId="truktradokumentuChar1145">
    <w:name w:val="Štruktúra dokumentu Char1145"/>
    <w:aliases w:val="Char9 Char Char1146,Štruktúra dokumentu Char Char Char1146,Document Map Char Char Char1146"/>
    <w:uiPriority w:val="99"/>
    <w:semiHidden/>
    <w:rPr>
      <w:rFonts w:ascii="Tahoma" w:hAnsi="Tahoma"/>
      <w:sz w:val="16"/>
      <w:lang w:val="x-none" w:eastAsia="cs-CZ"/>
    </w:rPr>
  </w:style>
  <w:style w:type="character" w:customStyle="1" w:styleId="truktradokumentuChar1144">
    <w:name w:val="Štruktúra dokumentu Char1144"/>
    <w:aliases w:val="Char9 Char Char1145,Štruktúra dokumentu Char Char Char1145,Document Map Char Char Char1145"/>
    <w:uiPriority w:val="99"/>
    <w:semiHidden/>
    <w:rPr>
      <w:rFonts w:ascii="Tahoma" w:hAnsi="Tahoma"/>
      <w:sz w:val="16"/>
      <w:lang w:val="x-none" w:eastAsia="cs-CZ"/>
    </w:rPr>
  </w:style>
  <w:style w:type="character" w:customStyle="1" w:styleId="truktradokumentuChar1143">
    <w:name w:val="Štruktúra dokumentu Char1143"/>
    <w:aliases w:val="Char9 Char Char1144,Štruktúra dokumentu Char Char Char1144,Document Map Char Char Char1144"/>
    <w:uiPriority w:val="99"/>
    <w:semiHidden/>
    <w:rPr>
      <w:rFonts w:ascii="Tahoma" w:hAnsi="Tahoma"/>
      <w:sz w:val="16"/>
      <w:lang w:val="x-none" w:eastAsia="cs-CZ"/>
    </w:rPr>
  </w:style>
  <w:style w:type="character" w:customStyle="1" w:styleId="truktradokumentuChar1142">
    <w:name w:val="Štruktúra dokumentu Char1142"/>
    <w:aliases w:val="Char9 Char Char1143,Štruktúra dokumentu Char Char Char1143,Document Map Char Char Char1143"/>
    <w:uiPriority w:val="99"/>
    <w:semiHidden/>
    <w:rPr>
      <w:rFonts w:ascii="Tahoma" w:hAnsi="Tahoma"/>
      <w:sz w:val="16"/>
      <w:lang w:val="x-none" w:eastAsia="cs-CZ"/>
    </w:rPr>
  </w:style>
  <w:style w:type="character" w:customStyle="1" w:styleId="truktradokumentuChar1141">
    <w:name w:val="Štruktúra dokumentu Char1141"/>
    <w:aliases w:val="Char9 Char Char1142,Štruktúra dokumentu Char Char Char1142,Document Map Char Char Char1142"/>
    <w:uiPriority w:val="99"/>
    <w:semiHidden/>
    <w:rPr>
      <w:rFonts w:ascii="Tahoma" w:hAnsi="Tahoma"/>
      <w:sz w:val="16"/>
      <w:lang w:val="x-none" w:eastAsia="cs-CZ"/>
    </w:rPr>
  </w:style>
  <w:style w:type="character" w:customStyle="1" w:styleId="truktradokumentuChar1140">
    <w:name w:val="Štruktúra dokumentu Char1140"/>
    <w:aliases w:val="Char9 Char Char1141,Štruktúra dokumentu Char Char Char1141,Document Map Char Char Char1141"/>
    <w:uiPriority w:val="99"/>
    <w:semiHidden/>
    <w:rPr>
      <w:rFonts w:ascii="Tahoma" w:hAnsi="Tahoma"/>
      <w:sz w:val="16"/>
      <w:lang w:val="x-none" w:eastAsia="cs-CZ"/>
    </w:rPr>
  </w:style>
  <w:style w:type="character" w:customStyle="1" w:styleId="truktradokumentuChar1139">
    <w:name w:val="Štruktúra dokumentu Char1139"/>
    <w:aliases w:val="Char9 Char Char1140,Štruktúra dokumentu Char Char Char1140,Document Map Char Char Char1140"/>
    <w:uiPriority w:val="99"/>
    <w:semiHidden/>
    <w:rPr>
      <w:rFonts w:ascii="Tahoma" w:hAnsi="Tahoma"/>
      <w:sz w:val="16"/>
      <w:lang w:val="x-none" w:eastAsia="cs-CZ"/>
    </w:rPr>
  </w:style>
  <w:style w:type="character" w:customStyle="1" w:styleId="truktradokumentuChar1138">
    <w:name w:val="Štruktúra dokumentu Char1138"/>
    <w:aliases w:val="Char9 Char Char1139,Štruktúra dokumentu Char Char Char1139,Document Map Char Char Char1139"/>
    <w:uiPriority w:val="99"/>
    <w:semiHidden/>
    <w:rPr>
      <w:rFonts w:ascii="Tahoma" w:hAnsi="Tahoma"/>
      <w:sz w:val="16"/>
      <w:lang w:val="x-none" w:eastAsia="cs-CZ"/>
    </w:rPr>
  </w:style>
  <w:style w:type="character" w:customStyle="1" w:styleId="truktradokumentuChar1137">
    <w:name w:val="Štruktúra dokumentu Char1137"/>
    <w:aliases w:val="Char9 Char Char1138,Štruktúra dokumentu Char Char Char1138,Document Map Char Char Char1138"/>
    <w:uiPriority w:val="99"/>
    <w:semiHidden/>
    <w:rPr>
      <w:rFonts w:ascii="Tahoma" w:hAnsi="Tahoma"/>
      <w:sz w:val="16"/>
      <w:lang w:val="x-none" w:eastAsia="cs-CZ"/>
    </w:rPr>
  </w:style>
  <w:style w:type="character" w:customStyle="1" w:styleId="truktradokumentuChar1136">
    <w:name w:val="Štruktúra dokumentu Char1136"/>
    <w:aliases w:val="Char9 Char Char1137,Štruktúra dokumentu Char Char Char1137,Document Map Char Char Char1137"/>
    <w:uiPriority w:val="99"/>
    <w:semiHidden/>
    <w:rPr>
      <w:rFonts w:ascii="Tahoma" w:hAnsi="Tahoma"/>
      <w:sz w:val="16"/>
      <w:lang w:val="x-none" w:eastAsia="cs-CZ"/>
    </w:rPr>
  </w:style>
  <w:style w:type="character" w:customStyle="1" w:styleId="truktradokumentuChar1135">
    <w:name w:val="Štruktúra dokumentu Char1135"/>
    <w:aliases w:val="Char9 Char Char1136,Štruktúra dokumentu Char Char Char1136,Document Map Char Char Char1136"/>
    <w:uiPriority w:val="99"/>
    <w:semiHidden/>
    <w:rPr>
      <w:rFonts w:ascii="Tahoma" w:hAnsi="Tahoma"/>
      <w:sz w:val="16"/>
      <w:lang w:val="x-none" w:eastAsia="cs-CZ"/>
    </w:rPr>
  </w:style>
  <w:style w:type="character" w:customStyle="1" w:styleId="truktradokumentuChar1134">
    <w:name w:val="Štruktúra dokumentu Char1134"/>
    <w:aliases w:val="Char9 Char Char1135,Štruktúra dokumentu Char Char Char1135,Document Map Char Char Char1135"/>
    <w:uiPriority w:val="99"/>
    <w:semiHidden/>
    <w:rPr>
      <w:rFonts w:ascii="Tahoma" w:hAnsi="Tahoma"/>
      <w:sz w:val="16"/>
      <w:lang w:val="x-none" w:eastAsia="cs-CZ"/>
    </w:rPr>
  </w:style>
  <w:style w:type="character" w:customStyle="1" w:styleId="truktradokumentuChar1133">
    <w:name w:val="Štruktúra dokumentu Char1133"/>
    <w:aliases w:val="Char9 Char Char1134,Štruktúra dokumentu Char Char Char1134,Document Map Char Char Char1134"/>
    <w:uiPriority w:val="99"/>
    <w:semiHidden/>
    <w:rPr>
      <w:rFonts w:ascii="Tahoma" w:hAnsi="Tahoma"/>
      <w:sz w:val="16"/>
      <w:lang w:val="x-none" w:eastAsia="cs-CZ"/>
    </w:rPr>
  </w:style>
  <w:style w:type="character" w:customStyle="1" w:styleId="truktradokumentuChar1132">
    <w:name w:val="Štruktúra dokumentu Char1132"/>
    <w:aliases w:val="Char9 Char Char1133,Štruktúra dokumentu Char Char Char1133,Document Map Char Char Char1133"/>
    <w:uiPriority w:val="99"/>
    <w:semiHidden/>
    <w:rPr>
      <w:rFonts w:ascii="Tahoma" w:hAnsi="Tahoma"/>
      <w:sz w:val="16"/>
      <w:lang w:val="x-none" w:eastAsia="cs-CZ"/>
    </w:rPr>
  </w:style>
  <w:style w:type="character" w:customStyle="1" w:styleId="truktradokumentuChar1131">
    <w:name w:val="Štruktúra dokumentu Char1131"/>
    <w:aliases w:val="Char9 Char Char1132,Štruktúra dokumentu Char Char Char1132,Document Map Char Char Char1132"/>
    <w:uiPriority w:val="99"/>
    <w:semiHidden/>
    <w:rPr>
      <w:rFonts w:ascii="Tahoma" w:hAnsi="Tahoma"/>
      <w:sz w:val="16"/>
      <w:lang w:val="x-none" w:eastAsia="cs-CZ"/>
    </w:rPr>
  </w:style>
  <w:style w:type="character" w:customStyle="1" w:styleId="truktradokumentuChar1130">
    <w:name w:val="Štruktúra dokumentu Char1130"/>
    <w:aliases w:val="Char9 Char Char1131,Štruktúra dokumentu Char Char Char1131,Document Map Char Char Char1131"/>
    <w:uiPriority w:val="99"/>
    <w:semiHidden/>
    <w:rPr>
      <w:rFonts w:ascii="Tahoma" w:hAnsi="Tahoma"/>
      <w:sz w:val="16"/>
      <w:lang w:val="x-none" w:eastAsia="cs-CZ"/>
    </w:rPr>
  </w:style>
  <w:style w:type="character" w:customStyle="1" w:styleId="truktradokumentuChar1129">
    <w:name w:val="Štruktúra dokumentu Char1129"/>
    <w:aliases w:val="Char9 Char Char1130,Štruktúra dokumentu Char Char Char1130,Document Map Char Char Char1130"/>
    <w:uiPriority w:val="99"/>
    <w:semiHidden/>
    <w:rPr>
      <w:rFonts w:ascii="Tahoma" w:hAnsi="Tahoma"/>
      <w:sz w:val="16"/>
      <w:lang w:val="x-none" w:eastAsia="cs-CZ"/>
    </w:rPr>
  </w:style>
  <w:style w:type="character" w:customStyle="1" w:styleId="truktradokumentuChar1128">
    <w:name w:val="Štruktúra dokumentu Char1128"/>
    <w:aliases w:val="Char9 Char Char1129,Štruktúra dokumentu Char Char Char1129,Document Map Char Char Char1129"/>
    <w:uiPriority w:val="99"/>
    <w:semiHidden/>
    <w:rPr>
      <w:rFonts w:ascii="Tahoma" w:hAnsi="Tahoma"/>
      <w:sz w:val="16"/>
      <w:lang w:val="x-none" w:eastAsia="cs-CZ"/>
    </w:rPr>
  </w:style>
  <w:style w:type="character" w:customStyle="1" w:styleId="truktradokumentuChar1127">
    <w:name w:val="Štruktúra dokumentu Char1127"/>
    <w:aliases w:val="Char9 Char Char1128,Štruktúra dokumentu Char Char Char1128,Document Map Char Char Char1128"/>
    <w:uiPriority w:val="99"/>
    <w:semiHidden/>
    <w:rPr>
      <w:rFonts w:ascii="Tahoma" w:hAnsi="Tahoma"/>
      <w:sz w:val="16"/>
      <w:lang w:val="x-none" w:eastAsia="cs-CZ"/>
    </w:rPr>
  </w:style>
  <w:style w:type="character" w:customStyle="1" w:styleId="truktradokumentuChar1126">
    <w:name w:val="Štruktúra dokumentu Char1126"/>
    <w:aliases w:val="Char9 Char Char1127,Štruktúra dokumentu Char Char Char1127,Document Map Char Char Char1127"/>
    <w:uiPriority w:val="99"/>
    <w:semiHidden/>
    <w:rPr>
      <w:rFonts w:ascii="Tahoma" w:hAnsi="Tahoma"/>
      <w:sz w:val="16"/>
      <w:lang w:val="x-none" w:eastAsia="cs-CZ"/>
    </w:rPr>
  </w:style>
  <w:style w:type="character" w:customStyle="1" w:styleId="truktradokumentuChar1125">
    <w:name w:val="Štruktúra dokumentu Char1125"/>
    <w:aliases w:val="Char9 Char Char1126,Štruktúra dokumentu Char Char Char1126,Document Map Char Char Char1126"/>
    <w:uiPriority w:val="99"/>
    <w:semiHidden/>
    <w:rPr>
      <w:rFonts w:ascii="Tahoma" w:hAnsi="Tahoma"/>
      <w:sz w:val="16"/>
      <w:lang w:val="x-none" w:eastAsia="cs-CZ"/>
    </w:rPr>
  </w:style>
  <w:style w:type="character" w:customStyle="1" w:styleId="truktradokumentuChar1124">
    <w:name w:val="Štruktúra dokumentu Char1124"/>
    <w:aliases w:val="Char9 Char Char1125,Štruktúra dokumentu Char Char Char1125,Document Map Char Char Char1125"/>
    <w:uiPriority w:val="99"/>
    <w:semiHidden/>
    <w:rPr>
      <w:rFonts w:ascii="Tahoma" w:hAnsi="Tahoma"/>
      <w:sz w:val="16"/>
      <w:lang w:val="x-none" w:eastAsia="cs-CZ"/>
    </w:rPr>
  </w:style>
  <w:style w:type="character" w:customStyle="1" w:styleId="truktradokumentuChar1123">
    <w:name w:val="Štruktúra dokumentu Char1123"/>
    <w:aliases w:val="Char9 Char Char1124,Štruktúra dokumentu Char Char Char1124,Document Map Char Char Char1124"/>
    <w:uiPriority w:val="99"/>
    <w:semiHidden/>
    <w:rPr>
      <w:rFonts w:ascii="Tahoma" w:hAnsi="Tahoma"/>
      <w:sz w:val="16"/>
      <w:lang w:val="x-none" w:eastAsia="cs-CZ"/>
    </w:rPr>
  </w:style>
  <w:style w:type="character" w:customStyle="1" w:styleId="truktradokumentuChar1122">
    <w:name w:val="Štruktúra dokumentu Char1122"/>
    <w:aliases w:val="Char9 Char Char1123,Štruktúra dokumentu Char Char Char1123,Document Map Char Char Char1123"/>
    <w:uiPriority w:val="99"/>
    <w:semiHidden/>
    <w:rPr>
      <w:rFonts w:ascii="Tahoma" w:hAnsi="Tahoma"/>
      <w:sz w:val="16"/>
      <w:lang w:val="x-none" w:eastAsia="cs-CZ"/>
    </w:rPr>
  </w:style>
  <w:style w:type="character" w:customStyle="1" w:styleId="truktradokumentuChar1121">
    <w:name w:val="Štruktúra dokumentu Char1121"/>
    <w:aliases w:val="Char9 Char Char1122,Štruktúra dokumentu Char Char Char1122,Document Map Char Char Char1122"/>
    <w:uiPriority w:val="99"/>
    <w:semiHidden/>
    <w:rPr>
      <w:rFonts w:ascii="Tahoma" w:hAnsi="Tahoma"/>
      <w:sz w:val="16"/>
      <w:lang w:val="x-none" w:eastAsia="cs-CZ"/>
    </w:rPr>
  </w:style>
  <w:style w:type="character" w:customStyle="1" w:styleId="truktradokumentuChar1120">
    <w:name w:val="Štruktúra dokumentu Char1120"/>
    <w:aliases w:val="Char9 Char Char1121,Štruktúra dokumentu Char Char Char1121,Document Map Char Char Char1121"/>
    <w:uiPriority w:val="99"/>
    <w:semiHidden/>
    <w:rPr>
      <w:rFonts w:ascii="Tahoma" w:hAnsi="Tahoma"/>
      <w:sz w:val="16"/>
      <w:lang w:val="x-none" w:eastAsia="cs-CZ"/>
    </w:rPr>
  </w:style>
  <w:style w:type="character" w:customStyle="1" w:styleId="truktradokumentuChar1119">
    <w:name w:val="Štruktúra dokumentu Char1119"/>
    <w:aliases w:val="Char9 Char Char1120,Štruktúra dokumentu Char Char Char1120,Document Map Char Char Char1120"/>
    <w:uiPriority w:val="99"/>
    <w:semiHidden/>
    <w:rPr>
      <w:rFonts w:ascii="Tahoma" w:hAnsi="Tahoma"/>
      <w:sz w:val="16"/>
      <w:lang w:val="x-none" w:eastAsia="cs-CZ"/>
    </w:rPr>
  </w:style>
  <w:style w:type="character" w:customStyle="1" w:styleId="truktradokumentuChar1118">
    <w:name w:val="Štruktúra dokumentu Char1118"/>
    <w:aliases w:val="Char9 Char Char1119,Štruktúra dokumentu Char Char Char1119,Document Map Char Char Char1119"/>
    <w:uiPriority w:val="99"/>
    <w:semiHidden/>
    <w:rPr>
      <w:rFonts w:ascii="Tahoma" w:hAnsi="Tahoma"/>
      <w:sz w:val="16"/>
      <w:lang w:val="x-none" w:eastAsia="cs-CZ"/>
    </w:rPr>
  </w:style>
  <w:style w:type="character" w:customStyle="1" w:styleId="truktradokumentuChar1117">
    <w:name w:val="Štruktúra dokumentu Char1117"/>
    <w:aliases w:val="Char9 Char Char1118,Štruktúra dokumentu Char Char Char1118,Document Map Char Char Char1118"/>
    <w:uiPriority w:val="99"/>
    <w:semiHidden/>
    <w:rPr>
      <w:rFonts w:ascii="Tahoma" w:hAnsi="Tahoma"/>
      <w:sz w:val="16"/>
      <w:lang w:val="x-none" w:eastAsia="cs-CZ"/>
    </w:rPr>
  </w:style>
  <w:style w:type="character" w:customStyle="1" w:styleId="truktradokumentuChar1116">
    <w:name w:val="Štruktúra dokumentu Char1116"/>
    <w:aliases w:val="Char9 Char Char1117,Štruktúra dokumentu Char Char Char1117,Document Map Char Char Char1117"/>
    <w:uiPriority w:val="99"/>
    <w:semiHidden/>
    <w:rPr>
      <w:rFonts w:ascii="Tahoma" w:hAnsi="Tahoma"/>
      <w:sz w:val="16"/>
      <w:lang w:val="x-none" w:eastAsia="cs-CZ"/>
    </w:rPr>
  </w:style>
  <w:style w:type="character" w:customStyle="1" w:styleId="truktradokumentuChar1115">
    <w:name w:val="Štruktúra dokumentu Char1115"/>
    <w:aliases w:val="Char9 Char Char1116,Štruktúra dokumentu Char Char Char1116,Document Map Char Char Char1116"/>
    <w:uiPriority w:val="99"/>
    <w:semiHidden/>
    <w:rPr>
      <w:rFonts w:ascii="Tahoma" w:hAnsi="Tahoma"/>
      <w:sz w:val="16"/>
      <w:lang w:val="x-none" w:eastAsia="cs-CZ"/>
    </w:rPr>
  </w:style>
  <w:style w:type="character" w:customStyle="1" w:styleId="truktradokumentuChar1114">
    <w:name w:val="Štruktúra dokumentu Char1114"/>
    <w:aliases w:val="Char9 Char Char1115,Štruktúra dokumentu Char Char Char1115,Document Map Char Char Char1115"/>
    <w:uiPriority w:val="99"/>
    <w:semiHidden/>
    <w:rPr>
      <w:rFonts w:ascii="Tahoma" w:hAnsi="Tahoma"/>
      <w:sz w:val="16"/>
      <w:lang w:val="x-none" w:eastAsia="cs-CZ"/>
    </w:rPr>
  </w:style>
  <w:style w:type="character" w:customStyle="1" w:styleId="truktradokumentuChar1113">
    <w:name w:val="Štruktúra dokumentu Char1113"/>
    <w:aliases w:val="Char9 Char Char1114,Štruktúra dokumentu Char Char Char1114,Document Map Char Char Char1114"/>
    <w:uiPriority w:val="99"/>
    <w:semiHidden/>
    <w:rPr>
      <w:rFonts w:ascii="Tahoma" w:hAnsi="Tahoma"/>
      <w:sz w:val="16"/>
      <w:lang w:val="x-none" w:eastAsia="cs-CZ"/>
    </w:rPr>
  </w:style>
  <w:style w:type="character" w:customStyle="1" w:styleId="truktradokumentuChar1112">
    <w:name w:val="Štruktúra dokumentu Char1112"/>
    <w:aliases w:val="Char9 Char Char1113,Štruktúra dokumentu Char Char Char1113,Document Map Char Char Char1113"/>
    <w:uiPriority w:val="99"/>
    <w:semiHidden/>
    <w:rPr>
      <w:rFonts w:ascii="Tahoma" w:hAnsi="Tahoma"/>
      <w:sz w:val="16"/>
      <w:lang w:val="x-none" w:eastAsia="cs-CZ"/>
    </w:rPr>
  </w:style>
  <w:style w:type="character" w:customStyle="1" w:styleId="truktradokumentuChar1111">
    <w:name w:val="Štruktúra dokumentu Char1111"/>
    <w:aliases w:val="Char9 Char Char1112,Štruktúra dokumentu Char Char Char1112,Document Map Char Char Char1112"/>
    <w:uiPriority w:val="99"/>
    <w:semiHidden/>
    <w:rPr>
      <w:rFonts w:ascii="Tahoma" w:hAnsi="Tahoma"/>
      <w:sz w:val="16"/>
      <w:lang w:val="x-none" w:eastAsia="cs-CZ"/>
    </w:rPr>
  </w:style>
  <w:style w:type="character" w:customStyle="1" w:styleId="truktradokumentuChar1110">
    <w:name w:val="Štruktúra dokumentu Char1110"/>
    <w:aliases w:val="Char9 Char Char1111,Štruktúra dokumentu Char Char Char1111,Document Map Char Char Char1111"/>
    <w:uiPriority w:val="99"/>
    <w:semiHidden/>
    <w:rPr>
      <w:rFonts w:ascii="Tahoma" w:hAnsi="Tahoma"/>
      <w:sz w:val="16"/>
      <w:lang w:val="x-none" w:eastAsia="cs-CZ"/>
    </w:rPr>
  </w:style>
  <w:style w:type="character" w:customStyle="1" w:styleId="truktradokumentuChar1109">
    <w:name w:val="Štruktúra dokumentu Char1109"/>
    <w:aliases w:val="Char9 Char Char1110,Štruktúra dokumentu Char Char Char1110,Document Map Char Char Char1110"/>
    <w:uiPriority w:val="99"/>
    <w:semiHidden/>
    <w:rPr>
      <w:rFonts w:ascii="Tahoma" w:hAnsi="Tahoma"/>
      <w:sz w:val="16"/>
      <w:lang w:val="x-none" w:eastAsia="cs-CZ"/>
    </w:rPr>
  </w:style>
  <w:style w:type="character" w:customStyle="1" w:styleId="truktradokumentuChar1108">
    <w:name w:val="Štruktúra dokumentu Char1108"/>
    <w:aliases w:val="Char9 Char Char1109,Štruktúra dokumentu Char Char Char1109,Document Map Char Char Char1109"/>
    <w:uiPriority w:val="99"/>
    <w:semiHidden/>
    <w:rPr>
      <w:rFonts w:ascii="Tahoma" w:hAnsi="Tahoma"/>
      <w:sz w:val="16"/>
      <w:lang w:val="x-none" w:eastAsia="cs-CZ"/>
    </w:rPr>
  </w:style>
  <w:style w:type="character" w:customStyle="1" w:styleId="truktradokumentuChar1107">
    <w:name w:val="Štruktúra dokumentu Char1107"/>
    <w:aliases w:val="Char9 Char Char1108,Štruktúra dokumentu Char Char Char1108,Document Map Char Char Char1108"/>
    <w:uiPriority w:val="99"/>
    <w:semiHidden/>
    <w:rPr>
      <w:rFonts w:ascii="Tahoma" w:hAnsi="Tahoma"/>
      <w:sz w:val="16"/>
      <w:lang w:val="x-none" w:eastAsia="cs-CZ"/>
    </w:rPr>
  </w:style>
  <w:style w:type="character" w:customStyle="1" w:styleId="truktradokumentuChar1106">
    <w:name w:val="Štruktúra dokumentu Char1106"/>
    <w:aliases w:val="Char9 Char Char1107,Štruktúra dokumentu Char Char Char1107,Document Map Char Char Char1107"/>
    <w:uiPriority w:val="99"/>
    <w:semiHidden/>
    <w:rPr>
      <w:rFonts w:ascii="Tahoma" w:hAnsi="Tahoma"/>
      <w:sz w:val="16"/>
      <w:lang w:val="x-none" w:eastAsia="cs-CZ"/>
    </w:rPr>
  </w:style>
  <w:style w:type="character" w:customStyle="1" w:styleId="truktradokumentuChar1105">
    <w:name w:val="Štruktúra dokumentu Char1105"/>
    <w:aliases w:val="Char9 Char Char1106,Štruktúra dokumentu Char Char Char1106,Document Map Char Char Char1106"/>
    <w:uiPriority w:val="99"/>
    <w:semiHidden/>
    <w:rPr>
      <w:rFonts w:ascii="Tahoma" w:hAnsi="Tahoma"/>
      <w:sz w:val="16"/>
      <w:lang w:val="x-none" w:eastAsia="cs-CZ"/>
    </w:rPr>
  </w:style>
  <w:style w:type="character" w:customStyle="1" w:styleId="truktradokumentuChar1104">
    <w:name w:val="Štruktúra dokumentu Char1104"/>
    <w:aliases w:val="Char9 Char Char1105,Štruktúra dokumentu Char Char Char1105,Document Map Char Char Char1105"/>
    <w:uiPriority w:val="99"/>
    <w:semiHidden/>
    <w:rPr>
      <w:rFonts w:ascii="Tahoma" w:hAnsi="Tahoma"/>
      <w:sz w:val="16"/>
      <w:lang w:val="x-none" w:eastAsia="cs-CZ"/>
    </w:rPr>
  </w:style>
  <w:style w:type="character" w:customStyle="1" w:styleId="truktradokumentuChar1103">
    <w:name w:val="Štruktúra dokumentu Char1103"/>
    <w:aliases w:val="Char9 Char Char1104,Štruktúra dokumentu Char Char Char1104,Document Map Char Char Char1104"/>
    <w:uiPriority w:val="99"/>
    <w:semiHidden/>
    <w:rPr>
      <w:rFonts w:ascii="Tahoma" w:hAnsi="Tahoma"/>
      <w:sz w:val="16"/>
      <w:lang w:val="x-none" w:eastAsia="cs-CZ"/>
    </w:rPr>
  </w:style>
  <w:style w:type="character" w:customStyle="1" w:styleId="truktradokumentuChar1102">
    <w:name w:val="Štruktúra dokumentu Char1102"/>
    <w:aliases w:val="Char9 Char Char1103,Štruktúra dokumentu Char Char Char1103,Document Map Char Char Char1103"/>
    <w:uiPriority w:val="99"/>
    <w:semiHidden/>
    <w:rPr>
      <w:rFonts w:ascii="Tahoma" w:hAnsi="Tahoma"/>
      <w:sz w:val="16"/>
      <w:lang w:val="x-none" w:eastAsia="cs-CZ"/>
    </w:rPr>
  </w:style>
  <w:style w:type="character" w:customStyle="1" w:styleId="truktradokumentuChar1101">
    <w:name w:val="Štruktúra dokumentu Char1101"/>
    <w:aliases w:val="Char9 Char Char1102,Štruktúra dokumentu Char Char Char1102,Document Map Char Char Char1102"/>
    <w:uiPriority w:val="99"/>
    <w:semiHidden/>
    <w:rPr>
      <w:rFonts w:ascii="Tahoma" w:hAnsi="Tahoma"/>
      <w:sz w:val="16"/>
      <w:lang w:val="x-none" w:eastAsia="cs-CZ"/>
    </w:rPr>
  </w:style>
  <w:style w:type="character" w:customStyle="1" w:styleId="truktradokumentuChar1100">
    <w:name w:val="Štruktúra dokumentu Char1100"/>
    <w:aliases w:val="Char9 Char Char1101,Štruktúra dokumentu Char Char Char1101,Document Map Char Char Char1101"/>
    <w:uiPriority w:val="99"/>
    <w:semiHidden/>
    <w:rPr>
      <w:rFonts w:ascii="Tahoma" w:hAnsi="Tahoma"/>
      <w:sz w:val="16"/>
      <w:lang w:val="x-none" w:eastAsia="cs-CZ"/>
    </w:rPr>
  </w:style>
  <w:style w:type="character" w:customStyle="1" w:styleId="truktradokumentuChar199">
    <w:name w:val="Štruktúra dokumentu Char199"/>
    <w:aliases w:val="Char9 Char Char1100,Štruktúra dokumentu Char Char Char1100,Document Map Char Char Char1100"/>
    <w:uiPriority w:val="99"/>
    <w:semiHidden/>
    <w:rPr>
      <w:rFonts w:ascii="Tahoma" w:hAnsi="Tahoma"/>
      <w:sz w:val="16"/>
      <w:lang w:val="x-none" w:eastAsia="cs-CZ"/>
    </w:rPr>
  </w:style>
  <w:style w:type="character" w:customStyle="1" w:styleId="truktradokumentuChar198">
    <w:name w:val="Štruktúra dokumentu Char198"/>
    <w:aliases w:val="Char9 Char Char199,Štruktúra dokumentu Char Char Char199,Document Map Char Char Char199"/>
    <w:uiPriority w:val="99"/>
    <w:semiHidden/>
    <w:rPr>
      <w:rFonts w:ascii="Tahoma" w:hAnsi="Tahoma"/>
      <w:sz w:val="16"/>
      <w:lang w:val="x-none" w:eastAsia="cs-CZ"/>
    </w:rPr>
  </w:style>
  <w:style w:type="character" w:customStyle="1" w:styleId="truktradokumentuChar197">
    <w:name w:val="Štruktúra dokumentu Char197"/>
    <w:aliases w:val="Char9 Char Char198,Štruktúra dokumentu Char Char Char198,Document Map Char Char Char198"/>
    <w:uiPriority w:val="99"/>
    <w:semiHidden/>
    <w:rPr>
      <w:rFonts w:ascii="Tahoma" w:hAnsi="Tahoma"/>
      <w:sz w:val="16"/>
      <w:lang w:val="x-none" w:eastAsia="cs-CZ"/>
    </w:rPr>
  </w:style>
  <w:style w:type="character" w:customStyle="1" w:styleId="truktradokumentuChar196">
    <w:name w:val="Štruktúra dokumentu Char196"/>
    <w:aliases w:val="Char9 Char Char197,Štruktúra dokumentu Char Char Char197,Document Map Char Char Char197"/>
    <w:uiPriority w:val="99"/>
    <w:semiHidden/>
    <w:rPr>
      <w:rFonts w:ascii="Tahoma" w:hAnsi="Tahoma"/>
      <w:sz w:val="16"/>
      <w:lang w:val="x-none" w:eastAsia="cs-CZ"/>
    </w:rPr>
  </w:style>
  <w:style w:type="character" w:customStyle="1" w:styleId="truktradokumentuChar195">
    <w:name w:val="Štruktúra dokumentu Char195"/>
    <w:aliases w:val="Char9 Char Char196,Štruktúra dokumentu Char Char Char196,Document Map Char Char Char196"/>
    <w:uiPriority w:val="99"/>
    <w:semiHidden/>
    <w:rPr>
      <w:rFonts w:ascii="Tahoma" w:hAnsi="Tahoma"/>
      <w:sz w:val="16"/>
      <w:lang w:val="x-none" w:eastAsia="cs-CZ"/>
    </w:rPr>
  </w:style>
  <w:style w:type="character" w:customStyle="1" w:styleId="truktradokumentuChar194">
    <w:name w:val="Štruktúra dokumentu Char194"/>
    <w:aliases w:val="Char9 Char Char195,Štruktúra dokumentu Char Char Char195,Document Map Char Char Char195"/>
    <w:uiPriority w:val="99"/>
    <w:semiHidden/>
    <w:rPr>
      <w:rFonts w:ascii="Tahoma" w:hAnsi="Tahoma"/>
      <w:sz w:val="16"/>
      <w:lang w:val="x-none" w:eastAsia="cs-CZ"/>
    </w:rPr>
  </w:style>
  <w:style w:type="character" w:customStyle="1" w:styleId="truktradokumentuChar193">
    <w:name w:val="Štruktúra dokumentu Char193"/>
    <w:aliases w:val="Char9 Char Char194,Štruktúra dokumentu Char Char Char194,Document Map Char Char Char194"/>
    <w:uiPriority w:val="99"/>
    <w:semiHidden/>
    <w:rPr>
      <w:rFonts w:ascii="Tahoma" w:hAnsi="Tahoma"/>
      <w:sz w:val="16"/>
      <w:lang w:val="x-none" w:eastAsia="cs-CZ"/>
    </w:rPr>
  </w:style>
  <w:style w:type="character" w:customStyle="1" w:styleId="truktradokumentuChar192">
    <w:name w:val="Štruktúra dokumentu Char192"/>
    <w:aliases w:val="Char9 Char Char193,Štruktúra dokumentu Char Char Char193,Document Map Char Char Char193"/>
    <w:uiPriority w:val="99"/>
    <w:semiHidden/>
    <w:rPr>
      <w:rFonts w:ascii="Tahoma" w:hAnsi="Tahoma"/>
      <w:sz w:val="16"/>
      <w:lang w:val="x-none" w:eastAsia="cs-CZ"/>
    </w:rPr>
  </w:style>
  <w:style w:type="character" w:customStyle="1" w:styleId="truktradokumentuChar191">
    <w:name w:val="Štruktúra dokumentu Char191"/>
    <w:aliases w:val="Char9 Char Char192,Štruktúra dokumentu Char Char Char192,Document Map Char Char Char192"/>
    <w:uiPriority w:val="99"/>
    <w:semiHidden/>
    <w:rPr>
      <w:rFonts w:ascii="Tahoma" w:hAnsi="Tahoma"/>
      <w:sz w:val="16"/>
      <w:lang w:val="x-none" w:eastAsia="cs-CZ"/>
    </w:rPr>
  </w:style>
  <w:style w:type="character" w:customStyle="1" w:styleId="truktradokumentuChar190">
    <w:name w:val="Štruktúra dokumentu Char190"/>
    <w:aliases w:val="Char9 Char Char191,Štruktúra dokumentu Char Char Char191,Document Map Char Char Char191"/>
    <w:uiPriority w:val="99"/>
    <w:semiHidden/>
    <w:rPr>
      <w:rFonts w:ascii="Tahoma" w:hAnsi="Tahoma"/>
      <w:sz w:val="16"/>
      <w:lang w:val="x-none" w:eastAsia="cs-CZ"/>
    </w:rPr>
  </w:style>
  <w:style w:type="character" w:customStyle="1" w:styleId="truktradokumentuChar189">
    <w:name w:val="Štruktúra dokumentu Char189"/>
    <w:aliases w:val="Char9 Char Char190,Štruktúra dokumentu Char Char Char190,Document Map Char Char Char190"/>
    <w:uiPriority w:val="99"/>
    <w:semiHidden/>
    <w:rPr>
      <w:rFonts w:ascii="Tahoma" w:hAnsi="Tahoma"/>
      <w:sz w:val="16"/>
      <w:lang w:val="x-none" w:eastAsia="cs-CZ"/>
    </w:rPr>
  </w:style>
  <w:style w:type="character" w:customStyle="1" w:styleId="truktradokumentuChar188">
    <w:name w:val="Štruktúra dokumentu Char188"/>
    <w:aliases w:val="Char9 Char Char189,Štruktúra dokumentu Char Char Char189,Document Map Char Char Char189"/>
    <w:uiPriority w:val="99"/>
    <w:semiHidden/>
    <w:rPr>
      <w:rFonts w:ascii="Tahoma" w:hAnsi="Tahoma"/>
      <w:sz w:val="16"/>
      <w:lang w:val="x-none" w:eastAsia="cs-CZ"/>
    </w:rPr>
  </w:style>
  <w:style w:type="character" w:customStyle="1" w:styleId="truktradokumentuChar187">
    <w:name w:val="Štruktúra dokumentu Char187"/>
    <w:aliases w:val="Char9 Char Char188,Štruktúra dokumentu Char Char Char188,Document Map Char Char Char188"/>
    <w:uiPriority w:val="99"/>
    <w:semiHidden/>
    <w:rPr>
      <w:rFonts w:ascii="Tahoma" w:hAnsi="Tahoma"/>
      <w:sz w:val="16"/>
      <w:lang w:val="x-none" w:eastAsia="cs-CZ"/>
    </w:rPr>
  </w:style>
  <w:style w:type="character" w:customStyle="1" w:styleId="truktradokumentuChar186">
    <w:name w:val="Štruktúra dokumentu Char186"/>
    <w:aliases w:val="Char9 Char Char187,Štruktúra dokumentu Char Char Char187,Document Map Char Char Char187"/>
    <w:uiPriority w:val="99"/>
    <w:semiHidden/>
    <w:rPr>
      <w:rFonts w:ascii="Tahoma" w:hAnsi="Tahoma"/>
      <w:sz w:val="16"/>
      <w:lang w:val="x-none" w:eastAsia="cs-CZ"/>
    </w:rPr>
  </w:style>
  <w:style w:type="character" w:customStyle="1" w:styleId="truktradokumentuChar185">
    <w:name w:val="Štruktúra dokumentu Char185"/>
    <w:aliases w:val="Char9 Char Char186,Štruktúra dokumentu Char Char Char186,Document Map Char Char Char186"/>
    <w:uiPriority w:val="99"/>
    <w:semiHidden/>
    <w:rPr>
      <w:rFonts w:ascii="Tahoma" w:hAnsi="Tahoma"/>
      <w:sz w:val="16"/>
      <w:lang w:val="x-none" w:eastAsia="cs-CZ"/>
    </w:rPr>
  </w:style>
  <w:style w:type="character" w:customStyle="1" w:styleId="truktradokumentuChar184">
    <w:name w:val="Štruktúra dokumentu Char184"/>
    <w:aliases w:val="Char9 Char Char185,Štruktúra dokumentu Char Char Char185,Document Map Char Char Char185"/>
    <w:uiPriority w:val="99"/>
    <w:semiHidden/>
    <w:rPr>
      <w:rFonts w:ascii="Tahoma" w:hAnsi="Tahoma"/>
      <w:sz w:val="16"/>
      <w:lang w:val="x-none" w:eastAsia="cs-CZ"/>
    </w:rPr>
  </w:style>
  <w:style w:type="character" w:customStyle="1" w:styleId="truktradokumentuChar183">
    <w:name w:val="Štruktúra dokumentu Char183"/>
    <w:aliases w:val="Char9 Char Char184,Štruktúra dokumentu Char Char Char184,Document Map Char Char Char184"/>
    <w:uiPriority w:val="99"/>
    <w:semiHidden/>
    <w:rPr>
      <w:rFonts w:ascii="Tahoma" w:hAnsi="Tahoma"/>
      <w:sz w:val="16"/>
      <w:lang w:val="x-none" w:eastAsia="cs-CZ"/>
    </w:rPr>
  </w:style>
  <w:style w:type="character" w:customStyle="1" w:styleId="truktradokumentuChar182">
    <w:name w:val="Štruktúra dokumentu Char182"/>
    <w:aliases w:val="Char9 Char Char183,Štruktúra dokumentu Char Char Char183,Document Map Char Char Char183"/>
    <w:uiPriority w:val="99"/>
    <w:semiHidden/>
    <w:rPr>
      <w:rFonts w:ascii="Tahoma" w:hAnsi="Tahoma"/>
      <w:sz w:val="16"/>
      <w:lang w:val="x-none" w:eastAsia="cs-CZ"/>
    </w:rPr>
  </w:style>
  <w:style w:type="character" w:customStyle="1" w:styleId="truktradokumentuChar181">
    <w:name w:val="Štruktúra dokumentu Char181"/>
    <w:aliases w:val="Char9 Char Char182,Štruktúra dokumentu Char Char Char182,Document Map Char Char Char182"/>
    <w:uiPriority w:val="99"/>
    <w:semiHidden/>
    <w:rPr>
      <w:rFonts w:ascii="Tahoma" w:hAnsi="Tahoma"/>
      <w:sz w:val="16"/>
      <w:lang w:val="x-none" w:eastAsia="cs-CZ"/>
    </w:rPr>
  </w:style>
  <w:style w:type="character" w:customStyle="1" w:styleId="truktradokumentuChar180">
    <w:name w:val="Štruktúra dokumentu Char180"/>
    <w:aliases w:val="Char9 Char Char181,Štruktúra dokumentu Char Char Char181,Document Map Char Char Char181"/>
    <w:uiPriority w:val="99"/>
    <w:semiHidden/>
    <w:rPr>
      <w:rFonts w:ascii="Tahoma" w:hAnsi="Tahoma"/>
      <w:sz w:val="16"/>
      <w:lang w:val="x-none" w:eastAsia="cs-CZ"/>
    </w:rPr>
  </w:style>
  <w:style w:type="character" w:customStyle="1" w:styleId="truktradokumentuChar179">
    <w:name w:val="Štruktúra dokumentu Char179"/>
    <w:aliases w:val="Char9 Char Char180,Štruktúra dokumentu Char Char Char180,Document Map Char Char Char180"/>
    <w:uiPriority w:val="99"/>
    <w:semiHidden/>
    <w:rPr>
      <w:rFonts w:ascii="Tahoma" w:hAnsi="Tahoma"/>
      <w:sz w:val="16"/>
      <w:lang w:val="x-none" w:eastAsia="cs-CZ"/>
    </w:rPr>
  </w:style>
  <w:style w:type="character" w:customStyle="1" w:styleId="truktradokumentuChar178">
    <w:name w:val="Štruktúra dokumentu Char178"/>
    <w:aliases w:val="Char9 Char Char179,Štruktúra dokumentu Char Char Char179,Document Map Char Char Char179"/>
    <w:uiPriority w:val="99"/>
    <w:semiHidden/>
    <w:rPr>
      <w:rFonts w:ascii="Tahoma" w:hAnsi="Tahoma"/>
      <w:sz w:val="16"/>
      <w:lang w:val="x-none" w:eastAsia="cs-CZ"/>
    </w:rPr>
  </w:style>
  <w:style w:type="character" w:customStyle="1" w:styleId="truktradokumentuChar177">
    <w:name w:val="Štruktúra dokumentu Char177"/>
    <w:aliases w:val="Char9 Char Char178,Štruktúra dokumentu Char Char Char178,Document Map Char Char Char178"/>
    <w:uiPriority w:val="99"/>
    <w:semiHidden/>
    <w:rPr>
      <w:rFonts w:ascii="Tahoma" w:hAnsi="Tahoma"/>
      <w:sz w:val="16"/>
      <w:lang w:val="x-none" w:eastAsia="cs-CZ"/>
    </w:rPr>
  </w:style>
  <w:style w:type="character" w:customStyle="1" w:styleId="truktradokumentuChar176">
    <w:name w:val="Štruktúra dokumentu Char176"/>
    <w:aliases w:val="Char9 Char Char177,Štruktúra dokumentu Char Char Char177,Document Map Char Char Char177"/>
    <w:uiPriority w:val="99"/>
    <w:semiHidden/>
    <w:rPr>
      <w:rFonts w:ascii="Tahoma" w:hAnsi="Tahoma"/>
      <w:sz w:val="16"/>
      <w:lang w:val="x-none" w:eastAsia="cs-CZ"/>
    </w:rPr>
  </w:style>
  <w:style w:type="character" w:customStyle="1" w:styleId="truktradokumentuChar175">
    <w:name w:val="Štruktúra dokumentu Char175"/>
    <w:aliases w:val="Char9 Char Char176,Štruktúra dokumentu Char Char Char176,Document Map Char Char Char176"/>
    <w:uiPriority w:val="99"/>
    <w:semiHidden/>
    <w:rPr>
      <w:rFonts w:ascii="Tahoma" w:hAnsi="Tahoma"/>
      <w:sz w:val="16"/>
      <w:lang w:val="x-none" w:eastAsia="cs-CZ"/>
    </w:rPr>
  </w:style>
  <w:style w:type="character" w:customStyle="1" w:styleId="truktradokumentuChar174">
    <w:name w:val="Štruktúra dokumentu Char174"/>
    <w:aliases w:val="Char9 Char Char175,Štruktúra dokumentu Char Char Char175,Document Map Char Char Char175"/>
    <w:uiPriority w:val="99"/>
    <w:semiHidden/>
    <w:rPr>
      <w:rFonts w:ascii="Tahoma" w:hAnsi="Tahoma"/>
      <w:sz w:val="16"/>
      <w:lang w:val="x-none" w:eastAsia="cs-CZ"/>
    </w:rPr>
  </w:style>
  <w:style w:type="character" w:customStyle="1" w:styleId="truktradokumentuChar173">
    <w:name w:val="Štruktúra dokumentu Char173"/>
    <w:aliases w:val="Char9 Char Char174,Štruktúra dokumentu Char Char Char174,Document Map Char Char Char174"/>
    <w:uiPriority w:val="99"/>
    <w:semiHidden/>
    <w:rPr>
      <w:rFonts w:ascii="Tahoma" w:hAnsi="Tahoma"/>
      <w:sz w:val="16"/>
      <w:lang w:val="x-none" w:eastAsia="cs-CZ"/>
    </w:rPr>
  </w:style>
  <w:style w:type="character" w:customStyle="1" w:styleId="truktradokumentuChar172">
    <w:name w:val="Štruktúra dokumentu Char172"/>
    <w:aliases w:val="Char9 Char Char173,Štruktúra dokumentu Char Char Char173,Document Map Char Char Char173"/>
    <w:uiPriority w:val="99"/>
    <w:semiHidden/>
    <w:rPr>
      <w:rFonts w:ascii="Tahoma" w:hAnsi="Tahoma"/>
      <w:sz w:val="16"/>
      <w:lang w:val="x-none" w:eastAsia="cs-CZ"/>
    </w:rPr>
  </w:style>
  <w:style w:type="character" w:customStyle="1" w:styleId="truktradokumentuChar171">
    <w:name w:val="Štruktúra dokumentu Char171"/>
    <w:aliases w:val="Char9 Char Char172,Štruktúra dokumentu Char Char Char172,Document Map Char Char Char172"/>
    <w:uiPriority w:val="99"/>
    <w:semiHidden/>
    <w:rPr>
      <w:rFonts w:ascii="Tahoma" w:hAnsi="Tahoma"/>
      <w:sz w:val="16"/>
      <w:lang w:val="x-none" w:eastAsia="cs-CZ"/>
    </w:rPr>
  </w:style>
  <w:style w:type="character" w:customStyle="1" w:styleId="truktradokumentuChar170">
    <w:name w:val="Štruktúra dokumentu Char170"/>
    <w:aliases w:val="Char9 Char Char171,Štruktúra dokumentu Char Char Char171,Document Map Char Char Char171"/>
    <w:uiPriority w:val="99"/>
    <w:semiHidden/>
    <w:rPr>
      <w:rFonts w:ascii="Tahoma" w:hAnsi="Tahoma"/>
      <w:sz w:val="16"/>
      <w:lang w:val="x-none" w:eastAsia="cs-CZ"/>
    </w:rPr>
  </w:style>
  <w:style w:type="character" w:customStyle="1" w:styleId="truktradokumentuChar169">
    <w:name w:val="Štruktúra dokumentu Char169"/>
    <w:aliases w:val="Char9 Char Char170,Štruktúra dokumentu Char Char Char170,Document Map Char Char Char170"/>
    <w:uiPriority w:val="99"/>
    <w:semiHidden/>
    <w:rPr>
      <w:rFonts w:ascii="Tahoma" w:hAnsi="Tahoma"/>
      <w:sz w:val="16"/>
      <w:lang w:val="x-none" w:eastAsia="cs-CZ"/>
    </w:rPr>
  </w:style>
  <w:style w:type="character" w:customStyle="1" w:styleId="truktradokumentuChar168">
    <w:name w:val="Štruktúra dokumentu Char168"/>
    <w:aliases w:val="Char9 Char Char169,Štruktúra dokumentu Char Char Char169,Document Map Char Char Char169"/>
    <w:uiPriority w:val="99"/>
    <w:semiHidden/>
    <w:rPr>
      <w:rFonts w:ascii="Tahoma" w:hAnsi="Tahoma"/>
      <w:sz w:val="16"/>
      <w:lang w:val="x-none" w:eastAsia="cs-CZ"/>
    </w:rPr>
  </w:style>
  <w:style w:type="character" w:customStyle="1" w:styleId="truktradokumentuChar167">
    <w:name w:val="Štruktúra dokumentu Char167"/>
    <w:aliases w:val="Char9 Char Char168,Štruktúra dokumentu Char Char Char168,Document Map Char Char Char168"/>
    <w:uiPriority w:val="99"/>
    <w:semiHidden/>
    <w:rPr>
      <w:rFonts w:ascii="Tahoma" w:hAnsi="Tahoma"/>
      <w:sz w:val="16"/>
      <w:lang w:val="x-none" w:eastAsia="cs-CZ"/>
    </w:rPr>
  </w:style>
  <w:style w:type="character" w:customStyle="1" w:styleId="truktradokumentuChar166">
    <w:name w:val="Štruktúra dokumentu Char166"/>
    <w:aliases w:val="Char9 Char Char167,Štruktúra dokumentu Char Char Char167,Document Map Char Char Char167"/>
    <w:uiPriority w:val="99"/>
    <w:semiHidden/>
    <w:rPr>
      <w:rFonts w:ascii="Tahoma" w:hAnsi="Tahoma"/>
      <w:sz w:val="16"/>
      <w:lang w:val="x-none" w:eastAsia="cs-CZ"/>
    </w:rPr>
  </w:style>
  <w:style w:type="character" w:customStyle="1" w:styleId="truktradokumentuChar165">
    <w:name w:val="Štruktúra dokumentu Char165"/>
    <w:aliases w:val="Char9 Char Char166,Štruktúra dokumentu Char Char Char166,Document Map Char Char Char166"/>
    <w:uiPriority w:val="99"/>
    <w:semiHidden/>
    <w:rPr>
      <w:rFonts w:ascii="Tahoma" w:hAnsi="Tahoma"/>
      <w:sz w:val="16"/>
      <w:lang w:val="x-none" w:eastAsia="cs-CZ"/>
    </w:rPr>
  </w:style>
  <w:style w:type="character" w:customStyle="1" w:styleId="truktradokumentuChar164">
    <w:name w:val="Štruktúra dokumentu Char164"/>
    <w:aliases w:val="Char9 Char Char165,Štruktúra dokumentu Char Char Char165,Document Map Char Char Char165"/>
    <w:uiPriority w:val="99"/>
    <w:semiHidden/>
    <w:rPr>
      <w:rFonts w:ascii="Tahoma" w:hAnsi="Tahoma"/>
      <w:sz w:val="16"/>
      <w:lang w:val="x-none" w:eastAsia="cs-CZ"/>
    </w:rPr>
  </w:style>
  <w:style w:type="character" w:customStyle="1" w:styleId="truktradokumentuChar163">
    <w:name w:val="Štruktúra dokumentu Char163"/>
    <w:aliases w:val="Char9 Char Char164,Štruktúra dokumentu Char Char Char164,Document Map Char Char Char164"/>
    <w:uiPriority w:val="99"/>
    <w:semiHidden/>
    <w:rPr>
      <w:rFonts w:ascii="Tahoma" w:hAnsi="Tahoma"/>
      <w:sz w:val="16"/>
      <w:lang w:val="x-none" w:eastAsia="cs-CZ"/>
    </w:rPr>
  </w:style>
  <w:style w:type="character" w:customStyle="1" w:styleId="truktradokumentuChar162">
    <w:name w:val="Štruktúra dokumentu Char162"/>
    <w:aliases w:val="Char9 Char Char163,Štruktúra dokumentu Char Char Char163,Document Map Char Char Char163"/>
    <w:uiPriority w:val="99"/>
    <w:semiHidden/>
    <w:rPr>
      <w:rFonts w:ascii="Tahoma" w:hAnsi="Tahoma"/>
      <w:sz w:val="16"/>
      <w:lang w:val="x-none" w:eastAsia="cs-CZ"/>
    </w:rPr>
  </w:style>
  <w:style w:type="character" w:customStyle="1" w:styleId="truktradokumentuChar161">
    <w:name w:val="Štruktúra dokumentu Char161"/>
    <w:aliases w:val="Char9 Char Char162,Štruktúra dokumentu Char Char Char162,Document Map Char Char Char162"/>
    <w:uiPriority w:val="99"/>
    <w:semiHidden/>
    <w:rPr>
      <w:rFonts w:ascii="Tahoma" w:hAnsi="Tahoma"/>
      <w:sz w:val="16"/>
      <w:lang w:val="x-none" w:eastAsia="cs-CZ"/>
    </w:rPr>
  </w:style>
  <w:style w:type="character" w:customStyle="1" w:styleId="truktradokumentuChar160">
    <w:name w:val="Štruktúra dokumentu Char160"/>
    <w:aliases w:val="Char9 Char Char161,Štruktúra dokumentu Char Char Char161,Document Map Char Char Char161"/>
    <w:uiPriority w:val="99"/>
    <w:semiHidden/>
    <w:rPr>
      <w:rFonts w:ascii="Tahoma" w:hAnsi="Tahoma"/>
      <w:sz w:val="16"/>
      <w:lang w:val="x-none" w:eastAsia="cs-CZ"/>
    </w:rPr>
  </w:style>
  <w:style w:type="character" w:customStyle="1" w:styleId="truktradokumentuChar159">
    <w:name w:val="Štruktúra dokumentu Char159"/>
    <w:aliases w:val="Char9 Char Char160,Štruktúra dokumentu Char Char Char160,Document Map Char Char Char160"/>
    <w:uiPriority w:val="99"/>
    <w:semiHidden/>
    <w:rPr>
      <w:rFonts w:ascii="Tahoma" w:hAnsi="Tahoma"/>
      <w:sz w:val="16"/>
      <w:lang w:val="x-none" w:eastAsia="cs-CZ"/>
    </w:rPr>
  </w:style>
  <w:style w:type="character" w:customStyle="1" w:styleId="truktradokumentuChar158">
    <w:name w:val="Štruktúra dokumentu Char158"/>
    <w:aliases w:val="Char9 Char Char159,Štruktúra dokumentu Char Char Char159,Document Map Char Char Char159"/>
    <w:uiPriority w:val="99"/>
    <w:semiHidden/>
    <w:rPr>
      <w:rFonts w:ascii="Tahoma" w:hAnsi="Tahoma"/>
      <w:sz w:val="16"/>
      <w:lang w:val="x-none" w:eastAsia="cs-CZ"/>
    </w:rPr>
  </w:style>
  <w:style w:type="character" w:customStyle="1" w:styleId="truktradokumentuChar157">
    <w:name w:val="Štruktúra dokumentu Char157"/>
    <w:aliases w:val="Char9 Char Char158,Štruktúra dokumentu Char Char Char158,Document Map Char Char Char158"/>
    <w:uiPriority w:val="99"/>
    <w:semiHidden/>
    <w:rPr>
      <w:rFonts w:ascii="Tahoma" w:hAnsi="Tahoma"/>
      <w:sz w:val="16"/>
      <w:lang w:val="x-none" w:eastAsia="cs-CZ"/>
    </w:rPr>
  </w:style>
  <w:style w:type="character" w:customStyle="1" w:styleId="truktradokumentuChar156">
    <w:name w:val="Štruktúra dokumentu Char156"/>
    <w:aliases w:val="Char9 Char Char157,Štruktúra dokumentu Char Char Char157,Document Map Char Char Char157"/>
    <w:uiPriority w:val="99"/>
    <w:semiHidden/>
    <w:rPr>
      <w:rFonts w:ascii="Tahoma" w:hAnsi="Tahoma"/>
      <w:sz w:val="16"/>
      <w:lang w:val="x-none" w:eastAsia="cs-CZ"/>
    </w:rPr>
  </w:style>
  <w:style w:type="character" w:customStyle="1" w:styleId="truktradokumentuChar155">
    <w:name w:val="Štruktúra dokumentu Char155"/>
    <w:aliases w:val="Char9 Char Char156,Štruktúra dokumentu Char Char Char156,Document Map Char Char Char156"/>
    <w:uiPriority w:val="99"/>
    <w:semiHidden/>
    <w:rPr>
      <w:rFonts w:ascii="Tahoma" w:hAnsi="Tahoma"/>
      <w:sz w:val="16"/>
      <w:lang w:val="x-none" w:eastAsia="cs-CZ"/>
    </w:rPr>
  </w:style>
  <w:style w:type="character" w:customStyle="1" w:styleId="truktradokumentuChar154">
    <w:name w:val="Štruktúra dokumentu Char154"/>
    <w:aliases w:val="Char9 Char Char155,Štruktúra dokumentu Char Char Char155,Document Map Char Char Char155"/>
    <w:uiPriority w:val="99"/>
    <w:semiHidden/>
    <w:rPr>
      <w:rFonts w:ascii="Tahoma" w:hAnsi="Tahoma"/>
      <w:sz w:val="16"/>
      <w:lang w:val="x-none" w:eastAsia="cs-CZ"/>
    </w:rPr>
  </w:style>
  <w:style w:type="character" w:customStyle="1" w:styleId="truktradokumentuChar153">
    <w:name w:val="Štruktúra dokumentu Char153"/>
    <w:aliases w:val="Char9 Char Char154,Štruktúra dokumentu Char Char Char154,Document Map Char Char Char154"/>
    <w:uiPriority w:val="99"/>
    <w:semiHidden/>
    <w:rPr>
      <w:rFonts w:ascii="Tahoma" w:hAnsi="Tahoma"/>
      <w:sz w:val="16"/>
      <w:lang w:val="x-none" w:eastAsia="cs-CZ"/>
    </w:rPr>
  </w:style>
  <w:style w:type="character" w:customStyle="1" w:styleId="truktradokumentuChar152">
    <w:name w:val="Štruktúra dokumentu Char152"/>
    <w:aliases w:val="Char9 Char Char153,Štruktúra dokumentu Char Char Char153,Document Map Char Char Char153"/>
    <w:uiPriority w:val="99"/>
    <w:semiHidden/>
    <w:rPr>
      <w:rFonts w:ascii="Tahoma" w:hAnsi="Tahoma"/>
      <w:sz w:val="16"/>
      <w:lang w:val="x-none" w:eastAsia="cs-CZ"/>
    </w:rPr>
  </w:style>
  <w:style w:type="character" w:customStyle="1" w:styleId="truktradokumentuChar151">
    <w:name w:val="Štruktúra dokumentu Char151"/>
    <w:aliases w:val="Char9 Char Char152,Štruktúra dokumentu Char Char Char152,Document Map Char Char Char152"/>
    <w:uiPriority w:val="99"/>
    <w:semiHidden/>
    <w:rPr>
      <w:rFonts w:ascii="Tahoma" w:hAnsi="Tahoma"/>
      <w:sz w:val="16"/>
      <w:lang w:val="x-none" w:eastAsia="cs-CZ"/>
    </w:rPr>
  </w:style>
  <w:style w:type="character" w:customStyle="1" w:styleId="truktradokumentuChar150">
    <w:name w:val="Štruktúra dokumentu Char150"/>
    <w:aliases w:val="Char9 Char Char151,Štruktúra dokumentu Char Char Char151,Document Map Char Char Char151"/>
    <w:uiPriority w:val="99"/>
    <w:semiHidden/>
    <w:rPr>
      <w:rFonts w:ascii="Tahoma" w:hAnsi="Tahoma"/>
      <w:sz w:val="16"/>
      <w:lang w:val="x-none" w:eastAsia="cs-CZ"/>
    </w:rPr>
  </w:style>
  <w:style w:type="character" w:customStyle="1" w:styleId="truktradokumentuChar149">
    <w:name w:val="Štruktúra dokumentu Char149"/>
    <w:aliases w:val="Char9 Char Char150,Štruktúra dokumentu Char Char Char150,Document Map Char Char Char150"/>
    <w:uiPriority w:val="99"/>
    <w:semiHidden/>
    <w:rPr>
      <w:rFonts w:ascii="Tahoma" w:hAnsi="Tahoma"/>
      <w:sz w:val="16"/>
      <w:lang w:val="x-none" w:eastAsia="cs-CZ"/>
    </w:rPr>
  </w:style>
  <w:style w:type="character" w:customStyle="1" w:styleId="truktradokumentuChar148">
    <w:name w:val="Štruktúra dokumentu Char148"/>
    <w:aliases w:val="Char9 Char Char149,Štruktúra dokumentu Char Char Char149,Document Map Char Char Char149"/>
    <w:uiPriority w:val="99"/>
    <w:semiHidden/>
    <w:rPr>
      <w:rFonts w:ascii="Tahoma" w:hAnsi="Tahoma"/>
      <w:sz w:val="16"/>
      <w:lang w:val="x-none" w:eastAsia="cs-CZ"/>
    </w:rPr>
  </w:style>
  <w:style w:type="character" w:customStyle="1" w:styleId="truktradokumentuChar147">
    <w:name w:val="Štruktúra dokumentu Char147"/>
    <w:aliases w:val="Char9 Char Char148,Štruktúra dokumentu Char Char Char148,Document Map Char Char Char148"/>
    <w:uiPriority w:val="99"/>
    <w:semiHidden/>
    <w:rPr>
      <w:rFonts w:ascii="Tahoma" w:hAnsi="Tahoma"/>
      <w:sz w:val="16"/>
      <w:lang w:val="x-none" w:eastAsia="cs-CZ"/>
    </w:rPr>
  </w:style>
  <w:style w:type="character" w:customStyle="1" w:styleId="truktradokumentuChar146">
    <w:name w:val="Štruktúra dokumentu Char146"/>
    <w:aliases w:val="Char9 Char Char147,Štruktúra dokumentu Char Char Char147,Document Map Char Char Char147"/>
    <w:uiPriority w:val="99"/>
    <w:semiHidden/>
    <w:rPr>
      <w:rFonts w:ascii="Tahoma" w:hAnsi="Tahoma"/>
      <w:sz w:val="16"/>
      <w:lang w:val="x-none" w:eastAsia="cs-CZ"/>
    </w:rPr>
  </w:style>
  <w:style w:type="character" w:customStyle="1" w:styleId="truktradokumentuChar145">
    <w:name w:val="Štruktúra dokumentu Char145"/>
    <w:aliases w:val="Char9 Char Char146,Štruktúra dokumentu Char Char Char146,Document Map Char Char Char146"/>
    <w:uiPriority w:val="99"/>
    <w:semiHidden/>
    <w:rPr>
      <w:rFonts w:ascii="Tahoma" w:hAnsi="Tahoma"/>
      <w:sz w:val="16"/>
      <w:lang w:val="x-none" w:eastAsia="cs-CZ"/>
    </w:rPr>
  </w:style>
  <w:style w:type="character" w:customStyle="1" w:styleId="truktradokumentuChar144">
    <w:name w:val="Štruktúra dokumentu Char144"/>
    <w:aliases w:val="Char9 Char Char145,Štruktúra dokumentu Char Char Char145,Document Map Char Char Char145"/>
    <w:uiPriority w:val="99"/>
    <w:semiHidden/>
    <w:rPr>
      <w:rFonts w:ascii="Tahoma" w:hAnsi="Tahoma"/>
      <w:sz w:val="16"/>
      <w:lang w:val="x-none" w:eastAsia="cs-CZ"/>
    </w:rPr>
  </w:style>
  <w:style w:type="character" w:customStyle="1" w:styleId="truktradokumentuChar143">
    <w:name w:val="Štruktúra dokumentu Char143"/>
    <w:aliases w:val="Char9 Char Char144,Štruktúra dokumentu Char Char Char144,Document Map Char Char Char144"/>
    <w:uiPriority w:val="99"/>
    <w:semiHidden/>
    <w:rPr>
      <w:rFonts w:ascii="Tahoma" w:hAnsi="Tahoma"/>
      <w:sz w:val="16"/>
      <w:lang w:val="x-none" w:eastAsia="cs-CZ"/>
    </w:rPr>
  </w:style>
  <w:style w:type="character" w:customStyle="1" w:styleId="truktradokumentuChar142">
    <w:name w:val="Štruktúra dokumentu Char142"/>
    <w:aliases w:val="Char9 Char Char143,Štruktúra dokumentu Char Char Char143,Document Map Char Char Char143"/>
    <w:uiPriority w:val="99"/>
    <w:semiHidden/>
    <w:rPr>
      <w:rFonts w:ascii="Tahoma" w:hAnsi="Tahoma"/>
      <w:sz w:val="16"/>
      <w:lang w:val="x-none" w:eastAsia="cs-CZ"/>
    </w:rPr>
  </w:style>
  <w:style w:type="character" w:customStyle="1" w:styleId="truktradokumentuChar141">
    <w:name w:val="Štruktúra dokumentu Char141"/>
    <w:aliases w:val="Char9 Char Char142,Štruktúra dokumentu Char Char Char142,Document Map Char Char Char142"/>
    <w:uiPriority w:val="99"/>
    <w:semiHidden/>
    <w:rPr>
      <w:rFonts w:ascii="Tahoma" w:hAnsi="Tahoma"/>
      <w:sz w:val="16"/>
      <w:lang w:val="x-none" w:eastAsia="cs-CZ"/>
    </w:rPr>
  </w:style>
  <w:style w:type="character" w:customStyle="1" w:styleId="truktradokumentuChar140">
    <w:name w:val="Štruktúra dokumentu Char140"/>
    <w:aliases w:val="Char9 Char Char141,Štruktúra dokumentu Char Char Char141,Document Map Char Char Char141"/>
    <w:uiPriority w:val="99"/>
    <w:semiHidden/>
    <w:rPr>
      <w:rFonts w:ascii="Tahoma" w:hAnsi="Tahoma"/>
      <w:sz w:val="16"/>
      <w:lang w:val="x-none" w:eastAsia="cs-CZ"/>
    </w:rPr>
  </w:style>
  <w:style w:type="character" w:customStyle="1" w:styleId="truktradokumentuChar139">
    <w:name w:val="Štruktúra dokumentu Char139"/>
    <w:aliases w:val="Char9 Char Char140,Štruktúra dokumentu Char Char Char140,Document Map Char Char Char140"/>
    <w:uiPriority w:val="99"/>
    <w:semiHidden/>
    <w:rPr>
      <w:rFonts w:ascii="Tahoma" w:hAnsi="Tahoma"/>
      <w:sz w:val="16"/>
      <w:lang w:val="x-none" w:eastAsia="cs-CZ"/>
    </w:rPr>
  </w:style>
  <w:style w:type="character" w:customStyle="1" w:styleId="truktradokumentuChar138">
    <w:name w:val="Štruktúra dokumentu Char138"/>
    <w:aliases w:val="Char9 Char Char139,Štruktúra dokumentu Char Char Char139,Document Map Char Char Char139"/>
    <w:uiPriority w:val="99"/>
    <w:semiHidden/>
    <w:rPr>
      <w:rFonts w:ascii="Tahoma" w:hAnsi="Tahoma"/>
      <w:sz w:val="16"/>
      <w:lang w:val="x-none" w:eastAsia="cs-CZ"/>
    </w:rPr>
  </w:style>
  <w:style w:type="character" w:customStyle="1" w:styleId="truktradokumentuChar137">
    <w:name w:val="Štruktúra dokumentu Char137"/>
    <w:aliases w:val="Char9 Char Char138,Štruktúra dokumentu Char Char Char138,Document Map Char Char Char138"/>
    <w:uiPriority w:val="99"/>
    <w:semiHidden/>
    <w:rPr>
      <w:rFonts w:ascii="Tahoma" w:hAnsi="Tahoma"/>
      <w:sz w:val="16"/>
      <w:lang w:val="x-none" w:eastAsia="cs-CZ"/>
    </w:rPr>
  </w:style>
  <w:style w:type="character" w:customStyle="1" w:styleId="truktradokumentuChar136">
    <w:name w:val="Štruktúra dokumentu Char136"/>
    <w:aliases w:val="Char9 Char Char137,Štruktúra dokumentu Char Char Char137,Document Map Char Char Char137"/>
    <w:uiPriority w:val="99"/>
    <w:semiHidden/>
    <w:rPr>
      <w:rFonts w:ascii="Tahoma" w:hAnsi="Tahoma"/>
      <w:sz w:val="16"/>
      <w:lang w:val="x-none" w:eastAsia="cs-CZ"/>
    </w:rPr>
  </w:style>
  <w:style w:type="character" w:customStyle="1" w:styleId="truktradokumentuChar135">
    <w:name w:val="Štruktúra dokumentu Char135"/>
    <w:aliases w:val="Char9 Char Char136,Štruktúra dokumentu Char Char Char136,Document Map Char Char Char136"/>
    <w:uiPriority w:val="99"/>
    <w:semiHidden/>
    <w:rPr>
      <w:rFonts w:ascii="Tahoma" w:hAnsi="Tahoma"/>
      <w:sz w:val="16"/>
      <w:lang w:val="x-none" w:eastAsia="cs-CZ"/>
    </w:rPr>
  </w:style>
  <w:style w:type="character" w:customStyle="1" w:styleId="truktradokumentuChar134">
    <w:name w:val="Štruktúra dokumentu Char134"/>
    <w:aliases w:val="Char9 Char Char135,Štruktúra dokumentu Char Char Char135,Document Map Char Char Char135"/>
    <w:uiPriority w:val="99"/>
    <w:semiHidden/>
    <w:rPr>
      <w:rFonts w:ascii="Tahoma" w:hAnsi="Tahoma"/>
      <w:sz w:val="16"/>
      <w:lang w:val="x-none" w:eastAsia="cs-CZ"/>
    </w:rPr>
  </w:style>
  <w:style w:type="character" w:customStyle="1" w:styleId="truktradokumentuChar133">
    <w:name w:val="Štruktúra dokumentu Char133"/>
    <w:aliases w:val="Char9 Char Char134,Štruktúra dokumentu Char Char Char134,Document Map Char Char Char134"/>
    <w:uiPriority w:val="99"/>
    <w:semiHidden/>
    <w:rPr>
      <w:rFonts w:ascii="Tahoma" w:hAnsi="Tahoma"/>
      <w:sz w:val="16"/>
      <w:lang w:val="x-none" w:eastAsia="cs-CZ"/>
    </w:rPr>
  </w:style>
  <w:style w:type="character" w:customStyle="1" w:styleId="truktradokumentuChar132">
    <w:name w:val="Štruktúra dokumentu Char132"/>
    <w:aliases w:val="Char9 Char Char133,Štruktúra dokumentu Char Char Char133,Document Map Char Char Char133"/>
    <w:uiPriority w:val="99"/>
    <w:semiHidden/>
    <w:rPr>
      <w:rFonts w:ascii="Tahoma" w:hAnsi="Tahoma"/>
      <w:sz w:val="16"/>
      <w:lang w:val="x-none" w:eastAsia="cs-CZ"/>
    </w:rPr>
  </w:style>
  <w:style w:type="character" w:customStyle="1" w:styleId="truktradokumentuChar131">
    <w:name w:val="Štruktúra dokumentu Char131"/>
    <w:aliases w:val="Char9 Char Char132,Štruktúra dokumentu Char Char Char132,Document Map Char Char Char132"/>
    <w:uiPriority w:val="99"/>
    <w:semiHidden/>
    <w:rPr>
      <w:rFonts w:ascii="Tahoma" w:hAnsi="Tahoma"/>
      <w:sz w:val="16"/>
      <w:lang w:val="x-none" w:eastAsia="cs-CZ"/>
    </w:rPr>
  </w:style>
  <w:style w:type="character" w:customStyle="1" w:styleId="truktradokumentuChar130">
    <w:name w:val="Štruktúra dokumentu Char130"/>
    <w:aliases w:val="Char9 Char Char131,Štruktúra dokumentu Char Char Char131,Document Map Char Char Char131"/>
    <w:uiPriority w:val="99"/>
    <w:semiHidden/>
    <w:rPr>
      <w:rFonts w:ascii="Tahoma" w:hAnsi="Tahoma"/>
      <w:sz w:val="16"/>
      <w:lang w:val="x-none" w:eastAsia="cs-CZ"/>
    </w:rPr>
  </w:style>
  <w:style w:type="character" w:customStyle="1" w:styleId="truktradokumentuChar129">
    <w:name w:val="Štruktúra dokumentu Char129"/>
    <w:aliases w:val="Char9 Char Char130,Štruktúra dokumentu Char Char Char130,Document Map Char Char Char130"/>
    <w:uiPriority w:val="99"/>
    <w:semiHidden/>
    <w:rPr>
      <w:rFonts w:ascii="Tahoma" w:hAnsi="Tahoma"/>
      <w:sz w:val="16"/>
      <w:lang w:val="x-none" w:eastAsia="cs-CZ"/>
    </w:rPr>
  </w:style>
  <w:style w:type="character" w:customStyle="1" w:styleId="truktradokumentuChar128">
    <w:name w:val="Štruktúra dokumentu Char128"/>
    <w:aliases w:val="Char9 Char Char129,Štruktúra dokumentu Char Char Char129,Document Map Char Char Char129"/>
    <w:uiPriority w:val="99"/>
    <w:semiHidden/>
    <w:rPr>
      <w:rFonts w:ascii="Tahoma" w:hAnsi="Tahoma"/>
      <w:sz w:val="16"/>
      <w:lang w:val="x-none" w:eastAsia="cs-CZ"/>
    </w:rPr>
  </w:style>
  <w:style w:type="character" w:customStyle="1" w:styleId="truktradokumentuChar127">
    <w:name w:val="Štruktúra dokumentu Char127"/>
    <w:aliases w:val="Char9 Char Char128,Štruktúra dokumentu Char Char Char128,Document Map Char Char Char128"/>
    <w:uiPriority w:val="99"/>
    <w:semiHidden/>
    <w:rPr>
      <w:rFonts w:ascii="Tahoma" w:hAnsi="Tahoma"/>
      <w:sz w:val="16"/>
      <w:lang w:val="x-none" w:eastAsia="cs-CZ"/>
    </w:rPr>
  </w:style>
  <w:style w:type="character" w:customStyle="1" w:styleId="truktradokumentuChar126">
    <w:name w:val="Štruktúra dokumentu Char126"/>
    <w:aliases w:val="Char9 Char Char127,Štruktúra dokumentu Char Char Char127,Document Map Char Char Char127"/>
    <w:uiPriority w:val="99"/>
    <w:semiHidden/>
    <w:rPr>
      <w:rFonts w:ascii="Tahoma" w:hAnsi="Tahoma"/>
      <w:sz w:val="16"/>
      <w:lang w:val="x-none" w:eastAsia="cs-CZ"/>
    </w:rPr>
  </w:style>
  <w:style w:type="character" w:customStyle="1" w:styleId="truktradokumentuChar125">
    <w:name w:val="Štruktúra dokumentu Char125"/>
    <w:aliases w:val="Char9 Char Char126,Štruktúra dokumentu Char Char Char126,Document Map Char Char Char126"/>
    <w:uiPriority w:val="99"/>
    <w:semiHidden/>
    <w:rPr>
      <w:rFonts w:ascii="Tahoma" w:hAnsi="Tahoma"/>
      <w:sz w:val="16"/>
      <w:lang w:val="x-none" w:eastAsia="cs-CZ"/>
    </w:rPr>
  </w:style>
  <w:style w:type="character" w:customStyle="1" w:styleId="truktradokumentuChar124">
    <w:name w:val="Štruktúra dokumentu Char124"/>
    <w:aliases w:val="Char9 Char Char125,Štruktúra dokumentu Char Char Char125,Document Map Char Char Char125"/>
    <w:uiPriority w:val="99"/>
    <w:semiHidden/>
    <w:rPr>
      <w:rFonts w:ascii="Tahoma" w:hAnsi="Tahoma"/>
      <w:sz w:val="16"/>
      <w:lang w:val="x-none" w:eastAsia="cs-CZ"/>
    </w:rPr>
  </w:style>
  <w:style w:type="character" w:customStyle="1" w:styleId="truktradokumentuChar123">
    <w:name w:val="Štruktúra dokumentu Char123"/>
    <w:aliases w:val="Char9 Char Char124,Štruktúra dokumentu Char Char Char124,Document Map Char Char Char124"/>
    <w:uiPriority w:val="99"/>
    <w:semiHidden/>
    <w:rPr>
      <w:rFonts w:ascii="Tahoma" w:hAnsi="Tahoma"/>
      <w:sz w:val="16"/>
      <w:lang w:val="x-none" w:eastAsia="cs-CZ"/>
    </w:rPr>
  </w:style>
  <w:style w:type="character" w:customStyle="1" w:styleId="truktradokumentuChar122">
    <w:name w:val="Štruktúra dokumentu Char122"/>
    <w:aliases w:val="Char9 Char Char123,Štruktúra dokumentu Char Char Char123,Document Map Char Char Char123"/>
    <w:uiPriority w:val="99"/>
    <w:semiHidden/>
    <w:rPr>
      <w:rFonts w:ascii="Tahoma" w:hAnsi="Tahoma"/>
      <w:sz w:val="16"/>
      <w:lang w:val="x-none" w:eastAsia="cs-CZ"/>
    </w:rPr>
  </w:style>
  <w:style w:type="character" w:customStyle="1" w:styleId="truktradokumentuChar121">
    <w:name w:val="Štruktúra dokumentu Char121"/>
    <w:aliases w:val="Char9 Char Char122,Štruktúra dokumentu Char Char Char122,Document Map Char Char Char122"/>
    <w:uiPriority w:val="99"/>
    <w:semiHidden/>
    <w:rPr>
      <w:rFonts w:ascii="Tahoma" w:hAnsi="Tahoma"/>
      <w:sz w:val="16"/>
      <w:lang w:val="x-none" w:eastAsia="cs-CZ"/>
    </w:rPr>
  </w:style>
  <w:style w:type="character" w:customStyle="1" w:styleId="truktradokumentuChar120">
    <w:name w:val="Štruktúra dokumentu Char120"/>
    <w:aliases w:val="Char9 Char Char121,Štruktúra dokumentu Char Char Char121,Document Map Char Char Char121"/>
    <w:uiPriority w:val="99"/>
    <w:semiHidden/>
    <w:rPr>
      <w:rFonts w:ascii="Tahoma" w:hAnsi="Tahoma"/>
      <w:sz w:val="16"/>
      <w:lang w:val="x-none" w:eastAsia="cs-CZ"/>
    </w:rPr>
  </w:style>
  <w:style w:type="character" w:customStyle="1" w:styleId="truktradokumentuChar119">
    <w:name w:val="Štruktúra dokumentu Char119"/>
    <w:aliases w:val="Char9 Char Char120,Štruktúra dokumentu Char Char Char120,Document Map Char Char Char120"/>
    <w:uiPriority w:val="99"/>
    <w:semiHidden/>
    <w:rPr>
      <w:rFonts w:ascii="Tahoma" w:hAnsi="Tahoma"/>
      <w:sz w:val="16"/>
      <w:lang w:val="x-none" w:eastAsia="cs-CZ"/>
    </w:rPr>
  </w:style>
  <w:style w:type="character" w:customStyle="1" w:styleId="truktradokumentuChar118">
    <w:name w:val="Štruktúra dokumentu Char118"/>
    <w:aliases w:val="Char9 Char Char119,Štruktúra dokumentu Char Char Char119,Document Map Char Char Char119"/>
    <w:uiPriority w:val="99"/>
    <w:semiHidden/>
    <w:rPr>
      <w:rFonts w:ascii="Tahoma" w:hAnsi="Tahoma"/>
      <w:sz w:val="16"/>
      <w:lang w:val="x-none" w:eastAsia="cs-CZ"/>
    </w:rPr>
  </w:style>
  <w:style w:type="character" w:customStyle="1" w:styleId="truktradokumentuChar117">
    <w:name w:val="Štruktúra dokumentu Char117"/>
    <w:aliases w:val="Char9 Char Char118,Štruktúra dokumentu Char Char Char118,Document Map Char Char Char118"/>
    <w:uiPriority w:val="99"/>
    <w:semiHidden/>
    <w:rPr>
      <w:rFonts w:ascii="Tahoma" w:hAnsi="Tahoma"/>
      <w:sz w:val="16"/>
      <w:lang w:val="x-none" w:eastAsia="cs-CZ"/>
    </w:rPr>
  </w:style>
  <w:style w:type="character" w:customStyle="1" w:styleId="truktradokumentuChar116">
    <w:name w:val="Štruktúra dokumentu Char116"/>
    <w:aliases w:val="Char9 Char Char117,Štruktúra dokumentu Char Char Char117,Document Map Char Char Char117"/>
    <w:uiPriority w:val="99"/>
    <w:semiHidden/>
    <w:rPr>
      <w:rFonts w:ascii="Tahoma" w:hAnsi="Tahoma"/>
      <w:sz w:val="16"/>
      <w:lang w:val="x-none" w:eastAsia="cs-CZ"/>
    </w:rPr>
  </w:style>
  <w:style w:type="character" w:customStyle="1" w:styleId="truktradokumentuChar115">
    <w:name w:val="Štruktúra dokumentu Char115"/>
    <w:aliases w:val="Char9 Char Char116,Štruktúra dokumentu Char Char Char116,Document Map Char Char Char116"/>
    <w:uiPriority w:val="99"/>
    <w:semiHidden/>
    <w:rPr>
      <w:rFonts w:ascii="Tahoma" w:hAnsi="Tahoma"/>
      <w:sz w:val="16"/>
      <w:lang w:val="x-none" w:eastAsia="cs-CZ"/>
    </w:rPr>
  </w:style>
  <w:style w:type="character" w:customStyle="1" w:styleId="truktradokumentuChar114">
    <w:name w:val="Štruktúra dokumentu Char114"/>
    <w:aliases w:val="Char9 Char Char115,Štruktúra dokumentu Char Char Char115,Document Map Char Char Char115"/>
    <w:uiPriority w:val="99"/>
    <w:semiHidden/>
    <w:rPr>
      <w:rFonts w:ascii="Tahoma" w:hAnsi="Tahoma"/>
      <w:sz w:val="16"/>
      <w:lang w:val="x-none" w:eastAsia="cs-CZ"/>
    </w:rPr>
  </w:style>
  <w:style w:type="character" w:customStyle="1" w:styleId="truktradokumentuChar113">
    <w:name w:val="Štruktúra dokumentu Char113"/>
    <w:aliases w:val="Char9 Char Char114,Štruktúra dokumentu Char Char Char114,Document Map Char Char Char114"/>
    <w:uiPriority w:val="99"/>
    <w:semiHidden/>
    <w:rPr>
      <w:rFonts w:ascii="Tahoma" w:hAnsi="Tahoma"/>
      <w:sz w:val="16"/>
      <w:lang w:val="x-none" w:eastAsia="cs-CZ"/>
    </w:rPr>
  </w:style>
  <w:style w:type="character" w:customStyle="1" w:styleId="truktradokumentuChar112">
    <w:name w:val="Štruktúra dokumentu Char112"/>
    <w:aliases w:val="Char9 Char Char113,Štruktúra dokumentu Char Char Char113,Document Map Char Char Char113"/>
    <w:uiPriority w:val="99"/>
    <w:semiHidden/>
    <w:rPr>
      <w:rFonts w:ascii="Tahoma" w:hAnsi="Tahoma"/>
      <w:sz w:val="16"/>
      <w:lang w:val="x-none" w:eastAsia="cs-CZ"/>
    </w:rPr>
  </w:style>
  <w:style w:type="character" w:customStyle="1" w:styleId="truktradokumentuChar111">
    <w:name w:val="Štruktúra dokumentu Char111"/>
    <w:aliases w:val="Char9 Char Char112,Štruktúra dokumentu Char Char Char112,Document Map Char Char Char112"/>
    <w:uiPriority w:val="99"/>
    <w:semiHidden/>
    <w:rPr>
      <w:rFonts w:ascii="Tahoma" w:hAnsi="Tahoma"/>
      <w:sz w:val="16"/>
      <w:lang w:val="x-none" w:eastAsia="cs-CZ"/>
    </w:rPr>
  </w:style>
  <w:style w:type="character" w:customStyle="1" w:styleId="truktradokumentuChar110">
    <w:name w:val="Štruktúra dokumentu Char110"/>
    <w:aliases w:val="Char9 Char Char110,Štruktúra dokumentu Char Char Char110,Document Map Char Char Char110"/>
    <w:uiPriority w:val="99"/>
    <w:semiHidden/>
    <w:rPr>
      <w:rFonts w:ascii="Tahoma" w:hAnsi="Tahoma"/>
      <w:sz w:val="16"/>
      <w:lang w:val="x-none" w:eastAsia="cs-CZ"/>
    </w:rPr>
  </w:style>
  <w:style w:type="character" w:customStyle="1" w:styleId="truktradokumentuChar19">
    <w:name w:val="Štruktúra dokumentu Char19"/>
    <w:aliases w:val="Char9 Char Char19,Štruktúra dokumentu Char Char Char19,Document Map Char Char Char19"/>
    <w:uiPriority w:val="99"/>
    <w:semiHidden/>
    <w:rPr>
      <w:rFonts w:ascii="Tahoma" w:hAnsi="Tahoma"/>
      <w:sz w:val="16"/>
      <w:lang w:val="x-none" w:eastAsia="cs-CZ"/>
    </w:rPr>
  </w:style>
  <w:style w:type="character" w:customStyle="1" w:styleId="truktradokumentuChar18">
    <w:name w:val="Štruktúra dokumentu Char18"/>
    <w:aliases w:val="Char9 Char Char18,Štruktúra dokumentu Char Char Char18,Document Map Char Char Char18"/>
    <w:uiPriority w:val="99"/>
    <w:semiHidden/>
    <w:rPr>
      <w:rFonts w:ascii="Tahoma" w:hAnsi="Tahoma"/>
      <w:sz w:val="16"/>
      <w:lang w:val="x-none" w:eastAsia="cs-CZ"/>
    </w:rPr>
  </w:style>
  <w:style w:type="character" w:customStyle="1" w:styleId="truktradokumentuChar17">
    <w:name w:val="Štruktúra dokumentu Char17"/>
    <w:aliases w:val="Char9 Char Char17,Štruktúra dokumentu Char Char Char17,Document Map Char Char Char17"/>
    <w:uiPriority w:val="99"/>
    <w:semiHidden/>
    <w:rPr>
      <w:rFonts w:ascii="Tahoma" w:hAnsi="Tahoma"/>
      <w:sz w:val="16"/>
      <w:lang w:val="x-none" w:eastAsia="cs-CZ"/>
    </w:rPr>
  </w:style>
  <w:style w:type="character" w:customStyle="1" w:styleId="truktradokumentuChar16">
    <w:name w:val="Štruktúra dokumentu Char16"/>
    <w:aliases w:val="Char9 Char Char16,Štruktúra dokumentu Char Char Char16,Document Map Char Char Char16"/>
    <w:uiPriority w:val="99"/>
    <w:semiHidden/>
    <w:rPr>
      <w:rFonts w:ascii="Tahoma" w:hAnsi="Tahoma"/>
      <w:sz w:val="16"/>
      <w:lang w:val="x-none" w:eastAsia="cs-CZ"/>
    </w:rPr>
  </w:style>
  <w:style w:type="character" w:customStyle="1" w:styleId="truktradokumentuChar15">
    <w:name w:val="Štruktúra dokumentu Char15"/>
    <w:aliases w:val="Char9 Char Char15,Štruktúra dokumentu Char Char Char15,Document Map Char Char Char15"/>
    <w:uiPriority w:val="99"/>
    <w:semiHidden/>
    <w:rPr>
      <w:rFonts w:ascii="Tahoma" w:hAnsi="Tahoma"/>
      <w:sz w:val="16"/>
      <w:lang w:val="x-none" w:eastAsia="cs-CZ"/>
    </w:rPr>
  </w:style>
  <w:style w:type="character" w:customStyle="1" w:styleId="truktradokumentuChar14">
    <w:name w:val="Štruktúra dokumentu Char14"/>
    <w:aliases w:val="Char9 Char Char14,Štruktúra dokumentu Char Char Char14,Document Map Char Char Char14"/>
    <w:uiPriority w:val="99"/>
    <w:semiHidden/>
    <w:rPr>
      <w:rFonts w:ascii="Tahoma" w:hAnsi="Tahoma"/>
      <w:sz w:val="16"/>
      <w:lang w:val="x-none" w:eastAsia="cs-CZ"/>
    </w:rPr>
  </w:style>
  <w:style w:type="character" w:customStyle="1" w:styleId="truktradokumentuChar13">
    <w:name w:val="Štruktúra dokumentu Char13"/>
    <w:aliases w:val="Char9 Char Char13,Štruktúra dokumentu Char Char Char13,Document Map Char Char Char13"/>
    <w:uiPriority w:val="99"/>
    <w:semiHidden/>
    <w:rPr>
      <w:rFonts w:ascii="Tahoma" w:hAnsi="Tahoma"/>
      <w:sz w:val="16"/>
      <w:lang w:val="x-none" w:eastAsia="cs-CZ"/>
    </w:rPr>
  </w:style>
  <w:style w:type="character" w:customStyle="1" w:styleId="truktradokumentuChar12">
    <w:name w:val="Štruktúra dokumentu Char12"/>
    <w:aliases w:val="Char9 Char Char12,Štruktúra dokumentu Char Char Char12,Document Map Char Char Char12"/>
    <w:uiPriority w:val="99"/>
    <w:semiHidden/>
    <w:rPr>
      <w:rFonts w:ascii="Tahoma" w:hAnsi="Tahoma"/>
      <w:sz w:val="16"/>
      <w:lang w:val="x-none" w:eastAsia="cs-CZ"/>
    </w:rPr>
  </w:style>
  <w:style w:type="character" w:customStyle="1" w:styleId="truktradokumentuChar11">
    <w:name w:val="Štruktúra dokumentu Char11"/>
    <w:aliases w:val="Char9 Char Char11,Štruktúra dokumentu Char Char Char11,Document Map Char Char Char11,Char9 Char Char111,Štruktúra dokumentu Char Char Char111,Document Map Char Char Char111"/>
    <w:uiPriority w:val="99"/>
    <w:semiHidden/>
    <w:rsid w:val="00992BC9"/>
    <w:rPr>
      <w:rFonts w:ascii="Tahoma" w:hAnsi="Tahoma"/>
      <w:sz w:val="16"/>
      <w:lang w:val="x-none" w:eastAsia="cs-CZ"/>
    </w:rPr>
  </w:style>
  <w:style w:type="paragraph" w:customStyle="1" w:styleId="CharCharCharCharCharCharCharCharCharCharCharCharCharCharCharCharCharCharCharCharCharCharChar1CharCharCharCharChar">
    <w:name w:val="Char Char Char Char Char Char Char Char Char Char Char Char Char Char Char Char Char Char Char Char Char Char Char1 Char Char Char Char Char"/>
    <w:basedOn w:val="Normlny"/>
    <w:uiPriority w:val="99"/>
    <w:qFormat/>
    <w:rsid w:val="00992BC9"/>
    <w:pPr>
      <w:spacing w:after="160" w:line="240" w:lineRule="exact"/>
    </w:pPr>
    <w:rPr>
      <w:rFonts w:ascii="Tahoma" w:hAnsi="Tahoma" w:cs="Tahoma"/>
      <w:sz w:val="20"/>
      <w:szCs w:val="20"/>
      <w:lang w:val="en-US" w:eastAsia="en-US"/>
    </w:rPr>
  </w:style>
  <w:style w:type="paragraph" w:customStyle="1" w:styleId="CharCharChar2CharCharCharCharCharCharCharCharCharCharChar">
    <w:name w:val="Char Char Char2 Char Char Char Char Char Char Char Char Char Char Char"/>
    <w:basedOn w:val="Normlny"/>
    <w:uiPriority w:val="99"/>
    <w:qFormat/>
    <w:rsid w:val="00992BC9"/>
    <w:pPr>
      <w:spacing w:after="160" w:line="240" w:lineRule="exact"/>
    </w:pPr>
    <w:rPr>
      <w:rFonts w:ascii="Tahoma" w:hAnsi="Tahoma" w:cs="Tahoma"/>
      <w:sz w:val="20"/>
      <w:szCs w:val="20"/>
      <w:lang w:val="en-US" w:eastAsia="en-US"/>
    </w:rPr>
  </w:style>
  <w:style w:type="paragraph" w:customStyle="1" w:styleId="CharCharChar2CharCharCharCharCharChar">
    <w:name w:val="Char Char Char2 Char Char Char Char Char Char"/>
    <w:basedOn w:val="Normlny"/>
    <w:uiPriority w:val="99"/>
    <w:qFormat/>
    <w:rsid w:val="00992BC9"/>
    <w:pPr>
      <w:spacing w:after="160" w:line="240" w:lineRule="exact"/>
    </w:pPr>
    <w:rPr>
      <w:rFonts w:ascii="Tahoma" w:hAnsi="Tahoma" w:cs="Tahoma"/>
      <w:sz w:val="20"/>
      <w:szCs w:val="20"/>
      <w:lang w:val="en-US" w:eastAsia="en-US"/>
    </w:rPr>
  </w:style>
  <w:style w:type="character" w:customStyle="1" w:styleId="TextkomentraChar">
    <w:name w:val="Text komentára Char"/>
    <w:aliases w:val="Char7 Char Char,Text komentára Char Char Char,Comment Text Char Char Char"/>
    <w:link w:val="Textkomentra"/>
    <w:uiPriority w:val="99"/>
    <w:semiHidden/>
    <w:locked/>
    <w:rsid w:val="00992BC9"/>
    <w:rPr>
      <w:rFonts w:ascii="Courier" w:hAnsi="Courier"/>
    </w:rPr>
  </w:style>
  <w:style w:type="paragraph" w:styleId="Textkomentra">
    <w:name w:val="annotation text"/>
    <w:aliases w:val="Char7 Char,Text komentára Char Char,Comment Text Char Char"/>
    <w:basedOn w:val="Normlny"/>
    <w:link w:val="TextkomentraChar"/>
    <w:uiPriority w:val="99"/>
    <w:semiHidden/>
    <w:qFormat/>
    <w:rsid w:val="00992BC9"/>
    <w:rPr>
      <w:rFonts w:cs="Times New Roman"/>
      <w:sz w:val="20"/>
      <w:szCs w:val="20"/>
    </w:rPr>
  </w:style>
  <w:style w:type="character" w:customStyle="1" w:styleId="TextkomentraChar1">
    <w:name w:val="Text komentára Char1"/>
    <w:aliases w:val="Char7 Char Char1,Text komentára Char Char Char1,Comment Text Char Char Char1"/>
    <w:basedOn w:val="Predvolenpsmoodseku"/>
    <w:uiPriority w:val="99"/>
    <w:semiHidden/>
    <w:rPr>
      <w:rFonts w:ascii="Courier" w:hAnsi="Courier" w:cs="Courier"/>
      <w:lang w:eastAsia="cs-CZ"/>
    </w:rPr>
  </w:style>
  <w:style w:type="character" w:customStyle="1" w:styleId="TextkomentraChar1621">
    <w:name w:val="Text komentára Char1621"/>
    <w:aliases w:val="Char7 Char Char1622,Text komentára Char Char Char1622,Comment Text Char Char Char1622"/>
    <w:basedOn w:val="Predvolenpsmoodseku"/>
    <w:uiPriority w:val="99"/>
    <w:semiHidden/>
    <w:rPr>
      <w:rFonts w:ascii="Courier" w:hAnsi="Courier" w:cs="Courier"/>
      <w:lang w:val="x-none" w:eastAsia="cs-CZ"/>
    </w:rPr>
  </w:style>
  <w:style w:type="character" w:customStyle="1" w:styleId="TextkomentraChar1620">
    <w:name w:val="Text komentára Char1620"/>
    <w:aliases w:val="Char7 Char Char1621,Text komentára Char Char Char1621,Comment Text Char Char Char1621"/>
    <w:basedOn w:val="Predvolenpsmoodseku"/>
    <w:uiPriority w:val="99"/>
    <w:semiHidden/>
    <w:rPr>
      <w:rFonts w:ascii="Courier" w:hAnsi="Courier" w:cs="Courier"/>
      <w:lang w:val="x-none" w:eastAsia="cs-CZ"/>
    </w:rPr>
  </w:style>
  <w:style w:type="character" w:customStyle="1" w:styleId="TextkomentraChar1614">
    <w:name w:val="Text komentára Char1614"/>
    <w:aliases w:val="Char7 Char Char1615,Text komentára Char Char Char1615,Comment Text Char Char Char1615"/>
    <w:basedOn w:val="Predvolenpsmoodseku"/>
    <w:uiPriority w:val="99"/>
    <w:semiHidden/>
    <w:rPr>
      <w:rFonts w:ascii="Courier" w:hAnsi="Courier" w:cs="Courier"/>
      <w:lang w:val="x-none" w:eastAsia="cs-CZ"/>
    </w:rPr>
  </w:style>
  <w:style w:type="character" w:customStyle="1" w:styleId="TextkomentraChar1613">
    <w:name w:val="Text komentára Char1613"/>
    <w:aliases w:val="Char7 Char Char1614,Text komentára Char Char Char1614,Comment Text Char Char Char1614"/>
    <w:basedOn w:val="Predvolenpsmoodseku"/>
    <w:uiPriority w:val="99"/>
    <w:semiHidden/>
    <w:rPr>
      <w:rFonts w:ascii="Courier" w:hAnsi="Courier" w:cs="Courier"/>
      <w:lang w:val="x-none" w:eastAsia="cs-CZ"/>
    </w:rPr>
  </w:style>
  <w:style w:type="character" w:customStyle="1" w:styleId="TextkomentraChar1612">
    <w:name w:val="Text komentára Char1612"/>
    <w:aliases w:val="Char7 Char Char1613,Text komentára Char Char Char1613,Comment Text Char Char Char1613"/>
    <w:basedOn w:val="Predvolenpsmoodseku"/>
    <w:uiPriority w:val="99"/>
    <w:semiHidden/>
    <w:rPr>
      <w:rFonts w:ascii="Courier" w:hAnsi="Courier" w:cs="Courier"/>
      <w:lang w:val="x-none" w:eastAsia="cs-CZ"/>
    </w:rPr>
  </w:style>
  <w:style w:type="character" w:customStyle="1" w:styleId="TextkomentraChar1611">
    <w:name w:val="Text komentára Char1611"/>
    <w:aliases w:val="Char7 Char Char1612,Text komentára Char Char Char1612,Comment Text Char Char Char1612"/>
    <w:basedOn w:val="Predvolenpsmoodseku"/>
    <w:uiPriority w:val="99"/>
    <w:semiHidden/>
    <w:rPr>
      <w:rFonts w:ascii="Courier" w:hAnsi="Courier" w:cs="Courier"/>
      <w:lang w:val="x-none" w:eastAsia="cs-CZ"/>
    </w:rPr>
  </w:style>
  <w:style w:type="character" w:customStyle="1" w:styleId="TextkomentraChar1610">
    <w:name w:val="Text komentára Char1610"/>
    <w:aliases w:val="Char7 Char Char1611,Text komentára Char Char Char1611,Comment Text Char Char Char1611"/>
    <w:basedOn w:val="Predvolenpsmoodseku"/>
    <w:uiPriority w:val="99"/>
    <w:semiHidden/>
    <w:rPr>
      <w:rFonts w:ascii="Courier" w:hAnsi="Courier" w:cs="Courier"/>
      <w:lang w:val="x-none" w:eastAsia="cs-CZ"/>
    </w:rPr>
  </w:style>
  <w:style w:type="character" w:customStyle="1" w:styleId="TextkomentraChar1609">
    <w:name w:val="Text komentára Char1609"/>
    <w:aliases w:val="Char7 Char Char1610,Text komentára Char Char Char1610,Comment Text Char Char Char1610"/>
    <w:basedOn w:val="Predvolenpsmoodseku"/>
    <w:uiPriority w:val="99"/>
    <w:semiHidden/>
    <w:rPr>
      <w:rFonts w:ascii="Courier" w:hAnsi="Courier" w:cs="Courier"/>
      <w:lang w:val="x-none" w:eastAsia="cs-CZ"/>
    </w:rPr>
  </w:style>
  <w:style w:type="character" w:customStyle="1" w:styleId="TextkomentraChar1608">
    <w:name w:val="Text komentára Char1608"/>
    <w:aliases w:val="Char7 Char Char1609,Text komentára Char Char Char1609,Comment Text Char Char Char1609"/>
    <w:basedOn w:val="Predvolenpsmoodseku"/>
    <w:uiPriority w:val="99"/>
    <w:semiHidden/>
    <w:rPr>
      <w:rFonts w:ascii="Courier" w:hAnsi="Courier" w:cs="Courier"/>
      <w:lang w:val="x-none" w:eastAsia="cs-CZ"/>
    </w:rPr>
  </w:style>
  <w:style w:type="character" w:customStyle="1" w:styleId="TextkomentraChar1607">
    <w:name w:val="Text komentára Char1607"/>
    <w:aliases w:val="Char7 Char Char1608,Text komentára Char Char Char1608,Comment Text Char Char Char1608"/>
    <w:basedOn w:val="Predvolenpsmoodseku"/>
    <w:uiPriority w:val="99"/>
    <w:semiHidden/>
    <w:rPr>
      <w:rFonts w:ascii="Courier" w:hAnsi="Courier" w:cs="Courier"/>
      <w:lang w:val="x-none" w:eastAsia="cs-CZ"/>
    </w:rPr>
  </w:style>
  <w:style w:type="character" w:customStyle="1" w:styleId="TextkomentraChar1606">
    <w:name w:val="Text komentára Char1606"/>
    <w:aliases w:val="Char7 Char Char1607,Text komentára Char Char Char1607,Comment Text Char Char Char1607"/>
    <w:basedOn w:val="Predvolenpsmoodseku"/>
    <w:uiPriority w:val="99"/>
    <w:semiHidden/>
    <w:rPr>
      <w:rFonts w:ascii="Courier" w:hAnsi="Courier" w:cs="Courier"/>
      <w:lang w:val="x-none" w:eastAsia="cs-CZ"/>
    </w:rPr>
  </w:style>
  <w:style w:type="character" w:customStyle="1" w:styleId="TextkomentraChar1605">
    <w:name w:val="Text komentára Char1605"/>
    <w:aliases w:val="Char7 Char Char1606,Text komentára Char Char Char1606,Comment Text Char Char Char1606"/>
    <w:basedOn w:val="Predvolenpsmoodseku"/>
    <w:uiPriority w:val="99"/>
    <w:semiHidden/>
    <w:rPr>
      <w:rFonts w:ascii="Courier" w:hAnsi="Courier" w:cs="Courier"/>
      <w:lang w:val="x-none" w:eastAsia="cs-CZ"/>
    </w:rPr>
  </w:style>
  <w:style w:type="character" w:customStyle="1" w:styleId="TextkomentraChar1604">
    <w:name w:val="Text komentára Char1604"/>
    <w:aliases w:val="Char7 Char Char1605,Text komentára Char Char Char1605,Comment Text Char Char Char1605"/>
    <w:basedOn w:val="Predvolenpsmoodseku"/>
    <w:uiPriority w:val="99"/>
    <w:semiHidden/>
    <w:rPr>
      <w:rFonts w:ascii="Courier" w:hAnsi="Courier" w:cs="Courier"/>
      <w:lang w:val="x-none" w:eastAsia="cs-CZ"/>
    </w:rPr>
  </w:style>
  <w:style w:type="character" w:customStyle="1" w:styleId="TextkomentraChar1603">
    <w:name w:val="Text komentára Char1603"/>
    <w:aliases w:val="Char7 Char Char1604,Text komentára Char Char Char1604,Comment Text Char Char Char1604"/>
    <w:basedOn w:val="Predvolenpsmoodseku"/>
    <w:uiPriority w:val="99"/>
    <w:semiHidden/>
    <w:rPr>
      <w:rFonts w:ascii="Courier" w:hAnsi="Courier" w:cs="Courier"/>
      <w:lang w:val="x-none" w:eastAsia="cs-CZ"/>
    </w:rPr>
  </w:style>
  <w:style w:type="character" w:customStyle="1" w:styleId="TextkomentraChar1602">
    <w:name w:val="Text komentára Char1602"/>
    <w:aliases w:val="Char7 Char Char1603,Text komentára Char Char Char1603,Comment Text Char Char Char1603"/>
    <w:basedOn w:val="Predvolenpsmoodseku"/>
    <w:uiPriority w:val="99"/>
    <w:semiHidden/>
    <w:rPr>
      <w:rFonts w:ascii="Courier" w:hAnsi="Courier" w:cs="Courier"/>
      <w:lang w:val="x-none" w:eastAsia="cs-CZ"/>
    </w:rPr>
  </w:style>
  <w:style w:type="character" w:customStyle="1" w:styleId="TextkomentraChar1601">
    <w:name w:val="Text komentára Char1601"/>
    <w:aliases w:val="Char7 Char Char1602,Text komentára Char Char Char1602,Comment Text Char Char Char1602"/>
    <w:basedOn w:val="Predvolenpsmoodseku"/>
    <w:uiPriority w:val="99"/>
    <w:semiHidden/>
    <w:rPr>
      <w:rFonts w:ascii="Courier" w:hAnsi="Courier" w:cs="Courier"/>
      <w:lang w:val="x-none" w:eastAsia="cs-CZ"/>
    </w:rPr>
  </w:style>
  <w:style w:type="character" w:customStyle="1" w:styleId="TextkomentraChar1600">
    <w:name w:val="Text komentára Char1600"/>
    <w:aliases w:val="Char7 Char Char1601,Text komentára Char Char Char1601,Comment Text Char Char Char1601"/>
    <w:basedOn w:val="Predvolenpsmoodseku"/>
    <w:uiPriority w:val="99"/>
    <w:semiHidden/>
    <w:rPr>
      <w:rFonts w:ascii="Courier" w:hAnsi="Courier" w:cs="Courier"/>
      <w:lang w:val="x-none" w:eastAsia="cs-CZ"/>
    </w:rPr>
  </w:style>
  <w:style w:type="character" w:customStyle="1" w:styleId="TextkomentraChar1599">
    <w:name w:val="Text komentára Char1599"/>
    <w:aliases w:val="Char7 Char Char1600,Text komentára Char Char Char1600,Comment Text Char Char Char1600"/>
    <w:basedOn w:val="Predvolenpsmoodseku"/>
    <w:uiPriority w:val="99"/>
    <w:semiHidden/>
    <w:rPr>
      <w:rFonts w:ascii="Courier" w:hAnsi="Courier" w:cs="Courier"/>
      <w:lang w:val="x-none" w:eastAsia="cs-CZ"/>
    </w:rPr>
  </w:style>
  <w:style w:type="character" w:customStyle="1" w:styleId="TextkomentraChar1598">
    <w:name w:val="Text komentára Char1598"/>
    <w:aliases w:val="Char7 Char Char1599,Text komentára Char Char Char1599,Comment Text Char Char Char1599"/>
    <w:basedOn w:val="Predvolenpsmoodseku"/>
    <w:uiPriority w:val="99"/>
    <w:semiHidden/>
    <w:rPr>
      <w:rFonts w:ascii="Courier" w:hAnsi="Courier" w:cs="Courier"/>
      <w:lang w:val="x-none" w:eastAsia="cs-CZ"/>
    </w:rPr>
  </w:style>
  <w:style w:type="character" w:customStyle="1" w:styleId="TextkomentraChar1597">
    <w:name w:val="Text komentára Char1597"/>
    <w:aliases w:val="Char7 Char Char1598,Text komentára Char Char Char1598,Comment Text Char Char Char1598"/>
    <w:basedOn w:val="Predvolenpsmoodseku"/>
    <w:uiPriority w:val="99"/>
    <w:semiHidden/>
    <w:rPr>
      <w:rFonts w:ascii="Courier" w:hAnsi="Courier" w:cs="Courier"/>
      <w:lang w:val="x-none" w:eastAsia="cs-CZ"/>
    </w:rPr>
  </w:style>
  <w:style w:type="character" w:customStyle="1" w:styleId="TextkomentraChar1596">
    <w:name w:val="Text komentára Char1596"/>
    <w:aliases w:val="Char7 Char Char1597,Text komentára Char Char Char1597,Comment Text Char Char Char1597"/>
    <w:basedOn w:val="Predvolenpsmoodseku"/>
    <w:uiPriority w:val="99"/>
    <w:semiHidden/>
    <w:rPr>
      <w:rFonts w:ascii="Courier" w:hAnsi="Courier" w:cs="Courier"/>
      <w:lang w:val="x-none" w:eastAsia="cs-CZ"/>
    </w:rPr>
  </w:style>
  <w:style w:type="character" w:customStyle="1" w:styleId="TextkomentraChar1595">
    <w:name w:val="Text komentára Char1595"/>
    <w:aliases w:val="Char7 Char Char1596,Text komentára Char Char Char1596,Comment Text Char Char Char1596"/>
    <w:basedOn w:val="Predvolenpsmoodseku"/>
    <w:uiPriority w:val="99"/>
    <w:semiHidden/>
    <w:rPr>
      <w:rFonts w:ascii="Courier" w:hAnsi="Courier" w:cs="Courier"/>
      <w:lang w:val="x-none" w:eastAsia="cs-CZ"/>
    </w:rPr>
  </w:style>
  <w:style w:type="character" w:customStyle="1" w:styleId="TextkomentraChar1594">
    <w:name w:val="Text komentára Char1594"/>
    <w:aliases w:val="Char7 Char Char1595,Text komentára Char Char Char1595,Comment Text Char Char Char1595"/>
    <w:basedOn w:val="Predvolenpsmoodseku"/>
    <w:uiPriority w:val="99"/>
    <w:semiHidden/>
    <w:rPr>
      <w:rFonts w:ascii="Courier" w:hAnsi="Courier" w:cs="Courier"/>
      <w:lang w:val="x-none" w:eastAsia="cs-CZ"/>
    </w:rPr>
  </w:style>
  <w:style w:type="character" w:customStyle="1" w:styleId="TextkomentraChar1593">
    <w:name w:val="Text komentára Char1593"/>
    <w:aliases w:val="Char7 Char Char1594,Text komentára Char Char Char1594,Comment Text Char Char Char1594"/>
    <w:basedOn w:val="Predvolenpsmoodseku"/>
    <w:uiPriority w:val="99"/>
    <w:semiHidden/>
    <w:rPr>
      <w:rFonts w:ascii="Courier" w:hAnsi="Courier" w:cs="Courier"/>
      <w:lang w:val="x-none" w:eastAsia="cs-CZ"/>
    </w:rPr>
  </w:style>
  <w:style w:type="character" w:customStyle="1" w:styleId="TextkomentraChar1592">
    <w:name w:val="Text komentára Char1592"/>
    <w:aliases w:val="Char7 Char Char1593,Text komentára Char Char Char1593,Comment Text Char Char Char1593"/>
    <w:basedOn w:val="Predvolenpsmoodseku"/>
    <w:uiPriority w:val="99"/>
    <w:semiHidden/>
    <w:rPr>
      <w:rFonts w:ascii="Courier" w:hAnsi="Courier" w:cs="Courier"/>
      <w:lang w:val="x-none" w:eastAsia="cs-CZ"/>
    </w:rPr>
  </w:style>
  <w:style w:type="character" w:customStyle="1" w:styleId="TextkomentraChar1591">
    <w:name w:val="Text komentára Char1591"/>
    <w:aliases w:val="Char7 Char Char1592,Text komentára Char Char Char1592,Comment Text Char Char Char1592"/>
    <w:basedOn w:val="Predvolenpsmoodseku"/>
    <w:uiPriority w:val="99"/>
    <w:semiHidden/>
    <w:rPr>
      <w:rFonts w:ascii="Courier" w:hAnsi="Courier" w:cs="Courier"/>
      <w:lang w:val="x-none" w:eastAsia="cs-CZ"/>
    </w:rPr>
  </w:style>
  <w:style w:type="character" w:customStyle="1" w:styleId="TextkomentraChar1590">
    <w:name w:val="Text komentára Char1590"/>
    <w:aliases w:val="Char7 Char Char1591,Text komentára Char Char Char1591,Comment Text Char Char Char1591"/>
    <w:basedOn w:val="Predvolenpsmoodseku"/>
    <w:uiPriority w:val="99"/>
    <w:semiHidden/>
    <w:rPr>
      <w:rFonts w:ascii="Courier" w:hAnsi="Courier" w:cs="Courier"/>
      <w:lang w:val="x-none" w:eastAsia="cs-CZ"/>
    </w:rPr>
  </w:style>
  <w:style w:type="character" w:customStyle="1" w:styleId="TextkomentraChar1589">
    <w:name w:val="Text komentára Char1589"/>
    <w:aliases w:val="Char7 Char Char1590,Text komentára Char Char Char1590,Comment Text Char Char Char1590"/>
    <w:basedOn w:val="Predvolenpsmoodseku"/>
    <w:uiPriority w:val="99"/>
    <w:semiHidden/>
    <w:rPr>
      <w:rFonts w:ascii="Courier" w:hAnsi="Courier" w:cs="Courier"/>
      <w:lang w:val="x-none" w:eastAsia="cs-CZ"/>
    </w:rPr>
  </w:style>
  <w:style w:type="character" w:customStyle="1" w:styleId="TextkomentraChar1588">
    <w:name w:val="Text komentára Char1588"/>
    <w:aliases w:val="Char7 Char Char1589,Text komentára Char Char Char1589,Comment Text Char Char Char1589"/>
    <w:basedOn w:val="Predvolenpsmoodseku"/>
    <w:uiPriority w:val="99"/>
    <w:semiHidden/>
    <w:rPr>
      <w:rFonts w:ascii="Courier" w:hAnsi="Courier" w:cs="Courier"/>
      <w:lang w:val="x-none" w:eastAsia="cs-CZ"/>
    </w:rPr>
  </w:style>
  <w:style w:type="character" w:customStyle="1" w:styleId="TextkomentraChar1587">
    <w:name w:val="Text komentára Char1587"/>
    <w:aliases w:val="Char7 Char Char1588,Text komentára Char Char Char1588,Comment Text Char Char Char1588"/>
    <w:basedOn w:val="Predvolenpsmoodseku"/>
    <w:uiPriority w:val="99"/>
    <w:semiHidden/>
    <w:rPr>
      <w:rFonts w:ascii="Courier" w:hAnsi="Courier" w:cs="Courier"/>
      <w:lang w:val="x-none" w:eastAsia="cs-CZ"/>
    </w:rPr>
  </w:style>
  <w:style w:type="character" w:customStyle="1" w:styleId="TextkomentraChar1586">
    <w:name w:val="Text komentára Char1586"/>
    <w:aliases w:val="Char7 Char Char1587,Text komentára Char Char Char1587,Comment Text Char Char Char1587"/>
    <w:basedOn w:val="Predvolenpsmoodseku"/>
    <w:uiPriority w:val="99"/>
    <w:semiHidden/>
    <w:rPr>
      <w:rFonts w:ascii="Courier" w:hAnsi="Courier" w:cs="Courier"/>
      <w:lang w:val="x-none" w:eastAsia="cs-CZ"/>
    </w:rPr>
  </w:style>
  <w:style w:type="character" w:customStyle="1" w:styleId="TextkomentraChar1585">
    <w:name w:val="Text komentára Char1585"/>
    <w:aliases w:val="Char7 Char Char1586,Text komentára Char Char Char1586,Comment Text Char Char Char1586"/>
    <w:basedOn w:val="Predvolenpsmoodseku"/>
    <w:uiPriority w:val="99"/>
    <w:semiHidden/>
    <w:rPr>
      <w:rFonts w:ascii="Courier" w:hAnsi="Courier" w:cs="Courier"/>
      <w:lang w:val="x-none" w:eastAsia="cs-CZ"/>
    </w:rPr>
  </w:style>
  <w:style w:type="character" w:customStyle="1" w:styleId="TextkomentraChar1584">
    <w:name w:val="Text komentára Char1584"/>
    <w:aliases w:val="Char7 Char Char1585,Text komentára Char Char Char1585,Comment Text Char Char Char1585"/>
    <w:basedOn w:val="Predvolenpsmoodseku"/>
    <w:uiPriority w:val="99"/>
    <w:semiHidden/>
    <w:rPr>
      <w:rFonts w:ascii="Courier" w:hAnsi="Courier" w:cs="Courier"/>
      <w:lang w:val="x-none" w:eastAsia="cs-CZ"/>
    </w:rPr>
  </w:style>
  <w:style w:type="character" w:customStyle="1" w:styleId="TextkomentraChar1583">
    <w:name w:val="Text komentára Char1583"/>
    <w:aliases w:val="Char7 Char Char1584,Text komentára Char Char Char1584,Comment Text Char Char Char1584"/>
    <w:basedOn w:val="Predvolenpsmoodseku"/>
    <w:uiPriority w:val="99"/>
    <w:semiHidden/>
    <w:rPr>
      <w:rFonts w:ascii="Courier" w:hAnsi="Courier" w:cs="Courier"/>
      <w:lang w:val="x-none" w:eastAsia="cs-CZ"/>
    </w:rPr>
  </w:style>
  <w:style w:type="character" w:customStyle="1" w:styleId="TextkomentraChar1582">
    <w:name w:val="Text komentára Char1582"/>
    <w:aliases w:val="Char7 Char Char1583,Text komentára Char Char Char1583,Comment Text Char Char Char1583"/>
    <w:basedOn w:val="Predvolenpsmoodseku"/>
    <w:uiPriority w:val="99"/>
    <w:semiHidden/>
    <w:rPr>
      <w:rFonts w:ascii="Courier" w:hAnsi="Courier" w:cs="Courier"/>
      <w:lang w:val="x-none" w:eastAsia="cs-CZ"/>
    </w:rPr>
  </w:style>
  <w:style w:type="character" w:customStyle="1" w:styleId="TextkomentraChar1581">
    <w:name w:val="Text komentára Char1581"/>
    <w:aliases w:val="Char7 Char Char1582,Text komentára Char Char Char1582,Comment Text Char Char Char1582"/>
    <w:basedOn w:val="Predvolenpsmoodseku"/>
    <w:uiPriority w:val="99"/>
    <w:semiHidden/>
    <w:rPr>
      <w:rFonts w:ascii="Courier" w:hAnsi="Courier" w:cs="Courier"/>
      <w:lang w:val="x-none" w:eastAsia="cs-CZ"/>
    </w:rPr>
  </w:style>
  <w:style w:type="character" w:customStyle="1" w:styleId="TextkomentraChar1580">
    <w:name w:val="Text komentára Char1580"/>
    <w:aliases w:val="Char7 Char Char1581,Text komentára Char Char Char1581,Comment Text Char Char Char1581"/>
    <w:basedOn w:val="Predvolenpsmoodseku"/>
    <w:uiPriority w:val="99"/>
    <w:semiHidden/>
    <w:rPr>
      <w:rFonts w:ascii="Courier" w:hAnsi="Courier" w:cs="Courier"/>
      <w:lang w:val="x-none" w:eastAsia="cs-CZ"/>
    </w:rPr>
  </w:style>
  <w:style w:type="character" w:customStyle="1" w:styleId="TextkomentraChar1579">
    <w:name w:val="Text komentára Char1579"/>
    <w:aliases w:val="Char7 Char Char1580,Text komentára Char Char Char1580,Comment Text Char Char Char1580"/>
    <w:basedOn w:val="Predvolenpsmoodseku"/>
    <w:uiPriority w:val="99"/>
    <w:semiHidden/>
    <w:rPr>
      <w:rFonts w:ascii="Courier" w:hAnsi="Courier" w:cs="Courier"/>
      <w:lang w:val="x-none" w:eastAsia="cs-CZ"/>
    </w:rPr>
  </w:style>
  <w:style w:type="character" w:customStyle="1" w:styleId="TextkomentraChar1578">
    <w:name w:val="Text komentára Char1578"/>
    <w:aliases w:val="Char7 Char Char1579,Text komentára Char Char Char1579,Comment Text Char Char Char1579"/>
    <w:basedOn w:val="Predvolenpsmoodseku"/>
    <w:uiPriority w:val="99"/>
    <w:semiHidden/>
    <w:rPr>
      <w:rFonts w:ascii="Courier" w:hAnsi="Courier" w:cs="Courier"/>
      <w:lang w:val="x-none" w:eastAsia="cs-CZ"/>
    </w:rPr>
  </w:style>
  <w:style w:type="character" w:customStyle="1" w:styleId="TextkomentraChar1577">
    <w:name w:val="Text komentára Char1577"/>
    <w:aliases w:val="Char7 Char Char1578,Text komentára Char Char Char1578,Comment Text Char Char Char1578"/>
    <w:basedOn w:val="Predvolenpsmoodseku"/>
    <w:uiPriority w:val="99"/>
    <w:semiHidden/>
    <w:rPr>
      <w:rFonts w:ascii="Courier" w:hAnsi="Courier" w:cs="Courier"/>
      <w:lang w:val="x-none" w:eastAsia="cs-CZ"/>
    </w:rPr>
  </w:style>
  <w:style w:type="character" w:customStyle="1" w:styleId="TextkomentraChar1576">
    <w:name w:val="Text komentára Char1576"/>
    <w:aliases w:val="Char7 Char Char1577,Text komentára Char Char Char1577,Comment Text Char Char Char1577"/>
    <w:basedOn w:val="Predvolenpsmoodseku"/>
    <w:uiPriority w:val="99"/>
    <w:semiHidden/>
    <w:rPr>
      <w:rFonts w:ascii="Courier" w:hAnsi="Courier" w:cs="Courier"/>
      <w:lang w:val="x-none" w:eastAsia="cs-CZ"/>
    </w:rPr>
  </w:style>
  <w:style w:type="character" w:customStyle="1" w:styleId="TextkomentraChar1575">
    <w:name w:val="Text komentára Char1575"/>
    <w:aliases w:val="Char7 Char Char1576,Text komentára Char Char Char1576,Comment Text Char Char Char1576"/>
    <w:basedOn w:val="Predvolenpsmoodseku"/>
    <w:uiPriority w:val="99"/>
    <w:semiHidden/>
    <w:rPr>
      <w:rFonts w:ascii="Courier" w:hAnsi="Courier" w:cs="Courier"/>
      <w:lang w:val="x-none" w:eastAsia="cs-CZ"/>
    </w:rPr>
  </w:style>
  <w:style w:type="character" w:customStyle="1" w:styleId="TextkomentraChar1574">
    <w:name w:val="Text komentára Char1574"/>
    <w:aliases w:val="Char7 Char Char1575,Text komentára Char Char Char1575,Comment Text Char Char Char1575"/>
    <w:basedOn w:val="Predvolenpsmoodseku"/>
    <w:uiPriority w:val="99"/>
    <w:semiHidden/>
    <w:rPr>
      <w:rFonts w:ascii="Courier" w:hAnsi="Courier" w:cs="Courier"/>
      <w:lang w:val="x-none" w:eastAsia="cs-CZ"/>
    </w:rPr>
  </w:style>
  <w:style w:type="character" w:customStyle="1" w:styleId="TextkomentraChar1573">
    <w:name w:val="Text komentára Char1573"/>
    <w:aliases w:val="Char7 Char Char1574,Text komentára Char Char Char1574,Comment Text Char Char Char1574"/>
    <w:basedOn w:val="Predvolenpsmoodseku"/>
    <w:uiPriority w:val="99"/>
    <w:semiHidden/>
    <w:rPr>
      <w:rFonts w:ascii="Courier" w:hAnsi="Courier" w:cs="Courier"/>
      <w:lang w:val="x-none" w:eastAsia="cs-CZ"/>
    </w:rPr>
  </w:style>
  <w:style w:type="character" w:customStyle="1" w:styleId="TextkomentraChar1572">
    <w:name w:val="Text komentára Char1572"/>
    <w:aliases w:val="Char7 Char Char1573,Text komentára Char Char Char1573,Comment Text Char Char Char1573"/>
    <w:basedOn w:val="Predvolenpsmoodseku"/>
    <w:uiPriority w:val="99"/>
    <w:semiHidden/>
    <w:rPr>
      <w:rFonts w:ascii="Courier" w:hAnsi="Courier" w:cs="Courier"/>
      <w:lang w:val="x-none" w:eastAsia="cs-CZ"/>
    </w:rPr>
  </w:style>
  <w:style w:type="character" w:customStyle="1" w:styleId="TextkomentraChar1571">
    <w:name w:val="Text komentára Char1571"/>
    <w:aliases w:val="Char7 Char Char1572,Text komentára Char Char Char1572,Comment Text Char Char Char1572"/>
    <w:basedOn w:val="Predvolenpsmoodseku"/>
    <w:uiPriority w:val="99"/>
    <w:semiHidden/>
    <w:rPr>
      <w:rFonts w:ascii="Courier" w:hAnsi="Courier" w:cs="Courier"/>
      <w:lang w:val="x-none" w:eastAsia="cs-CZ"/>
    </w:rPr>
  </w:style>
  <w:style w:type="character" w:customStyle="1" w:styleId="TextkomentraChar1570">
    <w:name w:val="Text komentára Char1570"/>
    <w:aliases w:val="Char7 Char Char1571,Text komentára Char Char Char1571,Comment Text Char Char Char1571"/>
    <w:basedOn w:val="Predvolenpsmoodseku"/>
    <w:uiPriority w:val="99"/>
    <w:semiHidden/>
    <w:rPr>
      <w:rFonts w:ascii="Courier" w:hAnsi="Courier" w:cs="Courier"/>
      <w:lang w:val="x-none" w:eastAsia="cs-CZ"/>
    </w:rPr>
  </w:style>
  <w:style w:type="character" w:customStyle="1" w:styleId="TextkomentraChar1569">
    <w:name w:val="Text komentára Char1569"/>
    <w:aliases w:val="Char7 Char Char1570,Text komentára Char Char Char1570,Comment Text Char Char Char1570"/>
    <w:basedOn w:val="Predvolenpsmoodseku"/>
    <w:uiPriority w:val="99"/>
    <w:semiHidden/>
    <w:rPr>
      <w:rFonts w:ascii="Courier" w:hAnsi="Courier" w:cs="Courier"/>
      <w:lang w:val="x-none" w:eastAsia="cs-CZ"/>
    </w:rPr>
  </w:style>
  <w:style w:type="character" w:customStyle="1" w:styleId="TextkomentraChar1568">
    <w:name w:val="Text komentára Char1568"/>
    <w:aliases w:val="Char7 Char Char1569,Text komentára Char Char Char1569,Comment Text Char Char Char1569"/>
    <w:basedOn w:val="Predvolenpsmoodseku"/>
    <w:uiPriority w:val="99"/>
    <w:semiHidden/>
    <w:rPr>
      <w:rFonts w:ascii="Courier" w:hAnsi="Courier" w:cs="Courier"/>
      <w:lang w:val="x-none" w:eastAsia="cs-CZ"/>
    </w:rPr>
  </w:style>
  <w:style w:type="character" w:customStyle="1" w:styleId="TextkomentraChar1567">
    <w:name w:val="Text komentára Char1567"/>
    <w:aliases w:val="Char7 Char Char1568,Text komentára Char Char Char1568,Comment Text Char Char Char1568"/>
    <w:basedOn w:val="Predvolenpsmoodseku"/>
    <w:uiPriority w:val="99"/>
    <w:semiHidden/>
    <w:rPr>
      <w:rFonts w:ascii="Courier" w:hAnsi="Courier" w:cs="Courier"/>
      <w:lang w:val="x-none" w:eastAsia="cs-CZ"/>
    </w:rPr>
  </w:style>
  <w:style w:type="character" w:customStyle="1" w:styleId="TextkomentraChar1566">
    <w:name w:val="Text komentára Char1566"/>
    <w:aliases w:val="Char7 Char Char1567,Text komentára Char Char Char1567,Comment Text Char Char Char1567"/>
    <w:basedOn w:val="Predvolenpsmoodseku"/>
    <w:uiPriority w:val="99"/>
    <w:semiHidden/>
    <w:rPr>
      <w:rFonts w:ascii="Courier" w:hAnsi="Courier" w:cs="Courier"/>
      <w:lang w:val="x-none" w:eastAsia="cs-CZ"/>
    </w:rPr>
  </w:style>
  <w:style w:type="character" w:customStyle="1" w:styleId="TextkomentraChar1565">
    <w:name w:val="Text komentára Char1565"/>
    <w:aliases w:val="Char7 Char Char1566,Text komentára Char Char Char1566,Comment Text Char Char Char1566"/>
    <w:basedOn w:val="Predvolenpsmoodseku"/>
    <w:uiPriority w:val="99"/>
    <w:semiHidden/>
    <w:rPr>
      <w:rFonts w:ascii="Courier" w:hAnsi="Courier" w:cs="Courier"/>
      <w:lang w:val="x-none" w:eastAsia="cs-CZ"/>
    </w:rPr>
  </w:style>
  <w:style w:type="character" w:customStyle="1" w:styleId="TextkomentraChar1564">
    <w:name w:val="Text komentára Char1564"/>
    <w:aliases w:val="Char7 Char Char1565,Text komentára Char Char Char1565,Comment Text Char Char Char1565"/>
    <w:basedOn w:val="Predvolenpsmoodseku"/>
    <w:uiPriority w:val="99"/>
    <w:semiHidden/>
    <w:rPr>
      <w:rFonts w:ascii="Courier" w:hAnsi="Courier" w:cs="Courier"/>
      <w:lang w:val="x-none" w:eastAsia="cs-CZ"/>
    </w:rPr>
  </w:style>
  <w:style w:type="character" w:customStyle="1" w:styleId="TextkomentraChar1563">
    <w:name w:val="Text komentára Char1563"/>
    <w:aliases w:val="Char7 Char Char1564,Text komentára Char Char Char1564,Comment Text Char Char Char1564"/>
    <w:basedOn w:val="Predvolenpsmoodseku"/>
    <w:uiPriority w:val="99"/>
    <w:semiHidden/>
    <w:rPr>
      <w:rFonts w:ascii="Courier" w:hAnsi="Courier" w:cs="Courier"/>
      <w:lang w:val="x-none" w:eastAsia="cs-CZ"/>
    </w:rPr>
  </w:style>
  <w:style w:type="character" w:customStyle="1" w:styleId="TextkomentraChar1562">
    <w:name w:val="Text komentára Char1562"/>
    <w:aliases w:val="Char7 Char Char1563,Text komentára Char Char Char1563,Comment Text Char Char Char1563"/>
    <w:basedOn w:val="Predvolenpsmoodseku"/>
    <w:uiPriority w:val="99"/>
    <w:semiHidden/>
    <w:rPr>
      <w:rFonts w:ascii="Courier" w:hAnsi="Courier" w:cs="Courier"/>
      <w:lang w:val="x-none" w:eastAsia="cs-CZ"/>
    </w:rPr>
  </w:style>
  <w:style w:type="character" w:customStyle="1" w:styleId="TextkomentraChar1561">
    <w:name w:val="Text komentára Char1561"/>
    <w:aliases w:val="Char7 Char Char1562,Text komentára Char Char Char1562,Comment Text Char Char Char1562"/>
    <w:basedOn w:val="Predvolenpsmoodseku"/>
    <w:uiPriority w:val="99"/>
    <w:semiHidden/>
    <w:rPr>
      <w:rFonts w:ascii="Courier" w:hAnsi="Courier" w:cs="Courier"/>
      <w:lang w:val="x-none" w:eastAsia="cs-CZ"/>
    </w:rPr>
  </w:style>
  <w:style w:type="character" w:customStyle="1" w:styleId="TextkomentraChar1560">
    <w:name w:val="Text komentára Char1560"/>
    <w:aliases w:val="Char7 Char Char1561,Text komentára Char Char Char1561,Comment Text Char Char Char1561"/>
    <w:basedOn w:val="Predvolenpsmoodseku"/>
    <w:uiPriority w:val="99"/>
    <w:semiHidden/>
    <w:rPr>
      <w:rFonts w:ascii="Courier" w:hAnsi="Courier" w:cs="Courier"/>
      <w:lang w:val="x-none" w:eastAsia="cs-CZ"/>
    </w:rPr>
  </w:style>
  <w:style w:type="character" w:customStyle="1" w:styleId="TextkomentraChar1559">
    <w:name w:val="Text komentára Char1559"/>
    <w:aliases w:val="Char7 Char Char1560,Text komentára Char Char Char1560,Comment Text Char Char Char1560"/>
    <w:basedOn w:val="Predvolenpsmoodseku"/>
    <w:uiPriority w:val="99"/>
    <w:semiHidden/>
    <w:rPr>
      <w:rFonts w:ascii="Courier" w:hAnsi="Courier" w:cs="Courier"/>
      <w:lang w:val="x-none" w:eastAsia="cs-CZ"/>
    </w:rPr>
  </w:style>
  <w:style w:type="character" w:customStyle="1" w:styleId="TextkomentraChar1558">
    <w:name w:val="Text komentára Char1558"/>
    <w:aliases w:val="Char7 Char Char1559,Text komentára Char Char Char1559,Comment Text Char Char Char1559"/>
    <w:basedOn w:val="Predvolenpsmoodseku"/>
    <w:uiPriority w:val="99"/>
    <w:semiHidden/>
    <w:rPr>
      <w:rFonts w:ascii="Courier" w:hAnsi="Courier" w:cs="Courier"/>
      <w:lang w:val="x-none" w:eastAsia="cs-CZ"/>
    </w:rPr>
  </w:style>
  <w:style w:type="character" w:customStyle="1" w:styleId="TextkomentraChar1557">
    <w:name w:val="Text komentára Char1557"/>
    <w:aliases w:val="Char7 Char Char1558,Text komentára Char Char Char1558,Comment Text Char Char Char1558"/>
    <w:basedOn w:val="Predvolenpsmoodseku"/>
    <w:uiPriority w:val="99"/>
    <w:semiHidden/>
    <w:rPr>
      <w:rFonts w:ascii="Courier" w:hAnsi="Courier" w:cs="Courier"/>
      <w:lang w:val="x-none" w:eastAsia="cs-CZ"/>
    </w:rPr>
  </w:style>
  <w:style w:type="character" w:customStyle="1" w:styleId="TextkomentraChar1556">
    <w:name w:val="Text komentára Char1556"/>
    <w:aliases w:val="Char7 Char Char1557,Text komentára Char Char Char1557,Comment Text Char Char Char1557"/>
    <w:basedOn w:val="Predvolenpsmoodseku"/>
    <w:uiPriority w:val="99"/>
    <w:semiHidden/>
    <w:rPr>
      <w:rFonts w:ascii="Courier" w:hAnsi="Courier" w:cs="Courier"/>
      <w:lang w:val="x-none" w:eastAsia="cs-CZ"/>
    </w:rPr>
  </w:style>
  <w:style w:type="character" w:customStyle="1" w:styleId="TextkomentraChar1555">
    <w:name w:val="Text komentára Char1555"/>
    <w:aliases w:val="Char7 Char Char1556,Text komentára Char Char Char1556,Comment Text Char Char Char1556"/>
    <w:basedOn w:val="Predvolenpsmoodseku"/>
    <w:uiPriority w:val="99"/>
    <w:semiHidden/>
    <w:rPr>
      <w:rFonts w:ascii="Courier" w:hAnsi="Courier" w:cs="Courier"/>
      <w:lang w:val="x-none" w:eastAsia="cs-CZ"/>
    </w:rPr>
  </w:style>
  <w:style w:type="character" w:customStyle="1" w:styleId="TextkomentraChar1554">
    <w:name w:val="Text komentára Char1554"/>
    <w:aliases w:val="Char7 Char Char1555,Text komentára Char Char Char1555,Comment Text Char Char Char1555"/>
    <w:basedOn w:val="Predvolenpsmoodseku"/>
    <w:uiPriority w:val="99"/>
    <w:semiHidden/>
    <w:rPr>
      <w:rFonts w:ascii="Courier" w:hAnsi="Courier" w:cs="Courier"/>
      <w:lang w:val="x-none" w:eastAsia="cs-CZ"/>
    </w:rPr>
  </w:style>
  <w:style w:type="character" w:customStyle="1" w:styleId="TextkomentraChar1553">
    <w:name w:val="Text komentára Char1553"/>
    <w:aliases w:val="Char7 Char Char1554,Text komentára Char Char Char1554,Comment Text Char Char Char1554"/>
    <w:basedOn w:val="Predvolenpsmoodseku"/>
    <w:uiPriority w:val="99"/>
    <w:semiHidden/>
    <w:rPr>
      <w:rFonts w:ascii="Courier" w:hAnsi="Courier" w:cs="Courier"/>
      <w:lang w:val="x-none" w:eastAsia="cs-CZ"/>
    </w:rPr>
  </w:style>
  <w:style w:type="character" w:customStyle="1" w:styleId="TextkomentraChar1552">
    <w:name w:val="Text komentára Char1552"/>
    <w:aliases w:val="Char7 Char Char1553,Text komentára Char Char Char1553,Comment Text Char Char Char1553"/>
    <w:basedOn w:val="Predvolenpsmoodseku"/>
    <w:uiPriority w:val="99"/>
    <w:semiHidden/>
    <w:rPr>
      <w:rFonts w:ascii="Courier" w:hAnsi="Courier" w:cs="Courier"/>
      <w:lang w:val="x-none" w:eastAsia="cs-CZ"/>
    </w:rPr>
  </w:style>
  <w:style w:type="character" w:customStyle="1" w:styleId="TextkomentraChar1551">
    <w:name w:val="Text komentára Char1551"/>
    <w:aliases w:val="Char7 Char Char1552,Text komentára Char Char Char1552,Comment Text Char Char Char1552"/>
    <w:basedOn w:val="Predvolenpsmoodseku"/>
    <w:uiPriority w:val="99"/>
    <w:semiHidden/>
    <w:rPr>
      <w:rFonts w:ascii="Courier" w:hAnsi="Courier" w:cs="Courier"/>
      <w:lang w:val="x-none" w:eastAsia="cs-CZ"/>
    </w:rPr>
  </w:style>
  <w:style w:type="character" w:customStyle="1" w:styleId="TextkomentraChar1550">
    <w:name w:val="Text komentára Char1550"/>
    <w:aliases w:val="Char7 Char Char1551,Text komentára Char Char Char1551,Comment Text Char Char Char1551"/>
    <w:basedOn w:val="Predvolenpsmoodseku"/>
    <w:uiPriority w:val="99"/>
    <w:semiHidden/>
    <w:rPr>
      <w:rFonts w:ascii="Courier" w:hAnsi="Courier" w:cs="Courier"/>
      <w:lang w:val="x-none" w:eastAsia="cs-CZ"/>
    </w:rPr>
  </w:style>
  <w:style w:type="character" w:customStyle="1" w:styleId="TextkomentraChar1549">
    <w:name w:val="Text komentára Char1549"/>
    <w:aliases w:val="Char7 Char Char1550,Text komentára Char Char Char1550,Comment Text Char Char Char1550"/>
    <w:basedOn w:val="Predvolenpsmoodseku"/>
    <w:uiPriority w:val="99"/>
    <w:semiHidden/>
    <w:rPr>
      <w:rFonts w:ascii="Courier" w:hAnsi="Courier" w:cs="Courier"/>
      <w:lang w:val="x-none" w:eastAsia="cs-CZ"/>
    </w:rPr>
  </w:style>
  <w:style w:type="character" w:customStyle="1" w:styleId="TextkomentraChar1548">
    <w:name w:val="Text komentára Char1548"/>
    <w:aliases w:val="Char7 Char Char1549,Text komentára Char Char Char1549,Comment Text Char Char Char1549"/>
    <w:basedOn w:val="Predvolenpsmoodseku"/>
    <w:uiPriority w:val="99"/>
    <w:semiHidden/>
    <w:rPr>
      <w:rFonts w:ascii="Courier" w:hAnsi="Courier" w:cs="Courier"/>
      <w:lang w:val="x-none" w:eastAsia="cs-CZ"/>
    </w:rPr>
  </w:style>
  <w:style w:type="character" w:customStyle="1" w:styleId="TextkomentraChar1547">
    <w:name w:val="Text komentára Char1547"/>
    <w:aliases w:val="Char7 Char Char1548,Text komentára Char Char Char1548,Comment Text Char Char Char1548"/>
    <w:basedOn w:val="Predvolenpsmoodseku"/>
    <w:uiPriority w:val="99"/>
    <w:semiHidden/>
    <w:rPr>
      <w:rFonts w:ascii="Courier" w:hAnsi="Courier" w:cs="Courier"/>
      <w:lang w:val="x-none" w:eastAsia="cs-CZ"/>
    </w:rPr>
  </w:style>
  <w:style w:type="character" w:customStyle="1" w:styleId="TextkomentraChar1546">
    <w:name w:val="Text komentára Char1546"/>
    <w:aliases w:val="Char7 Char Char1547,Text komentára Char Char Char1547,Comment Text Char Char Char1547"/>
    <w:basedOn w:val="Predvolenpsmoodseku"/>
    <w:uiPriority w:val="99"/>
    <w:semiHidden/>
    <w:rPr>
      <w:rFonts w:ascii="Courier" w:hAnsi="Courier" w:cs="Courier"/>
      <w:lang w:val="x-none" w:eastAsia="cs-CZ"/>
    </w:rPr>
  </w:style>
  <w:style w:type="character" w:customStyle="1" w:styleId="TextkomentraChar1545">
    <w:name w:val="Text komentára Char1545"/>
    <w:aliases w:val="Char7 Char Char1546,Text komentára Char Char Char1546,Comment Text Char Char Char1546"/>
    <w:basedOn w:val="Predvolenpsmoodseku"/>
    <w:uiPriority w:val="99"/>
    <w:semiHidden/>
    <w:rPr>
      <w:rFonts w:ascii="Courier" w:hAnsi="Courier" w:cs="Courier"/>
      <w:lang w:val="x-none" w:eastAsia="cs-CZ"/>
    </w:rPr>
  </w:style>
  <w:style w:type="character" w:customStyle="1" w:styleId="TextkomentraChar1544">
    <w:name w:val="Text komentára Char1544"/>
    <w:aliases w:val="Char7 Char Char1545,Text komentára Char Char Char1545,Comment Text Char Char Char1545"/>
    <w:basedOn w:val="Predvolenpsmoodseku"/>
    <w:uiPriority w:val="99"/>
    <w:semiHidden/>
    <w:rPr>
      <w:rFonts w:ascii="Courier" w:hAnsi="Courier" w:cs="Courier"/>
      <w:lang w:val="x-none" w:eastAsia="cs-CZ"/>
    </w:rPr>
  </w:style>
  <w:style w:type="character" w:customStyle="1" w:styleId="TextkomentraChar1543">
    <w:name w:val="Text komentára Char1543"/>
    <w:aliases w:val="Char7 Char Char1544,Text komentára Char Char Char1544,Comment Text Char Char Char1544"/>
    <w:basedOn w:val="Predvolenpsmoodseku"/>
    <w:uiPriority w:val="99"/>
    <w:semiHidden/>
    <w:rPr>
      <w:rFonts w:ascii="Courier" w:hAnsi="Courier" w:cs="Courier"/>
      <w:lang w:val="x-none" w:eastAsia="cs-CZ"/>
    </w:rPr>
  </w:style>
  <w:style w:type="character" w:customStyle="1" w:styleId="TextkomentraChar1542">
    <w:name w:val="Text komentára Char1542"/>
    <w:aliases w:val="Char7 Char Char1543,Text komentára Char Char Char1543,Comment Text Char Char Char1543"/>
    <w:basedOn w:val="Predvolenpsmoodseku"/>
    <w:uiPriority w:val="99"/>
    <w:semiHidden/>
    <w:rPr>
      <w:rFonts w:ascii="Courier" w:hAnsi="Courier" w:cs="Courier"/>
      <w:lang w:val="x-none" w:eastAsia="cs-CZ"/>
    </w:rPr>
  </w:style>
  <w:style w:type="character" w:customStyle="1" w:styleId="TextkomentraChar1541">
    <w:name w:val="Text komentára Char1541"/>
    <w:aliases w:val="Char7 Char Char1542,Text komentára Char Char Char1542,Comment Text Char Char Char1542"/>
    <w:basedOn w:val="Predvolenpsmoodseku"/>
    <w:uiPriority w:val="99"/>
    <w:semiHidden/>
    <w:rPr>
      <w:rFonts w:ascii="Courier" w:hAnsi="Courier" w:cs="Courier"/>
      <w:lang w:val="x-none" w:eastAsia="cs-CZ"/>
    </w:rPr>
  </w:style>
  <w:style w:type="character" w:customStyle="1" w:styleId="TextkomentraChar1540">
    <w:name w:val="Text komentára Char1540"/>
    <w:aliases w:val="Char7 Char Char1541,Text komentára Char Char Char1541,Comment Text Char Char Char1541"/>
    <w:basedOn w:val="Predvolenpsmoodseku"/>
    <w:uiPriority w:val="99"/>
    <w:semiHidden/>
    <w:rPr>
      <w:rFonts w:ascii="Courier" w:hAnsi="Courier" w:cs="Courier"/>
      <w:lang w:val="x-none" w:eastAsia="cs-CZ"/>
    </w:rPr>
  </w:style>
  <w:style w:type="character" w:customStyle="1" w:styleId="TextkomentraChar1539">
    <w:name w:val="Text komentára Char1539"/>
    <w:aliases w:val="Char7 Char Char1540,Text komentára Char Char Char1540,Comment Text Char Char Char1540"/>
    <w:basedOn w:val="Predvolenpsmoodseku"/>
    <w:uiPriority w:val="99"/>
    <w:semiHidden/>
    <w:rPr>
      <w:rFonts w:ascii="Courier" w:hAnsi="Courier" w:cs="Courier"/>
      <w:lang w:val="x-none" w:eastAsia="cs-CZ"/>
    </w:rPr>
  </w:style>
  <w:style w:type="character" w:customStyle="1" w:styleId="TextkomentraChar1538">
    <w:name w:val="Text komentára Char1538"/>
    <w:aliases w:val="Char7 Char Char1539,Text komentára Char Char Char1539,Comment Text Char Char Char1539"/>
    <w:basedOn w:val="Predvolenpsmoodseku"/>
    <w:uiPriority w:val="99"/>
    <w:semiHidden/>
    <w:rPr>
      <w:rFonts w:ascii="Courier" w:hAnsi="Courier" w:cs="Courier"/>
      <w:lang w:val="x-none" w:eastAsia="cs-CZ"/>
    </w:rPr>
  </w:style>
  <w:style w:type="character" w:customStyle="1" w:styleId="TextkomentraChar1537">
    <w:name w:val="Text komentára Char1537"/>
    <w:aliases w:val="Char7 Char Char1538,Text komentára Char Char Char1538,Comment Text Char Char Char1538"/>
    <w:basedOn w:val="Predvolenpsmoodseku"/>
    <w:uiPriority w:val="99"/>
    <w:semiHidden/>
    <w:rPr>
      <w:rFonts w:ascii="Courier" w:hAnsi="Courier" w:cs="Courier"/>
      <w:lang w:val="x-none" w:eastAsia="cs-CZ"/>
    </w:rPr>
  </w:style>
  <w:style w:type="character" w:customStyle="1" w:styleId="TextkomentraChar1536">
    <w:name w:val="Text komentára Char1536"/>
    <w:aliases w:val="Char7 Char Char1537,Text komentára Char Char Char1537,Comment Text Char Char Char1537"/>
    <w:basedOn w:val="Predvolenpsmoodseku"/>
    <w:uiPriority w:val="99"/>
    <w:semiHidden/>
    <w:rPr>
      <w:rFonts w:ascii="Courier" w:hAnsi="Courier" w:cs="Courier"/>
      <w:lang w:val="x-none" w:eastAsia="cs-CZ"/>
    </w:rPr>
  </w:style>
  <w:style w:type="character" w:customStyle="1" w:styleId="TextkomentraChar1535">
    <w:name w:val="Text komentára Char1535"/>
    <w:aliases w:val="Char7 Char Char1536,Text komentára Char Char Char1536,Comment Text Char Char Char1536"/>
    <w:basedOn w:val="Predvolenpsmoodseku"/>
    <w:uiPriority w:val="99"/>
    <w:semiHidden/>
    <w:rPr>
      <w:rFonts w:ascii="Courier" w:hAnsi="Courier" w:cs="Courier"/>
      <w:lang w:val="x-none" w:eastAsia="cs-CZ"/>
    </w:rPr>
  </w:style>
  <w:style w:type="character" w:customStyle="1" w:styleId="TextkomentraChar1534">
    <w:name w:val="Text komentára Char1534"/>
    <w:aliases w:val="Char7 Char Char1535,Text komentára Char Char Char1535,Comment Text Char Char Char1535"/>
    <w:basedOn w:val="Predvolenpsmoodseku"/>
    <w:uiPriority w:val="99"/>
    <w:semiHidden/>
    <w:rPr>
      <w:rFonts w:ascii="Courier" w:hAnsi="Courier" w:cs="Courier"/>
      <w:lang w:val="x-none" w:eastAsia="cs-CZ"/>
    </w:rPr>
  </w:style>
  <w:style w:type="character" w:customStyle="1" w:styleId="TextkomentraChar1533">
    <w:name w:val="Text komentára Char1533"/>
    <w:aliases w:val="Char7 Char Char1534,Text komentára Char Char Char1534,Comment Text Char Char Char1534"/>
    <w:basedOn w:val="Predvolenpsmoodseku"/>
    <w:uiPriority w:val="99"/>
    <w:semiHidden/>
    <w:rPr>
      <w:rFonts w:ascii="Courier" w:hAnsi="Courier" w:cs="Courier"/>
      <w:lang w:val="x-none" w:eastAsia="cs-CZ"/>
    </w:rPr>
  </w:style>
  <w:style w:type="character" w:customStyle="1" w:styleId="TextkomentraChar1532">
    <w:name w:val="Text komentára Char1532"/>
    <w:aliases w:val="Char7 Char Char1533,Text komentára Char Char Char1533,Comment Text Char Char Char1533"/>
    <w:basedOn w:val="Predvolenpsmoodseku"/>
    <w:uiPriority w:val="99"/>
    <w:semiHidden/>
    <w:rPr>
      <w:rFonts w:ascii="Courier" w:hAnsi="Courier" w:cs="Courier"/>
      <w:lang w:val="x-none" w:eastAsia="cs-CZ"/>
    </w:rPr>
  </w:style>
  <w:style w:type="character" w:customStyle="1" w:styleId="TextkomentraChar1531">
    <w:name w:val="Text komentára Char1531"/>
    <w:aliases w:val="Char7 Char Char1532,Text komentára Char Char Char1532,Comment Text Char Char Char1532"/>
    <w:basedOn w:val="Predvolenpsmoodseku"/>
    <w:uiPriority w:val="99"/>
    <w:semiHidden/>
    <w:rPr>
      <w:rFonts w:ascii="Courier" w:hAnsi="Courier" w:cs="Courier"/>
      <w:lang w:val="x-none" w:eastAsia="cs-CZ"/>
    </w:rPr>
  </w:style>
  <w:style w:type="character" w:customStyle="1" w:styleId="TextkomentraChar1530">
    <w:name w:val="Text komentára Char1530"/>
    <w:aliases w:val="Char7 Char Char1531,Text komentára Char Char Char1531,Comment Text Char Char Char1531"/>
    <w:basedOn w:val="Predvolenpsmoodseku"/>
    <w:uiPriority w:val="99"/>
    <w:semiHidden/>
    <w:rPr>
      <w:rFonts w:ascii="Courier" w:hAnsi="Courier" w:cs="Courier"/>
      <w:lang w:val="x-none" w:eastAsia="cs-CZ"/>
    </w:rPr>
  </w:style>
  <w:style w:type="character" w:customStyle="1" w:styleId="TextkomentraChar1529">
    <w:name w:val="Text komentára Char1529"/>
    <w:aliases w:val="Char7 Char Char1530,Text komentára Char Char Char1530,Comment Text Char Char Char1530"/>
    <w:basedOn w:val="Predvolenpsmoodseku"/>
    <w:uiPriority w:val="99"/>
    <w:semiHidden/>
    <w:rPr>
      <w:rFonts w:ascii="Courier" w:hAnsi="Courier" w:cs="Courier"/>
      <w:lang w:val="x-none" w:eastAsia="cs-CZ"/>
    </w:rPr>
  </w:style>
  <w:style w:type="character" w:customStyle="1" w:styleId="TextkomentraChar1528">
    <w:name w:val="Text komentára Char1528"/>
    <w:aliases w:val="Char7 Char Char1529,Text komentára Char Char Char1529,Comment Text Char Char Char1529"/>
    <w:basedOn w:val="Predvolenpsmoodseku"/>
    <w:uiPriority w:val="99"/>
    <w:semiHidden/>
    <w:rPr>
      <w:rFonts w:ascii="Courier" w:hAnsi="Courier" w:cs="Courier"/>
      <w:lang w:val="x-none" w:eastAsia="cs-CZ"/>
    </w:rPr>
  </w:style>
  <w:style w:type="character" w:customStyle="1" w:styleId="TextkomentraChar1527">
    <w:name w:val="Text komentára Char1527"/>
    <w:aliases w:val="Char7 Char Char1528,Text komentára Char Char Char1528,Comment Text Char Char Char1528"/>
    <w:basedOn w:val="Predvolenpsmoodseku"/>
    <w:uiPriority w:val="99"/>
    <w:semiHidden/>
    <w:rPr>
      <w:rFonts w:ascii="Courier" w:hAnsi="Courier" w:cs="Courier"/>
      <w:lang w:val="x-none" w:eastAsia="cs-CZ"/>
    </w:rPr>
  </w:style>
  <w:style w:type="character" w:customStyle="1" w:styleId="TextkomentraChar1526">
    <w:name w:val="Text komentára Char1526"/>
    <w:aliases w:val="Char7 Char Char1527,Text komentára Char Char Char1527,Comment Text Char Char Char1527"/>
    <w:basedOn w:val="Predvolenpsmoodseku"/>
    <w:uiPriority w:val="99"/>
    <w:semiHidden/>
    <w:rPr>
      <w:rFonts w:ascii="Courier" w:hAnsi="Courier" w:cs="Courier"/>
      <w:lang w:val="x-none" w:eastAsia="cs-CZ"/>
    </w:rPr>
  </w:style>
  <w:style w:type="character" w:customStyle="1" w:styleId="TextkomentraChar1525">
    <w:name w:val="Text komentára Char1525"/>
    <w:aliases w:val="Char7 Char Char1526,Text komentára Char Char Char1526,Comment Text Char Char Char1526"/>
    <w:basedOn w:val="Predvolenpsmoodseku"/>
    <w:uiPriority w:val="99"/>
    <w:semiHidden/>
    <w:rPr>
      <w:rFonts w:ascii="Courier" w:hAnsi="Courier" w:cs="Courier"/>
      <w:lang w:val="x-none" w:eastAsia="cs-CZ"/>
    </w:rPr>
  </w:style>
  <w:style w:type="character" w:customStyle="1" w:styleId="TextkomentraChar1524">
    <w:name w:val="Text komentára Char1524"/>
    <w:aliases w:val="Char7 Char Char1525,Text komentára Char Char Char1525,Comment Text Char Char Char1525"/>
    <w:basedOn w:val="Predvolenpsmoodseku"/>
    <w:uiPriority w:val="99"/>
    <w:semiHidden/>
    <w:rPr>
      <w:rFonts w:ascii="Courier" w:hAnsi="Courier" w:cs="Courier"/>
      <w:lang w:val="x-none" w:eastAsia="cs-CZ"/>
    </w:rPr>
  </w:style>
  <w:style w:type="character" w:customStyle="1" w:styleId="TextkomentraChar1523">
    <w:name w:val="Text komentára Char1523"/>
    <w:aliases w:val="Char7 Char Char1524,Text komentára Char Char Char1524,Comment Text Char Char Char1524"/>
    <w:basedOn w:val="Predvolenpsmoodseku"/>
    <w:uiPriority w:val="99"/>
    <w:semiHidden/>
    <w:rPr>
      <w:rFonts w:ascii="Courier" w:hAnsi="Courier" w:cs="Courier"/>
      <w:lang w:val="x-none" w:eastAsia="cs-CZ"/>
    </w:rPr>
  </w:style>
  <w:style w:type="character" w:customStyle="1" w:styleId="TextkomentraChar1522">
    <w:name w:val="Text komentára Char1522"/>
    <w:aliases w:val="Char7 Char Char1523,Text komentára Char Char Char1523,Comment Text Char Char Char1523"/>
    <w:basedOn w:val="Predvolenpsmoodseku"/>
    <w:uiPriority w:val="99"/>
    <w:semiHidden/>
    <w:rPr>
      <w:rFonts w:ascii="Courier" w:hAnsi="Courier" w:cs="Courier"/>
      <w:lang w:val="x-none" w:eastAsia="cs-CZ"/>
    </w:rPr>
  </w:style>
  <w:style w:type="character" w:customStyle="1" w:styleId="TextkomentraChar1521">
    <w:name w:val="Text komentára Char1521"/>
    <w:aliases w:val="Char7 Char Char1522,Text komentára Char Char Char1522,Comment Text Char Char Char1522"/>
    <w:basedOn w:val="Predvolenpsmoodseku"/>
    <w:uiPriority w:val="99"/>
    <w:semiHidden/>
    <w:rPr>
      <w:rFonts w:ascii="Courier" w:hAnsi="Courier" w:cs="Courier"/>
      <w:lang w:val="x-none" w:eastAsia="cs-CZ"/>
    </w:rPr>
  </w:style>
  <w:style w:type="character" w:customStyle="1" w:styleId="TextkomentraChar1520">
    <w:name w:val="Text komentára Char1520"/>
    <w:aliases w:val="Char7 Char Char1521,Text komentára Char Char Char1521,Comment Text Char Char Char1521"/>
    <w:basedOn w:val="Predvolenpsmoodseku"/>
    <w:uiPriority w:val="99"/>
    <w:semiHidden/>
    <w:rPr>
      <w:rFonts w:ascii="Courier" w:hAnsi="Courier" w:cs="Courier"/>
      <w:lang w:val="x-none" w:eastAsia="cs-CZ"/>
    </w:rPr>
  </w:style>
  <w:style w:type="character" w:customStyle="1" w:styleId="TextkomentraChar1519">
    <w:name w:val="Text komentára Char1519"/>
    <w:aliases w:val="Char7 Char Char1520,Text komentára Char Char Char1520,Comment Text Char Char Char1520"/>
    <w:basedOn w:val="Predvolenpsmoodseku"/>
    <w:uiPriority w:val="99"/>
    <w:semiHidden/>
    <w:rPr>
      <w:rFonts w:ascii="Courier" w:hAnsi="Courier" w:cs="Courier"/>
      <w:lang w:val="x-none" w:eastAsia="cs-CZ"/>
    </w:rPr>
  </w:style>
  <w:style w:type="character" w:customStyle="1" w:styleId="TextkomentraChar1518">
    <w:name w:val="Text komentára Char1518"/>
    <w:aliases w:val="Char7 Char Char1519,Text komentára Char Char Char1519,Comment Text Char Char Char1519"/>
    <w:basedOn w:val="Predvolenpsmoodseku"/>
    <w:uiPriority w:val="99"/>
    <w:semiHidden/>
    <w:rPr>
      <w:rFonts w:ascii="Courier" w:hAnsi="Courier" w:cs="Courier"/>
      <w:lang w:val="x-none" w:eastAsia="cs-CZ"/>
    </w:rPr>
  </w:style>
  <w:style w:type="character" w:customStyle="1" w:styleId="TextkomentraChar1517">
    <w:name w:val="Text komentára Char1517"/>
    <w:aliases w:val="Char7 Char Char1518,Text komentára Char Char Char1518,Comment Text Char Char Char1518"/>
    <w:basedOn w:val="Predvolenpsmoodseku"/>
    <w:uiPriority w:val="99"/>
    <w:semiHidden/>
    <w:rPr>
      <w:rFonts w:ascii="Courier" w:hAnsi="Courier" w:cs="Courier"/>
      <w:lang w:val="x-none" w:eastAsia="cs-CZ"/>
    </w:rPr>
  </w:style>
  <w:style w:type="character" w:customStyle="1" w:styleId="TextkomentraChar1516">
    <w:name w:val="Text komentára Char1516"/>
    <w:aliases w:val="Char7 Char Char1517,Text komentára Char Char Char1517,Comment Text Char Char Char1517"/>
    <w:basedOn w:val="Predvolenpsmoodseku"/>
    <w:uiPriority w:val="99"/>
    <w:semiHidden/>
    <w:rPr>
      <w:rFonts w:ascii="Courier" w:hAnsi="Courier" w:cs="Courier"/>
      <w:lang w:val="x-none" w:eastAsia="cs-CZ"/>
    </w:rPr>
  </w:style>
  <w:style w:type="character" w:customStyle="1" w:styleId="TextkomentraChar1515">
    <w:name w:val="Text komentára Char1515"/>
    <w:aliases w:val="Char7 Char Char1516,Text komentára Char Char Char1516,Comment Text Char Char Char1516"/>
    <w:basedOn w:val="Predvolenpsmoodseku"/>
    <w:uiPriority w:val="99"/>
    <w:semiHidden/>
    <w:rPr>
      <w:rFonts w:ascii="Courier" w:hAnsi="Courier" w:cs="Courier"/>
      <w:lang w:val="x-none" w:eastAsia="cs-CZ"/>
    </w:rPr>
  </w:style>
  <w:style w:type="character" w:customStyle="1" w:styleId="TextkomentraChar1514">
    <w:name w:val="Text komentára Char1514"/>
    <w:aliases w:val="Char7 Char Char1515,Text komentára Char Char Char1515,Comment Text Char Char Char1515"/>
    <w:basedOn w:val="Predvolenpsmoodseku"/>
    <w:uiPriority w:val="99"/>
    <w:semiHidden/>
    <w:rPr>
      <w:rFonts w:ascii="Courier" w:hAnsi="Courier" w:cs="Courier"/>
      <w:lang w:val="x-none" w:eastAsia="cs-CZ"/>
    </w:rPr>
  </w:style>
  <w:style w:type="character" w:customStyle="1" w:styleId="TextkomentraChar1513">
    <w:name w:val="Text komentára Char1513"/>
    <w:aliases w:val="Char7 Char Char1514,Text komentára Char Char Char1514,Comment Text Char Char Char1514"/>
    <w:uiPriority w:val="99"/>
    <w:semiHidden/>
    <w:rPr>
      <w:rFonts w:ascii="Courier" w:hAnsi="Courier"/>
      <w:lang w:val="x-none" w:eastAsia="cs-CZ"/>
    </w:rPr>
  </w:style>
  <w:style w:type="character" w:customStyle="1" w:styleId="TextkomentraChar1512">
    <w:name w:val="Text komentára Char1512"/>
    <w:aliases w:val="Char7 Char Char1513,Text komentára Char Char Char1513,Comment Text Char Char Char1513"/>
    <w:uiPriority w:val="99"/>
    <w:semiHidden/>
    <w:rPr>
      <w:rFonts w:ascii="Courier" w:hAnsi="Courier"/>
      <w:lang w:val="x-none" w:eastAsia="cs-CZ"/>
    </w:rPr>
  </w:style>
  <w:style w:type="character" w:customStyle="1" w:styleId="TextkomentraChar1511">
    <w:name w:val="Text komentára Char1511"/>
    <w:aliases w:val="Char7 Char Char1512,Text komentára Char Char Char1512,Comment Text Char Char Char1512"/>
    <w:uiPriority w:val="99"/>
    <w:semiHidden/>
    <w:rPr>
      <w:rFonts w:ascii="Courier" w:hAnsi="Courier"/>
      <w:lang w:val="x-none" w:eastAsia="cs-CZ"/>
    </w:rPr>
  </w:style>
  <w:style w:type="character" w:customStyle="1" w:styleId="TextkomentraChar1510">
    <w:name w:val="Text komentára Char1510"/>
    <w:aliases w:val="Char7 Char Char1511,Text komentára Char Char Char1511,Comment Text Char Char Char1511"/>
    <w:uiPriority w:val="99"/>
    <w:semiHidden/>
    <w:rPr>
      <w:rFonts w:ascii="Courier" w:hAnsi="Courier"/>
      <w:lang w:val="x-none" w:eastAsia="cs-CZ"/>
    </w:rPr>
  </w:style>
  <w:style w:type="character" w:customStyle="1" w:styleId="TextkomentraChar1509">
    <w:name w:val="Text komentára Char1509"/>
    <w:aliases w:val="Char7 Char Char1510,Text komentára Char Char Char1510,Comment Text Char Char Char1510"/>
    <w:uiPriority w:val="99"/>
    <w:semiHidden/>
    <w:rPr>
      <w:rFonts w:ascii="Courier" w:hAnsi="Courier"/>
      <w:lang w:val="x-none" w:eastAsia="cs-CZ"/>
    </w:rPr>
  </w:style>
  <w:style w:type="character" w:customStyle="1" w:styleId="TextkomentraChar1508">
    <w:name w:val="Text komentára Char1508"/>
    <w:aliases w:val="Char7 Char Char1509,Text komentára Char Char Char1509,Comment Text Char Char Char1509"/>
    <w:uiPriority w:val="99"/>
    <w:semiHidden/>
    <w:rPr>
      <w:rFonts w:ascii="Courier" w:hAnsi="Courier"/>
      <w:lang w:val="x-none" w:eastAsia="cs-CZ"/>
    </w:rPr>
  </w:style>
  <w:style w:type="character" w:customStyle="1" w:styleId="TextkomentraChar1507">
    <w:name w:val="Text komentára Char1507"/>
    <w:aliases w:val="Char7 Char Char1508,Text komentára Char Char Char1508,Comment Text Char Char Char1508"/>
    <w:uiPriority w:val="99"/>
    <w:semiHidden/>
    <w:rPr>
      <w:rFonts w:ascii="Courier" w:hAnsi="Courier"/>
      <w:lang w:val="x-none" w:eastAsia="cs-CZ"/>
    </w:rPr>
  </w:style>
  <w:style w:type="character" w:customStyle="1" w:styleId="TextkomentraChar1506">
    <w:name w:val="Text komentára Char1506"/>
    <w:aliases w:val="Char7 Char Char1507,Text komentára Char Char Char1507,Comment Text Char Char Char1507"/>
    <w:uiPriority w:val="99"/>
    <w:semiHidden/>
    <w:rPr>
      <w:rFonts w:ascii="Courier" w:hAnsi="Courier"/>
      <w:lang w:val="x-none" w:eastAsia="cs-CZ"/>
    </w:rPr>
  </w:style>
  <w:style w:type="character" w:customStyle="1" w:styleId="TextkomentraChar1505">
    <w:name w:val="Text komentára Char1505"/>
    <w:aliases w:val="Char7 Char Char1506,Text komentára Char Char Char1506,Comment Text Char Char Char1506"/>
    <w:uiPriority w:val="99"/>
    <w:semiHidden/>
    <w:rPr>
      <w:rFonts w:ascii="Courier" w:hAnsi="Courier"/>
      <w:lang w:val="x-none" w:eastAsia="cs-CZ"/>
    </w:rPr>
  </w:style>
  <w:style w:type="character" w:customStyle="1" w:styleId="TextkomentraChar1504">
    <w:name w:val="Text komentára Char1504"/>
    <w:aliases w:val="Char7 Char Char1505,Text komentára Char Char Char1505,Comment Text Char Char Char1505"/>
    <w:uiPriority w:val="99"/>
    <w:semiHidden/>
    <w:rPr>
      <w:rFonts w:ascii="Courier" w:hAnsi="Courier"/>
      <w:lang w:val="x-none" w:eastAsia="cs-CZ"/>
    </w:rPr>
  </w:style>
  <w:style w:type="character" w:customStyle="1" w:styleId="TextkomentraChar1503">
    <w:name w:val="Text komentára Char1503"/>
    <w:aliases w:val="Char7 Char Char1504,Text komentára Char Char Char1504,Comment Text Char Char Char1504"/>
    <w:uiPriority w:val="99"/>
    <w:semiHidden/>
    <w:rPr>
      <w:rFonts w:ascii="Courier" w:hAnsi="Courier"/>
      <w:lang w:val="x-none" w:eastAsia="cs-CZ"/>
    </w:rPr>
  </w:style>
  <w:style w:type="character" w:customStyle="1" w:styleId="TextkomentraChar1502">
    <w:name w:val="Text komentára Char1502"/>
    <w:aliases w:val="Char7 Char Char1503,Text komentára Char Char Char1503,Comment Text Char Char Char1503"/>
    <w:uiPriority w:val="99"/>
    <w:semiHidden/>
    <w:rPr>
      <w:rFonts w:ascii="Courier" w:hAnsi="Courier"/>
      <w:lang w:val="x-none" w:eastAsia="cs-CZ"/>
    </w:rPr>
  </w:style>
  <w:style w:type="character" w:customStyle="1" w:styleId="TextkomentraChar1501">
    <w:name w:val="Text komentára Char1501"/>
    <w:aliases w:val="Char7 Char Char1502,Text komentára Char Char Char1502,Comment Text Char Char Char1502"/>
    <w:uiPriority w:val="99"/>
    <w:semiHidden/>
    <w:rPr>
      <w:rFonts w:ascii="Courier" w:hAnsi="Courier"/>
      <w:lang w:val="x-none" w:eastAsia="cs-CZ"/>
    </w:rPr>
  </w:style>
  <w:style w:type="character" w:customStyle="1" w:styleId="TextkomentraChar1500">
    <w:name w:val="Text komentára Char1500"/>
    <w:aliases w:val="Char7 Char Char1501,Text komentára Char Char Char1501,Comment Text Char Char Char1501"/>
    <w:uiPriority w:val="99"/>
    <w:semiHidden/>
    <w:rPr>
      <w:rFonts w:ascii="Courier" w:hAnsi="Courier"/>
      <w:lang w:val="x-none" w:eastAsia="cs-CZ"/>
    </w:rPr>
  </w:style>
  <w:style w:type="character" w:customStyle="1" w:styleId="TextkomentraChar1499">
    <w:name w:val="Text komentára Char1499"/>
    <w:aliases w:val="Char7 Char Char1500,Text komentára Char Char Char1500,Comment Text Char Char Char1500"/>
    <w:uiPriority w:val="99"/>
    <w:semiHidden/>
    <w:rPr>
      <w:rFonts w:ascii="Courier" w:hAnsi="Courier"/>
      <w:lang w:val="x-none" w:eastAsia="cs-CZ"/>
    </w:rPr>
  </w:style>
  <w:style w:type="character" w:customStyle="1" w:styleId="TextkomentraChar1498">
    <w:name w:val="Text komentára Char1498"/>
    <w:aliases w:val="Char7 Char Char1499,Text komentára Char Char Char1499,Comment Text Char Char Char1499"/>
    <w:uiPriority w:val="99"/>
    <w:semiHidden/>
    <w:rPr>
      <w:rFonts w:ascii="Courier" w:hAnsi="Courier"/>
      <w:lang w:val="x-none" w:eastAsia="cs-CZ"/>
    </w:rPr>
  </w:style>
  <w:style w:type="character" w:customStyle="1" w:styleId="TextkomentraChar1497">
    <w:name w:val="Text komentára Char1497"/>
    <w:aliases w:val="Char7 Char Char1498,Text komentára Char Char Char1498,Comment Text Char Char Char1498"/>
    <w:uiPriority w:val="99"/>
    <w:semiHidden/>
    <w:rPr>
      <w:rFonts w:ascii="Courier" w:hAnsi="Courier"/>
      <w:lang w:val="x-none" w:eastAsia="cs-CZ"/>
    </w:rPr>
  </w:style>
  <w:style w:type="character" w:customStyle="1" w:styleId="TextkomentraChar1496">
    <w:name w:val="Text komentára Char1496"/>
    <w:aliases w:val="Char7 Char Char1497,Text komentára Char Char Char1497,Comment Text Char Char Char1497"/>
    <w:uiPriority w:val="99"/>
    <w:semiHidden/>
    <w:rPr>
      <w:rFonts w:ascii="Courier" w:hAnsi="Courier"/>
      <w:lang w:val="x-none" w:eastAsia="cs-CZ"/>
    </w:rPr>
  </w:style>
  <w:style w:type="character" w:customStyle="1" w:styleId="TextkomentraChar1495">
    <w:name w:val="Text komentára Char1495"/>
    <w:aliases w:val="Char7 Char Char1496,Text komentára Char Char Char1496,Comment Text Char Char Char1496"/>
    <w:uiPriority w:val="99"/>
    <w:semiHidden/>
    <w:rPr>
      <w:rFonts w:ascii="Courier" w:hAnsi="Courier"/>
      <w:lang w:val="x-none" w:eastAsia="cs-CZ"/>
    </w:rPr>
  </w:style>
  <w:style w:type="character" w:customStyle="1" w:styleId="TextkomentraChar1494">
    <w:name w:val="Text komentára Char1494"/>
    <w:aliases w:val="Char7 Char Char1495,Text komentára Char Char Char1495,Comment Text Char Char Char1495"/>
    <w:uiPriority w:val="99"/>
    <w:semiHidden/>
    <w:rPr>
      <w:rFonts w:ascii="Courier" w:hAnsi="Courier"/>
      <w:lang w:val="x-none" w:eastAsia="cs-CZ"/>
    </w:rPr>
  </w:style>
  <w:style w:type="character" w:customStyle="1" w:styleId="TextkomentraChar1493">
    <w:name w:val="Text komentára Char1493"/>
    <w:aliases w:val="Char7 Char Char1494,Text komentára Char Char Char1494,Comment Text Char Char Char1494"/>
    <w:uiPriority w:val="99"/>
    <w:semiHidden/>
    <w:rPr>
      <w:rFonts w:ascii="Courier" w:hAnsi="Courier"/>
      <w:lang w:val="x-none" w:eastAsia="cs-CZ"/>
    </w:rPr>
  </w:style>
  <w:style w:type="character" w:customStyle="1" w:styleId="TextkomentraChar1492">
    <w:name w:val="Text komentára Char1492"/>
    <w:aliases w:val="Char7 Char Char1493,Text komentára Char Char Char1493,Comment Text Char Char Char1493"/>
    <w:uiPriority w:val="99"/>
    <w:semiHidden/>
    <w:rPr>
      <w:rFonts w:ascii="Courier" w:hAnsi="Courier"/>
      <w:lang w:val="x-none" w:eastAsia="cs-CZ"/>
    </w:rPr>
  </w:style>
  <w:style w:type="character" w:customStyle="1" w:styleId="TextkomentraChar1491">
    <w:name w:val="Text komentára Char1491"/>
    <w:aliases w:val="Char7 Char Char1492,Text komentára Char Char Char1492,Comment Text Char Char Char1492"/>
    <w:uiPriority w:val="99"/>
    <w:semiHidden/>
    <w:rPr>
      <w:rFonts w:ascii="Courier" w:hAnsi="Courier"/>
      <w:lang w:val="x-none" w:eastAsia="cs-CZ"/>
    </w:rPr>
  </w:style>
  <w:style w:type="character" w:customStyle="1" w:styleId="TextkomentraChar1490">
    <w:name w:val="Text komentára Char1490"/>
    <w:aliases w:val="Char7 Char Char1491,Text komentára Char Char Char1491,Comment Text Char Char Char1491"/>
    <w:uiPriority w:val="99"/>
    <w:semiHidden/>
    <w:rPr>
      <w:rFonts w:ascii="Courier" w:hAnsi="Courier"/>
      <w:lang w:val="x-none" w:eastAsia="cs-CZ"/>
    </w:rPr>
  </w:style>
  <w:style w:type="character" w:customStyle="1" w:styleId="TextkomentraChar1489">
    <w:name w:val="Text komentára Char1489"/>
    <w:aliases w:val="Char7 Char Char1490,Text komentára Char Char Char1490,Comment Text Char Char Char1490"/>
    <w:uiPriority w:val="99"/>
    <w:semiHidden/>
    <w:rPr>
      <w:rFonts w:ascii="Courier" w:hAnsi="Courier"/>
      <w:lang w:val="x-none" w:eastAsia="cs-CZ"/>
    </w:rPr>
  </w:style>
  <w:style w:type="character" w:customStyle="1" w:styleId="TextkomentraChar1488">
    <w:name w:val="Text komentára Char1488"/>
    <w:aliases w:val="Char7 Char Char1489,Text komentára Char Char Char1489,Comment Text Char Char Char1489"/>
    <w:uiPriority w:val="99"/>
    <w:semiHidden/>
    <w:rPr>
      <w:rFonts w:ascii="Courier" w:hAnsi="Courier"/>
      <w:lang w:val="x-none" w:eastAsia="cs-CZ"/>
    </w:rPr>
  </w:style>
  <w:style w:type="character" w:customStyle="1" w:styleId="TextkomentraChar1487">
    <w:name w:val="Text komentára Char1487"/>
    <w:aliases w:val="Char7 Char Char1488,Text komentára Char Char Char1488,Comment Text Char Char Char1488"/>
    <w:uiPriority w:val="99"/>
    <w:semiHidden/>
    <w:rPr>
      <w:rFonts w:ascii="Courier" w:hAnsi="Courier"/>
      <w:lang w:val="x-none" w:eastAsia="cs-CZ"/>
    </w:rPr>
  </w:style>
  <w:style w:type="character" w:customStyle="1" w:styleId="TextkomentraChar1486">
    <w:name w:val="Text komentára Char1486"/>
    <w:aliases w:val="Char7 Char Char1487,Text komentára Char Char Char1487,Comment Text Char Char Char1487"/>
    <w:uiPriority w:val="99"/>
    <w:semiHidden/>
    <w:rPr>
      <w:rFonts w:ascii="Courier" w:hAnsi="Courier"/>
      <w:lang w:val="x-none" w:eastAsia="cs-CZ"/>
    </w:rPr>
  </w:style>
  <w:style w:type="character" w:customStyle="1" w:styleId="TextkomentraChar1485">
    <w:name w:val="Text komentára Char1485"/>
    <w:aliases w:val="Char7 Char Char1486,Text komentára Char Char Char1486,Comment Text Char Char Char1486"/>
    <w:uiPriority w:val="99"/>
    <w:semiHidden/>
    <w:rPr>
      <w:rFonts w:ascii="Courier" w:hAnsi="Courier"/>
      <w:lang w:val="x-none" w:eastAsia="cs-CZ"/>
    </w:rPr>
  </w:style>
  <w:style w:type="character" w:customStyle="1" w:styleId="TextkomentraChar1484">
    <w:name w:val="Text komentára Char1484"/>
    <w:aliases w:val="Char7 Char Char1485,Text komentára Char Char Char1485,Comment Text Char Char Char1485"/>
    <w:uiPriority w:val="99"/>
    <w:semiHidden/>
    <w:rPr>
      <w:rFonts w:ascii="Courier" w:hAnsi="Courier"/>
      <w:lang w:val="x-none" w:eastAsia="cs-CZ"/>
    </w:rPr>
  </w:style>
  <w:style w:type="character" w:customStyle="1" w:styleId="TextkomentraChar1483">
    <w:name w:val="Text komentára Char1483"/>
    <w:aliases w:val="Char7 Char Char1484,Text komentára Char Char Char1484,Comment Text Char Char Char1484"/>
    <w:uiPriority w:val="99"/>
    <w:semiHidden/>
    <w:rPr>
      <w:rFonts w:ascii="Courier" w:hAnsi="Courier"/>
      <w:lang w:val="x-none" w:eastAsia="cs-CZ"/>
    </w:rPr>
  </w:style>
  <w:style w:type="character" w:customStyle="1" w:styleId="TextkomentraChar1482">
    <w:name w:val="Text komentára Char1482"/>
    <w:aliases w:val="Char7 Char Char1483,Text komentára Char Char Char1483,Comment Text Char Char Char1483"/>
    <w:uiPriority w:val="99"/>
    <w:semiHidden/>
    <w:rPr>
      <w:rFonts w:ascii="Courier" w:hAnsi="Courier"/>
      <w:lang w:val="x-none" w:eastAsia="cs-CZ"/>
    </w:rPr>
  </w:style>
  <w:style w:type="character" w:customStyle="1" w:styleId="TextkomentraChar1481">
    <w:name w:val="Text komentára Char1481"/>
    <w:aliases w:val="Char7 Char Char1482,Text komentára Char Char Char1482,Comment Text Char Char Char1482"/>
    <w:uiPriority w:val="99"/>
    <w:semiHidden/>
    <w:rPr>
      <w:rFonts w:ascii="Courier" w:hAnsi="Courier"/>
      <w:lang w:val="x-none" w:eastAsia="cs-CZ"/>
    </w:rPr>
  </w:style>
  <w:style w:type="character" w:customStyle="1" w:styleId="TextkomentraChar1480">
    <w:name w:val="Text komentára Char1480"/>
    <w:aliases w:val="Char7 Char Char1481,Text komentára Char Char Char1481,Comment Text Char Char Char1481"/>
    <w:uiPriority w:val="99"/>
    <w:semiHidden/>
    <w:rPr>
      <w:rFonts w:ascii="Courier" w:hAnsi="Courier"/>
      <w:lang w:val="x-none" w:eastAsia="cs-CZ"/>
    </w:rPr>
  </w:style>
  <w:style w:type="character" w:customStyle="1" w:styleId="TextkomentraChar1479">
    <w:name w:val="Text komentára Char1479"/>
    <w:aliases w:val="Char7 Char Char1480,Text komentára Char Char Char1480,Comment Text Char Char Char1480"/>
    <w:uiPriority w:val="99"/>
    <w:semiHidden/>
    <w:rPr>
      <w:rFonts w:ascii="Courier" w:hAnsi="Courier"/>
      <w:lang w:val="x-none" w:eastAsia="cs-CZ"/>
    </w:rPr>
  </w:style>
  <w:style w:type="character" w:customStyle="1" w:styleId="TextkomentraChar1478">
    <w:name w:val="Text komentára Char1478"/>
    <w:aliases w:val="Char7 Char Char1479,Text komentára Char Char Char1479,Comment Text Char Char Char1479"/>
    <w:uiPriority w:val="99"/>
    <w:semiHidden/>
    <w:rPr>
      <w:rFonts w:ascii="Courier" w:hAnsi="Courier"/>
      <w:lang w:val="x-none" w:eastAsia="cs-CZ"/>
    </w:rPr>
  </w:style>
  <w:style w:type="character" w:customStyle="1" w:styleId="TextkomentraChar1477">
    <w:name w:val="Text komentára Char1477"/>
    <w:aliases w:val="Char7 Char Char1478,Text komentára Char Char Char1478,Comment Text Char Char Char1478"/>
    <w:uiPriority w:val="99"/>
    <w:semiHidden/>
    <w:rPr>
      <w:rFonts w:ascii="Courier" w:hAnsi="Courier"/>
      <w:lang w:val="x-none" w:eastAsia="cs-CZ"/>
    </w:rPr>
  </w:style>
  <w:style w:type="character" w:customStyle="1" w:styleId="TextkomentraChar1476">
    <w:name w:val="Text komentára Char1476"/>
    <w:aliases w:val="Char7 Char Char1477,Text komentára Char Char Char1477,Comment Text Char Char Char1477"/>
    <w:uiPriority w:val="99"/>
    <w:semiHidden/>
    <w:rPr>
      <w:rFonts w:ascii="Courier" w:hAnsi="Courier"/>
      <w:lang w:val="x-none" w:eastAsia="cs-CZ"/>
    </w:rPr>
  </w:style>
  <w:style w:type="character" w:customStyle="1" w:styleId="TextkomentraChar1475">
    <w:name w:val="Text komentára Char1475"/>
    <w:aliases w:val="Char7 Char Char1476,Text komentára Char Char Char1476,Comment Text Char Char Char1476"/>
    <w:uiPriority w:val="99"/>
    <w:semiHidden/>
    <w:rPr>
      <w:rFonts w:ascii="Courier" w:hAnsi="Courier"/>
      <w:lang w:val="x-none" w:eastAsia="cs-CZ"/>
    </w:rPr>
  </w:style>
  <w:style w:type="character" w:customStyle="1" w:styleId="TextkomentraChar1474">
    <w:name w:val="Text komentára Char1474"/>
    <w:aliases w:val="Char7 Char Char1475,Text komentára Char Char Char1475,Comment Text Char Char Char1475"/>
    <w:uiPriority w:val="99"/>
    <w:semiHidden/>
    <w:rPr>
      <w:rFonts w:ascii="Courier" w:hAnsi="Courier"/>
      <w:lang w:val="x-none" w:eastAsia="cs-CZ"/>
    </w:rPr>
  </w:style>
  <w:style w:type="character" w:customStyle="1" w:styleId="TextkomentraChar1473">
    <w:name w:val="Text komentára Char1473"/>
    <w:aliases w:val="Char7 Char Char1474,Text komentára Char Char Char1474,Comment Text Char Char Char1474"/>
    <w:uiPriority w:val="99"/>
    <w:semiHidden/>
    <w:rPr>
      <w:rFonts w:ascii="Courier" w:hAnsi="Courier"/>
      <w:lang w:val="x-none" w:eastAsia="cs-CZ"/>
    </w:rPr>
  </w:style>
  <w:style w:type="character" w:customStyle="1" w:styleId="TextkomentraChar1472">
    <w:name w:val="Text komentára Char1472"/>
    <w:aliases w:val="Char7 Char Char1473,Text komentára Char Char Char1473,Comment Text Char Char Char1473"/>
    <w:uiPriority w:val="99"/>
    <w:semiHidden/>
    <w:rPr>
      <w:rFonts w:ascii="Courier" w:hAnsi="Courier"/>
      <w:lang w:val="x-none" w:eastAsia="cs-CZ"/>
    </w:rPr>
  </w:style>
  <w:style w:type="character" w:customStyle="1" w:styleId="TextkomentraChar1471">
    <w:name w:val="Text komentára Char1471"/>
    <w:aliases w:val="Char7 Char Char1472,Text komentára Char Char Char1472,Comment Text Char Char Char1472"/>
    <w:uiPriority w:val="99"/>
    <w:semiHidden/>
    <w:rPr>
      <w:rFonts w:ascii="Courier" w:hAnsi="Courier"/>
      <w:lang w:val="x-none" w:eastAsia="cs-CZ"/>
    </w:rPr>
  </w:style>
  <w:style w:type="character" w:customStyle="1" w:styleId="TextkomentraChar1470">
    <w:name w:val="Text komentára Char1470"/>
    <w:aliases w:val="Char7 Char Char1471,Text komentára Char Char Char1471,Comment Text Char Char Char1471"/>
    <w:uiPriority w:val="99"/>
    <w:semiHidden/>
    <w:rPr>
      <w:rFonts w:ascii="Courier" w:hAnsi="Courier"/>
      <w:lang w:val="x-none" w:eastAsia="cs-CZ"/>
    </w:rPr>
  </w:style>
  <w:style w:type="character" w:customStyle="1" w:styleId="TextkomentraChar1469">
    <w:name w:val="Text komentára Char1469"/>
    <w:aliases w:val="Char7 Char Char1470,Text komentára Char Char Char1470,Comment Text Char Char Char1470"/>
    <w:uiPriority w:val="99"/>
    <w:semiHidden/>
    <w:rPr>
      <w:rFonts w:ascii="Courier" w:hAnsi="Courier"/>
      <w:lang w:val="x-none" w:eastAsia="cs-CZ"/>
    </w:rPr>
  </w:style>
  <w:style w:type="character" w:customStyle="1" w:styleId="TextkomentraChar1468">
    <w:name w:val="Text komentára Char1468"/>
    <w:aliases w:val="Char7 Char Char1469,Text komentára Char Char Char1469,Comment Text Char Char Char1469"/>
    <w:uiPriority w:val="99"/>
    <w:semiHidden/>
    <w:rPr>
      <w:rFonts w:ascii="Courier" w:hAnsi="Courier"/>
      <w:lang w:val="x-none" w:eastAsia="cs-CZ"/>
    </w:rPr>
  </w:style>
  <w:style w:type="character" w:customStyle="1" w:styleId="TextkomentraChar1467">
    <w:name w:val="Text komentára Char1467"/>
    <w:aliases w:val="Char7 Char Char1468,Text komentára Char Char Char1468,Comment Text Char Char Char1468"/>
    <w:uiPriority w:val="99"/>
    <w:semiHidden/>
    <w:rPr>
      <w:rFonts w:ascii="Courier" w:hAnsi="Courier"/>
      <w:lang w:val="x-none" w:eastAsia="cs-CZ"/>
    </w:rPr>
  </w:style>
  <w:style w:type="character" w:customStyle="1" w:styleId="TextkomentraChar1466">
    <w:name w:val="Text komentára Char1466"/>
    <w:aliases w:val="Char7 Char Char1467,Text komentára Char Char Char1467,Comment Text Char Char Char1467"/>
    <w:uiPriority w:val="99"/>
    <w:semiHidden/>
    <w:rPr>
      <w:rFonts w:ascii="Courier" w:hAnsi="Courier"/>
      <w:lang w:val="x-none" w:eastAsia="cs-CZ"/>
    </w:rPr>
  </w:style>
  <w:style w:type="character" w:customStyle="1" w:styleId="TextkomentraChar1465">
    <w:name w:val="Text komentára Char1465"/>
    <w:aliases w:val="Char7 Char Char1466,Text komentára Char Char Char1466,Comment Text Char Char Char1466"/>
    <w:uiPriority w:val="99"/>
    <w:semiHidden/>
    <w:rPr>
      <w:rFonts w:ascii="Courier" w:hAnsi="Courier"/>
      <w:lang w:val="x-none" w:eastAsia="cs-CZ"/>
    </w:rPr>
  </w:style>
  <w:style w:type="character" w:customStyle="1" w:styleId="TextkomentraChar1464">
    <w:name w:val="Text komentára Char1464"/>
    <w:aliases w:val="Char7 Char Char1465,Text komentára Char Char Char1465,Comment Text Char Char Char1465"/>
    <w:uiPriority w:val="99"/>
    <w:semiHidden/>
    <w:rPr>
      <w:rFonts w:ascii="Courier" w:hAnsi="Courier"/>
      <w:lang w:val="x-none" w:eastAsia="cs-CZ"/>
    </w:rPr>
  </w:style>
  <w:style w:type="character" w:customStyle="1" w:styleId="TextkomentraChar1463">
    <w:name w:val="Text komentára Char1463"/>
    <w:aliases w:val="Char7 Char Char1464,Text komentára Char Char Char1464,Comment Text Char Char Char1464"/>
    <w:uiPriority w:val="99"/>
    <w:semiHidden/>
    <w:rPr>
      <w:rFonts w:ascii="Courier" w:hAnsi="Courier"/>
      <w:lang w:val="x-none" w:eastAsia="cs-CZ"/>
    </w:rPr>
  </w:style>
  <w:style w:type="character" w:customStyle="1" w:styleId="TextkomentraChar1462">
    <w:name w:val="Text komentára Char1462"/>
    <w:aliases w:val="Char7 Char Char1463,Text komentára Char Char Char1463,Comment Text Char Char Char1463"/>
    <w:uiPriority w:val="99"/>
    <w:semiHidden/>
    <w:rPr>
      <w:rFonts w:ascii="Courier" w:hAnsi="Courier"/>
      <w:lang w:val="x-none" w:eastAsia="cs-CZ"/>
    </w:rPr>
  </w:style>
  <w:style w:type="character" w:customStyle="1" w:styleId="TextkomentraChar1461">
    <w:name w:val="Text komentára Char1461"/>
    <w:aliases w:val="Char7 Char Char1462,Text komentára Char Char Char1462,Comment Text Char Char Char1462"/>
    <w:uiPriority w:val="99"/>
    <w:semiHidden/>
    <w:rPr>
      <w:rFonts w:ascii="Courier" w:hAnsi="Courier"/>
      <w:lang w:val="x-none" w:eastAsia="cs-CZ"/>
    </w:rPr>
  </w:style>
  <w:style w:type="character" w:customStyle="1" w:styleId="TextkomentraChar1460">
    <w:name w:val="Text komentára Char1460"/>
    <w:aliases w:val="Char7 Char Char1461,Text komentára Char Char Char1461,Comment Text Char Char Char1461"/>
    <w:uiPriority w:val="99"/>
    <w:semiHidden/>
    <w:rPr>
      <w:rFonts w:ascii="Courier" w:hAnsi="Courier"/>
      <w:lang w:val="x-none" w:eastAsia="cs-CZ"/>
    </w:rPr>
  </w:style>
  <w:style w:type="character" w:customStyle="1" w:styleId="TextkomentraChar1459">
    <w:name w:val="Text komentára Char1459"/>
    <w:aliases w:val="Char7 Char Char1460,Text komentára Char Char Char1460,Comment Text Char Char Char1460"/>
    <w:uiPriority w:val="99"/>
    <w:semiHidden/>
    <w:rPr>
      <w:rFonts w:ascii="Courier" w:hAnsi="Courier"/>
      <w:lang w:val="x-none" w:eastAsia="cs-CZ"/>
    </w:rPr>
  </w:style>
  <w:style w:type="character" w:customStyle="1" w:styleId="TextkomentraChar1458">
    <w:name w:val="Text komentára Char1458"/>
    <w:aliases w:val="Char7 Char Char1459,Text komentára Char Char Char1459,Comment Text Char Char Char1459"/>
    <w:uiPriority w:val="99"/>
    <w:semiHidden/>
    <w:rPr>
      <w:rFonts w:ascii="Courier" w:hAnsi="Courier"/>
      <w:lang w:val="x-none" w:eastAsia="cs-CZ"/>
    </w:rPr>
  </w:style>
  <w:style w:type="character" w:customStyle="1" w:styleId="TextkomentraChar1457">
    <w:name w:val="Text komentára Char1457"/>
    <w:aliases w:val="Char7 Char Char1458,Text komentára Char Char Char1458,Comment Text Char Char Char1458"/>
    <w:uiPriority w:val="99"/>
    <w:semiHidden/>
    <w:rPr>
      <w:rFonts w:ascii="Courier" w:hAnsi="Courier"/>
      <w:lang w:val="x-none" w:eastAsia="cs-CZ"/>
    </w:rPr>
  </w:style>
  <w:style w:type="character" w:customStyle="1" w:styleId="TextkomentraChar1456">
    <w:name w:val="Text komentára Char1456"/>
    <w:aliases w:val="Char7 Char Char1457,Text komentára Char Char Char1457,Comment Text Char Char Char1457"/>
    <w:uiPriority w:val="99"/>
    <w:semiHidden/>
    <w:rPr>
      <w:rFonts w:ascii="Courier" w:hAnsi="Courier"/>
      <w:lang w:val="x-none" w:eastAsia="cs-CZ"/>
    </w:rPr>
  </w:style>
  <w:style w:type="character" w:customStyle="1" w:styleId="TextkomentraChar1455">
    <w:name w:val="Text komentára Char1455"/>
    <w:aliases w:val="Char7 Char Char1456,Text komentára Char Char Char1456,Comment Text Char Char Char1456"/>
    <w:uiPriority w:val="99"/>
    <w:semiHidden/>
    <w:rPr>
      <w:rFonts w:ascii="Courier" w:hAnsi="Courier"/>
      <w:lang w:val="x-none" w:eastAsia="cs-CZ"/>
    </w:rPr>
  </w:style>
  <w:style w:type="character" w:customStyle="1" w:styleId="TextkomentraChar1454">
    <w:name w:val="Text komentára Char1454"/>
    <w:aliases w:val="Char7 Char Char1455,Text komentára Char Char Char1455,Comment Text Char Char Char1455"/>
    <w:uiPriority w:val="99"/>
    <w:semiHidden/>
    <w:rPr>
      <w:rFonts w:ascii="Courier" w:hAnsi="Courier"/>
      <w:lang w:val="x-none" w:eastAsia="cs-CZ"/>
    </w:rPr>
  </w:style>
  <w:style w:type="character" w:customStyle="1" w:styleId="TextkomentraChar1453">
    <w:name w:val="Text komentára Char1453"/>
    <w:aliases w:val="Char7 Char Char1454,Text komentára Char Char Char1454,Comment Text Char Char Char1454"/>
    <w:uiPriority w:val="99"/>
    <w:semiHidden/>
    <w:rPr>
      <w:rFonts w:ascii="Courier" w:hAnsi="Courier"/>
      <w:lang w:val="x-none" w:eastAsia="cs-CZ"/>
    </w:rPr>
  </w:style>
  <w:style w:type="character" w:customStyle="1" w:styleId="TextkomentraChar1452">
    <w:name w:val="Text komentára Char1452"/>
    <w:aliases w:val="Char7 Char Char1453,Text komentára Char Char Char1453,Comment Text Char Char Char1453"/>
    <w:uiPriority w:val="99"/>
    <w:semiHidden/>
    <w:rPr>
      <w:rFonts w:ascii="Courier" w:hAnsi="Courier"/>
      <w:lang w:val="x-none" w:eastAsia="cs-CZ"/>
    </w:rPr>
  </w:style>
  <w:style w:type="character" w:customStyle="1" w:styleId="TextkomentraChar1451">
    <w:name w:val="Text komentára Char1451"/>
    <w:aliases w:val="Char7 Char Char1452,Text komentára Char Char Char1452,Comment Text Char Char Char1452"/>
    <w:uiPriority w:val="99"/>
    <w:semiHidden/>
    <w:rPr>
      <w:rFonts w:ascii="Courier" w:hAnsi="Courier"/>
      <w:lang w:val="x-none" w:eastAsia="cs-CZ"/>
    </w:rPr>
  </w:style>
  <w:style w:type="character" w:customStyle="1" w:styleId="TextkomentraChar1450">
    <w:name w:val="Text komentára Char1450"/>
    <w:aliases w:val="Char7 Char Char1451,Text komentára Char Char Char1451,Comment Text Char Char Char1451"/>
    <w:uiPriority w:val="99"/>
    <w:semiHidden/>
    <w:rPr>
      <w:rFonts w:ascii="Courier" w:hAnsi="Courier"/>
      <w:lang w:val="x-none" w:eastAsia="cs-CZ"/>
    </w:rPr>
  </w:style>
  <w:style w:type="character" w:customStyle="1" w:styleId="TextkomentraChar1449">
    <w:name w:val="Text komentára Char1449"/>
    <w:aliases w:val="Char7 Char Char1450,Text komentára Char Char Char1450,Comment Text Char Char Char1450"/>
    <w:uiPriority w:val="99"/>
    <w:semiHidden/>
    <w:rPr>
      <w:rFonts w:ascii="Courier" w:hAnsi="Courier"/>
      <w:lang w:val="x-none" w:eastAsia="cs-CZ"/>
    </w:rPr>
  </w:style>
  <w:style w:type="character" w:customStyle="1" w:styleId="TextkomentraChar1448">
    <w:name w:val="Text komentára Char1448"/>
    <w:aliases w:val="Char7 Char Char1449,Text komentára Char Char Char1449,Comment Text Char Char Char1449"/>
    <w:uiPriority w:val="99"/>
    <w:semiHidden/>
    <w:rPr>
      <w:rFonts w:ascii="Courier" w:hAnsi="Courier"/>
      <w:lang w:val="x-none" w:eastAsia="cs-CZ"/>
    </w:rPr>
  </w:style>
  <w:style w:type="character" w:customStyle="1" w:styleId="TextkomentraChar1447">
    <w:name w:val="Text komentára Char1447"/>
    <w:aliases w:val="Char7 Char Char1448,Text komentára Char Char Char1448,Comment Text Char Char Char1448"/>
    <w:uiPriority w:val="99"/>
    <w:semiHidden/>
    <w:rPr>
      <w:rFonts w:ascii="Courier" w:hAnsi="Courier"/>
      <w:lang w:val="x-none" w:eastAsia="cs-CZ"/>
    </w:rPr>
  </w:style>
  <w:style w:type="character" w:customStyle="1" w:styleId="TextkomentraChar1446">
    <w:name w:val="Text komentára Char1446"/>
    <w:aliases w:val="Char7 Char Char1447,Text komentára Char Char Char1447,Comment Text Char Char Char1447"/>
    <w:uiPriority w:val="99"/>
    <w:semiHidden/>
    <w:rPr>
      <w:rFonts w:ascii="Courier" w:hAnsi="Courier"/>
      <w:lang w:val="x-none" w:eastAsia="cs-CZ"/>
    </w:rPr>
  </w:style>
  <w:style w:type="character" w:customStyle="1" w:styleId="TextkomentraChar1445">
    <w:name w:val="Text komentára Char1445"/>
    <w:aliases w:val="Char7 Char Char1446,Text komentára Char Char Char1446,Comment Text Char Char Char1446"/>
    <w:uiPriority w:val="99"/>
    <w:semiHidden/>
    <w:rPr>
      <w:rFonts w:ascii="Courier" w:hAnsi="Courier"/>
      <w:lang w:val="x-none" w:eastAsia="cs-CZ"/>
    </w:rPr>
  </w:style>
  <w:style w:type="character" w:customStyle="1" w:styleId="TextkomentraChar1444">
    <w:name w:val="Text komentára Char1444"/>
    <w:aliases w:val="Char7 Char Char1445,Text komentára Char Char Char1445,Comment Text Char Char Char1445"/>
    <w:uiPriority w:val="99"/>
    <w:semiHidden/>
    <w:rPr>
      <w:rFonts w:ascii="Courier" w:hAnsi="Courier"/>
      <w:lang w:val="x-none" w:eastAsia="cs-CZ"/>
    </w:rPr>
  </w:style>
  <w:style w:type="character" w:customStyle="1" w:styleId="TextkomentraChar1443">
    <w:name w:val="Text komentára Char1443"/>
    <w:aliases w:val="Char7 Char Char1444,Text komentára Char Char Char1444,Comment Text Char Char Char1444"/>
    <w:uiPriority w:val="99"/>
    <w:semiHidden/>
    <w:rPr>
      <w:rFonts w:ascii="Courier" w:hAnsi="Courier"/>
      <w:lang w:val="x-none" w:eastAsia="cs-CZ"/>
    </w:rPr>
  </w:style>
  <w:style w:type="character" w:customStyle="1" w:styleId="TextkomentraChar1442">
    <w:name w:val="Text komentára Char1442"/>
    <w:aliases w:val="Char7 Char Char1443,Text komentára Char Char Char1443,Comment Text Char Char Char1443"/>
    <w:uiPriority w:val="99"/>
    <w:semiHidden/>
    <w:rPr>
      <w:rFonts w:ascii="Courier" w:hAnsi="Courier"/>
      <w:lang w:val="x-none" w:eastAsia="cs-CZ"/>
    </w:rPr>
  </w:style>
  <w:style w:type="character" w:customStyle="1" w:styleId="TextkomentraChar1441">
    <w:name w:val="Text komentára Char1441"/>
    <w:aliases w:val="Char7 Char Char1442,Text komentára Char Char Char1442,Comment Text Char Char Char1442"/>
    <w:uiPriority w:val="99"/>
    <w:semiHidden/>
    <w:rPr>
      <w:rFonts w:ascii="Courier" w:hAnsi="Courier"/>
      <w:lang w:val="x-none" w:eastAsia="cs-CZ"/>
    </w:rPr>
  </w:style>
  <w:style w:type="character" w:customStyle="1" w:styleId="TextkomentraChar1440">
    <w:name w:val="Text komentára Char1440"/>
    <w:aliases w:val="Char7 Char Char1441,Text komentára Char Char Char1441,Comment Text Char Char Char1441"/>
    <w:uiPriority w:val="99"/>
    <w:semiHidden/>
    <w:rPr>
      <w:rFonts w:ascii="Courier" w:hAnsi="Courier"/>
      <w:lang w:val="x-none" w:eastAsia="cs-CZ"/>
    </w:rPr>
  </w:style>
  <w:style w:type="character" w:customStyle="1" w:styleId="TextkomentraChar1439">
    <w:name w:val="Text komentára Char1439"/>
    <w:aliases w:val="Char7 Char Char1440,Text komentára Char Char Char1440,Comment Text Char Char Char1440"/>
    <w:uiPriority w:val="99"/>
    <w:semiHidden/>
    <w:rPr>
      <w:rFonts w:ascii="Courier" w:hAnsi="Courier"/>
      <w:lang w:val="x-none" w:eastAsia="cs-CZ"/>
    </w:rPr>
  </w:style>
  <w:style w:type="character" w:customStyle="1" w:styleId="TextkomentraChar1438">
    <w:name w:val="Text komentára Char1438"/>
    <w:aliases w:val="Char7 Char Char1439,Text komentára Char Char Char1439,Comment Text Char Char Char1439"/>
    <w:uiPriority w:val="99"/>
    <w:semiHidden/>
    <w:rPr>
      <w:rFonts w:ascii="Courier" w:hAnsi="Courier"/>
      <w:lang w:val="x-none" w:eastAsia="cs-CZ"/>
    </w:rPr>
  </w:style>
  <w:style w:type="character" w:customStyle="1" w:styleId="TextkomentraChar1437">
    <w:name w:val="Text komentára Char1437"/>
    <w:aliases w:val="Char7 Char Char1438,Text komentára Char Char Char1438,Comment Text Char Char Char1438"/>
    <w:uiPriority w:val="99"/>
    <w:semiHidden/>
    <w:rPr>
      <w:rFonts w:ascii="Courier" w:hAnsi="Courier"/>
      <w:lang w:val="x-none" w:eastAsia="cs-CZ"/>
    </w:rPr>
  </w:style>
  <w:style w:type="character" w:customStyle="1" w:styleId="TextkomentraChar1436">
    <w:name w:val="Text komentára Char1436"/>
    <w:aliases w:val="Char7 Char Char1437,Text komentára Char Char Char1437,Comment Text Char Char Char1437"/>
    <w:uiPriority w:val="99"/>
    <w:semiHidden/>
    <w:rPr>
      <w:rFonts w:ascii="Courier" w:hAnsi="Courier"/>
      <w:lang w:val="x-none" w:eastAsia="cs-CZ"/>
    </w:rPr>
  </w:style>
  <w:style w:type="character" w:customStyle="1" w:styleId="TextkomentraChar1435">
    <w:name w:val="Text komentára Char1435"/>
    <w:aliases w:val="Char7 Char Char1436,Text komentára Char Char Char1436,Comment Text Char Char Char1436"/>
    <w:uiPriority w:val="99"/>
    <w:semiHidden/>
    <w:rPr>
      <w:rFonts w:ascii="Courier" w:hAnsi="Courier"/>
      <w:lang w:val="x-none" w:eastAsia="cs-CZ"/>
    </w:rPr>
  </w:style>
  <w:style w:type="character" w:customStyle="1" w:styleId="TextkomentraChar1434">
    <w:name w:val="Text komentára Char1434"/>
    <w:aliases w:val="Char7 Char Char1435,Text komentára Char Char Char1435,Comment Text Char Char Char1435"/>
    <w:uiPriority w:val="99"/>
    <w:semiHidden/>
    <w:rPr>
      <w:rFonts w:ascii="Courier" w:hAnsi="Courier"/>
      <w:lang w:val="x-none" w:eastAsia="cs-CZ"/>
    </w:rPr>
  </w:style>
  <w:style w:type="character" w:customStyle="1" w:styleId="TextkomentraChar1433">
    <w:name w:val="Text komentára Char1433"/>
    <w:aliases w:val="Char7 Char Char1434,Text komentára Char Char Char1434,Comment Text Char Char Char1434"/>
    <w:uiPriority w:val="99"/>
    <w:semiHidden/>
    <w:rPr>
      <w:rFonts w:ascii="Courier" w:hAnsi="Courier"/>
      <w:lang w:val="x-none" w:eastAsia="cs-CZ"/>
    </w:rPr>
  </w:style>
  <w:style w:type="character" w:customStyle="1" w:styleId="TextkomentraChar1432">
    <w:name w:val="Text komentára Char1432"/>
    <w:aliases w:val="Char7 Char Char1433,Text komentára Char Char Char1433,Comment Text Char Char Char1433"/>
    <w:uiPriority w:val="99"/>
    <w:semiHidden/>
    <w:rPr>
      <w:rFonts w:ascii="Courier" w:hAnsi="Courier"/>
      <w:lang w:val="x-none" w:eastAsia="cs-CZ"/>
    </w:rPr>
  </w:style>
  <w:style w:type="character" w:customStyle="1" w:styleId="TextkomentraChar1431">
    <w:name w:val="Text komentára Char1431"/>
    <w:aliases w:val="Char7 Char Char1432,Text komentára Char Char Char1432,Comment Text Char Char Char1432"/>
    <w:uiPriority w:val="99"/>
    <w:semiHidden/>
    <w:rPr>
      <w:rFonts w:ascii="Courier" w:hAnsi="Courier"/>
      <w:lang w:val="x-none" w:eastAsia="cs-CZ"/>
    </w:rPr>
  </w:style>
  <w:style w:type="character" w:customStyle="1" w:styleId="TextkomentraChar1430">
    <w:name w:val="Text komentára Char1430"/>
    <w:aliases w:val="Char7 Char Char1431,Text komentára Char Char Char1431,Comment Text Char Char Char1431"/>
    <w:uiPriority w:val="99"/>
    <w:semiHidden/>
    <w:rPr>
      <w:rFonts w:ascii="Courier" w:hAnsi="Courier"/>
      <w:lang w:val="x-none" w:eastAsia="cs-CZ"/>
    </w:rPr>
  </w:style>
  <w:style w:type="character" w:customStyle="1" w:styleId="TextkomentraChar1429">
    <w:name w:val="Text komentára Char1429"/>
    <w:aliases w:val="Char7 Char Char1430,Text komentára Char Char Char1430,Comment Text Char Char Char1430"/>
    <w:uiPriority w:val="99"/>
    <w:semiHidden/>
    <w:rPr>
      <w:rFonts w:ascii="Courier" w:hAnsi="Courier"/>
      <w:lang w:val="x-none" w:eastAsia="cs-CZ"/>
    </w:rPr>
  </w:style>
  <w:style w:type="character" w:customStyle="1" w:styleId="TextkomentraChar1428">
    <w:name w:val="Text komentára Char1428"/>
    <w:aliases w:val="Char7 Char Char1429,Text komentára Char Char Char1429,Comment Text Char Char Char1429"/>
    <w:uiPriority w:val="99"/>
    <w:semiHidden/>
    <w:rPr>
      <w:rFonts w:ascii="Courier" w:hAnsi="Courier"/>
      <w:lang w:val="x-none" w:eastAsia="cs-CZ"/>
    </w:rPr>
  </w:style>
  <w:style w:type="character" w:customStyle="1" w:styleId="TextkomentraChar1427">
    <w:name w:val="Text komentára Char1427"/>
    <w:aliases w:val="Char7 Char Char1428,Text komentára Char Char Char1428,Comment Text Char Char Char1428"/>
    <w:uiPriority w:val="99"/>
    <w:semiHidden/>
    <w:rPr>
      <w:rFonts w:ascii="Courier" w:hAnsi="Courier"/>
      <w:lang w:val="x-none" w:eastAsia="cs-CZ"/>
    </w:rPr>
  </w:style>
  <w:style w:type="character" w:customStyle="1" w:styleId="TextkomentraChar1426">
    <w:name w:val="Text komentára Char1426"/>
    <w:aliases w:val="Char7 Char Char1427,Text komentára Char Char Char1427,Comment Text Char Char Char1427"/>
    <w:uiPriority w:val="99"/>
    <w:semiHidden/>
    <w:rPr>
      <w:rFonts w:ascii="Courier" w:hAnsi="Courier"/>
      <w:lang w:val="x-none" w:eastAsia="cs-CZ"/>
    </w:rPr>
  </w:style>
  <w:style w:type="character" w:customStyle="1" w:styleId="TextkomentraChar1425">
    <w:name w:val="Text komentára Char1425"/>
    <w:aliases w:val="Char7 Char Char1426,Text komentára Char Char Char1426,Comment Text Char Char Char1426"/>
    <w:uiPriority w:val="99"/>
    <w:semiHidden/>
    <w:rPr>
      <w:rFonts w:ascii="Courier" w:hAnsi="Courier"/>
      <w:lang w:val="x-none" w:eastAsia="cs-CZ"/>
    </w:rPr>
  </w:style>
  <w:style w:type="character" w:customStyle="1" w:styleId="TextkomentraChar1424">
    <w:name w:val="Text komentára Char1424"/>
    <w:aliases w:val="Char7 Char Char1425,Text komentára Char Char Char1425,Comment Text Char Char Char1425"/>
    <w:uiPriority w:val="99"/>
    <w:semiHidden/>
    <w:rPr>
      <w:rFonts w:ascii="Courier" w:hAnsi="Courier"/>
      <w:lang w:val="x-none" w:eastAsia="cs-CZ"/>
    </w:rPr>
  </w:style>
  <w:style w:type="character" w:customStyle="1" w:styleId="TextkomentraChar1423">
    <w:name w:val="Text komentára Char1423"/>
    <w:aliases w:val="Char7 Char Char1424,Text komentára Char Char Char1424,Comment Text Char Char Char1424"/>
    <w:uiPriority w:val="99"/>
    <w:semiHidden/>
    <w:rPr>
      <w:rFonts w:ascii="Courier" w:hAnsi="Courier"/>
      <w:lang w:val="x-none" w:eastAsia="cs-CZ"/>
    </w:rPr>
  </w:style>
  <w:style w:type="character" w:customStyle="1" w:styleId="TextkomentraChar1422">
    <w:name w:val="Text komentára Char1422"/>
    <w:aliases w:val="Char7 Char Char1423,Text komentára Char Char Char1423,Comment Text Char Char Char1423"/>
    <w:uiPriority w:val="99"/>
    <w:semiHidden/>
    <w:rPr>
      <w:rFonts w:ascii="Courier" w:hAnsi="Courier"/>
      <w:lang w:val="x-none" w:eastAsia="cs-CZ"/>
    </w:rPr>
  </w:style>
  <w:style w:type="character" w:customStyle="1" w:styleId="TextkomentraChar1421">
    <w:name w:val="Text komentára Char1421"/>
    <w:aliases w:val="Char7 Char Char1422,Text komentára Char Char Char1422,Comment Text Char Char Char1422"/>
    <w:uiPriority w:val="99"/>
    <w:semiHidden/>
    <w:rPr>
      <w:rFonts w:ascii="Courier" w:hAnsi="Courier"/>
      <w:lang w:val="x-none" w:eastAsia="cs-CZ"/>
    </w:rPr>
  </w:style>
  <w:style w:type="character" w:customStyle="1" w:styleId="TextkomentraChar1420">
    <w:name w:val="Text komentára Char1420"/>
    <w:aliases w:val="Char7 Char Char1421,Text komentára Char Char Char1421,Comment Text Char Char Char1421"/>
    <w:uiPriority w:val="99"/>
    <w:semiHidden/>
    <w:rPr>
      <w:rFonts w:ascii="Courier" w:hAnsi="Courier"/>
      <w:lang w:val="x-none" w:eastAsia="cs-CZ"/>
    </w:rPr>
  </w:style>
  <w:style w:type="character" w:customStyle="1" w:styleId="TextkomentraChar1419">
    <w:name w:val="Text komentára Char1419"/>
    <w:aliases w:val="Char7 Char Char1420,Text komentára Char Char Char1420,Comment Text Char Char Char1420"/>
    <w:uiPriority w:val="99"/>
    <w:semiHidden/>
    <w:rPr>
      <w:rFonts w:ascii="Courier" w:hAnsi="Courier"/>
      <w:lang w:val="x-none" w:eastAsia="cs-CZ"/>
    </w:rPr>
  </w:style>
  <w:style w:type="character" w:customStyle="1" w:styleId="TextkomentraChar1418">
    <w:name w:val="Text komentára Char1418"/>
    <w:aliases w:val="Char7 Char Char1419,Text komentára Char Char Char1419,Comment Text Char Char Char1419"/>
    <w:uiPriority w:val="99"/>
    <w:semiHidden/>
    <w:rPr>
      <w:rFonts w:ascii="Courier" w:hAnsi="Courier"/>
      <w:lang w:val="x-none" w:eastAsia="cs-CZ"/>
    </w:rPr>
  </w:style>
  <w:style w:type="character" w:customStyle="1" w:styleId="TextkomentraChar1417">
    <w:name w:val="Text komentára Char1417"/>
    <w:aliases w:val="Char7 Char Char1418,Text komentára Char Char Char1418,Comment Text Char Char Char1418"/>
    <w:uiPriority w:val="99"/>
    <w:semiHidden/>
    <w:rPr>
      <w:rFonts w:ascii="Courier" w:hAnsi="Courier"/>
      <w:lang w:val="x-none" w:eastAsia="cs-CZ"/>
    </w:rPr>
  </w:style>
  <w:style w:type="character" w:customStyle="1" w:styleId="TextkomentraChar1416">
    <w:name w:val="Text komentára Char1416"/>
    <w:aliases w:val="Char7 Char Char1417,Text komentára Char Char Char1417,Comment Text Char Char Char1417"/>
    <w:uiPriority w:val="99"/>
    <w:semiHidden/>
    <w:rPr>
      <w:rFonts w:ascii="Courier" w:hAnsi="Courier"/>
      <w:lang w:val="x-none" w:eastAsia="cs-CZ"/>
    </w:rPr>
  </w:style>
  <w:style w:type="character" w:customStyle="1" w:styleId="TextkomentraChar1415">
    <w:name w:val="Text komentára Char1415"/>
    <w:aliases w:val="Char7 Char Char1416,Text komentára Char Char Char1416,Comment Text Char Char Char1416"/>
    <w:uiPriority w:val="99"/>
    <w:semiHidden/>
    <w:rPr>
      <w:rFonts w:ascii="Courier" w:hAnsi="Courier"/>
      <w:lang w:val="x-none" w:eastAsia="cs-CZ"/>
    </w:rPr>
  </w:style>
  <w:style w:type="character" w:customStyle="1" w:styleId="TextkomentraChar1414">
    <w:name w:val="Text komentára Char1414"/>
    <w:aliases w:val="Char7 Char Char1415,Text komentára Char Char Char1415,Comment Text Char Char Char1415"/>
    <w:uiPriority w:val="99"/>
    <w:semiHidden/>
    <w:rPr>
      <w:rFonts w:ascii="Courier" w:hAnsi="Courier"/>
      <w:lang w:val="x-none" w:eastAsia="cs-CZ"/>
    </w:rPr>
  </w:style>
  <w:style w:type="character" w:customStyle="1" w:styleId="TextkomentraChar1413">
    <w:name w:val="Text komentára Char1413"/>
    <w:aliases w:val="Char7 Char Char1414,Text komentára Char Char Char1414,Comment Text Char Char Char1414"/>
    <w:uiPriority w:val="99"/>
    <w:semiHidden/>
    <w:rPr>
      <w:rFonts w:ascii="Courier" w:hAnsi="Courier"/>
      <w:lang w:val="x-none" w:eastAsia="cs-CZ"/>
    </w:rPr>
  </w:style>
  <w:style w:type="character" w:customStyle="1" w:styleId="TextkomentraChar1412">
    <w:name w:val="Text komentára Char1412"/>
    <w:aliases w:val="Char7 Char Char1413,Text komentára Char Char Char1413,Comment Text Char Char Char1413"/>
    <w:uiPriority w:val="99"/>
    <w:semiHidden/>
    <w:rPr>
      <w:rFonts w:ascii="Courier" w:hAnsi="Courier"/>
      <w:lang w:val="x-none" w:eastAsia="cs-CZ"/>
    </w:rPr>
  </w:style>
  <w:style w:type="character" w:customStyle="1" w:styleId="TextkomentraChar1411">
    <w:name w:val="Text komentára Char1411"/>
    <w:aliases w:val="Char7 Char Char1412,Text komentára Char Char Char1412,Comment Text Char Char Char1412"/>
    <w:uiPriority w:val="99"/>
    <w:semiHidden/>
    <w:rPr>
      <w:rFonts w:ascii="Courier" w:hAnsi="Courier"/>
      <w:lang w:val="x-none" w:eastAsia="cs-CZ"/>
    </w:rPr>
  </w:style>
  <w:style w:type="character" w:customStyle="1" w:styleId="TextkomentraChar1410">
    <w:name w:val="Text komentára Char1410"/>
    <w:aliases w:val="Char7 Char Char1411,Text komentára Char Char Char1411,Comment Text Char Char Char1411"/>
    <w:uiPriority w:val="99"/>
    <w:semiHidden/>
    <w:rPr>
      <w:rFonts w:ascii="Courier" w:hAnsi="Courier"/>
      <w:lang w:val="x-none" w:eastAsia="cs-CZ"/>
    </w:rPr>
  </w:style>
  <w:style w:type="character" w:customStyle="1" w:styleId="TextkomentraChar1409">
    <w:name w:val="Text komentára Char1409"/>
    <w:aliases w:val="Char7 Char Char1410,Text komentára Char Char Char1410,Comment Text Char Char Char1410"/>
    <w:uiPriority w:val="99"/>
    <w:semiHidden/>
    <w:rPr>
      <w:rFonts w:ascii="Courier" w:hAnsi="Courier"/>
      <w:lang w:val="x-none" w:eastAsia="cs-CZ"/>
    </w:rPr>
  </w:style>
  <w:style w:type="character" w:customStyle="1" w:styleId="TextkomentraChar1408">
    <w:name w:val="Text komentára Char1408"/>
    <w:aliases w:val="Char7 Char Char1409,Text komentára Char Char Char1409,Comment Text Char Char Char1409"/>
    <w:uiPriority w:val="99"/>
    <w:semiHidden/>
    <w:rPr>
      <w:rFonts w:ascii="Courier" w:hAnsi="Courier"/>
      <w:lang w:val="x-none" w:eastAsia="cs-CZ"/>
    </w:rPr>
  </w:style>
  <w:style w:type="character" w:customStyle="1" w:styleId="TextkomentraChar1407">
    <w:name w:val="Text komentára Char1407"/>
    <w:aliases w:val="Char7 Char Char1408,Text komentára Char Char Char1408,Comment Text Char Char Char1408"/>
    <w:uiPriority w:val="99"/>
    <w:semiHidden/>
    <w:rPr>
      <w:rFonts w:ascii="Courier" w:hAnsi="Courier"/>
      <w:lang w:val="x-none" w:eastAsia="cs-CZ"/>
    </w:rPr>
  </w:style>
  <w:style w:type="character" w:customStyle="1" w:styleId="TextkomentraChar1406">
    <w:name w:val="Text komentára Char1406"/>
    <w:aliases w:val="Char7 Char Char1407,Text komentára Char Char Char1407,Comment Text Char Char Char1407"/>
    <w:uiPriority w:val="99"/>
    <w:semiHidden/>
    <w:rPr>
      <w:rFonts w:ascii="Courier" w:hAnsi="Courier"/>
      <w:lang w:val="x-none" w:eastAsia="cs-CZ"/>
    </w:rPr>
  </w:style>
  <w:style w:type="character" w:customStyle="1" w:styleId="TextkomentraChar1405">
    <w:name w:val="Text komentára Char1405"/>
    <w:aliases w:val="Char7 Char Char1406,Text komentára Char Char Char1406,Comment Text Char Char Char1406"/>
    <w:uiPriority w:val="99"/>
    <w:semiHidden/>
    <w:rPr>
      <w:rFonts w:ascii="Courier" w:hAnsi="Courier"/>
      <w:lang w:val="x-none" w:eastAsia="cs-CZ"/>
    </w:rPr>
  </w:style>
  <w:style w:type="character" w:customStyle="1" w:styleId="TextkomentraChar1404">
    <w:name w:val="Text komentára Char1404"/>
    <w:aliases w:val="Char7 Char Char1405,Text komentára Char Char Char1405,Comment Text Char Char Char1405"/>
    <w:uiPriority w:val="99"/>
    <w:semiHidden/>
    <w:rPr>
      <w:rFonts w:ascii="Courier" w:hAnsi="Courier"/>
      <w:lang w:val="x-none" w:eastAsia="cs-CZ"/>
    </w:rPr>
  </w:style>
  <w:style w:type="character" w:customStyle="1" w:styleId="TextkomentraChar1403">
    <w:name w:val="Text komentára Char1403"/>
    <w:aliases w:val="Char7 Char Char1404,Text komentára Char Char Char1404,Comment Text Char Char Char1404"/>
    <w:uiPriority w:val="99"/>
    <w:semiHidden/>
    <w:rPr>
      <w:rFonts w:ascii="Courier" w:hAnsi="Courier"/>
      <w:lang w:val="x-none" w:eastAsia="cs-CZ"/>
    </w:rPr>
  </w:style>
  <w:style w:type="character" w:customStyle="1" w:styleId="TextkomentraChar1402">
    <w:name w:val="Text komentára Char1402"/>
    <w:aliases w:val="Char7 Char Char1403,Text komentára Char Char Char1403,Comment Text Char Char Char1403"/>
    <w:uiPriority w:val="99"/>
    <w:semiHidden/>
    <w:rPr>
      <w:rFonts w:ascii="Courier" w:hAnsi="Courier"/>
      <w:lang w:val="x-none" w:eastAsia="cs-CZ"/>
    </w:rPr>
  </w:style>
  <w:style w:type="character" w:customStyle="1" w:styleId="TextkomentraChar1401">
    <w:name w:val="Text komentára Char1401"/>
    <w:aliases w:val="Char7 Char Char1402,Text komentára Char Char Char1402,Comment Text Char Char Char1402"/>
    <w:uiPriority w:val="99"/>
    <w:semiHidden/>
    <w:rPr>
      <w:rFonts w:ascii="Courier" w:hAnsi="Courier"/>
      <w:lang w:val="x-none" w:eastAsia="cs-CZ"/>
    </w:rPr>
  </w:style>
  <w:style w:type="character" w:customStyle="1" w:styleId="TextkomentraChar1400">
    <w:name w:val="Text komentára Char1400"/>
    <w:aliases w:val="Char7 Char Char1401,Text komentára Char Char Char1401,Comment Text Char Char Char1401"/>
    <w:uiPriority w:val="99"/>
    <w:semiHidden/>
    <w:rPr>
      <w:rFonts w:ascii="Courier" w:hAnsi="Courier"/>
      <w:lang w:val="x-none" w:eastAsia="cs-CZ"/>
    </w:rPr>
  </w:style>
  <w:style w:type="character" w:customStyle="1" w:styleId="TextkomentraChar1399">
    <w:name w:val="Text komentára Char1399"/>
    <w:aliases w:val="Char7 Char Char1400,Text komentára Char Char Char1400,Comment Text Char Char Char1400"/>
    <w:uiPriority w:val="99"/>
    <w:semiHidden/>
    <w:rPr>
      <w:rFonts w:ascii="Courier" w:hAnsi="Courier"/>
      <w:lang w:val="x-none" w:eastAsia="cs-CZ"/>
    </w:rPr>
  </w:style>
  <w:style w:type="character" w:customStyle="1" w:styleId="TextkomentraChar1398">
    <w:name w:val="Text komentára Char1398"/>
    <w:aliases w:val="Char7 Char Char1399,Text komentára Char Char Char1399,Comment Text Char Char Char1399"/>
    <w:uiPriority w:val="99"/>
    <w:semiHidden/>
    <w:rPr>
      <w:rFonts w:ascii="Courier" w:hAnsi="Courier"/>
      <w:lang w:val="x-none" w:eastAsia="cs-CZ"/>
    </w:rPr>
  </w:style>
  <w:style w:type="character" w:customStyle="1" w:styleId="TextkomentraChar1397">
    <w:name w:val="Text komentára Char1397"/>
    <w:aliases w:val="Char7 Char Char1398,Text komentára Char Char Char1398,Comment Text Char Char Char1398"/>
    <w:uiPriority w:val="99"/>
    <w:semiHidden/>
    <w:rPr>
      <w:rFonts w:ascii="Courier" w:hAnsi="Courier"/>
      <w:lang w:val="x-none" w:eastAsia="cs-CZ"/>
    </w:rPr>
  </w:style>
  <w:style w:type="character" w:customStyle="1" w:styleId="TextkomentraChar1396">
    <w:name w:val="Text komentára Char1396"/>
    <w:aliases w:val="Char7 Char Char1397,Text komentára Char Char Char1397,Comment Text Char Char Char1397"/>
    <w:uiPriority w:val="99"/>
    <w:semiHidden/>
    <w:rPr>
      <w:rFonts w:ascii="Courier" w:hAnsi="Courier"/>
      <w:lang w:val="x-none" w:eastAsia="cs-CZ"/>
    </w:rPr>
  </w:style>
  <w:style w:type="character" w:customStyle="1" w:styleId="TextkomentraChar1395">
    <w:name w:val="Text komentára Char1395"/>
    <w:aliases w:val="Char7 Char Char1396,Text komentára Char Char Char1396,Comment Text Char Char Char1396"/>
    <w:uiPriority w:val="99"/>
    <w:semiHidden/>
    <w:rPr>
      <w:rFonts w:ascii="Courier" w:hAnsi="Courier"/>
      <w:lang w:val="x-none" w:eastAsia="cs-CZ"/>
    </w:rPr>
  </w:style>
  <w:style w:type="character" w:customStyle="1" w:styleId="TextkomentraChar1394">
    <w:name w:val="Text komentára Char1394"/>
    <w:aliases w:val="Char7 Char Char1395,Text komentára Char Char Char1395,Comment Text Char Char Char1395"/>
    <w:uiPriority w:val="99"/>
    <w:semiHidden/>
    <w:rPr>
      <w:rFonts w:ascii="Courier" w:hAnsi="Courier"/>
      <w:lang w:val="x-none" w:eastAsia="cs-CZ"/>
    </w:rPr>
  </w:style>
  <w:style w:type="character" w:customStyle="1" w:styleId="TextkomentraChar1393">
    <w:name w:val="Text komentára Char1393"/>
    <w:aliases w:val="Char7 Char Char1394,Text komentára Char Char Char1394,Comment Text Char Char Char1394"/>
    <w:uiPriority w:val="99"/>
    <w:semiHidden/>
    <w:rPr>
      <w:rFonts w:ascii="Courier" w:hAnsi="Courier"/>
      <w:lang w:val="x-none" w:eastAsia="cs-CZ"/>
    </w:rPr>
  </w:style>
  <w:style w:type="character" w:customStyle="1" w:styleId="TextkomentraChar1392">
    <w:name w:val="Text komentára Char1392"/>
    <w:aliases w:val="Char7 Char Char1393,Text komentára Char Char Char1393,Comment Text Char Char Char1393"/>
    <w:uiPriority w:val="99"/>
    <w:semiHidden/>
    <w:rPr>
      <w:rFonts w:ascii="Courier" w:hAnsi="Courier"/>
      <w:lang w:val="x-none" w:eastAsia="cs-CZ"/>
    </w:rPr>
  </w:style>
  <w:style w:type="character" w:customStyle="1" w:styleId="TextkomentraChar1391">
    <w:name w:val="Text komentára Char1391"/>
    <w:aliases w:val="Char7 Char Char1392,Text komentára Char Char Char1392,Comment Text Char Char Char1392"/>
    <w:uiPriority w:val="99"/>
    <w:semiHidden/>
    <w:rPr>
      <w:rFonts w:ascii="Courier" w:hAnsi="Courier"/>
      <w:lang w:val="x-none" w:eastAsia="cs-CZ"/>
    </w:rPr>
  </w:style>
  <w:style w:type="character" w:customStyle="1" w:styleId="TextkomentraChar1390">
    <w:name w:val="Text komentára Char1390"/>
    <w:aliases w:val="Char7 Char Char1391,Text komentára Char Char Char1391,Comment Text Char Char Char1391"/>
    <w:uiPriority w:val="99"/>
    <w:semiHidden/>
    <w:rPr>
      <w:rFonts w:ascii="Courier" w:hAnsi="Courier"/>
      <w:lang w:val="x-none" w:eastAsia="cs-CZ"/>
    </w:rPr>
  </w:style>
  <w:style w:type="character" w:customStyle="1" w:styleId="TextkomentraChar1389">
    <w:name w:val="Text komentára Char1389"/>
    <w:aliases w:val="Char7 Char Char1390,Text komentára Char Char Char1390,Comment Text Char Char Char1390"/>
    <w:uiPriority w:val="99"/>
    <w:semiHidden/>
    <w:rPr>
      <w:rFonts w:ascii="Courier" w:hAnsi="Courier"/>
      <w:lang w:val="x-none" w:eastAsia="cs-CZ"/>
    </w:rPr>
  </w:style>
  <w:style w:type="character" w:customStyle="1" w:styleId="TextkomentraChar1388">
    <w:name w:val="Text komentára Char1388"/>
    <w:aliases w:val="Char7 Char Char1389,Text komentára Char Char Char1389,Comment Text Char Char Char1389"/>
    <w:uiPriority w:val="99"/>
    <w:semiHidden/>
    <w:rPr>
      <w:rFonts w:ascii="Courier" w:hAnsi="Courier"/>
      <w:lang w:val="x-none" w:eastAsia="cs-CZ"/>
    </w:rPr>
  </w:style>
  <w:style w:type="character" w:customStyle="1" w:styleId="TextkomentraChar1387">
    <w:name w:val="Text komentára Char1387"/>
    <w:aliases w:val="Char7 Char Char1388,Text komentára Char Char Char1388,Comment Text Char Char Char1388"/>
    <w:uiPriority w:val="99"/>
    <w:semiHidden/>
    <w:rPr>
      <w:rFonts w:ascii="Courier" w:hAnsi="Courier"/>
      <w:lang w:val="x-none" w:eastAsia="cs-CZ"/>
    </w:rPr>
  </w:style>
  <w:style w:type="character" w:customStyle="1" w:styleId="TextkomentraChar1386">
    <w:name w:val="Text komentára Char1386"/>
    <w:aliases w:val="Char7 Char Char1387,Text komentára Char Char Char1387,Comment Text Char Char Char1387"/>
    <w:uiPriority w:val="99"/>
    <w:semiHidden/>
    <w:rPr>
      <w:rFonts w:ascii="Courier" w:hAnsi="Courier"/>
      <w:lang w:val="x-none" w:eastAsia="cs-CZ"/>
    </w:rPr>
  </w:style>
  <w:style w:type="character" w:customStyle="1" w:styleId="TextkomentraChar1385">
    <w:name w:val="Text komentára Char1385"/>
    <w:aliases w:val="Char7 Char Char1386,Text komentára Char Char Char1386,Comment Text Char Char Char1386"/>
    <w:uiPriority w:val="99"/>
    <w:semiHidden/>
    <w:rPr>
      <w:rFonts w:ascii="Courier" w:hAnsi="Courier"/>
      <w:lang w:val="x-none" w:eastAsia="cs-CZ"/>
    </w:rPr>
  </w:style>
  <w:style w:type="character" w:customStyle="1" w:styleId="TextkomentraChar1384">
    <w:name w:val="Text komentára Char1384"/>
    <w:aliases w:val="Char7 Char Char1385,Text komentára Char Char Char1385,Comment Text Char Char Char1385"/>
    <w:uiPriority w:val="99"/>
    <w:semiHidden/>
    <w:rPr>
      <w:rFonts w:ascii="Courier" w:hAnsi="Courier"/>
      <w:lang w:val="x-none" w:eastAsia="cs-CZ"/>
    </w:rPr>
  </w:style>
  <w:style w:type="character" w:customStyle="1" w:styleId="TextkomentraChar1383">
    <w:name w:val="Text komentára Char1383"/>
    <w:aliases w:val="Char7 Char Char1384,Text komentára Char Char Char1384,Comment Text Char Char Char1384"/>
    <w:uiPriority w:val="99"/>
    <w:semiHidden/>
    <w:rPr>
      <w:rFonts w:ascii="Courier" w:hAnsi="Courier"/>
      <w:lang w:val="x-none" w:eastAsia="cs-CZ"/>
    </w:rPr>
  </w:style>
  <w:style w:type="character" w:customStyle="1" w:styleId="TextkomentraChar1382">
    <w:name w:val="Text komentára Char1382"/>
    <w:aliases w:val="Char7 Char Char1383,Text komentára Char Char Char1383,Comment Text Char Char Char1383"/>
    <w:uiPriority w:val="99"/>
    <w:semiHidden/>
    <w:rPr>
      <w:rFonts w:ascii="Courier" w:hAnsi="Courier"/>
      <w:lang w:val="x-none" w:eastAsia="cs-CZ"/>
    </w:rPr>
  </w:style>
  <w:style w:type="character" w:customStyle="1" w:styleId="TextkomentraChar1381">
    <w:name w:val="Text komentára Char1381"/>
    <w:aliases w:val="Char7 Char Char1382,Text komentára Char Char Char1382,Comment Text Char Char Char1382"/>
    <w:uiPriority w:val="99"/>
    <w:semiHidden/>
    <w:rPr>
      <w:rFonts w:ascii="Courier" w:hAnsi="Courier"/>
      <w:lang w:val="x-none" w:eastAsia="cs-CZ"/>
    </w:rPr>
  </w:style>
  <w:style w:type="character" w:customStyle="1" w:styleId="TextkomentraChar1380">
    <w:name w:val="Text komentára Char1380"/>
    <w:aliases w:val="Char7 Char Char1381,Text komentára Char Char Char1381,Comment Text Char Char Char1381"/>
    <w:uiPriority w:val="99"/>
    <w:semiHidden/>
    <w:rPr>
      <w:rFonts w:ascii="Courier" w:hAnsi="Courier"/>
      <w:lang w:val="x-none" w:eastAsia="cs-CZ"/>
    </w:rPr>
  </w:style>
  <w:style w:type="character" w:customStyle="1" w:styleId="TextkomentraChar1379">
    <w:name w:val="Text komentára Char1379"/>
    <w:aliases w:val="Char7 Char Char1380,Text komentára Char Char Char1380,Comment Text Char Char Char1380"/>
    <w:uiPriority w:val="99"/>
    <w:semiHidden/>
    <w:rPr>
      <w:rFonts w:ascii="Courier" w:hAnsi="Courier"/>
      <w:lang w:val="x-none" w:eastAsia="cs-CZ"/>
    </w:rPr>
  </w:style>
  <w:style w:type="character" w:customStyle="1" w:styleId="TextkomentraChar1378">
    <w:name w:val="Text komentára Char1378"/>
    <w:aliases w:val="Char7 Char Char1379,Text komentára Char Char Char1379,Comment Text Char Char Char1379"/>
    <w:uiPriority w:val="99"/>
    <w:semiHidden/>
    <w:rPr>
      <w:rFonts w:ascii="Courier" w:hAnsi="Courier"/>
      <w:lang w:val="x-none" w:eastAsia="cs-CZ"/>
    </w:rPr>
  </w:style>
  <w:style w:type="character" w:customStyle="1" w:styleId="TextkomentraChar1377">
    <w:name w:val="Text komentára Char1377"/>
    <w:aliases w:val="Char7 Char Char1378,Text komentára Char Char Char1378,Comment Text Char Char Char1378"/>
    <w:uiPriority w:val="99"/>
    <w:semiHidden/>
    <w:rPr>
      <w:rFonts w:ascii="Courier" w:hAnsi="Courier"/>
      <w:lang w:val="x-none" w:eastAsia="cs-CZ"/>
    </w:rPr>
  </w:style>
  <w:style w:type="character" w:customStyle="1" w:styleId="TextkomentraChar1376">
    <w:name w:val="Text komentára Char1376"/>
    <w:aliases w:val="Char7 Char Char1377,Text komentára Char Char Char1377,Comment Text Char Char Char1377"/>
    <w:uiPriority w:val="99"/>
    <w:semiHidden/>
    <w:rPr>
      <w:rFonts w:ascii="Courier" w:hAnsi="Courier"/>
      <w:lang w:val="x-none" w:eastAsia="cs-CZ"/>
    </w:rPr>
  </w:style>
  <w:style w:type="character" w:customStyle="1" w:styleId="TextkomentraChar1375">
    <w:name w:val="Text komentára Char1375"/>
    <w:aliases w:val="Char7 Char Char1376,Text komentára Char Char Char1376,Comment Text Char Char Char1376"/>
    <w:uiPriority w:val="99"/>
    <w:semiHidden/>
    <w:rPr>
      <w:rFonts w:ascii="Courier" w:hAnsi="Courier"/>
      <w:lang w:val="x-none" w:eastAsia="cs-CZ"/>
    </w:rPr>
  </w:style>
  <w:style w:type="character" w:customStyle="1" w:styleId="TextkomentraChar1374">
    <w:name w:val="Text komentára Char1374"/>
    <w:aliases w:val="Char7 Char Char1375,Text komentára Char Char Char1375,Comment Text Char Char Char1375"/>
    <w:uiPriority w:val="99"/>
    <w:semiHidden/>
    <w:rPr>
      <w:rFonts w:ascii="Courier" w:hAnsi="Courier"/>
      <w:lang w:val="x-none" w:eastAsia="cs-CZ"/>
    </w:rPr>
  </w:style>
  <w:style w:type="character" w:customStyle="1" w:styleId="TextkomentraChar1373">
    <w:name w:val="Text komentára Char1373"/>
    <w:aliases w:val="Char7 Char Char1374,Text komentára Char Char Char1374,Comment Text Char Char Char1374"/>
    <w:uiPriority w:val="99"/>
    <w:semiHidden/>
    <w:rPr>
      <w:rFonts w:ascii="Courier" w:hAnsi="Courier"/>
      <w:lang w:val="x-none" w:eastAsia="cs-CZ"/>
    </w:rPr>
  </w:style>
  <w:style w:type="character" w:customStyle="1" w:styleId="TextkomentraChar1372">
    <w:name w:val="Text komentára Char1372"/>
    <w:aliases w:val="Char7 Char Char1373,Text komentára Char Char Char1373,Comment Text Char Char Char1373"/>
    <w:uiPriority w:val="99"/>
    <w:semiHidden/>
    <w:rPr>
      <w:rFonts w:ascii="Courier" w:hAnsi="Courier"/>
      <w:lang w:val="x-none" w:eastAsia="cs-CZ"/>
    </w:rPr>
  </w:style>
  <w:style w:type="character" w:customStyle="1" w:styleId="TextkomentraChar1371">
    <w:name w:val="Text komentára Char1371"/>
    <w:aliases w:val="Char7 Char Char1372,Text komentára Char Char Char1372,Comment Text Char Char Char1372"/>
    <w:uiPriority w:val="99"/>
    <w:semiHidden/>
    <w:rPr>
      <w:rFonts w:ascii="Courier" w:hAnsi="Courier"/>
      <w:lang w:val="x-none" w:eastAsia="cs-CZ"/>
    </w:rPr>
  </w:style>
  <w:style w:type="character" w:customStyle="1" w:styleId="TextkomentraChar1370">
    <w:name w:val="Text komentára Char1370"/>
    <w:aliases w:val="Char7 Char Char1371,Text komentára Char Char Char1371,Comment Text Char Char Char1371"/>
    <w:uiPriority w:val="99"/>
    <w:semiHidden/>
    <w:rPr>
      <w:rFonts w:ascii="Courier" w:hAnsi="Courier"/>
      <w:lang w:val="x-none" w:eastAsia="cs-CZ"/>
    </w:rPr>
  </w:style>
  <w:style w:type="character" w:customStyle="1" w:styleId="TextkomentraChar1369">
    <w:name w:val="Text komentára Char1369"/>
    <w:aliases w:val="Char7 Char Char1370,Text komentára Char Char Char1370,Comment Text Char Char Char1370"/>
    <w:uiPriority w:val="99"/>
    <w:semiHidden/>
    <w:rPr>
      <w:rFonts w:ascii="Courier" w:hAnsi="Courier"/>
      <w:lang w:val="x-none" w:eastAsia="cs-CZ"/>
    </w:rPr>
  </w:style>
  <w:style w:type="character" w:customStyle="1" w:styleId="TextkomentraChar1368">
    <w:name w:val="Text komentára Char1368"/>
    <w:aliases w:val="Char7 Char Char1369,Text komentára Char Char Char1369,Comment Text Char Char Char1369"/>
    <w:uiPriority w:val="99"/>
    <w:semiHidden/>
    <w:rPr>
      <w:rFonts w:ascii="Courier" w:hAnsi="Courier"/>
      <w:lang w:val="x-none" w:eastAsia="cs-CZ"/>
    </w:rPr>
  </w:style>
  <w:style w:type="character" w:customStyle="1" w:styleId="TextkomentraChar1367">
    <w:name w:val="Text komentára Char1367"/>
    <w:aliases w:val="Char7 Char Char1368,Text komentára Char Char Char1368,Comment Text Char Char Char1368"/>
    <w:uiPriority w:val="99"/>
    <w:semiHidden/>
    <w:rPr>
      <w:rFonts w:ascii="Courier" w:hAnsi="Courier"/>
      <w:lang w:val="x-none" w:eastAsia="cs-CZ"/>
    </w:rPr>
  </w:style>
  <w:style w:type="character" w:customStyle="1" w:styleId="TextkomentraChar1366">
    <w:name w:val="Text komentára Char1366"/>
    <w:aliases w:val="Char7 Char Char1367,Text komentára Char Char Char1367,Comment Text Char Char Char1367"/>
    <w:uiPriority w:val="99"/>
    <w:semiHidden/>
    <w:rPr>
      <w:rFonts w:ascii="Courier" w:hAnsi="Courier"/>
      <w:lang w:val="x-none" w:eastAsia="cs-CZ"/>
    </w:rPr>
  </w:style>
  <w:style w:type="character" w:customStyle="1" w:styleId="TextkomentraChar1365">
    <w:name w:val="Text komentára Char1365"/>
    <w:aliases w:val="Char7 Char Char1366,Text komentára Char Char Char1366,Comment Text Char Char Char1366"/>
    <w:uiPriority w:val="99"/>
    <w:semiHidden/>
    <w:rPr>
      <w:rFonts w:ascii="Courier" w:hAnsi="Courier"/>
      <w:lang w:val="x-none" w:eastAsia="cs-CZ"/>
    </w:rPr>
  </w:style>
  <w:style w:type="character" w:customStyle="1" w:styleId="TextkomentraChar1364">
    <w:name w:val="Text komentára Char1364"/>
    <w:aliases w:val="Char7 Char Char1365,Text komentára Char Char Char1365,Comment Text Char Char Char1365"/>
    <w:uiPriority w:val="99"/>
    <w:semiHidden/>
    <w:rPr>
      <w:rFonts w:ascii="Courier" w:hAnsi="Courier"/>
      <w:lang w:val="x-none" w:eastAsia="cs-CZ"/>
    </w:rPr>
  </w:style>
  <w:style w:type="character" w:customStyle="1" w:styleId="TextkomentraChar1363">
    <w:name w:val="Text komentára Char1363"/>
    <w:aliases w:val="Char7 Char Char1364,Text komentára Char Char Char1364,Comment Text Char Char Char1364"/>
    <w:uiPriority w:val="99"/>
    <w:semiHidden/>
    <w:rPr>
      <w:rFonts w:ascii="Courier" w:hAnsi="Courier"/>
      <w:lang w:val="x-none" w:eastAsia="cs-CZ"/>
    </w:rPr>
  </w:style>
  <w:style w:type="character" w:customStyle="1" w:styleId="TextkomentraChar1362">
    <w:name w:val="Text komentára Char1362"/>
    <w:aliases w:val="Char7 Char Char1363,Text komentára Char Char Char1363,Comment Text Char Char Char1363"/>
    <w:uiPriority w:val="99"/>
    <w:semiHidden/>
    <w:rPr>
      <w:rFonts w:ascii="Courier" w:hAnsi="Courier"/>
      <w:lang w:val="x-none" w:eastAsia="cs-CZ"/>
    </w:rPr>
  </w:style>
  <w:style w:type="character" w:customStyle="1" w:styleId="TextkomentraChar1361">
    <w:name w:val="Text komentára Char1361"/>
    <w:aliases w:val="Char7 Char Char1362,Text komentára Char Char Char1362,Comment Text Char Char Char1362"/>
    <w:uiPriority w:val="99"/>
    <w:semiHidden/>
    <w:rPr>
      <w:rFonts w:ascii="Courier" w:hAnsi="Courier"/>
      <w:lang w:val="x-none" w:eastAsia="cs-CZ"/>
    </w:rPr>
  </w:style>
  <w:style w:type="character" w:customStyle="1" w:styleId="TextkomentraChar1360">
    <w:name w:val="Text komentára Char1360"/>
    <w:aliases w:val="Char7 Char Char1361,Text komentára Char Char Char1361,Comment Text Char Char Char1361"/>
    <w:uiPriority w:val="99"/>
    <w:semiHidden/>
    <w:rPr>
      <w:rFonts w:ascii="Courier" w:hAnsi="Courier"/>
      <w:lang w:val="x-none" w:eastAsia="cs-CZ"/>
    </w:rPr>
  </w:style>
  <w:style w:type="character" w:customStyle="1" w:styleId="TextkomentraChar1359">
    <w:name w:val="Text komentára Char1359"/>
    <w:aliases w:val="Char7 Char Char1360,Text komentára Char Char Char1360,Comment Text Char Char Char1360"/>
    <w:uiPriority w:val="99"/>
    <w:semiHidden/>
    <w:rPr>
      <w:rFonts w:ascii="Courier" w:hAnsi="Courier"/>
      <w:lang w:val="x-none" w:eastAsia="cs-CZ"/>
    </w:rPr>
  </w:style>
  <w:style w:type="character" w:customStyle="1" w:styleId="TextkomentraChar1358">
    <w:name w:val="Text komentára Char1358"/>
    <w:aliases w:val="Char7 Char Char1359,Text komentára Char Char Char1359,Comment Text Char Char Char1359"/>
    <w:uiPriority w:val="99"/>
    <w:semiHidden/>
    <w:rPr>
      <w:rFonts w:ascii="Courier" w:hAnsi="Courier"/>
      <w:lang w:val="x-none" w:eastAsia="cs-CZ"/>
    </w:rPr>
  </w:style>
  <w:style w:type="character" w:customStyle="1" w:styleId="TextkomentraChar1357">
    <w:name w:val="Text komentára Char1357"/>
    <w:aliases w:val="Char7 Char Char1358,Text komentára Char Char Char1358,Comment Text Char Char Char1358"/>
    <w:uiPriority w:val="99"/>
    <w:semiHidden/>
    <w:rPr>
      <w:rFonts w:ascii="Courier" w:hAnsi="Courier"/>
      <w:lang w:val="x-none" w:eastAsia="cs-CZ"/>
    </w:rPr>
  </w:style>
  <w:style w:type="character" w:customStyle="1" w:styleId="TextkomentraChar1356">
    <w:name w:val="Text komentára Char1356"/>
    <w:aliases w:val="Char7 Char Char1357,Text komentára Char Char Char1357,Comment Text Char Char Char1357"/>
    <w:uiPriority w:val="99"/>
    <w:semiHidden/>
    <w:rPr>
      <w:rFonts w:ascii="Courier" w:hAnsi="Courier"/>
      <w:lang w:val="x-none" w:eastAsia="cs-CZ"/>
    </w:rPr>
  </w:style>
  <w:style w:type="character" w:customStyle="1" w:styleId="TextkomentraChar1355">
    <w:name w:val="Text komentára Char1355"/>
    <w:aliases w:val="Char7 Char Char1356,Text komentára Char Char Char1356,Comment Text Char Char Char1356"/>
    <w:uiPriority w:val="99"/>
    <w:semiHidden/>
    <w:rPr>
      <w:rFonts w:ascii="Courier" w:hAnsi="Courier"/>
      <w:lang w:val="x-none" w:eastAsia="cs-CZ"/>
    </w:rPr>
  </w:style>
  <w:style w:type="character" w:customStyle="1" w:styleId="TextkomentraChar1354">
    <w:name w:val="Text komentára Char1354"/>
    <w:aliases w:val="Char7 Char Char1355,Text komentára Char Char Char1355,Comment Text Char Char Char1355"/>
    <w:uiPriority w:val="99"/>
    <w:semiHidden/>
    <w:rPr>
      <w:rFonts w:ascii="Courier" w:hAnsi="Courier"/>
      <w:lang w:val="x-none" w:eastAsia="cs-CZ"/>
    </w:rPr>
  </w:style>
  <w:style w:type="character" w:customStyle="1" w:styleId="TextkomentraChar1353">
    <w:name w:val="Text komentára Char1353"/>
    <w:aliases w:val="Char7 Char Char1354,Text komentára Char Char Char1354,Comment Text Char Char Char1354"/>
    <w:uiPriority w:val="99"/>
    <w:semiHidden/>
    <w:rPr>
      <w:rFonts w:ascii="Courier" w:hAnsi="Courier"/>
      <w:lang w:val="x-none" w:eastAsia="cs-CZ"/>
    </w:rPr>
  </w:style>
  <w:style w:type="character" w:customStyle="1" w:styleId="TextkomentraChar1352">
    <w:name w:val="Text komentára Char1352"/>
    <w:aliases w:val="Char7 Char Char1353,Text komentára Char Char Char1353,Comment Text Char Char Char1353"/>
    <w:uiPriority w:val="99"/>
    <w:semiHidden/>
    <w:rPr>
      <w:rFonts w:ascii="Courier" w:hAnsi="Courier"/>
      <w:lang w:val="x-none" w:eastAsia="cs-CZ"/>
    </w:rPr>
  </w:style>
  <w:style w:type="character" w:customStyle="1" w:styleId="TextkomentraChar1351">
    <w:name w:val="Text komentára Char1351"/>
    <w:aliases w:val="Char7 Char Char1352,Text komentára Char Char Char1352,Comment Text Char Char Char1352"/>
    <w:uiPriority w:val="99"/>
    <w:semiHidden/>
    <w:rPr>
      <w:rFonts w:ascii="Courier" w:hAnsi="Courier"/>
      <w:lang w:val="x-none" w:eastAsia="cs-CZ"/>
    </w:rPr>
  </w:style>
  <w:style w:type="character" w:customStyle="1" w:styleId="TextkomentraChar1350">
    <w:name w:val="Text komentára Char1350"/>
    <w:aliases w:val="Char7 Char Char1351,Text komentára Char Char Char1351,Comment Text Char Char Char1351"/>
    <w:uiPriority w:val="99"/>
    <w:semiHidden/>
    <w:rPr>
      <w:rFonts w:ascii="Courier" w:hAnsi="Courier"/>
      <w:lang w:val="x-none" w:eastAsia="cs-CZ"/>
    </w:rPr>
  </w:style>
  <w:style w:type="character" w:customStyle="1" w:styleId="TextkomentraChar1349">
    <w:name w:val="Text komentára Char1349"/>
    <w:aliases w:val="Char7 Char Char1350,Text komentára Char Char Char1350,Comment Text Char Char Char1350"/>
    <w:uiPriority w:val="99"/>
    <w:semiHidden/>
    <w:rPr>
      <w:rFonts w:ascii="Courier" w:hAnsi="Courier"/>
      <w:lang w:val="x-none" w:eastAsia="cs-CZ"/>
    </w:rPr>
  </w:style>
  <w:style w:type="character" w:customStyle="1" w:styleId="TextkomentraChar1348">
    <w:name w:val="Text komentára Char1348"/>
    <w:aliases w:val="Char7 Char Char1349,Text komentára Char Char Char1349,Comment Text Char Char Char1349"/>
    <w:uiPriority w:val="99"/>
    <w:semiHidden/>
    <w:rPr>
      <w:rFonts w:ascii="Courier" w:hAnsi="Courier"/>
      <w:lang w:val="x-none" w:eastAsia="cs-CZ"/>
    </w:rPr>
  </w:style>
  <w:style w:type="character" w:customStyle="1" w:styleId="TextkomentraChar1347">
    <w:name w:val="Text komentára Char1347"/>
    <w:aliases w:val="Char7 Char Char1348,Text komentára Char Char Char1348,Comment Text Char Char Char1348"/>
    <w:uiPriority w:val="99"/>
    <w:semiHidden/>
    <w:rPr>
      <w:rFonts w:ascii="Courier" w:hAnsi="Courier"/>
      <w:lang w:val="x-none" w:eastAsia="cs-CZ"/>
    </w:rPr>
  </w:style>
  <w:style w:type="character" w:customStyle="1" w:styleId="TextkomentraChar1346">
    <w:name w:val="Text komentára Char1346"/>
    <w:aliases w:val="Char7 Char Char1347,Text komentára Char Char Char1347,Comment Text Char Char Char1347"/>
    <w:uiPriority w:val="99"/>
    <w:semiHidden/>
    <w:rPr>
      <w:rFonts w:ascii="Courier" w:hAnsi="Courier"/>
      <w:lang w:val="x-none" w:eastAsia="cs-CZ"/>
    </w:rPr>
  </w:style>
  <w:style w:type="character" w:customStyle="1" w:styleId="TextkomentraChar1345">
    <w:name w:val="Text komentára Char1345"/>
    <w:aliases w:val="Char7 Char Char1346,Text komentára Char Char Char1346,Comment Text Char Char Char1346"/>
    <w:uiPriority w:val="99"/>
    <w:semiHidden/>
    <w:rPr>
      <w:rFonts w:ascii="Courier" w:hAnsi="Courier"/>
      <w:lang w:val="x-none" w:eastAsia="cs-CZ"/>
    </w:rPr>
  </w:style>
  <w:style w:type="character" w:customStyle="1" w:styleId="TextkomentraChar1344">
    <w:name w:val="Text komentára Char1344"/>
    <w:aliases w:val="Char7 Char Char1345,Text komentára Char Char Char1345,Comment Text Char Char Char1345"/>
    <w:uiPriority w:val="99"/>
    <w:semiHidden/>
    <w:rPr>
      <w:rFonts w:ascii="Courier" w:hAnsi="Courier"/>
      <w:lang w:val="x-none" w:eastAsia="cs-CZ"/>
    </w:rPr>
  </w:style>
  <w:style w:type="character" w:customStyle="1" w:styleId="TextkomentraChar1343">
    <w:name w:val="Text komentára Char1343"/>
    <w:aliases w:val="Char7 Char Char1344,Text komentára Char Char Char1344,Comment Text Char Char Char1344"/>
    <w:uiPriority w:val="99"/>
    <w:semiHidden/>
    <w:rPr>
      <w:rFonts w:ascii="Courier" w:hAnsi="Courier"/>
      <w:lang w:val="x-none" w:eastAsia="cs-CZ"/>
    </w:rPr>
  </w:style>
  <w:style w:type="character" w:customStyle="1" w:styleId="TextkomentraChar1342">
    <w:name w:val="Text komentára Char1342"/>
    <w:aliases w:val="Char7 Char Char1343,Text komentára Char Char Char1343,Comment Text Char Char Char1343"/>
    <w:uiPriority w:val="99"/>
    <w:semiHidden/>
    <w:rPr>
      <w:rFonts w:ascii="Courier" w:hAnsi="Courier"/>
      <w:lang w:val="x-none" w:eastAsia="cs-CZ"/>
    </w:rPr>
  </w:style>
  <w:style w:type="character" w:customStyle="1" w:styleId="TextkomentraChar1341">
    <w:name w:val="Text komentára Char1341"/>
    <w:aliases w:val="Char7 Char Char1342,Text komentára Char Char Char1342,Comment Text Char Char Char1342"/>
    <w:uiPriority w:val="99"/>
    <w:semiHidden/>
    <w:rPr>
      <w:rFonts w:ascii="Courier" w:hAnsi="Courier"/>
      <w:lang w:val="x-none" w:eastAsia="cs-CZ"/>
    </w:rPr>
  </w:style>
  <w:style w:type="character" w:customStyle="1" w:styleId="TextkomentraChar1340">
    <w:name w:val="Text komentára Char1340"/>
    <w:aliases w:val="Char7 Char Char1341,Text komentára Char Char Char1341,Comment Text Char Char Char1341"/>
    <w:uiPriority w:val="99"/>
    <w:semiHidden/>
    <w:rPr>
      <w:rFonts w:ascii="Courier" w:hAnsi="Courier"/>
      <w:lang w:val="x-none" w:eastAsia="cs-CZ"/>
    </w:rPr>
  </w:style>
  <w:style w:type="character" w:customStyle="1" w:styleId="TextkomentraChar1339">
    <w:name w:val="Text komentára Char1339"/>
    <w:aliases w:val="Char7 Char Char1340,Text komentára Char Char Char1340,Comment Text Char Char Char1340"/>
    <w:uiPriority w:val="99"/>
    <w:semiHidden/>
    <w:rPr>
      <w:rFonts w:ascii="Courier" w:hAnsi="Courier"/>
      <w:lang w:val="x-none" w:eastAsia="cs-CZ"/>
    </w:rPr>
  </w:style>
  <w:style w:type="character" w:customStyle="1" w:styleId="TextkomentraChar1338">
    <w:name w:val="Text komentára Char1338"/>
    <w:aliases w:val="Char7 Char Char1339,Text komentára Char Char Char1339,Comment Text Char Char Char1339"/>
    <w:uiPriority w:val="99"/>
    <w:semiHidden/>
    <w:rPr>
      <w:rFonts w:ascii="Courier" w:hAnsi="Courier"/>
      <w:lang w:val="x-none" w:eastAsia="cs-CZ"/>
    </w:rPr>
  </w:style>
  <w:style w:type="character" w:customStyle="1" w:styleId="TextkomentraChar1337">
    <w:name w:val="Text komentára Char1337"/>
    <w:aliases w:val="Char7 Char Char1338,Text komentára Char Char Char1338,Comment Text Char Char Char1338"/>
    <w:uiPriority w:val="99"/>
    <w:semiHidden/>
    <w:rPr>
      <w:rFonts w:ascii="Courier" w:hAnsi="Courier"/>
      <w:lang w:val="x-none" w:eastAsia="cs-CZ"/>
    </w:rPr>
  </w:style>
  <w:style w:type="character" w:customStyle="1" w:styleId="TextkomentraChar1336">
    <w:name w:val="Text komentára Char1336"/>
    <w:aliases w:val="Char7 Char Char1337,Text komentára Char Char Char1337,Comment Text Char Char Char1337"/>
    <w:uiPriority w:val="99"/>
    <w:semiHidden/>
    <w:rPr>
      <w:rFonts w:ascii="Courier" w:hAnsi="Courier"/>
      <w:lang w:val="x-none" w:eastAsia="cs-CZ"/>
    </w:rPr>
  </w:style>
  <w:style w:type="character" w:customStyle="1" w:styleId="TextkomentraChar1335">
    <w:name w:val="Text komentára Char1335"/>
    <w:aliases w:val="Char7 Char Char1336,Text komentára Char Char Char1336,Comment Text Char Char Char1336"/>
    <w:uiPriority w:val="99"/>
    <w:semiHidden/>
    <w:rPr>
      <w:rFonts w:ascii="Courier" w:hAnsi="Courier"/>
      <w:lang w:val="x-none" w:eastAsia="cs-CZ"/>
    </w:rPr>
  </w:style>
  <w:style w:type="character" w:customStyle="1" w:styleId="TextkomentraChar1334">
    <w:name w:val="Text komentára Char1334"/>
    <w:aliases w:val="Char7 Char Char1335,Text komentára Char Char Char1335,Comment Text Char Char Char1335"/>
    <w:uiPriority w:val="99"/>
    <w:semiHidden/>
    <w:rPr>
      <w:rFonts w:ascii="Courier" w:hAnsi="Courier"/>
      <w:lang w:val="x-none" w:eastAsia="cs-CZ"/>
    </w:rPr>
  </w:style>
  <w:style w:type="character" w:customStyle="1" w:styleId="TextkomentraChar1333">
    <w:name w:val="Text komentára Char1333"/>
    <w:aliases w:val="Char7 Char Char1334,Text komentára Char Char Char1334,Comment Text Char Char Char1334"/>
    <w:uiPriority w:val="99"/>
    <w:semiHidden/>
    <w:rPr>
      <w:rFonts w:ascii="Courier" w:hAnsi="Courier"/>
      <w:lang w:val="x-none" w:eastAsia="cs-CZ"/>
    </w:rPr>
  </w:style>
  <w:style w:type="character" w:customStyle="1" w:styleId="TextkomentraChar1332">
    <w:name w:val="Text komentára Char1332"/>
    <w:aliases w:val="Char7 Char Char1333,Text komentára Char Char Char1333,Comment Text Char Char Char1333"/>
    <w:uiPriority w:val="99"/>
    <w:semiHidden/>
    <w:rPr>
      <w:rFonts w:ascii="Courier" w:hAnsi="Courier"/>
      <w:lang w:val="x-none" w:eastAsia="cs-CZ"/>
    </w:rPr>
  </w:style>
  <w:style w:type="character" w:customStyle="1" w:styleId="TextkomentraChar1331">
    <w:name w:val="Text komentára Char1331"/>
    <w:aliases w:val="Char7 Char Char1332,Text komentára Char Char Char1332,Comment Text Char Char Char1332"/>
    <w:uiPriority w:val="99"/>
    <w:semiHidden/>
    <w:rPr>
      <w:rFonts w:ascii="Courier" w:hAnsi="Courier"/>
      <w:lang w:val="x-none" w:eastAsia="cs-CZ"/>
    </w:rPr>
  </w:style>
  <w:style w:type="character" w:customStyle="1" w:styleId="TextkomentraChar1330">
    <w:name w:val="Text komentára Char1330"/>
    <w:aliases w:val="Char7 Char Char1331,Text komentára Char Char Char1331,Comment Text Char Char Char1331"/>
    <w:uiPriority w:val="99"/>
    <w:semiHidden/>
    <w:rPr>
      <w:rFonts w:ascii="Courier" w:hAnsi="Courier"/>
      <w:lang w:val="x-none" w:eastAsia="cs-CZ"/>
    </w:rPr>
  </w:style>
  <w:style w:type="character" w:customStyle="1" w:styleId="TextkomentraChar1329">
    <w:name w:val="Text komentára Char1329"/>
    <w:aliases w:val="Char7 Char Char1330,Text komentára Char Char Char1330,Comment Text Char Char Char1330"/>
    <w:uiPriority w:val="99"/>
    <w:semiHidden/>
    <w:rPr>
      <w:rFonts w:ascii="Courier" w:hAnsi="Courier"/>
      <w:lang w:val="x-none" w:eastAsia="cs-CZ"/>
    </w:rPr>
  </w:style>
  <w:style w:type="character" w:customStyle="1" w:styleId="TextkomentraChar1328">
    <w:name w:val="Text komentára Char1328"/>
    <w:aliases w:val="Char7 Char Char1329,Text komentára Char Char Char1329,Comment Text Char Char Char1329"/>
    <w:uiPriority w:val="99"/>
    <w:semiHidden/>
    <w:rPr>
      <w:rFonts w:ascii="Courier" w:hAnsi="Courier"/>
      <w:lang w:val="x-none" w:eastAsia="cs-CZ"/>
    </w:rPr>
  </w:style>
  <w:style w:type="character" w:customStyle="1" w:styleId="TextkomentraChar1327">
    <w:name w:val="Text komentára Char1327"/>
    <w:aliases w:val="Char7 Char Char1328,Text komentára Char Char Char1328,Comment Text Char Char Char1328"/>
    <w:uiPriority w:val="99"/>
    <w:semiHidden/>
    <w:rPr>
      <w:rFonts w:ascii="Courier" w:hAnsi="Courier"/>
      <w:lang w:val="x-none" w:eastAsia="cs-CZ"/>
    </w:rPr>
  </w:style>
  <w:style w:type="character" w:customStyle="1" w:styleId="TextkomentraChar1326">
    <w:name w:val="Text komentára Char1326"/>
    <w:aliases w:val="Char7 Char Char1327,Text komentára Char Char Char1327,Comment Text Char Char Char1327"/>
    <w:uiPriority w:val="99"/>
    <w:semiHidden/>
    <w:rPr>
      <w:rFonts w:ascii="Courier" w:hAnsi="Courier"/>
      <w:lang w:val="x-none" w:eastAsia="cs-CZ"/>
    </w:rPr>
  </w:style>
  <w:style w:type="character" w:customStyle="1" w:styleId="TextkomentraChar1325">
    <w:name w:val="Text komentára Char1325"/>
    <w:aliases w:val="Char7 Char Char1326,Text komentára Char Char Char1326,Comment Text Char Char Char1326"/>
    <w:uiPriority w:val="99"/>
    <w:semiHidden/>
    <w:rPr>
      <w:rFonts w:ascii="Courier" w:hAnsi="Courier"/>
      <w:lang w:val="x-none" w:eastAsia="cs-CZ"/>
    </w:rPr>
  </w:style>
  <w:style w:type="character" w:customStyle="1" w:styleId="TextkomentraChar1324">
    <w:name w:val="Text komentára Char1324"/>
    <w:aliases w:val="Char7 Char Char1325,Text komentára Char Char Char1325,Comment Text Char Char Char1325"/>
    <w:uiPriority w:val="99"/>
    <w:semiHidden/>
    <w:rPr>
      <w:rFonts w:ascii="Courier" w:hAnsi="Courier"/>
      <w:lang w:val="x-none" w:eastAsia="cs-CZ"/>
    </w:rPr>
  </w:style>
  <w:style w:type="character" w:customStyle="1" w:styleId="TextkomentraChar1323">
    <w:name w:val="Text komentára Char1323"/>
    <w:aliases w:val="Char7 Char Char1324,Text komentára Char Char Char1324,Comment Text Char Char Char1324"/>
    <w:uiPriority w:val="99"/>
    <w:semiHidden/>
    <w:rPr>
      <w:rFonts w:ascii="Courier" w:hAnsi="Courier"/>
      <w:lang w:val="x-none" w:eastAsia="cs-CZ"/>
    </w:rPr>
  </w:style>
  <w:style w:type="character" w:customStyle="1" w:styleId="TextkomentraChar1322">
    <w:name w:val="Text komentára Char1322"/>
    <w:aliases w:val="Char7 Char Char1323,Text komentára Char Char Char1323,Comment Text Char Char Char1323"/>
    <w:uiPriority w:val="99"/>
    <w:semiHidden/>
    <w:rPr>
      <w:rFonts w:ascii="Courier" w:hAnsi="Courier"/>
      <w:lang w:val="x-none" w:eastAsia="cs-CZ"/>
    </w:rPr>
  </w:style>
  <w:style w:type="character" w:customStyle="1" w:styleId="TextkomentraChar1321">
    <w:name w:val="Text komentára Char1321"/>
    <w:aliases w:val="Char7 Char Char1322,Text komentára Char Char Char1322,Comment Text Char Char Char1322"/>
    <w:uiPriority w:val="99"/>
    <w:semiHidden/>
    <w:rPr>
      <w:rFonts w:ascii="Courier" w:hAnsi="Courier"/>
      <w:lang w:val="x-none" w:eastAsia="cs-CZ"/>
    </w:rPr>
  </w:style>
  <w:style w:type="character" w:customStyle="1" w:styleId="TextkomentraChar1320">
    <w:name w:val="Text komentára Char1320"/>
    <w:aliases w:val="Char7 Char Char1321,Text komentára Char Char Char1321,Comment Text Char Char Char1321"/>
    <w:uiPriority w:val="99"/>
    <w:semiHidden/>
    <w:rPr>
      <w:rFonts w:ascii="Courier" w:hAnsi="Courier"/>
      <w:lang w:val="x-none" w:eastAsia="cs-CZ"/>
    </w:rPr>
  </w:style>
  <w:style w:type="character" w:customStyle="1" w:styleId="TextkomentraChar1319">
    <w:name w:val="Text komentára Char1319"/>
    <w:aliases w:val="Char7 Char Char1320,Text komentára Char Char Char1320,Comment Text Char Char Char1320"/>
    <w:uiPriority w:val="99"/>
    <w:semiHidden/>
    <w:rPr>
      <w:rFonts w:ascii="Courier" w:hAnsi="Courier"/>
      <w:lang w:val="x-none" w:eastAsia="cs-CZ"/>
    </w:rPr>
  </w:style>
  <w:style w:type="character" w:customStyle="1" w:styleId="TextkomentraChar1318">
    <w:name w:val="Text komentára Char1318"/>
    <w:aliases w:val="Char7 Char Char1319,Text komentára Char Char Char1319,Comment Text Char Char Char1319"/>
    <w:uiPriority w:val="99"/>
    <w:semiHidden/>
    <w:rPr>
      <w:rFonts w:ascii="Courier" w:hAnsi="Courier"/>
      <w:lang w:val="x-none" w:eastAsia="cs-CZ"/>
    </w:rPr>
  </w:style>
  <w:style w:type="character" w:customStyle="1" w:styleId="TextkomentraChar1317">
    <w:name w:val="Text komentára Char1317"/>
    <w:aliases w:val="Char7 Char Char1318,Text komentára Char Char Char1318,Comment Text Char Char Char1318"/>
    <w:uiPriority w:val="99"/>
    <w:semiHidden/>
    <w:rPr>
      <w:rFonts w:ascii="Courier" w:hAnsi="Courier"/>
      <w:lang w:val="x-none" w:eastAsia="cs-CZ"/>
    </w:rPr>
  </w:style>
  <w:style w:type="character" w:customStyle="1" w:styleId="TextkomentraChar1316">
    <w:name w:val="Text komentára Char1316"/>
    <w:aliases w:val="Char7 Char Char1317,Text komentára Char Char Char1317,Comment Text Char Char Char1317"/>
    <w:uiPriority w:val="99"/>
    <w:semiHidden/>
    <w:rPr>
      <w:rFonts w:ascii="Courier" w:hAnsi="Courier"/>
      <w:lang w:val="x-none" w:eastAsia="cs-CZ"/>
    </w:rPr>
  </w:style>
  <w:style w:type="character" w:customStyle="1" w:styleId="TextkomentraChar1315">
    <w:name w:val="Text komentára Char1315"/>
    <w:aliases w:val="Char7 Char Char1316,Text komentára Char Char Char1316,Comment Text Char Char Char1316"/>
    <w:uiPriority w:val="99"/>
    <w:semiHidden/>
    <w:rPr>
      <w:rFonts w:ascii="Courier" w:hAnsi="Courier"/>
      <w:lang w:val="x-none" w:eastAsia="cs-CZ"/>
    </w:rPr>
  </w:style>
  <w:style w:type="character" w:customStyle="1" w:styleId="TextkomentraChar1314">
    <w:name w:val="Text komentára Char1314"/>
    <w:aliases w:val="Char7 Char Char1315,Text komentára Char Char Char1315,Comment Text Char Char Char1315"/>
    <w:uiPriority w:val="99"/>
    <w:semiHidden/>
    <w:rPr>
      <w:rFonts w:ascii="Courier" w:hAnsi="Courier"/>
      <w:lang w:val="x-none" w:eastAsia="cs-CZ"/>
    </w:rPr>
  </w:style>
  <w:style w:type="character" w:customStyle="1" w:styleId="TextkomentraChar1313">
    <w:name w:val="Text komentára Char1313"/>
    <w:aliases w:val="Char7 Char Char1314,Text komentára Char Char Char1314,Comment Text Char Char Char1314"/>
    <w:uiPriority w:val="99"/>
    <w:semiHidden/>
    <w:rPr>
      <w:rFonts w:ascii="Courier" w:hAnsi="Courier"/>
      <w:lang w:val="x-none" w:eastAsia="cs-CZ"/>
    </w:rPr>
  </w:style>
  <w:style w:type="character" w:customStyle="1" w:styleId="TextkomentraChar1312">
    <w:name w:val="Text komentára Char1312"/>
    <w:aliases w:val="Char7 Char Char1313,Text komentára Char Char Char1313,Comment Text Char Char Char1313"/>
    <w:uiPriority w:val="99"/>
    <w:semiHidden/>
    <w:rPr>
      <w:rFonts w:ascii="Courier" w:hAnsi="Courier"/>
      <w:lang w:val="x-none" w:eastAsia="cs-CZ"/>
    </w:rPr>
  </w:style>
  <w:style w:type="character" w:customStyle="1" w:styleId="TextkomentraChar1311">
    <w:name w:val="Text komentára Char1311"/>
    <w:aliases w:val="Char7 Char Char1312,Text komentára Char Char Char1312,Comment Text Char Char Char1312"/>
    <w:uiPriority w:val="99"/>
    <w:semiHidden/>
    <w:rPr>
      <w:rFonts w:ascii="Courier" w:hAnsi="Courier"/>
      <w:lang w:val="x-none" w:eastAsia="cs-CZ"/>
    </w:rPr>
  </w:style>
  <w:style w:type="character" w:customStyle="1" w:styleId="TextkomentraChar1310">
    <w:name w:val="Text komentára Char1310"/>
    <w:aliases w:val="Char7 Char Char1311,Text komentára Char Char Char1311,Comment Text Char Char Char1311"/>
    <w:uiPriority w:val="99"/>
    <w:semiHidden/>
    <w:rPr>
      <w:rFonts w:ascii="Courier" w:hAnsi="Courier"/>
      <w:lang w:val="x-none" w:eastAsia="cs-CZ"/>
    </w:rPr>
  </w:style>
  <w:style w:type="character" w:customStyle="1" w:styleId="TextkomentraChar1309">
    <w:name w:val="Text komentára Char1309"/>
    <w:aliases w:val="Char7 Char Char1310,Text komentára Char Char Char1310,Comment Text Char Char Char1310"/>
    <w:uiPriority w:val="99"/>
    <w:semiHidden/>
    <w:rPr>
      <w:rFonts w:ascii="Courier" w:hAnsi="Courier"/>
      <w:lang w:val="x-none" w:eastAsia="cs-CZ"/>
    </w:rPr>
  </w:style>
  <w:style w:type="character" w:customStyle="1" w:styleId="TextkomentraChar1308">
    <w:name w:val="Text komentára Char1308"/>
    <w:aliases w:val="Char7 Char Char1309,Text komentára Char Char Char1309,Comment Text Char Char Char1309"/>
    <w:uiPriority w:val="99"/>
    <w:semiHidden/>
    <w:rPr>
      <w:rFonts w:ascii="Courier" w:hAnsi="Courier"/>
      <w:lang w:val="x-none" w:eastAsia="cs-CZ"/>
    </w:rPr>
  </w:style>
  <w:style w:type="character" w:customStyle="1" w:styleId="TextkomentraChar1307">
    <w:name w:val="Text komentára Char1307"/>
    <w:aliases w:val="Char7 Char Char1308,Text komentára Char Char Char1308,Comment Text Char Char Char1308"/>
    <w:uiPriority w:val="99"/>
    <w:semiHidden/>
    <w:rPr>
      <w:rFonts w:ascii="Courier" w:hAnsi="Courier"/>
      <w:lang w:val="x-none" w:eastAsia="cs-CZ"/>
    </w:rPr>
  </w:style>
  <w:style w:type="character" w:customStyle="1" w:styleId="TextkomentraChar1306">
    <w:name w:val="Text komentára Char1306"/>
    <w:aliases w:val="Char7 Char Char1307,Text komentára Char Char Char1307,Comment Text Char Char Char1307"/>
    <w:uiPriority w:val="99"/>
    <w:semiHidden/>
    <w:rPr>
      <w:rFonts w:ascii="Courier" w:hAnsi="Courier"/>
      <w:lang w:val="x-none" w:eastAsia="cs-CZ"/>
    </w:rPr>
  </w:style>
  <w:style w:type="character" w:customStyle="1" w:styleId="TextkomentraChar1305">
    <w:name w:val="Text komentára Char1305"/>
    <w:aliases w:val="Char7 Char Char1306,Text komentára Char Char Char1306,Comment Text Char Char Char1306"/>
    <w:uiPriority w:val="99"/>
    <w:semiHidden/>
    <w:rPr>
      <w:rFonts w:ascii="Courier" w:hAnsi="Courier"/>
      <w:lang w:val="x-none" w:eastAsia="cs-CZ"/>
    </w:rPr>
  </w:style>
  <w:style w:type="character" w:customStyle="1" w:styleId="TextkomentraChar1304">
    <w:name w:val="Text komentára Char1304"/>
    <w:aliases w:val="Char7 Char Char1305,Text komentára Char Char Char1305,Comment Text Char Char Char1305"/>
    <w:uiPriority w:val="99"/>
    <w:semiHidden/>
    <w:rPr>
      <w:rFonts w:ascii="Courier" w:hAnsi="Courier"/>
      <w:lang w:val="x-none" w:eastAsia="cs-CZ"/>
    </w:rPr>
  </w:style>
  <w:style w:type="character" w:customStyle="1" w:styleId="TextkomentraChar1303">
    <w:name w:val="Text komentára Char1303"/>
    <w:aliases w:val="Char7 Char Char1304,Text komentára Char Char Char1304,Comment Text Char Char Char1304"/>
    <w:uiPriority w:val="99"/>
    <w:semiHidden/>
    <w:rPr>
      <w:rFonts w:ascii="Courier" w:hAnsi="Courier"/>
      <w:lang w:val="x-none" w:eastAsia="cs-CZ"/>
    </w:rPr>
  </w:style>
  <w:style w:type="character" w:customStyle="1" w:styleId="TextkomentraChar1302">
    <w:name w:val="Text komentára Char1302"/>
    <w:aliases w:val="Char7 Char Char1303,Text komentára Char Char Char1303,Comment Text Char Char Char1303"/>
    <w:uiPriority w:val="99"/>
    <w:semiHidden/>
    <w:rPr>
      <w:rFonts w:ascii="Courier" w:hAnsi="Courier"/>
      <w:lang w:val="x-none" w:eastAsia="cs-CZ"/>
    </w:rPr>
  </w:style>
  <w:style w:type="character" w:customStyle="1" w:styleId="TextkomentraChar1301">
    <w:name w:val="Text komentára Char1301"/>
    <w:aliases w:val="Char7 Char Char1302,Text komentára Char Char Char1302,Comment Text Char Char Char1302"/>
    <w:uiPriority w:val="99"/>
    <w:semiHidden/>
    <w:rPr>
      <w:rFonts w:ascii="Courier" w:hAnsi="Courier"/>
      <w:lang w:val="x-none" w:eastAsia="cs-CZ"/>
    </w:rPr>
  </w:style>
  <w:style w:type="character" w:customStyle="1" w:styleId="TextkomentraChar1300">
    <w:name w:val="Text komentára Char1300"/>
    <w:aliases w:val="Char7 Char Char1301,Text komentára Char Char Char1301,Comment Text Char Char Char1301"/>
    <w:uiPriority w:val="99"/>
    <w:semiHidden/>
    <w:rPr>
      <w:rFonts w:ascii="Courier" w:hAnsi="Courier"/>
      <w:lang w:val="x-none" w:eastAsia="cs-CZ"/>
    </w:rPr>
  </w:style>
  <w:style w:type="character" w:customStyle="1" w:styleId="TextkomentraChar1299">
    <w:name w:val="Text komentára Char1299"/>
    <w:aliases w:val="Char7 Char Char1300,Text komentára Char Char Char1300,Comment Text Char Char Char1300"/>
    <w:uiPriority w:val="99"/>
    <w:semiHidden/>
    <w:rPr>
      <w:rFonts w:ascii="Courier" w:hAnsi="Courier"/>
      <w:lang w:val="x-none" w:eastAsia="cs-CZ"/>
    </w:rPr>
  </w:style>
  <w:style w:type="character" w:customStyle="1" w:styleId="TextkomentraChar1298">
    <w:name w:val="Text komentára Char1298"/>
    <w:aliases w:val="Char7 Char Char1299,Text komentára Char Char Char1299,Comment Text Char Char Char1299"/>
    <w:uiPriority w:val="99"/>
    <w:semiHidden/>
    <w:rPr>
      <w:rFonts w:ascii="Courier" w:hAnsi="Courier"/>
      <w:lang w:val="x-none" w:eastAsia="cs-CZ"/>
    </w:rPr>
  </w:style>
  <w:style w:type="character" w:customStyle="1" w:styleId="TextkomentraChar1297">
    <w:name w:val="Text komentára Char1297"/>
    <w:aliases w:val="Char7 Char Char1298,Text komentára Char Char Char1298,Comment Text Char Char Char1298"/>
    <w:uiPriority w:val="99"/>
    <w:semiHidden/>
    <w:rPr>
      <w:rFonts w:ascii="Courier" w:hAnsi="Courier"/>
      <w:lang w:val="x-none" w:eastAsia="cs-CZ"/>
    </w:rPr>
  </w:style>
  <w:style w:type="character" w:customStyle="1" w:styleId="TextkomentraChar1296">
    <w:name w:val="Text komentára Char1296"/>
    <w:aliases w:val="Char7 Char Char1297,Text komentára Char Char Char1297,Comment Text Char Char Char1297"/>
    <w:uiPriority w:val="99"/>
    <w:semiHidden/>
    <w:rPr>
      <w:rFonts w:ascii="Courier" w:hAnsi="Courier"/>
      <w:lang w:val="x-none" w:eastAsia="cs-CZ"/>
    </w:rPr>
  </w:style>
  <w:style w:type="character" w:customStyle="1" w:styleId="TextkomentraChar1295">
    <w:name w:val="Text komentára Char1295"/>
    <w:aliases w:val="Char7 Char Char1296,Text komentára Char Char Char1296,Comment Text Char Char Char1296"/>
    <w:uiPriority w:val="99"/>
    <w:semiHidden/>
    <w:rPr>
      <w:rFonts w:ascii="Courier" w:hAnsi="Courier"/>
      <w:lang w:val="x-none" w:eastAsia="cs-CZ"/>
    </w:rPr>
  </w:style>
  <w:style w:type="character" w:customStyle="1" w:styleId="TextkomentraChar1294">
    <w:name w:val="Text komentára Char1294"/>
    <w:aliases w:val="Char7 Char Char1295,Text komentára Char Char Char1295,Comment Text Char Char Char1295"/>
    <w:uiPriority w:val="99"/>
    <w:semiHidden/>
    <w:rPr>
      <w:rFonts w:ascii="Courier" w:hAnsi="Courier"/>
      <w:lang w:val="x-none" w:eastAsia="cs-CZ"/>
    </w:rPr>
  </w:style>
  <w:style w:type="character" w:customStyle="1" w:styleId="TextkomentraChar1293">
    <w:name w:val="Text komentára Char1293"/>
    <w:aliases w:val="Char7 Char Char1294,Text komentára Char Char Char1294,Comment Text Char Char Char1294"/>
    <w:uiPriority w:val="99"/>
    <w:semiHidden/>
    <w:rPr>
      <w:rFonts w:ascii="Courier" w:hAnsi="Courier"/>
      <w:lang w:val="x-none" w:eastAsia="cs-CZ"/>
    </w:rPr>
  </w:style>
  <w:style w:type="character" w:customStyle="1" w:styleId="TextkomentraChar1292">
    <w:name w:val="Text komentára Char1292"/>
    <w:aliases w:val="Char7 Char Char1293,Text komentára Char Char Char1293,Comment Text Char Char Char1293"/>
    <w:uiPriority w:val="99"/>
    <w:semiHidden/>
    <w:rPr>
      <w:rFonts w:ascii="Courier" w:hAnsi="Courier"/>
      <w:lang w:val="x-none" w:eastAsia="cs-CZ"/>
    </w:rPr>
  </w:style>
  <w:style w:type="character" w:customStyle="1" w:styleId="TextkomentraChar1291">
    <w:name w:val="Text komentára Char1291"/>
    <w:aliases w:val="Char7 Char Char1292,Text komentára Char Char Char1292,Comment Text Char Char Char1292"/>
    <w:uiPriority w:val="99"/>
    <w:semiHidden/>
    <w:rPr>
      <w:rFonts w:ascii="Courier" w:hAnsi="Courier"/>
      <w:lang w:val="x-none" w:eastAsia="cs-CZ"/>
    </w:rPr>
  </w:style>
  <w:style w:type="character" w:customStyle="1" w:styleId="TextkomentraChar1290">
    <w:name w:val="Text komentára Char1290"/>
    <w:aliases w:val="Char7 Char Char1291,Text komentára Char Char Char1291,Comment Text Char Char Char1291"/>
    <w:uiPriority w:val="99"/>
    <w:semiHidden/>
    <w:rPr>
      <w:rFonts w:ascii="Courier" w:hAnsi="Courier"/>
      <w:lang w:val="x-none" w:eastAsia="cs-CZ"/>
    </w:rPr>
  </w:style>
  <w:style w:type="character" w:customStyle="1" w:styleId="TextkomentraChar1289">
    <w:name w:val="Text komentára Char1289"/>
    <w:aliases w:val="Char7 Char Char1290,Text komentára Char Char Char1290,Comment Text Char Char Char1290"/>
    <w:uiPriority w:val="99"/>
    <w:semiHidden/>
    <w:rPr>
      <w:rFonts w:ascii="Courier" w:hAnsi="Courier"/>
      <w:lang w:val="x-none" w:eastAsia="cs-CZ"/>
    </w:rPr>
  </w:style>
  <w:style w:type="character" w:customStyle="1" w:styleId="TextkomentraChar1288">
    <w:name w:val="Text komentára Char1288"/>
    <w:aliases w:val="Char7 Char Char1289,Text komentára Char Char Char1289,Comment Text Char Char Char1289"/>
    <w:uiPriority w:val="99"/>
    <w:semiHidden/>
    <w:rPr>
      <w:rFonts w:ascii="Courier" w:hAnsi="Courier"/>
      <w:lang w:val="x-none" w:eastAsia="cs-CZ"/>
    </w:rPr>
  </w:style>
  <w:style w:type="character" w:customStyle="1" w:styleId="TextkomentraChar1287">
    <w:name w:val="Text komentára Char1287"/>
    <w:aliases w:val="Char7 Char Char1288,Text komentára Char Char Char1288,Comment Text Char Char Char1288"/>
    <w:uiPriority w:val="99"/>
    <w:semiHidden/>
    <w:rPr>
      <w:rFonts w:ascii="Courier" w:hAnsi="Courier"/>
      <w:lang w:val="x-none" w:eastAsia="cs-CZ"/>
    </w:rPr>
  </w:style>
  <w:style w:type="character" w:customStyle="1" w:styleId="TextkomentraChar1286">
    <w:name w:val="Text komentára Char1286"/>
    <w:aliases w:val="Char7 Char Char1287,Text komentára Char Char Char1287,Comment Text Char Char Char1287"/>
    <w:uiPriority w:val="99"/>
    <w:semiHidden/>
    <w:rPr>
      <w:rFonts w:ascii="Courier" w:hAnsi="Courier"/>
      <w:lang w:val="x-none" w:eastAsia="cs-CZ"/>
    </w:rPr>
  </w:style>
  <w:style w:type="character" w:customStyle="1" w:styleId="TextkomentraChar1285">
    <w:name w:val="Text komentára Char1285"/>
    <w:aliases w:val="Char7 Char Char1286,Text komentára Char Char Char1286,Comment Text Char Char Char1286"/>
    <w:uiPriority w:val="99"/>
    <w:semiHidden/>
    <w:rPr>
      <w:rFonts w:ascii="Courier" w:hAnsi="Courier"/>
      <w:lang w:val="x-none" w:eastAsia="cs-CZ"/>
    </w:rPr>
  </w:style>
  <w:style w:type="character" w:customStyle="1" w:styleId="TextkomentraChar1284">
    <w:name w:val="Text komentára Char1284"/>
    <w:aliases w:val="Char7 Char Char1285,Text komentára Char Char Char1285,Comment Text Char Char Char1285"/>
    <w:uiPriority w:val="99"/>
    <w:semiHidden/>
    <w:rPr>
      <w:rFonts w:ascii="Courier" w:hAnsi="Courier"/>
      <w:lang w:val="x-none" w:eastAsia="cs-CZ"/>
    </w:rPr>
  </w:style>
  <w:style w:type="character" w:customStyle="1" w:styleId="TextkomentraChar1283">
    <w:name w:val="Text komentára Char1283"/>
    <w:aliases w:val="Char7 Char Char1284,Text komentára Char Char Char1284,Comment Text Char Char Char1284"/>
    <w:uiPriority w:val="99"/>
    <w:semiHidden/>
    <w:rPr>
      <w:rFonts w:ascii="Courier" w:hAnsi="Courier"/>
      <w:lang w:val="x-none" w:eastAsia="cs-CZ"/>
    </w:rPr>
  </w:style>
  <w:style w:type="character" w:customStyle="1" w:styleId="TextkomentraChar1282">
    <w:name w:val="Text komentára Char1282"/>
    <w:aliases w:val="Char7 Char Char1283,Text komentára Char Char Char1283,Comment Text Char Char Char1283"/>
    <w:uiPriority w:val="99"/>
    <w:semiHidden/>
    <w:rPr>
      <w:rFonts w:ascii="Courier" w:hAnsi="Courier"/>
      <w:lang w:val="x-none" w:eastAsia="cs-CZ"/>
    </w:rPr>
  </w:style>
  <w:style w:type="character" w:customStyle="1" w:styleId="TextkomentraChar1281">
    <w:name w:val="Text komentára Char1281"/>
    <w:aliases w:val="Char7 Char Char1282,Text komentára Char Char Char1282,Comment Text Char Char Char1282"/>
    <w:uiPriority w:val="99"/>
    <w:semiHidden/>
    <w:rPr>
      <w:rFonts w:ascii="Courier" w:hAnsi="Courier"/>
      <w:lang w:val="x-none" w:eastAsia="cs-CZ"/>
    </w:rPr>
  </w:style>
  <w:style w:type="character" w:customStyle="1" w:styleId="TextkomentraChar1280">
    <w:name w:val="Text komentára Char1280"/>
    <w:aliases w:val="Char7 Char Char1281,Text komentára Char Char Char1281,Comment Text Char Char Char1281"/>
    <w:uiPriority w:val="99"/>
    <w:semiHidden/>
    <w:rPr>
      <w:rFonts w:ascii="Courier" w:hAnsi="Courier"/>
      <w:lang w:val="x-none" w:eastAsia="cs-CZ"/>
    </w:rPr>
  </w:style>
  <w:style w:type="character" w:customStyle="1" w:styleId="TextkomentraChar1279">
    <w:name w:val="Text komentára Char1279"/>
    <w:aliases w:val="Char7 Char Char1280,Text komentára Char Char Char1280,Comment Text Char Char Char1280"/>
    <w:uiPriority w:val="99"/>
    <w:semiHidden/>
    <w:rPr>
      <w:rFonts w:ascii="Courier" w:hAnsi="Courier"/>
      <w:lang w:val="x-none" w:eastAsia="cs-CZ"/>
    </w:rPr>
  </w:style>
  <w:style w:type="character" w:customStyle="1" w:styleId="TextkomentraChar1278">
    <w:name w:val="Text komentára Char1278"/>
    <w:aliases w:val="Char7 Char Char1279,Text komentára Char Char Char1279,Comment Text Char Char Char1279"/>
    <w:uiPriority w:val="99"/>
    <w:semiHidden/>
    <w:rPr>
      <w:rFonts w:ascii="Courier" w:hAnsi="Courier"/>
      <w:lang w:val="x-none" w:eastAsia="cs-CZ"/>
    </w:rPr>
  </w:style>
  <w:style w:type="character" w:customStyle="1" w:styleId="TextkomentraChar1277">
    <w:name w:val="Text komentára Char1277"/>
    <w:aliases w:val="Char7 Char Char1278,Text komentára Char Char Char1278,Comment Text Char Char Char1278"/>
    <w:uiPriority w:val="99"/>
    <w:semiHidden/>
    <w:rPr>
      <w:rFonts w:ascii="Courier" w:hAnsi="Courier"/>
      <w:lang w:val="x-none" w:eastAsia="cs-CZ"/>
    </w:rPr>
  </w:style>
  <w:style w:type="character" w:customStyle="1" w:styleId="TextkomentraChar1276">
    <w:name w:val="Text komentára Char1276"/>
    <w:aliases w:val="Char7 Char Char1277,Text komentára Char Char Char1277,Comment Text Char Char Char1277"/>
    <w:uiPriority w:val="99"/>
    <w:semiHidden/>
    <w:rPr>
      <w:rFonts w:ascii="Courier" w:hAnsi="Courier"/>
      <w:lang w:val="x-none" w:eastAsia="cs-CZ"/>
    </w:rPr>
  </w:style>
  <w:style w:type="character" w:customStyle="1" w:styleId="TextkomentraChar1275">
    <w:name w:val="Text komentára Char1275"/>
    <w:aliases w:val="Char7 Char Char1276,Text komentára Char Char Char1276,Comment Text Char Char Char1276"/>
    <w:uiPriority w:val="99"/>
    <w:semiHidden/>
    <w:rPr>
      <w:rFonts w:ascii="Courier" w:hAnsi="Courier"/>
      <w:lang w:val="x-none" w:eastAsia="cs-CZ"/>
    </w:rPr>
  </w:style>
  <w:style w:type="character" w:customStyle="1" w:styleId="TextkomentraChar1274">
    <w:name w:val="Text komentára Char1274"/>
    <w:aliases w:val="Char7 Char Char1275,Text komentára Char Char Char1275,Comment Text Char Char Char1275"/>
    <w:uiPriority w:val="99"/>
    <w:semiHidden/>
    <w:rPr>
      <w:rFonts w:ascii="Courier" w:hAnsi="Courier"/>
      <w:lang w:val="x-none" w:eastAsia="cs-CZ"/>
    </w:rPr>
  </w:style>
  <w:style w:type="character" w:customStyle="1" w:styleId="TextkomentraChar1273">
    <w:name w:val="Text komentára Char1273"/>
    <w:aliases w:val="Char7 Char Char1274,Text komentára Char Char Char1274,Comment Text Char Char Char1274"/>
    <w:uiPriority w:val="99"/>
    <w:semiHidden/>
    <w:rPr>
      <w:rFonts w:ascii="Courier" w:hAnsi="Courier"/>
      <w:lang w:val="x-none" w:eastAsia="cs-CZ"/>
    </w:rPr>
  </w:style>
  <w:style w:type="character" w:customStyle="1" w:styleId="TextkomentraChar1272">
    <w:name w:val="Text komentára Char1272"/>
    <w:aliases w:val="Char7 Char Char1273,Text komentára Char Char Char1273,Comment Text Char Char Char1273"/>
    <w:uiPriority w:val="99"/>
    <w:semiHidden/>
    <w:rPr>
      <w:rFonts w:ascii="Courier" w:hAnsi="Courier"/>
      <w:lang w:val="x-none" w:eastAsia="cs-CZ"/>
    </w:rPr>
  </w:style>
  <w:style w:type="character" w:customStyle="1" w:styleId="TextkomentraChar1271">
    <w:name w:val="Text komentára Char1271"/>
    <w:aliases w:val="Char7 Char Char1272,Text komentára Char Char Char1272,Comment Text Char Char Char1272"/>
    <w:uiPriority w:val="99"/>
    <w:semiHidden/>
    <w:rPr>
      <w:rFonts w:ascii="Courier" w:hAnsi="Courier"/>
      <w:lang w:val="x-none" w:eastAsia="cs-CZ"/>
    </w:rPr>
  </w:style>
  <w:style w:type="character" w:customStyle="1" w:styleId="TextkomentraChar1270">
    <w:name w:val="Text komentára Char1270"/>
    <w:aliases w:val="Char7 Char Char1271,Text komentára Char Char Char1271,Comment Text Char Char Char1271"/>
    <w:uiPriority w:val="99"/>
    <w:semiHidden/>
    <w:rPr>
      <w:rFonts w:ascii="Courier" w:hAnsi="Courier"/>
      <w:lang w:val="x-none" w:eastAsia="cs-CZ"/>
    </w:rPr>
  </w:style>
  <w:style w:type="character" w:customStyle="1" w:styleId="TextkomentraChar1269">
    <w:name w:val="Text komentára Char1269"/>
    <w:aliases w:val="Char7 Char Char1270,Text komentára Char Char Char1270,Comment Text Char Char Char1270"/>
    <w:uiPriority w:val="99"/>
    <w:semiHidden/>
    <w:rPr>
      <w:rFonts w:ascii="Courier" w:hAnsi="Courier"/>
      <w:lang w:val="x-none" w:eastAsia="cs-CZ"/>
    </w:rPr>
  </w:style>
  <w:style w:type="character" w:customStyle="1" w:styleId="TextkomentraChar1268">
    <w:name w:val="Text komentára Char1268"/>
    <w:aliases w:val="Char7 Char Char1269,Text komentára Char Char Char1269,Comment Text Char Char Char1269"/>
    <w:uiPriority w:val="99"/>
    <w:semiHidden/>
    <w:rPr>
      <w:rFonts w:ascii="Courier" w:hAnsi="Courier"/>
      <w:lang w:val="x-none" w:eastAsia="cs-CZ"/>
    </w:rPr>
  </w:style>
  <w:style w:type="character" w:customStyle="1" w:styleId="TextkomentraChar1267">
    <w:name w:val="Text komentára Char1267"/>
    <w:aliases w:val="Char7 Char Char1268,Text komentára Char Char Char1268,Comment Text Char Char Char1268"/>
    <w:uiPriority w:val="99"/>
    <w:semiHidden/>
    <w:rPr>
      <w:rFonts w:ascii="Courier" w:hAnsi="Courier"/>
      <w:lang w:val="x-none" w:eastAsia="cs-CZ"/>
    </w:rPr>
  </w:style>
  <w:style w:type="character" w:customStyle="1" w:styleId="TextkomentraChar1266">
    <w:name w:val="Text komentára Char1266"/>
    <w:aliases w:val="Char7 Char Char1267,Text komentára Char Char Char1267,Comment Text Char Char Char1267"/>
    <w:uiPriority w:val="99"/>
    <w:semiHidden/>
    <w:rPr>
      <w:rFonts w:ascii="Courier" w:hAnsi="Courier"/>
      <w:lang w:val="x-none" w:eastAsia="cs-CZ"/>
    </w:rPr>
  </w:style>
  <w:style w:type="character" w:customStyle="1" w:styleId="TextkomentraChar1265">
    <w:name w:val="Text komentára Char1265"/>
    <w:aliases w:val="Char7 Char Char1266,Text komentára Char Char Char1266,Comment Text Char Char Char1266"/>
    <w:uiPriority w:val="99"/>
    <w:semiHidden/>
    <w:rPr>
      <w:rFonts w:ascii="Courier" w:hAnsi="Courier"/>
      <w:lang w:val="x-none" w:eastAsia="cs-CZ"/>
    </w:rPr>
  </w:style>
  <w:style w:type="character" w:customStyle="1" w:styleId="TextkomentraChar1264">
    <w:name w:val="Text komentára Char1264"/>
    <w:aliases w:val="Char7 Char Char1265,Text komentára Char Char Char1265,Comment Text Char Char Char1265"/>
    <w:uiPriority w:val="99"/>
    <w:semiHidden/>
    <w:rPr>
      <w:rFonts w:ascii="Courier" w:hAnsi="Courier"/>
      <w:lang w:val="x-none" w:eastAsia="cs-CZ"/>
    </w:rPr>
  </w:style>
  <w:style w:type="character" w:customStyle="1" w:styleId="TextkomentraChar1263">
    <w:name w:val="Text komentára Char1263"/>
    <w:aliases w:val="Char7 Char Char1264,Text komentára Char Char Char1264,Comment Text Char Char Char1264"/>
    <w:uiPriority w:val="99"/>
    <w:semiHidden/>
    <w:rPr>
      <w:rFonts w:ascii="Courier" w:hAnsi="Courier"/>
      <w:lang w:val="x-none" w:eastAsia="cs-CZ"/>
    </w:rPr>
  </w:style>
  <w:style w:type="character" w:customStyle="1" w:styleId="TextkomentraChar1262">
    <w:name w:val="Text komentára Char1262"/>
    <w:aliases w:val="Char7 Char Char1263,Text komentára Char Char Char1263,Comment Text Char Char Char1263"/>
    <w:uiPriority w:val="99"/>
    <w:semiHidden/>
    <w:rPr>
      <w:rFonts w:ascii="Courier" w:hAnsi="Courier"/>
      <w:lang w:val="x-none" w:eastAsia="cs-CZ"/>
    </w:rPr>
  </w:style>
  <w:style w:type="character" w:customStyle="1" w:styleId="TextkomentraChar1261">
    <w:name w:val="Text komentára Char1261"/>
    <w:aliases w:val="Char7 Char Char1262,Text komentára Char Char Char1262,Comment Text Char Char Char1262"/>
    <w:uiPriority w:val="99"/>
    <w:semiHidden/>
    <w:rPr>
      <w:rFonts w:ascii="Courier" w:hAnsi="Courier"/>
      <w:lang w:val="x-none" w:eastAsia="cs-CZ"/>
    </w:rPr>
  </w:style>
  <w:style w:type="character" w:customStyle="1" w:styleId="TextkomentraChar1260">
    <w:name w:val="Text komentára Char1260"/>
    <w:aliases w:val="Char7 Char Char1261,Text komentára Char Char Char1261,Comment Text Char Char Char1261"/>
    <w:uiPriority w:val="99"/>
    <w:semiHidden/>
    <w:rPr>
      <w:rFonts w:ascii="Courier" w:hAnsi="Courier"/>
      <w:lang w:val="x-none" w:eastAsia="cs-CZ"/>
    </w:rPr>
  </w:style>
  <w:style w:type="character" w:customStyle="1" w:styleId="TextkomentraChar1259">
    <w:name w:val="Text komentára Char1259"/>
    <w:aliases w:val="Char7 Char Char1260,Text komentára Char Char Char1260,Comment Text Char Char Char1260"/>
    <w:uiPriority w:val="99"/>
    <w:semiHidden/>
    <w:rPr>
      <w:rFonts w:ascii="Courier" w:hAnsi="Courier"/>
      <w:lang w:val="x-none" w:eastAsia="cs-CZ"/>
    </w:rPr>
  </w:style>
  <w:style w:type="character" w:customStyle="1" w:styleId="TextkomentraChar1258">
    <w:name w:val="Text komentára Char1258"/>
    <w:aliases w:val="Char7 Char Char1259,Text komentára Char Char Char1259,Comment Text Char Char Char1259"/>
    <w:uiPriority w:val="99"/>
    <w:semiHidden/>
    <w:rPr>
      <w:rFonts w:ascii="Courier" w:hAnsi="Courier"/>
      <w:lang w:val="x-none" w:eastAsia="cs-CZ"/>
    </w:rPr>
  </w:style>
  <w:style w:type="character" w:customStyle="1" w:styleId="TextkomentraChar1257">
    <w:name w:val="Text komentára Char1257"/>
    <w:aliases w:val="Char7 Char Char1258,Text komentára Char Char Char1258,Comment Text Char Char Char1258"/>
    <w:uiPriority w:val="99"/>
    <w:semiHidden/>
    <w:rPr>
      <w:rFonts w:ascii="Courier" w:hAnsi="Courier"/>
      <w:lang w:val="x-none" w:eastAsia="cs-CZ"/>
    </w:rPr>
  </w:style>
  <w:style w:type="character" w:customStyle="1" w:styleId="TextkomentraChar1256">
    <w:name w:val="Text komentára Char1256"/>
    <w:aliases w:val="Char7 Char Char1257,Text komentára Char Char Char1257,Comment Text Char Char Char1257"/>
    <w:uiPriority w:val="99"/>
    <w:semiHidden/>
    <w:rPr>
      <w:rFonts w:ascii="Courier" w:hAnsi="Courier"/>
      <w:lang w:val="x-none" w:eastAsia="cs-CZ"/>
    </w:rPr>
  </w:style>
  <w:style w:type="character" w:customStyle="1" w:styleId="TextkomentraChar1255">
    <w:name w:val="Text komentára Char1255"/>
    <w:aliases w:val="Char7 Char Char1256,Text komentára Char Char Char1256,Comment Text Char Char Char1256"/>
    <w:uiPriority w:val="99"/>
    <w:semiHidden/>
    <w:rPr>
      <w:rFonts w:ascii="Courier" w:hAnsi="Courier"/>
      <w:lang w:val="x-none" w:eastAsia="cs-CZ"/>
    </w:rPr>
  </w:style>
  <w:style w:type="character" w:customStyle="1" w:styleId="TextkomentraChar1254">
    <w:name w:val="Text komentára Char1254"/>
    <w:aliases w:val="Char7 Char Char1255,Text komentára Char Char Char1255,Comment Text Char Char Char1255"/>
    <w:uiPriority w:val="99"/>
    <w:semiHidden/>
    <w:rPr>
      <w:rFonts w:ascii="Courier" w:hAnsi="Courier"/>
      <w:lang w:val="x-none" w:eastAsia="cs-CZ"/>
    </w:rPr>
  </w:style>
  <w:style w:type="character" w:customStyle="1" w:styleId="TextkomentraChar1253">
    <w:name w:val="Text komentára Char1253"/>
    <w:aliases w:val="Char7 Char Char1254,Text komentára Char Char Char1254,Comment Text Char Char Char1254"/>
    <w:uiPriority w:val="99"/>
    <w:semiHidden/>
    <w:rPr>
      <w:rFonts w:ascii="Courier" w:hAnsi="Courier"/>
      <w:lang w:val="x-none" w:eastAsia="cs-CZ"/>
    </w:rPr>
  </w:style>
  <w:style w:type="character" w:customStyle="1" w:styleId="TextkomentraChar1252">
    <w:name w:val="Text komentára Char1252"/>
    <w:aliases w:val="Char7 Char Char1253,Text komentára Char Char Char1253,Comment Text Char Char Char1253"/>
    <w:uiPriority w:val="99"/>
    <w:semiHidden/>
    <w:rPr>
      <w:rFonts w:ascii="Courier" w:hAnsi="Courier"/>
      <w:lang w:val="x-none" w:eastAsia="cs-CZ"/>
    </w:rPr>
  </w:style>
  <w:style w:type="character" w:customStyle="1" w:styleId="TextkomentraChar1251">
    <w:name w:val="Text komentára Char1251"/>
    <w:aliases w:val="Char7 Char Char1252,Text komentára Char Char Char1252,Comment Text Char Char Char1252"/>
    <w:uiPriority w:val="99"/>
    <w:semiHidden/>
    <w:rPr>
      <w:rFonts w:ascii="Courier" w:hAnsi="Courier"/>
      <w:lang w:val="x-none" w:eastAsia="cs-CZ"/>
    </w:rPr>
  </w:style>
  <w:style w:type="character" w:customStyle="1" w:styleId="TextkomentraChar1250">
    <w:name w:val="Text komentára Char1250"/>
    <w:aliases w:val="Char7 Char Char1251,Text komentára Char Char Char1251,Comment Text Char Char Char1251"/>
    <w:uiPriority w:val="99"/>
    <w:semiHidden/>
    <w:rPr>
      <w:rFonts w:ascii="Courier" w:hAnsi="Courier"/>
      <w:lang w:val="x-none" w:eastAsia="cs-CZ"/>
    </w:rPr>
  </w:style>
  <w:style w:type="character" w:customStyle="1" w:styleId="TextkomentraChar1249">
    <w:name w:val="Text komentára Char1249"/>
    <w:aliases w:val="Char7 Char Char1250,Text komentára Char Char Char1250,Comment Text Char Char Char1250"/>
    <w:uiPriority w:val="99"/>
    <w:semiHidden/>
    <w:rPr>
      <w:rFonts w:ascii="Courier" w:hAnsi="Courier"/>
      <w:lang w:val="x-none" w:eastAsia="cs-CZ"/>
    </w:rPr>
  </w:style>
  <w:style w:type="character" w:customStyle="1" w:styleId="TextkomentraChar1248">
    <w:name w:val="Text komentára Char1248"/>
    <w:aliases w:val="Char7 Char Char1249,Text komentára Char Char Char1249,Comment Text Char Char Char1249"/>
    <w:uiPriority w:val="99"/>
    <w:semiHidden/>
    <w:rPr>
      <w:rFonts w:ascii="Courier" w:hAnsi="Courier"/>
      <w:lang w:val="x-none" w:eastAsia="cs-CZ"/>
    </w:rPr>
  </w:style>
  <w:style w:type="character" w:customStyle="1" w:styleId="TextkomentraChar1247">
    <w:name w:val="Text komentára Char1247"/>
    <w:aliases w:val="Char7 Char Char1248,Text komentára Char Char Char1248,Comment Text Char Char Char1248"/>
    <w:uiPriority w:val="99"/>
    <w:semiHidden/>
    <w:rPr>
      <w:rFonts w:ascii="Courier" w:hAnsi="Courier"/>
      <w:lang w:val="x-none" w:eastAsia="cs-CZ"/>
    </w:rPr>
  </w:style>
  <w:style w:type="character" w:customStyle="1" w:styleId="TextkomentraChar1246">
    <w:name w:val="Text komentára Char1246"/>
    <w:aliases w:val="Char7 Char Char1247,Text komentára Char Char Char1247,Comment Text Char Char Char1247"/>
    <w:uiPriority w:val="99"/>
    <w:semiHidden/>
    <w:rPr>
      <w:rFonts w:ascii="Courier" w:hAnsi="Courier"/>
      <w:lang w:val="x-none" w:eastAsia="cs-CZ"/>
    </w:rPr>
  </w:style>
  <w:style w:type="character" w:customStyle="1" w:styleId="TextkomentraChar1245">
    <w:name w:val="Text komentára Char1245"/>
    <w:aliases w:val="Char7 Char Char1246,Text komentára Char Char Char1246,Comment Text Char Char Char1246"/>
    <w:uiPriority w:val="99"/>
    <w:semiHidden/>
    <w:rPr>
      <w:rFonts w:ascii="Courier" w:hAnsi="Courier"/>
      <w:lang w:val="x-none" w:eastAsia="cs-CZ"/>
    </w:rPr>
  </w:style>
  <w:style w:type="character" w:customStyle="1" w:styleId="TextkomentraChar1244">
    <w:name w:val="Text komentára Char1244"/>
    <w:aliases w:val="Char7 Char Char1245,Text komentára Char Char Char1245,Comment Text Char Char Char1245"/>
    <w:uiPriority w:val="99"/>
    <w:semiHidden/>
    <w:rPr>
      <w:rFonts w:ascii="Courier" w:hAnsi="Courier"/>
      <w:lang w:val="x-none" w:eastAsia="cs-CZ"/>
    </w:rPr>
  </w:style>
  <w:style w:type="character" w:customStyle="1" w:styleId="TextkomentraChar1243">
    <w:name w:val="Text komentára Char1243"/>
    <w:aliases w:val="Char7 Char Char1244,Text komentára Char Char Char1244,Comment Text Char Char Char1244"/>
    <w:uiPriority w:val="99"/>
    <w:semiHidden/>
    <w:rPr>
      <w:rFonts w:ascii="Courier" w:hAnsi="Courier"/>
      <w:lang w:val="x-none" w:eastAsia="cs-CZ"/>
    </w:rPr>
  </w:style>
  <w:style w:type="character" w:customStyle="1" w:styleId="TextkomentraChar1242">
    <w:name w:val="Text komentára Char1242"/>
    <w:aliases w:val="Char7 Char Char1243,Text komentára Char Char Char1243,Comment Text Char Char Char1243"/>
    <w:uiPriority w:val="99"/>
    <w:semiHidden/>
    <w:rPr>
      <w:rFonts w:ascii="Courier" w:hAnsi="Courier"/>
      <w:lang w:val="x-none" w:eastAsia="cs-CZ"/>
    </w:rPr>
  </w:style>
  <w:style w:type="character" w:customStyle="1" w:styleId="TextkomentraChar1241">
    <w:name w:val="Text komentára Char1241"/>
    <w:aliases w:val="Char7 Char Char1242,Text komentára Char Char Char1242,Comment Text Char Char Char1242"/>
    <w:uiPriority w:val="99"/>
    <w:semiHidden/>
    <w:rPr>
      <w:rFonts w:ascii="Courier" w:hAnsi="Courier"/>
      <w:lang w:val="x-none" w:eastAsia="cs-CZ"/>
    </w:rPr>
  </w:style>
  <w:style w:type="character" w:customStyle="1" w:styleId="TextkomentraChar1240">
    <w:name w:val="Text komentára Char1240"/>
    <w:aliases w:val="Char7 Char Char1241,Text komentára Char Char Char1241,Comment Text Char Char Char1241"/>
    <w:uiPriority w:val="99"/>
    <w:semiHidden/>
    <w:rPr>
      <w:rFonts w:ascii="Courier" w:hAnsi="Courier"/>
      <w:lang w:val="x-none" w:eastAsia="cs-CZ"/>
    </w:rPr>
  </w:style>
  <w:style w:type="character" w:customStyle="1" w:styleId="TextkomentraChar1239">
    <w:name w:val="Text komentára Char1239"/>
    <w:aliases w:val="Char7 Char Char1240,Text komentára Char Char Char1240,Comment Text Char Char Char1240"/>
    <w:uiPriority w:val="99"/>
    <w:semiHidden/>
    <w:rPr>
      <w:rFonts w:ascii="Courier" w:hAnsi="Courier"/>
      <w:lang w:val="x-none" w:eastAsia="cs-CZ"/>
    </w:rPr>
  </w:style>
  <w:style w:type="character" w:customStyle="1" w:styleId="TextkomentraChar1238">
    <w:name w:val="Text komentára Char1238"/>
    <w:aliases w:val="Char7 Char Char1239,Text komentára Char Char Char1239,Comment Text Char Char Char1239"/>
    <w:uiPriority w:val="99"/>
    <w:semiHidden/>
    <w:rPr>
      <w:rFonts w:ascii="Courier" w:hAnsi="Courier"/>
      <w:lang w:val="x-none" w:eastAsia="cs-CZ"/>
    </w:rPr>
  </w:style>
  <w:style w:type="character" w:customStyle="1" w:styleId="TextkomentraChar1237">
    <w:name w:val="Text komentára Char1237"/>
    <w:aliases w:val="Char7 Char Char1238,Text komentára Char Char Char1238,Comment Text Char Char Char1238"/>
    <w:uiPriority w:val="99"/>
    <w:semiHidden/>
    <w:rPr>
      <w:rFonts w:ascii="Courier" w:hAnsi="Courier"/>
      <w:lang w:val="x-none" w:eastAsia="cs-CZ"/>
    </w:rPr>
  </w:style>
  <w:style w:type="character" w:customStyle="1" w:styleId="TextkomentraChar1236">
    <w:name w:val="Text komentára Char1236"/>
    <w:aliases w:val="Char7 Char Char1237,Text komentára Char Char Char1237,Comment Text Char Char Char1237"/>
    <w:uiPriority w:val="99"/>
    <w:semiHidden/>
    <w:rPr>
      <w:rFonts w:ascii="Courier" w:hAnsi="Courier"/>
      <w:lang w:val="x-none" w:eastAsia="cs-CZ"/>
    </w:rPr>
  </w:style>
  <w:style w:type="character" w:customStyle="1" w:styleId="TextkomentraChar1235">
    <w:name w:val="Text komentára Char1235"/>
    <w:aliases w:val="Char7 Char Char1236,Text komentára Char Char Char1236,Comment Text Char Char Char1236"/>
    <w:uiPriority w:val="99"/>
    <w:semiHidden/>
    <w:rPr>
      <w:rFonts w:ascii="Courier" w:hAnsi="Courier"/>
      <w:lang w:val="x-none" w:eastAsia="cs-CZ"/>
    </w:rPr>
  </w:style>
  <w:style w:type="character" w:customStyle="1" w:styleId="TextkomentraChar1234">
    <w:name w:val="Text komentára Char1234"/>
    <w:aliases w:val="Char7 Char Char1235,Text komentára Char Char Char1235,Comment Text Char Char Char1235"/>
    <w:uiPriority w:val="99"/>
    <w:semiHidden/>
    <w:rPr>
      <w:rFonts w:ascii="Courier" w:hAnsi="Courier"/>
      <w:lang w:val="x-none" w:eastAsia="cs-CZ"/>
    </w:rPr>
  </w:style>
  <w:style w:type="character" w:customStyle="1" w:styleId="TextkomentraChar1233">
    <w:name w:val="Text komentára Char1233"/>
    <w:aliases w:val="Char7 Char Char1234,Text komentára Char Char Char1234,Comment Text Char Char Char1234"/>
    <w:uiPriority w:val="99"/>
    <w:semiHidden/>
    <w:rPr>
      <w:rFonts w:ascii="Courier" w:hAnsi="Courier"/>
      <w:lang w:val="x-none" w:eastAsia="cs-CZ"/>
    </w:rPr>
  </w:style>
  <w:style w:type="character" w:customStyle="1" w:styleId="TextkomentraChar1232">
    <w:name w:val="Text komentára Char1232"/>
    <w:aliases w:val="Char7 Char Char1233,Text komentára Char Char Char1233,Comment Text Char Char Char1233"/>
    <w:uiPriority w:val="99"/>
    <w:semiHidden/>
    <w:rPr>
      <w:rFonts w:ascii="Courier" w:hAnsi="Courier"/>
      <w:lang w:val="x-none" w:eastAsia="cs-CZ"/>
    </w:rPr>
  </w:style>
  <w:style w:type="character" w:customStyle="1" w:styleId="TextkomentraChar1231">
    <w:name w:val="Text komentára Char1231"/>
    <w:aliases w:val="Char7 Char Char1232,Text komentára Char Char Char1232,Comment Text Char Char Char1232"/>
    <w:uiPriority w:val="99"/>
    <w:semiHidden/>
    <w:rPr>
      <w:rFonts w:ascii="Courier" w:hAnsi="Courier"/>
      <w:lang w:val="x-none" w:eastAsia="cs-CZ"/>
    </w:rPr>
  </w:style>
  <w:style w:type="character" w:customStyle="1" w:styleId="TextkomentraChar1230">
    <w:name w:val="Text komentára Char1230"/>
    <w:aliases w:val="Char7 Char Char1231,Text komentára Char Char Char1231,Comment Text Char Char Char1231"/>
    <w:uiPriority w:val="99"/>
    <w:semiHidden/>
    <w:rPr>
      <w:rFonts w:ascii="Courier" w:hAnsi="Courier"/>
      <w:lang w:val="x-none" w:eastAsia="cs-CZ"/>
    </w:rPr>
  </w:style>
  <w:style w:type="character" w:customStyle="1" w:styleId="TextkomentraChar1229">
    <w:name w:val="Text komentára Char1229"/>
    <w:aliases w:val="Char7 Char Char1230,Text komentára Char Char Char1230,Comment Text Char Char Char1230"/>
    <w:uiPriority w:val="99"/>
    <w:semiHidden/>
    <w:rPr>
      <w:rFonts w:ascii="Courier" w:hAnsi="Courier"/>
      <w:lang w:val="x-none" w:eastAsia="cs-CZ"/>
    </w:rPr>
  </w:style>
  <w:style w:type="character" w:customStyle="1" w:styleId="TextkomentraChar1228">
    <w:name w:val="Text komentára Char1228"/>
    <w:aliases w:val="Char7 Char Char1229,Text komentára Char Char Char1229,Comment Text Char Char Char1229"/>
    <w:uiPriority w:val="99"/>
    <w:semiHidden/>
    <w:rPr>
      <w:rFonts w:ascii="Courier" w:hAnsi="Courier"/>
      <w:lang w:val="x-none" w:eastAsia="cs-CZ"/>
    </w:rPr>
  </w:style>
  <w:style w:type="character" w:customStyle="1" w:styleId="TextkomentraChar1227">
    <w:name w:val="Text komentára Char1227"/>
    <w:aliases w:val="Char7 Char Char1228,Text komentára Char Char Char1228,Comment Text Char Char Char1228"/>
    <w:uiPriority w:val="99"/>
    <w:semiHidden/>
    <w:rPr>
      <w:rFonts w:ascii="Courier" w:hAnsi="Courier"/>
      <w:lang w:val="x-none" w:eastAsia="cs-CZ"/>
    </w:rPr>
  </w:style>
  <w:style w:type="character" w:customStyle="1" w:styleId="TextkomentraChar1226">
    <w:name w:val="Text komentára Char1226"/>
    <w:aliases w:val="Char7 Char Char1227,Text komentára Char Char Char1227,Comment Text Char Char Char1227"/>
    <w:uiPriority w:val="99"/>
    <w:semiHidden/>
    <w:rPr>
      <w:rFonts w:ascii="Courier" w:hAnsi="Courier"/>
      <w:lang w:val="x-none" w:eastAsia="cs-CZ"/>
    </w:rPr>
  </w:style>
  <w:style w:type="character" w:customStyle="1" w:styleId="TextkomentraChar1225">
    <w:name w:val="Text komentára Char1225"/>
    <w:aliases w:val="Char7 Char Char1226,Text komentára Char Char Char1226,Comment Text Char Char Char1226"/>
    <w:uiPriority w:val="99"/>
    <w:semiHidden/>
    <w:rPr>
      <w:rFonts w:ascii="Courier" w:hAnsi="Courier"/>
      <w:lang w:val="x-none" w:eastAsia="cs-CZ"/>
    </w:rPr>
  </w:style>
  <w:style w:type="character" w:customStyle="1" w:styleId="TextkomentraChar1224">
    <w:name w:val="Text komentára Char1224"/>
    <w:aliases w:val="Char7 Char Char1225,Text komentára Char Char Char1225,Comment Text Char Char Char1225"/>
    <w:uiPriority w:val="99"/>
    <w:semiHidden/>
    <w:rPr>
      <w:rFonts w:ascii="Courier" w:hAnsi="Courier"/>
      <w:lang w:val="x-none" w:eastAsia="cs-CZ"/>
    </w:rPr>
  </w:style>
  <w:style w:type="character" w:customStyle="1" w:styleId="TextkomentraChar1223">
    <w:name w:val="Text komentára Char1223"/>
    <w:aliases w:val="Char7 Char Char1224,Text komentára Char Char Char1224,Comment Text Char Char Char1224"/>
    <w:uiPriority w:val="99"/>
    <w:semiHidden/>
    <w:rPr>
      <w:rFonts w:ascii="Courier" w:hAnsi="Courier"/>
      <w:lang w:val="x-none" w:eastAsia="cs-CZ"/>
    </w:rPr>
  </w:style>
  <w:style w:type="character" w:customStyle="1" w:styleId="TextkomentraChar1222">
    <w:name w:val="Text komentára Char1222"/>
    <w:aliases w:val="Char7 Char Char1223,Text komentára Char Char Char1223,Comment Text Char Char Char1223"/>
    <w:uiPriority w:val="99"/>
    <w:semiHidden/>
    <w:rPr>
      <w:rFonts w:ascii="Courier" w:hAnsi="Courier"/>
      <w:lang w:val="x-none" w:eastAsia="cs-CZ"/>
    </w:rPr>
  </w:style>
  <w:style w:type="character" w:customStyle="1" w:styleId="TextkomentraChar1221">
    <w:name w:val="Text komentára Char1221"/>
    <w:aliases w:val="Char7 Char Char1222,Text komentára Char Char Char1222,Comment Text Char Char Char1222"/>
    <w:uiPriority w:val="99"/>
    <w:semiHidden/>
    <w:rPr>
      <w:rFonts w:ascii="Courier" w:hAnsi="Courier"/>
      <w:lang w:val="x-none" w:eastAsia="cs-CZ"/>
    </w:rPr>
  </w:style>
  <w:style w:type="character" w:customStyle="1" w:styleId="TextkomentraChar1220">
    <w:name w:val="Text komentára Char1220"/>
    <w:aliases w:val="Char7 Char Char1221,Text komentára Char Char Char1221,Comment Text Char Char Char1221"/>
    <w:uiPriority w:val="99"/>
    <w:semiHidden/>
    <w:rPr>
      <w:rFonts w:ascii="Courier" w:hAnsi="Courier"/>
      <w:lang w:val="x-none" w:eastAsia="cs-CZ"/>
    </w:rPr>
  </w:style>
  <w:style w:type="character" w:customStyle="1" w:styleId="TextkomentraChar1219">
    <w:name w:val="Text komentára Char1219"/>
    <w:aliases w:val="Char7 Char Char1220,Text komentára Char Char Char1220,Comment Text Char Char Char1220"/>
    <w:uiPriority w:val="99"/>
    <w:semiHidden/>
    <w:rPr>
      <w:rFonts w:ascii="Courier" w:hAnsi="Courier"/>
      <w:lang w:val="x-none" w:eastAsia="cs-CZ"/>
    </w:rPr>
  </w:style>
  <w:style w:type="character" w:customStyle="1" w:styleId="TextkomentraChar1218">
    <w:name w:val="Text komentára Char1218"/>
    <w:aliases w:val="Char7 Char Char1219,Text komentára Char Char Char1219,Comment Text Char Char Char1219"/>
    <w:uiPriority w:val="99"/>
    <w:semiHidden/>
    <w:rPr>
      <w:rFonts w:ascii="Courier" w:hAnsi="Courier"/>
      <w:lang w:val="x-none" w:eastAsia="cs-CZ"/>
    </w:rPr>
  </w:style>
  <w:style w:type="character" w:customStyle="1" w:styleId="TextkomentraChar1217">
    <w:name w:val="Text komentára Char1217"/>
    <w:aliases w:val="Char7 Char Char1218,Text komentára Char Char Char1218,Comment Text Char Char Char1218"/>
    <w:uiPriority w:val="99"/>
    <w:semiHidden/>
    <w:rPr>
      <w:rFonts w:ascii="Courier" w:hAnsi="Courier"/>
      <w:lang w:val="x-none" w:eastAsia="cs-CZ"/>
    </w:rPr>
  </w:style>
  <w:style w:type="character" w:customStyle="1" w:styleId="TextkomentraChar1216">
    <w:name w:val="Text komentára Char1216"/>
    <w:aliases w:val="Char7 Char Char1217,Text komentára Char Char Char1217,Comment Text Char Char Char1217"/>
    <w:uiPriority w:val="99"/>
    <w:semiHidden/>
    <w:rPr>
      <w:rFonts w:ascii="Courier" w:hAnsi="Courier"/>
      <w:lang w:val="x-none" w:eastAsia="cs-CZ"/>
    </w:rPr>
  </w:style>
  <w:style w:type="character" w:customStyle="1" w:styleId="TextkomentraChar1215">
    <w:name w:val="Text komentára Char1215"/>
    <w:aliases w:val="Char7 Char Char1216,Text komentára Char Char Char1216,Comment Text Char Char Char1216"/>
    <w:uiPriority w:val="99"/>
    <w:semiHidden/>
    <w:rPr>
      <w:rFonts w:ascii="Courier" w:hAnsi="Courier"/>
      <w:lang w:val="x-none" w:eastAsia="cs-CZ"/>
    </w:rPr>
  </w:style>
  <w:style w:type="character" w:customStyle="1" w:styleId="TextkomentraChar1214">
    <w:name w:val="Text komentára Char1214"/>
    <w:aliases w:val="Char7 Char Char1215,Text komentára Char Char Char1215,Comment Text Char Char Char1215"/>
    <w:uiPriority w:val="99"/>
    <w:semiHidden/>
    <w:rPr>
      <w:rFonts w:ascii="Courier" w:hAnsi="Courier"/>
      <w:lang w:val="x-none" w:eastAsia="cs-CZ"/>
    </w:rPr>
  </w:style>
  <w:style w:type="character" w:customStyle="1" w:styleId="TextkomentraChar1213">
    <w:name w:val="Text komentára Char1213"/>
    <w:aliases w:val="Char7 Char Char1214,Text komentára Char Char Char1214,Comment Text Char Char Char1214"/>
    <w:uiPriority w:val="99"/>
    <w:semiHidden/>
    <w:rPr>
      <w:rFonts w:ascii="Courier" w:hAnsi="Courier"/>
      <w:lang w:val="x-none" w:eastAsia="cs-CZ"/>
    </w:rPr>
  </w:style>
  <w:style w:type="character" w:customStyle="1" w:styleId="TextkomentraChar1212">
    <w:name w:val="Text komentára Char1212"/>
    <w:aliases w:val="Char7 Char Char1213,Text komentára Char Char Char1213,Comment Text Char Char Char1213"/>
    <w:uiPriority w:val="99"/>
    <w:semiHidden/>
    <w:rPr>
      <w:rFonts w:ascii="Courier" w:hAnsi="Courier"/>
      <w:lang w:val="x-none" w:eastAsia="cs-CZ"/>
    </w:rPr>
  </w:style>
  <w:style w:type="character" w:customStyle="1" w:styleId="TextkomentraChar1211">
    <w:name w:val="Text komentára Char1211"/>
    <w:aliases w:val="Char7 Char Char1212,Text komentára Char Char Char1212,Comment Text Char Char Char1212"/>
    <w:uiPriority w:val="99"/>
    <w:semiHidden/>
    <w:rPr>
      <w:rFonts w:ascii="Courier" w:hAnsi="Courier"/>
      <w:lang w:val="x-none" w:eastAsia="cs-CZ"/>
    </w:rPr>
  </w:style>
  <w:style w:type="character" w:customStyle="1" w:styleId="TextkomentraChar1210">
    <w:name w:val="Text komentára Char1210"/>
    <w:aliases w:val="Char7 Char Char1211,Text komentára Char Char Char1211,Comment Text Char Char Char1211"/>
    <w:uiPriority w:val="99"/>
    <w:semiHidden/>
    <w:rPr>
      <w:rFonts w:ascii="Courier" w:hAnsi="Courier"/>
      <w:lang w:val="x-none" w:eastAsia="cs-CZ"/>
    </w:rPr>
  </w:style>
  <w:style w:type="character" w:customStyle="1" w:styleId="TextkomentraChar1209">
    <w:name w:val="Text komentára Char1209"/>
    <w:aliases w:val="Char7 Char Char1210,Text komentára Char Char Char1210,Comment Text Char Char Char1210"/>
    <w:uiPriority w:val="99"/>
    <w:semiHidden/>
    <w:rPr>
      <w:rFonts w:ascii="Courier" w:hAnsi="Courier"/>
      <w:lang w:val="x-none" w:eastAsia="cs-CZ"/>
    </w:rPr>
  </w:style>
  <w:style w:type="character" w:customStyle="1" w:styleId="TextkomentraChar1208">
    <w:name w:val="Text komentára Char1208"/>
    <w:aliases w:val="Char7 Char Char1209,Text komentára Char Char Char1209,Comment Text Char Char Char1209"/>
    <w:uiPriority w:val="99"/>
    <w:semiHidden/>
    <w:rPr>
      <w:rFonts w:ascii="Courier" w:hAnsi="Courier"/>
      <w:lang w:val="x-none" w:eastAsia="cs-CZ"/>
    </w:rPr>
  </w:style>
  <w:style w:type="character" w:customStyle="1" w:styleId="TextkomentraChar1207">
    <w:name w:val="Text komentára Char1207"/>
    <w:aliases w:val="Char7 Char Char1208,Text komentára Char Char Char1208,Comment Text Char Char Char1208"/>
    <w:uiPriority w:val="99"/>
    <w:semiHidden/>
    <w:rPr>
      <w:rFonts w:ascii="Courier" w:hAnsi="Courier"/>
      <w:lang w:val="x-none" w:eastAsia="cs-CZ"/>
    </w:rPr>
  </w:style>
  <w:style w:type="character" w:customStyle="1" w:styleId="TextkomentraChar1206">
    <w:name w:val="Text komentára Char1206"/>
    <w:aliases w:val="Char7 Char Char1207,Text komentára Char Char Char1207,Comment Text Char Char Char1207"/>
    <w:uiPriority w:val="99"/>
    <w:semiHidden/>
    <w:rPr>
      <w:rFonts w:ascii="Courier" w:hAnsi="Courier"/>
      <w:lang w:val="x-none" w:eastAsia="cs-CZ"/>
    </w:rPr>
  </w:style>
  <w:style w:type="character" w:customStyle="1" w:styleId="TextkomentraChar1205">
    <w:name w:val="Text komentára Char1205"/>
    <w:aliases w:val="Char7 Char Char1206,Text komentára Char Char Char1206,Comment Text Char Char Char1206"/>
    <w:uiPriority w:val="99"/>
    <w:semiHidden/>
    <w:rPr>
      <w:rFonts w:ascii="Courier" w:hAnsi="Courier"/>
      <w:lang w:val="x-none" w:eastAsia="cs-CZ"/>
    </w:rPr>
  </w:style>
  <w:style w:type="character" w:customStyle="1" w:styleId="TextkomentraChar1204">
    <w:name w:val="Text komentára Char1204"/>
    <w:aliases w:val="Char7 Char Char1205,Text komentára Char Char Char1205,Comment Text Char Char Char1205"/>
    <w:uiPriority w:val="99"/>
    <w:semiHidden/>
    <w:rPr>
      <w:rFonts w:ascii="Courier" w:hAnsi="Courier"/>
      <w:lang w:val="x-none" w:eastAsia="cs-CZ"/>
    </w:rPr>
  </w:style>
  <w:style w:type="character" w:customStyle="1" w:styleId="TextkomentraChar1203">
    <w:name w:val="Text komentára Char1203"/>
    <w:aliases w:val="Char7 Char Char1204,Text komentára Char Char Char1204,Comment Text Char Char Char1204"/>
    <w:uiPriority w:val="99"/>
    <w:semiHidden/>
    <w:rPr>
      <w:rFonts w:ascii="Courier" w:hAnsi="Courier"/>
      <w:lang w:val="x-none" w:eastAsia="cs-CZ"/>
    </w:rPr>
  </w:style>
  <w:style w:type="character" w:customStyle="1" w:styleId="TextkomentraChar1202">
    <w:name w:val="Text komentára Char1202"/>
    <w:aliases w:val="Char7 Char Char1203,Text komentára Char Char Char1203,Comment Text Char Char Char1203"/>
    <w:uiPriority w:val="99"/>
    <w:semiHidden/>
    <w:rPr>
      <w:rFonts w:ascii="Courier" w:hAnsi="Courier"/>
      <w:lang w:val="x-none" w:eastAsia="cs-CZ"/>
    </w:rPr>
  </w:style>
  <w:style w:type="character" w:customStyle="1" w:styleId="TextkomentraChar1201">
    <w:name w:val="Text komentára Char1201"/>
    <w:aliases w:val="Char7 Char Char1202,Text komentára Char Char Char1202,Comment Text Char Char Char1202"/>
    <w:uiPriority w:val="99"/>
    <w:semiHidden/>
    <w:rPr>
      <w:rFonts w:ascii="Courier" w:hAnsi="Courier"/>
      <w:lang w:val="x-none" w:eastAsia="cs-CZ"/>
    </w:rPr>
  </w:style>
  <w:style w:type="character" w:customStyle="1" w:styleId="TextkomentraChar1200">
    <w:name w:val="Text komentára Char1200"/>
    <w:aliases w:val="Char7 Char Char1201,Text komentára Char Char Char1201,Comment Text Char Char Char1201"/>
    <w:uiPriority w:val="99"/>
    <w:semiHidden/>
    <w:rPr>
      <w:rFonts w:ascii="Courier" w:hAnsi="Courier"/>
      <w:lang w:val="x-none" w:eastAsia="cs-CZ"/>
    </w:rPr>
  </w:style>
  <w:style w:type="character" w:customStyle="1" w:styleId="TextkomentraChar1199">
    <w:name w:val="Text komentára Char1199"/>
    <w:aliases w:val="Char7 Char Char1200,Text komentára Char Char Char1200,Comment Text Char Char Char1200"/>
    <w:uiPriority w:val="99"/>
    <w:semiHidden/>
    <w:rPr>
      <w:rFonts w:ascii="Courier" w:hAnsi="Courier"/>
      <w:lang w:val="x-none" w:eastAsia="cs-CZ"/>
    </w:rPr>
  </w:style>
  <w:style w:type="character" w:customStyle="1" w:styleId="TextkomentraChar1198">
    <w:name w:val="Text komentára Char1198"/>
    <w:aliases w:val="Char7 Char Char1199,Text komentára Char Char Char1199,Comment Text Char Char Char1199"/>
    <w:uiPriority w:val="99"/>
    <w:semiHidden/>
    <w:rPr>
      <w:rFonts w:ascii="Courier" w:hAnsi="Courier"/>
      <w:lang w:val="x-none" w:eastAsia="cs-CZ"/>
    </w:rPr>
  </w:style>
  <w:style w:type="character" w:customStyle="1" w:styleId="TextkomentraChar1197">
    <w:name w:val="Text komentára Char1197"/>
    <w:aliases w:val="Char7 Char Char1198,Text komentára Char Char Char1198,Comment Text Char Char Char1198"/>
    <w:uiPriority w:val="99"/>
    <w:semiHidden/>
    <w:rPr>
      <w:rFonts w:ascii="Courier" w:hAnsi="Courier"/>
      <w:lang w:val="x-none" w:eastAsia="cs-CZ"/>
    </w:rPr>
  </w:style>
  <w:style w:type="character" w:customStyle="1" w:styleId="TextkomentraChar1196">
    <w:name w:val="Text komentára Char1196"/>
    <w:aliases w:val="Char7 Char Char1197,Text komentára Char Char Char1197,Comment Text Char Char Char1197"/>
    <w:uiPriority w:val="99"/>
    <w:semiHidden/>
    <w:rPr>
      <w:rFonts w:ascii="Courier" w:hAnsi="Courier"/>
      <w:lang w:val="x-none" w:eastAsia="cs-CZ"/>
    </w:rPr>
  </w:style>
  <w:style w:type="character" w:customStyle="1" w:styleId="TextkomentraChar1195">
    <w:name w:val="Text komentára Char1195"/>
    <w:aliases w:val="Char7 Char Char1196,Text komentára Char Char Char1196,Comment Text Char Char Char1196"/>
    <w:uiPriority w:val="99"/>
    <w:semiHidden/>
    <w:rPr>
      <w:rFonts w:ascii="Courier" w:hAnsi="Courier"/>
      <w:lang w:val="x-none" w:eastAsia="cs-CZ"/>
    </w:rPr>
  </w:style>
  <w:style w:type="character" w:customStyle="1" w:styleId="TextkomentraChar1194">
    <w:name w:val="Text komentára Char1194"/>
    <w:aliases w:val="Char7 Char Char1195,Text komentára Char Char Char1195,Comment Text Char Char Char1195"/>
    <w:uiPriority w:val="99"/>
    <w:semiHidden/>
    <w:rPr>
      <w:rFonts w:ascii="Courier" w:hAnsi="Courier"/>
      <w:lang w:val="x-none" w:eastAsia="cs-CZ"/>
    </w:rPr>
  </w:style>
  <w:style w:type="character" w:customStyle="1" w:styleId="TextkomentraChar1193">
    <w:name w:val="Text komentára Char1193"/>
    <w:aliases w:val="Char7 Char Char1194,Text komentára Char Char Char1194,Comment Text Char Char Char1194"/>
    <w:uiPriority w:val="99"/>
    <w:semiHidden/>
    <w:rPr>
      <w:rFonts w:ascii="Courier" w:hAnsi="Courier"/>
      <w:lang w:val="x-none" w:eastAsia="cs-CZ"/>
    </w:rPr>
  </w:style>
  <w:style w:type="character" w:customStyle="1" w:styleId="TextkomentraChar1192">
    <w:name w:val="Text komentára Char1192"/>
    <w:aliases w:val="Char7 Char Char1193,Text komentára Char Char Char1193,Comment Text Char Char Char1193"/>
    <w:uiPriority w:val="99"/>
    <w:semiHidden/>
    <w:rPr>
      <w:rFonts w:ascii="Courier" w:hAnsi="Courier"/>
      <w:lang w:val="x-none" w:eastAsia="cs-CZ"/>
    </w:rPr>
  </w:style>
  <w:style w:type="character" w:customStyle="1" w:styleId="TextkomentraChar1191">
    <w:name w:val="Text komentára Char1191"/>
    <w:aliases w:val="Char7 Char Char1192,Text komentára Char Char Char1192,Comment Text Char Char Char1192"/>
    <w:uiPriority w:val="99"/>
    <w:semiHidden/>
    <w:rPr>
      <w:rFonts w:ascii="Courier" w:hAnsi="Courier"/>
      <w:lang w:val="x-none" w:eastAsia="cs-CZ"/>
    </w:rPr>
  </w:style>
  <w:style w:type="character" w:customStyle="1" w:styleId="TextkomentraChar1190">
    <w:name w:val="Text komentára Char1190"/>
    <w:aliases w:val="Char7 Char Char1191,Text komentára Char Char Char1191,Comment Text Char Char Char1191"/>
    <w:uiPriority w:val="99"/>
    <w:semiHidden/>
    <w:rPr>
      <w:rFonts w:ascii="Courier" w:hAnsi="Courier"/>
      <w:lang w:val="x-none" w:eastAsia="cs-CZ"/>
    </w:rPr>
  </w:style>
  <w:style w:type="character" w:customStyle="1" w:styleId="TextkomentraChar1189">
    <w:name w:val="Text komentára Char1189"/>
    <w:aliases w:val="Char7 Char Char1190,Text komentára Char Char Char1190,Comment Text Char Char Char1190"/>
    <w:uiPriority w:val="99"/>
    <w:semiHidden/>
    <w:rPr>
      <w:rFonts w:ascii="Courier" w:hAnsi="Courier"/>
      <w:lang w:val="x-none" w:eastAsia="cs-CZ"/>
    </w:rPr>
  </w:style>
  <w:style w:type="character" w:customStyle="1" w:styleId="TextkomentraChar1188">
    <w:name w:val="Text komentára Char1188"/>
    <w:aliases w:val="Char7 Char Char1189,Text komentára Char Char Char1189,Comment Text Char Char Char1189"/>
    <w:uiPriority w:val="99"/>
    <w:semiHidden/>
    <w:rPr>
      <w:rFonts w:ascii="Courier" w:hAnsi="Courier"/>
      <w:lang w:val="x-none" w:eastAsia="cs-CZ"/>
    </w:rPr>
  </w:style>
  <w:style w:type="character" w:customStyle="1" w:styleId="TextkomentraChar1187">
    <w:name w:val="Text komentára Char1187"/>
    <w:aliases w:val="Char7 Char Char1188,Text komentára Char Char Char1188,Comment Text Char Char Char1188"/>
    <w:uiPriority w:val="99"/>
    <w:semiHidden/>
    <w:rPr>
      <w:rFonts w:ascii="Courier" w:hAnsi="Courier"/>
      <w:lang w:val="x-none" w:eastAsia="cs-CZ"/>
    </w:rPr>
  </w:style>
  <w:style w:type="character" w:customStyle="1" w:styleId="TextkomentraChar1186">
    <w:name w:val="Text komentára Char1186"/>
    <w:aliases w:val="Char7 Char Char1187,Text komentára Char Char Char1187,Comment Text Char Char Char1187"/>
    <w:uiPriority w:val="99"/>
    <w:semiHidden/>
    <w:rPr>
      <w:rFonts w:ascii="Courier" w:hAnsi="Courier"/>
      <w:lang w:val="x-none" w:eastAsia="cs-CZ"/>
    </w:rPr>
  </w:style>
  <w:style w:type="character" w:customStyle="1" w:styleId="TextkomentraChar1185">
    <w:name w:val="Text komentára Char1185"/>
    <w:aliases w:val="Char7 Char Char1186,Text komentára Char Char Char1186,Comment Text Char Char Char1186"/>
    <w:uiPriority w:val="99"/>
    <w:semiHidden/>
    <w:rPr>
      <w:rFonts w:ascii="Courier" w:hAnsi="Courier"/>
      <w:lang w:val="x-none" w:eastAsia="cs-CZ"/>
    </w:rPr>
  </w:style>
  <w:style w:type="character" w:customStyle="1" w:styleId="TextkomentraChar1184">
    <w:name w:val="Text komentára Char1184"/>
    <w:aliases w:val="Char7 Char Char1185,Text komentára Char Char Char1185,Comment Text Char Char Char1185"/>
    <w:uiPriority w:val="99"/>
    <w:semiHidden/>
    <w:rPr>
      <w:rFonts w:ascii="Courier" w:hAnsi="Courier"/>
      <w:lang w:val="x-none" w:eastAsia="cs-CZ"/>
    </w:rPr>
  </w:style>
  <w:style w:type="character" w:customStyle="1" w:styleId="TextkomentraChar1183">
    <w:name w:val="Text komentára Char1183"/>
    <w:aliases w:val="Char7 Char Char1184,Text komentára Char Char Char1184,Comment Text Char Char Char1184"/>
    <w:uiPriority w:val="99"/>
    <w:semiHidden/>
    <w:rPr>
      <w:rFonts w:ascii="Courier" w:hAnsi="Courier"/>
      <w:lang w:val="x-none" w:eastAsia="cs-CZ"/>
    </w:rPr>
  </w:style>
  <w:style w:type="character" w:customStyle="1" w:styleId="TextkomentraChar1182">
    <w:name w:val="Text komentára Char1182"/>
    <w:aliases w:val="Char7 Char Char1183,Text komentára Char Char Char1183,Comment Text Char Char Char1183"/>
    <w:uiPriority w:val="99"/>
    <w:semiHidden/>
    <w:rPr>
      <w:rFonts w:ascii="Courier" w:hAnsi="Courier"/>
      <w:lang w:val="x-none" w:eastAsia="cs-CZ"/>
    </w:rPr>
  </w:style>
  <w:style w:type="character" w:customStyle="1" w:styleId="TextkomentraChar1181">
    <w:name w:val="Text komentára Char1181"/>
    <w:aliases w:val="Char7 Char Char1182,Text komentára Char Char Char1182,Comment Text Char Char Char1182"/>
    <w:uiPriority w:val="99"/>
    <w:semiHidden/>
    <w:rPr>
      <w:rFonts w:ascii="Courier" w:hAnsi="Courier"/>
      <w:lang w:val="x-none" w:eastAsia="cs-CZ"/>
    </w:rPr>
  </w:style>
  <w:style w:type="character" w:customStyle="1" w:styleId="TextkomentraChar1180">
    <w:name w:val="Text komentára Char1180"/>
    <w:aliases w:val="Char7 Char Char1181,Text komentára Char Char Char1181,Comment Text Char Char Char1181"/>
    <w:uiPriority w:val="99"/>
    <w:semiHidden/>
    <w:rPr>
      <w:rFonts w:ascii="Courier" w:hAnsi="Courier"/>
      <w:lang w:val="x-none" w:eastAsia="cs-CZ"/>
    </w:rPr>
  </w:style>
  <w:style w:type="character" w:customStyle="1" w:styleId="TextkomentraChar1179">
    <w:name w:val="Text komentára Char1179"/>
    <w:aliases w:val="Char7 Char Char1180,Text komentára Char Char Char1180,Comment Text Char Char Char1180"/>
    <w:uiPriority w:val="99"/>
    <w:semiHidden/>
    <w:rPr>
      <w:rFonts w:ascii="Courier" w:hAnsi="Courier"/>
      <w:lang w:val="x-none" w:eastAsia="cs-CZ"/>
    </w:rPr>
  </w:style>
  <w:style w:type="character" w:customStyle="1" w:styleId="TextkomentraChar1178">
    <w:name w:val="Text komentára Char1178"/>
    <w:aliases w:val="Char7 Char Char1179,Text komentára Char Char Char1179,Comment Text Char Char Char1179"/>
    <w:uiPriority w:val="99"/>
    <w:semiHidden/>
    <w:rPr>
      <w:rFonts w:ascii="Courier" w:hAnsi="Courier"/>
      <w:lang w:val="x-none" w:eastAsia="cs-CZ"/>
    </w:rPr>
  </w:style>
  <w:style w:type="character" w:customStyle="1" w:styleId="TextkomentraChar1177">
    <w:name w:val="Text komentára Char1177"/>
    <w:aliases w:val="Char7 Char Char1178,Text komentára Char Char Char1178,Comment Text Char Char Char1178"/>
    <w:uiPriority w:val="99"/>
    <w:semiHidden/>
    <w:rPr>
      <w:rFonts w:ascii="Courier" w:hAnsi="Courier"/>
      <w:lang w:val="x-none" w:eastAsia="cs-CZ"/>
    </w:rPr>
  </w:style>
  <w:style w:type="character" w:customStyle="1" w:styleId="TextkomentraChar1176">
    <w:name w:val="Text komentára Char1176"/>
    <w:aliases w:val="Char7 Char Char1177,Text komentára Char Char Char1177,Comment Text Char Char Char1177"/>
    <w:uiPriority w:val="99"/>
    <w:semiHidden/>
    <w:rPr>
      <w:rFonts w:ascii="Courier" w:hAnsi="Courier"/>
      <w:lang w:val="x-none" w:eastAsia="cs-CZ"/>
    </w:rPr>
  </w:style>
  <w:style w:type="character" w:customStyle="1" w:styleId="TextkomentraChar1175">
    <w:name w:val="Text komentára Char1175"/>
    <w:aliases w:val="Char7 Char Char1176,Text komentára Char Char Char1176,Comment Text Char Char Char1176"/>
    <w:uiPriority w:val="99"/>
    <w:semiHidden/>
    <w:rPr>
      <w:rFonts w:ascii="Courier" w:hAnsi="Courier"/>
      <w:lang w:val="x-none" w:eastAsia="cs-CZ"/>
    </w:rPr>
  </w:style>
  <w:style w:type="character" w:customStyle="1" w:styleId="TextkomentraChar1174">
    <w:name w:val="Text komentára Char1174"/>
    <w:aliases w:val="Char7 Char Char1175,Text komentára Char Char Char1175,Comment Text Char Char Char1175"/>
    <w:uiPriority w:val="99"/>
    <w:semiHidden/>
    <w:rPr>
      <w:rFonts w:ascii="Courier" w:hAnsi="Courier"/>
      <w:lang w:val="x-none" w:eastAsia="cs-CZ"/>
    </w:rPr>
  </w:style>
  <w:style w:type="character" w:customStyle="1" w:styleId="TextkomentraChar1173">
    <w:name w:val="Text komentára Char1173"/>
    <w:aliases w:val="Char7 Char Char1174,Text komentára Char Char Char1174,Comment Text Char Char Char1174"/>
    <w:uiPriority w:val="99"/>
    <w:semiHidden/>
    <w:rPr>
      <w:rFonts w:ascii="Courier" w:hAnsi="Courier"/>
      <w:lang w:val="x-none" w:eastAsia="cs-CZ"/>
    </w:rPr>
  </w:style>
  <w:style w:type="character" w:customStyle="1" w:styleId="TextkomentraChar1172">
    <w:name w:val="Text komentára Char1172"/>
    <w:aliases w:val="Char7 Char Char1173,Text komentára Char Char Char1173,Comment Text Char Char Char1173"/>
    <w:uiPriority w:val="99"/>
    <w:semiHidden/>
    <w:rPr>
      <w:rFonts w:ascii="Courier" w:hAnsi="Courier"/>
      <w:lang w:val="x-none" w:eastAsia="cs-CZ"/>
    </w:rPr>
  </w:style>
  <w:style w:type="character" w:customStyle="1" w:styleId="TextkomentraChar1171">
    <w:name w:val="Text komentára Char1171"/>
    <w:aliases w:val="Char7 Char Char1172,Text komentára Char Char Char1172,Comment Text Char Char Char1172"/>
    <w:uiPriority w:val="99"/>
    <w:semiHidden/>
    <w:rPr>
      <w:rFonts w:ascii="Courier" w:hAnsi="Courier"/>
      <w:lang w:val="x-none" w:eastAsia="cs-CZ"/>
    </w:rPr>
  </w:style>
  <w:style w:type="character" w:customStyle="1" w:styleId="TextkomentraChar1165">
    <w:name w:val="Text komentára Char1165"/>
    <w:aliases w:val="Char7 Char Char1166,Text komentára Char Char Char1166,Comment Text Char Char Char1166"/>
    <w:uiPriority w:val="99"/>
    <w:semiHidden/>
    <w:rPr>
      <w:rFonts w:ascii="Courier" w:hAnsi="Courier"/>
      <w:lang w:val="x-none" w:eastAsia="cs-CZ"/>
    </w:rPr>
  </w:style>
  <w:style w:type="character" w:customStyle="1" w:styleId="TextkomentraChar1164">
    <w:name w:val="Text komentára Char1164"/>
    <w:aliases w:val="Char7 Char Char1165,Text komentára Char Char Char1165,Comment Text Char Char Char1165"/>
    <w:uiPriority w:val="99"/>
    <w:semiHidden/>
    <w:rPr>
      <w:rFonts w:ascii="Courier" w:hAnsi="Courier"/>
      <w:lang w:val="x-none" w:eastAsia="cs-CZ"/>
    </w:rPr>
  </w:style>
  <w:style w:type="character" w:customStyle="1" w:styleId="TextkomentraChar1163">
    <w:name w:val="Text komentára Char1163"/>
    <w:aliases w:val="Char7 Char Char1164,Text komentára Char Char Char1164,Comment Text Char Char Char1164"/>
    <w:uiPriority w:val="99"/>
    <w:semiHidden/>
    <w:rPr>
      <w:rFonts w:ascii="Courier" w:hAnsi="Courier"/>
      <w:lang w:val="x-none" w:eastAsia="cs-CZ"/>
    </w:rPr>
  </w:style>
  <w:style w:type="character" w:customStyle="1" w:styleId="TextkomentraChar1162">
    <w:name w:val="Text komentára Char1162"/>
    <w:aliases w:val="Char7 Char Char1163,Text komentára Char Char Char1163,Comment Text Char Char Char1163"/>
    <w:uiPriority w:val="99"/>
    <w:semiHidden/>
    <w:rPr>
      <w:rFonts w:ascii="Courier" w:hAnsi="Courier"/>
      <w:lang w:val="x-none" w:eastAsia="cs-CZ"/>
    </w:rPr>
  </w:style>
  <w:style w:type="character" w:customStyle="1" w:styleId="TextkomentraChar1161">
    <w:name w:val="Text komentára Char1161"/>
    <w:aliases w:val="Char7 Char Char1162,Text komentára Char Char Char1162,Comment Text Char Char Char1162"/>
    <w:uiPriority w:val="99"/>
    <w:semiHidden/>
    <w:rPr>
      <w:rFonts w:ascii="Courier" w:hAnsi="Courier"/>
      <w:lang w:val="x-none" w:eastAsia="cs-CZ"/>
    </w:rPr>
  </w:style>
  <w:style w:type="character" w:customStyle="1" w:styleId="TextkomentraChar1160">
    <w:name w:val="Text komentára Char1160"/>
    <w:aliases w:val="Char7 Char Char1161,Text komentára Char Char Char1161,Comment Text Char Char Char1161"/>
    <w:uiPriority w:val="99"/>
    <w:semiHidden/>
    <w:rPr>
      <w:rFonts w:ascii="Courier" w:hAnsi="Courier"/>
      <w:lang w:val="x-none" w:eastAsia="cs-CZ"/>
    </w:rPr>
  </w:style>
  <w:style w:type="character" w:customStyle="1" w:styleId="TextkomentraChar1159">
    <w:name w:val="Text komentára Char1159"/>
    <w:aliases w:val="Char7 Char Char1160,Text komentára Char Char Char1160,Comment Text Char Char Char1160"/>
    <w:uiPriority w:val="99"/>
    <w:semiHidden/>
    <w:rPr>
      <w:rFonts w:ascii="Courier" w:hAnsi="Courier"/>
      <w:lang w:val="x-none" w:eastAsia="cs-CZ"/>
    </w:rPr>
  </w:style>
  <w:style w:type="character" w:customStyle="1" w:styleId="TextkomentraChar1158">
    <w:name w:val="Text komentára Char1158"/>
    <w:aliases w:val="Char7 Char Char1159,Text komentára Char Char Char1159,Comment Text Char Char Char1159"/>
    <w:uiPriority w:val="99"/>
    <w:semiHidden/>
    <w:rPr>
      <w:rFonts w:ascii="Courier" w:hAnsi="Courier"/>
      <w:lang w:val="x-none" w:eastAsia="cs-CZ"/>
    </w:rPr>
  </w:style>
  <w:style w:type="character" w:customStyle="1" w:styleId="TextkomentraChar1157">
    <w:name w:val="Text komentára Char1157"/>
    <w:aliases w:val="Char7 Char Char1158,Text komentára Char Char Char1158,Comment Text Char Char Char1158"/>
    <w:uiPriority w:val="99"/>
    <w:semiHidden/>
    <w:rPr>
      <w:rFonts w:ascii="Courier" w:hAnsi="Courier"/>
      <w:lang w:val="x-none" w:eastAsia="cs-CZ"/>
    </w:rPr>
  </w:style>
  <w:style w:type="character" w:customStyle="1" w:styleId="TextkomentraChar1156">
    <w:name w:val="Text komentára Char1156"/>
    <w:aliases w:val="Char7 Char Char1157,Text komentára Char Char Char1157,Comment Text Char Char Char1157"/>
    <w:uiPriority w:val="99"/>
    <w:semiHidden/>
    <w:rPr>
      <w:rFonts w:ascii="Courier" w:hAnsi="Courier"/>
      <w:lang w:val="x-none" w:eastAsia="cs-CZ"/>
    </w:rPr>
  </w:style>
  <w:style w:type="character" w:customStyle="1" w:styleId="TextkomentraChar1155">
    <w:name w:val="Text komentára Char1155"/>
    <w:aliases w:val="Char7 Char Char1156,Text komentára Char Char Char1156,Comment Text Char Char Char1156"/>
    <w:uiPriority w:val="99"/>
    <w:semiHidden/>
    <w:rPr>
      <w:rFonts w:ascii="Courier" w:hAnsi="Courier"/>
      <w:lang w:val="x-none" w:eastAsia="cs-CZ"/>
    </w:rPr>
  </w:style>
  <w:style w:type="character" w:customStyle="1" w:styleId="TextkomentraChar1154">
    <w:name w:val="Text komentára Char1154"/>
    <w:aliases w:val="Char7 Char Char1155,Text komentára Char Char Char1155,Comment Text Char Char Char1155"/>
    <w:uiPriority w:val="99"/>
    <w:semiHidden/>
    <w:rPr>
      <w:rFonts w:ascii="Courier" w:hAnsi="Courier"/>
      <w:lang w:val="x-none" w:eastAsia="cs-CZ"/>
    </w:rPr>
  </w:style>
  <w:style w:type="character" w:customStyle="1" w:styleId="TextkomentraChar1153">
    <w:name w:val="Text komentára Char1153"/>
    <w:aliases w:val="Char7 Char Char1154,Text komentára Char Char Char1154,Comment Text Char Char Char1154"/>
    <w:uiPriority w:val="99"/>
    <w:semiHidden/>
    <w:rPr>
      <w:rFonts w:ascii="Courier" w:hAnsi="Courier"/>
      <w:lang w:val="x-none" w:eastAsia="cs-CZ"/>
    </w:rPr>
  </w:style>
  <w:style w:type="character" w:customStyle="1" w:styleId="TextkomentraChar1152">
    <w:name w:val="Text komentára Char1152"/>
    <w:aliases w:val="Char7 Char Char1153,Text komentára Char Char Char1153,Comment Text Char Char Char1153"/>
    <w:uiPriority w:val="99"/>
    <w:semiHidden/>
    <w:rPr>
      <w:rFonts w:ascii="Courier" w:hAnsi="Courier"/>
      <w:lang w:val="x-none" w:eastAsia="cs-CZ"/>
    </w:rPr>
  </w:style>
  <w:style w:type="character" w:customStyle="1" w:styleId="TextkomentraChar1151">
    <w:name w:val="Text komentára Char1151"/>
    <w:aliases w:val="Char7 Char Char1152,Text komentára Char Char Char1152,Comment Text Char Char Char1152"/>
    <w:uiPriority w:val="99"/>
    <w:semiHidden/>
    <w:rPr>
      <w:rFonts w:ascii="Courier" w:hAnsi="Courier"/>
      <w:lang w:val="x-none" w:eastAsia="cs-CZ"/>
    </w:rPr>
  </w:style>
  <w:style w:type="character" w:customStyle="1" w:styleId="TextkomentraChar1150">
    <w:name w:val="Text komentára Char1150"/>
    <w:aliases w:val="Char7 Char Char1151,Text komentára Char Char Char1151,Comment Text Char Char Char1151"/>
    <w:uiPriority w:val="99"/>
    <w:semiHidden/>
    <w:rPr>
      <w:rFonts w:ascii="Courier" w:hAnsi="Courier"/>
      <w:lang w:val="x-none" w:eastAsia="cs-CZ"/>
    </w:rPr>
  </w:style>
  <w:style w:type="character" w:customStyle="1" w:styleId="TextkomentraChar1149">
    <w:name w:val="Text komentára Char1149"/>
    <w:aliases w:val="Char7 Char Char1150,Text komentára Char Char Char1150,Comment Text Char Char Char1150"/>
    <w:uiPriority w:val="99"/>
    <w:semiHidden/>
    <w:rPr>
      <w:rFonts w:ascii="Courier" w:hAnsi="Courier"/>
      <w:lang w:val="x-none" w:eastAsia="cs-CZ"/>
    </w:rPr>
  </w:style>
  <w:style w:type="character" w:customStyle="1" w:styleId="TextkomentraChar1148">
    <w:name w:val="Text komentára Char1148"/>
    <w:aliases w:val="Char7 Char Char1149,Text komentára Char Char Char1149,Comment Text Char Char Char1149"/>
    <w:uiPriority w:val="99"/>
    <w:semiHidden/>
    <w:rPr>
      <w:rFonts w:ascii="Courier" w:hAnsi="Courier"/>
      <w:lang w:val="x-none" w:eastAsia="cs-CZ"/>
    </w:rPr>
  </w:style>
  <w:style w:type="character" w:customStyle="1" w:styleId="TextkomentraChar1147">
    <w:name w:val="Text komentára Char1147"/>
    <w:aliases w:val="Char7 Char Char1148,Text komentára Char Char Char1148,Comment Text Char Char Char1148"/>
    <w:uiPriority w:val="99"/>
    <w:semiHidden/>
    <w:rPr>
      <w:rFonts w:ascii="Courier" w:hAnsi="Courier"/>
      <w:lang w:val="x-none" w:eastAsia="cs-CZ"/>
    </w:rPr>
  </w:style>
  <w:style w:type="character" w:customStyle="1" w:styleId="TextkomentraChar1146">
    <w:name w:val="Text komentára Char1146"/>
    <w:aliases w:val="Char7 Char Char1147,Text komentára Char Char Char1147,Comment Text Char Char Char1147"/>
    <w:uiPriority w:val="99"/>
    <w:semiHidden/>
    <w:rPr>
      <w:rFonts w:ascii="Courier" w:hAnsi="Courier"/>
      <w:lang w:val="x-none" w:eastAsia="cs-CZ"/>
    </w:rPr>
  </w:style>
  <w:style w:type="character" w:customStyle="1" w:styleId="TextkomentraChar1145">
    <w:name w:val="Text komentára Char1145"/>
    <w:aliases w:val="Char7 Char Char1146,Text komentára Char Char Char1146,Comment Text Char Char Char1146"/>
    <w:uiPriority w:val="99"/>
    <w:semiHidden/>
    <w:rPr>
      <w:rFonts w:ascii="Courier" w:hAnsi="Courier"/>
      <w:lang w:val="x-none" w:eastAsia="cs-CZ"/>
    </w:rPr>
  </w:style>
  <w:style w:type="character" w:customStyle="1" w:styleId="TextkomentraChar1144">
    <w:name w:val="Text komentára Char1144"/>
    <w:aliases w:val="Char7 Char Char1145,Text komentára Char Char Char1145,Comment Text Char Char Char1145"/>
    <w:uiPriority w:val="99"/>
    <w:semiHidden/>
    <w:rPr>
      <w:rFonts w:ascii="Courier" w:hAnsi="Courier"/>
      <w:lang w:val="x-none" w:eastAsia="cs-CZ"/>
    </w:rPr>
  </w:style>
  <w:style w:type="character" w:customStyle="1" w:styleId="TextkomentraChar1143">
    <w:name w:val="Text komentára Char1143"/>
    <w:aliases w:val="Char7 Char Char1144,Text komentára Char Char Char1144,Comment Text Char Char Char1144"/>
    <w:uiPriority w:val="99"/>
    <w:semiHidden/>
    <w:rPr>
      <w:rFonts w:ascii="Courier" w:hAnsi="Courier"/>
      <w:lang w:val="x-none" w:eastAsia="cs-CZ"/>
    </w:rPr>
  </w:style>
  <w:style w:type="character" w:customStyle="1" w:styleId="TextkomentraChar1142">
    <w:name w:val="Text komentára Char1142"/>
    <w:aliases w:val="Char7 Char Char1143,Text komentára Char Char Char1143,Comment Text Char Char Char1143"/>
    <w:uiPriority w:val="99"/>
    <w:semiHidden/>
    <w:rPr>
      <w:rFonts w:ascii="Courier" w:hAnsi="Courier"/>
      <w:lang w:val="x-none" w:eastAsia="cs-CZ"/>
    </w:rPr>
  </w:style>
  <w:style w:type="character" w:customStyle="1" w:styleId="TextkomentraChar1141">
    <w:name w:val="Text komentára Char1141"/>
    <w:aliases w:val="Char7 Char Char1142,Text komentára Char Char Char1142,Comment Text Char Char Char1142"/>
    <w:uiPriority w:val="99"/>
    <w:semiHidden/>
    <w:rPr>
      <w:rFonts w:ascii="Courier" w:hAnsi="Courier"/>
      <w:lang w:val="x-none" w:eastAsia="cs-CZ"/>
    </w:rPr>
  </w:style>
  <w:style w:type="character" w:customStyle="1" w:styleId="TextkomentraChar1140">
    <w:name w:val="Text komentára Char1140"/>
    <w:aliases w:val="Char7 Char Char1141,Text komentára Char Char Char1141,Comment Text Char Char Char1141"/>
    <w:uiPriority w:val="99"/>
    <w:semiHidden/>
    <w:rPr>
      <w:rFonts w:ascii="Courier" w:hAnsi="Courier"/>
      <w:lang w:val="x-none" w:eastAsia="cs-CZ"/>
    </w:rPr>
  </w:style>
  <w:style w:type="character" w:customStyle="1" w:styleId="TextkomentraChar1139">
    <w:name w:val="Text komentára Char1139"/>
    <w:aliases w:val="Char7 Char Char1140,Text komentára Char Char Char1140,Comment Text Char Char Char1140"/>
    <w:uiPriority w:val="99"/>
    <w:semiHidden/>
    <w:rPr>
      <w:rFonts w:ascii="Courier" w:hAnsi="Courier"/>
      <w:lang w:val="x-none" w:eastAsia="cs-CZ"/>
    </w:rPr>
  </w:style>
  <w:style w:type="character" w:customStyle="1" w:styleId="TextkomentraChar1138">
    <w:name w:val="Text komentára Char1138"/>
    <w:aliases w:val="Char7 Char Char1139,Text komentára Char Char Char1139,Comment Text Char Char Char1139"/>
    <w:uiPriority w:val="99"/>
    <w:semiHidden/>
    <w:rPr>
      <w:rFonts w:ascii="Courier" w:hAnsi="Courier"/>
      <w:lang w:val="x-none" w:eastAsia="cs-CZ"/>
    </w:rPr>
  </w:style>
  <w:style w:type="character" w:customStyle="1" w:styleId="TextkomentraChar1137">
    <w:name w:val="Text komentára Char1137"/>
    <w:aliases w:val="Char7 Char Char1138,Text komentára Char Char Char1138,Comment Text Char Char Char1138"/>
    <w:uiPriority w:val="99"/>
    <w:semiHidden/>
    <w:rPr>
      <w:rFonts w:ascii="Courier" w:hAnsi="Courier"/>
      <w:lang w:val="x-none" w:eastAsia="cs-CZ"/>
    </w:rPr>
  </w:style>
  <w:style w:type="character" w:customStyle="1" w:styleId="TextkomentraChar1136">
    <w:name w:val="Text komentára Char1136"/>
    <w:aliases w:val="Char7 Char Char1137,Text komentára Char Char Char1137,Comment Text Char Char Char1137"/>
    <w:uiPriority w:val="99"/>
    <w:semiHidden/>
    <w:rPr>
      <w:rFonts w:ascii="Courier" w:hAnsi="Courier"/>
      <w:lang w:val="x-none" w:eastAsia="cs-CZ"/>
    </w:rPr>
  </w:style>
  <w:style w:type="character" w:customStyle="1" w:styleId="TextkomentraChar1135">
    <w:name w:val="Text komentára Char1135"/>
    <w:aliases w:val="Char7 Char Char1136,Text komentára Char Char Char1136,Comment Text Char Char Char1136"/>
    <w:uiPriority w:val="99"/>
    <w:semiHidden/>
    <w:rPr>
      <w:rFonts w:ascii="Courier" w:hAnsi="Courier"/>
      <w:lang w:val="x-none" w:eastAsia="cs-CZ"/>
    </w:rPr>
  </w:style>
  <w:style w:type="character" w:customStyle="1" w:styleId="TextkomentraChar1134">
    <w:name w:val="Text komentára Char1134"/>
    <w:aliases w:val="Char7 Char Char1135,Text komentára Char Char Char1135,Comment Text Char Char Char1135"/>
    <w:uiPriority w:val="99"/>
    <w:semiHidden/>
    <w:rPr>
      <w:rFonts w:ascii="Courier" w:hAnsi="Courier"/>
      <w:lang w:val="x-none" w:eastAsia="cs-CZ"/>
    </w:rPr>
  </w:style>
  <w:style w:type="character" w:customStyle="1" w:styleId="TextkomentraChar1133">
    <w:name w:val="Text komentára Char1133"/>
    <w:aliases w:val="Char7 Char Char1134,Text komentára Char Char Char1134,Comment Text Char Char Char1134"/>
    <w:uiPriority w:val="99"/>
    <w:semiHidden/>
    <w:rPr>
      <w:rFonts w:ascii="Courier" w:hAnsi="Courier"/>
      <w:lang w:val="x-none" w:eastAsia="cs-CZ"/>
    </w:rPr>
  </w:style>
  <w:style w:type="character" w:customStyle="1" w:styleId="TextkomentraChar1132">
    <w:name w:val="Text komentára Char1132"/>
    <w:aliases w:val="Char7 Char Char1133,Text komentára Char Char Char1133,Comment Text Char Char Char1133"/>
    <w:uiPriority w:val="99"/>
    <w:semiHidden/>
    <w:rPr>
      <w:rFonts w:ascii="Courier" w:hAnsi="Courier"/>
      <w:lang w:val="x-none" w:eastAsia="cs-CZ"/>
    </w:rPr>
  </w:style>
  <w:style w:type="character" w:customStyle="1" w:styleId="TextkomentraChar1131">
    <w:name w:val="Text komentára Char1131"/>
    <w:aliases w:val="Char7 Char Char1132,Text komentára Char Char Char1132,Comment Text Char Char Char1132"/>
    <w:uiPriority w:val="99"/>
    <w:semiHidden/>
    <w:rPr>
      <w:rFonts w:ascii="Courier" w:hAnsi="Courier"/>
      <w:lang w:val="x-none" w:eastAsia="cs-CZ"/>
    </w:rPr>
  </w:style>
  <w:style w:type="character" w:customStyle="1" w:styleId="TextkomentraChar1130">
    <w:name w:val="Text komentára Char1130"/>
    <w:aliases w:val="Char7 Char Char1131,Text komentára Char Char Char1131,Comment Text Char Char Char1131"/>
    <w:uiPriority w:val="99"/>
    <w:semiHidden/>
    <w:rPr>
      <w:rFonts w:ascii="Courier" w:hAnsi="Courier"/>
      <w:lang w:val="x-none" w:eastAsia="cs-CZ"/>
    </w:rPr>
  </w:style>
  <w:style w:type="character" w:customStyle="1" w:styleId="TextkomentraChar1129">
    <w:name w:val="Text komentára Char1129"/>
    <w:aliases w:val="Char7 Char Char1130,Text komentára Char Char Char1130,Comment Text Char Char Char1130"/>
    <w:uiPriority w:val="99"/>
    <w:semiHidden/>
    <w:rPr>
      <w:rFonts w:ascii="Courier" w:hAnsi="Courier"/>
      <w:lang w:val="x-none" w:eastAsia="cs-CZ"/>
    </w:rPr>
  </w:style>
  <w:style w:type="character" w:customStyle="1" w:styleId="TextkomentraChar1128">
    <w:name w:val="Text komentára Char1128"/>
    <w:aliases w:val="Char7 Char Char1129,Text komentára Char Char Char1129,Comment Text Char Char Char1129"/>
    <w:uiPriority w:val="99"/>
    <w:semiHidden/>
    <w:rPr>
      <w:rFonts w:ascii="Courier" w:hAnsi="Courier"/>
      <w:lang w:val="x-none" w:eastAsia="cs-CZ"/>
    </w:rPr>
  </w:style>
  <w:style w:type="character" w:customStyle="1" w:styleId="TextkomentraChar1127">
    <w:name w:val="Text komentára Char1127"/>
    <w:aliases w:val="Char7 Char Char1128,Text komentára Char Char Char1128,Comment Text Char Char Char1128"/>
    <w:uiPriority w:val="99"/>
    <w:semiHidden/>
    <w:rPr>
      <w:rFonts w:ascii="Courier" w:hAnsi="Courier"/>
      <w:lang w:val="x-none" w:eastAsia="cs-CZ"/>
    </w:rPr>
  </w:style>
  <w:style w:type="character" w:customStyle="1" w:styleId="TextkomentraChar1126">
    <w:name w:val="Text komentára Char1126"/>
    <w:aliases w:val="Char7 Char Char1127,Text komentára Char Char Char1127,Comment Text Char Char Char1127"/>
    <w:uiPriority w:val="99"/>
    <w:semiHidden/>
    <w:rPr>
      <w:rFonts w:ascii="Courier" w:hAnsi="Courier"/>
      <w:lang w:val="x-none" w:eastAsia="cs-CZ"/>
    </w:rPr>
  </w:style>
  <w:style w:type="character" w:customStyle="1" w:styleId="TextkomentraChar1125">
    <w:name w:val="Text komentára Char1125"/>
    <w:aliases w:val="Char7 Char Char1126,Text komentára Char Char Char1126,Comment Text Char Char Char1126"/>
    <w:uiPriority w:val="99"/>
    <w:semiHidden/>
    <w:rPr>
      <w:rFonts w:ascii="Courier" w:hAnsi="Courier"/>
      <w:lang w:val="x-none" w:eastAsia="cs-CZ"/>
    </w:rPr>
  </w:style>
  <w:style w:type="character" w:customStyle="1" w:styleId="TextkomentraChar1124">
    <w:name w:val="Text komentára Char1124"/>
    <w:aliases w:val="Char7 Char Char1125,Text komentára Char Char Char1125,Comment Text Char Char Char1125"/>
    <w:uiPriority w:val="99"/>
    <w:semiHidden/>
    <w:rPr>
      <w:rFonts w:ascii="Courier" w:hAnsi="Courier"/>
      <w:lang w:val="x-none" w:eastAsia="cs-CZ"/>
    </w:rPr>
  </w:style>
  <w:style w:type="character" w:customStyle="1" w:styleId="TextkomentraChar1123">
    <w:name w:val="Text komentára Char1123"/>
    <w:aliases w:val="Char7 Char Char1124,Text komentára Char Char Char1124,Comment Text Char Char Char1124"/>
    <w:uiPriority w:val="99"/>
    <w:semiHidden/>
    <w:rPr>
      <w:rFonts w:ascii="Courier" w:hAnsi="Courier"/>
      <w:lang w:val="x-none" w:eastAsia="cs-CZ"/>
    </w:rPr>
  </w:style>
  <w:style w:type="character" w:customStyle="1" w:styleId="TextkomentraChar1122">
    <w:name w:val="Text komentára Char1122"/>
    <w:aliases w:val="Char7 Char Char1123,Text komentára Char Char Char1123,Comment Text Char Char Char1123"/>
    <w:uiPriority w:val="99"/>
    <w:semiHidden/>
    <w:rPr>
      <w:rFonts w:ascii="Courier" w:hAnsi="Courier"/>
      <w:lang w:val="x-none" w:eastAsia="cs-CZ"/>
    </w:rPr>
  </w:style>
  <w:style w:type="character" w:customStyle="1" w:styleId="TextkomentraChar1121">
    <w:name w:val="Text komentára Char1121"/>
    <w:aliases w:val="Char7 Char Char1122,Text komentára Char Char Char1122,Comment Text Char Char Char1122"/>
    <w:uiPriority w:val="99"/>
    <w:semiHidden/>
    <w:rPr>
      <w:rFonts w:ascii="Courier" w:hAnsi="Courier"/>
      <w:lang w:val="x-none" w:eastAsia="cs-CZ"/>
    </w:rPr>
  </w:style>
  <w:style w:type="character" w:customStyle="1" w:styleId="TextkomentraChar1120">
    <w:name w:val="Text komentára Char1120"/>
    <w:aliases w:val="Char7 Char Char1121,Text komentára Char Char Char1121,Comment Text Char Char Char1121"/>
    <w:uiPriority w:val="99"/>
    <w:semiHidden/>
    <w:rPr>
      <w:rFonts w:ascii="Courier" w:hAnsi="Courier"/>
      <w:lang w:val="x-none" w:eastAsia="cs-CZ"/>
    </w:rPr>
  </w:style>
  <w:style w:type="character" w:customStyle="1" w:styleId="TextkomentraChar1119">
    <w:name w:val="Text komentára Char1119"/>
    <w:aliases w:val="Char7 Char Char1120,Text komentára Char Char Char1120,Comment Text Char Char Char1120"/>
    <w:uiPriority w:val="99"/>
    <w:semiHidden/>
    <w:rPr>
      <w:rFonts w:ascii="Courier" w:hAnsi="Courier"/>
      <w:lang w:val="x-none" w:eastAsia="cs-CZ"/>
    </w:rPr>
  </w:style>
  <w:style w:type="character" w:customStyle="1" w:styleId="TextkomentraChar1118">
    <w:name w:val="Text komentára Char1118"/>
    <w:aliases w:val="Char7 Char Char1119,Text komentára Char Char Char1119,Comment Text Char Char Char1119"/>
    <w:uiPriority w:val="99"/>
    <w:semiHidden/>
    <w:rPr>
      <w:rFonts w:ascii="Courier" w:hAnsi="Courier"/>
      <w:lang w:val="x-none" w:eastAsia="cs-CZ"/>
    </w:rPr>
  </w:style>
  <w:style w:type="character" w:customStyle="1" w:styleId="TextkomentraChar1117">
    <w:name w:val="Text komentára Char1117"/>
    <w:aliases w:val="Char7 Char Char1118,Text komentára Char Char Char1118,Comment Text Char Char Char1118"/>
    <w:uiPriority w:val="99"/>
    <w:semiHidden/>
    <w:rPr>
      <w:rFonts w:ascii="Courier" w:hAnsi="Courier"/>
      <w:lang w:val="x-none" w:eastAsia="cs-CZ"/>
    </w:rPr>
  </w:style>
  <w:style w:type="character" w:customStyle="1" w:styleId="TextkomentraChar1116">
    <w:name w:val="Text komentára Char1116"/>
    <w:aliases w:val="Char7 Char Char1117,Text komentára Char Char Char1117,Comment Text Char Char Char1117"/>
    <w:uiPriority w:val="99"/>
    <w:semiHidden/>
    <w:rPr>
      <w:rFonts w:ascii="Courier" w:hAnsi="Courier"/>
      <w:lang w:val="x-none" w:eastAsia="cs-CZ"/>
    </w:rPr>
  </w:style>
  <w:style w:type="character" w:customStyle="1" w:styleId="TextkomentraChar1115">
    <w:name w:val="Text komentára Char1115"/>
    <w:aliases w:val="Char7 Char Char1116,Text komentára Char Char Char1116,Comment Text Char Char Char1116"/>
    <w:uiPriority w:val="99"/>
    <w:semiHidden/>
    <w:rPr>
      <w:rFonts w:ascii="Courier" w:hAnsi="Courier"/>
      <w:lang w:val="x-none" w:eastAsia="cs-CZ"/>
    </w:rPr>
  </w:style>
  <w:style w:type="character" w:customStyle="1" w:styleId="TextkomentraChar1114">
    <w:name w:val="Text komentára Char1114"/>
    <w:aliases w:val="Char7 Char Char1115,Text komentára Char Char Char1115,Comment Text Char Char Char1115"/>
    <w:uiPriority w:val="99"/>
    <w:semiHidden/>
    <w:rPr>
      <w:rFonts w:ascii="Courier" w:hAnsi="Courier"/>
      <w:lang w:val="x-none" w:eastAsia="cs-CZ"/>
    </w:rPr>
  </w:style>
  <w:style w:type="character" w:customStyle="1" w:styleId="TextkomentraChar1113">
    <w:name w:val="Text komentára Char1113"/>
    <w:aliases w:val="Char7 Char Char1114,Text komentára Char Char Char1114,Comment Text Char Char Char1114"/>
    <w:uiPriority w:val="99"/>
    <w:semiHidden/>
    <w:rPr>
      <w:rFonts w:ascii="Courier" w:hAnsi="Courier"/>
      <w:lang w:val="x-none" w:eastAsia="cs-CZ"/>
    </w:rPr>
  </w:style>
  <w:style w:type="character" w:customStyle="1" w:styleId="TextkomentraChar1112">
    <w:name w:val="Text komentára Char1112"/>
    <w:aliases w:val="Char7 Char Char1113,Text komentára Char Char Char1113,Comment Text Char Char Char1113"/>
    <w:uiPriority w:val="99"/>
    <w:semiHidden/>
    <w:rPr>
      <w:rFonts w:ascii="Courier" w:hAnsi="Courier"/>
      <w:lang w:val="x-none" w:eastAsia="cs-CZ"/>
    </w:rPr>
  </w:style>
  <w:style w:type="character" w:customStyle="1" w:styleId="TextkomentraChar1111">
    <w:name w:val="Text komentára Char1111"/>
    <w:aliases w:val="Char7 Char Char1112,Text komentára Char Char Char1112,Comment Text Char Char Char1112"/>
    <w:uiPriority w:val="99"/>
    <w:semiHidden/>
    <w:rPr>
      <w:rFonts w:ascii="Courier" w:hAnsi="Courier"/>
      <w:lang w:val="x-none" w:eastAsia="cs-CZ"/>
    </w:rPr>
  </w:style>
  <w:style w:type="character" w:customStyle="1" w:styleId="TextkomentraChar1110">
    <w:name w:val="Text komentára Char1110"/>
    <w:aliases w:val="Char7 Char Char1111,Text komentára Char Char Char1111,Comment Text Char Char Char1111"/>
    <w:uiPriority w:val="99"/>
    <w:semiHidden/>
    <w:rPr>
      <w:rFonts w:ascii="Courier" w:hAnsi="Courier"/>
      <w:lang w:val="x-none" w:eastAsia="cs-CZ"/>
    </w:rPr>
  </w:style>
  <w:style w:type="character" w:customStyle="1" w:styleId="TextkomentraChar1109">
    <w:name w:val="Text komentára Char1109"/>
    <w:aliases w:val="Char7 Char Char1110,Text komentára Char Char Char1110,Comment Text Char Char Char1110"/>
    <w:uiPriority w:val="99"/>
    <w:semiHidden/>
    <w:rPr>
      <w:rFonts w:ascii="Courier" w:hAnsi="Courier"/>
      <w:lang w:val="x-none" w:eastAsia="cs-CZ"/>
    </w:rPr>
  </w:style>
  <w:style w:type="character" w:customStyle="1" w:styleId="TextkomentraChar1108">
    <w:name w:val="Text komentára Char1108"/>
    <w:aliases w:val="Char7 Char Char1109,Text komentára Char Char Char1109,Comment Text Char Char Char1109"/>
    <w:uiPriority w:val="99"/>
    <w:semiHidden/>
    <w:rPr>
      <w:rFonts w:ascii="Courier" w:hAnsi="Courier"/>
      <w:lang w:val="x-none" w:eastAsia="cs-CZ"/>
    </w:rPr>
  </w:style>
  <w:style w:type="character" w:customStyle="1" w:styleId="TextkomentraChar1107">
    <w:name w:val="Text komentára Char1107"/>
    <w:aliases w:val="Char7 Char Char1108,Text komentára Char Char Char1108,Comment Text Char Char Char1108"/>
    <w:uiPriority w:val="99"/>
    <w:semiHidden/>
    <w:rPr>
      <w:rFonts w:ascii="Courier" w:hAnsi="Courier"/>
      <w:lang w:val="x-none" w:eastAsia="cs-CZ"/>
    </w:rPr>
  </w:style>
  <w:style w:type="character" w:customStyle="1" w:styleId="TextkomentraChar1106">
    <w:name w:val="Text komentára Char1106"/>
    <w:aliases w:val="Char7 Char Char1107,Text komentára Char Char Char1107,Comment Text Char Char Char1107"/>
    <w:uiPriority w:val="99"/>
    <w:semiHidden/>
    <w:rPr>
      <w:rFonts w:ascii="Courier" w:hAnsi="Courier"/>
      <w:lang w:val="x-none" w:eastAsia="cs-CZ"/>
    </w:rPr>
  </w:style>
  <w:style w:type="character" w:customStyle="1" w:styleId="TextkomentraChar1105">
    <w:name w:val="Text komentára Char1105"/>
    <w:aliases w:val="Char7 Char Char1106,Text komentára Char Char Char1106,Comment Text Char Char Char1106"/>
    <w:uiPriority w:val="99"/>
    <w:semiHidden/>
    <w:rPr>
      <w:rFonts w:ascii="Courier" w:hAnsi="Courier"/>
      <w:lang w:val="x-none" w:eastAsia="cs-CZ"/>
    </w:rPr>
  </w:style>
  <w:style w:type="character" w:customStyle="1" w:styleId="TextkomentraChar1104">
    <w:name w:val="Text komentára Char1104"/>
    <w:aliases w:val="Char7 Char Char1105,Text komentára Char Char Char1105,Comment Text Char Char Char1105"/>
    <w:uiPriority w:val="99"/>
    <w:semiHidden/>
    <w:rPr>
      <w:rFonts w:ascii="Courier" w:hAnsi="Courier"/>
      <w:lang w:val="x-none" w:eastAsia="cs-CZ"/>
    </w:rPr>
  </w:style>
  <w:style w:type="character" w:customStyle="1" w:styleId="TextkomentraChar1103">
    <w:name w:val="Text komentára Char1103"/>
    <w:aliases w:val="Char7 Char Char1104,Text komentára Char Char Char1104,Comment Text Char Char Char1104"/>
    <w:uiPriority w:val="99"/>
    <w:semiHidden/>
    <w:rPr>
      <w:rFonts w:ascii="Courier" w:hAnsi="Courier"/>
      <w:lang w:val="x-none" w:eastAsia="cs-CZ"/>
    </w:rPr>
  </w:style>
  <w:style w:type="character" w:customStyle="1" w:styleId="TextkomentraChar1102">
    <w:name w:val="Text komentára Char1102"/>
    <w:aliases w:val="Char7 Char Char1103,Text komentára Char Char Char1103,Comment Text Char Char Char1103"/>
    <w:uiPriority w:val="99"/>
    <w:semiHidden/>
    <w:rPr>
      <w:rFonts w:ascii="Courier" w:hAnsi="Courier"/>
      <w:lang w:val="x-none" w:eastAsia="cs-CZ"/>
    </w:rPr>
  </w:style>
  <w:style w:type="character" w:customStyle="1" w:styleId="TextkomentraChar1101">
    <w:name w:val="Text komentára Char1101"/>
    <w:aliases w:val="Char7 Char Char1102,Text komentára Char Char Char1102,Comment Text Char Char Char1102"/>
    <w:uiPriority w:val="99"/>
    <w:semiHidden/>
    <w:rPr>
      <w:rFonts w:ascii="Courier" w:hAnsi="Courier"/>
      <w:lang w:val="x-none" w:eastAsia="cs-CZ"/>
    </w:rPr>
  </w:style>
  <w:style w:type="character" w:customStyle="1" w:styleId="TextkomentraChar1100">
    <w:name w:val="Text komentára Char1100"/>
    <w:aliases w:val="Char7 Char Char1101,Text komentára Char Char Char1101,Comment Text Char Char Char1101"/>
    <w:uiPriority w:val="99"/>
    <w:semiHidden/>
    <w:rPr>
      <w:rFonts w:ascii="Courier" w:hAnsi="Courier"/>
      <w:lang w:val="x-none" w:eastAsia="cs-CZ"/>
    </w:rPr>
  </w:style>
  <w:style w:type="character" w:customStyle="1" w:styleId="TextkomentraChar199">
    <w:name w:val="Text komentára Char199"/>
    <w:aliases w:val="Char7 Char Char1100,Text komentára Char Char Char1100,Comment Text Char Char Char1100"/>
    <w:uiPriority w:val="99"/>
    <w:semiHidden/>
    <w:rPr>
      <w:rFonts w:ascii="Courier" w:hAnsi="Courier"/>
      <w:lang w:val="x-none" w:eastAsia="cs-CZ"/>
    </w:rPr>
  </w:style>
  <w:style w:type="character" w:customStyle="1" w:styleId="TextkomentraChar198">
    <w:name w:val="Text komentára Char198"/>
    <w:aliases w:val="Char7 Char Char199,Text komentára Char Char Char199,Comment Text Char Char Char199"/>
    <w:uiPriority w:val="99"/>
    <w:semiHidden/>
    <w:rPr>
      <w:rFonts w:ascii="Courier" w:hAnsi="Courier"/>
      <w:lang w:val="x-none" w:eastAsia="cs-CZ"/>
    </w:rPr>
  </w:style>
  <w:style w:type="character" w:customStyle="1" w:styleId="TextkomentraChar197">
    <w:name w:val="Text komentára Char197"/>
    <w:aliases w:val="Char7 Char Char198,Text komentára Char Char Char198,Comment Text Char Char Char198"/>
    <w:uiPriority w:val="99"/>
    <w:semiHidden/>
    <w:rPr>
      <w:rFonts w:ascii="Courier" w:hAnsi="Courier"/>
      <w:lang w:val="x-none" w:eastAsia="cs-CZ"/>
    </w:rPr>
  </w:style>
  <w:style w:type="character" w:customStyle="1" w:styleId="TextkomentraChar196">
    <w:name w:val="Text komentára Char196"/>
    <w:aliases w:val="Char7 Char Char197,Text komentára Char Char Char197,Comment Text Char Char Char197"/>
    <w:uiPriority w:val="99"/>
    <w:semiHidden/>
    <w:rPr>
      <w:rFonts w:ascii="Courier" w:hAnsi="Courier"/>
      <w:lang w:val="x-none" w:eastAsia="cs-CZ"/>
    </w:rPr>
  </w:style>
  <w:style w:type="character" w:customStyle="1" w:styleId="TextkomentraChar195">
    <w:name w:val="Text komentára Char195"/>
    <w:aliases w:val="Char7 Char Char196,Text komentára Char Char Char196,Comment Text Char Char Char196"/>
    <w:uiPriority w:val="99"/>
    <w:semiHidden/>
    <w:rPr>
      <w:rFonts w:ascii="Courier" w:hAnsi="Courier"/>
      <w:lang w:val="x-none" w:eastAsia="cs-CZ"/>
    </w:rPr>
  </w:style>
  <w:style w:type="character" w:customStyle="1" w:styleId="TextkomentraChar194">
    <w:name w:val="Text komentára Char194"/>
    <w:aliases w:val="Char7 Char Char195,Text komentára Char Char Char195,Comment Text Char Char Char195"/>
    <w:uiPriority w:val="99"/>
    <w:semiHidden/>
    <w:rPr>
      <w:rFonts w:ascii="Courier" w:hAnsi="Courier"/>
      <w:lang w:val="x-none" w:eastAsia="cs-CZ"/>
    </w:rPr>
  </w:style>
  <w:style w:type="character" w:customStyle="1" w:styleId="TextkomentraChar193">
    <w:name w:val="Text komentára Char193"/>
    <w:aliases w:val="Char7 Char Char194,Text komentára Char Char Char194,Comment Text Char Char Char194"/>
    <w:uiPriority w:val="99"/>
    <w:semiHidden/>
    <w:rPr>
      <w:rFonts w:ascii="Courier" w:hAnsi="Courier"/>
      <w:lang w:val="x-none" w:eastAsia="cs-CZ"/>
    </w:rPr>
  </w:style>
  <w:style w:type="character" w:customStyle="1" w:styleId="TextkomentraChar192">
    <w:name w:val="Text komentára Char192"/>
    <w:aliases w:val="Char7 Char Char193,Text komentára Char Char Char193,Comment Text Char Char Char193"/>
    <w:uiPriority w:val="99"/>
    <w:semiHidden/>
    <w:rPr>
      <w:rFonts w:ascii="Courier" w:hAnsi="Courier"/>
      <w:lang w:val="x-none" w:eastAsia="cs-CZ"/>
    </w:rPr>
  </w:style>
  <w:style w:type="character" w:customStyle="1" w:styleId="TextkomentraChar191">
    <w:name w:val="Text komentára Char191"/>
    <w:aliases w:val="Char7 Char Char192,Text komentára Char Char Char192,Comment Text Char Char Char192"/>
    <w:uiPriority w:val="99"/>
    <w:semiHidden/>
    <w:rPr>
      <w:rFonts w:ascii="Courier" w:hAnsi="Courier"/>
      <w:lang w:val="x-none" w:eastAsia="cs-CZ"/>
    </w:rPr>
  </w:style>
  <w:style w:type="character" w:customStyle="1" w:styleId="TextkomentraChar190">
    <w:name w:val="Text komentára Char190"/>
    <w:aliases w:val="Char7 Char Char191,Text komentára Char Char Char191,Comment Text Char Char Char191"/>
    <w:uiPriority w:val="99"/>
    <w:semiHidden/>
    <w:rPr>
      <w:rFonts w:ascii="Courier" w:hAnsi="Courier"/>
      <w:lang w:val="x-none" w:eastAsia="cs-CZ"/>
    </w:rPr>
  </w:style>
  <w:style w:type="character" w:customStyle="1" w:styleId="TextkomentraChar189">
    <w:name w:val="Text komentára Char189"/>
    <w:aliases w:val="Char7 Char Char190,Text komentára Char Char Char190,Comment Text Char Char Char190"/>
    <w:uiPriority w:val="99"/>
    <w:semiHidden/>
    <w:rPr>
      <w:rFonts w:ascii="Courier" w:hAnsi="Courier"/>
      <w:lang w:val="x-none" w:eastAsia="cs-CZ"/>
    </w:rPr>
  </w:style>
  <w:style w:type="character" w:customStyle="1" w:styleId="TextkomentraChar188">
    <w:name w:val="Text komentára Char188"/>
    <w:aliases w:val="Char7 Char Char189,Text komentára Char Char Char189,Comment Text Char Char Char189"/>
    <w:uiPriority w:val="99"/>
    <w:semiHidden/>
    <w:rPr>
      <w:rFonts w:ascii="Courier" w:hAnsi="Courier"/>
      <w:lang w:val="x-none" w:eastAsia="cs-CZ"/>
    </w:rPr>
  </w:style>
  <w:style w:type="character" w:customStyle="1" w:styleId="TextkomentraChar187">
    <w:name w:val="Text komentára Char187"/>
    <w:aliases w:val="Char7 Char Char188,Text komentára Char Char Char188,Comment Text Char Char Char188"/>
    <w:uiPriority w:val="99"/>
    <w:semiHidden/>
    <w:rPr>
      <w:rFonts w:ascii="Courier" w:hAnsi="Courier"/>
      <w:lang w:val="x-none" w:eastAsia="cs-CZ"/>
    </w:rPr>
  </w:style>
  <w:style w:type="character" w:customStyle="1" w:styleId="TextkomentraChar186">
    <w:name w:val="Text komentára Char186"/>
    <w:aliases w:val="Char7 Char Char187,Text komentára Char Char Char187,Comment Text Char Char Char187"/>
    <w:uiPriority w:val="99"/>
    <w:semiHidden/>
    <w:rPr>
      <w:rFonts w:ascii="Courier" w:hAnsi="Courier"/>
      <w:lang w:val="x-none" w:eastAsia="cs-CZ"/>
    </w:rPr>
  </w:style>
  <w:style w:type="character" w:customStyle="1" w:styleId="TextkomentraChar185">
    <w:name w:val="Text komentára Char185"/>
    <w:aliases w:val="Char7 Char Char186,Text komentára Char Char Char186,Comment Text Char Char Char186"/>
    <w:uiPriority w:val="99"/>
    <w:semiHidden/>
    <w:rPr>
      <w:rFonts w:ascii="Courier" w:hAnsi="Courier"/>
      <w:lang w:val="x-none" w:eastAsia="cs-CZ"/>
    </w:rPr>
  </w:style>
  <w:style w:type="character" w:customStyle="1" w:styleId="TextkomentraChar184">
    <w:name w:val="Text komentára Char184"/>
    <w:aliases w:val="Char7 Char Char185,Text komentára Char Char Char185,Comment Text Char Char Char185"/>
    <w:uiPriority w:val="99"/>
    <w:semiHidden/>
    <w:rPr>
      <w:rFonts w:ascii="Courier" w:hAnsi="Courier"/>
      <w:lang w:val="x-none" w:eastAsia="cs-CZ"/>
    </w:rPr>
  </w:style>
  <w:style w:type="character" w:customStyle="1" w:styleId="TextkomentraChar183">
    <w:name w:val="Text komentára Char183"/>
    <w:aliases w:val="Char7 Char Char184,Text komentára Char Char Char184,Comment Text Char Char Char184"/>
    <w:uiPriority w:val="99"/>
    <w:semiHidden/>
    <w:rPr>
      <w:rFonts w:ascii="Courier" w:hAnsi="Courier"/>
      <w:lang w:val="x-none" w:eastAsia="cs-CZ"/>
    </w:rPr>
  </w:style>
  <w:style w:type="character" w:customStyle="1" w:styleId="TextkomentraChar182">
    <w:name w:val="Text komentára Char182"/>
    <w:aliases w:val="Char7 Char Char183,Text komentára Char Char Char183,Comment Text Char Char Char183"/>
    <w:uiPriority w:val="99"/>
    <w:semiHidden/>
    <w:rPr>
      <w:rFonts w:ascii="Courier" w:hAnsi="Courier"/>
      <w:lang w:val="x-none" w:eastAsia="cs-CZ"/>
    </w:rPr>
  </w:style>
  <w:style w:type="character" w:customStyle="1" w:styleId="TextkomentraChar181">
    <w:name w:val="Text komentára Char181"/>
    <w:aliases w:val="Char7 Char Char182,Text komentára Char Char Char182,Comment Text Char Char Char182"/>
    <w:uiPriority w:val="99"/>
    <w:semiHidden/>
    <w:rPr>
      <w:rFonts w:ascii="Courier" w:hAnsi="Courier"/>
      <w:lang w:val="x-none" w:eastAsia="cs-CZ"/>
    </w:rPr>
  </w:style>
  <w:style w:type="character" w:customStyle="1" w:styleId="TextkomentraChar180">
    <w:name w:val="Text komentára Char180"/>
    <w:aliases w:val="Char7 Char Char181,Text komentára Char Char Char181,Comment Text Char Char Char181"/>
    <w:uiPriority w:val="99"/>
    <w:semiHidden/>
    <w:rPr>
      <w:rFonts w:ascii="Courier" w:hAnsi="Courier"/>
      <w:lang w:val="x-none" w:eastAsia="cs-CZ"/>
    </w:rPr>
  </w:style>
  <w:style w:type="character" w:customStyle="1" w:styleId="TextkomentraChar179">
    <w:name w:val="Text komentára Char179"/>
    <w:aliases w:val="Char7 Char Char180,Text komentára Char Char Char180,Comment Text Char Char Char180"/>
    <w:uiPriority w:val="99"/>
    <w:semiHidden/>
    <w:rPr>
      <w:rFonts w:ascii="Courier" w:hAnsi="Courier"/>
      <w:lang w:val="x-none" w:eastAsia="cs-CZ"/>
    </w:rPr>
  </w:style>
  <w:style w:type="character" w:customStyle="1" w:styleId="TextkomentraChar178">
    <w:name w:val="Text komentára Char178"/>
    <w:aliases w:val="Char7 Char Char179,Text komentára Char Char Char179,Comment Text Char Char Char179"/>
    <w:uiPriority w:val="99"/>
    <w:semiHidden/>
    <w:rPr>
      <w:rFonts w:ascii="Courier" w:hAnsi="Courier"/>
      <w:lang w:val="x-none" w:eastAsia="cs-CZ"/>
    </w:rPr>
  </w:style>
  <w:style w:type="character" w:customStyle="1" w:styleId="TextkomentraChar177">
    <w:name w:val="Text komentára Char177"/>
    <w:aliases w:val="Char7 Char Char178,Text komentára Char Char Char178,Comment Text Char Char Char178"/>
    <w:uiPriority w:val="99"/>
    <w:semiHidden/>
    <w:rPr>
      <w:rFonts w:ascii="Courier" w:hAnsi="Courier"/>
      <w:lang w:val="x-none" w:eastAsia="cs-CZ"/>
    </w:rPr>
  </w:style>
  <w:style w:type="character" w:customStyle="1" w:styleId="TextkomentraChar176">
    <w:name w:val="Text komentára Char176"/>
    <w:aliases w:val="Char7 Char Char177,Text komentára Char Char Char177,Comment Text Char Char Char177"/>
    <w:uiPriority w:val="99"/>
    <w:semiHidden/>
    <w:rPr>
      <w:rFonts w:ascii="Courier" w:hAnsi="Courier"/>
      <w:lang w:val="x-none" w:eastAsia="cs-CZ"/>
    </w:rPr>
  </w:style>
  <w:style w:type="character" w:customStyle="1" w:styleId="TextkomentraChar175">
    <w:name w:val="Text komentára Char175"/>
    <w:aliases w:val="Char7 Char Char176,Text komentára Char Char Char176,Comment Text Char Char Char176"/>
    <w:uiPriority w:val="99"/>
    <w:semiHidden/>
    <w:rPr>
      <w:rFonts w:ascii="Courier" w:hAnsi="Courier"/>
      <w:lang w:val="x-none" w:eastAsia="cs-CZ"/>
    </w:rPr>
  </w:style>
  <w:style w:type="character" w:customStyle="1" w:styleId="TextkomentraChar174">
    <w:name w:val="Text komentára Char174"/>
    <w:aliases w:val="Char7 Char Char175,Text komentára Char Char Char175,Comment Text Char Char Char175"/>
    <w:uiPriority w:val="99"/>
    <w:semiHidden/>
    <w:rPr>
      <w:rFonts w:ascii="Courier" w:hAnsi="Courier"/>
      <w:lang w:val="x-none" w:eastAsia="cs-CZ"/>
    </w:rPr>
  </w:style>
  <w:style w:type="character" w:customStyle="1" w:styleId="TextkomentraChar173">
    <w:name w:val="Text komentára Char173"/>
    <w:aliases w:val="Char7 Char Char174,Text komentára Char Char Char174,Comment Text Char Char Char174"/>
    <w:uiPriority w:val="99"/>
    <w:semiHidden/>
    <w:rPr>
      <w:rFonts w:ascii="Courier" w:hAnsi="Courier"/>
      <w:lang w:val="x-none" w:eastAsia="cs-CZ"/>
    </w:rPr>
  </w:style>
  <w:style w:type="character" w:customStyle="1" w:styleId="TextkomentraChar172">
    <w:name w:val="Text komentára Char172"/>
    <w:aliases w:val="Char7 Char Char173,Text komentára Char Char Char173,Comment Text Char Char Char173"/>
    <w:uiPriority w:val="99"/>
    <w:semiHidden/>
    <w:rPr>
      <w:rFonts w:ascii="Courier" w:hAnsi="Courier"/>
      <w:lang w:val="x-none" w:eastAsia="cs-CZ"/>
    </w:rPr>
  </w:style>
  <w:style w:type="character" w:customStyle="1" w:styleId="TextkomentraChar171">
    <w:name w:val="Text komentára Char171"/>
    <w:aliases w:val="Char7 Char Char172,Text komentára Char Char Char172,Comment Text Char Char Char172"/>
    <w:uiPriority w:val="99"/>
    <w:semiHidden/>
    <w:rPr>
      <w:rFonts w:ascii="Courier" w:hAnsi="Courier"/>
      <w:lang w:val="x-none" w:eastAsia="cs-CZ"/>
    </w:rPr>
  </w:style>
  <w:style w:type="character" w:customStyle="1" w:styleId="TextkomentraChar170">
    <w:name w:val="Text komentára Char170"/>
    <w:aliases w:val="Char7 Char Char171,Text komentára Char Char Char171,Comment Text Char Char Char171"/>
    <w:uiPriority w:val="99"/>
    <w:semiHidden/>
    <w:rPr>
      <w:rFonts w:ascii="Courier" w:hAnsi="Courier"/>
      <w:lang w:val="x-none" w:eastAsia="cs-CZ"/>
    </w:rPr>
  </w:style>
  <w:style w:type="character" w:customStyle="1" w:styleId="TextkomentraChar169">
    <w:name w:val="Text komentára Char169"/>
    <w:aliases w:val="Char7 Char Char170,Text komentára Char Char Char170,Comment Text Char Char Char170"/>
    <w:uiPriority w:val="99"/>
    <w:semiHidden/>
    <w:rPr>
      <w:rFonts w:ascii="Courier" w:hAnsi="Courier"/>
      <w:lang w:val="x-none" w:eastAsia="cs-CZ"/>
    </w:rPr>
  </w:style>
  <w:style w:type="character" w:customStyle="1" w:styleId="TextkomentraChar168">
    <w:name w:val="Text komentára Char168"/>
    <w:aliases w:val="Char7 Char Char169,Text komentára Char Char Char169,Comment Text Char Char Char169"/>
    <w:uiPriority w:val="99"/>
    <w:semiHidden/>
    <w:rPr>
      <w:rFonts w:ascii="Courier" w:hAnsi="Courier"/>
      <w:lang w:val="x-none" w:eastAsia="cs-CZ"/>
    </w:rPr>
  </w:style>
  <w:style w:type="character" w:customStyle="1" w:styleId="TextkomentraChar167">
    <w:name w:val="Text komentára Char167"/>
    <w:aliases w:val="Char7 Char Char168,Text komentára Char Char Char168,Comment Text Char Char Char168"/>
    <w:uiPriority w:val="99"/>
    <w:semiHidden/>
    <w:rPr>
      <w:rFonts w:ascii="Courier" w:hAnsi="Courier"/>
      <w:lang w:val="x-none" w:eastAsia="cs-CZ"/>
    </w:rPr>
  </w:style>
  <w:style w:type="character" w:customStyle="1" w:styleId="TextkomentraChar166">
    <w:name w:val="Text komentára Char166"/>
    <w:aliases w:val="Char7 Char Char167,Text komentára Char Char Char167,Comment Text Char Char Char167"/>
    <w:uiPriority w:val="99"/>
    <w:semiHidden/>
    <w:rPr>
      <w:rFonts w:ascii="Courier" w:hAnsi="Courier"/>
      <w:lang w:val="x-none" w:eastAsia="cs-CZ"/>
    </w:rPr>
  </w:style>
  <w:style w:type="character" w:customStyle="1" w:styleId="TextkomentraChar165">
    <w:name w:val="Text komentára Char165"/>
    <w:aliases w:val="Char7 Char Char166,Text komentára Char Char Char166,Comment Text Char Char Char166"/>
    <w:uiPriority w:val="99"/>
    <w:semiHidden/>
    <w:rPr>
      <w:rFonts w:ascii="Courier" w:hAnsi="Courier"/>
      <w:lang w:val="x-none" w:eastAsia="cs-CZ"/>
    </w:rPr>
  </w:style>
  <w:style w:type="character" w:customStyle="1" w:styleId="TextkomentraChar164">
    <w:name w:val="Text komentára Char164"/>
    <w:aliases w:val="Char7 Char Char165,Text komentára Char Char Char165,Comment Text Char Char Char165"/>
    <w:uiPriority w:val="99"/>
    <w:semiHidden/>
    <w:rPr>
      <w:rFonts w:ascii="Courier" w:hAnsi="Courier"/>
      <w:lang w:val="x-none" w:eastAsia="cs-CZ"/>
    </w:rPr>
  </w:style>
  <w:style w:type="character" w:customStyle="1" w:styleId="TextkomentraChar163">
    <w:name w:val="Text komentára Char163"/>
    <w:aliases w:val="Char7 Char Char164,Text komentára Char Char Char164,Comment Text Char Char Char164"/>
    <w:uiPriority w:val="99"/>
    <w:semiHidden/>
    <w:rPr>
      <w:rFonts w:ascii="Courier" w:hAnsi="Courier"/>
      <w:lang w:val="x-none" w:eastAsia="cs-CZ"/>
    </w:rPr>
  </w:style>
  <w:style w:type="character" w:customStyle="1" w:styleId="TextkomentraChar162">
    <w:name w:val="Text komentára Char162"/>
    <w:aliases w:val="Char7 Char Char163,Text komentára Char Char Char163,Comment Text Char Char Char163"/>
    <w:uiPriority w:val="99"/>
    <w:semiHidden/>
    <w:rPr>
      <w:rFonts w:ascii="Courier" w:hAnsi="Courier"/>
      <w:lang w:val="x-none" w:eastAsia="cs-CZ"/>
    </w:rPr>
  </w:style>
  <w:style w:type="character" w:customStyle="1" w:styleId="TextkomentraChar161">
    <w:name w:val="Text komentára Char161"/>
    <w:aliases w:val="Char7 Char Char162,Text komentára Char Char Char162,Comment Text Char Char Char162"/>
    <w:uiPriority w:val="99"/>
    <w:semiHidden/>
    <w:rPr>
      <w:rFonts w:ascii="Courier" w:hAnsi="Courier"/>
      <w:lang w:val="x-none" w:eastAsia="cs-CZ"/>
    </w:rPr>
  </w:style>
  <w:style w:type="character" w:customStyle="1" w:styleId="TextkomentraChar160">
    <w:name w:val="Text komentára Char160"/>
    <w:aliases w:val="Char7 Char Char161,Text komentára Char Char Char161,Comment Text Char Char Char161"/>
    <w:uiPriority w:val="99"/>
    <w:semiHidden/>
    <w:rPr>
      <w:rFonts w:ascii="Courier" w:hAnsi="Courier"/>
      <w:lang w:val="x-none" w:eastAsia="cs-CZ"/>
    </w:rPr>
  </w:style>
  <w:style w:type="character" w:customStyle="1" w:styleId="TextkomentraChar159">
    <w:name w:val="Text komentára Char159"/>
    <w:aliases w:val="Char7 Char Char160,Text komentára Char Char Char160,Comment Text Char Char Char160"/>
    <w:uiPriority w:val="99"/>
    <w:semiHidden/>
    <w:rPr>
      <w:rFonts w:ascii="Courier" w:hAnsi="Courier"/>
      <w:lang w:val="x-none" w:eastAsia="cs-CZ"/>
    </w:rPr>
  </w:style>
  <w:style w:type="character" w:customStyle="1" w:styleId="TextkomentraChar158">
    <w:name w:val="Text komentára Char158"/>
    <w:aliases w:val="Char7 Char Char159,Text komentára Char Char Char159,Comment Text Char Char Char159"/>
    <w:uiPriority w:val="99"/>
    <w:semiHidden/>
    <w:rPr>
      <w:rFonts w:ascii="Courier" w:hAnsi="Courier"/>
      <w:lang w:val="x-none" w:eastAsia="cs-CZ"/>
    </w:rPr>
  </w:style>
  <w:style w:type="character" w:customStyle="1" w:styleId="TextkomentraChar157">
    <w:name w:val="Text komentára Char157"/>
    <w:aliases w:val="Char7 Char Char158,Text komentára Char Char Char158,Comment Text Char Char Char158"/>
    <w:uiPriority w:val="99"/>
    <w:semiHidden/>
    <w:rPr>
      <w:rFonts w:ascii="Courier" w:hAnsi="Courier"/>
      <w:lang w:val="x-none" w:eastAsia="cs-CZ"/>
    </w:rPr>
  </w:style>
  <w:style w:type="character" w:customStyle="1" w:styleId="TextkomentraChar156">
    <w:name w:val="Text komentára Char156"/>
    <w:aliases w:val="Char7 Char Char157,Text komentára Char Char Char157,Comment Text Char Char Char157"/>
    <w:uiPriority w:val="99"/>
    <w:semiHidden/>
    <w:rPr>
      <w:rFonts w:ascii="Courier" w:hAnsi="Courier"/>
      <w:lang w:val="x-none" w:eastAsia="cs-CZ"/>
    </w:rPr>
  </w:style>
  <w:style w:type="character" w:customStyle="1" w:styleId="TextkomentraChar155">
    <w:name w:val="Text komentára Char155"/>
    <w:aliases w:val="Char7 Char Char156,Text komentára Char Char Char156,Comment Text Char Char Char156"/>
    <w:uiPriority w:val="99"/>
    <w:semiHidden/>
    <w:rPr>
      <w:rFonts w:ascii="Courier" w:hAnsi="Courier"/>
      <w:lang w:val="x-none" w:eastAsia="cs-CZ"/>
    </w:rPr>
  </w:style>
  <w:style w:type="character" w:customStyle="1" w:styleId="TextkomentraChar154">
    <w:name w:val="Text komentára Char154"/>
    <w:aliases w:val="Char7 Char Char155,Text komentára Char Char Char155,Comment Text Char Char Char155"/>
    <w:uiPriority w:val="99"/>
    <w:semiHidden/>
    <w:rPr>
      <w:rFonts w:ascii="Courier" w:hAnsi="Courier"/>
      <w:lang w:val="x-none" w:eastAsia="cs-CZ"/>
    </w:rPr>
  </w:style>
  <w:style w:type="character" w:customStyle="1" w:styleId="TextkomentraChar153">
    <w:name w:val="Text komentára Char153"/>
    <w:aliases w:val="Char7 Char Char154,Text komentára Char Char Char154,Comment Text Char Char Char154"/>
    <w:uiPriority w:val="99"/>
    <w:semiHidden/>
    <w:rPr>
      <w:rFonts w:ascii="Courier" w:hAnsi="Courier"/>
      <w:lang w:val="x-none" w:eastAsia="cs-CZ"/>
    </w:rPr>
  </w:style>
  <w:style w:type="character" w:customStyle="1" w:styleId="TextkomentraChar152">
    <w:name w:val="Text komentára Char152"/>
    <w:aliases w:val="Char7 Char Char153,Text komentára Char Char Char153,Comment Text Char Char Char153"/>
    <w:uiPriority w:val="99"/>
    <w:semiHidden/>
    <w:rPr>
      <w:rFonts w:ascii="Courier" w:hAnsi="Courier"/>
      <w:lang w:val="x-none" w:eastAsia="cs-CZ"/>
    </w:rPr>
  </w:style>
  <w:style w:type="character" w:customStyle="1" w:styleId="TextkomentraChar151">
    <w:name w:val="Text komentára Char151"/>
    <w:aliases w:val="Char7 Char Char152,Text komentára Char Char Char152,Comment Text Char Char Char152"/>
    <w:uiPriority w:val="99"/>
    <w:semiHidden/>
    <w:rPr>
      <w:rFonts w:ascii="Courier" w:hAnsi="Courier"/>
      <w:lang w:val="x-none" w:eastAsia="cs-CZ"/>
    </w:rPr>
  </w:style>
  <w:style w:type="character" w:customStyle="1" w:styleId="TextkomentraChar150">
    <w:name w:val="Text komentára Char150"/>
    <w:aliases w:val="Char7 Char Char151,Text komentára Char Char Char151,Comment Text Char Char Char151"/>
    <w:uiPriority w:val="99"/>
    <w:semiHidden/>
    <w:rPr>
      <w:rFonts w:ascii="Courier" w:hAnsi="Courier"/>
      <w:lang w:val="x-none" w:eastAsia="cs-CZ"/>
    </w:rPr>
  </w:style>
  <w:style w:type="character" w:customStyle="1" w:styleId="TextkomentraChar149">
    <w:name w:val="Text komentára Char149"/>
    <w:aliases w:val="Char7 Char Char150,Text komentára Char Char Char150,Comment Text Char Char Char150"/>
    <w:uiPriority w:val="99"/>
    <w:semiHidden/>
    <w:rPr>
      <w:rFonts w:ascii="Courier" w:hAnsi="Courier"/>
      <w:lang w:val="x-none" w:eastAsia="cs-CZ"/>
    </w:rPr>
  </w:style>
  <w:style w:type="character" w:customStyle="1" w:styleId="TextkomentraChar148">
    <w:name w:val="Text komentára Char148"/>
    <w:aliases w:val="Char7 Char Char149,Text komentára Char Char Char149,Comment Text Char Char Char149"/>
    <w:uiPriority w:val="99"/>
    <w:semiHidden/>
    <w:rPr>
      <w:rFonts w:ascii="Courier" w:hAnsi="Courier"/>
      <w:lang w:val="x-none" w:eastAsia="cs-CZ"/>
    </w:rPr>
  </w:style>
  <w:style w:type="character" w:customStyle="1" w:styleId="TextkomentraChar147">
    <w:name w:val="Text komentára Char147"/>
    <w:aliases w:val="Char7 Char Char148,Text komentára Char Char Char148,Comment Text Char Char Char148"/>
    <w:uiPriority w:val="99"/>
    <w:semiHidden/>
    <w:rPr>
      <w:rFonts w:ascii="Courier" w:hAnsi="Courier"/>
      <w:lang w:val="x-none" w:eastAsia="cs-CZ"/>
    </w:rPr>
  </w:style>
  <w:style w:type="character" w:customStyle="1" w:styleId="TextkomentraChar146">
    <w:name w:val="Text komentára Char146"/>
    <w:aliases w:val="Char7 Char Char147,Text komentára Char Char Char147,Comment Text Char Char Char147"/>
    <w:uiPriority w:val="99"/>
    <w:semiHidden/>
    <w:rPr>
      <w:rFonts w:ascii="Courier" w:hAnsi="Courier"/>
      <w:lang w:val="x-none" w:eastAsia="cs-CZ"/>
    </w:rPr>
  </w:style>
  <w:style w:type="character" w:customStyle="1" w:styleId="TextkomentraChar145">
    <w:name w:val="Text komentára Char145"/>
    <w:aliases w:val="Char7 Char Char146,Text komentára Char Char Char146,Comment Text Char Char Char146"/>
    <w:uiPriority w:val="99"/>
    <w:semiHidden/>
    <w:rPr>
      <w:rFonts w:ascii="Courier" w:hAnsi="Courier"/>
      <w:lang w:val="x-none" w:eastAsia="cs-CZ"/>
    </w:rPr>
  </w:style>
  <w:style w:type="character" w:customStyle="1" w:styleId="TextkomentraChar144">
    <w:name w:val="Text komentára Char144"/>
    <w:aliases w:val="Char7 Char Char145,Text komentára Char Char Char145,Comment Text Char Char Char145"/>
    <w:uiPriority w:val="99"/>
    <w:semiHidden/>
    <w:rPr>
      <w:rFonts w:ascii="Courier" w:hAnsi="Courier"/>
      <w:lang w:val="x-none" w:eastAsia="cs-CZ"/>
    </w:rPr>
  </w:style>
  <w:style w:type="character" w:customStyle="1" w:styleId="TextkomentraChar143">
    <w:name w:val="Text komentára Char143"/>
    <w:aliases w:val="Char7 Char Char144,Text komentára Char Char Char144,Comment Text Char Char Char144"/>
    <w:uiPriority w:val="99"/>
    <w:semiHidden/>
    <w:rPr>
      <w:rFonts w:ascii="Courier" w:hAnsi="Courier"/>
      <w:lang w:val="x-none" w:eastAsia="cs-CZ"/>
    </w:rPr>
  </w:style>
  <w:style w:type="character" w:customStyle="1" w:styleId="TextkomentraChar142">
    <w:name w:val="Text komentára Char142"/>
    <w:aliases w:val="Char7 Char Char143,Text komentára Char Char Char143,Comment Text Char Char Char143"/>
    <w:uiPriority w:val="99"/>
    <w:semiHidden/>
    <w:rPr>
      <w:rFonts w:ascii="Courier" w:hAnsi="Courier"/>
      <w:lang w:val="x-none" w:eastAsia="cs-CZ"/>
    </w:rPr>
  </w:style>
  <w:style w:type="character" w:customStyle="1" w:styleId="TextkomentraChar141">
    <w:name w:val="Text komentára Char141"/>
    <w:aliases w:val="Char7 Char Char142,Text komentára Char Char Char142,Comment Text Char Char Char142"/>
    <w:uiPriority w:val="99"/>
    <w:semiHidden/>
    <w:rPr>
      <w:rFonts w:ascii="Courier" w:hAnsi="Courier"/>
      <w:lang w:val="x-none" w:eastAsia="cs-CZ"/>
    </w:rPr>
  </w:style>
  <w:style w:type="character" w:customStyle="1" w:styleId="TextkomentraChar140">
    <w:name w:val="Text komentára Char140"/>
    <w:aliases w:val="Char7 Char Char141,Text komentára Char Char Char141,Comment Text Char Char Char141"/>
    <w:uiPriority w:val="99"/>
    <w:semiHidden/>
    <w:rPr>
      <w:rFonts w:ascii="Courier" w:hAnsi="Courier"/>
      <w:lang w:val="x-none" w:eastAsia="cs-CZ"/>
    </w:rPr>
  </w:style>
  <w:style w:type="character" w:customStyle="1" w:styleId="TextkomentraChar139">
    <w:name w:val="Text komentára Char139"/>
    <w:aliases w:val="Char7 Char Char140,Text komentára Char Char Char140,Comment Text Char Char Char140"/>
    <w:uiPriority w:val="99"/>
    <w:semiHidden/>
    <w:rPr>
      <w:rFonts w:ascii="Courier" w:hAnsi="Courier"/>
      <w:lang w:val="x-none" w:eastAsia="cs-CZ"/>
    </w:rPr>
  </w:style>
  <w:style w:type="character" w:customStyle="1" w:styleId="TextkomentraChar138">
    <w:name w:val="Text komentára Char138"/>
    <w:aliases w:val="Char7 Char Char139,Text komentára Char Char Char139,Comment Text Char Char Char139"/>
    <w:uiPriority w:val="99"/>
    <w:semiHidden/>
    <w:rPr>
      <w:rFonts w:ascii="Courier" w:hAnsi="Courier"/>
      <w:lang w:val="x-none" w:eastAsia="cs-CZ"/>
    </w:rPr>
  </w:style>
  <w:style w:type="character" w:customStyle="1" w:styleId="TextkomentraChar137">
    <w:name w:val="Text komentára Char137"/>
    <w:aliases w:val="Char7 Char Char138,Text komentára Char Char Char138,Comment Text Char Char Char138"/>
    <w:uiPriority w:val="99"/>
    <w:semiHidden/>
    <w:rPr>
      <w:rFonts w:ascii="Courier" w:hAnsi="Courier"/>
      <w:lang w:val="x-none" w:eastAsia="cs-CZ"/>
    </w:rPr>
  </w:style>
  <w:style w:type="character" w:customStyle="1" w:styleId="TextkomentraChar136">
    <w:name w:val="Text komentára Char136"/>
    <w:aliases w:val="Char7 Char Char137,Text komentára Char Char Char137,Comment Text Char Char Char137"/>
    <w:uiPriority w:val="99"/>
    <w:semiHidden/>
    <w:rPr>
      <w:rFonts w:ascii="Courier" w:hAnsi="Courier"/>
      <w:lang w:val="x-none" w:eastAsia="cs-CZ"/>
    </w:rPr>
  </w:style>
  <w:style w:type="character" w:customStyle="1" w:styleId="TextkomentraChar135">
    <w:name w:val="Text komentára Char135"/>
    <w:aliases w:val="Char7 Char Char136,Text komentára Char Char Char136,Comment Text Char Char Char136"/>
    <w:uiPriority w:val="99"/>
    <w:semiHidden/>
    <w:rPr>
      <w:rFonts w:ascii="Courier" w:hAnsi="Courier"/>
      <w:lang w:val="x-none" w:eastAsia="cs-CZ"/>
    </w:rPr>
  </w:style>
  <w:style w:type="character" w:customStyle="1" w:styleId="TextkomentraChar134">
    <w:name w:val="Text komentára Char134"/>
    <w:aliases w:val="Char7 Char Char135,Text komentára Char Char Char135,Comment Text Char Char Char135"/>
    <w:uiPriority w:val="99"/>
    <w:semiHidden/>
    <w:rPr>
      <w:rFonts w:ascii="Courier" w:hAnsi="Courier"/>
      <w:lang w:val="x-none" w:eastAsia="cs-CZ"/>
    </w:rPr>
  </w:style>
  <w:style w:type="character" w:customStyle="1" w:styleId="TextkomentraChar133">
    <w:name w:val="Text komentára Char133"/>
    <w:aliases w:val="Char7 Char Char134,Text komentára Char Char Char134,Comment Text Char Char Char134"/>
    <w:uiPriority w:val="99"/>
    <w:semiHidden/>
    <w:rPr>
      <w:rFonts w:ascii="Courier" w:hAnsi="Courier"/>
      <w:lang w:val="x-none" w:eastAsia="cs-CZ"/>
    </w:rPr>
  </w:style>
  <w:style w:type="character" w:customStyle="1" w:styleId="TextkomentraChar132">
    <w:name w:val="Text komentára Char132"/>
    <w:aliases w:val="Char7 Char Char133,Text komentára Char Char Char133,Comment Text Char Char Char133"/>
    <w:uiPriority w:val="99"/>
    <w:semiHidden/>
    <w:rPr>
      <w:rFonts w:ascii="Courier" w:hAnsi="Courier"/>
      <w:lang w:val="x-none" w:eastAsia="cs-CZ"/>
    </w:rPr>
  </w:style>
  <w:style w:type="character" w:customStyle="1" w:styleId="TextkomentraChar131">
    <w:name w:val="Text komentára Char131"/>
    <w:aliases w:val="Char7 Char Char132,Text komentára Char Char Char132,Comment Text Char Char Char132"/>
    <w:uiPriority w:val="99"/>
    <w:semiHidden/>
    <w:rPr>
      <w:rFonts w:ascii="Courier" w:hAnsi="Courier"/>
      <w:lang w:val="x-none" w:eastAsia="cs-CZ"/>
    </w:rPr>
  </w:style>
  <w:style w:type="character" w:customStyle="1" w:styleId="TextkomentraChar130">
    <w:name w:val="Text komentára Char130"/>
    <w:aliases w:val="Char7 Char Char131,Text komentára Char Char Char131,Comment Text Char Char Char131"/>
    <w:uiPriority w:val="99"/>
    <w:semiHidden/>
    <w:rPr>
      <w:rFonts w:ascii="Courier" w:hAnsi="Courier"/>
      <w:lang w:val="x-none" w:eastAsia="cs-CZ"/>
    </w:rPr>
  </w:style>
  <w:style w:type="character" w:customStyle="1" w:styleId="TextkomentraChar129">
    <w:name w:val="Text komentára Char129"/>
    <w:aliases w:val="Char7 Char Char130,Text komentára Char Char Char130,Comment Text Char Char Char130"/>
    <w:uiPriority w:val="99"/>
    <w:semiHidden/>
    <w:rPr>
      <w:rFonts w:ascii="Courier" w:hAnsi="Courier"/>
      <w:lang w:val="x-none" w:eastAsia="cs-CZ"/>
    </w:rPr>
  </w:style>
  <w:style w:type="character" w:customStyle="1" w:styleId="TextkomentraChar128">
    <w:name w:val="Text komentára Char128"/>
    <w:aliases w:val="Char7 Char Char129,Text komentára Char Char Char129,Comment Text Char Char Char129"/>
    <w:uiPriority w:val="99"/>
    <w:semiHidden/>
    <w:rPr>
      <w:rFonts w:ascii="Courier" w:hAnsi="Courier"/>
      <w:lang w:val="x-none" w:eastAsia="cs-CZ"/>
    </w:rPr>
  </w:style>
  <w:style w:type="character" w:customStyle="1" w:styleId="TextkomentraChar127">
    <w:name w:val="Text komentára Char127"/>
    <w:aliases w:val="Char7 Char Char128,Text komentára Char Char Char128,Comment Text Char Char Char128"/>
    <w:uiPriority w:val="99"/>
    <w:semiHidden/>
    <w:rPr>
      <w:rFonts w:ascii="Courier" w:hAnsi="Courier"/>
      <w:lang w:val="x-none" w:eastAsia="cs-CZ"/>
    </w:rPr>
  </w:style>
  <w:style w:type="character" w:customStyle="1" w:styleId="TextkomentraChar126">
    <w:name w:val="Text komentára Char126"/>
    <w:aliases w:val="Char7 Char Char127,Text komentára Char Char Char127,Comment Text Char Char Char127"/>
    <w:uiPriority w:val="99"/>
    <w:semiHidden/>
    <w:rPr>
      <w:rFonts w:ascii="Courier" w:hAnsi="Courier"/>
      <w:lang w:val="x-none" w:eastAsia="cs-CZ"/>
    </w:rPr>
  </w:style>
  <w:style w:type="character" w:customStyle="1" w:styleId="TextkomentraChar125">
    <w:name w:val="Text komentára Char125"/>
    <w:aliases w:val="Char7 Char Char126,Text komentára Char Char Char126,Comment Text Char Char Char126"/>
    <w:uiPriority w:val="99"/>
    <w:semiHidden/>
    <w:rPr>
      <w:rFonts w:ascii="Courier" w:hAnsi="Courier"/>
      <w:lang w:val="x-none" w:eastAsia="cs-CZ"/>
    </w:rPr>
  </w:style>
  <w:style w:type="character" w:customStyle="1" w:styleId="TextkomentraChar124">
    <w:name w:val="Text komentára Char124"/>
    <w:aliases w:val="Char7 Char Char125,Text komentára Char Char Char125,Comment Text Char Char Char125"/>
    <w:uiPriority w:val="99"/>
    <w:semiHidden/>
    <w:rPr>
      <w:rFonts w:ascii="Courier" w:hAnsi="Courier"/>
      <w:lang w:val="x-none" w:eastAsia="cs-CZ"/>
    </w:rPr>
  </w:style>
  <w:style w:type="character" w:customStyle="1" w:styleId="TextkomentraChar123">
    <w:name w:val="Text komentára Char123"/>
    <w:aliases w:val="Char7 Char Char124,Text komentára Char Char Char124,Comment Text Char Char Char124"/>
    <w:uiPriority w:val="99"/>
    <w:semiHidden/>
    <w:rPr>
      <w:rFonts w:ascii="Courier" w:hAnsi="Courier"/>
      <w:lang w:val="x-none" w:eastAsia="cs-CZ"/>
    </w:rPr>
  </w:style>
  <w:style w:type="character" w:customStyle="1" w:styleId="TextkomentraChar122">
    <w:name w:val="Text komentára Char122"/>
    <w:aliases w:val="Char7 Char Char123,Text komentára Char Char Char123,Comment Text Char Char Char123"/>
    <w:uiPriority w:val="99"/>
    <w:semiHidden/>
    <w:rPr>
      <w:rFonts w:ascii="Courier" w:hAnsi="Courier"/>
      <w:lang w:val="x-none" w:eastAsia="cs-CZ"/>
    </w:rPr>
  </w:style>
  <w:style w:type="character" w:customStyle="1" w:styleId="TextkomentraChar121">
    <w:name w:val="Text komentára Char121"/>
    <w:aliases w:val="Char7 Char Char122,Text komentára Char Char Char122,Comment Text Char Char Char122"/>
    <w:uiPriority w:val="99"/>
    <w:semiHidden/>
    <w:rPr>
      <w:rFonts w:ascii="Courier" w:hAnsi="Courier"/>
      <w:lang w:val="x-none" w:eastAsia="cs-CZ"/>
    </w:rPr>
  </w:style>
  <w:style w:type="character" w:customStyle="1" w:styleId="TextkomentraChar120">
    <w:name w:val="Text komentára Char120"/>
    <w:aliases w:val="Char7 Char Char121,Text komentára Char Char Char121,Comment Text Char Char Char121"/>
    <w:uiPriority w:val="99"/>
    <w:semiHidden/>
    <w:rPr>
      <w:rFonts w:ascii="Courier" w:hAnsi="Courier"/>
      <w:lang w:val="x-none" w:eastAsia="cs-CZ"/>
    </w:rPr>
  </w:style>
  <w:style w:type="character" w:customStyle="1" w:styleId="TextkomentraChar119">
    <w:name w:val="Text komentára Char119"/>
    <w:aliases w:val="Char7 Char Char120,Text komentára Char Char Char120,Comment Text Char Char Char120"/>
    <w:uiPriority w:val="99"/>
    <w:semiHidden/>
    <w:rPr>
      <w:rFonts w:ascii="Courier" w:hAnsi="Courier"/>
      <w:lang w:val="x-none" w:eastAsia="cs-CZ"/>
    </w:rPr>
  </w:style>
  <w:style w:type="character" w:customStyle="1" w:styleId="TextkomentraChar118">
    <w:name w:val="Text komentára Char118"/>
    <w:aliases w:val="Char7 Char Char119,Text komentára Char Char Char119,Comment Text Char Char Char119"/>
    <w:uiPriority w:val="99"/>
    <w:semiHidden/>
    <w:rPr>
      <w:rFonts w:ascii="Courier" w:hAnsi="Courier"/>
      <w:lang w:val="x-none" w:eastAsia="cs-CZ"/>
    </w:rPr>
  </w:style>
  <w:style w:type="character" w:customStyle="1" w:styleId="TextkomentraChar117">
    <w:name w:val="Text komentára Char117"/>
    <w:aliases w:val="Char7 Char Char118,Text komentára Char Char Char118,Comment Text Char Char Char118"/>
    <w:uiPriority w:val="99"/>
    <w:semiHidden/>
    <w:rPr>
      <w:rFonts w:ascii="Courier" w:hAnsi="Courier"/>
      <w:lang w:val="x-none" w:eastAsia="cs-CZ"/>
    </w:rPr>
  </w:style>
  <w:style w:type="character" w:customStyle="1" w:styleId="TextkomentraChar116">
    <w:name w:val="Text komentára Char116"/>
    <w:aliases w:val="Char7 Char Char117,Text komentára Char Char Char117,Comment Text Char Char Char117"/>
    <w:uiPriority w:val="99"/>
    <w:semiHidden/>
    <w:rPr>
      <w:rFonts w:ascii="Courier" w:hAnsi="Courier"/>
      <w:lang w:val="x-none" w:eastAsia="cs-CZ"/>
    </w:rPr>
  </w:style>
  <w:style w:type="character" w:customStyle="1" w:styleId="TextkomentraChar115">
    <w:name w:val="Text komentára Char115"/>
    <w:aliases w:val="Char7 Char Char116,Text komentára Char Char Char116,Comment Text Char Char Char116"/>
    <w:uiPriority w:val="99"/>
    <w:semiHidden/>
    <w:rPr>
      <w:rFonts w:ascii="Courier" w:hAnsi="Courier"/>
      <w:lang w:val="x-none" w:eastAsia="cs-CZ"/>
    </w:rPr>
  </w:style>
  <w:style w:type="character" w:customStyle="1" w:styleId="TextkomentraChar114">
    <w:name w:val="Text komentára Char114"/>
    <w:aliases w:val="Char7 Char Char115,Text komentára Char Char Char115,Comment Text Char Char Char115"/>
    <w:uiPriority w:val="99"/>
    <w:semiHidden/>
    <w:rPr>
      <w:rFonts w:ascii="Courier" w:hAnsi="Courier"/>
      <w:lang w:val="x-none" w:eastAsia="cs-CZ"/>
    </w:rPr>
  </w:style>
  <w:style w:type="character" w:customStyle="1" w:styleId="TextkomentraChar113">
    <w:name w:val="Text komentára Char113"/>
    <w:aliases w:val="Char7 Char Char114,Text komentára Char Char Char114,Comment Text Char Char Char114"/>
    <w:uiPriority w:val="99"/>
    <w:semiHidden/>
    <w:rPr>
      <w:rFonts w:ascii="Courier" w:hAnsi="Courier"/>
      <w:lang w:val="x-none" w:eastAsia="cs-CZ"/>
    </w:rPr>
  </w:style>
  <w:style w:type="character" w:customStyle="1" w:styleId="TextkomentraChar112">
    <w:name w:val="Text komentára Char112"/>
    <w:aliases w:val="Char7 Char Char113,Text komentára Char Char Char113,Comment Text Char Char Char113"/>
    <w:uiPriority w:val="99"/>
    <w:semiHidden/>
    <w:rPr>
      <w:rFonts w:ascii="Courier" w:hAnsi="Courier"/>
      <w:lang w:val="x-none" w:eastAsia="cs-CZ"/>
    </w:rPr>
  </w:style>
  <w:style w:type="character" w:customStyle="1" w:styleId="TextkomentraChar111">
    <w:name w:val="Text komentára Char111"/>
    <w:aliases w:val="Char7 Char Char112,Text komentára Char Char Char112,Comment Text Char Char Char112"/>
    <w:uiPriority w:val="99"/>
    <w:semiHidden/>
    <w:rPr>
      <w:rFonts w:ascii="Courier" w:hAnsi="Courier"/>
      <w:lang w:val="x-none" w:eastAsia="cs-CZ"/>
    </w:rPr>
  </w:style>
  <w:style w:type="character" w:customStyle="1" w:styleId="TextkomentraChar110">
    <w:name w:val="Text komentára Char110"/>
    <w:aliases w:val="Char7 Char Char110,Text komentára Char Char Char110,Comment Text Char Char Char110"/>
    <w:uiPriority w:val="99"/>
    <w:semiHidden/>
    <w:rPr>
      <w:rFonts w:ascii="Courier" w:hAnsi="Courier"/>
      <w:lang w:val="x-none" w:eastAsia="cs-CZ"/>
    </w:rPr>
  </w:style>
  <w:style w:type="character" w:customStyle="1" w:styleId="TextkomentraChar19">
    <w:name w:val="Text komentára Char19"/>
    <w:aliases w:val="Char7 Char Char19,Text komentára Char Char Char19,Comment Text Char Char Char19"/>
    <w:uiPriority w:val="99"/>
    <w:semiHidden/>
    <w:rPr>
      <w:rFonts w:ascii="Courier" w:hAnsi="Courier"/>
      <w:lang w:val="x-none" w:eastAsia="cs-CZ"/>
    </w:rPr>
  </w:style>
  <w:style w:type="character" w:customStyle="1" w:styleId="TextkomentraChar18">
    <w:name w:val="Text komentára Char18"/>
    <w:aliases w:val="Char7 Char Char18,Text komentára Char Char Char18,Comment Text Char Char Char18"/>
    <w:uiPriority w:val="99"/>
    <w:semiHidden/>
    <w:rPr>
      <w:rFonts w:ascii="Courier" w:hAnsi="Courier"/>
      <w:lang w:val="x-none" w:eastAsia="cs-CZ"/>
    </w:rPr>
  </w:style>
  <w:style w:type="character" w:customStyle="1" w:styleId="TextkomentraChar17">
    <w:name w:val="Text komentára Char17"/>
    <w:aliases w:val="Char7 Char Char17,Text komentára Char Char Char17,Comment Text Char Char Char17"/>
    <w:uiPriority w:val="99"/>
    <w:semiHidden/>
    <w:rPr>
      <w:rFonts w:ascii="Courier" w:hAnsi="Courier"/>
      <w:lang w:val="x-none" w:eastAsia="cs-CZ"/>
    </w:rPr>
  </w:style>
  <w:style w:type="character" w:customStyle="1" w:styleId="TextkomentraChar16">
    <w:name w:val="Text komentára Char16"/>
    <w:aliases w:val="Char7 Char Char16,Text komentára Char Char Char16,Comment Text Char Char Char16"/>
    <w:uiPriority w:val="99"/>
    <w:semiHidden/>
    <w:rPr>
      <w:rFonts w:ascii="Courier" w:hAnsi="Courier"/>
      <w:lang w:val="x-none" w:eastAsia="cs-CZ"/>
    </w:rPr>
  </w:style>
  <w:style w:type="character" w:customStyle="1" w:styleId="TextkomentraChar15">
    <w:name w:val="Text komentára Char15"/>
    <w:aliases w:val="Char7 Char Char15,Text komentára Char Char Char15,Comment Text Char Char Char15"/>
    <w:uiPriority w:val="99"/>
    <w:semiHidden/>
    <w:rPr>
      <w:rFonts w:ascii="Courier" w:hAnsi="Courier"/>
      <w:lang w:val="x-none" w:eastAsia="cs-CZ"/>
    </w:rPr>
  </w:style>
  <w:style w:type="character" w:customStyle="1" w:styleId="TextkomentraChar14">
    <w:name w:val="Text komentára Char14"/>
    <w:aliases w:val="Char7 Char Char14,Text komentára Char Char Char14,Comment Text Char Char Char14"/>
    <w:uiPriority w:val="99"/>
    <w:semiHidden/>
    <w:rPr>
      <w:rFonts w:ascii="Courier" w:hAnsi="Courier"/>
      <w:lang w:val="x-none" w:eastAsia="cs-CZ"/>
    </w:rPr>
  </w:style>
  <w:style w:type="character" w:customStyle="1" w:styleId="TextkomentraChar13">
    <w:name w:val="Text komentára Char13"/>
    <w:aliases w:val="Char7 Char Char13,Text komentára Char Char Char13,Comment Text Char Char Char13"/>
    <w:uiPriority w:val="99"/>
    <w:semiHidden/>
    <w:rPr>
      <w:rFonts w:ascii="Courier" w:hAnsi="Courier"/>
      <w:lang w:val="x-none" w:eastAsia="cs-CZ"/>
    </w:rPr>
  </w:style>
  <w:style w:type="character" w:customStyle="1" w:styleId="TextkomentraChar12">
    <w:name w:val="Text komentára Char12"/>
    <w:aliases w:val="Char7 Char Char12,Text komentára Char Char Char12,Comment Text Char Char Char12"/>
    <w:uiPriority w:val="99"/>
    <w:semiHidden/>
    <w:rPr>
      <w:rFonts w:ascii="Courier" w:hAnsi="Courier"/>
      <w:lang w:val="x-none" w:eastAsia="cs-CZ"/>
    </w:rPr>
  </w:style>
  <w:style w:type="character" w:customStyle="1" w:styleId="TextkomentraChar11">
    <w:name w:val="Text komentára Char11"/>
    <w:aliases w:val="Char7 Char Char11,Text komentára Char Char Char11,Comment Text Char Char Char11,Char7 Char Char111,Text komentára Char Char Char111,Comment Text Char Char Char111"/>
    <w:uiPriority w:val="99"/>
    <w:semiHidden/>
    <w:rsid w:val="00992BC9"/>
    <w:rPr>
      <w:rFonts w:ascii="Courier" w:hAnsi="Courier"/>
      <w:lang w:val="x-none" w:eastAsia="cs-CZ"/>
    </w:rPr>
  </w:style>
  <w:style w:type="character" w:customStyle="1" w:styleId="PredmetkomentraChar">
    <w:name w:val="Predmet komentára Char"/>
    <w:aliases w:val="Char6 Char Char,Predmet komentára Char Char Char,Comment Subject Char Char Char"/>
    <w:link w:val="Predmetkomentra"/>
    <w:uiPriority w:val="99"/>
    <w:semiHidden/>
    <w:locked/>
    <w:rsid w:val="00992BC9"/>
    <w:rPr>
      <w:rFonts w:ascii="Courier" w:hAnsi="Courier"/>
      <w:b/>
    </w:rPr>
  </w:style>
  <w:style w:type="paragraph" w:styleId="Predmetkomentra">
    <w:name w:val="annotation subject"/>
    <w:aliases w:val="Char6 Char,Predmet komentára Char Char,Comment Subject Char Char"/>
    <w:basedOn w:val="Textkomentra"/>
    <w:next w:val="Textkomentra"/>
    <w:link w:val="PredmetkomentraChar"/>
    <w:uiPriority w:val="99"/>
    <w:semiHidden/>
    <w:qFormat/>
    <w:rsid w:val="00992BC9"/>
    <w:rPr>
      <w:b/>
      <w:bCs/>
    </w:rPr>
  </w:style>
  <w:style w:type="character" w:customStyle="1" w:styleId="PredmetkomentraChar1">
    <w:name w:val="Predmet komentára Char1"/>
    <w:aliases w:val="Char6 Char Char1,Predmet komentára Char Char Char1,Comment Subject Char Char Char1"/>
    <w:basedOn w:val="TextkomentraChar"/>
    <w:uiPriority w:val="99"/>
    <w:semiHidden/>
    <w:rPr>
      <w:rFonts w:ascii="Courier" w:hAnsi="Courier" w:cs="Courier"/>
      <w:b/>
      <w:bCs/>
      <w:lang w:eastAsia="cs-CZ"/>
    </w:rPr>
  </w:style>
  <w:style w:type="character" w:customStyle="1" w:styleId="PredmetkomentraChar1621">
    <w:name w:val="Predmet komentára Char1621"/>
    <w:aliases w:val="Char6 Char Char1622,Predmet komentára Char Char Char1622,Comment Subject Char Char Char1622"/>
    <w:basedOn w:val="TextkomentraChar"/>
    <w:uiPriority w:val="99"/>
    <w:semiHidden/>
    <w:rPr>
      <w:rFonts w:ascii="Courier" w:hAnsi="Courier" w:cs="Courier"/>
      <w:b/>
      <w:bCs/>
      <w:lang w:val="x-none" w:eastAsia="cs-CZ"/>
    </w:rPr>
  </w:style>
  <w:style w:type="character" w:customStyle="1" w:styleId="PredmetkomentraChar1620">
    <w:name w:val="Predmet komentára Char1620"/>
    <w:aliases w:val="Char6 Char Char1621,Predmet komentára Char Char Char1621,Comment Subject Char Char Char1621"/>
    <w:basedOn w:val="TextkomentraChar"/>
    <w:uiPriority w:val="99"/>
    <w:semiHidden/>
    <w:rPr>
      <w:rFonts w:ascii="Courier" w:hAnsi="Courier" w:cs="Courier"/>
      <w:b/>
      <w:bCs/>
      <w:lang w:val="x-none" w:eastAsia="cs-CZ"/>
    </w:rPr>
  </w:style>
  <w:style w:type="character" w:customStyle="1" w:styleId="PredmetkomentraChar1614">
    <w:name w:val="Predmet komentára Char1614"/>
    <w:aliases w:val="Char6 Char Char1615,Predmet komentára Char Char Char1615,Comment Subject Char Char Char1615"/>
    <w:basedOn w:val="TextkomentraChar"/>
    <w:uiPriority w:val="99"/>
    <w:semiHidden/>
    <w:rPr>
      <w:rFonts w:ascii="Courier" w:hAnsi="Courier" w:cs="Courier"/>
      <w:b/>
      <w:bCs/>
      <w:lang w:val="x-none" w:eastAsia="cs-CZ"/>
    </w:rPr>
  </w:style>
  <w:style w:type="character" w:customStyle="1" w:styleId="PredmetkomentraChar1613">
    <w:name w:val="Predmet komentára Char1613"/>
    <w:aliases w:val="Char6 Char Char1614,Predmet komentára Char Char Char1614,Comment Subject Char Char Char1614"/>
    <w:basedOn w:val="TextkomentraChar"/>
    <w:uiPriority w:val="99"/>
    <w:semiHidden/>
    <w:rPr>
      <w:rFonts w:ascii="Courier" w:hAnsi="Courier" w:cs="Courier"/>
      <w:b/>
      <w:bCs/>
      <w:lang w:val="x-none" w:eastAsia="cs-CZ"/>
    </w:rPr>
  </w:style>
  <w:style w:type="character" w:customStyle="1" w:styleId="PredmetkomentraChar1612">
    <w:name w:val="Predmet komentára Char1612"/>
    <w:aliases w:val="Char6 Char Char1613,Predmet komentára Char Char Char1613,Comment Subject Char Char Char1613"/>
    <w:basedOn w:val="TextkomentraChar"/>
    <w:uiPriority w:val="99"/>
    <w:semiHidden/>
    <w:rPr>
      <w:rFonts w:ascii="Courier" w:hAnsi="Courier" w:cs="Courier"/>
      <w:b/>
      <w:bCs/>
      <w:lang w:val="x-none" w:eastAsia="cs-CZ"/>
    </w:rPr>
  </w:style>
  <w:style w:type="character" w:customStyle="1" w:styleId="PredmetkomentraChar1611">
    <w:name w:val="Predmet komentára Char1611"/>
    <w:aliases w:val="Char6 Char Char1612,Predmet komentára Char Char Char1612,Comment Subject Char Char Char1612"/>
    <w:basedOn w:val="TextkomentraChar"/>
    <w:uiPriority w:val="99"/>
    <w:semiHidden/>
    <w:rPr>
      <w:rFonts w:ascii="Courier" w:hAnsi="Courier" w:cs="Courier"/>
      <w:b/>
      <w:bCs/>
      <w:lang w:val="x-none" w:eastAsia="cs-CZ"/>
    </w:rPr>
  </w:style>
  <w:style w:type="character" w:customStyle="1" w:styleId="PredmetkomentraChar1610">
    <w:name w:val="Predmet komentára Char1610"/>
    <w:aliases w:val="Char6 Char Char1611,Predmet komentára Char Char Char1611,Comment Subject Char Char Char1611"/>
    <w:basedOn w:val="TextkomentraChar"/>
    <w:uiPriority w:val="99"/>
    <w:semiHidden/>
    <w:rPr>
      <w:rFonts w:ascii="Courier" w:hAnsi="Courier" w:cs="Courier"/>
      <w:b/>
      <w:bCs/>
      <w:lang w:val="x-none" w:eastAsia="cs-CZ"/>
    </w:rPr>
  </w:style>
  <w:style w:type="character" w:customStyle="1" w:styleId="PredmetkomentraChar1609">
    <w:name w:val="Predmet komentára Char1609"/>
    <w:aliases w:val="Char6 Char Char1610,Predmet komentára Char Char Char1610,Comment Subject Char Char Char1610"/>
    <w:basedOn w:val="TextkomentraChar"/>
    <w:uiPriority w:val="99"/>
    <w:semiHidden/>
    <w:rPr>
      <w:rFonts w:ascii="Courier" w:hAnsi="Courier" w:cs="Courier"/>
      <w:b/>
      <w:bCs/>
      <w:lang w:val="x-none" w:eastAsia="cs-CZ"/>
    </w:rPr>
  </w:style>
  <w:style w:type="character" w:customStyle="1" w:styleId="PredmetkomentraChar1608">
    <w:name w:val="Predmet komentára Char1608"/>
    <w:aliases w:val="Char6 Char Char1609,Predmet komentára Char Char Char1609,Comment Subject Char Char Char1609"/>
    <w:basedOn w:val="TextkomentraChar"/>
    <w:uiPriority w:val="99"/>
    <w:semiHidden/>
    <w:rPr>
      <w:rFonts w:ascii="Courier" w:hAnsi="Courier" w:cs="Courier"/>
      <w:b/>
      <w:bCs/>
      <w:lang w:val="x-none" w:eastAsia="cs-CZ"/>
    </w:rPr>
  </w:style>
  <w:style w:type="character" w:customStyle="1" w:styleId="PredmetkomentraChar1607">
    <w:name w:val="Predmet komentára Char1607"/>
    <w:aliases w:val="Char6 Char Char1608,Predmet komentára Char Char Char1608,Comment Subject Char Char Char1608"/>
    <w:basedOn w:val="TextkomentraChar"/>
    <w:uiPriority w:val="99"/>
    <w:semiHidden/>
    <w:rPr>
      <w:rFonts w:ascii="Courier" w:hAnsi="Courier" w:cs="Courier"/>
      <w:b/>
      <w:bCs/>
      <w:lang w:val="x-none" w:eastAsia="cs-CZ"/>
    </w:rPr>
  </w:style>
  <w:style w:type="character" w:customStyle="1" w:styleId="PredmetkomentraChar1606">
    <w:name w:val="Predmet komentára Char1606"/>
    <w:aliases w:val="Char6 Char Char1607,Predmet komentára Char Char Char1607,Comment Subject Char Char Char1607"/>
    <w:basedOn w:val="TextkomentraChar"/>
    <w:uiPriority w:val="99"/>
    <w:semiHidden/>
    <w:rPr>
      <w:rFonts w:ascii="Courier" w:hAnsi="Courier" w:cs="Courier"/>
      <w:b/>
      <w:bCs/>
      <w:lang w:val="x-none" w:eastAsia="cs-CZ"/>
    </w:rPr>
  </w:style>
  <w:style w:type="character" w:customStyle="1" w:styleId="PredmetkomentraChar1605">
    <w:name w:val="Predmet komentára Char1605"/>
    <w:aliases w:val="Char6 Char Char1606,Predmet komentára Char Char Char1606,Comment Subject Char Char Char1606"/>
    <w:basedOn w:val="TextkomentraChar"/>
    <w:uiPriority w:val="99"/>
    <w:semiHidden/>
    <w:rPr>
      <w:rFonts w:ascii="Courier" w:hAnsi="Courier" w:cs="Courier"/>
      <w:b/>
      <w:bCs/>
      <w:lang w:val="x-none" w:eastAsia="cs-CZ"/>
    </w:rPr>
  </w:style>
  <w:style w:type="character" w:customStyle="1" w:styleId="PredmetkomentraChar1604">
    <w:name w:val="Predmet komentára Char1604"/>
    <w:aliases w:val="Char6 Char Char1605,Predmet komentára Char Char Char1605,Comment Subject Char Char Char1605"/>
    <w:basedOn w:val="TextkomentraChar"/>
    <w:uiPriority w:val="99"/>
    <w:semiHidden/>
    <w:rPr>
      <w:rFonts w:ascii="Courier" w:hAnsi="Courier" w:cs="Courier"/>
      <w:b/>
      <w:bCs/>
      <w:lang w:val="x-none" w:eastAsia="cs-CZ"/>
    </w:rPr>
  </w:style>
  <w:style w:type="character" w:customStyle="1" w:styleId="PredmetkomentraChar1603">
    <w:name w:val="Predmet komentára Char1603"/>
    <w:aliases w:val="Char6 Char Char1604,Predmet komentára Char Char Char1604,Comment Subject Char Char Char1604"/>
    <w:basedOn w:val="TextkomentraChar"/>
    <w:uiPriority w:val="99"/>
    <w:semiHidden/>
    <w:rPr>
      <w:rFonts w:ascii="Courier" w:hAnsi="Courier" w:cs="Courier"/>
      <w:b/>
      <w:bCs/>
      <w:lang w:val="x-none" w:eastAsia="cs-CZ"/>
    </w:rPr>
  </w:style>
  <w:style w:type="character" w:customStyle="1" w:styleId="PredmetkomentraChar1602">
    <w:name w:val="Predmet komentára Char1602"/>
    <w:aliases w:val="Char6 Char Char1603,Predmet komentára Char Char Char1603,Comment Subject Char Char Char1603"/>
    <w:basedOn w:val="TextkomentraChar"/>
    <w:uiPriority w:val="99"/>
    <w:semiHidden/>
    <w:rPr>
      <w:rFonts w:ascii="Courier" w:hAnsi="Courier" w:cs="Courier"/>
      <w:b/>
      <w:bCs/>
      <w:lang w:val="x-none" w:eastAsia="cs-CZ"/>
    </w:rPr>
  </w:style>
  <w:style w:type="character" w:customStyle="1" w:styleId="PredmetkomentraChar1601">
    <w:name w:val="Predmet komentára Char1601"/>
    <w:aliases w:val="Char6 Char Char1602,Predmet komentára Char Char Char1602,Comment Subject Char Char Char1602"/>
    <w:basedOn w:val="TextkomentraChar"/>
    <w:uiPriority w:val="99"/>
    <w:semiHidden/>
    <w:rPr>
      <w:rFonts w:ascii="Courier" w:hAnsi="Courier" w:cs="Courier"/>
      <w:b/>
      <w:bCs/>
      <w:lang w:val="x-none" w:eastAsia="cs-CZ"/>
    </w:rPr>
  </w:style>
  <w:style w:type="character" w:customStyle="1" w:styleId="PredmetkomentraChar1600">
    <w:name w:val="Predmet komentára Char1600"/>
    <w:aliases w:val="Char6 Char Char1601,Predmet komentára Char Char Char1601,Comment Subject Char Char Char1601"/>
    <w:basedOn w:val="TextkomentraChar"/>
    <w:uiPriority w:val="99"/>
    <w:semiHidden/>
    <w:rPr>
      <w:rFonts w:ascii="Courier" w:hAnsi="Courier" w:cs="Courier"/>
      <w:b/>
      <w:bCs/>
      <w:lang w:val="x-none" w:eastAsia="cs-CZ"/>
    </w:rPr>
  </w:style>
  <w:style w:type="character" w:customStyle="1" w:styleId="PredmetkomentraChar1599">
    <w:name w:val="Predmet komentára Char1599"/>
    <w:aliases w:val="Char6 Char Char1600,Predmet komentára Char Char Char1600,Comment Subject Char Char Char1600"/>
    <w:basedOn w:val="TextkomentraChar"/>
    <w:uiPriority w:val="99"/>
    <w:semiHidden/>
    <w:rPr>
      <w:rFonts w:ascii="Courier" w:hAnsi="Courier" w:cs="Courier"/>
      <w:b/>
      <w:bCs/>
      <w:lang w:val="x-none" w:eastAsia="cs-CZ"/>
    </w:rPr>
  </w:style>
  <w:style w:type="character" w:customStyle="1" w:styleId="PredmetkomentraChar1598">
    <w:name w:val="Predmet komentára Char1598"/>
    <w:aliases w:val="Char6 Char Char1599,Predmet komentára Char Char Char1599,Comment Subject Char Char Char1599"/>
    <w:basedOn w:val="TextkomentraChar"/>
    <w:uiPriority w:val="99"/>
    <w:semiHidden/>
    <w:rPr>
      <w:rFonts w:ascii="Courier" w:hAnsi="Courier" w:cs="Courier"/>
      <w:b/>
      <w:bCs/>
      <w:lang w:val="x-none" w:eastAsia="cs-CZ"/>
    </w:rPr>
  </w:style>
  <w:style w:type="character" w:customStyle="1" w:styleId="PredmetkomentraChar1597">
    <w:name w:val="Predmet komentára Char1597"/>
    <w:aliases w:val="Char6 Char Char1598,Predmet komentára Char Char Char1598,Comment Subject Char Char Char1598"/>
    <w:basedOn w:val="TextkomentraChar"/>
    <w:uiPriority w:val="99"/>
    <w:semiHidden/>
    <w:rPr>
      <w:rFonts w:ascii="Courier" w:hAnsi="Courier" w:cs="Courier"/>
      <w:b/>
      <w:bCs/>
      <w:lang w:val="x-none" w:eastAsia="cs-CZ"/>
    </w:rPr>
  </w:style>
  <w:style w:type="character" w:customStyle="1" w:styleId="PredmetkomentraChar1596">
    <w:name w:val="Predmet komentára Char1596"/>
    <w:aliases w:val="Char6 Char Char1597,Predmet komentára Char Char Char1597,Comment Subject Char Char Char1597"/>
    <w:basedOn w:val="TextkomentraChar"/>
    <w:uiPriority w:val="99"/>
    <w:semiHidden/>
    <w:rPr>
      <w:rFonts w:ascii="Courier" w:hAnsi="Courier" w:cs="Courier"/>
      <w:b/>
      <w:bCs/>
      <w:lang w:val="x-none" w:eastAsia="cs-CZ"/>
    </w:rPr>
  </w:style>
  <w:style w:type="character" w:customStyle="1" w:styleId="PredmetkomentraChar1595">
    <w:name w:val="Predmet komentára Char1595"/>
    <w:aliases w:val="Char6 Char Char1596,Predmet komentára Char Char Char1596,Comment Subject Char Char Char1596"/>
    <w:basedOn w:val="TextkomentraChar"/>
    <w:uiPriority w:val="99"/>
    <w:semiHidden/>
    <w:rPr>
      <w:rFonts w:ascii="Courier" w:hAnsi="Courier" w:cs="Courier"/>
      <w:b/>
      <w:bCs/>
      <w:lang w:val="x-none" w:eastAsia="cs-CZ"/>
    </w:rPr>
  </w:style>
  <w:style w:type="character" w:customStyle="1" w:styleId="PredmetkomentraChar1594">
    <w:name w:val="Predmet komentára Char1594"/>
    <w:aliases w:val="Char6 Char Char1595,Predmet komentára Char Char Char1595,Comment Subject Char Char Char1595"/>
    <w:basedOn w:val="TextkomentraChar"/>
    <w:uiPriority w:val="99"/>
    <w:semiHidden/>
    <w:rPr>
      <w:rFonts w:ascii="Courier" w:hAnsi="Courier" w:cs="Courier"/>
      <w:b/>
      <w:bCs/>
      <w:lang w:val="x-none" w:eastAsia="cs-CZ"/>
    </w:rPr>
  </w:style>
  <w:style w:type="character" w:customStyle="1" w:styleId="PredmetkomentraChar1593">
    <w:name w:val="Predmet komentára Char1593"/>
    <w:aliases w:val="Char6 Char Char1594,Predmet komentára Char Char Char1594,Comment Subject Char Char Char1594"/>
    <w:basedOn w:val="TextkomentraChar"/>
    <w:uiPriority w:val="99"/>
    <w:semiHidden/>
    <w:rPr>
      <w:rFonts w:ascii="Courier" w:hAnsi="Courier" w:cs="Courier"/>
      <w:b/>
      <w:bCs/>
      <w:lang w:val="x-none" w:eastAsia="cs-CZ"/>
    </w:rPr>
  </w:style>
  <w:style w:type="character" w:customStyle="1" w:styleId="PredmetkomentraChar1592">
    <w:name w:val="Predmet komentára Char1592"/>
    <w:aliases w:val="Char6 Char Char1593,Predmet komentára Char Char Char1593,Comment Subject Char Char Char1593"/>
    <w:basedOn w:val="TextkomentraChar"/>
    <w:uiPriority w:val="99"/>
    <w:semiHidden/>
    <w:rPr>
      <w:rFonts w:ascii="Courier" w:hAnsi="Courier" w:cs="Courier"/>
      <w:b/>
      <w:bCs/>
      <w:lang w:val="x-none" w:eastAsia="cs-CZ"/>
    </w:rPr>
  </w:style>
  <w:style w:type="character" w:customStyle="1" w:styleId="PredmetkomentraChar1591">
    <w:name w:val="Predmet komentára Char1591"/>
    <w:aliases w:val="Char6 Char Char1592,Predmet komentára Char Char Char1592,Comment Subject Char Char Char1592"/>
    <w:basedOn w:val="TextkomentraChar"/>
    <w:uiPriority w:val="99"/>
    <w:semiHidden/>
    <w:rPr>
      <w:rFonts w:ascii="Courier" w:hAnsi="Courier" w:cs="Courier"/>
      <w:b/>
      <w:bCs/>
      <w:lang w:val="x-none" w:eastAsia="cs-CZ"/>
    </w:rPr>
  </w:style>
  <w:style w:type="character" w:customStyle="1" w:styleId="PredmetkomentraChar1590">
    <w:name w:val="Predmet komentára Char1590"/>
    <w:aliases w:val="Char6 Char Char1591,Predmet komentára Char Char Char1591,Comment Subject Char Char Char1591"/>
    <w:basedOn w:val="TextkomentraChar"/>
    <w:uiPriority w:val="99"/>
    <w:semiHidden/>
    <w:rPr>
      <w:rFonts w:ascii="Courier" w:hAnsi="Courier" w:cs="Courier"/>
      <w:b/>
      <w:bCs/>
      <w:lang w:val="x-none" w:eastAsia="cs-CZ"/>
    </w:rPr>
  </w:style>
  <w:style w:type="character" w:customStyle="1" w:styleId="PredmetkomentraChar1589">
    <w:name w:val="Predmet komentára Char1589"/>
    <w:aliases w:val="Char6 Char Char1590,Predmet komentára Char Char Char1590,Comment Subject Char Char Char1590"/>
    <w:basedOn w:val="TextkomentraChar"/>
    <w:uiPriority w:val="99"/>
    <w:semiHidden/>
    <w:rPr>
      <w:rFonts w:ascii="Courier" w:hAnsi="Courier" w:cs="Courier"/>
      <w:b/>
      <w:bCs/>
      <w:lang w:val="x-none" w:eastAsia="cs-CZ"/>
    </w:rPr>
  </w:style>
  <w:style w:type="character" w:customStyle="1" w:styleId="PredmetkomentraChar1588">
    <w:name w:val="Predmet komentára Char1588"/>
    <w:aliases w:val="Char6 Char Char1589,Predmet komentára Char Char Char1589,Comment Subject Char Char Char1589"/>
    <w:basedOn w:val="TextkomentraChar"/>
    <w:uiPriority w:val="99"/>
    <w:semiHidden/>
    <w:rPr>
      <w:rFonts w:ascii="Courier" w:hAnsi="Courier" w:cs="Courier"/>
      <w:b/>
      <w:bCs/>
      <w:lang w:val="x-none" w:eastAsia="cs-CZ"/>
    </w:rPr>
  </w:style>
  <w:style w:type="character" w:customStyle="1" w:styleId="PredmetkomentraChar1587">
    <w:name w:val="Predmet komentára Char1587"/>
    <w:aliases w:val="Char6 Char Char1588,Predmet komentára Char Char Char1588,Comment Subject Char Char Char1588"/>
    <w:basedOn w:val="TextkomentraChar"/>
    <w:uiPriority w:val="99"/>
    <w:semiHidden/>
    <w:rPr>
      <w:rFonts w:ascii="Courier" w:hAnsi="Courier" w:cs="Courier"/>
      <w:b/>
      <w:bCs/>
      <w:lang w:val="x-none" w:eastAsia="cs-CZ"/>
    </w:rPr>
  </w:style>
  <w:style w:type="character" w:customStyle="1" w:styleId="PredmetkomentraChar1586">
    <w:name w:val="Predmet komentára Char1586"/>
    <w:aliases w:val="Char6 Char Char1587,Predmet komentára Char Char Char1587,Comment Subject Char Char Char1587"/>
    <w:basedOn w:val="TextkomentraChar"/>
    <w:uiPriority w:val="99"/>
    <w:semiHidden/>
    <w:rPr>
      <w:rFonts w:ascii="Courier" w:hAnsi="Courier" w:cs="Courier"/>
      <w:b/>
      <w:bCs/>
      <w:lang w:val="x-none" w:eastAsia="cs-CZ"/>
    </w:rPr>
  </w:style>
  <w:style w:type="character" w:customStyle="1" w:styleId="PredmetkomentraChar1585">
    <w:name w:val="Predmet komentára Char1585"/>
    <w:aliases w:val="Char6 Char Char1586,Predmet komentára Char Char Char1586,Comment Subject Char Char Char1586"/>
    <w:basedOn w:val="TextkomentraChar"/>
    <w:uiPriority w:val="99"/>
    <w:semiHidden/>
    <w:rPr>
      <w:rFonts w:ascii="Courier" w:hAnsi="Courier" w:cs="Courier"/>
      <w:b/>
      <w:bCs/>
      <w:lang w:val="x-none" w:eastAsia="cs-CZ"/>
    </w:rPr>
  </w:style>
  <w:style w:type="character" w:customStyle="1" w:styleId="PredmetkomentraChar1584">
    <w:name w:val="Predmet komentára Char1584"/>
    <w:aliases w:val="Char6 Char Char1585,Predmet komentára Char Char Char1585,Comment Subject Char Char Char1585"/>
    <w:basedOn w:val="TextkomentraChar"/>
    <w:uiPriority w:val="99"/>
    <w:semiHidden/>
    <w:rPr>
      <w:rFonts w:ascii="Courier" w:hAnsi="Courier" w:cs="Courier"/>
      <w:b/>
      <w:bCs/>
      <w:lang w:val="x-none" w:eastAsia="cs-CZ"/>
    </w:rPr>
  </w:style>
  <w:style w:type="character" w:customStyle="1" w:styleId="PredmetkomentraChar1583">
    <w:name w:val="Predmet komentára Char1583"/>
    <w:aliases w:val="Char6 Char Char1584,Predmet komentára Char Char Char1584,Comment Subject Char Char Char1584"/>
    <w:basedOn w:val="TextkomentraChar"/>
    <w:uiPriority w:val="99"/>
    <w:semiHidden/>
    <w:rPr>
      <w:rFonts w:ascii="Courier" w:hAnsi="Courier" w:cs="Courier"/>
      <w:b/>
      <w:bCs/>
      <w:lang w:val="x-none" w:eastAsia="cs-CZ"/>
    </w:rPr>
  </w:style>
  <w:style w:type="character" w:customStyle="1" w:styleId="PredmetkomentraChar1582">
    <w:name w:val="Predmet komentára Char1582"/>
    <w:aliases w:val="Char6 Char Char1583,Predmet komentára Char Char Char1583,Comment Subject Char Char Char1583"/>
    <w:basedOn w:val="TextkomentraChar"/>
    <w:uiPriority w:val="99"/>
    <w:semiHidden/>
    <w:rPr>
      <w:rFonts w:ascii="Courier" w:hAnsi="Courier" w:cs="Courier"/>
      <w:b/>
      <w:bCs/>
      <w:lang w:val="x-none" w:eastAsia="cs-CZ"/>
    </w:rPr>
  </w:style>
  <w:style w:type="character" w:customStyle="1" w:styleId="PredmetkomentraChar1581">
    <w:name w:val="Predmet komentára Char1581"/>
    <w:aliases w:val="Char6 Char Char1582,Predmet komentára Char Char Char1582,Comment Subject Char Char Char1582"/>
    <w:basedOn w:val="TextkomentraChar"/>
    <w:uiPriority w:val="99"/>
    <w:semiHidden/>
    <w:rPr>
      <w:rFonts w:ascii="Courier" w:hAnsi="Courier" w:cs="Courier"/>
      <w:b/>
      <w:bCs/>
      <w:lang w:val="x-none" w:eastAsia="cs-CZ"/>
    </w:rPr>
  </w:style>
  <w:style w:type="character" w:customStyle="1" w:styleId="PredmetkomentraChar1580">
    <w:name w:val="Predmet komentára Char1580"/>
    <w:aliases w:val="Char6 Char Char1581,Predmet komentára Char Char Char1581,Comment Subject Char Char Char1581"/>
    <w:basedOn w:val="TextkomentraChar"/>
    <w:uiPriority w:val="99"/>
    <w:semiHidden/>
    <w:rPr>
      <w:rFonts w:ascii="Courier" w:hAnsi="Courier" w:cs="Courier"/>
      <w:b/>
      <w:bCs/>
      <w:lang w:val="x-none" w:eastAsia="cs-CZ"/>
    </w:rPr>
  </w:style>
  <w:style w:type="character" w:customStyle="1" w:styleId="PredmetkomentraChar1579">
    <w:name w:val="Predmet komentára Char1579"/>
    <w:aliases w:val="Char6 Char Char1580,Predmet komentára Char Char Char1580,Comment Subject Char Char Char1580"/>
    <w:basedOn w:val="TextkomentraChar"/>
    <w:uiPriority w:val="99"/>
    <w:semiHidden/>
    <w:rPr>
      <w:rFonts w:ascii="Courier" w:hAnsi="Courier" w:cs="Courier"/>
      <w:b/>
      <w:bCs/>
      <w:lang w:val="x-none" w:eastAsia="cs-CZ"/>
    </w:rPr>
  </w:style>
  <w:style w:type="character" w:customStyle="1" w:styleId="PredmetkomentraChar1578">
    <w:name w:val="Predmet komentára Char1578"/>
    <w:aliases w:val="Char6 Char Char1579,Predmet komentára Char Char Char1579,Comment Subject Char Char Char1579"/>
    <w:basedOn w:val="TextkomentraChar"/>
    <w:uiPriority w:val="99"/>
    <w:semiHidden/>
    <w:rPr>
      <w:rFonts w:ascii="Courier" w:hAnsi="Courier" w:cs="Courier"/>
      <w:b/>
      <w:bCs/>
      <w:lang w:val="x-none" w:eastAsia="cs-CZ"/>
    </w:rPr>
  </w:style>
  <w:style w:type="character" w:customStyle="1" w:styleId="PredmetkomentraChar1577">
    <w:name w:val="Predmet komentára Char1577"/>
    <w:aliases w:val="Char6 Char Char1578,Predmet komentára Char Char Char1578,Comment Subject Char Char Char1578"/>
    <w:basedOn w:val="TextkomentraChar"/>
    <w:uiPriority w:val="99"/>
    <w:semiHidden/>
    <w:rPr>
      <w:rFonts w:ascii="Courier" w:hAnsi="Courier" w:cs="Courier"/>
      <w:b/>
      <w:bCs/>
      <w:lang w:val="x-none" w:eastAsia="cs-CZ"/>
    </w:rPr>
  </w:style>
  <w:style w:type="character" w:customStyle="1" w:styleId="PredmetkomentraChar1576">
    <w:name w:val="Predmet komentára Char1576"/>
    <w:aliases w:val="Char6 Char Char1577,Predmet komentára Char Char Char1577,Comment Subject Char Char Char1577"/>
    <w:basedOn w:val="TextkomentraChar"/>
    <w:uiPriority w:val="99"/>
    <w:semiHidden/>
    <w:rPr>
      <w:rFonts w:ascii="Courier" w:hAnsi="Courier" w:cs="Courier"/>
      <w:b/>
      <w:bCs/>
      <w:lang w:val="x-none" w:eastAsia="cs-CZ"/>
    </w:rPr>
  </w:style>
  <w:style w:type="character" w:customStyle="1" w:styleId="PredmetkomentraChar1575">
    <w:name w:val="Predmet komentára Char1575"/>
    <w:aliases w:val="Char6 Char Char1576,Predmet komentára Char Char Char1576,Comment Subject Char Char Char1576"/>
    <w:basedOn w:val="TextkomentraChar"/>
    <w:uiPriority w:val="99"/>
    <w:semiHidden/>
    <w:rPr>
      <w:rFonts w:ascii="Courier" w:hAnsi="Courier" w:cs="Courier"/>
      <w:b/>
      <w:bCs/>
      <w:lang w:val="x-none" w:eastAsia="cs-CZ"/>
    </w:rPr>
  </w:style>
  <w:style w:type="character" w:customStyle="1" w:styleId="PredmetkomentraChar1574">
    <w:name w:val="Predmet komentára Char1574"/>
    <w:aliases w:val="Char6 Char Char1575,Predmet komentára Char Char Char1575,Comment Subject Char Char Char1575"/>
    <w:basedOn w:val="TextkomentraChar"/>
    <w:uiPriority w:val="99"/>
    <w:semiHidden/>
    <w:rPr>
      <w:rFonts w:ascii="Courier" w:hAnsi="Courier" w:cs="Courier"/>
      <w:b/>
      <w:bCs/>
      <w:lang w:val="x-none" w:eastAsia="cs-CZ"/>
    </w:rPr>
  </w:style>
  <w:style w:type="character" w:customStyle="1" w:styleId="PredmetkomentraChar1573">
    <w:name w:val="Predmet komentára Char1573"/>
    <w:aliases w:val="Char6 Char Char1574,Predmet komentára Char Char Char1574,Comment Subject Char Char Char1574"/>
    <w:basedOn w:val="TextkomentraChar"/>
    <w:uiPriority w:val="99"/>
    <w:semiHidden/>
    <w:rPr>
      <w:rFonts w:ascii="Courier" w:hAnsi="Courier" w:cs="Courier"/>
      <w:b/>
      <w:bCs/>
      <w:lang w:val="x-none" w:eastAsia="cs-CZ"/>
    </w:rPr>
  </w:style>
  <w:style w:type="character" w:customStyle="1" w:styleId="PredmetkomentraChar1572">
    <w:name w:val="Predmet komentára Char1572"/>
    <w:aliases w:val="Char6 Char Char1573,Predmet komentára Char Char Char1573,Comment Subject Char Char Char1573"/>
    <w:basedOn w:val="TextkomentraChar"/>
    <w:uiPriority w:val="99"/>
    <w:semiHidden/>
    <w:rPr>
      <w:rFonts w:ascii="Courier" w:hAnsi="Courier" w:cs="Courier"/>
      <w:b/>
      <w:bCs/>
      <w:lang w:val="x-none" w:eastAsia="cs-CZ"/>
    </w:rPr>
  </w:style>
  <w:style w:type="character" w:customStyle="1" w:styleId="PredmetkomentraChar1571">
    <w:name w:val="Predmet komentára Char1571"/>
    <w:aliases w:val="Char6 Char Char1572,Predmet komentára Char Char Char1572,Comment Subject Char Char Char1572"/>
    <w:basedOn w:val="TextkomentraChar"/>
    <w:uiPriority w:val="99"/>
    <w:semiHidden/>
    <w:rPr>
      <w:rFonts w:ascii="Courier" w:hAnsi="Courier" w:cs="Courier"/>
      <w:b/>
      <w:bCs/>
      <w:lang w:val="x-none" w:eastAsia="cs-CZ"/>
    </w:rPr>
  </w:style>
  <w:style w:type="character" w:customStyle="1" w:styleId="PredmetkomentraChar1570">
    <w:name w:val="Predmet komentára Char1570"/>
    <w:aliases w:val="Char6 Char Char1571,Predmet komentára Char Char Char1571,Comment Subject Char Char Char1571"/>
    <w:basedOn w:val="TextkomentraChar"/>
    <w:uiPriority w:val="99"/>
    <w:semiHidden/>
    <w:rPr>
      <w:rFonts w:ascii="Courier" w:hAnsi="Courier" w:cs="Courier"/>
      <w:b/>
      <w:bCs/>
      <w:lang w:val="x-none" w:eastAsia="cs-CZ"/>
    </w:rPr>
  </w:style>
  <w:style w:type="character" w:customStyle="1" w:styleId="PredmetkomentraChar1569">
    <w:name w:val="Predmet komentára Char1569"/>
    <w:aliases w:val="Char6 Char Char1570,Predmet komentára Char Char Char1570,Comment Subject Char Char Char1570"/>
    <w:basedOn w:val="TextkomentraChar"/>
    <w:uiPriority w:val="99"/>
    <w:semiHidden/>
    <w:rPr>
      <w:rFonts w:ascii="Courier" w:hAnsi="Courier" w:cs="Courier"/>
      <w:b/>
      <w:bCs/>
      <w:lang w:val="x-none" w:eastAsia="cs-CZ"/>
    </w:rPr>
  </w:style>
  <w:style w:type="character" w:customStyle="1" w:styleId="PredmetkomentraChar1568">
    <w:name w:val="Predmet komentára Char1568"/>
    <w:aliases w:val="Char6 Char Char1569,Predmet komentára Char Char Char1569,Comment Subject Char Char Char1569"/>
    <w:basedOn w:val="TextkomentraChar"/>
    <w:uiPriority w:val="99"/>
    <w:semiHidden/>
    <w:rPr>
      <w:rFonts w:ascii="Courier" w:hAnsi="Courier" w:cs="Courier"/>
      <w:b/>
      <w:bCs/>
      <w:lang w:val="x-none" w:eastAsia="cs-CZ"/>
    </w:rPr>
  </w:style>
  <w:style w:type="character" w:customStyle="1" w:styleId="PredmetkomentraChar1567">
    <w:name w:val="Predmet komentára Char1567"/>
    <w:aliases w:val="Char6 Char Char1568,Predmet komentára Char Char Char1568,Comment Subject Char Char Char1568"/>
    <w:basedOn w:val="TextkomentraChar"/>
    <w:uiPriority w:val="99"/>
    <w:semiHidden/>
    <w:rPr>
      <w:rFonts w:ascii="Courier" w:hAnsi="Courier" w:cs="Courier"/>
      <w:b/>
      <w:bCs/>
      <w:lang w:val="x-none" w:eastAsia="cs-CZ"/>
    </w:rPr>
  </w:style>
  <w:style w:type="character" w:customStyle="1" w:styleId="PredmetkomentraChar1566">
    <w:name w:val="Predmet komentára Char1566"/>
    <w:aliases w:val="Char6 Char Char1567,Predmet komentára Char Char Char1567,Comment Subject Char Char Char1567"/>
    <w:basedOn w:val="TextkomentraChar"/>
    <w:uiPriority w:val="99"/>
    <w:semiHidden/>
    <w:rPr>
      <w:rFonts w:ascii="Courier" w:hAnsi="Courier" w:cs="Courier"/>
      <w:b/>
      <w:bCs/>
      <w:lang w:val="x-none" w:eastAsia="cs-CZ"/>
    </w:rPr>
  </w:style>
  <w:style w:type="character" w:customStyle="1" w:styleId="PredmetkomentraChar1565">
    <w:name w:val="Predmet komentára Char1565"/>
    <w:aliases w:val="Char6 Char Char1566,Predmet komentára Char Char Char1566,Comment Subject Char Char Char1566"/>
    <w:basedOn w:val="TextkomentraChar"/>
    <w:uiPriority w:val="99"/>
    <w:semiHidden/>
    <w:rPr>
      <w:rFonts w:ascii="Courier" w:hAnsi="Courier" w:cs="Courier"/>
      <w:b/>
      <w:bCs/>
      <w:lang w:val="x-none" w:eastAsia="cs-CZ"/>
    </w:rPr>
  </w:style>
  <w:style w:type="character" w:customStyle="1" w:styleId="PredmetkomentraChar1564">
    <w:name w:val="Predmet komentára Char1564"/>
    <w:aliases w:val="Char6 Char Char1565,Predmet komentára Char Char Char1565,Comment Subject Char Char Char1565"/>
    <w:basedOn w:val="TextkomentraChar"/>
    <w:uiPriority w:val="99"/>
    <w:semiHidden/>
    <w:rPr>
      <w:rFonts w:ascii="Courier" w:hAnsi="Courier" w:cs="Courier"/>
      <w:b/>
      <w:bCs/>
      <w:lang w:val="x-none" w:eastAsia="cs-CZ"/>
    </w:rPr>
  </w:style>
  <w:style w:type="character" w:customStyle="1" w:styleId="PredmetkomentraChar1563">
    <w:name w:val="Predmet komentára Char1563"/>
    <w:aliases w:val="Char6 Char Char1564,Predmet komentára Char Char Char1564,Comment Subject Char Char Char1564"/>
    <w:basedOn w:val="TextkomentraChar"/>
    <w:uiPriority w:val="99"/>
    <w:semiHidden/>
    <w:rPr>
      <w:rFonts w:ascii="Courier" w:hAnsi="Courier" w:cs="Courier"/>
      <w:b/>
      <w:bCs/>
      <w:lang w:val="x-none" w:eastAsia="cs-CZ"/>
    </w:rPr>
  </w:style>
  <w:style w:type="character" w:customStyle="1" w:styleId="PredmetkomentraChar1562">
    <w:name w:val="Predmet komentára Char1562"/>
    <w:aliases w:val="Char6 Char Char1563,Predmet komentára Char Char Char1563,Comment Subject Char Char Char1563"/>
    <w:basedOn w:val="TextkomentraChar"/>
    <w:uiPriority w:val="99"/>
    <w:semiHidden/>
    <w:rPr>
      <w:rFonts w:ascii="Courier" w:hAnsi="Courier" w:cs="Courier"/>
      <w:b/>
      <w:bCs/>
      <w:lang w:val="x-none" w:eastAsia="cs-CZ"/>
    </w:rPr>
  </w:style>
  <w:style w:type="character" w:customStyle="1" w:styleId="PredmetkomentraChar1561">
    <w:name w:val="Predmet komentára Char1561"/>
    <w:aliases w:val="Char6 Char Char1562,Predmet komentára Char Char Char1562,Comment Subject Char Char Char1562"/>
    <w:basedOn w:val="TextkomentraChar"/>
    <w:uiPriority w:val="99"/>
    <w:semiHidden/>
    <w:rPr>
      <w:rFonts w:ascii="Courier" w:hAnsi="Courier" w:cs="Courier"/>
      <w:b/>
      <w:bCs/>
      <w:lang w:val="x-none" w:eastAsia="cs-CZ"/>
    </w:rPr>
  </w:style>
  <w:style w:type="character" w:customStyle="1" w:styleId="PredmetkomentraChar1560">
    <w:name w:val="Predmet komentára Char1560"/>
    <w:aliases w:val="Char6 Char Char1561,Predmet komentára Char Char Char1561,Comment Subject Char Char Char1561"/>
    <w:basedOn w:val="TextkomentraChar"/>
    <w:uiPriority w:val="99"/>
    <w:semiHidden/>
    <w:rPr>
      <w:rFonts w:ascii="Courier" w:hAnsi="Courier" w:cs="Courier"/>
      <w:b/>
      <w:bCs/>
      <w:lang w:val="x-none" w:eastAsia="cs-CZ"/>
    </w:rPr>
  </w:style>
  <w:style w:type="character" w:customStyle="1" w:styleId="PredmetkomentraChar1559">
    <w:name w:val="Predmet komentára Char1559"/>
    <w:aliases w:val="Char6 Char Char1560,Predmet komentára Char Char Char1560,Comment Subject Char Char Char1560"/>
    <w:basedOn w:val="TextkomentraChar"/>
    <w:uiPriority w:val="99"/>
    <w:semiHidden/>
    <w:rPr>
      <w:rFonts w:ascii="Courier" w:hAnsi="Courier" w:cs="Courier"/>
      <w:b/>
      <w:bCs/>
      <w:lang w:val="x-none" w:eastAsia="cs-CZ"/>
    </w:rPr>
  </w:style>
  <w:style w:type="character" w:customStyle="1" w:styleId="PredmetkomentraChar1558">
    <w:name w:val="Predmet komentára Char1558"/>
    <w:aliases w:val="Char6 Char Char1559,Predmet komentára Char Char Char1559,Comment Subject Char Char Char1559"/>
    <w:basedOn w:val="TextkomentraChar"/>
    <w:uiPriority w:val="99"/>
    <w:semiHidden/>
    <w:rPr>
      <w:rFonts w:ascii="Courier" w:hAnsi="Courier" w:cs="Courier"/>
      <w:b/>
      <w:bCs/>
      <w:lang w:val="x-none" w:eastAsia="cs-CZ"/>
    </w:rPr>
  </w:style>
  <w:style w:type="character" w:customStyle="1" w:styleId="PredmetkomentraChar1557">
    <w:name w:val="Predmet komentára Char1557"/>
    <w:aliases w:val="Char6 Char Char1558,Predmet komentára Char Char Char1558,Comment Subject Char Char Char1558"/>
    <w:basedOn w:val="TextkomentraChar"/>
    <w:uiPriority w:val="99"/>
    <w:semiHidden/>
    <w:rPr>
      <w:rFonts w:ascii="Courier" w:hAnsi="Courier" w:cs="Courier"/>
      <w:b/>
      <w:bCs/>
      <w:lang w:val="x-none" w:eastAsia="cs-CZ"/>
    </w:rPr>
  </w:style>
  <w:style w:type="character" w:customStyle="1" w:styleId="PredmetkomentraChar1556">
    <w:name w:val="Predmet komentára Char1556"/>
    <w:aliases w:val="Char6 Char Char1557,Predmet komentára Char Char Char1557,Comment Subject Char Char Char1557"/>
    <w:basedOn w:val="TextkomentraChar"/>
    <w:uiPriority w:val="99"/>
    <w:semiHidden/>
    <w:rPr>
      <w:rFonts w:ascii="Courier" w:hAnsi="Courier" w:cs="Courier"/>
      <w:b/>
      <w:bCs/>
      <w:lang w:val="x-none" w:eastAsia="cs-CZ"/>
    </w:rPr>
  </w:style>
  <w:style w:type="character" w:customStyle="1" w:styleId="PredmetkomentraChar1555">
    <w:name w:val="Predmet komentára Char1555"/>
    <w:aliases w:val="Char6 Char Char1556,Predmet komentára Char Char Char1556,Comment Subject Char Char Char1556"/>
    <w:basedOn w:val="TextkomentraChar"/>
    <w:uiPriority w:val="99"/>
    <w:semiHidden/>
    <w:rPr>
      <w:rFonts w:ascii="Courier" w:hAnsi="Courier" w:cs="Courier"/>
      <w:b/>
      <w:bCs/>
      <w:lang w:val="x-none" w:eastAsia="cs-CZ"/>
    </w:rPr>
  </w:style>
  <w:style w:type="character" w:customStyle="1" w:styleId="PredmetkomentraChar1554">
    <w:name w:val="Predmet komentára Char1554"/>
    <w:aliases w:val="Char6 Char Char1555,Predmet komentára Char Char Char1555,Comment Subject Char Char Char1555"/>
    <w:basedOn w:val="TextkomentraChar"/>
    <w:uiPriority w:val="99"/>
    <w:semiHidden/>
    <w:rPr>
      <w:rFonts w:ascii="Courier" w:hAnsi="Courier" w:cs="Courier"/>
      <w:b/>
      <w:bCs/>
      <w:lang w:val="x-none" w:eastAsia="cs-CZ"/>
    </w:rPr>
  </w:style>
  <w:style w:type="character" w:customStyle="1" w:styleId="PredmetkomentraChar1553">
    <w:name w:val="Predmet komentára Char1553"/>
    <w:aliases w:val="Char6 Char Char1554,Predmet komentára Char Char Char1554,Comment Subject Char Char Char1554"/>
    <w:basedOn w:val="TextkomentraChar"/>
    <w:uiPriority w:val="99"/>
    <w:semiHidden/>
    <w:rPr>
      <w:rFonts w:ascii="Courier" w:hAnsi="Courier" w:cs="Courier"/>
      <w:b/>
      <w:bCs/>
      <w:lang w:val="x-none" w:eastAsia="cs-CZ"/>
    </w:rPr>
  </w:style>
  <w:style w:type="character" w:customStyle="1" w:styleId="PredmetkomentraChar1552">
    <w:name w:val="Predmet komentára Char1552"/>
    <w:aliases w:val="Char6 Char Char1553,Predmet komentára Char Char Char1553,Comment Subject Char Char Char1553"/>
    <w:basedOn w:val="TextkomentraChar"/>
    <w:uiPriority w:val="99"/>
    <w:semiHidden/>
    <w:rPr>
      <w:rFonts w:ascii="Courier" w:hAnsi="Courier" w:cs="Courier"/>
      <w:b/>
      <w:bCs/>
      <w:lang w:val="x-none" w:eastAsia="cs-CZ"/>
    </w:rPr>
  </w:style>
  <w:style w:type="character" w:customStyle="1" w:styleId="PredmetkomentraChar1551">
    <w:name w:val="Predmet komentára Char1551"/>
    <w:aliases w:val="Char6 Char Char1552,Predmet komentára Char Char Char1552,Comment Subject Char Char Char1552"/>
    <w:basedOn w:val="TextkomentraChar"/>
    <w:uiPriority w:val="99"/>
    <w:semiHidden/>
    <w:rPr>
      <w:rFonts w:ascii="Courier" w:hAnsi="Courier" w:cs="Courier"/>
      <w:b/>
      <w:bCs/>
      <w:lang w:val="x-none" w:eastAsia="cs-CZ"/>
    </w:rPr>
  </w:style>
  <w:style w:type="character" w:customStyle="1" w:styleId="PredmetkomentraChar1550">
    <w:name w:val="Predmet komentára Char1550"/>
    <w:aliases w:val="Char6 Char Char1551,Predmet komentára Char Char Char1551,Comment Subject Char Char Char1551"/>
    <w:basedOn w:val="TextkomentraChar"/>
    <w:uiPriority w:val="99"/>
    <w:semiHidden/>
    <w:rPr>
      <w:rFonts w:ascii="Courier" w:hAnsi="Courier" w:cs="Courier"/>
      <w:b/>
      <w:bCs/>
      <w:lang w:val="x-none" w:eastAsia="cs-CZ"/>
    </w:rPr>
  </w:style>
  <w:style w:type="character" w:customStyle="1" w:styleId="PredmetkomentraChar1549">
    <w:name w:val="Predmet komentára Char1549"/>
    <w:aliases w:val="Char6 Char Char1550,Predmet komentára Char Char Char1550,Comment Subject Char Char Char1550"/>
    <w:basedOn w:val="TextkomentraChar"/>
    <w:uiPriority w:val="99"/>
    <w:semiHidden/>
    <w:rPr>
      <w:rFonts w:ascii="Courier" w:hAnsi="Courier" w:cs="Courier"/>
      <w:b/>
      <w:bCs/>
      <w:lang w:val="x-none" w:eastAsia="cs-CZ"/>
    </w:rPr>
  </w:style>
  <w:style w:type="character" w:customStyle="1" w:styleId="PredmetkomentraChar1548">
    <w:name w:val="Predmet komentára Char1548"/>
    <w:aliases w:val="Char6 Char Char1549,Predmet komentára Char Char Char1549,Comment Subject Char Char Char1549"/>
    <w:basedOn w:val="TextkomentraChar"/>
    <w:uiPriority w:val="99"/>
    <w:semiHidden/>
    <w:rPr>
      <w:rFonts w:ascii="Courier" w:hAnsi="Courier" w:cs="Courier"/>
      <w:b/>
      <w:bCs/>
      <w:lang w:val="x-none" w:eastAsia="cs-CZ"/>
    </w:rPr>
  </w:style>
  <w:style w:type="character" w:customStyle="1" w:styleId="PredmetkomentraChar1547">
    <w:name w:val="Predmet komentára Char1547"/>
    <w:aliases w:val="Char6 Char Char1548,Predmet komentára Char Char Char1548,Comment Subject Char Char Char1548"/>
    <w:basedOn w:val="TextkomentraChar"/>
    <w:uiPriority w:val="99"/>
    <w:semiHidden/>
    <w:rPr>
      <w:rFonts w:ascii="Courier" w:hAnsi="Courier" w:cs="Courier"/>
      <w:b/>
      <w:bCs/>
      <w:lang w:val="x-none" w:eastAsia="cs-CZ"/>
    </w:rPr>
  </w:style>
  <w:style w:type="character" w:customStyle="1" w:styleId="PredmetkomentraChar1546">
    <w:name w:val="Predmet komentára Char1546"/>
    <w:aliases w:val="Char6 Char Char1547,Predmet komentára Char Char Char1547,Comment Subject Char Char Char1547"/>
    <w:basedOn w:val="TextkomentraChar"/>
    <w:uiPriority w:val="99"/>
    <w:semiHidden/>
    <w:rPr>
      <w:rFonts w:ascii="Courier" w:hAnsi="Courier" w:cs="Courier"/>
      <w:b/>
      <w:bCs/>
      <w:lang w:val="x-none" w:eastAsia="cs-CZ"/>
    </w:rPr>
  </w:style>
  <w:style w:type="character" w:customStyle="1" w:styleId="PredmetkomentraChar1545">
    <w:name w:val="Predmet komentára Char1545"/>
    <w:aliases w:val="Char6 Char Char1546,Predmet komentára Char Char Char1546,Comment Subject Char Char Char1546"/>
    <w:basedOn w:val="TextkomentraChar"/>
    <w:uiPriority w:val="99"/>
    <w:semiHidden/>
    <w:rPr>
      <w:rFonts w:ascii="Courier" w:hAnsi="Courier" w:cs="Courier"/>
      <w:b/>
      <w:bCs/>
      <w:lang w:val="x-none" w:eastAsia="cs-CZ"/>
    </w:rPr>
  </w:style>
  <w:style w:type="character" w:customStyle="1" w:styleId="PredmetkomentraChar1544">
    <w:name w:val="Predmet komentára Char1544"/>
    <w:aliases w:val="Char6 Char Char1545,Predmet komentára Char Char Char1545,Comment Subject Char Char Char1545"/>
    <w:basedOn w:val="TextkomentraChar"/>
    <w:uiPriority w:val="99"/>
    <w:semiHidden/>
    <w:rPr>
      <w:rFonts w:ascii="Courier" w:hAnsi="Courier" w:cs="Courier"/>
      <w:b/>
      <w:bCs/>
      <w:lang w:val="x-none" w:eastAsia="cs-CZ"/>
    </w:rPr>
  </w:style>
  <w:style w:type="character" w:customStyle="1" w:styleId="PredmetkomentraChar1543">
    <w:name w:val="Predmet komentára Char1543"/>
    <w:aliases w:val="Char6 Char Char1544,Predmet komentára Char Char Char1544,Comment Subject Char Char Char1544"/>
    <w:basedOn w:val="TextkomentraChar"/>
    <w:uiPriority w:val="99"/>
    <w:semiHidden/>
    <w:rPr>
      <w:rFonts w:ascii="Courier" w:hAnsi="Courier" w:cs="Courier"/>
      <w:b/>
      <w:bCs/>
      <w:lang w:val="x-none" w:eastAsia="cs-CZ"/>
    </w:rPr>
  </w:style>
  <w:style w:type="character" w:customStyle="1" w:styleId="PredmetkomentraChar1542">
    <w:name w:val="Predmet komentára Char1542"/>
    <w:aliases w:val="Char6 Char Char1543,Predmet komentára Char Char Char1543,Comment Subject Char Char Char1543"/>
    <w:basedOn w:val="TextkomentraChar"/>
    <w:uiPriority w:val="99"/>
    <w:semiHidden/>
    <w:rPr>
      <w:rFonts w:ascii="Courier" w:hAnsi="Courier" w:cs="Courier"/>
      <w:b/>
      <w:bCs/>
      <w:lang w:val="x-none" w:eastAsia="cs-CZ"/>
    </w:rPr>
  </w:style>
  <w:style w:type="character" w:customStyle="1" w:styleId="PredmetkomentraChar1541">
    <w:name w:val="Predmet komentára Char1541"/>
    <w:aliases w:val="Char6 Char Char1542,Predmet komentára Char Char Char1542,Comment Subject Char Char Char1542"/>
    <w:basedOn w:val="TextkomentraChar"/>
    <w:uiPriority w:val="99"/>
    <w:semiHidden/>
    <w:rPr>
      <w:rFonts w:ascii="Courier" w:hAnsi="Courier" w:cs="Courier"/>
      <w:b/>
      <w:bCs/>
      <w:lang w:val="x-none" w:eastAsia="cs-CZ"/>
    </w:rPr>
  </w:style>
  <w:style w:type="character" w:customStyle="1" w:styleId="PredmetkomentraChar1540">
    <w:name w:val="Predmet komentára Char1540"/>
    <w:aliases w:val="Char6 Char Char1541,Predmet komentára Char Char Char1541,Comment Subject Char Char Char1541"/>
    <w:basedOn w:val="TextkomentraChar"/>
    <w:uiPriority w:val="99"/>
    <w:semiHidden/>
    <w:rPr>
      <w:rFonts w:ascii="Courier" w:hAnsi="Courier" w:cs="Courier"/>
      <w:b/>
      <w:bCs/>
      <w:lang w:val="x-none" w:eastAsia="cs-CZ"/>
    </w:rPr>
  </w:style>
  <w:style w:type="character" w:customStyle="1" w:styleId="PredmetkomentraChar1539">
    <w:name w:val="Predmet komentára Char1539"/>
    <w:aliases w:val="Char6 Char Char1540,Predmet komentára Char Char Char1540,Comment Subject Char Char Char1540"/>
    <w:basedOn w:val="TextkomentraChar"/>
    <w:uiPriority w:val="99"/>
    <w:semiHidden/>
    <w:rPr>
      <w:rFonts w:ascii="Courier" w:hAnsi="Courier" w:cs="Courier"/>
      <w:b/>
      <w:bCs/>
      <w:lang w:val="x-none" w:eastAsia="cs-CZ"/>
    </w:rPr>
  </w:style>
  <w:style w:type="character" w:customStyle="1" w:styleId="PredmetkomentraChar1538">
    <w:name w:val="Predmet komentára Char1538"/>
    <w:aliases w:val="Char6 Char Char1539,Predmet komentára Char Char Char1539,Comment Subject Char Char Char1539"/>
    <w:basedOn w:val="TextkomentraChar"/>
    <w:uiPriority w:val="99"/>
    <w:semiHidden/>
    <w:rPr>
      <w:rFonts w:ascii="Courier" w:hAnsi="Courier" w:cs="Courier"/>
      <w:b/>
      <w:bCs/>
      <w:lang w:val="x-none" w:eastAsia="cs-CZ"/>
    </w:rPr>
  </w:style>
  <w:style w:type="character" w:customStyle="1" w:styleId="PredmetkomentraChar1537">
    <w:name w:val="Predmet komentára Char1537"/>
    <w:aliases w:val="Char6 Char Char1538,Predmet komentára Char Char Char1538,Comment Subject Char Char Char1538"/>
    <w:basedOn w:val="TextkomentraChar"/>
    <w:uiPriority w:val="99"/>
    <w:semiHidden/>
    <w:rPr>
      <w:rFonts w:ascii="Courier" w:hAnsi="Courier" w:cs="Courier"/>
      <w:b/>
      <w:bCs/>
      <w:lang w:val="x-none" w:eastAsia="cs-CZ"/>
    </w:rPr>
  </w:style>
  <w:style w:type="character" w:customStyle="1" w:styleId="PredmetkomentraChar1536">
    <w:name w:val="Predmet komentára Char1536"/>
    <w:aliases w:val="Char6 Char Char1537,Predmet komentára Char Char Char1537,Comment Subject Char Char Char1537"/>
    <w:basedOn w:val="TextkomentraChar"/>
    <w:uiPriority w:val="99"/>
    <w:semiHidden/>
    <w:rPr>
      <w:rFonts w:ascii="Courier" w:hAnsi="Courier" w:cs="Courier"/>
      <w:b/>
      <w:bCs/>
      <w:lang w:val="x-none" w:eastAsia="cs-CZ"/>
    </w:rPr>
  </w:style>
  <w:style w:type="character" w:customStyle="1" w:styleId="PredmetkomentraChar1535">
    <w:name w:val="Predmet komentára Char1535"/>
    <w:aliases w:val="Char6 Char Char1536,Predmet komentára Char Char Char1536,Comment Subject Char Char Char1536"/>
    <w:basedOn w:val="TextkomentraChar"/>
    <w:uiPriority w:val="99"/>
    <w:semiHidden/>
    <w:rPr>
      <w:rFonts w:ascii="Courier" w:hAnsi="Courier" w:cs="Courier"/>
      <w:b/>
      <w:bCs/>
      <w:lang w:val="x-none" w:eastAsia="cs-CZ"/>
    </w:rPr>
  </w:style>
  <w:style w:type="character" w:customStyle="1" w:styleId="PredmetkomentraChar1534">
    <w:name w:val="Predmet komentára Char1534"/>
    <w:aliases w:val="Char6 Char Char1535,Predmet komentára Char Char Char1535,Comment Subject Char Char Char1535"/>
    <w:basedOn w:val="TextkomentraChar"/>
    <w:uiPriority w:val="99"/>
    <w:semiHidden/>
    <w:rPr>
      <w:rFonts w:ascii="Courier" w:hAnsi="Courier" w:cs="Courier"/>
      <w:b/>
      <w:bCs/>
      <w:lang w:val="x-none" w:eastAsia="cs-CZ"/>
    </w:rPr>
  </w:style>
  <w:style w:type="character" w:customStyle="1" w:styleId="PredmetkomentraChar1533">
    <w:name w:val="Predmet komentára Char1533"/>
    <w:aliases w:val="Char6 Char Char1534,Predmet komentára Char Char Char1534,Comment Subject Char Char Char1534"/>
    <w:basedOn w:val="TextkomentraChar"/>
    <w:uiPriority w:val="99"/>
    <w:semiHidden/>
    <w:rPr>
      <w:rFonts w:ascii="Courier" w:hAnsi="Courier" w:cs="Courier"/>
      <w:b/>
      <w:bCs/>
      <w:lang w:val="x-none" w:eastAsia="cs-CZ"/>
    </w:rPr>
  </w:style>
  <w:style w:type="character" w:customStyle="1" w:styleId="PredmetkomentraChar1532">
    <w:name w:val="Predmet komentára Char1532"/>
    <w:aliases w:val="Char6 Char Char1533,Predmet komentára Char Char Char1533,Comment Subject Char Char Char1533"/>
    <w:basedOn w:val="TextkomentraChar"/>
    <w:uiPriority w:val="99"/>
    <w:semiHidden/>
    <w:rPr>
      <w:rFonts w:ascii="Courier" w:hAnsi="Courier" w:cs="Courier"/>
      <w:b/>
      <w:bCs/>
      <w:lang w:val="x-none" w:eastAsia="cs-CZ"/>
    </w:rPr>
  </w:style>
  <w:style w:type="character" w:customStyle="1" w:styleId="PredmetkomentraChar1531">
    <w:name w:val="Predmet komentára Char1531"/>
    <w:aliases w:val="Char6 Char Char1532,Predmet komentára Char Char Char1532,Comment Subject Char Char Char1532"/>
    <w:basedOn w:val="TextkomentraChar"/>
    <w:uiPriority w:val="99"/>
    <w:semiHidden/>
    <w:rPr>
      <w:rFonts w:ascii="Courier" w:hAnsi="Courier" w:cs="Courier"/>
      <w:b/>
      <w:bCs/>
      <w:lang w:val="x-none" w:eastAsia="cs-CZ"/>
    </w:rPr>
  </w:style>
  <w:style w:type="character" w:customStyle="1" w:styleId="PredmetkomentraChar1530">
    <w:name w:val="Predmet komentára Char1530"/>
    <w:aliases w:val="Char6 Char Char1531,Predmet komentára Char Char Char1531,Comment Subject Char Char Char1531"/>
    <w:basedOn w:val="TextkomentraChar"/>
    <w:uiPriority w:val="99"/>
    <w:semiHidden/>
    <w:rPr>
      <w:rFonts w:ascii="Courier" w:hAnsi="Courier" w:cs="Courier"/>
      <w:b/>
      <w:bCs/>
      <w:lang w:val="x-none" w:eastAsia="cs-CZ"/>
    </w:rPr>
  </w:style>
  <w:style w:type="character" w:customStyle="1" w:styleId="PredmetkomentraChar1529">
    <w:name w:val="Predmet komentára Char1529"/>
    <w:aliases w:val="Char6 Char Char1530,Predmet komentára Char Char Char1530,Comment Subject Char Char Char1530"/>
    <w:basedOn w:val="TextkomentraChar"/>
    <w:uiPriority w:val="99"/>
    <w:semiHidden/>
    <w:rPr>
      <w:rFonts w:ascii="Courier" w:hAnsi="Courier" w:cs="Courier"/>
      <w:b/>
      <w:bCs/>
      <w:lang w:val="x-none" w:eastAsia="cs-CZ"/>
    </w:rPr>
  </w:style>
  <w:style w:type="character" w:customStyle="1" w:styleId="PredmetkomentraChar1528">
    <w:name w:val="Predmet komentára Char1528"/>
    <w:aliases w:val="Char6 Char Char1529,Predmet komentára Char Char Char1529,Comment Subject Char Char Char1529"/>
    <w:basedOn w:val="TextkomentraChar"/>
    <w:uiPriority w:val="99"/>
    <w:semiHidden/>
    <w:rPr>
      <w:rFonts w:ascii="Courier" w:hAnsi="Courier" w:cs="Courier"/>
      <w:b/>
      <w:bCs/>
      <w:lang w:val="x-none" w:eastAsia="cs-CZ"/>
    </w:rPr>
  </w:style>
  <w:style w:type="character" w:customStyle="1" w:styleId="PredmetkomentraChar1527">
    <w:name w:val="Predmet komentára Char1527"/>
    <w:aliases w:val="Char6 Char Char1528,Predmet komentára Char Char Char1528,Comment Subject Char Char Char1528"/>
    <w:basedOn w:val="TextkomentraChar"/>
    <w:uiPriority w:val="99"/>
    <w:semiHidden/>
    <w:rPr>
      <w:rFonts w:ascii="Courier" w:hAnsi="Courier" w:cs="Courier"/>
      <w:b/>
      <w:bCs/>
      <w:lang w:val="x-none" w:eastAsia="cs-CZ"/>
    </w:rPr>
  </w:style>
  <w:style w:type="character" w:customStyle="1" w:styleId="PredmetkomentraChar1526">
    <w:name w:val="Predmet komentára Char1526"/>
    <w:aliases w:val="Char6 Char Char1527,Predmet komentára Char Char Char1527,Comment Subject Char Char Char1527"/>
    <w:basedOn w:val="TextkomentraChar"/>
    <w:uiPriority w:val="99"/>
    <w:semiHidden/>
    <w:rPr>
      <w:rFonts w:ascii="Courier" w:hAnsi="Courier" w:cs="Courier"/>
      <w:b/>
      <w:bCs/>
      <w:lang w:val="x-none" w:eastAsia="cs-CZ"/>
    </w:rPr>
  </w:style>
  <w:style w:type="character" w:customStyle="1" w:styleId="PredmetkomentraChar1525">
    <w:name w:val="Predmet komentára Char1525"/>
    <w:aliases w:val="Char6 Char Char1526,Predmet komentára Char Char Char1526,Comment Subject Char Char Char1526"/>
    <w:basedOn w:val="TextkomentraChar"/>
    <w:uiPriority w:val="99"/>
    <w:semiHidden/>
    <w:rPr>
      <w:rFonts w:ascii="Courier" w:hAnsi="Courier" w:cs="Courier"/>
      <w:b/>
      <w:bCs/>
      <w:lang w:val="x-none" w:eastAsia="cs-CZ"/>
    </w:rPr>
  </w:style>
  <w:style w:type="character" w:customStyle="1" w:styleId="PredmetkomentraChar1524">
    <w:name w:val="Predmet komentára Char1524"/>
    <w:aliases w:val="Char6 Char Char1525,Predmet komentára Char Char Char1525,Comment Subject Char Char Char1525"/>
    <w:basedOn w:val="TextkomentraChar"/>
    <w:uiPriority w:val="99"/>
    <w:semiHidden/>
    <w:rPr>
      <w:rFonts w:ascii="Courier" w:hAnsi="Courier" w:cs="Courier"/>
      <w:b/>
      <w:bCs/>
      <w:lang w:val="x-none" w:eastAsia="cs-CZ"/>
    </w:rPr>
  </w:style>
  <w:style w:type="character" w:customStyle="1" w:styleId="PredmetkomentraChar1523">
    <w:name w:val="Predmet komentára Char1523"/>
    <w:aliases w:val="Char6 Char Char1524,Predmet komentára Char Char Char1524,Comment Subject Char Char Char1524"/>
    <w:basedOn w:val="TextkomentraChar"/>
    <w:uiPriority w:val="99"/>
    <w:semiHidden/>
    <w:rPr>
      <w:rFonts w:ascii="Courier" w:hAnsi="Courier" w:cs="Courier"/>
      <w:b/>
      <w:bCs/>
      <w:lang w:val="x-none" w:eastAsia="cs-CZ"/>
    </w:rPr>
  </w:style>
  <w:style w:type="character" w:customStyle="1" w:styleId="PredmetkomentraChar1522">
    <w:name w:val="Predmet komentára Char1522"/>
    <w:aliases w:val="Char6 Char Char1523,Predmet komentára Char Char Char1523,Comment Subject Char Char Char1523"/>
    <w:basedOn w:val="TextkomentraChar"/>
    <w:uiPriority w:val="99"/>
    <w:semiHidden/>
    <w:rPr>
      <w:rFonts w:ascii="Courier" w:hAnsi="Courier" w:cs="Courier"/>
      <w:b/>
      <w:bCs/>
      <w:lang w:val="x-none" w:eastAsia="cs-CZ"/>
    </w:rPr>
  </w:style>
  <w:style w:type="character" w:customStyle="1" w:styleId="PredmetkomentraChar1521">
    <w:name w:val="Predmet komentára Char1521"/>
    <w:aliases w:val="Char6 Char Char1522,Predmet komentára Char Char Char1522,Comment Subject Char Char Char1522"/>
    <w:basedOn w:val="TextkomentraChar"/>
    <w:uiPriority w:val="99"/>
    <w:semiHidden/>
    <w:rPr>
      <w:rFonts w:ascii="Courier" w:hAnsi="Courier" w:cs="Courier"/>
      <w:b/>
      <w:bCs/>
      <w:lang w:val="x-none" w:eastAsia="cs-CZ"/>
    </w:rPr>
  </w:style>
  <w:style w:type="character" w:customStyle="1" w:styleId="PredmetkomentraChar1520">
    <w:name w:val="Predmet komentára Char1520"/>
    <w:aliases w:val="Char6 Char Char1521,Predmet komentára Char Char Char1521,Comment Subject Char Char Char1521"/>
    <w:basedOn w:val="TextkomentraChar"/>
    <w:uiPriority w:val="99"/>
    <w:semiHidden/>
    <w:rPr>
      <w:rFonts w:ascii="Courier" w:hAnsi="Courier" w:cs="Courier"/>
      <w:b/>
      <w:bCs/>
      <w:lang w:val="x-none" w:eastAsia="cs-CZ"/>
    </w:rPr>
  </w:style>
  <w:style w:type="character" w:customStyle="1" w:styleId="PredmetkomentraChar1519">
    <w:name w:val="Predmet komentára Char1519"/>
    <w:aliases w:val="Char6 Char Char1520,Predmet komentára Char Char Char1520,Comment Subject Char Char Char1520"/>
    <w:basedOn w:val="TextkomentraChar"/>
    <w:uiPriority w:val="99"/>
    <w:semiHidden/>
    <w:rPr>
      <w:rFonts w:ascii="Courier" w:hAnsi="Courier" w:cs="Courier"/>
      <w:b/>
      <w:bCs/>
      <w:lang w:val="x-none" w:eastAsia="cs-CZ"/>
    </w:rPr>
  </w:style>
  <w:style w:type="character" w:customStyle="1" w:styleId="PredmetkomentraChar1518">
    <w:name w:val="Predmet komentára Char1518"/>
    <w:aliases w:val="Char6 Char Char1519,Predmet komentára Char Char Char1519,Comment Subject Char Char Char1519"/>
    <w:basedOn w:val="TextkomentraChar"/>
    <w:uiPriority w:val="99"/>
    <w:semiHidden/>
    <w:rPr>
      <w:rFonts w:ascii="Courier" w:hAnsi="Courier" w:cs="Courier"/>
      <w:b/>
      <w:bCs/>
      <w:lang w:val="x-none" w:eastAsia="cs-CZ"/>
    </w:rPr>
  </w:style>
  <w:style w:type="character" w:customStyle="1" w:styleId="PredmetkomentraChar1517">
    <w:name w:val="Predmet komentára Char1517"/>
    <w:aliases w:val="Char6 Char Char1518,Predmet komentára Char Char Char1518,Comment Subject Char Char Char1518"/>
    <w:basedOn w:val="TextkomentraChar"/>
    <w:uiPriority w:val="99"/>
    <w:semiHidden/>
    <w:rPr>
      <w:rFonts w:ascii="Courier" w:hAnsi="Courier" w:cs="Courier"/>
      <w:b/>
      <w:bCs/>
      <w:lang w:val="x-none" w:eastAsia="cs-CZ"/>
    </w:rPr>
  </w:style>
  <w:style w:type="character" w:customStyle="1" w:styleId="PredmetkomentraChar1516">
    <w:name w:val="Predmet komentára Char1516"/>
    <w:aliases w:val="Char6 Char Char1517,Predmet komentára Char Char Char1517,Comment Subject Char Char Char1517"/>
    <w:basedOn w:val="TextkomentraChar"/>
    <w:uiPriority w:val="99"/>
    <w:semiHidden/>
    <w:rPr>
      <w:rFonts w:ascii="Courier" w:hAnsi="Courier" w:cs="Courier"/>
      <w:b/>
      <w:bCs/>
      <w:lang w:val="x-none" w:eastAsia="cs-CZ"/>
    </w:rPr>
  </w:style>
  <w:style w:type="character" w:customStyle="1" w:styleId="PredmetkomentraChar1515">
    <w:name w:val="Predmet komentára Char1515"/>
    <w:aliases w:val="Char6 Char Char1516,Predmet komentára Char Char Char1516,Comment Subject Char Char Char1516"/>
    <w:basedOn w:val="TextkomentraChar"/>
    <w:uiPriority w:val="99"/>
    <w:semiHidden/>
    <w:rPr>
      <w:rFonts w:ascii="Courier" w:hAnsi="Courier" w:cs="Courier"/>
      <w:b/>
      <w:bCs/>
      <w:lang w:val="x-none" w:eastAsia="cs-CZ"/>
    </w:rPr>
  </w:style>
  <w:style w:type="character" w:customStyle="1" w:styleId="PredmetkomentraChar1514">
    <w:name w:val="Predmet komentára Char1514"/>
    <w:aliases w:val="Char6 Char Char1515,Predmet komentára Char Char Char1515,Comment Subject Char Char Char1515"/>
    <w:basedOn w:val="TextkomentraChar"/>
    <w:uiPriority w:val="99"/>
    <w:semiHidden/>
    <w:rPr>
      <w:rFonts w:ascii="Courier" w:hAnsi="Courier" w:cs="Courier"/>
      <w:b/>
      <w:bCs/>
      <w:lang w:val="x-none" w:eastAsia="cs-CZ"/>
    </w:rPr>
  </w:style>
  <w:style w:type="character" w:customStyle="1" w:styleId="PredmetkomentraChar1513">
    <w:name w:val="Predmet komentára Char1513"/>
    <w:aliases w:val="Char6 Char Char1514,Predmet komentára Char Char Char1514,Comment Subject Char Char Char1514"/>
    <w:uiPriority w:val="99"/>
    <w:semiHidden/>
    <w:rPr>
      <w:rFonts w:ascii="Courier" w:hAnsi="Courier"/>
      <w:b/>
      <w:lang w:val="x-none" w:eastAsia="cs-CZ"/>
    </w:rPr>
  </w:style>
  <w:style w:type="character" w:customStyle="1" w:styleId="PredmetkomentraChar1512">
    <w:name w:val="Predmet komentára Char1512"/>
    <w:aliases w:val="Char6 Char Char1513,Predmet komentára Char Char Char1513,Comment Subject Char Char Char1513"/>
    <w:uiPriority w:val="99"/>
    <w:semiHidden/>
    <w:rPr>
      <w:rFonts w:ascii="Courier" w:hAnsi="Courier"/>
      <w:b/>
      <w:lang w:val="x-none" w:eastAsia="cs-CZ"/>
    </w:rPr>
  </w:style>
  <w:style w:type="character" w:customStyle="1" w:styleId="PredmetkomentraChar1511">
    <w:name w:val="Predmet komentára Char1511"/>
    <w:aliases w:val="Char6 Char Char1512,Predmet komentára Char Char Char1512,Comment Subject Char Char Char1512"/>
    <w:uiPriority w:val="99"/>
    <w:semiHidden/>
    <w:rPr>
      <w:rFonts w:ascii="Courier" w:hAnsi="Courier"/>
      <w:b/>
      <w:lang w:val="x-none" w:eastAsia="cs-CZ"/>
    </w:rPr>
  </w:style>
  <w:style w:type="character" w:customStyle="1" w:styleId="PredmetkomentraChar1510">
    <w:name w:val="Predmet komentára Char1510"/>
    <w:aliases w:val="Char6 Char Char1511,Predmet komentára Char Char Char1511,Comment Subject Char Char Char1511"/>
    <w:uiPriority w:val="99"/>
    <w:semiHidden/>
    <w:rPr>
      <w:rFonts w:ascii="Courier" w:hAnsi="Courier"/>
      <w:b/>
      <w:lang w:val="x-none" w:eastAsia="cs-CZ"/>
    </w:rPr>
  </w:style>
  <w:style w:type="character" w:customStyle="1" w:styleId="PredmetkomentraChar1509">
    <w:name w:val="Predmet komentára Char1509"/>
    <w:aliases w:val="Char6 Char Char1510,Predmet komentára Char Char Char1510,Comment Subject Char Char Char1510"/>
    <w:uiPriority w:val="99"/>
    <w:semiHidden/>
    <w:rPr>
      <w:rFonts w:ascii="Courier" w:hAnsi="Courier"/>
      <w:b/>
      <w:lang w:val="x-none" w:eastAsia="cs-CZ"/>
    </w:rPr>
  </w:style>
  <w:style w:type="character" w:customStyle="1" w:styleId="PredmetkomentraChar1508">
    <w:name w:val="Predmet komentára Char1508"/>
    <w:aliases w:val="Char6 Char Char1509,Predmet komentára Char Char Char1509,Comment Subject Char Char Char1509"/>
    <w:uiPriority w:val="99"/>
    <w:semiHidden/>
    <w:rPr>
      <w:rFonts w:ascii="Courier" w:hAnsi="Courier"/>
      <w:b/>
      <w:lang w:val="x-none" w:eastAsia="cs-CZ"/>
    </w:rPr>
  </w:style>
  <w:style w:type="character" w:customStyle="1" w:styleId="PredmetkomentraChar1507">
    <w:name w:val="Predmet komentára Char1507"/>
    <w:aliases w:val="Char6 Char Char1508,Predmet komentára Char Char Char1508,Comment Subject Char Char Char1508"/>
    <w:uiPriority w:val="99"/>
    <w:semiHidden/>
    <w:rPr>
      <w:rFonts w:ascii="Courier" w:hAnsi="Courier"/>
      <w:b/>
      <w:lang w:val="x-none" w:eastAsia="cs-CZ"/>
    </w:rPr>
  </w:style>
  <w:style w:type="character" w:customStyle="1" w:styleId="PredmetkomentraChar1506">
    <w:name w:val="Predmet komentára Char1506"/>
    <w:aliases w:val="Char6 Char Char1507,Predmet komentára Char Char Char1507,Comment Subject Char Char Char1507"/>
    <w:uiPriority w:val="99"/>
    <w:semiHidden/>
    <w:rPr>
      <w:rFonts w:ascii="Courier" w:hAnsi="Courier"/>
      <w:b/>
      <w:lang w:val="x-none" w:eastAsia="cs-CZ"/>
    </w:rPr>
  </w:style>
  <w:style w:type="character" w:customStyle="1" w:styleId="PredmetkomentraChar1505">
    <w:name w:val="Predmet komentára Char1505"/>
    <w:aliases w:val="Char6 Char Char1506,Predmet komentára Char Char Char1506,Comment Subject Char Char Char1506"/>
    <w:uiPriority w:val="99"/>
    <w:semiHidden/>
    <w:rPr>
      <w:rFonts w:ascii="Courier" w:hAnsi="Courier"/>
      <w:b/>
      <w:lang w:val="x-none" w:eastAsia="cs-CZ"/>
    </w:rPr>
  </w:style>
  <w:style w:type="character" w:customStyle="1" w:styleId="PredmetkomentraChar1504">
    <w:name w:val="Predmet komentára Char1504"/>
    <w:aliases w:val="Char6 Char Char1505,Predmet komentára Char Char Char1505,Comment Subject Char Char Char1505"/>
    <w:uiPriority w:val="99"/>
    <w:semiHidden/>
    <w:rPr>
      <w:rFonts w:ascii="Courier" w:hAnsi="Courier"/>
      <w:b/>
      <w:lang w:val="x-none" w:eastAsia="cs-CZ"/>
    </w:rPr>
  </w:style>
  <w:style w:type="character" w:customStyle="1" w:styleId="PredmetkomentraChar1503">
    <w:name w:val="Predmet komentára Char1503"/>
    <w:aliases w:val="Char6 Char Char1504,Predmet komentára Char Char Char1504,Comment Subject Char Char Char1504"/>
    <w:uiPriority w:val="99"/>
    <w:semiHidden/>
    <w:rPr>
      <w:rFonts w:ascii="Courier" w:hAnsi="Courier"/>
      <w:b/>
      <w:lang w:val="x-none" w:eastAsia="cs-CZ"/>
    </w:rPr>
  </w:style>
  <w:style w:type="character" w:customStyle="1" w:styleId="PredmetkomentraChar1502">
    <w:name w:val="Predmet komentára Char1502"/>
    <w:aliases w:val="Char6 Char Char1503,Predmet komentára Char Char Char1503,Comment Subject Char Char Char1503"/>
    <w:uiPriority w:val="99"/>
    <w:semiHidden/>
    <w:rPr>
      <w:rFonts w:ascii="Courier" w:hAnsi="Courier"/>
      <w:b/>
      <w:lang w:val="x-none" w:eastAsia="cs-CZ"/>
    </w:rPr>
  </w:style>
  <w:style w:type="character" w:customStyle="1" w:styleId="PredmetkomentraChar1501">
    <w:name w:val="Predmet komentára Char1501"/>
    <w:aliases w:val="Char6 Char Char1502,Predmet komentára Char Char Char1502,Comment Subject Char Char Char1502"/>
    <w:uiPriority w:val="99"/>
    <w:semiHidden/>
    <w:rPr>
      <w:rFonts w:ascii="Courier" w:hAnsi="Courier"/>
      <w:b/>
      <w:lang w:val="x-none" w:eastAsia="cs-CZ"/>
    </w:rPr>
  </w:style>
  <w:style w:type="character" w:customStyle="1" w:styleId="PredmetkomentraChar1500">
    <w:name w:val="Predmet komentára Char1500"/>
    <w:aliases w:val="Char6 Char Char1501,Predmet komentára Char Char Char1501,Comment Subject Char Char Char1501"/>
    <w:uiPriority w:val="99"/>
    <w:semiHidden/>
    <w:rPr>
      <w:rFonts w:ascii="Courier" w:hAnsi="Courier"/>
      <w:b/>
      <w:lang w:val="x-none" w:eastAsia="cs-CZ"/>
    </w:rPr>
  </w:style>
  <w:style w:type="character" w:customStyle="1" w:styleId="PredmetkomentraChar1499">
    <w:name w:val="Predmet komentára Char1499"/>
    <w:aliases w:val="Char6 Char Char1500,Predmet komentára Char Char Char1500,Comment Subject Char Char Char1500"/>
    <w:uiPriority w:val="99"/>
    <w:semiHidden/>
    <w:rPr>
      <w:rFonts w:ascii="Courier" w:hAnsi="Courier"/>
      <w:b/>
      <w:lang w:val="x-none" w:eastAsia="cs-CZ"/>
    </w:rPr>
  </w:style>
  <w:style w:type="character" w:customStyle="1" w:styleId="PredmetkomentraChar1498">
    <w:name w:val="Predmet komentára Char1498"/>
    <w:aliases w:val="Char6 Char Char1499,Predmet komentára Char Char Char1499,Comment Subject Char Char Char1499"/>
    <w:uiPriority w:val="99"/>
    <w:semiHidden/>
    <w:rPr>
      <w:rFonts w:ascii="Courier" w:hAnsi="Courier"/>
      <w:b/>
      <w:lang w:val="x-none" w:eastAsia="cs-CZ"/>
    </w:rPr>
  </w:style>
  <w:style w:type="character" w:customStyle="1" w:styleId="PredmetkomentraChar1497">
    <w:name w:val="Predmet komentára Char1497"/>
    <w:aliases w:val="Char6 Char Char1498,Predmet komentára Char Char Char1498,Comment Subject Char Char Char1498"/>
    <w:uiPriority w:val="99"/>
    <w:semiHidden/>
    <w:rPr>
      <w:rFonts w:ascii="Courier" w:hAnsi="Courier"/>
      <w:b/>
      <w:lang w:val="x-none" w:eastAsia="cs-CZ"/>
    </w:rPr>
  </w:style>
  <w:style w:type="character" w:customStyle="1" w:styleId="PredmetkomentraChar1496">
    <w:name w:val="Predmet komentára Char1496"/>
    <w:aliases w:val="Char6 Char Char1497,Predmet komentára Char Char Char1497,Comment Subject Char Char Char1497"/>
    <w:uiPriority w:val="99"/>
    <w:semiHidden/>
    <w:rPr>
      <w:rFonts w:ascii="Courier" w:hAnsi="Courier"/>
      <w:b/>
      <w:lang w:val="x-none" w:eastAsia="cs-CZ"/>
    </w:rPr>
  </w:style>
  <w:style w:type="character" w:customStyle="1" w:styleId="PredmetkomentraChar1495">
    <w:name w:val="Predmet komentára Char1495"/>
    <w:aliases w:val="Char6 Char Char1496,Predmet komentára Char Char Char1496,Comment Subject Char Char Char1496"/>
    <w:uiPriority w:val="99"/>
    <w:semiHidden/>
    <w:rPr>
      <w:rFonts w:ascii="Courier" w:hAnsi="Courier"/>
      <w:b/>
      <w:lang w:val="x-none" w:eastAsia="cs-CZ"/>
    </w:rPr>
  </w:style>
  <w:style w:type="character" w:customStyle="1" w:styleId="PredmetkomentraChar1494">
    <w:name w:val="Predmet komentára Char1494"/>
    <w:aliases w:val="Char6 Char Char1495,Predmet komentára Char Char Char1495,Comment Subject Char Char Char1495"/>
    <w:uiPriority w:val="99"/>
    <w:semiHidden/>
    <w:rPr>
      <w:rFonts w:ascii="Courier" w:hAnsi="Courier"/>
      <w:b/>
      <w:lang w:val="x-none" w:eastAsia="cs-CZ"/>
    </w:rPr>
  </w:style>
  <w:style w:type="character" w:customStyle="1" w:styleId="PredmetkomentraChar1493">
    <w:name w:val="Predmet komentára Char1493"/>
    <w:aliases w:val="Char6 Char Char1494,Predmet komentára Char Char Char1494,Comment Subject Char Char Char1494"/>
    <w:uiPriority w:val="99"/>
    <w:semiHidden/>
    <w:rPr>
      <w:rFonts w:ascii="Courier" w:hAnsi="Courier"/>
      <w:b/>
      <w:lang w:val="x-none" w:eastAsia="cs-CZ"/>
    </w:rPr>
  </w:style>
  <w:style w:type="character" w:customStyle="1" w:styleId="PredmetkomentraChar1492">
    <w:name w:val="Predmet komentára Char1492"/>
    <w:aliases w:val="Char6 Char Char1493,Predmet komentára Char Char Char1493,Comment Subject Char Char Char1493"/>
    <w:uiPriority w:val="99"/>
    <w:semiHidden/>
    <w:rPr>
      <w:rFonts w:ascii="Courier" w:hAnsi="Courier"/>
      <w:b/>
      <w:lang w:val="x-none" w:eastAsia="cs-CZ"/>
    </w:rPr>
  </w:style>
  <w:style w:type="character" w:customStyle="1" w:styleId="PredmetkomentraChar1491">
    <w:name w:val="Predmet komentára Char1491"/>
    <w:aliases w:val="Char6 Char Char1492,Predmet komentára Char Char Char1492,Comment Subject Char Char Char1492"/>
    <w:uiPriority w:val="99"/>
    <w:semiHidden/>
    <w:rPr>
      <w:rFonts w:ascii="Courier" w:hAnsi="Courier"/>
      <w:b/>
      <w:lang w:val="x-none" w:eastAsia="cs-CZ"/>
    </w:rPr>
  </w:style>
  <w:style w:type="character" w:customStyle="1" w:styleId="PredmetkomentraChar1490">
    <w:name w:val="Predmet komentára Char1490"/>
    <w:aliases w:val="Char6 Char Char1491,Predmet komentára Char Char Char1491,Comment Subject Char Char Char1491"/>
    <w:uiPriority w:val="99"/>
    <w:semiHidden/>
    <w:rPr>
      <w:rFonts w:ascii="Courier" w:hAnsi="Courier"/>
      <w:b/>
      <w:lang w:val="x-none" w:eastAsia="cs-CZ"/>
    </w:rPr>
  </w:style>
  <w:style w:type="character" w:customStyle="1" w:styleId="PredmetkomentraChar1489">
    <w:name w:val="Predmet komentára Char1489"/>
    <w:aliases w:val="Char6 Char Char1490,Predmet komentára Char Char Char1490,Comment Subject Char Char Char1490"/>
    <w:uiPriority w:val="99"/>
    <w:semiHidden/>
    <w:rPr>
      <w:rFonts w:ascii="Courier" w:hAnsi="Courier"/>
      <w:b/>
      <w:lang w:val="x-none" w:eastAsia="cs-CZ"/>
    </w:rPr>
  </w:style>
  <w:style w:type="character" w:customStyle="1" w:styleId="PredmetkomentraChar1488">
    <w:name w:val="Predmet komentára Char1488"/>
    <w:aliases w:val="Char6 Char Char1489,Predmet komentára Char Char Char1489,Comment Subject Char Char Char1489"/>
    <w:uiPriority w:val="99"/>
    <w:semiHidden/>
    <w:rPr>
      <w:rFonts w:ascii="Courier" w:hAnsi="Courier"/>
      <w:b/>
      <w:lang w:val="x-none" w:eastAsia="cs-CZ"/>
    </w:rPr>
  </w:style>
  <w:style w:type="character" w:customStyle="1" w:styleId="PredmetkomentraChar1487">
    <w:name w:val="Predmet komentára Char1487"/>
    <w:aliases w:val="Char6 Char Char1488,Predmet komentára Char Char Char1488,Comment Subject Char Char Char1488"/>
    <w:uiPriority w:val="99"/>
    <w:semiHidden/>
    <w:rPr>
      <w:rFonts w:ascii="Courier" w:hAnsi="Courier"/>
      <w:b/>
      <w:lang w:val="x-none" w:eastAsia="cs-CZ"/>
    </w:rPr>
  </w:style>
  <w:style w:type="character" w:customStyle="1" w:styleId="PredmetkomentraChar1486">
    <w:name w:val="Predmet komentára Char1486"/>
    <w:aliases w:val="Char6 Char Char1487,Predmet komentára Char Char Char1487,Comment Subject Char Char Char1487"/>
    <w:uiPriority w:val="99"/>
    <w:semiHidden/>
    <w:rPr>
      <w:rFonts w:ascii="Courier" w:hAnsi="Courier"/>
      <w:b/>
      <w:lang w:val="x-none" w:eastAsia="cs-CZ"/>
    </w:rPr>
  </w:style>
  <w:style w:type="character" w:customStyle="1" w:styleId="PredmetkomentraChar1485">
    <w:name w:val="Predmet komentára Char1485"/>
    <w:aliases w:val="Char6 Char Char1486,Predmet komentára Char Char Char1486,Comment Subject Char Char Char1486"/>
    <w:uiPriority w:val="99"/>
    <w:semiHidden/>
    <w:rPr>
      <w:rFonts w:ascii="Courier" w:hAnsi="Courier"/>
      <w:b/>
      <w:lang w:val="x-none" w:eastAsia="cs-CZ"/>
    </w:rPr>
  </w:style>
  <w:style w:type="character" w:customStyle="1" w:styleId="PredmetkomentraChar1484">
    <w:name w:val="Predmet komentára Char1484"/>
    <w:aliases w:val="Char6 Char Char1485,Predmet komentára Char Char Char1485,Comment Subject Char Char Char1485"/>
    <w:uiPriority w:val="99"/>
    <w:semiHidden/>
    <w:rPr>
      <w:rFonts w:ascii="Courier" w:hAnsi="Courier"/>
      <w:b/>
      <w:lang w:val="x-none" w:eastAsia="cs-CZ"/>
    </w:rPr>
  </w:style>
  <w:style w:type="character" w:customStyle="1" w:styleId="PredmetkomentraChar1483">
    <w:name w:val="Predmet komentára Char1483"/>
    <w:aliases w:val="Char6 Char Char1484,Predmet komentára Char Char Char1484,Comment Subject Char Char Char1484"/>
    <w:uiPriority w:val="99"/>
    <w:semiHidden/>
    <w:rPr>
      <w:rFonts w:ascii="Courier" w:hAnsi="Courier"/>
      <w:b/>
      <w:lang w:val="x-none" w:eastAsia="cs-CZ"/>
    </w:rPr>
  </w:style>
  <w:style w:type="character" w:customStyle="1" w:styleId="PredmetkomentraChar1482">
    <w:name w:val="Predmet komentára Char1482"/>
    <w:aliases w:val="Char6 Char Char1483,Predmet komentára Char Char Char1483,Comment Subject Char Char Char1483"/>
    <w:uiPriority w:val="99"/>
    <w:semiHidden/>
    <w:rPr>
      <w:rFonts w:ascii="Courier" w:hAnsi="Courier"/>
      <w:b/>
      <w:lang w:val="x-none" w:eastAsia="cs-CZ"/>
    </w:rPr>
  </w:style>
  <w:style w:type="character" w:customStyle="1" w:styleId="PredmetkomentraChar1481">
    <w:name w:val="Predmet komentára Char1481"/>
    <w:aliases w:val="Char6 Char Char1482,Predmet komentára Char Char Char1482,Comment Subject Char Char Char1482"/>
    <w:uiPriority w:val="99"/>
    <w:semiHidden/>
    <w:rPr>
      <w:rFonts w:ascii="Courier" w:hAnsi="Courier"/>
      <w:b/>
      <w:lang w:val="x-none" w:eastAsia="cs-CZ"/>
    </w:rPr>
  </w:style>
  <w:style w:type="character" w:customStyle="1" w:styleId="PredmetkomentraChar1480">
    <w:name w:val="Predmet komentára Char1480"/>
    <w:aliases w:val="Char6 Char Char1481,Predmet komentára Char Char Char1481,Comment Subject Char Char Char1481"/>
    <w:uiPriority w:val="99"/>
    <w:semiHidden/>
    <w:rPr>
      <w:rFonts w:ascii="Courier" w:hAnsi="Courier"/>
      <w:b/>
      <w:lang w:val="x-none" w:eastAsia="cs-CZ"/>
    </w:rPr>
  </w:style>
  <w:style w:type="character" w:customStyle="1" w:styleId="PredmetkomentraChar1479">
    <w:name w:val="Predmet komentára Char1479"/>
    <w:aliases w:val="Char6 Char Char1480,Predmet komentára Char Char Char1480,Comment Subject Char Char Char1480"/>
    <w:uiPriority w:val="99"/>
    <w:semiHidden/>
    <w:rPr>
      <w:rFonts w:ascii="Courier" w:hAnsi="Courier"/>
      <w:b/>
      <w:lang w:val="x-none" w:eastAsia="cs-CZ"/>
    </w:rPr>
  </w:style>
  <w:style w:type="character" w:customStyle="1" w:styleId="PredmetkomentraChar1478">
    <w:name w:val="Predmet komentára Char1478"/>
    <w:aliases w:val="Char6 Char Char1479,Predmet komentára Char Char Char1479,Comment Subject Char Char Char1479"/>
    <w:uiPriority w:val="99"/>
    <w:semiHidden/>
    <w:rPr>
      <w:rFonts w:ascii="Courier" w:hAnsi="Courier"/>
      <w:b/>
      <w:lang w:val="x-none" w:eastAsia="cs-CZ"/>
    </w:rPr>
  </w:style>
  <w:style w:type="character" w:customStyle="1" w:styleId="PredmetkomentraChar1477">
    <w:name w:val="Predmet komentára Char1477"/>
    <w:aliases w:val="Char6 Char Char1478,Predmet komentára Char Char Char1478,Comment Subject Char Char Char1478"/>
    <w:uiPriority w:val="99"/>
    <w:semiHidden/>
    <w:rPr>
      <w:rFonts w:ascii="Courier" w:hAnsi="Courier"/>
      <w:b/>
      <w:lang w:val="x-none" w:eastAsia="cs-CZ"/>
    </w:rPr>
  </w:style>
  <w:style w:type="character" w:customStyle="1" w:styleId="PredmetkomentraChar1476">
    <w:name w:val="Predmet komentára Char1476"/>
    <w:aliases w:val="Char6 Char Char1477,Predmet komentára Char Char Char1477,Comment Subject Char Char Char1477"/>
    <w:uiPriority w:val="99"/>
    <w:semiHidden/>
    <w:rPr>
      <w:rFonts w:ascii="Courier" w:hAnsi="Courier"/>
      <w:b/>
      <w:lang w:val="x-none" w:eastAsia="cs-CZ"/>
    </w:rPr>
  </w:style>
  <w:style w:type="character" w:customStyle="1" w:styleId="PredmetkomentraChar1475">
    <w:name w:val="Predmet komentára Char1475"/>
    <w:aliases w:val="Char6 Char Char1476,Predmet komentára Char Char Char1476,Comment Subject Char Char Char1476"/>
    <w:uiPriority w:val="99"/>
    <w:semiHidden/>
    <w:rPr>
      <w:rFonts w:ascii="Courier" w:hAnsi="Courier"/>
      <w:b/>
      <w:lang w:val="x-none" w:eastAsia="cs-CZ"/>
    </w:rPr>
  </w:style>
  <w:style w:type="character" w:customStyle="1" w:styleId="PredmetkomentraChar1474">
    <w:name w:val="Predmet komentára Char1474"/>
    <w:aliases w:val="Char6 Char Char1475,Predmet komentára Char Char Char1475,Comment Subject Char Char Char1475"/>
    <w:uiPriority w:val="99"/>
    <w:semiHidden/>
    <w:rPr>
      <w:rFonts w:ascii="Courier" w:hAnsi="Courier"/>
      <w:b/>
      <w:lang w:val="x-none" w:eastAsia="cs-CZ"/>
    </w:rPr>
  </w:style>
  <w:style w:type="character" w:customStyle="1" w:styleId="PredmetkomentraChar1473">
    <w:name w:val="Predmet komentára Char1473"/>
    <w:aliases w:val="Char6 Char Char1474,Predmet komentára Char Char Char1474,Comment Subject Char Char Char1474"/>
    <w:uiPriority w:val="99"/>
    <w:semiHidden/>
    <w:rPr>
      <w:rFonts w:ascii="Courier" w:hAnsi="Courier"/>
      <w:b/>
      <w:lang w:val="x-none" w:eastAsia="cs-CZ"/>
    </w:rPr>
  </w:style>
  <w:style w:type="character" w:customStyle="1" w:styleId="PredmetkomentraChar1472">
    <w:name w:val="Predmet komentára Char1472"/>
    <w:aliases w:val="Char6 Char Char1473,Predmet komentára Char Char Char1473,Comment Subject Char Char Char1473"/>
    <w:uiPriority w:val="99"/>
    <w:semiHidden/>
    <w:rPr>
      <w:rFonts w:ascii="Courier" w:hAnsi="Courier"/>
      <w:b/>
      <w:lang w:val="x-none" w:eastAsia="cs-CZ"/>
    </w:rPr>
  </w:style>
  <w:style w:type="character" w:customStyle="1" w:styleId="PredmetkomentraChar1471">
    <w:name w:val="Predmet komentára Char1471"/>
    <w:aliases w:val="Char6 Char Char1472,Predmet komentára Char Char Char1472,Comment Subject Char Char Char1472"/>
    <w:uiPriority w:val="99"/>
    <w:semiHidden/>
    <w:rPr>
      <w:rFonts w:ascii="Courier" w:hAnsi="Courier"/>
      <w:b/>
      <w:lang w:val="x-none" w:eastAsia="cs-CZ"/>
    </w:rPr>
  </w:style>
  <w:style w:type="character" w:customStyle="1" w:styleId="PredmetkomentraChar1470">
    <w:name w:val="Predmet komentára Char1470"/>
    <w:aliases w:val="Char6 Char Char1471,Predmet komentára Char Char Char1471,Comment Subject Char Char Char1471"/>
    <w:uiPriority w:val="99"/>
    <w:semiHidden/>
    <w:rPr>
      <w:rFonts w:ascii="Courier" w:hAnsi="Courier"/>
      <w:b/>
      <w:lang w:val="x-none" w:eastAsia="cs-CZ"/>
    </w:rPr>
  </w:style>
  <w:style w:type="character" w:customStyle="1" w:styleId="PredmetkomentraChar1469">
    <w:name w:val="Predmet komentára Char1469"/>
    <w:aliases w:val="Char6 Char Char1470,Predmet komentára Char Char Char1470,Comment Subject Char Char Char1470"/>
    <w:uiPriority w:val="99"/>
    <w:semiHidden/>
    <w:rPr>
      <w:rFonts w:ascii="Courier" w:hAnsi="Courier"/>
      <w:b/>
      <w:lang w:val="x-none" w:eastAsia="cs-CZ"/>
    </w:rPr>
  </w:style>
  <w:style w:type="character" w:customStyle="1" w:styleId="PredmetkomentraChar1468">
    <w:name w:val="Predmet komentára Char1468"/>
    <w:aliases w:val="Char6 Char Char1469,Predmet komentára Char Char Char1469,Comment Subject Char Char Char1469"/>
    <w:uiPriority w:val="99"/>
    <w:semiHidden/>
    <w:rPr>
      <w:rFonts w:ascii="Courier" w:hAnsi="Courier"/>
      <w:b/>
      <w:lang w:val="x-none" w:eastAsia="cs-CZ"/>
    </w:rPr>
  </w:style>
  <w:style w:type="character" w:customStyle="1" w:styleId="PredmetkomentraChar1467">
    <w:name w:val="Predmet komentára Char1467"/>
    <w:aliases w:val="Char6 Char Char1468,Predmet komentára Char Char Char1468,Comment Subject Char Char Char1468"/>
    <w:uiPriority w:val="99"/>
    <w:semiHidden/>
    <w:rPr>
      <w:rFonts w:ascii="Courier" w:hAnsi="Courier"/>
      <w:b/>
      <w:lang w:val="x-none" w:eastAsia="cs-CZ"/>
    </w:rPr>
  </w:style>
  <w:style w:type="character" w:customStyle="1" w:styleId="PredmetkomentraChar1466">
    <w:name w:val="Predmet komentára Char1466"/>
    <w:aliases w:val="Char6 Char Char1467,Predmet komentára Char Char Char1467,Comment Subject Char Char Char1467"/>
    <w:uiPriority w:val="99"/>
    <w:semiHidden/>
    <w:rPr>
      <w:rFonts w:ascii="Courier" w:hAnsi="Courier"/>
      <w:b/>
      <w:lang w:val="x-none" w:eastAsia="cs-CZ"/>
    </w:rPr>
  </w:style>
  <w:style w:type="character" w:customStyle="1" w:styleId="PredmetkomentraChar1465">
    <w:name w:val="Predmet komentára Char1465"/>
    <w:aliases w:val="Char6 Char Char1466,Predmet komentára Char Char Char1466,Comment Subject Char Char Char1466"/>
    <w:uiPriority w:val="99"/>
    <w:semiHidden/>
    <w:rPr>
      <w:rFonts w:ascii="Courier" w:hAnsi="Courier"/>
      <w:b/>
      <w:lang w:val="x-none" w:eastAsia="cs-CZ"/>
    </w:rPr>
  </w:style>
  <w:style w:type="character" w:customStyle="1" w:styleId="PredmetkomentraChar1464">
    <w:name w:val="Predmet komentára Char1464"/>
    <w:aliases w:val="Char6 Char Char1465,Predmet komentára Char Char Char1465,Comment Subject Char Char Char1465"/>
    <w:uiPriority w:val="99"/>
    <w:semiHidden/>
    <w:rPr>
      <w:rFonts w:ascii="Courier" w:hAnsi="Courier"/>
      <w:b/>
      <w:lang w:val="x-none" w:eastAsia="cs-CZ"/>
    </w:rPr>
  </w:style>
  <w:style w:type="character" w:customStyle="1" w:styleId="PredmetkomentraChar1463">
    <w:name w:val="Predmet komentára Char1463"/>
    <w:aliases w:val="Char6 Char Char1464,Predmet komentára Char Char Char1464,Comment Subject Char Char Char1464"/>
    <w:uiPriority w:val="99"/>
    <w:semiHidden/>
    <w:rPr>
      <w:rFonts w:ascii="Courier" w:hAnsi="Courier"/>
      <w:b/>
      <w:lang w:val="x-none" w:eastAsia="cs-CZ"/>
    </w:rPr>
  </w:style>
  <w:style w:type="character" w:customStyle="1" w:styleId="PredmetkomentraChar1462">
    <w:name w:val="Predmet komentára Char1462"/>
    <w:aliases w:val="Char6 Char Char1463,Predmet komentára Char Char Char1463,Comment Subject Char Char Char1463"/>
    <w:uiPriority w:val="99"/>
    <w:semiHidden/>
    <w:rPr>
      <w:rFonts w:ascii="Courier" w:hAnsi="Courier"/>
      <w:b/>
      <w:lang w:val="x-none" w:eastAsia="cs-CZ"/>
    </w:rPr>
  </w:style>
  <w:style w:type="character" w:customStyle="1" w:styleId="PredmetkomentraChar1461">
    <w:name w:val="Predmet komentára Char1461"/>
    <w:aliases w:val="Char6 Char Char1462,Predmet komentára Char Char Char1462,Comment Subject Char Char Char1462"/>
    <w:uiPriority w:val="99"/>
    <w:semiHidden/>
    <w:rPr>
      <w:rFonts w:ascii="Courier" w:hAnsi="Courier"/>
      <w:b/>
      <w:lang w:val="x-none" w:eastAsia="cs-CZ"/>
    </w:rPr>
  </w:style>
  <w:style w:type="character" w:customStyle="1" w:styleId="PredmetkomentraChar1460">
    <w:name w:val="Predmet komentára Char1460"/>
    <w:aliases w:val="Char6 Char Char1461,Predmet komentára Char Char Char1461,Comment Subject Char Char Char1461"/>
    <w:uiPriority w:val="99"/>
    <w:semiHidden/>
    <w:rPr>
      <w:rFonts w:ascii="Courier" w:hAnsi="Courier"/>
      <w:b/>
      <w:lang w:val="x-none" w:eastAsia="cs-CZ"/>
    </w:rPr>
  </w:style>
  <w:style w:type="character" w:customStyle="1" w:styleId="PredmetkomentraChar1459">
    <w:name w:val="Predmet komentára Char1459"/>
    <w:aliases w:val="Char6 Char Char1460,Predmet komentára Char Char Char1460,Comment Subject Char Char Char1460"/>
    <w:uiPriority w:val="99"/>
    <w:semiHidden/>
    <w:rPr>
      <w:rFonts w:ascii="Courier" w:hAnsi="Courier"/>
      <w:b/>
      <w:lang w:val="x-none" w:eastAsia="cs-CZ"/>
    </w:rPr>
  </w:style>
  <w:style w:type="character" w:customStyle="1" w:styleId="PredmetkomentraChar1458">
    <w:name w:val="Predmet komentára Char1458"/>
    <w:aliases w:val="Char6 Char Char1459,Predmet komentára Char Char Char1459,Comment Subject Char Char Char1459"/>
    <w:uiPriority w:val="99"/>
    <w:semiHidden/>
    <w:rPr>
      <w:rFonts w:ascii="Courier" w:hAnsi="Courier"/>
      <w:b/>
      <w:lang w:val="x-none" w:eastAsia="cs-CZ"/>
    </w:rPr>
  </w:style>
  <w:style w:type="character" w:customStyle="1" w:styleId="PredmetkomentraChar1457">
    <w:name w:val="Predmet komentára Char1457"/>
    <w:aliases w:val="Char6 Char Char1458,Predmet komentára Char Char Char1458,Comment Subject Char Char Char1458"/>
    <w:uiPriority w:val="99"/>
    <w:semiHidden/>
    <w:rPr>
      <w:rFonts w:ascii="Courier" w:hAnsi="Courier"/>
      <w:b/>
      <w:lang w:val="x-none" w:eastAsia="cs-CZ"/>
    </w:rPr>
  </w:style>
  <w:style w:type="character" w:customStyle="1" w:styleId="PredmetkomentraChar1456">
    <w:name w:val="Predmet komentára Char1456"/>
    <w:aliases w:val="Char6 Char Char1457,Predmet komentára Char Char Char1457,Comment Subject Char Char Char1457"/>
    <w:uiPriority w:val="99"/>
    <w:semiHidden/>
    <w:rPr>
      <w:rFonts w:ascii="Courier" w:hAnsi="Courier"/>
      <w:b/>
      <w:lang w:val="x-none" w:eastAsia="cs-CZ"/>
    </w:rPr>
  </w:style>
  <w:style w:type="character" w:customStyle="1" w:styleId="PredmetkomentraChar1455">
    <w:name w:val="Predmet komentára Char1455"/>
    <w:aliases w:val="Char6 Char Char1456,Predmet komentára Char Char Char1456,Comment Subject Char Char Char1456"/>
    <w:uiPriority w:val="99"/>
    <w:semiHidden/>
    <w:rPr>
      <w:rFonts w:ascii="Courier" w:hAnsi="Courier"/>
      <w:b/>
      <w:lang w:val="x-none" w:eastAsia="cs-CZ"/>
    </w:rPr>
  </w:style>
  <w:style w:type="character" w:customStyle="1" w:styleId="PredmetkomentraChar1454">
    <w:name w:val="Predmet komentára Char1454"/>
    <w:aliases w:val="Char6 Char Char1455,Predmet komentára Char Char Char1455,Comment Subject Char Char Char1455"/>
    <w:uiPriority w:val="99"/>
    <w:semiHidden/>
    <w:rPr>
      <w:rFonts w:ascii="Courier" w:hAnsi="Courier"/>
      <w:b/>
      <w:lang w:val="x-none" w:eastAsia="cs-CZ"/>
    </w:rPr>
  </w:style>
  <w:style w:type="character" w:customStyle="1" w:styleId="PredmetkomentraChar1453">
    <w:name w:val="Predmet komentára Char1453"/>
    <w:aliases w:val="Char6 Char Char1454,Predmet komentára Char Char Char1454,Comment Subject Char Char Char1454"/>
    <w:uiPriority w:val="99"/>
    <w:semiHidden/>
    <w:rPr>
      <w:rFonts w:ascii="Courier" w:hAnsi="Courier"/>
      <w:b/>
      <w:lang w:val="x-none" w:eastAsia="cs-CZ"/>
    </w:rPr>
  </w:style>
  <w:style w:type="character" w:customStyle="1" w:styleId="PredmetkomentraChar1452">
    <w:name w:val="Predmet komentára Char1452"/>
    <w:aliases w:val="Char6 Char Char1453,Predmet komentára Char Char Char1453,Comment Subject Char Char Char1453"/>
    <w:uiPriority w:val="99"/>
    <w:semiHidden/>
    <w:rPr>
      <w:rFonts w:ascii="Courier" w:hAnsi="Courier"/>
      <w:b/>
      <w:lang w:val="x-none" w:eastAsia="cs-CZ"/>
    </w:rPr>
  </w:style>
  <w:style w:type="character" w:customStyle="1" w:styleId="PredmetkomentraChar1451">
    <w:name w:val="Predmet komentára Char1451"/>
    <w:aliases w:val="Char6 Char Char1452,Predmet komentára Char Char Char1452,Comment Subject Char Char Char1452"/>
    <w:uiPriority w:val="99"/>
    <w:semiHidden/>
    <w:rPr>
      <w:rFonts w:ascii="Courier" w:hAnsi="Courier"/>
      <w:b/>
      <w:lang w:val="x-none" w:eastAsia="cs-CZ"/>
    </w:rPr>
  </w:style>
  <w:style w:type="character" w:customStyle="1" w:styleId="PredmetkomentraChar1450">
    <w:name w:val="Predmet komentára Char1450"/>
    <w:aliases w:val="Char6 Char Char1451,Predmet komentára Char Char Char1451,Comment Subject Char Char Char1451"/>
    <w:uiPriority w:val="99"/>
    <w:semiHidden/>
    <w:rPr>
      <w:rFonts w:ascii="Courier" w:hAnsi="Courier"/>
      <w:b/>
      <w:lang w:val="x-none" w:eastAsia="cs-CZ"/>
    </w:rPr>
  </w:style>
  <w:style w:type="character" w:customStyle="1" w:styleId="PredmetkomentraChar1449">
    <w:name w:val="Predmet komentára Char1449"/>
    <w:aliases w:val="Char6 Char Char1450,Predmet komentára Char Char Char1450,Comment Subject Char Char Char1450"/>
    <w:uiPriority w:val="99"/>
    <w:semiHidden/>
    <w:rPr>
      <w:rFonts w:ascii="Courier" w:hAnsi="Courier"/>
      <w:b/>
      <w:lang w:val="x-none" w:eastAsia="cs-CZ"/>
    </w:rPr>
  </w:style>
  <w:style w:type="character" w:customStyle="1" w:styleId="PredmetkomentraChar1448">
    <w:name w:val="Predmet komentára Char1448"/>
    <w:aliases w:val="Char6 Char Char1449,Predmet komentára Char Char Char1449,Comment Subject Char Char Char1449"/>
    <w:uiPriority w:val="99"/>
    <w:semiHidden/>
    <w:rPr>
      <w:rFonts w:ascii="Courier" w:hAnsi="Courier"/>
      <w:b/>
      <w:lang w:val="x-none" w:eastAsia="cs-CZ"/>
    </w:rPr>
  </w:style>
  <w:style w:type="character" w:customStyle="1" w:styleId="PredmetkomentraChar1447">
    <w:name w:val="Predmet komentára Char1447"/>
    <w:aliases w:val="Char6 Char Char1448,Predmet komentára Char Char Char1448,Comment Subject Char Char Char1448"/>
    <w:uiPriority w:val="99"/>
    <w:semiHidden/>
    <w:rPr>
      <w:rFonts w:ascii="Courier" w:hAnsi="Courier"/>
      <w:b/>
      <w:lang w:val="x-none" w:eastAsia="cs-CZ"/>
    </w:rPr>
  </w:style>
  <w:style w:type="character" w:customStyle="1" w:styleId="PredmetkomentraChar1446">
    <w:name w:val="Predmet komentára Char1446"/>
    <w:aliases w:val="Char6 Char Char1447,Predmet komentára Char Char Char1447,Comment Subject Char Char Char1447"/>
    <w:uiPriority w:val="99"/>
    <w:semiHidden/>
    <w:rPr>
      <w:rFonts w:ascii="Courier" w:hAnsi="Courier"/>
      <w:b/>
      <w:lang w:val="x-none" w:eastAsia="cs-CZ"/>
    </w:rPr>
  </w:style>
  <w:style w:type="character" w:customStyle="1" w:styleId="PredmetkomentraChar1445">
    <w:name w:val="Predmet komentára Char1445"/>
    <w:aliases w:val="Char6 Char Char1446,Predmet komentára Char Char Char1446,Comment Subject Char Char Char1446"/>
    <w:uiPriority w:val="99"/>
    <w:semiHidden/>
    <w:rPr>
      <w:rFonts w:ascii="Courier" w:hAnsi="Courier"/>
      <w:b/>
      <w:lang w:val="x-none" w:eastAsia="cs-CZ"/>
    </w:rPr>
  </w:style>
  <w:style w:type="character" w:customStyle="1" w:styleId="PredmetkomentraChar1444">
    <w:name w:val="Predmet komentára Char1444"/>
    <w:aliases w:val="Char6 Char Char1445,Predmet komentára Char Char Char1445,Comment Subject Char Char Char1445"/>
    <w:uiPriority w:val="99"/>
    <w:semiHidden/>
    <w:rPr>
      <w:rFonts w:ascii="Courier" w:hAnsi="Courier"/>
      <w:b/>
      <w:lang w:val="x-none" w:eastAsia="cs-CZ"/>
    </w:rPr>
  </w:style>
  <w:style w:type="character" w:customStyle="1" w:styleId="PredmetkomentraChar1443">
    <w:name w:val="Predmet komentára Char1443"/>
    <w:aliases w:val="Char6 Char Char1444,Predmet komentára Char Char Char1444,Comment Subject Char Char Char1444"/>
    <w:uiPriority w:val="99"/>
    <w:semiHidden/>
    <w:rPr>
      <w:rFonts w:ascii="Courier" w:hAnsi="Courier"/>
      <w:b/>
      <w:lang w:val="x-none" w:eastAsia="cs-CZ"/>
    </w:rPr>
  </w:style>
  <w:style w:type="character" w:customStyle="1" w:styleId="PredmetkomentraChar1442">
    <w:name w:val="Predmet komentára Char1442"/>
    <w:aliases w:val="Char6 Char Char1443,Predmet komentára Char Char Char1443,Comment Subject Char Char Char1443"/>
    <w:uiPriority w:val="99"/>
    <w:semiHidden/>
    <w:rPr>
      <w:rFonts w:ascii="Courier" w:hAnsi="Courier"/>
      <w:b/>
      <w:lang w:val="x-none" w:eastAsia="cs-CZ"/>
    </w:rPr>
  </w:style>
  <w:style w:type="character" w:customStyle="1" w:styleId="PredmetkomentraChar1441">
    <w:name w:val="Predmet komentára Char1441"/>
    <w:aliases w:val="Char6 Char Char1442,Predmet komentára Char Char Char1442,Comment Subject Char Char Char1442"/>
    <w:uiPriority w:val="99"/>
    <w:semiHidden/>
    <w:rPr>
      <w:rFonts w:ascii="Courier" w:hAnsi="Courier"/>
      <w:b/>
      <w:lang w:val="x-none" w:eastAsia="cs-CZ"/>
    </w:rPr>
  </w:style>
  <w:style w:type="character" w:customStyle="1" w:styleId="PredmetkomentraChar1440">
    <w:name w:val="Predmet komentára Char1440"/>
    <w:aliases w:val="Char6 Char Char1441,Predmet komentára Char Char Char1441,Comment Subject Char Char Char1441"/>
    <w:uiPriority w:val="99"/>
    <w:semiHidden/>
    <w:rPr>
      <w:rFonts w:ascii="Courier" w:hAnsi="Courier"/>
      <w:b/>
      <w:lang w:val="x-none" w:eastAsia="cs-CZ"/>
    </w:rPr>
  </w:style>
  <w:style w:type="character" w:customStyle="1" w:styleId="PredmetkomentraChar1439">
    <w:name w:val="Predmet komentára Char1439"/>
    <w:aliases w:val="Char6 Char Char1440,Predmet komentára Char Char Char1440,Comment Subject Char Char Char1440"/>
    <w:uiPriority w:val="99"/>
    <w:semiHidden/>
    <w:rPr>
      <w:rFonts w:ascii="Courier" w:hAnsi="Courier"/>
      <w:b/>
      <w:lang w:val="x-none" w:eastAsia="cs-CZ"/>
    </w:rPr>
  </w:style>
  <w:style w:type="character" w:customStyle="1" w:styleId="PredmetkomentraChar1438">
    <w:name w:val="Predmet komentára Char1438"/>
    <w:aliases w:val="Char6 Char Char1439,Predmet komentára Char Char Char1439,Comment Subject Char Char Char1439"/>
    <w:uiPriority w:val="99"/>
    <w:semiHidden/>
    <w:rPr>
      <w:rFonts w:ascii="Courier" w:hAnsi="Courier"/>
      <w:b/>
      <w:lang w:val="x-none" w:eastAsia="cs-CZ"/>
    </w:rPr>
  </w:style>
  <w:style w:type="character" w:customStyle="1" w:styleId="PredmetkomentraChar1437">
    <w:name w:val="Predmet komentára Char1437"/>
    <w:aliases w:val="Char6 Char Char1438,Predmet komentára Char Char Char1438,Comment Subject Char Char Char1438"/>
    <w:uiPriority w:val="99"/>
    <w:semiHidden/>
    <w:rPr>
      <w:rFonts w:ascii="Courier" w:hAnsi="Courier"/>
      <w:b/>
      <w:lang w:val="x-none" w:eastAsia="cs-CZ"/>
    </w:rPr>
  </w:style>
  <w:style w:type="character" w:customStyle="1" w:styleId="PredmetkomentraChar1436">
    <w:name w:val="Predmet komentára Char1436"/>
    <w:aliases w:val="Char6 Char Char1437,Predmet komentára Char Char Char1437,Comment Subject Char Char Char1437"/>
    <w:uiPriority w:val="99"/>
    <w:semiHidden/>
    <w:rPr>
      <w:rFonts w:ascii="Courier" w:hAnsi="Courier"/>
      <w:b/>
      <w:lang w:val="x-none" w:eastAsia="cs-CZ"/>
    </w:rPr>
  </w:style>
  <w:style w:type="character" w:customStyle="1" w:styleId="PredmetkomentraChar1435">
    <w:name w:val="Predmet komentára Char1435"/>
    <w:aliases w:val="Char6 Char Char1436,Predmet komentára Char Char Char1436,Comment Subject Char Char Char1436"/>
    <w:uiPriority w:val="99"/>
    <w:semiHidden/>
    <w:rPr>
      <w:rFonts w:ascii="Courier" w:hAnsi="Courier"/>
      <w:b/>
      <w:lang w:val="x-none" w:eastAsia="cs-CZ"/>
    </w:rPr>
  </w:style>
  <w:style w:type="character" w:customStyle="1" w:styleId="PredmetkomentraChar1434">
    <w:name w:val="Predmet komentára Char1434"/>
    <w:aliases w:val="Char6 Char Char1435,Predmet komentára Char Char Char1435,Comment Subject Char Char Char1435"/>
    <w:uiPriority w:val="99"/>
    <w:semiHidden/>
    <w:rPr>
      <w:rFonts w:ascii="Courier" w:hAnsi="Courier"/>
      <w:b/>
      <w:lang w:val="x-none" w:eastAsia="cs-CZ"/>
    </w:rPr>
  </w:style>
  <w:style w:type="character" w:customStyle="1" w:styleId="PredmetkomentraChar1433">
    <w:name w:val="Predmet komentára Char1433"/>
    <w:aliases w:val="Char6 Char Char1434,Predmet komentára Char Char Char1434,Comment Subject Char Char Char1434"/>
    <w:uiPriority w:val="99"/>
    <w:semiHidden/>
    <w:rPr>
      <w:rFonts w:ascii="Courier" w:hAnsi="Courier"/>
      <w:b/>
      <w:lang w:val="x-none" w:eastAsia="cs-CZ"/>
    </w:rPr>
  </w:style>
  <w:style w:type="character" w:customStyle="1" w:styleId="PredmetkomentraChar1432">
    <w:name w:val="Predmet komentára Char1432"/>
    <w:aliases w:val="Char6 Char Char1433,Predmet komentára Char Char Char1433,Comment Subject Char Char Char1433"/>
    <w:uiPriority w:val="99"/>
    <w:semiHidden/>
    <w:rPr>
      <w:rFonts w:ascii="Courier" w:hAnsi="Courier"/>
      <w:b/>
      <w:lang w:val="x-none" w:eastAsia="cs-CZ"/>
    </w:rPr>
  </w:style>
  <w:style w:type="character" w:customStyle="1" w:styleId="PredmetkomentraChar1431">
    <w:name w:val="Predmet komentára Char1431"/>
    <w:aliases w:val="Char6 Char Char1432,Predmet komentára Char Char Char1432,Comment Subject Char Char Char1432"/>
    <w:uiPriority w:val="99"/>
    <w:semiHidden/>
    <w:rPr>
      <w:rFonts w:ascii="Courier" w:hAnsi="Courier"/>
      <w:b/>
      <w:lang w:val="x-none" w:eastAsia="cs-CZ"/>
    </w:rPr>
  </w:style>
  <w:style w:type="character" w:customStyle="1" w:styleId="PredmetkomentraChar1430">
    <w:name w:val="Predmet komentára Char1430"/>
    <w:aliases w:val="Char6 Char Char1431,Predmet komentára Char Char Char1431,Comment Subject Char Char Char1431"/>
    <w:uiPriority w:val="99"/>
    <w:semiHidden/>
    <w:rPr>
      <w:rFonts w:ascii="Courier" w:hAnsi="Courier"/>
      <w:b/>
      <w:lang w:val="x-none" w:eastAsia="cs-CZ"/>
    </w:rPr>
  </w:style>
  <w:style w:type="character" w:customStyle="1" w:styleId="PredmetkomentraChar1429">
    <w:name w:val="Predmet komentára Char1429"/>
    <w:aliases w:val="Char6 Char Char1430,Predmet komentára Char Char Char1430,Comment Subject Char Char Char1430"/>
    <w:uiPriority w:val="99"/>
    <w:semiHidden/>
    <w:rPr>
      <w:rFonts w:ascii="Courier" w:hAnsi="Courier"/>
      <w:b/>
      <w:lang w:val="x-none" w:eastAsia="cs-CZ"/>
    </w:rPr>
  </w:style>
  <w:style w:type="character" w:customStyle="1" w:styleId="PredmetkomentraChar1428">
    <w:name w:val="Predmet komentára Char1428"/>
    <w:aliases w:val="Char6 Char Char1429,Predmet komentára Char Char Char1429,Comment Subject Char Char Char1429"/>
    <w:uiPriority w:val="99"/>
    <w:semiHidden/>
    <w:rPr>
      <w:rFonts w:ascii="Courier" w:hAnsi="Courier"/>
      <w:b/>
      <w:lang w:val="x-none" w:eastAsia="cs-CZ"/>
    </w:rPr>
  </w:style>
  <w:style w:type="character" w:customStyle="1" w:styleId="PredmetkomentraChar1427">
    <w:name w:val="Predmet komentára Char1427"/>
    <w:aliases w:val="Char6 Char Char1428,Predmet komentára Char Char Char1428,Comment Subject Char Char Char1428"/>
    <w:uiPriority w:val="99"/>
    <w:semiHidden/>
    <w:rPr>
      <w:rFonts w:ascii="Courier" w:hAnsi="Courier"/>
      <w:b/>
      <w:lang w:val="x-none" w:eastAsia="cs-CZ"/>
    </w:rPr>
  </w:style>
  <w:style w:type="character" w:customStyle="1" w:styleId="PredmetkomentraChar1426">
    <w:name w:val="Predmet komentára Char1426"/>
    <w:aliases w:val="Char6 Char Char1427,Predmet komentára Char Char Char1427,Comment Subject Char Char Char1427"/>
    <w:uiPriority w:val="99"/>
    <w:semiHidden/>
    <w:rPr>
      <w:rFonts w:ascii="Courier" w:hAnsi="Courier"/>
      <w:b/>
      <w:lang w:val="x-none" w:eastAsia="cs-CZ"/>
    </w:rPr>
  </w:style>
  <w:style w:type="character" w:customStyle="1" w:styleId="PredmetkomentraChar1425">
    <w:name w:val="Predmet komentára Char1425"/>
    <w:aliases w:val="Char6 Char Char1426,Predmet komentára Char Char Char1426,Comment Subject Char Char Char1426"/>
    <w:uiPriority w:val="99"/>
    <w:semiHidden/>
    <w:rPr>
      <w:rFonts w:ascii="Courier" w:hAnsi="Courier"/>
      <w:b/>
      <w:lang w:val="x-none" w:eastAsia="cs-CZ"/>
    </w:rPr>
  </w:style>
  <w:style w:type="character" w:customStyle="1" w:styleId="PredmetkomentraChar1424">
    <w:name w:val="Predmet komentára Char1424"/>
    <w:aliases w:val="Char6 Char Char1425,Predmet komentára Char Char Char1425,Comment Subject Char Char Char1425"/>
    <w:uiPriority w:val="99"/>
    <w:semiHidden/>
    <w:rPr>
      <w:rFonts w:ascii="Courier" w:hAnsi="Courier"/>
      <w:b/>
      <w:lang w:val="x-none" w:eastAsia="cs-CZ"/>
    </w:rPr>
  </w:style>
  <w:style w:type="character" w:customStyle="1" w:styleId="PredmetkomentraChar1423">
    <w:name w:val="Predmet komentára Char1423"/>
    <w:aliases w:val="Char6 Char Char1424,Predmet komentára Char Char Char1424,Comment Subject Char Char Char1424"/>
    <w:uiPriority w:val="99"/>
    <w:semiHidden/>
    <w:rPr>
      <w:rFonts w:ascii="Courier" w:hAnsi="Courier"/>
      <w:b/>
      <w:lang w:val="x-none" w:eastAsia="cs-CZ"/>
    </w:rPr>
  </w:style>
  <w:style w:type="character" w:customStyle="1" w:styleId="PredmetkomentraChar1422">
    <w:name w:val="Predmet komentára Char1422"/>
    <w:aliases w:val="Char6 Char Char1423,Predmet komentára Char Char Char1423,Comment Subject Char Char Char1423"/>
    <w:uiPriority w:val="99"/>
    <w:semiHidden/>
    <w:rPr>
      <w:rFonts w:ascii="Courier" w:hAnsi="Courier"/>
      <w:b/>
      <w:lang w:val="x-none" w:eastAsia="cs-CZ"/>
    </w:rPr>
  </w:style>
  <w:style w:type="character" w:customStyle="1" w:styleId="PredmetkomentraChar1421">
    <w:name w:val="Predmet komentára Char1421"/>
    <w:aliases w:val="Char6 Char Char1422,Predmet komentára Char Char Char1422,Comment Subject Char Char Char1422"/>
    <w:uiPriority w:val="99"/>
    <w:semiHidden/>
    <w:rPr>
      <w:rFonts w:ascii="Courier" w:hAnsi="Courier"/>
      <w:b/>
      <w:lang w:val="x-none" w:eastAsia="cs-CZ"/>
    </w:rPr>
  </w:style>
  <w:style w:type="character" w:customStyle="1" w:styleId="PredmetkomentraChar1420">
    <w:name w:val="Predmet komentára Char1420"/>
    <w:aliases w:val="Char6 Char Char1421,Predmet komentára Char Char Char1421,Comment Subject Char Char Char1421"/>
    <w:uiPriority w:val="99"/>
    <w:semiHidden/>
    <w:rPr>
      <w:rFonts w:ascii="Courier" w:hAnsi="Courier"/>
      <w:b/>
      <w:lang w:val="x-none" w:eastAsia="cs-CZ"/>
    </w:rPr>
  </w:style>
  <w:style w:type="character" w:customStyle="1" w:styleId="PredmetkomentraChar1419">
    <w:name w:val="Predmet komentára Char1419"/>
    <w:aliases w:val="Char6 Char Char1420,Predmet komentára Char Char Char1420,Comment Subject Char Char Char1420"/>
    <w:uiPriority w:val="99"/>
    <w:semiHidden/>
    <w:rPr>
      <w:rFonts w:ascii="Courier" w:hAnsi="Courier"/>
      <w:b/>
      <w:lang w:val="x-none" w:eastAsia="cs-CZ"/>
    </w:rPr>
  </w:style>
  <w:style w:type="character" w:customStyle="1" w:styleId="PredmetkomentraChar1418">
    <w:name w:val="Predmet komentára Char1418"/>
    <w:aliases w:val="Char6 Char Char1419,Predmet komentára Char Char Char1419,Comment Subject Char Char Char1419"/>
    <w:uiPriority w:val="99"/>
    <w:semiHidden/>
    <w:rPr>
      <w:rFonts w:ascii="Courier" w:hAnsi="Courier"/>
      <w:b/>
      <w:lang w:val="x-none" w:eastAsia="cs-CZ"/>
    </w:rPr>
  </w:style>
  <w:style w:type="character" w:customStyle="1" w:styleId="PredmetkomentraChar1417">
    <w:name w:val="Predmet komentára Char1417"/>
    <w:aliases w:val="Char6 Char Char1418,Predmet komentára Char Char Char1418,Comment Subject Char Char Char1418"/>
    <w:uiPriority w:val="99"/>
    <w:semiHidden/>
    <w:rPr>
      <w:rFonts w:ascii="Courier" w:hAnsi="Courier"/>
      <w:b/>
      <w:lang w:val="x-none" w:eastAsia="cs-CZ"/>
    </w:rPr>
  </w:style>
  <w:style w:type="character" w:customStyle="1" w:styleId="PredmetkomentraChar1416">
    <w:name w:val="Predmet komentára Char1416"/>
    <w:aliases w:val="Char6 Char Char1417,Predmet komentára Char Char Char1417,Comment Subject Char Char Char1417"/>
    <w:uiPriority w:val="99"/>
    <w:semiHidden/>
    <w:rPr>
      <w:rFonts w:ascii="Courier" w:hAnsi="Courier"/>
      <w:b/>
      <w:lang w:val="x-none" w:eastAsia="cs-CZ"/>
    </w:rPr>
  </w:style>
  <w:style w:type="character" w:customStyle="1" w:styleId="PredmetkomentraChar1415">
    <w:name w:val="Predmet komentára Char1415"/>
    <w:aliases w:val="Char6 Char Char1416,Predmet komentára Char Char Char1416,Comment Subject Char Char Char1416"/>
    <w:uiPriority w:val="99"/>
    <w:semiHidden/>
    <w:rPr>
      <w:rFonts w:ascii="Courier" w:hAnsi="Courier"/>
      <w:b/>
      <w:lang w:val="x-none" w:eastAsia="cs-CZ"/>
    </w:rPr>
  </w:style>
  <w:style w:type="character" w:customStyle="1" w:styleId="PredmetkomentraChar1414">
    <w:name w:val="Predmet komentára Char1414"/>
    <w:aliases w:val="Char6 Char Char1415,Predmet komentára Char Char Char1415,Comment Subject Char Char Char1415"/>
    <w:uiPriority w:val="99"/>
    <w:semiHidden/>
    <w:rPr>
      <w:rFonts w:ascii="Courier" w:hAnsi="Courier"/>
      <w:b/>
      <w:lang w:val="x-none" w:eastAsia="cs-CZ"/>
    </w:rPr>
  </w:style>
  <w:style w:type="character" w:customStyle="1" w:styleId="PredmetkomentraChar1413">
    <w:name w:val="Predmet komentára Char1413"/>
    <w:aliases w:val="Char6 Char Char1414,Predmet komentára Char Char Char1414,Comment Subject Char Char Char1414"/>
    <w:uiPriority w:val="99"/>
    <w:semiHidden/>
    <w:rPr>
      <w:rFonts w:ascii="Courier" w:hAnsi="Courier"/>
      <w:b/>
      <w:lang w:val="x-none" w:eastAsia="cs-CZ"/>
    </w:rPr>
  </w:style>
  <w:style w:type="character" w:customStyle="1" w:styleId="PredmetkomentraChar1412">
    <w:name w:val="Predmet komentára Char1412"/>
    <w:aliases w:val="Char6 Char Char1413,Predmet komentára Char Char Char1413,Comment Subject Char Char Char1413"/>
    <w:uiPriority w:val="99"/>
    <w:semiHidden/>
    <w:rPr>
      <w:rFonts w:ascii="Courier" w:hAnsi="Courier"/>
      <w:b/>
      <w:lang w:val="x-none" w:eastAsia="cs-CZ"/>
    </w:rPr>
  </w:style>
  <w:style w:type="character" w:customStyle="1" w:styleId="PredmetkomentraChar1411">
    <w:name w:val="Predmet komentára Char1411"/>
    <w:aliases w:val="Char6 Char Char1412,Predmet komentára Char Char Char1412,Comment Subject Char Char Char1412"/>
    <w:uiPriority w:val="99"/>
    <w:semiHidden/>
    <w:rPr>
      <w:rFonts w:ascii="Courier" w:hAnsi="Courier"/>
      <w:b/>
      <w:lang w:val="x-none" w:eastAsia="cs-CZ"/>
    </w:rPr>
  </w:style>
  <w:style w:type="character" w:customStyle="1" w:styleId="PredmetkomentraChar1410">
    <w:name w:val="Predmet komentára Char1410"/>
    <w:aliases w:val="Char6 Char Char1411,Predmet komentára Char Char Char1411,Comment Subject Char Char Char1411"/>
    <w:uiPriority w:val="99"/>
    <w:semiHidden/>
    <w:rPr>
      <w:rFonts w:ascii="Courier" w:hAnsi="Courier"/>
      <w:b/>
      <w:lang w:val="x-none" w:eastAsia="cs-CZ"/>
    </w:rPr>
  </w:style>
  <w:style w:type="character" w:customStyle="1" w:styleId="PredmetkomentraChar1409">
    <w:name w:val="Predmet komentára Char1409"/>
    <w:aliases w:val="Char6 Char Char1410,Predmet komentára Char Char Char1410,Comment Subject Char Char Char1410"/>
    <w:uiPriority w:val="99"/>
    <w:semiHidden/>
    <w:rPr>
      <w:rFonts w:ascii="Courier" w:hAnsi="Courier"/>
      <w:b/>
      <w:lang w:val="x-none" w:eastAsia="cs-CZ"/>
    </w:rPr>
  </w:style>
  <w:style w:type="character" w:customStyle="1" w:styleId="PredmetkomentraChar1408">
    <w:name w:val="Predmet komentára Char1408"/>
    <w:aliases w:val="Char6 Char Char1409,Predmet komentára Char Char Char1409,Comment Subject Char Char Char1409"/>
    <w:uiPriority w:val="99"/>
    <w:semiHidden/>
    <w:rPr>
      <w:rFonts w:ascii="Courier" w:hAnsi="Courier"/>
      <w:b/>
      <w:lang w:val="x-none" w:eastAsia="cs-CZ"/>
    </w:rPr>
  </w:style>
  <w:style w:type="character" w:customStyle="1" w:styleId="PredmetkomentraChar1407">
    <w:name w:val="Predmet komentára Char1407"/>
    <w:aliases w:val="Char6 Char Char1408,Predmet komentára Char Char Char1408,Comment Subject Char Char Char1408"/>
    <w:uiPriority w:val="99"/>
    <w:semiHidden/>
    <w:rPr>
      <w:rFonts w:ascii="Courier" w:hAnsi="Courier"/>
      <w:b/>
      <w:lang w:val="x-none" w:eastAsia="cs-CZ"/>
    </w:rPr>
  </w:style>
  <w:style w:type="character" w:customStyle="1" w:styleId="PredmetkomentraChar1406">
    <w:name w:val="Predmet komentára Char1406"/>
    <w:aliases w:val="Char6 Char Char1407,Predmet komentára Char Char Char1407,Comment Subject Char Char Char1407"/>
    <w:uiPriority w:val="99"/>
    <w:semiHidden/>
    <w:rPr>
      <w:rFonts w:ascii="Courier" w:hAnsi="Courier"/>
      <w:b/>
      <w:lang w:val="x-none" w:eastAsia="cs-CZ"/>
    </w:rPr>
  </w:style>
  <w:style w:type="character" w:customStyle="1" w:styleId="PredmetkomentraChar1405">
    <w:name w:val="Predmet komentára Char1405"/>
    <w:aliases w:val="Char6 Char Char1406,Predmet komentára Char Char Char1406,Comment Subject Char Char Char1406"/>
    <w:uiPriority w:val="99"/>
    <w:semiHidden/>
    <w:rPr>
      <w:rFonts w:ascii="Courier" w:hAnsi="Courier"/>
      <w:b/>
      <w:lang w:val="x-none" w:eastAsia="cs-CZ"/>
    </w:rPr>
  </w:style>
  <w:style w:type="character" w:customStyle="1" w:styleId="PredmetkomentraChar1404">
    <w:name w:val="Predmet komentára Char1404"/>
    <w:aliases w:val="Char6 Char Char1405,Predmet komentára Char Char Char1405,Comment Subject Char Char Char1405"/>
    <w:uiPriority w:val="99"/>
    <w:semiHidden/>
    <w:rPr>
      <w:rFonts w:ascii="Courier" w:hAnsi="Courier"/>
      <w:b/>
      <w:lang w:val="x-none" w:eastAsia="cs-CZ"/>
    </w:rPr>
  </w:style>
  <w:style w:type="character" w:customStyle="1" w:styleId="PredmetkomentraChar1403">
    <w:name w:val="Predmet komentára Char1403"/>
    <w:aliases w:val="Char6 Char Char1404,Predmet komentára Char Char Char1404,Comment Subject Char Char Char1404"/>
    <w:uiPriority w:val="99"/>
    <w:semiHidden/>
    <w:rPr>
      <w:rFonts w:ascii="Courier" w:hAnsi="Courier"/>
      <w:b/>
      <w:lang w:val="x-none" w:eastAsia="cs-CZ"/>
    </w:rPr>
  </w:style>
  <w:style w:type="character" w:customStyle="1" w:styleId="PredmetkomentraChar1402">
    <w:name w:val="Predmet komentára Char1402"/>
    <w:aliases w:val="Char6 Char Char1403,Predmet komentára Char Char Char1403,Comment Subject Char Char Char1403"/>
    <w:uiPriority w:val="99"/>
    <w:semiHidden/>
    <w:rPr>
      <w:rFonts w:ascii="Courier" w:hAnsi="Courier"/>
      <w:b/>
      <w:lang w:val="x-none" w:eastAsia="cs-CZ"/>
    </w:rPr>
  </w:style>
  <w:style w:type="character" w:customStyle="1" w:styleId="PredmetkomentraChar1401">
    <w:name w:val="Predmet komentára Char1401"/>
    <w:aliases w:val="Char6 Char Char1402,Predmet komentára Char Char Char1402,Comment Subject Char Char Char1402"/>
    <w:uiPriority w:val="99"/>
    <w:semiHidden/>
    <w:rPr>
      <w:rFonts w:ascii="Courier" w:hAnsi="Courier"/>
      <w:b/>
      <w:lang w:val="x-none" w:eastAsia="cs-CZ"/>
    </w:rPr>
  </w:style>
  <w:style w:type="character" w:customStyle="1" w:styleId="PredmetkomentraChar1400">
    <w:name w:val="Predmet komentára Char1400"/>
    <w:aliases w:val="Char6 Char Char1401,Predmet komentára Char Char Char1401,Comment Subject Char Char Char1401"/>
    <w:uiPriority w:val="99"/>
    <w:semiHidden/>
    <w:rPr>
      <w:rFonts w:ascii="Courier" w:hAnsi="Courier"/>
      <w:b/>
      <w:lang w:val="x-none" w:eastAsia="cs-CZ"/>
    </w:rPr>
  </w:style>
  <w:style w:type="character" w:customStyle="1" w:styleId="PredmetkomentraChar1399">
    <w:name w:val="Predmet komentára Char1399"/>
    <w:aliases w:val="Char6 Char Char1400,Predmet komentára Char Char Char1400,Comment Subject Char Char Char1400"/>
    <w:uiPriority w:val="99"/>
    <w:semiHidden/>
    <w:rPr>
      <w:rFonts w:ascii="Courier" w:hAnsi="Courier"/>
      <w:b/>
      <w:lang w:val="x-none" w:eastAsia="cs-CZ"/>
    </w:rPr>
  </w:style>
  <w:style w:type="character" w:customStyle="1" w:styleId="PredmetkomentraChar1398">
    <w:name w:val="Predmet komentára Char1398"/>
    <w:aliases w:val="Char6 Char Char1399,Predmet komentára Char Char Char1399,Comment Subject Char Char Char1399"/>
    <w:uiPriority w:val="99"/>
    <w:semiHidden/>
    <w:rPr>
      <w:rFonts w:ascii="Courier" w:hAnsi="Courier"/>
      <w:b/>
      <w:lang w:val="x-none" w:eastAsia="cs-CZ"/>
    </w:rPr>
  </w:style>
  <w:style w:type="character" w:customStyle="1" w:styleId="PredmetkomentraChar1397">
    <w:name w:val="Predmet komentára Char1397"/>
    <w:aliases w:val="Char6 Char Char1398,Predmet komentára Char Char Char1398,Comment Subject Char Char Char1398"/>
    <w:uiPriority w:val="99"/>
    <w:semiHidden/>
    <w:rPr>
      <w:rFonts w:ascii="Courier" w:hAnsi="Courier"/>
      <w:b/>
      <w:lang w:val="x-none" w:eastAsia="cs-CZ"/>
    </w:rPr>
  </w:style>
  <w:style w:type="character" w:customStyle="1" w:styleId="PredmetkomentraChar1396">
    <w:name w:val="Predmet komentára Char1396"/>
    <w:aliases w:val="Char6 Char Char1397,Predmet komentára Char Char Char1397,Comment Subject Char Char Char1397"/>
    <w:uiPriority w:val="99"/>
    <w:semiHidden/>
    <w:rPr>
      <w:rFonts w:ascii="Courier" w:hAnsi="Courier"/>
      <w:b/>
      <w:lang w:val="x-none" w:eastAsia="cs-CZ"/>
    </w:rPr>
  </w:style>
  <w:style w:type="character" w:customStyle="1" w:styleId="PredmetkomentraChar1395">
    <w:name w:val="Predmet komentára Char1395"/>
    <w:aliases w:val="Char6 Char Char1396,Predmet komentára Char Char Char1396,Comment Subject Char Char Char1396"/>
    <w:uiPriority w:val="99"/>
    <w:semiHidden/>
    <w:rPr>
      <w:rFonts w:ascii="Courier" w:hAnsi="Courier"/>
      <w:b/>
      <w:lang w:val="x-none" w:eastAsia="cs-CZ"/>
    </w:rPr>
  </w:style>
  <w:style w:type="character" w:customStyle="1" w:styleId="PredmetkomentraChar1394">
    <w:name w:val="Predmet komentára Char1394"/>
    <w:aliases w:val="Char6 Char Char1395,Predmet komentára Char Char Char1395,Comment Subject Char Char Char1395"/>
    <w:uiPriority w:val="99"/>
    <w:semiHidden/>
    <w:rPr>
      <w:rFonts w:ascii="Courier" w:hAnsi="Courier"/>
      <w:b/>
      <w:lang w:val="x-none" w:eastAsia="cs-CZ"/>
    </w:rPr>
  </w:style>
  <w:style w:type="character" w:customStyle="1" w:styleId="PredmetkomentraChar1393">
    <w:name w:val="Predmet komentára Char1393"/>
    <w:aliases w:val="Char6 Char Char1394,Predmet komentára Char Char Char1394,Comment Subject Char Char Char1394"/>
    <w:uiPriority w:val="99"/>
    <w:semiHidden/>
    <w:rPr>
      <w:rFonts w:ascii="Courier" w:hAnsi="Courier"/>
      <w:b/>
      <w:lang w:val="x-none" w:eastAsia="cs-CZ"/>
    </w:rPr>
  </w:style>
  <w:style w:type="character" w:customStyle="1" w:styleId="PredmetkomentraChar1392">
    <w:name w:val="Predmet komentára Char1392"/>
    <w:aliases w:val="Char6 Char Char1393,Predmet komentára Char Char Char1393,Comment Subject Char Char Char1393"/>
    <w:uiPriority w:val="99"/>
    <w:semiHidden/>
    <w:rPr>
      <w:rFonts w:ascii="Courier" w:hAnsi="Courier"/>
      <w:b/>
      <w:lang w:val="x-none" w:eastAsia="cs-CZ"/>
    </w:rPr>
  </w:style>
  <w:style w:type="character" w:customStyle="1" w:styleId="PredmetkomentraChar1391">
    <w:name w:val="Predmet komentára Char1391"/>
    <w:aliases w:val="Char6 Char Char1392,Predmet komentára Char Char Char1392,Comment Subject Char Char Char1392"/>
    <w:uiPriority w:val="99"/>
    <w:semiHidden/>
    <w:rPr>
      <w:rFonts w:ascii="Courier" w:hAnsi="Courier"/>
      <w:b/>
      <w:lang w:val="x-none" w:eastAsia="cs-CZ"/>
    </w:rPr>
  </w:style>
  <w:style w:type="character" w:customStyle="1" w:styleId="PredmetkomentraChar1390">
    <w:name w:val="Predmet komentára Char1390"/>
    <w:aliases w:val="Char6 Char Char1391,Predmet komentára Char Char Char1391,Comment Subject Char Char Char1391"/>
    <w:uiPriority w:val="99"/>
    <w:semiHidden/>
    <w:rPr>
      <w:rFonts w:ascii="Courier" w:hAnsi="Courier"/>
      <w:b/>
      <w:lang w:val="x-none" w:eastAsia="cs-CZ"/>
    </w:rPr>
  </w:style>
  <w:style w:type="character" w:customStyle="1" w:styleId="PredmetkomentraChar1389">
    <w:name w:val="Predmet komentára Char1389"/>
    <w:aliases w:val="Char6 Char Char1390,Predmet komentára Char Char Char1390,Comment Subject Char Char Char1390"/>
    <w:uiPriority w:val="99"/>
    <w:semiHidden/>
    <w:rPr>
      <w:rFonts w:ascii="Courier" w:hAnsi="Courier"/>
      <w:b/>
      <w:lang w:val="x-none" w:eastAsia="cs-CZ"/>
    </w:rPr>
  </w:style>
  <w:style w:type="character" w:customStyle="1" w:styleId="PredmetkomentraChar1388">
    <w:name w:val="Predmet komentára Char1388"/>
    <w:aliases w:val="Char6 Char Char1389,Predmet komentára Char Char Char1389,Comment Subject Char Char Char1389"/>
    <w:uiPriority w:val="99"/>
    <w:semiHidden/>
    <w:rPr>
      <w:rFonts w:ascii="Courier" w:hAnsi="Courier"/>
      <w:b/>
      <w:lang w:val="x-none" w:eastAsia="cs-CZ"/>
    </w:rPr>
  </w:style>
  <w:style w:type="character" w:customStyle="1" w:styleId="PredmetkomentraChar1387">
    <w:name w:val="Predmet komentára Char1387"/>
    <w:aliases w:val="Char6 Char Char1388,Predmet komentára Char Char Char1388,Comment Subject Char Char Char1388"/>
    <w:uiPriority w:val="99"/>
    <w:semiHidden/>
    <w:rPr>
      <w:rFonts w:ascii="Courier" w:hAnsi="Courier"/>
      <w:b/>
      <w:lang w:val="x-none" w:eastAsia="cs-CZ"/>
    </w:rPr>
  </w:style>
  <w:style w:type="character" w:customStyle="1" w:styleId="PredmetkomentraChar1386">
    <w:name w:val="Predmet komentára Char1386"/>
    <w:aliases w:val="Char6 Char Char1387,Predmet komentára Char Char Char1387,Comment Subject Char Char Char1387"/>
    <w:uiPriority w:val="99"/>
    <w:semiHidden/>
    <w:rPr>
      <w:rFonts w:ascii="Courier" w:hAnsi="Courier"/>
      <w:b/>
      <w:lang w:val="x-none" w:eastAsia="cs-CZ"/>
    </w:rPr>
  </w:style>
  <w:style w:type="character" w:customStyle="1" w:styleId="PredmetkomentraChar1385">
    <w:name w:val="Predmet komentára Char1385"/>
    <w:aliases w:val="Char6 Char Char1386,Predmet komentára Char Char Char1386,Comment Subject Char Char Char1386"/>
    <w:uiPriority w:val="99"/>
    <w:semiHidden/>
    <w:rPr>
      <w:rFonts w:ascii="Courier" w:hAnsi="Courier"/>
      <w:b/>
      <w:lang w:val="x-none" w:eastAsia="cs-CZ"/>
    </w:rPr>
  </w:style>
  <w:style w:type="character" w:customStyle="1" w:styleId="PredmetkomentraChar1384">
    <w:name w:val="Predmet komentára Char1384"/>
    <w:aliases w:val="Char6 Char Char1385,Predmet komentára Char Char Char1385,Comment Subject Char Char Char1385"/>
    <w:uiPriority w:val="99"/>
    <w:semiHidden/>
    <w:rPr>
      <w:rFonts w:ascii="Courier" w:hAnsi="Courier"/>
      <w:b/>
      <w:lang w:val="x-none" w:eastAsia="cs-CZ"/>
    </w:rPr>
  </w:style>
  <w:style w:type="character" w:customStyle="1" w:styleId="PredmetkomentraChar1383">
    <w:name w:val="Predmet komentára Char1383"/>
    <w:aliases w:val="Char6 Char Char1384,Predmet komentára Char Char Char1384,Comment Subject Char Char Char1384"/>
    <w:uiPriority w:val="99"/>
    <w:semiHidden/>
    <w:rPr>
      <w:rFonts w:ascii="Courier" w:hAnsi="Courier"/>
      <w:b/>
      <w:lang w:val="x-none" w:eastAsia="cs-CZ"/>
    </w:rPr>
  </w:style>
  <w:style w:type="character" w:customStyle="1" w:styleId="PredmetkomentraChar1382">
    <w:name w:val="Predmet komentára Char1382"/>
    <w:aliases w:val="Char6 Char Char1383,Predmet komentára Char Char Char1383,Comment Subject Char Char Char1383"/>
    <w:uiPriority w:val="99"/>
    <w:semiHidden/>
    <w:rPr>
      <w:rFonts w:ascii="Courier" w:hAnsi="Courier"/>
      <w:b/>
      <w:lang w:val="x-none" w:eastAsia="cs-CZ"/>
    </w:rPr>
  </w:style>
  <w:style w:type="character" w:customStyle="1" w:styleId="PredmetkomentraChar1381">
    <w:name w:val="Predmet komentára Char1381"/>
    <w:aliases w:val="Char6 Char Char1382,Predmet komentára Char Char Char1382,Comment Subject Char Char Char1382"/>
    <w:uiPriority w:val="99"/>
    <w:semiHidden/>
    <w:rPr>
      <w:rFonts w:ascii="Courier" w:hAnsi="Courier"/>
      <w:b/>
      <w:lang w:val="x-none" w:eastAsia="cs-CZ"/>
    </w:rPr>
  </w:style>
  <w:style w:type="character" w:customStyle="1" w:styleId="PredmetkomentraChar1380">
    <w:name w:val="Predmet komentára Char1380"/>
    <w:aliases w:val="Char6 Char Char1381,Predmet komentára Char Char Char1381,Comment Subject Char Char Char1381"/>
    <w:uiPriority w:val="99"/>
    <w:semiHidden/>
    <w:rPr>
      <w:rFonts w:ascii="Courier" w:hAnsi="Courier"/>
      <w:b/>
      <w:lang w:val="x-none" w:eastAsia="cs-CZ"/>
    </w:rPr>
  </w:style>
  <w:style w:type="character" w:customStyle="1" w:styleId="PredmetkomentraChar1379">
    <w:name w:val="Predmet komentára Char1379"/>
    <w:aliases w:val="Char6 Char Char1380,Predmet komentára Char Char Char1380,Comment Subject Char Char Char1380"/>
    <w:uiPriority w:val="99"/>
    <w:semiHidden/>
    <w:rPr>
      <w:rFonts w:ascii="Courier" w:hAnsi="Courier"/>
      <w:b/>
      <w:lang w:val="x-none" w:eastAsia="cs-CZ"/>
    </w:rPr>
  </w:style>
  <w:style w:type="character" w:customStyle="1" w:styleId="PredmetkomentraChar1378">
    <w:name w:val="Predmet komentára Char1378"/>
    <w:aliases w:val="Char6 Char Char1379,Predmet komentára Char Char Char1379,Comment Subject Char Char Char1379"/>
    <w:uiPriority w:val="99"/>
    <w:semiHidden/>
    <w:rPr>
      <w:rFonts w:ascii="Courier" w:hAnsi="Courier"/>
      <w:b/>
      <w:lang w:val="x-none" w:eastAsia="cs-CZ"/>
    </w:rPr>
  </w:style>
  <w:style w:type="character" w:customStyle="1" w:styleId="PredmetkomentraChar1377">
    <w:name w:val="Predmet komentára Char1377"/>
    <w:aliases w:val="Char6 Char Char1378,Predmet komentára Char Char Char1378,Comment Subject Char Char Char1378"/>
    <w:uiPriority w:val="99"/>
    <w:semiHidden/>
    <w:rPr>
      <w:rFonts w:ascii="Courier" w:hAnsi="Courier"/>
      <w:b/>
      <w:lang w:val="x-none" w:eastAsia="cs-CZ"/>
    </w:rPr>
  </w:style>
  <w:style w:type="character" w:customStyle="1" w:styleId="PredmetkomentraChar1376">
    <w:name w:val="Predmet komentára Char1376"/>
    <w:aliases w:val="Char6 Char Char1377,Predmet komentára Char Char Char1377,Comment Subject Char Char Char1377"/>
    <w:uiPriority w:val="99"/>
    <w:semiHidden/>
    <w:rPr>
      <w:rFonts w:ascii="Courier" w:hAnsi="Courier"/>
      <w:b/>
      <w:lang w:val="x-none" w:eastAsia="cs-CZ"/>
    </w:rPr>
  </w:style>
  <w:style w:type="character" w:customStyle="1" w:styleId="PredmetkomentraChar1375">
    <w:name w:val="Predmet komentára Char1375"/>
    <w:aliases w:val="Char6 Char Char1376,Predmet komentára Char Char Char1376,Comment Subject Char Char Char1376"/>
    <w:uiPriority w:val="99"/>
    <w:semiHidden/>
    <w:rPr>
      <w:rFonts w:ascii="Courier" w:hAnsi="Courier"/>
      <w:b/>
      <w:lang w:val="x-none" w:eastAsia="cs-CZ"/>
    </w:rPr>
  </w:style>
  <w:style w:type="character" w:customStyle="1" w:styleId="PredmetkomentraChar1374">
    <w:name w:val="Predmet komentára Char1374"/>
    <w:aliases w:val="Char6 Char Char1375,Predmet komentára Char Char Char1375,Comment Subject Char Char Char1375"/>
    <w:uiPriority w:val="99"/>
    <w:semiHidden/>
    <w:rPr>
      <w:rFonts w:ascii="Courier" w:hAnsi="Courier"/>
      <w:b/>
      <w:lang w:val="x-none" w:eastAsia="cs-CZ"/>
    </w:rPr>
  </w:style>
  <w:style w:type="character" w:customStyle="1" w:styleId="PredmetkomentraChar1373">
    <w:name w:val="Predmet komentára Char1373"/>
    <w:aliases w:val="Char6 Char Char1374,Predmet komentára Char Char Char1374,Comment Subject Char Char Char1374"/>
    <w:uiPriority w:val="99"/>
    <w:semiHidden/>
    <w:rPr>
      <w:rFonts w:ascii="Courier" w:hAnsi="Courier"/>
      <w:b/>
      <w:lang w:val="x-none" w:eastAsia="cs-CZ"/>
    </w:rPr>
  </w:style>
  <w:style w:type="character" w:customStyle="1" w:styleId="PredmetkomentraChar1372">
    <w:name w:val="Predmet komentára Char1372"/>
    <w:aliases w:val="Char6 Char Char1373,Predmet komentára Char Char Char1373,Comment Subject Char Char Char1373"/>
    <w:uiPriority w:val="99"/>
    <w:semiHidden/>
    <w:rPr>
      <w:rFonts w:ascii="Courier" w:hAnsi="Courier"/>
      <w:b/>
      <w:lang w:val="x-none" w:eastAsia="cs-CZ"/>
    </w:rPr>
  </w:style>
  <w:style w:type="character" w:customStyle="1" w:styleId="PredmetkomentraChar1371">
    <w:name w:val="Predmet komentára Char1371"/>
    <w:aliases w:val="Char6 Char Char1372,Predmet komentára Char Char Char1372,Comment Subject Char Char Char1372"/>
    <w:uiPriority w:val="99"/>
    <w:semiHidden/>
    <w:rPr>
      <w:rFonts w:ascii="Courier" w:hAnsi="Courier"/>
      <w:b/>
      <w:lang w:val="x-none" w:eastAsia="cs-CZ"/>
    </w:rPr>
  </w:style>
  <w:style w:type="character" w:customStyle="1" w:styleId="PredmetkomentraChar1370">
    <w:name w:val="Predmet komentára Char1370"/>
    <w:aliases w:val="Char6 Char Char1371,Predmet komentára Char Char Char1371,Comment Subject Char Char Char1371"/>
    <w:uiPriority w:val="99"/>
    <w:semiHidden/>
    <w:rPr>
      <w:rFonts w:ascii="Courier" w:hAnsi="Courier"/>
      <w:b/>
      <w:lang w:val="x-none" w:eastAsia="cs-CZ"/>
    </w:rPr>
  </w:style>
  <w:style w:type="character" w:customStyle="1" w:styleId="PredmetkomentraChar1369">
    <w:name w:val="Predmet komentára Char1369"/>
    <w:aliases w:val="Char6 Char Char1370,Predmet komentára Char Char Char1370,Comment Subject Char Char Char1370"/>
    <w:uiPriority w:val="99"/>
    <w:semiHidden/>
    <w:rPr>
      <w:rFonts w:ascii="Courier" w:hAnsi="Courier"/>
      <w:b/>
      <w:lang w:val="x-none" w:eastAsia="cs-CZ"/>
    </w:rPr>
  </w:style>
  <w:style w:type="character" w:customStyle="1" w:styleId="PredmetkomentraChar1368">
    <w:name w:val="Predmet komentára Char1368"/>
    <w:aliases w:val="Char6 Char Char1369,Predmet komentára Char Char Char1369,Comment Subject Char Char Char1369"/>
    <w:uiPriority w:val="99"/>
    <w:semiHidden/>
    <w:rPr>
      <w:rFonts w:ascii="Courier" w:hAnsi="Courier"/>
      <w:b/>
      <w:lang w:val="x-none" w:eastAsia="cs-CZ"/>
    </w:rPr>
  </w:style>
  <w:style w:type="character" w:customStyle="1" w:styleId="PredmetkomentraChar1367">
    <w:name w:val="Predmet komentára Char1367"/>
    <w:aliases w:val="Char6 Char Char1368,Predmet komentára Char Char Char1368,Comment Subject Char Char Char1368"/>
    <w:uiPriority w:val="99"/>
    <w:semiHidden/>
    <w:rPr>
      <w:rFonts w:ascii="Courier" w:hAnsi="Courier"/>
      <w:b/>
      <w:lang w:val="x-none" w:eastAsia="cs-CZ"/>
    </w:rPr>
  </w:style>
  <w:style w:type="character" w:customStyle="1" w:styleId="PredmetkomentraChar1366">
    <w:name w:val="Predmet komentára Char1366"/>
    <w:aliases w:val="Char6 Char Char1367,Predmet komentára Char Char Char1367,Comment Subject Char Char Char1367"/>
    <w:uiPriority w:val="99"/>
    <w:semiHidden/>
    <w:rPr>
      <w:rFonts w:ascii="Courier" w:hAnsi="Courier"/>
      <w:b/>
      <w:lang w:val="x-none" w:eastAsia="cs-CZ"/>
    </w:rPr>
  </w:style>
  <w:style w:type="character" w:customStyle="1" w:styleId="PredmetkomentraChar1365">
    <w:name w:val="Predmet komentára Char1365"/>
    <w:aliases w:val="Char6 Char Char1366,Predmet komentára Char Char Char1366,Comment Subject Char Char Char1366"/>
    <w:uiPriority w:val="99"/>
    <w:semiHidden/>
    <w:rPr>
      <w:rFonts w:ascii="Courier" w:hAnsi="Courier"/>
      <w:b/>
      <w:lang w:val="x-none" w:eastAsia="cs-CZ"/>
    </w:rPr>
  </w:style>
  <w:style w:type="character" w:customStyle="1" w:styleId="PredmetkomentraChar1364">
    <w:name w:val="Predmet komentára Char1364"/>
    <w:aliases w:val="Char6 Char Char1365,Predmet komentára Char Char Char1365,Comment Subject Char Char Char1365"/>
    <w:uiPriority w:val="99"/>
    <w:semiHidden/>
    <w:rPr>
      <w:rFonts w:ascii="Courier" w:hAnsi="Courier"/>
      <w:b/>
      <w:lang w:val="x-none" w:eastAsia="cs-CZ"/>
    </w:rPr>
  </w:style>
  <w:style w:type="character" w:customStyle="1" w:styleId="PredmetkomentraChar1363">
    <w:name w:val="Predmet komentára Char1363"/>
    <w:aliases w:val="Char6 Char Char1364,Predmet komentára Char Char Char1364,Comment Subject Char Char Char1364"/>
    <w:uiPriority w:val="99"/>
    <w:semiHidden/>
    <w:rPr>
      <w:rFonts w:ascii="Courier" w:hAnsi="Courier"/>
      <w:b/>
      <w:lang w:val="x-none" w:eastAsia="cs-CZ"/>
    </w:rPr>
  </w:style>
  <w:style w:type="character" w:customStyle="1" w:styleId="PredmetkomentraChar1362">
    <w:name w:val="Predmet komentára Char1362"/>
    <w:aliases w:val="Char6 Char Char1363,Predmet komentára Char Char Char1363,Comment Subject Char Char Char1363"/>
    <w:uiPriority w:val="99"/>
    <w:semiHidden/>
    <w:rPr>
      <w:rFonts w:ascii="Courier" w:hAnsi="Courier"/>
      <w:b/>
      <w:lang w:val="x-none" w:eastAsia="cs-CZ"/>
    </w:rPr>
  </w:style>
  <w:style w:type="character" w:customStyle="1" w:styleId="PredmetkomentraChar1361">
    <w:name w:val="Predmet komentára Char1361"/>
    <w:aliases w:val="Char6 Char Char1362,Predmet komentára Char Char Char1362,Comment Subject Char Char Char1362"/>
    <w:uiPriority w:val="99"/>
    <w:semiHidden/>
    <w:rPr>
      <w:rFonts w:ascii="Courier" w:hAnsi="Courier"/>
      <w:b/>
      <w:lang w:val="x-none" w:eastAsia="cs-CZ"/>
    </w:rPr>
  </w:style>
  <w:style w:type="character" w:customStyle="1" w:styleId="PredmetkomentraChar1360">
    <w:name w:val="Predmet komentára Char1360"/>
    <w:aliases w:val="Char6 Char Char1361,Predmet komentára Char Char Char1361,Comment Subject Char Char Char1361"/>
    <w:uiPriority w:val="99"/>
    <w:semiHidden/>
    <w:rPr>
      <w:rFonts w:ascii="Courier" w:hAnsi="Courier"/>
      <w:b/>
      <w:lang w:val="x-none" w:eastAsia="cs-CZ"/>
    </w:rPr>
  </w:style>
  <w:style w:type="character" w:customStyle="1" w:styleId="PredmetkomentraChar1359">
    <w:name w:val="Predmet komentára Char1359"/>
    <w:aliases w:val="Char6 Char Char1360,Predmet komentára Char Char Char1360,Comment Subject Char Char Char1360"/>
    <w:uiPriority w:val="99"/>
    <w:semiHidden/>
    <w:rPr>
      <w:rFonts w:ascii="Courier" w:hAnsi="Courier"/>
      <w:b/>
      <w:lang w:val="x-none" w:eastAsia="cs-CZ"/>
    </w:rPr>
  </w:style>
  <w:style w:type="character" w:customStyle="1" w:styleId="PredmetkomentraChar1358">
    <w:name w:val="Predmet komentára Char1358"/>
    <w:aliases w:val="Char6 Char Char1359,Predmet komentára Char Char Char1359,Comment Subject Char Char Char1359"/>
    <w:uiPriority w:val="99"/>
    <w:semiHidden/>
    <w:rPr>
      <w:rFonts w:ascii="Courier" w:hAnsi="Courier"/>
      <w:b/>
      <w:lang w:val="x-none" w:eastAsia="cs-CZ"/>
    </w:rPr>
  </w:style>
  <w:style w:type="character" w:customStyle="1" w:styleId="PredmetkomentraChar1357">
    <w:name w:val="Predmet komentára Char1357"/>
    <w:aliases w:val="Char6 Char Char1358,Predmet komentára Char Char Char1358,Comment Subject Char Char Char1358"/>
    <w:uiPriority w:val="99"/>
    <w:semiHidden/>
    <w:rPr>
      <w:rFonts w:ascii="Courier" w:hAnsi="Courier"/>
      <w:b/>
      <w:lang w:val="x-none" w:eastAsia="cs-CZ"/>
    </w:rPr>
  </w:style>
  <w:style w:type="character" w:customStyle="1" w:styleId="PredmetkomentraChar1356">
    <w:name w:val="Predmet komentára Char1356"/>
    <w:aliases w:val="Char6 Char Char1357,Predmet komentára Char Char Char1357,Comment Subject Char Char Char1357"/>
    <w:uiPriority w:val="99"/>
    <w:semiHidden/>
    <w:rPr>
      <w:rFonts w:ascii="Courier" w:hAnsi="Courier"/>
      <w:b/>
      <w:lang w:val="x-none" w:eastAsia="cs-CZ"/>
    </w:rPr>
  </w:style>
  <w:style w:type="character" w:customStyle="1" w:styleId="PredmetkomentraChar1355">
    <w:name w:val="Predmet komentára Char1355"/>
    <w:aliases w:val="Char6 Char Char1356,Predmet komentára Char Char Char1356,Comment Subject Char Char Char1356"/>
    <w:uiPriority w:val="99"/>
    <w:semiHidden/>
    <w:rPr>
      <w:rFonts w:ascii="Courier" w:hAnsi="Courier"/>
      <w:b/>
      <w:lang w:val="x-none" w:eastAsia="cs-CZ"/>
    </w:rPr>
  </w:style>
  <w:style w:type="character" w:customStyle="1" w:styleId="PredmetkomentraChar1354">
    <w:name w:val="Predmet komentára Char1354"/>
    <w:aliases w:val="Char6 Char Char1355,Predmet komentára Char Char Char1355,Comment Subject Char Char Char1355"/>
    <w:uiPriority w:val="99"/>
    <w:semiHidden/>
    <w:rPr>
      <w:rFonts w:ascii="Courier" w:hAnsi="Courier"/>
      <w:b/>
      <w:lang w:val="x-none" w:eastAsia="cs-CZ"/>
    </w:rPr>
  </w:style>
  <w:style w:type="character" w:customStyle="1" w:styleId="PredmetkomentraChar1353">
    <w:name w:val="Predmet komentára Char1353"/>
    <w:aliases w:val="Char6 Char Char1354,Predmet komentára Char Char Char1354,Comment Subject Char Char Char1354"/>
    <w:uiPriority w:val="99"/>
    <w:semiHidden/>
    <w:rPr>
      <w:rFonts w:ascii="Courier" w:hAnsi="Courier"/>
      <w:b/>
      <w:lang w:val="x-none" w:eastAsia="cs-CZ"/>
    </w:rPr>
  </w:style>
  <w:style w:type="character" w:customStyle="1" w:styleId="PredmetkomentraChar1352">
    <w:name w:val="Predmet komentára Char1352"/>
    <w:aliases w:val="Char6 Char Char1353,Predmet komentára Char Char Char1353,Comment Subject Char Char Char1353"/>
    <w:uiPriority w:val="99"/>
    <w:semiHidden/>
    <w:rPr>
      <w:rFonts w:ascii="Courier" w:hAnsi="Courier"/>
      <w:b/>
      <w:lang w:val="x-none" w:eastAsia="cs-CZ"/>
    </w:rPr>
  </w:style>
  <w:style w:type="character" w:customStyle="1" w:styleId="PredmetkomentraChar1351">
    <w:name w:val="Predmet komentára Char1351"/>
    <w:aliases w:val="Char6 Char Char1352,Predmet komentára Char Char Char1352,Comment Subject Char Char Char1352"/>
    <w:uiPriority w:val="99"/>
    <w:semiHidden/>
    <w:rPr>
      <w:rFonts w:ascii="Courier" w:hAnsi="Courier"/>
      <w:b/>
      <w:lang w:val="x-none" w:eastAsia="cs-CZ"/>
    </w:rPr>
  </w:style>
  <w:style w:type="character" w:customStyle="1" w:styleId="PredmetkomentraChar1350">
    <w:name w:val="Predmet komentára Char1350"/>
    <w:aliases w:val="Char6 Char Char1351,Predmet komentára Char Char Char1351,Comment Subject Char Char Char1351"/>
    <w:uiPriority w:val="99"/>
    <w:semiHidden/>
    <w:rPr>
      <w:rFonts w:ascii="Courier" w:hAnsi="Courier"/>
      <w:b/>
      <w:lang w:val="x-none" w:eastAsia="cs-CZ"/>
    </w:rPr>
  </w:style>
  <w:style w:type="character" w:customStyle="1" w:styleId="PredmetkomentraChar1349">
    <w:name w:val="Predmet komentára Char1349"/>
    <w:aliases w:val="Char6 Char Char1350,Predmet komentára Char Char Char1350,Comment Subject Char Char Char1350"/>
    <w:uiPriority w:val="99"/>
    <w:semiHidden/>
    <w:rPr>
      <w:rFonts w:ascii="Courier" w:hAnsi="Courier"/>
      <w:b/>
      <w:lang w:val="x-none" w:eastAsia="cs-CZ"/>
    </w:rPr>
  </w:style>
  <w:style w:type="character" w:customStyle="1" w:styleId="PredmetkomentraChar1348">
    <w:name w:val="Predmet komentára Char1348"/>
    <w:aliases w:val="Char6 Char Char1349,Predmet komentára Char Char Char1349,Comment Subject Char Char Char1349"/>
    <w:uiPriority w:val="99"/>
    <w:semiHidden/>
    <w:rPr>
      <w:rFonts w:ascii="Courier" w:hAnsi="Courier"/>
      <w:b/>
      <w:lang w:val="x-none" w:eastAsia="cs-CZ"/>
    </w:rPr>
  </w:style>
  <w:style w:type="character" w:customStyle="1" w:styleId="PredmetkomentraChar1347">
    <w:name w:val="Predmet komentára Char1347"/>
    <w:aliases w:val="Char6 Char Char1348,Predmet komentára Char Char Char1348,Comment Subject Char Char Char1348"/>
    <w:uiPriority w:val="99"/>
    <w:semiHidden/>
    <w:rPr>
      <w:rFonts w:ascii="Courier" w:hAnsi="Courier"/>
      <w:b/>
      <w:lang w:val="x-none" w:eastAsia="cs-CZ"/>
    </w:rPr>
  </w:style>
  <w:style w:type="character" w:customStyle="1" w:styleId="PredmetkomentraChar1346">
    <w:name w:val="Predmet komentára Char1346"/>
    <w:aliases w:val="Char6 Char Char1347,Predmet komentára Char Char Char1347,Comment Subject Char Char Char1347"/>
    <w:uiPriority w:val="99"/>
    <w:semiHidden/>
    <w:rPr>
      <w:rFonts w:ascii="Courier" w:hAnsi="Courier"/>
      <w:b/>
      <w:lang w:val="x-none" w:eastAsia="cs-CZ"/>
    </w:rPr>
  </w:style>
  <w:style w:type="character" w:customStyle="1" w:styleId="PredmetkomentraChar1345">
    <w:name w:val="Predmet komentára Char1345"/>
    <w:aliases w:val="Char6 Char Char1346,Predmet komentára Char Char Char1346,Comment Subject Char Char Char1346"/>
    <w:uiPriority w:val="99"/>
    <w:semiHidden/>
    <w:rPr>
      <w:rFonts w:ascii="Courier" w:hAnsi="Courier"/>
      <w:b/>
      <w:lang w:val="x-none" w:eastAsia="cs-CZ"/>
    </w:rPr>
  </w:style>
  <w:style w:type="character" w:customStyle="1" w:styleId="PredmetkomentraChar1344">
    <w:name w:val="Predmet komentára Char1344"/>
    <w:aliases w:val="Char6 Char Char1345,Predmet komentára Char Char Char1345,Comment Subject Char Char Char1345"/>
    <w:uiPriority w:val="99"/>
    <w:semiHidden/>
    <w:rPr>
      <w:rFonts w:ascii="Courier" w:hAnsi="Courier"/>
      <w:b/>
      <w:lang w:val="x-none" w:eastAsia="cs-CZ"/>
    </w:rPr>
  </w:style>
  <w:style w:type="character" w:customStyle="1" w:styleId="PredmetkomentraChar1343">
    <w:name w:val="Predmet komentára Char1343"/>
    <w:aliases w:val="Char6 Char Char1344,Predmet komentára Char Char Char1344,Comment Subject Char Char Char1344"/>
    <w:uiPriority w:val="99"/>
    <w:semiHidden/>
    <w:rPr>
      <w:rFonts w:ascii="Courier" w:hAnsi="Courier"/>
      <w:b/>
      <w:lang w:val="x-none" w:eastAsia="cs-CZ"/>
    </w:rPr>
  </w:style>
  <w:style w:type="character" w:customStyle="1" w:styleId="PredmetkomentraChar1342">
    <w:name w:val="Predmet komentára Char1342"/>
    <w:aliases w:val="Char6 Char Char1343,Predmet komentára Char Char Char1343,Comment Subject Char Char Char1343"/>
    <w:uiPriority w:val="99"/>
    <w:semiHidden/>
    <w:rPr>
      <w:rFonts w:ascii="Courier" w:hAnsi="Courier"/>
      <w:b/>
      <w:lang w:val="x-none" w:eastAsia="cs-CZ"/>
    </w:rPr>
  </w:style>
  <w:style w:type="character" w:customStyle="1" w:styleId="PredmetkomentraChar1341">
    <w:name w:val="Predmet komentára Char1341"/>
    <w:aliases w:val="Char6 Char Char1342,Predmet komentára Char Char Char1342,Comment Subject Char Char Char1342"/>
    <w:uiPriority w:val="99"/>
    <w:semiHidden/>
    <w:rPr>
      <w:rFonts w:ascii="Courier" w:hAnsi="Courier"/>
      <w:b/>
      <w:lang w:val="x-none" w:eastAsia="cs-CZ"/>
    </w:rPr>
  </w:style>
  <w:style w:type="character" w:customStyle="1" w:styleId="PredmetkomentraChar1340">
    <w:name w:val="Predmet komentára Char1340"/>
    <w:aliases w:val="Char6 Char Char1341,Predmet komentára Char Char Char1341,Comment Subject Char Char Char1341"/>
    <w:uiPriority w:val="99"/>
    <w:semiHidden/>
    <w:rPr>
      <w:rFonts w:ascii="Courier" w:hAnsi="Courier"/>
      <w:b/>
      <w:lang w:val="x-none" w:eastAsia="cs-CZ"/>
    </w:rPr>
  </w:style>
  <w:style w:type="character" w:customStyle="1" w:styleId="PredmetkomentraChar1339">
    <w:name w:val="Predmet komentára Char1339"/>
    <w:aliases w:val="Char6 Char Char1340,Predmet komentára Char Char Char1340,Comment Subject Char Char Char1340"/>
    <w:uiPriority w:val="99"/>
    <w:semiHidden/>
    <w:rPr>
      <w:rFonts w:ascii="Courier" w:hAnsi="Courier"/>
      <w:b/>
      <w:lang w:val="x-none" w:eastAsia="cs-CZ"/>
    </w:rPr>
  </w:style>
  <w:style w:type="character" w:customStyle="1" w:styleId="PredmetkomentraChar1338">
    <w:name w:val="Predmet komentára Char1338"/>
    <w:aliases w:val="Char6 Char Char1339,Predmet komentára Char Char Char1339,Comment Subject Char Char Char1339"/>
    <w:uiPriority w:val="99"/>
    <w:semiHidden/>
    <w:rPr>
      <w:rFonts w:ascii="Courier" w:hAnsi="Courier"/>
      <w:b/>
      <w:lang w:val="x-none" w:eastAsia="cs-CZ"/>
    </w:rPr>
  </w:style>
  <w:style w:type="character" w:customStyle="1" w:styleId="PredmetkomentraChar1337">
    <w:name w:val="Predmet komentára Char1337"/>
    <w:aliases w:val="Char6 Char Char1338,Predmet komentára Char Char Char1338,Comment Subject Char Char Char1338"/>
    <w:uiPriority w:val="99"/>
    <w:semiHidden/>
    <w:rPr>
      <w:rFonts w:ascii="Courier" w:hAnsi="Courier"/>
      <w:b/>
      <w:lang w:val="x-none" w:eastAsia="cs-CZ"/>
    </w:rPr>
  </w:style>
  <w:style w:type="character" w:customStyle="1" w:styleId="PredmetkomentraChar1336">
    <w:name w:val="Predmet komentára Char1336"/>
    <w:aliases w:val="Char6 Char Char1337,Predmet komentára Char Char Char1337,Comment Subject Char Char Char1337"/>
    <w:uiPriority w:val="99"/>
    <w:semiHidden/>
    <w:rPr>
      <w:rFonts w:ascii="Courier" w:hAnsi="Courier"/>
      <w:b/>
      <w:lang w:val="x-none" w:eastAsia="cs-CZ"/>
    </w:rPr>
  </w:style>
  <w:style w:type="character" w:customStyle="1" w:styleId="PredmetkomentraChar1335">
    <w:name w:val="Predmet komentára Char1335"/>
    <w:aliases w:val="Char6 Char Char1336,Predmet komentára Char Char Char1336,Comment Subject Char Char Char1336"/>
    <w:uiPriority w:val="99"/>
    <w:semiHidden/>
    <w:rPr>
      <w:rFonts w:ascii="Courier" w:hAnsi="Courier"/>
      <w:b/>
      <w:lang w:val="x-none" w:eastAsia="cs-CZ"/>
    </w:rPr>
  </w:style>
  <w:style w:type="character" w:customStyle="1" w:styleId="PredmetkomentraChar1334">
    <w:name w:val="Predmet komentára Char1334"/>
    <w:aliases w:val="Char6 Char Char1335,Predmet komentára Char Char Char1335,Comment Subject Char Char Char1335"/>
    <w:uiPriority w:val="99"/>
    <w:semiHidden/>
    <w:rPr>
      <w:rFonts w:ascii="Courier" w:hAnsi="Courier"/>
      <w:b/>
      <w:lang w:val="x-none" w:eastAsia="cs-CZ"/>
    </w:rPr>
  </w:style>
  <w:style w:type="character" w:customStyle="1" w:styleId="PredmetkomentraChar1333">
    <w:name w:val="Predmet komentára Char1333"/>
    <w:aliases w:val="Char6 Char Char1334,Predmet komentára Char Char Char1334,Comment Subject Char Char Char1334"/>
    <w:uiPriority w:val="99"/>
    <w:semiHidden/>
    <w:rPr>
      <w:rFonts w:ascii="Courier" w:hAnsi="Courier"/>
      <w:b/>
      <w:lang w:val="x-none" w:eastAsia="cs-CZ"/>
    </w:rPr>
  </w:style>
  <w:style w:type="character" w:customStyle="1" w:styleId="PredmetkomentraChar1332">
    <w:name w:val="Predmet komentára Char1332"/>
    <w:aliases w:val="Char6 Char Char1333,Predmet komentára Char Char Char1333,Comment Subject Char Char Char1333"/>
    <w:uiPriority w:val="99"/>
    <w:semiHidden/>
    <w:rPr>
      <w:rFonts w:ascii="Courier" w:hAnsi="Courier"/>
      <w:b/>
      <w:lang w:val="x-none" w:eastAsia="cs-CZ"/>
    </w:rPr>
  </w:style>
  <w:style w:type="character" w:customStyle="1" w:styleId="PredmetkomentraChar1331">
    <w:name w:val="Predmet komentára Char1331"/>
    <w:aliases w:val="Char6 Char Char1332,Predmet komentára Char Char Char1332,Comment Subject Char Char Char1332"/>
    <w:uiPriority w:val="99"/>
    <w:semiHidden/>
    <w:rPr>
      <w:rFonts w:ascii="Courier" w:hAnsi="Courier"/>
      <w:b/>
      <w:lang w:val="x-none" w:eastAsia="cs-CZ"/>
    </w:rPr>
  </w:style>
  <w:style w:type="character" w:customStyle="1" w:styleId="PredmetkomentraChar1330">
    <w:name w:val="Predmet komentára Char1330"/>
    <w:aliases w:val="Char6 Char Char1331,Predmet komentára Char Char Char1331,Comment Subject Char Char Char1331"/>
    <w:uiPriority w:val="99"/>
    <w:semiHidden/>
    <w:rPr>
      <w:rFonts w:ascii="Courier" w:hAnsi="Courier"/>
      <w:b/>
      <w:lang w:val="x-none" w:eastAsia="cs-CZ"/>
    </w:rPr>
  </w:style>
  <w:style w:type="character" w:customStyle="1" w:styleId="PredmetkomentraChar1329">
    <w:name w:val="Predmet komentára Char1329"/>
    <w:aliases w:val="Char6 Char Char1330,Predmet komentára Char Char Char1330,Comment Subject Char Char Char1330"/>
    <w:uiPriority w:val="99"/>
    <w:semiHidden/>
    <w:rPr>
      <w:rFonts w:ascii="Courier" w:hAnsi="Courier"/>
      <w:b/>
      <w:lang w:val="x-none" w:eastAsia="cs-CZ"/>
    </w:rPr>
  </w:style>
  <w:style w:type="character" w:customStyle="1" w:styleId="PredmetkomentraChar1328">
    <w:name w:val="Predmet komentára Char1328"/>
    <w:aliases w:val="Char6 Char Char1329,Predmet komentára Char Char Char1329,Comment Subject Char Char Char1329"/>
    <w:uiPriority w:val="99"/>
    <w:semiHidden/>
    <w:rPr>
      <w:rFonts w:ascii="Courier" w:hAnsi="Courier"/>
      <w:b/>
      <w:lang w:val="x-none" w:eastAsia="cs-CZ"/>
    </w:rPr>
  </w:style>
  <w:style w:type="character" w:customStyle="1" w:styleId="PredmetkomentraChar1327">
    <w:name w:val="Predmet komentára Char1327"/>
    <w:aliases w:val="Char6 Char Char1328,Predmet komentára Char Char Char1328,Comment Subject Char Char Char1328"/>
    <w:uiPriority w:val="99"/>
    <w:semiHidden/>
    <w:rPr>
      <w:rFonts w:ascii="Courier" w:hAnsi="Courier"/>
      <w:b/>
      <w:lang w:val="x-none" w:eastAsia="cs-CZ"/>
    </w:rPr>
  </w:style>
  <w:style w:type="character" w:customStyle="1" w:styleId="PredmetkomentraChar1326">
    <w:name w:val="Predmet komentára Char1326"/>
    <w:aliases w:val="Char6 Char Char1327,Predmet komentára Char Char Char1327,Comment Subject Char Char Char1327"/>
    <w:uiPriority w:val="99"/>
    <w:semiHidden/>
    <w:rPr>
      <w:rFonts w:ascii="Courier" w:hAnsi="Courier"/>
      <w:b/>
      <w:lang w:val="x-none" w:eastAsia="cs-CZ"/>
    </w:rPr>
  </w:style>
  <w:style w:type="character" w:customStyle="1" w:styleId="PredmetkomentraChar1325">
    <w:name w:val="Predmet komentára Char1325"/>
    <w:aliases w:val="Char6 Char Char1326,Predmet komentára Char Char Char1326,Comment Subject Char Char Char1326"/>
    <w:uiPriority w:val="99"/>
    <w:semiHidden/>
    <w:rPr>
      <w:rFonts w:ascii="Courier" w:hAnsi="Courier"/>
      <w:b/>
      <w:lang w:val="x-none" w:eastAsia="cs-CZ"/>
    </w:rPr>
  </w:style>
  <w:style w:type="character" w:customStyle="1" w:styleId="PredmetkomentraChar1324">
    <w:name w:val="Predmet komentára Char1324"/>
    <w:aliases w:val="Char6 Char Char1325,Predmet komentára Char Char Char1325,Comment Subject Char Char Char1325"/>
    <w:uiPriority w:val="99"/>
    <w:semiHidden/>
    <w:rPr>
      <w:rFonts w:ascii="Courier" w:hAnsi="Courier"/>
      <w:b/>
      <w:lang w:val="x-none" w:eastAsia="cs-CZ"/>
    </w:rPr>
  </w:style>
  <w:style w:type="character" w:customStyle="1" w:styleId="PredmetkomentraChar1323">
    <w:name w:val="Predmet komentára Char1323"/>
    <w:aliases w:val="Char6 Char Char1324,Predmet komentára Char Char Char1324,Comment Subject Char Char Char1324"/>
    <w:uiPriority w:val="99"/>
    <w:semiHidden/>
    <w:rPr>
      <w:rFonts w:ascii="Courier" w:hAnsi="Courier"/>
      <w:b/>
      <w:lang w:val="x-none" w:eastAsia="cs-CZ"/>
    </w:rPr>
  </w:style>
  <w:style w:type="character" w:customStyle="1" w:styleId="PredmetkomentraChar1322">
    <w:name w:val="Predmet komentára Char1322"/>
    <w:aliases w:val="Char6 Char Char1323,Predmet komentára Char Char Char1323,Comment Subject Char Char Char1323"/>
    <w:uiPriority w:val="99"/>
    <w:semiHidden/>
    <w:rPr>
      <w:rFonts w:ascii="Courier" w:hAnsi="Courier"/>
      <w:b/>
      <w:lang w:val="x-none" w:eastAsia="cs-CZ"/>
    </w:rPr>
  </w:style>
  <w:style w:type="character" w:customStyle="1" w:styleId="PredmetkomentraChar1321">
    <w:name w:val="Predmet komentára Char1321"/>
    <w:aliases w:val="Char6 Char Char1322,Predmet komentára Char Char Char1322,Comment Subject Char Char Char1322"/>
    <w:uiPriority w:val="99"/>
    <w:semiHidden/>
    <w:rPr>
      <w:rFonts w:ascii="Courier" w:hAnsi="Courier"/>
      <w:b/>
      <w:lang w:val="x-none" w:eastAsia="cs-CZ"/>
    </w:rPr>
  </w:style>
  <w:style w:type="character" w:customStyle="1" w:styleId="PredmetkomentraChar1320">
    <w:name w:val="Predmet komentára Char1320"/>
    <w:aliases w:val="Char6 Char Char1321,Predmet komentára Char Char Char1321,Comment Subject Char Char Char1321"/>
    <w:uiPriority w:val="99"/>
    <w:semiHidden/>
    <w:rPr>
      <w:rFonts w:ascii="Courier" w:hAnsi="Courier"/>
      <w:b/>
      <w:lang w:val="x-none" w:eastAsia="cs-CZ"/>
    </w:rPr>
  </w:style>
  <w:style w:type="character" w:customStyle="1" w:styleId="PredmetkomentraChar1319">
    <w:name w:val="Predmet komentára Char1319"/>
    <w:aliases w:val="Char6 Char Char1320,Predmet komentára Char Char Char1320,Comment Subject Char Char Char1320"/>
    <w:uiPriority w:val="99"/>
    <w:semiHidden/>
    <w:rPr>
      <w:rFonts w:ascii="Courier" w:hAnsi="Courier"/>
      <w:b/>
      <w:lang w:val="x-none" w:eastAsia="cs-CZ"/>
    </w:rPr>
  </w:style>
  <w:style w:type="character" w:customStyle="1" w:styleId="PredmetkomentraChar1318">
    <w:name w:val="Predmet komentára Char1318"/>
    <w:aliases w:val="Char6 Char Char1319,Predmet komentára Char Char Char1319,Comment Subject Char Char Char1319"/>
    <w:uiPriority w:val="99"/>
    <w:semiHidden/>
    <w:rPr>
      <w:rFonts w:ascii="Courier" w:hAnsi="Courier"/>
      <w:b/>
      <w:lang w:val="x-none" w:eastAsia="cs-CZ"/>
    </w:rPr>
  </w:style>
  <w:style w:type="character" w:customStyle="1" w:styleId="PredmetkomentraChar1317">
    <w:name w:val="Predmet komentára Char1317"/>
    <w:aliases w:val="Char6 Char Char1318,Predmet komentára Char Char Char1318,Comment Subject Char Char Char1318"/>
    <w:uiPriority w:val="99"/>
    <w:semiHidden/>
    <w:rPr>
      <w:rFonts w:ascii="Courier" w:hAnsi="Courier"/>
      <w:b/>
      <w:lang w:val="x-none" w:eastAsia="cs-CZ"/>
    </w:rPr>
  </w:style>
  <w:style w:type="character" w:customStyle="1" w:styleId="PredmetkomentraChar1316">
    <w:name w:val="Predmet komentára Char1316"/>
    <w:aliases w:val="Char6 Char Char1317,Predmet komentára Char Char Char1317,Comment Subject Char Char Char1317"/>
    <w:uiPriority w:val="99"/>
    <w:semiHidden/>
    <w:rPr>
      <w:rFonts w:ascii="Courier" w:hAnsi="Courier"/>
      <w:b/>
      <w:lang w:val="x-none" w:eastAsia="cs-CZ"/>
    </w:rPr>
  </w:style>
  <w:style w:type="character" w:customStyle="1" w:styleId="PredmetkomentraChar1315">
    <w:name w:val="Predmet komentára Char1315"/>
    <w:aliases w:val="Char6 Char Char1316,Predmet komentára Char Char Char1316,Comment Subject Char Char Char1316"/>
    <w:uiPriority w:val="99"/>
    <w:semiHidden/>
    <w:rPr>
      <w:rFonts w:ascii="Courier" w:hAnsi="Courier"/>
      <w:b/>
      <w:lang w:val="x-none" w:eastAsia="cs-CZ"/>
    </w:rPr>
  </w:style>
  <w:style w:type="character" w:customStyle="1" w:styleId="PredmetkomentraChar1314">
    <w:name w:val="Predmet komentára Char1314"/>
    <w:aliases w:val="Char6 Char Char1315,Predmet komentára Char Char Char1315,Comment Subject Char Char Char1315"/>
    <w:uiPriority w:val="99"/>
    <w:semiHidden/>
    <w:rPr>
      <w:rFonts w:ascii="Courier" w:hAnsi="Courier"/>
      <w:b/>
      <w:lang w:val="x-none" w:eastAsia="cs-CZ"/>
    </w:rPr>
  </w:style>
  <w:style w:type="character" w:customStyle="1" w:styleId="PredmetkomentraChar1313">
    <w:name w:val="Predmet komentára Char1313"/>
    <w:aliases w:val="Char6 Char Char1314,Predmet komentára Char Char Char1314,Comment Subject Char Char Char1314"/>
    <w:uiPriority w:val="99"/>
    <w:semiHidden/>
    <w:rPr>
      <w:rFonts w:ascii="Courier" w:hAnsi="Courier"/>
      <w:b/>
      <w:lang w:val="x-none" w:eastAsia="cs-CZ"/>
    </w:rPr>
  </w:style>
  <w:style w:type="character" w:customStyle="1" w:styleId="PredmetkomentraChar1312">
    <w:name w:val="Predmet komentára Char1312"/>
    <w:aliases w:val="Char6 Char Char1313,Predmet komentára Char Char Char1313,Comment Subject Char Char Char1313"/>
    <w:uiPriority w:val="99"/>
    <w:semiHidden/>
    <w:rPr>
      <w:rFonts w:ascii="Courier" w:hAnsi="Courier"/>
      <w:b/>
      <w:lang w:val="x-none" w:eastAsia="cs-CZ"/>
    </w:rPr>
  </w:style>
  <w:style w:type="character" w:customStyle="1" w:styleId="PredmetkomentraChar1311">
    <w:name w:val="Predmet komentára Char1311"/>
    <w:aliases w:val="Char6 Char Char1312,Predmet komentára Char Char Char1312,Comment Subject Char Char Char1312"/>
    <w:uiPriority w:val="99"/>
    <w:semiHidden/>
    <w:rPr>
      <w:rFonts w:ascii="Courier" w:hAnsi="Courier"/>
      <w:b/>
      <w:lang w:val="x-none" w:eastAsia="cs-CZ"/>
    </w:rPr>
  </w:style>
  <w:style w:type="character" w:customStyle="1" w:styleId="PredmetkomentraChar1310">
    <w:name w:val="Predmet komentára Char1310"/>
    <w:aliases w:val="Char6 Char Char1311,Predmet komentára Char Char Char1311,Comment Subject Char Char Char1311"/>
    <w:uiPriority w:val="99"/>
    <w:semiHidden/>
    <w:rPr>
      <w:rFonts w:ascii="Courier" w:hAnsi="Courier"/>
      <w:b/>
      <w:lang w:val="x-none" w:eastAsia="cs-CZ"/>
    </w:rPr>
  </w:style>
  <w:style w:type="character" w:customStyle="1" w:styleId="PredmetkomentraChar1309">
    <w:name w:val="Predmet komentára Char1309"/>
    <w:aliases w:val="Char6 Char Char1310,Predmet komentára Char Char Char1310,Comment Subject Char Char Char1310"/>
    <w:uiPriority w:val="99"/>
    <w:semiHidden/>
    <w:rPr>
      <w:rFonts w:ascii="Courier" w:hAnsi="Courier"/>
      <w:b/>
      <w:lang w:val="x-none" w:eastAsia="cs-CZ"/>
    </w:rPr>
  </w:style>
  <w:style w:type="character" w:customStyle="1" w:styleId="PredmetkomentraChar1308">
    <w:name w:val="Predmet komentára Char1308"/>
    <w:aliases w:val="Char6 Char Char1309,Predmet komentára Char Char Char1309,Comment Subject Char Char Char1309"/>
    <w:uiPriority w:val="99"/>
    <w:semiHidden/>
    <w:rPr>
      <w:rFonts w:ascii="Courier" w:hAnsi="Courier"/>
      <w:b/>
      <w:lang w:val="x-none" w:eastAsia="cs-CZ"/>
    </w:rPr>
  </w:style>
  <w:style w:type="character" w:customStyle="1" w:styleId="PredmetkomentraChar1307">
    <w:name w:val="Predmet komentára Char1307"/>
    <w:aliases w:val="Char6 Char Char1308,Predmet komentára Char Char Char1308,Comment Subject Char Char Char1308"/>
    <w:uiPriority w:val="99"/>
    <w:semiHidden/>
    <w:rPr>
      <w:rFonts w:ascii="Courier" w:hAnsi="Courier"/>
      <w:b/>
      <w:lang w:val="x-none" w:eastAsia="cs-CZ"/>
    </w:rPr>
  </w:style>
  <w:style w:type="character" w:customStyle="1" w:styleId="PredmetkomentraChar1306">
    <w:name w:val="Predmet komentára Char1306"/>
    <w:aliases w:val="Char6 Char Char1307,Predmet komentára Char Char Char1307,Comment Subject Char Char Char1307"/>
    <w:uiPriority w:val="99"/>
    <w:semiHidden/>
    <w:rPr>
      <w:rFonts w:ascii="Courier" w:hAnsi="Courier"/>
      <w:b/>
      <w:lang w:val="x-none" w:eastAsia="cs-CZ"/>
    </w:rPr>
  </w:style>
  <w:style w:type="character" w:customStyle="1" w:styleId="PredmetkomentraChar1305">
    <w:name w:val="Predmet komentára Char1305"/>
    <w:aliases w:val="Char6 Char Char1306,Predmet komentára Char Char Char1306,Comment Subject Char Char Char1306"/>
    <w:uiPriority w:val="99"/>
    <w:semiHidden/>
    <w:rPr>
      <w:rFonts w:ascii="Courier" w:hAnsi="Courier"/>
      <w:b/>
      <w:lang w:val="x-none" w:eastAsia="cs-CZ"/>
    </w:rPr>
  </w:style>
  <w:style w:type="character" w:customStyle="1" w:styleId="PredmetkomentraChar1304">
    <w:name w:val="Predmet komentára Char1304"/>
    <w:aliases w:val="Char6 Char Char1305,Predmet komentára Char Char Char1305,Comment Subject Char Char Char1305"/>
    <w:uiPriority w:val="99"/>
    <w:semiHidden/>
    <w:rPr>
      <w:rFonts w:ascii="Courier" w:hAnsi="Courier"/>
      <w:b/>
      <w:lang w:val="x-none" w:eastAsia="cs-CZ"/>
    </w:rPr>
  </w:style>
  <w:style w:type="character" w:customStyle="1" w:styleId="PredmetkomentraChar1303">
    <w:name w:val="Predmet komentára Char1303"/>
    <w:aliases w:val="Char6 Char Char1304,Predmet komentára Char Char Char1304,Comment Subject Char Char Char1304"/>
    <w:uiPriority w:val="99"/>
    <w:semiHidden/>
    <w:rPr>
      <w:rFonts w:ascii="Courier" w:hAnsi="Courier"/>
      <w:b/>
      <w:lang w:val="x-none" w:eastAsia="cs-CZ"/>
    </w:rPr>
  </w:style>
  <w:style w:type="character" w:customStyle="1" w:styleId="PredmetkomentraChar1302">
    <w:name w:val="Predmet komentára Char1302"/>
    <w:aliases w:val="Char6 Char Char1303,Predmet komentára Char Char Char1303,Comment Subject Char Char Char1303"/>
    <w:uiPriority w:val="99"/>
    <w:semiHidden/>
    <w:rPr>
      <w:rFonts w:ascii="Courier" w:hAnsi="Courier"/>
      <w:b/>
      <w:lang w:val="x-none" w:eastAsia="cs-CZ"/>
    </w:rPr>
  </w:style>
  <w:style w:type="character" w:customStyle="1" w:styleId="PredmetkomentraChar1301">
    <w:name w:val="Predmet komentára Char1301"/>
    <w:aliases w:val="Char6 Char Char1302,Predmet komentára Char Char Char1302,Comment Subject Char Char Char1302"/>
    <w:uiPriority w:val="99"/>
    <w:semiHidden/>
    <w:rPr>
      <w:rFonts w:ascii="Courier" w:hAnsi="Courier"/>
      <w:b/>
      <w:lang w:val="x-none" w:eastAsia="cs-CZ"/>
    </w:rPr>
  </w:style>
  <w:style w:type="character" w:customStyle="1" w:styleId="PredmetkomentraChar1300">
    <w:name w:val="Predmet komentára Char1300"/>
    <w:aliases w:val="Char6 Char Char1301,Predmet komentára Char Char Char1301,Comment Subject Char Char Char1301"/>
    <w:uiPriority w:val="99"/>
    <w:semiHidden/>
    <w:rPr>
      <w:rFonts w:ascii="Courier" w:hAnsi="Courier"/>
      <w:b/>
      <w:lang w:val="x-none" w:eastAsia="cs-CZ"/>
    </w:rPr>
  </w:style>
  <w:style w:type="character" w:customStyle="1" w:styleId="PredmetkomentraChar1299">
    <w:name w:val="Predmet komentára Char1299"/>
    <w:aliases w:val="Char6 Char Char1300,Predmet komentára Char Char Char1300,Comment Subject Char Char Char1300"/>
    <w:uiPriority w:val="99"/>
    <w:semiHidden/>
    <w:rPr>
      <w:rFonts w:ascii="Courier" w:hAnsi="Courier"/>
      <w:b/>
      <w:lang w:val="x-none" w:eastAsia="cs-CZ"/>
    </w:rPr>
  </w:style>
  <w:style w:type="character" w:customStyle="1" w:styleId="PredmetkomentraChar1298">
    <w:name w:val="Predmet komentára Char1298"/>
    <w:aliases w:val="Char6 Char Char1299,Predmet komentára Char Char Char1299,Comment Subject Char Char Char1299"/>
    <w:uiPriority w:val="99"/>
    <w:semiHidden/>
    <w:rPr>
      <w:rFonts w:ascii="Courier" w:hAnsi="Courier"/>
      <w:b/>
      <w:lang w:val="x-none" w:eastAsia="cs-CZ"/>
    </w:rPr>
  </w:style>
  <w:style w:type="character" w:customStyle="1" w:styleId="PredmetkomentraChar1297">
    <w:name w:val="Predmet komentára Char1297"/>
    <w:aliases w:val="Char6 Char Char1298,Predmet komentára Char Char Char1298,Comment Subject Char Char Char1298"/>
    <w:uiPriority w:val="99"/>
    <w:semiHidden/>
    <w:rPr>
      <w:rFonts w:ascii="Courier" w:hAnsi="Courier"/>
      <w:b/>
      <w:lang w:val="x-none" w:eastAsia="cs-CZ"/>
    </w:rPr>
  </w:style>
  <w:style w:type="character" w:customStyle="1" w:styleId="PredmetkomentraChar1296">
    <w:name w:val="Predmet komentára Char1296"/>
    <w:aliases w:val="Char6 Char Char1297,Predmet komentára Char Char Char1297,Comment Subject Char Char Char1297"/>
    <w:uiPriority w:val="99"/>
    <w:semiHidden/>
    <w:rPr>
      <w:rFonts w:ascii="Courier" w:hAnsi="Courier"/>
      <w:b/>
      <w:lang w:val="x-none" w:eastAsia="cs-CZ"/>
    </w:rPr>
  </w:style>
  <w:style w:type="character" w:customStyle="1" w:styleId="PredmetkomentraChar1295">
    <w:name w:val="Predmet komentára Char1295"/>
    <w:aliases w:val="Char6 Char Char1296,Predmet komentára Char Char Char1296,Comment Subject Char Char Char1296"/>
    <w:uiPriority w:val="99"/>
    <w:semiHidden/>
    <w:rPr>
      <w:rFonts w:ascii="Courier" w:hAnsi="Courier"/>
      <w:b/>
      <w:lang w:val="x-none" w:eastAsia="cs-CZ"/>
    </w:rPr>
  </w:style>
  <w:style w:type="character" w:customStyle="1" w:styleId="PredmetkomentraChar1294">
    <w:name w:val="Predmet komentára Char1294"/>
    <w:aliases w:val="Char6 Char Char1295,Predmet komentára Char Char Char1295,Comment Subject Char Char Char1295"/>
    <w:uiPriority w:val="99"/>
    <w:semiHidden/>
    <w:rPr>
      <w:rFonts w:ascii="Courier" w:hAnsi="Courier"/>
      <w:b/>
      <w:lang w:val="x-none" w:eastAsia="cs-CZ"/>
    </w:rPr>
  </w:style>
  <w:style w:type="character" w:customStyle="1" w:styleId="PredmetkomentraChar1293">
    <w:name w:val="Predmet komentára Char1293"/>
    <w:aliases w:val="Char6 Char Char1294,Predmet komentára Char Char Char1294,Comment Subject Char Char Char1294"/>
    <w:uiPriority w:val="99"/>
    <w:semiHidden/>
    <w:rPr>
      <w:rFonts w:ascii="Courier" w:hAnsi="Courier"/>
      <w:b/>
      <w:lang w:val="x-none" w:eastAsia="cs-CZ"/>
    </w:rPr>
  </w:style>
  <w:style w:type="character" w:customStyle="1" w:styleId="PredmetkomentraChar1292">
    <w:name w:val="Predmet komentára Char1292"/>
    <w:aliases w:val="Char6 Char Char1293,Predmet komentára Char Char Char1293,Comment Subject Char Char Char1293"/>
    <w:uiPriority w:val="99"/>
    <w:semiHidden/>
    <w:rPr>
      <w:rFonts w:ascii="Courier" w:hAnsi="Courier"/>
      <w:b/>
      <w:lang w:val="x-none" w:eastAsia="cs-CZ"/>
    </w:rPr>
  </w:style>
  <w:style w:type="character" w:customStyle="1" w:styleId="PredmetkomentraChar1291">
    <w:name w:val="Predmet komentára Char1291"/>
    <w:aliases w:val="Char6 Char Char1292,Predmet komentára Char Char Char1292,Comment Subject Char Char Char1292"/>
    <w:uiPriority w:val="99"/>
    <w:semiHidden/>
    <w:rPr>
      <w:rFonts w:ascii="Courier" w:hAnsi="Courier"/>
      <w:b/>
      <w:lang w:val="x-none" w:eastAsia="cs-CZ"/>
    </w:rPr>
  </w:style>
  <w:style w:type="character" w:customStyle="1" w:styleId="PredmetkomentraChar1290">
    <w:name w:val="Predmet komentára Char1290"/>
    <w:aliases w:val="Char6 Char Char1291,Predmet komentára Char Char Char1291,Comment Subject Char Char Char1291"/>
    <w:uiPriority w:val="99"/>
    <w:semiHidden/>
    <w:rPr>
      <w:rFonts w:ascii="Courier" w:hAnsi="Courier"/>
      <w:b/>
      <w:lang w:val="x-none" w:eastAsia="cs-CZ"/>
    </w:rPr>
  </w:style>
  <w:style w:type="character" w:customStyle="1" w:styleId="PredmetkomentraChar1289">
    <w:name w:val="Predmet komentára Char1289"/>
    <w:aliases w:val="Char6 Char Char1290,Predmet komentára Char Char Char1290,Comment Subject Char Char Char1290"/>
    <w:uiPriority w:val="99"/>
    <w:semiHidden/>
    <w:rPr>
      <w:rFonts w:ascii="Courier" w:hAnsi="Courier"/>
      <w:b/>
      <w:lang w:val="x-none" w:eastAsia="cs-CZ"/>
    </w:rPr>
  </w:style>
  <w:style w:type="character" w:customStyle="1" w:styleId="PredmetkomentraChar1288">
    <w:name w:val="Predmet komentára Char1288"/>
    <w:aliases w:val="Char6 Char Char1289,Predmet komentára Char Char Char1289,Comment Subject Char Char Char1289"/>
    <w:uiPriority w:val="99"/>
    <w:semiHidden/>
    <w:rPr>
      <w:rFonts w:ascii="Courier" w:hAnsi="Courier"/>
      <w:b/>
      <w:lang w:val="x-none" w:eastAsia="cs-CZ"/>
    </w:rPr>
  </w:style>
  <w:style w:type="character" w:customStyle="1" w:styleId="PredmetkomentraChar1287">
    <w:name w:val="Predmet komentára Char1287"/>
    <w:aliases w:val="Char6 Char Char1288,Predmet komentára Char Char Char1288,Comment Subject Char Char Char1288"/>
    <w:uiPriority w:val="99"/>
    <w:semiHidden/>
    <w:rPr>
      <w:rFonts w:ascii="Courier" w:hAnsi="Courier"/>
      <w:b/>
      <w:lang w:val="x-none" w:eastAsia="cs-CZ"/>
    </w:rPr>
  </w:style>
  <w:style w:type="character" w:customStyle="1" w:styleId="PredmetkomentraChar1286">
    <w:name w:val="Predmet komentára Char1286"/>
    <w:aliases w:val="Char6 Char Char1287,Predmet komentára Char Char Char1287,Comment Subject Char Char Char1287"/>
    <w:uiPriority w:val="99"/>
    <w:semiHidden/>
    <w:rPr>
      <w:rFonts w:ascii="Courier" w:hAnsi="Courier"/>
      <w:b/>
      <w:lang w:val="x-none" w:eastAsia="cs-CZ"/>
    </w:rPr>
  </w:style>
  <w:style w:type="character" w:customStyle="1" w:styleId="PredmetkomentraChar1285">
    <w:name w:val="Predmet komentára Char1285"/>
    <w:aliases w:val="Char6 Char Char1286,Predmet komentára Char Char Char1286,Comment Subject Char Char Char1286"/>
    <w:uiPriority w:val="99"/>
    <w:semiHidden/>
    <w:rPr>
      <w:rFonts w:ascii="Courier" w:hAnsi="Courier"/>
      <w:b/>
      <w:lang w:val="x-none" w:eastAsia="cs-CZ"/>
    </w:rPr>
  </w:style>
  <w:style w:type="character" w:customStyle="1" w:styleId="PredmetkomentraChar1284">
    <w:name w:val="Predmet komentára Char1284"/>
    <w:aliases w:val="Char6 Char Char1285,Predmet komentára Char Char Char1285,Comment Subject Char Char Char1285"/>
    <w:uiPriority w:val="99"/>
    <w:semiHidden/>
    <w:rPr>
      <w:rFonts w:ascii="Courier" w:hAnsi="Courier"/>
      <w:b/>
      <w:lang w:val="x-none" w:eastAsia="cs-CZ"/>
    </w:rPr>
  </w:style>
  <w:style w:type="character" w:customStyle="1" w:styleId="PredmetkomentraChar1283">
    <w:name w:val="Predmet komentára Char1283"/>
    <w:aliases w:val="Char6 Char Char1284,Predmet komentára Char Char Char1284,Comment Subject Char Char Char1284"/>
    <w:uiPriority w:val="99"/>
    <w:semiHidden/>
    <w:rPr>
      <w:rFonts w:ascii="Courier" w:hAnsi="Courier"/>
      <w:b/>
      <w:lang w:val="x-none" w:eastAsia="cs-CZ"/>
    </w:rPr>
  </w:style>
  <w:style w:type="character" w:customStyle="1" w:styleId="PredmetkomentraChar1282">
    <w:name w:val="Predmet komentára Char1282"/>
    <w:aliases w:val="Char6 Char Char1283,Predmet komentára Char Char Char1283,Comment Subject Char Char Char1283"/>
    <w:uiPriority w:val="99"/>
    <w:semiHidden/>
    <w:rPr>
      <w:rFonts w:ascii="Courier" w:hAnsi="Courier"/>
      <w:b/>
      <w:lang w:val="x-none" w:eastAsia="cs-CZ"/>
    </w:rPr>
  </w:style>
  <w:style w:type="character" w:customStyle="1" w:styleId="PredmetkomentraChar1281">
    <w:name w:val="Predmet komentára Char1281"/>
    <w:aliases w:val="Char6 Char Char1282,Predmet komentára Char Char Char1282,Comment Subject Char Char Char1282"/>
    <w:uiPriority w:val="99"/>
    <w:semiHidden/>
    <w:rPr>
      <w:rFonts w:ascii="Courier" w:hAnsi="Courier"/>
      <w:b/>
      <w:lang w:val="x-none" w:eastAsia="cs-CZ"/>
    </w:rPr>
  </w:style>
  <w:style w:type="character" w:customStyle="1" w:styleId="PredmetkomentraChar1280">
    <w:name w:val="Predmet komentára Char1280"/>
    <w:aliases w:val="Char6 Char Char1281,Predmet komentára Char Char Char1281,Comment Subject Char Char Char1281"/>
    <w:uiPriority w:val="99"/>
    <w:semiHidden/>
    <w:rPr>
      <w:rFonts w:ascii="Courier" w:hAnsi="Courier"/>
      <w:b/>
      <w:lang w:val="x-none" w:eastAsia="cs-CZ"/>
    </w:rPr>
  </w:style>
  <w:style w:type="character" w:customStyle="1" w:styleId="PredmetkomentraChar1279">
    <w:name w:val="Predmet komentára Char1279"/>
    <w:aliases w:val="Char6 Char Char1280,Predmet komentára Char Char Char1280,Comment Subject Char Char Char1280"/>
    <w:uiPriority w:val="99"/>
    <w:semiHidden/>
    <w:rPr>
      <w:rFonts w:ascii="Courier" w:hAnsi="Courier"/>
      <w:b/>
      <w:lang w:val="x-none" w:eastAsia="cs-CZ"/>
    </w:rPr>
  </w:style>
  <w:style w:type="character" w:customStyle="1" w:styleId="PredmetkomentraChar1278">
    <w:name w:val="Predmet komentára Char1278"/>
    <w:aliases w:val="Char6 Char Char1279,Predmet komentára Char Char Char1279,Comment Subject Char Char Char1279"/>
    <w:uiPriority w:val="99"/>
    <w:semiHidden/>
    <w:rPr>
      <w:rFonts w:ascii="Courier" w:hAnsi="Courier"/>
      <w:b/>
      <w:lang w:val="x-none" w:eastAsia="cs-CZ"/>
    </w:rPr>
  </w:style>
  <w:style w:type="character" w:customStyle="1" w:styleId="PredmetkomentraChar1277">
    <w:name w:val="Predmet komentára Char1277"/>
    <w:aliases w:val="Char6 Char Char1278,Predmet komentára Char Char Char1278,Comment Subject Char Char Char1278"/>
    <w:uiPriority w:val="99"/>
    <w:semiHidden/>
    <w:rPr>
      <w:rFonts w:ascii="Courier" w:hAnsi="Courier"/>
      <w:b/>
      <w:lang w:val="x-none" w:eastAsia="cs-CZ"/>
    </w:rPr>
  </w:style>
  <w:style w:type="character" w:customStyle="1" w:styleId="PredmetkomentraChar1276">
    <w:name w:val="Predmet komentára Char1276"/>
    <w:aliases w:val="Char6 Char Char1277,Predmet komentára Char Char Char1277,Comment Subject Char Char Char1277"/>
    <w:uiPriority w:val="99"/>
    <w:semiHidden/>
    <w:rPr>
      <w:rFonts w:ascii="Courier" w:hAnsi="Courier"/>
      <w:b/>
      <w:lang w:val="x-none" w:eastAsia="cs-CZ"/>
    </w:rPr>
  </w:style>
  <w:style w:type="character" w:customStyle="1" w:styleId="PredmetkomentraChar1275">
    <w:name w:val="Predmet komentára Char1275"/>
    <w:aliases w:val="Char6 Char Char1276,Predmet komentára Char Char Char1276,Comment Subject Char Char Char1276"/>
    <w:uiPriority w:val="99"/>
    <w:semiHidden/>
    <w:rPr>
      <w:rFonts w:ascii="Courier" w:hAnsi="Courier"/>
      <w:b/>
      <w:lang w:val="x-none" w:eastAsia="cs-CZ"/>
    </w:rPr>
  </w:style>
  <w:style w:type="character" w:customStyle="1" w:styleId="PredmetkomentraChar1274">
    <w:name w:val="Predmet komentára Char1274"/>
    <w:aliases w:val="Char6 Char Char1275,Predmet komentára Char Char Char1275,Comment Subject Char Char Char1275"/>
    <w:uiPriority w:val="99"/>
    <w:semiHidden/>
    <w:rPr>
      <w:rFonts w:ascii="Courier" w:hAnsi="Courier"/>
      <w:b/>
      <w:lang w:val="x-none" w:eastAsia="cs-CZ"/>
    </w:rPr>
  </w:style>
  <w:style w:type="character" w:customStyle="1" w:styleId="PredmetkomentraChar1273">
    <w:name w:val="Predmet komentára Char1273"/>
    <w:aliases w:val="Char6 Char Char1274,Predmet komentára Char Char Char1274,Comment Subject Char Char Char1274"/>
    <w:uiPriority w:val="99"/>
    <w:semiHidden/>
    <w:rPr>
      <w:rFonts w:ascii="Courier" w:hAnsi="Courier"/>
      <w:b/>
      <w:lang w:val="x-none" w:eastAsia="cs-CZ"/>
    </w:rPr>
  </w:style>
  <w:style w:type="character" w:customStyle="1" w:styleId="PredmetkomentraChar1272">
    <w:name w:val="Predmet komentára Char1272"/>
    <w:aliases w:val="Char6 Char Char1273,Predmet komentára Char Char Char1273,Comment Subject Char Char Char1273"/>
    <w:uiPriority w:val="99"/>
    <w:semiHidden/>
    <w:rPr>
      <w:rFonts w:ascii="Courier" w:hAnsi="Courier"/>
      <w:b/>
      <w:lang w:val="x-none" w:eastAsia="cs-CZ"/>
    </w:rPr>
  </w:style>
  <w:style w:type="character" w:customStyle="1" w:styleId="PredmetkomentraChar1271">
    <w:name w:val="Predmet komentára Char1271"/>
    <w:aliases w:val="Char6 Char Char1272,Predmet komentára Char Char Char1272,Comment Subject Char Char Char1272"/>
    <w:uiPriority w:val="99"/>
    <w:semiHidden/>
    <w:rPr>
      <w:rFonts w:ascii="Courier" w:hAnsi="Courier"/>
      <w:b/>
      <w:lang w:val="x-none" w:eastAsia="cs-CZ"/>
    </w:rPr>
  </w:style>
  <w:style w:type="character" w:customStyle="1" w:styleId="PredmetkomentraChar1270">
    <w:name w:val="Predmet komentára Char1270"/>
    <w:aliases w:val="Char6 Char Char1271,Predmet komentára Char Char Char1271,Comment Subject Char Char Char1271"/>
    <w:uiPriority w:val="99"/>
    <w:semiHidden/>
    <w:rPr>
      <w:rFonts w:ascii="Courier" w:hAnsi="Courier"/>
      <w:b/>
      <w:lang w:val="x-none" w:eastAsia="cs-CZ"/>
    </w:rPr>
  </w:style>
  <w:style w:type="character" w:customStyle="1" w:styleId="PredmetkomentraChar1269">
    <w:name w:val="Predmet komentára Char1269"/>
    <w:aliases w:val="Char6 Char Char1270,Predmet komentára Char Char Char1270,Comment Subject Char Char Char1270"/>
    <w:uiPriority w:val="99"/>
    <w:semiHidden/>
    <w:rPr>
      <w:rFonts w:ascii="Courier" w:hAnsi="Courier"/>
      <w:b/>
      <w:lang w:val="x-none" w:eastAsia="cs-CZ"/>
    </w:rPr>
  </w:style>
  <w:style w:type="character" w:customStyle="1" w:styleId="PredmetkomentraChar1268">
    <w:name w:val="Predmet komentára Char1268"/>
    <w:aliases w:val="Char6 Char Char1269,Predmet komentára Char Char Char1269,Comment Subject Char Char Char1269"/>
    <w:uiPriority w:val="99"/>
    <w:semiHidden/>
    <w:rPr>
      <w:rFonts w:ascii="Courier" w:hAnsi="Courier"/>
      <w:b/>
      <w:lang w:val="x-none" w:eastAsia="cs-CZ"/>
    </w:rPr>
  </w:style>
  <w:style w:type="character" w:customStyle="1" w:styleId="PredmetkomentraChar1267">
    <w:name w:val="Predmet komentára Char1267"/>
    <w:aliases w:val="Char6 Char Char1268,Predmet komentára Char Char Char1268,Comment Subject Char Char Char1268"/>
    <w:uiPriority w:val="99"/>
    <w:semiHidden/>
    <w:rPr>
      <w:rFonts w:ascii="Courier" w:hAnsi="Courier"/>
      <w:b/>
      <w:lang w:val="x-none" w:eastAsia="cs-CZ"/>
    </w:rPr>
  </w:style>
  <w:style w:type="character" w:customStyle="1" w:styleId="PredmetkomentraChar1266">
    <w:name w:val="Predmet komentára Char1266"/>
    <w:aliases w:val="Char6 Char Char1267,Predmet komentára Char Char Char1267,Comment Subject Char Char Char1267"/>
    <w:uiPriority w:val="99"/>
    <w:semiHidden/>
    <w:rPr>
      <w:rFonts w:ascii="Courier" w:hAnsi="Courier"/>
      <w:b/>
      <w:lang w:val="x-none" w:eastAsia="cs-CZ"/>
    </w:rPr>
  </w:style>
  <w:style w:type="character" w:customStyle="1" w:styleId="PredmetkomentraChar1265">
    <w:name w:val="Predmet komentára Char1265"/>
    <w:aliases w:val="Char6 Char Char1266,Predmet komentára Char Char Char1266,Comment Subject Char Char Char1266"/>
    <w:uiPriority w:val="99"/>
    <w:semiHidden/>
    <w:rPr>
      <w:rFonts w:ascii="Courier" w:hAnsi="Courier"/>
      <w:b/>
      <w:lang w:val="x-none" w:eastAsia="cs-CZ"/>
    </w:rPr>
  </w:style>
  <w:style w:type="character" w:customStyle="1" w:styleId="PredmetkomentraChar1264">
    <w:name w:val="Predmet komentára Char1264"/>
    <w:aliases w:val="Char6 Char Char1265,Predmet komentára Char Char Char1265,Comment Subject Char Char Char1265"/>
    <w:uiPriority w:val="99"/>
    <w:semiHidden/>
    <w:rPr>
      <w:rFonts w:ascii="Courier" w:hAnsi="Courier"/>
      <w:b/>
      <w:lang w:val="x-none" w:eastAsia="cs-CZ"/>
    </w:rPr>
  </w:style>
  <w:style w:type="character" w:customStyle="1" w:styleId="PredmetkomentraChar1263">
    <w:name w:val="Predmet komentára Char1263"/>
    <w:aliases w:val="Char6 Char Char1264,Predmet komentára Char Char Char1264,Comment Subject Char Char Char1264"/>
    <w:uiPriority w:val="99"/>
    <w:semiHidden/>
    <w:rPr>
      <w:rFonts w:ascii="Courier" w:hAnsi="Courier"/>
      <w:b/>
      <w:lang w:val="x-none" w:eastAsia="cs-CZ"/>
    </w:rPr>
  </w:style>
  <w:style w:type="character" w:customStyle="1" w:styleId="PredmetkomentraChar1262">
    <w:name w:val="Predmet komentára Char1262"/>
    <w:aliases w:val="Char6 Char Char1263,Predmet komentára Char Char Char1263,Comment Subject Char Char Char1263"/>
    <w:uiPriority w:val="99"/>
    <w:semiHidden/>
    <w:rPr>
      <w:rFonts w:ascii="Courier" w:hAnsi="Courier"/>
      <w:b/>
      <w:lang w:val="x-none" w:eastAsia="cs-CZ"/>
    </w:rPr>
  </w:style>
  <w:style w:type="character" w:customStyle="1" w:styleId="PredmetkomentraChar1261">
    <w:name w:val="Predmet komentára Char1261"/>
    <w:aliases w:val="Char6 Char Char1262,Predmet komentára Char Char Char1262,Comment Subject Char Char Char1262"/>
    <w:uiPriority w:val="99"/>
    <w:semiHidden/>
    <w:rPr>
      <w:rFonts w:ascii="Courier" w:hAnsi="Courier"/>
      <w:b/>
      <w:lang w:val="x-none" w:eastAsia="cs-CZ"/>
    </w:rPr>
  </w:style>
  <w:style w:type="character" w:customStyle="1" w:styleId="PredmetkomentraChar1260">
    <w:name w:val="Predmet komentára Char1260"/>
    <w:aliases w:val="Char6 Char Char1261,Predmet komentára Char Char Char1261,Comment Subject Char Char Char1261"/>
    <w:uiPriority w:val="99"/>
    <w:semiHidden/>
    <w:rPr>
      <w:rFonts w:ascii="Courier" w:hAnsi="Courier"/>
      <w:b/>
      <w:lang w:val="x-none" w:eastAsia="cs-CZ"/>
    </w:rPr>
  </w:style>
  <w:style w:type="character" w:customStyle="1" w:styleId="PredmetkomentraChar1259">
    <w:name w:val="Predmet komentára Char1259"/>
    <w:aliases w:val="Char6 Char Char1260,Predmet komentára Char Char Char1260,Comment Subject Char Char Char1260"/>
    <w:uiPriority w:val="99"/>
    <w:semiHidden/>
    <w:rPr>
      <w:rFonts w:ascii="Courier" w:hAnsi="Courier"/>
      <w:b/>
      <w:lang w:val="x-none" w:eastAsia="cs-CZ"/>
    </w:rPr>
  </w:style>
  <w:style w:type="character" w:customStyle="1" w:styleId="PredmetkomentraChar1258">
    <w:name w:val="Predmet komentára Char1258"/>
    <w:aliases w:val="Char6 Char Char1259,Predmet komentára Char Char Char1259,Comment Subject Char Char Char1259"/>
    <w:uiPriority w:val="99"/>
    <w:semiHidden/>
    <w:rPr>
      <w:rFonts w:ascii="Courier" w:hAnsi="Courier"/>
      <w:b/>
      <w:lang w:val="x-none" w:eastAsia="cs-CZ"/>
    </w:rPr>
  </w:style>
  <w:style w:type="character" w:customStyle="1" w:styleId="PredmetkomentraChar1257">
    <w:name w:val="Predmet komentára Char1257"/>
    <w:aliases w:val="Char6 Char Char1258,Predmet komentára Char Char Char1258,Comment Subject Char Char Char1258"/>
    <w:uiPriority w:val="99"/>
    <w:semiHidden/>
    <w:rPr>
      <w:rFonts w:ascii="Courier" w:hAnsi="Courier"/>
      <w:b/>
      <w:lang w:val="x-none" w:eastAsia="cs-CZ"/>
    </w:rPr>
  </w:style>
  <w:style w:type="character" w:customStyle="1" w:styleId="PredmetkomentraChar1256">
    <w:name w:val="Predmet komentára Char1256"/>
    <w:aliases w:val="Char6 Char Char1257,Predmet komentára Char Char Char1257,Comment Subject Char Char Char1257"/>
    <w:uiPriority w:val="99"/>
    <w:semiHidden/>
    <w:rPr>
      <w:rFonts w:ascii="Courier" w:hAnsi="Courier"/>
      <w:b/>
      <w:lang w:val="x-none" w:eastAsia="cs-CZ"/>
    </w:rPr>
  </w:style>
  <w:style w:type="character" w:customStyle="1" w:styleId="PredmetkomentraChar1255">
    <w:name w:val="Predmet komentára Char1255"/>
    <w:aliases w:val="Char6 Char Char1256,Predmet komentára Char Char Char1256,Comment Subject Char Char Char1256"/>
    <w:uiPriority w:val="99"/>
    <w:semiHidden/>
    <w:rPr>
      <w:rFonts w:ascii="Courier" w:hAnsi="Courier"/>
      <w:b/>
      <w:lang w:val="x-none" w:eastAsia="cs-CZ"/>
    </w:rPr>
  </w:style>
  <w:style w:type="character" w:customStyle="1" w:styleId="PredmetkomentraChar1254">
    <w:name w:val="Predmet komentára Char1254"/>
    <w:aliases w:val="Char6 Char Char1255,Predmet komentára Char Char Char1255,Comment Subject Char Char Char1255"/>
    <w:uiPriority w:val="99"/>
    <w:semiHidden/>
    <w:rPr>
      <w:rFonts w:ascii="Courier" w:hAnsi="Courier"/>
      <w:b/>
      <w:lang w:val="x-none" w:eastAsia="cs-CZ"/>
    </w:rPr>
  </w:style>
  <w:style w:type="character" w:customStyle="1" w:styleId="PredmetkomentraChar1253">
    <w:name w:val="Predmet komentára Char1253"/>
    <w:aliases w:val="Char6 Char Char1254,Predmet komentára Char Char Char1254,Comment Subject Char Char Char1254"/>
    <w:uiPriority w:val="99"/>
    <w:semiHidden/>
    <w:rPr>
      <w:rFonts w:ascii="Courier" w:hAnsi="Courier"/>
      <w:b/>
      <w:lang w:val="x-none" w:eastAsia="cs-CZ"/>
    </w:rPr>
  </w:style>
  <w:style w:type="character" w:customStyle="1" w:styleId="PredmetkomentraChar1252">
    <w:name w:val="Predmet komentára Char1252"/>
    <w:aliases w:val="Char6 Char Char1253,Predmet komentára Char Char Char1253,Comment Subject Char Char Char1253"/>
    <w:uiPriority w:val="99"/>
    <w:semiHidden/>
    <w:rPr>
      <w:rFonts w:ascii="Courier" w:hAnsi="Courier"/>
      <w:b/>
      <w:lang w:val="x-none" w:eastAsia="cs-CZ"/>
    </w:rPr>
  </w:style>
  <w:style w:type="character" w:customStyle="1" w:styleId="PredmetkomentraChar1251">
    <w:name w:val="Predmet komentára Char1251"/>
    <w:aliases w:val="Char6 Char Char1252,Predmet komentára Char Char Char1252,Comment Subject Char Char Char1252"/>
    <w:uiPriority w:val="99"/>
    <w:semiHidden/>
    <w:rPr>
      <w:rFonts w:ascii="Courier" w:hAnsi="Courier"/>
      <w:b/>
      <w:lang w:val="x-none" w:eastAsia="cs-CZ"/>
    </w:rPr>
  </w:style>
  <w:style w:type="character" w:customStyle="1" w:styleId="PredmetkomentraChar1250">
    <w:name w:val="Predmet komentára Char1250"/>
    <w:aliases w:val="Char6 Char Char1251,Predmet komentára Char Char Char1251,Comment Subject Char Char Char1251"/>
    <w:uiPriority w:val="99"/>
    <w:semiHidden/>
    <w:rPr>
      <w:rFonts w:ascii="Courier" w:hAnsi="Courier"/>
      <w:b/>
      <w:lang w:val="x-none" w:eastAsia="cs-CZ"/>
    </w:rPr>
  </w:style>
  <w:style w:type="character" w:customStyle="1" w:styleId="PredmetkomentraChar1249">
    <w:name w:val="Predmet komentára Char1249"/>
    <w:aliases w:val="Char6 Char Char1250,Predmet komentára Char Char Char1250,Comment Subject Char Char Char1250"/>
    <w:uiPriority w:val="99"/>
    <w:semiHidden/>
    <w:rPr>
      <w:rFonts w:ascii="Courier" w:hAnsi="Courier"/>
      <w:b/>
      <w:lang w:val="x-none" w:eastAsia="cs-CZ"/>
    </w:rPr>
  </w:style>
  <w:style w:type="character" w:customStyle="1" w:styleId="PredmetkomentraChar1248">
    <w:name w:val="Predmet komentára Char1248"/>
    <w:aliases w:val="Char6 Char Char1249,Predmet komentára Char Char Char1249,Comment Subject Char Char Char1249"/>
    <w:uiPriority w:val="99"/>
    <w:semiHidden/>
    <w:rPr>
      <w:rFonts w:ascii="Courier" w:hAnsi="Courier"/>
      <w:b/>
      <w:lang w:val="x-none" w:eastAsia="cs-CZ"/>
    </w:rPr>
  </w:style>
  <w:style w:type="character" w:customStyle="1" w:styleId="PredmetkomentraChar1247">
    <w:name w:val="Predmet komentára Char1247"/>
    <w:aliases w:val="Char6 Char Char1248,Predmet komentára Char Char Char1248,Comment Subject Char Char Char1248"/>
    <w:uiPriority w:val="99"/>
    <w:semiHidden/>
    <w:rPr>
      <w:rFonts w:ascii="Courier" w:hAnsi="Courier"/>
      <w:b/>
      <w:lang w:val="x-none" w:eastAsia="cs-CZ"/>
    </w:rPr>
  </w:style>
  <w:style w:type="character" w:customStyle="1" w:styleId="PredmetkomentraChar1246">
    <w:name w:val="Predmet komentára Char1246"/>
    <w:aliases w:val="Char6 Char Char1247,Predmet komentára Char Char Char1247,Comment Subject Char Char Char1247"/>
    <w:uiPriority w:val="99"/>
    <w:semiHidden/>
    <w:rPr>
      <w:rFonts w:ascii="Courier" w:hAnsi="Courier"/>
      <w:b/>
      <w:lang w:val="x-none" w:eastAsia="cs-CZ"/>
    </w:rPr>
  </w:style>
  <w:style w:type="character" w:customStyle="1" w:styleId="PredmetkomentraChar1245">
    <w:name w:val="Predmet komentára Char1245"/>
    <w:aliases w:val="Char6 Char Char1246,Predmet komentára Char Char Char1246,Comment Subject Char Char Char1246"/>
    <w:uiPriority w:val="99"/>
    <w:semiHidden/>
    <w:rPr>
      <w:rFonts w:ascii="Courier" w:hAnsi="Courier"/>
      <w:b/>
      <w:lang w:val="x-none" w:eastAsia="cs-CZ"/>
    </w:rPr>
  </w:style>
  <w:style w:type="character" w:customStyle="1" w:styleId="PredmetkomentraChar1244">
    <w:name w:val="Predmet komentára Char1244"/>
    <w:aliases w:val="Char6 Char Char1245,Predmet komentára Char Char Char1245,Comment Subject Char Char Char1245"/>
    <w:uiPriority w:val="99"/>
    <w:semiHidden/>
    <w:rPr>
      <w:rFonts w:ascii="Courier" w:hAnsi="Courier"/>
      <w:b/>
      <w:lang w:val="x-none" w:eastAsia="cs-CZ"/>
    </w:rPr>
  </w:style>
  <w:style w:type="character" w:customStyle="1" w:styleId="PredmetkomentraChar1243">
    <w:name w:val="Predmet komentára Char1243"/>
    <w:aliases w:val="Char6 Char Char1244,Predmet komentára Char Char Char1244,Comment Subject Char Char Char1244"/>
    <w:uiPriority w:val="99"/>
    <w:semiHidden/>
    <w:rPr>
      <w:rFonts w:ascii="Courier" w:hAnsi="Courier"/>
      <w:b/>
      <w:lang w:val="x-none" w:eastAsia="cs-CZ"/>
    </w:rPr>
  </w:style>
  <w:style w:type="character" w:customStyle="1" w:styleId="PredmetkomentraChar1242">
    <w:name w:val="Predmet komentára Char1242"/>
    <w:aliases w:val="Char6 Char Char1243,Predmet komentára Char Char Char1243,Comment Subject Char Char Char1243"/>
    <w:uiPriority w:val="99"/>
    <w:semiHidden/>
    <w:rPr>
      <w:rFonts w:ascii="Courier" w:hAnsi="Courier"/>
      <w:b/>
      <w:lang w:val="x-none" w:eastAsia="cs-CZ"/>
    </w:rPr>
  </w:style>
  <w:style w:type="character" w:customStyle="1" w:styleId="PredmetkomentraChar1241">
    <w:name w:val="Predmet komentára Char1241"/>
    <w:aliases w:val="Char6 Char Char1242,Predmet komentára Char Char Char1242,Comment Subject Char Char Char1242"/>
    <w:uiPriority w:val="99"/>
    <w:semiHidden/>
    <w:rPr>
      <w:rFonts w:ascii="Courier" w:hAnsi="Courier"/>
      <w:b/>
      <w:lang w:val="x-none" w:eastAsia="cs-CZ"/>
    </w:rPr>
  </w:style>
  <w:style w:type="character" w:customStyle="1" w:styleId="PredmetkomentraChar1240">
    <w:name w:val="Predmet komentára Char1240"/>
    <w:aliases w:val="Char6 Char Char1241,Predmet komentára Char Char Char1241,Comment Subject Char Char Char1241"/>
    <w:uiPriority w:val="99"/>
    <w:semiHidden/>
    <w:rPr>
      <w:rFonts w:ascii="Courier" w:hAnsi="Courier"/>
      <w:b/>
      <w:lang w:val="x-none" w:eastAsia="cs-CZ"/>
    </w:rPr>
  </w:style>
  <w:style w:type="character" w:customStyle="1" w:styleId="PredmetkomentraChar1239">
    <w:name w:val="Predmet komentára Char1239"/>
    <w:aliases w:val="Char6 Char Char1240,Predmet komentára Char Char Char1240,Comment Subject Char Char Char1240"/>
    <w:uiPriority w:val="99"/>
    <w:semiHidden/>
    <w:rPr>
      <w:rFonts w:ascii="Courier" w:hAnsi="Courier"/>
      <w:b/>
      <w:lang w:val="x-none" w:eastAsia="cs-CZ"/>
    </w:rPr>
  </w:style>
  <w:style w:type="character" w:customStyle="1" w:styleId="PredmetkomentraChar1238">
    <w:name w:val="Predmet komentára Char1238"/>
    <w:aliases w:val="Char6 Char Char1239,Predmet komentára Char Char Char1239,Comment Subject Char Char Char1239"/>
    <w:uiPriority w:val="99"/>
    <w:semiHidden/>
    <w:rPr>
      <w:rFonts w:ascii="Courier" w:hAnsi="Courier"/>
      <w:b/>
      <w:lang w:val="x-none" w:eastAsia="cs-CZ"/>
    </w:rPr>
  </w:style>
  <w:style w:type="character" w:customStyle="1" w:styleId="PredmetkomentraChar1237">
    <w:name w:val="Predmet komentára Char1237"/>
    <w:aliases w:val="Char6 Char Char1238,Predmet komentára Char Char Char1238,Comment Subject Char Char Char1238"/>
    <w:uiPriority w:val="99"/>
    <w:semiHidden/>
    <w:rPr>
      <w:rFonts w:ascii="Courier" w:hAnsi="Courier"/>
      <w:b/>
      <w:lang w:val="x-none" w:eastAsia="cs-CZ"/>
    </w:rPr>
  </w:style>
  <w:style w:type="character" w:customStyle="1" w:styleId="PredmetkomentraChar1236">
    <w:name w:val="Predmet komentára Char1236"/>
    <w:aliases w:val="Char6 Char Char1237,Predmet komentára Char Char Char1237,Comment Subject Char Char Char1237"/>
    <w:uiPriority w:val="99"/>
    <w:semiHidden/>
    <w:rPr>
      <w:rFonts w:ascii="Courier" w:hAnsi="Courier"/>
      <w:b/>
      <w:lang w:val="x-none" w:eastAsia="cs-CZ"/>
    </w:rPr>
  </w:style>
  <w:style w:type="character" w:customStyle="1" w:styleId="PredmetkomentraChar1235">
    <w:name w:val="Predmet komentára Char1235"/>
    <w:aliases w:val="Char6 Char Char1236,Predmet komentára Char Char Char1236,Comment Subject Char Char Char1236"/>
    <w:uiPriority w:val="99"/>
    <w:semiHidden/>
    <w:rPr>
      <w:rFonts w:ascii="Courier" w:hAnsi="Courier"/>
      <w:b/>
      <w:lang w:val="x-none" w:eastAsia="cs-CZ"/>
    </w:rPr>
  </w:style>
  <w:style w:type="character" w:customStyle="1" w:styleId="PredmetkomentraChar1234">
    <w:name w:val="Predmet komentára Char1234"/>
    <w:aliases w:val="Char6 Char Char1235,Predmet komentára Char Char Char1235,Comment Subject Char Char Char1235"/>
    <w:uiPriority w:val="99"/>
    <w:semiHidden/>
    <w:rPr>
      <w:rFonts w:ascii="Courier" w:hAnsi="Courier"/>
      <w:b/>
      <w:lang w:val="x-none" w:eastAsia="cs-CZ"/>
    </w:rPr>
  </w:style>
  <w:style w:type="character" w:customStyle="1" w:styleId="PredmetkomentraChar1233">
    <w:name w:val="Predmet komentára Char1233"/>
    <w:aliases w:val="Char6 Char Char1234,Predmet komentára Char Char Char1234,Comment Subject Char Char Char1234"/>
    <w:uiPriority w:val="99"/>
    <w:semiHidden/>
    <w:rPr>
      <w:rFonts w:ascii="Courier" w:hAnsi="Courier"/>
      <w:b/>
      <w:lang w:val="x-none" w:eastAsia="cs-CZ"/>
    </w:rPr>
  </w:style>
  <w:style w:type="character" w:customStyle="1" w:styleId="PredmetkomentraChar1232">
    <w:name w:val="Predmet komentára Char1232"/>
    <w:aliases w:val="Char6 Char Char1233,Predmet komentára Char Char Char1233,Comment Subject Char Char Char1233"/>
    <w:uiPriority w:val="99"/>
    <w:semiHidden/>
    <w:rPr>
      <w:rFonts w:ascii="Courier" w:hAnsi="Courier"/>
      <w:b/>
      <w:lang w:val="x-none" w:eastAsia="cs-CZ"/>
    </w:rPr>
  </w:style>
  <w:style w:type="character" w:customStyle="1" w:styleId="PredmetkomentraChar1231">
    <w:name w:val="Predmet komentára Char1231"/>
    <w:aliases w:val="Char6 Char Char1232,Predmet komentára Char Char Char1232,Comment Subject Char Char Char1232"/>
    <w:uiPriority w:val="99"/>
    <w:semiHidden/>
    <w:rPr>
      <w:rFonts w:ascii="Courier" w:hAnsi="Courier"/>
      <w:b/>
      <w:lang w:val="x-none" w:eastAsia="cs-CZ"/>
    </w:rPr>
  </w:style>
  <w:style w:type="character" w:customStyle="1" w:styleId="PredmetkomentraChar1230">
    <w:name w:val="Predmet komentára Char1230"/>
    <w:aliases w:val="Char6 Char Char1231,Predmet komentára Char Char Char1231,Comment Subject Char Char Char1231"/>
    <w:uiPriority w:val="99"/>
    <w:semiHidden/>
    <w:rPr>
      <w:rFonts w:ascii="Courier" w:hAnsi="Courier"/>
      <w:b/>
      <w:lang w:val="x-none" w:eastAsia="cs-CZ"/>
    </w:rPr>
  </w:style>
  <w:style w:type="character" w:customStyle="1" w:styleId="PredmetkomentraChar1229">
    <w:name w:val="Predmet komentára Char1229"/>
    <w:aliases w:val="Char6 Char Char1230,Predmet komentára Char Char Char1230,Comment Subject Char Char Char1230"/>
    <w:uiPriority w:val="99"/>
    <w:semiHidden/>
    <w:rPr>
      <w:rFonts w:ascii="Courier" w:hAnsi="Courier"/>
      <w:b/>
      <w:lang w:val="x-none" w:eastAsia="cs-CZ"/>
    </w:rPr>
  </w:style>
  <w:style w:type="character" w:customStyle="1" w:styleId="PredmetkomentraChar1228">
    <w:name w:val="Predmet komentára Char1228"/>
    <w:aliases w:val="Char6 Char Char1229,Predmet komentára Char Char Char1229,Comment Subject Char Char Char1229"/>
    <w:uiPriority w:val="99"/>
    <w:semiHidden/>
    <w:rPr>
      <w:rFonts w:ascii="Courier" w:hAnsi="Courier"/>
      <w:b/>
      <w:lang w:val="x-none" w:eastAsia="cs-CZ"/>
    </w:rPr>
  </w:style>
  <w:style w:type="character" w:customStyle="1" w:styleId="PredmetkomentraChar1227">
    <w:name w:val="Predmet komentára Char1227"/>
    <w:aliases w:val="Char6 Char Char1228,Predmet komentára Char Char Char1228,Comment Subject Char Char Char1228"/>
    <w:uiPriority w:val="99"/>
    <w:semiHidden/>
    <w:rPr>
      <w:rFonts w:ascii="Courier" w:hAnsi="Courier"/>
      <w:b/>
      <w:lang w:val="x-none" w:eastAsia="cs-CZ"/>
    </w:rPr>
  </w:style>
  <w:style w:type="character" w:customStyle="1" w:styleId="PredmetkomentraChar1226">
    <w:name w:val="Predmet komentára Char1226"/>
    <w:aliases w:val="Char6 Char Char1227,Predmet komentára Char Char Char1227,Comment Subject Char Char Char1227"/>
    <w:uiPriority w:val="99"/>
    <w:semiHidden/>
    <w:rPr>
      <w:rFonts w:ascii="Courier" w:hAnsi="Courier"/>
      <w:b/>
      <w:lang w:val="x-none" w:eastAsia="cs-CZ"/>
    </w:rPr>
  </w:style>
  <w:style w:type="character" w:customStyle="1" w:styleId="PredmetkomentraChar1225">
    <w:name w:val="Predmet komentára Char1225"/>
    <w:aliases w:val="Char6 Char Char1226,Predmet komentára Char Char Char1226,Comment Subject Char Char Char1226"/>
    <w:uiPriority w:val="99"/>
    <w:semiHidden/>
    <w:rPr>
      <w:rFonts w:ascii="Courier" w:hAnsi="Courier"/>
      <w:b/>
      <w:lang w:val="x-none" w:eastAsia="cs-CZ"/>
    </w:rPr>
  </w:style>
  <w:style w:type="character" w:customStyle="1" w:styleId="PredmetkomentraChar1224">
    <w:name w:val="Predmet komentára Char1224"/>
    <w:aliases w:val="Char6 Char Char1225,Predmet komentára Char Char Char1225,Comment Subject Char Char Char1225"/>
    <w:uiPriority w:val="99"/>
    <w:semiHidden/>
    <w:rPr>
      <w:rFonts w:ascii="Courier" w:hAnsi="Courier"/>
      <w:b/>
      <w:lang w:val="x-none" w:eastAsia="cs-CZ"/>
    </w:rPr>
  </w:style>
  <w:style w:type="character" w:customStyle="1" w:styleId="PredmetkomentraChar1223">
    <w:name w:val="Predmet komentára Char1223"/>
    <w:aliases w:val="Char6 Char Char1224,Predmet komentára Char Char Char1224,Comment Subject Char Char Char1224"/>
    <w:uiPriority w:val="99"/>
    <w:semiHidden/>
    <w:rPr>
      <w:rFonts w:ascii="Courier" w:hAnsi="Courier"/>
      <w:b/>
      <w:lang w:val="x-none" w:eastAsia="cs-CZ"/>
    </w:rPr>
  </w:style>
  <w:style w:type="character" w:customStyle="1" w:styleId="PredmetkomentraChar1222">
    <w:name w:val="Predmet komentára Char1222"/>
    <w:aliases w:val="Char6 Char Char1223,Predmet komentára Char Char Char1223,Comment Subject Char Char Char1223"/>
    <w:uiPriority w:val="99"/>
    <w:semiHidden/>
    <w:rPr>
      <w:rFonts w:ascii="Courier" w:hAnsi="Courier"/>
      <w:b/>
      <w:lang w:val="x-none" w:eastAsia="cs-CZ"/>
    </w:rPr>
  </w:style>
  <w:style w:type="character" w:customStyle="1" w:styleId="PredmetkomentraChar1221">
    <w:name w:val="Predmet komentára Char1221"/>
    <w:aliases w:val="Char6 Char Char1222,Predmet komentára Char Char Char1222,Comment Subject Char Char Char1222"/>
    <w:uiPriority w:val="99"/>
    <w:semiHidden/>
    <w:rPr>
      <w:rFonts w:ascii="Courier" w:hAnsi="Courier"/>
      <w:b/>
      <w:lang w:val="x-none" w:eastAsia="cs-CZ"/>
    </w:rPr>
  </w:style>
  <w:style w:type="character" w:customStyle="1" w:styleId="PredmetkomentraChar1220">
    <w:name w:val="Predmet komentára Char1220"/>
    <w:aliases w:val="Char6 Char Char1221,Predmet komentára Char Char Char1221,Comment Subject Char Char Char1221"/>
    <w:uiPriority w:val="99"/>
    <w:semiHidden/>
    <w:rPr>
      <w:rFonts w:ascii="Courier" w:hAnsi="Courier"/>
      <w:b/>
      <w:lang w:val="x-none" w:eastAsia="cs-CZ"/>
    </w:rPr>
  </w:style>
  <w:style w:type="character" w:customStyle="1" w:styleId="PredmetkomentraChar1219">
    <w:name w:val="Predmet komentára Char1219"/>
    <w:aliases w:val="Char6 Char Char1220,Predmet komentára Char Char Char1220,Comment Subject Char Char Char1220"/>
    <w:uiPriority w:val="99"/>
    <w:semiHidden/>
    <w:rPr>
      <w:rFonts w:ascii="Courier" w:hAnsi="Courier"/>
      <w:b/>
      <w:lang w:val="x-none" w:eastAsia="cs-CZ"/>
    </w:rPr>
  </w:style>
  <w:style w:type="character" w:customStyle="1" w:styleId="PredmetkomentraChar1218">
    <w:name w:val="Predmet komentára Char1218"/>
    <w:aliases w:val="Char6 Char Char1219,Predmet komentára Char Char Char1219,Comment Subject Char Char Char1219"/>
    <w:uiPriority w:val="99"/>
    <w:semiHidden/>
    <w:rPr>
      <w:rFonts w:ascii="Courier" w:hAnsi="Courier"/>
      <w:b/>
      <w:lang w:val="x-none" w:eastAsia="cs-CZ"/>
    </w:rPr>
  </w:style>
  <w:style w:type="character" w:customStyle="1" w:styleId="PredmetkomentraChar1217">
    <w:name w:val="Predmet komentára Char1217"/>
    <w:aliases w:val="Char6 Char Char1218,Predmet komentára Char Char Char1218,Comment Subject Char Char Char1218"/>
    <w:uiPriority w:val="99"/>
    <w:semiHidden/>
    <w:rPr>
      <w:rFonts w:ascii="Courier" w:hAnsi="Courier"/>
      <w:b/>
      <w:lang w:val="x-none" w:eastAsia="cs-CZ"/>
    </w:rPr>
  </w:style>
  <w:style w:type="character" w:customStyle="1" w:styleId="PredmetkomentraChar1216">
    <w:name w:val="Predmet komentára Char1216"/>
    <w:aliases w:val="Char6 Char Char1217,Predmet komentára Char Char Char1217,Comment Subject Char Char Char1217"/>
    <w:uiPriority w:val="99"/>
    <w:semiHidden/>
    <w:rPr>
      <w:rFonts w:ascii="Courier" w:hAnsi="Courier"/>
      <w:b/>
      <w:lang w:val="x-none" w:eastAsia="cs-CZ"/>
    </w:rPr>
  </w:style>
  <w:style w:type="character" w:customStyle="1" w:styleId="PredmetkomentraChar1215">
    <w:name w:val="Predmet komentára Char1215"/>
    <w:aliases w:val="Char6 Char Char1216,Predmet komentára Char Char Char1216,Comment Subject Char Char Char1216"/>
    <w:uiPriority w:val="99"/>
    <w:semiHidden/>
    <w:rPr>
      <w:rFonts w:ascii="Courier" w:hAnsi="Courier"/>
      <w:b/>
      <w:lang w:val="x-none" w:eastAsia="cs-CZ"/>
    </w:rPr>
  </w:style>
  <w:style w:type="character" w:customStyle="1" w:styleId="PredmetkomentraChar1214">
    <w:name w:val="Predmet komentára Char1214"/>
    <w:aliases w:val="Char6 Char Char1215,Predmet komentára Char Char Char1215,Comment Subject Char Char Char1215"/>
    <w:uiPriority w:val="99"/>
    <w:semiHidden/>
    <w:rPr>
      <w:rFonts w:ascii="Courier" w:hAnsi="Courier"/>
      <w:b/>
      <w:lang w:val="x-none" w:eastAsia="cs-CZ"/>
    </w:rPr>
  </w:style>
  <w:style w:type="character" w:customStyle="1" w:styleId="PredmetkomentraChar1213">
    <w:name w:val="Predmet komentára Char1213"/>
    <w:aliases w:val="Char6 Char Char1214,Predmet komentára Char Char Char1214,Comment Subject Char Char Char1214"/>
    <w:uiPriority w:val="99"/>
    <w:semiHidden/>
    <w:rPr>
      <w:rFonts w:ascii="Courier" w:hAnsi="Courier"/>
      <w:b/>
      <w:lang w:val="x-none" w:eastAsia="cs-CZ"/>
    </w:rPr>
  </w:style>
  <w:style w:type="character" w:customStyle="1" w:styleId="PredmetkomentraChar1212">
    <w:name w:val="Predmet komentára Char1212"/>
    <w:aliases w:val="Char6 Char Char1213,Predmet komentára Char Char Char1213,Comment Subject Char Char Char1213"/>
    <w:uiPriority w:val="99"/>
    <w:semiHidden/>
    <w:rPr>
      <w:rFonts w:ascii="Courier" w:hAnsi="Courier"/>
      <w:b/>
      <w:lang w:val="x-none" w:eastAsia="cs-CZ"/>
    </w:rPr>
  </w:style>
  <w:style w:type="character" w:customStyle="1" w:styleId="PredmetkomentraChar1211">
    <w:name w:val="Predmet komentára Char1211"/>
    <w:aliases w:val="Char6 Char Char1212,Predmet komentára Char Char Char1212,Comment Subject Char Char Char1212"/>
    <w:uiPriority w:val="99"/>
    <w:semiHidden/>
    <w:rPr>
      <w:rFonts w:ascii="Courier" w:hAnsi="Courier"/>
      <w:b/>
      <w:lang w:val="x-none" w:eastAsia="cs-CZ"/>
    </w:rPr>
  </w:style>
  <w:style w:type="character" w:customStyle="1" w:styleId="PredmetkomentraChar1210">
    <w:name w:val="Predmet komentára Char1210"/>
    <w:aliases w:val="Char6 Char Char1211,Predmet komentára Char Char Char1211,Comment Subject Char Char Char1211"/>
    <w:uiPriority w:val="99"/>
    <w:semiHidden/>
    <w:rPr>
      <w:rFonts w:ascii="Courier" w:hAnsi="Courier"/>
      <w:b/>
      <w:lang w:val="x-none" w:eastAsia="cs-CZ"/>
    </w:rPr>
  </w:style>
  <w:style w:type="character" w:customStyle="1" w:styleId="PredmetkomentraChar1209">
    <w:name w:val="Predmet komentára Char1209"/>
    <w:aliases w:val="Char6 Char Char1210,Predmet komentára Char Char Char1210,Comment Subject Char Char Char1210"/>
    <w:uiPriority w:val="99"/>
    <w:semiHidden/>
    <w:rPr>
      <w:rFonts w:ascii="Courier" w:hAnsi="Courier"/>
      <w:b/>
      <w:lang w:val="x-none" w:eastAsia="cs-CZ"/>
    </w:rPr>
  </w:style>
  <w:style w:type="character" w:customStyle="1" w:styleId="PredmetkomentraChar1208">
    <w:name w:val="Predmet komentára Char1208"/>
    <w:aliases w:val="Char6 Char Char1209,Predmet komentára Char Char Char1209,Comment Subject Char Char Char1209"/>
    <w:uiPriority w:val="99"/>
    <w:semiHidden/>
    <w:rPr>
      <w:rFonts w:ascii="Courier" w:hAnsi="Courier"/>
      <w:b/>
      <w:lang w:val="x-none" w:eastAsia="cs-CZ"/>
    </w:rPr>
  </w:style>
  <w:style w:type="character" w:customStyle="1" w:styleId="PredmetkomentraChar1207">
    <w:name w:val="Predmet komentára Char1207"/>
    <w:aliases w:val="Char6 Char Char1208,Predmet komentára Char Char Char1208,Comment Subject Char Char Char1208"/>
    <w:uiPriority w:val="99"/>
    <w:semiHidden/>
    <w:rPr>
      <w:rFonts w:ascii="Courier" w:hAnsi="Courier"/>
      <w:b/>
      <w:lang w:val="x-none" w:eastAsia="cs-CZ"/>
    </w:rPr>
  </w:style>
  <w:style w:type="character" w:customStyle="1" w:styleId="PredmetkomentraChar1206">
    <w:name w:val="Predmet komentára Char1206"/>
    <w:aliases w:val="Char6 Char Char1207,Predmet komentára Char Char Char1207,Comment Subject Char Char Char1207"/>
    <w:uiPriority w:val="99"/>
    <w:semiHidden/>
    <w:rPr>
      <w:rFonts w:ascii="Courier" w:hAnsi="Courier"/>
      <w:b/>
      <w:lang w:val="x-none" w:eastAsia="cs-CZ"/>
    </w:rPr>
  </w:style>
  <w:style w:type="character" w:customStyle="1" w:styleId="PredmetkomentraChar1205">
    <w:name w:val="Predmet komentára Char1205"/>
    <w:aliases w:val="Char6 Char Char1206,Predmet komentára Char Char Char1206,Comment Subject Char Char Char1206"/>
    <w:uiPriority w:val="99"/>
    <w:semiHidden/>
    <w:rPr>
      <w:rFonts w:ascii="Courier" w:hAnsi="Courier"/>
      <w:b/>
      <w:lang w:val="x-none" w:eastAsia="cs-CZ"/>
    </w:rPr>
  </w:style>
  <w:style w:type="character" w:customStyle="1" w:styleId="PredmetkomentraChar1204">
    <w:name w:val="Predmet komentára Char1204"/>
    <w:aliases w:val="Char6 Char Char1205,Predmet komentára Char Char Char1205,Comment Subject Char Char Char1205"/>
    <w:uiPriority w:val="99"/>
    <w:semiHidden/>
    <w:rPr>
      <w:rFonts w:ascii="Courier" w:hAnsi="Courier"/>
      <w:b/>
      <w:lang w:val="x-none" w:eastAsia="cs-CZ"/>
    </w:rPr>
  </w:style>
  <w:style w:type="character" w:customStyle="1" w:styleId="PredmetkomentraChar1203">
    <w:name w:val="Predmet komentára Char1203"/>
    <w:aliases w:val="Char6 Char Char1204,Predmet komentára Char Char Char1204,Comment Subject Char Char Char1204"/>
    <w:uiPriority w:val="99"/>
    <w:semiHidden/>
    <w:rPr>
      <w:rFonts w:ascii="Courier" w:hAnsi="Courier"/>
      <w:b/>
      <w:lang w:val="x-none" w:eastAsia="cs-CZ"/>
    </w:rPr>
  </w:style>
  <w:style w:type="character" w:customStyle="1" w:styleId="PredmetkomentraChar1202">
    <w:name w:val="Predmet komentára Char1202"/>
    <w:aliases w:val="Char6 Char Char1203,Predmet komentára Char Char Char1203,Comment Subject Char Char Char1203"/>
    <w:uiPriority w:val="99"/>
    <w:semiHidden/>
    <w:rPr>
      <w:rFonts w:ascii="Courier" w:hAnsi="Courier"/>
      <w:b/>
      <w:lang w:val="x-none" w:eastAsia="cs-CZ"/>
    </w:rPr>
  </w:style>
  <w:style w:type="character" w:customStyle="1" w:styleId="PredmetkomentraChar1201">
    <w:name w:val="Predmet komentára Char1201"/>
    <w:aliases w:val="Char6 Char Char1202,Predmet komentára Char Char Char1202,Comment Subject Char Char Char1202"/>
    <w:uiPriority w:val="99"/>
    <w:semiHidden/>
    <w:rPr>
      <w:rFonts w:ascii="Courier" w:hAnsi="Courier"/>
      <w:b/>
      <w:lang w:val="x-none" w:eastAsia="cs-CZ"/>
    </w:rPr>
  </w:style>
  <w:style w:type="character" w:customStyle="1" w:styleId="PredmetkomentraChar1200">
    <w:name w:val="Predmet komentára Char1200"/>
    <w:aliases w:val="Char6 Char Char1201,Predmet komentára Char Char Char1201,Comment Subject Char Char Char1201"/>
    <w:uiPriority w:val="99"/>
    <w:semiHidden/>
    <w:rPr>
      <w:rFonts w:ascii="Courier" w:hAnsi="Courier"/>
      <w:b/>
      <w:lang w:val="x-none" w:eastAsia="cs-CZ"/>
    </w:rPr>
  </w:style>
  <w:style w:type="character" w:customStyle="1" w:styleId="PredmetkomentraChar1199">
    <w:name w:val="Predmet komentára Char1199"/>
    <w:aliases w:val="Char6 Char Char1200,Predmet komentára Char Char Char1200,Comment Subject Char Char Char1200"/>
    <w:uiPriority w:val="99"/>
    <w:semiHidden/>
    <w:rPr>
      <w:rFonts w:ascii="Courier" w:hAnsi="Courier"/>
      <w:b/>
      <w:lang w:val="x-none" w:eastAsia="cs-CZ"/>
    </w:rPr>
  </w:style>
  <w:style w:type="character" w:customStyle="1" w:styleId="PredmetkomentraChar1198">
    <w:name w:val="Predmet komentára Char1198"/>
    <w:aliases w:val="Char6 Char Char1199,Predmet komentára Char Char Char1199,Comment Subject Char Char Char1199"/>
    <w:uiPriority w:val="99"/>
    <w:semiHidden/>
    <w:rPr>
      <w:rFonts w:ascii="Courier" w:hAnsi="Courier"/>
      <w:b/>
      <w:lang w:val="x-none" w:eastAsia="cs-CZ"/>
    </w:rPr>
  </w:style>
  <w:style w:type="character" w:customStyle="1" w:styleId="PredmetkomentraChar1197">
    <w:name w:val="Predmet komentára Char1197"/>
    <w:aliases w:val="Char6 Char Char1198,Predmet komentára Char Char Char1198,Comment Subject Char Char Char1198"/>
    <w:uiPriority w:val="99"/>
    <w:semiHidden/>
    <w:rPr>
      <w:rFonts w:ascii="Courier" w:hAnsi="Courier"/>
      <w:b/>
      <w:lang w:val="x-none" w:eastAsia="cs-CZ"/>
    </w:rPr>
  </w:style>
  <w:style w:type="character" w:customStyle="1" w:styleId="PredmetkomentraChar1196">
    <w:name w:val="Predmet komentára Char1196"/>
    <w:aliases w:val="Char6 Char Char1197,Predmet komentára Char Char Char1197,Comment Subject Char Char Char1197"/>
    <w:uiPriority w:val="99"/>
    <w:semiHidden/>
    <w:rPr>
      <w:rFonts w:ascii="Courier" w:hAnsi="Courier"/>
      <w:b/>
      <w:lang w:val="x-none" w:eastAsia="cs-CZ"/>
    </w:rPr>
  </w:style>
  <w:style w:type="character" w:customStyle="1" w:styleId="PredmetkomentraChar1195">
    <w:name w:val="Predmet komentára Char1195"/>
    <w:aliases w:val="Char6 Char Char1196,Predmet komentára Char Char Char1196,Comment Subject Char Char Char1196"/>
    <w:uiPriority w:val="99"/>
    <w:semiHidden/>
    <w:rPr>
      <w:rFonts w:ascii="Courier" w:hAnsi="Courier"/>
      <w:b/>
      <w:lang w:val="x-none" w:eastAsia="cs-CZ"/>
    </w:rPr>
  </w:style>
  <w:style w:type="character" w:customStyle="1" w:styleId="PredmetkomentraChar1194">
    <w:name w:val="Predmet komentára Char1194"/>
    <w:aliases w:val="Char6 Char Char1195,Predmet komentára Char Char Char1195,Comment Subject Char Char Char1195"/>
    <w:uiPriority w:val="99"/>
    <w:semiHidden/>
    <w:rPr>
      <w:rFonts w:ascii="Courier" w:hAnsi="Courier"/>
      <w:b/>
      <w:lang w:val="x-none" w:eastAsia="cs-CZ"/>
    </w:rPr>
  </w:style>
  <w:style w:type="character" w:customStyle="1" w:styleId="PredmetkomentraChar1193">
    <w:name w:val="Predmet komentára Char1193"/>
    <w:aliases w:val="Char6 Char Char1194,Predmet komentára Char Char Char1194,Comment Subject Char Char Char1194"/>
    <w:uiPriority w:val="99"/>
    <w:semiHidden/>
    <w:rPr>
      <w:rFonts w:ascii="Courier" w:hAnsi="Courier"/>
      <w:b/>
      <w:lang w:val="x-none" w:eastAsia="cs-CZ"/>
    </w:rPr>
  </w:style>
  <w:style w:type="character" w:customStyle="1" w:styleId="PredmetkomentraChar1192">
    <w:name w:val="Predmet komentára Char1192"/>
    <w:aliases w:val="Char6 Char Char1193,Predmet komentára Char Char Char1193,Comment Subject Char Char Char1193"/>
    <w:uiPriority w:val="99"/>
    <w:semiHidden/>
    <w:rPr>
      <w:rFonts w:ascii="Courier" w:hAnsi="Courier"/>
      <w:b/>
      <w:lang w:val="x-none" w:eastAsia="cs-CZ"/>
    </w:rPr>
  </w:style>
  <w:style w:type="character" w:customStyle="1" w:styleId="PredmetkomentraChar1191">
    <w:name w:val="Predmet komentára Char1191"/>
    <w:aliases w:val="Char6 Char Char1192,Predmet komentára Char Char Char1192,Comment Subject Char Char Char1192"/>
    <w:uiPriority w:val="99"/>
    <w:semiHidden/>
    <w:rPr>
      <w:rFonts w:ascii="Courier" w:hAnsi="Courier"/>
      <w:b/>
      <w:lang w:val="x-none" w:eastAsia="cs-CZ"/>
    </w:rPr>
  </w:style>
  <w:style w:type="character" w:customStyle="1" w:styleId="PredmetkomentraChar1190">
    <w:name w:val="Predmet komentára Char1190"/>
    <w:aliases w:val="Char6 Char Char1191,Predmet komentára Char Char Char1191,Comment Subject Char Char Char1191"/>
    <w:uiPriority w:val="99"/>
    <w:semiHidden/>
    <w:rPr>
      <w:rFonts w:ascii="Courier" w:hAnsi="Courier"/>
      <w:b/>
      <w:lang w:val="x-none" w:eastAsia="cs-CZ"/>
    </w:rPr>
  </w:style>
  <w:style w:type="character" w:customStyle="1" w:styleId="PredmetkomentraChar1189">
    <w:name w:val="Predmet komentára Char1189"/>
    <w:aliases w:val="Char6 Char Char1190,Predmet komentára Char Char Char1190,Comment Subject Char Char Char1190"/>
    <w:uiPriority w:val="99"/>
    <w:semiHidden/>
    <w:rPr>
      <w:rFonts w:ascii="Courier" w:hAnsi="Courier"/>
      <w:b/>
      <w:lang w:val="x-none" w:eastAsia="cs-CZ"/>
    </w:rPr>
  </w:style>
  <w:style w:type="character" w:customStyle="1" w:styleId="PredmetkomentraChar1188">
    <w:name w:val="Predmet komentára Char1188"/>
    <w:aliases w:val="Char6 Char Char1189,Predmet komentára Char Char Char1189,Comment Subject Char Char Char1189"/>
    <w:uiPriority w:val="99"/>
    <w:semiHidden/>
    <w:rPr>
      <w:rFonts w:ascii="Courier" w:hAnsi="Courier"/>
      <w:b/>
      <w:lang w:val="x-none" w:eastAsia="cs-CZ"/>
    </w:rPr>
  </w:style>
  <w:style w:type="character" w:customStyle="1" w:styleId="PredmetkomentraChar1187">
    <w:name w:val="Predmet komentára Char1187"/>
    <w:aliases w:val="Char6 Char Char1188,Predmet komentára Char Char Char1188,Comment Subject Char Char Char1188"/>
    <w:uiPriority w:val="99"/>
    <w:semiHidden/>
    <w:rPr>
      <w:rFonts w:ascii="Courier" w:hAnsi="Courier"/>
      <w:b/>
      <w:lang w:val="x-none" w:eastAsia="cs-CZ"/>
    </w:rPr>
  </w:style>
  <w:style w:type="character" w:customStyle="1" w:styleId="PredmetkomentraChar1186">
    <w:name w:val="Predmet komentára Char1186"/>
    <w:aliases w:val="Char6 Char Char1187,Predmet komentára Char Char Char1187,Comment Subject Char Char Char1187"/>
    <w:uiPriority w:val="99"/>
    <w:semiHidden/>
    <w:rPr>
      <w:rFonts w:ascii="Courier" w:hAnsi="Courier"/>
      <w:b/>
      <w:lang w:val="x-none" w:eastAsia="cs-CZ"/>
    </w:rPr>
  </w:style>
  <w:style w:type="character" w:customStyle="1" w:styleId="PredmetkomentraChar1185">
    <w:name w:val="Predmet komentára Char1185"/>
    <w:aliases w:val="Char6 Char Char1186,Predmet komentára Char Char Char1186,Comment Subject Char Char Char1186"/>
    <w:uiPriority w:val="99"/>
    <w:semiHidden/>
    <w:rPr>
      <w:rFonts w:ascii="Courier" w:hAnsi="Courier"/>
      <w:b/>
      <w:lang w:val="x-none" w:eastAsia="cs-CZ"/>
    </w:rPr>
  </w:style>
  <w:style w:type="character" w:customStyle="1" w:styleId="PredmetkomentraChar1184">
    <w:name w:val="Predmet komentára Char1184"/>
    <w:aliases w:val="Char6 Char Char1185,Predmet komentára Char Char Char1185,Comment Subject Char Char Char1185"/>
    <w:uiPriority w:val="99"/>
    <w:semiHidden/>
    <w:rPr>
      <w:rFonts w:ascii="Courier" w:hAnsi="Courier"/>
      <w:b/>
      <w:lang w:val="x-none" w:eastAsia="cs-CZ"/>
    </w:rPr>
  </w:style>
  <w:style w:type="character" w:customStyle="1" w:styleId="PredmetkomentraChar1183">
    <w:name w:val="Predmet komentára Char1183"/>
    <w:aliases w:val="Char6 Char Char1184,Predmet komentára Char Char Char1184,Comment Subject Char Char Char1184"/>
    <w:uiPriority w:val="99"/>
    <w:semiHidden/>
    <w:rPr>
      <w:rFonts w:ascii="Courier" w:hAnsi="Courier"/>
      <w:b/>
      <w:lang w:val="x-none" w:eastAsia="cs-CZ"/>
    </w:rPr>
  </w:style>
  <w:style w:type="character" w:customStyle="1" w:styleId="PredmetkomentraChar1182">
    <w:name w:val="Predmet komentára Char1182"/>
    <w:aliases w:val="Char6 Char Char1183,Predmet komentára Char Char Char1183,Comment Subject Char Char Char1183"/>
    <w:uiPriority w:val="99"/>
    <w:semiHidden/>
    <w:rPr>
      <w:rFonts w:ascii="Courier" w:hAnsi="Courier"/>
      <w:b/>
      <w:lang w:val="x-none" w:eastAsia="cs-CZ"/>
    </w:rPr>
  </w:style>
  <w:style w:type="character" w:customStyle="1" w:styleId="PredmetkomentraChar1181">
    <w:name w:val="Predmet komentára Char1181"/>
    <w:aliases w:val="Char6 Char Char1182,Predmet komentára Char Char Char1182,Comment Subject Char Char Char1182"/>
    <w:uiPriority w:val="99"/>
    <w:semiHidden/>
    <w:rPr>
      <w:rFonts w:ascii="Courier" w:hAnsi="Courier"/>
      <w:b/>
      <w:lang w:val="x-none" w:eastAsia="cs-CZ"/>
    </w:rPr>
  </w:style>
  <w:style w:type="character" w:customStyle="1" w:styleId="PredmetkomentraChar1180">
    <w:name w:val="Predmet komentára Char1180"/>
    <w:aliases w:val="Char6 Char Char1181,Predmet komentára Char Char Char1181,Comment Subject Char Char Char1181"/>
    <w:uiPriority w:val="99"/>
    <w:semiHidden/>
    <w:rPr>
      <w:rFonts w:ascii="Courier" w:hAnsi="Courier"/>
      <w:b/>
      <w:lang w:val="x-none" w:eastAsia="cs-CZ"/>
    </w:rPr>
  </w:style>
  <w:style w:type="character" w:customStyle="1" w:styleId="PredmetkomentraChar1179">
    <w:name w:val="Predmet komentára Char1179"/>
    <w:aliases w:val="Char6 Char Char1180,Predmet komentára Char Char Char1180,Comment Subject Char Char Char1180"/>
    <w:uiPriority w:val="99"/>
    <w:semiHidden/>
    <w:rPr>
      <w:rFonts w:ascii="Courier" w:hAnsi="Courier"/>
      <w:b/>
      <w:lang w:val="x-none" w:eastAsia="cs-CZ"/>
    </w:rPr>
  </w:style>
  <w:style w:type="character" w:customStyle="1" w:styleId="PredmetkomentraChar1178">
    <w:name w:val="Predmet komentára Char1178"/>
    <w:aliases w:val="Char6 Char Char1179,Predmet komentára Char Char Char1179,Comment Subject Char Char Char1179"/>
    <w:uiPriority w:val="99"/>
    <w:semiHidden/>
    <w:rPr>
      <w:rFonts w:ascii="Courier" w:hAnsi="Courier"/>
      <w:b/>
      <w:lang w:val="x-none" w:eastAsia="cs-CZ"/>
    </w:rPr>
  </w:style>
  <w:style w:type="character" w:customStyle="1" w:styleId="PredmetkomentraChar1177">
    <w:name w:val="Predmet komentára Char1177"/>
    <w:aliases w:val="Char6 Char Char1178,Predmet komentára Char Char Char1178,Comment Subject Char Char Char1178"/>
    <w:uiPriority w:val="99"/>
    <w:semiHidden/>
    <w:rPr>
      <w:rFonts w:ascii="Courier" w:hAnsi="Courier"/>
      <w:b/>
      <w:lang w:val="x-none" w:eastAsia="cs-CZ"/>
    </w:rPr>
  </w:style>
  <w:style w:type="character" w:customStyle="1" w:styleId="PredmetkomentraChar1176">
    <w:name w:val="Predmet komentára Char1176"/>
    <w:aliases w:val="Char6 Char Char1177,Predmet komentára Char Char Char1177,Comment Subject Char Char Char1177"/>
    <w:uiPriority w:val="99"/>
    <w:semiHidden/>
    <w:rPr>
      <w:rFonts w:ascii="Courier" w:hAnsi="Courier"/>
      <w:b/>
      <w:lang w:val="x-none" w:eastAsia="cs-CZ"/>
    </w:rPr>
  </w:style>
  <w:style w:type="character" w:customStyle="1" w:styleId="PredmetkomentraChar1175">
    <w:name w:val="Predmet komentára Char1175"/>
    <w:aliases w:val="Char6 Char Char1176,Predmet komentára Char Char Char1176,Comment Subject Char Char Char1176"/>
    <w:uiPriority w:val="99"/>
    <w:semiHidden/>
    <w:rPr>
      <w:rFonts w:ascii="Courier" w:hAnsi="Courier"/>
      <w:b/>
      <w:lang w:val="x-none" w:eastAsia="cs-CZ"/>
    </w:rPr>
  </w:style>
  <w:style w:type="character" w:customStyle="1" w:styleId="PredmetkomentraChar1174">
    <w:name w:val="Predmet komentára Char1174"/>
    <w:aliases w:val="Char6 Char Char1175,Predmet komentára Char Char Char1175,Comment Subject Char Char Char1175"/>
    <w:uiPriority w:val="99"/>
    <w:semiHidden/>
    <w:rPr>
      <w:rFonts w:ascii="Courier" w:hAnsi="Courier"/>
      <w:b/>
      <w:lang w:val="x-none" w:eastAsia="cs-CZ"/>
    </w:rPr>
  </w:style>
  <w:style w:type="character" w:customStyle="1" w:styleId="PredmetkomentraChar1173">
    <w:name w:val="Predmet komentára Char1173"/>
    <w:aliases w:val="Char6 Char Char1174,Predmet komentára Char Char Char1174,Comment Subject Char Char Char1174"/>
    <w:uiPriority w:val="99"/>
    <w:semiHidden/>
    <w:rPr>
      <w:rFonts w:ascii="Courier" w:hAnsi="Courier"/>
      <w:b/>
      <w:lang w:val="x-none" w:eastAsia="cs-CZ"/>
    </w:rPr>
  </w:style>
  <w:style w:type="character" w:customStyle="1" w:styleId="PredmetkomentraChar1172">
    <w:name w:val="Predmet komentára Char1172"/>
    <w:aliases w:val="Char6 Char Char1173,Predmet komentára Char Char Char1173,Comment Subject Char Char Char1173"/>
    <w:uiPriority w:val="99"/>
    <w:semiHidden/>
    <w:rPr>
      <w:rFonts w:ascii="Courier" w:hAnsi="Courier"/>
      <w:b/>
      <w:lang w:val="x-none" w:eastAsia="cs-CZ"/>
    </w:rPr>
  </w:style>
  <w:style w:type="character" w:customStyle="1" w:styleId="PredmetkomentraChar1171">
    <w:name w:val="Predmet komentára Char1171"/>
    <w:aliases w:val="Char6 Char Char1172,Predmet komentára Char Char Char1172,Comment Subject Char Char Char1172"/>
    <w:uiPriority w:val="99"/>
    <w:semiHidden/>
    <w:rPr>
      <w:rFonts w:ascii="Courier" w:hAnsi="Courier"/>
      <w:b/>
      <w:lang w:val="x-none" w:eastAsia="cs-CZ"/>
    </w:rPr>
  </w:style>
  <w:style w:type="character" w:customStyle="1" w:styleId="PredmetkomentraChar1165">
    <w:name w:val="Predmet komentára Char1165"/>
    <w:aliases w:val="Char6 Char Char1166,Predmet komentára Char Char Char1166,Comment Subject Char Char Char1166"/>
    <w:uiPriority w:val="99"/>
    <w:semiHidden/>
    <w:rPr>
      <w:rFonts w:ascii="Courier" w:hAnsi="Courier"/>
      <w:b/>
      <w:lang w:val="x-none" w:eastAsia="cs-CZ"/>
    </w:rPr>
  </w:style>
  <w:style w:type="character" w:customStyle="1" w:styleId="PredmetkomentraChar1164">
    <w:name w:val="Predmet komentára Char1164"/>
    <w:aliases w:val="Char6 Char Char1165,Predmet komentára Char Char Char1165,Comment Subject Char Char Char1165"/>
    <w:uiPriority w:val="99"/>
    <w:semiHidden/>
    <w:rPr>
      <w:rFonts w:ascii="Courier" w:hAnsi="Courier"/>
      <w:b/>
      <w:lang w:val="x-none" w:eastAsia="cs-CZ"/>
    </w:rPr>
  </w:style>
  <w:style w:type="character" w:customStyle="1" w:styleId="PredmetkomentraChar1163">
    <w:name w:val="Predmet komentára Char1163"/>
    <w:aliases w:val="Char6 Char Char1164,Predmet komentára Char Char Char1164,Comment Subject Char Char Char1164"/>
    <w:uiPriority w:val="99"/>
    <w:semiHidden/>
    <w:rPr>
      <w:rFonts w:ascii="Courier" w:hAnsi="Courier"/>
      <w:b/>
      <w:lang w:val="x-none" w:eastAsia="cs-CZ"/>
    </w:rPr>
  </w:style>
  <w:style w:type="character" w:customStyle="1" w:styleId="PredmetkomentraChar1162">
    <w:name w:val="Predmet komentára Char1162"/>
    <w:aliases w:val="Char6 Char Char1163,Predmet komentára Char Char Char1163,Comment Subject Char Char Char1163"/>
    <w:uiPriority w:val="99"/>
    <w:semiHidden/>
    <w:rPr>
      <w:rFonts w:ascii="Courier" w:hAnsi="Courier"/>
      <w:b/>
      <w:lang w:val="x-none" w:eastAsia="cs-CZ"/>
    </w:rPr>
  </w:style>
  <w:style w:type="character" w:customStyle="1" w:styleId="PredmetkomentraChar1161">
    <w:name w:val="Predmet komentára Char1161"/>
    <w:aliases w:val="Char6 Char Char1162,Predmet komentára Char Char Char1162,Comment Subject Char Char Char1162"/>
    <w:uiPriority w:val="99"/>
    <w:semiHidden/>
    <w:rPr>
      <w:rFonts w:ascii="Courier" w:hAnsi="Courier"/>
      <w:b/>
      <w:lang w:val="x-none" w:eastAsia="cs-CZ"/>
    </w:rPr>
  </w:style>
  <w:style w:type="character" w:customStyle="1" w:styleId="PredmetkomentraChar1160">
    <w:name w:val="Predmet komentára Char1160"/>
    <w:aliases w:val="Char6 Char Char1161,Predmet komentára Char Char Char1161,Comment Subject Char Char Char1161"/>
    <w:uiPriority w:val="99"/>
    <w:semiHidden/>
    <w:rPr>
      <w:rFonts w:ascii="Courier" w:hAnsi="Courier"/>
      <w:b/>
      <w:lang w:val="x-none" w:eastAsia="cs-CZ"/>
    </w:rPr>
  </w:style>
  <w:style w:type="character" w:customStyle="1" w:styleId="PredmetkomentraChar1159">
    <w:name w:val="Predmet komentára Char1159"/>
    <w:aliases w:val="Char6 Char Char1160,Predmet komentára Char Char Char1160,Comment Subject Char Char Char1160"/>
    <w:uiPriority w:val="99"/>
    <w:semiHidden/>
    <w:rPr>
      <w:rFonts w:ascii="Courier" w:hAnsi="Courier"/>
      <w:b/>
      <w:lang w:val="x-none" w:eastAsia="cs-CZ"/>
    </w:rPr>
  </w:style>
  <w:style w:type="character" w:customStyle="1" w:styleId="PredmetkomentraChar1158">
    <w:name w:val="Predmet komentára Char1158"/>
    <w:aliases w:val="Char6 Char Char1159,Predmet komentára Char Char Char1159,Comment Subject Char Char Char1159"/>
    <w:uiPriority w:val="99"/>
    <w:semiHidden/>
    <w:rPr>
      <w:rFonts w:ascii="Courier" w:hAnsi="Courier"/>
      <w:b/>
      <w:lang w:val="x-none" w:eastAsia="cs-CZ"/>
    </w:rPr>
  </w:style>
  <w:style w:type="character" w:customStyle="1" w:styleId="PredmetkomentraChar1157">
    <w:name w:val="Predmet komentára Char1157"/>
    <w:aliases w:val="Char6 Char Char1158,Predmet komentára Char Char Char1158,Comment Subject Char Char Char1158"/>
    <w:uiPriority w:val="99"/>
    <w:semiHidden/>
    <w:rPr>
      <w:rFonts w:ascii="Courier" w:hAnsi="Courier"/>
      <w:b/>
      <w:lang w:val="x-none" w:eastAsia="cs-CZ"/>
    </w:rPr>
  </w:style>
  <w:style w:type="character" w:customStyle="1" w:styleId="PredmetkomentraChar1156">
    <w:name w:val="Predmet komentára Char1156"/>
    <w:aliases w:val="Char6 Char Char1157,Predmet komentára Char Char Char1157,Comment Subject Char Char Char1157"/>
    <w:uiPriority w:val="99"/>
    <w:semiHidden/>
    <w:rPr>
      <w:rFonts w:ascii="Courier" w:hAnsi="Courier"/>
      <w:b/>
      <w:lang w:val="x-none" w:eastAsia="cs-CZ"/>
    </w:rPr>
  </w:style>
  <w:style w:type="character" w:customStyle="1" w:styleId="PredmetkomentraChar1155">
    <w:name w:val="Predmet komentára Char1155"/>
    <w:aliases w:val="Char6 Char Char1156,Predmet komentára Char Char Char1156,Comment Subject Char Char Char1156"/>
    <w:uiPriority w:val="99"/>
    <w:semiHidden/>
    <w:rPr>
      <w:rFonts w:ascii="Courier" w:hAnsi="Courier"/>
      <w:b/>
      <w:lang w:val="x-none" w:eastAsia="cs-CZ"/>
    </w:rPr>
  </w:style>
  <w:style w:type="character" w:customStyle="1" w:styleId="PredmetkomentraChar1154">
    <w:name w:val="Predmet komentára Char1154"/>
    <w:aliases w:val="Char6 Char Char1155,Predmet komentára Char Char Char1155,Comment Subject Char Char Char1155"/>
    <w:uiPriority w:val="99"/>
    <w:semiHidden/>
    <w:rPr>
      <w:rFonts w:ascii="Courier" w:hAnsi="Courier"/>
      <w:b/>
      <w:lang w:val="x-none" w:eastAsia="cs-CZ"/>
    </w:rPr>
  </w:style>
  <w:style w:type="character" w:customStyle="1" w:styleId="PredmetkomentraChar1153">
    <w:name w:val="Predmet komentára Char1153"/>
    <w:aliases w:val="Char6 Char Char1154,Predmet komentára Char Char Char1154,Comment Subject Char Char Char1154"/>
    <w:uiPriority w:val="99"/>
    <w:semiHidden/>
    <w:rPr>
      <w:rFonts w:ascii="Courier" w:hAnsi="Courier"/>
      <w:b/>
      <w:lang w:val="x-none" w:eastAsia="cs-CZ"/>
    </w:rPr>
  </w:style>
  <w:style w:type="character" w:customStyle="1" w:styleId="PredmetkomentraChar1152">
    <w:name w:val="Predmet komentára Char1152"/>
    <w:aliases w:val="Char6 Char Char1153,Predmet komentára Char Char Char1153,Comment Subject Char Char Char1153"/>
    <w:uiPriority w:val="99"/>
    <w:semiHidden/>
    <w:rPr>
      <w:rFonts w:ascii="Courier" w:hAnsi="Courier"/>
      <w:b/>
      <w:lang w:val="x-none" w:eastAsia="cs-CZ"/>
    </w:rPr>
  </w:style>
  <w:style w:type="character" w:customStyle="1" w:styleId="PredmetkomentraChar1151">
    <w:name w:val="Predmet komentára Char1151"/>
    <w:aliases w:val="Char6 Char Char1152,Predmet komentára Char Char Char1152,Comment Subject Char Char Char1152"/>
    <w:uiPriority w:val="99"/>
    <w:semiHidden/>
    <w:rPr>
      <w:rFonts w:ascii="Courier" w:hAnsi="Courier"/>
      <w:b/>
      <w:lang w:val="x-none" w:eastAsia="cs-CZ"/>
    </w:rPr>
  </w:style>
  <w:style w:type="character" w:customStyle="1" w:styleId="PredmetkomentraChar1150">
    <w:name w:val="Predmet komentára Char1150"/>
    <w:aliases w:val="Char6 Char Char1151,Predmet komentára Char Char Char1151,Comment Subject Char Char Char1151"/>
    <w:uiPriority w:val="99"/>
    <w:semiHidden/>
    <w:rPr>
      <w:rFonts w:ascii="Courier" w:hAnsi="Courier"/>
      <w:b/>
      <w:lang w:val="x-none" w:eastAsia="cs-CZ"/>
    </w:rPr>
  </w:style>
  <w:style w:type="character" w:customStyle="1" w:styleId="PredmetkomentraChar1149">
    <w:name w:val="Predmet komentára Char1149"/>
    <w:aliases w:val="Char6 Char Char1150,Predmet komentára Char Char Char1150,Comment Subject Char Char Char1150"/>
    <w:uiPriority w:val="99"/>
    <w:semiHidden/>
    <w:rPr>
      <w:rFonts w:ascii="Courier" w:hAnsi="Courier"/>
      <w:b/>
      <w:lang w:val="x-none" w:eastAsia="cs-CZ"/>
    </w:rPr>
  </w:style>
  <w:style w:type="character" w:customStyle="1" w:styleId="PredmetkomentraChar1148">
    <w:name w:val="Predmet komentára Char1148"/>
    <w:aliases w:val="Char6 Char Char1149,Predmet komentára Char Char Char1149,Comment Subject Char Char Char1149"/>
    <w:uiPriority w:val="99"/>
    <w:semiHidden/>
    <w:rPr>
      <w:rFonts w:ascii="Courier" w:hAnsi="Courier"/>
      <w:b/>
      <w:lang w:val="x-none" w:eastAsia="cs-CZ"/>
    </w:rPr>
  </w:style>
  <w:style w:type="character" w:customStyle="1" w:styleId="PredmetkomentraChar1147">
    <w:name w:val="Predmet komentára Char1147"/>
    <w:aliases w:val="Char6 Char Char1148,Predmet komentára Char Char Char1148,Comment Subject Char Char Char1148"/>
    <w:uiPriority w:val="99"/>
    <w:semiHidden/>
    <w:rPr>
      <w:rFonts w:ascii="Courier" w:hAnsi="Courier"/>
      <w:b/>
      <w:lang w:val="x-none" w:eastAsia="cs-CZ"/>
    </w:rPr>
  </w:style>
  <w:style w:type="character" w:customStyle="1" w:styleId="PredmetkomentraChar1146">
    <w:name w:val="Predmet komentára Char1146"/>
    <w:aliases w:val="Char6 Char Char1147,Predmet komentára Char Char Char1147,Comment Subject Char Char Char1147"/>
    <w:uiPriority w:val="99"/>
    <w:semiHidden/>
    <w:rPr>
      <w:rFonts w:ascii="Courier" w:hAnsi="Courier"/>
      <w:b/>
      <w:lang w:val="x-none" w:eastAsia="cs-CZ"/>
    </w:rPr>
  </w:style>
  <w:style w:type="character" w:customStyle="1" w:styleId="PredmetkomentraChar1145">
    <w:name w:val="Predmet komentára Char1145"/>
    <w:aliases w:val="Char6 Char Char1146,Predmet komentára Char Char Char1146,Comment Subject Char Char Char1146"/>
    <w:uiPriority w:val="99"/>
    <w:semiHidden/>
    <w:rPr>
      <w:rFonts w:ascii="Courier" w:hAnsi="Courier"/>
      <w:b/>
      <w:lang w:val="x-none" w:eastAsia="cs-CZ"/>
    </w:rPr>
  </w:style>
  <w:style w:type="character" w:customStyle="1" w:styleId="PredmetkomentraChar1144">
    <w:name w:val="Predmet komentára Char1144"/>
    <w:aliases w:val="Char6 Char Char1145,Predmet komentára Char Char Char1145,Comment Subject Char Char Char1145"/>
    <w:uiPriority w:val="99"/>
    <w:semiHidden/>
    <w:rPr>
      <w:rFonts w:ascii="Courier" w:hAnsi="Courier"/>
      <w:b/>
      <w:lang w:val="x-none" w:eastAsia="cs-CZ"/>
    </w:rPr>
  </w:style>
  <w:style w:type="character" w:customStyle="1" w:styleId="PredmetkomentraChar1143">
    <w:name w:val="Predmet komentára Char1143"/>
    <w:aliases w:val="Char6 Char Char1144,Predmet komentára Char Char Char1144,Comment Subject Char Char Char1144"/>
    <w:uiPriority w:val="99"/>
    <w:semiHidden/>
    <w:rPr>
      <w:rFonts w:ascii="Courier" w:hAnsi="Courier"/>
      <w:b/>
      <w:lang w:val="x-none" w:eastAsia="cs-CZ"/>
    </w:rPr>
  </w:style>
  <w:style w:type="character" w:customStyle="1" w:styleId="PredmetkomentraChar1142">
    <w:name w:val="Predmet komentára Char1142"/>
    <w:aliases w:val="Char6 Char Char1143,Predmet komentára Char Char Char1143,Comment Subject Char Char Char1143"/>
    <w:uiPriority w:val="99"/>
    <w:semiHidden/>
    <w:rPr>
      <w:rFonts w:ascii="Courier" w:hAnsi="Courier"/>
      <w:b/>
      <w:lang w:val="x-none" w:eastAsia="cs-CZ"/>
    </w:rPr>
  </w:style>
  <w:style w:type="character" w:customStyle="1" w:styleId="PredmetkomentraChar1141">
    <w:name w:val="Predmet komentára Char1141"/>
    <w:aliases w:val="Char6 Char Char1142,Predmet komentára Char Char Char1142,Comment Subject Char Char Char1142"/>
    <w:uiPriority w:val="99"/>
    <w:semiHidden/>
    <w:rPr>
      <w:rFonts w:ascii="Courier" w:hAnsi="Courier"/>
      <w:b/>
      <w:lang w:val="x-none" w:eastAsia="cs-CZ"/>
    </w:rPr>
  </w:style>
  <w:style w:type="character" w:customStyle="1" w:styleId="PredmetkomentraChar1140">
    <w:name w:val="Predmet komentára Char1140"/>
    <w:aliases w:val="Char6 Char Char1141,Predmet komentára Char Char Char1141,Comment Subject Char Char Char1141"/>
    <w:uiPriority w:val="99"/>
    <w:semiHidden/>
    <w:rPr>
      <w:rFonts w:ascii="Courier" w:hAnsi="Courier"/>
      <w:b/>
      <w:lang w:val="x-none" w:eastAsia="cs-CZ"/>
    </w:rPr>
  </w:style>
  <w:style w:type="character" w:customStyle="1" w:styleId="PredmetkomentraChar1139">
    <w:name w:val="Predmet komentára Char1139"/>
    <w:aliases w:val="Char6 Char Char1140,Predmet komentára Char Char Char1140,Comment Subject Char Char Char1140"/>
    <w:uiPriority w:val="99"/>
    <w:semiHidden/>
    <w:rPr>
      <w:rFonts w:ascii="Courier" w:hAnsi="Courier"/>
      <w:b/>
      <w:lang w:val="x-none" w:eastAsia="cs-CZ"/>
    </w:rPr>
  </w:style>
  <w:style w:type="character" w:customStyle="1" w:styleId="PredmetkomentraChar1138">
    <w:name w:val="Predmet komentára Char1138"/>
    <w:aliases w:val="Char6 Char Char1139,Predmet komentára Char Char Char1139,Comment Subject Char Char Char1139"/>
    <w:uiPriority w:val="99"/>
    <w:semiHidden/>
    <w:rPr>
      <w:rFonts w:ascii="Courier" w:hAnsi="Courier"/>
      <w:b/>
      <w:lang w:val="x-none" w:eastAsia="cs-CZ"/>
    </w:rPr>
  </w:style>
  <w:style w:type="character" w:customStyle="1" w:styleId="PredmetkomentraChar1137">
    <w:name w:val="Predmet komentára Char1137"/>
    <w:aliases w:val="Char6 Char Char1138,Predmet komentára Char Char Char1138,Comment Subject Char Char Char1138"/>
    <w:uiPriority w:val="99"/>
    <w:semiHidden/>
    <w:rPr>
      <w:rFonts w:ascii="Courier" w:hAnsi="Courier"/>
      <w:b/>
      <w:lang w:val="x-none" w:eastAsia="cs-CZ"/>
    </w:rPr>
  </w:style>
  <w:style w:type="character" w:customStyle="1" w:styleId="PredmetkomentraChar1136">
    <w:name w:val="Predmet komentára Char1136"/>
    <w:aliases w:val="Char6 Char Char1137,Predmet komentára Char Char Char1137,Comment Subject Char Char Char1137"/>
    <w:uiPriority w:val="99"/>
    <w:semiHidden/>
    <w:rPr>
      <w:rFonts w:ascii="Courier" w:hAnsi="Courier"/>
      <w:b/>
      <w:lang w:val="x-none" w:eastAsia="cs-CZ"/>
    </w:rPr>
  </w:style>
  <w:style w:type="character" w:customStyle="1" w:styleId="PredmetkomentraChar1135">
    <w:name w:val="Predmet komentára Char1135"/>
    <w:aliases w:val="Char6 Char Char1136,Predmet komentára Char Char Char1136,Comment Subject Char Char Char1136"/>
    <w:uiPriority w:val="99"/>
    <w:semiHidden/>
    <w:rPr>
      <w:rFonts w:ascii="Courier" w:hAnsi="Courier"/>
      <w:b/>
      <w:lang w:val="x-none" w:eastAsia="cs-CZ"/>
    </w:rPr>
  </w:style>
  <w:style w:type="character" w:customStyle="1" w:styleId="PredmetkomentraChar1134">
    <w:name w:val="Predmet komentára Char1134"/>
    <w:aliases w:val="Char6 Char Char1135,Predmet komentára Char Char Char1135,Comment Subject Char Char Char1135"/>
    <w:uiPriority w:val="99"/>
    <w:semiHidden/>
    <w:rPr>
      <w:rFonts w:ascii="Courier" w:hAnsi="Courier"/>
      <w:b/>
      <w:lang w:val="x-none" w:eastAsia="cs-CZ"/>
    </w:rPr>
  </w:style>
  <w:style w:type="character" w:customStyle="1" w:styleId="PredmetkomentraChar1133">
    <w:name w:val="Predmet komentára Char1133"/>
    <w:aliases w:val="Char6 Char Char1134,Predmet komentára Char Char Char1134,Comment Subject Char Char Char1134"/>
    <w:uiPriority w:val="99"/>
    <w:semiHidden/>
    <w:rPr>
      <w:rFonts w:ascii="Courier" w:hAnsi="Courier"/>
      <w:b/>
      <w:lang w:val="x-none" w:eastAsia="cs-CZ"/>
    </w:rPr>
  </w:style>
  <w:style w:type="character" w:customStyle="1" w:styleId="PredmetkomentraChar1132">
    <w:name w:val="Predmet komentára Char1132"/>
    <w:aliases w:val="Char6 Char Char1133,Predmet komentára Char Char Char1133,Comment Subject Char Char Char1133"/>
    <w:uiPriority w:val="99"/>
    <w:semiHidden/>
    <w:rPr>
      <w:rFonts w:ascii="Courier" w:hAnsi="Courier"/>
      <w:b/>
      <w:lang w:val="x-none" w:eastAsia="cs-CZ"/>
    </w:rPr>
  </w:style>
  <w:style w:type="character" w:customStyle="1" w:styleId="PredmetkomentraChar1131">
    <w:name w:val="Predmet komentára Char1131"/>
    <w:aliases w:val="Char6 Char Char1132,Predmet komentára Char Char Char1132,Comment Subject Char Char Char1132"/>
    <w:uiPriority w:val="99"/>
    <w:semiHidden/>
    <w:rPr>
      <w:rFonts w:ascii="Courier" w:hAnsi="Courier"/>
      <w:b/>
      <w:lang w:val="x-none" w:eastAsia="cs-CZ"/>
    </w:rPr>
  </w:style>
  <w:style w:type="character" w:customStyle="1" w:styleId="PredmetkomentraChar1130">
    <w:name w:val="Predmet komentára Char1130"/>
    <w:aliases w:val="Char6 Char Char1131,Predmet komentára Char Char Char1131,Comment Subject Char Char Char1131"/>
    <w:uiPriority w:val="99"/>
    <w:semiHidden/>
    <w:rPr>
      <w:rFonts w:ascii="Courier" w:hAnsi="Courier"/>
      <w:b/>
      <w:lang w:val="x-none" w:eastAsia="cs-CZ"/>
    </w:rPr>
  </w:style>
  <w:style w:type="character" w:customStyle="1" w:styleId="PredmetkomentraChar1129">
    <w:name w:val="Predmet komentára Char1129"/>
    <w:aliases w:val="Char6 Char Char1130,Predmet komentára Char Char Char1130,Comment Subject Char Char Char1130"/>
    <w:uiPriority w:val="99"/>
    <w:semiHidden/>
    <w:rPr>
      <w:rFonts w:ascii="Courier" w:hAnsi="Courier"/>
      <w:b/>
      <w:lang w:val="x-none" w:eastAsia="cs-CZ"/>
    </w:rPr>
  </w:style>
  <w:style w:type="character" w:customStyle="1" w:styleId="PredmetkomentraChar1128">
    <w:name w:val="Predmet komentára Char1128"/>
    <w:aliases w:val="Char6 Char Char1129,Predmet komentára Char Char Char1129,Comment Subject Char Char Char1129"/>
    <w:uiPriority w:val="99"/>
    <w:semiHidden/>
    <w:rPr>
      <w:rFonts w:ascii="Courier" w:hAnsi="Courier"/>
      <w:b/>
      <w:lang w:val="x-none" w:eastAsia="cs-CZ"/>
    </w:rPr>
  </w:style>
  <w:style w:type="character" w:customStyle="1" w:styleId="PredmetkomentraChar1127">
    <w:name w:val="Predmet komentára Char1127"/>
    <w:aliases w:val="Char6 Char Char1128,Predmet komentára Char Char Char1128,Comment Subject Char Char Char1128"/>
    <w:uiPriority w:val="99"/>
    <w:semiHidden/>
    <w:rPr>
      <w:rFonts w:ascii="Courier" w:hAnsi="Courier"/>
      <w:b/>
      <w:lang w:val="x-none" w:eastAsia="cs-CZ"/>
    </w:rPr>
  </w:style>
  <w:style w:type="character" w:customStyle="1" w:styleId="PredmetkomentraChar1126">
    <w:name w:val="Predmet komentára Char1126"/>
    <w:aliases w:val="Char6 Char Char1127,Predmet komentára Char Char Char1127,Comment Subject Char Char Char1127"/>
    <w:uiPriority w:val="99"/>
    <w:semiHidden/>
    <w:rPr>
      <w:rFonts w:ascii="Courier" w:hAnsi="Courier"/>
      <w:b/>
      <w:lang w:val="x-none" w:eastAsia="cs-CZ"/>
    </w:rPr>
  </w:style>
  <w:style w:type="character" w:customStyle="1" w:styleId="PredmetkomentraChar1125">
    <w:name w:val="Predmet komentára Char1125"/>
    <w:aliases w:val="Char6 Char Char1126,Predmet komentára Char Char Char1126,Comment Subject Char Char Char1126"/>
    <w:uiPriority w:val="99"/>
    <w:semiHidden/>
    <w:rPr>
      <w:rFonts w:ascii="Courier" w:hAnsi="Courier"/>
      <w:b/>
      <w:lang w:val="x-none" w:eastAsia="cs-CZ"/>
    </w:rPr>
  </w:style>
  <w:style w:type="character" w:customStyle="1" w:styleId="PredmetkomentraChar1124">
    <w:name w:val="Predmet komentára Char1124"/>
    <w:aliases w:val="Char6 Char Char1125,Predmet komentára Char Char Char1125,Comment Subject Char Char Char1125"/>
    <w:uiPriority w:val="99"/>
    <w:semiHidden/>
    <w:rPr>
      <w:rFonts w:ascii="Courier" w:hAnsi="Courier"/>
      <w:b/>
      <w:lang w:val="x-none" w:eastAsia="cs-CZ"/>
    </w:rPr>
  </w:style>
  <w:style w:type="character" w:customStyle="1" w:styleId="PredmetkomentraChar1123">
    <w:name w:val="Predmet komentára Char1123"/>
    <w:aliases w:val="Char6 Char Char1124,Predmet komentára Char Char Char1124,Comment Subject Char Char Char1124"/>
    <w:uiPriority w:val="99"/>
    <w:semiHidden/>
    <w:rPr>
      <w:rFonts w:ascii="Courier" w:hAnsi="Courier"/>
      <w:b/>
      <w:lang w:val="x-none" w:eastAsia="cs-CZ"/>
    </w:rPr>
  </w:style>
  <w:style w:type="character" w:customStyle="1" w:styleId="PredmetkomentraChar1122">
    <w:name w:val="Predmet komentára Char1122"/>
    <w:aliases w:val="Char6 Char Char1123,Predmet komentára Char Char Char1123,Comment Subject Char Char Char1123"/>
    <w:uiPriority w:val="99"/>
    <w:semiHidden/>
    <w:rPr>
      <w:rFonts w:ascii="Courier" w:hAnsi="Courier"/>
      <w:b/>
      <w:lang w:val="x-none" w:eastAsia="cs-CZ"/>
    </w:rPr>
  </w:style>
  <w:style w:type="character" w:customStyle="1" w:styleId="PredmetkomentraChar1121">
    <w:name w:val="Predmet komentára Char1121"/>
    <w:aliases w:val="Char6 Char Char1122,Predmet komentára Char Char Char1122,Comment Subject Char Char Char1122"/>
    <w:uiPriority w:val="99"/>
    <w:semiHidden/>
    <w:rPr>
      <w:rFonts w:ascii="Courier" w:hAnsi="Courier"/>
      <w:b/>
      <w:lang w:val="x-none" w:eastAsia="cs-CZ"/>
    </w:rPr>
  </w:style>
  <w:style w:type="character" w:customStyle="1" w:styleId="PredmetkomentraChar1120">
    <w:name w:val="Predmet komentára Char1120"/>
    <w:aliases w:val="Char6 Char Char1121,Predmet komentára Char Char Char1121,Comment Subject Char Char Char1121"/>
    <w:uiPriority w:val="99"/>
    <w:semiHidden/>
    <w:rPr>
      <w:rFonts w:ascii="Courier" w:hAnsi="Courier"/>
      <w:b/>
      <w:lang w:val="x-none" w:eastAsia="cs-CZ"/>
    </w:rPr>
  </w:style>
  <w:style w:type="character" w:customStyle="1" w:styleId="PredmetkomentraChar1119">
    <w:name w:val="Predmet komentára Char1119"/>
    <w:aliases w:val="Char6 Char Char1120,Predmet komentára Char Char Char1120,Comment Subject Char Char Char1120"/>
    <w:uiPriority w:val="99"/>
    <w:semiHidden/>
    <w:rPr>
      <w:rFonts w:ascii="Courier" w:hAnsi="Courier"/>
      <w:b/>
      <w:lang w:val="x-none" w:eastAsia="cs-CZ"/>
    </w:rPr>
  </w:style>
  <w:style w:type="character" w:customStyle="1" w:styleId="PredmetkomentraChar1118">
    <w:name w:val="Predmet komentára Char1118"/>
    <w:aliases w:val="Char6 Char Char1119,Predmet komentára Char Char Char1119,Comment Subject Char Char Char1119"/>
    <w:uiPriority w:val="99"/>
    <w:semiHidden/>
    <w:rPr>
      <w:rFonts w:ascii="Courier" w:hAnsi="Courier"/>
      <w:b/>
      <w:lang w:val="x-none" w:eastAsia="cs-CZ"/>
    </w:rPr>
  </w:style>
  <w:style w:type="character" w:customStyle="1" w:styleId="PredmetkomentraChar1117">
    <w:name w:val="Predmet komentára Char1117"/>
    <w:aliases w:val="Char6 Char Char1118,Predmet komentára Char Char Char1118,Comment Subject Char Char Char1118"/>
    <w:uiPriority w:val="99"/>
    <w:semiHidden/>
    <w:rPr>
      <w:rFonts w:ascii="Courier" w:hAnsi="Courier"/>
      <w:b/>
      <w:lang w:val="x-none" w:eastAsia="cs-CZ"/>
    </w:rPr>
  </w:style>
  <w:style w:type="character" w:customStyle="1" w:styleId="PredmetkomentraChar1116">
    <w:name w:val="Predmet komentára Char1116"/>
    <w:aliases w:val="Char6 Char Char1117,Predmet komentára Char Char Char1117,Comment Subject Char Char Char1117"/>
    <w:uiPriority w:val="99"/>
    <w:semiHidden/>
    <w:rPr>
      <w:rFonts w:ascii="Courier" w:hAnsi="Courier"/>
      <w:b/>
      <w:lang w:val="x-none" w:eastAsia="cs-CZ"/>
    </w:rPr>
  </w:style>
  <w:style w:type="character" w:customStyle="1" w:styleId="PredmetkomentraChar1115">
    <w:name w:val="Predmet komentára Char1115"/>
    <w:aliases w:val="Char6 Char Char1116,Predmet komentára Char Char Char1116,Comment Subject Char Char Char1116"/>
    <w:uiPriority w:val="99"/>
    <w:semiHidden/>
    <w:rPr>
      <w:rFonts w:ascii="Courier" w:hAnsi="Courier"/>
      <w:b/>
      <w:lang w:val="x-none" w:eastAsia="cs-CZ"/>
    </w:rPr>
  </w:style>
  <w:style w:type="character" w:customStyle="1" w:styleId="PredmetkomentraChar1114">
    <w:name w:val="Predmet komentára Char1114"/>
    <w:aliases w:val="Char6 Char Char1115,Predmet komentára Char Char Char1115,Comment Subject Char Char Char1115"/>
    <w:uiPriority w:val="99"/>
    <w:semiHidden/>
    <w:rPr>
      <w:rFonts w:ascii="Courier" w:hAnsi="Courier"/>
      <w:b/>
      <w:lang w:val="x-none" w:eastAsia="cs-CZ"/>
    </w:rPr>
  </w:style>
  <w:style w:type="character" w:customStyle="1" w:styleId="PredmetkomentraChar1113">
    <w:name w:val="Predmet komentára Char1113"/>
    <w:aliases w:val="Char6 Char Char1114,Predmet komentára Char Char Char1114,Comment Subject Char Char Char1114"/>
    <w:uiPriority w:val="99"/>
    <w:semiHidden/>
    <w:rPr>
      <w:rFonts w:ascii="Courier" w:hAnsi="Courier"/>
      <w:b/>
      <w:lang w:val="x-none" w:eastAsia="cs-CZ"/>
    </w:rPr>
  </w:style>
  <w:style w:type="character" w:customStyle="1" w:styleId="PredmetkomentraChar1112">
    <w:name w:val="Predmet komentára Char1112"/>
    <w:aliases w:val="Char6 Char Char1113,Predmet komentára Char Char Char1113,Comment Subject Char Char Char1113"/>
    <w:uiPriority w:val="99"/>
    <w:semiHidden/>
    <w:rPr>
      <w:rFonts w:ascii="Courier" w:hAnsi="Courier"/>
      <w:b/>
      <w:lang w:val="x-none" w:eastAsia="cs-CZ"/>
    </w:rPr>
  </w:style>
  <w:style w:type="character" w:customStyle="1" w:styleId="PredmetkomentraChar1111">
    <w:name w:val="Predmet komentára Char1111"/>
    <w:aliases w:val="Char6 Char Char1112,Predmet komentára Char Char Char1112,Comment Subject Char Char Char1112"/>
    <w:uiPriority w:val="99"/>
    <w:semiHidden/>
    <w:rPr>
      <w:rFonts w:ascii="Courier" w:hAnsi="Courier"/>
      <w:b/>
      <w:lang w:val="x-none" w:eastAsia="cs-CZ"/>
    </w:rPr>
  </w:style>
  <w:style w:type="character" w:customStyle="1" w:styleId="PredmetkomentraChar1110">
    <w:name w:val="Predmet komentára Char1110"/>
    <w:aliases w:val="Char6 Char Char1111,Predmet komentára Char Char Char1111,Comment Subject Char Char Char1111"/>
    <w:uiPriority w:val="99"/>
    <w:semiHidden/>
    <w:rPr>
      <w:rFonts w:ascii="Courier" w:hAnsi="Courier"/>
      <w:b/>
      <w:lang w:val="x-none" w:eastAsia="cs-CZ"/>
    </w:rPr>
  </w:style>
  <w:style w:type="character" w:customStyle="1" w:styleId="PredmetkomentraChar1109">
    <w:name w:val="Predmet komentára Char1109"/>
    <w:aliases w:val="Char6 Char Char1110,Predmet komentára Char Char Char1110,Comment Subject Char Char Char1110"/>
    <w:uiPriority w:val="99"/>
    <w:semiHidden/>
    <w:rPr>
      <w:rFonts w:ascii="Courier" w:hAnsi="Courier"/>
      <w:b/>
      <w:lang w:val="x-none" w:eastAsia="cs-CZ"/>
    </w:rPr>
  </w:style>
  <w:style w:type="character" w:customStyle="1" w:styleId="PredmetkomentraChar1108">
    <w:name w:val="Predmet komentára Char1108"/>
    <w:aliases w:val="Char6 Char Char1109,Predmet komentára Char Char Char1109,Comment Subject Char Char Char1109"/>
    <w:uiPriority w:val="99"/>
    <w:semiHidden/>
    <w:rPr>
      <w:rFonts w:ascii="Courier" w:hAnsi="Courier"/>
      <w:b/>
      <w:lang w:val="x-none" w:eastAsia="cs-CZ"/>
    </w:rPr>
  </w:style>
  <w:style w:type="character" w:customStyle="1" w:styleId="PredmetkomentraChar1107">
    <w:name w:val="Predmet komentára Char1107"/>
    <w:aliases w:val="Char6 Char Char1108,Predmet komentára Char Char Char1108,Comment Subject Char Char Char1108"/>
    <w:uiPriority w:val="99"/>
    <w:semiHidden/>
    <w:rPr>
      <w:rFonts w:ascii="Courier" w:hAnsi="Courier"/>
      <w:b/>
      <w:lang w:val="x-none" w:eastAsia="cs-CZ"/>
    </w:rPr>
  </w:style>
  <w:style w:type="character" w:customStyle="1" w:styleId="PredmetkomentraChar1106">
    <w:name w:val="Predmet komentára Char1106"/>
    <w:aliases w:val="Char6 Char Char1107,Predmet komentára Char Char Char1107,Comment Subject Char Char Char1107"/>
    <w:uiPriority w:val="99"/>
    <w:semiHidden/>
    <w:rPr>
      <w:rFonts w:ascii="Courier" w:hAnsi="Courier"/>
      <w:b/>
      <w:lang w:val="x-none" w:eastAsia="cs-CZ"/>
    </w:rPr>
  </w:style>
  <w:style w:type="character" w:customStyle="1" w:styleId="PredmetkomentraChar1105">
    <w:name w:val="Predmet komentára Char1105"/>
    <w:aliases w:val="Char6 Char Char1106,Predmet komentára Char Char Char1106,Comment Subject Char Char Char1106"/>
    <w:uiPriority w:val="99"/>
    <w:semiHidden/>
    <w:rPr>
      <w:rFonts w:ascii="Courier" w:hAnsi="Courier"/>
      <w:b/>
      <w:lang w:val="x-none" w:eastAsia="cs-CZ"/>
    </w:rPr>
  </w:style>
  <w:style w:type="character" w:customStyle="1" w:styleId="PredmetkomentraChar1104">
    <w:name w:val="Predmet komentára Char1104"/>
    <w:aliases w:val="Char6 Char Char1105,Predmet komentára Char Char Char1105,Comment Subject Char Char Char1105"/>
    <w:uiPriority w:val="99"/>
    <w:semiHidden/>
    <w:rPr>
      <w:rFonts w:ascii="Courier" w:hAnsi="Courier"/>
      <w:b/>
      <w:lang w:val="x-none" w:eastAsia="cs-CZ"/>
    </w:rPr>
  </w:style>
  <w:style w:type="character" w:customStyle="1" w:styleId="PredmetkomentraChar1103">
    <w:name w:val="Predmet komentára Char1103"/>
    <w:aliases w:val="Char6 Char Char1104,Predmet komentára Char Char Char1104,Comment Subject Char Char Char1104"/>
    <w:uiPriority w:val="99"/>
    <w:semiHidden/>
    <w:rPr>
      <w:rFonts w:ascii="Courier" w:hAnsi="Courier"/>
      <w:b/>
      <w:lang w:val="x-none" w:eastAsia="cs-CZ"/>
    </w:rPr>
  </w:style>
  <w:style w:type="character" w:customStyle="1" w:styleId="PredmetkomentraChar1102">
    <w:name w:val="Predmet komentára Char1102"/>
    <w:aliases w:val="Char6 Char Char1103,Predmet komentára Char Char Char1103,Comment Subject Char Char Char1103"/>
    <w:uiPriority w:val="99"/>
    <w:semiHidden/>
    <w:rPr>
      <w:rFonts w:ascii="Courier" w:hAnsi="Courier"/>
      <w:b/>
      <w:lang w:val="x-none" w:eastAsia="cs-CZ"/>
    </w:rPr>
  </w:style>
  <w:style w:type="character" w:customStyle="1" w:styleId="PredmetkomentraChar1101">
    <w:name w:val="Predmet komentára Char1101"/>
    <w:aliases w:val="Char6 Char Char1102,Predmet komentára Char Char Char1102,Comment Subject Char Char Char1102"/>
    <w:uiPriority w:val="99"/>
    <w:semiHidden/>
    <w:rPr>
      <w:rFonts w:ascii="Courier" w:hAnsi="Courier"/>
      <w:b/>
      <w:lang w:val="x-none" w:eastAsia="cs-CZ"/>
    </w:rPr>
  </w:style>
  <w:style w:type="character" w:customStyle="1" w:styleId="PredmetkomentraChar1100">
    <w:name w:val="Predmet komentára Char1100"/>
    <w:aliases w:val="Char6 Char Char1101,Predmet komentára Char Char Char1101,Comment Subject Char Char Char1101"/>
    <w:uiPriority w:val="99"/>
    <w:semiHidden/>
    <w:rPr>
      <w:rFonts w:ascii="Courier" w:hAnsi="Courier"/>
      <w:b/>
      <w:lang w:val="x-none" w:eastAsia="cs-CZ"/>
    </w:rPr>
  </w:style>
  <w:style w:type="character" w:customStyle="1" w:styleId="PredmetkomentraChar199">
    <w:name w:val="Predmet komentára Char199"/>
    <w:aliases w:val="Char6 Char Char1100,Predmet komentára Char Char Char1100,Comment Subject Char Char Char1100"/>
    <w:uiPriority w:val="99"/>
    <w:semiHidden/>
    <w:rPr>
      <w:rFonts w:ascii="Courier" w:hAnsi="Courier"/>
      <w:b/>
      <w:lang w:val="x-none" w:eastAsia="cs-CZ"/>
    </w:rPr>
  </w:style>
  <w:style w:type="character" w:customStyle="1" w:styleId="PredmetkomentraChar198">
    <w:name w:val="Predmet komentára Char198"/>
    <w:aliases w:val="Char6 Char Char199,Predmet komentára Char Char Char199,Comment Subject Char Char Char199"/>
    <w:uiPriority w:val="99"/>
    <w:semiHidden/>
    <w:rPr>
      <w:rFonts w:ascii="Courier" w:hAnsi="Courier"/>
      <w:b/>
      <w:lang w:val="x-none" w:eastAsia="cs-CZ"/>
    </w:rPr>
  </w:style>
  <w:style w:type="character" w:customStyle="1" w:styleId="PredmetkomentraChar197">
    <w:name w:val="Predmet komentára Char197"/>
    <w:aliases w:val="Char6 Char Char198,Predmet komentára Char Char Char198,Comment Subject Char Char Char198"/>
    <w:uiPriority w:val="99"/>
    <w:semiHidden/>
    <w:rPr>
      <w:rFonts w:ascii="Courier" w:hAnsi="Courier"/>
      <w:b/>
      <w:lang w:val="x-none" w:eastAsia="cs-CZ"/>
    </w:rPr>
  </w:style>
  <w:style w:type="character" w:customStyle="1" w:styleId="PredmetkomentraChar196">
    <w:name w:val="Predmet komentára Char196"/>
    <w:aliases w:val="Char6 Char Char197,Predmet komentára Char Char Char197,Comment Subject Char Char Char197"/>
    <w:uiPriority w:val="99"/>
    <w:semiHidden/>
    <w:rPr>
      <w:rFonts w:ascii="Courier" w:hAnsi="Courier"/>
      <w:b/>
      <w:lang w:val="x-none" w:eastAsia="cs-CZ"/>
    </w:rPr>
  </w:style>
  <w:style w:type="character" w:customStyle="1" w:styleId="PredmetkomentraChar195">
    <w:name w:val="Predmet komentára Char195"/>
    <w:aliases w:val="Char6 Char Char196,Predmet komentára Char Char Char196,Comment Subject Char Char Char196"/>
    <w:uiPriority w:val="99"/>
    <w:semiHidden/>
    <w:rPr>
      <w:rFonts w:ascii="Courier" w:hAnsi="Courier"/>
      <w:b/>
      <w:lang w:val="x-none" w:eastAsia="cs-CZ"/>
    </w:rPr>
  </w:style>
  <w:style w:type="character" w:customStyle="1" w:styleId="PredmetkomentraChar194">
    <w:name w:val="Predmet komentára Char194"/>
    <w:aliases w:val="Char6 Char Char195,Predmet komentára Char Char Char195,Comment Subject Char Char Char195"/>
    <w:uiPriority w:val="99"/>
    <w:semiHidden/>
    <w:rPr>
      <w:rFonts w:ascii="Courier" w:hAnsi="Courier"/>
      <w:b/>
      <w:lang w:val="x-none" w:eastAsia="cs-CZ"/>
    </w:rPr>
  </w:style>
  <w:style w:type="character" w:customStyle="1" w:styleId="PredmetkomentraChar193">
    <w:name w:val="Predmet komentára Char193"/>
    <w:aliases w:val="Char6 Char Char194,Predmet komentára Char Char Char194,Comment Subject Char Char Char194"/>
    <w:uiPriority w:val="99"/>
    <w:semiHidden/>
    <w:rPr>
      <w:rFonts w:ascii="Courier" w:hAnsi="Courier"/>
      <w:b/>
      <w:lang w:val="x-none" w:eastAsia="cs-CZ"/>
    </w:rPr>
  </w:style>
  <w:style w:type="character" w:customStyle="1" w:styleId="PredmetkomentraChar192">
    <w:name w:val="Predmet komentára Char192"/>
    <w:aliases w:val="Char6 Char Char193,Predmet komentára Char Char Char193,Comment Subject Char Char Char193"/>
    <w:uiPriority w:val="99"/>
    <w:semiHidden/>
    <w:rPr>
      <w:rFonts w:ascii="Courier" w:hAnsi="Courier"/>
      <w:b/>
      <w:lang w:val="x-none" w:eastAsia="cs-CZ"/>
    </w:rPr>
  </w:style>
  <w:style w:type="character" w:customStyle="1" w:styleId="PredmetkomentraChar191">
    <w:name w:val="Predmet komentára Char191"/>
    <w:aliases w:val="Char6 Char Char192,Predmet komentára Char Char Char192,Comment Subject Char Char Char192"/>
    <w:uiPriority w:val="99"/>
    <w:semiHidden/>
    <w:rPr>
      <w:rFonts w:ascii="Courier" w:hAnsi="Courier"/>
      <w:b/>
      <w:lang w:val="x-none" w:eastAsia="cs-CZ"/>
    </w:rPr>
  </w:style>
  <w:style w:type="character" w:customStyle="1" w:styleId="PredmetkomentraChar190">
    <w:name w:val="Predmet komentára Char190"/>
    <w:aliases w:val="Char6 Char Char191,Predmet komentára Char Char Char191,Comment Subject Char Char Char191"/>
    <w:uiPriority w:val="99"/>
    <w:semiHidden/>
    <w:rPr>
      <w:rFonts w:ascii="Courier" w:hAnsi="Courier"/>
      <w:b/>
      <w:lang w:val="x-none" w:eastAsia="cs-CZ"/>
    </w:rPr>
  </w:style>
  <w:style w:type="character" w:customStyle="1" w:styleId="PredmetkomentraChar189">
    <w:name w:val="Predmet komentára Char189"/>
    <w:aliases w:val="Char6 Char Char190,Predmet komentára Char Char Char190,Comment Subject Char Char Char190"/>
    <w:uiPriority w:val="99"/>
    <w:semiHidden/>
    <w:rPr>
      <w:rFonts w:ascii="Courier" w:hAnsi="Courier"/>
      <w:b/>
      <w:lang w:val="x-none" w:eastAsia="cs-CZ"/>
    </w:rPr>
  </w:style>
  <w:style w:type="character" w:customStyle="1" w:styleId="PredmetkomentraChar188">
    <w:name w:val="Predmet komentára Char188"/>
    <w:aliases w:val="Char6 Char Char189,Predmet komentára Char Char Char189,Comment Subject Char Char Char189"/>
    <w:uiPriority w:val="99"/>
    <w:semiHidden/>
    <w:rPr>
      <w:rFonts w:ascii="Courier" w:hAnsi="Courier"/>
      <w:b/>
      <w:lang w:val="x-none" w:eastAsia="cs-CZ"/>
    </w:rPr>
  </w:style>
  <w:style w:type="character" w:customStyle="1" w:styleId="PredmetkomentraChar187">
    <w:name w:val="Predmet komentára Char187"/>
    <w:aliases w:val="Char6 Char Char188,Predmet komentára Char Char Char188,Comment Subject Char Char Char188"/>
    <w:uiPriority w:val="99"/>
    <w:semiHidden/>
    <w:rPr>
      <w:rFonts w:ascii="Courier" w:hAnsi="Courier"/>
      <w:b/>
      <w:lang w:val="x-none" w:eastAsia="cs-CZ"/>
    </w:rPr>
  </w:style>
  <w:style w:type="character" w:customStyle="1" w:styleId="PredmetkomentraChar186">
    <w:name w:val="Predmet komentára Char186"/>
    <w:aliases w:val="Char6 Char Char187,Predmet komentára Char Char Char187,Comment Subject Char Char Char187"/>
    <w:uiPriority w:val="99"/>
    <w:semiHidden/>
    <w:rPr>
      <w:rFonts w:ascii="Courier" w:hAnsi="Courier"/>
      <w:b/>
      <w:lang w:val="x-none" w:eastAsia="cs-CZ"/>
    </w:rPr>
  </w:style>
  <w:style w:type="character" w:customStyle="1" w:styleId="PredmetkomentraChar185">
    <w:name w:val="Predmet komentára Char185"/>
    <w:aliases w:val="Char6 Char Char186,Predmet komentára Char Char Char186,Comment Subject Char Char Char186"/>
    <w:uiPriority w:val="99"/>
    <w:semiHidden/>
    <w:rPr>
      <w:rFonts w:ascii="Courier" w:hAnsi="Courier"/>
      <w:b/>
      <w:lang w:val="x-none" w:eastAsia="cs-CZ"/>
    </w:rPr>
  </w:style>
  <w:style w:type="character" w:customStyle="1" w:styleId="PredmetkomentraChar184">
    <w:name w:val="Predmet komentára Char184"/>
    <w:aliases w:val="Char6 Char Char185,Predmet komentára Char Char Char185,Comment Subject Char Char Char185"/>
    <w:uiPriority w:val="99"/>
    <w:semiHidden/>
    <w:rPr>
      <w:rFonts w:ascii="Courier" w:hAnsi="Courier"/>
      <w:b/>
      <w:lang w:val="x-none" w:eastAsia="cs-CZ"/>
    </w:rPr>
  </w:style>
  <w:style w:type="character" w:customStyle="1" w:styleId="PredmetkomentraChar183">
    <w:name w:val="Predmet komentára Char183"/>
    <w:aliases w:val="Char6 Char Char184,Predmet komentára Char Char Char184,Comment Subject Char Char Char184"/>
    <w:uiPriority w:val="99"/>
    <w:semiHidden/>
    <w:rPr>
      <w:rFonts w:ascii="Courier" w:hAnsi="Courier"/>
      <w:b/>
      <w:lang w:val="x-none" w:eastAsia="cs-CZ"/>
    </w:rPr>
  </w:style>
  <w:style w:type="character" w:customStyle="1" w:styleId="PredmetkomentraChar182">
    <w:name w:val="Predmet komentára Char182"/>
    <w:aliases w:val="Char6 Char Char183,Predmet komentára Char Char Char183,Comment Subject Char Char Char183"/>
    <w:uiPriority w:val="99"/>
    <w:semiHidden/>
    <w:rPr>
      <w:rFonts w:ascii="Courier" w:hAnsi="Courier"/>
      <w:b/>
      <w:lang w:val="x-none" w:eastAsia="cs-CZ"/>
    </w:rPr>
  </w:style>
  <w:style w:type="character" w:customStyle="1" w:styleId="PredmetkomentraChar181">
    <w:name w:val="Predmet komentára Char181"/>
    <w:aliases w:val="Char6 Char Char182,Predmet komentára Char Char Char182,Comment Subject Char Char Char182"/>
    <w:uiPriority w:val="99"/>
    <w:semiHidden/>
    <w:rPr>
      <w:rFonts w:ascii="Courier" w:hAnsi="Courier"/>
      <w:b/>
      <w:lang w:val="x-none" w:eastAsia="cs-CZ"/>
    </w:rPr>
  </w:style>
  <w:style w:type="character" w:customStyle="1" w:styleId="PredmetkomentraChar180">
    <w:name w:val="Predmet komentára Char180"/>
    <w:aliases w:val="Char6 Char Char181,Predmet komentára Char Char Char181,Comment Subject Char Char Char181"/>
    <w:uiPriority w:val="99"/>
    <w:semiHidden/>
    <w:rPr>
      <w:rFonts w:ascii="Courier" w:hAnsi="Courier"/>
      <w:b/>
      <w:lang w:val="x-none" w:eastAsia="cs-CZ"/>
    </w:rPr>
  </w:style>
  <w:style w:type="character" w:customStyle="1" w:styleId="PredmetkomentraChar179">
    <w:name w:val="Predmet komentára Char179"/>
    <w:aliases w:val="Char6 Char Char180,Predmet komentára Char Char Char180,Comment Subject Char Char Char180"/>
    <w:uiPriority w:val="99"/>
    <w:semiHidden/>
    <w:rPr>
      <w:rFonts w:ascii="Courier" w:hAnsi="Courier"/>
      <w:b/>
      <w:lang w:val="x-none" w:eastAsia="cs-CZ"/>
    </w:rPr>
  </w:style>
  <w:style w:type="character" w:customStyle="1" w:styleId="PredmetkomentraChar178">
    <w:name w:val="Predmet komentára Char178"/>
    <w:aliases w:val="Char6 Char Char179,Predmet komentára Char Char Char179,Comment Subject Char Char Char179"/>
    <w:uiPriority w:val="99"/>
    <w:semiHidden/>
    <w:rPr>
      <w:rFonts w:ascii="Courier" w:hAnsi="Courier"/>
      <w:b/>
      <w:lang w:val="x-none" w:eastAsia="cs-CZ"/>
    </w:rPr>
  </w:style>
  <w:style w:type="character" w:customStyle="1" w:styleId="PredmetkomentraChar177">
    <w:name w:val="Predmet komentára Char177"/>
    <w:aliases w:val="Char6 Char Char178,Predmet komentára Char Char Char178,Comment Subject Char Char Char178"/>
    <w:uiPriority w:val="99"/>
    <w:semiHidden/>
    <w:rPr>
      <w:rFonts w:ascii="Courier" w:hAnsi="Courier"/>
      <w:b/>
      <w:lang w:val="x-none" w:eastAsia="cs-CZ"/>
    </w:rPr>
  </w:style>
  <w:style w:type="character" w:customStyle="1" w:styleId="PredmetkomentraChar176">
    <w:name w:val="Predmet komentára Char176"/>
    <w:aliases w:val="Char6 Char Char177,Predmet komentára Char Char Char177,Comment Subject Char Char Char177"/>
    <w:uiPriority w:val="99"/>
    <w:semiHidden/>
    <w:rPr>
      <w:rFonts w:ascii="Courier" w:hAnsi="Courier"/>
      <w:b/>
      <w:lang w:val="x-none" w:eastAsia="cs-CZ"/>
    </w:rPr>
  </w:style>
  <w:style w:type="character" w:customStyle="1" w:styleId="PredmetkomentraChar175">
    <w:name w:val="Predmet komentára Char175"/>
    <w:aliases w:val="Char6 Char Char176,Predmet komentára Char Char Char176,Comment Subject Char Char Char176"/>
    <w:uiPriority w:val="99"/>
    <w:semiHidden/>
    <w:rPr>
      <w:rFonts w:ascii="Courier" w:hAnsi="Courier"/>
      <w:b/>
      <w:lang w:val="x-none" w:eastAsia="cs-CZ"/>
    </w:rPr>
  </w:style>
  <w:style w:type="character" w:customStyle="1" w:styleId="PredmetkomentraChar174">
    <w:name w:val="Predmet komentára Char174"/>
    <w:aliases w:val="Char6 Char Char175,Predmet komentára Char Char Char175,Comment Subject Char Char Char175"/>
    <w:uiPriority w:val="99"/>
    <w:semiHidden/>
    <w:rPr>
      <w:rFonts w:ascii="Courier" w:hAnsi="Courier"/>
      <w:b/>
      <w:lang w:val="x-none" w:eastAsia="cs-CZ"/>
    </w:rPr>
  </w:style>
  <w:style w:type="character" w:customStyle="1" w:styleId="PredmetkomentraChar173">
    <w:name w:val="Predmet komentára Char173"/>
    <w:aliases w:val="Char6 Char Char174,Predmet komentára Char Char Char174,Comment Subject Char Char Char174"/>
    <w:uiPriority w:val="99"/>
    <w:semiHidden/>
    <w:rPr>
      <w:rFonts w:ascii="Courier" w:hAnsi="Courier"/>
      <w:b/>
      <w:lang w:val="x-none" w:eastAsia="cs-CZ"/>
    </w:rPr>
  </w:style>
  <w:style w:type="character" w:customStyle="1" w:styleId="PredmetkomentraChar172">
    <w:name w:val="Predmet komentára Char172"/>
    <w:aliases w:val="Char6 Char Char173,Predmet komentára Char Char Char173,Comment Subject Char Char Char173"/>
    <w:uiPriority w:val="99"/>
    <w:semiHidden/>
    <w:rPr>
      <w:rFonts w:ascii="Courier" w:hAnsi="Courier"/>
      <w:b/>
      <w:lang w:val="x-none" w:eastAsia="cs-CZ"/>
    </w:rPr>
  </w:style>
  <w:style w:type="character" w:customStyle="1" w:styleId="PredmetkomentraChar171">
    <w:name w:val="Predmet komentára Char171"/>
    <w:aliases w:val="Char6 Char Char172,Predmet komentára Char Char Char172,Comment Subject Char Char Char172"/>
    <w:uiPriority w:val="99"/>
    <w:semiHidden/>
    <w:rPr>
      <w:rFonts w:ascii="Courier" w:hAnsi="Courier"/>
      <w:b/>
      <w:lang w:val="x-none" w:eastAsia="cs-CZ"/>
    </w:rPr>
  </w:style>
  <w:style w:type="character" w:customStyle="1" w:styleId="PredmetkomentraChar170">
    <w:name w:val="Predmet komentára Char170"/>
    <w:aliases w:val="Char6 Char Char171,Predmet komentára Char Char Char171,Comment Subject Char Char Char171"/>
    <w:uiPriority w:val="99"/>
    <w:semiHidden/>
    <w:rPr>
      <w:rFonts w:ascii="Courier" w:hAnsi="Courier"/>
      <w:b/>
      <w:lang w:val="x-none" w:eastAsia="cs-CZ"/>
    </w:rPr>
  </w:style>
  <w:style w:type="character" w:customStyle="1" w:styleId="PredmetkomentraChar169">
    <w:name w:val="Predmet komentára Char169"/>
    <w:aliases w:val="Char6 Char Char170,Predmet komentára Char Char Char170,Comment Subject Char Char Char170"/>
    <w:uiPriority w:val="99"/>
    <w:semiHidden/>
    <w:rPr>
      <w:rFonts w:ascii="Courier" w:hAnsi="Courier"/>
      <w:b/>
      <w:lang w:val="x-none" w:eastAsia="cs-CZ"/>
    </w:rPr>
  </w:style>
  <w:style w:type="character" w:customStyle="1" w:styleId="PredmetkomentraChar168">
    <w:name w:val="Predmet komentára Char168"/>
    <w:aliases w:val="Char6 Char Char169,Predmet komentára Char Char Char169,Comment Subject Char Char Char169"/>
    <w:uiPriority w:val="99"/>
    <w:semiHidden/>
    <w:rPr>
      <w:rFonts w:ascii="Courier" w:hAnsi="Courier"/>
      <w:b/>
      <w:lang w:val="x-none" w:eastAsia="cs-CZ"/>
    </w:rPr>
  </w:style>
  <w:style w:type="character" w:customStyle="1" w:styleId="PredmetkomentraChar167">
    <w:name w:val="Predmet komentára Char167"/>
    <w:aliases w:val="Char6 Char Char168,Predmet komentára Char Char Char168,Comment Subject Char Char Char168"/>
    <w:uiPriority w:val="99"/>
    <w:semiHidden/>
    <w:rPr>
      <w:rFonts w:ascii="Courier" w:hAnsi="Courier"/>
      <w:b/>
      <w:lang w:val="x-none" w:eastAsia="cs-CZ"/>
    </w:rPr>
  </w:style>
  <w:style w:type="character" w:customStyle="1" w:styleId="PredmetkomentraChar166">
    <w:name w:val="Predmet komentára Char166"/>
    <w:aliases w:val="Char6 Char Char167,Predmet komentára Char Char Char167,Comment Subject Char Char Char167"/>
    <w:uiPriority w:val="99"/>
    <w:semiHidden/>
    <w:rPr>
      <w:rFonts w:ascii="Courier" w:hAnsi="Courier"/>
      <w:b/>
      <w:lang w:val="x-none" w:eastAsia="cs-CZ"/>
    </w:rPr>
  </w:style>
  <w:style w:type="character" w:customStyle="1" w:styleId="PredmetkomentraChar165">
    <w:name w:val="Predmet komentára Char165"/>
    <w:aliases w:val="Char6 Char Char166,Predmet komentára Char Char Char166,Comment Subject Char Char Char166"/>
    <w:uiPriority w:val="99"/>
    <w:semiHidden/>
    <w:rPr>
      <w:rFonts w:ascii="Courier" w:hAnsi="Courier"/>
      <w:b/>
      <w:lang w:val="x-none" w:eastAsia="cs-CZ"/>
    </w:rPr>
  </w:style>
  <w:style w:type="character" w:customStyle="1" w:styleId="PredmetkomentraChar164">
    <w:name w:val="Predmet komentára Char164"/>
    <w:aliases w:val="Char6 Char Char165,Predmet komentára Char Char Char165,Comment Subject Char Char Char165"/>
    <w:uiPriority w:val="99"/>
    <w:semiHidden/>
    <w:rPr>
      <w:rFonts w:ascii="Courier" w:hAnsi="Courier"/>
      <w:b/>
      <w:lang w:val="x-none" w:eastAsia="cs-CZ"/>
    </w:rPr>
  </w:style>
  <w:style w:type="character" w:customStyle="1" w:styleId="PredmetkomentraChar163">
    <w:name w:val="Predmet komentára Char163"/>
    <w:aliases w:val="Char6 Char Char164,Predmet komentára Char Char Char164,Comment Subject Char Char Char164"/>
    <w:uiPriority w:val="99"/>
    <w:semiHidden/>
    <w:rPr>
      <w:rFonts w:ascii="Courier" w:hAnsi="Courier"/>
      <w:b/>
      <w:lang w:val="x-none" w:eastAsia="cs-CZ"/>
    </w:rPr>
  </w:style>
  <w:style w:type="character" w:customStyle="1" w:styleId="PredmetkomentraChar162">
    <w:name w:val="Predmet komentára Char162"/>
    <w:aliases w:val="Char6 Char Char163,Predmet komentára Char Char Char163,Comment Subject Char Char Char163"/>
    <w:uiPriority w:val="99"/>
    <w:semiHidden/>
    <w:rPr>
      <w:rFonts w:ascii="Courier" w:hAnsi="Courier"/>
      <w:b/>
      <w:lang w:val="x-none" w:eastAsia="cs-CZ"/>
    </w:rPr>
  </w:style>
  <w:style w:type="character" w:customStyle="1" w:styleId="PredmetkomentraChar161">
    <w:name w:val="Predmet komentára Char161"/>
    <w:aliases w:val="Char6 Char Char162,Predmet komentára Char Char Char162,Comment Subject Char Char Char162"/>
    <w:uiPriority w:val="99"/>
    <w:semiHidden/>
    <w:rPr>
      <w:rFonts w:ascii="Courier" w:hAnsi="Courier"/>
      <w:b/>
      <w:lang w:val="x-none" w:eastAsia="cs-CZ"/>
    </w:rPr>
  </w:style>
  <w:style w:type="character" w:customStyle="1" w:styleId="PredmetkomentraChar160">
    <w:name w:val="Predmet komentára Char160"/>
    <w:aliases w:val="Char6 Char Char161,Predmet komentára Char Char Char161,Comment Subject Char Char Char161"/>
    <w:uiPriority w:val="99"/>
    <w:semiHidden/>
    <w:rPr>
      <w:rFonts w:ascii="Courier" w:hAnsi="Courier"/>
      <w:b/>
      <w:lang w:val="x-none" w:eastAsia="cs-CZ"/>
    </w:rPr>
  </w:style>
  <w:style w:type="character" w:customStyle="1" w:styleId="PredmetkomentraChar159">
    <w:name w:val="Predmet komentára Char159"/>
    <w:aliases w:val="Char6 Char Char160,Predmet komentára Char Char Char160,Comment Subject Char Char Char160"/>
    <w:uiPriority w:val="99"/>
    <w:semiHidden/>
    <w:rPr>
      <w:rFonts w:ascii="Courier" w:hAnsi="Courier"/>
      <w:b/>
      <w:lang w:val="x-none" w:eastAsia="cs-CZ"/>
    </w:rPr>
  </w:style>
  <w:style w:type="character" w:customStyle="1" w:styleId="PredmetkomentraChar158">
    <w:name w:val="Predmet komentára Char158"/>
    <w:aliases w:val="Char6 Char Char159,Predmet komentára Char Char Char159,Comment Subject Char Char Char159"/>
    <w:uiPriority w:val="99"/>
    <w:semiHidden/>
    <w:rPr>
      <w:rFonts w:ascii="Courier" w:hAnsi="Courier"/>
      <w:b/>
      <w:lang w:val="x-none" w:eastAsia="cs-CZ"/>
    </w:rPr>
  </w:style>
  <w:style w:type="character" w:customStyle="1" w:styleId="PredmetkomentraChar157">
    <w:name w:val="Predmet komentára Char157"/>
    <w:aliases w:val="Char6 Char Char158,Predmet komentára Char Char Char158,Comment Subject Char Char Char158"/>
    <w:uiPriority w:val="99"/>
    <w:semiHidden/>
    <w:rPr>
      <w:rFonts w:ascii="Courier" w:hAnsi="Courier"/>
      <w:b/>
      <w:lang w:val="x-none" w:eastAsia="cs-CZ"/>
    </w:rPr>
  </w:style>
  <w:style w:type="character" w:customStyle="1" w:styleId="PredmetkomentraChar156">
    <w:name w:val="Predmet komentára Char156"/>
    <w:aliases w:val="Char6 Char Char157,Predmet komentára Char Char Char157,Comment Subject Char Char Char157"/>
    <w:uiPriority w:val="99"/>
    <w:semiHidden/>
    <w:rPr>
      <w:rFonts w:ascii="Courier" w:hAnsi="Courier"/>
      <w:b/>
      <w:lang w:val="x-none" w:eastAsia="cs-CZ"/>
    </w:rPr>
  </w:style>
  <w:style w:type="character" w:customStyle="1" w:styleId="PredmetkomentraChar155">
    <w:name w:val="Predmet komentára Char155"/>
    <w:aliases w:val="Char6 Char Char156,Predmet komentára Char Char Char156,Comment Subject Char Char Char156"/>
    <w:uiPriority w:val="99"/>
    <w:semiHidden/>
    <w:rPr>
      <w:rFonts w:ascii="Courier" w:hAnsi="Courier"/>
      <w:b/>
      <w:lang w:val="x-none" w:eastAsia="cs-CZ"/>
    </w:rPr>
  </w:style>
  <w:style w:type="character" w:customStyle="1" w:styleId="PredmetkomentraChar154">
    <w:name w:val="Predmet komentára Char154"/>
    <w:aliases w:val="Char6 Char Char155,Predmet komentára Char Char Char155,Comment Subject Char Char Char155"/>
    <w:uiPriority w:val="99"/>
    <w:semiHidden/>
    <w:rPr>
      <w:rFonts w:ascii="Courier" w:hAnsi="Courier"/>
      <w:b/>
      <w:lang w:val="x-none" w:eastAsia="cs-CZ"/>
    </w:rPr>
  </w:style>
  <w:style w:type="character" w:customStyle="1" w:styleId="PredmetkomentraChar153">
    <w:name w:val="Predmet komentára Char153"/>
    <w:aliases w:val="Char6 Char Char154,Predmet komentára Char Char Char154,Comment Subject Char Char Char154"/>
    <w:uiPriority w:val="99"/>
    <w:semiHidden/>
    <w:rPr>
      <w:rFonts w:ascii="Courier" w:hAnsi="Courier"/>
      <w:b/>
      <w:lang w:val="x-none" w:eastAsia="cs-CZ"/>
    </w:rPr>
  </w:style>
  <w:style w:type="character" w:customStyle="1" w:styleId="PredmetkomentraChar152">
    <w:name w:val="Predmet komentára Char152"/>
    <w:aliases w:val="Char6 Char Char153,Predmet komentára Char Char Char153,Comment Subject Char Char Char153"/>
    <w:uiPriority w:val="99"/>
    <w:semiHidden/>
    <w:rPr>
      <w:rFonts w:ascii="Courier" w:hAnsi="Courier"/>
      <w:b/>
      <w:lang w:val="x-none" w:eastAsia="cs-CZ"/>
    </w:rPr>
  </w:style>
  <w:style w:type="character" w:customStyle="1" w:styleId="PredmetkomentraChar151">
    <w:name w:val="Predmet komentára Char151"/>
    <w:aliases w:val="Char6 Char Char152,Predmet komentára Char Char Char152,Comment Subject Char Char Char152"/>
    <w:uiPriority w:val="99"/>
    <w:semiHidden/>
    <w:rPr>
      <w:rFonts w:ascii="Courier" w:hAnsi="Courier"/>
      <w:b/>
      <w:lang w:val="x-none" w:eastAsia="cs-CZ"/>
    </w:rPr>
  </w:style>
  <w:style w:type="character" w:customStyle="1" w:styleId="PredmetkomentraChar150">
    <w:name w:val="Predmet komentára Char150"/>
    <w:aliases w:val="Char6 Char Char151,Predmet komentára Char Char Char151,Comment Subject Char Char Char151"/>
    <w:uiPriority w:val="99"/>
    <w:semiHidden/>
    <w:rPr>
      <w:rFonts w:ascii="Courier" w:hAnsi="Courier"/>
      <w:b/>
      <w:lang w:val="x-none" w:eastAsia="cs-CZ"/>
    </w:rPr>
  </w:style>
  <w:style w:type="character" w:customStyle="1" w:styleId="PredmetkomentraChar149">
    <w:name w:val="Predmet komentára Char149"/>
    <w:aliases w:val="Char6 Char Char150,Predmet komentára Char Char Char150,Comment Subject Char Char Char150"/>
    <w:uiPriority w:val="99"/>
    <w:semiHidden/>
    <w:rPr>
      <w:rFonts w:ascii="Courier" w:hAnsi="Courier"/>
      <w:b/>
      <w:lang w:val="x-none" w:eastAsia="cs-CZ"/>
    </w:rPr>
  </w:style>
  <w:style w:type="character" w:customStyle="1" w:styleId="PredmetkomentraChar148">
    <w:name w:val="Predmet komentára Char148"/>
    <w:aliases w:val="Char6 Char Char149,Predmet komentára Char Char Char149,Comment Subject Char Char Char149"/>
    <w:uiPriority w:val="99"/>
    <w:semiHidden/>
    <w:rPr>
      <w:rFonts w:ascii="Courier" w:hAnsi="Courier"/>
      <w:b/>
      <w:lang w:val="x-none" w:eastAsia="cs-CZ"/>
    </w:rPr>
  </w:style>
  <w:style w:type="character" w:customStyle="1" w:styleId="PredmetkomentraChar147">
    <w:name w:val="Predmet komentára Char147"/>
    <w:aliases w:val="Char6 Char Char148,Predmet komentára Char Char Char148,Comment Subject Char Char Char148"/>
    <w:uiPriority w:val="99"/>
    <w:semiHidden/>
    <w:rPr>
      <w:rFonts w:ascii="Courier" w:hAnsi="Courier"/>
      <w:b/>
      <w:lang w:val="x-none" w:eastAsia="cs-CZ"/>
    </w:rPr>
  </w:style>
  <w:style w:type="character" w:customStyle="1" w:styleId="PredmetkomentraChar146">
    <w:name w:val="Predmet komentára Char146"/>
    <w:aliases w:val="Char6 Char Char147,Predmet komentára Char Char Char147,Comment Subject Char Char Char147"/>
    <w:uiPriority w:val="99"/>
    <w:semiHidden/>
    <w:rPr>
      <w:rFonts w:ascii="Courier" w:hAnsi="Courier"/>
      <w:b/>
      <w:lang w:val="x-none" w:eastAsia="cs-CZ"/>
    </w:rPr>
  </w:style>
  <w:style w:type="character" w:customStyle="1" w:styleId="PredmetkomentraChar145">
    <w:name w:val="Predmet komentára Char145"/>
    <w:aliases w:val="Char6 Char Char146,Predmet komentára Char Char Char146,Comment Subject Char Char Char146"/>
    <w:uiPriority w:val="99"/>
    <w:semiHidden/>
    <w:rPr>
      <w:rFonts w:ascii="Courier" w:hAnsi="Courier"/>
      <w:b/>
      <w:lang w:val="x-none" w:eastAsia="cs-CZ"/>
    </w:rPr>
  </w:style>
  <w:style w:type="character" w:customStyle="1" w:styleId="PredmetkomentraChar144">
    <w:name w:val="Predmet komentára Char144"/>
    <w:aliases w:val="Char6 Char Char145,Predmet komentára Char Char Char145,Comment Subject Char Char Char145"/>
    <w:uiPriority w:val="99"/>
    <w:semiHidden/>
    <w:rPr>
      <w:rFonts w:ascii="Courier" w:hAnsi="Courier"/>
      <w:b/>
      <w:lang w:val="x-none" w:eastAsia="cs-CZ"/>
    </w:rPr>
  </w:style>
  <w:style w:type="character" w:customStyle="1" w:styleId="PredmetkomentraChar143">
    <w:name w:val="Predmet komentára Char143"/>
    <w:aliases w:val="Char6 Char Char144,Predmet komentára Char Char Char144,Comment Subject Char Char Char144"/>
    <w:uiPriority w:val="99"/>
    <w:semiHidden/>
    <w:rPr>
      <w:rFonts w:ascii="Courier" w:hAnsi="Courier"/>
      <w:b/>
      <w:lang w:val="x-none" w:eastAsia="cs-CZ"/>
    </w:rPr>
  </w:style>
  <w:style w:type="character" w:customStyle="1" w:styleId="PredmetkomentraChar142">
    <w:name w:val="Predmet komentára Char142"/>
    <w:aliases w:val="Char6 Char Char143,Predmet komentára Char Char Char143,Comment Subject Char Char Char143"/>
    <w:uiPriority w:val="99"/>
    <w:semiHidden/>
    <w:rPr>
      <w:rFonts w:ascii="Courier" w:hAnsi="Courier"/>
      <w:b/>
      <w:lang w:val="x-none" w:eastAsia="cs-CZ"/>
    </w:rPr>
  </w:style>
  <w:style w:type="character" w:customStyle="1" w:styleId="PredmetkomentraChar141">
    <w:name w:val="Predmet komentára Char141"/>
    <w:aliases w:val="Char6 Char Char142,Predmet komentára Char Char Char142,Comment Subject Char Char Char142"/>
    <w:uiPriority w:val="99"/>
    <w:semiHidden/>
    <w:rPr>
      <w:rFonts w:ascii="Courier" w:hAnsi="Courier"/>
      <w:b/>
      <w:lang w:val="x-none" w:eastAsia="cs-CZ"/>
    </w:rPr>
  </w:style>
  <w:style w:type="character" w:customStyle="1" w:styleId="PredmetkomentraChar140">
    <w:name w:val="Predmet komentára Char140"/>
    <w:aliases w:val="Char6 Char Char141,Predmet komentára Char Char Char141,Comment Subject Char Char Char141"/>
    <w:uiPriority w:val="99"/>
    <w:semiHidden/>
    <w:rPr>
      <w:rFonts w:ascii="Courier" w:hAnsi="Courier"/>
      <w:b/>
      <w:lang w:val="x-none" w:eastAsia="cs-CZ"/>
    </w:rPr>
  </w:style>
  <w:style w:type="character" w:customStyle="1" w:styleId="PredmetkomentraChar139">
    <w:name w:val="Predmet komentára Char139"/>
    <w:aliases w:val="Char6 Char Char140,Predmet komentára Char Char Char140,Comment Subject Char Char Char140"/>
    <w:uiPriority w:val="99"/>
    <w:semiHidden/>
    <w:rPr>
      <w:rFonts w:ascii="Courier" w:hAnsi="Courier"/>
      <w:b/>
      <w:lang w:val="x-none" w:eastAsia="cs-CZ"/>
    </w:rPr>
  </w:style>
  <w:style w:type="character" w:customStyle="1" w:styleId="PredmetkomentraChar138">
    <w:name w:val="Predmet komentára Char138"/>
    <w:aliases w:val="Char6 Char Char139,Predmet komentára Char Char Char139,Comment Subject Char Char Char139"/>
    <w:uiPriority w:val="99"/>
    <w:semiHidden/>
    <w:rPr>
      <w:rFonts w:ascii="Courier" w:hAnsi="Courier"/>
      <w:b/>
      <w:lang w:val="x-none" w:eastAsia="cs-CZ"/>
    </w:rPr>
  </w:style>
  <w:style w:type="character" w:customStyle="1" w:styleId="PredmetkomentraChar137">
    <w:name w:val="Predmet komentára Char137"/>
    <w:aliases w:val="Char6 Char Char138,Predmet komentára Char Char Char138,Comment Subject Char Char Char138"/>
    <w:uiPriority w:val="99"/>
    <w:semiHidden/>
    <w:rPr>
      <w:rFonts w:ascii="Courier" w:hAnsi="Courier"/>
      <w:b/>
      <w:lang w:val="x-none" w:eastAsia="cs-CZ"/>
    </w:rPr>
  </w:style>
  <w:style w:type="character" w:customStyle="1" w:styleId="PredmetkomentraChar136">
    <w:name w:val="Predmet komentára Char136"/>
    <w:aliases w:val="Char6 Char Char137,Predmet komentára Char Char Char137,Comment Subject Char Char Char137"/>
    <w:uiPriority w:val="99"/>
    <w:semiHidden/>
    <w:rPr>
      <w:rFonts w:ascii="Courier" w:hAnsi="Courier"/>
      <w:b/>
      <w:lang w:val="x-none" w:eastAsia="cs-CZ"/>
    </w:rPr>
  </w:style>
  <w:style w:type="character" w:customStyle="1" w:styleId="PredmetkomentraChar135">
    <w:name w:val="Predmet komentára Char135"/>
    <w:aliases w:val="Char6 Char Char136,Predmet komentára Char Char Char136,Comment Subject Char Char Char136"/>
    <w:uiPriority w:val="99"/>
    <w:semiHidden/>
    <w:rPr>
      <w:rFonts w:ascii="Courier" w:hAnsi="Courier"/>
      <w:b/>
      <w:lang w:val="x-none" w:eastAsia="cs-CZ"/>
    </w:rPr>
  </w:style>
  <w:style w:type="character" w:customStyle="1" w:styleId="PredmetkomentraChar134">
    <w:name w:val="Predmet komentára Char134"/>
    <w:aliases w:val="Char6 Char Char135,Predmet komentára Char Char Char135,Comment Subject Char Char Char135"/>
    <w:uiPriority w:val="99"/>
    <w:semiHidden/>
    <w:rPr>
      <w:rFonts w:ascii="Courier" w:hAnsi="Courier"/>
      <w:b/>
      <w:lang w:val="x-none" w:eastAsia="cs-CZ"/>
    </w:rPr>
  </w:style>
  <w:style w:type="character" w:customStyle="1" w:styleId="PredmetkomentraChar133">
    <w:name w:val="Predmet komentára Char133"/>
    <w:aliases w:val="Char6 Char Char134,Predmet komentára Char Char Char134,Comment Subject Char Char Char134"/>
    <w:uiPriority w:val="99"/>
    <w:semiHidden/>
    <w:rPr>
      <w:rFonts w:ascii="Courier" w:hAnsi="Courier"/>
      <w:b/>
      <w:lang w:val="x-none" w:eastAsia="cs-CZ"/>
    </w:rPr>
  </w:style>
  <w:style w:type="character" w:customStyle="1" w:styleId="PredmetkomentraChar132">
    <w:name w:val="Predmet komentára Char132"/>
    <w:aliases w:val="Char6 Char Char133,Predmet komentára Char Char Char133,Comment Subject Char Char Char133"/>
    <w:uiPriority w:val="99"/>
    <w:semiHidden/>
    <w:rPr>
      <w:rFonts w:ascii="Courier" w:hAnsi="Courier"/>
      <w:b/>
      <w:lang w:val="x-none" w:eastAsia="cs-CZ"/>
    </w:rPr>
  </w:style>
  <w:style w:type="character" w:customStyle="1" w:styleId="PredmetkomentraChar131">
    <w:name w:val="Predmet komentára Char131"/>
    <w:aliases w:val="Char6 Char Char132,Predmet komentára Char Char Char132,Comment Subject Char Char Char132"/>
    <w:uiPriority w:val="99"/>
    <w:semiHidden/>
    <w:rPr>
      <w:rFonts w:ascii="Courier" w:hAnsi="Courier"/>
      <w:b/>
      <w:lang w:val="x-none" w:eastAsia="cs-CZ"/>
    </w:rPr>
  </w:style>
  <w:style w:type="character" w:customStyle="1" w:styleId="PredmetkomentraChar130">
    <w:name w:val="Predmet komentára Char130"/>
    <w:aliases w:val="Char6 Char Char131,Predmet komentára Char Char Char131,Comment Subject Char Char Char131"/>
    <w:uiPriority w:val="99"/>
    <w:semiHidden/>
    <w:rPr>
      <w:rFonts w:ascii="Courier" w:hAnsi="Courier"/>
      <w:b/>
      <w:lang w:val="x-none" w:eastAsia="cs-CZ"/>
    </w:rPr>
  </w:style>
  <w:style w:type="character" w:customStyle="1" w:styleId="PredmetkomentraChar129">
    <w:name w:val="Predmet komentára Char129"/>
    <w:aliases w:val="Char6 Char Char130,Predmet komentára Char Char Char130,Comment Subject Char Char Char130"/>
    <w:uiPriority w:val="99"/>
    <w:semiHidden/>
    <w:rPr>
      <w:rFonts w:ascii="Courier" w:hAnsi="Courier"/>
      <w:b/>
      <w:lang w:val="x-none" w:eastAsia="cs-CZ"/>
    </w:rPr>
  </w:style>
  <w:style w:type="character" w:customStyle="1" w:styleId="PredmetkomentraChar128">
    <w:name w:val="Predmet komentára Char128"/>
    <w:aliases w:val="Char6 Char Char129,Predmet komentára Char Char Char129,Comment Subject Char Char Char129"/>
    <w:uiPriority w:val="99"/>
    <w:semiHidden/>
    <w:rPr>
      <w:rFonts w:ascii="Courier" w:hAnsi="Courier"/>
      <w:b/>
      <w:lang w:val="x-none" w:eastAsia="cs-CZ"/>
    </w:rPr>
  </w:style>
  <w:style w:type="character" w:customStyle="1" w:styleId="PredmetkomentraChar127">
    <w:name w:val="Predmet komentára Char127"/>
    <w:aliases w:val="Char6 Char Char128,Predmet komentára Char Char Char128,Comment Subject Char Char Char128"/>
    <w:uiPriority w:val="99"/>
    <w:semiHidden/>
    <w:rPr>
      <w:rFonts w:ascii="Courier" w:hAnsi="Courier"/>
      <w:b/>
      <w:lang w:val="x-none" w:eastAsia="cs-CZ"/>
    </w:rPr>
  </w:style>
  <w:style w:type="character" w:customStyle="1" w:styleId="PredmetkomentraChar126">
    <w:name w:val="Predmet komentára Char126"/>
    <w:aliases w:val="Char6 Char Char127,Predmet komentára Char Char Char127,Comment Subject Char Char Char127"/>
    <w:uiPriority w:val="99"/>
    <w:semiHidden/>
    <w:rPr>
      <w:rFonts w:ascii="Courier" w:hAnsi="Courier"/>
      <w:b/>
      <w:lang w:val="x-none" w:eastAsia="cs-CZ"/>
    </w:rPr>
  </w:style>
  <w:style w:type="character" w:customStyle="1" w:styleId="PredmetkomentraChar125">
    <w:name w:val="Predmet komentára Char125"/>
    <w:aliases w:val="Char6 Char Char126,Predmet komentára Char Char Char126,Comment Subject Char Char Char126"/>
    <w:uiPriority w:val="99"/>
    <w:semiHidden/>
    <w:rPr>
      <w:rFonts w:ascii="Courier" w:hAnsi="Courier"/>
      <w:b/>
      <w:lang w:val="x-none" w:eastAsia="cs-CZ"/>
    </w:rPr>
  </w:style>
  <w:style w:type="character" w:customStyle="1" w:styleId="PredmetkomentraChar124">
    <w:name w:val="Predmet komentára Char124"/>
    <w:aliases w:val="Char6 Char Char125,Predmet komentára Char Char Char125,Comment Subject Char Char Char125"/>
    <w:uiPriority w:val="99"/>
    <w:semiHidden/>
    <w:rPr>
      <w:rFonts w:ascii="Courier" w:hAnsi="Courier"/>
      <w:b/>
      <w:lang w:val="x-none" w:eastAsia="cs-CZ"/>
    </w:rPr>
  </w:style>
  <w:style w:type="character" w:customStyle="1" w:styleId="PredmetkomentraChar123">
    <w:name w:val="Predmet komentára Char123"/>
    <w:aliases w:val="Char6 Char Char124,Predmet komentára Char Char Char124,Comment Subject Char Char Char124"/>
    <w:uiPriority w:val="99"/>
    <w:semiHidden/>
    <w:rPr>
      <w:rFonts w:ascii="Courier" w:hAnsi="Courier"/>
      <w:b/>
      <w:lang w:val="x-none" w:eastAsia="cs-CZ"/>
    </w:rPr>
  </w:style>
  <w:style w:type="character" w:customStyle="1" w:styleId="PredmetkomentraChar122">
    <w:name w:val="Predmet komentára Char122"/>
    <w:aliases w:val="Char6 Char Char123,Predmet komentára Char Char Char123,Comment Subject Char Char Char123"/>
    <w:uiPriority w:val="99"/>
    <w:semiHidden/>
    <w:rPr>
      <w:rFonts w:ascii="Courier" w:hAnsi="Courier"/>
      <w:b/>
      <w:lang w:val="x-none" w:eastAsia="cs-CZ"/>
    </w:rPr>
  </w:style>
  <w:style w:type="character" w:customStyle="1" w:styleId="PredmetkomentraChar121">
    <w:name w:val="Predmet komentára Char121"/>
    <w:aliases w:val="Char6 Char Char122,Predmet komentára Char Char Char122,Comment Subject Char Char Char122"/>
    <w:uiPriority w:val="99"/>
    <w:semiHidden/>
    <w:rPr>
      <w:rFonts w:ascii="Courier" w:hAnsi="Courier"/>
      <w:b/>
      <w:lang w:val="x-none" w:eastAsia="cs-CZ"/>
    </w:rPr>
  </w:style>
  <w:style w:type="character" w:customStyle="1" w:styleId="PredmetkomentraChar120">
    <w:name w:val="Predmet komentára Char120"/>
    <w:aliases w:val="Char6 Char Char121,Predmet komentára Char Char Char121,Comment Subject Char Char Char121"/>
    <w:uiPriority w:val="99"/>
    <w:semiHidden/>
    <w:rPr>
      <w:rFonts w:ascii="Courier" w:hAnsi="Courier"/>
      <w:b/>
      <w:lang w:val="x-none" w:eastAsia="cs-CZ"/>
    </w:rPr>
  </w:style>
  <w:style w:type="character" w:customStyle="1" w:styleId="PredmetkomentraChar119">
    <w:name w:val="Predmet komentára Char119"/>
    <w:aliases w:val="Char6 Char Char120,Predmet komentára Char Char Char120,Comment Subject Char Char Char120"/>
    <w:uiPriority w:val="99"/>
    <w:semiHidden/>
    <w:rPr>
      <w:rFonts w:ascii="Courier" w:hAnsi="Courier"/>
      <w:b/>
      <w:lang w:val="x-none" w:eastAsia="cs-CZ"/>
    </w:rPr>
  </w:style>
  <w:style w:type="character" w:customStyle="1" w:styleId="PredmetkomentraChar118">
    <w:name w:val="Predmet komentára Char118"/>
    <w:aliases w:val="Char6 Char Char119,Predmet komentára Char Char Char119,Comment Subject Char Char Char119"/>
    <w:uiPriority w:val="99"/>
    <w:semiHidden/>
    <w:rPr>
      <w:rFonts w:ascii="Courier" w:hAnsi="Courier"/>
      <w:b/>
      <w:lang w:val="x-none" w:eastAsia="cs-CZ"/>
    </w:rPr>
  </w:style>
  <w:style w:type="character" w:customStyle="1" w:styleId="PredmetkomentraChar117">
    <w:name w:val="Predmet komentára Char117"/>
    <w:aliases w:val="Char6 Char Char118,Predmet komentára Char Char Char118,Comment Subject Char Char Char118"/>
    <w:uiPriority w:val="99"/>
    <w:semiHidden/>
    <w:rPr>
      <w:rFonts w:ascii="Courier" w:hAnsi="Courier"/>
      <w:b/>
      <w:lang w:val="x-none" w:eastAsia="cs-CZ"/>
    </w:rPr>
  </w:style>
  <w:style w:type="character" w:customStyle="1" w:styleId="PredmetkomentraChar116">
    <w:name w:val="Predmet komentára Char116"/>
    <w:aliases w:val="Char6 Char Char117,Predmet komentára Char Char Char117,Comment Subject Char Char Char117"/>
    <w:uiPriority w:val="99"/>
    <w:semiHidden/>
    <w:rPr>
      <w:rFonts w:ascii="Courier" w:hAnsi="Courier"/>
      <w:b/>
      <w:lang w:val="x-none" w:eastAsia="cs-CZ"/>
    </w:rPr>
  </w:style>
  <w:style w:type="character" w:customStyle="1" w:styleId="PredmetkomentraChar115">
    <w:name w:val="Predmet komentára Char115"/>
    <w:aliases w:val="Char6 Char Char116,Predmet komentára Char Char Char116,Comment Subject Char Char Char116"/>
    <w:uiPriority w:val="99"/>
    <w:semiHidden/>
    <w:rPr>
      <w:rFonts w:ascii="Courier" w:hAnsi="Courier"/>
      <w:b/>
      <w:lang w:val="x-none" w:eastAsia="cs-CZ"/>
    </w:rPr>
  </w:style>
  <w:style w:type="character" w:customStyle="1" w:styleId="PredmetkomentraChar114">
    <w:name w:val="Predmet komentára Char114"/>
    <w:aliases w:val="Char6 Char Char115,Predmet komentára Char Char Char115,Comment Subject Char Char Char115"/>
    <w:uiPriority w:val="99"/>
    <w:semiHidden/>
    <w:rPr>
      <w:rFonts w:ascii="Courier" w:hAnsi="Courier"/>
      <w:b/>
      <w:lang w:val="x-none" w:eastAsia="cs-CZ"/>
    </w:rPr>
  </w:style>
  <w:style w:type="character" w:customStyle="1" w:styleId="PredmetkomentraChar113">
    <w:name w:val="Predmet komentára Char113"/>
    <w:aliases w:val="Char6 Char Char114,Predmet komentára Char Char Char114,Comment Subject Char Char Char114"/>
    <w:uiPriority w:val="99"/>
    <w:semiHidden/>
    <w:rPr>
      <w:rFonts w:ascii="Courier" w:hAnsi="Courier"/>
      <w:b/>
      <w:lang w:val="x-none" w:eastAsia="cs-CZ"/>
    </w:rPr>
  </w:style>
  <w:style w:type="character" w:customStyle="1" w:styleId="PredmetkomentraChar112">
    <w:name w:val="Predmet komentára Char112"/>
    <w:aliases w:val="Char6 Char Char113,Predmet komentára Char Char Char113,Comment Subject Char Char Char113"/>
    <w:uiPriority w:val="99"/>
    <w:semiHidden/>
    <w:rPr>
      <w:rFonts w:ascii="Courier" w:hAnsi="Courier"/>
      <w:b/>
      <w:lang w:val="x-none" w:eastAsia="cs-CZ"/>
    </w:rPr>
  </w:style>
  <w:style w:type="character" w:customStyle="1" w:styleId="PredmetkomentraChar111">
    <w:name w:val="Predmet komentára Char111"/>
    <w:aliases w:val="Char6 Char Char112,Predmet komentára Char Char Char112,Comment Subject Char Char Char112"/>
    <w:uiPriority w:val="99"/>
    <w:semiHidden/>
    <w:rPr>
      <w:rFonts w:ascii="Courier" w:hAnsi="Courier"/>
      <w:b/>
      <w:lang w:val="x-none" w:eastAsia="cs-CZ"/>
    </w:rPr>
  </w:style>
  <w:style w:type="character" w:customStyle="1" w:styleId="PredmetkomentraChar110">
    <w:name w:val="Predmet komentára Char110"/>
    <w:aliases w:val="Char6 Char Char110,Predmet komentára Char Char Char110,Comment Subject Char Char Char110"/>
    <w:uiPriority w:val="99"/>
    <w:semiHidden/>
    <w:rPr>
      <w:rFonts w:ascii="Courier" w:hAnsi="Courier"/>
      <w:b/>
      <w:lang w:val="x-none" w:eastAsia="cs-CZ"/>
    </w:rPr>
  </w:style>
  <w:style w:type="character" w:customStyle="1" w:styleId="PredmetkomentraChar19">
    <w:name w:val="Predmet komentára Char19"/>
    <w:aliases w:val="Char6 Char Char19,Predmet komentára Char Char Char19,Comment Subject Char Char Char19"/>
    <w:uiPriority w:val="99"/>
    <w:semiHidden/>
    <w:rPr>
      <w:rFonts w:ascii="Courier" w:hAnsi="Courier"/>
      <w:b/>
      <w:lang w:val="x-none" w:eastAsia="cs-CZ"/>
    </w:rPr>
  </w:style>
  <w:style w:type="character" w:customStyle="1" w:styleId="PredmetkomentraChar18">
    <w:name w:val="Predmet komentára Char18"/>
    <w:aliases w:val="Char6 Char Char18,Predmet komentára Char Char Char18,Comment Subject Char Char Char18"/>
    <w:uiPriority w:val="99"/>
    <w:semiHidden/>
    <w:rPr>
      <w:rFonts w:ascii="Courier" w:hAnsi="Courier"/>
      <w:b/>
      <w:lang w:val="x-none" w:eastAsia="cs-CZ"/>
    </w:rPr>
  </w:style>
  <w:style w:type="character" w:customStyle="1" w:styleId="PredmetkomentraChar17">
    <w:name w:val="Predmet komentára Char17"/>
    <w:aliases w:val="Char6 Char Char17,Predmet komentára Char Char Char17,Comment Subject Char Char Char17"/>
    <w:uiPriority w:val="99"/>
    <w:semiHidden/>
    <w:rPr>
      <w:rFonts w:ascii="Courier" w:hAnsi="Courier"/>
      <w:b/>
      <w:lang w:val="x-none" w:eastAsia="cs-CZ"/>
    </w:rPr>
  </w:style>
  <w:style w:type="character" w:customStyle="1" w:styleId="PredmetkomentraChar16">
    <w:name w:val="Predmet komentára Char16"/>
    <w:aliases w:val="Char6 Char Char16,Predmet komentára Char Char Char16,Comment Subject Char Char Char16"/>
    <w:uiPriority w:val="99"/>
    <w:semiHidden/>
    <w:rPr>
      <w:rFonts w:ascii="Courier" w:hAnsi="Courier"/>
      <w:b/>
      <w:lang w:val="x-none" w:eastAsia="cs-CZ"/>
    </w:rPr>
  </w:style>
  <w:style w:type="character" w:customStyle="1" w:styleId="PredmetkomentraChar15">
    <w:name w:val="Predmet komentára Char15"/>
    <w:aliases w:val="Char6 Char Char15,Predmet komentára Char Char Char15,Comment Subject Char Char Char15"/>
    <w:uiPriority w:val="99"/>
    <w:semiHidden/>
    <w:rPr>
      <w:rFonts w:ascii="Courier" w:hAnsi="Courier"/>
      <w:b/>
      <w:lang w:val="x-none" w:eastAsia="cs-CZ"/>
    </w:rPr>
  </w:style>
  <w:style w:type="character" w:customStyle="1" w:styleId="PredmetkomentraChar14">
    <w:name w:val="Predmet komentára Char14"/>
    <w:aliases w:val="Char6 Char Char14,Predmet komentára Char Char Char14,Comment Subject Char Char Char14"/>
    <w:uiPriority w:val="99"/>
    <w:semiHidden/>
    <w:rPr>
      <w:rFonts w:ascii="Courier" w:hAnsi="Courier"/>
      <w:b/>
      <w:lang w:val="x-none" w:eastAsia="cs-CZ"/>
    </w:rPr>
  </w:style>
  <w:style w:type="character" w:customStyle="1" w:styleId="PredmetkomentraChar13">
    <w:name w:val="Predmet komentára Char13"/>
    <w:aliases w:val="Char6 Char Char13,Predmet komentára Char Char Char13,Comment Subject Char Char Char13"/>
    <w:uiPriority w:val="99"/>
    <w:semiHidden/>
    <w:rPr>
      <w:rFonts w:ascii="Courier" w:hAnsi="Courier"/>
      <w:b/>
      <w:lang w:val="x-none" w:eastAsia="cs-CZ"/>
    </w:rPr>
  </w:style>
  <w:style w:type="character" w:customStyle="1" w:styleId="PredmetkomentraChar12">
    <w:name w:val="Predmet komentára Char12"/>
    <w:aliases w:val="Char6 Char Char12,Predmet komentára Char Char Char12,Comment Subject Char Char Char12"/>
    <w:uiPriority w:val="99"/>
    <w:semiHidden/>
    <w:rPr>
      <w:rFonts w:ascii="Courier" w:hAnsi="Courier"/>
      <w:b/>
      <w:lang w:val="x-none" w:eastAsia="cs-CZ"/>
    </w:rPr>
  </w:style>
  <w:style w:type="character" w:customStyle="1" w:styleId="PredmetkomentraChar11">
    <w:name w:val="Predmet komentára Char11"/>
    <w:aliases w:val="Char6 Char Char11,Predmet komentára Char Char Char11,Comment Subject Char Char Char11,Char6 Char Char111,Predmet komentára Char Char Char111,Comment Subject Char Char Char111"/>
    <w:uiPriority w:val="99"/>
    <w:semiHidden/>
    <w:rsid w:val="00992BC9"/>
    <w:rPr>
      <w:rFonts w:ascii="Courier" w:hAnsi="Courier"/>
      <w:b/>
      <w:lang w:val="x-none" w:eastAsia="cs-CZ"/>
    </w:rPr>
  </w:style>
  <w:style w:type="paragraph" w:customStyle="1" w:styleId="CharCharCharCharCharCharCharCharChar">
    <w:name w:val="Char Char Char Char Char Char Char Char Char"/>
    <w:basedOn w:val="Normlny"/>
    <w:uiPriority w:val="99"/>
    <w:qFormat/>
    <w:rsid w:val="00992BC9"/>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lny"/>
    <w:uiPriority w:val="99"/>
    <w:qFormat/>
    <w:rsid w:val="00992BC9"/>
    <w:pPr>
      <w:spacing w:after="160" w:line="240" w:lineRule="exact"/>
    </w:pPr>
    <w:rPr>
      <w:rFonts w:ascii="Tahoma" w:hAnsi="Tahoma" w:cs="Tahoma"/>
      <w:sz w:val="20"/>
      <w:szCs w:val="20"/>
      <w:lang w:val="en-US" w:eastAsia="en-US"/>
    </w:rPr>
  </w:style>
  <w:style w:type="paragraph" w:customStyle="1" w:styleId="CharCharCharCharCharCharCharCharCharCharCharCharCharCharChar">
    <w:name w:val="Char Char Char Char Char Char Char Char Char Char Char Char Char Char Char"/>
    <w:basedOn w:val="Normlny"/>
    <w:uiPriority w:val="99"/>
    <w:qFormat/>
    <w:rsid w:val="00992BC9"/>
    <w:pPr>
      <w:spacing w:after="160" w:line="240" w:lineRule="exact"/>
    </w:pPr>
    <w:rPr>
      <w:rFonts w:ascii="Tahoma" w:hAnsi="Tahoma" w:cs="Tahoma"/>
      <w:sz w:val="20"/>
      <w:szCs w:val="20"/>
      <w:lang w:val="en-US" w:eastAsia="en-US"/>
    </w:rPr>
  </w:style>
  <w:style w:type="paragraph" w:customStyle="1" w:styleId="Char3">
    <w:name w:val="Char3"/>
    <w:basedOn w:val="Normlny"/>
    <w:uiPriority w:val="99"/>
    <w:qFormat/>
    <w:rsid w:val="00992BC9"/>
    <w:pPr>
      <w:spacing w:after="160" w:line="240" w:lineRule="exact"/>
    </w:pPr>
    <w:rPr>
      <w:rFonts w:ascii="Tahoma" w:hAnsi="Tahoma" w:cs="Tahoma"/>
      <w:sz w:val="20"/>
      <w:szCs w:val="20"/>
      <w:lang w:val="en-US" w:eastAsia="en-US"/>
    </w:rPr>
  </w:style>
  <w:style w:type="paragraph" w:styleId="Zarkazkladnhotextu3">
    <w:name w:val="Body Text Indent 3"/>
    <w:aliases w:val="Char2 Char,Zarážka základného textu 3 Char Char,Body Text Indent 3 Char Char Char"/>
    <w:basedOn w:val="Normlny"/>
    <w:link w:val="Zarkazkladnhotextu3Char"/>
    <w:uiPriority w:val="99"/>
    <w:qFormat/>
    <w:rsid w:val="00992BC9"/>
    <w:pPr>
      <w:spacing w:after="120"/>
      <w:ind w:left="283"/>
    </w:pPr>
    <w:rPr>
      <w:rFonts w:cs="Times New Roman"/>
      <w:sz w:val="16"/>
      <w:szCs w:val="16"/>
    </w:rPr>
  </w:style>
  <w:style w:type="character" w:customStyle="1" w:styleId="Zarkazkladnhotextu3Char">
    <w:name w:val="Zarážka základného textu 3 Char"/>
    <w:aliases w:val="Char2 Char Char,Zarážka základného textu 3 Char Char Char,Body Text Indent 3 Char Char Char Char"/>
    <w:basedOn w:val="Predvolenpsmoodseku"/>
    <w:link w:val="Zarkazkladnhotextu3"/>
    <w:uiPriority w:val="99"/>
    <w:locked/>
    <w:rsid w:val="00992BC9"/>
    <w:rPr>
      <w:rFonts w:ascii="Courier" w:hAnsi="Courier" w:cs="Times New Roman"/>
      <w:sz w:val="16"/>
      <w:lang w:val="x-none" w:eastAsia="cs-CZ"/>
    </w:rPr>
  </w:style>
  <w:style w:type="paragraph" w:customStyle="1" w:styleId="CharChar1">
    <w:name w:val="Char Char1"/>
    <w:basedOn w:val="Normlny"/>
    <w:uiPriority w:val="99"/>
    <w:qFormat/>
    <w:rsid w:val="00992BC9"/>
    <w:pPr>
      <w:spacing w:after="160" w:line="240" w:lineRule="exact"/>
    </w:pPr>
    <w:rPr>
      <w:rFonts w:ascii="Tahoma" w:hAnsi="Tahoma" w:cs="Tahoma"/>
      <w:sz w:val="20"/>
      <w:szCs w:val="20"/>
      <w:lang w:val="en-US" w:eastAsia="en-US"/>
    </w:rPr>
  </w:style>
  <w:style w:type="paragraph" w:customStyle="1" w:styleId="Char1">
    <w:name w:val="Char1"/>
    <w:basedOn w:val="Normlny"/>
    <w:uiPriority w:val="99"/>
    <w:qFormat/>
    <w:rsid w:val="00992BC9"/>
    <w:pPr>
      <w:spacing w:after="160" w:line="240" w:lineRule="exact"/>
    </w:pPr>
    <w:rPr>
      <w:rFonts w:ascii="Tahoma" w:hAnsi="Tahoma" w:cs="Tahoma"/>
      <w:sz w:val="20"/>
      <w:szCs w:val="20"/>
      <w:lang w:val="en-US" w:eastAsia="en-US"/>
    </w:rPr>
  </w:style>
  <w:style w:type="character" w:styleId="Hypertextovprepojenie">
    <w:name w:val="Hyperlink"/>
    <w:basedOn w:val="Predvolenpsmoodseku"/>
    <w:uiPriority w:val="99"/>
    <w:rsid w:val="00992BC9"/>
    <w:rPr>
      <w:rFonts w:cs="Times New Roman"/>
      <w:color w:val="0000FF"/>
      <w:u w:val="single"/>
    </w:rPr>
  </w:style>
  <w:style w:type="character" w:customStyle="1" w:styleId="BodyTextIndentCharChar">
    <w:name w:val="Body Text Indent Char Char"/>
    <w:uiPriority w:val="99"/>
    <w:rsid w:val="00992BC9"/>
    <w:rPr>
      <w:rFonts w:ascii="Courier" w:hAnsi="Courier"/>
      <w:sz w:val="24"/>
      <w:lang w:val="x-none" w:eastAsia="cs-CZ"/>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Normlny"/>
    <w:uiPriority w:val="99"/>
    <w:qFormat/>
    <w:rsid w:val="00992BC9"/>
    <w:pPr>
      <w:spacing w:after="160" w:line="240" w:lineRule="exact"/>
    </w:pPr>
    <w:rPr>
      <w:rFonts w:ascii="Tahoma" w:hAnsi="Tahoma" w:cs="Tahoma"/>
      <w:sz w:val="20"/>
      <w:szCs w:val="20"/>
      <w:lang w:val="en-US" w:eastAsia="en-US"/>
    </w:rPr>
  </w:style>
  <w:style w:type="paragraph" w:customStyle="1" w:styleId="CharCharCharCharCharCharCharCharChar1">
    <w:name w:val="Char Char Char Char Char Char Char Char Char1"/>
    <w:basedOn w:val="Normlny"/>
    <w:uiPriority w:val="99"/>
    <w:qFormat/>
    <w:rsid w:val="00992BC9"/>
    <w:pPr>
      <w:spacing w:after="160" w:line="240" w:lineRule="exact"/>
    </w:pPr>
    <w:rPr>
      <w:rFonts w:ascii="Tahoma" w:hAnsi="Tahoma" w:cs="Tahoma"/>
      <w:sz w:val="20"/>
      <w:szCs w:val="20"/>
      <w:lang w:val="en-US" w:eastAsia="en-US"/>
    </w:rPr>
  </w:style>
  <w:style w:type="paragraph" w:customStyle="1" w:styleId="CharCharChar2CharCharCharCharCharCharCharCharCharCharChar1">
    <w:name w:val="Char Char Char2 Char Char Char Char Char Char Char Char Char Char Char1"/>
    <w:basedOn w:val="Normlny"/>
    <w:uiPriority w:val="99"/>
    <w:qFormat/>
    <w:rsid w:val="00992BC9"/>
    <w:pPr>
      <w:spacing w:after="160" w:line="240" w:lineRule="exact"/>
    </w:pPr>
    <w:rPr>
      <w:rFonts w:ascii="Tahoma" w:hAnsi="Tahoma" w:cs="Tahoma"/>
      <w:sz w:val="20"/>
      <w:szCs w:val="20"/>
      <w:lang w:val="en-US" w:eastAsia="en-US"/>
    </w:rPr>
  </w:style>
  <w:style w:type="paragraph" w:customStyle="1" w:styleId="CharCharCharCharCharCharCharCharCharCharCharCharCharCharCharCharCharCharCharCharCharCharChar1CharCharCharCharChar1">
    <w:name w:val="Char Char Char Char Char Char Char Char Char Char Char Char Char Char Char Char Char Char Char Char Char Char Char1 Char Char Char Char Char1"/>
    <w:basedOn w:val="Normlny"/>
    <w:uiPriority w:val="99"/>
    <w:qFormat/>
    <w:rsid w:val="00992BC9"/>
    <w:pPr>
      <w:spacing w:after="160" w:line="240" w:lineRule="exact"/>
    </w:pPr>
    <w:rPr>
      <w:rFonts w:ascii="Tahoma" w:hAnsi="Tahoma" w:cs="Tahoma"/>
      <w:sz w:val="20"/>
      <w:szCs w:val="20"/>
      <w:lang w:val="en-US" w:eastAsia="en-US"/>
    </w:rPr>
  </w:style>
  <w:style w:type="paragraph" w:customStyle="1" w:styleId="CharCharCharCharCharCharCharCharCharCharCharCharCharCharChar1">
    <w:name w:val="Char Char Char Char Char Char Char Char Char Char Char Char Char Char Char1"/>
    <w:basedOn w:val="Normlny"/>
    <w:uiPriority w:val="99"/>
    <w:qFormat/>
    <w:rsid w:val="00992BC9"/>
    <w:pPr>
      <w:spacing w:after="160" w:line="240" w:lineRule="exact"/>
    </w:pPr>
    <w:rPr>
      <w:rFonts w:ascii="Tahoma" w:hAnsi="Tahoma" w:cs="Tahoma"/>
      <w:sz w:val="20"/>
      <w:szCs w:val="20"/>
      <w:lang w:val="en-US" w:eastAsia="en-US"/>
    </w:rPr>
  </w:style>
  <w:style w:type="character" w:customStyle="1" w:styleId="ObyajntextChar">
    <w:name w:val="Obyčajný text Char"/>
    <w:aliases w:val="Obyčajný text Char Char Char Char"/>
    <w:link w:val="Obyajntext"/>
    <w:uiPriority w:val="99"/>
    <w:locked/>
    <w:rsid w:val="00992BC9"/>
    <w:rPr>
      <w:rFonts w:ascii="Consolas" w:hAnsi="Consolas"/>
      <w:sz w:val="21"/>
    </w:rPr>
  </w:style>
  <w:style w:type="paragraph" w:styleId="Obyajntext">
    <w:name w:val="Plain Text"/>
    <w:aliases w:val="Obyčajný text Char Char Char"/>
    <w:basedOn w:val="Normlny"/>
    <w:link w:val="ObyajntextChar"/>
    <w:uiPriority w:val="99"/>
    <w:qFormat/>
    <w:rsid w:val="00992BC9"/>
    <w:rPr>
      <w:rFonts w:ascii="Consolas" w:hAnsi="Consolas" w:cs="Times New Roman"/>
      <w:sz w:val="21"/>
      <w:szCs w:val="21"/>
    </w:rPr>
  </w:style>
  <w:style w:type="character" w:customStyle="1" w:styleId="ObyajntextChar1">
    <w:name w:val="Obyčajný text Char1"/>
    <w:aliases w:val="Obyčajný text Char Char Char Char1"/>
    <w:basedOn w:val="Predvolenpsmoodseku"/>
    <w:uiPriority w:val="99"/>
    <w:semiHidden/>
    <w:rPr>
      <w:rFonts w:ascii="Courier New" w:hAnsi="Courier New" w:cs="Courier New"/>
      <w:lang w:eastAsia="cs-CZ"/>
    </w:rPr>
  </w:style>
  <w:style w:type="character" w:customStyle="1" w:styleId="ObyajntextChar1621">
    <w:name w:val="Obyčajný text Char1621"/>
    <w:aliases w:val="Obyčajný text Char Char Char Char1622"/>
    <w:basedOn w:val="Predvolenpsmoodseku"/>
    <w:uiPriority w:val="99"/>
    <w:semiHidden/>
    <w:rPr>
      <w:rFonts w:ascii="Courier New" w:hAnsi="Courier New" w:cs="Courier New"/>
      <w:lang w:val="x-none" w:eastAsia="cs-CZ"/>
    </w:rPr>
  </w:style>
  <w:style w:type="character" w:customStyle="1" w:styleId="ObyajntextChar1620">
    <w:name w:val="Obyčajný text Char1620"/>
    <w:aliases w:val="Obyčajný text Char Char Char Char1621"/>
    <w:basedOn w:val="Predvolenpsmoodseku"/>
    <w:uiPriority w:val="99"/>
    <w:semiHidden/>
    <w:rPr>
      <w:rFonts w:ascii="Courier New" w:hAnsi="Courier New" w:cs="Courier New"/>
      <w:lang w:val="x-none" w:eastAsia="cs-CZ"/>
    </w:rPr>
  </w:style>
  <w:style w:type="character" w:customStyle="1" w:styleId="ObyajntextChar1614">
    <w:name w:val="Obyčajný text Char1614"/>
    <w:aliases w:val="Obyčajný text Char Char Char Char1615"/>
    <w:basedOn w:val="Predvolenpsmoodseku"/>
    <w:uiPriority w:val="99"/>
    <w:semiHidden/>
    <w:rPr>
      <w:rFonts w:ascii="Courier New" w:hAnsi="Courier New" w:cs="Courier New"/>
      <w:lang w:val="x-none" w:eastAsia="cs-CZ"/>
    </w:rPr>
  </w:style>
  <w:style w:type="character" w:customStyle="1" w:styleId="ObyajntextChar1613">
    <w:name w:val="Obyčajný text Char1613"/>
    <w:aliases w:val="Obyčajný text Char Char Char Char1614"/>
    <w:basedOn w:val="Predvolenpsmoodseku"/>
    <w:uiPriority w:val="99"/>
    <w:semiHidden/>
    <w:rPr>
      <w:rFonts w:ascii="Courier New" w:hAnsi="Courier New" w:cs="Courier New"/>
      <w:lang w:val="x-none" w:eastAsia="cs-CZ"/>
    </w:rPr>
  </w:style>
  <w:style w:type="character" w:customStyle="1" w:styleId="ObyajntextChar1612">
    <w:name w:val="Obyčajný text Char1612"/>
    <w:aliases w:val="Obyčajný text Char Char Char Char1613"/>
    <w:basedOn w:val="Predvolenpsmoodseku"/>
    <w:uiPriority w:val="99"/>
    <w:semiHidden/>
    <w:rPr>
      <w:rFonts w:ascii="Courier New" w:hAnsi="Courier New" w:cs="Courier New"/>
      <w:lang w:val="x-none" w:eastAsia="cs-CZ"/>
    </w:rPr>
  </w:style>
  <w:style w:type="character" w:customStyle="1" w:styleId="ObyajntextChar1611">
    <w:name w:val="Obyčajný text Char1611"/>
    <w:aliases w:val="Obyčajný text Char Char Char Char1612"/>
    <w:basedOn w:val="Predvolenpsmoodseku"/>
    <w:uiPriority w:val="99"/>
    <w:semiHidden/>
    <w:rPr>
      <w:rFonts w:ascii="Courier New" w:hAnsi="Courier New" w:cs="Courier New"/>
      <w:lang w:val="x-none" w:eastAsia="cs-CZ"/>
    </w:rPr>
  </w:style>
  <w:style w:type="character" w:customStyle="1" w:styleId="ObyajntextChar1610">
    <w:name w:val="Obyčajný text Char1610"/>
    <w:aliases w:val="Obyčajný text Char Char Char Char1611"/>
    <w:basedOn w:val="Predvolenpsmoodseku"/>
    <w:uiPriority w:val="99"/>
    <w:semiHidden/>
    <w:rPr>
      <w:rFonts w:ascii="Courier New" w:hAnsi="Courier New" w:cs="Courier New"/>
      <w:lang w:val="x-none" w:eastAsia="cs-CZ"/>
    </w:rPr>
  </w:style>
  <w:style w:type="character" w:customStyle="1" w:styleId="ObyajntextChar1609">
    <w:name w:val="Obyčajný text Char1609"/>
    <w:aliases w:val="Obyčajný text Char Char Char Char1610"/>
    <w:basedOn w:val="Predvolenpsmoodseku"/>
    <w:uiPriority w:val="99"/>
    <w:semiHidden/>
    <w:rPr>
      <w:rFonts w:ascii="Courier New" w:hAnsi="Courier New" w:cs="Courier New"/>
      <w:lang w:val="x-none" w:eastAsia="cs-CZ"/>
    </w:rPr>
  </w:style>
  <w:style w:type="character" w:customStyle="1" w:styleId="ObyajntextChar1608">
    <w:name w:val="Obyčajný text Char1608"/>
    <w:aliases w:val="Obyčajný text Char Char Char Char1609"/>
    <w:basedOn w:val="Predvolenpsmoodseku"/>
    <w:uiPriority w:val="99"/>
    <w:semiHidden/>
    <w:rPr>
      <w:rFonts w:ascii="Courier New" w:hAnsi="Courier New" w:cs="Courier New"/>
      <w:lang w:val="x-none" w:eastAsia="cs-CZ"/>
    </w:rPr>
  </w:style>
  <w:style w:type="character" w:customStyle="1" w:styleId="ObyajntextChar1607">
    <w:name w:val="Obyčajný text Char1607"/>
    <w:aliases w:val="Obyčajný text Char Char Char Char1608"/>
    <w:basedOn w:val="Predvolenpsmoodseku"/>
    <w:uiPriority w:val="99"/>
    <w:semiHidden/>
    <w:rPr>
      <w:rFonts w:ascii="Courier New" w:hAnsi="Courier New" w:cs="Courier New"/>
      <w:lang w:val="x-none" w:eastAsia="cs-CZ"/>
    </w:rPr>
  </w:style>
  <w:style w:type="character" w:customStyle="1" w:styleId="ObyajntextChar1606">
    <w:name w:val="Obyčajný text Char1606"/>
    <w:aliases w:val="Obyčajný text Char Char Char Char1607"/>
    <w:basedOn w:val="Predvolenpsmoodseku"/>
    <w:uiPriority w:val="99"/>
    <w:semiHidden/>
    <w:rPr>
      <w:rFonts w:ascii="Courier New" w:hAnsi="Courier New" w:cs="Courier New"/>
      <w:lang w:val="x-none" w:eastAsia="cs-CZ"/>
    </w:rPr>
  </w:style>
  <w:style w:type="character" w:customStyle="1" w:styleId="ObyajntextChar1605">
    <w:name w:val="Obyčajný text Char1605"/>
    <w:aliases w:val="Obyčajný text Char Char Char Char1606"/>
    <w:basedOn w:val="Predvolenpsmoodseku"/>
    <w:uiPriority w:val="99"/>
    <w:semiHidden/>
    <w:rPr>
      <w:rFonts w:ascii="Courier New" w:hAnsi="Courier New" w:cs="Courier New"/>
      <w:lang w:val="x-none" w:eastAsia="cs-CZ"/>
    </w:rPr>
  </w:style>
  <w:style w:type="character" w:customStyle="1" w:styleId="ObyajntextChar1604">
    <w:name w:val="Obyčajný text Char1604"/>
    <w:aliases w:val="Obyčajný text Char Char Char Char1605"/>
    <w:basedOn w:val="Predvolenpsmoodseku"/>
    <w:uiPriority w:val="99"/>
    <w:semiHidden/>
    <w:rPr>
      <w:rFonts w:ascii="Courier New" w:hAnsi="Courier New" w:cs="Courier New"/>
      <w:lang w:val="x-none" w:eastAsia="cs-CZ"/>
    </w:rPr>
  </w:style>
  <w:style w:type="character" w:customStyle="1" w:styleId="ObyajntextChar1603">
    <w:name w:val="Obyčajný text Char1603"/>
    <w:aliases w:val="Obyčajný text Char Char Char Char1604"/>
    <w:basedOn w:val="Predvolenpsmoodseku"/>
    <w:uiPriority w:val="99"/>
    <w:semiHidden/>
    <w:rPr>
      <w:rFonts w:ascii="Courier New" w:hAnsi="Courier New" w:cs="Courier New"/>
      <w:lang w:val="x-none" w:eastAsia="cs-CZ"/>
    </w:rPr>
  </w:style>
  <w:style w:type="character" w:customStyle="1" w:styleId="ObyajntextChar1602">
    <w:name w:val="Obyčajný text Char1602"/>
    <w:aliases w:val="Obyčajný text Char Char Char Char1603"/>
    <w:basedOn w:val="Predvolenpsmoodseku"/>
    <w:uiPriority w:val="99"/>
    <w:semiHidden/>
    <w:rPr>
      <w:rFonts w:ascii="Courier New" w:hAnsi="Courier New" w:cs="Courier New"/>
      <w:lang w:val="x-none" w:eastAsia="cs-CZ"/>
    </w:rPr>
  </w:style>
  <w:style w:type="character" w:customStyle="1" w:styleId="ObyajntextChar1601">
    <w:name w:val="Obyčajný text Char1601"/>
    <w:aliases w:val="Obyčajný text Char Char Char Char1602"/>
    <w:basedOn w:val="Predvolenpsmoodseku"/>
    <w:uiPriority w:val="99"/>
    <w:semiHidden/>
    <w:rPr>
      <w:rFonts w:ascii="Courier New" w:hAnsi="Courier New" w:cs="Courier New"/>
      <w:lang w:val="x-none" w:eastAsia="cs-CZ"/>
    </w:rPr>
  </w:style>
  <w:style w:type="character" w:customStyle="1" w:styleId="ObyajntextChar1600">
    <w:name w:val="Obyčajný text Char1600"/>
    <w:aliases w:val="Obyčajný text Char Char Char Char1601"/>
    <w:basedOn w:val="Predvolenpsmoodseku"/>
    <w:uiPriority w:val="99"/>
    <w:semiHidden/>
    <w:rPr>
      <w:rFonts w:ascii="Courier New" w:hAnsi="Courier New" w:cs="Courier New"/>
      <w:lang w:val="x-none" w:eastAsia="cs-CZ"/>
    </w:rPr>
  </w:style>
  <w:style w:type="character" w:customStyle="1" w:styleId="ObyajntextChar1599">
    <w:name w:val="Obyčajný text Char1599"/>
    <w:aliases w:val="Obyčajný text Char Char Char Char1600"/>
    <w:basedOn w:val="Predvolenpsmoodseku"/>
    <w:uiPriority w:val="99"/>
    <w:semiHidden/>
    <w:rPr>
      <w:rFonts w:ascii="Courier New" w:hAnsi="Courier New" w:cs="Courier New"/>
      <w:lang w:val="x-none" w:eastAsia="cs-CZ"/>
    </w:rPr>
  </w:style>
  <w:style w:type="character" w:customStyle="1" w:styleId="ObyajntextChar1598">
    <w:name w:val="Obyčajný text Char1598"/>
    <w:aliases w:val="Obyčajný text Char Char Char Char1599"/>
    <w:basedOn w:val="Predvolenpsmoodseku"/>
    <w:uiPriority w:val="99"/>
    <w:semiHidden/>
    <w:rPr>
      <w:rFonts w:ascii="Courier New" w:hAnsi="Courier New" w:cs="Courier New"/>
      <w:lang w:val="x-none" w:eastAsia="cs-CZ"/>
    </w:rPr>
  </w:style>
  <w:style w:type="character" w:customStyle="1" w:styleId="ObyajntextChar1597">
    <w:name w:val="Obyčajný text Char1597"/>
    <w:aliases w:val="Obyčajný text Char Char Char Char1598"/>
    <w:basedOn w:val="Predvolenpsmoodseku"/>
    <w:uiPriority w:val="99"/>
    <w:semiHidden/>
    <w:rPr>
      <w:rFonts w:ascii="Courier New" w:hAnsi="Courier New" w:cs="Courier New"/>
      <w:lang w:val="x-none" w:eastAsia="cs-CZ"/>
    </w:rPr>
  </w:style>
  <w:style w:type="character" w:customStyle="1" w:styleId="ObyajntextChar1596">
    <w:name w:val="Obyčajný text Char1596"/>
    <w:aliases w:val="Obyčajný text Char Char Char Char1597"/>
    <w:basedOn w:val="Predvolenpsmoodseku"/>
    <w:uiPriority w:val="99"/>
    <w:semiHidden/>
    <w:rPr>
      <w:rFonts w:ascii="Courier New" w:hAnsi="Courier New" w:cs="Courier New"/>
      <w:lang w:val="x-none" w:eastAsia="cs-CZ"/>
    </w:rPr>
  </w:style>
  <w:style w:type="character" w:customStyle="1" w:styleId="ObyajntextChar1595">
    <w:name w:val="Obyčajný text Char1595"/>
    <w:aliases w:val="Obyčajný text Char Char Char Char1596"/>
    <w:basedOn w:val="Predvolenpsmoodseku"/>
    <w:uiPriority w:val="99"/>
    <w:semiHidden/>
    <w:rPr>
      <w:rFonts w:ascii="Courier New" w:hAnsi="Courier New" w:cs="Courier New"/>
      <w:lang w:val="x-none" w:eastAsia="cs-CZ"/>
    </w:rPr>
  </w:style>
  <w:style w:type="character" w:customStyle="1" w:styleId="ObyajntextChar1594">
    <w:name w:val="Obyčajný text Char1594"/>
    <w:aliases w:val="Obyčajný text Char Char Char Char1595"/>
    <w:basedOn w:val="Predvolenpsmoodseku"/>
    <w:uiPriority w:val="99"/>
    <w:semiHidden/>
    <w:rPr>
      <w:rFonts w:ascii="Courier New" w:hAnsi="Courier New" w:cs="Courier New"/>
      <w:lang w:val="x-none" w:eastAsia="cs-CZ"/>
    </w:rPr>
  </w:style>
  <w:style w:type="character" w:customStyle="1" w:styleId="ObyajntextChar1593">
    <w:name w:val="Obyčajný text Char1593"/>
    <w:aliases w:val="Obyčajný text Char Char Char Char1594"/>
    <w:basedOn w:val="Predvolenpsmoodseku"/>
    <w:uiPriority w:val="99"/>
    <w:semiHidden/>
    <w:rPr>
      <w:rFonts w:ascii="Courier New" w:hAnsi="Courier New" w:cs="Courier New"/>
      <w:lang w:val="x-none" w:eastAsia="cs-CZ"/>
    </w:rPr>
  </w:style>
  <w:style w:type="character" w:customStyle="1" w:styleId="ObyajntextChar1592">
    <w:name w:val="Obyčajný text Char1592"/>
    <w:aliases w:val="Obyčajný text Char Char Char Char1593"/>
    <w:basedOn w:val="Predvolenpsmoodseku"/>
    <w:uiPriority w:val="99"/>
    <w:semiHidden/>
    <w:rPr>
      <w:rFonts w:ascii="Courier New" w:hAnsi="Courier New" w:cs="Courier New"/>
      <w:lang w:val="x-none" w:eastAsia="cs-CZ"/>
    </w:rPr>
  </w:style>
  <w:style w:type="character" w:customStyle="1" w:styleId="ObyajntextChar1591">
    <w:name w:val="Obyčajný text Char1591"/>
    <w:aliases w:val="Obyčajný text Char Char Char Char1592"/>
    <w:basedOn w:val="Predvolenpsmoodseku"/>
    <w:uiPriority w:val="99"/>
    <w:semiHidden/>
    <w:rPr>
      <w:rFonts w:ascii="Courier New" w:hAnsi="Courier New" w:cs="Courier New"/>
      <w:lang w:val="x-none" w:eastAsia="cs-CZ"/>
    </w:rPr>
  </w:style>
  <w:style w:type="character" w:customStyle="1" w:styleId="ObyajntextChar1590">
    <w:name w:val="Obyčajný text Char1590"/>
    <w:aliases w:val="Obyčajný text Char Char Char Char1591"/>
    <w:basedOn w:val="Predvolenpsmoodseku"/>
    <w:uiPriority w:val="99"/>
    <w:semiHidden/>
    <w:rPr>
      <w:rFonts w:ascii="Courier New" w:hAnsi="Courier New" w:cs="Courier New"/>
      <w:lang w:val="x-none" w:eastAsia="cs-CZ"/>
    </w:rPr>
  </w:style>
  <w:style w:type="character" w:customStyle="1" w:styleId="ObyajntextChar1589">
    <w:name w:val="Obyčajný text Char1589"/>
    <w:aliases w:val="Obyčajný text Char Char Char Char1590"/>
    <w:basedOn w:val="Predvolenpsmoodseku"/>
    <w:uiPriority w:val="99"/>
    <w:semiHidden/>
    <w:rPr>
      <w:rFonts w:ascii="Courier New" w:hAnsi="Courier New" w:cs="Courier New"/>
      <w:lang w:val="x-none" w:eastAsia="cs-CZ"/>
    </w:rPr>
  </w:style>
  <w:style w:type="character" w:customStyle="1" w:styleId="ObyajntextChar1588">
    <w:name w:val="Obyčajný text Char1588"/>
    <w:aliases w:val="Obyčajný text Char Char Char Char1589"/>
    <w:basedOn w:val="Predvolenpsmoodseku"/>
    <w:uiPriority w:val="99"/>
    <w:semiHidden/>
    <w:rPr>
      <w:rFonts w:ascii="Courier New" w:hAnsi="Courier New" w:cs="Courier New"/>
      <w:lang w:val="x-none" w:eastAsia="cs-CZ"/>
    </w:rPr>
  </w:style>
  <w:style w:type="character" w:customStyle="1" w:styleId="ObyajntextChar1587">
    <w:name w:val="Obyčajný text Char1587"/>
    <w:aliases w:val="Obyčajný text Char Char Char Char1588"/>
    <w:basedOn w:val="Predvolenpsmoodseku"/>
    <w:uiPriority w:val="99"/>
    <w:semiHidden/>
    <w:rPr>
      <w:rFonts w:ascii="Courier New" w:hAnsi="Courier New" w:cs="Courier New"/>
      <w:lang w:val="x-none" w:eastAsia="cs-CZ"/>
    </w:rPr>
  </w:style>
  <w:style w:type="character" w:customStyle="1" w:styleId="ObyajntextChar1586">
    <w:name w:val="Obyčajný text Char1586"/>
    <w:aliases w:val="Obyčajný text Char Char Char Char1587"/>
    <w:basedOn w:val="Predvolenpsmoodseku"/>
    <w:uiPriority w:val="99"/>
    <w:semiHidden/>
    <w:rPr>
      <w:rFonts w:ascii="Courier New" w:hAnsi="Courier New" w:cs="Courier New"/>
      <w:lang w:val="x-none" w:eastAsia="cs-CZ"/>
    </w:rPr>
  </w:style>
  <w:style w:type="character" w:customStyle="1" w:styleId="ObyajntextChar1585">
    <w:name w:val="Obyčajný text Char1585"/>
    <w:aliases w:val="Obyčajný text Char Char Char Char1586"/>
    <w:basedOn w:val="Predvolenpsmoodseku"/>
    <w:uiPriority w:val="99"/>
    <w:semiHidden/>
    <w:rPr>
      <w:rFonts w:ascii="Courier New" w:hAnsi="Courier New" w:cs="Courier New"/>
      <w:lang w:val="x-none" w:eastAsia="cs-CZ"/>
    </w:rPr>
  </w:style>
  <w:style w:type="character" w:customStyle="1" w:styleId="ObyajntextChar1584">
    <w:name w:val="Obyčajný text Char1584"/>
    <w:aliases w:val="Obyčajný text Char Char Char Char1585"/>
    <w:basedOn w:val="Predvolenpsmoodseku"/>
    <w:uiPriority w:val="99"/>
    <w:semiHidden/>
    <w:rPr>
      <w:rFonts w:ascii="Courier New" w:hAnsi="Courier New" w:cs="Courier New"/>
      <w:lang w:val="x-none" w:eastAsia="cs-CZ"/>
    </w:rPr>
  </w:style>
  <w:style w:type="character" w:customStyle="1" w:styleId="ObyajntextChar1583">
    <w:name w:val="Obyčajný text Char1583"/>
    <w:aliases w:val="Obyčajný text Char Char Char Char1584"/>
    <w:basedOn w:val="Predvolenpsmoodseku"/>
    <w:uiPriority w:val="99"/>
    <w:semiHidden/>
    <w:rPr>
      <w:rFonts w:ascii="Courier New" w:hAnsi="Courier New" w:cs="Courier New"/>
      <w:lang w:val="x-none" w:eastAsia="cs-CZ"/>
    </w:rPr>
  </w:style>
  <w:style w:type="character" w:customStyle="1" w:styleId="ObyajntextChar1582">
    <w:name w:val="Obyčajný text Char1582"/>
    <w:aliases w:val="Obyčajný text Char Char Char Char1583"/>
    <w:basedOn w:val="Predvolenpsmoodseku"/>
    <w:uiPriority w:val="99"/>
    <w:semiHidden/>
    <w:rPr>
      <w:rFonts w:ascii="Courier New" w:hAnsi="Courier New" w:cs="Courier New"/>
      <w:lang w:val="x-none" w:eastAsia="cs-CZ"/>
    </w:rPr>
  </w:style>
  <w:style w:type="character" w:customStyle="1" w:styleId="ObyajntextChar1581">
    <w:name w:val="Obyčajný text Char1581"/>
    <w:aliases w:val="Obyčajný text Char Char Char Char1582"/>
    <w:basedOn w:val="Predvolenpsmoodseku"/>
    <w:uiPriority w:val="99"/>
    <w:semiHidden/>
    <w:rPr>
      <w:rFonts w:ascii="Courier New" w:hAnsi="Courier New" w:cs="Courier New"/>
      <w:lang w:val="x-none" w:eastAsia="cs-CZ"/>
    </w:rPr>
  </w:style>
  <w:style w:type="character" w:customStyle="1" w:styleId="ObyajntextChar1580">
    <w:name w:val="Obyčajný text Char1580"/>
    <w:aliases w:val="Obyčajný text Char Char Char Char1581"/>
    <w:basedOn w:val="Predvolenpsmoodseku"/>
    <w:uiPriority w:val="99"/>
    <w:semiHidden/>
    <w:rPr>
      <w:rFonts w:ascii="Courier New" w:hAnsi="Courier New" w:cs="Courier New"/>
      <w:lang w:val="x-none" w:eastAsia="cs-CZ"/>
    </w:rPr>
  </w:style>
  <w:style w:type="character" w:customStyle="1" w:styleId="ObyajntextChar1579">
    <w:name w:val="Obyčajný text Char1579"/>
    <w:aliases w:val="Obyčajný text Char Char Char Char1580"/>
    <w:basedOn w:val="Predvolenpsmoodseku"/>
    <w:uiPriority w:val="99"/>
    <w:semiHidden/>
    <w:rPr>
      <w:rFonts w:ascii="Courier New" w:hAnsi="Courier New" w:cs="Courier New"/>
      <w:lang w:val="x-none" w:eastAsia="cs-CZ"/>
    </w:rPr>
  </w:style>
  <w:style w:type="character" w:customStyle="1" w:styleId="ObyajntextChar1578">
    <w:name w:val="Obyčajný text Char1578"/>
    <w:aliases w:val="Obyčajný text Char Char Char Char1579"/>
    <w:basedOn w:val="Predvolenpsmoodseku"/>
    <w:uiPriority w:val="99"/>
    <w:semiHidden/>
    <w:rPr>
      <w:rFonts w:ascii="Courier New" w:hAnsi="Courier New" w:cs="Courier New"/>
      <w:lang w:val="x-none" w:eastAsia="cs-CZ"/>
    </w:rPr>
  </w:style>
  <w:style w:type="character" w:customStyle="1" w:styleId="ObyajntextChar1577">
    <w:name w:val="Obyčajný text Char1577"/>
    <w:aliases w:val="Obyčajný text Char Char Char Char1578"/>
    <w:basedOn w:val="Predvolenpsmoodseku"/>
    <w:uiPriority w:val="99"/>
    <w:semiHidden/>
    <w:rPr>
      <w:rFonts w:ascii="Courier New" w:hAnsi="Courier New" w:cs="Courier New"/>
      <w:lang w:val="x-none" w:eastAsia="cs-CZ"/>
    </w:rPr>
  </w:style>
  <w:style w:type="character" w:customStyle="1" w:styleId="ObyajntextChar1576">
    <w:name w:val="Obyčajný text Char1576"/>
    <w:aliases w:val="Obyčajný text Char Char Char Char1577"/>
    <w:basedOn w:val="Predvolenpsmoodseku"/>
    <w:uiPriority w:val="99"/>
    <w:semiHidden/>
    <w:rPr>
      <w:rFonts w:ascii="Courier New" w:hAnsi="Courier New" w:cs="Courier New"/>
      <w:lang w:val="x-none" w:eastAsia="cs-CZ"/>
    </w:rPr>
  </w:style>
  <w:style w:type="character" w:customStyle="1" w:styleId="ObyajntextChar1575">
    <w:name w:val="Obyčajný text Char1575"/>
    <w:aliases w:val="Obyčajný text Char Char Char Char1576"/>
    <w:basedOn w:val="Predvolenpsmoodseku"/>
    <w:uiPriority w:val="99"/>
    <w:semiHidden/>
    <w:rPr>
      <w:rFonts w:ascii="Courier New" w:hAnsi="Courier New" w:cs="Courier New"/>
      <w:lang w:val="x-none" w:eastAsia="cs-CZ"/>
    </w:rPr>
  </w:style>
  <w:style w:type="character" w:customStyle="1" w:styleId="ObyajntextChar1574">
    <w:name w:val="Obyčajný text Char1574"/>
    <w:aliases w:val="Obyčajný text Char Char Char Char1575"/>
    <w:basedOn w:val="Predvolenpsmoodseku"/>
    <w:uiPriority w:val="99"/>
    <w:semiHidden/>
    <w:rPr>
      <w:rFonts w:ascii="Courier New" w:hAnsi="Courier New" w:cs="Courier New"/>
      <w:lang w:val="x-none" w:eastAsia="cs-CZ"/>
    </w:rPr>
  </w:style>
  <w:style w:type="character" w:customStyle="1" w:styleId="ObyajntextChar1573">
    <w:name w:val="Obyčajný text Char1573"/>
    <w:aliases w:val="Obyčajný text Char Char Char Char1574"/>
    <w:basedOn w:val="Predvolenpsmoodseku"/>
    <w:uiPriority w:val="99"/>
    <w:semiHidden/>
    <w:rPr>
      <w:rFonts w:ascii="Courier New" w:hAnsi="Courier New" w:cs="Courier New"/>
      <w:lang w:val="x-none" w:eastAsia="cs-CZ"/>
    </w:rPr>
  </w:style>
  <w:style w:type="character" w:customStyle="1" w:styleId="ObyajntextChar1572">
    <w:name w:val="Obyčajný text Char1572"/>
    <w:aliases w:val="Obyčajný text Char Char Char Char1573"/>
    <w:basedOn w:val="Predvolenpsmoodseku"/>
    <w:uiPriority w:val="99"/>
    <w:semiHidden/>
    <w:rPr>
      <w:rFonts w:ascii="Courier New" w:hAnsi="Courier New" w:cs="Courier New"/>
      <w:lang w:val="x-none" w:eastAsia="cs-CZ"/>
    </w:rPr>
  </w:style>
  <w:style w:type="character" w:customStyle="1" w:styleId="ObyajntextChar1571">
    <w:name w:val="Obyčajný text Char1571"/>
    <w:aliases w:val="Obyčajný text Char Char Char Char1572"/>
    <w:basedOn w:val="Predvolenpsmoodseku"/>
    <w:uiPriority w:val="99"/>
    <w:semiHidden/>
    <w:rPr>
      <w:rFonts w:ascii="Courier New" w:hAnsi="Courier New" w:cs="Courier New"/>
      <w:lang w:val="x-none" w:eastAsia="cs-CZ"/>
    </w:rPr>
  </w:style>
  <w:style w:type="character" w:customStyle="1" w:styleId="ObyajntextChar1570">
    <w:name w:val="Obyčajný text Char1570"/>
    <w:aliases w:val="Obyčajný text Char Char Char Char1571"/>
    <w:basedOn w:val="Predvolenpsmoodseku"/>
    <w:uiPriority w:val="99"/>
    <w:semiHidden/>
    <w:rPr>
      <w:rFonts w:ascii="Courier New" w:hAnsi="Courier New" w:cs="Courier New"/>
      <w:lang w:val="x-none" w:eastAsia="cs-CZ"/>
    </w:rPr>
  </w:style>
  <w:style w:type="character" w:customStyle="1" w:styleId="ObyajntextChar1569">
    <w:name w:val="Obyčajný text Char1569"/>
    <w:aliases w:val="Obyčajný text Char Char Char Char1570"/>
    <w:basedOn w:val="Predvolenpsmoodseku"/>
    <w:uiPriority w:val="99"/>
    <w:semiHidden/>
    <w:rPr>
      <w:rFonts w:ascii="Courier New" w:hAnsi="Courier New" w:cs="Courier New"/>
      <w:lang w:val="x-none" w:eastAsia="cs-CZ"/>
    </w:rPr>
  </w:style>
  <w:style w:type="character" w:customStyle="1" w:styleId="ObyajntextChar1568">
    <w:name w:val="Obyčajný text Char1568"/>
    <w:aliases w:val="Obyčajný text Char Char Char Char1569"/>
    <w:basedOn w:val="Predvolenpsmoodseku"/>
    <w:uiPriority w:val="99"/>
    <w:semiHidden/>
    <w:rPr>
      <w:rFonts w:ascii="Courier New" w:hAnsi="Courier New" w:cs="Courier New"/>
      <w:lang w:val="x-none" w:eastAsia="cs-CZ"/>
    </w:rPr>
  </w:style>
  <w:style w:type="character" w:customStyle="1" w:styleId="ObyajntextChar1567">
    <w:name w:val="Obyčajný text Char1567"/>
    <w:aliases w:val="Obyčajný text Char Char Char Char1568"/>
    <w:basedOn w:val="Predvolenpsmoodseku"/>
    <w:uiPriority w:val="99"/>
    <w:semiHidden/>
    <w:rPr>
      <w:rFonts w:ascii="Courier New" w:hAnsi="Courier New" w:cs="Courier New"/>
      <w:lang w:val="x-none" w:eastAsia="cs-CZ"/>
    </w:rPr>
  </w:style>
  <w:style w:type="character" w:customStyle="1" w:styleId="ObyajntextChar1566">
    <w:name w:val="Obyčajný text Char1566"/>
    <w:aliases w:val="Obyčajný text Char Char Char Char1567"/>
    <w:basedOn w:val="Predvolenpsmoodseku"/>
    <w:uiPriority w:val="99"/>
    <w:semiHidden/>
    <w:rPr>
      <w:rFonts w:ascii="Courier New" w:hAnsi="Courier New" w:cs="Courier New"/>
      <w:lang w:val="x-none" w:eastAsia="cs-CZ"/>
    </w:rPr>
  </w:style>
  <w:style w:type="character" w:customStyle="1" w:styleId="ObyajntextChar1565">
    <w:name w:val="Obyčajný text Char1565"/>
    <w:aliases w:val="Obyčajný text Char Char Char Char1566"/>
    <w:basedOn w:val="Predvolenpsmoodseku"/>
    <w:uiPriority w:val="99"/>
    <w:semiHidden/>
    <w:rPr>
      <w:rFonts w:ascii="Courier New" w:hAnsi="Courier New" w:cs="Courier New"/>
      <w:lang w:val="x-none" w:eastAsia="cs-CZ"/>
    </w:rPr>
  </w:style>
  <w:style w:type="character" w:customStyle="1" w:styleId="ObyajntextChar1564">
    <w:name w:val="Obyčajný text Char1564"/>
    <w:aliases w:val="Obyčajný text Char Char Char Char1565"/>
    <w:basedOn w:val="Predvolenpsmoodseku"/>
    <w:uiPriority w:val="99"/>
    <w:semiHidden/>
    <w:rPr>
      <w:rFonts w:ascii="Courier New" w:hAnsi="Courier New" w:cs="Courier New"/>
      <w:lang w:val="x-none" w:eastAsia="cs-CZ"/>
    </w:rPr>
  </w:style>
  <w:style w:type="character" w:customStyle="1" w:styleId="ObyajntextChar1563">
    <w:name w:val="Obyčajný text Char1563"/>
    <w:aliases w:val="Obyčajný text Char Char Char Char1564"/>
    <w:basedOn w:val="Predvolenpsmoodseku"/>
    <w:uiPriority w:val="99"/>
    <w:semiHidden/>
    <w:rPr>
      <w:rFonts w:ascii="Courier New" w:hAnsi="Courier New" w:cs="Courier New"/>
      <w:lang w:val="x-none" w:eastAsia="cs-CZ"/>
    </w:rPr>
  </w:style>
  <w:style w:type="character" w:customStyle="1" w:styleId="ObyajntextChar1562">
    <w:name w:val="Obyčajný text Char1562"/>
    <w:aliases w:val="Obyčajný text Char Char Char Char1563"/>
    <w:basedOn w:val="Predvolenpsmoodseku"/>
    <w:uiPriority w:val="99"/>
    <w:semiHidden/>
    <w:rPr>
      <w:rFonts w:ascii="Courier New" w:hAnsi="Courier New" w:cs="Courier New"/>
      <w:lang w:val="x-none" w:eastAsia="cs-CZ"/>
    </w:rPr>
  </w:style>
  <w:style w:type="character" w:customStyle="1" w:styleId="ObyajntextChar1561">
    <w:name w:val="Obyčajný text Char1561"/>
    <w:aliases w:val="Obyčajný text Char Char Char Char1562"/>
    <w:basedOn w:val="Predvolenpsmoodseku"/>
    <w:uiPriority w:val="99"/>
    <w:semiHidden/>
    <w:rPr>
      <w:rFonts w:ascii="Courier New" w:hAnsi="Courier New" w:cs="Courier New"/>
      <w:lang w:val="x-none" w:eastAsia="cs-CZ"/>
    </w:rPr>
  </w:style>
  <w:style w:type="character" w:customStyle="1" w:styleId="ObyajntextChar1560">
    <w:name w:val="Obyčajný text Char1560"/>
    <w:aliases w:val="Obyčajný text Char Char Char Char1561"/>
    <w:basedOn w:val="Predvolenpsmoodseku"/>
    <w:uiPriority w:val="99"/>
    <w:semiHidden/>
    <w:rPr>
      <w:rFonts w:ascii="Courier New" w:hAnsi="Courier New" w:cs="Courier New"/>
      <w:lang w:val="x-none" w:eastAsia="cs-CZ"/>
    </w:rPr>
  </w:style>
  <w:style w:type="character" w:customStyle="1" w:styleId="ObyajntextChar1559">
    <w:name w:val="Obyčajný text Char1559"/>
    <w:aliases w:val="Obyčajný text Char Char Char Char1560"/>
    <w:basedOn w:val="Predvolenpsmoodseku"/>
    <w:uiPriority w:val="99"/>
    <w:semiHidden/>
    <w:rPr>
      <w:rFonts w:ascii="Courier New" w:hAnsi="Courier New" w:cs="Courier New"/>
      <w:lang w:val="x-none" w:eastAsia="cs-CZ"/>
    </w:rPr>
  </w:style>
  <w:style w:type="character" w:customStyle="1" w:styleId="ObyajntextChar1558">
    <w:name w:val="Obyčajný text Char1558"/>
    <w:aliases w:val="Obyčajný text Char Char Char Char1559"/>
    <w:basedOn w:val="Predvolenpsmoodseku"/>
    <w:uiPriority w:val="99"/>
    <w:semiHidden/>
    <w:rPr>
      <w:rFonts w:ascii="Courier New" w:hAnsi="Courier New" w:cs="Courier New"/>
      <w:lang w:val="x-none" w:eastAsia="cs-CZ"/>
    </w:rPr>
  </w:style>
  <w:style w:type="character" w:customStyle="1" w:styleId="ObyajntextChar1557">
    <w:name w:val="Obyčajný text Char1557"/>
    <w:aliases w:val="Obyčajný text Char Char Char Char1558"/>
    <w:basedOn w:val="Predvolenpsmoodseku"/>
    <w:uiPriority w:val="99"/>
    <w:semiHidden/>
    <w:rPr>
      <w:rFonts w:ascii="Courier New" w:hAnsi="Courier New" w:cs="Courier New"/>
      <w:lang w:val="x-none" w:eastAsia="cs-CZ"/>
    </w:rPr>
  </w:style>
  <w:style w:type="character" w:customStyle="1" w:styleId="ObyajntextChar1556">
    <w:name w:val="Obyčajný text Char1556"/>
    <w:aliases w:val="Obyčajný text Char Char Char Char1557"/>
    <w:basedOn w:val="Predvolenpsmoodseku"/>
    <w:uiPriority w:val="99"/>
    <w:semiHidden/>
    <w:rPr>
      <w:rFonts w:ascii="Courier New" w:hAnsi="Courier New" w:cs="Courier New"/>
      <w:lang w:val="x-none" w:eastAsia="cs-CZ"/>
    </w:rPr>
  </w:style>
  <w:style w:type="character" w:customStyle="1" w:styleId="ObyajntextChar1555">
    <w:name w:val="Obyčajný text Char1555"/>
    <w:aliases w:val="Obyčajný text Char Char Char Char1556"/>
    <w:basedOn w:val="Predvolenpsmoodseku"/>
    <w:uiPriority w:val="99"/>
    <w:semiHidden/>
    <w:rPr>
      <w:rFonts w:ascii="Courier New" w:hAnsi="Courier New" w:cs="Courier New"/>
      <w:lang w:val="x-none" w:eastAsia="cs-CZ"/>
    </w:rPr>
  </w:style>
  <w:style w:type="character" w:customStyle="1" w:styleId="ObyajntextChar1554">
    <w:name w:val="Obyčajný text Char1554"/>
    <w:aliases w:val="Obyčajný text Char Char Char Char1555"/>
    <w:basedOn w:val="Predvolenpsmoodseku"/>
    <w:uiPriority w:val="99"/>
    <w:semiHidden/>
    <w:rPr>
      <w:rFonts w:ascii="Courier New" w:hAnsi="Courier New" w:cs="Courier New"/>
      <w:lang w:val="x-none" w:eastAsia="cs-CZ"/>
    </w:rPr>
  </w:style>
  <w:style w:type="character" w:customStyle="1" w:styleId="ObyajntextChar1553">
    <w:name w:val="Obyčajný text Char1553"/>
    <w:aliases w:val="Obyčajný text Char Char Char Char1554"/>
    <w:basedOn w:val="Predvolenpsmoodseku"/>
    <w:uiPriority w:val="99"/>
    <w:semiHidden/>
    <w:rPr>
      <w:rFonts w:ascii="Courier New" w:hAnsi="Courier New" w:cs="Courier New"/>
      <w:lang w:val="x-none" w:eastAsia="cs-CZ"/>
    </w:rPr>
  </w:style>
  <w:style w:type="character" w:customStyle="1" w:styleId="ObyajntextChar1552">
    <w:name w:val="Obyčajný text Char1552"/>
    <w:aliases w:val="Obyčajný text Char Char Char Char1553"/>
    <w:basedOn w:val="Predvolenpsmoodseku"/>
    <w:uiPriority w:val="99"/>
    <w:semiHidden/>
    <w:rPr>
      <w:rFonts w:ascii="Courier New" w:hAnsi="Courier New" w:cs="Courier New"/>
      <w:lang w:val="x-none" w:eastAsia="cs-CZ"/>
    </w:rPr>
  </w:style>
  <w:style w:type="character" w:customStyle="1" w:styleId="ObyajntextChar1551">
    <w:name w:val="Obyčajný text Char1551"/>
    <w:aliases w:val="Obyčajný text Char Char Char Char1552"/>
    <w:basedOn w:val="Predvolenpsmoodseku"/>
    <w:uiPriority w:val="99"/>
    <w:semiHidden/>
    <w:rPr>
      <w:rFonts w:ascii="Courier New" w:hAnsi="Courier New" w:cs="Courier New"/>
      <w:lang w:val="x-none" w:eastAsia="cs-CZ"/>
    </w:rPr>
  </w:style>
  <w:style w:type="character" w:customStyle="1" w:styleId="ObyajntextChar1550">
    <w:name w:val="Obyčajný text Char1550"/>
    <w:aliases w:val="Obyčajný text Char Char Char Char1551"/>
    <w:basedOn w:val="Predvolenpsmoodseku"/>
    <w:uiPriority w:val="99"/>
    <w:semiHidden/>
    <w:rPr>
      <w:rFonts w:ascii="Courier New" w:hAnsi="Courier New" w:cs="Courier New"/>
      <w:lang w:val="x-none" w:eastAsia="cs-CZ"/>
    </w:rPr>
  </w:style>
  <w:style w:type="character" w:customStyle="1" w:styleId="ObyajntextChar1549">
    <w:name w:val="Obyčajný text Char1549"/>
    <w:aliases w:val="Obyčajný text Char Char Char Char1550"/>
    <w:basedOn w:val="Predvolenpsmoodseku"/>
    <w:uiPriority w:val="99"/>
    <w:semiHidden/>
    <w:rPr>
      <w:rFonts w:ascii="Courier New" w:hAnsi="Courier New" w:cs="Courier New"/>
      <w:lang w:val="x-none" w:eastAsia="cs-CZ"/>
    </w:rPr>
  </w:style>
  <w:style w:type="character" w:customStyle="1" w:styleId="ObyajntextChar1548">
    <w:name w:val="Obyčajný text Char1548"/>
    <w:aliases w:val="Obyčajný text Char Char Char Char1549"/>
    <w:basedOn w:val="Predvolenpsmoodseku"/>
    <w:uiPriority w:val="99"/>
    <w:semiHidden/>
    <w:rPr>
      <w:rFonts w:ascii="Courier New" w:hAnsi="Courier New" w:cs="Courier New"/>
      <w:lang w:val="x-none" w:eastAsia="cs-CZ"/>
    </w:rPr>
  </w:style>
  <w:style w:type="character" w:customStyle="1" w:styleId="ObyajntextChar1547">
    <w:name w:val="Obyčajný text Char1547"/>
    <w:aliases w:val="Obyčajný text Char Char Char Char1548"/>
    <w:basedOn w:val="Predvolenpsmoodseku"/>
    <w:uiPriority w:val="99"/>
    <w:semiHidden/>
    <w:rPr>
      <w:rFonts w:ascii="Courier New" w:hAnsi="Courier New" w:cs="Courier New"/>
      <w:lang w:val="x-none" w:eastAsia="cs-CZ"/>
    </w:rPr>
  </w:style>
  <w:style w:type="character" w:customStyle="1" w:styleId="ObyajntextChar1546">
    <w:name w:val="Obyčajný text Char1546"/>
    <w:aliases w:val="Obyčajný text Char Char Char Char1547"/>
    <w:basedOn w:val="Predvolenpsmoodseku"/>
    <w:uiPriority w:val="99"/>
    <w:semiHidden/>
    <w:rPr>
      <w:rFonts w:ascii="Courier New" w:hAnsi="Courier New" w:cs="Courier New"/>
      <w:lang w:val="x-none" w:eastAsia="cs-CZ"/>
    </w:rPr>
  </w:style>
  <w:style w:type="character" w:customStyle="1" w:styleId="ObyajntextChar1545">
    <w:name w:val="Obyčajný text Char1545"/>
    <w:aliases w:val="Obyčajný text Char Char Char Char1546"/>
    <w:basedOn w:val="Predvolenpsmoodseku"/>
    <w:uiPriority w:val="99"/>
    <w:semiHidden/>
    <w:rPr>
      <w:rFonts w:ascii="Courier New" w:hAnsi="Courier New" w:cs="Courier New"/>
      <w:lang w:val="x-none" w:eastAsia="cs-CZ"/>
    </w:rPr>
  </w:style>
  <w:style w:type="character" w:customStyle="1" w:styleId="ObyajntextChar1544">
    <w:name w:val="Obyčajný text Char1544"/>
    <w:aliases w:val="Obyčajný text Char Char Char Char1545"/>
    <w:basedOn w:val="Predvolenpsmoodseku"/>
    <w:uiPriority w:val="99"/>
    <w:semiHidden/>
    <w:rPr>
      <w:rFonts w:ascii="Courier New" w:hAnsi="Courier New" w:cs="Courier New"/>
      <w:lang w:val="x-none" w:eastAsia="cs-CZ"/>
    </w:rPr>
  </w:style>
  <w:style w:type="character" w:customStyle="1" w:styleId="ObyajntextChar1543">
    <w:name w:val="Obyčajný text Char1543"/>
    <w:aliases w:val="Obyčajný text Char Char Char Char1544"/>
    <w:basedOn w:val="Predvolenpsmoodseku"/>
    <w:uiPriority w:val="99"/>
    <w:semiHidden/>
    <w:rPr>
      <w:rFonts w:ascii="Courier New" w:hAnsi="Courier New" w:cs="Courier New"/>
      <w:lang w:val="x-none" w:eastAsia="cs-CZ"/>
    </w:rPr>
  </w:style>
  <w:style w:type="character" w:customStyle="1" w:styleId="ObyajntextChar1542">
    <w:name w:val="Obyčajný text Char1542"/>
    <w:aliases w:val="Obyčajný text Char Char Char Char1543"/>
    <w:basedOn w:val="Predvolenpsmoodseku"/>
    <w:uiPriority w:val="99"/>
    <w:semiHidden/>
    <w:rPr>
      <w:rFonts w:ascii="Courier New" w:hAnsi="Courier New" w:cs="Courier New"/>
      <w:lang w:val="x-none" w:eastAsia="cs-CZ"/>
    </w:rPr>
  </w:style>
  <w:style w:type="character" w:customStyle="1" w:styleId="ObyajntextChar1541">
    <w:name w:val="Obyčajný text Char1541"/>
    <w:aliases w:val="Obyčajný text Char Char Char Char1542"/>
    <w:basedOn w:val="Predvolenpsmoodseku"/>
    <w:uiPriority w:val="99"/>
    <w:semiHidden/>
    <w:rPr>
      <w:rFonts w:ascii="Courier New" w:hAnsi="Courier New" w:cs="Courier New"/>
      <w:lang w:val="x-none" w:eastAsia="cs-CZ"/>
    </w:rPr>
  </w:style>
  <w:style w:type="character" w:customStyle="1" w:styleId="ObyajntextChar1540">
    <w:name w:val="Obyčajný text Char1540"/>
    <w:aliases w:val="Obyčajný text Char Char Char Char1541"/>
    <w:basedOn w:val="Predvolenpsmoodseku"/>
    <w:uiPriority w:val="99"/>
    <w:semiHidden/>
    <w:rPr>
      <w:rFonts w:ascii="Courier New" w:hAnsi="Courier New" w:cs="Courier New"/>
      <w:lang w:val="x-none" w:eastAsia="cs-CZ"/>
    </w:rPr>
  </w:style>
  <w:style w:type="character" w:customStyle="1" w:styleId="ObyajntextChar1539">
    <w:name w:val="Obyčajný text Char1539"/>
    <w:aliases w:val="Obyčajný text Char Char Char Char1540"/>
    <w:basedOn w:val="Predvolenpsmoodseku"/>
    <w:uiPriority w:val="99"/>
    <w:semiHidden/>
    <w:rPr>
      <w:rFonts w:ascii="Courier New" w:hAnsi="Courier New" w:cs="Courier New"/>
      <w:lang w:val="x-none" w:eastAsia="cs-CZ"/>
    </w:rPr>
  </w:style>
  <w:style w:type="character" w:customStyle="1" w:styleId="ObyajntextChar1538">
    <w:name w:val="Obyčajný text Char1538"/>
    <w:aliases w:val="Obyčajný text Char Char Char Char1539"/>
    <w:basedOn w:val="Predvolenpsmoodseku"/>
    <w:uiPriority w:val="99"/>
    <w:semiHidden/>
    <w:rPr>
      <w:rFonts w:ascii="Courier New" w:hAnsi="Courier New" w:cs="Courier New"/>
      <w:lang w:val="x-none" w:eastAsia="cs-CZ"/>
    </w:rPr>
  </w:style>
  <w:style w:type="character" w:customStyle="1" w:styleId="ObyajntextChar1537">
    <w:name w:val="Obyčajný text Char1537"/>
    <w:aliases w:val="Obyčajný text Char Char Char Char1538"/>
    <w:basedOn w:val="Predvolenpsmoodseku"/>
    <w:uiPriority w:val="99"/>
    <w:semiHidden/>
    <w:rPr>
      <w:rFonts w:ascii="Courier New" w:hAnsi="Courier New" w:cs="Courier New"/>
      <w:lang w:val="x-none" w:eastAsia="cs-CZ"/>
    </w:rPr>
  </w:style>
  <w:style w:type="character" w:customStyle="1" w:styleId="ObyajntextChar1536">
    <w:name w:val="Obyčajný text Char1536"/>
    <w:aliases w:val="Obyčajný text Char Char Char Char1537"/>
    <w:basedOn w:val="Predvolenpsmoodseku"/>
    <w:uiPriority w:val="99"/>
    <w:semiHidden/>
    <w:rPr>
      <w:rFonts w:ascii="Courier New" w:hAnsi="Courier New" w:cs="Courier New"/>
      <w:lang w:val="x-none" w:eastAsia="cs-CZ"/>
    </w:rPr>
  </w:style>
  <w:style w:type="character" w:customStyle="1" w:styleId="ObyajntextChar1535">
    <w:name w:val="Obyčajný text Char1535"/>
    <w:aliases w:val="Obyčajný text Char Char Char Char1536"/>
    <w:basedOn w:val="Predvolenpsmoodseku"/>
    <w:uiPriority w:val="99"/>
    <w:semiHidden/>
    <w:rPr>
      <w:rFonts w:ascii="Courier New" w:hAnsi="Courier New" w:cs="Courier New"/>
      <w:lang w:val="x-none" w:eastAsia="cs-CZ"/>
    </w:rPr>
  </w:style>
  <w:style w:type="character" w:customStyle="1" w:styleId="ObyajntextChar1534">
    <w:name w:val="Obyčajný text Char1534"/>
    <w:aliases w:val="Obyčajný text Char Char Char Char1535"/>
    <w:basedOn w:val="Predvolenpsmoodseku"/>
    <w:uiPriority w:val="99"/>
    <w:semiHidden/>
    <w:rPr>
      <w:rFonts w:ascii="Courier New" w:hAnsi="Courier New" w:cs="Courier New"/>
      <w:lang w:val="x-none" w:eastAsia="cs-CZ"/>
    </w:rPr>
  </w:style>
  <w:style w:type="character" w:customStyle="1" w:styleId="ObyajntextChar1533">
    <w:name w:val="Obyčajný text Char1533"/>
    <w:aliases w:val="Obyčajný text Char Char Char Char1534"/>
    <w:basedOn w:val="Predvolenpsmoodseku"/>
    <w:uiPriority w:val="99"/>
    <w:semiHidden/>
    <w:rPr>
      <w:rFonts w:ascii="Courier New" w:hAnsi="Courier New" w:cs="Courier New"/>
      <w:lang w:val="x-none" w:eastAsia="cs-CZ"/>
    </w:rPr>
  </w:style>
  <w:style w:type="character" w:customStyle="1" w:styleId="ObyajntextChar1532">
    <w:name w:val="Obyčajný text Char1532"/>
    <w:aliases w:val="Obyčajný text Char Char Char Char1533"/>
    <w:basedOn w:val="Predvolenpsmoodseku"/>
    <w:uiPriority w:val="99"/>
    <w:semiHidden/>
    <w:rPr>
      <w:rFonts w:ascii="Courier New" w:hAnsi="Courier New" w:cs="Courier New"/>
      <w:lang w:val="x-none" w:eastAsia="cs-CZ"/>
    </w:rPr>
  </w:style>
  <w:style w:type="character" w:customStyle="1" w:styleId="ObyajntextChar1531">
    <w:name w:val="Obyčajný text Char1531"/>
    <w:aliases w:val="Obyčajný text Char Char Char Char1532"/>
    <w:basedOn w:val="Predvolenpsmoodseku"/>
    <w:uiPriority w:val="99"/>
    <w:semiHidden/>
    <w:rPr>
      <w:rFonts w:ascii="Courier New" w:hAnsi="Courier New" w:cs="Courier New"/>
      <w:lang w:val="x-none" w:eastAsia="cs-CZ"/>
    </w:rPr>
  </w:style>
  <w:style w:type="character" w:customStyle="1" w:styleId="ObyajntextChar1530">
    <w:name w:val="Obyčajný text Char1530"/>
    <w:aliases w:val="Obyčajný text Char Char Char Char1531"/>
    <w:basedOn w:val="Predvolenpsmoodseku"/>
    <w:uiPriority w:val="99"/>
    <w:semiHidden/>
    <w:rPr>
      <w:rFonts w:ascii="Courier New" w:hAnsi="Courier New" w:cs="Courier New"/>
      <w:lang w:val="x-none" w:eastAsia="cs-CZ"/>
    </w:rPr>
  </w:style>
  <w:style w:type="character" w:customStyle="1" w:styleId="ObyajntextChar1529">
    <w:name w:val="Obyčajný text Char1529"/>
    <w:aliases w:val="Obyčajný text Char Char Char Char1530"/>
    <w:basedOn w:val="Predvolenpsmoodseku"/>
    <w:uiPriority w:val="99"/>
    <w:semiHidden/>
    <w:rPr>
      <w:rFonts w:ascii="Courier New" w:hAnsi="Courier New" w:cs="Courier New"/>
      <w:lang w:val="x-none" w:eastAsia="cs-CZ"/>
    </w:rPr>
  </w:style>
  <w:style w:type="character" w:customStyle="1" w:styleId="ObyajntextChar1528">
    <w:name w:val="Obyčajný text Char1528"/>
    <w:aliases w:val="Obyčajný text Char Char Char Char1529"/>
    <w:basedOn w:val="Predvolenpsmoodseku"/>
    <w:uiPriority w:val="99"/>
    <w:semiHidden/>
    <w:rPr>
      <w:rFonts w:ascii="Courier New" w:hAnsi="Courier New" w:cs="Courier New"/>
      <w:lang w:val="x-none" w:eastAsia="cs-CZ"/>
    </w:rPr>
  </w:style>
  <w:style w:type="character" w:customStyle="1" w:styleId="ObyajntextChar1527">
    <w:name w:val="Obyčajný text Char1527"/>
    <w:aliases w:val="Obyčajný text Char Char Char Char1528"/>
    <w:basedOn w:val="Predvolenpsmoodseku"/>
    <w:uiPriority w:val="99"/>
    <w:semiHidden/>
    <w:rPr>
      <w:rFonts w:ascii="Courier New" w:hAnsi="Courier New" w:cs="Courier New"/>
      <w:lang w:val="x-none" w:eastAsia="cs-CZ"/>
    </w:rPr>
  </w:style>
  <w:style w:type="character" w:customStyle="1" w:styleId="ObyajntextChar1526">
    <w:name w:val="Obyčajný text Char1526"/>
    <w:aliases w:val="Obyčajný text Char Char Char Char1527"/>
    <w:basedOn w:val="Predvolenpsmoodseku"/>
    <w:uiPriority w:val="99"/>
    <w:semiHidden/>
    <w:rPr>
      <w:rFonts w:ascii="Courier New" w:hAnsi="Courier New" w:cs="Courier New"/>
      <w:lang w:val="x-none" w:eastAsia="cs-CZ"/>
    </w:rPr>
  </w:style>
  <w:style w:type="character" w:customStyle="1" w:styleId="ObyajntextChar1525">
    <w:name w:val="Obyčajný text Char1525"/>
    <w:aliases w:val="Obyčajný text Char Char Char Char1526"/>
    <w:basedOn w:val="Predvolenpsmoodseku"/>
    <w:uiPriority w:val="99"/>
    <w:semiHidden/>
    <w:rPr>
      <w:rFonts w:ascii="Courier New" w:hAnsi="Courier New" w:cs="Courier New"/>
      <w:lang w:val="x-none" w:eastAsia="cs-CZ"/>
    </w:rPr>
  </w:style>
  <w:style w:type="character" w:customStyle="1" w:styleId="ObyajntextChar1524">
    <w:name w:val="Obyčajný text Char1524"/>
    <w:aliases w:val="Obyčajný text Char Char Char Char1525"/>
    <w:basedOn w:val="Predvolenpsmoodseku"/>
    <w:uiPriority w:val="99"/>
    <w:semiHidden/>
    <w:rPr>
      <w:rFonts w:ascii="Courier New" w:hAnsi="Courier New" w:cs="Courier New"/>
      <w:lang w:val="x-none" w:eastAsia="cs-CZ"/>
    </w:rPr>
  </w:style>
  <w:style w:type="character" w:customStyle="1" w:styleId="ObyajntextChar1523">
    <w:name w:val="Obyčajný text Char1523"/>
    <w:aliases w:val="Obyčajný text Char Char Char Char1524"/>
    <w:basedOn w:val="Predvolenpsmoodseku"/>
    <w:uiPriority w:val="99"/>
    <w:semiHidden/>
    <w:rPr>
      <w:rFonts w:ascii="Courier New" w:hAnsi="Courier New" w:cs="Courier New"/>
      <w:lang w:val="x-none" w:eastAsia="cs-CZ"/>
    </w:rPr>
  </w:style>
  <w:style w:type="character" w:customStyle="1" w:styleId="ObyajntextChar1522">
    <w:name w:val="Obyčajný text Char1522"/>
    <w:aliases w:val="Obyčajný text Char Char Char Char1523"/>
    <w:basedOn w:val="Predvolenpsmoodseku"/>
    <w:uiPriority w:val="99"/>
    <w:semiHidden/>
    <w:rPr>
      <w:rFonts w:ascii="Courier New" w:hAnsi="Courier New" w:cs="Courier New"/>
      <w:lang w:val="x-none" w:eastAsia="cs-CZ"/>
    </w:rPr>
  </w:style>
  <w:style w:type="character" w:customStyle="1" w:styleId="ObyajntextChar1521">
    <w:name w:val="Obyčajný text Char1521"/>
    <w:aliases w:val="Obyčajný text Char Char Char Char1522"/>
    <w:basedOn w:val="Predvolenpsmoodseku"/>
    <w:uiPriority w:val="99"/>
    <w:semiHidden/>
    <w:rPr>
      <w:rFonts w:ascii="Courier New" w:hAnsi="Courier New" w:cs="Courier New"/>
      <w:lang w:val="x-none" w:eastAsia="cs-CZ"/>
    </w:rPr>
  </w:style>
  <w:style w:type="character" w:customStyle="1" w:styleId="ObyajntextChar1520">
    <w:name w:val="Obyčajný text Char1520"/>
    <w:aliases w:val="Obyčajný text Char Char Char Char1521"/>
    <w:basedOn w:val="Predvolenpsmoodseku"/>
    <w:uiPriority w:val="99"/>
    <w:semiHidden/>
    <w:rPr>
      <w:rFonts w:ascii="Courier New" w:hAnsi="Courier New" w:cs="Courier New"/>
      <w:lang w:val="x-none" w:eastAsia="cs-CZ"/>
    </w:rPr>
  </w:style>
  <w:style w:type="character" w:customStyle="1" w:styleId="ObyajntextChar1519">
    <w:name w:val="Obyčajný text Char1519"/>
    <w:aliases w:val="Obyčajný text Char Char Char Char1520"/>
    <w:basedOn w:val="Predvolenpsmoodseku"/>
    <w:uiPriority w:val="99"/>
    <w:semiHidden/>
    <w:rPr>
      <w:rFonts w:ascii="Courier New" w:hAnsi="Courier New" w:cs="Courier New"/>
      <w:lang w:val="x-none" w:eastAsia="cs-CZ"/>
    </w:rPr>
  </w:style>
  <w:style w:type="character" w:customStyle="1" w:styleId="ObyajntextChar1518">
    <w:name w:val="Obyčajný text Char1518"/>
    <w:aliases w:val="Obyčajný text Char Char Char Char1519"/>
    <w:basedOn w:val="Predvolenpsmoodseku"/>
    <w:uiPriority w:val="99"/>
    <w:semiHidden/>
    <w:rPr>
      <w:rFonts w:ascii="Courier New" w:hAnsi="Courier New" w:cs="Courier New"/>
      <w:lang w:val="x-none" w:eastAsia="cs-CZ"/>
    </w:rPr>
  </w:style>
  <w:style w:type="character" w:customStyle="1" w:styleId="ObyajntextChar1517">
    <w:name w:val="Obyčajný text Char1517"/>
    <w:aliases w:val="Obyčajný text Char Char Char Char1518"/>
    <w:basedOn w:val="Predvolenpsmoodseku"/>
    <w:uiPriority w:val="99"/>
    <w:semiHidden/>
    <w:rPr>
      <w:rFonts w:ascii="Courier New" w:hAnsi="Courier New" w:cs="Courier New"/>
      <w:lang w:val="x-none" w:eastAsia="cs-CZ"/>
    </w:rPr>
  </w:style>
  <w:style w:type="character" w:customStyle="1" w:styleId="ObyajntextChar1516">
    <w:name w:val="Obyčajný text Char1516"/>
    <w:aliases w:val="Obyčajný text Char Char Char Char1517"/>
    <w:basedOn w:val="Predvolenpsmoodseku"/>
    <w:uiPriority w:val="99"/>
    <w:semiHidden/>
    <w:rPr>
      <w:rFonts w:ascii="Courier New" w:hAnsi="Courier New" w:cs="Courier New"/>
      <w:lang w:val="x-none" w:eastAsia="cs-CZ"/>
    </w:rPr>
  </w:style>
  <w:style w:type="character" w:customStyle="1" w:styleId="ObyajntextChar1515">
    <w:name w:val="Obyčajný text Char1515"/>
    <w:aliases w:val="Obyčajný text Char Char Char Char1516"/>
    <w:basedOn w:val="Predvolenpsmoodseku"/>
    <w:uiPriority w:val="99"/>
    <w:semiHidden/>
    <w:rPr>
      <w:rFonts w:ascii="Courier New" w:hAnsi="Courier New" w:cs="Courier New"/>
      <w:lang w:val="x-none" w:eastAsia="cs-CZ"/>
    </w:rPr>
  </w:style>
  <w:style w:type="character" w:customStyle="1" w:styleId="ObyajntextChar1514">
    <w:name w:val="Obyčajný text Char1514"/>
    <w:aliases w:val="Obyčajný text Char Char Char Char1515"/>
    <w:basedOn w:val="Predvolenpsmoodseku"/>
    <w:uiPriority w:val="99"/>
    <w:semiHidden/>
    <w:rPr>
      <w:rFonts w:ascii="Courier New" w:hAnsi="Courier New" w:cs="Courier New"/>
      <w:lang w:val="x-none" w:eastAsia="cs-CZ"/>
    </w:rPr>
  </w:style>
  <w:style w:type="character" w:customStyle="1" w:styleId="ObyajntextChar1513">
    <w:name w:val="Obyčajný text Char1513"/>
    <w:aliases w:val="Obyčajný text Char Char Char Char1514"/>
    <w:uiPriority w:val="99"/>
    <w:semiHidden/>
    <w:rPr>
      <w:rFonts w:ascii="Courier New" w:hAnsi="Courier New"/>
      <w:lang w:val="x-none" w:eastAsia="cs-CZ"/>
    </w:rPr>
  </w:style>
  <w:style w:type="character" w:customStyle="1" w:styleId="ObyajntextChar1512">
    <w:name w:val="Obyčajný text Char1512"/>
    <w:aliases w:val="Obyčajný text Char Char Char Char1513"/>
    <w:uiPriority w:val="99"/>
    <w:semiHidden/>
    <w:rPr>
      <w:rFonts w:ascii="Courier New" w:hAnsi="Courier New"/>
      <w:lang w:val="x-none" w:eastAsia="cs-CZ"/>
    </w:rPr>
  </w:style>
  <w:style w:type="character" w:customStyle="1" w:styleId="ObyajntextChar1511">
    <w:name w:val="Obyčajný text Char1511"/>
    <w:aliases w:val="Obyčajný text Char Char Char Char1512"/>
    <w:uiPriority w:val="99"/>
    <w:semiHidden/>
    <w:rPr>
      <w:rFonts w:ascii="Courier New" w:hAnsi="Courier New"/>
      <w:lang w:val="x-none" w:eastAsia="cs-CZ"/>
    </w:rPr>
  </w:style>
  <w:style w:type="character" w:customStyle="1" w:styleId="ObyajntextChar1510">
    <w:name w:val="Obyčajný text Char1510"/>
    <w:aliases w:val="Obyčajný text Char Char Char Char1511"/>
    <w:uiPriority w:val="99"/>
    <w:semiHidden/>
    <w:rPr>
      <w:rFonts w:ascii="Courier New" w:hAnsi="Courier New"/>
      <w:lang w:val="x-none" w:eastAsia="cs-CZ"/>
    </w:rPr>
  </w:style>
  <w:style w:type="character" w:customStyle="1" w:styleId="ObyajntextChar1509">
    <w:name w:val="Obyčajný text Char1509"/>
    <w:aliases w:val="Obyčajný text Char Char Char Char1510"/>
    <w:uiPriority w:val="99"/>
    <w:semiHidden/>
    <w:rPr>
      <w:rFonts w:ascii="Courier New" w:hAnsi="Courier New"/>
      <w:lang w:val="x-none" w:eastAsia="cs-CZ"/>
    </w:rPr>
  </w:style>
  <w:style w:type="character" w:customStyle="1" w:styleId="ObyajntextChar1508">
    <w:name w:val="Obyčajný text Char1508"/>
    <w:aliases w:val="Obyčajný text Char Char Char Char1509"/>
    <w:uiPriority w:val="99"/>
    <w:semiHidden/>
    <w:rPr>
      <w:rFonts w:ascii="Courier New" w:hAnsi="Courier New"/>
      <w:lang w:val="x-none" w:eastAsia="cs-CZ"/>
    </w:rPr>
  </w:style>
  <w:style w:type="character" w:customStyle="1" w:styleId="ObyajntextChar1507">
    <w:name w:val="Obyčajný text Char1507"/>
    <w:aliases w:val="Obyčajný text Char Char Char Char1508"/>
    <w:uiPriority w:val="99"/>
    <w:semiHidden/>
    <w:rPr>
      <w:rFonts w:ascii="Courier New" w:hAnsi="Courier New"/>
      <w:lang w:val="x-none" w:eastAsia="cs-CZ"/>
    </w:rPr>
  </w:style>
  <w:style w:type="character" w:customStyle="1" w:styleId="ObyajntextChar1506">
    <w:name w:val="Obyčajný text Char1506"/>
    <w:aliases w:val="Obyčajný text Char Char Char Char1507"/>
    <w:uiPriority w:val="99"/>
    <w:semiHidden/>
    <w:rPr>
      <w:rFonts w:ascii="Courier New" w:hAnsi="Courier New"/>
      <w:lang w:val="x-none" w:eastAsia="cs-CZ"/>
    </w:rPr>
  </w:style>
  <w:style w:type="character" w:customStyle="1" w:styleId="ObyajntextChar1505">
    <w:name w:val="Obyčajný text Char1505"/>
    <w:aliases w:val="Obyčajný text Char Char Char Char1506"/>
    <w:uiPriority w:val="99"/>
    <w:semiHidden/>
    <w:rPr>
      <w:rFonts w:ascii="Courier New" w:hAnsi="Courier New"/>
      <w:lang w:val="x-none" w:eastAsia="cs-CZ"/>
    </w:rPr>
  </w:style>
  <w:style w:type="character" w:customStyle="1" w:styleId="ObyajntextChar1504">
    <w:name w:val="Obyčajný text Char1504"/>
    <w:aliases w:val="Obyčajný text Char Char Char Char1505"/>
    <w:uiPriority w:val="99"/>
    <w:semiHidden/>
    <w:rPr>
      <w:rFonts w:ascii="Courier New" w:hAnsi="Courier New"/>
      <w:lang w:val="x-none" w:eastAsia="cs-CZ"/>
    </w:rPr>
  </w:style>
  <w:style w:type="character" w:customStyle="1" w:styleId="ObyajntextChar1503">
    <w:name w:val="Obyčajný text Char1503"/>
    <w:aliases w:val="Obyčajný text Char Char Char Char1504"/>
    <w:uiPriority w:val="99"/>
    <w:semiHidden/>
    <w:rPr>
      <w:rFonts w:ascii="Courier New" w:hAnsi="Courier New"/>
      <w:lang w:val="x-none" w:eastAsia="cs-CZ"/>
    </w:rPr>
  </w:style>
  <w:style w:type="character" w:customStyle="1" w:styleId="ObyajntextChar1502">
    <w:name w:val="Obyčajný text Char1502"/>
    <w:aliases w:val="Obyčajný text Char Char Char Char1503"/>
    <w:uiPriority w:val="99"/>
    <w:semiHidden/>
    <w:rPr>
      <w:rFonts w:ascii="Courier New" w:hAnsi="Courier New"/>
      <w:lang w:val="x-none" w:eastAsia="cs-CZ"/>
    </w:rPr>
  </w:style>
  <w:style w:type="character" w:customStyle="1" w:styleId="ObyajntextChar1501">
    <w:name w:val="Obyčajný text Char1501"/>
    <w:aliases w:val="Obyčajný text Char Char Char Char1502"/>
    <w:uiPriority w:val="99"/>
    <w:semiHidden/>
    <w:rPr>
      <w:rFonts w:ascii="Courier New" w:hAnsi="Courier New"/>
      <w:lang w:val="x-none" w:eastAsia="cs-CZ"/>
    </w:rPr>
  </w:style>
  <w:style w:type="character" w:customStyle="1" w:styleId="ObyajntextChar1500">
    <w:name w:val="Obyčajný text Char1500"/>
    <w:aliases w:val="Obyčajný text Char Char Char Char1501"/>
    <w:uiPriority w:val="99"/>
    <w:semiHidden/>
    <w:rPr>
      <w:rFonts w:ascii="Courier New" w:hAnsi="Courier New"/>
      <w:lang w:val="x-none" w:eastAsia="cs-CZ"/>
    </w:rPr>
  </w:style>
  <w:style w:type="character" w:customStyle="1" w:styleId="ObyajntextChar1499">
    <w:name w:val="Obyčajný text Char1499"/>
    <w:aliases w:val="Obyčajný text Char Char Char Char1500"/>
    <w:uiPriority w:val="99"/>
    <w:semiHidden/>
    <w:rPr>
      <w:rFonts w:ascii="Courier New" w:hAnsi="Courier New"/>
      <w:lang w:val="x-none" w:eastAsia="cs-CZ"/>
    </w:rPr>
  </w:style>
  <w:style w:type="character" w:customStyle="1" w:styleId="ObyajntextChar1498">
    <w:name w:val="Obyčajný text Char1498"/>
    <w:aliases w:val="Obyčajný text Char Char Char Char1499"/>
    <w:uiPriority w:val="99"/>
    <w:semiHidden/>
    <w:rPr>
      <w:rFonts w:ascii="Courier New" w:hAnsi="Courier New"/>
      <w:lang w:val="x-none" w:eastAsia="cs-CZ"/>
    </w:rPr>
  </w:style>
  <w:style w:type="character" w:customStyle="1" w:styleId="ObyajntextChar1497">
    <w:name w:val="Obyčajný text Char1497"/>
    <w:aliases w:val="Obyčajný text Char Char Char Char1498"/>
    <w:uiPriority w:val="99"/>
    <w:semiHidden/>
    <w:rPr>
      <w:rFonts w:ascii="Courier New" w:hAnsi="Courier New"/>
      <w:lang w:val="x-none" w:eastAsia="cs-CZ"/>
    </w:rPr>
  </w:style>
  <w:style w:type="character" w:customStyle="1" w:styleId="ObyajntextChar1496">
    <w:name w:val="Obyčajný text Char1496"/>
    <w:aliases w:val="Obyčajný text Char Char Char Char1497"/>
    <w:uiPriority w:val="99"/>
    <w:semiHidden/>
    <w:rPr>
      <w:rFonts w:ascii="Courier New" w:hAnsi="Courier New"/>
      <w:lang w:val="x-none" w:eastAsia="cs-CZ"/>
    </w:rPr>
  </w:style>
  <w:style w:type="character" w:customStyle="1" w:styleId="ObyajntextChar1495">
    <w:name w:val="Obyčajný text Char1495"/>
    <w:aliases w:val="Obyčajný text Char Char Char Char1496"/>
    <w:uiPriority w:val="99"/>
    <w:semiHidden/>
    <w:rPr>
      <w:rFonts w:ascii="Courier New" w:hAnsi="Courier New"/>
      <w:lang w:val="x-none" w:eastAsia="cs-CZ"/>
    </w:rPr>
  </w:style>
  <w:style w:type="character" w:customStyle="1" w:styleId="ObyajntextChar1494">
    <w:name w:val="Obyčajný text Char1494"/>
    <w:aliases w:val="Obyčajný text Char Char Char Char1495"/>
    <w:uiPriority w:val="99"/>
    <w:semiHidden/>
    <w:rPr>
      <w:rFonts w:ascii="Courier New" w:hAnsi="Courier New"/>
      <w:lang w:val="x-none" w:eastAsia="cs-CZ"/>
    </w:rPr>
  </w:style>
  <w:style w:type="character" w:customStyle="1" w:styleId="ObyajntextChar1493">
    <w:name w:val="Obyčajný text Char1493"/>
    <w:aliases w:val="Obyčajný text Char Char Char Char1494"/>
    <w:uiPriority w:val="99"/>
    <w:semiHidden/>
    <w:rPr>
      <w:rFonts w:ascii="Courier New" w:hAnsi="Courier New"/>
      <w:lang w:val="x-none" w:eastAsia="cs-CZ"/>
    </w:rPr>
  </w:style>
  <w:style w:type="character" w:customStyle="1" w:styleId="ObyajntextChar1492">
    <w:name w:val="Obyčajný text Char1492"/>
    <w:aliases w:val="Obyčajný text Char Char Char Char1493"/>
    <w:uiPriority w:val="99"/>
    <w:semiHidden/>
    <w:rPr>
      <w:rFonts w:ascii="Courier New" w:hAnsi="Courier New"/>
      <w:lang w:val="x-none" w:eastAsia="cs-CZ"/>
    </w:rPr>
  </w:style>
  <w:style w:type="character" w:customStyle="1" w:styleId="ObyajntextChar1491">
    <w:name w:val="Obyčajný text Char1491"/>
    <w:aliases w:val="Obyčajný text Char Char Char Char1492"/>
    <w:uiPriority w:val="99"/>
    <w:semiHidden/>
    <w:rPr>
      <w:rFonts w:ascii="Courier New" w:hAnsi="Courier New"/>
      <w:lang w:val="x-none" w:eastAsia="cs-CZ"/>
    </w:rPr>
  </w:style>
  <w:style w:type="character" w:customStyle="1" w:styleId="ObyajntextChar1490">
    <w:name w:val="Obyčajný text Char1490"/>
    <w:aliases w:val="Obyčajný text Char Char Char Char1491"/>
    <w:uiPriority w:val="99"/>
    <w:semiHidden/>
    <w:rPr>
      <w:rFonts w:ascii="Courier New" w:hAnsi="Courier New"/>
      <w:lang w:val="x-none" w:eastAsia="cs-CZ"/>
    </w:rPr>
  </w:style>
  <w:style w:type="character" w:customStyle="1" w:styleId="ObyajntextChar1489">
    <w:name w:val="Obyčajný text Char1489"/>
    <w:aliases w:val="Obyčajný text Char Char Char Char1490"/>
    <w:uiPriority w:val="99"/>
    <w:semiHidden/>
    <w:rPr>
      <w:rFonts w:ascii="Courier New" w:hAnsi="Courier New"/>
      <w:lang w:val="x-none" w:eastAsia="cs-CZ"/>
    </w:rPr>
  </w:style>
  <w:style w:type="character" w:customStyle="1" w:styleId="ObyajntextChar1488">
    <w:name w:val="Obyčajný text Char1488"/>
    <w:aliases w:val="Obyčajný text Char Char Char Char1489"/>
    <w:uiPriority w:val="99"/>
    <w:semiHidden/>
    <w:rPr>
      <w:rFonts w:ascii="Courier New" w:hAnsi="Courier New"/>
      <w:lang w:val="x-none" w:eastAsia="cs-CZ"/>
    </w:rPr>
  </w:style>
  <w:style w:type="character" w:customStyle="1" w:styleId="ObyajntextChar1487">
    <w:name w:val="Obyčajný text Char1487"/>
    <w:aliases w:val="Obyčajný text Char Char Char Char1488"/>
    <w:uiPriority w:val="99"/>
    <w:semiHidden/>
    <w:rPr>
      <w:rFonts w:ascii="Courier New" w:hAnsi="Courier New"/>
      <w:lang w:val="x-none" w:eastAsia="cs-CZ"/>
    </w:rPr>
  </w:style>
  <w:style w:type="character" w:customStyle="1" w:styleId="ObyajntextChar1486">
    <w:name w:val="Obyčajný text Char1486"/>
    <w:aliases w:val="Obyčajný text Char Char Char Char1487"/>
    <w:uiPriority w:val="99"/>
    <w:semiHidden/>
    <w:rPr>
      <w:rFonts w:ascii="Courier New" w:hAnsi="Courier New"/>
      <w:lang w:val="x-none" w:eastAsia="cs-CZ"/>
    </w:rPr>
  </w:style>
  <w:style w:type="character" w:customStyle="1" w:styleId="ObyajntextChar1485">
    <w:name w:val="Obyčajný text Char1485"/>
    <w:aliases w:val="Obyčajný text Char Char Char Char1486"/>
    <w:uiPriority w:val="99"/>
    <w:semiHidden/>
    <w:rPr>
      <w:rFonts w:ascii="Courier New" w:hAnsi="Courier New"/>
      <w:lang w:val="x-none" w:eastAsia="cs-CZ"/>
    </w:rPr>
  </w:style>
  <w:style w:type="character" w:customStyle="1" w:styleId="ObyajntextChar1484">
    <w:name w:val="Obyčajný text Char1484"/>
    <w:aliases w:val="Obyčajný text Char Char Char Char1485"/>
    <w:uiPriority w:val="99"/>
    <w:semiHidden/>
    <w:rPr>
      <w:rFonts w:ascii="Courier New" w:hAnsi="Courier New"/>
      <w:lang w:val="x-none" w:eastAsia="cs-CZ"/>
    </w:rPr>
  </w:style>
  <w:style w:type="character" w:customStyle="1" w:styleId="ObyajntextChar1483">
    <w:name w:val="Obyčajný text Char1483"/>
    <w:aliases w:val="Obyčajný text Char Char Char Char1484"/>
    <w:uiPriority w:val="99"/>
    <w:semiHidden/>
    <w:rPr>
      <w:rFonts w:ascii="Courier New" w:hAnsi="Courier New"/>
      <w:lang w:val="x-none" w:eastAsia="cs-CZ"/>
    </w:rPr>
  </w:style>
  <w:style w:type="character" w:customStyle="1" w:styleId="ObyajntextChar1482">
    <w:name w:val="Obyčajný text Char1482"/>
    <w:aliases w:val="Obyčajný text Char Char Char Char1483"/>
    <w:uiPriority w:val="99"/>
    <w:semiHidden/>
    <w:rPr>
      <w:rFonts w:ascii="Courier New" w:hAnsi="Courier New"/>
      <w:lang w:val="x-none" w:eastAsia="cs-CZ"/>
    </w:rPr>
  </w:style>
  <w:style w:type="character" w:customStyle="1" w:styleId="ObyajntextChar1481">
    <w:name w:val="Obyčajný text Char1481"/>
    <w:aliases w:val="Obyčajný text Char Char Char Char1482"/>
    <w:uiPriority w:val="99"/>
    <w:semiHidden/>
    <w:rPr>
      <w:rFonts w:ascii="Courier New" w:hAnsi="Courier New"/>
      <w:lang w:val="x-none" w:eastAsia="cs-CZ"/>
    </w:rPr>
  </w:style>
  <w:style w:type="character" w:customStyle="1" w:styleId="ObyajntextChar1480">
    <w:name w:val="Obyčajný text Char1480"/>
    <w:aliases w:val="Obyčajný text Char Char Char Char1481"/>
    <w:uiPriority w:val="99"/>
    <w:semiHidden/>
    <w:rPr>
      <w:rFonts w:ascii="Courier New" w:hAnsi="Courier New"/>
      <w:lang w:val="x-none" w:eastAsia="cs-CZ"/>
    </w:rPr>
  </w:style>
  <w:style w:type="character" w:customStyle="1" w:styleId="ObyajntextChar1479">
    <w:name w:val="Obyčajný text Char1479"/>
    <w:aliases w:val="Obyčajný text Char Char Char Char1480"/>
    <w:uiPriority w:val="99"/>
    <w:semiHidden/>
    <w:rPr>
      <w:rFonts w:ascii="Courier New" w:hAnsi="Courier New"/>
      <w:lang w:val="x-none" w:eastAsia="cs-CZ"/>
    </w:rPr>
  </w:style>
  <w:style w:type="character" w:customStyle="1" w:styleId="ObyajntextChar1478">
    <w:name w:val="Obyčajný text Char1478"/>
    <w:aliases w:val="Obyčajný text Char Char Char Char1479"/>
    <w:uiPriority w:val="99"/>
    <w:semiHidden/>
    <w:rPr>
      <w:rFonts w:ascii="Courier New" w:hAnsi="Courier New"/>
      <w:lang w:val="x-none" w:eastAsia="cs-CZ"/>
    </w:rPr>
  </w:style>
  <w:style w:type="character" w:customStyle="1" w:styleId="ObyajntextChar1477">
    <w:name w:val="Obyčajný text Char1477"/>
    <w:aliases w:val="Obyčajný text Char Char Char Char1478"/>
    <w:uiPriority w:val="99"/>
    <w:semiHidden/>
    <w:rPr>
      <w:rFonts w:ascii="Courier New" w:hAnsi="Courier New"/>
      <w:lang w:val="x-none" w:eastAsia="cs-CZ"/>
    </w:rPr>
  </w:style>
  <w:style w:type="character" w:customStyle="1" w:styleId="ObyajntextChar1476">
    <w:name w:val="Obyčajný text Char1476"/>
    <w:aliases w:val="Obyčajný text Char Char Char Char1477"/>
    <w:uiPriority w:val="99"/>
    <w:semiHidden/>
    <w:rPr>
      <w:rFonts w:ascii="Courier New" w:hAnsi="Courier New"/>
      <w:lang w:val="x-none" w:eastAsia="cs-CZ"/>
    </w:rPr>
  </w:style>
  <w:style w:type="character" w:customStyle="1" w:styleId="ObyajntextChar1475">
    <w:name w:val="Obyčajný text Char1475"/>
    <w:aliases w:val="Obyčajný text Char Char Char Char1476"/>
    <w:uiPriority w:val="99"/>
    <w:semiHidden/>
    <w:rPr>
      <w:rFonts w:ascii="Courier New" w:hAnsi="Courier New"/>
      <w:lang w:val="x-none" w:eastAsia="cs-CZ"/>
    </w:rPr>
  </w:style>
  <w:style w:type="character" w:customStyle="1" w:styleId="ObyajntextChar1474">
    <w:name w:val="Obyčajný text Char1474"/>
    <w:aliases w:val="Obyčajný text Char Char Char Char1475"/>
    <w:uiPriority w:val="99"/>
    <w:semiHidden/>
    <w:rPr>
      <w:rFonts w:ascii="Courier New" w:hAnsi="Courier New"/>
      <w:lang w:val="x-none" w:eastAsia="cs-CZ"/>
    </w:rPr>
  </w:style>
  <w:style w:type="character" w:customStyle="1" w:styleId="ObyajntextChar1473">
    <w:name w:val="Obyčajný text Char1473"/>
    <w:aliases w:val="Obyčajný text Char Char Char Char1474"/>
    <w:uiPriority w:val="99"/>
    <w:semiHidden/>
    <w:rPr>
      <w:rFonts w:ascii="Courier New" w:hAnsi="Courier New"/>
      <w:lang w:val="x-none" w:eastAsia="cs-CZ"/>
    </w:rPr>
  </w:style>
  <w:style w:type="character" w:customStyle="1" w:styleId="ObyajntextChar1472">
    <w:name w:val="Obyčajný text Char1472"/>
    <w:aliases w:val="Obyčajný text Char Char Char Char1473"/>
    <w:uiPriority w:val="99"/>
    <w:semiHidden/>
    <w:rPr>
      <w:rFonts w:ascii="Courier New" w:hAnsi="Courier New"/>
      <w:lang w:val="x-none" w:eastAsia="cs-CZ"/>
    </w:rPr>
  </w:style>
  <w:style w:type="character" w:customStyle="1" w:styleId="ObyajntextChar1471">
    <w:name w:val="Obyčajný text Char1471"/>
    <w:aliases w:val="Obyčajný text Char Char Char Char1472"/>
    <w:uiPriority w:val="99"/>
    <w:semiHidden/>
    <w:rPr>
      <w:rFonts w:ascii="Courier New" w:hAnsi="Courier New"/>
      <w:lang w:val="x-none" w:eastAsia="cs-CZ"/>
    </w:rPr>
  </w:style>
  <w:style w:type="character" w:customStyle="1" w:styleId="ObyajntextChar1470">
    <w:name w:val="Obyčajný text Char1470"/>
    <w:aliases w:val="Obyčajný text Char Char Char Char1471"/>
    <w:uiPriority w:val="99"/>
    <w:semiHidden/>
    <w:rPr>
      <w:rFonts w:ascii="Courier New" w:hAnsi="Courier New"/>
      <w:lang w:val="x-none" w:eastAsia="cs-CZ"/>
    </w:rPr>
  </w:style>
  <w:style w:type="character" w:customStyle="1" w:styleId="ObyajntextChar1469">
    <w:name w:val="Obyčajný text Char1469"/>
    <w:aliases w:val="Obyčajný text Char Char Char Char1470"/>
    <w:uiPriority w:val="99"/>
    <w:semiHidden/>
    <w:rPr>
      <w:rFonts w:ascii="Courier New" w:hAnsi="Courier New"/>
      <w:lang w:val="x-none" w:eastAsia="cs-CZ"/>
    </w:rPr>
  </w:style>
  <w:style w:type="character" w:customStyle="1" w:styleId="ObyajntextChar1468">
    <w:name w:val="Obyčajný text Char1468"/>
    <w:aliases w:val="Obyčajný text Char Char Char Char1469"/>
    <w:uiPriority w:val="99"/>
    <w:semiHidden/>
    <w:rPr>
      <w:rFonts w:ascii="Courier New" w:hAnsi="Courier New"/>
      <w:lang w:val="x-none" w:eastAsia="cs-CZ"/>
    </w:rPr>
  </w:style>
  <w:style w:type="character" w:customStyle="1" w:styleId="ObyajntextChar1467">
    <w:name w:val="Obyčajný text Char1467"/>
    <w:aliases w:val="Obyčajný text Char Char Char Char1468"/>
    <w:uiPriority w:val="99"/>
    <w:semiHidden/>
    <w:rPr>
      <w:rFonts w:ascii="Courier New" w:hAnsi="Courier New"/>
      <w:lang w:val="x-none" w:eastAsia="cs-CZ"/>
    </w:rPr>
  </w:style>
  <w:style w:type="character" w:customStyle="1" w:styleId="ObyajntextChar1466">
    <w:name w:val="Obyčajný text Char1466"/>
    <w:aliases w:val="Obyčajný text Char Char Char Char1467"/>
    <w:uiPriority w:val="99"/>
    <w:semiHidden/>
    <w:rPr>
      <w:rFonts w:ascii="Courier New" w:hAnsi="Courier New"/>
      <w:lang w:val="x-none" w:eastAsia="cs-CZ"/>
    </w:rPr>
  </w:style>
  <w:style w:type="character" w:customStyle="1" w:styleId="ObyajntextChar1465">
    <w:name w:val="Obyčajný text Char1465"/>
    <w:aliases w:val="Obyčajný text Char Char Char Char1466"/>
    <w:uiPriority w:val="99"/>
    <w:semiHidden/>
    <w:rPr>
      <w:rFonts w:ascii="Courier New" w:hAnsi="Courier New"/>
      <w:lang w:val="x-none" w:eastAsia="cs-CZ"/>
    </w:rPr>
  </w:style>
  <w:style w:type="character" w:customStyle="1" w:styleId="ObyajntextChar1464">
    <w:name w:val="Obyčajný text Char1464"/>
    <w:aliases w:val="Obyčajný text Char Char Char Char1465"/>
    <w:uiPriority w:val="99"/>
    <w:semiHidden/>
    <w:rPr>
      <w:rFonts w:ascii="Courier New" w:hAnsi="Courier New"/>
      <w:lang w:val="x-none" w:eastAsia="cs-CZ"/>
    </w:rPr>
  </w:style>
  <w:style w:type="character" w:customStyle="1" w:styleId="ObyajntextChar1463">
    <w:name w:val="Obyčajný text Char1463"/>
    <w:aliases w:val="Obyčajný text Char Char Char Char1464"/>
    <w:uiPriority w:val="99"/>
    <w:semiHidden/>
    <w:rPr>
      <w:rFonts w:ascii="Courier New" w:hAnsi="Courier New"/>
      <w:lang w:val="x-none" w:eastAsia="cs-CZ"/>
    </w:rPr>
  </w:style>
  <w:style w:type="character" w:customStyle="1" w:styleId="ObyajntextChar1462">
    <w:name w:val="Obyčajný text Char1462"/>
    <w:aliases w:val="Obyčajný text Char Char Char Char1463"/>
    <w:uiPriority w:val="99"/>
    <w:semiHidden/>
    <w:rPr>
      <w:rFonts w:ascii="Courier New" w:hAnsi="Courier New"/>
      <w:lang w:val="x-none" w:eastAsia="cs-CZ"/>
    </w:rPr>
  </w:style>
  <w:style w:type="character" w:customStyle="1" w:styleId="ObyajntextChar1461">
    <w:name w:val="Obyčajný text Char1461"/>
    <w:aliases w:val="Obyčajný text Char Char Char Char1462"/>
    <w:uiPriority w:val="99"/>
    <w:semiHidden/>
    <w:rPr>
      <w:rFonts w:ascii="Courier New" w:hAnsi="Courier New"/>
      <w:lang w:val="x-none" w:eastAsia="cs-CZ"/>
    </w:rPr>
  </w:style>
  <w:style w:type="character" w:customStyle="1" w:styleId="ObyajntextChar1460">
    <w:name w:val="Obyčajný text Char1460"/>
    <w:aliases w:val="Obyčajný text Char Char Char Char1461"/>
    <w:uiPriority w:val="99"/>
    <w:semiHidden/>
    <w:rPr>
      <w:rFonts w:ascii="Courier New" w:hAnsi="Courier New"/>
      <w:lang w:val="x-none" w:eastAsia="cs-CZ"/>
    </w:rPr>
  </w:style>
  <w:style w:type="character" w:customStyle="1" w:styleId="ObyajntextChar1459">
    <w:name w:val="Obyčajný text Char1459"/>
    <w:aliases w:val="Obyčajný text Char Char Char Char1460"/>
    <w:uiPriority w:val="99"/>
    <w:semiHidden/>
    <w:rPr>
      <w:rFonts w:ascii="Courier New" w:hAnsi="Courier New"/>
      <w:lang w:val="x-none" w:eastAsia="cs-CZ"/>
    </w:rPr>
  </w:style>
  <w:style w:type="character" w:customStyle="1" w:styleId="ObyajntextChar1458">
    <w:name w:val="Obyčajný text Char1458"/>
    <w:aliases w:val="Obyčajný text Char Char Char Char1459"/>
    <w:uiPriority w:val="99"/>
    <w:semiHidden/>
    <w:rPr>
      <w:rFonts w:ascii="Courier New" w:hAnsi="Courier New"/>
      <w:lang w:val="x-none" w:eastAsia="cs-CZ"/>
    </w:rPr>
  </w:style>
  <w:style w:type="character" w:customStyle="1" w:styleId="ObyajntextChar1457">
    <w:name w:val="Obyčajný text Char1457"/>
    <w:aliases w:val="Obyčajný text Char Char Char Char1458"/>
    <w:uiPriority w:val="99"/>
    <w:semiHidden/>
    <w:rPr>
      <w:rFonts w:ascii="Courier New" w:hAnsi="Courier New"/>
      <w:lang w:val="x-none" w:eastAsia="cs-CZ"/>
    </w:rPr>
  </w:style>
  <w:style w:type="character" w:customStyle="1" w:styleId="ObyajntextChar1456">
    <w:name w:val="Obyčajný text Char1456"/>
    <w:aliases w:val="Obyčajný text Char Char Char Char1457"/>
    <w:uiPriority w:val="99"/>
    <w:semiHidden/>
    <w:rPr>
      <w:rFonts w:ascii="Courier New" w:hAnsi="Courier New"/>
      <w:lang w:val="x-none" w:eastAsia="cs-CZ"/>
    </w:rPr>
  </w:style>
  <w:style w:type="character" w:customStyle="1" w:styleId="ObyajntextChar1455">
    <w:name w:val="Obyčajný text Char1455"/>
    <w:aliases w:val="Obyčajný text Char Char Char Char1456"/>
    <w:uiPriority w:val="99"/>
    <w:semiHidden/>
    <w:rPr>
      <w:rFonts w:ascii="Courier New" w:hAnsi="Courier New"/>
      <w:lang w:val="x-none" w:eastAsia="cs-CZ"/>
    </w:rPr>
  </w:style>
  <w:style w:type="character" w:customStyle="1" w:styleId="ObyajntextChar1454">
    <w:name w:val="Obyčajný text Char1454"/>
    <w:aliases w:val="Obyčajný text Char Char Char Char1455"/>
    <w:uiPriority w:val="99"/>
    <w:semiHidden/>
    <w:rPr>
      <w:rFonts w:ascii="Courier New" w:hAnsi="Courier New"/>
      <w:lang w:val="x-none" w:eastAsia="cs-CZ"/>
    </w:rPr>
  </w:style>
  <w:style w:type="character" w:customStyle="1" w:styleId="ObyajntextChar1453">
    <w:name w:val="Obyčajný text Char1453"/>
    <w:aliases w:val="Obyčajný text Char Char Char Char1454"/>
    <w:uiPriority w:val="99"/>
    <w:semiHidden/>
    <w:rPr>
      <w:rFonts w:ascii="Courier New" w:hAnsi="Courier New"/>
      <w:lang w:val="x-none" w:eastAsia="cs-CZ"/>
    </w:rPr>
  </w:style>
  <w:style w:type="character" w:customStyle="1" w:styleId="ObyajntextChar1452">
    <w:name w:val="Obyčajný text Char1452"/>
    <w:aliases w:val="Obyčajný text Char Char Char Char1453"/>
    <w:uiPriority w:val="99"/>
    <w:semiHidden/>
    <w:rPr>
      <w:rFonts w:ascii="Courier New" w:hAnsi="Courier New"/>
      <w:lang w:val="x-none" w:eastAsia="cs-CZ"/>
    </w:rPr>
  </w:style>
  <w:style w:type="character" w:customStyle="1" w:styleId="ObyajntextChar1451">
    <w:name w:val="Obyčajný text Char1451"/>
    <w:aliases w:val="Obyčajný text Char Char Char Char1452"/>
    <w:uiPriority w:val="99"/>
    <w:semiHidden/>
    <w:rPr>
      <w:rFonts w:ascii="Courier New" w:hAnsi="Courier New"/>
      <w:lang w:val="x-none" w:eastAsia="cs-CZ"/>
    </w:rPr>
  </w:style>
  <w:style w:type="character" w:customStyle="1" w:styleId="ObyajntextChar1450">
    <w:name w:val="Obyčajný text Char1450"/>
    <w:aliases w:val="Obyčajný text Char Char Char Char1451"/>
    <w:uiPriority w:val="99"/>
    <w:semiHidden/>
    <w:rPr>
      <w:rFonts w:ascii="Courier New" w:hAnsi="Courier New"/>
      <w:lang w:val="x-none" w:eastAsia="cs-CZ"/>
    </w:rPr>
  </w:style>
  <w:style w:type="character" w:customStyle="1" w:styleId="ObyajntextChar1449">
    <w:name w:val="Obyčajný text Char1449"/>
    <w:aliases w:val="Obyčajný text Char Char Char Char1450"/>
    <w:uiPriority w:val="99"/>
    <w:semiHidden/>
    <w:rPr>
      <w:rFonts w:ascii="Courier New" w:hAnsi="Courier New"/>
      <w:lang w:val="x-none" w:eastAsia="cs-CZ"/>
    </w:rPr>
  </w:style>
  <w:style w:type="character" w:customStyle="1" w:styleId="ObyajntextChar1448">
    <w:name w:val="Obyčajný text Char1448"/>
    <w:aliases w:val="Obyčajný text Char Char Char Char1449"/>
    <w:uiPriority w:val="99"/>
    <w:semiHidden/>
    <w:rPr>
      <w:rFonts w:ascii="Courier New" w:hAnsi="Courier New"/>
      <w:lang w:val="x-none" w:eastAsia="cs-CZ"/>
    </w:rPr>
  </w:style>
  <w:style w:type="character" w:customStyle="1" w:styleId="ObyajntextChar1447">
    <w:name w:val="Obyčajný text Char1447"/>
    <w:aliases w:val="Obyčajný text Char Char Char Char1448"/>
    <w:uiPriority w:val="99"/>
    <w:semiHidden/>
    <w:rPr>
      <w:rFonts w:ascii="Courier New" w:hAnsi="Courier New"/>
      <w:lang w:val="x-none" w:eastAsia="cs-CZ"/>
    </w:rPr>
  </w:style>
  <w:style w:type="character" w:customStyle="1" w:styleId="ObyajntextChar1446">
    <w:name w:val="Obyčajný text Char1446"/>
    <w:aliases w:val="Obyčajný text Char Char Char Char1447"/>
    <w:uiPriority w:val="99"/>
    <w:semiHidden/>
    <w:rPr>
      <w:rFonts w:ascii="Courier New" w:hAnsi="Courier New"/>
      <w:lang w:val="x-none" w:eastAsia="cs-CZ"/>
    </w:rPr>
  </w:style>
  <w:style w:type="character" w:customStyle="1" w:styleId="ObyajntextChar1445">
    <w:name w:val="Obyčajný text Char1445"/>
    <w:aliases w:val="Obyčajný text Char Char Char Char1446"/>
    <w:uiPriority w:val="99"/>
    <w:semiHidden/>
    <w:rPr>
      <w:rFonts w:ascii="Courier New" w:hAnsi="Courier New"/>
      <w:lang w:val="x-none" w:eastAsia="cs-CZ"/>
    </w:rPr>
  </w:style>
  <w:style w:type="character" w:customStyle="1" w:styleId="ObyajntextChar1444">
    <w:name w:val="Obyčajný text Char1444"/>
    <w:aliases w:val="Obyčajný text Char Char Char Char1445"/>
    <w:uiPriority w:val="99"/>
    <w:semiHidden/>
    <w:rPr>
      <w:rFonts w:ascii="Courier New" w:hAnsi="Courier New"/>
      <w:lang w:val="x-none" w:eastAsia="cs-CZ"/>
    </w:rPr>
  </w:style>
  <w:style w:type="character" w:customStyle="1" w:styleId="ObyajntextChar1443">
    <w:name w:val="Obyčajný text Char1443"/>
    <w:aliases w:val="Obyčajný text Char Char Char Char1444"/>
    <w:uiPriority w:val="99"/>
    <w:semiHidden/>
    <w:rPr>
      <w:rFonts w:ascii="Courier New" w:hAnsi="Courier New"/>
      <w:lang w:val="x-none" w:eastAsia="cs-CZ"/>
    </w:rPr>
  </w:style>
  <w:style w:type="character" w:customStyle="1" w:styleId="ObyajntextChar1442">
    <w:name w:val="Obyčajný text Char1442"/>
    <w:aliases w:val="Obyčajný text Char Char Char Char1443"/>
    <w:uiPriority w:val="99"/>
    <w:semiHidden/>
    <w:rPr>
      <w:rFonts w:ascii="Courier New" w:hAnsi="Courier New"/>
      <w:lang w:val="x-none" w:eastAsia="cs-CZ"/>
    </w:rPr>
  </w:style>
  <w:style w:type="character" w:customStyle="1" w:styleId="ObyajntextChar1441">
    <w:name w:val="Obyčajný text Char1441"/>
    <w:aliases w:val="Obyčajný text Char Char Char Char1442"/>
    <w:uiPriority w:val="99"/>
    <w:semiHidden/>
    <w:rPr>
      <w:rFonts w:ascii="Courier New" w:hAnsi="Courier New"/>
      <w:lang w:val="x-none" w:eastAsia="cs-CZ"/>
    </w:rPr>
  </w:style>
  <w:style w:type="character" w:customStyle="1" w:styleId="ObyajntextChar1440">
    <w:name w:val="Obyčajný text Char1440"/>
    <w:aliases w:val="Obyčajný text Char Char Char Char1441"/>
    <w:uiPriority w:val="99"/>
    <w:semiHidden/>
    <w:rPr>
      <w:rFonts w:ascii="Courier New" w:hAnsi="Courier New"/>
      <w:lang w:val="x-none" w:eastAsia="cs-CZ"/>
    </w:rPr>
  </w:style>
  <w:style w:type="character" w:customStyle="1" w:styleId="ObyajntextChar1439">
    <w:name w:val="Obyčajný text Char1439"/>
    <w:aliases w:val="Obyčajný text Char Char Char Char1440"/>
    <w:uiPriority w:val="99"/>
    <w:semiHidden/>
    <w:rPr>
      <w:rFonts w:ascii="Courier New" w:hAnsi="Courier New"/>
      <w:lang w:val="x-none" w:eastAsia="cs-CZ"/>
    </w:rPr>
  </w:style>
  <w:style w:type="character" w:customStyle="1" w:styleId="ObyajntextChar1438">
    <w:name w:val="Obyčajný text Char1438"/>
    <w:aliases w:val="Obyčajný text Char Char Char Char1439"/>
    <w:uiPriority w:val="99"/>
    <w:semiHidden/>
    <w:rPr>
      <w:rFonts w:ascii="Courier New" w:hAnsi="Courier New"/>
      <w:lang w:val="x-none" w:eastAsia="cs-CZ"/>
    </w:rPr>
  </w:style>
  <w:style w:type="character" w:customStyle="1" w:styleId="ObyajntextChar1437">
    <w:name w:val="Obyčajný text Char1437"/>
    <w:aliases w:val="Obyčajný text Char Char Char Char1438"/>
    <w:uiPriority w:val="99"/>
    <w:semiHidden/>
    <w:rPr>
      <w:rFonts w:ascii="Courier New" w:hAnsi="Courier New"/>
      <w:lang w:val="x-none" w:eastAsia="cs-CZ"/>
    </w:rPr>
  </w:style>
  <w:style w:type="character" w:customStyle="1" w:styleId="ObyajntextChar1436">
    <w:name w:val="Obyčajný text Char1436"/>
    <w:aliases w:val="Obyčajný text Char Char Char Char1437"/>
    <w:uiPriority w:val="99"/>
    <w:semiHidden/>
    <w:rPr>
      <w:rFonts w:ascii="Courier New" w:hAnsi="Courier New"/>
      <w:lang w:val="x-none" w:eastAsia="cs-CZ"/>
    </w:rPr>
  </w:style>
  <w:style w:type="character" w:customStyle="1" w:styleId="ObyajntextChar1435">
    <w:name w:val="Obyčajný text Char1435"/>
    <w:aliases w:val="Obyčajný text Char Char Char Char1436"/>
    <w:uiPriority w:val="99"/>
    <w:semiHidden/>
    <w:rPr>
      <w:rFonts w:ascii="Courier New" w:hAnsi="Courier New"/>
      <w:lang w:val="x-none" w:eastAsia="cs-CZ"/>
    </w:rPr>
  </w:style>
  <w:style w:type="character" w:customStyle="1" w:styleId="ObyajntextChar1434">
    <w:name w:val="Obyčajný text Char1434"/>
    <w:aliases w:val="Obyčajný text Char Char Char Char1435"/>
    <w:uiPriority w:val="99"/>
    <w:semiHidden/>
    <w:rPr>
      <w:rFonts w:ascii="Courier New" w:hAnsi="Courier New"/>
      <w:lang w:val="x-none" w:eastAsia="cs-CZ"/>
    </w:rPr>
  </w:style>
  <w:style w:type="character" w:customStyle="1" w:styleId="ObyajntextChar1433">
    <w:name w:val="Obyčajný text Char1433"/>
    <w:aliases w:val="Obyčajný text Char Char Char Char1434"/>
    <w:uiPriority w:val="99"/>
    <w:semiHidden/>
    <w:rPr>
      <w:rFonts w:ascii="Courier New" w:hAnsi="Courier New"/>
      <w:lang w:val="x-none" w:eastAsia="cs-CZ"/>
    </w:rPr>
  </w:style>
  <w:style w:type="character" w:customStyle="1" w:styleId="ObyajntextChar1432">
    <w:name w:val="Obyčajný text Char1432"/>
    <w:aliases w:val="Obyčajný text Char Char Char Char1433"/>
    <w:uiPriority w:val="99"/>
    <w:semiHidden/>
    <w:rPr>
      <w:rFonts w:ascii="Courier New" w:hAnsi="Courier New"/>
      <w:lang w:val="x-none" w:eastAsia="cs-CZ"/>
    </w:rPr>
  </w:style>
  <w:style w:type="character" w:customStyle="1" w:styleId="ObyajntextChar1431">
    <w:name w:val="Obyčajný text Char1431"/>
    <w:aliases w:val="Obyčajný text Char Char Char Char1432"/>
    <w:uiPriority w:val="99"/>
    <w:semiHidden/>
    <w:rPr>
      <w:rFonts w:ascii="Courier New" w:hAnsi="Courier New"/>
      <w:lang w:val="x-none" w:eastAsia="cs-CZ"/>
    </w:rPr>
  </w:style>
  <w:style w:type="character" w:customStyle="1" w:styleId="ObyajntextChar1430">
    <w:name w:val="Obyčajný text Char1430"/>
    <w:aliases w:val="Obyčajný text Char Char Char Char1431"/>
    <w:uiPriority w:val="99"/>
    <w:semiHidden/>
    <w:rPr>
      <w:rFonts w:ascii="Courier New" w:hAnsi="Courier New"/>
      <w:lang w:val="x-none" w:eastAsia="cs-CZ"/>
    </w:rPr>
  </w:style>
  <w:style w:type="character" w:customStyle="1" w:styleId="ObyajntextChar1429">
    <w:name w:val="Obyčajný text Char1429"/>
    <w:aliases w:val="Obyčajný text Char Char Char Char1430"/>
    <w:uiPriority w:val="99"/>
    <w:semiHidden/>
    <w:rPr>
      <w:rFonts w:ascii="Courier New" w:hAnsi="Courier New"/>
      <w:lang w:val="x-none" w:eastAsia="cs-CZ"/>
    </w:rPr>
  </w:style>
  <w:style w:type="character" w:customStyle="1" w:styleId="ObyajntextChar1428">
    <w:name w:val="Obyčajný text Char1428"/>
    <w:aliases w:val="Obyčajný text Char Char Char Char1429"/>
    <w:uiPriority w:val="99"/>
    <w:semiHidden/>
    <w:rPr>
      <w:rFonts w:ascii="Courier New" w:hAnsi="Courier New"/>
      <w:lang w:val="x-none" w:eastAsia="cs-CZ"/>
    </w:rPr>
  </w:style>
  <w:style w:type="character" w:customStyle="1" w:styleId="ObyajntextChar1427">
    <w:name w:val="Obyčajný text Char1427"/>
    <w:aliases w:val="Obyčajný text Char Char Char Char1428"/>
    <w:uiPriority w:val="99"/>
    <w:semiHidden/>
    <w:rPr>
      <w:rFonts w:ascii="Courier New" w:hAnsi="Courier New"/>
      <w:lang w:val="x-none" w:eastAsia="cs-CZ"/>
    </w:rPr>
  </w:style>
  <w:style w:type="character" w:customStyle="1" w:styleId="ObyajntextChar1426">
    <w:name w:val="Obyčajný text Char1426"/>
    <w:aliases w:val="Obyčajný text Char Char Char Char1427"/>
    <w:uiPriority w:val="99"/>
    <w:semiHidden/>
    <w:rPr>
      <w:rFonts w:ascii="Courier New" w:hAnsi="Courier New"/>
      <w:lang w:val="x-none" w:eastAsia="cs-CZ"/>
    </w:rPr>
  </w:style>
  <w:style w:type="character" w:customStyle="1" w:styleId="ObyajntextChar1425">
    <w:name w:val="Obyčajný text Char1425"/>
    <w:aliases w:val="Obyčajný text Char Char Char Char1426"/>
    <w:uiPriority w:val="99"/>
    <w:semiHidden/>
    <w:rPr>
      <w:rFonts w:ascii="Courier New" w:hAnsi="Courier New"/>
      <w:lang w:val="x-none" w:eastAsia="cs-CZ"/>
    </w:rPr>
  </w:style>
  <w:style w:type="character" w:customStyle="1" w:styleId="ObyajntextChar1424">
    <w:name w:val="Obyčajný text Char1424"/>
    <w:aliases w:val="Obyčajný text Char Char Char Char1425"/>
    <w:uiPriority w:val="99"/>
    <w:semiHidden/>
    <w:rPr>
      <w:rFonts w:ascii="Courier New" w:hAnsi="Courier New"/>
      <w:lang w:val="x-none" w:eastAsia="cs-CZ"/>
    </w:rPr>
  </w:style>
  <w:style w:type="character" w:customStyle="1" w:styleId="ObyajntextChar1423">
    <w:name w:val="Obyčajný text Char1423"/>
    <w:aliases w:val="Obyčajný text Char Char Char Char1424"/>
    <w:uiPriority w:val="99"/>
    <w:semiHidden/>
    <w:rPr>
      <w:rFonts w:ascii="Courier New" w:hAnsi="Courier New"/>
      <w:lang w:val="x-none" w:eastAsia="cs-CZ"/>
    </w:rPr>
  </w:style>
  <w:style w:type="character" w:customStyle="1" w:styleId="ObyajntextChar1422">
    <w:name w:val="Obyčajný text Char1422"/>
    <w:aliases w:val="Obyčajný text Char Char Char Char1423"/>
    <w:uiPriority w:val="99"/>
    <w:semiHidden/>
    <w:rPr>
      <w:rFonts w:ascii="Courier New" w:hAnsi="Courier New"/>
      <w:lang w:val="x-none" w:eastAsia="cs-CZ"/>
    </w:rPr>
  </w:style>
  <w:style w:type="character" w:customStyle="1" w:styleId="ObyajntextChar1421">
    <w:name w:val="Obyčajný text Char1421"/>
    <w:aliases w:val="Obyčajný text Char Char Char Char1422"/>
    <w:uiPriority w:val="99"/>
    <w:semiHidden/>
    <w:rPr>
      <w:rFonts w:ascii="Courier New" w:hAnsi="Courier New"/>
      <w:lang w:val="x-none" w:eastAsia="cs-CZ"/>
    </w:rPr>
  </w:style>
  <w:style w:type="character" w:customStyle="1" w:styleId="ObyajntextChar1420">
    <w:name w:val="Obyčajný text Char1420"/>
    <w:aliases w:val="Obyčajný text Char Char Char Char1421"/>
    <w:uiPriority w:val="99"/>
    <w:semiHidden/>
    <w:rPr>
      <w:rFonts w:ascii="Courier New" w:hAnsi="Courier New"/>
      <w:lang w:val="x-none" w:eastAsia="cs-CZ"/>
    </w:rPr>
  </w:style>
  <w:style w:type="character" w:customStyle="1" w:styleId="ObyajntextChar1419">
    <w:name w:val="Obyčajný text Char1419"/>
    <w:aliases w:val="Obyčajný text Char Char Char Char1420"/>
    <w:uiPriority w:val="99"/>
    <w:semiHidden/>
    <w:rPr>
      <w:rFonts w:ascii="Courier New" w:hAnsi="Courier New"/>
      <w:lang w:val="x-none" w:eastAsia="cs-CZ"/>
    </w:rPr>
  </w:style>
  <w:style w:type="character" w:customStyle="1" w:styleId="ObyajntextChar1418">
    <w:name w:val="Obyčajný text Char1418"/>
    <w:aliases w:val="Obyčajný text Char Char Char Char1419"/>
    <w:uiPriority w:val="99"/>
    <w:semiHidden/>
    <w:rPr>
      <w:rFonts w:ascii="Courier New" w:hAnsi="Courier New"/>
      <w:lang w:val="x-none" w:eastAsia="cs-CZ"/>
    </w:rPr>
  </w:style>
  <w:style w:type="character" w:customStyle="1" w:styleId="ObyajntextChar1417">
    <w:name w:val="Obyčajný text Char1417"/>
    <w:aliases w:val="Obyčajný text Char Char Char Char1418"/>
    <w:uiPriority w:val="99"/>
    <w:semiHidden/>
    <w:rPr>
      <w:rFonts w:ascii="Courier New" w:hAnsi="Courier New"/>
      <w:lang w:val="x-none" w:eastAsia="cs-CZ"/>
    </w:rPr>
  </w:style>
  <w:style w:type="character" w:customStyle="1" w:styleId="ObyajntextChar1416">
    <w:name w:val="Obyčajný text Char1416"/>
    <w:aliases w:val="Obyčajný text Char Char Char Char1417"/>
    <w:uiPriority w:val="99"/>
    <w:semiHidden/>
    <w:rPr>
      <w:rFonts w:ascii="Courier New" w:hAnsi="Courier New"/>
      <w:lang w:val="x-none" w:eastAsia="cs-CZ"/>
    </w:rPr>
  </w:style>
  <w:style w:type="character" w:customStyle="1" w:styleId="ObyajntextChar1415">
    <w:name w:val="Obyčajný text Char1415"/>
    <w:aliases w:val="Obyčajný text Char Char Char Char1416"/>
    <w:uiPriority w:val="99"/>
    <w:semiHidden/>
    <w:rPr>
      <w:rFonts w:ascii="Courier New" w:hAnsi="Courier New"/>
      <w:lang w:val="x-none" w:eastAsia="cs-CZ"/>
    </w:rPr>
  </w:style>
  <w:style w:type="character" w:customStyle="1" w:styleId="ObyajntextChar1414">
    <w:name w:val="Obyčajný text Char1414"/>
    <w:aliases w:val="Obyčajný text Char Char Char Char1415"/>
    <w:uiPriority w:val="99"/>
    <w:semiHidden/>
    <w:rPr>
      <w:rFonts w:ascii="Courier New" w:hAnsi="Courier New"/>
      <w:lang w:val="x-none" w:eastAsia="cs-CZ"/>
    </w:rPr>
  </w:style>
  <w:style w:type="character" w:customStyle="1" w:styleId="ObyajntextChar1413">
    <w:name w:val="Obyčajný text Char1413"/>
    <w:aliases w:val="Obyčajný text Char Char Char Char1414"/>
    <w:uiPriority w:val="99"/>
    <w:semiHidden/>
    <w:rPr>
      <w:rFonts w:ascii="Courier New" w:hAnsi="Courier New"/>
      <w:lang w:val="x-none" w:eastAsia="cs-CZ"/>
    </w:rPr>
  </w:style>
  <w:style w:type="character" w:customStyle="1" w:styleId="ObyajntextChar1412">
    <w:name w:val="Obyčajný text Char1412"/>
    <w:aliases w:val="Obyčajný text Char Char Char Char1413"/>
    <w:uiPriority w:val="99"/>
    <w:semiHidden/>
    <w:rPr>
      <w:rFonts w:ascii="Courier New" w:hAnsi="Courier New"/>
      <w:lang w:val="x-none" w:eastAsia="cs-CZ"/>
    </w:rPr>
  </w:style>
  <w:style w:type="character" w:customStyle="1" w:styleId="ObyajntextChar1411">
    <w:name w:val="Obyčajný text Char1411"/>
    <w:aliases w:val="Obyčajný text Char Char Char Char1412"/>
    <w:uiPriority w:val="99"/>
    <w:semiHidden/>
    <w:rPr>
      <w:rFonts w:ascii="Courier New" w:hAnsi="Courier New"/>
      <w:lang w:val="x-none" w:eastAsia="cs-CZ"/>
    </w:rPr>
  </w:style>
  <w:style w:type="character" w:customStyle="1" w:styleId="ObyajntextChar1410">
    <w:name w:val="Obyčajný text Char1410"/>
    <w:aliases w:val="Obyčajný text Char Char Char Char1411"/>
    <w:uiPriority w:val="99"/>
    <w:semiHidden/>
    <w:rPr>
      <w:rFonts w:ascii="Courier New" w:hAnsi="Courier New"/>
      <w:lang w:val="x-none" w:eastAsia="cs-CZ"/>
    </w:rPr>
  </w:style>
  <w:style w:type="character" w:customStyle="1" w:styleId="ObyajntextChar1409">
    <w:name w:val="Obyčajný text Char1409"/>
    <w:aliases w:val="Obyčajný text Char Char Char Char1410"/>
    <w:uiPriority w:val="99"/>
    <w:semiHidden/>
    <w:rPr>
      <w:rFonts w:ascii="Courier New" w:hAnsi="Courier New"/>
      <w:lang w:val="x-none" w:eastAsia="cs-CZ"/>
    </w:rPr>
  </w:style>
  <w:style w:type="character" w:customStyle="1" w:styleId="ObyajntextChar1408">
    <w:name w:val="Obyčajný text Char1408"/>
    <w:aliases w:val="Obyčajný text Char Char Char Char1409"/>
    <w:uiPriority w:val="99"/>
    <w:semiHidden/>
    <w:rPr>
      <w:rFonts w:ascii="Courier New" w:hAnsi="Courier New"/>
      <w:lang w:val="x-none" w:eastAsia="cs-CZ"/>
    </w:rPr>
  </w:style>
  <w:style w:type="character" w:customStyle="1" w:styleId="ObyajntextChar1407">
    <w:name w:val="Obyčajný text Char1407"/>
    <w:aliases w:val="Obyčajný text Char Char Char Char1408"/>
    <w:uiPriority w:val="99"/>
    <w:semiHidden/>
    <w:rPr>
      <w:rFonts w:ascii="Courier New" w:hAnsi="Courier New"/>
      <w:lang w:val="x-none" w:eastAsia="cs-CZ"/>
    </w:rPr>
  </w:style>
  <w:style w:type="character" w:customStyle="1" w:styleId="ObyajntextChar1406">
    <w:name w:val="Obyčajný text Char1406"/>
    <w:aliases w:val="Obyčajný text Char Char Char Char1407"/>
    <w:uiPriority w:val="99"/>
    <w:semiHidden/>
    <w:rPr>
      <w:rFonts w:ascii="Courier New" w:hAnsi="Courier New"/>
      <w:lang w:val="x-none" w:eastAsia="cs-CZ"/>
    </w:rPr>
  </w:style>
  <w:style w:type="character" w:customStyle="1" w:styleId="ObyajntextChar1405">
    <w:name w:val="Obyčajný text Char1405"/>
    <w:aliases w:val="Obyčajný text Char Char Char Char1406"/>
    <w:uiPriority w:val="99"/>
    <w:semiHidden/>
    <w:rPr>
      <w:rFonts w:ascii="Courier New" w:hAnsi="Courier New"/>
      <w:lang w:val="x-none" w:eastAsia="cs-CZ"/>
    </w:rPr>
  </w:style>
  <w:style w:type="character" w:customStyle="1" w:styleId="ObyajntextChar1404">
    <w:name w:val="Obyčajný text Char1404"/>
    <w:aliases w:val="Obyčajný text Char Char Char Char1405"/>
    <w:uiPriority w:val="99"/>
    <w:semiHidden/>
    <w:rPr>
      <w:rFonts w:ascii="Courier New" w:hAnsi="Courier New"/>
      <w:lang w:val="x-none" w:eastAsia="cs-CZ"/>
    </w:rPr>
  </w:style>
  <w:style w:type="character" w:customStyle="1" w:styleId="ObyajntextChar1403">
    <w:name w:val="Obyčajný text Char1403"/>
    <w:aliases w:val="Obyčajný text Char Char Char Char1404"/>
    <w:uiPriority w:val="99"/>
    <w:semiHidden/>
    <w:rPr>
      <w:rFonts w:ascii="Courier New" w:hAnsi="Courier New"/>
      <w:lang w:val="x-none" w:eastAsia="cs-CZ"/>
    </w:rPr>
  </w:style>
  <w:style w:type="character" w:customStyle="1" w:styleId="ObyajntextChar1402">
    <w:name w:val="Obyčajný text Char1402"/>
    <w:aliases w:val="Obyčajný text Char Char Char Char1403"/>
    <w:uiPriority w:val="99"/>
    <w:semiHidden/>
    <w:rPr>
      <w:rFonts w:ascii="Courier New" w:hAnsi="Courier New"/>
      <w:lang w:val="x-none" w:eastAsia="cs-CZ"/>
    </w:rPr>
  </w:style>
  <w:style w:type="character" w:customStyle="1" w:styleId="ObyajntextChar1401">
    <w:name w:val="Obyčajný text Char1401"/>
    <w:aliases w:val="Obyčajný text Char Char Char Char1402"/>
    <w:uiPriority w:val="99"/>
    <w:semiHidden/>
    <w:rPr>
      <w:rFonts w:ascii="Courier New" w:hAnsi="Courier New"/>
      <w:lang w:val="x-none" w:eastAsia="cs-CZ"/>
    </w:rPr>
  </w:style>
  <w:style w:type="character" w:customStyle="1" w:styleId="ObyajntextChar1400">
    <w:name w:val="Obyčajný text Char1400"/>
    <w:aliases w:val="Obyčajný text Char Char Char Char1401"/>
    <w:uiPriority w:val="99"/>
    <w:semiHidden/>
    <w:rPr>
      <w:rFonts w:ascii="Courier New" w:hAnsi="Courier New"/>
      <w:lang w:val="x-none" w:eastAsia="cs-CZ"/>
    </w:rPr>
  </w:style>
  <w:style w:type="character" w:customStyle="1" w:styleId="ObyajntextChar1399">
    <w:name w:val="Obyčajný text Char1399"/>
    <w:aliases w:val="Obyčajný text Char Char Char Char1400"/>
    <w:uiPriority w:val="99"/>
    <w:semiHidden/>
    <w:rPr>
      <w:rFonts w:ascii="Courier New" w:hAnsi="Courier New"/>
      <w:lang w:val="x-none" w:eastAsia="cs-CZ"/>
    </w:rPr>
  </w:style>
  <w:style w:type="character" w:customStyle="1" w:styleId="ObyajntextChar1398">
    <w:name w:val="Obyčajný text Char1398"/>
    <w:aliases w:val="Obyčajný text Char Char Char Char1399"/>
    <w:uiPriority w:val="99"/>
    <w:semiHidden/>
    <w:rPr>
      <w:rFonts w:ascii="Courier New" w:hAnsi="Courier New"/>
      <w:lang w:val="x-none" w:eastAsia="cs-CZ"/>
    </w:rPr>
  </w:style>
  <w:style w:type="character" w:customStyle="1" w:styleId="ObyajntextChar1397">
    <w:name w:val="Obyčajný text Char1397"/>
    <w:aliases w:val="Obyčajný text Char Char Char Char1398"/>
    <w:uiPriority w:val="99"/>
    <w:semiHidden/>
    <w:rPr>
      <w:rFonts w:ascii="Courier New" w:hAnsi="Courier New"/>
      <w:lang w:val="x-none" w:eastAsia="cs-CZ"/>
    </w:rPr>
  </w:style>
  <w:style w:type="character" w:customStyle="1" w:styleId="ObyajntextChar1396">
    <w:name w:val="Obyčajný text Char1396"/>
    <w:aliases w:val="Obyčajný text Char Char Char Char1397"/>
    <w:uiPriority w:val="99"/>
    <w:semiHidden/>
    <w:rPr>
      <w:rFonts w:ascii="Courier New" w:hAnsi="Courier New"/>
      <w:lang w:val="x-none" w:eastAsia="cs-CZ"/>
    </w:rPr>
  </w:style>
  <w:style w:type="character" w:customStyle="1" w:styleId="ObyajntextChar1395">
    <w:name w:val="Obyčajný text Char1395"/>
    <w:aliases w:val="Obyčajný text Char Char Char Char1396"/>
    <w:uiPriority w:val="99"/>
    <w:semiHidden/>
    <w:rPr>
      <w:rFonts w:ascii="Courier New" w:hAnsi="Courier New"/>
      <w:lang w:val="x-none" w:eastAsia="cs-CZ"/>
    </w:rPr>
  </w:style>
  <w:style w:type="character" w:customStyle="1" w:styleId="ObyajntextChar1394">
    <w:name w:val="Obyčajný text Char1394"/>
    <w:aliases w:val="Obyčajný text Char Char Char Char1395"/>
    <w:uiPriority w:val="99"/>
    <w:semiHidden/>
    <w:rPr>
      <w:rFonts w:ascii="Courier New" w:hAnsi="Courier New"/>
      <w:lang w:val="x-none" w:eastAsia="cs-CZ"/>
    </w:rPr>
  </w:style>
  <w:style w:type="character" w:customStyle="1" w:styleId="ObyajntextChar1393">
    <w:name w:val="Obyčajný text Char1393"/>
    <w:aliases w:val="Obyčajný text Char Char Char Char1394"/>
    <w:uiPriority w:val="99"/>
    <w:semiHidden/>
    <w:rPr>
      <w:rFonts w:ascii="Courier New" w:hAnsi="Courier New"/>
      <w:lang w:val="x-none" w:eastAsia="cs-CZ"/>
    </w:rPr>
  </w:style>
  <w:style w:type="character" w:customStyle="1" w:styleId="ObyajntextChar1392">
    <w:name w:val="Obyčajný text Char1392"/>
    <w:aliases w:val="Obyčajný text Char Char Char Char1393"/>
    <w:uiPriority w:val="99"/>
    <w:semiHidden/>
    <w:rPr>
      <w:rFonts w:ascii="Courier New" w:hAnsi="Courier New"/>
      <w:lang w:val="x-none" w:eastAsia="cs-CZ"/>
    </w:rPr>
  </w:style>
  <w:style w:type="character" w:customStyle="1" w:styleId="ObyajntextChar1391">
    <w:name w:val="Obyčajný text Char1391"/>
    <w:aliases w:val="Obyčajný text Char Char Char Char1392"/>
    <w:uiPriority w:val="99"/>
    <w:semiHidden/>
    <w:rPr>
      <w:rFonts w:ascii="Courier New" w:hAnsi="Courier New"/>
      <w:lang w:val="x-none" w:eastAsia="cs-CZ"/>
    </w:rPr>
  </w:style>
  <w:style w:type="character" w:customStyle="1" w:styleId="ObyajntextChar1390">
    <w:name w:val="Obyčajný text Char1390"/>
    <w:aliases w:val="Obyčajný text Char Char Char Char1391"/>
    <w:uiPriority w:val="99"/>
    <w:semiHidden/>
    <w:rPr>
      <w:rFonts w:ascii="Courier New" w:hAnsi="Courier New"/>
      <w:lang w:val="x-none" w:eastAsia="cs-CZ"/>
    </w:rPr>
  </w:style>
  <w:style w:type="character" w:customStyle="1" w:styleId="ObyajntextChar1389">
    <w:name w:val="Obyčajný text Char1389"/>
    <w:aliases w:val="Obyčajný text Char Char Char Char1390"/>
    <w:uiPriority w:val="99"/>
    <w:semiHidden/>
    <w:rPr>
      <w:rFonts w:ascii="Courier New" w:hAnsi="Courier New"/>
      <w:lang w:val="x-none" w:eastAsia="cs-CZ"/>
    </w:rPr>
  </w:style>
  <w:style w:type="character" w:customStyle="1" w:styleId="ObyajntextChar1388">
    <w:name w:val="Obyčajný text Char1388"/>
    <w:aliases w:val="Obyčajný text Char Char Char Char1389"/>
    <w:uiPriority w:val="99"/>
    <w:semiHidden/>
    <w:rPr>
      <w:rFonts w:ascii="Courier New" w:hAnsi="Courier New"/>
      <w:lang w:val="x-none" w:eastAsia="cs-CZ"/>
    </w:rPr>
  </w:style>
  <w:style w:type="character" w:customStyle="1" w:styleId="ObyajntextChar1387">
    <w:name w:val="Obyčajný text Char1387"/>
    <w:aliases w:val="Obyčajný text Char Char Char Char1388"/>
    <w:uiPriority w:val="99"/>
    <w:semiHidden/>
    <w:rPr>
      <w:rFonts w:ascii="Courier New" w:hAnsi="Courier New"/>
      <w:lang w:val="x-none" w:eastAsia="cs-CZ"/>
    </w:rPr>
  </w:style>
  <w:style w:type="character" w:customStyle="1" w:styleId="ObyajntextChar1386">
    <w:name w:val="Obyčajný text Char1386"/>
    <w:aliases w:val="Obyčajný text Char Char Char Char1387"/>
    <w:uiPriority w:val="99"/>
    <w:semiHidden/>
    <w:rPr>
      <w:rFonts w:ascii="Courier New" w:hAnsi="Courier New"/>
      <w:lang w:val="x-none" w:eastAsia="cs-CZ"/>
    </w:rPr>
  </w:style>
  <w:style w:type="character" w:customStyle="1" w:styleId="ObyajntextChar1385">
    <w:name w:val="Obyčajný text Char1385"/>
    <w:aliases w:val="Obyčajný text Char Char Char Char1386"/>
    <w:uiPriority w:val="99"/>
    <w:semiHidden/>
    <w:rPr>
      <w:rFonts w:ascii="Courier New" w:hAnsi="Courier New"/>
      <w:lang w:val="x-none" w:eastAsia="cs-CZ"/>
    </w:rPr>
  </w:style>
  <w:style w:type="character" w:customStyle="1" w:styleId="ObyajntextChar1384">
    <w:name w:val="Obyčajný text Char1384"/>
    <w:aliases w:val="Obyčajný text Char Char Char Char1385"/>
    <w:uiPriority w:val="99"/>
    <w:semiHidden/>
    <w:rPr>
      <w:rFonts w:ascii="Courier New" w:hAnsi="Courier New"/>
      <w:lang w:val="x-none" w:eastAsia="cs-CZ"/>
    </w:rPr>
  </w:style>
  <w:style w:type="character" w:customStyle="1" w:styleId="ObyajntextChar1383">
    <w:name w:val="Obyčajný text Char1383"/>
    <w:aliases w:val="Obyčajný text Char Char Char Char1384"/>
    <w:uiPriority w:val="99"/>
    <w:semiHidden/>
    <w:rPr>
      <w:rFonts w:ascii="Courier New" w:hAnsi="Courier New"/>
      <w:lang w:val="x-none" w:eastAsia="cs-CZ"/>
    </w:rPr>
  </w:style>
  <w:style w:type="character" w:customStyle="1" w:styleId="ObyajntextChar1382">
    <w:name w:val="Obyčajný text Char1382"/>
    <w:aliases w:val="Obyčajný text Char Char Char Char1383"/>
    <w:uiPriority w:val="99"/>
    <w:semiHidden/>
    <w:rPr>
      <w:rFonts w:ascii="Courier New" w:hAnsi="Courier New"/>
      <w:lang w:val="x-none" w:eastAsia="cs-CZ"/>
    </w:rPr>
  </w:style>
  <w:style w:type="character" w:customStyle="1" w:styleId="ObyajntextChar1381">
    <w:name w:val="Obyčajný text Char1381"/>
    <w:aliases w:val="Obyčajný text Char Char Char Char1382"/>
    <w:uiPriority w:val="99"/>
    <w:semiHidden/>
    <w:rPr>
      <w:rFonts w:ascii="Courier New" w:hAnsi="Courier New"/>
      <w:lang w:val="x-none" w:eastAsia="cs-CZ"/>
    </w:rPr>
  </w:style>
  <w:style w:type="character" w:customStyle="1" w:styleId="ObyajntextChar1380">
    <w:name w:val="Obyčajný text Char1380"/>
    <w:aliases w:val="Obyčajný text Char Char Char Char1381"/>
    <w:uiPriority w:val="99"/>
    <w:semiHidden/>
    <w:rPr>
      <w:rFonts w:ascii="Courier New" w:hAnsi="Courier New"/>
      <w:lang w:val="x-none" w:eastAsia="cs-CZ"/>
    </w:rPr>
  </w:style>
  <w:style w:type="character" w:customStyle="1" w:styleId="ObyajntextChar1379">
    <w:name w:val="Obyčajný text Char1379"/>
    <w:aliases w:val="Obyčajný text Char Char Char Char1380"/>
    <w:uiPriority w:val="99"/>
    <w:semiHidden/>
    <w:rPr>
      <w:rFonts w:ascii="Courier New" w:hAnsi="Courier New"/>
      <w:lang w:val="x-none" w:eastAsia="cs-CZ"/>
    </w:rPr>
  </w:style>
  <w:style w:type="character" w:customStyle="1" w:styleId="ObyajntextChar1378">
    <w:name w:val="Obyčajný text Char1378"/>
    <w:aliases w:val="Obyčajný text Char Char Char Char1379"/>
    <w:uiPriority w:val="99"/>
    <w:semiHidden/>
    <w:rPr>
      <w:rFonts w:ascii="Courier New" w:hAnsi="Courier New"/>
      <w:lang w:val="x-none" w:eastAsia="cs-CZ"/>
    </w:rPr>
  </w:style>
  <w:style w:type="character" w:customStyle="1" w:styleId="ObyajntextChar1377">
    <w:name w:val="Obyčajný text Char1377"/>
    <w:aliases w:val="Obyčajný text Char Char Char Char1378"/>
    <w:uiPriority w:val="99"/>
    <w:semiHidden/>
    <w:rPr>
      <w:rFonts w:ascii="Courier New" w:hAnsi="Courier New"/>
      <w:lang w:val="x-none" w:eastAsia="cs-CZ"/>
    </w:rPr>
  </w:style>
  <w:style w:type="character" w:customStyle="1" w:styleId="ObyajntextChar1376">
    <w:name w:val="Obyčajný text Char1376"/>
    <w:aliases w:val="Obyčajný text Char Char Char Char1377"/>
    <w:uiPriority w:val="99"/>
    <w:semiHidden/>
    <w:rPr>
      <w:rFonts w:ascii="Courier New" w:hAnsi="Courier New"/>
      <w:lang w:val="x-none" w:eastAsia="cs-CZ"/>
    </w:rPr>
  </w:style>
  <w:style w:type="character" w:customStyle="1" w:styleId="ObyajntextChar1375">
    <w:name w:val="Obyčajný text Char1375"/>
    <w:aliases w:val="Obyčajný text Char Char Char Char1376"/>
    <w:uiPriority w:val="99"/>
    <w:semiHidden/>
    <w:rPr>
      <w:rFonts w:ascii="Courier New" w:hAnsi="Courier New"/>
      <w:lang w:val="x-none" w:eastAsia="cs-CZ"/>
    </w:rPr>
  </w:style>
  <w:style w:type="character" w:customStyle="1" w:styleId="ObyajntextChar1374">
    <w:name w:val="Obyčajný text Char1374"/>
    <w:aliases w:val="Obyčajný text Char Char Char Char1375"/>
    <w:uiPriority w:val="99"/>
    <w:semiHidden/>
    <w:rPr>
      <w:rFonts w:ascii="Courier New" w:hAnsi="Courier New"/>
      <w:lang w:val="x-none" w:eastAsia="cs-CZ"/>
    </w:rPr>
  </w:style>
  <w:style w:type="character" w:customStyle="1" w:styleId="ObyajntextChar1373">
    <w:name w:val="Obyčajný text Char1373"/>
    <w:aliases w:val="Obyčajný text Char Char Char Char1374"/>
    <w:uiPriority w:val="99"/>
    <w:semiHidden/>
    <w:rPr>
      <w:rFonts w:ascii="Courier New" w:hAnsi="Courier New"/>
      <w:lang w:val="x-none" w:eastAsia="cs-CZ"/>
    </w:rPr>
  </w:style>
  <w:style w:type="character" w:customStyle="1" w:styleId="ObyajntextChar1372">
    <w:name w:val="Obyčajný text Char1372"/>
    <w:aliases w:val="Obyčajný text Char Char Char Char1373"/>
    <w:uiPriority w:val="99"/>
    <w:semiHidden/>
    <w:rPr>
      <w:rFonts w:ascii="Courier New" w:hAnsi="Courier New"/>
      <w:lang w:val="x-none" w:eastAsia="cs-CZ"/>
    </w:rPr>
  </w:style>
  <w:style w:type="character" w:customStyle="1" w:styleId="ObyajntextChar1371">
    <w:name w:val="Obyčajný text Char1371"/>
    <w:aliases w:val="Obyčajný text Char Char Char Char1372"/>
    <w:uiPriority w:val="99"/>
    <w:semiHidden/>
    <w:rPr>
      <w:rFonts w:ascii="Courier New" w:hAnsi="Courier New"/>
      <w:lang w:val="x-none" w:eastAsia="cs-CZ"/>
    </w:rPr>
  </w:style>
  <w:style w:type="character" w:customStyle="1" w:styleId="ObyajntextChar1370">
    <w:name w:val="Obyčajný text Char1370"/>
    <w:aliases w:val="Obyčajný text Char Char Char Char1371"/>
    <w:uiPriority w:val="99"/>
    <w:semiHidden/>
    <w:rPr>
      <w:rFonts w:ascii="Courier New" w:hAnsi="Courier New"/>
      <w:lang w:val="x-none" w:eastAsia="cs-CZ"/>
    </w:rPr>
  </w:style>
  <w:style w:type="character" w:customStyle="1" w:styleId="ObyajntextChar1369">
    <w:name w:val="Obyčajný text Char1369"/>
    <w:aliases w:val="Obyčajný text Char Char Char Char1370"/>
    <w:uiPriority w:val="99"/>
    <w:semiHidden/>
    <w:rPr>
      <w:rFonts w:ascii="Courier New" w:hAnsi="Courier New"/>
      <w:lang w:val="x-none" w:eastAsia="cs-CZ"/>
    </w:rPr>
  </w:style>
  <w:style w:type="character" w:customStyle="1" w:styleId="ObyajntextChar1368">
    <w:name w:val="Obyčajný text Char1368"/>
    <w:aliases w:val="Obyčajný text Char Char Char Char1369"/>
    <w:uiPriority w:val="99"/>
    <w:semiHidden/>
    <w:rPr>
      <w:rFonts w:ascii="Courier New" w:hAnsi="Courier New"/>
      <w:lang w:val="x-none" w:eastAsia="cs-CZ"/>
    </w:rPr>
  </w:style>
  <w:style w:type="character" w:customStyle="1" w:styleId="ObyajntextChar1367">
    <w:name w:val="Obyčajný text Char1367"/>
    <w:aliases w:val="Obyčajný text Char Char Char Char1368"/>
    <w:uiPriority w:val="99"/>
    <w:semiHidden/>
    <w:rPr>
      <w:rFonts w:ascii="Courier New" w:hAnsi="Courier New"/>
      <w:lang w:val="x-none" w:eastAsia="cs-CZ"/>
    </w:rPr>
  </w:style>
  <w:style w:type="character" w:customStyle="1" w:styleId="ObyajntextChar1366">
    <w:name w:val="Obyčajný text Char1366"/>
    <w:aliases w:val="Obyčajný text Char Char Char Char1367"/>
    <w:uiPriority w:val="99"/>
    <w:semiHidden/>
    <w:rPr>
      <w:rFonts w:ascii="Courier New" w:hAnsi="Courier New"/>
      <w:lang w:val="x-none" w:eastAsia="cs-CZ"/>
    </w:rPr>
  </w:style>
  <w:style w:type="character" w:customStyle="1" w:styleId="ObyajntextChar1365">
    <w:name w:val="Obyčajný text Char1365"/>
    <w:aliases w:val="Obyčajný text Char Char Char Char1366"/>
    <w:uiPriority w:val="99"/>
    <w:semiHidden/>
    <w:rPr>
      <w:rFonts w:ascii="Courier New" w:hAnsi="Courier New"/>
      <w:lang w:val="x-none" w:eastAsia="cs-CZ"/>
    </w:rPr>
  </w:style>
  <w:style w:type="character" w:customStyle="1" w:styleId="ObyajntextChar1364">
    <w:name w:val="Obyčajný text Char1364"/>
    <w:aliases w:val="Obyčajný text Char Char Char Char1365"/>
    <w:uiPriority w:val="99"/>
    <w:semiHidden/>
    <w:rPr>
      <w:rFonts w:ascii="Courier New" w:hAnsi="Courier New"/>
      <w:lang w:val="x-none" w:eastAsia="cs-CZ"/>
    </w:rPr>
  </w:style>
  <w:style w:type="character" w:customStyle="1" w:styleId="ObyajntextChar1363">
    <w:name w:val="Obyčajný text Char1363"/>
    <w:aliases w:val="Obyčajný text Char Char Char Char1364"/>
    <w:uiPriority w:val="99"/>
    <w:semiHidden/>
    <w:rPr>
      <w:rFonts w:ascii="Courier New" w:hAnsi="Courier New"/>
      <w:lang w:val="x-none" w:eastAsia="cs-CZ"/>
    </w:rPr>
  </w:style>
  <w:style w:type="character" w:customStyle="1" w:styleId="ObyajntextChar1362">
    <w:name w:val="Obyčajný text Char1362"/>
    <w:aliases w:val="Obyčajný text Char Char Char Char1363"/>
    <w:uiPriority w:val="99"/>
    <w:semiHidden/>
    <w:rPr>
      <w:rFonts w:ascii="Courier New" w:hAnsi="Courier New"/>
      <w:lang w:val="x-none" w:eastAsia="cs-CZ"/>
    </w:rPr>
  </w:style>
  <w:style w:type="character" w:customStyle="1" w:styleId="ObyajntextChar1361">
    <w:name w:val="Obyčajný text Char1361"/>
    <w:aliases w:val="Obyčajný text Char Char Char Char1362"/>
    <w:uiPriority w:val="99"/>
    <w:semiHidden/>
    <w:rPr>
      <w:rFonts w:ascii="Courier New" w:hAnsi="Courier New"/>
      <w:lang w:val="x-none" w:eastAsia="cs-CZ"/>
    </w:rPr>
  </w:style>
  <w:style w:type="character" w:customStyle="1" w:styleId="ObyajntextChar1360">
    <w:name w:val="Obyčajný text Char1360"/>
    <w:aliases w:val="Obyčajný text Char Char Char Char1361"/>
    <w:uiPriority w:val="99"/>
    <w:semiHidden/>
    <w:rPr>
      <w:rFonts w:ascii="Courier New" w:hAnsi="Courier New"/>
      <w:lang w:val="x-none" w:eastAsia="cs-CZ"/>
    </w:rPr>
  </w:style>
  <w:style w:type="character" w:customStyle="1" w:styleId="ObyajntextChar1359">
    <w:name w:val="Obyčajný text Char1359"/>
    <w:aliases w:val="Obyčajný text Char Char Char Char1360"/>
    <w:uiPriority w:val="99"/>
    <w:semiHidden/>
    <w:rPr>
      <w:rFonts w:ascii="Courier New" w:hAnsi="Courier New"/>
      <w:lang w:val="x-none" w:eastAsia="cs-CZ"/>
    </w:rPr>
  </w:style>
  <w:style w:type="character" w:customStyle="1" w:styleId="ObyajntextChar1358">
    <w:name w:val="Obyčajný text Char1358"/>
    <w:aliases w:val="Obyčajný text Char Char Char Char1359"/>
    <w:uiPriority w:val="99"/>
    <w:semiHidden/>
    <w:rPr>
      <w:rFonts w:ascii="Courier New" w:hAnsi="Courier New"/>
      <w:lang w:val="x-none" w:eastAsia="cs-CZ"/>
    </w:rPr>
  </w:style>
  <w:style w:type="character" w:customStyle="1" w:styleId="ObyajntextChar1357">
    <w:name w:val="Obyčajný text Char1357"/>
    <w:aliases w:val="Obyčajný text Char Char Char Char1358"/>
    <w:uiPriority w:val="99"/>
    <w:semiHidden/>
    <w:rPr>
      <w:rFonts w:ascii="Courier New" w:hAnsi="Courier New"/>
      <w:lang w:val="x-none" w:eastAsia="cs-CZ"/>
    </w:rPr>
  </w:style>
  <w:style w:type="character" w:customStyle="1" w:styleId="ObyajntextChar1356">
    <w:name w:val="Obyčajný text Char1356"/>
    <w:aliases w:val="Obyčajný text Char Char Char Char1357"/>
    <w:uiPriority w:val="99"/>
    <w:semiHidden/>
    <w:rPr>
      <w:rFonts w:ascii="Courier New" w:hAnsi="Courier New"/>
      <w:lang w:val="x-none" w:eastAsia="cs-CZ"/>
    </w:rPr>
  </w:style>
  <w:style w:type="character" w:customStyle="1" w:styleId="ObyajntextChar1355">
    <w:name w:val="Obyčajný text Char1355"/>
    <w:aliases w:val="Obyčajný text Char Char Char Char1356"/>
    <w:uiPriority w:val="99"/>
    <w:semiHidden/>
    <w:rPr>
      <w:rFonts w:ascii="Courier New" w:hAnsi="Courier New"/>
      <w:lang w:val="x-none" w:eastAsia="cs-CZ"/>
    </w:rPr>
  </w:style>
  <w:style w:type="character" w:customStyle="1" w:styleId="ObyajntextChar1354">
    <w:name w:val="Obyčajný text Char1354"/>
    <w:aliases w:val="Obyčajný text Char Char Char Char1355"/>
    <w:uiPriority w:val="99"/>
    <w:semiHidden/>
    <w:rPr>
      <w:rFonts w:ascii="Courier New" w:hAnsi="Courier New"/>
      <w:lang w:val="x-none" w:eastAsia="cs-CZ"/>
    </w:rPr>
  </w:style>
  <w:style w:type="character" w:customStyle="1" w:styleId="ObyajntextChar1353">
    <w:name w:val="Obyčajný text Char1353"/>
    <w:aliases w:val="Obyčajný text Char Char Char Char1354"/>
    <w:uiPriority w:val="99"/>
    <w:semiHidden/>
    <w:rPr>
      <w:rFonts w:ascii="Courier New" w:hAnsi="Courier New"/>
      <w:lang w:val="x-none" w:eastAsia="cs-CZ"/>
    </w:rPr>
  </w:style>
  <w:style w:type="character" w:customStyle="1" w:styleId="ObyajntextChar1352">
    <w:name w:val="Obyčajný text Char1352"/>
    <w:aliases w:val="Obyčajný text Char Char Char Char1353"/>
    <w:uiPriority w:val="99"/>
    <w:semiHidden/>
    <w:rPr>
      <w:rFonts w:ascii="Courier New" w:hAnsi="Courier New"/>
      <w:lang w:val="x-none" w:eastAsia="cs-CZ"/>
    </w:rPr>
  </w:style>
  <w:style w:type="character" w:customStyle="1" w:styleId="ObyajntextChar1351">
    <w:name w:val="Obyčajný text Char1351"/>
    <w:aliases w:val="Obyčajný text Char Char Char Char1352"/>
    <w:uiPriority w:val="99"/>
    <w:semiHidden/>
    <w:rPr>
      <w:rFonts w:ascii="Courier New" w:hAnsi="Courier New"/>
      <w:lang w:val="x-none" w:eastAsia="cs-CZ"/>
    </w:rPr>
  </w:style>
  <w:style w:type="character" w:customStyle="1" w:styleId="ObyajntextChar1350">
    <w:name w:val="Obyčajný text Char1350"/>
    <w:aliases w:val="Obyčajný text Char Char Char Char1351"/>
    <w:uiPriority w:val="99"/>
    <w:semiHidden/>
    <w:rPr>
      <w:rFonts w:ascii="Courier New" w:hAnsi="Courier New"/>
      <w:lang w:val="x-none" w:eastAsia="cs-CZ"/>
    </w:rPr>
  </w:style>
  <w:style w:type="character" w:customStyle="1" w:styleId="ObyajntextChar1349">
    <w:name w:val="Obyčajný text Char1349"/>
    <w:aliases w:val="Obyčajný text Char Char Char Char1350"/>
    <w:uiPriority w:val="99"/>
    <w:semiHidden/>
    <w:rPr>
      <w:rFonts w:ascii="Courier New" w:hAnsi="Courier New"/>
      <w:lang w:val="x-none" w:eastAsia="cs-CZ"/>
    </w:rPr>
  </w:style>
  <w:style w:type="character" w:customStyle="1" w:styleId="ObyajntextChar1348">
    <w:name w:val="Obyčajný text Char1348"/>
    <w:aliases w:val="Obyčajný text Char Char Char Char1349"/>
    <w:uiPriority w:val="99"/>
    <w:semiHidden/>
    <w:rPr>
      <w:rFonts w:ascii="Courier New" w:hAnsi="Courier New"/>
      <w:lang w:val="x-none" w:eastAsia="cs-CZ"/>
    </w:rPr>
  </w:style>
  <w:style w:type="character" w:customStyle="1" w:styleId="ObyajntextChar1347">
    <w:name w:val="Obyčajný text Char1347"/>
    <w:aliases w:val="Obyčajný text Char Char Char Char1348"/>
    <w:uiPriority w:val="99"/>
    <w:semiHidden/>
    <w:rPr>
      <w:rFonts w:ascii="Courier New" w:hAnsi="Courier New"/>
      <w:lang w:val="x-none" w:eastAsia="cs-CZ"/>
    </w:rPr>
  </w:style>
  <w:style w:type="character" w:customStyle="1" w:styleId="ObyajntextChar1346">
    <w:name w:val="Obyčajný text Char1346"/>
    <w:aliases w:val="Obyčajný text Char Char Char Char1347"/>
    <w:uiPriority w:val="99"/>
    <w:semiHidden/>
    <w:rPr>
      <w:rFonts w:ascii="Courier New" w:hAnsi="Courier New"/>
      <w:lang w:val="x-none" w:eastAsia="cs-CZ"/>
    </w:rPr>
  </w:style>
  <w:style w:type="character" w:customStyle="1" w:styleId="ObyajntextChar1345">
    <w:name w:val="Obyčajný text Char1345"/>
    <w:aliases w:val="Obyčajný text Char Char Char Char1346"/>
    <w:uiPriority w:val="99"/>
    <w:semiHidden/>
    <w:rPr>
      <w:rFonts w:ascii="Courier New" w:hAnsi="Courier New"/>
      <w:lang w:val="x-none" w:eastAsia="cs-CZ"/>
    </w:rPr>
  </w:style>
  <w:style w:type="character" w:customStyle="1" w:styleId="ObyajntextChar1344">
    <w:name w:val="Obyčajný text Char1344"/>
    <w:aliases w:val="Obyčajný text Char Char Char Char1345"/>
    <w:uiPriority w:val="99"/>
    <w:semiHidden/>
    <w:rPr>
      <w:rFonts w:ascii="Courier New" w:hAnsi="Courier New"/>
      <w:lang w:val="x-none" w:eastAsia="cs-CZ"/>
    </w:rPr>
  </w:style>
  <w:style w:type="character" w:customStyle="1" w:styleId="ObyajntextChar1343">
    <w:name w:val="Obyčajný text Char1343"/>
    <w:aliases w:val="Obyčajný text Char Char Char Char1344"/>
    <w:uiPriority w:val="99"/>
    <w:semiHidden/>
    <w:rPr>
      <w:rFonts w:ascii="Courier New" w:hAnsi="Courier New"/>
      <w:lang w:val="x-none" w:eastAsia="cs-CZ"/>
    </w:rPr>
  </w:style>
  <w:style w:type="character" w:customStyle="1" w:styleId="ObyajntextChar1342">
    <w:name w:val="Obyčajný text Char1342"/>
    <w:aliases w:val="Obyčajný text Char Char Char Char1343"/>
    <w:uiPriority w:val="99"/>
    <w:semiHidden/>
    <w:rPr>
      <w:rFonts w:ascii="Courier New" w:hAnsi="Courier New"/>
      <w:lang w:val="x-none" w:eastAsia="cs-CZ"/>
    </w:rPr>
  </w:style>
  <w:style w:type="character" w:customStyle="1" w:styleId="ObyajntextChar1341">
    <w:name w:val="Obyčajný text Char1341"/>
    <w:aliases w:val="Obyčajný text Char Char Char Char1342"/>
    <w:uiPriority w:val="99"/>
    <w:semiHidden/>
    <w:rPr>
      <w:rFonts w:ascii="Courier New" w:hAnsi="Courier New"/>
      <w:lang w:val="x-none" w:eastAsia="cs-CZ"/>
    </w:rPr>
  </w:style>
  <w:style w:type="character" w:customStyle="1" w:styleId="ObyajntextChar1340">
    <w:name w:val="Obyčajný text Char1340"/>
    <w:aliases w:val="Obyčajný text Char Char Char Char1341"/>
    <w:uiPriority w:val="99"/>
    <w:semiHidden/>
    <w:rPr>
      <w:rFonts w:ascii="Courier New" w:hAnsi="Courier New"/>
      <w:lang w:val="x-none" w:eastAsia="cs-CZ"/>
    </w:rPr>
  </w:style>
  <w:style w:type="character" w:customStyle="1" w:styleId="ObyajntextChar1339">
    <w:name w:val="Obyčajný text Char1339"/>
    <w:aliases w:val="Obyčajný text Char Char Char Char1340"/>
    <w:uiPriority w:val="99"/>
    <w:semiHidden/>
    <w:rPr>
      <w:rFonts w:ascii="Courier New" w:hAnsi="Courier New"/>
      <w:lang w:val="x-none" w:eastAsia="cs-CZ"/>
    </w:rPr>
  </w:style>
  <w:style w:type="character" w:customStyle="1" w:styleId="ObyajntextChar1338">
    <w:name w:val="Obyčajný text Char1338"/>
    <w:aliases w:val="Obyčajný text Char Char Char Char1339"/>
    <w:uiPriority w:val="99"/>
    <w:semiHidden/>
    <w:rPr>
      <w:rFonts w:ascii="Courier New" w:hAnsi="Courier New"/>
      <w:lang w:val="x-none" w:eastAsia="cs-CZ"/>
    </w:rPr>
  </w:style>
  <w:style w:type="character" w:customStyle="1" w:styleId="ObyajntextChar1337">
    <w:name w:val="Obyčajný text Char1337"/>
    <w:aliases w:val="Obyčajný text Char Char Char Char1338"/>
    <w:uiPriority w:val="99"/>
    <w:semiHidden/>
    <w:rPr>
      <w:rFonts w:ascii="Courier New" w:hAnsi="Courier New"/>
      <w:lang w:val="x-none" w:eastAsia="cs-CZ"/>
    </w:rPr>
  </w:style>
  <w:style w:type="character" w:customStyle="1" w:styleId="ObyajntextChar1336">
    <w:name w:val="Obyčajný text Char1336"/>
    <w:aliases w:val="Obyčajný text Char Char Char Char1337"/>
    <w:uiPriority w:val="99"/>
    <w:semiHidden/>
    <w:rPr>
      <w:rFonts w:ascii="Courier New" w:hAnsi="Courier New"/>
      <w:lang w:val="x-none" w:eastAsia="cs-CZ"/>
    </w:rPr>
  </w:style>
  <w:style w:type="character" w:customStyle="1" w:styleId="ObyajntextChar1335">
    <w:name w:val="Obyčajný text Char1335"/>
    <w:aliases w:val="Obyčajný text Char Char Char Char1336"/>
    <w:uiPriority w:val="99"/>
    <w:semiHidden/>
    <w:rPr>
      <w:rFonts w:ascii="Courier New" w:hAnsi="Courier New"/>
      <w:lang w:val="x-none" w:eastAsia="cs-CZ"/>
    </w:rPr>
  </w:style>
  <w:style w:type="character" w:customStyle="1" w:styleId="ObyajntextChar1334">
    <w:name w:val="Obyčajný text Char1334"/>
    <w:aliases w:val="Obyčajný text Char Char Char Char1335"/>
    <w:uiPriority w:val="99"/>
    <w:semiHidden/>
    <w:rPr>
      <w:rFonts w:ascii="Courier New" w:hAnsi="Courier New"/>
      <w:lang w:val="x-none" w:eastAsia="cs-CZ"/>
    </w:rPr>
  </w:style>
  <w:style w:type="character" w:customStyle="1" w:styleId="ObyajntextChar1333">
    <w:name w:val="Obyčajný text Char1333"/>
    <w:aliases w:val="Obyčajný text Char Char Char Char1334"/>
    <w:uiPriority w:val="99"/>
    <w:semiHidden/>
    <w:rPr>
      <w:rFonts w:ascii="Courier New" w:hAnsi="Courier New"/>
      <w:lang w:val="x-none" w:eastAsia="cs-CZ"/>
    </w:rPr>
  </w:style>
  <w:style w:type="character" w:customStyle="1" w:styleId="ObyajntextChar1332">
    <w:name w:val="Obyčajný text Char1332"/>
    <w:aliases w:val="Obyčajný text Char Char Char Char1333"/>
    <w:uiPriority w:val="99"/>
    <w:semiHidden/>
    <w:rPr>
      <w:rFonts w:ascii="Courier New" w:hAnsi="Courier New"/>
      <w:lang w:val="x-none" w:eastAsia="cs-CZ"/>
    </w:rPr>
  </w:style>
  <w:style w:type="character" w:customStyle="1" w:styleId="ObyajntextChar1331">
    <w:name w:val="Obyčajný text Char1331"/>
    <w:aliases w:val="Obyčajný text Char Char Char Char1332"/>
    <w:uiPriority w:val="99"/>
    <w:semiHidden/>
    <w:rPr>
      <w:rFonts w:ascii="Courier New" w:hAnsi="Courier New"/>
      <w:lang w:val="x-none" w:eastAsia="cs-CZ"/>
    </w:rPr>
  </w:style>
  <w:style w:type="character" w:customStyle="1" w:styleId="ObyajntextChar1330">
    <w:name w:val="Obyčajný text Char1330"/>
    <w:aliases w:val="Obyčajný text Char Char Char Char1331"/>
    <w:uiPriority w:val="99"/>
    <w:semiHidden/>
    <w:rPr>
      <w:rFonts w:ascii="Courier New" w:hAnsi="Courier New"/>
      <w:lang w:val="x-none" w:eastAsia="cs-CZ"/>
    </w:rPr>
  </w:style>
  <w:style w:type="character" w:customStyle="1" w:styleId="ObyajntextChar1329">
    <w:name w:val="Obyčajný text Char1329"/>
    <w:aliases w:val="Obyčajný text Char Char Char Char1330"/>
    <w:uiPriority w:val="99"/>
    <w:semiHidden/>
    <w:rPr>
      <w:rFonts w:ascii="Courier New" w:hAnsi="Courier New"/>
      <w:lang w:val="x-none" w:eastAsia="cs-CZ"/>
    </w:rPr>
  </w:style>
  <w:style w:type="character" w:customStyle="1" w:styleId="ObyajntextChar1328">
    <w:name w:val="Obyčajný text Char1328"/>
    <w:aliases w:val="Obyčajný text Char Char Char Char1329"/>
    <w:uiPriority w:val="99"/>
    <w:semiHidden/>
    <w:rPr>
      <w:rFonts w:ascii="Courier New" w:hAnsi="Courier New"/>
      <w:lang w:val="x-none" w:eastAsia="cs-CZ"/>
    </w:rPr>
  </w:style>
  <w:style w:type="character" w:customStyle="1" w:styleId="ObyajntextChar1327">
    <w:name w:val="Obyčajný text Char1327"/>
    <w:aliases w:val="Obyčajný text Char Char Char Char1328"/>
    <w:uiPriority w:val="99"/>
    <w:semiHidden/>
    <w:rPr>
      <w:rFonts w:ascii="Courier New" w:hAnsi="Courier New"/>
      <w:lang w:val="x-none" w:eastAsia="cs-CZ"/>
    </w:rPr>
  </w:style>
  <w:style w:type="character" w:customStyle="1" w:styleId="ObyajntextChar1326">
    <w:name w:val="Obyčajný text Char1326"/>
    <w:aliases w:val="Obyčajný text Char Char Char Char1327"/>
    <w:uiPriority w:val="99"/>
    <w:semiHidden/>
    <w:rPr>
      <w:rFonts w:ascii="Courier New" w:hAnsi="Courier New"/>
      <w:lang w:val="x-none" w:eastAsia="cs-CZ"/>
    </w:rPr>
  </w:style>
  <w:style w:type="character" w:customStyle="1" w:styleId="ObyajntextChar1325">
    <w:name w:val="Obyčajný text Char1325"/>
    <w:aliases w:val="Obyčajný text Char Char Char Char1326"/>
    <w:uiPriority w:val="99"/>
    <w:semiHidden/>
    <w:rPr>
      <w:rFonts w:ascii="Courier New" w:hAnsi="Courier New"/>
      <w:lang w:val="x-none" w:eastAsia="cs-CZ"/>
    </w:rPr>
  </w:style>
  <w:style w:type="character" w:customStyle="1" w:styleId="ObyajntextChar1324">
    <w:name w:val="Obyčajný text Char1324"/>
    <w:aliases w:val="Obyčajný text Char Char Char Char1325"/>
    <w:uiPriority w:val="99"/>
    <w:semiHidden/>
    <w:rPr>
      <w:rFonts w:ascii="Courier New" w:hAnsi="Courier New"/>
      <w:lang w:val="x-none" w:eastAsia="cs-CZ"/>
    </w:rPr>
  </w:style>
  <w:style w:type="character" w:customStyle="1" w:styleId="ObyajntextChar1323">
    <w:name w:val="Obyčajný text Char1323"/>
    <w:aliases w:val="Obyčajný text Char Char Char Char1324"/>
    <w:uiPriority w:val="99"/>
    <w:semiHidden/>
    <w:rPr>
      <w:rFonts w:ascii="Courier New" w:hAnsi="Courier New"/>
      <w:lang w:val="x-none" w:eastAsia="cs-CZ"/>
    </w:rPr>
  </w:style>
  <w:style w:type="character" w:customStyle="1" w:styleId="ObyajntextChar1322">
    <w:name w:val="Obyčajný text Char1322"/>
    <w:aliases w:val="Obyčajný text Char Char Char Char1323"/>
    <w:uiPriority w:val="99"/>
    <w:semiHidden/>
    <w:rPr>
      <w:rFonts w:ascii="Courier New" w:hAnsi="Courier New"/>
      <w:lang w:val="x-none" w:eastAsia="cs-CZ"/>
    </w:rPr>
  </w:style>
  <w:style w:type="character" w:customStyle="1" w:styleId="ObyajntextChar1321">
    <w:name w:val="Obyčajný text Char1321"/>
    <w:aliases w:val="Obyčajný text Char Char Char Char1322"/>
    <w:uiPriority w:val="99"/>
    <w:semiHidden/>
    <w:rPr>
      <w:rFonts w:ascii="Courier New" w:hAnsi="Courier New"/>
      <w:lang w:val="x-none" w:eastAsia="cs-CZ"/>
    </w:rPr>
  </w:style>
  <w:style w:type="character" w:customStyle="1" w:styleId="ObyajntextChar1320">
    <w:name w:val="Obyčajný text Char1320"/>
    <w:aliases w:val="Obyčajný text Char Char Char Char1321"/>
    <w:uiPriority w:val="99"/>
    <w:semiHidden/>
    <w:rPr>
      <w:rFonts w:ascii="Courier New" w:hAnsi="Courier New"/>
      <w:lang w:val="x-none" w:eastAsia="cs-CZ"/>
    </w:rPr>
  </w:style>
  <w:style w:type="character" w:customStyle="1" w:styleId="ObyajntextChar1319">
    <w:name w:val="Obyčajný text Char1319"/>
    <w:aliases w:val="Obyčajný text Char Char Char Char1320"/>
    <w:uiPriority w:val="99"/>
    <w:semiHidden/>
    <w:rPr>
      <w:rFonts w:ascii="Courier New" w:hAnsi="Courier New"/>
      <w:lang w:val="x-none" w:eastAsia="cs-CZ"/>
    </w:rPr>
  </w:style>
  <w:style w:type="character" w:customStyle="1" w:styleId="ObyajntextChar1318">
    <w:name w:val="Obyčajný text Char1318"/>
    <w:aliases w:val="Obyčajný text Char Char Char Char1319"/>
    <w:uiPriority w:val="99"/>
    <w:semiHidden/>
    <w:rPr>
      <w:rFonts w:ascii="Courier New" w:hAnsi="Courier New"/>
      <w:lang w:val="x-none" w:eastAsia="cs-CZ"/>
    </w:rPr>
  </w:style>
  <w:style w:type="character" w:customStyle="1" w:styleId="ObyajntextChar1317">
    <w:name w:val="Obyčajný text Char1317"/>
    <w:aliases w:val="Obyčajný text Char Char Char Char1318"/>
    <w:uiPriority w:val="99"/>
    <w:semiHidden/>
    <w:rPr>
      <w:rFonts w:ascii="Courier New" w:hAnsi="Courier New"/>
      <w:lang w:val="x-none" w:eastAsia="cs-CZ"/>
    </w:rPr>
  </w:style>
  <w:style w:type="character" w:customStyle="1" w:styleId="ObyajntextChar1316">
    <w:name w:val="Obyčajný text Char1316"/>
    <w:aliases w:val="Obyčajný text Char Char Char Char1317"/>
    <w:uiPriority w:val="99"/>
    <w:semiHidden/>
    <w:rPr>
      <w:rFonts w:ascii="Courier New" w:hAnsi="Courier New"/>
      <w:lang w:val="x-none" w:eastAsia="cs-CZ"/>
    </w:rPr>
  </w:style>
  <w:style w:type="character" w:customStyle="1" w:styleId="ObyajntextChar1315">
    <w:name w:val="Obyčajný text Char1315"/>
    <w:aliases w:val="Obyčajný text Char Char Char Char1316"/>
    <w:uiPriority w:val="99"/>
    <w:semiHidden/>
    <w:rPr>
      <w:rFonts w:ascii="Courier New" w:hAnsi="Courier New"/>
      <w:lang w:val="x-none" w:eastAsia="cs-CZ"/>
    </w:rPr>
  </w:style>
  <w:style w:type="character" w:customStyle="1" w:styleId="ObyajntextChar1314">
    <w:name w:val="Obyčajný text Char1314"/>
    <w:aliases w:val="Obyčajný text Char Char Char Char1315"/>
    <w:uiPriority w:val="99"/>
    <w:semiHidden/>
    <w:rPr>
      <w:rFonts w:ascii="Courier New" w:hAnsi="Courier New"/>
      <w:lang w:val="x-none" w:eastAsia="cs-CZ"/>
    </w:rPr>
  </w:style>
  <w:style w:type="character" w:customStyle="1" w:styleId="ObyajntextChar1313">
    <w:name w:val="Obyčajný text Char1313"/>
    <w:aliases w:val="Obyčajný text Char Char Char Char1314"/>
    <w:uiPriority w:val="99"/>
    <w:semiHidden/>
    <w:rPr>
      <w:rFonts w:ascii="Courier New" w:hAnsi="Courier New"/>
      <w:lang w:val="x-none" w:eastAsia="cs-CZ"/>
    </w:rPr>
  </w:style>
  <w:style w:type="character" w:customStyle="1" w:styleId="ObyajntextChar1312">
    <w:name w:val="Obyčajný text Char1312"/>
    <w:aliases w:val="Obyčajný text Char Char Char Char1313"/>
    <w:uiPriority w:val="99"/>
    <w:semiHidden/>
    <w:rPr>
      <w:rFonts w:ascii="Courier New" w:hAnsi="Courier New"/>
      <w:lang w:val="x-none" w:eastAsia="cs-CZ"/>
    </w:rPr>
  </w:style>
  <w:style w:type="character" w:customStyle="1" w:styleId="ObyajntextChar1311">
    <w:name w:val="Obyčajný text Char1311"/>
    <w:aliases w:val="Obyčajný text Char Char Char Char1312"/>
    <w:uiPriority w:val="99"/>
    <w:semiHidden/>
    <w:rPr>
      <w:rFonts w:ascii="Courier New" w:hAnsi="Courier New"/>
      <w:lang w:val="x-none" w:eastAsia="cs-CZ"/>
    </w:rPr>
  </w:style>
  <w:style w:type="character" w:customStyle="1" w:styleId="ObyajntextChar1310">
    <w:name w:val="Obyčajný text Char1310"/>
    <w:aliases w:val="Obyčajný text Char Char Char Char1311"/>
    <w:uiPriority w:val="99"/>
    <w:semiHidden/>
    <w:rPr>
      <w:rFonts w:ascii="Courier New" w:hAnsi="Courier New"/>
      <w:lang w:val="x-none" w:eastAsia="cs-CZ"/>
    </w:rPr>
  </w:style>
  <w:style w:type="character" w:customStyle="1" w:styleId="ObyajntextChar1309">
    <w:name w:val="Obyčajný text Char1309"/>
    <w:aliases w:val="Obyčajný text Char Char Char Char1310"/>
    <w:uiPriority w:val="99"/>
    <w:semiHidden/>
    <w:rPr>
      <w:rFonts w:ascii="Courier New" w:hAnsi="Courier New"/>
      <w:lang w:val="x-none" w:eastAsia="cs-CZ"/>
    </w:rPr>
  </w:style>
  <w:style w:type="character" w:customStyle="1" w:styleId="ObyajntextChar1308">
    <w:name w:val="Obyčajný text Char1308"/>
    <w:aliases w:val="Obyčajný text Char Char Char Char1309"/>
    <w:uiPriority w:val="99"/>
    <w:semiHidden/>
    <w:rPr>
      <w:rFonts w:ascii="Courier New" w:hAnsi="Courier New"/>
      <w:lang w:val="x-none" w:eastAsia="cs-CZ"/>
    </w:rPr>
  </w:style>
  <w:style w:type="character" w:customStyle="1" w:styleId="ObyajntextChar1307">
    <w:name w:val="Obyčajný text Char1307"/>
    <w:aliases w:val="Obyčajný text Char Char Char Char1308"/>
    <w:uiPriority w:val="99"/>
    <w:semiHidden/>
    <w:rPr>
      <w:rFonts w:ascii="Courier New" w:hAnsi="Courier New"/>
      <w:lang w:val="x-none" w:eastAsia="cs-CZ"/>
    </w:rPr>
  </w:style>
  <w:style w:type="character" w:customStyle="1" w:styleId="ObyajntextChar1306">
    <w:name w:val="Obyčajný text Char1306"/>
    <w:aliases w:val="Obyčajný text Char Char Char Char1307"/>
    <w:uiPriority w:val="99"/>
    <w:semiHidden/>
    <w:rPr>
      <w:rFonts w:ascii="Courier New" w:hAnsi="Courier New"/>
      <w:lang w:val="x-none" w:eastAsia="cs-CZ"/>
    </w:rPr>
  </w:style>
  <w:style w:type="character" w:customStyle="1" w:styleId="ObyajntextChar1305">
    <w:name w:val="Obyčajný text Char1305"/>
    <w:aliases w:val="Obyčajný text Char Char Char Char1306"/>
    <w:uiPriority w:val="99"/>
    <w:semiHidden/>
    <w:rPr>
      <w:rFonts w:ascii="Courier New" w:hAnsi="Courier New"/>
      <w:lang w:val="x-none" w:eastAsia="cs-CZ"/>
    </w:rPr>
  </w:style>
  <w:style w:type="character" w:customStyle="1" w:styleId="ObyajntextChar1304">
    <w:name w:val="Obyčajný text Char1304"/>
    <w:aliases w:val="Obyčajný text Char Char Char Char1305"/>
    <w:uiPriority w:val="99"/>
    <w:semiHidden/>
    <w:rPr>
      <w:rFonts w:ascii="Courier New" w:hAnsi="Courier New"/>
      <w:lang w:val="x-none" w:eastAsia="cs-CZ"/>
    </w:rPr>
  </w:style>
  <w:style w:type="character" w:customStyle="1" w:styleId="ObyajntextChar1303">
    <w:name w:val="Obyčajný text Char1303"/>
    <w:aliases w:val="Obyčajný text Char Char Char Char1304"/>
    <w:uiPriority w:val="99"/>
    <w:semiHidden/>
    <w:rPr>
      <w:rFonts w:ascii="Courier New" w:hAnsi="Courier New"/>
      <w:lang w:val="x-none" w:eastAsia="cs-CZ"/>
    </w:rPr>
  </w:style>
  <w:style w:type="character" w:customStyle="1" w:styleId="ObyajntextChar1302">
    <w:name w:val="Obyčajný text Char1302"/>
    <w:aliases w:val="Obyčajný text Char Char Char Char1303"/>
    <w:uiPriority w:val="99"/>
    <w:semiHidden/>
    <w:rPr>
      <w:rFonts w:ascii="Courier New" w:hAnsi="Courier New"/>
      <w:lang w:val="x-none" w:eastAsia="cs-CZ"/>
    </w:rPr>
  </w:style>
  <w:style w:type="character" w:customStyle="1" w:styleId="ObyajntextChar1301">
    <w:name w:val="Obyčajný text Char1301"/>
    <w:aliases w:val="Obyčajný text Char Char Char Char1302"/>
    <w:uiPriority w:val="99"/>
    <w:semiHidden/>
    <w:rPr>
      <w:rFonts w:ascii="Courier New" w:hAnsi="Courier New"/>
      <w:lang w:val="x-none" w:eastAsia="cs-CZ"/>
    </w:rPr>
  </w:style>
  <w:style w:type="character" w:customStyle="1" w:styleId="ObyajntextChar1300">
    <w:name w:val="Obyčajný text Char1300"/>
    <w:aliases w:val="Obyčajný text Char Char Char Char1301"/>
    <w:uiPriority w:val="99"/>
    <w:semiHidden/>
    <w:rPr>
      <w:rFonts w:ascii="Courier New" w:hAnsi="Courier New"/>
      <w:lang w:val="x-none" w:eastAsia="cs-CZ"/>
    </w:rPr>
  </w:style>
  <w:style w:type="character" w:customStyle="1" w:styleId="ObyajntextChar1299">
    <w:name w:val="Obyčajný text Char1299"/>
    <w:aliases w:val="Obyčajný text Char Char Char Char1300"/>
    <w:uiPriority w:val="99"/>
    <w:semiHidden/>
    <w:rPr>
      <w:rFonts w:ascii="Courier New" w:hAnsi="Courier New"/>
      <w:lang w:val="x-none" w:eastAsia="cs-CZ"/>
    </w:rPr>
  </w:style>
  <w:style w:type="character" w:customStyle="1" w:styleId="ObyajntextChar1298">
    <w:name w:val="Obyčajný text Char1298"/>
    <w:aliases w:val="Obyčajný text Char Char Char Char1299"/>
    <w:uiPriority w:val="99"/>
    <w:semiHidden/>
    <w:rPr>
      <w:rFonts w:ascii="Courier New" w:hAnsi="Courier New"/>
      <w:lang w:val="x-none" w:eastAsia="cs-CZ"/>
    </w:rPr>
  </w:style>
  <w:style w:type="character" w:customStyle="1" w:styleId="ObyajntextChar1297">
    <w:name w:val="Obyčajný text Char1297"/>
    <w:aliases w:val="Obyčajný text Char Char Char Char1298"/>
    <w:uiPriority w:val="99"/>
    <w:semiHidden/>
    <w:rPr>
      <w:rFonts w:ascii="Courier New" w:hAnsi="Courier New"/>
      <w:lang w:val="x-none" w:eastAsia="cs-CZ"/>
    </w:rPr>
  </w:style>
  <w:style w:type="character" w:customStyle="1" w:styleId="ObyajntextChar1296">
    <w:name w:val="Obyčajný text Char1296"/>
    <w:aliases w:val="Obyčajný text Char Char Char Char1297"/>
    <w:uiPriority w:val="99"/>
    <w:semiHidden/>
    <w:rPr>
      <w:rFonts w:ascii="Courier New" w:hAnsi="Courier New"/>
      <w:lang w:val="x-none" w:eastAsia="cs-CZ"/>
    </w:rPr>
  </w:style>
  <w:style w:type="character" w:customStyle="1" w:styleId="ObyajntextChar1295">
    <w:name w:val="Obyčajný text Char1295"/>
    <w:aliases w:val="Obyčajný text Char Char Char Char1296"/>
    <w:uiPriority w:val="99"/>
    <w:semiHidden/>
    <w:rPr>
      <w:rFonts w:ascii="Courier New" w:hAnsi="Courier New"/>
      <w:lang w:val="x-none" w:eastAsia="cs-CZ"/>
    </w:rPr>
  </w:style>
  <w:style w:type="character" w:customStyle="1" w:styleId="ObyajntextChar1294">
    <w:name w:val="Obyčajný text Char1294"/>
    <w:aliases w:val="Obyčajný text Char Char Char Char1295"/>
    <w:uiPriority w:val="99"/>
    <w:semiHidden/>
    <w:rPr>
      <w:rFonts w:ascii="Courier New" w:hAnsi="Courier New"/>
      <w:lang w:val="x-none" w:eastAsia="cs-CZ"/>
    </w:rPr>
  </w:style>
  <w:style w:type="character" w:customStyle="1" w:styleId="ObyajntextChar1293">
    <w:name w:val="Obyčajný text Char1293"/>
    <w:aliases w:val="Obyčajný text Char Char Char Char1294"/>
    <w:uiPriority w:val="99"/>
    <w:semiHidden/>
    <w:rPr>
      <w:rFonts w:ascii="Courier New" w:hAnsi="Courier New"/>
      <w:lang w:val="x-none" w:eastAsia="cs-CZ"/>
    </w:rPr>
  </w:style>
  <w:style w:type="character" w:customStyle="1" w:styleId="ObyajntextChar1292">
    <w:name w:val="Obyčajný text Char1292"/>
    <w:aliases w:val="Obyčajný text Char Char Char Char1293"/>
    <w:uiPriority w:val="99"/>
    <w:semiHidden/>
    <w:rPr>
      <w:rFonts w:ascii="Courier New" w:hAnsi="Courier New"/>
      <w:lang w:val="x-none" w:eastAsia="cs-CZ"/>
    </w:rPr>
  </w:style>
  <w:style w:type="character" w:customStyle="1" w:styleId="ObyajntextChar1291">
    <w:name w:val="Obyčajný text Char1291"/>
    <w:aliases w:val="Obyčajný text Char Char Char Char1292"/>
    <w:uiPriority w:val="99"/>
    <w:semiHidden/>
    <w:rPr>
      <w:rFonts w:ascii="Courier New" w:hAnsi="Courier New"/>
      <w:lang w:val="x-none" w:eastAsia="cs-CZ"/>
    </w:rPr>
  </w:style>
  <w:style w:type="character" w:customStyle="1" w:styleId="ObyajntextChar1290">
    <w:name w:val="Obyčajný text Char1290"/>
    <w:aliases w:val="Obyčajný text Char Char Char Char1291"/>
    <w:uiPriority w:val="99"/>
    <w:semiHidden/>
    <w:rPr>
      <w:rFonts w:ascii="Courier New" w:hAnsi="Courier New"/>
      <w:lang w:val="x-none" w:eastAsia="cs-CZ"/>
    </w:rPr>
  </w:style>
  <w:style w:type="character" w:customStyle="1" w:styleId="ObyajntextChar1289">
    <w:name w:val="Obyčajný text Char1289"/>
    <w:aliases w:val="Obyčajný text Char Char Char Char1290"/>
    <w:uiPriority w:val="99"/>
    <w:semiHidden/>
    <w:rPr>
      <w:rFonts w:ascii="Courier New" w:hAnsi="Courier New"/>
      <w:lang w:val="x-none" w:eastAsia="cs-CZ"/>
    </w:rPr>
  </w:style>
  <w:style w:type="character" w:customStyle="1" w:styleId="ObyajntextChar1288">
    <w:name w:val="Obyčajný text Char1288"/>
    <w:aliases w:val="Obyčajný text Char Char Char Char1289"/>
    <w:uiPriority w:val="99"/>
    <w:semiHidden/>
    <w:rPr>
      <w:rFonts w:ascii="Courier New" w:hAnsi="Courier New"/>
      <w:lang w:val="x-none" w:eastAsia="cs-CZ"/>
    </w:rPr>
  </w:style>
  <w:style w:type="character" w:customStyle="1" w:styleId="ObyajntextChar1287">
    <w:name w:val="Obyčajný text Char1287"/>
    <w:aliases w:val="Obyčajný text Char Char Char Char1288"/>
    <w:uiPriority w:val="99"/>
    <w:semiHidden/>
    <w:rPr>
      <w:rFonts w:ascii="Courier New" w:hAnsi="Courier New"/>
      <w:lang w:val="x-none" w:eastAsia="cs-CZ"/>
    </w:rPr>
  </w:style>
  <w:style w:type="character" w:customStyle="1" w:styleId="ObyajntextChar1286">
    <w:name w:val="Obyčajný text Char1286"/>
    <w:aliases w:val="Obyčajný text Char Char Char Char1287"/>
    <w:uiPriority w:val="99"/>
    <w:semiHidden/>
    <w:rPr>
      <w:rFonts w:ascii="Courier New" w:hAnsi="Courier New"/>
      <w:lang w:val="x-none" w:eastAsia="cs-CZ"/>
    </w:rPr>
  </w:style>
  <w:style w:type="character" w:customStyle="1" w:styleId="ObyajntextChar1285">
    <w:name w:val="Obyčajný text Char1285"/>
    <w:aliases w:val="Obyčajný text Char Char Char Char1286"/>
    <w:uiPriority w:val="99"/>
    <w:semiHidden/>
    <w:rPr>
      <w:rFonts w:ascii="Courier New" w:hAnsi="Courier New"/>
      <w:lang w:val="x-none" w:eastAsia="cs-CZ"/>
    </w:rPr>
  </w:style>
  <w:style w:type="character" w:customStyle="1" w:styleId="ObyajntextChar1284">
    <w:name w:val="Obyčajný text Char1284"/>
    <w:aliases w:val="Obyčajný text Char Char Char Char1285"/>
    <w:uiPriority w:val="99"/>
    <w:semiHidden/>
    <w:rPr>
      <w:rFonts w:ascii="Courier New" w:hAnsi="Courier New"/>
      <w:lang w:val="x-none" w:eastAsia="cs-CZ"/>
    </w:rPr>
  </w:style>
  <w:style w:type="character" w:customStyle="1" w:styleId="ObyajntextChar1283">
    <w:name w:val="Obyčajný text Char1283"/>
    <w:aliases w:val="Obyčajný text Char Char Char Char1284"/>
    <w:uiPriority w:val="99"/>
    <w:semiHidden/>
    <w:rPr>
      <w:rFonts w:ascii="Courier New" w:hAnsi="Courier New"/>
      <w:lang w:val="x-none" w:eastAsia="cs-CZ"/>
    </w:rPr>
  </w:style>
  <w:style w:type="character" w:customStyle="1" w:styleId="ObyajntextChar1282">
    <w:name w:val="Obyčajný text Char1282"/>
    <w:aliases w:val="Obyčajný text Char Char Char Char1283"/>
    <w:uiPriority w:val="99"/>
    <w:semiHidden/>
    <w:rPr>
      <w:rFonts w:ascii="Courier New" w:hAnsi="Courier New"/>
      <w:lang w:val="x-none" w:eastAsia="cs-CZ"/>
    </w:rPr>
  </w:style>
  <w:style w:type="character" w:customStyle="1" w:styleId="ObyajntextChar1281">
    <w:name w:val="Obyčajný text Char1281"/>
    <w:aliases w:val="Obyčajný text Char Char Char Char1282"/>
    <w:uiPriority w:val="99"/>
    <w:semiHidden/>
    <w:rPr>
      <w:rFonts w:ascii="Courier New" w:hAnsi="Courier New"/>
      <w:lang w:val="x-none" w:eastAsia="cs-CZ"/>
    </w:rPr>
  </w:style>
  <w:style w:type="character" w:customStyle="1" w:styleId="ObyajntextChar1280">
    <w:name w:val="Obyčajný text Char1280"/>
    <w:aliases w:val="Obyčajný text Char Char Char Char1281"/>
    <w:uiPriority w:val="99"/>
    <w:semiHidden/>
    <w:rPr>
      <w:rFonts w:ascii="Courier New" w:hAnsi="Courier New"/>
      <w:lang w:val="x-none" w:eastAsia="cs-CZ"/>
    </w:rPr>
  </w:style>
  <w:style w:type="character" w:customStyle="1" w:styleId="ObyajntextChar1279">
    <w:name w:val="Obyčajný text Char1279"/>
    <w:aliases w:val="Obyčajný text Char Char Char Char1280"/>
    <w:uiPriority w:val="99"/>
    <w:semiHidden/>
    <w:rPr>
      <w:rFonts w:ascii="Courier New" w:hAnsi="Courier New"/>
      <w:lang w:val="x-none" w:eastAsia="cs-CZ"/>
    </w:rPr>
  </w:style>
  <w:style w:type="character" w:customStyle="1" w:styleId="ObyajntextChar1278">
    <w:name w:val="Obyčajný text Char1278"/>
    <w:aliases w:val="Obyčajný text Char Char Char Char1279"/>
    <w:uiPriority w:val="99"/>
    <w:semiHidden/>
    <w:rPr>
      <w:rFonts w:ascii="Courier New" w:hAnsi="Courier New"/>
      <w:lang w:val="x-none" w:eastAsia="cs-CZ"/>
    </w:rPr>
  </w:style>
  <w:style w:type="character" w:customStyle="1" w:styleId="ObyajntextChar1277">
    <w:name w:val="Obyčajný text Char1277"/>
    <w:aliases w:val="Obyčajný text Char Char Char Char1278"/>
    <w:uiPriority w:val="99"/>
    <w:semiHidden/>
    <w:rPr>
      <w:rFonts w:ascii="Courier New" w:hAnsi="Courier New"/>
      <w:lang w:val="x-none" w:eastAsia="cs-CZ"/>
    </w:rPr>
  </w:style>
  <w:style w:type="character" w:customStyle="1" w:styleId="ObyajntextChar1276">
    <w:name w:val="Obyčajný text Char1276"/>
    <w:aliases w:val="Obyčajný text Char Char Char Char1277"/>
    <w:uiPriority w:val="99"/>
    <w:semiHidden/>
    <w:rPr>
      <w:rFonts w:ascii="Courier New" w:hAnsi="Courier New"/>
      <w:lang w:val="x-none" w:eastAsia="cs-CZ"/>
    </w:rPr>
  </w:style>
  <w:style w:type="character" w:customStyle="1" w:styleId="ObyajntextChar1275">
    <w:name w:val="Obyčajný text Char1275"/>
    <w:aliases w:val="Obyčajný text Char Char Char Char1276"/>
    <w:uiPriority w:val="99"/>
    <w:semiHidden/>
    <w:rPr>
      <w:rFonts w:ascii="Courier New" w:hAnsi="Courier New"/>
      <w:lang w:val="x-none" w:eastAsia="cs-CZ"/>
    </w:rPr>
  </w:style>
  <w:style w:type="character" w:customStyle="1" w:styleId="ObyajntextChar1274">
    <w:name w:val="Obyčajný text Char1274"/>
    <w:aliases w:val="Obyčajný text Char Char Char Char1275"/>
    <w:uiPriority w:val="99"/>
    <w:semiHidden/>
    <w:rPr>
      <w:rFonts w:ascii="Courier New" w:hAnsi="Courier New"/>
      <w:lang w:val="x-none" w:eastAsia="cs-CZ"/>
    </w:rPr>
  </w:style>
  <w:style w:type="character" w:customStyle="1" w:styleId="ObyajntextChar1273">
    <w:name w:val="Obyčajný text Char1273"/>
    <w:aliases w:val="Obyčajný text Char Char Char Char1274"/>
    <w:uiPriority w:val="99"/>
    <w:semiHidden/>
    <w:rPr>
      <w:rFonts w:ascii="Courier New" w:hAnsi="Courier New"/>
      <w:lang w:val="x-none" w:eastAsia="cs-CZ"/>
    </w:rPr>
  </w:style>
  <w:style w:type="character" w:customStyle="1" w:styleId="ObyajntextChar1272">
    <w:name w:val="Obyčajný text Char1272"/>
    <w:aliases w:val="Obyčajný text Char Char Char Char1273"/>
    <w:uiPriority w:val="99"/>
    <w:semiHidden/>
    <w:rPr>
      <w:rFonts w:ascii="Courier New" w:hAnsi="Courier New"/>
      <w:lang w:val="x-none" w:eastAsia="cs-CZ"/>
    </w:rPr>
  </w:style>
  <w:style w:type="character" w:customStyle="1" w:styleId="ObyajntextChar1271">
    <w:name w:val="Obyčajný text Char1271"/>
    <w:aliases w:val="Obyčajný text Char Char Char Char1272"/>
    <w:uiPriority w:val="99"/>
    <w:semiHidden/>
    <w:rPr>
      <w:rFonts w:ascii="Courier New" w:hAnsi="Courier New"/>
      <w:lang w:val="x-none" w:eastAsia="cs-CZ"/>
    </w:rPr>
  </w:style>
  <w:style w:type="character" w:customStyle="1" w:styleId="ObyajntextChar1270">
    <w:name w:val="Obyčajný text Char1270"/>
    <w:aliases w:val="Obyčajný text Char Char Char Char1271"/>
    <w:uiPriority w:val="99"/>
    <w:semiHidden/>
    <w:rPr>
      <w:rFonts w:ascii="Courier New" w:hAnsi="Courier New"/>
      <w:lang w:val="x-none" w:eastAsia="cs-CZ"/>
    </w:rPr>
  </w:style>
  <w:style w:type="character" w:customStyle="1" w:styleId="ObyajntextChar1269">
    <w:name w:val="Obyčajný text Char1269"/>
    <w:aliases w:val="Obyčajný text Char Char Char Char1270"/>
    <w:uiPriority w:val="99"/>
    <w:semiHidden/>
    <w:rPr>
      <w:rFonts w:ascii="Courier New" w:hAnsi="Courier New"/>
      <w:lang w:val="x-none" w:eastAsia="cs-CZ"/>
    </w:rPr>
  </w:style>
  <w:style w:type="character" w:customStyle="1" w:styleId="ObyajntextChar1268">
    <w:name w:val="Obyčajný text Char1268"/>
    <w:aliases w:val="Obyčajný text Char Char Char Char1269"/>
    <w:uiPriority w:val="99"/>
    <w:semiHidden/>
    <w:rPr>
      <w:rFonts w:ascii="Courier New" w:hAnsi="Courier New"/>
      <w:lang w:val="x-none" w:eastAsia="cs-CZ"/>
    </w:rPr>
  </w:style>
  <w:style w:type="character" w:customStyle="1" w:styleId="ObyajntextChar1267">
    <w:name w:val="Obyčajný text Char1267"/>
    <w:aliases w:val="Obyčajný text Char Char Char Char1268"/>
    <w:uiPriority w:val="99"/>
    <w:semiHidden/>
    <w:rPr>
      <w:rFonts w:ascii="Courier New" w:hAnsi="Courier New"/>
      <w:lang w:val="x-none" w:eastAsia="cs-CZ"/>
    </w:rPr>
  </w:style>
  <w:style w:type="character" w:customStyle="1" w:styleId="ObyajntextChar1266">
    <w:name w:val="Obyčajný text Char1266"/>
    <w:aliases w:val="Obyčajný text Char Char Char Char1267"/>
    <w:uiPriority w:val="99"/>
    <w:semiHidden/>
    <w:rPr>
      <w:rFonts w:ascii="Courier New" w:hAnsi="Courier New"/>
      <w:lang w:val="x-none" w:eastAsia="cs-CZ"/>
    </w:rPr>
  </w:style>
  <w:style w:type="character" w:customStyle="1" w:styleId="ObyajntextChar1265">
    <w:name w:val="Obyčajný text Char1265"/>
    <w:aliases w:val="Obyčajný text Char Char Char Char1266"/>
    <w:uiPriority w:val="99"/>
    <w:semiHidden/>
    <w:rPr>
      <w:rFonts w:ascii="Courier New" w:hAnsi="Courier New"/>
      <w:lang w:val="x-none" w:eastAsia="cs-CZ"/>
    </w:rPr>
  </w:style>
  <w:style w:type="character" w:customStyle="1" w:styleId="ObyajntextChar1264">
    <w:name w:val="Obyčajný text Char1264"/>
    <w:aliases w:val="Obyčajný text Char Char Char Char1265"/>
    <w:uiPriority w:val="99"/>
    <w:semiHidden/>
    <w:rPr>
      <w:rFonts w:ascii="Courier New" w:hAnsi="Courier New"/>
      <w:lang w:val="x-none" w:eastAsia="cs-CZ"/>
    </w:rPr>
  </w:style>
  <w:style w:type="character" w:customStyle="1" w:styleId="ObyajntextChar1263">
    <w:name w:val="Obyčajný text Char1263"/>
    <w:aliases w:val="Obyčajný text Char Char Char Char1264"/>
    <w:uiPriority w:val="99"/>
    <w:semiHidden/>
    <w:rPr>
      <w:rFonts w:ascii="Courier New" w:hAnsi="Courier New"/>
      <w:lang w:val="x-none" w:eastAsia="cs-CZ"/>
    </w:rPr>
  </w:style>
  <w:style w:type="character" w:customStyle="1" w:styleId="ObyajntextChar1262">
    <w:name w:val="Obyčajný text Char1262"/>
    <w:aliases w:val="Obyčajný text Char Char Char Char1263"/>
    <w:uiPriority w:val="99"/>
    <w:semiHidden/>
    <w:rPr>
      <w:rFonts w:ascii="Courier New" w:hAnsi="Courier New"/>
      <w:lang w:val="x-none" w:eastAsia="cs-CZ"/>
    </w:rPr>
  </w:style>
  <w:style w:type="character" w:customStyle="1" w:styleId="ObyajntextChar1261">
    <w:name w:val="Obyčajný text Char1261"/>
    <w:aliases w:val="Obyčajný text Char Char Char Char1262"/>
    <w:uiPriority w:val="99"/>
    <w:semiHidden/>
    <w:rPr>
      <w:rFonts w:ascii="Courier New" w:hAnsi="Courier New"/>
      <w:lang w:val="x-none" w:eastAsia="cs-CZ"/>
    </w:rPr>
  </w:style>
  <w:style w:type="character" w:customStyle="1" w:styleId="ObyajntextChar1260">
    <w:name w:val="Obyčajný text Char1260"/>
    <w:aliases w:val="Obyčajný text Char Char Char Char1261"/>
    <w:uiPriority w:val="99"/>
    <w:semiHidden/>
    <w:rPr>
      <w:rFonts w:ascii="Courier New" w:hAnsi="Courier New"/>
      <w:lang w:val="x-none" w:eastAsia="cs-CZ"/>
    </w:rPr>
  </w:style>
  <w:style w:type="character" w:customStyle="1" w:styleId="ObyajntextChar1259">
    <w:name w:val="Obyčajný text Char1259"/>
    <w:aliases w:val="Obyčajný text Char Char Char Char1260"/>
    <w:uiPriority w:val="99"/>
    <w:semiHidden/>
    <w:rPr>
      <w:rFonts w:ascii="Courier New" w:hAnsi="Courier New"/>
      <w:lang w:val="x-none" w:eastAsia="cs-CZ"/>
    </w:rPr>
  </w:style>
  <w:style w:type="character" w:customStyle="1" w:styleId="ObyajntextChar1258">
    <w:name w:val="Obyčajný text Char1258"/>
    <w:aliases w:val="Obyčajný text Char Char Char Char1259"/>
    <w:uiPriority w:val="99"/>
    <w:semiHidden/>
    <w:rPr>
      <w:rFonts w:ascii="Courier New" w:hAnsi="Courier New"/>
      <w:lang w:val="x-none" w:eastAsia="cs-CZ"/>
    </w:rPr>
  </w:style>
  <w:style w:type="character" w:customStyle="1" w:styleId="ObyajntextChar1257">
    <w:name w:val="Obyčajný text Char1257"/>
    <w:aliases w:val="Obyčajný text Char Char Char Char1258"/>
    <w:uiPriority w:val="99"/>
    <w:semiHidden/>
    <w:rPr>
      <w:rFonts w:ascii="Courier New" w:hAnsi="Courier New"/>
      <w:lang w:val="x-none" w:eastAsia="cs-CZ"/>
    </w:rPr>
  </w:style>
  <w:style w:type="character" w:customStyle="1" w:styleId="ObyajntextChar1256">
    <w:name w:val="Obyčajný text Char1256"/>
    <w:aliases w:val="Obyčajný text Char Char Char Char1257"/>
    <w:uiPriority w:val="99"/>
    <w:semiHidden/>
    <w:rPr>
      <w:rFonts w:ascii="Courier New" w:hAnsi="Courier New"/>
      <w:lang w:val="x-none" w:eastAsia="cs-CZ"/>
    </w:rPr>
  </w:style>
  <w:style w:type="character" w:customStyle="1" w:styleId="ObyajntextChar1255">
    <w:name w:val="Obyčajný text Char1255"/>
    <w:aliases w:val="Obyčajný text Char Char Char Char1256"/>
    <w:uiPriority w:val="99"/>
    <w:semiHidden/>
    <w:rPr>
      <w:rFonts w:ascii="Courier New" w:hAnsi="Courier New"/>
      <w:lang w:val="x-none" w:eastAsia="cs-CZ"/>
    </w:rPr>
  </w:style>
  <w:style w:type="character" w:customStyle="1" w:styleId="ObyajntextChar1254">
    <w:name w:val="Obyčajný text Char1254"/>
    <w:aliases w:val="Obyčajný text Char Char Char Char1255"/>
    <w:uiPriority w:val="99"/>
    <w:semiHidden/>
    <w:rPr>
      <w:rFonts w:ascii="Courier New" w:hAnsi="Courier New"/>
      <w:lang w:val="x-none" w:eastAsia="cs-CZ"/>
    </w:rPr>
  </w:style>
  <w:style w:type="character" w:customStyle="1" w:styleId="ObyajntextChar1253">
    <w:name w:val="Obyčajný text Char1253"/>
    <w:aliases w:val="Obyčajný text Char Char Char Char1254"/>
    <w:uiPriority w:val="99"/>
    <w:semiHidden/>
    <w:rPr>
      <w:rFonts w:ascii="Courier New" w:hAnsi="Courier New"/>
      <w:lang w:val="x-none" w:eastAsia="cs-CZ"/>
    </w:rPr>
  </w:style>
  <w:style w:type="character" w:customStyle="1" w:styleId="ObyajntextChar1252">
    <w:name w:val="Obyčajný text Char1252"/>
    <w:aliases w:val="Obyčajný text Char Char Char Char1253"/>
    <w:uiPriority w:val="99"/>
    <w:semiHidden/>
    <w:rPr>
      <w:rFonts w:ascii="Courier New" w:hAnsi="Courier New"/>
      <w:lang w:val="x-none" w:eastAsia="cs-CZ"/>
    </w:rPr>
  </w:style>
  <w:style w:type="character" w:customStyle="1" w:styleId="ObyajntextChar1251">
    <w:name w:val="Obyčajný text Char1251"/>
    <w:aliases w:val="Obyčajný text Char Char Char Char1252"/>
    <w:uiPriority w:val="99"/>
    <w:semiHidden/>
    <w:rPr>
      <w:rFonts w:ascii="Courier New" w:hAnsi="Courier New"/>
      <w:lang w:val="x-none" w:eastAsia="cs-CZ"/>
    </w:rPr>
  </w:style>
  <w:style w:type="character" w:customStyle="1" w:styleId="ObyajntextChar1250">
    <w:name w:val="Obyčajný text Char1250"/>
    <w:aliases w:val="Obyčajný text Char Char Char Char1251"/>
    <w:uiPriority w:val="99"/>
    <w:semiHidden/>
    <w:rPr>
      <w:rFonts w:ascii="Courier New" w:hAnsi="Courier New"/>
      <w:lang w:val="x-none" w:eastAsia="cs-CZ"/>
    </w:rPr>
  </w:style>
  <w:style w:type="character" w:customStyle="1" w:styleId="ObyajntextChar1249">
    <w:name w:val="Obyčajný text Char1249"/>
    <w:aliases w:val="Obyčajný text Char Char Char Char1250"/>
    <w:uiPriority w:val="99"/>
    <w:semiHidden/>
    <w:rPr>
      <w:rFonts w:ascii="Courier New" w:hAnsi="Courier New"/>
      <w:lang w:val="x-none" w:eastAsia="cs-CZ"/>
    </w:rPr>
  </w:style>
  <w:style w:type="character" w:customStyle="1" w:styleId="ObyajntextChar1248">
    <w:name w:val="Obyčajný text Char1248"/>
    <w:aliases w:val="Obyčajný text Char Char Char Char1249"/>
    <w:uiPriority w:val="99"/>
    <w:semiHidden/>
    <w:rPr>
      <w:rFonts w:ascii="Courier New" w:hAnsi="Courier New"/>
      <w:lang w:val="x-none" w:eastAsia="cs-CZ"/>
    </w:rPr>
  </w:style>
  <w:style w:type="character" w:customStyle="1" w:styleId="ObyajntextChar1247">
    <w:name w:val="Obyčajný text Char1247"/>
    <w:aliases w:val="Obyčajný text Char Char Char Char1248"/>
    <w:uiPriority w:val="99"/>
    <w:semiHidden/>
    <w:rPr>
      <w:rFonts w:ascii="Courier New" w:hAnsi="Courier New"/>
      <w:lang w:val="x-none" w:eastAsia="cs-CZ"/>
    </w:rPr>
  </w:style>
  <w:style w:type="character" w:customStyle="1" w:styleId="ObyajntextChar1246">
    <w:name w:val="Obyčajný text Char1246"/>
    <w:aliases w:val="Obyčajný text Char Char Char Char1247"/>
    <w:uiPriority w:val="99"/>
    <w:semiHidden/>
    <w:rPr>
      <w:rFonts w:ascii="Courier New" w:hAnsi="Courier New"/>
      <w:lang w:val="x-none" w:eastAsia="cs-CZ"/>
    </w:rPr>
  </w:style>
  <w:style w:type="character" w:customStyle="1" w:styleId="ObyajntextChar1245">
    <w:name w:val="Obyčajný text Char1245"/>
    <w:aliases w:val="Obyčajný text Char Char Char Char1246"/>
    <w:uiPriority w:val="99"/>
    <w:semiHidden/>
    <w:rPr>
      <w:rFonts w:ascii="Courier New" w:hAnsi="Courier New"/>
      <w:lang w:val="x-none" w:eastAsia="cs-CZ"/>
    </w:rPr>
  </w:style>
  <w:style w:type="character" w:customStyle="1" w:styleId="ObyajntextChar1244">
    <w:name w:val="Obyčajný text Char1244"/>
    <w:aliases w:val="Obyčajný text Char Char Char Char1245"/>
    <w:uiPriority w:val="99"/>
    <w:semiHidden/>
    <w:rPr>
      <w:rFonts w:ascii="Courier New" w:hAnsi="Courier New"/>
      <w:lang w:val="x-none" w:eastAsia="cs-CZ"/>
    </w:rPr>
  </w:style>
  <w:style w:type="character" w:customStyle="1" w:styleId="ObyajntextChar1243">
    <w:name w:val="Obyčajný text Char1243"/>
    <w:aliases w:val="Obyčajný text Char Char Char Char1244"/>
    <w:uiPriority w:val="99"/>
    <w:semiHidden/>
    <w:rPr>
      <w:rFonts w:ascii="Courier New" w:hAnsi="Courier New"/>
      <w:lang w:val="x-none" w:eastAsia="cs-CZ"/>
    </w:rPr>
  </w:style>
  <w:style w:type="character" w:customStyle="1" w:styleId="ObyajntextChar1242">
    <w:name w:val="Obyčajný text Char1242"/>
    <w:aliases w:val="Obyčajný text Char Char Char Char1243"/>
    <w:uiPriority w:val="99"/>
    <w:semiHidden/>
    <w:rPr>
      <w:rFonts w:ascii="Courier New" w:hAnsi="Courier New"/>
      <w:lang w:val="x-none" w:eastAsia="cs-CZ"/>
    </w:rPr>
  </w:style>
  <w:style w:type="character" w:customStyle="1" w:styleId="ObyajntextChar1241">
    <w:name w:val="Obyčajný text Char1241"/>
    <w:aliases w:val="Obyčajný text Char Char Char Char1242"/>
    <w:uiPriority w:val="99"/>
    <w:semiHidden/>
    <w:rPr>
      <w:rFonts w:ascii="Courier New" w:hAnsi="Courier New"/>
      <w:lang w:val="x-none" w:eastAsia="cs-CZ"/>
    </w:rPr>
  </w:style>
  <w:style w:type="character" w:customStyle="1" w:styleId="ObyajntextChar1240">
    <w:name w:val="Obyčajný text Char1240"/>
    <w:aliases w:val="Obyčajný text Char Char Char Char1241"/>
    <w:uiPriority w:val="99"/>
    <w:semiHidden/>
    <w:rPr>
      <w:rFonts w:ascii="Courier New" w:hAnsi="Courier New"/>
      <w:lang w:val="x-none" w:eastAsia="cs-CZ"/>
    </w:rPr>
  </w:style>
  <w:style w:type="character" w:customStyle="1" w:styleId="ObyajntextChar1239">
    <w:name w:val="Obyčajný text Char1239"/>
    <w:aliases w:val="Obyčajný text Char Char Char Char1240"/>
    <w:uiPriority w:val="99"/>
    <w:semiHidden/>
    <w:rPr>
      <w:rFonts w:ascii="Courier New" w:hAnsi="Courier New"/>
      <w:lang w:val="x-none" w:eastAsia="cs-CZ"/>
    </w:rPr>
  </w:style>
  <w:style w:type="character" w:customStyle="1" w:styleId="ObyajntextChar1238">
    <w:name w:val="Obyčajný text Char1238"/>
    <w:aliases w:val="Obyčajný text Char Char Char Char1239"/>
    <w:uiPriority w:val="99"/>
    <w:semiHidden/>
    <w:rPr>
      <w:rFonts w:ascii="Courier New" w:hAnsi="Courier New"/>
      <w:lang w:val="x-none" w:eastAsia="cs-CZ"/>
    </w:rPr>
  </w:style>
  <w:style w:type="character" w:customStyle="1" w:styleId="ObyajntextChar1237">
    <w:name w:val="Obyčajný text Char1237"/>
    <w:aliases w:val="Obyčajný text Char Char Char Char1238"/>
    <w:uiPriority w:val="99"/>
    <w:semiHidden/>
    <w:rPr>
      <w:rFonts w:ascii="Courier New" w:hAnsi="Courier New"/>
      <w:lang w:val="x-none" w:eastAsia="cs-CZ"/>
    </w:rPr>
  </w:style>
  <w:style w:type="character" w:customStyle="1" w:styleId="ObyajntextChar1236">
    <w:name w:val="Obyčajný text Char1236"/>
    <w:aliases w:val="Obyčajný text Char Char Char Char1237"/>
    <w:uiPriority w:val="99"/>
    <w:semiHidden/>
    <w:rPr>
      <w:rFonts w:ascii="Courier New" w:hAnsi="Courier New"/>
      <w:lang w:val="x-none" w:eastAsia="cs-CZ"/>
    </w:rPr>
  </w:style>
  <w:style w:type="character" w:customStyle="1" w:styleId="ObyajntextChar1235">
    <w:name w:val="Obyčajný text Char1235"/>
    <w:aliases w:val="Obyčajný text Char Char Char Char1236"/>
    <w:uiPriority w:val="99"/>
    <w:semiHidden/>
    <w:rPr>
      <w:rFonts w:ascii="Courier New" w:hAnsi="Courier New"/>
      <w:lang w:val="x-none" w:eastAsia="cs-CZ"/>
    </w:rPr>
  </w:style>
  <w:style w:type="character" w:customStyle="1" w:styleId="ObyajntextChar1234">
    <w:name w:val="Obyčajný text Char1234"/>
    <w:aliases w:val="Obyčajný text Char Char Char Char1235"/>
    <w:uiPriority w:val="99"/>
    <w:semiHidden/>
    <w:rPr>
      <w:rFonts w:ascii="Courier New" w:hAnsi="Courier New"/>
      <w:lang w:val="x-none" w:eastAsia="cs-CZ"/>
    </w:rPr>
  </w:style>
  <w:style w:type="character" w:customStyle="1" w:styleId="ObyajntextChar1233">
    <w:name w:val="Obyčajný text Char1233"/>
    <w:aliases w:val="Obyčajný text Char Char Char Char1234"/>
    <w:uiPriority w:val="99"/>
    <w:semiHidden/>
    <w:rPr>
      <w:rFonts w:ascii="Courier New" w:hAnsi="Courier New"/>
      <w:lang w:val="x-none" w:eastAsia="cs-CZ"/>
    </w:rPr>
  </w:style>
  <w:style w:type="character" w:customStyle="1" w:styleId="ObyajntextChar1232">
    <w:name w:val="Obyčajný text Char1232"/>
    <w:aliases w:val="Obyčajný text Char Char Char Char1233"/>
    <w:uiPriority w:val="99"/>
    <w:semiHidden/>
    <w:rPr>
      <w:rFonts w:ascii="Courier New" w:hAnsi="Courier New"/>
      <w:lang w:val="x-none" w:eastAsia="cs-CZ"/>
    </w:rPr>
  </w:style>
  <w:style w:type="character" w:customStyle="1" w:styleId="ObyajntextChar1231">
    <w:name w:val="Obyčajný text Char1231"/>
    <w:aliases w:val="Obyčajný text Char Char Char Char1232"/>
    <w:uiPriority w:val="99"/>
    <w:semiHidden/>
    <w:rPr>
      <w:rFonts w:ascii="Courier New" w:hAnsi="Courier New"/>
      <w:lang w:val="x-none" w:eastAsia="cs-CZ"/>
    </w:rPr>
  </w:style>
  <w:style w:type="character" w:customStyle="1" w:styleId="ObyajntextChar1230">
    <w:name w:val="Obyčajný text Char1230"/>
    <w:aliases w:val="Obyčajný text Char Char Char Char1231"/>
    <w:uiPriority w:val="99"/>
    <w:semiHidden/>
    <w:rPr>
      <w:rFonts w:ascii="Courier New" w:hAnsi="Courier New"/>
      <w:lang w:val="x-none" w:eastAsia="cs-CZ"/>
    </w:rPr>
  </w:style>
  <w:style w:type="character" w:customStyle="1" w:styleId="ObyajntextChar1229">
    <w:name w:val="Obyčajný text Char1229"/>
    <w:aliases w:val="Obyčajný text Char Char Char Char1230"/>
    <w:uiPriority w:val="99"/>
    <w:semiHidden/>
    <w:rPr>
      <w:rFonts w:ascii="Courier New" w:hAnsi="Courier New"/>
      <w:lang w:val="x-none" w:eastAsia="cs-CZ"/>
    </w:rPr>
  </w:style>
  <w:style w:type="character" w:customStyle="1" w:styleId="ObyajntextChar1228">
    <w:name w:val="Obyčajný text Char1228"/>
    <w:aliases w:val="Obyčajný text Char Char Char Char1229"/>
    <w:uiPriority w:val="99"/>
    <w:semiHidden/>
    <w:rPr>
      <w:rFonts w:ascii="Courier New" w:hAnsi="Courier New"/>
      <w:lang w:val="x-none" w:eastAsia="cs-CZ"/>
    </w:rPr>
  </w:style>
  <w:style w:type="character" w:customStyle="1" w:styleId="ObyajntextChar1227">
    <w:name w:val="Obyčajný text Char1227"/>
    <w:aliases w:val="Obyčajný text Char Char Char Char1228"/>
    <w:uiPriority w:val="99"/>
    <w:semiHidden/>
    <w:rPr>
      <w:rFonts w:ascii="Courier New" w:hAnsi="Courier New"/>
      <w:lang w:val="x-none" w:eastAsia="cs-CZ"/>
    </w:rPr>
  </w:style>
  <w:style w:type="character" w:customStyle="1" w:styleId="ObyajntextChar1226">
    <w:name w:val="Obyčajný text Char1226"/>
    <w:aliases w:val="Obyčajný text Char Char Char Char1227"/>
    <w:uiPriority w:val="99"/>
    <w:semiHidden/>
    <w:rPr>
      <w:rFonts w:ascii="Courier New" w:hAnsi="Courier New"/>
      <w:lang w:val="x-none" w:eastAsia="cs-CZ"/>
    </w:rPr>
  </w:style>
  <w:style w:type="character" w:customStyle="1" w:styleId="ObyajntextChar1225">
    <w:name w:val="Obyčajný text Char1225"/>
    <w:aliases w:val="Obyčajný text Char Char Char Char1226"/>
    <w:uiPriority w:val="99"/>
    <w:semiHidden/>
    <w:rPr>
      <w:rFonts w:ascii="Courier New" w:hAnsi="Courier New"/>
      <w:lang w:val="x-none" w:eastAsia="cs-CZ"/>
    </w:rPr>
  </w:style>
  <w:style w:type="character" w:customStyle="1" w:styleId="ObyajntextChar1224">
    <w:name w:val="Obyčajný text Char1224"/>
    <w:aliases w:val="Obyčajný text Char Char Char Char1225"/>
    <w:uiPriority w:val="99"/>
    <w:semiHidden/>
    <w:rPr>
      <w:rFonts w:ascii="Courier New" w:hAnsi="Courier New"/>
      <w:lang w:val="x-none" w:eastAsia="cs-CZ"/>
    </w:rPr>
  </w:style>
  <w:style w:type="character" w:customStyle="1" w:styleId="ObyajntextChar1223">
    <w:name w:val="Obyčajný text Char1223"/>
    <w:aliases w:val="Obyčajný text Char Char Char Char1224"/>
    <w:uiPriority w:val="99"/>
    <w:semiHidden/>
    <w:rPr>
      <w:rFonts w:ascii="Courier New" w:hAnsi="Courier New"/>
      <w:lang w:val="x-none" w:eastAsia="cs-CZ"/>
    </w:rPr>
  </w:style>
  <w:style w:type="character" w:customStyle="1" w:styleId="ObyajntextChar1222">
    <w:name w:val="Obyčajný text Char1222"/>
    <w:aliases w:val="Obyčajný text Char Char Char Char1223"/>
    <w:uiPriority w:val="99"/>
    <w:semiHidden/>
    <w:rPr>
      <w:rFonts w:ascii="Courier New" w:hAnsi="Courier New"/>
      <w:lang w:val="x-none" w:eastAsia="cs-CZ"/>
    </w:rPr>
  </w:style>
  <w:style w:type="character" w:customStyle="1" w:styleId="ObyajntextChar1221">
    <w:name w:val="Obyčajný text Char1221"/>
    <w:aliases w:val="Obyčajný text Char Char Char Char1222"/>
    <w:uiPriority w:val="99"/>
    <w:semiHidden/>
    <w:rPr>
      <w:rFonts w:ascii="Courier New" w:hAnsi="Courier New"/>
      <w:lang w:val="x-none" w:eastAsia="cs-CZ"/>
    </w:rPr>
  </w:style>
  <w:style w:type="character" w:customStyle="1" w:styleId="ObyajntextChar1220">
    <w:name w:val="Obyčajný text Char1220"/>
    <w:aliases w:val="Obyčajný text Char Char Char Char1221"/>
    <w:uiPriority w:val="99"/>
    <w:semiHidden/>
    <w:rPr>
      <w:rFonts w:ascii="Courier New" w:hAnsi="Courier New"/>
      <w:lang w:val="x-none" w:eastAsia="cs-CZ"/>
    </w:rPr>
  </w:style>
  <w:style w:type="character" w:customStyle="1" w:styleId="ObyajntextChar1219">
    <w:name w:val="Obyčajný text Char1219"/>
    <w:aliases w:val="Obyčajný text Char Char Char Char1220"/>
    <w:uiPriority w:val="99"/>
    <w:semiHidden/>
    <w:rPr>
      <w:rFonts w:ascii="Courier New" w:hAnsi="Courier New"/>
      <w:lang w:val="x-none" w:eastAsia="cs-CZ"/>
    </w:rPr>
  </w:style>
  <w:style w:type="character" w:customStyle="1" w:styleId="ObyajntextChar1218">
    <w:name w:val="Obyčajný text Char1218"/>
    <w:aliases w:val="Obyčajný text Char Char Char Char1219"/>
    <w:uiPriority w:val="99"/>
    <w:semiHidden/>
    <w:rPr>
      <w:rFonts w:ascii="Courier New" w:hAnsi="Courier New"/>
      <w:lang w:val="x-none" w:eastAsia="cs-CZ"/>
    </w:rPr>
  </w:style>
  <w:style w:type="character" w:customStyle="1" w:styleId="ObyajntextChar1217">
    <w:name w:val="Obyčajný text Char1217"/>
    <w:aliases w:val="Obyčajný text Char Char Char Char1218"/>
    <w:uiPriority w:val="99"/>
    <w:semiHidden/>
    <w:rPr>
      <w:rFonts w:ascii="Courier New" w:hAnsi="Courier New"/>
      <w:lang w:val="x-none" w:eastAsia="cs-CZ"/>
    </w:rPr>
  </w:style>
  <w:style w:type="character" w:customStyle="1" w:styleId="ObyajntextChar1216">
    <w:name w:val="Obyčajný text Char1216"/>
    <w:aliases w:val="Obyčajný text Char Char Char Char1217"/>
    <w:uiPriority w:val="99"/>
    <w:semiHidden/>
    <w:rPr>
      <w:rFonts w:ascii="Courier New" w:hAnsi="Courier New"/>
      <w:lang w:val="x-none" w:eastAsia="cs-CZ"/>
    </w:rPr>
  </w:style>
  <w:style w:type="character" w:customStyle="1" w:styleId="ObyajntextChar1215">
    <w:name w:val="Obyčajný text Char1215"/>
    <w:aliases w:val="Obyčajný text Char Char Char Char1216"/>
    <w:uiPriority w:val="99"/>
    <w:semiHidden/>
    <w:rPr>
      <w:rFonts w:ascii="Courier New" w:hAnsi="Courier New"/>
      <w:lang w:val="x-none" w:eastAsia="cs-CZ"/>
    </w:rPr>
  </w:style>
  <w:style w:type="character" w:customStyle="1" w:styleId="ObyajntextChar1214">
    <w:name w:val="Obyčajný text Char1214"/>
    <w:aliases w:val="Obyčajný text Char Char Char Char1215"/>
    <w:uiPriority w:val="99"/>
    <w:semiHidden/>
    <w:rPr>
      <w:rFonts w:ascii="Courier New" w:hAnsi="Courier New"/>
      <w:lang w:val="x-none" w:eastAsia="cs-CZ"/>
    </w:rPr>
  </w:style>
  <w:style w:type="character" w:customStyle="1" w:styleId="ObyajntextChar1213">
    <w:name w:val="Obyčajný text Char1213"/>
    <w:aliases w:val="Obyčajný text Char Char Char Char1214"/>
    <w:uiPriority w:val="99"/>
    <w:semiHidden/>
    <w:rPr>
      <w:rFonts w:ascii="Courier New" w:hAnsi="Courier New"/>
      <w:lang w:val="x-none" w:eastAsia="cs-CZ"/>
    </w:rPr>
  </w:style>
  <w:style w:type="character" w:customStyle="1" w:styleId="ObyajntextChar1212">
    <w:name w:val="Obyčajný text Char1212"/>
    <w:aliases w:val="Obyčajný text Char Char Char Char1213"/>
    <w:uiPriority w:val="99"/>
    <w:semiHidden/>
    <w:rPr>
      <w:rFonts w:ascii="Courier New" w:hAnsi="Courier New"/>
      <w:lang w:val="x-none" w:eastAsia="cs-CZ"/>
    </w:rPr>
  </w:style>
  <w:style w:type="character" w:customStyle="1" w:styleId="ObyajntextChar1211">
    <w:name w:val="Obyčajný text Char1211"/>
    <w:aliases w:val="Obyčajný text Char Char Char Char1212"/>
    <w:uiPriority w:val="99"/>
    <w:semiHidden/>
    <w:rPr>
      <w:rFonts w:ascii="Courier New" w:hAnsi="Courier New"/>
      <w:lang w:val="x-none" w:eastAsia="cs-CZ"/>
    </w:rPr>
  </w:style>
  <w:style w:type="character" w:customStyle="1" w:styleId="ObyajntextChar1210">
    <w:name w:val="Obyčajný text Char1210"/>
    <w:aliases w:val="Obyčajný text Char Char Char Char1211"/>
    <w:uiPriority w:val="99"/>
    <w:semiHidden/>
    <w:rPr>
      <w:rFonts w:ascii="Courier New" w:hAnsi="Courier New"/>
      <w:lang w:val="x-none" w:eastAsia="cs-CZ"/>
    </w:rPr>
  </w:style>
  <w:style w:type="character" w:customStyle="1" w:styleId="ObyajntextChar1209">
    <w:name w:val="Obyčajný text Char1209"/>
    <w:aliases w:val="Obyčajný text Char Char Char Char1210"/>
    <w:uiPriority w:val="99"/>
    <w:semiHidden/>
    <w:rPr>
      <w:rFonts w:ascii="Courier New" w:hAnsi="Courier New"/>
      <w:lang w:val="x-none" w:eastAsia="cs-CZ"/>
    </w:rPr>
  </w:style>
  <w:style w:type="character" w:customStyle="1" w:styleId="ObyajntextChar1208">
    <w:name w:val="Obyčajný text Char1208"/>
    <w:aliases w:val="Obyčajný text Char Char Char Char1209"/>
    <w:uiPriority w:val="99"/>
    <w:semiHidden/>
    <w:rPr>
      <w:rFonts w:ascii="Courier New" w:hAnsi="Courier New"/>
      <w:lang w:val="x-none" w:eastAsia="cs-CZ"/>
    </w:rPr>
  </w:style>
  <w:style w:type="character" w:customStyle="1" w:styleId="ObyajntextChar1207">
    <w:name w:val="Obyčajný text Char1207"/>
    <w:aliases w:val="Obyčajný text Char Char Char Char1208"/>
    <w:uiPriority w:val="99"/>
    <w:semiHidden/>
    <w:rPr>
      <w:rFonts w:ascii="Courier New" w:hAnsi="Courier New"/>
      <w:lang w:val="x-none" w:eastAsia="cs-CZ"/>
    </w:rPr>
  </w:style>
  <w:style w:type="character" w:customStyle="1" w:styleId="ObyajntextChar1206">
    <w:name w:val="Obyčajný text Char1206"/>
    <w:aliases w:val="Obyčajný text Char Char Char Char1207"/>
    <w:uiPriority w:val="99"/>
    <w:semiHidden/>
    <w:rPr>
      <w:rFonts w:ascii="Courier New" w:hAnsi="Courier New"/>
      <w:lang w:val="x-none" w:eastAsia="cs-CZ"/>
    </w:rPr>
  </w:style>
  <w:style w:type="character" w:customStyle="1" w:styleId="ObyajntextChar1205">
    <w:name w:val="Obyčajný text Char1205"/>
    <w:aliases w:val="Obyčajný text Char Char Char Char1206"/>
    <w:uiPriority w:val="99"/>
    <w:semiHidden/>
    <w:rPr>
      <w:rFonts w:ascii="Courier New" w:hAnsi="Courier New"/>
      <w:lang w:val="x-none" w:eastAsia="cs-CZ"/>
    </w:rPr>
  </w:style>
  <w:style w:type="character" w:customStyle="1" w:styleId="ObyajntextChar1204">
    <w:name w:val="Obyčajný text Char1204"/>
    <w:aliases w:val="Obyčajný text Char Char Char Char1205"/>
    <w:uiPriority w:val="99"/>
    <w:semiHidden/>
    <w:rPr>
      <w:rFonts w:ascii="Courier New" w:hAnsi="Courier New"/>
      <w:lang w:val="x-none" w:eastAsia="cs-CZ"/>
    </w:rPr>
  </w:style>
  <w:style w:type="character" w:customStyle="1" w:styleId="ObyajntextChar1203">
    <w:name w:val="Obyčajný text Char1203"/>
    <w:aliases w:val="Obyčajný text Char Char Char Char1204"/>
    <w:uiPriority w:val="99"/>
    <w:semiHidden/>
    <w:rPr>
      <w:rFonts w:ascii="Courier New" w:hAnsi="Courier New"/>
      <w:lang w:val="x-none" w:eastAsia="cs-CZ"/>
    </w:rPr>
  </w:style>
  <w:style w:type="character" w:customStyle="1" w:styleId="ObyajntextChar1202">
    <w:name w:val="Obyčajný text Char1202"/>
    <w:aliases w:val="Obyčajný text Char Char Char Char1203"/>
    <w:uiPriority w:val="99"/>
    <w:semiHidden/>
    <w:rPr>
      <w:rFonts w:ascii="Courier New" w:hAnsi="Courier New"/>
      <w:lang w:val="x-none" w:eastAsia="cs-CZ"/>
    </w:rPr>
  </w:style>
  <w:style w:type="character" w:customStyle="1" w:styleId="ObyajntextChar1201">
    <w:name w:val="Obyčajný text Char1201"/>
    <w:aliases w:val="Obyčajný text Char Char Char Char1202"/>
    <w:uiPriority w:val="99"/>
    <w:semiHidden/>
    <w:rPr>
      <w:rFonts w:ascii="Courier New" w:hAnsi="Courier New"/>
      <w:lang w:val="x-none" w:eastAsia="cs-CZ"/>
    </w:rPr>
  </w:style>
  <w:style w:type="character" w:customStyle="1" w:styleId="ObyajntextChar1200">
    <w:name w:val="Obyčajný text Char1200"/>
    <w:aliases w:val="Obyčajný text Char Char Char Char1201"/>
    <w:uiPriority w:val="99"/>
    <w:semiHidden/>
    <w:rPr>
      <w:rFonts w:ascii="Courier New" w:hAnsi="Courier New"/>
      <w:lang w:val="x-none" w:eastAsia="cs-CZ"/>
    </w:rPr>
  </w:style>
  <w:style w:type="character" w:customStyle="1" w:styleId="ObyajntextChar1199">
    <w:name w:val="Obyčajný text Char1199"/>
    <w:aliases w:val="Obyčajný text Char Char Char Char1200"/>
    <w:uiPriority w:val="99"/>
    <w:semiHidden/>
    <w:rPr>
      <w:rFonts w:ascii="Courier New" w:hAnsi="Courier New"/>
      <w:lang w:val="x-none" w:eastAsia="cs-CZ"/>
    </w:rPr>
  </w:style>
  <w:style w:type="character" w:customStyle="1" w:styleId="ObyajntextChar1198">
    <w:name w:val="Obyčajný text Char1198"/>
    <w:aliases w:val="Obyčajný text Char Char Char Char1199"/>
    <w:uiPriority w:val="99"/>
    <w:semiHidden/>
    <w:rPr>
      <w:rFonts w:ascii="Courier New" w:hAnsi="Courier New"/>
      <w:lang w:val="x-none" w:eastAsia="cs-CZ"/>
    </w:rPr>
  </w:style>
  <w:style w:type="character" w:customStyle="1" w:styleId="ObyajntextChar1197">
    <w:name w:val="Obyčajný text Char1197"/>
    <w:aliases w:val="Obyčajný text Char Char Char Char1198"/>
    <w:uiPriority w:val="99"/>
    <w:semiHidden/>
    <w:rPr>
      <w:rFonts w:ascii="Courier New" w:hAnsi="Courier New"/>
      <w:lang w:val="x-none" w:eastAsia="cs-CZ"/>
    </w:rPr>
  </w:style>
  <w:style w:type="character" w:customStyle="1" w:styleId="ObyajntextChar1196">
    <w:name w:val="Obyčajný text Char1196"/>
    <w:aliases w:val="Obyčajný text Char Char Char Char1197"/>
    <w:uiPriority w:val="99"/>
    <w:semiHidden/>
    <w:rPr>
      <w:rFonts w:ascii="Courier New" w:hAnsi="Courier New"/>
      <w:lang w:val="x-none" w:eastAsia="cs-CZ"/>
    </w:rPr>
  </w:style>
  <w:style w:type="character" w:customStyle="1" w:styleId="ObyajntextChar1195">
    <w:name w:val="Obyčajný text Char1195"/>
    <w:aliases w:val="Obyčajný text Char Char Char Char1196"/>
    <w:uiPriority w:val="99"/>
    <w:semiHidden/>
    <w:rPr>
      <w:rFonts w:ascii="Courier New" w:hAnsi="Courier New"/>
      <w:lang w:val="x-none" w:eastAsia="cs-CZ"/>
    </w:rPr>
  </w:style>
  <w:style w:type="character" w:customStyle="1" w:styleId="ObyajntextChar1194">
    <w:name w:val="Obyčajný text Char1194"/>
    <w:aliases w:val="Obyčajný text Char Char Char Char1195"/>
    <w:uiPriority w:val="99"/>
    <w:semiHidden/>
    <w:rPr>
      <w:rFonts w:ascii="Courier New" w:hAnsi="Courier New"/>
      <w:lang w:val="x-none" w:eastAsia="cs-CZ"/>
    </w:rPr>
  </w:style>
  <w:style w:type="character" w:customStyle="1" w:styleId="ObyajntextChar1193">
    <w:name w:val="Obyčajný text Char1193"/>
    <w:aliases w:val="Obyčajný text Char Char Char Char1194"/>
    <w:uiPriority w:val="99"/>
    <w:semiHidden/>
    <w:rPr>
      <w:rFonts w:ascii="Courier New" w:hAnsi="Courier New"/>
      <w:lang w:val="x-none" w:eastAsia="cs-CZ"/>
    </w:rPr>
  </w:style>
  <w:style w:type="character" w:customStyle="1" w:styleId="ObyajntextChar1192">
    <w:name w:val="Obyčajný text Char1192"/>
    <w:aliases w:val="Obyčajný text Char Char Char Char1193"/>
    <w:uiPriority w:val="99"/>
    <w:semiHidden/>
    <w:rPr>
      <w:rFonts w:ascii="Courier New" w:hAnsi="Courier New"/>
      <w:lang w:val="x-none" w:eastAsia="cs-CZ"/>
    </w:rPr>
  </w:style>
  <w:style w:type="character" w:customStyle="1" w:styleId="ObyajntextChar1191">
    <w:name w:val="Obyčajný text Char1191"/>
    <w:aliases w:val="Obyčajný text Char Char Char Char1192"/>
    <w:uiPriority w:val="99"/>
    <w:semiHidden/>
    <w:rPr>
      <w:rFonts w:ascii="Courier New" w:hAnsi="Courier New"/>
      <w:lang w:val="x-none" w:eastAsia="cs-CZ"/>
    </w:rPr>
  </w:style>
  <w:style w:type="character" w:customStyle="1" w:styleId="ObyajntextChar1190">
    <w:name w:val="Obyčajný text Char1190"/>
    <w:aliases w:val="Obyčajný text Char Char Char Char1191"/>
    <w:uiPriority w:val="99"/>
    <w:semiHidden/>
    <w:rPr>
      <w:rFonts w:ascii="Courier New" w:hAnsi="Courier New"/>
      <w:lang w:val="x-none" w:eastAsia="cs-CZ"/>
    </w:rPr>
  </w:style>
  <w:style w:type="character" w:customStyle="1" w:styleId="ObyajntextChar1189">
    <w:name w:val="Obyčajný text Char1189"/>
    <w:aliases w:val="Obyčajný text Char Char Char Char1190"/>
    <w:uiPriority w:val="99"/>
    <w:semiHidden/>
    <w:rPr>
      <w:rFonts w:ascii="Courier New" w:hAnsi="Courier New"/>
      <w:lang w:val="x-none" w:eastAsia="cs-CZ"/>
    </w:rPr>
  </w:style>
  <w:style w:type="character" w:customStyle="1" w:styleId="ObyajntextChar1188">
    <w:name w:val="Obyčajný text Char1188"/>
    <w:aliases w:val="Obyčajný text Char Char Char Char1189"/>
    <w:uiPriority w:val="99"/>
    <w:semiHidden/>
    <w:rPr>
      <w:rFonts w:ascii="Courier New" w:hAnsi="Courier New"/>
      <w:lang w:val="x-none" w:eastAsia="cs-CZ"/>
    </w:rPr>
  </w:style>
  <w:style w:type="character" w:customStyle="1" w:styleId="ObyajntextChar1187">
    <w:name w:val="Obyčajný text Char1187"/>
    <w:aliases w:val="Obyčajný text Char Char Char Char1188"/>
    <w:uiPriority w:val="99"/>
    <w:semiHidden/>
    <w:rPr>
      <w:rFonts w:ascii="Courier New" w:hAnsi="Courier New"/>
      <w:lang w:val="x-none" w:eastAsia="cs-CZ"/>
    </w:rPr>
  </w:style>
  <w:style w:type="character" w:customStyle="1" w:styleId="ObyajntextChar1186">
    <w:name w:val="Obyčajný text Char1186"/>
    <w:aliases w:val="Obyčajný text Char Char Char Char1187"/>
    <w:uiPriority w:val="99"/>
    <w:semiHidden/>
    <w:rPr>
      <w:rFonts w:ascii="Courier New" w:hAnsi="Courier New"/>
      <w:lang w:val="x-none" w:eastAsia="cs-CZ"/>
    </w:rPr>
  </w:style>
  <w:style w:type="character" w:customStyle="1" w:styleId="ObyajntextChar1185">
    <w:name w:val="Obyčajný text Char1185"/>
    <w:aliases w:val="Obyčajný text Char Char Char Char1186"/>
    <w:uiPriority w:val="99"/>
    <w:semiHidden/>
    <w:rPr>
      <w:rFonts w:ascii="Courier New" w:hAnsi="Courier New"/>
      <w:lang w:val="x-none" w:eastAsia="cs-CZ"/>
    </w:rPr>
  </w:style>
  <w:style w:type="character" w:customStyle="1" w:styleId="ObyajntextChar1184">
    <w:name w:val="Obyčajný text Char1184"/>
    <w:aliases w:val="Obyčajný text Char Char Char Char1185"/>
    <w:uiPriority w:val="99"/>
    <w:semiHidden/>
    <w:rPr>
      <w:rFonts w:ascii="Courier New" w:hAnsi="Courier New"/>
      <w:lang w:val="x-none" w:eastAsia="cs-CZ"/>
    </w:rPr>
  </w:style>
  <w:style w:type="character" w:customStyle="1" w:styleId="ObyajntextChar1183">
    <w:name w:val="Obyčajný text Char1183"/>
    <w:aliases w:val="Obyčajný text Char Char Char Char1184"/>
    <w:uiPriority w:val="99"/>
    <w:semiHidden/>
    <w:rPr>
      <w:rFonts w:ascii="Courier New" w:hAnsi="Courier New"/>
      <w:lang w:val="x-none" w:eastAsia="cs-CZ"/>
    </w:rPr>
  </w:style>
  <w:style w:type="character" w:customStyle="1" w:styleId="ObyajntextChar1182">
    <w:name w:val="Obyčajný text Char1182"/>
    <w:aliases w:val="Obyčajný text Char Char Char Char1183"/>
    <w:uiPriority w:val="99"/>
    <w:semiHidden/>
    <w:rPr>
      <w:rFonts w:ascii="Courier New" w:hAnsi="Courier New"/>
      <w:lang w:val="x-none" w:eastAsia="cs-CZ"/>
    </w:rPr>
  </w:style>
  <w:style w:type="character" w:customStyle="1" w:styleId="ObyajntextChar1181">
    <w:name w:val="Obyčajný text Char1181"/>
    <w:aliases w:val="Obyčajný text Char Char Char Char1182"/>
    <w:uiPriority w:val="99"/>
    <w:semiHidden/>
    <w:rPr>
      <w:rFonts w:ascii="Courier New" w:hAnsi="Courier New"/>
      <w:lang w:val="x-none" w:eastAsia="cs-CZ"/>
    </w:rPr>
  </w:style>
  <w:style w:type="character" w:customStyle="1" w:styleId="ObyajntextChar1180">
    <w:name w:val="Obyčajný text Char1180"/>
    <w:aliases w:val="Obyčajný text Char Char Char Char1181"/>
    <w:uiPriority w:val="99"/>
    <w:semiHidden/>
    <w:rPr>
      <w:rFonts w:ascii="Courier New" w:hAnsi="Courier New"/>
      <w:lang w:val="x-none" w:eastAsia="cs-CZ"/>
    </w:rPr>
  </w:style>
  <w:style w:type="character" w:customStyle="1" w:styleId="ObyajntextChar1179">
    <w:name w:val="Obyčajný text Char1179"/>
    <w:aliases w:val="Obyčajný text Char Char Char Char1180"/>
    <w:uiPriority w:val="99"/>
    <w:semiHidden/>
    <w:rPr>
      <w:rFonts w:ascii="Courier New" w:hAnsi="Courier New"/>
      <w:lang w:val="x-none" w:eastAsia="cs-CZ"/>
    </w:rPr>
  </w:style>
  <w:style w:type="character" w:customStyle="1" w:styleId="ObyajntextChar1178">
    <w:name w:val="Obyčajný text Char1178"/>
    <w:aliases w:val="Obyčajný text Char Char Char Char1179"/>
    <w:uiPriority w:val="99"/>
    <w:semiHidden/>
    <w:rPr>
      <w:rFonts w:ascii="Courier New" w:hAnsi="Courier New"/>
      <w:lang w:val="x-none" w:eastAsia="cs-CZ"/>
    </w:rPr>
  </w:style>
  <w:style w:type="character" w:customStyle="1" w:styleId="ObyajntextChar1177">
    <w:name w:val="Obyčajný text Char1177"/>
    <w:aliases w:val="Obyčajný text Char Char Char Char1178"/>
    <w:uiPriority w:val="99"/>
    <w:semiHidden/>
    <w:rPr>
      <w:rFonts w:ascii="Courier New" w:hAnsi="Courier New"/>
      <w:lang w:val="x-none" w:eastAsia="cs-CZ"/>
    </w:rPr>
  </w:style>
  <w:style w:type="character" w:customStyle="1" w:styleId="ObyajntextChar1176">
    <w:name w:val="Obyčajný text Char1176"/>
    <w:aliases w:val="Obyčajný text Char Char Char Char1177"/>
    <w:uiPriority w:val="99"/>
    <w:semiHidden/>
    <w:rPr>
      <w:rFonts w:ascii="Courier New" w:hAnsi="Courier New"/>
      <w:lang w:val="x-none" w:eastAsia="cs-CZ"/>
    </w:rPr>
  </w:style>
  <w:style w:type="character" w:customStyle="1" w:styleId="ObyajntextChar1175">
    <w:name w:val="Obyčajný text Char1175"/>
    <w:aliases w:val="Obyčajný text Char Char Char Char1176"/>
    <w:uiPriority w:val="99"/>
    <w:semiHidden/>
    <w:rPr>
      <w:rFonts w:ascii="Courier New" w:hAnsi="Courier New"/>
      <w:lang w:val="x-none" w:eastAsia="cs-CZ"/>
    </w:rPr>
  </w:style>
  <w:style w:type="character" w:customStyle="1" w:styleId="ObyajntextChar1174">
    <w:name w:val="Obyčajný text Char1174"/>
    <w:aliases w:val="Obyčajný text Char Char Char Char1175"/>
    <w:uiPriority w:val="99"/>
    <w:semiHidden/>
    <w:rPr>
      <w:rFonts w:ascii="Courier New" w:hAnsi="Courier New"/>
      <w:lang w:val="x-none" w:eastAsia="cs-CZ"/>
    </w:rPr>
  </w:style>
  <w:style w:type="character" w:customStyle="1" w:styleId="ObyajntextChar1173">
    <w:name w:val="Obyčajný text Char1173"/>
    <w:aliases w:val="Obyčajný text Char Char Char Char1174"/>
    <w:uiPriority w:val="99"/>
    <w:semiHidden/>
    <w:rPr>
      <w:rFonts w:ascii="Courier New" w:hAnsi="Courier New"/>
      <w:lang w:val="x-none" w:eastAsia="cs-CZ"/>
    </w:rPr>
  </w:style>
  <w:style w:type="character" w:customStyle="1" w:styleId="ObyajntextChar1172">
    <w:name w:val="Obyčajný text Char1172"/>
    <w:aliases w:val="Obyčajný text Char Char Char Char1173"/>
    <w:uiPriority w:val="99"/>
    <w:semiHidden/>
    <w:rPr>
      <w:rFonts w:ascii="Courier New" w:hAnsi="Courier New"/>
      <w:lang w:val="x-none" w:eastAsia="cs-CZ"/>
    </w:rPr>
  </w:style>
  <w:style w:type="character" w:customStyle="1" w:styleId="ObyajntextChar1171">
    <w:name w:val="Obyčajný text Char1171"/>
    <w:aliases w:val="Obyčajný text Char Char Char Char1172"/>
    <w:uiPriority w:val="99"/>
    <w:semiHidden/>
    <w:rPr>
      <w:rFonts w:ascii="Courier New" w:hAnsi="Courier New"/>
      <w:lang w:val="x-none" w:eastAsia="cs-CZ"/>
    </w:rPr>
  </w:style>
  <w:style w:type="character" w:customStyle="1" w:styleId="ObyajntextChar1165">
    <w:name w:val="Obyčajný text Char1165"/>
    <w:aliases w:val="Obyčajný text Char Char Char Char1166"/>
    <w:uiPriority w:val="99"/>
    <w:semiHidden/>
    <w:rPr>
      <w:rFonts w:ascii="Courier New" w:hAnsi="Courier New"/>
      <w:lang w:val="x-none" w:eastAsia="cs-CZ"/>
    </w:rPr>
  </w:style>
  <w:style w:type="character" w:customStyle="1" w:styleId="ObyajntextChar1164">
    <w:name w:val="Obyčajný text Char1164"/>
    <w:aliases w:val="Obyčajný text Char Char Char Char1165"/>
    <w:uiPriority w:val="99"/>
    <w:semiHidden/>
    <w:rPr>
      <w:rFonts w:ascii="Courier New" w:hAnsi="Courier New"/>
      <w:lang w:val="x-none" w:eastAsia="cs-CZ"/>
    </w:rPr>
  </w:style>
  <w:style w:type="character" w:customStyle="1" w:styleId="ObyajntextChar1163">
    <w:name w:val="Obyčajný text Char1163"/>
    <w:aliases w:val="Obyčajný text Char Char Char Char1164"/>
    <w:uiPriority w:val="99"/>
    <w:semiHidden/>
    <w:rPr>
      <w:rFonts w:ascii="Courier New" w:hAnsi="Courier New"/>
      <w:lang w:val="x-none" w:eastAsia="cs-CZ"/>
    </w:rPr>
  </w:style>
  <w:style w:type="character" w:customStyle="1" w:styleId="ObyajntextChar1162">
    <w:name w:val="Obyčajný text Char1162"/>
    <w:aliases w:val="Obyčajný text Char Char Char Char1163"/>
    <w:uiPriority w:val="99"/>
    <w:semiHidden/>
    <w:rPr>
      <w:rFonts w:ascii="Courier New" w:hAnsi="Courier New"/>
      <w:lang w:val="x-none" w:eastAsia="cs-CZ"/>
    </w:rPr>
  </w:style>
  <w:style w:type="character" w:customStyle="1" w:styleId="ObyajntextChar1161">
    <w:name w:val="Obyčajný text Char1161"/>
    <w:aliases w:val="Obyčajný text Char Char Char Char1162"/>
    <w:uiPriority w:val="99"/>
    <w:semiHidden/>
    <w:rPr>
      <w:rFonts w:ascii="Courier New" w:hAnsi="Courier New"/>
      <w:lang w:val="x-none" w:eastAsia="cs-CZ"/>
    </w:rPr>
  </w:style>
  <w:style w:type="character" w:customStyle="1" w:styleId="ObyajntextChar1160">
    <w:name w:val="Obyčajný text Char1160"/>
    <w:aliases w:val="Obyčajný text Char Char Char Char1161"/>
    <w:uiPriority w:val="99"/>
    <w:semiHidden/>
    <w:rPr>
      <w:rFonts w:ascii="Courier New" w:hAnsi="Courier New"/>
      <w:lang w:val="x-none" w:eastAsia="cs-CZ"/>
    </w:rPr>
  </w:style>
  <w:style w:type="character" w:customStyle="1" w:styleId="ObyajntextChar1159">
    <w:name w:val="Obyčajný text Char1159"/>
    <w:aliases w:val="Obyčajný text Char Char Char Char1160"/>
    <w:uiPriority w:val="99"/>
    <w:semiHidden/>
    <w:rPr>
      <w:rFonts w:ascii="Courier New" w:hAnsi="Courier New"/>
      <w:lang w:val="x-none" w:eastAsia="cs-CZ"/>
    </w:rPr>
  </w:style>
  <w:style w:type="character" w:customStyle="1" w:styleId="ObyajntextChar1158">
    <w:name w:val="Obyčajný text Char1158"/>
    <w:aliases w:val="Obyčajný text Char Char Char Char1159"/>
    <w:uiPriority w:val="99"/>
    <w:semiHidden/>
    <w:rPr>
      <w:rFonts w:ascii="Courier New" w:hAnsi="Courier New"/>
      <w:lang w:val="x-none" w:eastAsia="cs-CZ"/>
    </w:rPr>
  </w:style>
  <w:style w:type="character" w:customStyle="1" w:styleId="ObyajntextChar1157">
    <w:name w:val="Obyčajný text Char1157"/>
    <w:aliases w:val="Obyčajný text Char Char Char Char1158"/>
    <w:uiPriority w:val="99"/>
    <w:semiHidden/>
    <w:rPr>
      <w:rFonts w:ascii="Courier New" w:hAnsi="Courier New"/>
      <w:lang w:val="x-none" w:eastAsia="cs-CZ"/>
    </w:rPr>
  </w:style>
  <w:style w:type="character" w:customStyle="1" w:styleId="ObyajntextChar1156">
    <w:name w:val="Obyčajný text Char1156"/>
    <w:aliases w:val="Obyčajný text Char Char Char Char1157"/>
    <w:uiPriority w:val="99"/>
    <w:semiHidden/>
    <w:rPr>
      <w:rFonts w:ascii="Courier New" w:hAnsi="Courier New"/>
      <w:lang w:val="x-none" w:eastAsia="cs-CZ"/>
    </w:rPr>
  </w:style>
  <w:style w:type="character" w:customStyle="1" w:styleId="ObyajntextChar1155">
    <w:name w:val="Obyčajný text Char1155"/>
    <w:aliases w:val="Obyčajný text Char Char Char Char1156"/>
    <w:uiPriority w:val="99"/>
    <w:semiHidden/>
    <w:rPr>
      <w:rFonts w:ascii="Courier New" w:hAnsi="Courier New"/>
      <w:lang w:val="x-none" w:eastAsia="cs-CZ"/>
    </w:rPr>
  </w:style>
  <w:style w:type="character" w:customStyle="1" w:styleId="ObyajntextChar1154">
    <w:name w:val="Obyčajný text Char1154"/>
    <w:aliases w:val="Obyčajný text Char Char Char Char1155"/>
    <w:uiPriority w:val="99"/>
    <w:semiHidden/>
    <w:rPr>
      <w:rFonts w:ascii="Courier New" w:hAnsi="Courier New"/>
      <w:lang w:val="x-none" w:eastAsia="cs-CZ"/>
    </w:rPr>
  </w:style>
  <w:style w:type="character" w:customStyle="1" w:styleId="ObyajntextChar1153">
    <w:name w:val="Obyčajný text Char1153"/>
    <w:aliases w:val="Obyčajný text Char Char Char Char1154"/>
    <w:uiPriority w:val="99"/>
    <w:semiHidden/>
    <w:rPr>
      <w:rFonts w:ascii="Courier New" w:hAnsi="Courier New"/>
      <w:lang w:val="x-none" w:eastAsia="cs-CZ"/>
    </w:rPr>
  </w:style>
  <w:style w:type="character" w:customStyle="1" w:styleId="ObyajntextChar1152">
    <w:name w:val="Obyčajný text Char1152"/>
    <w:aliases w:val="Obyčajný text Char Char Char Char1153"/>
    <w:uiPriority w:val="99"/>
    <w:semiHidden/>
    <w:rPr>
      <w:rFonts w:ascii="Courier New" w:hAnsi="Courier New"/>
      <w:lang w:val="x-none" w:eastAsia="cs-CZ"/>
    </w:rPr>
  </w:style>
  <w:style w:type="character" w:customStyle="1" w:styleId="ObyajntextChar1151">
    <w:name w:val="Obyčajný text Char1151"/>
    <w:aliases w:val="Obyčajný text Char Char Char Char1152"/>
    <w:uiPriority w:val="99"/>
    <w:semiHidden/>
    <w:rPr>
      <w:rFonts w:ascii="Courier New" w:hAnsi="Courier New"/>
      <w:lang w:val="x-none" w:eastAsia="cs-CZ"/>
    </w:rPr>
  </w:style>
  <w:style w:type="character" w:customStyle="1" w:styleId="ObyajntextChar1150">
    <w:name w:val="Obyčajný text Char1150"/>
    <w:aliases w:val="Obyčajný text Char Char Char Char1151"/>
    <w:uiPriority w:val="99"/>
    <w:semiHidden/>
    <w:rPr>
      <w:rFonts w:ascii="Courier New" w:hAnsi="Courier New"/>
      <w:lang w:val="x-none" w:eastAsia="cs-CZ"/>
    </w:rPr>
  </w:style>
  <w:style w:type="character" w:customStyle="1" w:styleId="ObyajntextChar1149">
    <w:name w:val="Obyčajný text Char1149"/>
    <w:aliases w:val="Obyčajný text Char Char Char Char1150"/>
    <w:uiPriority w:val="99"/>
    <w:semiHidden/>
    <w:rPr>
      <w:rFonts w:ascii="Courier New" w:hAnsi="Courier New"/>
      <w:lang w:val="x-none" w:eastAsia="cs-CZ"/>
    </w:rPr>
  </w:style>
  <w:style w:type="character" w:customStyle="1" w:styleId="ObyajntextChar1148">
    <w:name w:val="Obyčajný text Char1148"/>
    <w:aliases w:val="Obyčajný text Char Char Char Char1149"/>
    <w:uiPriority w:val="99"/>
    <w:semiHidden/>
    <w:rPr>
      <w:rFonts w:ascii="Courier New" w:hAnsi="Courier New"/>
      <w:lang w:val="x-none" w:eastAsia="cs-CZ"/>
    </w:rPr>
  </w:style>
  <w:style w:type="character" w:customStyle="1" w:styleId="ObyajntextChar1147">
    <w:name w:val="Obyčajný text Char1147"/>
    <w:aliases w:val="Obyčajný text Char Char Char Char1148"/>
    <w:uiPriority w:val="99"/>
    <w:semiHidden/>
    <w:rPr>
      <w:rFonts w:ascii="Courier New" w:hAnsi="Courier New"/>
      <w:lang w:val="x-none" w:eastAsia="cs-CZ"/>
    </w:rPr>
  </w:style>
  <w:style w:type="character" w:customStyle="1" w:styleId="ObyajntextChar1146">
    <w:name w:val="Obyčajný text Char1146"/>
    <w:aliases w:val="Obyčajný text Char Char Char Char1147"/>
    <w:uiPriority w:val="99"/>
    <w:semiHidden/>
    <w:rPr>
      <w:rFonts w:ascii="Courier New" w:hAnsi="Courier New"/>
      <w:lang w:val="x-none" w:eastAsia="cs-CZ"/>
    </w:rPr>
  </w:style>
  <w:style w:type="character" w:customStyle="1" w:styleId="ObyajntextChar1145">
    <w:name w:val="Obyčajný text Char1145"/>
    <w:aliases w:val="Obyčajný text Char Char Char Char1146"/>
    <w:uiPriority w:val="99"/>
    <w:semiHidden/>
    <w:rPr>
      <w:rFonts w:ascii="Courier New" w:hAnsi="Courier New"/>
      <w:lang w:val="x-none" w:eastAsia="cs-CZ"/>
    </w:rPr>
  </w:style>
  <w:style w:type="character" w:customStyle="1" w:styleId="ObyajntextChar1144">
    <w:name w:val="Obyčajný text Char1144"/>
    <w:aliases w:val="Obyčajný text Char Char Char Char1145"/>
    <w:uiPriority w:val="99"/>
    <w:semiHidden/>
    <w:rPr>
      <w:rFonts w:ascii="Courier New" w:hAnsi="Courier New"/>
      <w:lang w:val="x-none" w:eastAsia="cs-CZ"/>
    </w:rPr>
  </w:style>
  <w:style w:type="character" w:customStyle="1" w:styleId="ObyajntextChar1143">
    <w:name w:val="Obyčajný text Char1143"/>
    <w:aliases w:val="Obyčajný text Char Char Char Char1144"/>
    <w:uiPriority w:val="99"/>
    <w:semiHidden/>
    <w:rPr>
      <w:rFonts w:ascii="Courier New" w:hAnsi="Courier New"/>
      <w:lang w:val="x-none" w:eastAsia="cs-CZ"/>
    </w:rPr>
  </w:style>
  <w:style w:type="character" w:customStyle="1" w:styleId="ObyajntextChar1142">
    <w:name w:val="Obyčajný text Char1142"/>
    <w:aliases w:val="Obyčajný text Char Char Char Char1143"/>
    <w:uiPriority w:val="99"/>
    <w:semiHidden/>
    <w:rPr>
      <w:rFonts w:ascii="Courier New" w:hAnsi="Courier New"/>
      <w:lang w:val="x-none" w:eastAsia="cs-CZ"/>
    </w:rPr>
  </w:style>
  <w:style w:type="character" w:customStyle="1" w:styleId="ObyajntextChar1141">
    <w:name w:val="Obyčajný text Char1141"/>
    <w:aliases w:val="Obyčajný text Char Char Char Char1142"/>
    <w:uiPriority w:val="99"/>
    <w:semiHidden/>
    <w:rPr>
      <w:rFonts w:ascii="Courier New" w:hAnsi="Courier New"/>
      <w:lang w:val="x-none" w:eastAsia="cs-CZ"/>
    </w:rPr>
  </w:style>
  <w:style w:type="character" w:customStyle="1" w:styleId="ObyajntextChar1140">
    <w:name w:val="Obyčajný text Char1140"/>
    <w:aliases w:val="Obyčajný text Char Char Char Char1141"/>
    <w:uiPriority w:val="99"/>
    <w:semiHidden/>
    <w:rPr>
      <w:rFonts w:ascii="Courier New" w:hAnsi="Courier New"/>
      <w:lang w:val="x-none" w:eastAsia="cs-CZ"/>
    </w:rPr>
  </w:style>
  <w:style w:type="character" w:customStyle="1" w:styleId="ObyajntextChar1139">
    <w:name w:val="Obyčajný text Char1139"/>
    <w:aliases w:val="Obyčajný text Char Char Char Char1140"/>
    <w:uiPriority w:val="99"/>
    <w:semiHidden/>
    <w:rPr>
      <w:rFonts w:ascii="Courier New" w:hAnsi="Courier New"/>
      <w:lang w:val="x-none" w:eastAsia="cs-CZ"/>
    </w:rPr>
  </w:style>
  <w:style w:type="character" w:customStyle="1" w:styleId="ObyajntextChar1138">
    <w:name w:val="Obyčajný text Char1138"/>
    <w:aliases w:val="Obyčajný text Char Char Char Char1139"/>
    <w:uiPriority w:val="99"/>
    <w:semiHidden/>
    <w:rPr>
      <w:rFonts w:ascii="Courier New" w:hAnsi="Courier New"/>
      <w:lang w:val="x-none" w:eastAsia="cs-CZ"/>
    </w:rPr>
  </w:style>
  <w:style w:type="character" w:customStyle="1" w:styleId="ObyajntextChar1137">
    <w:name w:val="Obyčajný text Char1137"/>
    <w:aliases w:val="Obyčajný text Char Char Char Char1138"/>
    <w:uiPriority w:val="99"/>
    <w:semiHidden/>
    <w:rPr>
      <w:rFonts w:ascii="Courier New" w:hAnsi="Courier New"/>
      <w:lang w:val="x-none" w:eastAsia="cs-CZ"/>
    </w:rPr>
  </w:style>
  <w:style w:type="character" w:customStyle="1" w:styleId="ObyajntextChar1136">
    <w:name w:val="Obyčajný text Char1136"/>
    <w:aliases w:val="Obyčajný text Char Char Char Char1137"/>
    <w:uiPriority w:val="99"/>
    <w:semiHidden/>
    <w:rPr>
      <w:rFonts w:ascii="Courier New" w:hAnsi="Courier New"/>
      <w:lang w:val="x-none" w:eastAsia="cs-CZ"/>
    </w:rPr>
  </w:style>
  <w:style w:type="character" w:customStyle="1" w:styleId="ObyajntextChar1135">
    <w:name w:val="Obyčajný text Char1135"/>
    <w:aliases w:val="Obyčajný text Char Char Char Char1136"/>
    <w:uiPriority w:val="99"/>
    <w:semiHidden/>
    <w:rPr>
      <w:rFonts w:ascii="Courier New" w:hAnsi="Courier New"/>
      <w:lang w:val="x-none" w:eastAsia="cs-CZ"/>
    </w:rPr>
  </w:style>
  <w:style w:type="character" w:customStyle="1" w:styleId="ObyajntextChar1134">
    <w:name w:val="Obyčajný text Char1134"/>
    <w:aliases w:val="Obyčajný text Char Char Char Char1135"/>
    <w:uiPriority w:val="99"/>
    <w:semiHidden/>
    <w:rPr>
      <w:rFonts w:ascii="Courier New" w:hAnsi="Courier New"/>
      <w:lang w:val="x-none" w:eastAsia="cs-CZ"/>
    </w:rPr>
  </w:style>
  <w:style w:type="character" w:customStyle="1" w:styleId="ObyajntextChar1133">
    <w:name w:val="Obyčajný text Char1133"/>
    <w:aliases w:val="Obyčajný text Char Char Char Char1134"/>
    <w:uiPriority w:val="99"/>
    <w:semiHidden/>
    <w:rPr>
      <w:rFonts w:ascii="Courier New" w:hAnsi="Courier New"/>
      <w:lang w:val="x-none" w:eastAsia="cs-CZ"/>
    </w:rPr>
  </w:style>
  <w:style w:type="character" w:customStyle="1" w:styleId="ObyajntextChar1132">
    <w:name w:val="Obyčajný text Char1132"/>
    <w:aliases w:val="Obyčajný text Char Char Char Char1133"/>
    <w:uiPriority w:val="99"/>
    <w:semiHidden/>
    <w:rPr>
      <w:rFonts w:ascii="Courier New" w:hAnsi="Courier New"/>
      <w:lang w:val="x-none" w:eastAsia="cs-CZ"/>
    </w:rPr>
  </w:style>
  <w:style w:type="character" w:customStyle="1" w:styleId="ObyajntextChar1131">
    <w:name w:val="Obyčajný text Char1131"/>
    <w:aliases w:val="Obyčajný text Char Char Char Char1132"/>
    <w:uiPriority w:val="99"/>
    <w:semiHidden/>
    <w:rPr>
      <w:rFonts w:ascii="Courier New" w:hAnsi="Courier New"/>
      <w:lang w:val="x-none" w:eastAsia="cs-CZ"/>
    </w:rPr>
  </w:style>
  <w:style w:type="character" w:customStyle="1" w:styleId="ObyajntextChar1130">
    <w:name w:val="Obyčajný text Char1130"/>
    <w:aliases w:val="Obyčajný text Char Char Char Char1131"/>
    <w:uiPriority w:val="99"/>
    <w:semiHidden/>
    <w:rPr>
      <w:rFonts w:ascii="Courier New" w:hAnsi="Courier New"/>
      <w:lang w:val="x-none" w:eastAsia="cs-CZ"/>
    </w:rPr>
  </w:style>
  <w:style w:type="character" w:customStyle="1" w:styleId="ObyajntextChar1129">
    <w:name w:val="Obyčajný text Char1129"/>
    <w:aliases w:val="Obyčajný text Char Char Char Char1130"/>
    <w:uiPriority w:val="99"/>
    <w:semiHidden/>
    <w:rPr>
      <w:rFonts w:ascii="Courier New" w:hAnsi="Courier New"/>
      <w:lang w:val="x-none" w:eastAsia="cs-CZ"/>
    </w:rPr>
  </w:style>
  <w:style w:type="character" w:customStyle="1" w:styleId="ObyajntextChar1128">
    <w:name w:val="Obyčajný text Char1128"/>
    <w:aliases w:val="Obyčajný text Char Char Char Char1129"/>
    <w:uiPriority w:val="99"/>
    <w:semiHidden/>
    <w:rPr>
      <w:rFonts w:ascii="Courier New" w:hAnsi="Courier New"/>
      <w:lang w:val="x-none" w:eastAsia="cs-CZ"/>
    </w:rPr>
  </w:style>
  <w:style w:type="character" w:customStyle="1" w:styleId="ObyajntextChar1127">
    <w:name w:val="Obyčajný text Char1127"/>
    <w:aliases w:val="Obyčajný text Char Char Char Char1128"/>
    <w:uiPriority w:val="99"/>
    <w:semiHidden/>
    <w:rPr>
      <w:rFonts w:ascii="Courier New" w:hAnsi="Courier New"/>
      <w:lang w:val="x-none" w:eastAsia="cs-CZ"/>
    </w:rPr>
  </w:style>
  <w:style w:type="character" w:customStyle="1" w:styleId="ObyajntextChar1126">
    <w:name w:val="Obyčajný text Char1126"/>
    <w:aliases w:val="Obyčajný text Char Char Char Char1127"/>
    <w:uiPriority w:val="99"/>
    <w:semiHidden/>
    <w:rPr>
      <w:rFonts w:ascii="Courier New" w:hAnsi="Courier New"/>
      <w:lang w:val="x-none" w:eastAsia="cs-CZ"/>
    </w:rPr>
  </w:style>
  <w:style w:type="character" w:customStyle="1" w:styleId="ObyajntextChar1125">
    <w:name w:val="Obyčajný text Char1125"/>
    <w:aliases w:val="Obyčajný text Char Char Char Char1126"/>
    <w:uiPriority w:val="99"/>
    <w:semiHidden/>
    <w:rPr>
      <w:rFonts w:ascii="Courier New" w:hAnsi="Courier New"/>
      <w:lang w:val="x-none" w:eastAsia="cs-CZ"/>
    </w:rPr>
  </w:style>
  <w:style w:type="character" w:customStyle="1" w:styleId="ObyajntextChar1124">
    <w:name w:val="Obyčajný text Char1124"/>
    <w:aliases w:val="Obyčajný text Char Char Char Char1125"/>
    <w:uiPriority w:val="99"/>
    <w:semiHidden/>
    <w:rPr>
      <w:rFonts w:ascii="Courier New" w:hAnsi="Courier New"/>
      <w:lang w:val="x-none" w:eastAsia="cs-CZ"/>
    </w:rPr>
  </w:style>
  <w:style w:type="character" w:customStyle="1" w:styleId="ObyajntextChar1123">
    <w:name w:val="Obyčajný text Char1123"/>
    <w:aliases w:val="Obyčajný text Char Char Char Char1124"/>
    <w:uiPriority w:val="99"/>
    <w:semiHidden/>
    <w:rPr>
      <w:rFonts w:ascii="Courier New" w:hAnsi="Courier New"/>
      <w:lang w:val="x-none" w:eastAsia="cs-CZ"/>
    </w:rPr>
  </w:style>
  <w:style w:type="character" w:customStyle="1" w:styleId="ObyajntextChar1122">
    <w:name w:val="Obyčajný text Char1122"/>
    <w:aliases w:val="Obyčajný text Char Char Char Char1123"/>
    <w:uiPriority w:val="99"/>
    <w:semiHidden/>
    <w:rPr>
      <w:rFonts w:ascii="Courier New" w:hAnsi="Courier New"/>
      <w:lang w:val="x-none" w:eastAsia="cs-CZ"/>
    </w:rPr>
  </w:style>
  <w:style w:type="character" w:customStyle="1" w:styleId="ObyajntextChar1121">
    <w:name w:val="Obyčajný text Char1121"/>
    <w:aliases w:val="Obyčajný text Char Char Char Char1122"/>
    <w:uiPriority w:val="99"/>
    <w:semiHidden/>
    <w:rPr>
      <w:rFonts w:ascii="Courier New" w:hAnsi="Courier New"/>
      <w:lang w:val="x-none" w:eastAsia="cs-CZ"/>
    </w:rPr>
  </w:style>
  <w:style w:type="character" w:customStyle="1" w:styleId="ObyajntextChar1120">
    <w:name w:val="Obyčajný text Char1120"/>
    <w:aliases w:val="Obyčajný text Char Char Char Char1121"/>
    <w:uiPriority w:val="99"/>
    <w:semiHidden/>
    <w:rPr>
      <w:rFonts w:ascii="Courier New" w:hAnsi="Courier New"/>
      <w:lang w:val="x-none" w:eastAsia="cs-CZ"/>
    </w:rPr>
  </w:style>
  <w:style w:type="character" w:customStyle="1" w:styleId="ObyajntextChar1119">
    <w:name w:val="Obyčajný text Char1119"/>
    <w:aliases w:val="Obyčajný text Char Char Char Char1120"/>
    <w:uiPriority w:val="99"/>
    <w:semiHidden/>
    <w:rPr>
      <w:rFonts w:ascii="Courier New" w:hAnsi="Courier New"/>
      <w:lang w:val="x-none" w:eastAsia="cs-CZ"/>
    </w:rPr>
  </w:style>
  <w:style w:type="character" w:customStyle="1" w:styleId="ObyajntextChar1118">
    <w:name w:val="Obyčajný text Char1118"/>
    <w:aliases w:val="Obyčajný text Char Char Char Char1119"/>
    <w:uiPriority w:val="99"/>
    <w:semiHidden/>
    <w:rPr>
      <w:rFonts w:ascii="Courier New" w:hAnsi="Courier New"/>
      <w:lang w:val="x-none" w:eastAsia="cs-CZ"/>
    </w:rPr>
  </w:style>
  <w:style w:type="character" w:customStyle="1" w:styleId="ObyajntextChar1117">
    <w:name w:val="Obyčajný text Char1117"/>
    <w:aliases w:val="Obyčajný text Char Char Char Char1118"/>
    <w:uiPriority w:val="99"/>
    <w:semiHidden/>
    <w:rPr>
      <w:rFonts w:ascii="Courier New" w:hAnsi="Courier New"/>
      <w:lang w:val="x-none" w:eastAsia="cs-CZ"/>
    </w:rPr>
  </w:style>
  <w:style w:type="character" w:customStyle="1" w:styleId="ObyajntextChar1116">
    <w:name w:val="Obyčajný text Char1116"/>
    <w:aliases w:val="Obyčajný text Char Char Char Char1117"/>
    <w:uiPriority w:val="99"/>
    <w:semiHidden/>
    <w:rPr>
      <w:rFonts w:ascii="Courier New" w:hAnsi="Courier New"/>
      <w:lang w:val="x-none" w:eastAsia="cs-CZ"/>
    </w:rPr>
  </w:style>
  <w:style w:type="character" w:customStyle="1" w:styleId="ObyajntextChar1115">
    <w:name w:val="Obyčajný text Char1115"/>
    <w:aliases w:val="Obyčajný text Char Char Char Char1116"/>
    <w:uiPriority w:val="99"/>
    <w:semiHidden/>
    <w:rPr>
      <w:rFonts w:ascii="Courier New" w:hAnsi="Courier New"/>
      <w:lang w:val="x-none" w:eastAsia="cs-CZ"/>
    </w:rPr>
  </w:style>
  <w:style w:type="character" w:customStyle="1" w:styleId="ObyajntextChar1114">
    <w:name w:val="Obyčajný text Char1114"/>
    <w:aliases w:val="Obyčajný text Char Char Char Char1115"/>
    <w:uiPriority w:val="99"/>
    <w:semiHidden/>
    <w:rPr>
      <w:rFonts w:ascii="Courier New" w:hAnsi="Courier New"/>
      <w:lang w:val="x-none" w:eastAsia="cs-CZ"/>
    </w:rPr>
  </w:style>
  <w:style w:type="character" w:customStyle="1" w:styleId="ObyajntextChar1113">
    <w:name w:val="Obyčajný text Char1113"/>
    <w:aliases w:val="Obyčajný text Char Char Char Char1114"/>
    <w:uiPriority w:val="99"/>
    <w:semiHidden/>
    <w:rPr>
      <w:rFonts w:ascii="Courier New" w:hAnsi="Courier New"/>
      <w:lang w:val="x-none" w:eastAsia="cs-CZ"/>
    </w:rPr>
  </w:style>
  <w:style w:type="character" w:customStyle="1" w:styleId="ObyajntextChar1112">
    <w:name w:val="Obyčajný text Char1112"/>
    <w:aliases w:val="Obyčajný text Char Char Char Char1113"/>
    <w:uiPriority w:val="99"/>
    <w:semiHidden/>
    <w:rPr>
      <w:rFonts w:ascii="Courier New" w:hAnsi="Courier New"/>
      <w:lang w:val="x-none" w:eastAsia="cs-CZ"/>
    </w:rPr>
  </w:style>
  <w:style w:type="character" w:customStyle="1" w:styleId="ObyajntextChar1111">
    <w:name w:val="Obyčajný text Char1111"/>
    <w:aliases w:val="Obyčajný text Char Char Char Char1112"/>
    <w:uiPriority w:val="99"/>
    <w:semiHidden/>
    <w:rPr>
      <w:rFonts w:ascii="Courier New" w:hAnsi="Courier New"/>
      <w:lang w:val="x-none" w:eastAsia="cs-CZ"/>
    </w:rPr>
  </w:style>
  <w:style w:type="character" w:customStyle="1" w:styleId="ObyajntextChar1110">
    <w:name w:val="Obyčajný text Char1110"/>
    <w:aliases w:val="Obyčajný text Char Char Char Char1111"/>
    <w:uiPriority w:val="99"/>
    <w:semiHidden/>
    <w:rPr>
      <w:rFonts w:ascii="Courier New" w:hAnsi="Courier New"/>
      <w:lang w:val="x-none" w:eastAsia="cs-CZ"/>
    </w:rPr>
  </w:style>
  <w:style w:type="character" w:customStyle="1" w:styleId="ObyajntextChar1109">
    <w:name w:val="Obyčajný text Char1109"/>
    <w:aliases w:val="Obyčajný text Char Char Char Char1110"/>
    <w:uiPriority w:val="99"/>
    <w:semiHidden/>
    <w:rPr>
      <w:rFonts w:ascii="Courier New" w:hAnsi="Courier New"/>
      <w:lang w:val="x-none" w:eastAsia="cs-CZ"/>
    </w:rPr>
  </w:style>
  <w:style w:type="character" w:customStyle="1" w:styleId="ObyajntextChar1108">
    <w:name w:val="Obyčajný text Char1108"/>
    <w:aliases w:val="Obyčajný text Char Char Char Char1109"/>
    <w:uiPriority w:val="99"/>
    <w:semiHidden/>
    <w:rPr>
      <w:rFonts w:ascii="Courier New" w:hAnsi="Courier New"/>
      <w:lang w:val="x-none" w:eastAsia="cs-CZ"/>
    </w:rPr>
  </w:style>
  <w:style w:type="character" w:customStyle="1" w:styleId="ObyajntextChar1107">
    <w:name w:val="Obyčajný text Char1107"/>
    <w:aliases w:val="Obyčajný text Char Char Char Char1108"/>
    <w:uiPriority w:val="99"/>
    <w:semiHidden/>
    <w:rPr>
      <w:rFonts w:ascii="Courier New" w:hAnsi="Courier New"/>
      <w:lang w:val="x-none" w:eastAsia="cs-CZ"/>
    </w:rPr>
  </w:style>
  <w:style w:type="character" w:customStyle="1" w:styleId="ObyajntextChar1106">
    <w:name w:val="Obyčajný text Char1106"/>
    <w:aliases w:val="Obyčajný text Char Char Char Char1107"/>
    <w:uiPriority w:val="99"/>
    <w:semiHidden/>
    <w:rPr>
      <w:rFonts w:ascii="Courier New" w:hAnsi="Courier New"/>
      <w:lang w:val="x-none" w:eastAsia="cs-CZ"/>
    </w:rPr>
  </w:style>
  <w:style w:type="character" w:customStyle="1" w:styleId="ObyajntextChar1105">
    <w:name w:val="Obyčajný text Char1105"/>
    <w:aliases w:val="Obyčajný text Char Char Char Char1106"/>
    <w:uiPriority w:val="99"/>
    <w:semiHidden/>
    <w:rPr>
      <w:rFonts w:ascii="Courier New" w:hAnsi="Courier New"/>
      <w:lang w:val="x-none" w:eastAsia="cs-CZ"/>
    </w:rPr>
  </w:style>
  <w:style w:type="character" w:customStyle="1" w:styleId="ObyajntextChar1104">
    <w:name w:val="Obyčajný text Char1104"/>
    <w:aliases w:val="Obyčajný text Char Char Char Char1105"/>
    <w:uiPriority w:val="99"/>
    <w:semiHidden/>
    <w:rPr>
      <w:rFonts w:ascii="Courier New" w:hAnsi="Courier New"/>
      <w:lang w:val="x-none" w:eastAsia="cs-CZ"/>
    </w:rPr>
  </w:style>
  <w:style w:type="character" w:customStyle="1" w:styleId="ObyajntextChar1103">
    <w:name w:val="Obyčajný text Char1103"/>
    <w:aliases w:val="Obyčajný text Char Char Char Char1104"/>
    <w:uiPriority w:val="99"/>
    <w:semiHidden/>
    <w:rPr>
      <w:rFonts w:ascii="Courier New" w:hAnsi="Courier New"/>
      <w:lang w:val="x-none" w:eastAsia="cs-CZ"/>
    </w:rPr>
  </w:style>
  <w:style w:type="character" w:customStyle="1" w:styleId="ObyajntextChar1102">
    <w:name w:val="Obyčajný text Char1102"/>
    <w:aliases w:val="Obyčajný text Char Char Char Char1103"/>
    <w:uiPriority w:val="99"/>
    <w:semiHidden/>
    <w:rPr>
      <w:rFonts w:ascii="Courier New" w:hAnsi="Courier New"/>
      <w:lang w:val="x-none" w:eastAsia="cs-CZ"/>
    </w:rPr>
  </w:style>
  <w:style w:type="character" w:customStyle="1" w:styleId="ObyajntextChar1101">
    <w:name w:val="Obyčajný text Char1101"/>
    <w:aliases w:val="Obyčajný text Char Char Char Char1102"/>
    <w:uiPriority w:val="99"/>
    <w:semiHidden/>
    <w:rPr>
      <w:rFonts w:ascii="Courier New" w:hAnsi="Courier New"/>
      <w:lang w:val="x-none" w:eastAsia="cs-CZ"/>
    </w:rPr>
  </w:style>
  <w:style w:type="character" w:customStyle="1" w:styleId="ObyajntextChar1100">
    <w:name w:val="Obyčajný text Char1100"/>
    <w:aliases w:val="Obyčajný text Char Char Char Char1101"/>
    <w:uiPriority w:val="99"/>
    <w:semiHidden/>
    <w:rPr>
      <w:rFonts w:ascii="Courier New" w:hAnsi="Courier New"/>
      <w:lang w:val="x-none" w:eastAsia="cs-CZ"/>
    </w:rPr>
  </w:style>
  <w:style w:type="character" w:customStyle="1" w:styleId="ObyajntextChar199">
    <w:name w:val="Obyčajný text Char199"/>
    <w:aliases w:val="Obyčajný text Char Char Char Char1100"/>
    <w:uiPriority w:val="99"/>
    <w:semiHidden/>
    <w:rPr>
      <w:rFonts w:ascii="Courier New" w:hAnsi="Courier New"/>
      <w:lang w:val="x-none" w:eastAsia="cs-CZ"/>
    </w:rPr>
  </w:style>
  <w:style w:type="character" w:customStyle="1" w:styleId="ObyajntextChar198">
    <w:name w:val="Obyčajný text Char198"/>
    <w:aliases w:val="Obyčajný text Char Char Char Char199"/>
    <w:uiPriority w:val="99"/>
    <w:semiHidden/>
    <w:rPr>
      <w:rFonts w:ascii="Courier New" w:hAnsi="Courier New"/>
      <w:lang w:val="x-none" w:eastAsia="cs-CZ"/>
    </w:rPr>
  </w:style>
  <w:style w:type="character" w:customStyle="1" w:styleId="ObyajntextChar197">
    <w:name w:val="Obyčajný text Char197"/>
    <w:aliases w:val="Obyčajný text Char Char Char Char198"/>
    <w:uiPriority w:val="99"/>
    <w:semiHidden/>
    <w:rPr>
      <w:rFonts w:ascii="Courier New" w:hAnsi="Courier New"/>
      <w:lang w:val="x-none" w:eastAsia="cs-CZ"/>
    </w:rPr>
  </w:style>
  <w:style w:type="character" w:customStyle="1" w:styleId="ObyajntextChar196">
    <w:name w:val="Obyčajný text Char196"/>
    <w:aliases w:val="Obyčajný text Char Char Char Char197"/>
    <w:uiPriority w:val="99"/>
    <w:semiHidden/>
    <w:rPr>
      <w:rFonts w:ascii="Courier New" w:hAnsi="Courier New"/>
      <w:lang w:val="x-none" w:eastAsia="cs-CZ"/>
    </w:rPr>
  </w:style>
  <w:style w:type="character" w:customStyle="1" w:styleId="ObyajntextChar195">
    <w:name w:val="Obyčajný text Char195"/>
    <w:aliases w:val="Obyčajný text Char Char Char Char196"/>
    <w:uiPriority w:val="99"/>
    <w:semiHidden/>
    <w:rPr>
      <w:rFonts w:ascii="Courier New" w:hAnsi="Courier New"/>
      <w:lang w:val="x-none" w:eastAsia="cs-CZ"/>
    </w:rPr>
  </w:style>
  <w:style w:type="character" w:customStyle="1" w:styleId="ObyajntextChar194">
    <w:name w:val="Obyčajný text Char194"/>
    <w:aliases w:val="Obyčajný text Char Char Char Char195"/>
    <w:uiPriority w:val="99"/>
    <w:semiHidden/>
    <w:rPr>
      <w:rFonts w:ascii="Courier New" w:hAnsi="Courier New"/>
      <w:lang w:val="x-none" w:eastAsia="cs-CZ"/>
    </w:rPr>
  </w:style>
  <w:style w:type="character" w:customStyle="1" w:styleId="ObyajntextChar193">
    <w:name w:val="Obyčajný text Char193"/>
    <w:aliases w:val="Obyčajný text Char Char Char Char194"/>
    <w:uiPriority w:val="99"/>
    <w:semiHidden/>
    <w:rPr>
      <w:rFonts w:ascii="Courier New" w:hAnsi="Courier New"/>
      <w:lang w:val="x-none" w:eastAsia="cs-CZ"/>
    </w:rPr>
  </w:style>
  <w:style w:type="character" w:customStyle="1" w:styleId="ObyajntextChar192">
    <w:name w:val="Obyčajný text Char192"/>
    <w:aliases w:val="Obyčajný text Char Char Char Char193"/>
    <w:uiPriority w:val="99"/>
    <w:semiHidden/>
    <w:rPr>
      <w:rFonts w:ascii="Courier New" w:hAnsi="Courier New"/>
      <w:lang w:val="x-none" w:eastAsia="cs-CZ"/>
    </w:rPr>
  </w:style>
  <w:style w:type="character" w:customStyle="1" w:styleId="ObyajntextChar191">
    <w:name w:val="Obyčajný text Char191"/>
    <w:aliases w:val="Obyčajný text Char Char Char Char192"/>
    <w:uiPriority w:val="99"/>
    <w:semiHidden/>
    <w:rPr>
      <w:rFonts w:ascii="Courier New" w:hAnsi="Courier New"/>
      <w:lang w:val="x-none" w:eastAsia="cs-CZ"/>
    </w:rPr>
  </w:style>
  <w:style w:type="character" w:customStyle="1" w:styleId="ObyajntextChar190">
    <w:name w:val="Obyčajný text Char190"/>
    <w:aliases w:val="Obyčajný text Char Char Char Char191"/>
    <w:uiPriority w:val="99"/>
    <w:semiHidden/>
    <w:rPr>
      <w:rFonts w:ascii="Courier New" w:hAnsi="Courier New"/>
      <w:lang w:val="x-none" w:eastAsia="cs-CZ"/>
    </w:rPr>
  </w:style>
  <w:style w:type="character" w:customStyle="1" w:styleId="ObyajntextChar189">
    <w:name w:val="Obyčajný text Char189"/>
    <w:aliases w:val="Obyčajný text Char Char Char Char190"/>
    <w:uiPriority w:val="99"/>
    <w:semiHidden/>
    <w:rPr>
      <w:rFonts w:ascii="Courier New" w:hAnsi="Courier New"/>
      <w:lang w:val="x-none" w:eastAsia="cs-CZ"/>
    </w:rPr>
  </w:style>
  <w:style w:type="character" w:customStyle="1" w:styleId="ObyajntextChar188">
    <w:name w:val="Obyčajný text Char188"/>
    <w:aliases w:val="Obyčajný text Char Char Char Char189"/>
    <w:uiPriority w:val="99"/>
    <w:semiHidden/>
    <w:rPr>
      <w:rFonts w:ascii="Courier New" w:hAnsi="Courier New"/>
      <w:lang w:val="x-none" w:eastAsia="cs-CZ"/>
    </w:rPr>
  </w:style>
  <w:style w:type="character" w:customStyle="1" w:styleId="ObyajntextChar187">
    <w:name w:val="Obyčajný text Char187"/>
    <w:aliases w:val="Obyčajný text Char Char Char Char188"/>
    <w:uiPriority w:val="99"/>
    <w:semiHidden/>
    <w:rPr>
      <w:rFonts w:ascii="Courier New" w:hAnsi="Courier New"/>
      <w:lang w:val="x-none" w:eastAsia="cs-CZ"/>
    </w:rPr>
  </w:style>
  <w:style w:type="character" w:customStyle="1" w:styleId="ObyajntextChar186">
    <w:name w:val="Obyčajný text Char186"/>
    <w:aliases w:val="Obyčajný text Char Char Char Char187"/>
    <w:uiPriority w:val="99"/>
    <w:semiHidden/>
    <w:rPr>
      <w:rFonts w:ascii="Courier New" w:hAnsi="Courier New"/>
      <w:lang w:val="x-none" w:eastAsia="cs-CZ"/>
    </w:rPr>
  </w:style>
  <w:style w:type="character" w:customStyle="1" w:styleId="ObyajntextChar185">
    <w:name w:val="Obyčajný text Char185"/>
    <w:aliases w:val="Obyčajný text Char Char Char Char186"/>
    <w:uiPriority w:val="99"/>
    <w:semiHidden/>
    <w:rPr>
      <w:rFonts w:ascii="Courier New" w:hAnsi="Courier New"/>
      <w:lang w:val="x-none" w:eastAsia="cs-CZ"/>
    </w:rPr>
  </w:style>
  <w:style w:type="character" w:customStyle="1" w:styleId="ObyajntextChar184">
    <w:name w:val="Obyčajný text Char184"/>
    <w:aliases w:val="Obyčajný text Char Char Char Char185"/>
    <w:uiPriority w:val="99"/>
    <w:semiHidden/>
    <w:rPr>
      <w:rFonts w:ascii="Courier New" w:hAnsi="Courier New"/>
      <w:lang w:val="x-none" w:eastAsia="cs-CZ"/>
    </w:rPr>
  </w:style>
  <w:style w:type="character" w:customStyle="1" w:styleId="ObyajntextChar183">
    <w:name w:val="Obyčajný text Char183"/>
    <w:aliases w:val="Obyčajný text Char Char Char Char184"/>
    <w:uiPriority w:val="99"/>
    <w:semiHidden/>
    <w:rPr>
      <w:rFonts w:ascii="Courier New" w:hAnsi="Courier New"/>
      <w:lang w:val="x-none" w:eastAsia="cs-CZ"/>
    </w:rPr>
  </w:style>
  <w:style w:type="character" w:customStyle="1" w:styleId="ObyajntextChar182">
    <w:name w:val="Obyčajný text Char182"/>
    <w:aliases w:val="Obyčajný text Char Char Char Char183"/>
    <w:uiPriority w:val="99"/>
    <w:semiHidden/>
    <w:rPr>
      <w:rFonts w:ascii="Courier New" w:hAnsi="Courier New"/>
      <w:lang w:val="x-none" w:eastAsia="cs-CZ"/>
    </w:rPr>
  </w:style>
  <w:style w:type="character" w:customStyle="1" w:styleId="ObyajntextChar181">
    <w:name w:val="Obyčajný text Char181"/>
    <w:aliases w:val="Obyčajný text Char Char Char Char182"/>
    <w:uiPriority w:val="99"/>
    <w:semiHidden/>
    <w:rPr>
      <w:rFonts w:ascii="Courier New" w:hAnsi="Courier New"/>
      <w:lang w:val="x-none" w:eastAsia="cs-CZ"/>
    </w:rPr>
  </w:style>
  <w:style w:type="character" w:customStyle="1" w:styleId="ObyajntextChar180">
    <w:name w:val="Obyčajný text Char180"/>
    <w:aliases w:val="Obyčajný text Char Char Char Char181"/>
    <w:uiPriority w:val="99"/>
    <w:semiHidden/>
    <w:rPr>
      <w:rFonts w:ascii="Courier New" w:hAnsi="Courier New"/>
      <w:lang w:val="x-none" w:eastAsia="cs-CZ"/>
    </w:rPr>
  </w:style>
  <w:style w:type="character" w:customStyle="1" w:styleId="ObyajntextChar179">
    <w:name w:val="Obyčajný text Char179"/>
    <w:aliases w:val="Obyčajný text Char Char Char Char180"/>
    <w:uiPriority w:val="99"/>
    <w:semiHidden/>
    <w:rPr>
      <w:rFonts w:ascii="Courier New" w:hAnsi="Courier New"/>
      <w:lang w:val="x-none" w:eastAsia="cs-CZ"/>
    </w:rPr>
  </w:style>
  <w:style w:type="character" w:customStyle="1" w:styleId="ObyajntextChar178">
    <w:name w:val="Obyčajný text Char178"/>
    <w:aliases w:val="Obyčajný text Char Char Char Char179"/>
    <w:uiPriority w:val="99"/>
    <w:semiHidden/>
    <w:rPr>
      <w:rFonts w:ascii="Courier New" w:hAnsi="Courier New"/>
      <w:lang w:val="x-none" w:eastAsia="cs-CZ"/>
    </w:rPr>
  </w:style>
  <w:style w:type="character" w:customStyle="1" w:styleId="ObyajntextChar177">
    <w:name w:val="Obyčajný text Char177"/>
    <w:aliases w:val="Obyčajný text Char Char Char Char178"/>
    <w:uiPriority w:val="99"/>
    <w:semiHidden/>
    <w:rPr>
      <w:rFonts w:ascii="Courier New" w:hAnsi="Courier New"/>
      <w:lang w:val="x-none" w:eastAsia="cs-CZ"/>
    </w:rPr>
  </w:style>
  <w:style w:type="character" w:customStyle="1" w:styleId="ObyajntextChar176">
    <w:name w:val="Obyčajný text Char176"/>
    <w:aliases w:val="Obyčajný text Char Char Char Char177"/>
    <w:uiPriority w:val="99"/>
    <w:semiHidden/>
    <w:rPr>
      <w:rFonts w:ascii="Courier New" w:hAnsi="Courier New"/>
      <w:lang w:val="x-none" w:eastAsia="cs-CZ"/>
    </w:rPr>
  </w:style>
  <w:style w:type="character" w:customStyle="1" w:styleId="ObyajntextChar175">
    <w:name w:val="Obyčajný text Char175"/>
    <w:aliases w:val="Obyčajný text Char Char Char Char176"/>
    <w:uiPriority w:val="99"/>
    <w:semiHidden/>
    <w:rPr>
      <w:rFonts w:ascii="Courier New" w:hAnsi="Courier New"/>
      <w:lang w:val="x-none" w:eastAsia="cs-CZ"/>
    </w:rPr>
  </w:style>
  <w:style w:type="character" w:customStyle="1" w:styleId="ObyajntextChar174">
    <w:name w:val="Obyčajný text Char174"/>
    <w:aliases w:val="Obyčajný text Char Char Char Char175"/>
    <w:uiPriority w:val="99"/>
    <w:semiHidden/>
    <w:rPr>
      <w:rFonts w:ascii="Courier New" w:hAnsi="Courier New"/>
      <w:lang w:val="x-none" w:eastAsia="cs-CZ"/>
    </w:rPr>
  </w:style>
  <w:style w:type="character" w:customStyle="1" w:styleId="ObyajntextChar173">
    <w:name w:val="Obyčajný text Char173"/>
    <w:aliases w:val="Obyčajný text Char Char Char Char174"/>
    <w:uiPriority w:val="99"/>
    <w:semiHidden/>
    <w:rPr>
      <w:rFonts w:ascii="Courier New" w:hAnsi="Courier New"/>
      <w:lang w:val="x-none" w:eastAsia="cs-CZ"/>
    </w:rPr>
  </w:style>
  <w:style w:type="character" w:customStyle="1" w:styleId="ObyajntextChar172">
    <w:name w:val="Obyčajný text Char172"/>
    <w:aliases w:val="Obyčajný text Char Char Char Char173"/>
    <w:uiPriority w:val="99"/>
    <w:semiHidden/>
    <w:rPr>
      <w:rFonts w:ascii="Courier New" w:hAnsi="Courier New"/>
      <w:lang w:val="x-none" w:eastAsia="cs-CZ"/>
    </w:rPr>
  </w:style>
  <w:style w:type="character" w:customStyle="1" w:styleId="ObyajntextChar171">
    <w:name w:val="Obyčajný text Char171"/>
    <w:aliases w:val="Obyčajný text Char Char Char Char172"/>
    <w:uiPriority w:val="99"/>
    <w:semiHidden/>
    <w:rPr>
      <w:rFonts w:ascii="Courier New" w:hAnsi="Courier New"/>
      <w:lang w:val="x-none" w:eastAsia="cs-CZ"/>
    </w:rPr>
  </w:style>
  <w:style w:type="character" w:customStyle="1" w:styleId="ObyajntextChar170">
    <w:name w:val="Obyčajný text Char170"/>
    <w:aliases w:val="Obyčajný text Char Char Char Char171"/>
    <w:uiPriority w:val="99"/>
    <w:semiHidden/>
    <w:rPr>
      <w:rFonts w:ascii="Courier New" w:hAnsi="Courier New"/>
      <w:lang w:val="x-none" w:eastAsia="cs-CZ"/>
    </w:rPr>
  </w:style>
  <w:style w:type="character" w:customStyle="1" w:styleId="ObyajntextChar169">
    <w:name w:val="Obyčajný text Char169"/>
    <w:aliases w:val="Obyčajný text Char Char Char Char170"/>
    <w:uiPriority w:val="99"/>
    <w:semiHidden/>
    <w:rPr>
      <w:rFonts w:ascii="Courier New" w:hAnsi="Courier New"/>
      <w:lang w:val="x-none" w:eastAsia="cs-CZ"/>
    </w:rPr>
  </w:style>
  <w:style w:type="character" w:customStyle="1" w:styleId="ObyajntextChar168">
    <w:name w:val="Obyčajný text Char168"/>
    <w:aliases w:val="Obyčajný text Char Char Char Char169"/>
    <w:uiPriority w:val="99"/>
    <w:semiHidden/>
    <w:rPr>
      <w:rFonts w:ascii="Courier New" w:hAnsi="Courier New"/>
      <w:lang w:val="x-none" w:eastAsia="cs-CZ"/>
    </w:rPr>
  </w:style>
  <w:style w:type="character" w:customStyle="1" w:styleId="ObyajntextChar167">
    <w:name w:val="Obyčajný text Char167"/>
    <w:aliases w:val="Obyčajný text Char Char Char Char168"/>
    <w:uiPriority w:val="99"/>
    <w:semiHidden/>
    <w:rPr>
      <w:rFonts w:ascii="Courier New" w:hAnsi="Courier New"/>
      <w:lang w:val="x-none" w:eastAsia="cs-CZ"/>
    </w:rPr>
  </w:style>
  <w:style w:type="character" w:customStyle="1" w:styleId="ObyajntextChar166">
    <w:name w:val="Obyčajný text Char166"/>
    <w:aliases w:val="Obyčajný text Char Char Char Char167"/>
    <w:uiPriority w:val="99"/>
    <w:semiHidden/>
    <w:rPr>
      <w:rFonts w:ascii="Courier New" w:hAnsi="Courier New"/>
      <w:lang w:val="x-none" w:eastAsia="cs-CZ"/>
    </w:rPr>
  </w:style>
  <w:style w:type="character" w:customStyle="1" w:styleId="ObyajntextChar165">
    <w:name w:val="Obyčajný text Char165"/>
    <w:aliases w:val="Obyčajný text Char Char Char Char166"/>
    <w:uiPriority w:val="99"/>
    <w:semiHidden/>
    <w:rPr>
      <w:rFonts w:ascii="Courier New" w:hAnsi="Courier New"/>
      <w:lang w:val="x-none" w:eastAsia="cs-CZ"/>
    </w:rPr>
  </w:style>
  <w:style w:type="character" w:customStyle="1" w:styleId="ObyajntextChar164">
    <w:name w:val="Obyčajný text Char164"/>
    <w:aliases w:val="Obyčajný text Char Char Char Char165"/>
    <w:uiPriority w:val="99"/>
    <w:semiHidden/>
    <w:rPr>
      <w:rFonts w:ascii="Courier New" w:hAnsi="Courier New"/>
      <w:lang w:val="x-none" w:eastAsia="cs-CZ"/>
    </w:rPr>
  </w:style>
  <w:style w:type="character" w:customStyle="1" w:styleId="ObyajntextChar163">
    <w:name w:val="Obyčajný text Char163"/>
    <w:aliases w:val="Obyčajný text Char Char Char Char164"/>
    <w:uiPriority w:val="99"/>
    <w:semiHidden/>
    <w:rPr>
      <w:rFonts w:ascii="Courier New" w:hAnsi="Courier New"/>
      <w:lang w:val="x-none" w:eastAsia="cs-CZ"/>
    </w:rPr>
  </w:style>
  <w:style w:type="character" w:customStyle="1" w:styleId="ObyajntextChar162">
    <w:name w:val="Obyčajný text Char162"/>
    <w:aliases w:val="Obyčajný text Char Char Char Char163"/>
    <w:uiPriority w:val="99"/>
    <w:semiHidden/>
    <w:rPr>
      <w:rFonts w:ascii="Courier New" w:hAnsi="Courier New"/>
      <w:lang w:val="x-none" w:eastAsia="cs-CZ"/>
    </w:rPr>
  </w:style>
  <w:style w:type="character" w:customStyle="1" w:styleId="ObyajntextChar161">
    <w:name w:val="Obyčajný text Char161"/>
    <w:aliases w:val="Obyčajný text Char Char Char Char162"/>
    <w:uiPriority w:val="99"/>
    <w:semiHidden/>
    <w:rPr>
      <w:rFonts w:ascii="Courier New" w:hAnsi="Courier New"/>
      <w:lang w:val="x-none" w:eastAsia="cs-CZ"/>
    </w:rPr>
  </w:style>
  <w:style w:type="character" w:customStyle="1" w:styleId="ObyajntextChar160">
    <w:name w:val="Obyčajný text Char160"/>
    <w:aliases w:val="Obyčajný text Char Char Char Char161"/>
    <w:uiPriority w:val="99"/>
    <w:semiHidden/>
    <w:rPr>
      <w:rFonts w:ascii="Courier New" w:hAnsi="Courier New"/>
      <w:lang w:val="x-none" w:eastAsia="cs-CZ"/>
    </w:rPr>
  </w:style>
  <w:style w:type="character" w:customStyle="1" w:styleId="ObyajntextChar159">
    <w:name w:val="Obyčajný text Char159"/>
    <w:aliases w:val="Obyčajný text Char Char Char Char160"/>
    <w:uiPriority w:val="99"/>
    <w:semiHidden/>
    <w:rPr>
      <w:rFonts w:ascii="Courier New" w:hAnsi="Courier New"/>
      <w:lang w:val="x-none" w:eastAsia="cs-CZ"/>
    </w:rPr>
  </w:style>
  <w:style w:type="character" w:customStyle="1" w:styleId="ObyajntextChar158">
    <w:name w:val="Obyčajný text Char158"/>
    <w:aliases w:val="Obyčajný text Char Char Char Char159"/>
    <w:uiPriority w:val="99"/>
    <w:semiHidden/>
    <w:rPr>
      <w:rFonts w:ascii="Courier New" w:hAnsi="Courier New"/>
      <w:lang w:val="x-none" w:eastAsia="cs-CZ"/>
    </w:rPr>
  </w:style>
  <w:style w:type="character" w:customStyle="1" w:styleId="ObyajntextChar157">
    <w:name w:val="Obyčajný text Char157"/>
    <w:aliases w:val="Obyčajný text Char Char Char Char158"/>
    <w:uiPriority w:val="99"/>
    <w:semiHidden/>
    <w:rPr>
      <w:rFonts w:ascii="Courier New" w:hAnsi="Courier New"/>
      <w:lang w:val="x-none" w:eastAsia="cs-CZ"/>
    </w:rPr>
  </w:style>
  <w:style w:type="character" w:customStyle="1" w:styleId="ObyajntextChar156">
    <w:name w:val="Obyčajný text Char156"/>
    <w:aliases w:val="Obyčajný text Char Char Char Char157"/>
    <w:uiPriority w:val="99"/>
    <w:semiHidden/>
    <w:rPr>
      <w:rFonts w:ascii="Courier New" w:hAnsi="Courier New"/>
      <w:lang w:val="x-none" w:eastAsia="cs-CZ"/>
    </w:rPr>
  </w:style>
  <w:style w:type="character" w:customStyle="1" w:styleId="ObyajntextChar155">
    <w:name w:val="Obyčajný text Char155"/>
    <w:aliases w:val="Obyčajný text Char Char Char Char156"/>
    <w:uiPriority w:val="99"/>
    <w:semiHidden/>
    <w:rPr>
      <w:rFonts w:ascii="Courier New" w:hAnsi="Courier New"/>
      <w:lang w:val="x-none" w:eastAsia="cs-CZ"/>
    </w:rPr>
  </w:style>
  <w:style w:type="character" w:customStyle="1" w:styleId="ObyajntextChar154">
    <w:name w:val="Obyčajný text Char154"/>
    <w:aliases w:val="Obyčajný text Char Char Char Char155"/>
    <w:uiPriority w:val="99"/>
    <w:semiHidden/>
    <w:rPr>
      <w:rFonts w:ascii="Courier New" w:hAnsi="Courier New"/>
      <w:lang w:val="x-none" w:eastAsia="cs-CZ"/>
    </w:rPr>
  </w:style>
  <w:style w:type="character" w:customStyle="1" w:styleId="ObyajntextChar153">
    <w:name w:val="Obyčajný text Char153"/>
    <w:aliases w:val="Obyčajný text Char Char Char Char154"/>
    <w:uiPriority w:val="99"/>
    <w:semiHidden/>
    <w:rPr>
      <w:rFonts w:ascii="Courier New" w:hAnsi="Courier New"/>
      <w:lang w:val="x-none" w:eastAsia="cs-CZ"/>
    </w:rPr>
  </w:style>
  <w:style w:type="character" w:customStyle="1" w:styleId="ObyajntextChar152">
    <w:name w:val="Obyčajný text Char152"/>
    <w:aliases w:val="Obyčajný text Char Char Char Char153"/>
    <w:uiPriority w:val="99"/>
    <w:semiHidden/>
    <w:rPr>
      <w:rFonts w:ascii="Courier New" w:hAnsi="Courier New"/>
      <w:lang w:val="x-none" w:eastAsia="cs-CZ"/>
    </w:rPr>
  </w:style>
  <w:style w:type="character" w:customStyle="1" w:styleId="ObyajntextChar151">
    <w:name w:val="Obyčajný text Char151"/>
    <w:aliases w:val="Obyčajný text Char Char Char Char152"/>
    <w:uiPriority w:val="99"/>
    <w:semiHidden/>
    <w:rPr>
      <w:rFonts w:ascii="Courier New" w:hAnsi="Courier New"/>
      <w:lang w:val="x-none" w:eastAsia="cs-CZ"/>
    </w:rPr>
  </w:style>
  <w:style w:type="character" w:customStyle="1" w:styleId="ObyajntextChar150">
    <w:name w:val="Obyčajný text Char150"/>
    <w:aliases w:val="Obyčajný text Char Char Char Char151"/>
    <w:uiPriority w:val="99"/>
    <w:semiHidden/>
    <w:rPr>
      <w:rFonts w:ascii="Courier New" w:hAnsi="Courier New"/>
      <w:lang w:val="x-none" w:eastAsia="cs-CZ"/>
    </w:rPr>
  </w:style>
  <w:style w:type="character" w:customStyle="1" w:styleId="ObyajntextChar149">
    <w:name w:val="Obyčajný text Char149"/>
    <w:aliases w:val="Obyčajný text Char Char Char Char150"/>
    <w:uiPriority w:val="99"/>
    <w:semiHidden/>
    <w:rPr>
      <w:rFonts w:ascii="Courier New" w:hAnsi="Courier New"/>
      <w:lang w:val="x-none" w:eastAsia="cs-CZ"/>
    </w:rPr>
  </w:style>
  <w:style w:type="character" w:customStyle="1" w:styleId="ObyajntextChar148">
    <w:name w:val="Obyčajný text Char148"/>
    <w:aliases w:val="Obyčajný text Char Char Char Char149"/>
    <w:uiPriority w:val="99"/>
    <w:semiHidden/>
    <w:rPr>
      <w:rFonts w:ascii="Courier New" w:hAnsi="Courier New"/>
      <w:lang w:val="x-none" w:eastAsia="cs-CZ"/>
    </w:rPr>
  </w:style>
  <w:style w:type="character" w:customStyle="1" w:styleId="ObyajntextChar147">
    <w:name w:val="Obyčajný text Char147"/>
    <w:aliases w:val="Obyčajný text Char Char Char Char148"/>
    <w:uiPriority w:val="99"/>
    <w:semiHidden/>
    <w:rPr>
      <w:rFonts w:ascii="Courier New" w:hAnsi="Courier New"/>
      <w:lang w:val="x-none" w:eastAsia="cs-CZ"/>
    </w:rPr>
  </w:style>
  <w:style w:type="character" w:customStyle="1" w:styleId="ObyajntextChar146">
    <w:name w:val="Obyčajný text Char146"/>
    <w:aliases w:val="Obyčajný text Char Char Char Char147"/>
    <w:uiPriority w:val="99"/>
    <w:semiHidden/>
    <w:rPr>
      <w:rFonts w:ascii="Courier New" w:hAnsi="Courier New"/>
      <w:lang w:val="x-none" w:eastAsia="cs-CZ"/>
    </w:rPr>
  </w:style>
  <w:style w:type="character" w:customStyle="1" w:styleId="ObyajntextChar145">
    <w:name w:val="Obyčajný text Char145"/>
    <w:aliases w:val="Obyčajný text Char Char Char Char146"/>
    <w:uiPriority w:val="99"/>
    <w:semiHidden/>
    <w:rPr>
      <w:rFonts w:ascii="Courier New" w:hAnsi="Courier New"/>
      <w:lang w:val="x-none" w:eastAsia="cs-CZ"/>
    </w:rPr>
  </w:style>
  <w:style w:type="character" w:customStyle="1" w:styleId="ObyajntextChar144">
    <w:name w:val="Obyčajný text Char144"/>
    <w:aliases w:val="Obyčajný text Char Char Char Char145"/>
    <w:uiPriority w:val="99"/>
    <w:semiHidden/>
    <w:rPr>
      <w:rFonts w:ascii="Courier New" w:hAnsi="Courier New"/>
      <w:lang w:val="x-none" w:eastAsia="cs-CZ"/>
    </w:rPr>
  </w:style>
  <w:style w:type="character" w:customStyle="1" w:styleId="ObyajntextChar143">
    <w:name w:val="Obyčajný text Char143"/>
    <w:aliases w:val="Obyčajný text Char Char Char Char144"/>
    <w:uiPriority w:val="99"/>
    <w:semiHidden/>
    <w:rPr>
      <w:rFonts w:ascii="Courier New" w:hAnsi="Courier New"/>
      <w:lang w:val="x-none" w:eastAsia="cs-CZ"/>
    </w:rPr>
  </w:style>
  <w:style w:type="character" w:customStyle="1" w:styleId="ObyajntextChar142">
    <w:name w:val="Obyčajný text Char142"/>
    <w:aliases w:val="Obyčajný text Char Char Char Char143"/>
    <w:uiPriority w:val="99"/>
    <w:semiHidden/>
    <w:rPr>
      <w:rFonts w:ascii="Courier New" w:hAnsi="Courier New"/>
      <w:lang w:val="x-none" w:eastAsia="cs-CZ"/>
    </w:rPr>
  </w:style>
  <w:style w:type="character" w:customStyle="1" w:styleId="ObyajntextChar141">
    <w:name w:val="Obyčajný text Char141"/>
    <w:aliases w:val="Obyčajný text Char Char Char Char142"/>
    <w:uiPriority w:val="99"/>
    <w:semiHidden/>
    <w:rPr>
      <w:rFonts w:ascii="Courier New" w:hAnsi="Courier New"/>
      <w:lang w:val="x-none" w:eastAsia="cs-CZ"/>
    </w:rPr>
  </w:style>
  <w:style w:type="character" w:customStyle="1" w:styleId="ObyajntextChar140">
    <w:name w:val="Obyčajný text Char140"/>
    <w:aliases w:val="Obyčajný text Char Char Char Char141"/>
    <w:uiPriority w:val="99"/>
    <w:semiHidden/>
    <w:rPr>
      <w:rFonts w:ascii="Courier New" w:hAnsi="Courier New"/>
      <w:lang w:val="x-none" w:eastAsia="cs-CZ"/>
    </w:rPr>
  </w:style>
  <w:style w:type="character" w:customStyle="1" w:styleId="ObyajntextChar139">
    <w:name w:val="Obyčajný text Char139"/>
    <w:aliases w:val="Obyčajný text Char Char Char Char140"/>
    <w:uiPriority w:val="99"/>
    <w:semiHidden/>
    <w:rPr>
      <w:rFonts w:ascii="Courier New" w:hAnsi="Courier New"/>
      <w:lang w:val="x-none" w:eastAsia="cs-CZ"/>
    </w:rPr>
  </w:style>
  <w:style w:type="character" w:customStyle="1" w:styleId="ObyajntextChar138">
    <w:name w:val="Obyčajný text Char138"/>
    <w:aliases w:val="Obyčajný text Char Char Char Char139"/>
    <w:uiPriority w:val="99"/>
    <w:semiHidden/>
    <w:rPr>
      <w:rFonts w:ascii="Courier New" w:hAnsi="Courier New"/>
      <w:lang w:val="x-none" w:eastAsia="cs-CZ"/>
    </w:rPr>
  </w:style>
  <w:style w:type="character" w:customStyle="1" w:styleId="ObyajntextChar137">
    <w:name w:val="Obyčajný text Char137"/>
    <w:aliases w:val="Obyčajný text Char Char Char Char138"/>
    <w:uiPriority w:val="99"/>
    <w:semiHidden/>
    <w:rPr>
      <w:rFonts w:ascii="Courier New" w:hAnsi="Courier New"/>
      <w:lang w:val="x-none" w:eastAsia="cs-CZ"/>
    </w:rPr>
  </w:style>
  <w:style w:type="character" w:customStyle="1" w:styleId="ObyajntextChar136">
    <w:name w:val="Obyčajný text Char136"/>
    <w:aliases w:val="Obyčajný text Char Char Char Char137"/>
    <w:uiPriority w:val="99"/>
    <w:semiHidden/>
    <w:rPr>
      <w:rFonts w:ascii="Courier New" w:hAnsi="Courier New"/>
      <w:lang w:val="x-none" w:eastAsia="cs-CZ"/>
    </w:rPr>
  </w:style>
  <w:style w:type="character" w:customStyle="1" w:styleId="ObyajntextChar135">
    <w:name w:val="Obyčajný text Char135"/>
    <w:aliases w:val="Obyčajný text Char Char Char Char136"/>
    <w:uiPriority w:val="99"/>
    <w:semiHidden/>
    <w:rPr>
      <w:rFonts w:ascii="Courier New" w:hAnsi="Courier New"/>
      <w:lang w:val="x-none" w:eastAsia="cs-CZ"/>
    </w:rPr>
  </w:style>
  <w:style w:type="character" w:customStyle="1" w:styleId="ObyajntextChar134">
    <w:name w:val="Obyčajný text Char134"/>
    <w:aliases w:val="Obyčajný text Char Char Char Char135"/>
    <w:uiPriority w:val="99"/>
    <w:semiHidden/>
    <w:rPr>
      <w:rFonts w:ascii="Courier New" w:hAnsi="Courier New"/>
      <w:lang w:val="x-none" w:eastAsia="cs-CZ"/>
    </w:rPr>
  </w:style>
  <w:style w:type="character" w:customStyle="1" w:styleId="ObyajntextChar133">
    <w:name w:val="Obyčajný text Char133"/>
    <w:aliases w:val="Obyčajný text Char Char Char Char134"/>
    <w:uiPriority w:val="99"/>
    <w:semiHidden/>
    <w:rPr>
      <w:rFonts w:ascii="Courier New" w:hAnsi="Courier New"/>
      <w:lang w:val="x-none" w:eastAsia="cs-CZ"/>
    </w:rPr>
  </w:style>
  <w:style w:type="character" w:customStyle="1" w:styleId="ObyajntextChar132">
    <w:name w:val="Obyčajný text Char132"/>
    <w:aliases w:val="Obyčajný text Char Char Char Char133"/>
    <w:uiPriority w:val="99"/>
    <w:semiHidden/>
    <w:rPr>
      <w:rFonts w:ascii="Courier New" w:hAnsi="Courier New"/>
      <w:lang w:val="x-none" w:eastAsia="cs-CZ"/>
    </w:rPr>
  </w:style>
  <w:style w:type="character" w:customStyle="1" w:styleId="ObyajntextChar131">
    <w:name w:val="Obyčajný text Char131"/>
    <w:aliases w:val="Obyčajný text Char Char Char Char132"/>
    <w:uiPriority w:val="99"/>
    <w:semiHidden/>
    <w:rPr>
      <w:rFonts w:ascii="Courier New" w:hAnsi="Courier New"/>
      <w:lang w:val="x-none" w:eastAsia="cs-CZ"/>
    </w:rPr>
  </w:style>
  <w:style w:type="character" w:customStyle="1" w:styleId="ObyajntextChar130">
    <w:name w:val="Obyčajný text Char130"/>
    <w:aliases w:val="Obyčajný text Char Char Char Char131"/>
    <w:uiPriority w:val="99"/>
    <w:semiHidden/>
    <w:rPr>
      <w:rFonts w:ascii="Courier New" w:hAnsi="Courier New"/>
      <w:lang w:val="x-none" w:eastAsia="cs-CZ"/>
    </w:rPr>
  </w:style>
  <w:style w:type="character" w:customStyle="1" w:styleId="ObyajntextChar129">
    <w:name w:val="Obyčajný text Char129"/>
    <w:aliases w:val="Obyčajný text Char Char Char Char130"/>
    <w:uiPriority w:val="99"/>
    <w:semiHidden/>
    <w:rPr>
      <w:rFonts w:ascii="Courier New" w:hAnsi="Courier New"/>
      <w:lang w:val="x-none" w:eastAsia="cs-CZ"/>
    </w:rPr>
  </w:style>
  <w:style w:type="character" w:customStyle="1" w:styleId="ObyajntextChar128">
    <w:name w:val="Obyčajný text Char128"/>
    <w:aliases w:val="Obyčajný text Char Char Char Char129"/>
    <w:uiPriority w:val="99"/>
    <w:semiHidden/>
    <w:rPr>
      <w:rFonts w:ascii="Courier New" w:hAnsi="Courier New"/>
      <w:lang w:val="x-none" w:eastAsia="cs-CZ"/>
    </w:rPr>
  </w:style>
  <w:style w:type="character" w:customStyle="1" w:styleId="ObyajntextChar127">
    <w:name w:val="Obyčajný text Char127"/>
    <w:aliases w:val="Obyčajný text Char Char Char Char128"/>
    <w:uiPriority w:val="99"/>
    <w:semiHidden/>
    <w:rPr>
      <w:rFonts w:ascii="Courier New" w:hAnsi="Courier New"/>
      <w:lang w:val="x-none" w:eastAsia="cs-CZ"/>
    </w:rPr>
  </w:style>
  <w:style w:type="character" w:customStyle="1" w:styleId="ObyajntextChar126">
    <w:name w:val="Obyčajný text Char126"/>
    <w:aliases w:val="Obyčajný text Char Char Char Char127"/>
    <w:uiPriority w:val="99"/>
    <w:semiHidden/>
    <w:rPr>
      <w:rFonts w:ascii="Courier New" w:hAnsi="Courier New"/>
      <w:lang w:val="x-none" w:eastAsia="cs-CZ"/>
    </w:rPr>
  </w:style>
  <w:style w:type="character" w:customStyle="1" w:styleId="ObyajntextChar125">
    <w:name w:val="Obyčajný text Char125"/>
    <w:aliases w:val="Obyčajný text Char Char Char Char126"/>
    <w:uiPriority w:val="99"/>
    <w:semiHidden/>
    <w:rPr>
      <w:rFonts w:ascii="Courier New" w:hAnsi="Courier New"/>
      <w:lang w:val="x-none" w:eastAsia="cs-CZ"/>
    </w:rPr>
  </w:style>
  <w:style w:type="character" w:customStyle="1" w:styleId="ObyajntextChar124">
    <w:name w:val="Obyčajný text Char124"/>
    <w:aliases w:val="Obyčajný text Char Char Char Char125"/>
    <w:uiPriority w:val="99"/>
    <w:semiHidden/>
    <w:rPr>
      <w:rFonts w:ascii="Courier New" w:hAnsi="Courier New"/>
      <w:lang w:val="x-none" w:eastAsia="cs-CZ"/>
    </w:rPr>
  </w:style>
  <w:style w:type="character" w:customStyle="1" w:styleId="ObyajntextChar123">
    <w:name w:val="Obyčajný text Char123"/>
    <w:aliases w:val="Obyčajný text Char Char Char Char124"/>
    <w:uiPriority w:val="99"/>
    <w:semiHidden/>
    <w:rPr>
      <w:rFonts w:ascii="Courier New" w:hAnsi="Courier New"/>
      <w:lang w:val="x-none" w:eastAsia="cs-CZ"/>
    </w:rPr>
  </w:style>
  <w:style w:type="character" w:customStyle="1" w:styleId="ObyajntextChar122">
    <w:name w:val="Obyčajný text Char122"/>
    <w:aliases w:val="Obyčajný text Char Char Char Char123"/>
    <w:uiPriority w:val="99"/>
    <w:semiHidden/>
    <w:rPr>
      <w:rFonts w:ascii="Courier New" w:hAnsi="Courier New"/>
      <w:lang w:val="x-none" w:eastAsia="cs-CZ"/>
    </w:rPr>
  </w:style>
  <w:style w:type="character" w:customStyle="1" w:styleId="ObyajntextChar121">
    <w:name w:val="Obyčajný text Char121"/>
    <w:aliases w:val="Obyčajný text Char Char Char Char122"/>
    <w:uiPriority w:val="99"/>
    <w:semiHidden/>
    <w:rPr>
      <w:rFonts w:ascii="Courier New" w:hAnsi="Courier New"/>
      <w:lang w:val="x-none" w:eastAsia="cs-CZ"/>
    </w:rPr>
  </w:style>
  <w:style w:type="character" w:customStyle="1" w:styleId="ObyajntextChar120">
    <w:name w:val="Obyčajný text Char120"/>
    <w:aliases w:val="Obyčajný text Char Char Char Char121"/>
    <w:uiPriority w:val="99"/>
    <w:semiHidden/>
    <w:rPr>
      <w:rFonts w:ascii="Courier New" w:hAnsi="Courier New"/>
      <w:lang w:val="x-none" w:eastAsia="cs-CZ"/>
    </w:rPr>
  </w:style>
  <w:style w:type="character" w:customStyle="1" w:styleId="ObyajntextChar119">
    <w:name w:val="Obyčajný text Char119"/>
    <w:aliases w:val="Obyčajný text Char Char Char Char120"/>
    <w:uiPriority w:val="99"/>
    <w:semiHidden/>
    <w:rPr>
      <w:rFonts w:ascii="Courier New" w:hAnsi="Courier New"/>
      <w:lang w:val="x-none" w:eastAsia="cs-CZ"/>
    </w:rPr>
  </w:style>
  <w:style w:type="character" w:customStyle="1" w:styleId="ObyajntextChar118">
    <w:name w:val="Obyčajný text Char118"/>
    <w:aliases w:val="Obyčajný text Char Char Char Char119"/>
    <w:uiPriority w:val="99"/>
    <w:semiHidden/>
    <w:rPr>
      <w:rFonts w:ascii="Courier New" w:hAnsi="Courier New"/>
      <w:lang w:val="x-none" w:eastAsia="cs-CZ"/>
    </w:rPr>
  </w:style>
  <w:style w:type="character" w:customStyle="1" w:styleId="ObyajntextChar117">
    <w:name w:val="Obyčajný text Char117"/>
    <w:aliases w:val="Obyčajný text Char Char Char Char118"/>
    <w:uiPriority w:val="99"/>
    <w:semiHidden/>
    <w:rPr>
      <w:rFonts w:ascii="Courier New" w:hAnsi="Courier New"/>
      <w:lang w:val="x-none" w:eastAsia="cs-CZ"/>
    </w:rPr>
  </w:style>
  <w:style w:type="character" w:customStyle="1" w:styleId="ObyajntextChar116">
    <w:name w:val="Obyčajný text Char116"/>
    <w:aliases w:val="Obyčajný text Char Char Char Char117"/>
    <w:uiPriority w:val="99"/>
    <w:semiHidden/>
    <w:rPr>
      <w:rFonts w:ascii="Courier New" w:hAnsi="Courier New"/>
      <w:lang w:val="x-none" w:eastAsia="cs-CZ"/>
    </w:rPr>
  </w:style>
  <w:style w:type="character" w:customStyle="1" w:styleId="ObyajntextChar115">
    <w:name w:val="Obyčajný text Char115"/>
    <w:aliases w:val="Obyčajný text Char Char Char Char116"/>
    <w:uiPriority w:val="99"/>
    <w:semiHidden/>
    <w:rPr>
      <w:rFonts w:ascii="Courier New" w:hAnsi="Courier New"/>
      <w:lang w:val="x-none" w:eastAsia="cs-CZ"/>
    </w:rPr>
  </w:style>
  <w:style w:type="character" w:customStyle="1" w:styleId="ObyajntextChar114">
    <w:name w:val="Obyčajný text Char114"/>
    <w:aliases w:val="Obyčajný text Char Char Char Char115"/>
    <w:uiPriority w:val="99"/>
    <w:semiHidden/>
    <w:rPr>
      <w:rFonts w:ascii="Courier New" w:hAnsi="Courier New"/>
      <w:lang w:val="x-none" w:eastAsia="cs-CZ"/>
    </w:rPr>
  </w:style>
  <w:style w:type="character" w:customStyle="1" w:styleId="ObyajntextChar113">
    <w:name w:val="Obyčajný text Char113"/>
    <w:aliases w:val="Obyčajný text Char Char Char Char114"/>
    <w:uiPriority w:val="99"/>
    <w:semiHidden/>
    <w:rPr>
      <w:rFonts w:ascii="Courier New" w:hAnsi="Courier New"/>
      <w:lang w:val="x-none" w:eastAsia="cs-CZ"/>
    </w:rPr>
  </w:style>
  <w:style w:type="character" w:customStyle="1" w:styleId="ObyajntextChar112">
    <w:name w:val="Obyčajný text Char112"/>
    <w:aliases w:val="Obyčajný text Char Char Char Char113"/>
    <w:uiPriority w:val="99"/>
    <w:semiHidden/>
    <w:rPr>
      <w:rFonts w:ascii="Courier New" w:hAnsi="Courier New"/>
      <w:lang w:val="x-none" w:eastAsia="cs-CZ"/>
    </w:rPr>
  </w:style>
  <w:style w:type="character" w:customStyle="1" w:styleId="ObyajntextChar111">
    <w:name w:val="Obyčajný text Char111"/>
    <w:aliases w:val="Obyčajný text Char Char Char Char112"/>
    <w:uiPriority w:val="99"/>
    <w:semiHidden/>
    <w:rPr>
      <w:rFonts w:ascii="Courier New" w:hAnsi="Courier New"/>
      <w:lang w:val="x-none" w:eastAsia="cs-CZ"/>
    </w:rPr>
  </w:style>
  <w:style w:type="character" w:customStyle="1" w:styleId="ObyajntextChar110">
    <w:name w:val="Obyčajný text Char110"/>
    <w:aliases w:val="Obyčajný text Char Char Char Char110"/>
    <w:uiPriority w:val="99"/>
    <w:semiHidden/>
    <w:rPr>
      <w:rFonts w:ascii="Courier New" w:hAnsi="Courier New"/>
      <w:lang w:val="x-none" w:eastAsia="cs-CZ"/>
    </w:rPr>
  </w:style>
  <w:style w:type="character" w:customStyle="1" w:styleId="ObyajntextChar19">
    <w:name w:val="Obyčajný text Char19"/>
    <w:aliases w:val="Obyčajný text Char Char Char Char19"/>
    <w:uiPriority w:val="99"/>
    <w:semiHidden/>
    <w:rPr>
      <w:rFonts w:ascii="Courier New" w:hAnsi="Courier New"/>
      <w:lang w:val="x-none" w:eastAsia="cs-CZ"/>
    </w:rPr>
  </w:style>
  <w:style w:type="character" w:customStyle="1" w:styleId="ObyajntextChar18">
    <w:name w:val="Obyčajný text Char18"/>
    <w:aliases w:val="Obyčajný text Char Char Char Char18"/>
    <w:uiPriority w:val="99"/>
    <w:semiHidden/>
    <w:rPr>
      <w:rFonts w:ascii="Courier New" w:hAnsi="Courier New"/>
      <w:lang w:val="x-none" w:eastAsia="cs-CZ"/>
    </w:rPr>
  </w:style>
  <w:style w:type="character" w:customStyle="1" w:styleId="ObyajntextChar17">
    <w:name w:val="Obyčajný text Char17"/>
    <w:aliases w:val="Obyčajný text Char Char Char Char17"/>
    <w:uiPriority w:val="99"/>
    <w:semiHidden/>
    <w:rPr>
      <w:rFonts w:ascii="Courier New" w:hAnsi="Courier New"/>
      <w:lang w:val="x-none" w:eastAsia="cs-CZ"/>
    </w:rPr>
  </w:style>
  <w:style w:type="character" w:customStyle="1" w:styleId="ObyajntextChar16">
    <w:name w:val="Obyčajný text Char16"/>
    <w:aliases w:val="Obyčajný text Char Char Char Char16"/>
    <w:uiPriority w:val="99"/>
    <w:semiHidden/>
    <w:rPr>
      <w:rFonts w:ascii="Courier New" w:hAnsi="Courier New"/>
      <w:lang w:val="x-none" w:eastAsia="cs-CZ"/>
    </w:rPr>
  </w:style>
  <w:style w:type="character" w:customStyle="1" w:styleId="ObyajntextChar15">
    <w:name w:val="Obyčajný text Char15"/>
    <w:aliases w:val="Obyčajný text Char Char Char Char15"/>
    <w:uiPriority w:val="99"/>
    <w:semiHidden/>
    <w:rPr>
      <w:rFonts w:ascii="Courier New" w:hAnsi="Courier New"/>
      <w:lang w:val="x-none" w:eastAsia="cs-CZ"/>
    </w:rPr>
  </w:style>
  <w:style w:type="character" w:customStyle="1" w:styleId="ObyajntextChar14">
    <w:name w:val="Obyčajný text Char14"/>
    <w:aliases w:val="Obyčajný text Char Char Char Char14"/>
    <w:uiPriority w:val="99"/>
    <w:semiHidden/>
    <w:rPr>
      <w:rFonts w:ascii="Courier New" w:hAnsi="Courier New"/>
      <w:lang w:val="x-none" w:eastAsia="cs-CZ"/>
    </w:rPr>
  </w:style>
  <w:style w:type="character" w:customStyle="1" w:styleId="ObyajntextChar13">
    <w:name w:val="Obyčajný text Char13"/>
    <w:aliases w:val="Obyčajný text Char Char Char Char13"/>
    <w:uiPriority w:val="99"/>
    <w:semiHidden/>
    <w:rPr>
      <w:rFonts w:ascii="Courier New" w:hAnsi="Courier New"/>
      <w:lang w:val="x-none" w:eastAsia="cs-CZ"/>
    </w:rPr>
  </w:style>
  <w:style w:type="character" w:customStyle="1" w:styleId="ObyajntextChar12">
    <w:name w:val="Obyčajný text Char12"/>
    <w:aliases w:val="Obyčajný text Char Char Char Char12"/>
    <w:uiPriority w:val="99"/>
    <w:semiHidden/>
    <w:rPr>
      <w:rFonts w:ascii="Courier New" w:hAnsi="Courier New"/>
      <w:lang w:val="x-none" w:eastAsia="cs-CZ"/>
    </w:rPr>
  </w:style>
  <w:style w:type="character" w:customStyle="1" w:styleId="ObyajntextChar11">
    <w:name w:val="Obyčajný text Char11"/>
    <w:aliases w:val="Obyčajný text Char Char Char Char11,Obyčajný text Char Char Char Char111"/>
    <w:uiPriority w:val="99"/>
    <w:semiHidden/>
    <w:rsid w:val="00992BC9"/>
    <w:rPr>
      <w:rFonts w:ascii="Courier New" w:hAnsi="Courier New"/>
      <w:lang w:val="x-none" w:eastAsia="cs-CZ"/>
    </w:rPr>
  </w:style>
  <w:style w:type="paragraph" w:customStyle="1" w:styleId="CharCharCharCharCharCharCharCharCharCharChar">
    <w:name w:val="Char Char Char Char Char Char Char Char Char Char Char"/>
    <w:basedOn w:val="Normlny"/>
    <w:uiPriority w:val="99"/>
    <w:qFormat/>
    <w:rsid w:val="00992BC9"/>
    <w:pPr>
      <w:spacing w:after="160" w:line="240" w:lineRule="exact"/>
    </w:pPr>
    <w:rPr>
      <w:rFonts w:ascii="Tahoma" w:hAnsi="Tahoma" w:cs="Tahoma"/>
      <w:sz w:val="20"/>
      <w:szCs w:val="20"/>
      <w:lang w:val="en-US" w:eastAsia="en-US"/>
    </w:rPr>
  </w:style>
  <w:style w:type="paragraph" w:styleId="Nzov">
    <w:name w:val="Title"/>
    <w:basedOn w:val="Normlny"/>
    <w:link w:val="NzovChar"/>
    <w:uiPriority w:val="99"/>
    <w:qFormat/>
    <w:rsid w:val="00992BC9"/>
    <w:pPr>
      <w:jc w:val="center"/>
    </w:pPr>
    <w:rPr>
      <w:rFonts w:ascii="Arial Black" w:hAnsi="Arial Black" w:cs="Times New Roman"/>
      <w:b/>
      <w:bCs/>
    </w:rPr>
  </w:style>
  <w:style w:type="character" w:customStyle="1" w:styleId="NzovChar">
    <w:name w:val="Názov Char"/>
    <w:basedOn w:val="Predvolenpsmoodseku"/>
    <w:link w:val="Nzov"/>
    <w:uiPriority w:val="99"/>
    <w:locked/>
    <w:rsid w:val="00992BC9"/>
    <w:rPr>
      <w:rFonts w:ascii="Arial Black" w:hAnsi="Arial Black" w:cs="Times New Roman"/>
      <w:b/>
      <w:sz w:val="24"/>
    </w:rPr>
  </w:style>
  <w:style w:type="paragraph" w:customStyle="1" w:styleId="CharCharCharCharChar">
    <w:name w:val="Char Char Char Char Char"/>
    <w:basedOn w:val="Normlny"/>
    <w:uiPriority w:val="99"/>
    <w:qFormat/>
    <w:rsid w:val="00992BC9"/>
    <w:pPr>
      <w:spacing w:after="160" w:line="240" w:lineRule="exact"/>
    </w:pPr>
    <w:rPr>
      <w:rFonts w:ascii="Tahoma" w:hAnsi="Tahoma" w:cs="Tahoma"/>
      <w:sz w:val="20"/>
      <w:szCs w:val="20"/>
      <w:lang w:val="en-US" w:eastAsia="en-US"/>
    </w:rPr>
  </w:style>
  <w:style w:type="character" w:customStyle="1" w:styleId="Heading2Char">
    <w:name w:val="Heading 2 Char"/>
    <w:uiPriority w:val="99"/>
    <w:rsid w:val="00992BC9"/>
    <w:rPr>
      <w:rFonts w:ascii="Arial" w:hAnsi="Arial"/>
      <w:b/>
      <w:i/>
      <w:sz w:val="28"/>
      <w:lang w:val="x-none" w:eastAsia="cs-CZ"/>
    </w:rPr>
  </w:style>
  <w:style w:type="character" w:customStyle="1" w:styleId="ZarkazkladnhotextuChar1">
    <w:name w:val="Zarážka základného textu Char1"/>
    <w:aliases w:val="Char8 Char Char1"/>
    <w:uiPriority w:val="99"/>
    <w:rsid w:val="00992BC9"/>
    <w:rPr>
      <w:rFonts w:ascii="Courier" w:hAnsi="Courier"/>
      <w:sz w:val="24"/>
      <w:lang w:val="x-none" w:eastAsia="cs-CZ"/>
    </w:rPr>
  </w:style>
  <w:style w:type="character" w:customStyle="1" w:styleId="TitleChar">
    <w:name w:val="Title Char"/>
    <w:uiPriority w:val="99"/>
    <w:rsid w:val="00992BC9"/>
    <w:rPr>
      <w:rFonts w:ascii="Arial Black" w:hAnsi="Arial Black"/>
      <w:b/>
      <w:sz w:val="24"/>
      <w:lang w:val="x-none" w:eastAsia="sk-SK"/>
    </w:rPr>
  </w:style>
  <w:style w:type="paragraph" w:styleId="Normlnywebov">
    <w:name w:val="Normal (Web)"/>
    <w:aliases w:val="webb"/>
    <w:basedOn w:val="Normlny"/>
    <w:uiPriority w:val="99"/>
    <w:unhideWhenUsed/>
    <w:qFormat/>
    <w:rsid w:val="00992BC9"/>
    <w:pPr>
      <w:spacing w:before="100" w:beforeAutospacing="1" w:after="100" w:afterAutospacing="1"/>
    </w:pPr>
    <w:rPr>
      <w:rFonts w:ascii="Times New Roman" w:hAnsi="Times New Roman" w:cs="Times New Roman"/>
      <w:lang w:eastAsia="sk-SK"/>
    </w:rPr>
  </w:style>
  <w:style w:type="paragraph" w:styleId="Hlavikaobsahu">
    <w:name w:val="TOC Heading"/>
    <w:basedOn w:val="Nadpis1"/>
    <w:next w:val="Normlny"/>
    <w:uiPriority w:val="39"/>
    <w:unhideWhenUsed/>
    <w:qFormat/>
    <w:rsid w:val="007520A4"/>
    <w:pPr>
      <w:keepLines/>
      <w:spacing w:before="480" w:after="0" w:line="276" w:lineRule="auto"/>
      <w:outlineLvl w:val="9"/>
    </w:pPr>
    <w:rPr>
      <w:rFonts w:ascii="Cambria" w:hAnsi="Cambria" w:cs="Times New Roman"/>
      <w:color w:val="365F91"/>
      <w:kern w:val="0"/>
      <w:sz w:val="28"/>
      <w:szCs w:val="28"/>
      <w:lang w:eastAsia="en-US"/>
    </w:rPr>
  </w:style>
  <w:style w:type="paragraph" w:styleId="Obsah1">
    <w:name w:val="toc 1"/>
    <w:basedOn w:val="Normlny"/>
    <w:next w:val="Normlny"/>
    <w:autoRedefine/>
    <w:uiPriority w:val="39"/>
    <w:unhideWhenUsed/>
    <w:rsid w:val="00BC4A93"/>
    <w:pPr>
      <w:tabs>
        <w:tab w:val="left" w:pos="284"/>
        <w:tab w:val="right" w:leader="dot" w:pos="9062"/>
      </w:tabs>
    </w:pPr>
    <w:rPr>
      <w:rFonts w:ascii="Times New Roman" w:hAnsi="Times New Roman" w:cs="Times New Roman"/>
      <w:b/>
      <w:noProof/>
    </w:rPr>
  </w:style>
  <w:style w:type="paragraph" w:styleId="Obsah2">
    <w:name w:val="toc 2"/>
    <w:basedOn w:val="Normlny"/>
    <w:next w:val="Normlny"/>
    <w:autoRedefine/>
    <w:uiPriority w:val="39"/>
    <w:unhideWhenUsed/>
    <w:rsid w:val="000516F8"/>
    <w:pPr>
      <w:tabs>
        <w:tab w:val="right" w:leader="dot" w:pos="9062"/>
      </w:tabs>
      <w:ind w:left="240"/>
    </w:pPr>
    <w:rPr>
      <w:rFonts w:ascii="Times New Roman" w:hAnsi="Times New Roman" w:cs="Times New Roman"/>
      <w:bCs/>
      <w:iCs/>
      <w:noProof/>
    </w:rPr>
  </w:style>
  <w:style w:type="character" w:customStyle="1" w:styleId="spanr">
    <w:name w:val="span_r"/>
    <w:rsid w:val="006F7083"/>
  </w:style>
  <w:style w:type="character" w:styleId="Siln">
    <w:name w:val="Strong"/>
    <w:basedOn w:val="Predvolenpsmoodseku"/>
    <w:uiPriority w:val="22"/>
    <w:qFormat/>
    <w:rsid w:val="006F7083"/>
    <w:rPr>
      <w:rFonts w:cs="Times New Roman"/>
      <w:b/>
    </w:rPr>
  </w:style>
  <w:style w:type="paragraph" w:customStyle="1" w:styleId="Char">
    <w:name w:val="Char"/>
    <w:basedOn w:val="Normlny"/>
    <w:qFormat/>
    <w:rsid w:val="006F7083"/>
    <w:pPr>
      <w:spacing w:after="160" w:line="240" w:lineRule="exact"/>
    </w:pPr>
    <w:rPr>
      <w:rFonts w:ascii="Tahoma" w:hAnsi="Tahoma" w:cs="Tahoma"/>
      <w:sz w:val="20"/>
      <w:szCs w:val="20"/>
      <w:lang w:val="en-US" w:eastAsia="en-US"/>
    </w:rPr>
  </w:style>
  <w:style w:type="character" w:customStyle="1" w:styleId="st1">
    <w:name w:val="st1"/>
    <w:rsid w:val="006F7083"/>
  </w:style>
  <w:style w:type="paragraph" w:customStyle="1" w:styleId="BodyText25">
    <w:name w:val="Body Text 25"/>
    <w:basedOn w:val="Normlny"/>
    <w:qFormat/>
    <w:rsid w:val="006F7083"/>
    <w:pPr>
      <w:overflowPunct w:val="0"/>
      <w:autoSpaceDE w:val="0"/>
      <w:autoSpaceDN w:val="0"/>
      <w:adjustRightInd w:val="0"/>
      <w:ind w:left="4111" w:hanging="3403"/>
      <w:textAlignment w:val="baseline"/>
    </w:pPr>
    <w:rPr>
      <w:rFonts w:ascii="Times New Roman" w:hAnsi="Times New Roman" w:cs="Times New Roman"/>
      <w:b/>
      <w:i/>
      <w:sz w:val="26"/>
      <w:szCs w:val="20"/>
      <w:lang w:eastAsia="sk-SK"/>
    </w:rPr>
  </w:style>
  <w:style w:type="table" w:styleId="Mriekatabuky">
    <w:name w:val="Table Grid"/>
    <w:basedOn w:val="Normlnatabuka"/>
    <w:uiPriority w:val="39"/>
    <w:rsid w:val="006F086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6D4ABC"/>
    <w:rPr>
      <w:rFonts w:ascii="Arial Narrow" w:hAnsi="Arial Narrow"/>
      <w:sz w:val="22"/>
      <w:szCs w:val="36"/>
      <w:lang w:eastAsia="en-US"/>
    </w:rPr>
  </w:style>
  <w:style w:type="character" w:styleId="PouitHypertextovPrepojenie">
    <w:name w:val="FollowedHyperlink"/>
    <w:basedOn w:val="Predvolenpsmoodseku"/>
    <w:uiPriority w:val="99"/>
    <w:semiHidden/>
    <w:unhideWhenUsed/>
    <w:rsid w:val="005313F8"/>
    <w:rPr>
      <w:rFonts w:cs="Times New Roman"/>
      <w:color w:val="800080"/>
      <w:u w:val="single"/>
    </w:rPr>
  </w:style>
  <w:style w:type="character" w:customStyle="1" w:styleId="Nadpis1Char1">
    <w:name w:val="Nadpis 1 Char1"/>
    <w:aliases w:val="Char5 Char Char1,Nadpis 1 Char Char Char1,Heading 1 Char Char Char Char Char Char1,Heading 1 Char Char Char Char Char2,Heading 1 Char Char Char Char2,Čo robí (časť) Char1"/>
    <w:rsid w:val="005313F8"/>
    <w:rPr>
      <w:rFonts w:ascii="Cambria" w:hAnsi="Cambria"/>
      <w:b/>
      <w:color w:val="365F91"/>
      <w:sz w:val="28"/>
      <w:lang w:val="x-none" w:eastAsia="cs-CZ"/>
    </w:rPr>
  </w:style>
  <w:style w:type="character" w:customStyle="1" w:styleId="Nadpis2Char1">
    <w:name w:val="Nadpis 2 Char1"/>
    <w:aliases w:val="Nadpis 2 Char Char Char Char2,Nadpis 2 Char Char Char Char Char1,Nadpis 2 Char Char Char2,Úloha Char1"/>
    <w:uiPriority w:val="99"/>
    <w:semiHidden/>
    <w:rsid w:val="005313F8"/>
    <w:rPr>
      <w:rFonts w:ascii="Cambria" w:hAnsi="Cambria"/>
      <w:b/>
      <w:color w:val="4F81BD"/>
      <w:sz w:val="26"/>
      <w:lang w:val="x-none" w:eastAsia="cs-CZ"/>
    </w:rPr>
  </w:style>
  <w:style w:type="character" w:customStyle="1" w:styleId="Nadpis3Char1">
    <w:name w:val="Nadpis 3 Char1"/>
    <w:aliases w:val="Char4 Char Char1,Nadpis 3 Char Char Char1,Heading 3 Char Char Char Char1,Podúloha Char1"/>
    <w:semiHidden/>
    <w:rsid w:val="005313F8"/>
    <w:rPr>
      <w:rFonts w:ascii="Cambria" w:hAnsi="Cambria"/>
      <w:b/>
      <w:color w:val="4F81BD"/>
      <w:sz w:val="24"/>
      <w:lang w:val="x-none" w:eastAsia="cs-CZ"/>
    </w:rPr>
  </w:style>
  <w:style w:type="character" w:customStyle="1" w:styleId="Nadpis4Char1">
    <w:name w:val="Nadpis 4 Char1"/>
    <w:aliases w:val="Char Char Char1,Nadpis 4 Char Char Char1,Heading 4 Char Char Char Char1,Termín Char1"/>
    <w:semiHidden/>
    <w:rsid w:val="005313F8"/>
    <w:rPr>
      <w:rFonts w:ascii="Cambria" w:hAnsi="Cambria"/>
      <w:b/>
      <w:i/>
      <w:color w:val="4F81BD"/>
      <w:sz w:val="24"/>
      <w:lang w:val="x-none" w:eastAsia="cs-CZ"/>
    </w:rPr>
  </w:style>
  <w:style w:type="character" w:customStyle="1" w:styleId="TextpoznmkypodiarouChar1">
    <w:name w:val="Text poznámky pod čiarou Char1"/>
    <w:aliases w:val="Footnote Text Char2 Char1,Footnote Text Char1 Char Char1,Footnote Text Char2 Char Char Char1,Footnote Text Char1 Char Char Char Char1,Footnote Text Char2 Char Char Char Char Char1,Footnote Text Char1 Char2"/>
    <w:semiHidden/>
    <w:rsid w:val="005313F8"/>
    <w:rPr>
      <w:rFonts w:ascii="Courier" w:hAnsi="Courier"/>
      <w:lang w:val="x-none" w:eastAsia="cs-CZ"/>
    </w:rPr>
  </w:style>
  <w:style w:type="character" w:customStyle="1" w:styleId="HlavikaChar1">
    <w:name w:val="Hlavička Char1"/>
    <w:aliases w:val="Hlavička Char Char Char Char1"/>
    <w:uiPriority w:val="99"/>
    <w:semiHidden/>
    <w:rsid w:val="005313F8"/>
    <w:rPr>
      <w:rFonts w:ascii="Courier" w:hAnsi="Courier"/>
      <w:sz w:val="24"/>
      <w:lang w:val="x-none" w:eastAsia="cs-CZ"/>
    </w:rPr>
  </w:style>
  <w:style w:type="character" w:customStyle="1" w:styleId="PtaChar1">
    <w:name w:val="Päta Char1"/>
    <w:aliases w:val="Char11 Char Char1,Päta Char Char Char1,Footer Char Char Char Char1"/>
    <w:uiPriority w:val="99"/>
    <w:semiHidden/>
    <w:rsid w:val="005313F8"/>
    <w:rPr>
      <w:rFonts w:ascii="Courier" w:hAnsi="Courier"/>
      <w:sz w:val="24"/>
      <w:lang w:val="x-none" w:eastAsia="cs-CZ"/>
    </w:rPr>
  </w:style>
  <w:style w:type="character" w:customStyle="1" w:styleId="ZkladntextChar1">
    <w:name w:val="Základný text Char1"/>
    <w:aliases w:val="Char14 Char Char Char1,Základný text Char Char Char1,Body Text Char Char Char Char Char Char1,Body Text Char Char Char Char Char2,Char14 Char Char2,Body Text Char Char Char Char2"/>
    <w:semiHidden/>
    <w:rsid w:val="005313F8"/>
    <w:rPr>
      <w:rFonts w:ascii="Courier" w:hAnsi="Courier"/>
      <w:sz w:val="24"/>
      <w:lang w:val="x-none" w:eastAsia="cs-CZ"/>
    </w:rPr>
  </w:style>
  <w:style w:type="character" w:customStyle="1" w:styleId="Zkladntext2Char1">
    <w:name w:val="Základný text 2 Char1"/>
    <w:aliases w:val="Základný text 2 Char Char Char1,Body Text 2 Char Char Char Char1"/>
    <w:uiPriority w:val="99"/>
    <w:semiHidden/>
    <w:rsid w:val="005313F8"/>
    <w:rPr>
      <w:rFonts w:ascii="Courier" w:hAnsi="Courier"/>
      <w:sz w:val="24"/>
      <w:lang w:val="x-none" w:eastAsia="cs-CZ"/>
    </w:rPr>
  </w:style>
  <w:style w:type="character" w:customStyle="1" w:styleId="Zarkazkladnhotextu2Char1">
    <w:name w:val="Zarážka základného textu 2 Char1"/>
    <w:aliases w:val="Char10 Char Char1,Zarážka základného textu 2 Char Char Char1,Body Text Indent 2 Char Char Char Char1"/>
    <w:uiPriority w:val="99"/>
    <w:semiHidden/>
    <w:rsid w:val="005313F8"/>
    <w:rPr>
      <w:rFonts w:ascii="Courier" w:hAnsi="Courier"/>
      <w:sz w:val="24"/>
      <w:lang w:val="x-none" w:eastAsia="cs-CZ"/>
    </w:rPr>
  </w:style>
  <w:style w:type="character" w:customStyle="1" w:styleId="Zarkazkladnhotextu3Char1">
    <w:name w:val="Zarážka základného textu 3 Char1"/>
    <w:aliases w:val="Char2 Char Char1,Zarážka základného textu 3 Char Char Char1,Body Text Indent 3 Char Char Char Char1"/>
    <w:uiPriority w:val="99"/>
    <w:semiHidden/>
    <w:rsid w:val="005313F8"/>
    <w:rPr>
      <w:rFonts w:ascii="Courier" w:hAnsi="Courier"/>
      <w:sz w:val="16"/>
      <w:lang w:val="x-none" w:eastAsia="cs-CZ"/>
    </w:rPr>
  </w:style>
  <w:style w:type="character" w:customStyle="1" w:styleId="TextbublinyChar1">
    <w:name w:val="Text bubliny Char1"/>
    <w:aliases w:val="Char13 Char Char1,Text bubliny Char Char Char1,Balloon Text Char Char Char1"/>
    <w:uiPriority w:val="99"/>
    <w:semiHidden/>
    <w:rsid w:val="005313F8"/>
    <w:rPr>
      <w:rFonts w:ascii="Tahoma" w:hAnsi="Tahoma"/>
      <w:sz w:val="16"/>
      <w:lang w:val="x-none" w:eastAsia="cs-CZ"/>
    </w:rPr>
  </w:style>
  <w:style w:type="character" w:styleId="Odkaznakomentr">
    <w:name w:val="annotation reference"/>
    <w:basedOn w:val="Predvolenpsmoodseku"/>
    <w:uiPriority w:val="99"/>
    <w:semiHidden/>
    <w:unhideWhenUsed/>
    <w:rsid w:val="000A6169"/>
    <w:rPr>
      <w:rFonts w:cs="Times New Roman"/>
      <w:sz w:val="16"/>
    </w:rPr>
  </w:style>
  <w:style w:type="character" w:customStyle="1" w:styleId="NzovChar1">
    <w:name w:val="Názov Char1"/>
    <w:uiPriority w:val="99"/>
    <w:rsid w:val="00043DCE"/>
    <w:rPr>
      <w:rFonts w:ascii="Arial Black" w:hAnsi="Arial Black"/>
      <w:b/>
      <w:sz w:val="24"/>
      <w:lang w:val="x-none" w:eastAsia="sk-SK"/>
    </w:rPr>
  </w:style>
  <w:style w:type="paragraph" w:styleId="Revzia">
    <w:name w:val="Revision"/>
    <w:hidden/>
    <w:uiPriority w:val="99"/>
    <w:semiHidden/>
    <w:rsid w:val="00043DCE"/>
    <w:rPr>
      <w:rFonts w:ascii="Courier" w:hAnsi="Courier" w:cs="Courier"/>
      <w:sz w:val="24"/>
      <w:szCs w:val="24"/>
      <w:lang w:eastAsia="cs-CZ"/>
    </w:rPr>
  </w:style>
  <w:style w:type="paragraph" w:customStyle="1" w:styleId="NormalList">
    <w:name w:val="NormalList"/>
    <w:basedOn w:val="Normlny"/>
    <w:qFormat/>
    <w:rsid w:val="00043DCE"/>
    <w:pPr>
      <w:jc w:val="both"/>
    </w:pPr>
    <w:rPr>
      <w:rFonts w:ascii="Arial Narrow" w:hAnsi="Arial Narrow" w:cs="Book Antiqua"/>
      <w:sz w:val="22"/>
      <w:szCs w:val="22"/>
      <w:lang w:eastAsia="en-US"/>
    </w:rPr>
  </w:style>
  <w:style w:type="paragraph" w:customStyle="1" w:styleId="Par-numbera">
    <w:name w:val="Par-number (a)"/>
    <w:basedOn w:val="Normlny"/>
    <w:qFormat/>
    <w:rsid w:val="00012093"/>
    <w:pPr>
      <w:spacing w:line="360" w:lineRule="auto"/>
    </w:pPr>
    <w:rPr>
      <w:rFonts w:ascii="Times New Roman" w:hAnsi="Times New Roman" w:cs="Times New Roman"/>
      <w:lang w:eastAsia="fr-BE"/>
    </w:rPr>
  </w:style>
  <w:style w:type="table" w:customStyle="1" w:styleId="Mriekatabuky1">
    <w:name w:val="Mriežka tabuľky1"/>
    <w:basedOn w:val="Normlnatabuka"/>
    <w:next w:val="Mriekatabuky"/>
    <w:uiPriority w:val="39"/>
    <w:rsid w:val="009D2A3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9D2A3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9D2A3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ktradokumentuChar1170">
    <w:name w:val="Štruktúra dokumentu Char1170"/>
    <w:aliases w:val="Char9 Char Char1171,Štruktúra dokumentu Char Char Char1171,Document Map Char Char Char1171"/>
    <w:uiPriority w:val="99"/>
    <w:semiHidden/>
    <w:rsid w:val="006B0C7A"/>
    <w:rPr>
      <w:rFonts w:ascii="Tahoma" w:hAnsi="Tahoma"/>
      <w:sz w:val="16"/>
      <w:lang w:val="x-none" w:eastAsia="cs-CZ"/>
    </w:rPr>
  </w:style>
  <w:style w:type="character" w:customStyle="1" w:styleId="truktradokumentuChar1169">
    <w:name w:val="Štruktúra dokumentu Char1169"/>
    <w:aliases w:val="Char9 Char Char1170,Štruktúra dokumentu Char Char Char1170,Document Map Char Char Char1170"/>
    <w:uiPriority w:val="99"/>
    <w:semiHidden/>
    <w:rsid w:val="006B0C7A"/>
    <w:rPr>
      <w:rFonts w:ascii="Tahoma" w:hAnsi="Tahoma"/>
      <w:sz w:val="16"/>
      <w:lang w:val="x-none" w:eastAsia="cs-CZ"/>
    </w:rPr>
  </w:style>
  <w:style w:type="character" w:customStyle="1" w:styleId="truktradokumentuChar1168">
    <w:name w:val="Štruktúra dokumentu Char1168"/>
    <w:aliases w:val="Char9 Char Char1169,Štruktúra dokumentu Char Char Char1169,Document Map Char Char Char1169"/>
    <w:uiPriority w:val="99"/>
    <w:semiHidden/>
    <w:rsid w:val="006B0C7A"/>
    <w:rPr>
      <w:rFonts w:ascii="Tahoma" w:hAnsi="Tahoma"/>
      <w:sz w:val="16"/>
      <w:lang w:val="x-none" w:eastAsia="cs-CZ"/>
    </w:rPr>
  </w:style>
  <w:style w:type="character" w:customStyle="1" w:styleId="truktradokumentuChar1167">
    <w:name w:val="Štruktúra dokumentu Char1167"/>
    <w:aliases w:val="Char9 Char Char1168,Štruktúra dokumentu Char Char Char1168,Document Map Char Char Char1168"/>
    <w:uiPriority w:val="99"/>
    <w:semiHidden/>
    <w:rsid w:val="006B0C7A"/>
    <w:rPr>
      <w:rFonts w:ascii="Tahoma" w:hAnsi="Tahoma"/>
      <w:sz w:val="16"/>
      <w:lang w:val="x-none" w:eastAsia="cs-CZ"/>
    </w:rPr>
  </w:style>
  <w:style w:type="character" w:customStyle="1" w:styleId="truktradokumentuChar1166">
    <w:name w:val="Štruktúra dokumentu Char1166"/>
    <w:aliases w:val="Char9 Char Char1167,Štruktúra dokumentu Char Char Char1167,Document Map Char Char Char1167"/>
    <w:uiPriority w:val="99"/>
    <w:semiHidden/>
    <w:rsid w:val="006B0C7A"/>
    <w:rPr>
      <w:rFonts w:ascii="Tahoma" w:hAnsi="Tahoma"/>
      <w:sz w:val="16"/>
      <w:lang w:val="x-none" w:eastAsia="cs-CZ"/>
    </w:rPr>
  </w:style>
  <w:style w:type="character" w:customStyle="1" w:styleId="TextkomentraChar1170">
    <w:name w:val="Text komentára Char1170"/>
    <w:aliases w:val="Char7 Char Char1171,Text komentára Char Char Char1171,Comment Text Char Char Char1171"/>
    <w:uiPriority w:val="99"/>
    <w:semiHidden/>
    <w:rsid w:val="006B0C7A"/>
    <w:rPr>
      <w:rFonts w:ascii="Courier" w:hAnsi="Courier"/>
      <w:lang w:val="x-none" w:eastAsia="cs-CZ"/>
    </w:rPr>
  </w:style>
  <w:style w:type="character" w:customStyle="1" w:styleId="TextkomentraChar1169">
    <w:name w:val="Text komentára Char1169"/>
    <w:aliases w:val="Char7 Char Char1170,Text komentára Char Char Char1170,Comment Text Char Char Char1170"/>
    <w:uiPriority w:val="99"/>
    <w:semiHidden/>
    <w:rsid w:val="006B0C7A"/>
    <w:rPr>
      <w:rFonts w:ascii="Courier" w:hAnsi="Courier"/>
      <w:lang w:val="x-none" w:eastAsia="cs-CZ"/>
    </w:rPr>
  </w:style>
  <w:style w:type="character" w:customStyle="1" w:styleId="TextkomentraChar1168">
    <w:name w:val="Text komentára Char1168"/>
    <w:aliases w:val="Char7 Char Char1169,Text komentára Char Char Char1169,Comment Text Char Char Char1169"/>
    <w:uiPriority w:val="99"/>
    <w:semiHidden/>
    <w:rsid w:val="006B0C7A"/>
    <w:rPr>
      <w:rFonts w:ascii="Courier" w:hAnsi="Courier"/>
      <w:lang w:val="x-none" w:eastAsia="cs-CZ"/>
    </w:rPr>
  </w:style>
  <w:style w:type="character" w:customStyle="1" w:styleId="TextkomentraChar1167">
    <w:name w:val="Text komentára Char1167"/>
    <w:aliases w:val="Char7 Char Char1168,Text komentára Char Char Char1168,Comment Text Char Char Char1168"/>
    <w:uiPriority w:val="99"/>
    <w:semiHidden/>
    <w:rsid w:val="006B0C7A"/>
    <w:rPr>
      <w:rFonts w:ascii="Courier" w:hAnsi="Courier"/>
      <w:lang w:val="x-none" w:eastAsia="cs-CZ"/>
    </w:rPr>
  </w:style>
  <w:style w:type="character" w:customStyle="1" w:styleId="TextkomentraChar1166">
    <w:name w:val="Text komentára Char1166"/>
    <w:aliases w:val="Char7 Char Char1167,Text komentára Char Char Char1167,Comment Text Char Char Char1167"/>
    <w:uiPriority w:val="99"/>
    <w:semiHidden/>
    <w:rsid w:val="006B0C7A"/>
    <w:rPr>
      <w:rFonts w:ascii="Courier" w:hAnsi="Courier"/>
      <w:lang w:val="x-none" w:eastAsia="cs-CZ"/>
    </w:rPr>
  </w:style>
  <w:style w:type="character" w:customStyle="1" w:styleId="PredmetkomentraChar1170">
    <w:name w:val="Predmet komentára Char1170"/>
    <w:aliases w:val="Char6 Char Char1171,Predmet komentára Char Char Char1171,Comment Subject Char Char Char1171"/>
    <w:uiPriority w:val="99"/>
    <w:semiHidden/>
    <w:rsid w:val="006B0C7A"/>
    <w:rPr>
      <w:rFonts w:ascii="Courier" w:hAnsi="Courier"/>
      <w:b/>
      <w:lang w:val="x-none" w:eastAsia="cs-CZ"/>
    </w:rPr>
  </w:style>
  <w:style w:type="character" w:customStyle="1" w:styleId="PredmetkomentraChar1169">
    <w:name w:val="Predmet komentára Char1169"/>
    <w:aliases w:val="Char6 Char Char1170,Predmet komentára Char Char Char1170,Comment Subject Char Char Char1170"/>
    <w:uiPriority w:val="99"/>
    <w:semiHidden/>
    <w:rsid w:val="006B0C7A"/>
    <w:rPr>
      <w:rFonts w:ascii="Courier" w:hAnsi="Courier"/>
      <w:b/>
      <w:lang w:val="x-none" w:eastAsia="cs-CZ"/>
    </w:rPr>
  </w:style>
  <w:style w:type="character" w:customStyle="1" w:styleId="PredmetkomentraChar1168">
    <w:name w:val="Predmet komentára Char1168"/>
    <w:aliases w:val="Char6 Char Char1169,Predmet komentára Char Char Char1169,Comment Subject Char Char Char1169"/>
    <w:uiPriority w:val="99"/>
    <w:semiHidden/>
    <w:rsid w:val="006B0C7A"/>
    <w:rPr>
      <w:rFonts w:ascii="Courier" w:hAnsi="Courier"/>
      <w:b/>
      <w:lang w:val="x-none" w:eastAsia="cs-CZ"/>
    </w:rPr>
  </w:style>
  <w:style w:type="character" w:customStyle="1" w:styleId="PredmetkomentraChar1167">
    <w:name w:val="Predmet komentára Char1167"/>
    <w:aliases w:val="Char6 Char Char1168,Predmet komentára Char Char Char1168,Comment Subject Char Char Char1168"/>
    <w:uiPriority w:val="99"/>
    <w:semiHidden/>
    <w:rsid w:val="006B0C7A"/>
    <w:rPr>
      <w:rFonts w:ascii="Courier" w:hAnsi="Courier"/>
      <w:b/>
      <w:lang w:val="x-none" w:eastAsia="cs-CZ"/>
    </w:rPr>
  </w:style>
  <w:style w:type="character" w:customStyle="1" w:styleId="PredmetkomentraChar1166">
    <w:name w:val="Predmet komentára Char1166"/>
    <w:aliases w:val="Char6 Char Char1167,Predmet komentára Char Char Char1167,Comment Subject Char Char Char1167"/>
    <w:uiPriority w:val="99"/>
    <w:semiHidden/>
    <w:rsid w:val="006B0C7A"/>
    <w:rPr>
      <w:rFonts w:ascii="Courier" w:hAnsi="Courier"/>
      <w:b/>
      <w:lang w:val="x-none" w:eastAsia="cs-CZ"/>
    </w:rPr>
  </w:style>
  <w:style w:type="character" w:customStyle="1" w:styleId="ObyajntextChar1170">
    <w:name w:val="Obyčajný text Char1170"/>
    <w:aliases w:val="Obyčajný text Char Char Char Char1171"/>
    <w:uiPriority w:val="99"/>
    <w:semiHidden/>
    <w:rsid w:val="006B0C7A"/>
    <w:rPr>
      <w:rFonts w:ascii="Courier New" w:hAnsi="Courier New"/>
      <w:lang w:val="x-none" w:eastAsia="cs-CZ"/>
    </w:rPr>
  </w:style>
  <w:style w:type="character" w:customStyle="1" w:styleId="ObyajntextChar1169">
    <w:name w:val="Obyčajný text Char1169"/>
    <w:aliases w:val="Obyčajný text Char Char Char Char1170"/>
    <w:uiPriority w:val="99"/>
    <w:semiHidden/>
    <w:rsid w:val="006B0C7A"/>
    <w:rPr>
      <w:rFonts w:ascii="Courier New" w:hAnsi="Courier New"/>
      <w:lang w:val="x-none" w:eastAsia="cs-CZ"/>
    </w:rPr>
  </w:style>
  <w:style w:type="character" w:customStyle="1" w:styleId="ObyajntextChar1168">
    <w:name w:val="Obyčajný text Char1168"/>
    <w:aliases w:val="Obyčajný text Char Char Char Char1169"/>
    <w:uiPriority w:val="99"/>
    <w:semiHidden/>
    <w:rsid w:val="006B0C7A"/>
    <w:rPr>
      <w:rFonts w:ascii="Courier New" w:hAnsi="Courier New"/>
      <w:lang w:val="x-none" w:eastAsia="cs-CZ"/>
    </w:rPr>
  </w:style>
  <w:style w:type="character" w:customStyle="1" w:styleId="ObyajntextChar1167">
    <w:name w:val="Obyčajný text Char1167"/>
    <w:aliases w:val="Obyčajný text Char Char Char Char1168"/>
    <w:uiPriority w:val="99"/>
    <w:semiHidden/>
    <w:rsid w:val="006B0C7A"/>
    <w:rPr>
      <w:rFonts w:ascii="Courier New" w:hAnsi="Courier New"/>
      <w:lang w:val="x-none" w:eastAsia="cs-CZ"/>
    </w:rPr>
  </w:style>
  <w:style w:type="character" w:customStyle="1" w:styleId="ObyajntextChar1166">
    <w:name w:val="Obyčajný text Char1166"/>
    <w:aliases w:val="Obyčajný text Char Char Char Char1167"/>
    <w:uiPriority w:val="99"/>
    <w:semiHidden/>
    <w:rsid w:val="006B0C7A"/>
    <w:rPr>
      <w:rFonts w:ascii="Courier New" w:hAnsi="Courier New"/>
      <w:lang w:val="x-none" w:eastAsia="cs-CZ"/>
    </w:rPr>
  </w:style>
  <w:style w:type="paragraph" w:customStyle="1" w:styleId="Bulletslevel1">
    <w:name w:val="Bullets level 1"/>
    <w:basedOn w:val="Normlny"/>
    <w:link w:val="Bulletslevel1Char"/>
    <w:qFormat/>
    <w:rsid w:val="00AD3CD2"/>
    <w:pPr>
      <w:numPr>
        <w:numId w:val="4"/>
      </w:numPr>
      <w:spacing w:before="120" w:after="120"/>
      <w:contextualSpacing/>
      <w:jc w:val="both"/>
    </w:pPr>
    <w:rPr>
      <w:rFonts w:ascii="Arial" w:hAnsi="Arial" w:cs="Times New Roman"/>
      <w:color w:val="000000"/>
      <w:sz w:val="19"/>
      <w:szCs w:val="20"/>
      <w:lang w:val="en-GB" w:eastAsia="en-US"/>
    </w:rPr>
  </w:style>
  <w:style w:type="character" w:customStyle="1" w:styleId="Bulletslevel1Char">
    <w:name w:val="Bullets level 1 Char"/>
    <w:link w:val="Bulletslevel1"/>
    <w:locked/>
    <w:rsid w:val="00AD3CD2"/>
    <w:rPr>
      <w:rFonts w:ascii="Arial" w:hAnsi="Arial"/>
      <w:color w:val="000000"/>
      <w:sz w:val="19"/>
      <w:lang w:val="en-GB" w:eastAsia="en-US"/>
    </w:rPr>
  </w:style>
  <w:style w:type="paragraph" w:customStyle="1" w:styleId="List0">
    <w:name w:val="List 0"/>
    <w:basedOn w:val="Normlny"/>
    <w:semiHidden/>
    <w:qFormat/>
    <w:rsid w:val="00CD21B0"/>
    <w:pPr>
      <w:numPr>
        <w:numId w:val="1"/>
      </w:numPr>
    </w:pPr>
    <w:rPr>
      <w:rFonts w:ascii="Times New Roman" w:hAnsi="Times New Roman" w:cs="Times New Roman"/>
      <w:sz w:val="20"/>
      <w:szCs w:val="20"/>
      <w:lang w:eastAsia="sk-SK"/>
    </w:rPr>
  </w:style>
  <w:style w:type="paragraph" w:styleId="Obsah3">
    <w:name w:val="toc 3"/>
    <w:basedOn w:val="Normlny"/>
    <w:next w:val="Normlny"/>
    <w:autoRedefine/>
    <w:uiPriority w:val="39"/>
    <w:unhideWhenUsed/>
    <w:rsid w:val="008A51BA"/>
    <w:pPr>
      <w:spacing w:after="100" w:line="276" w:lineRule="auto"/>
      <w:ind w:left="440"/>
    </w:pPr>
    <w:rPr>
      <w:rFonts w:ascii="Calibri" w:hAnsi="Calibri" w:cs="Times New Roman"/>
      <w:sz w:val="22"/>
      <w:szCs w:val="22"/>
      <w:lang w:eastAsia="sk-SK"/>
    </w:rPr>
  </w:style>
  <w:style w:type="paragraph" w:styleId="Obsah4">
    <w:name w:val="toc 4"/>
    <w:basedOn w:val="Normlny"/>
    <w:next w:val="Normlny"/>
    <w:autoRedefine/>
    <w:uiPriority w:val="39"/>
    <w:unhideWhenUsed/>
    <w:rsid w:val="008A51BA"/>
    <w:pPr>
      <w:spacing w:after="100" w:line="276" w:lineRule="auto"/>
      <w:ind w:left="660"/>
    </w:pPr>
    <w:rPr>
      <w:rFonts w:ascii="Calibri" w:hAnsi="Calibri" w:cs="Times New Roman"/>
      <w:sz w:val="22"/>
      <w:szCs w:val="22"/>
      <w:lang w:eastAsia="sk-SK"/>
    </w:rPr>
  </w:style>
  <w:style w:type="paragraph" w:styleId="Obsah5">
    <w:name w:val="toc 5"/>
    <w:basedOn w:val="Normlny"/>
    <w:next w:val="Normlny"/>
    <w:autoRedefine/>
    <w:uiPriority w:val="39"/>
    <w:unhideWhenUsed/>
    <w:rsid w:val="008A51BA"/>
    <w:pPr>
      <w:spacing w:after="100" w:line="276" w:lineRule="auto"/>
      <w:ind w:left="880"/>
    </w:pPr>
    <w:rPr>
      <w:rFonts w:ascii="Calibri" w:hAnsi="Calibri" w:cs="Times New Roman"/>
      <w:sz w:val="22"/>
      <w:szCs w:val="22"/>
      <w:lang w:eastAsia="sk-SK"/>
    </w:rPr>
  </w:style>
  <w:style w:type="paragraph" w:styleId="Obsah6">
    <w:name w:val="toc 6"/>
    <w:basedOn w:val="Normlny"/>
    <w:next w:val="Normlny"/>
    <w:autoRedefine/>
    <w:uiPriority w:val="39"/>
    <w:unhideWhenUsed/>
    <w:rsid w:val="008A51BA"/>
    <w:pPr>
      <w:spacing w:after="100" w:line="276" w:lineRule="auto"/>
      <w:ind w:left="1100"/>
    </w:pPr>
    <w:rPr>
      <w:rFonts w:ascii="Calibri" w:hAnsi="Calibri" w:cs="Times New Roman"/>
      <w:sz w:val="22"/>
      <w:szCs w:val="22"/>
      <w:lang w:eastAsia="sk-SK"/>
    </w:rPr>
  </w:style>
  <w:style w:type="paragraph" w:styleId="Obsah7">
    <w:name w:val="toc 7"/>
    <w:basedOn w:val="Normlny"/>
    <w:next w:val="Normlny"/>
    <w:autoRedefine/>
    <w:uiPriority w:val="39"/>
    <w:unhideWhenUsed/>
    <w:rsid w:val="008A51BA"/>
    <w:pPr>
      <w:spacing w:after="100" w:line="276" w:lineRule="auto"/>
      <w:ind w:left="1320"/>
    </w:pPr>
    <w:rPr>
      <w:rFonts w:ascii="Calibri" w:hAnsi="Calibri" w:cs="Times New Roman"/>
      <w:sz w:val="22"/>
      <w:szCs w:val="22"/>
      <w:lang w:eastAsia="sk-SK"/>
    </w:rPr>
  </w:style>
  <w:style w:type="paragraph" w:styleId="Obsah8">
    <w:name w:val="toc 8"/>
    <w:basedOn w:val="Normlny"/>
    <w:next w:val="Normlny"/>
    <w:autoRedefine/>
    <w:uiPriority w:val="39"/>
    <w:unhideWhenUsed/>
    <w:rsid w:val="008A51BA"/>
    <w:pPr>
      <w:spacing w:after="100" w:line="276" w:lineRule="auto"/>
      <w:ind w:left="1540"/>
    </w:pPr>
    <w:rPr>
      <w:rFonts w:ascii="Calibri" w:hAnsi="Calibri" w:cs="Times New Roman"/>
      <w:sz w:val="22"/>
      <w:szCs w:val="22"/>
      <w:lang w:eastAsia="sk-SK"/>
    </w:rPr>
  </w:style>
  <w:style w:type="paragraph" w:styleId="Obsah9">
    <w:name w:val="toc 9"/>
    <w:basedOn w:val="Normlny"/>
    <w:next w:val="Normlny"/>
    <w:autoRedefine/>
    <w:uiPriority w:val="39"/>
    <w:unhideWhenUsed/>
    <w:rsid w:val="008A51BA"/>
    <w:pPr>
      <w:spacing w:after="100" w:line="276" w:lineRule="auto"/>
      <w:ind w:left="1760"/>
    </w:pPr>
    <w:rPr>
      <w:rFonts w:ascii="Calibri" w:hAnsi="Calibri" w:cs="Times New Roman"/>
      <w:sz w:val="22"/>
      <w:szCs w:val="22"/>
      <w:lang w:eastAsia="sk-SK"/>
    </w:rPr>
  </w:style>
  <w:style w:type="paragraph" w:customStyle="1" w:styleId="titulok">
    <w:name w:val="titulok"/>
    <w:basedOn w:val="Normlny"/>
    <w:qFormat/>
    <w:rsid w:val="0079576C"/>
    <w:pPr>
      <w:spacing w:before="100" w:beforeAutospacing="1" w:after="100" w:afterAutospacing="1"/>
      <w:jc w:val="center"/>
    </w:pPr>
    <w:rPr>
      <w:rFonts w:ascii="Arial" w:hAnsi="Arial" w:cs="Arial"/>
      <w:b/>
      <w:bCs/>
      <w:color w:val="007060"/>
      <w:lang w:eastAsia="sk-SK"/>
    </w:rPr>
  </w:style>
  <w:style w:type="table" w:customStyle="1" w:styleId="Mriekatabuky3">
    <w:name w:val="Mriežka tabuľky3"/>
    <w:basedOn w:val="Normlnatabuka"/>
    <w:next w:val="Mriekatabuky"/>
    <w:uiPriority w:val="59"/>
    <w:rsid w:val="0039572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39572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39572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59"/>
    <w:rsid w:val="0039572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221107"/>
    <w:rPr>
      <w:sz w:val="20"/>
      <w:szCs w:val="20"/>
    </w:rPr>
  </w:style>
  <w:style w:type="character" w:customStyle="1" w:styleId="TextvysvetlivkyChar">
    <w:name w:val="Text vysvetlivky Char"/>
    <w:basedOn w:val="Predvolenpsmoodseku"/>
    <w:link w:val="Textvysvetlivky"/>
    <w:uiPriority w:val="99"/>
    <w:semiHidden/>
    <w:locked/>
    <w:rsid w:val="00221107"/>
    <w:rPr>
      <w:rFonts w:ascii="Courier" w:hAnsi="Courier" w:cs="Times New Roman"/>
      <w:lang w:val="x-none" w:eastAsia="cs-CZ"/>
    </w:rPr>
  </w:style>
  <w:style w:type="character" w:styleId="Odkaznavysvetlivku">
    <w:name w:val="endnote reference"/>
    <w:basedOn w:val="Predvolenpsmoodseku"/>
    <w:uiPriority w:val="99"/>
    <w:semiHidden/>
    <w:unhideWhenUsed/>
    <w:rsid w:val="00221107"/>
    <w:rPr>
      <w:rFonts w:cs="Times New Roman"/>
      <w:vertAlign w:val="superscript"/>
    </w:rPr>
  </w:style>
  <w:style w:type="character" w:customStyle="1" w:styleId="Nadpis7Char1">
    <w:name w:val="Nadpis 7 Char1"/>
    <w:uiPriority w:val="99"/>
    <w:semiHidden/>
    <w:rsid w:val="00684B88"/>
    <w:rPr>
      <w:rFonts w:ascii="Cambria" w:hAnsi="Cambria"/>
      <w:i/>
      <w:color w:val="404040"/>
      <w:sz w:val="24"/>
      <w:lang w:val="x-none" w:eastAsia="cs-CZ"/>
    </w:rPr>
  </w:style>
  <w:style w:type="character" w:customStyle="1" w:styleId="Nadpis8Char1">
    <w:name w:val="Nadpis 8 Char1"/>
    <w:uiPriority w:val="99"/>
    <w:semiHidden/>
    <w:rsid w:val="00684B88"/>
    <w:rPr>
      <w:rFonts w:ascii="Cambria" w:hAnsi="Cambria"/>
      <w:color w:val="404040"/>
      <w:lang w:val="x-none" w:eastAsia="cs-CZ"/>
    </w:rPr>
  </w:style>
  <w:style w:type="character" w:customStyle="1" w:styleId="Nadpis9Char1">
    <w:name w:val="Nadpis 9 Char1"/>
    <w:uiPriority w:val="99"/>
    <w:semiHidden/>
    <w:rsid w:val="00684B88"/>
    <w:rPr>
      <w:rFonts w:ascii="Cambria" w:hAnsi="Cambria"/>
      <w:i/>
      <w:color w:val="404040"/>
      <w:lang w:val="x-none" w:eastAsia="cs-CZ"/>
    </w:rPr>
  </w:style>
  <w:style w:type="character" w:customStyle="1" w:styleId="TextvysvetlivkyChar1">
    <w:name w:val="Text vysvetlivky Char1"/>
    <w:uiPriority w:val="99"/>
    <w:semiHidden/>
    <w:rsid w:val="00684B88"/>
    <w:rPr>
      <w:rFonts w:ascii="Courier" w:hAnsi="Courier"/>
      <w:sz w:val="20"/>
      <w:lang w:val="x-none" w:eastAsia="cs-CZ"/>
    </w:rPr>
  </w:style>
  <w:style w:type="table" w:customStyle="1" w:styleId="Mriekatabuky4">
    <w:name w:val="Mriežka tabuľky4"/>
    <w:basedOn w:val="Normlnatabuka"/>
    <w:next w:val="Mriekatabuky"/>
    <w:uiPriority w:val="59"/>
    <w:rsid w:val="00684B8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uiPriority w:val="59"/>
    <w:rsid w:val="00684B8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uiPriority w:val="59"/>
    <w:rsid w:val="00684B8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
    <w:name w:val="Mriežka tabuľky112"/>
    <w:basedOn w:val="Normlnatabuka"/>
    <w:uiPriority w:val="59"/>
    <w:rsid w:val="00684B8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uiPriority w:val="59"/>
    <w:rsid w:val="00684B8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
    <w:name w:val="Mriežka tabuľky121"/>
    <w:basedOn w:val="Normlnatabuka"/>
    <w:uiPriority w:val="59"/>
    <w:rsid w:val="00684B8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
    <w:name w:val="Mriežka tabuľky211"/>
    <w:basedOn w:val="Normlnatabuka"/>
    <w:uiPriority w:val="59"/>
    <w:rsid w:val="00684B8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uiPriority w:val="59"/>
    <w:rsid w:val="00684B88"/>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ktradokumentuChar1619">
    <w:name w:val="Štruktúra dokumentu Char1619"/>
    <w:aliases w:val="Char9 Char Char1620,Štruktúra dokumentu Char Char Char1620,Document Map Char Char Char1620"/>
    <w:uiPriority w:val="99"/>
    <w:semiHidden/>
    <w:rsid w:val="00432AC8"/>
    <w:rPr>
      <w:rFonts w:ascii="Tahoma" w:hAnsi="Tahoma"/>
      <w:sz w:val="16"/>
      <w:lang w:val="x-none" w:eastAsia="cs-CZ"/>
    </w:rPr>
  </w:style>
  <w:style w:type="character" w:customStyle="1" w:styleId="truktradokumentuChar1618">
    <w:name w:val="Štruktúra dokumentu Char1618"/>
    <w:aliases w:val="Char9 Char Char1619,Štruktúra dokumentu Char Char Char1619,Document Map Char Char Char1619"/>
    <w:uiPriority w:val="99"/>
    <w:semiHidden/>
    <w:rsid w:val="00432AC8"/>
    <w:rPr>
      <w:rFonts w:ascii="Tahoma" w:hAnsi="Tahoma"/>
      <w:sz w:val="16"/>
      <w:lang w:val="x-none" w:eastAsia="cs-CZ"/>
    </w:rPr>
  </w:style>
  <w:style w:type="character" w:customStyle="1" w:styleId="truktradokumentuChar1617">
    <w:name w:val="Štruktúra dokumentu Char1617"/>
    <w:aliases w:val="Char9 Char Char1618,Štruktúra dokumentu Char Char Char1618,Document Map Char Char Char1618"/>
    <w:uiPriority w:val="99"/>
    <w:semiHidden/>
    <w:rsid w:val="00432AC8"/>
    <w:rPr>
      <w:rFonts w:ascii="Tahoma" w:hAnsi="Tahoma"/>
      <w:sz w:val="16"/>
      <w:lang w:val="x-none" w:eastAsia="cs-CZ"/>
    </w:rPr>
  </w:style>
  <w:style w:type="character" w:customStyle="1" w:styleId="truktradokumentuChar1616">
    <w:name w:val="Štruktúra dokumentu Char1616"/>
    <w:aliases w:val="Char9 Char Char1617,Štruktúra dokumentu Char Char Char1617,Document Map Char Char Char1617"/>
    <w:uiPriority w:val="99"/>
    <w:semiHidden/>
    <w:rsid w:val="00432AC8"/>
    <w:rPr>
      <w:rFonts w:ascii="Tahoma" w:hAnsi="Tahoma"/>
      <w:sz w:val="16"/>
      <w:lang w:val="x-none" w:eastAsia="cs-CZ"/>
    </w:rPr>
  </w:style>
  <w:style w:type="character" w:customStyle="1" w:styleId="truktradokumentuChar1615">
    <w:name w:val="Štruktúra dokumentu Char1615"/>
    <w:aliases w:val="Char9 Char Char1616,Štruktúra dokumentu Char Char Char1616,Document Map Char Char Char1616"/>
    <w:uiPriority w:val="99"/>
    <w:semiHidden/>
    <w:rsid w:val="00432AC8"/>
    <w:rPr>
      <w:rFonts w:ascii="Tahoma" w:hAnsi="Tahoma"/>
      <w:sz w:val="16"/>
      <w:lang w:val="x-none" w:eastAsia="cs-CZ"/>
    </w:rPr>
  </w:style>
  <w:style w:type="character" w:customStyle="1" w:styleId="TextkomentraChar1619">
    <w:name w:val="Text komentára Char1619"/>
    <w:aliases w:val="Char7 Char Char1620,Text komentára Char Char Char1620,Comment Text Char Char Char1620"/>
    <w:uiPriority w:val="99"/>
    <w:semiHidden/>
    <w:rsid w:val="00432AC8"/>
    <w:rPr>
      <w:rFonts w:ascii="Courier" w:hAnsi="Courier"/>
      <w:lang w:val="x-none" w:eastAsia="cs-CZ"/>
    </w:rPr>
  </w:style>
  <w:style w:type="character" w:customStyle="1" w:styleId="TextkomentraChar1618">
    <w:name w:val="Text komentára Char1618"/>
    <w:aliases w:val="Char7 Char Char1619,Text komentára Char Char Char1619,Comment Text Char Char Char1619"/>
    <w:uiPriority w:val="99"/>
    <w:semiHidden/>
    <w:rsid w:val="00432AC8"/>
    <w:rPr>
      <w:rFonts w:ascii="Courier" w:hAnsi="Courier"/>
      <w:lang w:val="x-none" w:eastAsia="cs-CZ"/>
    </w:rPr>
  </w:style>
  <w:style w:type="character" w:customStyle="1" w:styleId="TextkomentraChar1617">
    <w:name w:val="Text komentára Char1617"/>
    <w:aliases w:val="Char7 Char Char1618,Text komentára Char Char Char1618,Comment Text Char Char Char1618"/>
    <w:uiPriority w:val="99"/>
    <w:semiHidden/>
    <w:rsid w:val="00432AC8"/>
    <w:rPr>
      <w:rFonts w:ascii="Courier" w:hAnsi="Courier"/>
      <w:lang w:val="x-none" w:eastAsia="cs-CZ"/>
    </w:rPr>
  </w:style>
  <w:style w:type="character" w:customStyle="1" w:styleId="TextkomentraChar1616">
    <w:name w:val="Text komentára Char1616"/>
    <w:aliases w:val="Char7 Char Char1617,Text komentára Char Char Char1617,Comment Text Char Char Char1617"/>
    <w:uiPriority w:val="99"/>
    <w:semiHidden/>
    <w:rsid w:val="00432AC8"/>
    <w:rPr>
      <w:rFonts w:ascii="Courier" w:hAnsi="Courier"/>
      <w:lang w:val="x-none" w:eastAsia="cs-CZ"/>
    </w:rPr>
  </w:style>
  <w:style w:type="character" w:customStyle="1" w:styleId="TextkomentraChar1615">
    <w:name w:val="Text komentára Char1615"/>
    <w:aliases w:val="Char7 Char Char1616,Text komentára Char Char Char1616,Comment Text Char Char Char1616"/>
    <w:uiPriority w:val="99"/>
    <w:semiHidden/>
    <w:rsid w:val="00432AC8"/>
    <w:rPr>
      <w:rFonts w:ascii="Courier" w:hAnsi="Courier"/>
      <w:lang w:val="x-none" w:eastAsia="cs-CZ"/>
    </w:rPr>
  </w:style>
  <w:style w:type="character" w:customStyle="1" w:styleId="PredmetkomentraChar1619">
    <w:name w:val="Predmet komentára Char1619"/>
    <w:aliases w:val="Char6 Char Char1620,Predmet komentára Char Char Char1620,Comment Subject Char Char Char1620"/>
    <w:uiPriority w:val="99"/>
    <w:semiHidden/>
    <w:rsid w:val="00432AC8"/>
    <w:rPr>
      <w:rFonts w:ascii="Courier" w:hAnsi="Courier"/>
      <w:b/>
      <w:lang w:val="x-none" w:eastAsia="cs-CZ"/>
    </w:rPr>
  </w:style>
  <w:style w:type="character" w:customStyle="1" w:styleId="PredmetkomentraChar1618">
    <w:name w:val="Predmet komentára Char1618"/>
    <w:aliases w:val="Char6 Char Char1619,Predmet komentára Char Char Char1619,Comment Subject Char Char Char1619"/>
    <w:uiPriority w:val="99"/>
    <w:semiHidden/>
    <w:rsid w:val="00432AC8"/>
    <w:rPr>
      <w:rFonts w:ascii="Courier" w:hAnsi="Courier"/>
      <w:b/>
      <w:lang w:val="x-none" w:eastAsia="cs-CZ"/>
    </w:rPr>
  </w:style>
  <w:style w:type="character" w:customStyle="1" w:styleId="PredmetkomentraChar1617">
    <w:name w:val="Predmet komentára Char1617"/>
    <w:aliases w:val="Char6 Char Char1618,Predmet komentára Char Char Char1618,Comment Subject Char Char Char1618"/>
    <w:uiPriority w:val="99"/>
    <w:semiHidden/>
    <w:rsid w:val="00432AC8"/>
    <w:rPr>
      <w:rFonts w:ascii="Courier" w:hAnsi="Courier"/>
      <w:b/>
      <w:lang w:val="x-none" w:eastAsia="cs-CZ"/>
    </w:rPr>
  </w:style>
  <w:style w:type="character" w:customStyle="1" w:styleId="PredmetkomentraChar1616">
    <w:name w:val="Predmet komentára Char1616"/>
    <w:aliases w:val="Char6 Char Char1617,Predmet komentára Char Char Char1617,Comment Subject Char Char Char1617"/>
    <w:uiPriority w:val="99"/>
    <w:semiHidden/>
    <w:rsid w:val="00432AC8"/>
    <w:rPr>
      <w:rFonts w:ascii="Courier" w:hAnsi="Courier"/>
      <w:b/>
      <w:lang w:val="x-none" w:eastAsia="cs-CZ"/>
    </w:rPr>
  </w:style>
  <w:style w:type="character" w:customStyle="1" w:styleId="PredmetkomentraChar1615">
    <w:name w:val="Predmet komentára Char1615"/>
    <w:aliases w:val="Char6 Char Char1616,Predmet komentára Char Char Char1616,Comment Subject Char Char Char1616"/>
    <w:uiPriority w:val="99"/>
    <w:semiHidden/>
    <w:rsid w:val="00432AC8"/>
    <w:rPr>
      <w:rFonts w:ascii="Courier" w:hAnsi="Courier"/>
      <w:b/>
      <w:lang w:val="x-none" w:eastAsia="cs-CZ"/>
    </w:rPr>
  </w:style>
  <w:style w:type="character" w:customStyle="1" w:styleId="ObyajntextChar1619">
    <w:name w:val="Obyčajný text Char1619"/>
    <w:aliases w:val="Obyčajný text Char Char Char Char1620"/>
    <w:uiPriority w:val="99"/>
    <w:semiHidden/>
    <w:rsid w:val="00432AC8"/>
    <w:rPr>
      <w:rFonts w:ascii="Courier New" w:hAnsi="Courier New"/>
      <w:lang w:val="x-none" w:eastAsia="cs-CZ"/>
    </w:rPr>
  </w:style>
  <w:style w:type="character" w:customStyle="1" w:styleId="ObyajntextChar1618">
    <w:name w:val="Obyčajný text Char1618"/>
    <w:aliases w:val="Obyčajný text Char Char Char Char1619"/>
    <w:uiPriority w:val="99"/>
    <w:semiHidden/>
    <w:rsid w:val="00432AC8"/>
    <w:rPr>
      <w:rFonts w:ascii="Courier New" w:hAnsi="Courier New"/>
      <w:lang w:val="x-none" w:eastAsia="cs-CZ"/>
    </w:rPr>
  </w:style>
  <w:style w:type="character" w:customStyle="1" w:styleId="ObyajntextChar1617">
    <w:name w:val="Obyčajný text Char1617"/>
    <w:aliases w:val="Obyčajný text Char Char Char Char1618"/>
    <w:uiPriority w:val="99"/>
    <w:semiHidden/>
    <w:rsid w:val="00432AC8"/>
    <w:rPr>
      <w:rFonts w:ascii="Courier New" w:hAnsi="Courier New"/>
      <w:lang w:val="x-none" w:eastAsia="cs-CZ"/>
    </w:rPr>
  </w:style>
  <w:style w:type="character" w:customStyle="1" w:styleId="ObyajntextChar1616">
    <w:name w:val="Obyčajný text Char1616"/>
    <w:aliases w:val="Obyčajný text Char Char Char Char1617"/>
    <w:uiPriority w:val="99"/>
    <w:semiHidden/>
    <w:rsid w:val="00432AC8"/>
    <w:rPr>
      <w:rFonts w:ascii="Courier New" w:hAnsi="Courier New"/>
      <w:lang w:val="x-none" w:eastAsia="cs-CZ"/>
    </w:rPr>
  </w:style>
  <w:style w:type="character" w:customStyle="1" w:styleId="ObyajntextChar1615">
    <w:name w:val="Obyčajný text Char1615"/>
    <w:aliases w:val="Obyčajný text Char Char Char Char1616"/>
    <w:uiPriority w:val="99"/>
    <w:semiHidden/>
    <w:rsid w:val="00432AC8"/>
    <w:rPr>
      <w:rFonts w:ascii="Courier New" w:hAnsi="Courier New"/>
      <w:lang w:val="x-none" w:eastAsia="cs-CZ"/>
    </w:rPr>
  </w:style>
  <w:style w:type="table" w:customStyle="1" w:styleId="Kalendr2">
    <w:name w:val="Kalendár 2"/>
    <w:basedOn w:val="Normlnatabuka"/>
    <w:uiPriority w:val="99"/>
    <w:qFormat/>
    <w:rsid w:val="00432AC8"/>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
    <w:name w:val="Bez zoznamu1"/>
    <w:next w:val="Bezzoznamu"/>
    <w:uiPriority w:val="99"/>
    <w:semiHidden/>
    <w:unhideWhenUsed/>
    <w:rsid w:val="006E1F2B"/>
  </w:style>
  <w:style w:type="character" w:customStyle="1" w:styleId="truktradokumentuChar1630">
    <w:name w:val="Štruktúra dokumentu Char1630"/>
    <w:aliases w:val="Char9 Char Char1631,Štruktúra dokumentu Char Char Char1631,Document Map Char Char Char1631"/>
    <w:basedOn w:val="Predvolenpsmoodseku"/>
    <w:uiPriority w:val="99"/>
    <w:semiHidden/>
    <w:rsid w:val="005208D3"/>
    <w:rPr>
      <w:rFonts w:ascii="Tahoma" w:hAnsi="Tahoma" w:cs="Tahoma"/>
      <w:sz w:val="16"/>
      <w:szCs w:val="16"/>
      <w:lang w:val="x-none" w:eastAsia="cs-CZ"/>
    </w:rPr>
  </w:style>
  <w:style w:type="character" w:customStyle="1" w:styleId="truktradokumentuChar1629">
    <w:name w:val="Štruktúra dokumentu Char1629"/>
    <w:aliases w:val="Char9 Char Char1630,Štruktúra dokumentu Char Char Char1630,Document Map Char Char Char1630"/>
    <w:basedOn w:val="Predvolenpsmoodseku"/>
    <w:uiPriority w:val="99"/>
    <w:semiHidden/>
    <w:rsid w:val="005208D3"/>
    <w:rPr>
      <w:rFonts w:ascii="Tahoma" w:hAnsi="Tahoma" w:cs="Tahoma"/>
      <w:sz w:val="16"/>
      <w:szCs w:val="16"/>
      <w:lang w:val="x-none" w:eastAsia="cs-CZ"/>
    </w:rPr>
  </w:style>
  <w:style w:type="character" w:customStyle="1" w:styleId="truktradokumentuChar1628">
    <w:name w:val="Štruktúra dokumentu Char1628"/>
    <w:aliases w:val="Char9 Char Char1629,Štruktúra dokumentu Char Char Char1629,Document Map Char Char Char1629"/>
    <w:basedOn w:val="Predvolenpsmoodseku"/>
    <w:uiPriority w:val="99"/>
    <w:semiHidden/>
    <w:rsid w:val="005208D3"/>
    <w:rPr>
      <w:rFonts w:ascii="Tahoma" w:hAnsi="Tahoma" w:cs="Tahoma"/>
      <w:sz w:val="16"/>
      <w:szCs w:val="16"/>
      <w:lang w:val="x-none" w:eastAsia="cs-CZ"/>
    </w:rPr>
  </w:style>
  <w:style w:type="character" w:customStyle="1" w:styleId="truktradokumentuChar1627">
    <w:name w:val="Štruktúra dokumentu Char1627"/>
    <w:aliases w:val="Char9 Char Char1628,Štruktúra dokumentu Char Char Char1628,Document Map Char Char Char1628"/>
    <w:basedOn w:val="Predvolenpsmoodseku"/>
    <w:uiPriority w:val="99"/>
    <w:semiHidden/>
    <w:rsid w:val="005208D3"/>
    <w:rPr>
      <w:rFonts w:ascii="Tahoma" w:hAnsi="Tahoma" w:cs="Tahoma"/>
      <w:sz w:val="16"/>
      <w:szCs w:val="16"/>
      <w:lang w:val="x-none" w:eastAsia="cs-CZ"/>
    </w:rPr>
  </w:style>
  <w:style w:type="character" w:customStyle="1" w:styleId="truktradokumentuChar1626">
    <w:name w:val="Štruktúra dokumentu Char1626"/>
    <w:aliases w:val="Char9 Char Char1627,Štruktúra dokumentu Char Char Char1627,Document Map Char Char Char1627"/>
    <w:basedOn w:val="Predvolenpsmoodseku"/>
    <w:uiPriority w:val="99"/>
    <w:semiHidden/>
    <w:rsid w:val="005208D3"/>
    <w:rPr>
      <w:rFonts w:ascii="Tahoma" w:hAnsi="Tahoma" w:cs="Tahoma"/>
      <w:sz w:val="16"/>
      <w:szCs w:val="16"/>
      <w:lang w:val="x-none" w:eastAsia="cs-CZ"/>
    </w:rPr>
  </w:style>
  <w:style w:type="character" w:customStyle="1" w:styleId="truktradokumentuChar1625">
    <w:name w:val="Štruktúra dokumentu Char1625"/>
    <w:aliases w:val="Char9 Char Char1626,Štruktúra dokumentu Char Char Char1626,Document Map Char Char Char1626"/>
    <w:basedOn w:val="Predvolenpsmoodseku"/>
    <w:uiPriority w:val="99"/>
    <w:semiHidden/>
    <w:rsid w:val="005208D3"/>
    <w:rPr>
      <w:rFonts w:ascii="Tahoma" w:hAnsi="Tahoma" w:cs="Tahoma"/>
      <w:sz w:val="16"/>
      <w:szCs w:val="16"/>
      <w:lang w:val="x-none" w:eastAsia="cs-CZ"/>
    </w:rPr>
  </w:style>
  <w:style w:type="character" w:customStyle="1" w:styleId="truktradokumentuChar1624">
    <w:name w:val="Štruktúra dokumentu Char1624"/>
    <w:aliases w:val="Char9 Char Char1625,Štruktúra dokumentu Char Char Char1625,Document Map Char Char Char1625"/>
    <w:basedOn w:val="Predvolenpsmoodseku"/>
    <w:uiPriority w:val="99"/>
    <w:semiHidden/>
    <w:rsid w:val="005208D3"/>
    <w:rPr>
      <w:rFonts w:ascii="Tahoma" w:hAnsi="Tahoma" w:cs="Tahoma"/>
      <w:sz w:val="16"/>
      <w:szCs w:val="16"/>
      <w:lang w:val="x-none" w:eastAsia="cs-CZ"/>
    </w:rPr>
  </w:style>
  <w:style w:type="character" w:customStyle="1" w:styleId="truktradokumentuChar1623">
    <w:name w:val="Štruktúra dokumentu Char1623"/>
    <w:aliases w:val="Char9 Char Char1624,Štruktúra dokumentu Char Char Char1624,Document Map Char Char Char1624"/>
    <w:basedOn w:val="Predvolenpsmoodseku"/>
    <w:uiPriority w:val="99"/>
    <w:semiHidden/>
    <w:rsid w:val="005208D3"/>
    <w:rPr>
      <w:rFonts w:ascii="Tahoma" w:hAnsi="Tahoma" w:cs="Tahoma"/>
      <w:sz w:val="16"/>
      <w:szCs w:val="16"/>
      <w:lang w:val="x-none" w:eastAsia="cs-CZ"/>
    </w:rPr>
  </w:style>
  <w:style w:type="character" w:customStyle="1" w:styleId="truktradokumentuChar1622">
    <w:name w:val="Štruktúra dokumentu Char1622"/>
    <w:aliases w:val="Char9 Char Char1623,Štruktúra dokumentu Char Char Char1623,Document Map Char Char Char1623"/>
    <w:basedOn w:val="Predvolenpsmoodseku"/>
    <w:uiPriority w:val="99"/>
    <w:semiHidden/>
    <w:rsid w:val="005208D3"/>
    <w:rPr>
      <w:rFonts w:ascii="Tahoma" w:hAnsi="Tahoma" w:cs="Tahoma"/>
      <w:sz w:val="16"/>
      <w:szCs w:val="16"/>
      <w:lang w:val="x-none" w:eastAsia="cs-CZ"/>
    </w:rPr>
  </w:style>
  <w:style w:type="character" w:customStyle="1" w:styleId="TextkomentraChar1630">
    <w:name w:val="Text komentára Char1630"/>
    <w:aliases w:val="Char7 Char Char1631,Text komentára Char Char Char1631,Comment Text Char Char Char1631"/>
    <w:basedOn w:val="Predvolenpsmoodseku"/>
    <w:uiPriority w:val="99"/>
    <w:semiHidden/>
    <w:rsid w:val="005208D3"/>
    <w:rPr>
      <w:rFonts w:ascii="Courier" w:hAnsi="Courier" w:cs="Courier"/>
      <w:lang w:val="x-none" w:eastAsia="cs-CZ"/>
    </w:rPr>
  </w:style>
  <w:style w:type="character" w:customStyle="1" w:styleId="TextkomentraChar1629">
    <w:name w:val="Text komentára Char1629"/>
    <w:aliases w:val="Char7 Char Char1630,Text komentára Char Char Char1630,Comment Text Char Char Char1630"/>
    <w:basedOn w:val="Predvolenpsmoodseku"/>
    <w:uiPriority w:val="99"/>
    <w:semiHidden/>
    <w:rsid w:val="005208D3"/>
    <w:rPr>
      <w:rFonts w:ascii="Courier" w:hAnsi="Courier" w:cs="Courier"/>
      <w:lang w:val="x-none" w:eastAsia="cs-CZ"/>
    </w:rPr>
  </w:style>
  <w:style w:type="character" w:customStyle="1" w:styleId="TextkomentraChar1628">
    <w:name w:val="Text komentára Char1628"/>
    <w:aliases w:val="Char7 Char Char1629,Text komentára Char Char Char1629,Comment Text Char Char Char1629"/>
    <w:basedOn w:val="Predvolenpsmoodseku"/>
    <w:uiPriority w:val="99"/>
    <w:semiHidden/>
    <w:rsid w:val="005208D3"/>
    <w:rPr>
      <w:rFonts w:ascii="Courier" w:hAnsi="Courier" w:cs="Courier"/>
      <w:lang w:val="x-none" w:eastAsia="cs-CZ"/>
    </w:rPr>
  </w:style>
  <w:style w:type="character" w:customStyle="1" w:styleId="TextkomentraChar1627">
    <w:name w:val="Text komentára Char1627"/>
    <w:aliases w:val="Char7 Char Char1628,Text komentára Char Char Char1628,Comment Text Char Char Char1628"/>
    <w:basedOn w:val="Predvolenpsmoodseku"/>
    <w:uiPriority w:val="99"/>
    <w:semiHidden/>
    <w:rsid w:val="005208D3"/>
    <w:rPr>
      <w:rFonts w:ascii="Courier" w:hAnsi="Courier" w:cs="Courier"/>
      <w:lang w:val="x-none" w:eastAsia="cs-CZ"/>
    </w:rPr>
  </w:style>
  <w:style w:type="character" w:customStyle="1" w:styleId="TextkomentraChar1626">
    <w:name w:val="Text komentára Char1626"/>
    <w:aliases w:val="Char7 Char Char1627,Text komentára Char Char Char1627,Comment Text Char Char Char1627"/>
    <w:basedOn w:val="Predvolenpsmoodseku"/>
    <w:uiPriority w:val="99"/>
    <w:semiHidden/>
    <w:rsid w:val="005208D3"/>
    <w:rPr>
      <w:rFonts w:ascii="Courier" w:hAnsi="Courier" w:cs="Courier"/>
      <w:lang w:val="x-none" w:eastAsia="cs-CZ"/>
    </w:rPr>
  </w:style>
  <w:style w:type="character" w:customStyle="1" w:styleId="TextkomentraChar1625">
    <w:name w:val="Text komentára Char1625"/>
    <w:aliases w:val="Char7 Char Char1626,Text komentára Char Char Char1626,Comment Text Char Char Char1626"/>
    <w:basedOn w:val="Predvolenpsmoodseku"/>
    <w:uiPriority w:val="99"/>
    <w:semiHidden/>
    <w:rsid w:val="005208D3"/>
    <w:rPr>
      <w:rFonts w:ascii="Courier" w:hAnsi="Courier" w:cs="Courier"/>
      <w:lang w:val="x-none" w:eastAsia="cs-CZ"/>
    </w:rPr>
  </w:style>
  <w:style w:type="character" w:customStyle="1" w:styleId="TextkomentraChar1624">
    <w:name w:val="Text komentára Char1624"/>
    <w:aliases w:val="Char7 Char Char1625,Text komentára Char Char Char1625,Comment Text Char Char Char1625"/>
    <w:basedOn w:val="Predvolenpsmoodseku"/>
    <w:uiPriority w:val="99"/>
    <w:semiHidden/>
    <w:rsid w:val="005208D3"/>
    <w:rPr>
      <w:rFonts w:ascii="Courier" w:hAnsi="Courier" w:cs="Courier"/>
      <w:lang w:val="x-none" w:eastAsia="cs-CZ"/>
    </w:rPr>
  </w:style>
  <w:style w:type="character" w:customStyle="1" w:styleId="TextkomentraChar1623">
    <w:name w:val="Text komentára Char1623"/>
    <w:aliases w:val="Char7 Char Char1624,Text komentára Char Char Char1624,Comment Text Char Char Char1624"/>
    <w:basedOn w:val="Predvolenpsmoodseku"/>
    <w:uiPriority w:val="99"/>
    <w:semiHidden/>
    <w:rsid w:val="005208D3"/>
    <w:rPr>
      <w:rFonts w:ascii="Courier" w:hAnsi="Courier" w:cs="Courier"/>
      <w:lang w:val="x-none" w:eastAsia="cs-CZ"/>
    </w:rPr>
  </w:style>
  <w:style w:type="character" w:customStyle="1" w:styleId="TextkomentraChar1622">
    <w:name w:val="Text komentára Char1622"/>
    <w:aliases w:val="Char7 Char Char1623,Text komentára Char Char Char1623,Comment Text Char Char Char1623"/>
    <w:basedOn w:val="Predvolenpsmoodseku"/>
    <w:uiPriority w:val="99"/>
    <w:semiHidden/>
    <w:rsid w:val="005208D3"/>
    <w:rPr>
      <w:rFonts w:ascii="Courier" w:hAnsi="Courier" w:cs="Courier"/>
      <w:lang w:val="x-none" w:eastAsia="cs-CZ"/>
    </w:rPr>
  </w:style>
  <w:style w:type="character" w:customStyle="1" w:styleId="PredmetkomentraChar1630">
    <w:name w:val="Predmet komentára Char1630"/>
    <w:aliases w:val="Char6 Char Char1631,Predmet komentára Char Char Char1631,Comment Subject Char Char Char1631"/>
    <w:basedOn w:val="TextkomentraChar"/>
    <w:uiPriority w:val="99"/>
    <w:semiHidden/>
    <w:rsid w:val="005208D3"/>
    <w:rPr>
      <w:rFonts w:ascii="Courier" w:hAnsi="Courier" w:cs="Courier"/>
      <w:b/>
      <w:bCs/>
      <w:lang w:val="x-none" w:eastAsia="cs-CZ"/>
    </w:rPr>
  </w:style>
  <w:style w:type="character" w:customStyle="1" w:styleId="PredmetkomentraChar1629">
    <w:name w:val="Predmet komentára Char1629"/>
    <w:aliases w:val="Char6 Char Char1630,Predmet komentára Char Char Char1630,Comment Subject Char Char Char1630"/>
    <w:basedOn w:val="TextkomentraChar"/>
    <w:uiPriority w:val="99"/>
    <w:semiHidden/>
    <w:rsid w:val="005208D3"/>
    <w:rPr>
      <w:rFonts w:ascii="Courier" w:hAnsi="Courier" w:cs="Courier"/>
      <w:b/>
      <w:bCs/>
      <w:lang w:val="x-none" w:eastAsia="cs-CZ"/>
    </w:rPr>
  </w:style>
  <w:style w:type="character" w:customStyle="1" w:styleId="PredmetkomentraChar1628">
    <w:name w:val="Predmet komentára Char1628"/>
    <w:aliases w:val="Char6 Char Char1629,Predmet komentára Char Char Char1629,Comment Subject Char Char Char1629"/>
    <w:basedOn w:val="TextkomentraChar"/>
    <w:uiPriority w:val="99"/>
    <w:semiHidden/>
    <w:rsid w:val="005208D3"/>
    <w:rPr>
      <w:rFonts w:ascii="Courier" w:hAnsi="Courier" w:cs="Courier"/>
      <w:b/>
      <w:bCs/>
      <w:lang w:val="x-none" w:eastAsia="cs-CZ"/>
    </w:rPr>
  </w:style>
  <w:style w:type="character" w:customStyle="1" w:styleId="PredmetkomentraChar1627">
    <w:name w:val="Predmet komentára Char1627"/>
    <w:aliases w:val="Char6 Char Char1628,Predmet komentára Char Char Char1628,Comment Subject Char Char Char1628"/>
    <w:basedOn w:val="TextkomentraChar"/>
    <w:uiPriority w:val="99"/>
    <w:semiHidden/>
    <w:rsid w:val="005208D3"/>
    <w:rPr>
      <w:rFonts w:ascii="Courier" w:hAnsi="Courier" w:cs="Courier"/>
      <w:b/>
      <w:bCs/>
      <w:lang w:val="x-none" w:eastAsia="cs-CZ"/>
    </w:rPr>
  </w:style>
  <w:style w:type="character" w:customStyle="1" w:styleId="PredmetkomentraChar1626">
    <w:name w:val="Predmet komentára Char1626"/>
    <w:aliases w:val="Char6 Char Char1627,Predmet komentára Char Char Char1627,Comment Subject Char Char Char1627"/>
    <w:basedOn w:val="TextkomentraChar"/>
    <w:uiPriority w:val="99"/>
    <w:semiHidden/>
    <w:rsid w:val="005208D3"/>
    <w:rPr>
      <w:rFonts w:ascii="Courier" w:hAnsi="Courier" w:cs="Courier"/>
      <w:b/>
      <w:bCs/>
      <w:lang w:val="x-none" w:eastAsia="cs-CZ"/>
    </w:rPr>
  </w:style>
  <w:style w:type="character" w:customStyle="1" w:styleId="PredmetkomentraChar1625">
    <w:name w:val="Predmet komentára Char1625"/>
    <w:aliases w:val="Char6 Char Char1626,Predmet komentára Char Char Char1626,Comment Subject Char Char Char1626"/>
    <w:basedOn w:val="TextkomentraChar"/>
    <w:uiPriority w:val="99"/>
    <w:semiHidden/>
    <w:rsid w:val="005208D3"/>
    <w:rPr>
      <w:rFonts w:ascii="Courier" w:hAnsi="Courier" w:cs="Courier"/>
      <w:b/>
      <w:bCs/>
      <w:lang w:val="x-none" w:eastAsia="cs-CZ"/>
    </w:rPr>
  </w:style>
  <w:style w:type="character" w:customStyle="1" w:styleId="PredmetkomentraChar1624">
    <w:name w:val="Predmet komentára Char1624"/>
    <w:aliases w:val="Char6 Char Char1625,Predmet komentára Char Char Char1625,Comment Subject Char Char Char1625"/>
    <w:basedOn w:val="TextkomentraChar"/>
    <w:uiPriority w:val="99"/>
    <w:semiHidden/>
    <w:rsid w:val="005208D3"/>
    <w:rPr>
      <w:rFonts w:ascii="Courier" w:hAnsi="Courier" w:cs="Courier"/>
      <w:b/>
      <w:bCs/>
      <w:lang w:val="x-none" w:eastAsia="cs-CZ"/>
    </w:rPr>
  </w:style>
  <w:style w:type="character" w:customStyle="1" w:styleId="PredmetkomentraChar1623">
    <w:name w:val="Predmet komentára Char1623"/>
    <w:aliases w:val="Char6 Char Char1624,Predmet komentára Char Char Char1624,Comment Subject Char Char Char1624"/>
    <w:basedOn w:val="TextkomentraChar"/>
    <w:uiPriority w:val="99"/>
    <w:semiHidden/>
    <w:rsid w:val="005208D3"/>
    <w:rPr>
      <w:rFonts w:ascii="Courier" w:hAnsi="Courier" w:cs="Courier"/>
      <w:b/>
      <w:bCs/>
      <w:lang w:val="x-none" w:eastAsia="cs-CZ"/>
    </w:rPr>
  </w:style>
  <w:style w:type="character" w:customStyle="1" w:styleId="PredmetkomentraChar1622">
    <w:name w:val="Predmet komentára Char1622"/>
    <w:aliases w:val="Char6 Char Char1623,Predmet komentára Char Char Char1623,Comment Subject Char Char Char1623"/>
    <w:basedOn w:val="TextkomentraChar"/>
    <w:uiPriority w:val="99"/>
    <w:semiHidden/>
    <w:rsid w:val="005208D3"/>
    <w:rPr>
      <w:rFonts w:ascii="Courier" w:hAnsi="Courier" w:cs="Courier"/>
      <w:b/>
      <w:bCs/>
      <w:lang w:val="x-none" w:eastAsia="cs-CZ"/>
    </w:rPr>
  </w:style>
  <w:style w:type="character" w:customStyle="1" w:styleId="ObyajntextChar1630">
    <w:name w:val="Obyčajný text Char1630"/>
    <w:aliases w:val="Obyčajný text Char Char Char Char1631"/>
    <w:basedOn w:val="Predvolenpsmoodseku"/>
    <w:uiPriority w:val="99"/>
    <w:semiHidden/>
    <w:rsid w:val="005208D3"/>
    <w:rPr>
      <w:rFonts w:ascii="Courier New" w:hAnsi="Courier New" w:cs="Courier New"/>
      <w:lang w:val="x-none" w:eastAsia="cs-CZ"/>
    </w:rPr>
  </w:style>
  <w:style w:type="character" w:customStyle="1" w:styleId="ObyajntextChar1629">
    <w:name w:val="Obyčajný text Char1629"/>
    <w:aliases w:val="Obyčajný text Char Char Char Char1630"/>
    <w:basedOn w:val="Predvolenpsmoodseku"/>
    <w:uiPriority w:val="99"/>
    <w:semiHidden/>
    <w:rsid w:val="005208D3"/>
    <w:rPr>
      <w:rFonts w:ascii="Courier New" w:hAnsi="Courier New" w:cs="Courier New"/>
      <w:lang w:val="x-none" w:eastAsia="cs-CZ"/>
    </w:rPr>
  </w:style>
  <w:style w:type="character" w:customStyle="1" w:styleId="ObyajntextChar1628">
    <w:name w:val="Obyčajný text Char1628"/>
    <w:aliases w:val="Obyčajný text Char Char Char Char1629"/>
    <w:basedOn w:val="Predvolenpsmoodseku"/>
    <w:uiPriority w:val="99"/>
    <w:semiHidden/>
    <w:rsid w:val="005208D3"/>
    <w:rPr>
      <w:rFonts w:ascii="Courier New" w:hAnsi="Courier New" w:cs="Courier New"/>
      <w:lang w:val="x-none" w:eastAsia="cs-CZ"/>
    </w:rPr>
  </w:style>
  <w:style w:type="character" w:customStyle="1" w:styleId="ObyajntextChar1627">
    <w:name w:val="Obyčajný text Char1627"/>
    <w:aliases w:val="Obyčajný text Char Char Char Char1628"/>
    <w:basedOn w:val="Predvolenpsmoodseku"/>
    <w:uiPriority w:val="99"/>
    <w:semiHidden/>
    <w:rsid w:val="005208D3"/>
    <w:rPr>
      <w:rFonts w:ascii="Courier New" w:hAnsi="Courier New" w:cs="Courier New"/>
      <w:lang w:val="x-none" w:eastAsia="cs-CZ"/>
    </w:rPr>
  </w:style>
  <w:style w:type="character" w:customStyle="1" w:styleId="ObyajntextChar1626">
    <w:name w:val="Obyčajný text Char1626"/>
    <w:aliases w:val="Obyčajný text Char Char Char Char1627"/>
    <w:basedOn w:val="Predvolenpsmoodseku"/>
    <w:uiPriority w:val="99"/>
    <w:semiHidden/>
    <w:rsid w:val="005208D3"/>
    <w:rPr>
      <w:rFonts w:ascii="Courier New" w:hAnsi="Courier New" w:cs="Courier New"/>
      <w:lang w:val="x-none" w:eastAsia="cs-CZ"/>
    </w:rPr>
  </w:style>
  <w:style w:type="character" w:customStyle="1" w:styleId="ObyajntextChar1625">
    <w:name w:val="Obyčajný text Char1625"/>
    <w:aliases w:val="Obyčajný text Char Char Char Char1626"/>
    <w:basedOn w:val="Predvolenpsmoodseku"/>
    <w:uiPriority w:val="99"/>
    <w:semiHidden/>
    <w:rsid w:val="005208D3"/>
    <w:rPr>
      <w:rFonts w:ascii="Courier New" w:hAnsi="Courier New" w:cs="Courier New"/>
      <w:lang w:val="x-none" w:eastAsia="cs-CZ"/>
    </w:rPr>
  </w:style>
  <w:style w:type="character" w:customStyle="1" w:styleId="ObyajntextChar1624">
    <w:name w:val="Obyčajný text Char1624"/>
    <w:aliases w:val="Obyčajný text Char Char Char Char1625"/>
    <w:basedOn w:val="Predvolenpsmoodseku"/>
    <w:uiPriority w:val="99"/>
    <w:semiHidden/>
    <w:rsid w:val="005208D3"/>
    <w:rPr>
      <w:rFonts w:ascii="Courier New" w:hAnsi="Courier New" w:cs="Courier New"/>
      <w:lang w:val="x-none" w:eastAsia="cs-CZ"/>
    </w:rPr>
  </w:style>
  <w:style w:type="character" w:customStyle="1" w:styleId="ObyajntextChar1623">
    <w:name w:val="Obyčajný text Char1623"/>
    <w:aliases w:val="Obyčajný text Char Char Char Char1624"/>
    <w:basedOn w:val="Predvolenpsmoodseku"/>
    <w:uiPriority w:val="99"/>
    <w:semiHidden/>
    <w:rsid w:val="005208D3"/>
    <w:rPr>
      <w:rFonts w:ascii="Courier New" w:hAnsi="Courier New" w:cs="Courier New"/>
      <w:lang w:val="x-none" w:eastAsia="cs-CZ"/>
    </w:rPr>
  </w:style>
  <w:style w:type="character" w:customStyle="1" w:styleId="ObyajntextChar1622">
    <w:name w:val="Obyčajný text Char1622"/>
    <w:aliases w:val="Obyčajný text Char Char Char Char1623"/>
    <w:basedOn w:val="Predvolenpsmoodseku"/>
    <w:uiPriority w:val="99"/>
    <w:semiHidden/>
    <w:rsid w:val="005208D3"/>
    <w:rPr>
      <w:rFonts w:ascii="Courier New" w:hAnsi="Courier New" w:cs="Courier New"/>
      <w:lang w:val="x-none" w:eastAsia="cs-CZ"/>
    </w:rPr>
  </w:style>
  <w:style w:type="table" w:customStyle="1" w:styleId="Mriekatabuky5">
    <w:name w:val="Mriežka tabuľky5"/>
    <w:basedOn w:val="Normlnatabuka"/>
    <w:next w:val="Mriekatabuky"/>
    <w:uiPriority w:val="59"/>
    <w:rsid w:val="00A230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59"/>
    <w:rsid w:val="00A230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
    <w:name w:val="Mriežka tabuľky23"/>
    <w:basedOn w:val="Normlnatabuka"/>
    <w:next w:val="Mriekatabuky"/>
    <w:uiPriority w:val="59"/>
    <w:rsid w:val="00A230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
    <w:name w:val="Mriežka tabuľky113"/>
    <w:basedOn w:val="Normlnatabuka"/>
    <w:next w:val="Mriekatabuky"/>
    <w:uiPriority w:val="59"/>
    <w:rsid w:val="00A230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A230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
    <w:name w:val="Mriežka tabuľky122"/>
    <w:basedOn w:val="Normlnatabuka"/>
    <w:next w:val="Mriekatabuky"/>
    <w:uiPriority w:val="59"/>
    <w:rsid w:val="00A230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
    <w:name w:val="Mriežka tabuľky212"/>
    <w:basedOn w:val="Normlnatabuka"/>
    <w:next w:val="Mriekatabuky"/>
    <w:uiPriority w:val="59"/>
    <w:rsid w:val="00A230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
    <w:name w:val="Mriežka tabuľky1112"/>
    <w:basedOn w:val="Normlnatabuka"/>
    <w:next w:val="Mriekatabuky"/>
    <w:uiPriority w:val="59"/>
    <w:rsid w:val="00A230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A230BF"/>
    <w:rPr>
      <w:rFonts w:ascii="Times New Roman" w:hAnsi="Times New Roman"/>
      <w:color w:val="808080"/>
    </w:rPr>
  </w:style>
  <w:style w:type="numbering" w:customStyle="1" w:styleId="Bezzoznamu2">
    <w:name w:val="Bez zoznamu2"/>
    <w:next w:val="Bezzoznamu"/>
    <w:uiPriority w:val="99"/>
    <w:semiHidden/>
    <w:unhideWhenUsed/>
    <w:rsid w:val="005D7F2F"/>
  </w:style>
  <w:style w:type="table" w:customStyle="1" w:styleId="Mriekatabuky6">
    <w:name w:val="Mriežka tabuľky6"/>
    <w:basedOn w:val="Normlnatabuka"/>
    <w:next w:val="Mriekatabuky"/>
    <w:rsid w:val="005D7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ý text 21"/>
    <w:basedOn w:val="Normlny"/>
    <w:rsid w:val="005D7F2F"/>
    <w:pPr>
      <w:overflowPunct w:val="0"/>
      <w:autoSpaceDE w:val="0"/>
      <w:autoSpaceDN w:val="0"/>
      <w:adjustRightInd w:val="0"/>
      <w:jc w:val="both"/>
      <w:textAlignment w:val="baseline"/>
    </w:pPr>
    <w:rPr>
      <w:rFonts w:ascii="Times New Roman" w:hAnsi="Times New Roman" w:cs="Times New Roman"/>
      <w:szCs w:val="20"/>
      <w:lang w:eastAsia="sk-SK"/>
    </w:rPr>
  </w:style>
  <w:style w:type="character" w:customStyle="1" w:styleId="Textzstupnhosymbolu1">
    <w:name w:val="Text zástupného symbolu1"/>
    <w:semiHidden/>
    <w:rsid w:val="005D7F2F"/>
    <w:rPr>
      <w:rFonts w:cs="Times New Roman"/>
      <w:color w:val="808080"/>
    </w:rPr>
  </w:style>
  <w:style w:type="numbering" w:customStyle="1" w:styleId="Bezzoznamu3">
    <w:name w:val="Bez zoznamu3"/>
    <w:next w:val="Bezzoznamu"/>
    <w:uiPriority w:val="99"/>
    <w:semiHidden/>
    <w:unhideWhenUsed/>
    <w:rsid w:val="005D7F2F"/>
  </w:style>
  <w:style w:type="table" w:customStyle="1" w:styleId="Mriekatabuky7">
    <w:name w:val="Mriežka tabuľky7"/>
    <w:basedOn w:val="Normlnatabuka"/>
    <w:next w:val="Mriekatabuky"/>
    <w:rsid w:val="005D7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ite">
    <w:name w:val="Nositeľ"/>
    <w:basedOn w:val="Normlny"/>
    <w:next w:val="Nadpis2"/>
    <w:rsid w:val="005D7F2F"/>
    <w:pPr>
      <w:spacing w:before="240" w:after="120"/>
      <w:ind w:left="567"/>
    </w:pPr>
    <w:rPr>
      <w:rFonts w:ascii="Times New Roman" w:hAnsi="Times New Roman" w:cs="Times New Roman"/>
      <w:b/>
      <w:bCs/>
      <w:lang w:eastAsia="sk-SK"/>
    </w:rPr>
  </w:style>
  <w:style w:type="numbering" w:customStyle="1" w:styleId="Bezzoznamu11">
    <w:name w:val="Bez zoznamu11"/>
    <w:next w:val="Bezzoznamu"/>
    <w:uiPriority w:val="99"/>
    <w:semiHidden/>
    <w:unhideWhenUsed/>
    <w:rsid w:val="009172F5"/>
  </w:style>
  <w:style w:type="paragraph" w:customStyle="1" w:styleId="a">
    <w:uiPriority w:val="99"/>
    <w:rsid w:val="009172F5"/>
    <w:rPr>
      <w:rFonts w:ascii="Courier" w:hAnsi="Courier" w:cs="Courier"/>
      <w:sz w:val="24"/>
      <w:szCs w:val="24"/>
      <w:lang w:eastAsia="cs-CZ"/>
    </w:rPr>
  </w:style>
  <w:style w:type="paragraph" w:customStyle="1" w:styleId="font5">
    <w:name w:val="font5"/>
    <w:basedOn w:val="Normlny"/>
    <w:rsid w:val="00680C5D"/>
    <w:pPr>
      <w:spacing w:before="100" w:beforeAutospacing="1" w:after="100" w:afterAutospacing="1"/>
    </w:pPr>
    <w:rPr>
      <w:rFonts w:ascii="Segoe UI" w:hAnsi="Segoe UI" w:cs="Segoe UI"/>
      <w:color w:val="000000"/>
      <w:sz w:val="18"/>
      <w:szCs w:val="18"/>
      <w:lang w:eastAsia="sk-SK"/>
    </w:rPr>
  </w:style>
  <w:style w:type="paragraph" w:customStyle="1" w:styleId="font6">
    <w:name w:val="font6"/>
    <w:basedOn w:val="Normlny"/>
    <w:rsid w:val="00680C5D"/>
    <w:pPr>
      <w:spacing w:before="100" w:beforeAutospacing="1" w:after="100" w:afterAutospacing="1"/>
    </w:pPr>
    <w:rPr>
      <w:rFonts w:ascii="Segoe UI" w:hAnsi="Segoe UI" w:cs="Segoe UI"/>
      <w:b/>
      <w:bCs/>
      <w:color w:val="000000"/>
      <w:sz w:val="18"/>
      <w:szCs w:val="18"/>
      <w:lang w:eastAsia="sk-SK"/>
    </w:rPr>
  </w:style>
  <w:style w:type="paragraph" w:customStyle="1" w:styleId="xl204">
    <w:name w:val="xl204"/>
    <w:basedOn w:val="Normlny"/>
    <w:rsid w:val="00680C5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hAnsi="Times New Roman" w:cs="Times New Roman"/>
      <w:b/>
      <w:bCs/>
      <w:sz w:val="14"/>
      <w:szCs w:val="14"/>
      <w:lang w:eastAsia="sk-SK"/>
    </w:rPr>
  </w:style>
  <w:style w:type="paragraph" w:customStyle="1" w:styleId="xl205">
    <w:name w:val="xl205"/>
    <w:basedOn w:val="Normlny"/>
    <w:rsid w:val="00680C5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hAnsi="Times New Roman" w:cs="Times New Roman"/>
      <w:b/>
      <w:bCs/>
      <w:sz w:val="14"/>
      <w:szCs w:val="14"/>
      <w:lang w:eastAsia="sk-SK"/>
    </w:rPr>
  </w:style>
  <w:style w:type="paragraph" w:customStyle="1" w:styleId="xl206">
    <w:name w:val="xl206"/>
    <w:basedOn w:val="Normlny"/>
    <w:rsid w:val="00680C5D"/>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Times New Roman" w:hAnsi="Times New Roman" w:cs="Times New Roman"/>
      <w:b/>
      <w:bCs/>
      <w:sz w:val="14"/>
      <w:szCs w:val="14"/>
      <w:lang w:eastAsia="sk-SK"/>
    </w:rPr>
  </w:style>
  <w:style w:type="paragraph" w:customStyle="1" w:styleId="xl207">
    <w:name w:val="xl207"/>
    <w:basedOn w:val="Normlny"/>
    <w:rsid w:val="00680C5D"/>
    <w:pPr>
      <w:pBdr>
        <w:top w:val="single" w:sz="4" w:space="0" w:color="auto"/>
        <w:left w:val="single" w:sz="4" w:space="0" w:color="auto"/>
        <w:right w:val="single" w:sz="4" w:space="0" w:color="auto"/>
      </w:pBdr>
      <w:shd w:val="clear" w:color="000000" w:fill="BFBFBF"/>
      <w:spacing w:before="100" w:beforeAutospacing="1" w:after="100" w:afterAutospacing="1"/>
      <w:jc w:val="right"/>
      <w:textAlignment w:val="center"/>
    </w:pPr>
    <w:rPr>
      <w:rFonts w:ascii="Times New Roman" w:hAnsi="Times New Roman" w:cs="Times New Roman"/>
      <w:b/>
      <w:bCs/>
      <w:sz w:val="14"/>
      <w:szCs w:val="14"/>
      <w:lang w:eastAsia="sk-SK"/>
    </w:rPr>
  </w:style>
  <w:style w:type="paragraph" w:customStyle="1" w:styleId="xl208">
    <w:name w:val="xl208"/>
    <w:basedOn w:val="Normlny"/>
    <w:rsid w:val="00680C5D"/>
    <w:pPr>
      <w:pBdr>
        <w:left w:val="single" w:sz="4" w:space="0" w:color="auto"/>
        <w:right w:val="single" w:sz="4" w:space="0" w:color="auto"/>
      </w:pBdr>
      <w:shd w:val="clear" w:color="000000" w:fill="BFBFBF"/>
      <w:spacing w:before="100" w:beforeAutospacing="1" w:after="100" w:afterAutospacing="1"/>
      <w:jc w:val="both"/>
      <w:textAlignment w:val="center"/>
    </w:pPr>
    <w:rPr>
      <w:rFonts w:ascii="Times New Roman" w:hAnsi="Times New Roman" w:cs="Times New Roman"/>
      <w:b/>
      <w:bCs/>
      <w:i/>
      <w:iCs/>
      <w:sz w:val="14"/>
      <w:szCs w:val="14"/>
      <w:lang w:eastAsia="sk-SK"/>
    </w:rPr>
  </w:style>
  <w:style w:type="paragraph" w:customStyle="1" w:styleId="xl209">
    <w:name w:val="xl209"/>
    <w:basedOn w:val="Normlny"/>
    <w:rsid w:val="00680C5D"/>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cs="Times New Roman"/>
      <w:b/>
      <w:bCs/>
      <w:sz w:val="14"/>
      <w:szCs w:val="14"/>
      <w:lang w:eastAsia="sk-SK"/>
    </w:rPr>
  </w:style>
  <w:style w:type="paragraph" w:customStyle="1" w:styleId="xl210">
    <w:name w:val="xl210"/>
    <w:basedOn w:val="Normlny"/>
    <w:rsid w:val="00680C5D"/>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b/>
      <w:bCs/>
      <w:sz w:val="14"/>
      <w:szCs w:val="14"/>
      <w:lang w:eastAsia="sk-SK"/>
    </w:rPr>
  </w:style>
  <w:style w:type="paragraph" w:customStyle="1" w:styleId="xl211">
    <w:name w:val="xl211"/>
    <w:basedOn w:val="Normlny"/>
    <w:rsid w:val="00680C5D"/>
    <w:pPr>
      <w:pBdr>
        <w:left w:val="single" w:sz="4" w:space="0" w:color="auto"/>
        <w:right w:val="single" w:sz="4" w:space="0" w:color="auto"/>
      </w:pBdr>
      <w:spacing w:before="100" w:beforeAutospacing="1" w:after="100" w:afterAutospacing="1"/>
      <w:jc w:val="both"/>
      <w:textAlignment w:val="center"/>
    </w:pPr>
    <w:rPr>
      <w:rFonts w:ascii="Times New Roman" w:hAnsi="Times New Roman" w:cs="Times New Roman"/>
      <w:i/>
      <w:iCs/>
      <w:sz w:val="14"/>
      <w:szCs w:val="14"/>
      <w:lang w:eastAsia="sk-SK"/>
    </w:rPr>
  </w:style>
  <w:style w:type="paragraph" w:customStyle="1" w:styleId="xl212">
    <w:name w:val="xl212"/>
    <w:basedOn w:val="Normlny"/>
    <w:rsid w:val="00680C5D"/>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sz w:val="14"/>
      <w:szCs w:val="14"/>
      <w:lang w:eastAsia="sk-SK"/>
    </w:rPr>
  </w:style>
  <w:style w:type="paragraph" w:customStyle="1" w:styleId="xl213">
    <w:name w:val="xl213"/>
    <w:basedOn w:val="Normlny"/>
    <w:rsid w:val="00680C5D"/>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sz w:val="14"/>
      <w:szCs w:val="14"/>
      <w:lang w:eastAsia="sk-SK"/>
    </w:rPr>
  </w:style>
  <w:style w:type="paragraph" w:customStyle="1" w:styleId="xl214">
    <w:name w:val="xl214"/>
    <w:basedOn w:val="Normlny"/>
    <w:rsid w:val="00680C5D"/>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cs="Times New Roman"/>
      <w:b/>
      <w:bCs/>
      <w:sz w:val="14"/>
      <w:szCs w:val="14"/>
      <w:lang w:eastAsia="sk-SK"/>
    </w:rPr>
  </w:style>
  <w:style w:type="paragraph" w:customStyle="1" w:styleId="xl215">
    <w:name w:val="xl215"/>
    <w:basedOn w:val="Normlny"/>
    <w:rsid w:val="00680C5D"/>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cs="Times New Roman"/>
      <w:b/>
      <w:bCs/>
      <w:sz w:val="14"/>
      <w:szCs w:val="14"/>
      <w:lang w:eastAsia="sk-SK"/>
    </w:rPr>
  </w:style>
  <w:style w:type="paragraph" w:customStyle="1" w:styleId="xl216">
    <w:name w:val="xl216"/>
    <w:basedOn w:val="Normlny"/>
    <w:rsid w:val="00680C5D"/>
    <w:pPr>
      <w:pBdr>
        <w:left w:val="single" w:sz="4" w:space="0" w:color="auto"/>
        <w:right w:val="single" w:sz="4" w:space="0" w:color="auto"/>
      </w:pBdr>
      <w:shd w:val="clear" w:color="000000" w:fill="BFBFBF"/>
      <w:spacing w:before="100" w:beforeAutospacing="1" w:after="100" w:afterAutospacing="1"/>
      <w:jc w:val="right"/>
      <w:textAlignment w:val="center"/>
    </w:pPr>
    <w:rPr>
      <w:rFonts w:ascii="Times New Roman" w:hAnsi="Times New Roman" w:cs="Times New Roman"/>
      <w:b/>
      <w:bCs/>
      <w:i/>
      <w:iCs/>
      <w:sz w:val="14"/>
      <w:szCs w:val="14"/>
      <w:lang w:eastAsia="sk-SK"/>
    </w:rPr>
  </w:style>
  <w:style w:type="paragraph" w:customStyle="1" w:styleId="xl217">
    <w:name w:val="xl217"/>
    <w:basedOn w:val="Normlny"/>
    <w:rsid w:val="00680C5D"/>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i/>
      <w:iCs/>
      <w:sz w:val="14"/>
      <w:szCs w:val="14"/>
      <w:lang w:eastAsia="sk-SK"/>
    </w:rPr>
  </w:style>
  <w:style w:type="paragraph" w:customStyle="1" w:styleId="xl218">
    <w:name w:val="xl218"/>
    <w:basedOn w:val="Normlny"/>
    <w:rsid w:val="00680C5D"/>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s="Times New Roman"/>
      <w:b/>
      <w:bCs/>
      <w:sz w:val="14"/>
      <w:szCs w:val="14"/>
      <w:lang w:eastAsia="sk-SK"/>
    </w:rPr>
  </w:style>
  <w:style w:type="paragraph" w:customStyle="1" w:styleId="xl219">
    <w:name w:val="xl219"/>
    <w:basedOn w:val="Normlny"/>
    <w:rsid w:val="00680C5D"/>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sz w:val="14"/>
      <w:szCs w:val="14"/>
      <w:lang w:eastAsia="sk-SK"/>
    </w:rPr>
  </w:style>
  <w:style w:type="paragraph" w:customStyle="1" w:styleId="xl220">
    <w:name w:val="xl220"/>
    <w:basedOn w:val="Normlny"/>
    <w:rsid w:val="00680C5D"/>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sz w:val="14"/>
      <w:szCs w:val="14"/>
      <w:lang w:eastAsia="sk-SK"/>
    </w:rPr>
  </w:style>
  <w:style w:type="paragraph" w:customStyle="1" w:styleId="xl221">
    <w:name w:val="xl221"/>
    <w:basedOn w:val="Normlny"/>
    <w:rsid w:val="00680C5D"/>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b/>
      <w:bCs/>
      <w:sz w:val="14"/>
      <w:szCs w:val="14"/>
      <w:lang w:eastAsia="sk-SK"/>
    </w:rPr>
  </w:style>
  <w:style w:type="paragraph" w:customStyle="1" w:styleId="xl222">
    <w:name w:val="xl222"/>
    <w:basedOn w:val="Normlny"/>
    <w:rsid w:val="00680C5D"/>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sz w:val="20"/>
      <w:szCs w:val="20"/>
      <w:lang w:eastAsia="sk-SK"/>
    </w:rPr>
  </w:style>
  <w:style w:type="paragraph" w:customStyle="1" w:styleId="xl223">
    <w:name w:val="xl223"/>
    <w:basedOn w:val="Normlny"/>
    <w:rsid w:val="00680C5D"/>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b/>
      <w:bCs/>
      <w:lang w:eastAsia="sk-SK"/>
    </w:rPr>
  </w:style>
  <w:style w:type="paragraph" w:customStyle="1" w:styleId="xl224">
    <w:name w:val="xl224"/>
    <w:basedOn w:val="Normlny"/>
    <w:rsid w:val="00680C5D"/>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b/>
      <w:bCs/>
      <w:lang w:eastAsia="sk-SK"/>
    </w:rPr>
  </w:style>
  <w:style w:type="paragraph" w:customStyle="1" w:styleId="xl225">
    <w:name w:val="xl225"/>
    <w:basedOn w:val="Normlny"/>
    <w:rsid w:val="00680C5D"/>
    <w:pPr>
      <w:pBdr>
        <w:left w:val="single" w:sz="4" w:space="0" w:color="auto"/>
        <w:right w:val="single" w:sz="4" w:space="0" w:color="auto"/>
      </w:pBdr>
      <w:shd w:val="clear" w:color="000000" w:fill="BFBFBF"/>
      <w:spacing w:before="100" w:beforeAutospacing="1" w:after="100" w:afterAutospacing="1"/>
      <w:jc w:val="right"/>
      <w:textAlignment w:val="center"/>
    </w:pPr>
    <w:rPr>
      <w:rFonts w:ascii="Times New Roman" w:hAnsi="Times New Roman" w:cs="Times New Roman"/>
      <w:i/>
      <w:iCs/>
      <w:sz w:val="14"/>
      <w:szCs w:val="14"/>
      <w:lang w:eastAsia="sk-SK"/>
    </w:rPr>
  </w:style>
  <w:style w:type="paragraph" w:customStyle="1" w:styleId="xl226">
    <w:name w:val="xl226"/>
    <w:basedOn w:val="Normlny"/>
    <w:rsid w:val="00680C5D"/>
    <w:pPr>
      <w:pBdr>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s="Times New Roman"/>
      <w:sz w:val="14"/>
      <w:szCs w:val="14"/>
      <w:lang w:eastAsia="sk-SK"/>
    </w:rPr>
  </w:style>
  <w:style w:type="paragraph" w:customStyle="1" w:styleId="xl227">
    <w:name w:val="xl227"/>
    <w:basedOn w:val="Normlny"/>
    <w:rsid w:val="00680C5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s="Times New Roman"/>
      <w:sz w:val="14"/>
      <w:szCs w:val="14"/>
      <w:lang w:eastAsia="sk-SK"/>
    </w:rPr>
  </w:style>
  <w:style w:type="paragraph" w:customStyle="1" w:styleId="xl228">
    <w:name w:val="xl228"/>
    <w:basedOn w:val="Normlny"/>
    <w:rsid w:val="00680C5D"/>
    <w:pPr>
      <w:pBdr>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Times New Roman" w:hAnsi="Times New Roman" w:cs="Times New Roman"/>
      <w:i/>
      <w:iCs/>
      <w:sz w:val="14"/>
      <w:szCs w:val="14"/>
      <w:lang w:eastAsia="sk-SK"/>
    </w:rPr>
  </w:style>
  <w:style w:type="paragraph" w:customStyle="1" w:styleId="xl229">
    <w:name w:val="xl229"/>
    <w:basedOn w:val="Normlny"/>
    <w:rsid w:val="00680C5D"/>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b/>
      <w:bCs/>
      <w:sz w:val="14"/>
      <w:szCs w:val="14"/>
      <w:lang w:eastAsia="sk-SK"/>
    </w:rPr>
  </w:style>
  <w:style w:type="paragraph" w:customStyle="1" w:styleId="xl230">
    <w:name w:val="xl230"/>
    <w:basedOn w:val="Normlny"/>
    <w:rsid w:val="00680C5D"/>
    <w:pPr>
      <w:pBdr>
        <w:left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cs="Times New Roman"/>
      <w:i/>
      <w:iCs/>
      <w:sz w:val="14"/>
      <w:szCs w:val="14"/>
      <w:lang w:eastAsia="sk-SK"/>
    </w:rPr>
  </w:style>
  <w:style w:type="paragraph" w:customStyle="1" w:styleId="xl231">
    <w:name w:val="xl231"/>
    <w:basedOn w:val="Normlny"/>
    <w:rsid w:val="00680C5D"/>
    <w:pPr>
      <w:pBdr>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s="Times New Roman"/>
      <w:sz w:val="14"/>
      <w:szCs w:val="14"/>
      <w:lang w:eastAsia="sk-SK"/>
    </w:rPr>
  </w:style>
  <w:style w:type="paragraph" w:customStyle="1" w:styleId="xl232">
    <w:name w:val="xl232"/>
    <w:basedOn w:val="Normlny"/>
    <w:rsid w:val="00680C5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s="Times New Roman"/>
      <w:sz w:val="14"/>
      <w:szCs w:val="14"/>
      <w:lang w:eastAsia="sk-SK"/>
    </w:rPr>
  </w:style>
  <w:style w:type="paragraph" w:customStyle="1" w:styleId="xl233">
    <w:name w:val="xl233"/>
    <w:basedOn w:val="Normlny"/>
    <w:rsid w:val="00680C5D"/>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sz w:val="20"/>
      <w:szCs w:val="20"/>
      <w:lang w:eastAsia="sk-SK"/>
    </w:rPr>
  </w:style>
  <w:style w:type="paragraph" w:customStyle="1" w:styleId="xl234">
    <w:name w:val="xl234"/>
    <w:basedOn w:val="Normlny"/>
    <w:rsid w:val="00680C5D"/>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b/>
      <w:bCs/>
      <w:lang w:eastAsia="sk-SK"/>
    </w:rPr>
  </w:style>
  <w:style w:type="paragraph" w:customStyle="1" w:styleId="xl235">
    <w:name w:val="xl235"/>
    <w:basedOn w:val="Normlny"/>
    <w:rsid w:val="00680C5D"/>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b/>
      <w:bCs/>
      <w:lang w:eastAsia="sk-SK"/>
    </w:rPr>
  </w:style>
  <w:style w:type="paragraph" w:customStyle="1" w:styleId="xl236">
    <w:name w:val="xl236"/>
    <w:basedOn w:val="Normlny"/>
    <w:rsid w:val="00680C5D"/>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i/>
      <w:iCs/>
      <w:sz w:val="14"/>
      <w:szCs w:val="14"/>
      <w:lang w:eastAsia="sk-SK"/>
    </w:rPr>
  </w:style>
  <w:style w:type="paragraph" w:customStyle="1" w:styleId="xl237">
    <w:name w:val="xl237"/>
    <w:basedOn w:val="Normlny"/>
    <w:rsid w:val="00680C5D"/>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sz w:val="14"/>
      <w:szCs w:val="14"/>
      <w:lang w:eastAsia="sk-SK"/>
    </w:rPr>
  </w:style>
  <w:style w:type="paragraph" w:styleId="Popis">
    <w:name w:val="caption"/>
    <w:basedOn w:val="Normlny"/>
    <w:next w:val="Normlny"/>
    <w:uiPriority w:val="35"/>
    <w:unhideWhenUsed/>
    <w:qFormat/>
    <w:rsid w:val="00E640B8"/>
    <w:pPr>
      <w:spacing w:after="200"/>
    </w:pPr>
    <w:rPr>
      <w:rFonts w:ascii="Arial Narrow" w:eastAsiaTheme="minorHAnsi" w:hAnsi="Arial Narrow" w:cstheme="minorBidi"/>
      <w:i/>
      <w:iCs/>
      <w:color w:val="1F497D" w:themeColor="text2"/>
      <w:sz w:val="18"/>
      <w:szCs w:val="18"/>
      <w:lang w:eastAsia="en-US"/>
    </w:rPr>
  </w:style>
  <w:style w:type="table" w:customStyle="1" w:styleId="Mriekatabukysvetl1">
    <w:name w:val="Mriežka tabuľky – svetlá1"/>
    <w:basedOn w:val="Normlnatabuka"/>
    <w:uiPriority w:val="40"/>
    <w:rsid w:val="00E640B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295pt">
    <w:name w:val="Body text (2) + 9.5 pt"/>
    <w:aliases w:val="Bold"/>
    <w:basedOn w:val="Predvolenpsmoodseku"/>
    <w:qFormat/>
    <w:rsid w:val="00E640B8"/>
    <w:rPr>
      <w:rFonts w:ascii="Arial Narrow" w:eastAsia="Arial" w:hAnsi="Arial Narrow" w:cs="Arial"/>
      <w:color w:val="000000"/>
      <w:sz w:val="20"/>
      <w:szCs w:val="19"/>
      <w:lang w:val="fr-FR" w:eastAsia="fr-FR" w:bidi="fr-FR"/>
    </w:rPr>
  </w:style>
  <w:style w:type="numbering" w:customStyle="1" w:styleId="Bezzoznamu4">
    <w:name w:val="Bez zoznamu4"/>
    <w:next w:val="Bezzoznamu"/>
    <w:uiPriority w:val="99"/>
    <w:semiHidden/>
    <w:unhideWhenUsed/>
    <w:rsid w:val="009F3C03"/>
  </w:style>
  <w:style w:type="numbering" w:customStyle="1" w:styleId="Bezzoznamu111">
    <w:name w:val="Bez zoznamu111"/>
    <w:next w:val="Bezzoznamu"/>
    <w:uiPriority w:val="99"/>
    <w:semiHidden/>
    <w:unhideWhenUsed/>
    <w:rsid w:val="00487B72"/>
  </w:style>
  <w:style w:type="paragraph" w:customStyle="1" w:styleId="Popis1">
    <w:name w:val="Popis1"/>
    <w:basedOn w:val="Normlny"/>
    <w:next w:val="Normlny"/>
    <w:uiPriority w:val="35"/>
    <w:unhideWhenUsed/>
    <w:qFormat/>
    <w:rsid w:val="00487B72"/>
    <w:pPr>
      <w:spacing w:after="200"/>
    </w:pPr>
    <w:rPr>
      <w:rFonts w:ascii="Arial Narrow" w:eastAsiaTheme="minorHAnsi" w:hAnsi="Arial Narrow" w:cstheme="minorBidi"/>
      <w:i/>
      <w:iCs/>
      <w:color w:val="1F497D"/>
      <w:sz w:val="18"/>
      <w:szCs w:val="18"/>
      <w:lang w:eastAsia="en-US"/>
    </w:rPr>
  </w:style>
  <w:style w:type="table" w:customStyle="1" w:styleId="Mriekatabuky8">
    <w:name w:val="Mriežka tabuľky8"/>
    <w:basedOn w:val="Normlnatabuka"/>
    <w:next w:val="Mriekatabuky"/>
    <w:rsid w:val="006D0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
    <w:name w:val="Bez zoznamu5"/>
    <w:next w:val="Bezzoznamu"/>
    <w:uiPriority w:val="99"/>
    <w:semiHidden/>
    <w:unhideWhenUsed/>
    <w:rsid w:val="00410195"/>
  </w:style>
  <w:style w:type="numbering" w:customStyle="1" w:styleId="Bezzoznamu12">
    <w:name w:val="Bez zoznamu12"/>
    <w:next w:val="Bezzoznamu"/>
    <w:uiPriority w:val="99"/>
    <w:semiHidden/>
    <w:unhideWhenUsed/>
    <w:rsid w:val="00410195"/>
  </w:style>
  <w:style w:type="table" w:customStyle="1" w:styleId="Mriekatabuky9">
    <w:name w:val="Mriežka tabuľky9"/>
    <w:basedOn w:val="Normlnatabuka"/>
    <w:next w:val="Mriekatabuky"/>
    <w:uiPriority w:val="39"/>
    <w:rsid w:val="0041019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next w:val="Mriekatabuky"/>
    <w:uiPriority w:val="39"/>
    <w:rsid w:val="0041019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
    <w:name w:val="Mriežka tabuľky24"/>
    <w:basedOn w:val="Normlnatabuka"/>
    <w:next w:val="Mriekatabuky"/>
    <w:uiPriority w:val="39"/>
    <w:rsid w:val="0041019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
    <w:name w:val="Mriežka tabuľky114"/>
    <w:basedOn w:val="Normlnatabuka"/>
    <w:next w:val="Mriekatabuky"/>
    <w:uiPriority w:val="59"/>
    <w:rsid w:val="0041019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
    <w:name w:val="Mriežka tabuľky33"/>
    <w:basedOn w:val="Normlnatabuka"/>
    <w:next w:val="Mriekatabuky"/>
    <w:uiPriority w:val="59"/>
    <w:rsid w:val="0041019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
    <w:name w:val="Mriežka tabuľky123"/>
    <w:basedOn w:val="Normlnatabuka"/>
    <w:next w:val="Mriekatabuky"/>
    <w:uiPriority w:val="59"/>
    <w:rsid w:val="0041019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
    <w:name w:val="Mriežka tabuľky213"/>
    <w:basedOn w:val="Normlnatabuka"/>
    <w:next w:val="Mriekatabuky"/>
    <w:uiPriority w:val="59"/>
    <w:rsid w:val="0041019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
    <w:name w:val="Mriežka tabuľky1113"/>
    <w:basedOn w:val="Normlnatabuka"/>
    <w:next w:val="Mriekatabuky"/>
    <w:uiPriority w:val="59"/>
    <w:rsid w:val="0041019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
    <w:name w:val="Mriežka tabuľky41"/>
    <w:basedOn w:val="Normlnatabuka"/>
    <w:next w:val="Mriekatabuky"/>
    <w:uiPriority w:val="59"/>
    <w:rsid w:val="00410195"/>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
    <w:name w:val="Mriežka tabuľky131"/>
    <w:basedOn w:val="Normlnatabuka"/>
    <w:uiPriority w:val="59"/>
    <w:rsid w:val="00410195"/>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
    <w:name w:val="Mriežka tabuľky221"/>
    <w:basedOn w:val="Normlnatabuka"/>
    <w:uiPriority w:val="59"/>
    <w:rsid w:val="00410195"/>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
    <w:name w:val="Mriežka tabuľky1121"/>
    <w:basedOn w:val="Normlnatabuka"/>
    <w:uiPriority w:val="59"/>
    <w:rsid w:val="00410195"/>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
    <w:name w:val="Mriežka tabuľky311"/>
    <w:basedOn w:val="Normlnatabuka"/>
    <w:uiPriority w:val="59"/>
    <w:rsid w:val="00410195"/>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
    <w:name w:val="Mriežka tabuľky1211"/>
    <w:basedOn w:val="Normlnatabuka"/>
    <w:uiPriority w:val="59"/>
    <w:rsid w:val="00410195"/>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
    <w:name w:val="Mriežka tabuľky2111"/>
    <w:basedOn w:val="Normlnatabuka"/>
    <w:uiPriority w:val="59"/>
    <w:rsid w:val="00410195"/>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
    <w:name w:val="Mriežka tabuľky11111"/>
    <w:basedOn w:val="Normlnatabuka"/>
    <w:uiPriority w:val="59"/>
    <w:rsid w:val="00410195"/>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
    <w:name w:val="Kalendár 21"/>
    <w:basedOn w:val="Normlnatabuka"/>
    <w:uiPriority w:val="99"/>
    <w:qFormat/>
    <w:rsid w:val="00410195"/>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
    <w:name w:val="Bez zoznamu112"/>
    <w:next w:val="Bezzoznamu"/>
    <w:uiPriority w:val="99"/>
    <w:semiHidden/>
    <w:unhideWhenUsed/>
    <w:rsid w:val="00410195"/>
  </w:style>
  <w:style w:type="table" w:customStyle="1" w:styleId="Mriekatabuky51">
    <w:name w:val="Mriežka tabuľky51"/>
    <w:basedOn w:val="Normlnatabuka"/>
    <w:next w:val="Mriekatabuky"/>
    <w:uiPriority w:val="59"/>
    <w:rsid w:val="0041019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
    <w:name w:val="Mriežka tabuľky141"/>
    <w:basedOn w:val="Normlnatabuka"/>
    <w:next w:val="Mriekatabuky"/>
    <w:uiPriority w:val="59"/>
    <w:rsid w:val="0041019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
    <w:name w:val="Mriežka tabuľky231"/>
    <w:basedOn w:val="Normlnatabuka"/>
    <w:next w:val="Mriekatabuky"/>
    <w:uiPriority w:val="59"/>
    <w:rsid w:val="0041019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
    <w:name w:val="Mriežka tabuľky1131"/>
    <w:basedOn w:val="Normlnatabuka"/>
    <w:next w:val="Mriekatabuky"/>
    <w:uiPriority w:val="59"/>
    <w:rsid w:val="0041019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
    <w:name w:val="Mriežka tabuľky321"/>
    <w:basedOn w:val="Normlnatabuka"/>
    <w:next w:val="Mriekatabuky"/>
    <w:uiPriority w:val="59"/>
    <w:rsid w:val="0041019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
    <w:name w:val="Mriežka tabuľky1221"/>
    <w:basedOn w:val="Normlnatabuka"/>
    <w:next w:val="Mriekatabuky"/>
    <w:uiPriority w:val="59"/>
    <w:rsid w:val="0041019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
    <w:name w:val="Mriežka tabuľky2121"/>
    <w:basedOn w:val="Normlnatabuka"/>
    <w:next w:val="Mriekatabuky"/>
    <w:uiPriority w:val="59"/>
    <w:rsid w:val="0041019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
    <w:name w:val="Mriežka tabuľky11121"/>
    <w:basedOn w:val="Normlnatabuka"/>
    <w:next w:val="Mriekatabuky"/>
    <w:uiPriority w:val="59"/>
    <w:rsid w:val="0041019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410195"/>
  </w:style>
  <w:style w:type="table" w:customStyle="1" w:styleId="Mriekatabuky61">
    <w:name w:val="Mriežka tabuľky61"/>
    <w:basedOn w:val="Normlnatabuka"/>
    <w:next w:val="Mriekatabuky"/>
    <w:rsid w:val="00410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
    <w:name w:val="Bez zoznamu31"/>
    <w:next w:val="Bezzoznamu"/>
    <w:uiPriority w:val="99"/>
    <w:semiHidden/>
    <w:unhideWhenUsed/>
    <w:rsid w:val="00410195"/>
  </w:style>
  <w:style w:type="table" w:customStyle="1" w:styleId="Mriekatabuky71">
    <w:name w:val="Mriežka tabuľky71"/>
    <w:basedOn w:val="Normlnatabuka"/>
    <w:next w:val="Mriekatabuky"/>
    <w:rsid w:val="00410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
    <w:name w:val="Bez zoznamu1111"/>
    <w:next w:val="Bezzoznamu"/>
    <w:uiPriority w:val="99"/>
    <w:semiHidden/>
    <w:unhideWhenUsed/>
    <w:rsid w:val="00410195"/>
  </w:style>
  <w:style w:type="table" w:customStyle="1" w:styleId="Mriekatabukysvetl11">
    <w:name w:val="Mriežka tabuľky – svetlá11"/>
    <w:basedOn w:val="Normlnatabuka"/>
    <w:uiPriority w:val="40"/>
    <w:rsid w:val="00410195"/>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opis2">
    <w:name w:val="Popis2"/>
    <w:basedOn w:val="Normlny"/>
    <w:next w:val="Normlny"/>
    <w:uiPriority w:val="35"/>
    <w:unhideWhenUsed/>
    <w:qFormat/>
    <w:rsid w:val="00AE239D"/>
    <w:pPr>
      <w:spacing w:after="200"/>
    </w:pPr>
    <w:rPr>
      <w:rFonts w:ascii="Arial Narrow" w:eastAsiaTheme="minorHAnsi" w:hAnsi="Arial Narrow" w:cstheme="minorBidi"/>
      <w:i/>
      <w:iCs/>
      <w:color w:val="1F497D"/>
      <w:sz w:val="18"/>
      <w:szCs w:val="18"/>
      <w:lang w:eastAsia="en-US"/>
    </w:rPr>
  </w:style>
  <w:style w:type="numbering" w:customStyle="1" w:styleId="Bezzoznamu6">
    <w:name w:val="Bez zoznamu6"/>
    <w:next w:val="Bezzoznamu"/>
    <w:uiPriority w:val="99"/>
    <w:semiHidden/>
    <w:unhideWhenUsed/>
    <w:rsid w:val="004B7D85"/>
  </w:style>
  <w:style w:type="table" w:customStyle="1" w:styleId="UHPGRAF11">
    <w:name w:val="UHP_GRAF11"/>
    <w:basedOn w:val="Normlnatabuka"/>
    <w:uiPriority w:val="99"/>
    <w:rsid w:val="00515349"/>
    <w:pPr>
      <w:spacing w:before="160"/>
      <w:contextualSpacing/>
      <w:jc w:val="both"/>
    </w:pPr>
    <w:rPr>
      <w:rFonts w:ascii="Arial Narrow" w:eastAsia="Calibri" w:hAnsi="Arial Narrow"/>
      <w:lang w:val="en-US"/>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
    <w:name w:val="UHP_GRAF12"/>
    <w:basedOn w:val="Normlnatabuka"/>
    <w:uiPriority w:val="99"/>
    <w:rsid w:val="00515349"/>
    <w:pPr>
      <w:spacing w:before="160"/>
      <w:contextualSpacing/>
      <w:jc w:val="both"/>
    </w:pPr>
    <w:rPr>
      <w:rFonts w:ascii="Arial Narrow" w:eastAsia="Calibri" w:hAnsi="Arial Narrow"/>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ndard6za">
    <w:name w:val="štandard 6 za"/>
    <w:basedOn w:val="Zarkazkladnhotextu"/>
    <w:rsid w:val="00515349"/>
    <w:pPr>
      <w:spacing w:line="240" w:lineRule="auto"/>
      <w:jc w:val="both"/>
    </w:pPr>
    <w:rPr>
      <w:rFonts w:ascii="Times New Roman" w:hAnsi="Times New Roman" w:cs="Times New Roman"/>
      <w:szCs w:val="20"/>
      <w:lang w:eastAsia="sk-SK"/>
    </w:rPr>
  </w:style>
  <w:style w:type="character" w:customStyle="1" w:styleId="OdsekzoznamuChar">
    <w:name w:val="Odsek zoznamu Char"/>
    <w:aliases w:val="body Char,Odsek zoznamu2 Char,Dot pt Char,No Spacing1 Char,List Paragraph Char Char Char Char,Indicator Text Char,Numbered Para 1 Char,List Paragraph à moi Char,LISTA Char,Listaszerű bekezdés2 Char,Listaszerű bekezdés3 Char,3 Char"/>
    <w:basedOn w:val="Predvolenpsmoodseku"/>
    <w:link w:val="Odsekzoznamu"/>
    <w:uiPriority w:val="34"/>
    <w:qFormat/>
    <w:rsid w:val="00515349"/>
    <w:rPr>
      <w:rFonts w:ascii="Courier" w:hAnsi="Courier" w:cs="Courier"/>
      <w:sz w:val="24"/>
      <w:szCs w:val="24"/>
      <w:lang w:eastAsia="cs-CZ"/>
    </w:rPr>
  </w:style>
  <w:style w:type="character" w:styleId="Jemnodkaz">
    <w:name w:val="Subtle Reference"/>
    <w:uiPriority w:val="31"/>
    <w:qFormat/>
    <w:rsid w:val="00515349"/>
    <w:rPr>
      <w:rFonts w:eastAsia="Times New Roman" w:cs="Times New Roman"/>
      <w:bCs/>
      <w:i/>
      <w:sz w:val="18"/>
      <w:lang w:eastAsia="zh-TW"/>
    </w:rPr>
  </w:style>
  <w:style w:type="table" w:customStyle="1" w:styleId="Mriekatabuky10">
    <w:name w:val="Mriežka tabuľky10"/>
    <w:basedOn w:val="Normlnatabuka"/>
    <w:next w:val="Mriekatabuky"/>
    <w:rsid w:val="00515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
    <w:name w:val="Bez zoznamu11111"/>
    <w:next w:val="Bezzoznamu"/>
    <w:uiPriority w:val="99"/>
    <w:semiHidden/>
    <w:unhideWhenUsed/>
    <w:rsid w:val="00515349"/>
  </w:style>
  <w:style w:type="paragraph" w:customStyle="1" w:styleId="a0">
    <w:uiPriority w:val="99"/>
    <w:rsid w:val="00880793"/>
    <w:rPr>
      <w:rFonts w:ascii="Courier" w:hAnsi="Courier" w:cs="Courier"/>
      <w:sz w:val="24"/>
      <w:szCs w:val="24"/>
      <w:lang w:eastAsia="cs-CZ"/>
    </w:rPr>
  </w:style>
  <w:style w:type="character" w:customStyle="1" w:styleId="h1a4">
    <w:name w:val="h1a4"/>
    <w:basedOn w:val="Predvolenpsmoodseku"/>
    <w:rsid w:val="001A34BE"/>
    <w:rPr>
      <w:rFonts w:ascii="Trebuchet MS" w:hAnsi="Trebuchet MS" w:hint="default"/>
      <w:vanish w:val="0"/>
      <w:webHidden w:val="0"/>
      <w:color w:val="505050"/>
      <w:sz w:val="24"/>
      <w:szCs w:val="24"/>
      <w:specVanish w:val="0"/>
    </w:rPr>
  </w:style>
  <w:style w:type="numbering" w:customStyle="1" w:styleId="Bezzoznamu7">
    <w:name w:val="Bez zoznamu7"/>
    <w:next w:val="Bezzoznamu"/>
    <w:uiPriority w:val="99"/>
    <w:semiHidden/>
    <w:unhideWhenUsed/>
    <w:rsid w:val="001A34BE"/>
  </w:style>
  <w:style w:type="table" w:customStyle="1" w:styleId="Mriekatabuky16">
    <w:name w:val="Mriežka tabuľky16"/>
    <w:basedOn w:val="Normlnatabuka"/>
    <w:next w:val="Mriekatabuky"/>
    <w:rsid w:val="001A3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8">
    <w:name w:val="Bez zoznamu8"/>
    <w:next w:val="Bezzoznamu"/>
    <w:uiPriority w:val="99"/>
    <w:semiHidden/>
    <w:unhideWhenUsed/>
    <w:rsid w:val="001A34BE"/>
  </w:style>
  <w:style w:type="numbering" w:customStyle="1" w:styleId="Bezzoznamu9">
    <w:name w:val="Bez zoznamu9"/>
    <w:next w:val="Bezzoznamu"/>
    <w:uiPriority w:val="99"/>
    <w:semiHidden/>
    <w:unhideWhenUsed/>
    <w:rsid w:val="001A34BE"/>
  </w:style>
  <w:style w:type="numbering" w:customStyle="1" w:styleId="Bezzoznamu13">
    <w:name w:val="Bez zoznamu13"/>
    <w:next w:val="Bezzoznamu"/>
    <w:uiPriority w:val="99"/>
    <w:semiHidden/>
    <w:unhideWhenUsed/>
    <w:rsid w:val="001A34BE"/>
  </w:style>
  <w:style w:type="table" w:customStyle="1" w:styleId="Mriekatabuky17">
    <w:name w:val="Mriežka tabuľky17"/>
    <w:basedOn w:val="Normlnatabuka"/>
    <w:next w:val="Mriekatabuky"/>
    <w:uiPriority w:val="3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
    <w:name w:val="Mriežka tabuľky18"/>
    <w:basedOn w:val="Normlnatabuka"/>
    <w:next w:val="Mriekatabuky"/>
    <w:uiPriority w:val="3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5">
    <w:name w:val="Mriežka tabuľky25"/>
    <w:basedOn w:val="Normlnatabuka"/>
    <w:next w:val="Mriekatabuky"/>
    <w:uiPriority w:val="3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5">
    <w:name w:val="Mriežka tabuľky115"/>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
    <w:name w:val="Mriežka tabuľky34"/>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4">
    <w:name w:val="Mriežka tabuľky124"/>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4">
    <w:name w:val="Mriežka tabuľky214"/>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4">
    <w:name w:val="Mriežka tabuľky1114"/>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
    <w:name w:val="Mriežka tabuľky42"/>
    <w:basedOn w:val="Normlnatabuka"/>
    <w:next w:val="Mriekatabuky"/>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2">
    <w:name w:val="Mriežka tabuľky132"/>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2">
    <w:name w:val="Mriežka tabuľky222"/>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2">
    <w:name w:val="Mriežka tabuľky1122"/>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
    <w:name w:val="Mriežka tabuľky312"/>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2">
    <w:name w:val="Mriežka tabuľky1212"/>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2">
    <w:name w:val="Mriežka tabuľky2112"/>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2">
    <w:name w:val="Mriežka tabuľky11112"/>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2">
    <w:name w:val="Kalendár 22"/>
    <w:basedOn w:val="Normlnatabuka"/>
    <w:uiPriority w:val="99"/>
    <w:qFormat/>
    <w:rsid w:val="001A34BE"/>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3">
    <w:name w:val="Bez zoznamu113"/>
    <w:next w:val="Bezzoznamu"/>
    <w:uiPriority w:val="99"/>
    <w:semiHidden/>
    <w:unhideWhenUsed/>
    <w:rsid w:val="001A34BE"/>
  </w:style>
  <w:style w:type="table" w:customStyle="1" w:styleId="Mriekatabuky52">
    <w:name w:val="Mriežka tabuľky52"/>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2">
    <w:name w:val="Mriežka tabuľky142"/>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2">
    <w:name w:val="Mriežka tabuľky232"/>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2">
    <w:name w:val="Mriežka tabuľky1132"/>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2">
    <w:name w:val="Mriežka tabuľky322"/>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2">
    <w:name w:val="Mriežka tabuľky1222"/>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2">
    <w:name w:val="Mriežka tabuľky2122"/>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2">
    <w:name w:val="Mriežka tabuľky11122"/>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
    <w:name w:val="Bez zoznamu22"/>
    <w:next w:val="Bezzoznamu"/>
    <w:uiPriority w:val="99"/>
    <w:semiHidden/>
    <w:unhideWhenUsed/>
    <w:rsid w:val="001A34BE"/>
  </w:style>
  <w:style w:type="table" w:customStyle="1" w:styleId="Mriekatabuky62">
    <w:name w:val="Mriežka tabuľky62"/>
    <w:basedOn w:val="Normlnatabuka"/>
    <w:next w:val="Mriekatabuky"/>
    <w:rsid w:val="001A3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2">
    <w:name w:val="Bez zoznamu32"/>
    <w:next w:val="Bezzoznamu"/>
    <w:uiPriority w:val="99"/>
    <w:semiHidden/>
    <w:unhideWhenUsed/>
    <w:rsid w:val="001A34BE"/>
  </w:style>
  <w:style w:type="table" w:customStyle="1" w:styleId="Mriekatabuky72">
    <w:name w:val="Mriežka tabuľky72"/>
    <w:basedOn w:val="Normlnatabuka"/>
    <w:next w:val="Mriekatabuky"/>
    <w:rsid w:val="001A3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2">
    <w:name w:val="Bez zoznamu1112"/>
    <w:next w:val="Bezzoznamu"/>
    <w:uiPriority w:val="99"/>
    <w:semiHidden/>
    <w:unhideWhenUsed/>
    <w:rsid w:val="001A34BE"/>
  </w:style>
  <w:style w:type="table" w:customStyle="1" w:styleId="Mriekatabukysvetl12">
    <w:name w:val="Mriežka tabuľky – svetlá12"/>
    <w:basedOn w:val="Normlnatabuka"/>
    <w:uiPriority w:val="40"/>
    <w:rsid w:val="001A34BE"/>
    <w:rPr>
      <w:rFonts w:asciiTheme="minorHAnsi" w:eastAsia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1">
    <w:name w:val="Bez zoznamu41"/>
    <w:next w:val="Bezzoznamu"/>
    <w:uiPriority w:val="99"/>
    <w:semiHidden/>
    <w:unhideWhenUsed/>
    <w:rsid w:val="001A34BE"/>
  </w:style>
  <w:style w:type="numbering" w:customStyle="1" w:styleId="Bezzoznamu11112">
    <w:name w:val="Bez zoznamu11112"/>
    <w:next w:val="Bezzoznamu"/>
    <w:uiPriority w:val="99"/>
    <w:semiHidden/>
    <w:unhideWhenUsed/>
    <w:rsid w:val="001A34BE"/>
  </w:style>
  <w:style w:type="table" w:customStyle="1" w:styleId="Mriekatabuky81">
    <w:name w:val="Mriežka tabuľky81"/>
    <w:basedOn w:val="Normlnatabuka"/>
    <w:next w:val="Mriekatabuky"/>
    <w:rsid w:val="001A3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1">
    <w:name w:val="Bez zoznamu51"/>
    <w:next w:val="Bezzoznamu"/>
    <w:uiPriority w:val="99"/>
    <w:semiHidden/>
    <w:unhideWhenUsed/>
    <w:rsid w:val="001A34BE"/>
  </w:style>
  <w:style w:type="numbering" w:customStyle="1" w:styleId="Bezzoznamu121">
    <w:name w:val="Bez zoznamu121"/>
    <w:next w:val="Bezzoznamu"/>
    <w:uiPriority w:val="99"/>
    <w:semiHidden/>
    <w:unhideWhenUsed/>
    <w:rsid w:val="001A34BE"/>
  </w:style>
  <w:style w:type="table" w:customStyle="1" w:styleId="Mriekatabuky91">
    <w:name w:val="Mriežka tabuľky91"/>
    <w:basedOn w:val="Normlnatabuka"/>
    <w:next w:val="Mriekatabuky"/>
    <w:uiPriority w:val="3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1">
    <w:name w:val="Mriežka tabuľky151"/>
    <w:basedOn w:val="Normlnatabuka"/>
    <w:next w:val="Mriekatabuky"/>
    <w:uiPriority w:val="3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1">
    <w:name w:val="Mriežka tabuľky241"/>
    <w:basedOn w:val="Normlnatabuka"/>
    <w:next w:val="Mriekatabuky"/>
    <w:uiPriority w:val="3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1">
    <w:name w:val="Mriežka tabuľky1141"/>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1">
    <w:name w:val="Mriežka tabuľky331"/>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1">
    <w:name w:val="Mriežka tabuľky1231"/>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1">
    <w:name w:val="Mriežka tabuľky2131"/>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1">
    <w:name w:val="Mriežka tabuľky11131"/>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
    <w:name w:val="Mriežka tabuľky411"/>
    <w:basedOn w:val="Normlnatabuka"/>
    <w:next w:val="Mriekatabuky"/>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1">
    <w:name w:val="Mriežka tabuľky1311"/>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1">
    <w:name w:val="Mriežka tabuľky2211"/>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1">
    <w:name w:val="Mriežka tabuľky11211"/>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1">
    <w:name w:val="Mriežka tabuľky3111"/>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1">
    <w:name w:val="Mriežka tabuľky12111"/>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1">
    <w:name w:val="Mriežka tabuľky21111"/>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1">
    <w:name w:val="Mriežka tabuľky111111"/>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1">
    <w:name w:val="Kalendár 211"/>
    <w:basedOn w:val="Normlnatabuka"/>
    <w:uiPriority w:val="99"/>
    <w:qFormat/>
    <w:rsid w:val="001A34BE"/>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1">
    <w:name w:val="Bez zoznamu1121"/>
    <w:next w:val="Bezzoznamu"/>
    <w:uiPriority w:val="99"/>
    <w:semiHidden/>
    <w:unhideWhenUsed/>
    <w:rsid w:val="001A34BE"/>
  </w:style>
  <w:style w:type="table" w:customStyle="1" w:styleId="Mriekatabuky511">
    <w:name w:val="Mriežka tabuľky511"/>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1">
    <w:name w:val="Mriežka tabuľky1411"/>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1">
    <w:name w:val="Mriežka tabuľky2311"/>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1">
    <w:name w:val="Mriežka tabuľky11311"/>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1">
    <w:name w:val="Mriežka tabuľky3211"/>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1">
    <w:name w:val="Mriežka tabuľky12211"/>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1">
    <w:name w:val="Mriežka tabuľky21211"/>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1">
    <w:name w:val="Mriežka tabuľky111211"/>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
    <w:name w:val="Bez zoznamu211"/>
    <w:next w:val="Bezzoznamu"/>
    <w:uiPriority w:val="99"/>
    <w:semiHidden/>
    <w:unhideWhenUsed/>
    <w:rsid w:val="001A34BE"/>
  </w:style>
  <w:style w:type="table" w:customStyle="1" w:styleId="Mriekatabuky611">
    <w:name w:val="Mriežka tabuľky611"/>
    <w:basedOn w:val="Normlnatabuka"/>
    <w:next w:val="Mriekatabuky"/>
    <w:rsid w:val="001A3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1">
    <w:name w:val="Bez zoznamu311"/>
    <w:next w:val="Bezzoznamu"/>
    <w:uiPriority w:val="99"/>
    <w:semiHidden/>
    <w:unhideWhenUsed/>
    <w:rsid w:val="001A34BE"/>
  </w:style>
  <w:style w:type="table" w:customStyle="1" w:styleId="Mriekatabuky711">
    <w:name w:val="Mriežka tabuľky711"/>
    <w:basedOn w:val="Normlnatabuka"/>
    <w:next w:val="Mriekatabuky"/>
    <w:rsid w:val="001A3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1">
    <w:name w:val="Bez zoznamu111111"/>
    <w:next w:val="Bezzoznamu"/>
    <w:uiPriority w:val="99"/>
    <w:semiHidden/>
    <w:unhideWhenUsed/>
    <w:rsid w:val="001A34BE"/>
  </w:style>
  <w:style w:type="table" w:customStyle="1" w:styleId="Mriekatabukysvetl111">
    <w:name w:val="Mriežka tabuľky – svetlá111"/>
    <w:basedOn w:val="Normlnatabuka"/>
    <w:uiPriority w:val="40"/>
    <w:rsid w:val="001A34BE"/>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0">
    <w:name w:val="Bez zoznamu10"/>
    <w:next w:val="Bezzoznamu"/>
    <w:uiPriority w:val="99"/>
    <w:semiHidden/>
    <w:unhideWhenUsed/>
    <w:rsid w:val="001A34BE"/>
  </w:style>
  <w:style w:type="table" w:customStyle="1" w:styleId="Mriekatabuky19">
    <w:name w:val="Mriežka tabuľky19"/>
    <w:basedOn w:val="Normlnatabuka"/>
    <w:next w:val="Mriekatabuky"/>
    <w:uiPriority w:val="3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0">
    <w:name w:val="Mriežka tabuľky110"/>
    <w:basedOn w:val="Normlnatabuka"/>
    <w:next w:val="Mriekatabuky"/>
    <w:uiPriority w:val="3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6">
    <w:name w:val="Mriežka tabuľky26"/>
    <w:basedOn w:val="Normlnatabuka"/>
    <w:next w:val="Mriekatabuky"/>
    <w:uiPriority w:val="3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6">
    <w:name w:val="Mriežka tabuľky116"/>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
    <w:name w:val="Mriežka tabuľky35"/>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5">
    <w:name w:val="Mriežka tabuľky125"/>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5">
    <w:name w:val="Mriežka tabuľky215"/>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5">
    <w:name w:val="Mriežka tabuľky1115"/>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
    <w:name w:val="Mriežka tabuľky43"/>
    <w:basedOn w:val="Normlnatabuka"/>
    <w:next w:val="Mriekatabuky"/>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3">
    <w:name w:val="Mriežka tabuľky133"/>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3">
    <w:name w:val="Mriežka tabuľky223"/>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3">
    <w:name w:val="Mriežka tabuľky1123"/>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
    <w:name w:val="Mriežka tabuľky313"/>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3">
    <w:name w:val="Mriežka tabuľky1213"/>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3">
    <w:name w:val="Mriežka tabuľky2113"/>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3">
    <w:name w:val="Mriežka tabuľky11113"/>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3">
    <w:name w:val="Kalendár 23"/>
    <w:basedOn w:val="Normlnatabuka"/>
    <w:uiPriority w:val="99"/>
    <w:qFormat/>
    <w:rsid w:val="001A34BE"/>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4">
    <w:name w:val="Bez zoznamu14"/>
    <w:next w:val="Bezzoznamu"/>
    <w:uiPriority w:val="99"/>
    <w:semiHidden/>
    <w:unhideWhenUsed/>
    <w:rsid w:val="001A34BE"/>
  </w:style>
  <w:style w:type="table" w:customStyle="1" w:styleId="Mriekatabuky53">
    <w:name w:val="Mriežka tabuľky53"/>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3">
    <w:name w:val="Mriežka tabuľky143"/>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3">
    <w:name w:val="Mriežka tabuľky233"/>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3">
    <w:name w:val="Mriežka tabuľky1133"/>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3">
    <w:name w:val="Mriežka tabuľky323"/>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3">
    <w:name w:val="Mriežka tabuľky1223"/>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3">
    <w:name w:val="Mriežka tabuľky2123"/>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3">
    <w:name w:val="Mriežka tabuľky11123"/>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
    <w:name w:val="Bez zoznamu23"/>
    <w:next w:val="Bezzoznamu"/>
    <w:uiPriority w:val="99"/>
    <w:semiHidden/>
    <w:unhideWhenUsed/>
    <w:rsid w:val="001A34BE"/>
  </w:style>
  <w:style w:type="table" w:customStyle="1" w:styleId="Mriekatabuky63">
    <w:name w:val="Mriežka tabuľky63"/>
    <w:basedOn w:val="Normlnatabuka"/>
    <w:next w:val="Mriekatabuky"/>
    <w:rsid w:val="001A3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3">
    <w:name w:val="Bez zoznamu33"/>
    <w:next w:val="Bezzoznamu"/>
    <w:uiPriority w:val="99"/>
    <w:semiHidden/>
    <w:unhideWhenUsed/>
    <w:rsid w:val="001A34BE"/>
  </w:style>
  <w:style w:type="table" w:customStyle="1" w:styleId="Mriekatabuky73">
    <w:name w:val="Mriežka tabuľky73"/>
    <w:basedOn w:val="Normlnatabuka"/>
    <w:next w:val="Mriekatabuky"/>
    <w:rsid w:val="001A3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4">
    <w:name w:val="Bez zoznamu114"/>
    <w:next w:val="Bezzoznamu"/>
    <w:uiPriority w:val="99"/>
    <w:semiHidden/>
    <w:unhideWhenUsed/>
    <w:rsid w:val="001A34BE"/>
  </w:style>
  <w:style w:type="table" w:customStyle="1" w:styleId="Mriekatabukysvetl13">
    <w:name w:val="Mriežka tabuľky – svetlá13"/>
    <w:basedOn w:val="Normlnatabuka"/>
    <w:uiPriority w:val="40"/>
    <w:rsid w:val="001A34BE"/>
    <w:rPr>
      <w:rFonts w:asciiTheme="minorHAnsi" w:eastAsia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2">
    <w:name w:val="Bez zoznamu42"/>
    <w:next w:val="Bezzoznamu"/>
    <w:uiPriority w:val="99"/>
    <w:semiHidden/>
    <w:unhideWhenUsed/>
    <w:rsid w:val="001A34BE"/>
  </w:style>
  <w:style w:type="numbering" w:customStyle="1" w:styleId="Bezzoznamu1113">
    <w:name w:val="Bez zoznamu1113"/>
    <w:next w:val="Bezzoznamu"/>
    <w:uiPriority w:val="99"/>
    <w:semiHidden/>
    <w:unhideWhenUsed/>
    <w:rsid w:val="001A34BE"/>
  </w:style>
  <w:style w:type="table" w:customStyle="1" w:styleId="Mriekatabuky82">
    <w:name w:val="Mriežka tabuľky82"/>
    <w:basedOn w:val="Normlnatabuka"/>
    <w:next w:val="Mriekatabuky"/>
    <w:rsid w:val="001A3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2">
    <w:name w:val="Bez zoznamu52"/>
    <w:next w:val="Bezzoznamu"/>
    <w:uiPriority w:val="99"/>
    <w:semiHidden/>
    <w:unhideWhenUsed/>
    <w:rsid w:val="001A34BE"/>
  </w:style>
  <w:style w:type="numbering" w:customStyle="1" w:styleId="Bezzoznamu122">
    <w:name w:val="Bez zoznamu122"/>
    <w:next w:val="Bezzoznamu"/>
    <w:uiPriority w:val="99"/>
    <w:semiHidden/>
    <w:unhideWhenUsed/>
    <w:rsid w:val="001A34BE"/>
  </w:style>
  <w:style w:type="table" w:customStyle="1" w:styleId="Mriekatabuky92">
    <w:name w:val="Mriežka tabuľky92"/>
    <w:basedOn w:val="Normlnatabuka"/>
    <w:next w:val="Mriekatabuky"/>
    <w:uiPriority w:val="3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2">
    <w:name w:val="Mriežka tabuľky152"/>
    <w:basedOn w:val="Normlnatabuka"/>
    <w:next w:val="Mriekatabuky"/>
    <w:uiPriority w:val="3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2">
    <w:name w:val="Mriežka tabuľky242"/>
    <w:basedOn w:val="Normlnatabuka"/>
    <w:next w:val="Mriekatabuky"/>
    <w:uiPriority w:val="3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2">
    <w:name w:val="Mriežka tabuľky1142"/>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2">
    <w:name w:val="Mriežka tabuľky332"/>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2">
    <w:name w:val="Mriežka tabuľky1232"/>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2">
    <w:name w:val="Mriežka tabuľky2132"/>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2">
    <w:name w:val="Mriežka tabuľky11132"/>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2">
    <w:name w:val="Mriežka tabuľky412"/>
    <w:basedOn w:val="Normlnatabuka"/>
    <w:next w:val="Mriekatabuky"/>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2">
    <w:name w:val="Mriežka tabuľky1312"/>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2">
    <w:name w:val="Mriežka tabuľky2212"/>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2">
    <w:name w:val="Mriežka tabuľky11212"/>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2">
    <w:name w:val="Mriežka tabuľky3112"/>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2">
    <w:name w:val="Mriežka tabuľky12112"/>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2">
    <w:name w:val="Mriežka tabuľky21112"/>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2">
    <w:name w:val="Mriežka tabuľky111112"/>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2">
    <w:name w:val="Kalendár 212"/>
    <w:basedOn w:val="Normlnatabuka"/>
    <w:uiPriority w:val="99"/>
    <w:qFormat/>
    <w:rsid w:val="001A34BE"/>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2">
    <w:name w:val="Bez zoznamu1122"/>
    <w:next w:val="Bezzoznamu"/>
    <w:uiPriority w:val="99"/>
    <w:semiHidden/>
    <w:unhideWhenUsed/>
    <w:rsid w:val="001A34BE"/>
  </w:style>
  <w:style w:type="table" w:customStyle="1" w:styleId="Mriekatabuky512">
    <w:name w:val="Mriežka tabuľky512"/>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2">
    <w:name w:val="Mriežka tabuľky1412"/>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2">
    <w:name w:val="Mriežka tabuľky2312"/>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2">
    <w:name w:val="Mriežka tabuľky11312"/>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2">
    <w:name w:val="Mriežka tabuľky3212"/>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2">
    <w:name w:val="Mriežka tabuľky12212"/>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2">
    <w:name w:val="Mriežka tabuľky21212"/>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2">
    <w:name w:val="Mriežka tabuľky111212"/>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2">
    <w:name w:val="Bez zoznamu212"/>
    <w:next w:val="Bezzoznamu"/>
    <w:uiPriority w:val="99"/>
    <w:semiHidden/>
    <w:unhideWhenUsed/>
    <w:rsid w:val="001A34BE"/>
  </w:style>
  <w:style w:type="table" w:customStyle="1" w:styleId="Mriekatabuky612">
    <w:name w:val="Mriežka tabuľky612"/>
    <w:basedOn w:val="Normlnatabuka"/>
    <w:next w:val="Mriekatabuky"/>
    <w:rsid w:val="001A3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2">
    <w:name w:val="Bez zoznamu312"/>
    <w:next w:val="Bezzoznamu"/>
    <w:uiPriority w:val="99"/>
    <w:semiHidden/>
    <w:unhideWhenUsed/>
    <w:rsid w:val="001A34BE"/>
  </w:style>
  <w:style w:type="table" w:customStyle="1" w:styleId="Mriekatabuky712">
    <w:name w:val="Mriežka tabuľky712"/>
    <w:basedOn w:val="Normlnatabuka"/>
    <w:next w:val="Mriekatabuky"/>
    <w:rsid w:val="001A3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3">
    <w:name w:val="Bez zoznamu11113"/>
    <w:next w:val="Bezzoznamu"/>
    <w:uiPriority w:val="99"/>
    <w:semiHidden/>
    <w:unhideWhenUsed/>
    <w:rsid w:val="001A34BE"/>
  </w:style>
  <w:style w:type="table" w:customStyle="1" w:styleId="Mriekatabukysvetl112">
    <w:name w:val="Mriežka tabuľky – svetlá112"/>
    <w:basedOn w:val="Normlnatabuka"/>
    <w:uiPriority w:val="40"/>
    <w:rsid w:val="001A34BE"/>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5">
    <w:name w:val="Bez zoznamu15"/>
    <w:next w:val="Bezzoznamu"/>
    <w:uiPriority w:val="99"/>
    <w:semiHidden/>
    <w:unhideWhenUsed/>
    <w:rsid w:val="001A34BE"/>
  </w:style>
  <w:style w:type="table" w:customStyle="1" w:styleId="Mriekatabuky20">
    <w:name w:val="Mriežka tabuľky20"/>
    <w:basedOn w:val="Normlnatabuka"/>
    <w:next w:val="Mriekatabuky"/>
    <w:rsid w:val="001A3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7">
    <w:name w:val="Mriežka tabuľky27"/>
    <w:basedOn w:val="Normlnatabuka"/>
    <w:next w:val="Mriekatabuky"/>
    <w:uiPriority w:val="39"/>
    <w:rsid w:val="001A34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7">
    <w:name w:val="Mriežka tabuľky117"/>
    <w:basedOn w:val="Normlnatabuka"/>
    <w:next w:val="Mriekatabuky"/>
    <w:uiPriority w:val="39"/>
    <w:rsid w:val="001A34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8">
    <w:name w:val="Mriežka tabuľky28"/>
    <w:basedOn w:val="Normlnatabuka"/>
    <w:next w:val="Mriekatabuky"/>
    <w:uiPriority w:val="39"/>
    <w:rsid w:val="001A34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
    <w:name w:val="Mriežka tabuľky36"/>
    <w:basedOn w:val="Normlnatabuka"/>
    <w:next w:val="Mriekatabuky"/>
    <w:uiPriority w:val="39"/>
    <w:rsid w:val="001A34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
    <w:name w:val="Mriežka tabuľky44"/>
    <w:basedOn w:val="Normlnatabuka"/>
    <w:next w:val="Mriekatabuky"/>
    <w:uiPriority w:val="39"/>
    <w:rsid w:val="001A34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6">
    <w:name w:val="Bez zoznamu16"/>
    <w:next w:val="Bezzoznamu"/>
    <w:uiPriority w:val="99"/>
    <w:semiHidden/>
    <w:unhideWhenUsed/>
    <w:rsid w:val="001A34BE"/>
  </w:style>
  <w:style w:type="table" w:customStyle="1" w:styleId="Mriekatabuky29">
    <w:name w:val="Mriežka tabuľky29"/>
    <w:basedOn w:val="Normlnatabuka"/>
    <w:next w:val="Mriekatabuky"/>
    <w:uiPriority w:val="3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8">
    <w:name w:val="Mriežka tabuľky118"/>
    <w:basedOn w:val="Normlnatabuka"/>
    <w:next w:val="Mriekatabuky"/>
    <w:uiPriority w:val="3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0">
    <w:name w:val="Mriežka tabuľky210"/>
    <w:basedOn w:val="Normlnatabuka"/>
    <w:next w:val="Mriekatabuky"/>
    <w:uiPriority w:val="3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9">
    <w:name w:val="Mriežka tabuľky119"/>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7">
    <w:name w:val="Mriežka tabuľky37"/>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6">
    <w:name w:val="Mriežka tabuľky126"/>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6">
    <w:name w:val="Mriežka tabuľky216"/>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6">
    <w:name w:val="Mriežka tabuľky1116"/>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5">
    <w:name w:val="Mriežka tabuľky45"/>
    <w:basedOn w:val="Normlnatabuka"/>
    <w:next w:val="Mriekatabuky"/>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4">
    <w:name w:val="Mriežka tabuľky134"/>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4">
    <w:name w:val="Mriežka tabuľky224"/>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4">
    <w:name w:val="Mriežka tabuľky1124"/>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4">
    <w:name w:val="Mriežka tabuľky314"/>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4">
    <w:name w:val="Mriežka tabuľky1214"/>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4">
    <w:name w:val="Mriežka tabuľky2114"/>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4">
    <w:name w:val="Mriežka tabuľky11114"/>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4">
    <w:name w:val="Kalendár 24"/>
    <w:basedOn w:val="Normlnatabuka"/>
    <w:uiPriority w:val="99"/>
    <w:qFormat/>
    <w:rsid w:val="001A34BE"/>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7">
    <w:name w:val="Bez zoznamu17"/>
    <w:next w:val="Bezzoznamu"/>
    <w:uiPriority w:val="99"/>
    <w:semiHidden/>
    <w:unhideWhenUsed/>
    <w:rsid w:val="001A34BE"/>
  </w:style>
  <w:style w:type="table" w:customStyle="1" w:styleId="Mriekatabuky54">
    <w:name w:val="Mriežka tabuľky54"/>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4">
    <w:name w:val="Mriežka tabuľky144"/>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4">
    <w:name w:val="Mriežka tabuľky234"/>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4">
    <w:name w:val="Mriežka tabuľky1134"/>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4">
    <w:name w:val="Mriežka tabuľky324"/>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4">
    <w:name w:val="Mriežka tabuľky1224"/>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4">
    <w:name w:val="Mriežka tabuľky2124"/>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4">
    <w:name w:val="Mriežka tabuľky11124"/>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4">
    <w:name w:val="Bez zoznamu24"/>
    <w:next w:val="Bezzoznamu"/>
    <w:uiPriority w:val="99"/>
    <w:semiHidden/>
    <w:unhideWhenUsed/>
    <w:rsid w:val="001A34BE"/>
  </w:style>
  <w:style w:type="table" w:customStyle="1" w:styleId="Mriekatabuky64">
    <w:name w:val="Mriežka tabuľky64"/>
    <w:basedOn w:val="Normlnatabuka"/>
    <w:next w:val="Mriekatabuky"/>
    <w:rsid w:val="001A3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4">
    <w:name w:val="Bez zoznamu34"/>
    <w:next w:val="Bezzoznamu"/>
    <w:uiPriority w:val="99"/>
    <w:semiHidden/>
    <w:unhideWhenUsed/>
    <w:rsid w:val="001A34BE"/>
  </w:style>
  <w:style w:type="table" w:customStyle="1" w:styleId="Mriekatabuky74">
    <w:name w:val="Mriežka tabuľky74"/>
    <w:basedOn w:val="Normlnatabuka"/>
    <w:next w:val="Mriekatabuky"/>
    <w:rsid w:val="001A3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5">
    <w:name w:val="Bez zoznamu115"/>
    <w:next w:val="Bezzoznamu"/>
    <w:uiPriority w:val="99"/>
    <w:semiHidden/>
    <w:unhideWhenUsed/>
    <w:rsid w:val="001A34BE"/>
  </w:style>
  <w:style w:type="table" w:customStyle="1" w:styleId="Mriekatabukysvetl14">
    <w:name w:val="Mriežka tabuľky – svetlá14"/>
    <w:basedOn w:val="Normlnatabuka"/>
    <w:uiPriority w:val="40"/>
    <w:rsid w:val="001A34BE"/>
    <w:rPr>
      <w:rFonts w:asciiTheme="minorHAnsi" w:eastAsia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3">
    <w:name w:val="Bez zoznamu43"/>
    <w:next w:val="Bezzoznamu"/>
    <w:uiPriority w:val="99"/>
    <w:semiHidden/>
    <w:unhideWhenUsed/>
    <w:rsid w:val="001A34BE"/>
  </w:style>
  <w:style w:type="numbering" w:customStyle="1" w:styleId="Bezzoznamu1114">
    <w:name w:val="Bez zoznamu1114"/>
    <w:next w:val="Bezzoznamu"/>
    <w:uiPriority w:val="99"/>
    <w:semiHidden/>
    <w:unhideWhenUsed/>
    <w:rsid w:val="001A34BE"/>
  </w:style>
  <w:style w:type="table" w:customStyle="1" w:styleId="Mriekatabuky83">
    <w:name w:val="Mriežka tabuľky83"/>
    <w:basedOn w:val="Normlnatabuka"/>
    <w:next w:val="Mriekatabuky"/>
    <w:rsid w:val="001A3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3">
    <w:name w:val="Bez zoznamu53"/>
    <w:next w:val="Bezzoznamu"/>
    <w:uiPriority w:val="99"/>
    <w:semiHidden/>
    <w:unhideWhenUsed/>
    <w:rsid w:val="001A34BE"/>
  </w:style>
  <w:style w:type="numbering" w:customStyle="1" w:styleId="Bezzoznamu123">
    <w:name w:val="Bez zoznamu123"/>
    <w:next w:val="Bezzoznamu"/>
    <w:uiPriority w:val="99"/>
    <w:semiHidden/>
    <w:unhideWhenUsed/>
    <w:rsid w:val="001A34BE"/>
  </w:style>
  <w:style w:type="table" w:customStyle="1" w:styleId="Mriekatabuky93">
    <w:name w:val="Mriežka tabuľky93"/>
    <w:basedOn w:val="Normlnatabuka"/>
    <w:next w:val="Mriekatabuky"/>
    <w:uiPriority w:val="3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3">
    <w:name w:val="Mriežka tabuľky153"/>
    <w:basedOn w:val="Normlnatabuka"/>
    <w:next w:val="Mriekatabuky"/>
    <w:uiPriority w:val="3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3">
    <w:name w:val="Mriežka tabuľky243"/>
    <w:basedOn w:val="Normlnatabuka"/>
    <w:next w:val="Mriekatabuky"/>
    <w:uiPriority w:val="3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3">
    <w:name w:val="Mriežka tabuľky1143"/>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3">
    <w:name w:val="Mriežka tabuľky333"/>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3">
    <w:name w:val="Mriežka tabuľky1233"/>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3">
    <w:name w:val="Mriežka tabuľky2133"/>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3">
    <w:name w:val="Mriežka tabuľky11133"/>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3">
    <w:name w:val="Mriežka tabuľky413"/>
    <w:basedOn w:val="Normlnatabuka"/>
    <w:next w:val="Mriekatabuky"/>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3">
    <w:name w:val="Mriežka tabuľky1313"/>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3">
    <w:name w:val="Mriežka tabuľky2213"/>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3">
    <w:name w:val="Mriežka tabuľky11213"/>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3">
    <w:name w:val="Mriežka tabuľky3113"/>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3">
    <w:name w:val="Mriežka tabuľky12113"/>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3">
    <w:name w:val="Mriežka tabuľky21113"/>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3">
    <w:name w:val="Mriežka tabuľky111113"/>
    <w:basedOn w:val="Normlnatabuka"/>
    <w:uiPriority w:val="59"/>
    <w:rsid w:val="001A34BE"/>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3">
    <w:name w:val="Kalendár 213"/>
    <w:basedOn w:val="Normlnatabuka"/>
    <w:uiPriority w:val="99"/>
    <w:qFormat/>
    <w:rsid w:val="001A34BE"/>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3">
    <w:name w:val="Bez zoznamu1123"/>
    <w:next w:val="Bezzoznamu"/>
    <w:uiPriority w:val="99"/>
    <w:semiHidden/>
    <w:unhideWhenUsed/>
    <w:rsid w:val="001A34BE"/>
  </w:style>
  <w:style w:type="table" w:customStyle="1" w:styleId="Mriekatabuky513">
    <w:name w:val="Mriežka tabuľky513"/>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3">
    <w:name w:val="Mriežka tabuľky1413"/>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3">
    <w:name w:val="Mriežka tabuľky2313"/>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3">
    <w:name w:val="Mriežka tabuľky11313"/>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3">
    <w:name w:val="Mriežka tabuľky3213"/>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3">
    <w:name w:val="Mriežka tabuľky12213"/>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3">
    <w:name w:val="Mriežka tabuľky21213"/>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3">
    <w:name w:val="Mriežka tabuľky111213"/>
    <w:basedOn w:val="Normlnatabuka"/>
    <w:next w:val="Mriekatabuky"/>
    <w:uiPriority w:val="59"/>
    <w:rsid w:val="001A34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3">
    <w:name w:val="Bez zoznamu213"/>
    <w:next w:val="Bezzoznamu"/>
    <w:uiPriority w:val="99"/>
    <w:semiHidden/>
    <w:unhideWhenUsed/>
    <w:rsid w:val="001A34BE"/>
  </w:style>
  <w:style w:type="table" w:customStyle="1" w:styleId="Mriekatabuky613">
    <w:name w:val="Mriežka tabuľky613"/>
    <w:basedOn w:val="Normlnatabuka"/>
    <w:next w:val="Mriekatabuky"/>
    <w:rsid w:val="001A3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3">
    <w:name w:val="Bez zoznamu313"/>
    <w:next w:val="Bezzoznamu"/>
    <w:uiPriority w:val="99"/>
    <w:semiHidden/>
    <w:unhideWhenUsed/>
    <w:rsid w:val="001A34BE"/>
  </w:style>
  <w:style w:type="table" w:customStyle="1" w:styleId="Mriekatabuky713">
    <w:name w:val="Mriežka tabuľky713"/>
    <w:basedOn w:val="Normlnatabuka"/>
    <w:next w:val="Mriekatabuky"/>
    <w:rsid w:val="001A3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4">
    <w:name w:val="Bez zoznamu11114"/>
    <w:next w:val="Bezzoznamu"/>
    <w:uiPriority w:val="99"/>
    <w:semiHidden/>
    <w:unhideWhenUsed/>
    <w:rsid w:val="001A34BE"/>
  </w:style>
  <w:style w:type="table" w:customStyle="1" w:styleId="Mriekatabukysvetl113">
    <w:name w:val="Mriežka tabuľky – svetlá113"/>
    <w:basedOn w:val="Normlnatabuka"/>
    <w:uiPriority w:val="40"/>
    <w:rsid w:val="001A34BE"/>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8">
    <w:name w:val="Bez zoznamu18"/>
    <w:next w:val="Bezzoznamu"/>
    <w:uiPriority w:val="99"/>
    <w:semiHidden/>
    <w:unhideWhenUsed/>
    <w:rsid w:val="001A34BE"/>
  </w:style>
  <w:style w:type="table" w:customStyle="1" w:styleId="Mriekatabuky30">
    <w:name w:val="Mriežka tabuľky30"/>
    <w:basedOn w:val="Normlnatabuka"/>
    <w:next w:val="Mriekatabuky"/>
    <w:rsid w:val="001A3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9">
    <w:name w:val="Bez zoznamu19"/>
    <w:next w:val="Bezzoznamu"/>
    <w:uiPriority w:val="99"/>
    <w:semiHidden/>
    <w:unhideWhenUsed/>
    <w:rsid w:val="001A34BE"/>
  </w:style>
  <w:style w:type="numbering" w:customStyle="1" w:styleId="Bezzoznamu20">
    <w:name w:val="Bez zoznamu20"/>
    <w:next w:val="Bezzoznamu"/>
    <w:uiPriority w:val="99"/>
    <w:semiHidden/>
    <w:unhideWhenUsed/>
    <w:rsid w:val="00E158EA"/>
  </w:style>
  <w:style w:type="numbering" w:customStyle="1" w:styleId="Bezzoznamu25">
    <w:name w:val="Bez zoznamu25"/>
    <w:next w:val="Bezzoznamu"/>
    <w:uiPriority w:val="99"/>
    <w:semiHidden/>
    <w:unhideWhenUsed/>
    <w:rsid w:val="00E158EA"/>
  </w:style>
  <w:style w:type="numbering" w:customStyle="1" w:styleId="Bezzoznamu110">
    <w:name w:val="Bez zoznamu110"/>
    <w:next w:val="Bezzoznamu"/>
    <w:uiPriority w:val="99"/>
    <w:semiHidden/>
    <w:unhideWhenUsed/>
    <w:rsid w:val="00E158EA"/>
  </w:style>
  <w:style w:type="table" w:customStyle="1" w:styleId="Mriekatabuky38">
    <w:name w:val="Mriežka tabuľky38"/>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0">
    <w:name w:val="Mriežka tabuľky120"/>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7">
    <w:name w:val="Mriežka tabuľky217"/>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0">
    <w:name w:val="Mriežka tabuľky1110"/>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9">
    <w:name w:val="Mriežka tabuľky39"/>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7">
    <w:name w:val="Mriežka tabuľky12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8">
    <w:name w:val="Mriežka tabuľky218"/>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7">
    <w:name w:val="Mriežka tabuľky111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6">
    <w:name w:val="Mriežka tabuľky46"/>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5">
    <w:name w:val="Mriežka tabuľky135"/>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5">
    <w:name w:val="Mriežka tabuľky225"/>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5">
    <w:name w:val="Mriežka tabuľky1125"/>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5">
    <w:name w:val="Mriežka tabuľky315"/>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5">
    <w:name w:val="Mriežka tabuľky1215"/>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5">
    <w:name w:val="Mriežka tabuľky2115"/>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5">
    <w:name w:val="Mriežka tabuľky11115"/>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5">
    <w:name w:val="Kalendár 25"/>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6">
    <w:name w:val="Bez zoznamu116"/>
    <w:next w:val="Bezzoznamu"/>
    <w:uiPriority w:val="99"/>
    <w:semiHidden/>
    <w:unhideWhenUsed/>
    <w:rsid w:val="00E158EA"/>
  </w:style>
  <w:style w:type="table" w:customStyle="1" w:styleId="Mriekatabuky55">
    <w:name w:val="Mriežka tabuľky55"/>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5">
    <w:name w:val="Mriežka tabuľky145"/>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5">
    <w:name w:val="Mriežka tabuľky235"/>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5">
    <w:name w:val="Mriežka tabuľky1135"/>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5">
    <w:name w:val="Mriežka tabuľky325"/>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5">
    <w:name w:val="Mriežka tabuľky1225"/>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5">
    <w:name w:val="Mriežka tabuľky2125"/>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5">
    <w:name w:val="Mriežka tabuľky11125"/>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6">
    <w:name w:val="Bez zoznamu26"/>
    <w:next w:val="Bezzoznamu"/>
    <w:uiPriority w:val="99"/>
    <w:semiHidden/>
    <w:unhideWhenUsed/>
    <w:rsid w:val="00E158EA"/>
  </w:style>
  <w:style w:type="table" w:customStyle="1" w:styleId="Mriekatabuky65">
    <w:name w:val="Mriežka tabuľky65"/>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5">
    <w:name w:val="Bez zoznamu35"/>
    <w:next w:val="Bezzoznamu"/>
    <w:uiPriority w:val="99"/>
    <w:semiHidden/>
    <w:unhideWhenUsed/>
    <w:rsid w:val="00E158EA"/>
  </w:style>
  <w:style w:type="table" w:customStyle="1" w:styleId="Mriekatabuky75">
    <w:name w:val="Mriežka tabuľky75"/>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5">
    <w:name w:val="Bez zoznamu1115"/>
    <w:next w:val="Bezzoznamu"/>
    <w:uiPriority w:val="99"/>
    <w:semiHidden/>
    <w:unhideWhenUsed/>
    <w:rsid w:val="00E158EA"/>
  </w:style>
  <w:style w:type="table" w:customStyle="1" w:styleId="Mriekatabukysvetl15">
    <w:name w:val="Mriežka tabuľky – svetlá15"/>
    <w:basedOn w:val="Normlnatabuka"/>
    <w:uiPriority w:val="40"/>
    <w:rsid w:val="00E158EA"/>
    <w:rPr>
      <w:rFonts w:asciiTheme="minorHAnsi" w:eastAsia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4">
    <w:name w:val="Bez zoznamu44"/>
    <w:next w:val="Bezzoznamu"/>
    <w:uiPriority w:val="99"/>
    <w:semiHidden/>
    <w:unhideWhenUsed/>
    <w:rsid w:val="00E158EA"/>
  </w:style>
  <w:style w:type="numbering" w:customStyle="1" w:styleId="Bezzoznamu11115">
    <w:name w:val="Bez zoznamu11115"/>
    <w:next w:val="Bezzoznamu"/>
    <w:uiPriority w:val="99"/>
    <w:semiHidden/>
    <w:unhideWhenUsed/>
    <w:rsid w:val="00E158EA"/>
  </w:style>
  <w:style w:type="table" w:customStyle="1" w:styleId="Mriekatabuky84">
    <w:name w:val="Mriežka tabuľky84"/>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4">
    <w:name w:val="Bez zoznamu54"/>
    <w:next w:val="Bezzoznamu"/>
    <w:uiPriority w:val="99"/>
    <w:semiHidden/>
    <w:unhideWhenUsed/>
    <w:rsid w:val="00E158EA"/>
  </w:style>
  <w:style w:type="numbering" w:customStyle="1" w:styleId="Bezzoznamu124">
    <w:name w:val="Bez zoznamu124"/>
    <w:next w:val="Bezzoznamu"/>
    <w:uiPriority w:val="99"/>
    <w:semiHidden/>
    <w:unhideWhenUsed/>
    <w:rsid w:val="00E158EA"/>
  </w:style>
  <w:style w:type="table" w:customStyle="1" w:styleId="Mriekatabuky94">
    <w:name w:val="Mriežka tabuľky94"/>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4">
    <w:name w:val="Mriežka tabuľky154"/>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4">
    <w:name w:val="Mriežka tabuľky244"/>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4">
    <w:name w:val="Mriežka tabuľky1144"/>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4">
    <w:name w:val="Mriežka tabuľky334"/>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4">
    <w:name w:val="Mriežka tabuľky1234"/>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4">
    <w:name w:val="Mriežka tabuľky2134"/>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4">
    <w:name w:val="Mriežka tabuľky11134"/>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4">
    <w:name w:val="Mriežka tabuľky414"/>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4">
    <w:name w:val="Mriežka tabuľky1314"/>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4">
    <w:name w:val="Mriežka tabuľky2214"/>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4">
    <w:name w:val="Mriežka tabuľky11214"/>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4">
    <w:name w:val="Mriežka tabuľky3114"/>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4">
    <w:name w:val="Mriežka tabuľky12114"/>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4">
    <w:name w:val="Mriežka tabuľky21114"/>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4">
    <w:name w:val="Mriežka tabuľky111114"/>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4">
    <w:name w:val="Kalendár 214"/>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4">
    <w:name w:val="Bez zoznamu1124"/>
    <w:next w:val="Bezzoznamu"/>
    <w:uiPriority w:val="99"/>
    <w:semiHidden/>
    <w:unhideWhenUsed/>
    <w:rsid w:val="00E158EA"/>
  </w:style>
  <w:style w:type="table" w:customStyle="1" w:styleId="Mriekatabuky514">
    <w:name w:val="Mriežka tabuľky514"/>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4">
    <w:name w:val="Mriežka tabuľky1414"/>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4">
    <w:name w:val="Mriežka tabuľky2314"/>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4">
    <w:name w:val="Mriežka tabuľky11314"/>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4">
    <w:name w:val="Mriežka tabuľky3214"/>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4">
    <w:name w:val="Mriežka tabuľky12214"/>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4">
    <w:name w:val="Mriežka tabuľky21214"/>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4">
    <w:name w:val="Mriežka tabuľky111214"/>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4">
    <w:name w:val="Bez zoznamu214"/>
    <w:next w:val="Bezzoznamu"/>
    <w:uiPriority w:val="99"/>
    <w:semiHidden/>
    <w:unhideWhenUsed/>
    <w:rsid w:val="00E158EA"/>
  </w:style>
  <w:style w:type="table" w:customStyle="1" w:styleId="Mriekatabuky614">
    <w:name w:val="Mriežka tabuľky614"/>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4">
    <w:name w:val="Bez zoznamu314"/>
    <w:next w:val="Bezzoznamu"/>
    <w:uiPriority w:val="99"/>
    <w:semiHidden/>
    <w:unhideWhenUsed/>
    <w:rsid w:val="00E158EA"/>
  </w:style>
  <w:style w:type="table" w:customStyle="1" w:styleId="Mriekatabuky714">
    <w:name w:val="Mriežka tabuľky714"/>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2">
    <w:name w:val="Bez zoznamu111112"/>
    <w:next w:val="Bezzoznamu"/>
    <w:uiPriority w:val="99"/>
    <w:semiHidden/>
    <w:unhideWhenUsed/>
    <w:rsid w:val="00E158EA"/>
  </w:style>
  <w:style w:type="table" w:customStyle="1" w:styleId="Mriekatabukysvetl114">
    <w:name w:val="Mriežka tabuľky – svetlá114"/>
    <w:basedOn w:val="Normlnatabuka"/>
    <w:uiPriority w:val="40"/>
    <w:rsid w:val="00E158EA"/>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27">
    <w:name w:val="Bez zoznamu27"/>
    <w:next w:val="Bezzoznamu"/>
    <w:uiPriority w:val="99"/>
    <w:semiHidden/>
    <w:unhideWhenUsed/>
    <w:rsid w:val="00E158EA"/>
  </w:style>
  <w:style w:type="table" w:customStyle="1" w:styleId="Mriekatabuky40">
    <w:name w:val="Mriežka tabuľky40"/>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8">
    <w:name w:val="Mriežka tabuľky128"/>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9">
    <w:name w:val="Mriežka tabuľky219"/>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8">
    <w:name w:val="Mriežka tabuľky1118"/>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0">
    <w:name w:val="Mriežka tabuľky310"/>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9">
    <w:name w:val="Mriežka tabuľky129"/>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0">
    <w:name w:val="Mriežka tabuľky2110"/>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9">
    <w:name w:val="Mriežka tabuľky1119"/>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7">
    <w:name w:val="Mriežka tabuľky47"/>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6">
    <w:name w:val="Mriežka tabuľky136"/>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6">
    <w:name w:val="Mriežka tabuľky226"/>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6">
    <w:name w:val="Mriežka tabuľky1126"/>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6">
    <w:name w:val="Mriežka tabuľky316"/>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6">
    <w:name w:val="Mriežka tabuľky1216"/>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6">
    <w:name w:val="Mriežka tabuľky2116"/>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6">
    <w:name w:val="Mriežka tabuľky11116"/>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6">
    <w:name w:val="Kalendár 26"/>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7">
    <w:name w:val="Bez zoznamu117"/>
    <w:next w:val="Bezzoznamu"/>
    <w:uiPriority w:val="99"/>
    <w:semiHidden/>
    <w:unhideWhenUsed/>
    <w:rsid w:val="00E158EA"/>
  </w:style>
  <w:style w:type="table" w:customStyle="1" w:styleId="Mriekatabuky56">
    <w:name w:val="Mriežka tabuľky56"/>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6">
    <w:name w:val="Mriežka tabuľky146"/>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6">
    <w:name w:val="Mriežka tabuľky236"/>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6">
    <w:name w:val="Mriežka tabuľky1136"/>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6">
    <w:name w:val="Mriežka tabuľky326"/>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6">
    <w:name w:val="Mriežka tabuľky1226"/>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6">
    <w:name w:val="Mriežka tabuľky2126"/>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6">
    <w:name w:val="Mriežka tabuľky11126"/>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8">
    <w:name w:val="Bez zoznamu28"/>
    <w:next w:val="Bezzoznamu"/>
    <w:uiPriority w:val="99"/>
    <w:semiHidden/>
    <w:unhideWhenUsed/>
    <w:rsid w:val="00E158EA"/>
  </w:style>
  <w:style w:type="table" w:customStyle="1" w:styleId="Mriekatabuky66">
    <w:name w:val="Mriežka tabuľky66"/>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6">
    <w:name w:val="Bez zoznamu36"/>
    <w:next w:val="Bezzoznamu"/>
    <w:uiPriority w:val="99"/>
    <w:semiHidden/>
    <w:unhideWhenUsed/>
    <w:rsid w:val="00E158EA"/>
  </w:style>
  <w:style w:type="table" w:customStyle="1" w:styleId="Mriekatabuky76">
    <w:name w:val="Mriežka tabuľky76"/>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8">
    <w:name w:val="Bez zoznamu118"/>
    <w:next w:val="Bezzoznamu"/>
    <w:uiPriority w:val="99"/>
    <w:semiHidden/>
    <w:unhideWhenUsed/>
    <w:rsid w:val="00E158EA"/>
  </w:style>
  <w:style w:type="table" w:customStyle="1" w:styleId="Mriekatabukysvetl16">
    <w:name w:val="Mriežka tabuľky – svetlá16"/>
    <w:basedOn w:val="Normlnatabuka"/>
    <w:uiPriority w:val="40"/>
    <w:rsid w:val="00E158E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45">
    <w:name w:val="Bez zoznamu45"/>
    <w:next w:val="Bezzoznamu"/>
    <w:uiPriority w:val="99"/>
    <w:semiHidden/>
    <w:unhideWhenUsed/>
    <w:rsid w:val="00E158EA"/>
  </w:style>
  <w:style w:type="numbering" w:customStyle="1" w:styleId="Bezzoznamu1116">
    <w:name w:val="Bez zoznamu1116"/>
    <w:next w:val="Bezzoznamu"/>
    <w:uiPriority w:val="99"/>
    <w:semiHidden/>
    <w:unhideWhenUsed/>
    <w:rsid w:val="00E158EA"/>
  </w:style>
  <w:style w:type="table" w:customStyle="1" w:styleId="Mriekatabuky85">
    <w:name w:val="Mriežka tabuľky85"/>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5">
    <w:name w:val="Bez zoznamu55"/>
    <w:next w:val="Bezzoznamu"/>
    <w:uiPriority w:val="99"/>
    <w:semiHidden/>
    <w:unhideWhenUsed/>
    <w:rsid w:val="00E158EA"/>
  </w:style>
  <w:style w:type="numbering" w:customStyle="1" w:styleId="Bezzoznamu125">
    <w:name w:val="Bez zoznamu125"/>
    <w:next w:val="Bezzoznamu"/>
    <w:uiPriority w:val="99"/>
    <w:semiHidden/>
    <w:unhideWhenUsed/>
    <w:rsid w:val="00E158EA"/>
  </w:style>
  <w:style w:type="table" w:customStyle="1" w:styleId="Mriekatabuky95">
    <w:name w:val="Mriežka tabuľky95"/>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5">
    <w:name w:val="Mriežka tabuľky155"/>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5">
    <w:name w:val="Mriežka tabuľky245"/>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5">
    <w:name w:val="Mriežka tabuľky1145"/>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5">
    <w:name w:val="Mriežka tabuľky335"/>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5">
    <w:name w:val="Mriežka tabuľky1235"/>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5">
    <w:name w:val="Mriežka tabuľky2135"/>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5">
    <w:name w:val="Mriežka tabuľky11135"/>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5">
    <w:name w:val="Mriežka tabuľky415"/>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5">
    <w:name w:val="Mriežka tabuľky1315"/>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5">
    <w:name w:val="Mriežka tabuľky2215"/>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5">
    <w:name w:val="Mriežka tabuľky11215"/>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5">
    <w:name w:val="Mriežka tabuľky3115"/>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5">
    <w:name w:val="Mriežka tabuľky12115"/>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5">
    <w:name w:val="Mriežka tabuľky21115"/>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5">
    <w:name w:val="Mriežka tabuľky111115"/>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5">
    <w:name w:val="Kalendár 215"/>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5">
    <w:name w:val="Bez zoznamu1125"/>
    <w:next w:val="Bezzoznamu"/>
    <w:uiPriority w:val="99"/>
    <w:semiHidden/>
    <w:unhideWhenUsed/>
    <w:rsid w:val="00E158EA"/>
  </w:style>
  <w:style w:type="table" w:customStyle="1" w:styleId="Mriekatabuky515">
    <w:name w:val="Mriežka tabuľky515"/>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5">
    <w:name w:val="Mriežka tabuľky1415"/>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5">
    <w:name w:val="Mriežka tabuľky2315"/>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5">
    <w:name w:val="Mriežka tabuľky11315"/>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5">
    <w:name w:val="Mriežka tabuľky3215"/>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5">
    <w:name w:val="Mriežka tabuľky12215"/>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5">
    <w:name w:val="Mriežka tabuľky21215"/>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5">
    <w:name w:val="Mriežka tabuľky111215"/>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5">
    <w:name w:val="Bez zoznamu215"/>
    <w:next w:val="Bezzoznamu"/>
    <w:uiPriority w:val="99"/>
    <w:semiHidden/>
    <w:unhideWhenUsed/>
    <w:rsid w:val="00E158EA"/>
  </w:style>
  <w:style w:type="table" w:customStyle="1" w:styleId="Mriekatabuky615">
    <w:name w:val="Mriežka tabuľky615"/>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5">
    <w:name w:val="Bez zoznamu315"/>
    <w:next w:val="Bezzoznamu"/>
    <w:uiPriority w:val="99"/>
    <w:semiHidden/>
    <w:unhideWhenUsed/>
    <w:rsid w:val="00E158EA"/>
  </w:style>
  <w:style w:type="table" w:customStyle="1" w:styleId="Mriekatabuky715">
    <w:name w:val="Mriežka tabuľky715"/>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6">
    <w:name w:val="Bez zoznamu11116"/>
    <w:next w:val="Bezzoznamu"/>
    <w:uiPriority w:val="99"/>
    <w:semiHidden/>
    <w:unhideWhenUsed/>
    <w:rsid w:val="00E158EA"/>
  </w:style>
  <w:style w:type="table" w:customStyle="1" w:styleId="Mriekatabukysvetl115">
    <w:name w:val="Mriežka tabuľky – svetlá115"/>
    <w:basedOn w:val="Normlnatabuka"/>
    <w:uiPriority w:val="40"/>
    <w:rsid w:val="00E158EA"/>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UHPGRAF111">
    <w:name w:val="UHP_GRAF111"/>
    <w:basedOn w:val="Normlnatabuka"/>
    <w:uiPriority w:val="99"/>
    <w:rsid w:val="00E158EA"/>
    <w:pPr>
      <w:spacing w:before="160"/>
      <w:contextualSpacing/>
      <w:jc w:val="both"/>
    </w:pPr>
    <w:rPr>
      <w:rFonts w:ascii="Arial Narrow" w:eastAsia="Calibri" w:hAnsi="Arial Narrow"/>
      <w:lang w:val="en-US"/>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
    <w:name w:val="UHP_GRAF121"/>
    <w:basedOn w:val="Normlnatabuka"/>
    <w:uiPriority w:val="99"/>
    <w:rsid w:val="00E158EA"/>
    <w:pPr>
      <w:spacing w:before="160"/>
      <w:contextualSpacing/>
      <w:jc w:val="both"/>
    </w:pPr>
    <w:rPr>
      <w:rFonts w:ascii="Arial Narrow" w:eastAsia="Calibri" w:hAnsi="Arial Narrow"/>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Bezzoznamu61">
    <w:name w:val="Bez zoznamu61"/>
    <w:next w:val="Bezzoznamu"/>
    <w:uiPriority w:val="99"/>
    <w:semiHidden/>
    <w:unhideWhenUsed/>
    <w:rsid w:val="00E158EA"/>
  </w:style>
  <w:style w:type="table" w:customStyle="1" w:styleId="Mriekatabuky101">
    <w:name w:val="Mriežka tabuľky10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3">
    <w:name w:val="Bez zoznamu111113"/>
    <w:next w:val="Bezzoznamu"/>
    <w:uiPriority w:val="99"/>
    <w:semiHidden/>
    <w:unhideWhenUsed/>
    <w:rsid w:val="00E158EA"/>
  </w:style>
  <w:style w:type="numbering" w:customStyle="1" w:styleId="Bezzoznamu71">
    <w:name w:val="Bez zoznamu71"/>
    <w:next w:val="Bezzoznamu"/>
    <w:uiPriority w:val="99"/>
    <w:semiHidden/>
    <w:unhideWhenUsed/>
    <w:rsid w:val="00E158EA"/>
  </w:style>
  <w:style w:type="table" w:customStyle="1" w:styleId="Mriekatabuky161">
    <w:name w:val="Mriežka tabuľky16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81">
    <w:name w:val="Bez zoznamu81"/>
    <w:next w:val="Bezzoznamu"/>
    <w:uiPriority w:val="99"/>
    <w:semiHidden/>
    <w:unhideWhenUsed/>
    <w:rsid w:val="00E158EA"/>
  </w:style>
  <w:style w:type="numbering" w:customStyle="1" w:styleId="Bezzoznamu91">
    <w:name w:val="Bez zoznamu91"/>
    <w:next w:val="Bezzoznamu"/>
    <w:uiPriority w:val="99"/>
    <w:semiHidden/>
    <w:unhideWhenUsed/>
    <w:rsid w:val="00E158EA"/>
  </w:style>
  <w:style w:type="numbering" w:customStyle="1" w:styleId="Bezzoznamu131">
    <w:name w:val="Bez zoznamu131"/>
    <w:next w:val="Bezzoznamu"/>
    <w:uiPriority w:val="99"/>
    <w:semiHidden/>
    <w:unhideWhenUsed/>
    <w:rsid w:val="00E158EA"/>
  </w:style>
  <w:style w:type="table" w:customStyle="1" w:styleId="Mriekatabuky171">
    <w:name w:val="Mriežka tabuľky17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1">
    <w:name w:val="Mriežka tabuľky18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51">
    <w:name w:val="Mriežka tabuľky25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51">
    <w:name w:val="Mriežka tabuľky11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1">
    <w:name w:val="Mriežka tabuľky3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41">
    <w:name w:val="Mriežka tabuľky12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41">
    <w:name w:val="Mriežka tabuľky21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41">
    <w:name w:val="Mriežka tabuľky111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1">
    <w:name w:val="Mriežka tabuľky421"/>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21">
    <w:name w:val="Mriežka tabuľky132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21">
    <w:name w:val="Mriežka tabuľky222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21">
    <w:name w:val="Mriežka tabuľky1122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1">
    <w:name w:val="Mriežka tabuľky312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21">
    <w:name w:val="Mriežka tabuľky1212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21">
    <w:name w:val="Mriežka tabuľky2112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21">
    <w:name w:val="Mriežka tabuľky11112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21">
    <w:name w:val="Kalendár 221"/>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31">
    <w:name w:val="Bez zoznamu1131"/>
    <w:next w:val="Bezzoznamu"/>
    <w:uiPriority w:val="99"/>
    <w:semiHidden/>
    <w:unhideWhenUsed/>
    <w:rsid w:val="00E158EA"/>
  </w:style>
  <w:style w:type="table" w:customStyle="1" w:styleId="Mriekatabuky521">
    <w:name w:val="Mriežka tabuľky52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21">
    <w:name w:val="Mriežka tabuľky142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21">
    <w:name w:val="Mriežka tabuľky232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21">
    <w:name w:val="Mriežka tabuľky1132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21">
    <w:name w:val="Mriežka tabuľky322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21">
    <w:name w:val="Mriežka tabuľky1222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21">
    <w:name w:val="Mriežka tabuľky2122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21">
    <w:name w:val="Mriežka tabuľky11122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1">
    <w:name w:val="Bez zoznamu221"/>
    <w:next w:val="Bezzoznamu"/>
    <w:uiPriority w:val="99"/>
    <w:semiHidden/>
    <w:unhideWhenUsed/>
    <w:rsid w:val="00E158EA"/>
  </w:style>
  <w:style w:type="table" w:customStyle="1" w:styleId="Mriekatabuky621">
    <w:name w:val="Mriežka tabuľky62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21">
    <w:name w:val="Bez zoznamu321"/>
    <w:next w:val="Bezzoznamu"/>
    <w:uiPriority w:val="99"/>
    <w:semiHidden/>
    <w:unhideWhenUsed/>
    <w:rsid w:val="00E158EA"/>
  </w:style>
  <w:style w:type="table" w:customStyle="1" w:styleId="Mriekatabuky721">
    <w:name w:val="Mriežka tabuľky72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21">
    <w:name w:val="Bez zoznamu11121"/>
    <w:next w:val="Bezzoznamu"/>
    <w:uiPriority w:val="99"/>
    <w:semiHidden/>
    <w:unhideWhenUsed/>
    <w:rsid w:val="00E158EA"/>
  </w:style>
  <w:style w:type="table" w:customStyle="1" w:styleId="Mriekatabukysvetl121">
    <w:name w:val="Mriežka tabuľky – svetlá121"/>
    <w:basedOn w:val="Normlnatabuka"/>
    <w:uiPriority w:val="40"/>
    <w:rsid w:val="00E158EA"/>
    <w:rPr>
      <w:rFonts w:asciiTheme="minorHAnsi" w:eastAsia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11">
    <w:name w:val="Bez zoznamu411"/>
    <w:next w:val="Bezzoznamu"/>
    <w:uiPriority w:val="99"/>
    <w:semiHidden/>
    <w:unhideWhenUsed/>
    <w:rsid w:val="00E158EA"/>
  </w:style>
  <w:style w:type="numbering" w:customStyle="1" w:styleId="Bezzoznamu111121">
    <w:name w:val="Bez zoznamu111121"/>
    <w:next w:val="Bezzoznamu"/>
    <w:uiPriority w:val="99"/>
    <w:semiHidden/>
    <w:unhideWhenUsed/>
    <w:rsid w:val="00E158EA"/>
  </w:style>
  <w:style w:type="table" w:customStyle="1" w:styleId="Mriekatabuky811">
    <w:name w:val="Mriežka tabuľky81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11">
    <w:name w:val="Bez zoznamu511"/>
    <w:next w:val="Bezzoznamu"/>
    <w:uiPriority w:val="99"/>
    <w:semiHidden/>
    <w:unhideWhenUsed/>
    <w:rsid w:val="00E158EA"/>
  </w:style>
  <w:style w:type="numbering" w:customStyle="1" w:styleId="Bezzoznamu1211">
    <w:name w:val="Bez zoznamu1211"/>
    <w:next w:val="Bezzoznamu"/>
    <w:uiPriority w:val="99"/>
    <w:semiHidden/>
    <w:unhideWhenUsed/>
    <w:rsid w:val="00E158EA"/>
  </w:style>
  <w:style w:type="table" w:customStyle="1" w:styleId="Mriekatabuky911">
    <w:name w:val="Mriežka tabuľky91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11">
    <w:name w:val="Mriežka tabuľky151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11">
    <w:name w:val="Mriežka tabuľky241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11">
    <w:name w:val="Mriežka tabuľky114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11">
    <w:name w:val="Mriežka tabuľky33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11">
    <w:name w:val="Mriežka tabuľky123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11">
    <w:name w:val="Mriežka tabuľky213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11">
    <w:name w:val="Mriežka tabuľky1113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1">
    <w:name w:val="Mriežka tabuľky4111"/>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11">
    <w:name w:val="Mriežka tabuľky131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11">
    <w:name w:val="Mriežka tabuľky221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11">
    <w:name w:val="Mriežka tabuľky1121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11">
    <w:name w:val="Mriežka tabuľky311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11">
    <w:name w:val="Mriežka tabuľky1211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11">
    <w:name w:val="Mriežka tabuľky2111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11">
    <w:name w:val="Mriežka tabuľky11111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11">
    <w:name w:val="Kalendár 2111"/>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11">
    <w:name w:val="Bez zoznamu11211"/>
    <w:next w:val="Bezzoznamu"/>
    <w:uiPriority w:val="99"/>
    <w:semiHidden/>
    <w:unhideWhenUsed/>
    <w:rsid w:val="00E158EA"/>
  </w:style>
  <w:style w:type="table" w:customStyle="1" w:styleId="Mriekatabuky5111">
    <w:name w:val="Mriežka tabuľky51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11">
    <w:name w:val="Mriežka tabuľky141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11">
    <w:name w:val="Mriežka tabuľky231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11">
    <w:name w:val="Mriežka tabuľky1131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11">
    <w:name w:val="Mriežka tabuľky321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11">
    <w:name w:val="Mriežka tabuľky1221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11">
    <w:name w:val="Mriežka tabuľky2121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11">
    <w:name w:val="Mriežka tabuľky11121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1">
    <w:name w:val="Bez zoznamu2111"/>
    <w:next w:val="Bezzoznamu"/>
    <w:uiPriority w:val="99"/>
    <w:semiHidden/>
    <w:unhideWhenUsed/>
    <w:rsid w:val="00E158EA"/>
  </w:style>
  <w:style w:type="table" w:customStyle="1" w:styleId="Mriekatabuky6111">
    <w:name w:val="Mriežka tabuľky611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11">
    <w:name w:val="Bez zoznamu3111"/>
    <w:next w:val="Bezzoznamu"/>
    <w:uiPriority w:val="99"/>
    <w:semiHidden/>
    <w:unhideWhenUsed/>
    <w:rsid w:val="00E158EA"/>
  </w:style>
  <w:style w:type="table" w:customStyle="1" w:styleId="Mriekatabuky7111">
    <w:name w:val="Mriežka tabuľky711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11">
    <w:name w:val="Bez zoznamu1111111"/>
    <w:next w:val="Bezzoznamu"/>
    <w:uiPriority w:val="99"/>
    <w:semiHidden/>
    <w:unhideWhenUsed/>
    <w:rsid w:val="00E158EA"/>
  </w:style>
  <w:style w:type="table" w:customStyle="1" w:styleId="Mriekatabukysvetl1111">
    <w:name w:val="Mriežka tabuľky – svetlá1111"/>
    <w:basedOn w:val="Normlnatabuka"/>
    <w:uiPriority w:val="40"/>
    <w:rsid w:val="00E158EA"/>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01">
    <w:name w:val="Bez zoznamu101"/>
    <w:next w:val="Bezzoznamu"/>
    <w:uiPriority w:val="99"/>
    <w:semiHidden/>
    <w:unhideWhenUsed/>
    <w:rsid w:val="00E158EA"/>
  </w:style>
  <w:style w:type="table" w:customStyle="1" w:styleId="Mriekatabuky191">
    <w:name w:val="Mriežka tabuľky19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01">
    <w:name w:val="Mriežka tabuľky110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61">
    <w:name w:val="Mriežka tabuľky26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61">
    <w:name w:val="Mriežka tabuľky11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1">
    <w:name w:val="Mriežka tabuľky3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51">
    <w:name w:val="Mriežka tabuľky12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51">
    <w:name w:val="Mriežka tabuľky21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51">
    <w:name w:val="Mriežka tabuľky111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1">
    <w:name w:val="Mriežka tabuľky431"/>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31">
    <w:name w:val="Mriežka tabuľky133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31">
    <w:name w:val="Mriežka tabuľky223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31">
    <w:name w:val="Mriežka tabuľky1123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1">
    <w:name w:val="Mriežka tabuľky313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31">
    <w:name w:val="Mriežka tabuľky1213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31">
    <w:name w:val="Mriežka tabuľky2113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31">
    <w:name w:val="Mriežka tabuľky11113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31">
    <w:name w:val="Kalendár 231"/>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41">
    <w:name w:val="Bez zoznamu141"/>
    <w:next w:val="Bezzoznamu"/>
    <w:uiPriority w:val="99"/>
    <w:semiHidden/>
    <w:unhideWhenUsed/>
    <w:rsid w:val="00E158EA"/>
  </w:style>
  <w:style w:type="table" w:customStyle="1" w:styleId="Mriekatabuky531">
    <w:name w:val="Mriežka tabuľky53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31">
    <w:name w:val="Mriežka tabuľky143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31">
    <w:name w:val="Mriežka tabuľky233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31">
    <w:name w:val="Mriežka tabuľky1133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31">
    <w:name w:val="Mriežka tabuľky323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31">
    <w:name w:val="Mriežka tabuľky1223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31">
    <w:name w:val="Mriežka tabuľky2123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31">
    <w:name w:val="Mriežka tabuľky11123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
    <w:name w:val="Bez zoznamu231"/>
    <w:next w:val="Bezzoznamu"/>
    <w:uiPriority w:val="99"/>
    <w:semiHidden/>
    <w:unhideWhenUsed/>
    <w:rsid w:val="00E158EA"/>
  </w:style>
  <w:style w:type="table" w:customStyle="1" w:styleId="Mriekatabuky631">
    <w:name w:val="Mriežka tabuľky63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31">
    <w:name w:val="Bez zoznamu331"/>
    <w:next w:val="Bezzoznamu"/>
    <w:uiPriority w:val="99"/>
    <w:semiHidden/>
    <w:unhideWhenUsed/>
    <w:rsid w:val="00E158EA"/>
  </w:style>
  <w:style w:type="table" w:customStyle="1" w:styleId="Mriekatabuky731">
    <w:name w:val="Mriežka tabuľky73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41">
    <w:name w:val="Bez zoznamu1141"/>
    <w:next w:val="Bezzoznamu"/>
    <w:uiPriority w:val="99"/>
    <w:semiHidden/>
    <w:unhideWhenUsed/>
    <w:rsid w:val="00E158EA"/>
  </w:style>
  <w:style w:type="table" w:customStyle="1" w:styleId="Mriekatabukysvetl131">
    <w:name w:val="Mriežka tabuľky – svetlá131"/>
    <w:basedOn w:val="Normlnatabuka"/>
    <w:uiPriority w:val="40"/>
    <w:rsid w:val="00E158EA"/>
    <w:rPr>
      <w:rFonts w:asciiTheme="minorHAnsi" w:eastAsia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21">
    <w:name w:val="Bez zoznamu421"/>
    <w:next w:val="Bezzoznamu"/>
    <w:uiPriority w:val="99"/>
    <w:semiHidden/>
    <w:unhideWhenUsed/>
    <w:rsid w:val="00E158EA"/>
  </w:style>
  <w:style w:type="numbering" w:customStyle="1" w:styleId="Bezzoznamu11131">
    <w:name w:val="Bez zoznamu11131"/>
    <w:next w:val="Bezzoznamu"/>
    <w:uiPriority w:val="99"/>
    <w:semiHidden/>
    <w:unhideWhenUsed/>
    <w:rsid w:val="00E158EA"/>
  </w:style>
  <w:style w:type="table" w:customStyle="1" w:styleId="Mriekatabuky821">
    <w:name w:val="Mriežka tabuľky82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21">
    <w:name w:val="Bez zoznamu521"/>
    <w:next w:val="Bezzoznamu"/>
    <w:uiPriority w:val="99"/>
    <w:semiHidden/>
    <w:unhideWhenUsed/>
    <w:rsid w:val="00E158EA"/>
  </w:style>
  <w:style w:type="numbering" w:customStyle="1" w:styleId="Bezzoznamu1221">
    <w:name w:val="Bez zoznamu1221"/>
    <w:next w:val="Bezzoznamu"/>
    <w:uiPriority w:val="99"/>
    <w:semiHidden/>
    <w:unhideWhenUsed/>
    <w:rsid w:val="00E158EA"/>
  </w:style>
  <w:style w:type="table" w:customStyle="1" w:styleId="Mriekatabuky921">
    <w:name w:val="Mriežka tabuľky92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21">
    <w:name w:val="Mriežka tabuľky152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21">
    <w:name w:val="Mriežka tabuľky242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21">
    <w:name w:val="Mriežka tabuľky1142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21">
    <w:name w:val="Mriežka tabuľky332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21">
    <w:name w:val="Mriežka tabuľky1232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21">
    <w:name w:val="Mriežka tabuľky2132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21">
    <w:name w:val="Mriežka tabuľky11132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21">
    <w:name w:val="Mriežka tabuľky4121"/>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21">
    <w:name w:val="Mriežka tabuľky1312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21">
    <w:name w:val="Mriežka tabuľky2212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21">
    <w:name w:val="Mriežka tabuľky11212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21">
    <w:name w:val="Mriežka tabuľky3112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21">
    <w:name w:val="Mriežka tabuľky12112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21">
    <w:name w:val="Mriežka tabuľky21112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21">
    <w:name w:val="Mriežka tabuľky111112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21">
    <w:name w:val="Kalendár 2121"/>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21">
    <w:name w:val="Bez zoznamu11221"/>
    <w:next w:val="Bezzoznamu"/>
    <w:uiPriority w:val="99"/>
    <w:semiHidden/>
    <w:unhideWhenUsed/>
    <w:rsid w:val="00E158EA"/>
  </w:style>
  <w:style w:type="table" w:customStyle="1" w:styleId="Mriekatabuky5121">
    <w:name w:val="Mriežka tabuľky512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21">
    <w:name w:val="Mriežka tabuľky1412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21">
    <w:name w:val="Mriežka tabuľky2312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21">
    <w:name w:val="Mriežka tabuľky11312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21">
    <w:name w:val="Mriežka tabuľky3212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21">
    <w:name w:val="Mriežka tabuľky12212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21">
    <w:name w:val="Mriežka tabuľky21212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21">
    <w:name w:val="Mriežka tabuľky111212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21">
    <w:name w:val="Bez zoznamu2121"/>
    <w:next w:val="Bezzoznamu"/>
    <w:uiPriority w:val="99"/>
    <w:semiHidden/>
    <w:unhideWhenUsed/>
    <w:rsid w:val="00E158EA"/>
  </w:style>
  <w:style w:type="table" w:customStyle="1" w:styleId="Mriekatabuky6121">
    <w:name w:val="Mriežka tabuľky612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21">
    <w:name w:val="Bez zoznamu3121"/>
    <w:next w:val="Bezzoznamu"/>
    <w:uiPriority w:val="99"/>
    <w:semiHidden/>
    <w:unhideWhenUsed/>
    <w:rsid w:val="00E158EA"/>
  </w:style>
  <w:style w:type="table" w:customStyle="1" w:styleId="Mriekatabuky7121">
    <w:name w:val="Mriežka tabuľky712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31">
    <w:name w:val="Bez zoznamu111131"/>
    <w:next w:val="Bezzoznamu"/>
    <w:uiPriority w:val="99"/>
    <w:semiHidden/>
    <w:unhideWhenUsed/>
    <w:rsid w:val="00E158EA"/>
  </w:style>
  <w:style w:type="table" w:customStyle="1" w:styleId="Mriekatabukysvetl1121">
    <w:name w:val="Mriežka tabuľky – svetlá1121"/>
    <w:basedOn w:val="Normlnatabuka"/>
    <w:uiPriority w:val="40"/>
    <w:rsid w:val="00E158EA"/>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51">
    <w:name w:val="Bez zoznamu151"/>
    <w:next w:val="Bezzoznamu"/>
    <w:uiPriority w:val="99"/>
    <w:semiHidden/>
    <w:unhideWhenUsed/>
    <w:rsid w:val="00E158EA"/>
  </w:style>
  <w:style w:type="table" w:customStyle="1" w:styleId="Mriekatabuky201">
    <w:name w:val="Mriežka tabuľky20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71">
    <w:name w:val="Mriežka tabuľky271"/>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71">
    <w:name w:val="Mriežka tabuľky1171"/>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81">
    <w:name w:val="Mriežka tabuľky281"/>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1">
    <w:name w:val="Mriežka tabuľky361"/>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1">
    <w:name w:val="Mriežka tabuľky441"/>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9">
    <w:name w:val="Bez zoznamu29"/>
    <w:next w:val="Bezzoznamu"/>
    <w:uiPriority w:val="99"/>
    <w:semiHidden/>
    <w:unhideWhenUsed/>
    <w:rsid w:val="00E158EA"/>
  </w:style>
  <w:style w:type="numbering" w:customStyle="1" w:styleId="Bezzoznamu119">
    <w:name w:val="Bez zoznamu119"/>
    <w:next w:val="Bezzoznamu"/>
    <w:uiPriority w:val="99"/>
    <w:semiHidden/>
    <w:unhideWhenUsed/>
    <w:rsid w:val="00E158EA"/>
  </w:style>
  <w:style w:type="table" w:customStyle="1" w:styleId="Mriekatabuky48">
    <w:name w:val="Mriežka tabuľky48"/>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0">
    <w:name w:val="Mriežka tabuľky130"/>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0">
    <w:name w:val="Mriežka tabuľky220"/>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0">
    <w:name w:val="Mriežka tabuľky1120"/>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7">
    <w:name w:val="Mriežka tabuľky31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0">
    <w:name w:val="Mriežka tabuľky1210"/>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7">
    <w:name w:val="Mriežka tabuľky211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0">
    <w:name w:val="Mriežka tabuľky11110"/>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9">
    <w:name w:val="Mriežka tabuľky49"/>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7">
    <w:name w:val="Mriežka tabuľky137"/>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7">
    <w:name w:val="Mriežka tabuľky227"/>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7">
    <w:name w:val="Mriežka tabuľky1127"/>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8">
    <w:name w:val="Mriežka tabuľky318"/>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7">
    <w:name w:val="Mriežka tabuľky1217"/>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8">
    <w:name w:val="Mriežka tabuľky2118"/>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7">
    <w:name w:val="Mriežka tabuľky11117"/>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7">
    <w:name w:val="Kalendár 27"/>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10">
    <w:name w:val="Bez zoznamu1110"/>
    <w:next w:val="Bezzoznamu"/>
    <w:uiPriority w:val="99"/>
    <w:semiHidden/>
    <w:unhideWhenUsed/>
    <w:rsid w:val="00E158EA"/>
  </w:style>
  <w:style w:type="table" w:customStyle="1" w:styleId="Mriekatabuky57">
    <w:name w:val="Mriežka tabuľky5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7">
    <w:name w:val="Mriežka tabuľky14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7">
    <w:name w:val="Mriežka tabuľky23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7">
    <w:name w:val="Mriežka tabuľky113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7">
    <w:name w:val="Mriežka tabuľky32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7">
    <w:name w:val="Mriežka tabuľky122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7">
    <w:name w:val="Mriežka tabuľky212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7">
    <w:name w:val="Mriežka tabuľky1112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0">
    <w:name w:val="Bez zoznamu210"/>
    <w:next w:val="Bezzoznamu"/>
    <w:uiPriority w:val="99"/>
    <w:semiHidden/>
    <w:unhideWhenUsed/>
    <w:rsid w:val="00E158EA"/>
  </w:style>
  <w:style w:type="table" w:customStyle="1" w:styleId="Mriekatabuky67">
    <w:name w:val="Mriežka tabuľky67"/>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7">
    <w:name w:val="Bez zoznamu37"/>
    <w:next w:val="Bezzoznamu"/>
    <w:uiPriority w:val="99"/>
    <w:semiHidden/>
    <w:unhideWhenUsed/>
    <w:rsid w:val="00E158EA"/>
  </w:style>
  <w:style w:type="table" w:customStyle="1" w:styleId="Mriekatabuky77">
    <w:name w:val="Mriežka tabuľky77"/>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7">
    <w:name w:val="Bez zoznamu1117"/>
    <w:next w:val="Bezzoznamu"/>
    <w:uiPriority w:val="99"/>
    <w:semiHidden/>
    <w:unhideWhenUsed/>
    <w:rsid w:val="00E158EA"/>
  </w:style>
  <w:style w:type="table" w:customStyle="1" w:styleId="Mriekatabukysvetl17">
    <w:name w:val="Mriežka tabuľky – svetlá17"/>
    <w:basedOn w:val="Normlnatabuka"/>
    <w:uiPriority w:val="40"/>
    <w:rsid w:val="00E158EA"/>
    <w:rPr>
      <w:rFonts w:asciiTheme="minorHAnsi" w:eastAsia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6">
    <w:name w:val="Bez zoznamu46"/>
    <w:next w:val="Bezzoznamu"/>
    <w:uiPriority w:val="99"/>
    <w:semiHidden/>
    <w:unhideWhenUsed/>
    <w:rsid w:val="00E158EA"/>
  </w:style>
  <w:style w:type="numbering" w:customStyle="1" w:styleId="Bezzoznamu11117">
    <w:name w:val="Bez zoznamu11117"/>
    <w:next w:val="Bezzoznamu"/>
    <w:uiPriority w:val="99"/>
    <w:semiHidden/>
    <w:unhideWhenUsed/>
    <w:rsid w:val="00E158EA"/>
  </w:style>
  <w:style w:type="table" w:customStyle="1" w:styleId="Mriekatabuky86">
    <w:name w:val="Mriežka tabuľky86"/>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6">
    <w:name w:val="Bez zoznamu56"/>
    <w:next w:val="Bezzoznamu"/>
    <w:uiPriority w:val="99"/>
    <w:semiHidden/>
    <w:unhideWhenUsed/>
    <w:rsid w:val="00E158EA"/>
  </w:style>
  <w:style w:type="numbering" w:customStyle="1" w:styleId="Bezzoznamu126">
    <w:name w:val="Bez zoznamu126"/>
    <w:next w:val="Bezzoznamu"/>
    <w:uiPriority w:val="99"/>
    <w:semiHidden/>
    <w:unhideWhenUsed/>
    <w:rsid w:val="00E158EA"/>
  </w:style>
  <w:style w:type="table" w:customStyle="1" w:styleId="Mriekatabuky96">
    <w:name w:val="Mriežka tabuľky96"/>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6">
    <w:name w:val="Mriežka tabuľky156"/>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6">
    <w:name w:val="Mriežka tabuľky246"/>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6">
    <w:name w:val="Mriežka tabuľky1146"/>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6">
    <w:name w:val="Mriežka tabuľky336"/>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6">
    <w:name w:val="Mriežka tabuľky1236"/>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6">
    <w:name w:val="Mriežka tabuľky2136"/>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6">
    <w:name w:val="Mriežka tabuľky11136"/>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6">
    <w:name w:val="Mriežka tabuľky416"/>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6">
    <w:name w:val="Mriežka tabuľky1316"/>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6">
    <w:name w:val="Mriežka tabuľky2216"/>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6">
    <w:name w:val="Mriežka tabuľky11216"/>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6">
    <w:name w:val="Mriežka tabuľky3116"/>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6">
    <w:name w:val="Mriežka tabuľky12116"/>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6">
    <w:name w:val="Mriežka tabuľky21116"/>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6">
    <w:name w:val="Mriežka tabuľky111116"/>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6">
    <w:name w:val="Kalendár 216"/>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6">
    <w:name w:val="Bez zoznamu1126"/>
    <w:next w:val="Bezzoznamu"/>
    <w:uiPriority w:val="99"/>
    <w:semiHidden/>
    <w:unhideWhenUsed/>
    <w:rsid w:val="00E158EA"/>
  </w:style>
  <w:style w:type="table" w:customStyle="1" w:styleId="Mriekatabuky516">
    <w:name w:val="Mriežka tabuľky516"/>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6">
    <w:name w:val="Mriežka tabuľky1416"/>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6">
    <w:name w:val="Mriežka tabuľky2316"/>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6">
    <w:name w:val="Mriežka tabuľky11316"/>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6">
    <w:name w:val="Mriežka tabuľky3216"/>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6">
    <w:name w:val="Mriežka tabuľky12216"/>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6">
    <w:name w:val="Mriežka tabuľky21216"/>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6">
    <w:name w:val="Mriežka tabuľky111216"/>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6">
    <w:name w:val="Bez zoznamu216"/>
    <w:next w:val="Bezzoznamu"/>
    <w:uiPriority w:val="99"/>
    <w:semiHidden/>
    <w:unhideWhenUsed/>
    <w:rsid w:val="00E158EA"/>
  </w:style>
  <w:style w:type="table" w:customStyle="1" w:styleId="Mriekatabuky616">
    <w:name w:val="Mriežka tabuľky616"/>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6">
    <w:name w:val="Bez zoznamu316"/>
    <w:next w:val="Bezzoznamu"/>
    <w:uiPriority w:val="99"/>
    <w:semiHidden/>
    <w:unhideWhenUsed/>
    <w:rsid w:val="00E158EA"/>
  </w:style>
  <w:style w:type="table" w:customStyle="1" w:styleId="Mriekatabuky716">
    <w:name w:val="Mriežka tabuľky716"/>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4">
    <w:name w:val="Bez zoznamu111114"/>
    <w:next w:val="Bezzoznamu"/>
    <w:uiPriority w:val="99"/>
    <w:semiHidden/>
    <w:unhideWhenUsed/>
    <w:rsid w:val="00E158EA"/>
  </w:style>
  <w:style w:type="table" w:customStyle="1" w:styleId="Mriekatabukysvetl116">
    <w:name w:val="Mriežka tabuľky – svetlá116"/>
    <w:basedOn w:val="Normlnatabuka"/>
    <w:uiPriority w:val="40"/>
    <w:rsid w:val="00E158EA"/>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30">
    <w:name w:val="Bez zoznamu30"/>
    <w:next w:val="Bezzoznamu"/>
    <w:uiPriority w:val="99"/>
    <w:semiHidden/>
    <w:unhideWhenUsed/>
    <w:rsid w:val="00E158EA"/>
  </w:style>
  <w:style w:type="table" w:customStyle="1" w:styleId="Mriekatabukysvetl18">
    <w:name w:val="Mriežka tabuľky – svetlá18"/>
    <w:basedOn w:val="Normlnatabuka"/>
    <w:uiPriority w:val="40"/>
    <w:rsid w:val="00E158E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riekatabuky50">
    <w:name w:val="Mriežka tabuľky50"/>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8">
    <w:name w:val="Mriežka tabuľky138"/>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8">
    <w:name w:val="Mriežka tabuľky228"/>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9">
    <w:name w:val="Mriežka tabuľky319"/>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0">
    <w:name w:val="Mriežka tabuľky410"/>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8">
    <w:name w:val="Bez zoznamu38"/>
    <w:next w:val="Bezzoznamu"/>
    <w:uiPriority w:val="99"/>
    <w:semiHidden/>
    <w:unhideWhenUsed/>
    <w:rsid w:val="00E158EA"/>
  </w:style>
  <w:style w:type="numbering" w:customStyle="1" w:styleId="Bezzoznamu39">
    <w:name w:val="Bez zoznamu39"/>
    <w:next w:val="Bezzoznamu"/>
    <w:uiPriority w:val="99"/>
    <w:semiHidden/>
    <w:unhideWhenUsed/>
    <w:rsid w:val="00E158EA"/>
  </w:style>
  <w:style w:type="table" w:customStyle="1" w:styleId="Mriekatabuky58">
    <w:name w:val="Mriežka tabuľky58"/>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9">
    <w:name w:val="Mriežka tabuľky139"/>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9">
    <w:name w:val="Mriežka tabuľky229"/>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8">
    <w:name w:val="Mriežka tabuľky1128"/>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0">
    <w:name w:val="Mriežka tabuľky320"/>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8">
    <w:name w:val="Mriežka tabuľky1218"/>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9">
    <w:name w:val="Mriežka tabuľky2119"/>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8">
    <w:name w:val="Mriežka tabuľky11118"/>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7">
    <w:name w:val="Mriežka tabuľky417"/>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0">
    <w:name w:val="Mriežka tabuľky1310"/>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0">
    <w:name w:val="Mriežka tabuľky2210"/>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9">
    <w:name w:val="Mriežka tabuľky1129"/>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0">
    <w:name w:val="Mriežka tabuľky3110"/>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9">
    <w:name w:val="Mriežka tabuľky1219"/>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0">
    <w:name w:val="Mriežka tabuľky21110"/>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9">
    <w:name w:val="Mriežka tabuľky11119"/>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8">
    <w:name w:val="Kalendár 28"/>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20">
    <w:name w:val="Bez zoznamu120"/>
    <w:next w:val="Bezzoznamu"/>
    <w:uiPriority w:val="99"/>
    <w:semiHidden/>
    <w:unhideWhenUsed/>
    <w:rsid w:val="00E158EA"/>
  </w:style>
  <w:style w:type="table" w:customStyle="1" w:styleId="Mriekatabuky59">
    <w:name w:val="Mriežka tabuľky59"/>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8">
    <w:name w:val="Mriežka tabuľky148"/>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8">
    <w:name w:val="Mriežka tabuľky238"/>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8">
    <w:name w:val="Mriežka tabuľky1138"/>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8">
    <w:name w:val="Mriežka tabuľky328"/>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8">
    <w:name w:val="Mriežka tabuľky1228"/>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8">
    <w:name w:val="Mriežka tabuľky2128"/>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8">
    <w:name w:val="Mriežka tabuľky11128"/>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7">
    <w:name w:val="Bez zoznamu217"/>
    <w:next w:val="Bezzoznamu"/>
    <w:uiPriority w:val="99"/>
    <w:semiHidden/>
    <w:unhideWhenUsed/>
    <w:rsid w:val="00E158EA"/>
  </w:style>
  <w:style w:type="table" w:customStyle="1" w:styleId="Mriekatabuky68">
    <w:name w:val="Mriežka tabuľky68"/>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0">
    <w:name w:val="Bez zoznamu310"/>
    <w:next w:val="Bezzoznamu"/>
    <w:uiPriority w:val="99"/>
    <w:semiHidden/>
    <w:unhideWhenUsed/>
    <w:rsid w:val="00E158EA"/>
  </w:style>
  <w:style w:type="table" w:customStyle="1" w:styleId="Mriekatabuky78">
    <w:name w:val="Mriežka tabuľky78"/>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8">
    <w:name w:val="Bez zoznamu1118"/>
    <w:next w:val="Bezzoznamu"/>
    <w:uiPriority w:val="99"/>
    <w:semiHidden/>
    <w:unhideWhenUsed/>
    <w:rsid w:val="00E158EA"/>
  </w:style>
  <w:style w:type="table" w:customStyle="1" w:styleId="Mriekatabukysvetl19">
    <w:name w:val="Mriežka tabuľky – svetlá19"/>
    <w:basedOn w:val="Normlnatabuka"/>
    <w:uiPriority w:val="40"/>
    <w:rsid w:val="00E158E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47">
    <w:name w:val="Bez zoznamu47"/>
    <w:next w:val="Bezzoznamu"/>
    <w:uiPriority w:val="99"/>
    <w:semiHidden/>
    <w:unhideWhenUsed/>
    <w:rsid w:val="00E158EA"/>
  </w:style>
  <w:style w:type="numbering" w:customStyle="1" w:styleId="Bezzoznamu1119">
    <w:name w:val="Bez zoznamu1119"/>
    <w:next w:val="Bezzoznamu"/>
    <w:uiPriority w:val="99"/>
    <w:semiHidden/>
    <w:unhideWhenUsed/>
    <w:rsid w:val="00E158EA"/>
  </w:style>
  <w:style w:type="table" w:customStyle="1" w:styleId="Mriekatabuky87">
    <w:name w:val="Mriežka tabuľky87"/>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7">
    <w:name w:val="Bez zoznamu57"/>
    <w:next w:val="Bezzoznamu"/>
    <w:uiPriority w:val="99"/>
    <w:semiHidden/>
    <w:unhideWhenUsed/>
    <w:rsid w:val="00E158EA"/>
  </w:style>
  <w:style w:type="numbering" w:customStyle="1" w:styleId="Bezzoznamu127">
    <w:name w:val="Bez zoznamu127"/>
    <w:next w:val="Bezzoznamu"/>
    <w:uiPriority w:val="99"/>
    <w:semiHidden/>
    <w:unhideWhenUsed/>
    <w:rsid w:val="00E158EA"/>
  </w:style>
  <w:style w:type="table" w:customStyle="1" w:styleId="Mriekatabuky97">
    <w:name w:val="Mriežka tabuľky97"/>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7">
    <w:name w:val="Mriežka tabuľky157"/>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7">
    <w:name w:val="Mriežka tabuľky247"/>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7">
    <w:name w:val="Mriežka tabuľky114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7">
    <w:name w:val="Mriežka tabuľky33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7">
    <w:name w:val="Mriežka tabuľky123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7">
    <w:name w:val="Mriežka tabuľky213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7">
    <w:name w:val="Mriežka tabuľky1113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8">
    <w:name w:val="Mriežka tabuľky418"/>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7">
    <w:name w:val="Mriežka tabuľky1317"/>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7">
    <w:name w:val="Mriežka tabuľky2217"/>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7">
    <w:name w:val="Mriežka tabuľky11217"/>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7">
    <w:name w:val="Mriežka tabuľky3117"/>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7">
    <w:name w:val="Mriežka tabuľky12117"/>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7">
    <w:name w:val="Mriežka tabuľky21117"/>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7">
    <w:name w:val="Mriežka tabuľky111117"/>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7">
    <w:name w:val="Kalendár 217"/>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7">
    <w:name w:val="Bez zoznamu1127"/>
    <w:next w:val="Bezzoznamu"/>
    <w:uiPriority w:val="99"/>
    <w:semiHidden/>
    <w:unhideWhenUsed/>
    <w:rsid w:val="00E158EA"/>
  </w:style>
  <w:style w:type="table" w:customStyle="1" w:styleId="Mriekatabuky517">
    <w:name w:val="Mriežka tabuľky51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7">
    <w:name w:val="Mriežka tabuľky141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7">
    <w:name w:val="Mriežka tabuľky231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7">
    <w:name w:val="Mriežka tabuľky1131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7">
    <w:name w:val="Mriežka tabuľky321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7">
    <w:name w:val="Mriežka tabuľky1221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7">
    <w:name w:val="Mriežka tabuľky2121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7">
    <w:name w:val="Mriežka tabuľky111217"/>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8">
    <w:name w:val="Bez zoznamu218"/>
    <w:next w:val="Bezzoznamu"/>
    <w:uiPriority w:val="99"/>
    <w:semiHidden/>
    <w:unhideWhenUsed/>
    <w:rsid w:val="00E158EA"/>
  </w:style>
  <w:style w:type="table" w:customStyle="1" w:styleId="Mriekatabuky617">
    <w:name w:val="Mriežka tabuľky617"/>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7">
    <w:name w:val="Bez zoznamu317"/>
    <w:next w:val="Bezzoznamu"/>
    <w:uiPriority w:val="99"/>
    <w:semiHidden/>
    <w:unhideWhenUsed/>
    <w:rsid w:val="00E158EA"/>
  </w:style>
  <w:style w:type="table" w:customStyle="1" w:styleId="Mriekatabuky717">
    <w:name w:val="Mriežka tabuľky717"/>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8">
    <w:name w:val="Bez zoznamu11118"/>
    <w:next w:val="Bezzoznamu"/>
    <w:uiPriority w:val="99"/>
    <w:semiHidden/>
    <w:unhideWhenUsed/>
    <w:rsid w:val="00E158EA"/>
  </w:style>
  <w:style w:type="table" w:customStyle="1" w:styleId="Mriekatabukysvetl117">
    <w:name w:val="Mriežka tabuľky – svetlá117"/>
    <w:basedOn w:val="Normlnatabuka"/>
    <w:uiPriority w:val="40"/>
    <w:rsid w:val="00E158EA"/>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62">
    <w:name w:val="Bez zoznamu62"/>
    <w:next w:val="Bezzoznamu"/>
    <w:uiPriority w:val="99"/>
    <w:semiHidden/>
    <w:unhideWhenUsed/>
    <w:rsid w:val="00E158EA"/>
  </w:style>
  <w:style w:type="table" w:customStyle="1" w:styleId="UHPGRAF112">
    <w:name w:val="UHP_GRAF112"/>
    <w:basedOn w:val="Normlnatabuka"/>
    <w:uiPriority w:val="99"/>
    <w:rsid w:val="00E158EA"/>
    <w:pPr>
      <w:spacing w:before="160"/>
      <w:contextualSpacing/>
      <w:jc w:val="both"/>
    </w:pPr>
    <w:rPr>
      <w:rFonts w:ascii="Arial Narrow" w:eastAsia="Calibri" w:hAnsi="Arial Narrow"/>
      <w:lang w:val="en-US"/>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2">
    <w:name w:val="UHP_GRAF122"/>
    <w:basedOn w:val="Normlnatabuka"/>
    <w:uiPriority w:val="99"/>
    <w:rsid w:val="00E158EA"/>
    <w:pPr>
      <w:spacing w:before="160"/>
      <w:contextualSpacing/>
      <w:jc w:val="both"/>
    </w:pPr>
    <w:rPr>
      <w:rFonts w:ascii="Arial Narrow" w:eastAsia="Calibri" w:hAnsi="Arial Narrow"/>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riekatabuky102">
    <w:name w:val="Mriežka tabuľky102"/>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5">
    <w:name w:val="Bez zoznamu111115"/>
    <w:next w:val="Bezzoznamu"/>
    <w:uiPriority w:val="99"/>
    <w:semiHidden/>
    <w:unhideWhenUsed/>
    <w:rsid w:val="00E158EA"/>
  </w:style>
  <w:style w:type="numbering" w:customStyle="1" w:styleId="Bezzoznamu72">
    <w:name w:val="Bez zoznamu72"/>
    <w:next w:val="Bezzoznamu"/>
    <w:uiPriority w:val="99"/>
    <w:semiHidden/>
    <w:unhideWhenUsed/>
    <w:rsid w:val="00E158EA"/>
  </w:style>
  <w:style w:type="table" w:customStyle="1" w:styleId="Mriekatabuky162">
    <w:name w:val="Mriežka tabuľky162"/>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82">
    <w:name w:val="Bez zoznamu82"/>
    <w:next w:val="Bezzoznamu"/>
    <w:uiPriority w:val="99"/>
    <w:semiHidden/>
    <w:unhideWhenUsed/>
    <w:rsid w:val="00E158EA"/>
  </w:style>
  <w:style w:type="numbering" w:customStyle="1" w:styleId="Bezzoznamu92">
    <w:name w:val="Bez zoznamu92"/>
    <w:next w:val="Bezzoznamu"/>
    <w:uiPriority w:val="99"/>
    <w:semiHidden/>
    <w:unhideWhenUsed/>
    <w:rsid w:val="00E158EA"/>
  </w:style>
  <w:style w:type="numbering" w:customStyle="1" w:styleId="Bezzoznamu132">
    <w:name w:val="Bez zoznamu132"/>
    <w:next w:val="Bezzoznamu"/>
    <w:uiPriority w:val="99"/>
    <w:semiHidden/>
    <w:unhideWhenUsed/>
    <w:rsid w:val="00E158EA"/>
  </w:style>
  <w:style w:type="table" w:customStyle="1" w:styleId="Mriekatabuky172">
    <w:name w:val="Mriežka tabuľky172"/>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2">
    <w:name w:val="Mriežka tabuľky182"/>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52">
    <w:name w:val="Mriežka tabuľky252"/>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52">
    <w:name w:val="Mriežka tabuľky115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2">
    <w:name w:val="Mriežka tabuľky34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42">
    <w:name w:val="Mriežka tabuľky124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42">
    <w:name w:val="Mriežka tabuľky214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42">
    <w:name w:val="Mriežka tabuľky1114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2">
    <w:name w:val="Mriežka tabuľky422"/>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22">
    <w:name w:val="Mriežka tabuľky132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22">
    <w:name w:val="Mriežka tabuľky222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22">
    <w:name w:val="Mriežka tabuľky1122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2">
    <w:name w:val="Mriežka tabuľky312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22">
    <w:name w:val="Mriežka tabuľky1212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22">
    <w:name w:val="Mriežka tabuľky2112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22">
    <w:name w:val="Mriežka tabuľky11112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22">
    <w:name w:val="Kalendár 222"/>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32">
    <w:name w:val="Bez zoznamu1132"/>
    <w:next w:val="Bezzoznamu"/>
    <w:uiPriority w:val="99"/>
    <w:semiHidden/>
    <w:unhideWhenUsed/>
    <w:rsid w:val="00E158EA"/>
  </w:style>
  <w:style w:type="table" w:customStyle="1" w:styleId="Mriekatabuky522">
    <w:name w:val="Mriežka tabuľky52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22">
    <w:name w:val="Mriežka tabuľky142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22">
    <w:name w:val="Mriežka tabuľky232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22">
    <w:name w:val="Mriežka tabuľky1132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22">
    <w:name w:val="Mriežka tabuľky322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22">
    <w:name w:val="Mriežka tabuľky1222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22">
    <w:name w:val="Mriežka tabuľky2122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22">
    <w:name w:val="Mriežka tabuľky11122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2">
    <w:name w:val="Bez zoznamu222"/>
    <w:next w:val="Bezzoznamu"/>
    <w:uiPriority w:val="99"/>
    <w:semiHidden/>
    <w:unhideWhenUsed/>
    <w:rsid w:val="00E158EA"/>
  </w:style>
  <w:style w:type="table" w:customStyle="1" w:styleId="Mriekatabuky622">
    <w:name w:val="Mriežka tabuľky622"/>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22">
    <w:name w:val="Bez zoznamu322"/>
    <w:next w:val="Bezzoznamu"/>
    <w:uiPriority w:val="99"/>
    <w:semiHidden/>
    <w:unhideWhenUsed/>
    <w:rsid w:val="00E158EA"/>
  </w:style>
  <w:style w:type="table" w:customStyle="1" w:styleId="Mriekatabuky722">
    <w:name w:val="Mriežka tabuľky722"/>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22">
    <w:name w:val="Bez zoznamu11122"/>
    <w:next w:val="Bezzoznamu"/>
    <w:uiPriority w:val="99"/>
    <w:semiHidden/>
    <w:unhideWhenUsed/>
    <w:rsid w:val="00E158EA"/>
  </w:style>
  <w:style w:type="table" w:customStyle="1" w:styleId="Mriekatabukysvetl122">
    <w:name w:val="Mriežka tabuľky – svetlá122"/>
    <w:basedOn w:val="Normlnatabuka"/>
    <w:uiPriority w:val="40"/>
    <w:rsid w:val="00E158EA"/>
    <w:rPr>
      <w:rFonts w:asciiTheme="minorHAnsi" w:eastAsia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12">
    <w:name w:val="Bez zoznamu412"/>
    <w:next w:val="Bezzoznamu"/>
    <w:uiPriority w:val="99"/>
    <w:semiHidden/>
    <w:unhideWhenUsed/>
    <w:rsid w:val="00E158EA"/>
  </w:style>
  <w:style w:type="numbering" w:customStyle="1" w:styleId="Bezzoznamu111122">
    <w:name w:val="Bez zoznamu111122"/>
    <w:next w:val="Bezzoznamu"/>
    <w:uiPriority w:val="99"/>
    <w:semiHidden/>
    <w:unhideWhenUsed/>
    <w:rsid w:val="00E158EA"/>
  </w:style>
  <w:style w:type="table" w:customStyle="1" w:styleId="Mriekatabuky812">
    <w:name w:val="Mriežka tabuľky812"/>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12">
    <w:name w:val="Bez zoznamu512"/>
    <w:next w:val="Bezzoznamu"/>
    <w:uiPriority w:val="99"/>
    <w:semiHidden/>
    <w:unhideWhenUsed/>
    <w:rsid w:val="00E158EA"/>
  </w:style>
  <w:style w:type="numbering" w:customStyle="1" w:styleId="Bezzoznamu1212">
    <w:name w:val="Bez zoznamu1212"/>
    <w:next w:val="Bezzoznamu"/>
    <w:uiPriority w:val="99"/>
    <w:semiHidden/>
    <w:unhideWhenUsed/>
    <w:rsid w:val="00E158EA"/>
  </w:style>
  <w:style w:type="table" w:customStyle="1" w:styleId="Mriekatabuky912">
    <w:name w:val="Mriežka tabuľky912"/>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12">
    <w:name w:val="Mriežka tabuľky1512"/>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12">
    <w:name w:val="Mriežka tabuľky2412"/>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12">
    <w:name w:val="Mriežka tabuľky1141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12">
    <w:name w:val="Mriežka tabuľky331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12">
    <w:name w:val="Mriežka tabuľky1231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12">
    <w:name w:val="Mriežka tabuľky2131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12">
    <w:name w:val="Mriežka tabuľky11131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2">
    <w:name w:val="Mriežka tabuľky4112"/>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12">
    <w:name w:val="Mriežka tabuľky1311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12">
    <w:name w:val="Mriežka tabuľky2211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12">
    <w:name w:val="Mriežka tabuľky11211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12">
    <w:name w:val="Mriežka tabuľky3111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12">
    <w:name w:val="Mriežka tabuľky12111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12">
    <w:name w:val="Mriežka tabuľky21111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12">
    <w:name w:val="Mriežka tabuľky111111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12">
    <w:name w:val="Kalendár 2112"/>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12">
    <w:name w:val="Bez zoznamu11212"/>
    <w:next w:val="Bezzoznamu"/>
    <w:uiPriority w:val="99"/>
    <w:semiHidden/>
    <w:unhideWhenUsed/>
    <w:rsid w:val="00E158EA"/>
  </w:style>
  <w:style w:type="table" w:customStyle="1" w:styleId="Mriekatabuky5112">
    <w:name w:val="Mriežka tabuľky511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12">
    <w:name w:val="Mriežka tabuľky1411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12">
    <w:name w:val="Mriežka tabuľky2311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12">
    <w:name w:val="Mriežka tabuľky11311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12">
    <w:name w:val="Mriežka tabuľky3211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12">
    <w:name w:val="Mriežka tabuľky12211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12">
    <w:name w:val="Mriežka tabuľky21211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12">
    <w:name w:val="Mriežka tabuľky111211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2">
    <w:name w:val="Bez zoznamu2112"/>
    <w:next w:val="Bezzoznamu"/>
    <w:uiPriority w:val="99"/>
    <w:semiHidden/>
    <w:unhideWhenUsed/>
    <w:rsid w:val="00E158EA"/>
  </w:style>
  <w:style w:type="table" w:customStyle="1" w:styleId="Mriekatabuky6112">
    <w:name w:val="Mriežka tabuľky6112"/>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12">
    <w:name w:val="Bez zoznamu3112"/>
    <w:next w:val="Bezzoznamu"/>
    <w:uiPriority w:val="99"/>
    <w:semiHidden/>
    <w:unhideWhenUsed/>
    <w:rsid w:val="00E158EA"/>
  </w:style>
  <w:style w:type="table" w:customStyle="1" w:styleId="Mriekatabuky7112">
    <w:name w:val="Mriežka tabuľky7112"/>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12">
    <w:name w:val="Bez zoznamu1111112"/>
    <w:next w:val="Bezzoznamu"/>
    <w:uiPriority w:val="99"/>
    <w:semiHidden/>
    <w:unhideWhenUsed/>
    <w:rsid w:val="00E158EA"/>
  </w:style>
  <w:style w:type="table" w:customStyle="1" w:styleId="Mriekatabukysvetl1112">
    <w:name w:val="Mriežka tabuľky – svetlá1112"/>
    <w:basedOn w:val="Normlnatabuka"/>
    <w:uiPriority w:val="40"/>
    <w:rsid w:val="00E158EA"/>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02">
    <w:name w:val="Bez zoznamu102"/>
    <w:next w:val="Bezzoznamu"/>
    <w:uiPriority w:val="99"/>
    <w:semiHidden/>
    <w:unhideWhenUsed/>
    <w:rsid w:val="00E158EA"/>
  </w:style>
  <w:style w:type="table" w:customStyle="1" w:styleId="Mriekatabuky192">
    <w:name w:val="Mriežka tabuľky192"/>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02">
    <w:name w:val="Mriežka tabuľky1102"/>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62">
    <w:name w:val="Mriežka tabuľky262"/>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62">
    <w:name w:val="Mriežka tabuľky116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2">
    <w:name w:val="Mriežka tabuľky35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52">
    <w:name w:val="Mriežka tabuľky125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52">
    <w:name w:val="Mriežka tabuľky215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52">
    <w:name w:val="Mriežka tabuľky1115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2">
    <w:name w:val="Mriežka tabuľky432"/>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32">
    <w:name w:val="Mriežka tabuľky133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32">
    <w:name w:val="Mriežka tabuľky223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32">
    <w:name w:val="Mriežka tabuľky1123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2">
    <w:name w:val="Mriežka tabuľky313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32">
    <w:name w:val="Mriežka tabuľky1213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32">
    <w:name w:val="Mriežka tabuľky2113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32">
    <w:name w:val="Mriežka tabuľky11113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32">
    <w:name w:val="Kalendár 232"/>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42">
    <w:name w:val="Bez zoznamu142"/>
    <w:next w:val="Bezzoznamu"/>
    <w:uiPriority w:val="99"/>
    <w:semiHidden/>
    <w:unhideWhenUsed/>
    <w:rsid w:val="00E158EA"/>
  </w:style>
  <w:style w:type="table" w:customStyle="1" w:styleId="Mriekatabuky532">
    <w:name w:val="Mriežka tabuľky53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32">
    <w:name w:val="Mriežka tabuľky143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32">
    <w:name w:val="Mriežka tabuľky233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32">
    <w:name w:val="Mriežka tabuľky1133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32">
    <w:name w:val="Mriežka tabuľky323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32">
    <w:name w:val="Mriežka tabuľky1223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32">
    <w:name w:val="Mriežka tabuľky2123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32">
    <w:name w:val="Mriežka tabuľky11123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2">
    <w:name w:val="Bez zoznamu232"/>
    <w:next w:val="Bezzoznamu"/>
    <w:uiPriority w:val="99"/>
    <w:semiHidden/>
    <w:unhideWhenUsed/>
    <w:rsid w:val="00E158EA"/>
  </w:style>
  <w:style w:type="table" w:customStyle="1" w:styleId="Mriekatabuky632">
    <w:name w:val="Mriežka tabuľky632"/>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32">
    <w:name w:val="Bez zoznamu332"/>
    <w:next w:val="Bezzoznamu"/>
    <w:uiPriority w:val="99"/>
    <w:semiHidden/>
    <w:unhideWhenUsed/>
    <w:rsid w:val="00E158EA"/>
  </w:style>
  <w:style w:type="table" w:customStyle="1" w:styleId="Mriekatabuky732">
    <w:name w:val="Mriežka tabuľky732"/>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42">
    <w:name w:val="Bez zoznamu1142"/>
    <w:next w:val="Bezzoznamu"/>
    <w:uiPriority w:val="99"/>
    <w:semiHidden/>
    <w:unhideWhenUsed/>
    <w:rsid w:val="00E158EA"/>
  </w:style>
  <w:style w:type="table" w:customStyle="1" w:styleId="Mriekatabukysvetl132">
    <w:name w:val="Mriežka tabuľky – svetlá132"/>
    <w:basedOn w:val="Normlnatabuka"/>
    <w:uiPriority w:val="40"/>
    <w:rsid w:val="00E158EA"/>
    <w:rPr>
      <w:rFonts w:asciiTheme="minorHAnsi" w:eastAsia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22">
    <w:name w:val="Bez zoznamu422"/>
    <w:next w:val="Bezzoznamu"/>
    <w:uiPriority w:val="99"/>
    <w:semiHidden/>
    <w:unhideWhenUsed/>
    <w:rsid w:val="00E158EA"/>
  </w:style>
  <w:style w:type="numbering" w:customStyle="1" w:styleId="Bezzoznamu11132">
    <w:name w:val="Bez zoznamu11132"/>
    <w:next w:val="Bezzoznamu"/>
    <w:uiPriority w:val="99"/>
    <w:semiHidden/>
    <w:unhideWhenUsed/>
    <w:rsid w:val="00E158EA"/>
  </w:style>
  <w:style w:type="table" w:customStyle="1" w:styleId="Mriekatabuky822">
    <w:name w:val="Mriežka tabuľky822"/>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22">
    <w:name w:val="Bez zoznamu522"/>
    <w:next w:val="Bezzoznamu"/>
    <w:uiPriority w:val="99"/>
    <w:semiHidden/>
    <w:unhideWhenUsed/>
    <w:rsid w:val="00E158EA"/>
  </w:style>
  <w:style w:type="numbering" w:customStyle="1" w:styleId="Bezzoznamu1222">
    <w:name w:val="Bez zoznamu1222"/>
    <w:next w:val="Bezzoznamu"/>
    <w:uiPriority w:val="99"/>
    <w:semiHidden/>
    <w:unhideWhenUsed/>
    <w:rsid w:val="00E158EA"/>
  </w:style>
  <w:style w:type="table" w:customStyle="1" w:styleId="Mriekatabuky922">
    <w:name w:val="Mriežka tabuľky922"/>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22">
    <w:name w:val="Mriežka tabuľky1522"/>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22">
    <w:name w:val="Mriežka tabuľky2422"/>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22">
    <w:name w:val="Mriežka tabuľky1142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22">
    <w:name w:val="Mriežka tabuľky332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22">
    <w:name w:val="Mriežka tabuľky1232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22">
    <w:name w:val="Mriežka tabuľky2132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22">
    <w:name w:val="Mriežka tabuľky11132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22">
    <w:name w:val="Mriežka tabuľky4122"/>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22">
    <w:name w:val="Mriežka tabuľky1312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22">
    <w:name w:val="Mriežka tabuľky2212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22">
    <w:name w:val="Mriežka tabuľky11212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22">
    <w:name w:val="Mriežka tabuľky3112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22">
    <w:name w:val="Mriežka tabuľky12112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22">
    <w:name w:val="Mriežka tabuľky21112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22">
    <w:name w:val="Mriežka tabuľky1111122"/>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22">
    <w:name w:val="Kalendár 2122"/>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22">
    <w:name w:val="Bez zoznamu11222"/>
    <w:next w:val="Bezzoznamu"/>
    <w:uiPriority w:val="99"/>
    <w:semiHidden/>
    <w:unhideWhenUsed/>
    <w:rsid w:val="00E158EA"/>
  </w:style>
  <w:style w:type="table" w:customStyle="1" w:styleId="Mriekatabuky5122">
    <w:name w:val="Mriežka tabuľky512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22">
    <w:name w:val="Mriežka tabuľky1412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22">
    <w:name w:val="Mriežka tabuľky2312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22">
    <w:name w:val="Mriežka tabuľky11312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22">
    <w:name w:val="Mriežka tabuľky3212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22">
    <w:name w:val="Mriežka tabuľky12212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22">
    <w:name w:val="Mriežka tabuľky21212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22">
    <w:name w:val="Mriežka tabuľky1112122"/>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22">
    <w:name w:val="Bez zoznamu2122"/>
    <w:next w:val="Bezzoznamu"/>
    <w:uiPriority w:val="99"/>
    <w:semiHidden/>
    <w:unhideWhenUsed/>
    <w:rsid w:val="00E158EA"/>
  </w:style>
  <w:style w:type="table" w:customStyle="1" w:styleId="Mriekatabuky6122">
    <w:name w:val="Mriežka tabuľky6122"/>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22">
    <w:name w:val="Bez zoznamu3122"/>
    <w:next w:val="Bezzoznamu"/>
    <w:uiPriority w:val="99"/>
    <w:semiHidden/>
    <w:unhideWhenUsed/>
    <w:rsid w:val="00E158EA"/>
  </w:style>
  <w:style w:type="table" w:customStyle="1" w:styleId="Mriekatabuky7122">
    <w:name w:val="Mriežka tabuľky7122"/>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32">
    <w:name w:val="Bez zoznamu111132"/>
    <w:next w:val="Bezzoznamu"/>
    <w:uiPriority w:val="99"/>
    <w:semiHidden/>
    <w:unhideWhenUsed/>
    <w:rsid w:val="00E158EA"/>
  </w:style>
  <w:style w:type="table" w:customStyle="1" w:styleId="Mriekatabukysvetl1122">
    <w:name w:val="Mriežka tabuľky – svetlá1122"/>
    <w:basedOn w:val="Normlnatabuka"/>
    <w:uiPriority w:val="40"/>
    <w:rsid w:val="00E158EA"/>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52">
    <w:name w:val="Bez zoznamu152"/>
    <w:next w:val="Bezzoznamu"/>
    <w:uiPriority w:val="99"/>
    <w:semiHidden/>
    <w:unhideWhenUsed/>
    <w:rsid w:val="00E158EA"/>
  </w:style>
  <w:style w:type="table" w:customStyle="1" w:styleId="Mriekatabuky202">
    <w:name w:val="Mriežka tabuľky202"/>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72">
    <w:name w:val="Mriežka tabuľky272"/>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72">
    <w:name w:val="Mriežka tabuľky1172"/>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82">
    <w:name w:val="Mriežka tabuľky282"/>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2">
    <w:name w:val="Mriežka tabuľky362"/>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2">
    <w:name w:val="Mriežka tabuľky442"/>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61">
    <w:name w:val="Bez zoznamu161"/>
    <w:next w:val="Bezzoznamu"/>
    <w:uiPriority w:val="99"/>
    <w:semiHidden/>
    <w:unhideWhenUsed/>
    <w:rsid w:val="00E158EA"/>
  </w:style>
  <w:style w:type="table" w:customStyle="1" w:styleId="Mriekatabuky291">
    <w:name w:val="Mriežka tabuľky29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81">
    <w:name w:val="Mriežka tabuľky118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01">
    <w:name w:val="Mriežka tabuľky210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91">
    <w:name w:val="Mriežka tabuľky119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71">
    <w:name w:val="Mriežka tabuľky37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61">
    <w:name w:val="Mriežka tabuľky12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61">
    <w:name w:val="Mriežka tabuľky21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61">
    <w:name w:val="Mriežka tabuľky111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51">
    <w:name w:val="Mriežka tabuľky451"/>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41">
    <w:name w:val="Mriežka tabuľky134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41">
    <w:name w:val="Mriežka tabuľky224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41">
    <w:name w:val="Mriežka tabuľky1124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41">
    <w:name w:val="Mriežka tabuľky314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41">
    <w:name w:val="Mriežka tabuľky1214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41">
    <w:name w:val="Mriežka tabuľky2114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41">
    <w:name w:val="Mriežka tabuľky11114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41">
    <w:name w:val="Kalendár 241"/>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71">
    <w:name w:val="Bez zoznamu171"/>
    <w:next w:val="Bezzoznamu"/>
    <w:uiPriority w:val="99"/>
    <w:semiHidden/>
    <w:unhideWhenUsed/>
    <w:rsid w:val="00E158EA"/>
  </w:style>
  <w:style w:type="table" w:customStyle="1" w:styleId="Mriekatabuky541">
    <w:name w:val="Mriežka tabuľky5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41">
    <w:name w:val="Mriežka tabuľky14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41">
    <w:name w:val="Mriežka tabuľky23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41">
    <w:name w:val="Mriežka tabuľky113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41">
    <w:name w:val="Mriežka tabuľky32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41">
    <w:name w:val="Mriežka tabuľky122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41">
    <w:name w:val="Mriežka tabuľky212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41">
    <w:name w:val="Mriežka tabuľky1112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41">
    <w:name w:val="Bez zoznamu241"/>
    <w:next w:val="Bezzoznamu"/>
    <w:uiPriority w:val="99"/>
    <w:semiHidden/>
    <w:unhideWhenUsed/>
    <w:rsid w:val="00E158EA"/>
  </w:style>
  <w:style w:type="table" w:customStyle="1" w:styleId="Mriekatabuky641">
    <w:name w:val="Mriežka tabuľky64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41">
    <w:name w:val="Bez zoznamu341"/>
    <w:next w:val="Bezzoznamu"/>
    <w:uiPriority w:val="99"/>
    <w:semiHidden/>
    <w:unhideWhenUsed/>
    <w:rsid w:val="00E158EA"/>
  </w:style>
  <w:style w:type="table" w:customStyle="1" w:styleId="Mriekatabuky741">
    <w:name w:val="Mriežka tabuľky74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51">
    <w:name w:val="Bez zoznamu1151"/>
    <w:next w:val="Bezzoznamu"/>
    <w:uiPriority w:val="99"/>
    <w:semiHidden/>
    <w:unhideWhenUsed/>
    <w:rsid w:val="00E158EA"/>
  </w:style>
  <w:style w:type="table" w:customStyle="1" w:styleId="Mriekatabukysvetl141">
    <w:name w:val="Mriežka tabuľky – svetlá141"/>
    <w:basedOn w:val="Normlnatabuka"/>
    <w:uiPriority w:val="40"/>
    <w:rsid w:val="00E158EA"/>
    <w:rPr>
      <w:rFonts w:asciiTheme="minorHAnsi" w:eastAsia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31">
    <w:name w:val="Bez zoznamu431"/>
    <w:next w:val="Bezzoznamu"/>
    <w:uiPriority w:val="99"/>
    <w:semiHidden/>
    <w:unhideWhenUsed/>
    <w:rsid w:val="00E158EA"/>
  </w:style>
  <w:style w:type="numbering" w:customStyle="1" w:styleId="Bezzoznamu11141">
    <w:name w:val="Bez zoznamu11141"/>
    <w:next w:val="Bezzoznamu"/>
    <w:uiPriority w:val="99"/>
    <w:semiHidden/>
    <w:unhideWhenUsed/>
    <w:rsid w:val="00E158EA"/>
  </w:style>
  <w:style w:type="table" w:customStyle="1" w:styleId="Mriekatabuky831">
    <w:name w:val="Mriežka tabuľky83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31">
    <w:name w:val="Bez zoznamu531"/>
    <w:next w:val="Bezzoznamu"/>
    <w:uiPriority w:val="99"/>
    <w:semiHidden/>
    <w:unhideWhenUsed/>
    <w:rsid w:val="00E158EA"/>
  </w:style>
  <w:style w:type="numbering" w:customStyle="1" w:styleId="Bezzoznamu1231">
    <w:name w:val="Bez zoznamu1231"/>
    <w:next w:val="Bezzoznamu"/>
    <w:uiPriority w:val="99"/>
    <w:semiHidden/>
    <w:unhideWhenUsed/>
    <w:rsid w:val="00E158EA"/>
  </w:style>
  <w:style w:type="table" w:customStyle="1" w:styleId="Mriekatabuky931">
    <w:name w:val="Mriežka tabuľky93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31">
    <w:name w:val="Mriežka tabuľky153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31">
    <w:name w:val="Mriežka tabuľky243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31">
    <w:name w:val="Mriežka tabuľky1143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31">
    <w:name w:val="Mriežka tabuľky333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31">
    <w:name w:val="Mriežka tabuľky1233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31">
    <w:name w:val="Mriežka tabuľky2133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31">
    <w:name w:val="Mriežka tabuľky11133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31">
    <w:name w:val="Mriežka tabuľky4131"/>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31">
    <w:name w:val="Mriežka tabuľky1313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31">
    <w:name w:val="Mriežka tabuľky2213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31">
    <w:name w:val="Mriežka tabuľky11213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31">
    <w:name w:val="Mriežka tabuľky3113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31">
    <w:name w:val="Mriežka tabuľky12113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31">
    <w:name w:val="Mriežka tabuľky21113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31">
    <w:name w:val="Mriežka tabuľky111113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31">
    <w:name w:val="Kalendár 2131"/>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31">
    <w:name w:val="Bez zoznamu11231"/>
    <w:next w:val="Bezzoznamu"/>
    <w:uiPriority w:val="99"/>
    <w:semiHidden/>
    <w:unhideWhenUsed/>
    <w:rsid w:val="00E158EA"/>
  </w:style>
  <w:style w:type="table" w:customStyle="1" w:styleId="Mriekatabuky5131">
    <w:name w:val="Mriežka tabuľky513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31">
    <w:name w:val="Mriežka tabuľky1413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31">
    <w:name w:val="Mriežka tabuľky2313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31">
    <w:name w:val="Mriežka tabuľky11313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31">
    <w:name w:val="Mriežka tabuľky3213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31">
    <w:name w:val="Mriežka tabuľky12213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31">
    <w:name w:val="Mriežka tabuľky21213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31">
    <w:name w:val="Mriežka tabuľky111213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31">
    <w:name w:val="Bez zoznamu2131"/>
    <w:next w:val="Bezzoznamu"/>
    <w:uiPriority w:val="99"/>
    <w:semiHidden/>
    <w:unhideWhenUsed/>
    <w:rsid w:val="00E158EA"/>
  </w:style>
  <w:style w:type="table" w:customStyle="1" w:styleId="Mriekatabuky6131">
    <w:name w:val="Mriežka tabuľky613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31">
    <w:name w:val="Bez zoznamu3131"/>
    <w:next w:val="Bezzoznamu"/>
    <w:uiPriority w:val="99"/>
    <w:semiHidden/>
    <w:unhideWhenUsed/>
    <w:rsid w:val="00E158EA"/>
  </w:style>
  <w:style w:type="table" w:customStyle="1" w:styleId="Mriekatabuky7131">
    <w:name w:val="Mriežka tabuľky713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41">
    <w:name w:val="Bez zoznamu111141"/>
    <w:next w:val="Bezzoznamu"/>
    <w:uiPriority w:val="99"/>
    <w:semiHidden/>
    <w:unhideWhenUsed/>
    <w:rsid w:val="00E158EA"/>
  </w:style>
  <w:style w:type="table" w:customStyle="1" w:styleId="Mriekatabukysvetl1131">
    <w:name w:val="Mriežka tabuľky – svetlá1131"/>
    <w:basedOn w:val="Normlnatabuka"/>
    <w:uiPriority w:val="40"/>
    <w:rsid w:val="00E158EA"/>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81">
    <w:name w:val="Bez zoznamu181"/>
    <w:next w:val="Bezzoznamu"/>
    <w:uiPriority w:val="99"/>
    <w:semiHidden/>
    <w:unhideWhenUsed/>
    <w:rsid w:val="00E158EA"/>
  </w:style>
  <w:style w:type="table" w:customStyle="1" w:styleId="Mriekatabuky301">
    <w:name w:val="Mriežka tabuľky30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91">
    <w:name w:val="Bez zoznamu191"/>
    <w:next w:val="Bezzoznamu"/>
    <w:uiPriority w:val="99"/>
    <w:semiHidden/>
    <w:unhideWhenUsed/>
    <w:rsid w:val="00E158EA"/>
  </w:style>
  <w:style w:type="numbering" w:customStyle="1" w:styleId="Bezzoznamu201">
    <w:name w:val="Bez zoznamu201"/>
    <w:next w:val="Bezzoznamu"/>
    <w:uiPriority w:val="99"/>
    <w:semiHidden/>
    <w:unhideWhenUsed/>
    <w:rsid w:val="00E158EA"/>
  </w:style>
  <w:style w:type="numbering" w:customStyle="1" w:styleId="Bezzoznamu251">
    <w:name w:val="Bez zoznamu251"/>
    <w:next w:val="Bezzoznamu"/>
    <w:uiPriority w:val="99"/>
    <w:semiHidden/>
    <w:unhideWhenUsed/>
    <w:rsid w:val="00E158EA"/>
  </w:style>
  <w:style w:type="numbering" w:customStyle="1" w:styleId="Bezzoznamu1101">
    <w:name w:val="Bez zoznamu1101"/>
    <w:next w:val="Bezzoznamu"/>
    <w:uiPriority w:val="99"/>
    <w:semiHidden/>
    <w:unhideWhenUsed/>
    <w:rsid w:val="00E158EA"/>
  </w:style>
  <w:style w:type="table" w:customStyle="1" w:styleId="Mriekatabuky381">
    <w:name w:val="Mriežka tabuľky38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01">
    <w:name w:val="Mriežka tabuľky120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71">
    <w:name w:val="Mriežka tabuľky217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01">
    <w:name w:val="Mriežka tabuľky1110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91">
    <w:name w:val="Mriežka tabuľky39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71">
    <w:name w:val="Mriežka tabuľky127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81">
    <w:name w:val="Mriežka tabuľky218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71">
    <w:name w:val="Mriežka tabuľky1117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61">
    <w:name w:val="Mriežka tabuľky461"/>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51">
    <w:name w:val="Mriežka tabuľky135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51">
    <w:name w:val="Mriežka tabuľky225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51">
    <w:name w:val="Mriežka tabuľky1125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51">
    <w:name w:val="Mriežka tabuľky315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51">
    <w:name w:val="Mriežka tabuľky1215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51">
    <w:name w:val="Mriežka tabuľky2115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51">
    <w:name w:val="Mriežka tabuľky11115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51">
    <w:name w:val="Kalendár 251"/>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61">
    <w:name w:val="Bez zoznamu1161"/>
    <w:next w:val="Bezzoznamu"/>
    <w:uiPriority w:val="99"/>
    <w:semiHidden/>
    <w:unhideWhenUsed/>
    <w:rsid w:val="00E158EA"/>
  </w:style>
  <w:style w:type="table" w:customStyle="1" w:styleId="Mriekatabuky551">
    <w:name w:val="Mriežka tabuľky5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51">
    <w:name w:val="Mriežka tabuľky14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51">
    <w:name w:val="Mriežka tabuľky23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51">
    <w:name w:val="Mriežka tabuľky113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51">
    <w:name w:val="Mriežka tabuľky32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51">
    <w:name w:val="Mriežka tabuľky122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51">
    <w:name w:val="Mriežka tabuľky212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51">
    <w:name w:val="Mriežka tabuľky1112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61">
    <w:name w:val="Bez zoznamu261"/>
    <w:next w:val="Bezzoznamu"/>
    <w:uiPriority w:val="99"/>
    <w:semiHidden/>
    <w:unhideWhenUsed/>
    <w:rsid w:val="00E158EA"/>
  </w:style>
  <w:style w:type="table" w:customStyle="1" w:styleId="Mriekatabuky651">
    <w:name w:val="Mriežka tabuľky65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51">
    <w:name w:val="Bez zoznamu351"/>
    <w:next w:val="Bezzoznamu"/>
    <w:uiPriority w:val="99"/>
    <w:semiHidden/>
    <w:unhideWhenUsed/>
    <w:rsid w:val="00E158EA"/>
  </w:style>
  <w:style w:type="table" w:customStyle="1" w:styleId="Mriekatabuky751">
    <w:name w:val="Mriežka tabuľky75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51">
    <w:name w:val="Bez zoznamu11151"/>
    <w:next w:val="Bezzoznamu"/>
    <w:uiPriority w:val="99"/>
    <w:semiHidden/>
    <w:unhideWhenUsed/>
    <w:rsid w:val="00E158EA"/>
  </w:style>
  <w:style w:type="table" w:customStyle="1" w:styleId="Mriekatabukysvetl151">
    <w:name w:val="Mriežka tabuľky – svetlá151"/>
    <w:basedOn w:val="Normlnatabuka"/>
    <w:uiPriority w:val="40"/>
    <w:rsid w:val="00E158EA"/>
    <w:rPr>
      <w:rFonts w:asciiTheme="minorHAnsi" w:eastAsia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41">
    <w:name w:val="Bez zoznamu441"/>
    <w:next w:val="Bezzoznamu"/>
    <w:uiPriority w:val="99"/>
    <w:semiHidden/>
    <w:unhideWhenUsed/>
    <w:rsid w:val="00E158EA"/>
  </w:style>
  <w:style w:type="numbering" w:customStyle="1" w:styleId="Bezzoznamu111151">
    <w:name w:val="Bez zoznamu111151"/>
    <w:next w:val="Bezzoznamu"/>
    <w:uiPriority w:val="99"/>
    <w:semiHidden/>
    <w:unhideWhenUsed/>
    <w:rsid w:val="00E158EA"/>
  </w:style>
  <w:style w:type="table" w:customStyle="1" w:styleId="Mriekatabuky841">
    <w:name w:val="Mriežka tabuľky84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41">
    <w:name w:val="Bez zoznamu541"/>
    <w:next w:val="Bezzoznamu"/>
    <w:uiPriority w:val="99"/>
    <w:semiHidden/>
    <w:unhideWhenUsed/>
    <w:rsid w:val="00E158EA"/>
  </w:style>
  <w:style w:type="numbering" w:customStyle="1" w:styleId="Bezzoznamu1241">
    <w:name w:val="Bez zoznamu1241"/>
    <w:next w:val="Bezzoznamu"/>
    <w:uiPriority w:val="99"/>
    <w:semiHidden/>
    <w:unhideWhenUsed/>
    <w:rsid w:val="00E158EA"/>
  </w:style>
  <w:style w:type="table" w:customStyle="1" w:styleId="Mriekatabuky941">
    <w:name w:val="Mriežka tabuľky94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41">
    <w:name w:val="Mriežka tabuľky154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41">
    <w:name w:val="Mriežka tabuľky244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41">
    <w:name w:val="Mriežka tabuľky114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41">
    <w:name w:val="Mriežka tabuľky33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41">
    <w:name w:val="Mriežka tabuľky123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41">
    <w:name w:val="Mriežka tabuľky213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41">
    <w:name w:val="Mriežka tabuľky1113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41">
    <w:name w:val="Mriežka tabuľky4141"/>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41">
    <w:name w:val="Mriežka tabuľky1314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41">
    <w:name w:val="Mriežka tabuľky2214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41">
    <w:name w:val="Mriežka tabuľky11214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41">
    <w:name w:val="Mriežka tabuľky3114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41">
    <w:name w:val="Mriežka tabuľky12114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41">
    <w:name w:val="Mriežka tabuľky21114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41">
    <w:name w:val="Mriežka tabuľky111114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41">
    <w:name w:val="Kalendár 2141"/>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41">
    <w:name w:val="Bez zoznamu11241"/>
    <w:next w:val="Bezzoznamu"/>
    <w:uiPriority w:val="99"/>
    <w:semiHidden/>
    <w:unhideWhenUsed/>
    <w:rsid w:val="00E158EA"/>
  </w:style>
  <w:style w:type="table" w:customStyle="1" w:styleId="Mriekatabuky5141">
    <w:name w:val="Mriežka tabuľky51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41">
    <w:name w:val="Mriežka tabuľky141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41">
    <w:name w:val="Mriežka tabuľky231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41">
    <w:name w:val="Mriežka tabuľky1131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41">
    <w:name w:val="Mriežka tabuľky321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41">
    <w:name w:val="Mriežka tabuľky1221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41">
    <w:name w:val="Mriežka tabuľky2121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41">
    <w:name w:val="Mriežka tabuľky111214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41">
    <w:name w:val="Bez zoznamu2141"/>
    <w:next w:val="Bezzoznamu"/>
    <w:uiPriority w:val="99"/>
    <w:semiHidden/>
    <w:unhideWhenUsed/>
    <w:rsid w:val="00E158EA"/>
  </w:style>
  <w:style w:type="table" w:customStyle="1" w:styleId="Mriekatabuky6141">
    <w:name w:val="Mriežka tabuľky614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41">
    <w:name w:val="Bez zoznamu3141"/>
    <w:next w:val="Bezzoznamu"/>
    <w:uiPriority w:val="99"/>
    <w:semiHidden/>
    <w:unhideWhenUsed/>
    <w:rsid w:val="00E158EA"/>
  </w:style>
  <w:style w:type="table" w:customStyle="1" w:styleId="Mriekatabuky7141">
    <w:name w:val="Mriežka tabuľky714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21">
    <w:name w:val="Bez zoznamu1111121"/>
    <w:next w:val="Bezzoznamu"/>
    <w:uiPriority w:val="99"/>
    <w:semiHidden/>
    <w:unhideWhenUsed/>
    <w:rsid w:val="00E158EA"/>
  </w:style>
  <w:style w:type="table" w:customStyle="1" w:styleId="Mriekatabukysvetl1141">
    <w:name w:val="Mriežka tabuľky – svetlá1141"/>
    <w:basedOn w:val="Normlnatabuka"/>
    <w:uiPriority w:val="40"/>
    <w:rsid w:val="00E158EA"/>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271">
    <w:name w:val="Bez zoznamu271"/>
    <w:next w:val="Bezzoznamu"/>
    <w:uiPriority w:val="99"/>
    <w:semiHidden/>
    <w:unhideWhenUsed/>
    <w:rsid w:val="00E158EA"/>
  </w:style>
  <w:style w:type="table" w:customStyle="1" w:styleId="Mriekatabuky401">
    <w:name w:val="Mriežka tabuľky40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81">
    <w:name w:val="Mriežka tabuľky128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91">
    <w:name w:val="Mriežka tabuľky219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81">
    <w:name w:val="Mriežka tabuľky1118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01">
    <w:name w:val="Mriežka tabuľky310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91">
    <w:name w:val="Mriežka tabuľky129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01">
    <w:name w:val="Mriežka tabuľky2110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91">
    <w:name w:val="Mriežka tabuľky1119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71">
    <w:name w:val="Mriežka tabuľky471"/>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61">
    <w:name w:val="Mriežka tabuľky136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61">
    <w:name w:val="Mriežka tabuľky226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61">
    <w:name w:val="Mriežka tabuľky1126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61">
    <w:name w:val="Mriežka tabuľky316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61">
    <w:name w:val="Mriežka tabuľky1216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61">
    <w:name w:val="Mriežka tabuľky2116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61">
    <w:name w:val="Mriežka tabuľky11116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61">
    <w:name w:val="Kalendár 261"/>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71">
    <w:name w:val="Bez zoznamu1171"/>
    <w:next w:val="Bezzoznamu"/>
    <w:uiPriority w:val="99"/>
    <w:semiHidden/>
    <w:unhideWhenUsed/>
    <w:rsid w:val="00E158EA"/>
  </w:style>
  <w:style w:type="table" w:customStyle="1" w:styleId="Mriekatabuky561">
    <w:name w:val="Mriežka tabuľky5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61">
    <w:name w:val="Mriežka tabuľky14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61">
    <w:name w:val="Mriežka tabuľky23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61">
    <w:name w:val="Mriežka tabuľky113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61">
    <w:name w:val="Mriežka tabuľky32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61">
    <w:name w:val="Mriežka tabuľky122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61">
    <w:name w:val="Mriežka tabuľky212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61">
    <w:name w:val="Mriežka tabuľky1112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81">
    <w:name w:val="Bez zoznamu281"/>
    <w:next w:val="Bezzoznamu"/>
    <w:uiPriority w:val="99"/>
    <w:semiHidden/>
    <w:unhideWhenUsed/>
    <w:rsid w:val="00E158EA"/>
  </w:style>
  <w:style w:type="table" w:customStyle="1" w:styleId="Mriekatabuky661">
    <w:name w:val="Mriežka tabuľky66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61">
    <w:name w:val="Bez zoznamu361"/>
    <w:next w:val="Bezzoznamu"/>
    <w:uiPriority w:val="99"/>
    <w:semiHidden/>
    <w:unhideWhenUsed/>
    <w:rsid w:val="00E158EA"/>
  </w:style>
  <w:style w:type="table" w:customStyle="1" w:styleId="Mriekatabuky761">
    <w:name w:val="Mriežka tabuľky76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81">
    <w:name w:val="Bez zoznamu1181"/>
    <w:next w:val="Bezzoznamu"/>
    <w:uiPriority w:val="99"/>
    <w:semiHidden/>
    <w:unhideWhenUsed/>
    <w:rsid w:val="00E158EA"/>
  </w:style>
  <w:style w:type="table" w:customStyle="1" w:styleId="Mriekatabukysvetl161">
    <w:name w:val="Mriežka tabuľky – svetlá161"/>
    <w:basedOn w:val="Normlnatabuka"/>
    <w:uiPriority w:val="40"/>
    <w:rsid w:val="00E158E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451">
    <w:name w:val="Bez zoznamu451"/>
    <w:next w:val="Bezzoznamu"/>
    <w:uiPriority w:val="99"/>
    <w:semiHidden/>
    <w:unhideWhenUsed/>
    <w:rsid w:val="00E158EA"/>
  </w:style>
  <w:style w:type="numbering" w:customStyle="1" w:styleId="Bezzoznamu11161">
    <w:name w:val="Bez zoznamu11161"/>
    <w:next w:val="Bezzoznamu"/>
    <w:uiPriority w:val="99"/>
    <w:semiHidden/>
    <w:unhideWhenUsed/>
    <w:rsid w:val="00E158EA"/>
  </w:style>
  <w:style w:type="table" w:customStyle="1" w:styleId="Mriekatabuky851">
    <w:name w:val="Mriežka tabuľky85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51">
    <w:name w:val="Bez zoznamu551"/>
    <w:next w:val="Bezzoznamu"/>
    <w:uiPriority w:val="99"/>
    <w:semiHidden/>
    <w:unhideWhenUsed/>
    <w:rsid w:val="00E158EA"/>
  </w:style>
  <w:style w:type="numbering" w:customStyle="1" w:styleId="Bezzoznamu1251">
    <w:name w:val="Bez zoznamu1251"/>
    <w:next w:val="Bezzoznamu"/>
    <w:uiPriority w:val="99"/>
    <w:semiHidden/>
    <w:unhideWhenUsed/>
    <w:rsid w:val="00E158EA"/>
  </w:style>
  <w:style w:type="table" w:customStyle="1" w:styleId="Mriekatabuky951">
    <w:name w:val="Mriežka tabuľky95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51">
    <w:name w:val="Mriežka tabuľky155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51">
    <w:name w:val="Mriežka tabuľky245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51">
    <w:name w:val="Mriežka tabuľky114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51">
    <w:name w:val="Mriežka tabuľky33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51">
    <w:name w:val="Mriežka tabuľky123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51">
    <w:name w:val="Mriežka tabuľky213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51">
    <w:name w:val="Mriežka tabuľky1113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51">
    <w:name w:val="Mriežka tabuľky4151"/>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51">
    <w:name w:val="Mriežka tabuľky1315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51">
    <w:name w:val="Mriežka tabuľky2215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51">
    <w:name w:val="Mriežka tabuľky11215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51">
    <w:name w:val="Mriežka tabuľky3115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51">
    <w:name w:val="Mriežka tabuľky12115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51">
    <w:name w:val="Mriežka tabuľky21115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51">
    <w:name w:val="Mriežka tabuľky111115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51">
    <w:name w:val="Kalendár 2151"/>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51">
    <w:name w:val="Bez zoznamu11251"/>
    <w:next w:val="Bezzoznamu"/>
    <w:uiPriority w:val="99"/>
    <w:semiHidden/>
    <w:unhideWhenUsed/>
    <w:rsid w:val="00E158EA"/>
  </w:style>
  <w:style w:type="table" w:customStyle="1" w:styleId="Mriekatabuky5151">
    <w:name w:val="Mriežka tabuľky51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51">
    <w:name w:val="Mriežka tabuľky141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51">
    <w:name w:val="Mriežka tabuľky231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51">
    <w:name w:val="Mriežka tabuľky1131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51">
    <w:name w:val="Mriežka tabuľky321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51">
    <w:name w:val="Mriežka tabuľky1221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51">
    <w:name w:val="Mriežka tabuľky2121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51">
    <w:name w:val="Mriežka tabuľky111215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51">
    <w:name w:val="Bez zoznamu2151"/>
    <w:next w:val="Bezzoznamu"/>
    <w:uiPriority w:val="99"/>
    <w:semiHidden/>
    <w:unhideWhenUsed/>
    <w:rsid w:val="00E158EA"/>
  </w:style>
  <w:style w:type="table" w:customStyle="1" w:styleId="Mriekatabuky6151">
    <w:name w:val="Mriežka tabuľky615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51">
    <w:name w:val="Bez zoznamu3151"/>
    <w:next w:val="Bezzoznamu"/>
    <w:uiPriority w:val="99"/>
    <w:semiHidden/>
    <w:unhideWhenUsed/>
    <w:rsid w:val="00E158EA"/>
  </w:style>
  <w:style w:type="table" w:customStyle="1" w:styleId="Mriekatabuky7151">
    <w:name w:val="Mriežka tabuľky715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61">
    <w:name w:val="Bez zoznamu111161"/>
    <w:next w:val="Bezzoznamu"/>
    <w:uiPriority w:val="99"/>
    <w:semiHidden/>
    <w:unhideWhenUsed/>
    <w:rsid w:val="00E158EA"/>
  </w:style>
  <w:style w:type="table" w:customStyle="1" w:styleId="Mriekatabukysvetl1151">
    <w:name w:val="Mriežka tabuľky – svetlá1151"/>
    <w:basedOn w:val="Normlnatabuka"/>
    <w:uiPriority w:val="40"/>
    <w:rsid w:val="00E158EA"/>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UHPGRAF1111">
    <w:name w:val="UHP_GRAF1111"/>
    <w:basedOn w:val="Normlnatabuka"/>
    <w:uiPriority w:val="99"/>
    <w:rsid w:val="00E158EA"/>
    <w:pPr>
      <w:spacing w:before="160"/>
      <w:contextualSpacing/>
      <w:jc w:val="both"/>
    </w:pPr>
    <w:rPr>
      <w:rFonts w:ascii="Arial Narrow" w:eastAsia="Calibri" w:hAnsi="Arial Narrow"/>
      <w:lang w:val="en-US"/>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UHPGRAF1211">
    <w:name w:val="UHP_GRAF1211"/>
    <w:basedOn w:val="Normlnatabuka"/>
    <w:uiPriority w:val="99"/>
    <w:rsid w:val="00E158EA"/>
    <w:pPr>
      <w:spacing w:before="160"/>
      <w:contextualSpacing/>
      <w:jc w:val="both"/>
    </w:pPr>
    <w:rPr>
      <w:rFonts w:ascii="Arial Narrow" w:eastAsia="Calibri" w:hAnsi="Arial Narrow"/>
    </w:rPr>
    <w:tblPr>
      <w:tblBorders>
        <w:bottom w:val="single" w:sz="4" w:space="0" w:color="auto"/>
      </w:tblBorders>
    </w:tblPr>
    <w:tcPr>
      <w:shd w:val="clear" w:color="auto" w:fill="auto"/>
      <w:vAlign w:val="center"/>
    </w:tcPr>
    <w:tblStylePr w:type="firstRow">
      <w:pPr>
        <w:jc w:val="left"/>
      </w:pPr>
      <w:rPr>
        <w:rFonts w:ascii="Arial Narrow" w:hAnsi="Arial Narrow"/>
        <w:b/>
        <w:i w:val="0"/>
        <w:iCs/>
        <w:sz w:val="20"/>
      </w:rPr>
      <w:tblPr/>
      <w:tcPr>
        <w:tcBorders>
          <w:top w:val="nil"/>
          <w:left w:val="nil"/>
          <w:bottom w:val="single" w:sz="4" w:space="0" w:color="auto"/>
          <w:right w:val="nil"/>
          <w:insideH w:val="nil"/>
          <w:insideV w:val="nil"/>
          <w:tl2br w:val="nil"/>
          <w:tr2bl w:val="nil"/>
        </w:tcBorders>
        <w:shd w:val="clear" w:color="auto" w:fill="auto"/>
        <w:vAlign w:val="center"/>
      </w:tcPr>
    </w:tblStylePr>
    <w:tblStylePr w:type="lastRow">
      <w:pPr>
        <w:jc w:val="right"/>
      </w:pPr>
      <w:rPr>
        <w:b w:val="0"/>
        <w:i/>
        <w:color w:val="auto"/>
        <w:sz w:val="16"/>
      </w:rPr>
      <w:tblPr/>
      <w:tcPr>
        <w:tcBorders>
          <w:top w:val="single" w:sz="4" w:space="0" w:color="auto"/>
          <w:left w:val="nil"/>
          <w:bottom w:val="nil"/>
          <w:right w:val="nil"/>
          <w:insideH w:val="nil"/>
          <w:insideV w:val="nil"/>
          <w:tl2br w:val="nil"/>
          <w:tr2bl w:val="nil"/>
        </w:tcBorders>
        <w:shd w:val="clear" w:color="auto" w:fill="auto"/>
      </w:tcPr>
    </w:tblStylePr>
    <w:tblStylePr w:type="firstCol">
      <w:rPr>
        <w:b/>
      </w:rPr>
      <w:tblPr/>
      <w:tcPr>
        <w:tcBorders>
          <w:top w:val="nil"/>
          <w:left w:val="nil"/>
          <w:bottom w:val="single" w:sz="4" w:space="0" w:color="auto"/>
          <w:right w:val="nil"/>
          <w:insideH w:val="nil"/>
          <w:insideV w:val="nil"/>
          <w:tl2br w:val="nil"/>
          <w:tr2bl w:val="nil"/>
        </w:tcBorders>
        <w:shd w:val="clear" w:color="auto" w:fill="auto"/>
      </w:tcPr>
    </w:tblStylePr>
    <w:tblStylePr w:type="lastCol">
      <w:pPr>
        <w:jc w:val="right"/>
      </w:pPr>
      <w:rPr>
        <w:b/>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Bezzoznamu611">
    <w:name w:val="Bez zoznamu611"/>
    <w:next w:val="Bezzoznamu"/>
    <w:uiPriority w:val="99"/>
    <w:semiHidden/>
    <w:unhideWhenUsed/>
    <w:rsid w:val="00E158EA"/>
  </w:style>
  <w:style w:type="table" w:customStyle="1" w:styleId="Mriekatabuky1011">
    <w:name w:val="Mriežka tabuľky101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31">
    <w:name w:val="Bez zoznamu1111131"/>
    <w:next w:val="Bezzoznamu"/>
    <w:uiPriority w:val="99"/>
    <w:semiHidden/>
    <w:unhideWhenUsed/>
    <w:rsid w:val="00E158EA"/>
  </w:style>
  <w:style w:type="numbering" w:customStyle="1" w:styleId="Bezzoznamu711">
    <w:name w:val="Bez zoznamu711"/>
    <w:next w:val="Bezzoznamu"/>
    <w:uiPriority w:val="99"/>
    <w:semiHidden/>
    <w:unhideWhenUsed/>
    <w:rsid w:val="00E158EA"/>
  </w:style>
  <w:style w:type="table" w:customStyle="1" w:styleId="Mriekatabuky1611">
    <w:name w:val="Mriežka tabuľky161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811">
    <w:name w:val="Bez zoznamu811"/>
    <w:next w:val="Bezzoznamu"/>
    <w:uiPriority w:val="99"/>
    <w:semiHidden/>
    <w:unhideWhenUsed/>
    <w:rsid w:val="00E158EA"/>
  </w:style>
  <w:style w:type="numbering" w:customStyle="1" w:styleId="Bezzoznamu911">
    <w:name w:val="Bez zoznamu911"/>
    <w:next w:val="Bezzoznamu"/>
    <w:uiPriority w:val="99"/>
    <w:semiHidden/>
    <w:unhideWhenUsed/>
    <w:rsid w:val="00E158EA"/>
  </w:style>
  <w:style w:type="numbering" w:customStyle="1" w:styleId="Bezzoznamu1311">
    <w:name w:val="Bez zoznamu1311"/>
    <w:next w:val="Bezzoznamu"/>
    <w:uiPriority w:val="99"/>
    <w:semiHidden/>
    <w:unhideWhenUsed/>
    <w:rsid w:val="00E158EA"/>
  </w:style>
  <w:style w:type="table" w:customStyle="1" w:styleId="Mriekatabuky1711">
    <w:name w:val="Mriežka tabuľky171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11">
    <w:name w:val="Mriežka tabuľky181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511">
    <w:name w:val="Mriežka tabuľky251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511">
    <w:name w:val="Mriežka tabuľky115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11">
    <w:name w:val="Mriežka tabuľky34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411">
    <w:name w:val="Mriežka tabuľky124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411">
    <w:name w:val="Mriežka tabuľky214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411">
    <w:name w:val="Mriežka tabuľky1114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11">
    <w:name w:val="Mriežka tabuľky4211"/>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211">
    <w:name w:val="Mriežka tabuľky132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211">
    <w:name w:val="Mriežka tabuľky222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211">
    <w:name w:val="Mriežka tabuľky1122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11">
    <w:name w:val="Mriežka tabuľky312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211">
    <w:name w:val="Mriežka tabuľky1212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211">
    <w:name w:val="Mriežka tabuľky2112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211">
    <w:name w:val="Mriežka tabuľky11112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211">
    <w:name w:val="Kalendár 2211"/>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311">
    <w:name w:val="Bez zoznamu11311"/>
    <w:next w:val="Bezzoznamu"/>
    <w:uiPriority w:val="99"/>
    <w:semiHidden/>
    <w:unhideWhenUsed/>
    <w:rsid w:val="00E158EA"/>
  </w:style>
  <w:style w:type="table" w:customStyle="1" w:styleId="Mriekatabuky5211">
    <w:name w:val="Mriežka tabuľky52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211">
    <w:name w:val="Mriežka tabuľky142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211">
    <w:name w:val="Mriežka tabuľky232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211">
    <w:name w:val="Mriežka tabuľky1132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211">
    <w:name w:val="Mriežka tabuľky322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211">
    <w:name w:val="Mriežka tabuľky1222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211">
    <w:name w:val="Mriežka tabuľky2122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211">
    <w:name w:val="Mriežka tabuľky11122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11">
    <w:name w:val="Bez zoznamu2211"/>
    <w:next w:val="Bezzoznamu"/>
    <w:uiPriority w:val="99"/>
    <w:semiHidden/>
    <w:unhideWhenUsed/>
    <w:rsid w:val="00E158EA"/>
  </w:style>
  <w:style w:type="table" w:customStyle="1" w:styleId="Mriekatabuky6211">
    <w:name w:val="Mriežka tabuľky621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211">
    <w:name w:val="Bez zoznamu3211"/>
    <w:next w:val="Bezzoznamu"/>
    <w:uiPriority w:val="99"/>
    <w:semiHidden/>
    <w:unhideWhenUsed/>
    <w:rsid w:val="00E158EA"/>
  </w:style>
  <w:style w:type="table" w:customStyle="1" w:styleId="Mriekatabuky7211">
    <w:name w:val="Mriežka tabuľky721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211">
    <w:name w:val="Bez zoznamu111211"/>
    <w:next w:val="Bezzoznamu"/>
    <w:uiPriority w:val="99"/>
    <w:semiHidden/>
    <w:unhideWhenUsed/>
    <w:rsid w:val="00E158EA"/>
  </w:style>
  <w:style w:type="table" w:customStyle="1" w:styleId="Mriekatabukysvetl1211">
    <w:name w:val="Mriežka tabuľky – svetlá1211"/>
    <w:basedOn w:val="Normlnatabuka"/>
    <w:uiPriority w:val="40"/>
    <w:rsid w:val="00E158EA"/>
    <w:rPr>
      <w:rFonts w:asciiTheme="minorHAnsi" w:eastAsia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111">
    <w:name w:val="Bez zoznamu4111"/>
    <w:next w:val="Bezzoznamu"/>
    <w:uiPriority w:val="99"/>
    <w:semiHidden/>
    <w:unhideWhenUsed/>
    <w:rsid w:val="00E158EA"/>
  </w:style>
  <w:style w:type="numbering" w:customStyle="1" w:styleId="Bezzoznamu1111211">
    <w:name w:val="Bez zoznamu1111211"/>
    <w:next w:val="Bezzoznamu"/>
    <w:uiPriority w:val="99"/>
    <w:semiHidden/>
    <w:unhideWhenUsed/>
    <w:rsid w:val="00E158EA"/>
  </w:style>
  <w:style w:type="table" w:customStyle="1" w:styleId="Mriekatabuky8111">
    <w:name w:val="Mriežka tabuľky811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111">
    <w:name w:val="Bez zoznamu5111"/>
    <w:next w:val="Bezzoznamu"/>
    <w:uiPriority w:val="99"/>
    <w:semiHidden/>
    <w:unhideWhenUsed/>
    <w:rsid w:val="00E158EA"/>
  </w:style>
  <w:style w:type="numbering" w:customStyle="1" w:styleId="Bezzoznamu12111">
    <w:name w:val="Bez zoznamu12111"/>
    <w:next w:val="Bezzoznamu"/>
    <w:uiPriority w:val="99"/>
    <w:semiHidden/>
    <w:unhideWhenUsed/>
    <w:rsid w:val="00E158EA"/>
  </w:style>
  <w:style w:type="table" w:customStyle="1" w:styleId="Mriekatabuky9111">
    <w:name w:val="Mriežka tabuľky911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111">
    <w:name w:val="Mriežka tabuľky1511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111">
    <w:name w:val="Mriežka tabuľky2411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111">
    <w:name w:val="Mriežka tabuľky1141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111">
    <w:name w:val="Mriežka tabuľky331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111">
    <w:name w:val="Mriežka tabuľky1231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111">
    <w:name w:val="Mriežka tabuľky2131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111">
    <w:name w:val="Mriežka tabuľky11131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11">
    <w:name w:val="Mriežka tabuľky41111"/>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111">
    <w:name w:val="Mriežka tabuľky1311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111">
    <w:name w:val="Mriežka tabuľky2211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111">
    <w:name w:val="Mriežka tabuľky11211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111">
    <w:name w:val="Mriežka tabuľky3111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111">
    <w:name w:val="Mriežka tabuľky12111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111">
    <w:name w:val="Mriežka tabuľky21111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111">
    <w:name w:val="Mriežka tabuľky111111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111">
    <w:name w:val="Kalendár 21111"/>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111">
    <w:name w:val="Bez zoznamu112111"/>
    <w:next w:val="Bezzoznamu"/>
    <w:uiPriority w:val="99"/>
    <w:semiHidden/>
    <w:unhideWhenUsed/>
    <w:rsid w:val="00E158EA"/>
  </w:style>
  <w:style w:type="table" w:customStyle="1" w:styleId="Mriekatabuky51111">
    <w:name w:val="Mriežka tabuľky511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111">
    <w:name w:val="Mriežka tabuľky1411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111">
    <w:name w:val="Mriežka tabuľky2311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111">
    <w:name w:val="Mriežka tabuľky11311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111">
    <w:name w:val="Mriežka tabuľky3211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111">
    <w:name w:val="Mriežka tabuľky12211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111">
    <w:name w:val="Mriežka tabuľky21211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111">
    <w:name w:val="Mriežka tabuľky111211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11">
    <w:name w:val="Bez zoznamu21111"/>
    <w:next w:val="Bezzoznamu"/>
    <w:uiPriority w:val="99"/>
    <w:semiHidden/>
    <w:unhideWhenUsed/>
    <w:rsid w:val="00E158EA"/>
  </w:style>
  <w:style w:type="table" w:customStyle="1" w:styleId="Mriekatabuky61111">
    <w:name w:val="Mriežka tabuľky6111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111">
    <w:name w:val="Bez zoznamu31111"/>
    <w:next w:val="Bezzoznamu"/>
    <w:uiPriority w:val="99"/>
    <w:semiHidden/>
    <w:unhideWhenUsed/>
    <w:rsid w:val="00E158EA"/>
  </w:style>
  <w:style w:type="table" w:customStyle="1" w:styleId="Mriekatabuky71111">
    <w:name w:val="Mriežka tabuľky7111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111">
    <w:name w:val="Bez zoznamu11111111"/>
    <w:next w:val="Bezzoznamu"/>
    <w:uiPriority w:val="99"/>
    <w:semiHidden/>
    <w:unhideWhenUsed/>
    <w:rsid w:val="00E158EA"/>
  </w:style>
  <w:style w:type="table" w:customStyle="1" w:styleId="Mriekatabukysvetl11111">
    <w:name w:val="Mriežka tabuľky – svetlá11111"/>
    <w:basedOn w:val="Normlnatabuka"/>
    <w:uiPriority w:val="40"/>
    <w:rsid w:val="00E158EA"/>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011">
    <w:name w:val="Bez zoznamu1011"/>
    <w:next w:val="Bezzoznamu"/>
    <w:uiPriority w:val="99"/>
    <w:semiHidden/>
    <w:unhideWhenUsed/>
    <w:rsid w:val="00E158EA"/>
  </w:style>
  <w:style w:type="table" w:customStyle="1" w:styleId="Mriekatabuky1911">
    <w:name w:val="Mriežka tabuľky191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011">
    <w:name w:val="Mriežka tabuľky1101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611">
    <w:name w:val="Mriežka tabuľky261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611">
    <w:name w:val="Mriežka tabuľky116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11">
    <w:name w:val="Mriežka tabuľky35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511">
    <w:name w:val="Mriežka tabuľky125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511">
    <w:name w:val="Mriežka tabuľky215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511">
    <w:name w:val="Mriežka tabuľky1115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11">
    <w:name w:val="Mriežka tabuľky4311"/>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311">
    <w:name w:val="Mriežka tabuľky133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311">
    <w:name w:val="Mriežka tabuľky223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311">
    <w:name w:val="Mriežka tabuľky1123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11">
    <w:name w:val="Mriežka tabuľky313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311">
    <w:name w:val="Mriežka tabuľky1213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311">
    <w:name w:val="Mriežka tabuľky2113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311">
    <w:name w:val="Mriežka tabuľky11113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311">
    <w:name w:val="Kalendár 2311"/>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411">
    <w:name w:val="Bez zoznamu1411"/>
    <w:next w:val="Bezzoznamu"/>
    <w:uiPriority w:val="99"/>
    <w:semiHidden/>
    <w:unhideWhenUsed/>
    <w:rsid w:val="00E158EA"/>
  </w:style>
  <w:style w:type="table" w:customStyle="1" w:styleId="Mriekatabuky5311">
    <w:name w:val="Mriežka tabuľky53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311">
    <w:name w:val="Mriežka tabuľky143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311">
    <w:name w:val="Mriežka tabuľky233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311">
    <w:name w:val="Mriežka tabuľky1133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311">
    <w:name w:val="Mriežka tabuľky323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311">
    <w:name w:val="Mriežka tabuľky1223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311">
    <w:name w:val="Mriežka tabuľky2123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311">
    <w:name w:val="Mriežka tabuľky11123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1">
    <w:name w:val="Bez zoznamu2311"/>
    <w:next w:val="Bezzoznamu"/>
    <w:uiPriority w:val="99"/>
    <w:semiHidden/>
    <w:unhideWhenUsed/>
    <w:rsid w:val="00E158EA"/>
  </w:style>
  <w:style w:type="table" w:customStyle="1" w:styleId="Mriekatabuky6311">
    <w:name w:val="Mriežka tabuľky631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311">
    <w:name w:val="Bez zoznamu3311"/>
    <w:next w:val="Bezzoznamu"/>
    <w:uiPriority w:val="99"/>
    <w:semiHidden/>
    <w:unhideWhenUsed/>
    <w:rsid w:val="00E158EA"/>
  </w:style>
  <w:style w:type="table" w:customStyle="1" w:styleId="Mriekatabuky7311">
    <w:name w:val="Mriežka tabuľky731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411">
    <w:name w:val="Bez zoznamu11411"/>
    <w:next w:val="Bezzoznamu"/>
    <w:uiPriority w:val="99"/>
    <w:semiHidden/>
    <w:unhideWhenUsed/>
    <w:rsid w:val="00E158EA"/>
  </w:style>
  <w:style w:type="table" w:customStyle="1" w:styleId="Mriekatabukysvetl1311">
    <w:name w:val="Mriežka tabuľky – svetlá1311"/>
    <w:basedOn w:val="Normlnatabuka"/>
    <w:uiPriority w:val="40"/>
    <w:rsid w:val="00E158EA"/>
    <w:rPr>
      <w:rFonts w:asciiTheme="minorHAnsi" w:eastAsia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211">
    <w:name w:val="Bez zoznamu4211"/>
    <w:next w:val="Bezzoznamu"/>
    <w:uiPriority w:val="99"/>
    <w:semiHidden/>
    <w:unhideWhenUsed/>
    <w:rsid w:val="00E158EA"/>
  </w:style>
  <w:style w:type="numbering" w:customStyle="1" w:styleId="Bezzoznamu111311">
    <w:name w:val="Bez zoznamu111311"/>
    <w:next w:val="Bezzoznamu"/>
    <w:uiPriority w:val="99"/>
    <w:semiHidden/>
    <w:unhideWhenUsed/>
    <w:rsid w:val="00E158EA"/>
  </w:style>
  <w:style w:type="table" w:customStyle="1" w:styleId="Mriekatabuky8211">
    <w:name w:val="Mriežka tabuľky821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211">
    <w:name w:val="Bez zoznamu5211"/>
    <w:next w:val="Bezzoznamu"/>
    <w:uiPriority w:val="99"/>
    <w:semiHidden/>
    <w:unhideWhenUsed/>
    <w:rsid w:val="00E158EA"/>
  </w:style>
  <w:style w:type="numbering" w:customStyle="1" w:styleId="Bezzoznamu12211">
    <w:name w:val="Bez zoznamu12211"/>
    <w:next w:val="Bezzoznamu"/>
    <w:uiPriority w:val="99"/>
    <w:semiHidden/>
    <w:unhideWhenUsed/>
    <w:rsid w:val="00E158EA"/>
  </w:style>
  <w:style w:type="table" w:customStyle="1" w:styleId="Mriekatabuky9211">
    <w:name w:val="Mriežka tabuľky921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211">
    <w:name w:val="Mriežka tabuľky1521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211">
    <w:name w:val="Mriežka tabuľky2421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211">
    <w:name w:val="Mriežka tabuľky1142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211">
    <w:name w:val="Mriežka tabuľky332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211">
    <w:name w:val="Mriežka tabuľky1232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211">
    <w:name w:val="Mriežka tabuľky2132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211">
    <w:name w:val="Mriežka tabuľky11132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211">
    <w:name w:val="Mriežka tabuľky41211"/>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211">
    <w:name w:val="Mriežka tabuľky1312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211">
    <w:name w:val="Mriežka tabuľky2212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211">
    <w:name w:val="Mriežka tabuľky11212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211">
    <w:name w:val="Mriežka tabuľky3112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211">
    <w:name w:val="Mriežka tabuľky12112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211">
    <w:name w:val="Mriežka tabuľky21112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211">
    <w:name w:val="Mriežka tabuľky1111121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211">
    <w:name w:val="Kalendár 21211"/>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211">
    <w:name w:val="Bez zoznamu112211"/>
    <w:next w:val="Bezzoznamu"/>
    <w:uiPriority w:val="99"/>
    <w:semiHidden/>
    <w:unhideWhenUsed/>
    <w:rsid w:val="00E158EA"/>
  </w:style>
  <w:style w:type="table" w:customStyle="1" w:styleId="Mriekatabuky51211">
    <w:name w:val="Mriežka tabuľky512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211">
    <w:name w:val="Mriežka tabuľky1412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211">
    <w:name w:val="Mriežka tabuľky2312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211">
    <w:name w:val="Mriežka tabuľky11312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211">
    <w:name w:val="Mriežka tabuľky3212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211">
    <w:name w:val="Mriežka tabuľky12212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211">
    <w:name w:val="Mriežka tabuľky21212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211">
    <w:name w:val="Mriežka tabuľky1112121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211">
    <w:name w:val="Bez zoznamu21211"/>
    <w:next w:val="Bezzoznamu"/>
    <w:uiPriority w:val="99"/>
    <w:semiHidden/>
    <w:unhideWhenUsed/>
    <w:rsid w:val="00E158EA"/>
  </w:style>
  <w:style w:type="table" w:customStyle="1" w:styleId="Mriekatabuky61211">
    <w:name w:val="Mriežka tabuľky6121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211">
    <w:name w:val="Bez zoznamu31211"/>
    <w:next w:val="Bezzoznamu"/>
    <w:uiPriority w:val="99"/>
    <w:semiHidden/>
    <w:unhideWhenUsed/>
    <w:rsid w:val="00E158EA"/>
  </w:style>
  <w:style w:type="table" w:customStyle="1" w:styleId="Mriekatabuky71211">
    <w:name w:val="Mriežka tabuľky7121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311">
    <w:name w:val="Bez zoznamu1111311"/>
    <w:next w:val="Bezzoznamu"/>
    <w:uiPriority w:val="99"/>
    <w:semiHidden/>
    <w:unhideWhenUsed/>
    <w:rsid w:val="00E158EA"/>
  </w:style>
  <w:style w:type="table" w:customStyle="1" w:styleId="Mriekatabukysvetl11211">
    <w:name w:val="Mriežka tabuľky – svetlá11211"/>
    <w:basedOn w:val="Normlnatabuka"/>
    <w:uiPriority w:val="40"/>
    <w:rsid w:val="00E158EA"/>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1511">
    <w:name w:val="Bez zoznamu1511"/>
    <w:next w:val="Bezzoznamu"/>
    <w:uiPriority w:val="99"/>
    <w:semiHidden/>
    <w:unhideWhenUsed/>
    <w:rsid w:val="00E158EA"/>
  </w:style>
  <w:style w:type="table" w:customStyle="1" w:styleId="Mriekatabuky2011">
    <w:name w:val="Mriežka tabuľky201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711">
    <w:name w:val="Mriežka tabuľky2711"/>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711">
    <w:name w:val="Mriežka tabuľky11711"/>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811">
    <w:name w:val="Mriežka tabuľky2811"/>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11">
    <w:name w:val="Mriežka tabuľky3611"/>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11">
    <w:name w:val="Mriežka tabuľky4411"/>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91">
    <w:name w:val="Bez zoznamu291"/>
    <w:next w:val="Bezzoznamu"/>
    <w:uiPriority w:val="99"/>
    <w:semiHidden/>
    <w:unhideWhenUsed/>
    <w:rsid w:val="00E158EA"/>
  </w:style>
  <w:style w:type="numbering" w:customStyle="1" w:styleId="Bezzoznamu1191">
    <w:name w:val="Bez zoznamu1191"/>
    <w:next w:val="Bezzoznamu"/>
    <w:uiPriority w:val="99"/>
    <w:semiHidden/>
    <w:unhideWhenUsed/>
    <w:rsid w:val="00E158EA"/>
  </w:style>
  <w:style w:type="table" w:customStyle="1" w:styleId="Mriekatabuky481">
    <w:name w:val="Mriežka tabuľky48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01">
    <w:name w:val="Mriežka tabuľky130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01">
    <w:name w:val="Mriežka tabuľky220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01">
    <w:name w:val="Mriežka tabuľky1120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71">
    <w:name w:val="Mriežka tabuľky317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01">
    <w:name w:val="Mriežka tabuľky1210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71">
    <w:name w:val="Mriežka tabuľky2117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01">
    <w:name w:val="Mriežka tabuľky11110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91">
    <w:name w:val="Mriežka tabuľky491"/>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71">
    <w:name w:val="Mriežka tabuľky137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71">
    <w:name w:val="Mriežka tabuľky227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71">
    <w:name w:val="Mriežka tabuľky1127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81">
    <w:name w:val="Mriežka tabuľky318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71">
    <w:name w:val="Mriežka tabuľky1217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81">
    <w:name w:val="Mriežka tabuľky2118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71">
    <w:name w:val="Mriežka tabuľky11117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71">
    <w:name w:val="Kalendár 271"/>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101">
    <w:name w:val="Bez zoznamu11101"/>
    <w:next w:val="Bezzoznamu"/>
    <w:uiPriority w:val="99"/>
    <w:semiHidden/>
    <w:unhideWhenUsed/>
    <w:rsid w:val="00E158EA"/>
  </w:style>
  <w:style w:type="table" w:customStyle="1" w:styleId="Mriekatabuky571">
    <w:name w:val="Mriežka tabuľky57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71">
    <w:name w:val="Mriežka tabuľky147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71">
    <w:name w:val="Mriežka tabuľky237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71">
    <w:name w:val="Mriežka tabuľky1137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71">
    <w:name w:val="Mriežka tabuľky327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71">
    <w:name w:val="Mriežka tabuľky1227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71">
    <w:name w:val="Mriežka tabuľky2127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71">
    <w:name w:val="Mriežka tabuľky11127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01">
    <w:name w:val="Bez zoznamu2101"/>
    <w:next w:val="Bezzoznamu"/>
    <w:uiPriority w:val="99"/>
    <w:semiHidden/>
    <w:unhideWhenUsed/>
    <w:rsid w:val="00E158EA"/>
  </w:style>
  <w:style w:type="table" w:customStyle="1" w:styleId="Mriekatabuky671">
    <w:name w:val="Mriežka tabuľky67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71">
    <w:name w:val="Bez zoznamu371"/>
    <w:next w:val="Bezzoznamu"/>
    <w:uiPriority w:val="99"/>
    <w:semiHidden/>
    <w:unhideWhenUsed/>
    <w:rsid w:val="00E158EA"/>
  </w:style>
  <w:style w:type="table" w:customStyle="1" w:styleId="Mriekatabuky771">
    <w:name w:val="Mriežka tabuľky77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71">
    <w:name w:val="Bez zoznamu11171"/>
    <w:next w:val="Bezzoznamu"/>
    <w:uiPriority w:val="99"/>
    <w:semiHidden/>
    <w:unhideWhenUsed/>
    <w:rsid w:val="00E158EA"/>
  </w:style>
  <w:style w:type="table" w:customStyle="1" w:styleId="Mriekatabukysvetl171">
    <w:name w:val="Mriežka tabuľky – svetlá171"/>
    <w:basedOn w:val="Normlnatabuka"/>
    <w:uiPriority w:val="40"/>
    <w:rsid w:val="00E158EA"/>
    <w:rPr>
      <w:rFonts w:asciiTheme="minorHAnsi" w:eastAsiaTheme="minorHAnsi" w:hAnsiTheme="minorHAnsi" w:cstheme="minorBid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461">
    <w:name w:val="Bez zoznamu461"/>
    <w:next w:val="Bezzoznamu"/>
    <w:uiPriority w:val="99"/>
    <w:semiHidden/>
    <w:unhideWhenUsed/>
    <w:rsid w:val="00E158EA"/>
  </w:style>
  <w:style w:type="numbering" w:customStyle="1" w:styleId="Bezzoznamu111171">
    <w:name w:val="Bez zoznamu111171"/>
    <w:next w:val="Bezzoznamu"/>
    <w:uiPriority w:val="99"/>
    <w:semiHidden/>
    <w:unhideWhenUsed/>
    <w:rsid w:val="00E158EA"/>
  </w:style>
  <w:style w:type="table" w:customStyle="1" w:styleId="Mriekatabuky861">
    <w:name w:val="Mriežka tabuľky86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61">
    <w:name w:val="Bez zoznamu561"/>
    <w:next w:val="Bezzoznamu"/>
    <w:uiPriority w:val="99"/>
    <w:semiHidden/>
    <w:unhideWhenUsed/>
    <w:rsid w:val="00E158EA"/>
  </w:style>
  <w:style w:type="numbering" w:customStyle="1" w:styleId="Bezzoznamu1261">
    <w:name w:val="Bez zoznamu1261"/>
    <w:next w:val="Bezzoznamu"/>
    <w:uiPriority w:val="99"/>
    <w:semiHidden/>
    <w:unhideWhenUsed/>
    <w:rsid w:val="00E158EA"/>
  </w:style>
  <w:style w:type="table" w:customStyle="1" w:styleId="Mriekatabuky961">
    <w:name w:val="Mriežka tabuľky96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61">
    <w:name w:val="Mriežka tabuľky156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461">
    <w:name w:val="Mriežka tabuľky2461"/>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461">
    <w:name w:val="Mriežka tabuľky114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61">
    <w:name w:val="Mriežka tabuľky33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361">
    <w:name w:val="Mriežka tabuľky123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361">
    <w:name w:val="Mriežka tabuľky213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361">
    <w:name w:val="Mriežka tabuľky1113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61">
    <w:name w:val="Mriežka tabuľky4161"/>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61">
    <w:name w:val="Mriežka tabuľky1316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61">
    <w:name w:val="Mriežka tabuľky2216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61">
    <w:name w:val="Mriežka tabuľky11216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61">
    <w:name w:val="Mriežka tabuľky3116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61">
    <w:name w:val="Mriežka tabuľky12116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61">
    <w:name w:val="Mriežka tabuľky21116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61">
    <w:name w:val="Mriežka tabuľky1111161"/>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161">
    <w:name w:val="Kalendár 2161"/>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1261">
    <w:name w:val="Bez zoznamu11261"/>
    <w:next w:val="Bezzoznamu"/>
    <w:uiPriority w:val="99"/>
    <w:semiHidden/>
    <w:unhideWhenUsed/>
    <w:rsid w:val="00E158EA"/>
  </w:style>
  <w:style w:type="table" w:customStyle="1" w:styleId="Mriekatabuky5161">
    <w:name w:val="Mriežka tabuľky51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161">
    <w:name w:val="Mriežka tabuľky141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161">
    <w:name w:val="Mriežka tabuľky231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161">
    <w:name w:val="Mriežka tabuľky1131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61">
    <w:name w:val="Mriežka tabuľky321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161">
    <w:name w:val="Mriežka tabuľky1221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161">
    <w:name w:val="Mriežka tabuľky2121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161">
    <w:name w:val="Mriežka tabuľky1112161"/>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61">
    <w:name w:val="Bez zoznamu2161"/>
    <w:next w:val="Bezzoznamu"/>
    <w:uiPriority w:val="99"/>
    <w:semiHidden/>
    <w:unhideWhenUsed/>
    <w:rsid w:val="00E158EA"/>
  </w:style>
  <w:style w:type="table" w:customStyle="1" w:styleId="Mriekatabuky6161">
    <w:name w:val="Mriežka tabuľky616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61">
    <w:name w:val="Bez zoznamu3161"/>
    <w:next w:val="Bezzoznamu"/>
    <w:uiPriority w:val="99"/>
    <w:semiHidden/>
    <w:unhideWhenUsed/>
    <w:rsid w:val="00E158EA"/>
  </w:style>
  <w:style w:type="table" w:customStyle="1" w:styleId="Mriekatabuky7161">
    <w:name w:val="Mriežka tabuľky7161"/>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1141">
    <w:name w:val="Bez zoznamu1111141"/>
    <w:next w:val="Bezzoznamu"/>
    <w:uiPriority w:val="99"/>
    <w:semiHidden/>
    <w:unhideWhenUsed/>
    <w:rsid w:val="00E158EA"/>
  </w:style>
  <w:style w:type="table" w:customStyle="1" w:styleId="Mriekatabukysvetl1161">
    <w:name w:val="Mriežka tabuľky – svetlá1161"/>
    <w:basedOn w:val="Normlnatabuka"/>
    <w:uiPriority w:val="40"/>
    <w:rsid w:val="00E158EA"/>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zoznamu301">
    <w:name w:val="Bez zoznamu301"/>
    <w:next w:val="Bezzoznamu"/>
    <w:uiPriority w:val="99"/>
    <w:semiHidden/>
    <w:unhideWhenUsed/>
    <w:rsid w:val="00E158EA"/>
  </w:style>
  <w:style w:type="table" w:customStyle="1" w:styleId="Mriekatabukysvetl181">
    <w:name w:val="Mriežka tabuľky – svetlá181"/>
    <w:basedOn w:val="Normlnatabuka"/>
    <w:uiPriority w:val="40"/>
    <w:rsid w:val="00E158E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riekatabuky501">
    <w:name w:val="Mriežka tabuľky501"/>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81">
    <w:name w:val="Mriežka tabuľky1381"/>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81">
    <w:name w:val="Mriežka tabuľky2281"/>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91">
    <w:name w:val="Mriežka tabuľky3191"/>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01">
    <w:name w:val="Mriežka tabuľky4101"/>
    <w:basedOn w:val="Normlnatabuka"/>
    <w:next w:val="Mriekatabuky"/>
    <w:uiPriority w:val="39"/>
    <w:rsid w:val="00E15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81">
    <w:name w:val="Bez zoznamu381"/>
    <w:next w:val="Bezzoznamu"/>
    <w:uiPriority w:val="99"/>
    <w:semiHidden/>
    <w:unhideWhenUsed/>
    <w:rsid w:val="00E158EA"/>
  </w:style>
  <w:style w:type="numbering" w:customStyle="1" w:styleId="Bezzoznamu40">
    <w:name w:val="Bez zoznamu40"/>
    <w:next w:val="Bezzoznamu"/>
    <w:uiPriority w:val="99"/>
    <w:semiHidden/>
    <w:unhideWhenUsed/>
    <w:rsid w:val="00E158EA"/>
  </w:style>
  <w:style w:type="table" w:customStyle="1" w:styleId="Mriekatabuky60">
    <w:name w:val="Mriežka tabuľky60"/>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0">
    <w:name w:val="Mriežka tabuľky140"/>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0">
    <w:name w:val="Mriežka tabuľky230"/>
    <w:basedOn w:val="Normlnatabuka"/>
    <w:next w:val="Mriekatabuky"/>
    <w:uiPriority w:val="3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0">
    <w:name w:val="Mriežka tabuľky1130"/>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9">
    <w:name w:val="Mriežka tabuľky329"/>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0">
    <w:name w:val="Mriežka tabuľky1220"/>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0">
    <w:name w:val="Mriežka tabuľky2120"/>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0">
    <w:name w:val="Mriežka tabuľky11120"/>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9">
    <w:name w:val="Mriežka tabuľky419"/>
    <w:basedOn w:val="Normlnatabuka"/>
    <w:next w:val="Mriekatabuky"/>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18">
    <w:name w:val="Mriežka tabuľky1318"/>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18">
    <w:name w:val="Mriežka tabuľky2218"/>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10">
    <w:name w:val="Mriežka tabuľky11210"/>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8">
    <w:name w:val="Mriežka tabuľky3118"/>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10">
    <w:name w:val="Mriežka tabuľky12110"/>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118">
    <w:name w:val="Mriežka tabuľky21118"/>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10">
    <w:name w:val="Mriežka tabuľky111110"/>
    <w:basedOn w:val="Normlnatabuka"/>
    <w:uiPriority w:val="59"/>
    <w:rsid w:val="00E158EA"/>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r29">
    <w:name w:val="Kalendár 29"/>
    <w:basedOn w:val="Normlnatabuka"/>
    <w:uiPriority w:val="99"/>
    <w:qFormat/>
    <w:rsid w:val="00E158EA"/>
    <w:pPr>
      <w:jc w:val="center"/>
    </w:pPr>
    <w:rPr>
      <w:rFonts w:ascii="Calibri" w:hAnsi="Calibri"/>
      <w:sz w:val="28"/>
      <w:szCs w:val="22"/>
    </w:rPr>
    <w:tblPr>
      <w:tblBorders>
        <w:insideV w:val="single" w:sz="4" w:space="0" w:color="95B3D7"/>
      </w:tblBorders>
    </w:tblPr>
    <w:tblStylePr w:type="firstRow">
      <w:rPr>
        <w:rFonts w:ascii="Arial Black" w:hAnsi="Arial Black" w:cs="Times New Rom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Bezzoznamu128">
    <w:name w:val="Bez zoznamu128"/>
    <w:next w:val="Bezzoznamu"/>
    <w:uiPriority w:val="99"/>
    <w:semiHidden/>
    <w:unhideWhenUsed/>
    <w:rsid w:val="00E158EA"/>
  </w:style>
  <w:style w:type="table" w:customStyle="1" w:styleId="Mriekatabuky510">
    <w:name w:val="Mriežka tabuľky510"/>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9">
    <w:name w:val="Mriežka tabuľky149"/>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9">
    <w:name w:val="Mriežka tabuľky239"/>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9">
    <w:name w:val="Mriežka tabuľky1139"/>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10">
    <w:name w:val="Mriežka tabuľky3210"/>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29">
    <w:name w:val="Mriežka tabuľky1229"/>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29">
    <w:name w:val="Mriežka tabuľky2129"/>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29">
    <w:name w:val="Mriežka tabuľky11129"/>
    <w:basedOn w:val="Normlnatabuka"/>
    <w:next w:val="Mriekatabuky"/>
    <w:uiPriority w:val="59"/>
    <w:rsid w:val="00E158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9">
    <w:name w:val="Bez zoznamu219"/>
    <w:next w:val="Bezzoznamu"/>
    <w:uiPriority w:val="99"/>
    <w:semiHidden/>
    <w:unhideWhenUsed/>
    <w:rsid w:val="00E158EA"/>
  </w:style>
  <w:style w:type="table" w:customStyle="1" w:styleId="Mriekatabuky69">
    <w:name w:val="Mriežka tabuľky69"/>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8">
    <w:name w:val="Bez zoznamu318"/>
    <w:next w:val="Bezzoznamu"/>
    <w:uiPriority w:val="99"/>
    <w:semiHidden/>
    <w:unhideWhenUsed/>
    <w:rsid w:val="00E158EA"/>
  </w:style>
  <w:style w:type="table" w:customStyle="1" w:styleId="Mriekatabuky79">
    <w:name w:val="Mriežka tabuľky79"/>
    <w:basedOn w:val="Normlnatabuka"/>
    <w:next w:val="Mriekatabuky"/>
    <w:rsid w:val="00E1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20">
    <w:name w:val="Bez zoznamu1120"/>
    <w:next w:val="Bezzoznamu"/>
    <w:uiPriority w:val="99"/>
    <w:semiHidden/>
    <w:unhideWhenUsed/>
    <w:rsid w:val="00E158EA"/>
  </w:style>
  <w:style w:type="table" w:customStyle="1" w:styleId="Mriekatabukysvetl110">
    <w:name w:val="Mriežka tabuľky – svetlá110"/>
    <w:basedOn w:val="Normlnatabuka"/>
    <w:uiPriority w:val="40"/>
    <w:rsid w:val="00E158E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zoznamu48">
    <w:name w:val="Bez zoznamu48"/>
    <w:next w:val="Bezzoznamu"/>
    <w:uiPriority w:val="99"/>
    <w:semiHidden/>
    <w:unhideWhenUsed/>
    <w:rsid w:val="00E158EA"/>
  </w:style>
  <w:style w:type="numbering" w:customStyle="1" w:styleId="Bezzoznamu11110">
    <w:name w:val="Bez zoznamu11110"/>
    <w:next w:val="Bezzoznamu"/>
    <w:uiPriority w:val="99"/>
    <w:semiHidden/>
    <w:unhideWhenUsed/>
    <w:rsid w:val="00E15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31597">
      <w:bodyDiv w:val="1"/>
      <w:marLeft w:val="0"/>
      <w:marRight w:val="0"/>
      <w:marTop w:val="0"/>
      <w:marBottom w:val="0"/>
      <w:divBdr>
        <w:top w:val="none" w:sz="0" w:space="0" w:color="auto"/>
        <w:left w:val="none" w:sz="0" w:space="0" w:color="auto"/>
        <w:bottom w:val="none" w:sz="0" w:space="0" w:color="auto"/>
        <w:right w:val="none" w:sz="0" w:space="0" w:color="auto"/>
      </w:divBdr>
    </w:div>
    <w:div w:id="357779106">
      <w:bodyDiv w:val="1"/>
      <w:marLeft w:val="0"/>
      <w:marRight w:val="0"/>
      <w:marTop w:val="0"/>
      <w:marBottom w:val="0"/>
      <w:divBdr>
        <w:top w:val="none" w:sz="0" w:space="0" w:color="auto"/>
        <w:left w:val="none" w:sz="0" w:space="0" w:color="auto"/>
        <w:bottom w:val="none" w:sz="0" w:space="0" w:color="auto"/>
        <w:right w:val="none" w:sz="0" w:space="0" w:color="auto"/>
      </w:divBdr>
    </w:div>
    <w:div w:id="361396399">
      <w:bodyDiv w:val="1"/>
      <w:marLeft w:val="0"/>
      <w:marRight w:val="0"/>
      <w:marTop w:val="0"/>
      <w:marBottom w:val="0"/>
      <w:divBdr>
        <w:top w:val="none" w:sz="0" w:space="0" w:color="auto"/>
        <w:left w:val="none" w:sz="0" w:space="0" w:color="auto"/>
        <w:bottom w:val="none" w:sz="0" w:space="0" w:color="auto"/>
        <w:right w:val="none" w:sz="0" w:space="0" w:color="auto"/>
      </w:divBdr>
    </w:div>
    <w:div w:id="361444041">
      <w:bodyDiv w:val="1"/>
      <w:marLeft w:val="0"/>
      <w:marRight w:val="0"/>
      <w:marTop w:val="0"/>
      <w:marBottom w:val="0"/>
      <w:divBdr>
        <w:top w:val="none" w:sz="0" w:space="0" w:color="auto"/>
        <w:left w:val="none" w:sz="0" w:space="0" w:color="auto"/>
        <w:bottom w:val="none" w:sz="0" w:space="0" w:color="auto"/>
        <w:right w:val="none" w:sz="0" w:space="0" w:color="auto"/>
      </w:divBdr>
    </w:div>
    <w:div w:id="630523390">
      <w:bodyDiv w:val="1"/>
      <w:marLeft w:val="0"/>
      <w:marRight w:val="0"/>
      <w:marTop w:val="0"/>
      <w:marBottom w:val="0"/>
      <w:divBdr>
        <w:top w:val="none" w:sz="0" w:space="0" w:color="auto"/>
        <w:left w:val="none" w:sz="0" w:space="0" w:color="auto"/>
        <w:bottom w:val="none" w:sz="0" w:space="0" w:color="auto"/>
        <w:right w:val="none" w:sz="0" w:space="0" w:color="auto"/>
      </w:divBdr>
    </w:div>
    <w:div w:id="691683655">
      <w:bodyDiv w:val="1"/>
      <w:marLeft w:val="0"/>
      <w:marRight w:val="0"/>
      <w:marTop w:val="0"/>
      <w:marBottom w:val="0"/>
      <w:divBdr>
        <w:top w:val="none" w:sz="0" w:space="0" w:color="auto"/>
        <w:left w:val="none" w:sz="0" w:space="0" w:color="auto"/>
        <w:bottom w:val="none" w:sz="0" w:space="0" w:color="auto"/>
        <w:right w:val="none" w:sz="0" w:space="0" w:color="auto"/>
      </w:divBdr>
    </w:div>
    <w:div w:id="722757768">
      <w:bodyDiv w:val="1"/>
      <w:marLeft w:val="0"/>
      <w:marRight w:val="0"/>
      <w:marTop w:val="0"/>
      <w:marBottom w:val="0"/>
      <w:divBdr>
        <w:top w:val="none" w:sz="0" w:space="0" w:color="auto"/>
        <w:left w:val="none" w:sz="0" w:space="0" w:color="auto"/>
        <w:bottom w:val="none" w:sz="0" w:space="0" w:color="auto"/>
        <w:right w:val="none" w:sz="0" w:space="0" w:color="auto"/>
      </w:divBdr>
    </w:div>
    <w:div w:id="809976767">
      <w:bodyDiv w:val="1"/>
      <w:marLeft w:val="0"/>
      <w:marRight w:val="0"/>
      <w:marTop w:val="0"/>
      <w:marBottom w:val="0"/>
      <w:divBdr>
        <w:top w:val="none" w:sz="0" w:space="0" w:color="auto"/>
        <w:left w:val="none" w:sz="0" w:space="0" w:color="auto"/>
        <w:bottom w:val="none" w:sz="0" w:space="0" w:color="auto"/>
        <w:right w:val="none" w:sz="0" w:space="0" w:color="auto"/>
      </w:divBdr>
    </w:div>
    <w:div w:id="871381042">
      <w:bodyDiv w:val="1"/>
      <w:marLeft w:val="0"/>
      <w:marRight w:val="0"/>
      <w:marTop w:val="0"/>
      <w:marBottom w:val="0"/>
      <w:divBdr>
        <w:top w:val="none" w:sz="0" w:space="0" w:color="auto"/>
        <w:left w:val="none" w:sz="0" w:space="0" w:color="auto"/>
        <w:bottom w:val="none" w:sz="0" w:space="0" w:color="auto"/>
        <w:right w:val="none" w:sz="0" w:space="0" w:color="auto"/>
      </w:divBdr>
    </w:div>
    <w:div w:id="890000742">
      <w:bodyDiv w:val="1"/>
      <w:marLeft w:val="0"/>
      <w:marRight w:val="0"/>
      <w:marTop w:val="0"/>
      <w:marBottom w:val="0"/>
      <w:divBdr>
        <w:top w:val="none" w:sz="0" w:space="0" w:color="auto"/>
        <w:left w:val="none" w:sz="0" w:space="0" w:color="auto"/>
        <w:bottom w:val="none" w:sz="0" w:space="0" w:color="auto"/>
        <w:right w:val="none" w:sz="0" w:space="0" w:color="auto"/>
      </w:divBdr>
    </w:div>
    <w:div w:id="1168517182">
      <w:bodyDiv w:val="1"/>
      <w:marLeft w:val="0"/>
      <w:marRight w:val="0"/>
      <w:marTop w:val="0"/>
      <w:marBottom w:val="0"/>
      <w:divBdr>
        <w:top w:val="none" w:sz="0" w:space="0" w:color="auto"/>
        <w:left w:val="none" w:sz="0" w:space="0" w:color="auto"/>
        <w:bottom w:val="none" w:sz="0" w:space="0" w:color="auto"/>
        <w:right w:val="none" w:sz="0" w:space="0" w:color="auto"/>
      </w:divBdr>
    </w:div>
    <w:div w:id="1315064366">
      <w:bodyDiv w:val="1"/>
      <w:marLeft w:val="0"/>
      <w:marRight w:val="0"/>
      <w:marTop w:val="0"/>
      <w:marBottom w:val="0"/>
      <w:divBdr>
        <w:top w:val="none" w:sz="0" w:space="0" w:color="auto"/>
        <w:left w:val="none" w:sz="0" w:space="0" w:color="auto"/>
        <w:bottom w:val="none" w:sz="0" w:space="0" w:color="auto"/>
        <w:right w:val="none" w:sz="0" w:space="0" w:color="auto"/>
      </w:divBdr>
    </w:div>
    <w:div w:id="1403521804">
      <w:bodyDiv w:val="1"/>
      <w:marLeft w:val="0"/>
      <w:marRight w:val="0"/>
      <w:marTop w:val="0"/>
      <w:marBottom w:val="0"/>
      <w:divBdr>
        <w:top w:val="none" w:sz="0" w:space="0" w:color="auto"/>
        <w:left w:val="none" w:sz="0" w:space="0" w:color="auto"/>
        <w:bottom w:val="none" w:sz="0" w:space="0" w:color="auto"/>
        <w:right w:val="none" w:sz="0" w:space="0" w:color="auto"/>
      </w:divBdr>
    </w:div>
    <w:div w:id="1540970089">
      <w:bodyDiv w:val="1"/>
      <w:marLeft w:val="0"/>
      <w:marRight w:val="0"/>
      <w:marTop w:val="0"/>
      <w:marBottom w:val="0"/>
      <w:divBdr>
        <w:top w:val="none" w:sz="0" w:space="0" w:color="auto"/>
        <w:left w:val="none" w:sz="0" w:space="0" w:color="auto"/>
        <w:bottom w:val="none" w:sz="0" w:space="0" w:color="auto"/>
        <w:right w:val="none" w:sz="0" w:space="0" w:color="auto"/>
      </w:divBdr>
    </w:div>
    <w:div w:id="1706249894">
      <w:bodyDiv w:val="1"/>
      <w:marLeft w:val="0"/>
      <w:marRight w:val="0"/>
      <w:marTop w:val="0"/>
      <w:marBottom w:val="0"/>
      <w:divBdr>
        <w:top w:val="none" w:sz="0" w:space="0" w:color="auto"/>
        <w:left w:val="none" w:sz="0" w:space="0" w:color="auto"/>
        <w:bottom w:val="none" w:sz="0" w:space="0" w:color="auto"/>
        <w:right w:val="none" w:sz="0" w:space="0" w:color="auto"/>
      </w:divBdr>
    </w:div>
    <w:div w:id="1830249086">
      <w:bodyDiv w:val="1"/>
      <w:marLeft w:val="0"/>
      <w:marRight w:val="0"/>
      <w:marTop w:val="0"/>
      <w:marBottom w:val="0"/>
      <w:divBdr>
        <w:top w:val="none" w:sz="0" w:space="0" w:color="auto"/>
        <w:left w:val="none" w:sz="0" w:space="0" w:color="auto"/>
        <w:bottom w:val="none" w:sz="0" w:space="0" w:color="auto"/>
        <w:right w:val="none" w:sz="0" w:space="0" w:color="auto"/>
      </w:divBdr>
    </w:div>
    <w:div w:id="1923097235">
      <w:marLeft w:val="0"/>
      <w:marRight w:val="0"/>
      <w:marTop w:val="0"/>
      <w:marBottom w:val="0"/>
      <w:divBdr>
        <w:top w:val="none" w:sz="0" w:space="0" w:color="auto"/>
        <w:left w:val="none" w:sz="0" w:space="0" w:color="auto"/>
        <w:bottom w:val="none" w:sz="0" w:space="0" w:color="auto"/>
        <w:right w:val="none" w:sz="0" w:space="0" w:color="auto"/>
      </w:divBdr>
    </w:div>
    <w:div w:id="1923097236">
      <w:marLeft w:val="0"/>
      <w:marRight w:val="0"/>
      <w:marTop w:val="0"/>
      <w:marBottom w:val="0"/>
      <w:divBdr>
        <w:top w:val="none" w:sz="0" w:space="0" w:color="auto"/>
        <w:left w:val="none" w:sz="0" w:space="0" w:color="auto"/>
        <w:bottom w:val="none" w:sz="0" w:space="0" w:color="auto"/>
        <w:right w:val="none" w:sz="0" w:space="0" w:color="auto"/>
      </w:divBdr>
    </w:div>
    <w:div w:id="1923097237">
      <w:marLeft w:val="0"/>
      <w:marRight w:val="0"/>
      <w:marTop w:val="0"/>
      <w:marBottom w:val="0"/>
      <w:divBdr>
        <w:top w:val="none" w:sz="0" w:space="0" w:color="auto"/>
        <w:left w:val="none" w:sz="0" w:space="0" w:color="auto"/>
        <w:bottom w:val="none" w:sz="0" w:space="0" w:color="auto"/>
        <w:right w:val="none" w:sz="0" w:space="0" w:color="auto"/>
      </w:divBdr>
    </w:div>
    <w:div w:id="1923097238">
      <w:marLeft w:val="0"/>
      <w:marRight w:val="0"/>
      <w:marTop w:val="0"/>
      <w:marBottom w:val="0"/>
      <w:divBdr>
        <w:top w:val="none" w:sz="0" w:space="0" w:color="auto"/>
        <w:left w:val="none" w:sz="0" w:space="0" w:color="auto"/>
        <w:bottom w:val="none" w:sz="0" w:space="0" w:color="auto"/>
        <w:right w:val="none" w:sz="0" w:space="0" w:color="auto"/>
      </w:divBdr>
    </w:div>
    <w:div w:id="1923097239">
      <w:marLeft w:val="0"/>
      <w:marRight w:val="0"/>
      <w:marTop w:val="0"/>
      <w:marBottom w:val="0"/>
      <w:divBdr>
        <w:top w:val="none" w:sz="0" w:space="0" w:color="auto"/>
        <w:left w:val="none" w:sz="0" w:space="0" w:color="auto"/>
        <w:bottom w:val="none" w:sz="0" w:space="0" w:color="auto"/>
        <w:right w:val="none" w:sz="0" w:space="0" w:color="auto"/>
      </w:divBdr>
    </w:div>
    <w:div w:id="1923097240">
      <w:marLeft w:val="0"/>
      <w:marRight w:val="0"/>
      <w:marTop w:val="0"/>
      <w:marBottom w:val="0"/>
      <w:divBdr>
        <w:top w:val="none" w:sz="0" w:space="0" w:color="auto"/>
        <w:left w:val="none" w:sz="0" w:space="0" w:color="auto"/>
        <w:bottom w:val="none" w:sz="0" w:space="0" w:color="auto"/>
        <w:right w:val="none" w:sz="0" w:space="0" w:color="auto"/>
      </w:divBdr>
    </w:div>
    <w:div w:id="1923097241">
      <w:marLeft w:val="0"/>
      <w:marRight w:val="0"/>
      <w:marTop w:val="0"/>
      <w:marBottom w:val="0"/>
      <w:divBdr>
        <w:top w:val="none" w:sz="0" w:space="0" w:color="auto"/>
        <w:left w:val="none" w:sz="0" w:space="0" w:color="auto"/>
        <w:bottom w:val="none" w:sz="0" w:space="0" w:color="auto"/>
        <w:right w:val="none" w:sz="0" w:space="0" w:color="auto"/>
      </w:divBdr>
    </w:div>
    <w:div w:id="1923097242">
      <w:marLeft w:val="0"/>
      <w:marRight w:val="0"/>
      <w:marTop w:val="0"/>
      <w:marBottom w:val="0"/>
      <w:divBdr>
        <w:top w:val="none" w:sz="0" w:space="0" w:color="auto"/>
        <w:left w:val="none" w:sz="0" w:space="0" w:color="auto"/>
        <w:bottom w:val="none" w:sz="0" w:space="0" w:color="auto"/>
        <w:right w:val="none" w:sz="0" w:space="0" w:color="auto"/>
      </w:divBdr>
    </w:div>
    <w:div w:id="1923097243">
      <w:marLeft w:val="0"/>
      <w:marRight w:val="0"/>
      <w:marTop w:val="0"/>
      <w:marBottom w:val="0"/>
      <w:divBdr>
        <w:top w:val="none" w:sz="0" w:space="0" w:color="auto"/>
        <w:left w:val="none" w:sz="0" w:space="0" w:color="auto"/>
        <w:bottom w:val="none" w:sz="0" w:space="0" w:color="auto"/>
        <w:right w:val="none" w:sz="0" w:space="0" w:color="auto"/>
      </w:divBdr>
    </w:div>
    <w:div w:id="1923097244">
      <w:marLeft w:val="0"/>
      <w:marRight w:val="0"/>
      <w:marTop w:val="0"/>
      <w:marBottom w:val="0"/>
      <w:divBdr>
        <w:top w:val="none" w:sz="0" w:space="0" w:color="auto"/>
        <w:left w:val="none" w:sz="0" w:space="0" w:color="auto"/>
        <w:bottom w:val="none" w:sz="0" w:space="0" w:color="auto"/>
        <w:right w:val="none" w:sz="0" w:space="0" w:color="auto"/>
      </w:divBdr>
    </w:div>
    <w:div w:id="1923097245">
      <w:marLeft w:val="0"/>
      <w:marRight w:val="0"/>
      <w:marTop w:val="0"/>
      <w:marBottom w:val="0"/>
      <w:divBdr>
        <w:top w:val="none" w:sz="0" w:space="0" w:color="auto"/>
        <w:left w:val="none" w:sz="0" w:space="0" w:color="auto"/>
        <w:bottom w:val="none" w:sz="0" w:space="0" w:color="auto"/>
        <w:right w:val="none" w:sz="0" w:space="0" w:color="auto"/>
      </w:divBdr>
    </w:div>
    <w:div w:id="1923097246">
      <w:marLeft w:val="0"/>
      <w:marRight w:val="0"/>
      <w:marTop w:val="0"/>
      <w:marBottom w:val="0"/>
      <w:divBdr>
        <w:top w:val="none" w:sz="0" w:space="0" w:color="auto"/>
        <w:left w:val="none" w:sz="0" w:space="0" w:color="auto"/>
        <w:bottom w:val="none" w:sz="0" w:space="0" w:color="auto"/>
        <w:right w:val="none" w:sz="0" w:space="0" w:color="auto"/>
      </w:divBdr>
    </w:div>
    <w:div w:id="1923097247">
      <w:marLeft w:val="0"/>
      <w:marRight w:val="0"/>
      <w:marTop w:val="0"/>
      <w:marBottom w:val="0"/>
      <w:divBdr>
        <w:top w:val="none" w:sz="0" w:space="0" w:color="auto"/>
        <w:left w:val="none" w:sz="0" w:space="0" w:color="auto"/>
        <w:bottom w:val="none" w:sz="0" w:space="0" w:color="auto"/>
        <w:right w:val="none" w:sz="0" w:space="0" w:color="auto"/>
      </w:divBdr>
    </w:div>
    <w:div w:id="1923097248">
      <w:marLeft w:val="0"/>
      <w:marRight w:val="0"/>
      <w:marTop w:val="0"/>
      <w:marBottom w:val="0"/>
      <w:divBdr>
        <w:top w:val="none" w:sz="0" w:space="0" w:color="auto"/>
        <w:left w:val="none" w:sz="0" w:space="0" w:color="auto"/>
        <w:bottom w:val="none" w:sz="0" w:space="0" w:color="auto"/>
        <w:right w:val="none" w:sz="0" w:space="0" w:color="auto"/>
      </w:divBdr>
    </w:div>
    <w:div w:id="1923097249">
      <w:marLeft w:val="0"/>
      <w:marRight w:val="0"/>
      <w:marTop w:val="0"/>
      <w:marBottom w:val="0"/>
      <w:divBdr>
        <w:top w:val="none" w:sz="0" w:space="0" w:color="auto"/>
        <w:left w:val="none" w:sz="0" w:space="0" w:color="auto"/>
        <w:bottom w:val="none" w:sz="0" w:space="0" w:color="auto"/>
        <w:right w:val="none" w:sz="0" w:space="0" w:color="auto"/>
      </w:divBdr>
    </w:div>
    <w:div w:id="1923097250">
      <w:marLeft w:val="0"/>
      <w:marRight w:val="0"/>
      <w:marTop w:val="0"/>
      <w:marBottom w:val="0"/>
      <w:divBdr>
        <w:top w:val="none" w:sz="0" w:space="0" w:color="auto"/>
        <w:left w:val="none" w:sz="0" w:space="0" w:color="auto"/>
        <w:bottom w:val="none" w:sz="0" w:space="0" w:color="auto"/>
        <w:right w:val="none" w:sz="0" w:space="0" w:color="auto"/>
      </w:divBdr>
    </w:div>
    <w:div w:id="1923097251">
      <w:marLeft w:val="0"/>
      <w:marRight w:val="0"/>
      <w:marTop w:val="0"/>
      <w:marBottom w:val="0"/>
      <w:divBdr>
        <w:top w:val="none" w:sz="0" w:space="0" w:color="auto"/>
        <w:left w:val="none" w:sz="0" w:space="0" w:color="auto"/>
        <w:bottom w:val="none" w:sz="0" w:space="0" w:color="auto"/>
        <w:right w:val="none" w:sz="0" w:space="0" w:color="auto"/>
      </w:divBdr>
    </w:div>
    <w:div w:id="1923097252">
      <w:marLeft w:val="0"/>
      <w:marRight w:val="0"/>
      <w:marTop w:val="0"/>
      <w:marBottom w:val="0"/>
      <w:divBdr>
        <w:top w:val="none" w:sz="0" w:space="0" w:color="auto"/>
        <w:left w:val="none" w:sz="0" w:space="0" w:color="auto"/>
        <w:bottom w:val="none" w:sz="0" w:space="0" w:color="auto"/>
        <w:right w:val="none" w:sz="0" w:space="0" w:color="auto"/>
      </w:divBdr>
    </w:div>
    <w:div w:id="1923097253">
      <w:marLeft w:val="0"/>
      <w:marRight w:val="0"/>
      <w:marTop w:val="0"/>
      <w:marBottom w:val="0"/>
      <w:divBdr>
        <w:top w:val="none" w:sz="0" w:space="0" w:color="auto"/>
        <w:left w:val="none" w:sz="0" w:space="0" w:color="auto"/>
        <w:bottom w:val="none" w:sz="0" w:space="0" w:color="auto"/>
        <w:right w:val="none" w:sz="0" w:space="0" w:color="auto"/>
      </w:divBdr>
    </w:div>
    <w:div w:id="1923097254">
      <w:marLeft w:val="0"/>
      <w:marRight w:val="0"/>
      <w:marTop w:val="0"/>
      <w:marBottom w:val="0"/>
      <w:divBdr>
        <w:top w:val="none" w:sz="0" w:space="0" w:color="auto"/>
        <w:left w:val="none" w:sz="0" w:space="0" w:color="auto"/>
        <w:bottom w:val="none" w:sz="0" w:space="0" w:color="auto"/>
        <w:right w:val="none" w:sz="0" w:space="0" w:color="auto"/>
      </w:divBdr>
    </w:div>
    <w:div w:id="1923097255">
      <w:marLeft w:val="0"/>
      <w:marRight w:val="0"/>
      <w:marTop w:val="0"/>
      <w:marBottom w:val="0"/>
      <w:divBdr>
        <w:top w:val="none" w:sz="0" w:space="0" w:color="auto"/>
        <w:left w:val="none" w:sz="0" w:space="0" w:color="auto"/>
        <w:bottom w:val="none" w:sz="0" w:space="0" w:color="auto"/>
        <w:right w:val="none" w:sz="0" w:space="0" w:color="auto"/>
      </w:divBdr>
    </w:div>
    <w:div w:id="1923097256">
      <w:marLeft w:val="0"/>
      <w:marRight w:val="0"/>
      <w:marTop w:val="0"/>
      <w:marBottom w:val="0"/>
      <w:divBdr>
        <w:top w:val="none" w:sz="0" w:space="0" w:color="auto"/>
        <w:left w:val="none" w:sz="0" w:space="0" w:color="auto"/>
        <w:bottom w:val="none" w:sz="0" w:space="0" w:color="auto"/>
        <w:right w:val="none" w:sz="0" w:space="0" w:color="auto"/>
      </w:divBdr>
    </w:div>
    <w:div w:id="1923097257">
      <w:marLeft w:val="0"/>
      <w:marRight w:val="0"/>
      <w:marTop w:val="0"/>
      <w:marBottom w:val="0"/>
      <w:divBdr>
        <w:top w:val="none" w:sz="0" w:space="0" w:color="auto"/>
        <w:left w:val="none" w:sz="0" w:space="0" w:color="auto"/>
        <w:bottom w:val="none" w:sz="0" w:space="0" w:color="auto"/>
        <w:right w:val="none" w:sz="0" w:space="0" w:color="auto"/>
      </w:divBdr>
    </w:div>
    <w:div w:id="1923097258">
      <w:marLeft w:val="0"/>
      <w:marRight w:val="0"/>
      <w:marTop w:val="0"/>
      <w:marBottom w:val="0"/>
      <w:divBdr>
        <w:top w:val="none" w:sz="0" w:space="0" w:color="auto"/>
        <w:left w:val="none" w:sz="0" w:space="0" w:color="auto"/>
        <w:bottom w:val="none" w:sz="0" w:space="0" w:color="auto"/>
        <w:right w:val="none" w:sz="0" w:space="0" w:color="auto"/>
      </w:divBdr>
    </w:div>
    <w:div w:id="1923097259">
      <w:marLeft w:val="0"/>
      <w:marRight w:val="0"/>
      <w:marTop w:val="0"/>
      <w:marBottom w:val="0"/>
      <w:divBdr>
        <w:top w:val="none" w:sz="0" w:space="0" w:color="auto"/>
        <w:left w:val="none" w:sz="0" w:space="0" w:color="auto"/>
        <w:bottom w:val="none" w:sz="0" w:space="0" w:color="auto"/>
        <w:right w:val="none" w:sz="0" w:space="0" w:color="auto"/>
      </w:divBdr>
    </w:div>
    <w:div w:id="1923097260">
      <w:marLeft w:val="0"/>
      <w:marRight w:val="0"/>
      <w:marTop w:val="0"/>
      <w:marBottom w:val="0"/>
      <w:divBdr>
        <w:top w:val="none" w:sz="0" w:space="0" w:color="auto"/>
        <w:left w:val="none" w:sz="0" w:space="0" w:color="auto"/>
        <w:bottom w:val="none" w:sz="0" w:space="0" w:color="auto"/>
        <w:right w:val="none" w:sz="0" w:space="0" w:color="auto"/>
      </w:divBdr>
    </w:div>
    <w:div w:id="1923097261">
      <w:marLeft w:val="0"/>
      <w:marRight w:val="0"/>
      <w:marTop w:val="0"/>
      <w:marBottom w:val="0"/>
      <w:divBdr>
        <w:top w:val="none" w:sz="0" w:space="0" w:color="auto"/>
        <w:left w:val="none" w:sz="0" w:space="0" w:color="auto"/>
        <w:bottom w:val="none" w:sz="0" w:space="0" w:color="auto"/>
        <w:right w:val="none" w:sz="0" w:space="0" w:color="auto"/>
      </w:divBdr>
    </w:div>
    <w:div w:id="1923097262">
      <w:marLeft w:val="0"/>
      <w:marRight w:val="0"/>
      <w:marTop w:val="0"/>
      <w:marBottom w:val="0"/>
      <w:divBdr>
        <w:top w:val="none" w:sz="0" w:space="0" w:color="auto"/>
        <w:left w:val="none" w:sz="0" w:space="0" w:color="auto"/>
        <w:bottom w:val="none" w:sz="0" w:space="0" w:color="auto"/>
        <w:right w:val="none" w:sz="0" w:space="0" w:color="auto"/>
      </w:divBdr>
    </w:div>
    <w:div w:id="1923097263">
      <w:marLeft w:val="0"/>
      <w:marRight w:val="0"/>
      <w:marTop w:val="0"/>
      <w:marBottom w:val="0"/>
      <w:divBdr>
        <w:top w:val="none" w:sz="0" w:space="0" w:color="auto"/>
        <w:left w:val="none" w:sz="0" w:space="0" w:color="auto"/>
        <w:bottom w:val="none" w:sz="0" w:space="0" w:color="auto"/>
        <w:right w:val="none" w:sz="0" w:space="0" w:color="auto"/>
      </w:divBdr>
    </w:div>
    <w:div w:id="1923097264">
      <w:marLeft w:val="0"/>
      <w:marRight w:val="0"/>
      <w:marTop w:val="0"/>
      <w:marBottom w:val="0"/>
      <w:divBdr>
        <w:top w:val="none" w:sz="0" w:space="0" w:color="auto"/>
        <w:left w:val="none" w:sz="0" w:space="0" w:color="auto"/>
        <w:bottom w:val="none" w:sz="0" w:space="0" w:color="auto"/>
        <w:right w:val="none" w:sz="0" w:space="0" w:color="auto"/>
      </w:divBdr>
    </w:div>
    <w:div w:id="1923097265">
      <w:marLeft w:val="0"/>
      <w:marRight w:val="0"/>
      <w:marTop w:val="0"/>
      <w:marBottom w:val="0"/>
      <w:divBdr>
        <w:top w:val="none" w:sz="0" w:space="0" w:color="auto"/>
        <w:left w:val="none" w:sz="0" w:space="0" w:color="auto"/>
        <w:bottom w:val="none" w:sz="0" w:space="0" w:color="auto"/>
        <w:right w:val="none" w:sz="0" w:space="0" w:color="auto"/>
      </w:divBdr>
    </w:div>
    <w:div w:id="1923097266">
      <w:marLeft w:val="0"/>
      <w:marRight w:val="0"/>
      <w:marTop w:val="0"/>
      <w:marBottom w:val="0"/>
      <w:divBdr>
        <w:top w:val="none" w:sz="0" w:space="0" w:color="auto"/>
        <w:left w:val="none" w:sz="0" w:space="0" w:color="auto"/>
        <w:bottom w:val="none" w:sz="0" w:space="0" w:color="auto"/>
        <w:right w:val="none" w:sz="0" w:space="0" w:color="auto"/>
      </w:divBdr>
    </w:div>
    <w:div w:id="1923097267">
      <w:marLeft w:val="0"/>
      <w:marRight w:val="0"/>
      <w:marTop w:val="0"/>
      <w:marBottom w:val="0"/>
      <w:divBdr>
        <w:top w:val="none" w:sz="0" w:space="0" w:color="auto"/>
        <w:left w:val="none" w:sz="0" w:space="0" w:color="auto"/>
        <w:bottom w:val="none" w:sz="0" w:space="0" w:color="auto"/>
        <w:right w:val="none" w:sz="0" w:space="0" w:color="auto"/>
      </w:divBdr>
    </w:div>
    <w:div w:id="1923097268">
      <w:marLeft w:val="0"/>
      <w:marRight w:val="0"/>
      <w:marTop w:val="0"/>
      <w:marBottom w:val="0"/>
      <w:divBdr>
        <w:top w:val="none" w:sz="0" w:space="0" w:color="auto"/>
        <w:left w:val="none" w:sz="0" w:space="0" w:color="auto"/>
        <w:bottom w:val="none" w:sz="0" w:space="0" w:color="auto"/>
        <w:right w:val="none" w:sz="0" w:space="0" w:color="auto"/>
      </w:divBdr>
    </w:div>
    <w:div w:id="1923097269">
      <w:marLeft w:val="0"/>
      <w:marRight w:val="0"/>
      <w:marTop w:val="0"/>
      <w:marBottom w:val="0"/>
      <w:divBdr>
        <w:top w:val="none" w:sz="0" w:space="0" w:color="auto"/>
        <w:left w:val="none" w:sz="0" w:space="0" w:color="auto"/>
        <w:bottom w:val="none" w:sz="0" w:space="0" w:color="auto"/>
        <w:right w:val="none" w:sz="0" w:space="0" w:color="auto"/>
      </w:divBdr>
    </w:div>
    <w:div w:id="1923097270">
      <w:marLeft w:val="0"/>
      <w:marRight w:val="0"/>
      <w:marTop w:val="0"/>
      <w:marBottom w:val="0"/>
      <w:divBdr>
        <w:top w:val="none" w:sz="0" w:space="0" w:color="auto"/>
        <w:left w:val="none" w:sz="0" w:space="0" w:color="auto"/>
        <w:bottom w:val="none" w:sz="0" w:space="0" w:color="auto"/>
        <w:right w:val="none" w:sz="0" w:space="0" w:color="auto"/>
      </w:divBdr>
    </w:div>
    <w:div w:id="1923097271">
      <w:marLeft w:val="0"/>
      <w:marRight w:val="0"/>
      <w:marTop w:val="0"/>
      <w:marBottom w:val="0"/>
      <w:divBdr>
        <w:top w:val="none" w:sz="0" w:space="0" w:color="auto"/>
        <w:left w:val="none" w:sz="0" w:space="0" w:color="auto"/>
        <w:bottom w:val="none" w:sz="0" w:space="0" w:color="auto"/>
        <w:right w:val="none" w:sz="0" w:space="0" w:color="auto"/>
      </w:divBdr>
    </w:div>
    <w:div w:id="1923097272">
      <w:marLeft w:val="0"/>
      <w:marRight w:val="0"/>
      <w:marTop w:val="0"/>
      <w:marBottom w:val="0"/>
      <w:divBdr>
        <w:top w:val="none" w:sz="0" w:space="0" w:color="auto"/>
        <w:left w:val="none" w:sz="0" w:space="0" w:color="auto"/>
        <w:bottom w:val="none" w:sz="0" w:space="0" w:color="auto"/>
        <w:right w:val="none" w:sz="0" w:space="0" w:color="auto"/>
      </w:divBdr>
    </w:div>
    <w:div w:id="1923097273">
      <w:marLeft w:val="0"/>
      <w:marRight w:val="0"/>
      <w:marTop w:val="0"/>
      <w:marBottom w:val="0"/>
      <w:divBdr>
        <w:top w:val="none" w:sz="0" w:space="0" w:color="auto"/>
        <w:left w:val="none" w:sz="0" w:space="0" w:color="auto"/>
        <w:bottom w:val="none" w:sz="0" w:space="0" w:color="auto"/>
        <w:right w:val="none" w:sz="0" w:space="0" w:color="auto"/>
      </w:divBdr>
    </w:div>
    <w:div w:id="1923097274">
      <w:marLeft w:val="0"/>
      <w:marRight w:val="0"/>
      <w:marTop w:val="0"/>
      <w:marBottom w:val="0"/>
      <w:divBdr>
        <w:top w:val="none" w:sz="0" w:space="0" w:color="auto"/>
        <w:left w:val="none" w:sz="0" w:space="0" w:color="auto"/>
        <w:bottom w:val="none" w:sz="0" w:space="0" w:color="auto"/>
        <w:right w:val="none" w:sz="0" w:space="0" w:color="auto"/>
      </w:divBdr>
    </w:div>
    <w:div w:id="1923097275">
      <w:marLeft w:val="0"/>
      <w:marRight w:val="0"/>
      <w:marTop w:val="0"/>
      <w:marBottom w:val="0"/>
      <w:divBdr>
        <w:top w:val="none" w:sz="0" w:space="0" w:color="auto"/>
        <w:left w:val="none" w:sz="0" w:space="0" w:color="auto"/>
        <w:bottom w:val="none" w:sz="0" w:space="0" w:color="auto"/>
        <w:right w:val="none" w:sz="0" w:space="0" w:color="auto"/>
      </w:divBdr>
    </w:div>
    <w:div w:id="1923097276">
      <w:marLeft w:val="0"/>
      <w:marRight w:val="0"/>
      <w:marTop w:val="0"/>
      <w:marBottom w:val="0"/>
      <w:divBdr>
        <w:top w:val="none" w:sz="0" w:space="0" w:color="auto"/>
        <w:left w:val="none" w:sz="0" w:space="0" w:color="auto"/>
        <w:bottom w:val="none" w:sz="0" w:space="0" w:color="auto"/>
        <w:right w:val="none" w:sz="0" w:space="0" w:color="auto"/>
      </w:divBdr>
    </w:div>
    <w:div w:id="1923097277">
      <w:marLeft w:val="0"/>
      <w:marRight w:val="0"/>
      <w:marTop w:val="0"/>
      <w:marBottom w:val="0"/>
      <w:divBdr>
        <w:top w:val="none" w:sz="0" w:space="0" w:color="auto"/>
        <w:left w:val="none" w:sz="0" w:space="0" w:color="auto"/>
        <w:bottom w:val="none" w:sz="0" w:space="0" w:color="auto"/>
        <w:right w:val="none" w:sz="0" w:space="0" w:color="auto"/>
      </w:divBdr>
    </w:div>
    <w:div w:id="1923097278">
      <w:marLeft w:val="0"/>
      <w:marRight w:val="0"/>
      <w:marTop w:val="0"/>
      <w:marBottom w:val="0"/>
      <w:divBdr>
        <w:top w:val="none" w:sz="0" w:space="0" w:color="auto"/>
        <w:left w:val="none" w:sz="0" w:space="0" w:color="auto"/>
        <w:bottom w:val="none" w:sz="0" w:space="0" w:color="auto"/>
        <w:right w:val="none" w:sz="0" w:space="0" w:color="auto"/>
      </w:divBdr>
    </w:div>
    <w:div w:id="1923097279">
      <w:marLeft w:val="0"/>
      <w:marRight w:val="0"/>
      <w:marTop w:val="0"/>
      <w:marBottom w:val="0"/>
      <w:divBdr>
        <w:top w:val="none" w:sz="0" w:space="0" w:color="auto"/>
        <w:left w:val="none" w:sz="0" w:space="0" w:color="auto"/>
        <w:bottom w:val="none" w:sz="0" w:space="0" w:color="auto"/>
        <w:right w:val="none" w:sz="0" w:space="0" w:color="auto"/>
      </w:divBdr>
    </w:div>
    <w:div w:id="1923097280">
      <w:marLeft w:val="0"/>
      <w:marRight w:val="0"/>
      <w:marTop w:val="0"/>
      <w:marBottom w:val="0"/>
      <w:divBdr>
        <w:top w:val="none" w:sz="0" w:space="0" w:color="auto"/>
        <w:left w:val="none" w:sz="0" w:space="0" w:color="auto"/>
        <w:bottom w:val="none" w:sz="0" w:space="0" w:color="auto"/>
        <w:right w:val="none" w:sz="0" w:space="0" w:color="auto"/>
      </w:divBdr>
    </w:div>
    <w:div w:id="1923097281">
      <w:marLeft w:val="0"/>
      <w:marRight w:val="0"/>
      <w:marTop w:val="0"/>
      <w:marBottom w:val="0"/>
      <w:divBdr>
        <w:top w:val="none" w:sz="0" w:space="0" w:color="auto"/>
        <w:left w:val="none" w:sz="0" w:space="0" w:color="auto"/>
        <w:bottom w:val="none" w:sz="0" w:space="0" w:color="auto"/>
        <w:right w:val="none" w:sz="0" w:space="0" w:color="auto"/>
      </w:divBdr>
    </w:div>
    <w:div w:id="1923097282">
      <w:marLeft w:val="0"/>
      <w:marRight w:val="0"/>
      <w:marTop w:val="0"/>
      <w:marBottom w:val="0"/>
      <w:divBdr>
        <w:top w:val="none" w:sz="0" w:space="0" w:color="auto"/>
        <w:left w:val="none" w:sz="0" w:space="0" w:color="auto"/>
        <w:bottom w:val="none" w:sz="0" w:space="0" w:color="auto"/>
        <w:right w:val="none" w:sz="0" w:space="0" w:color="auto"/>
      </w:divBdr>
    </w:div>
    <w:div w:id="1923097283">
      <w:marLeft w:val="0"/>
      <w:marRight w:val="0"/>
      <w:marTop w:val="0"/>
      <w:marBottom w:val="0"/>
      <w:divBdr>
        <w:top w:val="none" w:sz="0" w:space="0" w:color="auto"/>
        <w:left w:val="none" w:sz="0" w:space="0" w:color="auto"/>
        <w:bottom w:val="none" w:sz="0" w:space="0" w:color="auto"/>
        <w:right w:val="none" w:sz="0" w:space="0" w:color="auto"/>
      </w:divBdr>
    </w:div>
    <w:div w:id="1923097284">
      <w:marLeft w:val="0"/>
      <w:marRight w:val="0"/>
      <w:marTop w:val="0"/>
      <w:marBottom w:val="0"/>
      <w:divBdr>
        <w:top w:val="none" w:sz="0" w:space="0" w:color="auto"/>
        <w:left w:val="none" w:sz="0" w:space="0" w:color="auto"/>
        <w:bottom w:val="none" w:sz="0" w:space="0" w:color="auto"/>
        <w:right w:val="none" w:sz="0" w:space="0" w:color="auto"/>
      </w:divBdr>
    </w:div>
    <w:div w:id="1923097285">
      <w:marLeft w:val="0"/>
      <w:marRight w:val="0"/>
      <w:marTop w:val="0"/>
      <w:marBottom w:val="0"/>
      <w:divBdr>
        <w:top w:val="none" w:sz="0" w:space="0" w:color="auto"/>
        <w:left w:val="none" w:sz="0" w:space="0" w:color="auto"/>
        <w:bottom w:val="none" w:sz="0" w:space="0" w:color="auto"/>
        <w:right w:val="none" w:sz="0" w:space="0" w:color="auto"/>
      </w:divBdr>
    </w:div>
    <w:div w:id="1923097286">
      <w:marLeft w:val="0"/>
      <w:marRight w:val="0"/>
      <w:marTop w:val="0"/>
      <w:marBottom w:val="0"/>
      <w:divBdr>
        <w:top w:val="none" w:sz="0" w:space="0" w:color="auto"/>
        <w:left w:val="none" w:sz="0" w:space="0" w:color="auto"/>
        <w:bottom w:val="none" w:sz="0" w:space="0" w:color="auto"/>
        <w:right w:val="none" w:sz="0" w:space="0" w:color="auto"/>
      </w:divBdr>
    </w:div>
    <w:div w:id="1923097287">
      <w:marLeft w:val="0"/>
      <w:marRight w:val="0"/>
      <w:marTop w:val="0"/>
      <w:marBottom w:val="0"/>
      <w:divBdr>
        <w:top w:val="none" w:sz="0" w:space="0" w:color="auto"/>
        <w:left w:val="none" w:sz="0" w:space="0" w:color="auto"/>
        <w:bottom w:val="none" w:sz="0" w:space="0" w:color="auto"/>
        <w:right w:val="none" w:sz="0" w:space="0" w:color="auto"/>
      </w:divBdr>
    </w:div>
    <w:div w:id="1923097288">
      <w:marLeft w:val="0"/>
      <w:marRight w:val="0"/>
      <w:marTop w:val="0"/>
      <w:marBottom w:val="0"/>
      <w:divBdr>
        <w:top w:val="none" w:sz="0" w:space="0" w:color="auto"/>
        <w:left w:val="none" w:sz="0" w:space="0" w:color="auto"/>
        <w:bottom w:val="none" w:sz="0" w:space="0" w:color="auto"/>
        <w:right w:val="none" w:sz="0" w:space="0" w:color="auto"/>
      </w:divBdr>
    </w:div>
    <w:div w:id="1923097289">
      <w:marLeft w:val="0"/>
      <w:marRight w:val="0"/>
      <w:marTop w:val="0"/>
      <w:marBottom w:val="0"/>
      <w:divBdr>
        <w:top w:val="none" w:sz="0" w:space="0" w:color="auto"/>
        <w:left w:val="none" w:sz="0" w:space="0" w:color="auto"/>
        <w:bottom w:val="none" w:sz="0" w:space="0" w:color="auto"/>
        <w:right w:val="none" w:sz="0" w:space="0" w:color="auto"/>
      </w:divBdr>
    </w:div>
    <w:div w:id="1923097290">
      <w:marLeft w:val="0"/>
      <w:marRight w:val="0"/>
      <w:marTop w:val="0"/>
      <w:marBottom w:val="0"/>
      <w:divBdr>
        <w:top w:val="none" w:sz="0" w:space="0" w:color="auto"/>
        <w:left w:val="none" w:sz="0" w:space="0" w:color="auto"/>
        <w:bottom w:val="none" w:sz="0" w:space="0" w:color="auto"/>
        <w:right w:val="none" w:sz="0" w:space="0" w:color="auto"/>
      </w:divBdr>
    </w:div>
    <w:div w:id="1923097291">
      <w:marLeft w:val="0"/>
      <w:marRight w:val="0"/>
      <w:marTop w:val="0"/>
      <w:marBottom w:val="0"/>
      <w:divBdr>
        <w:top w:val="none" w:sz="0" w:space="0" w:color="auto"/>
        <w:left w:val="none" w:sz="0" w:space="0" w:color="auto"/>
        <w:bottom w:val="none" w:sz="0" w:space="0" w:color="auto"/>
        <w:right w:val="none" w:sz="0" w:space="0" w:color="auto"/>
      </w:divBdr>
    </w:div>
    <w:div w:id="1923097292">
      <w:marLeft w:val="0"/>
      <w:marRight w:val="0"/>
      <w:marTop w:val="0"/>
      <w:marBottom w:val="0"/>
      <w:divBdr>
        <w:top w:val="none" w:sz="0" w:space="0" w:color="auto"/>
        <w:left w:val="none" w:sz="0" w:space="0" w:color="auto"/>
        <w:bottom w:val="none" w:sz="0" w:space="0" w:color="auto"/>
        <w:right w:val="none" w:sz="0" w:space="0" w:color="auto"/>
      </w:divBdr>
    </w:div>
    <w:div w:id="1923097293">
      <w:marLeft w:val="0"/>
      <w:marRight w:val="0"/>
      <w:marTop w:val="0"/>
      <w:marBottom w:val="0"/>
      <w:divBdr>
        <w:top w:val="none" w:sz="0" w:space="0" w:color="auto"/>
        <w:left w:val="none" w:sz="0" w:space="0" w:color="auto"/>
        <w:bottom w:val="none" w:sz="0" w:space="0" w:color="auto"/>
        <w:right w:val="none" w:sz="0" w:space="0" w:color="auto"/>
      </w:divBdr>
    </w:div>
    <w:div w:id="1923097294">
      <w:marLeft w:val="0"/>
      <w:marRight w:val="0"/>
      <w:marTop w:val="0"/>
      <w:marBottom w:val="0"/>
      <w:divBdr>
        <w:top w:val="none" w:sz="0" w:space="0" w:color="auto"/>
        <w:left w:val="none" w:sz="0" w:space="0" w:color="auto"/>
        <w:bottom w:val="none" w:sz="0" w:space="0" w:color="auto"/>
        <w:right w:val="none" w:sz="0" w:space="0" w:color="auto"/>
      </w:divBdr>
    </w:div>
    <w:div w:id="1923097295">
      <w:marLeft w:val="0"/>
      <w:marRight w:val="0"/>
      <w:marTop w:val="0"/>
      <w:marBottom w:val="0"/>
      <w:divBdr>
        <w:top w:val="none" w:sz="0" w:space="0" w:color="auto"/>
        <w:left w:val="none" w:sz="0" w:space="0" w:color="auto"/>
        <w:bottom w:val="none" w:sz="0" w:space="0" w:color="auto"/>
        <w:right w:val="none" w:sz="0" w:space="0" w:color="auto"/>
      </w:divBdr>
    </w:div>
    <w:div w:id="1923097296">
      <w:marLeft w:val="0"/>
      <w:marRight w:val="0"/>
      <w:marTop w:val="0"/>
      <w:marBottom w:val="0"/>
      <w:divBdr>
        <w:top w:val="none" w:sz="0" w:space="0" w:color="auto"/>
        <w:left w:val="none" w:sz="0" w:space="0" w:color="auto"/>
        <w:bottom w:val="none" w:sz="0" w:space="0" w:color="auto"/>
        <w:right w:val="none" w:sz="0" w:space="0" w:color="auto"/>
      </w:divBdr>
    </w:div>
    <w:div w:id="1923097297">
      <w:marLeft w:val="0"/>
      <w:marRight w:val="0"/>
      <w:marTop w:val="0"/>
      <w:marBottom w:val="0"/>
      <w:divBdr>
        <w:top w:val="none" w:sz="0" w:space="0" w:color="auto"/>
        <w:left w:val="none" w:sz="0" w:space="0" w:color="auto"/>
        <w:bottom w:val="none" w:sz="0" w:space="0" w:color="auto"/>
        <w:right w:val="none" w:sz="0" w:space="0" w:color="auto"/>
      </w:divBdr>
    </w:div>
    <w:div w:id="1923097298">
      <w:marLeft w:val="0"/>
      <w:marRight w:val="0"/>
      <w:marTop w:val="0"/>
      <w:marBottom w:val="0"/>
      <w:divBdr>
        <w:top w:val="none" w:sz="0" w:space="0" w:color="auto"/>
        <w:left w:val="none" w:sz="0" w:space="0" w:color="auto"/>
        <w:bottom w:val="none" w:sz="0" w:space="0" w:color="auto"/>
        <w:right w:val="none" w:sz="0" w:space="0" w:color="auto"/>
      </w:divBdr>
    </w:div>
    <w:div w:id="1923097299">
      <w:marLeft w:val="0"/>
      <w:marRight w:val="0"/>
      <w:marTop w:val="0"/>
      <w:marBottom w:val="0"/>
      <w:divBdr>
        <w:top w:val="none" w:sz="0" w:space="0" w:color="auto"/>
        <w:left w:val="none" w:sz="0" w:space="0" w:color="auto"/>
        <w:bottom w:val="none" w:sz="0" w:space="0" w:color="auto"/>
        <w:right w:val="none" w:sz="0" w:space="0" w:color="auto"/>
      </w:divBdr>
    </w:div>
    <w:div w:id="1923097300">
      <w:marLeft w:val="0"/>
      <w:marRight w:val="0"/>
      <w:marTop w:val="0"/>
      <w:marBottom w:val="0"/>
      <w:divBdr>
        <w:top w:val="none" w:sz="0" w:space="0" w:color="auto"/>
        <w:left w:val="none" w:sz="0" w:space="0" w:color="auto"/>
        <w:bottom w:val="none" w:sz="0" w:space="0" w:color="auto"/>
        <w:right w:val="none" w:sz="0" w:space="0" w:color="auto"/>
      </w:divBdr>
    </w:div>
    <w:div w:id="1923097301">
      <w:marLeft w:val="0"/>
      <w:marRight w:val="0"/>
      <w:marTop w:val="0"/>
      <w:marBottom w:val="0"/>
      <w:divBdr>
        <w:top w:val="none" w:sz="0" w:space="0" w:color="auto"/>
        <w:left w:val="none" w:sz="0" w:space="0" w:color="auto"/>
        <w:bottom w:val="none" w:sz="0" w:space="0" w:color="auto"/>
        <w:right w:val="none" w:sz="0" w:space="0" w:color="auto"/>
      </w:divBdr>
    </w:div>
    <w:div w:id="1923097302">
      <w:marLeft w:val="0"/>
      <w:marRight w:val="0"/>
      <w:marTop w:val="0"/>
      <w:marBottom w:val="0"/>
      <w:divBdr>
        <w:top w:val="none" w:sz="0" w:space="0" w:color="auto"/>
        <w:left w:val="none" w:sz="0" w:space="0" w:color="auto"/>
        <w:bottom w:val="none" w:sz="0" w:space="0" w:color="auto"/>
        <w:right w:val="none" w:sz="0" w:space="0" w:color="auto"/>
      </w:divBdr>
    </w:div>
    <w:div w:id="1923097303">
      <w:marLeft w:val="0"/>
      <w:marRight w:val="0"/>
      <w:marTop w:val="0"/>
      <w:marBottom w:val="0"/>
      <w:divBdr>
        <w:top w:val="none" w:sz="0" w:space="0" w:color="auto"/>
        <w:left w:val="none" w:sz="0" w:space="0" w:color="auto"/>
        <w:bottom w:val="none" w:sz="0" w:space="0" w:color="auto"/>
        <w:right w:val="none" w:sz="0" w:space="0" w:color="auto"/>
      </w:divBdr>
    </w:div>
    <w:div w:id="1923097304">
      <w:marLeft w:val="0"/>
      <w:marRight w:val="0"/>
      <w:marTop w:val="0"/>
      <w:marBottom w:val="0"/>
      <w:divBdr>
        <w:top w:val="none" w:sz="0" w:space="0" w:color="auto"/>
        <w:left w:val="none" w:sz="0" w:space="0" w:color="auto"/>
        <w:bottom w:val="none" w:sz="0" w:space="0" w:color="auto"/>
        <w:right w:val="none" w:sz="0" w:space="0" w:color="auto"/>
      </w:divBdr>
    </w:div>
    <w:div w:id="1923097305">
      <w:marLeft w:val="0"/>
      <w:marRight w:val="0"/>
      <w:marTop w:val="0"/>
      <w:marBottom w:val="0"/>
      <w:divBdr>
        <w:top w:val="none" w:sz="0" w:space="0" w:color="auto"/>
        <w:left w:val="none" w:sz="0" w:space="0" w:color="auto"/>
        <w:bottom w:val="none" w:sz="0" w:space="0" w:color="auto"/>
        <w:right w:val="none" w:sz="0" w:space="0" w:color="auto"/>
      </w:divBdr>
    </w:div>
    <w:div w:id="1923097306">
      <w:marLeft w:val="0"/>
      <w:marRight w:val="0"/>
      <w:marTop w:val="0"/>
      <w:marBottom w:val="0"/>
      <w:divBdr>
        <w:top w:val="none" w:sz="0" w:space="0" w:color="auto"/>
        <w:left w:val="none" w:sz="0" w:space="0" w:color="auto"/>
        <w:bottom w:val="none" w:sz="0" w:space="0" w:color="auto"/>
        <w:right w:val="none" w:sz="0" w:space="0" w:color="auto"/>
      </w:divBdr>
    </w:div>
    <w:div w:id="1923097307">
      <w:marLeft w:val="0"/>
      <w:marRight w:val="0"/>
      <w:marTop w:val="0"/>
      <w:marBottom w:val="0"/>
      <w:divBdr>
        <w:top w:val="none" w:sz="0" w:space="0" w:color="auto"/>
        <w:left w:val="none" w:sz="0" w:space="0" w:color="auto"/>
        <w:bottom w:val="none" w:sz="0" w:space="0" w:color="auto"/>
        <w:right w:val="none" w:sz="0" w:space="0" w:color="auto"/>
      </w:divBdr>
    </w:div>
    <w:div w:id="1923097308">
      <w:marLeft w:val="0"/>
      <w:marRight w:val="0"/>
      <w:marTop w:val="0"/>
      <w:marBottom w:val="0"/>
      <w:divBdr>
        <w:top w:val="none" w:sz="0" w:space="0" w:color="auto"/>
        <w:left w:val="none" w:sz="0" w:space="0" w:color="auto"/>
        <w:bottom w:val="none" w:sz="0" w:space="0" w:color="auto"/>
        <w:right w:val="none" w:sz="0" w:space="0" w:color="auto"/>
      </w:divBdr>
    </w:div>
    <w:div w:id="1923097309">
      <w:marLeft w:val="0"/>
      <w:marRight w:val="0"/>
      <w:marTop w:val="0"/>
      <w:marBottom w:val="0"/>
      <w:divBdr>
        <w:top w:val="none" w:sz="0" w:space="0" w:color="auto"/>
        <w:left w:val="none" w:sz="0" w:space="0" w:color="auto"/>
        <w:bottom w:val="none" w:sz="0" w:space="0" w:color="auto"/>
        <w:right w:val="none" w:sz="0" w:space="0" w:color="auto"/>
      </w:divBdr>
    </w:div>
    <w:div w:id="1923097310">
      <w:marLeft w:val="0"/>
      <w:marRight w:val="0"/>
      <w:marTop w:val="0"/>
      <w:marBottom w:val="0"/>
      <w:divBdr>
        <w:top w:val="none" w:sz="0" w:space="0" w:color="auto"/>
        <w:left w:val="none" w:sz="0" w:space="0" w:color="auto"/>
        <w:bottom w:val="none" w:sz="0" w:space="0" w:color="auto"/>
        <w:right w:val="none" w:sz="0" w:space="0" w:color="auto"/>
      </w:divBdr>
    </w:div>
    <w:div w:id="1923097311">
      <w:marLeft w:val="0"/>
      <w:marRight w:val="0"/>
      <w:marTop w:val="0"/>
      <w:marBottom w:val="0"/>
      <w:divBdr>
        <w:top w:val="none" w:sz="0" w:space="0" w:color="auto"/>
        <w:left w:val="none" w:sz="0" w:space="0" w:color="auto"/>
        <w:bottom w:val="none" w:sz="0" w:space="0" w:color="auto"/>
        <w:right w:val="none" w:sz="0" w:space="0" w:color="auto"/>
      </w:divBdr>
    </w:div>
    <w:div w:id="1923097312">
      <w:marLeft w:val="0"/>
      <w:marRight w:val="0"/>
      <w:marTop w:val="0"/>
      <w:marBottom w:val="0"/>
      <w:divBdr>
        <w:top w:val="none" w:sz="0" w:space="0" w:color="auto"/>
        <w:left w:val="none" w:sz="0" w:space="0" w:color="auto"/>
        <w:bottom w:val="none" w:sz="0" w:space="0" w:color="auto"/>
        <w:right w:val="none" w:sz="0" w:space="0" w:color="auto"/>
      </w:divBdr>
    </w:div>
    <w:div w:id="1923097313">
      <w:marLeft w:val="0"/>
      <w:marRight w:val="0"/>
      <w:marTop w:val="0"/>
      <w:marBottom w:val="0"/>
      <w:divBdr>
        <w:top w:val="none" w:sz="0" w:space="0" w:color="auto"/>
        <w:left w:val="none" w:sz="0" w:space="0" w:color="auto"/>
        <w:bottom w:val="none" w:sz="0" w:space="0" w:color="auto"/>
        <w:right w:val="none" w:sz="0" w:space="0" w:color="auto"/>
      </w:divBdr>
    </w:div>
    <w:div w:id="1923097314">
      <w:marLeft w:val="0"/>
      <w:marRight w:val="0"/>
      <w:marTop w:val="0"/>
      <w:marBottom w:val="0"/>
      <w:divBdr>
        <w:top w:val="none" w:sz="0" w:space="0" w:color="auto"/>
        <w:left w:val="none" w:sz="0" w:space="0" w:color="auto"/>
        <w:bottom w:val="none" w:sz="0" w:space="0" w:color="auto"/>
        <w:right w:val="none" w:sz="0" w:space="0" w:color="auto"/>
      </w:divBdr>
    </w:div>
    <w:div w:id="1923097315">
      <w:marLeft w:val="0"/>
      <w:marRight w:val="0"/>
      <w:marTop w:val="0"/>
      <w:marBottom w:val="0"/>
      <w:divBdr>
        <w:top w:val="none" w:sz="0" w:space="0" w:color="auto"/>
        <w:left w:val="none" w:sz="0" w:space="0" w:color="auto"/>
        <w:bottom w:val="none" w:sz="0" w:space="0" w:color="auto"/>
        <w:right w:val="none" w:sz="0" w:space="0" w:color="auto"/>
      </w:divBdr>
    </w:div>
    <w:div w:id="1923097316">
      <w:marLeft w:val="0"/>
      <w:marRight w:val="0"/>
      <w:marTop w:val="0"/>
      <w:marBottom w:val="0"/>
      <w:divBdr>
        <w:top w:val="none" w:sz="0" w:space="0" w:color="auto"/>
        <w:left w:val="none" w:sz="0" w:space="0" w:color="auto"/>
        <w:bottom w:val="none" w:sz="0" w:space="0" w:color="auto"/>
        <w:right w:val="none" w:sz="0" w:space="0" w:color="auto"/>
      </w:divBdr>
    </w:div>
    <w:div w:id="1923097317">
      <w:marLeft w:val="0"/>
      <w:marRight w:val="0"/>
      <w:marTop w:val="0"/>
      <w:marBottom w:val="0"/>
      <w:divBdr>
        <w:top w:val="none" w:sz="0" w:space="0" w:color="auto"/>
        <w:left w:val="none" w:sz="0" w:space="0" w:color="auto"/>
        <w:bottom w:val="none" w:sz="0" w:space="0" w:color="auto"/>
        <w:right w:val="none" w:sz="0" w:space="0" w:color="auto"/>
      </w:divBdr>
    </w:div>
    <w:div w:id="1923097318">
      <w:marLeft w:val="0"/>
      <w:marRight w:val="0"/>
      <w:marTop w:val="0"/>
      <w:marBottom w:val="0"/>
      <w:divBdr>
        <w:top w:val="none" w:sz="0" w:space="0" w:color="auto"/>
        <w:left w:val="none" w:sz="0" w:space="0" w:color="auto"/>
        <w:bottom w:val="none" w:sz="0" w:space="0" w:color="auto"/>
        <w:right w:val="none" w:sz="0" w:space="0" w:color="auto"/>
      </w:divBdr>
    </w:div>
    <w:div w:id="1923097319">
      <w:marLeft w:val="0"/>
      <w:marRight w:val="0"/>
      <w:marTop w:val="0"/>
      <w:marBottom w:val="0"/>
      <w:divBdr>
        <w:top w:val="none" w:sz="0" w:space="0" w:color="auto"/>
        <w:left w:val="none" w:sz="0" w:space="0" w:color="auto"/>
        <w:bottom w:val="none" w:sz="0" w:space="0" w:color="auto"/>
        <w:right w:val="none" w:sz="0" w:space="0" w:color="auto"/>
      </w:divBdr>
    </w:div>
    <w:div w:id="1923097320">
      <w:marLeft w:val="0"/>
      <w:marRight w:val="0"/>
      <w:marTop w:val="0"/>
      <w:marBottom w:val="0"/>
      <w:divBdr>
        <w:top w:val="none" w:sz="0" w:space="0" w:color="auto"/>
        <w:left w:val="none" w:sz="0" w:space="0" w:color="auto"/>
        <w:bottom w:val="none" w:sz="0" w:space="0" w:color="auto"/>
        <w:right w:val="none" w:sz="0" w:space="0" w:color="auto"/>
      </w:divBdr>
    </w:div>
    <w:div w:id="1923097321">
      <w:marLeft w:val="0"/>
      <w:marRight w:val="0"/>
      <w:marTop w:val="0"/>
      <w:marBottom w:val="0"/>
      <w:divBdr>
        <w:top w:val="none" w:sz="0" w:space="0" w:color="auto"/>
        <w:left w:val="none" w:sz="0" w:space="0" w:color="auto"/>
        <w:bottom w:val="none" w:sz="0" w:space="0" w:color="auto"/>
        <w:right w:val="none" w:sz="0" w:space="0" w:color="auto"/>
      </w:divBdr>
    </w:div>
    <w:div w:id="1923097322">
      <w:marLeft w:val="0"/>
      <w:marRight w:val="0"/>
      <w:marTop w:val="0"/>
      <w:marBottom w:val="0"/>
      <w:divBdr>
        <w:top w:val="none" w:sz="0" w:space="0" w:color="auto"/>
        <w:left w:val="none" w:sz="0" w:space="0" w:color="auto"/>
        <w:bottom w:val="none" w:sz="0" w:space="0" w:color="auto"/>
        <w:right w:val="none" w:sz="0" w:space="0" w:color="auto"/>
      </w:divBdr>
    </w:div>
    <w:div w:id="1923097323">
      <w:marLeft w:val="0"/>
      <w:marRight w:val="0"/>
      <w:marTop w:val="0"/>
      <w:marBottom w:val="0"/>
      <w:divBdr>
        <w:top w:val="none" w:sz="0" w:space="0" w:color="auto"/>
        <w:left w:val="none" w:sz="0" w:space="0" w:color="auto"/>
        <w:bottom w:val="none" w:sz="0" w:space="0" w:color="auto"/>
        <w:right w:val="none" w:sz="0" w:space="0" w:color="auto"/>
      </w:divBdr>
    </w:div>
    <w:div w:id="1923097324">
      <w:marLeft w:val="0"/>
      <w:marRight w:val="0"/>
      <w:marTop w:val="0"/>
      <w:marBottom w:val="0"/>
      <w:divBdr>
        <w:top w:val="none" w:sz="0" w:space="0" w:color="auto"/>
        <w:left w:val="none" w:sz="0" w:space="0" w:color="auto"/>
        <w:bottom w:val="none" w:sz="0" w:space="0" w:color="auto"/>
        <w:right w:val="none" w:sz="0" w:space="0" w:color="auto"/>
      </w:divBdr>
    </w:div>
    <w:div w:id="1923097325">
      <w:marLeft w:val="0"/>
      <w:marRight w:val="0"/>
      <w:marTop w:val="0"/>
      <w:marBottom w:val="0"/>
      <w:divBdr>
        <w:top w:val="none" w:sz="0" w:space="0" w:color="auto"/>
        <w:left w:val="none" w:sz="0" w:space="0" w:color="auto"/>
        <w:bottom w:val="none" w:sz="0" w:space="0" w:color="auto"/>
        <w:right w:val="none" w:sz="0" w:space="0" w:color="auto"/>
      </w:divBdr>
    </w:div>
    <w:div w:id="1923097326">
      <w:marLeft w:val="0"/>
      <w:marRight w:val="0"/>
      <w:marTop w:val="0"/>
      <w:marBottom w:val="0"/>
      <w:divBdr>
        <w:top w:val="none" w:sz="0" w:space="0" w:color="auto"/>
        <w:left w:val="none" w:sz="0" w:space="0" w:color="auto"/>
        <w:bottom w:val="none" w:sz="0" w:space="0" w:color="auto"/>
        <w:right w:val="none" w:sz="0" w:space="0" w:color="auto"/>
      </w:divBdr>
    </w:div>
    <w:div w:id="1923097327">
      <w:marLeft w:val="0"/>
      <w:marRight w:val="0"/>
      <w:marTop w:val="0"/>
      <w:marBottom w:val="0"/>
      <w:divBdr>
        <w:top w:val="none" w:sz="0" w:space="0" w:color="auto"/>
        <w:left w:val="none" w:sz="0" w:space="0" w:color="auto"/>
        <w:bottom w:val="none" w:sz="0" w:space="0" w:color="auto"/>
        <w:right w:val="none" w:sz="0" w:space="0" w:color="auto"/>
      </w:divBdr>
    </w:div>
    <w:div w:id="1923097328">
      <w:marLeft w:val="0"/>
      <w:marRight w:val="0"/>
      <w:marTop w:val="0"/>
      <w:marBottom w:val="0"/>
      <w:divBdr>
        <w:top w:val="none" w:sz="0" w:space="0" w:color="auto"/>
        <w:left w:val="none" w:sz="0" w:space="0" w:color="auto"/>
        <w:bottom w:val="none" w:sz="0" w:space="0" w:color="auto"/>
        <w:right w:val="none" w:sz="0" w:space="0" w:color="auto"/>
      </w:divBdr>
    </w:div>
    <w:div w:id="1923097329">
      <w:marLeft w:val="0"/>
      <w:marRight w:val="0"/>
      <w:marTop w:val="0"/>
      <w:marBottom w:val="0"/>
      <w:divBdr>
        <w:top w:val="none" w:sz="0" w:space="0" w:color="auto"/>
        <w:left w:val="none" w:sz="0" w:space="0" w:color="auto"/>
        <w:bottom w:val="none" w:sz="0" w:space="0" w:color="auto"/>
        <w:right w:val="none" w:sz="0" w:space="0" w:color="auto"/>
      </w:divBdr>
    </w:div>
    <w:div w:id="1923097330">
      <w:marLeft w:val="0"/>
      <w:marRight w:val="0"/>
      <w:marTop w:val="0"/>
      <w:marBottom w:val="0"/>
      <w:divBdr>
        <w:top w:val="none" w:sz="0" w:space="0" w:color="auto"/>
        <w:left w:val="none" w:sz="0" w:space="0" w:color="auto"/>
        <w:bottom w:val="none" w:sz="0" w:space="0" w:color="auto"/>
        <w:right w:val="none" w:sz="0" w:space="0" w:color="auto"/>
      </w:divBdr>
    </w:div>
    <w:div w:id="1923097331">
      <w:marLeft w:val="0"/>
      <w:marRight w:val="0"/>
      <w:marTop w:val="0"/>
      <w:marBottom w:val="0"/>
      <w:divBdr>
        <w:top w:val="none" w:sz="0" w:space="0" w:color="auto"/>
        <w:left w:val="none" w:sz="0" w:space="0" w:color="auto"/>
        <w:bottom w:val="none" w:sz="0" w:space="0" w:color="auto"/>
        <w:right w:val="none" w:sz="0" w:space="0" w:color="auto"/>
      </w:divBdr>
    </w:div>
    <w:div w:id="1923097332">
      <w:marLeft w:val="0"/>
      <w:marRight w:val="0"/>
      <w:marTop w:val="0"/>
      <w:marBottom w:val="0"/>
      <w:divBdr>
        <w:top w:val="none" w:sz="0" w:space="0" w:color="auto"/>
        <w:left w:val="none" w:sz="0" w:space="0" w:color="auto"/>
        <w:bottom w:val="none" w:sz="0" w:space="0" w:color="auto"/>
        <w:right w:val="none" w:sz="0" w:space="0" w:color="auto"/>
      </w:divBdr>
    </w:div>
    <w:div w:id="1923097333">
      <w:marLeft w:val="0"/>
      <w:marRight w:val="0"/>
      <w:marTop w:val="0"/>
      <w:marBottom w:val="0"/>
      <w:divBdr>
        <w:top w:val="none" w:sz="0" w:space="0" w:color="auto"/>
        <w:left w:val="none" w:sz="0" w:space="0" w:color="auto"/>
        <w:bottom w:val="none" w:sz="0" w:space="0" w:color="auto"/>
        <w:right w:val="none" w:sz="0" w:space="0" w:color="auto"/>
      </w:divBdr>
    </w:div>
    <w:div w:id="1923097334">
      <w:marLeft w:val="0"/>
      <w:marRight w:val="0"/>
      <w:marTop w:val="0"/>
      <w:marBottom w:val="0"/>
      <w:divBdr>
        <w:top w:val="none" w:sz="0" w:space="0" w:color="auto"/>
        <w:left w:val="none" w:sz="0" w:space="0" w:color="auto"/>
        <w:bottom w:val="none" w:sz="0" w:space="0" w:color="auto"/>
        <w:right w:val="none" w:sz="0" w:space="0" w:color="auto"/>
      </w:divBdr>
    </w:div>
    <w:div w:id="1923097335">
      <w:marLeft w:val="0"/>
      <w:marRight w:val="0"/>
      <w:marTop w:val="0"/>
      <w:marBottom w:val="0"/>
      <w:divBdr>
        <w:top w:val="none" w:sz="0" w:space="0" w:color="auto"/>
        <w:left w:val="none" w:sz="0" w:space="0" w:color="auto"/>
        <w:bottom w:val="none" w:sz="0" w:space="0" w:color="auto"/>
        <w:right w:val="none" w:sz="0" w:space="0" w:color="auto"/>
      </w:divBdr>
    </w:div>
    <w:div w:id="1923097336">
      <w:marLeft w:val="0"/>
      <w:marRight w:val="0"/>
      <w:marTop w:val="0"/>
      <w:marBottom w:val="0"/>
      <w:divBdr>
        <w:top w:val="none" w:sz="0" w:space="0" w:color="auto"/>
        <w:left w:val="none" w:sz="0" w:space="0" w:color="auto"/>
        <w:bottom w:val="none" w:sz="0" w:space="0" w:color="auto"/>
        <w:right w:val="none" w:sz="0" w:space="0" w:color="auto"/>
      </w:divBdr>
    </w:div>
    <w:div w:id="1923097337">
      <w:marLeft w:val="0"/>
      <w:marRight w:val="0"/>
      <w:marTop w:val="0"/>
      <w:marBottom w:val="0"/>
      <w:divBdr>
        <w:top w:val="none" w:sz="0" w:space="0" w:color="auto"/>
        <w:left w:val="none" w:sz="0" w:space="0" w:color="auto"/>
        <w:bottom w:val="none" w:sz="0" w:space="0" w:color="auto"/>
        <w:right w:val="none" w:sz="0" w:space="0" w:color="auto"/>
      </w:divBdr>
    </w:div>
    <w:div w:id="1923097338">
      <w:marLeft w:val="0"/>
      <w:marRight w:val="0"/>
      <w:marTop w:val="0"/>
      <w:marBottom w:val="0"/>
      <w:divBdr>
        <w:top w:val="none" w:sz="0" w:space="0" w:color="auto"/>
        <w:left w:val="none" w:sz="0" w:space="0" w:color="auto"/>
        <w:bottom w:val="none" w:sz="0" w:space="0" w:color="auto"/>
        <w:right w:val="none" w:sz="0" w:space="0" w:color="auto"/>
      </w:divBdr>
    </w:div>
    <w:div w:id="1923097339">
      <w:marLeft w:val="0"/>
      <w:marRight w:val="0"/>
      <w:marTop w:val="0"/>
      <w:marBottom w:val="0"/>
      <w:divBdr>
        <w:top w:val="none" w:sz="0" w:space="0" w:color="auto"/>
        <w:left w:val="none" w:sz="0" w:space="0" w:color="auto"/>
        <w:bottom w:val="none" w:sz="0" w:space="0" w:color="auto"/>
        <w:right w:val="none" w:sz="0" w:space="0" w:color="auto"/>
      </w:divBdr>
    </w:div>
    <w:div w:id="1923097340">
      <w:marLeft w:val="0"/>
      <w:marRight w:val="0"/>
      <w:marTop w:val="0"/>
      <w:marBottom w:val="0"/>
      <w:divBdr>
        <w:top w:val="none" w:sz="0" w:space="0" w:color="auto"/>
        <w:left w:val="none" w:sz="0" w:space="0" w:color="auto"/>
        <w:bottom w:val="none" w:sz="0" w:space="0" w:color="auto"/>
        <w:right w:val="none" w:sz="0" w:space="0" w:color="auto"/>
      </w:divBdr>
    </w:div>
    <w:div w:id="1923097341">
      <w:marLeft w:val="0"/>
      <w:marRight w:val="0"/>
      <w:marTop w:val="0"/>
      <w:marBottom w:val="0"/>
      <w:divBdr>
        <w:top w:val="none" w:sz="0" w:space="0" w:color="auto"/>
        <w:left w:val="none" w:sz="0" w:space="0" w:color="auto"/>
        <w:bottom w:val="none" w:sz="0" w:space="0" w:color="auto"/>
        <w:right w:val="none" w:sz="0" w:space="0" w:color="auto"/>
      </w:divBdr>
    </w:div>
    <w:div w:id="1923097342">
      <w:marLeft w:val="0"/>
      <w:marRight w:val="0"/>
      <w:marTop w:val="0"/>
      <w:marBottom w:val="0"/>
      <w:divBdr>
        <w:top w:val="none" w:sz="0" w:space="0" w:color="auto"/>
        <w:left w:val="none" w:sz="0" w:space="0" w:color="auto"/>
        <w:bottom w:val="none" w:sz="0" w:space="0" w:color="auto"/>
        <w:right w:val="none" w:sz="0" w:space="0" w:color="auto"/>
      </w:divBdr>
    </w:div>
    <w:div w:id="1923097343">
      <w:marLeft w:val="0"/>
      <w:marRight w:val="0"/>
      <w:marTop w:val="0"/>
      <w:marBottom w:val="0"/>
      <w:divBdr>
        <w:top w:val="none" w:sz="0" w:space="0" w:color="auto"/>
        <w:left w:val="none" w:sz="0" w:space="0" w:color="auto"/>
        <w:bottom w:val="none" w:sz="0" w:space="0" w:color="auto"/>
        <w:right w:val="none" w:sz="0" w:space="0" w:color="auto"/>
      </w:divBdr>
    </w:div>
    <w:div w:id="1923097344">
      <w:marLeft w:val="0"/>
      <w:marRight w:val="0"/>
      <w:marTop w:val="0"/>
      <w:marBottom w:val="0"/>
      <w:divBdr>
        <w:top w:val="none" w:sz="0" w:space="0" w:color="auto"/>
        <w:left w:val="none" w:sz="0" w:space="0" w:color="auto"/>
        <w:bottom w:val="none" w:sz="0" w:space="0" w:color="auto"/>
        <w:right w:val="none" w:sz="0" w:space="0" w:color="auto"/>
      </w:divBdr>
    </w:div>
    <w:div w:id="1923097345">
      <w:marLeft w:val="0"/>
      <w:marRight w:val="0"/>
      <w:marTop w:val="0"/>
      <w:marBottom w:val="0"/>
      <w:divBdr>
        <w:top w:val="none" w:sz="0" w:space="0" w:color="auto"/>
        <w:left w:val="none" w:sz="0" w:space="0" w:color="auto"/>
        <w:bottom w:val="none" w:sz="0" w:space="0" w:color="auto"/>
        <w:right w:val="none" w:sz="0" w:space="0" w:color="auto"/>
      </w:divBdr>
    </w:div>
    <w:div w:id="1923097346">
      <w:marLeft w:val="0"/>
      <w:marRight w:val="0"/>
      <w:marTop w:val="0"/>
      <w:marBottom w:val="0"/>
      <w:divBdr>
        <w:top w:val="none" w:sz="0" w:space="0" w:color="auto"/>
        <w:left w:val="none" w:sz="0" w:space="0" w:color="auto"/>
        <w:bottom w:val="none" w:sz="0" w:space="0" w:color="auto"/>
        <w:right w:val="none" w:sz="0" w:space="0" w:color="auto"/>
      </w:divBdr>
    </w:div>
    <w:div w:id="1923097347">
      <w:marLeft w:val="0"/>
      <w:marRight w:val="0"/>
      <w:marTop w:val="0"/>
      <w:marBottom w:val="0"/>
      <w:divBdr>
        <w:top w:val="none" w:sz="0" w:space="0" w:color="auto"/>
        <w:left w:val="none" w:sz="0" w:space="0" w:color="auto"/>
        <w:bottom w:val="none" w:sz="0" w:space="0" w:color="auto"/>
        <w:right w:val="none" w:sz="0" w:space="0" w:color="auto"/>
      </w:divBdr>
    </w:div>
    <w:div w:id="1923097348">
      <w:marLeft w:val="0"/>
      <w:marRight w:val="0"/>
      <w:marTop w:val="0"/>
      <w:marBottom w:val="0"/>
      <w:divBdr>
        <w:top w:val="none" w:sz="0" w:space="0" w:color="auto"/>
        <w:left w:val="none" w:sz="0" w:space="0" w:color="auto"/>
        <w:bottom w:val="none" w:sz="0" w:space="0" w:color="auto"/>
        <w:right w:val="none" w:sz="0" w:space="0" w:color="auto"/>
      </w:divBdr>
    </w:div>
    <w:div w:id="1923097349">
      <w:marLeft w:val="0"/>
      <w:marRight w:val="0"/>
      <w:marTop w:val="0"/>
      <w:marBottom w:val="0"/>
      <w:divBdr>
        <w:top w:val="none" w:sz="0" w:space="0" w:color="auto"/>
        <w:left w:val="none" w:sz="0" w:space="0" w:color="auto"/>
        <w:bottom w:val="none" w:sz="0" w:space="0" w:color="auto"/>
        <w:right w:val="none" w:sz="0" w:space="0" w:color="auto"/>
      </w:divBdr>
    </w:div>
    <w:div w:id="1923097350">
      <w:marLeft w:val="0"/>
      <w:marRight w:val="0"/>
      <w:marTop w:val="0"/>
      <w:marBottom w:val="0"/>
      <w:divBdr>
        <w:top w:val="none" w:sz="0" w:space="0" w:color="auto"/>
        <w:left w:val="none" w:sz="0" w:space="0" w:color="auto"/>
        <w:bottom w:val="none" w:sz="0" w:space="0" w:color="auto"/>
        <w:right w:val="none" w:sz="0" w:space="0" w:color="auto"/>
      </w:divBdr>
    </w:div>
    <w:div w:id="1923097351">
      <w:marLeft w:val="0"/>
      <w:marRight w:val="0"/>
      <w:marTop w:val="0"/>
      <w:marBottom w:val="0"/>
      <w:divBdr>
        <w:top w:val="none" w:sz="0" w:space="0" w:color="auto"/>
        <w:left w:val="none" w:sz="0" w:space="0" w:color="auto"/>
        <w:bottom w:val="none" w:sz="0" w:space="0" w:color="auto"/>
        <w:right w:val="none" w:sz="0" w:space="0" w:color="auto"/>
      </w:divBdr>
    </w:div>
    <w:div w:id="1923097352">
      <w:marLeft w:val="0"/>
      <w:marRight w:val="0"/>
      <w:marTop w:val="0"/>
      <w:marBottom w:val="0"/>
      <w:divBdr>
        <w:top w:val="none" w:sz="0" w:space="0" w:color="auto"/>
        <w:left w:val="none" w:sz="0" w:space="0" w:color="auto"/>
        <w:bottom w:val="none" w:sz="0" w:space="0" w:color="auto"/>
        <w:right w:val="none" w:sz="0" w:space="0" w:color="auto"/>
      </w:divBdr>
    </w:div>
    <w:div w:id="1923097353">
      <w:marLeft w:val="0"/>
      <w:marRight w:val="0"/>
      <w:marTop w:val="0"/>
      <w:marBottom w:val="0"/>
      <w:divBdr>
        <w:top w:val="none" w:sz="0" w:space="0" w:color="auto"/>
        <w:left w:val="none" w:sz="0" w:space="0" w:color="auto"/>
        <w:bottom w:val="none" w:sz="0" w:space="0" w:color="auto"/>
        <w:right w:val="none" w:sz="0" w:space="0" w:color="auto"/>
      </w:divBdr>
    </w:div>
    <w:div w:id="1923097354">
      <w:marLeft w:val="0"/>
      <w:marRight w:val="0"/>
      <w:marTop w:val="0"/>
      <w:marBottom w:val="0"/>
      <w:divBdr>
        <w:top w:val="none" w:sz="0" w:space="0" w:color="auto"/>
        <w:left w:val="none" w:sz="0" w:space="0" w:color="auto"/>
        <w:bottom w:val="none" w:sz="0" w:space="0" w:color="auto"/>
        <w:right w:val="none" w:sz="0" w:space="0" w:color="auto"/>
      </w:divBdr>
    </w:div>
    <w:div w:id="1923097355">
      <w:marLeft w:val="0"/>
      <w:marRight w:val="0"/>
      <w:marTop w:val="0"/>
      <w:marBottom w:val="0"/>
      <w:divBdr>
        <w:top w:val="none" w:sz="0" w:space="0" w:color="auto"/>
        <w:left w:val="none" w:sz="0" w:space="0" w:color="auto"/>
        <w:bottom w:val="none" w:sz="0" w:space="0" w:color="auto"/>
        <w:right w:val="none" w:sz="0" w:space="0" w:color="auto"/>
      </w:divBdr>
    </w:div>
    <w:div w:id="1923097356">
      <w:marLeft w:val="0"/>
      <w:marRight w:val="0"/>
      <w:marTop w:val="0"/>
      <w:marBottom w:val="0"/>
      <w:divBdr>
        <w:top w:val="none" w:sz="0" w:space="0" w:color="auto"/>
        <w:left w:val="none" w:sz="0" w:space="0" w:color="auto"/>
        <w:bottom w:val="none" w:sz="0" w:space="0" w:color="auto"/>
        <w:right w:val="none" w:sz="0" w:space="0" w:color="auto"/>
      </w:divBdr>
    </w:div>
    <w:div w:id="1923097357">
      <w:marLeft w:val="0"/>
      <w:marRight w:val="0"/>
      <w:marTop w:val="0"/>
      <w:marBottom w:val="0"/>
      <w:divBdr>
        <w:top w:val="none" w:sz="0" w:space="0" w:color="auto"/>
        <w:left w:val="none" w:sz="0" w:space="0" w:color="auto"/>
        <w:bottom w:val="none" w:sz="0" w:space="0" w:color="auto"/>
        <w:right w:val="none" w:sz="0" w:space="0" w:color="auto"/>
      </w:divBdr>
    </w:div>
    <w:div w:id="1923097358">
      <w:marLeft w:val="0"/>
      <w:marRight w:val="0"/>
      <w:marTop w:val="0"/>
      <w:marBottom w:val="0"/>
      <w:divBdr>
        <w:top w:val="none" w:sz="0" w:space="0" w:color="auto"/>
        <w:left w:val="none" w:sz="0" w:space="0" w:color="auto"/>
        <w:bottom w:val="none" w:sz="0" w:space="0" w:color="auto"/>
        <w:right w:val="none" w:sz="0" w:space="0" w:color="auto"/>
      </w:divBdr>
    </w:div>
    <w:div w:id="1923097359">
      <w:marLeft w:val="0"/>
      <w:marRight w:val="0"/>
      <w:marTop w:val="0"/>
      <w:marBottom w:val="0"/>
      <w:divBdr>
        <w:top w:val="none" w:sz="0" w:space="0" w:color="auto"/>
        <w:left w:val="none" w:sz="0" w:space="0" w:color="auto"/>
        <w:bottom w:val="none" w:sz="0" w:space="0" w:color="auto"/>
        <w:right w:val="none" w:sz="0" w:space="0" w:color="auto"/>
      </w:divBdr>
    </w:div>
    <w:div w:id="1923097360">
      <w:marLeft w:val="0"/>
      <w:marRight w:val="0"/>
      <w:marTop w:val="0"/>
      <w:marBottom w:val="0"/>
      <w:divBdr>
        <w:top w:val="none" w:sz="0" w:space="0" w:color="auto"/>
        <w:left w:val="none" w:sz="0" w:space="0" w:color="auto"/>
        <w:bottom w:val="none" w:sz="0" w:space="0" w:color="auto"/>
        <w:right w:val="none" w:sz="0" w:space="0" w:color="auto"/>
      </w:divBdr>
    </w:div>
    <w:div w:id="1923097361">
      <w:marLeft w:val="0"/>
      <w:marRight w:val="0"/>
      <w:marTop w:val="0"/>
      <w:marBottom w:val="0"/>
      <w:divBdr>
        <w:top w:val="none" w:sz="0" w:space="0" w:color="auto"/>
        <w:left w:val="none" w:sz="0" w:space="0" w:color="auto"/>
        <w:bottom w:val="none" w:sz="0" w:space="0" w:color="auto"/>
        <w:right w:val="none" w:sz="0" w:space="0" w:color="auto"/>
      </w:divBdr>
    </w:div>
    <w:div w:id="1923097362">
      <w:marLeft w:val="0"/>
      <w:marRight w:val="0"/>
      <w:marTop w:val="0"/>
      <w:marBottom w:val="0"/>
      <w:divBdr>
        <w:top w:val="none" w:sz="0" w:space="0" w:color="auto"/>
        <w:left w:val="none" w:sz="0" w:space="0" w:color="auto"/>
        <w:bottom w:val="none" w:sz="0" w:space="0" w:color="auto"/>
        <w:right w:val="none" w:sz="0" w:space="0" w:color="auto"/>
      </w:divBdr>
    </w:div>
    <w:div w:id="1923097363">
      <w:marLeft w:val="0"/>
      <w:marRight w:val="0"/>
      <w:marTop w:val="0"/>
      <w:marBottom w:val="0"/>
      <w:divBdr>
        <w:top w:val="none" w:sz="0" w:space="0" w:color="auto"/>
        <w:left w:val="none" w:sz="0" w:space="0" w:color="auto"/>
        <w:bottom w:val="none" w:sz="0" w:space="0" w:color="auto"/>
        <w:right w:val="none" w:sz="0" w:space="0" w:color="auto"/>
      </w:divBdr>
    </w:div>
    <w:div w:id="1923097364">
      <w:marLeft w:val="0"/>
      <w:marRight w:val="0"/>
      <w:marTop w:val="0"/>
      <w:marBottom w:val="0"/>
      <w:divBdr>
        <w:top w:val="none" w:sz="0" w:space="0" w:color="auto"/>
        <w:left w:val="none" w:sz="0" w:space="0" w:color="auto"/>
        <w:bottom w:val="none" w:sz="0" w:space="0" w:color="auto"/>
        <w:right w:val="none" w:sz="0" w:space="0" w:color="auto"/>
      </w:divBdr>
    </w:div>
    <w:div w:id="1923097365">
      <w:marLeft w:val="0"/>
      <w:marRight w:val="0"/>
      <w:marTop w:val="0"/>
      <w:marBottom w:val="0"/>
      <w:divBdr>
        <w:top w:val="none" w:sz="0" w:space="0" w:color="auto"/>
        <w:left w:val="none" w:sz="0" w:space="0" w:color="auto"/>
        <w:bottom w:val="none" w:sz="0" w:space="0" w:color="auto"/>
        <w:right w:val="none" w:sz="0" w:space="0" w:color="auto"/>
      </w:divBdr>
    </w:div>
    <w:div w:id="1923097366">
      <w:marLeft w:val="0"/>
      <w:marRight w:val="0"/>
      <w:marTop w:val="0"/>
      <w:marBottom w:val="0"/>
      <w:divBdr>
        <w:top w:val="none" w:sz="0" w:space="0" w:color="auto"/>
        <w:left w:val="none" w:sz="0" w:space="0" w:color="auto"/>
        <w:bottom w:val="none" w:sz="0" w:space="0" w:color="auto"/>
        <w:right w:val="none" w:sz="0" w:space="0" w:color="auto"/>
      </w:divBdr>
    </w:div>
    <w:div w:id="1923097367">
      <w:marLeft w:val="0"/>
      <w:marRight w:val="0"/>
      <w:marTop w:val="0"/>
      <w:marBottom w:val="0"/>
      <w:divBdr>
        <w:top w:val="none" w:sz="0" w:space="0" w:color="auto"/>
        <w:left w:val="none" w:sz="0" w:space="0" w:color="auto"/>
        <w:bottom w:val="none" w:sz="0" w:space="0" w:color="auto"/>
        <w:right w:val="none" w:sz="0" w:space="0" w:color="auto"/>
      </w:divBdr>
    </w:div>
    <w:div w:id="1923097368">
      <w:marLeft w:val="0"/>
      <w:marRight w:val="0"/>
      <w:marTop w:val="0"/>
      <w:marBottom w:val="0"/>
      <w:divBdr>
        <w:top w:val="none" w:sz="0" w:space="0" w:color="auto"/>
        <w:left w:val="none" w:sz="0" w:space="0" w:color="auto"/>
        <w:bottom w:val="none" w:sz="0" w:space="0" w:color="auto"/>
        <w:right w:val="none" w:sz="0" w:space="0" w:color="auto"/>
      </w:divBdr>
    </w:div>
    <w:div w:id="1923097369">
      <w:marLeft w:val="0"/>
      <w:marRight w:val="0"/>
      <w:marTop w:val="0"/>
      <w:marBottom w:val="0"/>
      <w:divBdr>
        <w:top w:val="none" w:sz="0" w:space="0" w:color="auto"/>
        <w:left w:val="none" w:sz="0" w:space="0" w:color="auto"/>
        <w:bottom w:val="none" w:sz="0" w:space="0" w:color="auto"/>
        <w:right w:val="none" w:sz="0" w:space="0" w:color="auto"/>
      </w:divBdr>
    </w:div>
    <w:div w:id="1923097370">
      <w:marLeft w:val="0"/>
      <w:marRight w:val="0"/>
      <w:marTop w:val="0"/>
      <w:marBottom w:val="0"/>
      <w:divBdr>
        <w:top w:val="none" w:sz="0" w:space="0" w:color="auto"/>
        <w:left w:val="none" w:sz="0" w:space="0" w:color="auto"/>
        <w:bottom w:val="none" w:sz="0" w:space="0" w:color="auto"/>
        <w:right w:val="none" w:sz="0" w:space="0" w:color="auto"/>
      </w:divBdr>
    </w:div>
    <w:div w:id="1923097371">
      <w:marLeft w:val="0"/>
      <w:marRight w:val="0"/>
      <w:marTop w:val="0"/>
      <w:marBottom w:val="0"/>
      <w:divBdr>
        <w:top w:val="none" w:sz="0" w:space="0" w:color="auto"/>
        <w:left w:val="none" w:sz="0" w:space="0" w:color="auto"/>
        <w:bottom w:val="none" w:sz="0" w:space="0" w:color="auto"/>
        <w:right w:val="none" w:sz="0" w:space="0" w:color="auto"/>
      </w:divBdr>
    </w:div>
    <w:div w:id="1923097372">
      <w:marLeft w:val="0"/>
      <w:marRight w:val="0"/>
      <w:marTop w:val="0"/>
      <w:marBottom w:val="0"/>
      <w:divBdr>
        <w:top w:val="none" w:sz="0" w:space="0" w:color="auto"/>
        <w:left w:val="none" w:sz="0" w:space="0" w:color="auto"/>
        <w:bottom w:val="none" w:sz="0" w:space="0" w:color="auto"/>
        <w:right w:val="none" w:sz="0" w:space="0" w:color="auto"/>
      </w:divBdr>
    </w:div>
    <w:div w:id="1923097373">
      <w:marLeft w:val="0"/>
      <w:marRight w:val="0"/>
      <w:marTop w:val="0"/>
      <w:marBottom w:val="0"/>
      <w:divBdr>
        <w:top w:val="none" w:sz="0" w:space="0" w:color="auto"/>
        <w:left w:val="none" w:sz="0" w:space="0" w:color="auto"/>
        <w:bottom w:val="none" w:sz="0" w:space="0" w:color="auto"/>
        <w:right w:val="none" w:sz="0" w:space="0" w:color="auto"/>
      </w:divBdr>
    </w:div>
    <w:div w:id="1923097374">
      <w:marLeft w:val="0"/>
      <w:marRight w:val="0"/>
      <w:marTop w:val="0"/>
      <w:marBottom w:val="0"/>
      <w:divBdr>
        <w:top w:val="none" w:sz="0" w:space="0" w:color="auto"/>
        <w:left w:val="none" w:sz="0" w:space="0" w:color="auto"/>
        <w:bottom w:val="none" w:sz="0" w:space="0" w:color="auto"/>
        <w:right w:val="none" w:sz="0" w:space="0" w:color="auto"/>
      </w:divBdr>
    </w:div>
    <w:div w:id="1923097375">
      <w:marLeft w:val="0"/>
      <w:marRight w:val="0"/>
      <w:marTop w:val="0"/>
      <w:marBottom w:val="0"/>
      <w:divBdr>
        <w:top w:val="none" w:sz="0" w:space="0" w:color="auto"/>
        <w:left w:val="none" w:sz="0" w:space="0" w:color="auto"/>
        <w:bottom w:val="none" w:sz="0" w:space="0" w:color="auto"/>
        <w:right w:val="none" w:sz="0" w:space="0" w:color="auto"/>
      </w:divBdr>
    </w:div>
    <w:div w:id="1923097376">
      <w:marLeft w:val="0"/>
      <w:marRight w:val="0"/>
      <w:marTop w:val="0"/>
      <w:marBottom w:val="0"/>
      <w:divBdr>
        <w:top w:val="none" w:sz="0" w:space="0" w:color="auto"/>
        <w:left w:val="none" w:sz="0" w:space="0" w:color="auto"/>
        <w:bottom w:val="none" w:sz="0" w:space="0" w:color="auto"/>
        <w:right w:val="none" w:sz="0" w:space="0" w:color="auto"/>
      </w:divBdr>
    </w:div>
    <w:div w:id="1923097377">
      <w:marLeft w:val="0"/>
      <w:marRight w:val="0"/>
      <w:marTop w:val="0"/>
      <w:marBottom w:val="0"/>
      <w:divBdr>
        <w:top w:val="none" w:sz="0" w:space="0" w:color="auto"/>
        <w:left w:val="none" w:sz="0" w:space="0" w:color="auto"/>
        <w:bottom w:val="none" w:sz="0" w:space="0" w:color="auto"/>
        <w:right w:val="none" w:sz="0" w:space="0" w:color="auto"/>
      </w:divBdr>
    </w:div>
    <w:div w:id="1923097378">
      <w:marLeft w:val="0"/>
      <w:marRight w:val="0"/>
      <w:marTop w:val="0"/>
      <w:marBottom w:val="0"/>
      <w:divBdr>
        <w:top w:val="none" w:sz="0" w:space="0" w:color="auto"/>
        <w:left w:val="none" w:sz="0" w:space="0" w:color="auto"/>
        <w:bottom w:val="none" w:sz="0" w:space="0" w:color="auto"/>
        <w:right w:val="none" w:sz="0" w:space="0" w:color="auto"/>
      </w:divBdr>
    </w:div>
    <w:div w:id="1923097379">
      <w:marLeft w:val="0"/>
      <w:marRight w:val="0"/>
      <w:marTop w:val="0"/>
      <w:marBottom w:val="0"/>
      <w:divBdr>
        <w:top w:val="none" w:sz="0" w:space="0" w:color="auto"/>
        <w:left w:val="none" w:sz="0" w:space="0" w:color="auto"/>
        <w:bottom w:val="none" w:sz="0" w:space="0" w:color="auto"/>
        <w:right w:val="none" w:sz="0" w:space="0" w:color="auto"/>
      </w:divBdr>
    </w:div>
    <w:div w:id="1923097380">
      <w:marLeft w:val="0"/>
      <w:marRight w:val="0"/>
      <w:marTop w:val="0"/>
      <w:marBottom w:val="0"/>
      <w:divBdr>
        <w:top w:val="none" w:sz="0" w:space="0" w:color="auto"/>
        <w:left w:val="none" w:sz="0" w:space="0" w:color="auto"/>
        <w:bottom w:val="none" w:sz="0" w:space="0" w:color="auto"/>
        <w:right w:val="none" w:sz="0" w:space="0" w:color="auto"/>
      </w:divBdr>
    </w:div>
    <w:div w:id="1923097381">
      <w:marLeft w:val="0"/>
      <w:marRight w:val="0"/>
      <w:marTop w:val="0"/>
      <w:marBottom w:val="0"/>
      <w:divBdr>
        <w:top w:val="none" w:sz="0" w:space="0" w:color="auto"/>
        <w:left w:val="none" w:sz="0" w:space="0" w:color="auto"/>
        <w:bottom w:val="none" w:sz="0" w:space="0" w:color="auto"/>
        <w:right w:val="none" w:sz="0" w:space="0" w:color="auto"/>
      </w:divBdr>
    </w:div>
    <w:div w:id="1923097382">
      <w:marLeft w:val="0"/>
      <w:marRight w:val="0"/>
      <w:marTop w:val="0"/>
      <w:marBottom w:val="0"/>
      <w:divBdr>
        <w:top w:val="none" w:sz="0" w:space="0" w:color="auto"/>
        <w:left w:val="none" w:sz="0" w:space="0" w:color="auto"/>
        <w:bottom w:val="none" w:sz="0" w:space="0" w:color="auto"/>
        <w:right w:val="none" w:sz="0" w:space="0" w:color="auto"/>
      </w:divBdr>
    </w:div>
    <w:div w:id="1923097383">
      <w:marLeft w:val="0"/>
      <w:marRight w:val="0"/>
      <w:marTop w:val="0"/>
      <w:marBottom w:val="0"/>
      <w:divBdr>
        <w:top w:val="none" w:sz="0" w:space="0" w:color="auto"/>
        <w:left w:val="none" w:sz="0" w:space="0" w:color="auto"/>
        <w:bottom w:val="none" w:sz="0" w:space="0" w:color="auto"/>
        <w:right w:val="none" w:sz="0" w:space="0" w:color="auto"/>
      </w:divBdr>
    </w:div>
    <w:div w:id="1923097384">
      <w:marLeft w:val="0"/>
      <w:marRight w:val="0"/>
      <w:marTop w:val="0"/>
      <w:marBottom w:val="0"/>
      <w:divBdr>
        <w:top w:val="none" w:sz="0" w:space="0" w:color="auto"/>
        <w:left w:val="none" w:sz="0" w:space="0" w:color="auto"/>
        <w:bottom w:val="none" w:sz="0" w:space="0" w:color="auto"/>
        <w:right w:val="none" w:sz="0" w:space="0" w:color="auto"/>
      </w:divBdr>
    </w:div>
    <w:div w:id="1923097385">
      <w:marLeft w:val="0"/>
      <w:marRight w:val="0"/>
      <w:marTop w:val="0"/>
      <w:marBottom w:val="0"/>
      <w:divBdr>
        <w:top w:val="none" w:sz="0" w:space="0" w:color="auto"/>
        <w:left w:val="none" w:sz="0" w:space="0" w:color="auto"/>
        <w:bottom w:val="none" w:sz="0" w:space="0" w:color="auto"/>
        <w:right w:val="none" w:sz="0" w:space="0" w:color="auto"/>
      </w:divBdr>
    </w:div>
    <w:div w:id="1923097386">
      <w:marLeft w:val="0"/>
      <w:marRight w:val="0"/>
      <w:marTop w:val="0"/>
      <w:marBottom w:val="0"/>
      <w:divBdr>
        <w:top w:val="none" w:sz="0" w:space="0" w:color="auto"/>
        <w:left w:val="none" w:sz="0" w:space="0" w:color="auto"/>
        <w:bottom w:val="none" w:sz="0" w:space="0" w:color="auto"/>
        <w:right w:val="none" w:sz="0" w:space="0" w:color="auto"/>
      </w:divBdr>
    </w:div>
    <w:div w:id="1923097387">
      <w:marLeft w:val="0"/>
      <w:marRight w:val="0"/>
      <w:marTop w:val="0"/>
      <w:marBottom w:val="0"/>
      <w:divBdr>
        <w:top w:val="none" w:sz="0" w:space="0" w:color="auto"/>
        <w:left w:val="none" w:sz="0" w:space="0" w:color="auto"/>
        <w:bottom w:val="none" w:sz="0" w:space="0" w:color="auto"/>
        <w:right w:val="none" w:sz="0" w:space="0" w:color="auto"/>
      </w:divBdr>
    </w:div>
    <w:div w:id="1923097388">
      <w:marLeft w:val="0"/>
      <w:marRight w:val="0"/>
      <w:marTop w:val="0"/>
      <w:marBottom w:val="0"/>
      <w:divBdr>
        <w:top w:val="none" w:sz="0" w:space="0" w:color="auto"/>
        <w:left w:val="none" w:sz="0" w:space="0" w:color="auto"/>
        <w:bottom w:val="none" w:sz="0" w:space="0" w:color="auto"/>
        <w:right w:val="none" w:sz="0" w:space="0" w:color="auto"/>
      </w:divBdr>
    </w:div>
    <w:div w:id="1923097389">
      <w:marLeft w:val="0"/>
      <w:marRight w:val="0"/>
      <w:marTop w:val="0"/>
      <w:marBottom w:val="0"/>
      <w:divBdr>
        <w:top w:val="none" w:sz="0" w:space="0" w:color="auto"/>
        <w:left w:val="none" w:sz="0" w:space="0" w:color="auto"/>
        <w:bottom w:val="none" w:sz="0" w:space="0" w:color="auto"/>
        <w:right w:val="none" w:sz="0" w:space="0" w:color="auto"/>
      </w:divBdr>
    </w:div>
    <w:div w:id="1923097390">
      <w:marLeft w:val="0"/>
      <w:marRight w:val="0"/>
      <w:marTop w:val="0"/>
      <w:marBottom w:val="0"/>
      <w:divBdr>
        <w:top w:val="none" w:sz="0" w:space="0" w:color="auto"/>
        <w:left w:val="none" w:sz="0" w:space="0" w:color="auto"/>
        <w:bottom w:val="none" w:sz="0" w:space="0" w:color="auto"/>
        <w:right w:val="none" w:sz="0" w:space="0" w:color="auto"/>
      </w:divBdr>
    </w:div>
    <w:div w:id="1923097391">
      <w:marLeft w:val="0"/>
      <w:marRight w:val="0"/>
      <w:marTop w:val="0"/>
      <w:marBottom w:val="0"/>
      <w:divBdr>
        <w:top w:val="none" w:sz="0" w:space="0" w:color="auto"/>
        <w:left w:val="none" w:sz="0" w:space="0" w:color="auto"/>
        <w:bottom w:val="none" w:sz="0" w:space="0" w:color="auto"/>
        <w:right w:val="none" w:sz="0" w:space="0" w:color="auto"/>
      </w:divBdr>
    </w:div>
    <w:div w:id="1923097392">
      <w:marLeft w:val="0"/>
      <w:marRight w:val="0"/>
      <w:marTop w:val="0"/>
      <w:marBottom w:val="0"/>
      <w:divBdr>
        <w:top w:val="none" w:sz="0" w:space="0" w:color="auto"/>
        <w:left w:val="none" w:sz="0" w:space="0" w:color="auto"/>
        <w:bottom w:val="none" w:sz="0" w:space="0" w:color="auto"/>
        <w:right w:val="none" w:sz="0" w:space="0" w:color="auto"/>
      </w:divBdr>
    </w:div>
    <w:div w:id="1923097393">
      <w:marLeft w:val="0"/>
      <w:marRight w:val="0"/>
      <w:marTop w:val="0"/>
      <w:marBottom w:val="0"/>
      <w:divBdr>
        <w:top w:val="none" w:sz="0" w:space="0" w:color="auto"/>
        <w:left w:val="none" w:sz="0" w:space="0" w:color="auto"/>
        <w:bottom w:val="none" w:sz="0" w:space="0" w:color="auto"/>
        <w:right w:val="none" w:sz="0" w:space="0" w:color="auto"/>
      </w:divBdr>
    </w:div>
    <w:div w:id="1923097394">
      <w:marLeft w:val="0"/>
      <w:marRight w:val="0"/>
      <w:marTop w:val="0"/>
      <w:marBottom w:val="0"/>
      <w:divBdr>
        <w:top w:val="none" w:sz="0" w:space="0" w:color="auto"/>
        <w:left w:val="none" w:sz="0" w:space="0" w:color="auto"/>
        <w:bottom w:val="none" w:sz="0" w:space="0" w:color="auto"/>
        <w:right w:val="none" w:sz="0" w:space="0" w:color="auto"/>
      </w:divBdr>
    </w:div>
    <w:div w:id="1923097395">
      <w:marLeft w:val="0"/>
      <w:marRight w:val="0"/>
      <w:marTop w:val="0"/>
      <w:marBottom w:val="0"/>
      <w:divBdr>
        <w:top w:val="none" w:sz="0" w:space="0" w:color="auto"/>
        <w:left w:val="none" w:sz="0" w:space="0" w:color="auto"/>
        <w:bottom w:val="none" w:sz="0" w:space="0" w:color="auto"/>
        <w:right w:val="none" w:sz="0" w:space="0" w:color="auto"/>
      </w:divBdr>
    </w:div>
    <w:div w:id="1923097396">
      <w:marLeft w:val="0"/>
      <w:marRight w:val="0"/>
      <w:marTop w:val="0"/>
      <w:marBottom w:val="0"/>
      <w:divBdr>
        <w:top w:val="none" w:sz="0" w:space="0" w:color="auto"/>
        <w:left w:val="none" w:sz="0" w:space="0" w:color="auto"/>
        <w:bottom w:val="none" w:sz="0" w:space="0" w:color="auto"/>
        <w:right w:val="none" w:sz="0" w:space="0" w:color="auto"/>
      </w:divBdr>
    </w:div>
    <w:div w:id="1923097397">
      <w:marLeft w:val="0"/>
      <w:marRight w:val="0"/>
      <w:marTop w:val="0"/>
      <w:marBottom w:val="0"/>
      <w:divBdr>
        <w:top w:val="none" w:sz="0" w:space="0" w:color="auto"/>
        <w:left w:val="none" w:sz="0" w:space="0" w:color="auto"/>
        <w:bottom w:val="none" w:sz="0" w:space="0" w:color="auto"/>
        <w:right w:val="none" w:sz="0" w:space="0" w:color="auto"/>
      </w:divBdr>
    </w:div>
    <w:div w:id="1923097398">
      <w:marLeft w:val="0"/>
      <w:marRight w:val="0"/>
      <w:marTop w:val="0"/>
      <w:marBottom w:val="0"/>
      <w:divBdr>
        <w:top w:val="none" w:sz="0" w:space="0" w:color="auto"/>
        <w:left w:val="none" w:sz="0" w:space="0" w:color="auto"/>
        <w:bottom w:val="none" w:sz="0" w:space="0" w:color="auto"/>
        <w:right w:val="none" w:sz="0" w:space="0" w:color="auto"/>
      </w:divBdr>
    </w:div>
    <w:div w:id="1923097399">
      <w:marLeft w:val="0"/>
      <w:marRight w:val="0"/>
      <w:marTop w:val="0"/>
      <w:marBottom w:val="0"/>
      <w:divBdr>
        <w:top w:val="none" w:sz="0" w:space="0" w:color="auto"/>
        <w:left w:val="none" w:sz="0" w:space="0" w:color="auto"/>
        <w:bottom w:val="none" w:sz="0" w:space="0" w:color="auto"/>
        <w:right w:val="none" w:sz="0" w:space="0" w:color="auto"/>
      </w:divBdr>
    </w:div>
    <w:div w:id="1923097400">
      <w:marLeft w:val="0"/>
      <w:marRight w:val="0"/>
      <w:marTop w:val="0"/>
      <w:marBottom w:val="0"/>
      <w:divBdr>
        <w:top w:val="none" w:sz="0" w:space="0" w:color="auto"/>
        <w:left w:val="none" w:sz="0" w:space="0" w:color="auto"/>
        <w:bottom w:val="none" w:sz="0" w:space="0" w:color="auto"/>
        <w:right w:val="none" w:sz="0" w:space="0" w:color="auto"/>
      </w:divBdr>
    </w:div>
    <w:div w:id="1923097401">
      <w:marLeft w:val="0"/>
      <w:marRight w:val="0"/>
      <w:marTop w:val="0"/>
      <w:marBottom w:val="0"/>
      <w:divBdr>
        <w:top w:val="none" w:sz="0" w:space="0" w:color="auto"/>
        <w:left w:val="none" w:sz="0" w:space="0" w:color="auto"/>
        <w:bottom w:val="none" w:sz="0" w:space="0" w:color="auto"/>
        <w:right w:val="none" w:sz="0" w:space="0" w:color="auto"/>
      </w:divBdr>
    </w:div>
    <w:div w:id="1923097402">
      <w:marLeft w:val="0"/>
      <w:marRight w:val="0"/>
      <w:marTop w:val="0"/>
      <w:marBottom w:val="0"/>
      <w:divBdr>
        <w:top w:val="none" w:sz="0" w:space="0" w:color="auto"/>
        <w:left w:val="none" w:sz="0" w:space="0" w:color="auto"/>
        <w:bottom w:val="none" w:sz="0" w:space="0" w:color="auto"/>
        <w:right w:val="none" w:sz="0" w:space="0" w:color="auto"/>
      </w:divBdr>
    </w:div>
    <w:div w:id="1923097403">
      <w:marLeft w:val="0"/>
      <w:marRight w:val="0"/>
      <w:marTop w:val="0"/>
      <w:marBottom w:val="0"/>
      <w:divBdr>
        <w:top w:val="none" w:sz="0" w:space="0" w:color="auto"/>
        <w:left w:val="none" w:sz="0" w:space="0" w:color="auto"/>
        <w:bottom w:val="none" w:sz="0" w:space="0" w:color="auto"/>
        <w:right w:val="none" w:sz="0" w:space="0" w:color="auto"/>
      </w:divBdr>
    </w:div>
    <w:div w:id="1923097404">
      <w:marLeft w:val="0"/>
      <w:marRight w:val="0"/>
      <w:marTop w:val="0"/>
      <w:marBottom w:val="0"/>
      <w:divBdr>
        <w:top w:val="none" w:sz="0" w:space="0" w:color="auto"/>
        <w:left w:val="none" w:sz="0" w:space="0" w:color="auto"/>
        <w:bottom w:val="none" w:sz="0" w:space="0" w:color="auto"/>
        <w:right w:val="none" w:sz="0" w:space="0" w:color="auto"/>
      </w:divBdr>
    </w:div>
    <w:div w:id="1923097405">
      <w:marLeft w:val="0"/>
      <w:marRight w:val="0"/>
      <w:marTop w:val="0"/>
      <w:marBottom w:val="0"/>
      <w:divBdr>
        <w:top w:val="none" w:sz="0" w:space="0" w:color="auto"/>
        <w:left w:val="none" w:sz="0" w:space="0" w:color="auto"/>
        <w:bottom w:val="none" w:sz="0" w:space="0" w:color="auto"/>
        <w:right w:val="none" w:sz="0" w:space="0" w:color="auto"/>
      </w:divBdr>
    </w:div>
    <w:div w:id="1923097406">
      <w:marLeft w:val="0"/>
      <w:marRight w:val="0"/>
      <w:marTop w:val="0"/>
      <w:marBottom w:val="0"/>
      <w:divBdr>
        <w:top w:val="none" w:sz="0" w:space="0" w:color="auto"/>
        <w:left w:val="none" w:sz="0" w:space="0" w:color="auto"/>
        <w:bottom w:val="none" w:sz="0" w:space="0" w:color="auto"/>
        <w:right w:val="none" w:sz="0" w:space="0" w:color="auto"/>
      </w:divBdr>
    </w:div>
    <w:div w:id="1923097407">
      <w:marLeft w:val="0"/>
      <w:marRight w:val="0"/>
      <w:marTop w:val="0"/>
      <w:marBottom w:val="0"/>
      <w:divBdr>
        <w:top w:val="none" w:sz="0" w:space="0" w:color="auto"/>
        <w:left w:val="none" w:sz="0" w:space="0" w:color="auto"/>
        <w:bottom w:val="none" w:sz="0" w:space="0" w:color="auto"/>
        <w:right w:val="none" w:sz="0" w:space="0" w:color="auto"/>
      </w:divBdr>
    </w:div>
    <w:div w:id="1923097408">
      <w:marLeft w:val="0"/>
      <w:marRight w:val="0"/>
      <w:marTop w:val="0"/>
      <w:marBottom w:val="0"/>
      <w:divBdr>
        <w:top w:val="none" w:sz="0" w:space="0" w:color="auto"/>
        <w:left w:val="none" w:sz="0" w:space="0" w:color="auto"/>
        <w:bottom w:val="none" w:sz="0" w:space="0" w:color="auto"/>
        <w:right w:val="none" w:sz="0" w:space="0" w:color="auto"/>
      </w:divBdr>
    </w:div>
    <w:div w:id="1923097409">
      <w:marLeft w:val="0"/>
      <w:marRight w:val="0"/>
      <w:marTop w:val="0"/>
      <w:marBottom w:val="0"/>
      <w:divBdr>
        <w:top w:val="none" w:sz="0" w:space="0" w:color="auto"/>
        <w:left w:val="none" w:sz="0" w:space="0" w:color="auto"/>
        <w:bottom w:val="none" w:sz="0" w:space="0" w:color="auto"/>
        <w:right w:val="none" w:sz="0" w:space="0" w:color="auto"/>
      </w:divBdr>
    </w:div>
    <w:div w:id="1923097410">
      <w:marLeft w:val="0"/>
      <w:marRight w:val="0"/>
      <w:marTop w:val="0"/>
      <w:marBottom w:val="0"/>
      <w:divBdr>
        <w:top w:val="none" w:sz="0" w:space="0" w:color="auto"/>
        <w:left w:val="none" w:sz="0" w:space="0" w:color="auto"/>
        <w:bottom w:val="none" w:sz="0" w:space="0" w:color="auto"/>
        <w:right w:val="none" w:sz="0" w:space="0" w:color="auto"/>
      </w:divBdr>
    </w:div>
    <w:div w:id="1923097411">
      <w:marLeft w:val="0"/>
      <w:marRight w:val="0"/>
      <w:marTop w:val="0"/>
      <w:marBottom w:val="0"/>
      <w:divBdr>
        <w:top w:val="none" w:sz="0" w:space="0" w:color="auto"/>
        <w:left w:val="none" w:sz="0" w:space="0" w:color="auto"/>
        <w:bottom w:val="none" w:sz="0" w:space="0" w:color="auto"/>
        <w:right w:val="none" w:sz="0" w:space="0" w:color="auto"/>
      </w:divBdr>
    </w:div>
    <w:div w:id="1923097412">
      <w:marLeft w:val="0"/>
      <w:marRight w:val="0"/>
      <w:marTop w:val="0"/>
      <w:marBottom w:val="0"/>
      <w:divBdr>
        <w:top w:val="none" w:sz="0" w:space="0" w:color="auto"/>
        <w:left w:val="none" w:sz="0" w:space="0" w:color="auto"/>
        <w:bottom w:val="none" w:sz="0" w:space="0" w:color="auto"/>
        <w:right w:val="none" w:sz="0" w:space="0" w:color="auto"/>
      </w:divBdr>
    </w:div>
    <w:div w:id="1923097413">
      <w:marLeft w:val="0"/>
      <w:marRight w:val="0"/>
      <w:marTop w:val="0"/>
      <w:marBottom w:val="0"/>
      <w:divBdr>
        <w:top w:val="none" w:sz="0" w:space="0" w:color="auto"/>
        <w:left w:val="none" w:sz="0" w:space="0" w:color="auto"/>
        <w:bottom w:val="none" w:sz="0" w:space="0" w:color="auto"/>
        <w:right w:val="none" w:sz="0" w:space="0" w:color="auto"/>
      </w:divBdr>
    </w:div>
    <w:div w:id="1923097414">
      <w:marLeft w:val="0"/>
      <w:marRight w:val="0"/>
      <w:marTop w:val="0"/>
      <w:marBottom w:val="0"/>
      <w:divBdr>
        <w:top w:val="none" w:sz="0" w:space="0" w:color="auto"/>
        <w:left w:val="none" w:sz="0" w:space="0" w:color="auto"/>
        <w:bottom w:val="none" w:sz="0" w:space="0" w:color="auto"/>
        <w:right w:val="none" w:sz="0" w:space="0" w:color="auto"/>
      </w:divBdr>
    </w:div>
    <w:div w:id="1923097415">
      <w:marLeft w:val="0"/>
      <w:marRight w:val="0"/>
      <w:marTop w:val="0"/>
      <w:marBottom w:val="0"/>
      <w:divBdr>
        <w:top w:val="none" w:sz="0" w:space="0" w:color="auto"/>
        <w:left w:val="none" w:sz="0" w:space="0" w:color="auto"/>
        <w:bottom w:val="none" w:sz="0" w:space="0" w:color="auto"/>
        <w:right w:val="none" w:sz="0" w:space="0" w:color="auto"/>
      </w:divBdr>
    </w:div>
    <w:div w:id="1923097416">
      <w:marLeft w:val="0"/>
      <w:marRight w:val="0"/>
      <w:marTop w:val="0"/>
      <w:marBottom w:val="0"/>
      <w:divBdr>
        <w:top w:val="none" w:sz="0" w:space="0" w:color="auto"/>
        <w:left w:val="none" w:sz="0" w:space="0" w:color="auto"/>
        <w:bottom w:val="none" w:sz="0" w:space="0" w:color="auto"/>
        <w:right w:val="none" w:sz="0" w:space="0" w:color="auto"/>
      </w:divBdr>
    </w:div>
    <w:div w:id="1923097417">
      <w:marLeft w:val="0"/>
      <w:marRight w:val="0"/>
      <w:marTop w:val="0"/>
      <w:marBottom w:val="0"/>
      <w:divBdr>
        <w:top w:val="none" w:sz="0" w:space="0" w:color="auto"/>
        <w:left w:val="none" w:sz="0" w:space="0" w:color="auto"/>
        <w:bottom w:val="none" w:sz="0" w:space="0" w:color="auto"/>
        <w:right w:val="none" w:sz="0" w:space="0" w:color="auto"/>
      </w:divBdr>
    </w:div>
    <w:div w:id="1923097418">
      <w:marLeft w:val="0"/>
      <w:marRight w:val="0"/>
      <w:marTop w:val="0"/>
      <w:marBottom w:val="0"/>
      <w:divBdr>
        <w:top w:val="none" w:sz="0" w:space="0" w:color="auto"/>
        <w:left w:val="none" w:sz="0" w:space="0" w:color="auto"/>
        <w:bottom w:val="none" w:sz="0" w:space="0" w:color="auto"/>
        <w:right w:val="none" w:sz="0" w:space="0" w:color="auto"/>
      </w:divBdr>
    </w:div>
    <w:div w:id="1923097419">
      <w:marLeft w:val="0"/>
      <w:marRight w:val="0"/>
      <w:marTop w:val="0"/>
      <w:marBottom w:val="0"/>
      <w:divBdr>
        <w:top w:val="none" w:sz="0" w:space="0" w:color="auto"/>
        <w:left w:val="none" w:sz="0" w:space="0" w:color="auto"/>
        <w:bottom w:val="none" w:sz="0" w:space="0" w:color="auto"/>
        <w:right w:val="none" w:sz="0" w:space="0" w:color="auto"/>
      </w:divBdr>
    </w:div>
    <w:div w:id="1923097420">
      <w:marLeft w:val="0"/>
      <w:marRight w:val="0"/>
      <w:marTop w:val="0"/>
      <w:marBottom w:val="0"/>
      <w:divBdr>
        <w:top w:val="none" w:sz="0" w:space="0" w:color="auto"/>
        <w:left w:val="none" w:sz="0" w:space="0" w:color="auto"/>
        <w:bottom w:val="none" w:sz="0" w:space="0" w:color="auto"/>
        <w:right w:val="none" w:sz="0" w:space="0" w:color="auto"/>
      </w:divBdr>
    </w:div>
    <w:div w:id="1923097421">
      <w:marLeft w:val="0"/>
      <w:marRight w:val="0"/>
      <w:marTop w:val="0"/>
      <w:marBottom w:val="0"/>
      <w:divBdr>
        <w:top w:val="none" w:sz="0" w:space="0" w:color="auto"/>
        <w:left w:val="none" w:sz="0" w:space="0" w:color="auto"/>
        <w:bottom w:val="none" w:sz="0" w:space="0" w:color="auto"/>
        <w:right w:val="none" w:sz="0" w:space="0" w:color="auto"/>
      </w:divBdr>
    </w:div>
    <w:div w:id="1923097422">
      <w:marLeft w:val="0"/>
      <w:marRight w:val="0"/>
      <w:marTop w:val="0"/>
      <w:marBottom w:val="0"/>
      <w:divBdr>
        <w:top w:val="none" w:sz="0" w:space="0" w:color="auto"/>
        <w:left w:val="none" w:sz="0" w:space="0" w:color="auto"/>
        <w:bottom w:val="none" w:sz="0" w:space="0" w:color="auto"/>
        <w:right w:val="none" w:sz="0" w:space="0" w:color="auto"/>
      </w:divBdr>
    </w:div>
    <w:div w:id="1923097423">
      <w:marLeft w:val="0"/>
      <w:marRight w:val="0"/>
      <w:marTop w:val="0"/>
      <w:marBottom w:val="0"/>
      <w:divBdr>
        <w:top w:val="none" w:sz="0" w:space="0" w:color="auto"/>
        <w:left w:val="none" w:sz="0" w:space="0" w:color="auto"/>
        <w:bottom w:val="none" w:sz="0" w:space="0" w:color="auto"/>
        <w:right w:val="none" w:sz="0" w:space="0" w:color="auto"/>
      </w:divBdr>
    </w:div>
    <w:div w:id="1923097424">
      <w:marLeft w:val="0"/>
      <w:marRight w:val="0"/>
      <w:marTop w:val="0"/>
      <w:marBottom w:val="0"/>
      <w:divBdr>
        <w:top w:val="none" w:sz="0" w:space="0" w:color="auto"/>
        <w:left w:val="none" w:sz="0" w:space="0" w:color="auto"/>
        <w:bottom w:val="none" w:sz="0" w:space="0" w:color="auto"/>
        <w:right w:val="none" w:sz="0" w:space="0" w:color="auto"/>
      </w:divBdr>
    </w:div>
    <w:div w:id="1923097425">
      <w:marLeft w:val="0"/>
      <w:marRight w:val="0"/>
      <w:marTop w:val="0"/>
      <w:marBottom w:val="0"/>
      <w:divBdr>
        <w:top w:val="none" w:sz="0" w:space="0" w:color="auto"/>
        <w:left w:val="none" w:sz="0" w:space="0" w:color="auto"/>
        <w:bottom w:val="none" w:sz="0" w:space="0" w:color="auto"/>
        <w:right w:val="none" w:sz="0" w:space="0" w:color="auto"/>
      </w:divBdr>
    </w:div>
    <w:div w:id="1923097426">
      <w:marLeft w:val="0"/>
      <w:marRight w:val="0"/>
      <w:marTop w:val="0"/>
      <w:marBottom w:val="0"/>
      <w:divBdr>
        <w:top w:val="none" w:sz="0" w:space="0" w:color="auto"/>
        <w:left w:val="none" w:sz="0" w:space="0" w:color="auto"/>
        <w:bottom w:val="none" w:sz="0" w:space="0" w:color="auto"/>
        <w:right w:val="none" w:sz="0" w:space="0" w:color="auto"/>
      </w:divBdr>
    </w:div>
    <w:div w:id="1923097427">
      <w:marLeft w:val="0"/>
      <w:marRight w:val="0"/>
      <w:marTop w:val="0"/>
      <w:marBottom w:val="0"/>
      <w:divBdr>
        <w:top w:val="none" w:sz="0" w:space="0" w:color="auto"/>
        <w:left w:val="none" w:sz="0" w:space="0" w:color="auto"/>
        <w:bottom w:val="none" w:sz="0" w:space="0" w:color="auto"/>
        <w:right w:val="none" w:sz="0" w:space="0" w:color="auto"/>
      </w:divBdr>
    </w:div>
    <w:div w:id="1923097428">
      <w:marLeft w:val="0"/>
      <w:marRight w:val="0"/>
      <w:marTop w:val="0"/>
      <w:marBottom w:val="0"/>
      <w:divBdr>
        <w:top w:val="none" w:sz="0" w:space="0" w:color="auto"/>
        <w:left w:val="none" w:sz="0" w:space="0" w:color="auto"/>
        <w:bottom w:val="none" w:sz="0" w:space="0" w:color="auto"/>
        <w:right w:val="none" w:sz="0" w:space="0" w:color="auto"/>
      </w:divBdr>
    </w:div>
    <w:div w:id="1923097429">
      <w:marLeft w:val="0"/>
      <w:marRight w:val="0"/>
      <w:marTop w:val="0"/>
      <w:marBottom w:val="0"/>
      <w:divBdr>
        <w:top w:val="none" w:sz="0" w:space="0" w:color="auto"/>
        <w:left w:val="none" w:sz="0" w:space="0" w:color="auto"/>
        <w:bottom w:val="none" w:sz="0" w:space="0" w:color="auto"/>
        <w:right w:val="none" w:sz="0" w:space="0" w:color="auto"/>
      </w:divBdr>
    </w:div>
    <w:div w:id="1923097430">
      <w:marLeft w:val="0"/>
      <w:marRight w:val="0"/>
      <w:marTop w:val="0"/>
      <w:marBottom w:val="0"/>
      <w:divBdr>
        <w:top w:val="none" w:sz="0" w:space="0" w:color="auto"/>
        <w:left w:val="none" w:sz="0" w:space="0" w:color="auto"/>
        <w:bottom w:val="none" w:sz="0" w:space="0" w:color="auto"/>
        <w:right w:val="none" w:sz="0" w:space="0" w:color="auto"/>
      </w:divBdr>
    </w:div>
    <w:div w:id="1923097431">
      <w:marLeft w:val="0"/>
      <w:marRight w:val="0"/>
      <w:marTop w:val="0"/>
      <w:marBottom w:val="0"/>
      <w:divBdr>
        <w:top w:val="none" w:sz="0" w:space="0" w:color="auto"/>
        <w:left w:val="none" w:sz="0" w:space="0" w:color="auto"/>
        <w:bottom w:val="none" w:sz="0" w:space="0" w:color="auto"/>
        <w:right w:val="none" w:sz="0" w:space="0" w:color="auto"/>
      </w:divBdr>
    </w:div>
    <w:div w:id="1923097432">
      <w:marLeft w:val="0"/>
      <w:marRight w:val="0"/>
      <w:marTop w:val="0"/>
      <w:marBottom w:val="0"/>
      <w:divBdr>
        <w:top w:val="none" w:sz="0" w:space="0" w:color="auto"/>
        <w:left w:val="none" w:sz="0" w:space="0" w:color="auto"/>
        <w:bottom w:val="none" w:sz="0" w:space="0" w:color="auto"/>
        <w:right w:val="none" w:sz="0" w:space="0" w:color="auto"/>
      </w:divBdr>
    </w:div>
    <w:div w:id="1923097433">
      <w:marLeft w:val="0"/>
      <w:marRight w:val="0"/>
      <w:marTop w:val="0"/>
      <w:marBottom w:val="0"/>
      <w:divBdr>
        <w:top w:val="none" w:sz="0" w:space="0" w:color="auto"/>
        <w:left w:val="none" w:sz="0" w:space="0" w:color="auto"/>
        <w:bottom w:val="none" w:sz="0" w:space="0" w:color="auto"/>
        <w:right w:val="none" w:sz="0" w:space="0" w:color="auto"/>
      </w:divBdr>
    </w:div>
    <w:div w:id="1923097434">
      <w:marLeft w:val="0"/>
      <w:marRight w:val="0"/>
      <w:marTop w:val="0"/>
      <w:marBottom w:val="0"/>
      <w:divBdr>
        <w:top w:val="none" w:sz="0" w:space="0" w:color="auto"/>
        <w:left w:val="none" w:sz="0" w:space="0" w:color="auto"/>
        <w:bottom w:val="none" w:sz="0" w:space="0" w:color="auto"/>
        <w:right w:val="none" w:sz="0" w:space="0" w:color="auto"/>
      </w:divBdr>
    </w:div>
    <w:div w:id="1923097435">
      <w:marLeft w:val="0"/>
      <w:marRight w:val="0"/>
      <w:marTop w:val="0"/>
      <w:marBottom w:val="0"/>
      <w:divBdr>
        <w:top w:val="none" w:sz="0" w:space="0" w:color="auto"/>
        <w:left w:val="none" w:sz="0" w:space="0" w:color="auto"/>
        <w:bottom w:val="none" w:sz="0" w:space="0" w:color="auto"/>
        <w:right w:val="none" w:sz="0" w:space="0" w:color="auto"/>
      </w:divBdr>
    </w:div>
    <w:div w:id="1923097436">
      <w:marLeft w:val="0"/>
      <w:marRight w:val="0"/>
      <w:marTop w:val="0"/>
      <w:marBottom w:val="0"/>
      <w:divBdr>
        <w:top w:val="none" w:sz="0" w:space="0" w:color="auto"/>
        <w:left w:val="none" w:sz="0" w:space="0" w:color="auto"/>
        <w:bottom w:val="none" w:sz="0" w:space="0" w:color="auto"/>
        <w:right w:val="none" w:sz="0" w:space="0" w:color="auto"/>
      </w:divBdr>
    </w:div>
    <w:div w:id="1923097437">
      <w:marLeft w:val="0"/>
      <w:marRight w:val="0"/>
      <w:marTop w:val="0"/>
      <w:marBottom w:val="0"/>
      <w:divBdr>
        <w:top w:val="none" w:sz="0" w:space="0" w:color="auto"/>
        <w:left w:val="none" w:sz="0" w:space="0" w:color="auto"/>
        <w:bottom w:val="none" w:sz="0" w:space="0" w:color="auto"/>
        <w:right w:val="none" w:sz="0" w:space="0" w:color="auto"/>
      </w:divBdr>
    </w:div>
    <w:div w:id="1923097438">
      <w:marLeft w:val="0"/>
      <w:marRight w:val="0"/>
      <w:marTop w:val="0"/>
      <w:marBottom w:val="0"/>
      <w:divBdr>
        <w:top w:val="none" w:sz="0" w:space="0" w:color="auto"/>
        <w:left w:val="none" w:sz="0" w:space="0" w:color="auto"/>
        <w:bottom w:val="none" w:sz="0" w:space="0" w:color="auto"/>
        <w:right w:val="none" w:sz="0" w:space="0" w:color="auto"/>
      </w:divBdr>
    </w:div>
    <w:div w:id="1923097439">
      <w:marLeft w:val="0"/>
      <w:marRight w:val="0"/>
      <w:marTop w:val="0"/>
      <w:marBottom w:val="0"/>
      <w:divBdr>
        <w:top w:val="none" w:sz="0" w:space="0" w:color="auto"/>
        <w:left w:val="none" w:sz="0" w:space="0" w:color="auto"/>
        <w:bottom w:val="none" w:sz="0" w:space="0" w:color="auto"/>
        <w:right w:val="none" w:sz="0" w:space="0" w:color="auto"/>
      </w:divBdr>
    </w:div>
    <w:div w:id="1923097440">
      <w:marLeft w:val="0"/>
      <w:marRight w:val="0"/>
      <w:marTop w:val="0"/>
      <w:marBottom w:val="0"/>
      <w:divBdr>
        <w:top w:val="none" w:sz="0" w:space="0" w:color="auto"/>
        <w:left w:val="none" w:sz="0" w:space="0" w:color="auto"/>
        <w:bottom w:val="none" w:sz="0" w:space="0" w:color="auto"/>
        <w:right w:val="none" w:sz="0" w:space="0" w:color="auto"/>
      </w:divBdr>
    </w:div>
    <w:div w:id="1923097441">
      <w:marLeft w:val="0"/>
      <w:marRight w:val="0"/>
      <w:marTop w:val="0"/>
      <w:marBottom w:val="0"/>
      <w:divBdr>
        <w:top w:val="none" w:sz="0" w:space="0" w:color="auto"/>
        <w:left w:val="none" w:sz="0" w:space="0" w:color="auto"/>
        <w:bottom w:val="none" w:sz="0" w:space="0" w:color="auto"/>
        <w:right w:val="none" w:sz="0" w:space="0" w:color="auto"/>
      </w:divBdr>
    </w:div>
    <w:div w:id="1923097442">
      <w:marLeft w:val="0"/>
      <w:marRight w:val="0"/>
      <w:marTop w:val="0"/>
      <w:marBottom w:val="0"/>
      <w:divBdr>
        <w:top w:val="none" w:sz="0" w:space="0" w:color="auto"/>
        <w:left w:val="none" w:sz="0" w:space="0" w:color="auto"/>
        <w:bottom w:val="none" w:sz="0" w:space="0" w:color="auto"/>
        <w:right w:val="none" w:sz="0" w:space="0" w:color="auto"/>
      </w:divBdr>
    </w:div>
    <w:div w:id="1923097443">
      <w:marLeft w:val="0"/>
      <w:marRight w:val="0"/>
      <w:marTop w:val="0"/>
      <w:marBottom w:val="0"/>
      <w:divBdr>
        <w:top w:val="none" w:sz="0" w:space="0" w:color="auto"/>
        <w:left w:val="none" w:sz="0" w:space="0" w:color="auto"/>
        <w:bottom w:val="none" w:sz="0" w:space="0" w:color="auto"/>
        <w:right w:val="none" w:sz="0" w:space="0" w:color="auto"/>
      </w:divBdr>
    </w:div>
    <w:div w:id="1923097444">
      <w:marLeft w:val="0"/>
      <w:marRight w:val="0"/>
      <w:marTop w:val="0"/>
      <w:marBottom w:val="0"/>
      <w:divBdr>
        <w:top w:val="none" w:sz="0" w:space="0" w:color="auto"/>
        <w:left w:val="none" w:sz="0" w:space="0" w:color="auto"/>
        <w:bottom w:val="none" w:sz="0" w:space="0" w:color="auto"/>
        <w:right w:val="none" w:sz="0" w:space="0" w:color="auto"/>
      </w:divBdr>
    </w:div>
    <w:div w:id="1923097445">
      <w:marLeft w:val="0"/>
      <w:marRight w:val="0"/>
      <w:marTop w:val="0"/>
      <w:marBottom w:val="0"/>
      <w:divBdr>
        <w:top w:val="none" w:sz="0" w:space="0" w:color="auto"/>
        <w:left w:val="none" w:sz="0" w:space="0" w:color="auto"/>
        <w:bottom w:val="none" w:sz="0" w:space="0" w:color="auto"/>
        <w:right w:val="none" w:sz="0" w:space="0" w:color="auto"/>
      </w:divBdr>
    </w:div>
    <w:div w:id="1923097446">
      <w:marLeft w:val="0"/>
      <w:marRight w:val="0"/>
      <w:marTop w:val="0"/>
      <w:marBottom w:val="0"/>
      <w:divBdr>
        <w:top w:val="none" w:sz="0" w:space="0" w:color="auto"/>
        <w:left w:val="none" w:sz="0" w:space="0" w:color="auto"/>
        <w:bottom w:val="none" w:sz="0" w:space="0" w:color="auto"/>
        <w:right w:val="none" w:sz="0" w:space="0" w:color="auto"/>
      </w:divBdr>
    </w:div>
    <w:div w:id="1923097447">
      <w:marLeft w:val="0"/>
      <w:marRight w:val="0"/>
      <w:marTop w:val="0"/>
      <w:marBottom w:val="0"/>
      <w:divBdr>
        <w:top w:val="none" w:sz="0" w:space="0" w:color="auto"/>
        <w:left w:val="none" w:sz="0" w:space="0" w:color="auto"/>
        <w:bottom w:val="none" w:sz="0" w:space="0" w:color="auto"/>
        <w:right w:val="none" w:sz="0" w:space="0" w:color="auto"/>
      </w:divBdr>
    </w:div>
    <w:div w:id="1923097448">
      <w:marLeft w:val="0"/>
      <w:marRight w:val="0"/>
      <w:marTop w:val="0"/>
      <w:marBottom w:val="0"/>
      <w:divBdr>
        <w:top w:val="none" w:sz="0" w:space="0" w:color="auto"/>
        <w:left w:val="none" w:sz="0" w:space="0" w:color="auto"/>
        <w:bottom w:val="none" w:sz="0" w:space="0" w:color="auto"/>
        <w:right w:val="none" w:sz="0" w:space="0" w:color="auto"/>
      </w:divBdr>
    </w:div>
    <w:div w:id="1923097449">
      <w:marLeft w:val="0"/>
      <w:marRight w:val="0"/>
      <w:marTop w:val="0"/>
      <w:marBottom w:val="0"/>
      <w:divBdr>
        <w:top w:val="none" w:sz="0" w:space="0" w:color="auto"/>
        <w:left w:val="none" w:sz="0" w:space="0" w:color="auto"/>
        <w:bottom w:val="none" w:sz="0" w:space="0" w:color="auto"/>
        <w:right w:val="none" w:sz="0" w:space="0" w:color="auto"/>
      </w:divBdr>
    </w:div>
    <w:div w:id="1923097450">
      <w:marLeft w:val="0"/>
      <w:marRight w:val="0"/>
      <w:marTop w:val="0"/>
      <w:marBottom w:val="0"/>
      <w:divBdr>
        <w:top w:val="none" w:sz="0" w:space="0" w:color="auto"/>
        <w:left w:val="none" w:sz="0" w:space="0" w:color="auto"/>
        <w:bottom w:val="none" w:sz="0" w:space="0" w:color="auto"/>
        <w:right w:val="none" w:sz="0" w:space="0" w:color="auto"/>
      </w:divBdr>
    </w:div>
    <w:div w:id="1923097451">
      <w:marLeft w:val="0"/>
      <w:marRight w:val="0"/>
      <w:marTop w:val="0"/>
      <w:marBottom w:val="0"/>
      <w:divBdr>
        <w:top w:val="none" w:sz="0" w:space="0" w:color="auto"/>
        <w:left w:val="none" w:sz="0" w:space="0" w:color="auto"/>
        <w:bottom w:val="none" w:sz="0" w:space="0" w:color="auto"/>
        <w:right w:val="none" w:sz="0" w:space="0" w:color="auto"/>
      </w:divBdr>
    </w:div>
    <w:div w:id="1923097452">
      <w:marLeft w:val="0"/>
      <w:marRight w:val="0"/>
      <w:marTop w:val="0"/>
      <w:marBottom w:val="0"/>
      <w:divBdr>
        <w:top w:val="none" w:sz="0" w:space="0" w:color="auto"/>
        <w:left w:val="none" w:sz="0" w:space="0" w:color="auto"/>
        <w:bottom w:val="none" w:sz="0" w:space="0" w:color="auto"/>
        <w:right w:val="none" w:sz="0" w:space="0" w:color="auto"/>
      </w:divBdr>
    </w:div>
    <w:div w:id="1923097453">
      <w:marLeft w:val="0"/>
      <w:marRight w:val="0"/>
      <w:marTop w:val="0"/>
      <w:marBottom w:val="0"/>
      <w:divBdr>
        <w:top w:val="none" w:sz="0" w:space="0" w:color="auto"/>
        <w:left w:val="none" w:sz="0" w:space="0" w:color="auto"/>
        <w:bottom w:val="none" w:sz="0" w:space="0" w:color="auto"/>
        <w:right w:val="none" w:sz="0" w:space="0" w:color="auto"/>
      </w:divBdr>
    </w:div>
    <w:div w:id="1923097454">
      <w:marLeft w:val="0"/>
      <w:marRight w:val="0"/>
      <w:marTop w:val="0"/>
      <w:marBottom w:val="0"/>
      <w:divBdr>
        <w:top w:val="none" w:sz="0" w:space="0" w:color="auto"/>
        <w:left w:val="none" w:sz="0" w:space="0" w:color="auto"/>
        <w:bottom w:val="none" w:sz="0" w:space="0" w:color="auto"/>
        <w:right w:val="none" w:sz="0" w:space="0" w:color="auto"/>
      </w:divBdr>
    </w:div>
    <w:div w:id="1923097455">
      <w:marLeft w:val="0"/>
      <w:marRight w:val="0"/>
      <w:marTop w:val="0"/>
      <w:marBottom w:val="0"/>
      <w:divBdr>
        <w:top w:val="none" w:sz="0" w:space="0" w:color="auto"/>
        <w:left w:val="none" w:sz="0" w:space="0" w:color="auto"/>
        <w:bottom w:val="none" w:sz="0" w:space="0" w:color="auto"/>
        <w:right w:val="none" w:sz="0" w:space="0" w:color="auto"/>
      </w:divBdr>
    </w:div>
    <w:div w:id="1923097456">
      <w:marLeft w:val="0"/>
      <w:marRight w:val="0"/>
      <w:marTop w:val="0"/>
      <w:marBottom w:val="0"/>
      <w:divBdr>
        <w:top w:val="none" w:sz="0" w:space="0" w:color="auto"/>
        <w:left w:val="none" w:sz="0" w:space="0" w:color="auto"/>
        <w:bottom w:val="none" w:sz="0" w:space="0" w:color="auto"/>
        <w:right w:val="none" w:sz="0" w:space="0" w:color="auto"/>
      </w:divBdr>
    </w:div>
    <w:div w:id="1923097457">
      <w:marLeft w:val="0"/>
      <w:marRight w:val="0"/>
      <w:marTop w:val="0"/>
      <w:marBottom w:val="0"/>
      <w:divBdr>
        <w:top w:val="none" w:sz="0" w:space="0" w:color="auto"/>
        <w:left w:val="none" w:sz="0" w:space="0" w:color="auto"/>
        <w:bottom w:val="none" w:sz="0" w:space="0" w:color="auto"/>
        <w:right w:val="none" w:sz="0" w:space="0" w:color="auto"/>
      </w:divBdr>
    </w:div>
    <w:div w:id="1923097458">
      <w:marLeft w:val="0"/>
      <w:marRight w:val="0"/>
      <w:marTop w:val="0"/>
      <w:marBottom w:val="0"/>
      <w:divBdr>
        <w:top w:val="none" w:sz="0" w:space="0" w:color="auto"/>
        <w:left w:val="none" w:sz="0" w:space="0" w:color="auto"/>
        <w:bottom w:val="none" w:sz="0" w:space="0" w:color="auto"/>
        <w:right w:val="none" w:sz="0" w:space="0" w:color="auto"/>
      </w:divBdr>
    </w:div>
    <w:div w:id="1923097459">
      <w:marLeft w:val="0"/>
      <w:marRight w:val="0"/>
      <w:marTop w:val="0"/>
      <w:marBottom w:val="0"/>
      <w:divBdr>
        <w:top w:val="none" w:sz="0" w:space="0" w:color="auto"/>
        <w:left w:val="none" w:sz="0" w:space="0" w:color="auto"/>
        <w:bottom w:val="none" w:sz="0" w:space="0" w:color="auto"/>
        <w:right w:val="none" w:sz="0" w:space="0" w:color="auto"/>
      </w:divBdr>
    </w:div>
    <w:div w:id="1923097460">
      <w:marLeft w:val="0"/>
      <w:marRight w:val="0"/>
      <w:marTop w:val="0"/>
      <w:marBottom w:val="0"/>
      <w:divBdr>
        <w:top w:val="none" w:sz="0" w:space="0" w:color="auto"/>
        <w:left w:val="none" w:sz="0" w:space="0" w:color="auto"/>
        <w:bottom w:val="none" w:sz="0" w:space="0" w:color="auto"/>
        <w:right w:val="none" w:sz="0" w:space="0" w:color="auto"/>
      </w:divBdr>
    </w:div>
    <w:div w:id="1923097461">
      <w:marLeft w:val="0"/>
      <w:marRight w:val="0"/>
      <w:marTop w:val="0"/>
      <w:marBottom w:val="0"/>
      <w:divBdr>
        <w:top w:val="none" w:sz="0" w:space="0" w:color="auto"/>
        <w:left w:val="none" w:sz="0" w:space="0" w:color="auto"/>
        <w:bottom w:val="none" w:sz="0" w:space="0" w:color="auto"/>
        <w:right w:val="none" w:sz="0" w:space="0" w:color="auto"/>
      </w:divBdr>
    </w:div>
    <w:div w:id="1923097462">
      <w:marLeft w:val="0"/>
      <w:marRight w:val="0"/>
      <w:marTop w:val="0"/>
      <w:marBottom w:val="0"/>
      <w:divBdr>
        <w:top w:val="none" w:sz="0" w:space="0" w:color="auto"/>
        <w:left w:val="none" w:sz="0" w:space="0" w:color="auto"/>
        <w:bottom w:val="none" w:sz="0" w:space="0" w:color="auto"/>
        <w:right w:val="none" w:sz="0" w:space="0" w:color="auto"/>
      </w:divBdr>
    </w:div>
    <w:div w:id="1923097463">
      <w:marLeft w:val="0"/>
      <w:marRight w:val="0"/>
      <w:marTop w:val="0"/>
      <w:marBottom w:val="0"/>
      <w:divBdr>
        <w:top w:val="none" w:sz="0" w:space="0" w:color="auto"/>
        <w:left w:val="none" w:sz="0" w:space="0" w:color="auto"/>
        <w:bottom w:val="none" w:sz="0" w:space="0" w:color="auto"/>
        <w:right w:val="none" w:sz="0" w:space="0" w:color="auto"/>
      </w:divBdr>
    </w:div>
    <w:div w:id="1923097464">
      <w:marLeft w:val="0"/>
      <w:marRight w:val="0"/>
      <w:marTop w:val="0"/>
      <w:marBottom w:val="0"/>
      <w:divBdr>
        <w:top w:val="none" w:sz="0" w:space="0" w:color="auto"/>
        <w:left w:val="none" w:sz="0" w:space="0" w:color="auto"/>
        <w:bottom w:val="none" w:sz="0" w:space="0" w:color="auto"/>
        <w:right w:val="none" w:sz="0" w:space="0" w:color="auto"/>
      </w:divBdr>
    </w:div>
    <w:div w:id="1923097465">
      <w:marLeft w:val="0"/>
      <w:marRight w:val="0"/>
      <w:marTop w:val="0"/>
      <w:marBottom w:val="0"/>
      <w:divBdr>
        <w:top w:val="none" w:sz="0" w:space="0" w:color="auto"/>
        <w:left w:val="none" w:sz="0" w:space="0" w:color="auto"/>
        <w:bottom w:val="none" w:sz="0" w:space="0" w:color="auto"/>
        <w:right w:val="none" w:sz="0" w:space="0" w:color="auto"/>
      </w:divBdr>
    </w:div>
    <w:div w:id="1923097466">
      <w:marLeft w:val="0"/>
      <w:marRight w:val="0"/>
      <w:marTop w:val="0"/>
      <w:marBottom w:val="0"/>
      <w:divBdr>
        <w:top w:val="none" w:sz="0" w:space="0" w:color="auto"/>
        <w:left w:val="none" w:sz="0" w:space="0" w:color="auto"/>
        <w:bottom w:val="none" w:sz="0" w:space="0" w:color="auto"/>
        <w:right w:val="none" w:sz="0" w:space="0" w:color="auto"/>
      </w:divBdr>
    </w:div>
    <w:div w:id="1923097467">
      <w:marLeft w:val="0"/>
      <w:marRight w:val="0"/>
      <w:marTop w:val="0"/>
      <w:marBottom w:val="0"/>
      <w:divBdr>
        <w:top w:val="none" w:sz="0" w:space="0" w:color="auto"/>
        <w:left w:val="none" w:sz="0" w:space="0" w:color="auto"/>
        <w:bottom w:val="none" w:sz="0" w:space="0" w:color="auto"/>
        <w:right w:val="none" w:sz="0" w:space="0" w:color="auto"/>
      </w:divBdr>
    </w:div>
    <w:div w:id="1923097468">
      <w:marLeft w:val="0"/>
      <w:marRight w:val="0"/>
      <w:marTop w:val="0"/>
      <w:marBottom w:val="0"/>
      <w:divBdr>
        <w:top w:val="none" w:sz="0" w:space="0" w:color="auto"/>
        <w:left w:val="none" w:sz="0" w:space="0" w:color="auto"/>
        <w:bottom w:val="none" w:sz="0" w:space="0" w:color="auto"/>
        <w:right w:val="none" w:sz="0" w:space="0" w:color="auto"/>
      </w:divBdr>
    </w:div>
    <w:div w:id="1923097469">
      <w:marLeft w:val="0"/>
      <w:marRight w:val="0"/>
      <w:marTop w:val="0"/>
      <w:marBottom w:val="0"/>
      <w:divBdr>
        <w:top w:val="none" w:sz="0" w:space="0" w:color="auto"/>
        <w:left w:val="none" w:sz="0" w:space="0" w:color="auto"/>
        <w:bottom w:val="none" w:sz="0" w:space="0" w:color="auto"/>
        <w:right w:val="none" w:sz="0" w:space="0" w:color="auto"/>
      </w:divBdr>
    </w:div>
    <w:div w:id="1923097470">
      <w:marLeft w:val="0"/>
      <w:marRight w:val="0"/>
      <w:marTop w:val="0"/>
      <w:marBottom w:val="0"/>
      <w:divBdr>
        <w:top w:val="none" w:sz="0" w:space="0" w:color="auto"/>
        <w:left w:val="none" w:sz="0" w:space="0" w:color="auto"/>
        <w:bottom w:val="none" w:sz="0" w:space="0" w:color="auto"/>
        <w:right w:val="none" w:sz="0" w:space="0" w:color="auto"/>
      </w:divBdr>
    </w:div>
    <w:div w:id="1923097471">
      <w:marLeft w:val="0"/>
      <w:marRight w:val="0"/>
      <w:marTop w:val="0"/>
      <w:marBottom w:val="0"/>
      <w:divBdr>
        <w:top w:val="none" w:sz="0" w:space="0" w:color="auto"/>
        <w:left w:val="none" w:sz="0" w:space="0" w:color="auto"/>
        <w:bottom w:val="none" w:sz="0" w:space="0" w:color="auto"/>
        <w:right w:val="none" w:sz="0" w:space="0" w:color="auto"/>
      </w:divBdr>
    </w:div>
    <w:div w:id="1923097472">
      <w:marLeft w:val="0"/>
      <w:marRight w:val="0"/>
      <w:marTop w:val="0"/>
      <w:marBottom w:val="0"/>
      <w:divBdr>
        <w:top w:val="none" w:sz="0" w:space="0" w:color="auto"/>
        <w:left w:val="none" w:sz="0" w:space="0" w:color="auto"/>
        <w:bottom w:val="none" w:sz="0" w:space="0" w:color="auto"/>
        <w:right w:val="none" w:sz="0" w:space="0" w:color="auto"/>
      </w:divBdr>
    </w:div>
    <w:div w:id="1923097473">
      <w:marLeft w:val="0"/>
      <w:marRight w:val="0"/>
      <w:marTop w:val="0"/>
      <w:marBottom w:val="0"/>
      <w:divBdr>
        <w:top w:val="none" w:sz="0" w:space="0" w:color="auto"/>
        <w:left w:val="none" w:sz="0" w:space="0" w:color="auto"/>
        <w:bottom w:val="none" w:sz="0" w:space="0" w:color="auto"/>
        <w:right w:val="none" w:sz="0" w:space="0" w:color="auto"/>
      </w:divBdr>
    </w:div>
    <w:div w:id="1923097474">
      <w:marLeft w:val="0"/>
      <w:marRight w:val="0"/>
      <w:marTop w:val="0"/>
      <w:marBottom w:val="0"/>
      <w:divBdr>
        <w:top w:val="none" w:sz="0" w:space="0" w:color="auto"/>
        <w:left w:val="none" w:sz="0" w:space="0" w:color="auto"/>
        <w:bottom w:val="none" w:sz="0" w:space="0" w:color="auto"/>
        <w:right w:val="none" w:sz="0" w:space="0" w:color="auto"/>
      </w:divBdr>
    </w:div>
    <w:div w:id="1923097475">
      <w:marLeft w:val="0"/>
      <w:marRight w:val="0"/>
      <w:marTop w:val="0"/>
      <w:marBottom w:val="0"/>
      <w:divBdr>
        <w:top w:val="none" w:sz="0" w:space="0" w:color="auto"/>
        <w:left w:val="none" w:sz="0" w:space="0" w:color="auto"/>
        <w:bottom w:val="none" w:sz="0" w:space="0" w:color="auto"/>
        <w:right w:val="none" w:sz="0" w:space="0" w:color="auto"/>
      </w:divBdr>
    </w:div>
    <w:div w:id="1923097476">
      <w:marLeft w:val="0"/>
      <w:marRight w:val="0"/>
      <w:marTop w:val="0"/>
      <w:marBottom w:val="0"/>
      <w:divBdr>
        <w:top w:val="none" w:sz="0" w:space="0" w:color="auto"/>
        <w:left w:val="none" w:sz="0" w:space="0" w:color="auto"/>
        <w:bottom w:val="none" w:sz="0" w:space="0" w:color="auto"/>
        <w:right w:val="none" w:sz="0" w:space="0" w:color="auto"/>
      </w:divBdr>
    </w:div>
    <w:div w:id="1923097477">
      <w:marLeft w:val="0"/>
      <w:marRight w:val="0"/>
      <w:marTop w:val="0"/>
      <w:marBottom w:val="0"/>
      <w:divBdr>
        <w:top w:val="none" w:sz="0" w:space="0" w:color="auto"/>
        <w:left w:val="none" w:sz="0" w:space="0" w:color="auto"/>
        <w:bottom w:val="none" w:sz="0" w:space="0" w:color="auto"/>
        <w:right w:val="none" w:sz="0" w:space="0" w:color="auto"/>
      </w:divBdr>
    </w:div>
    <w:div w:id="1923097478">
      <w:marLeft w:val="0"/>
      <w:marRight w:val="0"/>
      <w:marTop w:val="0"/>
      <w:marBottom w:val="0"/>
      <w:divBdr>
        <w:top w:val="none" w:sz="0" w:space="0" w:color="auto"/>
        <w:left w:val="none" w:sz="0" w:space="0" w:color="auto"/>
        <w:bottom w:val="none" w:sz="0" w:space="0" w:color="auto"/>
        <w:right w:val="none" w:sz="0" w:space="0" w:color="auto"/>
      </w:divBdr>
    </w:div>
    <w:div w:id="1923097479">
      <w:marLeft w:val="0"/>
      <w:marRight w:val="0"/>
      <w:marTop w:val="0"/>
      <w:marBottom w:val="0"/>
      <w:divBdr>
        <w:top w:val="none" w:sz="0" w:space="0" w:color="auto"/>
        <w:left w:val="none" w:sz="0" w:space="0" w:color="auto"/>
        <w:bottom w:val="none" w:sz="0" w:space="0" w:color="auto"/>
        <w:right w:val="none" w:sz="0" w:space="0" w:color="auto"/>
      </w:divBdr>
    </w:div>
    <w:div w:id="1923097480">
      <w:marLeft w:val="0"/>
      <w:marRight w:val="0"/>
      <w:marTop w:val="0"/>
      <w:marBottom w:val="0"/>
      <w:divBdr>
        <w:top w:val="none" w:sz="0" w:space="0" w:color="auto"/>
        <w:left w:val="none" w:sz="0" w:space="0" w:color="auto"/>
        <w:bottom w:val="none" w:sz="0" w:space="0" w:color="auto"/>
        <w:right w:val="none" w:sz="0" w:space="0" w:color="auto"/>
      </w:divBdr>
    </w:div>
    <w:div w:id="1923097481">
      <w:marLeft w:val="0"/>
      <w:marRight w:val="0"/>
      <w:marTop w:val="0"/>
      <w:marBottom w:val="0"/>
      <w:divBdr>
        <w:top w:val="none" w:sz="0" w:space="0" w:color="auto"/>
        <w:left w:val="none" w:sz="0" w:space="0" w:color="auto"/>
        <w:bottom w:val="none" w:sz="0" w:space="0" w:color="auto"/>
        <w:right w:val="none" w:sz="0" w:space="0" w:color="auto"/>
      </w:divBdr>
    </w:div>
    <w:div w:id="1923097482">
      <w:marLeft w:val="0"/>
      <w:marRight w:val="0"/>
      <w:marTop w:val="0"/>
      <w:marBottom w:val="0"/>
      <w:divBdr>
        <w:top w:val="none" w:sz="0" w:space="0" w:color="auto"/>
        <w:left w:val="none" w:sz="0" w:space="0" w:color="auto"/>
        <w:bottom w:val="none" w:sz="0" w:space="0" w:color="auto"/>
        <w:right w:val="none" w:sz="0" w:space="0" w:color="auto"/>
      </w:divBdr>
    </w:div>
    <w:div w:id="1923097483">
      <w:marLeft w:val="0"/>
      <w:marRight w:val="0"/>
      <w:marTop w:val="0"/>
      <w:marBottom w:val="0"/>
      <w:divBdr>
        <w:top w:val="none" w:sz="0" w:space="0" w:color="auto"/>
        <w:left w:val="none" w:sz="0" w:space="0" w:color="auto"/>
        <w:bottom w:val="none" w:sz="0" w:space="0" w:color="auto"/>
        <w:right w:val="none" w:sz="0" w:space="0" w:color="auto"/>
      </w:divBdr>
    </w:div>
    <w:div w:id="1923097484">
      <w:marLeft w:val="0"/>
      <w:marRight w:val="0"/>
      <w:marTop w:val="0"/>
      <w:marBottom w:val="0"/>
      <w:divBdr>
        <w:top w:val="none" w:sz="0" w:space="0" w:color="auto"/>
        <w:left w:val="none" w:sz="0" w:space="0" w:color="auto"/>
        <w:bottom w:val="none" w:sz="0" w:space="0" w:color="auto"/>
        <w:right w:val="none" w:sz="0" w:space="0" w:color="auto"/>
      </w:divBdr>
    </w:div>
    <w:div w:id="1923097485">
      <w:marLeft w:val="0"/>
      <w:marRight w:val="0"/>
      <w:marTop w:val="0"/>
      <w:marBottom w:val="0"/>
      <w:divBdr>
        <w:top w:val="none" w:sz="0" w:space="0" w:color="auto"/>
        <w:left w:val="none" w:sz="0" w:space="0" w:color="auto"/>
        <w:bottom w:val="none" w:sz="0" w:space="0" w:color="auto"/>
        <w:right w:val="none" w:sz="0" w:space="0" w:color="auto"/>
      </w:divBdr>
    </w:div>
    <w:div w:id="1923097486">
      <w:marLeft w:val="0"/>
      <w:marRight w:val="0"/>
      <w:marTop w:val="0"/>
      <w:marBottom w:val="0"/>
      <w:divBdr>
        <w:top w:val="none" w:sz="0" w:space="0" w:color="auto"/>
        <w:left w:val="none" w:sz="0" w:space="0" w:color="auto"/>
        <w:bottom w:val="none" w:sz="0" w:space="0" w:color="auto"/>
        <w:right w:val="none" w:sz="0" w:space="0" w:color="auto"/>
      </w:divBdr>
    </w:div>
    <w:div w:id="1923097487">
      <w:marLeft w:val="0"/>
      <w:marRight w:val="0"/>
      <w:marTop w:val="0"/>
      <w:marBottom w:val="0"/>
      <w:divBdr>
        <w:top w:val="none" w:sz="0" w:space="0" w:color="auto"/>
        <w:left w:val="none" w:sz="0" w:space="0" w:color="auto"/>
        <w:bottom w:val="none" w:sz="0" w:space="0" w:color="auto"/>
        <w:right w:val="none" w:sz="0" w:space="0" w:color="auto"/>
      </w:divBdr>
    </w:div>
    <w:div w:id="1923097488">
      <w:marLeft w:val="0"/>
      <w:marRight w:val="0"/>
      <w:marTop w:val="0"/>
      <w:marBottom w:val="0"/>
      <w:divBdr>
        <w:top w:val="none" w:sz="0" w:space="0" w:color="auto"/>
        <w:left w:val="none" w:sz="0" w:space="0" w:color="auto"/>
        <w:bottom w:val="none" w:sz="0" w:space="0" w:color="auto"/>
        <w:right w:val="none" w:sz="0" w:space="0" w:color="auto"/>
      </w:divBdr>
    </w:div>
    <w:div w:id="1923097489">
      <w:marLeft w:val="0"/>
      <w:marRight w:val="0"/>
      <w:marTop w:val="0"/>
      <w:marBottom w:val="0"/>
      <w:divBdr>
        <w:top w:val="none" w:sz="0" w:space="0" w:color="auto"/>
        <w:left w:val="none" w:sz="0" w:space="0" w:color="auto"/>
        <w:bottom w:val="none" w:sz="0" w:space="0" w:color="auto"/>
        <w:right w:val="none" w:sz="0" w:space="0" w:color="auto"/>
      </w:divBdr>
    </w:div>
    <w:div w:id="1923097490">
      <w:marLeft w:val="0"/>
      <w:marRight w:val="0"/>
      <w:marTop w:val="0"/>
      <w:marBottom w:val="0"/>
      <w:divBdr>
        <w:top w:val="none" w:sz="0" w:space="0" w:color="auto"/>
        <w:left w:val="none" w:sz="0" w:space="0" w:color="auto"/>
        <w:bottom w:val="none" w:sz="0" w:space="0" w:color="auto"/>
        <w:right w:val="none" w:sz="0" w:space="0" w:color="auto"/>
      </w:divBdr>
    </w:div>
    <w:div w:id="1923097491">
      <w:marLeft w:val="0"/>
      <w:marRight w:val="0"/>
      <w:marTop w:val="0"/>
      <w:marBottom w:val="0"/>
      <w:divBdr>
        <w:top w:val="none" w:sz="0" w:space="0" w:color="auto"/>
        <w:left w:val="none" w:sz="0" w:space="0" w:color="auto"/>
        <w:bottom w:val="none" w:sz="0" w:space="0" w:color="auto"/>
        <w:right w:val="none" w:sz="0" w:space="0" w:color="auto"/>
      </w:divBdr>
    </w:div>
    <w:div w:id="1923097492">
      <w:marLeft w:val="0"/>
      <w:marRight w:val="0"/>
      <w:marTop w:val="0"/>
      <w:marBottom w:val="0"/>
      <w:divBdr>
        <w:top w:val="none" w:sz="0" w:space="0" w:color="auto"/>
        <w:left w:val="none" w:sz="0" w:space="0" w:color="auto"/>
        <w:bottom w:val="none" w:sz="0" w:space="0" w:color="auto"/>
        <w:right w:val="none" w:sz="0" w:space="0" w:color="auto"/>
      </w:divBdr>
    </w:div>
    <w:div w:id="1923097493">
      <w:marLeft w:val="0"/>
      <w:marRight w:val="0"/>
      <w:marTop w:val="0"/>
      <w:marBottom w:val="0"/>
      <w:divBdr>
        <w:top w:val="none" w:sz="0" w:space="0" w:color="auto"/>
        <w:left w:val="none" w:sz="0" w:space="0" w:color="auto"/>
        <w:bottom w:val="none" w:sz="0" w:space="0" w:color="auto"/>
        <w:right w:val="none" w:sz="0" w:space="0" w:color="auto"/>
      </w:divBdr>
    </w:div>
    <w:div w:id="1923097494">
      <w:marLeft w:val="0"/>
      <w:marRight w:val="0"/>
      <w:marTop w:val="0"/>
      <w:marBottom w:val="0"/>
      <w:divBdr>
        <w:top w:val="none" w:sz="0" w:space="0" w:color="auto"/>
        <w:left w:val="none" w:sz="0" w:space="0" w:color="auto"/>
        <w:bottom w:val="none" w:sz="0" w:space="0" w:color="auto"/>
        <w:right w:val="none" w:sz="0" w:space="0" w:color="auto"/>
      </w:divBdr>
    </w:div>
    <w:div w:id="1923097495">
      <w:marLeft w:val="0"/>
      <w:marRight w:val="0"/>
      <w:marTop w:val="0"/>
      <w:marBottom w:val="0"/>
      <w:divBdr>
        <w:top w:val="none" w:sz="0" w:space="0" w:color="auto"/>
        <w:left w:val="none" w:sz="0" w:space="0" w:color="auto"/>
        <w:bottom w:val="none" w:sz="0" w:space="0" w:color="auto"/>
        <w:right w:val="none" w:sz="0" w:space="0" w:color="auto"/>
      </w:divBdr>
    </w:div>
    <w:div w:id="1923097496">
      <w:marLeft w:val="0"/>
      <w:marRight w:val="0"/>
      <w:marTop w:val="0"/>
      <w:marBottom w:val="0"/>
      <w:divBdr>
        <w:top w:val="none" w:sz="0" w:space="0" w:color="auto"/>
        <w:left w:val="none" w:sz="0" w:space="0" w:color="auto"/>
        <w:bottom w:val="none" w:sz="0" w:space="0" w:color="auto"/>
        <w:right w:val="none" w:sz="0" w:space="0" w:color="auto"/>
      </w:divBdr>
    </w:div>
    <w:div w:id="1923097497">
      <w:marLeft w:val="0"/>
      <w:marRight w:val="0"/>
      <w:marTop w:val="0"/>
      <w:marBottom w:val="0"/>
      <w:divBdr>
        <w:top w:val="none" w:sz="0" w:space="0" w:color="auto"/>
        <w:left w:val="none" w:sz="0" w:space="0" w:color="auto"/>
        <w:bottom w:val="none" w:sz="0" w:space="0" w:color="auto"/>
        <w:right w:val="none" w:sz="0" w:space="0" w:color="auto"/>
      </w:divBdr>
    </w:div>
    <w:div w:id="1923097498">
      <w:marLeft w:val="0"/>
      <w:marRight w:val="0"/>
      <w:marTop w:val="0"/>
      <w:marBottom w:val="0"/>
      <w:divBdr>
        <w:top w:val="none" w:sz="0" w:space="0" w:color="auto"/>
        <w:left w:val="none" w:sz="0" w:space="0" w:color="auto"/>
        <w:bottom w:val="none" w:sz="0" w:space="0" w:color="auto"/>
        <w:right w:val="none" w:sz="0" w:space="0" w:color="auto"/>
      </w:divBdr>
    </w:div>
    <w:div w:id="1923097499">
      <w:marLeft w:val="0"/>
      <w:marRight w:val="0"/>
      <w:marTop w:val="0"/>
      <w:marBottom w:val="0"/>
      <w:divBdr>
        <w:top w:val="none" w:sz="0" w:space="0" w:color="auto"/>
        <w:left w:val="none" w:sz="0" w:space="0" w:color="auto"/>
        <w:bottom w:val="none" w:sz="0" w:space="0" w:color="auto"/>
        <w:right w:val="none" w:sz="0" w:space="0" w:color="auto"/>
      </w:divBdr>
    </w:div>
    <w:div w:id="1923097500">
      <w:marLeft w:val="0"/>
      <w:marRight w:val="0"/>
      <w:marTop w:val="0"/>
      <w:marBottom w:val="0"/>
      <w:divBdr>
        <w:top w:val="none" w:sz="0" w:space="0" w:color="auto"/>
        <w:left w:val="none" w:sz="0" w:space="0" w:color="auto"/>
        <w:bottom w:val="none" w:sz="0" w:space="0" w:color="auto"/>
        <w:right w:val="none" w:sz="0" w:space="0" w:color="auto"/>
      </w:divBdr>
    </w:div>
    <w:div w:id="1923097501">
      <w:marLeft w:val="0"/>
      <w:marRight w:val="0"/>
      <w:marTop w:val="0"/>
      <w:marBottom w:val="0"/>
      <w:divBdr>
        <w:top w:val="none" w:sz="0" w:space="0" w:color="auto"/>
        <w:left w:val="none" w:sz="0" w:space="0" w:color="auto"/>
        <w:bottom w:val="none" w:sz="0" w:space="0" w:color="auto"/>
        <w:right w:val="none" w:sz="0" w:space="0" w:color="auto"/>
      </w:divBdr>
    </w:div>
    <w:div w:id="1923097502">
      <w:marLeft w:val="0"/>
      <w:marRight w:val="0"/>
      <w:marTop w:val="0"/>
      <w:marBottom w:val="0"/>
      <w:divBdr>
        <w:top w:val="none" w:sz="0" w:space="0" w:color="auto"/>
        <w:left w:val="none" w:sz="0" w:space="0" w:color="auto"/>
        <w:bottom w:val="none" w:sz="0" w:space="0" w:color="auto"/>
        <w:right w:val="none" w:sz="0" w:space="0" w:color="auto"/>
      </w:divBdr>
    </w:div>
    <w:div w:id="1923097503">
      <w:marLeft w:val="0"/>
      <w:marRight w:val="0"/>
      <w:marTop w:val="0"/>
      <w:marBottom w:val="0"/>
      <w:divBdr>
        <w:top w:val="none" w:sz="0" w:space="0" w:color="auto"/>
        <w:left w:val="none" w:sz="0" w:space="0" w:color="auto"/>
        <w:bottom w:val="none" w:sz="0" w:space="0" w:color="auto"/>
        <w:right w:val="none" w:sz="0" w:space="0" w:color="auto"/>
      </w:divBdr>
    </w:div>
    <w:div w:id="1923097504">
      <w:marLeft w:val="0"/>
      <w:marRight w:val="0"/>
      <w:marTop w:val="0"/>
      <w:marBottom w:val="0"/>
      <w:divBdr>
        <w:top w:val="none" w:sz="0" w:space="0" w:color="auto"/>
        <w:left w:val="none" w:sz="0" w:space="0" w:color="auto"/>
        <w:bottom w:val="none" w:sz="0" w:space="0" w:color="auto"/>
        <w:right w:val="none" w:sz="0" w:space="0" w:color="auto"/>
      </w:divBdr>
    </w:div>
    <w:div w:id="1923097505">
      <w:marLeft w:val="0"/>
      <w:marRight w:val="0"/>
      <w:marTop w:val="0"/>
      <w:marBottom w:val="0"/>
      <w:divBdr>
        <w:top w:val="none" w:sz="0" w:space="0" w:color="auto"/>
        <w:left w:val="none" w:sz="0" w:space="0" w:color="auto"/>
        <w:bottom w:val="none" w:sz="0" w:space="0" w:color="auto"/>
        <w:right w:val="none" w:sz="0" w:space="0" w:color="auto"/>
      </w:divBdr>
    </w:div>
    <w:div w:id="1923097506">
      <w:marLeft w:val="0"/>
      <w:marRight w:val="0"/>
      <w:marTop w:val="0"/>
      <w:marBottom w:val="0"/>
      <w:divBdr>
        <w:top w:val="none" w:sz="0" w:space="0" w:color="auto"/>
        <w:left w:val="none" w:sz="0" w:space="0" w:color="auto"/>
        <w:bottom w:val="none" w:sz="0" w:space="0" w:color="auto"/>
        <w:right w:val="none" w:sz="0" w:space="0" w:color="auto"/>
      </w:divBdr>
    </w:div>
    <w:div w:id="1923097507">
      <w:marLeft w:val="0"/>
      <w:marRight w:val="0"/>
      <w:marTop w:val="0"/>
      <w:marBottom w:val="0"/>
      <w:divBdr>
        <w:top w:val="none" w:sz="0" w:space="0" w:color="auto"/>
        <w:left w:val="none" w:sz="0" w:space="0" w:color="auto"/>
        <w:bottom w:val="none" w:sz="0" w:space="0" w:color="auto"/>
        <w:right w:val="none" w:sz="0" w:space="0" w:color="auto"/>
      </w:divBdr>
    </w:div>
    <w:div w:id="1923097508">
      <w:marLeft w:val="0"/>
      <w:marRight w:val="0"/>
      <w:marTop w:val="0"/>
      <w:marBottom w:val="0"/>
      <w:divBdr>
        <w:top w:val="none" w:sz="0" w:space="0" w:color="auto"/>
        <w:left w:val="none" w:sz="0" w:space="0" w:color="auto"/>
        <w:bottom w:val="none" w:sz="0" w:space="0" w:color="auto"/>
        <w:right w:val="none" w:sz="0" w:space="0" w:color="auto"/>
      </w:divBdr>
    </w:div>
    <w:div w:id="1923097509">
      <w:marLeft w:val="0"/>
      <w:marRight w:val="0"/>
      <w:marTop w:val="0"/>
      <w:marBottom w:val="0"/>
      <w:divBdr>
        <w:top w:val="none" w:sz="0" w:space="0" w:color="auto"/>
        <w:left w:val="none" w:sz="0" w:space="0" w:color="auto"/>
        <w:bottom w:val="none" w:sz="0" w:space="0" w:color="auto"/>
        <w:right w:val="none" w:sz="0" w:space="0" w:color="auto"/>
      </w:divBdr>
    </w:div>
    <w:div w:id="1923097510">
      <w:marLeft w:val="0"/>
      <w:marRight w:val="0"/>
      <w:marTop w:val="0"/>
      <w:marBottom w:val="0"/>
      <w:divBdr>
        <w:top w:val="none" w:sz="0" w:space="0" w:color="auto"/>
        <w:left w:val="none" w:sz="0" w:space="0" w:color="auto"/>
        <w:bottom w:val="none" w:sz="0" w:space="0" w:color="auto"/>
        <w:right w:val="none" w:sz="0" w:space="0" w:color="auto"/>
      </w:divBdr>
    </w:div>
    <w:div w:id="1923097511">
      <w:marLeft w:val="0"/>
      <w:marRight w:val="0"/>
      <w:marTop w:val="0"/>
      <w:marBottom w:val="0"/>
      <w:divBdr>
        <w:top w:val="none" w:sz="0" w:space="0" w:color="auto"/>
        <w:left w:val="none" w:sz="0" w:space="0" w:color="auto"/>
        <w:bottom w:val="none" w:sz="0" w:space="0" w:color="auto"/>
        <w:right w:val="none" w:sz="0" w:space="0" w:color="auto"/>
      </w:divBdr>
    </w:div>
    <w:div w:id="1923097512">
      <w:marLeft w:val="0"/>
      <w:marRight w:val="0"/>
      <w:marTop w:val="0"/>
      <w:marBottom w:val="0"/>
      <w:divBdr>
        <w:top w:val="none" w:sz="0" w:space="0" w:color="auto"/>
        <w:left w:val="none" w:sz="0" w:space="0" w:color="auto"/>
        <w:bottom w:val="none" w:sz="0" w:space="0" w:color="auto"/>
        <w:right w:val="none" w:sz="0" w:space="0" w:color="auto"/>
      </w:divBdr>
    </w:div>
    <w:div w:id="1923097513">
      <w:marLeft w:val="0"/>
      <w:marRight w:val="0"/>
      <w:marTop w:val="0"/>
      <w:marBottom w:val="0"/>
      <w:divBdr>
        <w:top w:val="none" w:sz="0" w:space="0" w:color="auto"/>
        <w:left w:val="none" w:sz="0" w:space="0" w:color="auto"/>
        <w:bottom w:val="none" w:sz="0" w:space="0" w:color="auto"/>
        <w:right w:val="none" w:sz="0" w:space="0" w:color="auto"/>
      </w:divBdr>
    </w:div>
    <w:div w:id="1923097514">
      <w:marLeft w:val="0"/>
      <w:marRight w:val="0"/>
      <w:marTop w:val="0"/>
      <w:marBottom w:val="0"/>
      <w:divBdr>
        <w:top w:val="none" w:sz="0" w:space="0" w:color="auto"/>
        <w:left w:val="none" w:sz="0" w:space="0" w:color="auto"/>
        <w:bottom w:val="none" w:sz="0" w:space="0" w:color="auto"/>
        <w:right w:val="none" w:sz="0" w:space="0" w:color="auto"/>
      </w:divBdr>
    </w:div>
    <w:div w:id="1923097515">
      <w:marLeft w:val="0"/>
      <w:marRight w:val="0"/>
      <w:marTop w:val="0"/>
      <w:marBottom w:val="0"/>
      <w:divBdr>
        <w:top w:val="none" w:sz="0" w:space="0" w:color="auto"/>
        <w:left w:val="none" w:sz="0" w:space="0" w:color="auto"/>
        <w:bottom w:val="none" w:sz="0" w:space="0" w:color="auto"/>
        <w:right w:val="none" w:sz="0" w:space="0" w:color="auto"/>
      </w:divBdr>
    </w:div>
    <w:div w:id="1923097516">
      <w:marLeft w:val="0"/>
      <w:marRight w:val="0"/>
      <w:marTop w:val="0"/>
      <w:marBottom w:val="0"/>
      <w:divBdr>
        <w:top w:val="none" w:sz="0" w:space="0" w:color="auto"/>
        <w:left w:val="none" w:sz="0" w:space="0" w:color="auto"/>
        <w:bottom w:val="none" w:sz="0" w:space="0" w:color="auto"/>
        <w:right w:val="none" w:sz="0" w:space="0" w:color="auto"/>
      </w:divBdr>
    </w:div>
    <w:div w:id="1923097517">
      <w:marLeft w:val="0"/>
      <w:marRight w:val="0"/>
      <w:marTop w:val="0"/>
      <w:marBottom w:val="0"/>
      <w:divBdr>
        <w:top w:val="none" w:sz="0" w:space="0" w:color="auto"/>
        <w:left w:val="none" w:sz="0" w:space="0" w:color="auto"/>
        <w:bottom w:val="none" w:sz="0" w:space="0" w:color="auto"/>
        <w:right w:val="none" w:sz="0" w:space="0" w:color="auto"/>
      </w:divBdr>
    </w:div>
    <w:div w:id="1988432965">
      <w:bodyDiv w:val="1"/>
      <w:marLeft w:val="0"/>
      <w:marRight w:val="0"/>
      <w:marTop w:val="0"/>
      <w:marBottom w:val="0"/>
      <w:divBdr>
        <w:top w:val="none" w:sz="0" w:space="0" w:color="auto"/>
        <w:left w:val="none" w:sz="0" w:space="0" w:color="auto"/>
        <w:bottom w:val="none" w:sz="0" w:space="0" w:color="auto"/>
        <w:right w:val="none" w:sz="0" w:space="0" w:color="auto"/>
      </w:divBdr>
    </w:div>
    <w:div w:id="214730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zpoctovarada.sk/images/Legislativa_SR/Zakon_493_2011_20121028.pdf" TargetMode="External"/><Relationship Id="rId13" Type="http://schemas.openxmlformats.org/officeDocument/2006/relationships/chart" Target="charts/chart5.xml"/><Relationship Id="rId18" Type="http://schemas.openxmlformats.org/officeDocument/2006/relationships/image" Target="media/image1.png"/><Relationship Id="rId26" Type="http://schemas.openxmlformats.org/officeDocument/2006/relationships/chart" Target="charts/chart13.xml"/><Relationship Id="rId39" Type="http://schemas.openxmlformats.org/officeDocument/2006/relationships/chart" Target="charts/chart24.xml"/><Relationship Id="rId3" Type="http://schemas.openxmlformats.org/officeDocument/2006/relationships/styles" Target="styles.xml"/><Relationship Id="rId21" Type="http://schemas.openxmlformats.org/officeDocument/2006/relationships/image" Target="cid:image002.png@01D45B46.855697B0" TargetMode="External"/><Relationship Id="rId34" Type="http://schemas.openxmlformats.org/officeDocument/2006/relationships/chart" Target="charts/chart21.xml"/><Relationship Id="rId42" Type="http://schemas.openxmlformats.org/officeDocument/2006/relationships/chart" Target="charts/chart2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image" Target="media/image1.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image" Target="media/image2.png"/><Relationship Id="rId29" Type="http://schemas.openxmlformats.org/officeDocument/2006/relationships/chart" Target="charts/chart16.xml"/><Relationship Id="rId41" Type="http://schemas.openxmlformats.org/officeDocument/2006/relationships/chart" Target="charts/chart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ustomXml" Target="ink/ink1.xml"/><Relationship Id="rId40" Type="http://schemas.openxmlformats.org/officeDocument/2006/relationships/chart" Target="charts/chart25.xm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www.oecd-ilibrary.org/education/education-at-a-glance-2016/annual-expenditure-per-student-by-educational-institutions-for-all-services-2013_eag-2016-table100-en" TargetMode="External"/><Relationship Id="rId28" Type="http://schemas.openxmlformats.org/officeDocument/2006/relationships/chart" Target="charts/chart15.xml"/><Relationship Id="rId36" Type="http://schemas.openxmlformats.org/officeDocument/2006/relationships/chart" Target="charts/chart23.xml"/><Relationship Id="rId10" Type="http://schemas.openxmlformats.org/officeDocument/2006/relationships/chart" Target="charts/chart2.xml"/><Relationship Id="rId19" Type="http://schemas.openxmlformats.org/officeDocument/2006/relationships/image" Target="cid:image001.png@01D45B46.855697B0" TargetMode="External"/><Relationship Id="rId31" Type="http://schemas.openxmlformats.org/officeDocument/2006/relationships/chart" Target="charts/chart18.xml"/><Relationship Id="rId44" Type="http://schemas.openxmlformats.org/officeDocument/2006/relationships/chart" Target="charts/chart29.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0.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chart" Target="charts/chart28.xml"/></Relationships>
</file>

<file path=word/_rels/footnotes.xml.rels><?xml version="1.0" encoding="UTF-8" standalone="yes"?>
<Relationships xmlns="http://schemas.openxmlformats.org/package/2006/relationships"><Relationship Id="rId2" Type="http://schemas.openxmlformats.org/officeDocument/2006/relationships/hyperlink" Target="https://www.finance.gov.sk/Default.aspx?CatID=9595" TargetMode="External"/><Relationship Id="rId1" Type="http://schemas.openxmlformats.org/officeDocument/2006/relationships/hyperlink" Target="http://www.finance.gov.sk/Default.aspx?CatID=9761"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mf.mfsr.sk\DfsRoot\ADRESARE\UHP\00_HODNOTA_ZA_PENIAZE\00_SPENDING_REVIEW\06_PR&#193;CA\03_OBLASTI_REVIZIE\v&#253;davky%20a%20ukazovatele\ukazovatele\ukazovatele%20programy\ukazovatele%20nov&#233;\v&#253;sledkov&#233;%20ukazovatele%20rev&#237;zie%2020170428.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mf.mfsr.sk\DfsRoot\ADRESARE\UHP\00_HODNOTA_ZA_PENIAZE\00_SPENDING_REVIEW\Napojenie%20na%20rozpocet\rozpocet%2019-21\03_d&#225;ta\skolacke_grafy.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mf.mfsr.sk\DfsRoot\ADRESARE\UHP\00_HODNOTA_ZA_PENIAZE\00_SPENDING_REVIEW\Napojenie%20na%20rozpocet\rozpocet%2019-21\03_d&#225;ta\skolacke_grafy.xlsx" TargetMode="External"/></Relationships>
</file>

<file path=word/charts/_rels/chart12.xml.rels><?xml version="1.0" encoding="UTF-8" standalone="yes"?>
<Relationships xmlns="http://schemas.openxmlformats.org/package/2006/relationships"><Relationship Id="rId3" Type="http://schemas.openxmlformats.org/officeDocument/2006/relationships/oleObject" Target="file:///\\mf.mfsr.sk\DfsRoot\ADRESARE\UHP\00_HODNOTA_ZA_PENIAZE\00_SPENDING_REVIEW\Napojenie%20na%20rozpocet\rozpocet%2019-21\03_d&#225;ta\skolacke_grafy.xlsx" TargetMode="External"/><Relationship Id="rId2" Type="http://schemas.microsoft.com/office/2011/relationships/chartColorStyle" Target="colors9.xml"/><Relationship Id="rId1" Type="http://schemas.microsoft.com/office/2011/relationships/chartStyle" Target="style9.xml"/></Relationships>
</file>

<file path=word/charts/_rels/chart13.xml.rels><?xml version="1.0" encoding="UTF-8" standalone="yes"?>
<Relationships xmlns="http://schemas.openxmlformats.org/package/2006/relationships"><Relationship Id="rId2" Type="http://schemas.openxmlformats.org/officeDocument/2006/relationships/oleObject" Target="file:///\\mf.mfsr.sk\DfsRoot\ADRESARE\UHP\99_VSEOBECNE\00_LUDIA\Erdelyiova_Gancarova\revizia\tabulky_k_revizii.xlsx" TargetMode="External"/><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mf.mfsr.sk\DfsRoot\ADRESARE\UHP\00_HODNOTA_ZA_PENIAZE\00_SPENDING_REVIEW\Napojenie%20na%20rozpocet\rozpocet%2019-21\03_d&#225;ta\skolacke_grafy.xlsx" TargetMode="External"/></Relationships>
</file>

<file path=word/charts/_rels/chart15.xml.rels><?xml version="1.0" encoding="UTF-8" standalone="yes"?>
<Relationships xmlns="http://schemas.openxmlformats.org/package/2006/relationships"><Relationship Id="rId2" Type="http://schemas.openxmlformats.org/officeDocument/2006/relationships/oleObject" Target="file:///\\mf.mfsr.sk\DfsRoot\ADRESARE\UHP\00_HODNOTA_ZA_PENIAZE\00_SPENDING_REVIEW\Napojenie%20na%20rozpocet\rozpocet%2019-21\03_d&#225;ta\skolacke_grafy.xlsx" TargetMode="External"/><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oleObject" Target="file:///\\mf.mfsr.sk\DfsRoot\ADRESARE\UHP\00_HODNOTA_ZA_PENIAZE\00_SPENDING_REVIEW\Napojenie%20na%20rozpocet\rozpocet%2019-21\03_d&#225;ta\skolacke_grafy.xlsx" TargetMode="External"/><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oleObject" Target="file:///\\mf.mfsr.sk\DfsRoot\ADRESARE\UHP\00_HODNOTA_ZA_PENIAZE\00_SPENDING_REVIEW\Napojenie%20na%20rozpocet\rozpocet%2019-21\03_d&#225;ta\skolacke_grafy.xlsx" TargetMode="External"/><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mf.mfsr.sk\DfsRoot\ADRESARE\UHP\00_HODNOTA_ZA_PENIAZE\00_SPENDING_REVIEW\12_ZDRAVOTN&#205;CTVO_2\01_D&#193;TA\Eurostat\amenable%20and%20preventable%20deaths_hlth_cd_apr_2015.xls" TargetMode="External"/></Relationships>
</file>

<file path=word/charts/_rels/chart19.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mf.mfsr.sk\DfsRoot\ADRESARE\UHP\00_HODNOTA_ZA_PENIAZE\00_SPENDING_REVIEW\12_ZDRAVOTN&#205;CTVO_2\01_D&#193;TA\OECD\Grafy\Grafy%202018\grafy%20health%20status_incl%202016.xlsx" TargetMode="External"/><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mf.mfsr.sk\DfsRoot\ADRESARE\UHP\00_HODNOTA_ZA_PENIAZE\00_SPENDING_REVIEW\06_PR&#193;CA\02_V&#221;STUPY\03_PRIEBE&#381;N&#193;_SPR&#193;VA\grafy_ph\chudoba_depriv&#225;cia.xlsx" TargetMode="External"/></Relationships>
</file>

<file path=word/charts/_rels/chart20.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mf.mfsr.sk\DfsRoot\ADRESARE\UHP\00_HODNOTA_ZA_PENIAZE\00_SPENDING_REVIEW\12_ZDRAVOTN&#205;CTVO_2\01_D&#193;TA\OECD\Grafy\Grafy%202018\graf_exp_gov_medical%20goods_incl%202016.xlsx" TargetMode="External"/><Relationship Id="rId1" Type="http://schemas.openxmlformats.org/officeDocument/2006/relationships/themeOverride" Target="../theme/themeOverride19.xm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mf.mfsr.sk\DfsRoot\ADRESARE\UHP\00_HODNOTA_ZA_PENIAZE\00_SPENDING_REVIEW\12_ZDRAVOTN&#205;CTVO_2\03_OBLASTI_REV&#205;ZIE\Lieky,%20pom&#244;cky,%20&#352;ZM\Zber%20d&#225;t%20pre%20OECD\update%20do%20OECD%20maj%202018\OECD_PHAR_PATC_20180316%20upravene.xlsx" TargetMode="External"/></Relationships>
</file>

<file path=word/charts/_rels/chart22.xml.rels><?xml version="1.0" encoding="UTF-8" standalone="yes"?>
<Relationships xmlns="http://schemas.openxmlformats.org/package/2006/relationships"><Relationship Id="rId2" Type="http://schemas.openxmlformats.org/officeDocument/2006/relationships/oleObject" Target="file:///\\mf.mfsr.sk\DfsRoot\ADRESARE\UHP\00_HODNOTA_ZA_PENIAZE\00_SPENDING_REVIEW\12_ZDRAVOTN&#205;CTVO_2\02_V&#221;STUPY\06_HLAVN&#193;_KNIHA_PRE_ROZPO&#268;ET\grafy\CT%20MR.xlsx" TargetMode="External"/><Relationship Id="rId1" Type="http://schemas.openxmlformats.org/officeDocument/2006/relationships/themeOverride" Target="../theme/themeOverride21.xml"/></Relationships>
</file>

<file path=word/charts/_rels/chart23.xml.rels><?xml version="1.0" encoding="UTF-8" standalone="yes"?>
<Relationships xmlns="http://schemas.openxmlformats.org/package/2006/relationships"><Relationship Id="rId2" Type="http://schemas.openxmlformats.org/officeDocument/2006/relationships/oleObject" Target="file:///\\mf.mfsr.sk\DfsRoot\ADRESARE\UHP\00_HODNOTA_ZA_PENIAZE\00_SPENDING_REVIEW\12_ZDRAVOTN&#205;CTVO_2\02_V&#221;STUPY\06_HLAVN&#193;_KNIHA_PRE_ROZPO&#268;ET\grafy\CT%20MR.xlsx" TargetMode="External"/><Relationship Id="rId1" Type="http://schemas.openxmlformats.org/officeDocument/2006/relationships/themeOverride" Target="../theme/themeOverride22.xml"/></Relationships>
</file>

<file path=word/charts/_rels/chart24.xml.rels><?xml version="1.0" encoding="UTF-8" standalone="yes"?>
<Relationships xmlns="http://schemas.openxmlformats.org/package/2006/relationships"><Relationship Id="rId2" Type="http://schemas.openxmlformats.org/officeDocument/2006/relationships/oleObject" Target="file:///\\mf.mfsr.sk\DfsRoot\ADRESARE\UHP\00_HODNOTA_ZA_PENIAZE\00_SPENDING_REVIEW\Napojenie%20na%20rozpocet\rozpocet%2019-21\03_d&#225;ta\hlavna_kniha_grafyIEP.xlsx" TargetMode="External"/><Relationship Id="rId1" Type="http://schemas.openxmlformats.org/officeDocument/2006/relationships/themeOverride" Target="../theme/themeOverride23.xml"/></Relationships>
</file>

<file path=word/charts/_rels/chart25.xml.rels><?xml version="1.0" encoding="UTF-8" standalone="yes"?>
<Relationships xmlns="http://schemas.openxmlformats.org/package/2006/relationships"><Relationship Id="rId2" Type="http://schemas.openxmlformats.org/officeDocument/2006/relationships/oleObject" Target="file:///\\mf.mfsr.sk\DfsRoot\ADRESARE\UHP\00_HODNOTA_ZA_PENIAZE\00_SPENDING_REVIEW\Napojenie%20na%20rozpocet\rozpocet%2019-21\03_d&#225;ta\hlavna_kniha_grafyIEP.xlsx" TargetMode="External"/><Relationship Id="rId1" Type="http://schemas.openxmlformats.org/officeDocument/2006/relationships/themeOverride" Target="../theme/themeOverride24.xml"/></Relationships>
</file>

<file path=word/charts/_rels/chart26.xml.rels><?xml version="1.0" encoding="UTF-8" standalone="yes"?>
<Relationships xmlns="http://schemas.openxmlformats.org/package/2006/relationships"><Relationship Id="rId2" Type="http://schemas.openxmlformats.org/officeDocument/2006/relationships/oleObject" Target="file:///\\mf.mfsr.sk\DfsRoot\ADRESARE\UHP\00_HODNOTA_ZA_PENIAZE\00_SPENDING_REVIEW\Napojenie%20na%20rozpocet\rozpocet%2019-21\03_d&#225;ta\hlavna_kniha_grafyIEP.xlsx" TargetMode="External"/><Relationship Id="rId1" Type="http://schemas.openxmlformats.org/officeDocument/2006/relationships/themeOverride" Target="../theme/themeOverride25.xml"/></Relationships>
</file>

<file path=word/charts/_rels/chart27.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zp\groups\IEP\04_Agenda\08_Rev&#237;zia_v&#253;davkov\01_Zverejnenie\Grafy_a_tabu&#318;ky_zaverecna_sprava_update.xlsx" TargetMode="External"/><Relationship Id="rId1" Type="http://schemas.openxmlformats.org/officeDocument/2006/relationships/themeOverride" Target="../theme/themeOverride26.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kristina.petrikova\Desktop\Kika%20praca\Revizia%20vydavkov\Ovzdusie\EEA\graf%20znecistenie%20PM2.5.xlsx" TargetMode="External"/><Relationship Id="rId2" Type="http://schemas.microsoft.com/office/2011/relationships/chartColorStyle" Target="colors13.xml"/><Relationship Id="rId1" Type="http://schemas.microsoft.com/office/2011/relationships/chartStyle" Target="style13.xml"/></Relationships>
</file>

<file path=word/charts/_rels/chart29.xml.rels><?xml version="1.0" encoding="UTF-8" standalone="yes"?>
<Relationships xmlns="http://schemas.openxmlformats.org/package/2006/relationships"><Relationship Id="rId2" Type="http://schemas.openxmlformats.org/officeDocument/2006/relationships/oleObject" Target="file:///\\zp\groups\IEP\04_Agenda\08_Rev&#237;zia_v&#253;davkov\01_Zverejnenie\Grafy_a_tabu&#318;ky_zaverecna_sprava_update.xlsx" TargetMode="External"/><Relationship Id="rId1" Type="http://schemas.openxmlformats.org/officeDocument/2006/relationships/themeOverride" Target="../theme/themeOverride27.xml"/></Relationships>
</file>

<file path=word/charts/_rels/chart3.xml.rels><?xml version="1.0" encoding="UTF-8" standalone="yes"?>
<Relationships xmlns="http://schemas.openxmlformats.org/package/2006/relationships"><Relationship Id="rId2" Type="http://schemas.openxmlformats.org/officeDocument/2006/relationships/oleObject" Target="file:///\\mf.mfsr.sk\DfsRoot\ADRESARE\UHP\00_HODNOTA_ZA_PENIAZE\00_SPENDING_REVIEW\06_PR&#193;CA\03_OBLASTI_REVIZIE\D&#225;vky%20a%20podpora%20rodiny\rodiny.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phroncek\Downloads\Women_employment_Data%20Annex_20180511_final%20(2).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mf.mfsr.sk\DfsRoot\ADRESARE\UHP\00_HODNOTA_ZA_PENIAZE\00_SPENDING_REVIEW\06_PR&#193;CA\02_V&#221;STUPY\03_PRIEBE&#381;N&#193;_SPR&#193;VA\grafy_ph\z&#357;p.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mf.mfsr.sk\DfsRoot\ADRESARE\UHP\00_HODNOTA_ZA_PENIAZE\00_SPENDING_REVIEW\06_PR&#193;CA\03_OBLASTI_REVIZIE\Z&#356;P\hlth_dlm010_employment.xls" TargetMode="External"/></Relationships>
</file>

<file path=word/charts/_rels/chart7.xml.rels><?xml version="1.0" encoding="UTF-8" standalone="yes"?>
<Relationships xmlns="http://schemas.openxmlformats.org/package/2006/relationships"><Relationship Id="rId2" Type="http://schemas.openxmlformats.org/officeDocument/2006/relationships/oleObject" Target="file:///\\mf.mfsr.sk\DfsRoot\ADRESARE\UHP\00_HODNOTA_ZA_PENIAZE\00_SPENDING_REVIEW\06_PR&#193;CA\02_V&#221;STUPY\03_PRIEBE&#381;N&#193;_SPR&#193;VA\prv&#253;%20draft%2020170316\APTP\miro_20170428\dlhodob&#225;%20nezamestnanos&#357;_20170429.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mf.mfsr.sk\DfsRoot\ADRESARE\UHP\00_HODNOTA_ZA_PENIAZE\00_SPENDING_REVIEW\Napojenie%20na%20rozpocet\rozpocet%2019-21\03_d&#225;ta\nezamestnanos&#357;.xlsx" TargetMode="External"/></Relationships>
</file>

<file path=word/charts/_rels/chart9.xml.rels><?xml version="1.0" encoding="UTF-8" standalone="yes"?>
<Relationships xmlns="http://schemas.openxmlformats.org/package/2006/relationships"><Relationship Id="rId2" Type="http://schemas.openxmlformats.org/officeDocument/2006/relationships/oleObject" Target="file:///\\mf.mfsr.sk\DfsRoot\ADRESARE\UHP\00_HODNOTA_ZA_PENIAZE\00_SPENDING_REVIEW\06_PR&#193;CA\02_V&#221;STUPY\03_PRIEBE&#381;N&#193;_SPR&#193;VA\prv&#253;%20draft%2020170316\APTP\miro_20170428\Vysledky%20scenarov_dodatocny%20dopyt.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ivotFmts>
      <c:pivotFmt>
        <c:idx val="0"/>
        <c:spPr>
          <a:solidFill>
            <a:srgbClr val="2C9ADC"/>
          </a:solidFill>
          <a:ln>
            <a:noFill/>
          </a:ln>
          <a:effectLst/>
        </c:spPr>
        <c:marker>
          <c:symbol val="none"/>
        </c:marker>
      </c:pivotFmt>
      <c:pivotFmt>
        <c:idx val="1"/>
        <c:spPr>
          <a:solidFill>
            <a:srgbClr val="2C4D75"/>
          </a:solidFill>
          <a:ln>
            <a:noFill/>
          </a:ln>
          <a:effectLst/>
        </c:spPr>
        <c:marker>
          <c:symbol val="none"/>
        </c:marker>
      </c:pivotFmt>
      <c:pivotFmt>
        <c:idx val="2"/>
        <c:spPr>
          <a:solidFill>
            <a:srgbClr val="333F50"/>
          </a:solidFill>
          <a:ln>
            <a:noFill/>
          </a:ln>
          <a:effectLst/>
        </c:spPr>
        <c:marker>
          <c:symbol val="none"/>
        </c:marker>
      </c:pivotFmt>
      <c:pivotFmt>
        <c:idx val="3"/>
        <c:spPr>
          <a:solidFill>
            <a:srgbClr val="D9D9D9"/>
          </a:solidFill>
          <a:ln>
            <a:noFill/>
          </a:ln>
          <a:effectLst/>
        </c:spPr>
        <c:marker>
          <c:symbol val="none"/>
        </c:marker>
      </c:pivotFmt>
      <c:pivotFmt>
        <c:idx val="4"/>
        <c:spPr>
          <a:solidFill>
            <a:srgbClr val="2777CF"/>
          </a:solidFill>
          <a:ln>
            <a:noFill/>
          </a:ln>
          <a:effectLst/>
        </c:spPr>
        <c:marker>
          <c:symbol val="none"/>
        </c:marker>
      </c:pivotFmt>
      <c:pivotFmt>
        <c:idx val="5"/>
        <c:spPr>
          <a:solidFill>
            <a:schemeClr val="accent1">
              <a:lumMod val="60000"/>
              <a:lumOff val="40000"/>
            </a:schemeClr>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tx2">
              <a:lumMod val="60000"/>
              <a:lumOff val="40000"/>
            </a:schemeClr>
          </a:solidFill>
          <a:ln>
            <a:noFill/>
          </a:ln>
          <a:effectLst/>
        </c:spPr>
        <c:marker>
          <c:symbol val="none"/>
        </c:marker>
      </c:pivotFmt>
      <c:pivotFmt>
        <c:idx val="8"/>
        <c:spPr>
          <a:solidFill>
            <a:schemeClr val="tx2">
              <a:lumMod val="50000"/>
            </a:schemeClr>
          </a:solidFill>
          <a:ln>
            <a:noFill/>
          </a:ln>
          <a:effectLst/>
        </c:spPr>
        <c:marker>
          <c:symbol val="none"/>
        </c:marker>
      </c:pivotFmt>
    </c:pivotFmts>
    <c:plotArea>
      <c:layout>
        <c:manualLayout>
          <c:layoutTarget val="inner"/>
          <c:xMode val="edge"/>
          <c:yMode val="edge"/>
          <c:x val="9.4086202564801602E-2"/>
          <c:y val="4.7377326565143825E-2"/>
          <c:w val="0.85612877820007738"/>
          <c:h val="0.72776959945224229"/>
        </c:manualLayout>
      </c:layout>
      <c:barChart>
        <c:barDir val="col"/>
        <c:grouping val="clustered"/>
        <c:varyColors val="0"/>
        <c:ser>
          <c:idx val="0"/>
          <c:order val="0"/>
          <c:tx>
            <c:strRef>
              <c:f>Hárok1!$B$16</c:f>
              <c:strCache>
                <c:ptCount val="1"/>
                <c:pt idx="0">
                  <c:v>SK</c:v>
                </c:pt>
              </c:strCache>
            </c:strRef>
          </c:tx>
          <c:spPr>
            <a:solidFill>
              <a:sysClr val="window" lastClr="FFFFFF">
                <a:lumMod val="75000"/>
              </a:sysClr>
            </a:solidFill>
            <a:ln>
              <a:solidFill>
                <a:sysClr val="window" lastClr="FFFFFF">
                  <a:lumMod val="75000"/>
                </a:sysClr>
              </a:solidFill>
            </a:ln>
            <a:effectLst/>
          </c:spPr>
          <c:invertIfNegative val="0"/>
          <c:cat>
            <c:strRef>
              <c:f>Hárok1!$C$15:$L$15</c:f>
              <c:strCache>
                <c:ptCount val="10"/>
                <c:pt idx="0">
                  <c:v>2009</c:v>
                </c:pt>
                <c:pt idx="1">
                  <c:v>2010</c:v>
                </c:pt>
                <c:pt idx="2">
                  <c:v>2011</c:v>
                </c:pt>
                <c:pt idx="3">
                  <c:v>2012</c:v>
                </c:pt>
                <c:pt idx="4">
                  <c:v>2013</c:v>
                </c:pt>
                <c:pt idx="5">
                  <c:v>2014</c:v>
                </c:pt>
                <c:pt idx="6">
                  <c:v>2015</c:v>
                </c:pt>
                <c:pt idx="7">
                  <c:v>2016</c:v>
                </c:pt>
                <c:pt idx="8">
                  <c:v>2017</c:v>
                </c:pt>
                <c:pt idx="9">
                  <c:v>Cieľ 2020</c:v>
                </c:pt>
              </c:strCache>
            </c:strRef>
          </c:cat>
          <c:val>
            <c:numRef>
              <c:f>Hárok1!$C$16:$L$16</c:f>
              <c:numCache>
                <c:formatCode>General</c:formatCode>
                <c:ptCount val="10"/>
                <c:pt idx="0">
                  <c:v>66.400000000000006</c:v>
                </c:pt>
                <c:pt idx="1">
                  <c:v>64.599999999999994</c:v>
                </c:pt>
                <c:pt idx="2">
                  <c:v>65</c:v>
                </c:pt>
                <c:pt idx="3">
                  <c:v>65.099999999999994</c:v>
                </c:pt>
                <c:pt idx="4">
                  <c:v>65</c:v>
                </c:pt>
                <c:pt idx="5">
                  <c:v>65.900000000000006</c:v>
                </c:pt>
                <c:pt idx="6">
                  <c:v>67.7</c:v>
                </c:pt>
                <c:pt idx="7">
                  <c:v>69.8</c:v>
                </c:pt>
                <c:pt idx="8">
                  <c:v>71.099999999999994</c:v>
                </c:pt>
                <c:pt idx="9">
                  <c:v>72</c:v>
                </c:pt>
              </c:numCache>
            </c:numRef>
          </c:val>
          <c:extLst xmlns:c16r2="http://schemas.microsoft.com/office/drawing/2015/06/chart">
            <c:ext xmlns:c16="http://schemas.microsoft.com/office/drawing/2014/chart" uri="{C3380CC4-5D6E-409C-BE32-E72D297353CC}">
              <c16:uniqueId val="{00000000-3E76-4EBD-A2BF-FB607A090CEA}"/>
            </c:ext>
          </c:extLst>
        </c:ser>
        <c:ser>
          <c:idx val="1"/>
          <c:order val="1"/>
          <c:tx>
            <c:strRef>
              <c:f>Hárok1!$B$17</c:f>
              <c:strCache>
                <c:ptCount val="1"/>
                <c:pt idx="0">
                  <c:v>EÚ</c:v>
                </c:pt>
              </c:strCache>
            </c:strRef>
          </c:tx>
          <c:spPr>
            <a:solidFill>
              <a:sysClr val="windowText" lastClr="000000">
                <a:lumMod val="75000"/>
                <a:lumOff val="25000"/>
              </a:sysClr>
            </a:solidFill>
            <a:ln>
              <a:solidFill>
                <a:sysClr val="windowText" lastClr="000000">
                  <a:lumMod val="75000"/>
                  <a:lumOff val="25000"/>
                </a:sysClr>
              </a:solidFill>
            </a:ln>
            <a:effectLst/>
          </c:spPr>
          <c:invertIfNegative val="0"/>
          <c:cat>
            <c:strRef>
              <c:f>Hárok1!$C$15:$L$15</c:f>
              <c:strCache>
                <c:ptCount val="10"/>
                <c:pt idx="0">
                  <c:v>2009</c:v>
                </c:pt>
                <c:pt idx="1">
                  <c:v>2010</c:v>
                </c:pt>
                <c:pt idx="2">
                  <c:v>2011</c:v>
                </c:pt>
                <c:pt idx="3">
                  <c:v>2012</c:v>
                </c:pt>
                <c:pt idx="4">
                  <c:v>2013</c:v>
                </c:pt>
                <c:pt idx="5">
                  <c:v>2014</c:v>
                </c:pt>
                <c:pt idx="6">
                  <c:v>2015</c:v>
                </c:pt>
                <c:pt idx="7">
                  <c:v>2016</c:v>
                </c:pt>
                <c:pt idx="8">
                  <c:v>2017</c:v>
                </c:pt>
                <c:pt idx="9">
                  <c:v>Cieľ 2020</c:v>
                </c:pt>
              </c:strCache>
            </c:strRef>
          </c:cat>
          <c:val>
            <c:numRef>
              <c:f>Hárok1!$C$17:$L$17</c:f>
              <c:numCache>
                <c:formatCode>General</c:formatCode>
                <c:ptCount val="10"/>
                <c:pt idx="0">
                  <c:v>69</c:v>
                </c:pt>
                <c:pt idx="1">
                  <c:v>68.599999999999994</c:v>
                </c:pt>
                <c:pt idx="2">
                  <c:v>68.599999999999994</c:v>
                </c:pt>
                <c:pt idx="3">
                  <c:v>68.400000000000006</c:v>
                </c:pt>
                <c:pt idx="4">
                  <c:v>68.400000000000006</c:v>
                </c:pt>
                <c:pt idx="5">
                  <c:v>69.2</c:v>
                </c:pt>
                <c:pt idx="6">
                  <c:v>70.099999999999994</c:v>
                </c:pt>
                <c:pt idx="7">
                  <c:v>71.099999999999994</c:v>
                </c:pt>
                <c:pt idx="8">
                  <c:v>72.2</c:v>
                </c:pt>
              </c:numCache>
            </c:numRef>
          </c:val>
          <c:extLst xmlns:c16r2="http://schemas.microsoft.com/office/drawing/2015/06/chart">
            <c:ext xmlns:c16="http://schemas.microsoft.com/office/drawing/2014/chart" uri="{C3380CC4-5D6E-409C-BE32-E72D297353CC}">
              <c16:uniqueId val="{00000001-3E76-4EBD-A2BF-FB607A090CEA}"/>
            </c:ext>
          </c:extLst>
        </c:ser>
        <c:dLbls>
          <c:showLegendKey val="0"/>
          <c:showVal val="0"/>
          <c:showCatName val="0"/>
          <c:showSerName val="0"/>
          <c:showPercent val="0"/>
          <c:showBubbleSize val="0"/>
        </c:dLbls>
        <c:gapWidth val="219"/>
        <c:overlap val="-27"/>
        <c:axId val="296545256"/>
        <c:axId val="296545648"/>
      </c:barChart>
      <c:catAx>
        <c:axId val="296545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296545648"/>
        <c:crosses val="autoZero"/>
        <c:auto val="1"/>
        <c:lblAlgn val="ctr"/>
        <c:lblOffset val="100"/>
        <c:noMultiLvlLbl val="0"/>
      </c:catAx>
      <c:valAx>
        <c:axId val="296545648"/>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296545256"/>
        <c:crosses val="autoZero"/>
        <c:crossBetween val="between"/>
      </c:valAx>
      <c:spPr>
        <a:noFill/>
        <a:ln>
          <a:noFill/>
        </a:ln>
        <a:effectLst/>
      </c:spPr>
    </c:plotArea>
    <c:legend>
      <c:legendPos val="t"/>
      <c:layout>
        <c:manualLayout>
          <c:xMode val="edge"/>
          <c:yMode val="edge"/>
          <c:x val="0.39112351281955299"/>
          <c:y val="6.4257028112449793E-2"/>
          <c:w val="0.20870079631084801"/>
          <c:h val="8.6147845977084206E-2"/>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legend>
    <c:plotVisOnly val="1"/>
    <c:dispBlanksAs val="gap"/>
    <c:showDLblsOverMax val="0"/>
  </c:chart>
  <c:spPr>
    <a:no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sk-SK"/>
    </a:p>
  </c:txPr>
  <c:externalData r:id="rId4">
    <c:autoUpdate val="0"/>
  </c:externalData>
  <c:extLst xmlns:c16r2="http://schemas.microsoft.com/office/drawing/2015/06/chart"/>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843357346289163E-2"/>
          <c:y val="4.954954954954955E-2"/>
          <c:w val="0.79344438328187705"/>
          <c:h val="0.68005355749450236"/>
        </c:manualLayout>
      </c:layout>
      <c:barChart>
        <c:barDir val="col"/>
        <c:grouping val="clustered"/>
        <c:varyColors val="0"/>
        <c:ser>
          <c:idx val="0"/>
          <c:order val="0"/>
          <c:tx>
            <c:strRef>
              <c:f>'vydavky na studenta'!$A$82</c:f>
              <c:strCache>
                <c:ptCount val="1"/>
                <c:pt idx="0">
                  <c:v>SK</c:v>
                </c:pt>
              </c:strCache>
            </c:strRef>
          </c:tx>
          <c:spPr>
            <a:solidFill>
              <a:schemeClr val="bg1">
                <a:lumMod val="50000"/>
              </a:schemeClr>
            </a:solidFill>
            <a:ln>
              <a:solidFill>
                <a:schemeClr val="bg1">
                  <a:lumMod val="50000"/>
                </a:schemeClr>
              </a:solidFill>
            </a:ln>
            <a:effectLst/>
          </c:spPr>
          <c:invertIfNegative val="0"/>
          <c:dLbls>
            <c:dLbl>
              <c:idx val="0"/>
              <c:tx>
                <c:rich>
                  <a:bodyPr/>
                  <a:lstStyle/>
                  <a:p>
                    <a:fld id="{2A6057E8-18E1-4D29-B8A4-CAF0BE2F6860}" type="CELLRANGE">
                      <a:rPr lang="en-US"/>
                      <a:pPr/>
                      <a:t>[CELLRANGE]</a:t>
                    </a:fld>
                    <a:endParaRPr lang="sk-SK"/>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1"/>
              <c:tx>
                <c:rich>
                  <a:bodyPr/>
                  <a:lstStyle/>
                  <a:p>
                    <a:fld id="{518D0F23-AE87-4B42-8F8D-C3B1BFCB4753}" type="CELLRANGE">
                      <a:rPr lang="sk-SK"/>
                      <a:pPr/>
                      <a:t>[CELLRANGE]</a:t>
                    </a:fld>
                    <a:endParaRPr lang="sk-SK"/>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
              <c:tx>
                <c:rich>
                  <a:bodyPr/>
                  <a:lstStyle/>
                  <a:p>
                    <a:fld id="{DBD1B884-2150-42B8-A356-17E9615A9B89}" type="CELLRANGE">
                      <a:rPr lang="sk-SK"/>
                      <a:pPr/>
                      <a:t>[CELLRANGE]</a:t>
                    </a:fld>
                    <a:endParaRPr lang="sk-SK"/>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3"/>
              <c:tx>
                <c:rich>
                  <a:bodyPr/>
                  <a:lstStyle/>
                  <a:p>
                    <a:fld id="{3ED20C50-50FA-4992-AAFF-0C5855204464}" type="CELLRANGE">
                      <a:rPr lang="sk-SK"/>
                      <a:pPr/>
                      <a:t>[CELLRANGE]</a:t>
                    </a:fld>
                    <a:endParaRPr lang="sk-SK"/>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Arial Narrow" panose="020B0606020202030204" pitchFamily="34" charset="0"/>
                    <a:ea typeface="+mn-ea"/>
                    <a:cs typeface="+mn-cs"/>
                  </a:defRPr>
                </a:pPr>
                <a:endParaRPr lang="sk-SK"/>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multiLvlStrRef>
              <c:f>'vydavky na studenta'!$B$80:$E$81</c:f>
              <c:multiLvlStrCache>
                <c:ptCount val="4"/>
                <c:lvl>
                  <c:pt idx="0">
                    <c:v>primárne</c:v>
                  </c:pt>
                  <c:pt idx="1">
                    <c:v>nižšie sekundárne</c:v>
                  </c:pt>
                  <c:pt idx="2">
                    <c:v>všeobecné</c:v>
                  </c:pt>
                  <c:pt idx="3">
                    <c:v>odborné</c:v>
                  </c:pt>
                </c:lvl>
                <c:lvl>
                  <c:pt idx="2">
                    <c:v>vyššie sekundárne</c:v>
                  </c:pt>
                </c:lvl>
              </c:multiLvlStrCache>
            </c:multiLvlStrRef>
          </c:cat>
          <c:val>
            <c:numRef>
              <c:f>'vydavky na studenta'!$B$82:$E$82</c:f>
              <c:numCache>
                <c:formatCode>#,##0</c:formatCode>
                <c:ptCount val="4"/>
                <c:pt idx="0">
                  <c:v>6877.3132902435</c:v>
                </c:pt>
                <c:pt idx="1">
                  <c:v>6282.1360143459997</c:v>
                </c:pt>
                <c:pt idx="2">
                  <c:v>6069.2111223354996</c:v>
                </c:pt>
                <c:pt idx="3">
                  <c:v>7657.6152978534001</c:v>
                </c:pt>
              </c:numCache>
            </c:numRef>
          </c:val>
          <c:extLst>
            <c:ext xmlns:c15="http://schemas.microsoft.com/office/drawing/2012/chart" uri="{02D57815-91ED-43cb-92C2-25804820EDAC}">
              <c15:datalabelsRange>
                <c15:f>'vydavky na studenta'!$B$87:$E$87</c15:f>
                <c15:dlblRangeCache>
                  <c:ptCount val="4"/>
                  <c:pt idx="0">
                    <c:v>80%</c:v>
                  </c:pt>
                  <c:pt idx="1">
                    <c:v>63%</c:v>
                  </c:pt>
                  <c:pt idx="2">
                    <c:v>67%</c:v>
                  </c:pt>
                  <c:pt idx="3">
                    <c:v>69%</c:v>
                  </c:pt>
                </c15:dlblRangeCache>
              </c15:datalabelsRange>
            </c:ext>
          </c:extLst>
        </c:ser>
        <c:ser>
          <c:idx val="1"/>
          <c:order val="1"/>
          <c:tx>
            <c:strRef>
              <c:f>'vydavky na studenta'!$A$83</c:f>
              <c:strCache>
                <c:ptCount val="1"/>
                <c:pt idx="0">
                  <c:v>V3</c:v>
                </c:pt>
              </c:strCache>
            </c:strRef>
          </c:tx>
          <c:spPr>
            <a:solidFill>
              <a:schemeClr val="bg1">
                <a:lumMod val="75000"/>
              </a:schemeClr>
            </a:solidFill>
            <a:ln>
              <a:noFill/>
            </a:ln>
            <a:effectLst/>
          </c:spPr>
          <c:invertIfNegative val="0"/>
          <c:dLbls>
            <c:dLbl>
              <c:idx val="0"/>
              <c:tx>
                <c:rich>
                  <a:bodyPr/>
                  <a:lstStyle/>
                  <a:p>
                    <a:fld id="{366228A8-363C-4AE7-B4A4-8C9FE3CCF3E8}" type="CELLRANGE">
                      <a:rPr lang="en-US"/>
                      <a:pPr/>
                      <a:t>[CELLRANGE]</a:t>
                    </a:fld>
                    <a:endParaRPr lang="sk-SK"/>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1"/>
              <c:tx>
                <c:rich>
                  <a:bodyPr/>
                  <a:lstStyle/>
                  <a:p>
                    <a:fld id="{C92ED969-5378-4917-9345-01FE7E92E9A4}" type="CELLRANGE">
                      <a:rPr lang="sk-SK"/>
                      <a:pPr/>
                      <a:t>[CELLRANGE]</a:t>
                    </a:fld>
                    <a:endParaRPr lang="sk-SK"/>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
              <c:tx>
                <c:rich>
                  <a:bodyPr/>
                  <a:lstStyle/>
                  <a:p>
                    <a:fld id="{833904F9-6CF2-4F8D-9ACF-293A246C86D0}" type="CELLRANGE">
                      <a:rPr lang="sk-SK"/>
                      <a:pPr/>
                      <a:t>[CELLRANGE]</a:t>
                    </a:fld>
                    <a:endParaRPr lang="sk-SK"/>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3"/>
              <c:tx>
                <c:rich>
                  <a:bodyPr/>
                  <a:lstStyle/>
                  <a:p>
                    <a:fld id="{6EE90C90-FDE9-41CC-87FA-6F9C7433A9ED}" type="CELLRANGE">
                      <a:rPr lang="sk-SK"/>
                      <a:pPr/>
                      <a:t>[CELLRANGE]</a:t>
                    </a:fld>
                    <a:endParaRPr lang="sk-SK"/>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Arial Narrow" panose="020B0606020202030204" pitchFamily="34" charset="0"/>
                    <a:ea typeface="+mn-ea"/>
                    <a:cs typeface="+mn-cs"/>
                  </a:defRPr>
                </a:pPr>
                <a:endParaRPr lang="sk-SK"/>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'vydavky na studenta'!$B$80:$E$81</c:f>
              <c:multiLvlStrCache>
                <c:ptCount val="4"/>
                <c:lvl>
                  <c:pt idx="0">
                    <c:v>primárne</c:v>
                  </c:pt>
                  <c:pt idx="1">
                    <c:v>nižšie sekundárne</c:v>
                  </c:pt>
                  <c:pt idx="2">
                    <c:v>všeobecné</c:v>
                  </c:pt>
                  <c:pt idx="3">
                    <c:v>odborné</c:v>
                  </c:pt>
                </c:lvl>
                <c:lvl>
                  <c:pt idx="2">
                    <c:v>vyššie sekundárne</c:v>
                  </c:pt>
                </c:lvl>
              </c:multiLvlStrCache>
            </c:multiLvlStrRef>
          </c:cat>
          <c:val>
            <c:numRef>
              <c:f>'vydavky na studenta'!$B$83:$E$83</c:f>
              <c:numCache>
                <c:formatCode>#,##0</c:formatCode>
                <c:ptCount val="4"/>
                <c:pt idx="0">
                  <c:v>5684.5391205047335</c:v>
                </c:pt>
                <c:pt idx="1">
                  <c:v>6803.2300907626668</c:v>
                </c:pt>
                <c:pt idx="2">
                  <c:v>6417.799824487699</c:v>
                </c:pt>
                <c:pt idx="3">
                  <c:v>8568.9429605780006</c:v>
                </c:pt>
              </c:numCache>
            </c:numRef>
          </c:val>
          <c:extLst>
            <c:ext xmlns:c15="http://schemas.microsoft.com/office/drawing/2012/chart" uri="{02D57815-91ED-43cb-92C2-25804820EDAC}">
              <c15:datalabelsRange>
                <c15:f>'vydavky na studenta'!$B$88:$E$88</c15:f>
                <c15:dlblRangeCache>
                  <c:ptCount val="4"/>
                  <c:pt idx="0">
                    <c:v>66%</c:v>
                  </c:pt>
                  <c:pt idx="1">
                    <c:v>68%</c:v>
                  </c:pt>
                  <c:pt idx="2">
                    <c:v>70%</c:v>
                  </c:pt>
                  <c:pt idx="3">
                    <c:v>78%</c:v>
                  </c:pt>
                </c15:dlblRangeCache>
              </c15:datalabelsRange>
            </c:ext>
          </c:extLst>
        </c:ser>
        <c:ser>
          <c:idx val="2"/>
          <c:order val="2"/>
          <c:tx>
            <c:strRef>
              <c:f>'vydavky na studenta'!$A$84</c:f>
              <c:strCache>
                <c:ptCount val="1"/>
                <c:pt idx="0">
                  <c:v>OECD</c:v>
                </c:pt>
              </c:strCache>
            </c:strRef>
          </c:tx>
          <c:spPr>
            <a:solidFill>
              <a:schemeClr val="tx1"/>
            </a:solidFill>
            <a:ln>
              <a:noFill/>
            </a:ln>
            <a:effectLst/>
          </c:spPr>
          <c:invertIfNegative val="0"/>
          <c:dLbls>
            <c:dLbl>
              <c:idx val="0"/>
              <c:tx>
                <c:rich>
                  <a:bodyPr/>
                  <a:lstStyle/>
                  <a:p>
                    <a:fld id="{D8F3EE35-6FAB-4960-8542-7583F036F550}" type="CELLRANGE">
                      <a:rPr lang="en-US"/>
                      <a:pPr/>
                      <a:t>[CELLRANGE]</a:t>
                    </a:fld>
                    <a:endParaRPr lang="sk-SK"/>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1"/>
              <c:tx>
                <c:rich>
                  <a:bodyPr/>
                  <a:lstStyle/>
                  <a:p>
                    <a:fld id="{862028A3-8B6A-4FB7-8030-30D5803FFEBE}" type="CELLRANGE">
                      <a:rPr lang="sk-SK"/>
                      <a:pPr/>
                      <a:t>[CELLRANGE]</a:t>
                    </a:fld>
                    <a:endParaRPr lang="sk-SK"/>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2"/>
              <c:tx>
                <c:rich>
                  <a:bodyPr/>
                  <a:lstStyle/>
                  <a:p>
                    <a:fld id="{04749A63-4482-4702-A828-43ADB89AD9CB}" type="CELLRANGE">
                      <a:rPr lang="sk-SK"/>
                      <a:pPr/>
                      <a:t>[CELLRANGE]</a:t>
                    </a:fld>
                    <a:endParaRPr lang="sk-SK"/>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3"/>
              <c:tx>
                <c:rich>
                  <a:bodyPr/>
                  <a:lstStyle/>
                  <a:p>
                    <a:fld id="{04A0CBC8-07C5-4934-AEB8-CC6BF7FF40B7}" type="CELLRANGE">
                      <a:rPr lang="sk-SK"/>
                      <a:pPr/>
                      <a:t>[CELLRANGE]</a:t>
                    </a:fld>
                    <a:endParaRPr lang="sk-SK"/>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Arial Narrow" panose="020B0606020202030204" pitchFamily="34" charset="0"/>
                    <a:ea typeface="+mn-ea"/>
                    <a:cs typeface="+mn-cs"/>
                  </a:defRPr>
                </a:pPr>
                <a:endParaRPr lang="sk-SK"/>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'vydavky na studenta'!$B$80:$E$81</c:f>
              <c:multiLvlStrCache>
                <c:ptCount val="4"/>
                <c:lvl>
                  <c:pt idx="0">
                    <c:v>primárne</c:v>
                  </c:pt>
                  <c:pt idx="1">
                    <c:v>nižšie sekundárne</c:v>
                  </c:pt>
                  <c:pt idx="2">
                    <c:v>všeobecné</c:v>
                  </c:pt>
                  <c:pt idx="3">
                    <c:v>odborné</c:v>
                  </c:pt>
                </c:lvl>
                <c:lvl>
                  <c:pt idx="2">
                    <c:v>vyššie sekundárne</c:v>
                  </c:pt>
                </c:lvl>
              </c:multiLvlStrCache>
            </c:multiLvlStrRef>
          </c:cat>
          <c:val>
            <c:numRef>
              <c:f>'vydavky na studenta'!$B$84:$E$84</c:f>
              <c:numCache>
                <c:formatCode>#,##0</c:formatCode>
                <c:ptCount val="4"/>
                <c:pt idx="0">
                  <c:v>8631.0266016403712</c:v>
                </c:pt>
                <c:pt idx="1">
                  <c:v>9940.6658105820316</c:v>
                </c:pt>
                <c:pt idx="2">
                  <c:v>9118.9554746725044</c:v>
                </c:pt>
                <c:pt idx="3">
                  <c:v>11036.854770036005</c:v>
                </c:pt>
              </c:numCache>
            </c:numRef>
          </c:val>
          <c:extLst>
            <c:ext xmlns:c15="http://schemas.microsoft.com/office/drawing/2012/chart" uri="{02D57815-91ED-43cb-92C2-25804820EDAC}">
              <c15:datalabelsRange>
                <c15:f>'vydavky na studenta'!$B$89:$E$89</c15:f>
                <c15:dlblRangeCache>
                  <c:ptCount val="4"/>
                  <c:pt idx="0">
                    <c:v>100%</c:v>
                  </c:pt>
                  <c:pt idx="1">
                    <c:v>100%</c:v>
                  </c:pt>
                  <c:pt idx="2">
                    <c:v>100%</c:v>
                  </c:pt>
                  <c:pt idx="3">
                    <c:v>100%</c:v>
                  </c:pt>
                </c15:dlblRangeCache>
              </c15:datalabelsRange>
            </c:ext>
          </c:extLst>
        </c:ser>
        <c:dLbls>
          <c:showLegendKey val="0"/>
          <c:showVal val="0"/>
          <c:showCatName val="0"/>
          <c:showSerName val="0"/>
          <c:showPercent val="0"/>
          <c:showBubbleSize val="0"/>
        </c:dLbls>
        <c:gapWidth val="219"/>
        <c:overlap val="-27"/>
        <c:axId val="472310296"/>
        <c:axId val="472309904"/>
      </c:barChart>
      <c:catAx>
        <c:axId val="472310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Narrow" panose="020B0606020202030204" pitchFamily="34" charset="0"/>
                <a:ea typeface="+mn-ea"/>
                <a:cs typeface="+mn-cs"/>
              </a:defRPr>
            </a:pPr>
            <a:endParaRPr lang="sk-SK"/>
          </a:p>
        </c:txPr>
        <c:crossAx val="472309904"/>
        <c:crosses val="autoZero"/>
        <c:auto val="1"/>
        <c:lblAlgn val="ctr"/>
        <c:lblOffset val="100"/>
        <c:noMultiLvlLbl val="0"/>
      </c:catAx>
      <c:valAx>
        <c:axId val="472309904"/>
        <c:scaling>
          <c:orientation val="minMax"/>
        </c:scaling>
        <c:delete val="0"/>
        <c:axPos val="l"/>
        <c:majorGridlines>
          <c:spPr>
            <a:ln w="9525" cap="flat" cmpd="sng" algn="ctr">
              <a:solidFill>
                <a:schemeClr val="tx1">
                  <a:lumMod val="15000"/>
                  <a:lumOff val="85000"/>
                </a:schemeClr>
              </a:solidFill>
              <a:prstDash val="dash"/>
              <a:round/>
            </a:ln>
            <a:effectLst/>
          </c:spPr>
        </c:majorGridlines>
        <c:title>
          <c:tx>
            <c:rich>
              <a:bodyPr rot="-5400000" spcFirstLastPara="1" vertOverflow="ellipsis" vert="horz" wrap="square" anchor="ctr" anchorCtr="1"/>
              <a:lstStyle/>
              <a:p>
                <a:pPr>
                  <a:defRPr sz="1050" b="0" i="0" u="none" strike="noStrike" kern="1200" baseline="0">
                    <a:solidFill>
                      <a:sysClr val="windowText" lastClr="000000"/>
                    </a:solidFill>
                    <a:latin typeface="Arial Narrow" panose="020B0606020202030204" pitchFamily="34" charset="0"/>
                    <a:ea typeface="+mn-ea"/>
                    <a:cs typeface="+mn-cs"/>
                  </a:defRPr>
                </a:pPr>
                <a:r>
                  <a:rPr lang="sk-SK"/>
                  <a:t>Tisíce PPP USD</a:t>
                </a:r>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Arial Narrow" panose="020B0606020202030204" pitchFamily="34" charset="0"/>
                  <a:ea typeface="+mn-ea"/>
                  <a:cs typeface="+mn-cs"/>
                </a:defRPr>
              </a:pPr>
              <a:endParaRPr lang="sk-SK"/>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Narrow" panose="020B0606020202030204" pitchFamily="34" charset="0"/>
                <a:ea typeface="+mn-ea"/>
                <a:cs typeface="+mn-cs"/>
              </a:defRPr>
            </a:pPr>
            <a:endParaRPr lang="sk-SK"/>
          </a:p>
        </c:txPr>
        <c:crossAx val="472310296"/>
        <c:crosses val="autoZero"/>
        <c:crossBetween val="between"/>
        <c:dispUnits>
          <c:builtInUnit val="thousands"/>
        </c:dispUnits>
      </c:valAx>
      <c:spPr>
        <a:noFill/>
        <a:ln>
          <a:noFill/>
        </a:ln>
        <a:effectLst/>
      </c:spPr>
    </c:plotArea>
    <c:legend>
      <c:legendPos val="b"/>
      <c:layout>
        <c:manualLayout>
          <c:xMode val="edge"/>
          <c:yMode val="edge"/>
          <c:x val="0.88602943619389363"/>
          <c:y val="0.28338689082783569"/>
          <c:w val="0.10357582939263393"/>
          <c:h val="0.2571536497127048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Narrow" panose="020B0606020202030204" pitchFamily="34" charset="0"/>
              <a:ea typeface="+mn-ea"/>
              <a:cs typeface="+mn-cs"/>
            </a:defRPr>
          </a:pPr>
          <a:endParaRPr lang="sk-SK"/>
        </a:p>
      </c:txPr>
    </c:legend>
    <c:plotVisOnly val="1"/>
    <c:dispBlanksAs val="gap"/>
    <c:showDLblsOverMax val="0"/>
  </c:chart>
  <c:spPr>
    <a:noFill/>
    <a:ln w="9525" cap="flat" cmpd="sng" algn="ctr">
      <a:noFill/>
      <a:round/>
    </a:ln>
    <a:effectLst/>
  </c:spPr>
  <c:txPr>
    <a:bodyPr/>
    <a:lstStyle/>
    <a:p>
      <a:pPr>
        <a:defRPr sz="1050">
          <a:solidFill>
            <a:sysClr val="windowText" lastClr="000000"/>
          </a:solidFill>
          <a:latin typeface="Arial Narrow" panose="020B0606020202030204" pitchFamily="34" charset="0"/>
        </a:defRPr>
      </a:pPr>
      <a:endParaRPr lang="sk-SK"/>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bg1">
                <a:lumMod val="65000"/>
              </a:schemeClr>
            </a:solidFill>
            <a:ln>
              <a:noFill/>
            </a:ln>
            <a:effectLst/>
          </c:spPr>
          <c:invertIfNegative val="0"/>
          <c:dPt>
            <c:idx val="5"/>
            <c:invertIfNegative val="0"/>
            <c:bubble3D val="0"/>
            <c:spPr>
              <a:solidFill>
                <a:schemeClr val="tx1"/>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'platy ucitelov oproti VS vzdel'!$A$81:$A$87</c:f>
              <c:strCache>
                <c:ptCount val="7"/>
                <c:pt idx="0">
                  <c:v>EU22</c:v>
                </c:pt>
                <c:pt idx="1">
                  <c:v>EE</c:v>
                </c:pt>
                <c:pt idx="2">
                  <c:v>OECD</c:v>
                </c:pt>
                <c:pt idx="3">
                  <c:v>PL</c:v>
                </c:pt>
                <c:pt idx="4">
                  <c:v>HU</c:v>
                </c:pt>
                <c:pt idx="5">
                  <c:v>SK</c:v>
                </c:pt>
                <c:pt idx="6">
                  <c:v>CZ</c:v>
                </c:pt>
              </c:strCache>
            </c:strRef>
          </c:cat>
          <c:val>
            <c:numRef>
              <c:f>'platy ucitelov oproti VS vzdel'!$B$81:$B$87</c:f>
              <c:numCache>
                <c:formatCode>0%</c:formatCode>
                <c:ptCount val="7"/>
                <c:pt idx="0">
                  <c:v>0.93305472541803691</c:v>
                </c:pt>
                <c:pt idx="1">
                  <c:v>0.91449711302423675</c:v>
                </c:pt>
                <c:pt idx="2">
                  <c:v>0.90721902853414149</c:v>
                </c:pt>
                <c:pt idx="3">
                  <c:v>0.81638395976351175</c:v>
                </c:pt>
                <c:pt idx="4">
                  <c:v>0.69811649184755997</c:v>
                </c:pt>
                <c:pt idx="5">
                  <c:v>0.63636788053190074</c:v>
                </c:pt>
                <c:pt idx="6">
                  <c:v>0.61142627722411536</c:v>
                </c:pt>
              </c:numCache>
            </c:numRef>
          </c:val>
        </c:ser>
        <c:dLbls>
          <c:showLegendKey val="0"/>
          <c:showVal val="0"/>
          <c:showCatName val="0"/>
          <c:showSerName val="0"/>
          <c:showPercent val="0"/>
          <c:showBubbleSize val="0"/>
        </c:dLbls>
        <c:gapWidth val="119"/>
        <c:overlap val="-27"/>
        <c:axId val="472309120"/>
        <c:axId val="472308728"/>
      </c:barChart>
      <c:catAx>
        <c:axId val="47230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472308728"/>
        <c:crosses val="autoZero"/>
        <c:auto val="1"/>
        <c:lblAlgn val="ctr"/>
        <c:lblOffset val="100"/>
        <c:noMultiLvlLbl val="0"/>
      </c:catAx>
      <c:valAx>
        <c:axId val="472308728"/>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47230912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latin typeface="Arial Narrow" panose="020B0606020202030204" pitchFamily="34" charset="0"/>
        </a:defRPr>
      </a:pPr>
      <a:endParaRPr lang="sk-SK"/>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497480497864595"/>
          <c:y val="5.5583628094997471E-2"/>
          <c:w val="0.85156977329053385"/>
          <c:h val="0.83099473606728913"/>
        </c:manualLayout>
      </c:layout>
      <c:lineChart>
        <c:grouping val="standard"/>
        <c:varyColors val="0"/>
        <c:ser>
          <c:idx val="1"/>
          <c:order val="0"/>
          <c:tx>
            <c:strRef>
              <c:f>'platy mladych ucitelov'!$M$3</c:f>
              <c:strCache>
                <c:ptCount val="1"/>
                <c:pt idx="0">
                  <c:v>priemer (22 krajín OECD)</c:v>
                </c:pt>
              </c:strCache>
            </c:strRef>
          </c:tx>
          <c:spPr>
            <a:ln w="28575" cap="rnd" cmpd="sng" algn="ctr">
              <a:solidFill>
                <a:schemeClr val="dk1">
                  <a:tint val="55000"/>
                  <a:shade val="95000"/>
                  <a:satMod val="105000"/>
                </a:schemeClr>
              </a:solidFill>
              <a:prstDash val="solid"/>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Narrow" panose="020B0606020202030204" pitchFamily="34" charset="0"/>
                    <a:ea typeface="+mn-ea"/>
                    <a:cs typeface="+mn-cs"/>
                  </a:defRPr>
                </a:pPr>
                <a:endParaRPr lang="sk-S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'platy mladych ucitelov'!$N$1:$Q$2</c:f>
              <c:strCache>
                <c:ptCount val="4"/>
                <c:pt idx="0">
                  <c:v>25-34 rokov  </c:v>
                </c:pt>
                <c:pt idx="1">
                  <c:v>35-44  rokov</c:v>
                </c:pt>
                <c:pt idx="2">
                  <c:v>45-54 rokov</c:v>
                </c:pt>
                <c:pt idx="3">
                  <c:v>55-64 rokov</c:v>
                </c:pt>
              </c:strCache>
            </c:strRef>
          </c:cat>
          <c:val>
            <c:numRef>
              <c:f>'platy mladych ucitelov'!$N$3:$Q$3</c:f>
              <c:numCache>
                <c:formatCode>0%</c:formatCode>
                <c:ptCount val="4"/>
                <c:pt idx="0">
                  <c:v>0.61</c:v>
                </c:pt>
                <c:pt idx="1">
                  <c:v>0.56999999999999995</c:v>
                </c:pt>
                <c:pt idx="2">
                  <c:v>0.64</c:v>
                </c:pt>
                <c:pt idx="3">
                  <c:v>0.66</c:v>
                </c:pt>
              </c:numCache>
            </c:numRef>
          </c:val>
          <c:smooth val="0"/>
        </c:ser>
        <c:ser>
          <c:idx val="2"/>
          <c:order val="1"/>
          <c:tx>
            <c:strRef>
              <c:f>'platy mladych ucitelov'!$M$4</c:f>
              <c:strCache>
                <c:ptCount val="1"/>
                <c:pt idx="0">
                  <c:v>Slovensko</c:v>
                </c:pt>
              </c:strCache>
            </c:strRef>
          </c:tx>
          <c:spPr>
            <a:ln w="28575" cap="rnd" cmpd="sng" algn="ctr">
              <a:solidFill>
                <a:schemeClr val="dk1">
                  <a:tint val="75000"/>
                  <a:shade val="95000"/>
                  <a:satMod val="105000"/>
                </a:schemeClr>
              </a:solidFill>
              <a:prstDash val="solid"/>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Narrow" panose="020B0606020202030204" pitchFamily="34" charset="0"/>
                    <a:ea typeface="+mn-ea"/>
                    <a:cs typeface="+mn-cs"/>
                  </a:defRPr>
                </a:pPr>
                <a:endParaRPr lang="sk-S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'platy mladych ucitelov'!$N$1:$Q$2</c:f>
              <c:strCache>
                <c:ptCount val="4"/>
                <c:pt idx="0">
                  <c:v>25-34 rokov  </c:v>
                </c:pt>
                <c:pt idx="1">
                  <c:v>35-44  rokov</c:v>
                </c:pt>
                <c:pt idx="2">
                  <c:v>45-54 rokov</c:v>
                </c:pt>
                <c:pt idx="3">
                  <c:v>55-64 rokov</c:v>
                </c:pt>
              </c:strCache>
            </c:strRef>
          </c:cat>
          <c:val>
            <c:numRef>
              <c:f>'platy mladych ucitelov'!$N$4:$Q$4</c:f>
              <c:numCache>
                <c:formatCode>0%</c:formatCode>
                <c:ptCount val="4"/>
                <c:pt idx="0">
                  <c:v>0.97</c:v>
                </c:pt>
                <c:pt idx="1">
                  <c:v>0.86</c:v>
                </c:pt>
                <c:pt idx="2">
                  <c:v>0.85</c:v>
                </c:pt>
                <c:pt idx="3">
                  <c:v>0.83</c:v>
                </c:pt>
              </c:numCache>
            </c:numRef>
          </c:val>
          <c:smooth val="0"/>
        </c:ser>
        <c:dLbls>
          <c:showLegendKey val="0"/>
          <c:showVal val="0"/>
          <c:showCatName val="0"/>
          <c:showSerName val="0"/>
          <c:showPercent val="0"/>
          <c:showBubbleSize val="0"/>
        </c:dLbls>
        <c:smooth val="0"/>
        <c:axId val="472768672"/>
        <c:axId val="472769064"/>
      </c:lineChart>
      <c:catAx>
        <c:axId val="47276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sk-SK"/>
          </a:p>
        </c:txPr>
        <c:crossAx val="472769064"/>
        <c:crosses val="autoZero"/>
        <c:auto val="1"/>
        <c:lblAlgn val="ctr"/>
        <c:lblOffset val="100"/>
        <c:noMultiLvlLbl val="0"/>
      </c:catAx>
      <c:valAx>
        <c:axId val="472769064"/>
        <c:scaling>
          <c:orientation val="minMax"/>
          <c:max val="1"/>
          <c:min val="0"/>
        </c:scaling>
        <c:delete val="0"/>
        <c:axPos val="l"/>
        <c:majorGridlines>
          <c:spPr>
            <a:ln w="9525" cap="flat" cmpd="sng" algn="ctr">
              <a:solidFill>
                <a:schemeClr val="tx1">
                  <a:lumMod val="15000"/>
                  <a:lumOff val="85000"/>
                </a:schemeClr>
              </a:solidFill>
              <a:prstDash val="dash"/>
              <a:round/>
            </a:ln>
            <a:effectLst/>
          </c:spPr>
        </c:majorGridlines>
        <c:numFmt formatCode="0%"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sk-SK"/>
          </a:p>
        </c:txPr>
        <c:crossAx val="472768672"/>
        <c:crosses val="autoZero"/>
        <c:crossBetween val="between"/>
      </c:valAx>
      <c:spPr>
        <a:noFill/>
        <a:ln>
          <a:noFill/>
        </a:ln>
        <a:effectLst/>
      </c:spPr>
    </c:plotArea>
    <c:legend>
      <c:legendPos val="b"/>
      <c:layout>
        <c:manualLayout>
          <c:xMode val="edge"/>
          <c:yMode val="edge"/>
          <c:x val="0.24517069512652381"/>
          <c:y val="0.57694383946687511"/>
          <c:w val="0.6785912073490814"/>
          <c:h val="0.1617756032923069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Narrow" panose="020B0606020202030204" pitchFamily="34" charset="0"/>
              <a:ea typeface="+mn-ea"/>
              <a:cs typeface="+mn-cs"/>
            </a:defRPr>
          </a:pPr>
          <a:endParaRPr lang="sk-SK"/>
        </a:p>
      </c:txPr>
    </c:legend>
    <c:plotVisOnly val="1"/>
    <c:dispBlanksAs val="gap"/>
    <c:showDLblsOverMax val="0"/>
  </c:chart>
  <c:spPr>
    <a:noFill/>
    <a:ln w="9525" cap="flat" cmpd="sng" algn="ctr">
      <a:noFill/>
      <a:prstDash val="solid"/>
      <a:round/>
    </a:ln>
    <a:effectLst/>
  </c:spPr>
  <c:txPr>
    <a:bodyPr/>
    <a:lstStyle/>
    <a:p>
      <a:pPr>
        <a:defRPr>
          <a:latin typeface="Arial Narrow" panose="020B0606020202030204" pitchFamily="34" charset="0"/>
        </a:defRPr>
      </a:pPr>
      <a:endParaRPr lang="sk-SK"/>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2691984833281625E-2"/>
          <c:y val="3.1722799355962859E-2"/>
          <c:w val="0.90581839532993791"/>
          <c:h val="0.75853698843200157"/>
        </c:manualLayout>
      </c:layout>
      <c:barChart>
        <c:barDir val="col"/>
        <c:grouping val="stacked"/>
        <c:varyColors val="0"/>
        <c:ser>
          <c:idx val="0"/>
          <c:order val="0"/>
          <c:tx>
            <c:strRef>
              <c:f>'Bc Mgr PhD'!$B$85</c:f>
              <c:strCache>
                <c:ptCount val="1"/>
                <c:pt idx="0">
                  <c:v>krátke terciárne programy</c:v>
                </c:pt>
              </c:strCache>
            </c:strRef>
          </c:tx>
          <c:spPr>
            <a:solidFill>
              <a:schemeClr val="bg1">
                <a:lumMod val="50000"/>
              </a:schemeClr>
            </a:solidFill>
            <a:ln>
              <a:noFill/>
            </a:ln>
            <a:effectLst/>
          </c:spPr>
          <c:invertIfNegative val="0"/>
          <c:dLbls>
            <c:spPr>
              <a:noFill/>
              <a:ln>
                <a:noFill/>
              </a:ln>
              <a:effectLst/>
            </c:spPr>
            <c:txPr>
              <a:bodyPr rot="0" vert="horz"/>
              <a:lstStyle/>
              <a:p>
                <a:pPr>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'Bc Mgr PhD'!$A$86:$A$92</c:f>
              <c:strCache>
                <c:ptCount val="7"/>
                <c:pt idx="0">
                  <c:v>SR</c:v>
                </c:pt>
                <c:pt idx="1">
                  <c:v>V3</c:v>
                </c:pt>
                <c:pt idx="2">
                  <c:v>OECD</c:v>
                </c:pt>
                <c:pt idx="4">
                  <c:v>SR</c:v>
                </c:pt>
                <c:pt idx="5">
                  <c:v>V3</c:v>
                </c:pt>
                <c:pt idx="6">
                  <c:v>OECD</c:v>
                </c:pt>
              </c:strCache>
            </c:strRef>
          </c:cat>
          <c:val>
            <c:numRef>
              <c:f>'Bc Mgr PhD'!$B$86:$B$92</c:f>
              <c:numCache>
                <c:formatCode>0.0</c:formatCode>
                <c:ptCount val="7"/>
                <c:pt idx="0">
                  <c:v>0.45595392584800998</c:v>
                </c:pt>
                <c:pt idx="1">
                  <c:v>1.560131490230575</c:v>
                </c:pt>
                <c:pt idx="2">
                  <c:v>7.5660788851965002</c:v>
                </c:pt>
              </c:numCache>
            </c:numRef>
          </c:val>
        </c:ser>
        <c:ser>
          <c:idx val="1"/>
          <c:order val="1"/>
          <c:tx>
            <c:strRef>
              <c:f>'Bc Mgr PhD'!$C$85</c:f>
              <c:strCache>
                <c:ptCount val="1"/>
                <c:pt idx="0">
                  <c:v>Bc.</c:v>
                </c:pt>
              </c:strCache>
            </c:strRef>
          </c:tx>
          <c:spPr>
            <a:solidFill>
              <a:schemeClr val="bg1">
                <a:lumMod val="85000"/>
              </a:schemeClr>
            </a:solidFill>
            <a:ln>
              <a:noFill/>
            </a:ln>
            <a:effectLst/>
          </c:spPr>
          <c:invertIfNegative val="0"/>
          <c:dLbls>
            <c:spPr>
              <a:noFill/>
              <a:ln>
                <a:noFill/>
              </a:ln>
              <a:effectLst/>
            </c:spPr>
            <c:txPr>
              <a:bodyPr rot="0" vert="horz"/>
              <a:lstStyle/>
              <a:p>
                <a:pPr>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'Bc Mgr PhD'!$A$86:$A$92</c:f>
              <c:strCache>
                <c:ptCount val="7"/>
                <c:pt idx="0">
                  <c:v>SR</c:v>
                </c:pt>
                <c:pt idx="1">
                  <c:v>V3</c:v>
                </c:pt>
                <c:pt idx="2">
                  <c:v>OECD</c:v>
                </c:pt>
                <c:pt idx="4">
                  <c:v>SR</c:v>
                </c:pt>
                <c:pt idx="5">
                  <c:v>V3</c:v>
                </c:pt>
                <c:pt idx="6">
                  <c:v>OECD</c:v>
                </c:pt>
              </c:strCache>
            </c:strRef>
          </c:cat>
          <c:val>
            <c:numRef>
              <c:f>'Bc Mgr PhD'!$C$86:$C$92</c:f>
              <c:numCache>
                <c:formatCode>0.0</c:formatCode>
                <c:ptCount val="7"/>
                <c:pt idx="0">
                  <c:v>5.6852378845215004</c:v>
                </c:pt>
                <c:pt idx="1">
                  <c:v>12.931286493937</c:v>
                </c:pt>
                <c:pt idx="2">
                  <c:v>21.482681001936001</c:v>
                </c:pt>
              </c:numCache>
            </c:numRef>
          </c:val>
        </c:ser>
        <c:ser>
          <c:idx val="2"/>
          <c:order val="2"/>
          <c:tx>
            <c:strRef>
              <c:f>'Bc Mgr PhD'!$D$85</c:f>
              <c:strCache>
                <c:ptCount val="1"/>
                <c:pt idx="0">
                  <c:v>Mgr.</c:v>
                </c:pt>
              </c:strCache>
            </c:strRef>
          </c:tx>
          <c:spPr>
            <a:solidFill>
              <a:schemeClr val="bg1">
                <a:lumMod val="65000"/>
              </a:schemeClr>
            </a:solidFill>
            <a:ln>
              <a:noFill/>
            </a:ln>
            <a:effectLst/>
          </c:spPr>
          <c:invertIfNegative val="0"/>
          <c:dLbls>
            <c:spPr>
              <a:noFill/>
              <a:ln>
                <a:noFill/>
              </a:ln>
              <a:effectLst/>
            </c:spPr>
            <c:txPr>
              <a:bodyPr rot="0" vert="horz"/>
              <a:lstStyle/>
              <a:p>
                <a:pPr>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'Bc Mgr PhD'!$A$86:$A$92</c:f>
              <c:strCache>
                <c:ptCount val="7"/>
                <c:pt idx="0">
                  <c:v>SR</c:v>
                </c:pt>
                <c:pt idx="1">
                  <c:v>V3</c:v>
                </c:pt>
                <c:pt idx="2">
                  <c:v>OECD</c:v>
                </c:pt>
                <c:pt idx="4">
                  <c:v>SR</c:v>
                </c:pt>
                <c:pt idx="5">
                  <c:v>V3</c:v>
                </c:pt>
                <c:pt idx="6">
                  <c:v>OECD</c:v>
                </c:pt>
              </c:strCache>
            </c:strRef>
          </c:cat>
          <c:val>
            <c:numRef>
              <c:f>'Bc Mgr PhD'!$D$86:$D$92</c:f>
              <c:numCache>
                <c:formatCode>0.0</c:formatCode>
                <c:ptCount val="7"/>
                <c:pt idx="0">
                  <c:v>24.363370895386002</c:v>
                </c:pt>
                <c:pt idx="1">
                  <c:v>20.88508288065567</c:v>
                </c:pt>
                <c:pt idx="2">
                  <c:v>13.526628757968</c:v>
                </c:pt>
              </c:numCache>
            </c:numRef>
          </c:val>
        </c:ser>
        <c:ser>
          <c:idx val="3"/>
          <c:order val="3"/>
          <c:tx>
            <c:strRef>
              <c:f>'Bc Mgr PhD'!$E$85</c:f>
              <c:strCache>
                <c:ptCount val="1"/>
                <c:pt idx="0">
                  <c:v>PhD.</c:v>
                </c:pt>
              </c:strCache>
            </c:strRef>
          </c:tx>
          <c:spPr>
            <a:solidFill>
              <a:schemeClr val="tx1"/>
            </a:solidFill>
            <a:ln>
              <a:noFill/>
            </a:ln>
            <a:effectLst/>
          </c:spPr>
          <c:invertIfNegative val="0"/>
          <c:dLbls>
            <c:spPr>
              <a:noFill/>
              <a:ln>
                <a:noFill/>
              </a:ln>
              <a:effectLst/>
            </c:spPr>
            <c:txPr>
              <a:bodyPr rot="0" vert="horz"/>
              <a:lstStyle/>
              <a:p>
                <a:pPr>
                  <a:defRPr/>
                </a:pPr>
                <a:endParaRPr lang="sk-SK"/>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'Bc Mgr PhD'!$A$86:$A$92</c:f>
              <c:strCache>
                <c:ptCount val="7"/>
                <c:pt idx="0">
                  <c:v>SR</c:v>
                </c:pt>
                <c:pt idx="1">
                  <c:v>V3</c:v>
                </c:pt>
                <c:pt idx="2">
                  <c:v>OECD</c:v>
                </c:pt>
                <c:pt idx="4">
                  <c:v>SR</c:v>
                </c:pt>
                <c:pt idx="5">
                  <c:v>V3</c:v>
                </c:pt>
                <c:pt idx="6">
                  <c:v>OECD</c:v>
                </c:pt>
              </c:strCache>
            </c:strRef>
          </c:cat>
          <c:val>
            <c:numRef>
              <c:f>'Bc Mgr PhD'!$E$86:$E$92</c:f>
              <c:numCache>
                <c:formatCode>0.0</c:formatCode>
                <c:ptCount val="7"/>
                <c:pt idx="0">
                  <c:v>0.80843418836594005</c:v>
                </c:pt>
                <c:pt idx="1">
                  <c:v>0.56889253854751665</c:v>
                </c:pt>
                <c:pt idx="2">
                  <c:v>0.71653685762236996</c:v>
                </c:pt>
              </c:numCache>
            </c:numRef>
          </c:val>
        </c:ser>
        <c:ser>
          <c:idx val="4"/>
          <c:order val="4"/>
          <c:tx>
            <c:strRef>
              <c:f>'Bc Mgr PhD'!$F$84:$F$85</c:f>
              <c:strCache>
                <c:ptCount val="2"/>
                <c:pt idx="0">
                  <c:v>25-34 rokov</c:v>
                </c:pt>
                <c:pt idx="1">
                  <c:v>PhD.</c:v>
                </c:pt>
              </c:strCache>
            </c:strRef>
          </c:tx>
          <c:spPr>
            <a:solidFill>
              <a:schemeClr val="accent5"/>
            </a:solidFill>
            <a:ln>
              <a:noFill/>
            </a:ln>
            <a:effectLst/>
          </c:spPr>
          <c:invertIfNegative val="0"/>
          <c:cat>
            <c:strRef>
              <c:f>'Bc Mgr PhD'!$A$86:$A$92</c:f>
              <c:strCache>
                <c:ptCount val="7"/>
                <c:pt idx="0">
                  <c:v>SR</c:v>
                </c:pt>
                <c:pt idx="1">
                  <c:v>V3</c:v>
                </c:pt>
                <c:pt idx="2">
                  <c:v>OECD</c:v>
                </c:pt>
                <c:pt idx="4">
                  <c:v>SR</c:v>
                </c:pt>
                <c:pt idx="5">
                  <c:v>V3</c:v>
                </c:pt>
                <c:pt idx="6">
                  <c:v>OECD</c:v>
                </c:pt>
              </c:strCache>
            </c:strRef>
          </c:cat>
          <c:val>
            <c:numRef>
              <c:f>'Bc Mgr PhD'!$F$86:$F$92</c:f>
              <c:numCache>
                <c:formatCode>General</c:formatCode>
                <c:ptCount val="7"/>
              </c:numCache>
            </c:numRef>
          </c:val>
        </c:ser>
        <c:ser>
          <c:idx val="5"/>
          <c:order val="5"/>
          <c:tx>
            <c:strRef>
              <c:f>'Bc Mgr PhD'!$G$84:$G$85</c:f>
              <c:strCache>
                <c:ptCount val="2"/>
                <c:pt idx="0">
                  <c:v>25-64 rokov</c:v>
                </c:pt>
                <c:pt idx="1">
                  <c:v>krátke</c:v>
                </c:pt>
              </c:strCache>
            </c:strRef>
          </c:tx>
          <c:spPr>
            <a:solidFill>
              <a:schemeClr val="bg1">
                <a:lumMod val="50000"/>
              </a:schemeClr>
            </a:solidFill>
            <a:ln>
              <a:noFill/>
            </a:ln>
            <a:effectLst/>
          </c:spPr>
          <c:invertIfNegative val="0"/>
          <c:dLbls>
            <c:spPr>
              <a:noFill/>
              <a:ln>
                <a:noFill/>
              </a:ln>
              <a:effectLst/>
            </c:spPr>
            <c:txPr>
              <a:bodyPr rot="0" vert="horz"/>
              <a:lstStyle/>
              <a:p>
                <a:pPr>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'Bc Mgr PhD'!$A$86:$A$92</c:f>
              <c:strCache>
                <c:ptCount val="7"/>
                <c:pt idx="0">
                  <c:v>SR</c:v>
                </c:pt>
                <c:pt idx="1">
                  <c:v>V3</c:v>
                </c:pt>
                <c:pt idx="2">
                  <c:v>OECD</c:v>
                </c:pt>
                <c:pt idx="4">
                  <c:v>SR</c:v>
                </c:pt>
                <c:pt idx="5">
                  <c:v>V3</c:v>
                </c:pt>
                <c:pt idx="6">
                  <c:v>OECD</c:v>
                </c:pt>
              </c:strCache>
            </c:strRef>
          </c:cat>
          <c:val>
            <c:numRef>
              <c:f>'Bc Mgr PhD'!$G$86:$G$92</c:f>
              <c:numCache>
                <c:formatCode>General</c:formatCode>
                <c:ptCount val="7"/>
                <c:pt idx="4" formatCode="0.0">
                  <c:v>0.29992398619652</c:v>
                </c:pt>
                <c:pt idx="5" formatCode="0.0">
                  <c:v>0.54226438949505662</c:v>
                </c:pt>
                <c:pt idx="6" formatCode="0.0">
                  <c:v>7.5575248291715997</c:v>
                </c:pt>
              </c:numCache>
            </c:numRef>
          </c:val>
        </c:ser>
        <c:ser>
          <c:idx val="6"/>
          <c:order val="6"/>
          <c:tx>
            <c:strRef>
              <c:f>'Bc Mgr PhD'!$H$84:$H$85</c:f>
              <c:strCache>
                <c:ptCount val="2"/>
                <c:pt idx="0">
                  <c:v>25-64 rokov</c:v>
                </c:pt>
                <c:pt idx="1">
                  <c:v>Bc.</c:v>
                </c:pt>
              </c:strCache>
            </c:strRef>
          </c:tx>
          <c:spPr>
            <a:solidFill>
              <a:schemeClr val="bg1">
                <a:lumMod val="85000"/>
              </a:schemeClr>
            </a:solidFill>
            <a:ln>
              <a:noFill/>
            </a:ln>
            <a:effectLst/>
          </c:spPr>
          <c:invertIfNegative val="0"/>
          <c:dLbls>
            <c:dLbl>
              <c:idx val="4"/>
              <c:layout>
                <c:manualLayout>
                  <c:x val="0"/>
                  <c:y val="-3.31950207468879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'Bc Mgr PhD'!$A$86:$A$92</c:f>
              <c:strCache>
                <c:ptCount val="7"/>
                <c:pt idx="0">
                  <c:v>SR</c:v>
                </c:pt>
                <c:pt idx="1">
                  <c:v>V3</c:v>
                </c:pt>
                <c:pt idx="2">
                  <c:v>OECD</c:v>
                </c:pt>
                <c:pt idx="4">
                  <c:v>SR</c:v>
                </c:pt>
                <c:pt idx="5">
                  <c:v>V3</c:v>
                </c:pt>
                <c:pt idx="6">
                  <c:v>OECD</c:v>
                </c:pt>
              </c:strCache>
            </c:strRef>
          </c:cat>
          <c:val>
            <c:numRef>
              <c:f>'Bc Mgr PhD'!$H$86:$H$92</c:f>
              <c:numCache>
                <c:formatCode>General</c:formatCode>
                <c:ptCount val="7"/>
                <c:pt idx="4" formatCode="0.0">
                  <c:v>2.8510770797729998</c:v>
                </c:pt>
                <c:pt idx="5" formatCode="0.0">
                  <c:v>8.1639928817747993</c:v>
                </c:pt>
                <c:pt idx="6" formatCode="0.0">
                  <c:v>15.791983897345</c:v>
                </c:pt>
              </c:numCache>
            </c:numRef>
          </c:val>
        </c:ser>
        <c:ser>
          <c:idx val="7"/>
          <c:order val="7"/>
          <c:tx>
            <c:strRef>
              <c:f>'Bc Mgr PhD'!$I$84:$I$85</c:f>
              <c:strCache>
                <c:ptCount val="2"/>
                <c:pt idx="0">
                  <c:v>25-64 rokov</c:v>
                </c:pt>
                <c:pt idx="1">
                  <c:v>Mgr.</c:v>
                </c:pt>
              </c:strCache>
            </c:strRef>
          </c:tx>
          <c:spPr>
            <a:solidFill>
              <a:schemeClr val="bg1">
                <a:lumMod val="65000"/>
              </a:schemeClr>
            </a:solidFill>
            <a:ln>
              <a:noFill/>
            </a:ln>
            <a:effectLst/>
          </c:spPr>
          <c:invertIfNegative val="0"/>
          <c:dLbls>
            <c:spPr>
              <a:noFill/>
              <a:ln>
                <a:noFill/>
              </a:ln>
              <a:effectLst/>
            </c:spPr>
            <c:txPr>
              <a:bodyPr rot="0" vert="horz"/>
              <a:lstStyle/>
              <a:p>
                <a:pPr>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'Bc Mgr PhD'!$A$86:$A$92</c:f>
              <c:strCache>
                <c:ptCount val="7"/>
                <c:pt idx="0">
                  <c:v>SR</c:v>
                </c:pt>
                <c:pt idx="1">
                  <c:v>V3</c:v>
                </c:pt>
                <c:pt idx="2">
                  <c:v>OECD</c:v>
                </c:pt>
                <c:pt idx="4">
                  <c:v>SR</c:v>
                </c:pt>
                <c:pt idx="5">
                  <c:v>V3</c:v>
                </c:pt>
                <c:pt idx="6">
                  <c:v>OECD</c:v>
                </c:pt>
              </c:strCache>
            </c:strRef>
          </c:cat>
          <c:val>
            <c:numRef>
              <c:f>'Bc Mgr PhD'!$I$86:$I$92</c:f>
              <c:numCache>
                <c:formatCode>General</c:formatCode>
                <c:ptCount val="7"/>
                <c:pt idx="4" formatCode="0.0">
                  <c:v>17.316316604613998</c:v>
                </c:pt>
                <c:pt idx="5" formatCode="0.0">
                  <c:v>15.395562171936065</c:v>
                </c:pt>
                <c:pt idx="6" formatCode="0.0">
                  <c:v>11.373811674840001</c:v>
                </c:pt>
              </c:numCache>
            </c:numRef>
          </c:val>
        </c:ser>
        <c:ser>
          <c:idx val="8"/>
          <c:order val="8"/>
          <c:tx>
            <c:strRef>
              <c:f>'Bc Mgr PhD'!$J$84:$J$85</c:f>
              <c:strCache>
                <c:ptCount val="2"/>
                <c:pt idx="0">
                  <c:v>25-64 rokov</c:v>
                </c:pt>
                <c:pt idx="1">
                  <c:v>PhD.</c:v>
                </c:pt>
              </c:strCache>
            </c:strRef>
          </c:tx>
          <c:spPr>
            <a:solidFill>
              <a:schemeClr val="tx1"/>
            </a:solidFill>
            <a:ln>
              <a:noFill/>
            </a:ln>
            <a:effectLst/>
          </c:spPr>
          <c:invertIfNegative val="0"/>
          <c:dLbls>
            <c:spPr>
              <a:noFill/>
              <a:ln>
                <a:noFill/>
              </a:ln>
              <a:effectLst/>
            </c:spPr>
            <c:txPr>
              <a:bodyPr rot="0" vert="horz"/>
              <a:lstStyle/>
              <a:p>
                <a:pPr>
                  <a:defRPr/>
                </a:pPr>
                <a:endParaRPr lang="sk-SK"/>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'Bc Mgr PhD'!$A$86:$A$92</c:f>
              <c:strCache>
                <c:ptCount val="7"/>
                <c:pt idx="0">
                  <c:v>SR</c:v>
                </c:pt>
                <c:pt idx="1">
                  <c:v>V3</c:v>
                </c:pt>
                <c:pt idx="2">
                  <c:v>OECD</c:v>
                </c:pt>
                <c:pt idx="4">
                  <c:v>SR</c:v>
                </c:pt>
                <c:pt idx="5">
                  <c:v>V3</c:v>
                </c:pt>
                <c:pt idx="6">
                  <c:v>OECD</c:v>
                </c:pt>
              </c:strCache>
            </c:strRef>
          </c:cat>
          <c:val>
            <c:numRef>
              <c:f>'Bc Mgr PhD'!$J$86:$J$92</c:f>
              <c:numCache>
                <c:formatCode>General</c:formatCode>
                <c:ptCount val="7"/>
                <c:pt idx="4" formatCode="0.0">
                  <c:v>0.68256306648253995</c:v>
                </c:pt>
                <c:pt idx="5" formatCode="0.0">
                  <c:v>0.62369914849599339</c:v>
                </c:pt>
                <c:pt idx="6" formatCode="0.0">
                  <c:v>1.0017483635775</c:v>
                </c:pt>
              </c:numCache>
            </c:numRef>
          </c:val>
        </c:ser>
        <c:dLbls>
          <c:showLegendKey val="0"/>
          <c:showVal val="0"/>
          <c:showCatName val="0"/>
          <c:showSerName val="0"/>
          <c:showPercent val="0"/>
          <c:showBubbleSize val="0"/>
        </c:dLbls>
        <c:gapWidth val="150"/>
        <c:overlap val="100"/>
        <c:axId val="472770240"/>
        <c:axId val="472770632"/>
      </c:barChart>
      <c:catAx>
        <c:axId val="472770240"/>
        <c:scaling>
          <c:orientation val="minMax"/>
        </c:scaling>
        <c:delete val="0"/>
        <c:axPos val="b"/>
        <c:title>
          <c:tx>
            <c:rich>
              <a:bodyPr rot="0" vert="horz"/>
              <a:lstStyle/>
              <a:p>
                <a:pPr>
                  <a:defRPr/>
                </a:pPr>
                <a:r>
                  <a:rPr lang="sk-SK"/>
                  <a:t>25-34 rokov                                                                                   25-64 rokov</a:t>
                </a:r>
              </a:p>
            </c:rich>
          </c:tx>
          <c:layout>
            <c:manualLayout>
              <c:xMode val="edge"/>
              <c:yMode val="edge"/>
              <c:x val="0.21750759889106294"/>
              <c:y val="0.9039324578809669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sk-SK"/>
          </a:p>
        </c:txPr>
        <c:crossAx val="472770632"/>
        <c:crosses val="autoZero"/>
        <c:auto val="1"/>
        <c:lblAlgn val="ctr"/>
        <c:lblOffset val="100"/>
        <c:noMultiLvlLbl val="0"/>
      </c:catAx>
      <c:valAx>
        <c:axId val="472770632"/>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0&quot;%&quot;" sourceLinked="0"/>
        <c:majorTickMark val="none"/>
        <c:minorTickMark val="none"/>
        <c:tickLblPos val="nextTo"/>
        <c:spPr>
          <a:noFill/>
          <a:ln>
            <a:noFill/>
          </a:ln>
          <a:effectLst/>
        </c:spPr>
        <c:txPr>
          <a:bodyPr rot="-60000000" vert="horz"/>
          <a:lstStyle/>
          <a:p>
            <a:pPr>
              <a:defRPr/>
            </a:pPr>
            <a:endParaRPr lang="sk-SK"/>
          </a:p>
        </c:txPr>
        <c:crossAx val="472770240"/>
        <c:crosses val="autoZero"/>
        <c:crossBetween val="between"/>
      </c:valAx>
      <c:spPr>
        <a:noFill/>
        <a:ln>
          <a:noFill/>
        </a:ln>
        <a:effectLst/>
      </c:spPr>
    </c:plotArea>
    <c:legend>
      <c:legendPos val="l"/>
      <c:legendEntry>
        <c:idx val="0"/>
        <c:delete val="1"/>
      </c:legendEntry>
      <c:legendEntry>
        <c:idx val="1"/>
        <c:delete val="1"/>
      </c:legendEntry>
      <c:legendEntry>
        <c:idx val="2"/>
        <c:delete val="1"/>
      </c:legendEntry>
      <c:legendEntry>
        <c:idx val="3"/>
        <c:delete val="1"/>
      </c:legendEntry>
      <c:legendEntry>
        <c:idx val="4"/>
        <c:delete val="1"/>
      </c:legendEntry>
      <c:layout>
        <c:manualLayout>
          <c:xMode val="edge"/>
          <c:yMode val="edge"/>
          <c:x val="0.44876088412592097"/>
          <c:y val="9.920703732258189E-2"/>
          <c:w val="0.16658298657075102"/>
          <c:h val="0.67959505061867265"/>
        </c:manualLayout>
      </c:layout>
      <c:overlay val="0"/>
      <c:spPr>
        <a:noFill/>
        <a:ln>
          <a:noFill/>
        </a:ln>
        <a:effectLst/>
      </c:spPr>
      <c:txPr>
        <a:bodyPr rot="0" vert="horz"/>
        <a:lstStyle/>
        <a:p>
          <a:pPr>
            <a:defRPr/>
          </a:pPr>
          <a:endParaRPr lang="sk-SK"/>
        </a:p>
      </c:txPr>
    </c:legend>
    <c:plotVisOnly val="1"/>
    <c:dispBlanksAs val="gap"/>
    <c:showDLblsOverMax val="0"/>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sk-SK"/>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843357346289163E-2"/>
          <c:y val="4.954954954954955E-2"/>
          <c:w val="0.81390211972889137"/>
          <c:h val="0.83771121515216007"/>
        </c:manualLayout>
      </c:layout>
      <c:barChart>
        <c:barDir val="col"/>
        <c:grouping val="stacked"/>
        <c:varyColors val="0"/>
        <c:ser>
          <c:idx val="0"/>
          <c:order val="0"/>
          <c:tx>
            <c:strRef>
              <c:f>'vydavky na studenta'!$G$81</c:f>
              <c:strCache>
                <c:ptCount val="1"/>
                <c:pt idx="0">
                  <c:v>VŠ vzdelávanie</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'vydavky na studenta'!$A$82:$A$84</c:f>
              <c:strCache>
                <c:ptCount val="3"/>
                <c:pt idx="0">
                  <c:v>SK</c:v>
                </c:pt>
                <c:pt idx="1">
                  <c:v>V3</c:v>
                </c:pt>
                <c:pt idx="2">
                  <c:v>OECD</c:v>
                </c:pt>
              </c:strCache>
            </c:strRef>
          </c:cat>
          <c:val>
            <c:numRef>
              <c:f>'vydavky na studenta'!$G$82:$G$84</c:f>
              <c:numCache>
                <c:formatCode>#,##0</c:formatCode>
                <c:ptCount val="3"/>
                <c:pt idx="0">
                  <c:v>7989.5964839950002</c:v>
                </c:pt>
                <c:pt idx="1">
                  <c:v>6725.4862188704001</c:v>
                </c:pt>
                <c:pt idx="2">
                  <c:v>10654.173840479092</c:v>
                </c:pt>
              </c:numCache>
            </c:numRef>
          </c:val>
        </c:ser>
        <c:ser>
          <c:idx val="1"/>
          <c:order val="1"/>
          <c:tx>
            <c:strRef>
              <c:f>'vydavky na studenta'!$H$81</c:f>
              <c:strCache>
                <c:ptCount val="1"/>
                <c:pt idx="0">
                  <c:v>VŠ služby študentom</c:v>
                </c:pt>
              </c:strCache>
            </c:strRef>
          </c:tx>
          <c:spPr>
            <a:solidFill>
              <a:schemeClr val="bg1">
                <a:lumMod val="85000"/>
              </a:schemeClr>
            </a:solidFill>
            <a:ln>
              <a:noFill/>
            </a:ln>
            <a:effectLst/>
          </c:spPr>
          <c:invertIfNegative val="0"/>
          <c:dLbls>
            <c:dLbl>
              <c:idx val="1"/>
              <c:layout>
                <c:manualLayout>
                  <c:x val="7.5348075348075347E-2"/>
                  <c:y val="-8.2581628592562116E-1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8624078624078622E-2"/>
                  <c:y val="9.0090090090090089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'vydavky na studenta'!$A$82:$A$84</c:f>
              <c:strCache>
                <c:ptCount val="3"/>
                <c:pt idx="0">
                  <c:v>SK</c:v>
                </c:pt>
                <c:pt idx="1">
                  <c:v>V3</c:v>
                </c:pt>
                <c:pt idx="2">
                  <c:v>OECD</c:v>
                </c:pt>
              </c:strCache>
            </c:strRef>
          </c:cat>
          <c:val>
            <c:numRef>
              <c:f>'vydavky na studenta'!$H$82:$H$84</c:f>
              <c:numCache>
                <c:formatCode>#,##0</c:formatCode>
                <c:ptCount val="3"/>
                <c:pt idx="0">
                  <c:v>1855.4845783400001</c:v>
                </c:pt>
                <c:pt idx="1">
                  <c:v>301.02607764408532</c:v>
                </c:pt>
                <c:pt idx="2">
                  <c:v>593.1768148622599</c:v>
                </c:pt>
              </c:numCache>
            </c:numRef>
          </c:val>
        </c:ser>
        <c:ser>
          <c:idx val="2"/>
          <c:order val="2"/>
          <c:tx>
            <c:strRef>
              <c:f>'vydavky na studenta'!$I$81</c:f>
              <c:strCache>
                <c:ptCount val="1"/>
                <c:pt idx="0">
                  <c:v>VŠ veda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'vydavky na studenta'!$A$82:$A$84</c:f>
              <c:strCache>
                <c:ptCount val="3"/>
                <c:pt idx="0">
                  <c:v>SK</c:v>
                </c:pt>
                <c:pt idx="1">
                  <c:v>V3</c:v>
                </c:pt>
                <c:pt idx="2">
                  <c:v>OECD</c:v>
                </c:pt>
              </c:strCache>
            </c:strRef>
          </c:cat>
          <c:val>
            <c:numRef>
              <c:f>'vydavky na studenta'!$I$82:$I$84</c:f>
              <c:numCache>
                <c:formatCode>#,##0</c:formatCode>
                <c:ptCount val="3"/>
                <c:pt idx="0">
                  <c:v>6028.8208565557998</c:v>
                </c:pt>
                <c:pt idx="1">
                  <c:v>2753.3438075375998</c:v>
                </c:pt>
                <c:pt idx="2">
                  <c:v>4408.5757576866681</c:v>
                </c:pt>
              </c:numCache>
            </c:numRef>
          </c:val>
        </c:ser>
        <c:ser>
          <c:idx val="8"/>
          <c:order val="3"/>
          <c:tx>
            <c:strRef>
              <c:f>'vydavky na studenta'!$K$81</c:f>
              <c:strCache>
                <c:ptCount val="1"/>
              </c:strCache>
            </c:strRef>
          </c:tx>
          <c:spPr>
            <a:noFill/>
            <a:ln>
              <a:noFill/>
            </a:ln>
            <a:effectLst/>
          </c:spPr>
          <c:invertIfNegative val="0"/>
          <c:dLbls>
            <c:dLbl>
              <c:idx val="0"/>
              <c:layout>
                <c:manualLayout>
                  <c:x val="0"/>
                  <c:y val="-1.2511729746637473E-2"/>
                </c:manualLayout>
              </c:layout>
              <c:tx>
                <c:rich>
                  <a:bodyPr/>
                  <a:lstStyle/>
                  <a:p>
                    <a:fld id="{17FA0F3B-FAB5-4E4E-9884-A6070C66F36C}" type="CELLRANGE">
                      <a:rPr lang="en-US"/>
                      <a:pPr/>
                      <a:t>[CELLRANGE]</a:t>
                    </a:fld>
                    <a:endParaRPr lang="sk-SK"/>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1"/>
              <c:layout>
                <c:manualLayout>
                  <c:x val="-8.3408196303679668E-17"/>
                  <c:y val="-1.8767594619956265E-2"/>
                </c:manualLayout>
              </c:layout>
              <c:tx>
                <c:rich>
                  <a:bodyPr/>
                  <a:lstStyle/>
                  <a:p>
                    <a:fld id="{8CD04894-03EC-4D16-B0E0-E9619A7E5C41}" type="CELLRANGE">
                      <a:rPr lang="en-US"/>
                      <a:pPr/>
                      <a:t>[CELLRANGE]</a:t>
                    </a:fld>
                    <a:endParaRPr lang="sk-SK"/>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2"/>
              <c:layout>
                <c:manualLayout>
                  <c:x val="0"/>
                  <c:y val="-1.2511729746637473E-2"/>
                </c:manualLayout>
              </c:layout>
              <c:tx>
                <c:rich>
                  <a:bodyPr/>
                  <a:lstStyle/>
                  <a:p>
                    <a:fld id="{C236E931-BE1E-4C4D-AA4F-15AECF352230}" type="CELLRANGE">
                      <a:rPr lang="en-US"/>
                      <a:pPr/>
                      <a:t>[CELLRANGE]</a:t>
                    </a:fld>
                    <a:endParaRPr lang="sk-SK"/>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Narrow" panose="020B0606020202030204" pitchFamily="34" charset="0"/>
                    <a:ea typeface="+mn-ea"/>
                    <a:cs typeface="+mn-cs"/>
                  </a:defRPr>
                </a:pPr>
                <a:endParaRPr lang="sk-SK"/>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'vydavky na studenta'!$A$82:$A$84</c:f>
              <c:strCache>
                <c:ptCount val="3"/>
                <c:pt idx="0">
                  <c:v>SK</c:v>
                </c:pt>
                <c:pt idx="1">
                  <c:v>V3</c:v>
                </c:pt>
                <c:pt idx="2">
                  <c:v>OECD</c:v>
                </c:pt>
              </c:strCache>
            </c:strRef>
          </c:cat>
          <c:val>
            <c:numRef>
              <c:f>'vydavky na studenta'!$K$82:$K$84</c:f>
              <c:numCache>
                <c:formatCode>General</c:formatCode>
                <c:ptCount val="3"/>
                <c:pt idx="0">
                  <c:v>1000</c:v>
                </c:pt>
                <c:pt idx="1">
                  <c:v>1000</c:v>
                </c:pt>
                <c:pt idx="2">
                  <c:v>1000</c:v>
                </c:pt>
              </c:numCache>
            </c:numRef>
          </c:val>
          <c:extLst>
            <c:ext xmlns:c15="http://schemas.microsoft.com/office/drawing/2012/chart" uri="{02D57815-91ED-43cb-92C2-25804820EDAC}">
              <c15:datalabelsRange>
                <c15:f>'vydavky na studenta'!$J$82:$J$84</c15:f>
                <c15:dlblRangeCache>
                  <c:ptCount val="3"/>
                  <c:pt idx="0">
                    <c:v>15 874</c:v>
                  </c:pt>
                  <c:pt idx="1">
                    <c:v>9 780</c:v>
                  </c:pt>
                  <c:pt idx="2">
                    <c:v>15 656</c:v>
                  </c:pt>
                </c15:dlblRangeCache>
              </c15:datalabelsRange>
            </c:ext>
          </c:extLst>
        </c:ser>
        <c:dLbls>
          <c:showLegendKey val="0"/>
          <c:showVal val="0"/>
          <c:showCatName val="0"/>
          <c:showSerName val="0"/>
          <c:showPercent val="0"/>
          <c:showBubbleSize val="0"/>
        </c:dLbls>
        <c:gapWidth val="219"/>
        <c:overlap val="100"/>
        <c:axId val="472771416"/>
        <c:axId val="472771808"/>
      </c:barChart>
      <c:catAx>
        <c:axId val="472771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sk-SK"/>
          </a:p>
        </c:txPr>
        <c:crossAx val="472771808"/>
        <c:crosses val="autoZero"/>
        <c:auto val="1"/>
        <c:lblAlgn val="ctr"/>
        <c:lblOffset val="100"/>
        <c:noMultiLvlLbl val="0"/>
      </c:catAx>
      <c:valAx>
        <c:axId val="472771808"/>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sk-SK"/>
          </a:p>
        </c:txPr>
        <c:crossAx val="472771416"/>
        <c:crosses val="autoZero"/>
        <c:crossBetween val="between"/>
      </c:valAx>
      <c:spPr>
        <a:noFill/>
        <a:ln>
          <a:noFill/>
        </a:ln>
        <a:effectLst/>
      </c:spPr>
    </c:plotArea>
    <c:legend>
      <c:legendPos val="b"/>
      <c:legendEntry>
        <c:idx val="3"/>
        <c:delete val="1"/>
      </c:legendEntry>
      <c:layout>
        <c:manualLayout>
          <c:xMode val="edge"/>
          <c:yMode val="edge"/>
          <c:x val="0.36304299542175067"/>
          <c:y val="3.8644496932409574E-2"/>
          <c:w val="0.38131443760612727"/>
          <c:h val="0.2251953726303449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endParaRPr lang="sk-SK"/>
        </a:p>
      </c:txPr>
    </c:legend>
    <c:plotVisOnly val="1"/>
    <c:dispBlanksAs val="gap"/>
    <c:showDLblsOverMax val="0"/>
  </c:chart>
  <c:spPr>
    <a:noFill/>
    <a:ln w="9525" cap="flat" cmpd="sng" algn="ctr">
      <a:noFill/>
      <a:round/>
    </a:ln>
    <a:effectLst/>
  </c:spPr>
  <c:txPr>
    <a:bodyPr/>
    <a:lstStyle/>
    <a:p>
      <a:pPr>
        <a:defRPr sz="1050">
          <a:solidFill>
            <a:sysClr val="windowText" lastClr="000000"/>
          </a:solidFill>
          <a:latin typeface="Arial Narrow" panose="020B0606020202030204" pitchFamily="34" charset="0"/>
        </a:defRPr>
      </a:pPr>
      <a:endParaRPr lang="sk-SK"/>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863768358742392E-2"/>
          <c:y val="8.4437714516454654E-2"/>
          <c:w val="0.84330375487267195"/>
          <c:h val="0.74135536336646446"/>
        </c:manualLayout>
      </c:layout>
      <c:lineChart>
        <c:grouping val="standard"/>
        <c:varyColors val="0"/>
        <c:ser>
          <c:idx val="3"/>
          <c:order val="0"/>
          <c:tx>
            <c:strRef>
              <c:f>'RandD na VS'!$A$38</c:f>
              <c:strCache>
                <c:ptCount val="1"/>
                <c:pt idx="0">
                  <c:v>FI</c:v>
                </c:pt>
              </c:strCache>
            </c:strRef>
          </c:tx>
          <c:spPr>
            <a:ln w="25400">
              <a:solidFill>
                <a:sysClr val="window" lastClr="FFFFFF">
                  <a:lumMod val="50000"/>
                </a:sysClr>
              </a:solidFill>
              <a:prstDash val="dash"/>
            </a:ln>
          </c:spPr>
          <c:marker>
            <c:symbol val="none"/>
          </c:marker>
          <c:cat>
            <c:strRef>
              <c:f>'RandD cele'!$B$10:$H$10</c:f>
              <c:strCache>
                <c:ptCount val="7"/>
                <c:pt idx="0">
                  <c:v>2010</c:v>
                </c:pt>
                <c:pt idx="1">
                  <c:v>2011</c:v>
                </c:pt>
                <c:pt idx="2">
                  <c:v>2012</c:v>
                </c:pt>
                <c:pt idx="3">
                  <c:v>2013</c:v>
                </c:pt>
                <c:pt idx="4">
                  <c:v>2014</c:v>
                </c:pt>
                <c:pt idx="5">
                  <c:v>2015</c:v>
                </c:pt>
                <c:pt idx="6">
                  <c:v>2016</c:v>
                </c:pt>
              </c:strCache>
            </c:strRef>
          </c:cat>
          <c:val>
            <c:numRef>
              <c:f>'RandD na VS'!$B$38:$H$38</c:f>
              <c:numCache>
                <c:formatCode>#,##0.00</c:formatCode>
                <c:ptCount val="7"/>
                <c:pt idx="0">
                  <c:v>0.76</c:v>
                </c:pt>
                <c:pt idx="1">
                  <c:v>0.73</c:v>
                </c:pt>
                <c:pt idx="2">
                  <c:v>0.74</c:v>
                </c:pt>
                <c:pt idx="3">
                  <c:v>0.71</c:v>
                </c:pt>
                <c:pt idx="4">
                  <c:v>0.72</c:v>
                </c:pt>
                <c:pt idx="5">
                  <c:v>0.71</c:v>
                </c:pt>
                <c:pt idx="6">
                  <c:v>0.69</c:v>
                </c:pt>
              </c:numCache>
            </c:numRef>
          </c:val>
          <c:smooth val="0"/>
        </c:ser>
        <c:ser>
          <c:idx val="5"/>
          <c:order val="1"/>
          <c:tx>
            <c:strRef>
              <c:f>'RandD na VS'!$A$11</c:f>
              <c:strCache>
                <c:ptCount val="1"/>
                <c:pt idx="0">
                  <c:v>EU </c:v>
                </c:pt>
              </c:strCache>
            </c:strRef>
          </c:tx>
          <c:spPr>
            <a:ln w="25400">
              <a:solidFill>
                <a:sysClr val="window" lastClr="FFFFFF">
                  <a:lumMod val="50000"/>
                </a:sysClr>
              </a:solidFill>
              <a:prstDash val="solid"/>
            </a:ln>
          </c:spPr>
          <c:marker>
            <c:symbol val="none"/>
          </c:marker>
          <c:cat>
            <c:strRef>
              <c:f>'RandD cele'!$B$10:$H$10</c:f>
              <c:strCache>
                <c:ptCount val="7"/>
                <c:pt idx="0">
                  <c:v>2010</c:v>
                </c:pt>
                <c:pt idx="1">
                  <c:v>2011</c:v>
                </c:pt>
                <c:pt idx="2">
                  <c:v>2012</c:v>
                </c:pt>
                <c:pt idx="3">
                  <c:v>2013</c:v>
                </c:pt>
                <c:pt idx="4">
                  <c:v>2014</c:v>
                </c:pt>
                <c:pt idx="5">
                  <c:v>2015</c:v>
                </c:pt>
                <c:pt idx="6">
                  <c:v>2016</c:v>
                </c:pt>
              </c:strCache>
            </c:strRef>
          </c:cat>
          <c:val>
            <c:numRef>
              <c:f>'RandD na VS'!$B$11:$H$11</c:f>
              <c:numCache>
                <c:formatCode>#,##0.00</c:formatCode>
                <c:ptCount val="7"/>
                <c:pt idx="0">
                  <c:v>0.47</c:v>
                </c:pt>
                <c:pt idx="1">
                  <c:v>0.46</c:v>
                </c:pt>
                <c:pt idx="2">
                  <c:v>0.47</c:v>
                </c:pt>
                <c:pt idx="3">
                  <c:v>0.47</c:v>
                </c:pt>
                <c:pt idx="4">
                  <c:v>0.47</c:v>
                </c:pt>
                <c:pt idx="5">
                  <c:v>0.47</c:v>
                </c:pt>
                <c:pt idx="6">
                  <c:v>0.47</c:v>
                </c:pt>
              </c:numCache>
            </c:numRef>
          </c:val>
          <c:smooth val="0"/>
        </c:ser>
        <c:ser>
          <c:idx val="0"/>
          <c:order val="2"/>
          <c:tx>
            <c:strRef>
              <c:f>'RandD na VS'!$A$15</c:f>
              <c:strCache>
                <c:ptCount val="1"/>
                <c:pt idx="0">
                  <c:v>CZ</c:v>
                </c:pt>
              </c:strCache>
            </c:strRef>
          </c:tx>
          <c:spPr>
            <a:ln w="25400">
              <a:solidFill>
                <a:sysClr val="windowText" lastClr="000000"/>
              </a:solidFill>
              <a:prstDash val="dash"/>
            </a:ln>
          </c:spPr>
          <c:marker>
            <c:symbol val="none"/>
          </c:marker>
          <c:dPt>
            <c:idx val="2"/>
            <c:bubble3D val="0"/>
          </c:dPt>
          <c:cat>
            <c:strRef>
              <c:f>'RandD cele'!$B$10:$H$10</c:f>
              <c:strCache>
                <c:ptCount val="7"/>
                <c:pt idx="0">
                  <c:v>2010</c:v>
                </c:pt>
                <c:pt idx="1">
                  <c:v>2011</c:v>
                </c:pt>
                <c:pt idx="2">
                  <c:v>2012</c:v>
                </c:pt>
                <c:pt idx="3">
                  <c:v>2013</c:v>
                </c:pt>
                <c:pt idx="4">
                  <c:v>2014</c:v>
                </c:pt>
                <c:pt idx="5">
                  <c:v>2015</c:v>
                </c:pt>
                <c:pt idx="6">
                  <c:v>2016</c:v>
                </c:pt>
              </c:strCache>
            </c:strRef>
          </c:cat>
          <c:val>
            <c:numRef>
              <c:f>'RandD na VS'!$B$15:$H$15</c:f>
              <c:numCache>
                <c:formatCode>#,##0.00</c:formatCode>
                <c:ptCount val="7"/>
                <c:pt idx="0">
                  <c:v>0.27</c:v>
                </c:pt>
                <c:pt idx="1">
                  <c:v>0.38</c:v>
                </c:pt>
                <c:pt idx="2">
                  <c:v>0.49</c:v>
                </c:pt>
                <c:pt idx="3">
                  <c:v>0.52</c:v>
                </c:pt>
                <c:pt idx="4" formatCode="#\ ##0.0">
                  <c:v>0.5</c:v>
                </c:pt>
                <c:pt idx="5">
                  <c:v>0.48</c:v>
                </c:pt>
                <c:pt idx="6">
                  <c:v>0.34</c:v>
                </c:pt>
              </c:numCache>
            </c:numRef>
          </c:val>
          <c:smooth val="0"/>
        </c:ser>
        <c:ser>
          <c:idx val="1"/>
          <c:order val="3"/>
          <c:tx>
            <c:strRef>
              <c:f>'RandD na VS'!$A$33</c:f>
              <c:strCache>
                <c:ptCount val="1"/>
                <c:pt idx="0">
                  <c:v>PL</c:v>
                </c:pt>
              </c:strCache>
            </c:strRef>
          </c:tx>
          <c:spPr>
            <a:ln w="38100">
              <a:solidFill>
                <a:sysClr val="windowText" lastClr="000000"/>
              </a:solidFill>
              <a:prstDash val="sysDot"/>
            </a:ln>
          </c:spPr>
          <c:marker>
            <c:symbol val="none"/>
          </c:marker>
          <c:cat>
            <c:strRef>
              <c:f>'RandD cele'!$B$10:$H$10</c:f>
              <c:strCache>
                <c:ptCount val="7"/>
                <c:pt idx="0">
                  <c:v>2010</c:v>
                </c:pt>
                <c:pt idx="1">
                  <c:v>2011</c:v>
                </c:pt>
                <c:pt idx="2">
                  <c:v>2012</c:v>
                </c:pt>
                <c:pt idx="3">
                  <c:v>2013</c:v>
                </c:pt>
                <c:pt idx="4">
                  <c:v>2014</c:v>
                </c:pt>
                <c:pt idx="5">
                  <c:v>2015</c:v>
                </c:pt>
                <c:pt idx="6">
                  <c:v>2016</c:v>
                </c:pt>
              </c:strCache>
            </c:strRef>
          </c:cat>
          <c:val>
            <c:numRef>
              <c:f>'RandD na VS'!$B$33:$H$33</c:f>
              <c:numCache>
                <c:formatCode>#,##0.00</c:formatCode>
                <c:ptCount val="7"/>
                <c:pt idx="0">
                  <c:v>0.27</c:v>
                </c:pt>
                <c:pt idx="1">
                  <c:v>0.26</c:v>
                </c:pt>
                <c:pt idx="2" formatCode="#\ ##0.0">
                  <c:v>0.3</c:v>
                </c:pt>
                <c:pt idx="3">
                  <c:v>0.25</c:v>
                </c:pt>
                <c:pt idx="4">
                  <c:v>0.27</c:v>
                </c:pt>
                <c:pt idx="5">
                  <c:v>0.28999999999999998</c:v>
                </c:pt>
                <c:pt idx="6" formatCode="#\ ##0.0">
                  <c:v>0.3</c:v>
                </c:pt>
              </c:numCache>
            </c:numRef>
          </c:val>
          <c:smooth val="0"/>
        </c:ser>
        <c:ser>
          <c:idx val="2"/>
          <c:order val="4"/>
          <c:tx>
            <c:strRef>
              <c:f>'RandD na VS'!$A$29</c:f>
              <c:strCache>
                <c:ptCount val="1"/>
                <c:pt idx="0">
                  <c:v>HU</c:v>
                </c:pt>
              </c:strCache>
            </c:strRef>
          </c:tx>
          <c:spPr>
            <a:ln w="44450">
              <a:solidFill>
                <a:sysClr val="window" lastClr="FFFFFF">
                  <a:lumMod val="50000"/>
                </a:sysClr>
              </a:solidFill>
              <a:prstDash val="sysDot"/>
            </a:ln>
          </c:spPr>
          <c:marker>
            <c:symbol val="none"/>
          </c:marker>
          <c:cat>
            <c:strRef>
              <c:f>'RandD cele'!$B$10:$H$10</c:f>
              <c:strCache>
                <c:ptCount val="7"/>
                <c:pt idx="0">
                  <c:v>2010</c:v>
                </c:pt>
                <c:pt idx="1">
                  <c:v>2011</c:v>
                </c:pt>
                <c:pt idx="2">
                  <c:v>2012</c:v>
                </c:pt>
                <c:pt idx="3">
                  <c:v>2013</c:v>
                </c:pt>
                <c:pt idx="4">
                  <c:v>2014</c:v>
                </c:pt>
                <c:pt idx="5">
                  <c:v>2015</c:v>
                </c:pt>
                <c:pt idx="6">
                  <c:v>2016</c:v>
                </c:pt>
              </c:strCache>
            </c:strRef>
          </c:cat>
          <c:val>
            <c:numRef>
              <c:f>'RandD na VS'!$B$29:$H$29</c:f>
              <c:numCache>
                <c:formatCode>#,##0.00</c:formatCode>
                <c:ptCount val="7"/>
                <c:pt idx="0">
                  <c:v>0.23</c:v>
                </c:pt>
                <c:pt idx="1">
                  <c:v>0.24</c:v>
                </c:pt>
                <c:pt idx="2">
                  <c:v>0.23</c:v>
                </c:pt>
                <c:pt idx="3" formatCode="#\ ##0.0">
                  <c:v>0.2</c:v>
                </c:pt>
                <c:pt idx="4">
                  <c:v>0.18</c:v>
                </c:pt>
                <c:pt idx="5">
                  <c:v>0.17</c:v>
                </c:pt>
                <c:pt idx="6">
                  <c:v>0.13</c:v>
                </c:pt>
              </c:numCache>
            </c:numRef>
          </c:val>
          <c:smooth val="0"/>
        </c:ser>
        <c:ser>
          <c:idx val="4"/>
          <c:order val="5"/>
          <c:tx>
            <c:strRef>
              <c:f>'RandD na VS'!$A$37</c:f>
              <c:strCache>
                <c:ptCount val="1"/>
                <c:pt idx="0">
                  <c:v>SK</c:v>
                </c:pt>
              </c:strCache>
            </c:strRef>
          </c:tx>
          <c:spPr>
            <a:ln>
              <a:solidFill>
                <a:sysClr val="windowText" lastClr="000000"/>
              </a:solidFill>
              <a:prstDash val="solid"/>
            </a:ln>
          </c:spPr>
          <c:marker>
            <c:symbol val="none"/>
          </c:marker>
          <c:cat>
            <c:strRef>
              <c:f>'RandD cele'!$B$10:$H$10</c:f>
              <c:strCache>
                <c:ptCount val="7"/>
                <c:pt idx="0">
                  <c:v>2010</c:v>
                </c:pt>
                <c:pt idx="1">
                  <c:v>2011</c:v>
                </c:pt>
                <c:pt idx="2">
                  <c:v>2012</c:v>
                </c:pt>
                <c:pt idx="3">
                  <c:v>2013</c:v>
                </c:pt>
                <c:pt idx="4">
                  <c:v>2014</c:v>
                </c:pt>
                <c:pt idx="5">
                  <c:v>2015</c:v>
                </c:pt>
                <c:pt idx="6">
                  <c:v>2016</c:v>
                </c:pt>
              </c:strCache>
            </c:strRef>
          </c:cat>
          <c:val>
            <c:numRef>
              <c:f>'RandD na VS'!$B$37:$H$37</c:f>
              <c:numCache>
                <c:formatCode>#,##0.00</c:formatCode>
                <c:ptCount val="7"/>
                <c:pt idx="0">
                  <c:v>0.17</c:v>
                </c:pt>
                <c:pt idx="1">
                  <c:v>0.23</c:v>
                </c:pt>
                <c:pt idx="2">
                  <c:v>0.27</c:v>
                </c:pt>
                <c:pt idx="3">
                  <c:v>0.27</c:v>
                </c:pt>
                <c:pt idx="4" formatCode="#\ ##0.0">
                  <c:v>0.3</c:v>
                </c:pt>
                <c:pt idx="5">
                  <c:v>0.51</c:v>
                </c:pt>
                <c:pt idx="6">
                  <c:v>0.22</c:v>
                </c:pt>
              </c:numCache>
            </c:numRef>
          </c:val>
          <c:smooth val="0"/>
        </c:ser>
        <c:dLbls>
          <c:showLegendKey val="0"/>
          <c:showVal val="0"/>
          <c:showCatName val="0"/>
          <c:showSerName val="0"/>
          <c:showPercent val="0"/>
          <c:showBubbleSize val="0"/>
        </c:dLbls>
        <c:smooth val="0"/>
        <c:axId val="472772592"/>
        <c:axId val="472772984"/>
      </c:lineChart>
      <c:catAx>
        <c:axId val="472772592"/>
        <c:scaling>
          <c:orientation val="minMax"/>
        </c:scaling>
        <c:delete val="0"/>
        <c:axPos val="b"/>
        <c:numFmt formatCode="General" sourceLinked="0"/>
        <c:majorTickMark val="out"/>
        <c:minorTickMark val="none"/>
        <c:tickLblPos val="low"/>
        <c:txPr>
          <a:bodyPr rot="0" vert="horz"/>
          <a:lstStyle/>
          <a:p>
            <a:pPr>
              <a:defRPr/>
            </a:pPr>
            <a:endParaRPr lang="sk-SK"/>
          </a:p>
        </c:txPr>
        <c:crossAx val="472772984"/>
        <c:crosses val="autoZero"/>
        <c:auto val="1"/>
        <c:lblAlgn val="ctr"/>
        <c:lblOffset val="100"/>
        <c:noMultiLvlLbl val="0"/>
      </c:catAx>
      <c:valAx>
        <c:axId val="472772984"/>
        <c:scaling>
          <c:orientation val="minMax"/>
          <c:max val="1"/>
          <c:min val="0"/>
        </c:scaling>
        <c:delete val="0"/>
        <c:axPos val="l"/>
        <c:majorGridlines>
          <c:spPr>
            <a:ln>
              <a:solidFill>
                <a:schemeClr val="bg1">
                  <a:lumMod val="75000"/>
                </a:schemeClr>
              </a:solidFill>
              <a:prstDash val="sysDash"/>
            </a:ln>
          </c:spPr>
        </c:majorGridlines>
        <c:numFmt formatCode="#,##0.0&quot;%&quot;" sourceLinked="0"/>
        <c:majorTickMark val="out"/>
        <c:minorTickMark val="none"/>
        <c:tickLblPos val="nextTo"/>
        <c:txPr>
          <a:bodyPr rot="0" vert="horz"/>
          <a:lstStyle/>
          <a:p>
            <a:pPr>
              <a:defRPr/>
            </a:pPr>
            <a:endParaRPr lang="sk-SK"/>
          </a:p>
        </c:txPr>
        <c:crossAx val="472772592"/>
        <c:crosses val="autoZero"/>
        <c:crossBetween val="between"/>
        <c:majorUnit val="0.2"/>
        <c:minorUnit val="0.1"/>
      </c:valAx>
    </c:plotArea>
    <c:legend>
      <c:legendPos val="l"/>
      <c:layout>
        <c:manualLayout>
          <c:xMode val="edge"/>
          <c:yMode val="edge"/>
          <c:x val="0"/>
          <c:y val="9.6933465841041788E-2"/>
          <c:w val="0.97838143997867688"/>
          <c:h val="0.10047753739520424"/>
        </c:manualLayout>
      </c:layout>
      <c:overlay val="1"/>
    </c:legend>
    <c:plotVisOnly val="1"/>
    <c:dispBlanksAs val="gap"/>
    <c:showDLblsOverMax val="0"/>
  </c:chart>
  <c:spPr>
    <a:noFill/>
    <a:ln>
      <a:noFill/>
    </a:ln>
  </c:spPr>
  <c:txPr>
    <a:bodyPr/>
    <a:lstStyle/>
    <a:p>
      <a:pPr>
        <a:defRPr sz="8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sk-SK"/>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863768358742392E-2"/>
          <c:y val="8.4437714516454654E-2"/>
          <c:w val="0.91819511922711794"/>
          <c:h val="0.74766611620355994"/>
        </c:manualLayout>
      </c:layout>
      <c:lineChart>
        <c:grouping val="standard"/>
        <c:varyColors val="0"/>
        <c:ser>
          <c:idx val="3"/>
          <c:order val="0"/>
          <c:tx>
            <c:strRef>
              <c:f>Hárok4!$N$11</c:f>
              <c:strCache>
                <c:ptCount val="1"/>
                <c:pt idx="0">
                  <c:v>Výdavky na R&amp;D ako percento HDP</c:v>
                </c:pt>
              </c:strCache>
            </c:strRef>
          </c:tx>
          <c:spPr>
            <a:ln w="34925">
              <a:solidFill>
                <a:sysClr val="windowText" lastClr="000000"/>
              </a:solidFill>
              <a:prstDash val="sysDot"/>
            </a:ln>
          </c:spPr>
          <c:marker>
            <c:symbol val="none"/>
          </c:marker>
          <c:cat>
            <c:strRef>
              <c:f>'vyskumnici citacie'!$N$28:$W$28</c:f>
              <c:strCache>
                <c:ptCount val="10"/>
                <c:pt idx="0">
                  <c:v>2007</c:v>
                </c:pt>
                <c:pt idx="1">
                  <c:v>2008</c:v>
                </c:pt>
                <c:pt idx="2">
                  <c:v>2009</c:v>
                </c:pt>
                <c:pt idx="3">
                  <c:v>2010</c:v>
                </c:pt>
                <c:pt idx="4">
                  <c:v>2011</c:v>
                </c:pt>
                <c:pt idx="5">
                  <c:v>2012</c:v>
                </c:pt>
                <c:pt idx="6">
                  <c:v>2013</c:v>
                </c:pt>
                <c:pt idx="7">
                  <c:v>2014</c:v>
                </c:pt>
                <c:pt idx="8">
                  <c:v>2015</c:v>
                </c:pt>
                <c:pt idx="9">
                  <c:v>2016</c:v>
                </c:pt>
              </c:strCache>
            </c:strRef>
          </c:cat>
          <c:val>
            <c:numRef>
              <c:f>Hárok4!$O$18:$X$18</c:f>
              <c:numCache>
                <c:formatCode>0%</c:formatCode>
                <c:ptCount val="10"/>
                <c:pt idx="0">
                  <c:v>0.47872340425531912</c:v>
                </c:pt>
                <c:pt idx="1">
                  <c:v>0.48936170212765961</c:v>
                </c:pt>
                <c:pt idx="2">
                  <c:v>0.45779220779220781</c:v>
                </c:pt>
                <c:pt idx="3">
                  <c:v>0.58125000000000004</c:v>
                </c:pt>
                <c:pt idx="4">
                  <c:v>0.56571428571428573</c:v>
                </c:pt>
                <c:pt idx="5">
                  <c:v>0.61224489795918369</c:v>
                </c:pt>
                <c:pt idx="6">
                  <c:v>0.59134615384615374</c:v>
                </c:pt>
                <c:pt idx="7">
                  <c:v>0.61971830985915499</c:v>
                </c:pt>
                <c:pt idx="8">
                  <c:v>0.82517482517482521</c:v>
                </c:pt>
                <c:pt idx="9">
                  <c:v>0.61398963730569955</c:v>
                </c:pt>
              </c:numCache>
            </c:numRef>
          </c:val>
          <c:smooth val="0"/>
        </c:ser>
        <c:ser>
          <c:idx val="5"/>
          <c:order val="1"/>
          <c:tx>
            <c:strRef>
              <c:f>'vyskumnici citacie'!$M$27</c:f>
              <c:strCache>
                <c:ptCount val="1"/>
                <c:pt idx="0">
                  <c:v>vyskumnici na ob.</c:v>
                </c:pt>
              </c:strCache>
            </c:strRef>
          </c:tx>
          <c:spPr>
            <a:ln w="22225">
              <a:solidFill>
                <a:sysClr val="windowText" lastClr="000000"/>
              </a:solidFill>
              <a:prstDash val="solid"/>
            </a:ln>
          </c:spPr>
          <c:marker>
            <c:symbol val="none"/>
          </c:marker>
          <c:cat>
            <c:strRef>
              <c:f>'vyskumnici citacie'!$N$28:$W$28</c:f>
              <c:strCache>
                <c:ptCount val="10"/>
                <c:pt idx="0">
                  <c:v>2007</c:v>
                </c:pt>
                <c:pt idx="1">
                  <c:v>2008</c:v>
                </c:pt>
                <c:pt idx="2">
                  <c:v>2009</c:v>
                </c:pt>
                <c:pt idx="3">
                  <c:v>2010</c:v>
                </c:pt>
                <c:pt idx="4">
                  <c:v>2011</c:v>
                </c:pt>
                <c:pt idx="5">
                  <c:v>2012</c:v>
                </c:pt>
                <c:pt idx="6">
                  <c:v>2013</c:v>
                </c:pt>
                <c:pt idx="7">
                  <c:v>2014</c:v>
                </c:pt>
                <c:pt idx="8">
                  <c:v>2015</c:v>
                </c:pt>
                <c:pt idx="9">
                  <c:v>2016</c:v>
                </c:pt>
              </c:strCache>
            </c:strRef>
          </c:cat>
          <c:val>
            <c:numRef>
              <c:f>'vyskumnici citacie'!$N$34:$W$34</c:f>
              <c:numCache>
                <c:formatCode>0%</c:formatCode>
                <c:ptCount val="10"/>
                <c:pt idx="0">
                  <c:v>1.1368763343059352</c:v>
                </c:pt>
                <c:pt idx="1">
                  <c:v>1.1051395834179776</c:v>
                </c:pt>
                <c:pt idx="2">
                  <c:v>1.1599012512099309</c:v>
                </c:pt>
                <c:pt idx="3">
                  <c:v>1.2732682616343294</c:v>
                </c:pt>
                <c:pt idx="4">
                  <c:v>1.2351047036421285</c:v>
                </c:pt>
                <c:pt idx="5">
                  <c:v>1.160467345984467</c:v>
                </c:pt>
                <c:pt idx="6">
                  <c:v>1.0672435755478842</c:v>
                </c:pt>
                <c:pt idx="7">
                  <c:v>1.0046642537003208</c:v>
                </c:pt>
                <c:pt idx="8">
                  <c:v>0.95651046236357395</c:v>
                </c:pt>
                <c:pt idx="9">
                  <c:v>0.9402448530035552</c:v>
                </c:pt>
              </c:numCache>
            </c:numRef>
          </c:val>
          <c:smooth val="0"/>
        </c:ser>
        <c:ser>
          <c:idx val="0"/>
          <c:order val="2"/>
          <c:tx>
            <c:strRef>
              <c:f>publikacie!$N$35</c:f>
              <c:strCache>
                <c:ptCount val="1"/>
                <c:pt idx="0">
                  <c:v>Publ. na 1000 obyv.</c:v>
                </c:pt>
              </c:strCache>
            </c:strRef>
          </c:tx>
          <c:spPr>
            <a:ln w="41275">
              <a:solidFill>
                <a:sysClr val="window" lastClr="FFFFFF">
                  <a:lumMod val="50000"/>
                </a:sysClr>
              </a:solidFill>
              <a:prstDash val="sysDot"/>
            </a:ln>
          </c:spPr>
          <c:marker>
            <c:symbol val="none"/>
          </c:marker>
          <c:cat>
            <c:strRef>
              <c:f>'vyskumnici citacie'!$N$28:$W$28</c:f>
              <c:strCache>
                <c:ptCount val="10"/>
                <c:pt idx="0">
                  <c:v>2007</c:v>
                </c:pt>
                <c:pt idx="1">
                  <c:v>2008</c:v>
                </c:pt>
                <c:pt idx="2">
                  <c:v>2009</c:v>
                </c:pt>
                <c:pt idx="3">
                  <c:v>2010</c:v>
                </c:pt>
                <c:pt idx="4">
                  <c:v>2011</c:v>
                </c:pt>
                <c:pt idx="5">
                  <c:v>2012</c:v>
                </c:pt>
                <c:pt idx="6">
                  <c:v>2013</c:v>
                </c:pt>
                <c:pt idx="7">
                  <c:v>2014</c:v>
                </c:pt>
                <c:pt idx="8">
                  <c:v>2015</c:v>
                </c:pt>
                <c:pt idx="9">
                  <c:v>2016</c:v>
                </c:pt>
              </c:strCache>
            </c:strRef>
          </c:cat>
          <c:val>
            <c:numRef>
              <c:f>publikacie!$O$41:$X$41</c:f>
              <c:numCache>
                <c:formatCode>0%</c:formatCode>
                <c:ptCount val="10"/>
                <c:pt idx="0">
                  <c:v>0.81412674453804446</c:v>
                </c:pt>
                <c:pt idx="1">
                  <c:v>0.87337463473085708</c:v>
                </c:pt>
                <c:pt idx="2">
                  <c:v>0.81973451515884255</c:v>
                </c:pt>
                <c:pt idx="3">
                  <c:v>0.86419776421241412</c:v>
                </c:pt>
                <c:pt idx="4">
                  <c:v>0.87023183680024507</c:v>
                </c:pt>
                <c:pt idx="5">
                  <c:v>0.89734423543643493</c:v>
                </c:pt>
                <c:pt idx="6">
                  <c:v>0.93597107522050282</c:v>
                </c:pt>
                <c:pt idx="7">
                  <c:v>0.99702033030136006</c:v>
                </c:pt>
                <c:pt idx="8">
                  <c:v>0.91950716803196031</c:v>
                </c:pt>
                <c:pt idx="9">
                  <c:v>0.99378269310657763</c:v>
                </c:pt>
              </c:numCache>
            </c:numRef>
          </c:val>
          <c:smooth val="0"/>
        </c:ser>
        <c:ser>
          <c:idx val="1"/>
          <c:order val="3"/>
          <c:tx>
            <c:strRef>
              <c:f>publikacie!$N$26</c:f>
              <c:strCache>
                <c:ptCount val="1"/>
                <c:pt idx="0">
                  <c:v>Citacie na publ.</c:v>
                </c:pt>
              </c:strCache>
            </c:strRef>
          </c:tx>
          <c:spPr>
            <a:ln w="19050">
              <a:solidFill>
                <a:sysClr val="window" lastClr="FFFFFF">
                  <a:lumMod val="50000"/>
                </a:sysClr>
              </a:solidFill>
              <a:prstDash val="solid"/>
            </a:ln>
          </c:spPr>
          <c:marker>
            <c:symbol val="none"/>
          </c:marker>
          <c:cat>
            <c:strRef>
              <c:f>'vyskumnici citacie'!$N$28:$W$28</c:f>
              <c:strCache>
                <c:ptCount val="10"/>
                <c:pt idx="0">
                  <c:v>2007</c:v>
                </c:pt>
                <c:pt idx="1">
                  <c:v>2008</c:v>
                </c:pt>
                <c:pt idx="2">
                  <c:v>2009</c:v>
                </c:pt>
                <c:pt idx="3">
                  <c:v>2010</c:v>
                </c:pt>
                <c:pt idx="4">
                  <c:v>2011</c:v>
                </c:pt>
                <c:pt idx="5">
                  <c:v>2012</c:v>
                </c:pt>
                <c:pt idx="6">
                  <c:v>2013</c:v>
                </c:pt>
                <c:pt idx="7">
                  <c:v>2014</c:v>
                </c:pt>
                <c:pt idx="8">
                  <c:v>2015</c:v>
                </c:pt>
                <c:pt idx="9">
                  <c:v>2016</c:v>
                </c:pt>
              </c:strCache>
            </c:strRef>
          </c:cat>
          <c:val>
            <c:numRef>
              <c:f>publikacie!$O$32:$X$32</c:f>
              <c:numCache>
                <c:formatCode>0%</c:formatCode>
                <c:ptCount val="10"/>
                <c:pt idx="0">
                  <c:v>0.90554487871218525</c:v>
                </c:pt>
                <c:pt idx="1">
                  <c:v>0.88010393257466657</c:v>
                </c:pt>
                <c:pt idx="2">
                  <c:v>0.81543876841202201</c:v>
                </c:pt>
                <c:pt idx="3">
                  <c:v>0.80555280618709058</c:v>
                </c:pt>
                <c:pt idx="4">
                  <c:v>0.77800092377428831</c:v>
                </c:pt>
                <c:pt idx="5">
                  <c:v>0.84146154523124772</c:v>
                </c:pt>
                <c:pt idx="6">
                  <c:v>0.76087173643564643</c:v>
                </c:pt>
                <c:pt idx="7">
                  <c:v>0.68586100726479204</c:v>
                </c:pt>
                <c:pt idx="8">
                  <c:v>0.80301746072574998</c:v>
                </c:pt>
                <c:pt idx="9">
                  <c:v>0.69434681168034051</c:v>
                </c:pt>
              </c:numCache>
            </c:numRef>
          </c:val>
          <c:smooth val="0"/>
        </c:ser>
        <c:dLbls>
          <c:showLegendKey val="0"/>
          <c:showVal val="0"/>
          <c:showCatName val="0"/>
          <c:showSerName val="0"/>
          <c:showPercent val="0"/>
          <c:showBubbleSize val="0"/>
        </c:dLbls>
        <c:smooth val="0"/>
        <c:axId val="472773768"/>
        <c:axId val="472774160"/>
      </c:lineChart>
      <c:catAx>
        <c:axId val="472773768"/>
        <c:scaling>
          <c:orientation val="minMax"/>
        </c:scaling>
        <c:delete val="0"/>
        <c:axPos val="b"/>
        <c:numFmt formatCode="General" sourceLinked="0"/>
        <c:majorTickMark val="out"/>
        <c:minorTickMark val="none"/>
        <c:tickLblPos val="low"/>
        <c:txPr>
          <a:bodyPr rot="-5400000" vert="horz"/>
          <a:lstStyle/>
          <a:p>
            <a:pPr>
              <a:defRPr sz="800">
                <a:latin typeface="Times New Roman" panose="02020603050405020304" pitchFamily="18" charset="0"/>
                <a:cs typeface="Times New Roman" panose="02020603050405020304" pitchFamily="18" charset="0"/>
              </a:defRPr>
            </a:pPr>
            <a:endParaRPr lang="sk-SK"/>
          </a:p>
        </c:txPr>
        <c:crossAx val="472774160"/>
        <c:crosses val="autoZero"/>
        <c:auto val="1"/>
        <c:lblAlgn val="ctr"/>
        <c:lblOffset val="100"/>
        <c:noMultiLvlLbl val="0"/>
      </c:catAx>
      <c:valAx>
        <c:axId val="472774160"/>
        <c:scaling>
          <c:orientation val="minMax"/>
          <c:max val="1.3"/>
          <c:min val="0"/>
        </c:scaling>
        <c:delete val="0"/>
        <c:axPos val="l"/>
        <c:majorGridlines>
          <c:spPr>
            <a:ln>
              <a:solidFill>
                <a:schemeClr val="bg1">
                  <a:lumMod val="75000"/>
                </a:schemeClr>
              </a:solidFill>
              <a:prstDash val="sysDash"/>
            </a:ln>
          </c:spPr>
        </c:majorGridlines>
        <c:numFmt formatCode="0%" sourceLinked="0"/>
        <c:majorTickMark val="out"/>
        <c:minorTickMark val="none"/>
        <c:tickLblPos val="nextTo"/>
        <c:txPr>
          <a:bodyPr rot="0" vert="horz"/>
          <a:lstStyle/>
          <a:p>
            <a:pPr>
              <a:defRPr/>
            </a:pPr>
            <a:endParaRPr lang="sk-SK"/>
          </a:p>
        </c:txPr>
        <c:crossAx val="472773768"/>
        <c:crosses val="autoZero"/>
        <c:crossBetween val="between"/>
        <c:majorUnit val="0.25"/>
      </c:valAx>
    </c:plotArea>
    <c:legend>
      <c:legendPos val="l"/>
      <c:layout>
        <c:manualLayout>
          <c:xMode val="edge"/>
          <c:yMode val="edge"/>
          <c:x val="0.21397220935618341"/>
          <c:y val="0.57490882379473429"/>
          <c:w val="0.78309825869310656"/>
          <c:h val="0.23337551709473309"/>
        </c:manualLayout>
      </c:layout>
      <c:overlay val="1"/>
      <c:txPr>
        <a:bodyPr/>
        <a:lstStyle/>
        <a:p>
          <a:pPr>
            <a:defRPr sz="800"/>
          </a:pPr>
          <a:endParaRPr lang="sk-SK"/>
        </a:p>
      </c:txPr>
    </c:legend>
    <c:plotVisOnly val="1"/>
    <c:dispBlanksAs val="gap"/>
    <c:showDLblsOverMax val="0"/>
  </c:chart>
  <c:spPr>
    <a:ln>
      <a:noFill/>
    </a:ln>
  </c:spPr>
  <c:txPr>
    <a:bodyPr/>
    <a:lstStyle/>
    <a:p>
      <a:pPr>
        <a:defRPr sz="1000" b="0" i="0" u="none" strike="noStrike" baseline="0">
          <a:solidFill>
            <a:srgbClr val="000000"/>
          </a:solidFill>
          <a:latin typeface="Arial Narrow" pitchFamily="34" charset="0"/>
          <a:ea typeface="Calibri"/>
          <a:cs typeface="Calibri"/>
        </a:defRPr>
      </a:pPr>
      <a:endParaRPr lang="sk-SK"/>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740316663520024"/>
          <c:y val="4.5222067829756574E-2"/>
          <c:w val="0.81233595800524938"/>
          <c:h val="0.74032268025320369"/>
        </c:manualLayout>
      </c:layout>
      <c:lineChart>
        <c:grouping val="standard"/>
        <c:varyColors val="0"/>
        <c:ser>
          <c:idx val="3"/>
          <c:order val="0"/>
          <c:tx>
            <c:strRef>
              <c:f>'RandD cele'!$A$38</c:f>
              <c:strCache>
                <c:ptCount val="1"/>
                <c:pt idx="0">
                  <c:v>FI</c:v>
                </c:pt>
              </c:strCache>
            </c:strRef>
          </c:tx>
          <c:spPr>
            <a:ln w="25400">
              <a:solidFill>
                <a:sysClr val="window" lastClr="FFFFFF">
                  <a:lumMod val="50000"/>
                </a:sysClr>
              </a:solidFill>
              <a:prstDash val="dash"/>
            </a:ln>
          </c:spPr>
          <c:marker>
            <c:symbol val="none"/>
          </c:marker>
          <c:cat>
            <c:strRef>
              <c:f>'RandD cele'!$B$10:$H$10</c:f>
              <c:strCache>
                <c:ptCount val="7"/>
                <c:pt idx="0">
                  <c:v>2010</c:v>
                </c:pt>
                <c:pt idx="1">
                  <c:v>2011</c:v>
                </c:pt>
                <c:pt idx="2">
                  <c:v>2012</c:v>
                </c:pt>
                <c:pt idx="3">
                  <c:v>2013</c:v>
                </c:pt>
                <c:pt idx="4">
                  <c:v>2014</c:v>
                </c:pt>
                <c:pt idx="5">
                  <c:v>2015</c:v>
                </c:pt>
                <c:pt idx="6">
                  <c:v>2016</c:v>
                </c:pt>
              </c:strCache>
            </c:strRef>
          </c:cat>
          <c:val>
            <c:numRef>
              <c:f>'RandD cele'!$B$38:$H$38</c:f>
              <c:numCache>
                <c:formatCode>#,##0.00</c:formatCode>
                <c:ptCount val="7"/>
                <c:pt idx="0">
                  <c:v>3.73</c:v>
                </c:pt>
                <c:pt idx="1">
                  <c:v>3.64</c:v>
                </c:pt>
                <c:pt idx="2">
                  <c:v>3.42</c:v>
                </c:pt>
                <c:pt idx="3">
                  <c:v>3.29</c:v>
                </c:pt>
                <c:pt idx="4">
                  <c:v>3.17</c:v>
                </c:pt>
                <c:pt idx="5" formatCode="#\ ##0.0">
                  <c:v>2.9</c:v>
                </c:pt>
                <c:pt idx="6">
                  <c:v>2.75</c:v>
                </c:pt>
              </c:numCache>
            </c:numRef>
          </c:val>
          <c:smooth val="0"/>
        </c:ser>
        <c:ser>
          <c:idx val="5"/>
          <c:order val="1"/>
          <c:tx>
            <c:strRef>
              <c:f>'RandD cele'!$A$11</c:f>
              <c:strCache>
                <c:ptCount val="1"/>
                <c:pt idx="0">
                  <c:v>EU </c:v>
                </c:pt>
              </c:strCache>
            </c:strRef>
          </c:tx>
          <c:spPr>
            <a:ln w="25400">
              <a:solidFill>
                <a:sysClr val="window" lastClr="FFFFFF">
                  <a:lumMod val="50000"/>
                </a:sysClr>
              </a:solidFill>
              <a:prstDash val="solid"/>
            </a:ln>
          </c:spPr>
          <c:marker>
            <c:symbol val="none"/>
          </c:marker>
          <c:cat>
            <c:strRef>
              <c:f>'RandD cele'!$B$10:$H$10</c:f>
              <c:strCache>
                <c:ptCount val="7"/>
                <c:pt idx="0">
                  <c:v>2010</c:v>
                </c:pt>
                <c:pt idx="1">
                  <c:v>2011</c:v>
                </c:pt>
                <c:pt idx="2">
                  <c:v>2012</c:v>
                </c:pt>
                <c:pt idx="3">
                  <c:v>2013</c:v>
                </c:pt>
                <c:pt idx="4">
                  <c:v>2014</c:v>
                </c:pt>
                <c:pt idx="5">
                  <c:v>2015</c:v>
                </c:pt>
                <c:pt idx="6">
                  <c:v>2016</c:v>
                </c:pt>
              </c:strCache>
            </c:strRef>
          </c:cat>
          <c:val>
            <c:numRef>
              <c:f>'RandD cele'!$B$11:$H$11</c:f>
              <c:numCache>
                <c:formatCode>#,##0.00</c:formatCode>
                <c:ptCount val="7"/>
                <c:pt idx="0">
                  <c:v>1.93</c:v>
                </c:pt>
                <c:pt idx="1">
                  <c:v>1.97</c:v>
                </c:pt>
                <c:pt idx="2">
                  <c:v>2.0099999999999998</c:v>
                </c:pt>
                <c:pt idx="3">
                  <c:v>2.02</c:v>
                </c:pt>
                <c:pt idx="4">
                  <c:v>2.0299999999999998</c:v>
                </c:pt>
                <c:pt idx="5">
                  <c:v>2.04</c:v>
                </c:pt>
                <c:pt idx="6">
                  <c:v>2.0299999999999998</c:v>
                </c:pt>
              </c:numCache>
            </c:numRef>
          </c:val>
          <c:smooth val="0"/>
        </c:ser>
        <c:ser>
          <c:idx val="0"/>
          <c:order val="2"/>
          <c:tx>
            <c:strRef>
              <c:f>'RandD cele'!$A$15</c:f>
              <c:strCache>
                <c:ptCount val="1"/>
                <c:pt idx="0">
                  <c:v>CZ</c:v>
                </c:pt>
              </c:strCache>
            </c:strRef>
          </c:tx>
          <c:spPr>
            <a:ln w="25400">
              <a:solidFill>
                <a:sysClr val="windowText" lastClr="000000"/>
              </a:solidFill>
              <a:prstDash val="dash"/>
            </a:ln>
          </c:spPr>
          <c:marker>
            <c:symbol val="none"/>
          </c:marker>
          <c:dPt>
            <c:idx val="2"/>
            <c:bubble3D val="0"/>
          </c:dPt>
          <c:cat>
            <c:strRef>
              <c:f>'RandD cele'!$B$10:$H$10</c:f>
              <c:strCache>
                <c:ptCount val="7"/>
                <c:pt idx="0">
                  <c:v>2010</c:v>
                </c:pt>
                <c:pt idx="1">
                  <c:v>2011</c:v>
                </c:pt>
                <c:pt idx="2">
                  <c:v>2012</c:v>
                </c:pt>
                <c:pt idx="3">
                  <c:v>2013</c:v>
                </c:pt>
                <c:pt idx="4">
                  <c:v>2014</c:v>
                </c:pt>
                <c:pt idx="5">
                  <c:v>2015</c:v>
                </c:pt>
                <c:pt idx="6">
                  <c:v>2016</c:v>
                </c:pt>
              </c:strCache>
            </c:strRef>
          </c:cat>
          <c:val>
            <c:numRef>
              <c:f>'RandD cele'!$B$15:$H$15</c:f>
              <c:numCache>
                <c:formatCode>#,##0.00</c:formatCode>
                <c:ptCount val="7"/>
                <c:pt idx="0">
                  <c:v>1.34</c:v>
                </c:pt>
                <c:pt idx="1">
                  <c:v>1.56</c:v>
                </c:pt>
                <c:pt idx="2">
                  <c:v>1.78</c:v>
                </c:pt>
                <c:pt idx="3" formatCode="#\ ##0.0">
                  <c:v>1.9</c:v>
                </c:pt>
                <c:pt idx="4">
                  <c:v>1.97</c:v>
                </c:pt>
                <c:pt idx="5">
                  <c:v>1.93</c:v>
                </c:pt>
                <c:pt idx="6">
                  <c:v>1.68</c:v>
                </c:pt>
              </c:numCache>
            </c:numRef>
          </c:val>
          <c:smooth val="0"/>
        </c:ser>
        <c:ser>
          <c:idx val="1"/>
          <c:order val="3"/>
          <c:tx>
            <c:strRef>
              <c:f>'RandD cele'!$A$33</c:f>
              <c:strCache>
                <c:ptCount val="1"/>
                <c:pt idx="0">
                  <c:v>PL</c:v>
                </c:pt>
              </c:strCache>
            </c:strRef>
          </c:tx>
          <c:spPr>
            <a:ln>
              <a:solidFill>
                <a:sysClr val="windowText" lastClr="000000"/>
              </a:solidFill>
              <a:prstDash val="sysDot"/>
            </a:ln>
          </c:spPr>
          <c:marker>
            <c:symbol val="none"/>
          </c:marker>
          <c:cat>
            <c:strRef>
              <c:f>'RandD cele'!$B$10:$H$10</c:f>
              <c:strCache>
                <c:ptCount val="7"/>
                <c:pt idx="0">
                  <c:v>2010</c:v>
                </c:pt>
                <c:pt idx="1">
                  <c:v>2011</c:v>
                </c:pt>
                <c:pt idx="2">
                  <c:v>2012</c:v>
                </c:pt>
                <c:pt idx="3">
                  <c:v>2013</c:v>
                </c:pt>
                <c:pt idx="4">
                  <c:v>2014</c:v>
                </c:pt>
                <c:pt idx="5">
                  <c:v>2015</c:v>
                </c:pt>
                <c:pt idx="6">
                  <c:v>2016</c:v>
                </c:pt>
              </c:strCache>
            </c:strRef>
          </c:cat>
          <c:val>
            <c:numRef>
              <c:f>'RandD cele'!$B$33:$H$33</c:f>
              <c:numCache>
                <c:formatCode>#,##0.00</c:formatCode>
                <c:ptCount val="7"/>
                <c:pt idx="0">
                  <c:v>0.72</c:v>
                </c:pt>
                <c:pt idx="1">
                  <c:v>0.75</c:v>
                </c:pt>
                <c:pt idx="2">
                  <c:v>0.88</c:v>
                </c:pt>
                <c:pt idx="3">
                  <c:v>0.87</c:v>
                </c:pt>
                <c:pt idx="4">
                  <c:v>0.94</c:v>
                </c:pt>
                <c:pt idx="5" formatCode="#,##0">
                  <c:v>1</c:v>
                </c:pt>
                <c:pt idx="6">
                  <c:v>0.97</c:v>
                </c:pt>
              </c:numCache>
            </c:numRef>
          </c:val>
          <c:smooth val="0"/>
        </c:ser>
        <c:ser>
          <c:idx val="2"/>
          <c:order val="4"/>
          <c:tx>
            <c:strRef>
              <c:f>'RandD cele'!$A$29</c:f>
              <c:strCache>
                <c:ptCount val="1"/>
                <c:pt idx="0">
                  <c:v>HU</c:v>
                </c:pt>
              </c:strCache>
            </c:strRef>
          </c:tx>
          <c:spPr>
            <a:ln w="41275">
              <a:solidFill>
                <a:sysClr val="window" lastClr="FFFFFF">
                  <a:lumMod val="50000"/>
                </a:sysClr>
              </a:solidFill>
              <a:prstDash val="sysDot"/>
            </a:ln>
          </c:spPr>
          <c:marker>
            <c:symbol val="none"/>
          </c:marker>
          <c:cat>
            <c:strRef>
              <c:f>'RandD cele'!$B$10:$H$10</c:f>
              <c:strCache>
                <c:ptCount val="7"/>
                <c:pt idx="0">
                  <c:v>2010</c:v>
                </c:pt>
                <c:pt idx="1">
                  <c:v>2011</c:v>
                </c:pt>
                <c:pt idx="2">
                  <c:v>2012</c:v>
                </c:pt>
                <c:pt idx="3">
                  <c:v>2013</c:v>
                </c:pt>
                <c:pt idx="4">
                  <c:v>2014</c:v>
                </c:pt>
                <c:pt idx="5">
                  <c:v>2015</c:v>
                </c:pt>
                <c:pt idx="6">
                  <c:v>2016</c:v>
                </c:pt>
              </c:strCache>
            </c:strRef>
          </c:cat>
          <c:val>
            <c:numRef>
              <c:f>'RandD cele'!$B$29:$H$29</c:f>
              <c:numCache>
                <c:formatCode>#,##0.00</c:formatCode>
                <c:ptCount val="7"/>
                <c:pt idx="0">
                  <c:v>1.1399999999999999</c:v>
                </c:pt>
                <c:pt idx="1">
                  <c:v>1.19</c:v>
                </c:pt>
                <c:pt idx="2">
                  <c:v>1.26</c:v>
                </c:pt>
                <c:pt idx="3">
                  <c:v>1.39</c:v>
                </c:pt>
                <c:pt idx="4">
                  <c:v>1.35</c:v>
                </c:pt>
                <c:pt idx="5">
                  <c:v>1.36</c:v>
                </c:pt>
                <c:pt idx="6">
                  <c:v>1.21</c:v>
                </c:pt>
              </c:numCache>
            </c:numRef>
          </c:val>
          <c:smooth val="0"/>
        </c:ser>
        <c:ser>
          <c:idx val="4"/>
          <c:order val="5"/>
          <c:tx>
            <c:strRef>
              <c:f>'RandD cele'!$A$37</c:f>
              <c:strCache>
                <c:ptCount val="1"/>
                <c:pt idx="0">
                  <c:v>SK</c:v>
                </c:pt>
              </c:strCache>
            </c:strRef>
          </c:tx>
          <c:spPr>
            <a:ln>
              <a:solidFill>
                <a:sysClr val="windowText" lastClr="000000"/>
              </a:solidFill>
              <a:prstDash val="solid"/>
            </a:ln>
          </c:spPr>
          <c:marker>
            <c:symbol val="none"/>
          </c:marker>
          <c:cat>
            <c:strRef>
              <c:f>'RandD cele'!$B$10:$H$10</c:f>
              <c:strCache>
                <c:ptCount val="7"/>
                <c:pt idx="0">
                  <c:v>2010</c:v>
                </c:pt>
                <c:pt idx="1">
                  <c:v>2011</c:v>
                </c:pt>
                <c:pt idx="2">
                  <c:v>2012</c:v>
                </c:pt>
                <c:pt idx="3">
                  <c:v>2013</c:v>
                </c:pt>
                <c:pt idx="4">
                  <c:v>2014</c:v>
                </c:pt>
                <c:pt idx="5">
                  <c:v>2015</c:v>
                </c:pt>
                <c:pt idx="6">
                  <c:v>2016</c:v>
                </c:pt>
              </c:strCache>
            </c:strRef>
          </c:cat>
          <c:val>
            <c:numRef>
              <c:f>'RandD cele'!$B$37:$H$37</c:f>
              <c:numCache>
                <c:formatCode>#,##0.00</c:formatCode>
                <c:ptCount val="7"/>
                <c:pt idx="0">
                  <c:v>0.62</c:v>
                </c:pt>
                <c:pt idx="1">
                  <c:v>0.66</c:v>
                </c:pt>
                <c:pt idx="2" formatCode="#\ ##0.0">
                  <c:v>0.8</c:v>
                </c:pt>
                <c:pt idx="3">
                  <c:v>0.82</c:v>
                </c:pt>
                <c:pt idx="4">
                  <c:v>0.88</c:v>
                </c:pt>
                <c:pt idx="5">
                  <c:v>1.18</c:v>
                </c:pt>
                <c:pt idx="6">
                  <c:v>0.79</c:v>
                </c:pt>
              </c:numCache>
            </c:numRef>
          </c:val>
          <c:smooth val="0"/>
        </c:ser>
        <c:dLbls>
          <c:showLegendKey val="0"/>
          <c:showVal val="0"/>
          <c:showCatName val="0"/>
          <c:showSerName val="0"/>
          <c:showPercent val="0"/>
          <c:showBubbleSize val="0"/>
        </c:dLbls>
        <c:smooth val="0"/>
        <c:axId val="472774944"/>
        <c:axId val="473689208"/>
      </c:lineChart>
      <c:catAx>
        <c:axId val="472774944"/>
        <c:scaling>
          <c:orientation val="minMax"/>
        </c:scaling>
        <c:delete val="0"/>
        <c:axPos val="b"/>
        <c:numFmt formatCode="General" sourceLinked="0"/>
        <c:majorTickMark val="out"/>
        <c:minorTickMark val="none"/>
        <c:tickLblPos val="low"/>
        <c:txPr>
          <a:bodyPr rot="0" vert="horz"/>
          <a:lstStyle/>
          <a:p>
            <a:pPr>
              <a:defRPr sz="800"/>
            </a:pPr>
            <a:endParaRPr lang="sk-SK"/>
          </a:p>
        </c:txPr>
        <c:crossAx val="473689208"/>
        <c:crosses val="autoZero"/>
        <c:auto val="1"/>
        <c:lblAlgn val="ctr"/>
        <c:lblOffset val="100"/>
        <c:noMultiLvlLbl val="0"/>
      </c:catAx>
      <c:valAx>
        <c:axId val="473689208"/>
        <c:scaling>
          <c:orientation val="minMax"/>
          <c:max val="4"/>
          <c:min val="0"/>
        </c:scaling>
        <c:delete val="0"/>
        <c:axPos val="l"/>
        <c:majorGridlines>
          <c:spPr>
            <a:ln>
              <a:solidFill>
                <a:schemeClr val="bg1">
                  <a:lumMod val="75000"/>
                </a:schemeClr>
              </a:solidFill>
              <a:prstDash val="sysDash"/>
            </a:ln>
          </c:spPr>
        </c:majorGridlines>
        <c:numFmt formatCode="#,##0.0&quot;%&quot;" sourceLinked="0"/>
        <c:majorTickMark val="out"/>
        <c:minorTickMark val="none"/>
        <c:tickLblPos val="nextTo"/>
        <c:txPr>
          <a:bodyPr rot="0" vert="horz"/>
          <a:lstStyle/>
          <a:p>
            <a:pPr>
              <a:defRPr sz="800"/>
            </a:pPr>
            <a:endParaRPr lang="sk-SK"/>
          </a:p>
        </c:txPr>
        <c:crossAx val="472774944"/>
        <c:crosses val="autoZero"/>
        <c:crossBetween val="between"/>
        <c:majorUnit val="0.5"/>
        <c:minorUnit val="0.1"/>
      </c:valAx>
    </c:plotArea>
    <c:legend>
      <c:legendPos val="l"/>
      <c:layout>
        <c:manualLayout>
          <c:xMode val="edge"/>
          <c:yMode val="edge"/>
          <c:x val="2.2043912352986909E-2"/>
          <c:y val="0.91300499202305596"/>
          <c:w val="0.97325463019520309"/>
          <c:h val="8.6454119705625027E-2"/>
        </c:manualLayout>
      </c:layout>
      <c:overlay val="1"/>
      <c:txPr>
        <a:bodyPr/>
        <a:lstStyle/>
        <a:p>
          <a:pPr>
            <a:defRPr sz="600"/>
          </a:pPr>
          <a:endParaRPr lang="sk-SK"/>
        </a:p>
      </c:txPr>
    </c:legend>
    <c:plotVisOnly val="1"/>
    <c:dispBlanksAs val="gap"/>
    <c:showDLblsOverMax val="0"/>
  </c:chart>
  <c:spPr>
    <a:ln>
      <a:noFill/>
    </a:ln>
  </c:spPr>
  <c:txPr>
    <a:bodyPr/>
    <a:lstStyle/>
    <a:p>
      <a:pPr>
        <a:defRPr sz="9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sk-SK"/>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0"/>
          <c:tx>
            <c:strRef>
              <c:f>Data!$L$101</c:f>
              <c:strCache>
                <c:ptCount val="1"/>
                <c:pt idx="0">
                  <c:v>SK</c:v>
                </c:pt>
              </c:strCache>
            </c:strRef>
          </c:tx>
          <c:spPr>
            <a:solidFill>
              <a:schemeClr val="accent3">
                <a:tint val="65000"/>
              </a:schemeClr>
            </a:solidFill>
            <a:ln>
              <a:noFill/>
            </a:ln>
            <a:effectLst/>
          </c:spPr>
          <c:invertIfNegative val="0"/>
          <c:cat>
            <c:numRef>
              <c:f>Data!$Q$100</c:f>
              <c:numCache>
                <c:formatCode>General</c:formatCode>
                <c:ptCount val="1"/>
                <c:pt idx="0">
                  <c:v>2015</c:v>
                </c:pt>
              </c:numCache>
            </c:numRef>
          </c:cat>
          <c:val>
            <c:numRef>
              <c:f>Data!$Q$101</c:f>
              <c:numCache>
                <c:formatCode>_-* #\ ##0\ _€_-;\-* #\ ##0\ _€_-;_-* "-"??\ _€_-;_-@_-</c:formatCode>
                <c:ptCount val="1"/>
                <c:pt idx="0">
                  <c:v>249.96</c:v>
                </c:pt>
              </c:numCache>
            </c:numRef>
          </c:val>
        </c:ser>
        <c:ser>
          <c:idx val="0"/>
          <c:order val="1"/>
          <c:tx>
            <c:strRef>
              <c:f>Data!$L$102</c:f>
              <c:strCache>
                <c:ptCount val="1"/>
                <c:pt idx="0">
                  <c:v>V3</c:v>
                </c:pt>
              </c:strCache>
            </c:strRef>
          </c:tx>
          <c:spPr>
            <a:solidFill>
              <a:schemeClr val="accent3">
                <a:shade val="65000"/>
              </a:schemeClr>
            </a:solidFill>
            <a:ln>
              <a:noFill/>
            </a:ln>
            <a:effectLst/>
          </c:spPr>
          <c:invertIfNegative val="0"/>
          <c:cat>
            <c:numRef>
              <c:f>Data!$Q$100</c:f>
              <c:numCache>
                <c:formatCode>General</c:formatCode>
                <c:ptCount val="1"/>
                <c:pt idx="0">
                  <c:v>2015</c:v>
                </c:pt>
              </c:numCache>
            </c:numRef>
          </c:cat>
          <c:val>
            <c:numRef>
              <c:f>Data!$Q$102</c:f>
              <c:numCache>
                <c:formatCode>_-* #\ ##0\ _€_-;\-* #\ ##0\ _€_-;_-* "-"??\ _€_-;_-@_-</c:formatCode>
                <c:ptCount val="1"/>
                <c:pt idx="0">
                  <c:v>205.22666666666666</c:v>
                </c:pt>
              </c:numCache>
            </c:numRef>
          </c:val>
        </c:ser>
        <c:ser>
          <c:idx val="1"/>
          <c:order val="2"/>
          <c:tx>
            <c:strRef>
              <c:f>Data!$L$103</c:f>
              <c:strCache>
                <c:ptCount val="1"/>
                <c:pt idx="0">
                  <c:v>EU 28</c:v>
                </c:pt>
              </c:strCache>
            </c:strRef>
          </c:tx>
          <c:spPr>
            <a:solidFill>
              <a:schemeClr val="accent3"/>
            </a:solidFill>
            <a:ln>
              <a:noFill/>
            </a:ln>
            <a:effectLst/>
          </c:spPr>
          <c:invertIfNegative val="0"/>
          <c:cat>
            <c:numRef>
              <c:f>Data!$Q$100</c:f>
              <c:numCache>
                <c:formatCode>General</c:formatCode>
                <c:ptCount val="1"/>
                <c:pt idx="0">
                  <c:v>2015</c:v>
                </c:pt>
              </c:numCache>
            </c:numRef>
          </c:cat>
          <c:val>
            <c:numRef>
              <c:f>Data!$Q$103</c:f>
              <c:numCache>
                <c:formatCode>_-* #\ ##0\ _€_-;\-* #\ ##0\ _€_-;_-* "-"??\ _€_-;_-@_-</c:formatCode>
                <c:ptCount val="1"/>
                <c:pt idx="0">
                  <c:v>153.45703703703705</c:v>
                </c:pt>
              </c:numCache>
            </c:numRef>
          </c:val>
        </c:ser>
        <c:dLbls>
          <c:showLegendKey val="0"/>
          <c:showVal val="0"/>
          <c:showCatName val="0"/>
          <c:showSerName val="0"/>
          <c:showPercent val="0"/>
          <c:showBubbleSize val="0"/>
        </c:dLbls>
        <c:gapWidth val="150"/>
        <c:axId val="473689992"/>
        <c:axId val="473690384"/>
      </c:barChart>
      <c:catAx>
        <c:axId val="473689992"/>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0" spcFirstLastPara="1" vertOverflow="ellipsis" wrap="square" anchor="ctr" anchorCtr="1"/>
          <a:lstStyle/>
          <a:p>
            <a:pPr>
              <a:defRPr sz="800" b="0" i="0" u="none" strike="noStrike" kern="1200" baseline="0">
                <a:solidFill>
                  <a:srgbClr val="000000"/>
                </a:solidFill>
                <a:latin typeface="Arial Narrow"/>
                <a:ea typeface="Arial Narrow"/>
                <a:cs typeface="Arial Narrow"/>
              </a:defRPr>
            </a:pPr>
            <a:endParaRPr lang="sk-SK"/>
          </a:p>
        </c:txPr>
        <c:crossAx val="473690384"/>
        <c:crosses val="autoZero"/>
        <c:auto val="1"/>
        <c:lblAlgn val="ctr"/>
        <c:lblOffset val="100"/>
        <c:noMultiLvlLbl val="0"/>
      </c:catAx>
      <c:valAx>
        <c:axId val="473690384"/>
        <c:scaling>
          <c:orientation val="minMax"/>
        </c:scaling>
        <c:delete val="0"/>
        <c:axPos val="l"/>
        <c:majorGridlines>
          <c:spPr>
            <a:ln w="6350" cap="flat" cmpd="sng" algn="ctr">
              <a:solidFill>
                <a:schemeClr val="bg1">
                  <a:lumMod val="75000"/>
                </a:schemeClr>
              </a:solidFill>
              <a:prstDash val="sysDash"/>
              <a:round/>
            </a:ln>
            <a:effectLst/>
          </c:spPr>
        </c:majorGridlines>
        <c:numFmt formatCode="0" sourceLinked="0"/>
        <c:majorTickMark val="none"/>
        <c:minorTickMark val="none"/>
        <c:tickLblPos val="nextTo"/>
        <c:spPr>
          <a:noFill/>
          <a:ln w="6350" cap="flat" cmpd="sng" algn="ctr">
            <a:solidFill>
              <a:schemeClr val="tx1">
                <a:tint val="75000"/>
              </a:schemeClr>
            </a:solidFill>
            <a:prstDash val="solid"/>
            <a:round/>
          </a:ln>
          <a:effectLst/>
        </c:spPr>
        <c:txPr>
          <a:bodyPr rot="0" spcFirstLastPara="1" vertOverflow="ellipsis" wrap="square" anchor="ctr" anchorCtr="1"/>
          <a:lstStyle/>
          <a:p>
            <a:pPr>
              <a:defRPr sz="800" b="0" i="0" u="none" strike="noStrike" kern="1200" baseline="0">
                <a:solidFill>
                  <a:srgbClr val="000000"/>
                </a:solidFill>
                <a:latin typeface="Arial Narrow"/>
                <a:ea typeface="Arial Narrow"/>
                <a:cs typeface="Arial Narrow"/>
              </a:defRPr>
            </a:pPr>
            <a:endParaRPr lang="sk-SK"/>
          </a:p>
        </c:txPr>
        <c:crossAx val="473689992"/>
        <c:crosses val="autoZero"/>
        <c:crossBetween val="between"/>
      </c:valAx>
      <c:spPr>
        <a:solidFill>
          <a:schemeClr val="bg1"/>
        </a:solidFill>
        <a:ln>
          <a:noFill/>
        </a:ln>
        <a:effectLst/>
      </c:spPr>
    </c:plotArea>
    <c:legend>
      <c:legendPos val="r"/>
      <c:layout>
        <c:manualLayout>
          <c:xMode val="edge"/>
          <c:yMode val="edge"/>
          <c:x val="0.15033518064817605"/>
          <c:y val="5.8117891513560803E-2"/>
          <c:w val="0.69991440337844624"/>
          <c:h val="0.13383384368620588"/>
        </c:manualLayout>
      </c:layout>
      <c:overlay val="0"/>
      <c:spPr>
        <a:noFill/>
        <a:ln>
          <a:noFill/>
        </a:ln>
        <a:effectLst/>
      </c:spPr>
      <c:txPr>
        <a:bodyPr rot="0" spcFirstLastPara="1" vertOverflow="ellipsis" vert="horz" wrap="square" anchor="ctr" anchorCtr="1"/>
        <a:lstStyle/>
        <a:p>
          <a:pPr>
            <a:defRPr sz="800" b="0" i="0" u="none" strike="noStrike" kern="1200" baseline="0">
              <a:solidFill>
                <a:srgbClr val="000000"/>
              </a:solidFill>
              <a:latin typeface="Arial Narrow"/>
              <a:ea typeface="Arial Narrow"/>
              <a:cs typeface="Arial Narrow"/>
            </a:defRPr>
          </a:pPr>
          <a:endParaRPr lang="sk-SK"/>
        </a:p>
      </c:txPr>
    </c:legend>
    <c:plotVisOnly val="1"/>
    <c:dispBlanksAs val="gap"/>
    <c:showDLblsOverMax val="0"/>
  </c:chart>
  <c:spPr>
    <a:solidFill>
      <a:schemeClr val="bg1"/>
    </a:solidFill>
    <a:ln w="6350" cap="flat" cmpd="sng" algn="ctr">
      <a:noFill/>
      <a:prstDash val="solid"/>
      <a:round/>
    </a:ln>
    <a:effectLst/>
  </c:spPr>
  <c:txPr>
    <a:bodyPr/>
    <a:lstStyle/>
    <a:p>
      <a:pPr>
        <a:defRPr sz="800" b="0" i="0" u="none" strike="noStrike" baseline="0">
          <a:solidFill>
            <a:srgbClr val="000000"/>
          </a:solidFill>
          <a:latin typeface="Arial Narrow"/>
          <a:ea typeface="Arial Narrow"/>
          <a:cs typeface="Arial Narrow"/>
        </a:defRPr>
      </a:pPr>
      <a:endParaRPr lang="sk-SK"/>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678158723479446E-2"/>
          <c:y val="7.3396739606965924E-2"/>
          <c:w val="0.8530441349388258"/>
          <c:h val="0.77774108685514176"/>
        </c:manualLayout>
      </c:layout>
      <c:lineChart>
        <c:grouping val="standard"/>
        <c:varyColors val="0"/>
        <c:ser>
          <c:idx val="3"/>
          <c:order val="0"/>
          <c:tx>
            <c:strRef>
              <c:f>'life exp'!$AA$7</c:f>
              <c:strCache>
                <c:ptCount val="1"/>
                <c:pt idx="0">
                  <c:v>SK</c:v>
                </c:pt>
              </c:strCache>
            </c:strRef>
          </c:tx>
          <c:spPr>
            <a:ln w="19050">
              <a:solidFill>
                <a:sysClr val="windowText" lastClr="000000"/>
              </a:solidFill>
              <a:prstDash val="solid"/>
            </a:ln>
          </c:spPr>
          <c:marker>
            <c:symbol val="none"/>
          </c:marker>
          <c:cat>
            <c:numRef>
              <c:f>'life exp'!$AB$6:$AR$6</c:f>
              <c:numCache>
                <c:formatCode>General</c:formatCode>
                <c:ptCount val="17"/>
                <c:pt idx="0" formatCode="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'life exp'!$AB$7:$AR$7</c:f>
              <c:numCache>
                <c:formatCode>0.0</c:formatCode>
                <c:ptCount val="17"/>
                <c:pt idx="0">
                  <c:v>77.5</c:v>
                </c:pt>
                <c:pt idx="1">
                  <c:v>77.7</c:v>
                </c:pt>
                <c:pt idx="2">
                  <c:v>77.7</c:v>
                </c:pt>
                <c:pt idx="3">
                  <c:v>77.7</c:v>
                </c:pt>
                <c:pt idx="4">
                  <c:v>78</c:v>
                </c:pt>
                <c:pt idx="5">
                  <c:v>78.099999999999994</c:v>
                </c:pt>
                <c:pt idx="6">
                  <c:v>78.400000000000006</c:v>
                </c:pt>
                <c:pt idx="7">
                  <c:v>78.400000000000006</c:v>
                </c:pt>
                <c:pt idx="8">
                  <c:v>79</c:v>
                </c:pt>
                <c:pt idx="9">
                  <c:v>79.099999999999994</c:v>
                </c:pt>
                <c:pt idx="10">
                  <c:v>79.3</c:v>
                </c:pt>
                <c:pt idx="11">
                  <c:v>79.8</c:v>
                </c:pt>
                <c:pt idx="12">
                  <c:v>79.900000000000006</c:v>
                </c:pt>
                <c:pt idx="13">
                  <c:v>80.099999999999994</c:v>
                </c:pt>
                <c:pt idx="14">
                  <c:v>80.5</c:v>
                </c:pt>
                <c:pt idx="15">
                  <c:v>80.2</c:v>
                </c:pt>
                <c:pt idx="16">
                  <c:v>80.7</c:v>
                </c:pt>
              </c:numCache>
            </c:numRef>
          </c:val>
          <c:smooth val="0"/>
        </c:ser>
        <c:ser>
          <c:idx val="5"/>
          <c:order val="1"/>
          <c:tx>
            <c:strRef>
              <c:f>'life exp'!$AA$8</c:f>
              <c:strCache>
                <c:ptCount val="1"/>
                <c:pt idx="0">
                  <c:v>V3</c:v>
                </c:pt>
              </c:strCache>
            </c:strRef>
          </c:tx>
          <c:spPr>
            <a:ln w="19050">
              <a:solidFill>
                <a:sysClr val="window" lastClr="FFFFFF">
                  <a:lumMod val="50000"/>
                </a:sysClr>
              </a:solidFill>
              <a:prstDash val="solid"/>
            </a:ln>
          </c:spPr>
          <c:marker>
            <c:symbol val="none"/>
          </c:marker>
          <c:dPt>
            <c:idx val="5"/>
            <c:bubble3D val="0"/>
          </c:dPt>
          <c:cat>
            <c:numRef>
              <c:f>'life exp'!$AB$6:$AR$6</c:f>
              <c:numCache>
                <c:formatCode>General</c:formatCode>
                <c:ptCount val="17"/>
                <c:pt idx="0" formatCode="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'life exp'!$AB$8:$AR$8</c:f>
              <c:numCache>
                <c:formatCode>0.0</c:formatCode>
                <c:ptCount val="17"/>
                <c:pt idx="0">
                  <c:v>77.566666666666663</c:v>
                </c:pt>
                <c:pt idx="1">
                  <c:v>77.86666666666666</c:v>
                </c:pt>
                <c:pt idx="2">
                  <c:v>78.066666666666663</c:v>
                </c:pt>
                <c:pt idx="3">
                  <c:v>78.033333333333346</c:v>
                </c:pt>
                <c:pt idx="4">
                  <c:v>78.5</c:v>
                </c:pt>
                <c:pt idx="5">
                  <c:v>78.566666666666663</c:v>
                </c:pt>
                <c:pt idx="6">
                  <c:v>79.133333333333326</c:v>
                </c:pt>
                <c:pt idx="7">
                  <c:v>79.266666666666666</c:v>
                </c:pt>
                <c:pt idx="8">
                  <c:v>79.600000000000009</c:v>
                </c:pt>
                <c:pt idx="9">
                  <c:v>79.666666666666671</c:v>
                </c:pt>
                <c:pt idx="10">
                  <c:v>80.066666666666663</c:v>
                </c:pt>
                <c:pt idx="11">
                  <c:v>80.3</c:v>
                </c:pt>
                <c:pt idx="12">
                  <c:v>80.333333333333329</c:v>
                </c:pt>
                <c:pt idx="13">
                  <c:v>80.533333333333317</c:v>
                </c:pt>
                <c:pt idx="14">
                  <c:v>81.033333333333346</c:v>
                </c:pt>
                <c:pt idx="15">
                  <c:v>80.733333333333334</c:v>
                </c:pt>
                <c:pt idx="16">
                  <c:v>81.266666666666666</c:v>
                </c:pt>
              </c:numCache>
            </c:numRef>
          </c:val>
          <c:smooth val="0"/>
        </c:ser>
        <c:ser>
          <c:idx val="0"/>
          <c:order val="2"/>
          <c:tx>
            <c:strRef>
              <c:f>'life exp'!$AA$9</c:f>
              <c:strCache>
                <c:ptCount val="1"/>
                <c:pt idx="0">
                  <c:v>EU28</c:v>
                </c:pt>
              </c:strCache>
            </c:strRef>
          </c:tx>
          <c:spPr>
            <a:ln w="19050">
              <a:solidFill>
                <a:srgbClr val="E7E6E6">
                  <a:lumMod val="50000"/>
                </a:srgbClr>
              </a:solidFill>
              <a:prstDash val="dash"/>
            </a:ln>
          </c:spPr>
          <c:marker>
            <c:symbol val="none"/>
          </c:marker>
          <c:cat>
            <c:numRef>
              <c:f>'life exp'!$AB$6:$AR$6</c:f>
              <c:numCache>
                <c:formatCode>General</c:formatCode>
                <c:ptCount val="17"/>
                <c:pt idx="0" formatCode="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'life exp'!$AB$9:$AR$9</c:f>
              <c:numCache>
                <c:formatCode>0.0</c:formatCode>
                <c:ptCount val="17"/>
                <c:pt idx="0">
                  <c:v>80.195238095238096</c:v>
                </c:pt>
                <c:pt idx="1">
                  <c:v>80.45714285714287</c:v>
                </c:pt>
                <c:pt idx="2">
                  <c:v>80.372727272727261</c:v>
                </c:pt>
                <c:pt idx="3">
                  <c:v>80.340909090909079</c:v>
                </c:pt>
                <c:pt idx="4">
                  <c:v>80.959090909090918</c:v>
                </c:pt>
                <c:pt idx="5">
                  <c:v>81.040909090909082</c:v>
                </c:pt>
                <c:pt idx="6">
                  <c:v>81.468181818181833</c:v>
                </c:pt>
                <c:pt idx="7">
                  <c:v>81.61363636363636</c:v>
                </c:pt>
                <c:pt idx="8">
                  <c:v>81.940909090909074</c:v>
                </c:pt>
                <c:pt idx="9">
                  <c:v>82.154545454545442</c:v>
                </c:pt>
                <c:pt idx="10">
                  <c:v>82.436363636363623</c:v>
                </c:pt>
                <c:pt idx="11">
                  <c:v>82.727272727272705</c:v>
                </c:pt>
                <c:pt idx="12">
                  <c:v>82.690909090909088</c:v>
                </c:pt>
                <c:pt idx="13">
                  <c:v>82.918181818181822</c:v>
                </c:pt>
                <c:pt idx="14">
                  <c:v>83.331818181818207</c:v>
                </c:pt>
                <c:pt idx="15">
                  <c:v>83.072727272727263</c:v>
                </c:pt>
                <c:pt idx="16">
                  <c:v>83.280952380952385</c:v>
                </c:pt>
              </c:numCache>
            </c:numRef>
          </c:val>
          <c:smooth val="0"/>
        </c:ser>
        <c:ser>
          <c:idx val="1"/>
          <c:order val="3"/>
          <c:tx>
            <c:strRef>
              <c:f>'life exp'!$AA$10</c:f>
              <c:strCache>
                <c:ptCount val="1"/>
                <c:pt idx="0">
                  <c:v>EU15</c:v>
                </c:pt>
              </c:strCache>
            </c:strRef>
          </c:tx>
          <c:spPr>
            <a:ln w="19050">
              <a:solidFill>
                <a:sysClr val="windowText" lastClr="000000"/>
              </a:solidFill>
              <a:prstDash val="dash"/>
            </a:ln>
          </c:spPr>
          <c:marker>
            <c:symbol val="none"/>
          </c:marker>
          <c:cat>
            <c:numRef>
              <c:f>'life exp'!$AB$6:$AR$6</c:f>
              <c:numCache>
                <c:formatCode>General</c:formatCode>
                <c:ptCount val="17"/>
                <c:pt idx="0" formatCode="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'life exp'!$AB$10:$AR$10</c:f>
              <c:numCache>
                <c:formatCode>0.0</c:formatCode>
                <c:ptCount val="17"/>
                <c:pt idx="0">
                  <c:v>81.173333333333332</c:v>
                </c:pt>
                <c:pt idx="1">
                  <c:v>81.426666666666677</c:v>
                </c:pt>
                <c:pt idx="2">
                  <c:v>81.52</c:v>
                </c:pt>
                <c:pt idx="3">
                  <c:v>81.5</c:v>
                </c:pt>
                <c:pt idx="4">
                  <c:v>82.186666666666667</c:v>
                </c:pt>
                <c:pt idx="5">
                  <c:v>82.24666666666667</c:v>
                </c:pt>
                <c:pt idx="6">
                  <c:v>82.653333333333336</c:v>
                </c:pt>
                <c:pt idx="7">
                  <c:v>82.813333333333333</c:v>
                </c:pt>
                <c:pt idx="8">
                  <c:v>83.02</c:v>
                </c:pt>
                <c:pt idx="9">
                  <c:v>83.24</c:v>
                </c:pt>
                <c:pt idx="10">
                  <c:v>83.47999999999999</c:v>
                </c:pt>
                <c:pt idx="11">
                  <c:v>83.726666666666659</c:v>
                </c:pt>
                <c:pt idx="12">
                  <c:v>83.639999999999972</c:v>
                </c:pt>
                <c:pt idx="13">
                  <c:v>83.886666666666684</c:v>
                </c:pt>
                <c:pt idx="14">
                  <c:v>84.286666666666676</c:v>
                </c:pt>
                <c:pt idx="15">
                  <c:v>83.973333333333329</c:v>
                </c:pt>
                <c:pt idx="16">
                  <c:v>84.164285714285711</c:v>
                </c:pt>
              </c:numCache>
            </c:numRef>
          </c:val>
          <c:smooth val="0"/>
        </c:ser>
        <c:ser>
          <c:idx val="2"/>
          <c:order val="4"/>
          <c:tx>
            <c:strRef>
              <c:f>'life exp'!$AA$11</c:f>
              <c:strCache>
                <c:ptCount val="1"/>
                <c:pt idx="0">
                  <c:v>OECD</c:v>
                </c:pt>
              </c:strCache>
            </c:strRef>
          </c:tx>
          <c:spPr>
            <a:ln w="19050">
              <a:solidFill>
                <a:sysClr val="window" lastClr="FFFFFF">
                  <a:lumMod val="75000"/>
                </a:sysClr>
              </a:solidFill>
            </a:ln>
          </c:spPr>
          <c:marker>
            <c:symbol val="none"/>
          </c:marker>
          <c:cat>
            <c:numRef>
              <c:f>'life exp'!$AB$6:$AR$6</c:f>
              <c:numCache>
                <c:formatCode>General</c:formatCode>
                <c:ptCount val="17"/>
                <c:pt idx="0" formatCode="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'life exp'!$AB$11:$AR$11</c:f>
              <c:numCache>
                <c:formatCode>0.0</c:formatCode>
                <c:ptCount val="17"/>
                <c:pt idx="0">
                  <c:v>80.238235294117658</c:v>
                </c:pt>
                <c:pt idx="1">
                  <c:v>80.541176470588212</c:v>
                </c:pt>
                <c:pt idx="2">
                  <c:v>80.528571428571425</c:v>
                </c:pt>
                <c:pt idx="3">
                  <c:v>80.58</c:v>
                </c:pt>
                <c:pt idx="4">
                  <c:v>81.09714285714287</c:v>
                </c:pt>
                <c:pt idx="5">
                  <c:v>81.21142857142857</c:v>
                </c:pt>
                <c:pt idx="6">
                  <c:v>81.557142857142864</c:v>
                </c:pt>
                <c:pt idx="7">
                  <c:v>81.702857142857169</c:v>
                </c:pt>
                <c:pt idx="8">
                  <c:v>81.991428571428557</c:v>
                </c:pt>
                <c:pt idx="9">
                  <c:v>82.2</c:v>
                </c:pt>
                <c:pt idx="10">
                  <c:v>82.431428571428555</c:v>
                </c:pt>
                <c:pt idx="11">
                  <c:v>82.671428571428578</c:v>
                </c:pt>
                <c:pt idx="12">
                  <c:v>82.685714285714269</c:v>
                </c:pt>
                <c:pt idx="13">
                  <c:v>82.994285714285709</c:v>
                </c:pt>
                <c:pt idx="14">
                  <c:v>83.339999999999975</c:v>
                </c:pt>
                <c:pt idx="15">
                  <c:v>83.171428571428578</c:v>
                </c:pt>
                <c:pt idx="16">
                  <c:v>83.346874999999997</c:v>
                </c:pt>
              </c:numCache>
            </c:numRef>
          </c:val>
          <c:smooth val="0"/>
        </c:ser>
        <c:dLbls>
          <c:showLegendKey val="0"/>
          <c:showVal val="0"/>
          <c:showCatName val="0"/>
          <c:showSerName val="0"/>
          <c:showPercent val="0"/>
          <c:showBubbleSize val="0"/>
        </c:dLbls>
        <c:smooth val="0"/>
        <c:axId val="473691168"/>
        <c:axId val="473691560"/>
      </c:lineChart>
      <c:catAx>
        <c:axId val="473691168"/>
        <c:scaling>
          <c:orientation val="minMax"/>
        </c:scaling>
        <c:delete val="0"/>
        <c:axPos val="b"/>
        <c:numFmt formatCode="General" sourceLinked="0"/>
        <c:majorTickMark val="out"/>
        <c:minorTickMark val="none"/>
        <c:tickLblPos val="low"/>
        <c:txPr>
          <a:bodyPr rot="-5400000" vert="horz"/>
          <a:lstStyle/>
          <a:p>
            <a:pPr>
              <a:defRPr/>
            </a:pPr>
            <a:endParaRPr lang="sk-SK"/>
          </a:p>
        </c:txPr>
        <c:crossAx val="473691560"/>
        <c:crosses val="autoZero"/>
        <c:auto val="1"/>
        <c:lblAlgn val="ctr"/>
        <c:lblOffset val="100"/>
        <c:noMultiLvlLbl val="0"/>
      </c:catAx>
      <c:valAx>
        <c:axId val="473691560"/>
        <c:scaling>
          <c:orientation val="minMax"/>
        </c:scaling>
        <c:delete val="0"/>
        <c:axPos val="l"/>
        <c:majorGridlines>
          <c:spPr>
            <a:ln>
              <a:solidFill>
                <a:schemeClr val="bg1">
                  <a:lumMod val="75000"/>
                </a:schemeClr>
              </a:solidFill>
              <a:prstDash val="sysDash"/>
            </a:ln>
          </c:spPr>
        </c:majorGridlines>
        <c:numFmt formatCode="#,##0.0" sourceLinked="0"/>
        <c:majorTickMark val="out"/>
        <c:minorTickMark val="none"/>
        <c:tickLblPos val="nextTo"/>
        <c:txPr>
          <a:bodyPr rot="0" vert="horz"/>
          <a:lstStyle/>
          <a:p>
            <a:pPr>
              <a:defRPr/>
            </a:pPr>
            <a:endParaRPr lang="sk-SK"/>
          </a:p>
        </c:txPr>
        <c:crossAx val="473691168"/>
        <c:crosses val="autoZero"/>
        <c:crossBetween val="between"/>
      </c:valAx>
    </c:plotArea>
    <c:legend>
      <c:legendPos val="r"/>
      <c:layout>
        <c:manualLayout>
          <c:xMode val="edge"/>
          <c:yMode val="edge"/>
          <c:x val="0.1363006281809068"/>
          <c:y val="5.0129553458677416E-2"/>
          <c:w val="0.59739944818773716"/>
          <c:h val="0.1948735838399947"/>
        </c:manualLayout>
      </c:layout>
      <c:overlay val="0"/>
    </c:legend>
    <c:plotVisOnly val="1"/>
    <c:dispBlanksAs val="gap"/>
    <c:showDLblsOverMax val="0"/>
  </c:chart>
  <c:spPr>
    <a:ln>
      <a:noFill/>
    </a:ln>
  </c:spPr>
  <c:txPr>
    <a:bodyPr/>
    <a:lstStyle/>
    <a:p>
      <a:pPr>
        <a:defRPr sz="800" b="0" i="0" u="none" strike="noStrike" baseline="0">
          <a:solidFill>
            <a:srgbClr val="000000"/>
          </a:solidFill>
          <a:latin typeface="Arial Narrow" panose="020B0606020202030204" pitchFamily="34" charset="0"/>
          <a:ea typeface="Calibri"/>
          <a:cs typeface="Calibri"/>
        </a:defRPr>
      </a:pPr>
      <a:endParaRPr lang="sk-SK"/>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Hárok3!$B$5</c:f>
              <c:strCache>
                <c:ptCount val="1"/>
                <c:pt idx="0">
                  <c:v>Miera chudoby SR</c:v>
                </c:pt>
              </c:strCache>
            </c:strRef>
          </c:tx>
          <c:spPr>
            <a:solidFill>
              <a:schemeClr val="bg1">
                <a:lumMod val="75000"/>
              </a:schemeClr>
            </a:solidFill>
            <a:ln>
              <a:solidFill>
                <a:schemeClr val="bg1">
                  <a:lumMod val="75000"/>
                </a:schemeClr>
              </a:solidFill>
            </a:ln>
            <a:effectLst/>
          </c:spPr>
          <c:invertIfNegative val="0"/>
          <c:cat>
            <c:strRef>
              <c:f>Hárok3!$C$3:$H$3</c:f>
              <c:strCache>
                <c:ptCount val="6"/>
                <c:pt idx="0">
                  <c:v>2011</c:v>
                </c:pt>
                <c:pt idx="1">
                  <c:v>2012</c:v>
                </c:pt>
                <c:pt idx="2">
                  <c:v>2013</c:v>
                </c:pt>
                <c:pt idx="3">
                  <c:v>2014</c:v>
                </c:pt>
                <c:pt idx="4">
                  <c:v>2015</c:v>
                </c:pt>
                <c:pt idx="5">
                  <c:v>2016</c:v>
                </c:pt>
              </c:strCache>
            </c:strRef>
          </c:cat>
          <c:val>
            <c:numRef>
              <c:f>Hárok3!$C$5:$H$5</c:f>
              <c:numCache>
                <c:formatCode>#\ ##0.0</c:formatCode>
                <c:ptCount val="6"/>
                <c:pt idx="0">
                  <c:v>13</c:v>
                </c:pt>
                <c:pt idx="1">
                  <c:v>13.2</c:v>
                </c:pt>
                <c:pt idx="2">
                  <c:v>12.8</c:v>
                </c:pt>
                <c:pt idx="3">
                  <c:v>12.6</c:v>
                </c:pt>
                <c:pt idx="4">
                  <c:v>12.3</c:v>
                </c:pt>
                <c:pt idx="5">
                  <c:v>12.7</c:v>
                </c:pt>
              </c:numCache>
            </c:numRef>
          </c:val>
          <c:extLst xmlns:c16r2="http://schemas.microsoft.com/office/drawing/2015/06/chart">
            <c:ext xmlns:c16="http://schemas.microsoft.com/office/drawing/2014/chart" uri="{C3380CC4-5D6E-409C-BE32-E72D297353CC}">
              <c16:uniqueId val="{00000000-DDB5-4468-B529-AB4BE7990744}"/>
            </c:ext>
          </c:extLst>
        </c:ser>
        <c:dLbls>
          <c:showLegendKey val="0"/>
          <c:showVal val="0"/>
          <c:showCatName val="0"/>
          <c:showSerName val="0"/>
          <c:showPercent val="0"/>
          <c:showBubbleSize val="0"/>
        </c:dLbls>
        <c:gapWidth val="110"/>
        <c:axId val="472538704"/>
        <c:axId val="472539096"/>
      </c:barChart>
      <c:lineChart>
        <c:grouping val="standard"/>
        <c:varyColors val="0"/>
        <c:ser>
          <c:idx val="0"/>
          <c:order val="0"/>
          <c:tx>
            <c:strRef>
              <c:f>Hárok3!$B$4</c:f>
              <c:strCache>
                <c:ptCount val="1"/>
                <c:pt idx="0">
                  <c:v>Miera chudoby EÚ</c:v>
                </c:pt>
              </c:strCache>
            </c:strRef>
          </c:tx>
          <c:spPr>
            <a:ln w="28575" cap="rnd">
              <a:noFill/>
              <a:round/>
            </a:ln>
            <a:effectLst/>
          </c:spPr>
          <c:marker>
            <c:symbol val="diamond"/>
            <c:size val="11"/>
            <c:spPr>
              <a:solidFill>
                <a:schemeClr val="tx1"/>
              </a:solidFill>
              <a:ln w="9525">
                <a:noFill/>
              </a:ln>
              <a:effectLst/>
            </c:spPr>
          </c:marker>
          <c:cat>
            <c:strRef>
              <c:f>Hárok3!$C$3:$H$3</c:f>
              <c:strCache>
                <c:ptCount val="6"/>
                <c:pt idx="0">
                  <c:v>2011</c:v>
                </c:pt>
                <c:pt idx="1">
                  <c:v>2012</c:v>
                </c:pt>
                <c:pt idx="2">
                  <c:v>2013</c:v>
                </c:pt>
                <c:pt idx="3">
                  <c:v>2014</c:v>
                </c:pt>
                <c:pt idx="4">
                  <c:v>2015</c:v>
                </c:pt>
                <c:pt idx="5">
                  <c:v>2016</c:v>
                </c:pt>
              </c:strCache>
            </c:strRef>
          </c:cat>
          <c:val>
            <c:numRef>
              <c:f>Hárok3!$C$4:$H$4</c:f>
              <c:numCache>
                <c:formatCode>#\ ##0.0</c:formatCode>
                <c:ptCount val="6"/>
                <c:pt idx="0">
                  <c:v>16.8</c:v>
                </c:pt>
                <c:pt idx="1">
                  <c:v>16.8</c:v>
                </c:pt>
                <c:pt idx="2">
                  <c:v>16.7</c:v>
                </c:pt>
                <c:pt idx="3">
                  <c:v>17.2</c:v>
                </c:pt>
                <c:pt idx="4">
                  <c:v>17.3</c:v>
                </c:pt>
                <c:pt idx="5">
                  <c:v>17.3</c:v>
                </c:pt>
              </c:numCache>
            </c:numRef>
          </c:val>
          <c:smooth val="0"/>
          <c:extLst xmlns:c16r2="http://schemas.microsoft.com/office/drawing/2015/06/chart">
            <c:ext xmlns:c16="http://schemas.microsoft.com/office/drawing/2014/chart" uri="{C3380CC4-5D6E-409C-BE32-E72D297353CC}">
              <c16:uniqueId val="{00000001-DDB5-4468-B529-AB4BE7990744}"/>
            </c:ext>
          </c:extLst>
        </c:ser>
        <c:dLbls>
          <c:showLegendKey val="0"/>
          <c:showVal val="0"/>
          <c:showCatName val="0"/>
          <c:showSerName val="0"/>
          <c:showPercent val="0"/>
          <c:showBubbleSize val="0"/>
        </c:dLbls>
        <c:marker val="1"/>
        <c:smooth val="0"/>
        <c:axId val="472538704"/>
        <c:axId val="472539096"/>
      </c:lineChart>
      <c:catAx>
        <c:axId val="4725387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endParaRPr lang="sk-SK"/>
          </a:p>
        </c:txPr>
        <c:crossAx val="472539096"/>
        <c:crosses val="autoZero"/>
        <c:auto val="1"/>
        <c:lblAlgn val="ctr"/>
        <c:lblOffset val="100"/>
        <c:noMultiLvlLbl val="0"/>
      </c:catAx>
      <c:valAx>
        <c:axId val="472539096"/>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endParaRPr lang="sk-SK"/>
          </a:p>
        </c:txPr>
        <c:crossAx val="472538704"/>
        <c:crosses val="autoZero"/>
        <c:crossBetween val="between"/>
      </c:valAx>
      <c:spPr>
        <a:noFill/>
        <a:ln>
          <a:noFill/>
        </a:ln>
        <a:effectLst/>
      </c:spPr>
    </c:plotArea>
    <c:legend>
      <c:legendPos val="t"/>
      <c:overlay val="1"/>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Narrow" panose="020B0606020202030204" pitchFamily="34" charset="0"/>
        </a:defRPr>
      </a:pPr>
      <a:endParaRPr lang="sk-SK"/>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678158723479446E-2"/>
          <c:y val="7.3396739606965924E-2"/>
          <c:w val="0.8530441349388258"/>
          <c:h val="0.77774108685514176"/>
        </c:manualLayout>
      </c:layout>
      <c:lineChart>
        <c:grouping val="standard"/>
        <c:varyColors val="0"/>
        <c:ser>
          <c:idx val="3"/>
          <c:order val="0"/>
          <c:tx>
            <c:strRef>
              <c:f>'farmaceutiká a krátkodobé tovar'!$AA$8</c:f>
              <c:strCache>
                <c:ptCount val="1"/>
                <c:pt idx="0">
                  <c:v>SK</c:v>
                </c:pt>
              </c:strCache>
            </c:strRef>
          </c:tx>
          <c:spPr>
            <a:ln w="19050">
              <a:solidFill>
                <a:sysClr val="windowText" lastClr="000000">
                  <a:lumMod val="95000"/>
                  <a:lumOff val="5000"/>
                </a:sysClr>
              </a:solidFill>
              <a:prstDash val="solid"/>
            </a:ln>
          </c:spPr>
          <c:marker>
            <c:symbol val="none"/>
          </c:marker>
          <c:dPt>
            <c:idx val="13"/>
            <c:bubble3D val="0"/>
          </c:dPt>
          <c:cat>
            <c:numRef>
              <c:f>'farmaceutiká a krátkodobé tovar'!$AB$7:$AR$7</c:f>
              <c:numCache>
                <c:formatCode>General</c:formatCode>
                <c:ptCount val="17"/>
                <c:pt idx="0" formatCode="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'farmaceutiká a krátkodobé tovar'!$AB$8:$AR$8</c:f>
              <c:numCache>
                <c:formatCode>0.0</c:formatCode>
                <c:ptCount val="17"/>
                <c:pt idx="0">
                  <c:v>172.798</c:v>
                </c:pt>
                <c:pt idx="1">
                  <c:v>189.43100000000001</c:v>
                </c:pt>
                <c:pt idx="2">
                  <c:v>232.78299999999999</c:v>
                </c:pt>
                <c:pt idx="3">
                  <c:v>256.83100000000002</c:v>
                </c:pt>
                <c:pt idx="4">
                  <c:v>256.17399999999998</c:v>
                </c:pt>
                <c:pt idx="5">
                  <c:v>268.214</c:v>
                </c:pt>
                <c:pt idx="6">
                  <c:v>293.69299999999998</c:v>
                </c:pt>
                <c:pt idx="7">
                  <c:v>308.875</c:v>
                </c:pt>
                <c:pt idx="8">
                  <c:v>365.57100000000003</c:v>
                </c:pt>
                <c:pt idx="9">
                  <c:v>383.74299999999999</c:v>
                </c:pt>
                <c:pt idx="10">
                  <c:v>401.68</c:v>
                </c:pt>
                <c:pt idx="11">
                  <c:v>382.25900000000001</c:v>
                </c:pt>
                <c:pt idx="12">
                  <c:v>363.33300000000003</c:v>
                </c:pt>
                <c:pt idx="13">
                  <c:v>371.57499999999999</c:v>
                </c:pt>
                <c:pt idx="14">
                  <c:v>386.06599999999997</c:v>
                </c:pt>
                <c:pt idx="15">
                  <c:v>384.84899999999999</c:v>
                </c:pt>
                <c:pt idx="16">
                  <c:v>403.23700000000002</c:v>
                </c:pt>
              </c:numCache>
            </c:numRef>
          </c:val>
          <c:smooth val="0"/>
        </c:ser>
        <c:ser>
          <c:idx val="5"/>
          <c:order val="1"/>
          <c:tx>
            <c:strRef>
              <c:f>'farmaceutiká a krátkodobé tovar'!$AA$9</c:f>
              <c:strCache>
                <c:ptCount val="1"/>
                <c:pt idx="0">
                  <c:v>V3</c:v>
                </c:pt>
              </c:strCache>
            </c:strRef>
          </c:tx>
          <c:spPr>
            <a:ln w="19050">
              <a:solidFill>
                <a:sysClr val="window" lastClr="FFFFFF">
                  <a:lumMod val="50000"/>
                </a:sysClr>
              </a:solidFill>
              <a:prstDash val="solid"/>
            </a:ln>
          </c:spPr>
          <c:marker>
            <c:symbol val="none"/>
          </c:marker>
          <c:dPt>
            <c:idx val="5"/>
            <c:bubble3D val="0"/>
          </c:dPt>
          <c:cat>
            <c:numRef>
              <c:f>'farmaceutiká a krátkodobé tovar'!$AB$7:$AR$7</c:f>
              <c:numCache>
                <c:formatCode>General</c:formatCode>
                <c:ptCount val="17"/>
                <c:pt idx="0" formatCode="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'farmaceutiká a krátkodobé tovar'!$AB$9:$AR$9</c:f>
              <c:numCache>
                <c:formatCode>0.0</c:formatCode>
                <c:ptCount val="17"/>
                <c:pt idx="0">
                  <c:v>128.64233333333334</c:v>
                </c:pt>
                <c:pt idx="1">
                  <c:v>144.27833333333334</c:v>
                </c:pt>
                <c:pt idx="2">
                  <c:v>161.25766666666667</c:v>
                </c:pt>
                <c:pt idx="3">
                  <c:v>185.13900000000001</c:v>
                </c:pt>
                <c:pt idx="4">
                  <c:v>194.97299999999998</c:v>
                </c:pt>
                <c:pt idx="5">
                  <c:v>214.01033333333331</c:v>
                </c:pt>
                <c:pt idx="6">
                  <c:v>217.34533333333331</c:v>
                </c:pt>
                <c:pt idx="7">
                  <c:v>194.36666666666667</c:v>
                </c:pt>
                <c:pt idx="8">
                  <c:v>200.19933333333333</c:v>
                </c:pt>
                <c:pt idx="9">
                  <c:v>236.73999999999998</c:v>
                </c:pt>
                <c:pt idx="10">
                  <c:v>226.66899999999998</c:v>
                </c:pt>
                <c:pt idx="11">
                  <c:v>240.76200000000003</c:v>
                </c:pt>
                <c:pt idx="12">
                  <c:v>223.02233333333334</c:v>
                </c:pt>
                <c:pt idx="13">
                  <c:v>216.12166666666667</c:v>
                </c:pt>
                <c:pt idx="14">
                  <c:v>213.75266666666667</c:v>
                </c:pt>
                <c:pt idx="15">
                  <c:v>214.60366666666667</c:v>
                </c:pt>
                <c:pt idx="16">
                  <c:v>222.01233333333334</c:v>
                </c:pt>
              </c:numCache>
            </c:numRef>
          </c:val>
          <c:smooth val="0"/>
        </c:ser>
        <c:ser>
          <c:idx val="0"/>
          <c:order val="2"/>
          <c:tx>
            <c:strRef>
              <c:f>'farmaceutiká a krátkodobé tovar'!$AA$10</c:f>
              <c:strCache>
                <c:ptCount val="1"/>
                <c:pt idx="0">
                  <c:v>EU28</c:v>
                </c:pt>
              </c:strCache>
            </c:strRef>
          </c:tx>
          <c:spPr>
            <a:ln w="19050">
              <a:solidFill>
                <a:sysClr val="window" lastClr="FFFFFF">
                  <a:lumMod val="65000"/>
                </a:sysClr>
              </a:solidFill>
              <a:prstDash val="dash"/>
            </a:ln>
          </c:spPr>
          <c:marker>
            <c:symbol val="none"/>
          </c:marker>
          <c:cat>
            <c:numRef>
              <c:f>'farmaceutiká a krátkodobé tovar'!$AB$7:$AR$7</c:f>
              <c:numCache>
                <c:formatCode>General</c:formatCode>
                <c:ptCount val="17"/>
                <c:pt idx="0" formatCode="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'farmaceutiká a krátkodobé tovar'!$AB$10:$AR$10</c:f>
              <c:numCache>
                <c:formatCode>0.0</c:formatCode>
                <c:ptCount val="17"/>
                <c:pt idx="0">
                  <c:v>183.30838888888891</c:v>
                </c:pt>
                <c:pt idx="1">
                  <c:v>204.19416666666669</c:v>
                </c:pt>
                <c:pt idx="2">
                  <c:v>225.98189473684209</c:v>
                </c:pt>
                <c:pt idx="3">
                  <c:v>244.17584210526317</c:v>
                </c:pt>
                <c:pt idx="4">
                  <c:v>241.25157142857148</c:v>
                </c:pt>
                <c:pt idx="5">
                  <c:v>254.61772727272728</c:v>
                </c:pt>
                <c:pt idx="6">
                  <c:v>277.69140909090908</c:v>
                </c:pt>
                <c:pt idx="7">
                  <c:v>290.65668181818177</c:v>
                </c:pt>
                <c:pt idx="8">
                  <c:v>296.53223809523814</c:v>
                </c:pt>
                <c:pt idx="9">
                  <c:v>325.77659090909088</c:v>
                </c:pt>
                <c:pt idx="10">
                  <c:v>327.76659090909089</c:v>
                </c:pt>
                <c:pt idx="11">
                  <c:v>320.7165454545455</c:v>
                </c:pt>
                <c:pt idx="12">
                  <c:v>310.31100000000004</c:v>
                </c:pt>
                <c:pt idx="13">
                  <c:v>305.29117391304351</c:v>
                </c:pt>
                <c:pt idx="14">
                  <c:v>307.43773913043475</c:v>
                </c:pt>
                <c:pt idx="15">
                  <c:v>314.97686956521733</c:v>
                </c:pt>
                <c:pt idx="16">
                  <c:v>326.73552173913043</c:v>
                </c:pt>
              </c:numCache>
            </c:numRef>
          </c:val>
          <c:smooth val="0"/>
        </c:ser>
        <c:ser>
          <c:idx val="1"/>
          <c:order val="3"/>
          <c:tx>
            <c:strRef>
              <c:f>'farmaceutiká a krátkodobé tovar'!$AA$11</c:f>
              <c:strCache>
                <c:ptCount val="1"/>
                <c:pt idx="0">
                  <c:v>EU15</c:v>
                </c:pt>
              </c:strCache>
            </c:strRef>
          </c:tx>
          <c:spPr>
            <a:ln w="19050">
              <a:solidFill>
                <a:sysClr val="windowText" lastClr="000000"/>
              </a:solidFill>
              <a:prstDash val="dash"/>
            </a:ln>
          </c:spPr>
          <c:marker>
            <c:symbol val="none"/>
          </c:marker>
          <c:cat>
            <c:numRef>
              <c:f>'farmaceutiká a krátkodobé tovar'!$AB$7:$AR$7</c:f>
              <c:numCache>
                <c:formatCode>General</c:formatCode>
                <c:ptCount val="17"/>
                <c:pt idx="0" formatCode="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'farmaceutiká a krátkodobé tovar'!$AB$11:$AR$11</c:f>
              <c:numCache>
                <c:formatCode>0.0</c:formatCode>
                <c:ptCount val="17"/>
                <c:pt idx="0">
                  <c:v>207.03107692307688</c:v>
                </c:pt>
                <c:pt idx="1">
                  <c:v>229.82123076923077</c:v>
                </c:pt>
                <c:pt idx="2">
                  <c:v>252.30892307692304</c:v>
                </c:pt>
                <c:pt idx="3">
                  <c:v>272.06338461538462</c:v>
                </c:pt>
                <c:pt idx="4">
                  <c:v>290.31892307692311</c:v>
                </c:pt>
                <c:pt idx="5">
                  <c:v>300.19607142857143</c:v>
                </c:pt>
                <c:pt idx="6">
                  <c:v>331.06507142857146</c:v>
                </c:pt>
                <c:pt idx="7">
                  <c:v>354.19778571428571</c:v>
                </c:pt>
                <c:pt idx="8">
                  <c:v>358.58676923076922</c:v>
                </c:pt>
                <c:pt idx="9">
                  <c:v>388.69792857142858</c:v>
                </c:pt>
                <c:pt idx="10">
                  <c:v>391.49514285714275</c:v>
                </c:pt>
                <c:pt idx="11">
                  <c:v>377.77707142857133</c:v>
                </c:pt>
                <c:pt idx="12">
                  <c:v>366.04907142857144</c:v>
                </c:pt>
                <c:pt idx="13">
                  <c:v>353.83340000000004</c:v>
                </c:pt>
                <c:pt idx="14">
                  <c:v>356.89053333333334</c:v>
                </c:pt>
                <c:pt idx="15">
                  <c:v>366.77266666666662</c:v>
                </c:pt>
                <c:pt idx="16">
                  <c:v>376.58726666666666</c:v>
                </c:pt>
              </c:numCache>
            </c:numRef>
          </c:val>
          <c:smooth val="0"/>
        </c:ser>
        <c:ser>
          <c:idx val="2"/>
          <c:order val="4"/>
          <c:tx>
            <c:strRef>
              <c:f>'farmaceutiká a krátkodobé tovar'!$AA$12</c:f>
              <c:strCache>
                <c:ptCount val="1"/>
                <c:pt idx="0">
                  <c:v>OECD</c:v>
                </c:pt>
              </c:strCache>
            </c:strRef>
          </c:tx>
          <c:spPr>
            <a:ln w="19050">
              <a:solidFill>
                <a:sysClr val="window" lastClr="FFFFFF">
                  <a:lumMod val="75000"/>
                </a:sysClr>
              </a:solidFill>
            </a:ln>
          </c:spPr>
          <c:marker>
            <c:symbol val="none"/>
          </c:marker>
          <c:cat>
            <c:numRef>
              <c:f>'farmaceutiká a krátkodobé tovar'!$AB$7:$AR$7</c:f>
              <c:numCache>
                <c:formatCode>General</c:formatCode>
                <c:ptCount val="17"/>
                <c:pt idx="0" formatCode="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'farmaceutiká a krátkodobé tovar'!$AB$12:$AR$12</c:f>
              <c:numCache>
                <c:formatCode>0.0</c:formatCode>
                <c:ptCount val="17"/>
                <c:pt idx="0">
                  <c:v>168.90196153846156</c:v>
                </c:pt>
                <c:pt idx="1">
                  <c:v>192.34967999999998</c:v>
                </c:pt>
                <c:pt idx="2">
                  <c:v>212.83903846153845</c:v>
                </c:pt>
                <c:pt idx="3">
                  <c:v>236.83260000000001</c:v>
                </c:pt>
                <c:pt idx="4">
                  <c:v>239.90833333333325</c:v>
                </c:pt>
                <c:pt idx="5">
                  <c:v>252.28328571428577</c:v>
                </c:pt>
                <c:pt idx="6">
                  <c:v>273.92789285714281</c:v>
                </c:pt>
                <c:pt idx="7">
                  <c:v>285.19078571428565</c:v>
                </c:pt>
                <c:pt idx="8">
                  <c:v>297.85411538461545</c:v>
                </c:pt>
                <c:pt idx="9">
                  <c:v>326.00225925925923</c:v>
                </c:pt>
                <c:pt idx="10">
                  <c:v>331.4425714285714</c:v>
                </c:pt>
                <c:pt idx="11">
                  <c:v>329.72160714285707</c:v>
                </c:pt>
                <c:pt idx="12">
                  <c:v>322.06971428571433</c:v>
                </c:pt>
                <c:pt idx="13">
                  <c:v>319.38734482758622</c:v>
                </c:pt>
                <c:pt idx="14">
                  <c:v>321.42565517241377</c:v>
                </c:pt>
                <c:pt idx="15">
                  <c:v>332.56248275862083</c:v>
                </c:pt>
                <c:pt idx="16">
                  <c:v>332.89992592592597</c:v>
                </c:pt>
              </c:numCache>
            </c:numRef>
          </c:val>
          <c:smooth val="0"/>
        </c:ser>
        <c:dLbls>
          <c:showLegendKey val="0"/>
          <c:showVal val="0"/>
          <c:showCatName val="0"/>
          <c:showSerName val="0"/>
          <c:showPercent val="0"/>
          <c:showBubbleSize val="0"/>
        </c:dLbls>
        <c:smooth val="0"/>
        <c:axId val="473691952"/>
        <c:axId val="473692344"/>
      </c:lineChart>
      <c:catAx>
        <c:axId val="473691952"/>
        <c:scaling>
          <c:orientation val="minMax"/>
        </c:scaling>
        <c:delete val="0"/>
        <c:axPos val="b"/>
        <c:numFmt formatCode="General" sourceLinked="0"/>
        <c:majorTickMark val="out"/>
        <c:minorTickMark val="none"/>
        <c:tickLblPos val="low"/>
        <c:txPr>
          <a:bodyPr rot="-5400000" vert="horz"/>
          <a:lstStyle/>
          <a:p>
            <a:pPr>
              <a:defRPr sz="700"/>
            </a:pPr>
            <a:endParaRPr lang="sk-SK"/>
          </a:p>
        </c:txPr>
        <c:crossAx val="473692344"/>
        <c:crosses val="autoZero"/>
        <c:auto val="1"/>
        <c:lblAlgn val="ctr"/>
        <c:lblOffset val="100"/>
        <c:noMultiLvlLbl val="0"/>
      </c:catAx>
      <c:valAx>
        <c:axId val="473692344"/>
        <c:scaling>
          <c:orientation val="minMax"/>
        </c:scaling>
        <c:delete val="0"/>
        <c:axPos val="l"/>
        <c:majorGridlines>
          <c:spPr>
            <a:ln>
              <a:solidFill>
                <a:schemeClr val="bg1">
                  <a:lumMod val="75000"/>
                </a:schemeClr>
              </a:solidFill>
              <a:prstDash val="sysDash"/>
            </a:ln>
          </c:spPr>
        </c:majorGridlines>
        <c:numFmt formatCode="#,##0.0" sourceLinked="0"/>
        <c:majorTickMark val="out"/>
        <c:minorTickMark val="none"/>
        <c:tickLblPos val="nextTo"/>
        <c:txPr>
          <a:bodyPr rot="0" vert="horz"/>
          <a:lstStyle/>
          <a:p>
            <a:pPr>
              <a:defRPr sz="700"/>
            </a:pPr>
            <a:endParaRPr lang="sk-SK"/>
          </a:p>
        </c:txPr>
        <c:crossAx val="473691952"/>
        <c:crosses val="autoZero"/>
        <c:crossBetween val="between"/>
      </c:valAx>
    </c:plotArea>
    <c:legend>
      <c:legendPos val="r"/>
      <c:layout>
        <c:manualLayout>
          <c:xMode val="edge"/>
          <c:yMode val="edge"/>
          <c:x val="0.12771464392518406"/>
          <c:y val="3.2351706036745406E-2"/>
          <c:w val="0.59739944818773716"/>
          <c:h val="0.20698547681539808"/>
        </c:manualLayout>
      </c:layout>
      <c:overlay val="0"/>
      <c:txPr>
        <a:bodyPr/>
        <a:lstStyle/>
        <a:p>
          <a:pPr>
            <a:defRPr sz="700"/>
          </a:pPr>
          <a:endParaRPr lang="sk-SK"/>
        </a:p>
      </c:txPr>
    </c:legend>
    <c:plotVisOnly val="1"/>
    <c:dispBlanksAs val="gap"/>
    <c:showDLblsOverMax val="0"/>
  </c:chart>
  <c:spPr>
    <a:ln>
      <a:noFill/>
    </a:ln>
  </c:spPr>
  <c:txPr>
    <a:bodyPr/>
    <a:lstStyle/>
    <a:p>
      <a:pPr>
        <a:defRPr sz="1000" b="0" i="0" u="none" strike="noStrike" baseline="0">
          <a:solidFill>
            <a:srgbClr val="000000"/>
          </a:solidFill>
          <a:latin typeface="Arial Narrow" panose="020B0606020202030204" pitchFamily="34" charset="0"/>
          <a:ea typeface="Calibri"/>
          <a:cs typeface="Calibri"/>
        </a:defRPr>
      </a:pPr>
      <a:endParaRPr lang="sk-SK"/>
    </a:p>
  </c:txPr>
  <c:externalData r:id="rId2">
    <c:autoUpdate val="0"/>
  </c:externalData>
  <c:userShapes r:id="rId3"/>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425389098243538"/>
          <c:y val="3.4188034188034191E-2"/>
          <c:w val="0.6619161897127851"/>
          <c:h val="0.55297423887587827"/>
        </c:manualLayout>
      </c:layout>
      <c:barChart>
        <c:barDir val="col"/>
        <c:grouping val="clustered"/>
        <c:varyColors val="0"/>
        <c:ser>
          <c:idx val="0"/>
          <c:order val="0"/>
          <c:tx>
            <c:strRef>
              <c:f>'UHP vypocty'!$B$41</c:f>
              <c:strCache>
                <c:ptCount val="1"/>
                <c:pt idx="0">
                  <c:v>SK</c:v>
                </c:pt>
              </c:strCache>
            </c:strRef>
          </c:tx>
          <c:spPr>
            <a:solidFill>
              <a:schemeClr val="dk1">
                <a:tint val="88500"/>
              </a:schemeClr>
            </a:solidFill>
            <a:ln>
              <a:noFill/>
            </a:ln>
            <a:effectLst/>
          </c:spPr>
          <c:invertIfNegative val="0"/>
          <c:cat>
            <c:strRef>
              <c:f>'UHP vypocty'!$A$42:$A$50</c:f>
              <c:strCache>
                <c:ptCount val="9"/>
                <c:pt idx="0">
                  <c:v>A Tráviaci trakt</c:v>
                </c:pt>
                <c:pt idx="1">
                  <c:v>B Krv a krvotvor.org.</c:v>
                </c:pt>
                <c:pt idx="2">
                  <c:v>C Kardiovask. sys.</c:v>
                </c:pt>
                <c:pt idx="3">
                  <c:v>G Urogen.t. a pohl. horm.</c:v>
                </c:pt>
                <c:pt idx="4">
                  <c:v>H Hormóny okrem pohl.</c:v>
                </c:pt>
                <c:pt idx="5">
                  <c:v>J Antiinfektíva</c:v>
                </c:pt>
                <c:pt idx="6">
                  <c:v>M Muskuloskel. sys.</c:v>
                </c:pt>
                <c:pt idx="7">
                  <c:v>N Nervový sys.</c:v>
                </c:pt>
                <c:pt idx="8">
                  <c:v>R Respiračný sys.</c:v>
                </c:pt>
              </c:strCache>
            </c:strRef>
          </c:cat>
          <c:val>
            <c:numRef>
              <c:f>'UHP vypocty'!$B$42:$B$50</c:f>
              <c:numCache>
                <c:formatCode>General</c:formatCode>
                <c:ptCount val="9"/>
                <c:pt idx="0">
                  <c:v>271</c:v>
                </c:pt>
                <c:pt idx="1">
                  <c:v>289</c:v>
                </c:pt>
                <c:pt idx="2">
                  <c:v>551.70000000000005</c:v>
                </c:pt>
                <c:pt idx="3">
                  <c:v>59.6</c:v>
                </c:pt>
                <c:pt idx="4">
                  <c:v>38.5</c:v>
                </c:pt>
                <c:pt idx="5">
                  <c:v>23.3</c:v>
                </c:pt>
                <c:pt idx="6">
                  <c:v>71.5</c:v>
                </c:pt>
                <c:pt idx="7">
                  <c:v>163.80000000000001</c:v>
                </c:pt>
                <c:pt idx="8">
                  <c:v>132</c:v>
                </c:pt>
              </c:numCache>
            </c:numRef>
          </c:val>
        </c:ser>
        <c:ser>
          <c:idx val="1"/>
          <c:order val="1"/>
          <c:tx>
            <c:strRef>
              <c:f>'UHP vypocty'!$C$41</c:f>
              <c:strCache>
                <c:ptCount val="1"/>
                <c:pt idx="0">
                  <c:v>CZ</c:v>
                </c:pt>
              </c:strCache>
            </c:strRef>
          </c:tx>
          <c:spPr>
            <a:solidFill>
              <a:schemeClr val="dk1">
                <a:tint val="55000"/>
              </a:schemeClr>
            </a:solidFill>
            <a:ln>
              <a:noFill/>
            </a:ln>
            <a:effectLst/>
          </c:spPr>
          <c:invertIfNegative val="0"/>
          <c:cat>
            <c:strRef>
              <c:f>'UHP vypocty'!$A$42:$A$50</c:f>
              <c:strCache>
                <c:ptCount val="9"/>
                <c:pt idx="0">
                  <c:v>A Tráviaci trakt</c:v>
                </c:pt>
                <c:pt idx="1">
                  <c:v>B Krv a krvotvor.org.</c:v>
                </c:pt>
                <c:pt idx="2">
                  <c:v>C Kardiovask. sys.</c:v>
                </c:pt>
                <c:pt idx="3">
                  <c:v>G Urogen.t. a pohl. horm.</c:v>
                </c:pt>
                <c:pt idx="4">
                  <c:v>H Hormóny okrem pohl.</c:v>
                </c:pt>
                <c:pt idx="5">
                  <c:v>J Antiinfektíva</c:v>
                </c:pt>
                <c:pt idx="6">
                  <c:v>M Muskuloskel. sys.</c:v>
                </c:pt>
                <c:pt idx="7">
                  <c:v>N Nervový sys.</c:v>
                </c:pt>
                <c:pt idx="8">
                  <c:v>R Respiračný sys.</c:v>
                </c:pt>
              </c:strCache>
            </c:strRef>
          </c:cat>
          <c:val>
            <c:numRef>
              <c:f>'UHP vypocty'!$C$42:$C$50</c:f>
              <c:numCache>
                <c:formatCode>General</c:formatCode>
                <c:ptCount val="9"/>
                <c:pt idx="0">
                  <c:v>283.89999999999998</c:v>
                </c:pt>
                <c:pt idx="1">
                  <c:v>198.1</c:v>
                </c:pt>
                <c:pt idx="2">
                  <c:v>612.6</c:v>
                </c:pt>
                <c:pt idx="3">
                  <c:v>101.9</c:v>
                </c:pt>
                <c:pt idx="4">
                  <c:v>53.6</c:v>
                </c:pt>
                <c:pt idx="5">
                  <c:v>20.7</c:v>
                </c:pt>
                <c:pt idx="6">
                  <c:v>82.8</c:v>
                </c:pt>
                <c:pt idx="7">
                  <c:v>169.9</c:v>
                </c:pt>
                <c:pt idx="8">
                  <c:v>146.9</c:v>
                </c:pt>
              </c:numCache>
            </c:numRef>
          </c:val>
        </c:ser>
        <c:ser>
          <c:idx val="2"/>
          <c:order val="2"/>
          <c:tx>
            <c:strRef>
              <c:f>'UHP vypocty'!$D$41</c:f>
              <c:strCache>
                <c:ptCount val="1"/>
                <c:pt idx="0">
                  <c:v>EU*</c:v>
                </c:pt>
              </c:strCache>
            </c:strRef>
          </c:tx>
          <c:spPr>
            <a:solidFill>
              <a:schemeClr val="dk1">
                <a:tint val="75000"/>
              </a:schemeClr>
            </a:solidFill>
            <a:ln>
              <a:noFill/>
            </a:ln>
            <a:effectLst/>
          </c:spPr>
          <c:invertIfNegative val="0"/>
          <c:cat>
            <c:strRef>
              <c:f>'UHP vypocty'!$A$42:$A$50</c:f>
              <c:strCache>
                <c:ptCount val="9"/>
                <c:pt idx="0">
                  <c:v>A Tráviaci trakt</c:v>
                </c:pt>
                <c:pt idx="1">
                  <c:v>B Krv a krvotvor.org.</c:v>
                </c:pt>
                <c:pt idx="2">
                  <c:v>C Kardiovask. sys.</c:v>
                </c:pt>
                <c:pt idx="3">
                  <c:v>G Urogen.t. a pohl. horm.</c:v>
                </c:pt>
                <c:pt idx="4">
                  <c:v>H Hormóny okrem pohl.</c:v>
                </c:pt>
                <c:pt idx="5">
                  <c:v>J Antiinfektíva</c:v>
                </c:pt>
                <c:pt idx="6">
                  <c:v>M Muskuloskel. sys.</c:v>
                </c:pt>
                <c:pt idx="7">
                  <c:v>N Nervový sys.</c:v>
                </c:pt>
                <c:pt idx="8">
                  <c:v>R Respiračný sys.</c:v>
                </c:pt>
              </c:strCache>
            </c:strRef>
          </c:cat>
          <c:val>
            <c:numRef>
              <c:f>'UHP vypocty'!$D$42:$D$50</c:f>
              <c:numCache>
                <c:formatCode>General</c:formatCode>
                <c:ptCount val="9"/>
                <c:pt idx="0">
                  <c:v>249.85</c:v>
                </c:pt>
                <c:pt idx="1">
                  <c:v>187.39999999999998</c:v>
                </c:pt>
                <c:pt idx="2">
                  <c:v>502.29999999999995</c:v>
                </c:pt>
                <c:pt idx="3">
                  <c:v>75.925000000000011</c:v>
                </c:pt>
                <c:pt idx="4">
                  <c:v>41.375</c:v>
                </c:pt>
                <c:pt idx="5">
                  <c:v>21.625</c:v>
                </c:pt>
                <c:pt idx="6">
                  <c:v>68.774999999999991</c:v>
                </c:pt>
                <c:pt idx="7">
                  <c:v>168.5</c:v>
                </c:pt>
                <c:pt idx="8">
                  <c:v>115.42500000000001</c:v>
                </c:pt>
              </c:numCache>
            </c:numRef>
          </c:val>
        </c:ser>
        <c:dLbls>
          <c:showLegendKey val="0"/>
          <c:showVal val="0"/>
          <c:showCatName val="0"/>
          <c:showSerName val="0"/>
          <c:showPercent val="0"/>
          <c:showBubbleSize val="0"/>
        </c:dLbls>
        <c:gapWidth val="219"/>
        <c:overlap val="-27"/>
        <c:axId val="473693128"/>
        <c:axId val="473693520"/>
        <c:extLst>
          <c:ext xmlns:c15="http://schemas.microsoft.com/office/drawing/2012/chart" uri="{02D57815-91ED-43cb-92C2-25804820EDAC}">
            <c15:filteredBarSeries>
              <c15:ser>
                <c:idx val="3"/>
                <c:order val="3"/>
                <c:tx>
                  <c:strRef>
                    <c:extLst>
                      <c:ext uri="{02D57815-91ED-43cb-92C2-25804820EDAC}">
                        <c15:formulaRef>
                          <c15:sqref>'UHP vypocty'!$E$41</c15:sqref>
                        </c15:formulaRef>
                      </c:ext>
                    </c:extLst>
                    <c:strCache>
                      <c:ptCount val="1"/>
                      <c:pt idx="0">
                        <c:v>OECD*</c:v>
                      </c:pt>
                    </c:strCache>
                  </c:strRef>
                </c:tx>
                <c:spPr>
                  <a:solidFill>
                    <a:schemeClr val="dk1">
                      <a:tint val="98500"/>
                    </a:schemeClr>
                  </a:solidFill>
                  <a:ln>
                    <a:noFill/>
                  </a:ln>
                  <a:effectLst/>
                </c:spPr>
                <c:invertIfNegative val="0"/>
                <c:cat>
                  <c:strRef>
                    <c:extLst>
                      <c:ext uri="{02D57815-91ED-43cb-92C2-25804820EDAC}">
                        <c15:formulaRef>
                          <c15:sqref>'UHP vypocty'!$A$42:$A$50</c15:sqref>
                        </c15:formulaRef>
                      </c:ext>
                    </c:extLst>
                    <c:strCache>
                      <c:ptCount val="9"/>
                      <c:pt idx="0">
                        <c:v>A Tráviaci trakt</c:v>
                      </c:pt>
                      <c:pt idx="1">
                        <c:v>B Krv a krvotvor.org.</c:v>
                      </c:pt>
                      <c:pt idx="2">
                        <c:v>C Kardiovask. sys.</c:v>
                      </c:pt>
                      <c:pt idx="3">
                        <c:v>G Urogen.t. a pohl. horm.</c:v>
                      </c:pt>
                      <c:pt idx="4">
                        <c:v>H Hormóny okrem pohl.</c:v>
                      </c:pt>
                      <c:pt idx="5">
                        <c:v>J Antiinfektíva</c:v>
                      </c:pt>
                      <c:pt idx="6">
                        <c:v>M Muskuloskel. sys.</c:v>
                      </c:pt>
                      <c:pt idx="7">
                        <c:v>N Nervový sys.</c:v>
                      </c:pt>
                      <c:pt idx="8">
                        <c:v>R Respiračný sys.</c:v>
                      </c:pt>
                    </c:strCache>
                  </c:strRef>
                </c:cat>
                <c:val>
                  <c:numRef>
                    <c:extLst>
                      <c:ext uri="{02D57815-91ED-43cb-92C2-25804820EDAC}">
                        <c15:formulaRef>
                          <c15:sqref>'UHP vypocty'!$E$42:$E$50</c15:sqref>
                        </c15:formulaRef>
                      </c:ext>
                    </c:extLst>
                    <c:numCache>
                      <c:formatCode>General</c:formatCode>
                      <c:ptCount val="9"/>
                      <c:pt idx="0">
                        <c:v>278.44285714285712</c:v>
                      </c:pt>
                      <c:pt idx="1">
                        <c:v>166.42857142857142</c:v>
                      </c:pt>
                      <c:pt idx="2">
                        <c:v>434.09999999999997</c:v>
                      </c:pt>
                      <c:pt idx="3">
                        <c:v>81.528571428571439</c:v>
                      </c:pt>
                      <c:pt idx="4">
                        <c:v>42.728571428571421</c:v>
                      </c:pt>
                      <c:pt idx="5">
                        <c:v>25.24285714285714</c:v>
                      </c:pt>
                      <c:pt idx="6">
                        <c:v>71.899999999999991</c:v>
                      </c:pt>
                      <c:pt idx="7">
                        <c:v>201.44285714285712</c:v>
                      </c:pt>
                      <c:pt idx="8">
                        <c:v>131.47142857142859</c:v>
                      </c:pt>
                    </c:numCache>
                  </c:numRef>
                </c:val>
              </c15:ser>
            </c15:filteredBarSeries>
          </c:ext>
        </c:extLst>
      </c:barChart>
      <c:lineChart>
        <c:grouping val="standard"/>
        <c:varyColors val="0"/>
        <c:ser>
          <c:idx val="4"/>
          <c:order val="4"/>
          <c:tx>
            <c:strRef>
              <c:f>'UHP vypocty'!$H$41</c:f>
              <c:strCache>
                <c:ptCount val="1"/>
                <c:pt idx="0">
                  <c:v>pomer SK/CZ (pravá os)</c:v>
                </c:pt>
              </c:strCache>
            </c:strRef>
          </c:tx>
          <c:spPr>
            <a:ln w="28575" cap="rnd">
              <a:noFill/>
              <a:round/>
            </a:ln>
            <a:effectLst/>
          </c:spPr>
          <c:marker>
            <c:symbol val="triangle"/>
            <c:size val="8"/>
            <c:spPr>
              <a:solidFill>
                <a:schemeClr val="dk1">
                  <a:tint val="30000"/>
                </a:schemeClr>
              </a:solidFill>
              <a:ln w="9525">
                <a:solidFill>
                  <a:schemeClr val="dk1">
                    <a:tint val="30000"/>
                  </a:schemeClr>
                </a:solidFill>
              </a:ln>
              <a:effectLst/>
            </c:spPr>
          </c:marker>
          <c:val>
            <c:numRef>
              <c:f>'UHP vypocty'!$H$42:$H$50</c:f>
              <c:numCache>
                <c:formatCode>0.00</c:formatCode>
                <c:ptCount val="9"/>
                <c:pt idx="0">
                  <c:v>0.95456146530468478</c:v>
                </c:pt>
                <c:pt idx="1">
                  <c:v>1.458859162039374</c:v>
                </c:pt>
                <c:pt idx="2">
                  <c:v>0.90058765915768857</c:v>
                </c:pt>
                <c:pt idx="3">
                  <c:v>0.58488714425907751</c:v>
                </c:pt>
                <c:pt idx="4">
                  <c:v>0.71828358208955223</c:v>
                </c:pt>
                <c:pt idx="5">
                  <c:v>1.1256038647342996</c:v>
                </c:pt>
                <c:pt idx="6">
                  <c:v>0.86352657004830924</c:v>
                </c:pt>
                <c:pt idx="7">
                  <c:v>0.96409652736904061</c:v>
                </c:pt>
                <c:pt idx="8">
                  <c:v>0.89857045609257991</c:v>
                </c:pt>
              </c:numCache>
            </c:numRef>
          </c:val>
          <c:smooth val="0"/>
        </c:ser>
        <c:ser>
          <c:idx val="5"/>
          <c:order val="5"/>
          <c:tx>
            <c:strRef>
              <c:f>'UHP vypocty'!$I$41</c:f>
              <c:strCache>
                <c:ptCount val="1"/>
                <c:pt idx="0">
                  <c:v>pomer SK/EU* (pravá os)</c:v>
                </c:pt>
              </c:strCache>
            </c:strRef>
          </c:tx>
          <c:spPr>
            <a:ln w="28575" cap="rnd">
              <a:noFill/>
              <a:round/>
            </a:ln>
            <a:effectLst/>
          </c:spPr>
          <c:marker>
            <c:symbol val="triangle"/>
            <c:size val="8"/>
            <c:spPr>
              <a:solidFill>
                <a:schemeClr val="dk1">
                  <a:tint val="60000"/>
                </a:schemeClr>
              </a:solidFill>
              <a:ln w="9525">
                <a:solidFill>
                  <a:schemeClr val="dk1">
                    <a:tint val="60000"/>
                  </a:schemeClr>
                </a:solidFill>
              </a:ln>
              <a:effectLst/>
            </c:spPr>
          </c:marker>
          <c:val>
            <c:numRef>
              <c:f>'UHP vypocty'!$I$42:$I$50</c:f>
              <c:numCache>
                <c:formatCode>0.00</c:formatCode>
                <c:ptCount val="9"/>
                <c:pt idx="0">
                  <c:v>1.0846507904742846</c:v>
                </c:pt>
                <c:pt idx="1">
                  <c:v>1.5421558164354323</c:v>
                </c:pt>
                <c:pt idx="2">
                  <c:v>1.098347601035238</c:v>
                </c:pt>
                <c:pt idx="3">
                  <c:v>0.78498518274613094</c:v>
                </c:pt>
                <c:pt idx="4">
                  <c:v>0.93051359516616317</c:v>
                </c:pt>
                <c:pt idx="5">
                  <c:v>1.0774566473988441</c:v>
                </c:pt>
                <c:pt idx="6">
                  <c:v>1.0396219556524902</c:v>
                </c:pt>
                <c:pt idx="7">
                  <c:v>0.97210682492581613</c:v>
                </c:pt>
                <c:pt idx="8">
                  <c:v>1.1435997400909681</c:v>
                </c:pt>
              </c:numCache>
            </c:numRef>
          </c:val>
          <c:smooth val="0"/>
        </c:ser>
        <c:dLbls>
          <c:showLegendKey val="0"/>
          <c:showVal val="0"/>
          <c:showCatName val="0"/>
          <c:showSerName val="0"/>
          <c:showPercent val="0"/>
          <c:showBubbleSize val="0"/>
        </c:dLbls>
        <c:marker val="1"/>
        <c:smooth val="0"/>
        <c:axId val="473694304"/>
        <c:axId val="473693912"/>
      </c:lineChart>
      <c:catAx>
        <c:axId val="473693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473693520"/>
        <c:crosses val="autoZero"/>
        <c:auto val="1"/>
        <c:lblAlgn val="ctr"/>
        <c:lblOffset val="100"/>
        <c:noMultiLvlLbl val="0"/>
      </c:catAx>
      <c:valAx>
        <c:axId val="473693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700" b="0" i="0" u="none" strike="noStrike" kern="1200" baseline="0">
                    <a:solidFill>
                      <a:schemeClr val="tx1">
                        <a:lumMod val="65000"/>
                        <a:lumOff val="35000"/>
                      </a:schemeClr>
                    </a:solidFill>
                    <a:latin typeface="Arial Narrow" panose="020B0606020202030204" pitchFamily="34" charset="0"/>
                    <a:ea typeface="+mn-ea"/>
                    <a:cs typeface="+mn-cs"/>
                  </a:defRPr>
                </a:pPr>
                <a:r>
                  <a:rPr lang="sk-SK"/>
                  <a:t>DDD </a:t>
                </a:r>
              </a:p>
              <a:p>
                <a:pPr>
                  <a:defRPr/>
                </a:pPr>
                <a:r>
                  <a:rPr lang="sk-SK"/>
                  <a:t>na 1000 ob. </a:t>
                </a:r>
              </a:p>
              <a:p>
                <a:pPr>
                  <a:defRPr/>
                </a:pPr>
                <a:r>
                  <a:rPr lang="sk-SK"/>
                  <a:t>na deň</a:t>
                </a:r>
              </a:p>
            </c:rich>
          </c:tx>
          <c:layout>
            <c:manualLayout>
              <c:xMode val="edge"/>
              <c:yMode val="edge"/>
              <c:x val="1.4744130214213247E-3"/>
              <c:y val="2.0708477014143734E-3"/>
            </c:manualLayout>
          </c:layout>
          <c:overlay val="0"/>
          <c:spPr>
            <a:noFill/>
            <a:ln>
              <a:noFill/>
            </a:ln>
            <a:effectLst/>
          </c:spPr>
          <c:txPr>
            <a:bodyPr rot="0" spcFirstLastPara="1" vertOverflow="ellipsis" wrap="square" anchor="ctr" anchorCtr="1"/>
            <a:lstStyle/>
            <a:p>
              <a:pPr>
                <a:defRPr sz="7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473693128"/>
        <c:crosses val="autoZero"/>
        <c:crossBetween val="between"/>
      </c:valAx>
      <c:valAx>
        <c:axId val="473693912"/>
        <c:scaling>
          <c:orientation val="minMax"/>
        </c:scaling>
        <c:delete val="0"/>
        <c:axPos val="r"/>
        <c:title>
          <c:tx>
            <c:rich>
              <a:bodyPr rot="0" spcFirstLastPara="1" vertOverflow="ellipsis" wrap="square" anchor="ctr" anchorCtr="1"/>
              <a:lstStyle/>
              <a:p>
                <a:pPr>
                  <a:defRPr sz="700" b="0" i="0" u="none" strike="noStrike" kern="1200" baseline="0">
                    <a:solidFill>
                      <a:schemeClr val="tx1">
                        <a:lumMod val="65000"/>
                        <a:lumOff val="35000"/>
                      </a:schemeClr>
                    </a:solidFill>
                    <a:latin typeface="Arial Narrow" panose="020B0606020202030204" pitchFamily="34" charset="0"/>
                    <a:ea typeface="+mn-ea"/>
                    <a:cs typeface="+mn-cs"/>
                  </a:defRPr>
                </a:pPr>
                <a:r>
                  <a:rPr lang="sk-SK"/>
                  <a:t>%</a:t>
                </a:r>
              </a:p>
            </c:rich>
          </c:tx>
          <c:layout>
            <c:manualLayout>
              <c:xMode val="edge"/>
              <c:yMode val="edge"/>
              <c:x val="0.95404494363716641"/>
              <c:y val="4.4806653266702315E-2"/>
            </c:manualLayout>
          </c:layout>
          <c:overlay val="0"/>
          <c:spPr>
            <a:noFill/>
            <a:ln>
              <a:noFill/>
            </a:ln>
            <a:effectLst/>
          </c:spPr>
          <c:txPr>
            <a:bodyPr rot="0" spcFirstLastPara="1" vertOverflow="ellipsis" wrap="square" anchor="ctr" anchorCtr="1"/>
            <a:lstStyle/>
            <a:p>
              <a:pPr>
                <a:defRPr sz="7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473694304"/>
        <c:crosses val="max"/>
        <c:crossBetween val="between"/>
      </c:valAx>
      <c:catAx>
        <c:axId val="473694304"/>
        <c:scaling>
          <c:orientation val="minMax"/>
        </c:scaling>
        <c:delete val="1"/>
        <c:axPos val="b"/>
        <c:majorTickMark val="out"/>
        <c:minorTickMark val="none"/>
        <c:tickLblPos val="nextTo"/>
        <c:crossAx val="473693912"/>
        <c:crosses val="autoZero"/>
        <c:auto val="1"/>
        <c:lblAlgn val="ctr"/>
        <c:lblOffset val="100"/>
        <c:noMultiLvlLbl val="0"/>
      </c:catAx>
      <c:spPr>
        <a:noFill/>
        <a:ln>
          <a:noFill/>
        </a:ln>
        <a:effectLst/>
      </c:spPr>
    </c:plotArea>
    <c:legend>
      <c:legendPos val="b"/>
      <c:layout>
        <c:manualLayout>
          <c:xMode val="edge"/>
          <c:yMode val="edge"/>
          <c:x val="9.288766308930221E-5"/>
          <c:y val="0.88099245790997438"/>
          <c:w val="0.99981422467382142"/>
          <c:h val="9.0904497593538511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Arial Narrow" panose="020B0606020202030204" pitchFamily="34" charset="0"/>
        </a:defRPr>
      </a:pPr>
      <a:endParaRPr lang="sk-SK"/>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5"/>
          <c:order val="0"/>
          <c:tx>
            <c:strRef>
              <c:f>'grafy CT, MR'!$B$5</c:f>
              <c:strCache>
                <c:ptCount val="1"/>
                <c:pt idx="0">
                  <c:v>Počet výkonov (v tis.)</c:v>
                </c:pt>
              </c:strCache>
            </c:strRef>
          </c:tx>
          <c:spPr>
            <a:solidFill>
              <a:sysClr val="window" lastClr="FFFFFF">
                <a:lumMod val="65000"/>
              </a:sysClr>
            </a:solidFill>
            <a:ln>
              <a:noFill/>
            </a:ln>
          </c:spPr>
          <c:invertIfNegative val="0"/>
          <c:dLbls>
            <c:numFmt formatCode="#,##0" sourceLinked="0"/>
            <c:spPr>
              <a:noFill/>
              <a:ln>
                <a:noFill/>
              </a:ln>
              <a:effectLst/>
            </c:spPr>
            <c:txPr>
              <a:bodyPr/>
              <a:lstStyle/>
              <a:p>
                <a:pPr>
                  <a:defRPr sz="700" b="1"/>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'grafy CT, MR'!$C$2:$I$2</c:f>
              <c:numCache>
                <c:formatCode>General</c:formatCode>
                <c:ptCount val="7"/>
                <c:pt idx="0">
                  <c:v>2010</c:v>
                </c:pt>
                <c:pt idx="1">
                  <c:v>2011</c:v>
                </c:pt>
                <c:pt idx="2">
                  <c:v>2012</c:v>
                </c:pt>
                <c:pt idx="3">
                  <c:v>2013</c:v>
                </c:pt>
                <c:pt idx="4">
                  <c:v>2014</c:v>
                </c:pt>
                <c:pt idx="5">
                  <c:v>2015</c:v>
                </c:pt>
                <c:pt idx="6">
                  <c:v>2016</c:v>
                </c:pt>
              </c:numCache>
            </c:numRef>
          </c:cat>
          <c:val>
            <c:numRef>
              <c:f>'grafy CT, MR'!$C$5:$I$5</c:f>
              <c:numCache>
                <c:formatCode>#,##0</c:formatCode>
                <c:ptCount val="7"/>
                <c:pt idx="0">
                  <c:v>484189</c:v>
                </c:pt>
                <c:pt idx="1">
                  <c:v>534783</c:v>
                </c:pt>
                <c:pt idx="2">
                  <c:v>581657</c:v>
                </c:pt>
                <c:pt idx="3">
                  <c:v>664550</c:v>
                </c:pt>
                <c:pt idx="4">
                  <c:v>730390</c:v>
                </c:pt>
                <c:pt idx="5">
                  <c:v>847209</c:v>
                </c:pt>
                <c:pt idx="6">
                  <c:v>881271</c:v>
                </c:pt>
              </c:numCache>
            </c:numRef>
          </c:val>
        </c:ser>
        <c:dLbls>
          <c:showLegendKey val="0"/>
          <c:showVal val="1"/>
          <c:showCatName val="0"/>
          <c:showSerName val="0"/>
          <c:showPercent val="0"/>
          <c:showBubbleSize val="0"/>
        </c:dLbls>
        <c:gapWidth val="75"/>
        <c:axId val="473695088"/>
        <c:axId val="473695480"/>
      </c:barChart>
      <c:lineChart>
        <c:grouping val="standard"/>
        <c:varyColors val="0"/>
        <c:ser>
          <c:idx val="8"/>
          <c:order val="1"/>
          <c:tx>
            <c:strRef>
              <c:f>'grafy CT, MR'!$B$6</c:f>
              <c:strCache>
                <c:ptCount val="1"/>
                <c:pt idx="0">
                  <c:v>Rast (v %)</c:v>
                </c:pt>
              </c:strCache>
            </c:strRef>
          </c:tx>
          <c:spPr>
            <a:ln>
              <a:solidFill>
                <a:srgbClr val="E7E6E6">
                  <a:lumMod val="25000"/>
                </a:srgbClr>
              </a:solidFill>
            </a:ln>
          </c:spPr>
          <c:marker>
            <c:symbol val="none"/>
          </c:marker>
          <c:dLbls>
            <c:delete val="1"/>
          </c:dLbls>
          <c:cat>
            <c:numRef>
              <c:f>'grafy CT, MR'!$C$2:$I$2</c:f>
              <c:numCache>
                <c:formatCode>General</c:formatCode>
                <c:ptCount val="7"/>
                <c:pt idx="0">
                  <c:v>2010</c:v>
                </c:pt>
                <c:pt idx="1">
                  <c:v>2011</c:v>
                </c:pt>
                <c:pt idx="2">
                  <c:v>2012</c:v>
                </c:pt>
                <c:pt idx="3">
                  <c:v>2013</c:v>
                </c:pt>
                <c:pt idx="4">
                  <c:v>2014</c:v>
                </c:pt>
                <c:pt idx="5">
                  <c:v>2015</c:v>
                </c:pt>
                <c:pt idx="6">
                  <c:v>2016</c:v>
                </c:pt>
              </c:numCache>
            </c:numRef>
          </c:cat>
          <c:val>
            <c:numRef>
              <c:f>'grafy CT, MR'!$C$6:$I$6</c:f>
              <c:numCache>
                <c:formatCode>0.0%</c:formatCode>
                <c:ptCount val="7"/>
                <c:pt idx="1">
                  <c:v>0.10449225405781627</c:v>
                </c:pt>
                <c:pt idx="2">
                  <c:v>8.7650504971175228E-2</c:v>
                </c:pt>
                <c:pt idx="3">
                  <c:v>0.1425118239787366</c:v>
                </c:pt>
                <c:pt idx="4">
                  <c:v>9.9074561733503874E-2</c:v>
                </c:pt>
                <c:pt idx="5">
                  <c:v>0.15994057969030245</c:v>
                </c:pt>
                <c:pt idx="6">
                  <c:v>4.0204955329794657E-2</c:v>
                </c:pt>
              </c:numCache>
            </c:numRef>
          </c:val>
          <c:smooth val="0"/>
        </c:ser>
        <c:dLbls>
          <c:showLegendKey val="0"/>
          <c:showVal val="1"/>
          <c:showCatName val="0"/>
          <c:showSerName val="0"/>
          <c:showPercent val="0"/>
          <c:showBubbleSize val="0"/>
        </c:dLbls>
        <c:marker val="1"/>
        <c:smooth val="0"/>
        <c:axId val="473696264"/>
        <c:axId val="473695872"/>
      </c:lineChart>
      <c:catAx>
        <c:axId val="473695088"/>
        <c:scaling>
          <c:orientation val="minMax"/>
        </c:scaling>
        <c:delete val="0"/>
        <c:axPos val="b"/>
        <c:numFmt formatCode="General" sourceLinked="1"/>
        <c:majorTickMark val="none"/>
        <c:minorTickMark val="none"/>
        <c:tickLblPos val="low"/>
        <c:txPr>
          <a:bodyPr/>
          <a:lstStyle/>
          <a:p>
            <a:pPr>
              <a:defRPr sz="700"/>
            </a:pPr>
            <a:endParaRPr lang="sk-SK"/>
          </a:p>
        </c:txPr>
        <c:crossAx val="473695480"/>
        <c:crosses val="autoZero"/>
        <c:auto val="1"/>
        <c:lblAlgn val="ctr"/>
        <c:lblOffset val="100"/>
        <c:noMultiLvlLbl val="0"/>
      </c:catAx>
      <c:valAx>
        <c:axId val="473695480"/>
        <c:scaling>
          <c:orientation val="minMax"/>
        </c:scaling>
        <c:delete val="0"/>
        <c:axPos val="l"/>
        <c:numFmt formatCode="#,##0" sourceLinked="0"/>
        <c:majorTickMark val="none"/>
        <c:minorTickMark val="none"/>
        <c:tickLblPos val="nextTo"/>
        <c:txPr>
          <a:bodyPr/>
          <a:lstStyle/>
          <a:p>
            <a:pPr>
              <a:defRPr sz="700"/>
            </a:pPr>
            <a:endParaRPr lang="sk-SK"/>
          </a:p>
        </c:txPr>
        <c:crossAx val="473695088"/>
        <c:crosses val="autoZero"/>
        <c:crossBetween val="between"/>
        <c:dispUnits>
          <c:builtInUnit val="thousands"/>
        </c:dispUnits>
      </c:valAx>
      <c:valAx>
        <c:axId val="473695872"/>
        <c:scaling>
          <c:orientation val="minMax"/>
          <c:max val="0.22000000000000003"/>
          <c:min val="2.0000000000000004E-2"/>
        </c:scaling>
        <c:delete val="0"/>
        <c:axPos val="r"/>
        <c:numFmt formatCode="0%" sourceLinked="0"/>
        <c:majorTickMark val="out"/>
        <c:minorTickMark val="none"/>
        <c:tickLblPos val="nextTo"/>
        <c:txPr>
          <a:bodyPr/>
          <a:lstStyle/>
          <a:p>
            <a:pPr>
              <a:defRPr sz="700"/>
            </a:pPr>
            <a:endParaRPr lang="sk-SK"/>
          </a:p>
        </c:txPr>
        <c:crossAx val="473696264"/>
        <c:crosses val="max"/>
        <c:crossBetween val="between"/>
      </c:valAx>
      <c:catAx>
        <c:axId val="473696264"/>
        <c:scaling>
          <c:orientation val="minMax"/>
        </c:scaling>
        <c:delete val="1"/>
        <c:axPos val="b"/>
        <c:numFmt formatCode="General" sourceLinked="1"/>
        <c:majorTickMark val="out"/>
        <c:minorTickMark val="none"/>
        <c:tickLblPos val="nextTo"/>
        <c:crossAx val="473695872"/>
        <c:crosses val="autoZero"/>
        <c:auto val="1"/>
        <c:lblAlgn val="ctr"/>
        <c:lblOffset val="100"/>
        <c:noMultiLvlLbl val="0"/>
      </c:catAx>
    </c:plotArea>
    <c:legend>
      <c:legendPos val="b"/>
      <c:overlay val="0"/>
      <c:txPr>
        <a:bodyPr/>
        <a:lstStyle/>
        <a:p>
          <a:pPr>
            <a:defRPr sz="700"/>
          </a:pPr>
          <a:endParaRPr lang="sk-SK"/>
        </a:p>
      </c:txPr>
    </c:legend>
    <c:plotVisOnly val="1"/>
    <c:dispBlanksAs val="gap"/>
    <c:showDLblsOverMax val="0"/>
  </c:chart>
  <c:spPr>
    <a:ln>
      <a:noFill/>
    </a:ln>
  </c:spPr>
  <c:txPr>
    <a:bodyPr/>
    <a:lstStyle/>
    <a:p>
      <a:pPr>
        <a:defRPr sz="900">
          <a:latin typeface="Arial Narrow" panose="020B0606020202030204" pitchFamily="34" charset="0"/>
        </a:defRPr>
      </a:pPr>
      <a:endParaRPr lang="sk-SK"/>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5"/>
          <c:order val="0"/>
          <c:tx>
            <c:strRef>
              <c:f>'grafy CT, MR'!$B$9</c:f>
              <c:strCache>
                <c:ptCount val="1"/>
                <c:pt idx="0">
                  <c:v>Počet výkonov (v tis.)</c:v>
                </c:pt>
              </c:strCache>
            </c:strRef>
          </c:tx>
          <c:spPr>
            <a:solidFill>
              <a:sysClr val="window" lastClr="FFFFFF">
                <a:lumMod val="65000"/>
              </a:sysClr>
            </a:solidFill>
          </c:spPr>
          <c:invertIfNegative val="0"/>
          <c:dLbls>
            <c:dLbl>
              <c:idx val="2"/>
              <c:layout>
                <c:manualLayout>
                  <c:x val="0"/>
                  <c:y val="-2.5485093319289442E-2"/>
                </c:manualLayout>
              </c:layout>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txPr>
              <a:bodyPr/>
              <a:lstStyle/>
              <a:p>
                <a:pPr>
                  <a:defRPr sz="700" b="1"/>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'grafy CT, MR'!$C$2:$I$2</c:f>
              <c:numCache>
                <c:formatCode>General</c:formatCode>
                <c:ptCount val="7"/>
                <c:pt idx="0">
                  <c:v>2010</c:v>
                </c:pt>
                <c:pt idx="1">
                  <c:v>2011</c:v>
                </c:pt>
                <c:pt idx="2">
                  <c:v>2012</c:v>
                </c:pt>
                <c:pt idx="3">
                  <c:v>2013</c:v>
                </c:pt>
                <c:pt idx="4">
                  <c:v>2014</c:v>
                </c:pt>
                <c:pt idx="5">
                  <c:v>2015</c:v>
                </c:pt>
                <c:pt idx="6">
                  <c:v>2016</c:v>
                </c:pt>
              </c:numCache>
            </c:numRef>
          </c:cat>
          <c:val>
            <c:numRef>
              <c:f>'grafy CT, MR'!$C$9:$I$9</c:f>
              <c:numCache>
                <c:formatCode>#,##0</c:formatCode>
                <c:ptCount val="7"/>
                <c:pt idx="0">
                  <c:v>180390</c:v>
                </c:pt>
                <c:pt idx="1">
                  <c:v>187420</c:v>
                </c:pt>
                <c:pt idx="2">
                  <c:v>220966</c:v>
                </c:pt>
                <c:pt idx="3">
                  <c:v>250501</c:v>
                </c:pt>
                <c:pt idx="4">
                  <c:v>279562</c:v>
                </c:pt>
                <c:pt idx="5">
                  <c:v>307935</c:v>
                </c:pt>
                <c:pt idx="6">
                  <c:v>333599</c:v>
                </c:pt>
              </c:numCache>
            </c:numRef>
          </c:val>
        </c:ser>
        <c:dLbls>
          <c:showLegendKey val="0"/>
          <c:showVal val="1"/>
          <c:showCatName val="0"/>
          <c:showSerName val="0"/>
          <c:showPercent val="0"/>
          <c:showBubbleSize val="0"/>
        </c:dLbls>
        <c:gapWidth val="75"/>
        <c:axId val="473910416"/>
        <c:axId val="473910808"/>
      </c:barChart>
      <c:lineChart>
        <c:grouping val="standard"/>
        <c:varyColors val="0"/>
        <c:ser>
          <c:idx val="8"/>
          <c:order val="1"/>
          <c:tx>
            <c:strRef>
              <c:f>'grafy CT, MR'!$B$10</c:f>
              <c:strCache>
                <c:ptCount val="1"/>
                <c:pt idx="0">
                  <c:v>Rast (v %)</c:v>
                </c:pt>
              </c:strCache>
            </c:strRef>
          </c:tx>
          <c:spPr>
            <a:ln>
              <a:solidFill>
                <a:srgbClr val="E7E6E6">
                  <a:lumMod val="25000"/>
                </a:srgbClr>
              </a:solidFill>
            </a:ln>
          </c:spPr>
          <c:marker>
            <c:symbol val="none"/>
          </c:marker>
          <c:dLbls>
            <c:delete val="1"/>
          </c:dLbls>
          <c:cat>
            <c:numRef>
              <c:f>'grafy CT, MR'!$C$2:$I$2</c:f>
              <c:numCache>
                <c:formatCode>General</c:formatCode>
                <c:ptCount val="7"/>
                <c:pt idx="0">
                  <c:v>2010</c:v>
                </c:pt>
                <c:pt idx="1">
                  <c:v>2011</c:v>
                </c:pt>
                <c:pt idx="2">
                  <c:v>2012</c:v>
                </c:pt>
                <c:pt idx="3">
                  <c:v>2013</c:v>
                </c:pt>
                <c:pt idx="4">
                  <c:v>2014</c:v>
                </c:pt>
                <c:pt idx="5">
                  <c:v>2015</c:v>
                </c:pt>
                <c:pt idx="6">
                  <c:v>2016</c:v>
                </c:pt>
              </c:numCache>
            </c:numRef>
          </c:cat>
          <c:val>
            <c:numRef>
              <c:f>'grafy CT, MR'!$C$10:$I$10</c:f>
              <c:numCache>
                <c:formatCode>0.0%</c:formatCode>
                <c:ptCount val="7"/>
                <c:pt idx="1">
                  <c:v>3.8971118132934197E-2</c:v>
                </c:pt>
                <c:pt idx="2">
                  <c:v>0.17898836837050475</c:v>
                </c:pt>
                <c:pt idx="3">
                  <c:v>0.1336630974901116</c:v>
                </c:pt>
                <c:pt idx="4">
                  <c:v>0.1160115129280921</c:v>
                </c:pt>
                <c:pt idx="5">
                  <c:v>0.10149090362781781</c:v>
                </c:pt>
                <c:pt idx="6">
                  <c:v>8.3342263789436086E-2</c:v>
                </c:pt>
              </c:numCache>
            </c:numRef>
          </c:val>
          <c:smooth val="0"/>
        </c:ser>
        <c:dLbls>
          <c:showLegendKey val="0"/>
          <c:showVal val="1"/>
          <c:showCatName val="0"/>
          <c:showSerName val="0"/>
          <c:showPercent val="0"/>
          <c:showBubbleSize val="0"/>
        </c:dLbls>
        <c:marker val="1"/>
        <c:smooth val="0"/>
        <c:axId val="473911592"/>
        <c:axId val="473911200"/>
      </c:lineChart>
      <c:catAx>
        <c:axId val="473910416"/>
        <c:scaling>
          <c:orientation val="minMax"/>
        </c:scaling>
        <c:delete val="0"/>
        <c:axPos val="b"/>
        <c:numFmt formatCode="General" sourceLinked="1"/>
        <c:majorTickMark val="none"/>
        <c:minorTickMark val="none"/>
        <c:tickLblPos val="low"/>
        <c:crossAx val="473910808"/>
        <c:crosses val="autoZero"/>
        <c:auto val="1"/>
        <c:lblAlgn val="ctr"/>
        <c:lblOffset val="100"/>
        <c:noMultiLvlLbl val="0"/>
      </c:catAx>
      <c:valAx>
        <c:axId val="473910808"/>
        <c:scaling>
          <c:orientation val="minMax"/>
        </c:scaling>
        <c:delete val="0"/>
        <c:axPos val="l"/>
        <c:numFmt formatCode="#,##0" sourceLinked="0"/>
        <c:majorTickMark val="none"/>
        <c:minorTickMark val="none"/>
        <c:tickLblPos val="nextTo"/>
        <c:txPr>
          <a:bodyPr/>
          <a:lstStyle/>
          <a:p>
            <a:pPr>
              <a:defRPr sz="700"/>
            </a:pPr>
            <a:endParaRPr lang="sk-SK"/>
          </a:p>
        </c:txPr>
        <c:crossAx val="473910416"/>
        <c:crosses val="autoZero"/>
        <c:crossBetween val="between"/>
        <c:dispUnits>
          <c:builtInUnit val="thousands"/>
        </c:dispUnits>
      </c:valAx>
      <c:valAx>
        <c:axId val="473911200"/>
        <c:scaling>
          <c:orientation val="minMax"/>
          <c:max val="0.28000000000000003"/>
          <c:min val="2.0000000000000004E-2"/>
        </c:scaling>
        <c:delete val="0"/>
        <c:axPos val="r"/>
        <c:numFmt formatCode="0%" sourceLinked="0"/>
        <c:majorTickMark val="out"/>
        <c:minorTickMark val="none"/>
        <c:tickLblPos val="nextTo"/>
        <c:txPr>
          <a:bodyPr/>
          <a:lstStyle/>
          <a:p>
            <a:pPr>
              <a:defRPr sz="700"/>
            </a:pPr>
            <a:endParaRPr lang="sk-SK"/>
          </a:p>
        </c:txPr>
        <c:crossAx val="473911592"/>
        <c:crosses val="max"/>
        <c:crossBetween val="between"/>
      </c:valAx>
      <c:catAx>
        <c:axId val="473911592"/>
        <c:scaling>
          <c:orientation val="minMax"/>
        </c:scaling>
        <c:delete val="1"/>
        <c:axPos val="b"/>
        <c:numFmt formatCode="General" sourceLinked="1"/>
        <c:majorTickMark val="out"/>
        <c:minorTickMark val="none"/>
        <c:tickLblPos val="nextTo"/>
        <c:crossAx val="473911200"/>
        <c:crosses val="autoZero"/>
        <c:auto val="1"/>
        <c:lblAlgn val="ctr"/>
        <c:lblOffset val="100"/>
        <c:noMultiLvlLbl val="0"/>
      </c:catAx>
    </c:plotArea>
    <c:legend>
      <c:legendPos val="b"/>
      <c:overlay val="0"/>
      <c:txPr>
        <a:bodyPr/>
        <a:lstStyle/>
        <a:p>
          <a:pPr>
            <a:defRPr sz="700"/>
          </a:pPr>
          <a:endParaRPr lang="sk-SK"/>
        </a:p>
      </c:txPr>
    </c:legend>
    <c:plotVisOnly val="1"/>
    <c:dispBlanksAs val="gap"/>
    <c:showDLblsOverMax val="0"/>
  </c:chart>
  <c:spPr>
    <a:ln>
      <a:noFill/>
    </a:ln>
  </c:spPr>
  <c:txPr>
    <a:bodyPr/>
    <a:lstStyle/>
    <a:p>
      <a:pPr>
        <a:defRPr sz="900">
          <a:latin typeface="Arial Narrow" panose="020B0606020202030204" pitchFamily="34" charset="0"/>
        </a:defRPr>
      </a:pPr>
      <a:endParaRPr lang="sk-SK"/>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863768358742392E-2"/>
          <c:y val="8.4437714516454654E-2"/>
          <c:w val="0.91819511922711794"/>
          <c:h val="0.78614141019699069"/>
        </c:manualLayout>
      </c:layout>
      <c:lineChart>
        <c:grouping val="standard"/>
        <c:varyColors val="0"/>
        <c:ser>
          <c:idx val="3"/>
          <c:order val="0"/>
          <c:tx>
            <c:strRef>
              <c:f>Hárok1!$A$5:$B$5</c:f>
              <c:strCache>
                <c:ptCount val="2"/>
                <c:pt idx="0">
                  <c:v>% z výdavkov</c:v>
                </c:pt>
                <c:pt idx="1">
                  <c:v>EU28</c:v>
                </c:pt>
              </c:strCache>
            </c:strRef>
          </c:tx>
          <c:spPr>
            <a:ln w="19050">
              <a:solidFill>
                <a:sysClr val="window" lastClr="FFFFFF">
                  <a:lumMod val="50000"/>
                </a:sysClr>
              </a:solidFill>
              <a:prstDash val="dash"/>
            </a:ln>
          </c:spPr>
          <c:marker>
            <c:symbol val="none"/>
          </c:marker>
          <c:cat>
            <c:numRef>
              <c:f>Hárok1!$C$4:$M$4</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Hárok1!$C$5:$M$5</c:f>
              <c:numCache>
                <c:formatCode>#\ ##0.0</c:formatCode>
                <c:ptCount val="11"/>
                <c:pt idx="0">
                  <c:v>1.7</c:v>
                </c:pt>
                <c:pt idx="1">
                  <c:v>1.7</c:v>
                </c:pt>
                <c:pt idx="2">
                  <c:v>1.7</c:v>
                </c:pt>
                <c:pt idx="3">
                  <c:v>1.8</c:v>
                </c:pt>
                <c:pt idx="4">
                  <c:v>1.7</c:v>
                </c:pt>
                <c:pt idx="5">
                  <c:v>1.7</c:v>
                </c:pt>
                <c:pt idx="6">
                  <c:v>1.7</c:v>
                </c:pt>
                <c:pt idx="7">
                  <c:v>1.7</c:v>
                </c:pt>
                <c:pt idx="8">
                  <c:v>1.7</c:v>
                </c:pt>
                <c:pt idx="9">
                  <c:v>1.7</c:v>
                </c:pt>
                <c:pt idx="10">
                  <c:v>1.6</c:v>
                </c:pt>
              </c:numCache>
            </c:numRef>
          </c:val>
          <c:smooth val="0"/>
          <c:extLst xmlns:c16r2="http://schemas.microsoft.com/office/drawing/2015/06/chart">
            <c:ext xmlns:c16="http://schemas.microsoft.com/office/drawing/2014/chart" uri="{C3380CC4-5D6E-409C-BE32-E72D297353CC}">
              <c16:uniqueId val="{00000000-B81B-4C72-90F7-94455B096FDA}"/>
            </c:ext>
          </c:extLst>
        </c:ser>
        <c:ser>
          <c:idx val="0"/>
          <c:order val="1"/>
          <c:tx>
            <c:strRef>
              <c:f>Hárok1!$A$8:$B$8</c:f>
              <c:strCache>
                <c:ptCount val="2"/>
                <c:pt idx="0">
                  <c:v>% HDP</c:v>
                </c:pt>
                <c:pt idx="1">
                  <c:v>EU28</c:v>
                </c:pt>
              </c:strCache>
            </c:strRef>
          </c:tx>
          <c:spPr>
            <a:ln w="19050">
              <a:solidFill>
                <a:sysClr val="window" lastClr="FFFFFF">
                  <a:lumMod val="50000"/>
                </a:sysClr>
              </a:solidFill>
            </a:ln>
          </c:spPr>
          <c:marker>
            <c:symbol val="none"/>
          </c:marker>
          <c:cat>
            <c:numRef>
              <c:f>Hárok1!$C$4:$M$4</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Hárok1!$C$8:$M$8</c:f>
              <c:numCache>
                <c:formatCode>#\ ##0.0</c:formatCode>
                <c:ptCount val="11"/>
                <c:pt idx="0">
                  <c:v>0.8</c:v>
                </c:pt>
                <c:pt idx="1">
                  <c:v>0.8</c:v>
                </c:pt>
                <c:pt idx="2">
                  <c:v>0.8</c:v>
                </c:pt>
                <c:pt idx="3">
                  <c:v>0.9</c:v>
                </c:pt>
                <c:pt idx="4">
                  <c:v>0.9</c:v>
                </c:pt>
                <c:pt idx="5">
                  <c:v>0.8</c:v>
                </c:pt>
                <c:pt idx="6">
                  <c:v>0.8</c:v>
                </c:pt>
                <c:pt idx="7">
                  <c:v>0.8</c:v>
                </c:pt>
                <c:pt idx="8">
                  <c:v>0.8</c:v>
                </c:pt>
                <c:pt idx="9">
                  <c:v>0.8</c:v>
                </c:pt>
                <c:pt idx="10">
                  <c:v>0.7</c:v>
                </c:pt>
              </c:numCache>
            </c:numRef>
          </c:val>
          <c:smooth val="0"/>
          <c:extLst xmlns:c16r2="http://schemas.microsoft.com/office/drawing/2015/06/chart">
            <c:ext xmlns:c16="http://schemas.microsoft.com/office/drawing/2014/chart" uri="{C3380CC4-5D6E-409C-BE32-E72D297353CC}">
              <c16:uniqueId val="{00000001-B81B-4C72-90F7-94455B096FDA}"/>
            </c:ext>
          </c:extLst>
        </c:ser>
        <c:ser>
          <c:idx val="2"/>
          <c:order val="2"/>
          <c:tx>
            <c:strRef>
              <c:f>Hárok1!$A$6:$B$6</c:f>
              <c:strCache>
                <c:ptCount val="2"/>
                <c:pt idx="0">
                  <c:v>% z výdavkov</c:v>
                </c:pt>
                <c:pt idx="1">
                  <c:v>V3</c:v>
                </c:pt>
              </c:strCache>
            </c:strRef>
          </c:tx>
          <c:spPr>
            <a:ln w="19050">
              <a:solidFill>
                <a:sysClr val="window" lastClr="FFFFFF">
                  <a:lumMod val="75000"/>
                </a:sysClr>
              </a:solidFill>
              <a:prstDash val="solid"/>
            </a:ln>
          </c:spPr>
          <c:marker>
            <c:symbol val="none"/>
          </c:marker>
          <c:cat>
            <c:numRef>
              <c:f>Hárok1!$C$4:$M$4</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Hárok1!$C$6:$M$6</c:f>
              <c:numCache>
                <c:formatCode>#\ ##0.0</c:formatCode>
                <c:ptCount val="11"/>
                <c:pt idx="0">
                  <c:v>1.8333333333333333</c:v>
                </c:pt>
                <c:pt idx="1">
                  <c:v>1.6666666666666667</c:v>
                </c:pt>
                <c:pt idx="2">
                  <c:v>1.6666666666666667</c:v>
                </c:pt>
                <c:pt idx="3">
                  <c:v>1.4000000000000001</c:v>
                </c:pt>
                <c:pt idx="4">
                  <c:v>1.7</c:v>
                </c:pt>
                <c:pt idx="5">
                  <c:v>2</c:v>
                </c:pt>
                <c:pt idx="6">
                  <c:v>1.9333333333333336</c:v>
                </c:pt>
                <c:pt idx="7">
                  <c:v>1.9000000000000001</c:v>
                </c:pt>
                <c:pt idx="8">
                  <c:v>2.1333333333333333</c:v>
                </c:pt>
                <c:pt idx="9">
                  <c:v>2.1333333333333333</c:v>
                </c:pt>
                <c:pt idx="10">
                  <c:v>1.3333333333333333</c:v>
                </c:pt>
              </c:numCache>
            </c:numRef>
          </c:val>
          <c:smooth val="0"/>
          <c:extLst xmlns:c16r2="http://schemas.microsoft.com/office/drawing/2015/06/chart">
            <c:ext xmlns:c16="http://schemas.microsoft.com/office/drawing/2014/chart" uri="{C3380CC4-5D6E-409C-BE32-E72D297353CC}">
              <c16:uniqueId val="{00000002-B81B-4C72-90F7-94455B096FDA}"/>
            </c:ext>
          </c:extLst>
        </c:ser>
        <c:ser>
          <c:idx val="5"/>
          <c:order val="3"/>
          <c:tx>
            <c:strRef>
              <c:f>Hárok1!$A$9:$B$9</c:f>
              <c:strCache>
                <c:ptCount val="2"/>
                <c:pt idx="0">
                  <c:v>% HDP</c:v>
                </c:pt>
                <c:pt idx="1">
                  <c:v>V3</c:v>
                </c:pt>
              </c:strCache>
            </c:strRef>
          </c:tx>
          <c:spPr>
            <a:ln w="19050">
              <a:solidFill>
                <a:sysClr val="window" lastClr="FFFFFF">
                  <a:lumMod val="75000"/>
                </a:sysClr>
              </a:solidFill>
              <a:prstDash val="dash"/>
            </a:ln>
          </c:spPr>
          <c:marker>
            <c:symbol val="none"/>
          </c:marker>
          <c:cat>
            <c:numRef>
              <c:f>Hárok1!$C$4:$M$4</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Hárok1!$C$9:$M$9</c:f>
              <c:numCache>
                <c:formatCode>#\ ##0.0</c:formatCode>
                <c:ptCount val="11"/>
                <c:pt idx="0">
                  <c:v>0.83333333333333337</c:v>
                </c:pt>
                <c:pt idx="1">
                  <c:v>0.73333333333333339</c:v>
                </c:pt>
                <c:pt idx="2">
                  <c:v>0.73333333333333339</c:v>
                </c:pt>
                <c:pt idx="3">
                  <c:v>0.66666666666666663</c:v>
                </c:pt>
                <c:pt idx="4">
                  <c:v>0.76666666666666661</c:v>
                </c:pt>
                <c:pt idx="5">
                  <c:v>0.9</c:v>
                </c:pt>
                <c:pt idx="6">
                  <c:v>0.8666666666666667</c:v>
                </c:pt>
                <c:pt idx="7">
                  <c:v>0.83333333333333337</c:v>
                </c:pt>
                <c:pt idx="8">
                  <c:v>0.93333333333333346</c:v>
                </c:pt>
                <c:pt idx="9">
                  <c:v>0.96666666666666667</c:v>
                </c:pt>
                <c:pt idx="10">
                  <c:v>0.53333333333333333</c:v>
                </c:pt>
              </c:numCache>
            </c:numRef>
          </c:val>
          <c:smooth val="0"/>
          <c:extLst xmlns:c16r2="http://schemas.microsoft.com/office/drawing/2015/06/chart">
            <c:ext xmlns:c16="http://schemas.microsoft.com/office/drawing/2014/chart" uri="{C3380CC4-5D6E-409C-BE32-E72D297353CC}">
              <c16:uniqueId val="{00000003-B81B-4C72-90F7-94455B096FDA}"/>
            </c:ext>
          </c:extLst>
        </c:ser>
        <c:ser>
          <c:idx val="1"/>
          <c:order val="4"/>
          <c:tx>
            <c:strRef>
              <c:f>Hárok1!$A$7:$B$7</c:f>
              <c:strCache>
                <c:ptCount val="2"/>
                <c:pt idx="0">
                  <c:v>% z výdavkov</c:v>
                </c:pt>
                <c:pt idx="1">
                  <c:v>Slovensko</c:v>
                </c:pt>
              </c:strCache>
            </c:strRef>
          </c:tx>
          <c:spPr>
            <a:ln w="19050">
              <a:solidFill>
                <a:sysClr val="windowText" lastClr="000000"/>
              </a:solidFill>
              <a:prstDash val="dash"/>
            </a:ln>
          </c:spPr>
          <c:marker>
            <c:symbol val="none"/>
          </c:marker>
          <c:dPt>
            <c:idx val="2"/>
            <c:bubble3D val="0"/>
            <c:extLst xmlns:c16r2="http://schemas.microsoft.com/office/drawing/2015/06/chart">
              <c:ext xmlns:c16="http://schemas.microsoft.com/office/drawing/2014/chart" uri="{C3380CC4-5D6E-409C-BE32-E72D297353CC}">
                <c16:uniqueId val="{00000004-B81B-4C72-90F7-94455B096FDA}"/>
              </c:ext>
            </c:extLst>
          </c:dPt>
          <c:cat>
            <c:numRef>
              <c:f>Hárok1!$C$4:$M$4</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Hárok1!$C$7:$M$7</c:f>
              <c:numCache>
                <c:formatCode>#\ ##0.0</c:formatCode>
                <c:ptCount val="11"/>
                <c:pt idx="0">
                  <c:v>2.1</c:v>
                </c:pt>
                <c:pt idx="1">
                  <c:v>2</c:v>
                </c:pt>
                <c:pt idx="2">
                  <c:v>2.1</c:v>
                </c:pt>
                <c:pt idx="3">
                  <c:v>2.2000000000000002</c:v>
                </c:pt>
                <c:pt idx="4">
                  <c:v>2.1</c:v>
                </c:pt>
                <c:pt idx="5">
                  <c:v>1.9</c:v>
                </c:pt>
                <c:pt idx="6">
                  <c:v>2</c:v>
                </c:pt>
                <c:pt idx="7">
                  <c:v>1.9</c:v>
                </c:pt>
                <c:pt idx="8">
                  <c:v>2</c:v>
                </c:pt>
                <c:pt idx="9">
                  <c:v>2.2000000000000002</c:v>
                </c:pt>
                <c:pt idx="10">
                  <c:v>1.6</c:v>
                </c:pt>
              </c:numCache>
            </c:numRef>
          </c:val>
          <c:smooth val="0"/>
          <c:extLst xmlns:c16r2="http://schemas.microsoft.com/office/drawing/2015/06/chart">
            <c:ext xmlns:c16="http://schemas.microsoft.com/office/drawing/2014/chart" uri="{C3380CC4-5D6E-409C-BE32-E72D297353CC}">
              <c16:uniqueId val="{00000005-B81B-4C72-90F7-94455B096FDA}"/>
            </c:ext>
          </c:extLst>
        </c:ser>
        <c:ser>
          <c:idx val="4"/>
          <c:order val="5"/>
          <c:tx>
            <c:strRef>
              <c:f>Hárok1!$A$10:$B$10</c:f>
              <c:strCache>
                <c:ptCount val="2"/>
                <c:pt idx="0">
                  <c:v>% HDP</c:v>
                </c:pt>
                <c:pt idx="1">
                  <c:v>Slovensko</c:v>
                </c:pt>
              </c:strCache>
            </c:strRef>
          </c:tx>
          <c:spPr>
            <a:ln w="19050">
              <a:solidFill>
                <a:sysClr val="windowText" lastClr="000000"/>
              </a:solidFill>
              <a:prstDash val="solid"/>
            </a:ln>
          </c:spPr>
          <c:marker>
            <c:symbol val="none"/>
          </c:marker>
          <c:cat>
            <c:numRef>
              <c:f>Hárok1!$C$4:$M$4</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Hárok1!$C$10:$M$10</c:f>
              <c:numCache>
                <c:formatCode>#\ ##0.0</c:formatCode>
                <c:ptCount val="11"/>
                <c:pt idx="0">
                  <c:v>0.8</c:v>
                </c:pt>
                <c:pt idx="1">
                  <c:v>0.7</c:v>
                </c:pt>
                <c:pt idx="2">
                  <c:v>0.8</c:v>
                </c:pt>
                <c:pt idx="3">
                  <c:v>1</c:v>
                </c:pt>
                <c:pt idx="4">
                  <c:v>0.9</c:v>
                </c:pt>
                <c:pt idx="5">
                  <c:v>0.8</c:v>
                </c:pt>
                <c:pt idx="6">
                  <c:v>0.8</c:v>
                </c:pt>
                <c:pt idx="7">
                  <c:v>0.8</c:v>
                </c:pt>
                <c:pt idx="8">
                  <c:v>0.8</c:v>
                </c:pt>
                <c:pt idx="9">
                  <c:v>1</c:v>
                </c:pt>
                <c:pt idx="10">
                  <c:v>0.7</c:v>
                </c:pt>
              </c:numCache>
            </c:numRef>
          </c:val>
          <c:smooth val="0"/>
          <c:extLst xmlns:c16r2="http://schemas.microsoft.com/office/drawing/2015/06/chart">
            <c:ext xmlns:c16="http://schemas.microsoft.com/office/drawing/2014/chart" uri="{C3380CC4-5D6E-409C-BE32-E72D297353CC}">
              <c16:uniqueId val="{00000006-B81B-4C72-90F7-94455B096FDA}"/>
            </c:ext>
          </c:extLst>
        </c:ser>
        <c:dLbls>
          <c:showLegendKey val="0"/>
          <c:showVal val="0"/>
          <c:showCatName val="0"/>
          <c:showSerName val="0"/>
          <c:showPercent val="0"/>
          <c:showBubbleSize val="0"/>
        </c:dLbls>
        <c:smooth val="0"/>
        <c:axId val="473912376"/>
        <c:axId val="473912768"/>
      </c:lineChart>
      <c:catAx>
        <c:axId val="473912376"/>
        <c:scaling>
          <c:orientation val="minMax"/>
        </c:scaling>
        <c:delete val="0"/>
        <c:axPos val="b"/>
        <c:numFmt formatCode="General" sourceLinked="0"/>
        <c:majorTickMark val="out"/>
        <c:minorTickMark val="none"/>
        <c:tickLblPos val="low"/>
        <c:txPr>
          <a:bodyPr rot="-5400000" vert="horz"/>
          <a:lstStyle/>
          <a:p>
            <a:pPr>
              <a:defRPr/>
            </a:pPr>
            <a:endParaRPr lang="sk-SK"/>
          </a:p>
        </c:txPr>
        <c:crossAx val="473912768"/>
        <c:crosses val="autoZero"/>
        <c:auto val="1"/>
        <c:lblAlgn val="ctr"/>
        <c:lblOffset val="100"/>
        <c:noMultiLvlLbl val="0"/>
      </c:catAx>
      <c:valAx>
        <c:axId val="473912768"/>
        <c:scaling>
          <c:orientation val="minMax"/>
        </c:scaling>
        <c:delete val="0"/>
        <c:axPos val="l"/>
        <c:majorGridlines>
          <c:spPr>
            <a:ln>
              <a:solidFill>
                <a:schemeClr val="bg1">
                  <a:lumMod val="75000"/>
                </a:schemeClr>
              </a:solidFill>
              <a:prstDash val="sysDash"/>
            </a:ln>
          </c:spPr>
        </c:majorGridlines>
        <c:numFmt formatCode="#,##0.0" sourceLinked="0"/>
        <c:majorTickMark val="out"/>
        <c:minorTickMark val="none"/>
        <c:tickLblPos val="nextTo"/>
        <c:txPr>
          <a:bodyPr rot="0" vert="horz"/>
          <a:lstStyle/>
          <a:p>
            <a:pPr>
              <a:defRPr/>
            </a:pPr>
            <a:endParaRPr lang="sk-SK"/>
          </a:p>
        </c:txPr>
        <c:crossAx val="473912376"/>
        <c:crosses val="autoZero"/>
        <c:crossBetween val="between"/>
      </c:valAx>
    </c:plotArea>
    <c:legend>
      <c:legendPos val="l"/>
      <c:layout>
        <c:manualLayout>
          <c:xMode val="edge"/>
          <c:yMode val="edge"/>
          <c:x val="9.5749080365905737E-2"/>
          <c:y val="1.0509585955734771E-3"/>
          <c:w val="0.8752639508682859"/>
          <c:h val="0.14375519459119993"/>
        </c:manualLayout>
      </c:layout>
      <c:overlay val="1"/>
      <c:txPr>
        <a:bodyPr/>
        <a:lstStyle/>
        <a:p>
          <a:pPr>
            <a:defRPr sz="500"/>
          </a:pPr>
          <a:endParaRPr lang="sk-SK"/>
        </a:p>
      </c:txPr>
    </c:legend>
    <c:plotVisOnly val="1"/>
    <c:dispBlanksAs val="gap"/>
    <c:showDLblsOverMax val="0"/>
  </c:chart>
  <c:spPr>
    <a:ln>
      <a:noFill/>
    </a:ln>
  </c:spPr>
  <c:txPr>
    <a:bodyPr/>
    <a:lstStyle/>
    <a:p>
      <a:pPr>
        <a:defRPr sz="800" b="0" i="0" u="none" strike="noStrike" baseline="0">
          <a:solidFill>
            <a:srgbClr val="000000"/>
          </a:solidFill>
          <a:latin typeface="Arial Narrow" panose="020B0606020202030204" pitchFamily="34" charset="0"/>
          <a:ea typeface="Calibri"/>
          <a:cs typeface="Calibri"/>
        </a:defRPr>
      </a:pPr>
      <a:endParaRPr lang="sk-SK"/>
    </a:p>
  </c:tx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506956584555371"/>
          <c:y val="0.13800641700525637"/>
          <c:w val="0.52745755977750486"/>
          <c:h val="0.64735033884636339"/>
        </c:manualLayout>
      </c:layout>
      <c:radarChart>
        <c:radarStyle val="marker"/>
        <c:varyColors val="0"/>
        <c:ser>
          <c:idx val="0"/>
          <c:order val="0"/>
          <c:tx>
            <c:strRef>
              <c:f>Hárok1!$B$13</c:f>
              <c:strCache>
                <c:ptCount val="1"/>
                <c:pt idx="0">
                  <c:v>SR</c:v>
                </c:pt>
              </c:strCache>
            </c:strRef>
          </c:tx>
          <c:spPr>
            <a:ln w="12700">
              <a:solidFill>
                <a:sysClr val="windowText" lastClr="000000"/>
              </a:solidFill>
              <a:prstDash val="dash"/>
            </a:ln>
          </c:spPr>
          <c:marker>
            <c:symbol val="none"/>
          </c:marker>
          <c:cat>
            <c:strRef>
              <c:f>Hárok1!$A$14:$A$18</c:f>
              <c:strCache>
                <c:ptCount val="5"/>
                <c:pt idx="0">
                  <c:v>Koncentrácie častíc PM 2,5 v ovzduší, 2014</c:v>
                </c:pt>
                <c:pt idx="1">
                  <c:v>Podiel ohrozených druhov, 2016</c:v>
                </c:pt>
                <c:pt idx="2">
                  <c:v>Recyklácia odpadov, 2016</c:v>
                </c:pt>
                <c:pt idx="3">
                  <c:v>Emisie skleníkových plynov, 2015</c:v>
                </c:pt>
                <c:pt idx="4">
                  <c:v>Obyvateľstvo pripojené na čistiareň odpadových vôd, 2014</c:v>
                </c:pt>
              </c:strCache>
            </c:strRef>
          </c:cat>
          <c:val>
            <c:numRef>
              <c:f>Hárok1!$B$14:$B$18</c:f>
              <c:numCache>
                <c:formatCode>#\ ##0.0_ ;\-#\ ##0.0\ </c:formatCode>
                <c:ptCount val="5"/>
                <c:pt idx="0">
                  <c:v>0.29999999999999993</c:v>
                </c:pt>
                <c:pt idx="1">
                  <c:v>0.42384777002378288</c:v>
                </c:pt>
                <c:pt idx="2">
                  <c:v>0.26949152542372884</c:v>
                </c:pt>
                <c:pt idx="3">
                  <c:v>0.61190476190476184</c:v>
                </c:pt>
                <c:pt idx="4">
                  <c:v>0.34167916827305628</c:v>
                </c:pt>
              </c:numCache>
            </c:numRef>
          </c:val>
          <c:extLst xmlns:c16r2="http://schemas.microsoft.com/office/drawing/2015/06/chart">
            <c:ext xmlns:c16="http://schemas.microsoft.com/office/drawing/2014/chart" uri="{C3380CC4-5D6E-409C-BE32-E72D297353CC}">
              <c16:uniqueId val="{00000000-CCA9-4196-A536-A15C9D03832E}"/>
            </c:ext>
          </c:extLst>
        </c:ser>
        <c:ser>
          <c:idx val="2"/>
          <c:order val="1"/>
          <c:tx>
            <c:strRef>
              <c:f>Hárok1!$C$13</c:f>
              <c:strCache>
                <c:ptCount val="1"/>
                <c:pt idx="0">
                  <c:v>V3</c:v>
                </c:pt>
              </c:strCache>
            </c:strRef>
          </c:tx>
          <c:spPr>
            <a:ln w="12700">
              <a:solidFill>
                <a:sysClr val="window" lastClr="FFFFFF">
                  <a:lumMod val="50000"/>
                </a:sysClr>
              </a:solidFill>
            </a:ln>
          </c:spPr>
          <c:marker>
            <c:symbol val="none"/>
          </c:marker>
          <c:cat>
            <c:strRef>
              <c:f>Hárok1!$A$14:$A$18</c:f>
              <c:strCache>
                <c:ptCount val="5"/>
                <c:pt idx="0">
                  <c:v>Koncentrácie častíc PM 2,5 v ovzduší, 2014</c:v>
                </c:pt>
                <c:pt idx="1">
                  <c:v>Podiel ohrozených druhov, 2016</c:v>
                </c:pt>
                <c:pt idx="2">
                  <c:v>Recyklácia odpadov, 2016</c:v>
                </c:pt>
                <c:pt idx="3">
                  <c:v>Emisie skleníkových plynov, 2015</c:v>
                </c:pt>
                <c:pt idx="4">
                  <c:v>Obyvateľstvo pripojené na čistiareň odpadových vôd, 2014</c:v>
                </c:pt>
              </c:strCache>
            </c:strRef>
          </c:cat>
          <c:val>
            <c:numRef>
              <c:f>Hárok1!$C$14:$C$18</c:f>
              <c:numCache>
                <c:formatCode>#\ ##0.0_ ;\-#\ ##0.0\ </c:formatCode>
                <c:ptCount val="5"/>
                <c:pt idx="0">
                  <c:v>0.19298245614035092</c:v>
                </c:pt>
                <c:pt idx="1">
                  <c:v>0.42719492779103624</c:v>
                </c:pt>
                <c:pt idx="2">
                  <c:v>0.46214689265536729</c:v>
                </c:pt>
                <c:pt idx="3">
                  <c:v>0.4015873015873016</c:v>
                </c:pt>
                <c:pt idx="4">
                  <c:v>0.377132103588393</c:v>
                </c:pt>
              </c:numCache>
            </c:numRef>
          </c:val>
          <c:extLst xmlns:c16r2="http://schemas.microsoft.com/office/drawing/2015/06/chart">
            <c:ext xmlns:c16="http://schemas.microsoft.com/office/drawing/2014/chart" uri="{C3380CC4-5D6E-409C-BE32-E72D297353CC}">
              <c16:uniqueId val="{00000001-CCA9-4196-A536-A15C9D03832E}"/>
            </c:ext>
          </c:extLst>
        </c:ser>
        <c:ser>
          <c:idx val="1"/>
          <c:order val="2"/>
          <c:tx>
            <c:strRef>
              <c:f>Hárok1!$D$13</c:f>
              <c:strCache>
                <c:ptCount val="1"/>
                <c:pt idx="0">
                  <c:v>Priemer vzorky</c:v>
                </c:pt>
              </c:strCache>
            </c:strRef>
          </c:tx>
          <c:spPr>
            <a:ln w="12700">
              <a:solidFill>
                <a:sysClr val="windowText" lastClr="000000"/>
              </a:solidFill>
            </a:ln>
          </c:spPr>
          <c:marker>
            <c:symbol val="none"/>
          </c:marker>
          <c:cat>
            <c:strRef>
              <c:f>Hárok1!$A$14:$A$18</c:f>
              <c:strCache>
                <c:ptCount val="5"/>
                <c:pt idx="0">
                  <c:v>Koncentrácie častíc PM 2,5 v ovzduší, 2014</c:v>
                </c:pt>
                <c:pt idx="1">
                  <c:v>Podiel ohrozených druhov, 2016</c:v>
                </c:pt>
                <c:pt idx="2">
                  <c:v>Recyklácia odpadov, 2016</c:v>
                </c:pt>
                <c:pt idx="3">
                  <c:v>Emisie skleníkových plynov, 2015</c:v>
                </c:pt>
                <c:pt idx="4">
                  <c:v>Obyvateľstvo pripojené na čistiareň odpadových vôd, 2014</c:v>
                </c:pt>
              </c:strCache>
            </c:strRef>
          </c:cat>
          <c:val>
            <c:numRef>
              <c:f>Hárok1!$D$14:$D$18</c:f>
              <c:numCache>
                <c:formatCode>#\ ##0.0_ ;\-#\ ##0.0\ </c:formatCode>
                <c:ptCount val="5"/>
                <c:pt idx="0">
                  <c:v>0.50676691729323309</c:v>
                </c:pt>
                <c:pt idx="1">
                  <c:v>0.38057235303559939</c:v>
                </c:pt>
                <c:pt idx="2">
                  <c:v>0.50841180163214061</c:v>
                </c:pt>
                <c:pt idx="3">
                  <c:v>0.57258064516129037</c:v>
                </c:pt>
                <c:pt idx="4">
                  <c:v>0.64947929324888931</c:v>
                </c:pt>
              </c:numCache>
            </c:numRef>
          </c:val>
          <c:extLst xmlns:c16r2="http://schemas.microsoft.com/office/drawing/2015/06/chart">
            <c:ext xmlns:c16="http://schemas.microsoft.com/office/drawing/2014/chart" uri="{C3380CC4-5D6E-409C-BE32-E72D297353CC}">
              <c16:uniqueId val="{00000002-CCA9-4196-A536-A15C9D03832E}"/>
            </c:ext>
          </c:extLst>
        </c:ser>
        <c:dLbls>
          <c:showLegendKey val="0"/>
          <c:showVal val="0"/>
          <c:showCatName val="0"/>
          <c:showSerName val="0"/>
          <c:showPercent val="0"/>
          <c:showBubbleSize val="0"/>
        </c:dLbls>
        <c:axId val="473913552"/>
        <c:axId val="473913944"/>
      </c:radarChart>
      <c:catAx>
        <c:axId val="473913552"/>
        <c:scaling>
          <c:orientation val="minMax"/>
        </c:scaling>
        <c:delete val="0"/>
        <c:axPos val="b"/>
        <c:majorGridlines/>
        <c:numFmt formatCode="General" sourceLinked="1"/>
        <c:majorTickMark val="out"/>
        <c:minorTickMark val="none"/>
        <c:tickLblPos val="nextTo"/>
        <c:crossAx val="473913944"/>
        <c:crosses val="autoZero"/>
        <c:auto val="1"/>
        <c:lblAlgn val="ctr"/>
        <c:lblOffset val="100"/>
        <c:noMultiLvlLbl val="0"/>
      </c:catAx>
      <c:valAx>
        <c:axId val="473913944"/>
        <c:scaling>
          <c:orientation val="minMax"/>
        </c:scaling>
        <c:delete val="0"/>
        <c:axPos val="l"/>
        <c:majorGridlines>
          <c:spPr>
            <a:ln>
              <a:solidFill>
                <a:schemeClr val="bg1">
                  <a:lumMod val="75000"/>
                </a:schemeClr>
              </a:solidFill>
              <a:prstDash val="sysDash"/>
            </a:ln>
          </c:spPr>
        </c:majorGridlines>
        <c:numFmt formatCode="0.0" sourceLinked="0"/>
        <c:majorTickMark val="out"/>
        <c:minorTickMark val="none"/>
        <c:tickLblPos val="nextTo"/>
        <c:crossAx val="473913552"/>
        <c:crosses val="autoZero"/>
        <c:crossBetween val="between"/>
        <c:majorUnit val="0.2"/>
      </c:valAx>
    </c:plotArea>
    <c:legend>
      <c:legendPos val="r"/>
      <c:layout>
        <c:manualLayout>
          <c:xMode val="edge"/>
          <c:yMode val="edge"/>
          <c:x val="7.6139565123166451E-4"/>
          <c:y val="0.81417592294974372"/>
          <c:w val="0.98714910062847649"/>
          <c:h val="0.18367325249987923"/>
        </c:manualLayout>
      </c:layout>
      <c:overlay val="0"/>
    </c:legend>
    <c:plotVisOnly val="1"/>
    <c:dispBlanksAs val="gap"/>
    <c:showDLblsOverMax val="0"/>
  </c:chart>
  <c:spPr>
    <a:ln>
      <a:noFill/>
    </a:ln>
  </c:spPr>
  <c:txPr>
    <a:bodyPr/>
    <a:lstStyle/>
    <a:p>
      <a:pPr>
        <a:defRPr sz="700">
          <a:latin typeface="Arial Narrow" panose="020B0606020202030204" pitchFamily="34" charset="0"/>
        </a:defRPr>
      </a:pPr>
      <a:endParaRPr lang="sk-SK"/>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417436997626964E-2"/>
          <c:y val="5.5989236111111111E-2"/>
          <c:w val="0.93616132135261021"/>
          <c:h val="0.86336284722222201"/>
        </c:manualLayout>
      </c:layout>
      <c:barChart>
        <c:barDir val="col"/>
        <c:grouping val="clustered"/>
        <c:varyColors val="0"/>
        <c:ser>
          <c:idx val="0"/>
          <c:order val="0"/>
          <c:tx>
            <c:strRef>
              <c:f>'Miera recyklacie'!$B$4</c:f>
              <c:strCache>
                <c:ptCount val="1"/>
                <c:pt idx="0">
                  <c:v>Miera recyklácie</c:v>
                </c:pt>
              </c:strCache>
            </c:strRef>
          </c:tx>
          <c:spPr>
            <a:solidFill>
              <a:sysClr val="window" lastClr="FFFFFF">
                <a:lumMod val="75000"/>
              </a:sysClr>
            </a:solidFill>
            <a:ln>
              <a:solidFill>
                <a:sysClr val="window" lastClr="FFFFFF">
                  <a:lumMod val="75000"/>
                </a:sysClr>
              </a:solidFill>
            </a:ln>
          </c:spPr>
          <c:invertIfNegative val="0"/>
          <c:dPt>
            <c:idx val="21"/>
            <c:invertIfNegative val="0"/>
            <c:bubble3D val="0"/>
            <c:spPr>
              <a:solidFill>
                <a:sysClr val="windowText" lastClr="000000"/>
              </a:solidFill>
              <a:ln>
                <a:solidFill>
                  <a:sysClr val="windowText" lastClr="000000"/>
                </a:solidFill>
              </a:ln>
            </c:spPr>
            <c:extLst xmlns:c16r2="http://schemas.microsoft.com/office/drawing/2015/06/chart">
              <c:ext xmlns:c16="http://schemas.microsoft.com/office/drawing/2014/chart" uri="{C3380CC4-5D6E-409C-BE32-E72D297353CC}">
                <c16:uniqueId val="{00000001-ECBB-4E6B-89F3-349A624CA535}"/>
              </c:ext>
            </c:extLst>
          </c:dPt>
          <c:cat>
            <c:strRef>
              <c:f>'Miera recyklacie'!$A$5:$A$31</c:f>
              <c:strCache>
                <c:ptCount val="27"/>
                <c:pt idx="0">
                  <c:v>Nemecko</c:v>
                </c:pt>
                <c:pt idx="1">
                  <c:v>Slovinsko</c:v>
                </c:pt>
                <c:pt idx="2">
                  <c:v>Rakúsko</c:v>
                </c:pt>
                <c:pt idx="3">
                  <c:v>Belgicko</c:v>
                </c:pt>
                <c:pt idx="4">
                  <c:v>Holandsko</c:v>
                </c:pt>
                <c:pt idx="5">
                  <c:v>Švédsko</c:v>
                </c:pt>
                <c:pt idx="6">
                  <c:v>Luxembursko</c:v>
                </c:pt>
                <c:pt idx="7">
                  <c:v>Litva</c:v>
                </c:pt>
                <c:pt idx="8">
                  <c:v>Dánsko</c:v>
                </c:pt>
                <c:pt idx="9">
                  <c:v>Taliansko</c:v>
                </c:pt>
                <c:pt idx="10">
                  <c:v>Veľká Británia</c:v>
                </c:pt>
                <c:pt idx="11">
                  <c:v>Fínsko</c:v>
                </c:pt>
                <c:pt idx="12">
                  <c:v>Francúzsko</c:v>
                </c:pt>
                <c:pt idx="13">
                  <c:v>Poľsko</c:v>
                </c:pt>
                <c:pt idx="14">
                  <c:v>Maďarsko</c:v>
                </c:pt>
                <c:pt idx="15">
                  <c:v>Česka republika</c:v>
                </c:pt>
                <c:pt idx="16">
                  <c:v>Bulharsko</c:v>
                </c:pt>
                <c:pt idx="17">
                  <c:v>Portugalsko</c:v>
                </c:pt>
                <c:pt idx="18">
                  <c:v>Španielsko</c:v>
                </c:pt>
                <c:pt idx="19">
                  <c:v>Estónsko</c:v>
                </c:pt>
                <c:pt idx="20">
                  <c:v>Lotyšsko</c:v>
                </c:pt>
                <c:pt idx="21">
                  <c:v>Slovensko</c:v>
                </c:pt>
                <c:pt idx="22">
                  <c:v>Chorvátsko</c:v>
                </c:pt>
                <c:pt idx="23">
                  <c:v>Grécko</c:v>
                </c:pt>
                <c:pt idx="24">
                  <c:v>Cyprus</c:v>
                </c:pt>
                <c:pt idx="25">
                  <c:v>Rumunsko</c:v>
                </c:pt>
                <c:pt idx="26">
                  <c:v>Malta</c:v>
                </c:pt>
              </c:strCache>
            </c:strRef>
          </c:cat>
          <c:val>
            <c:numRef>
              <c:f>'Miera recyklacie'!$B$5:$B$31</c:f>
              <c:numCache>
                <c:formatCode>General</c:formatCode>
                <c:ptCount val="27"/>
                <c:pt idx="0">
                  <c:v>66.099999999999994</c:v>
                </c:pt>
                <c:pt idx="1">
                  <c:v>57.7</c:v>
                </c:pt>
                <c:pt idx="2">
                  <c:v>57.6</c:v>
                </c:pt>
                <c:pt idx="3">
                  <c:v>53.5</c:v>
                </c:pt>
                <c:pt idx="4">
                  <c:v>53.1</c:v>
                </c:pt>
                <c:pt idx="5">
                  <c:v>48.9</c:v>
                </c:pt>
                <c:pt idx="6">
                  <c:v>48.3</c:v>
                </c:pt>
                <c:pt idx="7">
                  <c:v>48</c:v>
                </c:pt>
                <c:pt idx="8">
                  <c:v>47.7</c:v>
                </c:pt>
                <c:pt idx="9">
                  <c:v>45.1</c:v>
                </c:pt>
                <c:pt idx="10">
                  <c:v>44.3</c:v>
                </c:pt>
                <c:pt idx="11">
                  <c:v>42</c:v>
                </c:pt>
                <c:pt idx="12">
                  <c:v>41.7</c:v>
                </c:pt>
                <c:pt idx="13">
                  <c:v>34.799999999999997</c:v>
                </c:pt>
                <c:pt idx="14">
                  <c:v>34.700000000000003</c:v>
                </c:pt>
                <c:pt idx="15">
                  <c:v>33.6</c:v>
                </c:pt>
                <c:pt idx="16">
                  <c:v>31.8</c:v>
                </c:pt>
                <c:pt idx="17">
                  <c:v>30.9</c:v>
                </c:pt>
                <c:pt idx="18">
                  <c:v>29.7</c:v>
                </c:pt>
                <c:pt idx="19">
                  <c:v>28.1</c:v>
                </c:pt>
                <c:pt idx="20">
                  <c:v>25.2</c:v>
                </c:pt>
                <c:pt idx="21">
                  <c:v>23</c:v>
                </c:pt>
                <c:pt idx="22">
                  <c:v>21</c:v>
                </c:pt>
                <c:pt idx="23">
                  <c:v>17.2</c:v>
                </c:pt>
                <c:pt idx="24">
                  <c:v>17.2</c:v>
                </c:pt>
                <c:pt idx="25">
                  <c:v>13.3</c:v>
                </c:pt>
                <c:pt idx="26">
                  <c:v>7.1</c:v>
                </c:pt>
              </c:numCache>
            </c:numRef>
          </c:val>
          <c:extLst xmlns:c16r2="http://schemas.microsoft.com/office/drawing/2015/06/chart">
            <c:ext xmlns:c16="http://schemas.microsoft.com/office/drawing/2014/chart" uri="{C3380CC4-5D6E-409C-BE32-E72D297353CC}">
              <c16:uniqueId val="{00000002-ECBB-4E6B-89F3-349A624CA535}"/>
            </c:ext>
          </c:extLst>
        </c:ser>
        <c:dLbls>
          <c:showLegendKey val="0"/>
          <c:showVal val="0"/>
          <c:showCatName val="0"/>
          <c:showSerName val="0"/>
          <c:showPercent val="0"/>
          <c:showBubbleSize val="0"/>
        </c:dLbls>
        <c:gapWidth val="150"/>
        <c:axId val="473914728"/>
        <c:axId val="473915120"/>
      </c:barChart>
      <c:lineChart>
        <c:grouping val="standard"/>
        <c:varyColors val="0"/>
        <c:ser>
          <c:idx val="2"/>
          <c:order val="1"/>
          <c:tx>
            <c:strRef>
              <c:f>'Miera recyklacie'!$C$4</c:f>
              <c:strCache>
                <c:ptCount val="1"/>
                <c:pt idx="0">
                  <c:v>EU 28</c:v>
                </c:pt>
              </c:strCache>
            </c:strRef>
          </c:tx>
          <c:spPr>
            <a:ln>
              <a:solidFill>
                <a:sysClr val="windowText" lastClr="000000"/>
              </a:solidFill>
            </a:ln>
          </c:spPr>
          <c:marker>
            <c:symbol val="none"/>
          </c:marker>
          <c:cat>
            <c:strRef>
              <c:f>'Miera recyklacie'!$A$5:$A$31</c:f>
              <c:strCache>
                <c:ptCount val="27"/>
                <c:pt idx="0">
                  <c:v>Nemecko</c:v>
                </c:pt>
                <c:pt idx="1">
                  <c:v>Slovinsko</c:v>
                </c:pt>
                <c:pt idx="2">
                  <c:v>Rakúsko</c:v>
                </c:pt>
                <c:pt idx="3">
                  <c:v>Belgicko</c:v>
                </c:pt>
                <c:pt idx="4">
                  <c:v>Holandsko</c:v>
                </c:pt>
                <c:pt idx="5">
                  <c:v>Švédsko</c:v>
                </c:pt>
                <c:pt idx="6">
                  <c:v>Luxembursko</c:v>
                </c:pt>
                <c:pt idx="7">
                  <c:v>Litva</c:v>
                </c:pt>
                <c:pt idx="8">
                  <c:v>Dánsko</c:v>
                </c:pt>
                <c:pt idx="9">
                  <c:v>Taliansko</c:v>
                </c:pt>
                <c:pt idx="10">
                  <c:v>Veľká Británia</c:v>
                </c:pt>
                <c:pt idx="11">
                  <c:v>Fínsko</c:v>
                </c:pt>
                <c:pt idx="12">
                  <c:v>Francúzsko</c:v>
                </c:pt>
                <c:pt idx="13">
                  <c:v>Poľsko</c:v>
                </c:pt>
                <c:pt idx="14">
                  <c:v>Maďarsko</c:v>
                </c:pt>
                <c:pt idx="15">
                  <c:v>Česka republika</c:v>
                </c:pt>
                <c:pt idx="16">
                  <c:v>Bulharsko</c:v>
                </c:pt>
                <c:pt idx="17">
                  <c:v>Portugalsko</c:v>
                </c:pt>
                <c:pt idx="18">
                  <c:v>Španielsko</c:v>
                </c:pt>
                <c:pt idx="19">
                  <c:v>Estónsko</c:v>
                </c:pt>
                <c:pt idx="20">
                  <c:v>Lotyšsko</c:v>
                </c:pt>
                <c:pt idx="21">
                  <c:v>Slovensko</c:v>
                </c:pt>
                <c:pt idx="22">
                  <c:v>Chorvátsko</c:v>
                </c:pt>
                <c:pt idx="23">
                  <c:v>Grécko</c:v>
                </c:pt>
                <c:pt idx="24">
                  <c:v>Cyprus</c:v>
                </c:pt>
                <c:pt idx="25">
                  <c:v>Rumunsko</c:v>
                </c:pt>
                <c:pt idx="26">
                  <c:v>Malta</c:v>
                </c:pt>
              </c:strCache>
            </c:strRef>
          </c:cat>
          <c:val>
            <c:numRef>
              <c:f>'Miera recyklacie'!$C$5:$C$31</c:f>
              <c:numCache>
                <c:formatCode>General</c:formatCode>
                <c:ptCount val="27"/>
                <c:pt idx="0">
                  <c:v>45.3</c:v>
                </c:pt>
                <c:pt idx="1">
                  <c:v>45.3</c:v>
                </c:pt>
                <c:pt idx="2">
                  <c:v>45.3</c:v>
                </c:pt>
                <c:pt idx="3">
                  <c:v>45.3</c:v>
                </c:pt>
                <c:pt idx="4">
                  <c:v>45.3</c:v>
                </c:pt>
                <c:pt idx="5">
                  <c:v>45.3</c:v>
                </c:pt>
                <c:pt idx="6">
                  <c:v>45.3</c:v>
                </c:pt>
                <c:pt idx="7">
                  <c:v>45.3</c:v>
                </c:pt>
                <c:pt idx="8">
                  <c:v>45.3</c:v>
                </c:pt>
                <c:pt idx="9">
                  <c:v>45.3</c:v>
                </c:pt>
                <c:pt idx="10">
                  <c:v>45.3</c:v>
                </c:pt>
                <c:pt idx="11">
                  <c:v>45.3</c:v>
                </c:pt>
                <c:pt idx="12">
                  <c:v>45.3</c:v>
                </c:pt>
                <c:pt idx="13">
                  <c:v>45.3</c:v>
                </c:pt>
                <c:pt idx="14">
                  <c:v>45.3</c:v>
                </c:pt>
                <c:pt idx="15">
                  <c:v>45.3</c:v>
                </c:pt>
                <c:pt idx="16">
                  <c:v>45.3</c:v>
                </c:pt>
                <c:pt idx="17">
                  <c:v>45.3</c:v>
                </c:pt>
                <c:pt idx="18">
                  <c:v>45.3</c:v>
                </c:pt>
                <c:pt idx="19">
                  <c:v>45.3</c:v>
                </c:pt>
                <c:pt idx="20">
                  <c:v>45.3</c:v>
                </c:pt>
                <c:pt idx="21">
                  <c:v>45.3</c:v>
                </c:pt>
                <c:pt idx="22">
                  <c:v>45.3</c:v>
                </c:pt>
                <c:pt idx="23">
                  <c:v>45.3</c:v>
                </c:pt>
                <c:pt idx="24">
                  <c:v>45.3</c:v>
                </c:pt>
                <c:pt idx="25">
                  <c:v>45.3</c:v>
                </c:pt>
                <c:pt idx="26">
                  <c:v>45.3</c:v>
                </c:pt>
              </c:numCache>
            </c:numRef>
          </c:val>
          <c:smooth val="0"/>
          <c:extLst xmlns:c16r2="http://schemas.microsoft.com/office/drawing/2015/06/chart">
            <c:ext xmlns:c16="http://schemas.microsoft.com/office/drawing/2014/chart" uri="{C3380CC4-5D6E-409C-BE32-E72D297353CC}">
              <c16:uniqueId val="{00000003-ECBB-4E6B-89F3-349A624CA535}"/>
            </c:ext>
          </c:extLst>
        </c:ser>
        <c:dLbls>
          <c:showLegendKey val="0"/>
          <c:showVal val="0"/>
          <c:showCatName val="0"/>
          <c:showSerName val="0"/>
          <c:showPercent val="0"/>
          <c:showBubbleSize val="0"/>
        </c:dLbls>
        <c:marker val="1"/>
        <c:smooth val="0"/>
        <c:axId val="473914728"/>
        <c:axId val="473915120"/>
      </c:lineChart>
      <c:catAx>
        <c:axId val="473914728"/>
        <c:scaling>
          <c:orientation val="minMax"/>
        </c:scaling>
        <c:delete val="0"/>
        <c:axPos val="b"/>
        <c:numFmt formatCode="General" sourceLinked="1"/>
        <c:majorTickMark val="out"/>
        <c:minorTickMark val="none"/>
        <c:tickLblPos val="nextTo"/>
        <c:txPr>
          <a:bodyPr/>
          <a:lstStyle/>
          <a:p>
            <a:pPr>
              <a:defRPr sz="600"/>
            </a:pPr>
            <a:endParaRPr lang="sk-SK"/>
          </a:p>
        </c:txPr>
        <c:crossAx val="473915120"/>
        <c:crosses val="autoZero"/>
        <c:auto val="1"/>
        <c:lblAlgn val="ctr"/>
        <c:lblOffset val="100"/>
        <c:noMultiLvlLbl val="0"/>
      </c:catAx>
      <c:valAx>
        <c:axId val="473915120"/>
        <c:scaling>
          <c:orientation val="minMax"/>
        </c:scaling>
        <c:delete val="0"/>
        <c:axPos val="l"/>
        <c:majorGridlines>
          <c:spPr>
            <a:ln>
              <a:solidFill>
                <a:schemeClr val="bg1">
                  <a:lumMod val="75000"/>
                </a:schemeClr>
              </a:solidFill>
              <a:prstDash val="sysDash"/>
            </a:ln>
          </c:spPr>
        </c:majorGridlines>
        <c:numFmt formatCode="#,##0" sourceLinked="0"/>
        <c:majorTickMark val="out"/>
        <c:minorTickMark val="none"/>
        <c:tickLblPos val="nextTo"/>
        <c:crossAx val="473914728"/>
        <c:crosses val="autoZero"/>
        <c:crossBetween val="between"/>
      </c:valAx>
    </c:plotArea>
    <c:plotVisOnly val="1"/>
    <c:dispBlanksAs val="gap"/>
    <c:showDLblsOverMax val="0"/>
  </c:chart>
  <c:spPr>
    <a:ln>
      <a:noFill/>
    </a:ln>
  </c:spPr>
  <c:txPr>
    <a:bodyPr/>
    <a:lstStyle/>
    <a:p>
      <a:pPr>
        <a:defRPr sz="800">
          <a:latin typeface="Arial Narrow" panose="020B0606020202030204" pitchFamily="34" charset="0"/>
        </a:defRPr>
      </a:pPr>
      <a:endParaRPr lang="sk-SK"/>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417436997626964E-2"/>
          <c:y val="5.5989236111111111E-2"/>
          <c:w val="0.93616132135261021"/>
          <c:h val="0.86336284722222201"/>
        </c:manualLayout>
      </c:layout>
      <c:barChart>
        <c:barDir val="col"/>
        <c:grouping val="clustered"/>
        <c:varyColors val="0"/>
        <c:ser>
          <c:idx val="0"/>
          <c:order val="0"/>
          <c:tx>
            <c:strRef>
              <c:f>'G18'!$B$4</c:f>
              <c:strCache>
                <c:ptCount val="1"/>
                <c:pt idx="0">
                  <c:v>2014</c:v>
                </c:pt>
              </c:strCache>
            </c:strRef>
          </c:tx>
          <c:spPr>
            <a:solidFill>
              <a:sysClr val="window" lastClr="FFFFFF">
                <a:lumMod val="75000"/>
              </a:sysClr>
            </a:solidFill>
            <a:ln>
              <a:solidFill>
                <a:sysClr val="window" lastClr="FFFFFF">
                  <a:lumMod val="75000"/>
                </a:sysClr>
              </a:solidFill>
            </a:ln>
          </c:spPr>
          <c:invertIfNegative val="0"/>
          <c:dPt>
            <c:idx val="5"/>
            <c:invertIfNegative val="0"/>
            <c:bubble3D val="0"/>
            <c:spPr>
              <a:solidFill>
                <a:sysClr val="windowText" lastClr="000000"/>
              </a:solidFill>
              <a:ln>
                <a:solidFill>
                  <a:sysClr val="windowText" lastClr="000000"/>
                </a:solidFill>
              </a:ln>
            </c:spPr>
            <c:extLst xmlns:c16r2="http://schemas.microsoft.com/office/drawing/2015/06/chart">
              <c:ext xmlns:c16="http://schemas.microsoft.com/office/drawing/2014/chart" uri="{C3380CC4-5D6E-409C-BE32-E72D297353CC}">
                <c16:uniqueId val="{00000001-FC64-4484-A02A-A596DB3D177D}"/>
              </c:ext>
            </c:extLst>
          </c:dPt>
          <c:cat>
            <c:strRef>
              <c:f>'G18'!$A$5:$A$31</c:f>
              <c:strCache>
                <c:ptCount val="27"/>
                <c:pt idx="0">
                  <c:v>Malta</c:v>
                </c:pt>
                <c:pt idx="1">
                  <c:v>Bulharsko</c:v>
                </c:pt>
                <c:pt idx="2">
                  <c:v>Grécko</c:v>
                </c:pt>
                <c:pt idx="3">
                  <c:v>Estónsko</c:v>
                </c:pt>
                <c:pt idx="4">
                  <c:v>Cyprus</c:v>
                </c:pt>
                <c:pt idx="5">
                  <c:v>Slovensko</c:v>
                </c:pt>
                <c:pt idx="6">
                  <c:v>Chorvátsko</c:v>
                </c:pt>
                <c:pt idx="7">
                  <c:v>Litva</c:v>
                </c:pt>
                <c:pt idx="8">
                  <c:v>Maďarsko</c:v>
                </c:pt>
                <c:pt idx="9">
                  <c:v>Španielsko</c:v>
                </c:pt>
                <c:pt idx="10">
                  <c:v>Island</c:v>
                </c:pt>
                <c:pt idx="11">
                  <c:v>Portugalsko</c:v>
                </c:pt>
                <c:pt idx="12">
                  <c:v>Veľká Británia</c:v>
                </c:pt>
                <c:pt idx="13">
                  <c:v>Lotyšsko</c:v>
                </c:pt>
                <c:pt idx="14">
                  <c:v>Poľsko</c:v>
                </c:pt>
                <c:pt idx="15">
                  <c:v>Česká republika</c:v>
                </c:pt>
                <c:pt idx="16">
                  <c:v>Francúzsko</c:v>
                </c:pt>
                <c:pt idx="17">
                  <c:v>Taliansko</c:v>
                </c:pt>
                <c:pt idx="18">
                  <c:v>Fínsko</c:v>
                </c:pt>
                <c:pt idx="19">
                  <c:v>Nórsko</c:v>
                </c:pt>
                <c:pt idx="20">
                  <c:v>Rakúsko</c:v>
                </c:pt>
                <c:pt idx="21">
                  <c:v>Slovensko</c:v>
                </c:pt>
                <c:pt idx="22">
                  <c:v>Švédska</c:v>
                </c:pt>
                <c:pt idx="23">
                  <c:v>Dánsko</c:v>
                </c:pt>
                <c:pt idx="24">
                  <c:v>Belgicko</c:v>
                </c:pt>
                <c:pt idx="25">
                  <c:v>Holandsko</c:v>
                </c:pt>
                <c:pt idx="26">
                  <c:v>Luxembursko</c:v>
                </c:pt>
              </c:strCache>
            </c:strRef>
          </c:cat>
          <c:val>
            <c:numRef>
              <c:f>'G18'!$B$5:$B$31</c:f>
              <c:numCache>
                <c:formatCode>0.0</c:formatCode>
                <c:ptCount val="27"/>
                <c:pt idx="0">
                  <c:v>94</c:v>
                </c:pt>
                <c:pt idx="1">
                  <c:v>83</c:v>
                </c:pt>
                <c:pt idx="2">
                  <c:v>81</c:v>
                </c:pt>
                <c:pt idx="3">
                  <c:v>80</c:v>
                </c:pt>
                <c:pt idx="4">
                  <c:v>65</c:v>
                </c:pt>
                <c:pt idx="5">
                  <c:v>51</c:v>
                </c:pt>
                <c:pt idx="6">
                  <c:v>51</c:v>
                </c:pt>
                <c:pt idx="7">
                  <c:v>48</c:v>
                </c:pt>
                <c:pt idx="8">
                  <c:v>47</c:v>
                </c:pt>
                <c:pt idx="9">
                  <c:v>43</c:v>
                </c:pt>
                <c:pt idx="10">
                  <c:v>37</c:v>
                </c:pt>
                <c:pt idx="11">
                  <c:v>35</c:v>
                </c:pt>
                <c:pt idx="12">
                  <c:v>34</c:v>
                </c:pt>
                <c:pt idx="13">
                  <c:v>29</c:v>
                </c:pt>
                <c:pt idx="14">
                  <c:v>27</c:v>
                </c:pt>
                <c:pt idx="15">
                  <c:v>27</c:v>
                </c:pt>
                <c:pt idx="16">
                  <c:v>25</c:v>
                </c:pt>
                <c:pt idx="17">
                  <c:v>20</c:v>
                </c:pt>
                <c:pt idx="18">
                  <c:v>17</c:v>
                </c:pt>
                <c:pt idx="19">
                  <c:v>14</c:v>
                </c:pt>
                <c:pt idx="20">
                  <c:v>11</c:v>
                </c:pt>
                <c:pt idx="21">
                  <c:v>9</c:v>
                </c:pt>
                <c:pt idx="22">
                  <c:v>8</c:v>
                </c:pt>
                <c:pt idx="23">
                  <c:v>6</c:v>
                </c:pt>
                <c:pt idx="24">
                  <c:v>4</c:v>
                </c:pt>
                <c:pt idx="25">
                  <c:v>2</c:v>
                </c:pt>
                <c:pt idx="26">
                  <c:v>2</c:v>
                </c:pt>
              </c:numCache>
            </c:numRef>
          </c:val>
          <c:extLst xmlns:c16r2="http://schemas.microsoft.com/office/drawing/2015/06/chart">
            <c:ext xmlns:c16="http://schemas.microsoft.com/office/drawing/2014/chart" uri="{C3380CC4-5D6E-409C-BE32-E72D297353CC}">
              <c16:uniqueId val="{00000002-FC64-4484-A02A-A596DB3D177D}"/>
            </c:ext>
          </c:extLst>
        </c:ser>
        <c:dLbls>
          <c:showLegendKey val="0"/>
          <c:showVal val="0"/>
          <c:showCatName val="0"/>
          <c:showSerName val="0"/>
          <c:showPercent val="0"/>
          <c:showBubbleSize val="0"/>
        </c:dLbls>
        <c:gapWidth val="150"/>
        <c:axId val="473915904"/>
        <c:axId val="473916296"/>
      </c:barChart>
      <c:lineChart>
        <c:grouping val="standard"/>
        <c:varyColors val="0"/>
        <c:ser>
          <c:idx val="2"/>
          <c:order val="1"/>
          <c:tx>
            <c:strRef>
              <c:f>'G18'!$C$4</c:f>
              <c:strCache>
                <c:ptCount val="1"/>
                <c:pt idx="0">
                  <c:v>EU 28</c:v>
                </c:pt>
              </c:strCache>
            </c:strRef>
          </c:tx>
          <c:spPr>
            <a:ln w="28575">
              <a:solidFill>
                <a:sysClr val="windowText" lastClr="000000"/>
              </a:solidFill>
            </a:ln>
          </c:spPr>
          <c:marker>
            <c:symbol val="none"/>
          </c:marker>
          <c:cat>
            <c:strRef>
              <c:f>'G18'!$A$5:$A$31</c:f>
              <c:strCache>
                <c:ptCount val="27"/>
                <c:pt idx="0">
                  <c:v>Malta</c:v>
                </c:pt>
                <c:pt idx="1">
                  <c:v>Bulharsko</c:v>
                </c:pt>
                <c:pt idx="2">
                  <c:v>Grécko</c:v>
                </c:pt>
                <c:pt idx="3">
                  <c:v>Estónsko</c:v>
                </c:pt>
                <c:pt idx="4">
                  <c:v>Cyprus</c:v>
                </c:pt>
                <c:pt idx="5">
                  <c:v>Slovensko</c:v>
                </c:pt>
                <c:pt idx="6">
                  <c:v>Chorvátsko</c:v>
                </c:pt>
                <c:pt idx="7">
                  <c:v>Litva</c:v>
                </c:pt>
                <c:pt idx="8">
                  <c:v>Maďarsko</c:v>
                </c:pt>
                <c:pt idx="9">
                  <c:v>Španielsko</c:v>
                </c:pt>
                <c:pt idx="10">
                  <c:v>Island</c:v>
                </c:pt>
                <c:pt idx="11">
                  <c:v>Portugalsko</c:v>
                </c:pt>
                <c:pt idx="12">
                  <c:v>Veľká Británia</c:v>
                </c:pt>
                <c:pt idx="13">
                  <c:v>Lotyšsko</c:v>
                </c:pt>
                <c:pt idx="14">
                  <c:v>Poľsko</c:v>
                </c:pt>
                <c:pt idx="15">
                  <c:v>Česká republika</c:v>
                </c:pt>
                <c:pt idx="16">
                  <c:v>Francúzsko</c:v>
                </c:pt>
                <c:pt idx="17">
                  <c:v>Taliansko</c:v>
                </c:pt>
                <c:pt idx="18">
                  <c:v>Fínsko</c:v>
                </c:pt>
                <c:pt idx="19">
                  <c:v>Nórsko</c:v>
                </c:pt>
                <c:pt idx="20">
                  <c:v>Rakúsko</c:v>
                </c:pt>
                <c:pt idx="21">
                  <c:v>Slovensko</c:v>
                </c:pt>
                <c:pt idx="22">
                  <c:v>Švédska</c:v>
                </c:pt>
                <c:pt idx="23">
                  <c:v>Dánsko</c:v>
                </c:pt>
                <c:pt idx="24">
                  <c:v>Belgicko</c:v>
                </c:pt>
                <c:pt idx="25">
                  <c:v>Holandsko</c:v>
                </c:pt>
                <c:pt idx="26">
                  <c:v>Luxembursko</c:v>
                </c:pt>
              </c:strCache>
            </c:strRef>
          </c:cat>
          <c:val>
            <c:numRef>
              <c:f>'G18'!$C$5:$C$31</c:f>
              <c:numCache>
                <c:formatCode>0.0</c:formatCode>
                <c:ptCount val="27"/>
                <c:pt idx="0">
                  <c:v>25</c:v>
                </c:pt>
                <c:pt idx="1">
                  <c:v>25</c:v>
                </c:pt>
                <c:pt idx="2">
                  <c:v>25</c:v>
                </c:pt>
                <c:pt idx="3">
                  <c:v>25</c:v>
                </c:pt>
                <c:pt idx="4">
                  <c:v>25</c:v>
                </c:pt>
                <c:pt idx="5">
                  <c:v>25</c:v>
                </c:pt>
                <c:pt idx="6">
                  <c:v>25</c:v>
                </c:pt>
                <c:pt idx="7">
                  <c:v>25</c:v>
                </c:pt>
                <c:pt idx="8">
                  <c:v>25</c:v>
                </c:pt>
                <c:pt idx="9">
                  <c:v>25</c:v>
                </c:pt>
                <c:pt idx="10">
                  <c:v>25</c:v>
                </c:pt>
                <c:pt idx="11">
                  <c:v>25</c:v>
                </c:pt>
                <c:pt idx="12">
                  <c:v>25</c:v>
                </c:pt>
                <c:pt idx="13">
                  <c:v>25</c:v>
                </c:pt>
                <c:pt idx="14">
                  <c:v>25</c:v>
                </c:pt>
                <c:pt idx="15">
                  <c:v>25</c:v>
                </c:pt>
                <c:pt idx="16">
                  <c:v>25</c:v>
                </c:pt>
                <c:pt idx="17">
                  <c:v>25</c:v>
                </c:pt>
                <c:pt idx="18">
                  <c:v>25</c:v>
                </c:pt>
                <c:pt idx="19">
                  <c:v>25</c:v>
                </c:pt>
                <c:pt idx="20">
                  <c:v>25</c:v>
                </c:pt>
                <c:pt idx="21">
                  <c:v>25</c:v>
                </c:pt>
                <c:pt idx="22">
                  <c:v>25</c:v>
                </c:pt>
                <c:pt idx="23">
                  <c:v>25</c:v>
                </c:pt>
                <c:pt idx="24">
                  <c:v>25</c:v>
                </c:pt>
                <c:pt idx="25">
                  <c:v>25</c:v>
                </c:pt>
                <c:pt idx="26">
                  <c:v>25</c:v>
                </c:pt>
              </c:numCache>
            </c:numRef>
          </c:val>
          <c:smooth val="0"/>
          <c:extLst xmlns:c16r2="http://schemas.microsoft.com/office/drawing/2015/06/chart">
            <c:ext xmlns:c16="http://schemas.microsoft.com/office/drawing/2014/chart" uri="{C3380CC4-5D6E-409C-BE32-E72D297353CC}">
              <c16:uniqueId val="{00000003-FC64-4484-A02A-A596DB3D177D}"/>
            </c:ext>
          </c:extLst>
        </c:ser>
        <c:dLbls>
          <c:showLegendKey val="0"/>
          <c:showVal val="0"/>
          <c:showCatName val="0"/>
          <c:showSerName val="0"/>
          <c:showPercent val="0"/>
          <c:showBubbleSize val="0"/>
        </c:dLbls>
        <c:marker val="1"/>
        <c:smooth val="0"/>
        <c:axId val="473915904"/>
        <c:axId val="473916296"/>
      </c:lineChart>
      <c:catAx>
        <c:axId val="473915904"/>
        <c:scaling>
          <c:orientation val="minMax"/>
        </c:scaling>
        <c:delete val="0"/>
        <c:axPos val="b"/>
        <c:numFmt formatCode="General" sourceLinked="1"/>
        <c:majorTickMark val="out"/>
        <c:minorTickMark val="none"/>
        <c:tickLblPos val="nextTo"/>
        <c:crossAx val="473916296"/>
        <c:crosses val="autoZero"/>
        <c:auto val="1"/>
        <c:lblAlgn val="ctr"/>
        <c:lblOffset val="100"/>
        <c:tickLblSkip val="1"/>
        <c:noMultiLvlLbl val="0"/>
      </c:catAx>
      <c:valAx>
        <c:axId val="473916296"/>
        <c:scaling>
          <c:orientation val="minMax"/>
        </c:scaling>
        <c:delete val="0"/>
        <c:axPos val="l"/>
        <c:majorGridlines>
          <c:spPr>
            <a:ln>
              <a:solidFill>
                <a:schemeClr val="bg1">
                  <a:lumMod val="75000"/>
                </a:schemeClr>
              </a:solidFill>
              <a:prstDash val="sysDash"/>
            </a:ln>
          </c:spPr>
        </c:majorGridlines>
        <c:numFmt formatCode="0" sourceLinked="0"/>
        <c:majorTickMark val="out"/>
        <c:minorTickMark val="none"/>
        <c:tickLblPos val="nextTo"/>
        <c:crossAx val="473915904"/>
        <c:crosses val="autoZero"/>
        <c:crossBetween val="between"/>
      </c:valAx>
    </c:plotArea>
    <c:plotVisOnly val="1"/>
    <c:dispBlanksAs val="gap"/>
    <c:showDLblsOverMax val="0"/>
  </c:chart>
  <c:spPr>
    <a:ln>
      <a:noFill/>
    </a:ln>
  </c:spPr>
  <c:txPr>
    <a:bodyPr/>
    <a:lstStyle/>
    <a:p>
      <a:pPr>
        <a:defRPr sz="800">
          <a:latin typeface="Arial Narrow" panose="020B0606020202030204" pitchFamily="34" charset="0"/>
        </a:defRPr>
      </a:pPr>
      <a:endParaRPr lang="sk-SK"/>
    </a:p>
  </c:txPr>
  <c:externalData r:id="rId2">
    <c:autoUpdate val="0"/>
  </c:externalData>
  <c:userShapes r:id="rId3"/>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272994023446799E-2"/>
          <c:y val="6.5573770491803296E-2"/>
          <c:w val="0.93253494644888502"/>
          <c:h val="0.70071305021298602"/>
        </c:manualLayout>
      </c:layout>
      <c:lineChart>
        <c:grouping val="standard"/>
        <c:varyColors val="0"/>
        <c:ser>
          <c:idx val="0"/>
          <c:order val="0"/>
          <c:tx>
            <c:strRef>
              <c:f>Hárok1!$AE$3</c:f>
              <c:strCache>
                <c:ptCount val="1"/>
                <c:pt idx="0">
                  <c:v>Medián</c:v>
                </c:pt>
              </c:strCache>
            </c:strRef>
          </c:tx>
          <c:spPr>
            <a:ln w="28575" cap="rnd" cmpd="sng" algn="ctr">
              <a:noFill/>
              <a:prstDash val="solid"/>
              <a:round/>
            </a:ln>
            <a:effectLst/>
          </c:spPr>
          <c:marker>
            <c:symbol val="diamond"/>
            <c:size val="5"/>
            <c:spPr>
              <a:solidFill>
                <a:schemeClr val="bg1">
                  <a:lumMod val="75000"/>
                </a:schemeClr>
              </a:solidFill>
              <a:ln w="9525" cap="flat" cmpd="sng" algn="ctr">
                <a:solidFill>
                  <a:schemeClr val="tx1"/>
                </a:solidFill>
                <a:prstDash val="solid"/>
                <a:round/>
              </a:ln>
              <a:effectLst/>
            </c:spPr>
          </c:marker>
          <c:dPt>
            <c:idx val="21"/>
            <c:bubble3D val="0"/>
            <c:extLst xmlns:c16r2="http://schemas.microsoft.com/office/drawing/2015/06/chart">
              <c:ext xmlns:c16="http://schemas.microsoft.com/office/drawing/2014/chart" uri="{C3380CC4-5D6E-409C-BE32-E72D297353CC}">
                <c16:uniqueId val="{00000000-D197-4027-8C00-F1661D8245FF}"/>
              </c:ext>
            </c:extLst>
          </c:dPt>
          <c:cat>
            <c:strRef>
              <c:f>Hárok1!$AD$4:$AD$31</c:f>
              <c:strCache>
                <c:ptCount val="28"/>
                <c:pt idx="0">
                  <c:v>Švédsko</c:v>
                </c:pt>
                <c:pt idx="1">
                  <c:v>Estonsko</c:v>
                </c:pt>
                <c:pt idx="2">
                  <c:v>Fínsko</c:v>
                </c:pt>
                <c:pt idx="3">
                  <c:v>Španielsko</c:v>
                </c:pt>
                <c:pt idx="4">
                  <c:v>Portugalsko</c:v>
                </c:pt>
                <c:pt idx="5">
                  <c:v>Grécko</c:v>
                </c:pt>
                <c:pt idx="6">
                  <c:v>Dánsko</c:v>
                </c:pt>
                <c:pt idx="7">
                  <c:v>Írsko</c:v>
                </c:pt>
                <c:pt idx="8">
                  <c:v>Malta</c:v>
                </c:pt>
                <c:pt idx="9">
                  <c:v>Veľká Británia</c:v>
                </c:pt>
                <c:pt idx="10">
                  <c:v>Lotyšsko</c:v>
                </c:pt>
                <c:pt idx="11">
                  <c:v>Holandsko</c:v>
                </c:pt>
                <c:pt idx="12">
                  <c:v>Nemecko</c:v>
                </c:pt>
                <c:pt idx="13">
                  <c:v>Francúzsko</c:v>
                </c:pt>
                <c:pt idx="14">
                  <c:v>Belgicko</c:v>
                </c:pt>
                <c:pt idx="15">
                  <c:v>Luxemburg</c:v>
                </c:pt>
                <c:pt idx="16">
                  <c:v>Rakúsko</c:v>
                </c:pt>
                <c:pt idx="17">
                  <c:v>Cyprus</c:v>
                </c:pt>
                <c:pt idx="18">
                  <c:v>Rumunsko</c:v>
                </c:pt>
                <c:pt idx="19">
                  <c:v>Taliansko</c:v>
                </c:pt>
                <c:pt idx="20">
                  <c:v>Maďarsko</c:v>
                </c:pt>
                <c:pt idx="21">
                  <c:v>Slovensko</c:v>
                </c:pt>
                <c:pt idx="22">
                  <c:v>Bulharsko</c:v>
                </c:pt>
                <c:pt idx="23">
                  <c:v>Slovinsko</c:v>
                </c:pt>
                <c:pt idx="24">
                  <c:v>Litva</c:v>
                </c:pt>
                <c:pt idx="25">
                  <c:v>Česká republika</c:v>
                </c:pt>
                <c:pt idx="26">
                  <c:v>Chorvátsko</c:v>
                </c:pt>
                <c:pt idx="27">
                  <c:v>Poľsko</c:v>
                </c:pt>
              </c:strCache>
            </c:strRef>
          </c:cat>
          <c:val>
            <c:numRef>
              <c:f>Hárok1!$AE$4:$AE$31</c:f>
              <c:numCache>
                <c:formatCode>General</c:formatCode>
                <c:ptCount val="28"/>
                <c:pt idx="0">
                  <c:v>5.3</c:v>
                </c:pt>
                <c:pt idx="1">
                  <c:v>6.4</c:v>
                </c:pt>
                <c:pt idx="2">
                  <c:v>6.7</c:v>
                </c:pt>
                <c:pt idx="3">
                  <c:v>8.2000000000000011</c:v>
                </c:pt>
                <c:pt idx="4">
                  <c:v>8.6</c:v>
                </c:pt>
                <c:pt idx="5">
                  <c:v>10</c:v>
                </c:pt>
                <c:pt idx="6">
                  <c:v>10.6</c:v>
                </c:pt>
                <c:pt idx="7">
                  <c:v>11</c:v>
                </c:pt>
                <c:pt idx="8">
                  <c:v>11.4</c:v>
                </c:pt>
                <c:pt idx="9">
                  <c:v>12.8</c:v>
                </c:pt>
                <c:pt idx="10">
                  <c:v>14.4</c:v>
                </c:pt>
                <c:pt idx="11">
                  <c:v>14.5</c:v>
                </c:pt>
                <c:pt idx="12">
                  <c:v>14.6</c:v>
                </c:pt>
                <c:pt idx="13">
                  <c:v>14.8</c:v>
                </c:pt>
                <c:pt idx="14">
                  <c:v>15.2</c:v>
                </c:pt>
                <c:pt idx="15">
                  <c:v>15.9</c:v>
                </c:pt>
                <c:pt idx="16">
                  <c:v>16.399999999999999</c:v>
                </c:pt>
                <c:pt idx="17">
                  <c:v>16.5</c:v>
                </c:pt>
                <c:pt idx="18">
                  <c:v>16.899999999999999</c:v>
                </c:pt>
                <c:pt idx="19">
                  <c:v>17.2</c:v>
                </c:pt>
                <c:pt idx="20">
                  <c:v>17.2</c:v>
                </c:pt>
                <c:pt idx="21">
                  <c:v>18.600000000000001</c:v>
                </c:pt>
                <c:pt idx="22">
                  <c:v>19.600000000000001</c:v>
                </c:pt>
                <c:pt idx="23">
                  <c:v>19.899999999999999</c:v>
                </c:pt>
                <c:pt idx="24">
                  <c:v>20.399999999999999</c:v>
                </c:pt>
                <c:pt idx="25">
                  <c:v>20.399999999999999</c:v>
                </c:pt>
                <c:pt idx="26">
                  <c:v>23</c:v>
                </c:pt>
                <c:pt idx="27">
                  <c:v>24.3</c:v>
                </c:pt>
              </c:numCache>
            </c:numRef>
          </c:val>
          <c:smooth val="0"/>
          <c:extLst xmlns:c16r2="http://schemas.microsoft.com/office/drawing/2015/06/chart">
            <c:ext xmlns:c16="http://schemas.microsoft.com/office/drawing/2014/chart" uri="{C3380CC4-5D6E-409C-BE32-E72D297353CC}">
              <c16:uniqueId val="{00000001-D197-4027-8C00-F1661D8245FF}"/>
            </c:ext>
          </c:extLst>
        </c:ser>
        <c:ser>
          <c:idx val="1"/>
          <c:order val="1"/>
          <c:tx>
            <c:strRef>
              <c:f>Hárok1!$AF$3</c:f>
              <c:strCache>
                <c:ptCount val="1"/>
                <c:pt idx="0">
                  <c:v>1. kvartil</c:v>
                </c:pt>
              </c:strCache>
            </c:strRef>
          </c:tx>
          <c:spPr>
            <a:ln w="28575" cap="rnd" cmpd="sng" algn="ctr">
              <a:noFill/>
              <a:prstDash val="solid"/>
              <a:round/>
            </a:ln>
            <a:effectLst/>
          </c:spPr>
          <c:marker>
            <c:symbol val="circle"/>
            <c:size val="5"/>
            <c:spPr>
              <a:solidFill>
                <a:schemeClr val="bg1">
                  <a:lumMod val="75000"/>
                </a:schemeClr>
              </a:solidFill>
              <a:ln w="9525" cap="flat" cmpd="sng" algn="ctr">
                <a:solidFill>
                  <a:schemeClr val="tx1"/>
                </a:solidFill>
                <a:prstDash val="solid"/>
                <a:round/>
              </a:ln>
              <a:effectLst/>
            </c:spPr>
          </c:marker>
          <c:dPt>
            <c:idx val="21"/>
            <c:bubble3D val="0"/>
            <c:extLst xmlns:c16r2="http://schemas.microsoft.com/office/drawing/2015/06/chart">
              <c:ext xmlns:c16="http://schemas.microsoft.com/office/drawing/2014/chart" uri="{C3380CC4-5D6E-409C-BE32-E72D297353CC}">
                <c16:uniqueId val="{00000002-D197-4027-8C00-F1661D8245FF}"/>
              </c:ext>
            </c:extLst>
          </c:dPt>
          <c:cat>
            <c:strRef>
              <c:f>Hárok1!$AD$4:$AD$31</c:f>
              <c:strCache>
                <c:ptCount val="28"/>
                <c:pt idx="0">
                  <c:v>Švédsko</c:v>
                </c:pt>
                <c:pt idx="1">
                  <c:v>Estonsko</c:v>
                </c:pt>
                <c:pt idx="2">
                  <c:v>Fínsko</c:v>
                </c:pt>
                <c:pt idx="3">
                  <c:v>Španielsko</c:v>
                </c:pt>
                <c:pt idx="4">
                  <c:v>Portugalsko</c:v>
                </c:pt>
                <c:pt idx="5">
                  <c:v>Grécko</c:v>
                </c:pt>
                <c:pt idx="6">
                  <c:v>Dánsko</c:v>
                </c:pt>
                <c:pt idx="7">
                  <c:v>Írsko</c:v>
                </c:pt>
                <c:pt idx="8">
                  <c:v>Malta</c:v>
                </c:pt>
                <c:pt idx="9">
                  <c:v>Veľká Británia</c:v>
                </c:pt>
                <c:pt idx="10">
                  <c:v>Lotyšsko</c:v>
                </c:pt>
                <c:pt idx="11">
                  <c:v>Holandsko</c:v>
                </c:pt>
                <c:pt idx="12">
                  <c:v>Nemecko</c:v>
                </c:pt>
                <c:pt idx="13">
                  <c:v>Francúzsko</c:v>
                </c:pt>
                <c:pt idx="14">
                  <c:v>Belgicko</c:v>
                </c:pt>
                <c:pt idx="15">
                  <c:v>Luxemburg</c:v>
                </c:pt>
                <c:pt idx="16">
                  <c:v>Rakúsko</c:v>
                </c:pt>
                <c:pt idx="17">
                  <c:v>Cyprus</c:v>
                </c:pt>
                <c:pt idx="18">
                  <c:v>Rumunsko</c:v>
                </c:pt>
                <c:pt idx="19">
                  <c:v>Taliansko</c:v>
                </c:pt>
                <c:pt idx="20">
                  <c:v>Maďarsko</c:v>
                </c:pt>
                <c:pt idx="21">
                  <c:v>Slovensko</c:v>
                </c:pt>
                <c:pt idx="22">
                  <c:v>Bulharsko</c:v>
                </c:pt>
                <c:pt idx="23">
                  <c:v>Slovinsko</c:v>
                </c:pt>
                <c:pt idx="24">
                  <c:v>Litva</c:v>
                </c:pt>
                <c:pt idx="25">
                  <c:v>Česká republika</c:v>
                </c:pt>
                <c:pt idx="26">
                  <c:v>Chorvátsko</c:v>
                </c:pt>
                <c:pt idx="27">
                  <c:v>Poľsko</c:v>
                </c:pt>
              </c:strCache>
            </c:strRef>
          </c:cat>
          <c:val>
            <c:numRef>
              <c:f>Hárok1!$AF$4:$AF$31</c:f>
              <c:numCache>
                <c:formatCode>General</c:formatCode>
                <c:ptCount val="28"/>
                <c:pt idx="0">
                  <c:v>4.3</c:v>
                </c:pt>
                <c:pt idx="1">
                  <c:v>5.5</c:v>
                </c:pt>
                <c:pt idx="2">
                  <c:v>6.2</c:v>
                </c:pt>
                <c:pt idx="3">
                  <c:v>6.9</c:v>
                </c:pt>
                <c:pt idx="4">
                  <c:v>5.2</c:v>
                </c:pt>
                <c:pt idx="5">
                  <c:v>10</c:v>
                </c:pt>
                <c:pt idx="6">
                  <c:v>10</c:v>
                </c:pt>
                <c:pt idx="7">
                  <c:v>9.8000000000000007</c:v>
                </c:pt>
                <c:pt idx="8">
                  <c:v>10.9</c:v>
                </c:pt>
                <c:pt idx="9">
                  <c:v>11.5</c:v>
                </c:pt>
                <c:pt idx="10">
                  <c:v>11.3</c:v>
                </c:pt>
                <c:pt idx="11">
                  <c:v>13.7</c:v>
                </c:pt>
                <c:pt idx="12">
                  <c:v>13.2</c:v>
                </c:pt>
                <c:pt idx="13">
                  <c:v>13</c:v>
                </c:pt>
                <c:pt idx="14">
                  <c:v>13.7</c:v>
                </c:pt>
                <c:pt idx="15">
                  <c:v>15.3</c:v>
                </c:pt>
                <c:pt idx="16">
                  <c:v>15</c:v>
                </c:pt>
                <c:pt idx="17">
                  <c:v>16.5</c:v>
                </c:pt>
                <c:pt idx="18">
                  <c:v>14.5</c:v>
                </c:pt>
                <c:pt idx="19">
                  <c:v>14</c:v>
                </c:pt>
                <c:pt idx="20">
                  <c:v>16.5</c:v>
                </c:pt>
                <c:pt idx="21">
                  <c:v>15.8</c:v>
                </c:pt>
                <c:pt idx="22">
                  <c:v>11.9</c:v>
                </c:pt>
                <c:pt idx="23">
                  <c:v>17.3</c:v>
                </c:pt>
                <c:pt idx="24">
                  <c:v>16.7</c:v>
                </c:pt>
                <c:pt idx="25">
                  <c:v>16.899999999999999</c:v>
                </c:pt>
                <c:pt idx="26">
                  <c:v>22.3</c:v>
                </c:pt>
                <c:pt idx="27">
                  <c:v>20.399999999999999</c:v>
                </c:pt>
              </c:numCache>
            </c:numRef>
          </c:val>
          <c:smooth val="0"/>
          <c:extLst xmlns:c16r2="http://schemas.microsoft.com/office/drawing/2015/06/chart">
            <c:ext xmlns:c16="http://schemas.microsoft.com/office/drawing/2014/chart" uri="{C3380CC4-5D6E-409C-BE32-E72D297353CC}">
              <c16:uniqueId val="{00000003-D197-4027-8C00-F1661D8245FF}"/>
            </c:ext>
          </c:extLst>
        </c:ser>
        <c:ser>
          <c:idx val="2"/>
          <c:order val="2"/>
          <c:tx>
            <c:strRef>
              <c:f>Hárok1!$AG$3</c:f>
              <c:strCache>
                <c:ptCount val="1"/>
                <c:pt idx="0">
                  <c:v>3. kvartil</c:v>
                </c:pt>
              </c:strCache>
            </c:strRef>
          </c:tx>
          <c:spPr>
            <a:ln w="28575" cap="rnd" cmpd="sng" algn="ctr">
              <a:noFill/>
              <a:prstDash val="solid"/>
              <a:round/>
            </a:ln>
            <a:effectLst/>
          </c:spPr>
          <c:marker>
            <c:symbol val="circle"/>
            <c:size val="5"/>
            <c:spPr>
              <a:solidFill>
                <a:schemeClr val="tx1"/>
              </a:solidFill>
              <a:ln w="9525" cap="flat" cmpd="sng" algn="ctr">
                <a:solidFill>
                  <a:schemeClr val="tx1"/>
                </a:solidFill>
                <a:prstDash val="solid"/>
                <a:round/>
              </a:ln>
              <a:effectLst/>
            </c:spPr>
          </c:marker>
          <c:dPt>
            <c:idx val="21"/>
            <c:bubble3D val="0"/>
            <c:extLst xmlns:c16r2="http://schemas.microsoft.com/office/drawing/2015/06/chart">
              <c:ext xmlns:c16="http://schemas.microsoft.com/office/drawing/2014/chart" uri="{C3380CC4-5D6E-409C-BE32-E72D297353CC}">
                <c16:uniqueId val="{00000004-D197-4027-8C00-F1661D8245FF}"/>
              </c:ext>
            </c:extLst>
          </c:dPt>
          <c:cat>
            <c:strRef>
              <c:f>Hárok1!$AD$4:$AD$31</c:f>
              <c:strCache>
                <c:ptCount val="28"/>
                <c:pt idx="0">
                  <c:v>Švédsko</c:v>
                </c:pt>
                <c:pt idx="1">
                  <c:v>Estonsko</c:v>
                </c:pt>
                <c:pt idx="2">
                  <c:v>Fínsko</c:v>
                </c:pt>
                <c:pt idx="3">
                  <c:v>Španielsko</c:v>
                </c:pt>
                <c:pt idx="4">
                  <c:v>Portugalsko</c:v>
                </c:pt>
                <c:pt idx="5">
                  <c:v>Grécko</c:v>
                </c:pt>
                <c:pt idx="6">
                  <c:v>Dánsko</c:v>
                </c:pt>
                <c:pt idx="7">
                  <c:v>Írsko</c:v>
                </c:pt>
                <c:pt idx="8">
                  <c:v>Malta</c:v>
                </c:pt>
                <c:pt idx="9">
                  <c:v>Veľká Británia</c:v>
                </c:pt>
                <c:pt idx="10">
                  <c:v>Lotyšsko</c:v>
                </c:pt>
                <c:pt idx="11">
                  <c:v>Holandsko</c:v>
                </c:pt>
                <c:pt idx="12">
                  <c:v>Nemecko</c:v>
                </c:pt>
                <c:pt idx="13">
                  <c:v>Francúzsko</c:v>
                </c:pt>
                <c:pt idx="14">
                  <c:v>Belgicko</c:v>
                </c:pt>
                <c:pt idx="15">
                  <c:v>Luxemburg</c:v>
                </c:pt>
                <c:pt idx="16">
                  <c:v>Rakúsko</c:v>
                </c:pt>
                <c:pt idx="17">
                  <c:v>Cyprus</c:v>
                </c:pt>
                <c:pt idx="18">
                  <c:v>Rumunsko</c:v>
                </c:pt>
                <c:pt idx="19">
                  <c:v>Taliansko</c:v>
                </c:pt>
                <c:pt idx="20">
                  <c:v>Maďarsko</c:v>
                </c:pt>
                <c:pt idx="21">
                  <c:v>Slovensko</c:v>
                </c:pt>
                <c:pt idx="22">
                  <c:v>Bulharsko</c:v>
                </c:pt>
                <c:pt idx="23">
                  <c:v>Slovinsko</c:v>
                </c:pt>
                <c:pt idx="24">
                  <c:v>Litva</c:v>
                </c:pt>
                <c:pt idx="25">
                  <c:v>Česká republika</c:v>
                </c:pt>
                <c:pt idx="26">
                  <c:v>Chorvátsko</c:v>
                </c:pt>
                <c:pt idx="27">
                  <c:v>Poľsko</c:v>
                </c:pt>
              </c:strCache>
            </c:strRef>
          </c:cat>
          <c:val>
            <c:numRef>
              <c:f>Hárok1!$AG$4:$AG$31</c:f>
              <c:numCache>
                <c:formatCode>General</c:formatCode>
                <c:ptCount val="28"/>
                <c:pt idx="0">
                  <c:v>6.7</c:v>
                </c:pt>
                <c:pt idx="1">
                  <c:v>7.9</c:v>
                </c:pt>
                <c:pt idx="2">
                  <c:v>7</c:v>
                </c:pt>
                <c:pt idx="3">
                  <c:v>10.3</c:v>
                </c:pt>
                <c:pt idx="4">
                  <c:v>11.3</c:v>
                </c:pt>
                <c:pt idx="5">
                  <c:v>10</c:v>
                </c:pt>
                <c:pt idx="6">
                  <c:v>11.9</c:v>
                </c:pt>
                <c:pt idx="7">
                  <c:v>11.1</c:v>
                </c:pt>
                <c:pt idx="8">
                  <c:v>14.6</c:v>
                </c:pt>
                <c:pt idx="9">
                  <c:v>14.2</c:v>
                </c:pt>
                <c:pt idx="10">
                  <c:v>17.2</c:v>
                </c:pt>
                <c:pt idx="11">
                  <c:v>15.5</c:v>
                </c:pt>
                <c:pt idx="12">
                  <c:v>15.9</c:v>
                </c:pt>
                <c:pt idx="13">
                  <c:v>17.100000000000001</c:v>
                </c:pt>
                <c:pt idx="14">
                  <c:v>17.7</c:v>
                </c:pt>
                <c:pt idx="15">
                  <c:v>16.3</c:v>
                </c:pt>
                <c:pt idx="16">
                  <c:v>17.8</c:v>
                </c:pt>
                <c:pt idx="17">
                  <c:v>17</c:v>
                </c:pt>
                <c:pt idx="18">
                  <c:v>19</c:v>
                </c:pt>
                <c:pt idx="19">
                  <c:v>22.4</c:v>
                </c:pt>
                <c:pt idx="20">
                  <c:v>17.5</c:v>
                </c:pt>
                <c:pt idx="21">
                  <c:v>20.8</c:v>
                </c:pt>
                <c:pt idx="22">
                  <c:v>30.7</c:v>
                </c:pt>
                <c:pt idx="23">
                  <c:v>20.6</c:v>
                </c:pt>
                <c:pt idx="24">
                  <c:v>21.7</c:v>
                </c:pt>
                <c:pt idx="25">
                  <c:v>21.9</c:v>
                </c:pt>
                <c:pt idx="26">
                  <c:v>23.6</c:v>
                </c:pt>
                <c:pt idx="27">
                  <c:v>28.1</c:v>
                </c:pt>
              </c:numCache>
            </c:numRef>
          </c:val>
          <c:smooth val="0"/>
          <c:extLst xmlns:c16r2="http://schemas.microsoft.com/office/drawing/2015/06/chart">
            <c:ext xmlns:c16="http://schemas.microsoft.com/office/drawing/2014/chart" uri="{C3380CC4-5D6E-409C-BE32-E72D297353CC}">
              <c16:uniqueId val="{00000005-D197-4027-8C00-F1661D8245FF}"/>
            </c:ext>
          </c:extLst>
        </c:ser>
        <c:dLbls>
          <c:showLegendKey val="0"/>
          <c:showVal val="0"/>
          <c:showCatName val="0"/>
          <c:showSerName val="0"/>
          <c:showPercent val="0"/>
          <c:showBubbleSize val="0"/>
        </c:dLbls>
        <c:marker val="1"/>
        <c:smooth val="0"/>
        <c:axId val="473917080"/>
        <c:axId val="473917472"/>
      </c:lineChart>
      <c:lineChart>
        <c:grouping val="standard"/>
        <c:varyColors val="0"/>
        <c:ser>
          <c:idx val="3"/>
          <c:order val="3"/>
          <c:tx>
            <c:strRef>
              <c:f>Hárok1!$AH$3</c:f>
              <c:strCache>
                <c:ptCount val="1"/>
                <c:pt idx="0">
                  <c:v>Cieľ EÚ</c:v>
                </c:pt>
              </c:strCache>
            </c:strRef>
          </c:tx>
          <c:spPr>
            <a:ln w="12700" cap="rnd" cmpd="sng" algn="ctr">
              <a:solidFill>
                <a:schemeClr val="tx1"/>
              </a:solidFill>
              <a:prstDash val="solid"/>
              <a:round/>
            </a:ln>
            <a:effectLst/>
          </c:spPr>
          <c:marker>
            <c:symbol val="none"/>
          </c:marker>
          <c:dPt>
            <c:idx val="13"/>
            <c:bubble3D val="0"/>
            <c:extLst xmlns:c16r2="http://schemas.microsoft.com/office/drawing/2015/06/chart">
              <c:ext xmlns:c16="http://schemas.microsoft.com/office/drawing/2014/chart" uri="{C3380CC4-5D6E-409C-BE32-E72D297353CC}">
                <c16:uniqueId val="{00000003-9D94-4ACD-8C9A-7B844526C49B}"/>
              </c:ext>
            </c:extLst>
          </c:dPt>
          <c:cat>
            <c:strRef>
              <c:f>Hárok1!$AD$4:$AD$31</c:f>
              <c:strCache>
                <c:ptCount val="28"/>
                <c:pt idx="0">
                  <c:v>Švédsko</c:v>
                </c:pt>
                <c:pt idx="1">
                  <c:v>Estonsko</c:v>
                </c:pt>
                <c:pt idx="2">
                  <c:v>Fínsko</c:v>
                </c:pt>
                <c:pt idx="3">
                  <c:v>Španielsko</c:v>
                </c:pt>
                <c:pt idx="4">
                  <c:v>Portugalsko</c:v>
                </c:pt>
                <c:pt idx="5">
                  <c:v>Grécko</c:v>
                </c:pt>
                <c:pt idx="6">
                  <c:v>Dánsko</c:v>
                </c:pt>
                <c:pt idx="7">
                  <c:v>Írsko</c:v>
                </c:pt>
                <c:pt idx="8">
                  <c:v>Malta</c:v>
                </c:pt>
                <c:pt idx="9">
                  <c:v>Veľká Británia</c:v>
                </c:pt>
                <c:pt idx="10">
                  <c:v>Lotyšsko</c:v>
                </c:pt>
                <c:pt idx="11">
                  <c:v>Holandsko</c:v>
                </c:pt>
                <c:pt idx="12">
                  <c:v>Nemecko</c:v>
                </c:pt>
                <c:pt idx="13">
                  <c:v>Francúzsko</c:v>
                </c:pt>
                <c:pt idx="14">
                  <c:v>Belgicko</c:v>
                </c:pt>
                <c:pt idx="15">
                  <c:v>Luxemburg</c:v>
                </c:pt>
                <c:pt idx="16">
                  <c:v>Rakúsko</c:v>
                </c:pt>
                <c:pt idx="17">
                  <c:v>Cyprus</c:v>
                </c:pt>
                <c:pt idx="18">
                  <c:v>Rumunsko</c:v>
                </c:pt>
                <c:pt idx="19">
                  <c:v>Taliansko</c:v>
                </c:pt>
                <c:pt idx="20">
                  <c:v>Maďarsko</c:v>
                </c:pt>
                <c:pt idx="21">
                  <c:v>Slovensko</c:v>
                </c:pt>
                <c:pt idx="22">
                  <c:v>Bulharsko</c:v>
                </c:pt>
                <c:pt idx="23">
                  <c:v>Slovinsko</c:v>
                </c:pt>
                <c:pt idx="24">
                  <c:v>Litva</c:v>
                </c:pt>
                <c:pt idx="25">
                  <c:v>Česká republika</c:v>
                </c:pt>
                <c:pt idx="26">
                  <c:v>Chorvátsko</c:v>
                </c:pt>
                <c:pt idx="27">
                  <c:v>Poľsko</c:v>
                </c:pt>
              </c:strCache>
            </c:strRef>
          </c:cat>
          <c:val>
            <c:numRef>
              <c:f>Hárok1!$AH$4:$AH$31</c:f>
              <c:numCache>
                <c:formatCode>General</c:formatCode>
                <c:ptCount val="28"/>
                <c:pt idx="0">
                  <c:v>25</c:v>
                </c:pt>
                <c:pt idx="1">
                  <c:v>25</c:v>
                </c:pt>
                <c:pt idx="2">
                  <c:v>25</c:v>
                </c:pt>
                <c:pt idx="3">
                  <c:v>25</c:v>
                </c:pt>
                <c:pt idx="4">
                  <c:v>25</c:v>
                </c:pt>
                <c:pt idx="5">
                  <c:v>25</c:v>
                </c:pt>
                <c:pt idx="6">
                  <c:v>25</c:v>
                </c:pt>
                <c:pt idx="7">
                  <c:v>25</c:v>
                </c:pt>
                <c:pt idx="8">
                  <c:v>25</c:v>
                </c:pt>
                <c:pt idx="9">
                  <c:v>25</c:v>
                </c:pt>
                <c:pt idx="10">
                  <c:v>25</c:v>
                </c:pt>
                <c:pt idx="11">
                  <c:v>25</c:v>
                </c:pt>
                <c:pt idx="12">
                  <c:v>25</c:v>
                </c:pt>
                <c:pt idx="13">
                  <c:v>25</c:v>
                </c:pt>
                <c:pt idx="14">
                  <c:v>25</c:v>
                </c:pt>
                <c:pt idx="15">
                  <c:v>25</c:v>
                </c:pt>
                <c:pt idx="16">
                  <c:v>25</c:v>
                </c:pt>
                <c:pt idx="17">
                  <c:v>25</c:v>
                </c:pt>
                <c:pt idx="18">
                  <c:v>25</c:v>
                </c:pt>
                <c:pt idx="19">
                  <c:v>25</c:v>
                </c:pt>
                <c:pt idx="20">
                  <c:v>25</c:v>
                </c:pt>
                <c:pt idx="21">
                  <c:v>25</c:v>
                </c:pt>
                <c:pt idx="22">
                  <c:v>25</c:v>
                </c:pt>
                <c:pt idx="23">
                  <c:v>25</c:v>
                </c:pt>
                <c:pt idx="24">
                  <c:v>25</c:v>
                </c:pt>
                <c:pt idx="25">
                  <c:v>25</c:v>
                </c:pt>
                <c:pt idx="26">
                  <c:v>25</c:v>
                </c:pt>
                <c:pt idx="27">
                  <c:v>25</c:v>
                </c:pt>
              </c:numCache>
            </c:numRef>
          </c:val>
          <c:smooth val="0"/>
          <c:extLst xmlns:c16r2="http://schemas.microsoft.com/office/drawing/2015/06/chart">
            <c:ext xmlns:c16="http://schemas.microsoft.com/office/drawing/2014/chart" uri="{C3380CC4-5D6E-409C-BE32-E72D297353CC}">
              <c16:uniqueId val="{00000006-D197-4027-8C00-F1661D8245FF}"/>
            </c:ext>
          </c:extLst>
        </c:ser>
        <c:dLbls>
          <c:showLegendKey val="0"/>
          <c:showVal val="0"/>
          <c:showCatName val="0"/>
          <c:showSerName val="0"/>
          <c:showPercent val="0"/>
          <c:showBubbleSize val="0"/>
        </c:dLbls>
        <c:marker val="1"/>
        <c:smooth val="0"/>
        <c:axId val="474494992"/>
        <c:axId val="473917864"/>
      </c:lineChart>
      <c:catAx>
        <c:axId val="473917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endParaRPr lang="sk-SK"/>
          </a:p>
        </c:txPr>
        <c:crossAx val="473917472"/>
        <c:crosses val="autoZero"/>
        <c:auto val="1"/>
        <c:lblAlgn val="ctr"/>
        <c:lblOffset val="100"/>
        <c:tickLblSkip val="1"/>
        <c:noMultiLvlLbl val="0"/>
      </c:catAx>
      <c:valAx>
        <c:axId val="473917472"/>
        <c:scaling>
          <c:orientation val="minMax"/>
          <c:max val="35"/>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473917080"/>
        <c:crosses val="autoZero"/>
        <c:crossBetween val="between"/>
      </c:valAx>
      <c:valAx>
        <c:axId val="473917864"/>
        <c:scaling>
          <c:orientation val="minMax"/>
          <c:max val="45"/>
        </c:scaling>
        <c:delete val="1"/>
        <c:axPos val="r"/>
        <c:numFmt formatCode="General" sourceLinked="1"/>
        <c:majorTickMark val="out"/>
        <c:minorTickMark val="none"/>
        <c:tickLblPos val="nextTo"/>
        <c:crossAx val="474494992"/>
        <c:crosses val="max"/>
        <c:crossBetween val="between"/>
      </c:valAx>
      <c:catAx>
        <c:axId val="474494992"/>
        <c:scaling>
          <c:orientation val="minMax"/>
        </c:scaling>
        <c:delete val="1"/>
        <c:axPos val="b"/>
        <c:numFmt formatCode="General" sourceLinked="1"/>
        <c:majorTickMark val="out"/>
        <c:minorTickMark val="none"/>
        <c:tickLblPos val="nextTo"/>
        <c:crossAx val="473917864"/>
        <c:crosses val="autoZero"/>
        <c:auto val="1"/>
        <c:lblAlgn val="ctr"/>
        <c:lblOffset val="100"/>
        <c:noMultiLvlLbl val="0"/>
      </c:catAx>
      <c:spPr>
        <a:noFill/>
        <a:ln>
          <a:noFill/>
        </a:ln>
        <a:effectLst/>
      </c:spPr>
    </c:plotArea>
    <c:legend>
      <c:legendPos val="b"/>
      <c:layout>
        <c:manualLayout>
          <c:xMode val="edge"/>
          <c:yMode val="edge"/>
          <c:x val="0.14464641919759999"/>
          <c:y val="7.6014973538143807E-2"/>
          <c:w val="0.49371311994170097"/>
          <c:h val="8.442834164495689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sk-SK"/>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417436997626964E-2"/>
          <c:y val="5.5989236111111111E-2"/>
          <c:w val="0.93616132135261021"/>
          <c:h val="0.86336284722222201"/>
        </c:manualLayout>
      </c:layout>
      <c:barChart>
        <c:barDir val="col"/>
        <c:grouping val="clustered"/>
        <c:varyColors val="0"/>
        <c:ser>
          <c:idx val="0"/>
          <c:order val="0"/>
          <c:spPr>
            <a:solidFill>
              <a:sysClr val="windowText" lastClr="000000"/>
            </a:solidFill>
            <a:ln>
              <a:solidFill>
                <a:sysClr val="windowText" lastClr="000000"/>
              </a:solidFill>
            </a:ln>
          </c:spPr>
          <c:invertIfNegative val="0"/>
          <c:dPt>
            <c:idx val="23"/>
            <c:invertIfNegative val="0"/>
            <c:bubble3D val="0"/>
            <c:spPr>
              <a:solidFill>
                <a:sysClr val="window" lastClr="FFFFFF">
                  <a:lumMod val="75000"/>
                </a:sysClr>
              </a:solidFill>
              <a:ln>
                <a:solidFill>
                  <a:sysClr val="window" lastClr="FFFFFF">
                    <a:lumMod val="75000"/>
                  </a:sysClr>
                </a:solidFill>
              </a:ln>
            </c:spPr>
            <c:extLst xmlns:c16r2="http://schemas.microsoft.com/office/drawing/2015/06/chart">
              <c:ext xmlns:c16="http://schemas.microsoft.com/office/drawing/2014/chart" uri="{C3380CC4-5D6E-409C-BE32-E72D297353CC}">
                <c16:uniqueId val="{00000001-FB47-4583-9CF5-1319FDBB7388}"/>
              </c:ext>
            </c:extLst>
          </c:dPt>
          <c:dPt>
            <c:idx val="25"/>
            <c:invertIfNegative val="0"/>
            <c:bubble3D val="0"/>
            <c:extLst xmlns:c16r2="http://schemas.microsoft.com/office/drawing/2015/06/chart">
              <c:ext xmlns:c16="http://schemas.microsoft.com/office/drawing/2014/chart" uri="{C3380CC4-5D6E-409C-BE32-E72D297353CC}">
                <c16:uniqueId val="{00000002-FB47-4583-9CF5-1319FDBB7388}"/>
              </c:ext>
            </c:extLst>
          </c:dPt>
          <c:cat>
            <c:strRef>
              <c:f>'G28'!$A$5:$A$32</c:f>
              <c:strCache>
                <c:ptCount val="28"/>
                <c:pt idx="0">
                  <c:v>Fínsko</c:v>
                </c:pt>
                <c:pt idx="1">
                  <c:v>Írsko</c:v>
                </c:pt>
                <c:pt idx="2">
                  <c:v>Malta</c:v>
                </c:pt>
                <c:pt idx="3">
                  <c:v>Portugalsko</c:v>
                </c:pt>
                <c:pt idx="4">
                  <c:v>Estónsko</c:v>
                </c:pt>
                <c:pt idx="5">
                  <c:v>Španielsko</c:v>
                </c:pt>
                <c:pt idx="6">
                  <c:v>Švédsko</c:v>
                </c:pt>
                <c:pt idx="7">
                  <c:v>Veľká Británia</c:v>
                </c:pt>
                <c:pt idx="8">
                  <c:v>Dánsko</c:v>
                </c:pt>
                <c:pt idx="9">
                  <c:v>Lotyšsko</c:v>
                </c:pt>
                <c:pt idx="10">
                  <c:v>Grécko</c:v>
                </c:pt>
                <c:pt idx="11">
                  <c:v>Luxemburg</c:v>
                </c:pt>
                <c:pt idx="12">
                  <c:v>Cyprus</c:v>
                </c:pt>
                <c:pt idx="13">
                  <c:v>Litva</c:v>
                </c:pt>
                <c:pt idx="14">
                  <c:v>Francúzsko</c:v>
                </c:pt>
                <c:pt idx="15">
                  <c:v>Bulharsko</c:v>
                </c:pt>
                <c:pt idx="16">
                  <c:v>Rumunsko</c:v>
                </c:pt>
                <c:pt idx="17">
                  <c:v>Slovinsko</c:v>
                </c:pt>
                <c:pt idx="18">
                  <c:v>Taliansko</c:v>
                </c:pt>
                <c:pt idx="19">
                  <c:v>Holandsko</c:v>
                </c:pt>
                <c:pt idx="20">
                  <c:v>Chorvátsko</c:v>
                </c:pt>
                <c:pt idx="21">
                  <c:v>Nemecko</c:v>
                </c:pt>
                <c:pt idx="22">
                  <c:v>Rakúsko</c:v>
                </c:pt>
                <c:pt idx="23">
                  <c:v>Slovensko</c:v>
                </c:pt>
                <c:pt idx="24">
                  <c:v>Maďarsko</c:v>
                </c:pt>
                <c:pt idx="25">
                  <c:v>Belgicko</c:v>
                </c:pt>
                <c:pt idx="26">
                  <c:v>Poľsko</c:v>
                </c:pt>
                <c:pt idx="27">
                  <c:v>Česká republika</c:v>
                </c:pt>
              </c:strCache>
            </c:strRef>
          </c:cat>
          <c:val>
            <c:numRef>
              <c:f>'G28'!$B$5:$B$32</c:f>
              <c:numCache>
                <c:formatCode>0.0%</c:formatCode>
                <c:ptCount val="28"/>
                <c:pt idx="0">
                  <c:v>0</c:v>
                </c:pt>
                <c:pt idx="1">
                  <c:v>0</c:v>
                </c:pt>
                <c:pt idx="2">
                  <c:v>0</c:v>
                </c:pt>
                <c:pt idx="3">
                  <c:v>0</c:v>
                </c:pt>
                <c:pt idx="4">
                  <c:v>2.5000000000000001E-3</c:v>
                </c:pt>
                <c:pt idx="5">
                  <c:v>5.0000000000000001E-3</c:v>
                </c:pt>
                <c:pt idx="6">
                  <c:v>5.0000000000000001E-3</c:v>
                </c:pt>
                <c:pt idx="7">
                  <c:v>3.7499999999999999E-2</c:v>
                </c:pt>
                <c:pt idx="8">
                  <c:v>5.7500000000000002E-2</c:v>
                </c:pt>
                <c:pt idx="9">
                  <c:v>7.0000000000000007E-2</c:v>
                </c:pt>
                <c:pt idx="10">
                  <c:v>9.2499999999999999E-2</c:v>
                </c:pt>
                <c:pt idx="11">
                  <c:v>9.5000000000000001E-2</c:v>
                </c:pt>
                <c:pt idx="12">
                  <c:v>0.1075</c:v>
                </c:pt>
                <c:pt idx="13">
                  <c:v>0.11</c:v>
                </c:pt>
                <c:pt idx="14">
                  <c:v>0.12</c:v>
                </c:pt>
                <c:pt idx="15">
                  <c:v>0.155</c:v>
                </c:pt>
                <c:pt idx="16">
                  <c:v>0.16250000000000001</c:v>
                </c:pt>
                <c:pt idx="17">
                  <c:v>0.19750000000000001</c:v>
                </c:pt>
                <c:pt idx="18">
                  <c:v>0.2</c:v>
                </c:pt>
                <c:pt idx="19">
                  <c:v>0.21</c:v>
                </c:pt>
                <c:pt idx="20">
                  <c:v>0.22</c:v>
                </c:pt>
                <c:pt idx="21">
                  <c:v>0.22500000000000001</c:v>
                </c:pt>
                <c:pt idx="22">
                  <c:v>0.23250000000000001</c:v>
                </c:pt>
                <c:pt idx="23">
                  <c:v>0.24249999999999999</c:v>
                </c:pt>
                <c:pt idx="24">
                  <c:v>0.27</c:v>
                </c:pt>
                <c:pt idx="25">
                  <c:v>0.28999999999999998</c:v>
                </c:pt>
                <c:pt idx="26">
                  <c:v>0.29249999999999998</c:v>
                </c:pt>
                <c:pt idx="27">
                  <c:v>0.32500000000000001</c:v>
                </c:pt>
              </c:numCache>
            </c:numRef>
          </c:val>
          <c:extLst xmlns:c16r2="http://schemas.microsoft.com/office/drawing/2015/06/chart">
            <c:ext xmlns:c16="http://schemas.microsoft.com/office/drawing/2014/chart" uri="{C3380CC4-5D6E-409C-BE32-E72D297353CC}">
              <c16:uniqueId val="{00000003-FB47-4583-9CF5-1319FDBB7388}"/>
            </c:ext>
          </c:extLst>
        </c:ser>
        <c:dLbls>
          <c:showLegendKey val="0"/>
          <c:showVal val="0"/>
          <c:showCatName val="0"/>
          <c:showSerName val="0"/>
          <c:showPercent val="0"/>
          <c:showBubbleSize val="0"/>
        </c:dLbls>
        <c:gapWidth val="150"/>
        <c:axId val="474495776"/>
        <c:axId val="474496168"/>
      </c:barChart>
      <c:catAx>
        <c:axId val="474495776"/>
        <c:scaling>
          <c:orientation val="minMax"/>
        </c:scaling>
        <c:delete val="0"/>
        <c:axPos val="b"/>
        <c:numFmt formatCode="General" sourceLinked="1"/>
        <c:majorTickMark val="out"/>
        <c:minorTickMark val="none"/>
        <c:tickLblPos val="nextTo"/>
        <c:crossAx val="474496168"/>
        <c:crosses val="autoZero"/>
        <c:auto val="1"/>
        <c:lblAlgn val="ctr"/>
        <c:lblOffset val="100"/>
        <c:tickLblSkip val="1"/>
        <c:noMultiLvlLbl val="0"/>
      </c:catAx>
      <c:valAx>
        <c:axId val="474496168"/>
        <c:scaling>
          <c:orientation val="minMax"/>
        </c:scaling>
        <c:delete val="0"/>
        <c:axPos val="l"/>
        <c:majorGridlines>
          <c:spPr>
            <a:ln>
              <a:solidFill>
                <a:schemeClr val="bg1">
                  <a:lumMod val="75000"/>
                </a:schemeClr>
              </a:solidFill>
              <a:prstDash val="sysDash"/>
            </a:ln>
          </c:spPr>
        </c:majorGridlines>
        <c:numFmt formatCode="0%" sourceLinked="0"/>
        <c:majorTickMark val="out"/>
        <c:minorTickMark val="none"/>
        <c:tickLblPos val="nextTo"/>
        <c:crossAx val="474495776"/>
        <c:crosses val="autoZero"/>
        <c:crossBetween val="between"/>
      </c:valAx>
    </c:plotArea>
    <c:plotVisOnly val="1"/>
    <c:dispBlanksAs val="gap"/>
    <c:showDLblsOverMax val="0"/>
  </c:chart>
  <c:spPr>
    <a:ln>
      <a:noFill/>
    </a:ln>
  </c:spPr>
  <c:txPr>
    <a:bodyPr/>
    <a:lstStyle/>
    <a:p>
      <a:pPr>
        <a:defRPr sz="800">
          <a:latin typeface="Arial Narrow" panose="020B0606020202030204" pitchFamily="34" charset="0"/>
        </a:defRPr>
      </a:pPr>
      <a:endParaRPr lang="sk-SK"/>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3099679777191706E-2"/>
          <c:y val="4.8823828544190699E-2"/>
          <c:w val="0.89093095636884001"/>
          <c:h val="0.88700157867720408"/>
        </c:manualLayout>
      </c:layout>
      <c:barChart>
        <c:barDir val="col"/>
        <c:grouping val="stacked"/>
        <c:varyColors val="0"/>
        <c:ser>
          <c:idx val="5"/>
          <c:order val="0"/>
          <c:tx>
            <c:strRef>
              <c:f>'Family benefits'!$C$3</c:f>
              <c:strCache>
                <c:ptCount val="1"/>
                <c:pt idx="0">
                  <c:v>Peňažné benefity</c:v>
                </c:pt>
              </c:strCache>
            </c:strRef>
          </c:tx>
          <c:spPr>
            <a:solidFill>
              <a:sysClr val="windowText" lastClr="000000"/>
            </a:solidFill>
            <a:ln>
              <a:solidFill>
                <a:sysClr val="windowText" lastClr="000000"/>
              </a:solidFill>
            </a:ln>
          </c:spPr>
          <c:invertIfNegative val="0"/>
          <c:dPt>
            <c:idx val="17"/>
            <c:invertIfNegative val="0"/>
            <c:bubble3D val="0"/>
            <c:spPr>
              <a:solidFill>
                <a:sysClr val="window" lastClr="FFFFFF">
                  <a:lumMod val="50000"/>
                </a:sysClr>
              </a:solidFill>
              <a:ln>
                <a:solidFill>
                  <a:sysClr val="windowText" lastClr="000000"/>
                </a:solidFill>
              </a:ln>
            </c:spPr>
            <c:extLst xmlns:c16r2="http://schemas.microsoft.com/office/drawing/2015/06/chart">
              <c:ext xmlns:c16="http://schemas.microsoft.com/office/drawing/2014/chart" uri="{C3380CC4-5D6E-409C-BE32-E72D297353CC}">
                <c16:uniqueId val="{00000001-0519-495C-8741-D58787C2D180}"/>
              </c:ext>
            </c:extLst>
          </c:dPt>
          <c:cat>
            <c:strRef>
              <c:f>'Family benefits'!$B$4:$B$36</c:f>
              <c:strCache>
                <c:ptCount val="33"/>
                <c:pt idx="0">
                  <c:v>UK</c:v>
                </c:pt>
                <c:pt idx="1">
                  <c:v>DK</c:v>
                </c:pt>
                <c:pt idx="2">
                  <c:v>IE</c:v>
                </c:pt>
                <c:pt idx="3">
                  <c:v>HU</c:v>
                </c:pt>
                <c:pt idx="4">
                  <c:v>LU</c:v>
                </c:pt>
                <c:pt idx="5">
                  <c:v>SE</c:v>
                </c:pt>
                <c:pt idx="6">
                  <c:v>FR</c:v>
                </c:pt>
                <c:pt idx="7">
                  <c:v>IS</c:v>
                </c:pt>
                <c:pt idx="8">
                  <c:v>NZ</c:v>
                </c:pt>
                <c:pt idx="9">
                  <c:v>BE</c:v>
                </c:pt>
                <c:pt idx="10">
                  <c:v>FI</c:v>
                </c:pt>
                <c:pt idx="11">
                  <c:v>NO</c:v>
                </c:pt>
                <c:pt idx="12">
                  <c:v>DE</c:v>
                </c:pt>
                <c:pt idx="13">
                  <c:v>AU</c:v>
                </c:pt>
                <c:pt idx="14">
                  <c:v>AT</c:v>
                </c:pt>
                <c:pt idx="15">
                  <c:v>EE</c:v>
                </c:pt>
                <c:pt idx="16">
                  <c:v>CZ</c:v>
                </c:pt>
                <c:pt idx="17">
                  <c:v>SK</c:v>
                </c:pt>
                <c:pt idx="18">
                  <c:v>IL</c:v>
                </c:pt>
                <c:pt idx="19">
                  <c:v>SI</c:v>
                </c:pt>
                <c:pt idx="20">
                  <c:v>NE</c:v>
                </c:pt>
                <c:pt idx="21">
                  <c:v>IT</c:v>
                </c:pt>
                <c:pt idx="22">
                  <c:v>CH</c:v>
                </c:pt>
                <c:pt idx="23">
                  <c:v>PL</c:v>
                </c:pt>
                <c:pt idx="24">
                  <c:v>JP</c:v>
                </c:pt>
                <c:pt idx="25">
                  <c:v>ES</c:v>
                </c:pt>
                <c:pt idx="26">
                  <c:v>PT</c:v>
                </c:pt>
                <c:pt idx="27">
                  <c:v>CA</c:v>
                </c:pt>
                <c:pt idx="28">
                  <c:v>GR</c:v>
                </c:pt>
                <c:pt idx="29">
                  <c:v>CL</c:v>
                </c:pt>
                <c:pt idx="30">
                  <c:v>US</c:v>
                </c:pt>
                <c:pt idx="31">
                  <c:v>KR</c:v>
                </c:pt>
                <c:pt idx="32">
                  <c:v>MX</c:v>
                </c:pt>
              </c:strCache>
            </c:strRef>
          </c:cat>
          <c:val>
            <c:numRef>
              <c:f>'Family benefits'!$C$4:$C$36</c:f>
              <c:numCache>
                <c:formatCode>General</c:formatCode>
                <c:ptCount val="33"/>
                <c:pt idx="0">
                  <c:v>2.6006453140150789</c:v>
                </c:pt>
                <c:pt idx="1">
                  <c:v>1.6251930350552219</c:v>
                </c:pt>
                <c:pt idx="2">
                  <c:v>2.9339523280843922</c:v>
                </c:pt>
                <c:pt idx="3">
                  <c:v>2.195623217076192</c:v>
                </c:pt>
                <c:pt idx="4">
                  <c:v>3.0022009354095829</c:v>
                </c:pt>
                <c:pt idx="5">
                  <c:v>1.4924682729102901</c:v>
                </c:pt>
                <c:pt idx="6">
                  <c:v>1.566619479868457</c:v>
                </c:pt>
                <c:pt idx="7">
                  <c:v>1.225026572078298</c:v>
                </c:pt>
                <c:pt idx="8">
                  <c:v>2.2327359617682192</c:v>
                </c:pt>
                <c:pt idx="9">
                  <c:v>1.7938131179229699</c:v>
                </c:pt>
                <c:pt idx="10">
                  <c:v>1.5776686941041831</c:v>
                </c:pt>
                <c:pt idx="11">
                  <c:v>1.28893459309723</c:v>
                </c:pt>
                <c:pt idx="12">
                  <c:v>1.2091650556956139</c:v>
                </c:pt>
                <c:pt idx="13">
                  <c:v>1.8933011948958021</c:v>
                </c:pt>
                <c:pt idx="14">
                  <c:v>2.0263329835020421</c:v>
                </c:pt>
                <c:pt idx="15">
                  <c:v>1.9002828357006829</c:v>
                </c:pt>
                <c:pt idx="16">
                  <c:v>1.028706222548982</c:v>
                </c:pt>
                <c:pt idx="17">
                  <c:v>1.610362761460258</c:v>
                </c:pt>
                <c:pt idx="18">
                  <c:v>1.085126181324886</c:v>
                </c:pt>
                <c:pt idx="19">
                  <c:v>1.6455898164468299</c:v>
                </c:pt>
                <c:pt idx="20">
                  <c:v>0.73750473669010996</c:v>
                </c:pt>
                <c:pt idx="21">
                  <c:v>0.73939216419387399</c:v>
                </c:pt>
                <c:pt idx="22">
                  <c:v>1.039722830627867</c:v>
                </c:pt>
                <c:pt idx="23">
                  <c:v>0.75452792863420404</c:v>
                </c:pt>
                <c:pt idx="24">
                  <c:v>0.88313511077843299</c:v>
                </c:pt>
                <c:pt idx="25">
                  <c:v>0.54277582438377303</c:v>
                </c:pt>
                <c:pt idx="26">
                  <c:v>0.79660746651264602</c:v>
                </c:pt>
                <c:pt idx="27">
                  <c:v>1.015879573808004</c:v>
                </c:pt>
                <c:pt idx="28">
                  <c:v>1.0084427218987999</c:v>
                </c:pt>
                <c:pt idx="29">
                  <c:v>0.57343724678821695</c:v>
                </c:pt>
                <c:pt idx="30">
                  <c:v>9.4007384785825807E-2</c:v>
                </c:pt>
                <c:pt idx="31">
                  <c:v>5.0110617769917397E-2</c:v>
                </c:pt>
                <c:pt idx="32">
                  <c:v>0.43294675832240698</c:v>
                </c:pt>
              </c:numCache>
            </c:numRef>
          </c:val>
          <c:extLst xmlns:c16r2="http://schemas.microsoft.com/office/drawing/2015/06/chart">
            <c:ext xmlns:c16="http://schemas.microsoft.com/office/drawing/2014/chart" uri="{C3380CC4-5D6E-409C-BE32-E72D297353CC}">
              <c16:uniqueId val="{00000002-0519-495C-8741-D58787C2D180}"/>
            </c:ext>
          </c:extLst>
        </c:ser>
        <c:ser>
          <c:idx val="8"/>
          <c:order val="1"/>
          <c:tx>
            <c:strRef>
              <c:f>'Family benefits'!$D$3</c:f>
              <c:strCache>
                <c:ptCount val="1"/>
                <c:pt idx="0">
                  <c:v>Služby</c:v>
                </c:pt>
              </c:strCache>
            </c:strRef>
          </c:tx>
          <c:spPr>
            <a:solidFill>
              <a:sysClr val="window" lastClr="FFFFFF">
                <a:lumMod val="75000"/>
              </a:sysClr>
            </a:solidFill>
            <a:ln>
              <a:solidFill>
                <a:sysClr val="window" lastClr="FFFFFF">
                  <a:lumMod val="75000"/>
                </a:sysClr>
              </a:solidFill>
            </a:ln>
          </c:spPr>
          <c:invertIfNegative val="0"/>
          <c:dPt>
            <c:idx val="17"/>
            <c:invertIfNegative val="0"/>
            <c:bubble3D val="0"/>
            <c:spPr>
              <a:solidFill>
                <a:sysClr val="window" lastClr="FFFFFF">
                  <a:lumMod val="75000"/>
                </a:sysClr>
              </a:solidFill>
              <a:ln>
                <a:solidFill>
                  <a:sysClr val="windowText" lastClr="000000"/>
                </a:solidFill>
              </a:ln>
            </c:spPr>
            <c:extLst xmlns:c16r2="http://schemas.microsoft.com/office/drawing/2015/06/chart">
              <c:ext xmlns:c16="http://schemas.microsoft.com/office/drawing/2014/chart" uri="{C3380CC4-5D6E-409C-BE32-E72D297353CC}">
                <c16:uniqueId val="{00000004-0519-495C-8741-D58787C2D180}"/>
              </c:ext>
            </c:extLst>
          </c:dPt>
          <c:cat>
            <c:strRef>
              <c:f>'Family benefits'!$B$4:$B$36</c:f>
              <c:strCache>
                <c:ptCount val="33"/>
                <c:pt idx="0">
                  <c:v>UK</c:v>
                </c:pt>
                <c:pt idx="1">
                  <c:v>DK</c:v>
                </c:pt>
                <c:pt idx="2">
                  <c:v>IE</c:v>
                </c:pt>
                <c:pt idx="3">
                  <c:v>HU</c:v>
                </c:pt>
                <c:pt idx="4">
                  <c:v>LU</c:v>
                </c:pt>
                <c:pt idx="5">
                  <c:v>SE</c:v>
                </c:pt>
                <c:pt idx="6">
                  <c:v>FR</c:v>
                </c:pt>
                <c:pt idx="7">
                  <c:v>IS</c:v>
                </c:pt>
                <c:pt idx="8">
                  <c:v>NZ</c:v>
                </c:pt>
                <c:pt idx="9">
                  <c:v>BE</c:v>
                </c:pt>
                <c:pt idx="10">
                  <c:v>FI</c:v>
                </c:pt>
                <c:pt idx="11">
                  <c:v>NO</c:v>
                </c:pt>
                <c:pt idx="12">
                  <c:v>DE</c:v>
                </c:pt>
                <c:pt idx="13">
                  <c:v>AU</c:v>
                </c:pt>
                <c:pt idx="14">
                  <c:v>AT</c:v>
                </c:pt>
                <c:pt idx="15">
                  <c:v>EE</c:v>
                </c:pt>
                <c:pt idx="16">
                  <c:v>CZ</c:v>
                </c:pt>
                <c:pt idx="17">
                  <c:v>SK</c:v>
                </c:pt>
                <c:pt idx="18">
                  <c:v>IL</c:v>
                </c:pt>
                <c:pt idx="19">
                  <c:v>SI</c:v>
                </c:pt>
                <c:pt idx="20">
                  <c:v>NE</c:v>
                </c:pt>
                <c:pt idx="21">
                  <c:v>IT</c:v>
                </c:pt>
                <c:pt idx="22">
                  <c:v>CH</c:v>
                </c:pt>
                <c:pt idx="23">
                  <c:v>PL</c:v>
                </c:pt>
                <c:pt idx="24">
                  <c:v>JP</c:v>
                </c:pt>
                <c:pt idx="25">
                  <c:v>ES</c:v>
                </c:pt>
                <c:pt idx="26">
                  <c:v>PT</c:v>
                </c:pt>
                <c:pt idx="27">
                  <c:v>CA</c:v>
                </c:pt>
                <c:pt idx="28">
                  <c:v>GR</c:v>
                </c:pt>
                <c:pt idx="29">
                  <c:v>CL</c:v>
                </c:pt>
                <c:pt idx="30">
                  <c:v>US</c:v>
                </c:pt>
                <c:pt idx="31">
                  <c:v>KR</c:v>
                </c:pt>
                <c:pt idx="32">
                  <c:v>MX</c:v>
                </c:pt>
              </c:strCache>
            </c:strRef>
          </c:cat>
          <c:val>
            <c:numRef>
              <c:f>'Family benefits'!$D$4:$D$36</c:f>
              <c:numCache>
                <c:formatCode>General</c:formatCode>
                <c:ptCount val="33"/>
                <c:pt idx="0">
                  <c:v>1.3690842721392891</c:v>
                </c:pt>
                <c:pt idx="1">
                  <c:v>2.4228564812894842</c:v>
                </c:pt>
                <c:pt idx="2">
                  <c:v>0.95604059875931002</c:v>
                </c:pt>
                <c:pt idx="3">
                  <c:v>1.146474414053444</c:v>
                </c:pt>
                <c:pt idx="4">
                  <c:v>0.64385797166047198</c:v>
                </c:pt>
                <c:pt idx="5">
                  <c:v>2.144365431927381</c:v>
                </c:pt>
                <c:pt idx="6">
                  <c:v>1.3624788636011409</c:v>
                </c:pt>
                <c:pt idx="7">
                  <c:v>2.3219063189887978</c:v>
                </c:pt>
                <c:pt idx="8">
                  <c:v>1.107783016719323</c:v>
                </c:pt>
                <c:pt idx="9">
                  <c:v>1.077752199685466</c:v>
                </c:pt>
                <c:pt idx="10">
                  <c:v>1.646932882634679</c:v>
                </c:pt>
                <c:pt idx="11">
                  <c:v>1.7938011137416969</c:v>
                </c:pt>
                <c:pt idx="12">
                  <c:v>0.97342137355658698</c:v>
                </c:pt>
                <c:pt idx="13">
                  <c:v>0.86065095985101003</c:v>
                </c:pt>
                <c:pt idx="14">
                  <c:v>0.64784141817765695</c:v>
                </c:pt>
                <c:pt idx="15">
                  <c:v>0.39453300081412301</c:v>
                </c:pt>
                <c:pt idx="16">
                  <c:v>0.547293034353034</c:v>
                </c:pt>
                <c:pt idx="17">
                  <c:v>0.44305102053441697</c:v>
                </c:pt>
                <c:pt idx="18">
                  <c:v>1.1062090190781331</c:v>
                </c:pt>
                <c:pt idx="19">
                  <c:v>0.53809193634890595</c:v>
                </c:pt>
                <c:pt idx="20">
                  <c:v>0.88267030800588298</c:v>
                </c:pt>
                <c:pt idx="21">
                  <c:v>0.75830028970867303</c:v>
                </c:pt>
                <c:pt idx="22">
                  <c:v>0.353775183216824</c:v>
                </c:pt>
                <c:pt idx="23">
                  <c:v>0.59477909885762104</c:v>
                </c:pt>
                <c:pt idx="24">
                  <c:v>0.47066569194041802</c:v>
                </c:pt>
                <c:pt idx="25">
                  <c:v>0.83728413775043498</c:v>
                </c:pt>
                <c:pt idx="26">
                  <c:v>0.44621212275871702</c:v>
                </c:pt>
                <c:pt idx="27">
                  <c:v>0.222126664733902</c:v>
                </c:pt>
                <c:pt idx="28">
                  <c:v>0.36021550398624103</c:v>
                </c:pt>
                <c:pt idx="29">
                  <c:v>0.73728851212371305</c:v>
                </c:pt>
                <c:pt idx="30">
                  <c:v>0.627694950926454</c:v>
                </c:pt>
                <c:pt idx="31">
                  <c:v>0.88651576900329898</c:v>
                </c:pt>
                <c:pt idx="32">
                  <c:v>0.69591246869215795</c:v>
                </c:pt>
              </c:numCache>
            </c:numRef>
          </c:val>
          <c:extLst xmlns:c16r2="http://schemas.microsoft.com/office/drawing/2015/06/chart">
            <c:ext xmlns:c16="http://schemas.microsoft.com/office/drawing/2014/chart" uri="{C3380CC4-5D6E-409C-BE32-E72D297353CC}">
              <c16:uniqueId val="{00000005-0519-495C-8741-D58787C2D180}"/>
            </c:ext>
          </c:extLst>
        </c:ser>
        <c:ser>
          <c:idx val="0"/>
          <c:order val="2"/>
          <c:tx>
            <c:strRef>
              <c:f>'Family benefits'!$E$3</c:f>
              <c:strCache>
                <c:ptCount val="1"/>
                <c:pt idx="0">
                  <c:v>Daňové úľavy</c:v>
                </c:pt>
              </c:strCache>
            </c:strRef>
          </c:tx>
          <c:spPr>
            <a:solidFill>
              <a:sysClr val="windowText" lastClr="000000">
                <a:lumMod val="50000"/>
                <a:lumOff val="50000"/>
              </a:sysClr>
            </a:solidFill>
            <a:ln>
              <a:solidFill>
                <a:sysClr val="windowText" lastClr="000000">
                  <a:lumMod val="50000"/>
                  <a:lumOff val="50000"/>
                </a:sysClr>
              </a:solidFill>
            </a:ln>
          </c:spPr>
          <c:invertIfNegative val="0"/>
          <c:dPt>
            <c:idx val="17"/>
            <c:invertIfNegative val="0"/>
            <c:bubble3D val="0"/>
            <c:spPr>
              <a:solidFill>
                <a:sysClr val="window" lastClr="FFFFFF">
                  <a:lumMod val="65000"/>
                </a:sysClr>
              </a:solidFill>
              <a:ln>
                <a:solidFill>
                  <a:sysClr val="windowText" lastClr="000000"/>
                </a:solidFill>
              </a:ln>
            </c:spPr>
            <c:extLst xmlns:c16r2="http://schemas.microsoft.com/office/drawing/2015/06/chart">
              <c:ext xmlns:c16="http://schemas.microsoft.com/office/drawing/2014/chart" uri="{C3380CC4-5D6E-409C-BE32-E72D297353CC}">
                <c16:uniqueId val="{00000007-0519-495C-8741-D58787C2D180}"/>
              </c:ext>
            </c:extLst>
          </c:dPt>
          <c:cat>
            <c:strRef>
              <c:f>'Family benefits'!$B$4:$B$36</c:f>
              <c:strCache>
                <c:ptCount val="33"/>
                <c:pt idx="0">
                  <c:v>UK</c:v>
                </c:pt>
                <c:pt idx="1">
                  <c:v>DK</c:v>
                </c:pt>
                <c:pt idx="2">
                  <c:v>IE</c:v>
                </c:pt>
                <c:pt idx="3">
                  <c:v>HU</c:v>
                </c:pt>
                <c:pt idx="4">
                  <c:v>LU</c:v>
                </c:pt>
                <c:pt idx="5">
                  <c:v>SE</c:v>
                </c:pt>
                <c:pt idx="6">
                  <c:v>FR</c:v>
                </c:pt>
                <c:pt idx="7">
                  <c:v>IS</c:v>
                </c:pt>
                <c:pt idx="8">
                  <c:v>NZ</c:v>
                </c:pt>
                <c:pt idx="9">
                  <c:v>BE</c:v>
                </c:pt>
                <c:pt idx="10">
                  <c:v>FI</c:v>
                </c:pt>
                <c:pt idx="11">
                  <c:v>NO</c:v>
                </c:pt>
                <c:pt idx="12">
                  <c:v>DE</c:v>
                </c:pt>
                <c:pt idx="13">
                  <c:v>AU</c:v>
                </c:pt>
                <c:pt idx="14">
                  <c:v>AT</c:v>
                </c:pt>
                <c:pt idx="15">
                  <c:v>EE</c:v>
                </c:pt>
                <c:pt idx="16">
                  <c:v>CZ</c:v>
                </c:pt>
                <c:pt idx="17">
                  <c:v>SK</c:v>
                </c:pt>
                <c:pt idx="18">
                  <c:v>IL</c:v>
                </c:pt>
                <c:pt idx="19">
                  <c:v>SI</c:v>
                </c:pt>
                <c:pt idx="20">
                  <c:v>NE</c:v>
                </c:pt>
                <c:pt idx="21">
                  <c:v>IT</c:v>
                </c:pt>
                <c:pt idx="22">
                  <c:v>CH</c:v>
                </c:pt>
                <c:pt idx="23">
                  <c:v>PL</c:v>
                </c:pt>
                <c:pt idx="24">
                  <c:v>JP</c:v>
                </c:pt>
                <c:pt idx="25">
                  <c:v>ES</c:v>
                </c:pt>
                <c:pt idx="26">
                  <c:v>PT</c:v>
                </c:pt>
                <c:pt idx="27">
                  <c:v>CA</c:v>
                </c:pt>
                <c:pt idx="28">
                  <c:v>GR</c:v>
                </c:pt>
                <c:pt idx="29">
                  <c:v>CL</c:v>
                </c:pt>
                <c:pt idx="30">
                  <c:v>US</c:v>
                </c:pt>
                <c:pt idx="31">
                  <c:v>KR</c:v>
                </c:pt>
                <c:pt idx="32">
                  <c:v>MX</c:v>
                </c:pt>
              </c:strCache>
            </c:strRef>
          </c:cat>
          <c:val>
            <c:numRef>
              <c:f>'Family benefits'!$E$4:$E$36</c:f>
              <c:numCache>
                <c:formatCode>General</c:formatCode>
                <c:ptCount val="33"/>
                <c:pt idx="0">
                  <c:v>0.291770799124558</c:v>
                </c:pt>
                <c:pt idx="1">
                  <c:v>0</c:v>
                </c:pt>
                <c:pt idx="2">
                  <c:v>0.11131629429862</c:v>
                </c:pt>
                <c:pt idx="3">
                  <c:v>0.65202519880725596</c:v>
                </c:pt>
                <c:pt idx="4">
                  <c:v>0</c:v>
                </c:pt>
                <c:pt idx="5">
                  <c:v>0</c:v>
                </c:pt>
                <c:pt idx="6">
                  <c:v>0.68187337051401098</c:v>
                </c:pt>
                <c:pt idx="7">
                  <c:v>0</c:v>
                </c:pt>
                <c:pt idx="8">
                  <c:v>1.48379388753998E-2</c:v>
                </c:pt>
                <c:pt idx="9">
                  <c:v>0.45307887709948103</c:v>
                </c:pt>
                <c:pt idx="10">
                  <c:v>0</c:v>
                </c:pt>
                <c:pt idx="11">
                  <c:v>0.113785907997004</c:v>
                </c:pt>
                <c:pt idx="12">
                  <c:v>0.86976512510057902</c:v>
                </c:pt>
                <c:pt idx="13">
                  <c:v>3.3645767934371899E-2</c:v>
                </c:pt>
                <c:pt idx="14">
                  <c:v>4.0101532803561803E-2</c:v>
                </c:pt>
                <c:pt idx="15">
                  <c:v>0.15261049759633</c:v>
                </c:pt>
                <c:pt idx="16">
                  <c:v>0.86443980110901297</c:v>
                </c:pt>
                <c:pt idx="17">
                  <c:v>0.37433195519268198</c:v>
                </c:pt>
                <c:pt idx="18">
                  <c:v>0.132590157268625</c:v>
                </c:pt>
                <c:pt idx="19">
                  <c:v>2.9841557488538202E-3</c:v>
                </c:pt>
                <c:pt idx="20">
                  <c:v>0.50580338437551597</c:v>
                </c:pt>
                <c:pt idx="21">
                  <c:v>0.516093452049037</c:v>
                </c:pt>
                <c:pt idx="22">
                  <c:v>0.48880377073594999</c:v>
                </c:pt>
                <c:pt idx="23">
                  <c:v>0.40633020437898498</c:v>
                </c:pt>
                <c:pt idx="24">
                  <c:v>0.381414619145584</c:v>
                </c:pt>
                <c:pt idx="25">
                  <c:v>0.12763696244099601</c:v>
                </c:pt>
                <c:pt idx="26">
                  <c:v>0.201021234620999</c:v>
                </c:pt>
                <c:pt idx="27">
                  <c:v>0.194647887323944</c:v>
                </c:pt>
                <c:pt idx="28">
                  <c:v>0</c:v>
                </c:pt>
                <c:pt idx="29">
                  <c:v>0</c:v>
                </c:pt>
                <c:pt idx="30">
                  <c:v>0.46658447003477899</c:v>
                </c:pt>
                <c:pt idx="31">
                  <c:v>0.22212523200112699</c:v>
                </c:pt>
                <c:pt idx="32">
                  <c:v>0</c:v>
                </c:pt>
              </c:numCache>
            </c:numRef>
          </c:val>
          <c:extLst xmlns:c16r2="http://schemas.microsoft.com/office/drawing/2015/06/chart">
            <c:ext xmlns:c16="http://schemas.microsoft.com/office/drawing/2014/chart" uri="{C3380CC4-5D6E-409C-BE32-E72D297353CC}">
              <c16:uniqueId val="{00000008-0519-495C-8741-D58787C2D180}"/>
            </c:ext>
          </c:extLst>
        </c:ser>
        <c:dLbls>
          <c:showLegendKey val="0"/>
          <c:showVal val="0"/>
          <c:showCatName val="0"/>
          <c:showSerName val="0"/>
          <c:showPercent val="0"/>
          <c:showBubbleSize val="0"/>
        </c:dLbls>
        <c:gapWidth val="150"/>
        <c:overlap val="100"/>
        <c:axId val="472539880"/>
        <c:axId val="472540272"/>
      </c:barChart>
      <c:lineChart>
        <c:grouping val="standard"/>
        <c:varyColors val="0"/>
        <c:ser>
          <c:idx val="1"/>
          <c:order val="3"/>
          <c:tx>
            <c:strRef>
              <c:f>'Family benefits'!$F$3</c:f>
              <c:strCache>
                <c:ptCount val="1"/>
                <c:pt idx="0">
                  <c:v>OECD celkom </c:v>
                </c:pt>
              </c:strCache>
            </c:strRef>
          </c:tx>
          <c:spPr>
            <a:ln w="22225">
              <a:solidFill>
                <a:sysClr val="windowText" lastClr="000000"/>
              </a:solidFill>
              <a:prstDash val="sysDash"/>
            </a:ln>
          </c:spPr>
          <c:marker>
            <c:symbol val="none"/>
          </c:marker>
          <c:cat>
            <c:strRef>
              <c:f>'Family benefits'!$B$4:$B$36</c:f>
              <c:strCache>
                <c:ptCount val="33"/>
                <c:pt idx="0">
                  <c:v>UK</c:v>
                </c:pt>
                <c:pt idx="1">
                  <c:v>DK</c:v>
                </c:pt>
                <c:pt idx="2">
                  <c:v>IE</c:v>
                </c:pt>
                <c:pt idx="3">
                  <c:v>HU</c:v>
                </c:pt>
                <c:pt idx="4">
                  <c:v>LU</c:v>
                </c:pt>
                <c:pt idx="5">
                  <c:v>SE</c:v>
                </c:pt>
                <c:pt idx="6">
                  <c:v>FR</c:v>
                </c:pt>
                <c:pt idx="7">
                  <c:v>IS</c:v>
                </c:pt>
                <c:pt idx="8">
                  <c:v>NZ</c:v>
                </c:pt>
                <c:pt idx="9">
                  <c:v>BE</c:v>
                </c:pt>
                <c:pt idx="10">
                  <c:v>FI</c:v>
                </c:pt>
                <c:pt idx="11">
                  <c:v>NO</c:v>
                </c:pt>
                <c:pt idx="12">
                  <c:v>DE</c:v>
                </c:pt>
                <c:pt idx="13">
                  <c:v>AU</c:v>
                </c:pt>
                <c:pt idx="14">
                  <c:v>AT</c:v>
                </c:pt>
                <c:pt idx="15">
                  <c:v>EE</c:v>
                </c:pt>
                <c:pt idx="16">
                  <c:v>CZ</c:v>
                </c:pt>
                <c:pt idx="17">
                  <c:v>SK</c:v>
                </c:pt>
                <c:pt idx="18">
                  <c:v>IL</c:v>
                </c:pt>
                <c:pt idx="19">
                  <c:v>SI</c:v>
                </c:pt>
                <c:pt idx="20">
                  <c:v>NE</c:v>
                </c:pt>
                <c:pt idx="21">
                  <c:v>IT</c:v>
                </c:pt>
                <c:pt idx="22">
                  <c:v>CH</c:v>
                </c:pt>
                <c:pt idx="23">
                  <c:v>PL</c:v>
                </c:pt>
                <c:pt idx="24">
                  <c:v>JP</c:v>
                </c:pt>
                <c:pt idx="25">
                  <c:v>ES</c:v>
                </c:pt>
                <c:pt idx="26">
                  <c:v>PT</c:v>
                </c:pt>
                <c:pt idx="27">
                  <c:v>CA</c:v>
                </c:pt>
                <c:pt idx="28">
                  <c:v>GR</c:v>
                </c:pt>
                <c:pt idx="29">
                  <c:v>CL</c:v>
                </c:pt>
                <c:pt idx="30">
                  <c:v>US</c:v>
                </c:pt>
                <c:pt idx="31">
                  <c:v>KR</c:v>
                </c:pt>
                <c:pt idx="32">
                  <c:v>MX</c:v>
                </c:pt>
              </c:strCache>
            </c:strRef>
          </c:cat>
          <c:val>
            <c:numRef>
              <c:f>'Family benefits'!$F$4:$F$36</c:f>
              <c:numCache>
                <c:formatCode>General</c:formatCode>
                <c:ptCount val="33"/>
                <c:pt idx="0">
                  <c:v>2.5539310171016738</c:v>
                </c:pt>
                <c:pt idx="1">
                  <c:v>2.5539310171016738</c:v>
                </c:pt>
                <c:pt idx="2">
                  <c:v>2.5539310171016738</c:v>
                </c:pt>
                <c:pt idx="3">
                  <c:v>2.5539310171016738</c:v>
                </c:pt>
                <c:pt idx="4">
                  <c:v>2.5539310171016738</c:v>
                </c:pt>
                <c:pt idx="5">
                  <c:v>2.5539310171016738</c:v>
                </c:pt>
                <c:pt idx="6">
                  <c:v>2.5539310171016738</c:v>
                </c:pt>
                <c:pt idx="7">
                  <c:v>2.5539310171016738</c:v>
                </c:pt>
                <c:pt idx="8">
                  <c:v>2.5539310171016738</c:v>
                </c:pt>
                <c:pt idx="9">
                  <c:v>2.5539310171016738</c:v>
                </c:pt>
                <c:pt idx="10">
                  <c:v>2.5539310171016738</c:v>
                </c:pt>
                <c:pt idx="11">
                  <c:v>2.5539310171016738</c:v>
                </c:pt>
                <c:pt idx="12">
                  <c:v>2.5539310171016738</c:v>
                </c:pt>
                <c:pt idx="13">
                  <c:v>2.5539310171016738</c:v>
                </c:pt>
                <c:pt idx="14">
                  <c:v>2.5539310171016738</c:v>
                </c:pt>
                <c:pt idx="15">
                  <c:v>2.5539310171016738</c:v>
                </c:pt>
                <c:pt idx="16">
                  <c:v>2.5539310171016738</c:v>
                </c:pt>
                <c:pt idx="17">
                  <c:v>2.5539310171016738</c:v>
                </c:pt>
                <c:pt idx="18">
                  <c:v>2.5539310171016738</c:v>
                </c:pt>
                <c:pt idx="19">
                  <c:v>2.5539310171016738</c:v>
                </c:pt>
                <c:pt idx="20">
                  <c:v>2.5539310171016738</c:v>
                </c:pt>
                <c:pt idx="21">
                  <c:v>2.5539310171016738</c:v>
                </c:pt>
                <c:pt idx="22">
                  <c:v>2.5539310171016738</c:v>
                </c:pt>
                <c:pt idx="23">
                  <c:v>2.5539310171016738</c:v>
                </c:pt>
                <c:pt idx="24">
                  <c:v>2.5539310171016738</c:v>
                </c:pt>
                <c:pt idx="25">
                  <c:v>2.5539310171016738</c:v>
                </c:pt>
                <c:pt idx="26">
                  <c:v>2.5539310171016738</c:v>
                </c:pt>
                <c:pt idx="27">
                  <c:v>2.5539310171016738</c:v>
                </c:pt>
                <c:pt idx="28">
                  <c:v>2.5539310171016738</c:v>
                </c:pt>
                <c:pt idx="29">
                  <c:v>2.5539310171016738</c:v>
                </c:pt>
                <c:pt idx="30">
                  <c:v>2.5539310171016738</c:v>
                </c:pt>
                <c:pt idx="31">
                  <c:v>2.5539310171016738</c:v>
                </c:pt>
                <c:pt idx="32">
                  <c:v>2.5539310171016738</c:v>
                </c:pt>
              </c:numCache>
            </c:numRef>
          </c:val>
          <c:smooth val="0"/>
          <c:extLst xmlns:c16r2="http://schemas.microsoft.com/office/drawing/2015/06/chart">
            <c:ext xmlns:c16="http://schemas.microsoft.com/office/drawing/2014/chart" uri="{C3380CC4-5D6E-409C-BE32-E72D297353CC}">
              <c16:uniqueId val="{00000009-0519-495C-8741-D58787C2D180}"/>
            </c:ext>
          </c:extLst>
        </c:ser>
        <c:ser>
          <c:idx val="2"/>
          <c:order val="4"/>
          <c:tx>
            <c:strRef>
              <c:f>'Family benefits'!$G$3</c:f>
              <c:strCache>
                <c:ptCount val="1"/>
                <c:pt idx="0">
                  <c:v>OECD peňažné benefity</c:v>
                </c:pt>
              </c:strCache>
            </c:strRef>
          </c:tx>
          <c:spPr>
            <a:ln w="22225">
              <a:solidFill>
                <a:sysClr val="windowText" lastClr="000000"/>
              </a:solidFill>
            </a:ln>
          </c:spPr>
          <c:marker>
            <c:symbol val="none"/>
          </c:marker>
          <c:cat>
            <c:strRef>
              <c:f>'Family benefits'!$B$4:$B$36</c:f>
              <c:strCache>
                <c:ptCount val="33"/>
                <c:pt idx="0">
                  <c:v>UK</c:v>
                </c:pt>
                <c:pt idx="1">
                  <c:v>DK</c:v>
                </c:pt>
                <c:pt idx="2">
                  <c:v>IE</c:v>
                </c:pt>
                <c:pt idx="3">
                  <c:v>HU</c:v>
                </c:pt>
                <c:pt idx="4">
                  <c:v>LU</c:v>
                </c:pt>
                <c:pt idx="5">
                  <c:v>SE</c:v>
                </c:pt>
                <c:pt idx="6">
                  <c:v>FR</c:v>
                </c:pt>
                <c:pt idx="7">
                  <c:v>IS</c:v>
                </c:pt>
                <c:pt idx="8">
                  <c:v>NZ</c:v>
                </c:pt>
                <c:pt idx="9">
                  <c:v>BE</c:v>
                </c:pt>
                <c:pt idx="10">
                  <c:v>FI</c:v>
                </c:pt>
                <c:pt idx="11">
                  <c:v>NO</c:v>
                </c:pt>
                <c:pt idx="12">
                  <c:v>DE</c:v>
                </c:pt>
                <c:pt idx="13">
                  <c:v>AU</c:v>
                </c:pt>
                <c:pt idx="14">
                  <c:v>AT</c:v>
                </c:pt>
                <c:pt idx="15">
                  <c:v>EE</c:v>
                </c:pt>
                <c:pt idx="16">
                  <c:v>CZ</c:v>
                </c:pt>
                <c:pt idx="17">
                  <c:v>SK</c:v>
                </c:pt>
                <c:pt idx="18">
                  <c:v>IL</c:v>
                </c:pt>
                <c:pt idx="19">
                  <c:v>SI</c:v>
                </c:pt>
                <c:pt idx="20">
                  <c:v>NE</c:v>
                </c:pt>
                <c:pt idx="21">
                  <c:v>IT</c:v>
                </c:pt>
                <c:pt idx="22">
                  <c:v>CH</c:v>
                </c:pt>
                <c:pt idx="23">
                  <c:v>PL</c:v>
                </c:pt>
                <c:pt idx="24">
                  <c:v>JP</c:v>
                </c:pt>
                <c:pt idx="25">
                  <c:v>ES</c:v>
                </c:pt>
                <c:pt idx="26">
                  <c:v>PT</c:v>
                </c:pt>
                <c:pt idx="27">
                  <c:v>CA</c:v>
                </c:pt>
                <c:pt idx="28">
                  <c:v>GR</c:v>
                </c:pt>
                <c:pt idx="29">
                  <c:v>CL</c:v>
                </c:pt>
                <c:pt idx="30">
                  <c:v>US</c:v>
                </c:pt>
                <c:pt idx="31">
                  <c:v>KR</c:v>
                </c:pt>
                <c:pt idx="32">
                  <c:v>MX</c:v>
                </c:pt>
              </c:strCache>
            </c:strRef>
          </c:cat>
          <c:val>
            <c:numRef>
              <c:f>'Family benefits'!$G$4:$G$36</c:f>
              <c:numCache>
                <c:formatCode>General</c:formatCode>
                <c:ptCount val="33"/>
                <c:pt idx="0">
                  <c:v>1.3515829981260401</c:v>
                </c:pt>
                <c:pt idx="1">
                  <c:v>1.3515829981260401</c:v>
                </c:pt>
                <c:pt idx="2">
                  <c:v>1.3515829981260401</c:v>
                </c:pt>
                <c:pt idx="3">
                  <c:v>1.3515829981260401</c:v>
                </c:pt>
                <c:pt idx="4">
                  <c:v>1.3515829981260401</c:v>
                </c:pt>
                <c:pt idx="5">
                  <c:v>1.3515829981260401</c:v>
                </c:pt>
                <c:pt idx="6">
                  <c:v>1.3515829981260401</c:v>
                </c:pt>
                <c:pt idx="7">
                  <c:v>1.3515829981260401</c:v>
                </c:pt>
                <c:pt idx="8">
                  <c:v>1.3515829981260401</c:v>
                </c:pt>
                <c:pt idx="9">
                  <c:v>1.3515829981260401</c:v>
                </c:pt>
                <c:pt idx="10">
                  <c:v>1.3515829981260401</c:v>
                </c:pt>
                <c:pt idx="11">
                  <c:v>1.3515829981260401</c:v>
                </c:pt>
                <c:pt idx="12">
                  <c:v>1.3515829981260401</c:v>
                </c:pt>
                <c:pt idx="13">
                  <c:v>1.3515829981260401</c:v>
                </c:pt>
                <c:pt idx="14">
                  <c:v>1.3515829981260401</c:v>
                </c:pt>
                <c:pt idx="15">
                  <c:v>1.3515829981260401</c:v>
                </c:pt>
                <c:pt idx="16">
                  <c:v>1.3515829981260401</c:v>
                </c:pt>
                <c:pt idx="17">
                  <c:v>1.3515829981260401</c:v>
                </c:pt>
                <c:pt idx="18">
                  <c:v>1.3515829981260401</c:v>
                </c:pt>
                <c:pt idx="19">
                  <c:v>1.3515829981260401</c:v>
                </c:pt>
                <c:pt idx="20">
                  <c:v>1.3515829981260401</c:v>
                </c:pt>
                <c:pt idx="21">
                  <c:v>1.3515829981260401</c:v>
                </c:pt>
                <c:pt idx="22">
                  <c:v>1.3515829981260401</c:v>
                </c:pt>
                <c:pt idx="23">
                  <c:v>1.3515829981260401</c:v>
                </c:pt>
                <c:pt idx="24">
                  <c:v>1.3515829981260401</c:v>
                </c:pt>
                <c:pt idx="25">
                  <c:v>1.3515829981260401</c:v>
                </c:pt>
                <c:pt idx="26">
                  <c:v>1.3515829981260401</c:v>
                </c:pt>
                <c:pt idx="27">
                  <c:v>1.3515829981260401</c:v>
                </c:pt>
                <c:pt idx="28">
                  <c:v>1.3515829981260401</c:v>
                </c:pt>
                <c:pt idx="29">
                  <c:v>1.3515829981260401</c:v>
                </c:pt>
                <c:pt idx="30">
                  <c:v>1.3515829981260401</c:v>
                </c:pt>
                <c:pt idx="31">
                  <c:v>1.3515829981260401</c:v>
                </c:pt>
                <c:pt idx="32">
                  <c:v>1.3515829981260401</c:v>
                </c:pt>
              </c:numCache>
            </c:numRef>
          </c:val>
          <c:smooth val="0"/>
          <c:extLst xmlns:c16r2="http://schemas.microsoft.com/office/drawing/2015/06/chart">
            <c:ext xmlns:c16="http://schemas.microsoft.com/office/drawing/2014/chart" uri="{C3380CC4-5D6E-409C-BE32-E72D297353CC}">
              <c16:uniqueId val="{0000000A-0519-495C-8741-D58787C2D180}"/>
            </c:ext>
          </c:extLst>
        </c:ser>
        <c:dLbls>
          <c:showLegendKey val="0"/>
          <c:showVal val="0"/>
          <c:showCatName val="0"/>
          <c:showSerName val="0"/>
          <c:showPercent val="0"/>
          <c:showBubbleSize val="0"/>
        </c:dLbls>
        <c:marker val="1"/>
        <c:smooth val="0"/>
        <c:axId val="472539880"/>
        <c:axId val="472540272"/>
      </c:lineChart>
      <c:catAx>
        <c:axId val="472539880"/>
        <c:scaling>
          <c:orientation val="minMax"/>
        </c:scaling>
        <c:delete val="0"/>
        <c:axPos val="b"/>
        <c:numFmt formatCode="General" sourceLinked="1"/>
        <c:majorTickMark val="out"/>
        <c:minorTickMark val="none"/>
        <c:tickLblPos val="low"/>
        <c:spPr>
          <a:ln>
            <a:solidFill>
              <a:sysClr val="window" lastClr="FFFFFF">
                <a:lumMod val="75000"/>
              </a:sysClr>
            </a:solidFill>
          </a:ln>
        </c:spPr>
        <c:txPr>
          <a:bodyPr/>
          <a:lstStyle/>
          <a:p>
            <a:pPr>
              <a:defRPr sz="500"/>
            </a:pPr>
            <a:endParaRPr lang="sk-SK"/>
          </a:p>
        </c:txPr>
        <c:crossAx val="472540272"/>
        <c:crosses val="autoZero"/>
        <c:auto val="1"/>
        <c:lblAlgn val="ctr"/>
        <c:lblOffset val="100"/>
        <c:noMultiLvlLbl val="0"/>
      </c:catAx>
      <c:valAx>
        <c:axId val="472540272"/>
        <c:scaling>
          <c:orientation val="minMax"/>
        </c:scaling>
        <c:delete val="0"/>
        <c:axPos val="l"/>
        <c:majorGridlines>
          <c:spPr>
            <a:ln>
              <a:solidFill>
                <a:schemeClr val="bg1">
                  <a:lumMod val="75000"/>
                </a:schemeClr>
              </a:solidFill>
              <a:prstDash val="dash"/>
            </a:ln>
          </c:spPr>
        </c:majorGridlines>
        <c:numFmt formatCode="#,##0.0" sourceLinked="0"/>
        <c:majorTickMark val="out"/>
        <c:minorTickMark val="none"/>
        <c:tickLblPos val="nextTo"/>
        <c:spPr>
          <a:ln>
            <a:noFill/>
          </a:ln>
        </c:spPr>
        <c:crossAx val="472539880"/>
        <c:crosses val="autoZero"/>
        <c:crossBetween val="between"/>
      </c:valAx>
    </c:plotArea>
    <c:legend>
      <c:legendPos val="r"/>
      <c:layout>
        <c:manualLayout>
          <c:xMode val="edge"/>
          <c:yMode val="edge"/>
          <c:x val="0.23977751878488113"/>
          <c:y val="4.01153144564729E-2"/>
          <c:w val="0.72858883614277459"/>
          <c:h val="0.23177267048261038"/>
        </c:manualLayout>
      </c:layout>
      <c:overlay val="0"/>
    </c:legend>
    <c:plotVisOnly val="1"/>
    <c:dispBlanksAs val="gap"/>
    <c:showDLblsOverMax val="0"/>
  </c:chart>
  <c:spPr>
    <a:noFill/>
    <a:ln>
      <a:noFill/>
    </a:ln>
  </c:spPr>
  <c:txPr>
    <a:bodyPr/>
    <a:lstStyle/>
    <a:p>
      <a:pPr>
        <a:defRPr sz="800">
          <a:latin typeface="Times New Roman" panose="02020603050405020304" pitchFamily="18" charset="0"/>
          <a:cs typeface="Times New Roman" panose="02020603050405020304" pitchFamily="18" charset="0"/>
        </a:defRPr>
      </a:pPr>
      <a:endParaRPr lang="sk-SK"/>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bg1">
                <a:lumMod val="75000"/>
              </a:schemeClr>
            </a:solidFill>
            <a:ln>
              <a:solidFill>
                <a:schemeClr val="bg1">
                  <a:lumMod val="75000"/>
                </a:schemeClr>
              </a:solidFill>
            </a:ln>
            <a:effectLst/>
          </c:spPr>
          <c:invertIfNegative val="0"/>
          <c:dPt>
            <c:idx val="4"/>
            <c:invertIfNegative val="0"/>
            <c:bubble3D val="0"/>
            <c:spPr>
              <a:solidFill>
                <a:schemeClr val="bg1">
                  <a:lumMod val="50000"/>
                </a:schemeClr>
              </a:solidFill>
              <a:ln>
                <a:solidFill>
                  <a:schemeClr val="bg1">
                    <a:lumMod val="50000"/>
                  </a:schemeClr>
                </a:solidFill>
              </a:ln>
              <a:effectLst/>
            </c:spPr>
            <c:extLst xmlns:c16r2="http://schemas.microsoft.com/office/drawing/2015/06/chart">
              <c:ext xmlns:c16="http://schemas.microsoft.com/office/drawing/2014/chart" uri="{C3380CC4-5D6E-409C-BE32-E72D297353CC}">
                <c16:uniqueId val="{00000001-9533-44CA-93F9-87B5F4BEB522}"/>
              </c:ext>
            </c:extLst>
          </c:dPt>
          <c:cat>
            <c:strRef>
              <c:f>[1]Hárok1!$A$1:$A$33</c:f>
              <c:strCache>
                <c:ptCount val="33"/>
                <c:pt idx="0">
                  <c:v>EE</c:v>
                </c:pt>
                <c:pt idx="1">
                  <c:v>HU</c:v>
                </c:pt>
                <c:pt idx="2">
                  <c:v>BG</c:v>
                </c:pt>
                <c:pt idx="3">
                  <c:v>LT</c:v>
                </c:pt>
                <c:pt idx="4">
                  <c:v>SK</c:v>
                </c:pt>
                <c:pt idx="5">
                  <c:v>LV</c:v>
                </c:pt>
                <c:pt idx="6">
                  <c:v>CZ</c:v>
                </c:pt>
                <c:pt idx="7">
                  <c:v>AT</c:v>
                </c:pt>
                <c:pt idx="8">
                  <c:v>SI</c:v>
                </c:pt>
                <c:pt idx="9">
                  <c:v>NO</c:v>
                </c:pt>
                <c:pt idx="10">
                  <c:v>DE</c:v>
                </c:pt>
                <c:pt idx="11">
                  <c:v>FI</c:v>
                </c:pt>
                <c:pt idx="12">
                  <c:v>PL</c:v>
                </c:pt>
                <c:pt idx="13">
                  <c:v>HR</c:v>
                </c:pt>
                <c:pt idx="14">
                  <c:v>JP</c:v>
                </c:pt>
                <c:pt idx="15">
                  <c:v>SE</c:v>
                </c:pt>
                <c:pt idx="16">
                  <c:v>CL</c:v>
                </c:pt>
                <c:pt idx="17">
                  <c:v>DK</c:v>
                </c:pt>
                <c:pt idx="18">
                  <c:v>LU</c:v>
                </c:pt>
                <c:pt idx="19">
                  <c:v>IT</c:v>
                </c:pt>
                <c:pt idx="20">
                  <c:v>KR</c:v>
                </c:pt>
                <c:pt idx="21">
                  <c:v>GR</c:v>
                </c:pt>
                <c:pt idx="22">
                  <c:v>PT</c:v>
                </c:pt>
                <c:pt idx="23">
                  <c:v>FR</c:v>
                </c:pt>
                <c:pt idx="24">
                  <c:v>NL</c:v>
                </c:pt>
                <c:pt idx="25">
                  <c:v>ES</c:v>
                </c:pt>
                <c:pt idx="26">
                  <c:v>MT</c:v>
                </c:pt>
                <c:pt idx="27">
                  <c:v>IS</c:v>
                </c:pt>
                <c:pt idx="28">
                  <c:v>IL</c:v>
                </c:pt>
                <c:pt idx="29">
                  <c:v>CY</c:v>
                </c:pt>
                <c:pt idx="30">
                  <c:v>BE</c:v>
                </c:pt>
                <c:pt idx="31">
                  <c:v>UK</c:v>
                </c:pt>
                <c:pt idx="32">
                  <c:v>IE</c:v>
                </c:pt>
              </c:strCache>
            </c:strRef>
          </c:cat>
          <c:val>
            <c:numRef>
              <c:f>[1]Hárok1!$B$1:$B$33</c:f>
              <c:numCache>
                <c:formatCode>0.0</c:formatCode>
                <c:ptCount val="33"/>
                <c:pt idx="0">
                  <c:v>84.96341708492298</c:v>
                </c:pt>
                <c:pt idx="1">
                  <c:v>71.787550561021874</c:v>
                </c:pt>
                <c:pt idx="2">
                  <c:v>65.48214433684322</c:v>
                </c:pt>
                <c:pt idx="3">
                  <c:v>62</c:v>
                </c:pt>
                <c:pt idx="4">
                  <c:v>53.658722132616433</c:v>
                </c:pt>
                <c:pt idx="5">
                  <c:v>53.287858017415985</c:v>
                </c:pt>
                <c:pt idx="6">
                  <c:v>53.130255707976602</c:v>
                </c:pt>
                <c:pt idx="7">
                  <c:v>51.199999999999996</c:v>
                </c:pt>
                <c:pt idx="8">
                  <c:v>48.428571428571438</c:v>
                </c:pt>
                <c:pt idx="9">
                  <c:v>44.962598364888883</c:v>
                </c:pt>
                <c:pt idx="10">
                  <c:v>42.6</c:v>
                </c:pt>
                <c:pt idx="11">
                  <c:v>41.942554267313675</c:v>
                </c:pt>
                <c:pt idx="12">
                  <c:v>41.6</c:v>
                </c:pt>
                <c:pt idx="13">
                  <c:v>38.745716001390605</c:v>
                </c:pt>
                <c:pt idx="14">
                  <c:v>35.751428571428576</c:v>
                </c:pt>
                <c:pt idx="15">
                  <c:v>34.685147511663821</c:v>
                </c:pt>
                <c:pt idx="16">
                  <c:v>30</c:v>
                </c:pt>
                <c:pt idx="17">
                  <c:v>26.776461014236247</c:v>
                </c:pt>
                <c:pt idx="18">
                  <c:v>25.985767268285993</c:v>
                </c:pt>
                <c:pt idx="19">
                  <c:v>25.16</c:v>
                </c:pt>
                <c:pt idx="20">
                  <c:v>25.017912950032564</c:v>
                </c:pt>
                <c:pt idx="21">
                  <c:v>23.317411488902621</c:v>
                </c:pt>
                <c:pt idx="22">
                  <c:v>20.39</c:v>
                </c:pt>
                <c:pt idx="23">
                  <c:v>18.841208503353851</c:v>
                </c:pt>
                <c:pt idx="24">
                  <c:v>16</c:v>
                </c:pt>
                <c:pt idx="25">
                  <c:v>16</c:v>
                </c:pt>
                <c:pt idx="26">
                  <c:v>15.668615345652485</c:v>
                </c:pt>
                <c:pt idx="27">
                  <c:v>15.51512747447469</c:v>
                </c:pt>
                <c:pt idx="28">
                  <c:v>14</c:v>
                </c:pt>
                <c:pt idx="29">
                  <c:v>13.535117774714589</c:v>
                </c:pt>
                <c:pt idx="30">
                  <c:v>13.11283224937095</c:v>
                </c:pt>
                <c:pt idx="31">
                  <c:v>12.050198457447147</c:v>
                </c:pt>
                <c:pt idx="32">
                  <c:v>8.9234553988326137</c:v>
                </c:pt>
              </c:numCache>
            </c:numRef>
          </c:val>
          <c:extLst xmlns:c16r2="http://schemas.microsoft.com/office/drawing/2015/06/chart">
            <c:ext xmlns:c16="http://schemas.microsoft.com/office/drawing/2014/chart" uri="{C3380CC4-5D6E-409C-BE32-E72D297353CC}">
              <c16:uniqueId val="{00000002-9533-44CA-93F9-87B5F4BEB522}"/>
            </c:ext>
          </c:extLst>
        </c:ser>
        <c:dLbls>
          <c:showLegendKey val="0"/>
          <c:showVal val="0"/>
          <c:showCatName val="0"/>
          <c:showSerName val="0"/>
          <c:showPercent val="0"/>
          <c:showBubbleSize val="0"/>
        </c:dLbls>
        <c:gapWidth val="219"/>
        <c:overlap val="-27"/>
        <c:axId val="472541056"/>
        <c:axId val="472541448"/>
      </c:barChart>
      <c:catAx>
        <c:axId val="47254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472541448"/>
        <c:crosses val="autoZero"/>
        <c:auto val="1"/>
        <c:lblAlgn val="ctr"/>
        <c:lblOffset val="100"/>
        <c:noMultiLvlLbl val="0"/>
      </c:catAx>
      <c:valAx>
        <c:axId val="472541448"/>
        <c:scaling>
          <c:orientation val="minMax"/>
        </c:scaling>
        <c:delete val="0"/>
        <c:axPos val="l"/>
        <c:majorGridlines>
          <c:spPr>
            <a:ln w="9525" cap="flat" cmpd="sng" algn="ctr">
              <a:solidFill>
                <a:schemeClr val="bg1">
                  <a:lumMod val="75000"/>
                </a:schemeClr>
              </a:solidFill>
              <a:prstDash val="dash"/>
              <a:round/>
            </a:ln>
            <a:effectLst/>
          </c:spPr>
        </c:majorGridlines>
        <c:numFmt formatCode="0" sourceLinked="0"/>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crossAx val="4725410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sk-SK"/>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906106786866838E-2"/>
          <c:y val="3.8585501642904439E-2"/>
          <c:w val="0.54887086388233031"/>
          <c:h val="0.91485769340610024"/>
        </c:manualLayout>
      </c:layout>
      <c:pieChart>
        <c:varyColors val="1"/>
        <c:ser>
          <c:idx val="1"/>
          <c:order val="0"/>
          <c:spPr>
            <a:ln>
              <a:solidFill>
                <a:srgbClr val="00B0F0"/>
              </a:solidFill>
            </a:ln>
          </c:spPr>
          <c:dPt>
            <c:idx val="0"/>
            <c:bubble3D val="0"/>
            <c:spPr>
              <a:solidFill>
                <a:schemeClr val="bg1">
                  <a:lumMod val="50000"/>
                </a:schemeClr>
              </a:solidFill>
              <a:ln w="19050">
                <a:solidFill>
                  <a:schemeClr val="bg1"/>
                </a:solidFill>
              </a:ln>
              <a:effectLst/>
            </c:spPr>
            <c:extLst xmlns:c16r2="http://schemas.microsoft.com/office/drawing/2015/06/chart">
              <c:ext xmlns:c16="http://schemas.microsoft.com/office/drawing/2014/chart" uri="{C3380CC4-5D6E-409C-BE32-E72D297353CC}">
                <c16:uniqueId val="{00000001-F6E1-4517-8BE2-0B6A18B64D7E}"/>
              </c:ext>
            </c:extLst>
          </c:dPt>
          <c:dPt>
            <c:idx val="1"/>
            <c:bubble3D val="0"/>
            <c:spPr>
              <a:solidFill>
                <a:schemeClr val="bg1">
                  <a:lumMod val="65000"/>
                </a:schemeClr>
              </a:solidFill>
              <a:ln w="19050">
                <a:solidFill>
                  <a:schemeClr val="bg1"/>
                </a:solidFill>
              </a:ln>
              <a:effectLst/>
            </c:spPr>
            <c:extLst xmlns:c16r2="http://schemas.microsoft.com/office/drawing/2015/06/chart">
              <c:ext xmlns:c16="http://schemas.microsoft.com/office/drawing/2014/chart" uri="{C3380CC4-5D6E-409C-BE32-E72D297353CC}">
                <c16:uniqueId val="{00000003-F6E1-4517-8BE2-0B6A18B64D7E}"/>
              </c:ext>
            </c:extLst>
          </c:dPt>
          <c:dPt>
            <c:idx val="2"/>
            <c:bubble3D val="0"/>
            <c:spPr>
              <a:solidFill>
                <a:schemeClr val="tx1"/>
              </a:solidFill>
              <a:ln w="19050">
                <a:solidFill>
                  <a:schemeClr val="bg1"/>
                </a:solidFill>
              </a:ln>
              <a:effectLst/>
            </c:spPr>
            <c:extLst xmlns:c16r2="http://schemas.microsoft.com/office/drawing/2015/06/chart">
              <c:ext xmlns:c16="http://schemas.microsoft.com/office/drawing/2014/chart" uri="{C3380CC4-5D6E-409C-BE32-E72D297353CC}">
                <c16:uniqueId val="{00000005-F6E1-4517-8BE2-0B6A18B64D7E}"/>
              </c:ext>
            </c:extLst>
          </c:dPt>
          <c:dPt>
            <c:idx val="3"/>
            <c:bubble3D val="0"/>
            <c:spPr>
              <a:solidFill>
                <a:schemeClr val="bg1">
                  <a:lumMod val="85000"/>
                </a:schemeClr>
              </a:solidFill>
              <a:ln w="19050">
                <a:solidFill>
                  <a:schemeClr val="bg1"/>
                </a:solidFill>
              </a:ln>
              <a:effectLst/>
            </c:spPr>
            <c:extLst xmlns:c16r2="http://schemas.microsoft.com/office/drawing/2015/06/chart">
              <c:ext xmlns:c16="http://schemas.microsoft.com/office/drawing/2014/chart" uri="{C3380CC4-5D6E-409C-BE32-E72D297353CC}">
                <c16:uniqueId val="{00000007-F6E1-4517-8BE2-0B6A18B64D7E}"/>
              </c:ext>
            </c:extLst>
          </c:dPt>
          <c:dPt>
            <c:idx val="4"/>
            <c:bubble3D val="0"/>
            <c:spPr>
              <a:solidFill>
                <a:schemeClr val="bg1">
                  <a:lumMod val="75000"/>
                </a:schemeClr>
              </a:solidFill>
              <a:ln w="19050">
                <a:solidFill>
                  <a:schemeClr val="bg1"/>
                </a:solidFill>
              </a:ln>
              <a:effectLst/>
            </c:spPr>
            <c:extLst xmlns:c16r2="http://schemas.microsoft.com/office/drawing/2015/06/chart">
              <c:ext xmlns:c16="http://schemas.microsoft.com/office/drawing/2014/chart" uri="{C3380CC4-5D6E-409C-BE32-E72D297353CC}">
                <c16:uniqueId val="{00000009-F6E1-4517-8BE2-0B6A18B64D7E}"/>
              </c:ext>
            </c:extLst>
          </c:dPt>
          <c:dLbls>
            <c:dLbl>
              <c:idx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sk-SK"/>
                </a:p>
              </c:txPr>
              <c:dLblPos val="bestFit"/>
              <c:showLegendKey val="0"/>
              <c:showVal val="1"/>
              <c:showCatName val="0"/>
              <c:showSerName val="0"/>
              <c:showPercent val="0"/>
              <c:showBubbleSize val="0"/>
            </c:dLbl>
            <c:dLbl>
              <c:idx val="2"/>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sk-SK"/>
                </a:p>
              </c:txPr>
              <c:dLblPos val="bestFit"/>
              <c:showLegendKey val="0"/>
              <c:showVal val="1"/>
              <c:showCatName val="0"/>
              <c:showSerName val="0"/>
              <c:showPercent val="0"/>
              <c:showBubbleSize val="0"/>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Hárok1!$A$2:$A$6</c:f>
              <c:strCache>
                <c:ptCount val="5"/>
                <c:pt idx="0">
                  <c:v>PP na osobnú asistenciu</c:v>
                </c:pt>
                <c:pt idx="1">
                  <c:v>PP na prepravu</c:v>
                </c:pt>
                <c:pt idx="2">
                  <c:v>PP na kompenzáciu zvýšených výdavkov</c:v>
                </c:pt>
                <c:pt idx="3">
                  <c:v>PP na opatrovanie</c:v>
                </c:pt>
                <c:pt idx="4">
                  <c:v>jednorazové PP</c:v>
                </c:pt>
              </c:strCache>
            </c:strRef>
          </c:cat>
          <c:val>
            <c:numRef>
              <c:f>Hárok1!$G$2:$G$6</c:f>
              <c:numCache>
                <c:formatCode>0.00</c:formatCode>
                <c:ptCount val="5"/>
                <c:pt idx="0">
                  <c:v>45.835000000000001</c:v>
                </c:pt>
                <c:pt idx="1">
                  <c:v>3.1349999999999998</c:v>
                </c:pt>
                <c:pt idx="2">
                  <c:v>62.008000000000003</c:v>
                </c:pt>
                <c:pt idx="3">
                  <c:v>110.681</c:v>
                </c:pt>
                <c:pt idx="4">
                  <c:v>22.292857999999999</c:v>
                </c:pt>
              </c:numCache>
            </c:numRef>
          </c:val>
          <c:extLst xmlns:c16r2="http://schemas.microsoft.com/office/drawing/2015/06/chart">
            <c:ext xmlns:c16="http://schemas.microsoft.com/office/drawing/2014/chart" uri="{C3380CC4-5D6E-409C-BE32-E72D297353CC}">
              <c16:uniqueId val="{0000000A-F6E1-4517-8BE2-0B6A18B64D7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606860297412603"/>
          <c:y val="5.4752183478061656E-2"/>
          <c:w val="0.34523699243476919"/>
          <c:h val="0.92238021861456221"/>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k-SK"/>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sk-SK"/>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Data!$A$38</c:f>
              <c:strCache>
                <c:ptCount val="1"/>
                <c:pt idx="0">
                  <c:v>Slovensko</c:v>
                </c:pt>
              </c:strCache>
            </c:strRef>
          </c:tx>
          <c:spPr>
            <a:solidFill>
              <a:sysClr val="window" lastClr="FFFFFF">
                <a:lumMod val="85000"/>
              </a:sysClr>
            </a:solidFill>
            <a:ln>
              <a:solidFill>
                <a:sysClr val="window" lastClr="FFFFFF">
                  <a:lumMod val="85000"/>
                </a:sysClr>
              </a:solidFill>
            </a:ln>
            <a:effectLst/>
          </c:spPr>
          <c:invertIfNegative val="0"/>
          <c:val>
            <c:numRef>
              <c:f>Data!$B$38:$C$38</c:f>
              <c:numCache>
                <c:formatCode>#\ ##0.0</c:formatCode>
                <c:ptCount val="2"/>
                <c:pt idx="0">
                  <c:v>31.9</c:v>
                </c:pt>
                <c:pt idx="1">
                  <c:v>62.6</c:v>
                </c:pt>
              </c:numCache>
            </c:numRef>
          </c:val>
          <c:extLst xmlns:c16r2="http://schemas.microsoft.com/office/drawing/2015/06/chart">
            <c:ext xmlns:c16="http://schemas.microsoft.com/office/drawing/2014/chart" uri="{C3380CC4-5D6E-409C-BE32-E72D297353CC}">
              <c16:uniqueId val="{00000000-D6CE-4AEA-A603-ACACA56D242D}"/>
            </c:ext>
          </c:extLst>
        </c:ser>
        <c:ser>
          <c:idx val="2"/>
          <c:order val="1"/>
          <c:tx>
            <c:strRef>
              <c:f>Data!$A$45</c:f>
              <c:strCache>
                <c:ptCount val="1"/>
                <c:pt idx="0">
                  <c:v>V3</c:v>
                </c:pt>
              </c:strCache>
            </c:strRef>
          </c:tx>
          <c:spPr>
            <a:solidFill>
              <a:sysClr val="windowText" lastClr="000000"/>
            </a:solidFill>
            <a:ln>
              <a:solidFill>
                <a:sysClr val="windowText" lastClr="000000"/>
              </a:solidFill>
            </a:ln>
            <a:effectLst/>
          </c:spPr>
          <c:invertIfNegative val="0"/>
          <c:val>
            <c:numRef>
              <c:f>Data!$B$45:$C$45</c:f>
              <c:numCache>
                <c:formatCode>0.0</c:formatCode>
                <c:ptCount val="2"/>
                <c:pt idx="0">
                  <c:v>32.066666666666663</c:v>
                </c:pt>
                <c:pt idx="1">
                  <c:v>64.5</c:v>
                </c:pt>
              </c:numCache>
            </c:numRef>
          </c:val>
          <c:extLst xmlns:c16r2="http://schemas.microsoft.com/office/drawing/2015/06/chart">
            <c:ext xmlns:c16="http://schemas.microsoft.com/office/drawing/2014/chart" uri="{C3380CC4-5D6E-409C-BE32-E72D297353CC}">
              <c16:uniqueId val="{00000001-D6CE-4AEA-A603-ACACA56D242D}"/>
            </c:ext>
          </c:extLst>
        </c:ser>
        <c:ser>
          <c:idx val="0"/>
          <c:order val="2"/>
          <c:tx>
            <c:strRef>
              <c:f>Data!$A$13</c:f>
              <c:strCache>
                <c:ptCount val="1"/>
                <c:pt idx="0">
                  <c:v>EU</c:v>
                </c:pt>
              </c:strCache>
            </c:strRef>
          </c:tx>
          <c:spPr>
            <a:solidFill>
              <a:sysClr val="windowText" lastClr="000000">
                <a:lumMod val="50000"/>
                <a:lumOff val="50000"/>
              </a:sysClr>
            </a:solidFill>
            <a:ln>
              <a:solidFill>
                <a:sysClr val="windowText" lastClr="000000">
                  <a:lumMod val="50000"/>
                  <a:lumOff val="50000"/>
                </a:sysClr>
              </a:solidFill>
            </a:ln>
            <a:effectLst/>
          </c:spPr>
          <c:invertIfNegative val="0"/>
          <c:dPt>
            <c:idx val="0"/>
            <c:invertIfNegative val="0"/>
            <c:bubble3D val="0"/>
            <c:spPr>
              <a:solidFill>
                <a:sysClr val="window" lastClr="FFFFFF">
                  <a:lumMod val="50000"/>
                </a:sysClr>
              </a:solidFill>
              <a:ln>
                <a:solidFill>
                  <a:sysClr val="window" lastClr="FFFFFF">
                    <a:lumMod val="50000"/>
                  </a:sysClr>
                </a:solidFill>
              </a:ln>
              <a:effectLst/>
            </c:spPr>
            <c:extLst xmlns:c16r2="http://schemas.microsoft.com/office/drawing/2015/06/chart">
              <c:ext xmlns:c16="http://schemas.microsoft.com/office/drawing/2014/chart" uri="{C3380CC4-5D6E-409C-BE32-E72D297353CC}">
                <c16:uniqueId val="{00000003-D6CE-4AEA-A603-ACACA56D242D}"/>
              </c:ext>
            </c:extLst>
          </c:dPt>
          <c:cat>
            <c:strRef>
              <c:f>Data!$B$12:$C$12</c:f>
              <c:strCache>
                <c:ptCount val="2"/>
                <c:pt idx="0">
                  <c:v>Určité zdravotné postihnutie</c:v>
                </c:pt>
                <c:pt idx="1">
                  <c:v>Bez postihnutia</c:v>
                </c:pt>
              </c:strCache>
            </c:strRef>
          </c:cat>
          <c:val>
            <c:numRef>
              <c:f>Data!$B$13:$C$13</c:f>
              <c:numCache>
                <c:formatCode>#\ ##0.0</c:formatCode>
                <c:ptCount val="2"/>
                <c:pt idx="0">
                  <c:v>47.3</c:v>
                </c:pt>
                <c:pt idx="1">
                  <c:v>66.900000000000006</c:v>
                </c:pt>
              </c:numCache>
            </c:numRef>
          </c:val>
          <c:extLst xmlns:c16r2="http://schemas.microsoft.com/office/drawing/2015/06/chart">
            <c:ext xmlns:c16="http://schemas.microsoft.com/office/drawing/2014/chart" uri="{C3380CC4-5D6E-409C-BE32-E72D297353CC}">
              <c16:uniqueId val="{00000004-D6CE-4AEA-A603-ACACA56D242D}"/>
            </c:ext>
          </c:extLst>
        </c:ser>
        <c:dLbls>
          <c:showLegendKey val="0"/>
          <c:showVal val="0"/>
          <c:showCatName val="0"/>
          <c:showSerName val="0"/>
          <c:showPercent val="0"/>
          <c:showBubbleSize val="0"/>
        </c:dLbls>
        <c:gapWidth val="150"/>
        <c:axId val="472350872"/>
        <c:axId val="472351264"/>
      </c:barChart>
      <c:catAx>
        <c:axId val="472350872"/>
        <c:scaling>
          <c:orientation val="minMax"/>
        </c:scaling>
        <c:delete val="0"/>
        <c:axPos val="b"/>
        <c:numFmt formatCode="General" sourceLinked="1"/>
        <c:majorTickMark val="out"/>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endParaRPr lang="sk-SK"/>
          </a:p>
        </c:txPr>
        <c:crossAx val="472351264"/>
        <c:crosses val="autoZero"/>
        <c:auto val="1"/>
        <c:lblAlgn val="ctr"/>
        <c:lblOffset val="100"/>
        <c:noMultiLvlLbl val="0"/>
      </c:catAx>
      <c:valAx>
        <c:axId val="472351264"/>
        <c:scaling>
          <c:orientation val="minMax"/>
        </c:scaling>
        <c:delete val="0"/>
        <c:axPos val="l"/>
        <c:majorGridlines>
          <c:spPr>
            <a:ln w="9525" cap="flat" cmpd="sng" algn="ctr">
              <a:solidFill>
                <a:schemeClr val="bg1">
                  <a:lumMod val="75000"/>
                </a:schemeClr>
              </a:solidFill>
              <a:prstDash val="dash"/>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endParaRPr lang="sk-SK"/>
          </a:p>
        </c:txPr>
        <c:crossAx val="472350872"/>
        <c:crosses val="autoZero"/>
        <c:crossBetween val="between"/>
      </c:valAx>
      <c:spPr>
        <a:noFill/>
        <a:ln>
          <a:noFill/>
        </a:ln>
        <a:effectLst/>
      </c:spPr>
    </c:plotArea>
    <c:legend>
      <c:legendPos val="t"/>
      <c:layout>
        <c:manualLayout>
          <c:xMode val="edge"/>
          <c:yMode val="edge"/>
          <c:x val="0.26997161452030799"/>
          <c:y val="7.40741354214762E-2"/>
          <c:w val="0.51724009838298501"/>
          <c:h val="7.4481991834354097E-2"/>
        </c:manualLayout>
      </c:layout>
      <c:overlay val="1"/>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endParaRPr lang="sk-SK"/>
        </a:p>
      </c:txPr>
    </c:legend>
    <c:plotVisOnly val="1"/>
    <c:dispBlanksAs val="gap"/>
    <c:showDLblsOverMax val="0"/>
  </c:chart>
  <c:spPr>
    <a:noFill/>
    <a:ln w="9525" cap="flat" cmpd="sng" algn="ctr">
      <a:noFill/>
      <a:round/>
    </a:ln>
    <a:effectLst/>
  </c:spPr>
  <c:txPr>
    <a:bodyPr/>
    <a:lstStyle/>
    <a:p>
      <a:pPr>
        <a:defRPr sz="800">
          <a:solidFill>
            <a:sysClr val="windowText" lastClr="000000"/>
          </a:solidFill>
          <a:latin typeface="Arial Narrow" panose="020B0606020202030204" pitchFamily="34" charset="0"/>
        </a:defRPr>
      </a:pPr>
      <a:endParaRPr lang="sk-SK"/>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2209341887819573E-2"/>
          <c:y val="6.8692033896632351E-2"/>
          <c:w val="0.84215642635313859"/>
          <c:h val="0.81729359872831475"/>
        </c:manualLayout>
      </c:layout>
      <c:barChart>
        <c:barDir val="col"/>
        <c:grouping val="clustered"/>
        <c:varyColors val="0"/>
        <c:ser>
          <c:idx val="0"/>
          <c:order val="0"/>
          <c:tx>
            <c:strRef>
              <c:f>Hárok1!$P$22</c:f>
              <c:strCache>
                <c:ptCount val="1"/>
                <c:pt idx="0">
                  <c:v>2015 - ľavá os</c:v>
                </c:pt>
              </c:strCache>
            </c:strRef>
          </c:tx>
          <c:spPr>
            <a:solidFill>
              <a:sysClr val="window" lastClr="FFFFFF">
                <a:lumMod val="75000"/>
              </a:sysClr>
            </a:solidFill>
            <a:ln>
              <a:noFill/>
            </a:ln>
          </c:spPr>
          <c:invertIfNegative val="0"/>
          <c:cat>
            <c:strRef>
              <c:f>Hárok1!$O$23:$O$27</c:f>
              <c:strCache>
                <c:ptCount val="5"/>
                <c:pt idx="0">
                  <c:v>SK</c:v>
                </c:pt>
                <c:pt idx="1">
                  <c:v>CZ</c:v>
                </c:pt>
                <c:pt idx="2">
                  <c:v>HU</c:v>
                </c:pt>
                <c:pt idx="3">
                  <c:v>PL</c:v>
                </c:pt>
                <c:pt idx="4">
                  <c:v>EÚ</c:v>
                </c:pt>
              </c:strCache>
            </c:strRef>
          </c:cat>
          <c:val>
            <c:numRef>
              <c:f>Hárok1!$P$23:$P$27</c:f>
              <c:numCache>
                <c:formatCode>General</c:formatCode>
                <c:ptCount val="5"/>
                <c:pt idx="0">
                  <c:v>7.6</c:v>
                </c:pt>
                <c:pt idx="1">
                  <c:v>2.4</c:v>
                </c:pt>
                <c:pt idx="2">
                  <c:v>3.1</c:v>
                </c:pt>
                <c:pt idx="3">
                  <c:v>3</c:v>
                </c:pt>
                <c:pt idx="4">
                  <c:v>4.5</c:v>
                </c:pt>
              </c:numCache>
            </c:numRef>
          </c:val>
          <c:extLst xmlns:c16r2="http://schemas.microsoft.com/office/drawing/2015/06/chart">
            <c:ext xmlns:c16="http://schemas.microsoft.com/office/drawing/2014/chart" uri="{C3380CC4-5D6E-409C-BE32-E72D297353CC}">
              <c16:uniqueId val="{00000000-A16E-418F-ACEF-E3B1D06C46A0}"/>
            </c:ext>
          </c:extLst>
        </c:ser>
        <c:ser>
          <c:idx val="2"/>
          <c:order val="1"/>
          <c:tx>
            <c:strRef>
              <c:f>Hárok1!$Q$22</c:f>
              <c:strCache>
                <c:ptCount val="1"/>
                <c:pt idx="0">
                  <c:v>2016 - ľavá os</c:v>
                </c:pt>
              </c:strCache>
            </c:strRef>
          </c:tx>
          <c:spPr>
            <a:solidFill>
              <a:sysClr val="window" lastClr="FFFFFF">
                <a:lumMod val="85000"/>
              </a:sysClr>
            </a:solidFill>
            <a:ln>
              <a:noFill/>
            </a:ln>
          </c:spPr>
          <c:invertIfNegative val="0"/>
          <c:cat>
            <c:strRef>
              <c:f>Hárok1!$O$23:$O$27</c:f>
              <c:strCache>
                <c:ptCount val="5"/>
                <c:pt idx="0">
                  <c:v>SK</c:v>
                </c:pt>
                <c:pt idx="1">
                  <c:v>CZ</c:v>
                </c:pt>
                <c:pt idx="2">
                  <c:v>HU</c:v>
                </c:pt>
                <c:pt idx="3">
                  <c:v>PL</c:v>
                </c:pt>
                <c:pt idx="4">
                  <c:v>EÚ</c:v>
                </c:pt>
              </c:strCache>
            </c:strRef>
          </c:cat>
          <c:val>
            <c:numRef>
              <c:f>Hárok1!$Q$23:$Q$27</c:f>
              <c:numCache>
                <c:formatCode>General</c:formatCode>
                <c:ptCount val="5"/>
                <c:pt idx="0">
                  <c:v>5.8</c:v>
                </c:pt>
                <c:pt idx="1">
                  <c:v>1.7</c:v>
                </c:pt>
                <c:pt idx="2">
                  <c:v>2.4</c:v>
                </c:pt>
                <c:pt idx="3">
                  <c:v>2.2000000000000002</c:v>
                </c:pt>
                <c:pt idx="4">
                  <c:v>4</c:v>
                </c:pt>
              </c:numCache>
            </c:numRef>
          </c:val>
          <c:extLst xmlns:c16r2="http://schemas.microsoft.com/office/drawing/2015/06/chart">
            <c:ext xmlns:c16="http://schemas.microsoft.com/office/drawing/2014/chart" uri="{C3380CC4-5D6E-409C-BE32-E72D297353CC}">
              <c16:uniqueId val="{00000001-A16E-418F-ACEF-E3B1D06C46A0}"/>
            </c:ext>
          </c:extLst>
        </c:ser>
        <c:ser>
          <c:idx val="4"/>
          <c:order val="2"/>
          <c:tx>
            <c:strRef>
              <c:f>Hárok1!$R$22</c:f>
              <c:strCache>
                <c:ptCount val="1"/>
                <c:pt idx="0">
                  <c:v>2017 - ľavá os</c:v>
                </c:pt>
              </c:strCache>
            </c:strRef>
          </c:tx>
          <c:spPr>
            <a:solidFill>
              <a:sysClr val="window" lastClr="FFFFFF">
                <a:lumMod val="50000"/>
              </a:sysClr>
            </a:solidFill>
            <a:ln w="28575">
              <a:noFill/>
            </a:ln>
          </c:spPr>
          <c:invertIfNegative val="0"/>
          <c:cat>
            <c:strRef>
              <c:f>Hárok1!$O$23:$O$27</c:f>
              <c:strCache>
                <c:ptCount val="5"/>
                <c:pt idx="0">
                  <c:v>SK</c:v>
                </c:pt>
                <c:pt idx="1">
                  <c:v>CZ</c:v>
                </c:pt>
                <c:pt idx="2">
                  <c:v>HU</c:v>
                </c:pt>
                <c:pt idx="3">
                  <c:v>PL</c:v>
                </c:pt>
                <c:pt idx="4">
                  <c:v>EÚ</c:v>
                </c:pt>
              </c:strCache>
            </c:strRef>
          </c:cat>
          <c:val>
            <c:numRef>
              <c:f>Hárok1!$R$23:$R$27</c:f>
              <c:numCache>
                <c:formatCode>General</c:formatCode>
                <c:ptCount val="5"/>
                <c:pt idx="0">
                  <c:v>5.0999999999999996</c:v>
                </c:pt>
                <c:pt idx="1">
                  <c:v>1</c:v>
                </c:pt>
                <c:pt idx="2">
                  <c:v>1.7</c:v>
                </c:pt>
                <c:pt idx="3">
                  <c:v>1.5</c:v>
                </c:pt>
                <c:pt idx="4">
                  <c:v>3.4</c:v>
                </c:pt>
              </c:numCache>
            </c:numRef>
          </c:val>
          <c:extLst xmlns:c16r2="http://schemas.microsoft.com/office/drawing/2015/06/chart">
            <c:ext xmlns:c16="http://schemas.microsoft.com/office/drawing/2014/chart" uri="{C3380CC4-5D6E-409C-BE32-E72D297353CC}">
              <c16:uniqueId val="{00000002-A16E-418F-ACEF-E3B1D06C46A0}"/>
            </c:ext>
          </c:extLst>
        </c:ser>
        <c:dLbls>
          <c:showLegendKey val="0"/>
          <c:showVal val="0"/>
          <c:showCatName val="0"/>
          <c:showSerName val="0"/>
          <c:showPercent val="0"/>
          <c:showBubbleSize val="0"/>
        </c:dLbls>
        <c:gapWidth val="150"/>
        <c:axId val="472352048"/>
        <c:axId val="472352440"/>
      </c:barChart>
      <c:lineChart>
        <c:grouping val="standard"/>
        <c:varyColors val="0"/>
        <c:ser>
          <c:idx val="1"/>
          <c:order val="3"/>
          <c:tx>
            <c:strRef>
              <c:f>Hárok1!$S$22</c:f>
              <c:strCache>
                <c:ptCount val="1"/>
                <c:pt idx="0">
                  <c:v>% podiel na celk. miere nezamestnanosti (2015)</c:v>
                </c:pt>
              </c:strCache>
            </c:strRef>
          </c:tx>
          <c:spPr>
            <a:ln w="28575">
              <a:noFill/>
            </a:ln>
          </c:spPr>
          <c:marker>
            <c:symbol val="diamond"/>
            <c:size val="5"/>
            <c:spPr>
              <a:solidFill>
                <a:sysClr val="windowText" lastClr="000000"/>
              </a:solidFill>
              <a:ln>
                <a:solidFill>
                  <a:sysClr val="windowText" lastClr="000000"/>
                </a:solidFill>
              </a:ln>
            </c:spPr>
          </c:marker>
          <c:cat>
            <c:strRef>
              <c:f>Hárok1!$O$23:$O$27</c:f>
              <c:strCache>
                <c:ptCount val="5"/>
                <c:pt idx="0">
                  <c:v>SK</c:v>
                </c:pt>
                <c:pt idx="1">
                  <c:v>CZ</c:v>
                </c:pt>
                <c:pt idx="2">
                  <c:v>HU</c:v>
                </c:pt>
                <c:pt idx="3">
                  <c:v>PL</c:v>
                </c:pt>
                <c:pt idx="4">
                  <c:v>EÚ</c:v>
                </c:pt>
              </c:strCache>
            </c:strRef>
          </c:cat>
          <c:val>
            <c:numRef>
              <c:f>Hárok1!$S$23:$S$27</c:f>
              <c:numCache>
                <c:formatCode>0%</c:formatCode>
                <c:ptCount val="5"/>
                <c:pt idx="0">
                  <c:v>0.66086956521739126</c:v>
                </c:pt>
                <c:pt idx="1">
                  <c:v>0.47058823529411764</c:v>
                </c:pt>
                <c:pt idx="2">
                  <c:v>0.45588235294117652</c:v>
                </c:pt>
                <c:pt idx="3">
                  <c:v>0.4</c:v>
                </c:pt>
                <c:pt idx="4">
                  <c:v>0.47872340425531912</c:v>
                </c:pt>
              </c:numCache>
            </c:numRef>
          </c:val>
          <c:smooth val="0"/>
          <c:extLst xmlns:c16r2="http://schemas.microsoft.com/office/drawing/2015/06/chart">
            <c:ext xmlns:c16="http://schemas.microsoft.com/office/drawing/2014/chart" uri="{C3380CC4-5D6E-409C-BE32-E72D297353CC}">
              <c16:uniqueId val="{00000003-A16E-418F-ACEF-E3B1D06C46A0}"/>
            </c:ext>
          </c:extLst>
        </c:ser>
        <c:ser>
          <c:idx val="3"/>
          <c:order val="4"/>
          <c:tx>
            <c:strRef>
              <c:f>Hárok1!$T$22</c:f>
              <c:strCache>
                <c:ptCount val="1"/>
                <c:pt idx="0">
                  <c:v>% podiel na celk. miere nezamestnanosti (2016)</c:v>
                </c:pt>
              </c:strCache>
            </c:strRef>
          </c:tx>
          <c:spPr>
            <a:ln w="28575">
              <a:noFill/>
            </a:ln>
          </c:spPr>
          <c:marker>
            <c:symbol val="x"/>
            <c:size val="5"/>
            <c:spPr>
              <a:noFill/>
              <a:ln>
                <a:solidFill>
                  <a:sysClr val="window" lastClr="FFFFFF">
                    <a:lumMod val="75000"/>
                  </a:sysClr>
                </a:solidFill>
              </a:ln>
            </c:spPr>
          </c:marker>
          <c:cat>
            <c:strRef>
              <c:f>Hárok1!$O$23:$O$27</c:f>
              <c:strCache>
                <c:ptCount val="5"/>
                <c:pt idx="0">
                  <c:v>SK</c:v>
                </c:pt>
                <c:pt idx="1">
                  <c:v>CZ</c:v>
                </c:pt>
                <c:pt idx="2">
                  <c:v>HU</c:v>
                </c:pt>
                <c:pt idx="3">
                  <c:v>PL</c:v>
                </c:pt>
                <c:pt idx="4">
                  <c:v>EÚ</c:v>
                </c:pt>
              </c:strCache>
            </c:strRef>
          </c:cat>
          <c:val>
            <c:numRef>
              <c:f>Hárok1!$T$23:$T$27</c:f>
              <c:numCache>
                <c:formatCode>0%</c:formatCode>
                <c:ptCount val="5"/>
                <c:pt idx="0">
                  <c:v>0.59793814432989689</c:v>
                </c:pt>
                <c:pt idx="1">
                  <c:v>0.42499999999999999</c:v>
                </c:pt>
                <c:pt idx="2">
                  <c:v>0.47058823529411764</c:v>
                </c:pt>
                <c:pt idx="3">
                  <c:v>0.35483870967741937</c:v>
                </c:pt>
                <c:pt idx="4">
                  <c:v>0.47058823529411764</c:v>
                </c:pt>
              </c:numCache>
            </c:numRef>
          </c:val>
          <c:smooth val="0"/>
          <c:extLst xmlns:c16r2="http://schemas.microsoft.com/office/drawing/2015/06/chart">
            <c:ext xmlns:c16="http://schemas.microsoft.com/office/drawing/2014/chart" uri="{C3380CC4-5D6E-409C-BE32-E72D297353CC}">
              <c16:uniqueId val="{00000004-A16E-418F-ACEF-E3B1D06C46A0}"/>
            </c:ext>
          </c:extLst>
        </c:ser>
        <c:ser>
          <c:idx val="5"/>
          <c:order val="5"/>
          <c:tx>
            <c:strRef>
              <c:f>Hárok1!$U$22</c:f>
              <c:strCache>
                <c:ptCount val="1"/>
                <c:pt idx="0">
                  <c:v>% podiel na celk. miere nezamestnanosti (2017)</c:v>
                </c:pt>
              </c:strCache>
            </c:strRef>
          </c:tx>
          <c:spPr>
            <a:ln w="28575">
              <a:noFill/>
            </a:ln>
          </c:spPr>
          <c:marker>
            <c:symbol val="circle"/>
            <c:size val="4"/>
            <c:spPr>
              <a:solidFill>
                <a:sysClr val="window" lastClr="FFFFFF">
                  <a:lumMod val="50000"/>
                </a:sysClr>
              </a:solidFill>
              <a:ln>
                <a:solidFill>
                  <a:sysClr val="window" lastClr="FFFFFF">
                    <a:lumMod val="50000"/>
                  </a:sysClr>
                </a:solidFill>
              </a:ln>
            </c:spPr>
          </c:marker>
          <c:cat>
            <c:strRef>
              <c:f>Hárok1!$O$23:$O$27</c:f>
              <c:strCache>
                <c:ptCount val="5"/>
                <c:pt idx="0">
                  <c:v>SK</c:v>
                </c:pt>
                <c:pt idx="1">
                  <c:v>CZ</c:v>
                </c:pt>
                <c:pt idx="2">
                  <c:v>HU</c:v>
                </c:pt>
                <c:pt idx="3">
                  <c:v>PL</c:v>
                </c:pt>
                <c:pt idx="4">
                  <c:v>EÚ</c:v>
                </c:pt>
              </c:strCache>
            </c:strRef>
          </c:cat>
          <c:val>
            <c:numRef>
              <c:f>Hárok1!$U$23:$U$27</c:f>
              <c:numCache>
                <c:formatCode>0%</c:formatCode>
                <c:ptCount val="5"/>
                <c:pt idx="0">
                  <c:v>0.63</c:v>
                </c:pt>
                <c:pt idx="1">
                  <c:v>0.34</c:v>
                </c:pt>
                <c:pt idx="2">
                  <c:v>0.4</c:v>
                </c:pt>
                <c:pt idx="3">
                  <c:v>0.31</c:v>
                </c:pt>
                <c:pt idx="4">
                  <c:v>0.45</c:v>
                </c:pt>
              </c:numCache>
            </c:numRef>
          </c:val>
          <c:smooth val="0"/>
          <c:extLst xmlns:c16r2="http://schemas.microsoft.com/office/drawing/2015/06/chart">
            <c:ext xmlns:c16="http://schemas.microsoft.com/office/drawing/2014/chart" uri="{C3380CC4-5D6E-409C-BE32-E72D297353CC}">
              <c16:uniqueId val="{00000005-A16E-418F-ACEF-E3B1D06C46A0}"/>
            </c:ext>
          </c:extLst>
        </c:ser>
        <c:dLbls>
          <c:showLegendKey val="0"/>
          <c:showVal val="0"/>
          <c:showCatName val="0"/>
          <c:showSerName val="0"/>
          <c:showPercent val="0"/>
          <c:showBubbleSize val="0"/>
        </c:dLbls>
        <c:marker val="1"/>
        <c:smooth val="0"/>
        <c:axId val="472352832"/>
        <c:axId val="472353224"/>
      </c:lineChart>
      <c:catAx>
        <c:axId val="472352048"/>
        <c:scaling>
          <c:orientation val="minMax"/>
        </c:scaling>
        <c:delete val="0"/>
        <c:axPos val="b"/>
        <c:numFmt formatCode="General" sourceLinked="1"/>
        <c:majorTickMark val="out"/>
        <c:minorTickMark val="none"/>
        <c:tickLblPos val="nextTo"/>
        <c:txPr>
          <a:bodyPr/>
          <a:lstStyle/>
          <a:p>
            <a:pPr>
              <a:defRPr sz="600"/>
            </a:pPr>
            <a:endParaRPr lang="sk-SK"/>
          </a:p>
        </c:txPr>
        <c:crossAx val="472352440"/>
        <c:crosses val="autoZero"/>
        <c:auto val="1"/>
        <c:lblAlgn val="ctr"/>
        <c:lblOffset val="100"/>
        <c:noMultiLvlLbl val="0"/>
      </c:catAx>
      <c:valAx>
        <c:axId val="472352440"/>
        <c:scaling>
          <c:orientation val="minMax"/>
        </c:scaling>
        <c:delete val="0"/>
        <c:axPos val="l"/>
        <c:majorGridlines>
          <c:spPr>
            <a:ln>
              <a:solidFill>
                <a:sysClr val="window" lastClr="FFFFFF">
                  <a:lumMod val="75000"/>
                </a:sysClr>
              </a:solidFill>
              <a:prstDash val="dash"/>
            </a:ln>
          </c:spPr>
        </c:majorGridlines>
        <c:numFmt formatCode="#,##0&quot;%&quot;" sourceLinked="0"/>
        <c:majorTickMark val="out"/>
        <c:minorTickMark val="none"/>
        <c:tickLblPos val="nextTo"/>
        <c:spPr>
          <a:ln>
            <a:noFill/>
          </a:ln>
        </c:spPr>
        <c:txPr>
          <a:bodyPr/>
          <a:lstStyle/>
          <a:p>
            <a:pPr>
              <a:defRPr sz="600"/>
            </a:pPr>
            <a:endParaRPr lang="sk-SK"/>
          </a:p>
        </c:txPr>
        <c:crossAx val="472352048"/>
        <c:crosses val="autoZero"/>
        <c:crossBetween val="between"/>
      </c:valAx>
      <c:catAx>
        <c:axId val="472352832"/>
        <c:scaling>
          <c:orientation val="minMax"/>
        </c:scaling>
        <c:delete val="1"/>
        <c:axPos val="b"/>
        <c:numFmt formatCode="General" sourceLinked="1"/>
        <c:majorTickMark val="out"/>
        <c:minorTickMark val="none"/>
        <c:tickLblPos val="nextTo"/>
        <c:crossAx val="472353224"/>
        <c:crosses val="autoZero"/>
        <c:auto val="1"/>
        <c:lblAlgn val="ctr"/>
        <c:lblOffset val="100"/>
        <c:noMultiLvlLbl val="0"/>
      </c:catAx>
      <c:valAx>
        <c:axId val="472353224"/>
        <c:scaling>
          <c:orientation val="minMax"/>
        </c:scaling>
        <c:delete val="0"/>
        <c:axPos val="r"/>
        <c:numFmt formatCode="0%" sourceLinked="0"/>
        <c:majorTickMark val="out"/>
        <c:minorTickMark val="none"/>
        <c:tickLblPos val="nextTo"/>
        <c:spPr>
          <a:ln>
            <a:noFill/>
          </a:ln>
        </c:spPr>
        <c:txPr>
          <a:bodyPr/>
          <a:lstStyle/>
          <a:p>
            <a:pPr>
              <a:defRPr sz="600"/>
            </a:pPr>
            <a:endParaRPr lang="sk-SK"/>
          </a:p>
        </c:txPr>
        <c:crossAx val="472352832"/>
        <c:crosses val="max"/>
        <c:crossBetween val="between"/>
      </c:valAx>
      <c:spPr>
        <a:ln>
          <a:noFill/>
        </a:ln>
      </c:spPr>
    </c:plotArea>
    <c:legend>
      <c:legendPos val="b"/>
      <c:layout>
        <c:manualLayout>
          <c:xMode val="edge"/>
          <c:yMode val="edge"/>
          <c:x val="0.19629177752098395"/>
          <c:y val="3.4602914454697688E-2"/>
          <c:w val="0.67164840527916025"/>
          <c:h val="0.22740347501811145"/>
        </c:manualLayout>
      </c:layout>
      <c:overlay val="0"/>
      <c:spPr>
        <a:noFill/>
      </c:spPr>
      <c:txPr>
        <a:bodyPr/>
        <a:lstStyle/>
        <a:p>
          <a:pPr>
            <a:defRPr sz="600"/>
          </a:pPr>
          <a:endParaRPr lang="sk-SK"/>
        </a:p>
      </c:txPr>
    </c:legend>
    <c:plotVisOnly val="1"/>
    <c:dispBlanksAs val="gap"/>
    <c:showDLblsOverMax val="0"/>
  </c:chart>
  <c:spPr>
    <a:ln>
      <a:noFill/>
    </a:ln>
  </c:spPr>
  <c:txPr>
    <a:bodyPr/>
    <a:lstStyle/>
    <a:p>
      <a:pPr>
        <a:defRPr sz="500">
          <a:latin typeface="Times New Roman" panose="02020603050405020304" pitchFamily="18" charset="0"/>
          <a:cs typeface="Times New Roman" panose="02020603050405020304" pitchFamily="18" charset="0"/>
        </a:defRPr>
      </a:pPr>
      <a:endParaRPr lang="sk-SK"/>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bg1">
                  <a:lumMod val="75000"/>
                </a:schemeClr>
              </a:solidFill>
              <a:ln w="9525">
                <a:solidFill>
                  <a:schemeClr val="bg1">
                    <a:lumMod val="75000"/>
                  </a:schemeClr>
                </a:solidFill>
              </a:ln>
              <a:effectLst/>
            </c:spPr>
          </c:marker>
          <c:dPt>
            <c:idx val="2"/>
            <c:marker>
              <c:symbol val="circle"/>
              <c:size val="5"/>
              <c:spPr>
                <a:solidFill>
                  <a:schemeClr val="bg1">
                    <a:lumMod val="50000"/>
                  </a:schemeClr>
                </a:solidFill>
                <a:ln w="9525">
                  <a:solidFill>
                    <a:schemeClr val="bg1">
                      <a:lumMod val="50000"/>
                    </a:schemeClr>
                  </a:solidFill>
                </a:ln>
                <a:effectLst/>
              </c:spPr>
            </c:marker>
            <c:bubble3D val="0"/>
            <c:extLst xmlns:c16r2="http://schemas.microsoft.com/office/drawing/2015/06/chart">
              <c:ext xmlns:c16="http://schemas.microsoft.com/office/drawing/2014/chart" uri="{C3380CC4-5D6E-409C-BE32-E72D297353CC}">
                <c16:uniqueId val="{00000000-CD91-47B8-B0E9-229DEB040E78}"/>
              </c:ext>
            </c:extLst>
          </c:dPt>
          <c:dPt>
            <c:idx val="16"/>
            <c:marker>
              <c:symbol val="circle"/>
              <c:size val="5"/>
              <c:spPr>
                <a:solidFill>
                  <a:schemeClr val="bg1">
                    <a:lumMod val="50000"/>
                  </a:schemeClr>
                </a:solidFill>
                <a:ln w="9525">
                  <a:solidFill>
                    <a:schemeClr val="bg1">
                      <a:lumMod val="50000"/>
                    </a:schemeClr>
                  </a:solidFill>
                </a:ln>
                <a:effectLst/>
              </c:spPr>
            </c:marker>
            <c:bubble3D val="0"/>
            <c:extLst xmlns:c16r2="http://schemas.microsoft.com/office/drawing/2015/06/chart">
              <c:ext xmlns:c16="http://schemas.microsoft.com/office/drawing/2014/chart" uri="{C3380CC4-5D6E-409C-BE32-E72D297353CC}">
                <c16:uniqueId val="{00000001-CD91-47B8-B0E9-229DEB040E78}"/>
              </c:ext>
            </c:extLst>
          </c:dPt>
          <c:dPt>
            <c:idx val="20"/>
            <c:marker>
              <c:symbol val="circle"/>
              <c:size val="5"/>
              <c:spPr>
                <a:solidFill>
                  <a:schemeClr val="bg1">
                    <a:lumMod val="50000"/>
                  </a:schemeClr>
                </a:solidFill>
                <a:ln w="9525">
                  <a:solidFill>
                    <a:schemeClr val="bg1">
                      <a:lumMod val="50000"/>
                    </a:schemeClr>
                  </a:solidFill>
                </a:ln>
                <a:effectLst/>
              </c:spPr>
            </c:marker>
            <c:bubble3D val="0"/>
            <c:extLst xmlns:c16r2="http://schemas.microsoft.com/office/drawing/2015/06/chart">
              <c:ext xmlns:c16="http://schemas.microsoft.com/office/drawing/2014/chart" uri="{C3380CC4-5D6E-409C-BE32-E72D297353CC}">
                <c16:uniqueId val="{00000002-CD91-47B8-B0E9-229DEB040E78}"/>
              </c:ext>
            </c:extLst>
          </c:dPt>
          <c:dPt>
            <c:idx val="24"/>
            <c:marker>
              <c:symbol val="circle"/>
              <c:size val="5"/>
              <c:spPr>
                <a:solidFill>
                  <a:schemeClr val="bg1">
                    <a:lumMod val="50000"/>
                  </a:schemeClr>
                </a:solidFill>
                <a:ln w="9525">
                  <a:solidFill>
                    <a:schemeClr val="bg1">
                      <a:lumMod val="50000"/>
                    </a:schemeClr>
                  </a:solidFill>
                </a:ln>
                <a:effectLst/>
              </c:spPr>
            </c:marker>
            <c:bubble3D val="0"/>
            <c:extLst xmlns:c16r2="http://schemas.microsoft.com/office/drawing/2015/06/chart">
              <c:ext xmlns:c16="http://schemas.microsoft.com/office/drawing/2014/chart" uri="{C3380CC4-5D6E-409C-BE32-E72D297353CC}">
                <c16:uniqueId val="{00000003-CD91-47B8-B0E9-229DEB040E78}"/>
              </c:ext>
            </c:extLst>
          </c:dPt>
          <c:dLbls>
            <c:dLbl>
              <c:idx val="0"/>
              <c:delete val="1"/>
              <c:extLst xmlns:c16r2="http://schemas.microsoft.com/office/drawing/2015/06/chart">
                <c:ext xmlns:c16="http://schemas.microsoft.com/office/drawing/2014/chart" uri="{C3380CC4-5D6E-409C-BE32-E72D297353CC}">
                  <c16:uniqueId val="{00000004-CD91-47B8-B0E9-229DEB040E78}"/>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5-CD91-47B8-B0E9-229DEB040E78}"/>
                </c:ext>
                <c:ext xmlns:c15="http://schemas.microsoft.com/office/drawing/2012/chart" uri="{CE6537A1-D6FC-4f65-9D91-7224C49458BB}"/>
              </c:extLst>
            </c:dLbl>
            <c:dLbl>
              <c:idx val="2"/>
              <c:tx>
                <c:rich>
                  <a:bodyPr/>
                  <a:lstStyle/>
                  <a:p>
                    <a:fld id="{0382B163-0B9E-4A42-A645-09CAAABC7A14}" type="CELLRANGE">
                      <a:rPr lang="en-US"/>
                      <a:pPr/>
                      <a:t>[CELLRANGE]</a:t>
                    </a:fld>
                    <a:endParaRPr lang="sk-SK"/>
                  </a:p>
                </c:rich>
              </c:tx>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CD91-47B8-B0E9-229DEB040E78}"/>
                </c:ext>
                <c:ext xmlns:c15="http://schemas.microsoft.com/office/drawing/2012/chart" uri="{CE6537A1-D6FC-4f65-9D91-7224C49458BB}">
                  <c15:dlblFieldTable/>
                  <c15:showDataLabelsRange val="1"/>
                </c:ext>
              </c:extLst>
            </c:dLbl>
            <c:dLbl>
              <c:idx val="3"/>
              <c:delete val="1"/>
              <c:extLst xmlns:c16r2="http://schemas.microsoft.com/office/drawing/2015/06/chart">
                <c:ext xmlns:c16="http://schemas.microsoft.com/office/drawing/2014/chart" uri="{C3380CC4-5D6E-409C-BE32-E72D297353CC}">
                  <c16:uniqueId val="{00000006-CD91-47B8-B0E9-229DEB040E78}"/>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7-CD91-47B8-B0E9-229DEB040E78}"/>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8-CD91-47B8-B0E9-229DEB040E78}"/>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9-CD91-47B8-B0E9-229DEB040E78}"/>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0A-CD91-47B8-B0E9-229DEB040E78}"/>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0B-CD91-47B8-B0E9-229DEB040E78}"/>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0C-CD91-47B8-B0E9-229DEB040E78}"/>
                </c:ext>
                <c:ext xmlns:c15="http://schemas.microsoft.com/office/drawing/2012/chart" uri="{CE6537A1-D6FC-4f65-9D91-7224C49458BB}"/>
              </c:extLst>
            </c:dLbl>
            <c:dLbl>
              <c:idx val="10"/>
              <c:delete val="1"/>
              <c:extLst xmlns:c16r2="http://schemas.microsoft.com/office/drawing/2015/06/chart">
                <c:ext xmlns:c16="http://schemas.microsoft.com/office/drawing/2014/chart" uri="{C3380CC4-5D6E-409C-BE32-E72D297353CC}">
                  <c16:uniqueId val="{0000000D-CD91-47B8-B0E9-229DEB040E78}"/>
                </c:ext>
                <c:ext xmlns:c15="http://schemas.microsoft.com/office/drawing/2012/chart" uri="{CE6537A1-D6FC-4f65-9D91-7224C49458BB}"/>
              </c:extLst>
            </c:dLbl>
            <c:dLbl>
              <c:idx val="11"/>
              <c:delete val="1"/>
              <c:extLst xmlns:c16r2="http://schemas.microsoft.com/office/drawing/2015/06/chart">
                <c:ext xmlns:c16="http://schemas.microsoft.com/office/drawing/2014/chart" uri="{C3380CC4-5D6E-409C-BE32-E72D297353CC}">
                  <c16:uniqueId val="{0000000E-CD91-47B8-B0E9-229DEB040E78}"/>
                </c:ext>
                <c:ext xmlns:c15="http://schemas.microsoft.com/office/drawing/2012/chart" uri="{CE6537A1-D6FC-4f65-9D91-7224C49458BB}"/>
              </c:extLst>
            </c:dLbl>
            <c:dLbl>
              <c:idx val="12"/>
              <c:delete val="1"/>
              <c:extLst xmlns:c16r2="http://schemas.microsoft.com/office/drawing/2015/06/chart">
                <c:ext xmlns:c16="http://schemas.microsoft.com/office/drawing/2014/chart" uri="{C3380CC4-5D6E-409C-BE32-E72D297353CC}">
                  <c16:uniqueId val="{0000000F-CD91-47B8-B0E9-229DEB040E78}"/>
                </c:ext>
                <c:ext xmlns:c15="http://schemas.microsoft.com/office/drawing/2012/chart" uri="{CE6537A1-D6FC-4f65-9D91-7224C49458BB}"/>
              </c:extLst>
            </c:dLbl>
            <c:dLbl>
              <c:idx val="13"/>
              <c:delete val="1"/>
              <c:extLst xmlns:c16r2="http://schemas.microsoft.com/office/drawing/2015/06/chart">
                <c:ext xmlns:c16="http://schemas.microsoft.com/office/drawing/2014/chart" uri="{C3380CC4-5D6E-409C-BE32-E72D297353CC}">
                  <c16:uniqueId val="{00000010-CD91-47B8-B0E9-229DEB040E78}"/>
                </c:ext>
                <c:ext xmlns:c15="http://schemas.microsoft.com/office/drawing/2012/chart" uri="{CE6537A1-D6FC-4f65-9D91-7224C49458BB}"/>
              </c:extLst>
            </c:dLbl>
            <c:dLbl>
              <c:idx val="14"/>
              <c:delete val="1"/>
              <c:extLst xmlns:c16r2="http://schemas.microsoft.com/office/drawing/2015/06/chart">
                <c:ext xmlns:c16="http://schemas.microsoft.com/office/drawing/2014/chart" uri="{C3380CC4-5D6E-409C-BE32-E72D297353CC}">
                  <c16:uniqueId val="{00000011-CD91-47B8-B0E9-229DEB040E78}"/>
                </c:ext>
                <c:ext xmlns:c15="http://schemas.microsoft.com/office/drawing/2012/chart" uri="{CE6537A1-D6FC-4f65-9D91-7224C49458BB}"/>
              </c:extLst>
            </c:dLbl>
            <c:dLbl>
              <c:idx val="15"/>
              <c:delete val="1"/>
              <c:extLst xmlns:c16r2="http://schemas.microsoft.com/office/drawing/2015/06/chart">
                <c:ext xmlns:c16="http://schemas.microsoft.com/office/drawing/2014/chart" uri="{C3380CC4-5D6E-409C-BE32-E72D297353CC}">
                  <c16:uniqueId val="{00000012-CD91-47B8-B0E9-229DEB040E78}"/>
                </c:ext>
                <c:ext xmlns:c15="http://schemas.microsoft.com/office/drawing/2012/chart" uri="{CE6537A1-D6FC-4f65-9D91-7224C49458BB}"/>
              </c:extLst>
            </c:dLbl>
            <c:dLbl>
              <c:idx val="16"/>
              <c:tx>
                <c:rich>
                  <a:bodyPr/>
                  <a:lstStyle/>
                  <a:p>
                    <a:fld id="{34826B79-2E72-4E23-9DD2-C4F57955E430}" type="CELLRANGE">
                      <a:rPr lang="en-US"/>
                      <a:pPr/>
                      <a:t>[CELLRANGE]</a:t>
                    </a:fld>
                    <a:endParaRPr lang="sk-SK"/>
                  </a:p>
                </c:rich>
              </c:tx>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CD91-47B8-B0E9-229DEB040E78}"/>
                </c:ext>
                <c:ext xmlns:c15="http://schemas.microsoft.com/office/drawing/2012/chart" uri="{CE6537A1-D6FC-4f65-9D91-7224C49458BB}">
                  <c15:dlblFieldTable/>
                  <c15:showDataLabelsRange val="1"/>
                </c:ext>
              </c:extLst>
            </c:dLbl>
            <c:dLbl>
              <c:idx val="17"/>
              <c:delete val="1"/>
              <c:extLst xmlns:c16r2="http://schemas.microsoft.com/office/drawing/2015/06/chart">
                <c:ext xmlns:c16="http://schemas.microsoft.com/office/drawing/2014/chart" uri="{C3380CC4-5D6E-409C-BE32-E72D297353CC}">
                  <c16:uniqueId val="{00000013-CD91-47B8-B0E9-229DEB040E78}"/>
                </c:ext>
                <c:ext xmlns:c15="http://schemas.microsoft.com/office/drawing/2012/chart" uri="{CE6537A1-D6FC-4f65-9D91-7224C49458BB}"/>
              </c:extLst>
            </c:dLbl>
            <c:dLbl>
              <c:idx val="18"/>
              <c:delete val="1"/>
              <c:extLst xmlns:c16r2="http://schemas.microsoft.com/office/drawing/2015/06/chart">
                <c:ext xmlns:c16="http://schemas.microsoft.com/office/drawing/2014/chart" uri="{C3380CC4-5D6E-409C-BE32-E72D297353CC}">
                  <c16:uniqueId val="{00000014-CD91-47B8-B0E9-229DEB040E78}"/>
                </c:ext>
                <c:ext xmlns:c15="http://schemas.microsoft.com/office/drawing/2012/chart" uri="{CE6537A1-D6FC-4f65-9D91-7224C49458BB}"/>
              </c:extLst>
            </c:dLbl>
            <c:dLbl>
              <c:idx val="19"/>
              <c:delete val="1"/>
              <c:extLst xmlns:c16r2="http://schemas.microsoft.com/office/drawing/2015/06/chart">
                <c:ext xmlns:c16="http://schemas.microsoft.com/office/drawing/2014/chart" uri="{C3380CC4-5D6E-409C-BE32-E72D297353CC}">
                  <c16:uniqueId val="{00000015-CD91-47B8-B0E9-229DEB040E78}"/>
                </c:ext>
                <c:ext xmlns:c15="http://schemas.microsoft.com/office/drawing/2012/chart" uri="{CE6537A1-D6FC-4f65-9D91-7224C49458BB}"/>
              </c:extLst>
            </c:dLbl>
            <c:dLbl>
              <c:idx val="20"/>
              <c:tx>
                <c:rich>
                  <a:bodyPr/>
                  <a:lstStyle/>
                  <a:p>
                    <a:fld id="{F00283B2-CC66-4EE3-BE1A-66E0946C2F9C}" type="CELLRANGE">
                      <a:rPr lang="en-US"/>
                      <a:pPr/>
                      <a:t>[CELLRANGE]</a:t>
                    </a:fld>
                    <a:endParaRPr lang="sk-SK"/>
                  </a:p>
                </c:rich>
              </c:tx>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2-CD91-47B8-B0E9-229DEB040E78}"/>
                </c:ext>
                <c:ext xmlns:c15="http://schemas.microsoft.com/office/drawing/2012/chart" uri="{CE6537A1-D6FC-4f65-9D91-7224C49458BB}">
                  <c15:dlblFieldTable/>
                  <c15:showDataLabelsRange val="1"/>
                </c:ext>
              </c:extLst>
            </c:dLbl>
            <c:dLbl>
              <c:idx val="21"/>
              <c:delete val="1"/>
              <c:extLst xmlns:c16r2="http://schemas.microsoft.com/office/drawing/2015/06/chart">
                <c:ext xmlns:c16="http://schemas.microsoft.com/office/drawing/2014/chart" uri="{C3380CC4-5D6E-409C-BE32-E72D297353CC}">
                  <c16:uniqueId val="{00000016-CD91-47B8-B0E9-229DEB040E78}"/>
                </c:ext>
                <c:ext xmlns:c15="http://schemas.microsoft.com/office/drawing/2012/chart" uri="{CE6537A1-D6FC-4f65-9D91-7224C49458BB}"/>
              </c:extLst>
            </c:dLbl>
            <c:dLbl>
              <c:idx val="22"/>
              <c:delete val="1"/>
              <c:extLst xmlns:c16r2="http://schemas.microsoft.com/office/drawing/2015/06/chart">
                <c:ext xmlns:c16="http://schemas.microsoft.com/office/drawing/2014/chart" uri="{C3380CC4-5D6E-409C-BE32-E72D297353CC}">
                  <c16:uniqueId val="{00000017-CD91-47B8-B0E9-229DEB040E78}"/>
                </c:ext>
                <c:ext xmlns:c15="http://schemas.microsoft.com/office/drawing/2012/chart" uri="{CE6537A1-D6FC-4f65-9D91-7224C49458BB}"/>
              </c:extLst>
            </c:dLbl>
            <c:dLbl>
              <c:idx val="23"/>
              <c:delete val="1"/>
              <c:extLst xmlns:c16r2="http://schemas.microsoft.com/office/drawing/2015/06/chart">
                <c:ext xmlns:c16="http://schemas.microsoft.com/office/drawing/2014/chart" uri="{C3380CC4-5D6E-409C-BE32-E72D297353CC}">
                  <c16:uniqueId val="{00000018-CD91-47B8-B0E9-229DEB040E78}"/>
                </c:ext>
                <c:ext xmlns:c15="http://schemas.microsoft.com/office/drawing/2012/chart" uri="{CE6537A1-D6FC-4f65-9D91-7224C49458BB}"/>
              </c:extLst>
            </c:dLbl>
            <c:dLbl>
              <c:idx val="24"/>
              <c:tx>
                <c:rich>
                  <a:bodyPr/>
                  <a:lstStyle/>
                  <a:p>
                    <a:fld id="{F6A356E1-D98E-48F6-8C6D-7AC86197FB8F}" type="CELLRANGE">
                      <a:rPr lang="en-US"/>
                      <a:pPr/>
                      <a:t>[CELLRANGE]</a:t>
                    </a:fld>
                    <a:endParaRPr lang="sk-SK"/>
                  </a:p>
                </c:rich>
              </c:tx>
              <c:dLblPos val="b"/>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CD91-47B8-B0E9-229DEB040E78}"/>
                </c:ext>
                <c:ext xmlns:c15="http://schemas.microsoft.com/office/drawing/2012/chart" uri="{CE6537A1-D6FC-4f65-9D91-7224C49458BB}">
                  <c15:dlblFieldTable/>
                  <c15:showDataLabelsRange val="1"/>
                </c:ext>
              </c:extLst>
            </c:dLbl>
            <c:dLbl>
              <c:idx val="25"/>
              <c:delete val="1"/>
              <c:extLst xmlns:c16r2="http://schemas.microsoft.com/office/drawing/2015/06/chart">
                <c:ext xmlns:c16="http://schemas.microsoft.com/office/drawing/2014/chart" uri="{C3380CC4-5D6E-409C-BE32-E72D297353CC}">
                  <c16:uniqueId val="{00000019-CD91-47B8-B0E9-229DEB040E78}"/>
                </c:ext>
                <c:ext xmlns:c15="http://schemas.microsoft.com/office/drawing/2012/chart" uri="{CE6537A1-D6FC-4f65-9D91-7224C49458BB}"/>
              </c:extLst>
            </c:dLbl>
            <c:dLbl>
              <c:idx val="26"/>
              <c:delete val="1"/>
              <c:extLst xmlns:c16r2="http://schemas.microsoft.com/office/drawing/2015/06/chart">
                <c:ext xmlns:c16="http://schemas.microsoft.com/office/drawing/2014/chart" uri="{C3380CC4-5D6E-409C-BE32-E72D297353CC}">
                  <c16:uniqueId val="{0000001A-CD91-47B8-B0E9-229DEB040E78}"/>
                </c:ext>
                <c:ext xmlns:c15="http://schemas.microsoft.com/office/drawing/2012/chart" uri="{CE6537A1-D6FC-4f65-9D91-7224C49458BB}"/>
              </c:extLst>
            </c:dLbl>
            <c:dLbl>
              <c:idx val="27"/>
              <c:delete val="1"/>
              <c:extLst xmlns:c16r2="http://schemas.microsoft.com/office/drawing/2015/06/chart">
                <c:ext xmlns:c16="http://schemas.microsoft.com/office/drawing/2014/chart" uri="{C3380CC4-5D6E-409C-BE32-E72D297353CC}">
                  <c16:uniqueId val="{0000001B-CD91-47B8-B0E9-229DEB040E7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Arial Narrow" panose="020B0606020202030204" pitchFamily="34" charset="0"/>
                    <a:ea typeface="+mn-ea"/>
                    <a:cs typeface="+mn-cs"/>
                  </a:defRPr>
                </a:pPr>
                <a:endParaRPr lang="sk-SK"/>
              </a:p>
            </c:txPr>
            <c:dLblPos val="l"/>
            <c:showLegendKey val="0"/>
            <c:showVal val="0"/>
            <c:showCatName val="0"/>
            <c:showSerName val="0"/>
            <c:showPercent val="0"/>
            <c:showBubbleSize val="0"/>
            <c:showLeaderLines val="0"/>
            <c:extLst xmlns:c16r2="http://schemas.microsoft.com/office/drawing/2015/06/chart">
              <c:ext xmlns:c15="http://schemas.microsoft.com/office/drawing/2012/chart" uri="{CE6537A1-D6FC-4f65-9D91-7224C49458BB}">
                <c15:showDataLabelsRange val="1"/>
                <c15:showLeaderLines val="0"/>
              </c:ext>
            </c:extLst>
          </c:dLbls>
          <c:xVal>
            <c:numRef>
              <c:f>Hárok2!$I$5:$I$32</c:f>
              <c:numCache>
                <c:formatCode>General</c:formatCode>
                <c:ptCount val="28"/>
                <c:pt idx="0">
                  <c:v>41.7</c:v>
                </c:pt>
                <c:pt idx="1">
                  <c:v>40.9</c:v>
                </c:pt>
                <c:pt idx="2">
                  <c:v>30.1</c:v>
                </c:pt>
                <c:pt idx="3">
                  <c:v>61.3</c:v>
                </c:pt>
                <c:pt idx="4">
                  <c:v>52.7</c:v>
                </c:pt>
                <c:pt idx="5">
                  <c:v>50.7</c:v>
                </c:pt>
                <c:pt idx="6">
                  <c:v>42.3</c:v>
                </c:pt>
                <c:pt idx="7">
                  <c:v>53</c:v>
                </c:pt>
                <c:pt idx="8">
                  <c:v>66.400000000000006</c:v>
                </c:pt>
                <c:pt idx="9">
                  <c:v>48</c:v>
                </c:pt>
                <c:pt idx="10">
                  <c:v>30.7</c:v>
                </c:pt>
                <c:pt idx="11">
                  <c:v>51.6</c:v>
                </c:pt>
                <c:pt idx="12">
                  <c:v>49</c:v>
                </c:pt>
                <c:pt idx="13">
                  <c:v>44.3</c:v>
                </c:pt>
                <c:pt idx="14">
                  <c:v>26.7</c:v>
                </c:pt>
                <c:pt idx="15">
                  <c:v>46.1</c:v>
                </c:pt>
                <c:pt idx="16">
                  <c:v>43.4</c:v>
                </c:pt>
                <c:pt idx="17">
                  <c:v>59.2</c:v>
                </c:pt>
                <c:pt idx="18">
                  <c:v>64.2</c:v>
                </c:pt>
                <c:pt idx="19">
                  <c:v>54.1</c:v>
                </c:pt>
                <c:pt idx="20">
                  <c:v>26.6</c:v>
                </c:pt>
                <c:pt idx="21">
                  <c:v>66.599999999999994</c:v>
                </c:pt>
                <c:pt idx="22">
                  <c:v>46</c:v>
                </c:pt>
                <c:pt idx="23">
                  <c:v>40</c:v>
                </c:pt>
                <c:pt idx="24">
                  <c:v>30.6</c:v>
                </c:pt>
                <c:pt idx="25">
                  <c:v>47.5</c:v>
                </c:pt>
                <c:pt idx="26">
                  <c:v>57.7</c:v>
                </c:pt>
                <c:pt idx="27">
                  <c:v>64.5</c:v>
                </c:pt>
              </c:numCache>
            </c:numRef>
          </c:xVal>
          <c:yVal>
            <c:numRef>
              <c:f>Hárok2!$J$5:$J$32</c:f>
              <c:numCache>
                <c:formatCode>General</c:formatCode>
                <c:ptCount val="28"/>
                <c:pt idx="0">
                  <c:v>14.8</c:v>
                </c:pt>
                <c:pt idx="1">
                  <c:v>18.3</c:v>
                </c:pt>
                <c:pt idx="2">
                  <c:v>13.3</c:v>
                </c:pt>
                <c:pt idx="3">
                  <c:v>9.3000000000000007</c:v>
                </c:pt>
                <c:pt idx="4">
                  <c:v>9.6999999999999993</c:v>
                </c:pt>
                <c:pt idx="5">
                  <c:v>11.4</c:v>
                </c:pt>
                <c:pt idx="6">
                  <c:v>12.7</c:v>
                </c:pt>
                <c:pt idx="7">
                  <c:v>24.8</c:v>
                </c:pt>
                <c:pt idx="8">
                  <c:v>25.2</c:v>
                </c:pt>
                <c:pt idx="9">
                  <c:v>17.3</c:v>
                </c:pt>
                <c:pt idx="10">
                  <c:v>20.5</c:v>
                </c:pt>
                <c:pt idx="11">
                  <c:v>15.8</c:v>
                </c:pt>
                <c:pt idx="12">
                  <c:v>14.9</c:v>
                </c:pt>
                <c:pt idx="13">
                  <c:v>19.2</c:v>
                </c:pt>
                <c:pt idx="14">
                  <c:v>21.6</c:v>
                </c:pt>
                <c:pt idx="15">
                  <c:v>8.9</c:v>
                </c:pt>
                <c:pt idx="16">
                  <c:v>11.2</c:v>
                </c:pt>
                <c:pt idx="17">
                  <c:v>7.1</c:v>
                </c:pt>
                <c:pt idx="18">
                  <c:v>8.5</c:v>
                </c:pt>
                <c:pt idx="19">
                  <c:v>13.3</c:v>
                </c:pt>
                <c:pt idx="20">
                  <c:v>12.6</c:v>
                </c:pt>
                <c:pt idx="21">
                  <c:v>10.199999999999999</c:v>
                </c:pt>
                <c:pt idx="22">
                  <c:v>7.6</c:v>
                </c:pt>
                <c:pt idx="23">
                  <c:v>11.5</c:v>
                </c:pt>
                <c:pt idx="24">
                  <c:v>29.9</c:v>
                </c:pt>
                <c:pt idx="25">
                  <c:v>18.899999999999999</c:v>
                </c:pt>
                <c:pt idx="26">
                  <c:v>19.399999999999999</c:v>
                </c:pt>
                <c:pt idx="27">
                  <c:v>7.6</c:v>
                </c:pt>
              </c:numCache>
            </c:numRef>
          </c:yVal>
          <c:smooth val="0"/>
          <c:extLst xmlns:c16r2="http://schemas.microsoft.com/office/drawing/2015/06/chart">
            <c:ext xmlns:c16="http://schemas.microsoft.com/office/drawing/2014/chart" uri="{C3380CC4-5D6E-409C-BE32-E72D297353CC}">
              <c16:uniqueId val="{0000001C-CD91-47B8-B0E9-229DEB040E78}"/>
            </c:ext>
            <c:ext xmlns:c15="http://schemas.microsoft.com/office/drawing/2012/chart" uri="{02D57815-91ED-43cb-92C2-25804820EDAC}">
              <c15:datalabelsRange>
                <c15:f>Hárok2!$B$5:$B$32</c15:f>
                <c15:dlblRangeCache>
                  <c:ptCount val="28"/>
                  <c:pt idx="0">
                    <c:v>BE</c:v>
                  </c:pt>
                  <c:pt idx="1">
                    <c:v>BG</c:v>
                  </c:pt>
                  <c:pt idx="2">
                    <c:v>CZ</c:v>
                  </c:pt>
                  <c:pt idx="3">
                    <c:v>DK</c:v>
                  </c:pt>
                  <c:pt idx="4">
                    <c:v>DE</c:v>
                  </c:pt>
                  <c:pt idx="5">
                    <c:v>EE</c:v>
                  </c:pt>
                  <c:pt idx="6">
                    <c:v>IE</c:v>
                  </c:pt>
                  <c:pt idx="7">
                    <c:v>GR</c:v>
                  </c:pt>
                  <c:pt idx="8">
                    <c:v>ES</c:v>
                  </c:pt>
                  <c:pt idx="9">
                    <c:v>FR</c:v>
                  </c:pt>
                  <c:pt idx="10">
                    <c:v>HR</c:v>
                  </c:pt>
                  <c:pt idx="11">
                    <c:v>IT</c:v>
                  </c:pt>
                  <c:pt idx="12">
                    <c:v>CY</c:v>
                  </c:pt>
                  <c:pt idx="13">
                    <c:v>LV</c:v>
                  </c:pt>
                  <c:pt idx="14">
                    <c:v>LT</c:v>
                  </c:pt>
                  <c:pt idx="15">
                    <c:v>LU</c:v>
                  </c:pt>
                  <c:pt idx="16">
                    <c:v>HU</c:v>
                  </c:pt>
                  <c:pt idx="17">
                    <c:v>MT</c:v>
                  </c:pt>
                  <c:pt idx="18">
                    <c:v>NL</c:v>
                  </c:pt>
                  <c:pt idx="19">
                    <c:v>AT</c:v>
                  </c:pt>
                  <c:pt idx="20">
                    <c:v>PL</c:v>
                  </c:pt>
                  <c:pt idx="21">
                    <c:v>PT</c:v>
                  </c:pt>
                  <c:pt idx="22">
                    <c:v>RO</c:v>
                  </c:pt>
                  <c:pt idx="23">
                    <c:v>SI</c:v>
                  </c:pt>
                  <c:pt idx="24">
                    <c:v>SK</c:v>
                  </c:pt>
                  <c:pt idx="25">
                    <c:v>FI</c:v>
                  </c:pt>
                  <c:pt idx="26">
                    <c:v>SE</c:v>
                  </c:pt>
                  <c:pt idx="27">
                    <c:v>UK</c:v>
                  </c:pt>
                </c15:dlblRangeCache>
              </c15:datalabelsRange>
            </c:ext>
          </c:extLst>
        </c:ser>
        <c:dLbls>
          <c:dLblPos val="l"/>
          <c:showLegendKey val="0"/>
          <c:showVal val="1"/>
          <c:showCatName val="0"/>
          <c:showSerName val="0"/>
          <c:showPercent val="0"/>
          <c:showBubbleSize val="0"/>
        </c:dLbls>
        <c:axId val="472354400"/>
        <c:axId val="472307552"/>
      </c:scatterChart>
      <c:valAx>
        <c:axId val="472354400"/>
        <c:scaling>
          <c:orientation val="minMax"/>
          <c:min val="20"/>
        </c:scaling>
        <c:delete val="0"/>
        <c:axPos val="b"/>
        <c:majorGridlines>
          <c:spPr>
            <a:ln w="9525" cap="flat" cmpd="sng" algn="ctr">
              <a:solidFill>
                <a:schemeClr val="tx1">
                  <a:lumMod val="15000"/>
                  <a:lumOff val="85000"/>
                </a:schemeClr>
              </a:solidFill>
              <a:prstDash val="dash"/>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r>
                  <a:rPr lang="sk-SK" sz="800"/>
                  <a:t>Miera aktivity (15 - 64 r.; ISCED 0-2)</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endParaRPr lang="sk-SK"/>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Narrow" panose="020B0606020202030204" pitchFamily="34" charset="0"/>
                <a:ea typeface="+mn-ea"/>
                <a:cs typeface="+mn-cs"/>
              </a:defRPr>
            </a:pPr>
            <a:endParaRPr lang="sk-SK"/>
          </a:p>
        </c:txPr>
        <c:crossAx val="472307552"/>
        <c:crosses val="autoZero"/>
        <c:crossBetween val="midCat"/>
      </c:valAx>
      <c:valAx>
        <c:axId val="472307552"/>
        <c:scaling>
          <c:orientation val="minMax"/>
        </c:scaling>
        <c:delete val="0"/>
        <c:axPos val="l"/>
        <c:majorGridlines>
          <c:spPr>
            <a:ln w="9525" cap="flat" cmpd="sng" algn="ctr">
              <a:solidFill>
                <a:schemeClr val="tx1">
                  <a:lumMod val="15000"/>
                  <a:lumOff val="85000"/>
                </a:schemeClr>
              </a:solidFill>
              <a:prstDash val="dash"/>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r>
                  <a:rPr lang="sk-SK" sz="800"/>
                  <a:t>Miera nezamestnanosti (15 - 64 r.; ISCED 0-2)</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endParaRPr lang="sk-SK"/>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Narrow" panose="020B0606020202030204" pitchFamily="34" charset="0"/>
                <a:ea typeface="+mn-ea"/>
                <a:cs typeface="+mn-cs"/>
              </a:defRPr>
            </a:pPr>
            <a:endParaRPr lang="sk-SK"/>
          </a:p>
        </c:txPr>
        <c:crossAx val="472354400"/>
        <c:crosses val="autoZero"/>
        <c:crossBetween val="midCat"/>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Arial Narrow" panose="020B0606020202030204" pitchFamily="34" charset="0"/>
        </a:defRPr>
      </a:pPr>
      <a:endParaRPr lang="sk-SK"/>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'\\mf.mfsr.sk\DfsRoot\ADRESARE\UHP\00_HODNOTA_ZA_PENIAZE\00_SPENDING_REVIEW\06_PRÁCA\02_VÝSTUPY\03_PRIEBEŽNÁ_SPRÁVA\prvý draft 20170316\APTP\miro_20170428\[tabulka 2.xlsx]Hárok7'!$D$14</c:f>
              <c:strCache>
                <c:ptCount val="1"/>
                <c:pt idx="0">
                  <c:v>Model roku 2015</c:v>
                </c:pt>
              </c:strCache>
            </c:strRef>
          </c:tx>
          <c:spPr>
            <a:solidFill>
              <a:schemeClr val="tx1">
                <a:lumMod val="75000"/>
                <a:lumOff val="25000"/>
              </a:schemeClr>
            </a:solidFill>
            <a:ln>
              <a:solidFill>
                <a:schemeClr val="tx1">
                  <a:lumMod val="75000"/>
                  <a:lumOff val="25000"/>
                </a:schemeClr>
              </a:solidFill>
            </a:ln>
          </c:spPr>
          <c:invertIfNegative val="0"/>
          <c:dLbls>
            <c:numFmt formatCode="0%" sourceLinked="0"/>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'\\mf.mfsr.sk\DfsRoot\ADRESARE\UHP\00_HODNOTA_ZA_PENIAZE\00_SPENDING_REVIEW\06_PRÁCA\02_VÝSTUPY\03_PRIEBEŽNÁ_SPRÁVA\prvý draft 20170316\APTP\miro_20170428\[tabulka 2.xlsx]Hárok7'!$C$15:$C$18</c:f>
              <c:strCache>
                <c:ptCount val="4"/>
                <c:pt idx="0">
                  <c:v>Dostupnosť APTP</c:v>
                </c:pt>
                <c:pt idx="1">
                  <c:v>Dostupnosť APTP pre DN</c:v>
                </c:pt>
                <c:pt idx="2">
                  <c:v>Podiel umiestnených účastníkov</c:v>
                </c:pt>
                <c:pt idx="3">
                  <c:v>Podiel umiestnených na celkovom počte evidencií UoZ</c:v>
                </c:pt>
              </c:strCache>
            </c:strRef>
          </c:cat>
          <c:val>
            <c:numRef>
              <c:f>'\\mf.mfsr.sk\DfsRoot\ADRESARE\UHP\00_HODNOTA_ZA_PENIAZE\00_SPENDING_REVIEW\06_PRÁCA\02_VÝSTUPY\03_PRIEBEŽNÁ_SPRÁVA\prvý draft 20170316\APTP\miro_20170428\[tabulka 2.xlsx]Hárok7'!$D$15:$D$18</c:f>
              <c:numCache>
                <c:formatCode>General</c:formatCode>
                <c:ptCount val="4"/>
                <c:pt idx="0">
                  <c:v>0.1038</c:v>
                </c:pt>
                <c:pt idx="1">
                  <c:v>0.11700000000000001</c:v>
                </c:pt>
                <c:pt idx="2">
                  <c:v>0.139414075271552</c:v>
                </c:pt>
                <c:pt idx="3">
                  <c:v>1.44711810131871E-2</c:v>
                </c:pt>
              </c:numCache>
            </c:numRef>
          </c:val>
          <c:extLst xmlns:c16r2="http://schemas.microsoft.com/office/drawing/2015/06/chart">
            <c:ext xmlns:c16="http://schemas.microsoft.com/office/drawing/2014/chart" uri="{C3380CC4-5D6E-409C-BE32-E72D297353CC}">
              <c16:uniqueId val="{00000000-19A0-4FF1-B066-006860D7C66D}"/>
            </c:ext>
          </c:extLst>
        </c:ser>
        <c:ser>
          <c:idx val="1"/>
          <c:order val="1"/>
          <c:tx>
            <c:strRef>
              <c:f>'\\mf.mfsr.sk\DfsRoot\ADRESARE\UHP\00_HODNOTA_ZA_PENIAZE\00_SPENDING_REVIEW\06_PRÁCA\02_VÝSTUPY\03_PRIEBEŽNÁ_SPRÁVA\prvý draft 20170316\APTP\miro_20170428\[tabulka 2.xlsx]Hárok7'!$E$14</c:f>
              <c:strCache>
                <c:ptCount val="1"/>
                <c:pt idx="0">
                  <c:v>Model troch najúčinnejších opatrení</c:v>
                </c:pt>
              </c:strCache>
            </c:strRef>
          </c:tx>
          <c:spPr>
            <a:solidFill>
              <a:schemeClr val="bg1">
                <a:lumMod val="75000"/>
              </a:schemeClr>
            </a:solidFill>
            <a:ln>
              <a:solidFill>
                <a:schemeClr val="bg1">
                  <a:lumMod val="75000"/>
                </a:schemeClr>
              </a:solidFill>
            </a:ln>
          </c:spPr>
          <c:invertIfNegative val="0"/>
          <c:dLbls>
            <c:numFmt formatCode="0%" sourceLinked="0"/>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'\\mf.mfsr.sk\DfsRoot\ADRESARE\UHP\00_HODNOTA_ZA_PENIAZE\00_SPENDING_REVIEW\06_PRÁCA\02_VÝSTUPY\03_PRIEBEŽNÁ_SPRÁVA\prvý draft 20170316\APTP\miro_20170428\[tabulka 2.xlsx]Hárok7'!$C$15:$C$18</c:f>
              <c:strCache>
                <c:ptCount val="4"/>
                <c:pt idx="0">
                  <c:v>Dostupnosť APTP</c:v>
                </c:pt>
                <c:pt idx="1">
                  <c:v>Dostupnosť APTP pre DN</c:v>
                </c:pt>
                <c:pt idx="2">
                  <c:v>Podiel umiestnených účastníkov</c:v>
                </c:pt>
                <c:pt idx="3">
                  <c:v>Podiel umiestnených na celkovom počte evidencií UoZ</c:v>
                </c:pt>
              </c:strCache>
            </c:strRef>
          </c:cat>
          <c:val>
            <c:numRef>
              <c:f>'\\mf.mfsr.sk\DfsRoot\ADRESARE\UHP\00_HODNOTA_ZA_PENIAZE\00_SPENDING_REVIEW\06_PRÁCA\02_VÝSTUPY\03_PRIEBEŽNÁ_SPRÁVA\prvý draft 20170316\APTP\miro_20170428\[tabulka 2.xlsx]Hárok7'!$E$15:$E$18</c:f>
              <c:numCache>
                <c:formatCode>General</c:formatCode>
                <c:ptCount val="4"/>
                <c:pt idx="0">
                  <c:v>0.210537929827005</c:v>
                </c:pt>
                <c:pt idx="1">
                  <c:v>0.187</c:v>
                </c:pt>
                <c:pt idx="2">
                  <c:v>0.100339341116661</c:v>
                </c:pt>
                <c:pt idx="3">
                  <c:v>2.11252371589076E-2</c:v>
                </c:pt>
              </c:numCache>
            </c:numRef>
          </c:val>
          <c:extLst xmlns:c16r2="http://schemas.microsoft.com/office/drawing/2015/06/chart">
            <c:ext xmlns:c16="http://schemas.microsoft.com/office/drawing/2014/chart" uri="{C3380CC4-5D6E-409C-BE32-E72D297353CC}">
              <c16:uniqueId val="{00000001-19A0-4FF1-B066-006860D7C66D}"/>
            </c:ext>
          </c:extLst>
        </c:ser>
        <c:dLbls>
          <c:showLegendKey val="0"/>
          <c:showVal val="0"/>
          <c:showCatName val="0"/>
          <c:showSerName val="0"/>
          <c:showPercent val="0"/>
          <c:showBubbleSize val="0"/>
        </c:dLbls>
        <c:gapWidth val="150"/>
        <c:axId val="472767496"/>
        <c:axId val="472767888"/>
      </c:barChart>
      <c:catAx>
        <c:axId val="472767496"/>
        <c:scaling>
          <c:orientation val="minMax"/>
        </c:scaling>
        <c:delete val="0"/>
        <c:axPos val="l"/>
        <c:numFmt formatCode="General" sourceLinked="0"/>
        <c:majorTickMark val="out"/>
        <c:minorTickMark val="none"/>
        <c:tickLblPos val="nextTo"/>
        <c:crossAx val="472767888"/>
        <c:crosses val="autoZero"/>
        <c:auto val="1"/>
        <c:lblAlgn val="ctr"/>
        <c:lblOffset val="100"/>
        <c:noMultiLvlLbl val="0"/>
      </c:catAx>
      <c:valAx>
        <c:axId val="472767888"/>
        <c:scaling>
          <c:orientation val="minMax"/>
          <c:max val="0.25"/>
        </c:scaling>
        <c:delete val="0"/>
        <c:axPos val="b"/>
        <c:majorGridlines>
          <c:spPr>
            <a:ln>
              <a:solidFill>
                <a:schemeClr val="bg1">
                  <a:lumMod val="75000"/>
                </a:schemeClr>
              </a:solidFill>
              <a:prstDash val="dash"/>
            </a:ln>
          </c:spPr>
        </c:majorGridlines>
        <c:numFmt formatCode="#,##0.00" sourceLinked="0"/>
        <c:majorTickMark val="out"/>
        <c:minorTickMark val="none"/>
        <c:tickLblPos val="nextTo"/>
        <c:spPr>
          <a:ln>
            <a:solidFill>
              <a:schemeClr val="bg1">
                <a:lumMod val="75000"/>
              </a:schemeClr>
            </a:solidFill>
          </a:ln>
        </c:spPr>
        <c:crossAx val="472767496"/>
        <c:crosses val="autoZero"/>
        <c:crossBetween val="between"/>
      </c:valAx>
    </c:plotArea>
    <c:legend>
      <c:legendPos val="b"/>
      <c:overlay val="0"/>
    </c:legend>
    <c:plotVisOnly val="1"/>
    <c:dispBlanksAs val="gap"/>
    <c:showDLblsOverMax val="0"/>
  </c:chart>
  <c:spPr>
    <a:noFill/>
    <a:ln>
      <a:noFill/>
    </a:ln>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sk-SK"/>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withinLinear" id="16">
  <a:schemeClr val="accent3"/>
</cs:colorStyle>
</file>

<file path=word/charts/colors1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0.2819</cdr:x>
      <cdr:y>0.00735</cdr:y>
    </cdr:from>
    <cdr:to>
      <cdr:x>0.8663</cdr:x>
      <cdr:y>0.09626</cdr:y>
    </cdr:to>
    <cdr:sp macro="" textlink="">
      <cdr:nvSpPr>
        <cdr:cNvPr id="2" name="BlokTextu 1"/>
        <cdr:cNvSpPr txBox="1"/>
      </cdr:nvSpPr>
      <cdr:spPr>
        <a:xfrm xmlns:a="http://schemas.openxmlformats.org/drawingml/2006/main">
          <a:off x="962024" y="24729"/>
          <a:ext cx="1994301" cy="2991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sk-SK" sz="1200" b="1"/>
        </a:p>
      </cdr:txBody>
    </cdr:sp>
  </cdr:relSizeAnchor>
</c:userShapes>
</file>

<file path=word/drawings/drawing2.xml><?xml version="1.0" encoding="utf-8"?>
<c:userShapes xmlns:c="http://schemas.openxmlformats.org/drawingml/2006/chart">
  <cdr:relSizeAnchor xmlns:cdr="http://schemas.openxmlformats.org/drawingml/2006/chartDrawing">
    <cdr:from>
      <cdr:x>0.2819</cdr:x>
      <cdr:y>0.00735</cdr:y>
    </cdr:from>
    <cdr:to>
      <cdr:x>0.8663</cdr:x>
      <cdr:y>0.09626</cdr:y>
    </cdr:to>
    <cdr:sp macro="" textlink="">
      <cdr:nvSpPr>
        <cdr:cNvPr id="2" name="BlokTextu 1"/>
        <cdr:cNvSpPr txBox="1"/>
      </cdr:nvSpPr>
      <cdr:spPr>
        <a:xfrm xmlns:a="http://schemas.openxmlformats.org/drawingml/2006/main">
          <a:off x="962024" y="24729"/>
          <a:ext cx="1994301" cy="2991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endParaRPr lang="sk-SK" sz="1200" b="1"/>
        </a:p>
      </cdr:txBody>
    </cdr:sp>
  </cdr:relSizeAnchor>
</c:userShapes>
</file>

<file path=word/drawings/drawing3.xml><?xml version="1.0" encoding="utf-8"?>
<c:userShapes xmlns:c="http://schemas.openxmlformats.org/drawingml/2006/chart">
  <cdr:relSizeAnchor xmlns:cdr="http://schemas.openxmlformats.org/drawingml/2006/chartDrawing">
    <cdr:from>
      <cdr:x>0.83302</cdr:x>
      <cdr:y>0.46667</cdr:y>
    </cdr:from>
    <cdr:to>
      <cdr:x>1</cdr:x>
      <cdr:y>0.59862</cdr:y>
    </cdr:to>
    <cdr:sp macro="" textlink="">
      <cdr:nvSpPr>
        <cdr:cNvPr id="2" name="BlokTextu 1"/>
        <cdr:cNvSpPr txBox="1"/>
      </cdr:nvSpPr>
      <cdr:spPr>
        <a:xfrm xmlns:a="http://schemas.openxmlformats.org/drawingml/2006/main">
          <a:off x="2342269" y="1263861"/>
          <a:ext cx="469511" cy="35735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k-SK" sz="1000">
              <a:latin typeface="Arial Narrow" panose="020B0606020202030204" pitchFamily="34" charset="0"/>
            </a:rPr>
            <a:t>EU28</a:t>
          </a:r>
        </a:p>
      </cdr:txBody>
    </cdr:sp>
  </cdr:relSizeAnchor>
</c:userShape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69.51501" units="1/cm"/>
          <inkml:channelProperty channel="Y" name="resolution" value="415.70438" units="1/cm"/>
          <inkml:channelProperty channel="T" name="resolution" value="1" units="1/dev"/>
        </inkml:channelProperties>
      </inkml:inkSource>
      <inkml:timestamp xml:id="ts0" timeString="2018-09-10T09:18:08.364"/>
    </inkml:context>
    <inkml:brush xml:id="br0">
      <inkml:brushProperty name="width" value="0.46667" units="cm"/>
      <inkml:brushProperty name="height" value="0.93333" units="cm"/>
      <inkml:brushProperty name="color" value="#FFFF00"/>
      <inkml:brushProperty name="tip" value="rectangle"/>
      <inkml:brushProperty name="rasterOp" value="maskPen"/>
      <inkml:brushProperty name="fitToCurve" value="1"/>
    </inkml:brush>
  </inkml:definitions>
  <inkml:trace contextRef="#ctx0" brushRef="#br0">421 6974 0,'79'-311'0,"-4"-4"0,-22-17 15,-4-13 1,-11 17-16,-23 13 16,7 13-1,-18 1-15,0 9 16,-8-6-16,-11 3 16,-4-7-1,-7-10-15,0 17 16,-5 17-1,-6 20-15,-1 27 16,12 27-16,-12 26 16,12 27-1,-1 14 1,-6-7-16,-4-7 16,3 0-16,-15-3 15,11 3-15,-11 21 16,12 29-1,7 11-15,7 29 16,-3 18 0,11 26-16,3 17 15,12 10 1,0 7 0,0 6-16,-11-6 15,11 7-15,-4-1 16,-3-10-16,3-6 15,-7-7 1,-4-7 0,3 14-16</inkml:trace>
</inkml:ink>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3EFC1-8FDC-44E7-BF60-8E32062E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2768</TotalTime>
  <Pages>176</Pages>
  <Words>78331</Words>
  <Characters>446487</Characters>
  <Application>Microsoft Office Word</Application>
  <DocSecurity>0</DocSecurity>
  <Lines>3720</Lines>
  <Paragraphs>1047</Paragraphs>
  <ScaleCrop>false</ScaleCrop>
  <HeadingPairs>
    <vt:vector size="2" baseType="variant">
      <vt:variant>
        <vt:lpstr>Názov</vt:lpstr>
      </vt:variant>
      <vt:variant>
        <vt:i4>1</vt:i4>
      </vt:variant>
    </vt:vector>
  </HeadingPairs>
  <TitlesOfParts>
    <vt:vector size="1" baseType="lpstr">
      <vt:lpstr>5</vt:lpstr>
    </vt:vector>
  </TitlesOfParts>
  <Company/>
  <LinksUpToDate>false</LinksUpToDate>
  <CharactersWithSpaces>523771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Michlo Martin</dc:creator>
  <cp:keywords/>
  <dc:description/>
  <cp:lastModifiedBy>Michlo Martin</cp:lastModifiedBy>
  <cp:revision>695</cp:revision>
  <cp:lastPrinted>2018-10-03T15:47:00Z</cp:lastPrinted>
  <dcterms:created xsi:type="dcterms:W3CDTF">2016-10-02T09:02:00Z</dcterms:created>
  <dcterms:modified xsi:type="dcterms:W3CDTF">2018-10-09T11:15:00Z</dcterms:modified>
</cp:coreProperties>
</file>